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E4711" w14:textId="77777777" w:rsidR="00F97474" w:rsidRPr="00406FAA" w:rsidRDefault="00F97474" w:rsidP="00432751">
      <w:pPr>
        <w:jc w:val="center"/>
        <w:rPr>
          <w:rFonts w:ascii="Times New Roman" w:hAnsi="Times New Roman" w:cs="Times New Roman"/>
          <w:lang w:val="pl-PL"/>
        </w:rPr>
      </w:pPr>
    </w:p>
    <w:p w14:paraId="35291FEF" w14:textId="77777777" w:rsidR="00364EAC" w:rsidRPr="00406FAA" w:rsidRDefault="00364EAC" w:rsidP="00432751">
      <w:pPr>
        <w:jc w:val="center"/>
        <w:rPr>
          <w:rFonts w:ascii="Times New Roman" w:hAnsi="Times New Roman" w:cs="Times New Roman"/>
          <w:lang w:val="pl-PL"/>
        </w:rPr>
      </w:pPr>
    </w:p>
    <w:p w14:paraId="05BAD59D" w14:textId="77777777" w:rsidR="0098410D" w:rsidRPr="00406FAA" w:rsidRDefault="0098410D" w:rsidP="00432751">
      <w:pPr>
        <w:jc w:val="center"/>
        <w:rPr>
          <w:lang w:val="pl-PL"/>
        </w:rPr>
      </w:pPr>
    </w:p>
    <w:p w14:paraId="6BA1ADF1" w14:textId="77777777" w:rsidR="0098410D" w:rsidRPr="00406FAA" w:rsidRDefault="00AD4CB9" w:rsidP="00432751">
      <w:pPr>
        <w:pStyle w:val="DecHTitle"/>
        <w:rPr>
          <w:lang w:val="pl-PL"/>
        </w:rPr>
      </w:pPr>
      <w:r w:rsidRPr="00406FAA">
        <w:rPr>
          <w:lang w:val="pl-PL"/>
        </w:rPr>
        <w:t>PIERWSZA SEKCJA</w:t>
      </w:r>
    </w:p>
    <w:p w14:paraId="349AE273" w14:textId="50CA8A05" w:rsidR="008E6217" w:rsidRPr="00406FAA" w:rsidRDefault="00AD4CB9" w:rsidP="00432751">
      <w:pPr>
        <w:pStyle w:val="JuTitle"/>
        <w:rPr>
          <w:lang w:val="pl-PL"/>
        </w:rPr>
      </w:pPr>
      <w:r w:rsidRPr="00406FAA">
        <w:rPr>
          <w:bCs/>
          <w:color w:val="000000" w:themeColor="text1"/>
          <w:lang w:val="pl-PL"/>
        </w:rPr>
        <w:t xml:space="preserve">SPRAWA </w:t>
      </w:r>
      <w:r w:rsidRPr="00406FAA">
        <w:rPr>
          <w:bCs/>
          <w:lang w:val="pl-PL"/>
        </w:rPr>
        <w:t xml:space="preserve">ROMANIUK </w:t>
      </w:r>
      <w:r w:rsidR="00262214" w:rsidRPr="00406FAA">
        <w:rPr>
          <w:bCs/>
          <w:lang w:val="pl-PL"/>
        </w:rPr>
        <w:t xml:space="preserve">przeciwko </w:t>
      </w:r>
      <w:r w:rsidRPr="00406FAA">
        <w:rPr>
          <w:bCs/>
          <w:lang w:val="pl-PL"/>
        </w:rPr>
        <w:t>POLSCE</w:t>
      </w:r>
    </w:p>
    <w:p w14:paraId="34EE1ED5" w14:textId="77777777" w:rsidR="00D74888" w:rsidRPr="00406FAA" w:rsidRDefault="00AD4CB9" w:rsidP="00432751">
      <w:pPr>
        <w:pStyle w:val="ECHRCoverTitle4"/>
        <w:rPr>
          <w:lang w:val="pl-PL"/>
        </w:rPr>
      </w:pPr>
      <w:r w:rsidRPr="00406FAA">
        <w:rPr>
          <w:iCs/>
          <w:lang w:val="pl-PL"/>
        </w:rPr>
        <w:t xml:space="preserve">(Skarga </w:t>
      </w:r>
      <w:r w:rsidR="005F33B3" w:rsidRPr="00406FAA">
        <w:rPr>
          <w:iCs/>
          <w:lang w:val="pl-PL"/>
        </w:rPr>
        <w:t>nr </w:t>
      </w:r>
      <w:r w:rsidRPr="00406FAA">
        <w:rPr>
          <w:iCs/>
          <w:lang w:val="pl-PL"/>
        </w:rPr>
        <w:t>42179/14)</w:t>
      </w:r>
    </w:p>
    <w:p w14:paraId="2E21AF0A" w14:textId="77777777" w:rsidR="0098410D" w:rsidRPr="00406FAA" w:rsidRDefault="0098410D" w:rsidP="00432751">
      <w:pPr>
        <w:pStyle w:val="DecHCase"/>
        <w:rPr>
          <w:lang w:val="pl-PL"/>
        </w:rPr>
      </w:pPr>
    </w:p>
    <w:p w14:paraId="5D44EE6B" w14:textId="77777777" w:rsidR="00364EAC" w:rsidRPr="00406FAA" w:rsidRDefault="00364EAC" w:rsidP="00364EAC">
      <w:pPr>
        <w:pStyle w:val="DecHCase"/>
        <w:rPr>
          <w:lang w:val="pl-PL"/>
        </w:rPr>
      </w:pPr>
    </w:p>
    <w:p w14:paraId="387B6C44" w14:textId="77777777" w:rsidR="00364EAC" w:rsidRPr="00406FAA" w:rsidRDefault="00364EAC" w:rsidP="00364EAC">
      <w:pPr>
        <w:pStyle w:val="DecHCase"/>
        <w:rPr>
          <w:lang w:val="pl-PL"/>
        </w:rPr>
      </w:pPr>
    </w:p>
    <w:p w14:paraId="71F54E08" w14:textId="77777777" w:rsidR="0098410D" w:rsidRPr="00406FAA" w:rsidRDefault="0098410D" w:rsidP="00432751">
      <w:pPr>
        <w:pStyle w:val="DecHCase"/>
        <w:rPr>
          <w:lang w:val="pl-PL"/>
        </w:rPr>
      </w:pPr>
    </w:p>
    <w:p w14:paraId="6ABF873C" w14:textId="77777777" w:rsidR="00FE7759" w:rsidRPr="00406FAA" w:rsidRDefault="00FE7759" w:rsidP="00432751">
      <w:pPr>
        <w:pStyle w:val="DecHCase"/>
        <w:rPr>
          <w:lang w:val="pl-PL"/>
        </w:rPr>
      </w:pPr>
    </w:p>
    <w:p w14:paraId="50B3EC3A" w14:textId="77777777" w:rsidR="00364EAC" w:rsidRPr="00406FAA" w:rsidRDefault="00AD4CB9" w:rsidP="00364EAC">
      <w:pPr>
        <w:pStyle w:val="DecHCase"/>
        <w:rPr>
          <w:lang w:val="pl-PL"/>
        </w:rPr>
      </w:pPr>
      <w:r w:rsidRPr="00406FAA">
        <w:rPr>
          <w:lang w:val="pl-PL"/>
        </w:rPr>
        <w:t>WYROK</w:t>
      </w:r>
      <w:r w:rsidRPr="00406FAA">
        <w:rPr>
          <w:lang w:val="pl-PL"/>
        </w:rPr>
        <w:br/>
      </w:r>
    </w:p>
    <w:p w14:paraId="217A4856" w14:textId="77777777" w:rsidR="00364EAC" w:rsidRPr="00406FAA" w:rsidRDefault="00364EAC" w:rsidP="00364EAC">
      <w:pPr>
        <w:pStyle w:val="DecHCase"/>
        <w:rPr>
          <w:lang w:val="pl-PL"/>
        </w:rPr>
      </w:pPr>
    </w:p>
    <w:p w14:paraId="6B35C7DB" w14:textId="77777777" w:rsidR="00364EAC" w:rsidRPr="00406FAA" w:rsidRDefault="00364EAC" w:rsidP="00364EAC">
      <w:pPr>
        <w:pStyle w:val="DecHCase"/>
        <w:rPr>
          <w:lang w:val="pl-PL"/>
        </w:rPr>
      </w:pPr>
    </w:p>
    <w:p w14:paraId="09411ABE" w14:textId="77777777" w:rsidR="0098410D" w:rsidRPr="00406FAA" w:rsidRDefault="0098410D" w:rsidP="00432751">
      <w:pPr>
        <w:pStyle w:val="DecHCase"/>
        <w:rPr>
          <w:lang w:val="pl-PL"/>
        </w:rPr>
      </w:pPr>
    </w:p>
    <w:p w14:paraId="21AB9A01" w14:textId="77777777" w:rsidR="0098410D" w:rsidRPr="00406FAA" w:rsidRDefault="00AD4CB9" w:rsidP="00432751">
      <w:pPr>
        <w:pStyle w:val="DecHCase"/>
        <w:rPr>
          <w:lang w:val="pl-PL"/>
        </w:rPr>
      </w:pPr>
      <w:r w:rsidRPr="00406FAA">
        <w:rPr>
          <w:lang w:val="pl-PL"/>
        </w:rPr>
        <w:t>STRASBURG</w:t>
      </w:r>
    </w:p>
    <w:p w14:paraId="4F3FEDEE" w14:textId="77777777" w:rsidR="0098410D" w:rsidRPr="00406FAA" w:rsidRDefault="00AD4CB9" w:rsidP="00432751">
      <w:pPr>
        <w:pStyle w:val="DecHCase"/>
        <w:rPr>
          <w:lang w:val="pl-PL"/>
        </w:rPr>
      </w:pPr>
      <w:r w:rsidRPr="00406FAA">
        <w:rPr>
          <w:rFonts w:ascii="Times New Roman" w:hAnsi="Times New Roman" w:cs="Times New Roman"/>
          <w:lang w:val="pl-PL"/>
        </w:rPr>
        <w:t>26</w:t>
      </w:r>
      <w:r w:rsidR="005F33B3" w:rsidRPr="00406FAA">
        <w:rPr>
          <w:rFonts w:ascii="Times New Roman" w:hAnsi="Times New Roman" w:cs="Times New Roman"/>
          <w:lang w:val="pl-PL"/>
        </w:rPr>
        <w:t> </w:t>
      </w:r>
      <w:r w:rsidRPr="00406FAA">
        <w:rPr>
          <w:rFonts w:ascii="Times New Roman" w:hAnsi="Times New Roman" w:cs="Times New Roman"/>
          <w:lang w:val="pl-PL"/>
        </w:rPr>
        <w:t>października 2023 r.</w:t>
      </w:r>
    </w:p>
    <w:p w14:paraId="6297ADEF" w14:textId="77777777" w:rsidR="002422B6" w:rsidRPr="00406FAA" w:rsidRDefault="00AD4CB9" w:rsidP="00432751">
      <w:pPr>
        <w:rPr>
          <w:i/>
          <w:sz w:val="22"/>
          <w:lang w:val="pl-PL"/>
        </w:rPr>
      </w:pPr>
      <w:r w:rsidRPr="00406FAA">
        <w:rPr>
          <w:i/>
          <w:iCs/>
          <w:sz w:val="22"/>
          <w:lang w:val="pl-PL"/>
        </w:rPr>
        <w:t>Wyrok ten jest ostateczny, ale może podlegać korekcie wydawniczej.</w:t>
      </w:r>
    </w:p>
    <w:p w14:paraId="6FF887EE" w14:textId="77777777" w:rsidR="0098410D" w:rsidRPr="00406FAA" w:rsidRDefault="0098410D" w:rsidP="00432751">
      <w:pPr>
        <w:rPr>
          <w:lang w:val="pl-PL"/>
        </w:rPr>
        <w:sectPr w:rsidR="0098410D" w:rsidRPr="00406FAA"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C83BB0F" w14:textId="77777777" w:rsidR="0098410D" w:rsidRPr="00406FAA" w:rsidRDefault="00AD4CB9" w:rsidP="00432751">
      <w:pPr>
        <w:pStyle w:val="JuCase"/>
        <w:rPr>
          <w:lang w:val="pl-PL"/>
        </w:rPr>
      </w:pPr>
      <w:r w:rsidRPr="00406FAA">
        <w:rPr>
          <w:bCs/>
          <w:lang w:val="pl-PL"/>
        </w:rPr>
        <w:lastRenderedPageBreak/>
        <w:t>W sprawie Romaniuk przeciwko Polsce</w:t>
      </w:r>
    </w:p>
    <w:p w14:paraId="54AC0331" w14:textId="77777777" w:rsidR="009F4C8F" w:rsidRPr="00406FAA" w:rsidRDefault="00AD4CB9" w:rsidP="00432751">
      <w:pPr>
        <w:pStyle w:val="JuPara"/>
        <w:rPr>
          <w:lang w:val="pl-PL"/>
        </w:rPr>
      </w:pPr>
      <w:r w:rsidRPr="00406FAA">
        <w:rPr>
          <w:lang w:val="pl-PL"/>
        </w:rPr>
        <w:t>Europejski Trybunał Praw Człowieka (pierwsza sekcja), zasiadając jako Komitet</w:t>
      </w:r>
      <w:r w:rsidR="0068649A" w:rsidRPr="00406FAA">
        <w:rPr>
          <w:lang w:val="pl-PL"/>
        </w:rPr>
        <w:t xml:space="preserve"> w </w:t>
      </w:r>
      <w:r w:rsidRPr="00406FAA">
        <w:rPr>
          <w:lang w:val="pl-PL"/>
        </w:rPr>
        <w:t>składzie:</w:t>
      </w:r>
    </w:p>
    <w:p w14:paraId="66035959" w14:textId="77777777" w:rsidR="00A92625" w:rsidRPr="00406FAA" w:rsidRDefault="00AD4CB9" w:rsidP="00432751">
      <w:pPr>
        <w:pStyle w:val="JuJudges"/>
        <w:rPr>
          <w:lang w:val="pl-PL"/>
        </w:rPr>
      </w:pPr>
      <w:r w:rsidRPr="00406FAA">
        <w:rPr>
          <w:lang w:val="pl-PL"/>
        </w:rPr>
        <w:tab/>
        <w:t xml:space="preserve">Ivana </w:t>
      </w:r>
      <w:proofErr w:type="spellStart"/>
      <w:r w:rsidRPr="00406FAA">
        <w:rPr>
          <w:lang w:val="pl-PL"/>
        </w:rPr>
        <w:t>Jelić</w:t>
      </w:r>
      <w:proofErr w:type="spellEnd"/>
      <w:r w:rsidRPr="00406FAA">
        <w:rPr>
          <w:lang w:val="pl-PL"/>
        </w:rPr>
        <w:t xml:space="preserve">, </w:t>
      </w:r>
      <w:r w:rsidRPr="00406FAA">
        <w:rPr>
          <w:i/>
          <w:iCs/>
          <w:lang w:val="pl-PL"/>
        </w:rPr>
        <w:t>Przewodnicząca</w:t>
      </w:r>
      <w:r w:rsidRPr="00406FAA">
        <w:rPr>
          <w:lang w:val="pl-PL"/>
        </w:rPr>
        <w:t>,</w:t>
      </w:r>
      <w:r w:rsidRPr="00406FAA">
        <w:rPr>
          <w:lang w:val="pl-PL"/>
        </w:rPr>
        <w:br/>
      </w:r>
      <w:r w:rsidRPr="00406FAA">
        <w:rPr>
          <w:lang w:val="pl-PL"/>
        </w:rPr>
        <w:tab/>
        <w:t xml:space="preserve">Krzysztof </w:t>
      </w:r>
      <w:proofErr w:type="spellStart"/>
      <w:r w:rsidRPr="00406FAA">
        <w:rPr>
          <w:lang w:val="pl-PL"/>
        </w:rPr>
        <w:t>Wojtyczek</w:t>
      </w:r>
      <w:proofErr w:type="spellEnd"/>
      <w:r w:rsidRPr="00406FAA">
        <w:rPr>
          <w:lang w:val="pl-PL"/>
        </w:rPr>
        <w:t>,</w:t>
      </w:r>
      <w:r w:rsidRPr="00406FAA">
        <w:rPr>
          <w:lang w:val="pl-PL"/>
        </w:rPr>
        <w:br/>
      </w:r>
      <w:r w:rsidRPr="00406FAA">
        <w:rPr>
          <w:lang w:val="pl-PL"/>
        </w:rPr>
        <w:tab/>
        <w:t xml:space="preserve">Erik </w:t>
      </w:r>
      <w:proofErr w:type="spellStart"/>
      <w:r w:rsidRPr="00406FAA">
        <w:rPr>
          <w:lang w:val="pl-PL"/>
        </w:rPr>
        <w:t>Wennerström</w:t>
      </w:r>
      <w:proofErr w:type="spellEnd"/>
      <w:r w:rsidRPr="00406FAA">
        <w:rPr>
          <w:lang w:val="pl-PL"/>
        </w:rPr>
        <w:t xml:space="preserve">, </w:t>
      </w:r>
      <w:r w:rsidRPr="00406FAA">
        <w:rPr>
          <w:i/>
          <w:iCs/>
          <w:lang w:val="pl-PL"/>
        </w:rPr>
        <w:t>Sędziowie</w:t>
      </w:r>
      <w:r w:rsidRPr="00406FAA">
        <w:rPr>
          <w:lang w:val="pl-PL"/>
        </w:rPr>
        <w:t>,</w:t>
      </w:r>
      <w:r w:rsidRPr="00406FAA">
        <w:rPr>
          <w:lang w:val="pl-PL"/>
        </w:rPr>
        <w:br/>
        <w:t xml:space="preserve">oraz </w:t>
      </w:r>
      <w:proofErr w:type="spellStart"/>
      <w:r w:rsidRPr="00406FAA">
        <w:rPr>
          <w:lang w:val="pl-PL"/>
        </w:rPr>
        <w:t>Liv</w:t>
      </w:r>
      <w:proofErr w:type="spellEnd"/>
      <w:r w:rsidRPr="00406FAA">
        <w:rPr>
          <w:lang w:val="pl-PL"/>
        </w:rPr>
        <w:t xml:space="preserve"> </w:t>
      </w:r>
      <w:proofErr w:type="spellStart"/>
      <w:r w:rsidRPr="00406FAA">
        <w:rPr>
          <w:lang w:val="pl-PL"/>
        </w:rPr>
        <w:t>Tigerstedt</w:t>
      </w:r>
      <w:proofErr w:type="spellEnd"/>
      <w:r w:rsidRPr="00406FAA">
        <w:rPr>
          <w:lang w:val="pl-PL"/>
        </w:rPr>
        <w:t xml:space="preserve">, </w:t>
      </w:r>
      <w:r w:rsidRPr="007F615C">
        <w:rPr>
          <w:i/>
          <w:iCs/>
          <w:lang w:val="pl-PL"/>
        </w:rPr>
        <w:t>Zastępczyni Kanclerza Sekcji</w:t>
      </w:r>
      <w:r w:rsidRPr="00406FAA">
        <w:rPr>
          <w:lang w:val="pl-PL"/>
        </w:rPr>
        <w:t>,</w:t>
      </w:r>
    </w:p>
    <w:p w14:paraId="29879069" w14:textId="77777777" w:rsidR="00F97474" w:rsidRPr="00406FAA" w:rsidRDefault="00AD4CB9" w:rsidP="00432751">
      <w:pPr>
        <w:pStyle w:val="JuPara"/>
        <w:rPr>
          <w:lang w:val="pl-PL"/>
        </w:rPr>
      </w:pPr>
      <w:r w:rsidRPr="00406FAA">
        <w:rPr>
          <w:lang w:val="pl-PL"/>
        </w:rPr>
        <w:t>mając na uwadze:</w:t>
      </w:r>
    </w:p>
    <w:p w14:paraId="50BBE742" w14:textId="446056D0" w:rsidR="00F97474" w:rsidRPr="00406FAA" w:rsidRDefault="00AD4CB9" w:rsidP="00432751">
      <w:pPr>
        <w:pStyle w:val="JuPara"/>
        <w:rPr>
          <w:lang w:val="pl-PL"/>
        </w:rPr>
      </w:pPr>
      <w:r w:rsidRPr="00406FAA">
        <w:rPr>
          <w:lang w:val="pl-PL"/>
        </w:rPr>
        <w:t>skargę (</w:t>
      </w:r>
      <w:r w:rsidR="005F33B3" w:rsidRPr="00406FAA">
        <w:rPr>
          <w:lang w:val="pl-PL"/>
        </w:rPr>
        <w:t>nr </w:t>
      </w:r>
      <w:r w:rsidRPr="00406FAA">
        <w:rPr>
          <w:lang w:val="pl-PL"/>
        </w:rPr>
        <w:t>42179/14) przeciwko Rzeczypospolitej Polskiej wniesioną do Trybunału</w:t>
      </w:r>
      <w:r w:rsidR="0068649A" w:rsidRPr="00406FAA">
        <w:rPr>
          <w:lang w:val="pl-PL"/>
        </w:rPr>
        <w:t xml:space="preserve"> w </w:t>
      </w:r>
      <w:r w:rsidRPr="00406FAA">
        <w:rPr>
          <w:lang w:val="pl-PL"/>
        </w:rPr>
        <w:t xml:space="preserve">dniu 7 maja 2014 r. na podstawie </w:t>
      </w:r>
      <w:r w:rsidR="005F33B3" w:rsidRPr="00406FAA">
        <w:rPr>
          <w:lang w:val="pl-PL"/>
        </w:rPr>
        <w:t>art. </w:t>
      </w:r>
      <w:r w:rsidRPr="00406FAA">
        <w:rPr>
          <w:lang w:val="pl-PL"/>
        </w:rPr>
        <w:t>34 Konwencji</w:t>
      </w:r>
      <w:r w:rsidR="005F33B3" w:rsidRPr="00406FAA">
        <w:rPr>
          <w:lang w:val="pl-PL"/>
        </w:rPr>
        <w:t xml:space="preserve"> o </w:t>
      </w:r>
      <w:r w:rsidRPr="00406FAA">
        <w:rPr>
          <w:lang w:val="pl-PL"/>
        </w:rPr>
        <w:t>ochronie praw człowieka</w:t>
      </w:r>
      <w:r w:rsidR="005F33B3" w:rsidRPr="00406FAA">
        <w:rPr>
          <w:lang w:val="pl-PL"/>
        </w:rPr>
        <w:t xml:space="preserve"> i </w:t>
      </w:r>
      <w:r w:rsidRPr="00406FAA">
        <w:rPr>
          <w:lang w:val="pl-PL"/>
        </w:rPr>
        <w:t>podstawowych wolności („Konwencja”) przez obywatela polskiego Tomasza Romaniuka („skarżący”), urodzonego</w:t>
      </w:r>
      <w:r w:rsidR="0068649A" w:rsidRPr="00406FAA">
        <w:rPr>
          <w:lang w:val="pl-PL"/>
        </w:rPr>
        <w:t xml:space="preserve"> w </w:t>
      </w:r>
      <w:r w:rsidRPr="00406FAA">
        <w:rPr>
          <w:lang w:val="pl-PL"/>
        </w:rPr>
        <w:t>1985 r.</w:t>
      </w:r>
      <w:r w:rsidR="005F33B3" w:rsidRPr="00406FAA">
        <w:rPr>
          <w:lang w:val="pl-PL"/>
        </w:rPr>
        <w:t xml:space="preserve"> i </w:t>
      </w:r>
      <w:r w:rsidRPr="00406FAA">
        <w:rPr>
          <w:lang w:val="pl-PL"/>
        </w:rPr>
        <w:t>osadzonego</w:t>
      </w:r>
      <w:r w:rsidR="0068649A" w:rsidRPr="00406FAA">
        <w:rPr>
          <w:lang w:val="pl-PL"/>
        </w:rPr>
        <w:t xml:space="preserve"> w </w:t>
      </w:r>
      <w:r w:rsidRPr="00406FAA">
        <w:rPr>
          <w:lang w:val="pl-PL"/>
        </w:rPr>
        <w:t xml:space="preserve">Sokołowie Podlaskim, reprezentowanego przez </w:t>
      </w:r>
      <w:bookmarkStart w:id="0" w:name="_Hlk149069438"/>
      <w:r w:rsidRPr="00406FAA">
        <w:rPr>
          <w:lang w:val="pl-PL"/>
        </w:rPr>
        <w:t>P. Sieńkę</w:t>
      </w:r>
      <w:bookmarkEnd w:id="0"/>
      <w:r w:rsidRPr="00406FAA">
        <w:rPr>
          <w:lang w:val="pl-PL"/>
        </w:rPr>
        <w:t>, prawnika praktykującego</w:t>
      </w:r>
      <w:r w:rsidR="0068649A" w:rsidRPr="00406FAA">
        <w:rPr>
          <w:lang w:val="pl-PL"/>
        </w:rPr>
        <w:t xml:space="preserve"> w </w:t>
      </w:r>
      <w:r w:rsidRPr="00406FAA">
        <w:rPr>
          <w:lang w:val="pl-PL"/>
        </w:rPr>
        <w:t>Warszawie;</w:t>
      </w:r>
    </w:p>
    <w:p w14:paraId="53A3A405" w14:textId="3EEF426E" w:rsidR="00F97474" w:rsidRPr="00406FAA" w:rsidRDefault="00AD4CB9" w:rsidP="00432751">
      <w:pPr>
        <w:pStyle w:val="JuPara"/>
        <w:rPr>
          <w:lang w:val="pl-PL"/>
        </w:rPr>
      </w:pPr>
      <w:r w:rsidRPr="00406FAA">
        <w:rPr>
          <w:lang w:val="pl-PL"/>
        </w:rPr>
        <w:t>decyzję</w:t>
      </w:r>
      <w:r w:rsidR="005F33B3" w:rsidRPr="00406FAA">
        <w:rPr>
          <w:lang w:val="pl-PL"/>
        </w:rPr>
        <w:t xml:space="preserve"> o </w:t>
      </w:r>
      <w:r w:rsidRPr="00406FAA">
        <w:rPr>
          <w:lang w:val="pl-PL"/>
        </w:rPr>
        <w:t xml:space="preserve">zakomunikowaniu skargi </w:t>
      </w:r>
      <w:r w:rsidR="00925E6D">
        <w:rPr>
          <w:lang w:val="pl-PL"/>
        </w:rPr>
        <w:t>r</w:t>
      </w:r>
      <w:r w:rsidRPr="00406FAA">
        <w:rPr>
          <w:lang w:val="pl-PL"/>
        </w:rPr>
        <w:t>ządowi polskiemu („Rząd”), reprezentowanemu przez jego pełnomocnika J. Sobczaka</w:t>
      </w:r>
      <w:r w:rsidR="0068649A" w:rsidRPr="00406FAA">
        <w:rPr>
          <w:lang w:val="pl-PL"/>
        </w:rPr>
        <w:t xml:space="preserve"> z </w:t>
      </w:r>
      <w:r w:rsidRPr="00406FAA">
        <w:rPr>
          <w:lang w:val="pl-PL"/>
        </w:rPr>
        <w:t>Ministerstwa Spraw Zagranicznych;</w:t>
      </w:r>
    </w:p>
    <w:p w14:paraId="47D833E0" w14:textId="77777777" w:rsidR="00F97474" w:rsidRPr="00406FAA" w:rsidRDefault="00AD4CB9" w:rsidP="00432751">
      <w:pPr>
        <w:pStyle w:val="JuPara"/>
        <w:rPr>
          <w:lang w:val="pl-PL"/>
        </w:rPr>
      </w:pPr>
      <w:r w:rsidRPr="00406FAA">
        <w:rPr>
          <w:lang w:val="pl-PL"/>
        </w:rPr>
        <w:t>stanowiska stron;</w:t>
      </w:r>
    </w:p>
    <w:p w14:paraId="4C4AECF8" w14:textId="77777777" w:rsidR="009F4C8F" w:rsidRPr="00406FAA" w:rsidRDefault="00AD4CB9" w:rsidP="00432751">
      <w:pPr>
        <w:pStyle w:val="JuPara"/>
        <w:rPr>
          <w:lang w:val="pl-PL"/>
        </w:rPr>
      </w:pPr>
      <w:r w:rsidRPr="00406FAA">
        <w:rPr>
          <w:lang w:val="pl-PL"/>
        </w:rPr>
        <w:t>obradując na posiedzeniu niejawnym</w:t>
      </w:r>
      <w:r w:rsidR="0068649A" w:rsidRPr="00406FAA">
        <w:rPr>
          <w:lang w:val="pl-PL"/>
        </w:rPr>
        <w:t xml:space="preserve"> w </w:t>
      </w:r>
      <w:r w:rsidRPr="00406FAA">
        <w:rPr>
          <w:lang w:val="pl-PL"/>
        </w:rPr>
        <w:t>dniu 3 października 2023 r.,</w:t>
      </w:r>
    </w:p>
    <w:p w14:paraId="7171C2B4" w14:textId="77777777" w:rsidR="009F4C8F" w:rsidRPr="00406FAA" w:rsidRDefault="00AD4CB9" w:rsidP="00432751">
      <w:pPr>
        <w:pStyle w:val="JuPara"/>
        <w:rPr>
          <w:lang w:val="pl-PL"/>
        </w:rPr>
      </w:pPr>
      <w:r w:rsidRPr="00406FAA">
        <w:rPr>
          <w:lang w:val="pl-PL"/>
        </w:rPr>
        <w:t>wydaje następujący wyrok, który został przyjęty</w:t>
      </w:r>
      <w:r w:rsidR="0068649A" w:rsidRPr="00406FAA">
        <w:rPr>
          <w:lang w:val="pl-PL"/>
        </w:rPr>
        <w:t xml:space="preserve"> w </w:t>
      </w:r>
      <w:r w:rsidRPr="00406FAA">
        <w:rPr>
          <w:lang w:val="pl-PL"/>
        </w:rPr>
        <w:t>tym dniu:</w:t>
      </w:r>
    </w:p>
    <w:p w14:paraId="344760B6" w14:textId="77777777" w:rsidR="00F97474" w:rsidRPr="00406FAA" w:rsidRDefault="00AD4CB9" w:rsidP="00432751">
      <w:pPr>
        <w:pStyle w:val="JuHHead"/>
        <w:numPr>
          <w:ilvl w:val="0"/>
          <w:numId w:val="0"/>
        </w:numPr>
        <w:rPr>
          <w:lang w:val="pl-PL"/>
        </w:rPr>
      </w:pPr>
      <w:r w:rsidRPr="00406FAA">
        <w:rPr>
          <w:bCs w:val="0"/>
          <w:lang w:val="pl-PL"/>
        </w:rPr>
        <w:t>PRZEDMIOT SPRAWY</w:t>
      </w:r>
    </w:p>
    <w:p w14:paraId="3156008F"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w:t>
      </w:r>
      <w:r w:rsidRPr="00406FAA">
        <w:rPr>
          <w:lang w:val="pl-PL"/>
        </w:rPr>
        <w:fldChar w:fldCharType="end"/>
      </w:r>
      <w:r w:rsidR="00AD4CB9" w:rsidRPr="00406FAA">
        <w:rPr>
          <w:lang w:val="pl-PL"/>
        </w:rPr>
        <w:t>.  Kwestią sporną</w:t>
      </w:r>
      <w:r w:rsidR="0068649A" w:rsidRPr="00406FAA">
        <w:rPr>
          <w:lang w:val="pl-PL"/>
        </w:rPr>
        <w:t xml:space="preserve"> w </w:t>
      </w:r>
      <w:r w:rsidR="00AD4CB9" w:rsidRPr="00406FAA">
        <w:rPr>
          <w:lang w:val="pl-PL"/>
        </w:rPr>
        <w:t>sprawie jest to, czy postępowanie karne przeciwko skarżącemu było sprawiedliwe, biorąc pod uwagę, że nie miał on możliwości przesłuchania ani spowodowania przesłuchania współoskarżonego, którego zeznania miały decydujące znaczenie dla jego skazania.</w:t>
      </w:r>
    </w:p>
    <w:p w14:paraId="4B602AA4"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w:t>
      </w:r>
      <w:r w:rsidRPr="00406FAA">
        <w:rPr>
          <w:lang w:val="pl-PL"/>
        </w:rPr>
        <w:fldChar w:fldCharType="end"/>
      </w:r>
      <w:r w:rsidR="00AD4CB9" w:rsidRPr="00406FAA">
        <w:rPr>
          <w:lang w:val="pl-PL"/>
        </w:rPr>
        <w:t>.  W dniu 8 sierpnia 2008 r. dwa rywalizujące ze sobą gangi przestępcze wzięły udział</w:t>
      </w:r>
      <w:r w:rsidR="0068649A" w:rsidRPr="00406FAA">
        <w:rPr>
          <w:lang w:val="pl-PL"/>
        </w:rPr>
        <w:t xml:space="preserve"> w </w:t>
      </w:r>
      <w:r w:rsidR="00AD4CB9" w:rsidRPr="00406FAA">
        <w:rPr>
          <w:lang w:val="pl-PL"/>
        </w:rPr>
        <w:t>bójce</w:t>
      </w:r>
      <w:r w:rsidR="0068649A" w:rsidRPr="00406FAA">
        <w:rPr>
          <w:lang w:val="pl-PL"/>
        </w:rPr>
        <w:t xml:space="preserve"> w </w:t>
      </w:r>
      <w:r w:rsidR="00AD4CB9" w:rsidRPr="00406FAA">
        <w:rPr>
          <w:lang w:val="pl-PL"/>
        </w:rPr>
        <w:t>związku</w:t>
      </w:r>
      <w:r w:rsidR="0068649A" w:rsidRPr="00406FAA">
        <w:rPr>
          <w:lang w:val="pl-PL"/>
        </w:rPr>
        <w:t xml:space="preserve"> z </w:t>
      </w:r>
      <w:r w:rsidR="00AD4CB9" w:rsidRPr="00406FAA">
        <w:rPr>
          <w:lang w:val="pl-PL"/>
        </w:rPr>
        <w:t>nieformalną ochroną restauracji</w:t>
      </w:r>
      <w:r w:rsidR="0068649A" w:rsidRPr="00406FAA">
        <w:rPr>
          <w:lang w:val="pl-PL"/>
        </w:rPr>
        <w:t xml:space="preserve"> w </w:t>
      </w:r>
      <w:r w:rsidR="00AD4CB9" w:rsidRPr="00406FAA">
        <w:rPr>
          <w:lang w:val="pl-PL"/>
        </w:rPr>
        <w:t>O.M. Wielu uczestników miało przy sobie broń do walki wręcz,</w:t>
      </w:r>
      <w:r w:rsidR="005F33B3" w:rsidRPr="00406FAA">
        <w:rPr>
          <w:lang w:val="pl-PL"/>
        </w:rPr>
        <w:t xml:space="preserve"> a </w:t>
      </w:r>
      <w:r w:rsidR="00AD4CB9" w:rsidRPr="00406FAA">
        <w:rPr>
          <w:lang w:val="pl-PL"/>
        </w:rPr>
        <w:t>kilka osób oddało wiele strzałów. Cztery osoby odniosły rany postrzałowe,</w:t>
      </w:r>
      <w:r w:rsidR="005F33B3" w:rsidRPr="00406FAA">
        <w:rPr>
          <w:lang w:val="pl-PL"/>
        </w:rPr>
        <w:t xml:space="preserve"> a </w:t>
      </w:r>
      <w:r w:rsidR="00AD4CB9" w:rsidRPr="00406FAA">
        <w:rPr>
          <w:lang w:val="pl-PL"/>
        </w:rPr>
        <w:t>jedna osoba</w:t>
      </w:r>
      <w:r w:rsidR="0068649A" w:rsidRPr="00406FAA">
        <w:rPr>
          <w:lang w:val="pl-PL"/>
        </w:rPr>
        <w:t xml:space="preserve"> w </w:t>
      </w:r>
      <w:r w:rsidR="00AD4CB9" w:rsidRPr="00406FAA">
        <w:rPr>
          <w:lang w:val="pl-PL"/>
        </w:rPr>
        <w:t>rezultacie zmarła.</w:t>
      </w:r>
    </w:p>
    <w:p w14:paraId="4350B45D" w14:textId="7BD439C5"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w:t>
      </w:r>
      <w:r w:rsidRPr="00406FAA">
        <w:rPr>
          <w:lang w:val="pl-PL"/>
        </w:rPr>
        <w:fldChar w:fldCharType="end"/>
      </w:r>
      <w:r w:rsidR="00AD4CB9" w:rsidRPr="00406FAA">
        <w:rPr>
          <w:lang w:val="pl-PL"/>
        </w:rPr>
        <w:t>.  Skarżący został osądzony wraz</w:t>
      </w:r>
      <w:r w:rsidR="0068649A" w:rsidRPr="00406FAA">
        <w:rPr>
          <w:lang w:val="pl-PL"/>
        </w:rPr>
        <w:t xml:space="preserve"> z </w:t>
      </w:r>
      <w:r w:rsidR="00AD4CB9" w:rsidRPr="00406FAA">
        <w:rPr>
          <w:lang w:val="pl-PL"/>
        </w:rPr>
        <w:t>19 innymi oskarżonymi za udział</w:t>
      </w:r>
      <w:r w:rsidR="0068649A" w:rsidRPr="00406FAA">
        <w:rPr>
          <w:lang w:val="pl-PL"/>
        </w:rPr>
        <w:t xml:space="preserve"> w </w:t>
      </w:r>
      <w:r w:rsidR="00AD4CB9" w:rsidRPr="00406FAA">
        <w:rPr>
          <w:lang w:val="pl-PL"/>
        </w:rPr>
        <w:t>bójce</w:t>
      </w:r>
      <w:r w:rsidR="0068649A" w:rsidRPr="00406FAA">
        <w:rPr>
          <w:lang w:val="pl-PL"/>
        </w:rPr>
        <w:t xml:space="preserve"> z </w:t>
      </w:r>
      <w:r w:rsidR="00AD4CB9" w:rsidRPr="00406FAA">
        <w:rPr>
          <w:lang w:val="pl-PL"/>
        </w:rPr>
        <w:t>użyciem niebezpiecznych przedmiotów (</w:t>
      </w:r>
      <w:r w:rsidR="005F33B3" w:rsidRPr="00406FAA">
        <w:rPr>
          <w:lang w:val="pl-PL"/>
        </w:rPr>
        <w:t>art. </w:t>
      </w:r>
      <w:r w:rsidR="00AD4CB9" w:rsidRPr="00406FAA">
        <w:rPr>
          <w:lang w:val="pl-PL"/>
        </w:rPr>
        <w:t>159 Kodeksu karnego). Na podstawie zeznań złożonych przez jednego ze współoskarżonych (R.W., który brał udział</w:t>
      </w:r>
      <w:r w:rsidR="0068649A" w:rsidRPr="00406FAA">
        <w:rPr>
          <w:lang w:val="pl-PL"/>
        </w:rPr>
        <w:t xml:space="preserve"> w </w:t>
      </w:r>
      <w:r w:rsidR="00AD4CB9" w:rsidRPr="00406FAA">
        <w:rPr>
          <w:lang w:val="pl-PL"/>
        </w:rPr>
        <w:t>bójce po tej samej stronie co skarżący) skarżącemu postawiono również zarzut nielegalnego posiadania broni palnej (</w:t>
      </w:r>
      <w:r w:rsidR="005F33B3" w:rsidRPr="00406FAA">
        <w:rPr>
          <w:lang w:val="pl-PL"/>
        </w:rPr>
        <w:t>art. </w:t>
      </w:r>
      <w:r w:rsidR="00AD4CB9" w:rsidRPr="00406FAA">
        <w:rPr>
          <w:lang w:val="pl-PL"/>
        </w:rPr>
        <w:t xml:space="preserve">263 </w:t>
      </w:r>
      <w:r w:rsidR="005F33B3" w:rsidRPr="00406FAA">
        <w:rPr>
          <w:lang w:val="pl-PL"/>
        </w:rPr>
        <w:t>§ </w:t>
      </w:r>
      <w:r w:rsidR="00AD4CB9" w:rsidRPr="00406FAA">
        <w:rPr>
          <w:lang w:val="pl-PL"/>
        </w:rPr>
        <w:t>2 Kodeksu karnego), użycia tej broni podczas przedmiotowych wydarzeń</w:t>
      </w:r>
      <w:r w:rsidR="005F33B3" w:rsidRPr="00406FAA">
        <w:rPr>
          <w:lang w:val="pl-PL"/>
        </w:rPr>
        <w:t xml:space="preserve"> i </w:t>
      </w:r>
      <w:r w:rsidR="00AD4CB9" w:rsidRPr="00406FAA">
        <w:rPr>
          <w:lang w:val="pl-PL"/>
        </w:rPr>
        <w:t>postrzelenia wszystkich czterech ofiar,</w:t>
      </w:r>
      <w:r w:rsidR="0068649A" w:rsidRPr="00406FAA">
        <w:rPr>
          <w:lang w:val="pl-PL"/>
        </w:rPr>
        <w:t xml:space="preserve"> w </w:t>
      </w:r>
      <w:r w:rsidR="00AD4CB9" w:rsidRPr="00406FAA">
        <w:rPr>
          <w:lang w:val="pl-PL"/>
        </w:rPr>
        <w:t>tym jednej ze skutkiem śmiertelnym (</w:t>
      </w:r>
      <w:r w:rsidR="005F33B3" w:rsidRPr="00406FAA">
        <w:rPr>
          <w:lang w:val="pl-PL"/>
        </w:rPr>
        <w:t>art. </w:t>
      </w:r>
      <w:r w:rsidR="00AD4CB9" w:rsidRPr="00406FAA">
        <w:rPr>
          <w:lang w:val="pl-PL"/>
        </w:rPr>
        <w:t xml:space="preserve">148 </w:t>
      </w:r>
      <w:r w:rsidR="005F33B3" w:rsidRPr="00406FAA">
        <w:rPr>
          <w:lang w:val="pl-PL"/>
        </w:rPr>
        <w:t>§ </w:t>
      </w:r>
      <w:r w:rsidR="00AD4CB9" w:rsidRPr="00406FAA">
        <w:rPr>
          <w:lang w:val="pl-PL"/>
        </w:rPr>
        <w:t xml:space="preserve">1, </w:t>
      </w:r>
      <w:r w:rsidR="005F33B3" w:rsidRPr="00406FAA">
        <w:rPr>
          <w:lang w:val="pl-PL"/>
        </w:rPr>
        <w:t>art. </w:t>
      </w:r>
      <w:r w:rsidR="00AD4CB9" w:rsidRPr="00406FAA">
        <w:rPr>
          <w:lang w:val="pl-PL"/>
        </w:rPr>
        <w:t xml:space="preserve">156 </w:t>
      </w:r>
      <w:r w:rsidR="005F33B3" w:rsidRPr="00406FAA">
        <w:rPr>
          <w:lang w:val="pl-PL"/>
        </w:rPr>
        <w:t>§ </w:t>
      </w:r>
      <w:r w:rsidR="00AD4CB9" w:rsidRPr="00406FAA">
        <w:rPr>
          <w:lang w:val="pl-PL"/>
        </w:rPr>
        <w:t>1</w:t>
      </w:r>
      <w:r w:rsidR="005F33B3" w:rsidRPr="00406FAA">
        <w:rPr>
          <w:lang w:val="pl-PL"/>
        </w:rPr>
        <w:t xml:space="preserve"> i art. </w:t>
      </w:r>
      <w:r w:rsidR="00AD4CB9" w:rsidRPr="00406FAA">
        <w:rPr>
          <w:lang w:val="pl-PL"/>
        </w:rPr>
        <w:t xml:space="preserve">157 </w:t>
      </w:r>
      <w:r w:rsidR="005F33B3" w:rsidRPr="00406FAA">
        <w:rPr>
          <w:lang w:val="pl-PL"/>
        </w:rPr>
        <w:t>§ </w:t>
      </w:r>
      <w:r w:rsidR="00AD4CB9" w:rsidRPr="00406FAA">
        <w:rPr>
          <w:lang w:val="pl-PL"/>
        </w:rPr>
        <w:t>1 Kodeksu karnego). W toku całego postępowania krajowego skarżący był reprezentowany przez obrońców.</w:t>
      </w:r>
    </w:p>
    <w:p w14:paraId="0A242503"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w:instrText>
      </w:r>
      <w:r w:rsidRPr="00406FAA">
        <w:rPr>
          <w:lang w:val="pl-PL"/>
        </w:rPr>
        <w:fldChar w:fldCharType="separate"/>
      </w:r>
      <w:r w:rsidR="00AD4CB9" w:rsidRPr="00406FAA">
        <w:rPr>
          <w:lang w:val="pl-PL"/>
        </w:rPr>
        <w:t>4</w:t>
      </w:r>
      <w:r w:rsidRPr="00406FAA">
        <w:rPr>
          <w:lang w:val="pl-PL"/>
        </w:rPr>
        <w:fldChar w:fldCharType="end"/>
      </w:r>
      <w:r w:rsidR="00AD4CB9" w:rsidRPr="00406FAA">
        <w:rPr>
          <w:lang w:val="pl-PL"/>
        </w:rPr>
        <w:t xml:space="preserve">.  W ramach śledztwa R.W. był dziewięciokrotnie przesłuchiwany przez prokuratora pod nieobecność skarżącego lub jego obrońcy. Podczas </w:t>
      </w:r>
      <w:r w:rsidR="00AD4CB9" w:rsidRPr="00406FAA">
        <w:rPr>
          <w:lang w:val="pl-PL"/>
        </w:rPr>
        <w:lastRenderedPageBreak/>
        <w:t>pierwszego przesłuchania R.W. nie zidentyfikował strzelającego. Podczas drugiego przesłuchania podał pseudonim przestępczy strzelającego,</w:t>
      </w:r>
      <w:r w:rsidR="005F33B3" w:rsidRPr="00406FAA">
        <w:rPr>
          <w:lang w:val="pl-PL"/>
        </w:rPr>
        <w:t xml:space="preserve"> a </w:t>
      </w:r>
      <w:r w:rsidR="00AD4CB9" w:rsidRPr="00406FAA">
        <w:rPr>
          <w:lang w:val="pl-PL"/>
        </w:rPr>
        <w:t>następnie rozpoznał skarżącego na fotografii. Zeznania R.W. identyfikujące skarżącego nie były</w:t>
      </w:r>
      <w:r w:rsidR="0068649A" w:rsidRPr="00406FAA">
        <w:rPr>
          <w:lang w:val="pl-PL"/>
        </w:rPr>
        <w:t xml:space="preserve"> w </w:t>
      </w:r>
      <w:r w:rsidR="00AD4CB9" w:rsidRPr="00406FAA">
        <w:rPr>
          <w:lang w:val="pl-PL"/>
        </w:rPr>
        <w:t>pełni spójne – różniły się co do pozycji skarżącego, sposobu strzelania</w:t>
      </w:r>
      <w:r w:rsidR="005F33B3" w:rsidRPr="00406FAA">
        <w:rPr>
          <w:lang w:val="pl-PL"/>
        </w:rPr>
        <w:t xml:space="preserve"> i </w:t>
      </w:r>
      <w:r w:rsidR="00AD4CB9" w:rsidRPr="00406FAA">
        <w:rPr>
          <w:lang w:val="pl-PL"/>
        </w:rPr>
        <w:t>wypowiedzi po oddaniu strzałów. W śledztwie nie sporządzono żadnych nagrań audio ani wideo zeznań R.W.</w:t>
      </w:r>
    </w:p>
    <w:p w14:paraId="27AC93AC"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5</w:t>
      </w:r>
      <w:r w:rsidRPr="00406FAA">
        <w:rPr>
          <w:lang w:val="pl-PL"/>
        </w:rPr>
        <w:fldChar w:fldCharType="end"/>
      </w:r>
      <w:r w:rsidR="00AD4CB9" w:rsidRPr="00406FAA">
        <w:rPr>
          <w:lang w:val="pl-PL"/>
        </w:rPr>
        <w:t>.  Przed sądem, korzystając</w:t>
      </w:r>
      <w:r w:rsidR="0068649A" w:rsidRPr="00406FAA">
        <w:rPr>
          <w:lang w:val="pl-PL"/>
        </w:rPr>
        <w:t xml:space="preserve"> z </w:t>
      </w:r>
      <w:r w:rsidR="00AD4CB9" w:rsidRPr="00406FAA">
        <w:rPr>
          <w:lang w:val="pl-PL"/>
        </w:rPr>
        <w:t>prawa do nieobciążania samego siebie, R.W. wskazał jedynie, że chce podtrzymać swoje zeznania obciążające skarżącego, wyjaśnił, że początkowo pominął tożsamość strzelającego, ponieważ czuł się zastraszony przez innego członka grupy,</w:t>
      </w:r>
      <w:r w:rsidR="005F33B3" w:rsidRPr="00406FAA">
        <w:rPr>
          <w:lang w:val="pl-PL"/>
        </w:rPr>
        <w:t xml:space="preserve"> i </w:t>
      </w:r>
      <w:r w:rsidR="00AD4CB9" w:rsidRPr="00406FAA">
        <w:rPr>
          <w:lang w:val="pl-PL"/>
        </w:rPr>
        <w:t>odmówił odpowiedzi na jakiekolwiek pytania,</w:t>
      </w:r>
      <w:r w:rsidR="0068649A" w:rsidRPr="00406FAA">
        <w:rPr>
          <w:lang w:val="pl-PL"/>
        </w:rPr>
        <w:t xml:space="preserve"> w </w:t>
      </w:r>
      <w:r w:rsidR="00AD4CB9" w:rsidRPr="00406FAA">
        <w:rPr>
          <w:lang w:val="pl-PL"/>
        </w:rPr>
        <w:t>tym pytania sądu. Po pierwszych trzech rozprawach został zwolniony</w:t>
      </w:r>
      <w:r w:rsidR="0068649A" w:rsidRPr="00406FAA">
        <w:rPr>
          <w:lang w:val="pl-PL"/>
        </w:rPr>
        <w:t xml:space="preserve"> z </w:t>
      </w:r>
      <w:r w:rsidR="00AD4CB9" w:rsidRPr="00406FAA">
        <w:rPr>
          <w:lang w:val="pl-PL"/>
        </w:rPr>
        <w:t>obowiązku stawienia się przed sądem. Jego zeznania odczytano na procesie. Skarżący przedstawił własną wersję wydarzeń, ale został uznany za wiarygodnego jedynie</w:t>
      </w:r>
      <w:r w:rsidR="0068649A" w:rsidRPr="00406FAA">
        <w:rPr>
          <w:lang w:val="pl-PL"/>
        </w:rPr>
        <w:t xml:space="preserve"> w </w:t>
      </w:r>
      <w:r w:rsidR="00AD4CB9" w:rsidRPr="00406FAA">
        <w:rPr>
          <w:lang w:val="pl-PL"/>
        </w:rPr>
        <w:t>odniesieniu do przyznania, że był obecny na miejscu przestępstwa.</w:t>
      </w:r>
    </w:p>
    <w:p w14:paraId="22A9EE13" w14:textId="06269D0F"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6</w:t>
      </w:r>
      <w:r w:rsidRPr="00406FAA">
        <w:rPr>
          <w:lang w:val="pl-PL"/>
        </w:rPr>
        <w:fldChar w:fldCharType="end"/>
      </w:r>
      <w:r w:rsidR="00AD4CB9" w:rsidRPr="00406FAA">
        <w:rPr>
          <w:lang w:val="pl-PL"/>
        </w:rPr>
        <w:t>.  W dniu 2 grudnia 2011 r. Sąd Okręgowy</w:t>
      </w:r>
      <w:r w:rsidR="0068649A" w:rsidRPr="00406FAA">
        <w:rPr>
          <w:lang w:val="pl-PL"/>
        </w:rPr>
        <w:t xml:space="preserve"> w </w:t>
      </w:r>
      <w:r w:rsidR="00AD4CB9" w:rsidRPr="00406FAA">
        <w:rPr>
          <w:lang w:val="pl-PL"/>
        </w:rPr>
        <w:t>Ostrołęce uniewinnił skarżącego od zarzutu postrzelenia dwóch osób,</w:t>
      </w:r>
      <w:r w:rsidR="0068649A" w:rsidRPr="00406FAA">
        <w:rPr>
          <w:lang w:val="pl-PL"/>
        </w:rPr>
        <w:t xml:space="preserve"> w </w:t>
      </w:r>
      <w:r w:rsidR="00AD4CB9" w:rsidRPr="00406FAA">
        <w:rPr>
          <w:lang w:val="pl-PL"/>
        </w:rPr>
        <w:t>tym osoby, która zmarła,</w:t>
      </w:r>
      <w:r w:rsidR="005F33B3" w:rsidRPr="00406FAA">
        <w:rPr>
          <w:lang w:val="pl-PL"/>
        </w:rPr>
        <w:t xml:space="preserve"> i </w:t>
      </w:r>
      <w:r w:rsidR="00AD4CB9" w:rsidRPr="00406FAA">
        <w:rPr>
          <w:lang w:val="pl-PL"/>
        </w:rPr>
        <w:t>skazał go za pozostałe zarzuty,</w:t>
      </w:r>
      <w:r w:rsidR="0068649A" w:rsidRPr="00406FAA">
        <w:rPr>
          <w:lang w:val="pl-PL"/>
        </w:rPr>
        <w:t xml:space="preserve"> w </w:t>
      </w:r>
      <w:r w:rsidR="00AD4CB9" w:rsidRPr="00406FAA">
        <w:rPr>
          <w:lang w:val="pl-PL"/>
        </w:rPr>
        <w:t>szczególności usiłowanie zabójstwa Ł.W.</w:t>
      </w:r>
      <w:r w:rsidR="005F33B3" w:rsidRPr="00406FAA">
        <w:rPr>
          <w:lang w:val="pl-PL"/>
        </w:rPr>
        <w:t xml:space="preserve"> i </w:t>
      </w:r>
      <w:r w:rsidR="00AD4CB9" w:rsidRPr="00406FAA">
        <w:rPr>
          <w:lang w:val="pl-PL"/>
        </w:rPr>
        <w:t>M.K</w:t>
      </w:r>
      <w:r w:rsidR="0068649A" w:rsidRPr="00406FAA">
        <w:rPr>
          <w:lang w:val="pl-PL"/>
        </w:rPr>
        <w:t xml:space="preserve"> z </w:t>
      </w:r>
      <w:r w:rsidR="00AD4CB9" w:rsidRPr="00406FAA">
        <w:rPr>
          <w:lang w:val="pl-PL"/>
        </w:rPr>
        <w:t>użyciem broni palnej. Skarżącego skazano na karę pozbawienia wolności</w:t>
      </w:r>
      <w:r w:rsidR="0068649A" w:rsidRPr="00406FAA">
        <w:rPr>
          <w:lang w:val="pl-PL"/>
        </w:rPr>
        <w:t xml:space="preserve"> w </w:t>
      </w:r>
      <w:r w:rsidR="00AD4CB9" w:rsidRPr="00406FAA">
        <w:rPr>
          <w:lang w:val="pl-PL"/>
        </w:rPr>
        <w:t xml:space="preserve">łącznym wymiarze 12 lat. R.W. został </w:t>
      </w:r>
      <w:r w:rsidR="00AB770C">
        <w:rPr>
          <w:lang w:val="pl-PL"/>
        </w:rPr>
        <w:t xml:space="preserve">uznany za winnego </w:t>
      </w:r>
      <w:r w:rsidR="00AD4CB9" w:rsidRPr="00406FAA">
        <w:rPr>
          <w:lang w:val="pl-PL"/>
        </w:rPr>
        <w:t>udział</w:t>
      </w:r>
      <w:r w:rsidR="00AB770C">
        <w:rPr>
          <w:lang w:val="pl-PL"/>
        </w:rPr>
        <w:t>u</w:t>
      </w:r>
      <w:r w:rsidR="0068649A" w:rsidRPr="00406FAA">
        <w:rPr>
          <w:lang w:val="pl-PL"/>
        </w:rPr>
        <w:t xml:space="preserve"> w </w:t>
      </w:r>
      <w:r w:rsidR="00AD4CB9" w:rsidRPr="00406FAA">
        <w:rPr>
          <w:lang w:val="pl-PL"/>
        </w:rPr>
        <w:t>bójce</w:t>
      </w:r>
      <w:r w:rsidR="005F33B3" w:rsidRPr="00406FAA">
        <w:rPr>
          <w:lang w:val="pl-PL"/>
        </w:rPr>
        <w:t xml:space="preserve"> i</w:t>
      </w:r>
      <w:r w:rsidR="00AB770C">
        <w:rPr>
          <w:lang w:val="pl-PL"/>
        </w:rPr>
        <w:t xml:space="preserve"> skazany na</w:t>
      </w:r>
      <w:r w:rsidR="005F33B3" w:rsidRPr="00406FAA">
        <w:rPr>
          <w:lang w:val="pl-PL"/>
        </w:rPr>
        <w:t> </w:t>
      </w:r>
      <w:r w:rsidR="00AD4CB9" w:rsidRPr="00406FAA">
        <w:rPr>
          <w:lang w:val="pl-PL"/>
        </w:rPr>
        <w:t>grzywnę</w:t>
      </w:r>
      <w:r w:rsidR="0068649A" w:rsidRPr="00406FAA">
        <w:rPr>
          <w:lang w:val="pl-PL"/>
        </w:rPr>
        <w:t xml:space="preserve"> w </w:t>
      </w:r>
      <w:r w:rsidR="00AD4CB9" w:rsidRPr="00406FAA">
        <w:rPr>
          <w:lang w:val="pl-PL"/>
        </w:rPr>
        <w:t>wysokości 1 200 złotych (około 270 euro).</w:t>
      </w:r>
    </w:p>
    <w:p w14:paraId="6C1F1868" w14:textId="17B9232B"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bookmarkStart w:id="1" w:name="paragraph00007"/>
      <w:r w:rsidR="00AD4CB9" w:rsidRPr="00406FAA">
        <w:rPr>
          <w:lang w:val="pl-PL"/>
        </w:rPr>
        <w:t>7</w:t>
      </w:r>
      <w:bookmarkEnd w:id="1"/>
      <w:r w:rsidRPr="00406FAA">
        <w:rPr>
          <w:lang w:val="pl-PL"/>
        </w:rPr>
        <w:fldChar w:fldCharType="end"/>
      </w:r>
      <w:r w:rsidR="00AD4CB9" w:rsidRPr="00406FAA">
        <w:rPr>
          <w:lang w:val="pl-PL"/>
        </w:rPr>
        <w:t>.  Na podstawie zeznań wielu świadków sąd ustalił, że na miejscu zdarzenia było kilku strzelających, ale stwierdził, że nie można zidentyfikować nikogo poza skarżącym.</w:t>
      </w:r>
      <w:r w:rsidR="0068649A" w:rsidRPr="00406FAA">
        <w:rPr>
          <w:lang w:val="pl-PL"/>
        </w:rPr>
        <w:t xml:space="preserve"> Z </w:t>
      </w:r>
      <w:r w:rsidR="00AD4CB9" w:rsidRPr="00406FAA">
        <w:rPr>
          <w:lang w:val="pl-PL"/>
        </w:rPr>
        <w:t xml:space="preserve">uwagi na </w:t>
      </w:r>
      <w:r w:rsidR="00506659">
        <w:rPr>
          <w:lang w:val="pl-PL"/>
        </w:rPr>
        <w:t>określenie przybliżonej pozycji</w:t>
      </w:r>
      <w:r w:rsidR="00AD4CB9" w:rsidRPr="00406FAA">
        <w:rPr>
          <w:lang w:val="pl-PL"/>
        </w:rPr>
        <w:t xml:space="preserve"> skarżącego podczas wydarzeń (w pobliżu wejścia do restauracji, wśród innych „obrońców” budynku) wykluczono jego udział</w:t>
      </w:r>
      <w:r w:rsidR="0068649A" w:rsidRPr="00406FAA">
        <w:rPr>
          <w:lang w:val="pl-PL"/>
        </w:rPr>
        <w:t xml:space="preserve"> w </w:t>
      </w:r>
      <w:r w:rsidR="00AD4CB9" w:rsidRPr="00406FAA">
        <w:rPr>
          <w:lang w:val="pl-PL"/>
        </w:rPr>
        <w:t>postrzeleniu dwóch osób, ponieważ ich rany nie mogły zostać zadane</w:t>
      </w:r>
      <w:r w:rsidR="0068649A" w:rsidRPr="00406FAA">
        <w:rPr>
          <w:lang w:val="pl-PL"/>
        </w:rPr>
        <w:t xml:space="preserve"> z </w:t>
      </w:r>
      <w:r w:rsidR="00AD4CB9" w:rsidRPr="00406FAA">
        <w:rPr>
          <w:lang w:val="pl-PL"/>
        </w:rPr>
        <w:t>tej pozycji.</w:t>
      </w:r>
    </w:p>
    <w:p w14:paraId="7FF82EE2"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8</w:t>
      </w:r>
      <w:r w:rsidRPr="00406FAA">
        <w:rPr>
          <w:lang w:val="pl-PL"/>
        </w:rPr>
        <w:fldChar w:fldCharType="end"/>
      </w:r>
      <w:r w:rsidR="00AD4CB9" w:rsidRPr="00406FAA">
        <w:rPr>
          <w:lang w:val="pl-PL"/>
        </w:rPr>
        <w:t>.  Sąd uznał, że tożsamości strzelającego nie można ustalić na podstawie nagrania</w:t>
      </w:r>
      <w:r w:rsidR="0068649A" w:rsidRPr="00406FAA">
        <w:rPr>
          <w:lang w:val="pl-PL"/>
        </w:rPr>
        <w:t xml:space="preserve"> z </w:t>
      </w:r>
      <w:r w:rsidR="00AD4CB9" w:rsidRPr="00406FAA">
        <w:rPr>
          <w:lang w:val="pl-PL"/>
        </w:rPr>
        <w:t>kamery przemysłowej</w:t>
      </w:r>
      <w:r w:rsidR="0068649A" w:rsidRPr="00406FAA">
        <w:rPr>
          <w:lang w:val="pl-PL"/>
        </w:rPr>
        <w:t xml:space="preserve"> z </w:t>
      </w:r>
      <w:r w:rsidR="00AD4CB9" w:rsidRPr="00406FAA">
        <w:rPr>
          <w:lang w:val="pl-PL"/>
        </w:rPr>
        <w:t>miejsca zdarzenia. Samej broni nigdy nie odnaleziono. Spośród 19 współoskarżonych</w:t>
      </w:r>
      <w:r w:rsidR="005F33B3" w:rsidRPr="00406FAA">
        <w:rPr>
          <w:lang w:val="pl-PL"/>
        </w:rPr>
        <w:t xml:space="preserve"> i </w:t>
      </w:r>
      <w:r w:rsidR="00AD4CB9" w:rsidRPr="00406FAA">
        <w:rPr>
          <w:lang w:val="pl-PL"/>
        </w:rPr>
        <w:t>101 świadków tylko R.W. twierdził, że skarżący miał przy sobie broń palną lub używał jej na miejscu zdarzenia.</w:t>
      </w:r>
    </w:p>
    <w:p w14:paraId="6F2BA3E3"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bookmarkStart w:id="2" w:name="paragraph00009"/>
      <w:r w:rsidR="00AD4CB9" w:rsidRPr="00406FAA">
        <w:rPr>
          <w:lang w:val="pl-PL"/>
        </w:rPr>
        <w:t>9</w:t>
      </w:r>
      <w:bookmarkEnd w:id="2"/>
      <w:r w:rsidRPr="00406FAA">
        <w:rPr>
          <w:lang w:val="pl-PL"/>
        </w:rPr>
        <w:fldChar w:fldCharType="end"/>
      </w:r>
      <w:r w:rsidR="00AD4CB9" w:rsidRPr="00406FAA">
        <w:rPr>
          <w:lang w:val="pl-PL"/>
        </w:rPr>
        <w:t>.  Odnotowując rozbieżności</w:t>
      </w:r>
      <w:r w:rsidR="0068649A" w:rsidRPr="00406FAA">
        <w:rPr>
          <w:lang w:val="pl-PL"/>
        </w:rPr>
        <w:t xml:space="preserve"> w </w:t>
      </w:r>
      <w:r w:rsidR="00AD4CB9" w:rsidRPr="00406FAA">
        <w:rPr>
          <w:lang w:val="pl-PL"/>
        </w:rPr>
        <w:t>zeznaniach złożonych przez R.W., sąd uznał, że jedna wersja, przedstawiona podczas drugiego przesłuchania przeprowadzonego</w:t>
      </w:r>
      <w:r w:rsidR="0068649A" w:rsidRPr="00406FAA">
        <w:rPr>
          <w:lang w:val="pl-PL"/>
        </w:rPr>
        <w:t xml:space="preserve"> w </w:t>
      </w:r>
      <w:r w:rsidR="00AD4CB9" w:rsidRPr="00406FAA">
        <w:rPr>
          <w:lang w:val="pl-PL"/>
        </w:rPr>
        <w:t>dniu 18 lutego 2009 r., jest jedyną wiarygodną wersją. Sąd uznał ją za wystarczającą do ustalenia, że skarżący miał przy sobie broń palną, aktywnie uczestniczył</w:t>
      </w:r>
      <w:r w:rsidR="0068649A" w:rsidRPr="00406FAA">
        <w:rPr>
          <w:lang w:val="pl-PL"/>
        </w:rPr>
        <w:t xml:space="preserve"> w </w:t>
      </w:r>
      <w:r w:rsidR="00AD4CB9" w:rsidRPr="00406FAA">
        <w:rPr>
          <w:lang w:val="pl-PL"/>
        </w:rPr>
        <w:t>bójce, strzelając</w:t>
      </w:r>
      <w:r w:rsidR="0068649A" w:rsidRPr="00406FAA">
        <w:rPr>
          <w:lang w:val="pl-PL"/>
        </w:rPr>
        <w:t xml:space="preserve"> z </w:t>
      </w:r>
      <w:r w:rsidR="00AD4CB9" w:rsidRPr="00406FAA">
        <w:rPr>
          <w:lang w:val="pl-PL"/>
        </w:rPr>
        <w:t>tej broni</w:t>
      </w:r>
      <w:r w:rsidR="0068649A" w:rsidRPr="00406FAA">
        <w:rPr>
          <w:lang w:val="pl-PL"/>
        </w:rPr>
        <w:t xml:space="preserve"> w </w:t>
      </w:r>
      <w:r w:rsidR="00AD4CB9" w:rsidRPr="00406FAA">
        <w:rPr>
          <w:lang w:val="pl-PL"/>
        </w:rPr>
        <w:t>pobliżu wejścia do restauracji, oraz postrzelił Ł.W.</w:t>
      </w:r>
      <w:r w:rsidR="005F33B3" w:rsidRPr="00406FAA">
        <w:rPr>
          <w:lang w:val="pl-PL"/>
        </w:rPr>
        <w:t xml:space="preserve"> i </w:t>
      </w:r>
      <w:r w:rsidR="00AD4CB9" w:rsidRPr="00406FAA">
        <w:rPr>
          <w:lang w:val="pl-PL"/>
        </w:rPr>
        <w:t>M.K. W zakresie,</w:t>
      </w:r>
      <w:r w:rsidR="0068649A" w:rsidRPr="00406FAA">
        <w:rPr>
          <w:lang w:val="pl-PL"/>
        </w:rPr>
        <w:t xml:space="preserve"> w </w:t>
      </w:r>
      <w:r w:rsidR="00AD4CB9" w:rsidRPr="00406FAA">
        <w:rPr>
          <w:lang w:val="pl-PL"/>
        </w:rPr>
        <w:t>jakim niektórzy świadkowie podali opis strzelającego nieodpowiadający opisowi skarżącego lub twierdzili, że strzały oddano</w:t>
      </w:r>
      <w:r w:rsidR="0068649A" w:rsidRPr="00406FAA">
        <w:rPr>
          <w:lang w:val="pl-PL"/>
        </w:rPr>
        <w:t xml:space="preserve"> z </w:t>
      </w:r>
      <w:r w:rsidR="00AD4CB9" w:rsidRPr="00406FAA">
        <w:rPr>
          <w:lang w:val="pl-PL"/>
        </w:rPr>
        <w:t>kierunku innego niż pozycja skarżącego, sąd uznał tych świadków za niewiarygodnych. Sąd stwierdził, że żaden</w:t>
      </w:r>
      <w:r w:rsidR="0068649A" w:rsidRPr="00406FAA">
        <w:rPr>
          <w:lang w:val="pl-PL"/>
        </w:rPr>
        <w:t xml:space="preserve"> z </w:t>
      </w:r>
      <w:r w:rsidR="00AD4CB9" w:rsidRPr="00406FAA">
        <w:rPr>
          <w:lang w:val="pl-PL"/>
        </w:rPr>
        <w:t>dowodów uznanych za wiarygodne nie podważa wersji przedstawionej przez R.W.</w:t>
      </w:r>
    </w:p>
    <w:p w14:paraId="783B2B2E" w14:textId="77777777" w:rsidR="00F97474" w:rsidRPr="00406FAA" w:rsidRDefault="00000000" w:rsidP="00432751">
      <w:pPr>
        <w:pStyle w:val="JuPara"/>
        <w:rPr>
          <w:lang w:val="pl-PL"/>
        </w:rPr>
      </w:pPr>
      <w:r w:rsidRPr="00406FAA">
        <w:rPr>
          <w:lang w:val="pl-PL"/>
        </w:rPr>
        <w:lastRenderedPageBreak/>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10</w:t>
      </w:r>
      <w:r w:rsidRPr="00406FAA">
        <w:rPr>
          <w:lang w:val="pl-PL"/>
        </w:rPr>
        <w:fldChar w:fldCharType="end"/>
      </w:r>
      <w:r w:rsidR="00AD4CB9" w:rsidRPr="00406FAA">
        <w:rPr>
          <w:lang w:val="pl-PL"/>
        </w:rPr>
        <w:t>.  Skarżący wniósł apelację od wyroku wydanego</w:t>
      </w:r>
      <w:r w:rsidR="0068649A" w:rsidRPr="00406FAA">
        <w:rPr>
          <w:lang w:val="pl-PL"/>
        </w:rPr>
        <w:t xml:space="preserve"> w </w:t>
      </w:r>
      <w:r w:rsidR="00AD4CB9" w:rsidRPr="00406FAA">
        <w:rPr>
          <w:lang w:val="pl-PL"/>
        </w:rPr>
        <w:t>pierwszej instancji. R.W. nie wniósł apelacji.</w:t>
      </w:r>
    </w:p>
    <w:p w14:paraId="10F47D53"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11</w:t>
      </w:r>
      <w:r w:rsidRPr="00406FAA">
        <w:rPr>
          <w:lang w:val="pl-PL"/>
        </w:rPr>
        <w:fldChar w:fldCharType="end"/>
      </w:r>
      <w:r w:rsidR="00AD4CB9" w:rsidRPr="00406FAA">
        <w:rPr>
          <w:lang w:val="pl-PL"/>
        </w:rPr>
        <w:t>.  W toku postępowania apelacyjnego skarżący wniósł</w:t>
      </w:r>
      <w:r w:rsidR="005F33B3" w:rsidRPr="00406FAA">
        <w:rPr>
          <w:lang w:val="pl-PL"/>
        </w:rPr>
        <w:t xml:space="preserve"> o </w:t>
      </w:r>
      <w:r w:rsidR="00AD4CB9" w:rsidRPr="00406FAA">
        <w:rPr>
          <w:lang w:val="pl-PL"/>
        </w:rPr>
        <w:t>dopuszczenie przez sąd jako dowodu zeznań R.W.</w:t>
      </w:r>
      <w:r w:rsidR="0068649A" w:rsidRPr="00406FAA">
        <w:rPr>
          <w:lang w:val="pl-PL"/>
        </w:rPr>
        <w:t xml:space="preserve"> z </w:t>
      </w:r>
      <w:r w:rsidR="00AD4CB9" w:rsidRPr="00406FAA">
        <w:rPr>
          <w:lang w:val="pl-PL"/>
        </w:rPr>
        <w:t>jednoczesnym odtworzeniem nagrania</w:t>
      </w:r>
      <w:r w:rsidR="0068649A" w:rsidRPr="00406FAA">
        <w:rPr>
          <w:lang w:val="pl-PL"/>
        </w:rPr>
        <w:t xml:space="preserve"> z </w:t>
      </w:r>
      <w:r w:rsidR="00AD4CB9" w:rsidRPr="00406FAA">
        <w:rPr>
          <w:lang w:val="pl-PL"/>
        </w:rPr>
        <w:t>kamery przemysłowej. W dniu 25 października 2012 r. Sąd Apelacyjny</w:t>
      </w:r>
      <w:r w:rsidR="0068649A" w:rsidRPr="00406FAA">
        <w:rPr>
          <w:lang w:val="pl-PL"/>
        </w:rPr>
        <w:t xml:space="preserve"> w </w:t>
      </w:r>
      <w:r w:rsidR="00AD4CB9" w:rsidRPr="00406FAA">
        <w:rPr>
          <w:lang w:val="pl-PL"/>
        </w:rPr>
        <w:t>Białymstoku oddalił ten wniosek, uzasadniając to tym, że te dwa dowody zebrano już</w:t>
      </w:r>
      <w:r w:rsidR="0068649A" w:rsidRPr="00406FAA">
        <w:rPr>
          <w:lang w:val="pl-PL"/>
        </w:rPr>
        <w:t xml:space="preserve"> w </w:t>
      </w:r>
      <w:r w:rsidR="00AD4CB9" w:rsidRPr="00406FAA">
        <w:rPr>
          <w:lang w:val="pl-PL"/>
        </w:rPr>
        <w:t>pierwszej instancji oraz że wniosek ten miał wyraźnie na celu przedłużenie postępowania.</w:t>
      </w:r>
    </w:p>
    <w:p w14:paraId="0E788523"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12</w:t>
      </w:r>
      <w:r w:rsidRPr="00406FAA">
        <w:rPr>
          <w:lang w:val="pl-PL"/>
        </w:rPr>
        <w:fldChar w:fldCharType="end"/>
      </w:r>
      <w:r w:rsidR="00AD4CB9" w:rsidRPr="00406FAA">
        <w:rPr>
          <w:lang w:val="pl-PL"/>
        </w:rPr>
        <w:t>.  W dniu 31 października 2012 r. sąd apelacyjny nieznacznie zmienił zaskarżony wyrok. Odnośne zarzuty postawione skarżącemu</w:t>
      </w:r>
      <w:r w:rsidR="005F33B3" w:rsidRPr="00406FAA">
        <w:rPr>
          <w:lang w:val="pl-PL"/>
        </w:rPr>
        <w:t xml:space="preserve"> i </w:t>
      </w:r>
      <w:r w:rsidR="00AD4CB9" w:rsidRPr="00406FAA">
        <w:rPr>
          <w:lang w:val="pl-PL"/>
        </w:rPr>
        <w:t>jego wyrok pozostały niezmienione.</w:t>
      </w:r>
    </w:p>
    <w:p w14:paraId="40985B18"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bookmarkStart w:id="3" w:name="paragraph00013"/>
      <w:r w:rsidR="00AD4CB9" w:rsidRPr="00406FAA">
        <w:rPr>
          <w:lang w:val="pl-PL"/>
        </w:rPr>
        <w:t>13</w:t>
      </w:r>
      <w:bookmarkEnd w:id="3"/>
      <w:r w:rsidRPr="00406FAA">
        <w:rPr>
          <w:lang w:val="pl-PL"/>
        </w:rPr>
        <w:fldChar w:fldCharType="end"/>
      </w:r>
      <w:r w:rsidR="00AD4CB9" w:rsidRPr="00406FAA">
        <w:rPr>
          <w:lang w:val="pl-PL"/>
        </w:rPr>
        <w:t>.  Sąd apelacyjny wyraźnie stwierdził, że zeznania R.W. były jedynym dowodem łączącym skarżącego</w:t>
      </w:r>
      <w:r w:rsidR="0068649A" w:rsidRPr="00406FAA">
        <w:rPr>
          <w:lang w:val="pl-PL"/>
        </w:rPr>
        <w:t xml:space="preserve"> z </w:t>
      </w:r>
      <w:r w:rsidR="00AD4CB9" w:rsidRPr="00406FAA">
        <w:rPr>
          <w:lang w:val="pl-PL"/>
        </w:rPr>
        <w:t>obrażeniami odniesionymi przez Ł.W. Stwierdził jednak, że okoliczność, iż był to jedyny dowód, nie oznaczała, że nie był on wystarczający.</w:t>
      </w:r>
    </w:p>
    <w:p w14:paraId="2FEB7738"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bookmarkStart w:id="4" w:name="paragraph00014"/>
      <w:r w:rsidR="00AD4CB9" w:rsidRPr="00406FAA">
        <w:rPr>
          <w:lang w:val="pl-PL"/>
        </w:rPr>
        <w:t>14</w:t>
      </w:r>
      <w:bookmarkEnd w:id="4"/>
      <w:r w:rsidRPr="00406FAA">
        <w:rPr>
          <w:lang w:val="pl-PL"/>
        </w:rPr>
        <w:fldChar w:fldCharType="end"/>
      </w:r>
      <w:r w:rsidR="00AD4CB9" w:rsidRPr="00406FAA">
        <w:rPr>
          <w:lang w:val="pl-PL"/>
        </w:rPr>
        <w:t>.  Jeżeli chodzi</w:t>
      </w:r>
      <w:r w:rsidR="005F33B3" w:rsidRPr="00406FAA">
        <w:rPr>
          <w:lang w:val="pl-PL"/>
        </w:rPr>
        <w:t xml:space="preserve"> o </w:t>
      </w:r>
      <w:r w:rsidR="00AD4CB9" w:rsidRPr="00406FAA">
        <w:rPr>
          <w:lang w:val="pl-PL"/>
        </w:rPr>
        <w:t>postrzelenie M.K., sąd podobnie przywołał zeznania R.W. jako jedyny dowód, który identyfikował skarżącego jako strzelającego. Przytoczył ponadto dowody,</w:t>
      </w:r>
      <w:r w:rsidR="0068649A" w:rsidRPr="00406FAA">
        <w:rPr>
          <w:lang w:val="pl-PL"/>
        </w:rPr>
        <w:t xml:space="preserve"> z </w:t>
      </w:r>
      <w:r w:rsidR="00AD4CB9" w:rsidRPr="00406FAA">
        <w:rPr>
          <w:lang w:val="pl-PL"/>
        </w:rPr>
        <w:t>którymi skonfrontowano kwestionowane zeznania – mianowicie dowody wskazujące przybliżoną pozycję strzelającego, ale nie jego tożsamość –</w:t>
      </w:r>
      <w:r w:rsidR="005F33B3" w:rsidRPr="00406FAA">
        <w:rPr>
          <w:lang w:val="pl-PL"/>
        </w:rPr>
        <w:t xml:space="preserve"> i </w:t>
      </w:r>
      <w:r w:rsidR="00AD4CB9" w:rsidRPr="00406FAA">
        <w:rPr>
          <w:lang w:val="pl-PL"/>
        </w:rPr>
        <w:t>stwierdził, że były one wystarczające do uznania skarżącego winnym tego zarzutu.</w:t>
      </w:r>
    </w:p>
    <w:p w14:paraId="77496E77"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bookmarkStart w:id="5" w:name="paragraph00015"/>
      <w:r w:rsidR="00AD4CB9" w:rsidRPr="00406FAA">
        <w:rPr>
          <w:lang w:val="pl-PL"/>
        </w:rPr>
        <w:t>15</w:t>
      </w:r>
      <w:bookmarkEnd w:id="5"/>
      <w:r w:rsidRPr="00406FAA">
        <w:rPr>
          <w:lang w:val="pl-PL"/>
        </w:rPr>
        <w:fldChar w:fldCharType="end"/>
      </w:r>
      <w:r w:rsidR="00AD4CB9" w:rsidRPr="00406FAA">
        <w:rPr>
          <w:lang w:val="pl-PL"/>
        </w:rPr>
        <w:t>.  Skarżący wniósł skargę kasacyjną, podnosząc</w:t>
      </w:r>
      <w:r w:rsidR="0068649A" w:rsidRPr="00406FAA">
        <w:rPr>
          <w:lang w:val="pl-PL"/>
        </w:rPr>
        <w:t xml:space="preserve"> w </w:t>
      </w:r>
      <w:r w:rsidR="00AD4CB9" w:rsidRPr="00406FAA">
        <w:rPr>
          <w:lang w:val="pl-PL"/>
        </w:rPr>
        <w:t xml:space="preserve">szczególności na gruncie </w:t>
      </w:r>
      <w:r w:rsidR="005F33B3" w:rsidRPr="00406FAA">
        <w:rPr>
          <w:lang w:val="pl-PL"/>
        </w:rPr>
        <w:t>art. </w:t>
      </w:r>
      <w:r w:rsidR="00AD4CB9" w:rsidRPr="00406FAA">
        <w:rPr>
          <w:lang w:val="pl-PL"/>
        </w:rPr>
        <w:t>6 Konwencji oddalenie jego wniosku</w:t>
      </w:r>
      <w:r w:rsidR="005F33B3" w:rsidRPr="00406FAA">
        <w:rPr>
          <w:lang w:val="pl-PL"/>
        </w:rPr>
        <w:t xml:space="preserve"> o </w:t>
      </w:r>
      <w:r w:rsidR="00AD4CB9" w:rsidRPr="00406FAA">
        <w:rPr>
          <w:lang w:val="pl-PL"/>
        </w:rPr>
        <w:t>przesłuchanie R.W.</w:t>
      </w:r>
      <w:r w:rsidR="005F33B3" w:rsidRPr="00406FAA">
        <w:rPr>
          <w:lang w:val="pl-PL"/>
        </w:rPr>
        <w:t xml:space="preserve"> i </w:t>
      </w:r>
      <w:r w:rsidR="00AD4CB9" w:rsidRPr="00406FAA">
        <w:rPr>
          <w:lang w:val="pl-PL"/>
        </w:rPr>
        <w:t>wskazując, że ponieważ wyrok R.W. stał się już prawomocny, osoba ta byłaby zobowiązana do złożenia zeznań przed sądem apelacyjnym.</w:t>
      </w:r>
    </w:p>
    <w:p w14:paraId="571FC43D"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16</w:t>
      </w:r>
      <w:r w:rsidRPr="00406FAA">
        <w:rPr>
          <w:lang w:val="pl-PL"/>
        </w:rPr>
        <w:fldChar w:fldCharType="end"/>
      </w:r>
      <w:r w:rsidR="00AD4CB9" w:rsidRPr="00406FAA">
        <w:rPr>
          <w:lang w:val="pl-PL"/>
        </w:rPr>
        <w:t>.  W dniu 8 listopada 2013 r. Sąd Najwyższy bez podania pisemnego uzasadnienia oddalił skargę kasacyjną jako</w:t>
      </w:r>
      <w:r w:rsidR="0068649A" w:rsidRPr="00406FAA">
        <w:rPr>
          <w:lang w:val="pl-PL"/>
        </w:rPr>
        <w:t xml:space="preserve"> w </w:t>
      </w:r>
      <w:r w:rsidR="00AD4CB9" w:rsidRPr="00406FAA">
        <w:rPr>
          <w:lang w:val="pl-PL"/>
        </w:rPr>
        <w:t>sposób oczywisty nieuzasadnioną.</w:t>
      </w:r>
    </w:p>
    <w:p w14:paraId="78B83F7C" w14:textId="2DEE4E8D"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17</w:t>
      </w:r>
      <w:r w:rsidRPr="00406FAA">
        <w:rPr>
          <w:lang w:val="pl-PL"/>
        </w:rPr>
        <w:fldChar w:fldCharType="end"/>
      </w:r>
      <w:r w:rsidR="00AD4CB9" w:rsidRPr="00406FAA">
        <w:rPr>
          <w:lang w:val="pl-PL"/>
        </w:rPr>
        <w:t xml:space="preserve">.  Skarżący podniósł na gruncie </w:t>
      </w:r>
      <w:r w:rsidR="005F33B3" w:rsidRPr="00406FAA">
        <w:rPr>
          <w:lang w:val="pl-PL"/>
        </w:rPr>
        <w:t>art. </w:t>
      </w:r>
      <w:r w:rsidR="00AD4CB9" w:rsidRPr="00406FAA">
        <w:rPr>
          <w:lang w:val="pl-PL"/>
        </w:rPr>
        <w:t xml:space="preserve">6 </w:t>
      </w:r>
      <w:r w:rsidR="005F33B3" w:rsidRPr="00406FAA">
        <w:rPr>
          <w:lang w:val="pl-PL"/>
        </w:rPr>
        <w:t>ust. </w:t>
      </w:r>
      <w:r w:rsidR="00AD4CB9" w:rsidRPr="00406FAA">
        <w:rPr>
          <w:lang w:val="pl-PL"/>
        </w:rPr>
        <w:t>1</w:t>
      </w:r>
      <w:r w:rsidR="005F33B3" w:rsidRPr="00406FAA">
        <w:rPr>
          <w:lang w:val="pl-PL"/>
        </w:rPr>
        <w:t xml:space="preserve"> i </w:t>
      </w:r>
      <w:r w:rsidR="008C08A4">
        <w:rPr>
          <w:lang w:val="pl-PL"/>
        </w:rPr>
        <w:t xml:space="preserve">art. 6 </w:t>
      </w:r>
      <w:r w:rsidR="005F33B3" w:rsidRPr="00406FAA">
        <w:rPr>
          <w:lang w:val="pl-PL"/>
        </w:rPr>
        <w:t>ust. </w:t>
      </w:r>
      <w:r w:rsidR="00AD4CB9" w:rsidRPr="00406FAA">
        <w:rPr>
          <w:lang w:val="pl-PL"/>
        </w:rPr>
        <w:t xml:space="preserve">3 </w:t>
      </w:r>
      <w:r w:rsidR="005F33B3" w:rsidRPr="00406FAA">
        <w:rPr>
          <w:lang w:val="pl-PL"/>
        </w:rPr>
        <w:t>lit. </w:t>
      </w:r>
      <w:r w:rsidR="00AD4CB9" w:rsidRPr="00406FAA">
        <w:rPr>
          <w:lang w:val="pl-PL"/>
        </w:rPr>
        <w:t>d</w:t>
      </w:r>
      <w:r w:rsidR="00062ADD">
        <w:rPr>
          <w:lang w:val="pl-PL"/>
        </w:rPr>
        <w:t>)</w:t>
      </w:r>
      <w:r w:rsidR="00AD4CB9" w:rsidRPr="00406FAA">
        <w:rPr>
          <w:lang w:val="pl-PL"/>
        </w:rPr>
        <w:t xml:space="preserve"> Konwencji, że jego skazanie opierało się</w:t>
      </w:r>
      <w:r w:rsidR="0068649A" w:rsidRPr="00406FAA">
        <w:rPr>
          <w:lang w:val="pl-PL"/>
        </w:rPr>
        <w:t xml:space="preserve"> w </w:t>
      </w:r>
      <w:r w:rsidR="00AD4CB9" w:rsidRPr="00406FAA">
        <w:rPr>
          <w:lang w:val="pl-PL"/>
        </w:rPr>
        <w:t>decydującym stopniu na zeznaniach świadka, którego nie mógł przesłuchać ani nie mógł spowodować jego przesłuchania.</w:t>
      </w:r>
    </w:p>
    <w:p w14:paraId="4F686465" w14:textId="77777777" w:rsidR="00F97474" w:rsidRPr="00406FAA" w:rsidRDefault="00AD4CB9" w:rsidP="00432751">
      <w:pPr>
        <w:pStyle w:val="JuHHead"/>
        <w:rPr>
          <w:lang w:val="pl-PL"/>
        </w:rPr>
      </w:pPr>
      <w:r w:rsidRPr="00406FAA">
        <w:rPr>
          <w:bCs w:val="0"/>
          <w:lang w:val="pl-PL"/>
        </w:rPr>
        <w:t>OCENA TRYBUNAŁU</w:t>
      </w:r>
    </w:p>
    <w:p w14:paraId="72E04357" w14:textId="3486F1FA" w:rsidR="00F97474" w:rsidRPr="00406FAA" w:rsidRDefault="00AD4CB9" w:rsidP="00432751">
      <w:pPr>
        <w:pStyle w:val="JuHIRoman"/>
        <w:numPr>
          <w:ilvl w:val="0"/>
          <w:numId w:val="0"/>
        </w:numPr>
        <w:rPr>
          <w:lang w:val="pl-PL"/>
        </w:rPr>
      </w:pPr>
      <w:r w:rsidRPr="00406FAA">
        <w:rPr>
          <w:bCs w:val="0"/>
          <w:lang w:val="pl-PL"/>
        </w:rPr>
        <w:t xml:space="preserve">ZARZUCANE NARUSZENIE </w:t>
      </w:r>
      <w:r w:rsidR="005F33B3" w:rsidRPr="00406FAA">
        <w:rPr>
          <w:bCs w:val="0"/>
          <w:lang w:val="pl-PL"/>
        </w:rPr>
        <w:t>ART. </w:t>
      </w:r>
      <w:r w:rsidRPr="00406FAA">
        <w:rPr>
          <w:bCs w:val="0"/>
          <w:lang w:val="pl-PL"/>
        </w:rPr>
        <w:t xml:space="preserve">6 </w:t>
      </w:r>
      <w:r w:rsidR="005F33B3" w:rsidRPr="00406FAA">
        <w:rPr>
          <w:bCs w:val="0"/>
          <w:lang w:val="pl-PL"/>
        </w:rPr>
        <w:t>UST. </w:t>
      </w:r>
      <w:r w:rsidRPr="00406FAA">
        <w:rPr>
          <w:bCs w:val="0"/>
          <w:lang w:val="pl-PL"/>
        </w:rPr>
        <w:t>1</w:t>
      </w:r>
      <w:r w:rsidR="005F33B3" w:rsidRPr="00406FAA">
        <w:rPr>
          <w:bCs w:val="0"/>
          <w:lang w:val="pl-PL"/>
        </w:rPr>
        <w:t xml:space="preserve"> i</w:t>
      </w:r>
      <w:r w:rsidR="008C08A4">
        <w:rPr>
          <w:bCs w:val="0"/>
          <w:lang w:val="pl-PL"/>
        </w:rPr>
        <w:t xml:space="preserve"> art. 6 </w:t>
      </w:r>
      <w:r w:rsidR="005F33B3" w:rsidRPr="00406FAA">
        <w:rPr>
          <w:bCs w:val="0"/>
          <w:lang w:val="pl-PL"/>
        </w:rPr>
        <w:t>UST. </w:t>
      </w:r>
      <w:r w:rsidRPr="00406FAA">
        <w:rPr>
          <w:bCs w:val="0"/>
          <w:lang w:val="pl-PL"/>
        </w:rPr>
        <w:t xml:space="preserve">3 </w:t>
      </w:r>
      <w:r w:rsidR="005F33B3" w:rsidRPr="00406FAA">
        <w:rPr>
          <w:bCs w:val="0"/>
          <w:lang w:val="pl-PL"/>
        </w:rPr>
        <w:t>LIT. </w:t>
      </w:r>
      <w:r w:rsidRPr="00406FAA">
        <w:rPr>
          <w:bCs w:val="0"/>
          <w:lang w:val="pl-PL"/>
        </w:rPr>
        <w:t>D KONWENCJI</w:t>
      </w:r>
    </w:p>
    <w:p w14:paraId="208459D7" w14:textId="59D8E20E"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18</w:t>
      </w:r>
      <w:r w:rsidRPr="00406FAA">
        <w:rPr>
          <w:lang w:val="pl-PL"/>
        </w:rPr>
        <w:fldChar w:fldCharType="end"/>
      </w:r>
      <w:r w:rsidR="00AD4CB9" w:rsidRPr="00406FAA">
        <w:rPr>
          <w:lang w:val="pl-PL"/>
        </w:rPr>
        <w:t>.  Trybunał zauważa, że niniejsza skarga nie jest</w:t>
      </w:r>
      <w:r w:rsidR="0068649A" w:rsidRPr="00406FAA">
        <w:rPr>
          <w:lang w:val="pl-PL"/>
        </w:rPr>
        <w:t xml:space="preserve"> w </w:t>
      </w:r>
      <w:r w:rsidR="00AD4CB9" w:rsidRPr="00406FAA">
        <w:rPr>
          <w:lang w:val="pl-PL"/>
        </w:rPr>
        <w:t>sposób oczywisty nieuzasadniona</w:t>
      </w:r>
      <w:r w:rsidR="0068649A" w:rsidRPr="00406FAA">
        <w:rPr>
          <w:lang w:val="pl-PL"/>
        </w:rPr>
        <w:t xml:space="preserve"> w </w:t>
      </w:r>
      <w:r w:rsidR="00AD4CB9" w:rsidRPr="00406FAA">
        <w:rPr>
          <w:lang w:val="pl-PL"/>
        </w:rPr>
        <w:t xml:space="preserve">rozumieniu </w:t>
      </w:r>
      <w:r w:rsidR="005F33B3" w:rsidRPr="00406FAA">
        <w:rPr>
          <w:lang w:val="pl-PL"/>
        </w:rPr>
        <w:t>art. </w:t>
      </w:r>
      <w:r w:rsidR="00AD4CB9" w:rsidRPr="00406FAA">
        <w:rPr>
          <w:lang w:val="pl-PL"/>
        </w:rPr>
        <w:t xml:space="preserve">35 </w:t>
      </w:r>
      <w:r w:rsidR="005F33B3" w:rsidRPr="00406FAA">
        <w:rPr>
          <w:lang w:val="pl-PL"/>
        </w:rPr>
        <w:t>ust. </w:t>
      </w:r>
      <w:r w:rsidR="00AD4CB9" w:rsidRPr="00406FAA">
        <w:rPr>
          <w:lang w:val="pl-PL"/>
        </w:rPr>
        <w:t xml:space="preserve">3 </w:t>
      </w:r>
      <w:r w:rsidR="005F33B3" w:rsidRPr="00406FAA">
        <w:rPr>
          <w:lang w:val="pl-PL"/>
        </w:rPr>
        <w:t>lit. a</w:t>
      </w:r>
      <w:r w:rsidR="00674687">
        <w:rPr>
          <w:lang w:val="pl-PL"/>
        </w:rPr>
        <w:t>)</w:t>
      </w:r>
      <w:r w:rsidR="005F33B3" w:rsidRPr="00406FAA">
        <w:rPr>
          <w:lang w:val="pl-PL"/>
        </w:rPr>
        <w:t> </w:t>
      </w:r>
      <w:r w:rsidR="00AD4CB9" w:rsidRPr="00406FAA">
        <w:rPr>
          <w:lang w:val="pl-PL"/>
        </w:rPr>
        <w:t>Konwencji ani niedopuszczalna na żadnym innym gruncie. Należy zatem uznać ją za dopuszczalną.</w:t>
      </w:r>
    </w:p>
    <w:p w14:paraId="1077630D" w14:textId="18261335"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19</w:t>
      </w:r>
      <w:r w:rsidRPr="00406FAA">
        <w:rPr>
          <w:lang w:val="pl-PL"/>
        </w:rPr>
        <w:fldChar w:fldCharType="end"/>
      </w:r>
      <w:r w:rsidR="00AD4CB9" w:rsidRPr="00406FAA">
        <w:rPr>
          <w:lang w:val="pl-PL"/>
        </w:rPr>
        <w:t>.  Ogólne zasady dotyczące przesłuchiwania nieobecnych świadków</w:t>
      </w:r>
      <w:r w:rsidR="005F33B3" w:rsidRPr="00406FAA">
        <w:rPr>
          <w:lang w:val="pl-PL"/>
        </w:rPr>
        <w:t xml:space="preserve"> i </w:t>
      </w:r>
      <w:r w:rsidR="00AD4CB9" w:rsidRPr="00406FAA">
        <w:rPr>
          <w:lang w:val="pl-PL"/>
        </w:rPr>
        <w:t xml:space="preserve">wykorzystywania przez sądy zeznań złożonych przez tych świadków, </w:t>
      </w:r>
      <w:r w:rsidR="00AD4CB9" w:rsidRPr="00406FAA">
        <w:rPr>
          <w:lang w:val="pl-PL"/>
        </w:rPr>
        <w:lastRenderedPageBreak/>
        <w:t>ustanawiające test trójstronny, podsumowano</w:t>
      </w:r>
      <w:r w:rsidR="0068649A" w:rsidRPr="00406FAA">
        <w:rPr>
          <w:lang w:val="pl-PL"/>
        </w:rPr>
        <w:t xml:space="preserve"> w </w:t>
      </w:r>
      <w:r w:rsidR="00AD4CB9" w:rsidRPr="00406FAA">
        <w:rPr>
          <w:lang w:val="pl-PL"/>
        </w:rPr>
        <w:t>wyrokach</w:t>
      </w:r>
      <w:r w:rsidR="0068649A" w:rsidRPr="00406FAA">
        <w:rPr>
          <w:lang w:val="pl-PL"/>
        </w:rPr>
        <w:t xml:space="preserve"> w </w:t>
      </w:r>
      <w:r w:rsidR="00AD4CB9" w:rsidRPr="00406FAA">
        <w:rPr>
          <w:lang w:val="pl-PL"/>
        </w:rPr>
        <w:t xml:space="preserve">sprawach </w:t>
      </w:r>
      <w:proofErr w:type="spellStart"/>
      <w:r w:rsidR="00AD4CB9" w:rsidRPr="00406FAA">
        <w:rPr>
          <w:i/>
          <w:iCs/>
          <w:lang w:val="pl-PL"/>
        </w:rPr>
        <w:t>Schatschaschwili</w:t>
      </w:r>
      <w:proofErr w:type="spellEnd"/>
      <w:r w:rsidR="00AD4CB9" w:rsidRPr="00406FAA">
        <w:rPr>
          <w:i/>
          <w:iCs/>
          <w:lang w:val="pl-PL"/>
        </w:rPr>
        <w:t xml:space="preserve"> p. Niemcom</w:t>
      </w:r>
      <w:r w:rsidR="00AD4CB9" w:rsidRPr="00406FAA">
        <w:rPr>
          <w:lang w:val="pl-PL"/>
        </w:rPr>
        <w:t xml:space="preserve"> ([WI], </w:t>
      </w:r>
      <w:r w:rsidR="005F33B3" w:rsidRPr="00406FAA">
        <w:rPr>
          <w:lang w:val="pl-PL"/>
        </w:rPr>
        <w:t>nr </w:t>
      </w:r>
      <w:r w:rsidR="00AD4CB9" w:rsidRPr="00406FAA">
        <w:rPr>
          <w:lang w:val="pl-PL"/>
        </w:rPr>
        <w:t>9154/10, §</w:t>
      </w:r>
      <w:r w:rsidR="005F33B3" w:rsidRPr="00406FAA">
        <w:rPr>
          <w:lang w:val="pl-PL"/>
        </w:rPr>
        <w:t>§ </w:t>
      </w:r>
      <w:r w:rsidR="00AD4CB9" w:rsidRPr="00406FAA">
        <w:rPr>
          <w:lang w:val="pl-PL"/>
        </w:rPr>
        <w:t xml:space="preserve">100–131, </w:t>
      </w:r>
      <w:proofErr w:type="spellStart"/>
      <w:r w:rsidR="00AD4CB9" w:rsidRPr="00406FAA">
        <w:rPr>
          <w:lang w:val="pl-PL"/>
        </w:rPr>
        <w:t>ETPCz</w:t>
      </w:r>
      <w:proofErr w:type="spellEnd"/>
      <w:r w:rsidR="00AD4CB9" w:rsidRPr="00406FAA">
        <w:rPr>
          <w:lang w:val="pl-PL"/>
        </w:rPr>
        <w:t xml:space="preserve"> 2015), </w:t>
      </w:r>
      <w:r w:rsidR="00AD4CB9" w:rsidRPr="00406FAA">
        <w:rPr>
          <w:i/>
          <w:iCs/>
          <w:lang w:val="pl-PL"/>
        </w:rPr>
        <w:t>Al-</w:t>
      </w:r>
      <w:proofErr w:type="spellStart"/>
      <w:r w:rsidR="00AD4CB9" w:rsidRPr="00406FAA">
        <w:rPr>
          <w:i/>
          <w:iCs/>
          <w:lang w:val="pl-PL"/>
        </w:rPr>
        <w:t>Khawaja</w:t>
      </w:r>
      <w:proofErr w:type="spellEnd"/>
      <w:r w:rsidR="005F33B3" w:rsidRPr="00406FAA">
        <w:rPr>
          <w:i/>
          <w:iCs/>
          <w:lang w:val="pl-PL"/>
        </w:rPr>
        <w:t xml:space="preserve"> i </w:t>
      </w:r>
      <w:proofErr w:type="spellStart"/>
      <w:r w:rsidR="00AD4CB9" w:rsidRPr="00406FAA">
        <w:rPr>
          <w:i/>
          <w:iCs/>
          <w:lang w:val="pl-PL"/>
        </w:rPr>
        <w:t>Tahery</w:t>
      </w:r>
      <w:proofErr w:type="spellEnd"/>
      <w:r w:rsidR="00AD4CB9" w:rsidRPr="00406FAA">
        <w:rPr>
          <w:i/>
          <w:iCs/>
          <w:lang w:val="pl-PL"/>
        </w:rPr>
        <w:t xml:space="preserve"> p. Zjednoczonemu Królestwu</w:t>
      </w:r>
      <w:r w:rsidR="00AD4CB9" w:rsidRPr="00406FAA">
        <w:rPr>
          <w:lang w:val="pl-PL"/>
        </w:rPr>
        <w:t xml:space="preserve"> ([WI], </w:t>
      </w:r>
      <w:r w:rsidR="005F33B3" w:rsidRPr="00406FAA">
        <w:rPr>
          <w:lang w:val="pl-PL"/>
        </w:rPr>
        <w:t>nr </w:t>
      </w:r>
      <w:r w:rsidR="00AD4CB9" w:rsidRPr="00406FAA">
        <w:rPr>
          <w:lang w:val="pl-PL"/>
        </w:rPr>
        <w:t>26766/05</w:t>
      </w:r>
      <w:r w:rsidR="005F33B3" w:rsidRPr="00406FAA">
        <w:rPr>
          <w:lang w:val="pl-PL"/>
        </w:rPr>
        <w:t xml:space="preserve"> i </w:t>
      </w:r>
      <w:r w:rsidR="00AD4CB9" w:rsidRPr="00406FAA">
        <w:rPr>
          <w:lang w:val="pl-PL"/>
        </w:rPr>
        <w:t>22228/06, §</w:t>
      </w:r>
      <w:r w:rsidR="005F33B3" w:rsidRPr="00406FAA">
        <w:rPr>
          <w:lang w:val="pl-PL"/>
        </w:rPr>
        <w:t>§ </w:t>
      </w:r>
      <w:r w:rsidR="00AD4CB9" w:rsidRPr="00406FAA">
        <w:rPr>
          <w:lang w:val="pl-PL"/>
        </w:rPr>
        <w:t>118–</w:t>
      </w:r>
      <w:r w:rsidR="00644AFA">
        <w:rPr>
          <w:lang w:val="pl-PL"/>
        </w:rPr>
        <w:t>1</w:t>
      </w:r>
      <w:r w:rsidR="00AD4CB9" w:rsidRPr="00406FAA">
        <w:rPr>
          <w:lang w:val="pl-PL"/>
        </w:rPr>
        <w:t xml:space="preserve">47, </w:t>
      </w:r>
      <w:proofErr w:type="spellStart"/>
      <w:r w:rsidR="00AD4CB9" w:rsidRPr="00406FAA">
        <w:rPr>
          <w:lang w:val="pl-PL"/>
        </w:rPr>
        <w:t>ETPCz</w:t>
      </w:r>
      <w:proofErr w:type="spellEnd"/>
      <w:r w:rsidR="00AD4CB9" w:rsidRPr="00406FAA">
        <w:rPr>
          <w:lang w:val="pl-PL"/>
        </w:rPr>
        <w:t xml:space="preserve"> 2011) oraz </w:t>
      </w:r>
      <w:r w:rsidR="00AD4CB9" w:rsidRPr="00406FAA">
        <w:rPr>
          <w:i/>
          <w:iCs/>
          <w:lang w:val="pl-PL"/>
        </w:rPr>
        <w:t>Kuchta p. Polsce</w:t>
      </w:r>
      <w:r w:rsidR="00AD4CB9" w:rsidRPr="00406FAA">
        <w:rPr>
          <w:lang w:val="pl-PL"/>
        </w:rPr>
        <w:t xml:space="preserve"> (</w:t>
      </w:r>
      <w:r w:rsidR="005F33B3" w:rsidRPr="00406FAA">
        <w:rPr>
          <w:lang w:val="pl-PL"/>
        </w:rPr>
        <w:t>nr </w:t>
      </w:r>
      <w:r w:rsidR="00AD4CB9" w:rsidRPr="00406FAA">
        <w:rPr>
          <w:lang w:val="pl-PL"/>
        </w:rPr>
        <w:t>58683/08, §</w:t>
      </w:r>
      <w:r w:rsidR="005F33B3" w:rsidRPr="00406FAA">
        <w:rPr>
          <w:lang w:val="pl-PL"/>
        </w:rPr>
        <w:t>§ </w:t>
      </w:r>
      <w:r w:rsidR="00AD4CB9" w:rsidRPr="00406FAA">
        <w:rPr>
          <w:lang w:val="pl-PL"/>
        </w:rPr>
        <w:t>44–49, 23 stycznia 2018 r.).</w:t>
      </w:r>
    </w:p>
    <w:p w14:paraId="4F1FAA4F" w14:textId="77777777" w:rsidR="00F97474" w:rsidRPr="00406FAA" w:rsidRDefault="00AD4CB9" w:rsidP="00432751">
      <w:pPr>
        <w:pStyle w:val="JuHA"/>
        <w:rPr>
          <w:lang w:val="pl-PL"/>
        </w:rPr>
      </w:pPr>
      <w:r w:rsidRPr="00406FAA">
        <w:rPr>
          <w:lang w:val="pl-PL"/>
        </w:rPr>
        <w:t xml:space="preserve">Czy istniał uzasadniony powód dopuszczenia </w:t>
      </w:r>
      <w:proofErr w:type="spellStart"/>
      <w:r w:rsidRPr="00406FAA">
        <w:rPr>
          <w:lang w:val="pl-PL"/>
        </w:rPr>
        <w:t>przedprocesowego</w:t>
      </w:r>
      <w:proofErr w:type="spellEnd"/>
      <w:r w:rsidRPr="00406FAA">
        <w:rPr>
          <w:lang w:val="pl-PL"/>
        </w:rPr>
        <w:t xml:space="preserve"> dowodu</w:t>
      </w:r>
      <w:r w:rsidR="0068649A" w:rsidRPr="00406FAA">
        <w:rPr>
          <w:lang w:val="pl-PL"/>
        </w:rPr>
        <w:t xml:space="preserve"> z </w:t>
      </w:r>
      <w:r w:rsidRPr="00406FAA">
        <w:rPr>
          <w:lang w:val="pl-PL"/>
        </w:rPr>
        <w:t>zeznań R.W., jako nieobecnego świadka,</w:t>
      </w:r>
      <w:r w:rsidR="0068649A" w:rsidRPr="00406FAA">
        <w:rPr>
          <w:lang w:val="pl-PL"/>
        </w:rPr>
        <w:t xml:space="preserve"> w </w:t>
      </w:r>
      <w:r w:rsidRPr="00406FAA">
        <w:rPr>
          <w:lang w:val="pl-PL"/>
        </w:rPr>
        <w:t>procesie skarżącego</w:t>
      </w:r>
    </w:p>
    <w:p w14:paraId="0CD58892" w14:textId="202D9994"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20</w:t>
      </w:r>
      <w:r w:rsidRPr="00406FAA">
        <w:rPr>
          <w:lang w:val="pl-PL"/>
        </w:rPr>
        <w:fldChar w:fldCharType="end"/>
      </w:r>
      <w:r w:rsidR="00AD4CB9" w:rsidRPr="00406FAA">
        <w:rPr>
          <w:lang w:val="pl-PL"/>
        </w:rPr>
        <w:t>.  </w:t>
      </w:r>
      <w:r w:rsidR="00490DE6">
        <w:rPr>
          <w:lang w:val="pl-PL"/>
        </w:rPr>
        <w:t>W</w:t>
      </w:r>
      <w:r w:rsidR="0068649A" w:rsidRPr="00406FAA">
        <w:rPr>
          <w:lang w:val="pl-PL"/>
        </w:rPr>
        <w:t> </w:t>
      </w:r>
      <w:r w:rsidR="00AD4CB9" w:rsidRPr="00406FAA">
        <w:rPr>
          <w:lang w:val="pl-PL"/>
        </w:rPr>
        <w:t xml:space="preserve">odróżnieniu od sprawy </w:t>
      </w:r>
      <w:r w:rsidR="00AD4CB9" w:rsidRPr="00406FAA">
        <w:rPr>
          <w:i/>
          <w:iCs/>
          <w:lang w:val="pl-PL"/>
        </w:rPr>
        <w:t>Kuchta</w:t>
      </w:r>
      <w:r w:rsidR="00AD4CB9" w:rsidRPr="00406FAA">
        <w:rPr>
          <w:lang w:val="pl-PL"/>
        </w:rPr>
        <w:t xml:space="preserve"> (</w:t>
      </w:r>
      <w:r w:rsidR="00AD4CB9" w:rsidRPr="00406FAA">
        <w:rPr>
          <w:i/>
          <w:iCs/>
          <w:lang w:val="pl-PL"/>
        </w:rPr>
        <w:t>op. cit.</w:t>
      </w:r>
      <w:r w:rsidR="00AD4CB9" w:rsidRPr="00406FAA">
        <w:rPr>
          <w:lang w:val="pl-PL"/>
        </w:rPr>
        <w:t>) żadna ze stron nie kwestionowała, że R.W. jako współoskarżony miał prawo nie zeznawać do końca postępowania</w:t>
      </w:r>
      <w:r w:rsidR="0068649A" w:rsidRPr="00406FAA">
        <w:rPr>
          <w:lang w:val="pl-PL"/>
        </w:rPr>
        <w:t xml:space="preserve"> w </w:t>
      </w:r>
      <w:r w:rsidR="00AD4CB9" w:rsidRPr="00406FAA">
        <w:rPr>
          <w:lang w:val="pl-PL"/>
        </w:rPr>
        <w:t>pierwszej instancji oraz że</w:t>
      </w:r>
      <w:r w:rsidR="0068649A" w:rsidRPr="00406FAA">
        <w:rPr>
          <w:lang w:val="pl-PL"/>
        </w:rPr>
        <w:t xml:space="preserve"> w </w:t>
      </w:r>
      <w:r w:rsidR="00AD4CB9" w:rsidRPr="00406FAA">
        <w:rPr>
          <w:lang w:val="pl-PL"/>
        </w:rPr>
        <w:t>związku</w:t>
      </w:r>
      <w:r w:rsidR="0068649A" w:rsidRPr="00406FAA">
        <w:rPr>
          <w:lang w:val="pl-PL"/>
        </w:rPr>
        <w:t xml:space="preserve"> z </w:t>
      </w:r>
      <w:r w:rsidR="00AD4CB9" w:rsidRPr="00406FAA">
        <w:rPr>
          <w:lang w:val="pl-PL"/>
        </w:rPr>
        <w:t>tym istniały uzasadnione podstawy dla jego nieobecności na tym etapie.</w:t>
      </w:r>
    </w:p>
    <w:p w14:paraId="76E503C8" w14:textId="10698B4D"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21</w:t>
      </w:r>
      <w:r w:rsidRPr="00406FAA">
        <w:rPr>
          <w:lang w:val="pl-PL"/>
        </w:rPr>
        <w:fldChar w:fldCharType="end"/>
      </w:r>
      <w:r w:rsidR="00AD4CB9" w:rsidRPr="00406FAA">
        <w:rPr>
          <w:lang w:val="pl-PL"/>
        </w:rPr>
        <w:t>.  Strony nie były zgodne co do dopuszczalności</w:t>
      </w:r>
      <w:r w:rsidR="005F33B3" w:rsidRPr="00406FAA">
        <w:rPr>
          <w:lang w:val="pl-PL"/>
        </w:rPr>
        <w:t xml:space="preserve"> i </w:t>
      </w:r>
      <w:r w:rsidR="00AD4CB9" w:rsidRPr="00406FAA">
        <w:rPr>
          <w:lang w:val="pl-PL"/>
        </w:rPr>
        <w:t>celowości przesłuchania R.W.</w:t>
      </w:r>
      <w:r w:rsidR="0068649A" w:rsidRPr="00406FAA">
        <w:rPr>
          <w:lang w:val="pl-PL"/>
        </w:rPr>
        <w:t xml:space="preserve"> w </w:t>
      </w:r>
      <w:r w:rsidR="00AD4CB9" w:rsidRPr="00406FAA">
        <w:rPr>
          <w:lang w:val="pl-PL"/>
        </w:rPr>
        <w:t>postępowaniu apelacyjnym.</w:t>
      </w:r>
    </w:p>
    <w:p w14:paraId="4ACEF914"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22</w:t>
      </w:r>
      <w:r w:rsidRPr="00406FAA">
        <w:rPr>
          <w:lang w:val="pl-PL"/>
        </w:rPr>
        <w:fldChar w:fldCharType="end"/>
      </w:r>
      <w:r w:rsidR="00AD4CB9" w:rsidRPr="00406FAA">
        <w:rPr>
          <w:lang w:val="pl-PL"/>
        </w:rPr>
        <w:t>.  Skarżący podtrzymał swoje stanowisko wyrażone</w:t>
      </w:r>
      <w:r w:rsidR="0068649A" w:rsidRPr="00406FAA">
        <w:rPr>
          <w:lang w:val="pl-PL"/>
        </w:rPr>
        <w:t xml:space="preserve"> w </w:t>
      </w:r>
      <w:r w:rsidR="00AD4CB9" w:rsidRPr="00406FAA">
        <w:rPr>
          <w:lang w:val="pl-PL"/>
        </w:rPr>
        <w:t xml:space="preserve">skardze kasacyjnej (paragraf </w:t>
      </w:r>
      <w:r w:rsidR="00CD5586" w:rsidRPr="00406FAA">
        <w:rPr>
          <w:lang w:val="pl-PL"/>
        </w:rPr>
        <w:fldChar w:fldCharType="begin"/>
      </w:r>
      <w:r w:rsidR="00AD4CB9" w:rsidRPr="00406FAA">
        <w:rPr>
          <w:lang w:val="pl-PL"/>
        </w:rPr>
        <w:instrText xml:space="preserve"> REF paragraph00015 \h  \* CharFormat </w:instrText>
      </w:r>
      <w:r w:rsidR="00CD5586" w:rsidRPr="00406FAA">
        <w:rPr>
          <w:lang w:val="pl-PL"/>
        </w:rPr>
      </w:r>
      <w:r w:rsidR="00CD5586" w:rsidRPr="00406FAA">
        <w:rPr>
          <w:lang w:val="pl-PL"/>
        </w:rPr>
        <w:fldChar w:fldCharType="separate"/>
      </w:r>
      <w:r w:rsidR="00AD4CB9" w:rsidRPr="00406FAA">
        <w:rPr>
          <w:lang w:val="pl-PL"/>
        </w:rPr>
        <w:t>15</w:t>
      </w:r>
      <w:r w:rsidR="00CD5586" w:rsidRPr="00406FAA">
        <w:rPr>
          <w:lang w:val="pl-PL"/>
        </w:rPr>
        <w:fldChar w:fldCharType="end"/>
      </w:r>
      <w:r w:rsidR="00AD4CB9" w:rsidRPr="00406FAA">
        <w:rPr>
          <w:lang w:val="pl-PL"/>
        </w:rPr>
        <w:t xml:space="preserve"> powyżej), twierdząc, że zeznania R.W. mogły zostać zbadane przed sądem apelacyjnym.</w:t>
      </w:r>
    </w:p>
    <w:p w14:paraId="013663FD"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23</w:t>
      </w:r>
      <w:r w:rsidRPr="00406FAA">
        <w:rPr>
          <w:lang w:val="pl-PL"/>
        </w:rPr>
        <w:fldChar w:fldCharType="end"/>
      </w:r>
      <w:r w:rsidR="00AD4CB9" w:rsidRPr="00406FAA">
        <w:rPr>
          <w:lang w:val="pl-PL"/>
        </w:rPr>
        <w:t>.  Rząd stwierdził, że</w:t>
      </w:r>
      <w:r w:rsidR="0068649A" w:rsidRPr="00406FAA">
        <w:rPr>
          <w:lang w:val="pl-PL"/>
        </w:rPr>
        <w:t xml:space="preserve"> w </w:t>
      </w:r>
      <w:r w:rsidR="00AD4CB9" w:rsidRPr="00406FAA">
        <w:rPr>
          <w:lang w:val="pl-PL"/>
        </w:rPr>
        <w:t>ramach postępowania apelacyjnego wyrok wydany</w:t>
      </w:r>
      <w:r w:rsidR="0068649A" w:rsidRPr="00406FAA">
        <w:rPr>
          <w:lang w:val="pl-PL"/>
        </w:rPr>
        <w:t xml:space="preserve"> w </w:t>
      </w:r>
      <w:r w:rsidR="00AD4CB9" w:rsidRPr="00406FAA">
        <w:rPr>
          <w:lang w:val="pl-PL"/>
        </w:rPr>
        <w:t>pierwszej instancji podlegał uchyleniu</w:t>
      </w:r>
      <w:r w:rsidR="0068649A" w:rsidRPr="00406FAA">
        <w:rPr>
          <w:lang w:val="pl-PL"/>
        </w:rPr>
        <w:t xml:space="preserve"> w </w:t>
      </w:r>
      <w:r w:rsidR="00AD4CB9" w:rsidRPr="00406FAA">
        <w:rPr>
          <w:lang w:val="pl-PL"/>
        </w:rPr>
        <w:t>stosunku do wszystkich oskarżonych,</w:t>
      </w:r>
      <w:r w:rsidR="0068649A" w:rsidRPr="00406FAA">
        <w:rPr>
          <w:lang w:val="pl-PL"/>
        </w:rPr>
        <w:t xml:space="preserve"> w </w:t>
      </w:r>
      <w:r w:rsidR="00AD4CB9" w:rsidRPr="00406FAA">
        <w:rPr>
          <w:lang w:val="pl-PL"/>
        </w:rPr>
        <w:t>tym R.W., nawet</w:t>
      </w:r>
      <w:r w:rsidR="0068649A" w:rsidRPr="00406FAA">
        <w:rPr>
          <w:lang w:val="pl-PL"/>
        </w:rPr>
        <w:t xml:space="preserve"> w </w:t>
      </w:r>
      <w:r w:rsidR="00AD4CB9" w:rsidRPr="00406FAA">
        <w:rPr>
          <w:lang w:val="pl-PL"/>
        </w:rPr>
        <w:t>przypadku niewniesienia przez nich samych apelacji, oraz że</w:t>
      </w:r>
      <w:r w:rsidR="0068649A" w:rsidRPr="00406FAA">
        <w:rPr>
          <w:lang w:val="pl-PL"/>
        </w:rPr>
        <w:t xml:space="preserve"> w </w:t>
      </w:r>
      <w:r w:rsidR="00AD4CB9" w:rsidRPr="00406FAA">
        <w:rPr>
          <w:lang w:val="pl-PL"/>
        </w:rPr>
        <w:t>rezultacie R.W. pozostawał współoskarżonym do końca tego etapu postępowania. Rząd stwierdził, że przesłuchanie R.W.</w:t>
      </w:r>
      <w:r w:rsidR="0068649A" w:rsidRPr="00406FAA">
        <w:rPr>
          <w:lang w:val="pl-PL"/>
        </w:rPr>
        <w:t xml:space="preserve"> w </w:t>
      </w:r>
      <w:r w:rsidR="00AD4CB9" w:rsidRPr="00406FAA">
        <w:rPr>
          <w:lang w:val="pl-PL"/>
        </w:rPr>
        <w:t>charakterze świadka stanowiłoby obejście prawa oraz pomieszanie roli oskarżonego</w:t>
      </w:r>
      <w:r w:rsidR="005F33B3" w:rsidRPr="00406FAA">
        <w:rPr>
          <w:lang w:val="pl-PL"/>
        </w:rPr>
        <w:t xml:space="preserve"> i </w:t>
      </w:r>
      <w:r w:rsidR="00AD4CB9" w:rsidRPr="00406FAA">
        <w:rPr>
          <w:lang w:val="pl-PL"/>
        </w:rPr>
        <w:t>świadka, co</w:t>
      </w:r>
      <w:r w:rsidR="0068649A" w:rsidRPr="00406FAA">
        <w:rPr>
          <w:lang w:val="pl-PL"/>
        </w:rPr>
        <w:t xml:space="preserve"> z </w:t>
      </w:r>
      <w:r w:rsidR="00AD4CB9" w:rsidRPr="00406FAA">
        <w:rPr>
          <w:lang w:val="pl-PL"/>
        </w:rPr>
        <w:t>kolei doprowadziłoby do naruszenia jego prawa do obrony.</w:t>
      </w:r>
    </w:p>
    <w:p w14:paraId="1EA68DB8"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24</w:t>
      </w:r>
      <w:r w:rsidRPr="00406FAA">
        <w:rPr>
          <w:lang w:val="pl-PL"/>
        </w:rPr>
        <w:fldChar w:fldCharType="end"/>
      </w:r>
      <w:r w:rsidR="00AD4CB9" w:rsidRPr="00406FAA">
        <w:rPr>
          <w:lang w:val="pl-PL"/>
        </w:rPr>
        <w:t>.  Trybunał zauważa jednak, że wydaje się, iż sąd apelacyjny nie miał żadnych ogólnych przeszkód proceduralnych, aby wezwać R.W. Chodziło tylko</w:t>
      </w:r>
      <w:r w:rsidR="005F33B3" w:rsidRPr="00406FAA">
        <w:rPr>
          <w:lang w:val="pl-PL"/>
        </w:rPr>
        <w:t xml:space="preserve"> o </w:t>
      </w:r>
      <w:r w:rsidR="00AD4CB9" w:rsidRPr="00406FAA">
        <w:rPr>
          <w:lang w:val="pl-PL"/>
        </w:rPr>
        <w:t>to,</w:t>
      </w:r>
      <w:r w:rsidR="0068649A" w:rsidRPr="00406FAA">
        <w:rPr>
          <w:lang w:val="pl-PL"/>
        </w:rPr>
        <w:t xml:space="preserve"> w </w:t>
      </w:r>
      <w:r w:rsidR="00AD4CB9" w:rsidRPr="00406FAA">
        <w:rPr>
          <w:lang w:val="pl-PL"/>
        </w:rPr>
        <w:t>jakim charakterze R.W. musiałby stawić się przed tym sądem (jako współoskarżony czy jako świadek). Tak więc argument Rządu stałby się istotny tylko wtedy, gdyby sąd apelacyjny wezwał R.W.</w:t>
      </w:r>
      <w:r w:rsidR="005F33B3" w:rsidRPr="00406FAA">
        <w:rPr>
          <w:lang w:val="pl-PL"/>
        </w:rPr>
        <w:t xml:space="preserve"> i </w:t>
      </w:r>
      <w:r w:rsidR="00AD4CB9" w:rsidRPr="00406FAA">
        <w:rPr>
          <w:lang w:val="pl-PL"/>
        </w:rPr>
        <w:t>przesłuchał go</w:t>
      </w:r>
      <w:r w:rsidR="0068649A" w:rsidRPr="00406FAA">
        <w:rPr>
          <w:lang w:val="pl-PL"/>
        </w:rPr>
        <w:t xml:space="preserve"> w </w:t>
      </w:r>
      <w:r w:rsidR="00AD4CB9" w:rsidRPr="00406FAA">
        <w:rPr>
          <w:lang w:val="pl-PL"/>
        </w:rPr>
        <w:t>charakterze świadka,</w:t>
      </w:r>
      <w:r w:rsidR="005F33B3" w:rsidRPr="00406FAA">
        <w:rPr>
          <w:lang w:val="pl-PL"/>
        </w:rPr>
        <w:t xml:space="preserve"> a </w:t>
      </w:r>
      <w:r w:rsidR="00AD4CB9" w:rsidRPr="00406FAA">
        <w:rPr>
          <w:lang w:val="pl-PL"/>
        </w:rPr>
        <w:t>nie oskarżonego. Zamiast tego Sąd Apelacyjny</w:t>
      </w:r>
      <w:r w:rsidR="0068649A" w:rsidRPr="00406FAA">
        <w:rPr>
          <w:lang w:val="pl-PL"/>
        </w:rPr>
        <w:t xml:space="preserve"> w </w:t>
      </w:r>
      <w:r w:rsidR="00AD4CB9" w:rsidRPr="00406FAA">
        <w:rPr>
          <w:lang w:val="pl-PL"/>
        </w:rPr>
        <w:t>Białymstoku oddalił wniosek skarżącego wyłącznie na tej podstawie, że dowody będące przedmiotem wniosku zostały już zebrane,</w:t>
      </w:r>
      <w:r w:rsidR="005F33B3" w:rsidRPr="00406FAA">
        <w:rPr>
          <w:lang w:val="pl-PL"/>
        </w:rPr>
        <w:t xml:space="preserve"> a </w:t>
      </w:r>
      <w:r w:rsidR="00AD4CB9" w:rsidRPr="00406FAA">
        <w:rPr>
          <w:lang w:val="pl-PL"/>
        </w:rPr>
        <w:t>domniemanym jedynym celem tego wniosku było przedłużenie postępowania.</w:t>
      </w:r>
    </w:p>
    <w:p w14:paraId="76979725"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25</w:t>
      </w:r>
      <w:r w:rsidRPr="00406FAA">
        <w:rPr>
          <w:lang w:val="pl-PL"/>
        </w:rPr>
        <w:fldChar w:fldCharType="end"/>
      </w:r>
      <w:r w:rsidR="00AD4CB9" w:rsidRPr="00406FAA">
        <w:rPr>
          <w:lang w:val="pl-PL"/>
        </w:rPr>
        <w:t xml:space="preserve">.  W świetle własnych ustaleń tego sądu dotyczących znaczenia zeznań R.W. dla skazania skarżącego (paragrafy </w:t>
      </w:r>
      <w:r w:rsidR="00CD5586" w:rsidRPr="00406FAA">
        <w:rPr>
          <w:lang w:val="pl-PL"/>
        </w:rPr>
        <w:fldChar w:fldCharType="begin"/>
      </w:r>
      <w:r w:rsidR="00AD4CB9" w:rsidRPr="00406FAA">
        <w:rPr>
          <w:lang w:val="pl-PL"/>
        </w:rPr>
        <w:instrText xml:space="preserve"> REF paragraph00013 \h  \* CharFormat </w:instrText>
      </w:r>
      <w:r w:rsidR="00CD5586" w:rsidRPr="00406FAA">
        <w:rPr>
          <w:lang w:val="pl-PL"/>
        </w:rPr>
      </w:r>
      <w:r w:rsidR="00CD5586" w:rsidRPr="00406FAA">
        <w:rPr>
          <w:lang w:val="pl-PL"/>
        </w:rPr>
        <w:fldChar w:fldCharType="separate"/>
      </w:r>
      <w:r w:rsidR="00AD4CB9" w:rsidRPr="00406FAA">
        <w:rPr>
          <w:lang w:val="pl-PL"/>
        </w:rPr>
        <w:t>13</w:t>
      </w:r>
      <w:r w:rsidR="00CD5586" w:rsidRPr="00406FAA">
        <w:rPr>
          <w:lang w:val="pl-PL"/>
        </w:rPr>
        <w:fldChar w:fldCharType="end"/>
      </w:r>
      <w:r w:rsidR="00AD4CB9" w:rsidRPr="00406FAA">
        <w:rPr>
          <w:lang w:val="pl-PL"/>
        </w:rPr>
        <w:t>–</w:t>
      </w:r>
      <w:r w:rsidR="00CD5586" w:rsidRPr="00406FAA">
        <w:rPr>
          <w:lang w:val="pl-PL"/>
        </w:rPr>
        <w:fldChar w:fldCharType="begin"/>
      </w:r>
      <w:r w:rsidR="00AD4CB9" w:rsidRPr="00406FAA">
        <w:rPr>
          <w:lang w:val="pl-PL"/>
        </w:rPr>
        <w:instrText xml:space="preserve"> REF paragraph00014 \h  \* CharFormat </w:instrText>
      </w:r>
      <w:r w:rsidR="00CD5586" w:rsidRPr="00406FAA">
        <w:rPr>
          <w:lang w:val="pl-PL"/>
        </w:rPr>
      </w:r>
      <w:r w:rsidR="00CD5586" w:rsidRPr="00406FAA">
        <w:rPr>
          <w:lang w:val="pl-PL"/>
        </w:rPr>
        <w:fldChar w:fldCharType="separate"/>
      </w:r>
      <w:r w:rsidR="00AD4CB9" w:rsidRPr="00406FAA">
        <w:rPr>
          <w:lang w:val="pl-PL"/>
        </w:rPr>
        <w:t>14</w:t>
      </w:r>
      <w:r w:rsidR="00CD5586" w:rsidRPr="00406FAA">
        <w:rPr>
          <w:lang w:val="pl-PL"/>
        </w:rPr>
        <w:fldChar w:fldCharType="end"/>
      </w:r>
      <w:r w:rsidR="00AD4CB9" w:rsidRPr="00406FAA">
        <w:rPr>
          <w:lang w:val="pl-PL"/>
        </w:rPr>
        <w:t xml:space="preserve"> powyżej) troska</w:t>
      </w:r>
      <w:r w:rsidR="005F33B3" w:rsidRPr="00406FAA">
        <w:rPr>
          <w:lang w:val="pl-PL"/>
        </w:rPr>
        <w:t xml:space="preserve"> o </w:t>
      </w:r>
      <w:r w:rsidR="00AD4CB9" w:rsidRPr="00406FAA">
        <w:rPr>
          <w:lang w:val="pl-PL"/>
        </w:rPr>
        <w:t>szybkość postępowania, na którą powołano się</w:t>
      </w:r>
      <w:r w:rsidR="0068649A" w:rsidRPr="00406FAA">
        <w:rPr>
          <w:lang w:val="pl-PL"/>
        </w:rPr>
        <w:t xml:space="preserve"> w </w:t>
      </w:r>
      <w:r w:rsidR="00AD4CB9" w:rsidRPr="00406FAA">
        <w:rPr>
          <w:lang w:val="pl-PL"/>
        </w:rPr>
        <w:t>celu oddalenia wniosku dowodowego skarżącego, nie wydaje się przekonująca. Szybkość postępowania nie może przeważać nad trudnościami, jakie dla obrony wynikały</w:t>
      </w:r>
      <w:r w:rsidR="0068649A" w:rsidRPr="00406FAA">
        <w:rPr>
          <w:lang w:val="pl-PL"/>
        </w:rPr>
        <w:t xml:space="preserve"> z </w:t>
      </w:r>
      <w:r w:rsidR="00AD4CB9" w:rsidRPr="00406FAA">
        <w:rPr>
          <w:lang w:val="pl-PL"/>
        </w:rPr>
        <w:t>odmowy przesłuchania kluczowego świadka.</w:t>
      </w:r>
    </w:p>
    <w:p w14:paraId="308E60D7" w14:textId="3C11B5DB"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26</w:t>
      </w:r>
      <w:r w:rsidRPr="00406FAA">
        <w:rPr>
          <w:lang w:val="pl-PL"/>
        </w:rPr>
        <w:fldChar w:fldCharType="end"/>
      </w:r>
      <w:r w:rsidR="00AD4CB9" w:rsidRPr="00406FAA">
        <w:rPr>
          <w:lang w:val="pl-PL"/>
        </w:rPr>
        <w:t>.  Gdyby sąd drugiej instancji wezwał R.W.</w:t>
      </w:r>
      <w:r w:rsidR="005F33B3" w:rsidRPr="00406FAA">
        <w:rPr>
          <w:lang w:val="pl-PL"/>
        </w:rPr>
        <w:t xml:space="preserve"> i </w:t>
      </w:r>
      <w:r w:rsidR="00AD4CB9" w:rsidRPr="00406FAA">
        <w:rPr>
          <w:lang w:val="pl-PL"/>
        </w:rPr>
        <w:t>przy założeniu, że R.W. pozostawał współoskarżonym korzystającym</w:t>
      </w:r>
      <w:r w:rsidR="0068649A" w:rsidRPr="00406FAA">
        <w:rPr>
          <w:lang w:val="pl-PL"/>
        </w:rPr>
        <w:t xml:space="preserve"> z </w:t>
      </w:r>
      <w:r w:rsidR="00AD4CB9" w:rsidRPr="00406FAA">
        <w:rPr>
          <w:lang w:val="pl-PL"/>
        </w:rPr>
        <w:t>prawa do milczenia</w:t>
      </w:r>
      <w:r w:rsidR="0068649A" w:rsidRPr="00406FAA">
        <w:rPr>
          <w:lang w:val="pl-PL"/>
        </w:rPr>
        <w:t xml:space="preserve"> </w:t>
      </w:r>
      <w:r w:rsidR="0068649A" w:rsidRPr="00406FAA">
        <w:rPr>
          <w:lang w:val="pl-PL"/>
        </w:rPr>
        <w:lastRenderedPageBreak/>
        <w:t>w </w:t>
      </w:r>
      <w:r w:rsidR="00AD4CB9" w:rsidRPr="00406FAA">
        <w:rPr>
          <w:lang w:val="pl-PL"/>
        </w:rPr>
        <w:t>postępowaniu apelacyjnym (</w:t>
      </w:r>
      <w:r w:rsidR="00AD4CB9" w:rsidRPr="00406FAA">
        <w:rPr>
          <w:i/>
          <w:iCs/>
          <w:lang w:val="pl-PL"/>
        </w:rPr>
        <w:t>mutatis mutandis Kuchta</w:t>
      </w:r>
      <w:r w:rsidR="00AD4CB9" w:rsidRPr="00406FAA">
        <w:rPr>
          <w:lang w:val="pl-PL"/>
        </w:rPr>
        <w:t xml:space="preserve">, </w:t>
      </w:r>
      <w:r w:rsidR="00AD4CB9" w:rsidRPr="00406FAA">
        <w:rPr>
          <w:i/>
          <w:iCs/>
          <w:lang w:val="pl-PL"/>
        </w:rPr>
        <w:t>op. cit.</w:t>
      </w:r>
      <w:r w:rsidR="00AD4CB9" w:rsidRPr="00406FAA">
        <w:rPr>
          <w:lang w:val="pl-PL"/>
        </w:rPr>
        <w:t xml:space="preserve">, </w:t>
      </w:r>
      <w:r w:rsidR="005F33B3" w:rsidRPr="00406FAA">
        <w:rPr>
          <w:lang w:val="pl-PL"/>
        </w:rPr>
        <w:t>§ </w:t>
      </w:r>
      <w:r w:rsidR="00AD4CB9" w:rsidRPr="00406FAA">
        <w:rPr>
          <w:lang w:val="pl-PL"/>
        </w:rPr>
        <w:t>51), pozwanemu państwu nie można byłoby zarzucić, że umożliwiło R.W. skorzystanie</w:t>
      </w:r>
      <w:r w:rsidR="0068649A" w:rsidRPr="00406FAA">
        <w:rPr>
          <w:lang w:val="pl-PL"/>
        </w:rPr>
        <w:t xml:space="preserve"> z </w:t>
      </w:r>
      <w:r w:rsidR="00AD4CB9" w:rsidRPr="00406FAA">
        <w:rPr>
          <w:lang w:val="pl-PL"/>
        </w:rPr>
        <w:t>przysługującego mu prawa do nieudzielania odpowiedzi na żadne pytania (</w:t>
      </w:r>
      <w:proofErr w:type="spellStart"/>
      <w:r w:rsidR="00AD4CB9" w:rsidRPr="00406FAA">
        <w:rPr>
          <w:i/>
          <w:iCs/>
          <w:lang w:val="pl-PL"/>
        </w:rPr>
        <w:t>Vidgen</w:t>
      </w:r>
      <w:proofErr w:type="spellEnd"/>
      <w:r w:rsidR="00AD4CB9" w:rsidRPr="00406FAA">
        <w:rPr>
          <w:i/>
          <w:iCs/>
          <w:lang w:val="pl-PL"/>
        </w:rPr>
        <w:t xml:space="preserve"> p. Niderlandom</w:t>
      </w:r>
      <w:r w:rsidR="00AD4CB9" w:rsidRPr="00406FAA">
        <w:rPr>
          <w:lang w:val="pl-PL"/>
        </w:rPr>
        <w:t xml:space="preserve">, </w:t>
      </w:r>
      <w:r w:rsidR="005F33B3" w:rsidRPr="00406FAA">
        <w:rPr>
          <w:lang w:val="pl-PL"/>
        </w:rPr>
        <w:t>nr </w:t>
      </w:r>
      <w:r w:rsidR="00AD4CB9" w:rsidRPr="00406FAA">
        <w:rPr>
          <w:lang w:val="pl-PL"/>
        </w:rPr>
        <w:t xml:space="preserve">29353/06, </w:t>
      </w:r>
      <w:r w:rsidR="005F33B3" w:rsidRPr="00406FAA">
        <w:rPr>
          <w:lang w:val="pl-PL"/>
        </w:rPr>
        <w:t>§ </w:t>
      </w:r>
      <w:r w:rsidR="00AD4CB9" w:rsidRPr="00406FAA">
        <w:rPr>
          <w:lang w:val="pl-PL"/>
        </w:rPr>
        <w:t>42, 10 lipca 2012</w:t>
      </w:r>
      <w:r w:rsidR="008069FE">
        <w:rPr>
          <w:lang w:val="pl-PL"/>
        </w:rPr>
        <w:t> </w:t>
      </w:r>
      <w:r w:rsidR="00AD4CB9" w:rsidRPr="00406FAA">
        <w:rPr>
          <w:lang w:val="pl-PL"/>
        </w:rPr>
        <w:t>r.). Ponieważ Sąd Apelacyjny</w:t>
      </w:r>
      <w:r w:rsidR="0068649A" w:rsidRPr="00406FAA">
        <w:rPr>
          <w:lang w:val="pl-PL"/>
        </w:rPr>
        <w:t xml:space="preserve"> w </w:t>
      </w:r>
      <w:r w:rsidR="00AD4CB9" w:rsidRPr="00406FAA">
        <w:rPr>
          <w:lang w:val="pl-PL"/>
        </w:rPr>
        <w:t>Białymstoku oddalił jednak wniosek dowodowy skarżącego</w:t>
      </w:r>
      <w:r w:rsidR="005F33B3" w:rsidRPr="00406FAA">
        <w:rPr>
          <w:lang w:val="pl-PL"/>
        </w:rPr>
        <w:t xml:space="preserve"> </w:t>
      </w:r>
      <w:r w:rsidR="005F33B3" w:rsidRPr="007F615C">
        <w:rPr>
          <w:i/>
          <w:iCs/>
          <w:lang w:val="pl-PL"/>
        </w:rPr>
        <w:t>a</w:t>
      </w:r>
      <w:r w:rsidR="005F33B3" w:rsidRPr="00406FAA">
        <w:rPr>
          <w:lang w:val="pl-PL"/>
        </w:rPr>
        <w:t> </w:t>
      </w:r>
      <w:proofErr w:type="spellStart"/>
      <w:r w:rsidR="00AD4CB9" w:rsidRPr="00406FAA">
        <w:rPr>
          <w:i/>
          <w:iCs/>
          <w:lang w:val="pl-PL"/>
        </w:rPr>
        <w:t>limine</w:t>
      </w:r>
      <w:proofErr w:type="spellEnd"/>
      <w:r w:rsidR="00AD4CB9" w:rsidRPr="00406FAA">
        <w:rPr>
          <w:lang w:val="pl-PL"/>
        </w:rPr>
        <w:t xml:space="preserve"> bez jakiegokolwiek odniesienia do statusu R.W., Trybunał nie jest przekonany, że władze krajowe podjęły wszelkie uzasadnione starania, aby umożliwić skarżącemu uzyskanie odpowiedzi od R.W. na etapie postępowania apelacyjnego (zob.</w:t>
      </w:r>
      <w:r w:rsidR="005F33B3" w:rsidRPr="00406FAA">
        <w:rPr>
          <w:lang w:val="pl-PL"/>
        </w:rPr>
        <w:t xml:space="preserve"> i </w:t>
      </w:r>
      <w:r w:rsidR="00AD4CB9" w:rsidRPr="00406FAA">
        <w:rPr>
          <w:lang w:val="pl-PL"/>
        </w:rPr>
        <w:t xml:space="preserve">por. </w:t>
      </w:r>
      <w:proofErr w:type="spellStart"/>
      <w:r w:rsidR="00AD4CB9" w:rsidRPr="00406FAA">
        <w:rPr>
          <w:i/>
          <w:iCs/>
          <w:lang w:val="pl-PL"/>
        </w:rPr>
        <w:t>Vidgen</w:t>
      </w:r>
      <w:proofErr w:type="spellEnd"/>
      <w:r w:rsidR="00AD4CB9" w:rsidRPr="00406FAA">
        <w:rPr>
          <w:lang w:val="pl-PL"/>
        </w:rPr>
        <w:t xml:space="preserve">, </w:t>
      </w:r>
      <w:r w:rsidR="00AD4CB9" w:rsidRPr="00406FAA">
        <w:rPr>
          <w:i/>
          <w:iCs/>
          <w:lang w:val="pl-PL"/>
        </w:rPr>
        <w:t>op. cit.</w:t>
      </w:r>
      <w:r w:rsidR="00AD4CB9" w:rsidRPr="00406FAA">
        <w:rPr>
          <w:lang w:val="pl-PL"/>
        </w:rPr>
        <w:t>, §</w:t>
      </w:r>
      <w:r w:rsidR="005F33B3" w:rsidRPr="00406FAA">
        <w:rPr>
          <w:lang w:val="pl-PL"/>
        </w:rPr>
        <w:t>§ </w:t>
      </w:r>
      <w:r w:rsidR="00AD4CB9" w:rsidRPr="00406FAA">
        <w:rPr>
          <w:lang w:val="pl-PL"/>
        </w:rPr>
        <w:t>14–16</w:t>
      </w:r>
      <w:r w:rsidR="005F33B3" w:rsidRPr="00406FAA">
        <w:rPr>
          <w:lang w:val="pl-PL"/>
        </w:rPr>
        <w:t xml:space="preserve"> i </w:t>
      </w:r>
      <w:r w:rsidR="00AD4CB9" w:rsidRPr="00406FAA">
        <w:rPr>
          <w:lang w:val="pl-PL"/>
        </w:rPr>
        <w:t>47).</w:t>
      </w:r>
    </w:p>
    <w:p w14:paraId="6125D3AC" w14:textId="0E7A64D5"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27</w:t>
      </w:r>
      <w:r w:rsidRPr="00406FAA">
        <w:rPr>
          <w:lang w:val="pl-PL"/>
        </w:rPr>
        <w:fldChar w:fldCharType="end"/>
      </w:r>
      <w:r w:rsidR="00AD4CB9" w:rsidRPr="00406FAA">
        <w:rPr>
          <w:lang w:val="pl-PL"/>
        </w:rPr>
        <w:t>.  W każdym razie brak ważnego powodu niestawiennictwa świadka nie może sam</w:t>
      </w:r>
      <w:r w:rsidR="0068649A" w:rsidRPr="00406FAA">
        <w:rPr>
          <w:lang w:val="pl-PL"/>
        </w:rPr>
        <w:t xml:space="preserve"> w </w:t>
      </w:r>
      <w:r w:rsidR="00AD4CB9" w:rsidRPr="00406FAA">
        <w:rPr>
          <w:lang w:val="pl-PL"/>
        </w:rPr>
        <w:t>sobie prowadzić do stwierdzenia nierzetelności procesu. Pozostaje jednak bardzo ważnym czynnikiem, który należy rozważyć przy ocenie ogólnej rzetelności procesu</w:t>
      </w:r>
      <w:r w:rsidR="005F33B3" w:rsidRPr="00406FAA">
        <w:rPr>
          <w:lang w:val="pl-PL"/>
        </w:rPr>
        <w:t xml:space="preserve"> i </w:t>
      </w:r>
      <w:r w:rsidR="00AD4CB9" w:rsidRPr="00406FAA">
        <w:rPr>
          <w:lang w:val="pl-PL"/>
        </w:rPr>
        <w:t>który może przechylić szalę</w:t>
      </w:r>
      <w:r w:rsidR="0068649A" w:rsidRPr="00406FAA">
        <w:rPr>
          <w:lang w:val="pl-PL"/>
        </w:rPr>
        <w:t xml:space="preserve"> w </w:t>
      </w:r>
      <w:r w:rsidR="00AD4CB9" w:rsidRPr="00406FAA">
        <w:rPr>
          <w:lang w:val="pl-PL"/>
        </w:rPr>
        <w:t xml:space="preserve">kierunku stwierdzenia naruszenia </w:t>
      </w:r>
      <w:r w:rsidR="005F33B3" w:rsidRPr="00406FAA">
        <w:rPr>
          <w:lang w:val="pl-PL"/>
        </w:rPr>
        <w:t>art. </w:t>
      </w:r>
      <w:r w:rsidR="00AD4CB9" w:rsidRPr="00406FAA">
        <w:rPr>
          <w:lang w:val="pl-PL"/>
        </w:rPr>
        <w:t xml:space="preserve">6 </w:t>
      </w:r>
      <w:r w:rsidR="005F33B3" w:rsidRPr="00406FAA">
        <w:rPr>
          <w:lang w:val="pl-PL"/>
        </w:rPr>
        <w:t>ust. </w:t>
      </w:r>
      <w:r w:rsidR="00AD4CB9" w:rsidRPr="00406FAA">
        <w:rPr>
          <w:lang w:val="pl-PL"/>
        </w:rPr>
        <w:t>1</w:t>
      </w:r>
      <w:r w:rsidR="005F33B3" w:rsidRPr="00406FAA">
        <w:rPr>
          <w:lang w:val="pl-PL"/>
        </w:rPr>
        <w:t xml:space="preserve"> i</w:t>
      </w:r>
      <w:r w:rsidR="0077239A">
        <w:rPr>
          <w:lang w:val="pl-PL"/>
        </w:rPr>
        <w:t xml:space="preserve"> art. 6 </w:t>
      </w:r>
      <w:r w:rsidR="005F33B3" w:rsidRPr="00406FAA">
        <w:rPr>
          <w:lang w:val="pl-PL"/>
        </w:rPr>
        <w:t>ust. </w:t>
      </w:r>
      <w:r w:rsidR="00AD4CB9" w:rsidRPr="00406FAA">
        <w:rPr>
          <w:lang w:val="pl-PL"/>
        </w:rPr>
        <w:t xml:space="preserve">3 </w:t>
      </w:r>
      <w:r w:rsidR="005F33B3" w:rsidRPr="00406FAA">
        <w:rPr>
          <w:lang w:val="pl-PL"/>
        </w:rPr>
        <w:t>lit. </w:t>
      </w:r>
      <w:r w:rsidR="00AD4CB9" w:rsidRPr="00406FAA">
        <w:rPr>
          <w:lang w:val="pl-PL"/>
        </w:rPr>
        <w:t>d</w:t>
      </w:r>
      <w:r w:rsidR="00B25F43">
        <w:rPr>
          <w:lang w:val="pl-PL"/>
        </w:rPr>
        <w:t>)</w:t>
      </w:r>
      <w:r w:rsidR="00AD4CB9" w:rsidRPr="00406FAA">
        <w:rPr>
          <w:lang w:val="pl-PL"/>
        </w:rPr>
        <w:t xml:space="preserve"> (zob. </w:t>
      </w:r>
      <w:proofErr w:type="spellStart"/>
      <w:r w:rsidR="00AD4CB9" w:rsidRPr="00406FAA">
        <w:rPr>
          <w:i/>
          <w:iCs/>
          <w:lang w:val="pl-PL"/>
        </w:rPr>
        <w:t>Schatschaschwili</w:t>
      </w:r>
      <w:proofErr w:type="spellEnd"/>
      <w:r w:rsidR="00AD4CB9" w:rsidRPr="00406FAA">
        <w:rPr>
          <w:lang w:val="pl-PL"/>
        </w:rPr>
        <w:t xml:space="preserve">, </w:t>
      </w:r>
      <w:r w:rsidR="00AD4CB9" w:rsidRPr="00406FAA">
        <w:rPr>
          <w:i/>
          <w:iCs/>
          <w:lang w:val="pl-PL"/>
        </w:rPr>
        <w:t>op. cit.</w:t>
      </w:r>
      <w:r w:rsidR="00AD4CB9" w:rsidRPr="00406FAA">
        <w:rPr>
          <w:lang w:val="pl-PL"/>
        </w:rPr>
        <w:t xml:space="preserve">, </w:t>
      </w:r>
      <w:r w:rsidR="005F33B3" w:rsidRPr="00406FAA">
        <w:rPr>
          <w:lang w:val="pl-PL"/>
        </w:rPr>
        <w:t>§ </w:t>
      </w:r>
      <w:r w:rsidR="00AD4CB9" w:rsidRPr="00406FAA">
        <w:rPr>
          <w:lang w:val="pl-PL"/>
        </w:rPr>
        <w:t>113).</w:t>
      </w:r>
    </w:p>
    <w:p w14:paraId="033656D6" w14:textId="77777777" w:rsidR="00F97474" w:rsidRPr="00406FAA" w:rsidRDefault="00AD4CB9" w:rsidP="00432751">
      <w:pPr>
        <w:pStyle w:val="JuHA"/>
        <w:rPr>
          <w:lang w:val="pl-PL"/>
        </w:rPr>
      </w:pPr>
      <w:r w:rsidRPr="00406FAA">
        <w:rPr>
          <w:lang w:val="pl-PL"/>
        </w:rPr>
        <w:t>Czy skazanie skarżącego opierało się wyłącznie lub głównie na zeznaniach R.W.</w:t>
      </w:r>
    </w:p>
    <w:p w14:paraId="56AE120D"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28</w:t>
      </w:r>
      <w:r w:rsidRPr="00406FAA">
        <w:rPr>
          <w:lang w:val="pl-PL"/>
        </w:rPr>
        <w:fldChar w:fldCharType="end"/>
      </w:r>
      <w:r w:rsidR="00AD4CB9" w:rsidRPr="00406FAA">
        <w:rPr>
          <w:lang w:val="pl-PL"/>
        </w:rPr>
        <w:t>.  Rząd nie kwestionował, że zeznania R.W. stanowiły główny dowód przeciwko skarżącemu. W uzasadnieniu podanym przez sądy krajowe (podsumowanym</w:t>
      </w:r>
      <w:r w:rsidR="0068649A" w:rsidRPr="00406FAA">
        <w:rPr>
          <w:lang w:val="pl-PL"/>
        </w:rPr>
        <w:t xml:space="preserve"> w </w:t>
      </w:r>
      <w:r w:rsidR="00AD4CB9" w:rsidRPr="00406FAA">
        <w:rPr>
          <w:lang w:val="pl-PL"/>
        </w:rPr>
        <w:t xml:space="preserve">paragrafach </w:t>
      </w:r>
      <w:r w:rsidR="00CD5586" w:rsidRPr="00406FAA">
        <w:rPr>
          <w:lang w:val="pl-PL"/>
        </w:rPr>
        <w:fldChar w:fldCharType="begin"/>
      </w:r>
      <w:r w:rsidR="00AD4CB9" w:rsidRPr="00406FAA">
        <w:rPr>
          <w:lang w:val="pl-PL"/>
        </w:rPr>
        <w:instrText xml:space="preserve"> REF paragraph00007 \h  \* CharFormat </w:instrText>
      </w:r>
      <w:r w:rsidR="00CD5586" w:rsidRPr="00406FAA">
        <w:rPr>
          <w:lang w:val="pl-PL"/>
        </w:rPr>
      </w:r>
      <w:r w:rsidR="00CD5586" w:rsidRPr="00406FAA">
        <w:rPr>
          <w:lang w:val="pl-PL"/>
        </w:rPr>
        <w:fldChar w:fldCharType="separate"/>
      </w:r>
      <w:r w:rsidR="00AD4CB9" w:rsidRPr="00406FAA">
        <w:rPr>
          <w:lang w:val="pl-PL"/>
        </w:rPr>
        <w:t>7</w:t>
      </w:r>
      <w:r w:rsidR="00CD5586" w:rsidRPr="00406FAA">
        <w:rPr>
          <w:lang w:val="pl-PL"/>
        </w:rPr>
        <w:fldChar w:fldCharType="end"/>
      </w:r>
      <w:r w:rsidR="00AD4CB9" w:rsidRPr="00406FAA">
        <w:rPr>
          <w:lang w:val="pl-PL"/>
        </w:rPr>
        <w:t>–</w:t>
      </w:r>
      <w:r w:rsidR="00CD5586" w:rsidRPr="00406FAA">
        <w:rPr>
          <w:lang w:val="pl-PL"/>
        </w:rPr>
        <w:fldChar w:fldCharType="begin"/>
      </w:r>
      <w:r w:rsidR="00AD4CB9" w:rsidRPr="00406FAA">
        <w:rPr>
          <w:lang w:val="pl-PL"/>
        </w:rPr>
        <w:instrText xml:space="preserve"> REF paragraph00009 \h  \* CharFormat </w:instrText>
      </w:r>
      <w:r w:rsidR="00CD5586" w:rsidRPr="00406FAA">
        <w:rPr>
          <w:lang w:val="pl-PL"/>
        </w:rPr>
      </w:r>
      <w:r w:rsidR="00CD5586" w:rsidRPr="00406FAA">
        <w:rPr>
          <w:lang w:val="pl-PL"/>
        </w:rPr>
        <w:fldChar w:fldCharType="separate"/>
      </w:r>
      <w:r w:rsidR="00AD4CB9" w:rsidRPr="00406FAA">
        <w:rPr>
          <w:lang w:val="pl-PL"/>
        </w:rPr>
        <w:t>9</w:t>
      </w:r>
      <w:r w:rsidR="00CD5586" w:rsidRPr="00406FAA">
        <w:rPr>
          <w:lang w:val="pl-PL"/>
        </w:rPr>
        <w:fldChar w:fldCharType="end"/>
      </w:r>
      <w:r w:rsidR="005F33B3" w:rsidRPr="00406FAA">
        <w:rPr>
          <w:lang w:val="pl-PL"/>
        </w:rPr>
        <w:t xml:space="preserve"> i </w:t>
      </w:r>
      <w:r w:rsidR="00CD5586" w:rsidRPr="00406FAA">
        <w:rPr>
          <w:lang w:val="pl-PL"/>
        </w:rPr>
        <w:fldChar w:fldCharType="begin"/>
      </w:r>
      <w:r w:rsidR="00AD4CB9" w:rsidRPr="00406FAA">
        <w:rPr>
          <w:lang w:val="pl-PL"/>
        </w:rPr>
        <w:instrText xml:space="preserve"> REF paragraph00013 \h  \* CharFormat </w:instrText>
      </w:r>
      <w:r w:rsidR="00CD5586" w:rsidRPr="00406FAA">
        <w:rPr>
          <w:lang w:val="pl-PL"/>
        </w:rPr>
      </w:r>
      <w:r w:rsidR="00CD5586" w:rsidRPr="00406FAA">
        <w:rPr>
          <w:lang w:val="pl-PL"/>
        </w:rPr>
        <w:fldChar w:fldCharType="separate"/>
      </w:r>
      <w:r w:rsidR="00AD4CB9" w:rsidRPr="00406FAA">
        <w:rPr>
          <w:lang w:val="pl-PL"/>
        </w:rPr>
        <w:t>13</w:t>
      </w:r>
      <w:r w:rsidR="00CD5586" w:rsidRPr="00406FAA">
        <w:rPr>
          <w:lang w:val="pl-PL"/>
        </w:rPr>
        <w:fldChar w:fldCharType="end"/>
      </w:r>
      <w:r w:rsidR="00AD4CB9" w:rsidRPr="00406FAA">
        <w:rPr>
          <w:lang w:val="pl-PL"/>
        </w:rPr>
        <w:t>–</w:t>
      </w:r>
      <w:r w:rsidR="00CD5586" w:rsidRPr="00406FAA">
        <w:rPr>
          <w:lang w:val="pl-PL"/>
        </w:rPr>
        <w:fldChar w:fldCharType="begin"/>
      </w:r>
      <w:r w:rsidR="00AD4CB9" w:rsidRPr="00406FAA">
        <w:rPr>
          <w:lang w:val="pl-PL"/>
        </w:rPr>
        <w:instrText xml:space="preserve"> REF paragraph00014 \h  \* CharFormat </w:instrText>
      </w:r>
      <w:r w:rsidR="00CD5586" w:rsidRPr="00406FAA">
        <w:rPr>
          <w:lang w:val="pl-PL"/>
        </w:rPr>
      </w:r>
      <w:r w:rsidR="00CD5586" w:rsidRPr="00406FAA">
        <w:rPr>
          <w:lang w:val="pl-PL"/>
        </w:rPr>
        <w:fldChar w:fldCharType="separate"/>
      </w:r>
      <w:r w:rsidR="00AD4CB9" w:rsidRPr="00406FAA">
        <w:rPr>
          <w:lang w:val="pl-PL"/>
        </w:rPr>
        <w:t>14</w:t>
      </w:r>
      <w:r w:rsidR="00CD5586" w:rsidRPr="00406FAA">
        <w:rPr>
          <w:lang w:val="pl-PL"/>
        </w:rPr>
        <w:fldChar w:fldCharType="end"/>
      </w:r>
      <w:r w:rsidR="00AD4CB9" w:rsidRPr="00406FAA">
        <w:rPr>
          <w:lang w:val="pl-PL"/>
        </w:rPr>
        <w:t xml:space="preserve"> powyżej) wskazuje się na zeznania jako jedyny dowód przeciwko skarżącemu</w:t>
      </w:r>
      <w:r w:rsidR="0068649A" w:rsidRPr="00406FAA">
        <w:rPr>
          <w:lang w:val="pl-PL"/>
        </w:rPr>
        <w:t xml:space="preserve"> w </w:t>
      </w:r>
      <w:r w:rsidR="00AD4CB9" w:rsidRPr="00406FAA">
        <w:rPr>
          <w:lang w:val="pl-PL"/>
        </w:rPr>
        <w:t>sprawie zarzutów związanych</w:t>
      </w:r>
      <w:r w:rsidR="0068649A" w:rsidRPr="00406FAA">
        <w:rPr>
          <w:lang w:val="pl-PL"/>
        </w:rPr>
        <w:t xml:space="preserve"> z </w:t>
      </w:r>
      <w:r w:rsidR="00AD4CB9" w:rsidRPr="00406FAA">
        <w:rPr>
          <w:lang w:val="pl-PL"/>
        </w:rPr>
        <w:t>bronią palną albo</w:t>
      </w:r>
      <w:r w:rsidR="0068649A" w:rsidRPr="00406FAA">
        <w:rPr>
          <w:lang w:val="pl-PL"/>
        </w:rPr>
        <w:t xml:space="preserve"> w </w:t>
      </w:r>
      <w:r w:rsidR="00AD4CB9" w:rsidRPr="00406FAA">
        <w:rPr>
          <w:lang w:val="pl-PL"/>
        </w:rPr>
        <w:t>sposób wyraźny (w</w:t>
      </w:r>
      <w:r w:rsidR="00197F95" w:rsidRPr="00406FAA">
        <w:rPr>
          <w:lang w:val="pl-PL"/>
        </w:rPr>
        <w:t> </w:t>
      </w:r>
      <w:r w:rsidR="00AD4CB9" w:rsidRPr="00406FAA">
        <w:rPr>
          <w:lang w:val="pl-PL"/>
        </w:rPr>
        <w:t>odniesieniu do postrzelenia Ł.W.), albo</w:t>
      </w:r>
      <w:r w:rsidR="0068649A" w:rsidRPr="00406FAA">
        <w:rPr>
          <w:lang w:val="pl-PL"/>
        </w:rPr>
        <w:t xml:space="preserve"> w </w:t>
      </w:r>
      <w:r w:rsidR="00AD4CB9" w:rsidRPr="00406FAA">
        <w:rPr>
          <w:lang w:val="pl-PL"/>
        </w:rPr>
        <w:t>sposób dorozumiany (w</w:t>
      </w:r>
      <w:r w:rsidR="00197F95" w:rsidRPr="00406FAA">
        <w:rPr>
          <w:lang w:val="pl-PL"/>
        </w:rPr>
        <w:t> </w:t>
      </w:r>
      <w:r w:rsidR="00AD4CB9" w:rsidRPr="00406FAA">
        <w:rPr>
          <w:lang w:val="pl-PL"/>
        </w:rPr>
        <w:t>odniesieniu do posiadania broni palnej</w:t>
      </w:r>
      <w:r w:rsidR="005F33B3" w:rsidRPr="00406FAA">
        <w:rPr>
          <w:lang w:val="pl-PL"/>
        </w:rPr>
        <w:t xml:space="preserve"> i </w:t>
      </w:r>
      <w:r w:rsidR="00AD4CB9" w:rsidRPr="00406FAA">
        <w:rPr>
          <w:lang w:val="pl-PL"/>
        </w:rPr>
        <w:t>postrzelenia M.K.).</w:t>
      </w:r>
    </w:p>
    <w:p w14:paraId="6EF77369"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29</w:t>
      </w:r>
      <w:r w:rsidRPr="00406FAA">
        <w:rPr>
          <w:lang w:val="pl-PL"/>
        </w:rPr>
        <w:fldChar w:fldCharType="end"/>
      </w:r>
      <w:r w:rsidR="00AD4CB9" w:rsidRPr="00406FAA">
        <w:rPr>
          <w:lang w:val="pl-PL"/>
        </w:rPr>
        <w:t>.  W świetle powyższego przedmiotowy –</w:t>
      </w:r>
      <w:r w:rsidR="005F33B3" w:rsidRPr="00406FAA">
        <w:rPr>
          <w:lang w:val="pl-PL"/>
        </w:rPr>
        <w:t xml:space="preserve"> o </w:t>
      </w:r>
      <w:r w:rsidR="00AD4CB9" w:rsidRPr="00406FAA">
        <w:rPr>
          <w:lang w:val="pl-PL"/>
        </w:rPr>
        <w:t>ile nie jedyny – dowód</w:t>
      </w:r>
      <w:r w:rsidR="0068649A" w:rsidRPr="00406FAA">
        <w:rPr>
          <w:lang w:val="pl-PL"/>
        </w:rPr>
        <w:t xml:space="preserve"> w </w:t>
      </w:r>
      <w:r w:rsidR="00AD4CB9" w:rsidRPr="00406FAA">
        <w:rPr>
          <w:lang w:val="pl-PL"/>
        </w:rPr>
        <w:t>oczywisty sposób przesądził</w:t>
      </w:r>
      <w:r w:rsidR="005F33B3" w:rsidRPr="00406FAA">
        <w:rPr>
          <w:lang w:val="pl-PL"/>
        </w:rPr>
        <w:t xml:space="preserve"> o </w:t>
      </w:r>
      <w:r w:rsidR="00AD4CB9" w:rsidRPr="00406FAA">
        <w:rPr>
          <w:lang w:val="pl-PL"/>
        </w:rPr>
        <w:t>skazaniu skarżącego. Takie niezbadane dowody mają duży wpływ na równowagę</w:t>
      </w:r>
      <w:r w:rsidR="005F33B3" w:rsidRPr="00406FAA">
        <w:rPr>
          <w:lang w:val="pl-PL"/>
        </w:rPr>
        <w:t xml:space="preserve"> i </w:t>
      </w:r>
      <w:r w:rsidR="00AD4CB9" w:rsidRPr="00406FAA">
        <w:rPr>
          <w:lang w:val="pl-PL"/>
        </w:rPr>
        <w:t>wymagają wystarczających czynników równoważących, aby zrekompensować trudności dla obrony wynikające</w:t>
      </w:r>
      <w:r w:rsidR="0068649A" w:rsidRPr="00406FAA">
        <w:rPr>
          <w:lang w:val="pl-PL"/>
        </w:rPr>
        <w:t xml:space="preserve"> z </w:t>
      </w:r>
      <w:r w:rsidR="00AD4CB9" w:rsidRPr="00406FAA">
        <w:rPr>
          <w:lang w:val="pl-PL"/>
        </w:rPr>
        <w:t xml:space="preserve">ich dopuszczenia (zob. </w:t>
      </w:r>
      <w:r w:rsidR="00AD4CB9" w:rsidRPr="00406FAA">
        <w:rPr>
          <w:i/>
          <w:iCs/>
          <w:lang w:val="pl-PL"/>
        </w:rPr>
        <w:t>Al-</w:t>
      </w:r>
      <w:proofErr w:type="spellStart"/>
      <w:r w:rsidR="00AD4CB9" w:rsidRPr="00406FAA">
        <w:rPr>
          <w:i/>
          <w:iCs/>
          <w:lang w:val="pl-PL"/>
        </w:rPr>
        <w:t>Khawaja</w:t>
      </w:r>
      <w:proofErr w:type="spellEnd"/>
      <w:r w:rsidR="005F33B3" w:rsidRPr="00406FAA">
        <w:rPr>
          <w:i/>
          <w:iCs/>
          <w:lang w:val="pl-PL"/>
        </w:rPr>
        <w:t xml:space="preserve"> i </w:t>
      </w:r>
      <w:proofErr w:type="spellStart"/>
      <w:r w:rsidR="00AD4CB9" w:rsidRPr="00406FAA">
        <w:rPr>
          <w:i/>
          <w:iCs/>
          <w:lang w:val="pl-PL"/>
        </w:rPr>
        <w:t>Tahery</w:t>
      </w:r>
      <w:proofErr w:type="spellEnd"/>
      <w:r w:rsidR="00AD4CB9" w:rsidRPr="00406FAA">
        <w:rPr>
          <w:i/>
          <w:iCs/>
          <w:lang w:val="pl-PL"/>
        </w:rPr>
        <w:t>, op. cit.</w:t>
      </w:r>
      <w:r w:rsidR="00AD4CB9" w:rsidRPr="00406FAA">
        <w:rPr>
          <w:lang w:val="pl-PL"/>
        </w:rPr>
        <w:t>, §</w:t>
      </w:r>
      <w:r w:rsidR="005F33B3" w:rsidRPr="00406FAA">
        <w:rPr>
          <w:lang w:val="pl-PL"/>
        </w:rPr>
        <w:t>§ </w:t>
      </w:r>
      <w:r w:rsidR="00AD4CB9" w:rsidRPr="00406FAA">
        <w:rPr>
          <w:lang w:val="pl-PL"/>
        </w:rPr>
        <w:t>160–161).</w:t>
      </w:r>
    </w:p>
    <w:p w14:paraId="26136933" w14:textId="77777777" w:rsidR="00F97474" w:rsidRPr="00406FAA" w:rsidRDefault="00AD4CB9" w:rsidP="00432751">
      <w:pPr>
        <w:pStyle w:val="JuHA"/>
        <w:rPr>
          <w:lang w:val="pl-PL"/>
        </w:rPr>
      </w:pPr>
      <w:r w:rsidRPr="00406FAA">
        <w:rPr>
          <w:lang w:val="pl-PL"/>
        </w:rPr>
        <w:t>Czy istniały wystarczające czynniki równoważące</w:t>
      </w:r>
    </w:p>
    <w:p w14:paraId="51B78C4A"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30</w:t>
      </w:r>
      <w:r w:rsidRPr="00406FAA">
        <w:rPr>
          <w:lang w:val="pl-PL"/>
        </w:rPr>
        <w:fldChar w:fldCharType="end"/>
      </w:r>
      <w:r w:rsidR="00AD4CB9" w:rsidRPr="00406FAA">
        <w:rPr>
          <w:lang w:val="pl-PL"/>
        </w:rPr>
        <w:t>.  Chociaż</w:t>
      </w:r>
      <w:r w:rsidR="0068649A" w:rsidRPr="00406FAA">
        <w:rPr>
          <w:lang w:val="pl-PL"/>
        </w:rPr>
        <w:t xml:space="preserve"> w </w:t>
      </w:r>
      <w:r w:rsidR="00AD4CB9" w:rsidRPr="00406FAA">
        <w:rPr>
          <w:lang w:val="pl-PL"/>
        </w:rPr>
        <w:t xml:space="preserve">odróżnieniu od sprawy </w:t>
      </w:r>
      <w:r w:rsidR="00AD4CB9" w:rsidRPr="00406FAA">
        <w:rPr>
          <w:i/>
          <w:iCs/>
          <w:lang w:val="pl-PL"/>
        </w:rPr>
        <w:t>Kuchta</w:t>
      </w:r>
      <w:r w:rsidR="00AD4CB9" w:rsidRPr="00406FAA">
        <w:rPr>
          <w:lang w:val="pl-PL"/>
        </w:rPr>
        <w:t xml:space="preserve"> (</w:t>
      </w:r>
      <w:r w:rsidR="00AD4CB9" w:rsidRPr="00406FAA">
        <w:rPr>
          <w:i/>
          <w:iCs/>
          <w:lang w:val="pl-PL"/>
        </w:rPr>
        <w:t>op. cit.</w:t>
      </w:r>
      <w:r w:rsidR="00AD4CB9" w:rsidRPr="00406FAA">
        <w:rPr>
          <w:lang w:val="pl-PL"/>
        </w:rPr>
        <w:t>) sąd pierwszej instancji miał bezpośredni, choć krótki, kontakt</w:t>
      </w:r>
      <w:r w:rsidR="0068649A" w:rsidRPr="00406FAA">
        <w:rPr>
          <w:lang w:val="pl-PL"/>
        </w:rPr>
        <w:t xml:space="preserve"> z </w:t>
      </w:r>
      <w:r w:rsidR="00AD4CB9" w:rsidRPr="00406FAA">
        <w:rPr>
          <w:lang w:val="pl-PL"/>
        </w:rPr>
        <w:t>R.W., faktem pozostaje, że zeznań tej osoby, złożonych na etapie postępowania przygotowawczego</w:t>
      </w:r>
      <w:r w:rsidR="005F33B3" w:rsidRPr="00406FAA">
        <w:rPr>
          <w:lang w:val="pl-PL"/>
        </w:rPr>
        <w:t xml:space="preserve"> i </w:t>
      </w:r>
      <w:r w:rsidR="00AD4CB9" w:rsidRPr="00406FAA">
        <w:rPr>
          <w:lang w:val="pl-PL"/>
        </w:rPr>
        <w:t>obciążających skarżącego, nigdy nie zbadano</w:t>
      </w:r>
      <w:r w:rsidR="0068649A" w:rsidRPr="00406FAA">
        <w:rPr>
          <w:lang w:val="pl-PL"/>
        </w:rPr>
        <w:t xml:space="preserve"> w </w:t>
      </w:r>
      <w:r w:rsidR="00AD4CB9" w:rsidRPr="00406FAA">
        <w:rPr>
          <w:lang w:val="pl-PL"/>
        </w:rPr>
        <w:t>drodze bezpośredniego przesłuchania przez sąd lub obronę.</w:t>
      </w:r>
    </w:p>
    <w:p w14:paraId="098DC6A8"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31</w:t>
      </w:r>
      <w:r w:rsidRPr="00406FAA">
        <w:rPr>
          <w:lang w:val="pl-PL"/>
        </w:rPr>
        <w:fldChar w:fldCharType="end"/>
      </w:r>
      <w:r w:rsidR="00AD4CB9" w:rsidRPr="00406FAA">
        <w:rPr>
          <w:lang w:val="pl-PL"/>
        </w:rPr>
        <w:t>.  Ponadto chociaż sądy krajowe wskazały, że</w:t>
      </w:r>
      <w:r w:rsidR="0068649A" w:rsidRPr="00406FAA">
        <w:rPr>
          <w:lang w:val="pl-PL"/>
        </w:rPr>
        <w:t xml:space="preserve"> z </w:t>
      </w:r>
      <w:r w:rsidR="00AD4CB9" w:rsidRPr="00406FAA">
        <w:rPr>
          <w:lang w:val="pl-PL"/>
        </w:rPr>
        <w:t>ostrożnością podeszły do zeznań R.W., nie uzasadniły swoich orzeczeń zgodnie</w:t>
      </w:r>
      <w:r w:rsidR="0068649A" w:rsidRPr="00406FAA">
        <w:rPr>
          <w:lang w:val="pl-PL"/>
        </w:rPr>
        <w:t xml:space="preserve"> z </w:t>
      </w:r>
      <w:r w:rsidR="00AD4CB9" w:rsidRPr="00406FAA">
        <w:rPr>
          <w:lang w:val="pl-PL"/>
        </w:rPr>
        <w:t>kryteriami określonymi</w:t>
      </w:r>
      <w:r w:rsidR="0068649A" w:rsidRPr="00406FAA">
        <w:rPr>
          <w:lang w:val="pl-PL"/>
        </w:rPr>
        <w:t xml:space="preserve"> w </w:t>
      </w:r>
      <w:r w:rsidR="00AD4CB9" w:rsidRPr="00406FAA">
        <w:rPr>
          <w:lang w:val="pl-PL"/>
        </w:rPr>
        <w:t>wyroku</w:t>
      </w:r>
      <w:r w:rsidR="0068649A" w:rsidRPr="00406FAA">
        <w:rPr>
          <w:lang w:val="pl-PL"/>
        </w:rPr>
        <w:t xml:space="preserve"> w </w:t>
      </w:r>
      <w:r w:rsidR="00AD4CB9" w:rsidRPr="00406FAA">
        <w:rPr>
          <w:lang w:val="pl-PL"/>
        </w:rPr>
        <w:t xml:space="preserve">sprawie </w:t>
      </w:r>
      <w:r w:rsidR="00AD4CB9" w:rsidRPr="00406FAA">
        <w:rPr>
          <w:i/>
          <w:iCs/>
          <w:lang w:val="pl-PL"/>
        </w:rPr>
        <w:t>Al-</w:t>
      </w:r>
      <w:proofErr w:type="spellStart"/>
      <w:r w:rsidR="00AD4CB9" w:rsidRPr="00406FAA">
        <w:rPr>
          <w:i/>
          <w:iCs/>
          <w:lang w:val="pl-PL"/>
        </w:rPr>
        <w:t>Khawaja</w:t>
      </w:r>
      <w:proofErr w:type="spellEnd"/>
      <w:r w:rsidR="005F33B3" w:rsidRPr="00406FAA">
        <w:rPr>
          <w:i/>
          <w:iCs/>
          <w:lang w:val="pl-PL"/>
        </w:rPr>
        <w:t xml:space="preserve"> i </w:t>
      </w:r>
      <w:proofErr w:type="spellStart"/>
      <w:r w:rsidR="00AD4CB9" w:rsidRPr="00406FAA">
        <w:rPr>
          <w:i/>
          <w:iCs/>
          <w:lang w:val="pl-PL"/>
        </w:rPr>
        <w:t>Tahery</w:t>
      </w:r>
      <w:proofErr w:type="spellEnd"/>
      <w:r w:rsidR="00AD4CB9" w:rsidRPr="00406FAA">
        <w:rPr>
          <w:lang w:val="pl-PL"/>
        </w:rPr>
        <w:t xml:space="preserve">. Sądy te odniosły się </w:t>
      </w:r>
      <w:r w:rsidR="00AD4CB9" w:rsidRPr="00406FAA">
        <w:rPr>
          <w:lang w:val="pl-PL"/>
        </w:rPr>
        <w:lastRenderedPageBreak/>
        <w:t xml:space="preserve">do ogólnej formalnej dopuszczalności opierania się na zeznaniach złożonych przez współoskarżonego (a nie przez świadka </w:t>
      </w:r>
      <w:r w:rsidR="00AD4CB9" w:rsidRPr="00406FAA">
        <w:rPr>
          <w:i/>
          <w:iCs/>
          <w:lang w:val="pl-PL"/>
        </w:rPr>
        <w:t>stricto sensu</w:t>
      </w:r>
      <w:r w:rsidR="00AD4CB9" w:rsidRPr="00406FAA">
        <w:rPr>
          <w:lang w:val="pl-PL"/>
        </w:rPr>
        <w:t>)</w:t>
      </w:r>
      <w:r w:rsidR="005F33B3" w:rsidRPr="00406FAA">
        <w:rPr>
          <w:lang w:val="pl-PL"/>
        </w:rPr>
        <w:t xml:space="preserve"> i </w:t>
      </w:r>
      <w:r w:rsidR="00AD4CB9" w:rsidRPr="00406FAA">
        <w:rPr>
          <w:lang w:val="pl-PL"/>
        </w:rPr>
        <w:t>oceniły wiarygodność zeznań R.W.,</w:t>
      </w:r>
      <w:r w:rsidR="005F33B3" w:rsidRPr="00406FAA">
        <w:rPr>
          <w:lang w:val="pl-PL"/>
        </w:rPr>
        <w:t xml:space="preserve"> a </w:t>
      </w:r>
      <w:r w:rsidR="00AD4CB9" w:rsidRPr="00406FAA">
        <w:rPr>
          <w:lang w:val="pl-PL"/>
        </w:rPr>
        <w:t>także sprzeczności</w:t>
      </w:r>
      <w:r w:rsidR="0068649A" w:rsidRPr="00406FAA">
        <w:rPr>
          <w:lang w:val="pl-PL"/>
        </w:rPr>
        <w:t xml:space="preserve"> w </w:t>
      </w:r>
      <w:r w:rsidR="00AD4CB9" w:rsidRPr="00406FAA">
        <w:rPr>
          <w:lang w:val="pl-PL"/>
        </w:rPr>
        <w:t>zgromadzonym materiale dowodowym.</w:t>
      </w:r>
    </w:p>
    <w:p w14:paraId="1F0AD15B" w14:textId="087B03CB"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32</w:t>
      </w:r>
      <w:r w:rsidRPr="00406FAA">
        <w:rPr>
          <w:lang w:val="pl-PL"/>
        </w:rPr>
        <w:fldChar w:fldCharType="end"/>
      </w:r>
      <w:r w:rsidR="00AD4CB9" w:rsidRPr="00406FAA">
        <w:rPr>
          <w:lang w:val="pl-PL"/>
        </w:rPr>
        <w:t>.  Sądy krajowe uznały zeznania R.W. za szczególnie ważne,</w:t>
      </w:r>
      <w:r w:rsidR="005F33B3" w:rsidRPr="00406FAA">
        <w:rPr>
          <w:lang w:val="pl-PL"/>
        </w:rPr>
        <w:t xml:space="preserve"> a</w:t>
      </w:r>
      <w:r w:rsidR="00A91CBF">
        <w:rPr>
          <w:lang w:val="pl-PL"/>
        </w:rPr>
        <w:t> </w:t>
      </w:r>
      <w:r w:rsidR="0068649A" w:rsidRPr="00406FAA">
        <w:rPr>
          <w:lang w:val="pl-PL"/>
        </w:rPr>
        <w:t>w </w:t>
      </w:r>
      <w:r w:rsidR="00AD4CB9" w:rsidRPr="00406FAA">
        <w:rPr>
          <w:lang w:val="pl-PL"/>
        </w:rPr>
        <w:t>przypadku gdy niektóre dowody kolidowały</w:t>
      </w:r>
      <w:r w:rsidR="0068649A" w:rsidRPr="00406FAA">
        <w:rPr>
          <w:lang w:val="pl-PL"/>
        </w:rPr>
        <w:t xml:space="preserve"> z </w:t>
      </w:r>
      <w:r w:rsidR="00AD4CB9" w:rsidRPr="00406FAA">
        <w:rPr>
          <w:lang w:val="pl-PL"/>
        </w:rPr>
        <w:t xml:space="preserve">wersją R.W., sądy uznały je za niewiarygodne (paragraf </w:t>
      </w:r>
      <w:r w:rsidR="00CD5586" w:rsidRPr="00406FAA">
        <w:rPr>
          <w:lang w:val="pl-PL"/>
        </w:rPr>
        <w:fldChar w:fldCharType="begin"/>
      </w:r>
      <w:r w:rsidR="00AD4CB9" w:rsidRPr="00406FAA">
        <w:rPr>
          <w:lang w:val="pl-PL"/>
        </w:rPr>
        <w:instrText xml:space="preserve"> REF paragraph00009 \h  \* CharFormat </w:instrText>
      </w:r>
      <w:r w:rsidR="00CD5586" w:rsidRPr="00406FAA">
        <w:rPr>
          <w:lang w:val="pl-PL"/>
        </w:rPr>
      </w:r>
      <w:r w:rsidR="00CD5586" w:rsidRPr="00406FAA">
        <w:rPr>
          <w:lang w:val="pl-PL"/>
        </w:rPr>
        <w:fldChar w:fldCharType="separate"/>
      </w:r>
      <w:r w:rsidR="00AD4CB9" w:rsidRPr="00406FAA">
        <w:rPr>
          <w:lang w:val="pl-PL"/>
        </w:rPr>
        <w:t>9</w:t>
      </w:r>
      <w:r w:rsidR="00CD5586" w:rsidRPr="00406FAA">
        <w:rPr>
          <w:lang w:val="pl-PL"/>
        </w:rPr>
        <w:fldChar w:fldCharType="end"/>
      </w:r>
      <w:r w:rsidR="00AD4CB9" w:rsidRPr="00406FAA">
        <w:rPr>
          <w:lang w:val="pl-PL"/>
        </w:rPr>
        <w:t xml:space="preserve"> powyżej).</w:t>
      </w:r>
    </w:p>
    <w:p w14:paraId="7D0E5DFB" w14:textId="1637651E"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33</w:t>
      </w:r>
      <w:r w:rsidRPr="00406FAA">
        <w:rPr>
          <w:lang w:val="pl-PL"/>
        </w:rPr>
        <w:fldChar w:fldCharType="end"/>
      </w:r>
      <w:r w:rsidR="00AD4CB9" w:rsidRPr="00406FAA">
        <w:rPr>
          <w:lang w:val="pl-PL"/>
        </w:rPr>
        <w:t>.  Chociaż prawdą jest, że zeznania R.W. odczytano podczas procesu, że skarżący miał możliwość przedstawienia własnej wersji wydarzeń</w:t>
      </w:r>
      <w:r w:rsidR="005F33B3" w:rsidRPr="00406FAA">
        <w:rPr>
          <w:lang w:val="pl-PL"/>
        </w:rPr>
        <w:t xml:space="preserve"> i </w:t>
      </w:r>
      <w:r w:rsidR="00AD4CB9" w:rsidRPr="00406FAA">
        <w:rPr>
          <w:lang w:val="pl-PL"/>
        </w:rPr>
        <w:t>że skorzystał</w:t>
      </w:r>
      <w:r w:rsidR="0068649A" w:rsidRPr="00406FAA">
        <w:rPr>
          <w:lang w:val="pl-PL"/>
        </w:rPr>
        <w:t xml:space="preserve"> z </w:t>
      </w:r>
      <w:r w:rsidR="00AD4CB9" w:rsidRPr="00406FAA">
        <w:rPr>
          <w:lang w:val="pl-PL"/>
        </w:rPr>
        <w:t xml:space="preserve">tej możliwości, nie wykazano, że istniały czynniki równoważące wystarczające do zrekompensowania trudności przysporzonych obronie (zob. </w:t>
      </w:r>
      <w:r w:rsidR="00AD4CB9" w:rsidRPr="00406FAA">
        <w:rPr>
          <w:i/>
          <w:iCs/>
          <w:lang w:val="pl-PL"/>
        </w:rPr>
        <w:t>Kuchta</w:t>
      </w:r>
      <w:r w:rsidR="00AD4CB9" w:rsidRPr="00406FAA">
        <w:rPr>
          <w:lang w:val="pl-PL"/>
        </w:rPr>
        <w:t xml:space="preserve">, </w:t>
      </w:r>
      <w:r w:rsidR="00AD4CB9" w:rsidRPr="00406FAA">
        <w:rPr>
          <w:i/>
          <w:iCs/>
          <w:lang w:val="pl-PL"/>
        </w:rPr>
        <w:t>op. cit.</w:t>
      </w:r>
      <w:r w:rsidR="00AD4CB9" w:rsidRPr="00406FAA">
        <w:rPr>
          <w:lang w:val="pl-PL"/>
        </w:rPr>
        <w:t xml:space="preserve">, </w:t>
      </w:r>
      <w:r w:rsidR="005F33B3" w:rsidRPr="00406FAA">
        <w:rPr>
          <w:lang w:val="pl-PL"/>
        </w:rPr>
        <w:t>§ </w:t>
      </w:r>
      <w:r w:rsidR="00AD4CB9" w:rsidRPr="00406FAA">
        <w:rPr>
          <w:lang w:val="pl-PL"/>
        </w:rPr>
        <w:t xml:space="preserve">66, oraz </w:t>
      </w:r>
      <w:proofErr w:type="spellStart"/>
      <w:r w:rsidR="00AD4CB9" w:rsidRPr="00406FAA">
        <w:rPr>
          <w:i/>
          <w:iCs/>
          <w:lang w:val="pl-PL"/>
        </w:rPr>
        <w:t>Paić</w:t>
      </w:r>
      <w:proofErr w:type="spellEnd"/>
      <w:r w:rsidR="00AD4CB9" w:rsidRPr="00406FAA">
        <w:rPr>
          <w:i/>
          <w:iCs/>
          <w:lang w:val="pl-PL"/>
        </w:rPr>
        <w:t xml:space="preserve"> p. Chorwacji</w:t>
      </w:r>
      <w:r w:rsidR="00AD4CB9" w:rsidRPr="00406FAA">
        <w:rPr>
          <w:lang w:val="pl-PL"/>
        </w:rPr>
        <w:t xml:space="preserve">, nr 47082/12, </w:t>
      </w:r>
      <w:r w:rsidR="005F33B3" w:rsidRPr="00406FAA">
        <w:rPr>
          <w:lang w:val="pl-PL"/>
        </w:rPr>
        <w:t>§ </w:t>
      </w:r>
      <w:r w:rsidR="00AD4CB9" w:rsidRPr="00406FAA">
        <w:rPr>
          <w:lang w:val="pl-PL"/>
        </w:rPr>
        <w:t>51, 29 marca 2016</w:t>
      </w:r>
      <w:r w:rsidR="00A730EB">
        <w:rPr>
          <w:lang w:val="pl-PL"/>
        </w:rPr>
        <w:t> </w:t>
      </w:r>
      <w:r w:rsidR="00AD4CB9" w:rsidRPr="00406FAA">
        <w:rPr>
          <w:lang w:val="pl-PL"/>
        </w:rPr>
        <w:t>r.).</w:t>
      </w:r>
    </w:p>
    <w:p w14:paraId="2B3862CA" w14:textId="77777777" w:rsidR="00F97474" w:rsidRPr="00406FAA" w:rsidRDefault="00AD4CB9" w:rsidP="00432751">
      <w:pPr>
        <w:pStyle w:val="JuHA"/>
        <w:rPr>
          <w:lang w:val="pl-PL"/>
        </w:rPr>
      </w:pPr>
      <w:r w:rsidRPr="00406FAA">
        <w:rPr>
          <w:lang w:val="pl-PL"/>
        </w:rPr>
        <w:t>Wniosek</w:t>
      </w:r>
    </w:p>
    <w:p w14:paraId="2D32BBEC" w14:textId="77777777"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34</w:t>
      </w:r>
      <w:r w:rsidRPr="00406FAA">
        <w:rPr>
          <w:lang w:val="pl-PL"/>
        </w:rPr>
        <w:fldChar w:fldCharType="end"/>
      </w:r>
      <w:r w:rsidR="00AD4CB9" w:rsidRPr="00406FAA">
        <w:rPr>
          <w:lang w:val="pl-PL"/>
        </w:rPr>
        <w:t>.  Mając na uwadze szczególne okoliczności przedmiotowej sprawy, Trybunał uważa, że skarżącemu nie dano właściwej</w:t>
      </w:r>
      <w:r w:rsidR="005F33B3" w:rsidRPr="00406FAA">
        <w:rPr>
          <w:lang w:val="pl-PL"/>
        </w:rPr>
        <w:t xml:space="preserve"> i </w:t>
      </w:r>
      <w:r w:rsidR="00AD4CB9" w:rsidRPr="00406FAA">
        <w:rPr>
          <w:lang w:val="pl-PL"/>
        </w:rPr>
        <w:t>wystarczającej możliwości zakwestionowania zeznań R.W., które stanowiły rozstrzygający dowód dla jego skazania za zarzuty związane</w:t>
      </w:r>
      <w:r w:rsidR="0068649A" w:rsidRPr="00406FAA">
        <w:rPr>
          <w:lang w:val="pl-PL"/>
        </w:rPr>
        <w:t xml:space="preserve"> z </w:t>
      </w:r>
      <w:r w:rsidR="00AD4CB9" w:rsidRPr="00406FAA">
        <w:rPr>
          <w:lang w:val="pl-PL"/>
        </w:rPr>
        <w:t>bronią palną. Mając na uwadze znaczenie poszanowania prawa do obrony</w:t>
      </w:r>
      <w:r w:rsidR="0068649A" w:rsidRPr="00406FAA">
        <w:rPr>
          <w:lang w:val="pl-PL"/>
        </w:rPr>
        <w:t xml:space="preserve"> w </w:t>
      </w:r>
      <w:r w:rsidR="00AD4CB9" w:rsidRPr="00406FAA">
        <w:rPr>
          <w:lang w:val="pl-PL"/>
        </w:rPr>
        <w:t>postępowaniu karnym, Trybunał uważa, że</w:t>
      </w:r>
      <w:r w:rsidR="0068649A" w:rsidRPr="00406FAA">
        <w:rPr>
          <w:lang w:val="pl-PL"/>
        </w:rPr>
        <w:t xml:space="preserve"> w </w:t>
      </w:r>
      <w:r w:rsidR="00AD4CB9" w:rsidRPr="00406FAA">
        <w:rPr>
          <w:lang w:val="pl-PL"/>
        </w:rPr>
        <w:t>rozpatrywanej sprawie skarżącemu nie zapewniono rzetelnego procesu sądowego</w:t>
      </w:r>
      <w:r w:rsidR="0068649A" w:rsidRPr="00406FAA">
        <w:rPr>
          <w:lang w:val="pl-PL"/>
        </w:rPr>
        <w:t xml:space="preserve"> w </w:t>
      </w:r>
      <w:r w:rsidR="00AD4CB9" w:rsidRPr="00406FAA">
        <w:rPr>
          <w:lang w:val="pl-PL"/>
        </w:rPr>
        <w:t>odniesieniu do zarzutów postrzelenia Ł.W.</w:t>
      </w:r>
      <w:r w:rsidR="005F33B3" w:rsidRPr="00406FAA">
        <w:rPr>
          <w:lang w:val="pl-PL"/>
        </w:rPr>
        <w:t xml:space="preserve"> i </w:t>
      </w:r>
      <w:r w:rsidR="00AD4CB9" w:rsidRPr="00406FAA">
        <w:rPr>
          <w:lang w:val="pl-PL"/>
        </w:rPr>
        <w:t>M.K., jak również nielegalnego posiadania broni palnej.</w:t>
      </w:r>
    </w:p>
    <w:p w14:paraId="0E600CBA" w14:textId="153AE219" w:rsidR="00F97474" w:rsidRPr="00406FAA" w:rsidRDefault="00000000" w:rsidP="00432751">
      <w:pPr>
        <w:pStyle w:val="JuPara"/>
        <w:rPr>
          <w:lang w:val="pl-PL"/>
        </w:rPr>
      </w:pPr>
      <w:r w:rsidRPr="00406FAA">
        <w:rPr>
          <w:lang w:val="pl-PL"/>
        </w:rPr>
        <w:fldChar w:fldCharType="begin"/>
      </w:r>
      <w:r w:rsidRPr="00406FAA">
        <w:rPr>
          <w:lang w:val="pl-PL"/>
        </w:rPr>
        <w:instrText xml:space="preserve"> SEQ level0 \*arabic \* MERGEFORMAT </w:instrText>
      </w:r>
      <w:r w:rsidRPr="00406FAA">
        <w:rPr>
          <w:lang w:val="pl-PL"/>
        </w:rPr>
        <w:fldChar w:fldCharType="separate"/>
      </w:r>
      <w:r w:rsidR="00AD4CB9" w:rsidRPr="00406FAA">
        <w:rPr>
          <w:lang w:val="pl-PL"/>
        </w:rPr>
        <w:t>35</w:t>
      </w:r>
      <w:r w:rsidRPr="00406FAA">
        <w:rPr>
          <w:lang w:val="pl-PL"/>
        </w:rPr>
        <w:fldChar w:fldCharType="end"/>
      </w:r>
      <w:r w:rsidR="00AD4CB9" w:rsidRPr="00406FAA">
        <w:rPr>
          <w:lang w:val="pl-PL"/>
        </w:rPr>
        <w:t>.  W związku</w:t>
      </w:r>
      <w:r w:rsidR="0068649A" w:rsidRPr="00406FAA">
        <w:rPr>
          <w:lang w:val="pl-PL"/>
        </w:rPr>
        <w:t xml:space="preserve"> z </w:t>
      </w:r>
      <w:r w:rsidR="00AD4CB9" w:rsidRPr="00406FAA">
        <w:rPr>
          <w:lang w:val="pl-PL"/>
        </w:rPr>
        <w:t xml:space="preserve">powyższym doszło do naruszenia </w:t>
      </w:r>
      <w:r w:rsidR="005F33B3" w:rsidRPr="00406FAA">
        <w:rPr>
          <w:lang w:val="pl-PL"/>
        </w:rPr>
        <w:t>art. </w:t>
      </w:r>
      <w:r w:rsidR="00AD4CB9" w:rsidRPr="00406FAA">
        <w:rPr>
          <w:lang w:val="pl-PL"/>
        </w:rPr>
        <w:t xml:space="preserve">6 </w:t>
      </w:r>
      <w:r w:rsidR="005F33B3" w:rsidRPr="00406FAA">
        <w:rPr>
          <w:lang w:val="pl-PL"/>
        </w:rPr>
        <w:t>ust. </w:t>
      </w:r>
      <w:r w:rsidR="00AD4CB9" w:rsidRPr="00406FAA">
        <w:rPr>
          <w:lang w:val="pl-PL"/>
        </w:rPr>
        <w:t>1</w:t>
      </w:r>
      <w:r w:rsidR="005F33B3" w:rsidRPr="00406FAA">
        <w:rPr>
          <w:lang w:val="pl-PL"/>
        </w:rPr>
        <w:t xml:space="preserve"> i </w:t>
      </w:r>
      <w:r w:rsidR="00875980">
        <w:rPr>
          <w:lang w:val="pl-PL"/>
        </w:rPr>
        <w:t xml:space="preserve">art. 6 </w:t>
      </w:r>
      <w:r w:rsidR="005F33B3" w:rsidRPr="00406FAA">
        <w:rPr>
          <w:lang w:val="pl-PL"/>
        </w:rPr>
        <w:t>ust. </w:t>
      </w:r>
      <w:r w:rsidR="00AD4CB9" w:rsidRPr="00406FAA">
        <w:rPr>
          <w:lang w:val="pl-PL"/>
        </w:rPr>
        <w:t xml:space="preserve">3 </w:t>
      </w:r>
      <w:r w:rsidR="005F33B3" w:rsidRPr="00406FAA">
        <w:rPr>
          <w:lang w:val="pl-PL"/>
        </w:rPr>
        <w:t>lit. </w:t>
      </w:r>
      <w:r w:rsidR="00AD4CB9" w:rsidRPr="00406FAA">
        <w:rPr>
          <w:lang w:val="pl-PL"/>
        </w:rPr>
        <w:t>d</w:t>
      </w:r>
      <w:r w:rsidR="008E08FA">
        <w:rPr>
          <w:lang w:val="pl-PL"/>
        </w:rPr>
        <w:t>)</w:t>
      </w:r>
      <w:r w:rsidR="00AD4CB9" w:rsidRPr="00406FAA">
        <w:rPr>
          <w:lang w:val="pl-PL"/>
        </w:rPr>
        <w:t xml:space="preserve"> Konwencji.</w:t>
      </w:r>
    </w:p>
    <w:p w14:paraId="15D4F3B2" w14:textId="77777777" w:rsidR="00F97474" w:rsidRPr="00406FAA" w:rsidRDefault="00AD4CB9" w:rsidP="00432751">
      <w:pPr>
        <w:pStyle w:val="JuHHead"/>
        <w:rPr>
          <w:lang w:val="pl-PL"/>
        </w:rPr>
      </w:pPr>
      <w:r w:rsidRPr="00406FAA">
        <w:rPr>
          <w:bCs w:val="0"/>
          <w:lang w:val="pl-PL"/>
        </w:rPr>
        <w:t xml:space="preserve">ZASTOSOWANIE </w:t>
      </w:r>
      <w:r w:rsidR="005F33B3" w:rsidRPr="00406FAA">
        <w:rPr>
          <w:bCs w:val="0"/>
          <w:lang w:val="pl-PL"/>
        </w:rPr>
        <w:t>ART. </w:t>
      </w:r>
      <w:r w:rsidRPr="00406FAA">
        <w:rPr>
          <w:bCs w:val="0"/>
          <w:lang w:val="pl-PL"/>
        </w:rPr>
        <w:t>41 KONWENCJI</w:t>
      </w:r>
    </w:p>
    <w:p w14:paraId="2595A904" w14:textId="77777777" w:rsidR="00F97474" w:rsidRPr="00406FAA" w:rsidRDefault="00CD5586" w:rsidP="00432751">
      <w:pPr>
        <w:pStyle w:val="JuPara"/>
        <w:rPr>
          <w:lang w:val="pl-PL"/>
        </w:rPr>
      </w:pPr>
      <w:r w:rsidRPr="00406FAA">
        <w:rPr>
          <w:lang w:val="pl-PL"/>
        </w:rPr>
        <w:fldChar w:fldCharType="begin"/>
      </w:r>
      <w:r w:rsidR="00AD4CB9" w:rsidRPr="00406FAA">
        <w:rPr>
          <w:lang w:val="pl-PL"/>
        </w:rPr>
        <w:instrText xml:space="preserve"> SEQ level0 \*arabic </w:instrText>
      </w:r>
      <w:r w:rsidRPr="00406FAA">
        <w:rPr>
          <w:lang w:val="pl-PL"/>
        </w:rPr>
        <w:fldChar w:fldCharType="separate"/>
      </w:r>
      <w:r w:rsidR="00AD4CB9" w:rsidRPr="00406FAA">
        <w:rPr>
          <w:lang w:val="pl-PL"/>
        </w:rPr>
        <w:t>36</w:t>
      </w:r>
      <w:r w:rsidRPr="00406FAA">
        <w:rPr>
          <w:lang w:val="pl-PL"/>
        </w:rPr>
        <w:fldChar w:fldCharType="end"/>
      </w:r>
      <w:r w:rsidR="00AD4CB9" w:rsidRPr="00406FAA">
        <w:rPr>
          <w:lang w:val="pl-PL"/>
        </w:rPr>
        <w:t>.  Skarżący nie wysunął roszczeń</w:t>
      </w:r>
      <w:r w:rsidR="005F33B3" w:rsidRPr="00406FAA">
        <w:rPr>
          <w:lang w:val="pl-PL"/>
        </w:rPr>
        <w:t xml:space="preserve"> o </w:t>
      </w:r>
      <w:r w:rsidR="00AD4CB9" w:rsidRPr="00406FAA">
        <w:rPr>
          <w:lang w:val="pl-PL"/>
        </w:rPr>
        <w:t>słuszne zadośćuczynienie. Trybunał uznaje zatem, że nie ma podstaw do przyznania mu jakiejkolwiek kwoty</w:t>
      </w:r>
      <w:r w:rsidR="0068649A" w:rsidRPr="00406FAA">
        <w:rPr>
          <w:lang w:val="pl-PL"/>
        </w:rPr>
        <w:t xml:space="preserve"> z </w:t>
      </w:r>
      <w:r w:rsidR="00AD4CB9" w:rsidRPr="00406FAA">
        <w:rPr>
          <w:lang w:val="pl-PL"/>
        </w:rPr>
        <w:t>tego tytułu.</w:t>
      </w:r>
    </w:p>
    <w:p w14:paraId="7981BE83" w14:textId="77777777" w:rsidR="00F97474" w:rsidRPr="00406FAA" w:rsidRDefault="00AD4CB9" w:rsidP="00432751">
      <w:pPr>
        <w:pStyle w:val="JuHHead"/>
        <w:rPr>
          <w:lang w:val="pl-PL"/>
        </w:rPr>
      </w:pPr>
      <w:r w:rsidRPr="00406FAA">
        <w:rPr>
          <w:bCs w:val="0"/>
          <w:lang w:val="pl-PL"/>
        </w:rPr>
        <w:t>Z POWYŻSZYCH WZGLĘDÓW TRYBUNAŁ JEDNOGŁOŚNIE</w:t>
      </w:r>
    </w:p>
    <w:p w14:paraId="0176B369" w14:textId="77777777" w:rsidR="00F97474" w:rsidRPr="00406FAA" w:rsidRDefault="00AD4CB9" w:rsidP="00432751">
      <w:pPr>
        <w:pStyle w:val="JuList"/>
        <w:numPr>
          <w:ilvl w:val="0"/>
          <w:numId w:val="1"/>
        </w:numPr>
        <w:rPr>
          <w:lang w:val="pl-PL"/>
        </w:rPr>
      </w:pPr>
      <w:r w:rsidRPr="00406FAA">
        <w:rPr>
          <w:i/>
          <w:iCs/>
          <w:lang w:val="pl-PL"/>
        </w:rPr>
        <w:t>uznaje</w:t>
      </w:r>
      <w:r w:rsidRPr="00406FAA">
        <w:rPr>
          <w:lang w:val="pl-PL"/>
        </w:rPr>
        <w:t xml:space="preserve"> skargę za dopuszczalną;</w:t>
      </w:r>
    </w:p>
    <w:p w14:paraId="41CD7486" w14:textId="425BCEB2" w:rsidR="004D0EC7" w:rsidRPr="00406FAA" w:rsidRDefault="00AD4CB9" w:rsidP="00432751">
      <w:pPr>
        <w:pStyle w:val="JuList"/>
        <w:rPr>
          <w:lang w:val="pl-PL"/>
        </w:rPr>
      </w:pPr>
      <w:r w:rsidRPr="00406FAA">
        <w:rPr>
          <w:i/>
          <w:iCs/>
          <w:lang w:val="pl-PL"/>
        </w:rPr>
        <w:t>orzeka</w:t>
      </w:r>
      <w:r w:rsidRPr="00406FAA">
        <w:rPr>
          <w:lang w:val="pl-PL"/>
        </w:rPr>
        <w:t xml:space="preserve">, że doszło do naruszenia </w:t>
      </w:r>
      <w:r w:rsidR="005F33B3" w:rsidRPr="00406FAA">
        <w:rPr>
          <w:lang w:val="pl-PL"/>
        </w:rPr>
        <w:t>art. </w:t>
      </w:r>
      <w:r w:rsidRPr="00406FAA">
        <w:rPr>
          <w:lang w:val="pl-PL"/>
        </w:rPr>
        <w:t xml:space="preserve">6 </w:t>
      </w:r>
      <w:r w:rsidR="005F33B3" w:rsidRPr="00406FAA">
        <w:rPr>
          <w:lang w:val="pl-PL"/>
        </w:rPr>
        <w:t>ust. </w:t>
      </w:r>
      <w:r w:rsidRPr="00406FAA">
        <w:rPr>
          <w:lang w:val="pl-PL"/>
        </w:rPr>
        <w:t>1</w:t>
      </w:r>
      <w:r w:rsidR="005F33B3" w:rsidRPr="00406FAA">
        <w:rPr>
          <w:lang w:val="pl-PL"/>
        </w:rPr>
        <w:t xml:space="preserve"> i </w:t>
      </w:r>
      <w:r w:rsidR="005A7544">
        <w:rPr>
          <w:lang w:val="pl-PL"/>
        </w:rPr>
        <w:t xml:space="preserve">art. 6 </w:t>
      </w:r>
      <w:r w:rsidR="005F33B3" w:rsidRPr="00406FAA">
        <w:rPr>
          <w:lang w:val="pl-PL"/>
        </w:rPr>
        <w:t>ust. </w:t>
      </w:r>
      <w:r w:rsidRPr="00406FAA">
        <w:rPr>
          <w:lang w:val="pl-PL"/>
        </w:rPr>
        <w:t xml:space="preserve">3 </w:t>
      </w:r>
      <w:r w:rsidR="005F33B3" w:rsidRPr="00406FAA">
        <w:rPr>
          <w:lang w:val="pl-PL"/>
        </w:rPr>
        <w:t>lit. </w:t>
      </w:r>
      <w:r w:rsidRPr="00406FAA">
        <w:rPr>
          <w:lang w:val="pl-PL"/>
        </w:rPr>
        <w:t>d</w:t>
      </w:r>
      <w:r w:rsidR="005A7544">
        <w:rPr>
          <w:lang w:val="pl-PL"/>
        </w:rPr>
        <w:t>)</w:t>
      </w:r>
      <w:r w:rsidRPr="00406FAA">
        <w:rPr>
          <w:lang w:val="pl-PL"/>
        </w:rPr>
        <w:t xml:space="preserve"> Konwencji.</w:t>
      </w:r>
    </w:p>
    <w:p w14:paraId="01FC070F" w14:textId="57E48467" w:rsidR="008E3A08" w:rsidRPr="00406FAA" w:rsidRDefault="00AD4CB9" w:rsidP="00432751">
      <w:pPr>
        <w:pStyle w:val="JuParaLast"/>
        <w:rPr>
          <w:lang w:val="pl-PL"/>
        </w:rPr>
      </w:pPr>
      <w:r w:rsidRPr="00406FAA">
        <w:rPr>
          <w:lang w:val="pl-PL"/>
        </w:rPr>
        <w:lastRenderedPageBreak/>
        <w:t>Sporządzono</w:t>
      </w:r>
      <w:r w:rsidR="0068649A" w:rsidRPr="00406FAA">
        <w:rPr>
          <w:lang w:val="pl-PL"/>
        </w:rPr>
        <w:t xml:space="preserve"> w </w:t>
      </w:r>
      <w:r w:rsidRPr="00406FAA">
        <w:rPr>
          <w:lang w:val="pl-PL"/>
        </w:rPr>
        <w:t>języku angielskim</w:t>
      </w:r>
      <w:r w:rsidR="005F33B3" w:rsidRPr="00406FAA">
        <w:rPr>
          <w:lang w:val="pl-PL"/>
        </w:rPr>
        <w:t xml:space="preserve"> i </w:t>
      </w:r>
      <w:r w:rsidRPr="00406FAA">
        <w:rPr>
          <w:lang w:val="pl-PL"/>
        </w:rPr>
        <w:t xml:space="preserve">obwieszczono pisemnie dnia </w:t>
      </w:r>
      <w:r w:rsidRPr="00406FAA">
        <w:rPr>
          <w:rFonts w:ascii="Times New Roman" w:hAnsi="Times New Roman"/>
          <w:lang w:val="pl-PL"/>
        </w:rPr>
        <w:t>26 października 2023 r.</w:t>
      </w:r>
      <w:r w:rsidRPr="00406FAA">
        <w:rPr>
          <w:lang w:val="pl-PL"/>
        </w:rPr>
        <w:t>, zgodnie z</w:t>
      </w:r>
      <w:r w:rsidR="0068649A" w:rsidRPr="00406FAA">
        <w:rPr>
          <w:lang w:val="pl-PL"/>
        </w:rPr>
        <w:t> </w:t>
      </w:r>
      <w:r w:rsidRPr="00406FAA">
        <w:rPr>
          <w:lang w:val="pl-PL"/>
        </w:rPr>
        <w:t>Regułą</w:t>
      </w:r>
      <w:r w:rsidR="005F33B3" w:rsidRPr="00406FAA">
        <w:rPr>
          <w:lang w:val="pl-PL"/>
        </w:rPr>
        <w:t> </w:t>
      </w:r>
      <w:r w:rsidRPr="00406FAA">
        <w:rPr>
          <w:lang w:val="pl-PL"/>
        </w:rPr>
        <w:t>77 §</w:t>
      </w:r>
      <w:r w:rsidR="005F33B3" w:rsidRPr="00406FAA">
        <w:rPr>
          <w:lang w:val="pl-PL"/>
        </w:rPr>
        <w:t>§ </w:t>
      </w:r>
      <w:r w:rsidRPr="00406FAA">
        <w:rPr>
          <w:lang w:val="pl-PL"/>
        </w:rPr>
        <w:t>2</w:t>
      </w:r>
      <w:r w:rsidR="005F33B3" w:rsidRPr="00406FAA">
        <w:rPr>
          <w:lang w:val="pl-PL"/>
        </w:rPr>
        <w:t xml:space="preserve"> i </w:t>
      </w:r>
      <w:r w:rsidRPr="00406FAA">
        <w:rPr>
          <w:lang w:val="pl-PL"/>
        </w:rPr>
        <w:t xml:space="preserve">3 Regulaminu </w:t>
      </w:r>
      <w:r w:rsidR="00910B63">
        <w:rPr>
          <w:lang w:val="pl-PL"/>
        </w:rPr>
        <w:t>T</w:t>
      </w:r>
      <w:r w:rsidRPr="00406FAA">
        <w:rPr>
          <w:lang w:val="pl-PL"/>
        </w:rPr>
        <w:t>rybunału.</w:t>
      </w:r>
    </w:p>
    <w:p w14:paraId="3CA7893D" w14:textId="77777777" w:rsidR="007E79A4" w:rsidRPr="00406FAA" w:rsidRDefault="00AD4CB9" w:rsidP="00432751">
      <w:pPr>
        <w:pStyle w:val="ECHRPlaceholder"/>
        <w:rPr>
          <w:szCs w:val="22"/>
          <w:lang w:val="pl-PL"/>
        </w:rPr>
      </w:pPr>
      <w:r w:rsidRPr="00406FAA">
        <w:rPr>
          <w:lang w:val="pl-PL"/>
        </w:rPr>
        <w:tab/>
      </w:r>
    </w:p>
    <w:p w14:paraId="0248CB3F" w14:textId="77777777" w:rsidR="00182EBA" w:rsidRPr="00406FAA" w:rsidRDefault="00AD4CB9" w:rsidP="00432751">
      <w:pPr>
        <w:pStyle w:val="JuSigned"/>
        <w:rPr>
          <w:lang w:val="pl-PL"/>
        </w:rPr>
      </w:pPr>
      <w:r w:rsidRPr="00406FAA">
        <w:rPr>
          <w:lang w:val="pl-PL"/>
        </w:rPr>
        <w:tab/>
      </w:r>
      <w:proofErr w:type="spellStart"/>
      <w:r w:rsidRPr="00406FAA">
        <w:rPr>
          <w:lang w:val="pl-PL"/>
        </w:rPr>
        <w:t>Liv</w:t>
      </w:r>
      <w:proofErr w:type="spellEnd"/>
      <w:r w:rsidRPr="00406FAA">
        <w:rPr>
          <w:lang w:val="pl-PL"/>
        </w:rPr>
        <w:t xml:space="preserve"> </w:t>
      </w:r>
      <w:proofErr w:type="spellStart"/>
      <w:r w:rsidRPr="00406FAA">
        <w:rPr>
          <w:lang w:val="pl-PL"/>
        </w:rPr>
        <w:t>Tigerstedt</w:t>
      </w:r>
      <w:proofErr w:type="spellEnd"/>
      <w:r w:rsidRPr="00406FAA">
        <w:rPr>
          <w:lang w:val="pl-PL"/>
        </w:rPr>
        <w:tab/>
        <w:t xml:space="preserve">Ivana </w:t>
      </w:r>
      <w:proofErr w:type="spellStart"/>
      <w:r w:rsidRPr="00406FAA">
        <w:rPr>
          <w:lang w:val="pl-PL"/>
        </w:rPr>
        <w:t>Jelić</w:t>
      </w:r>
      <w:proofErr w:type="spellEnd"/>
      <w:r w:rsidRPr="00406FAA">
        <w:rPr>
          <w:lang w:val="pl-PL"/>
        </w:rPr>
        <w:br/>
      </w:r>
      <w:r w:rsidRPr="00406FAA">
        <w:rPr>
          <w:lang w:val="pl-PL"/>
        </w:rPr>
        <w:tab/>
        <w:t>Zastępczyni Kanclerza</w:t>
      </w:r>
      <w:r w:rsidRPr="00406FAA">
        <w:rPr>
          <w:lang w:val="pl-PL"/>
        </w:rPr>
        <w:tab/>
        <w:t>Przewodnicząca</w:t>
      </w:r>
    </w:p>
    <w:sectPr w:rsidR="00182EBA" w:rsidRPr="00406FA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DFC21" w14:textId="77777777" w:rsidR="000F26BD" w:rsidRDefault="000F26BD" w:rsidP="00CD5586">
      <w:r>
        <w:separator/>
      </w:r>
    </w:p>
  </w:endnote>
  <w:endnote w:type="continuationSeparator" w:id="0">
    <w:p w14:paraId="6340809E" w14:textId="77777777" w:rsidR="000F26BD" w:rsidRDefault="000F26BD" w:rsidP="00CD5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60F56" w14:textId="77777777" w:rsidR="00F97474" w:rsidRPr="00150BFA" w:rsidRDefault="00AD4CB9" w:rsidP="0020718E">
    <w:pPr>
      <w:jc w:val="center"/>
    </w:pPr>
    <w:r>
      <w:rPr>
        <w:noProof/>
        <w:lang w:val="pl-PL" w:eastAsia="pl-PL"/>
      </w:rPr>
      <w:drawing>
        <wp:inline distT="0" distB="0" distL="0" distR="0" wp14:anchorId="09A00827" wp14:editId="5B658301">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467334F" w14:textId="77777777" w:rsidR="0098410D" w:rsidRPr="00F97474"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6216C" w14:textId="77777777" w:rsidR="00F97474" w:rsidRPr="00150BFA" w:rsidRDefault="00AD4CB9" w:rsidP="0020718E">
    <w:pPr>
      <w:jc w:val="center"/>
    </w:pPr>
    <w:r>
      <w:rPr>
        <w:noProof/>
        <w:lang w:val="pl-PL" w:eastAsia="pl-PL"/>
      </w:rPr>
      <w:drawing>
        <wp:inline distT="0" distB="0" distL="0" distR="0" wp14:anchorId="129C9F65" wp14:editId="1D9B920D">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45D10F0" w14:textId="77777777" w:rsidR="009E7A6F" w:rsidRPr="00F97474"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7E680" w14:textId="77777777" w:rsidR="00182EBA" w:rsidRDefault="00CD5586" w:rsidP="009A115C">
    <w:pPr>
      <w:pStyle w:val="JuHeader"/>
    </w:pPr>
    <w:r>
      <w:rPr>
        <w:rStyle w:val="Numerstrony"/>
      </w:rPr>
      <w:fldChar w:fldCharType="begin"/>
    </w:r>
    <w:r w:rsidR="00AD4CB9">
      <w:rPr>
        <w:rStyle w:val="Numerstrony"/>
      </w:rPr>
      <w:instrText xml:space="preserve"> PAGE </w:instrText>
    </w:r>
    <w:r>
      <w:rPr>
        <w:rStyle w:val="Numerstrony"/>
      </w:rPr>
      <w:fldChar w:fldCharType="separate"/>
    </w:r>
    <w:r w:rsidR="00197F95">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C710" w14:textId="77777777" w:rsidR="00182EBA" w:rsidRPr="000B7195" w:rsidRDefault="00CD5586" w:rsidP="007D3701">
    <w:pPr>
      <w:pStyle w:val="JuHeader"/>
    </w:pPr>
    <w:r>
      <w:fldChar w:fldCharType="begin"/>
    </w:r>
    <w:r w:rsidR="00AD4CB9">
      <w:instrText xml:space="preserve"> PAGE </w:instrText>
    </w:r>
    <w:r>
      <w:fldChar w:fldCharType="separate"/>
    </w:r>
    <w:r w:rsidR="00197F9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E9BB0" w14:textId="77777777" w:rsidR="000F26BD" w:rsidRDefault="000F26BD" w:rsidP="00CD5586">
      <w:r>
        <w:separator/>
      </w:r>
    </w:p>
  </w:footnote>
  <w:footnote w:type="continuationSeparator" w:id="0">
    <w:p w14:paraId="548C23D1" w14:textId="77777777" w:rsidR="000F26BD" w:rsidRDefault="000F26BD" w:rsidP="00CD5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59C5F" w14:textId="77777777" w:rsidR="00F97474" w:rsidRPr="00A45145" w:rsidRDefault="00AD4CB9" w:rsidP="00A45145">
    <w:pPr>
      <w:jc w:val="center"/>
    </w:pPr>
    <w:r>
      <w:rPr>
        <w:noProof/>
        <w:lang w:val="pl-PL" w:eastAsia="pl-PL"/>
      </w:rPr>
      <w:drawing>
        <wp:inline distT="0" distB="0" distL="0" distR="0" wp14:anchorId="4BECBA5B" wp14:editId="53B609B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CDCEA49" w14:textId="77777777" w:rsidR="0098410D" w:rsidRPr="00F97474"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797A9" w14:textId="77777777" w:rsidR="00F97474" w:rsidRPr="00A45145" w:rsidRDefault="00AD4CB9" w:rsidP="00A45145">
    <w:pPr>
      <w:jc w:val="center"/>
    </w:pPr>
    <w:r>
      <w:rPr>
        <w:noProof/>
        <w:lang w:val="pl-PL" w:eastAsia="pl-PL"/>
      </w:rPr>
      <w:drawing>
        <wp:inline distT="0" distB="0" distL="0" distR="0" wp14:anchorId="605F981A" wp14:editId="4E5AF603">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4E20CBB" w14:textId="77777777" w:rsidR="0098410D" w:rsidRPr="00F97474"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52F1" w14:textId="349EAF49" w:rsidR="00182EBA" w:rsidRPr="00506659" w:rsidRDefault="00AD4CB9" w:rsidP="004D0EC7">
    <w:pPr>
      <w:pStyle w:val="JuHeader"/>
      <w:rPr>
        <w:lang w:val="pl-PL"/>
      </w:rPr>
    </w:pPr>
    <w:r w:rsidRPr="007F615C">
      <w:rPr>
        <w:lang w:val="pl-PL"/>
      </w:rPr>
      <w:t xml:space="preserve">WYROK </w:t>
    </w:r>
    <w:r w:rsidR="00506659" w:rsidRPr="007F615C">
      <w:rPr>
        <w:lang w:val="pl-PL"/>
      </w:rPr>
      <w:t xml:space="preserve">w sprawie </w:t>
    </w:r>
    <w:r w:rsidRPr="007F615C">
      <w:rPr>
        <w:lang w:val="pl-PL"/>
      </w:rPr>
      <w:t xml:space="preserve">ROMANIUK </w:t>
    </w:r>
    <w:r w:rsidR="00506659" w:rsidRPr="007F615C">
      <w:rPr>
        <w:lang w:val="pl-PL"/>
      </w:rPr>
      <w:t xml:space="preserve">przeciwko </w:t>
    </w:r>
    <w:r w:rsidRPr="007F615C">
      <w:rPr>
        <w:lang w:val="pl-PL"/>
      </w:rPr>
      <w:t>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E5B7" w14:textId="44B57710" w:rsidR="00182EBA" w:rsidRPr="005F33B3" w:rsidRDefault="00AD4CB9" w:rsidP="007D3701">
    <w:pPr>
      <w:pStyle w:val="JuHeader"/>
      <w:rPr>
        <w:lang w:val="pl-PL"/>
      </w:rPr>
    </w:pPr>
    <w:r w:rsidRPr="00AB770C">
      <w:rPr>
        <w:lang w:val="pl-PL"/>
      </w:rPr>
      <w:t xml:space="preserve">WYROK </w:t>
    </w:r>
    <w:r w:rsidR="00262214" w:rsidRPr="00AB770C">
      <w:rPr>
        <w:lang w:val="pl-PL"/>
      </w:rPr>
      <w:t xml:space="preserve">w </w:t>
    </w:r>
    <w:r w:rsidR="00262214" w:rsidRPr="007F615C">
      <w:rPr>
        <w:lang w:val="pl-PL"/>
      </w:rPr>
      <w:t>sprawie</w:t>
    </w:r>
    <w:r w:rsidR="00262214" w:rsidRPr="00AB770C">
      <w:rPr>
        <w:lang w:val="pl-PL"/>
      </w:rPr>
      <w:t xml:space="preserve"> </w:t>
    </w:r>
    <w:r w:rsidRPr="00AB770C">
      <w:rPr>
        <w:lang w:val="pl-PL"/>
      </w:rPr>
      <w:t xml:space="preserve">ROMANIUK </w:t>
    </w:r>
    <w:r w:rsidR="00262214" w:rsidRPr="007F615C">
      <w:rPr>
        <w:lang w:val="pl-PL"/>
      </w:rPr>
      <w:t>przeciwko</w:t>
    </w:r>
    <w:r w:rsidR="00262214" w:rsidRPr="00AB770C">
      <w:rPr>
        <w:lang w:val="pl-PL"/>
      </w:rPr>
      <w:t xml:space="preserve"> </w:t>
    </w:r>
    <w:r w:rsidRPr="00AB770C">
      <w:rPr>
        <w:lang w:val="pl-PL"/>
      </w:rPr>
      <w:t>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D1AE8310">
      <w:start w:val="1"/>
      <w:numFmt w:val="bullet"/>
      <w:pStyle w:val="Listapunktowana"/>
      <w:lvlText w:val=""/>
      <w:lvlJc w:val="left"/>
      <w:pPr>
        <w:tabs>
          <w:tab w:val="num" w:pos="851"/>
        </w:tabs>
        <w:ind w:left="568" w:firstLine="0"/>
      </w:pPr>
      <w:rPr>
        <w:rFonts w:ascii="Wingdings" w:hAnsi="Wingdings" w:hint="default"/>
        <w:color w:val="808080"/>
        <w:sz w:val="16"/>
      </w:rPr>
    </w:lvl>
    <w:lvl w:ilvl="1" w:tplc="7C567E30" w:tentative="1">
      <w:start w:val="1"/>
      <w:numFmt w:val="bullet"/>
      <w:lvlText w:val="o"/>
      <w:lvlJc w:val="left"/>
      <w:pPr>
        <w:tabs>
          <w:tab w:val="num" w:pos="1724"/>
        </w:tabs>
        <w:ind w:left="1724" w:hanging="360"/>
      </w:pPr>
      <w:rPr>
        <w:rFonts w:ascii="Courier New" w:hAnsi="Courier New" w:cs="Courier New" w:hint="default"/>
      </w:rPr>
    </w:lvl>
    <w:lvl w:ilvl="2" w:tplc="8A623812" w:tentative="1">
      <w:start w:val="1"/>
      <w:numFmt w:val="bullet"/>
      <w:lvlText w:val=""/>
      <w:lvlJc w:val="left"/>
      <w:pPr>
        <w:tabs>
          <w:tab w:val="num" w:pos="2444"/>
        </w:tabs>
        <w:ind w:left="2444" w:hanging="360"/>
      </w:pPr>
      <w:rPr>
        <w:rFonts w:ascii="Wingdings" w:hAnsi="Wingdings" w:hint="default"/>
      </w:rPr>
    </w:lvl>
    <w:lvl w:ilvl="3" w:tplc="90EAE746" w:tentative="1">
      <w:start w:val="1"/>
      <w:numFmt w:val="bullet"/>
      <w:lvlText w:val=""/>
      <w:lvlJc w:val="left"/>
      <w:pPr>
        <w:tabs>
          <w:tab w:val="num" w:pos="3164"/>
        </w:tabs>
        <w:ind w:left="3164" w:hanging="360"/>
      </w:pPr>
      <w:rPr>
        <w:rFonts w:ascii="Symbol" w:hAnsi="Symbol" w:hint="default"/>
      </w:rPr>
    </w:lvl>
    <w:lvl w:ilvl="4" w:tplc="FB2A3402" w:tentative="1">
      <w:start w:val="1"/>
      <w:numFmt w:val="bullet"/>
      <w:lvlText w:val="o"/>
      <w:lvlJc w:val="left"/>
      <w:pPr>
        <w:tabs>
          <w:tab w:val="num" w:pos="3884"/>
        </w:tabs>
        <w:ind w:left="3884" w:hanging="360"/>
      </w:pPr>
      <w:rPr>
        <w:rFonts w:ascii="Courier New" w:hAnsi="Courier New" w:cs="Courier New" w:hint="default"/>
      </w:rPr>
    </w:lvl>
    <w:lvl w:ilvl="5" w:tplc="7BF00D7A" w:tentative="1">
      <w:start w:val="1"/>
      <w:numFmt w:val="bullet"/>
      <w:lvlText w:val=""/>
      <w:lvlJc w:val="left"/>
      <w:pPr>
        <w:tabs>
          <w:tab w:val="num" w:pos="4604"/>
        </w:tabs>
        <w:ind w:left="4604" w:hanging="360"/>
      </w:pPr>
      <w:rPr>
        <w:rFonts w:ascii="Wingdings" w:hAnsi="Wingdings" w:hint="default"/>
      </w:rPr>
    </w:lvl>
    <w:lvl w:ilvl="6" w:tplc="66C05AE8" w:tentative="1">
      <w:start w:val="1"/>
      <w:numFmt w:val="bullet"/>
      <w:lvlText w:val=""/>
      <w:lvlJc w:val="left"/>
      <w:pPr>
        <w:tabs>
          <w:tab w:val="num" w:pos="5324"/>
        </w:tabs>
        <w:ind w:left="5324" w:hanging="360"/>
      </w:pPr>
      <w:rPr>
        <w:rFonts w:ascii="Symbol" w:hAnsi="Symbol" w:hint="default"/>
      </w:rPr>
    </w:lvl>
    <w:lvl w:ilvl="7" w:tplc="09321BAE" w:tentative="1">
      <w:start w:val="1"/>
      <w:numFmt w:val="bullet"/>
      <w:lvlText w:val="o"/>
      <w:lvlJc w:val="left"/>
      <w:pPr>
        <w:tabs>
          <w:tab w:val="num" w:pos="6044"/>
        </w:tabs>
        <w:ind w:left="6044" w:hanging="360"/>
      </w:pPr>
      <w:rPr>
        <w:rFonts w:ascii="Courier New" w:hAnsi="Courier New" w:cs="Courier New" w:hint="default"/>
      </w:rPr>
    </w:lvl>
    <w:lvl w:ilvl="8" w:tplc="2C96FB04" w:tentative="1">
      <w:start w:val="1"/>
      <w:numFmt w:val="bullet"/>
      <w:lvlText w:val=""/>
      <w:lvlJc w:val="left"/>
      <w:pPr>
        <w:tabs>
          <w:tab w:val="num" w:pos="6764"/>
        </w:tabs>
        <w:ind w:left="6764" w:hanging="360"/>
      </w:pPr>
      <w:rPr>
        <w:rFonts w:ascii="Wingdings" w:hAnsi="Wingdings" w:hint="default"/>
      </w:rPr>
    </w:lvl>
  </w:abstractNum>
  <w:num w:numId="1" w16cid:durableId="585504000">
    <w:abstractNumId w:val="9"/>
  </w:num>
  <w:num w:numId="2" w16cid:durableId="1134980211">
    <w:abstractNumId w:val="14"/>
  </w:num>
  <w:num w:numId="3" w16cid:durableId="1616715507">
    <w:abstractNumId w:val="12"/>
  </w:num>
  <w:num w:numId="4" w16cid:durableId="1807891070">
    <w:abstractNumId w:val="11"/>
  </w:num>
  <w:num w:numId="5" w16cid:durableId="2098865297">
    <w:abstractNumId w:val="17"/>
  </w:num>
  <w:num w:numId="6" w16cid:durableId="187061668">
    <w:abstractNumId w:val="7"/>
  </w:num>
  <w:num w:numId="7" w16cid:durableId="734278477">
    <w:abstractNumId w:val="6"/>
  </w:num>
  <w:num w:numId="8" w16cid:durableId="363869142">
    <w:abstractNumId w:val="5"/>
  </w:num>
  <w:num w:numId="9" w16cid:durableId="2035614866">
    <w:abstractNumId w:val="4"/>
  </w:num>
  <w:num w:numId="10" w16cid:durableId="1360930655">
    <w:abstractNumId w:val="8"/>
  </w:num>
  <w:num w:numId="11" w16cid:durableId="14893641">
    <w:abstractNumId w:val="3"/>
  </w:num>
  <w:num w:numId="12" w16cid:durableId="1053625411">
    <w:abstractNumId w:val="2"/>
  </w:num>
  <w:num w:numId="13" w16cid:durableId="1483233428">
    <w:abstractNumId w:val="1"/>
  </w:num>
  <w:num w:numId="14" w16cid:durableId="1492797325">
    <w:abstractNumId w:val="0"/>
  </w:num>
  <w:num w:numId="15" w16cid:durableId="510074443">
    <w:abstractNumId w:val="15"/>
  </w:num>
  <w:num w:numId="16" w16cid:durableId="350035724">
    <w:abstractNumId w:val="13"/>
  </w:num>
  <w:num w:numId="17" w16cid:durableId="2083748514">
    <w:abstractNumId w:val="16"/>
  </w:num>
  <w:num w:numId="18" w16cid:durableId="1513908020">
    <w:abstractNumId w:val="15"/>
  </w:num>
  <w:num w:numId="19" w16cid:durableId="1828205998">
    <w:abstractNumId w:val="16"/>
  </w:num>
  <w:num w:numId="20" w16cid:durableId="1918778816">
    <w:abstractNumId w:val="10"/>
  </w:num>
  <w:num w:numId="21" w16cid:durableId="1533685689">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F97474"/>
    <w:rsid w:val="000041F8"/>
    <w:rsid w:val="000042A8"/>
    <w:rsid w:val="00004308"/>
    <w:rsid w:val="00005BF0"/>
    <w:rsid w:val="0000617D"/>
    <w:rsid w:val="00007154"/>
    <w:rsid w:val="000103AE"/>
    <w:rsid w:val="00011D69"/>
    <w:rsid w:val="00012AD3"/>
    <w:rsid w:val="00015C2D"/>
    <w:rsid w:val="00015F00"/>
    <w:rsid w:val="00022C1D"/>
    <w:rsid w:val="0002393F"/>
    <w:rsid w:val="0002592F"/>
    <w:rsid w:val="00031428"/>
    <w:rsid w:val="00034987"/>
    <w:rsid w:val="00041560"/>
    <w:rsid w:val="0004756F"/>
    <w:rsid w:val="000602DF"/>
    <w:rsid w:val="00061B05"/>
    <w:rsid w:val="00062ADD"/>
    <w:rsid w:val="000632D5"/>
    <w:rsid w:val="000644EE"/>
    <w:rsid w:val="000712E3"/>
    <w:rsid w:val="0007526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26BD"/>
    <w:rsid w:val="000F52F4"/>
    <w:rsid w:val="000F7851"/>
    <w:rsid w:val="00101505"/>
    <w:rsid w:val="00104E23"/>
    <w:rsid w:val="00110DA8"/>
    <w:rsid w:val="00111B0C"/>
    <w:rsid w:val="00120D6C"/>
    <w:rsid w:val="001257EC"/>
    <w:rsid w:val="001330AB"/>
    <w:rsid w:val="00133D33"/>
    <w:rsid w:val="00134B6A"/>
    <w:rsid w:val="00134D64"/>
    <w:rsid w:val="00135A30"/>
    <w:rsid w:val="0013612C"/>
    <w:rsid w:val="00137FF6"/>
    <w:rsid w:val="00141650"/>
    <w:rsid w:val="00147058"/>
    <w:rsid w:val="00150BFA"/>
    <w:rsid w:val="001561B6"/>
    <w:rsid w:val="00162A12"/>
    <w:rsid w:val="00166530"/>
    <w:rsid w:val="00170027"/>
    <w:rsid w:val="00182EBA"/>
    <w:rsid w:val="001832BD"/>
    <w:rsid w:val="001943B5"/>
    <w:rsid w:val="00195134"/>
    <w:rsid w:val="00197F95"/>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2214"/>
    <w:rsid w:val="0026439A"/>
    <w:rsid w:val="0026540E"/>
    <w:rsid w:val="002656E9"/>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4174"/>
    <w:rsid w:val="002F69C4"/>
    <w:rsid w:val="002F7D9E"/>
    <w:rsid w:val="002F7E1C"/>
    <w:rsid w:val="00301A75"/>
    <w:rsid w:val="00302F70"/>
    <w:rsid w:val="0030336F"/>
    <w:rsid w:val="0030375E"/>
    <w:rsid w:val="00312A30"/>
    <w:rsid w:val="003201D8"/>
    <w:rsid w:val="00320F72"/>
    <w:rsid w:val="00322745"/>
    <w:rsid w:val="0032463E"/>
    <w:rsid w:val="00326224"/>
    <w:rsid w:val="00337EE4"/>
    <w:rsid w:val="00340FFD"/>
    <w:rsid w:val="00345C41"/>
    <w:rsid w:val="003506B1"/>
    <w:rsid w:val="00355877"/>
    <w:rsid w:val="00356AC7"/>
    <w:rsid w:val="003609FA"/>
    <w:rsid w:val="00364EAC"/>
    <w:rsid w:val="003710C8"/>
    <w:rsid w:val="003750BE"/>
    <w:rsid w:val="00385A36"/>
    <w:rsid w:val="00385F3D"/>
    <w:rsid w:val="0038740C"/>
    <w:rsid w:val="00387B9D"/>
    <w:rsid w:val="00387C70"/>
    <w:rsid w:val="00390294"/>
    <w:rsid w:val="0039364F"/>
    <w:rsid w:val="00396686"/>
    <w:rsid w:val="0039778E"/>
    <w:rsid w:val="003A7CE9"/>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194E"/>
    <w:rsid w:val="0040433A"/>
    <w:rsid w:val="00406FAA"/>
    <w:rsid w:val="00414300"/>
    <w:rsid w:val="00414F27"/>
    <w:rsid w:val="00420703"/>
    <w:rsid w:val="00425C67"/>
    <w:rsid w:val="00427E7A"/>
    <w:rsid w:val="00432751"/>
    <w:rsid w:val="004355AC"/>
    <w:rsid w:val="00436C49"/>
    <w:rsid w:val="00443D98"/>
    <w:rsid w:val="00445366"/>
    <w:rsid w:val="00447F5B"/>
    <w:rsid w:val="00461DB0"/>
    <w:rsid w:val="00463926"/>
    <w:rsid w:val="00464AB7"/>
    <w:rsid w:val="00464C9A"/>
    <w:rsid w:val="00474F3D"/>
    <w:rsid w:val="00476F58"/>
    <w:rsid w:val="00477E3A"/>
    <w:rsid w:val="00483E5F"/>
    <w:rsid w:val="00485FF9"/>
    <w:rsid w:val="0049049B"/>
    <w:rsid w:val="004907F0"/>
    <w:rsid w:val="00490DE6"/>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0665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5D2"/>
    <w:rsid w:val="00531DF2"/>
    <w:rsid w:val="0053315C"/>
    <w:rsid w:val="00534F96"/>
    <w:rsid w:val="00537476"/>
    <w:rsid w:val="005442EE"/>
    <w:rsid w:val="00545DA6"/>
    <w:rsid w:val="00547353"/>
    <w:rsid w:val="005474E7"/>
    <w:rsid w:val="005512A3"/>
    <w:rsid w:val="005578CE"/>
    <w:rsid w:val="00562781"/>
    <w:rsid w:val="00562B6C"/>
    <w:rsid w:val="0057271C"/>
    <w:rsid w:val="00572845"/>
    <w:rsid w:val="005806C1"/>
    <w:rsid w:val="005834D1"/>
    <w:rsid w:val="005879A2"/>
    <w:rsid w:val="00592772"/>
    <w:rsid w:val="0059574A"/>
    <w:rsid w:val="005A1B9B"/>
    <w:rsid w:val="005A2221"/>
    <w:rsid w:val="005A2E79"/>
    <w:rsid w:val="005A6751"/>
    <w:rsid w:val="005A7544"/>
    <w:rsid w:val="005B092E"/>
    <w:rsid w:val="005B152C"/>
    <w:rsid w:val="005B1EE0"/>
    <w:rsid w:val="005B2B24"/>
    <w:rsid w:val="005B4425"/>
    <w:rsid w:val="005B4B94"/>
    <w:rsid w:val="005C2C62"/>
    <w:rsid w:val="005C3EE8"/>
    <w:rsid w:val="005C41CC"/>
    <w:rsid w:val="005D2F2A"/>
    <w:rsid w:val="005D34F9"/>
    <w:rsid w:val="005D4190"/>
    <w:rsid w:val="005D67A3"/>
    <w:rsid w:val="005E2988"/>
    <w:rsid w:val="005E3085"/>
    <w:rsid w:val="005F0EB3"/>
    <w:rsid w:val="005F33B3"/>
    <w:rsid w:val="005F51E1"/>
    <w:rsid w:val="005F6DE9"/>
    <w:rsid w:val="00611C80"/>
    <w:rsid w:val="00620692"/>
    <w:rsid w:val="006242CA"/>
    <w:rsid w:val="00624823"/>
    <w:rsid w:val="00627507"/>
    <w:rsid w:val="00633717"/>
    <w:rsid w:val="006344E1"/>
    <w:rsid w:val="00643524"/>
    <w:rsid w:val="0064393B"/>
    <w:rsid w:val="00644AFA"/>
    <w:rsid w:val="00645CF2"/>
    <w:rsid w:val="006545C4"/>
    <w:rsid w:val="00661971"/>
    <w:rsid w:val="00661CE8"/>
    <w:rsid w:val="006623D9"/>
    <w:rsid w:val="006642A5"/>
    <w:rsid w:val="0066550C"/>
    <w:rsid w:val="00665BD2"/>
    <w:rsid w:val="006716F2"/>
    <w:rsid w:val="00674687"/>
    <w:rsid w:val="00675AF2"/>
    <w:rsid w:val="00682BF2"/>
    <w:rsid w:val="0068573E"/>
    <w:rsid w:val="006859CE"/>
    <w:rsid w:val="0068649A"/>
    <w:rsid w:val="00691270"/>
    <w:rsid w:val="00694BA8"/>
    <w:rsid w:val="006A037C"/>
    <w:rsid w:val="006A0C84"/>
    <w:rsid w:val="006A36F4"/>
    <w:rsid w:val="006A406F"/>
    <w:rsid w:val="006A4E97"/>
    <w:rsid w:val="006A5D3A"/>
    <w:rsid w:val="006B1942"/>
    <w:rsid w:val="006C23D4"/>
    <w:rsid w:val="006C7BB0"/>
    <w:rsid w:val="006D2580"/>
    <w:rsid w:val="006D3237"/>
    <w:rsid w:val="006E2E37"/>
    <w:rsid w:val="006E3CF1"/>
    <w:rsid w:val="006E68A3"/>
    <w:rsid w:val="006E7E80"/>
    <w:rsid w:val="006F1C2D"/>
    <w:rsid w:val="006F48CA"/>
    <w:rsid w:val="006F64DD"/>
    <w:rsid w:val="006F712D"/>
    <w:rsid w:val="00715127"/>
    <w:rsid w:val="00715E8E"/>
    <w:rsid w:val="00720FB3"/>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239A"/>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3B36"/>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615C"/>
    <w:rsid w:val="00802C64"/>
    <w:rsid w:val="00805E52"/>
    <w:rsid w:val="008061D0"/>
    <w:rsid w:val="008069FE"/>
    <w:rsid w:val="00810B38"/>
    <w:rsid w:val="008204C7"/>
    <w:rsid w:val="00820992"/>
    <w:rsid w:val="00823602"/>
    <w:rsid w:val="008255F5"/>
    <w:rsid w:val="00826890"/>
    <w:rsid w:val="0083014E"/>
    <w:rsid w:val="0083214A"/>
    <w:rsid w:val="00834220"/>
    <w:rsid w:val="00835C18"/>
    <w:rsid w:val="00845723"/>
    <w:rsid w:val="008519E7"/>
    <w:rsid w:val="00851EF9"/>
    <w:rsid w:val="008577FD"/>
    <w:rsid w:val="00860B03"/>
    <w:rsid w:val="0086497A"/>
    <w:rsid w:val="0086538E"/>
    <w:rsid w:val="00867066"/>
    <w:rsid w:val="008713A1"/>
    <w:rsid w:val="00872584"/>
    <w:rsid w:val="0087439F"/>
    <w:rsid w:val="008754AB"/>
    <w:rsid w:val="00875980"/>
    <w:rsid w:val="0088060C"/>
    <w:rsid w:val="00882CD5"/>
    <w:rsid w:val="00883151"/>
    <w:rsid w:val="00893576"/>
    <w:rsid w:val="00893E73"/>
    <w:rsid w:val="008A227B"/>
    <w:rsid w:val="008B02DC"/>
    <w:rsid w:val="008B092C"/>
    <w:rsid w:val="008B57CE"/>
    <w:rsid w:val="008C08A4"/>
    <w:rsid w:val="008C26DE"/>
    <w:rsid w:val="008D1668"/>
    <w:rsid w:val="008D2225"/>
    <w:rsid w:val="008D4752"/>
    <w:rsid w:val="008D5A13"/>
    <w:rsid w:val="008E08FA"/>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0B63"/>
    <w:rsid w:val="009140A3"/>
    <w:rsid w:val="009144A2"/>
    <w:rsid w:val="0091510C"/>
    <w:rsid w:val="009259AC"/>
    <w:rsid w:val="00925E6D"/>
    <w:rsid w:val="00926F38"/>
    <w:rsid w:val="009272C2"/>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20B1"/>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0EB"/>
    <w:rsid w:val="00A73329"/>
    <w:rsid w:val="00A82359"/>
    <w:rsid w:val="00A865D2"/>
    <w:rsid w:val="00A87C10"/>
    <w:rsid w:val="00A90BCD"/>
    <w:rsid w:val="00A91CBF"/>
    <w:rsid w:val="00A92625"/>
    <w:rsid w:val="00A935C5"/>
    <w:rsid w:val="00A94C20"/>
    <w:rsid w:val="00A95D81"/>
    <w:rsid w:val="00AA1B09"/>
    <w:rsid w:val="00AA227F"/>
    <w:rsid w:val="00AA3BC7"/>
    <w:rsid w:val="00AA754A"/>
    <w:rsid w:val="00AB099E"/>
    <w:rsid w:val="00AB4328"/>
    <w:rsid w:val="00AB770C"/>
    <w:rsid w:val="00AC38DE"/>
    <w:rsid w:val="00AC4CD4"/>
    <w:rsid w:val="00AD4CB9"/>
    <w:rsid w:val="00AE0A2E"/>
    <w:rsid w:val="00AE354C"/>
    <w:rsid w:val="00AF12C5"/>
    <w:rsid w:val="00AF4B07"/>
    <w:rsid w:val="00AF6186"/>
    <w:rsid w:val="00AF7A3A"/>
    <w:rsid w:val="00B02587"/>
    <w:rsid w:val="00B049D1"/>
    <w:rsid w:val="00B14793"/>
    <w:rsid w:val="00B153A0"/>
    <w:rsid w:val="00B160DB"/>
    <w:rsid w:val="00B20836"/>
    <w:rsid w:val="00B235BB"/>
    <w:rsid w:val="00B25F43"/>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1BC0"/>
    <w:rsid w:val="00C939FE"/>
    <w:rsid w:val="00CA4BDA"/>
    <w:rsid w:val="00CB13E3"/>
    <w:rsid w:val="00CB1F66"/>
    <w:rsid w:val="00CB232C"/>
    <w:rsid w:val="00CB2951"/>
    <w:rsid w:val="00CB4277"/>
    <w:rsid w:val="00CC5067"/>
    <w:rsid w:val="00CD11D3"/>
    <w:rsid w:val="00CD282B"/>
    <w:rsid w:val="00CD447B"/>
    <w:rsid w:val="00CD4C35"/>
    <w:rsid w:val="00CD5586"/>
    <w:rsid w:val="00CD7369"/>
    <w:rsid w:val="00CE0B0E"/>
    <w:rsid w:val="00CE3831"/>
    <w:rsid w:val="00CF2397"/>
    <w:rsid w:val="00D00ABB"/>
    <w:rsid w:val="00D02EEC"/>
    <w:rsid w:val="00D03551"/>
    <w:rsid w:val="00D04315"/>
    <w:rsid w:val="00D06A63"/>
    <w:rsid w:val="00D07E0E"/>
    <w:rsid w:val="00D10CD6"/>
    <w:rsid w:val="00D11478"/>
    <w:rsid w:val="00D12657"/>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0A3E"/>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22B1"/>
    <w:rsid w:val="00F852BA"/>
    <w:rsid w:val="00F8765F"/>
    <w:rsid w:val="00F90767"/>
    <w:rsid w:val="00F9263C"/>
    <w:rsid w:val="00F97474"/>
    <w:rsid w:val="00FA1637"/>
    <w:rsid w:val="00FA685B"/>
    <w:rsid w:val="00FB0C01"/>
    <w:rsid w:val="00FB5934"/>
    <w:rsid w:val="00FC0E6D"/>
    <w:rsid w:val="00FC18F2"/>
    <w:rsid w:val="00FC2A17"/>
    <w:rsid w:val="00FC38CF"/>
    <w:rsid w:val="00FC39E5"/>
    <w:rsid w:val="00FC3A78"/>
    <w:rsid w:val="00FD1005"/>
    <w:rsid w:val="00FD1F7F"/>
    <w:rsid w:val="00FD6C75"/>
    <w:rsid w:val="00FD7972"/>
    <w:rsid w:val="00FE0401"/>
    <w:rsid w:val="00FE71B3"/>
    <w:rsid w:val="00FE7759"/>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084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432751"/>
    <w:rPr>
      <w:sz w:val="24"/>
      <w:szCs w:val="24"/>
      <w:lang w:val="en-GB"/>
    </w:rPr>
  </w:style>
  <w:style w:type="paragraph" w:styleId="Nagwek1">
    <w:name w:val="heading 1"/>
    <w:basedOn w:val="Normalny"/>
    <w:next w:val="Normalny"/>
    <w:link w:val="Nagwek1Znak"/>
    <w:uiPriority w:val="98"/>
    <w:semiHidden/>
    <w:rsid w:val="0043275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43275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432751"/>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432751"/>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432751"/>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43275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432751"/>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43275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43275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32751"/>
    <w:rPr>
      <w:rFonts w:ascii="Tahoma" w:hAnsi="Tahoma" w:cs="Tahoma"/>
      <w:sz w:val="16"/>
      <w:szCs w:val="16"/>
    </w:rPr>
  </w:style>
  <w:style w:type="character" w:customStyle="1" w:styleId="TekstdymkaZnak">
    <w:name w:val="Tekst dymka Znak"/>
    <w:basedOn w:val="Domylnaczcionkaakapitu"/>
    <w:link w:val="Tekstdymka"/>
    <w:uiPriority w:val="98"/>
    <w:semiHidden/>
    <w:rsid w:val="00432751"/>
    <w:rPr>
      <w:rFonts w:ascii="Tahoma" w:hAnsi="Tahoma" w:cs="Tahoma"/>
      <w:sz w:val="16"/>
      <w:szCs w:val="16"/>
      <w:lang w:val="en-GB"/>
    </w:rPr>
  </w:style>
  <w:style w:type="character" w:styleId="Tytuksiki">
    <w:name w:val="Book Title"/>
    <w:uiPriority w:val="98"/>
    <w:semiHidden/>
    <w:qFormat/>
    <w:rsid w:val="00432751"/>
    <w:rPr>
      <w:i/>
      <w:iCs/>
      <w:smallCaps/>
      <w:spacing w:val="5"/>
    </w:rPr>
  </w:style>
  <w:style w:type="paragraph" w:customStyle="1" w:styleId="JuHeader">
    <w:name w:val="Ju_Header"/>
    <w:aliases w:val="_Header"/>
    <w:basedOn w:val="Nagwek"/>
    <w:uiPriority w:val="29"/>
    <w:qFormat/>
    <w:rsid w:val="00432751"/>
    <w:pPr>
      <w:tabs>
        <w:tab w:val="clear" w:pos="4536"/>
        <w:tab w:val="clear" w:pos="9072"/>
      </w:tabs>
      <w:jc w:val="center"/>
    </w:pPr>
    <w:rPr>
      <w:sz w:val="18"/>
    </w:rPr>
  </w:style>
  <w:style w:type="paragraph" w:customStyle="1" w:styleId="NormalJustified">
    <w:name w:val="Normal_Justified"/>
    <w:basedOn w:val="Normalny"/>
    <w:semiHidden/>
    <w:rsid w:val="00432751"/>
    <w:pPr>
      <w:jc w:val="both"/>
    </w:pPr>
  </w:style>
  <w:style w:type="character" w:styleId="Pogrubienie">
    <w:name w:val="Strong"/>
    <w:uiPriority w:val="98"/>
    <w:semiHidden/>
    <w:qFormat/>
    <w:rsid w:val="00432751"/>
    <w:rPr>
      <w:b/>
      <w:bCs/>
    </w:rPr>
  </w:style>
  <w:style w:type="paragraph" w:styleId="Bezodstpw">
    <w:name w:val="No Spacing"/>
    <w:basedOn w:val="Normalny"/>
    <w:link w:val="BezodstpwZnak"/>
    <w:uiPriority w:val="98"/>
    <w:semiHidden/>
    <w:qFormat/>
    <w:rsid w:val="00432751"/>
  </w:style>
  <w:style w:type="character" w:customStyle="1" w:styleId="BezodstpwZnak">
    <w:name w:val="Bez odstępów Znak"/>
    <w:basedOn w:val="Domylnaczcionkaakapitu"/>
    <w:link w:val="Bezodstpw"/>
    <w:uiPriority w:val="98"/>
    <w:semiHidden/>
    <w:rsid w:val="00432751"/>
    <w:rPr>
      <w:sz w:val="24"/>
      <w:szCs w:val="24"/>
      <w:lang w:val="en-GB"/>
    </w:rPr>
  </w:style>
  <w:style w:type="paragraph" w:customStyle="1" w:styleId="JuQuot">
    <w:name w:val="Ju_Quot"/>
    <w:aliases w:val="_Quote"/>
    <w:basedOn w:val="NormalJustified"/>
    <w:uiPriority w:val="20"/>
    <w:qFormat/>
    <w:rsid w:val="00432751"/>
    <w:pPr>
      <w:spacing w:before="120" w:after="120"/>
      <w:ind w:left="425" w:firstLine="142"/>
    </w:pPr>
    <w:rPr>
      <w:sz w:val="20"/>
    </w:rPr>
  </w:style>
  <w:style w:type="paragraph" w:customStyle="1" w:styleId="JuList">
    <w:name w:val="Ju_List"/>
    <w:aliases w:val="_List_1"/>
    <w:basedOn w:val="NormalJustified"/>
    <w:uiPriority w:val="23"/>
    <w:qFormat/>
    <w:rsid w:val="00432751"/>
    <w:pPr>
      <w:numPr>
        <w:numId w:val="21"/>
      </w:numPr>
      <w:spacing w:before="280" w:after="60"/>
    </w:pPr>
  </w:style>
  <w:style w:type="paragraph" w:customStyle="1" w:styleId="JuLista">
    <w:name w:val="Ju_List_a"/>
    <w:aliases w:val="_List_2"/>
    <w:basedOn w:val="NormalJustified"/>
    <w:uiPriority w:val="23"/>
    <w:rsid w:val="00432751"/>
    <w:pPr>
      <w:numPr>
        <w:ilvl w:val="1"/>
        <w:numId w:val="21"/>
      </w:numPr>
    </w:pPr>
  </w:style>
  <w:style w:type="paragraph" w:customStyle="1" w:styleId="JuListi">
    <w:name w:val="Ju_List_i"/>
    <w:aliases w:val="_List_3"/>
    <w:basedOn w:val="NormalJustified"/>
    <w:uiPriority w:val="23"/>
    <w:rsid w:val="00432751"/>
    <w:pPr>
      <w:numPr>
        <w:ilvl w:val="2"/>
        <w:numId w:val="21"/>
      </w:numPr>
    </w:pPr>
  </w:style>
  <w:style w:type="paragraph" w:customStyle="1" w:styleId="JuHArticle">
    <w:name w:val="Ju_H_Article"/>
    <w:aliases w:val="_Title_Quote"/>
    <w:basedOn w:val="Normalny"/>
    <w:next w:val="JuQuot"/>
    <w:uiPriority w:val="19"/>
    <w:qFormat/>
    <w:rsid w:val="0043275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3275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32751"/>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432751"/>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432751"/>
    <w:pPr>
      <w:numPr>
        <w:numId w:val="15"/>
      </w:numPr>
    </w:pPr>
  </w:style>
  <w:style w:type="paragraph" w:customStyle="1" w:styleId="JuSigned">
    <w:name w:val="Ju_Signed"/>
    <w:aliases w:val="_Signature"/>
    <w:basedOn w:val="Normalny"/>
    <w:next w:val="JuPara"/>
    <w:uiPriority w:val="31"/>
    <w:qFormat/>
    <w:rsid w:val="00432751"/>
    <w:pPr>
      <w:tabs>
        <w:tab w:val="center" w:pos="1418"/>
        <w:tab w:val="center" w:pos="5954"/>
      </w:tabs>
      <w:spacing w:before="720"/>
    </w:pPr>
  </w:style>
  <w:style w:type="paragraph" w:styleId="Tytu">
    <w:name w:val="Title"/>
    <w:basedOn w:val="Normalny"/>
    <w:next w:val="Normalny"/>
    <w:link w:val="TytuZnak"/>
    <w:uiPriority w:val="98"/>
    <w:semiHidden/>
    <w:qFormat/>
    <w:rsid w:val="0043275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43275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432751"/>
    <w:pPr>
      <w:numPr>
        <w:numId w:val="16"/>
      </w:numPr>
    </w:pPr>
  </w:style>
  <w:style w:type="numbering" w:customStyle="1" w:styleId="ECHRA1StyleNumberedList">
    <w:name w:val="ECHR_A1_Style_Numbered_List"/>
    <w:basedOn w:val="Bezlisty"/>
    <w:rsid w:val="00432751"/>
    <w:pPr>
      <w:numPr>
        <w:numId w:val="17"/>
      </w:numPr>
    </w:pPr>
  </w:style>
  <w:style w:type="table" w:customStyle="1" w:styleId="ECHRTable2019">
    <w:name w:val="ECHR_Table_2019"/>
    <w:basedOn w:val="Standardowy"/>
    <w:uiPriority w:val="99"/>
    <w:rsid w:val="0043275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43275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432751"/>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32751"/>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432751"/>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432751"/>
    <w:pPr>
      <w:tabs>
        <w:tab w:val="center" w:pos="4536"/>
        <w:tab w:val="right" w:pos="9072"/>
      </w:tabs>
    </w:pPr>
  </w:style>
  <w:style w:type="character" w:customStyle="1" w:styleId="NagwekZnak">
    <w:name w:val="Nagłówek Znak"/>
    <w:basedOn w:val="Domylnaczcionkaakapitu"/>
    <w:link w:val="Nagwek"/>
    <w:uiPriority w:val="98"/>
    <w:semiHidden/>
    <w:rsid w:val="00432751"/>
    <w:rPr>
      <w:sz w:val="24"/>
      <w:szCs w:val="24"/>
      <w:lang w:val="en-GB"/>
    </w:rPr>
  </w:style>
  <w:style w:type="character" w:customStyle="1" w:styleId="Nagwek1Znak">
    <w:name w:val="Nagłówek 1 Znak"/>
    <w:basedOn w:val="Domylnaczcionkaakapitu"/>
    <w:link w:val="Nagwek1"/>
    <w:uiPriority w:val="98"/>
    <w:semiHidden/>
    <w:rsid w:val="0043275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432751"/>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432751"/>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43275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432751"/>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432751"/>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43275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32751"/>
    <w:pPr>
      <w:keepNext/>
      <w:keepLines/>
      <w:spacing w:before="240" w:after="240"/>
      <w:ind w:firstLine="284"/>
    </w:pPr>
  </w:style>
  <w:style w:type="paragraph" w:customStyle="1" w:styleId="JuJudges">
    <w:name w:val="Ju_Judges"/>
    <w:aliases w:val="_Judges"/>
    <w:basedOn w:val="Normalny"/>
    <w:uiPriority w:val="32"/>
    <w:qFormat/>
    <w:rsid w:val="00432751"/>
    <w:pPr>
      <w:tabs>
        <w:tab w:val="left" w:pos="567"/>
        <w:tab w:val="left" w:pos="1134"/>
      </w:tabs>
    </w:pPr>
  </w:style>
  <w:style w:type="character" w:customStyle="1" w:styleId="Nagwek4Znak">
    <w:name w:val="Nagłówek 4 Znak"/>
    <w:basedOn w:val="Domylnaczcionkaakapitu"/>
    <w:link w:val="Nagwek4"/>
    <w:uiPriority w:val="98"/>
    <w:semiHidden/>
    <w:rsid w:val="0043275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432751"/>
    <w:pPr>
      <w:tabs>
        <w:tab w:val="center" w:pos="6407"/>
      </w:tabs>
      <w:spacing w:before="720"/>
      <w:jc w:val="right"/>
    </w:pPr>
  </w:style>
  <w:style w:type="character" w:customStyle="1" w:styleId="Nagwek5Znak">
    <w:name w:val="Nagłówek 5 Znak"/>
    <w:basedOn w:val="Domylnaczcionkaakapitu"/>
    <w:link w:val="Nagwek5"/>
    <w:uiPriority w:val="98"/>
    <w:semiHidden/>
    <w:rsid w:val="00432751"/>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432751"/>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432751"/>
    <w:rPr>
      <w:caps w:val="0"/>
      <w:smallCaps/>
    </w:rPr>
  </w:style>
  <w:style w:type="character" w:styleId="Wyrnieniedelikatne">
    <w:name w:val="Subtle Emphasis"/>
    <w:uiPriority w:val="98"/>
    <w:semiHidden/>
    <w:qFormat/>
    <w:rsid w:val="00432751"/>
    <w:rPr>
      <w:i/>
      <w:iCs/>
    </w:rPr>
  </w:style>
  <w:style w:type="table" w:customStyle="1" w:styleId="ECHRTable">
    <w:name w:val="ECHR_Table"/>
    <w:basedOn w:val="Standardowy"/>
    <w:rsid w:val="0043275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3275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432751"/>
    <w:rPr>
      <w:b/>
      <w:bCs/>
      <w:i/>
      <w:iCs/>
      <w:spacing w:val="10"/>
      <w:bdr w:val="none" w:sz="0" w:space="0" w:color="auto"/>
      <w:shd w:val="clear" w:color="auto" w:fill="auto"/>
    </w:rPr>
  </w:style>
  <w:style w:type="paragraph" w:styleId="Stopka">
    <w:name w:val="footer"/>
    <w:basedOn w:val="Normalny"/>
    <w:link w:val="StopkaZnak"/>
    <w:uiPriority w:val="98"/>
    <w:semiHidden/>
    <w:rsid w:val="00432751"/>
    <w:pPr>
      <w:tabs>
        <w:tab w:val="center" w:pos="3686"/>
        <w:tab w:val="right" w:pos="7371"/>
      </w:tabs>
    </w:pPr>
  </w:style>
  <w:style w:type="character" w:customStyle="1" w:styleId="StopkaZnak">
    <w:name w:val="Stopka Znak"/>
    <w:basedOn w:val="Domylnaczcionkaakapitu"/>
    <w:link w:val="Stopka"/>
    <w:uiPriority w:val="98"/>
    <w:semiHidden/>
    <w:rsid w:val="00432751"/>
    <w:rPr>
      <w:sz w:val="24"/>
      <w:szCs w:val="24"/>
      <w:lang w:val="en-GB"/>
    </w:rPr>
  </w:style>
  <w:style w:type="character" w:styleId="Odwoanieprzypisudolnego">
    <w:name w:val="footnote reference"/>
    <w:basedOn w:val="Domylnaczcionkaakapitu"/>
    <w:uiPriority w:val="98"/>
    <w:semiHidden/>
    <w:rsid w:val="00432751"/>
    <w:rPr>
      <w:vertAlign w:val="superscript"/>
    </w:rPr>
  </w:style>
  <w:style w:type="paragraph" w:styleId="Tekstprzypisudolnego">
    <w:name w:val="footnote text"/>
    <w:basedOn w:val="NormalJustified"/>
    <w:link w:val="TekstprzypisudolnegoZnak"/>
    <w:uiPriority w:val="98"/>
    <w:semiHidden/>
    <w:rsid w:val="00432751"/>
    <w:rPr>
      <w:sz w:val="20"/>
      <w:szCs w:val="20"/>
    </w:rPr>
  </w:style>
  <w:style w:type="character" w:customStyle="1" w:styleId="TekstprzypisudolnegoZnak">
    <w:name w:val="Tekst przypisu dolnego Znak"/>
    <w:basedOn w:val="Domylnaczcionkaakapitu"/>
    <w:link w:val="Tekstprzypisudolnego"/>
    <w:uiPriority w:val="98"/>
    <w:semiHidden/>
    <w:rsid w:val="00432751"/>
    <w:rPr>
      <w:sz w:val="20"/>
      <w:szCs w:val="20"/>
      <w:lang w:val="en-GB"/>
    </w:rPr>
  </w:style>
  <w:style w:type="character" w:customStyle="1" w:styleId="Nagwek6Znak">
    <w:name w:val="Nagłówek 6 Znak"/>
    <w:basedOn w:val="Domylnaczcionkaakapitu"/>
    <w:link w:val="Nagwek6"/>
    <w:uiPriority w:val="98"/>
    <w:semiHidden/>
    <w:rsid w:val="00432751"/>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432751"/>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43275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43275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432751"/>
    <w:rPr>
      <w:color w:val="0072BC" w:themeColor="hyperlink"/>
      <w:u w:val="single"/>
    </w:rPr>
  </w:style>
  <w:style w:type="character" w:styleId="Wyrnienieintensywne">
    <w:name w:val="Intense Emphasis"/>
    <w:uiPriority w:val="98"/>
    <w:semiHidden/>
    <w:qFormat/>
    <w:rsid w:val="00432751"/>
    <w:rPr>
      <w:b/>
      <w:bCs/>
    </w:rPr>
  </w:style>
  <w:style w:type="paragraph" w:styleId="Cytatintensywny">
    <w:name w:val="Intense Quote"/>
    <w:basedOn w:val="Normalny"/>
    <w:next w:val="Normalny"/>
    <w:link w:val="CytatintensywnyZnak"/>
    <w:uiPriority w:val="98"/>
    <w:semiHidden/>
    <w:qFormat/>
    <w:rsid w:val="0043275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432751"/>
    <w:rPr>
      <w:b/>
      <w:bCs/>
      <w:i/>
      <w:iCs/>
      <w:sz w:val="24"/>
      <w:szCs w:val="24"/>
      <w:lang w:val="en-GB" w:bidi="en-US"/>
    </w:rPr>
  </w:style>
  <w:style w:type="character" w:styleId="Odwoanieintensywne">
    <w:name w:val="Intense Reference"/>
    <w:uiPriority w:val="98"/>
    <w:semiHidden/>
    <w:qFormat/>
    <w:rsid w:val="00432751"/>
    <w:rPr>
      <w:smallCaps/>
      <w:spacing w:val="5"/>
      <w:u w:val="single"/>
    </w:rPr>
  </w:style>
  <w:style w:type="paragraph" w:styleId="Akapitzlist">
    <w:name w:val="List Paragraph"/>
    <w:basedOn w:val="Normalny"/>
    <w:uiPriority w:val="98"/>
    <w:semiHidden/>
    <w:qFormat/>
    <w:rsid w:val="00432751"/>
    <w:pPr>
      <w:ind w:left="720"/>
      <w:contextualSpacing/>
    </w:pPr>
  </w:style>
  <w:style w:type="table" w:customStyle="1" w:styleId="LtrTableAddress">
    <w:name w:val="Ltr_Table_Address"/>
    <w:aliases w:val="ECHR_Ltr_Table_Address"/>
    <w:basedOn w:val="Standardowy"/>
    <w:uiPriority w:val="99"/>
    <w:rsid w:val="00432751"/>
    <w:rPr>
      <w:sz w:val="24"/>
      <w:szCs w:val="24"/>
    </w:rPr>
    <w:tblPr>
      <w:tblInd w:w="5103" w:type="dxa"/>
    </w:tblPr>
  </w:style>
  <w:style w:type="paragraph" w:styleId="Cytat">
    <w:name w:val="Quote"/>
    <w:basedOn w:val="Normalny"/>
    <w:next w:val="Normalny"/>
    <w:link w:val="CytatZnak"/>
    <w:uiPriority w:val="98"/>
    <w:semiHidden/>
    <w:qFormat/>
    <w:rsid w:val="00432751"/>
    <w:pPr>
      <w:spacing w:before="200"/>
      <w:ind w:left="360" w:right="360"/>
    </w:pPr>
    <w:rPr>
      <w:i/>
      <w:iCs/>
      <w:lang w:bidi="en-US"/>
    </w:rPr>
  </w:style>
  <w:style w:type="character" w:customStyle="1" w:styleId="CytatZnak">
    <w:name w:val="Cytat Znak"/>
    <w:basedOn w:val="Domylnaczcionkaakapitu"/>
    <w:link w:val="Cytat"/>
    <w:uiPriority w:val="98"/>
    <w:semiHidden/>
    <w:rsid w:val="00432751"/>
    <w:rPr>
      <w:i/>
      <w:iCs/>
      <w:sz w:val="24"/>
      <w:szCs w:val="24"/>
      <w:lang w:val="en-GB" w:bidi="en-US"/>
    </w:rPr>
  </w:style>
  <w:style w:type="character" w:styleId="Odwoaniedelikatne">
    <w:name w:val="Subtle Reference"/>
    <w:uiPriority w:val="98"/>
    <w:semiHidden/>
    <w:qFormat/>
    <w:rsid w:val="00432751"/>
    <w:rPr>
      <w:smallCaps/>
    </w:rPr>
  </w:style>
  <w:style w:type="table" w:styleId="Tabela-Siatka">
    <w:name w:val="Table Grid"/>
    <w:basedOn w:val="Standardowy"/>
    <w:uiPriority w:val="59"/>
    <w:semiHidden/>
    <w:rsid w:val="0043275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3275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3275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3275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32751"/>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3275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3275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43275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3275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3275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3275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43275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3275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3275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43275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43275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432751"/>
    <w:pPr>
      <w:numPr>
        <w:numId w:val="2"/>
      </w:numPr>
    </w:pPr>
  </w:style>
  <w:style w:type="paragraph" w:customStyle="1" w:styleId="JuPara">
    <w:name w:val="Ju_Para"/>
    <w:aliases w:val="_Para"/>
    <w:basedOn w:val="NormalJustified"/>
    <w:link w:val="JuParaChar"/>
    <w:uiPriority w:val="4"/>
    <w:qFormat/>
    <w:rsid w:val="00432751"/>
    <w:pPr>
      <w:ind w:firstLine="284"/>
    </w:pPr>
  </w:style>
  <w:style w:type="numbering" w:styleId="1ai">
    <w:name w:val="Outline List 1"/>
    <w:basedOn w:val="Bezlisty"/>
    <w:uiPriority w:val="99"/>
    <w:semiHidden/>
    <w:unhideWhenUsed/>
    <w:rsid w:val="00432751"/>
    <w:pPr>
      <w:numPr>
        <w:numId w:val="3"/>
      </w:numPr>
    </w:pPr>
  </w:style>
  <w:style w:type="table" w:customStyle="1" w:styleId="ECHRTableSimpleBox">
    <w:name w:val="ECHR_Table_Simple_Box"/>
    <w:basedOn w:val="Standardowy"/>
    <w:uiPriority w:val="99"/>
    <w:rsid w:val="0043275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43275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432751"/>
    <w:pPr>
      <w:numPr>
        <w:numId w:val="4"/>
      </w:numPr>
    </w:pPr>
  </w:style>
  <w:style w:type="table" w:customStyle="1" w:styleId="ECHRTableForInternalUse">
    <w:name w:val="ECHR_Table_For_Internal_Use"/>
    <w:basedOn w:val="Standardowy"/>
    <w:uiPriority w:val="99"/>
    <w:rsid w:val="0043275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43275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432751"/>
  </w:style>
  <w:style w:type="paragraph" w:styleId="Tekstblokowy">
    <w:name w:val="Block Text"/>
    <w:basedOn w:val="Normalny"/>
    <w:uiPriority w:val="98"/>
    <w:semiHidden/>
    <w:rsid w:val="0043275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43275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432751"/>
    <w:pPr>
      <w:spacing w:after="120"/>
    </w:pPr>
  </w:style>
  <w:style w:type="character" w:customStyle="1" w:styleId="TekstpodstawowyZnak">
    <w:name w:val="Tekst podstawowy Znak"/>
    <w:basedOn w:val="Domylnaczcionkaakapitu"/>
    <w:link w:val="Tekstpodstawowy"/>
    <w:uiPriority w:val="98"/>
    <w:semiHidden/>
    <w:rsid w:val="00432751"/>
    <w:rPr>
      <w:sz w:val="24"/>
      <w:szCs w:val="24"/>
      <w:lang w:val="en-GB"/>
    </w:rPr>
  </w:style>
  <w:style w:type="table" w:customStyle="1" w:styleId="ECHRTableOddBanded">
    <w:name w:val="ECHR_Table_Odd_Banded"/>
    <w:basedOn w:val="Standardowy"/>
    <w:uiPriority w:val="99"/>
    <w:rsid w:val="0043275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432751"/>
    <w:pPr>
      <w:spacing w:after="120" w:line="480" w:lineRule="auto"/>
    </w:pPr>
  </w:style>
  <w:style w:type="table" w:customStyle="1" w:styleId="ECHRHeaderTableReduced">
    <w:name w:val="ECHR_Header_Table_Reduced"/>
    <w:basedOn w:val="Standardowy"/>
    <w:uiPriority w:val="99"/>
    <w:rsid w:val="0043275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32751"/>
    <w:pPr>
      <w:ind w:firstLine="284"/>
    </w:pPr>
    <w:rPr>
      <w:b/>
    </w:rPr>
  </w:style>
  <w:style w:type="character" w:styleId="Numerstrony">
    <w:name w:val="page number"/>
    <w:uiPriority w:val="98"/>
    <w:semiHidden/>
    <w:rsid w:val="00432751"/>
    <w:rPr>
      <w:sz w:val="18"/>
    </w:rPr>
  </w:style>
  <w:style w:type="paragraph" w:styleId="Listapunktowana">
    <w:name w:val="List Bullet"/>
    <w:basedOn w:val="Normalny"/>
    <w:uiPriority w:val="98"/>
    <w:semiHidden/>
    <w:rsid w:val="00432751"/>
    <w:pPr>
      <w:numPr>
        <w:numId w:val="5"/>
      </w:numPr>
    </w:pPr>
  </w:style>
  <w:style w:type="paragraph" w:styleId="Listapunktowana3">
    <w:name w:val="List Bullet 3"/>
    <w:basedOn w:val="Normalny"/>
    <w:uiPriority w:val="98"/>
    <w:semiHidden/>
    <w:rsid w:val="00432751"/>
    <w:pPr>
      <w:numPr>
        <w:numId w:val="7"/>
      </w:numPr>
      <w:contextualSpacing/>
    </w:pPr>
  </w:style>
  <w:style w:type="character" w:customStyle="1" w:styleId="Tekstpodstawowy2Znak">
    <w:name w:val="Tekst podstawowy 2 Znak"/>
    <w:basedOn w:val="Domylnaczcionkaakapitu"/>
    <w:link w:val="Tekstpodstawowy2"/>
    <w:uiPriority w:val="98"/>
    <w:semiHidden/>
    <w:rsid w:val="00432751"/>
    <w:rPr>
      <w:sz w:val="24"/>
      <w:szCs w:val="24"/>
      <w:lang w:val="en-GB"/>
    </w:rPr>
  </w:style>
  <w:style w:type="paragraph" w:styleId="Tekstpodstawowy3">
    <w:name w:val="Body Text 3"/>
    <w:basedOn w:val="Normalny"/>
    <w:link w:val="Tekstpodstawowy3Znak"/>
    <w:uiPriority w:val="98"/>
    <w:semiHidden/>
    <w:rsid w:val="00432751"/>
    <w:pPr>
      <w:spacing w:after="120"/>
    </w:pPr>
    <w:rPr>
      <w:sz w:val="16"/>
      <w:szCs w:val="16"/>
    </w:rPr>
  </w:style>
  <w:style w:type="character" w:customStyle="1" w:styleId="Tekstpodstawowy3Znak">
    <w:name w:val="Tekst podstawowy 3 Znak"/>
    <w:basedOn w:val="Domylnaczcionkaakapitu"/>
    <w:link w:val="Tekstpodstawowy3"/>
    <w:uiPriority w:val="98"/>
    <w:semiHidden/>
    <w:rsid w:val="00432751"/>
    <w:rPr>
      <w:sz w:val="16"/>
      <w:szCs w:val="16"/>
      <w:lang w:val="en-GB"/>
    </w:rPr>
  </w:style>
  <w:style w:type="paragraph" w:styleId="Tekstpodstawowyzwciciem">
    <w:name w:val="Body Text First Indent"/>
    <w:basedOn w:val="Tekstpodstawowy"/>
    <w:link w:val="TekstpodstawowyzwciciemZnak"/>
    <w:uiPriority w:val="98"/>
    <w:semiHidden/>
    <w:rsid w:val="0043275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32751"/>
    <w:rPr>
      <w:sz w:val="24"/>
      <w:szCs w:val="24"/>
      <w:lang w:val="en-GB"/>
    </w:rPr>
  </w:style>
  <w:style w:type="paragraph" w:styleId="Tekstpodstawowywcity">
    <w:name w:val="Body Text Indent"/>
    <w:basedOn w:val="Normalny"/>
    <w:link w:val="TekstpodstawowywcityZnak"/>
    <w:uiPriority w:val="98"/>
    <w:semiHidden/>
    <w:rsid w:val="00432751"/>
    <w:pPr>
      <w:spacing w:after="120"/>
      <w:ind w:left="283"/>
    </w:pPr>
  </w:style>
  <w:style w:type="character" w:customStyle="1" w:styleId="TekstpodstawowywcityZnak">
    <w:name w:val="Tekst podstawowy wcięty Znak"/>
    <w:basedOn w:val="Domylnaczcionkaakapitu"/>
    <w:link w:val="Tekstpodstawowywcity"/>
    <w:uiPriority w:val="98"/>
    <w:semiHidden/>
    <w:rsid w:val="00432751"/>
    <w:rPr>
      <w:sz w:val="24"/>
      <w:szCs w:val="24"/>
      <w:lang w:val="en-GB"/>
    </w:rPr>
  </w:style>
  <w:style w:type="paragraph" w:styleId="Tekstpodstawowyzwciciem2">
    <w:name w:val="Body Text First Indent 2"/>
    <w:basedOn w:val="Tekstpodstawowywcity"/>
    <w:link w:val="Tekstpodstawowyzwciciem2Znak"/>
    <w:uiPriority w:val="98"/>
    <w:semiHidden/>
    <w:rsid w:val="0043275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32751"/>
    <w:rPr>
      <w:sz w:val="24"/>
      <w:szCs w:val="24"/>
      <w:lang w:val="en-GB"/>
    </w:rPr>
  </w:style>
  <w:style w:type="paragraph" w:styleId="Tekstpodstawowywcity2">
    <w:name w:val="Body Text Indent 2"/>
    <w:basedOn w:val="Normalny"/>
    <w:link w:val="Tekstpodstawowywcity2Znak"/>
    <w:uiPriority w:val="98"/>
    <w:semiHidden/>
    <w:rsid w:val="0043275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32751"/>
    <w:rPr>
      <w:sz w:val="24"/>
      <w:szCs w:val="24"/>
      <w:lang w:val="en-GB"/>
    </w:rPr>
  </w:style>
  <w:style w:type="paragraph" w:styleId="Tekstpodstawowywcity3">
    <w:name w:val="Body Text Indent 3"/>
    <w:basedOn w:val="Normalny"/>
    <w:link w:val="Tekstpodstawowywcity3Znak"/>
    <w:uiPriority w:val="98"/>
    <w:semiHidden/>
    <w:rsid w:val="0043275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432751"/>
    <w:rPr>
      <w:sz w:val="16"/>
      <w:szCs w:val="16"/>
      <w:lang w:val="en-GB"/>
    </w:rPr>
  </w:style>
  <w:style w:type="paragraph" w:styleId="Legenda">
    <w:name w:val="caption"/>
    <w:basedOn w:val="Normalny"/>
    <w:next w:val="Normalny"/>
    <w:uiPriority w:val="98"/>
    <w:semiHidden/>
    <w:qFormat/>
    <w:rsid w:val="00432751"/>
    <w:pPr>
      <w:spacing w:after="200"/>
    </w:pPr>
    <w:rPr>
      <w:b/>
      <w:bCs/>
      <w:color w:val="0072BC" w:themeColor="accent1"/>
      <w:sz w:val="18"/>
      <w:szCs w:val="18"/>
    </w:rPr>
  </w:style>
  <w:style w:type="paragraph" w:styleId="Zwrotpoegnalny">
    <w:name w:val="Closing"/>
    <w:basedOn w:val="Normalny"/>
    <w:link w:val="ZwrotpoegnalnyZnak"/>
    <w:uiPriority w:val="98"/>
    <w:semiHidden/>
    <w:rsid w:val="00432751"/>
    <w:pPr>
      <w:ind w:left="4252"/>
    </w:pPr>
  </w:style>
  <w:style w:type="character" w:customStyle="1" w:styleId="ZwrotpoegnalnyZnak">
    <w:name w:val="Zwrot pożegnalny Znak"/>
    <w:basedOn w:val="Domylnaczcionkaakapitu"/>
    <w:link w:val="Zwrotpoegnalny"/>
    <w:uiPriority w:val="98"/>
    <w:semiHidden/>
    <w:rsid w:val="00432751"/>
    <w:rPr>
      <w:sz w:val="24"/>
      <w:szCs w:val="24"/>
      <w:lang w:val="en-GB"/>
    </w:rPr>
  </w:style>
  <w:style w:type="table" w:styleId="Kolorowasiatka">
    <w:name w:val="Colorful Grid"/>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43275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3275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3275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3275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43275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3275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3275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43275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3275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3275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3275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43275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3275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3275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432751"/>
    <w:rPr>
      <w:sz w:val="16"/>
      <w:szCs w:val="16"/>
    </w:rPr>
  </w:style>
  <w:style w:type="paragraph" w:styleId="Tekstkomentarza">
    <w:name w:val="annotation text"/>
    <w:basedOn w:val="Normalny"/>
    <w:link w:val="TekstkomentarzaZnak"/>
    <w:uiPriority w:val="98"/>
    <w:semiHidden/>
    <w:rsid w:val="00432751"/>
    <w:rPr>
      <w:sz w:val="20"/>
      <w:szCs w:val="20"/>
    </w:rPr>
  </w:style>
  <w:style w:type="character" w:customStyle="1" w:styleId="TekstkomentarzaZnak">
    <w:name w:val="Tekst komentarza Znak"/>
    <w:basedOn w:val="Domylnaczcionkaakapitu"/>
    <w:link w:val="Tekstkomentarza"/>
    <w:uiPriority w:val="98"/>
    <w:semiHidden/>
    <w:rsid w:val="00432751"/>
    <w:rPr>
      <w:sz w:val="20"/>
      <w:szCs w:val="20"/>
      <w:lang w:val="en-GB"/>
    </w:rPr>
  </w:style>
  <w:style w:type="paragraph" w:styleId="Tematkomentarza">
    <w:name w:val="annotation subject"/>
    <w:basedOn w:val="Tekstkomentarza"/>
    <w:next w:val="Tekstkomentarza"/>
    <w:link w:val="TematkomentarzaZnak"/>
    <w:uiPriority w:val="98"/>
    <w:semiHidden/>
    <w:rsid w:val="00432751"/>
    <w:rPr>
      <w:b/>
      <w:bCs/>
    </w:rPr>
  </w:style>
  <w:style w:type="character" w:customStyle="1" w:styleId="TematkomentarzaZnak">
    <w:name w:val="Temat komentarza Znak"/>
    <w:basedOn w:val="TekstkomentarzaZnak"/>
    <w:link w:val="Tematkomentarza"/>
    <w:uiPriority w:val="98"/>
    <w:semiHidden/>
    <w:rsid w:val="00432751"/>
    <w:rPr>
      <w:b/>
      <w:bCs/>
      <w:sz w:val="20"/>
      <w:szCs w:val="20"/>
      <w:lang w:val="en-GB"/>
    </w:rPr>
  </w:style>
  <w:style w:type="table" w:styleId="Ciemnalista">
    <w:name w:val="Dark List"/>
    <w:basedOn w:val="Standardowy"/>
    <w:uiPriority w:val="70"/>
    <w:semiHidden/>
    <w:rsid w:val="0043275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3275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3275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3275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43275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3275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3275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32751"/>
  </w:style>
  <w:style w:type="character" w:customStyle="1" w:styleId="DataZnak">
    <w:name w:val="Data Znak"/>
    <w:basedOn w:val="Domylnaczcionkaakapitu"/>
    <w:link w:val="Data"/>
    <w:uiPriority w:val="98"/>
    <w:semiHidden/>
    <w:rsid w:val="00432751"/>
    <w:rPr>
      <w:sz w:val="24"/>
      <w:szCs w:val="24"/>
      <w:lang w:val="en-GB"/>
    </w:rPr>
  </w:style>
  <w:style w:type="paragraph" w:styleId="Mapadokumentu">
    <w:name w:val="Document Map"/>
    <w:basedOn w:val="Normalny"/>
    <w:link w:val="MapadokumentuZnak"/>
    <w:uiPriority w:val="98"/>
    <w:semiHidden/>
    <w:rsid w:val="0043275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432751"/>
    <w:rPr>
      <w:rFonts w:ascii="Tahoma" w:hAnsi="Tahoma" w:cs="Tahoma"/>
      <w:sz w:val="16"/>
      <w:szCs w:val="16"/>
      <w:lang w:val="en-GB"/>
    </w:rPr>
  </w:style>
  <w:style w:type="paragraph" w:styleId="Podpise-mail">
    <w:name w:val="E-mail Signature"/>
    <w:basedOn w:val="Normalny"/>
    <w:link w:val="Podpise-mailZnak"/>
    <w:uiPriority w:val="98"/>
    <w:semiHidden/>
    <w:rsid w:val="00432751"/>
  </w:style>
  <w:style w:type="character" w:customStyle="1" w:styleId="Podpise-mailZnak">
    <w:name w:val="Podpis e-mail Znak"/>
    <w:basedOn w:val="Domylnaczcionkaakapitu"/>
    <w:link w:val="Podpise-mail"/>
    <w:uiPriority w:val="98"/>
    <w:semiHidden/>
    <w:rsid w:val="00432751"/>
    <w:rPr>
      <w:sz w:val="24"/>
      <w:szCs w:val="24"/>
      <w:lang w:val="en-GB"/>
    </w:rPr>
  </w:style>
  <w:style w:type="character" w:styleId="Odwoanieprzypisukocowego">
    <w:name w:val="endnote reference"/>
    <w:basedOn w:val="Domylnaczcionkaakapitu"/>
    <w:uiPriority w:val="98"/>
    <w:semiHidden/>
    <w:rsid w:val="00432751"/>
    <w:rPr>
      <w:vertAlign w:val="superscript"/>
    </w:rPr>
  </w:style>
  <w:style w:type="paragraph" w:styleId="Tekstprzypisukocowego">
    <w:name w:val="endnote text"/>
    <w:basedOn w:val="Normalny"/>
    <w:link w:val="TekstprzypisukocowegoZnak"/>
    <w:uiPriority w:val="98"/>
    <w:semiHidden/>
    <w:rsid w:val="00432751"/>
    <w:rPr>
      <w:sz w:val="20"/>
      <w:szCs w:val="20"/>
    </w:rPr>
  </w:style>
  <w:style w:type="character" w:customStyle="1" w:styleId="TekstprzypisukocowegoZnak">
    <w:name w:val="Tekst przypisu końcowego Znak"/>
    <w:basedOn w:val="Domylnaczcionkaakapitu"/>
    <w:link w:val="Tekstprzypisukocowego"/>
    <w:uiPriority w:val="98"/>
    <w:semiHidden/>
    <w:rsid w:val="00432751"/>
    <w:rPr>
      <w:sz w:val="20"/>
      <w:szCs w:val="20"/>
      <w:lang w:val="en-GB"/>
    </w:rPr>
  </w:style>
  <w:style w:type="paragraph" w:styleId="Adresnakopercie">
    <w:name w:val="envelope address"/>
    <w:basedOn w:val="Normalny"/>
    <w:uiPriority w:val="98"/>
    <w:semiHidden/>
    <w:rsid w:val="0043275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3275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432751"/>
    <w:rPr>
      <w:color w:val="7030A0" w:themeColor="followedHyperlink"/>
      <w:u w:val="single"/>
    </w:rPr>
  </w:style>
  <w:style w:type="character" w:styleId="HTML-akronim">
    <w:name w:val="HTML Acronym"/>
    <w:basedOn w:val="Domylnaczcionkaakapitu"/>
    <w:uiPriority w:val="98"/>
    <w:semiHidden/>
    <w:rsid w:val="00432751"/>
  </w:style>
  <w:style w:type="paragraph" w:styleId="HTML-adres">
    <w:name w:val="HTML Address"/>
    <w:basedOn w:val="Normalny"/>
    <w:link w:val="HTML-adresZnak"/>
    <w:uiPriority w:val="98"/>
    <w:semiHidden/>
    <w:rsid w:val="00432751"/>
    <w:rPr>
      <w:i/>
      <w:iCs/>
    </w:rPr>
  </w:style>
  <w:style w:type="character" w:customStyle="1" w:styleId="HTML-adresZnak">
    <w:name w:val="HTML - adres Znak"/>
    <w:basedOn w:val="Domylnaczcionkaakapitu"/>
    <w:link w:val="HTML-adres"/>
    <w:uiPriority w:val="98"/>
    <w:semiHidden/>
    <w:rsid w:val="00432751"/>
    <w:rPr>
      <w:i/>
      <w:iCs/>
      <w:sz w:val="24"/>
      <w:szCs w:val="24"/>
      <w:lang w:val="en-GB"/>
    </w:rPr>
  </w:style>
  <w:style w:type="character" w:styleId="HTML-cytat">
    <w:name w:val="HTML Cite"/>
    <w:basedOn w:val="Domylnaczcionkaakapitu"/>
    <w:uiPriority w:val="98"/>
    <w:semiHidden/>
    <w:rsid w:val="00432751"/>
    <w:rPr>
      <w:i/>
      <w:iCs/>
    </w:rPr>
  </w:style>
  <w:style w:type="character" w:styleId="HTML-kod">
    <w:name w:val="HTML Code"/>
    <w:basedOn w:val="Domylnaczcionkaakapitu"/>
    <w:uiPriority w:val="98"/>
    <w:semiHidden/>
    <w:rsid w:val="00432751"/>
    <w:rPr>
      <w:rFonts w:ascii="Consolas" w:hAnsi="Consolas" w:cs="Consolas"/>
      <w:sz w:val="20"/>
      <w:szCs w:val="20"/>
    </w:rPr>
  </w:style>
  <w:style w:type="character" w:styleId="HTML-definicja">
    <w:name w:val="HTML Definition"/>
    <w:basedOn w:val="Domylnaczcionkaakapitu"/>
    <w:uiPriority w:val="98"/>
    <w:semiHidden/>
    <w:rsid w:val="00432751"/>
    <w:rPr>
      <w:i/>
      <w:iCs/>
    </w:rPr>
  </w:style>
  <w:style w:type="character" w:styleId="HTML-klawiatura">
    <w:name w:val="HTML Keyboard"/>
    <w:basedOn w:val="Domylnaczcionkaakapitu"/>
    <w:uiPriority w:val="98"/>
    <w:semiHidden/>
    <w:rsid w:val="00432751"/>
    <w:rPr>
      <w:rFonts w:ascii="Consolas" w:hAnsi="Consolas" w:cs="Consolas"/>
      <w:sz w:val="20"/>
      <w:szCs w:val="20"/>
    </w:rPr>
  </w:style>
  <w:style w:type="paragraph" w:styleId="HTML-wstpniesformatowany">
    <w:name w:val="HTML Preformatted"/>
    <w:basedOn w:val="Normalny"/>
    <w:link w:val="HTML-wstpniesformatowanyZnak"/>
    <w:uiPriority w:val="98"/>
    <w:semiHidden/>
    <w:rsid w:val="0043275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432751"/>
    <w:rPr>
      <w:rFonts w:ascii="Consolas" w:hAnsi="Consolas" w:cs="Consolas"/>
      <w:sz w:val="20"/>
      <w:szCs w:val="20"/>
      <w:lang w:val="en-GB"/>
    </w:rPr>
  </w:style>
  <w:style w:type="character" w:styleId="HTML-przykad">
    <w:name w:val="HTML Sample"/>
    <w:basedOn w:val="Domylnaczcionkaakapitu"/>
    <w:uiPriority w:val="98"/>
    <w:semiHidden/>
    <w:rsid w:val="00432751"/>
    <w:rPr>
      <w:rFonts w:ascii="Consolas" w:hAnsi="Consolas" w:cs="Consolas"/>
      <w:sz w:val="24"/>
      <w:szCs w:val="24"/>
    </w:rPr>
  </w:style>
  <w:style w:type="character" w:styleId="HTML-staaszeroko">
    <w:name w:val="HTML Typewriter"/>
    <w:basedOn w:val="Domylnaczcionkaakapitu"/>
    <w:uiPriority w:val="98"/>
    <w:semiHidden/>
    <w:rsid w:val="00432751"/>
    <w:rPr>
      <w:rFonts w:ascii="Consolas" w:hAnsi="Consolas" w:cs="Consolas"/>
      <w:sz w:val="20"/>
      <w:szCs w:val="20"/>
    </w:rPr>
  </w:style>
  <w:style w:type="character" w:styleId="HTML-zmienna">
    <w:name w:val="HTML Variable"/>
    <w:basedOn w:val="Domylnaczcionkaakapitu"/>
    <w:uiPriority w:val="98"/>
    <w:semiHidden/>
    <w:rsid w:val="00432751"/>
    <w:rPr>
      <w:i/>
      <w:iCs/>
    </w:rPr>
  </w:style>
  <w:style w:type="paragraph" w:styleId="Indeks1">
    <w:name w:val="index 1"/>
    <w:basedOn w:val="Normalny"/>
    <w:next w:val="Normalny"/>
    <w:autoRedefine/>
    <w:uiPriority w:val="98"/>
    <w:semiHidden/>
    <w:rsid w:val="00432751"/>
    <w:pPr>
      <w:ind w:left="240" w:hanging="240"/>
    </w:pPr>
  </w:style>
  <w:style w:type="paragraph" w:styleId="Indeks2">
    <w:name w:val="index 2"/>
    <w:basedOn w:val="Normalny"/>
    <w:next w:val="Normalny"/>
    <w:autoRedefine/>
    <w:uiPriority w:val="98"/>
    <w:semiHidden/>
    <w:rsid w:val="00432751"/>
    <w:pPr>
      <w:ind w:left="480" w:hanging="240"/>
    </w:pPr>
  </w:style>
  <w:style w:type="paragraph" w:styleId="Indeks3">
    <w:name w:val="index 3"/>
    <w:basedOn w:val="Normalny"/>
    <w:next w:val="Normalny"/>
    <w:autoRedefine/>
    <w:uiPriority w:val="98"/>
    <w:semiHidden/>
    <w:rsid w:val="00432751"/>
    <w:pPr>
      <w:ind w:left="720" w:hanging="240"/>
    </w:pPr>
  </w:style>
  <w:style w:type="paragraph" w:styleId="Indeks4">
    <w:name w:val="index 4"/>
    <w:basedOn w:val="Normalny"/>
    <w:next w:val="Normalny"/>
    <w:autoRedefine/>
    <w:uiPriority w:val="98"/>
    <w:semiHidden/>
    <w:rsid w:val="00432751"/>
    <w:pPr>
      <w:ind w:left="960" w:hanging="240"/>
    </w:pPr>
  </w:style>
  <w:style w:type="paragraph" w:styleId="Indeks5">
    <w:name w:val="index 5"/>
    <w:basedOn w:val="Normalny"/>
    <w:next w:val="Normalny"/>
    <w:autoRedefine/>
    <w:uiPriority w:val="98"/>
    <w:semiHidden/>
    <w:rsid w:val="00432751"/>
    <w:pPr>
      <w:ind w:left="1200" w:hanging="240"/>
    </w:pPr>
  </w:style>
  <w:style w:type="paragraph" w:styleId="Indeks6">
    <w:name w:val="index 6"/>
    <w:basedOn w:val="Normalny"/>
    <w:next w:val="Normalny"/>
    <w:autoRedefine/>
    <w:uiPriority w:val="98"/>
    <w:semiHidden/>
    <w:rsid w:val="00432751"/>
    <w:pPr>
      <w:ind w:left="1440" w:hanging="240"/>
    </w:pPr>
  </w:style>
  <w:style w:type="paragraph" w:styleId="Indeks7">
    <w:name w:val="index 7"/>
    <w:basedOn w:val="Normalny"/>
    <w:next w:val="Normalny"/>
    <w:autoRedefine/>
    <w:uiPriority w:val="98"/>
    <w:semiHidden/>
    <w:rsid w:val="00432751"/>
    <w:pPr>
      <w:ind w:left="1680" w:hanging="240"/>
    </w:pPr>
  </w:style>
  <w:style w:type="paragraph" w:styleId="Indeks8">
    <w:name w:val="index 8"/>
    <w:basedOn w:val="Normalny"/>
    <w:next w:val="Normalny"/>
    <w:autoRedefine/>
    <w:uiPriority w:val="98"/>
    <w:semiHidden/>
    <w:rsid w:val="00432751"/>
    <w:pPr>
      <w:ind w:left="1920" w:hanging="240"/>
    </w:pPr>
  </w:style>
  <w:style w:type="paragraph" w:styleId="Indeks9">
    <w:name w:val="index 9"/>
    <w:basedOn w:val="Normalny"/>
    <w:next w:val="Normalny"/>
    <w:autoRedefine/>
    <w:uiPriority w:val="98"/>
    <w:semiHidden/>
    <w:rsid w:val="00432751"/>
    <w:pPr>
      <w:ind w:left="2160" w:hanging="240"/>
    </w:pPr>
  </w:style>
  <w:style w:type="paragraph" w:styleId="Nagwekindeksu">
    <w:name w:val="index heading"/>
    <w:basedOn w:val="Normalny"/>
    <w:next w:val="Indeks1"/>
    <w:uiPriority w:val="98"/>
    <w:semiHidden/>
    <w:rsid w:val="00432751"/>
    <w:rPr>
      <w:rFonts w:asciiTheme="majorHAnsi" w:eastAsiaTheme="majorEastAsia" w:hAnsiTheme="majorHAnsi" w:cstheme="majorBidi"/>
      <w:b/>
      <w:bCs/>
    </w:rPr>
  </w:style>
  <w:style w:type="table" w:styleId="Jasnasiatka">
    <w:name w:val="Light Grid"/>
    <w:basedOn w:val="Standardowy"/>
    <w:uiPriority w:val="62"/>
    <w:semiHidden/>
    <w:rsid w:val="0043275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43275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3275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3275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43275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3275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3275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43275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43275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3275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3275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43275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3275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3275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43275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43275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3275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3275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43275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3275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3275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32751"/>
  </w:style>
  <w:style w:type="paragraph" w:styleId="Lista">
    <w:name w:val="List"/>
    <w:basedOn w:val="Normalny"/>
    <w:uiPriority w:val="98"/>
    <w:semiHidden/>
    <w:rsid w:val="00432751"/>
    <w:pPr>
      <w:ind w:left="283" w:hanging="283"/>
      <w:contextualSpacing/>
    </w:pPr>
  </w:style>
  <w:style w:type="paragraph" w:styleId="Lista2">
    <w:name w:val="List 2"/>
    <w:basedOn w:val="Normalny"/>
    <w:uiPriority w:val="98"/>
    <w:semiHidden/>
    <w:rsid w:val="00432751"/>
    <w:pPr>
      <w:ind w:left="566" w:hanging="283"/>
      <w:contextualSpacing/>
    </w:pPr>
  </w:style>
  <w:style w:type="paragraph" w:styleId="Lista3">
    <w:name w:val="List 3"/>
    <w:basedOn w:val="Normalny"/>
    <w:uiPriority w:val="98"/>
    <w:semiHidden/>
    <w:rsid w:val="00432751"/>
    <w:pPr>
      <w:ind w:left="849" w:hanging="283"/>
      <w:contextualSpacing/>
    </w:pPr>
  </w:style>
  <w:style w:type="paragraph" w:styleId="Lista4">
    <w:name w:val="List 4"/>
    <w:basedOn w:val="Normalny"/>
    <w:uiPriority w:val="98"/>
    <w:semiHidden/>
    <w:rsid w:val="00432751"/>
    <w:pPr>
      <w:ind w:left="1132" w:hanging="283"/>
      <w:contextualSpacing/>
    </w:pPr>
  </w:style>
  <w:style w:type="paragraph" w:styleId="Lista5">
    <w:name w:val="List 5"/>
    <w:basedOn w:val="Normalny"/>
    <w:uiPriority w:val="98"/>
    <w:semiHidden/>
    <w:rsid w:val="00432751"/>
    <w:pPr>
      <w:ind w:left="1415" w:hanging="283"/>
      <w:contextualSpacing/>
    </w:pPr>
  </w:style>
  <w:style w:type="paragraph" w:styleId="Listapunktowana2">
    <w:name w:val="List Bullet 2"/>
    <w:basedOn w:val="Normalny"/>
    <w:uiPriority w:val="98"/>
    <w:semiHidden/>
    <w:rsid w:val="00432751"/>
    <w:pPr>
      <w:numPr>
        <w:numId w:val="6"/>
      </w:numPr>
      <w:contextualSpacing/>
    </w:pPr>
  </w:style>
  <w:style w:type="paragraph" w:styleId="Listapunktowana4">
    <w:name w:val="List Bullet 4"/>
    <w:basedOn w:val="Normalny"/>
    <w:uiPriority w:val="98"/>
    <w:semiHidden/>
    <w:rsid w:val="00432751"/>
    <w:pPr>
      <w:numPr>
        <w:numId w:val="8"/>
      </w:numPr>
      <w:contextualSpacing/>
    </w:pPr>
  </w:style>
  <w:style w:type="paragraph" w:styleId="Listapunktowana5">
    <w:name w:val="List Bullet 5"/>
    <w:basedOn w:val="Normalny"/>
    <w:uiPriority w:val="98"/>
    <w:semiHidden/>
    <w:rsid w:val="00432751"/>
    <w:pPr>
      <w:numPr>
        <w:numId w:val="9"/>
      </w:numPr>
      <w:contextualSpacing/>
    </w:pPr>
  </w:style>
  <w:style w:type="paragraph" w:styleId="Lista-kontynuacja">
    <w:name w:val="List Continue"/>
    <w:basedOn w:val="Normalny"/>
    <w:uiPriority w:val="98"/>
    <w:semiHidden/>
    <w:rsid w:val="00432751"/>
    <w:pPr>
      <w:spacing w:after="120"/>
      <w:ind w:left="283"/>
      <w:contextualSpacing/>
    </w:pPr>
  </w:style>
  <w:style w:type="paragraph" w:styleId="Lista-kontynuacja2">
    <w:name w:val="List Continue 2"/>
    <w:basedOn w:val="Normalny"/>
    <w:uiPriority w:val="98"/>
    <w:semiHidden/>
    <w:rsid w:val="00432751"/>
    <w:pPr>
      <w:spacing w:after="120"/>
      <w:ind w:left="566"/>
      <w:contextualSpacing/>
    </w:pPr>
  </w:style>
  <w:style w:type="paragraph" w:styleId="Lista-kontynuacja3">
    <w:name w:val="List Continue 3"/>
    <w:basedOn w:val="Normalny"/>
    <w:uiPriority w:val="98"/>
    <w:semiHidden/>
    <w:rsid w:val="00432751"/>
    <w:pPr>
      <w:spacing w:after="120"/>
      <w:ind w:left="849"/>
      <w:contextualSpacing/>
    </w:pPr>
  </w:style>
  <w:style w:type="paragraph" w:styleId="Lista-kontynuacja4">
    <w:name w:val="List Continue 4"/>
    <w:basedOn w:val="Normalny"/>
    <w:uiPriority w:val="98"/>
    <w:semiHidden/>
    <w:rsid w:val="00432751"/>
    <w:pPr>
      <w:spacing w:after="120"/>
      <w:ind w:left="1132"/>
      <w:contextualSpacing/>
    </w:pPr>
  </w:style>
  <w:style w:type="paragraph" w:styleId="Lista-kontynuacja5">
    <w:name w:val="List Continue 5"/>
    <w:basedOn w:val="Normalny"/>
    <w:uiPriority w:val="98"/>
    <w:semiHidden/>
    <w:rsid w:val="00432751"/>
    <w:pPr>
      <w:spacing w:after="120"/>
      <w:ind w:left="1415"/>
      <w:contextualSpacing/>
    </w:pPr>
  </w:style>
  <w:style w:type="paragraph" w:styleId="Listanumerowana">
    <w:name w:val="List Number"/>
    <w:basedOn w:val="Normalny"/>
    <w:uiPriority w:val="98"/>
    <w:semiHidden/>
    <w:rsid w:val="00432751"/>
    <w:pPr>
      <w:numPr>
        <w:numId w:val="10"/>
      </w:numPr>
      <w:contextualSpacing/>
    </w:pPr>
  </w:style>
  <w:style w:type="paragraph" w:styleId="Listanumerowana2">
    <w:name w:val="List Number 2"/>
    <w:basedOn w:val="Normalny"/>
    <w:uiPriority w:val="98"/>
    <w:semiHidden/>
    <w:rsid w:val="00432751"/>
    <w:pPr>
      <w:numPr>
        <w:numId w:val="11"/>
      </w:numPr>
      <w:contextualSpacing/>
    </w:pPr>
  </w:style>
  <w:style w:type="paragraph" w:styleId="Listanumerowana3">
    <w:name w:val="List Number 3"/>
    <w:basedOn w:val="Normalny"/>
    <w:uiPriority w:val="98"/>
    <w:semiHidden/>
    <w:rsid w:val="00432751"/>
    <w:pPr>
      <w:numPr>
        <w:numId w:val="12"/>
      </w:numPr>
      <w:contextualSpacing/>
    </w:pPr>
  </w:style>
  <w:style w:type="paragraph" w:styleId="Listanumerowana4">
    <w:name w:val="List Number 4"/>
    <w:basedOn w:val="Normalny"/>
    <w:uiPriority w:val="98"/>
    <w:semiHidden/>
    <w:rsid w:val="00432751"/>
    <w:pPr>
      <w:numPr>
        <w:numId w:val="13"/>
      </w:numPr>
      <w:contextualSpacing/>
    </w:pPr>
  </w:style>
  <w:style w:type="paragraph" w:styleId="Listanumerowana5">
    <w:name w:val="List Number 5"/>
    <w:basedOn w:val="Normalny"/>
    <w:uiPriority w:val="98"/>
    <w:semiHidden/>
    <w:rsid w:val="00432751"/>
    <w:pPr>
      <w:numPr>
        <w:numId w:val="14"/>
      </w:numPr>
      <w:contextualSpacing/>
    </w:pPr>
  </w:style>
  <w:style w:type="paragraph" w:styleId="Tekstmakra">
    <w:name w:val="macro"/>
    <w:link w:val="TekstmakraZnak"/>
    <w:uiPriority w:val="98"/>
    <w:semiHidden/>
    <w:rsid w:val="0043275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432751"/>
    <w:rPr>
      <w:rFonts w:ascii="Consolas" w:eastAsiaTheme="minorEastAsia" w:hAnsi="Consolas" w:cs="Consolas"/>
      <w:sz w:val="20"/>
      <w:szCs w:val="20"/>
    </w:rPr>
  </w:style>
  <w:style w:type="table" w:styleId="redniasiatka1">
    <w:name w:val="Medium Grid 1"/>
    <w:basedOn w:val="Standardowy"/>
    <w:uiPriority w:val="67"/>
    <w:semiHidden/>
    <w:rsid w:val="0043275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3275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3275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3275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43275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3275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3275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43275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43275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3275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3275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43275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3275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3275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43275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43275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3275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3275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3275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3275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3275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3275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3275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432751"/>
    <w:rPr>
      <w:rFonts w:ascii="Times New Roman" w:hAnsi="Times New Roman" w:cs="Times New Roman"/>
    </w:rPr>
  </w:style>
  <w:style w:type="paragraph" w:styleId="Wcicienormalne">
    <w:name w:val="Normal Indent"/>
    <w:basedOn w:val="Normalny"/>
    <w:uiPriority w:val="98"/>
    <w:semiHidden/>
    <w:rsid w:val="00432751"/>
    <w:pPr>
      <w:ind w:left="720"/>
    </w:pPr>
  </w:style>
  <w:style w:type="paragraph" w:styleId="Nagweknotatki">
    <w:name w:val="Note Heading"/>
    <w:basedOn w:val="Normalny"/>
    <w:next w:val="Normalny"/>
    <w:link w:val="NagweknotatkiZnak"/>
    <w:uiPriority w:val="98"/>
    <w:semiHidden/>
    <w:rsid w:val="00432751"/>
  </w:style>
  <w:style w:type="character" w:customStyle="1" w:styleId="NagweknotatkiZnak">
    <w:name w:val="Nagłówek notatki Znak"/>
    <w:basedOn w:val="Domylnaczcionkaakapitu"/>
    <w:link w:val="Nagweknotatki"/>
    <w:uiPriority w:val="98"/>
    <w:semiHidden/>
    <w:rsid w:val="00432751"/>
    <w:rPr>
      <w:sz w:val="24"/>
      <w:szCs w:val="24"/>
      <w:lang w:val="en-GB"/>
    </w:rPr>
  </w:style>
  <w:style w:type="character" w:styleId="Tekstzastpczy">
    <w:name w:val="Placeholder Text"/>
    <w:basedOn w:val="Domylnaczcionkaakapitu"/>
    <w:uiPriority w:val="98"/>
    <w:semiHidden/>
    <w:rsid w:val="0043275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3275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432751"/>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432751"/>
  </w:style>
  <w:style w:type="character" w:customStyle="1" w:styleId="ZwrotgrzecznociowyZnak">
    <w:name w:val="Zwrot grzecznościowy Znak"/>
    <w:basedOn w:val="Domylnaczcionkaakapitu"/>
    <w:link w:val="Zwrotgrzecznociowy"/>
    <w:uiPriority w:val="98"/>
    <w:semiHidden/>
    <w:rsid w:val="00432751"/>
    <w:rPr>
      <w:sz w:val="24"/>
      <w:szCs w:val="24"/>
      <w:lang w:val="en-GB"/>
    </w:rPr>
  </w:style>
  <w:style w:type="paragraph" w:styleId="Podpis">
    <w:name w:val="Signature"/>
    <w:basedOn w:val="Normalny"/>
    <w:link w:val="PodpisZnak"/>
    <w:uiPriority w:val="98"/>
    <w:semiHidden/>
    <w:rsid w:val="00432751"/>
    <w:pPr>
      <w:ind w:left="4252"/>
    </w:pPr>
  </w:style>
  <w:style w:type="character" w:customStyle="1" w:styleId="PodpisZnak">
    <w:name w:val="Podpis Znak"/>
    <w:basedOn w:val="Domylnaczcionkaakapitu"/>
    <w:link w:val="Podpis"/>
    <w:uiPriority w:val="98"/>
    <w:semiHidden/>
    <w:rsid w:val="00432751"/>
    <w:rPr>
      <w:sz w:val="24"/>
      <w:szCs w:val="24"/>
      <w:lang w:val="en-GB"/>
    </w:rPr>
  </w:style>
  <w:style w:type="table" w:styleId="Tabela-Efekty3D1">
    <w:name w:val="Table 3D effects 1"/>
    <w:basedOn w:val="Standardowy"/>
    <w:uiPriority w:val="99"/>
    <w:semiHidden/>
    <w:unhideWhenUsed/>
    <w:rsid w:val="0043275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43275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43275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3275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3275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3275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3275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3275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3275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3275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3275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3275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3275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3275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3275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3275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3275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3275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3275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3275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3275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3275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3275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3275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3275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3275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3275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3275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3275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3275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32751"/>
    <w:pPr>
      <w:ind w:left="240" w:hanging="240"/>
    </w:pPr>
  </w:style>
  <w:style w:type="paragraph" w:styleId="Spisilustracji">
    <w:name w:val="table of figures"/>
    <w:basedOn w:val="Normalny"/>
    <w:next w:val="Normalny"/>
    <w:uiPriority w:val="98"/>
    <w:semiHidden/>
    <w:rsid w:val="00432751"/>
  </w:style>
  <w:style w:type="table" w:styleId="Tabela-Profesjonalny">
    <w:name w:val="Table Professional"/>
    <w:basedOn w:val="Standardowy"/>
    <w:uiPriority w:val="99"/>
    <w:semiHidden/>
    <w:unhideWhenUsed/>
    <w:rsid w:val="0043275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3275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3275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3275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3275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3275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3275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3275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3275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3275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3275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32751"/>
    <w:pPr>
      <w:spacing w:after="100"/>
      <w:ind w:left="1680"/>
    </w:pPr>
  </w:style>
  <w:style w:type="paragraph" w:styleId="Spistreci9">
    <w:name w:val="toc 9"/>
    <w:basedOn w:val="Normalny"/>
    <w:next w:val="Normalny"/>
    <w:autoRedefine/>
    <w:uiPriority w:val="98"/>
    <w:semiHidden/>
    <w:rsid w:val="0043275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43275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3275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43275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43275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32751"/>
    <w:pPr>
      <w:numPr>
        <w:numId w:val="18"/>
      </w:numPr>
      <w:spacing w:before="60" w:after="60"/>
    </w:pPr>
  </w:style>
  <w:style w:type="paragraph" w:customStyle="1" w:styleId="ECHRBullet2">
    <w:name w:val="ECHR_Bullet_2"/>
    <w:aliases w:val="_Bul_2"/>
    <w:basedOn w:val="ECHRBullet1"/>
    <w:uiPriority w:val="23"/>
    <w:semiHidden/>
    <w:rsid w:val="00432751"/>
    <w:pPr>
      <w:numPr>
        <w:ilvl w:val="1"/>
      </w:numPr>
    </w:pPr>
  </w:style>
  <w:style w:type="paragraph" w:customStyle="1" w:styleId="ECHRBullet3">
    <w:name w:val="ECHR_Bullet_3"/>
    <w:aliases w:val="_Bul_3"/>
    <w:basedOn w:val="ECHRBullet2"/>
    <w:uiPriority w:val="23"/>
    <w:semiHidden/>
    <w:rsid w:val="00432751"/>
    <w:pPr>
      <w:numPr>
        <w:ilvl w:val="2"/>
      </w:numPr>
    </w:pPr>
  </w:style>
  <w:style w:type="paragraph" w:customStyle="1" w:styleId="ECHRBullet4">
    <w:name w:val="ECHR_Bullet_4"/>
    <w:aliases w:val="_Bul_4"/>
    <w:basedOn w:val="ECHRBullet3"/>
    <w:uiPriority w:val="23"/>
    <w:semiHidden/>
    <w:rsid w:val="00432751"/>
    <w:pPr>
      <w:numPr>
        <w:ilvl w:val="3"/>
      </w:numPr>
    </w:pPr>
  </w:style>
  <w:style w:type="paragraph" w:customStyle="1" w:styleId="ECHRConfidential">
    <w:name w:val="ECHR_Confidential"/>
    <w:aliases w:val="_Confidential"/>
    <w:basedOn w:val="Normalny"/>
    <w:next w:val="Normalny"/>
    <w:uiPriority w:val="42"/>
    <w:semiHidden/>
    <w:qFormat/>
    <w:rsid w:val="00432751"/>
    <w:pPr>
      <w:jc w:val="right"/>
    </w:pPr>
    <w:rPr>
      <w:color w:val="C00000"/>
      <w:sz w:val="20"/>
    </w:rPr>
  </w:style>
  <w:style w:type="paragraph" w:customStyle="1" w:styleId="ECHRDecisionBody">
    <w:name w:val="ECHR_Decision_Body"/>
    <w:aliases w:val="_Decision_Body"/>
    <w:basedOn w:val="NormalJustified"/>
    <w:uiPriority w:val="54"/>
    <w:semiHidden/>
    <w:rsid w:val="0043275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432751"/>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432751"/>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43275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432751"/>
    <w:pPr>
      <w:jc w:val="right"/>
    </w:pPr>
    <w:rPr>
      <w:sz w:val="20"/>
    </w:rPr>
  </w:style>
  <w:style w:type="paragraph" w:customStyle="1" w:styleId="ECHRHeaderRefIt">
    <w:name w:val="ECHR_Header_Ref_It"/>
    <w:aliases w:val="_Ref_Ital"/>
    <w:basedOn w:val="Normalny"/>
    <w:next w:val="ECHRHeaderDate"/>
    <w:uiPriority w:val="43"/>
    <w:semiHidden/>
    <w:qFormat/>
    <w:rsid w:val="00432751"/>
    <w:pPr>
      <w:jc w:val="right"/>
    </w:pPr>
    <w:rPr>
      <w:i/>
      <w:sz w:val="20"/>
    </w:rPr>
  </w:style>
  <w:style w:type="paragraph" w:customStyle="1" w:styleId="ECHRHeading9">
    <w:name w:val="ECHR_Heading_9"/>
    <w:aliases w:val="_Head_9"/>
    <w:basedOn w:val="Nagwek9"/>
    <w:uiPriority w:val="17"/>
    <w:semiHidden/>
    <w:rsid w:val="00432751"/>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43275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32751"/>
    <w:pPr>
      <w:numPr>
        <w:numId w:val="19"/>
      </w:numPr>
      <w:spacing w:before="60" w:after="60"/>
    </w:pPr>
  </w:style>
  <w:style w:type="paragraph" w:customStyle="1" w:styleId="ECHRNumberedList2">
    <w:name w:val="ECHR_Numbered_List_2"/>
    <w:aliases w:val="_Num_2"/>
    <w:basedOn w:val="ECHRNumberedList1"/>
    <w:uiPriority w:val="23"/>
    <w:semiHidden/>
    <w:rsid w:val="00432751"/>
    <w:pPr>
      <w:numPr>
        <w:ilvl w:val="1"/>
      </w:numPr>
    </w:pPr>
  </w:style>
  <w:style w:type="paragraph" w:customStyle="1" w:styleId="ECHRNumberedList3">
    <w:name w:val="ECHR_Numbered_List_3"/>
    <w:aliases w:val="_Num_3"/>
    <w:basedOn w:val="ECHRNumberedList2"/>
    <w:uiPriority w:val="23"/>
    <w:semiHidden/>
    <w:rsid w:val="00432751"/>
    <w:pPr>
      <w:numPr>
        <w:ilvl w:val="2"/>
      </w:numPr>
    </w:pPr>
  </w:style>
  <w:style w:type="paragraph" w:customStyle="1" w:styleId="ECHRParaHanging">
    <w:name w:val="ECHR_Para_Hanging"/>
    <w:aliases w:val="_Hanging"/>
    <w:basedOn w:val="NormalJustified"/>
    <w:uiPriority w:val="8"/>
    <w:semiHidden/>
    <w:qFormat/>
    <w:rsid w:val="00432751"/>
    <w:pPr>
      <w:ind w:left="567" w:hanging="567"/>
    </w:pPr>
  </w:style>
  <w:style w:type="paragraph" w:customStyle="1" w:styleId="ECHRParaIndent">
    <w:name w:val="ECHR_Para_Indent"/>
    <w:aliases w:val="_Indent"/>
    <w:basedOn w:val="NormalJustified"/>
    <w:uiPriority w:val="7"/>
    <w:semiHidden/>
    <w:qFormat/>
    <w:rsid w:val="00432751"/>
    <w:pPr>
      <w:spacing w:before="120" w:after="120"/>
      <w:ind w:left="284"/>
    </w:pPr>
  </w:style>
  <w:style w:type="character" w:customStyle="1" w:styleId="ECHRRed">
    <w:name w:val="ECHR_Red"/>
    <w:aliases w:val="_Red"/>
    <w:basedOn w:val="Domylnaczcionkaakapitu"/>
    <w:uiPriority w:val="15"/>
    <w:semiHidden/>
    <w:qFormat/>
    <w:rsid w:val="00432751"/>
    <w:rPr>
      <w:color w:val="C00000" w:themeColor="accent2"/>
    </w:rPr>
  </w:style>
  <w:style w:type="paragraph" w:customStyle="1" w:styleId="DecList">
    <w:name w:val="Dec_List"/>
    <w:aliases w:val="_List"/>
    <w:basedOn w:val="JuList"/>
    <w:uiPriority w:val="22"/>
    <w:rsid w:val="00432751"/>
    <w:pPr>
      <w:numPr>
        <w:numId w:val="0"/>
      </w:numPr>
      <w:ind w:left="284"/>
    </w:pPr>
  </w:style>
  <w:style w:type="table" w:customStyle="1" w:styleId="ECHRTable2">
    <w:name w:val="ECHR_Table_2"/>
    <w:basedOn w:val="Standardowy"/>
    <w:uiPriority w:val="99"/>
    <w:rsid w:val="0043275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3275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43275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43275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43275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43275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43275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43275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432751"/>
    <w:pPr>
      <w:outlineLvl w:val="0"/>
    </w:pPr>
  </w:style>
  <w:style w:type="paragraph" w:customStyle="1" w:styleId="ECHRTitleTOC1">
    <w:name w:val="ECHR_Title_TOC_1"/>
    <w:aliases w:val="_Title_L_TOC"/>
    <w:basedOn w:val="ECHRTitle1"/>
    <w:next w:val="Normalny"/>
    <w:uiPriority w:val="27"/>
    <w:semiHidden/>
    <w:qFormat/>
    <w:rsid w:val="00432751"/>
    <w:pPr>
      <w:outlineLvl w:val="0"/>
    </w:pPr>
  </w:style>
  <w:style w:type="paragraph" w:customStyle="1" w:styleId="ECHRPlaceholder">
    <w:name w:val="ECHR_Placeholder"/>
    <w:aliases w:val="_Placeholder"/>
    <w:basedOn w:val="JuSigned"/>
    <w:uiPriority w:val="31"/>
    <w:rsid w:val="00432751"/>
    <w:rPr>
      <w:color w:val="FFFFFF"/>
    </w:rPr>
  </w:style>
  <w:style w:type="paragraph" w:customStyle="1" w:styleId="ECHRSpacer">
    <w:name w:val="ECHR_Spacer"/>
    <w:aliases w:val="_Spacer"/>
    <w:basedOn w:val="Normalny"/>
    <w:uiPriority w:val="45"/>
    <w:semiHidden/>
    <w:rsid w:val="00432751"/>
    <w:rPr>
      <w:sz w:val="4"/>
    </w:rPr>
  </w:style>
  <w:style w:type="table" w:customStyle="1" w:styleId="ECHRTableGrey">
    <w:name w:val="ECHR_Table_Grey"/>
    <w:basedOn w:val="Standardowy"/>
    <w:uiPriority w:val="99"/>
    <w:rsid w:val="0043275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432751"/>
    <w:rPr>
      <w:color w:val="605E5C"/>
      <w:shd w:val="clear" w:color="auto" w:fill="E1DFDD"/>
    </w:rPr>
  </w:style>
  <w:style w:type="character" w:customStyle="1" w:styleId="JuParaChar">
    <w:name w:val="Ju_Para Char"/>
    <w:aliases w:val="_Para Char"/>
    <w:link w:val="JuPara"/>
    <w:uiPriority w:val="4"/>
    <w:rsid w:val="00F97474"/>
    <w:rPr>
      <w:sz w:val="24"/>
      <w:szCs w:val="24"/>
      <w:lang w:val="en-GB"/>
    </w:rPr>
  </w:style>
  <w:style w:type="table" w:customStyle="1" w:styleId="Tabelasiatki1jasna1">
    <w:name w:val="Tabela siatki 1 — jasna1"/>
    <w:basedOn w:val="Standardowy"/>
    <w:uiPriority w:val="46"/>
    <w:semiHidden/>
    <w:rsid w:val="0062482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62482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62482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62482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62482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62482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62482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62482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62482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62482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62482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2akcent41">
    <w:name w:val="Tabela siatki 2 — akcent 41"/>
    <w:basedOn w:val="Standardowy"/>
    <w:uiPriority w:val="47"/>
    <w:semiHidden/>
    <w:rsid w:val="0062482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62482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62482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62482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62482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62482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62482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Tabelasiatki3akcent41">
    <w:name w:val="Tabela siatki 3 — akcent 41"/>
    <w:basedOn w:val="Standardowy"/>
    <w:uiPriority w:val="48"/>
    <w:semiHidden/>
    <w:rsid w:val="0062482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62482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62482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62482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62482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62482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62482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4akcent41">
    <w:name w:val="Tabela siatki 4 — akcent 41"/>
    <w:basedOn w:val="Standardowy"/>
    <w:uiPriority w:val="49"/>
    <w:semiHidden/>
    <w:rsid w:val="0062482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62482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62482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Tabelasiatki5ciemnaakcent41">
    <w:name w:val="Tabela siatki 5 — ciemna — akcent 4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62482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62482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62482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62482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6kolorowaakcent41">
    <w:name w:val="Tabela siatki 6 — kolorowa — akcent 41"/>
    <w:basedOn w:val="Standardowy"/>
    <w:uiPriority w:val="51"/>
    <w:semiHidden/>
    <w:rsid w:val="0062482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62482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62482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62482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62482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62482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62482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Tabelasiatki7kolorowaakcent41">
    <w:name w:val="Tabela siatki 7 — kolorowa — akcent 41"/>
    <w:basedOn w:val="Standardowy"/>
    <w:uiPriority w:val="52"/>
    <w:semiHidden/>
    <w:rsid w:val="0062482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62482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62482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24823"/>
    <w:rPr>
      <w:color w:val="2B579A"/>
      <w:shd w:val="clear" w:color="auto" w:fill="E1DFDD"/>
    </w:rPr>
  </w:style>
  <w:style w:type="table" w:customStyle="1" w:styleId="Tabelalisty1jasna1">
    <w:name w:val="Tabela listy 1 — jasna1"/>
    <w:basedOn w:val="Standardowy"/>
    <w:uiPriority w:val="46"/>
    <w:semiHidden/>
    <w:rsid w:val="0062482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62482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62482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62482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1jasnaakcent41">
    <w:name w:val="Tabela listy 1 — jasna — akcent 41"/>
    <w:basedOn w:val="Standardowy"/>
    <w:uiPriority w:val="46"/>
    <w:semiHidden/>
    <w:rsid w:val="0062482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62482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62482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62482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62482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62482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62482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2akcent41">
    <w:name w:val="Tabela listy 2 — akcent 41"/>
    <w:basedOn w:val="Standardowy"/>
    <w:uiPriority w:val="47"/>
    <w:semiHidden/>
    <w:rsid w:val="0062482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62482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62482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62482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62482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62482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62482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Tabelalisty3akcent41">
    <w:name w:val="Tabela listy 3 — akcent 41"/>
    <w:basedOn w:val="Standardowy"/>
    <w:uiPriority w:val="48"/>
    <w:semiHidden/>
    <w:rsid w:val="0062482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62482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62482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62482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62482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62482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62482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4akcent41">
    <w:name w:val="Tabela listy 4 — akcent 41"/>
    <w:basedOn w:val="Standardowy"/>
    <w:uiPriority w:val="49"/>
    <w:semiHidden/>
    <w:rsid w:val="0062482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62482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62482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62482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62482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62482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62482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62482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62482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62482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62482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62482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62482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62482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6kolorowaakcent41">
    <w:name w:val="Tabela listy 6 — kolorowa — akcent 41"/>
    <w:basedOn w:val="Standardowy"/>
    <w:uiPriority w:val="51"/>
    <w:semiHidden/>
    <w:rsid w:val="0062482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62482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62482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62482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62482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62482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62482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62482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62482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62482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24823"/>
    <w:rPr>
      <w:color w:val="2B579A"/>
      <w:shd w:val="clear" w:color="auto" w:fill="E1DFDD"/>
    </w:rPr>
  </w:style>
  <w:style w:type="table" w:customStyle="1" w:styleId="Zwykatabela11">
    <w:name w:val="Zwykła tabela 11"/>
    <w:basedOn w:val="Standardowy"/>
    <w:uiPriority w:val="41"/>
    <w:semiHidden/>
    <w:rsid w:val="0062482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21">
    <w:name w:val="Zwykła tabela 21"/>
    <w:basedOn w:val="Standardowy"/>
    <w:uiPriority w:val="42"/>
    <w:semiHidden/>
    <w:rsid w:val="0062482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62482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62482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51">
    <w:name w:val="Zwykła tabela 51"/>
    <w:basedOn w:val="Standardowy"/>
    <w:uiPriority w:val="45"/>
    <w:semiHidden/>
    <w:rsid w:val="0062482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24823"/>
    <w:rPr>
      <w:u w:val="dotted"/>
    </w:rPr>
  </w:style>
  <w:style w:type="character" w:customStyle="1" w:styleId="Inteligentnylink1">
    <w:name w:val="Inteligentny link1"/>
    <w:basedOn w:val="Domylnaczcionkaakapitu"/>
    <w:uiPriority w:val="99"/>
    <w:semiHidden/>
    <w:unhideWhenUsed/>
    <w:rsid w:val="00624823"/>
    <w:rPr>
      <w:color w:val="0000FF"/>
      <w:u w:val="single"/>
      <w:shd w:val="clear" w:color="auto" w:fill="F3F2F1"/>
    </w:rPr>
  </w:style>
  <w:style w:type="table" w:customStyle="1" w:styleId="Siatkatabelijasna1">
    <w:name w:val="Siatka tabeli — jasna1"/>
    <w:basedOn w:val="Standardowy"/>
    <w:uiPriority w:val="40"/>
    <w:semiHidden/>
    <w:rsid w:val="0062482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ny"/>
    <w:semiHidden/>
    <w:qFormat/>
    <w:rsid w:val="00432751"/>
    <w:rPr>
      <w:color w:val="00B050"/>
      <w:sz w:val="22"/>
    </w:rPr>
  </w:style>
  <w:style w:type="paragraph" w:styleId="Poprawka">
    <w:name w:val="Revision"/>
    <w:hidden/>
    <w:uiPriority w:val="99"/>
    <w:semiHidden/>
    <w:rsid w:val="00262214"/>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0DE2E-99D7-4A69-A082-F1E83EE7F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2372</Words>
  <Characters>14234</Characters>
  <Application>Microsoft Office Word</Application>
  <DocSecurity>0</DocSecurity>
  <Lines>118</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2024-01-08T11:34:00Z</dcterms:created>
  <dcterms:modified xsi:type="dcterms:W3CDTF">2024-01-08T11:34:00Z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1023904</vt:lpwstr>
  </property>
  <property fmtid="{D5CDD505-2E9C-101B-9397-08002B2CF9AE}" pid="3" name="cstLanguage">
    <vt:i4>2057</vt:i4>
  </property>
  <property fmtid="{D5CDD505-2E9C-101B-9397-08002B2CF9AE}" pid="4" name="RegisteredNo">
    <vt:lpwstr>42179/14</vt:lpwstr>
  </property>
</Properties>
</file>