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D929A" w14:textId="77777777" w:rsidR="00CD559D" w:rsidRPr="007B37E6" w:rsidRDefault="00CD559D" w:rsidP="00CD559D">
      <w:pPr>
        <w:jc w:val="center"/>
        <w:rPr>
          <w:rFonts w:ascii="Times New Roman" w:eastAsia="CIDFont+F1" w:hAnsi="Times New Roman"/>
          <w:sz w:val="20"/>
          <w:lang w:eastAsia="pl-PL"/>
        </w:rPr>
      </w:pPr>
      <w:r w:rsidRPr="007B37E6">
        <w:rPr>
          <w:rFonts w:ascii="Times New Roman" w:eastAsia="CIDFont+F1" w:hAnsi="Times New Roman"/>
          <w:sz w:val="20"/>
          <w:lang w:eastAsia="pl-PL"/>
        </w:rPr>
        <w:t xml:space="preserve">© </w:t>
      </w:r>
      <w:proofErr w:type="spellStart"/>
      <w:r w:rsidRPr="007B37E6">
        <w:rPr>
          <w:rFonts w:ascii="Times New Roman" w:eastAsia="CIDFont+F1" w:hAnsi="Times New Roman"/>
          <w:sz w:val="20"/>
          <w:lang w:eastAsia="pl-PL"/>
        </w:rPr>
        <w:t>Trybunał</w:t>
      </w:r>
      <w:proofErr w:type="spellEnd"/>
      <w:r w:rsidRPr="007B37E6">
        <w:rPr>
          <w:rFonts w:ascii="Times New Roman" w:eastAsia="CIDFont+F1" w:hAnsi="Times New Roman"/>
          <w:sz w:val="20"/>
          <w:lang w:eastAsia="pl-PL"/>
        </w:rPr>
        <w:t xml:space="preserve"> </w:t>
      </w:r>
      <w:proofErr w:type="spellStart"/>
      <w:r w:rsidRPr="007B37E6">
        <w:rPr>
          <w:rFonts w:ascii="Times New Roman" w:eastAsia="CIDFont+F1" w:hAnsi="Times New Roman"/>
          <w:sz w:val="20"/>
          <w:lang w:eastAsia="pl-PL"/>
        </w:rPr>
        <w:t>Konstytucyjny</w:t>
      </w:r>
      <w:proofErr w:type="spellEnd"/>
    </w:p>
    <w:p w14:paraId="4F3DDB77" w14:textId="77777777" w:rsidR="00CD559D" w:rsidRPr="007B37E6" w:rsidRDefault="00CD559D" w:rsidP="00CD559D">
      <w:pPr>
        <w:jc w:val="center"/>
        <w:rPr>
          <w:rFonts w:ascii="Times New Roman" w:eastAsia="CIDFont+F1" w:hAnsi="Times New Roman"/>
          <w:sz w:val="20"/>
          <w:lang w:eastAsia="pl-PL"/>
        </w:rPr>
      </w:pPr>
      <w:r w:rsidRPr="007B37E6">
        <w:rPr>
          <w:rFonts w:ascii="Times New Roman" w:eastAsia="CIDFont+F1" w:hAnsi="Times New Roman"/>
          <w:sz w:val="20"/>
          <w:lang w:eastAsia="pl-PL"/>
        </w:rPr>
        <w:t>© Copyright for the Polish translation by the Polish Constitutional Tribunal</w:t>
      </w:r>
    </w:p>
    <w:p w14:paraId="13193395" w14:textId="2B8378B9" w:rsidR="00CD559D" w:rsidRPr="00CD559D" w:rsidRDefault="00CD559D" w:rsidP="00CD559D">
      <w:pPr>
        <w:spacing w:after="120"/>
        <w:jc w:val="center"/>
        <w:rPr>
          <w:rFonts w:ascii="Times New Roman" w:eastAsia="CIDFont+F1" w:hAnsi="Times New Roman"/>
          <w:sz w:val="20"/>
          <w:lang w:val="pl-PL" w:eastAsia="pl-PL"/>
        </w:rPr>
      </w:pPr>
      <w:r w:rsidRPr="00CD559D">
        <w:rPr>
          <w:rFonts w:ascii="Times New Roman" w:eastAsia="CIDFont+F1" w:hAnsi="Times New Roman"/>
          <w:sz w:val="20"/>
          <w:lang w:val="pl-PL" w:eastAsia="pl-PL"/>
        </w:rPr>
        <w:t>Warszawa 202</w:t>
      </w:r>
      <w:r>
        <w:rPr>
          <w:rFonts w:ascii="Times New Roman" w:eastAsia="CIDFont+F1" w:hAnsi="Times New Roman"/>
          <w:sz w:val="20"/>
          <w:lang w:val="pl-PL" w:eastAsia="pl-PL"/>
        </w:rPr>
        <w:t>0</w:t>
      </w:r>
    </w:p>
    <w:p w14:paraId="09176127" w14:textId="3DEA0876" w:rsidR="00BD5595" w:rsidRPr="00E51B9F" w:rsidRDefault="00153D8A" w:rsidP="00BD5595">
      <w:pPr>
        <w:pStyle w:val="ECHRDecisionBody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60F6DD8C" w14:textId="77777777" w:rsidR="00BD5595" w:rsidRPr="00E51B9F" w:rsidRDefault="00BD5595" w:rsidP="00BD5595">
      <w:pPr>
        <w:pStyle w:val="ECHRDecisionBody"/>
        <w:jc w:val="center"/>
        <w:rPr>
          <w:lang w:val="pl-PL"/>
        </w:rPr>
      </w:pPr>
    </w:p>
    <w:p w14:paraId="799E2F87" w14:textId="77777777" w:rsidR="00BD5595" w:rsidRPr="00E51B9F" w:rsidRDefault="00BD5595" w:rsidP="00BD5595">
      <w:pPr>
        <w:jc w:val="center"/>
        <w:rPr>
          <w:lang w:val="pl-PL"/>
        </w:rPr>
      </w:pPr>
      <w:r w:rsidRPr="00E51B9F">
        <w:rPr>
          <w:lang w:val="pl-PL"/>
        </w:rPr>
        <w:t>TRZECIA SEKCJA</w:t>
      </w:r>
    </w:p>
    <w:p w14:paraId="44924EEB" w14:textId="77777777" w:rsidR="00BD5595" w:rsidRPr="00E51B9F" w:rsidRDefault="00BD5595" w:rsidP="00BD5595">
      <w:pPr>
        <w:jc w:val="center"/>
        <w:rPr>
          <w:lang w:val="pl-PL"/>
        </w:rPr>
      </w:pPr>
    </w:p>
    <w:p w14:paraId="3BEA7765" w14:textId="77777777" w:rsidR="00BD5595" w:rsidRPr="00E51B9F" w:rsidRDefault="00BD5595" w:rsidP="00BD5595">
      <w:pPr>
        <w:jc w:val="center"/>
        <w:rPr>
          <w:lang w:val="pl-PL"/>
        </w:rPr>
      </w:pPr>
    </w:p>
    <w:p w14:paraId="2CF3385B" w14:textId="77777777" w:rsidR="00BD5595" w:rsidRPr="00E51B9F" w:rsidRDefault="00BD5595" w:rsidP="00BD5595">
      <w:pPr>
        <w:jc w:val="center"/>
        <w:rPr>
          <w:lang w:val="pl-PL"/>
        </w:rPr>
      </w:pPr>
    </w:p>
    <w:p w14:paraId="09C5CCA9" w14:textId="77777777" w:rsidR="00BD5595" w:rsidRPr="00E51B9F" w:rsidRDefault="00BD5595" w:rsidP="00BD5595">
      <w:pPr>
        <w:jc w:val="center"/>
        <w:rPr>
          <w:lang w:val="pl-PL"/>
        </w:rPr>
      </w:pPr>
    </w:p>
    <w:p w14:paraId="04491B75" w14:textId="77777777" w:rsidR="00BD5595" w:rsidRPr="00E51B9F" w:rsidRDefault="00BD5595" w:rsidP="00BD5595">
      <w:pPr>
        <w:jc w:val="center"/>
        <w:rPr>
          <w:lang w:val="pl-PL"/>
        </w:rPr>
      </w:pPr>
    </w:p>
    <w:p w14:paraId="03AF037E" w14:textId="77777777" w:rsidR="00BD5595" w:rsidRPr="00E51B9F" w:rsidRDefault="00BD5595" w:rsidP="00BD5595">
      <w:pPr>
        <w:jc w:val="center"/>
        <w:rPr>
          <w:lang w:val="pl-PL"/>
        </w:rPr>
      </w:pPr>
    </w:p>
    <w:p w14:paraId="6C259DC9" w14:textId="77777777" w:rsidR="00BD5595" w:rsidRPr="00E51B9F" w:rsidRDefault="00BD5595" w:rsidP="00BD5595">
      <w:pPr>
        <w:jc w:val="center"/>
        <w:rPr>
          <w:lang w:val="pl-PL"/>
        </w:rPr>
      </w:pPr>
      <w:bookmarkStart w:id="0" w:name="_GoBack"/>
      <w:bookmarkEnd w:id="0"/>
    </w:p>
    <w:p w14:paraId="7A231DE1" w14:textId="77777777" w:rsidR="00BD5595" w:rsidRPr="00E51B9F" w:rsidRDefault="00BD5595" w:rsidP="00BD5595">
      <w:pPr>
        <w:jc w:val="center"/>
        <w:rPr>
          <w:lang w:val="pl-PL"/>
        </w:rPr>
      </w:pPr>
    </w:p>
    <w:p w14:paraId="303E364D" w14:textId="2BB9E935" w:rsidR="00BD5595" w:rsidRPr="00E51B9F" w:rsidRDefault="00BD5595" w:rsidP="00BD5595">
      <w:pPr>
        <w:jc w:val="center"/>
        <w:rPr>
          <w:b/>
          <w:lang w:val="pl-PL"/>
        </w:rPr>
      </w:pPr>
      <w:bookmarkStart w:id="1" w:name="To"/>
      <w:r w:rsidRPr="00E51B9F">
        <w:rPr>
          <w:b/>
          <w:bCs/>
          <w:lang w:val="pl-PL"/>
        </w:rPr>
        <w:t>SPRAWA</w:t>
      </w:r>
      <w:r w:rsidR="001D5E48" w:rsidRPr="007519F2">
        <w:rPr>
          <w:lang w:val="pl-PL"/>
        </w:rPr>
        <w:t xml:space="preserve"> </w:t>
      </w:r>
      <w:proofErr w:type="spellStart"/>
      <w:r w:rsidR="001D5E48" w:rsidRPr="001D5E48">
        <w:rPr>
          <w:b/>
          <w:bCs/>
          <w:lang w:val="pl-PL"/>
        </w:rPr>
        <w:t>LOZOVYYE</w:t>
      </w:r>
      <w:bookmarkEnd w:id="1"/>
      <w:proofErr w:type="spellEnd"/>
      <w:r w:rsidR="001D5E48" w:rsidRPr="00E51B9F">
        <w:rPr>
          <w:b/>
          <w:bCs/>
          <w:lang w:val="pl-PL"/>
        </w:rPr>
        <w:t xml:space="preserve"> </w:t>
      </w:r>
      <w:r w:rsidRPr="00E51B9F">
        <w:rPr>
          <w:b/>
          <w:bCs/>
          <w:lang w:val="pl-PL"/>
        </w:rPr>
        <w:t>przeciwko ROSJI</w:t>
      </w:r>
    </w:p>
    <w:p w14:paraId="5DB601A9" w14:textId="77777777" w:rsidR="00BD5595" w:rsidRPr="00E51B9F" w:rsidRDefault="00BD5595" w:rsidP="00BD5595">
      <w:pPr>
        <w:jc w:val="center"/>
        <w:rPr>
          <w:lang w:val="pl-PL"/>
        </w:rPr>
      </w:pPr>
    </w:p>
    <w:p w14:paraId="2A6A9A7F" w14:textId="77777777" w:rsidR="00BD5595" w:rsidRPr="00E51B9F" w:rsidRDefault="00BD5595" w:rsidP="00BD5595">
      <w:pPr>
        <w:jc w:val="center"/>
        <w:rPr>
          <w:i/>
          <w:lang w:val="pl-PL"/>
        </w:rPr>
      </w:pPr>
      <w:r w:rsidRPr="00E51B9F">
        <w:rPr>
          <w:i/>
          <w:iCs/>
          <w:lang w:val="pl-PL"/>
        </w:rPr>
        <w:t>(Skarga nr 4587/09)</w:t>
      </w:r>
    </w:p>
    <w:p w14:paraId="56B5B567" w14:textId="77777777" w:rsidR="00BD5595" w:rsidRPr="00E51B9F" w:rsidRDefault="00BD5595" w:rsidP="00BD5595">
      <w:pPr>
        <w:jc w:val="center"/>
        <w:rPr>
          <w:i/>
          <w:lang w:val="pl-PL"/>
        </w:rPr>
      </w:pPr>
    </w:p>
    <w:p w14:paraId="13FD2443" w14:textId="77777777" w:rsidR="00BD5595" w:rsidRPr="00E51B9F" w:rsidRDefault="00BD5595" w:rsidP="00BD5595">
      <w:pPr>
        <w:jc w:val="center"/>
        <w:rPr>
          <w:szCs w:val="24"/>
          <w:lang w:val="pl-PL"/>
        </w:rPr>
      </w:pPr>
    </w:p>
    <w:p w14:paraId="42C3DCC1" w14:textId="77777777" w:rsidR="00BD5595" w:rsidRPr="00E51B9F" w:rsidRDefault="00BD5595" w:rsidP="00BD5595">
      <w:pPr>
        <w:jc w:val="center"/>
        <w:rPr>
          <w:szCs w:val="24"/>
          <w:lang w:val="pl-PL"/>
        </w:rPr>
      </w:pPr>
    </w:p>
    <w:p w14:paraId="6EF8B53F" w14:textId="77777777" w:rsidR="00BD5595" w:rsidRPr="00E51B9F" w:rsidRDefault="00BD5595" w:rsidP="00BD5595">
      <w:pPr>
        <w:jc w:val="center"/>
        <w:rPr>
          <w:szCs w:val="24"/>
          <w:lang w:val="pl-PL"/>
        </w:rPr>
      </w:pPr>
    </w:p>
    <w:p w14:paraId="564E299F" w14:textId="77777777" w:rsidR="00BD5595" w:rsidRPr="00E51B9F" w:rsidRDefault="00BD5595" w:rsidP="00BD5595">
      <w:pPr>
        <w:jc w:val="center"/>
        <w:rPr>
          <w:szCs w:val="24"/>
          <w:lang w:val="pl-PL"/>
        </w:rPr>
      </w:pPr>
    </w:p>
    <w:p w14:paraId="0F9F9CCB" w14:textId="77777777" w:rsidR="00BD5595" w:rsidRPr="00E51B9F" w:rsidRDefault="00BD5595" w:rsidP="00BD5595">
      <w:pPr>
        <w:jc w:val="center"/>
        <w:rPr>
          <w:sz w:val="32"/>
          <w:lang w:val="pl-PL"/>
        </w:rPr>
      </w:pPr>
      <w:r w:rsidRPr="00E51B9F">
        <w:rPr>
          <w:szCs w:val="20"/>
          <w:lang w:val="pl-PL"/>
        </w:rPr>
        <w:t>WYROK</w:t>
      </w:r>
    </w:p>
    <w:p w14:paraId="794EDE07" w14:textId="77777777" w:rsidR="00BD5595" w:rsidRPr="00E51B9F" w:rsidRDefault="00BD5595" w:rsidP="00BD5595">
      <w:pPr>
        <w:jc w:val="center"/>
        <w:rPr>
          <w:szCs w:val="20"/>
          <w:lang w:val="pl-PL"/>
        </w:rPr>
      </w:pPr>
    </w:p>
    <w:p w14:paraId="61A89AEB" w14:textId="77777777" w:rsidR="00BD5595" w:rsidRPr="00E51B9F" w:rsidRDefault="00BD5595" w:rsidP="00BD5595">
      <w:pPr>
        <w:pStyle w:val="JuCase"/>
        <w:ind w:firstLine="0"/>
        <w:jc w:val="center"/>
        <w:rPr>
          <w:b w:val="0"/>
          <w:lang w:val="pl-PL"/>
        </w:rPr>
      </w:pPr>
    </w:p>
    <w:p w14:paraId="1C4C0443" w14:textId="3F32E442" w:rsidR="00BD5595" w:rsidRPr="00E51B9F" w:rsidRDefault="00BD5595" w:rsidP="00BD5595">
      <w:pPr>
        <w:pStyle w:val="JuCase"/>
        <w:ind w:firstLine="0"/>
        <w:jc w:val="center"/>
        <w:rPr>
          <w:b w:val="0"/>
          <w:lang w:val="pl-PL"/>
        </w:rPr>
      </w:pPr>
      <w:r w:rsidRPr="00E51B9F">
        <w:rPr>
          <w:b w:val="0"/>
          <w:lang w:val="pl-PL"/>
        </w:rPr>
        <w:t>STRASBURG</w:t>
      </w:r>
    </w:p>
    <w:p w14:paraId="2B4C3E7B" w14:textId="77777777" w:rsidR="00BD5595" w:rsidRPr="00E51B9F" w:rsidRDefault="00BD5595" w:rsidP="00BD5595">
      <w:pPr>
        <w:pStyle w:val="JuCase"/>
        <w:ind w:firstLine="0"/>
        <w:jc w:val="center"/>
        <w:rPr>
          <w:b w:val="0"/>
          <w:lang w:val="pl-PL"/>
        </w:rPr>
      </w:pPr>
    </w:p>
    <w:p w14:paraId="2705BABE" w14:textId="77777777" w:rsidR="00BD5595" w:rsidRPr="00E51B9F" w:rsidRDefault="00BD5595" w:rsidP="00BD5595">
      <w:pPr>
        <w:pStyle w:val="JuCase"/>
        <w:ind w:firstLine="0"/>
        <w:jc w:val="center"/>
        <w:rPr>
          <w:b w:val="0"/>
          <w:lang w:val="pl-PL"/>
        </w:rPr>
      </w:pPr>
      <w:r w:rsidRPr="00E51B9F">
        <w:rPr>
          <w:b w:val="0"/>
          <w:lang w:val="pl-PL"/>
        </w:rPr>
        <w:t>24 kwietnia 2018 r.</w:t>
      </w:r>
    </w:p>
    <w:p w14:paraId="21D9DE7F" w14:textId="77777777" w:rsidR="00BD5595" w:rsidRPr="00E51B9F" w:rsidRDefault="00BD5595" w:rsidP="00BD5595">
      <w:pPr>
        <w:pStyle w:val="JuCase"/>
        <w:ind w:firstLine="0"/>
        <w:jc w:val="center"/>
        <w:rPr>
          <w:b w:val="0"/>
          <w:lang w:val="pl-PL"/>
        </w:rPr>
      </w:pPr>
    </w:p>
    <w:p w14:paraId="3E396EF3" w14:textId="77777777" w:rsidR="00BD5595" w:rsidRPr="00E51B9F" w:rsidRDefault="00BD5595" w:rsidP="00BD5595">
      <w:pPr>
        <w:pStyle w:val="ECHRPara"/>
        <w:ind w:firstLine="0"/>
        <w:jc w:val="center"/>
        <w:rPr>
          <w:lang w:val="pl-PL"/>
        </w:rPr>
      </w:pPr>
    </w:p>
    <w:p w14:paraId="3C623EB0" w14:textId="77777777" w:rsidR="00BD5595" w:rsidRPr="00E51B9F" w:rsidRDefault="00BD5595" w:rsidP="00BD5595">
      <w:pPr>
        <w:pStyle w:val="ECHRPara"/>
        <w:ind w:firstLine="0"/>
        <w:jc w:val="center"/>
        <w:rPr>
          <w:lang w:val="pl-PL"/>
        </w:rPr>
      </w:pPr>
    </w:p>
    <w:p w14:paraId="200BBAAF" w14:textId="77777777" w:rsidR="00BD5595" w:rsidRPr="00E51B9F" w:rsidRDefault="00BD5595" w:rsidP="00BD5595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r w:rsidRPr="00E51B9F">
        <w:rPr>
          <w:color w:val="FF0000"/>
          <w:sz w:val="28"/>
          <w:szCs w:val="28"/>
          <w:u w:val="single"/>
          <w:lang w:val="pl-PL"/>
        </w:rPr>
        <w:t>OSTATECZNY</w:t>
      </w:r>
    </w:p>
    <w:p w14:paraId="7D058FC1" w14:textId="77777777" w:rsidR="00BD5595" w:rsidRPr="00E51B9F" w:rsidRDefault="00BD5595" w:rsidP="00BD5595">
      <w:pPr>
        <w:pStyle w:val="jupara"/>
        <w:tabs>
          <w:tab w:val="left" w:pos="4650"/>
        </w:tabs>
        <w:ind w:firstLine="0"/>
        <w:jc w:val="center"/>
        <w:rPr>
          <w:color w:val="FF0000"/>
          <w:sz w:val="28"/>
          <w:szCs w:val="28"/>
          <w:lang w:val="pl-PL"/>
        </w:rPr>
      </w:pPr>
    </w:p>
    <w:p w14:paraId="5968EA8E" w14:textId="77777777" w:rsidR="00BD5595" w:rsidRPr="00E51B9F" w:rsidRDefault="00BD5595" w:rsidP="00BD5595">
      <w:pPr>
        <w:pStyle w:val="jupara"/>
        <w:ind w:firstLine="0"/>
        <w:jc w:val="center"/>
        <w:rPr>
          <w:color w:val="FF0000"/>
          <w:sz w:val="28"/>
          <w:szCs w:val="28"/>
          <w:lang w:val="pl-PL"/>
        </w:rPr>
      </w:pPr>
      <w:r w:rsidRPr="00E51B9F">
        <w:rPr>
          <w:color w:val="FF0000"/>
          <w:sz w:val="28"/>
          <w:szCs w:val="28"/>
          <w:lang w:val="pl-PL"/>
        </w:rPr>
        <w:t>24/07/2018 r.</w:t>
      </w:r>
    </w:p>
    <w:p w14:paraId="28FB24C7" w14:textId="77777777" w:rsidR="00BD5595" w:rsidRPr="00E51B9F" w:rsidRDefault="00BD5595" w:rsidP="00BD5595">
      <w:pPr>
        <w:pStyle w:val="jupara"/>
        <w:ind w:firstLine="0"/>
        <w:jc w:val="center"/>
        <w:rPr>
          <w:lang w:val="pl-PL"/>
        </w:rPr>
      </w:pPr>
    </w:p>
    <w:p w14:paraId="45BE9BF1" w14:textId="77777777" w:rsidR="00BD5595" w:rsidRPr="00E51B9F" w:rsidRDefault="00BD5595" w:rsidP="00BD5595">
      <w:pPr>
        <w:pStyle w:val="jupara"/>
        <w:ind w:firstLine="0"/>
        <w:jc w:val="center"/>
        <w:rPr>
          <w:lang w:val="pl-PL"/>
        </w:rPr>
      </w:pPr>
    </w:p>
    <w:p w14:paraId="3C71487D" w14:textId="77777777" w:rsidR="00BD5595" w:rsidRPr="00E51B9F" w:rsidRDefault="00BD5595" w:rsidP="00BD5595">
      <w:pPr>
        <w:jc w:val="left"/>
        <w:rPr>
          <w:i/>
          <w:iCs/>
          <w:sz w:val="22"/>
          <w:lang w:val="pl-PL"/>
        </w:rPr>
      </w:pPr>
      <w:r w:rsidRPr="00E51B9F">
        <w:rPr>
          <w:i/>
          <w:iCs/>
          <w:sz w:val="22"/>
          <w:lang w:val="pl-PL"/>
        </w:rPr>
        <w:t>Wyrok stał się ostateczny zgodnie z warunkami określonymi w art. 44 ust. 2 Konwencji. Wyrok może podlegać korekcie edycyjnej.</w:t>
      </w:r>
    </w:p>
    <w:p w14:paraId="60F6B861" w14:textId="77777777" w:rsidR="00BD5595" w:rsidRPr="00E51B9F" w:rsidRDefault="00BD5595" w:rsidP="00BD5595">
      <w:pPr>
        <w:pStyle w:val="JuCase"/>
        <w:ind w:firstLine="0"/>
        <w:jc w:val="left"/>
        <w:rPr>
          <w:b w:val="0"/>
          <w:lang w:val="pl-PL"/>
        </w:rPr>
        <w:sectPr w:rsidR="00BD5595" w:rsidRPr="00E51B9F" w:rsidSect="00FB231A">
          <w:head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740C3A53" w14:textId="207DC853" w:rsidR="00BD5595" w:rsidRPr="00E51B9F" w:rsidRDefault="00BD5595" w:rsidP="00BD5595">
      <w:pPr>
        <w:pStyle w:val="JuCase"/>
        <w:rPr>
          <w:bCs/>
          <w:lang w:val="pl-PL"/>
        </w:rPr>
      </w:pPr>
      <w:r w:rsidRPr="00E51B9F">
        <w:rPr>
          <w:bCs/>
          <w:lang w:val="pl-PL"/>
        </w:rPr>
        <w:lastRenderedPageBreak/>
        <w:t xml:space="preserve">W sprawie </w:t>
      </w:r>
      <w:proofErr w:type="spellStart"/>
      <w:r w:rsidR="001D5E48" w:rsidRPr="001D5E48">
        <w:rPr>
          <w:lang w:val="pl-PL"/>
        </w:rPr>
        <w:t>Lozovyye</w:t>
      </w:r>
      <w:proofErr w:type="spellEnd"/>
      <w:r w:rsidRPr="00E51B9F">
        <w:rPr>
          <w:bCs/>
          <w:lang w:val="pl-PL"/>
        </w:rPr>
        <w:t xml:space="preserve"> przeciwko Rosji,</w:t>
      </w:r>
    </w:p>
    <w:p w14:paraId="1426813C" w14:textId="147ACFFA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lang w:val="pl-PL"/>
        </w:rPr>
        <w:t xml:space="preserve">Europejski Trybunał Praw Człowieka (Trzecia Sekcja), zasiadając jako Izba </w:t>
      </w:r>
      <w:r w:rsidR="00FF52B6">
        <w:rPr>
          <w:lang w:val="pl-PL"/>
        </w:rPr>
        <w:t>w składzie</w:t>
      </w:r>
      <w:r w:rsidRPr="00E51B9F">
        <w:rPr>
          <w:lang w:val="pl-PL"/>
        </w:rPr>
        <w:t>:</w:t>
      </w:r>
    </w:p>
    <w:p w14:paraId="243890AC" w14:textId="77777777" w:rsidR="00BD5595" w:rsidRPr="00E51B9F" w:rsidRDefault="00BD5595" w:rsidP="00BD5595">
      <w:pPr>
        <w:pStyle w:val="ECHRDecisionBody"/>
        <w:rPr>
          <w:lang w:val="pl-PL"/>
        </w:rPr>
      </w:pPr>
      <w:r w:rsidRPr="00E51B9F">
        <w:rPr>
          <w:lang w:val="pl-PL"/>
        </w:rPr>
        <w:tab/>
        <w:t xml:space="preserve">Helena </w:t>
      </w:r>
      <w:proofErr w:type="spellStart"/>
      <w:r w:rsidRPr="00E51B9F">
        <w:rPr>
          <w:lang w:val="pl-PL"/>
        </w:rPr>
        <w:t>Jäderblom</w:t>
      </w:r>
      <w:proofErr w:type="spellEnd"/>
      <w:r w:rsidRPr="00E51B9F">
        <w:rPr>
          <w:lang w:val="pl-PL"/>
        </w:rPr>
        <w:t xml:space="preserve">, </w:t>
      </w:r>
      <w:r w:rsidRPr="00E51B9F">
        <w:rPr>
          <w:i/>
          <w:iCs/>
          <w:lang w:val="pl-PL"/>
        </w:rPr>
        <w:t>Przewodnicząca</w:t>
      </w:r>
      <w:r w:rsidRPr="00E51B9F">
        <w:rPr>
          <w:lang w:val="pl-PL"/>
        </w:rPr>
        <w:t>,</w:t>
      </w:r>
      <w:r w:rsidRPr="00E51B9F">
        <w:rPr>
          <w:lang w:val="pl-PL"/>
        </w:rPr>
        <w:br/>
      </w:r>
      <w:r w:rsidRPr="00E51B9F">
        <w:rPr>
          <w:lang w:val="pl-PL"/>
        </w:rPr>
        <w:tab/>
        <w:t xml:space="preserve">Branko </w:t>
      </w:r>
      <w:proofErr w:type="spellStart"/>
      <w:r w:rsidRPr="00E51B9F">
        <w:rPr>
          <w:lang w:val="pl-PL"/>
        </w:rPr>
        <w:t>Lubarda</w:t>
      </w:r>
      <w:proofErr w:type="spellEnd"/>
      <w:r w:rsidRPr="00E51B9F">
        <w:rPr>
          <w:lang w:val="pl-PL"/>
        </w:rPr>
        <w:t>,</w:t>
      </w:r>
      <w:r w:rsidRPr="00E51B9F">
        <w:rPr>
          <w:lang w:val="pl-PL"/>
        </w:rPr>
        <w:br/>
      </w:r>
      <w:r w:rsidRPr="00E51B9F">
        <w:rPr>
          <w:lang w:val="pl-PL"/>
        </w:rPr>
        <w:tab/>
        <w:t>Helen Keller,</w:t>
      </w:r>
      <w:r w:rsidRPr="00E51B9F">
        <w:rPr>
          <w:lang w:val="pl-PL"/>
        </w:rPr>
        <w:br/>
      </w:r>
      <w:r w:rsidRPr="00E51B9F">
        <w:rPr>
          <w:lang w:val="pl-PL"/>
        </w:rPr>
        <w:tab/>
      </w:r>
      <w:proofErr w:type="spellStart"/>
      <w:r w:rsidRPr="00E51B9F">
        <w:rPr>
          <w:lang w:val="pl-PL"/>
        </w:rPr>
        <w:t>Dmitri</w:t>
      </w:r>
      <w:proofErr w:type="spellEnd"/>
      <w:r w:rsidRPr="00E51B9F">
        <w:rPr>
          <w:lang w:val="pl-PL"/>
        </w:rPr>
        <w:t xml:space="preserve"> </w:t>
      </w:r>
      <w:proofErr w:type="spellStart"/>
      <w:r w:rsidRPr="00E51B9F">
        <w:rPr>
          <w:lang w:val="pl-PL"/>
        </w:rPr>
        <w:t>Dedow</w:t>
      </w:r>
      <w:proofErr w:type="spellEnd"/>
      <w:r w:rsidRPr="00E51B9F">
        <w:rPr>
          <w:lang w:val="pl-PL"/>
        </w:rPr>
        <w:t>,</w:t>
      </w:r>
      <w:r w:rsidRPr="00E51B9F">
        <w:rPr>
          <w:lang w:val="pl-PL"/>
        </w:rPr>
        <w:br/>
      </w:r>
      <w:r w:rsidRPr="00E51B9F">
        <w:rPr>
          <w:lang w:val="pl-PL"/>
        </w:rPr>
        <w:tab/>
      </w:r>
      <w:proofErr w:type="spellStart"/>
      <w:r w:rsidRPr="00E51B9F">
        <w:rPr>
          <w:lang w:val="pl-PL"/>
        </w:rPr>
        <w:t>Pere</w:t>
      </w:r>
      <w:proofErr w:type="spellEnd"/>
      <w:r w:rsidRPr="00E51B9F">
        <w:rPr>
          <w:lang w:val="pl-PL"/>
        </w:rPr>
        <w:t xml:space="preserve"> Pastor </w:t>
      </w:r>
      <w:proofErr w:type="spellStart"/>
      <w:r w:rsidRPr="00E51B9F">
        <w:rPr>
          <w:lang w:val="pl-PL"/>
        </w:rPr>
        <w:t>Vilanova</w:t>
      </w:r>
      <w:proofErr w:type="spellEnd"/>
      <w:r w:rsidRPr="00E51B9F">
        <w:rPr>
          <w:lang w:val="pl-PL"/>
        </w:rPr>
        <w:t>,</w:t>
      </w:r>
      <w:r w:rsidRPr="00E51B9F">
        <w:rPr>
          <w:lang w:val="pl-PL"/>
        </w:rPr>
        <w:br/>
      </w:r>
      <w:r w:rsidRPr="00E51B9F">
        <w:rPr>
          <w:lang w:val="pl-PL"/>
        </w:rPr>
        <w:tab/>
        <w:t xml:space="preserve">Georgios A. </w:t>
      </w:r>
      <w:proofErr w:type="spellStart"/>
      <w:r w:rsidRPr="00E51B9F">
        <w:rPr>
          <w:lang w:val="pl-PL"/>
        </w:rPr>
        <w:t>Serghides</w:t>
      </w:r>
      <w:proofErr w:type="spellEnd"/>
      <w:r w:rsidRPr="00E51B9F">
        <w:rPr>
          <w:lang w:val="pl-PL"/>
        </w:rPr>
        <w:t>,</w:t>
      </w:r>
      <w:r w:rsidRPr="00E51B9F">
        <w:rPr>
          <w:lang w:val="pl-PL"/>
        </w:rPr>
        <w:br/>
      </w:r>
      <w:r w:rsidRPr="00E51B9F">
        <w:rPr>
          <w:lang w:val="pl-PL"/>
        </w:rPr>
        <w:tab/>
      </w:r>
      <w:proofErr w:type="spellStart"/>
      <w:r w:rsidRPr="00E51B9F">
        <w:rPr>
          <w:lang w:val="pl-PL"/>
        </w:rPr>
        <w:t>Jolien</w:t>
      </w:r>
      <w:proofErr w:type="spellEnd"/>
      <w:r w:rsidRPr="00E51B9F">
        <w:rPr>
          <w:lang w:val="pl-PL"/>
        </w:rPr>
        <w:t xml:space="preserve"> </w:t>
      </w:r>
      <w:proofErr w:type="spellStart"/>
      <w:r w:rsidRPr="00E51B9F">
        <w:rPr>
          <w:lang w:val="pl-PL"/>
        </w:rPr>
        <w:t>Schukking</w:t>
      </w:r>
      <w:proofErr w:type="spellEnd"/>
      <w:r w:rsidRPr="00E51B9F">
        <w:rPr>
          <w:lang w:val="pl-PL"/>
        </w:rPr>
        <w:t xml:space="preserve">, </w:t>
      </w:r>
      <w:r w:rsidRPr="00E51B9F">
        <w:rPr>
          <w:i/>
          <w:iCs/>
          <w:lang w:val="pl-PL"/>
        </w:rPr>
        <w:t>Sędziowie,</w:t>
      </w:r>
      <w:r w:rsidRPr="00E51B9F">
        <w:rPr>
          <w:szCs w:val="24"/>
          <w:lang w:val="pl-PL"/>
        </w:rPr>
        <w:br/>
      </w:r>
      <w:r w:rsidRPr="00E51B9F">
        <w:rPr>
          <w:lang w:val="pl-PL"/>
        </w:rPr>
        <w:t xml:space="preserve">oraz Stephen Phillips, </w:t>
      </w:r>
      <w:r w:rsidRPr="00E51B9F">
        <w:rPr>
          <w:i/>
          <w:iCs/>
          <w:lang w:val="pl-PL"/>
        </w:rPr>
        <w:t>Kanclerz</w:t>
      </w:r>
      <w:r w:rsidRPr="00E51B9F">
        <w:rPr>
          <w:lang w:val="pl-PL"/>
        </w:rPr>
        <w:t xml:space="preserve"> </w:t>
      </w:r>
      <w:r w:rsidRPr="00E51B9F">
        <w:rPr>
          <w:i/>
          <w:iCs/>
          <w:lang w:val="pl-PL"/>
        </w:rPr>
        <w:t>Sekcji,</w:t>
      </w:r>
    </w:p>
    <w:p w14:paraId="2912E0F7" w14:textId="1D931F8B" w:rsidR="00BD5595" w:rsidRPr="00E51B9F" w:rsidRDefault="004A2E33" w:rsidP="00BD5595">
      <w:pPr>
        <w:pStyle w:val="ECHRPara"/>
        <w:rPr>
          <w:lang w:val="pl-PL"/>
        </w:rPr>
      </w:pPr>
      <w:r>
        <w:rPr>
          <w:lang w:val="pl-PL"/>
        </w:rPr>
        <w:t>Po obradach na posiedzeniu niejawnym</w:t>
      </w:r>
      <w:r w:rsidR="00BD5595" w:rsidRPr="00E51B9F">
        <w:rPr>
          <w:lang w:val="pl-PL"/>
        </w:rPr>
        <w:t xml:space="preserve"> w dniach 14 listopada 2017 r. i</w:t>
      </w:r>
      <w:r w:rsidR="0005400C">
        <w:rPr>
          <w:lang w:val="pl-PL"/>
        </w:rPr>
        <w:t> </w:t>
      </w:r>
      <w:r w:rsidR="00BD5595" w:rsidRPr="00E51B9F">
        <w:rPr>
          <w:lang w:val="pl-PL"/>
        </w:rPr>
        <w:t>3</w:t>
      </w:r>
      <w:r w:rsidR="0005400C">
        <w:rPr>
          <w:lang w:val="pl-PL"/>
        </w:rPr>
        <w:t> </w:t>
      </w:r>
      <w:r w:rsidR="00BD5595" w:rsidRPr="00E51B9F">
        <w:rPr>
          <w:lang w:val="pl-PL"/>
        </w:rPr>
        <w:t>czerwca 2018 r.,</w:t>
      </w:r>
    </w:p>
    <w:p w14:paraId="544D2C56" w14:textId="302DDDA1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lang w:val="pl-PL"/>
        </w:rPr>
        <w:t>Wydaje następujący wyrok, który został przyjęty w ostatniej z</w:t>
      </w:r>
      <w:r w:rsidR="0005400C">
        <w:rPr>
          <w:lang w:val="pl-PL"/>
        </w:rPr>
        <w:t> </w:t>
      </w:r>
      <w:r w:rsidRPr="00E51B9F">
        <w:rPr>
          <w:lang w:val="pl-PL"/>
        </w:rPr>
        <w:t>wymienionych dat:</w:t>
      </w:r>
    </w:p>
    <w:p w14:paraId="2FAAB975" w14:textId="77777777" w:rsidR="00BD5595" w:rsidRPr="00E51B9F" w:rsidRDefault="00BD5595" w:rsidP="00BD5595">
      <w:pPr>
        <w:pStyle w:val="ECHRTitle1"/>
        <w:rPr>
          <w:lang w:val="pl-PL"/>
        </w:rPr>
      </w:pPr>
      <w:r w:rsidRPr="00E51B9F">
        <w:rPr>
          <w:lang w:val="pl-PL"/>
        </w:rPr>
        <w:t>POSTĘPOWANIE</w:t>
      </w:r>
    </w:p>
    <w:p w14:paraId="43998BA7" w14:textId="480606AE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Sprawa wywodzi się ze skargi (nr 4587/09) przeciwko Federacji Rosyjskiej wniesionej do Trybunału na podstawie art. 34 Konwencji o</w:t>
      </w:r>
      <w:r w:rsidR="0005400C">
        <w:rPr>
          <w:lang w:val="pl-PL"/>
        </w:rPr>
        <w:t> </w:t>
      </w:r>
      <w:r w:rsidR="004A2E33" w:rsidRPr="00E51B9F">
        <w:rPr>
          <w:lang w:val="pl-PL"/>
        </w:rPr>
        <w:t xml:space="preserve">ochronie praw człowieka i podstawowych wolności </w:t>
      </w:r>
      <w:r w:rsidRPr="00E51B9F">
        <w:rPr>
          <w:lang w:val="pl-PL"/>
        </w:rPr>
        <w:t>(„Konwencja") przez dw</w:t>
      </w:r>
      <w:r w:rsidR="00FD2B0C">
        <w:rPr>
          <w:lang w:val="pl-PL"/>
        </w:rPr>
        <w:t>oje</w:t>
      </w:r>
      <w:r w:rsidRPr="00E51B9F">
        <w:rPr>
          <w:lang w:val="pl-PL"/>
        </w:rPr>
        <w:t xml:space="preserve"> obywateli rosyjskich, pana Andrieja </w:t>
      </w:r>
      <w:proofErr w:type="spellStart"/>
      <w:r w:rsidRPr="00E51B9F">
        <w:rPr>
          <w:lang w:val="pl-PL"/>
        </w:rPr>
        <w:t>Michałjowicza</w:t>
      </w:r>
      <w:proofErr w:type="spellEnd"/>
      <w:r w:rsidRPr="00E51B9F">
        <w:rPr>
          <w:lang w:val="pl-PL"/>
        </w:rPr>
        <w:t xml:space="preserve"> </w:t>
      </w:r>
      <w:proofErr w:type="spellStart"/>
      <w:r w:rsidR="00FD2B0C" w:rsidRPr="00FD2B0C">
        <w:rPr>
          <w:lang w:val="pl-PL"/>
        </w:rPr>
        <w:t>Lozovoy</w:t>
      </w:r>
      <w:r w:rsidR="00FD2B0C">
        <w:rPr>
          <w:lang w:val="pl-PL"/>
        </w:rPr>
        <w:t>’a</w:t>
      </w:r>
      <w:proofErr w:type="spellEnd"/>
      <w:r w:rsidRPr="00E51B9F">
        <w:rPr>
          <w:lang w:val="pl-PL"/>
        </w:rPr>
        <w:t xml:space="preserve"> i Panią Tamarę </w:t>
      </w:r>
      <w:proofErr w:type="spellStart"/>
      <w:r w:rsidRPr="00E51B9F">
        <w:rPr>
          <w:lang w:val="pl-PL"/>
        </w:rPr>
        <w:t>Wasiliewnę</w:t>
      </w:r>
      <w:proofErr w:type="spellEnd"/>
      <w:r w:rsidRPr="00E51B9F">
        <w:rPr>
          <w:lang w:val="pl-PL"/>
        </w:rPr>
        <w:t xml:space="preserve"> </w:t>
      </w:r>
      <w:proofErr w:type="spellStart"/>
      <w:r w:rsidR="00FD2B0C">
        <w:rPr>
          <w:lang w:val="pl-PL"/>
        </w:rPr>
        <w:t>Lozovayą</w:t>
      </w:r>
      <w:proofErr w:type="spellEnd"/>
      <w:r w:rsidR="00FD2B0C">
        <w:rPr>
          <w:lang w:val="pl-PL"/>
        </w:rPr>
        <w:t xml:space="preserve"> </w:t>
      </w:r>
      <w:r w:rsidRPr="00E51B9F">
        <w:rPr>
          <w:lang w:val="pl-PL"/>
        </w:rPr>
        <w:t>(„skarżący”) z dnia 10 listopada 2008 r.</w:t>
      </w:r>
    </w:p>
    <w:p w14:paraId="748F70D0" w14:textId="60DDE8A7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Rząd rosyjski („Rząd”) reprezentowany był początkowo przez Pana G.</w:t>
      </w:r>
      <w:r w:rsidR="0005400C">
        <w:rPr>
          <w:lang w:val="pl-PL"/>
        </w:rPr>
        <w:t> </w:t>
      </w:r>
      <w:proofErr w:type="spellStart"/>
      <w:r w:rsidRPr="00E51B9F">
        <w:rPr>
          <w:lang w:val="pl-PL"/>
        </w:rPr>
        <w:t>Matiuszkina</w:t>
      </w:r>
      <w:proofErr w:type="spellEnd"/>
      <w:r w:rsidRPr="00E51B9F">
        <w:rPr>
          <w:lang w:val="pl-PL"/>
        </w:rPr>
        <w:t>, Przedstawiciela Federacji Rosyjskiej prz</w:t>
      </w:r>
      <w:r w:rsidR="00FF52B6">
        <w:rPr>
          <w:lang w:val="pl-PL"/>
        </w:rPr>
        <w:t>ed Europejskim Trybunał</w:t>
      </w:r>
      <w:r w:rsidRPr="00E51B9F">
        <w:rPr>
          <w:lang w:val="pl-PL"/>
        </w:rPr>
        <w:t>e</w:t>
      </w:r>
      <w:r w:rsidR="00FF52B6">
        <w:rPr>
          <w:lang w:val="pl-PL"/>
        </w:rPr>
        <w:t>m</w:t>
      </w:r>
      <w:r w:rsidRPr="00E51B9F">
        <w:rPr>
          <w:lang w:val="pl-PL"/>
        </w:rPr>
        <w:t xml:space="preserve"> Praw Człowieka, a następnie przez Pana M. </w:t>
      </w:r>
      <w:proofErr w:type="spellStart"/>
      <w:r w:rsidRPr="00E51B9F">
        <w:rPr>
          <w:lang w:val="pl-PL"/>
        </w:rPr>
        <w:t>Galperina</w:t>
      </w:r>
      <w:proofErr w:type="spellEnd"/>
      <w:r w:rsidRPr="00E51B9F">
        <w:rPr>
          <w:lang w:val="pl-PL"/>
        </w:rPr>
        <w:t>, który</w:t>
      </w:r>
      <w:r w:rsidR="0005400C">
        <w:rPr>
          <w:lang w:val="pl-PL"/>
        </w:rPr>
        <w:t> </w:t>
      </w:r>
      <w:r w:rsidRPr="00E51B9F">
        <w:rPr>
          <w:lang w:val="pl-PL"/>
        </w:rPr>
        <w:t>zastąpił go na tym stanowisku.</w:t>
      </w:r>
    </w:p>
    <w:p w14:paraId="3DE7D206" w14:textId="2555C5C1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Skarżący </w:t>
      </w:r>
      <w:r w:rsidR="00FF52B6">
        <w:rPr>
          <w:lang w:val="pl-PL"/>
        </w:rPr>
        <w:t>zarzucali</w:t>
      </w:r>
      <w:r w:rsidRPr="00E51B9F">
        <w:rPr>
          <w:lang w:val="pl-PL"/>
        </w:rPr>
        <w:t>, że władze krajowe nie powiadomiły ich o śmierci ich syna.</w:t>
      </w:r>
    </w:p>
    <w:p w14:paraId="017110C4" w14:textId="377BB560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W dniu 8 czerwca 2010 r. skarga została zakomunikowana Rządowi. Strony przedstawiły pisemne uwagi na temat dopuszczalności i </w:t>
      </w:r>
      <w:r w:rsidR="0021184D">
        <w:rPr>
          <w:lang w:val="pl-PL"/>
        </w:rPr>
        <w:t>przedmiotu s</w:t>
      </w:r>
      <w:r w:rsidR="00FF52B6">
        <w:rPr>
          <w:lang w:val="pl-PL"/>
        </w:rPr>
        <w:t>kargi</w:t>
      </w:r>
      <w:r w:rsidR="0021184D">
        <w:rPr>
          <w:lang w:val="pl-PL"/>
        </w:rPr>
        <w:t>.</w:t>
      </w:r>
    </w:p>
    <w:p w14:paraId="699CE7D9" w14:textId="77777777" w:rsidR="00BD5595" w:rsidRPr="00E51B9F" w:rsidRDefault="00BD5595" w:rsidP="00BD5595">
      <w:pPr>
        <w:pStyle w:val="ECHRTitle1"/>
        <w:rPr>
          <w:lang w:val="pl-PL"/>
        </w:rPr>
      </w:pPr>
      <w:r w:rsidRPr="00E51B9F">
        <w:rPr>
          <w:lang w:val="pl-PL"/>
        </w:rPr>
        <w:t>FAKTY</w:t>
      </w:r>
    </w:p>
    <w:p w14:paraId="437755F6" w14:textId="1FEA062F" w:rsidR="00BD5595" w:rsidRPr="00E51B9F" w:rsidRDefault="00BD5595" w:rsidP="00BD5595">
      <w:pPr>
        <w:pStyle w:val="ECHRHeading1"/>
        <w:rPr>
          <w:lang w:val="pl-PL"/>
        </w:rPr>
      </w:pPr>
      <w:r w:rsidRPr="00E51B9F">
        <w:rPr>
          <w:bCs w:val="0"/>
          <w:lang w:val="pl-PL"/>
        </w:rPr>
        <w:t>I.</w:t>
      </w:r>
      <w:r w:rsidR="006D5180">
        <w:rPr>
          <w:bCs w:val="0"/>
          <w:lang w:val="pl-PL"/>
        </w:rPr>
        <w:t xml:space="preserve"> </w:t>
      </w:r>
      <w:r w:rsidRPr="00E51B9F">
        <w:rPr>
          <w:bCs w:val="0"/>
          <w:lang w:val="pl-PL"/>
        </w:rPr>
        <w:t>OKOLICZNOŚCI SPRAWY</w:t>
      </w:r>
    </w:p>
    <w:p w14:paraId="54299369" w14:textId="4D8CBDD4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Skarżący są obywatelami rosyjskimi, urodzili się odpowiednio w</w:t>
      </w:r>
      <w:r w:rsidR="004807C1">
        <w:rPr>
          <w:lang w:val="pl-PL"/>
        </w:rPr>
        <w:t> </w:t>
      </w:r>
      <w:r w:rsidRPr="00E51B9F">
        <w:rPr>
          <w:lang w:val="pl-PL"/>
        </w:rPr>
        <w:t>1952</w:t>
      </w:r>
      <w:r w:rsidR="0005400C">
        <w:rPr>
          <w:lang w:val="pl-PL"/>
        </w:rPr>
        <w:t> </w:t>
      </w:r>
      <w:r w:rsidRPr="00E51B9F">
        <w:rPr>
          <w:lang w:val="pl-PL"/>
        </w:rPr>
        <w:t>i</w:t>
      </w:r>
      <w:r w:rsidR="0005400C">
        <w:rPr>
          <w:lang w:val="pl-PL"/>
        </w:rPr>
        <w:t> </w:t>
      </w:r>
      <w:r w:rsidRPr="00E51B9F">
        <w:rPr>
          <w:lang w:val="pl-PL"/>
        </w:rPr>
        <w:t>1954 r</w:t>
      </w:r>
      <w:r w:rsidR="0021184D">
        <w:rPr>
          <w:lang w:val="pl-PL"/>
        </w:rPr>
        <w:t xml:space="preserve">. </w:t>
      </w:r>
      <w:r w:rsidRPr="00E51B9F">
        <w:rPr>
          <w:lang w:val="pl-PL"/>
        </w:rPr>
        <w:t xml:space="preserve">i mieszkają w mieście </w:t>
      </w:r>
      <w:proofErr w:type="spellStart"/>
      <w:r w:rsidRPr="00E51B9F">
        <w:rPr>
          <w:lang w:val="pl-PL"/>
        </w:rPr>
        <w:t>Biełomorsk</w:t>
      </w:r>
      <w:proofErr w:type="spellEnd"/>
      <w:r w:rsidRPr="00E51B9F">
        <w:rPr>
          <w:lang w:val="pl-PL"/>
        </w:rPr>
        <w:t xml:space="preserve"> w Republice Karelii.</w:t>
      </w:r>
    </w:p>
    <w:p w14:paraId="5A090334" w14:textId="66A5F10C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lastRenderedPageBreak/>
        <w:t>A.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Śmierć syna skarżących i postępowanie karne w sprawie oskarżenia o zabójstwo</w:t>
      </w:r>
    </w:p>
    <w:p w14:paraId="26CCB67D" w14:textId="72CFDB01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6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W dniu 1 grudnia 2005 r. syn skarżących, pan M. </w:t>
      </w:r>
      <w:proofErr w:type="spellStart"/>
      <w:r w:rsidR="00FD2B0C" w:rsidRPr="00FD2B0C">
        <w:rPr>
          <w:lang w:val="pl-PL"/>
        </w:rPr>
        <w:t>Lozovoy</w:t>
      </w:r>
      <w:proofErr w:type="spellEnd"/>
      <w:r w:rsidRPr="00E51B9F">
        <w:rPr>
          <w:lang w:val="pl-PL"/>
        </w:rPr>
        <w:t>, został zamordowany w Petersburgu. Postępowanie karne pod zarzutem zabójstwa wszczęto przeciwko panu O.</w:t>
      </w:r>
    </w:p>
    <w:p w14:paraId="16818FA9" w14:textId="081F26E0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7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W dniu 18 stycznia 2006 r. pani L., śledcza prokuratury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w Petersburgu, zwróciła się do naczelnika policji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z wnioskiem o zidentyfikowanie krewnych zmarłego, ustalenie miejsca ich zamieszkania i wezwanie do prokuratury w celu przyznania im</w:t>
      </w:r>
      <w:r w:rsidR="0005400C">
        <w:rPr>
          <w:lang w:val="pl-PL"/>
        </w:rPr>
        <w:t> </w:t>
      </w:r>
      <w:r w:rsidRPr="00E51B9F">
        <w:rPr>
          <w:lang w:val="pl-PL"/>
        </w:rPr>
        <w:t>statusu pokrzywdzonych w sprawie karnej.</w:t>
      </w:r>
    </w:p>
    <w:p w14:paraId="03710D5B" w14:textId="00D7A15E" w:rsidR="00BD5595" w:rsidRPr="00E51B9F" w:rsidRDefault="00BD5595" w:rsidP="00BD5595">
      <w:pPr>
        <w:pStyle w:val="ECHRPara"/>
        <w:rPr>
          <w:lang w:val="pl-PL"/>
        </w:rPr>
      </w:pPr>
      <w:bookmarkStart w:id="2" w:name="para8"/>
      <w:r w:rsidRPr="00E51B9F">
        <w:rPr>
          <w:noProof/>
          <w:lang w:val="pl-PL"/>
        </w:rPr>
        <w:t>8</w:t>
      </w:r>
      <w:bookmarkEnd w:id="2"/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Tydzień później syn skarżących został pochowany w Petersburgu, pod</w:t>
      </w:r>
      <w:r w:rsidR="0005400C">
        <w:rPr>
          <w:lang w:val="pl-PL"/>
        </w:rPr>
        <w:t> </w:t>
      </w:r>
      <w:r w:rsidRPr="00E51B9F">
        <w:rPr>
          <w:lang w:val="pl-PL"/>
        </w:rPr>
        <w:t>pełnym nazwiskiem. Z zapisu w rejestrze cmentarza wynika, że nikt nie</w:t>
      </w:r>
      <w:r w:rsidR="0005400C">
        <w:rPr>
          <w:lang w:val="pl-PL"/>
        </w:rPr>
        <w:t> </w:t>
      </w:r>
      <w:r w:rsidRPr="00E51B9F">
        <w:rPr>
          <w:lang w:val="pl-PL"/>
        </w:rPr>
        <w:t>zgłosił się po ciało.</w:t>
      </w:r>
    </w:p>
    <w:p w14:paraId="231A1010" w14:textId="2E45EB18" w:rsidR="00BD5595" w:rsidRPr="00E51B9F" w:rsidRDefault="00BD5595" w:rsidP="00BD5595">
      <w:pPr>
        <w:pStyle w:val="ECHRPara"/>
        <w:rPr>
          <w:lang w:val="pl-PL"/>
        </w:rPr>
      </w:pPr>
      <w:bookmarkStart w:id="3" w:name="para9"/>
      <w:r w:rsidRPr="00E51B9F">
        <w:rPr>
          <w:noProof/>
          <w:lang w:val="pl-PL"/>
        </w:rPr>
        <w:t>9</w:t>
      </w:r>
      <w:bookmarkEnd w:id="3"/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dniu 30 stycznia 2006 r. śledcza, stwierdziwszy, że identyfikacja krewnych zmarłego jest niemożliwa, nadała status pokrzywdzonego w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sprawie karnej przedstawicielowi władz miejskich. Następnego dnia funkcjonariusze policji poinformowali śledczą, że działania operacyjne podjęte przez nich w celu zidentyfikowania krewnych </w:t>
      </w:r>
      <w:r w:rsidR="00FD2B0C">
        <w:rPr>
          <w:lang w:val="pl-PL"/>
        </w:rPr>
        <w:t xml:space="preserve">pana </w:t>
      </w:r>
      <w:r w:rsidRPr="00E51B9F">
        <w:rPr>
          <w:lang w:val="pl-PL"/>
        </w:rPr>
        <w:t xml:space="preserve">M. </w:t>
      </w:r>
      <w:proofErr w:type="spellStart"/>
      <w:r w:rsidR="00FD2B0C" w:rsidRPr="00FD2B0C">
        <w:rPr>
          <w:lang w:val="pl-PL"/>
        </w:rPr>
        <w:t>Lozovoy</w:t>
      </w:r>
      <w:r w:rsidR="00FD2B0C">
        <w:rPr>
          <w:lang w:val="pl-PL"/>
        </w:rPr>
        <w:t>’a</w:t>
      </w:r>
      <w:proofErr w:type="spellEnd"/>
      <w:r w:rsidR="00FD2B0C" w:rsidRPr="00E51B9F">
        <w:rPr>
          <w:lang w:val="pl-PL"/>
        </w:rPr>
        <w:t xml:space="preserve"> </w:t>
      </w:r>
      <w:r w:rsidRPr="00E51B9F">
        <w:rPr>
          <w:lang w:val="pl-PL"/>
        </w:rPr>
        <w:t>nie</w:t>
      </w:r>
      <w:r w:rsidR="0005400C">
        <w:rPr>
          <w:lang w:val="pl-PL"/>
        </w:rPr>
        <w:t> </w:t>
      </w:r>
      <w:r w:rsidRPr="00E51B9F">
        <w:rPr>
          <w:lang w:val="pl-PL"/>
        </w:rPr>
        <w:t>przyniosły żadnych rezultatów.</w:t>
      </w:r>
    </w:p>
    <w:p w14:paraId="39E6EB89" w14:textId="4FAB26D6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10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dniu 2 lutego 2006 r. skarżący skontaktowali się z panią L. i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poinformowali ją o zamiarze przyjazdu do </w:t>
      </w:r>
      <w:proofErr w:type="spellStart"/>
      <w:r w:rsidRPr="00E51B9F">
        <w:rPr>
          <w:lang w:val="pl-PL"/>
        </w:rPr>
        <w:t>Sankt</w:t>
      </w:r>
      <w:proofErr w:type="spellEnd"/>
      <w:r w:rsidRPr="00E51B9F">
        <w:rPr>
          <w:lang w:val="pl-PL"/>
        </w:rPr>
        <w:t xml:space="preserve"> Petersburga w celu wzięcia udziału w postępowaniu karnym.</w:t>
      </w:r>
    </w:p>
    <w:p w14:paraId="6AE6C9AC" w14:textId="61E76354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11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Pomimo zawiadomienia </w:t>
      </w:r>
      <w:r w:rsidR="001F0A0F">
        <w:rPr>
          <w:lang w:val="pl-PL"/>
        </w:rPr>
        <w:t xml:space="preserve">od </w:t>
      </w:r>
      <w:r w:rsidRPr="00E51B9F">
        <w:rPr>
          <w:lang w:val="pl-PL"/>
        </w:rPr>
        <w:t xml:space="preserve">skarżących, pięć dni później pani L. przesłała akta sprawy karnej do Sądu Rejonowego dla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w</w:t>
      </w:r>
      <w:r w:rsidR="0005400C">
        <w:rPr>
          <w:lang w:val="pl-PL"/>
        </w:rPr>
        <w:t> </w:t>
      </w:r>
      <w:r w:rsidRPr="00E51B9F">
        <w:rPr>
          <w:lang w:val="pl-PL"/>
        </w:rPr>
        <w:t>celu przeprowadzenia procesu.</w:t>
      </w:r>
    </w:p>
    <w:p w14:paraId="32D3C2B2" w14:textId="7DDBDA12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12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Po pewnym czasie skarżących zaproszono do wzięcia udziału w</w:t>
      </w:r>
      <w:r w:rsidR="0005400C">
        <w:rPr>
          <w:lang w:val="pl-PL"/>
        </w:rPr>
        <w:t> </w:t>
      </w:r>
      <w:r w:rsidRPr="00E51B9F">
        <w:rPr>
          <w:lang w:val="pl-PL"/>
        </w:rPr>
        <w:t>postępowaniu karnym w charakterze pokrzywdzonych.</w:t>
      </w:r>
    </w:p>
    <w:p w14:paraId="00E10035" w14:textId="0ADC2A28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13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W dniu 14 lutego 2006 r. skarżącym pozwolono na ekshumację szczątków syna. Dwa dni później pochowano go w </w:t>
      </w:r>
      <w:proofErr w:type="spellStart"/>
      <w:r w:rsidRPr="00E51B9F">
        <w:rPr>
          <w:lang w:val="pl-PL"/>
        </w:rPr>
        <w:t>Biełomorsku</w:t>
      </w:r>
      <w:proofErr w:type="spellEnd"/>
      <w:r w:rsidRPr="00E51B9F">
        <w:rPr>
          <w:lang w:val="pl-PL"/>
        </w:rPr>
        <w:t>.</w:t>
      </w:r>
    </w:p>
    <w:p w14:paraId="52D1A70D" w14:textId="1CFADB3B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14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W dniu 6 czerwca 2006 r. Sąd Rejonowy dla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uznał pana O. za winnego zamordowania syna skarżących i skazał go na sześć lat pozbawienia wolności.</w:t>
      </w:r>
    </w:p>
    <w:p w14:paraId="50028799" w14:textId="6D420589" w:rsidR="00BD5595" w:rsidRPr="00E51B9F" w:rsidRDefault="00BD5595" w:rsidP="00BD5595">
      <w:pPr>
        <w:pStyle w:val="ECHRPara"/>
        <w:rPr>
          <w:lang w:val="pl-PL"/>
        </w:rPr>
      </w:pPr>
      <w:bookmarkStart w:id="4" w:name="para15"/>
      <w:r w:rsidRPr="00E51B9F">
        <w:rPr>
          <w:noProof/>
          <w:lang w:val="pl-PL"/>
        </w:rPr>
        <w:t>15</w:t>
      </w:r>
      <w:bookmarkEnd w:id="4"/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tym samym dniu, w odpowiedzi na zażalenie skarżących na brak powiadomienia przez władze o śmierci syna, Sąd Rejonowy wydał postanowienie tymczasowe (</w:t>
      </w:r>
      <w:proofErr w:type="spellStart"/>
      <w:r w:rsidRPr="00E51B9F">
        <w:rPr>
          <w:i/>
          <w:iCs/>
          <w:lang w:val="pl-PL"/>
        </w:rPr>
        <w:t>частное</w:t>
      </w:r>
      <w:proofErr w:type="spellEnd"/>
      <w:r w:rsidRPr="00E51B9F">
        <w:rPr>
          <w:i/>
          <w:iCs/>
          <w:lang w:val="pl-PL"/>
        </w:rPr>
        <w:t xml:space="preserve"> </w:t>
      </w:r>
      <w:proofErr w:type="spellStart"/>
      <w:r w:rsidRPr="00E51B9F">
        <w:rPr>
          <w:i/>
          <w:iCs/>
          <w:lang w:val="pl-PL"/>
        </w:rPr>
        <w:t>постановление</w:t>
      </w:r>
      <w:proofErr w:type="spellEnd"/>
      <w:r w:rsidRPr="00E51B9F">
        <w:rPr>
          <w:lang w:val="pl-PL"/>
        </w:rPr>
        <w:t xml:space="preserve">) dotyczące śledczej, pani L. Decyzja przesłana do Prokuratury rejonowej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we</w:t>
      </w:r>
      <w:r w:rsidR="0005400C">
        <w:rPr>
          <w:lang w:val="pl-PL"/>
        </w:rPr>
        <w:t> </w:t>
      </w:r>
      <w:r w:rsidRPr="00E51B9F">
        <w:rPr>
          <w:lang w:val="pl-PL"/>
        </w:rPr>
        <w:t>właściwym zakresie brzmiała następująco:</w:t>
      </w:r>
    </w:p>
    <w:p w14:paraId="0C18D0C7" w14:textId="45CF7255" w:rsidR="00BD5595" w:rsidRPr="00E51B9F" w:rsidRDefault="00BD5595" w:rsidP="00BD5595">
      <w:pPr>
        <w:pStyle w:val="ECHRParaQuote"/>
        <w:rPr>
          <w:lang w:val="pl-PL"/>
        </w:rPr>
      </w:pPr>
      <w:r w:rsidRPr="00E51B9F">
        <w:rPr>
          <w:lang w:val="pl-PL"/>
        </w:rPr>
        <w:t>„Ponadto, [stwierdzenie], że śledcza, pani L., nie podjęła wystarczających kroków w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celu odnalezienia krewnych zmarłej osoby oraz że podjęte [przez nią] działania miały charakter formalistyczny, potwierdza nie tylko fakt, że decyzja o przyznaniu statusu pokrzywdzonego [przedstawicielowi organu władz miejskich] została podjęta przed otrzymaniem informacji od funkcjonariuszy policji, lecz również fakt, że akta sprawy karnej zawierały wystarczające informacje na temat [syna skarżących], na podstawie których można było ustalić miejsce zamieszkania jego krewnych ([zawierały one] </w:t>
      </w:r>
      <w:r w:rsidRPr="00E51B9F">
        <w:rPr>
          <w:lang w:val="pl-PL"/>
        </w:rPr>
        <w:lastRenderedPageBreak/>
        <w:t>wyjaśnienie pana O. z dnia 1 grudnia 2005 r., w którym udzielił on informacji na temat miejsca zamieszkania [syna skarżących]; oświadczenie pana O. z dnia 8 grudnia 2005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r., w którym stwierdził on, że przeciwko [synowi skarżących] toczyła się sprawa karna; oświadczenia świadka, pani A., która twierdziła, że od czasu do czasu matka [zmarłego] dzwoniła do mieszkania [zmarłego]; zaświadczenie o niekaralności [zmarłego], z którego wynika, że prokuratura rejonowa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w </w:t>
      </w:r>
      <w:proofErr w:type="spellStart"/>
      <w:r w:rsidRPr="00E51B9F">
        <w:rPr>
          <w:lang w:val="pl-PL"/>
        </w:rPr>
        <w:t>Sankt</w:t>
      </w:r>
      <w:proofErr w:type="spellEnd"/>
      <w:r w:rsidRPr="00E51B9F">
        <w:rPr>
          <w:lang w:val="pl-PL"/>
        </w:rPr>
        <w:t xml:space="preserve"> Petersburgu zastosowała wobec [syna skarżących] środek przymusu w formie pisemnego zobowiązania w sprawie karnej nr 137755; materiały w wyżej wymienionych aktach sprawy karnej zawierały kopię paszportu [syna skarżących] i</w:t>
      </w:r>
      <w:r w:rsidR="0005400C">
        <w:rPr>
          <w:lang w:val="pl-PL"/>
        </w:rPr>
        <w:t> </w:t>
      </w:r>
      <w:r w:rsidRPr="00E51B9F">
        <w:rPr>
          <w:lang w:val="pl-PL"/>
        </w:rPr>
        <w:t>tak</w:t>
      </w:r>
      <w:r w:rsidR="0005400C">
        <w:rPr>
          <w:lang w:val="pl-PL"/>
        </w:rPr>
        <w:t> </w:t>
      </w:r>
      <w:r w:rsidRPr="00E51B9F">
        <w:rPr>
          <w:lang w:val="pl-PL"/>
        </w:rPr>
        <w:t>dalej).</w:t>
      </w:r>
    </w:p>
    <w:p w14:paraId="2F0E0DC1" w14:textId="4261FCD2" w:rsidR="00BD5595" w:rsidRPr="00E51B9F" w:rsidRDefault="00BD5595" w:rsidP="00BD5595">
      <w:pPr>
        <w:pStyle w:val="ECHRParaQuote"/>
        <w:rPr>
          <w:lang w:val="pl-PL"/>
        </w:rPr>
      </w:pPr>
      <w:r w:rsidRPr="00E51B9F">
        <w:rPr>
          <w:lang w:val="pl-PL"/>
        </w:rPr>
        <w:t>Z powyższego wynika, że na etapie dochodzenia wstępnego prawa pokrzywdzonych przewidziane obowiązującymi przepisami prawa zostały znacząco naruszone.</w:t>
      </w:r>
    </w:p>
    <w:p w14:paraId="49326613" w14:textId="77777777" w:rsidR="00BD5595" w:rsidRPr="00E51B9F" w:rsidRDefault="00BD5595" w:rsidP="00BD5595">
      <w:pPr>
        <w:pStyle w:val="ECHRParaQuote"/>
        <w:rPr>
          <w:lang w:val="pl-PL"/>
        </w:rPr>
      </w:pPr>
      <w:r w:rsidRPr="00E51B9F">
        <w:rPr>
          <w:lang w:val="pl-PL"/>
        </w:rPr>
        <w:t>Powołując się art. 29 § 4 rosyjskiego Kodeksu postępowania karnego, [sąd] orzekł:</w:t>
      </w:r>
    </w:p>
    <w:p w14:paraId="2D82D340" w14:textId="442CEB3E" w:rsidR="00BD5595" w:rsidRPr="00E51B9F" w:rsidRDefault="00BD5595" w:rsidP="00BD5595">
      <w:pPr>
        <w:pStyle w:val="ECHRParaQuote"/>
        <w:numPr>
          <w:ilvl w:val="0"/>
          <w:numId w:val="17"/>
        </w:numPr>
        <w:suppressAutoHyphens/>
        <w:rPr>
          <w:lang w:val="pl-PL"/>
        </w:rPr>
      </w:pPr>
      <w:r w:rsidRPr="00E51B9F">
        <w:rPr>
          <w:lang w:val="pl-PL"/>
        </w:rPr>
        <w:t>iż o naruszeniach przepisów dotyczących postępowania karnego popełnionych w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toku wstępnego dochodzenia w sprawie karnej należy powiadomić prokuraturę rejonową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w </w:t>
      </w:r>
      <w:proofErr w:type="spellStart"/>
      <w:r w:rsidRPr="00E51B9F">
        <w:rPr>
          <w:lang w:val="pl-PL"/>
        </w:rPr>
        <w:t>Sankt</w:t>
      </w:r>
      <w:proofErr w:type="spellEnd"/>
      <w:r w:rsidRPr="00E51B9F">
        <w:rPr>
          <w:lang w:val="pl-PL"/>
        </w:rPr>
        <w:t xml:space="preserve"> Petersburgu;</w:t>
      </w:r>
    </w:p>
    <w:p w14:paraId="0EEF0AC1" w14:textId="77777777" w:rsidR="00BD5595" w:rsidRPr="00E51B9F" w:rsidRDefault="00BD5595" w:rsidP="00BD5595">
      <w:pPr>
        <w:pStyle w:val="ECHRParaQuote"/>
        <w:numPr>
          <w:ilvl w:val="0"/>
          <w:numId w:val="17"/>
        </w:numPr>
        <w:suppressAutoHyphens/>
        <w:rPr>
          <w:lang w:val="pl-PL"/>
        </w:rPr>
      </w:pPr>
      <w:r w:rsidRPr="00E51B9F">
        <w:rPr>
          <w:lang w:val="pl-PL"/>
        </w:rPr>
        <w:t xml:space="preserve">że Sąd Rejonowy dla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w </w:t>
      </w:r>
      <w:proofErr w:type="spellStart"/>
      <w:r w:rsidRPr="00E51B9F">
        <w:rPr>
          <w:lang w:val="pl-PL"/>
        </w:rPr>
        <w:t>Sankt</w:t>
      </w:r>
      <w:proofErr w:type="spellEnd"/>
      <w:r w:rsidRPr="00E51B9F">
        <w:rPr>
          <w:lang w:val="pl-PL"/>
        </w:rPr>
        <w:t xml:space="preserve"> Petersburgu powinien zostać poinformowany o podjętych środkach w terminie nie dłuższym niż jeden miesiąc od daty otrzymania niniejszej decyzji”.</w:t>
      </w:r>
    </w:p>
    <w:p w14:paraId="037C530D" w14:textId="0A497308" w:rsidR="00BD5595" w:rsidRPr="00E51B9F" w:rsidRDefault="00BD5595" w:rsidP="00BD5595">
      <w:pPr>
        <w:pStyle w:val="ECHRHeading2"/>
        <w:rPr>
          <w:lang w:val="pl-PL"/>
        </w:rPr>
      </w:pPr>
      <w:r w:rsidRPr="007F551A">
        <w:rPr>
          <w:lang w:val="pl-PL"/>
        </w:rPr>
        <w:t>B.</w:t>
      </w:r>
      <w:r w:rsidR="006D5180" w:rsidRPr="007F551A">
        <w:rPr>
          <w:lang w:val="pl-PL"/>
        </w:rPr>
        <w:t xml:space="preserve"> </w:t>
      </w:r>
      <w:r w:rsidRPr="007F551A">
        <w:rPr>
          <w:lang w:val="pl-PL"/>
        </w:rPr>
        <w:t>Postępowanie o odszkodowanie</w:t>
      </w:r>
    </w:p>
    <w:p w14:paraId="538AD165" w14:textId="7361CAA7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16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W 2007 r. skarżący wnieśli skargę przeciwko Prokuraturze Generalnej i Ministerstwu Finansów, domagając się odszkodowania i zadośćuczynienia za krzywdę. Powołując się na postanowienie tymczasowe Sądu Rejonowego dla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z dnia 6 czerwca 2006 r., skarżący argumentowali, że w wyniku braku niezwłocznego powiadomienia ich przez śledczą o</w:t>
      </w:r>
      <w:r w:rsidR="0005400C">
        <w:rPr>
          <w:lang w:val="pl-PL"/>
        </w:rPr>
        <w:t> </w:t>
      </w:r>
      <w:r w:rsidRPr="00E51B9F">
        <w:rPr>
          <w:lang w:val="pl-PL"/>
        </w:rPr>
        <w:t>śmierci syna, ponieśli szkodę majątkową, ponieważ zostali zmuszeni do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pokrycia kosztów ekshumacji i transportu szczątków syna z </w:t>
      </w:r>
      <w:proofErr w:type="spellStart"/>
      <w:r w:rsidRPr="00E51B9F">
        <w:rPr>
          <w:lang w:val="pl-PL"/>
        </w:rPr>
        <w:t>Sankt</w:t>
      </w:r>
      <w:proofErr w:type="spellEnd"/>
      <w:r w:rsidRPr="00E51B9F">
        <w:rPr>
          <w:lang w:val="pl-PL"/>
        </w:rPr>
        <w:t xml:space="preserve"> Petersburga do </w:t>
      </w:r>
      <w:proofErr w:type="spellStart"/>
      <w:r w:rsidRPr="00E51B9F">
        <w:rPr>
          <w:lang w:val="pl-PL"/>
        </w:rPr>
        <w:t>Biełomorska</w:t>
      </w:r>
      <w:proofErr w:type="spellEnd"/>
      <w:r w:rsidRPr="00E51B9F">
        <w:rPr>
          <w:lang w:val="pl-PL"/>
        </w:rPr>
        <w:t>. Ponadto ponieśli straty niemajątkowe, ponieważ przez długi czas nie wiedzieli, gdzie przebywa ich syn i zostali zmuszeni do rozpoczęcia poszukiwań; nie byli również w stanie odpowiednio pożegnać się z synem i zapewnić mu przyzwoit</w:t>
      </w:r>
      <w:r w:rsidR="007F551A">
        <w:rPr>
          <w:lang w:val="pl-PL"/>
        </w:rPr>
        <w:t>ego pochówku</w:t>
      </w:r>
      <w:r w:rsidRPr="00E51B9F">
        <w:rPr>
          <w:lang w:val="pl-PL"/>
        </w:rPr>
        <w:t>; zostali zmuszeni do poddania się trwającej dwa tygodnie procedurze biurokratycznej w celu uzyskania pozwolenia na ekshumację szczątków syna, a następnie, po</w:t>
      </w:r>
      <w:r w:rsidR="0005400C">
        <w:rPr>
          <w:lang w:val="pl-PL"/>
        </w:rPr>
        <w:t> </w:t>
      </w:r>
      <w:r w:rsidRPr="00E51B9F">
        <w:rPr>
          <w:lang w:val="pl-PL"/>
        </w:rPr>
        <w:t>ekshumacji, zmuszeni do zidentyfikowania jego zniekształconych szczątków.</w:t>
      </w:r>
    </w:p>
    <w:p w14:paraId="0F8FE7F6" w14:textId="51867B6C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17</w:t>
      </w:r>
      <w:r w:rsidRPr="007519F2">
        <w:rPr>
          <w:lang w:val="pl-PL"/>
        </w:rPr>
        <w:t>.</w:t>
      </w:r>
      <w:r w:rsidR="006D5180" w:rsidRPr="007519F2">
        <w:rPr>
          <w:lang w:val="pl-PL"/>
        </w:rPr>
        <w:t xml:space="preserve"> </w:t>
      </w:r>
      <w:r w:rsidRPr="007519F2">
        <w:rPr>
          <w:lang w:val="pl-PL"/>
        </w:rPr>
        <w:t>W dniu 5 lutego</w:t>
      </w:r>
      <w:r w:rsidRPr="00E51B9F">
        <w:rPr>
          <w:lang w:val="pl-PL"/>
        </w:rPr>
        <w:t xml:space="preserve"> 2008 r. Sąd Rejonowy dla rejonu twerskiego w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Moskwie oddalił powództwo, uznając, że śledcza nie popełniła żadnych czynów niezgodnych z prawem i że </w:t>
      </w:r>
      <w:r w:rsidR="00FF1FF5">
        <w:rPr>
          <w:lang w:val="pl-PL"/>
        </w:rPr>
        <w:t xml:space="preserve">w żadnym prawomocnym orzeczeniu </w:t>
      </w:r>
      <w:r w:rsidRPr="00E51B9F">
        <w:rPr>
          <w:lang w:val="pl-PL"/>
        </w:rPr>
        <w:t>sąd</w:t>
      </w:r>
      <w:r w:rsidR="00FF1FF5">
        <w:rPr>
          <w:lang w:val="pl-PL"/>
        </w:rPr>
        <w:t>u krajowego nie stwierdzono przeciwnie</w:t>
      </w:r>
      <w:r w:rsidRPr="00E51B9F">
        <w:rPr>
          <w:lang w:val="pl-PL"/>
        </w:rPr>
        <w:t>.</w:t>
      </w:r>
    </w:p>
    <w:p w14:paraId="1EC27ACC" w14:textId="7CCF3580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18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dniu 20 maja 2008 r. Sąd dla miasta Moskwy utrzymał wyrok w</w:t>
      </w:r>
      <w:r w:rsidR="0005400C">
        <w:rPr>
          <w:lang w:val="pl-PL"/>
        </w:rPr>
        <w:t> </w:t>
      </w:r>
      <w:r w:rsidRPr="00E51B9F">
        <w:rPr>
          <w:lang w:val="pl-PL"/>
        </w:rPr>
        <w:t>mocy, podtrzymując uzasadnienie Sądu Rejonowego.</w:t>
      </w:r>
    </w:p>
    <w:p w14:paraId="25EDA0F4" w14:textId="34446729" w:rsidR="00BD5595" w:rsidRPr="00E51B9F" w:rsidRDefault="00BD5595" w:rsidP="00BD5595">
      <w:pPr>
        <w:pStyle w:val="ECHRHeading1"/>
        <w:rPr>
          <w:lang w:val="pl-PL"/>
        </w:rPr>
      </w:pPr>
      <w:r w:rsidRPr="00E51B9F">
        <w:rPr>
          <w:bCs w:val="0"/>
          <w:lang w:val="pl-PL"/>
        </w:rPr>
        <w:lastRenderedPageBreak/>
        <w:t>II.</w:t>
      </w:r>
      <w:r w:rsidR="006D5180">
        <w:rPr>
          <w:bCs w:val="0"/>
          <w:lang w:val="pl-PL"/>
        </w:rPr>
        <w:t xml:space="preserve"> </w:t>
      </w:r>
      <w:r w:rsidRPr="00E51B9F">
        <w:rPr>
          <w:bCs w:val="0"/>
          <w:lang w:val="pl-PL"/>
        </w:rPr>
        <w:t>WŁAŚCIWE PRAWO KRAJOWE</w:t>
      </w:r>
    </w:p>
    <w:p w14:paraId="28447700" w14:textId="2012094A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t>A.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Rosyjski Kodeks postępowania karnego („k.p.k</w:t>
      </w:r>
      <w:r w:rsidR="00EE2D2B">
        <w:rPr>
          <w:lang w:val="pl-PL"/>
        </w:rPr>
        <w:t>.</w:t>
      </w:r>
      <w:r w:rsidR="006D5180">
        <w:rPr>
          <w:lang w:val="pl-PL"/>
        </w:rPr>
        <w:t>”</w:t>
      </w:r>
      <w:r w:rsidRPr="00E51B9F">
        <w:rPr>
          <w:lang w:val="pl-PL"/>
        </w:rPr>
        <w:t>)</w:t>
      </w:r>
    </w:p>
    <w:p w14:paraId="659603FA" w14:textId="7E1FA217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19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K.p.k., w brzmieniu obowiązującym w danym czasie, nie nakładał na</w:t>
      </w:r>
      <w:r w:rsidR="0005400C">
        <w:rPr>
          <w:lang w:val="pl-PL"/>
        </w:rPr>
        <w:t> </w:t>
      </w:r>
      <w:r w:rsidRPr="00E51B9F">
        <w:rPr>
          <w:lang w:val="pl-PL"/>
        </w:rPr>
        <w:t>władze krajowe wyraźnego obowiązku powiadamiania krewnych o</w:t>
      </w:r>
      <w:r w:rsidR="0005400C">
        <w:rPr>
          <w:lang w:val="pl-PL"/>
        </w:rPr>
        <w:t> </w:t>
      </w:r>
      <w:r w:rsidRPr="00E51B9F">
        <w:rPr>
          <w:lang w:val="pl-PL"/>
        </w:rPr>
        <w:t>śmierci osoby, która zmarła w wyniku czynu zabronionego. Jednakże, jak</w:t>
      </w:r>
      <w:r w:rsidR="0005400C">
        <w:rPr>
          <w:lang w:val="pl-PL"/>
        </w:rPr>
        <w:t> </w:t>
      </w:r>
      <w:r w:rsidRPr="00E51B9F">
        <w:rPr>
          <w:lang w:val="pl-PL"/>
        </w:rPr>
        <w:t>wynikało z innych przepisów k.p.k., identyfikacja krewnych była konieczna w większości przypadków śmierci w wyniku użycia przemocy, ponieważ w takim razie rolę pokrzywdzonego w postępowaniu przejmowali krewni.</w:t>
      </w:r>
    </w:p>
    <w:p w14:paraId="47238AE0" w14:textId="70A0E12E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20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art. 5 k.p.k. zawarto definicję „bliskich krewnych”, wskazując na</w:t>
      </w:r>
      <w:r w:rsidR="0005400C">
        <w:rPr>
          <w:lang w:val="pl-PL"/>
        </w:rPr>
        <w:t> </w:t>
      </w:r>
      <w:r w:rsidRPr="00E51B9F">
        <w:rPr>
          <w:lang w:val="pl-PL"/>
        </w:rPr>
        <w:t>małżonków, rodziców, dzieci, rodziców adopcyjnych, dzieci adoptowane, braci i siostry, dziadków i wnuków.</w:t>
      </w:r>
    </w:p>
    <w:p w14:paraId="39939349" w14:textId="753FC753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21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art. 42 § 1 k.p.k. zdefiniowano „pokrzywdzonego” jako osobę fizyczną, która w wyniku przestępstwa poniosła szkodę fizyczną, majątkową lub niemajątkową. Decyzję o uznaniu osoby fizycznej za pokrzywdzonego może podjąć prowadzący dochodzenie, śledczy, prokurator lub sąd.</w:t>
      </w:r>
    </w:p>
    <w:p w14:paraId="6D861E2D" w14:textId="1182B021" w:rsidR="00BD5595" w:rsidRPr="00E51B9F" w:rsidRDefault="00BD5595" w:rsidP="00BD5595">
      <w:pPr>
        <w:pStyle w:val="ECHRPara"/>
        <w:rPr>
          <w:lang w:val="pl-PL"/>
        </w:rPr>
      </w:pPr>
      <w:bookmarkStart w:id="5" w:name="para20"/>
      <w:r w:rsidRPr="00E51B9F">
        <w:rPr>
          <w:noProof/>
          <w:lang w:val="pl-PL"/>
        </w:rPr>
        <w:t>22</w:t>
      </w:r>
      <w:bookmarkEnd w:id="5"/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Zgodnie z art. 42 § 8 k.p.k. w sprawach dotyczących przestępstw, które spowodowały śmierć osoby, prawa pokrzywdzonego należy przenieść na</w:t>
      </w:r>
      <w:r w:rsidR="0005400C">
        <w:rPr>
          <w:lang w:val="pl-PL"/>
        </w:rPr>
        <w:t> </w:t>
      </w:r>
      <w:r w:rsidRPr="00E51B9F">
        <w:rPr>
          <w:lang w:val="pl-PL"/>
        </w:rPr>
        <w:t>jednego z jej bliskich krewnych.</w:t>
      </w:r>
    </w:p>
    <w:p w14:paraId="4D408933" w14:textId="09672713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23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odniesieniu do uprawnień proceduralnych sądu pierwszej instancji w sprawach karnych, art. 29 § 4 k.p.k. przewidywał, że w przypadku</w:t>
      </w:r>
      <w:r w:rsidR="00FF1FF5">
        <w:rPr>
          <w:lang w:val="pl-PL"/>
        </w:rPr>
        <w:t>,</w:t>
      </w:r>
      <w:r w:rsidRPr="00E51B9F">
        <w:rPr>
          <w:lang w:val="pl-PL"/>
        </w:rPr>
        <w:t xml:space="preserve"> gdy</w:t>
      </w:r>
      <w:r w:rsidR="0005400C">
        <w:rPr>
          <w:lang w:val="pl-PL"/>
        </w:rPr>
        <w:t> </w:t>
      </w:r>
      <w:r w:rsidRPr="00E51B9F">
        <w:rPr>
          <w:lang w:val="pl-PL"/>
        </w:rPr>
        <w:t>proces w sprawie karnej ujawni okoliczności ułatwiające popełnienie przestępstwa lub naruszenie praw i wolności obywatelskich, sąd może wydać postanowienie tymczasowe celem zwrócenia uwagi właściwych organizacji i</w:t>
      </w:r>
      <w:r w:rsidR="0005400C">
        <w:rPr>
          <w:lang w:val="pl-PL"/>
        </w:rPr>
        <w:t> </w:t>
      </w:r>
      <w:r w:rsidRPr="00E51B9F">
        <w:rPr>
          <w:lang w:val="pl-PL"/>
        </w:rPr>
        <w:t>urzędników na takie okoliczności lub naruszenia prawa, które wymagają podjęcia odpowiednich środków.</w:t>
      </w:r>
    </w:p>
    <w:p w14:paraId="3FDC5640" w14:textId="5552C8E9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t>B.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Ustawa o pochówku i pogrzebach</w:t>
      </w:r>
    </w:p>
    <w:p w14:paraId="02E59E3C" w14:textId="5448E83C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24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Zasady organizacji obrzędów pogrzebowych w Rosji regulowała w</w:t>
      </w:r>
      <w:r w:rsidR="0005400C">
        <w:rPr>
          <w:lang w:val="pl-PL"/>
        </w:rPr>
        <w:t> </w:t>
      </w:r>
      <w:r w:rsidRPr="00E51B9F">
        <w:rPr>
          <w:lang w:val="pl-PL"/>
        </w:rPr>
        <w:t>danym czasie ustawa o pochówku i pogrzebach (ustawa federalna nr 8-</w:t>
      </w:r>
      <w:proofErr w:type="spellStart"/>
      <w:r w:rsidRPr="00E51B9F">
        <w:rPr>
          <w:lang w:val="pl-PL"/>
        </w:rPr>
        <w:t>FZ</w:t>
      </w:r>
      <w:proofErr w:type="spellEnd"/>
      <w:r w:rsidRPr="00E51B9F">
        <w:rPr>
          <w:lang w:val="pl-PL"/>
        </w:rPr>
        <w:t xml:space="preserve"> z 12 stycznia 1996 r. - </w:t>
      </w:r>
      <w:proofErr w:type="spellStart"/>
      <w:r w:rsidRPr="00E51B9F">
        <w:rPr>
          <w:i/>
          <w:iCs/>
          <w:lang w:val="pl-PL"/>
        </w:rPr>
        <w:t>Федеральный</w:t>
      </w:r>
      <w:proofErr w:type="spellEnd"/>
      <w:r w:rsidRPr="00E51B9F">
        <w:rPr>
          <w:i/>
          <w:iCs/>
          <w:lang w:val="pl-PL"/>
        </w:rPr>
        <w:t xml:space="preserve"> </w:t>
      </w:r>
      <w:proofErr w:type="spellStart"/>
      <w:r w:rsidRPr="00E51B9F">
        <w:rPr>
          <w:i/>
          <w:iCs/>
          <w:lang w:val="pl-PL"/>
        </w:rPr>
        <w:t>закон</w:t>
      </w:r>
      <w:proofErr w:type="spellEnd"/>
      <w:r w:rsidRPr="00E51B9F">
        <w:rPr>
          <w:i/>
          <w:iCs/>
          <w:lang w:val="pl-PL"/>
        </w:rPr>
        <w:t xml:space="preserve"> </w:t>
      </w:r>
      <w:proofErr w:type="spellStart"/>
      <w:r w:rsidRPr="00E51B9F">
        <w:rPr>
          <w:i/>
          <w:iCs/>
          <w:lang w:val="pl-PL"/>
        </w:rPr>
        <w:t>от</w:t>
      </w:r>
      <w:proofErr w:type="spellEnd"/>
      <w:r w:rsidRPr="00E51B9F">
        <w:rPr>
          <w:i/>
          <w:iCs/>
          <w:lang w:val="pl-PL"/>
        </w:rPr>
        <w:t xml:space="preserve"> 12.01.1996 № 8-</w:t>
      </w:r>
      <w:proofErr w:type="spellStart"/>
      <w:r w:rsidRPr="00E51B9F">
        <w:rPr>
          <w:i/>
          <w:iCs/>
          <w:lang w:val="pl-PL"/>
        </w:rPr>
        <w:t>ФЗ</w:t>
      </w:r>
      <w:proofErr w:type="spellEnd"/>
      <w:r w:rsidRPr="00E51B9F">
        <w:rPr>
          <w:i/>
          <w:iCs/>
          <w:lang w:val="pl-PL"/>
        </w:rPr>
        <w:t xml:space="preserve"> „О</w:t>
      </w:r>
      <w:r w:rsidR="0005400C">
        <w:rPr>
          <w:i/>
          <w:iCs/>
          <w:lang w:val="pl-PL"/>
        </w:rPr>
        <w:t> </w:t>
      </w:r>
      <w:proofErr w:type="spellStart"/>
      <w:r w:rsidRPr="00E51B9F">
        <w:rPr>
          <w:i/>
          <w:iCs/>
          <w:lang w:val="pl-PL"/>
        </w:rPr>
        <w:t>погребении</w:t>
      </w:r>
      <w:proofErr w:type="spellEnd"/>
      <w:r w:rsidRPr="00E51B9F">
        <w:rPr>
          <w:i/>
          <w:iCs/>
          <w:lang w:val="pl-PL"/>
        </w:rPr>
        <w:t xml:space="preserve"> и </w:t>
      </w:r>
      <w:proofErr w:type="spellStart"/>
      <w:r w:rsidRPr="00E51B9F">
        <w:rPr>
          <w:i/>
          <w:iCs/>
          <w:lang w:val="pl-PL"/>
        </w:rPr>
        <w:t>похоронном</w:t>
      </w:r>
      <w:proofErr w:type="spellEnd"/>
      <w:r w:rsidRPr="00E51B9F">
        <w:rPr>
          <w:i/>
          <w:iCs/>
          <w:lang w:val="pl-PL"/>
        </w:rPr>
        <w:t xml:space="preserve"> </w:t>
      </w:r>
      <w:proofErr w:type="spellStart"/>
      <w:r w:rsidRPr="00E51B9F">
        <w:rPr>
          <w:i/>
          <w:iCs/>
          <w:lang w:val="pl-PL"/>
        </w:rPr>
        <w:t>деле</w:t>
      </w:r>
      <w:proofErr w:type="spellEnd"/>
      <w:r w:rsidRPr="00E51B9F">
        <w:rPr>
          <w:i/>
          <w:iCs/>
          <w:lang w:val="pl-PL"/>
        </w:rPr>
        <w:t>”</w:t>
      </w:r>
      <w:r w:rsidRPr="00E51B9F">
        <w:rPr>
          <w:lang w:val="pl-PL"/>
        </w:rPr>
        <w:t>).</w:t>
      </w:r>
    </w:p>
    <w:p w14:paraId="3DF41420" w14:textId="484264DC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25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Zgodnie z art. 12 ust. 1 ustawy, w przypadku braku małżonka, krewnego lub przedstawiciela ustawowego lub niemożności dokonania niezbędnych ustaleń dotyczących pogrzebu, pogrzeb zmarłego organizuje specjalna agencja ds. pochówku, w terminie trzech dni od daty ustalenia przyczyny zgonu.</w:t>
      </w:r>
    </w:p>
    <w:p w14:paraId="57B4EF89" w14:textId="77777777" w:rsidR="00BD5595" w:rsidRPr="00E51B9F" w:rsidRDefault="00BD5595" w:rsidP="00BD5595">
      <w:pPr>
        <w:pStyle w:val="ECHRTitle1"/>
        <w:rPr>
          <w:lang w:val="pl-PL"/>
        </w:rPr>
      </w:pPr>
      <w:r w:rsidRPr="00E51B9F">
        <w:rPr>
          <w:lang w:val="pl-PL"/>
        </w:rPr>
        <w:lastRenderedPageBreak/>
        <w:t>PRAWO</w:t>
      </w:r>
    </w:p>
    <w:p w14:paraId="5356386E" w14:textId="266CFD1F" w:rsidR="00BD5595" w:rsidRPr="00E51B9F" w:rsidRDefault="00BD5595" w:rsidP="00BD5595">
      <w:pPr>
        <w:pStyle w:val="ECHRHeading1"/>
        <w:rPr>
          <w:lang w:val="pl-PL"/>
        </w:rPr>
      </w:pPr>
      <w:r w:rsidRPr="00E51B9F">
        <w:rPr>
          <w:bCs w:val="0"/>
          <w:lang w:val="pl-PL"/>
        </w:rPr>
        <w:t>I.</w:t>
      </w:r>
      <w:r w:rsidR="006D5180">
        <w:rPr>
          <w:bCs w:val="0"/>
          <w:lang w:val="pl-PL"/>
        </w:rPr>
        <w:t xml:space="preserve"> </w:t>
      </w:r>
      <w:r w:rsidRPr="00E51B9F">
        <w:rPr>
          <w:bCs w:val="0"/>
          <w:lang w:val="pl-PL"/>
        </w:rPr>
        <w:t>ZARZUT NARUSZENIA</w:t>
      </w:r>
      <w:r w:rsidR="00E52A73">
        <w:rPr>
          <w:bCs w:val="0"/>
          <w:lang w:val="pl-PL"/>
        </w:rPr>
        <w:t xml:space="preserve"> ART.</w:t>
      </w:r>
      <w:r w:rsidRPr="00E51B9F">
        <w:rPr>
          <w:bCs w:val="0"/>
          <w:lang w:val="pl-PL"/>
        </w:rPr>
        <w:t xml:space="preserve"> 8 KONWENCJI</w:t>
      </w:r>
    </w:p>
    <w:p w14:paraId="2DBFAFC0" w14:textId="568E4B9C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26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Skarżący </w:t>
      </w:r>
      <w:r w:rsidR="00F47695">
        <w:rPr>
          <w:lang w:val="pl-PL"/>
        </w:rPr>
        <w:t>zarzucali naruszenie</w:t>
      </w:r>
      <w:r w:rsidRPr="00E51B9F">
        <w:rPr>
          <w:lang w:val="pl-PL"/>
        </w:rPr>
        <w:t xml:space="preserve"> art. 6 i 13 Konwencji w tym względzie, że władze nie powiadomiły ich należycie o śmierci ich syna, w wyniku czego pozostawiono ich w stanie niewiedzy co do miejsca pobytu ich syna przez bardzo długi czas, a także pozbawiono ich możliwości należytego pochówku syna.</w:t>
      </w:r>
    </w:p>
    <w:p w14:paraId="2DC61FC9" w14:textId="68D7EF59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27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Zważywszy, że </w:t>
      </w:r>
      <w:r w:rsidR="00F47695">
        <w:rPr>
          <w:lang w:val="pl-PL"/>
        </w:rPr>
        <w:t xml:space="preserve">to do </w:t>
      </w:r>
      <w:r w:rsidRPr="00E51B9F">
        <w:rPr>
          <w:lang w:val="pl-PL"/>
        </w:rPr>
        <w:t>Trybunał</w:t>
      </w:r>
      <w:r w:rsidR="00F47695">
        <w:rPr>
          <w:lang w:val="pl-PL"/>
        </w:rPr>
        <w:t>u należy</w:t>
      </w:r>
      <w:r w:rsidRPr="00E51B9F">
        <w:rPr>
          <w:lang w:val="pl-PL"/>
        </w:rPr>
        <w:t xml:space="preserve"> </w:t>
      </w:r>
      <w:r w:rsidR="00F47695">
        <w:rPr>
          <w:lang w:val="pl-PL"/>
        </w:rPr>
        <w:t>wskazanie przepisów prawa właściwych</w:t>
      </w:r>
      <w:r w:rsidRPr="00E51B9F">
        <w:rPr>
          <w:lang w:val="pl-PL"/>
        </w:rPr>
        <w:t xml:space="preserve"> z punktu widzenia faktów danej sprawy (zob. </w:t>
      </w:r>
      <w:proofErr w:type="spellStart"/>
      <w:r w:rsidRPr="00E51B9F">
        <w:rPr>
          <w:i/>
          <w:iCs/>
          <w:lang w:val="pl-PL"/>
        </w:rPr>
        <w:t>Bouyid</w:t>
      </w:r>
      <w:proofErr w:type="spellEnd"/>
      <w:r w:rsidRPr="00E51B9F">
        <w:rPr>
          <w:i/>
          <w:iCs/>
          <w:lang w:val="pl-PL"/>
        </w:rPr>
        <w:t xml:space="preserve"> przeciwko Belgii</w:t>
      </w:r>
      <w:r w:rsidRPr="00E51B9F">
        <w:rPr>
          <w:lang w:val="pl-PL"/>
        </w:rPr>
        <w:t xml:space="preserve"> [</w:t>
      </w:r>
      <w:proofErr w:type="spellStart"/>
      <w:r w:rsidRPr="00E51B9F">
        <w:rPr>
          <w:lang w:val="pl-PL"/>
        </w:rPr>
        <w:t>WI</w:t>
      </w:r>
      <w:proofErr w:type="spellEnd"/>
      <w:r w:rsidRPr="00E51B9F">
        <w:rPr>
          <w:lang w:val="pl-PL"/>
        </w:rPr>
        <w:t xml:space="preserve">], nr 23380/09, § 55, </w:t>
      </w:r>
      <w:r w:rsidR="0021184D">
        <w:rPr>
          <w:lang w:val="pl-PL"/>
        </w:rPr>
        <w:t>ETPC</w:t>
      </w:r>
      <w:r w:rsidRPr="00E51B9F">
        <w:rPr>
          <w:lang w:val="pl-PL"/>
        </w:rPr>
        <w:t xml:space="preserve"> 2015 r.), uznaje </w:t>
      </w:r>
      <w:r w:rsidR="00F47695">
        <w:rPr>
          <w:lang w:val="pl-PL"/>
        </w:rPr>
        <w:t xml:space="preserve">on </w:t>
      </w:r>
      <w:r w:rsidRPr="00E51B9F">
        <w:rPr>
          <w:lang w:val="pl-PL"/>
        </w:rPr>
        <w:t>za właściwe zbadanie zarzutów skarżących w świetle art. 8 Konwencji, który brzmi następująco:</w:t>
      </w:r>
    </w:p>
    <w:p w14:paraId="24BE1CFD" w14:textId="3F061B13" w:rsidR="00BD5595" w:rsidRPr="00E51B9F" w:rsidRDefault="00BD5595" w:rsidP="00BD5595">
      <w:pPr>
        <w:pStyle w:val="ECHRParaQuote"/>
        <w:rPr>
          <w:lang w:val="pl-PL"/>
        </w:rPr>
      </w:pPr>
      <w:r w:rsidRPr="00E51B9F">
        <w:rPr>
          <w:lang w:val="pl-PL"/>
        </w:rPr>
        <w:t>„1.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Każdy ma prawo do poszanowania swojego życia rodzinnego i prywatnego, swojego mieszkania i swojej korespondencji.</w:t>
      </w:r>
    </w:p>
    <w:p w14:paraId="2C6AEDE1" w14:textId="0AF17E7D" w:rsidR="00BD5595" w:rsidRPr="00E51B9F" w:rsidRDefault="00BD5595" w:rsidP="00BD5595">
      <w:pPr>
        <w:pStyle w:val="ECHRParaQuote"/>
        <w:rPr>
          <w:lang w:val="pl-PL"/>
        </w:rPr>
      </w:pPr>
      <w:r w:rsidRPr="00E51B9F">
        <w:rPr>
          <w:lang w:val="pl-PL"/>
        </w:rPr>
        <w:t>2.</w:t>
      </w:r>
      <w:r w:rsidR="006D5180">
        <w:rPr>
          <w:lang w:val="pl-PL"/>
        </w:rPr>
        <w:t xml:space="preserve"> </w:t>
      </w:r>
      <w:r w:rsidR="006D5180" w:rsidRPr="006D5180">
        <w:rPr>
          <w:lang w:val="pl-PL"/>
        </w:rPr>
        <w:t xml:space="preserve">Niedopuszczalna jest ingerencja władzy publicznej w korzystanie z tego prawa, </w:t>
      </w:r>
      <w:r w:rsidR="0005400C">
        <w:rPr>
          <w:lang w:val="pl-PL"/>
        </w:rPr>
        <w:t> z </w:t>
      </w:r>
      <w:r w:rsidR="006D5180" w:rsidRPr="006D5180">
        <w:rPr>
          <w:lang w:val="pl-PL"/>
        </w:rPr>
        <w:t>wyjątkiem przypadków przewidzianych przez ustawę i koniecznych w</w:t>
      </w:r>
      <w:r w:rsidR="0005400C">
        <w:rPr>
          <w:lang w:val="pl-PL"/>
        </w:rPr>
        <w:t> </w:t>
      </w:r>
      <w:r w:rsidR="006D5180" w:rsidRPr="006D5180">
        <w:rPr>
          <w:lang w:val="pl-PL"/>
        </w:rPr>
        <w:t>demokratycznym społeczeństwie z uwagi na bezpieczeństwo państwowe, bezpieczeństwo publiczne lub dobrobyt gospodarczy kraju, ochronę porządku i</w:t>
      </w:r>
      <w:r w:rsidR="0005400C">
        <w:rPr>
          <w:lang w:val="pl-PL"/>
        </w:rPr>
        <w:t> </w:t>
      </w:r>
      <w:r w:rsidR="006D5180" w:rsidRPr="006D5180">
        <w:rPr>
          <w:lang w:val="pl-PL"/>
        </w:rPr>
        <w:t>zapobieganie przestępstwom, ochronę zdrowia i moralności lub ochronę praw i</w:t>
      </w:r>
      <w:r w:rsidR="0005400C">
        <w:rPr>
          <w:lang w:val="pl-PL"/>
        </w:rPr>
        <w:t> </w:t>
      </w:r>
      <w:r w:rsidR="006D5180" w:rsidRPr="006D5180">
        <w:rPr>
          <w:lang w:val="pl-PL"/>
        </w:rPr>
        <w:t>wolności innych osób</w:t>
      </w:r>
      <w:r w:rsidR="006D5180">
        <w:rPr>
          <w:lang w:val="pl-PL"/>
        </w:rPr>
        <w:t>”.</w:t>
      </w:r>
    </w:p>
    <w:p w14:paraId="1D348DA8" w14:textId="6D8E3C9A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t>A.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Oświadczenia stron</w:t>
      </w:r>
    </w:p>
    <w:p w14:paraId="042B335C" w14:textId="7294DAB8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28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Rząd twierdził, że władze działały sumiennie i dołożyły wszelkich starań, aby odnaleźć krewnych </w:t>
      </w:r>
      <w:r w:rsidR="00F47695">
        <w:rPr>
          <w:lang w:val="pl-PL"/>
        </w:rPr>
        <w:t xml:space="preserve">pana </w:t>
      </w:r>
      <w:r w:rsidRPr="00E51B9F">
        <w:rPr>
          <w:lang w:val="pl-PL"/>
        </w:rPr>
        <w:t xml:space="preserve">M. </w:t>
      </w:r>
      <w:proofErr w:type="spellStart"/>
      <w:r w:rsidR="00FD2B0C" w:rsidRPr="00FD2B0C">
        <w:rPr>
          <w:lang w:val="pl-PL"/>
        </w:rPr>
        <w:t>Lozovoy</w:t>
      </w:r>
      <w:r w:rsidR="00FD2B0C">
        <w:rPr>
          <w:lang w:val="pl-PL"/>
        </w:rPr>
        <w:t>’a</w:t>
      </w:r>
      <w:proofErr w:type="spellEnd"/>
      <w:r w:rsidRPr="00E51B9F">
        <w:rPr>
          <w:lang w:val="pl-PL"/>
        </w:rPr>
        <w:t>. Gdy poszukiwania okazały się bezowocne, [władze] zorganizowały pogrzeb. Z kolei skarżący nie utrzymywali z synem regularnych kontaktów i zaczęli go szukać dopiero po upływie dwóch miesięcy od jego śmierci.</w:t>
      </w:r>
    </w:p>
    <w:p w14:paraId="085E1549" w14:textId="7109EFF3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29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Skarżący podtrzymali pierwotny zarzut. Odnosząc się do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postanowienia tymczasowego wydanego przez Sąd Rejonowy dla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(zob. </w:t>
      </w:r>
      <w:r w:rsidR="00E52A73">
        <w:rPr>
          <w:lang w:val="pl-PL"/>
        </w:rPr>
        <w:t>paragraf</w:t>
      </w:r>
      <w:r w:rsidRPr="00E51B9F">
        <w:rPr>
          <w:lang w:val="pl-PL"/>
        </w:rPr>
        <w:t xml:space="preserve"> </w:t>
      </w:r>
      <w:r w:rsidRPr="00E51B9F">
        <w:rPr>
          <w:noProof/>
          <w:lang w:val="pl-PL"/>
        </w:rPr>
        <w:t>15</w:t>
      </w:r>
      <w:r w:rsidRPr="00E51B9F">
        <w:rPr>
          <w:lang w:val="pl-PL"/>
        </w:rPr>
        <w:t xml:space="preserve"> powyżej), argumentowali, że władze posiadały wystarczające informacje, aby ustalić, że pan M. </w:t>
      </w:r>
      <w:proofErr w:type="spellStart"/>
      <w:r w:rsidR="00FD2B0C" w:rsidRPr="00FD2B0C">
        <w:rPr>
          <w:lang w:val="pl-PL"/>
        </w:rPr>
        <w:t>Lozovoy</w:t>
      </w:r>
      <w:proofErr w:type="spellEnd"/>
      <w:r w:rsidR="00FD2B0C">
        <w:rPr>
          <w:lang w:val="pl-PL"/>
        </w:rPr>
        <w:t xml:space="preserve"> </w:t>
      </w:r>
      <w:r w:rsidRPr="00E51B9F">
        <w:rPr>
          <w:lang w:val="pl-PL"/>
        </w:rPr>
        <w:t>był ich</w:t>
      </w:r>
      <w:r w:rsidR="0005400C">
        <w:rPr>
          <w:lang w:val="pl-PL"/>
        </w:rPr>
        <w:t> </w:t>
      </w:r>
      <w:r w:rsidRPr="00E51B9F">
        <w:rPr>
          <w:lang w:val="pl-PL"/>
        </w:rPr>
        <w:t>synem, co oznacza, że mogły poinformować ich o jego śmierci.</w:t>
      </w:r>
    </w:p>
    <w:p w14:paraId="1C63423A" w14:textId="77777777" w:rsidR="00BD5595" w:rsidRPr="00E51B9F" w:rsidRDefault="00BD5595" w:rsidP="00BD5595">
      <w:pPr>
        <w:pStyle w:val="ECHRPara"/>
        <w:rPr>
          <w:lang w:val="pl-PL"/>
        </w:rPr>
      </w:pPr>
    </w:p>
    <w:p w14:paraId="26F06118" w14:textId="25473C35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t>B.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Ocena Trybunału</w:t>
      </w:r>
    </w:p>
    <w:p w14:paraId="6EC9AE22" w14:textId="38DD8BB4" w:rsidR="00BD5595" w:rsidRPr="00E51B9F" w:rsidRDefault="00BD5595" w:rsidP="00BD5595">
      <w:pPr>
        <w:pStyle w:val="ECHRHeading3"/>
        <w:rPr>
          <w:lang w:val="pl-PL"/>
        </w:rPr>
      </w:pPr>
      <w:r w:rsidRPr="00E51B9F">
        <w:rPr>
          <w:bCs w:val="0"/>
          <w:iCs/>
          <w:lang w:val="pl-PL"/>
        </w:rPr>
        <w:t>1.</w:t>
      </w:r>
      <w:r w:rsidR="006D5180">
        <w:rPr>
          <w:bCs w:val="0"/>
          <w:iCs/>
          <w:lang w:val="pl-PL"/>
        </w:rPr>
        <w:t xml:space="preserve"> </w:t>
      </w:r>
      <w:r w:rsidRPr="00E51B9F">
        <w:rPr>
          <w:bCs w:val="0"/>
          <w:iCs/>
          <w:lang w:val="pl-PL"/>
        </w:rPr>
        <w:t>Dopuszczalność skargi</w:t>
      </w:r>
    </w:p>
    <w:p w14:paraId="4A2A3514" w14:textId="0B0EBC73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30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Trybunał stwierdza, iż niniejsza skarga nie jest </w:t>
      </w:r>
      <w:r w:rsidR="0021184D">
        <w:rPr>
          <w:lang w:val="pl-PL"/>
        </w:rPr>
        <w:t xml:space="preserve">w sposób </w:t>
      </w:r>
      <w:r w:rsidRPr="00E51B9F">
        <w:rPr>
          <w:lang w:val="pl-PL"/>
        </w:rPr>
        <w:t>oczywi</w:t>
      </w:r>
      <w:r w:rsidR="0021184D">
        <w:rPr>
          <w:lang w:val="pl-PL"/>
        </w:rPr>
        <w:t>sty</w:t>
      </w:r>
      <w:r w:rsidRPr="00E51B9F">
        <w:rPr>
          <w:lang w:val="pl-PL"/>
        </w:rPr>
        <w:t xml:space="preserve"> </w:t>
      </w:r>
      <w:r w:rsidR="0021184D">
        <w:rPr>
          <w:lang w:val="pl-PL"/>
        </w:rPr>
        <w:t>nieu</w:t>
      </w:r>
      <w:r w:rsidRPr="00E51B9F">
        <w:rPr>
          <w:lang w:val="pl-PL"/>
        </w:rPr>
        <w:t>zasad</w:t>
      </w:r>
      <w:r w:rsidR="00E52A73">
        <w:rPr>
          <w:lang w:val="pl-PL"/>
        </w:rPr>
        <w:t>n</w:t>
      </w:r>
      <w:r w:rsidR="0021184D">
        <w:rPr>
          <w:lang w:val="pl-PL"/>
        </w:rPr>
        <w:t>ion</w:t>
      </w:r>
      <w:r w:rsidR="00E52A73">
        <w:rPr>
          <w:lang w:val="pl-PL"/>
        </w:rPr>
        <w:t xml:space="preserve">a w rozumieniu art. 35 ust. 3 lit. </w:t>
      </w:r>
      <w:r w:rsidRPr="00E51B9F">
        <w:rPr>
          <w:lang w:val="pl-PL"/>
        </w:rPr>
        <w:t xml:space="preserve">a Konwencji oraz nie jest </w:t>
      </w:r>
      <w:r w:rsidRPr="00E51B9F">
        <w:rPr>
          <w:lang w:val="pl-PL"/>
        </w:rPr>
        <w:lastRenderedPageBreak/>
        <w:t>niedopuszczalna z jakichkolwiek innych przyczyn. Musi zatem zostać uznana za dopuszczalną.</w:t>
      </w:r>
    </w:p>
    <w:p w14:paraId="50431B4E" w14:textId="4F603243" w:rsidR="00BD5595" w:rsidRPr="00E51B9F" w:rsidRDefault="00BD5595" w:rsidP="00BD5595">
      <w:pPr>
        <w:pStyle w:val="ECHRHeading3"/>
        <w:rPr>
          <w:lang w:val="pl-PL"/>
        </w:rPr>
      </w:pPr>
      <w:r w:rsidRPr="00E51B9F">
        <w:rPr>
          <w:bCs w:val="0"/>
          <w:iCs/>
          <w:lang w:val="pl-PL"/>
        </w:rPr>
        <w:t>2.</w:t>
      </w:r>
      <w:r w:rsidR="006D5180">
        <w:rPr>
          <w:bCs w:val="0"/>
          <w:iCs/>
          <w:lang w:val="pl-PL"/>
        </w:rPr>
        <w:t xml:space="preserve"> </w:t>
      </w:r>
      <w:r w:rsidR="0021184D">
        <w:rPr>
          <w:bCs w:val="0"/>
          <w:iCs/>
          <w:lang w:val="pl-PL"/>
        </w:rPr>
        <w:t xml:space="preserve">Przedmiot </w:t>
      </w:r>
      <w:r w:rsidRPr="00E51B9F">
        <w:rPr>
          <w:bCs w:val="0"/>
          <w:iCs/>
          <w:lang w:val="pl-PL"/>
        </w:rPr>
        <w:t>skargi</w:t>
      </w:r>
    </w:p>
    <w:p w14:paraId="397B4D69" w14:textId="7D9F6D07" w:rsidR="00BD5595" w:rsidRPr="00E51B9F" w:rsidRDefault="00BD5595" w:rsidP="00BD5595">
      <w:pPr>
        <w:pStyle w:val="ECHRHeading4"/>
        <w:outlineLvl w:val="9"/>
        <w:rPr>
          <w:lang w:val="pl-PL"/>
        </w:rPr>
      </w:pPr>
      <w:r w:rsidRPr="00E51B9F">
        <w:rPr>
          <w:iCs w:val="0"/>
          <w:lang w:val="pl-PL"/>
        </w:rPr>
        <w:t>(a)</w:t>
      </w:r>
      <w:r w:rsidR="006D5180">
        <w:rPr>
          <w:iCs w:val="0"/>
          <w:lang w:val="pl-PL"/>
        </w:rPr>
        <w:t xml:space="preserve"> </w:t>
      </w:r>
      <w:r w:rsidRPr="00E51B9F">
        <w:rPr>
          <w:iCs w:val="0"/>
          <w:lang w:val="pl-PL"/>
        </w:rPr>
        <w:t xml:space="preserve">Zastosowanie </w:t>
      </w:r>
      <w:r w:rsidR="00E52A73">
        <w:rPr>
          <w:iCs w:val="0"/>
          <w:lang w:val="pl-PL"/>
        </w:rPr>
        <w:t>art.</w:t>
      </w:r>
      <w:r w:rsidRPr="00E51B9F">
        <w:rPr>
          <w:iCs w:val="0"/>
          <w:lang w:val="pl-PL"/>
        </w:rPr>
        <w:t xml:space="preserve"> 8 Konwencji</w:t>
      </w:r>
    </w:p>
    <w:p w14:paraId="4A559953" w14:textId="5C352F68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31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Rząd nie kwestionował zastosowania art. 8 Konwencji.</w:t>
      </w:r>
    </w:p>
    <w:p w14:paraId="50E7D95F" w14:textId="007C16B0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32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Trybunał przypom</w:t>
      </w:r>
      <w:r w:rsidR="00F47695">
        <w:rPr>
          <w:lang w:val="pl-PL"/>
        </w:rPr>
        <w:t>ina</w:t>
      </w:r>
      <w:r w:rsidRPr="00E51B9F">
        <w:rPr>
          <w:lang w:val="pl-PL"/>
        </w:rPr>
        <w:t xml:space="preserve">, że </w:t>
      </w:r>
      <w:r w:rsidR="00F47695">
        <w:rPr>
          <w:lang w:val="pl-PL"/>
        </w:rPr>
        <w:t>z prawa</w:t>
      </w:r>
      <w:r w:rsidRPr="00E51B9F">
        <w:rPr>
          <w:lang w:val="pl-PL"/>
        </w:rPr>
        <w:t xml:space="preserve"> dostępu do informacji dotyczących życia prywatnego i/lub rodzinnego danej osoby </w:t>
      </w:r>
      <w:r w:rsidR="00F47695">
        <w:rPr>
          <w:lang w:val="pl-PL"/>
        </w:rPr>
        <w:t xml:space="preserve">wynika </w:t>
      </w:r>
      <w:r w:rsidR="007519F2">
        <w:rPr>
          <w:lang w:val="pl-PL"/>
        </w:rPr>
        <w:t>kwestia</w:t>
      </w:r>
      <w:r w:rsidR="00F47695">
        <w:rPr>
          <w:lang w:val="pl-PL"/>
        </w:rPr>
        <w:t xml:space="preserve"> </w:t>
      </w:r>
      <w:r w:rsidR="007519F2">
        <w:rPr>
          <w:lang w:val="pl-PL"/>
        </w:rPr>
        <w:t>na podstawie</w:t>
      </w:r>
      <w:r w:rsidRPr="00E51B9F">
        <w:rPr>
          <w:lang w:val="pl-PL"/>
        </w:rPr>
        <w:t xml:space="preserve"> art. 8 Konwencji (zob. między innymi, </w:t>
      </w:r>
      <w:r w:rsidRPr="00E51B9F">
        <w:rPr>
          <w:i/>
          <w:iCs/>
          <w:lang w:val="pl-PL"/>
        </w:rPr>
        <w:t>Roche przeciwko Zjednoczonemu Królestwu</w:t>
      </w:r>
      <w:r w:rsidRPr="00E51B9F">
        <w:rPr>
          <w:lang w:val="pl-PL"/>
        </w:rPr>
        <w:t xml:space="preserve"> [</w:t>
      </w:r>
      <w:proofErr w:type="spellStart"/>
      <w:r w:rsidRPr="00E51B9F">
        <w:rPr>
          <w:lang w:val="pl-PL"/>
        </w:rPr>
        <w:t>WI</w:t>
      </w:r>
      <w:proofErr w:type="spellEnd"/>
      <w:r w:rsidRPr="00E51B9F">
        <w:rPr>
          <w:lang w:val="pl-PL"/>
        </w:rPr>
        <w:t xml:space="preserve">], nr 32555/96, §§ 155-56, </w:t>
      </w:r>
      <w:r w:rsidR="0021184D">
        <w:rPr>
          <w:lang w:val="pl-PL"/>
        </w:rPr>
        <w:t>ETPC</w:t>
      </w:r>
      <w:r w:rsidRPr="00E51B9F">
        <w:rPr>
          <w:lang w:val="pl-PL"/>
        </w:rPr>
        <w:t xml:space="preserve"> 2005-X; </w:t>
      </w:r>
      <w:proofErr w:type="spellStart"/>
      <w:r w:rsidRPr="00E51B9F">
        <w:rPr>
          <w:i/>
          <w:iCs/>
          <w:lang w:val="pl-PL"/>
        </w:rPr>
        <w:t>Guerra</w:t>
      </w:r>
      <w:proofErr w:type="spellEnd"/>
      <w:r w:rsidRPr="00E51B9F">
        <w:rPr>
          <w:i/>
          <w:iCs/>
          <w:lang w:val="pl-PL"/>
        </w:rPr>
        <w:t xml:space="preserve"> i inni przeciwko Włochom</w:t>
      </w:r>
      <w:r w:rsidRPr="00E51B9F">
        <w:rPr>
          <w:lang w:val="pl-PL"/>
        </w:rPr>
        <w:t xml:space="preserve">, 19 lutego 1998 r., §§ 57-60, </w:t>
      </w:r>
      <w:proofErr w:type="spellStart"/>
      <w:r w:rsidRPr="00E51B9F">
        <w:rPr>
          <w:i/>
          <w:iCs/>
          <w:lang w:val="pl-PL"/>
        </w:rPr>
        <w:t>Reports</w:t>
      </w:r>
      <w:proofErr w:type="spellEnd"/>
      <w:r w:rsidRPr="00E51B9F">
        <w:rPr>
          <w:i/>
          <w:iCs/>
          <w:lang w:val="pl-PL"/>
        </w:rPr>
        <w:t xml:space="preserve"> of</w:t>
      </w:r>
      <w:r w:rsidR="0005400C">
        <w:rPr>
          <w:i/>
          <w:iCs/>
          <w:lang w:val="pl-PL"/>
        </w:rPr>
        <w:t> </w:t>
      </w:r>
      <w:proofErr w:type="spellStart"/>
      <w:r w:rsidRPr="00E51B9F">
        <w:rPr>
          <w:i/>
          <w:iCs/>
          <w:lang w:val="pl-PL"/>
        </w:rPr>
        <w:t>Judgments</w:t>
      </w:r>
      <w:proofErr w:type="spellEnd"/>
      <w:r w:rsidRPr="00E51B9F">
        <w:rPr>
          <w:i/>
          <w:iCs/>
          <w:lang w:val="pl-PL"/>
        </w:rPr>
        <w:t xml:space="preserve"> and </w:t>
      </w:r>
      <w:proofErr w:type="spellStart"/>
      <w:r w:rsidRPr="00E51B9F">
        <w:rPr>
          <w:i/>
          <w:iCs/>
          <w:lang w:val="pl-PL"/>
        </w:rPr>
        <w:t>Decisions</w:t>
      </w:r>
      <w:proofErr w:type="spellEnd"/>
      <w:r w:rsidRPr="00E51B9F">
        <w:rPr>
          <w:i/>
          <w:iCs/>
          <w:lang w:val="pl-PL"/>
        </w:rPr>
        <w:t xml:space="preserve"> 1998-I</w:t>
      </w:r>
      <w:r w:rsidR="00231E16">
        <w:rPr>
          <w:i/>
          <w:iCs/>
          <w:lang w:val="pl-PL"/>
        </w:rPr>
        <w:t>,</w:t>
      </w:r>
      <w:r w:rsidRPr="00E51B9F">
        <w:rPr>
          <w:lang w:val="pl-PL"/>
        </w:rPr>
        <w:t xml:space="preserve"> oraz </w:t>
      </w:r>
      <w:proofErr w:type="spellStart"/>
      <w:r w:rsidRPr="00E51B9F">
        <w:rPr>
          <w:i/>
          <w:iCs/>
          <w:lang w:val="pl-PL"/>
        </w:rPr>
        <w:t>Gaskin</w:t>
      </w:r>
      <w:proofErr w:type="spellEnd"/>
      <w:r w:rsidRPr="00E51B9F">
        <w:rPr>
          <w:i/>
          <w:iCs/>
          <w:lang w:val="pl-PL"/>
        </w:rPr>
        <w:t xml:space="preserve"> przeciwko Zjednoczonemu Królestwu</w:t>
      </w:r>
      <w:r w:rsidRPr="00E51B9F">
        <w:rPr>
          <w:lang w:val="pl-PL"/>
        </w:rPr>
        <w:t>, 7 lipca 1989 r., § 37, seria A nr 160).</w:t>
      </w:r>
    </w:p>
    <w:p w14:paraId="698AF1A4" w14:textId="78FFE9F6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33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Trybunał zauważa ponadto, że różne aspekty obrzędów pogrzebowych wchodzą w zakres zarówno „życia prywatnego”, jak i „życia rodzinnego” w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rozumieniu art. 8 Konwencji (zob. przykładowo </w:t>
      </w:r>
      <w:proofErr w:type="spellStart"/>
      <w:r w:rsidR="00231E16" w:rsidRPr="00231E16">
        <w:rPr>
          <w:i/>
          <w:iCs/>
          <w:lang w:val="pl-PL"/>
        </w:rPr>
        <w:t>Maskhadova</w:t>
      </w:r>
      <w:proofErr w:type="spellEnd"/>
      <w:r w:rsidRPr="00E51B9F">
        <w:rPr>
          <w:i/>
          <w:iCs/>
          <w:lang w:val="pl-PL"/>
        </w:rPr>
        <w:t xml:space="preserve"> i Inni przeciwko Rosji</w:t>
      </w:r>
      <w:r w:rsidRPr="00E51B9F">
        <w:rPr>
          <w:lang w:val="pl-PL"/>
        </w:rPr>
        <w:t xml:space="preserve">, nr 18071/05, § 212, 6 czerwca 2013 r., </w:t>
      </w:r>
      <w:proofErr w:type="spellStart"/>
      <w:r w:rsidR="00231E16" w:rsidRPr="00231E16">
        <w:rPr>
          <w:i/>
          <w:lang w:val="pl-PL"/>
        </w:rPr>
        <w:t>Sabanchiyeva</w:t>
      </w:r>
      <w:proofErr w:type="spellEnd"/>
      <w:r w:rsidRPr="00E51B9F">
        <w:rPr>
          <w:i/>
          <w:iCs/>
          <w:lang w:val="pl-PL"/>
        </w:rPr>
        <w:t xml:space="preserve"> i Inni przeciwko Rosji</w:t>
      </w:r>
      <w:r w:rsidRPr="00E51B9F">
        <w:rPr>
          <w:lang w:val="pl-PL"/>
        </w:rPr>
        <w:t xml:space="preserve">, nr 38450/05, § 123, </w:t>
      </w:r>
      <w:r w:rsidR="0021184D">
        <w:rPr>
          <w:lang w:val="pl-PL"/>
        </w:rPr>
        <w:t>ETPC</w:t>
      </w:r>
      <w:r w:rsidRPr="00E51B9F">
        <w:rPr>
          <w:lang w:val="pl-PL"/>
        </w:rPr>
        <w:t xml:space="preserve"> 2013 r. (streszczenie) oraz </w:t>
      </w:r>
      <w:proofErr w:type="spellStart"/>
      <w:r w:rsidRPr="00E51B9F">
        <w:rPr>
          <w:i/>
          <w:iCs/>
          <w:lang w:val="pl-PL"/>
        </w:rPr>
        <w:t>Hadri-Vionnet</w:t>
      </w:r>
      <w:proofErr w:type="spellEnd"/>
      <w:r w:rsidRPr="00E51B9F">
        <w:rPr>
          <w:i/>
          <w:iCs/>
          <w:lang w:val="pl-PL"/>
        </w:rPr>
        <w:t xml:space="preserve"> przeciwko Szwajcarii</w:t>
      </w:r>
      <w:r w:rsidRPr="00E51B9F">
        <w:rPr>
          <w:lang w:val="pl-PL"/>
        </w:rPr>
        <w:t>, nr 55525/00, § 52, 14 lutego 2008 r.).</w:t>
      </w:r>
    </w:p>
    <w:p w14:paraId="12652282" w14:textId="13EBEBF1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34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rFonts w:ascii="Times New Roman" w:hAnsi="Times New Roman"/>
          <w:szCs w:val="24"/>
          <w:lang w:val="pl-PL"/>
        </w:rPr>
        <w:t xml:space="preserve">W niniejszej sprawie skarżący twierdzili, że nie zostali właściwie powiadomieni o śmierci swego syna i w rezultacie zostali pozbawieni możliwości uczestnictwa w jego pogrzebie. W świetle własnego orzecznictwa dotyczącego prawa skarżącego do informacji dotyczących </w:t>
      </w:r>
      <w:r w:rsidR="00F71C22">
        <w:rPr>
          <w:rFonts w:ascii="Times New Roman" w:hAnsi="Times New Roman"/>
          <w:szCs w:val="24"/>
          <w:lang w:val="pl-PL"/>
        </w:rPr>
        <w:t xml:space="preserve">jego </w:t>
      </w:r>
      <w:r w:rsidRPr="00E51B9F">
        <w:rPr>
          <w:rFonts w:ascii="Times New Roman" w:hAnsi="Times New Roman"/>
          <w:szCs w:val="24"/>
          <w:lang w:val="pl-PL"/>
        </w:rPr>
        <w:t>życia prywatnego i rodzinnego</w:t>
      </w:r>
      <w:r w:rsidR="00F71C22">
        <w:rPr>
          <w:rFonts w:ascii="Times New Roman" w:hAnsi="Times New Roman"/>
          <w:szCs w:val="24"/>
          <w:lang w:val="pl-PL"/>
        </w:rPr>
        <w:t xml:space="preserve"> łącznie </w:t>
      </w:r>
      <w:r w:rsidRPr="00E51B9F">
        <w:rPr>
          <w:rFonts w:ascii="Times New Roman" w:hAnsi="Times New Roman"/>
          <w:szCs w:val="24"/>
          <w:lang w:val="pl-PL"/>
        </w:rPr>
        <w:t xml:space="preserve">z orzecznictwem dotyczącym </w:t>
      </w:r>
      <w:r w:rsidR="00F71C22">
        <w:rPr>
          <w:rFonts w:ascii="Times New Roman" w:hAnsi="Times New Roman"/>
          <w:szCs w:val="24"/>
          <w:lang w:val="pl-PL"/>
        </w:rPr>
        <w:t>zastosowania</w:t>
      </w:r>
      <w:r w:rsidRPr="00E51B9F">
        <w:rPr>
          <w:rFonts w:ascii="Times New Roman" w:hAnsi="Times New Roman"/>
          <w:szCs w:val="24"/>
          <w:lang w:val="pl-PL"/>
        </w:rPr>
        <w:t xml:space="preserve"> art. 8 do zdolności osoby fizycznej do uczestnictwa w</w:t>
      </w:r>
      <w:r w:rsidR="0005400C">
        <w:rPr>
          <w:rFonts w:ascii="Times New Roman" w:hAnsi="Times New Roman"/>
          <w:szCs w:val="24"/>
          <w:lang w:val="pl-PL"/>
        </w:rPr>
        <w:t> </w:t>
      </w:r>
      <w:r w:rsidRPr="00E51B9F">
        <w:rPr>
          <w:rFonts w:ascii="Times New Roman" w:hAnsi="Times New Roman"/>
          <w:szCs w:val="24"/>
          <w:lang w:val="pl-PL"/>
        </w:rPr>
        <w:t xml:space="preserve">pogrzebie zmarłego członka rodziny, Trybunał uznaje, że </w:t>
      </w:r>
      <w:r w:rsidR="00F71C22">
        <w:rPr>
          <w:rFonts w:ascii="Times New Roman" w:hAnsi="Times New Roman"/>
          <w:szCs w:val="24"/>
          <w:lang w:val="pl-PL"/>
        </w:rPr>
        <w:t>brak</w:t>
      </w:r>
      <w:r w:rsidRPr="00E51B9F">
        <w:rPr>
          <w:rFonts w:ascii="Times New Roman" w:hAnsi="Times New Roman"/>
          <w:szCs w:val="24"/>
          <w:lang w:val="pl-PL"/>
        </w:rPr>
        <w:t xml:space="preserve"> poinformowania </w:t>
      </w:r>
      <w:r w:rsidR="0059405C">
        <w:rPr>
          <w:rFonts w:ascii="Times New Roman" w:hAnsi="Times New Roman"/>
          <w:szCs w:val="24"/>
          <w:lang w:val="pl-PL"/>
        </w:rPr>
        <w:t>ich</w:t>
      </w:r>
      <w:r w:rsidRPr="00E51B9F">
        <w:rPr>
          <w:rFonts w:ascii="Times New Roman" w:hAnsi="Times New Roman"/>
          <w:szCs w:val="24"/>
          <w:lang w:val="pl-PL"/>
        </w:rPr>
        <w:t>, a wręcz brak podjęcia</w:t>
      </w:r>
      <w:r w:rsidR="00981FE0">
        <w:rPr>
          <w:rFonts w:ascii="Times New Roman" w:hAnsi="Times New Roman"/>
          <w:szCs w:val="24"/>
          <w:lang w:val="pl-PL"/>
        </w:rPr>
        <w:t xml:space="preserve"> przez państwo</w:t>
      </w:r>
      <w:r w:rsidRPr="00E51B9F">
        <w:rPr>
          <w:rFonts w:ascii="Times New Roman" w:hAnsi="Times New Roman"/>
          <w:szCs w:val="24"/>
          <w:lang w:val="pl-PL"/>
        </w:rPr>
        <w:t xml:space="preserve"> kroków w celu poinformowania ich o śmierci syna przed jego pochówkiem</w:t>
      </w:r>
      <w:r w:rsidR="00F71C22">
        <w:rPr>
          <w:rFonts w:ascii="Times New Roman" w:hAnsi="Times New Roman"/>
          <w:szCs w:val="24"/>
          <w:lang w:val="pl-PL"/>
        </w:rPr>
        <w:t xml:space="preserve"> wywarł wpływ na prawo</w:t>
      </w:r>
      <w:r w:rsidR="00F71C22" w:rsidRPr="00E51B9F">
        <w:rPr>
          <w:rFonts w:ascii="Times New Roman" w:hAnsi="Times New Roman"/>
          <w:szCs w:val="24"/>
          <w:lang w:val="pl-PL"/>
        </w:rPr>
        <w:t xml:space="preserve"> skarżących do poszanowania ich życia prywatnego i rodzinnego</w:t>
      </w:r>
      <w:r w:rsidRPr="00E51B9F">
        <w:rPr>
          <w:rFonts w:ascii="Times New Roman" w:hAnsi="Times New Roman"/>
          <w:szCs w:val="24"/>
          <w:lang w:val="pl-PL"/>
        </w:rPr>
        <w:t>.</w:t>
      </w:r>
    </w:p>
    <w:p w14:paraId="4CE9875A" w14:textId="06CE9AF9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35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W związku z powyższym Trybunał stwierdza, że art. 8 Konwencji ma</w:t>
      </w:r>
      <w:r w:rsidR="0005400C">
        <w:rPr>
          <w:lang w:val="pl-PL"/>
        </w:rPr>
        <w:t> </w:t>
      </w:r>
      <w:r w:rsidRPr="00E51B9F">
        <w:rPr>
          <w:lang w:val="pl-PL"/>
        </w:rPr>
        <w:t>zastosowanie w niniejszej sprawie.</w:t>
      </w:r>
    </w:p>
    <w:p w14:paraId="35FA7564" w14:textId="2C43FFB1" w:rsidR="00BD5595" w:rsidRPr="00E51B9F" w:rsidRDefault="00E52A73" w:rsidP="00BD5595">
      <w:pPr>
        <w:pStyle w:val="ECHRHeading4"/>
        <w:outlineLvl w:val="9"/>
        <w:rPr>
          <w:lang w:val="pl-PL"/>
        </w:rPr>
      </w:pPr>
      <w:r>
        <w:rPr>
          <w:iCs w:val="0"/>
          <w:lang w:val="pl-PL"/>
        </w:rPr>
        <w:t>(b)</w:t>
      </w:r>
      <w:r w:rsidR="006D5180">
        <w:rPr>
          <w:iCs w:val="0"/>
          <w:lang w:val="pl-PL"/>
        </w:rPr>
        <w:t xml:space="preserve"> </w:t>
      </w:r>
      <w:r>
        <w:rPr>
          <w:iCs w:val="0"/>
          <w:lang w:val="pl-PL"/>
        </w:rPr>
        <w:t>Zgodność z art.</w:t>
      </w:r>
      <w:r w:rsidR="00BD5595" w:rsidRPr="00E51B9F">
        <w:rPr>
          <w:iCs w:val="0"/>
          <w:lang w:val="pl-PL"/>
        </w:rPr>
        <w:t xml:space="preserve"> 8 Konwencji</w:t>
      </w:r>
    </w:p>
    <w:p w14:paraId="6476542B" w14:textId="2229F474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36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Trybunał przypomina, że </w:t>
      </w:r>
      <w:r w:rsidR="004807C1">
        <w:rPr>
          <w:lang w:val="pl-PL"/>
        </w:rPr>
        <w:t>chociaż</w:t>
      </w:r>
      <w:r w:rsidR="00381113">
        <w:rPr>
          <w:lang w:val="pl-PL"/>
        </w:rPr>
        <w:t xml:space="preserve"> zasadniczym celem</w:t>
      </w:r>
      <w:r w:rsidRPr="00E51B9F">
        <w:rPr>
          <w:lang w:val="pl-PL"/>
        </w:rPr>
        <w:t xml:space="preserve"> art. 8 </w:t>
      </w:r>
      <w:r w:rsidR="00381113">
        <w:rPr>
          <w:lang w:val="pl-PL"/>
        </w:rPr>
        <w:t>jest ochrona</w:t>
      </w:r>
      <w:r w:rsidRPr="00E51B9F">
        <w:rPr>
          <w:lang w:val="pl-PL"/>
        </w:rPr>
        <w:t xml:space="preserve"> jednostki przed arbitralną ingerencją władz publicznych, nie</w:t>
      </w:r>
      <w:r w:rsidR="004807C1">
        <w:rPr>
          <w:lang w:val="pl-PL"/>
        </w:rPr>
        <w:t> </w:t>
      </w:r>
      <w:r w:rsidR="00231E16">
        <w:rPr>
          <w:lang w:val="pl-PL"/>
        </w:rPr>
        <w:t xml:space="preserve">ogranicza </w:t>
      </w:r>
      <w:r w:rsidRPr="00E51B9F">
        <w:rPr>
          <w:lang w:val="pl-PL"/>
        </w:rPr>
        <w:t>się</w:t>
      </w:r>
      <w:r w:rsidR="00381113">
        <w:rPr>
          <w:lang w:val="pl-PL"/>
        </w:rPr>
        <w:t xml:space="preserve"> on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jedynie </w:t>
      </w:r>
      <w:r w:rsidR="00231E16">
        <w:rPr>
          <w:lang w:val="pl-PL"/>
        </w:rPr>
        <w:t>do wymogu</w:t>
      </w:r>
      <w:r w:rsidRPr="00E51B9F">
        <w:rPr>
          <w:lang w:val="pl-PL"/>
        </w:rPr>
        <w:t xml:space="preserve"> powstrzymania się </w:t>
      </w:r>
      <w:r w:rsidR="00231E16">
        <w:rPr>
          <w:lang w:val="pl-PL"/>
        </w:rPr>
        <w:t>przez państwo</w:t>
      </w:r>
      <w:r w:rsidRPr="00E51B9F">
        <w:rPr>
          <w:lang w:val="pl-PL"/>
        </w:rPr>
        <w:t xml:space="preserve"> od takiej ingerencji. Oprócz takiego negatywnego obowiązku mogą istnieć obowiązki pozytywne nieodłącznie związane z</w:t>
      </w:r>
      <w:r w:rsidR="00381113">
        <w:rPr>
          <w:lang w:val="pl-PL"/>
        </w:rPr>
        <w:t>e skutecznym</w:t>
      </w:r>
      <w:r w:rsidRPr="00E51B9F">
        <w:rPr>
          <w:lang w:val="pl-PL"/>
        </w:rPr>
        <w:t xml:space="preserve"> poszanowaniem życia prywatnego lub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rodzinnego (zob. </w:t>
      </w:r>
      <w:proofErr w:type="spellStart"/>
      <w:r w:rsidRPr="00E51B9F">
        <w:rPr>
          <w:i/>
          <w:iCs/>
          <w:lang w:val="pl-PL"/>
        </w:rPr>
        <w:t>Bédat</w:t>
      </w:r>
      <w:proofErr w:type="spellEnd"/>
      <w:r w:rsidRPr="00E51B9F">
        <w:rPr>
          <w:i/>
          <w:iCs/>
          <w:lang w:val="pl-PL"/>
        </w:rPr>
        <w:t xml:space="preserve"> przeciwko Szwajcarii </w:t>
      </w:r>
      <w:r w:rsidRPr="00E51B9F">
        <w:rPr>
          <w:lang w:val="pl-PL"/>
        </w:rPr>
        <w:t>[</w:t>
      </w:r>
      <w:proofErr w:type="spellStart"/>
      <w:r w:rsidRPr="00E51B9F">
        <w:rPr>
          <w:lang w:val="pl-PL"/>
        </w:rPr>
        <w:t>WI</w:t>
      </w:r>
      <w:proofErr w:type="spellEnd"/>
      <w:r w:rsidRPr="00E51B9F">
        <w:rPr>
          <w:lang w:val="pl-PL"/>
        </w:rPr>
        <w:t>], nr</w:t>
      </w:r>
      <w:r w:rsidR="004807C1">
        <w:rPr>
          <w:lang w:val="pl-PL"/>
        </w:rPr>
        <w:t> </w:t>
      </w:r>
      <w:r w:rsidRPr="00E51B9F">
        <w:rPr>
          <w:lang w:val="pl-PL"/>
        </w:rPr>
        <w:t xml:space="preserve">56925/08, § 73, </w:t>
      </w:r>
      <w:r w:rsidR="0021184D">
        <w:rPr>
          <w:lang w:val="pl-PL"/>
        </w:rPr>
        <w:t>ETPC</w:t>
      </w:r>
      <w:r w:rsidRPr="00E51B9F">
        <w:rPr>
          <w:lang w:val="pl-PL"/>
        </w:rPr>
        <w:t xml:space="preserve"> 2016 r.). W zakresie wyboru sposobu wywiązywania się z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obowiązków pozytywnych Państwom przysługuje szeroki margines </w:t>
      </w:r>
      <w:r w:rsidR="0021184D">
        <w:rPr>
          <w:lang w:val="pl-PL"/>
        </w:rPr>
        <w:t>oceny</w:t>
      </w:r>
      <w:r w:rsidRPr="00E51B9F">
        <w:rPr>
          <w:lang w:val="pl-PL"/>
        </w:rPr>
        <w:t xml:space="preserve"> (zob. </w:t>
      </w:r>
      <w:r w:rsidRPr="00E51B9F">
        <w:rPr>
          <w:i/>
          <w:iCs/>
          <w:lang w:val="pl-PL"/>
        </w:rPr>
        <w:t>A, B i C przeciwko Irlandii</w:t>
      </w:r>
      <w:r w:rsidRPr="00E51B9F">
        <w:rPr>
          <w:lang w:val="pl-PL"/>
        </w:rPr>
        <w:t xml:space="preserve"> [</w:t>
      </w:r>
      <w:proofErr w:type="spellStart"/>
      <w:r w:rsidRPr="00E51B9F">
        <w:rPr>
          <w:lang w:val="pl-PL"/>
        </w:rPr>
        <w:t>WI</w:t>
      </w:r>
      <w:proofErr w:type="spellEnd"/>
      <w:r w:rsidRPr="00E51B9F">
        <w:rPr>
          <w:lang w:val="pl-PL"/>
        </w:rPr>
        <w:t xml:space="preserve">], nr 25579/05, § 249, </w:t>
      </w:r>
      <w:r w:rsidR="0021184D">
        <w:rPr>
          <w:lang w:val="pl-PL"/>
        </w:rPr>
        <w:t>ETPC</w:t>
      </w:r>
      <w:r w:rsidRPr="00E51B9F">
        <w:rPr>
          <w:lang w:val="pl-PL"/>
        </w:rPr>
        <w:t xml:space="preserve"> 2010 r.).</w:t>
      </w:r>
    </w:p>
    <w:p w14:paraId="2A87E378" w14:textId="5E98C065" w:rsidR="00BD5595" w:rsidRPr="00E51B9F" w:rsidRDefault="00BD5595" w:rsidP="00BD5595">
      <w:pPr>
        <w:pStyle w:val="ECHRPara"/>
        <w:rPr>
          <w:szCs w:val="24"/>
          <w:lang w:val="pl-PL"/>
        </w:rPr>
      </w:pPr>
      <w:r w:rsidRPr="00E51B9F">
        <w:rPr>
          <w:noProof/>
          <w:lang w:val="pl-PL"/>
        </w:rPr>
        <w:lastRenderedPageBreak/>
        <w:t>37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rFonts w:ascii="Times New Roman" w:hAnsi="Times New Roman"/>
          <w:szCs w:val="24"/>
          <w:lang w:val="pl-PL"/>
        </w:rPr>
        <w:t xml:space="preserve">Istotą skargi skarżących nie jest zarzut, że </w:t>
      </w:r>
      <w:r w:rsidR="004807C1">
        <w:rPr>
          <w:rFonts w:ascii="Times New Roman" w:hAnsi="Times New Roman"/>
          <w:szCs w:val="24"/>
          <w:lang w:val="pl-PL"/>
        </w:rPr>
        <w:t>p</w:t>
      </w:r>
      <w:r w:rsidR="0021184D" w:rsidRPr="00E51B9F">
        <w:rPr>
          <w:rFonts w:ascii="Times New Roman" w:hAnsi="Times New Roman"/>
          <w:szCs w:val="24"/>
          <w:lang w:val="pl-PL"/>
        </w:rPr>
        <w:t xml:space="preserve">aństwo </w:t>
      </w:r>
      <w:r w:rsidRPr="00E51B9F">
        <w:rPr>
          <w:rFonts w:ascii="Times New Roman" w:hAnsi="Times New Roman"/>
          <w:szCs w:val="24"/>
          <w:lang w:val="pl-PL"/>
        </w:rPr>
        <w:t>działało w</w:t>
      </w:r>
      <w:r w:rsidR="0005400C">
        <w:rPr>
          <w:rFonts w:ascii="Times New Roman" w:hAnsi="Times New Roman"/>
          <w:szCs w:val="24"/>
          <w:lang w:val="pl-PL"/>
        </w:rPr>
        <w:t> </w:t>
      </w:r>
      <w:r w:rsidRPr="00E51B9F">
        <w:rPr>
          <w:rFonts w:ascii="Times New Roman" w:hAnsi="Times New Roman"/>
          <w:szCs w:val="24"/>
          <w:lang w:val="pl-PL"/>
        </w:rPr>
        <w:t xml:space="preserve">określony sposób, lecz że zaniechało działania (zob. </w:t>
      </w:r>
      <w:proofErr w:type="spellStart"/>
      <w:r w:rsidRPr="00E51B9F">
        <w:rPr>
          <w:rFonts w:ascii="Times New Roman" w:hAnsi="Times New Roman"/>
          <w:i/>
          <w:iCs/>
          <w:szCs w:val="24"/>
          <w:lang w:val="pl-PL"/>
        </w:rPr>
        <w:t>Airey</w:t>
      </w:r>
      <w:proofErr w:type="spellEnd"/>
      <w:r w:rsidRPr="00E51B9F">
        <w:rPr>
          <w:rFonts w:ascii="Times New Roman" w:hAnsi="Times New Roman"/>
          <w:i/>
          <w:iCs/>
          <w:szCs w:val="24"/>
          <w:lang w:val="pl-PL"/>
        </w:rPr>
        <w:t xml:space="preserve"> przeciwko Irlandii</w:t>
      </w:r>
      <w:r w:rsidRPr="00E51B9F">
        <w:rPr>
          <w:rFonts w:ascii="Times New Roman" w:hAnsi="Times New Roman"/>
          <w:szCs w:val="24"/>
          <w:lang w:val="pl-PL"/>
        </w:rPr>
        <w:t>, 9 października 1979 r., § 32, seria A nr 32). W szczególności skarżący</w:t>
      </w:r>
      <w:r w:rsidRPr="00E51B9F">
        <w:rPr>
          <w:rFonts w:ascii="Times New Roman" w:hAnsi="Times New Roman"/>
          <w:color w:val="000000"/>
          <w:szCs w:val="24"/>
          <w:lang w:val="pl-PL"/>
        </w:rPr>
        <w:t xml:space="preserve"> twierdzili, że brak powiadomienia </w:t>
      </w:r>
      <w:r w:rsidR="00381113">
        <w:rPr>
          <w:rFonts w:ascii="Times New Roman" w:hAnsi="Times New Roman"/>
          <w:color w:val="000000"/>
          <w:szCs w:val="24"/>
          <w:lang w:val="pl-PL"/>
        </w:rPr>
        <w:t xml:space="preserve">ich </w:t>
      </w:r>
      <w:r w:rsidRPr="00E51B9F">
        <w:rPr>
          <w:rFonts w:ascii="Times New Roman" w:hAnsi="Times New Roman"/>
          <w:color w:val="000000"/>
          <w:szCs w:val="24"/>
          <w:lang w:val="pl-PL"/>
        </w:rPr>
        <w:t xml:space="preserve">przez władze o śmierci ich syna naruszył prawa zagwarantowane im na mocy art. 8 Konwencji, w tym prawo do zapewnienia synowi odpowiedniego pochówku. </w:t>
      </w:r>
      <w:r w:rsidRPr="00E51B9F">
        <w:rPr>
          <w:rFonts w:ascii="Times New Roman" w:hAnsi="Times New Roman"/>
          <w:szCs w:val="24"/>
          <w:lang w:val="pl-PL"/>
        </w:rPr>
        <w:t xml:space="preserve">Trybunał uznaje za właściwe, by zbadać niniejszą sprawę z perspektywy obowiązku pozytywnego pozwanego Państwa przewidzianego </w:t>
      </w:r>
      <w:r w:rsidR="00381113">
        <w:rPr>
          <w:rFonts w:ascii="Times New Roman" w:hAnsi="Times New Roman"/>
          <w:szCs w:val="24"/>
          <w:lang w:val="pl-PL"/>
        </w:rPr>
        <w:t xml:space="preserve">przez </w:t>
      </w:r>
      <w:r w:rsidRPr="00E51B9F">
        <w:rPr>
          <w:rFonts w:ascii="Times New Roman" w:hAnsi="Times New Roman"/>
          <w:szCs w:val="24"/>
          <w:lang w:val="pl-PL"/>
        </w:rPr>
        <w:t>art. 8 Konwencji.</w:t>
      </w:r>
    </w:p>
    <w:p w14:paraId="3A2E3102" w14:textId="69C49C4D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rFonts w:ascii="Times New Roman" w:hAnsi="Times New Roman" w:cs="Times New Roman"/>
          <w:noProof/>
          <w:szCs w:val="24"/>
          <w:lang w:val="pl-PL"/>
        </w:rPr>
        <w:t>38</w:t>
      </w:r>
      <w:r w:rsidRPr="00E51B9F">
        <w:rPr>
          <w:rFonts w:ascii="Times New Roman" w:hAnsi="Times New Roman" w:cs="Times New Roman"/>
          <w:szCs w:val="24"/>
          <w:lang w:val="pl-PL"/>
        </w:rPr>
        <w:t>.</w:t>
      </w:r>
      <w:r w:rsidR="006D5180">
        <w:rPr>
          <w:rFonts w:ascii="Times New Roman" w:hAnsi="Times New Roman" w:cs="Times New Roman"/>
          <w:szCs w:val="24"/>
          <w:lang w:val="pl-PL"/>
        </w:rPr>
        <w:t xml:space="preserve"> </w:t>
      </w:r>
      <w:r w:rsidRPr="00E51B9F">
        <w:rPr>
          <w:rFonts w:ascii="Times New Roman" w:hAnsi="Times New Roman" w:cs="Times New Roman"/>
          <w:szCs w:val="24"/>
          <w:lang w:val="pl-PL"/>
        </w:rPr>
        <w:t>Trybunał jest zatem zdania, że w sytuacjach takich jak w niniejszej sprawie, gdy informacje o śmierci posiadają władze państwowe, lecz nie</w:t>
      </w:r>
      <w:r w:rsidR="004C0BE5">
        <w:rPr>
          <w:rFonts w:ascii="Times New Roman" w:hAnsi="Times New Roman" w:cs="Times New Roman"/>
          <w:szCs w:val="24"/>
          <w:lang w:val="pl-PL"/>
        </w:rPr>
        <w:t> </w:t>
      </w:r>
      <w:r w:rsidRPr="00E51B9F">
        <w:rPr>
          <w:rFonts w:ascii="Times New Roman" w:hAnsi="Times New Roman" w:cs="Times New Roman"/>
          <w:szCs w:val="24"/>
          <w:lang w:val="pl-PL"/>
        </w:rPr>
        <w:t>pozostali członkowie rodziny, właściwe władze zobowiązane są co</w:t>
      </w:r>
      <w:r w:rsidR="004C0BE5">
        <w:rPr>
          <w:rFonts w:ascii="Times New Roman" w:hAnsi="Times New Roman" w:cs="Times New Roman"/>
          <w:szCs w:val="24"/>
          <w:lang w:val="pl-PL"/>
        </w:rPr>
        <w:t> </w:t>
      </w:r>
      <w:r w:rsidRPr="00E51B9F">
        <w:rPr>
          <w:rFonts w:ascii="Times New Roman" w:hAnsi="Times New Roman" w:cs="Times New Roman"/>
          <w:szCs w:val="24"/>
          <w:lang w:val="pl-PL"/>
        </w:rPr>
        <w:t xml:space="preserve">najmniej do podjęcia rozsądnych kroków w celu zapewnienia, </w:t>
      </w:r>
      <w:r w:rsidR="00F71C22">
        <w:rPr>
          <w:rFonts w:ascii="Times New Roman" w:hAnsi="Times New Roman" w:cs="Times New Roman"/>
          <w:szCs w:val="24"/>
          <w:lang w:val="pl-PL"/>
        </w:rPr>
        <w:t>by</w:t>
      </w:r>
      <w:r w:rsidRPr="00E51B9F">
        <w:rPr>
          <w:rFonts w:ascii="Times New Roman" w:hAnsi="Times New Roman" w:cs="Times New Roman"/>
          <w:szCs w:val="24"/>
          <w:lang w:val="pl-PL"/>
        </w:rPr>
        <w:t xml:space="preserve"> pozostający przy</w:t>
      </w:r>
      <w:r w:rsidR="0005400C">
        <w:rPr>
          <w:rFonts w:ascii="Times New Roman" w:hAnsi="Times New Roman" w:cs="Times New Roman"/>
          <w:szCs w:val="24"/>
          <w:lang w:val="pl-PL"/>
        </w:rPr>
        <w:t> </w:t>
      </w:r>
      <w:r w:rsidR="00F71C22">
        <w:rPr>
          <w:rFonts w:ascii="Times New Roman" w:hAnsi="Times New Roman" w:cs="Times New Roman"/>
          <w:szCs w:val="24"/>
          <w:lang w:val="pl-PL"/>
        </w:rPr>
        <w:t>życiu członkowie rodziny zostali</w:t>
      </w:r>
      <w:r w:rsidRPr="00E51B9F">
        <w:rPr>
          <w:rFonts w:ascii="Times New Roman" w:hAnsi="Times New Roman" w:cs="Times New Roman"/>
          <w:szCs w:val="24"/>
          <w:lang w:val="pl-PL"/>
        </w:rPr>
        <w:t xml:space="preserve"> poinformowani.</w:t>
      </w:r>
    </w:p>
    <w:p w14:paraId="191AFF55" w14:textId="1B6384FE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39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rFonts w:ascii="Times New Roman" w:hAnsi="Times New Roman"/>
          <w:szCs w:val="24"/>
          <w:lang w:val="pl-PL"/>
        </w:rPr>
        <w:t>W celu ustalenia, czy w niniejszej sprawie spełnione zostały wymogi art. 8 Konwencji, Trybunał w pierwszej kolejności zbada, czy w Rosji istniały odpowiednie ramy prawne umożliwiające właściwe reagowanie na sytuacje podobne do niniejszej, a następnie, czy władze podjęły rozsądne kroki w celu zlokalizowania skarżących i powiadomienia ich o śmierci syna.</w:t>
      </w:r>
    </w:p>
    <w:p w14:paraId="3BC21F0B" w14:textId="17F328AC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40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Odnośnie do ram</w:t>
      </w:r>
      <w:r w:rsidRPr="00E51B9F">
        <w:rPr>
          <w:color w:val="1F497D"/>
          <w:lang w:val="pl-PL"/>
        </w:rPr>
        <w:t xml:space="preserve"> </w:t>
      </w:r>
      <w:r w:rsidRPr="00E51B9F">
        <w:rPr>
          <w:lang w:val="pl-PL"/>
        </w:rPr>
        <w:t xml:space="preserve">i praktyki prawnej Trybunał zauważa, że prawo rosyjskie nie nakładało na władze krajowe wyraźnego obowiązku powiadamiania krewnych o śmierci osoby, która zmarła w wyniku czynu zabronionego. Jest prawdą, że art. 42 § 8 k.p.k. (zob. </w:t>
      </w:r>
      <w:r w:rsidR="00E52A73">
        <w:rPr>
          <w:lang w:val="pl-PL"/>
        </w:rPr>
        <w:t>paragraf</w:t>
      </w:r>
      <w:r w:rsidRPr="00E51B9F">
        <w:rPr>
          <w:lang w:val="pl-PL"/>
        </w:rPr>
        <w:t xml:space="preserve"> 22 powyżej) w</w:t>
      </w:r>
      <w:r w:rsidR="0005400C">
        <w:rPr>
          <w:lang w:val="pl-PL"/>
        </w:rPr>
        <w:t> </w:t>
      </w:r>
      <w:r w:rsidRPr="00E51B9F">
        <w:rPr>
          <w:lang w:val="pl-PL"/>
        </w:rPr>
        <w:t>pewien sposób nałożył na władze obowiązek poszukiwania krewnych zmarłego w sprawie karnej z tego względu, że przyznał im status pokrzywdzonych. Ponadto art. 12 ust. 1 ustawy o pochówku i pogrzebach stanowi</w:t>
      </w:r>
      <w:r w:rsidR="00363116">
        <w:rPr>
          <w:lang w:val="pl-PL"/>
        </w:rPr>
        <w:t>ł</w:t>
      </w:r>
      <w:r w:rsidRPr="00E51B9F">
        <w:rPr>
          <w:lang w:val="pl-PL"/>
        </w:rPr>
        <w:t>, że pochówku zmarłego należ</w:t>
      </w:r>
      <w:r w:rsidR="00363116">
        <w:rPr>
          <w:lang w:val="pl-PL"/>
        </w:rPr>
        <w:t>ało</w:t>
      </w:r>
      <w:r w:rsidRPr="00E51B9F">
        <w:rPr>
          <w:lang w:val="pl-PL"/>
        </w:rPr>
        <w:t xml:space="preserve"> dokonać w terminie trzech dni od</w:t>
      </w:r>
      <w:r w:rsidR="0005400C">
        <w:rPr>
          <w:lang w:val="pl-PL"/>
        </w:rPr>
        <w:t> </w:t>
      </w:r>
      <w:r w:rsidRPr="00E51B9F">
        <w:rPr>
          <w:lang w:val="pl-PL"/>
        </w:rPr>
        <w:t>daty ustalenia przyczyny zgonu wyłącznie w przypadku, gdy brak</w:t>
      </w:r>
      <w:r w:rsidR="00363116">
        <w:rPr>
          <w:lang w:val="pl-PL"/>
        </w:rPr>
        <w:t xml:space="preserve"> było</w:t>
      </w:r>
      <w:r w:rsidRPr="00E51B9F">
        <w:rPr>
          <w:lang w:val="pl-PL"/>
        </w:rPr>
        <w:t xml:space="preserve"> małżonka, krewnego lub przedstawiciela ustawowego zdolnego do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dokonania niezbędnych ustaleń dotyczących pogrzebu (zob. </w:t>
      </w:r>
      <w:r w:rsidR="00E52A73">
        <w:rPr>
          <w:lang w:val="pl-PL"/>
        </w:rPr>
        <w:t>paragraf</w:t>
      </w:r>
      <w:r w:rsidRPr="00E51B9F">
        <w:rPr>
          <w:lang w:val="pl-PL"/>
        </w:rPr>
        <w:t xml:space="preserve"> 25 powyżej).</w:t>
      </w:r>
    </w:p>
    <w:p w14:paraId="212DC78F" w14:textId="48E6BE63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41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Z drugiej strony, stwierdzając w postanowieniu tymczasowym z dnia 6 czerwca 2006 r., że śledcza, pani L., naruszyła prawo procesowe, Sąd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Rejonowy dla rejonu </w:t>
      </w:r>
      <w:proofErr w:type="spellStart"/>
      <w:r w:rsidRPr="00E51B9F">
        <w:rPr>
          <w:lang w:val="pl-PL"/>
        </w:rPr>
        <w:t>primorskiego</w:t>
      </w:r>
      <w:proofErr w:type="spellEnd"/>
      <w:r w:rsidRPr="00E51B9F">
        <w:rPr>
          <w:lang w:val="pl-PL"/>
        </w:rPr>
        <w:t xml:space="preserve"> nie odniósł się do żadnego konkretnego przepisu k.p.k. ani innego aktu prawnego (zob. </w:t>
      </w:r>
      <w:r w:rsidR="00E52A73">
        <w:rPr>
          <w:lang w:val="pl-PL"/>
        </w:rPr>
        <w:t>paragraf</w:t>
      </w:r>
      <w:r w:rsidRPr="00E51B9F">
        <w:rPr>
          <w:lang w:val="pl-PL"/>
        </w:rPr>
        <w:t xml:space="preserve"> 15 powyżej). Rząd w swoich uwagach również nie odniósł się do</w:t>
      </w:r>
      <w:r w:rsidR="0005400C">
        <w:rPr>
          <w:lang w:val="pl-PL"/>
        </w:rPr>
        <w:t> </w:t>
      </w:r>
      <w:r w:rsidRPr="00E51B9F">
        <w:rPr>
          <w:lang w:val="pl-PL"/>
        </w:rPr>
        <w:t>jakiegokolwiek konkretnego przepisu prawa krajowego lub praktyki krajowej.</w:t>
      </w:r>
    </w:p>
    <w:p w14:paraId="744D7543" w14:textId="3956824D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42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rFonts w:ascii="Times New Roman" w:hAnsi="Times New Roman"/>
          <w:szCs w:val="24"/>
          <w:lang w:val="pl-PL"/>
        </w:rPr>
        <w:t>Niemniej jednak, zdaniem Trybunału</w:t>
      </w:r>
      <w:r w:rsidR="00363116">
        <w:rPr>
          <w:rFonts w:ascii="Times New Roman" w:hAnsi="Times New Roman"/>
          <w:szCs w:val="24"/>
          <w:lang w:val="pl-PL"/>
        </w:rPr>
        <w:t>,</w:t>
      </w:r>
      <w:r w:rsidRPr="00E51B9F">
        <w:rPr>
          <w:rFonts w:ascii="Times New Roman" w:hAnsi="Times New Roman"/>
          <w:szCs w:val="24"/>
          <w:lang w:val="pl-PL"/>
        </w:rPr>
        <w:t xml:space="preserve"> taki brak jasności w odniesieniu do krajowych ram prawnych i praktyki</w:t>
      </w:r>
      <w:r w:rsidRPr="00E51B9F">
        <w:rPr>
          <w:rFonts w:ascii="Times New Roman" w:hAnsi="Times New Roman"/>
          <w:color w:val="1F497D"/>
          <w:szCs w:val="24"/>
          <w:lang w:val="pl-PL"/>
        </w:rPr>
        <w:t xml:space="preserve"> </w:t>
      </w:r>
      <w:r w:rsidRPr="00E51B9F">
        <w:rPr>
          <w:rFonts w:ascii="Times New Roman" w:hAnsi="Times New Roman"/>
          <w:szCs w:val="24"/>
          <w:lang w:val="pl-PL"/>
        </w:rPr>
        <w:t xml:space="preserve">nie jest sam w sobie wystarczający, aby stwierdzić </w:t>
      </w:r>
      <w:r w:rsidR="00363116" w:rsidRPr="00E51B9F">
        <w:rPr>
          <w:rFonts w:ascii="Times New Roman" w:hAnsi="Times New Roman"/>
          <w:szCs w:val="24"/>
          <w:lang w:val="pl-PL"/>
        </w:rPr>
        <w:t xml:space="preserve">w niniejszej sprawie </w:t>
      </w:r>
      <w:r w:rsidRPr="00E51B9F">
        <w:rPr>
          <w:rFonts w:ascii="Times New Roman" w:hAnsi="Times New Roman"/>
          <w:szCs w:val="24"/>
          <w:lang w:val="pl-PL"/>
        </w:rPr>
        <w:t xml:space="preserve">naruszenie pozytywnych obowiązków </w:t>
      </w:r>
      <w:r w:rsidR="00363116" w:rsidRPr="00E51B9F">
        <w:rPr>
          <w:rFonts w:ascii="Times New Roman" w:hAnsi="Times New Roman"/>
          <w:szCs w:val="24"/>
          <w:lang w:val="pl-PL"/>
        </w:rPr>
        <w:t xml:space="preserve">pozwanego </w:t>
      </w:r>
      <w:r w:rsidRPr="00E51B9F">
        <w:rPr>
          <w:rFonts w:ascii="Times New Roman" w:hAnsi="Times New Roman"/>
          <w:szCs w:val="24"/>
          <w:lang w:val="pl-PL"/>
        </w:rPr>
        <w:t>Państwa wynikających z art. 8 Konwencji.</w:t>
      </w:r>
    </w:p>
    <w:p w14:paraId="5A989402" w14:textId="72862765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43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rFonts w:ascii="Times New Roman" w:hAnsi="Times New Roman"/>
          <w:szCs w:val="24"/>
          <w:lang w:val="pl-PL"/>
        </w:rPr>
        <w:t xml:space="preserve">W dalszej kolejności Trybunał </w:t>
      </w:r>
      <w:r w:rsidR="00363116">
        <w:rPr>
          <w:rFonts w:ascii="Times New Roman" w:hAnsi="Times New Roman"/>
          <w:szCs w:val="24"/>
          <w:lang w:val="pl-PL"/>
        </w:rPr>
        <w:t xml:space="preserve">zatem </w:t>
      </w:r>
      <w:r w:rsidRPr="00E51B9F">
        <w:rPr>
          <w:rFonts w:ascii="Times New Roman" w:hAnsi="Times New Roman"/>
          <w:szCs w:val="24"/>
          <w:lang w:val="pl-PL"/>
        </w:rPr>
        <w:t>zbada, czy władze rosyjskie podjęły uzasadnione kroki w danych okolicznościach.</w:t>
      </w:r>
    </w:p>
    <w:p w14:paraId="2A72F68E" w14:textId="0712700F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lastRenderedPageBreak/>
        <w:t>44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Z postanowienia tymczasowego z dnia 6 czerwca 2006 r. (zob.</w:t>
      </w:r>
      <w:r w:rsidR="0005400C">
        <w:rPr>
          <w:lang w:val="pl-PL"/>
        </w:rPr>
        <w:t> </w:t>
      </w:r>
      <w:r w:rsidR="00E52A73">
        <w:rPr>
          <w:lang w:val="pl-PL"/>
        </w:rPr>
        <w:t>paragraf</w:t>
      </w:r>
      <w:r w:rsidRPr="00E51B9F">
        <w:rPr>
          <w:lang w:val="pl-PL"/>
        </w:rPr>
        <w:t xml:space="preserve"> </w:t>
      </w:r>
      <w:r w:rsidRPr="00E51B9F">
        <w:rPr>
          <w:noProof/>
          <w:lang w:val="pl-PL"/>
        </w:rPr>
        <w:t>15</w:t>
      </w:r>
      <w:r w:rsidRPr="00E51B9F">
        <w:rPr>
          <w:lang w:val="pl-PL"/>
        </w:rPr>
        <w:t xml:space="preserve"> powyżej) wynika, iż władze miały kilka możliwości ustalenia, że skarżący byli rodzicami </w:t>
      </w:r>
      <w:r w:rsidR="00D36B55">
        <w:rPr>
          <w:lang w:val="pl-PL"/>
        </w:rPr>
        <w:t xml:space="preserve">pana </w:t>
      </w:r>
      <w:r w:rsidRPr="00E51B9F">
        <w:rPr>
          <w:lang w:val="pl-PL"/>
        </w:rPr>
        <w:t xml:space="preserve">M. </w:t>
      </w:r>
      <w:proofErr w:type="spellStart"/>
      <w:r w:rsidR="00FD2B0C" w:rsidRPr="00FD2B0C">
        <w:rPr>
          <w:lang w:val="pl-PL"/>
        </w:rPr>
        <w:t>Lozovoy</w:t>
      </w:r>
      <w:r w:rsidR="00FD2B0C">
        <w:rPr>
          <w:lang w:val="pl-PL"/>
        </w:rPr>
        <w:t>’a</w:t>
      </w:r>
      <w:proofErr w:type="spellEnd"/>
      <w:r w:rsidRPr="00E51B9F">
        <w:rPr>
          <w:lang w:val="pl-PL"/>
        </w:rPr>
        <w:t xml:space="preserve">. Sąd </w:t>
      </w:r>
      <w:r w:rsidR="00D36B55">
        <w:rPr>
          <w:lang w:val="pl-PL"/>
        </w:rPr>
        <w:t>Rejonowy</w:t>
      </w:r>
      <w:r w:rsidRPr="00E51B9F">
        <w:rPr>
          <w:lang w:val="pl-PL"/>
        </w:rPr>
        <w:t xml:space="preserve"> wymienił szereg dokumentów i dowodów, które mogły z łatwością dostarczyć władzom informacji niezbędnych do zlokalizowania skarżących (rejestry rozmów, znajomi pana M. </w:t>
      </w:r>
      <w:proofErr w:type="spellStart"/>
      <w:r w:rsidR="00FD2B0C" w:rsidRPr="00FD2B0C">
        <w:rPr>
          <w:lang w:val="pl-PL"/>
        </w:rPr>
        <w:t>Lozovoy</w:t>
      </w:r>
      <w:r w:rsidR="00FD2B0C">
        <w:rPr>
          <w:lang w:val="pl-PL"/>
        </w:rPr>
        <w:t>’a</w:t>
      </w:r>
      <w:proofErr w:type="spellEnd"/>
      <w:r w:rsidRPr="00E51B9F">
        <w:rPr>
          <w:lang w:val="pl-PL"/>
        </w:rPr>
        <w:t>, jego oficjalne dokumenty dołączone do akt sprawy karnej i tak dalej). Rząd nie przedstawił żadnych wyjaśnień, dlaczego śledcza lub policja nie skorzystali z tych możliwości.</w:t>
      </w:r>
    </w:p>
    <w:p w14:paraId="176979A9" w14:textId="60F3953C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45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Trybunał zauważa, że decyzje o pochówku syna skarżących i</w:t>
      </w:r>
      <w:r w:rsidR="0005400C">
        <w:rPr>
          <w:lang w:val="pl-PL"/>
        </w:rPr>
        <w:t> </w:t>
      </w:r>
      <w:r w:rsidRPr="00E51B9F">
        <w:rPr>
          <w:lang w:val="pl-PL"/>
        </w:rPr>
        <w:t>o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przyznaniu statusu pokrzywdzonych w sprawie karnej przedstawicielowi władz miejskich zostały podjęte przed oficjalnym zakończeniem poszukiwań jego krewnych (zob. </w:t>
      </w:r>
      <w:r w:rsidR="00E52A73">
        <w:rPr>
          <w:lang w:val="pl-PL"/>
        </w:rPr>
        <w:t>paragraf</w:t>
      </w:r>
      <w:r w:rsidRPr="00E51B9F">
        <w:rPr>
          <w:lang w:val="pl-PL"/>
        </w:rPr>
        <w:t xml:space="preserve"> </w:t>
      </w:r>
      <w:r w:rsidRPr="00E51B9F">
        <w:rPr>
          <w:noProof/>
          <w:lang w:val="pl-PL"/>
        </w:rPr>
        <w:t>8</w:t>
      </w:r>
      <w:r w:rsidRPr="00E51B9F">
        <w:rPr>
          <w:lang w:val="pl-PL"/>
        </w:rPr>
        <w:t xml:space="preserve"> i </w:t>
      </w:r>
      <w:r w:rsidRPr="00E51B9F">
        <w:rPr>
          <w:noProof/>
          <w:lang w:val="pl-PL"/>
        </w:rPr>
        <w:t>9</w:t>
      </w:r>
      <w:r w:rsidRPr="00E51B9F">
        <w:rPr>
          <w:lang w:val="pl-PL"/>
        </w:rPr>
        <w:t xml:space="preserve"> powyżej).</w:t>
      </w:r>
    </w:p>
    <w:p w14:paraId="446CF43A" w14:textId="7E612E84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46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W tych okolicznościach, a także uwzględniając fakt, że władze krajowe miały dostęp do danych osobowych pana M. </w:t>
      </w:r>
      <w:proofErr w:type="spellStart"/>
      <w:r w:rsidR="00FD2B0C" w:rsidRPr="00FD2B0C">
        <w:rPr>
          <w:lang w:val="pl-PL"/>
        </w:rPr>
        <w:t>Lozovoy</w:t>
      </w:r>
      <w:r w:rsidR="00FD2B0C">
        <w:rPr>
          <w:lang w:val="pl-PL"/>
        </w:rPr>
        <w:t>’a</w:t>
      </w:r>
      <w:proofErr w:type="spellEnd"/>
      <w:r w:rsidRPr="00E51B9F">
        <w:rPr>
          <w:lang w:val="pl-PL"/>
        </w:rPr>
        <w:t xml:space="preserve"> po jego śmierci, Trybunał stwierdza, że władze nie działały z należytą starannością, a zatem w niniejszej sprawie nie wywiązały się ze swoich obowiązków pozytywnych.</w:t>
      </w:r>
    </w:p>
    <w:p w14:paraId="22E238E0" w14:textId="668635F8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47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="004B3938">
        <w:rPr>
          <w:lang w:val="pl-PL"/>
        </w:rPr>
        <w:t>Doszło</w:t>
      </w:r>
      <w:r w:rsidRPr="00E51B9F">
        <w:rPr>
          <w:lang w:val="pl-PL"/>
        </w:rPr>
        <w:t xml:space="preserve"> zatem </w:t>
      </w:r>
      <w:r w:rsidR="004B3938">
        <w:rPr>
          <w:lang w:val="pl-PL"/>
        </w:rPr>
        <w:t>do naruszenia</w:t>
      </w:r>
      <w:r w:rsidRPr="00E51B9F">
        <w:rPr>
          <w:lang w:val="pl-PL"/>
        </w:rPr>
        <w:t xml:space="preserve"> art. 8 Konwencji.</w:t>
      </w:r>
    </w:p>
    <w:p w14:paraId="5BACC11D" w14:textId="065862D0" w:rsidR="00BD5595" w:rsidRPr="00E51B9F" w:rsidRDefault="00BD5595" w:rsidP="00BD5595">
      <w:pPr>
        <w:pStyle w:val="ECHRHeading1"/>
        <w:rPr>
          <w:lang w:val="pl-PL"/>
        </w:rPr>
      </w:pPr>
      <w:r w:rsidRPr="00E51B9F">
        <w:rPr>
          <w:bCs w:val="0"/>
          <w:lang w:val="pl-PL"/>
        </w:rPr>
        <w:t xml:space="preserve">II. </w:t>
      </w:r>
      <w:r w:rsidR="006D5180">
        <w:rPr>
          <w:bCs w:val="0"/>
          <w:lang w:val="pl-PL"/>
        </w:rPr>
        <w:t>ZARZUT</w:t>
      </w:r>
      <w:r w:rsidRPr="00E51B9F">
        <w:rPr>
          <w:bCs w:val="0"/>
          <w:lang w:val="pl-PL"/>
        </w:rPr>
        <w:t xml:space="preserve"> NARUSZENI</w:t>
      </w:r>
      <w:r w:rsidR="004807C1">
        <w:rPr>
          <w:bCs w:val="0"/>
          <w:lang w:val="pl-PL"/>
        </w:rPr>
        <w:t>A</w:t>
      </w:r>
      <w:r w:rsidRPr="00E51B9F">
        <w:rPr>
          <w:bCs w:val="0"/>
          <w:lang w:val="pl-PL"/>
        </w:rPr>
        <w:t xml:space="preserve"> </w:t>
      </w:r>
      <w:r w:rsidR="00E52A73">
        <w:rPr>
          <w:bCs w:val="0"/>
          <w:lang w:val="pl-PL"/>
        </w:rPr>
        <w:t>ART.</w:t>
      </w:r>
      <w:r w:rsidRPr="00E51B9F">
        <w:rPr>
          <w:bCs w:val="0"/>
          <w:lang w:val="pl-PL"/>
        </w:rPr>
        <w:t xml:space="preserve"> 6 UST. 1 KONWENCJI</w:t>
      </w:r>
    </w:p>
    <w:p w14:paraId="0D796A47" w14:textId="026144DC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48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Skarżący </w:t>
      </w:r>
      <w:r w:rsidR="00D36B55">
        <w:rPr>
          <w:lang w:val="pl-PL"/>
        </w:rPr>
        <w:t>zarzucali, że doszło do</w:t>
      </w:r>
      <w:r w:rsidRPr="00E51B9F">
        <w:rPr>
          <w:lang w:val="pl-PL"/>
        </w:rPr>
        <w:t xml:space="preserve"> naruszenia art. 6 ust. 1 oraz art. 13 Konwencji </w:t>
      </w:r>
      <w:r w:rsidR="00D36B55">
        <w:rPr>
          <w:lang w:val="pl-PL"/>
        </w:rPr>
        <w:t xml:space="preserve">z powodu </w:t>
      </w:r>
      <w:r w:rsidRPr="00E51B9F">
        <w:rPr>
          <w:lang w:val="pl-PL"/>
        </w:rPr>
        <w:t xml:space="preserve">utrudnionego dostępu do postępowania cywilnego </w:t>
      </w:r>
      <w:r w:rsidR="00FA3ECC">
        <w:rPr>
          <w:lang w:val="pl-PL"/>
        </w:rPr>
        <w:t>o</w:t>
      </w:r>
      <w:r w:rsidR="007E0FE4">
        <w:rPr>
          <w:lang w:val="pl-PL"/>
        </w:rPr>
        <w:t> </w:t>
      </w:r>
      <w:r w:rsidR="00FA3ECC">
        <w:rPr>
          <w:lang w:val="pl-PL"/>
        </w:rPr>
        <w:t>odszkodowanie</w:t>
      </w:r>
      <w:r w:rsidR="00D36B55">
        <w:rPr>
          <w:lang w:val="pl-PL"/>
        </w:rPr>
        <w:t xml:space="preserve"> za poniesioną szkodę oraz z powodu wyniku tego postępowania</w:t>
      </w:r>
      <w:r w:rsidRPr="00E51B9F">
        <w:rPr>
          <w:lang w:val="pl-PL"/>
        </w:rPr>
        <w:t xml:space="preserve">. Trybunał uznaje za właściwe, by zbadać </w:t>
      </w:r>
      <w:r w:rsidR="00D36B55">
        <w:rPr>
          <w:lang w:val="pl-PL"/>
        </w:rPr>
        <w:t xml:space="preserve">te zarzuty jedynie na podstawie </w:t>
      </w:r>
      <w:r w:rsidRPr="00E51B9F">
        <w:rPr>
          <w:lang w:val="pl-PL"/>
        </w:rPr>
        <w:t>art. 6 ust. 1 Konwencji.</w:t>
      </w:r>
    </w:p>
    <w:p w14:paraId="05EED91F" w14:textId="004FD185" w:rsidR="00BD5595" w:rsidRPr="00E51B9F" w:rsidRDefault="00BD5595" w:rsidP="00BD5595">
      <w:pPr>
        <w:pStyle w:val="ECHRPara"/>
        <w:rPr>
          <w:rFonts w:eastAsiaTheme="minorHAnsi"/>
          <w:lang w:val="pl-PL"/>
        </w:rPr>
      </w:pPr>
      <w:r w:rsidRPr="00E51B9F">
        <w:rPr>
          <w:rFonts w:eastAsiaTheme="minorHAnsi"/>
          <w:noProof/>
          <w:lang w:val="pl-PL"/>
        </w:rPr>
        <w:t>49</w:t>
      </w:r>
      <w:r w:rsidRPr="00E51B9F">
        <w:rPr>
          <w:rFonts w:eastAsiaTheme="minorHAnsi"/>
          <w:lang w:val="pl-PL"/>
        </w:rPr>
        <w:t>.</w:t>
      </w:r>
      <w:r w:rsidR="006D5180">
        <w:rPr>
          <w:rFonts w:eastAsiaTheme="minorHAnsi"/>
          <w:lang w:val="pl-PL"/>
        </w:rPr>
        <w:t xml:space="preserve"> </w:t>
      </w:r>
      <w:r w:rsidRPr="00E51B9F">
        <w:rPr>
          <w:rFonts w:eastAsiaTheme="minorHAnsi"/>
          <w:lang w:val="pl-PL"/>
        </w:rPr>
        <w:t xml:space="preserve">Trybunał zbadał </w:t>
      </w:r>
      <w:r w:rsidR="00D36B55">
        <w:rPr>
          <w:rFonts w:eastAsiaTheme="minorHAnsi"/>
          <w:lang w:val="pl-PL"/>
        </w:rPr>
        <w:t xml:space="preserve">te </w:t>
      </w:r>
      <w:r w:rsidRPr="00E51B9F">
        <w:rPr>
          <w:rFonts w:eastAsiaTheme="minorHAnsi"/>
          <w:lang w:val="pl-PL"/>
        </w:rPr>
        <w:t xml:space="preserve">zarzuty i uznaje </w:t>
      </w:r>
      <w:r w:rsidR="00D36B55">
        <w:rPr>
          <w:rFonts w:eastAsiaTheme="minorHAnsi"/>
          <w:lang w:val="pl-PL"/>
        </w:rPr>
        <w:t>–</w:t>
      </w:r>
      <w:r w:rsidRPr="00E51B9F">
        <w:rPr>
          <w:rFonts w:eastAsiaTheme="minorHAnsi"/>
          <w:lang w:val="pl-PL"/>
        </w:rPr>
        <w:t xml:space="preserve"> w</w:t>
      </w:r>
      <w:r w:rsidR="00D36B55">
        <w:rPr>
          <w:rFonts w:eastAsiaTheme="minorHAnsi"/>
          <w:lang w:val="pl-PL"/>
        </w:rPr>
        <w:t xml:space="preserve"> </w:t>
      </w:r>
      <w:r w:rsidRPr="00E51B9F">
        <w:rPr>
          <w:rFonts w:eastAsiaTheme="minorHAnsi"/>
          <w:lang w:val="pl-PL"/>
        </w:rPr>
        <w:t>świetle wszystkich posiadanych materiałów oraz w zakresie, w jakim przedmiot skargi leży w</w:t>
      </w:r>
      <w:r w:rsidR="0005400C">
        <w:rPr>
          <w:rFonts w:eastAsiaTheme="minorHAnsi"/>
          <w:lang w:val="pl-PL"/>
        </w:rPr>
        <w:t> </w:t>
      </w:r>
      <w:r w:rsidRPr="00E51B9F">
        <w:rPr>
          <w:rFonts w:eastAsiaTheme="minorHAnsi"/>
          <w:lang w:val="pl-PL"/>
        </w:rPr>
        <w:t xml:space="preserve">jego kompetencji </w:t>
      </w:r>
      <w:r w:rsidR="00D36B55">
        <w:rPr>
          <w:rFonts w:eastAsiaTheme="minorHAnsi"/>
          <w:lang w:val="pl-PL"/>
        </w:rPr>
        <w:t>–</w:t>
      </w:r>
      <w:r w:rsidRPr="00E51B9F">
        <w:rPr>
          <w:rFonts w:eastAsiaTheme="minorHAnsi"/>
          <w:lang w:val="pl-PL"/>
        </w:rPr>
        <w:t xml:space="preserve"> że nie spełniają one kryteriów dopuszczalności określonych w art. 34 i art. 35 Konwencji ani nie wyczerpują znamion naruszenia praw i wolności zagwarantowanych Konwencją lub jej Protokołami.</w:t>
      </w:r>
    </w:p>
    <w:p w14:paraId="370C3DFF" w14:textId="0995F020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rFonts w:ascii="Times New Roman" w:eastAsiaTheme="minorHAnsi" w:hAnsi="Times New Roman" w:cs="Times New Roman"/>
          <w:noProof/>
          <w:color w:val="000000"/>
          <w:szCs w:val="24"/>
          <w:lang w:val="pl-PL"/>
        </w:rPr>
        <w:t>50</w:t>
      </w:r>
      <w:r w:rsidRPr="00E51B9F">
        <w:rPr>
          <w:rFonts w:ascii="Times New Roman" w:eastAsiaTheme="minorHAnsi" w:hAnsi="Times New Roman" w:cs="Times New Roman"/>
          <w:color w:val="000000"/>
          <w:szCs w:val="24"/>
          <w:lang w:val="pl-PL"/>
        </w:rPr>
        <w:t>.</w:t>
      </w:r>
      <w:r w:rsidR="006D5180">
        <w:rPr>
          <w:rFonts w:ascii="Times New Roman" w:eastAsiaTheme="minorHAnsi" w:hAnsi="Times New Roman" w:cs="Times New Roman"/>
          <w:color w:val="000000"/>
          <w:szCs w:val="24"/>
          <w:lang w:val="pl-PL"/>
        </w:rPr>
        <w:t xml:space="preserve"> </w:t>
      </w:r>
      <w:r w:rsidRPr="00E51B9F">
        <w:rPr>
          <w:rFonts w:ascii="Times New Roman" w:eastAsiaTheme="minorHAnsi" w:hAnsi="Times New Roman" w:cs="Times New Roman"/>
          <w:color w:val="000000"/>
          <w:szCs w:val="24"/>
          <w:lang w:val="pl-PL"/>
        </w:rPr>
        <w:t>Zatem ta część skargi musi zostać odrzucona zgodnie z art. 35 ust.</w:t>
      </w:r>
      <w:r w:rsidR="006D5180">
        <w:rPr>
          <w:rFonts w:ascii="Times New Roman" w:eastAsiaTheme="minorHAnsi" w:hAnsi="Times New Roman" w:cs="Times New Roman"/>
          <w:color w:val="000000"/>
          <w:szCs w:val="24"/>
          <w:lang w:val="pl-PL"/>
        </w:rPr>
        <w:t xml:space="preserve"> </w:t>
      </w:r>
      <w:r w:rsidRPr="00E51B9F">
        <w:rPr>
          <w:rFonts w:ascii="Times New Roman" w:eastAsiaTheme="minorHAnsi" w:hAnsi="Times New Roman" w:cs="Times New Roman"/>
          <w:color w:val="000000"/>
          <w:szCs w:val="24"/>
          <w:lang w:val="pl-PL"/>
        </w:rPr>
        <w:t>4 Konwencji.</w:t>
      </w:r>
    </w:p>
    <w:p w14:paraId="6BB34144" w14:textId="4FD3A546" w:rsidR="00BD5595" w:rsidRPr="00E51B9F" w:rsidRDefault="00BD5595" w:rsidP="00BD5595">
      <w:pPr>
        <w:pStyle w:val="ECHRHeading1"/>
        <w:rPr>
          <w:lang w:val="pl-PL"/>
        </w:rPr>
      </w:pPr>
      <w:r w:rsidRPr="00E51B9F">
        <w:rPr>
          <w:bCs w:val="0"/>
          <w:lang w:val="pl-PL"/>
        </w:rPr>
        <w:t>III.</w:t>
      </w:r>
      <w:r w:rsidR="006D5180">
        <w:rPr>
          <w:bCs w:val="0"/>
          <w:lang w:val="pl-PL"/>
        </w:rPr>
        <w:t xml:space="preserve"> </w:t>
      </w:r>
      <w:r w:rsidRPr="00E51B9F">
        <w:rPr>
          <w:bCs w:val="0"/>
          <w:lang w:val="pl-PL"/>
        </w:rPr>
        <w:t xml:space="preserve">ZASTOSOWANIE </w:t>
      </w:r>
      <w:r w:rsidR="00E52A73">
        <w:rPr>
          <w:bCs w:val="0"/>
          <w:lang w:val="pl-PL"/>
        </w:rPr>
        <w:t>ART.</w:t>
      </w:r>
      <w:r w:rsidRPr="00E51B9F">
        <w:rPr>
          <w:bCs w:val="0"/>
          <w:lang w:val="pl-PL"/>
        </w:rPr>
        <w:t xml:space="preserve"> 41 KONWENCJI</w:t>
      </w:r>
    </w:p>
    <w:p w14:paraId="56DBC18B" w14:textId="759E2C86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51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Artykuł 41 Konwencji stanowi:</w:t>
      </w:r>
    </w:p>
    <w:p w14:paraId="479CC471" w14:textId="5FA98138" w:rsidR="00BD5595" w:rsidRPr="00E51B9F" w:rsidRDefault="00BD5595" w:rsidP="00BD5595">
      <w:pPr>
        <w:pStyle w:val="ECHRParaQuote"/>
        <w:keepNext/>
        <w:keepLines/>
        <w:rPr>
          <w:lang w:val="pl-PL"/>
        </w:rPr>
      </w:pPr>
      <w:r w:rsidRPr="00E51B9F">
        <w:rPr>
          <w:lang w:val="pl-PL"/>
        </w:rPr>
        <w:lastRenderedPageBreak/>
        <w:t>„</w:t>
      </w:r>
      <w:r w:rsidR="006D5180" w:rsidRPr="006D5180">
        <w:rPr>
          <w:lang w:val="pl-PL"/>
        </w:rPr>
        <w:t xml:space="preserve">Jeśli Trybunał stwierdzi, że nastąpiło naruszenie Konwencji lub jej </w:t>
      </w:r>
      <w:r w:rsidRPr="00E51B9F">
        <w:rPr>
          <w:lang w:val="pl-PL"/>
        </w:rPr>
        <w:t>P</w:t>
      </w:r>
      <w:r w:rsidR="006D5180" w:rsidRPr="006D5180">
        <w:rPr>
          <w:lang w:val="pl-PL"/>
        </w:rPr>
        <w:t>rotokołów, oraz</w:t>
      </w:r>
      <w:r w:rsidR="0005400C">
        <w:rPr>
          <w:lang w:val="pl-PL"/>
        </w:rPr>
        <w:t> </w:t>
      </w:r>
      <w:r w:rsidR="006D5180" w:rsidRPr="006D5180">
        <w:rPr>
          <w:lang w:val="pl-PL"/>
        </w:rPr>
        <w:t>jeśli prawo wewnętrzne zainteresowanej Wysokiej Układającej się Strony pozwala tylko na częściowe usunięcie konsekwencji tego naruszenia, Trybunał orzeka, gdy</w:t>
      </w:r>
      <w:r w:rsidR="0005400C">
        <w:rPr>
          <w:lang w:val="pl-PL"/>
        </w:rPr>
        <w:t> </w:t>
      </w:r>
      <w:r w:rsidR="006D5180" w:rsidRPr="006D5180">
        <w:rPr>
          <w:lang w:val="pl-PL"/>
        </w:rPr>
        <w:t>zachodzi potrzeba, słuszne zadośćuczynienie pokrzywdzonej stronie</w:t>
      </w:r>
      <w:r w:rsidRPr="00E51B9F">
        <w:rPr>
          <w:lang w:val="pl-PL"/>
        </w:rPr>
        <w:t>”</w:t>
      </w:r>
      <w:r w:rsidR="006D5180">
        <w:rPr>
          <w:lang w:val="pl-PL"/>
        </w:rPr>
        <w:t>.</w:t>
      </w:r>
    </w:p>
    <w:p w14:paraId="6428FFCF" w14:textId="04CF2095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t>A.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Szkoda</w:t>
      </w:r>
    </w:p>
    <w:p w14:paraId="13EAA376" w14:textId="2EC374C8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52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Każdy ze skarżących domagał s</w:t>
      </w:r>
      <w:r w:rsidR="004A2E33">
        <w:rPr>
          <w:lang w:val="pl-PL"/>
        </w:rPr>
        <w:t xml:space="preserve">ię odszkodowania w wysokości 10 </w:t>
      </w:r>
      <w:r w:rsidRPr="00E51B9F">
        <w:rPr>
          <w:lang w:val="pl-PL"/>
        </w:rPr>
        <w:t>000 euro (EUR) z tytułu szkód niemajątkowych</w:t>
      </w:r>
      <w:r w:rsidR="004A2E33">
        <w:rPr>
          <w:lang w:val="pl-PL"/>
        </w:rPr>
        <w:t>. Domagali się również kwoty 37</w:t>
      </w:r>
      <w:r w:rsidR="0005400C">
        <w:rPr>
          <w:lang w:val="pl-PL"/>
        </w:rPr>
        <w:t> </w:t>
      </w:r>
      <w:r w:rsidRPr="00E51B9F">
        <w:rPr>
          <w:lang w:val="pl-PL"/>
        </w:rPr>
        <w:t>049 rubli rosyjskich (RUB) z tytułu szkód majątkowych, wskazując na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wydatki </w:t>
      </w:r>
      <w:r w:rsidR="0095231C">
        <w:rPr>
          <w:lang w:val="pl-PL"/>
        </w:rPr>
        <w:t xml:space="preserve">związane </w:t>
      </w:r>
      <w:r w:rsidRPr="00E51B9F">
        <w:rPr>
          <w:lang w:val="pl-PL"/>
        </w:rPr>
        <w:t>z ekshumacją i ponownym pochówkiem ciała ich syna.</w:t>
      </w:r>
    </w:p>
    <w:p w14:paraId="2B8D91A0" w14:textId="2FBC168F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53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Rząd kwestionował żądanie skarżących z tytułu szkód niemajątkowych jako nadmierne i bezzasadne. W odniesieniu do</w:t>
      </w:r>
      <w:r w:rsidR="0005400C">
        <w:rPr>
          <w:lang w:val="pl-PL"/>
        </w:rPr>
        <w:t> </w:t>
      </w:r>
      <w:r w:rsidRPr="00E51B9F">
        <w:rPr>
          <w:lang w:val="pl-PL"/>
        </w:rPr>
        <w:t>odszkodowania z tytułu szkód majątkowych Rząd oświadczył, że kwota ta może zostać przyz</w:t>
      </w:r>
      <w:r w:rsidR="0095231C">
        <w:rPr>
          <w:lang w:val="pl-PL"/>
        </w:rPr>
        <w:t xml:space="preserve">nana </w:t>
      </w:r>
      <w:r w:rsidRPr="00E51B9F">
        <w:rPr>
          <w:lang w:val="pl-PL"/>
        </w:rPr>
        <w:t>„</w:t>
      </w:r>
      <w:r w:rsidR="0095231C">
        <w:rPr>
          <w:lang w:val="pl-PL"/>
        </w:rPr>
        <w:t xml:space="preserve">ze </w:t>
      </w:r>
      <w:r w:rsidRPr="00E51B9F">
        <w:rPr>
          <w:lang w:val="pl-PL"/>
        </w:rPr>
        <w:t>względów humanitarnych”.</w:t>
      </w:r>
    </w:p>
    <w:p w14:paraId="711883F5" w14:textId="614690AA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54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Trybunał uznaje, że skarżący doznali szkody niemajątkowej w wyniku stwierdzonego naruszenia i z tego tytułu przyznaje im łącznie, na zas</w:t>
      </w:r>
      <w:r w:rsidR="004A2E33">
        <w:rPr>
          <w:lang w:val="pl-PL"/>
        </w:rPr>
        <w:t xml:space="preserve">adzie słuszności, 10 </w:t>
      </w:r>
      <w:r w:rsidRPr="00E51B9F">
        <w:rPr>
          <w:lang w:val="pl-PL"/>
        </w:rPr>
        <w:t>000 euro. W odniesieniu do żądania dotyczące</w:t>
      </w:r>
      <w:r w:rsidR="0095231C">
        <w:rPr>
          <w:lang w:val="pl-PL"/>
        </w:rPr>
        <w:t>go</w:t>
      </w:r>
      <w:r w:rsidRPr="00E51B9F">
        <w:rPr>
          <w:lang w:val="pl-PL"/>
        </w:rPr>
        <w:t xml:space="preserve"> szkody majątkowej, Trybunał uwzględnia je w całości i zasądza na rzecz skarżących 539 euro.</w:t>
      </w:r>
    </w:p>
    <w:p w14:paraId="548B503A" w14:textId="6B28B56D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t>B.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Koszty i wydatki</w:t>
      </w:r>
    </w:p>
    <w:p w14:paraId="7F91B595" w14:textId="41D585D9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55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Skarż</w:t>
      </w:r>
      <w:r w:rsidR="004A2E33">
        <w:rPr>
          <w:lang w:val="pl-PL"/>
        </w:rPr>
        <w:t xml:space="preserve">ący domagali się także kwoty 25 </w:t>
      </w:r>
      <w:r w:rsidRPr="00E51B9F">
        <w:rPr>
          <w:lang w:val="pl-PL"/>
        </w:rPr>
        <w:t xml:space="preserve">687 rubli na pokrycie kosztów i wydatków w postępowaniu </w:t>
      </w:r>
      <w:r w:rsidR="0095231C">
        <w:rPr>
          <w:lang w:val="pl-PL"/>
        </w:rPr>
        <w:t xml:space="preserve">o odszkodowanie </w:t>
      </w:r>
      <w:r w:rsidRPr="00E51B9F">
        <w:rPr>
          <w:lang w:val="pl-PL"/>
        </w:rPr>
        <w:t>przed sądami krajowymi.</w:t>
      </w:r>
    </w:p>
    <w:p w14:paraId="13F00048" w14:textId="7F7EF6F2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56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Rząd kwestionował żądanie skarżących.</w:t>
      </w:r>
    </w:p>
    <w:p w14:paraId="7947740A" w14:textId="57122428" w:rsidR="00BD5595" w:rsidRPr="00E51B9F" w:rsidRDefault="00BD5595" w:rsidP="00BD5595">
      <w:pPr>
        <w:pStyle w:val="ECHRPara"/>
        <w:rPr>
          <w:lang w:val="pl-PL"/>
        </w:rPr>
      </w:pPr>
      <w:r w:rsidRPr="00E51B9F">
        <w:rPr>
          <w:noProof/>
          <w:lang w:val="pl-PL"/>
        </w:rPr>
        <w:t>57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Zg</w:t>
      </w:r>
      <w:r w:rsidR="0095231C">
        <w:rPr>
          <w:lang w:val="pl-PL"/>
        </w:rPr>
        <w:t>odnie z orzecznictwem Trybunału</w:t>
      </w:r>
      <w:r w:rsidRPr="00E51B9F">
        <w:rPr>
          <w:lang w:val="pl-PL"/>
        </w:rPr>
        <w:t xml:space="preserve"> skarżący jest uprawniony do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otrzymania zwrotu kosztów oraz wydatków </w:t>
      </w:r>
      <w:r w:rsidR="0095231C">
        <w:rPr>
          <w:lang w:val="pl-PL"/>
        </w:rPr>
        <w:t xml:space="preserve">tylko </w:t>
      </w:r>
      <w:r w:rsidRPr="00E51B9F">
        <w:rPr>
          <w:lang w:val="pl-PL"/>
        </w:rPr>
        <w:t>w takim zakresie, w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jakim wykazał, że </w:t>
      </w:r>
      <w:r w:rsidR="0095231C">
        <w:rPr>
          <w:lang w:val="pl-PL"/>
        </w:rPr>
        <w:t xml:space="preserve">zostały </w:t>
      </w:r>
      <w:r w:rsidRPr="00E51B9F">
        <w:rPr>
          <w:lang w:val="pl-PL"/>
        </w:rPr>
        <w:t>one rzeczywiście poniesione</w:t>
      </w:r>
      <w:r w:rsidR="0095231C">
        <w:rPr>
          <w:lang w:val="pl-PL"/>
        </w:rPr>
        <w:t xml:space="preserve"> oraz</w:t>
      </w:r>
      <w:r w:rsidRPr="00E51B9F">
        <w:rPr>
          <w:lang w:val="pl-PL"/>
        </w:rPr>
        <w:t xml:space="preserve"> były </w:t>
      </w:r>
      <w:r w:rsidR="0095231C">
        <w:rPr>
          <w:lang w:val="pl-PL"/>
        </w:rPr>
        <w:t xml:space="preserve">konieczne i </w:t>
      </w:r>
      <w:r w:rsidRPr="00E51B9F">
        <w:rPr>
          <w:lang w:val="pl-PL"/>
        </w:rPr>
        <w:t>uzasadnione co do wysokości. W niniejszej sprawie, mając wzgląd na przedstawione dokumenty i powyższe kryteria, Trybunał uznaje za stosowne uznać żądania skarżących w całości i przyznać im kwotę 374</w:t>
      </w:r>
      <w:r w:rsidR="0005400C">
        <w:rPr>
          <w:lang w:val="pl-PL"/>
        </w:rPr>
        <w:t> </w:t>
      </w:r>
      <w:r w:rsidRPr="00E51B9F">
        <w:rPr>
          <w:lang w:val="pl-PL"/>
        </w:rPr>
        <w:t>euro tytułem kosztów i wydatków w postępowaniu krajowym.</w:t>
      </w:r>
    </w:p>
    <w:p w14:paraId="453B9214" w14:textId="6E01F12A" w:rsidR="00BD5595" w:rsidRPr="00E51B9F" w:rsidRDefault="00BD5595" w:rsidP="00BD5595">
      <w:pPr>
        <w:pStyle w:val="ECHRHeading2"/>
        <w:rPr>
          <w:lang w:val="pl-PL"/>
        </w:rPr>
      </w:pPr>
      <w:r w:rsidRPr="00E51B9F">
        <w:rPr>
          <w:lang w:val="pl-PL"/>
        </w:rPr>
        <w:t>C.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Odsetki za zwłokę</w:t>
      </w:r>
    </w:p>
    <w:p w14:paraId="2204E1CB" w14:textId="0674E760" w:rsidR="006F7988" w:rsidRPr="002C5541" w:rsidRDefault="00BD5595" w:rsidP="006F7988">
      <w:pPr>
        <w:pStyle w:val="ECHRPara"/>
        <w:rPr>
          <w:lang w:val="pl-PL"/>
        </w:rPr>
      </w:pPr>
      <w:r w:rsidRPr="00E51B9F">
        <w:rPr>
          <w:noProof/>
          <w:lang w:val="pl-PL"/>
        </w:rPr>
        <w:t>58</w:t>
      </w:r>
      <w:r w:rsidRPr="00E51B9F">
        <w:rPr>
          <w:lang w:val="pl-PL"/>
        </w:rPr>
        <w:t>.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 xml:space="preserve">Trybunał uznaje, że odsetki z tytułu niewypłacenia zasądzonych kwot powinny być ustalone zgodnie </w:t>
      </w:r>
      <w:r w:rsidR="006F7988" w:rsidRPr="00830A25">
        <w:rPr>
          <w:lang w:val="pl-PL"/>
        </w:rPr>
        <w:t>z marginalną stopą procentową Europejskiego Banku Centralnego, plus trzy punkty procentowe</w:t>
      </w:r>
      <w:r w:rsidR="006F7988" w:rsidRPr="002C5541">
        <w:rPr>
          <w:lang w:val="pl-PL"/>
        </w:rPr>
        <w:t>.</w:t>
      </w:r>
    </w:p>
    <w:p w14:paraId="3056DD32" w14:textId="77777777" w:rsidR="006F7988" w:rsidRPr="002C5541" w:rsidRDefault="006F7988" w:rsidP="006F7988">
      <w:pPr>
        <w:pStyle w:val="ECHRPara"/>
        <w:rPr>
          <w:lang w:val="pl-PL"/>
        </w:rPr>
      </w:pPr>
    </w:p>
    <w:p w14:paraId="0A994F06" w14:textId="77777777" w:rsidR="006F7988" w:rsidRPr="00E51B9F" w:rsidRDefault="006F7988" w:rsidP="00BD5595">
      <w:pPr>
        <w:pStyle w:val="ECHRPara"/>
        <w:rPr>
          <w:lang w:val="pl-PL"/>
        </w:rPr>
      </w:pPr>
    </w:p>
    <w:p w14:paraId="0D1CE58E" w14:textId="77777777" w:rsidR="00BD5595" w:rsidRPr="00E51B9F" w:rsidRDefault="00BD5595" w:rsidP="00BD5595">
      <w:pPr>
        <w:pStyle w:val="ECHRTitle1"/>
        <w:rPr>
          <w:lang w:val="pl-PL"/>
        </w:rPr>
      </w:pPr>
      <w:r w:rsidRPr="00E51B9F">
        <w:rPr>
          <w:lang w:val="pl-PL"/>
        </w:rPr>
        <w:lastRenderedPageBreak/>
        <w:t>Z TYCH PRZYCZYN TRYBUNAŁ JEDNOGŁOŚNIE</w:t>
      </w:r>
    </w:p>
    <w:p w14:paraId="289F3282" w14:textId="4DDD0625" w:rsidR="00BD5595" w:rsidRPr="00E51B9F" w:rsidRDefault="00BD5595" w:rsidP="00BD5595">
      <w:pPr>
        <w:pStyle w:val="JuList"/>
        <w:rPr>
          <w:lang w:val="pl-PL"/>
        </w:rPr>
      </w:pPr>
      <w:r w:rsidRPr="00E51B9F">
        <w:rPr>
          <w:lang w:val="pl-PL"/>
        </w:rPr>
        <w:t>1.</w:t>
      </w:r>
      <w:r w:rsidR="006D5180">
        <w:rPr>
          <w:lang w:val="pl-PL"/>
        </w:rPr>
        <w:t xml:space="preserve"> </w:t>
      </w:r>
      <w:r w:rsidRPr="00E51B9F">
        <w:rPr>
          <w:i/>
          <w:iCs/>
          <w:lang w:val="pl-PL"/>
        </w:rPr>
        <w:t xml:space="preserve">Uznaje </w:t>
      </w:r>
      <w:r w:rsidRPr="00E51B9F">
        <w:rPr>
          <w:lang w:val="pl-PL"/>
        </w:rPr>
        <w:t>skargę dotyczącą braku właściwego powiadomienia skarżących przez władze o śmierci ich syna za dopuszczalną, natomiast pozostałą część skargi za niedopuszczalną;</w:t>
      </w:r>
    </w:p>
    <w:p w14:paraId="7E61685C" w14:textId="77777777" w:rsidR="00BD5595" w:rsidRPr="00E51B9F" w:rsidRDefault="00BD5595" w:rsidP="00BD5595">
      <w:pPr>
        <w:pStyle w:val="JuList"/>
        <w:ind w:left="0" w:firstLine="0"/>
        <w:rPr>
          <w:lang w:val="pl-PL"/>
        </w:rPr>
      </w:pPr>
    </w:p>
    <w:p w14:paraId="79ED8808" w14:textId="781A878A" w:rsidR="00BD5595" w:rsidRPr="00E51B9F" w:rsidRDefault="00BD5595" w:rsidP="00BD5595">
      <w:pPr>
        <w:pStyle w:val="JuList"/>
        <w:rPr>
          <w:lang w:val="pl-PL"/>
        </w:rPr>
      </w:pPr>
      <w:r w:rsidRPr="00E51B9F">
        <w:rPr>
          <w:lang w:val="pl-PL"/>
        </w:rPr>
        <w:t>2.</w:t>
      </w:r>
      <w:r w:rsidR="006D5180">
        <w:rPr>
          <w:lang w:val="pl-PL"/>
        </w:rPr>
        <w:t xml:space="preserve"> </w:t>
      </w:r>
      <w:r w:rsidRPr="00E51B9F">
        <w:rPr>
          <w:i/>
          <w:iCs/>
          <w:lang w:val="pl-PL"/>
        </w:rPr>
        <w:t xml:space="preserve">Uznaje, </w:t>
      </w:r>
      <w:r w:rsidRPr="00E51B9F">
        <w:rPr>
          <w:lang w:val="pl-PL"/>
        </w:rPr>
        <w:t xml:space="preserve">że doszło do naruszenia </w:t>
      </w:r>
      <w:r w:rsidR="00E52A73">
        <w:rPr>
          <w:lang w:val="pl-PL"/>
        </w:rPr>
        <w:t>art.</w:t>
      </w:r>
      <w:r w:rsidRPr="00E51B9F">
        <w:rPr>
          <w:lang w:val="pl-PL"/>
        </w:rPr>
        <w:t xml:space="preserve"> 8 Konwencji;</w:t>
      </w:r>
    </w:p>
    <w:p w14:paraId="2888896D" w14:textId="77777777" w:rsidR="00BD5595" w:rsidRPr="00E51B9F" w:rsidRDefault="00BD5595" w:rsidP="00BD5595">
      <w:pPr>
        <w:pStyle w:val="JuList"/>
        <w:rPr>
          <w:lang w:val="pl-PL"/>
        </w:rPr>
      </w:pPr>
    </w:p>
    <w:p w14:paraId="190CF171" w14:textId="0DC376CB" w:rsidR="00BD5595" w:rsidRPr="00E51B9F" w:rsidRDefault="00BD5595" w:rsidP="00BD5595">
      <w:pPr>
        <w:pStyle w:val="JuList"/>
        <w:rPr>
          <w:lang w:val="pl-PL"/>
        </w:rPr>
      </w:pPr>
      <w:r w:rsidRPr="00E51B9F">
        <w:rPr>
          <w:lang w:val="pl-PL"/>
        </w:rPr>
        <w:t>3.</w:t>
      </w:r>
      <w:r w:rsidR="006D5180">
        <w:rPr>
          <w:lang w:val="pl-PL"/>
        </w:rPr>
        <w:t xml:space="preserve"> </w:t>
      </w:r>
      <w:r w:rsidRPr="00E51B9F">
        <w:rPr>
          <w:i/>
          <w:iCs/>
          <w:lang w:val="pl-PL"/>
        </w:rPr>
        <w:t>Uznaje, ż</w:t>
      </w:r>
      <w:r w:rsidR="006F7988">
        <w:rPr>
          <w:i/>
          <w:iCs/>
          <w:lang w:val="pl-PL"/>
        </w:rPr>
        <w:t>e</w:t>
      </w:r>
    </w:p>
    <w:p w14:paraId="20974389" w14:textId="54B00116" w:rsidR="00BD5595" w:rsidRPr="00E51B9F" w:rsidRDefault="00BD5595" w:rsidP="00BD5595">
      <w:pPr>
        <w:pStyle w:val="JuLista"/>
        <w:rPr>
          <w:lang w:val="pl-PL"/>
        </w:rPr>
      </w:pPr>
      <w:r w:rsidRPr="00E51B9F">
        <w:rPr>
          <w:lang w:val="pl-PL"/>
        </w:rPr>
        <w:t>(a)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pozwane Państwo ma obowiązek wypłacić skarżącym, wspólnie, w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terminie trzech miesięcy od dnia, kiedy wyrok stanie się </w:t>
      </w:r>
      <w:r w:rsidR="0021184D">
        <w:rPr>
          <w:lang w:val="pl-PL"/>
        </w:rPr>
        <w:t>ostateczny</w:t>
      </w:r>
      <w:r w:rsidRPr="00E51B9F">
        <w:rPr>
          <w:lang w:val="pl-PL"/>
        </w:rPr>
        <w:t xml:space="preserve"> zgodnie z art. 44 ust. 2 Konwencji, następujące kwoty w przeliczeniu na</w:t>
      </w:r>
      <w:r w:rsidR="0005400C">
        <w:rPr>
          <w:lang w:val="pl-PL"/>
        </w:rPr>
        <w:t> </w:t>
      </w:r>
      <w:r w:rsidRPr="00E51B9F">
        <w:rPr>
          <w:lang w:val="pl-PL"/>
        </w:rPr>
        <w:t>ruble rosyjskie po kursie wymiany obowiązującym w dniu rozliczenia;</w:t>
      </w:r>
    </w:p>
    <w:p w14:paraId="66069D2F" w14:textId="04D78726" w:rsidR="00BD5595" w:rsidRPr="00E51B9F" w:rsidRDefault="00BD5595" w:rsidP="00BD5595">
      <w:pPr>
        <w:pStyle w:val="JuListi"/>
        <w:rPr>
          <w:lang w:val="pl-PL"/>
        </w:rPr>
      </w:pPr>
      <w:r w:rsidRPr="00E51B9F">
        <w:rPr>
          <w:lang w:val="pl-PL"/>
        </w:rPr>
        <w:t>(i)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539 euro (pięćset trzydzieści dziewięć euro), wraz z ewentualnymi podatkami, z tytułu szkody majątkowej;</w:t>
      </w:r>
    </w:p>
    <w:p w14:paraId="26C8F9AE" w14:textId="4816B5DF" w:rsidR="00BD5595" w:rsidRPr="00E51B9F" w:rsidRDefault="00BD5595" w:rsidP="00BD5595">
      <w:pPr>
        <w:pStyle w:val="JuListi"/>
        <w:rPr>
          <w:lang w:val="pl-PL"/>
        </w:rPr>
      </w:pPr>
      <w:r w:rsidRPr="00E51B9F">
        <w:rPr>
          <w:lang w:val="pl-PL"/>
        </w:rPr>
        <w:t>(ii)</w:t>
      </w:r>
      <w:r w:rsidR="006D5180">
        <w:rPr>
          <w:lang w:val="pl-PL"/>
        </w:rPr>
        <w:t xml:space="preserve"> </w:t>
      </w:r>
      <w:r w:rsidR="004A2E33">
        <w:rPr>
          <w:lang w:val="pl-PL"/>
        </w:rPr>
        <w:t xml:space="preserve">10 </w:t>
      </w:r>
      <w:r w:rsidRPr="00E51B9F">
        <w:rPr>
          <w:lang w:val="pl-PL"/>
        </w:rPr>
        <w:t>000 euro (dziesięć tysięcy euro), wraz z ewentualnymi podatkami, z tytułu szkody niemajątkowej;</w:t>
      </w:r>
    </w:p>
    <w:p w14:paraId="071F4761" w14:textId="0AE6FC55" w:rsidR="00BD5595" w:rsidRPr="00E51B9F" w:rsidRDefault="00BD5595" w:rsidP="00BD5595">
      <w:pPr>
        <w:pStyle w:val="JuListi"/>
        <w:rPr>
          <w:lang w:val="pl-PL"/>
        </w:rPr>
      </w:pPr>
      <w:r w:rsidRPr="00E51B9F">
        <w:rPr>
          <w:lang w:val="pl-PL"/>
        </w:rPr>
        <w:t>(iii)</w:t>
      </w:r>
      <w:r w:rsidR="006D5180">
        <w:rPr>
          <w:lang w:val="pl-PL"/>
        </w:rPr>
        <w:t xml:space="preserve"> </w:t>
      </w:r>
      <w:r w:rsidRPr="00E51B9F">
        <w:rPr>
          <w:lang w:val="pl-PL"/>
        </w:rPr>
        <w:t>374 euro (trzysta siedemdziesiąt cztery euro), wraz z</w:t>
      </w:r>
      <w:r w:rsidR="0005400C">
        <w:rPr>
          <w:lang w:val="pl-PL"/>
        </w:rPr>
        <w:t> </w:t>
      </w:r>
      <w:r w:rsidRPr="00E51B9F">
        <w:rPr>
          <w:lang w:val="pl-PL"/>
        </w:rPr>
        <w:t>ewentualnymi pod</w:t>
      </w:r>
      <w:r w:rsidR="006F7988">
        <w:rPr>
          <w:lang w:val="pl-PL"/>
        </w:rPr>
        <w:t>atkami</w:t>
      </w:r>
      <w:r w:rsidRPr="00E51B9F">
        <w:rPr>
          <w:lang w:val="pl-PL"/>
        </w:rPr>
        <w:t>, z tytułu kosztów i wydatków;</w:t>
      </w:r>
    </w:p>
    <w:p w14:paraId="56020C6F" w14:textId="532C9A14" w:rsidR="00BD5595" w:rsidRPr="00E51B9F" w:rsidRDefault="00BD5595" w:rsidP="001E3DEE">
      <w:pPr>
        <w:pStyle w:val="JuLista"/>
        <w:rPr>
          <w:lang w:val="pl-PL"/>
        </w:rPr>
      </w:pPr>
      <w:r w:rsidRPr="00E51B9F">
        <w:rPr>
          <w:lang w:val="pl-PL"/>
        </w:rPr>
        <w:t xml:space="preserve">(b) od </w:t>
      </w:r>
      <w:r w:rsidR="006F7988">
        <w:rPr>
          <w:lang w:val="pl-PL"/>
        </w:rPr>
        <w:t>upływu</w:t>
      </w:r>
      <w:r w:rsidRPr="00E51B9F">
        <w:rPr>
          <w:lang w:val="pl-PL"/>
        </w:rPr>
        <w:t xml:space="preserve"> powyższego trzymiesięcznego terminu do momentu zapłaty płatne od tych sum będą zwykłe odsetki obliczone według </w:t>
      </w:r>
      <w:r w:rsidR="001E3DEE">
        <w:rPr>
          <w:lang w:val="pl-PL"/>
        </w:rPr>
        <w:t>marginalnej stopy procentowej</w:t>
      </w:r>
      <w:r w:rsidR="001E3DEE" w:rsidRPr="001E3DEE">
        <w:rPr>
          <w:lang w:val="pl-PL"/>
        </w:rPr>
        <w:t xml:space="preserve"> Europejskiego Banku Centralnego, plus trzy punkty procentowe.</w:t>
      </w:r>
    </w:p>
    <w:p w14:paraId="27A3E102" w14:textId="2AF00DAB" w:rsidR="00BD5595" w:rsidRPr="00E51B9F" w:rsidRDefault="00BD5595" w:rsidP="00BD5595">
      <w:pPr>
        <w:pStyle w:val="JuParaLast"/>
        <w:rPr>
          <w:lang w:val="pl-PL"/>
        </w:rPr>
      </w:pPr>
      <w:r w:rsidRPr="00E51B9F">
        <w:rPr>
          <w:lang w:val="pl-PL"/>
        </w:rPr>
        <w:t>Sporządzono w języku angielskim i obwieszczono pisemnie dnia 24</w:t>
      </w:r>
      <w:r w:rsidR="0005400C">
        <w:rPr>
          <w:lang w:val="pl-PL"/>
        </w:rPr>
        <w:t> </w:t>
      </w:r>
      <w:r w:rsidRPr="00E51B9F">
        <w:rPr>
          <w:lang w:val="pl-PL"/>
        </w:rPr>
        <w:t xml:space="preserve">kwietnia 2018 r., zgodnie z </w:t>
      </w:r>
      <w:r w:rsidR="00E52A73">
        <w:rPr>
          <w:lang w:val="pl-PL"/>
        </w:rPr>
        <w:t>Regułą</w:t>
      </w:r>
      <w:r w:rsidRPr="00E51B9F">
        <w:rPr>
          <w:lang w:val="pl-PL"/>
        </w:rPr>
        <w:t xml:space="preserve"> 77 </w:t>
      </w:r>
      <w:r w:rsidR="00E52A73">
        <w:rPr>
          <w:rFonts w:cstheme="minorHAnsi"/>
          <w:lang w:val="pl-PL"/>
        </w:rPr>
        <w:t>§§</w:t>
      </w:r>
      <w:r w:rsidR="00E52A73">
        <w:rPr>
          <w:lang w:val="pl-PL"/>
        </w:rPr>
        <w:t xml:space="preserve"> </w:t>
      </w:r>
      <w:r w:rsidRPr="00E51B9F">
        <w:rPr>
          <w:lang w:val="pl-PL"/>
        </w:rPr>
        <w:t>2 i 3 Regulaminu Trybunału.</w:t>
      </w:r>
    </w:p>
    <w:p w14:paraId="54FBC5AB" w14:textId="77777777" w:rsidR="00BD5595" w:rsidRPr="00E51B9F" w:rsidRDefault="00BD5595" w:rsidP="00BD5595">
      <w:pPr>
        <w:pStyle w:val="JuSigned"/>
        <w:rPr>
          <w:lang w:val="pl-PL"/>
        </w:rPr>
      </w:pPr>
      <w:r w:rsidRPr="00E51B9F">
        <w:rPr>
          <w:lang w:val="pl-PL"/>
        </w:rPr>
        <w:tab/>
        <w:t>Stephen Phillips</w:t>
      </w:r>
      <w:r w:rsidRPr="00E51B9F">
        <w:rPr>
          <w:lang w:val="pl-PL"/>
        </w:rPr>
        <w:tab/>
      </w:r>
      <w:r w:rsidRPr="00E51B9F">
        <w:rPr>
          <w:szCs w:val="24"/>
          <w:lang w:val="pl-PL"/>
        </w:rPr>
        <w:t xml:space="preserve">Helena </w:t>
      </w:r>
      <w:proofErr w:type="spellStart"/>
      <w:r w:rsidRPr="00E51B9F">
        <w:rPr>
          <w:szCs w:val="24"/>
          <w:lang w:val="pl-PL"/>
        </w:rPr>
        <w:t>Jäderblom</w:t>
      </w:r>
      <w:proofErr w:type="spellEnd"/>
      <w:r w:rsidRPr="00E51B9F">
        <w:rPr>
          <w:szCs w:val="24"/>
          <w:lang w:val="pl-PL"/>
        </w:rPr>
        <w:br/>
      </w:r>
      <w:r w:rsidRPr="00E51B9F">
        <w:rPr>
          <w:lang w:val="pl-PL"/>
        </w:rPr>
        <w:tab/>
        <w:t>Kanclerz</w:t>
      </w:r>
      <w:r w:rsidRPr="00E51B9F">
        <w:rPr>
          <w:lang w:val="pl-PL"/>
        </w:rPr>
        <w:tab/>
        <w:t>Przewodnicząca</w:t>
      </w:r>
    </w:p>
    <w:p w14:paraId="59DB16F3" w14:textId="77777777" w:rsidR="00BD5595" w:rsidRPr="00E51B9F" w:rsidRDefault="00BD5595" w:rsidP="00BD5595">
      <w:pPr>
        <w:pStyle w:val="JuParaLast"/>
        <w:rPr>
          <w:lang w:val="pl-PL"/>
        </w:rPr>
      </w:pPr>
    </w:p>
    <w:p w14:paraId="450C3C59" w14:textId="77777777" w:rsidR="0068761F" w:rsidRPr="00E51B9F" w:rsidRDefault="0068761F" w:rsidP="00BD5595">
      <w:pPr>
        <w:rPr>
          <w:lang w:val="pl-PL"/>
        </w:rPr>
      </w:pPr>
    </w:p>
    <w:sectPr w:rsidR="0068761F" w:rsidRPr="00E51B9F" w:rsidSect="00FB231A">
      <w:headerReference w:type="even" r:id="rId14"/>
      <w:head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182B4E" w14:textId="77777777" w:rsidR="005E1BB4" w:rsidRPr="00E4133A" w:rsidRDefault="005E1BB4" w:rsidP="00014566">
      <w:r>
        <w:separator/>
      </w:r>
    </w:p>
  </w:endnote>
  <w:endnote w:type="continuationSeparator" w:id="0">
    <w:p w14:paraId="4697BE88" w14:textId="77777777" w:rsidR="005E1BB4" w:rsidRPr="00E4133A" w:rsidRDefault="005E1BB4" w:rsidP="00014566">
      <w:r>
        <w:continuationSeparator/>
      </w:r>
    </w:p>
  </w:endnote>
  <w:endnote w:type="continuationNotice" w:id="1">
    <w:p w14:paraId="1E09A065" w14:textId="77777777" w:rsidR="005E1BB4" w:rsidRDefault="005E1B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IDFont+F1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8803E0" w14:textId="77777777" w:rsidR="007519F2" w:rsidRPr="00150BFA" w:rsidRDefault="007519F2" w:rsidP="007519F2">
    <w:pPr>
      <w:jc w:val="center"/>
    </w:pPr>
    <w:r>
      <w:rPr>
        <w:noProof/>
        <w:lang w:val="pl-PL" w:eastAsia="pl-PL"/>
      </w:rPr>
      <w:drawing>
        <wp:inline distT="0" distB="0" distL="0" distR="0" wp14:anchorId="2E0C5E88" wp14:editId="2B935EC6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98105" w14:textId="77777777" w:rsidR="007519F2" w:rsidRDefault="007519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5E5621" w14:textId="77777777" w:rsidR="005E1BB4" w:rsidRPr="00E4133A" w:rsidRDefault="005E1BB4" w:rsidP="00014566">
      <w:r>
        <w:separator/>
      </w:r>
    </w:p>
  </w:footnote>
  <w:footnote w:type="continuationSeparator" w:id="0">
    <w:p w14:paraId="73416AA2" w14:textId="77777777" w:rsidR="005E1BB4" w:rsidRPr="00E4133A" w:rsidRDefault="005E1BB4" w:rsidP="00014566">
      <w:r>
        <w:continuationSeparator/>
      </w:r>
    </w:p>
  </w:footnote>
  <w:footnote w:type="continuationNotice" w:id="1">
    <w:p w14:paraId="5BA18F52" w14:textId="77777777" w:rsidR="005E1BB4" w:rsidRDefault="005E1BB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27E967" w14:textId="77777777" w:rsidR="007519F2" w:rsidRPr="00FB231A" w:rsidRDefault="007519F2" w:rsidP="00FB231A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A21F3B" w14:textId="77777777" w:rsidR="007519F2" w:rsidRPr="00A45145" w:rsidRDefault="007519F2" w:rsidP="007519F2">
    <w:pPr>
      <w:jc w:val="center"/>
    </w:pPr>
    <w:r>
      <w:rPr>
        <w:noProof/>
        <w:lang w:val="pl-PL" w:eastAsia="pl-PL"/>
      </w:rPr>
      <w:drawing>
        <wp:inline distT="0" distB="0" distL="0" distR="0" wp14:anchorId="2A2A62C1" wp14:editId="371B5158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950E32" w14:textId="77777777" w:rsidR="007519F2" w:rsidRDefault="007519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38ADFA" w14:textId="39FFFCDC" w:rsidR="007519F2" w:rsidRPr="00153D8A" w:rsidRDefault="007519F2" w:rsidP="00EE1DA9">
    <w:pPr>
      <w:pStyle w:val="ECHRHeader"/>
      <w:rPr>
        <w:lang w:val="pl-PL"/>
      </w:rPr>
    </w:pPr>
    <w:r>
      <w:rPr>
        <w:rStyle w:val="Numerstrony"/>
        <w:szCs w:val="18"/>
        <w:lang w:val="pl"/>
      </w:rPr>
      <w:fldChar w:fldCharType="begin"/>
    </w:r>
    <w:r>
      <w:rPr>
        <w:rStyle w:val="Numerstrony"/>
        <w:szCs w:val="18"/>
        <w:lang w:val="pl"/>
      </w:rPr>
      <w:instrText xml:space="preserve"> PAGE </w:instrText>
    </w:r>
    <w:r>
      <w:rPr>
        <w:rStyle w:val="Numerstrony"/>
        <w:szCs w:val="18"/>
        <w:lang w:val="pl"/>
      </w:rPr>
      <w:fldChar w:fldCharType="separate"/>
    </w:r>
    <w:r w:rsidR="00CD559D">
      <w:rPr>
        <w:rStyle w:val="Numerstrony"/>
        <w:noProof/>
        <w:szCs w:val="18"/>
        <w:lang w:val="pl"/>
      </w:rPr>
      <w:t>10</w:t>
    </w:r>
    <w:r>
      <w:rPr>
        <w:rStyle w:val="Numerstrony"/>
        <w:szCs w:val="18"/>
        <w:lang w:val="pl"/>
      </w:rPr>
      <w:fldChar w:fldCharType="end"/>
    </w:r>
    <w:r>
      <w:rPr>
        <w:lang w:val="pl"/>
      </w:rPr>
      <w:tab/>
      <w:t xml:space="preserve">WYROK w sprawie </w:t>
    </w:r>
    <w:proofErr w:type="spellStart"/>
    <w:r w:rsidRPr="001D5E48">
      <w:rPr>
        <w:lang w:val="pl"/>
      </w:rPr>
      <w:t>LOZOVYYE</w:t>
    </w:r>
    <w:proofErr w:type="spellEnd"/>
    <w:r w:rsidRPr="001D5E48">
      <w:rPr>
        <w:lang w:val="pl"/>
      </w:rPr>
      <w:t xml:space="preserve"> </w:t>
    </w:r>
    <w:r>
      <w:rPr>
        <w:lang w:val="pl"/>
      </w:rPr>
      <w:t>przeciwko ROSJI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6500B" w14:textId="52879764" w:rsidR="007519F2" w:rsidRPr="00153D8A" w:rsidRDefault="007519F2" w:rsidP="00D60D87">
    <w:pPr>
      <w:pStyle w:val="ECHRHeader"/>
      <w:rPr>
        <w:lang w:val="pl-PL"/>
      </w:rPr>
    </w:pPr>
    <w:r>
      <w:rPr>
        <w:lang w:val="pl"/>
      </w:rPr>
      <w:tab/>
      <w:t xml:space="preserve">WYROK w sprawie </w:t>
    </w:r>
    <w:proofErr w:type="spellStart"/>
    <w:r w:rsidRPr="001D5E48">
      <w:rPr>
        <w:lang w:val="pl"/>
      </w:rPr>
      <w:t>LOZOVYYE</w:t>
    </w:r>
    <w:proofErr w:type="spellEnd"/>
    <w:r>
      <w:rPr>
        <w:lang w:val="pl"/>
      </w:rPr>
      <w:t xml:space="preserve"> przeciwko ROSJI</w:t>
    </w:r>
    <w:r>
      <w:rPr>
        <w:lang w:val="pl"/>
      </w:rPr>
      <w:tab/>
    </w:r>
    <w:r>
      <w:rPr>
        <w:rStyle w:val="Numerstrony"/>
        <w:szCs w:val="18"/>
        <w:lang w:val="pl"/>
      </w:rPr>
      <w:fldChar w:fldCharType="begin"/>
    </w:r>
    <w:r>
      <w:rPr>
        <w:rStyle w:val="Numerstrony"/>
        <w:szCs w:val="18"/>
        <w:lang w:val="pl"/>
      </w:rPr>
      <w:instrText xml:space="preserve"> PAGE </w:instrText>
    </w:r>
    <w:r>
      <w:rPr>
        <w:rStyle w:val="Numerstrony"/>
        <w:szCs w:val="18"/>
        <w:lang w:val="pl"/>
      </w:rPr>
      <w:fldChar w:fldCharType="separate"/>
    </w:r>
    <w:r w:rsidR="00CD559D">
      <w:rPr>
        <w:rStyle w:val="Numerstrony"/>
        <w:noProof/>
        <w:szCs w:val="18"/>
        <w:lang w:val="pl"/>
      </w:rPr>
      <w:t>1</w:t>
    </w:r>
    <w:r>
      <w:rPr>
        <w:rStyle w:val="Numerstrony"/>
        <w:szCs w:val="18"/>
        <w:lang w:val="pl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0180FE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90ECFBC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5B8BEF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F1CF73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3802660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C2C346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482EC3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666B2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276011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66004F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163F153D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5B1932"/>
    <w:multiLevelType w:val="hybridMultilevel"/>
    <w:tmpl w:val="5148AAD0"/>
    <w:lvl w:ilvl="0" w:tplc="24A42CC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76903243"/>
    <w:multiLevelType w:val="multilevel"/>
    <w:tmpl w:val="E884A926"/>
    <w:lvl w:ilvl="0">
      <w:start w:val="1"/>
      <w:numFmt w:val="decimal"/>
      <w:pStyle w:val="JuAppQuestio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737461D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4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3"/>
  </w:num>
  <w:num w:numId="16">
    <w:abstractNumId w:val="13"/>
  </w:num>
  <w:num w:numId="17">
    <w:abstractNumId w:val="11"/>
  </w:num>
  <w:num w:numId="18">
    <w:abstractNumId w:val="13"/>
  </w:num>
  <w:num w:numId="19">
    <w:abstractNumId w:val="13"/>
  </w:num>
  <w:num w:numId="20">
    <w:abstractNumId w:val="13"/>
  </w:num>
  <w:num w:numId="21">
    <w:abstractNumId w:val="13"/>
  </w:num>
  <w:num w:numId="22">
    <w:abstractNumId w:val="13"/>
  </w:num>
  <w:num w:numId="23">
    <w:abstractNumId w:val="13"/>
  </w:num>
  <w:num w:numId="24">
    <w:abstractNumId w:val="13"/>
  </w:num>
  <w:num w:numId="25">
    <w:abstractNumId w:val="13"/>
  </w:num>
  <w:num w:numId="26">
    <w:abstractNumId w:val="13"/>
  </w:num>
  <w:num w:numId="27">
    <w:abstractNumId w:val="13"/>
  </w:num>
  <w:num w:numId="28">
    <w:abstractNumId w:val="13"/>
  </w:num>
  <w:num w:numId="29">
    <w:abstractNumId w:val="13"/>
  </w:num>
  <w:num w:numId="30">
    <w:abstractNumId w:val="13"/>
  </w:num>
  <w:num w:numId="31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SignForeName" w:val="0"/>
  </w:docVars>
  <w:rsids>
    <w:rsidRoot w:val="004D455E"/>
    <w:rsid w:val="00000067"/>
    <w:rsid w:val="000010ED"/>
    <w:rsid w:val="00002C86"/>
    <w:rsid w:val="000041F8"/>
    <w:rsid w:val="000042A8"/>
    <w:rsid w:val="00004308"/>
    <w:rsid w:val="00005BF0"/>
    <w:rsid w:val="00007154"/>
    <w:rsid w:val="00010260"/>
    <w:rsid w:val="000103AE"/>
    <w:rsid w:val="00011A4B"/>
    <w:rsid w:val="00011D69"/>
    <w:rsid w:val="00012AD3"/>
    <w:rsid w:val="00014563"/>
    <w:rsid w:val="00014566"/>
    <w:rsid w:val="00015C2D"/>
    <w:rsid w:val="00015F00"/>
    <w:rsid w:val="00022C1D"/>
    <w:rsid w:val="00034987"/>
    <w:rsid w:val="000350E3"/>
    <w:rsid w:val="0005400C"/>
    <w:rsid w:val="000602DF"/>
    <w:rsid w:val="00061B05"/>
    <w:rsid w:val="00062973"/>
    <w:rsid w:val="00062D5D"/>
    <w:rsid w:val="000632D5"/>
    <w:rsid w:val="000644EE"/>
    <w:rsid w:val="00066F84"/>
    <w:rsid w:val="00071653"/>
    <w:rsid w:val="00071ABC"/>
    <w:rsid w:val="0007222A"/>
    <w:rsid w:val="0007627E"/>
    <w:rsid w:val="000856D7"/>
    <w:rsid w:val="00085F5B"/>
    <w:rsid w:val="000902AD"/>
    <w:rsid w:val="000925AD"/>
    <w:rsid w:val="00092E23"/>
    <w:rsid w:val="00095311"/>
    <w:rsid w:val="000976A9"/>
    <w:rsid w:val="000A24BA"/>
    <w:rsid w:val="000A24EB"/>
    <w:rsid w:val="000A4D75"/>
    <w:rsid w:val="000B125D"/>
    <w:rsid w:val="000B6923"/>
    <w:rsid w:val="000C01BE"/>
    <w:rsid w:val="000C033C"/>
    <w:rsid w:val="000C31FA"/>
    <w:rsid w:val="000C3953"/>
    <w:rsid w:val="000C5F3C"/>
    <w:rsid w:val="000C6DCC"/>
    <w:rsid w:val="000C794D"/>
    <w:rsid w:val="000D0295"/>
    <w:rsid w:val="000D15F9"/>
    <w:rsid w:val="000D2A5C"/>
    <w:rsid w:val="000D3D3E"/>
    <w:rsid w:val="000D42E2"/>
    <w:rsid w:val="000D47AA"/>
    <w:rsid w:val="000D4F2E"/>
    <w:rsid w:val="000D721F"/>
    <w:rsid w:val="000E069B"/>
    <w:rsid w:val="000E0E82"/>
    <w:rsid w:val="000E1DC5"/>
    <w:rsid w:val="000E223F"/>
    <w:rsid w:val="000E2867"/>
    <w:rsid w:val="000E35AC"/>
    <w:rsid w:val="000E757F"/>
    <w:rsid w:val="000E7D45"/>
    <w:rsid w:val="000F010B"/>
    <w:rsid w:val="000F2C29"/>
    <w:rsid w:val="000F7851"/>
    <w:rsid w:val="00104E23"/>
    <w:rsid w:val="00111B0C"/>
    <w:rsid w:val="0011565B"/>
    <w:rsid w:val="00120D6C"/>
    <w:rsid w:val="00123B64"/>
    <w:rsid w:val="001257EC"/>
    <w:rsid w:val="00132C5C"/>
    <w:rsid w:val="00132C6A"/>
    <w:rsid w:val="001336E0"/>
    <w:rsid w:val="00133D33"/>
    <w:rsid w:val="00134D64"/>
    <w:rsid w:val="00135A30"/>
    <w:rsid w:val="0013612C"/>
    <w:rsid w:val="00137FF6"/>
    <w:rsid w:val="00141650"/>
    <w:rsid w:val="001457D8"/>
    <w:rsid w:val="001473C2"/>
    <w:rsid w:val="00150C83"/>
    <w:rsid w:val="00153D8A"/>
    <w:rsid w:val="00160C77"/>
    <w:rsid w:val="00162A12"/>
    <w:rsid w:val="00166530"/>
    <w:rsid w:val="00181FEC"/>
    <w:rsid w:val="001832BD"/>
    <w:rsid w:val="00184791"/>
    <w:rsid w:val="00186F9C"/>
    <w:rsid w:val="001900F1"/>
    <w:rsid w:val="0019019B"/>
    <w:rsid w:val="00193116"/>
    <w:rsid w:val="001943B5"/>
    <w:rsid w:val="00195134"/>
    <w:rsid w:val="001A145B"/>
    <w:rsid w:val="001A34CB"/>
    <w:rsid w:val="001A674C"/>
    <w:rsid w:val="001A7299"/>
    <w:rsid w:val="001B3B24"/>
    <w:rsid w:val="001B5162"/>
    <w:rsid w:val="001C0F98"/>
    <w:rsid w:val="001C2A42"/>
    <w:rsid w:val="001C6318"/>
    <w:rsid w:val="001D24A1"/>
    <w:rsid w:val="001D4C2A"/>
    <w:rsid w:val="001D5E48"/>
    <w:rsid w:val="001D63ED"/>
    <w:rsid w:val="001D7348"/>
    <w:rsid w:val="001E035B"/>
    <w:rsid w:val="001E0961"/>
    <w:rsid w:val="001E3DEE"/>
    <w:rsid w:val="001E3EAE"/>
    <w:rsid w:val="001E5348"/>
    <w:rsid w:val="001E6F32"/>
    <w:rsid w:val="001F0A0F"/>
    <w:rsid w:val="001F2145"/>
    <w:rsid w:val="001F29C9"/>
    <w:rsid w:val="001F6262"/>
    <w:rsid w:val="001F67B0"/>
    <w:rsid w:val="001F7B3D"/>
    <w:rsid w:val="00205F9F"/>
    <w:rsid w:val="00210338"/>
    <w:rsid w:val="0021054F"/>
    <w:rsid w:val="002115FC"/>
    <w:rsid w:val="0021184D"/>
    <w:rsid w:val="002133F8"/>
    <w:rsid w:val="0021423C"/>
    <w:rsid w:val="0021557F"/>
    <w:rsid w:val="002156DC"/>
    <w:rsid w:val="00215BF8"/>
    <w:rsid w:val="00223642"/>
    <w:rsid w:val="00230D00"/>
    <w:rsid w:val="00231DF7"/>
    <w:rsid w:val="00231E16"/>
    <w:rsid w:val="00231FD1"/>
    <w:rsid w:val="00232A13"/>
    <w:rsid w:val="002339E0"/>
    <w:rsid w:val="00233CF8"/>
    <w:rsid w:val="00235245"/>
    <w:rsid w:val="0023575D"/>
    <w:rsid w:val="00235B45"/>
    <w:rsid w:val="00237148"/>
    <w:rsid w:val="0024222D"/>
    <w:rsid w:val="0024299C"/>
    <w:rsid w:val="00244B0E"/>
    <w:rsid w:val="00244F6C"/>
    <w:rsid w:val="002458CF"/>
    <w:rsid w:val="0024721C"/>
    <w:rsid w:val="00247622"/>
    <w:rsid w:val="00247B06"/>
    <w:rsid w:val="00250B4E"/>
    <w:rsid w:val="00252C55"/>
    <w:rsid w:val="002532C5"/>
    <w:rsid w:val="00260C03"/>
    <w:rsid w:val="0026540E"/>
    <w:rsid w:val="0027225C"/>
    <w:rsid w:val="00272D0C"/>
    <w:rsid w:val="00275123"/>
    <w:rsid w:val="00276D61"/>
    <w:rsid w:val="00282240"/>
    <w:rsid w:val="002835A5"/>
    <w:rsid w:val="0028572A"/>
    <w:rsid w:val="00292BF2"/>
    <w:rsid w:val="002933B3"/>
    <w:rsid w:val="002948AD"/>
    <w:rsid w:val="00294C05"/>
    <w:rsid w:val="00294C92"/>
    <w:rsid w:val="002A01CC"/>
    <w:rsid w:val="002A0DD3"/>
    <w:rsid w:val="002A5367"/>
    <w:rsid w:val="002A61B1"/>
    <w:rsid w:val="002A663C"/>
    <w:rsid w:val="002B1E6C"/>
    <w:rsid w:val="002B2572"/>
    <w:rsid w:val="002B3DE7"/>
    <w:rsid w:val="002B3F83"/>
    <w:rsid w:val="002B444B"/>
    <w:rsid w:val="002B5887"/>
    <w:rsid w:val="002B598F"/>
    <w:rsid w:val="002C0692"/>
    <w:rsid w:val="002C0E27"/>
    <w:rsid w:val="002C0E41"/>
    <w:rsid w:val="002C3040"/>
    <w:rsid w:val="002C5BED"/>
    <w:rsid w:val="002D022D"/>
    <w:rsid w:val="002D15DA"/>
    <w:rsid w:val="002D24BB"/>
    <w:rsid w:val="002E117F"/>
    <w:rsid w:val="002E3108"/>
    <w:rsid w:val="002E3186"/>
    <w:rsid w:val="002E76FD"/>
    <w:rsid w:val="002F0846"/>
    <w:rsid w:val="002F16CB"/>
    <w:rsid w:val="002F171B"/>
    <w:rsid w:val="002F2AF7"/>
    <w:rsid w:val="002F6F6C"/>
    <w:rsid w:val="002F7E1C"/>
    <w:rsid w:val="00301A75"/>
    <w:rsid w:val="00301C5B"/>
    <w:rsid w:val="00302F70"/>
    <w:rsid w:val="0030336F"/>
    <w:rsid w:val="0030375E"/>
    <w:rsid w:val="003079CB"/>
    <w:rsid w:val="00307F47"/>
    <w:rsid w:val="0031102C"/>
    <w:rsid w:val="00312A30"/>
    <w:rsid w:val="00316405"/>
    <w:rsid w:val="00316511"/>
    <w:rsid w:val="00320F72"/>
    <w:rsid w:val="0032463E"/>
    <w:rsid w:val="00326224"/>
    <w:rsid w:val="0032676F"/>
    <w:rsid w:val="00326C68"/>
    <w:rsid w:val="00331EAC"/>
    <w:rsid w:val="00333859"/>
    <w:rsid w:val="003371FA"/>
    <w:rsid w:val="00337EE4"/>
    <w:rsid w:val="00340FFD"/>
    <w:rsid w:val="00343457"/>
    <w:rsid w:val="00343C09"/>
    <w:rsid w:val="0034591A"/>
    <w:rsid w:val="0035022C"/>
    <w:rsid w:val="003506B1"/>
    <w:rsid w:val="00354F7E"/>
    <w:rsid w:val="0035552A"/>
    <w:rsid w:val="0035658C"/>
    <w:rsid w:val="00356AC7"/>
    <w:rsid w:val="003609FA"/>
    <w:rsid w:val="00363116"/>
    <w:rsid w:val="003673E0"/>
    <w:rsid w:val="003710C8"/>
    <w:rsid w:val="003750BE"/>
    <w:rsid w:val="00380787"/>
    <w:rsid w:val="00381113"/>
    <w:rsid w:val="00385A6C"/>
    <w:rsid w:val="00387B9D"/>
    <w:rsid w:val="0039364F"/>
    <w:rsid w:val="00393E88"/>
    <w:rsid w:val="00396686"/>
    <w:rsid w:val="00396BB1"/>
    <w:rsid w:val="0039778E"/>
    <w:rsid w:val="003A441D"/>
    <w:rsid w:val="003A71EF"/>
    <w:rsid w:val="003B4941"/>
    <w:rsid w:val="003B49B5"/>
    <w:rsid w:val="003B79F3"/>
    <w:rsid w:val="003C1158"/>
    <w:rsid w:val="003C5603"/>
    <w:rsid w:val="003C5714"/>
    <w:rsid w:val="003C6209"/>
    <w:rsid w:val="003C6B9F"/>
    <w:rsid w:val="003C6E2A"/>
    <w:rsid w:val="003D0299"/>
    <w:rsid w:val="003D0AE9"/>
    <w:rsid w:val="003E0FB7"/>
    <w:rsid w:val="003E4615"/>
    <w:rsid w:val="003E6877"/>
    <w:rsid w:val="003E6D80"/>
    <w:rsid w:val="003F05FA"/>
    <w:rsid w:val="003F244A"/>
    <w:rsid w:val="003F30B8"/>
    <w:rsid w:val="003F4C45"/>
    <w:rsid w:val="003F5949"/>
    <w:rsid w:val="003F5F7B"/>
    <w:rsid w:val="003F700D"/>
    <w:rsid w:val="003F7D27"/>
    <w:rsid w:val="003F7D64"/>
    <w:rsid w:val="0040225F"/>
    <w:rsid w:val="00402F36"/>
    <w:rsid w:val="0040304E"/>
    <w:rsid w:val="004062D6"/>
    <w:rsid w:val="00414300"/>
    <w:rsid w:val="004143C3"/>
    <w:rsid w:val="004227ED"/>
    <w:rsid w:val="00422971"/>
    <w:rsid w:val="00424FF1"/>
    <w:rsid w:val="00425C67"/>
    <w:rsid w:val="0042608B"/>
    <w:rsid w:val="00427B60"/>
    <w:rsid w:val="00427E7A"/>
    <w:rsid w:val="0043124E"/>
    <w:rsid w:val="00436307"/>
    <w:rsid w:val="00436C49"/>
    <w:rsid w:val="00445366"/>
    <w:rsid w:val="00447F5B"/>
    <w:rsid w:val="0045471E"/>
    <w:rsid w:val="00461DB0"/>
    <w:rsid w:val="00463926"/>
    <w:rsid w:val="00464097"/>
    <w:rsid w:val="004646E0"/>
    <w:rsid w:val="00464C9A"/>
    <w:rsid w:val="00464F55"/>
    <w:rsid w:val="00470528"/>
    <w:rsid w:val="00473607"/>
    <w:rsid w:val="00474F3D"/>
    <w:rsid w:val="00477E3A"/>
    <w:rsid w:val="004807C1"/>
    <w:rsid w:val="00483E5F"/>
    <w:rsid w:val="00485FF9"/>
    <w:rsid w:val="0048769A"/>
    <w:rsid w:val="00487CDC"/>
    <w:rsid w:val="004907F0"/>
    <w:rsid w:val="0049140B"/>
    <w:rsid w:val="004923A5"/>
    <w:rsid w:val="00496BFB"/>
    <w:rsid w:val="004A15C7"/>
    <w:rsid w:val="004A2E33"/>
    <w:rsid w:val="004B013B"/>
    <w:rsid w:val="004B112B"/>
    <w:rsid w:val="004B1DA7"/>
    <w:rsid w:val="004B3938"/>
    <w:rsid w:val="004B7F10"/>
    <w:rsid w:val="004C01E4"/>
    <w:rsid w:val="004C086C"/>
    <w:rsid w:val="004C0BE5"/>
    <w:rsid w:val="004C1C16"/>
    <w:rsid w:val="004C1F56"/>
    <w:rsid w:val="004C27BC"/>
    <w:rsid w:val="004C42C9"/>
    <w:rsid w:val="004C4BFF"/>
    <w:rsid w:val="004C5111"/>
    <w:rsid w:val="004C6B3B"/>
    <w:rsid w:val="004C716E"/>
    <w:rsid w:val="004D15F3"/>
    <w:rsid w:val="004D347F"/>
    <w:rsid w:val="004D455E"/>
    <w:rsid w:val="004D5311"/>
    <w:rsid w:val="004D5DCC"/>
    <w:rsid w:val="004F10AF"/>
    <w:rsid w:val="004F11A4"/>
    <w:rsid w:val="004F2389"/>
    <w:rsid w:val="004F304D"/>
    <w:rsid w:val="004F61BE"/>
    <w:rsid w:val="004F66B1"/>
    <w:rsid w:val="00501E30"/>
    <w:rsid w:val="005021EB"/>
    <w:rsid w:val="00503B4E"/>
    <w:rsid w:val="00511C07"/>
    <w:rsid w:val="00512D5D"/>
    <w:rsid w:val="005173A6"/>
    <w:rsid w:val="00520BAA"/>
    <w:rsid w:val="00525208"/>
    <w:rsid w:val="00525700"/>
    <w:rsid w:val="005257A5"/>
    <w:rsid w:val="00525EC5"/>
    <w:rsid w:val="005264C0"/>
    <w:rsid w:val="00526A8A"/>
    <w:rsid w:val="00530586"/>
    <w:rsid w:val="00531DF2"/>
    <w:rsid w:val="00534873"/>
    <w:rsid w:val="00535BB8"/>
    <w:rsid w:val="00535C1B"/>
    <w:rsid w:val="00536EA5"/>
    <w:rsid w:val="005409B9"/>
    <w:rsid w:val="00542BAE"/>
    <w:rsid w:val="005442EE"/>
    <w:rsid w:val="00547353"/>
    <w:rsid w:val="005474E7"/>
    <w:rsid w:val="00550AE7"/>
    <w:rsid w:val="005512A3"/>
    <w:rsid w:val="00555AEA"/>
    <w:rsid w:val="00556C2C"/>
    <w:rsid w:val="005578CE"/>
    <w:rsid w:val="00561637"/>
    <w:rsid w:val="00562781"/>
    <w:rsid w:val="00563E83"/>
    <w:rsid w:val="005675F7"/>
    <w:rsid w:val="005704B6"/>
    <w:rsid w:val="0057271C"/>
    <w:rsid w:val="00572845"/>
    <w:rsid w:val="005836E4"/>
    <w:rsid w:val="0058687E"/>
    <w:rsid w:val="00591AC4"/>
    <w:rsid w:val="00592772"/>
    <w:rsid w:val="00593CF3"/>
    <w:rsid w:val="0059405C"/>
    <w:rsid w:val="0059574A"/>
    <w:rsid w:val="005A11FE"/>
    <w:rsid w:val="005A1B9B"/>
    <w:rsid w:val="005A3A71"/>
    <w:rsid w:val="005A6751"/>
    <w:rsid w:val="005B092E"/>
    <w:rsid w:val="005B152C"/>
    <w:rsid w:val="005B1EE0"/>
    <w:rsid w:val="005B2B24"/>
    <w:rsid w:val="005B4425"/>
    <w:rsid w:val="005B4B94"/>
    <w:rsid w:val="005C254D"/>
    <w:rsid w:val="005C36D7"/>
    <w:rsid w:val="005C3EE8"/>
    <w:rsid w:val="005C3F87"/>
    <w:rsid w:val="005D207F"/>
    <w:rsid w:val="005D34F9"/>
    <w:rsid w:val="005D4190"/>
    <w:rsid w:val="005D67A3"/>
    <w:rsid w:val="005D7854"/>
    <w:rsid w:val="005E0832"/>
    <w:rsid w:val="005E1BB4"/>
    <w:rsid w:val="005E2988"/>
    <w:rsid w:val="005E2A43"/>
    <w:rsid w:val="005E3085"/>
    <w:rsid w:val="005E438A"/>
    <w:rsid w:val="005F24EA"/>
    <w:rsid w:val="005F2AE3"/>
    <w:rsid w:val="005F51E1"/>
    <w:rsid w:val="00611C80"/>
    <w:rsid w:val="00613D8B"/>
    <w:rsid w:val="00613EE2"/>
    <w:rsid w:val="00620692"/>
    <w:rsid w:val="006242CA"/>
    <w:rsid w:val="00627507"/>
    <w:rsid w:val="00631D79"/>
    <w:rsid w:val="00633717"/>
    <w:rsid w:val="00633E63"/>
    <w:rsid w:val="006344E1"/>
    <w:rsid w:val="0065232B"/>
    <w:rsid w:val="006540B2"/>
    <w:rsid w:val="006545C4"/>
    <w:rsid w:val="00661971"/>
    <w:rsid w:val="00661CE8"/>
    <w:rsid w:val="006623D9"/>
    <w:rsid w:val="00664D4E"/>
    <w:rsid w:val="0066550C"/>
    <w:rsid w:val="006716F2"/>
    <w:rsid w:val="00673412"/>
    <w:rsid w:val="0068050B"/>
    <w:rsid w:val="0068148A"/>
    <w:rsid w:val="00682BF2"/>
    <w:rsid w:val="0068322C"/>
    <w:rsid w:val="006844BA"/>
    <w:rsid w:val="006859CE"/>
    <w:rsid w:val="00686A9B"/>
    <w:rsid w:val="00686B36"/>
    <w:rsid w:val="0068761F"/>
    <w:rsid w:val="00690804"/>
    <w:rsid w:val="00691270"/>
    <w:rsid w:val="00694BA8"/>
    <w:rsid w:val="006A037C"/>
    <w:rsid w:val="006A36F4"/>
    <w:rsid w:val="006A406F"/>
    <w:rsid w:val="006A5588"/>
    <w:rsid w:val="006A5D3A"/>
    <w:rsid w:val="006B0DD1"/>
    <w:rsid w:val="006B7539"/>
    <w:rsid w:val="006C01C5"/>
    <w:rsid w:val="006C23D4"/>
    <w:rsid w:val="006C3050"/>
    <w:rsid w:val="006C7BB0"/>
    <w:rsid w:val="006C7C1E"/>
    <w:rsid w:val="006D3237"/>
    <w:rsid w:val="006D4A35"/>
    <w:rsid w:val="006D5180"/>
    <w:rsid w:val="006D7C4B"/>
    <w:rsid w:val="006E2D73"/>
    <w:rsid w:val="006E2E37"/>
    <w:rsid w:val="006E3CF1"/>
    <w:rsid w:val="006E7E80"/>
    <w:rsid w:val="006F137F"/>
    <w:rsid w:val="006F1DF9"/>
    <w:rsid w:val="006F24DB"/>
    <w:rsid w:val="006F379F"/>
    <w:rsid w:val="006F48CA"/>
    <w:rsid w:val="006F64DD"/>
    <w:rsid w:val="006F7988"/>
    <w:rsid w:val="007000A7"/>
    <w:rsid w:val="00700F71"/>
    <w:rsid w:val="00701C31"/>
    <w:rsid w:val="00701E1F"/>
    <w:rsid w:val="00701F71"/>
    <w:rsid w:val="00702893"/>
    <w:rsid w:val="00711598"/>
    <w:rsid w:val="00711732"/>
    <w:rsid w:val="007142A9"/>
    <w:rsid w:val="00715127"/>
    <w:rsid w:val="00715E8E"/>
    <w:rsid w:val="00715FBD"/>
    <w:rsid w:val="00723580"/>
    <w:rsid w:val="00723755"/>
    <w:rsid w:val="00723C88"/>
    <w:rsid w:val="0072587D"/>
    <w:rsid w:val="0073136C"/>
    <w:rsid w:val="00731F0F"/>
    <w:rsid w:val="00733250"/>
    <w:rsid w:val="007345AA"/>
    <w:rsid w:val="0074131E"/>
    <w:rsid w:val="00741404"/>
    <w:rsid w:val="007449E5"/>
    <w:rsid w:val="007462FB"/>
    <w:rsid w:val="00746C5A"/>
    <w:rsid w:val="00747FF0"/>
    <w:rsid w:val="007509D5"/>
    <w:rsid w:val="007519F2"/>
    <w:rsid w:val="00753472"/>
    <w:rsid w:val="00763C66"/>
    <w:rsid w:val="00764D4E"/>
    <w:rsid w:val="00765A1F"/>
    <w:rsid w:val="00774A6E"/>
    <w:rsid w:val="00775B6D"/>
    <w:rsid w:val="00776D68"/>
    <w:rsid w:val="00780BBB"/>
    <w:rsid w:val="00781A11"/>
    <w:rsid w:val="007850EE"/>
    <w:rsid w:val="00785B95"/>
    <w:rsid w:val="00790153"/>
    <w:rsid w:val="00790E96"/>
    <w:rsid w:val="00793366"/>
    <w:rsid w:val="007A1E6C"/>
    <w:rsid w:val="007A716F"/>
    <w:rsid w:val="007B270A"/>
    <w:rsid w:val="007C0695"/>
    <w:rsid w:val="007C250B"/>
    <w:rsid w:val="007C419A"/>
    <w:rsid w:val="007C4271"/>
    <w:rsid w:val="007C4CC8"/>
    <w:rsid w:val="007C5426"/>
    <w:rsid w:val="007C5798"/>
    <w:rsid w:val="007C6942"/>
    <w:rsid w:val="007D1622"/>
    <w:rsid w:val="007D4832"/>
    <w:rsid w:val="007D488D"/>
    <w:rsid w:val="007D6C1B"/>
    <w:rsid w:val="007E0FE4"/>
    <w:rsid w:val="007E21B2"/>
    <w:rsid w:val="007E2C4E"/>
    <w:rsid w:val="007E5E48"/>
    <w:rsid w:val="007F12CD"/>
    <w:rsid w:val="007F186F"/>
    <w:rsid w:val="007F1905"/>
    <w:rsid w:val="007F1D12"/>
    <w:rsid w:val="007F5205"/>
    <w:rsid w:val="007F551A"/>
    <w:rsid w:val="0080048F"/>
    <w:rsid w:val="00800F9E"/>
    <w:rsid w:val="00801300"/>
    <w:rsid w:val="00802C64"/>
    <w:rsid w:val="00802C8D"/>
    <w:rsid w:val="00805E52"/>
    <w:rsid w:val="008061D0"/>
    <w:rsid w:val="0081043F"/>
    <w:rsid w:val="00810B38"/>
    <w:rsid w:val="00811E5F"/>
    <w:rsid w:val="008204C7"/>
    <w:rsid w:val="00820992"/>
    <w:rsid w:val="00823354"/>
    <w:rsid w:val="00823602"/>
    <w:rsid w:val="008255F5"/>
    <w:rsid w:val="0083014E"/>
    <w:rsid w:val="00831798"/>
    <w:rsid w:val="0083214A"/>
    <w:rsid w:val="00834220"/>
    <w:rsid w:val="008426D0"/>
    <w:rsid w:val="00844199"/>
    <w:rsid w:val="00845723"/>
    <w:rsid w:val="00851EF9"/>
    <w:rsid w:val="00852D0E"/>
    <w:rsid w:val="008577FD"/>
    <w:rsid w:val="00860B03"/>
    <w:rsid w:val="0086292A"/>
    <w:rsid w:val="0086497A"/>
    <w:rsid w:val="00865480"/>
    <w:rsid w:val="008677D8"/>
    <w:rsid w:val="0086793D"/>
    <w:rsid w:val="008713A1"/>
    <w:rsid w:val="008735A2"/>
    <w:rsid w:val="008754AB"/>
    <w:rsid w:val="008804EC"/>
    <w:rsid w:val="0088060C"/>
    <w:rsid w:val="00880B07"/>
    <w:rsid w:val="00880B70"/>
    <w:rsid w:val="008878BC"/>
    <w:rsid w:val="00893576"/>
    <w:rsid w:val="00893E73"/>
    <w:rsid w:val="00896B1C"/>
    <w:rsid w:val="00897D00"/>
    <w:rsid w:val="008A0CDE"/>
    <w:rsid w:val="008A43C4"/>
    <w:rsid w:val="008B02DC"/>
    <w:rsid w:val="008B57CE"/>
    <w:rsid w:val="008B659F"/>
    <w:rsid w:val="008C26DE"/>
    <w:rsid w:val="008D2225"/>
    <w:rsid w:val="008D4666"/>
    <w:rsid w:val="008D4752"/>
    <w:rsid w:val="008D552A"/>
    <w:rsid w:val="008E23AF"/>
    <w:rsid w:val="008E271C"/>
    <w:rsid w:val="008E418E"/>
    <w:rsid w:val="008E5BC6"/>
    <w:rsid w:val="008E6A25"/>
    <w:rsid w:val="008F5193"/>
    <w:rsid w:val="009013A7"/>
    <w:rsid w:val="009017FB"/>
    <w:rsid w:val="009017FC"/>
    <w:rsid w:val="00903B43"/>
    <w:rsid w:val="0090506B"/>
    <w:rsid w:val="009050C9"/>
    <w:rsid w:val="009066FC"/>
    <w:rsid w:val="009140A3"/>
    <w:rsid w:val="0091431F"/>
    <w:rsid w:val="009144A2"/>
    <w:rsid w:val="0091510C"/>
    <w:rsid w:val="00920ADC"/>
    <w:rsid w:val="009259AC"/>
    <w:rsid w:val="00926153"/>
    <w:rsid w:val="0092673D"/>
    <w:rsid w:val="00926F38"/>
    <w:rsid w:val="00934301"/>
    <w:rsid w:val="00936CD1"/>
    <w:rsid w:val="00941747"/>
    <w:rsid w:val="00941EFB"/>
    <w:rsid w:val="00947AFB"/>
    <w:rsid w:val="00951D7D"/>
    <w:rsid w:val="0095231C"/>
    <w:rsid w:val="00952C12"/>
    <w:rsid w:val="009630C7"/>
    <w:rsid w:val="00971CBD"/>
    <w:rsid w:val="00972B55"/>
    <w:rsid w:val="009743B7"/>
    <w:rsid w:val="009776AA"/>
    <w:rsid w:val="009816F0"/>
    <w:rsid w:val="00981FE0"/>
    <w:rsid w:val="0098228B"/>
    <w:rsid w:val="009828DA"/>
    <w:rsid w:val="00984DF1"/>
    <w:rsid w:val="00985009"/>
    <w:rsid w:val="00985BAB"/>
    <w:rsid w:val="00986040"/>
    <w:rsid w:val="009879CA"/>
    <w:rsid w:val="0099586B"/>
    <w:rsid w:val="00995B04"/>
    <w:rsid w:val="00997F03"/>
    <w:rsid w:val="009A2456"/>
    <w:rsid w:val="009A35E6"/>
    <w:rsid w:val="009A46DF"/>
    <w:rsid w:val="009B1B5F"/>
    <w:rsid w:val="009B2EC2"/>
    <w:rsid w:val="009B59CF"/>
    <w:rsid w:val="009B6673"/>
    <w:rsid w:val="009C191B"/>
    <w:rsid w:val="009C2483"/>
    <w:rsid w:val="009C2BD6"/>
    <w:rsid w:val="009C35B7"/>
    <w:rsid w:val="009D08C0"/>
    <w:rsid w:val="009E1F32"/>
    <w:rsid w:val="009E5829"/>
    <w:rsid w:val="009E776C"/>
    <w:rsid w:val="009E7F26"/>
    <w:rsid w:val="009F3C47"/>
    <w:rsid w:val="00A02B90"/>
    <w:rsid w:val="00A02F91"/>
    <w:rsid w:val="00A1265A"/>
    <w:rsid w:val="00A130B4"/>
    <w:rsid w:val="00A134C9"/>
    <w:rsid w:val="00A142E3"/>
    <w:rsid w:val="00A1726E"/>
    <w:rsid w:val="00A204CF"/>
    <w:rsid w:val="00A23D49"/>
    <w:rsid w:val="00A27004"/>
    <w:rsid w:val="00A30C29"/>
    <w:rsid w:val="00A34DD6"/>
    <w:rsid w:val="00A36819"/>
    <w:rsid w:val="00A36989"/>
    <w:rsid w:val="00A43628"/>
    <w:rsid w:val="00A53783"/>
    <w:rsid w:val="00A54192"/>
    <w:rsid w:val="00A554DE"/>
    <w:rsid w:val="00A5594F"/>
    <w:rsid w:val="00A6035E"/>
    <w:rsid w:val="00A6144C"/>
    <w:rsid w:val="00A654A1"/>
    <w:rsid w:val="00A66336"/>
    <w:rsid w:val="00A66617"/>
    <w:rsid w:val="00A671F8"/>
    <w:rsid w:val="00A673A4"/>
    <w:rsid w:val="00A724AE"/>
    <w:rsid w:val="00A73329"/>
    <w:rsid w:val="00A76F84"/>
    <w:rsid w:val="00A816A8"/>
    <w:rsid w:val="00A82359"/>
    <w:rsid w:val="00A82BF3"/>
    <w:rsid w:val="00A85D6F"/>
    <w:rsid w:val="00A865D2"/>
    <w:rsid w:val="00A92930"/>
    <w:rsid w:val="00A94C20"/>
    <w:rsid w:val="00A96225"/>
    <w:rsid w:val="00A96ED6"/>
    <w:rsid w:val="00A973EC"/>
    <w:rsid w:val="00AA227F"/>
    <w:rsid w:val="00AA2ABB"/>
    <w:rsid w:val="00AA3BC7"/>
    <w:rsid w:val="00AA754A"/>
    <w:rsid w:val="00AB099E"/>
    <w:rsid w:val="00AB4328"/>
    <w:rsid w:val="00AB54CE"/>
    <w:rsid w:val="00AB57ED"/>
    <w:rsid w:val="00AB5FA0"/>
    <w:rsid w:val="00AB79F1"/>
    <w:rsid w:val="00AB7E23"/>
    <w:rsid w:val="00AC46B4"/>
    <w:rsid w:val="00AD6F18"/>
    <w:rsid w:val="00AE0A2E"/>
    <w:rsid w:val="00AE354C"/>
    <w:rsid w:val="00AF4B07"/>
    <w:rsid w:val="00AF6186"/>
    <w:rsid w:val="00AF7A3A"/>
    <w:rsid w:val="00AF7C51"/>
    <w:rsid w:val="00B008A6"/>
    <w:rsid w:val="00B00FCC"/>
    <w:rsid w:val="00B01AAE"/>
    <w:rsid w:val="00B04B3D"/>
    <w:rsid w:val="00B0593E"/>
    <w:rsid w:val="00B07E2E"/>
    <w:rsid w:val="00B160DB"/>
    <w:rsid w:val="00B20836"/>
    <w:rsid w:val="00B235BB"/>
    <w:rsid w:val="00B27A44"/>
    <w:rsid w:val="00B30BBF"/>
    <w:rsid w:val="00B33C03"/>
    <w:rsid w:val="00B37003"/>
    <w:rsid w:val="00B42272"/>
    <w:rsid w:val="00B44E56"/>
    <w:rsid w:val="00B46543"/>
    <w:rsid w:val="00B47D33"/>
    <w:rsid w:val="00B50D7F"/>
    <w:rsid w:val="00B52BE0"/>
    <w:rsid w:val="00B54133"/>
    <w:rsid w:val="00B54C2C"/>
    <w:rsid w:val="00B637B9"/>
    <w:rsid w:val="00B63AF2"/>
    <w:rsid w:val="00B668BA"/>
    <w:rsid w:val="00B674E7"/>
    <w:rsid w:val="00B701ED"/>
    <w:rsid w:val="00B74B2D"/>
    <w:rsid w:val="00B8086C"/>
    <w:rsid w:val="00B837E0"/>
    <w:rsid w:val="00B84909"/>
    <w:rsid w:val="00B861B4"/>
    <w:rsid w:val="00B86B18"/>
    <w:rsid w:val="00B86DFE"/>
    <w:rsid w:val="00B90990"/>
    <w:rsid w:val="00B90A7B"/>
    <w:rsid w:val="00B922FF"/>
    <w:rsid w:val="00B92491"/>
    <w:rsid w:val="00B9272A"/>
    <w:rsid w:val="00B9281E"/>
    <w:rsid w:val="00B93925"/>
    <w:rsid w:val="00B95187"/>
    <w:rsid w:val="00B9589E"/>
    <w:rsid w:val="00B96A71"/>
    <w:rsid w:val="00BA02A3"/>
    <w:rsid w:val="00BA2D55"/>
    <w:rsid w:val="00BA71B1"/>
    <w:rsid w:val="00BA75F2"/>
    <w:rsid w:val="00BB0637"/>
    <w:rsid w:val="00BB1401"/>
    <w:rsid w:val="00BB345F"/>
    <w:rsid w:val="00BB5883"/>
    <w:rsid w:val="00BB68EA"/>
    <w:rsid w:val="00BC1C27"/>
    <w:rsid w:val="00BC2813"/>
    <w:rsid w:val="00BC5804"/>
    <w:rsid w:val="00BC6B7B"/>
    <w:rsid w:val="00BC6BBF"/>
    <w:rsid w:val="00BC7803"/>
    <w:rsid w:val="00BD1572"/>
    <w:rsid w:val="00BD5595"/>
    <w:rsid w:val="00BD599E"/>
    <w:rsid w:val="00BE14E3"/>
    <w:rsid w:val="00BE2497"/>
    <w:rsid w:val="00BE3774"/>
    <w:rsid w:val="00BE41E5"/>
    <w:rsid w:val="00BF0BBB"/>
    <w:rsid w:val="00BF4109"/>
    <w:rsid w:val="00BF4CC3"/>
    <w:rsid w:val="00C03239"/>
    <w:rsid w:val="00C054C7"/>
    <w:rsid w:val="00C057B5"/>
    <w:rsid w:val="00C13722"/>
    <w:rsid w:val="00C22687"/>
    <w:rsid w:val="00C232F0"/>
    <w:rsid w:val="00C2398A"/>
    <w:rsid w:val="00C31E89"/>
    <w:rsid w:val="00C32E4D"/>
    <w:rsid w:val="00C333A0"/>
    <w:rsid w:val="00C34690"/>
    <w:rsid w:val="00C3514B"/>
    <w:rsid w:val="00C36A81"/>
    <w:rsid w:val="00C41974"/>
    <w:rsid w:val="00C42EC1"/>
    <w:rsid w:val="00C447AD"/>
    <w:rsid w:val="00C47083"/>
    <w:rsid w:val="00C5107C"/>
    <w:rsid w:val="00C53F4A"/>
    <w:rsid w:val="00C54125"/>
    <w:rsid w:val="00C55B54"/>
    <w:rsid w:val="00C6098E"/>
    <w:rsid w:val="00C6152C"/>
    <w:rsid w:val="00C621C2"/>
    <w:rsid w:val="00C6353B"/>
    <w:rsid w:val="00C66EA0"/>
    <w:rsid w:val="00C67257"/>
    <w:rsid w:val="00C74810"/>
    <w:rsid w:val="00C82EE8"/>
    <w:rsid w:val="00C86CD2"/>
    <w:rsid w:val="00C90D68"/>
    <w:rsid w:val="00C915FB"/>
    <w:rsid w:val="00C933BC"/>
    <w:rsid w:val="00C939FE"/>
    <w:rsid w:val="00CA1751"/>
    <w:rsid w:val="00CA4BDA"/>
    <w:rsid w:val="00CB1F66"/>
    <w:rsid w:val="00CB2951"/>
    <w:rsid w:val="00CB2A56"/>
    <w:rsid w:val="00CB30B2"/>
    <w:rsid w:val="00CB522D"/>
    <w:rsid w:val="00CC0201"/>
    <w:rsid w:val="00CD282B"/>
    <w:rsid w:val="00CD49DE"/>
    <w:rsid w:val="00CD4C35"/>
    <w:rsid w:val="00CD559D"/>
    <w:rsid w:val="00CD5B79"/>
    <w:rsid w:val="00CD7369"/>
    <w:rsid w:val="00CD7E6A"/>
    <w:rsid w:val="00CE0B0E"/>
    <w:rsid w:val="00CE2414"/>
    <w:rsid w:val="00CE2F1E"/>
    <w:rsid w:val="00CE3831"/>
    <w:rsid w:val="00CE4CF5"/>
    <w:rsid w:val="00CE56C9"/>
    <w:rsid w:val="00CE6316"/>
    <w:rsid w:val="00CF16AD"/>
    <w:rsid w:val="00CF16D0"/>
    <w:rsid w:val="00CF4081"/>
    <w:rsid w:val="00CF7EB1"/>
    <w:rsid w:val="00D00592"/>
    <w:rsid w:val="00D00ABB"/>
    <w:rsid w:val="00D02753"/>
    <w:rsid w:val="00D02EEC"/>
    <w:rsid w:val="00D03551"/>
    <w:rsid w:val="00D06A63"/>
    <w:rsid w:val="00D07E0E"/>
    <w:rsid w:val="00D11478"/>
    <w:rsid w:val="00D15ED0"/>
    <w:rsid w:val="00D21B3E"/>
    <w:rsid w:val="00D21FED"/>
    <w:rsid w:val="00D23B03"/>
    <w:rsid w:val="00D24251"/>
    <w:rsid w:val="00D24BCD"/>
    <w:rsid w:val="00D274D2"/>
    <w:rsid w:val="00D27961"/>
    <w:rsid w:val="00D343E2"/>
    <w:rsid w:val="00D361A2"/>
    <w:rsid w:val="00D36B55"/>
    <w:rsid w:val="00D40652"/>
    <w:rsid w:val="00D420D4"/>
    <w:rsid w:val="00D437C2"/>
    <w:rsid w:val="00D44C2E"/>
    <w:rsid w:val="00D45414"/>
    <w:rsid w:val="00D53C0F"/>
    <w:rsid w:val="00D55C50"/>
    <w:rsid w:val="00D566BD"/>
    <w:rsid w:val="00D57A4D"/>
    <w:rsid w:val="00D60AA7"/>
    <w:rsid w:val="00D60D87"/>
    <w:rsid w:val="00D6435F"/>
    <w:rsid w:val="00D741FC"/>
    <w:rsid w:val="00D75E28"/>
    <w:rsid w:val="00D772C2"/>
    <w:rsid w:val="00D77F17"/>
    <w:rsid w:val="00D8008E"/>
    <w:rsid w:val="00D80118"/>
    <w:rsid w:val="00D809A9"/>
    <w:rsid w:val="00D82C45"/>
    <w:rsid w:val="00D835EA"/>
    <w:rsid w:val="00D839A6"/>
    <w:rsid w:val="00D908A8"/>
    <w:rsid w:val="00D977B6"/>
    <w:rsid w:val="00DA1EFC"/>
    <w:rsid w:val="00DA2885"/>
    <w:rsid w:val="00DA4A31"/>
    <w:rsid w:val="00DA61F2"/>
    <w:rsid w:val="00DA7B04"/>
    <w:rsid w:val="00DB36C2"/>
    <w:rsid w:val="00DB65E6"/>
    <w:rsid w:val="00DB7196"/>
    <w:rsid w:val="00DB7FF1"/>
    <w:rsid w:val="00DC169B"/>
    <w:rsid w:val="00DC2AB9"/>
    <w:rsid w:val="00DC5E96"/>
    <w:rsid w:val="00DC63F0"/>
    <w:rsid w:val="00DD6EE5"/>
    <w:rsid w:val="00DE1936"/>
    <w:rsid w:val="00DE1B8E"/>
    <w:rsid w:val="00DE386C"/>
    <w:rsid w:val="00DE4D35"/>
    <w:rsid w:val="00DF0549"/>
    <w:rsid w:val="00DF098B"/>
    <w:rsid w:val="00DF11C4"/>
    <w:rsid w:val="00DF210C"/>
    <w:rsid w:val="00DF2874"/>
    <w:rsid w:val="00DF4B6A"/>
    <w:rsid w:val="00E02C09"/>
    <w:rsid w:val="00E04D59"/>
    <w:rsid w:val="00E0629C"/>
    <w:rsid w:val="00E07DA1"/>
    <w:rsid w:val="00E123CB"/>
    <w:rsid w:val="00E14FF8"/>
    <w:rsid w:val="00E1557C"/>
    <w:rsid w:val="00E20E13"/>
    <w:rsid w:val="00E21531"/>
    <w:rsid w:val="00E21DBC"/>
    <w:rsid w:val="00E22ACE"/>
    <w:rsid w:val="00E260C5"/>
    <w:rsid w:val="00E26144"/>
    <w:rsid w:val="00E275D7"/>
    <w:rsid w:val="00E27DBE"/>
    <w:rsid w:val="00E30031"/>
    <w:rsid w:val="00E30DE8"/>
    <w:rsid w:val="00E32AB1"/>
    <w:rsid w:val="00E36C71"/>
    <w:rsid w:val="00E40404"/>
    <w:rsid w:val="00E40BED"/>
    <w:rsid w:val="00E4133A"/>
    <w:rsid w:val="00E422AE"/>
    <w:rsid w:val="00E44C0C"/>
    <w:rsid w:val="00E459C6"/>
    <w:rsid w:val="00E47589"/>
    <w:rsid w:val="00E50069"/>
    <w:rsid w:val="00E51B9F"/>
    <w:rsid w:val="00E52A73"/>
    <w:rsid w:val="00E53A4A"/>
    <w:rsid w:val="00E53D94"/>
    <w:rsid w:val="00E64915"/>
    <w:rsid w:val="00E661D4"/>
    <w:rsid w:val="00E66AA1"/>
    <w:rsid w:val="00E70091"/>
    <w:rsid w:val="00E720F5"/>
    <w:rsid w:val="00E73E85"/>
    <w:rsid w:val="00E76D47"/>
    <w:rsid w:val="00E849F7"/>
    <w:rsid w:val="00E90302"/>
    <w:rsid w:val="00E90740"/>
    <w:rsid w:val="00E91219"/>
    <w:rsid w:val="00E924A3"/>
    <w:rsid w:val="00E9597F"/>
    <w:rsid w:val="00E9723A"/>
    <w:rsid w:val="00E97396"/>
    <w:rsid w:val="00EA185E"/>
    <w:rsid w:val="00EA592A"/>
    <w:rsid w:val="00EA6C89"/>
    <w:rsid w:val="00EA737F"/>
    <w:rsid w:val="00EB14E4"/>
    <w:rsid w:val="00EB28A5"/>
    <w:rsid w:val="00EB32A5"/>
    <w:rsid w:val="00EB34ED"/>
    <w:rsid w:val="00EB6801"/>
    <w:rsid w:val="00EB7BE0"/>
    <w:rsid w:val="00EC16F1"/>
    <w:rsid w:val="00EC315E"/>
    <w:rsid w:val="00EC34C4"/>
    <w:rsid w:val="00ED03A7"/>
    <w:rsid w:val="00ED077C"/>
    <w:rsid w:val="00ED1190"/>
    <w:rsid w:val="00ED1373"/>
    <w:rsid w:val="00ED3A28"/>
    <w:rsid w:val="00ED6544"/>
    <w:rsid w:val="00ED6B7A"/>
    <w:rsid w:val="00EE0277"/>
    <w:rsid w:val="00EE0B7A"/>
    <w:rsid w:val="00EE1DA9"/>
    <w:rsid w:val="00EE2D2B"/>
    <w:rsid w:val="00EE3E00"/>
    <w:rsid w:val="00EE47AD"/>
    <w:rsid w:val="00EE5DD2"/>
    <w:rsid w:val="00EE786A"/>
    <w:rsid w:val="00EF41F1"/>
    <w:rsid w:val="00EF4F08"/>
    <w:rsid w:val="00EF573B"/>
    <w:rsid w:val="00F00A79"/>
    <w:rsid w:val="00F00E86"/>
    <w:rsid w:val="00F00F8B"/>
    <w:rsid w:val="00F034B6"/>
    <w:rsid w:val="00F05E38"/>
    <w:rsid w:val="00F07C1E"/>
    <w:rsid w:val="00F105DB"/>
    <w:rsid w:val="00F11E79"/>
    <w:rsid w:val="00F129DC"/>
    <w:rsid w:val="00F132BC"/>
    <w:rsid w:val="00F13D80"/>
    <w:rsid w:val="00F16AAA"/>
    <w:rsid w:val="00F20D6C"/>
    <w:rsid w:val="00F21161"/>
    <w:rsid w:val="00F218EF"/>
    <w:rsid w:val="00F21BC7"/>
    <w:rsid w:val="00F25C47"/>
    <w:rsid w:val="00F266A2"/>
    <w:rsid w:val="00F32269"/>
    <w:rsid w:val="00F339B1"/>
    <w:rsid w:val="00F36318"/>
    <w:rsid w:val="00F42F30"/>
    <w:rsid w:val="00F4457E"/>
    <w:rsid w:val="00F47695"/>
    <w:rsid w:val="00F55578"/>
    <w:rsid w:val="00F56A6F"/>
    <w:rsid w:val="00F5709C"/>
    <w:rsid w:val="00F57CCE"/>
    <w:rsid w:val="00F6391F"/>
    <w:rsid w:val="00F64276"/>
    <w:rsid w:val="00F64EF1"/>
    <w:rsid w:val="00F71267"/>
    <w:rsid w:val="00F71C22"/>
    <w:rsid w:val="00F739C6"/>
    <w:rsid w:val="00F75F9B"/>
    <w:rsid w:val="00F77E81"/>
    <w:rsid w:val="00F8233D"/>
    <w:rsid w:val="00F839A9"/>
    <w:rsid w:val="00F8765F"/>
    <w:rsid w:val="00F90767"/>
    <w:rsid w:val="00F936AF"/>
    <w:rsid w:val="00FA3ECC"/>
    <w:rsid w:val="00FA685B"/>
    <w:rsid w:val="00FB0C01"/>
    <w:rsid w:val="00FB231A"/>
    <w:rsid w:val="00FC0252"/>
    <w:rsid w:val="00FC0563"/>
    <w:rsid w:val="00FC18F2"/>
    <w:rsid w:val="00FC39E5"/>
    <w:rsid w:val="00FC3A78"/>
    <w:rsid w:val="00FC5FFE"/>
    <w:rsid w:val="00FD1005"/>
    <w:rsid w:val="00FD2B0C"/>
    <w:rsid w:val="00FD3180"/>
    <w:rsid w:val="00FD6C75"/>
    <w:rsid w:val="00FD7792"/>
    <w:rsid w:val="00FE5222"/>
    <w:rsid w:val="00FE71B3"/>
    <w:rsid w:val="00FF1FF5"/>
    <w:rsid w:val="00FF2AC9"/>
    <w:rsid w:val="00FF42C5"/>
    <w:rsid w:val="00FF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44C3F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57" w:unhideWhenUsed="1"/>
    <w:lsdException w:name="footer" w:semiHidden="1" w:uiPriority="57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9D08C0"/>
    <w:pPr>
      <w:jc w:val="both"/>
    </w:pPr>
    <w:rPr>
      <w:rFonts w:eastAsiaTheme="minorEastAsia"/>
      <w:sz w:val="24"/>
      <w:lang w:val="en-GB"/>
    </w:rPr>
  </w:style>
  <w:style w:type="paragraph" w:styleId="Nagwek1">
    <w:name w:val="heading 1"/>
    <w:basedOn w:val="Normalny"/>
    <w:next w:val="Normalny"/>
    <w:link w:val="Nagwek1Znak"/>
    <w:uiPriority w:val="99"/>
    <w:semiHidden/>
    <w:rsid w:val="009D08C0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semiHidden/>
    <w:rsid w:val="009D08C0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semiHidden/>
    <w:rsid w:val="009D08C0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semiHidden/>
    <w:rsid w:val="009D08C0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semiHidden/>
    <w:qFormat/>
    <w:rsid w:val="009D08C0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lang w:val="en-US"/>
    </w:rPr>
  </w:style>
  <w:style w:type="paragraph" w:styleId="Nagwek6">
    <w:name w:val="heading 6"/>
    <w:basedOn w:val="Normalny"/>
    <w:next w:val="Normalny"/>
    <w:link w:val="Nagwek6Znak"/>
    <w:uiPriority w:val="99"/>
    <w:semiHidden/>
    <w:rsid w:val="009D08C0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bidi="en-US"/>
    </w:rPr>
  </w:style>
  <w:style w:type="paragraph" w:styleId="Nagwek7">
    <w:name w:val="heading 7"/>
    <w:basedOn w:val="Normalny"/>
    <w:next w:val="Normalny"/>
    <w:link w:val="Nagwek7Znak"/>
    <w:uiPriority w:val="99"/>
    <w:semiHidden/>
    <w:qFormat/>
    <w:rsid w:val="009D08C0"/>
    <w:pPr>
      <w:outlineLvl w:val="6"/>
    </w:pPr>
    <w:rPr>
      <w:rFonts w:asciiTheme="majorHAnsi" w:eastAsiaTheme="majorEastAsia" w:hAnsiTheme="majorHAnsi" w:cstheme="majorBidi"/>
      <w:i/>
      <w:iCs/>
      <w:sz w:val="22"/>
      <w:lang w:val="en-US" w:bidi="en-US"/>
    </w:rPr>
  </w:style>
  <w:style w:type="paragraph" w:styleId="Nagwek8">
    <w:name w:val="heading 8"/>
    <w:basedOn w:val="Normalny"/>
    <w:next w:val="Normalny"/>
    <w:link w:val="Nagwek8Znak"/>
    <w:uiPriority w:val="99"/>
    <w:semiHidden/>
    <w:qFormat/>
    <w:rsid w:val="009D08C0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Nagwek9">
    <w:name w:val="heading 9"/>
    <w:basedOn w:val="Normalny"/>
    <w:next w:val="Normalny"/>
    <w:link w:val="Nagwek9Znak"/>
    <w:uiPriority w:val="99"/>
    <w:semiHidden/>
    <w:qFormat/>
    <w:rsid w:val="009D08C0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9D08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08C0"/>
    <w:rPr>
      <w:rFonts w:ascii="Tahoma" w:eastAsiaTheme="minorEastAsia" w:hAnsi="Tahoma" w:cs="Tahoma"/>
      <w:sz w:val="16"/>
      <w:szCs w:val="16"/>
      <w:lang w:val="en-GB"/>
    </w:rPr>
  </w:style>
  <w:style w:type="character" w:styleId="Tytuksiki">
    <w:name w:val="Book Title"/>
    <w:uiPriority w:val="99"/>
    <w:semiHidden/>
    <w:qFormat/>
    <w:rsid w:val="009D08C0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4"/>
    <w:qFormat/>
    <w:rsid w:val="009D08C0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9D08C0"/>
    <w:pPr>
      <w:jc w:val="left"/>
    </w:pPr>
    <w:rPr>
      <w:sz w:val="8"/>
    </w:rPr>
  </w:style>
  <w:style w:type="character" w:styleId="Pogrubienie">
    <w:name w:val="Strong"/>
    <w:uiPriority w:val="99"/>
    <w:semiHidden/>
    <w:qFormat/>
    <w:rsid w:val="009D08C0"/>
    <w:rPr>
      <w:b/>
      <w:bCs/>
    </w:rPr>
  </w:style>
  <w:style w:type="paragraph" w:styleId="Bezodstpw">
    <w:name w:val="No Spacing"/>
    <w:basedOn w:val="Normalny"/>
    <w:link w:val="BezodstpwZnak"/>
    <w:semiHidden/>
    <w:qFormat/>
    <w:rsid w:val="009D08C0"/>
    <w:rPr>
      <w:sz w:val="22"/>
      <w:lang w:val="en-US"/>
    </w:rPr>
  </w:style>
  <w:style w:type="character" w:customStyle="1" w:styleId="BezodstpwZnak">
    <w:name w:val="Bez odstępów Znak"/>
    <w:basedOn w:val="Domylnaczcionkaakapitu"/>
    <w:link w:val="Bezodstpw"/>
    <w:semiHidden/>
    <w:rsid w:val="009D08C0"/>
    <w:rPr>
      <w:rFonts w:eastAsiaTheme="minorEastAsia"/>
    </w:rPr>
  </w:style>
  <w:style w:type="paragraph" w:customStyle="1" w:styleId="ECHRFooterLine">
    <w:name w:val="ECHR_Footer_Line"/>
    <w:aliases w:val="Footer_Line"/>
    <w:basedOn w:val="Normalny"/>
    <w:next w:val="ECHRFooter"/>
    <w:uiPriority w:val="57"/>
    <w:semiHidden/>
    <w:rsid w:val="009D08C0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DecHTitle">
    <w:name w:val="Dec_H_Title"/>
    <w:basedOn w:val="ECHRTitleCentre1"/>
    <w:uiPriority w:val="7"/>
    <w:semiHidden/>
    <w:qFormat/>
    <w:rsid w:val="009D08C0"/>
  </w:style>
  <w:style w:type="paragraph" w:customStyle="1" w:styleId="DecList">
    <w:name w:val="Dec_List"/>
    <w:basedOn w:val="Normalny"/>
    <w:uiPriority w:val="9"/>
    <w:semiHidden/>
    <w:qFormat/>
    <w:rsid w:val="009D08C0"/>
    <w:pPr>
      <w:spacing w:before="240"/>
      <w:ind w:left="284"/>
    </w:pPr>
  </w:style>
  <w:style w:type="paragraph" w:customStyle="1" w:styleId="DummyStyle">
    <w:name w:val="Dummy_Style"/>
    <w:basedOn w:val="Normalny"/>
    <w:semiHidden/>
    <w:qFormat/>
    <w:rsid w:val="009D08C0"/>
    <w:rPr>
      <w:color w:val="00B050"/>
    </w:rPr>
  </w:style>
  <w:style w:type="paragraph" w:customStyle="1" w:styleId="ECHRTitleCentre3">
    <w:name w:val="ECHR_Title_Centre_3"/>
    <w:aliases w:val="Ju_H_Article"/>
    <w:basedOn w:val="Normalny"/>
    <w:next w:val="ECHRParaQuote"/>
    <w:uiPriority w:val="27"/>
    <w:qFormat/>
    <w:rsid w:val="009D08C0"/>
    <w:pPr>
      <w:keepNext/>
      <w:keepLines/>
      <w:spacing w:before="240" w:after="120"/>
      <w:jc w:val="center"/>
      <w:outlineLvl w:val="3"/>
    </w:pPr>
    <w:rPr>
      <w:rFonts w:asciiTheme="majorHAnsi" w:hAnsiTheme="majorHAnsi"/>
      <w:b/>
      <w:sz w:val="20"/>
      <w:lang w:bidi="en-US"/>
    </w:rPr>
  </w:style>
  <w:style w:type="paragraph" w:customStyle="1" w:styleId="ECHRTitleCentre1">
    <w:name w:val="ECHR_Title_Centre_1"/>
    <w:aliases w:val="Opi_H_Head"/>
    <w:basedOn w:val="Normalny"/>
    <w:next w:val="OpiPara"/>
    <w:uiPriority w:val="39"/>
    <w:qFormat/>
    <w:rsid w:val="009D08C0"/>
    <w:pPr>
      <w:keepNext/>
      <w:keepLines/>
      <w:spacing w:after="240"/>
      <w:jc w:val="center"/>
      <w:outlineLvl w:val="0"/>
    </w:pPr>
    <w:rPr>
      <w:rFonts w:asciiTheme="majorHAnsi" w:hAnsiTheme="majorHAnsi"/>
      <w:sz w:val="28"/>
    </w:rPr>
  </w:style>
  <w:style w:type="paragraph" w:customStyle="1" w:styleId="JuAppQuestion">
    <w:name w:val="Ju_App_Question"/>
    <w:basedOn w:val="Normalny"/>
    <w:uiPriority w:val="5"/>
    <w:semiHidden/>
    <w:qFormat/>
    <w:rsid w:val="009D08C0"/>
    <w:pPr>
      <w:numPr>
        <w:numId w:val="31"/>
      </w:numPr>
      <w:jc w:val="left"/>
    </w:pPr>
    <w:rPr>
      <w:b/>
    </w:rPr>
  </w:style>
  <w:style w:type="paragraph" w:customStyle="1" w:styleId="JuCourt">
    <w:name w:val="Ju_Court"/>
    <w:basedOn w:val="Normalny"/>
    <w:next w:val="Normalny"/>
    <w:uiPriority w:val="16"/>
    <w:qFormat/>
    <w:rsid w:val="009D08C0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  <w:rPr>
      <w:lang w:bidi="en-US"/>
    </w:rPr>
  </w:style>
  <w:style w:type="paragraph" w:customStyle="1" w:styleId="JuHeaderLandscape">
    <w:name w:val="Ju_Header_Landscape"/>
    <w:basedOn w:val="ECHRHeader"/>
    <w:uiPriority w:val="4"/>
    <w:qFormat/>
    <w:rsid w:val="009D08C0"/>
    <w:pPr>
      <w:tabs>
        <w:tab w:val="clear" w:pos="3686"/>
        <w:tab w:val="clear" w:pos="7371"/>
        <w:tab w:val="center" w:pos="6146"/>
        <w:tab w:val="right" w:pos="12293"/>
      </w:tabs>
    </w:pPr>
  </w:style>
  <w:style w:type="paragraph" w:customStyle="1" w:styleId="ECHRTitleCentre2">
    <w:name w:val="ECHR_Title_Centre_2"/>
    <w:aliases w:val="Dec_H_Case"/>
    <w:basedOn w:val="Normalny"/>
    <w:next w:val="ECHRPara"/>
    <w:uiPriority w:val="8"/>
    <w:qFormat/>
    <w:rsid w:val="009D08C0"/>
    <w:pPr>
      <w:spacing w:after="240"/>
      <w:jc w:val="center"/>
      <w:outlineLvl w:val="0"/>
    </w:pPr>
    <w:rPr>
      <w:rFonts w:asciiTheme="majorHAnsi" w:hAnsiTheme="majorHAnsi"/>
    </w:rPr>
  </w:style>
  <w:style w:type="paragraph" w:customStyle="1" w:styleId="JuInitialled">
    <w:name w:val="Ju_Initialled"/>
    <w:basedOn w:val="Normalny"/>
    <w:uiPriority w:val="31"/>
    <w:qFormat/>
    <w:rsid w:val="009D08C0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semiHidden/>
    <w:qFormat/>
    <w:rsid w:val="009D08C0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 w:bidi="en-US"/>
    </w:rPr>
  </w:style>
  <w:style w:type="character" w:customStyle="1" w:styleId="TytuZnak">
    <w:name w:val="Tytuł Znak"/>
    <w:basedOn w:val="Domylnaczcionkaakapitu"/>
    <w:link w:val="Tytu"/>
    <w:uiPriority w:val="99"/>
    <w:semiHidden/>
    <w:rsid w:val="009D08C0"/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paragraph" w:customStyle="1" w:styleId="ECHRHeading3">
    <w:name w:val="ECHR_Heading_3"/>
    <w:aliases w:val="Ju_H_1."/>
    <w:basedOn w:val="Nagwek3"/>
    <w:next w:val="ECHRPara"/>
    <w:uiPriority w:val="21"/>
    <w:qFormat/>
    <w:rsid w:val="009D08C0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i/>
      <w:color w:val="auto"/>
    </w:rPr>
  </w:style>
  <w:style w:type="paragraph" w:customStyle="1" w:styleId="ECHRHeading4">
    <w:name w:val="ECHR_Heading_4"/>
    <w:aliases w:val="Ju_H_a"/>
    <w:basedOn w:val="Nagwek4"/>
    <w:next w:val="ECHRPara"/>
    <w:uiPriority w:val="22"/>
    <w:qFormat/>
    <w:rsid w:val="009D08C0"/>
    <w:pPr>
      <w:keepNext/>
      <w:keepLines/>
      <w:tabs>
        <w:tab w:val="left" w:pos="975"/>
      </w:tabs>
      <w:spacing w:before="240" w:after="120"/>
      <w:ind w:left="975" w:hanging="340"/>
    </w:pPr>
    <w:rPr>
      <w:i w:val="0"/>
      <w:color w:val="auto"/>
      <w:sz w:val="20"/>
    </w:rPr>
  </w:style>
  <w:style w:type="paragraph" w:customStyle="1" w:styleId="ECHRHeading5">
    <w:name w:val="ECHR_Heading_5"/>
    <w:aliases w:val="Ju_H_i"/>
    <w:basedOn w:val="Nagwek5"/>
    <w:next w:val="ECHRPara"/>
    <w:uiPriority w:val="23"/>
    <w:qFormat/>
    <w:rsid w:val="009D08C0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i/>
      <w:color w:val="auto"/>
      <w:sz w:val="20"/>
      <w:lang w:val="en-GB"/>
    </w:rPr>
  </w:style>
  <w:style w:type="paragraph" w:customStyle="1" w:styleId="ECHRHeading6">
    <w:name w:val="ECHR_Heading_6"/>
    <w:aliases w:val="Ju_H_alpha"/>
    <w:basedOn w:val="Nagwek6"/>
    <w:next w:val="ECHRPara"/>
    <w:uiPriority w:val="24"/>
    <w:qFormat/>
    <w:rsid w:val="009D08C0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i w:val="0"/>
      <w:color w:val="auto"/>
      <w:sz w:val="20"/>
    </w:rPr>
  </w:style>
  <w:style w:type="paragraph" w:customStyle="1" w:styleId="ECHRHeading7">
    <w:name w:val="ECHR_Heading_7"/>
    <w:aliases w:val="Ju_H_–"/>
    <w:basedOn w:val="Nagwek7"/>
    <w:next w:val="ECHRPara"/>
    <w:uiPriority w:val="25"/>
    <w:qFormat/>
    <w:rsid w:val="009D08C0"/>
    <w:pPr>
      <w:keepNext/>
      <w:keepLines/>
      <w:spacing w:before="240" w:after="120"/>
      <w:ind w:left="1236"/>
    </w:pPr>
    <w:rPr>
      <w:sz w:val="20"/>
      <w:lang w:val="en-GB"/>
    </w:rPr>
  </w:style>
  <w:style w:type="character" w:customStyle="1" w:styleId="JuITMark">
    <w:name w:val="Ju_ITMark"/>
    <w:basedOn w:val="Domylnaczcionkaakapitu"/>
    <w:uiPriority w:val="38"/>
    <w:qFormat/>
    <w:rsid w:val="009D08C0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uiPriority w:val="17"/>
    <w:qFormat/>
    <w:rsid w:val="009D08C0"/>
    <w:rPr>
      <w:caps w:val="0"/>
      <w:smallCaps/>
    </w:rPr>
  </w:style>
  <w:style w:type="paragraph" w:customStyle="1" w:styleId="JuParaSub">
    <w:name w:val="Ju_Para_Sub"/>
    <w:basedOn w:val="ECHRPara"/>
    <w:uiPriority w:val="13"/>
    <w:qFormat/>
    <w:rsid w:val="009D08C0"/>
    <w:pPr>
      <w:ind w:left="284"/>
    </w:pPr>
  </w:style>
  <w:style w:type="paragraph" w:styleId="Nagwek">
    <w:name w:val="header"/>
    <w:basedOn w:val="Normalny"/>
    <w:link w:val="NagwekZnak"/>
    <w:uiPriority w:val="57"/>
    <w:semiHidden/>
    <w:rsid w:val="009D08C0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NagwekZnak">
    <w:name w:val="Nagłówek Znak"/>
    <w:basedOn w:val="Domylnaczcionkaakapitu"/>
    <w:link w:val="Nagwek"/>
    <w:uiPriority w:val="57"/>
    <w:semiHidden/>
    <w:rsid w:val="009D08C0"/>
    <w:rPr>
      <w:sz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9"/>
    <w:semiHidden/>
    <w:rsid w:val="009D08C0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ECHRHeading1">
    <w:name w:val="ECHR_Heading_1"/>
    <w:aliases w:val="Ju_H_I_Roman"/>
    <w:basedOn w:val="Nagwek1"/>
    <w:next w:val="ECHRPara"/>
    <w:uiPriority w:val="19"/>
    <w:qFormat/>
    <w:rsid w:val="009D08C0"/>
    <w:pPr>
      <w:keepNext/>
      <w:keepLines/>
      <w:tabs>
        <w:tab w:val="left" w:pos="357"/>
      </w:tabs>
      <w:spacing w:before="360" w:after="240"/>
      <w:ind w:left="357" w:hanging="357"/>
      <w:contextualSpacing w:val="0"/>
    </w:pPr>
    <w:rPr>
      <w:b w:val="0"/>
      <w:color w:val="auto"/>
      <w:sz w:val="24"/>
    </w:rPr>
  </w:style>
  <w:style w:type="paragraph" w:customStyle="1" w:styleId="ECHRHeading2">
    <w:name w:val="ECHR_Heading_2"/>
    <w:aliases w:val="Ju_H_A"/>
    <w:basedOn w:val="Nagwek2"/>
    <w:next w:val="ECHRPara"/>
    <w:uiPriority w:val="20"/>
    <w:qFormat/>
    <w:rsid w:val="009D08C0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D08C0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QuotSub">
    <w:name w:val="Ju_Quot_Sub"/>
    <w:basedOn w:val="ECHRParaQuote"/>
    <w:uiPriority w:val="15"/>
    <w:qFormat/>
    <w:rsid w:val="009D08C0"/>
    <w:pPr>
      <w:ind w:left="567"/>
    </w:pPr>
  </w:style>
  <w:style w:type="paragraph" w:customStyle="1" w:styleId="JuCase">
    <w:name w:val="Ju_Case"/>
    <w:basedOn w:val="Normalny"/>
    <w:next w:val="ECHRPara"/>
    <w:uiPriority w:val="10"/>
    <w:rsid w:val="009D08C0"/>
    <w:pPr>
      <w:ind w:firstLine="284"/>
    </w:pPr>
    <w:rPr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D08C0"/>
    <w:rPr>
      <w:rFonts w:asciiTheme="majorHAnsi" w:eastAsiaTheme="majorEastAsia" w:hAnsiTheme="majorHAnsi" w:cstheme="majorBidi"/>
      <w:b/>
      <w:bCs/>
      <w:color w:val="5F5F5F"/>
      <w:sz w:val="24"/>
      <w:lang w:val="en-GB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D08C0"/>
    <w:rPr>
      <w:rFonts w:asciiTheme="majorHAnsi" w:eastAsiaTheme="majorEastAsia" w:hAnsiTheme="majorHAnsi" w:cstheme="majorBidi"/>
      <w:b/>
      <w:bCs/>
      <w:i/>
      <w:iCs/>
      <w:color w:val="777777"/>
      <w:sz w:val="24"/>
      <w:lang w:val="en-GB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D08C0"/>
    <w:rPr>
      <w:rFonts w:asciiTheme="majorHAnsi" w:eastAsiaTheme="majorEastAsia" w:hAnsiTheme="majorHAnsi" w:cstheme="majorBidi"/>
      <w:b/>
      <w:bCs/>
      <w:color w:val="808080"/>
    </w:rPr>
  </w:style>
  <w:style w:type="character" w:styleId="Wyrnieniedelikatne">
    <w:name w:val="Subtle Emphasis"/>
    <w:uiPriority w:val="99"/>
    <w:semiHidden/>
    <w:qFormat/>
    <w:rsid w:val="009D08C0"/>
    <w:rPr>
      <w:i/>
      <w:iCs/>
    </w:rPr>
  </w:style>
  <w:style w:type="table" w:customStyle="1" w:styleId="ECHRTable">
    <w:name w:val="ECHR_Table"/>
    <w:basedOn w:val="Standardowy"/>
    <w:rsid w:val="00860B03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4C086C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ECHRTitle1">
    <w:name w:val="ECHR_Title_1"/>
    <w:aliases w:val="Ju_H_Head"/>
    <w:basedOn w:val="Normalny"/>
    <w:next w:val="ECHRPara"/>
    <w:uiPriority w:val="18"/>
    <w:qFormat/>
    <w:rsid w:val="009D08C0"/>
    <w:pPr>
      <w:keepNext/>
      <w:keepLines/>
      <w:spacing w:before="720" w:after="240"/>
      <w:outlineLvl w:val="0"/>
    </w:pPr>
    <w:rPr>
      <w:rFonts w:asciiTheme="majorHAnsi" w:hAnsiTheme="majorHAnsi"/>
      <w:sz w:val="28"/>
    </w:rPr>
  </w:style>
  <w:style w:type="character" w:styleId="Uwydatnienie">
    <w:name w:val="Emphasis"/>
    <w:uiPriority w:val="99"/>
    <w:semiHidden/>
    <w:qFormat/>
    <w:rsid w:val="009D08C0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57"/>
    <w:semiHidden/>
    <w:rsid w:val="009D08C0"/>
    <w:pPr>
      <w:tabs>
        <w:tab w:val="center" w:pos="4536"/>
        <w:tab w:val="right" w:pos="9696"/>
      </w:tabs>
      <w:ind w:left="-680" w:right="-680"/>
    </w:pPr>
    <w:rPr>
      <w:rFonts w:eastAsiaTheme="minorHAnsi"/>
    </w:rPr>
  </w:style>
  <w:style w:type="character" w:customStyle="1" w:styleId="StopkaZnak">
    <w:name w:val="Stopka Znak"/>
    <w:basedOn w:val="Domylnaczcionkaakapitu"/>
    <w:link w:val="Stopka"/>
    <w:uiPriority w:val="57"/>
    <w:semiHidden/>
    <w:rsid w:val="009D08C0"/>
    <w:rPr>
      <w:sz w:val="24"/>
      <w:lang w:val="en-GB"/>
    </w:rPr>
  </w:style>
  <w:style w:type="character" w:styleId="Odwoanieprzypisudolnego">
    <w:name w:val="footnote reference"/>
    <w:basedOn w:val="Domylnaczcionkaakapitu"/>
    <w:uiPriority w:val="99"/>
    <w:semiHidden/>
    <w:rsid w:val="009D08C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9D08C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D08C0"/>
    <w:rPr>
      <w:rFonts w:eastAsiaTheme="minorEastAsia"/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D08C0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D08C0"/>
    <w:rPr>
      <w:rFonts w:asciiTheme="majorHAnsi" w:eastAsiaTheme="majorEastAsia" w:hAnsiTheme="majorHAnsi" w:cstheme="majorBidi"/>
      <w:i/>
      <w:iCs/>
      <w:lang w:bidi="en-US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D08C0"/>
    <w:rPr>
      <w:rFonts w:asciiTheme="majorHAnsi" w:eastAsiaTheme="majorEastAsia" w:hAnsiTheme="majorHAnsi" w:cstheme="majorBidi"/>
      <w:sz w:val="20"/>
      <w:szCs w:val="20"/>
      <w:lang w:bidi="en-US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D08C0"/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styleId="Hipercze">
    <w:name w:val="Hyperlink"/>
    <w:basedOn w:val="Domylnaczcionkaakapitu"/>
    <w:uiPriority w:val="99"/>
    <w:semiHidden/>
    <w:rsid w:val="009D08C0"/>
    <w:rPr>
      <w:color w:val="0072BC" w:themeColor="hyperlink"/>
      <w:u w:val="single"/>
    </w:rPr>
  </w:style>
  <w:style w:type="character" w:styleId="Wyrnienieintensywne">
    <w:name w:val="Intense Emphasis"/>
    <w:uiPriority w:val="99"/>
    <w:semiHidden/>
    <w:qFormat/>
    <w:rsid w:val="009D08C0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semiHidden/>
    <w:qFormat/>
    <w:rsid w:val="009D08C0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lang w:val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9"/>
    <w:semiHidden/>
    <w:rsid w:val="009D08C0"/>
    <w:rPr>
      <w:rFonts w:eastAsiaTheme="minorEastAsia"/>
      <w:b/>
      <w:bCs/>
      <w:i/>
      <w:iCs/>
      <w:lang w:bidi="en-US"/>
    </w:rPr>
  </w:style>
  <w:style w:type="character" w:styleId="Odwoanieintensywne">
    <w:name w:val="Intense Reference"/>
    <w:uiPriority w:val="99"/>
    <w:semiHidden/>
    <w:qFormat/>
    <w:rsid w:val="009D08C0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semiHidden/>
    <w:qFormat/>
    <w:rsid w:val="009D08C0"/>
    <w:pPr>
      <w:ind w:left="720"/>
      <w:contextualSpacing/>
    </w:pPr>
  </w:style>
  <w:style w:type="table" w:customStyle="1" w:styleId="LtrTableAddress">
    <w:name w:val="Ltr_Table_Address"/>
    <w:basedOn w:val="Standardowy"/>
    <w:uiPriority w:val="99"/>
    <w:rsid w:val="001E6F32"/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9"/>
    <w:semiHidden/>
    <w:qFormat/>
    <w:rsid w:val="009D08C0"/>
    <w:pPr>
      <w:spacing w:before="200"/>
      <w:ind w:left="360" w:right="360"/>
    </w:pPr>
    <w:rPr>
      <w:i/>
      <w:iCs/>
      <w:sz w:val="22"/>
      <w:lang w:val="en-US" w:bidi="en-US"/>
    </w:rPr>
  </w:style>
  <w:style w:type="character" w:customStyle="1" w:styleId="CytatZnak">
    <w:name w:val="Cytat Znak"/>
    <w:basedOn w:val="Domylnaczcionkaakapitu"/>
    <w:link w:val="Cytat"/>
    <w:uiPriority w:val="99"/>
    <w:semiHidden/>
    <w:rsid w:val="009D08C0"/>
    <w:rPr>
      <w:rFonts w:eastAsiaTheme="minorEastAsia"/>
      <w:i/>
      <w:iCs/>
      <w:lang w:bidi="en-US"/>
    </w:rPr>
  </w:style>
  <w:style w:type="character" w:styleId="Odwoaniedelikatne">
    <w:name w:val="Subtle Reference"/>
    <w:uiPriority w:val="99"/>
    <w:semiHidden/>
    <w:qFormat/>
    <w:rsid w:val="009D08C0"/>
    <w:rPr>
      <w:smallCaps/>
    </w:rPr>
  </w:style>
  <w:style w:type="table" w:styleId="Tabela-Siatka">
    <w:name w:val="Table Grid"/>
    <w:basedOn w:val="Standardowy"/>
    <w:uiPriority w:val="59"/>
    <w:semiHidden/>
    <w:rsid w:val="009D08C0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9D08C0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9D08C0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9D08C0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9D08C0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9D08C0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9"/>
    <w:semiHidden/>
    <w:qFormat/>
    <w:rsid w:val="009D08C0"/>
    <w:pPr>
      <w:keepNext/>
      <w:keepLines/>
      <w:spacing w:before="240"/>
      <w:contextualSpacing/>
      <w:jc w:val="center"/>
    </w:pPr>
    <w:rPr>
      <w:rFonts w:asciiTheme="majorHAnsi" w:eastAsiaTheme="minorHAnsi" w:hAnsiTheme="majorHAnsi"/>
      <w:b/>
      <w:color w:val="474747" w:themeColor="accent3" w:themeShade="BF"/>
      <w:sz w:val="28"/>
    </w:rPr>
  </w:style>
  <w:style w:type="table" w:customStyle="1" w:styleId="UGTable">
    <w:name w:val="UG_Table"/>
    <w:basedOn w:val="Standardowy"/>
    <w:uiPriority w:val="99"/>
    <w:rsid w:val="00801300"/>
    <w:rPr>
      <w:rFonts w:eastAsiaTheme="minorEastAsia"/>
      <w:sz w:val="20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basedOn w:val="Standardowy"/>
    <w:uiPriority w:val="99"/>
    <w:rsid w:val="00801300"/>
    <w:rPr>
      <w:rFonts w:eastAsiaTheme="minorEastAsia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basedOn w:val="Standardowy"/>
    <w:uiPriority w:val="99"/>
    <w:rsid w:val="00810B38"/>
    <w:rPr>
      <w:color w:val="000000" w:themeColor="text1"/>
      <w:sz w:val="18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893576"/>
    <w:rPr>
      <w:color w:val="000000" w:themeColor="text1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aliases w:val="DN_Table"/>
    <w:basedOn w:val="Standardowy"/>
    <w:uiPriority w:val="99"/>
    <w:rsid w:val="0090506B"/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9"/>
    <w:semiHidden/>
    <w:rsid w:val="009D08C0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  <w:szCs w:val="24"/>
    </w:rPr>
  </w:style>
  <w:style w:type="paragraph" w:customStyle="1" w:styleId="ECHRParaQuote">
    <w:name w:val="ECHR_Para_Quote"/>
    <w:aliases w:val="Ju_Quot"/>
    <w:basedOn w:val="Normalny"/>
    <w:uiPriority w:val="14"/>
    <w:qFormat/>
    <w:rsid w:val="009D08C0"/>
    <w:pPr>
      <w:spacing w:before="120" w:after="120"/>
      <w:ind w:left="425" w:firstLine="142"/>
    </w:pPr>
    <w:rPr>
      <w:sz w:val="20"/>
    </w:rPr>
  </w:style>
  <w:style w:type="paragraph" w:customStyle="1" w:styleId="ECHRPara">
    <w:name w:val="ECHR_Para"/>
    <w:aliases w:val="Ju_Para,N_Para,Para,Left,First line:  0 cm,_Para,Ju_Para + Interligne : Double"/>
    <w:basedOn w:val="Normalny"/>
    <w:link w:val="ECHRParaChar"/>
    <w:uiPriority w:val="99"/>
    <w:qFormat/>
    <w:rsid w:val="009D08C0"/>
    <w:pPr>
      <w:ind w:firstLine="284"/>
    </w:pPr>
  </w:style>
  <w:style w:type="table" w:customStyle="1" w:styleId="ECHRTableSimpleBox">
    <w:name w:val="ECHR_Table_Simple_Box"/>
    <w:basedOn w:val="Standardowy"/>
    <w:uiPriority w:val="99"/>
    <w:rsid w:val="00AE354C"/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5474E7"/>
    <w:rPr>
      <w:color w:val="636363" w:themeColor="text2" w:themeShade="80"/>
      <w:sz w:val="18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D08C0"/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661971"/>
    <w:tblPr>
      <w:tblInd w:w="-680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860B03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ECHRDecisionBody">
    <w:name w:val="ECHR_Decision_Body"/>
    <w:aliases w:val="Ju_Judges"/>
    <w:basedOn w:val="Normalny"/>
    <w:uiPriority w:val="11"/>
    <w:qFormat/>
    <w:rsid w:val="009D08C0"/>
    <w:pPr>
      <w:tabs>
        <w:tab w:val="left" w:pos="567"/>
        <w:tab w:val="left" w:pos="1134"/>
      </w:tabs>
      <w:jc w:val="left"/>
    </w:pPr>
  </w:style>
  <w:style w:type="table" w:customStyle="1" w:styleId="ECHRHeaderTableReduced">
    <w:name w:val="ECHR_Header_Table_Reduced"/>
    <w:basedOn w:val="Standardowy"/>
    <w:uiPriority w:val="99"/>
    <w:rsid w:val="00B52BE0"/>
    <w:tblPr>
      <w:tblInd w:w="-680" w:type="dxa"/>
      <w:tblCellMar>
        <w:left w:w="0" w:type="dxa"/>
        <w:right w:w="0" w:type="dxa"/>
      </w:tblCellMar>
    </w:tblPr>
    <w:tcPr>
      <w:vAlign w:val="bottom"/>
    </w:tcPr>
    <w:tblStylePr w:type="firstRow"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List">
    <w:name w:val="Ju_List"/>
    <w:basedOn w:val="Normalny"/>
    <w:uiPriority w:val="28"/>
    <w:qFormat/>
    <w:rsid w:val="009D08C0"/>
    <w:pPr>
      <w:ind w:left="340" w:hanging="340"/>
    </w:pPr>
  </w:style>
  <w:style w:type="paragraph" w:customStyle="1" w:styleId="JuSigned">
    <w:name w:val="Ju_Signed"/>
    <w:basedOn w:val="Normalny"/>
    <w:next w:val="JuParaLast"/>
    <w:uiPriority w:val="32"/>
    <w:qFormat/>
    <w:rsid w:val="009D08C0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ParaLast">
    <w:name w:val="Ju_Para_Last"/>
    <w:basedOn w:val="Normalny"/>
    <w:next w:val="ECHRPara"/>
    <w:uiPriority w:val="30"/>
    <w:qFormat/>
    <w:rsid w:val="009D08C0"/>
    <w:pPr>
      <w:keepNext/>
      <w:keepLines/>
      <w:spacing w:before="240"/>
      <w:ind w:firstLine="284"/>
    </w:pPr>
  </w:style>
  <w:style w:type="paragraph" w:customStyle="1" w:styleId="JuTitle">
    <w:name w:val="Ju_Title"/>
    <w:basedOn w:val="Normalny"/>
    <w:next w:val="ECHRPara"/>
    <w:uiPriority w:val="3"/>
    <w:semiHidden/>
    <w:qFormat/>
    <w:rsid w:val="009D08C0"/>
    <w:pPr>
      <w:spacing w:before="720" w:after="240"/>
      <w:jc w:val="center"/>
      <w:outlineLvl w:val="0"/>
    </w:pPr>
    <w:rPr>
      <w:rFonts w:asciiTheme="majorHAnsi" w:hAnsiTheme="majorHAnsi"/>
      <w:b/>
      <w:caps/>
    </w:rPr>
  </w:style>
  <w:style w:type="character" w:styleId="Numerstrony">
    <w:name w:val="page number"/>
    <w:uiPriority w:val="99"/>
    <w:semiHidden/>
    <w:rsid w:val="00014566"/>
    <w:rPr>
      <w:sz w:val="18"/>
    </w:rPr>
  </w:style>
  <w:style w:type="paragraph" w:customStyle="1" w:styleId="JuLista">
    <w:name w:val="Ju_List_a"/>
    <w:basedOn w:val="JuList"/>
    <w:uiPriority w:val="28"/>
    <w:qFormat/>
    <w:rsid w:val="009D08C0"/>
    <w:pPr>
      <w:ind w:left="346" w:firstLine="0"/>
    </w:pPr>
  </w:style>
  <w:style w:type="paragraph" w:customStyle="1" w:styleId="JuListi">
    <w:name w:val="Ju_List_i"/>
    <w:basedOn w:val="Normalny"/>
    <w:next w:val="JuLista"/>
    <w:uiPriority w:val="28"/>
    <w:qFormat/>
    <w:rsid w:val="009D08C0"/>
    <w:pPr>
      <w:ind w:left="794"/>
    </w:pPr>
  </w:style>
  <w:style w:type="character" w:styleId="Odwoaniedokomentarza">
    <w:name w:val="annotation reference"/>
    <w:uiPriority w:val="99"/>
    <w:semiHidden/>
    <w:rsid w:val="00014566"/>
    <w:rPr>
      <w:sz w:val="16"/>
    </w:rPr>
  </w:style>
  <w:style w:type="paragraph" w:styleId="Tekstkomentarza">
    <w:name w:val="annotation text"/>
    <w:basedOn w:val="Normalny"/>
    <w:link w:val="TekstkomentarzaZnak"/>
    <w:semiHidden/>
    <w:rsid w:val="00014566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14566"/>
    <w:rPr>
      <w:rFonts w:eastAsiaTheme="minorEastAsia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145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4566"/>
    <w:rPr>
      <w:rFonts w:eastAsiaTheme="minorEastAsia"/>
      <w:b/>
      <w:bCs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9D08C0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08C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D08C0"/>
    <w:rPr>
      <w:rFonts w:eastAsiaTheme="minorEastAsia"/>
      <w:sz w:val="20"/>
      <w:szCs w:val="20"/>
      <w:lang w:val="en-GB"/>
    </w:rPr>
  </w:style>
  <w:style w:type="character" w:styleId="UyteHipercze">
    <w:name w:val="FollowedHyperlink"/>
    <w:uiPriority w:val="99"/>
    <w:semiHidden/>
    <w:rsid w:val="00014566"/>
    <w:rPr>
      <w:color w:val="800080"/>
      <w:u w:val="single"/>
    </w:rPr>
  </w:style>
  <w:style w:type="paragraph" w:styleId="Mapadokumentu">
    <w:name w:val="Document Map"/>
    <w:basedOn w:val="Normalny"/>
    <w:link w:val="MapadokumentuZnak"/>
    <w:uiPriority w:val="99"/>
    <w:semiHidden/>
    <w:rsid w:val="00014566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14566"/>
    <w:rPr>
      <w:rFonts w:ascii="Tahoma" w:eastAsiaTheme="minorEastAsia" w:hAnsi="Tahoma" w:cs="Tahoma"/>
      <w:sz w:val="20"/>
      <w:shd w:val="clear" w:color="auto" w:fill="000080"/>
    </w:rPr>
  </w:style>
  <w:style w:type="paragraph" w:customStyle="1" w:styleId="OpiH1">
    <w:name w:val="Opi_H_1"/>
    <w:basedOn w:val="ECHRHeading2"/>
    <w:uiPriority w:val="42"/>
    <w:qFormat/>
    <w:rsid w:val="009D08C0"/>
    <w:pPr>
      <w:ind w:left="635" w:hanging="357"/>
      <w:outlineLvl w:val="2"/>
    </w:pPr>
  </w:style>
  <w:style w:type="paragraph" w:styleId="Listapunktowana">
    <w:name w:val="List Bullet"/>
    <w:basedOn w:val="Normalny"/>
    <w:uiPriority w:val="99"/>
    <w:semiHidden/>
    <w:rsid w:val="00014566"/>
    <w:pPr>
      <w:numPr>
        <w:numId w:val="1"/>
      </w:numPr>
    </w:pPr>
  </w:style>
  <w:style w:type="paragraph" w:customStyle="1" w:styleId="OpiHa">
    <w:name w:val="Opi_H_a"/>
    <w:basedOn w:val="ECHRHeading3"/>
    <w:uiPriority w:val="43"/>
    <w:qFormat/>
    <w:rsid w:val="009D08C0"/>
    <w:pPr>
      <w:ind w:left="833" w:hanging="357"/>
      <w:outlineLvl w:val="3"/>
    </w:pPr>
    <w:rPr>
      <w:b/>
      <w:i w:val="0"/>
      <w:sz w:val="20"/>
    </w:rPr>
  </w:style>
  <w:style w:type="paragraph" w:styleId="Podtytu">
    <w:name w:val="Subtitle"/>
    <w:basedOn w:val="Normalny"/>
    <w:next w:val="Normalny"/>
    <w:link w:val="PodtytuZnak"/>
    <w:uiPriority w:val="99"/>
    <w:semiHidden/>
    <w:qFormat/>
    <w:rsid w:val="009D08C0"/>
    <w:pPr>
      <w:spacing w:after="600"/>
    </w:pPr>
    <w:rPr>
      <w:rFonts w:asciiTheme="majorHAnsi" w:eastAsiaTheme="majorEastAsia" w:hAnsiTheme="majorHAnsi" w:cstheme="majorBidi"/>
      <w:i/>
      <w:iCs/>
      <w:spacing w:val="13"/>
      <w:szCs w:val="24"/>
      <w:lang w:val="en-US" w:bidi="en-US"/>
    </w:rPr>
  </w:style>
  <w:style w:type="character" w:customStyle="1" w:styleId="PodtytuZnak">
    <w:name w:val="Podtytuł Znak"/>
    <w:basedOn w:val="Domylnaczcionkaakapitu"/>
    <w:link w:val="Podtytu"/>
    <w:uiPriority w:val="99"/>
    <w:semiHidden/>
    <w:rsid w:val="009D08C0"/>
    <w:rPr>
      <w:rFonts w:asciiTheme="majorHAnsi" w:eastAsiaTheme="majorEastAsia" w:hAnsiTheme="majorHAnsi" w:cstheme="majorBidi"/>
      <w:i/>
      <w:iCs/>
      <w:spacing w:val="13"/>
      <w:sz w:val="24"/>
      <w:szCs w:val="24"/>
      <w:lang w:bidi="en-US"/>
    </w:rPr>
  </w:style>
  <w:style w:type="numbering" w:styleId="111111">
    <w:name w:val="Outline List 2"/>
    <w:basedOn w:val="Bezlisty"/>
    <w:uiPriority w:val="99"/>
    <w:semiHidden/>
    <w:rsid w:val="00014566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rsid w:val="00014566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rsid w:val="00014566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9"/>
    <w:semiHidden/>
    <w:unhideWhenUsed/>
    <w:rsid w:val="00014566"/>
  </w:style>
  <w:style w:type="paragraph" w:styleId="Tekstblokowy">
    <w:name w:val="Block Text"/>
    <w:basedOn w:val="Normalny"/>
    <w:uiPriority w:val="99"/>
    <w:semiHidden/>
    <w:rsid w:val="00014566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9"/>
    <w:semiHidden/>
    <w:rsid w:val="0001456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14566"/>
    <w:rPr>
      <w:rFonts w:eastAsiaTheme="minorEastAsia"/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rsid w:val="0001456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566"/>
    <w:rPr>
      <w:rFonts w:eastAsiaTheme="minorEastAsia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01456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14566"/>
    <w:rPr>
      <w:rFonts w:eastAsiaTheme="minorEastAsia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014566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014566"/>
    <w:rPr>
      <w:rFonts w:eastAsiaTheme="minorEastAsia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1456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14566"/>
    <w:rPr>
      <w:rFonts w:eastAsiaTheme="minorEastAsia"/>
      <w:sz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014566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014566"/>
    <w:rPr>
      <w:rFonts w:eastAsiaTheme="minorEastAsia"/>
      <w:sz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145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14566"/>
    <w:rPr>
      <w:rFonts w:eastAsiaTheme="minorEastAsia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1456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014566"/>
    <w:rPr>
      <w:rFonts w:eastAsiaTheme="minorEastAsia"/>
      <w:sz w:val="16"/>
      <w:szCs w:val="16"/>
    </w:rPr>
  </w:style>
  <w:style w:type="paragraph" w:styleId="Legenda">
    <w:name w:val="caption"/>
    <w:basedOn w:val="Normalny"/>
    <w:next w:val="Normalny"/>
    <w:uiPriority w:val="99"/>
    <w:semiHidden/>
    <w:qFormat/>
    <w:rsid w:val="00014566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014566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014566"/>
    <w:rPr>
      <w:rFonts w:eastAsiaTheme="minorEastAsia"/>
      <w:sz w:val="24"/>
    </w:rPr>
  </w:style>
  <w:style w:type="table" w:styleId="Kolorowasiatka">
    <w:name w:val="Colorful Grid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99"/>
    <w:semiHidden/>
    <w:rsid w:val="00014566"/>
    <w:rPr>
      <w:color w:val="0072BC" w:themeColor="background1"/>
      <w:lang w:val="fr-FR" w:eastAsia="fr-FR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014566"/>
  </w:style>
  <w:style w:type="character" w:customStyle="1" w:styleId="DataZnak">
    <w:name w:val="Data Znak"/>
    <w:basedOn w:val="Domylnaczcionkaakapitu"/>
    <w:link w:val="Data"/>
    <w:uiPriority w:val="99"/>
    <w:semiHidden/>
    <w:rsid w:val="00014566"/>
    <w:rPr>
      <w:rFonts w:eastAsiaTheme="minorEastAsia"/>
      <w:sz w:val="24"/>
    </w:rPr>
  </w:style>
  <w:style w:type="paragraph" w:styleId="Podpise-mail">
    <w:name w:val="E-mail Signature"/>
    <w:basedOn w:val="Normalny"/>
    <w:link w:val="Podpise-mailZnak"/>
    <w:uiPriority w:val="99"/>
    <w:semiHidden/>
    <w:rsid w:val="00014566"/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014566"/>
    <w:rPr>
      <w:rFonts w:eastAsiaTheme="minorEastAsia"/>
      <w:sz w:val="24"/>
    </w:rPr>
  </w:style>
  <w:style w:type="paragraph" w:styleId="Adresnakopercie">
    <w:name w:val="envelope address"/>
    <w:basedOn w:val="Normalny"/>
    <w:uiPriority w:val="99"/>
    <w:semiHidden/>
    <w:rsid w:val="00014566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  <w:szCs w:val="24"/>
    </w:rPr>
  </w:style>
  <w:style w:type="paragraph" w:styleId="Adreszwrotnynakopercie">
    <w:name w:val="envelope return"/>
    <w:basedOn w:val="Normalny"/>
    <w:uiPriority w:val="99"/>
    <w:semiHidden/>
    <w:rsid w:val="00014566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9"/>
    <w:semiHidden/>
    <w:rsid w:val="00014566"/>
  </w:style>
  <w:style w:type="paragraph" w:styleId="HTML-adres">
    <w:name w:val="HTML Address"/>
    <w:basedOn w:val="Normalny"/>
    <w:link w:val="HTML-adresZnak"/>
    <w:uiPriority w:val="99"/>
    <w:semiHidden/>
    <w:rsid w:val="00014566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014566"/>
    <w:rPr>
      <w:rFonts w:eastAsiaTheme="minorEastAsia"/>
      <w:i/>
      <w:iCs/>
      <w:sz w:val="24"/>
    </w:rPr>
  </w:style>
  <w:style w:type="character" w:styleId="HTML-cytat">
    <w:name w:val="HTML Cite"/>
    <w:basedOn w:val="Domylnaczcionkaakapitu"/>
    <w:uiPriority w:val="99"/>
    <w:semiHidden/>
    <w:rsid w:val="00014566"/>
    <w:rPr>
      <w:i/>
      <w:iCs/>
    </w:rPr>
  </w:style>
  <w:style w:type="character" w:styleId="HTML-kod">
    <w:name w:val="HTML Code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9"/>
    <w:semiHidden/>
    <w:rsid w:val="00014566"/>
    <w:rPr>
      <w:i/>
      <w:iCs/>
    </w:rPr>
  </w:style>
  <w:style w:type="character" w:styleId="HTML-klawiatura">
    <w:name w:val="HTML Keyboard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014566"/>
    <w:rPr>
      <w:rFonts w:ascii="Consolas" w:eastAsiaTheme="minorEastAsia" w:hAnsi="Consolas" w:cs="Consolas"/>
      <w:sz w:val="20"/>
      <w:szCs w:val="20"/>
    </w:rPr>
  </w:style>
  <w:style w:type="character" w:styleId="HTML-przykad">
    <w:name w:val="HTML Sample"/>
    <w:basedOn w:val="Domylnaczcionkaakapitu"/>
    <w:uiPriority w:val="99"/>
    <w:semiHidden/>
    <w:rsid w:val="00014566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9"/>
    <w:semiHidden/>
    <w:rsid w:val="00014566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9"/>
    <w:semiHidden/>
    <w:rsid w:val="00014566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014566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014566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014566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014566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014566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014566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014566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014566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014566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014566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99"/>
    <w:semiHidden/>
    <w:rsid w:val="00014566"/>
    <w:rPr>
      <w:color w:val="000000" w:themeColor="text1" w:themeShade="BF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99"/>
    <w:semiHidden/>
    <w:rsid w:val="00014566"/>
    <w:rPr>
      <w:color w:val="00548C" w:themeColor="accent1" w:themeShade="BF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99"/>
    <w:semiHidden/>
    <w:rsid w:val="00014566"/>
    <w:rPr>
      <w:color w:val="8F0000" w:themeColor="accent2" w:themeShade="BF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99"/>
    <w:semiHidden/>
    <w:rsid w:val="00014566"/>
    <w:rPr>
      <w:color w:val="474747" w:themeColor="accent3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99"/>
    <w:semiHidden/>
    <w:rsid w:val="00014566"/>
    <w:rPr>
      <w:color w:val="707070" w:themeColor="accent4" w:themeShade="BF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99"/>
    <w:semiHidden/>
    <w:rsid w:val="00014566"/>
    <w:rPr>
      <w:color w:val="474747" w:themeColor="accent5" w:themeShade="BF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99"/>
    <w:semiHidden/>
    <w:rsid w:val="00014566"/>
    <w:rPr>
      <w:color w:val="393939" w:themeColor="accent6" w:themeShade="BF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9"/>
    <w:semiHidden/>
    <w:rsid w:val="00014566"/>
  </w:style>
  <w:style w:type="paragraph" w:styleId="Lista">
    <w:name w:val="List"/>
    <w:basedOn w:val="Normalny"/>
    <w:uiPriority w:val="99"/>
    <w:semiHidden/>
    <w:rsid w:val="00014566"/>
    <w:pPr>
      <w:ind w:left="283" w:hanging="283"/>
      <w:contextualSpacing/>
    </w:pPr>
  </w:style>
  <w:style w:type="paragraph" w:styleId="Lista2">
    <w:name w:val="List 2"/>
    <w:basedOn w:val="Normalny"/>
    <w:uiPriority w:val="99"/>
    <w:semiHidden/>
    <w:rsid w:val="00014566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rsid w:val="00014566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rsid w:val="00014566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rsid w:val="00014566"/>
    <w:pPr>
      <w:ind w:left="1415" w:hanging="283"/>
      <w:contextualSpacing/>
    </w:pPr>
  </w:style>
  <w:style w:type="paragraph" w:styleId="Listapunktowana2">
    <w:name w:val="List Bullet 2"/>
    <w:basedOn w:val="Normalny"/>
    <w:uiPriority w:val="99"/>
    <w:semiHidden/>
    <w:rsid w:val="00014566"/>
    <w:pPr>
      <w:numPr>
        <w:numId w:val="5"/>
      </w:numPr>
      <w:contextualSpacing/>
    </w:pPr>
  </w:style>
  <w:style w:type="paragraph" w:styleId="Listapunktowana3">
    <w:name w:val="List Bullet 3"/>
    <w:basedOn w:val="Normalny"/>
    <w:uiPriority w:val="99"/>
    <w:semiHidden/>
    <w:rsid w:val="00014566"/>
    <w:pPr>
      <w:numPr>
        <w:numId w:val="6"/>
      </w:numPr>
      <w:contextualSpacing/>
    </w:pPr>
  </w:style>
  <w:style w:type="paragraph" w:styleId="Listapunktowana4">
    <w:name w:val="List Bullet 4"/>
    <w:basedOn w:val="Normalny"/>
    <w:uiPriority w:val="99"/>
    <w:semiHidden/>
    <w:rsid w:val="00014566"/>
    <w:pPr>
      <w:numPr>
        <w:numId w:val="7"/>
      </w:numPr>
      <w:contextualSpacing/>
    </w:pPr>
  </w:style>
  <w:style w:type="paragraph" w:styleId="Listapunktowana5">
    <w:name w:val="List Bullet 5"/>
    <w:basedOn w:val="Normalny"/>
    <w:uiPriority w:val="99"/>
    <w:semiHidden/>
    <w:rsid w:val="00014566"/>
    <w:pPr>
      <w:numPr>
        <w:numId w:val="8"/>
      </w:numPr>
      <w:contextualSpacing/>
    </w:pPr>
  </w:style>
  <w:style w:type="paragraph" w:styleId="Lista-kontynuacja">
    <w:name w:val="List Continue"/>
    <w:basedOn w:val="Normalny"/>
    <w:uiPriority w:val="99"/>
    <w:semiHidden/>
    <w:rsid w:val="00014566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rsid w:val="00014566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rsid w:val="00014566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rsid w:val="00014566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rsid w:val="00014566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9"/>
    <w:semiHidden/>
    <w:rsid w:val="00014566"/>
    <w:pPr>
      <w:numPr>
        <w:numId w:val="9"/>
      </w:numPr>
      <w:contextualSpacing/>
    </w:pPr>
  </w:style>
  <w:style w:type="paragraph" w:styleId="Listanumerowana2">
    <w:name w:val="List Number 2"/>
    <w:basedOn w:val="Normalny"/>
    <w:uiPriority w:val="99"/>
    <w:semiHidden/>
    <w:rsid w:val="00014566"/>
    <w:pPr>
      <w:numPr>
        <w:numId w:val="10"/>
      </w:numPr>
      <w:contextualSpacing/>
    </w:pPr>
  </w:style>
  <w:style w:type="paragraph" w:styleId="Listanumerowana3">
    <w:name w:val="List Number 3"/>
    <w:basedOn w:val="Normalny"/>
    <w:uiPriority w:val="99"/>
    <w:semiHidden/>
    <w:rsid w:val="00014566"/>
    <w:pPr>
      <w:numPr>
        <w:numId w:val="11"/>
      </w:numPr>
      <w:contextualSpacing/>
    </w:pPr>
  </w:style>
  <w:style w:type="paragraph" w:styleId="Listanumerowana4">
    <w:name w:val="List Number 4"/>
    <w:basedOn w:val="Normalny"/>
    <w:uiPriority w:val="99"/>
    <w:semiHidden/>
    <w:rsid w:val="00014566"/>
    <w:pPr>
      <w:numPr>
        <w:numId w:val="12"/>
      </w:numPr>
      <w:contextualSpacing/>
    </w:pPr>
  </w:style>
  <w:style w:type="paragraph" w:styleId="Listanumerowana5">
    <w:name w:val="List Number 5"/>
    <w:basedOn w:val="Normalny"/>
    <w:uiPriority w:val="99"/>
    <w:semiHidden/>
    <w:rsid w:val="00014566"/>
    <w:pPr>
      <w:numPr>
        <w:numId w:val="13"/>
      </w:numPr>
      <w:contextualSpacing/>
    </w:pPr>
  </w:style>
  <w:style w:type="paragraph" w:styleId="Tekstmakra">
    <w:name w:val="macro"/>
    <w:link w:val="TekstmakraZnak"/>
    <w:uiPriority w:val="99"/>
    <w:semiHidden/>
    <w:rsid w:val="000145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uppressAutoHyphens/>
    </w:pPr>
    <w:rPr>
      <w:rFonts w:ascii="Consolas" w:hAnsi="Consolas" w:cs="Consolas"/>
      <w:sz w:val="20"/>
      <w:szCs w:val="20"/>
      <w:lang w:val="en-GB" w:eastAsia="fr-FR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014566"/>
    <w:rPr>
      <w:rFonts w:ascii="Consolas" w:hAnsi="Consolas" w:cs="Consolas"/>
      <w:sz w:val="20"/>
      <w:szCs w:val="20"/>
      <w:lang w:val="en-GB" w:eastAsia="fr-FR"/>
    </w:rPr>
  </w:style>
  <w:style w:type="table" w:styleId="redniasiatka1">
    <w:name w:val="Medium Grid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99"/>
    <w:semiHidden/>
    <w:rsid w:val="00014566"/>
    <w:rPr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014566"/>
    <w:rPr>
      <w:rFonts w:asciiTheme="majorHAnsi" w:eastAsiaTheme="majorEastAsia" w:hAnsiTheme="majorHAnsi" w:cstheme="majorBidi"/>
      <w:color w:val="000000" w:themeColor="text1"/>
      <w:lang w:val="fr-FR" w:eastAsia="fr-FR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014566"/>
    <w:rPr>
      <w:lang w:val="fr-FR" w:eastAsia="fr-FR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0145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01456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014566"/>
    <w:rPr>
      <w:rFonts w:ascii="Times New Roman" w:hAnsi="Times New Roman" w:cs="Times New Roman"/>
      <w:szCs w:val="24"/>
    </w:rPr>
  </w:style>
  <w:style w:type="paragraph" w:styleId="Wcicienormalne">
    <w:name w:val="Normal Indent"/>
    <w:basedOn w:val="Normalny"/>
    <w:uiPriority w:val="99"/>
    <w:semiHidden/>
    <w:rsid w:val="00014566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014566"/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014566"/>
    <w:rPr>
      <w:rFonts w:eastAsiaTheme="minorEastAsia"/>
      <w:sz w:val="24"/>
    </w:rPr>
  </w:style>
  <w:style w:type="character" w:styleId="Tekstzastpczy">
    <w:name w:val="Placeholder Text"/>
    <w:basedOn w:val="Domylnaczcionkaakapitu"/>
    <w:uiPriority w:val="99"/>
    <w:semiHidden/>
    <w:rsid w:val="009D08C0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9"/>
    <w:semiHidden/>
    <w:rsid w:val="00014566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14566"/>
    <w:rPr>
      <w:rFonts w:ascii="Consolas" w:eastAsiaTheme="minorEastAsia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014566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014566"/>
    <w:rPr>
      <w:rFonts w:eastAsiaTheme="minorEastAsia"/>
      <w:sz w:val="24"/>
    </w:rPr>
  </w:style>
  <w:style w:type="paragraph" w:styleId="Podpis">
    <w:name w:val="Signature"/>
    <w:basedOn w:val="Normalny"/>
    <w:link w:val="PodpisZnak"/>
    <w:uiPriority w:val="99"/>
    <w:semiHidden/>
    <w:rsid w:val="00014566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014566"/>
    <w:rPr>
      <w:rFonts w:eastAsiaTheme="minorEastAsia"/>
      <w:sz w:val="24"/>
    </w:rPr>
  </w:style>
  <w:style w:type="table" w:styleId="Tabela-Efekty3W1">
    <w:name w:val="Table 3D effects 1"/>
    <w:basedOn w:val="Standardowy"/>
    <w:uiPriority w:val="99"/>
    <w:semiHidden/>
    <w:rsid w:val="00014566"/>
    <w:pPr>
      <w:suppressAutoHyphens/>
    </w:pPr>
    <w:rPr>
      <w:lang w:val="fr-FR" w:eastAsia="fr-FR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014566"/>
    <w:pPr>
      <w:suppressAutoHyphens/>
    </w:pPr>
    <w:rPr>
      <w:color w:val="000080"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014566"/>
    <w:pPr>
      <w:suppressAutoHyphens/>
    </w:pPr>
    <w:rPr>
      <w:color w:val="FFFFFF"/>
      <w:lang w:val="fr-FR" w:eastAsia="fr-FR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014566"/>
    <w:pPr>
      <w:suppressAutoHyphens/>
    </w:pPr>
    <w:rPr>
      <w:b/>
      <w:bCs/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014566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014566"/>
  </w:style>
  <w:style w:type="table" w:styleId="Tabela-Profesjonalny">
    <w:name w:val="Table Professional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014566"/>
    <w:pPr>
      <w:suppressAutoHyphens/>
    </w:pPr>
    <w:rPr>
      <w:lang w:val="fr-FR" w:eastAsia="fr-FR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014566"/>
    <w:pPr>
      <w:suppressAutoHyphens/>
    </w:pPr>
    <w:rPr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014566"/>
    <w:pPr>
      <w:suppressAutoHyphens/>
    </w:pPr>
    <w:rPr>
      <w:lang w:val="fr-FR" w:eastAsia="fr-FR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9D08C0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9D08C0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014566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014566"/>
    <w:pPr>
      <w:spacing w:after="100"/>
      <w:ind w:left="1920"/>
    </w:pPr>
  </w:style>
  <w:style w:type="paragraph" w:customStyle="1" w:styleId="OpiHA0">
    <w:name w:val="Opi_H_A"/>
    <w:basedOn w:val="ECHRHeading1"/>
    <w:next w:val="OpiPara"/>
    <w:uiPriority w:val="41"/>
    <w:qFormat/>
    <w:rsid w:val="009D08C0"/>
    <w:pPr>
      <w:tabs>
        <w:tab w:val="clear" w:pos="357"/>
      </w:tabs>
      <w:outlineLvl w:val="1"/>
    </w:pPr>
    <w:rPr>
      <w:b/>
    </w:rPr>
  </w:style>
  <w:style w:type="paragraph" w:customStyle="1" w:styleId="OpiHi">
    <w:name w:val="Opi_H_i"/>
    <w:basedOn w:val="ECHRHeading4"/>
    <w:uiPriority w:val="44"/>
    <w:qFormat/>
    <w:rsid w:val="009D08C0"/>
    <w:pPr>
      <w:ind w:left="1037" w:hanging="357"/>
      <w:outlineLvl w:val="4"/>
    </w:pPr>
    <w:rPr>
      <w:b w:val="0"/>
      <w:i/>
    </w:rPr>
  </w:style>
  <w:style w:type="paragraph" w:customStyle="1" w:styleId="OpiPara">
    <w:name w:val="Opi_Para"/>
    <w:basedOn w:val="ECHRPara"/>
    <w:uiPriority w:val="46"/>
    <w:qFormat/>
    <w:rsid w:val="009D08C0"/>
  </w:style>
  <w:style w:type="paragraph" w:customStyle="1" w:styleId="OpiParaSub">
    <w:name w:val="Opi_Para_Sub"/>
    <w:basedOn w:val="JuParaSub"/>
    <w:uiPriority w:val="47"/>
    <w:qFormat/>
    <w:rsid w:val="009D08C0"/>
  </w:style>
  <w:style w:type="paragraph" w:customStyle="1" w:styleId="OpiQuot">
    <w:name w:val="Opi_Quot"/>
    <w:basedOn w:val="ECHRParaQuote"/>
    <w:uiPriority w:val="48"/>
    <w:qFormat/>
    <w:rsid w:val="009D08C0"/>
  </w:style>
  <w:style w:type="paragraph" w:customStyle="1" w:styleId="OpiQuotSub">
    <w:name w:val="Opi_Quot_Sub"/>
    <w:basedOn w:val="JuQuotSub"/>
    <w:uiPriority w:val="49"/>
    <w:qFormat/>
    <w:rsid w:val="009D08C0"/>
  </w:style>
  <w:style w:type="paragraph" w:customStyle="1" w:styleId="OpiTranslation">
    <w:name w:val="Opi_Translation"/>
    <w:basedOn w:val="Normalny"/>
    <w:next w:val="OpiPara"/>
    <w:uiPriority w:val="40"/>
    <w:qFormat/>
    <w:rsid w:val="009D08C0"/>
    <w:pPr>
      <w:jc w:val="center"/>
      <w:outlineLvl w:val="0"/>
    </w:pPr>
    <w:rPr>
      <w:i/>
    </w:rPr>
  </w:style>
  <w:style w:type="character" w:customStyle="1" w:styleId="ECHRParaChar">
    <w:name w:val="ECHR_Para Char"/>
    <w:aliases w:val="Ju_Para Char"/>
    <w:basedOn w:val="Domylnaczcionkaakapitu"/>
    <w:link w:val="ECHRPara"/>
    <w:uiPriority w:val="99"/>
    <w:rsid w:val="004D455E"/>
    <w:rPr>
      <w:rFonts w:eastAsiaTheme="minorEastAsia"/>
      <w:sz w:val="24"/>
      <w:lang w:val="en-GB"/>
    </w:rPr>
  </w:style>
  <w:style w:type="paragraph" w:styleId="Poprawka">
    <w:name w:val="Revision"/>
    <w:hidden/>
    <w:uiPriority w:val="99"/>
    <w:semiHidden/>
    <w:rsid w:val="00307F47"/>
    <w:rPr>
      <w:rFonts w:eastAsiaTheme="minorEastAsia"/>
      <w:sz w:val="24"/>
    </w:rPr>
  </w:style>
  <w:style w:type="paragraph" w:customStyle="1" w:styleId="jupara">
    <w:name w:val="jupara"/>
    <w:basedOn w:val="Normalny"/>
    <w:rsid w:val="00525700"/>
    <w:pPr>
      <w:ind w:firstLine="284"/>
    </w:pPr>
    <w:rPr>
      <w:rFonts w:ascii="Times New Roman" w:eastAsia="Times New Roman" w:hAnsi="Times New Roman" w:cs="Times New Roman"/>
      <w:szCs w:val="24"/>
      <w:lang w:eastAsia="en-GB"/>
    </w:rPr>
  </w:style>
  <w:style w:type="paragraph" w:customStyle="1" w:styleId="jucase0">
    <w:name w:val="jucase"/>
    <w:basedOn w:val="Normalny"/>
    <w:rsid w:val="00525700"/>
    <w:pPr>
      <w:ind w:firstLine="284"/>
    </w:pPr>
    <w:rPr>
      <w:rFonts w:ascii="Times New Roman" w:eastAsia="Times New Roman" w:hAnsi="Times New Roman" w:cs="Times New Roman"/>
      <w:b/>
      <w:bCs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4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9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25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094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52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4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30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1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502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14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9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39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340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676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90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4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03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0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83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8621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91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3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56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759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704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1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3604D-8EEE-40D2-894E-CFE05D433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001B68-84C3-4F9D-BA91-C0031ABE0D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3024AB-6886-4B2E-B4E2-079CC468609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520576-D3A5-49C2-AAC8-4F6E1B496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3164</Words>
  <Characters>18989</Characters>
  <Application>Microsoft Office Word</Application>
  <DocSecurity>0</DocSecurity>
  <Lines>158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Manager/>
  <Company/>
  <LinksUpToDate>false</LinksUpToDate>
  <CharactersWithSpaces>22109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DJ</dc:subject>
  <dc:creator/>
  <cp:keywords/>
  <dc:description/>
  <cp:lastModifiedBy/>
  <cp:revision>1</cp:revision>
  <dcterms:created xsi:type="dcterms:W3CDTF">2023-04-17T18:32:00Z</dcterms:created>
  <dcterms:modified xsi:type="dcterms:W3CDTF">2023-10-19T08:28:00Z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2057</vt:i4>
  </property>
  <property fmtid="{D5CDD505-2E9C-101B-9397-08002B2CF9AE}" pid="3" name="RegisteredNo">
    <vt:lpwstr>4587/09</vt:lpwstr>
  </property>
  <property fmtid="{D5CDD505-2E9C-101B-9397-08002B2CF9AE}" pid="4" name="CASEID">
    <vt:lpwstr>550874</vt:lpwstr>
  </property>
  <property fmtid="{D5CDD505-2E9C-101B-9397-08002B2CF9AE}" pid="5" name="ContentTypeId">
    <vt:lpwstr>0x010100558EB02BDB9E204AB350EDD385B68E10</vt:lpwstr>
  </property>
</Properties>
</file>