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755F9" w14:textId="77777777" w:rsidR="007E6A34" w:rsidRPr="007B37E6" w:rsidRDefault="007E6A34" w:rsidP="007E6A34">
      <w:pPr>
        <w:jc w:val="center"/>
        <w:rPr>
          <w:rFonts w:ascii="Times New Roman" w:eastAsia="CIDFont+F1" w:hAnsi="Times New Roman"/>
          <w:sz w:val="20"/>
          <w:lang w:eastAsia="pl-PL"/>
        </w:rPr>
      </w:pPr>
      <w:r w:rsidRPr="007B37E6">
        <w:rPr>
          <w:rFonts w:ascii="Times New Roman" w:eastAsia="CIDFont+F1" w:hAnsi="Times New Roman"/>
          <w:sz w:val="20"/>
          <w:lang w:eastAsia="pl-PL"/>
        </w:rPr>
        <w:t xml:space="preserve">© </w:t>
      </w:r>
      <w:proofErr w:type="spellStart"/>
      <w:r w:rsidRPr="007B37E6">
        <w:rPr>
          <w:rFonts w:ascii="Times New Roman" w:eastAsia="CIDFont+F1" w:hAnsi="Times New Roman"/>
          <w:sz w:val="20"/>
          <w:lang w:eastAsia="pl-PL"/>
        </w:rPr>
        <w:t>Trybunał</w:t>
      </w:r>
      <w:proofErr w:type="spellEnd"/>
      <w:r w:rsidRPr="007B37E6">
        <w:rPr>
          <w:rFonts w:ascii="Times New Roman" w:eastAsia="CIDFont+F1" w:hAnsi="Times New Roman"/>
          <w:sz w:val="20"/>
          <w:lang w:eastAsia="pl-PL"/>
        </w:rPr>
        <w:t xml:space="preserve"> </w:t>
      </w:r>
      <w:proofErr w:type="spellStart"/>
      <w:r w:rsidRPr="007B37E6">
        <w:rPr>
          <w:rFonts w:ascii="Times New Roman" w:eastAsia="CIDFont+F1" w:hAnsi="Times New Roman"/>
          <w:sz w:val="20"/>
          <w:lang w:eastAsia="pl-PL"/>
        </w:rPr>
        <w:t>Konstytucyjny</w:t>
      </w:r>
      <w:proofErr w:type="spellEnd"/>
    </w:p>
    <w:p w14:paraId="723A1EC6" w14:textId="77777777" w:rsidR="007E6A34" w:rsidRPr="007B37E6" w:rsidRDefault="007E6A34" w:rsidP="007E6A34">
      <w:pPr>
        <w:jc w:val="center"/>
        <w:rPr>
          <w:rFonts w:ascii="Times New Roman" w:eastAsia="CIDFont+F1" w:hAnsi="Times New Roman"/>
          <w:sz w:val="20"/>
          <w:lang w:eastAsia="pl-PL"/>
        </w:rPr>
      </w:pPr>
      <w:r w:rsidRPr="007B37E6">
        <w:rPr>
          <w:rFonts w:ascii="Times New Roman" w:eastAsia="CIDFont+F1" w:hAnsi="Times New Roman"/>
          <w:sz w:val="20"/>
          <w:lang w:eastAsia="pl-PL"/>
        </w:rPr>
        <w:t>© Copyright for the Polish translation by the Polish Constitutional Tribunal</w:t>
      </w:r>
    </w:p>
    <w:p w14:paraId="3ABB92A8" w14:textId="572D1290" w:rsidR="007E6A34" w:rsidRPr="008B799D" w:rsidRDefault="007E6A34" w:rsidP="007E6A34">
      <w:pPr>
        <w:jc w:val="center"/>
        <w:rPr>
          <w:rFonts w:ascii="Times New Roman" w:eastAsia="CIDFont+F1" w:hAnsi="Times New Roman"/>
          <w:sz w:val="20"/>
          <w:lang w:val="pl-PL" w:eastAsia="pl-PL"/>
        </w:rPr>
      </w:pPr>
      <w:r w:rsidRPr="008B799D">
        <w:rPr>
          <w:rFonts w:ascii="Times New Roman" w:eastAsia="CIDFont+F1" w:hAnsi="Times New Roman"/>
          <w:sz w:val="20"/>
          <w:lang w:val="pl-PL" w:eastAsia="pl-PL"/>
        </w:rPr>
        <w:t>Warszawa 2020</w:t>
      </w:r>
    </w:p>
    <w:p w14:paraId="19891C93" w14:textId="77777777" w:rsidR="007E6A34" w:rsidRDefault="007E6A34" w:rsidP="0072376D">
      <w:pPr>
        <w:pStyle w:val="ECHRDecisionBody"/>
        <w:jc w:val="center"/>
        <w:rPr>
          <w:lang w:val="pl-PL"/>
        </w:rPr>
      </w:pPr>
    </w:p>
    <w:p w14:paraId="4E3E368B" w14:textId="007B6973" w:rsidR="00A10DDF" w:rsidRPr="008663FC" w:rsidRDefault="009C0637" w:rsidP="0072376D">
      <w:pPr>
        <w:pStyle w:val="ECHRDecisionBody"/>
        <w:jc w:val="center"/>
        <w:rPr>
          <w:lang w:val="pl-PL"/>
        </w:rPr>
      </w:pPr>
      <w:r>
        <w:rPr>
          <w:lang w:val="pl-PL"/>
        </w:rPr>
        <w:t>EUROPEJSKI TRYBUNAŁ PRAW CZŁOWIEKA</w:t>
      </w:r>
    </w:p>
    <w:p w14:paraId="43BF5F84" w14:textId="77777777" w:rsidR="00A10DDF" w:rsidRPr="008663FC" w:rsidRDefault="00A10DDF" w:rsidP="0072376D">
      <w:pPr>
        <w:pStyle w:val="ECHRDecisionBody"/>
        <w:jc w:val="center"/>
        <w:rPr>
          <w:lang w:val="pl-PL"/>
        </w:rPr>
      </w:pPr>
    </w:p>
    <w:p w14:paraId="1FC02FCF" w14:textId="77777777" w:rsidR="00014566" w:rsidRPr="008663FC" w:rsidRDefault="00181AB9" w:rsidP="0072376D">
      <w:pPr>
        <w:jc w:val="center"/>
        <w:rPr>
          <w:lang w:val="pl-PL"/>
        </w:rPr>
      </w:pPr>
      <w:r w:rsidRPr="008663FC">
        <w:rPr>
          <w:lang w:val="pl-PL"/>
        </w:rPr>
        <w:t>CZWARTA SEKCJA</w:t>
      </w:r>
    </w:p>
    <w:p w14:paraId="2AF6DE69" w14:textId="77777777" w:rsidR="00014566" w:rsidRPr="008663FC" w:rsidRDefault="00014566" w:rsidP="0072376D">
      <w:pPr>
        <w:jc w:val="center"/>
        <w:rPr>
          <w:lang w:val="pl-PL"/>
        </w:rPr>
      </w:pPr>
    </w:p>
    <w:p w14:paraId="5BBF1D30" w14:textId="77777777" w:rsidR="00A10DDF" w:rsidRPr="008663FC" w:rsidRDefault="00A10DDF" w:rsidP="0072376D">
      <w:pPr>
        <w:jc w:val="center"/>
        <w:rPr>
          <w:lang w:val="pl-PL"/>
        </w:rPr>
      </w:pPr>
    </w:p>
    <w:p w14:paraId="4DCF995F" w14:textId="77777777" w:rsidR="00A10DDF" w:rsidRPr="008663FC" w:rsidRDefault="00A10DDF" w:rsidP="0072376D">
      <w:pPr>
        <w:jc w:val="center"/>
        <w:rPr>
          <w:lang w:val="pl-PL"/>
        </w:rPr>
      </w:pPr>
    </w:p>
    <w:p w14:paraId="303BB0AC" w14:textId="77777777" w:rsidR="00A10DDF" w:rsidRPr="008663FC" w:rsidRDefault="00A10DDF" w:rsidP="0072376D">
      <w:pPr>
        <w:jc w:val="center"/>
        <w:rPr>
          <w:lang w:val="pl-PL"/>
        </w:rPr>
      </w:pPr>
    </w:p>
    <w:p w14:paraId="7CF5842E" w14:textId="77777777" w:rsidR="004927BF" w:rsidRPr="008663FC" w:rsidRDefault="004927BF" w:rsidP="0072376D">
      <w:pPr>
        <w:jc w:val="center"/>
        <w:rPr>
          <w:lang w:val="pl-PL"/>
        </w:rPr>
      </w:pPr>
    </w:p>
    <w:p w14:paraId="71DCE6C6" w14:textId="77777777" w:rsidR="004927BF" w:rsidRPr="008663FC" w:rsidRDefault="004927BF" w:rsidP="0072376D">
      <w:pPr>
        <w:jc w:val="center"/>
        <w:rPr>
          <w:lang w:val="pl-PL"/>
        </w:rPr>
      </w:pPr>
    </w:p>
    <w:p w14:paraId="428E22C1" w14:textId="77777777" w:rsidR="00A10DDF" w:rsidRPr="008663FC" w:rsidRDefault="00A10DDF" w:rsidP="0072376D">
      <w:pPr>
        <w:jc w:val="center"/>
        <w:rPr>
          <w:lang w:val="pl-PL"/>
        </w:rPr>
      </w:pPr>
    </w:p>
    <w:p w14:paraId="61D82472" w14:textId="77777777" w:rsidR="00014566" w:rsidRPr="008663FC" w:rsidRDefault="00014566" w:rsidP="0072376D">
      <w:pPr>
        <w:jc w:val="center"/>
        <w:rPr>
          <w:b/>
          <w:lang w:val="pl-PL"/>
        </w:rPr>
      </w:pPr>
      <w:bookmarkStart w:id="0" w:name="To"/>
      <w:r w:rsidRPr="008663FC">
        <w:rPr>
          <w:b/>
          <w:bCs/>
          <w:lang w:val="pl-PL"/>
        </w:rPr>
        <w:t xml:space="preserve">SPRAWA </w:t>
      </w:r>
      <w:bookmarkEnd w:id="0"/>
      <w:proofErr w:type="spellStart"/>
      <w:r w:rsidRPr="008663FC">
        <w:rPr>
          <w:b/>
          <w:bCs/>
          <w:lang w:val="pl-PL"/>
        </w:rPr>
        <w:t>MIROVNI</w:t>
      </w:r>
      <w:proofErr w:type="spellEnd"/>
      <w:r w:rsidRPr="008663FC">
        <w:rPr>
          <w:b/>
          <w:bCs/>
          <w:lang w:val="pl-PL"/>
        </w:rPr>
        <w:t xml:space="preserve"> </w:t>
      </w:r>
      <w:proofErr w:type="spellStart"/>
      <w:r w:rsidRPr="008663FC">
        <w:rPr>
          <w:b/>
          <w:bCs/>
          <w:lang w:val="pl-PL"/>
        </w:rPr>
        <w:t>INŠTITUT</w:t>
      </w:r>
      <w:proofErr w:type="spellEnd"/>
      <w:r w:rsidRPr="008663FC">
        <w:rPr>
          <w:b/>
          <w:bCs/>
          <w:lang w:val="pl-PL"/>
        </w:rPr>
        <w:t xml:space="preserve"> przeciwko SŁOWENII</w:t>
      </w:r>
    </w:p>
    <w:p w14:paraId="3BFB1D8E" w14:textId="77777777" w:rsidR="00014566" w:rsidRPr="008663FC" w:rsidRDefault="00014566" w:rsidP="0072376D">
      <w:pPr>
        <w:jc w:val="center"/>
        <w:rPr>
          <w:lang w:val="pl-PL"/>
        </w:rPr>
      </w:pPr>
    </w:p>
    <w:p w14:paraId="2BA998E5" w14:textId="77777777" w:rsidR="00014566" w:rsidRPr="008663FC" w:rsidRDefault="00014566" w:rsidP="0072376D">
      <w:pPr>
        <w:jc w:val="center"/>
        <w:rPr>
          <w:i/>
          <w:lang w:val="pl-PL"/>
        </w:rPr>
      </w:pPr>
      <w:r w:rsidRPr="008663FC">
        <w:rPr>
          <w:i/>
          <w:iCs/>
          <w:lang w:val="pl-PL"/>
        </w:rPr>
        <w:t>(Skarga nr 32303/13)</w:t>
      </w:r>
    </w:p>
    <w:p w14:paraId="245B4789" w14:textId="77777777" w:rsidR="00014566" w:rsidRPr="008663FC" w:rsidRDefault="00014566" w:rsidP="0072376D">
      <w:pPr>
        <w:jc w:val="center"/>
        <w:rPr>
          <w:lang w:val="pl-PL"/>
        </w:rPr>
      </w:pPr>
    </w:p>
    <w:p w14:paraId="5CD40B0A" w14:textId="77777777" w:rsidR="00014566" w:rsidRPr="008663FC" w:rsidRDefault="00014566" w:rsidP="0072376D">
      <w:pPr>
        <w:jc w:val="center"/>
        <w:rPr>
          <w:lang w:val="pl-PL"/>
        </w:rPr>
      </w:pPr>
    </w:p>
    <w:p w14:paraId="2F8698C0" w14:textId="77777777" w:rsidR="00014566" w:rsidRPr="008663FC" w:rsidRDefault="00014566" w:rsidP="0072376D">
      <w:pPr>
        <w:jc w:val="center"/>
        <w:rPr>
          <w:lang w:val="pl-PL"/>
        </w:rPr>
      </w:pPr>
    </w:p>
    <w:p w14:paraId="599EBB57" w14:textId="77777777" w:rsidR="00EB0BBE" w:rsidRPr="008663FC" w:rsidRDefault="00EB0BBE" w:rsidP="0072376D">
      <w:pPr>
        <w:jc w:val="center"/>
        <w:rPr>
          <w:lang w:val="pl-PL"/>
        </w:rPr>
      </w:pPr>
    </w:p>
    <w:p w14:paraId="3985DE49" w14:textId="77777777" w:rsidR="00EB0BBE" w:rsidRPr="008663FC" w:rsidRDefault="00EB0BBE" w:rsidP="0072376D">
      <w:pPr>
        <w:jc w:val="center"/>
        <w:rPr>
          <w:lang w:val="pl-PL"/>
        </w:rPr>
      </w:pPr>
    </w:p>
    <w:p w14:paraId="5FAD5CA7" w14:textId="77777777" w:rsidR="00EB0BBE" w:rsidRPr="008663FC" w:rsidRDefault="00EB0BBE" w:rsidP="0072376D">
      <w:pPr>
        <w:jc w:val="center"/>
        <w:rPr>
          <w:lang w:val="pl-PL"/>
        </w:rPr>
      </w:pPr>
    </w:p>
    <w:p w14:paraId="18C84D1C" w14:textId="77777777" w:rsidR="00EB0BBE" w:rsidRPr="008663FC" w:rsidRDefault="00EB0BBE" w:rsidP="0072376D">
      <w:pPr>
        <w:jc w:val="center"/>
        <w:rPr>
          <w:lang w:val="pl-PL"/>
        </w:rPr>
      </w:pPr>
    </w:p>
    <w:p w14:paraId="5742E7DD" w14:textId="77777777" w:rsidR="00014566" w:rsidRPr="008663FC" w:rsidRDefault="00A10DDF" w:rsidP="0072376D">
      <w:pPr>
        <w:jc w:val="center"/>
        <w:rPr>
          <w:szCs w:val="24"/>
          <w:lang w:val="pl-PL"/>
        </w:rPr>
      </w:pPr>
      <w:r w:rsidRPr="008663FC">
        <w:rPr>
          <w:szCs w:val="24"/>
          <w:lang w:val="pl-PL"/>
        </w:rPr>
        <w:t>WYROK</w:t>
      </w:r>
    </w:p>
    <w:p w14:paraId="3CC5E812" w14:textId="77777777" w:rsidR="002D7C89" w:rsidRPr="008663FC" w:rsidRDefault="002D7C89" w:rsidP="0072376D">
      <w:pPr>
        <w:ind w:firstLine="284"/>
        <w:rPr>
          <w:szCs w:val="24"/>
          <w:lang w:val="pl-PL"/>
        </w:rPr>
      </w:pPr>
    </w:p>
    <w:p w14:paraId="0F64CBC4" w14:textId="77777777" w:rsidR="00A10DDF" w:rsidRPr="008663FC" w:rsidRDefault="00A10DDF" w:rsidP="0072376D">
      <w:pPr>
        <w:pStyle w:val="JuCase"/>
        <w:ind w:firstLine="0"/>
        <w:jc w:val="center"/>
        <w:rPr>
          <w:b w:val="0"/>
          <w:lang w:val="pl-PL"/>
        </w:rPr>
      </w:pPr>
    </w:p>
    <w:p w14:paraId="28E9CDC9" w14:textId="027FAEF6" w:rsidR="00A10DDF" w:rsidRPr="008663FC" w:rsidRDefault="00A10DDF" w:rsidP="0072376D">
      <w:pPr>
        <w:pStyle w:val="JuCase"/>
        <w:ind w:firstLine="0"/>
        <w:jc w:val="center"/>
        <w:rPr>
          <w:b w:val="0"/>
          <w:lang w:val="pl-PL"/>
        </w:rPr>
      </w:pPr>
      <w:r w:rsidRPr="008663FC">
        <w:rPr>
          <w:b w:val="0"/>
          <w:lang w:val="pl-PL"/>
        </w:rPr>
        <w:t>STRASBURG</w:t>
      </w:r>
    </w:p>
    <w:p w14:paraId="2C88589C" w14:textId="77777777" w:rsidR="00A10DDF" w:rsidRPr="008663FC" w:rsidRDefault="00A10DDF" w:rsidP="0072376D">
      <w:pPr>
        <w:pStyle w:val="JuCase"/>
        <w:ind w:firstLine="0"/>
        <w:jc w:val="center"/>
        <w:rPr>
          <w:b w:val="0"/>
          <w:lang w:val="pl-PL"/>
        </w:rPr>
      </w:pPr>
    </w:p>
    <w:p w14:paraId="05BC222E" w14:textId="77777777" w:rsidR="00A10DDF" w:rsidRPr="008663FC" w:rsidRDefault="00EB0BBE" w:rsidP="0072376D">
      <w:pPr>
        <w:pStyle w:val="JuCase"/>
        <w:ind w:firstLine="0"/>
        <w:jc w:val="center"/>
        <w:rPr>
          <w:b w:val="0"/>
          <w:lang w:val="pl-PL"/>
        </w:rPr>
      </w:pPr>
      <w:r w:rsidRPr="008663FC">
        <w:rPr>
          <w:b w:val="0"/>
          <w:lang w:val="pl-PL"/>
        </w:rPr>
        <w:t>13 marca 2018 r.</w:t>
      </w:r>
    </w:p>
    <w:p w14:paraId="1D77F975" w14:textId="77777777" w:rsidR="00A10DDF" w:rsidRPr="008663FC" w:rsidRDefault="00A10DDF" w:rsidP="0072376D">
      <w:pPr>
        <w:pStyle w:val="JuCase"/>
        <w:ind w:firstLine="0"/>
        <w:jc w:val="center"/>
        <w:rPr>
          <w:b w:val="0"/>
          <w:lang w:val="pl-PL"/>
        </w:rPr>
      </w:pPr>
    </w:p>
    <w:p w14:paraId="1EA9C091" w14:textId="77777777" w:rsidR="00EB0BBE" w:rsidRPr="008663FC" w:rsidRDefault="00EB0BBE" w:rsidP="0072376D">
      <w:pPr>
        <w:pStyle w:val="ECHRPara"/>
        <w:rPr>
          <w:lang w:val="pl-PL"/>
        </w:rPr>
      </w:pPr>
    </w:p>
    <w:p w14:paraId="714D43F4" w14:textId="77777777" w:rsidR="0072376D" w:rsidRPr="008663FC" w:rsidRDefault="0072376D" w:rsidP="0072376D">
      <w:pPr>
        <w:pStyle w:val="jucase0"/>
        <w:ind w:firstLine="0"/>
        <w:jc w:val="center"/>
        <w:rPr>
          <w:color w:val="FF0000"/>
          <w:sz w:val="28"/>
          <w:szCs w:val="28"/>
          <w:u w:val="single"/>
          <w:lang w:val="pl-PL"/>
        </w:rPr>
      </w:pPr>
      <w:r w:rsidRPr="008663FC">
        <w:rPr>
          <w:color w:val="FF0000"/>
          <w:sz w:val="28"/>
          <w:szCs w:val="28"/>
          <w:u w:val="single"/>
          <w:lang w:val="pl-PL"/>
        </w:rPr>
        <w:t>OSTATECZNY</w:t>
      </w:r>
    </w:p>
    <w:p w14:paraId="3C34DA35" w14:textId="77777777" w:rsidR="0072376D" w:rsidRPr="008663FC" w:rsidRDefault="0072376D" w:rsidP="0072376D">
      <w:pPr>
        <w:pStyle w:val="jupara"/>
        <w:tabs>
          <w:tab w:val="left" w:pos="4650"/>
        </w:tabs>
        <w:ind w:firstLine="0"/>
        <w:jc w:val="center"/>
        <w:rPr>
          <w:color w:val="FF0000"/>
          <w:sz w:val="28"/>
          <w:szCs w:val="28"/>
          <w:lang w:val="pl-PL"/>
        </w:rPr>
      </w:pPr>
    </w:p>
    <w:p w14:paraId="52A3F2C1" w14:textId="77777777" w:rsidR="0072376D" w:rsidRPr="008663FC" w:rsidRDefault="0072376D" w:rsidP="0072376D">
      <w:pPr>
        <w:pStyle w:val="jupara"/>
        <w:ind w:firstLine="0"/>
        <w:jc w:val="center"/>
        <w:rPr>
          <w:color w:val="FF0000"/>
          <w:sz w:val="28"/>
          <w:szCs w:val="28"/>
          <w:lang w:val="pl-PL"/>
        </w:rPr>
      </w:pPr>
      <w:r w:rsidRPr="008663FC">
        <w:rPr>
          <w:color w:val="FF0000"/>
          <w:sz w:val="28"/>
          <w:szCs w:val="28"/>
          <w:lang w:val="pl-PL"/>
        </w:rPr>
        <w:t>13/06/2018 r.</w:t>
      </w:r>
    </w:p>
    <w:p w14:paraId="76A4A53C" w14:textId="77777777" w:rsidR="0072376D" w:rsidRPr="008663FC" w:rsidRDefault="0072376D" w:rsidP="0072376D">
      <w:pPr>
        <w:pStyle w:val="jupara"/>
        <w:ind w:firstLine="0"/>
        <w:jc w:val="center"/>
        <w:rPr>
          <w:lang w:val="pl-PL"/>
        </w:rPr>
      </w:pPr>
    </w:p>
    <w:p w14:paraId="2563E7CF" w14:textId="77777777" w:rsidR="0072376D" w:rsidRPr="008663FC" w:rsidRDefault="0072376D" w:rsidP="0072376D">
      <w:pPr>
        <w:jc w:val="center"/>
        <w:rPr>
          <w:i/>
          <w:iCs/>
          <w:sz w:val="22"/>
          <w:lang w:val="pl-PL"/>
        </w:rPr>
      </w:pPr>
      <w:r w:rsidRPr="008663FC">
        <w:rPr>
          <w:i/>
          <w:iCs/>
          <w:sz w:val="22"/>
          <w:lang w:val="pl-PL"/>
        </w:rPr>
        <w:t>Wyrok stał się ostateczny zgodnie z warunkami określonymi w art. 44 ust. 2 Konwencji. Wyrok może podlegać korekcie edycyjnej.</w:t>
      </w:r>
    </w:p>
    <w:p w14:paraId="6F595E3D" w14:textId="0CBD2407" w:rsidR="004927BF" w:rsidRPr="008663FC" w:rsidRDefault="004927BF" w:rsidP="008C2AD1">
      <w:pPr>
        <w:pStyle w:val="ECHRPara"/>
        <w:ind w:firstLine="0"/>
        <w:rPr>
          <w:lang w:val="pl-PL"/>
        </w:rPr>
        <w:sectPr w:rsidR="004927BF" w:rsidRPr="008663FC" w:rsidSect="00A10DDF">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2813D06" w14:textId="77777777" w:rsidR="00014566" w:rsidRPr="008663FC" w:rsidRDefault="00014566" w:rsidP="0072376D">
      <w:pPr>
        <w:pStyle w:val="JuCase"/>
        <w:rPr>
          <w:bCs/>
          <w:lang w:val="pl-PL"/>
        </w:rPr>
      </w:pPr>
      <w:r w:rsidRPr="008663FC">
        <w:rPr>
          <w:bCs/>
          <w:lang w:val="pl-PL"/>
        </w:rPr>
        <w:lastRenderedPageBreak/>
        <w:t xml:space="preserve">W sprawie </w:t>
      </w:r>
      <w:proofErr w:type="spellStart"/>
      <w:r w:rsidRPr="008663FC">
        <w:rPr>
          <w:bCs/>
          <w:lang w:val="pl-PL"/>
        </w:rPr>
        <w:t>Mirovni</w:t>
      </w:r>
      <w:proofErr w:type="spellEnd"/>
      <w:r w:rsidRPr="008663FC">
        <w:rPr>
          <w:bCs/>
          <w:lang w:val="pl-PL"/>
        </w:rPr>
        <w:t xml:space="preserve"> </w:t>
      </w:r>
      <w:proofErr w:type="spellStart"/>
      <w:r w:rsidRPr="008663FC">
        <w:rPr>
          <w:bCs/>
          <w:lang w:val="pl-PL"/>
        </w:rPr>
        <w:t>Inštitut</w:t>
      </w:r>
      <w:proofErr w:type="spellEnd"/>
      <w:r w:rsidRPr="008663FC">
        <w:rPr>
          <w:bCs/>
          <w:lang w:val="pl-PL"/>
        </w:rPr>
        <w:t xml:space="preserve"> przeciwko Słowenii</w:t>
      </w:r>
      <w:bookmarkStart w:id="1" w:name="_GoBack"/>
      <w:bookmarkEnd w:id="1"/>
      <w:r w:rsidRPr="008663FC">
        <w:rPr>
          <w:bCs/>
          <w:lang w:val="pl-PL"/>
        </w:rPr>
        <w:t>,</w:t>
      </w:r>
    </w:p>
    <w:p w14:paraId="430EFA8D" w14:textId="77777777" w:rsidR="00014566" w:rsidRPr="008663FC" w:rsidRDefault="00014566" w:rsidP="0072376D">
      <w:pPr>
        <w:pStyle w:val="ECHRPara"/>
        <w:rPr>
          <w:lang w:val="pl-PL"/>
        </w:rPr>
      </w:pPr>
      <w:r w:rsidRPr="008663FC">
        <w:rPr>
          <w:lang w:val="pl-PL"/>
        </w:rPr>
        <w:t>Europejski Trybunał Praw Człowieka (Czwarta Sekcja), zasiadając jako Izba składająca się z następujących sędziów:</w:t>
      </w:r>
    </w:p>
    <w:p w14:paraId="30AED83A" w14:textId="77777777" w:rsidR="00014566" w:rsidRPr="008663FC" w:rsidRDefault="00EB0BBE" w:rsidP="0072376D">
      <w:pPr>
        <w:pStyle w:val="ECHRDecisionBody"/>
        <w:rPr>
          <w:lang w:val="pl-PL"/>
        </w:rPr>
      </w:pPr>
      <w:r w:rsidRPr="008663FC">
        <w:rPr>
          <w:lang w:val="pl-PL"/>
        </w:rPr>
        <w:tab/>
      </w:r>
      <w:proofErr w:type="spellStart"/>
      <w:r w:rsidRPr="008663FC">
        <w:rPr>
          <w:lang w:val="pl-PL"/>
        </w:rPr>
        <w:t>Ganna</w:t>
      </w:r>
      <w:proofErr w:type="spellEnd"/>
      <w:r w:rsidRPr="008663FC">
        <w:rPr>
          <w:lang w:val="pl-PL"/>
        </w:rPr>
        <w:t xml:space="preserve"> </w:t>
      </w:r>
      <w:proofErr w:type="spellStart"/>
      <w:r w:rsidRPr="008663FC">
        <w:rPr>
          <w:lang w:val="pl-PL"/>
        </w:rPr>
        <w:t>Judkiwska</w:t>
      </w:r>
      <w:proofErr w:type="spellEnd"/>
      <w:r w:rsidRPr="008663FC">
        <w:rPr>
          <w:lang w:val="pl-PL"/>
        </w:rPr>
        <w:t>,</w:t>
      </w:r>
      <w:r w:rsidRPr="008663FC">
        <w:rPr>
          <w:i/>
          <w:iCs/>
          <w:lang w:val="pl-PL"/>
        </w:rPr>
        <w:t xml:space="preserve"> Przewodnicząca,</w:t>
      </w:r>
      <w:r w:rsidRPr="008663FC">
        <w:rPr>
          <w:lang w:val="pl-PL"/>
        </w:rPr>
        <w:br/>
      </w:r>
      <w:r w:rsidRPr="008663FC">
        <w:rPr>
          <w:lang w:val="pl-PL"/>
        </w:rPr>
        <w:tab/>
        <w:t>Vincent A. De Gaetano,</w:t>
      </w:r>
      <w:r w:rsidRPr="008663FC">
        <w:rPr>
          <w:lang w:val="pl-PL"/>
        </w:rPr>
        <w:br/>
      </w:r>
      <w:r w:rsidRPr="008663FC">
        <w:rPr>
          <w:lang w:val="pl-PL"/>
        </w:rPr>
        <w:tab/>
      </w:r>
      <w:proofErr w:type="spellStart"/>
      <w:r w:rsidRPr="008663FC">
        <w:rPr>
          <w:lang w:val="pl-PL"/>
        </w:rPr>
        <w:t>Faris</w:t>
      </w:r>
      <w:proofErr w:type="spellEnd"/>
      <w:r w:rsidRPr="008663FC">
        <w:rPr>
          <w:lang w:val="pl-PL"/>
        </w:rPr>
        <w:t xml:space="preserve"> </w:t>
      </w:r>
      <w:proofErr w:type="spellStart"/>
      <w:r w:rsidRPr="008663FC">
        <w:rPr>
          <w:lang w:val="pl-PL"/>
        </w:rPr>
        <w:t>Vehabović</w:t>
      </w:r>
      <w:proofErr w:type="spellEnd"/>
      <w:r w:rsidRPr="008663FC">
        <w:rPr>
          <w:lang w:val="pl-PL"/>
        </w:rPr>
        <w:t>,</w:t>
      </w:r>
      <w:r w:rsidRPr="008663FC">
        <w:rPr>
          <w:lang w:val="pl-PL"/>
        </w:rPr>
        <w:br/>
      </w:r>
      <w:r w:rsidRPr="008663FC">
        <w:rPr>
          <w:lang w:val="pl-PL"/>
        </w:rPr>
        <w:tab/>
      </w:r>
      <w:proofErr w:type="spellStart"/>
      <w:r w:rsidRPr="008663FC">
        <w:rPr>
          <w:lang w:val="pl-PL"/>
        </w:rPr>
        <w:t>Iulia</w:t>
      </w:r>
      <w:proofErr w:type="spellEnd"/>
      <w:r w:rsidRPr="008663FC">
        <w:rPr>
          <w:lang w:val="pl-PL"/>
        </w:rPr>
        <w:t xml:space="preserve"> </w:t>
      </w:r>
      <w:proofErr w:type="spellStart"/>
      <w:r w:rsidRPr="008663FC">
        <w:rPr>
          <w:lang w:val="pl-PL"/>
        </w:rPr>
        <w:t>Motoc</w:t>
      </w:r>
      <w:proofErr w:type="spellEnd"/>
      <w:r w:rsidRPr="008663FC">
        <w:rPr>
          <w:lang w:val="pl-PL"/>
        </w:rPr>
        <w:t>,</w:t>
      </w:r>
      <w:r w:rsidRPr="008663FC">
        <w:rPr>
          <w:lang w:val="pl-PL"/>
        </w:rPr>
        <w:br/>
      </w:r>
      <w:r w:rsidRPr="008663FC">
        <w:rPr>
          <w:lang w:val="pl-PL"/>
        </w:rPr>
        <w:tab/>
        <w:t xml:space="preserve">Georges </w:t>
      </w:r>
      <w:proofErr w:type="spellStart"/>
      <w:r w:rsidRPr="008663FC">
        <w:rPr>
          <w:lang w:val="pl-PL"/>
        </w:rPr>
        <w:t>Ravarani</w:t>
      </w:r>
      <w:proofErr w:type="spellEnd"/>
      <w:r w:rsidRPr="008663FC">
        <w:rPr>
          <w:lang w:val="pl-PL"/>
        </w:rPr>
        <w:t>,</w:t>
      </w:r>
      <w:r w:rsidRPr="008663FC">
        <w:rPr>
          <w:lang w:val="pl-PL"/>
        </w:rPr>
        <w:br/>
      </w:r>
      <w:r w:rsidRPr="008663FC">
        <w:rPr>
          <w:lang w:val="pl-PL"/>
        </w:rPr>
        <w:tab/>
        <w:t xml:space="preserve">Marko </w:t>
      </w:r>
      <w:proofErr w:type="spellStart"/>
      <w:r w:rsidRPr="008663FC">
        <w:rPr>
          <w:lang w:val="pl-PL"/>
        </w:rPr>
        <w:t>Bošnjak</w:t>
      </w:r>
      <w:proofErr w:type="spellEnd"/>
      <w:r w:rsidRPr="008663FC">
        <w:rPr>
          <w:lang w:val="pl-PL"/>
        </w:rPr>
        <w:t>,</w:t>
      </w:r>
      <w:r w:rsidRPr="008663FC">
        <w:rPr>
          <w:lang w:val="pl-PL"/>
        </w:rPr>
        <w:br/>
      </w:r>
      <w:r w:rsidRPr="008663FC">
        <w:rPr>
          <w:lang w:val="pl-PL"/>
        </w:rPr>
        <w:tab/>
      </w:r>
      <w:proofErr w:type="spellStart"/>
      <w:r w:rsidRPr="008663FC">
        <w:rPr>
          <w:lang w:val="pl-PL"/>
        </w:rPr>
        <w:t>Péter</w:t>
      </w:r>
      <w:proofErr w:type="spellEnd"/>
      <w:r w:rsidRPr="008663FC">
        <w:rPr>
          <w:lang w:val="pl-PL"/>
        </w:rPr>
        <w:t xml:space="preserve"> </w:t>
      </w:r>
      <w:proofErr w:type="spellStart"/>
      <w:r w:rsidRPr="008663FC">
        <w:rPr>
          <w:lang w:val="pl-PL"/>
        </w:rPr>
        <w:t>Paczolay</w:t>
      </w:r>
      <w:proofErr w:type="spellEnd"/>
      <w:r w:rsidRPr="008663FC">
        <w:rPr>
          <w:lang w:val="pl-PL"/>
        </w:rPr>
        <w:t>,</w:t>
      </w:r>
      <w:r w:rsidRPr="008663FC">
        <w:rPr>
          <w:i/>
          <w:iCs/>
          <w:lang w:val="pl-PL"/>
        </w:rPr>
        <w:t xml:space="preserve"> Sędziowie</w:t>
      </w:r>
      <w:r w:rsidRPr="008663FC">
        <w:rPr>
          <w:lang w:val="pl-PL"/>
        </w:rPr>
        <w:t>,</w:t>
      </w:r>
      <w:r w:rsidRPr="008663FC">
        <w:rPr>
          <w:szCs w:val="24"/>
          <w:lang w:val="pl-PL"/>
        </w:rPr>
        <w:br/>
      </w:r>
      <w:r w:rsidRPr="008663FC">
        <w:rPr>
          <w:lang w:val="pl-PL"/>
        </w:rPr>
        <w:t xml:space="preserve">oraz </w:t>
      </w:r>
      <w:proofErr w:type="spellStart"/>
      <w:r w:rsidRPr="008663FC">
        <w:rPr>
          <w:lang w:val="pl-PL"/>
        </w:rPr>
        <w:t>Marialena</w:t>
      </w:r>
      <w:proofErr w:type="spellEnd"/>
      <w:r w:rsidRPr="008663FC">
        <w:rPr>
          <w:lang w:val="pl-PL"/>
        </w:rPr>
        <w:t xml:space="preserve"> </w:t>
      </w:r>
      <w:proofErr w:type="spellStart"/>
      <w:r w:rsidRPr="008663FC">
        <w:rPr>
          <w:lang w:val="pl-PL"/>
        </w:rPr>
        <w:t>Tsirli</w:t>
      </w:r>
      <w:proofErr w:type="spellEnd"/>
      <w:r w:rsidRPr="008663FC">
        <w:rPr>
          <w:lang w:val="pl-PL"/>
        </w:rPr>
        <w:t xml:space="preserve">, </w:t>
      </w:r>
      <w:r w:rsidRPr="008663FC">
        <w:rPr>
          <w:i/>
          <w:iCs/>
          <w:lang w:val="pl-PL"/>
        </w:rPr>
        <w:t>Kanclerz Sekcji,</w:t>
      </w:r>
    </w:p>
    <w:p w14:paraId="3EA9FD37" w14:textId="7767C019" w:rsidR="00014566" w:rsidRPr="008663FC" w:rsidRDefault="00014566" w:rsidP="0072376D">
      <w:pPr>
        <w:pStyle w:val="ECHRPara"/>
        <w:rPr>
          <w:lang w:val="pl-PL"/>
        </w:rPr>
      </w:pPr>
      <w:r w:rsidRPr="008663FC">
        <w:rPr>
          <w:lang w:val="pl-PL"/>
        </w:rPr>
        <w:t xml:space="preserve">Obradując na posiedzeniu </w:t>
      </w:r>
      <w:r w:rsidR="00366183">
        <w:rPr>
          <w:lang w:val="pl-PL"/>
        </w:rPr>
        <w:t>niejawn</w:t>
      </w:r>
      <w:r w:rsidRPr="008663FC">
        <w:rPr>
          <w:lang w:val="pl-PL"/>
        </w:rPr>
        <w:t>ym w dniu 20 lutego 2018 r.,</w:t>
      </w:r>
    </w:p>
    <w:p w14:paraId="1A640026" w14:textId="77777777" w:rsidR="00014566" w:rsidRPr="008663FC" w:rsidRDefault="00014566" w:rsidP="0072376D">
      <w:pPr>
        <w:pStyle w:val="ECHRPara"/>
        <w:rPr>
          <w:lang w:val="pl-PL"/>
        </w:rPr>
      </w:pPr>
      <w:r w:rsidRPr="008663FC">
        <w:rPr>
          <w:lang w:val="pl-PL"/>
        </w:rPr>
        <w:t>Wydaje następujący wyrok, który został przyjęty w tym dniu:</w:t>
      </w:r>
    </w:p>
    <w:p w14:paraId="09666B21" w14:textId="77777777" w:rsidR="00014566" w:rsidRPr="008663FC" w:rsidRDefault="00014566" w:rsidP="0072376D">
      <w:pPr>
        <w:pStyle w:val="ECHRTitle1"/>
        <w:rPr>
          <w:lang w:val="pl-PL"/>
        </w:rPr>
      </w:pPr>
      <w:r w:rsidRPr="008663FC">
        <w:rPr>
          <w:lang w:val="pl-PL"/>
        </w:rPr>
        <w:t>POSTĘPOWANIE</w:t>
      </w:r>
    </w:p>
    <w:p w14:paraId="392882BE" w14:textId="2EEE11FD" w:rsidR="00181AB9" w:rsidRPr="008663FC" w:rsidRDefault="00181AB9" w:rsidP="0072376D">
      <w:pPr>
        <w:pStyle w:val="ECHRPara"/>
        <w:rPr>
          <w:lang w:val="pl-PL"/>
        </w:rPr>
      </w:pPr>
      <w:r w:rsidRPr="008663FC">
        <w:rPr>
          <w:noProof/>
          <w:lang w:val="pl-PL"/>
        </w:rPr>
        <w:t>1</w:t>
      </w:r>
      <w:r w:rsidRPr="008663FC">
        <w:rPr>
          <w:lang w:val="pl-PL"/>
        </w:rPr>
        <w:t>.</w:t>
      </w:r>
      <w:r w:rsidR="00510FFD">
        <w:rPr>
          <w:lang w:val="pl-PL"/>
        </w:rPr>
        <w:t xml:space="preserve"> </w:t>
      </w:r>
      <w:r w:rsidRPr="008663FC">
        <w:rPr>
          <w:lang w:val="pl-PL"/>
        </w:rPr>
        <w:t>Sprawa wywodzi się ze skargi (nr 32303/13) przeciwko Republice Słowenii wniesionej do Trybunału na podstawie art. 34 Konwencji o</w:t>
      </w:r>
      <w:r w:rsidR="00D65F50">
        <w:rPr>
          <w:lang w:val="pl-PL"/>
        </w:rPr>
        <w:t> </w:t>
      </w:r>
      <w:r w:rsidR="00510FFD" w:rsidRPr="008663FC">
        <w:rPr>
          <w:lang w:val="pl-PL"/>
        </w:rPr>
        <w:t xml:space="preserve">ochronie praw człowieka i podstawowych wolności </w:t>
      </w:r>
      <w:r w:rsidRPr="008663FC">
        <w:rPr>
          <w:lang w:val="pl-PL"/>
        </w:rPr>
        <w:t xml:space="preserve">(„Konwencja") przez prywatny instytut słoweński, </w:t>
      </w:r>
      <w:proofErr w:type="spellStart"/>
      <w:r w:rsidRPr="008663FC">
        <w:rPr>
          <w:lang w:val="pl-PL"/>
        </w:rPr>
        <w:t>Mirovni</w:t>
      </w:r>
      <w:proofErr w:type="spellEnd"/>
      <w:r w:rsidRPr="008663FC">
        <w:rPr>
          <w:lang w:val="pl-PL"/>
        </w:rPr>
        <w:t xml:space="preserve"> </w:t>
      </w:r>
      <w:proofErr w:type="spellStart"/>
      <w:r w:rsidRPr="008663FC">
        <w:rPr>
          <w:lang w:val="pl-PL"/>
        </w:rPr>
        <w:t>Inštitut</w:t>
      </w:r>
      <w:proofErr w:type="spellEnd"/>
      <w:r w:rsidRPr="008663FC">
        <w:rPr>
          <w:lang w:val="pl-PL"/>
        </w:rPr>
        <w:t xml:space="preserve"> („skarżący instytut”) dnia 13</w:t>
      </w:r>
      <w:r w:rsidR="00D65F50">
        <w:rPr>
          <w:lang w:val="pl-PL"/>
        </w:rPr>
        <w:t> </w:t>
      </w:r>
      <w:r w:rsidRPr="008663FC">
        <w:rPr>
          <w:lang w:val="pl-PL"/>
        </w:rPr>
        <w:t>maja 2013 r.</w:t>
      </w:r>
    </w:p>
    <w:p w14:paraId="622C7DE0" w14:textId="4B533D7B" w:rsidR="00181AB9" w:rsidRPr="008663FC" w:rsidRDefault="00181AB9" w:rsidP="0072376D">
      <w:pPr>
        <w:pStyle w:val="ECHRPara"/>
        <w:rPr>
          <w:lang w:val="pl-PL"/>
        </w:rPr>
      </w:pPr>
      <w:r w:rsidRPr="008663FC">
        <w:rPr>
          <w:noProof/>
          <w:lang w:val="pl-PL"/>
        </w:rPr>
        <w:t>2</w:t>
      </w:r>
      <w:r w:rsidRPr="008663FC">
        <w:rPr>
          <w:lang w:val="pl-PL"/>
        </w:rPr>
        <w:t>.</w:t>
      </w:r>
      <w:r w:rsidR="00510FFD">
        <w:rPr>
          <w:lang w:val="pl-PL"/>
        </w:rPr>
        <w:t xml:space="preserve"> </w:t>
      </w:r>
      <w:r w:rsidRPr="008663FC">
        <w:rPr>
          <w:lang w:val="pl-PL"/>
        </w:rPr>
        <w:t xml:space="preserve">Skarżący instytut reprezentowany był przez panią N. </w:t>
      </w:r>
      <w:proofErr w:type="spellStart"/>
      <w:r w:rsidRPr="008663FC">
        <w:rPr>
          <w:lang w:val="pl-PL"/>
        </w:rPr>
        <w:t>Šorli</w:t>
      </w:r>
      <w:proofErr w:type="spellEnd"/>
      <w:r w:rsidRPr="008663FC">
        <w:rPr>
          <w:lang w:val="pl-PL"/>
        </w:rPr>
        <w:t xml:space="preserve"> i pana T. </w:t>
      </w:r>
      <w:proofErr w:type="spellStart"/>
      <w:r w:rsidRPr="008663FC">
        <w:rPr>
          <w:lang w:val="pl-PL"/>
        </w:rPr>
        <w:t>Kovačiča</w:t>
      </w:r>
      <w:proofErr w:type="spellEnd"/>
      <w:r w:rsidRPr="008663FC">
        <w:rPr>
          <w:lang w:val="pl-PL"/>
        </w:rPr>
        <w:t xml:space="preserve">, adwokatów prowadzących praktykę w Lubljanie. Słoweński Rząd („Rząd”) reprezentowany był przez swojego pełnomocnika, pana L. </w:t>
      </w:r>
      <w:proofErr w:type="spellStart"/>
      <w:r w:rsidRPr="008663FC">
        <w:rPr>
          <w:lang w:val="pl-PL"/>
        </w:rPr>
        <w:t>Bembiča</w:t>
      </w:r>
      <w:proofErr w:type="spellEnd"/>
      <w:r w:rsidRPr="00C373EF">
        <w:rPr>
          <w:lang w:val="pl-PL"/>
        </w:rPr>
        <w:t>, Prokuratora Generalnego.</w:t>
      </w:r>
    </w:p>
    <w:p w14:paraId="5FE5E5D2" w14:textId="34F0FA98" w:rsidR="00014566" w:rsidRPr="008663FC" w:rsidRDefault="00181AB9" w:rsidP="0072376D">
      <w:pPr>
        <w:pStyle w:val="ECHRPara"/>
        <w:rPr>
          <w:lang w:val="pl-PL"/>
        </w:rPr>
      </w:pPr>
      <w:r w:rsidRPr="008663FC">
        <w:rPr>
          <w:noProof/>
          <w:lang w:val="pl-PL"/>
        </w:rPr>
        <w:t>3</w:t>
      </w:r>
      <w:r w:rsidRPr="008663FC">
        <w:rPr>
          <w:lang w:val="pl-PL"/>
        </w:rPr>
        <w:t>.</w:t>
      </w:r>
      <w:r w:rsidR="00510FFD">
        <w:rPr>
          <w:lang w:val="pl-PL"/>
        </w:rPr>
        <w:t xml:space="preserve"> </w:t>
      </w:r>
      <w:r w:rsidRPr="008663FC">
        <w:rPr>
          <w:lang w:val="pl-PL"/>
        </w:rPr>
        <w:t>Skarżący instytut podniósł zarzut, że brak uzasadnienia w decyzji sądu administracyjnego oraz brak rozprawy przed tymże sądem stanowiły naruszenie prawa do rzetelnego procesu zgodnie z art. 6 ust. 1 Konwencji.</w:t>
      </w:r>
    </w:p>
    <w:p w14:paraId="11AE9544" w14:textId="40B297DD" w:rsidR="00014566" w:rsidRPr="008663FC" w:rsidRDefault="00181AB9" w:rsidP="0072376D">
      <w:pPr>
        <w:pStyle w:val="ECHRPara"/>
        <w:rPr>
          <w:lang w:val="pl-PL"/>
        </w:rPr>
      </w:pPr>
      <w:r w:rsidRPr="008663FC">
        <w:rPr>
          <w:noProof/>
          <w:lang w:val="pl-PL"/>
        </w:rPr>
        <w:t>4</w:t>
      </w:r>
      <w:r w:rsidRPr="008663FC">
        <w:rPr>
          <w:lang w:val="pl-PL"/>
        </w:rPr>
        <w:t>.</w:t>
      </w:r>
      <w:r w:rsidR="00510FFD">
        <w:rPr>
          <w:lang w:val="pl-PL"/>
        </w:rPr>
        <w:t xml:space="preserve"> </w:t>
      </w:r>
      <w:r w:rsidRPr="008663FC">
        <w:rPr>
          <w:lang w:val="pl-PL"/>
        </w:rPr>
        <w:t xml:space="preserve">W dniu </w:t>
      </w:r>
      <w:r w:rsidRPr="008663FC">
        <w:rPr>
          <w:szCs w:val="24"/>
          <w:lang w:val="pl-PL"/>
        </w:rPr>
        <w:t>30 maja 2016 r.</w:t>
      </w:r>
      <w:r w:rsidRPr="008663FC">
        <w:rPr>
          <w:lang w:val="pl-PL"/>
        </w:rPr>
        <w:t xml:space="preserve"> skargę dotyczącą art. 6 zakomunikowano Rządowi, pozostałą </w:t>
      </w:r>
      <w:r w:rsidR="00E32F65" w:rsidRPr="008663FC">
        <w:rPr>
          <w:lang w:val="pl-PL"/>
        </w:rPr>
        <w:t xml:space="preserve">zaś </w:t>
      </w:r>
      <w:r w:rsidRPr="008663FC">
        <w:rPr>
          <w:lang w:val="pl-PL"/>
        </w:rPr>
        <w:t>część skargi uznano za niedopuszczalną</w:t>
      </w:r>
      <w:r w:rsidRPr="008663FC">
        <w:rPr>
          <w:szCs w:val="24"/>
          <w:lang w:val="pl-PL"/>
        </w:rPr>
        <w:t xml:space="preserve"> </w:t>
      </w:r>
      <w:r w:rsidRPr="008663FC">
        <w:rPr>
          <w:lang w:val="pl-PL"/>
        </w:rPr>
        <w:t>zgodnie z</w:t>
      </w:r>
      <w:r w:rsidR="00D65F50">
        <w:rPr>
          <w:lang w:val="pl-PL"/>
        </w:rPr>
        <w:t> </w:t>
      </w:r>
      <w:r w:rsidR="009C0637">
        <w:rPr>
          <w:lang w:val="pl-PL"/>
        </w:rPr>
        <w:t>Regułą</w:t>
      </w:r>
      <w:r w:rsidRPr="008663FC">
        <w:rPr>
          <w:lang w:val="pl-PL"/>
        </w:rPr>
        <w:t xml:space="preserve"> 54 </w:t>
      </w:r>
      <w:r w:rsidR="009C0637">
        <w:rPr>
          <w:lang w:val="pl-PL"/>
        </w:rPr>
        <w:t>§</w:t>
      </w:r>
      <w:r w:rsidRPr="008663FC">
        <w:rPr>
          <w:lang w:val="pl-PL"/>
        </w:rPr>
        <w:t xml:space="preserve"> 3 Regulaminu Trybunału.</w:t>
      </w:r>
    </w:p>
    <w:p w14:paraId="71A0FB5C" w14:textId="77777777" w:rsidR="00014566" w:rsidRPr="008663FC" w:rsidRDefault="00014566" w:rsidP="0072376D">
      <w:pPr>
        <w:pStyle w:val="ECHRTitle1"/>
        <w:rPr>
          <w:lang w:val="pl-PL"/>
        </w:rPr>
      </w:pPr>
      <w:r w:rsidRPr="008663FC">
        <w:rPr>
          <w:lang w:val="pl-PL"/>
        </w:rPr>
        <w:t>FAKTY</w:t>
      </w:r>
    </w:p>
    <w:p w14:paraId="47D7F853" w14:textId="1F5F9F22" w:rsidR="00014566" w:rsidRPr="008663FC" w:rsidRDefault="00014566" w:rsidP="0072376D">
      <w:pPr>
        <w:pStyle w:val="ECHRHeading1"/>
        <w:rPr>
          <w:lang w:val="pl-PL"/>
        </w:rPr>
      </w:pPr>
      <w:r w:rsidRPr="008663FC">
        <w:rPr>
          <w:bCs w:val="0"/>
          <w:lang w:val="pl-PL"/>
        </w:rPr>
        <w:t>I.</w:t>
      </w:r>
      <w:r w:rsidR="00510FFD">
        <w:rPr>
          <w:bCs w:val="0"/>
          <w:lang w:val="pl-PL"/>
        </w:rPr>
        <w:t xml:space="preserve"> </w:t>
      </w:r>
      <w:r w:rsidRPr="008663FC">
        <w:rPr>
          <w:bCs w:val="0"/>
          <w:lang w:val="pl-PL"/>
        </w:rPr>
        <w:t>OKOLICZNOŚCI SPRAWY</w:t>
      </w:r>
    </w:p>
    <w:p w14:paraId="435E6464" w14:textId="1AFAD34D" w:rsidR="00853461" w:rsidRPr="008663FC" w:rsidRDefault="00181AB9" w:rsidP="0072376D">
      <w:pPr>
        <w:pStyle w:val="ECHRPara"/>
        <w:rPr>
          <w:lang w:val="pl-PL"/>
        </w:rPr>
      </w:pPr>
      <w:r w:rsidRPr="008663FC">
        <w:rPr>
          <w:noProof/>
          <w:lang w:val="pl-PL"/>
        </w:rPr>
        <w:t>5</w:t>
      </w:r>
      <w:r w:rsidRPr="008663FC">
        <w:rPr>
          <w:lang w:val="pl-PL"/>
        </w:rPr>
        <w:t>.</w:t>
      </w:r>
      <w:r w:rsidR="00510FFD">
        <w:rPr>
          <w:lang w:val="pl-PL"/>
        </w:rPr>
        <w:t xml:space="preserve"> </w:t>
      </w:r>
      <w:r w:rsidRPr="008663FC">
        <w:rPr>
          <w:lang w:val="pl-PL"/>
        </w:rPr>
        <w:t>Skarżący instytut jest prywatną instytucją prowadzącą badania w</w:t>
      </w:r>
      <w:r w:rsidR="00D65F50">
        <w:rPr>
          <w:lang w:val="pl-PL"/>
        </w:rPr>
        <w:t> </w:t>
      </w:r>
      <w:r w:rsidRPr="008663FC">
        <w:rPr>
          <w:lang w:val="pl-PL"/>
        </w:rPr>
        <w:t>dziedzinie nauk społecznych. Jego siedziba mieści się w Lubljanie.</w:t>
      </w:r>
    </w:p>
    <w:p w14:paraId="173E1ACF" w14:textId="173FC428" w:rsidR="00FD1337" w:rsidRPr="008663FC" w:rsidRDefault="00FD1337" w:rsidP="0072376D">
      <w:pPr>
        <w:pStyle w:val="ECHRPara"/>
        <w:rPr>
          <w:lang w:val="pl-PL"/>
        </w:rPr>
      </w:pPr>
      <w:bookmarkStart w:id="2" w:name="call_for_tenders"/>
      <w:r w:rsidRPr="008663FC">
        <w:rPr>
          <w:noProof/>
          <w:lang w:val="pl-PL"/>
        </w:rPr>
        <w:t>6</w:t>
      </w:r>
      <w:bookmarkEnd w:id="2"/>
      <w:r w:rsidRPr="008663FC">
        <w:rPr>
          <w:lang w:val="pl-PL"/>
        </w:rPr>
        <w:t>.</w:t>
      </w:r>
      <w:r w:rsidR="00510FFD">
        <w:rPr>
          <w:lang w:val="pl-PL"/>
        </w:rPr>
        <w:t xml:space="preserve"> </w:t>
      </w:r>
      <w:r w:rsidRPr="008663FC">
        <w:rPr>
          <w:lang w:val="pl-PL"/>
        </w:rPr>
        <w:t xml:space="preserve">W czerwcu 2003 r. Ministerstwo Edukacji, Nauki i Sportu (w dalszej części: „Ministerstwo”) przeprowadziło dwa przetargi w celu przyznania </w:t>
      </w:r>
      <w:r w:rsidRPr="008663FC">
        <w:rPr>
          <w:lang w:val="pl-PL"/>
        </w:rPr>
        <w:lastRenderedPageBreak/>
        <w:t>dotacji na projekty badań naukowych; jeden z nich skierowany był do</w:t>
      </w:r>
      <w:r w:rsidR="00D65F50">
        <w:rPr>
          <w:lang w:val="pl-PL"/>
        </w:rPr>
        <w:t> </w:t>
      </w:r>
      <w:r w:rsidRPr="008663FC">
        <w:rPr>
          <w:lang w:val="pl-PL"/>
        </w:rPr>
        <w:t xml:space="preserve">podmiotów prywatnych, a drugi do publicznych organizacji badawczych. Ministerstwo ogłosiło, że w 2004 r. sfinansuje 100.000 godzin badań, których łączny koszt szacowano na 750.000.000 </w:t>
      </w:r>
      <w:proofErr w:type="spellStart"/>
      <w:r w:rsidRPr="008663FC">
        <w:rPr>
          <w:lang w:val="pl-PL"/>
        </w:rPr>
        <w:t>tolarów</w:t>
      </w:r>
      <w:proofErr w:type="spellEnd"/>
      <w:r w:rsidRPr="008663FC">
        <w:rPr>
          <w:lang w:val="pl-PL"/>
        </w:rPr>
        <w:t xml:space="preserve"> słoweńskich (SIT), tj. około 3.130.000 euro (EUR)). Projekty badawcze miały być oceniane zgodnie z</w:t>
      </w:r>
      <w:r w:rsidR="00DA6D40">
        <w:rPr>
          <w:lang w:val="pl-PL"/>
        </w:rPr>
        <w:t> </w:t>
      </w:r>
      <w:r w:rsidRPr="008663FC">
        <w:rPr>
          <w:lang w:val="pl-PL"/>
        </w:rPr>
        <w:t>Zasadami Oceny Jakości i Finansowania Programów Publicznych Organizacji Badawczych. Skarżący instytut złożył ofertę dotyczącą badań w</w:t>
      </w:r>
      <w:r w:rsidR="00D65F50">
        <w:rPr>
          <w:lang w:val="pl-PL"/>
        </w:rPr>
        <w:t> </w:t>
      </w:r>
      <w:r w:rsidRPr="008663FC">
        <w:rPr>
          <w:lang w:val="pl-PL"/>
        </w:rPr>
        <w:t>dziedzinie nauk społecznych.</w:t>
      </w:r>
    </w:p>
    <w:p w14:paraId="44973FCE" w14:textId="4944DE2C" w:rsidR="00FD1337" w:rsidRPr="008663FC" w:rsidRDefault="00FD1337" w:rsidP="0072376D">
      <w:pPr>
        <w:pStyle w:val="ECHRPara"/>
        <w:rPr>
          <w:lang w:val="pl-PL"/>
        </w:rPr>
      </w:pPr>
      <w:r w:rsidRPr="008663FC">
        <w:rPr>
          <w:noProof/>
          <w:lang w:val="pl-PL"/>
        </w:rPr>
        <w:t>7</w:t>
      </w:r>
      <w:r w:rsidRPr="008663FC">
        <w:rPr>
          <w:lang w:val="pl-PL"/>
        </w:rPr>
        <w:t>.</w:t>
      </w:r>
      <w:r w:rsidR="00510FFD">
        <w:rPr>
          <w:lang w:val="pl-PL"/>
        </w:rPr>
        <w:t xml:space="preserve"> </w:t>
      </w:r>
      <w:r w:rsidRPr="008663FC">
        <w:rPr>
          <w:lang w:val="pl-PL"/>
        </w:rPr>
        <w:t>Wydaje się, że w terminie późniejszym Ministerstwo połączyło postępowania dotyczące dwóch przetargów, lecz nie wydano formalnej decyzji dotyczącej połączenia. W dniu 17 lutego 2004 r. Ministerstwo postanowiło, że skarżący instytut nie otrzyma żadnego dofinansowania.</w:t>
      </w:r>
    </w:p>
    <w:p w14:paraId="79779C0C" w14:textId="1C8B6F13" w:rsidR="00FD1337" w:rsidRPr="008663FC" w:rsidRDefault="00FD1337" w:rsidP="0072376D">
      <w:pPr>
        <w:pStyle w:val="ECHRPara"/>
        <w:rPr>
          <w:lang w:val="pl-PL"/>
        </w:rPr>
      </w:pPr>
      <w:r w:rsidRPr="008663FC">
        <w:rPr>
          <w:noProof/>
          <w:lang w:val="pl-PL"/>
        </w:rPr>
        <w:t>8</w:t>
      </w:r>
      <w:r w:rsidRPr="008663FC">
        <w:rPr>
          <w:lang w:val="pl-PL"/>
        </w:rPr>
        <w:t>.</w:t>
      </w:r>
      <w:r w:rsidR="00510FFD">
        <w:rPr>
          <w:lang w:val="pl-PL"/>
        </w:rPr>
        <w:t xml:space="preserve"> </w:t>
      </w:r>
      <w:r w:rsidRPr="008663FC">
        <w:rPr>
          <w:lang w:val="pl-PL"/>
        </w:rPr>
        <w:t xml:space="preserve">Skarżący instytut wszczął postępowanie przez sądem administracyjnym Republiki Słowenii („Sąd Administracyjny"), żądając uchylenia decyzji Ministerstwa. Decyzją z dnia 4 kwietnia 2007 r. wniosek </w:t>
      </w:r>
      <w:r w:rsidR="00217862">
        <w:rPr>
          <w:lang w:val="pl-PL"/>
        </w:rPr>
        <w:t>uwzględniono</w:t>
      </w:r>
      <w:r w:rsidRPr="008663FC">
        <w:rPr>
          <w:lang w:val="pl-PL"/>
        </w:rPr>
        <w:t>, a</w:t>
      </w:r>
      <w:r w:rsidR="00DA6D40">
        <w:rPr>
          <w:lang w:val="pl-PL"/>
        </w:rPr>
        <w:t> </w:t>
      </w:r>
      <w:r w:rsidRPr="008663FC">
        <w:rPr>
          <w:lang w:val="pl-PL"/>
        </w:rPr>
        <w:t>sprawa została przekazana do ponownego rozpatrzenia przez Ministerstwo.</w:t>
      </w:r>
    </w:p>
    <w:p w14:paraId="7CAA6CDF" w14:textId="69808336" w:rsidR="007C1C61" w:rsidRPr="008663FC" w:rsidRDefault="007C1C61" w:rsidP="0072376D">
      <w:pPr>
        <w:pStyle w:val="ECHRPara"/>
        <w:rPr>
          <w:lang w:val="pl-PL"/>
        </w:rPr>
      </w:pPr>
      <w:bookmarkStart w:id="3" w:name="AdmProc_begin"/>
      <w:r w:rsidRPr="008663FC">
        <w:rPr>
          <w:noProof/>
          <w:lang w:val="pl-PL"/>
        </w:rPr>
        <w:t>9</w:t>
      </w:r>
      <w:bookmarkEnd w:id="3"/>
      <w:r w:rsidRPr="008663FC">
        <w:rPr>
          <w:lang w:val="pl-PL"/>
        </w:rPr>
        <w:t>.</w:t>
      </w:r>
      <w:r w:rsidR="00510FFD">
        <w:rPr>
          <w:lang w:val="pl-PL"/>
        </w:rPr>
        <w:t xml:space="preserve"> </w:t>
      </w:r>
      <w:r w:rsidRPr="008663FC">
        <w:rPr>
          <w:lang w:val="pl-PL"/>
        </w:rPr>
        <w:t>W dniu 19 października 2009 r. skarżący instytut wniósł do Sądu Administracyjnego kolejną skargę w związku z brakiem podjęcia przez Ministerstwo decyzji w wyznaczonym terminie.</w:t>
      </w:r>
    </w:p>
    <w:p w14:paraId="311F923C" w14:textId="1DA60B47" w:rsidR="00FD1337" w:rsidRPr="008663FC" w:rsidRDefault="00FD1337" w:rsidP="0072376D">
      <w:pPr>
        <w:pStyle w:val="ECHRPara"/>
        <w:rPr>
          <w:strike/>
          <w:lang w:val="pl-PL"/>
        </w:rPr>
      </w:pPr>
      <w:bookmarkStart w:id="4" w:name="bias1"/>
      <w:r w:rsidRPr="008663FC">
        <w:rPr>
          <w:noProof/>
          <w:lang w:val="pl-PL"/>
        </w:rPr>
        <w:t>10</w:t>
      </w:r>
      <w:bookmarkEnd w:id="4"/>
      <w:r w:rsidRPr="008663FC">
        <w:rPr>
          <w:lang w:val="pl-PL"/>
        </w:rPr>
        <w:t>.</w:t>
      </w:r>
      <w:r w:rsidR="00510FFD">
        <w:rPr>
          <w:lang w:val="pl-PL"/>
        </w:rPr>
        <w:t xml:space="preserve"> </w:t>
      </w:r>
      <w:r w:rsidRPr="008663FC">
        <w:rPr>
          <w:lang w:val="pl-PL"/>
        </w:rPr>
        <w:t>W dniu 30 marca 2010 r. Ministerstwo ponownie podjęło decyzję o</w:t>
      </w:r>
      <w:r w:rsidR="00D65F50">
        <w:rPr>
          <w:lang w:val="pl-PL"/>
        </w:rPr>
        <w:t> </w:t>
      </w:r>
      <w:r w:rsidRPr="008663FC">
        <w:rPr>
          <w:lang w:val="pl-PL"/>
        </w:rPr>
        <w:t>nieprzyznaniu skarżącemu instytutowi żadnych środków finansowych. Wyjaśniono, że program badawczy instytutu uplasował się na piątej pozycji wśród programów badawczych w dziedzinie nauk politycznych oraz że</w:t>
      </w:r>
      <w:r w:rsidR="00D65F50">
        <w:rPr>
          <w:lang w:val="pl-PL"/>
        </w:rPr>
        <w:t> </w:t>
      </w:r>
      <w:r w:rsidRPr="008663FC">
        <w:rPr>
          <w:lang w:val="pl-PL"/>
        </w:rPr>
        <w:t>finansowanie w tej grupie otrzymają tylko cztery programy. Ministerstwo wskazało, że zakłada się, iż nie istnieje konflikt interesów, nawet w</w:t>
      </w:r>
      <w:r w:rsidR="00D65F50">
        <w:rPr>
          <w:lang w:val="pl-PL"/>
        </w:rPr>
        <w:t> </w:t>
      </w:r>
      <w:r w:rsidRPr="008663FC">
        <w:rPr>
          <w:lang w:val="pl-PL"/>
        </w:rPr>
        <w:t>przypadku, gdy oceniający pracują w tej samej instytucji, której oferty oceniają i że jest to powszechna praktyka europejska. Zauważono ponadto, że osoby oceniające podpisały deklarację poufności i zobowiązanie do</w:t>
      </w:r>
      <w:r w:rsidR="00D65F50">
        <w:rPr>
          <w:lang w:val="pl-PL"/>
        </w:rPr>
        <w:t> </w:t>
      </w:r>
      <w:r w:rsidRPr="008663FC">
        <w:rPr>
          <w:lang w:val="pl-PL"/>
        </w:rPr>
        <w:t>wycofania się w przypadku stwierdzenia istnienia konfliktu interesów.</w:t>
      </w:r>
    </w:p>
    <w:p w14:paraId="2339DEF1" w14:textId="7A320DC8" w:rsidR="000F4561" w:rsidRPr="008663FC" w:rsidRDefault="00FD1337" w:rsidP="0072376D">
      <w:pPr>
        <w:pStyle w:val="ECHRPara"/>
        <w:rPr>
          <w:lang w:val="pl-PL"/>
        </w:rPr>
      </w:pPr>
      <w:bookmarkStart w:id="5" w:name="bias2"/>
      <w:r w:rsidRPr="008663FC">
        <w:rPr>
          <w:noProof/>
          <w:lang w:val="pl-PL"/>
        </w:rPr>
        <w:t>11</w:t>
      </w:r>
      <w:bookmarkEnd w:id="5"/>
      <w:r w:rsidRPr="008663FC">
        <w:rPr>
          <w:lang w:val="pl-PL"/>
        </w:rPr>
        <w:t>.</w:t>
      </w:r>
      <w:r w:rsidR="00510FFD">
        <w:rPr>
          <w:lang w:val="pl-PL"/>
        </w:rPr>
        <w:t xml:space="preserve"> </w:t>
      </w:r>
      <w:r w:rsidRPr="008663FC">
        <w:rPr>
          <w:lang w:val="pl-PL"/>
        </w:rPr>
        <w:t>W celu uwzględnienia faktu wydania przez Ministerstwo decyzji z</w:t>
      </w:r>
      <w:r w:rsidR="00D65F50">
        <w:rPr>
          <w:lang w:val="pl-PL"/>
        </w:rPr>
        <w:t> </w:t>
      </w:r>
      <w:r w:rsidRPr="008663FC">
        <w:rPr>
          <w:lang w:val="pl-PL"/>
        </w:rPr>
        <w:t>dnia 30 marca 2010 r., skarżący instytut uzupełnił skargę z dnia 19</w:t>
      </w:r>
      <w:r w:rsidR="00D65F50">
        <w:rPr>
          <w:lang w:val="pl-PL"/>
        </w:rPr>
        <w:t> </w:t>
      </w:r>
      <w:r w:rsidRPr="008663FC">
        <w:rPr>
          <w:lang w:val="pl-PL"/>
        </w:rPr>
        <w:t xml:space="preserve">października 2009 r. wniesioną pierwotnie w związku z brakiem podjęcia decyzji przez Ministerstwo (zob. par. </w:t>
      </w:r>
      <w:r w:rsidRPr="008663FC">
        <w:rPr>
          <w:noProof/>
          <w:lang w:val="pl-PL"/>
        </w:rPr>
        <w:t>9</w:t>
      </w:r>
      <w:r w:rsidRPr="008663FC">
        <w:rPr>
          <w:lang w:val="pl-PL"/>
        </w:rPr>
        <w:t xml:space="preserve"> powyżej), wnioskując o</w:t>
      </w:r>
      <w:r w:rsidR="00D65F50">
        <w:rPr>
          <w:lang w:val="pl-PL"/>
        </w:rPr>
        <w:t> </w:t>
      </w:r>
      <w:r w:rsidRPr="008663FC">
        <w:rPr>
          <w:lang w:val="pl-PL"/>
        </w:rPr>
        <w:t>uchylenie decyzji Ministerstwa. Ponadto skarżący instytut wezwał Sąd Administracyjny do podjęcia decyzji o przyznaniu mu finansowania. Skarżący instytut podniósł zarzut dotyczący połączenia przez Ministerstwo postępowania, które początkowo miało na celu rozpatrzenie ofert prywatnych organizacji badawczych</w:t>
      </w:r>
      <w:r w:rsidR="00217862">
        <w:rPr>
          <w:lang w:val="pl-PL"/>
        </w:rPr>
        <w:t>,</w:t>
      </w:r>
      <w:r w:rsidRPr="008663FC">
        <w:rPr>
          <w:lang w:val="pl-PL"/>
        </w:rPr>
        <w:t xml:space="preserve"> z postępowaniem prowadzonym w</w:t>
      </w:r>
      <w:r w:rsidR="00D65F50">
        <w:rPr>
          <w:lang w:val="pl-PL"/>
        </w:rPr>
        <w:t> </w:t>
      </w:r>
      <w:r w:rsidRPr="008663FC">
        <w:rPr>
          <w:lang w:val="pl-PL"/>
        </w:rPr>
        <w:t>celu rozpatrzenia ofert publicznych organizacji badawczych, mimo braku wydania oficjalnej decyzji w tej sprawie. Wskazał również na błędy w</w:t>
      </w:r>
      <w:r w:rsidR="00D65F50">
        <w:rPr>
          <w:lang w:val="pl-PL"/>
        </w:rPr>
        <w:t> </w:t>
      </w:r>
      <w:r w:rsidRPr="008663FC">
        <w:rPr>
          <w:lang w:val="pl-PL"/>
        </w:rPr>
        <w:t xml:space="preserve">ocenie konkurujących ze sobą programów, ponieważ nie wszystkie kryteria określone w Zasadach Oceny Jakości i Finansowania Programów Publicznych Organizacji Badawczych i finansowania programu publicznej organizacji badawczej zostały wzięte pod uwagę. Instytut argumentował </w:t>
      </w:r>
      <w:r w:rsidRPr="008663FC">
        <w:rPr>
          <w:lang w:val="pl-PL"/>
        </w:rPr>
        <w:lastRenderedPageBreak/>
        <w:t xml:space="preserve">między innymi, iż procedura oceny była niesprawiedliwa, ponieważ niektórzy oceniający byli stronniczy z tego względu, że oceniali programy badawcze konkurujące z programami, w których sami uczestniczyli. Wywarło to niewłaściwy wpływ na wyniki postępowania, co potwierdza fakt, że finansowanie otrzymały tylko te programy badawcze, w których oceniający byli kierownikami lub członkami zespołów badawczych. Skarżący instytut wyraźnie zażądał przeprowadzenia rozprawy, podczas której istniałaby możliwość przesłuchania świadków na okoliczność </w:t>
      </w:r>
      <w:r w:rsidR="00B3235C">
        <w:rPr>
          <w:lang w:val="pl-PL"/>
        </w:rPr>
        <w:t>zarzuc</w:t>
      </w:r>
      <w:r w:rsidRPr="008663FC">
        <w:rPr>
          <w:lang w:val="pl-PL"/>
        </w:rPr>
        <w:t>anych błędów proceduralnych w toku oceny programów. Dodatkowo, instytut przedłożył pismo z dnia 2 grudnia 2003 r., które jeden ze świadków, K., wysłał do Ministra Edukacji, Nauki i Sportu oraz kilku innych adresatów. W piśmie tym K. informował o problemach wykrytych w</w:t>
      </w:r>
      <w:r w:rsidR="00D65F50">
        <w:rPr>
          <w:lang w:val="pl-PL"/>
        </w:rPr>
        <w:t> </w:t>
      </w:r>
      <w:r w:rsidRPr="008663FC">
        <w:rPr>
          <w:lang w:val="pl-PL"/>
        </w:rPr>
        <w:t>postępowaniu przetargowym, w którym uczestniczył jako oceniający.</w:t>
      </w:r>
    </w:p>
    <w:p w14:paraId="7E2A808A" w14:textId="296848A3" w:rsidR="00233113" w:rsidRPr="008663FC" w:rsidRDefault="00FD1337" w:rsidP="0072376D">
      <w:pPr>
        <w:pStyle w:val="ECHRPara"/>
        <w:rPr>
          <w:lang w:val="pl-PL"/>
        </w:rPr>
      </w:pPr>
      <w:bookmarkStart w:id="6" w:name="admin_court_judgment"/>
      <w:r w:rsidRPr="008663FC">
        <w:rPr>
          <w:noProof/>
          <w:lang w:val="pl-PL"/>
        </w:rPr>
        <w:t>12</w:t>
      </w:r>
      <w:bookmarkEnd w:id="6"/>
      <w:r w:rsidRPr="008663FC">
        <w:rPr>
          <w:lang w:val="pl-PL"/>
        </w:rPr>
        <w:t>.</w:t>
      </w:r>
      <w:r w:rsidR="00510FFD">
        <w:rPr>
          <w:lang w:val="pl-PL"/>
        </w:rPr>
        <w:t xml:space="preserve"> </w:t>
      </w:r>
      <w:r w:rsidRPr="008663FC">
        <w:rPr>
          <w:lang w:val="pl-PL"/>
        </w:rPr>
        <w:t>Po wymianie przez strony szeregu pisemnych oświadczeń, Sąd Administracyjny oddalił skargę, nie przeprowadzając rozprawy. W decyzji z</w:t>
      </w:r>
      <w:r w:rsidR="00D65F50">
        <w:rPr>
          <w:lang w:val="pl-PL"/>
        </w:rPr>
        <w:t> </w:t>
      </w:r>
      <w:r w:rsidRPr="008663FC">
        <w:rPr>
          <w:lang w:val="pl-PL"/>
        </w:rPr>
        <w:t>dnia 2 lutego 2011 r. Sąd obszernie opisał postępowanie przed Ministerstwem i oświadczenia obu stron. Uzasadnienie decyzji zawarto na</w:t>
      </w:r>
      <w:r w:rsidR="00D65F50">
        <w:rPr>
          <w:lang w:val="pl-PL"/>
        </w:rPr>
        <w:t> </w:t>
      </w:r>
      <w:r w:rsidRPr="008663FC">
        <w:rPr>
          <w:lang w:val="pl-PL"/>
        </w:rPr>
        <w:t>jednej stronie. Powołując się na art. 71 ust. 2 ustawy o sporach administracyjnych („</w:t>
      </w:r>
      <w:r w:rsidRPr="008663FC">
        <w:rPr>
          <w:i/>
          <w:iCs/>
          <w:lang w:val="pl-PL"/>
        </w:rPr>
        <w:t xml:space="preserve">Zakon o </w:t>
      </w:r>
      <w:proofErr w:type="spellStart"/>
      <w:r w:rsidRPr="008663FC">
        <w:rPr>
          <w:i/>
          <w:iCs/>
          <w:lang w:val="pl-PL"/>
        </w:rPr>
        <w:t>upravnem</w:t>
      </w:r>
      <w:proofErr w:type="spellEnd"/>
      <w:r w:rsidRPr="008663FC">
        <w:rPr>
          <w:i/>
          <w:iCs/>
          <w:lang w:val="pl-PL"/>
        </w:rPr>
        <w:t xml:space="preserve"> sporu”</w:t>
      </w:r>
      <w:r w:rsidRPr="008663FC">
        <w:rPr>
          <w:lang w:val="pl-PL"/>
        </w:rPr>
        <w:t xml:space="preserve"> - w dalszej części „USA”, zob. par. </w:t>
      </w:r>
      <w:r w:rsidRPr="008663FC">
        <w:rPr>
          <w:noProof/>
          <w:lang w:val="pl-PL"/>
        </w:rPr>
        <w:t>23</w:t>
      </w:r>
      <w:r w:rsidRPr="008663FC">
        <w:rPr>
          <w:lang w:val="pl-PL"/>
        </w:rPr>
        <w:t xml:space="preserve"> poniżej), Sąd Administracyjny odniósł się głównie do</w:t>
      </w:r>
      <w:r w:rsidR="00D65F50">
        <w:rPr>
          <w:lang w:val="pl-PL"/>
        </w:rPr>
        <w:t> </w:t>
      </w:r>
      <w:r w:rsidRPr="008663FC">
        <w:rPr>
          <w:lang w:val="pl-PL"/>
        </w:rPr>
        <w:t>oświadczeń Ministerstwa. Uznał, między innymi, że łącząc postępowania, Ministerstwo nie działało niezgodnie z prawem. Sąd przyjął twierdzenie Ministerstwa, że decyzję tę podjęto przez wzgląd na charakter programów badawczych i infrastrukturalnych, uwzględniając wytyczne Narodowego Programu Badań i Rozwoju. Sąd wskazał również, że zasady proceduralne oceny programów badawczych przyjęte przez Krajową Radę Naukowo-Badawczą jasno określają etapy procedury oceny, uczestników tej procedury i ich zadania. W odniesieniu do domniemanego konfliktu interesów Sąd stwierdził, że zgadza się z Ministerstwem, iż konflikt taki nie występuje</w:t>
      </w:r>
      <w:r w:rsidR="00BA1153">
        <w:rPr>
          <w:lang w:val="pl-PL"/>
        </w:rPr>
        <w:t>,</w:t>
      </w:r>
      <w:r w:rsidRPr="008663FC">
        <w:rPr>
          <w:lang w:val="pl-PL"/>
        </w:rPr>
        <w:t xml:space="preserve"> i</w:t>
      </w:r>
      <w:r w:rsidR="00F80C26">
        <w:rPr>
          <w:lang w:val="pl-PL"/>
        </w:rPr>
        <w:t> </w:t>
      </w:r>
      <w:r w:rsidRPr="008663FC">
        <w:rPr>
          <w:lang w:val="pl-PL"/>
        </w:rPr>
        <w:t xml:space="preserve">powołał się na przepis art. 71 ust. 2 USA (zob. par. </w:t>
      </w:r>
      <w:r w:rsidRPr="008663FC">
        <w:rPr>
          <w:noProof/>
          <w:lang w:val="pl-PL"/>
        </w:rPr>
        <w:t>23</w:t>
      </w:r>
      <w:r w:rsidRPr="008663FC">
        <w:rPr>
          <w:lang w:val="pl-PL"/>
        </w:rPr>
        <w:t xml:space="preserve"> poniżej). W</w:t>
      </w:r>
      <w:r w:rsidR="00F80C26">
        <w:rPr>
          <w:lang w:val="pl-PL"/>
        </w:rPr>
        <w:t> </w:t>
      </w:r>
      <w:r w:rsidRPr="008663FC">
        <w:rPr>
          <w:lang w:val="pl-PL"/>
        </w:rPr>
        <w:t>odniesieniu do zarzucanych błędów w ocenie konkurencyjnych programów, Sąd nie zgodził się ze skarżącym instytutem, że nie wszystkie kryteria zostały wzięte pod uwagę</w:t>
      </w:r>
      <w:r w:rsidR="00BA1153">
        <w:rPr>
          <w:lang w:val="pl-PL"/>
        </w:rPr>
        <w:t>,</w:t>
      </w:r>
      <w:r w:rsidRPr="008663FC">
        <w:rPr>
          <w:lang w:val="pl-PL"/>
        </w:rPr>
        <w:t xml:space="preserve"> i ponownie powołał się na art. 71 ust. 2 USA.</w:t>
      </w:r>
    </w:p>
    <w:p w14:paraId="3F9228CA" w14:textId="0A487CD2" w:rsidR="00FD1337" w:rsidRPr="008663FC" w:rsidRDefault="00233113" w:rsidP="0072376D">
      <w:pPr>
        <w:pStyle w:val="ECHRPara"/>
        <w:rPr>
          <w:lang w:val="pl-PL"/>
        </w:rPr>
      </w:pPr>
      <w:bookmarkStart w:id="7" w:name="para13"/>
      <w:r w:rsidRPr="008663FC">
        <w:rPr>
          <w:noProof/>
          <w:lang w:val="pl-PL"/>
        </w:rPr>
        <w:t>13</w:t>
      </w:r>
      <w:bookmarkEnd w:id="7"/>
      <w:r w:rsidRPr="008663FC">
        <w:rPr>
          <w:lang w:val="pl-PL"/>
        </w:rPr>
        <w:t>.</w:t>
      </w:r>
      <w:r w:rsidR="00510FFD">
        <w:rPr>
          <w:lang w:val="pl-PL"/>
        </w:rPr>
        <w:t xml:space="preserve"> </w:t>
      </w:r>
      <w:r w:rsidRPr="008663FC">
        <w:rPr>
          <w:lang w:val="pl-PL"/>
        </w:rPr>
        <w:t xml:space="preserve">Powodów, dla których nie przeprowadzono rozprawy, nie wskazano. W swoim uzasadnieniu Sąd nie </w:t>
      </w:r>
      <w:r w:rsidR="00BA1153">
        <w:rPr>
          <w:lang w:val="pl-PL"/>
        </w:rPr>
        <w:t>uwzględnił</w:t>
      </w:r>
      <w:r w:rsidRPr="008663FC">
        <w:rPr>
          <w:lang w:val="pl-PL"/>
        </w:rPr>
        <w:t xml:space="preserve"> ani nie powołał się na żaden z</w:t>
      </w:r>
      <w:r w:rsidR="00D65F50">
        <w:rPr>
          <w:lang w:val="pl-PL"/>
        </w:rPr>
        <w:t> </w:t>
      </w:r>
      <w:r w:rsidRPr="008663FC">
        <w:rPr>
          <w:lang w:val="pl-PL"/>
        </w:rPr>
        <w:t>dowodów przedstawionych przez skarżący instytut w odwołaniu (zob.</w:t>
      </w:r>
      <w:r w:rsidR="00D65F50">
        <w:rPr>
          <w:lang w:val="pl-PL"/>
        </w:rPr>
        <w:t> </w:t>
      </w:r>
      <w:r w:rsidRPr="008663FC">
        <w:rPr>
          <w:lang w:val="pl-PL"/>
        </w:rPr>
        <w:t>par.</w:t>
      </w:r>
      <w:r w:rsidR="00D65F50">
        <w:rPr>
          <w:lang w:val="pl-PL"/>
        </w:rPr>
        <w:t> </w:t>
      </w:r>
      <w:r w:rsidRPr="008663FC">
        <w:rPr>
          <w:noProof/>
          <w:lang w:val="pl-PL"/>
        </w:rPr>
        <w:t>11</w:t>
      </w:r>
      <w:r w:rsidRPr="008663FC">
        <w:rPr>
          <w:lang w:val="pl-PL"/>
        </w:rPr>
        <w:t xml:space="preserve"> powyżej).</w:t>
      </w:r>
    </w:p>
    <w:p w14:paraId="6533B48F" w14:textId="240A207F" w:rsidR="004D4768" w:rsidRPr="008663FC" w:rsidRDefault="004D4768" w:rsidP="0072376D">
      <w:pPr>
        <w:pStyle w:val="ECHRPara"/>
        <w:rPr>
          <w:lang w:val="pl-PL"/>
        </w:rPr>
      </w:pPr>
      <w:bookmarkStart w:id="8" w:name="bias3"/>
      <w:r w:rsidRPr="008663FC">
        <w:rPr>
          <w:noProof/>
          <w:lang w:val="pl-PL"/>
        </w:rPr>
        <w:t>14</w:t>
      </w:r>
      <w:bookmarkEnd w:id="8"/>
      <w:r w:rsidRPr="008663FC">
        <w:rPr>
          <w:lang w:val="pl-PL"/>
        </w:rPr>
        <w:t>.</w:t>
      </w:r>
      <w:r w:rsidR="00510FFD">
        <w:rPr>
          <w:lang w:val="pl-PL"/>
        </w:rPr>
        <w:t xml:space="preserve"> </w:t>
      </w:r>
      <w:r w:rsidRPr="008663FC">
        <w:rPr>
          <w:lang w:val="pl-PL"/>
        </w:rPr>
        <w:t xml:space="preserve">W dniu 31 marca 2011 r. skarżący instytut wniósł </w:t>
      </w:r>
      <w:r w:rsidR="00A2277A">
        <w:rPr>
          <w:lang w:val="pl-PL"/>
        </w:rPr>
        <w:t>kasację</w:t>
      </w:r>
      <w:r w:rsidRPr="008663FC">
        <w:rPr>
          <w:lang w:val="pl-PL"/>
        </w:rPr>
        <w:t xml:space="preserve">. Twierdził, że Sąd Administracyjny nie przeprowadził rozprawy, mimo że okoliczności faktyczne sprawy </w:t>
      </w:r>
      <w:r w:rsidR="00A2277A">
        <w:rPr>
          <w:lang w:val="pl-PL"/>
        </w:rPr>
        <w:t>by</w:t>
      </w:r>
      <w:r w:rsidRPr="008663FC">
        <w:rPr>
          <w:lang w:val="pl-PL"/>
        </w:rPr>
        <w:t xml:space="preserve">ły kwestionowane, a skarżący instytut wyraźnie wnioskował o przeprowadzenie rozprawy, podczas której możliwe byłoby przesłuchanie świadków. Argumentował również, że Sąd Administracyjny </w:t>
      </w:r>
      <w:r w:rsidRPr="008663FC">
        <w:rPr>
          <w:lang w:val="pl-PL"/>
        </w:rPr>
        <w:lastRenderedPageBreak/>
        <w:t>nie odniósł się do zarzutów dotyczących błędów popełnionych w trakcie oceny</w:t>
      </w:r>
      <w:r w:rsidR="00A2277A">
        <w:rPr>
          <w:lang w:val="pl-PL"/>
        </w:rPr>
        <w:t>,</w:t>
      </w:r>
      <w:r w:rsidRPr="008663FC">
        <w:rPr>
          <w:lang w:val="pl-PL"/>
        </w:rPr>
        <w:t xml:space="preserve"> i </w:t>
      </w:r>
      <w:r w:rsidR="00A2277A">
        <w:rPr>
          <w:lang w:val="pl-PL"/>
        </w:rPr>
        <w:t>zarzucał niewystarczające uzasadnienie</w:t>
      </w:r>
      <w:r w:rsidRPr="008663FC">
        <w:rPr>
          <w:lang w:val="pl-PL"/>
        </w:rPr>
        <w:t xml:space="preserve"> decyzji.</w:t>
      </w:r>
    </w:p>
    <w:p w14:paraId="0BA2B05D" w14:textId="7FD734E5" w:rsidR="00FD1337" w:rsidRPr="008663FC" w:rsidRDefault="004D4768" w:rsidP="0072376D">
      <w:pPr>
        <w:pStyle w:val="ECHRPara"/>
        <w:rPr>
          <w:lang w:val="pl-PL"/>
        </w:rPr>
      </w:pPr>
      <w:r w:rsidRPr="008663FC">
        <w:rPr>
          <w:noProof/>
          <w:lang w:val="pl-PL"/>
        </w:rPr>
        <w:t>15</w:t>
      </w:r>
      <w:r w:rsidRPr="008663FC">
        <w:rPr>
          <w:lang w:val="pl-PL"/>
        </w:rPr>
        <w:t>.</w:t>
      </w:r>
      <w:r w:rsidR="00510FFD">
        <w:rPr>
          <w:lang w:val="pl-PL"/>
        </w:rPr>
        <w:t xml:space="preserve"> </w:t>
      </w:r>
      <w:r w:rsidRPr="008663FC">
        <w:rPr>
          <w:lang w:val="pl-PL"/>
        </w:rPr>
        <w:t>W dniu 1 września 2011 r. Sąd Najwyższy odrzucił apelację jako niedopuszczalną. W decyzji nie przedstawiono uzasadnienia</w:t>
      </w:r>
      <w:r w:rsidR="006D6015">
        <w:rPr>
          <w:lang w:val="pl-PL"/>
        </w:rPr>
        <w:t xml:space="preserve"> co do istoty zarzutów skarżącego instytutu</w:t>
      </w:r>
      <w:r w:rsidRPr="008663FC">
        <w:rPr>
          <w:lang w:val="pl-PL"/>
        </w:rPr>
        <w:t>.</w:t>
      </w:r>
    </w:p>
    <w:p w14:paraId="7B548E2A" w14:textId="4F56EFFC" w:rsidR="00FD1337" w:rsidRPr="008663FC" w:rsidRDefault="00FD1337" w:rsidP="0072376D">
      <w:pPr>
        <w:pStyle w:val="ECHRPara"/>
        <w:rPr>
          <w:lang w:val="pl-PL"/>
        </w:rPr>
      </w:pPr>
      <w:bookmarkStart w:id="9" w:name="bias4"/>
      <w:r w:rsidRPr="008663FC">
        <w:rPr>
          <w:noProof/>
          <w:lang w:val="pl-PL"/>
        </w:rPr>
        <w:t>16</w:t>
      </w:r>
      <w:bookmarkEnd w:id="9"/>
      <w:r w:rsidRPr="008663FC">
        <w:rPr>
          <w:lang w:val="pl-PL"/>
        </w:rPr>
        <w:t>.</w:t>
      </w:r>
      <w:r w:rsidR="00510FFD">
        <w:rPr>
          <w:lang w:val="pl-PL"/>
        </w:rPr>
        <w:t xml:space="preserve"> </w:t>
      </w:r>
      <w:r w:rsidRPr="008663FC">
        <w:rPr>
          <w:lang w:val="pl-PL"/>
        </w:rPr>
        <w:t>Skarżący instytut złożył następnie skargę konstytucyjną, argumentując między innymi, że decyzje Ministerstwa i sądu krajowego były arbitralne oraz że sądy nie ustosunkowały się do zarzutów dotyczących błędów w</w:t>
      </w:r>
      <w:r w:rsidR="00241BF6">
        <w:rPr>
          <w:lang w:val="pl-PL"/>
        </w:rPr>
        <w:t> </w:t>
      </w:r>
      <w:r w:rsidRPr="008663FC">
        <w:rPr>
          <w:lang w:val="pl-PL"/>
        </w:rPr>
        <w:t>procedurze oceny. Instytut powtórzył argument, że świadkowie, których zaproponował, nie zostali przesłuchani i że nie przeprowadzono rozprawy.</w:t>
      </w:r>
    </w:p>
    <w:p w14:paraId="75DECBCE" w14:textId="4AD793C2" w:rsidR="00014566" w:rsidRPr="008663FC" w:rsidRDefault="00FD1337" w:rsidP="0072376D">
      <w:pPr>
        <w:pStyle w:val="ECHRPara"/>
        <w:rPr>
          <w:lang w:val="pl-PL"/>
        </w:rPr>
      </w:pPr>
      <w:r w:rsidRPr="008663FC">
        <w:rPr>
          <w:noProof/>
          <w:lang w:val="pl-PL"/>
        </w:rPr>
        <w:t>17</w:t>
      </w:r>
      <w:r w:rsidRPr="008663FC">
        <w:rPr>
          <w:lang w:val="pl-PL"/>
        </w:rPr>
        <w:t>.</w:t>
      </w:r>
      <w:r w:rsidR="00510FFD">
        <w:rPr>
          <w:lang w:val="pl-PL"/>
        </w:rPr>
        <w:t xml:space="preserve"> </w:t>
      </w:r>
      <w:r w:rsidRPr="008663FC">
        <w:rPr>
          <w:lang w:val="pl-PL"/>
        </w:rPr>
        <w:t>W dniu 19 listopada 2012 r. Trybunał Konstytucyjny oddalił skargę skarżącego instytutu, uznając, iż nie dotyczyła ona ważnej kwestii konstytucyjnej ani nie wiązała się z naruszeniem praw człowieka o</w:t>
      </w:r>
      <w:r w:rsidR="00D65F50">
        <w:rPr>
          <w:lang w:val="pl-PL"/>
        </w:rPr>
        <w:t> </w:t>
      </w:r>
      <w:r w:rsidRPr="008663FC">
        <w:rPr>
          <w:lang w:val="pl-PL"/>
        </w:rPr>
        <w:t>poważnych konsekwencjach dla skarżącego instytutu.</w:t>
      </w:r>
    </w:p>
    <w:p w14:paraId="7F3D830F" w14:textId="1B01D35D" w:rsidR="00014566" w:rsidRPr="008663FC" w:rsidRDefault="00014566" w:rsidP="0072376D">
      <w:pPr>
        <w:pStyle w:val="ECHRHeading1"/>
        <w:rPr>
          <w:lang w:val="pl-PL"/>
        </w:rPr>
      </w:pPr>
      <w:r w:rsidRPr="008663FC">
        <w:rPr>
          <w:bCs w:val="0"/>
          <w:lang w:val="pl-PL"/>
        </w:rPr>
        <w:t>II.</w:t>
      </w:r>
      <w:r w:rsidR="00510FFD">
        <w:rPr>
          <w:bCs w:val="0"/>
          <w:lang w:val="pl-PL"/>
        </w:rPr>
        <w:t xml:space="preserve"> </w:t>
      </w:r>
      <w:r w:rsidRPr="008663FC">
        <w:rPr>
          <w:bCs w:val="0"/>
          <w:lang w:val="pl-PL"/>
        </w:rPr>
        <w:t>WŁAŚCIWE PRAWO KRAJOWE</w:t>
      </w:r>
    </w:p>
    <w:p w14:paraId="75D9E5EF" w14:textId="48CC2B9E" w:rsidR="00AF788F" w:rsidRPr="008663FC" w:rsidRDefault="00865DFD" w:rsidP="0072376D">
      <w:pPr>
        <w:pStyle w:val="ECHRPara"/>
        <w:rPr>
          <w:lang w:val="pl-PL"/>
        </w:rPr>
      </w:pPr>
      <w:bookmarkStart w:id="10" w:name="ADA_sec1"/>
      <w:r w:rsidRPr="008663FC">
        <w:rPr>
          <w:noProof/>
          <w:lang w:val="pl-PL"/>
        </w:rPr>
        <w:t>18</w:t>
      </w:r>
      <w:bookmarkEnd w:id="10"/>
      <w:r w:rsidRPr="008663FC">
        <w:rPr>
          <w:lang w:val="pl-PL"/>
        </w:rPr>
        <w:t>.</w:t>
      </w:r>
      <w:r w:rsidR="00510FFD">
        <w:rPr>
          <w:lang w:val="pl-PL"/>
        </w:rPr>
        <w:t xml:space="preserve"> </w:t>
      </w:r>
      <w:r w:rsidRPr="008663FC">
        <w:rPr>
          <w:lang w:val="pl-PL"/>
        </w:rPr>
        <w:t>Artykuł 1 ustawy o sporach administracyjnych („USA”) brzmi:</w:t>
      </w:r>
    </w:p>
    <w:p w14:paraId="4356FC08" w14:textId="7231867C" w:rsidR="00865DFD" w:rsidRPr="008663FC" w:rsidRDefault="00AF788F" w:rsidP="0072376D">
      <w:pPr>
        <w:pStyle w:val="ECHRParaQuote"/>
        <w:rPr>
          <w:lang w:val="pl-PL"/>
        </w:rPr>
      </w:pPr>
      <w:r w:rsidRPr="008663FC">
        <w:rPr>
          <w:lang w:val="pl-PL"/>
        </w:rPr>
        <w:t>„W sporze administracyjnym dotyczącym decyzji i działań władz państwowych, władz lokalnych i osób zajmujących stanowiska we władzach publicznych, prawa i</w:t>
      </w:r>
      <w:r w:rsidR="00D65F50">
        <w:rPr>
          <w:lang w:val="pl-PL"/>
        </w:rPr>
        <w:t> </w:t>
      </w:r>
      <w:r w:rsidRPr="008663FC">
        <w:rPr>
          <w:lang w:val="pl-PL"/>
        </w:rPr>
        <w:t>interesy prawne osób fizycznych i organizacji będą chronione zgodnie z metodami i</w:t>
      </w:r>
      <w:r w:rsidR="00D65F50">
        <w:rPr>
          <w:lang w:val="pl-PL"/>
        </w:rPr>
        <w:t> </w:t>
      </w:r>
      <w:r w:rsidRPr="008663FC">
        <w:rPr>
          <w:lang w:val="pl-PL"/>
        </w:rPr>
        <w:t>procedurami określonymi w niniejszej ustawie, chyba że prawo przewiduje jakiekolwiek inne formy rzetelnego postępowania w danej sprawie ...”</w:t>
      </w:r>
    </w:p>
    <w:p w14:paraId="7B0FA2A2" w14:textId="09F4CAA1" w:rsidR="00D72173" w:rsidRPr="008663FC" w:rsidRDefault="00A53CEB" w:rsidP="0072376D">
      <w:pPr>
        <w:pStyle w:val="ECHRPara"/>
        <w:rPr>
          <w:lang w:val="pl-PL"/>
        </w:rPr>
      </w:pPr>
      <w:bookmarkStart w:id="11" w:name="ADA_legality"/>
      <w:r w:rsidRPr="008663FC">
        <w:rPr>
          <w:noProof/>
          <w:lang w:val="pl-PL"/>
        </w:rPr>
        <w:t>19</w:t>
      </w:r>
      <w:bookmarkEnd w:id="11"/>
      <w:r w:rsidRPr="008663FC">
        <w:rPr>
          <w:lang w:val="pl-PL"/>
        </w:rPr>
        <w:t>.</w:t>
      </w:r>
      <w:r w:rsidR="00510FFD">
        <w:rPr>
          <w:lang w:val="pl-PL"/>
        </w:rPr>
        <w:t xml:space="preserve"> </w:t>
      </w:r>
      <w:r w:rsidRPr="008663FC">
        <w:rPr>
          <w:lang w:val="pl-PL"/>
        </w:rPr>
        <w:t>Artykuł 2 USA brzmi:</w:t>
      </w:r>
    </w:p>
    <w:p w14:paraId="21DF17FD" w14:textId="77777777" w:rsidR="00D72173" w:rsidRPr="008663FC" w:rsidRDefault="00D72173" w:rsidP="0072376D">
      <w:pPr>
        <w:pStyle w:val="ECHRParaQuote"/>
        <w:rPr>
          <w:lang w:val="pl-PL"/>
        </w:rPr>
      </w:pPr>
      <w:r w:rsidRPr="008663FC">
        <w:rPr>
          <w:lang w:val="pl-PL"/>
        </w:rPr>
        <w:t>„W sporze administracyjnym sąd administracyjny orzeka w sprawie legalności ostatecznych decyzji administracyjnych, które stanowią ingerencję w sytuację prawną skarżącego ...”</w:t>
      </w:r>
    </w:p>
    <w:p w14:paraId="06A8178F" w14:textId="59DEC06F" w:rsidR="0093001C" w:rsidRPr="008663FC" w:rsidRDefault="00A53CEB" w:rsidP="0072376D">
      <w:pPr>
        <w:pStyle w:val="ECHRPara"/>
        <w:rPr>
          <w:lang w:val="pl-PL"/>
        </w:rPr>
      </w:pPr>
      <w:bookmarkStart w:id="12" w:name="reasons_appeal_on_points_of_law"/>
      <w:r w:rsidRPr="008663FC">
        <w:rPr>
          <w:noProof/>
          <w:lang w:val="pl-PL"/>
        </w:rPr>
        <w:t>20</w:t>
      </w:r>
      <w:bookmarkEnd w:id="12"/>
      <w:r w:rsidRPr="008663FC">
        <w:rPr>
          <w:lang w:val="pl-PL"/>
        </w:rPr>
        <w:t>.</w:t>
      </w:r>
      <w:r w:rsidR="00510FFD">
        <w:rPr>
          <w:lang w:val="pl-PL"/>
        </w:rPr>
        <w:t xml:space="preserve"> </w:t>
      </w:r>
      <w:r w:rsidRPr="008663FC">
        <w:rPr>
          <w:lang w:val="pl-PL"/>
        </w:rPr>
        <w:t>Artykuł 83 USA, obowiązujący w danym czasie, brzmiał następująco:</w:t>
      </w:r>
    </w:p>
    <w:p w14:paraId="799C89D5" w14:textId="6E72CC11" w:rsidR="006C70B3" w:rsidRPr="008663FC" w:rsidRDefault="00625DB3" w:rsidP="0072376D">
      <w:pPr>
        <w:pStyle w:val="ECHRParaQuote"/>
        <w:rPr>
          <w:lang w:val="pl-PL"/>
        </w:rPr>
      </w:pPr>
      <w:r w:rsidRPr="008663FC">
        <w:rPr>
          <w:lang w:val="pl-PL"/>
        </w:rPr>
        <w:t>„1)</w:t>
      </w:r>
      <w:r w:rsidR="00510FFD">
        <w:rPr>
          <w:lang w:val="pl-PL"/>
        </w:rPr>
        <w:t xml:space="preserve"> </w:t>
      </w:r>
      <w:r w:rsidRPr="008663FC">
        <w:rPr>
          <w:lang w:val="pl-PL"/>
        </w:rPr>
        <w:t xml:space="preserve">Od orzeczenia sądu pierwszej instancji można wnieść </w:t>
      </w:r>
      <w:r w:rsidR="006D6015">
        <w:rPr>
          <w:lang w:val="pl-PL"/>
        </w:rPr>
        <w:t>kasację</w:t>
      </w:r>
      <w:r w:rsidRPr="008663FC">
        <w:rPr>
          <w:lang w:val="pl-PL"/>
        </w:rPr>
        <w:t>, którą należy złożyć w terminie trzydziestu dni od daty doręczenia orzeczenia stronie.</w:t>
      </w:r>
    </w:p>
    <w:p w14:paraId="0560BC20" w14:textId="6BD71C84" w:rsidR="006C70B3" w:rsidRPr="008663FC" w:rsidRDefault="006C70B3" w:rsidP="0072376D">
      <w:pPr>
        <w:pStyle w:val="ECHRParaQuote"/>
        <w:rPr>
          <w:lang w:val="pl-PL"/>
        </w:rPr>
      </w:pPr>
      <w:r w:rsidRPr="008663FC">
        <w:rPr>
          <w:lang w:val="pl-PL"/>
        </w:rPr>
        <w:t>2) </w:t>
      </w:r>
      <w:r w:rsidR="006D6015">
        <w:rPr>
          <w:lang w:val="pl-PL"/>
        </w:rPr>
        <w:t>Kasacja jest dopuszczalna</w:t>
      </w:r>
      <w:r w:rsidRPr="008663FC">
        <w:rPr>
          <w:lang w:val="pl-PL"/>
        </w:rPr>
        <w:t>, jeżeli:</w:t>
      </w:r>
    </w:p>
    <w:p w14:paraId="6B1DC1F5" w14:textId="52EE2D8A" w:rsidR="006C70B3" w:rsidRPr="008663FC" w:rsidRDefault="006C70B3" w:rsidP="0072376D">
      <w:pPr>
        <w:pStyle w:val="ECHRParaQuote"/>
        <w:rPr>
          <w:lang w:val="pl-PL"/>
        </w:rPr>
      </w:pPr>
      <w:r w:rsidRPr="008663FC">
        <w:rPr>
          <w:lang w:val="pl-PL"/>
        </w:rPr>
        <w:t>1.</w:t>
      </w:r>
      <w:r w:rsidR="00510FFD">
        <w:rPr>
          <w:lang w:val="pl-PL"/>
        </w:rPr>
        <w:t xml:space="preserve"> </w:t>
      </w:r>
      <w:r w:rsidRPr="008663FC">
        <w:rPr>
          <w:lang w:val="pl-PL"/>
        </w:rPr>
        <w:t>wartość zaskarżonej części prawomocnego aktu administracyjnego lub</w:t>
      </w:r>
      <w:r w:rsidR="00D65F50">
        <w:rPr>
          <w:lang w:val="pl-PL"/>
        </w:rPr>
        <w:t> </w:t>
      </w:r>
      <w:r w:rsidRPr="008663FC">
        <w:rPr>
          <w:lang w:val="pl-PL"/>
        </w:rPr>
        <w:t>prawomocnego orzeczenia, gdy sąd wydał orzeczenie co do istoty sprawy, w</w:t>
      </w:r>
      <w:r w:rsidR="00D65F50">
        <w:rPr>
          <w:lang w:val="pl-PL"/>
        </w:rPr>
        <w:t> </w:t>
      </w:r>
      <w:r w:rsidRPr="008663FC">
        <w:rPr>
          <w:lang w:val="pl-PL"/>
        </w:rPr>
        <w:t>której prawo lub obowiązek strony wyrażone jest w pieniądzu, przekracza 20.000 EUR;</w:t>
      </w:r>
    </w:p>
    <w:p w14:paraId="6FA6C5E4" w14:textId="3389A99F" w:rsidR="006C70B3" w:rsidRPr="008663FC" w:rsidRDefault="006C70B3" w:rsidP="0072376D">
      <w:pPr>
        <w:pStyle w:val="ECHRParaQuote"/>
        <w:rPr>
          <w:lang w:val="pl-PL"/>
        </w:rPr>
      </w:pPr>
      <w:r w:rsidRPr="008663FC">
        <w:rPr>
          <w:lang w:val="pl-PL"/>
        </w:rPr>
        <w:t>2.</w:t>
      </w:r>
      <w:r w:rsidR="00510FFD">
        <w:rPr>
          <w:lang w:val="pl-PL"/>
        </w:rPr>
        <w:t xml:space="preserve"> </w:t>
      </w:r>
      <w:r w:rsidRPr="008663FC">
        <w:rPr>
          <w:lang w:val="pl-PL"/>
        </w:rPr>
        <w:t>dotyczy ważnego zagadnienia prawnego lub gdy orzeczenie sądu pierwszej instancji odbiega od orzecznictwa Sądu Najwyższego w odniesieniu do kwestii prawnej o zasadniczym znaczeniu dla orzeczenia, lub gdy nie istnieje jednolite stanowisko w</w:t>
      </w:r>
      <w:r w:rsidR="00DA6D40">
        <w:rPr>
          <w:lang w:val="pl-PL"/>
        </w:rPr>
        <w:t> </w:t>
      </w:r>
      <w:r w:rsidRPr="008663FC">
        <w:rPr>
          <w:lang w:val="pl-PL"/>
        </w:rPr>
        <w:t>odniesieniu do takiej kwestii prawnej w orzecznictwie sądu pierwszej instancji, a</w:t>
      </w:r>
      <w:r w:rsidR="00DA6D40">
        <w:rPr>
          <w:lang w:val="pl-PL"/>
        </w:rPr>
        <w:t> </w:t>
      </w:r>
      <w:r w:rsidRPr="008663FC">
        <w:rPr>
          <w:lang w:val="pl-PL"/>
        </w:rPr>
        <w:t>Sąd</w:t>
      </w:r>
      <w:r w:rsidR="00DA6D40">
        <w:rPr>
          <w:lang w:val="pl-PL"/>
        </w:rPr>
        <w:t> </w:t>
      </w:r>
      <w:r w:rsidRPr="008663FC">
        <w:rPr>
          <w:lang w:val="pl-PL"/>
        </w:rPr>
        <w:t>Najwyższy nie orzekł jeszcze w tej sprawie;</w:t>
      </w:r>
    </w:p>
    <w:p w14:paraId="6C02BFA0" w14:textId="7A7F72AB" w:rsidR="006C70B3" w:rsidRPr="008663FC" w:rsidRDefault="006C70B3" w:rsidP="0072376D">
      <w:pPr>
        <w:pStyle w:val="ECHRParaQuote"/>
        <w:keepNext/>
        <w:keepLines/>
        <w:rPr>
          <w:lang w:val="pl-PL"/>
        </w:rPr>
      </w:pPr>
      <w:r w:rsidRPr="008663FC">
        <w:rPr>
          <w:lang w:val="pl-PL"/>
        </w:rPr>
        <w:t>3.</w:t>
      </w:r>
      <w:r w:rsidR="00510FFD">
        <w:rPr>
          <w:lang w:val="pl-PL"/>
        </w:rPr>
        <w:t xml:space="preserve"> </w:t>
      </w:r>
      <w:r w:rsidRPr="008663FC">
        <w:rPr>
          <w:lang w:val="pl-PL"/>
        </w:rPr>
        <w:t>zaskarżona decyzja ma dla strony poważne konsekwencje</w:t>
      </w:r>
      <w:r w:rsidR="00A954B4">
        <w:rPr>
          <w:lang w:val="pl-PL"/>
        </w:rPr>
        <w:t>;</w:t>
      </w:r>
    </w:p>
    <w:p w14:paraId="407E4A72" w14:textId="77777777" w:rsidR="0093001C" w:rsidRPr="008663FC" w:rsidRDefault="007247CD" w:rsidP="0072376D">
      <w:pPr>
        <w:pStyle w:val="ECHRParaQuote"/>
        <w:keepNext/>
        <w:keepLines/>
        <w:rPr>
          <w:lang w:val="pl-PL"/>
        </w:rPr>
      </w:pPr>
      <w:r w:rsidRPr="008663FC">
        <w:rPr>
          <w:lang w:val="pl-PL"/>
        </w:rPr>
        <w:t>...”</w:t>
      </w:r>
    </w:p>
    <w:p w14:paraId="47FAD1DA" w14:textId="77777777" w:rsidR="004E0C08" w:rsidRPr="008663FC" w:rsidRDefault="004E0C08" w:rsidP="0072376D">
      <w:pPr>
        <w:pStyle w:val="ECHRPara"/>
        <w:rPr>
          <w:lang w:val="pl-PL"/>
        </w:rPr>
      </w:pPr>
      <w:r w:rsidRPr="008663FC">
        <w:rPr>
          <w:lang w:val="pl-PL"/>
        </w:rPr>
        <w:t>Artykuł 85 USA brzmi:</w:t>
      </w:r>
    </w:p>
    <w:p w14:paraId="7C517B3F" w14:textId="065F1052" w:rsidR="00625DB3" w:rsidRPr="008663FC" w:rsidRDefault="00625DB3" w:rsidP="0072376D">
      <w:pPr>
        <w:pStyle w:val="ECHRParaQuote"/>
        <w:rPr>
          <w:lang w:val="pl-PL"/>
        </w:rPr>
      </w:pPr>
      <w:r w:rsidRPr="008663FC">
        <w:rPr>
          <w:lang w:val="pl-PL"/>
        </w:rPr>
        <w:lastRenderedPageBreak/>
        <w:t xml:space="preserve">„1) </w:t>
      </w:r>
      <w:r w:rsidR="00A954B4">
        <w:rPr>
          <w:lang w:val="pl-PL"/>
        </w:rPr>
        <w:t>Kasację</w:t>
      </w:r>
      <w:r w:rsidRPr="008663FC">
        <w:rPr>
          <w:lang w:val="pl-PL"/>
        </w:rPr>
        <w:t xml:space="preserve"> można złożyć:</w:t>
      </w:r>
    </w:p>
    <w:p w14:paraId="5CF22508" w14:textId="0801D98F" w:rsidR="00625DB3" w:rsidRPr="008663FC" w:rsidRDefault="00625DB3" w:rsidP="0072376D">
      <w:pPr>
        <w:pStyle w:val="ECHRParaQuote"/>
        <w:rPr>
          <w:lang w:val="pl-PL"/>
        </w:rPr>
      </w:pPr>
      <w:r w:rsidRPr="008663FC">
        <w:rPr>
          <w:lang w:val="pl-PL"/>
        </w:rPr>
        <w:t>1.</w:t>
      </w:r>
      <w:r w:rsidR="00510FFD">
        <w:rPr>
          <w:lang w:val="pl-PL"/>
        </w:rPr>
        <w:t xml:space="preserve"> </w:t>
      </w:r>
      <w:r w:rsidRPr="008663FC">
        <w:rPr>
          <w:lang w:val="pl-PL"/>
        </w:rPr>
        <w:t>z powodu istotnego naruszenia procedury rozstrzygania sporów administracyjnych opisanej w ust. 2 i 3 art. 75 niniejszej ustawy;</w:t>
      </w:r>
    </w:p>
    <w:p w14:paraId="50839B91" w14:textId="4A03E62A" w:rsidR="00625DB3" w:rsidRPr="008663FC" w:rsidRDefault="00625DB3" w:rsidP="0072376D">
      <w:pPr>
        <w:pStyle w:val="ECHRParaQuote"/>
        <w:rPr>
          <w:lang w:val="pl-PL"/>
        </w:rPr>
      </w:pPr>
      <w:r w:rsidRPr="008663FC">
        <w:rPr>
          <w:lang w:val="pl-PL"/>
        </w:rPr>
        <w:t>2.</w:t>
      </w:r>
      <w:r w:rsidR="00510FFD">
        <w:rPr>
          <w:lang w:val="pl-PL"/>
        </w:rPr>
        <w:t xml:space="preserve"> </w:t>
      </w:r>
      <w:r w:rsidRPr="008663FC">
        <w:rPr>
          <w:lang w:val="pl-PL"/>
        </w:rPr>
        <w:t>z powodu błędów w przepisach prawa materialnego.</w:t>
      </w:r>
    </w:p>
    <w:p w14:paraId="63F3E696" w14:textId="12A1C156" w:rsidR="00F9671B" w:rsidRPr="008663FC" w:rsidRDefault="00625DB3" w:rsidP="0072376D">
      <w:pPr>
        <w:pStyle w:val="ECHRParaQuote"/>
        <w:rPr>
          <w:lang w:val="pl-PL"/>
        </w:rPr>
      </w:pPr>
      <w:r w:rsidRPr="008663FC">
        <w:rPr>
          <w:lang w:val="pl-PL"/>
        </w:rPr>
        <w:t xml:space="preserve">2) Nie można wnieść </w:t>
      </w:r>
      <w:r w:rsidR="00A954B4">
        <w:rPr>
          <w:lang w:val="pl-PL"/>
        </w:rPr>
        <w:t xml:space="preserve">kasacji </w:t>
      </w:r>
      <w:r w:rsidRPr="008663FC">
        <w:rPr>
          <w:lang w:val="pl-PL"/>
        </w:rPr>
        <w:t>z powodu błędnego lub niepełnego ustalenia stanu faktycznego sprawy.</w:t>
      </w:r>
    </w:p>
    <w:p w14:paraId="1EE1EB53" w14:textId="77777777" w:rsidR="00625DB3" w:rsidRPr="008663FC" w:rsidRDefault="007247CD" w:rsidP="0072376D">
      <w:pPr>
        <w:pStyle w:val="ECHRParaQuote"/>
        <w:rPr>
          <w:lang w:val="pl-PL"/>
        </w:rPr>
      </w:pPr>
      <w:r w:rsidRPr="008663FC">
        <w:rPr>
          <w:lang w:val="pl-PL"/>
        </w:rPr>
        <w:t>...”</w:t>
      </w:r>
    </w:p>
    <w:p w14:paraId="5C0D9908" w14:textId="190DCEF9" w:rsidR="00AA0E73" w:rsidRPr="008663FC" w:rsidRDefault="00A53CEB" w:rsidP="0072376D">
      <w:pPr>
        <w:pStyle w:val="ECHRPara"/>
        <w:rPr>
          <w:lang w:val="pl-PL"/>
        </w:rPr>
      </w:pPr>
      <w:bookmarkStart w:id="13" w:name="ADA_facts"/>
      <w:r w:rsidRPr="008663FC">
        <w:rPr>
          <w:noProof/>
          <w:lang w:val="pl-PL"/>
        </w:rPr>
        <w:t>21</w:t>
      </w:r>
      <w:bookmarkEnd w:id="13"/>
      <w:r w:rsidRPr="008663FC">
        <w:rPr>
          <w:lang w:val="pl-PL"/>
        </w:rPr>
        <w:t>.</w:t>
      </w:r>
      <w:r w:rsidR="00510FFD">
        <w:rPr>
          <w:lang w:val="pl-PL"/>
        </w:rPr>
        <w:t xml:space="preserve"> </w:t>
      </w:r>
      <w:r w:rsidRPr="008663FC">
        <w:rPr>
          <w:lang w:val="pl-PL"/>
        </w:rPr>
        <w:t>Artykuł 20 USA brzmi:</w:t>
      </w:r>
    </w:p>
    <w:p w14:paraId="10B4A57F" w14:textId="77777777" w:rsidR="00AA0E73" w:rsidRPr="008663FC" w:rsidRDefault="00AA0E73" w:rsidP="0072376D">
      <w:pPr>
        <w:pStyle w:val="ECHRParaQuote"/>
        <w:rPr>
          <w:lang w:val="pl-PL"/>
        </w:rPr>
      </w:pPr>
      <w:r w:rsidRPr="008663FC">
        <w:rPr>
          <w:lang w:val="pl-PL"/>
        </w:rPr>
        <w:t>„1) Sąd administracyjny ocenia lub bada okoliczności faktyczne w zakresie przedstawionym przez skarżącego.</w:t>
      </w:r>
    </w:p>
    <w:p w14:paraId="7D3DA797" w14:textId="24FE9AA8" w:rsidR="00AA0E73" w:rsidRPr="008663FC" w:rsidRDefault="00AA0E73" w:rsidP="0072376D">
      <w:pPr>
        <w:pStyle w:val="ECHRParaQuote"/>
        <w:rPr>
          <w:lang w:val="pl-PL"/>
        </w:rPr>
      </w:pPr>
      <w:r w:rsidRPr="008663FC">
        <w:rPr>
          <w:lang w:val="pl-PL"/>
        </w:rPr>
        <w:t>2) Sąd administracyjny nie jest zobowiązany do badania wyłącznie dowodów przedstawionych przez strony postępowania i ma prawo badać wszystkie dowody, o</w:t>
      </w:r>
      <w:r w:rsidR="00D65F50">
        <w:rPr>
          <w:lang w:val="pl-PL"/>
        </w:rPr>
        <w:t> </w:t>
      </w:r>
      <w:r w:rsidRPr="008663FC">
        <w:rPr>
          <w:lang w:val="pl-PL"/>
        </w:rPr>
        <w:t>ile</w:t>
      </w:r>
      <w:r w:rsidR="00241BF6">
        <w:rPr>
          <w:lang w:val="pl-PL"/>
        </w:rPr>
        <w:t> </w:t>
      </w:r>
      <w:r w:rsidRPr="008663FC">
        <w:rPr>
          <w:lang w:val="pl-PL"/>
        </w:rPr>
        <w:t xml:space="preserve">są one istotne dla wyjaśnienia sprawy i mogą przyczynić się do wydania </w:t>
      </w:r>
      <w:r w:rsidR="001472EF">
        <w:rPr>
          <w:lang w:val="pl-PL"/>
        </w:rPr>
        <w:t xml:space="preserve">zgodnej z prawem i prawidłowej </w:t>
      </w:r>
      <w:r w:rsidRPr="008663FC">
        <w:rPr>
          <w:lang w:val="pl-PL"/>
        </w:rPr>
        <w:t>decyzji.</w:t>
      </w:r>
    </w:p>
    <w:p w14:paraId="41533D5F" w14:textId="77777777" w:rsidR="00AA0E73" w:rsidRPr="008663FC" w:rsidRDefault="007247CD" w:rsidP="0072376D">
      <w:pPr>
        <w:pStyle w:val="ECHRParaQuote"/>
        <w:rPr>
          <w:lang w:val="pl-PL"/>
        </w:rPr>
      </w:pPr>
      <w:r w:rsidRPr="008663FC">
        <w:rPr>
          <w:lang w:val="pl-PL"/>
        </w:rPr>
        <w:t>...”</w:t>
      </w:r>
    </w:p>
    <w:p w14:paraId="3166468C" w14:textId="0364D841" w:rsidR="00716DEF" w:rsidRPr="008663FC" w:rsidRDefault="00A53CEB" w:rsidP="0072376D">
      <w:pPr>
        <w:pStyle w:val="ECHRPara"/>
        <w:rPr>
          <w:lang w:val="pl-PL"/>
        </w:rPr>
      </w:pPr>
      <w:bookmarkStart w:id="14" w:name="ADA_hearing"/>
      <w:r w:rsidRPr="008663FC">
        <w:rPr>
          <w:noProof/>
          <w:lang w:val="pl-PL"/>
        </w:rPr>
        <w:t>22</w:t>
      </w:r>
      <w:bookmarkEnd w:id="14"/>
      <w:r w:rsidRPr="008663FC">
        <w:rPr>
          <w:lang w:val="pl-PL"/>
        </w:rPr>
        <w:t>.</w:t>
      </w:r>
      <w:r w:rsidR="00510FFD">
        <w:rPr>
          <w:lang w:val="pl-PL"/>
        </w:rPr>
        <w:t xml:space="preserve"> </w:t>
      </w:r>
      <w:r w:rsidRPr="008663FC">
        <w:rPr>
          <w:lang w:val="pl-PL"/>
        </w:rPr>
        <w:t>Artykuł 59 USA brzmi:</w:t>
      </w:r>
    </w:p>
    <w:p w14:paraId="3BAD24F4" w14:textId="30857309" w:rsidR="00716DEF" w:rsidRPr="008663FC" w:rsidRDefault="00716DEF" w:rsidP="0072376D">
      <w:pPr>
        <w:pStyle w:val="ECHRParaQuote"/>
        <w:rPr>
          <w:lang w:val="pl-PL"/>
        </w:rPr>
      </w:pPr>
      <w:r w:rsidRPr="008663FC">
        <w:rPr>
          <w:lang w:val="pl-PL"/>
        </w:rPr>
        <w:t>„1)</w:t>
      </w:r>
      <w:r w:rsidR="00510FFD">
        <w:rPr>
          <w:lang w:val="pl-PL"/>
        </w:rPr>
        <w:t xml:space="preserve"> </w:t>
      </w:r>
      <w:r w:rsidRPr="008663FC">
        <w:rPr>
          <w:lang w:val="pl-PL"/>
        </w:rPr>
        <w:t>Sąd administracyjny może wydać decyzję bez przeprowadzania rozprawy, jeżeli okoliczności faktyczne, stanowiące podstawę wydania decyzji administracyjnej, są</w:t>
      </w:r>
      <w:r w:rsidR="00D65F50">
        <w:rPr>
          <w:lang w:val="pl-PL"/>
        </w:rPr>
        <w:t> </w:t>
      </w:r>
      <w:r w:rsidRPr="008663FC">
        <w:rPr>
          <w:lang w:val="pl-PL"/>
        </w:rPr>
        <w:t>bezsporne.</w:t>
      </w:r>
    </w:p>
    <w:p w14:paraId="7C6F720A" w14:textId="0A9AECDA" w:rsidR="00716DEF" w:rsidRPr="008663FC" w:rsidRDefault="00716DEF" w:rsidP="0072376D">
      <w:pPr>
        <w:pStyle w:val="ECHRParaQuote"/>
        <w:rPr>
          <w:lang w:val="pl-PL"/>
        </w:rPr>
      </w:pPr>
      <w:r w:rsidRPr="008663FC">
        <w:rPr>
          <w:lang w:val="pl-PL"/>
        </w:rPr>
        <w:t>2)</w:t>
      </w:r>
      <w:r w:rsidR="00510FFD">
        <w:rPr>
          <w:lang w:val="pl-PL"/>
        </w:rPr>
        <w:t xml:space="preserve"> </w:t>
      </w:r>
      <w:r w:rsidRPr="008663FC">
        <w:rPr>
          <w:lang w:val="pl-PL"/>
        </w:rPr>
        <w:t>Niezależnie od przepisu ust. 1 powyżej, sąd może orzec również bez przeprowadzania rozprawy w następujących okolicznościach:</w:t>
      </w:r>
    </w:p>
    <w:p w14:paraId="5A76DBD2" w14:textId="77777777" w:rsidR="007247CD" w:rsidRPr="008663FC" w:rsidRDefault="002740B8" w:rsidP="0072376D">
      <w:pPr>
        <w:pStyle w:val="ECHRParaQuote"/>
        <w:rPr>
          <w:lang w:val="pl-PL"/>
        </w:rPr>
      </w:pPr>
      <w:r w:rsidRPr="008663FC">
        <w:rPr>
          <w:lang w:val="pl-PL"/>
        </w:rPr>
        <w:t>- jeżeli na podstawie skargi, zaskarżonego aktu prawnego i akt sprawy administracyjnej okaże się, że należy przychylić się do wniosku skarżącego;</w:t>
      </w:r>
    </w:p>
    <w:p w14:paraId="1CDC009A" w14:textId="77777777" w:rsidR="007247CD" w:rsidRPr="008663FC" w:rsidRDefault="002740B8" w:rsidP="0072376D">
      <w:pPr>
        <w:pStyle w:val="ECHRParaQuote"/>
        <w:rPr>
          <w:lang w:val="pl-PL"/>
        </w:rPr>
      </w:pPr>
      <w:r w:rsidRPr="008663FC">
        <w:rPr>
          <w:lang w:val="pl-PL"/>
        </w:rPr>
        <w:t>- jeżeli strony kwestionują okoliczności faktyczne, lecz nowe okoliczności faktyczne i dowody przedstawione przez strony w skardze przed sądem administracyjnym są niedopuszczalne (zgodnie z art. 52 USA) lub nie mają znaczenia dla decyzji;</w:t>
      </w:r>
    </w:p>
    <w:p w14:paraId="3F0FCA58" w14:textId="77777777" w:rsidR="00E50362" w:rsidRPr="008663FC" w:rsidRDefault="00E50362" w:rsidP="0072376D">
      <w:pPr>
        <w:pStyle w:val="ECHRParaQuote"/>
        <w:rPr>
          <w:lang w:val="pl-PL"/>
        </w:rPr>
      </w:pPr>
      <w:r w:rsidRPr="008663FC">
        <w:rPr>
          <w:lang w:val="pl-PL"/>
        </w:rPr>
        <w:t>- jeżeli sąd rozstrzygnął już spór między tymi samymi stronami na tej samej podstawie faktycznej i prawnej.</w:t>
      </w:r>
    </w:p>
    <w:p w14:paraId="5BD266DC" w14:textId="77777777" w:rsidR="00E50362" w:rsidRPr="008663FC" w:rsidRDefault="00E50362" w:rsidP="0072376D">
      <w:pPr>
        <w:pStyle w:val="ECHRParaQuote"/>
        <w:rPr>
          <w:lang w:val="pl-PL"/>
        </w:rPr>
      </w:pPr>
      <w:r w:rsidRPr="008663FC">
        <w:rPr>
          <w:lang w:val="pl-PL"/>
        </w:rPr>
        <w:t>3) Niezależnie od przepisów ust. 1 sąd rozstrzyga podczas rozprawy, jeżeli:</w:t>
      </w:r>
    </w:p>
    <w:p w14:paraId="31C0FE68" w14:textId="747D0CBB" w:rsidR="00E50362" w:rsidRPr="008663FC" w:rsidRDefault="00E50362" w:rsidP="0072376D">
      <w:pPr>
        <w:pStyle w:val="ECHRParaQuote"/>
        <w:rPr>
          <w:lang w:val="pl-PL"/>
        </w:rPr>
      </w:pPr>
      <w:r w:rsidRPr="008663FC">
        <w:rPr>
          <w:lang w:val="pl-PL"/>
        </w:rPr>
        <w:t>- [dotyczy ona] osoby, która powinna była uczestniczyć w postępowaniu administracyjnym jako strona lub osoba trzecia, pod warunkiem, że nie jest to</w:t>
      </w:r>
      <w:r w:rsidR="00D65F50">
        <w:rPr>
          <w:lang w:val="pl-PL"/>
        </w:rPr>
        <w:t> </w:t>
      </w:r>
      <w:r w:rsidRPr="008663FC">
        <w:rPr>
          <w:lang w:val="pl-PL"/>
        </w:rPr>
        <w:t>przypadek przewidziany w ust. 2 art. 229 ustawy o postępowaniu administracyjnym lub zasadniczo identycznym przepisem innej ustawy regulującej tryb wydawania aktu administracyjnego;</w:t>
      </w:r>
    </w:p>
    <w:p w14:paraId="53ECB89E" w14:textId="77777777" w:rsidR="00F62B9F" w:rsidRPr="008663FC" w:rsidRDefault="00F62B9F" w:rsidP="0072376D">
      <w:pPr>
        <w:pStyle w:val="ECHRParaQuote"/>
        <w:rPr>
          <w:lang w:val="pl-PL"/>
        </w:rPr>
      </w:pPr>
      <w:r w:rsidRPr="008663FC">
        <w:rPr>
          <w:lang w:val="pl-PL"/>
        </w:rPr>
        <w:t>- w postępowaniu administracyjnym strona nie była w stanie przedstawić okoliczności faktycznych mających znaczenie dla zaskarżonej decyzji.</w:t>
      </w:r>
    </w:p>
    <w:p w14:paraId="3B736143" w14:textId="77777777" w:rsidR="00F62B9F" w:rsidRPr="008663FC" w:rsidRDefault="007247CD" w:rsidP="0072376D">
      <w:pPr>
        <w:pStyle w:val="ECHRParaQuote"/>
        <w:rPr>
          <w:lang w:val="pl-PL"/>
        </w:rPr>
      </w:pPr>
      <w:r w:rsidRPr="008663FC">
        <w:rPr>
          <w:lang w:val="pl-PL"/>
        </w:rPr>
        <w:t>...”</w:t>
      </w:r>
    </w:p>
    <w:p w14:paraId="54671557" w14:textId="29445603" w:rsidR="00F62B9F" w:rsidRPr="008663FC" w:rsidRDefault="007A449B" w:rsidP="0072376D">
      <w:pPr>
        <w:pStyle w:val="ECHRPara"/>
        <w:keepNext/>
        <w:keepLines/>
        <w:rPr>
          <w:lang w:val="pl-PL"/>
        </w:rPr>
      </w:pPr>
      <w:bookmarkStart w:id="15" w:name="ADA_71_2"/>
      <w:r w:rsidRPr="008663FC">
        <w:rPr>
          <w:noProof/>
          <w:lang w:val="pl-PL"/>
        </w:rPr>
        <w:lastRenderedPageBreak/>
        <w:t>23</w:t>
      </w:r>
      <w:bookmarkEnd w:id="15"/>
      <w:r w:rsidRPr="008663FC">
        <w:rPr>
          <w:lang w:val="pl-PL"/>
        </w:rPr>
        <w:t>.</w:t>
      </w:r>
      <w:r w:rsidR="00510FFD">
        <w:rPr>
          <w:lang w:val="pl-PL"/>
        </w:rPr>
        <w:t xml:space="preserve"> </w:t>
      </w:r>
      <w:r w:rsidRPr="008663FC">
        <w:rPr>
          <w:lang w:val="pl-PL"/>
        </w:rPr>
        <w:t>Artykuł 71 USA brzmi:</w:t>
      </w:r>
    </w:p>
    <w:p w14:paraId="11AA87D2" w14:textId="77777777" w:rsidR="00F62B9F" w:rsidRPr="008663FC" w:rsidRDefault="00F62B9F" w:rsidP="0072376D">
      <w:pPr>
        <w:pStyle w:val="ECHRParaQuote"/>
        <w:keepNext/>
        <w:keepLines/>
        <w:rPr>
          <w:lang w:val="pl-PL"/>
        </w:rPr>
      </w:pPr>
      <w:r w:rsidRPr="008663FC">
        <w:rPr>
          <w:lang w:val="pl-PL"/>
        </w:rPr>
        <w:t>„ …</w:t>
      </w:r>
    </w:p>
    <w:p w14:paraId="56293544" w14:textId="4BEA8A42" w:rsidR="00F62B9F" w:rsidRPr="008663FC" w:rsidRDefault="00F62B9F" w:rsidP="0072376D">
      <w:pPr>
        <w:pStyle w:val="ECHRParaQuote"/>
        <w:keepNext/>
        <w:keepLines/>
        <w:rPr>
          <w:lang w:val="pl-PL"/>
        </w:rPr>
      </w:pPr>
      <w:r w:rsidRPr="008663FC">
        <w:rPr>
          <w:lang w:val="pl-PL"/>
        </w:rPr>
        <w:t>2) Sąd administracyjny nie ma obowiązku uzasadnienia decyzji, jeżeli zgadza się z</w:t>
      </w:r>
      <w:r w:rsidR="00D65F50">
        <w:rPr>
          <w:lang w:val="pl-PL"/>
        </w:rPr>
        <w:t> </w:t>
      </w:r>
      <w:r w:rsidRPr="008663FC">
        <w:rPr>
          <w:lang w:val="pl-PL"/>
        </w:rPr>
        <w:t>uzasadnieniem zaskarżonej decyzji administracyjnej i stwierdza to w wydanym wyroku.</w:t>
      </w:r>
    </w:p>
    <w:p w14:paraId="05ED5177" w14:textId="77777777" w:rsidR="00F62B9F" w:rsidRPr="008663FC" w:rsidRDefault="007247CD" w:rsidP="0072376D">
      <w:pPr>
        <w:pStyle w:val="ECHRParaQuote"/>
        <w:keepNext/>
        <w:keepLines/>
        <w:rPr>
          <w:lang w:val="pl-PL"/>
        </w:rPr>
      </w:pPr>
      <w:r w:rsidRPr="008663FC">
        <w:rPr>
          <w:lang w:val="pl-PL"/>
        </w:rPr>
        <w:t>...”</w:t>
      </w:r>
    </w:p>
    <w:p w14:paraId="7C5AFAF3" w14:textId="70F1BF69" w:rsidR="00845B9F" w:rsidRPr="008663FC" w:rsidRDefault="00845B9F" w:rsidP="0072376D">
      <w:pPr>
        <w:pStyle w:val="ECHRPara"/>
        <w:rPr>
          <w:lang w:val="pl-PL"/>
        </w:rPr>
      </w:pPr>
      <w:bookmarkStart w:id="16" w:name="CC_jurisdiction"/>
      <w:r w:rsidRPr="008663FC">
        <w:rPr>
          <w:noProof/>
          <w:lang w:val="pl-PL"/>
        </w:rPr>
        <w:t>24</w:t>
      </w:r>
      <w:bookmarkEnd w:id="16"/>
      <w:r w:rsidRPr="008663FC">
        <w:rPr>
          <w:lang w:val="pl-PL"/>
        </w:rPr>
        <w:t>.</w:t>
      </w:r>
      <w:r w:rsidR="00510FFD">
        <w:rPr>
          <w:lang w:val="pl-PL"/>
        </w:rPr>
        <w:t xml:space="preserve"> </w:t>
      </w:r>
      <w:r w:rsidRPr="008663FC">
        <w:rPr>
          <w:lang w:val="pl-PL"/>
        </w:rPr>
        <w:t xml:space="preserve">Artykuł </w:t>
      </w:r>
      <w:proofErr w:type="spellStart"/>
      <w:r w:rsidRPr="008663FC">
        <w:rPr>
          <w:lang w:val="pl-PL"/>
        </w:rPr>
        <w:t>55b</w:t>
      </w:r>
      <w:proofErr w:type="spellEnd"/>
      <w:r w:rsidRPr="008663FC">
        <w:rPr>
          <w:lang w:val="pl-PL"/>
        </w:rPr>
        <w:t xml:space="preserve"> ust. 2 ustawy o Trybunale Konstytucyjnym brzmi następująco:</w:t>
      </w:r>
    </w:p>
    <w:p w14:paraId="495A295F" w14:textId="77777777" w:rsidR="002D3BAA" w:rsidRPr="008663FC" w:rsidRDefault="002D3BAA" w:rsidP="0072376D">
      <w:pPr>
        <w:pStyle w:val="ECHRParaQuote"/>
        <w:rPr>
          <w:lang w:val="pl-PL"/>
        </w:rPr>
      </w:pPr>
      <w:r w:rsidRPr="008663FC">
        <w:rPr>
          <w:lang w:val="pl-PL"/>
        </w:rPr>
        <w:t>„2) Skarga konstytucyjna zostaje przyjęta do rozpoznania:</w:t>
      </w:r>
    </w:p>
    <w:p w14:paraId="22F20D56" w14:textId="77777777" w:rsidR="002D3BAA" w:rsidRPr="008663FC" w:rsidRDefault="002D3BAA" w:rsidP="0072376D">
      <w:pPr>
        <w:pStyle w:val="ECHRParaQuote"/>
        <w:rPr>
          <w:lang w:val="pl-PL"/>
        </w:rPr>
      </w:pPr>
      <w:r w:rsidRPr="008663FC">
        <w:rPr>
          <w:lang w:val="pl-PL"/>
        </w:rPr>
        <w:t>- w przypadku naruszenia praw człowieka lub podstawowych wolności, które ma poważne konsekwencje dla strony skarżącej,</w:t>
      </w:r>
    </w:p>
    <w:p w14:paraId="3AF65E54" w14:textId="77777777" w:rsidR="002D3BAA" w:rsidRPr="008663FC" w:rsidRDefault="002D3BAA" w:rsidP="0072376D">
      <w:pPr>
        <w:pStyle w:val="ECHRParaQuote"/>
        <w:rPr>
          <w:lang w:val="pl-PL"/>
        </w:rPr>
      </w:pPr>
      <w:r w:rsidRPr="008663FC">
        <w:rPr>
          <w:lang w:val="pl-PL"/>
        </w:rPr>
        <w:t>lub</w:t>
      </w:r>
    </w:p>
    <w:p w14:paraId="188D9E4D" w14:textId="77777777" w:rsidR="004D329B" w:rsidRPr="008663FC" w:rsidRDefault="002D3BAA" w:rsidP="0072376D">
      <w:pPr>
        <w:pStyle w:val="ECHRParaQuote"/>
        <w:rPr>
          <w:lang w:val="pl-PL"/>
        </w:rPr>
      </w:pPr>
      <w:r w:rsidRPr="008663FC">
        <w:rPr>
          <w:lang w:val="pl-PL"/>
        </w:rPr>
        <w:t>- jeżeli dotyczy kwestii konstytucyjnej o znaczeniu szerszym niż znaczenie jedynie dla danej sprawy.”</w:t>
      </w:r>
    </w:p>
    <w:p w14:paraId="0BFEA507" w14:textId="77777777" w:rsidR="00014566" w:rsidRPr="008663FC" w:rsidRDefault="00014566" w:rsidP="0072376D">
      <w:pPr>
        <w:pStyle w:val="ECHRTitle1"/>
        <w:rPr>
          <w:lang w:val="pl-PL"/>
        </w:rPr>
      </w:pPr>
      <w:r w:rsidRPr="008663FC">
        <w:rPr>
          <w:lang w:val="pl-PL"/>
        </w:rPr>
        <w:t>PRAWO</w:t>
      </w:r>
    </w:p>
    <w:p w14:paraId="430DA1BC" w14:textId="35A5C3AF" w:rsidR="00014566" w:rsidRPr="008663FC" w:rsidRDefault="00014566" w:rsidP="0072376D">
      <w:pPr>
        <w:pStyle w:val="ECHRHeading1"/>
        <w:rPr>
          <w:lang w:val="pl-PL"/>
        </w:rPr>
      </w:pPr>
      <w:r w:rsidRPr="008663FC">
        <w:rPr>
          <w:bCs w:val="0"/>
          <w:lang w:val="pl-PL"/>
        </w:rPr>
        <w:t>I.</w:t>
      </w:r>
      <w:r w:rsidR="00510FFD">
        <w:rPr>
          <w:bCs w:val="0"/>
          <w:lang w:val="pl-PL"/>
        </w:rPr>
        <w:t xml:space="preserve"> </w:t>
      </w:r>
      <w:r w:rsidR="00366183">
        <w:rPr>
          <w:bCs w:val="0"/>
          <w:lang w:val="pl-PL"/>
        </w:rPr>
        <w:t>ZARZUC</w:t>
      </w:r>
      <w:r w:rsidRPr="008663FC">
        <w:rPr>
          <w:bCs w:val="0"/>
          <w:lang w:val="pl-PL"/>
        </w:rPr>
        <w:t xml:space="preserve">ANE NARUSZENIE </w:t>
      </w:r>
      <w:r w:rsidR="009C0637">
        <w:rPr>
          <w:bCs w:val="0"/>
          <w:lang w:val="pl-PL"/>
        </w:rPr>
        <w:t>ART.</w:t>
      </w:r>
      <w:r w:rsidRPr="008663FC">
        <w:rPr>
          <w:bCs w:val="0"/>
          <w:lang w:val="pl-PL"/>
        </w:rPr>
        <w:t xml:space="preserve"> 6 UST. 1 KONWENCJI</w:t>
      </w:r>
    </w:p>
    <w:p w14:paraId="7D0278DE" w14:textId="23D5A9FB" w:rsidR="002D3861" w:rsidRPr="008663FC" w:rsidRDefault="00181AB9" w:rsidP="0072376D">
      <w:pPr>
        <w:pStyle w:val="ECHRPara"/>
        <w:rPr>
          <w:lang w:val="pl-PL"/>
        </w:rPr>
      </w:pPr>
      <w:r w:rsidRPr="008663FC">
        <w:rPr>
          <w:noProof/>
          <w:lang w:val="pl-PL"/>
        </w:rPr>
        <w:t>25</w:t>
      </w:r>
      <w:r w:rsidRPr="008663FC">
        <w:rPr>
          <w:lang w:val="pl-PL"/>
        </w:rPr>
        <w:t>.</w:t>
      </w:r>
      <w:r w:rsidR="00510FFD">
        <w:rPr>
          <w:lang w:val="pl-PL"/>
        </w:rPr>
        <w:t xml:space="preserve"> </w:t>
      </w:r>
      <w:r w:rsidRPr="008663FC">
        <w:rPr>
          <w:lang w:val="pl-PL"/>
        </w:rPr>
        <w:t>Skarżący instytut podniósł zarzut naruszenia art. 6 ust. 1 Konwencji w</w:t>
      </w:r>
      <w:r w:rsidR="00241BF6">
        <w:rPr>
          <w:lang w:val="pl-PL"/>
        </w:rPr>
        <w:t> </w:t>
      </w:r>
      <w:r w:rsidRPr="008663FC">
        <w:rPr>
          <w:lang w:val="pl-PL"/>
        </w:rPr>
        <w:t>tym względzie, że na skutek braku przeprowadzenia rozprawy przed sądem administracyjnym oraz brak uzasadnienia decyzji tegoż sądu administracyjnego naruszone zostało jego prawo do rzetelnego procesu.</w:t>
      </w:r>
    </w:p>
    <w:p w14:paraId="62E3D91A" w14:textId="6EFE8198" w:rsidR="00014566" w:rsidRPr="008663FC" w:rsidRDefault="002D3861" w:rsidP="0072376D">
      <w:pPr>
        <w:pStyle w:val="ECHRPara"/>
        <w:rPr>
          <w:lang w:val="pl-PL"/>
        </w:rPr>
      </w:pPr>
      <w:r w:rsidRPr="008663FC">
        <w:rPr>
          <w:noProof/>
          <w:lang w:val="pl-PL"/>
        </w:rPr>
        <w:t>26</w:t>
      </w:r>
      <w:r w:rsidRPr="008663FC">
        <w:rPr>
          <w:lang w:val="pl-PL"/>
        </w:rPr>
        <w:t>.</w:t>
      </w:r>
      <w:r w:rsidR="00510FFD">
        <w:rPr>
          <w:lang w:val="pl-PL"/>
        </w:rPr>
        <w:t xml:space="preserve"> </w:t>
      </w:r>
      <w:r w:rsidRPr="008663FC">
        <w:rPr>
          <w:lang w:val="pl-PL"/>
        </w:rPr>
        <w:t>We właściwym zakresie art. 6 ust. 1 Konwencji stanowi, co</w:t>
      </w:r>
      <w:r w:rsidR="00D65F50">
        <w:rPr>
          <w:lang w:val="pl-PL"/>
        </w:rPr>
        <w:t> </w:t>
      </w:r>
      <w:r w:rsidRPr="008663FC">
        <w:rPr>
          <w:lang w:val="pl-PL"/>
        </w:rPr>
        <w:t>następuje:</w:t>
      </w:r>
    </w:p>
    <w:p w14:paraId="5A0CAF68" w14:textId="77777777" w:rsidR="00014566" w:rsidRPr="008663FC" w:rsidRDefault="00872192" w:rsidP="0072376D">
      <w:pPr>
        <w:pStyle w:val="ECHRParaQuote"/>
        <w:rPr>
          <w:lang w:val="pl-PL"/>
        </w:rPr>
      </w:pPr>
      <w:r w:rsidRPr="008663FC">
        <w:rPr>
          <w:lang w:val="pl-PL"/>
        </w:rPr>
        <w:t>„Każdy ma prawo do sprawiedliwego ... rozpatrzenia jego sprawy ... przez ... sąd ... przy rozstrzyganiu o jego prawach i obowiązkach o charakterze cywilnym ...”</w:t>
      </w:r>
    </w:p>
    <w:p w14:paraId="33B21760" w14:textId="44125920" w:rsidR="00014566" w:rsidRPr="008663FC" w:rsidRDefault="00014566" w:rsidP="0072376D">
      <w:pPr>
        <w:pStyle w:val="ECHRHeading2"/>
        <w:rPr>
          <w:lang w:val="pl-PL"/>
        </w:rPr>
      </w:pPr>
      <w:r w:rsidRPr="008663FC">
        <w:rPr>
          <w:lang w:val="pl-PL"/>
        </w:rPr>
        <w:t>A.</w:t>
      </w:r>
      <w:r w:rsidR="00510FFD">
        <w:rPr>
          <w:lang w:val="pl-PL"/>
        </w:rPr>
        <w:t xml:space="preserve"> </w:t>
      </w:r>
      <w:r w:rsidRPr="008663FC">
        <w:rPr>
          <w:lang w:val="pl-PL"/>
        </w:rPr>
        <w:t>Dopuszczalność skargi</w:t>
      </w:r>
    </w:p>
    <w:p w14:paraId="52379B9C" w14:textId="0EF62929" w:rsidR="00090D13" w:rsidRPr="008663FC" w:rsidRDefault="00090D13" w:rsidP="0072376D">
      <w:pPr>
        <w:pStyle w:val="ECHRPara"/>
        <w:rPr>
          <w:lang w:val="pl-PL"/>
        </w:rPr>
      </w:pPr>
      <w:r w:rsidRPr="008663FC">
        <w:rPr>
          <w:noProof/>
          <w:lang w:val="pl-PL"/>
        </w:rPr>
        <w:t>27</w:t>
      </w:r>
      <w:r w:rsidRPr="008663FC">
        <w:rPr>
          <w:lang w:val="pl-PL"/>
        </w:rPr>
        <w:t>.</w:t>
      </w:r>
      <w:r w:rsidR="00510FFD">
        <w:rPr>
          <w:lang w:val="pl-PL"/>
        </w:rPr>
        <w:t xml:space="preserve"> </w:t>
      </w:r>
      <w:r w:rsidR="00BD1837">
        <w:rPr>
          <w:lang w:val="pl-PL"/>
        </w:rPr>
        <w:t>Trybunał zauważa</w:t>
      </w:r>
      <w:r w:rsidRPr="008663FC">
        <w:rPr>
          <w:lang w:val="pl-PL"/>
        </w:rPr>
        <w:t xml:space="preserve">, że Rząd nie podniósł w swoich komentarzach zarzutu niedopuszczalności </w:t>
      </w:r>
      <w:r w:rsidR="00BD1837">
        <w:rPr>
          <w:lang w:val="pl-PL"/>
        </w:rPr>
        <w:t xml:space="preserve">z powodu </w:t>
      </w:r>
      <w:r w:rsidRPr="008663FC">
        <w:rPr>
          <w:lang w:val="pl-PL"/>
        </w:rPr>
        <w:t xml:space="preserve">niezgodności </w:t>
      </w:r>
      <w:proofErr w:type="spellStart"/>
      <w:r w:rsidR="00BD1837" w:rsidRPr="008663FC">
        <w:rPr>
          <w:i/>
          <w:iCs/>
          <w:lang w:val="pl-PL"/>
        </w:rPr>
        <w:t>ratione</w:t>
      </w:r>
      <w:proofErr w:type="spellEnd"/>
      <w:r w:rsidR="00BD1837" w:rsidRPr="008663FC">
        <w:rPr>
          <w:i/>
          <w:iCs/>
          <w:lang w:val="pl-PL"/>
        </w:rPr>
        <w:t xml:space="preserve"> </w:t>
      </w:r>
      <w:proofErr w:type="spellStart"/>
      <w:r w:rsidR="00BD1837" w:rsidRPr="008663FC">
        <w:rPr>
          <w:i/>
          <w:iCs/>
          <w:lang w:val="pl-PL"/>
        </w:rPr>
        <w:t>materiae</w:t>
      </w:r>
      <w:proofErr w:type="spellEnd"/>
      <w:r w:rsidR="00BD1837" w:rsidRPr="008663FC">
        <w:rPr>
          <w:lang w:val="pl-PL"/>
        </w:rPr>
        <w:t xml:space="preserve"> </w:t>
      </w:r>
      <w:r w:rsidRPr="008663FC">
        <w:rPr>
          <w:lang w:val="pl-PL"/>
        </w:rPr>
        <w:t>z</w:t>
      </w:r>
      <w:r w:rsidR="00D65F50">
        <w:rPr>
          <w:lang w:val="pl-PL"/>
        </w:rPr>
        <w:t> </w:t>
      </w:r>
      <w:r w:rsidRPr="008663FC">
        <w:rPr>
          <w:lang w:val="pl-PL"/>
        </w:rPr>
        <w:t>postanowieniami art. 6 ust. 1 Konwencji</w:t>
      </w:r>
      <w:r w:rsidRPr="008663FC">
        <w:rPr>
          <w:i/>
          <w:iCs/>
          <w:lang w:val="pl-PL"/>
        </w:rPr>
        <w:t>.</w:t>
      </w:r>
      <w:r w:rsidRPr="008663FC">
        <w:rPr>
          <w:lang w:val="pl-PL"/>
        </w:rPr>
        <w:t xml:space="preserve"> Jednakże, ponieważ jest to</w:t>
      </w:r>
      <w:r w:rsidR="00D65F50">
        <w:rPr>
          <w:lang w:val="pl-PL"/>
        </w:rPr>
        <w:t> </w:t>
      </w:r>
      <w:r w:rsidRPr="008663FC">
        <w:rPr>
          <w:lang w:val="pl-PL"/>
        </w:rPr>
        <w:t xml:space="preserve">kwestia </w:t>
      </w:r>
      <w:r w:rsidR="00BD1837">
        <w:rPr>
          <w:lang w:val="pl-PL"/>
        </w:rPr>
        <w:t xml:space="preserve">dotycząca </w:t>
      </w:r>
      <w:r w:rsidRPr="008663FC">
        <w:rPr>
          <w:lang w:val="pl-PL"/>
        </w:rPr>
        <w:t>właściwości Trybunału, Trybunał może zbadać ją z</w:t>
      </w:r>
      <w:r w:rsidR="00D65F50">
        <w:rPr>
          <w:lang w:val="pl-PL"/>
        </w:rPr>
        <w:t> </w:t>
      </w:r>
      <w:r w:rsidRPr="008663FC">
        <w:rPr>
          <w:lang w:val="pl-PL"/>
        </w:rPr>
        <w:t xml:space="preserve">własnej inicjatywy (zob. </w:t>
      </w:r>
      <w:proofErr w:type="spellStart"/>
      <w:r w:rsidRPr="008663FC">
        <w:rPr>
          <w:i/>
          <w:iCs/>
          <w:lang w:val="pl-PL"/>
        </w:rPr>
        <w:t>Blečić</w:t>
      </w:r>
      <w:proofErr w:type="spellEnd"/>
      <w:r w:rsidRPr="008663FC">
        <w:rPr>
          <w:i/>
          <w:iCs/>
          <w:lang w:val="pl-PL"/>
        </w:rPr>
        <w:t xml:space="preserve"> przeciwko Chorwacji</w:t>
      </w:r>
      <w:r w:rsidRPr="008663FC">
        <w:rPr>
          <w:lang w:val="pl-PL"/>
        </w:rPr>
        <w:t xml:space="preserve"> [</w:t>
      </w:r>
      <w:proofErr w:type="spellStart"/>
      <w:r w:rsidRPr="008663FC">
        <w:rPr>
          <w:lang w:val="pl-PL"/>
        </w:rPr>
        <w:t>WI</w:t>
      </w:r>
      <w:proofErr w:type="spellEnd"/>
      <w:r w:rsidRPr="008663FC">
        <w:rPr>
          <w:lang w:val="pl-PL"/>
        </w:rPr>
        <w:t>], nr 59532/00, §</w:t>
      </w:r>
      <w:r w:rsidR="00D65F50">
        <w:rPr>
          <w:lang w:val="pl-PL"/>
        </w:rPr>
        <w:t> </w:t>
      </w:r>
      <w:r w:rsidRPr="008663FC">
        <w:rPr>
          <w:lang w:val="pl-PL"/>
        </w:rPr>
        <w:t xml:space="preserve">67, </w:t>
      </w:r>
      <w:r w:rsidR="00366183">
        <w:rPr>
          <w:lang w:val="pl-PL"/>
        </w:rPr>
        <w:t>ETPC</w:t>
      </w:r>
      <w:r w:rsidRPr="008663FC">
        <w:rPr>
          <w:lang w:val="pl-PL"/>
        </w:rPr>
        <w:t xml:space="preserve"> 2006 III).</w:t>
      </w:r>
    </w:p>
    <w:p w14:paraId="3A59926E" w14:textId="41D85E6A" w:rsidR="00090D13" w:rsidRPr="008663FC" w:rsidRDefault="00090D13" w:rsidP="0072376D">
      <w:pPr>
        <w:pStyle w:val="ECHRPara"/>
        <w:rPr>
          <w:lang w:val="pl-PL"/>
        </w:rPr>
      </w:pPr>
      <w:r w:rsidRPr="008663FC">
        <w:rPr>
          <w:noProof/>
          <w:lang w:val="pl-PL"/>
        </w:rPr>
        <w:t>28</w:t>
      </w:r>
      <w:r w:rsidRPr="008663FC">
        <w:rPr>
          <w:lang w:val="pl-PL"/>
        </w:rPr>
        <w:t>.</w:t>
      </w:r>
      <w:r w:rsidR="00510FFD">
        <w:rPr>
          <w:lang w:val="pl-PL"/>
        </w:rPr>
        <w:t xml:space="preserve"> </w:t>
      </w:r>
      <w:r w:rsidRPr="008663FC">
        <w:rPr>
          <w:lang w:val="pl-PL"/>
        </w:rPr>
        <w:t xml:space="preserve">W tym względzie Trybunał zauważa, że skarżący instytut przedstawił ofertę dotyczącą badań naukowych w następstwie przetargu ogłoszonego przez Rząd (zob. par. </w:t>
      </w:r>
      <w:r w:rsidRPr="008663FC">
        <w:rPr>
          <w:noProof/>
          <w:lang w:val="pl-PL"/>
        </w:rPr>
        <w:t>6</w:t>
      </w:r>
      <w:r w:rsidRPr="008663FC">
        <w:rPr>
          <w:lang w:val="pl-PL"/>
        </w:rPr>
        <w:t xml:space="preserve"> powyżej). O ile prawdą jest, że skarżącemu instytutowi nie przysługiwało prawo do otrzymania kwoty pieniężnej oferowanej przez Rząd i że stosując Zasady Oceny Jakości i Finansowania </w:t>
      </w:r>
      <w:r w:rsidRPr="008663FC">
        <w:rPr>
          <w:lang w:val="pl-PL"/>
        </w:rPr>
        <w:lastRenderedPageBreak/>
        <w:t xml:space="preserve">Programów Publicznych Organizacji Badawczych (zob. par. </w:t>
      </w:r>
      <w:r w:rsidRPr="008663FC">
        <w:rPr>
          <w:noProof/>
          <w:lang w:val="pl-PL"/>
        </w:rPr>
        <w:t>6</w:t>
      </w:r>
      <w:r w:rsidRPr="008663FC">
        <w:rPr>
          <w:lang w:val="pl-PL"/>
        </w:rPr>
        <w:t xml:space="preserve"> powyżej) w</w:t>
      </w:r>
      <w:r w:rsidR="00D65F50">
        <w:rPr>
          <w:lang w:val="pl-PL"/>
        </w:rPr>
        <w:t> </w:t>
      </w:r>
      <w:r w:rsidRPr="008663FC">
        <w:rPr>
          <w:lang w:val="pl-PL"/>
        </w:rPr>
        <w:t>celu ustalenia, który program badań naukowych był najlepszy, władze krajowe dysponowały pewną swobodą uznania, strony nie kwestionują tego, że uczestnikom przetargu przysługiwało prawo do zgodnej z prawem procedury badania ich ofert. Trybunał przypom</w:t>
      </w:r>
      <w:r w:rsidR="00BD1837">
        <w:rPr>
          <w:lang w:val="pl-PL"/>
        </w:rPr>
        <w:t>ina</w:t>
      </w:r>
      <w:r w:rsidRPr="008663FC">
        <w:rPr>
          <w:lang w:val="pl-PL"/>
        </w:rPr>
        <w:t xml:space="preserve"> ponadto, że w swoim wyroku w sprawie </w:t>
      </w:r>
      <w:proofErr w:type="spellStart"/>
      <w:r w:rsidRPr="008663FC">
        <w:rPr>
          <w:i/>
          <w:iCs/>
          <w:lang w:val="pl-PL"/>
        </w:rPr>
        <w:t>Regner</w:t>
      </w:r>
      <w:proofErr w:type="spellEnd"/>
      <w:r w:rsidRPr="008663FC">
        <w:rPr>
          <w:i/>
          <w:iCs/>
          <w:lang w:val="pl-PL"/>
        </w:rPr>
        <w:t xml:space="preserve"> przeciwko Republice Czeskiej</w:t>
      </w:r>
      <w:r w:rsidRPr="008663FC">
        <w:rPr>
          <w:lang w:val="pl-PL"/>
        </w:rPr>
        <w:t xml:space="preserve"> ([</w:t>
      </w:r>
      <w:proofErr w:type="spellStart"/>
      <w:r w:rsidRPr="008663FC">
        <w:rPr>
          <w:lang w:val="pl-PL"/>
        </w:rPr>
        <w:t>WI</w:t>
      </w:r>
      <w:proofErr w:type="spellEnd"/>
      <w:r w:rsidRPr="008663FC">
        <w:rPr>
          <w:lang w:val="pl-PL"/>
        </w:rPr>
        <w:t>], nr</w:t>
      </w:r>
      <w:r w:rsidR="00D65F50">
        <w:rPr>
          <w:lang w:val="pl-PL"/>
        </w:rPr>
        <w:t> </w:t>
      </w:r>
      <w:r w:rsidRPr="008663FC">
        <w:rPr>
          <w:lang w:val="pl-PL"/>
        </w:rPr>
        <w:t xml:space="preserve">35289/11, </w:t>
      </w:r>
      <w:r w:rsidR="00366183">
        <w:rPr>
          <w:lang w:val="pl-PL"/>
        </w:rPr>
        <w:t>ETPC</w:t>
      </w:r>
      <w:r w:rsidRPr="008663FC">
        <w:rPr>
          <w:lang w:val="pl-PL"/>
        </w:rPr>
        <w:t xml:space="preserve"> 2017 r. (</w:t>
      </w:r>
      <w:r w:rsidR="00022925">
        <w:rPr>
          <w:lang w:val="pl-PL"/>
        </w:rPr>
        <w:t>fragmenty</w:t>
      </w:r>
      <w:r w:rsidRPr="008663FC">
        <w:rPr>
          <w:lang w:val="pl-PL"/>
        </w:rPr>
        <w:t>)) określił zasady dotyczące stosowania art. 6 ust. 1 Konwencji. Wyróżniono cztery różne sytuacje, w</w:t>
      </w:r>
      <w:r w:rsidR="00D65F50">
        <w:rPr>
          <w:lang w:val="pl-PL"/>
        </w:rPr>
        <w:t> </w:t>
      </w:r>
      <w:r w:rsidRPr="008663FC">
        <w:rPr>
          <w:lang w:val="pl-PL"/>
        </w:rPr>
        <w:t>jakich zastosowanie ma art.</w:t>
      </w:r>
      <w:r w:rsidR="00241BF6">
        <w:rPr>
          <w:lang w:val="pl-PL"/>
        </w:rPr>
        <w:t> </w:t>
      </w:r>
      <w:r w:rsidRPr="008663FC">
        <w:rPr>
          <w:lang w:val="pl-PL"/>
        </w:rPr>
        <w:t>6 ust. 1, spośród których jedna dotyczy pewnych decyzji, w przypadku których władzom przysługuje uprawnienie wyłącznie uznaniowe do</w:t>
      </w:r>
      <w:r w:rsidR="00241BF6">
        <w:rPr>
          <w:lang w:val="pl-PL"/>
        </w:rPr>
        <w:t> </w:t>
      </w:r>
      <w:r w:rsidRPr="008663FC">
        <w:rPr>
          <w:lang w:val="pl-PL"/>
        </w:rPr>
        <w:t>przyznania lub odmowy przyznania korzyści lub</w:t>
      </w:r>
      <w:r w:rsidR="00D65F50">
        <w:rPr>
          <w:lang w:val="pl-PL"/>
        </w:rPr>
        <w:t> </w:t>
      </w:r>
      <w:r w:rsidRPr="008663FC">
        <w:rPr>
          <w:lang w:val="pl-PL"/>
        </w:rPr>
        <w:t>przywileju, przy czym prawo przyznaje osobie zainteresowanej prawo odwołania się do sądów, które - w przypadku stwierdzenia niezgodności takiej decyzji z prawem, mogą ją uchylić. W takim przypadku art. 6 ust. 1 Konwencji ma zastosowanie, pod warunkiem że przyznane korzyści lub</w:t>
      </w:r>
      <w:r w:rsidR="00D65F50">
        <w:rPr>
          <w:lang w:val="pl-PL"/>
        </w:rPr>
        <w:t> </w:t>
      </w:r>
      <w:r w:rsidRPr="008663FC">
        <w:rPr>
          <w:lang w:val="pl-PL"/>
        </w:rPr>
        <w:t>przywileje wiążą się z prawem o charakterze cywilnym (ibid., § 105).</w:t>
      </w:r>
    </w:p>
    <w:p w14:paraId="195348E0" w14:textId="6DC7E131" w:rsidR="00090D13" w:rsidRPr="008663FC" w:rsidRDefault="00090D13" w:rsidP="0072376D">
      <w:pPr>
        <w:pStyle w:val="ECHRPara"/>
        <w:rPr>
          <w:lang w:val="pl-PL"/>
        </w:rPr>
      </w:pPr>
      <w:r w:rsidRPr="008663FC">
        <w:rPr>
          <w:noProof/>
          <w:lang w:val="pl-PL"/>
        </w:rPr>
        <w:t>29</w:t>
      </w:r>
      <w:r w:rsidRPr="008663FC">
        <w:rPr>
          <w:lang w:val="pl-PL"/>
        </w:rPr>
        <w:t>.</w:t>
      </w:r>
      <w:r w:rsidR="00510FFD">
        <w:rPr>
          <w:lang w:val="pl-PL"/>
        </w:rPr>
        <w:t xml:space="preserve"> </w:t>
      </w:r>
      <w:r w:rsidRPr="008663FC">
        <w:rPr>
          <w:lang w:val="pl-PL"/>
        </w:rPr>
        <w:t>Prawdą jest, że w niektórych decyzjach, wydanych przed wydaniem wyroku w sprawie</w:t>
      </w:r>
      <w:r w:rsidRPr="008663FC">
        <w:rPr>
          <w:i/>
          <w:iCs/>
          <w:lang w:val="pl-PL"/>
        </w:rPr>
        <w:t xml:space="preserve"> </w:t>
      </w:r>
      <w:proofErr w:type="spellStart"/>
      <w:r w:rsidRPr="008663FC">
        <w:rPr>
          <w:i/>
          <w:iCs/>
          <w:lang w:val="pl-PL"/>
        </w:rPr>
        <w:t>Regner</w:t>
      </w:r>
      <w:proofErr w:type="spellEnd"/>
      <w:r w:rsidRPr="008663FC">
        <w:rPr>
          <w:lang w:val="pl-PL"/>
        </w:rPr>
        <w:t>, Trybunał wykluczył możliwość zastosowania art.</w:t>
      </w:r>
      <w:r w:rsidR="00241BF6">
        <w:rPr>
          <w:lang w:val="pl-PL"/>
        </w:rPr>
        <w:t> </w:t>
      </w:r>
      <w:r w:rsidRPr="008663FC">
        <w:rPr>
          <w:lang w:val="pl-PL"/>
        </w:rPr>
        <w:t xml:space="preserve">6 w odniesieniu do procedur dotyczących zaproszenia </w:t>
      </w:r>
      <w:r w:rsidR="00022925" w:rsidRPr="008663FC">
        <w:rPr>
          <w:lang w:val="pl-PL"/>
        </w:rPr>
        <w:t xml:space="preserve">przez władze krajowe </w:t>
      </w:r>
      <w:r w:rsidRPr="008663FC">
        <w:rPr>
          <w:lang w:val="pl-PL"/>
        </w:rPr>
        <w:t>do składania ofert, wskazując, że władze krajowe posiadają uprawnienia uznaniowe i że prawo materialne danego państwa nie</w:t>
      </w:r>
      <w:r w:rsidR="00D65F50">
        <w:rPr>
          <w:lang w:val="pl-PL"/>
        </w:rPr>
        <w:t> </w:t>
      </w:r>
      <w:r w:rsidRPr="008663FC">
        <w:rPr>
          <w:lang w:val="pl-PL"/>
        </w:rPr>
        <w:t xml:space="preserve">przyznaje skarżącym prawa do otrzymania oferty (zob. w szczególności </w:t>
      </w:r>
      <w:proofErr w:type="spellStart"/>
      <w:r w:rsidRPr="008663FC">
        <w:rPr>
          <w:i/>
          <w:iCs/>
          <w:lang w:val="pl-PL"/>
        </w:rPr>
        <w:t>Marti</w:t>
      </w:r>
      <w:proofErr w:type="spellEnd"/>
      <w:r w:rsidRPr="008663FC">
        <w:rPr>
          <w:i/>
          <w:iCs/>
          <w:lang w:val="pl-PL"/>
        </w:rPr>
        <w:t xml:space="preserve"> AG i Inni przeciwko Szwajcarii</w:t>
      </w:r>
      <w:r w:rsidRPr="008663FC">
        <w:rPr>
          <w:lang w:val="pl-PL"/>
        </w:rPr>
        <w:t xml:space="preserve"> (</w:t>
      </w:r>
      <w:proofErr w:type="spellStart"/>
      <w:r w:rsidRPr="008663FC">
        <w:rPr>
          <w:lang w:val="pl-PL"/>
        </w:rPr>
        <w:t>dec</w:t>
      </w:r>
      <w:proofErr w:type="spellEnd"/>
      <w:r w:rsidRPr="008663FC">
        <w:rPr>
          <w:lang w:val="pl-PL"/>
        </w:rPr>
        <w:t xml:space="preserve">.), nr 36308/97, </w:t>
      </w:r>
      <w:r w:rsidR="00366183">
        <w:rPr>
          <w:lang w:val="pl-PL"/>
        </w:rPr>
        <w:t>ETPC</w:t>
      </w:r>
      <w:r w:rsidRPr="008663FC">
        <w:rPr>
          <w:lang w:val="pl-PL"/>
        </w:rPr>
        <w:t xml:space="preserve"> 2000 VIII; </w:t>
      </w:r>
      <w:proofErr w:type="spellStart"/>
      <w:r w:rsidRPr="008663FC">
        <w:rPr>
          <w:i/>
          <w:iCs/>
          <w:lang w:val="pl-PL"/>
        </w:rPr>
        <w:t>SKYRADIO</w:t>
      </w:r>
      <w:proofErr w:type="spellEnd"/>
      <w:r w:rsidRPr="008663FC">
        <w:rPr>
          <w:i/>
          <w:iCs/>
          <w:lang w:val="pl-PL"/>
        </w:rPr>
        <w:t xml:space="preserve"> AG i Inni przeciwko Szwajcarii</w:t>
      </w:r>
      <w:r w:rsidRPr="008663FC">
        <w:rPr>
          <w:lang w:val="pl-PL"/>
        </w:rPr>
        <w:t xml:space="preserve"> (</w:t>
      </w:r>
      <w:proofErr w:type="spellStart"/>
      <w:r w:rsidRPr="008663FC">
        <w:rPr>
          <w:lang w:val="pl-PL"/>
        </w:rPr>
        <w:t>dec</w:t>
      </w:r>
      <w:proofErr w:type="spellEnd"/>
      <w:r w:rsidRPr="008663FC">
        <w:rPr>
          <w:lang w:val="pl-PL"/>
        </w:rPr>
        <w:t xml:space="preserve">.), nr 46841/99, 31 sierpnia 2004 r.; </w:t>
      </w:r>
      <w:proofErr w:type="spellStart"/>
      <w:r w:rsidRPr="008663FC">
        <w:rPr>
          <w:i/>
          <w:iCs/>
          <w:lang w:val="pl-PL"/>
        </w:rPr>
        <w:t>I.T.C</w:t>
      </w:r>
      <w:proofErr w:type="spellEnd"/>
      <w:r w:rsidRPr="008663FC">
        <w:rPr>
          <w:i/>
          <w:iCs/>
          <w:lang w:val="pl-PL"/>
        </w:rPr>
        <w:t xml:space="preserve">. </w:t>
      </w:r>
      <w:proofErr w:type="spellStart"/>
      <w:r w:rsidRPr="008663FC">
        <w:rPr>
          <w:i/>
          <w:iCs/>
          <w:lang w:val="pl-PL"/>
        </w:rPr>
        <w:t>LTD</w:t>
      </w:r>
      <w:proofErr w:type="spellEnd"/>
      <w:r w:rsidRPr="008663FC">
        <w:rPr>
          <w:i/>
          <w:iCs/>
          <w:lang w:val="pl-PL"/>
        </w:rPr>
        <w:t xml:space="preserve"> przeciwko Malcie</w:t>
      </w:r>
      <w:r w:rsidRPr="008663FC">
        <w:rPr>
          <w:lang w:val="pl-PL"/>
        </w:rPr>
        <w:t xml:space="preserve"> (</w:t>
      </w:r>
      <w:proofErr w:type="spellStart"/>
      <w:r w:rsidRPr="008663FC">
        <w:rPr>
          <w:lang w:val="pl-PL"/>
        </w:rPr>
        <w:t>dec</w:t>
      </w:r>
      <w:proofErr w:type="spellEnd"/>
      <w:r w:rsidRPr="008663FC">
        <w:rPr>
          <w:lang w:val="pl-PL"/>
        </w:rPr>
        <w:t xml:space="preserve">.), nr 2629/06, 11 grudnia 2007 r. oraz </w:t>
      </w:r>
      <w:r w:rsidRPr="008663FC">
        <w:rPr>
          <w:i/>
          <w:iCs/>
          <w:lang w:val="pl-PL"/>
        </w:rPr>
        <w:t xml:space="preserve">S.C. Black Sea </w:t>
      </w:r>
      <w:proofErr w:type="spellStart"/>
      <w:r w:rsidRPr="008663FC">
        <w:rPr>
          <w:i/>
          <w:iCs/>
          <w:lang w:val="pl-PL"/>
        </w:rPr>
        <w:t>Caviar</w:t>
      </w:r>
      <w:proofErr w:type="spellEnd"/>
      <w:r w:rsidRPr="008663FC">
        <w:rPr>
          <w:i/>
          <w:iCs/>
          <w:lang w:val="pl-PL"/>
        </w:rPr>
        <w:t xml:space="preserve"> </w:t>
      </w:r>
      <w:proofErr w:type="spellStart"/>
      <w:r w:rsidRPr="008663FC">
        <w:rPr>
          <w:i/>
          <w:iCs/>
          <w:lang w:val="pl-PL"/>
        </w:rPr>
        <w:t>S.R.L</w:t>
      </w:r>
      <w:proofErr w:type="spellEnd"/>
      <w:r w:rsidRPr="008663FC">
        <w:rPr>
          <w:i/>
          <w:iCs/>
          <w:lang w:val="pl-PL"/>
        </w:rPr>
        <w:t>. przeciwko Rumunii</w:t>
      </w:r>
      <w:r w:rsidRPr="008663FC">
        <w:rPr>
          <w:lang w:val="pl-PL"/>
        </w:rPr>
        <w:t xml:space="preserve"> (</w:t>
      </w:r>
      <w:proofErr w:type="spellStart"/>
      <w:r w:rsidRPr="008663FC">
        <w:rPr>
          <w:lang w:val="pl-PL"/>
        </w:rPr>
        <w:t>dec</w:t>
      </w:r>
      <w:proofErr w:type="spellEnd"/>
      <w:r w:rsidRPr="008663FC">
        <w:rPr>
          <w:lang w:val="pl-PL"/>
        </w:rPr>
        <w:t>.) [Komisja], nr</w:t>
      </w:r>
      <w:r w:rsidR="00D65F50">
        <w:rPr>
          <w:lang w:val="pl-PL"/>
        </w:rPr>
        <w:t> </w:t>
      </w:r>
      <w:r w:rsidRPr="008663FC">
        <w:rPr>
          <w:lang w:val="pl-PL"/>
        </w:rPr>
        <w:t>13013/06, 31 maja 2016 r.). Trybunał stwierdza jednak, że zasady określone w wyroku w</w:t>
      </w:r>
      <w:r w:rsidR="00241BF6">
        <w:rPr>
          <w:lang w:val="pl-PL"/>
        </w:rPr>
        <w:t> </w:t>
      </w:r>
      <w:r w:rsidRPr="008663FC">
        <w:rPr>
          <w:lang w:val="pl-PL"/>
        </w:rPr>
        <w:t xml:space="preserve">sprawie </w:t>
      </w:r>
      <w:proofErr w:type="spellStart"/>
      <w:r w:rsidRPr="008663FC">
        <w:rPr>
          <w:i/>
          <w:iCs/>
          <w:lang w:val="pl-PL"/>
        </w:rPr>
        <w:t>Regner</w:t>
      </w:r>
      <w:proofErr w:type="spellEnd"/>
      <w:r w:rsidRPr="008663FC">
        <w:rPr>
          <w:lang w:val="pl-PL"/>
        </w:rPr>
        <w:t xml:space="preserve"> mają znaczenie dla niniejszej sprawy, w której skarżącemu instytutowi w sposób oczywisty przysługiwało prawo proceduralne do</w:t>
      </w:r>
      <w:r w:rsidR="00241BF6">
        <w:rPr>
          <w:lang w:val="pl-PL"/>
        </w:rPr>
        <w:t> </w:t>
      </w:r>
      <w:r w:rsidRPr="008663FC">
        <w:rPr>
          <w:lang w:val="pl-PL"/>
        </w:rPr>
        <w:t>rozstrzygnięcia przetargu w sposób zgodny z</w:t>
      </w:r>
      <w:r w:rsidR="00D65F50">
        <w:rPr>
          <w:lang w:val="pl-PL"/>
        </w:rPr>
        <w:t> </w:t>
      </w:r>
      <w:r w:rsidRPr="008663FC">
        <w:rPr>
          <w:lang w:val="pl-PL"/>
        </w:rPr>
        <w:t>prawem i prawidłowy. W</w:t>
      </w:r>
      <w:r w:rsidR="00241BF6">
        <w:rPr>
          <w:lang w:val="pl-PL"/>
        </w:rPr>
        <w:t> </w:t>
      </w:r>
      <w:r w:rsidRPr="008663FC">
        <w:rPr>
          <w:lang w:val="pl-PL"/>
        </w:rPr>
        <w:t>przypadku udzielenia zamówienia skarżącemu instytutowi, instytutowi temu przysługiwałoby prawo o charakterze cywilnym. W związku z tym należy przypomnieć, że w orzecznictwie Trybunału nastąpiło przesunięcie w</w:t>
      </w:r>
      <w:r w:rsidR="00DA6D40">
        <w:rPr>
          <w:lang w:val="pl-PL"/>
        </w:rPr>
        <w:t> </w:t>
      </w:r>
      <w:r w:rsidRPr="008663FC">
        <w:rPr>
          <w:lang w:val="pl-PL"/>
        </w:rPr>
        <w:t>kierunku stosowania art. 6 w</w:t>
      </w:r>
      <w:r w:rsidR="00D65F50">
        <w:rPr>
          <w:lang w:val="pl-PL"/>
        </w:rPr>
        <w:t> </w:t>
      </w:r>
      <w:r w:rsidRPr="008663FC">
        <w:rPr>
          <w:lang w:val="pl-PL"/>
        </w:rPr>
        <w:t>odniesieniu do spraw, w przypadku których można odnieść początkowo wrażenie, iż nie dotyczą one prawa o charakterze cywilnym, lecz które mogą mieć bezpośrednie i znaczące reperkusje dla</w:t>
      </w:r>
      <w:r w:rsidR="00241BF6">
        <w:rPr>
          <w:lang w:val="pl-PL"/>
        </w:rPr>
        <w:t> </w:t>
      </w:r>
      <w:r w:rsidRPr="008663FC">
        <w:rPr>
          <w:lang w:val="pl-PL"/>
        </w:rPr>
        <w:t xml:space="preserve">prawa prywatnego przysługującego jednostce (zob. </w:t>
      </w:r>
      <w:r w:rsidRPr="008663FC">
        <w:rPr>
          <w:i/>
          <w:iCs/>
          <w:lang w:val="pl-PL"/>
        </w:rPr>
        <w:t xml:space="preserve">De </w:t>
      </w:r>
      <w:proofErr w:type="spellStart"/>
      <w:r w:rsidRPr="008663FC">
        <w:rPr>
          <w:i/>
          <w:iCs/>
          <w:lang w:val="pl-PL"/>
        </w:rPr>
        <w:t>Tommaso</w:t>
      </w:r>
      <w:proofErr w:type="spellEnd"/>
      <w:r w:rsidRPr="008663FC">
        <w:rPr>
          <w:i/>
          <w:iCs/>
          <w:lang w:val="pl-PL"/>
        </w:rPr>
        <w:t xml:space="preserve"> przeciwko Włochom</w:t>
      </w:r>
      <w:r w:rsidRPr="008663FC">
        <w:rPr>
          <w:lang w:val="pl-PL"/>
        </w:rPr>
        <w:t xml:space="preserve"> [</w:t>
      </w:r>
      <w:proofErr w:type="spellStart"/>
      <w:r w:rsidRPr="008663FC">
        <w:rPr>
          <w:lang w:val="pl-PL"/>
        </w:rPr>
        <w:t>WI</w:t>
      </w:r>
      <w:proofErr w:type="spellEnd"/>
      <w:r w:rsidRPr="008663FC">
        <w:rPr>
          <w:lang w:val="pl-PL"/>
        </w:rPr>
        <w:t>], nr</w:t>
      </w:r>
      <w:r w:rsidR="00D65F50">
        <w:rPr>
          <w:lang w:val="pl-PL"/>
        </w:rPr>
        <w:t> </w:t>
      </w:r>
      <w:r w:rsidRPr="008663FC">
        <w:rPr>
          <w:lang w:val="pl-PL"/>
        </w:rPr>
        <w:t xml:space="preserve">43395/09, § 151, </w:t>
      </w:r>
      <w:r w:rsidR="00366183">
        <w:rPr>
          <w:lang w:val="pl-PL"/>
        </w:rPr>
        <w:t>ETPC</w:t>
      </w:r>
      <w:r w:rsidRPr="008663FC">
        <w:rPr>
          <w:lang w:val="pl-PL"/>
        </w:rPr>
        <w:t xml:space="preserve"> 2017 r. (</w:t>
      </w:r>
      <w:r w:rsidR="00273558">
        <w:rPr>
          <w:lang w:val="pl-PL"/>
        </w:rPr>
        <w:t>fragmenty</w:t>
      </w:r>
      <w:r w:rsidRPr="008663FC">
        <w:rPr>
          <w:lang w:val="pl-PL"/>
        </w:rPr>
        <w:t>)).</w:t>
      </w:r>
    </w:p>
    <w:p w14:paraId="2B1F74B8" w14:textId="16E42C41" w:rsidR="00755DCC" w:rsidRPr="008663FC" w:rsidRDefault="00755DCC" w:rsidP="0072376D">
      <w:pPr>
        <w:pStyle w:val="ECHRPara"/>
        <w:rPr>
          <w:lang w:val="pl-PL"/>
        </w:rPr>
      </w:pPr>
      <w:r w:rsidRPr="008663FC">
        <w:rPr>
          <w:noProof/>
          <w:lang w:val="pl-PL"/>
        </w:rPr>
        <w:t>30</w:t>
      </w:r>
      <w:r w:rsidRPr="008663FC">
        <w:rPr>
          <w:lang w:val="pl-PL"/>
        </w:rPr>
        <w:t>.</w:t>
      </w:r>
      <w:r w:rsidR="00510FFD">
        <w:rPr>
          <w:lang w:val="pl-PL"/>
        </w:rPr>
        <w:t xml:space="preserve"> </w:t>
      </w:r>
      <w:r w:rsidRPr="008663FC">
        <w:rPr>
          <w:lang w:val="pl-PL"/>
        </w:rPr>
        <w:t xml:space="preserve">W związku z powyższym Trybunał nie ma podstaw, by wątpić odnośnie do </w:t>
      </w:r>
      <w:r w:rsidR="00C10F08">
        <w:rPr>
          <w:lang w:val="pl-PL"/>
        </w:rPr>
        <w:t>zastosowalności</w:t>
      </w:r>
      <w:r w:rsidRPr="008663FC">
        <w:rPr>
          <w:lang w:val="pl-PL"/>
        </w:rPr>
        <w:t xml:space="preserve"> w niniejszej sprawie przepisu art. 6 ust. 1 Konwencji w </w:t>
      </w:r>
      <w:r w:rsidR="00C10F08">
        <w:rPr>
          <w:lang w:val="pl-PL"/>
        </w:rPr>
        <w:t>aspekcie dotyczącym</w:t>
      </w:r>
      <w:r w:rsidRPr="008663FC">
        <w:rPr>
          <w:lang w:val="pl-PL"/>
        </w:rPr>
        <w:t xml:space="preserve"> praw o charakterze cywilnym.</w:t>
      </w:r>
    </w:p>
    <w:p w14:paraId="70CD8B49" w14:textId="09047881" w:rsidR="00014566" w:rsidRPr="008663FC" w:rsidRDefault="00181AB9" w:rsidP="0072376D">
      <w:pPr>
        <w:pStyle w:val="ECHRPara"/>
        <w:rPr>
          <w:lang w:val="pl-PL"/>
        </w:rPr>
      </w:pPr>
      <w:r w:rsidRPr="008663FC">
        <w:rPr>
          <w:noProof/>
          <w:lang w:val="pl-PL"/>
        </w:rPr>
        <w:t>31</w:t>
      </w:r>
      <w:r w:rsidRPr="008663FC">
        <w:rPr>
          <w:lang w:val="pl-PL"/>
        </w:rPr>
        <w:t>.</w:t>
      </w:r>
      <w:r w:rsidR="00510FFD">
        <w:rPr>
          <w:lang w:val="pl-PL"/>
        </w:rPr>
        <w:t xml:space="preserve"> </w:t>
      </w:r>
      <w:r w:rsidRPr="008663FC">
        <w:rPr>
          <w:lang w:val="pl-PL"/>
        </w:rPr>
        <w:t xml:space="preserve">Trybunał zauważa, iż skarga nie jest </w:t>
      </w:r>
      <w:r w:rsidR="007A3A84">
        <w:rPr>
          <w:lang w:val="pl-PL"/>
        </w:rPr>
        <w:t xml:space="preserve">w sposób </w:t>
      </w:r>
      <w:r w:rsidRPr="008663FC">
        <w:rPr>
          <w:lang w:val="pl-PL"/>
        </w:rPr>
        <w:t>oczywi</w:t>
      </w:r>
      <w:r w:rsidR="007A3A84">
        <w:rPr>
          <w:lang w:val="pl-PL"/>
        </w:rPr>
        <w:t>sty nieuzasadniona</w:t>
      </w:r>
      <w:r w:rsidRPr="008663FC">
        <w:rPr>
          <w:lang w:val="pl-PL"/>
        </w:rPr>
        <w:t xml:space="preserve"> w rozumieniu art. 35 ust. 3</w:t>
      </w:r>
      <w:r w:rsidR="007A3A84">
        <w:rPr>
          <w:lang w:val="pl-PL"/>
        </w:rPr>
        <w:t xml:space="preserve"> lit.</w:t>
      </w:r>
      <w:r w:rsidRPr="008663FC">
        <w:rPr>
          <w:lang w:val="pl-PL"/>
        </w:rPr>
        <w:t xml:space="preserve"> a Konwencji. W dalszej </w:t>
      </w:r>
      <w:r w:rsidRPr="008663FC">
        <w:rPr>
          <w:lang w:val="pl-PL"/>
        </w:rPr>
        <w:lastRenderedPageBreak/>
        <w:t>kolejności uważa, że nie jest również niedopuszczalna z jakichkolwiek innych przyczyn. Musi zatem zostać uznana za dopuszczalną.</w:t>
      </w:r>
    </w:p>
    <w:p w14:paraId="1865648F" w14:textId="088E465B" w:rsidR="00014566" w:rsidRPr="008663FC" w:rsidRDefault="00014566" w:rsidP="0072376D">
      <w:pPr>
        <w:pStyle w:val="ECHRHeading2"/>
        <w:rPr>
          <w:lang w:val="pl-PL"/>
        </w:rPr>
      </w:pPr>
      <w:r w:rsidRPr="008663FC">
        <w:rPr>
          <w:lang w:val="pl-PL"/>
        </w:rPr>
        <w:t>B.</w:t>
      </w:r>
      <w:r w:rsidR="00510FFD">
        <w:rPr>
          <w:lang w:val="pl-PL"/>
        </w:rPr>
        <w:t xml:space="preserve"> </w:t>
      </w:r>
      <w:r w:rsidR="007A3A84">
        <w:rPr>
          <w:lang w:val="pl-PL"/>
        </w:rPr>
        <w:t>Przedmiot</w:t>
      </w:r>
      <w:r w:rsidRPr="008663FC">
        <w:rPr>
          <w:lang w:val="pl-PL"/>
        </w:rPr>
        <w:t xml:space="preserve"> skargi</w:t>
      </w:r>
    </w:p>
    <w:p w14:paraId="04CF914D" w14:textId="552DC6EE" w:rsidR="00794280" w:rsidRPr="008663FC" w:rsidRDefault="00794280" w:rsidP="0072376D">
      <w:pPr>
        <w:pStyle w:val="ECHRHeading3"/>
        <w:rPr>
          <w:lang w:val="pl-PL"/>
        </w:rPr>
      </w:pPr>
      <w:r w:rsidRPr="008663FC">
        <w:rPr>
          <w:bCs w:val="0"/>
          <w:iCs/>
          <w:lang w:val="pl-PL"/>
        </w:rPr>
        <w:t>1.</w:t>
      </w:r>
      <w:r w:rsidR="00510FFD">
        <w:rPr>
          <w:bCs w:val="0"/>
          <w:iCs/>
          <w:lang w:val="pl-PL"/>
        </w:rPr>
        <w:t xml:space="preserve"> </w:t>
      </w:r>
      <w:r w:rsidRPr="008663FC">
        <w:rPr>
          <w:bCs w:val="0"/>
          <w:iCs/>
          <w:lang w:val="pl-PL"/>
        </w:rPr>
        <w:t>Argumenty stron</w:t>
      </w:r>
    </w:p>
    <w:p w14:paraId="2A05F829" w14:textId="5835894D" w:rsidR="00283426" w:rsidRPr="008663FC" w:rsidRDefault="00283426" w:rsidP="0072376D">
      <w:pPr>
        <w:pStyle w:val="ECHRHeading4"/>
        <w:rPr>
          <w:lang w:val="pl-PL"/>
        </w:rPr>
      </w:pPr>
      <w:r w:rsidRPr="008663FC">
        <w:rPr>
          <w:iCs w:val="0"/>
          <w:lang w:val="pl-PL"/>
        </w:rPr>
        <w:t>(a)</w:t>
      </w:r>
      <w:r w:rsidR="00510FFD">
        <w:rPr>
          <w:iCs w:val="0"/>
          <w:lang w:val="pl-PL"/>
        </w:rPr>
        <w:t xml:space="preserve"> </w:t>
      </w:r>
      <w:r w:rsidRPr="008663FC">
        <w:rPr>
          <w:iCs w:val="0"/>
          <w:lang w:val="pl-PL"/>
        </w:rPr>
        <w:t>Skarżący instytut</w:t>
      </w:r>
    </w:p>
    <w:p w14:paraId="420E17C8" w14:textId="21574C26" w:rsidR="0029436A" w:rsidRPr="008663FC" w:rsidRDefault="00181AB9" w:rsidP="0072376D">
      <w:pPr>
        <w:pStyle w:val="ECHRPara"/>
        <w:rPr>
          <w:lang w:val="pl-PL"/>
        </w:rPr>
      </w:pPr>
      <w:r w:rsidRPr="008663FC">
        <w:rPr>
          <w:noProof/>
          <w:lang w:val="pl-PL"/>
        </w:rPr>
        <w:t>32</w:t>
      </w:r>
      <w:r w:rsidRPr="008663FC">
        <w:rPr>
          <w:lang w:val="pl-PL"/>
        </w:rPr>
        <w:t>.</w:t>
      </w:r>
      <w:r w:rsidR="00510FFD">
        <w:rPr>
          <w:lang w:val="pl-PL"/>
        </w:rPr>
        <w:t xml:space="preserve"> </w:t>
      </w:r>
      <w:r w:rsidRPr="008663FC">
        <w:rPr>
          <w:lang w:val="pl-PL"/>
        </w:rPr>
        <w:t>Skarżący instytut argumentował, że Trybunał orzekał już, iż brak przeprowadzenia rozprawy uzasadniać mogą jedynie wyjątkowe okoliczności. Słoweński Sąd Najwyższy orzekł również w kilku przypadkach, że jeżeli nie przedstawiono podstaw uzasadniających brak przeprowadzenia rozprawy, prawo do rzetelnego procesu sądowego mogło zostać naruszone.</w:t>
      </w:r>
    </w:p>
    <w:p w14:paraId="31B33A29" w14:textId="02D4FD07" w:rsidR="0029436A" w:rsidRPr="008663FC" w:rsidRDefault="00A73E4B" w:rsidP="0072376D">
      <w:pPr>
        <w:pStyle w:val="ECHRPara"/>
        <w:rPr>
          <w:lang w:val="pl-PL"/>
        </w:rPr>
      </w:pPr>
      <w:r w:rsidRPr="008663FC">
        <w:rPr>
          <w:noProof/>
          <w:lang w:val="pl-PL"/>
        </w:rPr>
        <w:t>33</w:t>
      </w:r>
      <w:r w:rsidRPr="008663FC">
        <w:rPr>
          <w:lang w:val="pl-PL"/>
        </w:rPr>
        <w:t>.</w:t>
      </w:r>
      <w:r w:rsidR="00510FFD">
        <w:rPr>
          <w:lang w:val="pl-PL"/>
        </w:rPr>
        <w:t xml:space="preserve"> </w:t>
      </w:r>
      <w:r w:rsidRPr="008663FC">
        <w:rPr>
          <w:lang w:val="pl-PL"/>
        </w:rPr>
        <w:t>W odniesieniu do braku uzasadnienia skarżący instytut stwierdził, że</w:t>
      </w:r>
      <w:r w:rsidR="00D65F50">
        <w:rPr>
          <w:lang w:val="pl-PL"/>
        </w:rPr>
        <w:t> </w:t>
      </w:r>
      <w:r w:rsidRPr="008663FC">
        <w:rPr>
          <w:lang w:val="pl-PL"/>
        </w:rPr>
        <w:t>prawo do postępowania kontradyktoryjnego jest skuteczne tylko w</w:t>
      </w:r>
      <w:r w:rsidR="00D65F50">
        <w:rPr>
          <w:lang w:val="pl-PL"/>
        </w:rPr>
        <w:t> </w:t>
      </w:r>
      <w:r w:rsidRPr="008663FC">
        <w:rPr>
          <w:lang w:val="pl-PL"/>
        </w:rPr>
        <w:t>zakresie, w jakim sądy przedstawią adekwatne uzasadnienie. W niniejszej sprawie uzasadnienie Sądu Administracyjnego nie spełniło tego warunku. Skarżący instytut nie był w stanie udowodnić swoich roszczeń, ponieważ zamiast przeprowadzić żądane dowody, Sąd Administracyjny oparł się na</w:t>
      </w:r>
      <w:r w:rsidR="00D65F50">
        <w:rPr>
          <w:lang w:val="pl-PL"/>
        </w:rPr>
        <w:t> </w:t>
      </w:r>
      <w:r w:rsidRPr="008663FC">
        <w:rPr>
          <w:lang w:val="pl-PL"/>
        </w:rPr>
        <w:t>decyzjach administracyjnych strony przeciwnej i uznał je za fakty. W</w:t>
      </w:r>
      <w:r w:rsidR="00D65F50">
        <w:rPr>
          <w:lang w:val="pl-PL"/>
        </w:rPr>
        <w:t> </w:t>
      </w:r>
      <w:r w:rsidRPr="008663FC">
        <w:rPr>
          <w:lang w:val="pl-PL"/>
        </w:rPr>
        <w:t>decyzji Sądu Administracyjnego nie wspomniano o dowodach przedstawionych przez skarż</w:t>
      </w:r>
      <w:r w:rsidR="002761D7">
        <w:rPr>
          <w:lang w:val="pl-PL"/>
        </w:rPr>
        <w:t>ący instytut</w:t>
      </w:r>
      <w:r w:rsidRPr="008663FC">
        <w:rPr>
          <w:lang w:val="pl-PL"/>
        </w:rPr>
        <w:t xml:space="preserve"> ani nie podano podstaw, dla</w:t>
      </w:r>
      <w:r w:rsidR="00D65F50">
        <w:rPr>
          <w:lang w:val="pl-PL"/>
        </w:rPr>
        <w:t> </w:t>
      </w:r>
      <w:r w:rsidRPr="008663FC">
        <w:rPr>
          <w:lang w:val="pl-PL"/>
        </w:rPr>
        <w:t>których nie zostały one wzięte pod uwagę.</w:t>
      </w:r>
    </w:p>
    <w:p w14:paraId="43CAFCF4" w14:textId="44BA1239" w:rsidR="00283426" w:rsidRPr="008663FC" w:rsidRDefault="00283426" w:rsidP="0072376D">
      <w:pPr>
        <w:pStyle w:val="ECHRHeading4"/>
        <w:rPr>
          <w:lang w:val="pl-PL"/>
        </w:rPr>
      </w:pPr>
      <w:r w:rsidRPr="008663FC">
        <w:rPr>
          <w:iCs w:val="0"/>
          <w:lang w:val="pl-PL"/>
        </w:rPr>
        <w:t>(b)</w:t>
      </w:r>
      <w:r w:rsidR="00510FFD">
        <w:rPr>
          <w:iCs w:val="0"/>
          <w:lang w:val="pl-PL"/>
        </w:rPr>
        <w:t xml:space="preserve"> </w:t>
      </w:r>
      <w:r w:rsidRPr="008663FC">
        <w:rPr>
          <w:iCs w:val="0"/>
          <w:lang w:val="pl-PL"/>
        </w:rPr>
        <w:t>Rząd</w:t>
      </w:r>
    </w:p>
    <w:p w14:paraId="5D56F01C" w14:textId="3A2BAF41" w:rsidR="00014566" w:rsidRPr="008663FC" w:rsidRDefault="0099337E" w:rsidP="0072376D">
      <w:pPr>
        <w:pStyle w:val="ECHRPara"/>
        <w:rPr>
          <w:lang w:val="pl-PL"/>
        </w:rPr>
      </w:pPr>
      <w:bookmarkStart w:id="17" w:name="government_arguments_2"/>
      <w:bookmarkStart w:id="18" w:name="government_arguments_1"/>
      <w:r w:rsidRPr="008663FC">
        <w:rPr>
          <w:noProof/>
          <w:lang w:val="pl-PL"/>
        </w:rPr>
        <w:t>34</w:t>
      </w:r>
      <w:bookmarkEnd w:id="17"/>
      <w:bookmarkEnd w:id="18"/>
      <w:r w:rsidRPr="008663FC">
        <w:rPr>
          <w:lang w:val="pl-PL"/>
        </w:rPr>
        <w:t>.</w:t>
      </w:r>
      <w:r w:rsidR="00510FFD">
        <w:rPr>
          <w:lang w:val="pl-PL"/>
        </w:rPr>
        <w:t xml:space="preserve"> </w:t>
      </w:r>
      <w:r w:rsidRPr="008663FC">
        <w:rPr>
          <w:lang w:val="pl-PL"/>
        </w:rPr>
        <w:t>Rząd podkreślił, że prawo krajowe nie nakłada obowiązku przeprowadzenia rozprawy w sporze administracyjnym oraz że ustawa jasno określa warunki, w których przeprowadzenie rozprawy nie jest konieczne. Rząd przyznał, że nie przedstawiono podstaw, dla których nie</w:t>
      </w:r>
      <w:r w:rsidR="00D65F50">
        <w:rPr>
          <w:lang w:val="pl-PL"/>
        </w:rPr>
        <w:t> </w:t>
      </w:r>
      <w:r w:rsidRPr="008663FC">
        <w:rPr>
          <w:lang w:val="pl-PL"/>
        </w:rPr>
        <w:t>przeprowadzono rozprawy, stwierdził jednakże, iż nie stanowiło to</w:t>
      </w:r>
      <w:r w:rsidR="00D65F50">
        <w:rPr>
          <w:lang w:val="pl-PL"/>
        </w:rPr>
        <w:t> </w:t>
      </w:r>
      <w:r w:rsidRPr="008663FC">
        <w:rPr>
          <w:lang w:val="pl-PL"/>
        </w:rPr>
        <w:t>istotnego naruszenia procedury sporu administracyjnego. Mimo że Rząd zgodził się, iż okoliczności faktyczne stanowiły przedmiot sporu między stronami, utrzymywał jednak, że skarżący instytut nie u</w:t>
      </w:r>
      <w:r w:rsidR="00BB4B2F">
        <w:rPr>
          <w:lang w:val="pl-PL"/>
        </w:rPr>
        <w:t>zasadnił</w:t>
      </w:r>
      <w:r w:rsidRPr="008663FC">
        <w:rPr>
          <w:lang w:val="pl-PL"/>
        </w:rPr>
        <w:t xml:space="preserve"> znaczenia przedstawionych dowodów. W odniesieniu do braku przesłuchania przez sąd świadka K. (zob. par. </w:t>
      </w:r>
      <w:r w:rsidRPr="008663FC">
        <w:rPr>
          <w:noProof/>
          <w:lang w:val="pl-PL"/>
        </w:rPr>
        <w:t>11</w:t>
      </w:r>
      <w:r w:rsidRPr="008663FC">
        <w:rPr>
          <w:lang w:val="pl-PL"/>
        </w:rPr>
        <w:t xml:space="preserve"> powyżej), Sąd Administracyjny miał do</w:t>
      </w:r>
      <w:r w:rsidR="00D65F50">
        <w:rPr>
          <w:lang w:val="pl-PL"/>
        </w:rPr>
        <w:t> </w:t>
      </w:r>
      <w:r w:rsidRPr="008663FC">
        <w:rPr>
          <w:lang w:val="pl-PL"/>
        </w:rPr>
        <w:t>dyspozycji jego pismo z dnia 2 grudnia 2003 r. i miał możliwość jego uwzględnienia. Na</w:t>
      </w:r>
      <w:r w:rsidR="00241BF6">
        <w:rPr>
          <w:lang w:val="pl-PL"/>
        </w:rPr>
        <w:t> </w:t>
      </w:r>
      <w:r w:rsidRPr="008663FC">
        <w:rPr>
          <w:lang w:val="pl-PL"/>
        </w:rPr>
        <w:t>zakończenie Rząd wyraził przekonanie, że dokumenty znajdujące się w</w:t>
      </w:r>
      <w:r w:rsidR="00241BF6">
        <w:rPr>
          <w:lang w:val="pl-PL"/>
        </w:rPr>
        <w:t> </w:t>
      </w:r>
      <w:r w:rsidRPr="008663FC">
        <w:rPr>
          <w:lang w:val="pl-PL"/>
        </w:rPr>
        <w:t>aktach sprawy stanowiły wystarczającą podstawę do</w:t>
      </w:r>
      <w:r w:rsidR="00D65F50">
        <w:rPr>
          <w:lang w:val="pl-PL"/>
        </w:rPr>
        <w:t> </w:t>
      </w:r>
      <w:r w:rsidRPr="008663FC">
        <w:rPr>
          <w:lang w:val="pl-PL"/>
        </w:rPr>
        <w:t>wydania orzeczenia w sprawie.</w:t>
      </w:r>
    </w:p>
    <w:p w14:paraId="6B464959" w14:textId="37BF0825" w:rsidR="0029436A" w:rsidRPr="008663FC" w:rsidRDefault="0029436A" w:rsidP="0072376D">
      <w:pPr>
        <w:pStyle w:val="ECHRPara"/>
        <w:rPr>
          <w:lang w:val="pl-PL"/>
        </w:rPr>
      </w:pPr>
      <w:r w:rsidRPr="008663FC">
        <w:rPr>
          <w:noProof/>
          <w:lang w:val="pl-PL"/>
        </w:rPr>
        <w:t>35</w:t>
      </w:r>
      <w:r w:rsidRPr="008663FC">
        <w:rPr>
          <w:lang w:val="pl-PL"/>
        </w:rPr>
        <w:t>.</w:t>
      </w:r>
      <w:r w:rsidR="00510FFD">
        <w:rPr>
          <w:lang w:val="pl-PL"/>
        </w:rPr>
        <w:t xml:space="preserve"> </w:t>
      </w:r>
      <w:r w:rsidRPr="008663FC">
        <w:rPr>
          <w:lang w:val="pl-PL"/>
        </w:rPr>
        <w:t>Odnośnie do braku uzasadnienia Rząd stwierdził, że przed Sądem Administracyjnym strony były w stanie odpowiadać na składane przez siebie oświadczenia, co zapewniło postępowaniu charakter kontradyktoryjny. W</w:t>
      </w:r>
      <w:r w:rsidR="00241BF6">
        <w:rPr>
          <w:lang w:val="pl-PL"/>
        </w:rPr>
        <w:t> </w:t>
      </w:r>
      <w:r w:rsidRPr="008663FC">
        <w:rPr>
          <w:lang w:val="pl-PL"/>
        </w:rPr>
        <w:t xml:space="preserve">przypadku, gdy w sporach administracyjnych sąd zgadza się </w:t>
      </w:r>
      <w:r w:rsidRPr="008663FC">
        <w:rPr>
          <w:lang w:val="pl-PL"/>
        </w:rPr>
        <w:lastRenderedPageBreak/>
        <w:t>z</w:t>
      </w:r>
      <w:r w:rsidR="00241BF6">
        <w:rPr>
          <w:lang w:val="pl-PL"/>
        </w:rPr>
        <w:t> </w:t>
      </w:r>
      <w:r w:rsidRPr="008663FC">
        <w:rPr>
          <w:lang w:val="pl-PL"/>
        </w:rPr>
        <w:t>uzasadnieniem sądu niższej instancji, prawo krajowe umożliwia sądowi odwołanie się do takiego uzasadnienia w miejsce przedstawienia własnego.</w:t>
      </w:r>
    </w:p>
    <w:p w14:paraId="0278B9BF" w14:textId="5673E989" w:rsidR="00794280" w:rsidRPr="008663FC" w:rsidRDefault="00794280" w:rsidP="0072376D">
      <w:pPr>
        <w:pStyle w:val="ECHRHeading3"/>
        <w:rPr>
          <w:lang w:val="pl-PL"/>
        </w:rPr>
      </w:pPr>
      <w:r w:rsidRPr="008663FC">
        <w:rPr>
          <w:bCs w:val="0"/>
          <w:iCs/>
          <w:lang w:val="pl-PL"/>
        </w:rPr>
        <w:t>2.</w:t>
      </w:r>
      <w:r w:rsidR="00510FFD">
        <w:rPr>
          <w:bCs w:val="0"/>
          <w:iCs/>
          <w:lang w:val="pl-PL"/>
        </w:rPr>
        <w:t xml:space="preserve"> </w:t>
      </w:r>
      <w:r w:rsidRPr="008663FC">
        <w:rPr>
          <w:bCs w:val="0"/>
          <w:iCs/>
          <w:lang w:val="pl-PL"/>
        </w:rPr>
        <w:t>Ocena Trybunału</w:t>
      </w:r>
    </w:p>
    <w:p w14:paraId="6C7A82C4" w14:textId="16A27BB2" w:rsidR="00283426" w:rsidRPr="008663FC" w:rsidRDefault="00181AB9" w:rsidP="0072376D">
      <w:pPr>
        <w:pStyle w:val="ECHRPara"/>
        <w:rPr>
          <w:lang w:val="pl-PL"/>
        </w:rPr>
      </w:pPr>
      <w:r w:rsidRPr="008663FC">
        <w:rPr>
          <w:noProof/>
          <w:lang w:val="pl-PL"/>
        </w:rPr>
        <w:t>36</w:t>
      </w:r>
      <w:r w:rsidRPr="008663FC">
        <w:rPr>
          <w:lang w:val="pl-PL"/>
        </w:rPr>
        <w:t>.</w:t>
      </w:r>
      <w:r w:rsidR="00510FFD">
        <w:rPr>
          <w:lang w:val="pl-PL"/>
        </w:rPr>
        <w:t xml:space="preserve"> </w:t>
      </w:r>
      <w:r w:rsidRPr="008663FC">
        <w:rPr>
          <w:lang w:val="pl-PL"/>
        </w:rPr>
        <w:t>Trybunał przypomina, że w postępowaniu przed sądem pierwszej i</w:t>
      </w:r>
      <w:r w:rsidR="00D65F50">
        <w:rPr>
          <w:lang w:val="pl-PL"/>
        </w:rPr>
        <w:t> </w:t>
      </w:r>
      <w:r w:rsidRPr="008663FC">
        <w:rPr>
          <w:lang w:val="pl-PL"/>
        </w:rPr>
        <w:t>jedynej instancji prawo do „publiczne</w:t>
      </w:r>
      <w:r w:rsidR="00BB4B2F">
        <w:rPr>
          <w:lang w:val="pl-PL"/>
        </w:rPr>
        <w:t>go rozpatrzenia</w:t>
      </w:r>
      <w:r w:rsidRPr="008663FC">
        <w:rPr>
          <w:lang w:val="pl-PL"/>
        </w:rPr>
        <w:t>” w rozumieniu art. 6 ust. 1 wiąże się z prawem do „rozprawy ustnej”, z wyłączeniem przypadków wystąpienia wyjątkowych okoliczności uzasadniających odstąpienie od</w:t>
      </w:r>
      <w:r w:rsidR="00241BF6">
        <w:rPr>
          <w:lang w:val="pl-PL"/>
        </w:rPr>
        <w:t> </w:t>
      </w:r>
      <w:r w:rsidRPr="008663FC">
        <w:rPr>
          <w:lang w:val="pl-PL"/>
        </w:rPr>
        <w:t xml:space="preserve">takiej rozprawy (zob. </w:t>
      </w:r>
      <w:proofErr w:type="spellStart"/>
      <w:r w:rsidRPr="008663FC">
        <w:rPr>
          <w:i/>
          <w:iCs/>
          <w:lang w:val="pl-PL"/>
        </w:rPr>
        <w:t>Göç</w:t>
      </w:r>
      <w:proofErr w:type="spellEnd"/>
      <w:r w:rsidRPr="008663FC">
        <w:rPr>
          <w:i/>
          <w:iCs/>
          <w:lang w:val="pl-PL"/>
        </w:rPr>
        <w:t xml:space="preserve"> przeciwko Turcji</w:t>
      </w:r>
      <w:r w:rsidRPr="008663FC">
        <w:rPr>
          <w:lang w:val="pl-PL"/>
        </w:rPr>
        <w:t xml:space="preserve"> [</w:t>
      </w:r>
      <w:proofErr w:type="spellStart"/>
      <w:r w:rsidRPr="008663FC">
        <w:rPr>
          <w:lang w:val="pl-PL"/>
        </w:rPr>
        <w:t>WI</w:t>
      </w:r>
      <w:proofErr w:type="spellEnd"/>
      <w:r w:rsidRPr="008663FC">
        <w:rPr>
          <w:lang w:val="pl-PL"/>
        </w:rPr>
        <w:t>], nr</w:t>
      </w:r>
      <w:r w:rsidR="00D65F50">
        <w:rPr>
          <w:lang w:val="pl-PL"/>
        </w:rPr>
        <w:t> </w:t>
      </w:r>
      <w:r w:rsidRPr="008663FC">
        <w:rPr>
          <w:lang w:val="pl-PL"/>
        </w:rPr>
        <w:t xml:space="preserve">36590/97, § 47, </w:t>
      </w:r>
      <w:r w:rsidR="00366183">
        <w:rPr>
          <w:lang w:val="pl-PL"/>
        </w:rPr>
        <w:t>ETPC</w:t>
      </w:r>
      <w:r w:rsidRPr="008663FC">
        <w:rPr>
          <w:lang w:val="pl-PL"/>
        </w:rPr>
        <w:t xml:space="preserve"> 2002-V, z dalszymi odniesieniami). W</w:t>
      </w:r>
      <w:r w:rsidR="00D65F50">
        <w:rPr>
          <w:lang w:val="pl-PL"/>
        </w:rPr>
        <w:t> </w:t>
      </w:r>
      <w:r w:rsidRPr="008663FC">
        <w:rPr>
          <w:lang w:val="pl-PL"/>
        </w:rPr>
        <w:t>postępowaniu przed dwoma instancjami, jeżeli nie występują takie wyjątkowe okoliczności, co do zasady co najmniej jedna instancja ma obowiązek przeprowadzić rozprawę (zob.</w:t>
      </w:r>
      <w:r w:rsidR="00241BF6">
        <w:rPr>
          <w:lang w:val="pl-PL"/>
        </w:rPr>
        <w:t> </w:t>
      </w:r>
      <w:proofErr w:type="spellStart"/>
      <w:r w:rsidRPr="008663FC">
        <w:rPr>
          <w:i/>
          <w:iCs/>
          <w:lang w:val="pl-PL"/>
        </w:rPr>
        <w:t>Salomonsson</w:t>
      </w:r>
      <w:proofErr w:type="spellEnd"/>
      <w:r w:rsidRPr="008663FC">
        <w:rPr>
          <w:i/>
          <w:iCs/>
          <w:lang w:val="pl-PL"/>
        </w:rPr>
        <w:t xml:space="preserve"> przeciwko Szwecji</w:t>
      </w:r>
      <w:r w:rsidRPr="008663FC">
        <w:rPr>
          <w:lang w:val="pl-PL"/>
        </w:rPr>
        <w:t>, nr 38978/97, § 36, 12 listopada 2002</w:t>
      </w:r>
      <w:r w:rsidR="00241BF6">
        <w:rPr>
          <w:lang w:val="pl-PL"/>
        </w:rPr>
        <w:t> </w:t>
      </w:r>
      <w:r w:rsidRPr="008663FC">
        <w:rPr>
          <w:lang w:val="pl-PL"/>
        </w:rPr>
        <w:t>r.). Taki charakter publiczny chroni strony postępowania sądowego przed wymierzaniem sprawiedliwości w</w:t>
      </w:r>
      <w:r w:rsidR="00D65F50">
        <w:rPr>
          <w:lang w:val="pl-PL"/>
        </w:rPr>
        <w:t> </w:t>
      </w:r>
      <w:r w:rsidRPr="008663FC">
        <w:rPr>
          <w:lang w:val="pl-PL"/>
        </w:rPr>
        <w:t>tajemnicy, bez kontroli publicznej; jest to również jeden ze sposobów utrzymania zaufania do sądów. Zapewniając przejrzystość wymiaru sprawiedliwości, przesłuchanie publiczne przyczynia się do osiągnięcia celu określonego w art. 6 ust. 1, mianowicie sprawiedliwego procesu sądowego, którego gwarancja stanowi jedną z podstawowych zasad każdego społeczeństwa demokratycznego w</w:t>
      </w:r>
      <w:r w:rsidR="00241BF6">
        <w:rPr>
          <w:lang w:val="pl-PL"/>
        </w:rPr>
        <w:t> </w:t>
      </w:r>
      <w:r w:rsidRPr="008663FC">
        <w:rPr>
          <w:lang w:val="pl-PL"/>
        </w:rPr>
        <w:t xml:space="preserve">rozumieniu Konwencji (zob. </w:t>
      </w:r>
      <w:proofErr w:type="spellStart"/>
      <w:r w:rsidRPr="008663FC">
        <w:rPr>
          <w:i/>
          <w:iCs/>
          <w:lang w:val="pl-PL"/>
        </w:rPr>
        <w:t>Mehmet</w:t>
      </w:r>
      <w:proofErr w:type="spellEnd"/>
      <w:r w:rsidRPr="008663FC">
        <w:rPr>
          <w:i/>
          <w:iCs/>
          <w:lang w:val="pl-PL"/>
        </w:rPr>
        <w:t xml:space="preserve"> Emin </w:t>
      </w:r>
      <w:proofErr w:type="spellStart"/>
      <w:r w:rsidRPr="008663FC">
        <w:rPr>
          <w:i/>
          <w:iCs/>
          <w:lang w:val="pl-PL"/>
        </w:rPr>
        <w:t>Şimşek</w:t>
      </w:r>
      <w:proofErr w:type="spellEnd"/>
      <w:r w:rsidRPr="008663FC">
        <w:rPr>
          <w:i/>
          <w:iCs/>
          <w:lang w:val="pl-PL"/>
        </w:rPr>
        <w:t xml:space="preserve"> przeciwko Turcji, </w:t>
      </w:r>
      <w:r w:rsidRPr="008663FC">
        <w:rPr>
          <w:lang w:val="pl-PL"/>
        </w:rPr>
        <w:t xml:space="preserve">nr 5488/05, § 28, 28 lutego 2012 r. oraz </w:t>
      </w:r>
      <w:proofErr w:type="spellStart"/>
      <w:r w:rsidRPr="008663FC">
        <w:rPr>
          <w:i/>
          <w:iCs/>
          <w:lang w:val="pl-PL"/>
        </w:rPr>
        <w:t>Szücs</w:t>
      </w:r>
      <w:proofErr w:type="spellEnd"/>
      <w:r w:rsidRPr="008663FC">
        <w:rPr>
          <w:i/>
          <w:iCs/>
          <w:lang w:val="pl-PL"/>
        </w:rPr>
        <w:t xml:space="preserve"> przeciwko Austrii</w:t>
      </w:r>
      <w:r w:rsidRPr="008663FC">
        <w:rPr>
          <w:lang w:val="pl-PL"/>
        </w:rPr>
        <w:t xml:space="preserve">, 24 listopada 1997 r., § 42, </w:t>
      </w:r>
      <w:proofErr w:type="spellStart"/>
      <w:r w:rsidRPr="008663FC">
        <w:rPr>
          <w:i/>
          <w:iCs/>
          <w:lang w:val="pl-PL"/>
        </w:rPr>
        <w:t>Reports</w:t>
      </w:r>
      <w:proofErr w:type="spellEnd"/>
      <w:r w:rsidRPr="008663FC">
        <w:rPr>
          <w:i/>
          <w:iCs/>
          <w:lang w:val="pl-PL"/>
        </w:rPr>
        <w:t xml:space="preserve"> of </w:t>
      </w:r>
      <w:proofErr w:type="spellStart"/>
      <w:r w:rsidRPr="008663FC">
        <w:rPr>
          <w:i/>
          <w:iCs/>
          <w:lang w:val="pl-PL"/>
        </w:rPr>
        <w:t>Judgments</w:t>
      </w:r>
      <w:proofErr w:type="spellEnd"/>
      <w:r w:rsidRPr="008663FC">
        <w:rPr>
          <w:i/>
          <w:iCs/>
          <w:lang w:val="pl-PL"/>
        </w:rPr>
        <w:t xml:space="preserve"> and </w:t>
      </w:r>
      <w:proofErr w:type="spellStart"/>
      <w:r w:rsidRPr="008663FC">
        <w:rPr>
          <w:i/>
          <w:iCs/>
          <w:lang w:val="pl-PL"/>
        </w:rPr>
        <w:t>Decisions</w:t>
      </w:r>
      <w:proofErr w:type="spellEnd"/>
      <w:r w:rsidRPr="008663FC">
        <w:rPr>
          <w:lang w:val="pl-PL"/>
        </w:rPr>
        <w:t xml:space="preserve"> 1997-VII).</w:t>
      </w:r>
    </w:p>
    <w:p w14:paraId="32F783C1" w14:textId="25AE4C19" w:rsidR="00283426" w:rsidRPr="008663FC" w:rsidRDefault="00263674" w:rsidP="0072376D">
      <w:pPr>
        <w:pStyle w:val="ECHRPara"/>
        <w:rPr>
          <w:lang w:val="pl-PL"/>
        </w:rPr>
      </w:pPr>
      <w:r w:rsidRPr="008663FC">
        <w:rPr>
          <w:noProof/>
          <w:lang w:val="pl-PL"/>
        </w:rPr>
        <w:t>37</w:t>
      </w:r>
      <w:r w:rsidRPr="008663FC">
        <w:rPr>
          <w:lang w:val="pl-PL"/>
        </w:rPr>
        <w:t>.</w:t>
      </w:r>
      <w:r w:rsidR="00510FFD">
        <w:rPr>
          <w:lang w:val="pl-PL"/>
        </w:rPr>
        <w:t xml:space="preserve"> </w:t>
      </w:r>
      <w:r w:rsidRPr="008663FC">
        <w:rPr>
          <w:lang w:val="pl-PL"/>
        </w:rPr>
        <w:t>Wyjątkowy charakter okoliczności, które mogą uzasadniać rezygnację z rozprawy ustnej w postępowaniu dotyczącym prawa „o</w:t>
      </w:r>
      <w:r w:rsidR="00D65F50">
        <w:rPr>
          <w:lang w:val="pl-PL"/>
        </w:rPr>
        <w:t> </w:t>
      </w:r>
      <w:r w:rsidRPr="008663FC">
        <w:rPr>
          <w:lang w:val="pl-PL"/>
        </w:rPr>
        <w:t>charakterze cywilnym”, sprowadza się zasadniczo do charakteru kwestii, które mają być rozstrzygane przez właściwy sąd krajowy, nie zaś do</w:t>
      </w:r>
      <w:r w:rsidR="00D65F50">
        <w:rPr>
          <w:lang w:val="pl-PL"/>
        </w:rPr>
        <w:t> </w:t>
      </w:r>
      <w:r w:rsidRPr="008663FC">
        <w:rPr>
          <w:lang w:val="pl-PL"/>
        </w:rPr>
        <w:t xml:space="preserve">częstotliwości takich sytuacji (zob. </w:t>
      </w:r>
      <w:proofErr w:type="spellStart"/>
      <w:r w:rsidRPr="008663FC">
        <w:rPr>
          <w:i/>
          <w:iCs/>
          <w:lang w:val="pl-PL"/>
        </w:rPr>
        <w:t>Madaus</w:t>
      </w:r>
      <w:proofErr w:type="spellEnd"/>
      <w:r w:rsidRPr="008663FC">
        <w:rPr>
          <w:i/>
          <w:iCs/>
          <w:lang w:val="pl-PL"/>
        </w:rPr>
        <w:t xml:space="preserve"> przeciwko Niemcom</w:t>
      </w:r>
      <w:r w:rsidRPr="008663FC">
        <w:rPr>
          <w:lang w:val="pl-PL"/>
        </w:rPr>
        <w:t>, nr</w:t>
      </w:r>
      <w:r w:rsidR="00D65F50">
        <w:rPr>
          <w:lang w:val="pl-PL"/>
        </w:rPr>
        <w:t> </w:t>
      </w:r>
      <w:r w:rsidRPr="008663FC">
        <w:rPr>
          <w:lang w:val="pl-PL"/>
        </w:rPr>
        <w:t xml:space="preserve">44164/14, § 23, 9 czerwca 2016 r., a także sprawa </w:t>
      </w:r>
      <w:proofErr w:type="spellStart"/>
      <w:r w:rsidRPr="008663FC">
        <w:rPr>
          <w:i/>
          <w:iCs/>
          <w:lang w:val="pl-PL"/>
        </w:rPr>
        <w:t>Jussila</w:t>
      </w:r>
      <w:proofErr w:type="spellEnd"/>
      <w:r w:rsidRPr="008663FC">
        <w:rPr>
          <w:i/>
          <w:iCs/>
          <w:lang w:val="pl-PL"/>
        </w:rPr>
        <w:t xml:space="preserve"> przeciwko Finlandii</w:t>
      </w:r>
      <w:r w:rsidRPr="008663FC">
        <w:rPr>
          <w:lang w:val="pl-PL"/>
        </w:rPr>
        <w:t xml:space="preserve"> [</w:t>
      </w:r>
      <w:proofErr w:type="spellStart"/>
      <w:r w:rsidRPr="008663FC">
        <w:rPr>
          <w:lang w:val="pl-PL"/>
        </w:rPr>
        <w:t>WI</w:t>
      </w:r>
      <w:proofErr w:type="spellEnd"/>
      <w:r w:rsidRPr="008663FC">
        <w:rPr>
          <w:lang w:val="pl-PL"/>
        </w:rPr>
        <w:t xml:space="preserve">], nr 73053/01, § 42, </w:t>
      </w:r>
      <w:r w:rsidR="00366183">
        <w:rPr>
          <w:lang w:val="pl-PL"/>
        </w:rPr>
        <w:t>ETPC</w:t>
      </w:r>
      <w:r w:rsidRPr="008663FC">
        <w:rPr>
          <w:lang w:val="pl-PL"/>
        </w:rPr>
        <w:t xml:space="preserve"> 2006-XIV dotycząca części karnej art. 6 ust. 1 Konwencji). Nie</w:t>
      </w:r>
      <w:r w:rsidR="00241BF6">
        <w:rPr>
          <w:lang w:val="pl-PL"/>
        </w:rPr>
        <w:t> </w:t>
      </w:r>
      <w:r w:rsidRPr="008663FC">
        <w:rPr>
          <w:lang w:val="pl-PL"/>
        </w:rPr>
        <w:t xml:space="preserve">oznacza to jednak, że odmowa przeprowadzenia rozprawy ustnej może być uzasadniona jedynie w rzadkich przypadkach (zob. </w:t>
      </w:r>
      <w:r w:rsidRPr="008663FC">
        <w:rPr>
          <w:i/>
          <w:iCs/>
          <w:lang w:val="pl-PL"/>
        </w:rPr>
        <w:t xml:space="preserve">Miller przeciwko Szwecji, </w:t>
      </w:r>
      <w:r w:rsidRPr="008663FC">
        <w:rPr>
          <w:lang w:val="pl-PL"/>
        </w:rPr>
        <w:t>nr 55853/00, § 29, 8 lutego 2005 r.). Trybunał uznawał wystąpienie okoliczności wyjątkowych w</w:t>
      </w:r>
      <w:r w:rsidR="00D65F50">
        <w:rPr>
          <w:lang w:val="pl-PL"/>
        </w:rPr>
        <w:t> </w:t>
      </w:r>
      <w:r w:rsidRPr="008663FC">
        <w:rPr>
          <w:lang w:val="pl-PL"/>
        </w:rPr>
        <w:t xml:space="preserve">sprawach, w których postępowanie dotyczyło wyłącznie kwestii prawnych lub wysoce technicznych (zob. </w:t>
      </w:r>
      <w:proofErr w:type="spellStart"/>
      <w:r w:rsidRPr="008663FC">
        <w:rPr>
          <w:i/>
          <w:iCs/>
          <w:lang w:val="pl-PL"/>
        </w:rPr>
        <w:t>Schuler-Zgraggen</w:t>
      </w:r>
      <w:proofErr w:type="spellEnd"/>
      <w:r w:rsidRPr="008663FC">
        <w:rPr>
          <w:i/>
          <w:iCs/>
          <w:lang w:val="pl-PL"/>
        </w:rPr>
        <w:t xml:space="preserve"> przeciwko Szwajcarii</w:t>
      </w:r>
      <w:r w:rsidRPr="008663FC">
        <w:rPr>
          <w:lang w:val="pl-PL"/>
        </w:rPr>
        <w:t xml:space="preserve">, 24 czerwca 1993 r., § 58, Seria A, nr 263; </w:t>
      </w:r>
      <w:proofErr w:type="spellStart"/>
      <w:r w:rsidRPr="008663FC">
        <w:rPr>
          <w:i/>
          <w:iCs/>
          <w:lang w:val="pl-PL"/>
        </w:rPr>
        <w:t>Varela</w:t>
      </w:r>
      <w:proofErr w:type="spellEnd"/>
      <w:r w:rsidRPr="008663FC">
        <w:rPr>
          <w:i/>
          <w:iCs/>
          <w:lang w:val="pl-PL"/>
        </w:rPr>
        <w:t xml:space="preserve"> </w:t>
      </w:r>
      <w:proofErr w:type="spellStart"/>
      <w:r w:rsidRPr="008663FC">
        <w:rPr>
          <w:i/>
          <w:iCs/>
          <w:lang w:val="pl-PL"/>
        </w:rPr>
        <w:t>Assalino</w:t>
      </w:r>
      <w:proofErr w:type="spellEnd"/>
      <w:r w:rsidRPr="008663FC">
        <w:rPr>
          <w:i/>
          <w:iCs/>
          <w:lang w:val="pl-PL"/>
        </w:rPr>
        <w:t xml:space="preserve"> przeciwko Portugalii</w:t>
      </w:r>
      <w:r w:rsidRPr="008663FC">
        <w:rPr>
          <w:lang w:val="pl-PL"/>
        </w:rPr>
        <w:t xml:space="preserve"> (</w:t>
      </w:r>
      <w:proofErr w:type="spellStart"/>
      <w:r w:rsidRPr="008663FC">
        <w:rPr>
          <w:lang w:val="pl-PL"/>
        </w:rPr>
        <w:t>dec</w:t>
      </w:r>
      <w:proofErr w:type="spellEnd"/>
      <w:r w:rsidRPr="008663FC">
        <w:rPr>
          <w:lang w:val="pl-PL"/>
        </w:rPr>
        <w:t>.), nr 64336/01, 25 kwietnia 2002</w:t>
      </w:r>
      <w:r w:rsidR="00D03718">
        <w:rPr>
          <w:lang w:val="pl-PL"/>
        </w:rPr>
        <w:t> </w:t>
      </w:r>
      <w:r w:rsidRPr="008663FC">
        <w:rPr>
          <w:lang w:val="pl-PL"/>
        </w:rPr>
        <w:t>r. oraz</w:t>
      </w:r>
      <w:r w:rsidR="00D65F50">
        <w:rPr>
          <w:lang w:val="pl-PL"/>
        </w:rPr>
        <w:t> </w:t>
      </w:r>
      <w:proofErr w:type="spellStart"/>
      <w:r w:rsidRPr="008663FC">
        <w:rPr>
          <w:i/>
          <w:iCs/>
          <w:lang w:val="pl-PL"/>
        </w:rPr>
        <w:t>Speil</w:t>
      </w:r>
      <w:proofErr w:type="spellEnd"/>
      <w:r w:rsidRPr="008663FC">
        <w:rPr>
          <w:i/>
          <w:iCs/>
          <w:lang w:val="pl-PL"/>
        </w:rPr>
        <w:t xml:space="preserve"> przeciwko Austrii </w:t>
      </w:r>
      <w:r w:rsidRPr="008663FC">
        <w:rPr>
          <w:lang w:val="pl-PL"/>
        </w:rPr>
        <w:t>(</w:t>
      </w:r>
      <w:proofErr w:type="spellStart"/>
      <w:r w:rsidRPr="008663FC">
        <w:rPr>
          <w:lang w:val="pl-PL"/>
        </w:rPr>
        <w:t>dec</w:t>
      </w:r>
      <w:proofErr w:type="spellEnd"/>
      <w:r w:rsidRPr="008663FC">
        <w:rPr>
          <w:lang w:val="pl-PL"/>
        </w:rPr>
        <w:t>.), nr 42057/98, 5 września 2002 r.). Mogą</w:t>
      </w:r>
      <w:r w:rsidR="00D65F50">
        <w:rPr>
          <w:lang w:val="pl-PL"/>
        </w:rPr>
        <w:t> </w:t>
      </w:r>
      <w:r w:rsidRPr="008663FC">
        <w:rPr>
          <w:lang w:val="pl-PL"/>
        </w:rPr>
        <w:t>istnieć postępowania, w których przeprowadzenie ustnej rozprawy może nie być wymagane: przykładowo w sytuacjach, gdy nie istnieją kwestie sporne dotyczące wiarygodności lub kwestionowanych faktów, które wymagałyby rozprawy, a sądy mogą w sposób sprawiedliwy i</w:t>
      </w:r>
      <w:r w:rsidR="00D65F50">
        <w:rPr>
          <w:lang w:val="pl-PL"/>
        </w:rPr>
        <w:t> </w:t>
      </w:r>
      <w:r w:rsidRPr="008663FC">
        <w:rPr>
          <w:lang w:val="pl-PL"/>
        </w:rPr>
        <w:t xml:space="preserve">rozsądny rozstrzygnąć sprawę w oparciu o stanowiska stron i inne materiały w formie pisemnej (zob. </w:t>
      </w:r>
      <w:proofErr w:type="spellStart"/>
      <w:r w:rsidRPr="008663FC">
        <w:rPr>
          <w:i/>
          <w:iCs/>
          <w:lang w:val="pl-PL"/>
        </w:rPr>
        <w:t>Jussila</w:t>
      </w:r>
      <w:proofErr w:type="spellEnd"/>
      <w:r w:rsidRPr="008663FC">
        <w:rPr>
          <w:lang w:val="pl-PL"/>
        </w:rPr>
        <w:t>, cyt. powyżej, § 41, wraz z</w:t>
      </w:r>
      <w:r w:rsidR="00D65F50">
        <w:rPr>
          <w:lang w:val="pl-PL"/>
        </w:rPr>
        <w:t> </w:t>
      </w:r>
      <w:r w:rsidRPr="008663FC">
        <w:rPr>
          <w:lang w:val="pl-PL"/>
        </w:rPr>
        <w:t xml:space="preserve">odniesieniem do sprawy </w:t>
      </w:r>
      <w:proofErr w:type="spellStart"/>
      <w:r w:rsidRPr="008663FC">
        <w:rPr>
          <w:i/>
          <w:iCs/>
          <w:lang w:val="pl-PL"/>
        </w:rPr>
        <w:lastRenderedPageBreak/>
        <w:t>Döry</w:t>
      </w:r>
      <w:proofErr w:type="spellEnd"/>
      <w:r w:rsidRPr="008663FC">
        <w:rPr>
          <w:i/>
          <w:iCs/>
          <w:lang w:val="pl-PL"/>
        </w:rPr>
        <w:t xml:space="preserve"> przeciwko Szwecji</w:t>
      </w:r>
      <w:r w:rsidRPr="008663FC">
        <w:rPr>
          <w:lang w:val="pl-PL"/>
        </w:rPr>
        <w:t>, nr 28394/95, § 37, 12</w:t>
      </w:r>
      <w:r w:rsidR="00D65F50">
        <w:rPr>
          <w:lang w:val="pl-PL"/>
        </w:rPr>
        <w:t> </w:t>
      </w:r>
      <w:r w:rsidRPr="008663FC">
        <w:rPr>
          <w:lang w:val="pl-PL"/>
        </w:rPr>
        <w:t>listopada 2002 r. dotyczącej art. 6 ust. 1 Konwencji w części dotyczącej praw o charakterze cywilnym).</w:t>
      </w:r>
    </w:p>
    <w:p w14:paraId="5C8658E8" w14:textId="772F1731" w:rsidR="00853461" w:rsidRPr="008663FC" w:rsidRDefault="00263674" w:rsidP="0072376D">
      <w:pPr>
        <w:pStyle w:val="ECHRPara"/>
        <w:rPr>
          <w:lang w:val="pl-PL"/>
        </w:rPr>
      </w:pPr>
      <w:r w:rsidRPr="008663FC">
        <w:rPr>
          <w:noProof/>
          <w:lang w:val="pl-PL"/>
        </w:rPr>
        <w:t>38</w:t>
      </w:r>
      <w:r w:rsidRPr="008663FC">
        <w:rPr>
          <w:lang w:val="pl-PL"/>
        </w:rPr>
        <w:t>.</w:t>
      </w:r>
      <w:r w:rsidR="00510FFD">
        <w:rPr>
          <w:lang w:val="pl-PL"/>
        </w:rPr>
        <w:t xml:space="preserve"> </w:t>
      </w:r>
      <w:r w:rsidRPr="008663FC">
        <w:rPr>
          <w:lang w:val="pl-PL"/>
        </w:rPr>
        <w:t>Odnosząc się do okoliczności niniejszej sprawy, Trybunał zauważa, że</w:t>
      </w:r>
      <w:r w:rsidR="00241BF6">
        <w:rPr>
          <w:lang w:val="pl-PL"/>
        </w:rPr>
        <w:t> </w:t>
      </w:r>
      <w:r w:rsidRPr="008663FC">
        <w:rPr>
          <w:lang w:val="pl-PL"/>
        </w:rPr>
        <w:t>fakt, iż przed Sądem Administracyjnym lub przed innym organem nie</w:t>
      </w:r>
      <w:r w:rsidR="00D65F50">
        <w:rPr>
          <w:lang w:val="pl-PL"/>
        </w:rPr>
        <w:t> </w:t>
      </w:r>
      <w:r w:rsidRPr="008663FC">
        <w:rPr>
          <w:lang w:val="pl-PL"/>
        </w:rPr>
        <w:t>odbyła się rozprawa i że nie przedstawiono uzasadnienia takiego faktu</w:t>
      </w:r>
      <w:r w:rsidR="009211D0">
        <w:rPr>
          <w:lang w:val="pl-PL"/>
        </w:rPr>
        <w:t>,</w:t>
      </w:r>
      <w:r w:rsidRPr="008663FC">
        <w:rPr>
          <w:lang w:val="pl-PL"/>
        </w:rPr>
        <w:t xml:space="preserve"> nie jest przedmiotem sporu pomiędzy stronami (zob. par. </w:t>
      </w:r>
      <w:r w:rsidRPr="008663FC">
        <w:rPr>
          <w:noProof/>
          <w:lang w:val="pl-PL"/>
        </w:rPr>
        <w:t>34</w:t>
      </w:r>
      <w:r w:rsidRPr="008663FC">
        <w:rPr>
          <w:lang w:val="pl-PL"/>
        </w:rPr>
        <w:t xml:space="preserve"> powyżej). Należy zatem zbadać, czy wystąpiły jakieś wyjątkowe okoliczności uzasadniające odstąpienie w niniejszej sprawie od rozprawy ustnej.</w:t>
      </w:r>
    </w:p>
    <w:p w14:paraId="290D954C" w14:textId="6177F151" w:rsidR="00F25F23" w:rsidRPr="008663FC" w:rsidRDefault="00F01D2B" w:rsidP="0072376D">
      <w:pPr>
        <w:pStyle w:val="ECHRPara"/>
        <w:rPr>
          <w:lang w:val="pl-PL"/>
        </w:rPr>
      </w:pPr>
      <w:r w:rsidRPr="008663FC">
        <w:rPr>
          <w:noProof/>
          <w:lang w:val="pl-PL"/>
        </w:rPr>
        <w:t>39</w:t>
      </w:r>
      <w:r w:rsidRPr="008663FC">
        <w:rPr>
          <w:lang w:val="pl-PL"/>
        </w:rPr>
        <w:t>.</w:t>
      </w:r>
      <w:r w:rsidR="00510FFD">
        <w:rPr>
          <w:lang w:val="pl-PL"/>
        </w:rPr>
        <w:t xml:space="preserve"> </w:t>
      </w:r>
      <w:r w:rsidRPr="008663FC">
        <w:rPr>
          <w:lang w:val="pl-PL"/>
        </w:rPr>
        <w:t>Trybunał zauważa, że Sąd Administracyjny występował w</w:t>
      </w:r>
      <w:r w:rsidR="00D65F50">
        <w:rPr>
          <w:lang w:val="pl-PL"/>
        </w:rPr>
        <w:t> </w:t>
      </w:r>
      <w:r w:rsidRPr="008663FC">
        <w:rPr>
          <w:lang w:val="pl-PL"/>
        </w:rPr>
        <w:t>charakterze sądu pierwszej instancji. Była to także jedyna instancja posiadająca pełną jurysdykcję, to znaczy jurysdykcję, która nie ograniczała się do kwestii prawnych, lecz obejmowała również kwestie faktyczne (zob.</w:t>
      </w:r>
      <w:r w:rsidR="00D65F50">
        <w:rPr>
          <w:lang w:val="pl-PL"/>
        </w:rPr>
        <w:t> </w:t>
      </w:r>
      <w:r w:rsidRPr="008663FC">
        <w:rPr>
          <w:lang w:val="pl-PL"/>
        </w:rPr>
        <w:t xml:space="preserve">par. </w:t>
      </w:r>
      <w:r w:rsidRPr="008663FC">
        <w:rPr>
          <w:noProof/>
          <w:lang w:val="pl-PL"/>
        </w:rPr>
        <w:t>21</w:t>
      </w:r>
      <w:r w:rsidRPr="008663FC">
        <w:rPr>
          <w:lang w:val="pl-PL"/>
        </w:rPr>
        <w:t>-</w:t>
      </w:r>
      <w:r w:rsidRPr="008663FC">
        <w:rPr>
          <w:noProof/>
          <w:lang w:val="pl-PL"/>
        </w:rPr>
        <w:t>22</w:t>
      </w:r>
      <w:r w:rsidRPr="008663FC">
        <w:rPr>
          <w:lang w:val="pl-PL"/>
        </w:rPr>
        <w:t xml:space="preserve"> powyżej). Zakres kontroli sądowej przed Sądem Najwyższym i Trybunałem Konstytucyjnym ogranicza</w:t>
      </w:r>
      <w:r w:rsidR="009211D0">
        <w:rPr>
          <w:lang w:val="pl-PL"/>
        </w:rPr>
        <w:t>ł</w:t>
      </w:r>
      <w:r w:rsidRPr="008663FC">
        <w:rPr>
          <w:lang w:val="pl-PL"/>
        </w:rPr>
        <w:t xml:space="preserve"> się natomiast do</w:t>
      </w:r>
      <w:r w:rsidR="00D65F50">
        <w:rPr>
          <w:lang w:val="pl-PL"/>
        </w:rPr>
        <w:t> </w:t>
      </w:r>
      <w:r w:rsidRPr="008663FC">
        <w:rPr>
          <w:lang w:val="pl-PL"/>
        </w:rPr>
        <w:t xml:space="preserve">kwestii prawnych i kwestii prawa konstytucyjnego (zob. par. </w:t>
      </w:r>
      <w:r w:rsidRPr="008663FC">
        <w:rPr>
          <w:noProof/>
          <w:lang w:val="pl-PL"/>
        </w:rPr>
        <w:t>20</w:t>
      </w:r>
      <w:r w:rsidRPr="008663FC">
        <w:rPr>
          <w:lang w:val="pl-PL"/>
        </w:rPr>
        <w:t xml:space="preserve"> i </w:t>
      </w:r>
      <w:r w:rsidRPr="008663FC">
        <w:rPr>
          <w:noProof/>
          <w:lang w:val="pl-PL"/>
        </w:rPr>
        <w:t>24</w:t>
      </w:r>
      <w:r w:rsidRPr="008663FC">
        <w:rPr>
          <w:lang w:val="pl-PL"/>
        </w:rPr>
        <w:t xml:space="preserve"> powyżej).</w:t>
      </w:r>
    </w:p>
    <w:p w14:paraId="0925565C" w14:textId="2A26D681" w:rsidR="0038571B" w:rsidRPr="008663FC" w:rsidRDefault="00F25F23" w:rsidP="0072376D">
      <w:pPr>
        <w:pStyle w:val="ECHRPara"/>
        <w:rPr>
          <w:lang w:val="pl-PL"/>
        </w:rPr>
      </w:pPr>
      <w:r w:rsidRPr="008663FC">
        <w:rPr>
          <w:noProof/>
          <w:lang w:val="pl-PL"/>
        </w:rPr>
        <w:t>40</w:t>
      </w:r>
      <w:r w:rsidRPr="008663FC">
        <w:rPr>
          <w:lang w:val="pl-PL"/>
        </w:rPr>
        <w:t>.</w:t>
      </w:r>
      <w:r w:rsidR="00510FFD">
        <w:rPr>
          <w:lang w:val="pl-PL"/>
        </w:rPr>
        <w:t xml:space="preserve"> </w:t>
      </w:r>
      <w:r w:rsidRPr="008663FC">
        <w:rPr>
          <w:lang w:val="pl-PL"/>
        </w:rPr>
        <w:t>Trybunał zauważa w tym względzie, że, jak wynika z oświadczeń skarżącego instytutu przedłożonych do Sądu Administracyjnego, roszczenia instytutu mogły spowodować powstanie wątpliwości co do okoliczności faktycznych i prawnych decyzji Ministerstwa z dnia 30 marca 2010 r. (zob.</w:t>
      </w:r>
      <w:r w:rsidR="00D65F50">
        <w:rPr>
          <w:lang w:val="pl-PL"/>
        </w:rPr>
        <w:t> </w:t>
      </w:r>
      <w:r w:rsidRPr="008663FC">
        <w:rPr>
          <w:lang w:val="pl-PL"/>
        </w:rPr>
        <w:t xml:space="preserve">par. </w:t>
      </w:r>
      <w:r w:rsidRPr="008663FC">
        <w:rPr>
          <w:noProof/>
          <w:lang w:val="pl-PL"/>
        </w:rPr>
        <w:t>11</w:t>
      </w:r>
      <w:r w:rsidRPr="008663FC">
        <w:rPr>
          <w:lang w:val="pl-PL"/>
        </w:rPr>
        <w:t xml:space="preserve"> powyżej). Skarżący instytut konsekwentnie twierdził, że osoby oceniające znajdowały się w sytuacji konfliktu interesów, co doprowadziło do istotnych błędów w postępowaniu przetargowym i ocenie programów (zob. par. </w:t>
      </w:r>
      <w:r w:rsidRPr="008663FC">
        <w:rPr>
          <w:noProof/>
          <w:lang w:val="pl-PL"/>
        </w:rPr>
        <w:t>10</w:t>
      </w:r>
      <w:r w:rsidRPr="008663FC">
        <w:rPr>
          <w:lang w:val="pl-PL"/>
        </w:rPr>
        <w:t xml:space="preserve">, </w:t>
      </w:r>
      <w:r w:rsidRPr="008663FC">
        <w:rPr>
          <w:noProof/>
          <w:lang w:val="pl-PL"/>
        </w:rPr>
        <w:t>11</w:t>
      </w:r>
      <w:r w:rsidRPr="008663FC">
        <w:rPr>
          <w:lang w:val="pl-PL"/>
        </w:rPr>
        <w:t xml:space="preserve">, </w:t>
      </w:r>
      <w:r w:rsidRPr="008663FC">
        <w:rPr>
          <w:noProof/>
          <w:lang w:val="pl-PL"/>
        </w:rPr>
        <w:t>14</w:t>
      </w:r>
      <w:r w:rsidRPr="008663FC">
        <w:rPr>
          <w:lang w:val="pl-PL"/>
        </w:rPr>
        <w:t xml:space="preserve"> i </w:t>
      </w:r>
      <w:r w:rsidRPr="008663FC">
        <w:rPr>
          <w:noProof/>
          <w:lang w:val="pl-PL"/>
        </w:rPr>
        <w:t>16</w:t>
      </w:r>
      <w:r w:rsidRPr="008663FC">
        <w:rPr>
          <w:lang w:val="pl-PL"/>
        </w:rPr>
        <w:t xml:space="preserve"> powyżej).</w:t>
      </w:r>
    </w:p>
    <w:p w14:paraId="786EC16A" w14:textId="0E4230AA" w:rsidR="00853461" w:rsidRPr="008663FC" w:rsidRDefault="0038571B" w:rsidP="0072376D">
      <w:pPr>
        <w:pStyle w:val="ECHRPara"/>
        <w:rPr>
          <w:lang w:val="pl-PL"/>
        </w:rPr>
      </w:pPr>
      <w:r w:rsidRPr="008663FC">
        <w:rPr>
          <w:noProof/>
          <w:lang w:val="pl-PL"/>
        </w:rPr>
        <w:t>41</w:t>
      </w:r>
      <w:r w:rsidRPr="008663FC">
        <w:rPr>
          <w:lang w:val="pl-PL"/>
        </w:rPr>
        <w:t>.</w:t>
      </w:r>
      <w:r w:rsidR="00510FFD">
        <w:rPr>
          <w:lang w:val="pl-PL"/>
        </w:rPr>
        <w:t xml:space="preserve"> </w:t>
      </w:r>
      <w:r w:rsidRPr="008663FC">
        <w:rPr>
          <w:lang w:val="pl-PL"/>
        </w:rPr>
        <w:t xml:space="preserve">W dalszej części [Trybunał] zauważa, że Rząd potwierdził w swoich oświadczeniach, iż okoliczności faktyczne sprawy były przedmiotem sporu pomiędzy stronami (zob. par. </w:t>
      </w:r>
      <w:r w:rsidRPr="008663FC">
        <w:rPr>
          <w:noProof/>
          <w:lang w:val="pl-PL"/>
        </w:rPr>
        <w:t>34</w:t>
      </w:r>
      <w:r w:rsidRPr="008663FC">
        <w:rPr>
          <w:lang w:val="pl-PL"/>
        </w:rPr>
        <w:t xml:space="preserve"> powyżej).</w:t>
      </w:r>
    </w:p>
    <w:p w14:paraId="4BFEEFFA" w14:textId="03F5625C" w:rsidR="00853461" w:rsidRPr="008663FC" w:rsidRDefault="0038571B" w:rsidP="0072376D">
      <w:pPr>
        <w:pStyle w:val="ECHRPara"/>
        <w:rPr>
          <w:lang w:val="pl-PL"/>
        </w:rPr>
      </w:pPr>
      <w:r w:rsidRPr="008663FC">
        <w:rPr>
          <w:noProof/>
          <w:lang w:val="pl-PL"/>
        </w:rPr>
        <w:t>42</w:t>
      </w:r>
      <w:r w:rsidRPr="008663FC">
        <w:rPr>
          <w:lang w:val="pl-PL"/>
        </w:rPr>
        <w:t>.</w:t>
      </w:r>
      <w:r w:rsidR="00510FFD">
        <w:rPr>
          <w:lang w:val="pl-PL"/>
        </w:rPr>
        <w:t xml:space="preserve"> </w:t>
      </w:r>
      <w:r w:rsidRPr="008663FC">
        <w:rPr>
          <w:lang w:val="pl-PL"/>
        </w:rPr>
        <w:t>Trybunał przyjmuje zatem, że kwestie rozpoznawane przez Sąd</w:t>
      </w:r>
      <w:r w:rsidR="00D65F50">
        <w:rPr>
          <w:lang w:val="pl-PL"/>
        </w:rPr>
        <w:t> </w:t>
      </w:r>
      <w:r w:rsidRPr="008663FC">
        <w:rPr>
          <w:lang w:val="pl-PL"/>
        </w:rPr>
        <w:t>Administracyjny dotyczyły również stanu faktycznego.</w:t>
      </w:r>
    </w:p>
    <w:p w14:paraId="0E491607" w14:textId="7B7C266C" w:rsidR="00B66238" w:rsidRPr="008663FC" w:rsidRDefault="0038571B" w:rsidP="0072376D">
      <w:pPr>
        <w:pStyle w:val="ECHRPara"/>
        <w:rPr>
          <w:lang w:val="pl-PL"/>
        </w:rPr>
      </w:pPr>
      <w:r w:rsidRPr="008663FC">
        <w:rPr>
          <w:noProof/>
          <w:lang w:val="pl-PL"/>
        </w:rPr>
        <w:t>43</w:t>
      </w:r>
      <w:r w:rsidRPr="008663FC">
        <w:rPr>
          <w:lang w:val="pl-PL"/>
        </w:rPr>
        <w:t>.</w:t>
      </w:r>
      <w:r w:rsidR="00510FFD">
        <w:rPr>
          <w:lang w:val="pl-PL"/>
        </w:rPr>
        <w:t xml:space="preserve"> </w:t>
      </w:r>
      <w:r w:rsidRPr="008663FC">
        <w:rPr>
          <w:lang w:val="pl-PL"/>
        </w:rPr>
        <w:t>Trybunał zauważa, że skarżący instytut wyraźnie wnioskował o</w:t>
      </w:r>
      <w:r w:rsidR="00D65F50">
        <w:rPr>
          <w:lang w:val="pl-PL"/>
        </w:rPr>
        <w:t> </w:t>
      </w:r>
      <w:r w:rsidRPr="008663FC">
        <w:rPr>
          <w:lang w:val="pl-PL"/>
        </w:rPr>
        <w:t>przeprowadzenie rozprawy. Wniosek ten odnosił się do konkretnych dowodów, o których zebranie zwrócił się do sądu, a mianowicie o</w:t>
      </w:r>
      <w:r w:rsidR="00D65F50">
        <w:rPr>
          <w:lang w:val="pl-PL"/>
        </w:rPr>
        <w:t> </w:t>
      </w:r>
      <w:r w:rsidRPr="008663FC">
        <w:rPr>
          <w:lang w:val="pl-PL"/>
        </w:rPr>
        <w:t xml:space="preserve">przesłuchanie pana K. w odniesieniu do faktów istotnych dla oceny bezstronności osób zaangażowanych w rozstrzygnięcie przetargu. Trybunał jest zdania, że ten aspekt sprawy można uznać za istotny dla wyniku postępowania (zob. par. </w:t>
      </w:r>
      <w:r w:rsidRPr="008663FC">
        <w:rPr>
          <w:noProof/>
          <w:lang w:val="pl-PL"/>
        </w:rPr>
        <w:t>11</w:t>
      </w:r>
      <w:r w:rsidRPr="008663FC">
        <w:rPr>
          <w:lang w:val="pl-PL"/>
        </w:rPr>
        <w:t xml:space="preserve"> powyżej) i że kwestie te były przedmiotem sporu między stronami (zob. par. </w:t>
      </w:r>
      <w:r w:rsidRPr="008663FC">
        <w:rPr>
          <w:noProof/>
          <w:lang w:val="pl-PL"/>
        </w:rPr>
        <w:t>34</w:t>
      </w:r>
      <w:r w:rsidRPr="008663FC">
        <w:rPr>
          <w:lang w:val="pl-PL"/>
        </w:rPr>
        <w:t xml:space="preserve"> powyżej).</w:t>
      </w:r>
    </w:p>
    <w:p w14:paraId="24DEB39B" w14:textId="2330B05C" w:rsidR="00CC2481" w:rsidRPr="008663FC" w:rsidRDefault="00CC2481" w:rsidP="0072376D">
      <w:pPr>
        <w:pStyle w:val="ECHRPara"/>
        <w:rPr>
          <w:lang w:val="pl-PL"/>
        </w:rPr>
      </w:pPr>
      <w:r w:rsidRPr="008663FC">
        <w:rPr>
          <w:noProof/>
          <w:lang w:val="pl-PL"/>
        </w:rPr>
        <w:t>44</w:t>
      </w:r>
      <w:r w:rsidRPr="008663FC">
        <w:rPr>
          <w:lang w:val="pl-PL"/>
        </w:rPr>
        <w:t>.</w:t>
      </w:r>
      <w:r w:rsidR="00510FFD">
        <w:rPr>
          <w:lang w:val="pl-PL"/>
        </w:rPr>
        <w:t xml:space="preserve"> </w:t>
      </w:r>
      <w:r w:rsidRPr="008663FC">
        <w:rPr>
          <w:lang w:val="pl-PL"/>
        </w:rPr>
        <w:t>Trybunał zdaje sobie sprawę, że prawo krajowe nie zawsze wymaga przeprowadzenia rozprawy przed Sądem Administracyjnym. Jest to jednak dopuszczalne tylko w ograniczonej liczbie sytuacji (zob. par. </w:t>
      </w:r>
      <w:r w:rsidRPr="008663FC">
        <w:rPr>
          <w:noProof/>
          <w:lang w:val="pl-PL"/>
        </w:rPr>
        <w:t>22</w:t>
      </w:r>
      <w:r w:rsidRPr="008663FC">
        <w:rPr>
          <w:lang w:val="pl-PL"/>
        </w:rPr>
        <w:t xml:space="preserve"> powyżej). W</w:t>
      </w:r>
      <w:r w:rsidR="00241BF6">
        <w:rPr>
          <w:lang w:val="pl-PL"/>
        </w:rPr>
        <w:t> </w:t>
      </w:r>
      <w:r w:rsidRPr="008663FC">
        <w:rPr>
          <w:lang w:val="pl-PL"/>
        </w:rPr>
        <w:t xml:space="preserve">tym względzie Trybunał zauważa, że Sąd Administracyjny </w:t>
      </w:r>
      <w:r w:rsidR="00B6598B">
        <w:rPr>
          <w:lang w:val="pl-PL"/>
        </w:rPr>
        <w:t>–</w:t>
      </w:r>
      <w:r w:rsidRPr="008663FC">
        <w:rPr>
          <w:lang w:val="pl-PL"/>
        </w:rPr>
        <w:t xml:space="preserve"> z</w:t>
      </w:r>
      <w:r w:rsidR="00B6598B">
        <w:rPr>
          <w:lang w:val="pl-PL"/>
        </w:rPr>
        <w:t> </w:t>
      </w:r>
      <w:r w:rsidRPr="008663FC">
        <w:rPr>
          <w:lang w:val="pl-PL"/>
        </w:rPr>
        <w:t xml:space="preserve">wyjątkiem podsumowania oświadczeń stron </w:t>
      </w:r>
      <w:r w:rsidR="00B6598B">
        <w:rPr>
          <w:lang w:val="pl-PL"/>
        </w:rPr>
        <w:t>–</w:t>
      </w:r>
      <w:r w:rsidRPr="008663FC">
        <w:rPr>
          <w:lang w:val="pl-PL"/>
        </w:rPr>
        <w:t xml:space="preserve"> nie</w:t>
      </w:r>
      <w:r w:rsidR="00B6598B">
        <w:rPr>
          <w:lang w:val="pl-PL"/>
        </w:rPr>
        <w:t xml:space="preserve"> </w:t>
      </w:r>
      <w:r w:rsidRPr="008663FC">
        <w:rPr>
          <w:lang w:val="pl-PL"/>
        </w:rPr>
        <w:t xml:space="preserve">uwzględnił wniosku skarżącego instytutu o przeprowadzenie rozprawy ani nie uzasadnił braku uwzględnienia tego wniosku (zob. par. </w:t>
      </w:r>
      <w:r w:rsidRPr="008663FC">
        <w:rPr>
          <w:noProof/>
          <w:lang w:val="pl-PL"/>
        </w:rPr>
        <w:t>12</w:t>
      </w:r>
      <w:r w:rsidRPr="008663FC">
        <w:rPr>
          <w:lang w:val="pl-PL"/>
        </w:rPr>
        <w:t xml:space="preserve"> i </w:t>
      </w:r>
      <w:r w:rsidRPr="008663FC">
        <w:rPr>
          <w:noProof/>
          <w:lang w:val="pl-PL"/>
        </w:rPr>
        <w:t>13</w:t>
      </w:r>
      <w:r w:rsidRPr="008663FC">
        <w:rPr>
          <w:lang w:val="pl-PL"/>
        </w:rPr>
        <w:t xml:space="preserve"> powyżej). W związku z tym, wobec braku jakiegokolwiek wyjaśnienia, dlaczego Sąd Administracyjny uznał, </w:t>
      </w:r>
      <w:r w:rsidRPr="008663FC">
        <w:rPr>
          <w:lang w:val="pl-PL"/>
        </w:rPr>
        <w:lastRenderedPageBreak/>
        <w:t>że</w:t>
      </w:r>
      <w:r w:rsidR="00241BF6">
        <w:rPr>
          <w:lang w:val="pl-PL"/>
        </w:rPr>
        <w:t> </w:t>
      </w:r>
      <w:r w:rsidRPr="008663FC">
        <w:rPr>
          <w:lang w:val="pl-PL"/>
        </w:rPr>
        <w:t xml:space="preserve">przeprowadzenie rozprawy nie jest konieczne, Trybunałowi trudno jest ustalić, czy Sąd Administracyjny po prostu pominął wniosek skarżącego instytutu dotyczący przeprowadzenia takiej rozprawy, czy też zamierzał go oddalić, a jeżeli taki był jego zamiar, jakie były powody podjęcia takiej decyzji. Trybunałowi trudno jest również wyciągnąć jakiekolwiek wnioski odnośnie do przepisu prawnego, jaki Sąd Administracyjny uznał za podstawę prawną nieprzeprowadzenia rozprawy oraz odnośnie do interpretacji takiego przepisu w kontekście faktów sprawy (zob. </w:t>
      </w:r>
      <w:r w:rsidRPr="008663FC">
        <w:rPr>
          <w:i/>
          <w:iCs/>
          <w:lang w:val="pl-PL"/>
        </w:rPr>
        <w:t>mutatis mutandis</w:t>
      </w:r>
      <w:r w:rsidRPr="008663FC">
        <w:rPr>
          <w:lang w:val="pl-PL"/>
        </w:rPr>
        <w:t xml:space="preserve">, </w:t>
      </w:r>
      <w:proofErr w:type="spellStart"/>
      <w:r w:rsidRPr="008663FC">
        <w:rPr>
          <w:i/>
          <w:iCs/>
          <w:lang w:val="pl-PL"/>
        </w:rPr>
        <w:t>Hiro</w:t>
      </w:r>
      <w:proofErr w:type="spellEnd"/>
      <w:r w:rsidRPr="008663FC">
        <w:rPr>
          <w:i/>
          <w:iCs/>
          <w:lang w:val="pl-PL"/>
        </w:rPr>
        <w:t xml:space="preserve"> </w:t>
      </w:r>
      <w:proofErr w:type="spellStart"/>
      <w:r w:rsidRPr="008663FC">
        <w:rPr>
          <w:i/>
          <w:iCs/>
          <w:lang w:val="pl-PL"/>
        </w:rPr>
        <w:t>Balani</w:t>
      </w:r>
      <w:proofErr w:type="spellEnd"/>
      <w:r w:rsidRPr="008663FC">
        <w:rPr>
          <w:i/>
          <w:iCs/>
          <w:lang w:val="pl-PL"/>
        </w:rPr>
        <w:t xml:space="preserve"> przeciwko Hiszpanii</w:t>
      </w:r>
      <w:r w:rsidRPr="008663FC">
        <w:rPr>
          <w:lang w:val="pl-PL"/>
        </w:rPr>
        <w:t xml:space="preserve">, 9 grudnia 1994 r., § 28, Seria A nr 303-B oraz </w:t>
      </w:r>
      <w:r w:rsidRPr="008663FC">
        <w:rPr>
          <w:i/>
          <w:iCs/>
          <w:lang w:val="pl-PL"/>
        </w:rPr>
        <w:t>Tabor przeciwko Polsce</w:t>
      </w:r>
      <w:r w:rsidRPr="008663FC">
        <w:rPr>
          <w:lang w:val="pl-PL"/>
        </w:rPr>
        <w:t>, nr 12825/02, § 45, 27 czerwca 2006 r.).</w:t>
      </w:r>
    </w:p>
    <w:p w14:paraId="0E9D0978" w14:textId="4546A664" w:rsidR="00014566" w:rsidRPr="008663FC" w:rsidRDefault="00181AB9" w:rsidP="0072376D">
      <w:pPr>
        <w:pStyle w:val="ECHRPara"/>
        <w:rPr>
          <w:lang w:val="pl-PL"/>
        </w:rPr>
      </w:pPr>
      <w:r w:rsidRPr="008663FC">
        <w:rPr>
          <w:noProof/>
          <w:lang w:val="pl-PL"/>
        </w:rPr>
        <w:t>45</w:t>
      </w:r>
      <w:r w:rsidRPr="008663FC">
        <w:rPr>
          <w:lang w:val="pl-PL"/>
        </w:rPr>
        <w:t>.</w:t>
      </w:r>
      <w:r w:rsidR="00510FFD">
        <w:rPr>
          <w:lang w:val="pl-PL"/>
        </w:rPr>
        <w:t xml:space="preserve"> </w:t>
      </w:r>
      <w:r w:rsidRPr="008663FC">
        <w:rPr>
          <w:lang w:val="pl-PL"/>
        </w:rPr>
        <w:t>Uwzględniając powyższe rozważania, Trybunał stwierdza, że</w:t>
      </w:r>
      <w:r w:rsidR="00B6598B">
        <w:rPr>
          <w:lang w:val="pl-PL"/>
        </w:rPr>
        <w:t> </w:t>
      </w:r>
      <w:r w:rsidRPr="008663FC">
        <w:rPr>
          <w:lang w:val="pl-PL"/>
        </w:rPr>
        <w:t>postępowanie nie było rzetelne i że w związku z tym doszło do naruszenia art. 6 ust. 1 Konwencji.</w:t>
      </w:r>
    </w:p>
    <w:p w14:paraId="3980F100" w14:textId="7CB83A44" w:rsidR="00751719" w:rsidRPr="008663FC" w:rsidRDefault="00751719" w:rsidP="0072376D">
      <w:pPr>
        <w:pStyle w:val="ECHRPara"/>
        <w:rPr>
          <w:lang w:val="pl-PL"/>
        </w:rPr>
      </w:pPr>
      <w:r w:rsidRPr="008663FC">
        <w:rPr>
          <w:noProof/>
          <w:lang w:val="pl-PL"/>
        </w:rPr>
        <w:t>46</w:t>
      </w:r>
      <w:r w:rsidRPr="008663FC">
        <w:rPr>
          <w:lang w:val="pl-PL"/>
        </w:rPr>
        <w:t>.</w:t>
      </w:r>
      <w:r w:rsidR="00510FFD">
        <w:rPr>
          <w:lang w:val="pl-PL"/>
        </w:rPr>
        <w:t xml:space="preserve"> </w:t>
      </w:r>
      <w:r w:rsidRPr="008663FC">
        <w:rPr>
          <w:lang w:val="pl-PL"/>
        </w:rPr>
        <w:t xml:space="preserve">Uwzględniając fakty sprawy, oświadczenia stron i powyższe ustalenia poczynione w świetle art. 6, Trybunał uważa, że zbadał główne kwestie prawne podniesione w niniejszej skardze i że nie ma potrzeby wydawania odrębnego orzeczenia w sprawie pozostałych </w:t>
      </w:r>
      <w:r w:rsidR="005E425D">
        <w:rPr>
          <w:lang w:val="pl-PL"/>
        </w:rPr>
        <w:t>zarzutów</w:t>
      </w:r>
      <w:r w:rsidRPr="008663FC">
        <w:rPr>
          <w:lang w:val="pl-PL"/>
        </w:rPr>
        <w:t xml:space="preserve"> (zob.</w:t>
      </w:r>
      <w:r w:rsidR="00B6598B">
        <w:rPr>
          <w:lang w:val="pl-PL"/>
        </w:rPr>
        <w:t> </w:t>
      </w:r>
      <w:r w:rsidRPr="008663FC">
        <w:rPr>
          <w:lang w:val="pl-PL"/>
        </w:rPr>
        <w:t xml:space="preserve">między innymi </w:t>
      </w:r>
      <w:r w:rsidRPr="008663FC">
        <w:rPr>
          <w:i/>
          <w:iCs/>
          <w:lang w:val="pl-PL"/>
        </w:rPr>
        <w:t xml:space="preserve">Centrum Studiów Prawnych w imieniu Valentina </w:t>
      </w:r>
      <w:proofErr w:type="spellStart"/>
      <w:r w:rsidRPr="008663FC">
        <w:rPr>
          <w:i/>
          <w:iCs/>
          <w:lang w:val="pl-PL"/>
        </w:rPr>
        <w:t>Câmpeanu</w:t>
      </w:r>
      <w:proofErr w:type="spellEnd"/>
      <w:r w:rsidRPr="008663FC">
        <w:rPr>
          <w:i/>
          <w:iCs/>
          <w:lang w:val="pl-PL"/>
        </w:rPr>
        <w:t xml:space="preserve"> przeciwko Rumunii</w:t>
      </w:r>
      <w:r w:rsidRPr="008663FC">
        <w:rPr>
          <w:lang w:val="pl-PL"/>
        </w:rPr>
        <w:t xml:space="preserve"> [</w:t>
      </w:r>
      <w:proofErr w:type="spellStart"/>
      <w:r w:rsidRPr="008663FC">
        <w:rPr>
          <w:lang w:val="pl-PL"/>
        </w:rPr>
        <w:t>WI</w:t>
      </w:r>
      <w:proofErr w:type="spellEnd"/>
      <w:r w:rsidRPr="008663FC">
        <w:rPr>
          <w:lang w:val="pl-PL"/>
        </w:rPr>
        <w:t xml:space="preserve">], nr 47848/08, § 156, </w:t>
      </w:r>
      <w:r w:rsidR="00366183">
        <w:rPr>
          <w:lang w:val="pl-PL"/>
        </w:rPr>
        <w:t>ETPC</w:t>
      </w:r>
      <w:r w:rsidRPr="008663FC">
        <w:rPr>
          <w:lang w:val="pl-PL"/>
        </w:rPr>
        <w:t xml:space="preserve"> 2014 r. i</w:t>
      </w:r>
      <w:r w:rsidR="00B6598B">
        <w:rPr>
          <w:lang w:val="pl-PL"/>
        </w:rPr>
        <w:t> </w:t>
      </w:r>
      <w:r w:rsidRPr="008663FC">
        <w:rPr>
          <w:i/>
          <w:iCs/>
          <w:lang w:val="pl-PL"/>
        </w:rPr>
        <w:t>Kamil Uzun przeciwko Turcji</w:t>
      </w:r>
      <w:r w:rsidRPr="008663FC">
        <w:rPr>
          <w:lang w:val="pl-PL"/>
        </w:rPr>
        <w:t>, nr 37410/97, § 64, 10 maja 2007 r.).</w:t>
      </w:r>
    </w:p>
    <w:p w14:paraId="22AA4D84" w14:textId="130F33BD" w:rsidR="00014566" w:rsidRPr="008663FC" w:rsidRDefault="00835239" w:rsidP="0072376D">
      <w:pPr>
        <w:pStyle w:val="ECHRHeading1"/>
        <w:rPr>
          <w:lang w:val="pl-PL"/>
        </w:rPr>
      </w:pPr>
      <w:r w:rsidRPr="008663FC">
        <w:rPr>
          <w:bCs w:val="0"/>
          <w:lang w:val="pl-PL"/>
        </w:rPr>
        <w:t>II.</w:t>
      </w:r>
      <w:r w:rsidR="00510FFD">
        <w:rPr>
          <w:bCs w:val="0"/>
          <w:lang w:val="pl-PL"/>
        </w:rPr>
        <w:t xml:space="preserve"> </w:t>
      </w:r>
      <w:r w:rsidRPr="008663FC">
        <w:rPr>
          <w:bCs w:val="0"/>
          <w:lang w:val="pl-PL"/>
        </w:rPr>
        <w:t>ZASTOSOWANIE ARTYKUŁU 41 KONWENCJI</w:t>
      </w:r>
    </w:p>
    <w:p w14:paraId="7A6C837C" w14:textId="161753EE" w:rsidR="00014566" w:rsidRPr="008663FC" w:rsidRDefault="00181AB9" w:rsidP="0072376D">
      <w:pPr>
        <w:pStyle w:val="ECHRPara"/>
        <w:keepNext/>
        <w:keepLines/>
        <w:rPr>
          <w:lang w:val="pl-PL"/>
        </w:rPr>
      </w:pPr>
      <w:r w:rsidRPr="008663FC">
        <w:rPr>
          <w:noProof/>
          <w:lang w:val="pl-PL"/>
        </w:rPr>
        <w:t>47</w:t>
      </w:r>
      <w:r w:rsidRPr="008663FC">
        <w:rPr>
          <w:lang w:val="pl-PL"/>
        </w:rPr>
        <w:t>.</w:t>
      </w:r>
      <w:r w:rsidR="00510FFD">
        <w:rPr>
          <w:lang w:val="pl-PL"/>
        </w:rPr>
        <w:t xml:space="preserve"> </w:t>
      </w:r>
      <w:r w:rsidRPr="008663FC">
        <w:rPr>
          <w:lang w:val="pl-PL"/>
        </w:rPr>
        <w:t>Artykuł 41 Konwencji stanowi:</w:t>
      </w:r>
    </w:p>
    <w:p w14:paraId="2FFD37A4" w14:textId="27C5D5C0" w:rsidR="00014566" w:rsidRPr="008663FC" w:rsidRDefault="00014566" w:rsidP="0072376D">
      <w:pPr>
        <w:pStyle w:val="ECHRParaQuote"/>
        <w:keepNext/>
        <w:keepLines/>
        <w:rPr>
          <w:lang w:val="pl-PL"/>
        </w:rPr>
      </w:pPr>
      <w:r w:rsidRPr="008663FC">
        <w:rPr>
          <w:lang w:val="pl-PL"/>
        </w:rPr>
        <w:t>„Jeśli Trybunał stwierdzi, że nastąpiło naruszenie Konwencji lub jej Protokołów, oraz</w:t>
      </w:r>
      <w:r w:rsidR="00241BF6">
        <w:rPr>
          <w:lang w:val="pl-PL"/>
        </w:rPr>
        <w:t> </w:t>
      </w:r>
      <w:r w:rsidRPr="008663FC">
        <w:rPr>
          <w:lang w:val="pl-PL"/>
        </w:rPr>
        <w:t>jeśli prawo wewnętrzne zainteresowanej Wysokiej Układającej się Strony pozwala tylko na częściowe usunięcie konsekwencji tego naruszenia, Trybunał orzeka, gdy</w:t>
      </w:r>
      <w:r w:rsidR="00241BF6">
        <w:rPr>
          <w:lang w:val="pl-PL"/>
        </w:rPr>
        <w:t> </w:t>
      </w:r>
      <w:r w:rsidRPr="008663FC">
        <w:rPr>
          <w:lang w:val="pl-PL"/>
        </w:rPr>
        <w:t>zachodzi potrzeba, słuszne zadośćuczynienie pokrzywdzonej stronie.”</w:t>
      </w:r>
    </w:p>
    <w:p w14:paraId="204C5157" w14:textId="4B6DB528" w:rsidR="00014566" w:rsidRPr="008663FC" w:rsidRDefault="00014566" w:rsidP="0072376D">
      <w:pPr>
        <w:pStyle w:val="ECHRHeading2"/>
        <w:rPr>
          <w:lang w:val="pl-PL"/>
        </w:rPr>
      </w:pPr>
      <w:r w:rsidRPr="008663FC">
        <w:rPr>
          <w:lang w:val="pl-PL"/>
        </w:rPr>
        <w:t>A.</w:t>
      </w:r>
      <w:r w:rsidR="00510FFD">
        <w:rPr>
          <w:lang w:val="pl-PL"/>
        </w:rPr>
        <w:t xml:space="preserve"> </w:t>
      </w:r>
      <w:r w:rsidRPr="008663FC">
        <w:rPr>
          <w:lang w:val="pl-PL"/>
        </w:rPr>
        <w:t>Szkoda</w:t>
      </w:r>
    </w:p>
    <w:p w14:paraId="2AD94A60" w14:textId="55278F70" w:rsidR="00014566" w:rsidRPr="008663FC" w:rsidRDefault="00181AB9" w:rsidP="0072376D">
      <w:pPr>
        <w:pStyle w:val="ECHRPara"/>
        <w:rPr>
          <w:lang w:val="pl-PL"/>
        </w:rPr>
      </w:pPr>
      <w:r w:rsidRPr="008663FC">
        <w:rPr>
          <w:noProof/>
          <w:lang w:val="pl-PL"/>
        </w:rPr>
        <w:t>48</w:t>
      </w:r>
      <w:r w:rsidRPr="008663FC">
        <w:rPr>
          <w:lang w:val="pl-PL"/>
        </w:rPr>
        <w:t>.</w:t>
      </w:r>
      <w:r w:rsidR="00510FFD">
        <w:rPr>
          <w:lang w:val="pl-PL"/>
        </w:rPr>
        <w:t xml:space="preserve"> </w:t>
      </w:r>
      <w:r w:rsidRPr="008663FC">
        <w:rPr>
          <w:lang w:val="pl-PL"/>
        </w:rPr>
        <w:t>Skarżący instytut domagał się zadośćuczynienia z tytułu szkód majątkowych w wysokości 1.871.870 euro (EUR). Roszczenie to</w:t>
      </w:r>
      <w:r w:rsidR="00B6598B">
        <w:rPr>
          <w:lang w:val="pl-PL"/>
        </w:rPr>
        <w:t> </w:t>
      </w:r>
      <w:r w:rsidRPr="008663FC">
        <w:rPr>
          <w:lang w:val="pl-PL"/>
        </w:rPr>
        <w:t>odpowiada kwocie finansowania, którą zgodnie z własnymi szacunkami skarżący instytut otrzymałby w przypadku wygrania przetargu. [Skarżący instytut] wniósł również o odszkodowanie w wysokości 100.000 EUR z</w:t>
      </w:r>
      <w:r w:rsidR="00B6598B">
        <w:rPr>
          <w:lang w:val="pl-PL"/>
        </w:rPr>
        <w:t> </w:t>
      </w:r>
      <w:r w:rsidRPr="008663FC">
        <w:rPr>
          <w:lang w:val="pl-PL"/>
        </w:rPr>
        <w:t>tytułu szkód niemajątkowych z powodu frustracji doznanej przez kierownictwo oraz utraty reputacji.</w:t>
      </w:r>
    </w:p>
    <w:p w14:paraId="6D07218F" w14:textId="1FF186EB" w:rsidR="00014566" w:rsidRPr="008663FC" w:rsidRDefault="00181AB9" w:rsidP="0072376D">
      <w:pPr>
        <w:pStyle w:val="ECHRPara"/>
        <w:rPr>
          <w:lang w:val="pl-PL"/>
        </w:rPr>
      </w:pPr>
      <w:r w:rsidRPr="008663FC">
        <w:rPr>
          <w:noProof/>
          <w:lang w:val="pl-PL"/>
        </w:rPr>
        <w:t>49</w:t>
      </w:r>
      <w:r w:rsidRPr="008663FC">
        <w:rPr>
          <w:lang w:val="pl-PL"/>
        </w:rPr>
        <w:t>.</w:t>
      </w:r>
      <w:r w:rsidR="00510FFD">
        <w:rPr>
          <w:lang w:val="pl-PL"/>
        </w:rPr>
        <w:t xml:space="preserve"> </w:t>
      </w:r>
      <w:r w:rsidRPr="008663FC">
        <w:rPr>
          <w:lang w:val="pl-PL"/>
        </w:rPr>
        <w:t>Rząd podkreślił, że skarżącemu instytutowi nie przysługuje prawo do</w:t>
      </w:r>
      <w:r w:rsidR="00B6598B">
        <w:rPr>
          <w:lang w:val="pl-PL"/>
        </w:rPr>
        <w:t> </w:t>
      </w:r>
      <w:r w:rsidRPr="008663FC">
        <w:rPr>
          <w:lang w:val="pl-PL"/>
        </w:rPr>
        <w:t>otrzymania słusznego zadośćuczynienia.</w:t>
      </w:r>
    </w:p>
    <w:p w14:paraId="459F5F3D" w14:textId="7B429C10" w:rsidR="001F5635" w:rsidRPr="008663FC" w:rsidRDefault="00181AB9" w:rsidP="0072376D">
      <w:pPr>
        <w:pStyle w:val="ECHRPara"/>
        <w:rPr>
          <w:lang w:val="pl-PL"/>
        </w:rPr>
      </w:pPr>
      <w:r w:rsidRPr="008663FC">
        <w:rPr>
          <w:noProof/>
          <w:lang w:val="pl-PL"/>
        </w:rPr>
        <w:t>50</w:t>
      </w:r>
      <w:r w:rsidRPr="008663FC">
        <w:rPr>
          <w:lang w:val="pl-PL"/>
        </w:rPr>
        <w:t>.</w:t>
      </w:r>
      <w:r w:rsidR="00510FFD">
        <w:rPr>
          <w:lang w:val="pl-PL"/>
        </w:rPr>
        <w:t xml:space="preserve"> </w:t>
      </w:r>
      <w:r w:rsidRPr="008663FC">
        <w:rPr>
          <w:lang w:val="pl-PL"/>
        </w:rPr>
        <w:t xml:space="preserve">W kwestii domniemanej szkody majątkowej, Trybunał nie może spekulować odnośnie do wyniku postępowania sądowego w przypadku, gdyby postępowanie takie toczyło się bez naruszenia postanowień Konwencji. Nie ma zatem podstaw do przyznania odszkodowania z tego </w:t>
      </w:r>
      <w:r w:rsidRPr="008663FC">
        <w:rPr>
          <w:lang w:val="pl-PL"/>
        </w:rPr>
        <w:lastRenderedPageBreak/>
        <w:t xml:space="preserve">tytułu (zob. </w:t>
      </w:r>
      <w:r w:rsidRPr="008663FC">
        <w:rPr>
          <w:i/>
          <w:iCs/>
          <w:lang w:val="pl-PL"/>
        </w:rPr>
        <w:t>mutatis mutandis</w:t>
      </w:r>
      <w:r w:rsidRPr="008663FC">
        <w:rPr>
          <w:lang w:val="pl-PL"/>
        </w:rPr>
        <w:t xml:space="preserve"> </w:t>
      </w:r>
      <w:proofErr w:type="spellStart"/>
      <w:r w:rsidRPr="008663FC">
        <w:rPr>
          <w:i/>
          <w:iCs/>
          <w:lang w:val="pl-PL"/>
        </w:rPr>
        <w:t>Yvon</w:t>
      </w:r>
      <w:proofErr w:type="spellEnd"/>
      <w:r w:rsidRPr="008663FC">
        <w:rPr>
          <w:i/>
          <w:iCs/>
          <w:lang w:val="pl-PL"/>
        </w:rPr>
        <w:t xml:space="preserve"> przeciwko Francji</w:t>
      </w:r>
      <w:r w:rsidRPr="008663FC">
        <w:rPr>
          <w:lang w:val="pl-PL"/>
        </w:rPr>
        <w:t>,</w:t>
      </w:r>
      <w:r w:rsidRPr="008663FC">
        <w:rPr>
          <w:i/>
          <w:iCs/>
          <w:lang w:val="pl-PL"/>
        </w:rPr>
        <w:t xml:space="preserve"> </w:t>
      </w:r>
      <w:r w:rsidRPr="008663FC">
        <w:rPr>
          <w:lang w:val="pl-PL"/>
        </w:rPr>
        <w:t xml:space="preserve">nr 44962/98, § 44, </w:t>
      </w:r>
      <w:r w:rsidR="00366183">
        <w:rPr>
          <w:lang w:val="pl-PL"/>
        </w:rPr>
        <w:t>ETPC</w:t>
      </w:r>
      <w:r w:rsidRPr="008663FC">
        <w:rPr>
          <w:lang w:val="pl-PL"/>
        </w:rPr>
        <w:t xml:space="preserve"> 2003-V).</w:t>
      </w:r>
    </w:p>
    <w:p w14:paraId="0E157D68" w14:textId="579C60A3" w:rsidR="00014566" w:rsidRPr="008663FC" w:rsidRDefault="00F2448D" w:rsidP="0072376D">
      <w:pPr>
        <w:pStyle w:val="ECHRPara"/>
        <w:rPr>
          <w:lang w:val="pl-PL"/>
        </w:rPr>
      </w:pPr>
      <w:r w:rsidRPr="008663FC">
        <w:rPr>
          <w:noProof/>
          <w:lang w:val="pl-PL"/>
        </w:rPr>
        <w:t>51</w:t>
      </w:r>
      <w:r w:rsidRPr="008663FC">
        <w:rPr>
          <w:lang w:val="pl-PL"/>
        </w:rPr>
        <w:t>.</w:t>
      </w:r>
      <w:r w:rsidR="00510FFD">
        <w:rPr>
          <w:lang w:val="pl-PL"/>
        </w:rPr>
        <w:t xml:space="preserve"> </w:t>
      </w:r>
      <w:r w:rsidRPr="008663FC">
        <w:rPr>
          <w:lang w:val="pl-PL"/>
        </w:rPr>
        <w:t>Trybunał przypom</w:t>
      </w:r>
      <w:r w:rsidR="004C6C60">
        <w:rPr>
          <w:lang w:val="pl-PL"/>
        </w:rPr>
        <w:t>i</w:t>
      </w:r>
      <w:r w:rsidRPr="008663FC">
        <w:rPr>
          <w:lang w:val="pl-PL"/>
        </w:rPr>
        <w:t>na, że podobnie jak w przypadku spółek handlowych, istnieje możliwość przyznania instytutom prywatnym odszkodowania za szkody niemajątkowe w formie pieniężnej. Szkody niemajątkowe poniesione przez takie instytuty mogą obejmować roszczenia, których charakter jest w mniejszym lub większym stopniu „obiektywny” lub</w:t>
      </w:r>
      <w:r w:rsidR="00241BF6">
        <w:rPr>
          <w:lang w:val="pl-PL"/>
        </w:rPr>
        <w:t> </w:t>
      </w:r>
      <w:r w:rsidRPr="008663FC">
        <w:rPr>
          <w:lang w:val="pl-PL"/>
        </w:rPr>
        <w:t>„subiektywny”. W tym względzie pod uwagę należy wziąć reputację instytutu, niepewność procesu decyzyjnego, zakłócenia w zarządzaniu instytutem (dla których nie istnieje precyzyjna metoda obliczania skutków) i</w:t>
      </w:r>
      <w:r w:rsidR="00B6598B">
        <w:rPr>
          <w:lang w:val="pl-PL"/>
        </w:rPr>
        <w:t> </w:t>
      </w:r>
      <w:r w:rsidRPr="008663FC">
        <w:rPr>
          <w:lang w:val="pl-PL"/>
        </w:rPr>
        <w:t>wreszcie, choć w mniejszym stopniu, niepokój i niedogodności dla</w:t>
      </w:r>
      <w:r w:rsidR="00B6598B">
        <w:rPr>
          <w:lang w:val="pl-PL"/>
        </w:rPr>
        <w:t> </w:t>
      </w:r>
      <w:r w:rsidRPr="008663FC">
        <w:rPr>
          <w:lang w:val="pl-PL"/>
        </w:rPr>
        <w:t xml:space="preserve">członków zespołu zarządzającego (zob. </w:t>
      </w:r>
      <w:r w:rsidRPr="008663FC">
        <w:rPr>
          <w:i/>
          <w:iCs/>
          <w:lang w:val="pl-PL"/>
        </w:rPr>
        <w:t>mutatis mutandis</w:t>
      </w:r>
      <w:r w:rsidRPr="008663FC">
        <w:rPr>
          <w:lang w:val="pl-PL"/>
        </w:rPr>
        <w:t xml:space="preserve">, </w:t>
      </w:r>
      <w:proofErr w:type="spellStart"/>
      <w:r w:rsidRPr="008663FC">
        <w:rPr>
          <w:i/>
          <w:iCs/>
          <w:lang w:val="pl-PL"/>
        </w:rPr>
        <w:t>Comingersoll</w:t>
      </w:r>
      <w:proofErr w:type="spellEnd"/>
      <w:r w:rsidRPr="008663FC">
        <w:rPr>
          <w:i/>
          <w:iCs/>
          <w:lang w:val="pl-PL"/>
        </w:rPr>
        <w:t xml:space="preserve"> S.A. przeciwko Portugalii</w:t>
      </w:r>
      <w:r w:rsidRPr="008663FC">
        <w:rPr>
          <w:lang w:val="pl-PL"/>
        </w:rPr>
        <w:t xml:space="preserve"> [</w:t>
      </w:r>
      <w:proofErr w:type="spellStart"/>
      <w:r w:rsidRPr="008663FC">
        <w:rPr>
          <w:lang w:val="pl-PL"/>
        </w:rPr>
        <w:t>WI</w:t>
      </w:r>
      <w:proofErr w:type="spellEnd"/>
      <w:r w:rsidRPr="008663FC">
        <w:rPr>
          <w:lang w:val="pl-PL"/>
        </w:rPr>
        <w:t xml:space="preserve">], nr 35382/97, § 35, </w:t>
      </w:r>
      <w:r w:rsidR="00366183">
        <w:rPr>
          <w:lang w:val="pl-PL"/>
        </w:rPr>
        <w:t>ETPC</w:t>
      </w:r>
      <w:r w:rsidRPr="008663FC">
        <w:rPr>
          <w:lang w:val="pl-PL"/>
        </w:rPr>
        <w:t xml:space="preserve"> 2000-IV). Uwzględniając powyższe kryteria, Trybunał zasądza na rzecz skarżącego instytutu kwotę 4.800 EUR tytułem zadośćuczynienia za szkodę niemajątkową.</w:t>
      </w:r>
    </w:p>
    <w:p w14:paraId="6978B4E1" w14:textId="469FB539" w:rsidR="00014566" w:rsidRPr="008663FC" w:rsidRDefault="00014566" w:rsidP="0072376D">
      <w:pPr>
        <w:pStyle w:val="ECHRHeading2"/>
        <w:rPr>
          <w:lang w:val="pl-PL"/>
        </w:rPr>
      </w:pPr>
      <w:r w:rsidRPr="008663FC">
        <w:rPr>
          <w:lang w:val="pl-PL"/>
        </w:rPr>
        <w:t>B.</w:t>
      </w:r>
      <w:r w:rsidR="00510FFD">
        <w:rPr>
          <w:lang w:val="pl-PL"/>
        </w:rPr>
        <w:t xml:space="preserve"> </w:t>
      </w:r>
      <w:r w:rsidRPr="008663FC">
        <w:rPr>
          <w:lang w:val="pl-PL"/>
        </w:rPr>
        <w:t>Koszty i wydatki</w:t>
      </w:r>
    </w:p>
    <w:p w14:paraId="56BFFB1F" w14:textId="5D2151E0" w:rsidR="00014566" w:rsidRPr="008663FC" w:rsidRDefault="00181AB9" w:rsidP="0072376D">
      <w:pPr>
        <w:pStyle w:val="ECHRPara"/>
        <w:rPr>
          <w:lang w:val="pl-PL"/>
        </w:rPr>
      </w:pPr>
      <w:r w:rsidRPr="008663FC">
        <w:rPr>
          <w:noProof/>
          <w:lang w:val="pl-PL"/>
        </w:rPr>
        <w:t>52</w:t>
      </w:r>
      <w:r w:rsidRPr="008663FC">
        <w:rPr>
          <w:lang w:val="pl-PL"/>
        </w:rPr>
        <w:t>.</w:t>
      </w:r>
      <w:r w:rsidR="00510FFD">
        <w:rPr>
          <w:lang w:val="pl-PL"/>
        </w:rPr>
        <w:t xml:space="preserve"> </w:t>
      </w:r>
      <w:r w:rsidRPr="008663FC">
        <w:rPr>
          <w:lang w:val="pl-PL"/>
        </w:rPr>
        <w:t>Skarżący instytut domagał się także kwoty 11.995,26 euro na</w:t>
      </w:r>
      <w:r w:rsidR="00B6598B">
        <w:rPr>
          <w:lang w:val="pl-PL"/>
        </w:rPr>
        <w:t> </w:t>
      </w:r>
      <w:r w:rsidRPr="008663FC">
        <w:rPr>
          <w:lang w:val="pl-PL"/>
        </w:rPr>
        <w:t>pokrycie kosztów i wydatków w postępowaniu przed sądami krajowymi oraz 2.468,80 euro na pokrycie kosztów i wydatków w postepowaniu przed Trybunałem.</w:t>
      </w:r>
    </w:p>
    <w:p w14:paraId="1E11B6DF" w14:textId="0A3054F6" w:rsidR="00014566" w:rsidRPr="008663FC" w:rsidRDefault="00181AB9" w:rsidP="0072376D">
      <w:pPr>
        <w:pStyle w:val="ECHRPara"/>
        <w:rPr>
          <w:lang w:val="pl-PL"/>
        </w:rPr>
      </w:pPr>
      <w:r w:rsidRPr="008663FC">
        <w:rPr>
          <w:noProof/>
          <w:lang w:val="pl-PL"/>
        </w:rPr>
        <w:t>53</w:t>
      </w:r>
      <w:r w:rsidRPr="008663FC">
        <w:rPr>
          <w:lang w:val="pl-PL"/>
        </w:rPr>
        <w:t>.</w:t>
      </w:r>
      <w:r w:rsidR="00510FFD">
        <w:rPr>
          <w:lang w:val="pl-PL"/>
        </w:rPr>
        <w:t xml:space="preserve"> </w:t>
      </w:r>
      <w:r w:rsidRPr="008663FC">
        <w:rPr>
          <w:lang w:val="pl-PL"/>
        </w:rPr>
        <w:t>Rząd kwestionował wysokość kosztów i wydatków faktycznie poniesionych w postępowaniu krajowym. Wskazał ponadto, iż skarżący instytut załączył do swoich oświadczeń dokumenty różniące się od</w:t>
      </w:r>
      <w:r w:rsidR="00B6598B">
        <w:rPr>
          <w:lang w:val="pl-PL"/>
        </w:rPr>
        <w:t> </w:t>
      </w:r>
      <w:r w:rsidRPr="008663FC">
        <w:rPr>
          <w:lang w:val="pl-PL"/>
        </w:rPr>
        <w:t>dokumentów załączonych do skargi.</w:t>
      </w:r>
    </w:p>
    <w:p w14:paraId="28A13DFD" w14:textId="30D23C29" w:rsidR="00014566" w:rsidRPr="008663FC" w:rsidRDefault="00181AB9" w:rsidP="0072376D">
      <w:pPr>
        <w:pStyle w:val="ECHRPara"/>
        <w:rPr>
          <w:lang w:val="pl-PL"/>
        </w:rPr>
      </w:pPr>
      <w:r w:rsidRPr="008663FC">
        <w:rPr>
          <w:noProof/>
          <w:lang w:val="pl-PL"/>
        </w:rPr>
        <w:t>54</w:t>
      </w:r>
      <w:r w:rsidRPr="008663FC">
        <w:rPr>
          <w:lang w:val="pl-PL"/>
        </w:rPr>
        <w:t>.</w:t>
      </w:r>
      <w:r w:rsidR="00510FFD">
        <w:rPr>
          <w:lang w:val="pl-PL"/>
        </w:rPr>
        <w:t xml:space="preserve"> </w:t>
      </w:r>
      <w:r w:rsidRPr="008663FC">
        <w:rPr>
          <w:lang w:val="pl-PL"/>
        </w:rPr>
        <w:t>Zgodnie z orzecznictwem Trybunału, skarżący jest uprawniony do</w:t>
      </w:r>
      <w:r w:rsidR="00B6598B">
        <w:rPr>
          <w:lang w:val="pl-PL"/>
        </w:rPr>
        <w:t> </w:t>
      </w:r>
      <w:r w:rsidRPr="008663FC">
        <w:rPr>
          <w:lang w:val="pl-PL"/>
        </w:rPr>
        <w:t>otrzymania zwrotu kosztów oraz wydatków</w:t>
      </w:r>
      <w:r w:rsidR="00CC3594">
        <w:rPr>
          <w:lang w:val="pl-PL"/>
        </w:rPr>
        <w:t xml:space="preserve"> tylko</w:t>
      </w:r>
      <w:r w:rsidRPr="008663FC">
        <w:rPr>
          <w:lang w:val="pl-PL"/>
        </w:rPr>
        <w:t xml:space="preserve"> w takim zakresie, w</w:t>
      </w:r>
      <w:r w:rsidR="00B6598B">
        <w:rPr>
          <w:lang w:val="pl-PL"/>
        </w:rPr>
        <w:t> </w:t>
      </w:r>
      <w:r w:rsidRPr="008663FC">
        <w:rPr>
          <w:lang w:val="pl-PL"/>
        </w:rPr>
        <w:t>jakim wykazał, że były one rzeczywiście poniesione,</w:t>
      </w:r>
      <w:r w:rsidR="00CC3594">
        <w:rPr>
          <w:lang w:val="pl-PL"/>
        </w:rPr>
        <w:t xml:space="preserve"> konieczne</w:t>
      </w:r>
      <w:r w:rsidRPr="008663FC">
        <w:rPr>
          <w:lang w:val="pl-PL"/>
        </w:rPr>
        <w:t xml:space="preserve"> i</w:t>
      </w:r>
      <w:r w:rsidR="00B6598B">
        <w:rPr>
          <w:lang w:val="pl-PL"/>
        </w:rPr>
        <w:t> </w:t>
      </w:r>
      <w:r w:rsidRPr="008663FC">
        <w:rPr>
          <w:lang w:val="pl-PL"/>
        </w:rPr>
        <w:t>uzasadnione co do wysokości. W niniejszej sprawie, mając wzgląd na</w:t>
      </w:r>
      <w:r w:rsidR="00B6598B">
        <w:rPr>
          <w:lang w:val="pl-PL"/>
        </w:rPr>
        <w:t> </w:t>
      </w:r>
      <w:r w:rsidRPr="008663FC">
        <w:rPr>
          <w:lang w:val="pl-PL"/>
        </w:rPr>
        <w:t>przedstawione dokumenty i powyższe kryteria, Trybunał uznaje za</w:t>
      </w:r>
      <w:r w:rsidR="00B6598B">
        <w:rPr>
          <w:lang w:val="pl-PL"/>
        </w:rPr>
        <w:t> </w:t>
      </w:r>
      <w:r w:rsidRPr="008663FC">
        <w:rPr>
          <w:lang w:val="pl-PL"/>
        </w:rPr>
        <w:t>stosowne przyznać kwotę 4.000 EUR na pokrycie wszystkich kosztów.</w:t>
      </w:r>
    </w:p>
    <w:p w14:paraId="4CD3D67F" w14:textId="3B8697B8" w:rsidR="00014566" w:rsidRPr="008663FC" w:rsidRDefault="00014566" w:rsidP="0072376D">
      <w:pPr>
        <w:pStyle w:val="ECHRHeading2"/>
        <w:rPr>
          <w:lang w:val="pl-PL"/>
        </w:rPr>
      </w:pPr>
      <w:r w:rsidRPr="008663FC">
        <w:rPr>
          <w:lang w:val="pl-PL"/>
        </w:rPr>
        <w:t>C.</w:t>
      </w:r>
      <w:r w:rsidR="00510FFD">
        <w:rPr>
          <w:lang w:val="pl-PL"/>
        </w:rPr>
        <w:t xml:space="preserve"> </w:t>
      </w:r>
      <w:r w:rsidRPr="008663FC">
        <w:rPr>
          <w:lang w:val="pl-PL"/>
        </w:rPr>
        <w:t>Odsetki za zwłokę</w:t>
      </w:r>
    </w:p>
    <w:p w14:paraId="75D899D4" w14:textId="101AF740" w:rsidR="00014566" w:rsidRPr="008663FC" w:rsidRDefault="00716DEF" w:rsidP="0072376D">
      <w:pPr>
        <w:pStyle w:val="ECHRPara"/>
        <w:rPr>
          <w:lang w:val="pl-PL"/>
        </w:rPr>
      </w:pPr>
      <w:r w:rsidRPr="008663FC">
        <w:rPr>
          <w:noProof/>
          <w:lang w:val="pl-PL"/>
        </w:rPr>
        <w:t>55</w:t>
      </w:r>
      <w:r w:rsidRPr="008663FC">
        <w:rPr>
          <w:lang w:val="pl-PL"/>
        </w:rPr>
        <w:t>.</w:t>
      </w:r>
      <w:r w:rsidR="00510FFD">
        <w:rPr>
          <w:lang w:val="pl-PL"/>
        </w:rPr>
        <w:t xml:space="preserve"> </w:t>
      </w:r>
      <w:r w:rsidRPr="008663FC">
        <w:rPr>
          <w:lang w:val="pl-PL"/>
        </w:rPr>
        <w:t>Trybunał uznaje, że odsetki z tytułu niewypłacenia zasądzonych kwot powinny być ustalone zgodnie ze stopą kredytu Europejskiego Banku Centralnego na koniec dnia plus trzy punkty procentowe.</w:t>
      </w:r>
    </w:p>
    <w:p w14:paraId="1192561A" w14:textId="77777777" w:rsidR="00014566" w:rsidRPr="008663FC" w:rsidRDefault="00BB5883" w:rsidP="0072376D">
      <w:pPr>
        <w:pStyle w:val="ECHRTitle1"/>
        <w:rPr>
          <w:lang w:val="pl-PL"/>
        </w:rPr>
      </w:pPr>
      <w:r w:rsidRPr="008663FC">
        <w:rPr>
          <w:lang w:val="pl-PL"/>
        </w:rPr>
        <w:t>Z TYCH PRZYCZYN TRYBUNAŁ JEDNOGŁOŚNIE</w:t>
      </w:r>
    </w:p>
    <w:p w14:paraId="35FDCF21" w14:textId="3D5906FC" w:rsidR="00B637B9" w:rsidRPr="008663FC" w:rsidRDefault="00B637B9" w:rsidP="0072376D">
      <w:pPr>
        <w:pStyle w:val="JuList"/>
        <w:rPr>
          <w:lang w:val="pl-PL"/>
        </w:rPr>
      </w:pPr>
      <w:r w:rsidRPr="008663FC">
        <w:rPr>
          <w:lang w:val="pl-PL"/>
        </w:rPr>
        <w:t>1.</w:t>
      </w:r>
      <w:r w:rsidR="00510FFD">
        <w:rPr>
          <w:lang w:val="pl-PL"/>
        </w:rPr>
        <w:t xml:space="preserve"> </w:t>
      </w:r>
      <w:r w:rsidRPr="008663FC">
        <w:rPr>
          <w:i/>
          <w:iCs/>
          <w:lang w:val="pl-PL"/>
        </w:rPr>
        <w:t>Uznaje</w:t>
      </w:r>
      <w:r w:rsidRPr="008663FC">
        <w:rPr>
          <w:lang w:val="pl-PL"/>
        </w:rPr>
        <w:t xml:space="preserve"> skargę za dopuszczalną;</w:t>
      </w:r>
    </w:p>
    <w:p w14:paraId="64FFFADB" w14:textId="77777777" w:rsidR="00014566" w:rsidRPr="008663FC" w:rsidRDefault="00014566" w:rsidP="0072376D">
      <w:pPr>
        <w:pStyle w:val="JuList"/>
        <w:ind w:left="0" w:firstLine="0"/>
        <w:rPr>
          <w:lang w:val="pl-PL"/>
        </w:rPr>
      </w:pPr>
    </w:p>
    <w:p w14:paraId="4B47838B" w14:textId="5FEC51F1" w:rsidR="00014566" w:rsidRPr="008663FC" w:rsidRDefault="00F355A1" w:rsidP="0072376D">
      <w:pPr>
        <w:pStyle w:val="JuList"/>
        <w:rPr>
          <w:lang w:val="pl-PL"/>
        </w:rPr>
      </w:pPr>
      <w:r w:rsidRPr="008663FC">
        <w:rPr>
          <w:lang w:val="pl-PL"/>
        </w:rPr>
        <w:t>2.</w:t>
      </w:r>
      <w:r w:rsidR="00510FFD">
        <w:rPr>
          <w:lang w:val="pl-PL"/>
        </w:rPr>
        <w:t xml:space="preserve"> </w:t>
      </w:r>
      <w:r w:rsidRPr="008663FC">
        <w:rPr>
          <w:lang w:val="pl-PL"/>
        </w:rPr>
        <w:t>U</w:t>
      </w:r>
      <w:r w:rsidRPr="008663FC">
        <w:rPr>
          <w:i/>
          <w:iCs/>
          <w:lang w:val="pl-PL"/>
        </w:rPr>
        <w:t>znaje</w:t>
      </w:r>
      <w:r w:rsidRPr="008663FC">
        <w:rPr>
          <w:lang w:val="pl-PL"/>
        </w:rPr>
        <w:t>, ż</w:t>
      </w:r>
      <w:r w:rsidR="00CC3594">
        <w:rPr>
          <w:lang w:val="pl-PL"/>
        </w:rPr>
        <w:t>e</w:t>
      </w:r>
      <w:r w:rsidRPr="008663FC">
        <w:rPr>
          <w:lang w:val="pl-PL"/>
        </w:rPr>
        <w:t xml:space="preserve"> doszło do naruszenia art. 6 ust. 1 Konwencji;</w:t>
      </w:r>
    </w:p>
    <w:p w14:paraId="118E3920" w14:textId="77777777" w:rsidR="00014566" w:rsidRPr="008663FC" w:rsidRDefault="00014566" w:rsidP="0072376D">
      <w:pPr>
        <w:pStyle w:val="JuList"/>
        <w:rPr>
          <w:lang w:val="pl-PL"/>
        </w:rPr>
      </w:pPr>
    </w:p>
    <w:p w14:paraId="18323AFF" w14:textId="7C82ACF9" w:rsidR="00014566" w:rsidRPr="008663FC" w:rsidRDefault="00F355A1" w:rsidP="0072376D">
      <w:pPr>
        <w:pStyle w:val="JuList"/>
        <w:rPr>
          <w:lang w:val="pl-PL"/>
        </w:rPr>
      </w:pPr>
      <w:r w:rsidRPr="008663FC">
        <w:rPr>
          <w:lang w:val="pl-PL"/>
        </w:rPr>
        <w:t>3.</w:t>
      </w:r>
      <w:r w:rsidR="00510FFD">
        <w:rPr>
          <w:lang w:val="pl-PL"/>
        </w:rPr>
        <w:t xml:space="preserve"> </w:t>
      </w:r>
      <w:r w:rsidRPr="008663FC">
        <w:rPr>
          <w:i/>
          <w:iCs/>
          <w:lang w:val="pl-PL"/>
        </w:rPr>
        <w:t>Uzn</w:t>
      </w:r>
      <w:r w:rsidR="00CC3594">
        <w:rPr>
          <w:i/>
          <w:iCs/>
          <w:lang w:val="pl-PL"/>
        </w:rPr>
        <w:t xml:space="preserve">aje, </w:t>
      </w:r>
      <w:r w:rsidRPr="008663FC">
        <w:rPr>
          <w:i/>
          <w:iCs/>
          <w:lang w:val="pl-PL"/>
        </w:rPr>
        <w:t>ż</w:t>
      </w:r>
      <w:r w:rsidR="00CC3594">
        <w:rPr>
          <w:i/>
          <w:iCs/>
          <w:lang w:val="pl-PL"/>
        </w:rPr>
        <w:t>e</w:t>
      </w:r>
    </w:p>
    <w:p w14:paraId="5A0E0F38" w14:textId="758C1229" w:rsidR="00014566" w:rsidRPr="008663FC" w:rsidRDefault="00014566" w:rsidP="0072376D">
      <w:pPr>
        <w:pStyle w:val="JuLista"/>
        <w:rPr>
          <w:lang w:val="pl-PL"/>
        </w:rPr>
      </w:pPr>
      <w:r w:rsidRPr="008663FC">
        <w:rPr>
          <w:lang w:val="pl-PL"/>
        </w:rPr>
        <w:t>(a)</w:t>
      </w:r>
      <w:r w:rsidR="00510FFD">
        <w:rPr>
          <w:lang w:val="pl-PL"/>
        </w:rPr>
        <w:t xml:space="preserve"> </w:t>
      </w:r>
      <w:r w:rsidRPr="008663FC">
        <w:rPr>
          <w:lang w:val="pl-PL"/>
        </w:rPr>
        <w:t>pozwane Państwo ma obowiązek wypłacić skarżącemu instytutowi, w</w:t>
      </w:r>
      <w:r w:rsidR="00241BF6">
        <w:rPr>
          <w:lang w:val="pl-PL"/>
        </w:rPr>
        <w:t> </w:t>
      </w:r>
      <w:r w:rsidRPr="008663FC">
        <w:rPr>
          <w:lang w:val="pl-PL"/>
        </w:rPr>
        <w:t>terminie trzech miesięcy od dnia, kiedy wyrok stanie się prawomocny zgodnie z art. 44 ust. 2 Konwencji, następujące kwoty:</w:t>
      </w:r>
    </w:p>
    <w:p w14:paraId="686AB53A" w14:textId="0391C4C4" w:rsidR="00014566" w:rsidRPr="008663FC" w:rsidRDefault="00014566" w:rsidP="0072376D">
      <w:pPr>
        <w:pStyle w:val="JuListi"/>
        <w:rPr>
          <w:lang w:val="pl-PL"/>
        </w:rPr>
      </w:pPr>
      <w:r w:rsidRPr="008663FC">
        <w:rPr>
          <w:lang w:val="pl-PL"/>
        </w:rPr>
        <w:t>(i)</w:t>
      </w:r>
      <w:r w:rsidR="00510FFD">
        <w:rPr>
          <w:lang w:val="pl-PL"/>
        </w:rPr>
        <w:t xml:space="preserve"> </w:t>
      </w:r>
      <w:r w:rsidRPr="008663FC">
        <w:rPr>
          <w:lang w:val="pl-PL"/>
        </w:rPr>
        <w:t>4.800 EUR (cztery tysiące osiemset euro), wraz z ewentualnymi podatkami, z tytułu poniesionej szkody niemajątkowej,</w:t>
      </w:r>
    </w:p>
    <w:p w14:paraId="60B762C3" w14:textId="6047E71D" w:rsidR="00014566" w:rsidRPr="008663FC" w:rsidRDefault="00014566" w:rsidP="0072376D">
      <w:pPr>
        <w:pStyle w:val="JuListi"/>
        <w:rPr>
          <w:lang w:val="pl-PL"/>
        </w:rPr>
      </w:pPr>
      <w:r w:rsidRPr="008663FC">
        <w:rPr>
          <w:lang w:val="pl-PL"/>
        </w:rPr>
        <w:t>(ii) 4</w:t>
      </w:r>
      <w:r w:rsidR="00366183">
        <w:rPr>
          <w:lang w:val="pl-PL"/>
        </w:rPr>
        <w:t>.</w:t>
      </w:r>
      <w:r w:rsidRPr="008663FC">
        <w:rPr>
          <w:lang w:val="pl-PL"/>
        </w:rPr>
        <w:t>000 EUR (cztery tysiące euro), wraz z ewentualnymi podatkami płatnymi przez skarżący instytut, z tytułu kosztów i</w:t>
      </w:r>
      <w:r w:rsidR="00B6598B">
        <w:rPr>
          <w:lang w:val="pl-PL"/>
        </w:rPr>
        <w:t> </w:t>
      </w:r>
      <w:r w:rsidRPr="008663FC">
        <w:rPr>
          <w:lang w:val="pl-PL"/>
        </w:rPr>
        <w:t>wydatków;</w:t>
      </w:r>
    </w:p>
    <w:p w14:paraId="7654B3DE" w14:textId="417A258B" w:rsidR="00014566" w:rsidRPr="008663FC" w:rsidRDefault="00014566" w:rsidP="0072376D">
      <w:pPr>
        <w:pStyle w:val="JuLista"/>
        <w:rPr>
          <w:lang w:val="pl-PL"/>
        </w:rPr>
      </w:pPr>
      <w:r w:rsidRPr="008663FC">
        <w:rPr>
          <w:lang w:val="pl-PL"/>
        </w:rPr>
        <w:t xml:space="preserve">(b) od </w:t>
      </w:r>
      <w:r w:rsidR="00CC3594">
        <w:rPr>
          <w:lang w:val="pl-PL"/>
        </w:rPr>
        <w:t xml:space="preserve">upływu </w:t>
      </w:r>
      <w:r w:rsidRPr="008663FC">
        <w:rPr>
          <w:lang w:val="pl-PL"/>
        </w:rPr>
        <w:t>powyższego trzymiesięcznego terminu do momentu zapłaty płatne od tych sum będą zwykłe odsetki obliczone według stopy procentowej Europejskiego Banku Centralnego na koniec dnia plus trzy punkty procentowe.</w:t>
      </w:r>
    </w:p>
    <w:p w14:paraId="2A855478" w14:textId="77777777" w:rsidR="00014566" w:rsidRPr="008663FC" w:rsidRDefault="00014566" w:rsidP="0072376D">
      <w:pPr>
        <w:pStyle w:val="JuList"/>
        <w:rPr>
          <w:lang w:val="pl-PL"/>
        </w:rPr>
      </w:pPr>
    </w:p>
    <w:p w14:paraId="58064D25" w14:textId="05FF0F74" w:rsidR="00014566" w:rsidRPr="008663FC" w:rsidRDefault="00F355A1" w:rsidP="0072376D">
      <w:pPr>
        <w:pStyle w:val="JuList"/>
        <w:rPr>
          <w:lang w:val="pl-PL"/>
        </w:rPr>
      </w:pPr>
      <w:r w:rsidRPr="008663FC">
        <w:rPr>
          <w:lang w:val="pl-PL"/>
        </w:rPr>
        <w:t>4.</w:t>
      </w:r>
      <w:r w:rsidR="00510FFD">
        <w:rPr>
          <w:lang w:val="pl-PL"/>
        </w:rPr>
        <w:t xml:space="preserve"> </w:t>
      </w:r>
      <w:r w:rsidRPr="008663FC">
        <w:rPr>
          <w:i/>
          <w:iCs/>
          <w:lang w:val="pl-PL"/>
        </w:rPr>
        <w:t xml:space="preserve">Oddala </w:t>
      </w:r>
      <w:r w:rsidRPr="008663FC">
        <w:rPr>
          <w:lang w:val="pl-PL"/>
        </w:rPr>
        <w:t>pozostałą część roszczenia skarżącego instytutu dotyczącą słusznego zadośćuczynienia.</w:t>
      </w:r>
    </w:p>
    <w:p w14:paraId="04CA5E36" w14:textId="65539D4B" w:rsidR="00014566" w:rsidRPr="008663FC" w:rsidRDefault="00014566" w:rsidP="0072376D">
      <w:pPr>
        <w:pStyle w:val="JuParaLast"/>
        <w:rPr>
          <w:lang w:val="pl-PL"/>
        </w:rPr>
      </w:pPr>
      <w:r w:rsidRPr="008663FC">
        <w:rPr>
          <w:lang w:val="pl-PL"/>
        </w:rPr>
        <w:t>Sporządzono w języku angielskim i obwieszczono pisemnie dnia 13</w:t>
      </w:r>
      <w:r w:rsidR="00B6598B">
        <w:rPr>
          <w:lang w:val="pl-PL"/>
        </w:rPr>
        <w:t> </w:t>
      </w:r>
      <w:r w:rsidRPr="008663FC">
        <w:rPr>
          <w:lang w:val="pl-PL"/>
        </w:rPr>
        <w:t xml:space="preserve">marca 2018 r., zgodnie z </w:t>
      </w:r>
      <w:r w:rsidR="009C0637">
        <w:rPr>
          <w:lang w:val="pl-PL"/>
        </w:rPr>
        <w:t>Regułą</w:t>
      </w:r>
      <w:r w:rsidRPr="008663FC">
        <w:rPr>
          <w:lang w:val="pl-PL"/>
        </w:rPr>
        <w:t xml:space="preserve"> 77 </w:t>
      </w:r>
      <w:r w:rsidR="009C0637">
        <w:rPr>
          <w:rFonts w:ascii="Times New Roman" w:hAnsi="Times New Roman" w:cs="Times New Roman"/>
          <w:lang w:val="pl-PL"/>
        </w:rPr>
        <w:t xml:space="preserve">§§ </w:t>
      </w:r>
      <w:r w:rsidRPr="008663FC">
        <w:rPr>
          <w:lang w:val="pl-PL"/>
        </w:rPr>
        <w:t>2 i 3 Regulaminu Trybunału.</w:t>
      </w:r>
    </w:p>
    <w:p w14:paraId="628CE1F5" w14:textId="4F964632" w:rsidR="004D15F3" w:rsidRPr="008663FC" w:rsidRDefault="00014566" w:rsidP="0072376D">
      <w:pPr>
        <w:pStyle w:val="JuSigned"/>
        <w:rPr>
          <w:lang w:val="pl-PL"/>
        </w:rPr>
      </w:pPr>
      <w:r w:rsidRPr="008663FC">
        <w:rPr>
          <w:lang w:val="pl-PL"/>
        </w:rPr>
        <w:tab/>
      </w:r>
      <w:proofErr w:type="spellStart"/>
      <w:r w:rsidRPr="008663FC">
        <w:rPr>
          <w:lang w:val="pl-PL"/>
        </w:rPr>
        <w:t>Marialena</w:t>
      </w:r>
      <w:proofErr w:type="spellEnd"/>
      <w:r w:rsidRPr="008663FC">
        <w:rPr>
          <w:lang w:val="pl-PL"/>
        </w:rPr>
        <w:t xml:space="preserve"> </w:t>
      </w:r>
      <w:proofErr w:type="spellStart"/>
      <w:r w:rsidRPr="008663FC">
        <w:rPr>
          <w:lang w:val="pl-PL"/>
        </w:rPr>
        <w:t>Tsirli</w:t>
      </w:r>
      <w:proofErr w:type="spellEnd"/>
      <w:r w:rsidRPr="008663FC">
        <w:rPr>
          <w:lang w:val="pl-PL"/>
        </w:rPr>
        <w:tab/>
      </w:r>
      <w:proofErr w:type="spellStart"/>
      <w:r w:rsidRPr="008663FC">
        <w:rPr>
          <w:lang w:val="pl-PL"/>
        </w:rPr>
        <w:t>Ganna</w:t>
      </w:r>
      <w:proofErr w:type="spellEnd"/>
      <w:r w:rsidRPr="008663FC">
        <w:rPr>
          <w:lang w:val="pl-PL"/>
        </w:rPr>
        <w:t xml:space="preserve"> </w:t>
      </w:r>
      <w:proofErr w:type="spellStart"/>
      <w:r w:rsidRPr="008663FC">
        <w:rPr>
          <w:lang w:val="pl-PL"/>
        </w:rPr>
        <w:t>Judkiwska</w:t>
      </w:r>
      <w:proofErr w:type="spellEnd"/>
      <w:r w:rsidRPr="008663FC">
        <w:rPr>
          <w:szCs w:val="24"/>
          <w:lang w:val="pl-PL"/>
        </w:rPr>
        <w:br/>
      </w:r>
      <w:r w:rsidRPr="008663FC">
        <w:rPr>
          <w:lang w:val="pl-PL"/>
        </w:rPr>
        <w:tab/>
        <w:t>Kanclerz</w:t>
      </w:r>
      <w:r w:rsidRPr="008663FC">
        <w:rPr>
          <w:lang w:val="pl-PL"/>
        </w:rPr>
        <w:tab/>
        <w:t>Przewodnicząc</w:t>
      </w:r>
      <w:r w:rsidR="001654F8">
        <w:rPr>
          <w:lang w:val="pl-PL"/>
        </w:rPr>
        <w:t>a</w:t>
      </w:r>
    </w:p>
    <w:p w14:paraId="51C55183" w14:textId="77777777" w:rsidR="004927BF" w:rsidRPr="008663FC" w:rsidRDefault="004927BF" w:rsidP="0072376D">
      <w:pPr>
        <w:pStyle w:val="JuParaLast"/>
        <w:rPr>
          <w:lang w:val="pl-PL"/>
        </w:rPr>
      </w:pPr>
    </w:p>
    <w:sectPr w:rsidR="004927BF" w:rsidRPr="008663FC" w:rsidSect="00A10DDF">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FCE9E" w14:textId="77777777" w:rsidR="00D1729E" w:rsidRPr="00E4133A" w:rsidRDefault="00D1729E" w:rsidP="00014566">
      <w:r>
        <w:separator/>
      </w:r>
    </w:p>
  </w:endnote>
  <w:endnote w:type="continuationSeparator" w:id="0">
    <w:p w14:paraId="28D20F88" w14:textId="77777777" w:rsidR="00D1729E" w:rsidRPr="00E4133A" w:rsidRDefault="00D1729E" w:rsidP="00014566">
      <w:r>
        <w:continuationSeparator/>
      </w:r>
    </w:p>
  </w:endnote>
  <w:endnote w:type="continuationNotice" w:id="1">
    <w:p w14:paraId="38083744" w14:textId="77777777" w:rsidR="00D1729E" w:rsidRDefault="00D17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IDFont+F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708BA" w14:textId="77777777" w:rsidR="00C373EF" w:rsidRPr="00150BFA" w:rsidRDefault="00C373EF" w:rsidP="009211D0">
    <w:pPr>
      <w:jc w:val="center"/>
    </w:pPr>
    <w:r>
      <w:rPr>
        <w:noProof/>
        <w:lang w:val="pl-PL" w:eastAsia="pl-PL"/>
      </w:rPr>
      <w:drawing>
        <wp:inline distT="0" distB="0" distL="0" distR="0" wp14:anchorId="1D1FD075" wp14:editId="688CD532">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767E92" w14:textId="77777777" w:rsidR="00C373EF" w:rsidRDefault="00C373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1C30E" w14:textId="77777777" w:rsidR="00D1729E" w:rsidRPr="00E4133A" w:rsidRDefault="00D1729E" w:rsidP="00014566">
      <w:r>
        <w:separator/>
      </w:r>
    </w:p>
  </w:footnote>
  <w:footnote w:type="continuationSeparator" w:id="0">
    <w:p w14:paraId="2EC0DC53" w14:textId="77777777" w:rsidR="00D1729E" w:rsidRPr="00E4133A" w:rsidRDefault="00D1729E" w:rsidP="00014566">
      <w:r>
        <w:continuationSeparator/>
      </w:r>
    </w:p>
  </w:footnote>
  <w:footnote w:type="continuationNotice" w:id="1">
    <w:p w14:paraId="6BE992CB" w14:textId="77777777" w:rsidR="00D1729E" w:rsidRDefault="00D1729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7AF18" w14:textId="77777777" w:rsidR="00C373EF" w:rsidRPr="00A10DDF" w:rsidRDefault="00C373EF" w:rsidP="00A10DD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8A031" w14:textId="77777777" w:rsidR="00C373EF" w:rsidRPr="00A45145" w:rsidRDefault="00C373EF" w:rsidP="009211D0">
    <w:pPr>
      <w:jc w:val="center"/>
    </w:pPr>
    <w:r>
      <w:rPr>
        <w:noProof/>
        <w:lang w:val="pl-PL" w:eastAsia="pl-PL"/>
      </w:rPr>
      <w:drawing>
        <wp:inline distT="0" distB="0" distL="0" distR="0" wp14:anchorId="7A02FF59" wp14:editId="600AE5D4">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C643ED" w14:textId="77777777" w:rsidR="00C373EF" w:rsidRDefault="00C373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48D28" w14:textId="662395C4" w:rsidR="00C373EF" w:rsidRPr="009C0637" w:rsidRDefault="00C373EF"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5A5EEE">
      <w:rPr>
        <w:rStyle w:val="Numerstrony"/>
        <w:noProof/>
        <w:szCs w:val="18"/>
        <w:lang w:val="pl"/>
      </w:rPr>
      <w:t>2</w:t>
    </w:r>
    <w:r>
      <w:rPr>
        <w:rStyle w:val="Numerstrony"/>
        <w:szCs w:val="18"/>
        <w:lang w:val="pl"/>
      </w:rPr>
      <w:fldChar w:fldCharType="end"/>
    </w:r>
    <w:r>
      <w:rPr>
        <w:lang w:val="pl"/>
      </w:rPr>
      <w:tab/>
      <w:t xml:space="preserve">WYROK W SPRAWIE </w:t>
    </w:r>
    <w:proofErr w:type="spellStart"/>
    <w:r>
      <w:rPr>
        <w:lang w:val="pl"/>
      </w:rPr>
      <w:t>MIROVNI</w:t>
    </w:r>
    <w:proofErr w:type="spellEnd"/>
    <w:r>
      <w:rPr>
        <w:lang w:val="pl"/>
      </w:rPr>
      <w:t xml:space="preserve"> </w:t>
    </w:r>
    <w:proofErr w:type="spellStart"/>
    <w:r>
      <w:rPr>
        <w:lang w:val="pl"/>
      </w:rPr>
      <w:t>INŠTITUT</w:t>
    </w:r>
    <w:proofErr w:type="spellEnd"/>
    <w:r>
      <w:rPr>
        <w:lang w:val="pl"/>
      </w:rPr>
      <w:t xml:space="preserve"> </w:t>
    </w:r>
    <w:r w:rsidR="005A5EEE">
      <w:rPr>
        <w:lang w:val="pl"/>
      </w:rPr>
      <w:t xml:space="preserve">PRZECIWKO </w:t>
    </w:r>
    <w:r>
      <w:rPr>
        <w:lang w:val="pl"/>
      </w:rPr>
      <w:t>SŁOWENII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91E6C" w14:textId="700B8CE3" w:rsidR="00C373EF" w:rsidRPr="009C0637" w:rsidRDefault="00C373EF" w:rsidP="00D60D87">
    <w:pPr>
      <w:pStyle w:val="ECHRHeader"/>
      <w:rPr>
        <w:lang w:val="pl-PL"/>
      </w:rPr>
    </w:pPr>
    <w:r>
      <w:rPr>
        <w:lang w:val="pl"/>
      </w:rPr>
      <w:tab/>
      <w:t xml:space="preserve">WYROK W SPRAWIE </w:t>
    </w:r>
    <w:proofErr w:type="spellStart"/>
    <w:r>
      <w:rPr>
        <w:lang w:val="pl"/>
      </w:rPr>
      <w:t>MIROVNI</w:t>
    </w:r>
    <w:proofErr w:type="spellEnd"/>
    <w:r>
      <w:rPr>
        <w:lang w:val="pl"/>
      </w:rPr>
      <w:t xml:space="preserve"> </w:t>
    </w:r>
    <w:proofErr w:type="spellStart"/>
    <w:r>
      <w:rPr>
        <w:lang w:val="pl"/>
      </w:rPr>
      <w:t>INŠTITUT</w:t>
    </w:r>
    <w:proofErr w:type="spellEnd"/>
    <w:r>
      <w:rPr>
        <w:lang w:val="pl"/>
      </w:rPr>
      <w:t xml:space="preserve"> </w:t>
    </w:r>
    <w:r w:rsidR="005A5EEE">
      <w:rPr>
        <w:lang w:val="pl"/>
      </w:rPr>
      <w:t xml:space="preserve">PRZECIWKO </w:t>
    </w:r>
    <w:r>
      <w:rPr>
        <w:lang w:val="pl"/>
      </w:rPr>
      <w:t>SŁOWENII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5A5EEE">
      <w:rPr>
        <w:rStyle w:val="Numerstrony"/>
        <w:noProof/>
        <w:szCs w:val="18"/>
        <w:lang w:val="pl"/>
      </w:rPr>
      <w:t>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181AB9"/>
    <w:rsid w:val="00000067"/>
    <w:rsid w:val="000005C3"/>
    <w:rsid w:val="000010ED"/>
    <w:rsid w:val="000041F8"/>
    <w:rsid w:val="000042A8"/>
    <w:rsid w:val="00004308"/>
    <w:rsid w:val="00005BF0"/>
    <w:rsid w:val="00007154"/>
    <w:rsid w:val="000103AE"/>
    <w:rsid w:val="00011D69"/>
    <w:rsid w:val="00012AD3"/>
    <w:rsid w:val="00014566"/>
    <w:rsid w:val="00015C2D"/>
    <w:rsid w:val="00015F00"/>
    <w:rsid w:val="00017947"/>
    <w:rsid w:val="00017CC5"/>
    <w:rsid w:val="00022925"/>
    <w:rsid w:val="00022C1D"/>
    <w:rsid w:val="00026814"/>
    <w:rsid w:val="00034987"/>
    <w:rsid w:val="000350E3"/>
    <w:rsid w:val="00054FEE"/>
    <w:rsid w:val="0005650E"/>
    <w:rsid w:val="000574DD"/>
    <w:rsid w:val="000602DF"/>
    <w:rsid w:val="00061B05"/>
    <w:rsid w:val="00062973"/>
    <w:rsid w:val="00062D5D"/>
    <w:rsid w:val="000632D5"/>
    <w:rsid w:val="000644EE"/>
    <w:rsid w:val="00066576"/>
    <w:rsid w:val="00066F84"/>
    <w:rsid w:val="00070032"/>
    <w:rsid w:val="00071ABC"/>
    <w:rsid w:val="0007552A"/>
    <w:rsid w:val="0008057D"/>
    <w:rsid w:val="000823F2"/>
    <w:rsid w:val="000856D7"/>
    <w:rsid w:val="000902AD"/>
    <w:rsid w:val="00090D13"/>
    <w:rsid w:val="000925AD"/>
    <w:rsid w:val="000A24EB"/>
    <w:rsid w:val="000A4FEA"/>
    <w:rsid w:val="000A53C0"/>
    <w:rsid w:val="000B0E69"/>
    <w:rsid w:val="000B6923"/>
    <w:rsid w:val="000C033C"/>
    <w:rsid w:val="000C13EA"/>
    <w:rsid w:val="000C56BB"/>
    <w:rsid w:val="000C5F3C"/>
    <w:rsid w:val="000C6DCC"/>
    <w:rsid w:val="000C71A4"/>
    <w:rsid w:val="000D47AA"/>
    <w:rsid w:val="000D721F"/>
    <w:rsid w:val="000E069B"/>
    <w:rsid w:val="000E0E82"/>
    <w:rsid w:val="000E1DC5"/>
    <w:rsid w:val="000E223F"/>
    <w:rsid w:val="000E35AC"/>
    <w:rsid w:val="000E7D45"/>
    <w:rsid w:val="000F0C3A"/>
    <w:rsid w:val="000F4561"/>
    <w:rsid w:val="000F7851"/>
    <w:rsid w:val="00101DFD"/>
    <w:rsid w:val="00102EEA"/>
    <w:rsid w:val="00104E23"/>
    <w:rsid w:val="00111B0C"/>
    <w:rsid w:val="00114EEC"/>
    <w:rsid w:val="001157EF"/>
    <w:rsid w:val="00120D6C"/>
    <w:rsid w:val="00123A0E"/>
    <w:rsid w:val="00123B64"/>
    <w:rsid w:val="001257EC"/>
    <w:rsid w:val="0013138A"/>
    <w:rsid w:val="00132C6A"/>
    <w:rsid w:val="00133D33"/>
    <w:rsid w:val="00134D64"/>
    <w:rsid w:val="00135A30"/>
    <w:rsid w:val="0013612C"/>
    <w:rsid w:val="0013657F"/>
    <w:rsid w:val="00137FF6"/>
    <w:rsid w:val="001408E3"/>
    <w:rsid w:val="00141650"/>
    <w:rsid w:val="001457D8"/>
    <w:rsid w:val="001472EF"/>
    <w:rsid w:val="001563C0"/>
    <w:rsid w:val="00156D4A"/>
    <w:rsid w:val="00162A12"/>
    <w:rsid w:val="00163BF9"/>
    <w:rsid w:val="001654F8"/>
    <w:rsid w:val="00166530"/>
    <w:rsid w:val="0016741C"/>
    <w:rsid w:val="00171A82"/>
    <w:rsid w:val="00173BD4"/>
    <w:rsid w:val="00177AD3"/>
    <w:rsid w:val="00177F1D"/>
    <w:rsid w:val="00181AB9"/>
    <w:rsid w:val="001832BD"/>
    <w:rsid w:val="00190F66"/>
    <w:rsid w:val="001943B5"/>
    <w:rsid w:val="00195134"/>
    <w:rsid w:val="001A145B"/>
    <w:rsid w:val="001A674C"/>
    <w:rsid w:val="001B3B24"/>
    <w:rsid w:val="001B618B"/>
    <w:rsid w:val="001C07CC"/>
    <w:rsid w:val="001C0F98"/>
    <w:rsid w:val="001C2A42"/>
    <w:rsid w:val="001D4467"/>
    <w:rsid w:val="001D63ED"/>
    <w:rsid w:val="001D7240"/>
    <w:rsid w:val="001D7348"/>
    <w:rsid w:val="001E035B"/>
    <w:rsid w:val="001E0961"/>
    <w:rsid w:val="001E3EAE"/>
    <w:rsid w:val="001E3F68"/>
    <w:rsid w:val="001E5348"/>
    <w:rsid w:val="001E6F32"/>
    <w:rsid w:val="001E79E5"/>
    <w:rsid w:val="001F2145"/>
    <w:rsid w:val="001F2B06"/>
    <w:rsid w:val="001F5635"/>
    <w:rsid w:val="001F6262"/>
    <w:rsid w:val="001F67B0"/>
    <w:rsid w:val="001F7B3D"/>
    <w:rsid w:val="002015C0"/>
    <w:rsid w:val="00204610"/>
    <w:rsid w:val="00205F9F"/>
    <w:rsid w:val="00210338"/>
    <w:rsid w:val="002115FC"/>
    <w:rsid w:val="0021254F"/>
    <w:rsid w:val="002133F8"/>
    <w:rsid w:val="0021423C"/>
    <w:rsid w:val="00217862"/>
    <w:rsid w:val="0022214C"/>
    <w:rsid w:val="0023024F"/>
    <w:rsid w:val="00230D00"/>
    <w:rsid w:val="00231615"/>
    <w:rsid w:val="00231DF7"/>
    <w:rsid w:val="00231FD1"/>
    <w:rsid w:val="002328FF"/>
    <w:rsid w:val="00232EF6"/>
    <w:rsid w:val="00233113"/>
    <w:rsid w:val="002339E0"/>
    <w:rsid w:val="00233CF8"/>
    <w:rsid w:val="0023575D"/>
    <w:rsid w:val="00237148"/>
    <w:rsid w:val="00241BF6"/>
    <w:rsid w:val="0024222D"/>
    <w:rsid w:val="00244B0E"/>
    <w:rsid w:val="00244F6C"/>
    <w:rsid w:val="00247622"/>
    <w:rsid w:val="002532C5"/>
    <w:rsid w:val="0025665B"/>
    <w:rsid w:val="00260709"/>
    <w:rsid w:val="00260C03"/>
    <w:rsid w:val="00263674"/>
    <w:rsid w:val="0026540E"/>
    <w:rsid w:val="00270926"/>
    <w:rsid w:val="0027225C"/>
    <w:rsid w:val="00273558"/>
    <w:rsid w:val="002737FD"/>
    <w:rsid w:val="002740B8"/>
    <w:rsid w:val="00274306"/>
    <w:rsid w:val="00275123"/>
    <w:rsid w:val="00275709"/>
    <w:rsid w:val="002759CD"/>
    <w:rsid w:val="002761D7"/>
    <w:rsid w:val="002766C9"/>
    <w:rsid w:val="00282240"/>
    <w:rsid w:val="00283426"/>
    <w:rsid w:val="0028572A"/>
    <w:rsid w:val="0029051A"/>
    <w:rsid w:val="0029218B"/>
    <w:rsid w:val="0029436A"/>
    <w:rsid w:val="002948AD"/>
    <w:rsid w:val="00294C05"/>
    <w:rsid w:val="00294C70"/>
    <w:rsid w:val="00294C92"/>
    <w:rsid w:val="00296EF5"/>
    <w:rsid w:val="002A01CC"/>
    <w:rsid w:val="002A61B1"/>
    <w:rsid w:val="002A663C"/>
    <w:rsid w:val="002B1E6C"/>
    <w:rsid w:val="002B1FF9"/>
    <w:rsid w:val="002B444B"/>
    <w:rsid w:val="002B57BA"/>
    <w:rsid w:val="002B5887"/>
    <w:rsid w:val="002C0692"/>
    <w:rsid w:val="002C0E27"/>
    <w:rsid w:val="002C3040"/>
    <w:rsid w:val="002C592F"/>
    <w:rsid w:val="002D022D"/>
    <w:rsid w:val="002D137C"/>
    <w:rsid w:val="002D24BB"/>
    <w:rsid w:val="002D3861"/>
    <w:rsid w:val="002D3BAA"/>
    <w:rsid w:val="002D7C89"/>
    <w:rsid w:val="002E79E0"/>
    <w:rsid w:val="002F171B"/>
    <w:rsid w:val="002F2AF7"/>
    <w:rsid w:val="002F7E1C"/>
    <w:rsid w:val="00301A75"/>
    <w:rsid w:val="00302F70"/>
    <w:rsid w:val="0030336F"/>
    <w:rsid w:val="0030375E"/>
    <w:rsid w:val="0031102C"/>
    <w:rsid w:val="00312A30"/>
    <w:rsid w:val="00320F72"/>
    <w:rsid w:val="0032463E"/>
    <w:rsid w:val="00326224"/>
    <w:rsid w:val="0032676F"/>
    <w:rsid w:val="00326C8D"/>
    <w:rsid w:val="0033172D"/>
    <w:rsid w:val="00331EAC"/>
    <w:rsid w:val="00337EE4"/>
    <w:rsid w:val="00340FFD"/>
    <w:rsid w:val="0034379C"/>
    <w:rsid w:val="003506B1"/>
    <w:rsid w:val="00354AC8"/>
    <w:rsid w:val="00356A76"/>
    <w:rsid w:val="00356AC7"/>
    <w:rsid w:val="0035703D"/>
    <w:rsid w:val="003609FA"/>
    <w:rsid w:val="00366183"/>
    <w:rsid w:val="0036629E"/>
    <w:rsid w:val="00366796"/>
    <w:rsid w:val="003710C8"/>
    <w:rsid w:val="003750BE"/>
    <w:rsid w:val="00375113"/>
    <w:rsid w:val="0037745C"/>
    <w:rsid w:val="00381D52"/>
    <w:rsid w:val="0038571B"/>
    <w:rsid w:val="003879F4"/>
    <w:rsid w:val="00387B9D"/>
    <w:rsid w:val="00387D59"/>
    <w:rsid w:val="00391461"/>
    <w:rsid w:val="0039364F"/>
    <w:rsid w:val="00396686"/>
    <w:rsid w:val="0039778E"/>
    <w:rsid w:val="003A441D"/>
    <w:rsid w:val="003A5BE3"/>
    <w:rsid w:val="003A70EF"/>
    <w:rsid w:val="003B4941"/>
    <w:rsid w:val="003C5714"/>
    <w:rsid w:val="003C6B9F"/>
    <w:rsid w:val="003C6E2A"/>
    <w:rsid w:val="003D0299"/>
    <w:rsid w:val="003D0AE9"/>
    <w:rsid w:val="003D415E"/>
    <w:rsid w:val="003E1C11"/>
    <w:rsid w:val="003E5A4D"/>
    <w:rsid w:val="003E6D80"/>
    <w:rsid w:val="003F05FA"/>
    <w:rsid w:val="003F244A"/>
    <w:rsid w:val="003F30B8"/>
    <w:rsid w:val="003F4C45"/>
    <w:rsid w:val="003F5949"/>
    <w:rsid w:val="003F5F7B"/>
    <w:rsid w:val="003F7D64"/>
    <w:rsid w:val="00414300"/>
    <w:rsid w:val="004162A6"/>
    <w:rsid w:val="00416F8F"/>
    <w:rsid w:val="004242F5"/>
    <w:rsid w:val="00425C67"/>
    <w:rsid w:val="00427E7A"/>
    <w:rsid w:val="00436307"/>
    <w:rsid w:val="00436C49"/>
    <w:rsid w:val="004408DE"/>
    <w:rsid w:val="004428DA"/>
    <w:rsid w:val="0044444A"/>
    <w:rsid w:val="00445366"/>
    <w:rsid w:val="0044539D"/>
    <w:rsid w:val="00447F5B"/>
    <w:rsid w:val="00461DB0"/>
    <w:rsid w:val="00463926"/>
    <w:rsid w:val="00464097"/>
    <w:rsid w:val="004646E0"/>
    <w:rsid w:val="00464C9A"/>
    <w:rsid w:val="00474F3D"/>
    <w:rsid w:val="00477E3A"/>
    <w:rsid w:val="00483E5F"/>
    <w:rsid w:val="00485FF9"/>
    <w:rsid w:val="004907F0"/>
    <w:rsid w:val="0049140B"/>
    <w:rsid w:val="004923A5"/>
    <w:rsid w:val="004927BF"/>
    <w:rsid w:val="0049477E"/>
    <w:rsid w:val="004948BE"/>
    <w:rsid w:val="00496BFB"/>
    <w:rsid w:val="004A15C7"/>
    <w:rsid w:val="004A6B17"/>
    <w:rsid w:val="004B013B"/>
    <w:rsid w:val="004B112B"/>
    <w:rsid w:val="004B18A7"/>
    <w:rsid w:val="004C01E4"/>
    <w:rsid w:val="004C086C"/>
    <w:rsid w:val="004C1F56"/>
    <w:rsid w:val="004C27BC"/>
    <w:rsid w:val="004C6C60"/>
    <w:rsid w:val="004D15F3"/>
    <w:rsid w:val="004D329B"/>
    <w:rsid w:val="004D347F"/>
    <w:rsid w:val="004D4768"/>
    <w:rsid w:val="004D5311"/>
    <w:rsid w:val="004D5DCC"/>
    <w:rsid w:val="004D7648"/>
    <w:rsid w:val="004E0C08"/>
    <w:rsid w:val="004E687A"/>
    <w:rsid w:val="004F06DB"/>
    <w:rsid w:val="004F10AF"/>
    <w:rsid w:val="004F11A4"/>
    <w:rsid w:val="004F2389"/>
    <w:rsid w:val="004F304D"/>
    <w:rsid w:val="004F61BE"/>
    <w:rsid w:val="004F66B1"/>
    <w:rsid w:val="00502A0D"/>
    <w:rsid w:val="00510FFD"/>
    <w:rsid w:val="00511C07"/>
    <w:rsid w:val="00512D5D"/>
    <w:rsid w:val="005144CF"/>
    <w:rsid w:val="005157CC"/>
    <w:rsid w:val="00516361"/>
    <w:rsid w:val="005173A6"/>
    <w:rsid w:val="00520BAA"/>
    <w:rsid w:val="00525208"/>
    <w:rsid w:val="005257A5"/>
    <w:rsid w:val="005264C0"/>
    <w:rsid w:val="00526A8A"/>
    <w:rsid w:val="00530586"/>
    <w:rsid w:val="00531DF2"/>
    <w:rsid w:val="00532E29"/>
    <w:rsid w:val="00533CF7"/>
    <w:rsid w:val="00534CA9"/>
    <w:rsid w:val="00535BB8"/>
    <w:rsid w:val="005368C5"/>
    <w:rsid w:val="00542933"/>
    <w:rsid w:val="005430C8"/>
    <w:rsid w:val="005442EE"/>
    <w:rsid w:val="00547353"/>
    <w:rsid w:val="005474E7"/>
    <w:rsid w:val="00550759"/>
    <w:rsid w:val="005512A3"/>
    <w:rsid w:val="00556C2C"/>
    <w:rsid w:val="005578CE"/>
    <w:rsid w:val="00562781"/>
    <w:rsid w:val="00563E83"/>
    <w:rsid w:val="0057271C"/>
    <w:rsid w:val="00572845"/>
    <w:rsid w:val="0059210A"/>
    <w:rsid w:val="00592772"/>
    <w:rsid w:val="0059574A"/>
    <w:rsid w:val="00596813"/>
    <w:rsid w:val="005A1B9B"/>
    <w:rsid w:val="005A5EEE"/>
    <w:rsid w:val="005A6751"/>
    <w:rsid w:val="005B092E"/>
    <w:rsid w:val="005B152C"/>
    <w:rsid w:val="005B1EE0"/>
    <w:rsid w:val="005B2B24"/>
    <w:rsid w:val="005B4425"/>
    <w:rsid w:val="005B4B94"/>
    <w:rsid w:val="005C3EE8"/>
    <w:rsid w:val="005C6028"/>
    <w:rsid w:val="005C6721"/>
    <w:rsid w:val="005D2593"/>
    <w:rsid w:val="005D34F9"/>
    <w:rsid w:val="005D4190"/>
    <w:rsid w:val="005D67A3"/>
    <w:rsid w:val="005E2988"/>
    <w:rsid w:val="005E2A43"/>
    <w:rsid w:val="005E3085"/>
    <w:rsid w:val="005E425D"/>
    <w:rsid w:val="005E438A"/>
    <w:rsid w:val="005E4EE7"/>
    <w:rsid w:val="005E538F"/>
    <w:rsid w:val="005E56EA"/>
    <w:rsid w:val="005F51E1"/>
    <w:rsid w:val="00611C80"/>
    <w:rsid w:val="00620692"/>
    <w:rsid w:val="00620EB9"/>
    <w:rsid w:val="006242CA"/>
    <w:rsid w:val="00624879"/>
    <w:rsid w:val="00625DB3"/>
    <w:rsid w:val="00627507"/>
    <w:rsid w:val="006309EC"/>
    <w:rsid w:val="006327F0"/>
    <w:rsid w:val="00633717"/>
    <w:rsid w:val="00633E63"/>
    <w:rsid w:val="006344E1"/>
    <w:rsid w:val="00654182"/>
    <w:rsid w:val="006545C4"/>
    <w:rsid w:val="00654A34"/>
    <w:rsid w:val="00661971"/>
    <w:rsid w:val="00661CE8"/>
    <w:rsid w:val="006623D9"/>
    <w:rsid w:val="00662C95"/>
    <w:rsid w:val="0066550C"/>
    <w:rsid w:val="006702CB"/>
    <w:rsid w:val="006716F2"/>
    <w:rsid w:val="006773B4"/>
    <w:rsid w:val="006779A9"/>
    <w:rsid w:val="00682BF2"/>
    <w:rsid w:val="00682FF3"/>
    <w:rsid w:val="00684666"/>
    <w:rsid w:val="006846CC"/>
    <w:rsid w:val="006859CE"/>
    <w:rsid w:val="00691270"/>
    <w:rsid w:val="00694BA8"/>
    <w:rsid w:val="006A0021"/>
    <w:rsid w:val="006A037C"/>
    <w:rsid w:val="006A36F4"/>
    <w:rsid w:val="006A406F"/>
    <w:rsid w:val="006A5050"/>
    <w:rsid w:val="006A5D3A"/>
    <w:rsid w:val="006C23D4"/>
    <w:rsid w:val="006C70B3"/>
    <w:rsid w:val="006C7BB0"/>
    <w:rsid w:val="006C7C1E"/>
    <w:rsid w:val="006D0C0A"/>
    <w:rsid w:val="006D3237"/>
    <w:rsid w:val="006D6015"/>
    <w:rsid w:val="006E2E37"/>
    <w:rsid w:val="006E3CF1"/>
    <w:rsid w:val="006E44D5"/>
    <w:rsid w:val="006E7E80"/>
    <w:rsid w:val="006F1B74"/>
    <w:rsid w:val="006F1DF9"/>
    <w:rsid w:val="006F24DB"/>
    <w:rsid w:val="006F362B"/>
    <w:rsid w:val="006F48CA"/>
    <w:rsid w:val="006F64DD"/>
    <w:rsid w:val="007000A7"/>
    <w:rsid w:val="00711758"/>
    <w:rsid w:val="00715127"/>
    <w:rsid w:val="00715E8E"/>
    <w:rsid w:val="00716DEF"/>
    <w:rsid w:val="00723580"/>
    <w:rsid w:val="00723755"/>
    <w:rsid w:val="0072376D"/>
    <w:rsid w:val="007247CD"/>
    <w:rsid w:val="007266DD"/>
    <w:rsid w:val="0073136C"/>
    <w:rsid w:val="00731F0F"/>
    <w:rsid w:val="00733250"/>
    <w:rsid w:val="00741404"/>
    <w:rsid w:val="007449E5"/>
    <w:rsid w:val="00744EC9"/>
    <w:rsid w:val="00746C5A"/>
    <w:rsid w:val="00747FF0"/>
    <w:rsid w:val="007509D5"/>
    <w:rsid w:val="00750E11"/>
    <w:rsid w:val="00751719"/>
    <w:rsid w:val="00755DCC"/>
    <w:rsid w:val="00757E1E"/>
    <w:rsid w:val="00764D4E"/>
    <w:rsid w:val="00765985"/>
    <w:rsid w:val="00765A1F"/>
    <w:rsid w:val="00774A6E"/>
    <w:rsid w:val="00775B6D"/>
    <w:rsid w:val="00776D68"/>
    <w:rsid w:val="00781B2F"/>
    <w:rsid w:val="0078348F"/>
    <w:rsid w:val="007850EE"/>
    <w:rsid w:val="00785B95"/>
    <w:rsid w:val="00790E96"/>
    <w:rsid w:val="007910F7"/>
    <w:rsid w:val="00791F45"/>
    <w:rsid w:val="00792B2F"/>
    <w:rsid w:val="00793366"/>
    <w:rsid w:val="00794280"/>
    <w:rsid w:val="007A3A84"/>
    <w:rsid w:val="007A449B"/>
    <w:rsid w:val="007A716F"/>
    <w:rsid w:val="007B270A"/>
    <w:rsid w:val="007B2B1E"/>
    <w:rsid w:val="007C0695"/>
    <w:rsid w:val="007C070A"/>
    <w:rsid w:val="007C1C61"/>
    <w:rsid w:val="007C419A"/>
    <w:rsid w:val="007C4CC8"/>
    <w:rsid w:val="007C5426"/>
    <w:rsid w:val="007C5798"/>
    <w:rsid w:val="007D4832"/>
    <w:rsid w:val="007D4D63"/>
    <w:rsid w:val="007E21B2"/>
    <w:rsid w:val="007E2C4E"/>
    <w:rsid w:val="007E6A34"/>
    <w:rsid w:val="007F1905"/>
    <w:rsid w:val="007F2C4E"/>
    <w:rsid w:val="007F7D8A"/>
    <w:rsid w:val="0080048F"/>
    <w:rsid w:val="00801300"/>
    <w:rsid w:val="00802C64"/>
    <w:rsid w:val="00805E52"/>
    <w:rsid w:val="008061D0"/>
    <w:rsid w:val="00810B38"/>
    <w:rsid w:val="00815AC9"/>
    <w:rsid w:val="008204C7"/>
    <w:rsid w:val="00820992"/>
    <w:rsid w:val="00823602"/>
    <w:rsid w:val="00823BB7"/>
    <w:rsid w:val="008255F5"/>
    <w:rsid w:val="0083014E"/>
    <w:rsid w:val="0083214A"/>
    <w:rsid w:val="00834220"/>
    <w:rsid w:val="00835239"/>
    <w:rsid w:val="00845723"/>
    <w:rsid w:val="00845B9F"/>
    <w:rsid w:val="00845D78"/>
    <w:rsid w:val="00851EF9"/>
    <w:rsid w:val="00853461"/>
    <w:rsid w:val="00853B47"/>
    <w:rsid w:val="008577FD"/>
    <w:rsid w:val="00860B03"/>
    <w:rsid w:val="0086497A"/>
    <w:rsid w:val="00865DFD"/>
    <w:rsid w:val="008663FC"/>
    <w:rsid w:val="008713A1"/>
    <w:rsid w:val="00872192"/>
    <w:rsid w:val="008754AB"/>
    <w:rsid w:val="0088060C"/>
    <w:rsid w:val="00880B07"/>
    <w:rsid w:val="008821FC"/>
    <w:rsid w:val="00886356"/>
    <w:rsid w:val="00893576"/>
    <w:rsid w:val="00893E73"/>
    <w:rsid w:val="008941C6"/>
    <w:rsid w:val="008A159A"/>
    <w:rsid w:val="008A28D5"/>
    <w:rsid w:val="008A43C4"/>
    <w:rsid w:val="008A7484"/>
    <w:rsid w:val="008B02DC"/>
    <w:rsid w:val="008B57CE"/>
    <w:rsid w:val="008B659F"/>
    <w:rsid w:val="008B799D"/>
    <w:rsid w:val="008C26DE"/>
    <w:rsid w:val="008C2AD1"/>
    <w:rsid w:val="008C31EC"/>
    <w:rsid w:val="008C6B6A"/>
    <w:rsid w:val="008D2225"/>
    <w:rsid w:val="008D4752"/>
    <w:rsid w:val="008D552A"/>
    <w:rsid w:val="008E271C"/>
    <w:rsid w:val="008E418E"/>
    <w:rsid w:val="008E5BC6"/>
    <w:rsid w:val="008E6A25"/>
    <w:rsid w:val="008E6AFC"/>
    <w:rsid w:val="008F5193"/>
    <w:rsid w:val="009013A7"/>
    <w:rsid w:val="009017FB"/>
    <w:rsid w:val="009017FC"/>
    <w:rsid w:val="0090352B"/>
    <w:rsid w:val="00903B43"/>
    <w:rsid w:val="0090506B"/>
    <w:rsid w:val="009050C9"/>
    <w:rsid w:val="009066FC"/>
    <w:rsid w:val="009073AA"/>
    <w:rsid w:val="009140A3"/>
    <w:rsid w:val="009144A2"/>
    <w:rsid w:val="0091510C"/>
    <w:rsid w:val="00917431"/>
    <w:rsid w:val="00917FC7"/>
    <w:rsid w:val="009211D0"/>
    <w:rsid w:val="00922BB1"/>
    <w:rsid w:val="009259AC"/>
    <w:rsid w:val="00926F38"/>
    <w:rsid w:val="0093001C"/>
    <w:rsid w:val="00934301"/>
    <w:rsid w:val="00936CD1"/>
    <w:rsid w:val="00941747"/>
    <w:rsid w:val="00941EFB"/>
    <w:rsid w:val="00947AFB"/>
    <w:rsid w:val="00951D7D"/>
    <w:rsid w:val="00952C12"/>
    <w:rsid w:val="009630C7"/>
    <w:rsid w:val="0096667D"/>
    <w:rsid w:val="00966852"/>
    <w:rsid w:val="00971CE2"/>
    <w:rsid w:val="00972B55"/>
    <w:rsid w:val="009743B7"/>
    <w:rsid w:val="0098228B"/>
    <w:rsid w:val="00982562"/>
    <w:rsid w:val="009828D8"/>
    <w:rsid w:val="009828DA"/>
    <w:rsid w:val="00985BAB"/>
    <w:rsid w:val="00986234"/>
    <w:rsid w:val="009901EB"/>
    <w:rsid w:val="0099337E"/>
    <w:rsid w:val="00994211"/>
    <w:rsid w:val="00995DAF"/>
    <w:rsid w:val="00997F03"/>
    <w:rsid w:val="009A2D7F"/>
    <w:rsid w:val="009A46DF"/>
    <w:rsid w:val="009B1B5F"/>
    <w:rsid w:val="009B2466"/>
    <w:rsid w:val="009B2EC2"/>
    <w:rsid w:val="009B512E"/>
    <w:rsid w:val="009B6673"/>
    <w:rsid w:val="009C0637"/>
    <w:rsid w:val="009C12C7"/>
    <w:rsid w:val="009C191B"/>
    <w:rsid w:val="009C2BD6"/>
    <w:rsid w:val="009C35B7"/>
    <w:rsid w:val="009C712F"/>
    <w:rsid w:val="009D58A9"/>
    <w:rsid w:val="009E0B40"/>
    <w:rsid w:val="009E1F32"/>
    <w:rsid w:val="009E5829"/>
    <w:rsid w:val="009E776C"/>
    <w:rsid w:val="009F1975"/>
    <w:rsid w:val="009F30EC"/>
    <w:rsid w:val="00A10DDF"/>
    <w:rsid w:val="00A130B4"/>
    <w:rsid w:val="00A1726E"/>
    <w:rsid w:val="00A204CF"/>
    <w:rsid w:val="00A2277A"/>
    <w:rsid w:val="00A23D49"/>
    <w:rsid w:val="00A27004"/>
    <w:rsid w:val="00A30C29"/>
    <w:rsid w:val="00A34DD6"/>
    <w:rsid w:val="00A36819"/>
    <w:rsid w:val="00A36989"/>
    <w:rsid w:val="00A43628"/>
    <w:rsid w:val="00A53CEB"/>
    <w:rsid w:val="00A54192"/>
    <w:rsid w:val="00A6035E"/>
    <w:rsid w:val="00A6144C"/>
    <w:rsid w:val="00A6298D"/>
    <w:rsid w:val="00A66617"/>
    <w:rsid w:val="00A671F8"/>
    <w:rsid w:val="00A673A4"/>
    <w:rsid w:val="00A711EF"/>
    <w:rsid w:val="00A724AE"/>
    <w:rsid w:val="00A72940"/>
    <w:rsid w:val="00A731B0"/>
    <w:rsid w:val="00A73329"/>
    <w:rsid w:val="00A73A86"/>
    <w:rsid w:val="00A73E4B"/>
    <w:rsid w:val="00A73E97"/>
    <w:rsid w:val="00A76374"/>
    <w:rsid w:val="00A82359"/>
    <w:rsid w:val="00A8569B"/>
    <w:rsid w:val="00A865D2"/>
    <w:rsid w:val="00A902F9"/>
    <w:rsid w:val="00A92FAF"/>
    <w:rsid w:val="00A94C20"/>
    <w:rsid w:val="00A954B4"/>
    <w:rsid w:val="00A96ED6"/>
    <w:rsid w:val="00AA0E73"/>
    <w:rsid w:val="00AA2118"/>
    <w:rsid w:val="00AA227F"/>
    <w:rsid w:val="00AA3BC7"/>
    <w:rsid w:val="00AA754A"/>
    <w:rsid w:val="00AB099E"/>
    <w:rsid w:val="00AB19E3"/>
    <w:rsid w:val="00AB4328"/>
    <w:rsid w:val="00AB57ED"/>
    <w:rsid w:val="00AB5FA0"/>
    <w:rsid w:val="00AB75C2"/>
    <w:rsid w:val="00AD0CDD"/>
    <w:rsid w:val="00AD4F63"/>
    <w:rsid w:val="00AE0A2E"/>
    <w:rsid w:val="00AE354C"/>
    <w:rsid w:val="00AF4B07"/>
    <w:rsid w:val="00AF6186"/>
    <w:rsid w:val="00AF788F"/>
    <w:rsid w:val="00AF7A3A"/>
    <w:rsid w:val="00B119AF"/>
    <w:rsid w:val="00B1423B"/>
    <w:rsid w:val="00B160DB"/>
    <w:rsid w:val="00B20836"/>
    <w:rsid w:val="00B235BB"/>
    <w:rsid w:val="00B27A44"/>
    <w:rsid w:val="00B30BBF"/>
    <w:rsid w:val="00B3235C"/>
    <w:rsid w:val="00B32C1E"/>
    <w:rsid w:val="00B33C03"/>
    <w:rsid w:val="00B44E56"/>
    <w:rsid w:val="00B46543"/>
    <w:rsid w:val="00B47D33"/>
    <w:rsid w:val="00B52169"/>
    <w:rsid w:val="00B52BE0"/>
    <w:rsid w:val="00B54133"/>
    <w:rsid w:val="00B548BB"/>
    <w:rsid w:val="00B60ED0"/>
    <w:rsid w:val="00B637B9"/>
    <w:rsid w:val="00B6598B"/>
    <w:rsid w:val="00B66238"/>
    <w:rsid w:val="00B701ED"/>
    <w:rsid w:val="00B71433"/>
    <w:rsid w:val="00B74A97"/>
    <w:rsid w:val="00B74BA4"/>
    <w:rsid w:val="00B8086C"/>
    <w:rsid w:val="00B83C0C"/>
    <w:rsid w:val="00B857E2"/>
    <w:rsid w:val="00B861B4"/>
    <w:rsid w:val="00B86DFE"/>
    <w:rsid w:val="00B90990"/>
    <w:rsid w:val="00B922FF"/>
    <w:rsid w:val="00B92491"/>
    <w:rsid w:val="00B9281E"/>
    <w:rsid w:val="00B93925"/>
    <w:rsid w:val="00B95187"/>
    <w:rsid w:val="00BA1153"/>
    <w:rsid w:val="00BA2D55"/>
    <w:rsid w:val="00BA71B1"/>
    <w:rsid w:val="00BB0637"/>
    <w:rsid w:val="00BB1619"/>
    <w:rsid w:val="00BB345F"/>
    <w:rsid w:val="00BB4B2F"/>
    <w:rsid w:val="00BB5883"/>
    <w:rsid w:val="00BB68EA"/>
    <w:rsid w:val="00BC1C27"/>
    <w:rsid w:val="00BC2430"/>
    <w:rsid w:val="00BC64DB"/>
    <w:rsid w:val="00BC6BBF"/>
    <w:rsid w:val="00BD1572"/>
    <w:rsid w:val="00BD1837"/>
    <w:rsid w:val="00BD3817"/>
    <w:rsid w:val="00BD48A7"/>
    <w:rsid w:val="00BD59F5"/>
    <w:rsid w:val="00BE14E3"/>
    <w:rsid w:val="00BE2F84"/>
    <w:rsid w:val="00BE3774"/>
    <w:rsid w:val="00BE41E5"/>
    <w:rsid w:val="00BE6348"/>
    <w:rsid w:val="00BF0BBB"/>
    <w:rsid w:val="00BF4050"/>
    <w:rsid w:val="00BF4109"/>
    <w:rsid w:val="00BF4CC3"/>
    <w:rsid w:val="00C054C7"/>
    <w:rsid w:val="00C057B5"/>
    <w:rsid w:val="00C10F08"/>
    <w:rsid w:val="00C13654"/>
    <w:rsid w:val="00C22687"/>
    <w:rsid w:val="00C315D3"/>
    <w:rsid w:val="00C32E4D"/>
    <w:rsid w:val="00C333A0"/>
    <w:rsid w:val="00C36A81"/>
    <w:rsid w:val="00C373EF"/>
    <w:rsid w:val="00C376BF"/>
    <w:rsid w:val="00C41974"/>
    <w:rsid w:val="00C434C8"/>
    <w:rsid w:val="00C447AD"/>
    <w:rsid w:val="00C47FDA"/>
    <w:rsid w:val="00C53EB6"/>
    <w:rsid w:val="00C53F4A"/>
    <w:rsid w:val="00C54125"/>
    <w:rsid w:val="00C55B54"/>
    <w:rsid w:val="00C55C51"/>
    <w:rsid w:val="00C6098E"/>
    <w:rsid w:val="00C61074"/>
    <w:rsid w:val="00C6152C"/>
    <w:rsid w:val="00C621C2"/>
    <w:rsid w:val="00C67F6B"/>
    <w:rsid w:val="00C736B1"/>
    <w:rsid w:val="00C74810"/>
    <w:rsid w:val="00C83B7D"/>
    <w:rsid w:val="00C90D68"/>
    <w:rsid w:val="00C915FB"/>
    <w:rsid w:val="00C92EE8"/>
    <w:rsid w:val="00C931D5"/>
    <w:rsid w:val="00C939FE"/>
    <w:rsid w:val="00C96642"/>
    <w:rsid w:val="00CA3A02"/>
    <w:rsid w:val="00CA4BDA"/>
    <w:rsid w:val="00CB1F66"/>
    <w:rsid w:val="00CB2951"/>
    <w:rsid w:val="00CC2481"/>
    <w:rsid w:val="00CC3594"/>
    <w:rsid w:val="00CD282B"/>
    <w:rsid w:val="00CD4C35"/>
    <w:rsid w:val="00CD7369"/>
    <w:rsid w:val="00CE0B0E"/>
    <w:rsid w:val="00CE2F1E"/>
    <w:rsid w:val="00CE3831"/>
    <w:rsid w:val="00CF5428"/>
    <w:rsid w:val="00CF61E1"/>
    <w:rsid w:val="00D00ABB"/>
    <w:rsid w:val="00D02EEC"/>
    <w:rsid w:val="00D03551"/>
    <w:rsid w:val="00D03718"/>
    <w:rsid w:val="00D038C1"/>
    <w:rsid w:val="00D06A63"/>
    <w:rsid w:val="00D07E0E"/>
    <w:rsid w:val="00D11478"/>
    <w:rsid w:val="00D15ED0"/>
    <w:rsid w:val="00D1729E"/>
    <w:rsid w:val="00D204FE"/>
    <w:rsid w:val="00D21B3E"/>
    <w:rsid w:val="00D21FED"/>
    <w:rsid w:val="00D24251"/>
    <w:rsid w:val="00D24B48"/>
    <w:rsid w:val="00D343E2"/>
    <w:rsid w:val="00D361A2"/>
    <w:rsid w:val="00D37392"/>
    <w:rsid w:val="00D374D0"/>
    <w:rsid w:val="00D3789C"/>
    <w:rsid w:val="00D44C2E"/>
    <w:rsid w:val="00D452D9"/>
    <w:rsid w:val="00D45414"/>
    <w:rsid w:val="00D4730B"/>
    <w:rsid w:val="00D52A17"/>
    <w:rsid w:val="00D53C0F"/>
    <w:rsid w:val="00D556B9"/>
    <w:rsid w:val="00D566BD"/>
    <w:rsid w:val="00D57A4D"/>
    <w:rsid w:val="00D60AA7"/>
    <w:rsid w:val="00D60D87"/>
    <w:rsid w:val="00D6399F"/>
    <w:rsid w:val="00D6435F"/>
    <w:rsid w:val="00D65F50"/>
    <w:rsid w:val="00D72173"/>
    <w:rsid w:val="00D75E28"/>
    <w:rsid w:val="00D770D0"/>
    <w:rsid w:val="00D772C2"/>
    <w:rsid w:val="00D77DFA"/>
    <w:rsid w:val="00D8008E"/>
    <w:rsid w:val="00D82C45"/>
    <w:rsid w:val="00D835EA"/>
    <w:rsid w:val="00D908A8"/>
    <w:rsid w:val="00D91950"/>
    <w:rsid w:val="00D91BA1"/>
    <w:rsid w:val="00D924AB"/>
    <w:rsid w:val="00D948DA"/>
    <w:rsid w:val="00D977B6"/>
    <w:rsid w:val="00DA4A31"/>
    <w:rsid w:val="00DA61F2"/>
    <w:rsid w:val="00DA6D40"/>
    <w:rsid w:val="00DA7B04"/>
    <w:rsid w:val="00DB36C2"/>
    <w:rsid w:val="00DB7196"/>
    <w:rsid w:val="00DB7FA1"/>
    <w:rsid w:val="00DC169B"/>
    <w:rsid w:val="00DC2AB9"/>
    <w:rsid w:val="00DC63F0"/>
    <w:rsid w:val="00DD0AD9"/>
    <w:rsid w:val="00DD4F51"/>
    <w:rsid w:val="00DD6EE5"/>
    <w:rsid w:val="00DE1B8E"/>
    <w:rsid w:val="00DE386C"/>
    <w:rsid w:val="00DE4D35"/>
    <w:rsid w:val="00DF0549"/>
    <w:rsid w:val="00DF098B"/>
    <w:rsid w:val="00DF11C4"/>
    <w:rsid w:val="00DF210C"/>
    <w:rsid w:val="00DF4B6A"/>
    <w:rsid w:val="00DF5120"/>
    <w:rsid w:val="00DF5E30"/>
    <w:rsid w:val="00E02C09"/>
    <w:rsid w:val="00E04D59"/>
    <w:rsid w:val="00E07DA1"/>
    <w:rsid w:val="00E123CB"/>
    <w:rsid w:val="00E1557C"/>
    <w:rsid w:val="00E1796D"/>
    <w:rsid w:val="00E20E13"/>
    <w:rsid w:val="00E21DBC"/>
    <w:rsid w:val="00E22C66"/>
    <w:rsid w:val="00E25E18"/>
    <w:rsid w:val="00E275D7"/>
    <w:rsid w:val="00E27DBE"/>
    <w:rsid w:val="00E32AB1"/>
    <w:rsid w:val="00E32F65"/>
    <w:rsid w:val="00E33F07"/>
    <w:rsid w:val="00E36C71"/>
    <w:rsid w:val="00E40404"/>
    <w:rsid w:val="00E40D3B"/>
    <w:rsid w:val="00E4133A"/>
    <w:rsid w:val="00E459C6"/>
    <w:rsid w:val="00E47589"/>
    <w:rsid w:val="00E50362"/>
    <w:rsid w:val="00E55C6F"/>
    <w:rsid w:val="00E564D9"/>
    <w:rsid w:val="00E62003"/>
    <w:rsid w:val="00E64249"/>
    <w:rsid w:val="00E64915"/>
    <w:rsid w:val="00E661D4"/>
    <w:rsid w:val="00E70091"/>
    <w:rsid w:val="00E70872"/>
    <w:rsid w:val="00E71F08"/>
    <w:rsid w:val="00E720F5"/>
    <w:rsid w:val="00E72EE4"/>
    <w:rsid w:val="00E76D47"/>
    <w:rsid w:val="00E849F7"/>
    <w:rsid w:val="00E84CBD"/>
    <w:rsid w:val="00E86997"/>
    <w:rsid w:val="00E90302"/>
    <w:rsid w:val="00E9597F"/>
    <w:rsid w:val="00E97396"/>
    <w:rsid w:val="00EA185E"/>
    <w:rsid w:val="00EA383B"/>
    <w:rsid w:val="00EA592A"/>
    <w:rsid w:val="00EA737F"/>
    <w:rsid w:val="00EA749B"/>
    <w:rsid w:val="00EB0BBE"/>
    <w:rsid w:val="00EB14E4"/>
    <w:rsid w:val="00EB23EC"/>
    <w:rsid w:val="00EB2A1D"/>
    <w:rsid w:val="00EB32A5"/>
    <w:rsid w:val="00EB34ED"/>
    <w:rsid w:val="00EB7BE0"/>
    <w:rsid w:val="00EC315E"/>
    <w:rsid w:val="00ED077C"/>
    <w:rsid w:val="00ED1190"/>
    <w:rsid w:val="00ED6544"/>
    <w:rsid w:val="00ED7A74"/>
    <w:rsid w:val="00EE0277"/>
    <w:rsid w:val="00EE1DA9"/>
    <w:rsid w:val="00EE3ABE"/>
    <w:rsid w:val="00EE3E00"/>
    <w:rsid w:val="00EE5DD2"/>
    <w:rsid w:val="00EE65F0"/>
    <w:rsid w:val="00EE779E"/>
    <w:rsid w:val="00EF0073"/>
    <w:rsid w:val="00EF1676"/>
    <w:rsid w:val="00EF41F1"/>
    <w:rsid w:val="00EF4F08"/>
    <w:rsid w:val="00EF573B"/>
    <w:rsid w:val="00F00A79"/>
    <w:rsid w:val="00F00E86"/>
    <w:rsid w:val="00F00F8B"/>
    <w:rsid w:val="00F01D2B"/>
    <w:rsid w:val="00F06EBD"/>
    <w:rsid w:val="00F07C1E"/>
    <w:rsid w:val="00F105DB"/>
    <w:rsid w:val="00F132BC"/>
    <w:rsid w:val="00F13D80"/>
    <w:rsid w:val="00F16AAA"/>
    <w:rsid w:val="00F21161"/>
    <w:rsid w:val="00F218EF"/>
    <w:rsid w:val="00F21BC7"/>
    <w:rsid w:val="00F2448D"/>
    <w:rsid w:val="00F25B4B"/>
    <w:rsid w:val="00F25F23"/>
    <w:rsid w:val="00F266A2"/>
    <w:rsid w:val="00F32269"/>
    <w:rsid w:val="00F32708"/>
    <w:rsid w:val="00F33674"/>
    <w:rsid w:val="00F355A1"/>
    <w:rsid w:val="00F362EE"/>
    <w:rsid w:val="00F4457E"/>
    <w:rsid w:val="00F4559B"/>
    <w:rsid w:val="00F459B7"/>
    <w:rsid w:val="00F567F2"/>
    <w:rsid w:val="00F56A6F"/>
    <w:rsid w:val="00F5709C"/>
    <w:rsid w:val="00F62B9F"/>
    <w:rsid w:val="00F64EF1"/>
    <w:rsid w:val="00F6569F"/>
    <w:rsid w:val="00F6660D"/>
    <w:rsid w:val="00F7071E"/>
    <w:rsid w:val="00F77CDE"/>
    <w:rsid w:val="00F80A47"/>
    <w:rsid w:val="00F80C26"/>
    <w:rsid w:val="00F82203"/>
    <w:rsid w:val="00F8732B"/>
    <w:rsid w:val="00F8765F"/>
    <w:rsid w:val="00F90767"/>
    <w:rsid w:val="00F92631"/>
    <w:rsid w:val="00F92757"/>
    <w:rsid w:val="00F9671B"/>
    <w:rsid w:val="00FA685B"/>
    <w:rsid w:val="00FB0C01"/>
    <w:rsid w:val="00FB118D"/>
    <w:rsid w:val="00FB6081"/>
    <w:rsid w:val="00FC01D7"/>
    <w:rsid w:val="00FC18F2"/>
    <w:rsid w:val="00FC195B"/>
    <w:rsid w:val="00FC39E5"/>
    <w:rsid w:val="00FC3A78"/>
    <w:rsid w:val="00FC48DF"/>
    <w:rsid w:val="00FC5FFE"/>
    <w:rsid w:val="00FC6E7A"/>
    <w:rsid w:val="00FD1005"/>
    <w:rsid w:val="00FD1337"/>
    <w:rsid w:val="00FD27C1"/>
    <w:rsid w:val="00FD3180"/>
    <w:rsid w:val="00FD6C75"/>
    <w:rsid w:val="00FE6AA8"/>
    <w:rsid w:val="00FE71B3"/>
    <w:rsid w:val="00FF2AC9"/>
    <w:rsid w:val="00FF3AAB"/>
    <w:rsid w:val="00FF42C5"/>
    <w:rsid w:val="00FF4D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12E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4E687A"/>
    <w:pPr>
      <w:jc w:val="both"/>
    </w:pPr>
    <w:rPr>
      <w:rFonts w:eastAsiaTheme="minorEastAsia"/>
      <w:sz w:val="24"/>
      <w:lang w:val="en-GB"/>
    </w:rPr>
  </w:style>
  <w:style w:type="paragraph" w:styleId="Nagwek1">
    <w:name w:val="heading 1"/>
    <w:basedOn w:val="Normalny"/>
    <w:next w:val="Normalny"/>
    <w:link w:val="Nagwek1Znak"/>
    <w:uiPriority w:val="99"/>
    <w:semiHidden/>
    <w:rsid w:val="004E68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E68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E68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E68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D4F51"/>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4E68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D4F51"/>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DD4F51"/>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DD4F51"/>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E687A"/>
    <w:rPr>
      <w:rFonts w:ascii="Tahoma" w:hAnsi="Tahoma" w:cs="Tahoma"/>
      <w:sz w:val="16"/>
      <w:szCs w:val="16"/>
    </w:rPr>
  </w:style>
  <w:style w:type="character" w:customStyle="1" w:styleId="TekstdymkaZnak">
    <w:name w:val="Tekst dymka Znak"/>
    <w:basedOn w:val="Domylnaczcionkaakapitu"/>
    <w:link w:val="Tekstdymka"/>
    <w:uiPriority w:val="99"/>
    <w:semiHidden/>
    <w:rsid w:val="004E687A"/>
    <w:rPr>
      <w:rFonts w:ascii="Tahoma" w:eastAsiaTheme="minorEastAsia" w:hAnsi="Tahoma" w:cs="Tahoma"/>
      <w:sz w:val="16"/>
      <w:szCs w:val="16"/>
      <w:lang w:val="en-GB"/>
    </w:rPr>
  </w:style>
  <w:style w:type="character" w:styleId="Tytuksiki">
    <w:name w:val="Book Title"/>
    <w:uiPriority w:val="99"/>
    <w:semiHidden/>
    <w:qFormat/>
    <w:rsid w:val="00DD4F51"/>
    <w:rPr>
      <w:i/>
      <w:iCs/>
      <w:smallCaps/>
      <w:spacing w:val="5"/>
    </w:rPr>
  </w:style>
  <w:style w:type="paragraph" w:customStyle="1" w:styleId="ECHRHeader">
    <w:name w:val="ECHR_Header"/>
    <w:aliases w:val="Ju_Header"/>
    <w:basedOn w:val="Nagwek"/>
    <w:uiPriority w:val="4"/>
    <w:qFormat/>
    <w:rsid w:val="00DD4F5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E687A"/>
    <w:pPr>
      <w:jc w:val="left"/>
    </w:pPr>
    <w:rPr>
      <w:sz w:val="8"/>
    </w:rPr>
  </w:style>
  <w:style w:type="character" w:styleId="Pogrubienie">
    <w:name w:val="Strong"/>
    <w:uiPriority w:val="99"/>
    <w:semiHidden/>
    <w:qFormat/>
    <w:rsid w:val="00DD4F51"/>
    <w:rPr>
      <w:b/>
      <w:bCs/>
    </w:rPr>
  </w:style>
  <w:style w:type="paragraph" w:styleId="Bezodstpw">
    <w:name w:val="No Spacing"/>
    <w:basedOn w:val="Normalny"/>
    <w:link w:val="BezodstpwZnak"/>
    <w:semiHidden/>
    <w:qFormat/>
    <w:rsid w:val="00DD4F51"/>
    <w:rPr>
      <w:sz w:val="22"/>
      <w:lang w:val="en-US"/>
    </w:rPr>
  </w:style>
  <w:style w:type="character" w:customStyle="1" w:styleId="BezodstpwZnak">
    <w:name w:val="Bez odstępów Znak"/>
    <w:basedOn w:val="Domylnaczcionkaakapitu"/>
    <w:link w:val="Bezodstpw"/>
    <w:semiHidden/>
    <w:rsid w:val="00DD4F51"/>
    <w:rPr>
      <w:rFonts w:eastAsiaTheme="minorEastAsia"/>
    </w:rPr>
  </w:style>
  <w:style w:type="paragraph" w:customStyle="1" w:styleId="ECHRFooterLine">
    <w:name w:val="ECHR_Footer_Line"/>
    <w:aliases w:val="Footer_Line"/>
    <w:basedOn w:val="Normalny"/>
    <w:next w:val="ECHRFooter"/>
    <w:uiPriority w:val="57"/>
    <w:semiHidden/>
    <w:rsid w:val="004E68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DD4F51"/>
    <w:pPr>
      <w:numPr>
        <w:numId w:val="38"/>
      </w:numPr>
      <w:jc w:val="left"/>
    </w:pPr>
    <w:rPr>
      <w:b/>
    </w:rPr>
  </w:style>
  <w:style w:type="paragraph" w:customStyle="1" w:styleId="OpiPara">
    <w:name w:val="Opi_Para"/>
    <w:basedOn w:val="ECHRPara"/>
    <w:uiPriority w:val="46"/>
    <w:qFormat/>
    <w:rsid w:val="00DD4F51"/>
  </w:style>
  <w:style w:type="paragraph" w:customStyle="1" w:styleId="JuParaSub">
    <w:name w:val="Ju_Para_Sub"/>
    <w:basedOn w:val="ECHRPara"/>
    <w:uiPriority w:val="13"/>
    <w:qFormat/>
    <w:rsid w:val="00DD4F51"/>
    <w:pPr>
      <w:ind w:left="284"/>
    </w:pPr>
  </w:style>
  <w:style w:type="paragraph" w:customStyle="1" w:styleId="ECHRTitleCentre3">
    <w:name w:val="ECHR_Title_Centre_3"/>
    <w:aliases w:val="Ju_H_Article"/>
    <w:basedOn w:val="Normalny"/>
    <w:next w:val="ECHRParaQuote"/>
    <w:uiPriority w:val="27"/>
    <w:qFormat/>
    <w:rsid w:val="00DD4F5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D4F5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D4F51"/>
  </w:style>
  <w:style w:type="paragraph" w:customStyle="1" w:styleId="OpiQuot">
    <w:name w:val="Opi_Quot"/>
    <w:basedOn w:val="ECHRParaQuote"/>
    <w:uiPriority w:val="48"/>
    <w:qFormat/>
    <w:rsid w:val="00DD4F51"/>
  </w:style>
  <w:style w:type="paragraph" w:customStyle="1" w:styleId="OpiQuotSub">
    <w:name w:val="Opi_Quot_Sub"/>
    <w:basedOn w:val="JuQuotSub"/>
    <w:uiPriority w:val="49"/>
    <w:qFormat/>
    <w:rsid w:val="00DD4F51"/>
  </w:style>
  <w:style w:type="paragraph" w:customStyle="1" w:styleId="ECHRTitleCentre2">
    <w:name w:val="ECHR_Title_Centre_2"/>
    <w:aliases w:val="Dec_H_Case"/>
    <w:basedOn w:val="Normalny"/>
    <w:next w:val="ECHRPara"/>
    <w:uiPriority w:val="8"/>
    <w:qFormat/>
    <w:rsid w:val="00DD4F51"/>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DD4F5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D4F5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DD4F5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D4F5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D4F5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D4F5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DD4F5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DD4F51"/>
    <w:pPr>
      <w:keepNext/>
      <w:keepLines/>
      <w:spacing w:before="240" w:after="120"/>
      <w:ind w:left="1236"/>
    </w:pPr>
    <w:rPr>
      <w:sz w:val="20"/>
      <w:lang w:val="en-GB"/>
    </w:rPr>
  </w:style>
  <w:style w:type="paragraph" w:customStyle="1" w:styleId="JuQuotSub">
    <w:name w:val="Ju_Quot_Sub"/>
    <w:basedOn w:val="ECHRParaQuote"/>
    <w:uiPriority w:val="15"/>
    <w:qFormat/>
    <w:rsid w:val="00DD4F51"/>
    <w:pPr>
      <w:ind w:left="567"/>
    </w:pPr>
  </w:style>
  <w:style w:type="paragraph" w:customStyle="1" w:styleId="JuInitialled">
    <w:name w:val="Ju_Initialled"/>
    <w:basedOn w:val="Normalny"/>
    <w:uiPriority w:val="31"/>
    <w:qFormat/>
    <w:rsid w:val="00DD4F51"/>
    <w:pPr>
      <w:tabs>
        <w:tab w:val="center" w:pos="6407"/>
      </w:tabs>
      <w:spacing w:before="720"/>
      <w:jc w:val="right"/>
    </w:pPr>
  </w:style>
  <w:style w:type="paragraph" w:customStyle="1" w:styleId="OpiHA">
    <w:name w:val="Opi_H_A"/>
    <w:basedOn w:val="ECHRHeading1"/>
    <w:next w:val="OpiPara"/>
    <w:uiPriority w:val="41"/>
    <w:qFormat/>
    <w:rsid w:val="00DD4F51"/>
    <w:pPr>
      <w:tabs>
        <w:tab w:val="clear" w:pos="357"/>
      </w:tabs>
      <w:outlineLvl w:val="1"/>
    </w:pPr>
    <w:rPr>
      <w:b/>
    </w:rPr>
  </w:style>
  <w:style w:type="paragraph" w:styleId="Nagwek">
    <w:name w:val="header"/>
    <w:basedOn w:val="Normalny"/>
    <w:link w:val="NagwekZnak"/>
    <w:uiPriority w:val="57"/>
    <w:semiHidden/>
    <w:rsid w:val="004E687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E687A"/>
    <w:rPr>
      <w:sz w:val="24"/>
      <w:lang w:val="en-GB"/>
    </w:rPr>
  </w:style>
  <w:style w:type="character" w:customStyle="1" w:styleId="Nagwek1Znak">
    <w:name w:val="Nagłówek 1 Znak"/>
    <w:basedOn w:val="Domylnaczcionkaakapitu"/>
    <w:link w:val="Nagwek1"/>
    <w:uiPriority w:val="99"/>
    <w:semiHidden/>
    <w:rsid w:val="004E687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DD4F5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D4F5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E687A"/>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DD4F51"/>
    <w:rPr>
      <w:caps w:val="0"/>
      <w:smallCaps/>
    </w:rPr>
  </w:style>
  <w:style w:type="paragraph" w:customStyle="1" w:styleId="JuCase">
    <w:name w:val="Ju_Case"/>
    <w:basedOn w:val="Normalny"/>
    <w:next w:val="ECHRPara"/>
    <w:uiPriority w:val="10"/>
    <w:rsid w:val="004E687A"/>
    <w:pPr>
      <w:ind w:firstLine="284"/>
    </w:pPr>
    <w:rPr>
      <w:b/>
    </w:rPr>
  </w:style>
  <w:style w:type="character" w:customStyle="1" w:styleId="Nagwek3Znak">
    <w:name w:val="Nagłówek 3 Znak"/>
    <w:basedOn w:val="Domylnaczcionkaakapitu"/>
    <w:link w:val="Nagwek3"/>
    <w:uiPriority w:val="99"/>
    <w:semiHidden/>
    <w:rsid w:val="004E687A"/>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4E687A"/>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DD4F51"/>
    <w:rPr>
      <w:rFonts w:asciiTheme="majorHAnsi" w:eastAsiaTheme="majorEastAsia" w:hAnsiTheme="majorHAnsi" w:cstheme="majorBidi"/>
      <w:b/>
      <w:bCs/>
      <w:color w:val="808080"/>
    </w:rPr>
  </w:style>
  <w:style w:type="character" w:styleId="Wyrnieniedelikatne">
    <w:name w:val="Subtle Emphasis"/>
    <w:uiPriority w:val="99"/>
    <w:semiHidden/>
    <w:qFormat/>
    <w:rsid w:val="00DD4F5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D4F51"/>
    <w:pPr>
      <w:keepNext/>
      <w:keepLines/>
      <w:spacing w:before="720" w:after="240"/>
      <w:outlineLvl w:val="0"/>
    </w:pPr>
    <w:rPr>
      <w:rFonts w:asciiTheme="majorHAnsi" w:hAnsiTheme="majorHAnsi"/>
      <w:sz w:val="28"/>
    </w:rPr>
  </w:style>
  <w:style w:type="character" w:styleId="Uwydatnienie">
    <w:name w:val="Emphasis"/>
    <w:uiPriority w:val="99"/>
    <w:semiHidden/>
    <w:qFormat/>
    <w:rsid w:val="00DD4F51"/>
    <w:rPr>
      <w:b/>
      <w:bCs/>
      <w:i/>
      <w:iCs/>
      <w:spacing w:val="10"/>
      <w:bdr w:val="none" w:sz="0" w:space="0" w:color="auto"/>
      <w:shd w:val="clear" w:color="auto" w:fill="auto"/>
    </w:rPr>
  </w:style>
  <w:style w:type="paragraph" w:styleId="Stopka">
    <w:name w:val="footer"/>
    <w:basedOn w:val="Normalny"/>
    <w:link w:val="StopkaZnak"/>
    <w:uiPriority w:val="57"/>
    <w:semiHidden/>
    <w:rsid w:val="004E68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E687A"/>
    <w:rPr>
      <w:sz w:val="24"/>
      <w:lang w:val="en-GB"/>
    </w:rPr>
  </w:style>
  <w:style w:type="character" w:styleId="Odwoanieprzypisudolnego">
    <w:name w:val="footnote reference"/>
    <w:basedOn w:val="Domylnaczcionkaakapitu"/>
    <w:uiPriority w:val="99"/>
    <w:semiHidden/>
    <w:rsid w:val="004E687A"/>
    <w:rPr>
      <w:vertAlign w:val="superscript"/>
    </w:rPr>
  </w:style>
  <w:style w:type="paragraph" w:styleId="Tekstprzypisudolnego">
    <w:name w:val="footnote text"/>
    <w:basedOn w:val="Normalny"/>
    <w:link w:val="TekstprzypisudolnegoZnak"/>
    <w:uiPriority w:val="99"/>
    <w:semiHidden/>
    <w:rsid w:val="004E687A"/>
    <w:rPr>
      <w:sz w:val="20"/>
      <w:szCs w:val="20"/>
    </w:rPr>
  </w:style>
  <w:style w:type="character" w:customStyle="1" w:styleId="TekstprzypisudolnegoZnak">
    <w:name w:val="Tekst przypisu dolnego Znak"/>
    <w:basedOn w:val="Domylnaczcionkaakapitu"/>
    <w:link w:val="Tekstprzypisudolnego"/>
    <w:uiPriority w:val="99"/>
    <w:semiHidden/>
    <w:rsid w:val="004E687A"/>
    <w:rPr>
      <w:rFonts w:eastAsiaTheme="minorEastAsia"/>
      <w:sz w:val="20"/>
      <w:szCs w:val="20"/>
      <w:lang w:val="en-GB"/>
    </w:rPr>
  </w:style>
  <w:style w:type="character" w:customStyle="1" w:styleId="Nagwek6Znak">
    <w:name w:val="Nagłówek 6 Znak"/>
    <w:basedOn w:val="Domylnaczcionkaakapitu"/>
    <w:link w:val="Nagwek6"/>
    <w:uiPriority w:val="99"/>
    <w:semiHidden/>
    <w:rsid w:val="004E687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DD4F5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D4F5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D4F5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E687A"/>
    <w:rPr>
      <w:color w:val="0072BC" w:themeColor="hyperlink"/>
      <w:u w:val="single"/>
    </w:rPr>
  </w:style>
  <w:style w:type="character" w:styleId="Wyrnienieintensywne">
    <w:name w:val="Intense Emphasis"/>
    <w:uiPriority w:val="99"/>
    <w:semiHidden/>
    <w:qFormat/>
    <w:rsid w:val="00DD4F51"/>
    <w:rPr>
      <w:b/>
      <w:bCs/>
    </w:rPr>
  </w:style>
  <w:style w:type="paragraph" w:styleId="Cytatintensywny">
    <w:name w:val="Intense Quote"/>
    <w:basedOn w:val="Normalny"/>
    <w:next w:val="Normalny"/>
    <w:link w:val="CytatintensywnyZnak"/>
    <w:uiPriority w:val="99"/>
    <w:semiHidden/>
    <w:qFormat/>
    <w:rsid w:val="00DD4F51"/>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DD4F51"/>
    <w:rPr>
      <w:rFonts w:eastAsiaTheme="minorEastAsia"/>
      <w:b/>
      <w:bCs/>
      <w:i/>
      <w:iCs/>
      <w:lang w:bidi="en-US"/>
    </w:rPr>
  </w:style>
  <w:style w:type="character" w:styleId="Odwoanieintensywne">
    <w:name w:val="Intense Reference"/>
    <w:uiPriority w:val="99"/>
    <w:semiHidden/>
    <w:qFormat/>
    <w:rsid w:val="00DD4F51"/>
    <w:rPr>
      <w:smallCaps/>
      <w:spacing w:val="5"/>
      <w:u w:val="single"/>
    </w:rPr>
  </w:style>
  <w:style w:type="paragraph" w:styleId="Akapitzlist">
    <w:name w:val="List Paragraph"/>
    <w:basedOn w:val="Normalny"/>
    <w:uiPriority w:val="99"/>
    <w:semiHidden/>
    <w:qFormat/>
    <w:rsid w:val="00DD4F5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D4F51"/>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DD4F51"/>
    <w:rPr>
      <w:rFonts w:eastAsiaTheme="minorEastAsia"/>
      <w:i/>
      <w:iCs/>
      <w:lang w:bidi="en-US"/>
    </w:rPr>
  </w:style>
  <w:style w:type="character" w:styleId="Odwoaniedelikatne">
    <w:name w:val="Subtle Reference"/>
    <w:uiPriority w:val="99"/>
    <w:semiHidden/>
    <w:qFormat/>
    <w:rsid w:val="00DD4F51"/>
    <w:rPr>
      <w:smallCaps/>
    </w:rPr>
  </w:style>
  <w:style w:type="table" w:styleId="Tabela-Siatka">
    <w:name w:val="Table Grid"/>
    <w:basedOn w:val="Standardowy"/>
    <w:uiPriority w:val="59"/>
    <w:semiHidden/>
    <w:rsid w:val="004E687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E687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E687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E687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E687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E687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D4F5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E687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D4F51"/>
    <w:pPr>
      <w:spacing w:before="120" w:after="120"/>
      <w:ind w:left="425" w:firstLine="142"/>
    </w:pPr>
    <w:rPr>
      <w:sz w:val="20"/>
    </w:rPr>
  </w:style>
  <w:style w:type="paragraph" w:customStyle="1" w:styleId="ECHRPara">
    <w:name w:val="ECHR_Para"/>
    <w:aliases w:val="Ju_Para"/>
    <w:basedOn w:val="Normalny"/>
    <w:link w:val="ECHRParaChar"/>
    <w:uiPriority w:val="12"/>
    <w:qFormat/>
    <w:rsid w:val="00DD4F5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E687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D4F5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D4F51"/>
    <w:pPr>
      <w:ind w:left="340" w:hanging="340"/>
    </w:pPr>
  </w:style>
  <w:style w:type="paragraph" w:customStyle="1" w:styleId="JuSigned">
    <w:name w:val="Ju_Signed"/>
    <w:basedOn w:val="Normalny"/>
    <w:next w:val="JuParaLast"/>
    <w:uiPriority w:val="32"/>
    <w:qFormat/>
    <w:rsid w:val="00DD4F51"/>
    <w:pPr>
      <w:tabs>
        <w:tab w:val="center" w:pos="851"/>
        <w:tab w:val="center" w:pos="6407"/>
      </w:tabs>
      <w:spacing w:before="720"/>
      <w:jc w:val="left"/>
    </w:pPr>
  </w:style>
  <w:style w:type="paragraph" w:customStyle="1" w:styleId="JuParaLast">
    <w:name w:val="Ju_Para_Last"/>
    <w:basedOn w:val="Normalny"/>
    <w:next w:val="ECHRPara"/>
    <w:uiPriority w:val="30"/>
    <w:qFormat/>
    <w:rsid w:val="00DD4F51"/>
    <w:pPr>
      <w:keepNext/>
      <w:keepLines/>
      <w:spacing w:before="240"/>
      <w:ind w:firstLine="284"/>
    </w:pPr>
  </w:style>
  <w:style w:type="character" w:customStyle="1" w:styleId="JuITMark">
    <w:name w:val="Ju_ITMark"/>
    <w:basedOn w:val="Domylnaczcionkaakapitu"/>
    <w:uiPriority w:val="38"/>
    <w:qFormat/>
    <w:rsid w:val="00DD4F51"/>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D4F51"/>
    <w:pPr>
      <w:ind w:left="346" w:firstLine="0"/>
    </w:pPr>
  </w:style>
  <w:style w:type="paragraph" w:customStyle="1" w:styleId="JuListi">
    <w:name w:val="Ju_List_i"/>
    <w:basedOn w:val="Normalny"/>
    <w:next w:val="JuLista"/>
    <w:uiPriority w:val="28"/>
    <w:qFormat/>
    <w:rsid w:val="00DD4F51"/>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4E687A"/>
    <w:rPr>
      <w:vertAlign w:val="superscript"/>
    </w:rPr>
  </w:style>
  <w:style w:type="paragraph" w:styleId="Tekstprzypisukocowego">
    <w:name w:val="endnote text"/>
    <w:basedOn w:val="Normalny"/>
    <w:link w:val="TekstprzypisukocowegoZnak"/>
    <w:uiPriority w:val="99"/>
    <w:semiHidden/>
    <w:rsid w:val="004E687A"/>
    <w:rPr>
      <w:sz w:val="20"/>
      <w:szCs w:val="20"/>
    </w:rPr>
  </w:style>
  <w:style w:type="character" w:customStyle="1" w:styleId="TekstprzypisukocowegoZnak">
    <w:name w:val="Tekst przypisu końcowego Znak"/>
    <w:basedOn w:val="Domylnaczcionkaakapitu"/>
    <w:link w:val="Tekstprzypisukocowego"/>
    <w:uiPriority w:val="99"/>
    <w:semiHidden/>
    <w:rsid w:val="004E687A"/>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DD4F51"/>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semiHidden/>
    <w:qFormat/>
    <w:rsid w:val="00DD4F51"/>
  </w:style>
  <w:style w:type="paragraph" w:styleId="Podtytu">
    <w:name w:val="Subtitle"/>
    <w:basedOn w:val="Normalny"/>
    <w:next w:val="Normalny"/>
    <w:link w:val="PodtytuZnak"/>
    <w:uiPriority w:val="99"/>
    <w:semiHidden/>
    <w:qFormat/>
    <w:rsid w:val="00DD4F51"/>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DD4F5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4E687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E687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E687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DD4F51"/>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semiHidden/>
    <w:qFormat/>
    <w:rsid w:val="00DD4F51"/>
    <w:pPr>
      <w:spacing w:before="240"/>
      <w:ind w:left="284"/>
    </w:pPr>
  </w:style>
  <w:style w:type="paragraph" w:customStyle="1" w:styleId="OpiH1">
    <w:name w:val="Opi_H_1"/>
    <w:basedOn w:val="ECHRHeading2"/>
    <w:uiPriority w:val="42"/>
    <w:qFormat/>
    <w:rsid w:val="00DD4F51"/>
    <w:pPr>
      <w:ind w:left="635" w:hanging="357"/>
      <w:outlineLvl w:val="2"/>
    </w:pPr>
  </w:style>
  <w:style w:type="paragraph" w:customStyle="1" w:styleId="OpiHa0">
    <w:name w:val="Opi_H_a"/>
    <w:basedOn w:val="ECHRHeading3"/>
    <w:uiPriority w:val="43"/>
    <w:qFormat/>
    <w:rsid w:val="00DD4F51"/>
    <w:pPr>
      <w:ind w:left="833" w:hanging="357"/>
      <w:outlineLvl w:val="3"/>
    </w:pPr>
    <w:rPr>
      <w:b/>
      <w:i w:val="0"/>
      <w:sz w:val="20"/>
    </w:rPr>
  </w:style>
  <w:style w:type="paragraph" w:customStyle="1" w:styleId="OpiHi">
    <w:name w:val="Opi_H_i"/>
    <w:basedOn w:val="ECHRHeading4"/>
    <w:uiPriority w:val="44"/>
    <w:qFormat/>
    <w:rsid w:val="00DD4F51"/>
    <w:pPr>
      <w:ind w:left="1037" w:hanging="357"/>
      <w:outlineLvl w:val="4"/>
    </w:pPr>
    <w:rPr>
      <w:b w:val="0"/>
      <w:i/>
    </w:rPr>
  </w:style>
  <w:style w:type="paragraph" w:customStyle="1" w:styleId="DummyStyle">
    <w:name w:val="Dummy_Style"/>
    <w:basedOn w:val="Normalny"/>
    <w:semiHidden/>
    <w:qFormat/>
    <w:rsid w:val="00DD4F51"/>
    <w:rPr>
      <w:color w:val="00B050"/>
    </w:rPr>
  </w:style>
  <w:style w:type="paragraph" w:customStyle="1" w:styleId="JuHeaderLandscape">
    <w:name w:val="Ju_Header_Landscape"/>
    <w:basedOn w:val="ECHRHeader"/>
    <w:uiPriority w:val="4"/>
    <w:qFormat/>
    <w:rsid w:val="00DD4F51"/>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C195B"/>
    <w:rPr>
      <w:rFonts w:eastAsiaTheme="minorEastAsia"/>
      <w:sz w:val="24"/>
      <w:lang w:val="en-GB"/>
    </w:rPr>
  </w:style>
  <w:style w:type="paragraph" w:styleId="Poprawka">
    <w:name w:val="Revision"/>
    <w:hidden/>
    <w:uiPriority w:val="99"/>
    <w:semiHidden/>
    <w:rsid w:val="00C53EB6"/>
    <w:rPr>
      <w:rFonts w:eastAsiaTheme="minorEastAsia"/>
      <w:sz w:val="24"/>
    </w:rPr>
  </w:style>
  <w:style w:type="paragraph" w:customStyle="1" w:styleId="jupara">
    <w:name w:val="jupara"/>
    <w:basedOn w:val="Normalny"/>
    <w:rsid w:val="0072376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72376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73811">
      <w:bodyDiv w:val="1"/>
      <w:marLeft w:val="0"/>
      <w:marRight w:val="0"/>
      <w:marTop w:val="0"/>
      <w:marBottom w:val="0"/>
      <w:divBdr>
        <w:top w:val="none" w:sz="0" w:space="0" w:color="auto"/>
        <w:left w:val="none" w:sz="0" w:space="0" w:color="auto"/>
        <w:bottom w:val="none" w:sz="0" w:space="0" w:color="auto"/>
        <w:right w:val="none" w:sz="0" w:space="0" w:color="auto"/>
      </w:divBdr>
      <w:divsChild>
        <w:div w:id="2124845">
          <w:marLeft w:val="0"/>
          <w:marRight w:val="0"/>
          <w:marTop w:val="0"/>
          <w:marBottom w:val="0"/>
          <w:divBdr>
            <w:top w:val="none" w:sz="0" w:space="0" w:color="auto"/>
            <w:left w:val="none" w:sz="0" w:space="0" w:color="auto"/>
            <w:bottom w:val="none" w:sz="0" w:space="0" w:color="auto"/>
            <w:right w:val="none" w:sz="0" w:space="0" w:color="auto"/>
          </w:divBdr>
          <w:divsChild>
            <w:div w:id="913398720">
              <w:marLeft w:val="0"/>
              <w:marRight w:val="0"/>
              <w:marTop w:val="0"/>
              <w:marBottom w:val="0"/>
              <w:divBdr>
                <w:top w:val="none" w:sz="0" w:space="0" w:color="auto"/>
                <w:left w:val="none" w:sz="0" w:space="0" w:color="auto"/>
                <w:bottom w:val="none" w:sz="0" w:space="0" w:color="auto"/>
                <w:right w:val="none" w:sz="0" w:space="0" w:color="auto"/>
              </w:divBdr>
              <w:divsChild>
                <w:div w:id="72044501">
                  <w:marLeft w:val="0"/>
                  <w:marRight w:val="0"/>
                  <w:marTop w:val="0"/>
                  <w:marBottom w:val="0"/>
                  <w:divBdr>
                    <w:top w:val="none" w:sz="0" w:space="0" w:color="auto"/>
                    <w:left w:val="none" w:sz="0" w:space="0" w:color="auto"/>
                    <w:bottom w:val="none" w:sz="0" w:space="0" w:color="auto"/>
                    <w:right w:val="none" w:sz="0" w:space="0" w:color="auto"/>
                  </w:divBdr>
                  <w:divsChild>
                    <w:div w:id="1443497080">
                      <w:marLeft w:val="0"/>
                      <w:marRight w:val="0"/>
                      <w:marTop w:val="0"/>
                      <w:marBottom w:val="0"/>
                      <w:divBdr>
                        <w:top w:val="none" w:sz="0" w:space="0" w:color="auto"/>
                        <w:left w:val="none" w:sz="0" w:space="0" w:color="auto"/>
                        <w:bottom w:val="none" w:sz="0" w:space="0" w:color="auto"/>
                        <w:right w:val="none" w:sz="0" w:space="0" w:color="auto"/>
                      </w:divBdr>
                      <w:divsChild>
                        <w:div w:id="1984045461">
                          <w:marLeft w:val="0"/>
                          <w:marRight w:val="0"/>
                          <w:marTop w:val="0"/>
                          <w:marBottom w:val="0"/>
                          <w:divBdr>
                            <w:top w:val="none" w:sz="0" w:space="0" w:color="auto"/>
                            <w:left w:val="none" w:sz="0" w:space="0" w:color="auto"/>
                            <w:bottom w:val="none" w:sz="0" w:space="0" w:color="auto"/>
                            <w:right w:val="none" w:sz="0" w:space="0" w:color="auto"/>
                          </w:divBdr>
                          <w:divsChild>
                            <w:div w:id="134397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30762709">
      <w:bodyDiv w:val="1"/>
      <w:marLeft w:val="0"/>
      <w:marRight w:val="0"/>
      <w:marTop w:val="0"/>
      <w:marBottom w:val="0"/>
      <w:divBdr>
        <w:top w:val="none" w:sz="0" w:space="0" w:color="auto"/>
        <w:left w:val="none" w:sz="0" w:space="0" w:color="auto"/>
        <w:bottom w:val="none" w:sz="0" w:space="0" w:color="auto"/>
        <w:right w:val="none" w:sz="0" w:space="0" w:color="auto"/>
      </w:divBdr>
      <w:divsChild>
        <w:div w:id="388724753">
          <w:marLeft w:val="0"/>
          <w:marRight w:val="0"/>
          <w:marTop w:val="0"/>
          <w:marBottom w:val="0"/>
          <w:divBdr>
            <w:top w:val="none" w:sz="0" w:space="0" w:color="auto"/>
            <w:left w:val="none" w:sz="0" w:space="0" w:color="auto"/>
            <w:bottom w:val="none" w:sz="0" w:space="0" w:color="auto"/>
            <w:right w:val="none" w:sz="0" w:space="0" w:color="auto"/>
          </w:divBdr>
          <w:divsChild>
            <w:div w:id="680933904">
              <w:marLeft w:val="0"/>
              <w:marRight w:val="0"/>
              <w:marTop w:val="0"/>
              <w:marBottom w:val="0"/>
              <w:divBdr>
                <w:top w:val="none" w:sz="0" w:space="0" w:color="auto"/>
                <w:left w:val="none" w:sz="0" w:space="0" w:color="auto"/>
                <w:bottom w:val="none" w:sz="0" w:space="0" w:color="auto"/>
                <w:right w:val="none" w:sz="0" w:space="0" w:color="auto"/>
              </w:divBdr>
              <w:divsChild>
                <w:div w:id="676661503">
                  <w:marLeft w:val="0"/>
                  <w:marRight w:val="0"/>
                  <w:marTop w:val="0"/>
                  <w:marBottom w:val="0"/>
                  <w:divBdr>
                    <w:top w:val="none" w:sz="0" w:space="0" w:color="auto"/>
                    <w:left w:val="none" w:sz="0" w:space="0" w:color="auto"/>
                    <w:bottom w:val="none" w:sz="0" w:space="0" w:color="auto"/>
                    <w:right w:val="none" w:sz="0" w:space="0" w:color="auto"/>
                  </w:divBdr>
                  <w:divsChild>
                    <w:div w:id="174880300">
                      <w:marLeft w:val="0"/>
                      <w:marRight w:val="0"/>
                      <w:marTop w:val="0"/>
                      <w:marBottom w:val="0"/>
                      <w:divBdr>
                        <w:top w:val="none" w:sz="0" w:space="0" w:color="auto"/>
                        <w:left w:val="none" w:sz="0" w:space="0" w:color="auto"/>
                        <w:bottom w:val="none" w:sz="0" w:space="0" w:color="auto"/>
                        <w:right w:val="none" w:sz="0" w:space="0" w:color="auto"/>
                      </w:divBdr>
                      <w:divsChild>
                        <w:div w:id="465860586">
                          <w:marLeft w:val="0"/>
                          <w:marRight w:val="0"/>
                          <w:marTop w:val="0"/>
                          <w:marBottom w:val="0"/>
                          <w:divBdr>
                            <w:top w:val="none" w:sz="0" w:space="0" w:color="auto"/>
                            <w:left w:val="none" w:sz="0" w:space="0" w:color="auto"/>
                            <w:bottom w:val="none" w:sz="0" w:space="0" w:color="auto"/>
                            <w:right w:val="none" w:sz="0" w:space="0" w:color="auto"/>
                          </w:divBdr>
                          <w:divsChild>
                            <w:div w:id="95370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35164282">
      <w:bodyDiv w:val="1"/>
      <w:marLeft w:val="0"/>
      <w:marRight w:val="0"/>
      <w:marTop w:val="0"/>
      <w:marBottom w:val="0"/>
      <w:divBdr>
        <w:top w:val="none" w:sz="0" w:space="0" w:color="auto"/>
        <w:left w:val="none" w:sz="0" w:space="0" w:color="auto"/>
        <w:bottom w:val="none" w:sz="0" w:space="0" w:color="auto"/>
        <w:right w:val="none" w:sz="0" w:space="0" w:color="auto"/>
      </w:divBdr>
      <w:divsChild>
        <w:div w:id="685058417">
          <w:marLeft w:val="0"/>
          <w:marRight w:val="0"/>
          <w:marTop w:val="0"/>
          <w:marBottom w:val="0"/>
          <w:divBdr>
            <w:top w:val="none" w:sz="0" w:space="0" w:color="auto"/>
            <w:left w:val="none" w:sz="0" w:space="0" w:color="auto"/>
            <w:bottom w:val="none" w:sz="0" w:space="0" w:color="auto"/>
            <w:right w:val="none" w:sz="0" w:space="0" w:color="auto"/>
          </w:divBdr>
          <w:divsChild>
            <w:div w:id="509948088">
              <w:marLeft w:val="0"/>
              <w:marRight w:val="0"/>
              <w:marTop w:val="0"/>
              <w:marBottom w:val="0"/>
              <w:divBdr>
                <w:top w:val="none" w:sz="0" w:space="0" w:color="auto"/>
                <w:left w:val="none" w:sz="0" w:space="0" w:color="auto"/>
                <w:bottom w:val="none" w:sz="0" w:space="0" w:color="auto"/>
                <w:right w:val="none" w:sz="0" w:space="0" w:color="auto"/>
              </w:divBdr>
              <w:divsChild>
                <w:div w:id="1161429640">
                  <w:marLeft w:val="0"/>
                  <w:marRight w:val="0"/>
                  <w:marTop w:val="0"/>
                  <w:marBottom w:val="0"/>
                  <w:divBdr>
                    <w:top w:val="none" w:sz="0" w:space="0" w:color="auto"/>
                    <w:left w:val="none" w:sz="0" w:space="0" w:color="auto"/>
                    <w:bottom w:val="none" w:sz="0" w:space="0" w:color="auto"/>
                    <w:right w:val="none" w:sz="0" w:space="0" w:color="auto"/>
                  </w:divBdr>
                  <w:divsChild>
                    <w:div w:id="941258815">
                      <w:marLeft w:val="0"/>
                      <w:marRight w:val="0"/>
                      <w:marTop w:val="0"/>
                      <w:marBottom w:val="0"/>
                      <w:divBdr>
                        <w:top w:val="none" w:sz="0" w:space="0" w:color="auto"/>
                        <w:left w:val="none" w:sz="0" w:space="0" w:color="auto"/>
                        <w:bottom w:val="none" w:sz="0" w:space="0" w:color="auto"/>
                        <w:right w:val="none" w:sz="0" w:space="0" w:color="auto"/>
                      </w:divBdr>
                      <w:divsChild>
                        <w:div w:id="158886130">
                          <w:marLeft w:val="0"/>
                          <w:marRight w:val="0"/>
                          <w:marTop w:val="0"/>
                          <w:marBottom w:val="0"/>
                          <w:divBdr>
                            <w:top w:val="none" w:sz="0" w:space="0" w:color="auto"/>
                            <w:left w:val="none" w:sz="0" w:space="0" w:color="auto"/>
                            <w:bottom w:val="none" w:sz="0" w:space="0" w:color="auto"/>
                            <w:right w:val="none" w:sz="0" w:space="0" w:color="auto"/>
                          </w:divBdr>
                          <w:divsChild>
                            <w:div w:id="41146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391614">
      <w:bodyDiv w:val="1"/>
      <w:marLeft w:val="0"/>
      <w:marRight w:val="0"/>
      <w:marTop w:val="0"/>
      <w:marBottom w:val="0"/>
      <w:divBdr>
        <w:top w:val="none" w:sz="0" w:space="0" w:color="auto"/>
        <w:left w:val="none" w:sz="0" w:space="0" w:color="auto"/>
        <w:bottom w:val="none" w:sz="0" w:space="0" w:color="auto"/>
        <w:right w:val="none" w:sz="0" w:space="0" w:color="auto"/>
      </w:divBdr>
      <w:divsChild>
        <w:div w:id="1141000293">
          <w:marLeft w:val="0"/>
          <w:marRight w:val="0"/>
          <w:marTop w:val="0"/>
          <w:marBottom w:val="0"/>
          <w:divBdr>
            <w:top w:val="none" w:sz="0" w:space="0" w:color="auto"/>
            <w:left w:val="none" w:sz="0" w:space="0" w:color="auto"/>
            <w:bottom w:val="none" w:sz="0" w:space="0" w:color="auto"/>
            <w:right w:val="none" w:sz="0" w:space="0" w:color="auto"/>
          </w:divBdr>
          <w:divsChild>
            <w:div w:id="287204978">
              <w:marLeft w:val="0"/>
              <w:marRight w:val="0"/>
              <w:marTop w:val="0"/>
              <w:marBottom w:val="0"/>
              <w:divBdr>
                <w:top w:val="none" w:sz="0" w:space="0" w:color="auto"/>
                <w:left w:val="none" w:sz="0" w:space="0" w:color="auto"/>
                <w:bottom w:val="none" w:sz="0" w:space="0" w:color="auto"/>
                <w:right w:val="none" w:sz="0" w:space="0" w:color="auto"/>
              </w:divBdr>
              <w:divsChild>
                <w:div w:id="569845546">
                  <w:marLeft w:val="0"/>
                  <w:marRight w:val="0"/>
                  <w:marTop w:val="0"/>
                  <w:marBottom w:val="0"/>
                  <w:divBdr>
                    <w:top w:val="none" w:sz="0" w:space="0" w:color="auto"/>
                    <w:left w:val="none" w:sz="0" w:space="0" w:color="auto"/>
                    <w:bottom w:val="none" w:sz="0" w:space="0" w:color="auto"/>
                    <w:right w:val="none" w:sz="0" w:space="0" w:color="auto"/>
                  </w:divBdr>
                  <w:divsChild>
                    <w:div w:id="661356203">
                      <w:marLeft w:val="0"/>
                      <w:marRight w:val="0"/>
                      <w:marTop w:val="0"/>
                      <w:marBottom w:val="0"/>
                      <w:divBdr>
                        <w:top w:val="none" w:sz="0" w:space="0" w:color="auto"/>
                        <w:left w:val="none" w:sz="0" w:space="0" w:color="auto"/>
                        <w:bottom w:val="none" w:sz="0" w:space="0" w:color="auto"/>
                        <w:right w:val="none" w:sz="0" w:space="0" w:color="auto"/>
                      </w:divBdr>
                      <w:divsChild>
                        <w:div w:id="1463036828">
                          <w:marLeft w:val="0"/>
                          <w:marRight w:val="0"/>
                          <w:marTop w:val="0"/>
                          <w:marBottom w:val="0"/>
                          <w:divBdr>
                            <w:top w:val="none" w:sz="0" w:space="0" w:color="auto"/>
                            <w:left w:val="none" w:sz="0" w:space="0" w:color="auto"/>
                            <w:bottom w:val="none" w:sz="0" w:space="0" w:color="auto"/>
                            <w:right w:val="none" w:sz="0" w:space="0" w:color="auto"/>
                          </w:divBdr>
                          <w:divsChild>
                            <w:div w:id="32783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F875A-3DD6-42C2-8E08-E8F3885F8279}">
  <ds:schemaRefs>
    <ds:schemaRef ds:uri="http://schemas.microsoft.com/sharepoint/v3/contenttype/forms"/>
  </ds:schemaRefs>
</ds:datastoreItem>
</file>

<file path=customXml/itemProps2.xml><?xml version="1.0" encoding="utf-8"?>
<ds:datastoreItem xmlns:ds="http://schemas.openxmlformats.org/officeDocument/2006/customXml" ds:itemID="{9F1CB5A9-1B95-4EFD-B775-C18080915A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4187B4-86BB-46D0-A1BB-EBBBBF04F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E00BC7B-81E8-4B12-BDA5-3BA0FE803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4480</Words>
  <Characters>26881</Characters>
  <Application>Microsoft Office Word</Application>
  <DocSecurity>0</DocSecurity>
  <Lines>224</Lines>
  <Paragraphs>62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2019-10-14T05:52:00Z</dcterms:created>
  <dcterms:modified xsi:type="dcterms:W3CDTF">2023-10-19T09:01:00Z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32303/13</vt:lpwstr>
  </property>
  <property fmtid="{D5CDD505-2E9C-101B-9397-08002B2CF9AE}" pid="4" name="CASEID">
    <vt:lpwstr>882884</vt:lpwstr>
  </property>
  <property fmtid="{D5CDD505-2E9C-101B-9397-08002B2CF9AE}" pid="5" name="ContentTypeId">
    <vt:lpwstr>0x010100558EB02BDB9E204AB350EDD385B68E10</vt:lpwstr>
  </property>
</Properties>
</file>