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2376D" w:rsidR="00A10DDF" w:rsidP="0072376D">
      <w:pPr>
        <w:pStyle w:val="ECHRDecisionBody"/>
        <w:jc w:val="center"/>
      </w:pPr>
      <w:bookmarkStart w:name="_GoBack" w:id="0"/>
      <w:bookmarkEnd w:id="0"/>
    </w:p>
    <w:p w:rsidRPr="0072376D" w:rsidR="00A10DDF" w:rsidP="0072376D">
      <w:pPr>
        <w:pStyle w:val="ECHRDecisionBody"/>
        <w:jc w:val="center"/>
      </w:pPr>
    </w:p>
    <w:p w:rsidRPr="0072376D" w:rsidR="00014566" w:rsidP="0072376D">
      <w:pPr>
        <w:jc w:val="center"/>
      </w:pPr>
      <w:r w:rsidRPr="0072376D">
        <w:t>FOURTH SECTION</w:t>
      </w:r>
    </w:p>
    <w:p w:rsidRPr="0072376D" w:rsidR="00014566" w:rsidP="0072376D">
      <w:pPr>
        <w:jc w:val="center"/>
      </w:pPr>
    </w:p>
    <w:p w:rsidRPr="0072376D" w:rsidR="00A10DDF" w:rsidP="0072376D">
      <w:pPr>
        <w:jc w:val="center"/>
      </w:pPr>
    </w:p>
    <w:p w:rsidRPr="0072376D" w:rsidR="00A10DDF" w:rsidP="0072376D">
      <w:pPr>
        <w:jc w:val="center"/>
      </w:pPr>
    </w:p>
    <w:p w:rsidRPr="0072376D" w:rsidR="00A10DDF" w:rsidP="0072376D">
      <w:pPr>
        <w:jc w:val="center"/>
      </w:pPr>
    </w:p>
    <w:p w:rsidRPr="0072376D" w:rsidR="004927BF" w:rsidP="0072376D">
      <w:pPr>
        <w:jc w:val="center"/>
      </w:pPr>
    </w:p>
    <w:p w:rsidRPr="0072376D" w:rsidR="004927BF" w:rsidP="0072376D">
      <w:pPr>
        <w:jc w:val="center"/>
      </w:pPr>
    </w:p>
    <w:p w:rsidRPr="0072376D" w:rsidR="00A10DDF" w:rsidP="0072376D">
      <w:pPr>
        <w:jc w:val="center"/>
      </w:pPr>
    </w:p>
    <w:p w:rsidRPr="0072376D" w:rsidR="00014566" w:rsidP="0072376D">
      <w:pPr>
        <w:jc w:val="center"/>
        <w:rPr>
          <w:b/>
        </w:rPr>
      </w:pPr>
      <w:bookmarkStart w:name="To" w:id="1"/>
      <w:r w:rsidRPr="0072376D">
        <w:rPr>
          <w:b/>
        </w:rPr>
        <w:t xml:space="preserve">CASE OF </w:t>
      </w:r>
      <w:bookmarkEnd w:id="1"/>
      <w:r w:rsidRPr="0072376D" w:rsidR="00181AB9">
        <w:rPr>
          <w:b/>
        </w:rPr>
        <w:t>MIROVNI INŠTITUT v. SLOVENIA</w:t>
      </w:r>
    </w:p>
    <w:p w:rsidRPr="0072376D" w:rsidR="00014566" w:rsidP="0072376D">
      <w:pPr>
        <w:jc w:val="center"/>
      </w:pPr>
    </w:p>
    <w:p w:rsidRPr="0072376D" w:rsidR="00014566" w:rsidP="0072376D">
      <w:pPr>
        <w:jc w:val="center"/>
        <w:rPr>
          <w:i/>
        </w:rPr>
      </w:pPr>
      <w:r w:rsidRPr="0072376D">
        <w:rPr>
          <w:i/>
        </w:rPr>
        <w:t>(</w:t>
      </w:r>
      <w:r w:rsidRPr="0072376D" w:rsidR="00181AB9">
        <w:rPr>
          <w:i/>
        </w:rPr>
        <w:t>Application no. 32303/13</w:t>
      </w:r>
      <w:r w:rsidRPr="0072376D">
        <w:rPr>
          <w:i/>
        </w:rPr>
        <w:t>)</w:t>
      </w:r>
    </w:p>
    <w:p w:rsidRPr="0072376D" w:rsidR="00014566" w:rsidP="0072376D">
      <w:pPr>
        <w:jc w:val="center"/>
      </w:pPr>
    </w:p>
    <w:p w:rsidRPr="0072376D" w:rsidR="00014566" w:rsidP="0072376D">
      <w:pPr>
        <w:jc w:val="center"/>
      </w:pPr>
    </w:p>
    <w:p w:rsidRPr="0072376D" w:rsidR="00014566" w:rsidP="0072376D">
      <w:pPr>
        <w:jc w:val="center"/>
      </w:pPr>
    </w:p>
    <w:p w:rsidRPr="0072376D" w:rsidR="00014566" w:rsidP="0072376D">
      <w:pPr>
        <w:jc w:val="center"/>
      </w:pPr>
    </w:p>
    <w:p w:rsidRPr="0072376D" w:rsidR="00014566" w:rsidP="0072376D">
      <w:pPr>
        <w:jc w:val="center"/>
      </w:pPr>
    </w:p>
    <w:p w:rsidRPr="0072376D" w:rsidR="00014566" w:rsidP="0072376D">
      <w:pPr>
        <w:jc w:val="center"/>
      </w:pPr>
    </w:p>
    <w:p w:rsidRPr="0072376D" w:rsidR="00EB0BBE" w:rsidP="0072376D">
      <w:pPr>
        <w:jc w:val="center"/>
      </w:pPr>
    </w:p>
    <w:p w:rsidRPr="0072376D" w:rsidR="00EB0BBE" w:rsidP="0072376D">
      <w:pPr>
        <w:jc w:val="center"/>
      </w:pPr>
    </w:p>
    <w:p w:rsidRPr="0072376D" w:rsidR="00EB0BBE" w:rsidP="0072376D">
      <w:pPr>
        <w:jc w:val="center"/>
      </w:pPr>
    </w:p>
    <w:p w:rsidRPr="0072376D" w:rsidR="00EB0BBE" w:rsidP="0072376D">
      <w:pPr>
        <w:jc w:val="center"/>
      </w:pPr>
    </w:p>
    <w:p w:rsidRPr="0072376D" w:rsidR="00014566" w:rsidP="0072376D">
      <w:pPr>
        <w:jc w:val="center"/>
        <w:rPr>
          <w:szCs w:val="24"/>
        </w:rPr>
      </w:pPr>
      <w:r w:rsidRPr="0072376D">
        <w:rPr>
          <w:szCs w:val="24"/>
        </w:rPr>
        <w:t>JUDGMENT</w:t>
      </w:r>
    </w:p>
    <w:p w:rsidRPr="0072376D" w:rsidR="002D7C89" w:rsidP="0072376D">
      <w:pPr>
        <w:ind w:firstLine="284"/>
        <w:rPr>
          <w:szCs w:val="24"/>
        </w:rPr>
      </w:pPr>
    </w:p>
    <w:p w:rsidRPr="0072376D" w:rsidR="00A10DDF" w:rsidP="0072376D">
      <w:pPr>
        <w:pStyle w:val="JuCase"/>
        <w:ind w:firstLine="0"/>
        <w:jc w:val="center"/>
        <w:rPr>
          <w:b w:val="0"/>
        </w:rPr>
      </w:pPr>
    </w:p>
    <w:p w:rsidRPr="0072376D" w:rsidR="00A10DDF" w:rsidP="0072376D">
      <w:pPr>
        <w:pStyle w:val="JuCase"/>
        <w:ind w:firstLine="0"/>
        <w:jc w:val="center"/>
        <w:rPr>
          <w:b w:val="0"/>
        </w:rPr>
      </w:pPr>
      <w:r w:rsidRPr="0072376D">
        <w:rPr>
          <w:b w:val="0"/>
        </w:rPr>
        <w:t>STRASBOURG</w:t>
      </w:r>
    </w:p>
    <w:p w:rsidRPr="0072376D" w:rsidR="00A10DDF" w:rsidP="0072376D">
      <w:pPr>
        <w:pStyle w:val="JuCase"/>
        <w:ind w:firstLine="0"/>
        <w:jc w:val="center"/>
        <w:rPr>
          <w:b w:val="0"/>
        </w:rPr>
      </w:pPr>
    </w:p>
    <w:p w:rsidRPr="0072376D" w:rsidR="00A10DDF" w:rsidP="0072376D">
      <w:pPr>
        <w:pStyle w:val="JuCase"/>
        <w:ind w:firstLine="0"/>
        <w:jc w:val="center"/>
        <w:rPr>
          <w:b w:val="0"/>
        </w:rPr>
      </w:pPr>
      <w:r w:rsidRPr="0072376D">
        <w:rPr>
          <w:b w:val="0"/>
        </w:rPr>
        <w:t>13 March 2018</w:t>
      </w:r>
    </w:p>
    <w:p w:rsidRPr="0072376D" w:rsidR="00A10DDF" w:rsidP="0072376D">
      <w:pPr>
        <w:pStyle w:val="JuCase"/>
        <w:ind w:firstLine="0"/>
        <w:jc w:val="center"/>
        <w:rPr>
          <w:b w:val="0"/>
        </w:rPr>
      </w:pPr>
    </w:p>
    <w:p w:rsidRPr="0072376D" w:rsidR="00EB0BBE" w:rsidP="0072376D">
      <w:pPr>
        <w:pStyle w:val="ECHRPara"/>
      </w:pPr>
    </w:p>
    <w:p w:rsidRPr="0072376D" w:rsidR="0072376D" w:rsidP="0072376D">
      <w:pPr>
        <w:pStyle w:val="jucase0"/>
        <w:ind w:firstLine="0"/>
        <w:jc w:val="center"/>
        <w:rPr>
          <w:color w:val="FF0000"/>
          <w:sz w:val="28"/>
          <w:szCs w:val="28"/>
          <w:u w:val="single"/>
        </w:rPr>
      </w:pPr>
      <w:r w:rsidRPr="0072376D">
        <w:rPr>
          <w:color w:val="FF0000"/>
          <w:sz w:val="28"/>
          <w:szCs w:val="28"/>
          <w:u w:val="single"/>
        </w:rPr>
        <w:t>FINAL</w:t>
      </w:r>
    </w:p>
    <w:p w:rsidRPr="0072376D" w:rsidR="0072376D" w:rsidP="0072376D">
      <w:pPr>
        <w:pStyle w:val="jupara0"/>
        <w:tabs>
          <w:tab w:val="left" w:pos="4650"/>
        </w:tabs>
        <w:ind w:firstLine="0"/>
        <w:jc w:val="center"/>
        <w:rPr>
          <w:color w:val="FF0000"/>
          <w:sz w:val="28"/>
          <w:szCs w:val="28"/>
        </w:rPr>
      </w:pPr>
    </w:p>
    <w:p w:rsidRPr="0072376D" w:rsidR="0072376D" w:rsidP="0072376D">
      <w:pPr>
        <w:pStyle w:val="jupara0"/>
        <w:ind w:firstLine="0"/>
        <w:jc w:val="center"/>
        <w:rPr>
          <w:color w:val="FF0000"/>
          <w:sz w:val="28"/>
          <w:szCs w:val="28"/>
        </w:rPr>
      </w:pPr>
      <w:r w:rsidRPr="0072376D">
        <w:rPr>
          <w:color w:val="FF0000"/>
          <w:sz w:val="28"/>
          <w:szCs w:val="28"/>
        </w:rPr>
        <w:t>13/06/2018</w:t>
      </w:r>
    </w:p>
    <w:p w:rsidRPr="0072376D" w:rsidR="0072376D" w:rsidP="0072376D">
      <w:pPr>
        <w:pStyle w:val="jupara0"/>
        <w:ind w:firstLine="0"/>
        <w:jc w:val="center"/>
      </w:pPr>
    </w:p>
    <w:p w:rsidRPr="0072376D" w:rsidR="0072376D" w:rsidP="0072376D">
      <w:pPr>
        <w:jc w:val="center"/>
        <w:rPr>
          <w:i/>
          <w:iCs/>
          <w:sz w:val="22"/>
        </w:rPr>
      </w:pPr>
      <w:r w:rsidRPr="0072376D">
        <w:rPr>
          <w:i/>
          <w:iCs/>
          <w:sz w:val="22"/>
        </w:rPr>
        <w:t>This judgment has become final under Article 44 § 2 of the Convention. It may be subject to editorial revision.</w:t>
      </w:r>
    </w:p>
    <w:p w:rsidRPr="0072376D" w:rsidR="004927BF" w:rsidP="0072376D">
      <w:pPr>
        <w:pStyle w:val="ECHRPara"/>
      </w:pPr>
    </w:p>
    <w:p w:rsidRPr="0072376D" w:rsidR="004927BF" w:rsidP="0072376D">
      <w:pPr>
        <w:pStyle w:val="ECHRPara"/>
        <w:sectPr w:rsidSect="00A10DDF">
          <w:headerReference w:type="even" r:id="rId5"/>
          <w:headerReference w:type="default" r:id="rId6"/>
          <w:footerReference w:type="even" r:id="rId7"/>
          <w:foot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72376D" w:rsidR="00014566" w:rsidP="0072376D">
      <w:pPr>
        <w:pStyle w:val="JuCase"/>
        <w:rPr>
          <w:bCs/>
        </w:rPr>
      </w:pPr>
      <w:r w:rsidRPr="0072376D">
        <w:t xml:space="preserve">In the case of </w:t>
      </w:r>
      <w:r w:rsidRPr="0072376D" w:rsidR="00181AB9">
        <w:t>Mirovni</w:t>
      </w:r>
      <w:r w:rsidRPr="0072376D" w:rsidR="00181AB9">
        <w:t xml:space="preserve"> </w:t>
      </w:r>
      <w:r w:rsidRPr="0072376D" w:rsidR="00181AB9">
        <w:t>Inštitut</w:t>
      </w:r>
      <w:r w:rsidRPr="0072376D" w:rsidR="00181AB9">
        <w:t xml:space="preserve"> v. Slovenia</w:t>
      </w:r>
      <w:r w:rsidRPr="0072376D">
        <w:t>,</w:t>
      </w:r>
    </w:p>
    <w:p w:rsidRPr="0072376D" w:rsidR="00014566" w:rsidP="0072376D">
      <w:pPr>
        <w:pStyle w:val="ECHRPara"/>
      </w:pPr>
      <w:r w:rsidRPr="0072376D">
        <w:t>The European Court of Human Rights (</w:t>
      </w:r>
      <w:r w:rsidRPr="0072376D" w:rsidR="00181AB9">
        <w:t>Fourth Section</w:t>
      </w:r>
      <w:r w:rsidRPr="0072376D">
        <w:t xml:space="preserve">), sitting as a </w:t>
      </w:r>
      <w:r w:rsidRPr="0072376D" w:rsidR="00181AB9">
        <w:t>Chamber</w:t>
      </w:r>
      <w:r w:rsidRPr="0072376D">
        <w:t xml:space="preserve"> composed of:</w:t>
      </w:r>
    </w:p>
    <w:p w:rsidRPr="0072376D" w:rsidR="00014566" w:rsidP="0072376D">
      <w:pPr>
        <w:pStyle w:val="ECHRDecisionBody"/>
      </w:pPr>
      <w:r w:rsidRPr="0072376D">
        <w:tab/>
        <w:t xml:space="preserve">Ganna </w:t>
      </w:r>
      <w:r w:rsidRPr="0072376D">
        <w:t>Yudkivska</w:t>
      </w:r>
      <w:r w:rsidRPr="0072376D">
        <w:t>,</w:t>
      </w:r>
      <w:r w:rsidRPr="0072376D">
        <w:rPr>
          <w:i/>
        </w:rPr>
        <w:t xml:space="preserve"> President,</w:t>
      </w:r>
      <w:r w:rsidRPr="0072376D">
        <w:rPr>
          <w:i/>
        </w:rPr>
        <w:br/>
      </w:r>
      <w:r w:rsidRPr="0072376D">
        <w:tab/>
        <w:t>Vincent A. De Gaetano,</w:t>
      </w:r>
      <w:r w:rsidRPr="0072376D">
        <w:rPr>
          <w:i/>
        </w:rPr>
        <w:br/>
      </w:r>
      <w:r w:rsidRPr="0072376D">
        <w:tab/>
      </w:r>
      <w:r w:rsidRPr="0072376D">
        <w:t>Faris</w:t>
      </w:r>
      <w:r w:rsidRPr="0072376D">
        <w:t xml:space="preserve"> </w:t>
      </w:r>
      <w:r w:rsidRPr="0072376D">
        <w:t>Vehabović</w:t>
      </w:r>
      <w:r w:rsidRPr="0072376D">
        <w:t>,</w:t>
      </w:r>
      <w:r w:rsidRPr="0072376D">
        <w:rPr>
          <w:i/>
        </w:rPr>
        <w:br/>
      </w:r>
      <w:r w:rsidRPr="0072376D">
        <w:tab/>
        <w:t xml:space="preserve">Iulia </w:t>
      </w:r>
      <w:r w:rsidRPr="0072376D">
        <w:t>Motoc</w:t>
      </w:r>
      <w:r w:rsidRPr="0072376D">
        <w:t>,</w:t>
      </w:r>
      <w:r w:rsidRPr="0072376D">
        <w:rPr>
          <w:i/>
        </w:rPr>
        <w:br/>
      </w:r>
      <w:r w:rsidRPr="0072376D">
        <w:tab/>
        <w:t xml:space="preserve">Georges </w:t>
      </w:r>
      <w:r w:rsidRPr="0072376D">
        <w:t>Ravarani</w:t>
      </w:r>
      <w:r w:rsidRPr="0072376D">
        <w:t>,</w:t>
      </w:r>
      <w:r w:rsidRPr="0072376D">
        <w:rPr>
          <w:i/>
        </w:rPr>
        <w:br/>
      </w:r>
      <w:r w:rsidRPr="0072376D">
        <w:tab/>
        <w:t xml:space="preserve">Marko </w:t>
      </w:r>
      <w:r w:rsidRPr="0072376D">
        <w:t>Bošnjak</w:t>
      </w:r>
      <w:r w:rsidRPr="0072376D">
        <w:t>,</w:t>
      </w:r>
      <w:r w:rsidRPr="0072376D">
        <w:rPr>
          <w:i/>
        </w:rPr>
        <w:br/>
      </w:r>
      <w:r w:rsidRPr="0072376D">
        <w:tab/>
      </w:r>
      <w:r w:rsidRPr="0072376D">
        <w:t>Péter</w:t>
      </w:r>
      <w:r w:rsidRPr="0072376D">
        <w:t xml:space="preserve"> </w:t>
      </w:r>
      <w:r w:rsidRPr="0072376D">
        <w:t>Paczolay</w:t>
      </w:r>
      <w:r w:rsidRPr="0072376D">
        <w:t>,</w:t>
      </w:r>
      <w:r w:rsidRPr="0072376D">
        <w:rPr>
          <w:i/>
        </w:rPr>
        <w:t xml:space="preserve"> judges,</w:t>
      </w:r>
      <w:r w:rsidRPr="0072376D">
        <w:rPr>
          <w:szCs w:val="24"/>
        </w:rPr>
        <w:br/>
      </w:r>
      <w:r w:rsidRPr="0072376D">
        <w:t xml:space="preserve">and </w:t>
      </w:r>
      <w:r w:rsidRPr="0072376D" w:rsidR="00181AB9">
        <w:t>Marialena</w:t>
      </w:r>
      <w:r w:rsidRPr="0072376D" w:rsidR="00181AB9">
        <w:t xml:space="preserve"> </w:t>
      </w:r>
      <w:r w:rsidRPr="0072376D" w:rsidR="00181AB9">
        <w:t>Tsirli</w:t>
      </w:r>
      <w:r w:rsidRPr="0072376D">
        <w:t xml:space="preserve">, </w:t>
      </w:r>
      <w:r w:rsidRPr="0072376D" w:rsidR="00181AB9">
        <w:rPr>
          <w:i/>
        </w:rPr>
        <w:t xml:space="preserve">Section </w:t>
      </w:r>
      <w:r w:rsidRPr="0072376D" w:rsidR="00181AB9">
        <w:rPr>
          <w:i/>
          <w:iCs/>
        </w:rPr>
        <w:t>Registrar</w:t>
      </w:r>
      <w:r w:rsidRPr="0072376D">
        <w:rPr>
          <w:i/>
        </w:rPr>
        <w:t>,</w:t>
      </w:r>
    </w:p>
    <w:p w:rsidRPr="0072376D" w:rsidR="00014566" w:rsidP="0072376D">
      <w:pPr>
        <w:pStyle w:val="ECHRPara"/>
      </w:pPr>
      <w:r w:rsidRPr="0072376D">
        <w:t xml:space="preserve">Having deliberated in private on </w:t>
      </w:r>
      <w:r w:rsidRPr="0072376D" w:rsidR="00EB0BBE">
        <w:t>20 February 2018</w:t>
      </w:r>
      <w:r w:rsidRPr="0072376D">
        <w:t>,</w:t>
      </w:r>
    </w:p>
    <w:p w:rsidRPr="0072376D" w:rsidR="00014566" w:rsidP="0072376D">
      <w:pPr>
        <w:pStyle w:val="ECHRPara"/>
      </w:pPr>
      <w:r w:rsidRPr="0072376D">
        <w:t>Delivers the following judgment, which was adopted on that date:</w:t>
      </w:r>
    </w:p>
    <w:p w:rsidRPr="0072376D" w:rsidR="00014566" w:rsidP="0072376D">
      <w:pPr>
        <w:pStyle w:val="ECHRTitle1"/>
      </w:pPr>
      <w:r w:rsidRPr="0072376D">
        <w:t>PROCEDURE</w:t>
      </w:r>
    </w:p>
    <w:p w:rsidRPr="0072376D" w:rsidR="00181AB9"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1</w:t>
      </w:r>
      <w:r w:rsidRPr="0072376D">
        <w:fldChar w:fldCharType="end"/>
      </w:r>
      <w:r w:rsidRPr="0072376D" w:rsidR="00014566">
        <w:t xml:space="preserve">.  The case originated in </w:t>
      </w:r>
      <w:r w:rsidRPr="0072376D">
        <w:t>an application (no. 32303/13)</w:t>
      </w:r>
      <w:r w:rsidRPr="0072376D" w:rsidR="00014566">
        <w:t xml:space="preserve"> against </w:t>
      </w:r>
      <w:r w:rsidRPr="0072376D">
        <w:t>the Republic of Slovenia</w:t>
      </w:r>
      <w:r w:rsidRPr="0072376D" w:rsidR="00014566">
        <w:t xml:space="preserve"> lodged with the </w:t>
      </w:r>
      <w:r w:rsidRPr="0072376D">
        <w:t>Court under Article 34</w:t>
      </w:r>
      <w:r w:rsidRPr="0072376D" w:rsidR="00014566">
        <w:t xml:space="preserve"> of the Convention for the Protection of Human Rights and Fundamental Freedoms (“the Convention”) by </w:t>
      </w:r>
      <w:r w:rsidRPr="0072376D">
        <w:t xml:space="preserve">a Slovenian </w:t>
      </w:r>
      <w:r w:rsidRPr="0072376D" w:rsidR="00CF5428">
        <w:t>private institute</w:t>
      </w:r>
      <w:r w:rsidRPr="0072376D">
        <w:t xml:space="preserve">, </w:t>
      </w:r>
      <w:r w:rsidRPr="0072376D">
        <w:t>Mirovni</w:t>
      </w:r>
      <w:r w:rsidRPr="0072376D">
        <w:t xml:space="preserve"> </w:t>
      </w:r>
      <w:r w:rsidRPr="0072376D">
        <w:t>Inštitut</w:t>
      </w:r>
      <w:r w:rsidRPr="0072376D">
        <w:t xml:space="preserve"> (“the applicant</w:t>
      </w:r>
      <w:r w:rsidRPr="0072376D" w:rsidR="00CF5428">
        <w:t xml:space="preserve"> institute</w:t>
      </w:r>
      <w:r w:rsidRPr="0072376D">
        <w:t>”), on 13 May 2013</w:t>
      </w:r>
      <w:r w:rsidRPr="0072376D" w:rsidR="00014566">
        <w:t>.</w:t>
      </w:r>
    </w:p>
    <w:p w:rsidRPr="0072376D" w:rsidR="00181AB9"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2</w:t>
      </w:r>
      <w:r w:rsidRPr="0072376D">
        <w:fldChar w:fldCharType="end"/>
      </w:r>
      <w:r w:rsidRPr="0072376D" w:rsidR="00014566">
        <w:t>.  </w:t>
      </w:r>
      <w:r w:rsidRPr="0072376D">
        <w:t xml:space="preserve">The applicant </w:t>
      </w:r>
      <w:r w:rsidRPr="0072376D" w:rsidR="00D948DA">
        <w:t xml:space="preserve">institute </w:t>
      </w:r>
      <w:r w:rsidRPr="0072376D">
        <w:t xml:space="preserve">was represented by Ms N. </w:t>
      </w:r>
      <w:r w:rsidRPr="0072376D">
        <w:t>Šorli</w:t>
      </w:r>
      <w:r w:rsidRPr="0072376D">
        <w:t xml:space="preserve"> and Mr</w:t>
      </w:r>
      <w:r w:rsidRPr="0072376D" w:rsidR="00E84CBD">
        <w:t> </w:t>
      </w:r>
      <w:r w:rsidRPr="0072376D" w:rsidR="00FC48DF">
        <w:t>T. </w:t>
      </w:r>
      <w:r w:rsidRPr="0072376D" w:rsidR="00CF5428">
        <w:t>Kovačič</w:t>
      </w:r>
      <w:r w:rsidRPr="0072376D">
        <w:t xml:space="preserve">, lawyers practising in Ljubljana. </w:t>
      </w:r>
      <w:r w:rsidRPr="0072376D" w:rsidR="00014566">
        <w:t xml:space="preserve">The </w:t>
      </w:r>
      <w:r w:rsidRPr="0072376D">
        <w:t>Slovenian</w:t>
      </w:r>
      <w:r w:rsidRPr="0072376D" w:rsidR="00014566">
        <w:t xml:space="preserve"> Government (“the Government”) were represented by their Agent, Mr </w:t>
      </w:r>
      <w:r w:rsidRPr="0072376D" w:rsidR="00CF5428">
        <w:t xml:space="preserve">L. </w:t>
      </w:r>
      <w:r w:rsidRPr="0072376D" w:rsidR="00CF5428">
        <w:t>Bembič</w:t>
      </w:r>
      <w:r w:rsidRPr="0072376D" w:rsidR="00014566">
        <w:t xml:space="preserve">, </w:t>
      </w:r>
      <w:r w:rsidRPr="0072376D" w:rsidR="009828D8">
        <w:t>State</w:t>
      </w:r>
      <w:r w:rsidRPr="0072376D" w:rsidR="009828D8">
        <w:t xml:space="preserve"> Attorney</w:t>
      </w:r>
      <w:r w:rsidRPr="0072376D" w:rsidR="00014566">
        <w:t>.</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w:t>
      </w:r>
      <w:r w:rsidRPr="0072376D">
        <w:fldChar w:fldCharType="end"/>
      </w:r>
      <w:r w:rsidRPr="0072376D">
        <w:t xml:space="preserve">.  The applicant </w:t>
      </w:r>
      <w:r w:rsidRPr="0072376D" w:rsidR="00D948DA">
        <w:t xml:space="preserve">institute </w:t>
      </w:r>
      <w:r w:rsidRPr="0072376D">
        <w:t xml:space="preserve">alleged </w:t>
      </w:r>
      <w:r w:rsidRPr="0072376D" w:rsidR="009828D8">
        <w:t xml:space="preserve">that the </w:t>
      </w:r>
      <w:r w:rsidRPr="0072376D" w:rsidR="00E70872">
        <w:t xml:space="preserve">lack </w:t>
      </w:r>
      <w:r w:rsidRPr="0072376D" w:rsidR="009828D8">
        <w:t xml:space="preserve">of reasoning </w:t>
      </w:r>
      <w:r w:rsidRPr="0072376D" w:rsidR="00C736B1">
        <w:t xml:space="preserve">in a decision of the Administrative Court </w:t>
      </w:r>
      <w:r w:rsidRPr="0072376D" w:rsidR="009828D8">
        <w:t xml:space="preserve">and the </w:t>
      </w:r>
      <w:r w:rsidRPr="0072376D" w:rsidR="00E70872">
        <w:t xml:space="preserve">absence </w:t>
      </w:r>
      <w:r w:rsidRPr="0072376D" w:rsidR="009828D8">
        <w:t>of an oral hearing</w:t>
      </w:r>
      <w:r w:rsidRPr="0072376D" w:rsidR="00C736B1">
        <w:t xml:space="preserve"> before it</w:t>
      </w:r>
      <w:r w:rsidRPr="0072376D" w:rsidR="009828D8">
        <w:t xml:space="preserve"> amounted to a violation of the right to a fair trial under Article 6 § 1 of the Convention</w:t>
      </w:r>
      <w:r w:rsidRPr="0072376D">
        <w:t>.</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4</w:t>
      </w:r>
      <w:r w:rsidRPr="0072376D">
        <w:fldChar w:fldCharType="end"/>
      </w:r>
      <w:r w:rsidRPr="0072376D">
        <w:t>.  </w:t>
      </w:r>
      <w:r w:rsidRPr="0072376D">
        <w:t xml:space="preserve">On </w:t>
      </w:r>
      <w:r w:rsidRPr="0072376D">
        <w:rPr>
          <w:szCs w:val="24"/>
        </w:rPr>
        <w:t>30 May 2016</w:t>
      </w:r>
      <w:r w:rsidRPr="0072376D">
        <w:t xml:space="preserve"> the </w:t>
      </w:r>
      <w:r w:rsidRPr="0072376D">
        <w:t xml:space="preserve">complaint concerning </w:t>
      </w:r>
      <w:r w:rsidRPr="0072376D" w:rsidR="009828D8">
        <w:t>Article 6</w:t>
      </w:r>
      <w:r w:rsidRPr="0072376D">
        <w:t xml:space="preserve"> was communicated to the Government and the remainder of the application was declared inadmissible</w:t>
      </w:r>
      <w:r w:rsidRPr="0072376D">
        <w:rPr>
          <w:szCs w:val="24"/>
        </w:rPr>
        <w:t xml:space="preserve"> </w:t>
      </w:r>
      <w:r w:rsidRPr="0072376D">
        <w:t>pursuant to Rule 54 § 3 of the Rules of Court</w:t>
      </w:r>
      <w:r w:rsidRPr="0072376D" w:rsidR="007509D5">
        <w:t>.</w:t>
      </w:r>
    </w:p>
    <w:p w:rsidRPr="0072376D" w:rsidR="00014566" w:rsidP="0072376D">
      <w:pPr>
        <w:pStyle w:val="ECHRTitle1"/>
      </w:pPr>
      <w:r w:rsidRPr="0072376D">
        <w:t>THE FACTS</w:t>
      </w:r>
    </w:p>
    <w:p w:rsidRPr="0072376D" w:rsidR="00014566" w:rsidP="0072376D">
      <w:pPr>
        <w:pStyle w:val="ECHRHeading1"/>
      </w:pPr>
      <w:r w:rsidRPr="0072376D">
        <w:t>I.  THE CIRCUMSTANCES OF THE CASE</w:t>
      </w:r>
    </w:p>
    <w:p w:rsidRPr="0072376D" w:rsidR="00853461"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5</w:t>
      </w:r>
      <w:r w:rsidRPr="0072376D">
        <w:fldChar w:fldCharType="end"/>
      </w:r>
      <w:r w:rsidRPr="0072376D" w:rsidR="00014566">
        <w:t>.  </w:t>
      </w:r>
      <w:r w:rsidRPr="0072376D" w:rsidR="00FD1337">
        <w:t>The applicant</w:t>
      </w:r>
      <w:r w:rsidRPr="0072376D" w:rsidR="00171A82">
        <w:t xml:space="preserve"> institute</w:t>
      </w:r>
      <w:r w:rsidRPr="0072376D" w:rsidR="00FD1337">
        <w:t xml:space="preserve"> is a private institute that carries out research in the field of social sciences</w:t>
      </w:r>
      <w:r w:rsidRPr="0072376D" w:rsidR="00BC2430">
        <w:t>.</w:t>
      </w:r>
      <w:r w:rsidRPr="0072376D" w:rsidR="0078348F">
        <w:t xml:space="preserve"> </w:t>
      </w:r>
      <w:r w:rsidRPr="0072376D" w:rsidR="00BC2430">
        <w:t>I</w:t>
      </w:r>
      <w:r w:rsidRPr="0072376D" w:rsidR="0078348F">
        <w:t>ts registered office</w:t>
      </w:r>
      <w:r w:rsidRPr="0072376D" w:rsidR="00BC2430">
        <w:t xml:space="preserve"> is</w:t>
      </w:r>
      <w:r w:rsidRPr="0072376D" w:rsidR="0078348F">
        <w:t xml:space="preserve"> in Ljubljana</w:t>
      </w:r>
      <w:r w:rsidRPr="0072376D" w:rsidR="00FD1337">
        <w:t>.</w:t>
      </w:r>
    </w:p>
    <w:bookmarkStart w:name="call_for_tenders" w:id="2"/>
    <w:p w:rsidRPr="0072376D" w:rsidR="00FD1337"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6</w:t>
      </w:r>
      <w:r w:rsidRPr="0072376D">
        <w:fldChar w:fldCharType="end"/>
      </w:r>
      <w:bookmarkEnd w:id="2"/>
      <w:r w:rsidRPr="0072376D">
        <w:t xml:space="preserve">.  In June 2003, the Ministry of Education, Science and Sport (hereinafter “the Ministry”) made two calls for tenders for the purpose of making awards for scientific research projects; one call was directed at private entities and the other at public research organisations. The Ministry announced that in 2004 it would finance 100,000 research hours, which were estimated to amount to 750,000,000 </w:t>
      </w:r>
      <w:r w:rsidRPr="0072376D" w:rsidR="002B57BA">
        <w:t xml:space="preserve">Slovenian </w:t>
      </w:r>
      <w:r w:rsidRPr="0072376D">
        <w:t>tolars</w:t>
      </w:r>
      <w:r w:rsidRPr="0072376D">
        <w:t xml:space="preserve"> (SIT</w:t>
      </w:r>
      <w:r w:rsidRPr="0072376D" w:rsidR="002B57BA">
        <w:t xml:space="preserve"> – approximately </w:t>
      </w:r>
      <w:r w:rsidRPr="0072376D" w:rsidR="000A4FEA">
        <w:t>3,130,000</w:t>
      </w:r>
      <w:r w:rsidRPr="0072376D" w:rsidR="002B57BA">
        <w:t xml:space="preserve"> euros (EUR)</w:t>
      </w:r>
      <w:r w:rsidRPr="0072376D">
        <w:t xml:space="preserve">). </w:t>
      </w:r>
      <w:r w:rsidRPr="0072376D" w:rsidR="00090D13">
        <w:t xml:space="preserve">The research projects were to be evaluated under the Rules on Quality Assessment and Funding of the Public Research Organisation Programme. </w:t>
      </w:r>
      <w:r w:rsidRPr="0072376D">
        <w:t xml:space="preserve">The applicant institute </w:t>
      </w:r>
      <w:r w:rsidRPr="0072376D" w:rsidR="00BC2430">
        <w:t xml:space="preserve">submitted a tender </w:t>
      </w:r>
      <w:r w:rsidRPr="0072376D">
        <w:t>for research in the field of social sciences.</w:t>
      </w:r>
    </w:p>
    <w:p w:rsidRPr="0072376D" w:rsidR="00FD1337"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7</w:t>
      </w:r>
      <w:r w:rsidRPr="0072376D">
        <w:fldChar w:fldCharType="end"/>
      </w:r>
      <w:r w:rsidRPr="0072376D">
        <w:t>.  Subsequently, the Ministry seems to have joined the proceedings for the two tenders, but no formal decision regarding the joinder appears to have been made. On 17 February 2004 the Ministry decided that the applicant institute would not be awarded any funding.</w:t>
      </w:r>
    </w:p>
    <w:p w:rsidRPr="0072376D" w:rsidR="00FD1337"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8</w:t>
      </w:r>
      <w:r w:rsidRPr="0072376D">
        <w:fldChar w:fldCharType="end"/>
      </w:r>
      <w:r w:rsidRPr="0072376D">
        <w:t xml:space="preserve">.  The applicant institute </w:t>
      </w:r>
      <w:r w:rsidRPr="0072376D" w:rsidR="00D948DA">
        <w:t xml:space="preserve">applied to </w:t>
      </w:r>
      <w:r w:rsidRPr="0072376D">
        <w:t>the Administrative Court of the Republic of Slovenia (“the Administrative Court”), seeking the setting aside of the Ministry</w:t>
      </w:r>
      <w:r w:rsidRPr="0072376D" w:rsidR="0072376D">
        <w:t>’</w:t>
      </w:r>
      <w:r w:rsidRPr="0072376D">
        <w:t>s decision. The action</w:t>
      </w:r>
      <w:r w:rsidRPr="0072376D" w:rsidR="0029218B">
        <w:t xml:space="preserve"> was granted by a decision of 4 </w:t>
      </w:r>
      <w:r w:rsidRPr="0072376D">
        <w:t>April 2007 and the case was remitted to the Ministry for reconsideration.</w:t>
      </w:r>
    </w:p>
    <w:bookmarkStart w:name="AdmProc_begin" w:id="3"/>
    <w:p w:rsidRPr="0072376D" w:rsidR="007C1C61"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9</w:t>
      </w:r>
      <w:r w:rsidRPr="0072376D">
        <w:fldChar w:fldCharType="end"/>
      </w:r>
      <w:bookmarkEnd w:id="3"/>
      <w:r w:rsidRPr="0072376D">
        <w:t>.  On 19 October 2009 the applicant institute lodged an</w:t>
      </w:r>
      <w:r w:rsidRPr="0072376D" w:rsidR="0029051A">
        <w:t>other</w:t>
      </w:r>
      <w:r w:rsidRPr="0072376D">
        <w:t xml:space="preserve"> action</w:t>
      </w:r>
      <w:r w:rsidRPr="0072376D" w:rsidR="0023024F">
        <w:t xml:space="preserve"> before the Administrative Court</w:t>
      </w:r>
      <w:r w:rsidRPr="0072376D">
        <w:t xml:space="preserve"> </w:t>
      </w:r>
      <w:r w:rsidRPr="0072376D" w:rsidR="0029051A">
        <w:t xml:space="preserve">on account of </w:t>
      </w:r>
      <w:r w:rsidRPr="0072376D">
        <w:t>the Ministry</w:t>
      </w:r>
      <w:r w:rsidRPr="0072376D" w:rsidR="0072376D">
        <w:t>’</w:t>
      </w:r>
      <w:r w:rsidRPr="0072376D">
        <w:t>s failure to adopt a decision within the prescribed time-limit</w:t>
      </w:r>
      <w:r w:rsidRPr="0072376D" w:rsidR="00283426">
        <w:t>.</w:t>
      </w:r>
    </w:p>
    <w:bookmarkStart w:name="bias1" w:id="4"/>
    <w:p w:rsidRPr="0072376D" w:rsidR="00FD1337" w:rsidP="0072376D">
      <w:pPr>
        <w:pStyle w:val="ECHRPara"/>
        <w:rPr>
          <w:strike/>
        </w:rPr>
      </w:pPr>
      <w:r w:rsidRPr="0072376D">
        <w:fldChar w:fldCharType="begin"/>
      </w:r>
      <w:r w:rsidRPr="0072376D">
        <w:instrText xml:space="preserve"> SEQ level0 \*arabic </w:instrText>
      </w:r>
      <w:r w:rsidRPr="0072376D">
        <w:fldChar w:fldCharType="separate"/>
      </w:r>
      <w:r w:rsidRPr="0072376D" w:rsidR="0072376D">
        <w:rPr>
          <w:noProof/>
        </w:rPr>
        <w:t>10</w:t>
      </w:r>
      <w:r w:rsidRPr="0072376D">
        <w:fldChar w:fldCharType="end"/>
      </w:r>
      <w:bookmarkEnd w:id="4"/>
      <w:r w:rsidRPr="0072376D">
        <w:t>.  On 30 March 2010 the Ministry again decided that the applicant institute would not be awarded any funding. It explained that the institute</w:t>
      </w:r>
      <w:r w:rsidRPr="0072376D" w:rsidR="0072376D">
        <w:t>’</w:t>
      </w:r>
      <w:r w:rsidRPr="0072376D">
        <w:t xml:space="preserve">s research programme had been ranked fifth among the research programmes in the field of political sciences and that only four programmes in that group would receive funding. </w:t>
      </w:r>
      <w:r w:rsidRPr="0072376D" w:rsidR="00326C8D">
        <w:t>T</w:t>
      </w:r>
      <w:r w:rsidRPr="0072376D">
        <w:t>he Ministry pointed out that it was presumed that no conflict of interests exist</w:t>
      </w:r>
      <w:r w:rsidRPr="0072376D" w:rsidR="00233113">
        <w:t>ed</w:t>
      </w:r>
      <w:r w:rsidRPr="0072376D" w:rsidR="0029051A">
        <w:t>,</w:t>
      </w:r>
      <w:r w:rsidRPr="0072376D">
        <w:t xml:space="preserve"> </w:t>
      </w:r>
      <w:r w:rsidRPr="0072376D" w:rsidR="0023024F">
        <w:t xml:space="preserve">even </w:t>
      </w:r>
      <w:r w:rsidRPr="0072376D">
        <w:t>when evaluators work</w:t>
      </w:r>
      <w:r w:rsidRPr="0072376D" w:rsidR="00233113">
        <w:t>ed</w:t>
      </w:r>
      <w:r w:rsidRPr="0072376D">
        <w:t xml:space="preserve"> </w:t>
      </w:r>
      <w:r w:rsidRPr="0072376D" w:rsidR="00233113">
        <w:t xml:space="preserve">in </w:t>
      </w:r>
      <w:r w:rsidRPr="0072376D">
        <w:t xml:space="preserve">the same institution </w:t>
      </w:r>
      <w:r w:rsidRPr="0072376D" w:rsidR="0029051A">
        <w:t xml:space="preserve">whose tenders </w:t>
      </w:r>
      <w:r w:rsidRPr="0072376D" w:rsidR="00233113">
        <w:t xml:space="preserve">they </w:t>
      </w:r>
      <w:r w:rsidRPr="0072376D" w:rsidR="0029051A">
        <w:t xml:space="preserve">were evaluating </w:t>
      </w:r>
      <w:r w:rsidRPr="0072376D">
        <w:t xml:space="preserve">and that this was a common European practice. </w:t>
      </w:r>
      <w:r w:rsidRPr="0072376D" w:rsidR="00233113">
        <w:t xml:space="preserve">It was further noted that </w:t>
      </w:r>
      <w:r w:rsidRPr="0072376D">
        <w:t>evaluators</w:t>
      </w:r>
      <w:r w:rsidRPr="0072376D" w:rsidR="0007552A">
        <w:t xml:space="preserve"> had</w:t>
      </w:r>
      <w:r w:rsidRPr="0072376D">
        <w:t xml:space="preserve"> sign</w:t>
      </w:r>
      <w:r w:rsidRPr="0072376D" w:rsidR="00233113">
        <w:t>ed</w:t>
      </w:r>
      <w:r w:rsidRPr="0072376D">
        <w:t xml:space="preserve"> a declaration of confidential</w:t>
      </w:r>
      <w:r w:rsidRPr="0072376D" w:rsidR="0029051A">
        <w:t>ity</w:t>
      </w:r>
      <w:r w:rsidRPr="0072376D">
        <w:t xml:space="preserve"> </w:t>
      </w:r>
      <w:r w:rsidRPr="0072376D" w:rsidR="00750E11">
        <w:t xml:space="preserve">and </w:t>
      </w:r>
      <w:r w:rsidRPr="0072376D" w:rsidR="00BC2430">
        <w:t xml:space="preserve">an undertaking to </w:t>
      </w:r>
      <w:r w:rsidRPr="0072376D" w:rsidR="00750E11">
        <w:t xml:space="preserve">withdraw in the event that </w:t>
      </w:r>
      <w:r w:rsidRPr="0072376D" w:rsidR="0029051A">
        <w:t xml:space="preserve">a </w:t>
      </w:r>
      <w:r w:rsidRPr="0072376D" w:rsidR="00750E11">
        <w:t>conflict of interest</w:t>
      </w:r>
      <w:r w:rsidRPr="0072376D" w:rsidR="0029051A">
        <w:t>s</w:t>
      </w:r>
      <w:r w:rsidRPr="0072376D" w:rsidR="00750E11">
        <w:t xml:space="preserve"> </w:t>
      </w:r>
      <w:r w:rsidRPr="0072376D" w:rsidR="0007552A">
        <w:t>was</w:t>
      </w:r>
      <w:r w:rsidRPr="0072376D" w:rsidR="00750E11">
        <w:t xml:space="preserve"> found.</w:t>
      </w:r>
    </w:p>
    <w:bookmarkStart w:name="bias2" w:id="5"/>
    <w:p w:rsidRPr="0072376D" w:rsidR="000F4561"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11</w:t>
      </w:r>
      <w:r w:rsidRPr="0072376D">
        <w:fldChar w:fldCharType="end"/>
      </w:r>
      <w:bookmarkEnd w:id="5"/>
      <w:r w:rsidRPr="0072376D">
        <w:t>.  </w:t>
      </w:r>
      <w:r w:rsidRPr="0072376D" w:rsidR="007C1C61">
        <w:t>In order to reflect the fact that the Ministry</w:t>
      </w:r>
      <w:r w:rsidRPr="0072376D" w:rsidR="00744EC9">
        <w:t xml:space="preserve"> had</w:t>
      </w:r>
      <w:r w:rsidRPr="0072376D" w:rsidR="007C1C61">
        <w:t xml:space="preserve"> adopted </w:t>
      </w:r>
      <w:r w:rsidRPr="0072376D" w:rsidR="00922BB1">
        <w:t>the</w:t>
      </w:r>
      <w:r w:rsidRPr="0072376D" w:rsidR="007C1C61">
        <w:t xml:space="preserve"> decision</w:t>
      </w:r>
      <w:r w:rsidRPr="0072376D" w:rsidR="00233113">
        <w:t xml:space="preserve"> </w:t>
      </w:r>
      <w:r w:rsidRPr="0072376D" w:rsidR="00922BB1">
        <w:t>of 30 March 2010</w:t>
      </w:r>
      <w:r w:rsidRPr="0072376D" w:rsidR="005430C8">
        <w:t>,</w:t>
      </w:r>
      <w:r w:rsidRPr="0072376D" w:rsidR="007C1C61">
        <w:t xml:space="preserve"> t</w:t>
      </w:r>
      <w:r w:rsidRPr="0072376D">
        <w:t xml:space="preserve">he applicant institute </w:t>
      </w:r>
      <w:r w:rsidRPr="0072376D" w:rsidR="007C1C61">
        <w:t xml:space="preserve">supplemented </w:t>
      </w:r>
      <w:r w:rsidRPr="0072376D" w:rsidR="005430C8">
        <w:t>its</w:t>
      </w:r>
      <w:r w:rsidRPr="0072376D" w:rsidR="007C1C61">
        <w:t xml:space="preserve"> </w:t>
      </w:r>
      <w:r w:rsidRPr="0072376D" w:rsidR="00620EB9">
        <w:t>action of 19 October 2009</w:t>
      </w:r>
      <w:r w:rsidRPr="0072376D" w:rsidR="0023024F">
        <w:t xml:space="preserve">, </w:t>
      </w:r>
      <w:r w:rsidRPr="0072376D" w:rsidR="0029051A">
        <w:t xml:space="preserve">which it </w:t>
      </w:r>
      <w:r w:rsidRPr="0072376D" w:rsidR="00620EB9">
        <w:t xml:space="preserve">had originally lodged </w:t>
      </w:r>
      <w:r w:rsidRPr="0072376D" w:rsidR="0029051A">
        <w:t xml:space="preserve">on account of </w:t>
      </w:r>
      <w:r w:rsidRPr="0072376D" w:rsidR="00620EB9">
        <w:t>the Ministry</w:t>
      </w:r>
      <w:r w:rsidRPr="0072376D" w:rsidR="0072376D">
        <w:t>’</w:t>
      </w:r>
      <w:r w:rsidRPr="0072376D" w:rsidR="00620EB9">
        <w:t>s failure to adopt a decision</w:t>
      </w:r>
      <w:r w:rsidRPr="0072376D" w:rsidR="0023024F">
        <w:t xml:space="preserve"> (see paragraph </w:t>
      </w:r>
      <w:r w:rsidRPr="0072376D" w:rsidR="0023024F">
        <w:fldChar w:fldCharType="begin"/>
      </w:r>
      <w:r w:rsidRPr="0072376D" w:rsidR="0023024F">
        <w:instrText xml:space="preserve"> REF AdmProc_begin \h </w:instrText>
      </w:r>
      <w:r w:rsidRPr="0072376D" w:rsidR="0013657F">
        <w:instrText xml:space="preserve"> \* MERGEFORMAT </w:instrText>
      </w:r>
      <w:r w:rsidRPr="0072376D" w:rsidR="0023024F">
        <w:fldChar w:fldCharType="separate"/>
      </w:r>
      <w:r w:rsidRPr="0072376D" w:rsidR="0072376D">
        <w:rPr>
          <w:noProof/>
        </w:rPr>
        <w:t>9</w:t>
      </w:r>
      <w:r w:rsidRPr="0072376D" w:rsidR="0023024F">
        <w:fldChar w:fldCharType="end"/>
      </w:r>
      <w:r w:rsidRPr="0072376D" w:rsidR="0023024F">
        <w:t xml:space="preserve"> above</w:t>
      </w:r>
      <w:r w:rsidRPr="0072376D" w:rsidR="00620EB9">
        <w:t>)</w:t>
      </w:r>
      <w:r w:rsidRPr="0072376D" w:rsidR="0029051A">
        <w:t>,</w:t>
      </w:r>
      <w:r w:rsidRPr="0072376D" w:rsidR="00620EB9">
        <w:t xml:space="preserve"> </w:t>
      </w:r>
      <w:r w:rsidRPr="0072376D" w:rsidR="00066576">
        <w:t xml:space="preserve">with a request </w:t>
      </w:r>
      <w:r w:rsidRPr="0072376D" w:rsidR="00233113">
        <w:t xml:space="preserve">that the </w:t>
      </w:r>
      <w:r w:rsidRPr="0072376D">
        <w:t>Ministry</w:t>
      </w:r>
      <w:r w:rsidRPr="0072376D" w:rsidR="0072376D">
        <w:t>’</w:t>
      </w:r>
      <w:r w:rsidRPr="0072376D">
        <w:t>s decision</w:t>
      </w:r>
      <w:r w:rsidRPr="0072376D" w:rsidR="00233113">
        <w:t xml:space="preserve"> be </w:t>
      </w:r>
      <w:r w:rsidRPr="0072376D" w:rsidR="00066576">
        <w:t>set aside</w:t>
      </w:r>
      <w:r w:rsidRPr="0072376D" w:rsidR="00233113">
        <w:t xml:space="preserve">. It further urged </w:t>
      </w:r>
      <w:r w:rsidRPr="0072376D">
        <w:t xml:space="preserve">the Administrative Court to decide that it would be awarded funding. </w:t>
      </w:r>
      <w:r w:rsidRPr="0072376D" w:rsidR="005430C8">
        <w:t>I</w:t>
      </w:r>
      <w:r w:rsidRPr="0072376D">
        <w:t>t complained that the Ministry had joined the proceedings that had initially been intended for consideration of tenders from private research organisations to the proceedings for consideration of tenders from public research organisations</w:t>
      </w:r>
      <w:r w:rsidRPr="0072376D" w:rsidR="0029051A">
        <w:t>,</w:t>
      </w:r>
      <w:r w:rsidRPr="0072376D" w:rsidR="0007552A">
        <w:t xml:space="preserve"> without issuing a formal decision to </w:t>
      </w:r>
      <w:r w:rsidRPr="0072376D" w:rsidR="0029051A">
        <w:t xml:space="preserve">that </w:t>
      </w:r>
      <w:r w:rsidRPr="0072376D" w:rsidR="0007552A">
        <w:t>effect</w:t>
      </w:r>
      <w:r w:rsidRPr="0072376D">
        <w:t>. It also complained of errors in the evaluation of the competing programmes</w:t>
      </w:r>
      <w:r w:rsidRPr="0072376D" w:rsidR="0029051A">
        <w:t>,</w:t>
      </w:r>
      <w:r w:rsidRPr="0072376D" w:rsidR="009F30EC">
        <w:t xml:space="preserve"> because not all </w:t>
      </w:r>
      <w:r w:rsidRPr="0072376D" w:rsidR="0029051A">
        <w:t xml:space="preserve">of the </w:t>
      </w:r>
      <w:r w:rsidRPr="0072376D" w:rsidR="009F30EC">
        <w:t>criteria</w:t>
      </w:r>
      <w:r w:rsidRPr="0072376D" w:rsidR="00326C8D">
        <w:t xml:space="preserve"> specified in the Rules on Quality Assessment and Funding of the Public Research Organisation Programme</w:t>
      </w:r>
      <w:r w:rsidRPr="0072376D" w:rsidR="009F30EC">
        <w:t xml:space="preserve"> had been taken into account</w:t>
      </w:r>
      <w:r w:rsidRPr="0072376D">
        <w:t xml:space="preserve">. </w:t>
      </w:r>
      <w:r w:rsidRPr="0072376D" w:rsidR="00233113">
        <w:t xml:space="preserve">It argued, </w:t>
      </w:r>
      <w:r w:rsidRPr="0072376D" w:rsidR="00233113">
        <w:rPr>
          <w:i/>
        </w:rPr>
        <w:t>inter alia</w:t>
      </w:r>
      <w:r w:rsidRPr="0072376D" w:rsidR="00233113">
        <w:t xml:space="preserve">, </w:t>
      </w:r>
      <w:r w:rsidRPr="0072376D">
        <w:t>that the evaluation procedure had been unfair because some of the evaluators had been biased</w:t>
      </w:r>
      <w:r w:rsidRPr="0072376D" w:rsidR="0029051A">
        <w:t>,</w:t>
      </w:r>
      <w:r w:rsidRPr="0072376D">
        <w:t xml:space="preserve"> as they had been evaluating research programmes which were competing with the very programmes in which they themselves participated</w:t>
      </w:r>
      <w:r w:rsidRPr="0072376D" w:rsidR="004242F5">
        <w:t xml:space="preserve">. </w:t>
      </w:r>
      <w:r w:rsidRPr="0072376D" w:rsidR="00DF5E30">
        <w:t xml:space="preserve">This provoked a distortion of the results of the procedure, as shown by the fact that only </w:t>
      </w:r>
      <w:r w:rsidRPr="0072376D" w:rsidR="004242F5">
        <w:t>those research programmes</w:t>
      </w:r>
      <w:r w:rsidRPr="0072376D" w:rsidR="00FE6AA8">
        <w:t xml:space="preserve"> in which the</w:t>
      </w:r>
      <w:r w:rsidRPr="0072376D" w:rsidR="00DF5E30">
        <w:t xml:space="preserve"> evaluators</w:t>
      </w:r>
      <w:r w:rsidRPr="0072376D" w:rsidR="00FE6AA8">
        <w:t xml:space="preserve"> were leaders or members of research teams obtained financing</w:t>
      </w:r>
      <w:r w:rsidRPr="0072376D">
        <w:t xml:space="preserve">. </w:t>
      </w:r>
      <w:r w:rsidRPr="0072376D" w:rsidR="00233113">
        <w:t xml:space="preserve">The applicant institute </w:t>
      </w:r>
      <w:r w:rsidRPr="0072376D">
        <w:t>expressly requested a hearing at which witnesses could be heard with regard to the alleged procedural errors in the evaluation of the programmes.</w:t>
      </w:r>
      <w:r w:rsidRPr="0072376D" w:rsidR="00E55C6F">
        <w:t xml:space="preserve"> Additionally, it submitted a letter of 2 December 2003 </w:t>
      </w:r>
      <w:r w:rsidRPr="0072376D" w:rsidR="00A92FAF">
        <w:t xml:space="preserve">which </w:t>
      </w:r>
      <w:r w:rsidRPr="0072376D" w:rsidR="00E55C6F">
        <w:t>one of the witnesses</w:t>
      </w:r>
      <w:r w:rsidRPr="0072376D" w:rsidR="0007552A">
        <w:t>, K.,</w:t>
      </w:r>
      <w:r w:rsidRPr="0072376D" w:rsidR="00E55C6F">
        <w:t xml:space="preserve"> had sent to the Minister of Education, Science and Sport and several other address</w:t>
      </w:r>
      <w:r w:rsidRPr="0072376D" w:rsidR="00233113">
        <w:t>e</w:t>
      </w:r>
      <w:r w:rsidRPr="0072376D" w:rsidR="00E55C6F">
        <w:t>es</w:t>
      </w:r>
      <w:r w:rsidRPr="0072376D" w:rsidR="0007552A">
        <w:t>.</w:t>
      </w:r>
      <w:r w:rsidRPr="0072376D" w:rsidR="00E55C6F">
        <w:t xml:space="preserve"> </w:t>
      </w:r>
      <w:r w:rsidRPr="0072376D" w:rsidR="0007552A">
        <w:t xml:space="preserve">In the letter K. </w:t>
      </w:r>
      <w:r w:rsidRPr="0072376D" w:rsidR="00E55C6F">
        <w:t>notifi</w:t>
      </w:r>
      <w:r w:rsidRPr="0072376D" w:rsidR="0007552A">
        <w:t>ed</w:t>
      </w:r>
      <w:r w:rsidRPr="0072376D" w:rsidR="00E55C6F">
        <w:t xml:space="preserve"> them of problems he </w:t>
      </w:r>
      <w:r w:rsidRPr="0072376D" w:rsidR="00233113">
        <w:t xml:space="preserve">had </w:t>
      </w:r>
      <w:r w:rsidRPr="0072376D" w:rsidR="00E55C6F">
        <w:t xml:space="preserve">detected in the </w:t>
      </w:r>
      <w:r w:rsidRPr="0072376D" w:rsidR="00233113">
        <w:t xml:space="preserve">tender </w:t>
      </w:r>
      <w:r w:rsidRPr="0072376D" w:rsidR="00E55C6F">
        <w:t>proceedings</w:t>
      </w:r>
      <w:r w:rsidRPr="0072376D" w:rsidR="0007552A">
        <w:t xml:space="preserve"> in which he </w:t>
      </w:r>
      <w:r w:rsidRPr="0072376D" w:rsidR="00A92FAF">
        <w:t xml:space="preserve">had participated </w:t>
      </w:r>
      <w:r w:rsidRPr="0072376D" w:rsidR="0007552A">
        <w:t>as an evaluator.</w:t>
      </w:r>
    </w:p>
    <w:bookmarkStart w:name="admin_court_judgment" w:id="6"/>
    <w:p w:rsidRPr="0072376D" w:rsidR="00233113"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12</w:t>
      </w:r>
      <w:r w:rsidRPr="0072376D">
        <w:fldChar w:fldCharType="end"/>
      </w:r>
      <w:bookmarkEnd w:id="6"/>
      <w:r w:rsidRPr="0072376D">
        <w:t>.  </w:t>
      </w:r>
      <w:r w:rsidRPr="0072376D" w:rsidR="00017CC5">
        <w:t xml:space="preserve">After the parties had exchanged </w:t>
      </w:r>
      <w:r w:rsidRPr="0072376D" w:rsidR="0007552A">
        <w:t>a number of</w:t>
      </w:r>
      <w:r w:rsidRPr="0072376D" w:rsidR="00017CC5">
        <w:t xml:space="preserve"> written submissions, the Administrative Court</w:t>
      </w:r>
      <w:r w:rsidRPr="0072376D" w:rsidR="00BE2F84">
        <w:t>,</w:t>
      </w:r>
      <w:r w:rsidRPr="0072376D" w:rsidR="00017CC5">
        <w:t xml:space="preserve"> w</w:t>
      </w:r>
      <w:r w:rsidRPr="0072376D">
        <w:t>ithout holding a hearing</w:t>
      </w:r>
      <w:r w:rsidRPr="0072376D" w:rsidR="00BE2F84">
        <w:t>,</w:t>
      </w:r>
      <w:r w:rsidRPr="0072376D">
        <w:t xml:space="preserve"> dismissed the action</w:t>
      </w:r>
      <w:r w:rsidRPr="0072376D" w:rsidR="00A92FAF">
        <w:t>.</w:t>
      </w:r>
      <w:r w:rsidRPr="0072376D">
        <w:t xml:space="preserve"> </w:t>
      </w:r>
      <w:r w:rsidRPr="0072376D" w:rsidR="00A92FAF">
        <w:t xml:space="preserve">In its </w:t>
      </w:r>
      <w:r w:rsidRPr="0072376D">
        <w:t>decision of 2 February 2011</w:t>
      </w:r>
      <w:r w:rsidRPr="0072376D" w:rsidR="00BE2F84">
        <w:t xml:space="preserve"> the court </w:t>
      </w:r>
      <w:r w:rsidRPr="0072376D">
        <w:t xml:space="preserve">gave an extensive account of the proceedings before the Ministry and the submissions of both parties. The reasons for the decision were given on </w:t>
      </w:r>
      <w:r w:rsidRPr="0072376D" w:rsidR="00FC48DF">
        <w:t>a single page. Invoking section </w:t>
      </w:r>
      <w:r w:rsidRPr="0072376D">
        <w:t>71</w:t>
      </w:r>
      <w:r w:rsidRPr="0072376D" w:rsidR="00F459B7">
        <w:t>(2)</w:t>
      </w:r>
      <w:r w:rsidRPr="0072376D">
        <w:t xml:space="preserve"> of the Administrative Dispute Act</w:t>
      </w:r>
      <w:r w:rsidRPr="0072376D" w:rsidR="00744EC9">
        <w:t xml:space="preserve"> (</w:t>
      </w:r>
      <w:r w:rsidRPr="0072376D" w:rsidR="00744EC9">
        <w:rPr>
          <w:i/>
        </w:rPr>
        <w:t>Zakon</w:t>
      </w:r>
      <w:r w:rsidRPr="0072376D" w:rsidR="00744EC9">
        <w:rPr>
          <w:i/>
        </w:rPr>
        <w:t xml:space="preserve"> o </w:t>
      </w:r>
      <w:r w:rsidRPr="0072376D" w:rsidR="00744EC9">
        <w:rPr>
          <w:i/>
        </w:rPr>
        <w:t>upravnem</w:t>
      </w:r>
      <w:r w:rsidRPr="0072376D" w:rsidR="00744EC9">
        <w:rPr>
          <w:i/>
        </w:rPr>
        <w:t xml:space="preserve"> </w:t>
      </w:r>
      <w:r w:rsidRPr="0072376D" w:rsidR="00744EC9">
        <w:rPr>
          <w:i/>
        </w:rPr>
        <w:t>sporu</w:t>
      </w:r>
      <w:r w:rsidRPr="0072376D" w:rsidR="00A92FAF">
        <w:t xml:space="preserve"> –</w:t>
      </w:r>
      <w:r w:rsidRPr="0072376D" w:rsidR="00744EC9">
        <w:t xml:space="preserve"> </w:t>
      </w:r>
      <w:r w:rsidRPr="0072376D" w:rsidR="00A92FAF">
        <w:t xml:space="preserve">hereinafter </w:t>
      </w:r>
      <w:r w:rsidRPr="0072376D" w:rsidR="00744EC9">
        <w:t>“the ADA”</w:t>
      </w:r>
      <w:r w:rsidRPr="0072376D" w:rsidR="00F459B7">
        <w:t xml:space="preserve">, see paragraph </w:t>
      </w:r>
      <w:r w:rsidRPr="0072376D" w:rsidR="00F459B7">
        <w:fldChar w:fldCharType="begin"/>
      </w:r>
      <w:r w:rsidRPr="0072376D" w:rsidR="00F459B7">
        <w:instrText xml:space="preserve"> REF ADA_71_2 \h </w:instrText>
      </w:r>
      <w:r w:rsidRPr="0072376D" w:rsidR="00AD4F63">
        <w:instrText xml:space="preserve"> \* MERGEFORMAT </w:instrText>
      </w:r>
      <w:r w:rsidRPr="0072376D" w:rsidR="00F459B7">
        <w:fldChar w:fldCharType="separate"/>
      </w:r>
      <w:r w:rsidRPr="0072376D" w:rsidR="0072376D">
        <w:rPr>
          <w:noProof/>
        </w:rPr>
        <w:t>23</w:t>
      </w:r>
      <w:r w:rsidRPr="0072376D" w:rsidR="00F459B7">
        <w:fldChar w:fldCharType="end"/>
      </w:r>
      <w:r w:rsidRPr="0072376D" w:rsidR="00F459B7">
        <w:t xml:space="preserve"> below</w:t>
      </w:r>
      <w:r w:rsidRPr="0072376D" w:rsidR="00744EC9">
        <w:t>)</w:t>
      </w:r>
      <w:r w:rsidRPr="0072376D">
        <w:t xml:space="preserve">, the Administrative Court chiefly referred to the submissions of the Ministry. It </w:t>
      </w:r>
      <w:r w:rsidRPr="0072376D" w:rsidR="00620EB9">
        <w:t xml:space="preserve">considered, among other </w:t>
      </w:r>
      <w:r w:rsidRPr="0072376D" w:rsidR="00620EB9">
        <w:t xml:space="preserve">things, </w:t>
      </w:r>
      <w:r w:rsidRPr="0072376D">
        <w:t>that</w:t>
      </w:r>
      <w:r w:rsidRPr="0072376D">
        <w:t xml:space="preserve"> the Ministry had not acted unlawfully in joining the proceedings. It accepted the Ministry</w:t>
      </w:r>
      <w:r w:rsidRPr="0072376D" w:rsidR="0072376D">
        <w:t>’</w:t>
      </w:r>
      <w:r w:rsidRPr="0072376D">
        <w:t xml:space="preserve">s submission that its decision had been dictated by the nature of the research and infrastructural programmes, taking into account the guidelines of the National Research and Development Programme. The court also pointed out that the procedural rules for the evaluation of research programmes adopted by the National Scientific and Research Council clearly defined the stages of the evaluation procedure, the participants in it and their tasks. Regarding the alleged conflict of interests, the court </w:t>
      </w:r>
      <w:r w:rsidRPr="0072376D" w:rsidR="00F459B7">
        <w:t>stated</w:t>
      </w:r>
      <w:r w:rsidRPr="0072376D" w:rsidR="009F30EC">
        <w:t xml:space="preserve"> that it </w:t>
      </w:r>
      <w:r w:rsidRPr="0072376D">
        <w:t>agreed with the Ministry as to why no such conflict existed</w:t>
      </w:r>
      <w:r w:rsidRPr="0072376D" w:rsidR="009F30EC">
        <w:t xml:space="preserve"> and cited section 71</w:t>
      </w:r>
      <w:r w:rsidRPr="0072376D" w:rsidR="00066576">
        <w:t>(2)</w:t>
      </w:r>
      <w:r w:rsidRPr="0072376D" w:rsidR="009F30EC">
        <w:t xml:space="preserve"> of the </w:t>
      </w:r>
      <w:r w:rsidRPr="0072376D" w:rsidR="0007552A">
        <w:t>A</w:t>
      </w:r>
      <w:r w:rsidRPr="0072376D" w:rsidR="00744EC9">
        <w:t>DA</w:t>
      </w:r>
      <w:r w:rsidRPr="0072376D" w:rsidR="00190F66">
        <w:t xml:space="preserve"> (see paragraph </w:t>
      </w:r>
      <w:r w:rsidRPr="0072376D" w:rsidR="00190F66">
        <w:fldChar w:fldCharType="begin"/>
      </w:r>
      <w:r w:rsidRPr="0072376D" w:rsidR="00190F66">
        <w:instrText xml:space="preserve"> REF ADA_71_2 \h </w:instrText>
      </w:r>
      <w:r w:rsidRPr="0072376D" w:rsidR="00AD4F63">
        <w:instrText xml:space="preserve"> \* MERGEFORMAT </w:instrText>
      </w:r>
      <w:r w:rsidRPr="0072376D" w:rsidR="00190F66">
        <w:fldChar w:fldCharType="separate"/>
      </w:r>
      <w:r w:rsidRPr="0072376D" w:rsidR="0072376D">
        <w:rPr>
          <w:noProof/>
        </w:rPr>
        <w:t>23</w:t>
      </w:r>
      <w:r w:rsidRPr="0072376D" w:rsidR="00190F66">
        <w:fldChar w:fldCharType="end"/>
      </w:r>
      <w:r w:rsidRPr="0072376D" w:rsidR="00190F66">
        <w:t xml:space="preserve"> below)</w:t>
      </w:r>
      <w:r w:rsidRPr="0072376D">
        <w:t xml:space="preserve">. </w:t>
      </w:r>
      <w:r w:rsidRPr="0072376D" w:rsidR="009F30EC">
        <w:t>As to the alleged errors in the evaluation of the competing programmes</w:t>
      </w:r>
      <w:r w:rsidRPr="0072376D" w:rsidR="00066576">
        <w:t>,</w:t>
      </w:r>
      <w:r w:rsidRPr="0072376D" w:rsidR="009F30EC">
        <w:t xml:space="preserve"> the court merely disagreed with the applicant institute that not all criteria had been taken into account and</w:t>
      </w:r>
      <w:r w:rsidRPr="0072376D" w:rsidR="00F8732B">
        <w:t xml:space="preserve"> </w:t>
      </w:r>
      <w:r w:rsidRPr="0072376D" w:rsidR="00066576">
        <w:t xml:space="preserve">again </w:t>
      </w:r>
      <w:r w:rsidRPr="0072376D" w:rsidR="009F30EC">
        <w:t>cited section 71</w:t>
      </w:r>
      <w:r w:rsidRPr="0072376D" w:rsidR="00A92FAF">
        <w:t>(2)</w:t>
      </w:r>
      <w:r w:rsidRPr="0072376D" w:rsidR="009F30EC">
        <w:t xml:space="preserve"> of the ADA.</w:t>
      </w:r>
    </w:p>
    <w:bookmarkStart w:name="para13" w:id="7"/>
    <w:p w:rsidRPr="0072376D" w:rsidR="00FD1337"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13</w:t>
      </w:r>
      <w:r w:rsidRPr="0072376D">
        <w:fldChar w:fldCharType="end"/>
      </w:r>
      <w:bookmarkEnd w:id="7"/>
      <w:r w:rsidRPr="0072376D">
        <w:t>.  </w:t>
      </w:r>
      <w:r w:rsidRPr="0072376D">
        <w:t>No reasons were given</w:t>
      </w:r>
      <w:r w:rsidRPr="0072376D" w:rsidR="00283426">
        <w:t xml:space="preserve"> </w:t>
      </w:r>
      <w:r w:rsidRPr="0072376D" w:rsidR="00A92FAF">
        <w:t>for not holding a hearing</w:t>
      </w:r>
      <w:r w:rsidRPr="0072376D" w:rsidR="00F459B7">
        <w:t>.</w:t>
      </w:r>
      <w:r w:rsidRPr="0072376D" w:rsidR="00A92FAF">
        <w:t xml:space="preserve"> </w:t>
      </w:r>
      <w:r w:rsidRPr="0072376D" w:rsidR="00F459B7">
        <w:t>N</w:t>
      </w:r>
      <w:r w:rsidRPr="0072376D" w:rsidR="00283426">
        <w:t>o</w:t>
      </w:r>
      <w:r w:rsidRPr="0072376D" w:rsidR="00A92FAF">
        <w:t>ne of the</w:t>
      </w:r>
      <w:r w:rsidRPr="0072376D" w:rsidR="00283426">
        <w:t xml:space="preserve"> evidence </w:t>
      </w:r>
      <w:r w:rsidRPr="0072376D">
        <w:t xml:space="preserve">relied on </w:t>
      </w:r>
      <w:r w:rsidRPr="0072376D" w:rsidR="00620EB9">
        <w:t xml:space="preserve">by </w:t>
      </w:r>
      <w:r w:rsidRPr="0072376D" w:rsidR="00283426">
        <w:t xml:space="preserve">the applicant institute </w:t>
      </w:r>
      <w:r w:rsidRPr="0072376D" w:rsidR="00F459B7">
        <w:t>in their appeal (see paragraph</w:t>
      </w:r>
      <w:r w:rsidRPr="0072376D" w:rsidR="00FC48DF">
        <w:t> </w:t>
      </w:r>
      <w:r w:rsidRPr="0072376D" w:rsidR="00F459B7">
        <w:fldChar w:fldCharType="begin"/>
      </w:r>
      <w:r w:rsidRPr="0072376D" w:rsidR="00F459B7">
        <w:instrText xml:space="preserve"> REF bias2 \h </w:instrText>
      </w:r>
      <w:r w:rsidRPr="0072376D" w:rsidR="0013657F">
        <w:instrText xml:space="preserve"> \* MERGEFORMAT </w:instrText>
      </w:r>
      <w:r w:rsidRPr="0072376D" w:rsidR="00F459B7">
        <w:fldChar w:fldCharType="separate"/>
      </w:r>
      <w:r w:rsidRPr="0072376D" w:rsidR="0072376D">
        <w:rPr>
          <w:noProof/>
        </w:rPr>
        <w:t>11</w:t>
      </w:r>
      <w:r w:rsidRPr="0072376D" w:rsidR="00F459B7">
        <w:fldChar w:fldCharType="end"/>
      </w:r>
      <w:r w:rsidRPr="0072376D" w:rsidR="00F459B7">
        <w:t xml:space="preserve"> above) </w:t>
      </w:r>
      <w:r w:rsidRPr="0072376D" w:rsidR="00A92FAF">
        <w:t xml:space="preserve">was </w:t>
      </w:r>
      <w:r w:rsidRPr="0072376D" w:rsidR="00283426">
        <w:t>acknowledged or referred to</w:t>
      </w:r>
      <w:r w:rsidRPr="0072376D" w:rsidR="0023024F">
        <w:t xml:space="preserve"> in the </w:t>
      </w:r>
      <w:r w:rsidRPr="0072376D" w:rsidR="00A92FAF">
        <w:t>court</w:t>
      </w:r>
      <w:r w:rsidRPr="0072376D" w:rsidR="0072376D">
        <w:t>’</w:t>
      </w:r>
      <w:r w:rsidRPr="0072376D" w:rsidR="00A92FAF">
        <w:t xml:space="preserve">s </w:t>
      </w:r>
      <w:r w:rsidRPr="0072376D" w:rsidR="0023024F">
        <w:t>reasoning</w:t>
      </w:r>
      <w:r w:rsidRPr="0072376D" w:rsidR="00283426">
        <w:t>.</w:t>
      </w:r>
    </w:p>
    <w:bookmarkStart w:name="bias3" w:id="8"/>
    <w:p w:rsidRPr="0072376D" w:rsidR="004D4768"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14</w:t>
      </w:r>
      <w:r w:rsidRPr="0072376D">
        <w:fldChar w:fldCharType="end"/>
      </w:r>
      <w:bookmarkEnd w:id="8"/>
      <w:r w:rsidRPr="0072376D">
        <w:t>.  </w:t>
      </w:r>
      <w:r w:rsidRPr="0072376D" w:rsidR="00FD1337">
        <w:t xml:space="preserve">On 31 March 2011 the applicant institute lodged an appeal on points of law. It complained that the Administrative Court had not held a hearing even though </w:t>
      </w:r>
      <w:r w:rsidRPr="0072376D" w:rsidR="00A92FAF">
        <w:t xml:space="preserve">the </w:t>
      </w:r>
      <w:r w:rsidRPr="0072376D" w:rsidR="00FD1337">
        <w:t xml:space="preserve">facts </w:t>
      </w:r>
      <w:r w:rsidRPr="0072376D" w:rsidR="002D3861">
        <w:t xml:space="preserve">of the case </w:t>
      </w:r>
      <w:r w:rsidRPr="0072376D" w:rsidR="00FD1337">
        <w:t xml:space="preserve">had been contested and the applicant institute had explicitly requested a hearing at which witnesses could be heard. It also argued that the Administrative Court had failed to address its allegations that errors had been made in the evaluation procedure, and complained that insufficient reasoning had been </w:t>
      </w:r>
      <w:r w:rsidRPr="0072376D">
        <w:t>given for the decision.</w:t>
      </w:r>
    </w:p>
    <w:p w:rsidRPr="0072376D" w:rsidR="00FD1337"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15</w:t>
      </w:r>
      <w:r w:rsidRPr="0072376D">
        <w:fldChar w:fldCharType="end"/>
      </w:r>
      <w:r w:rsidRPr="0072376D">
        <w:t>.  </w:t>
      </w:r>
      <w:r w:rsidRPr="0072376D">
        <w:t>On 1 September 2011 the Supreme Court rejected the appeal as inadmissible.</w:t>
      </w:r>
      <w:r w:rsidRPr="0072376D">
        <w:t xml:space="preserve"> No reasons were given </w:t>
      </w:r>
      <w:r w:rsidRPr="0072376D" w:rsidR="00F362EE">
        <w:t>in its</w:t>
      </w:r>
      <w:r w:rsidRPr="0072376D" w:rsidR="00A92FAF">
        <w:t xml:space="preserve"> decision </w:t>
      </w:r>
      <w:r w:rsidRPr="0072376D">
        <w:t>on the merits of the applicant institute</w:t>
      </w:r>
      <w:r w:rsidRPr="0072376D" w:rsidR="0072376D">
        <w:t>’</w:t>
      </w:r>
      <w:r w:rsidRPr="0072376D">
        <w:t>s complaints.</w:t>
      </w:r>
    </w:p>
    <w:bookmarkStart w:name="bias4" w:id="9"/>
    <w:p w:rsidRPr="0072376D" w:rsidR="00FD1337"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16</w:t>
      </w:r>
      <w:r w:rsidRPr="0072376D">
        <w:fldChar w:fldCharType="end"/>
      </w:r>
      <w:bookmarkEnd w:id="9"/>
      <w:r w:rsidRPr="0072376D">
        <w:t>.  The applicant institute then lodged a constitutional complaint, arguing</w:t>
      </w:r>
      <w:r w:rsidRPr="0072376D" w:rsidR="009828D8">
        <w:t>, among other things,</w:t>
      </w:r>
      <w:r w:rsidRPr="0072376D">
        <w:t xml:space="preserve"> that the decisions of the Ministry and the domestic court had been arbitrary and that the courts had failed to address its allegations that errors had been made in the evaluation procedure. It reiterated that the witnesses it had proposed had not been heard and that no hearing had been held.</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17</w:t>
      </w:r>
      <w:r w:rsidRPr="0072376D">
        <w:fldChar w:fldCharType="end"/>
      </w:r>
      <w:r w:rsidRPr="0072376D">
        <w:t>.  On 19 November 2012 the Constitutional Court dismissed the applicant institute</w:t>
      </w:r>
      <w:r w:rsidRPr="0072376D" w:rsidR="0072376D">
        <w:t>’</w:t>
      </w:r>
      <w:r w:rsidRPr="0072376D">
        <w:t>s complaint, finding that it did not concern an important constitutional question or entail a violation of human rights with serious consequences for the applicant institute.</w:t>
      </w:r>
    </w:p>
    <w:p w:rsidRPr="0072376D" w:rsidR="00014566" w:rsidP="0072376D">
      <w:pPr>
        <w:pStyle w:val="ECHRHeading1"/>
      </w:pPr>
      <w:r w:rsidRPr="0072376D">
        <w:t>II.</w:t>
      </w:r>
      <w:r w:rsidRPr="0072376D">
        <w:t>  RELEVANT</w:t>
      </w:r>
      <w:r w:rsidRPr="0072376D">
        <w:t xml:space="preserve"> DOMESTIC LAW</w:t>
      </w:r>
    </w:p>
    <w:bookmarkStart w:name="ADA_sec1" w:id="10"/>
    <w:p w:rsidRPr="0072376D" w:rsidR="00AF788F"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18</w:t>
      </w:r>
      <w:r w:rsidRPr="0072376D">
        <w:fldChar w:fldCharType="end"/>
      </w:r>
      <w:bookmarkEnd w:id="10"/>
      <w:r w:rsidRPr="0072376D">
        <w:t>.  </w:t>
      </w:r>
      <w:r w:rsidRPr="0072376D" w:rsidR="00066576">
        <w:t>S</w:t>
      </w:r>
      <w:r w:rsidRPr="0072376D">
        <w:t xml:space="preserve">ection 1 of the </w:t>
      </w:r>
      <w:r w:rsidRPr="0072376D" w:rsidR="00684666">
        <w:t xml:space="preserve">Administrative Disputes Act (“the </w:t>
      </w:r>
      <w:r w:rsidRPr="0072376D">
        <w:t>A</w:t>
      </w:r>
      <w:r w:rsidRPr="0072376D" w:rsidR="00853B47">
        <w:t>DA</w:t>
      </w:r>
      <w:r w:rsidRPr="0072376D" w:rsidR="00684666">
        <w:t>”)</w:t>
      </w:r>
      <w:r w:rsidRPr="0072376D" w:rsidR="00853B47">
        <w:t xml:space="preserve"> </w:t>
      </w:r>
      <w:r w:rsidRPr="0072376D">
        <w:t>reads:</w:t>
      </w:r>
    </w:p>
    <w:p w:rsidRPr="0072376D" w:rsidR="00865DFD" w:rsidP="0072376D">
      <w:pPr>
        <w:pStyle w:val="ECHRParaQuote"/>
      </w:pPr>
      <w:r w:rsidRPr="0072376D">
        <w:t>“</w:t>
      </w:r>
      <w:r w:rsidRPr="0072376D" w:rsidR="00D72173">
        <w:t>In an administrative dispute against decisions and actions of State authorities, local authorities and holders of positions of public authorit</w:t>
      </w:r>
      <w:r w:rsidRPr="0072376D" w:rsidR="00354AC8">
        <w:t>y</w:t>
      </w:r>
      <w:r w:rsidRPr="0072376D" w:rsidR="00684666">
        <w:t>, the rights and legal interests of individuals and organisations</w:t>
      </w:r>
      <w:r w:rsidRPr="0072376D" w:rsidR="00D72173">
        <w:t xml:space="preserve"> will be protected in accordance with the methods and procedures laid down in th</w:t>
      </w:r>
      <w:r w:rsidRPr="0072376D" w:rsidR="0013138A">
        <w:t>is</w:t>
      </w:r>
      <w:r w:rsidRPr="0072376D" w:rsidR="00D72173">
        <w:t xml:space="preserve"> Act, unless any other form of due process is provided for by the law for a particular matter</w:t>
      </w:r>
      <w:r w:rsidRPr="0072376D" w:rsidR="00684666">
        <w:t xml:space="preserve"> .</w:t>
      </w:r>
      <w:r w:rsidRPr="0072376D" w:rsidR="00D72173">
        <w:t>..”</w:t>
      </w:r>
    </w:p>
    <w:bookmarkStart w:name="ADA_legality" w:id="11"/>
    <w:p w:rsidRPr="0072376D" w:rsidR="00D72173"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19</w:t>
      </w:r>
      <w:r w:rsidRPr="0072376D">
        <w:fldChar w:fldCharType="end"/>
      </w:r>
      <w:bookmarkEnd w:id="11"/>
      <w:r w:rsidRPr="0072376D">
        <w:t>.  </w:t>
      </w:r>
      <w:r w:rsidRPr="0072376D" w:rsidR="00C53EB6">
        <w:t>S</w:t>
      </w:r>
      <w:r w:rsidRPr="0072376D">
        <w:t xml:space="preserve">ection 2 of the </w:t>
      </w:r>
      <w:r w:rsidRPr="0072376D" w:rsidR="000A53C0">
        <w:t>ADA</w:t>
      </w:r>
      <w:r w:rsidRPr="0072376D">
        <w:t xml:space="preserve"> reads:</w:t>
      </w:r>
    </w:p>
    <w:p w:rsidRPr="0072376D" w:rsidR="00D72173" w:rsidP="0072376D">
      <w:pPr>
        <w:pStyle w:val="ECHRParaQuote"/>
      </w:pPr>
      <w:r w:rsidRPr="0072376D">
        <w:t xml:space="preserve">“In an administrative dispute </w:t>
      </w:r>
      <w:r w:rsidRPr="0072376D" w:rsidR="001408E3">
        <w:t>t</w:t>
      </w:r>
      <w:r w:rsidRPr="0072376D">
        <w:t>he Administrative Court rules on the legality of final administrative decisions that interfere with the legal status of the c</w:t>
      </w:r>
      <w:r w:rsidRPr="0072376D" w:rsidR="00AA0E73">
        <w:t>omplainant</w:t>
      </w:r>
      <w:r w:rsidRPr="0072376D">
        <w:t xml:space="preserve"> </w:t>
      </w:r>
      <w:r w:rsidRPr="0072376D" w:rsidR="007247CD">
        <w:t>...</w:t>
      </w:r>
      <w:r w:rsidRPr="0072376D">
        <w:t>”</w:t>
      </w:r>
    </w:p>
    <w:bookmarkStart w:name="reasons_appeal_on_points_of_law" w:id="12"/>
    <w:p w:rsidRPr="0072376D" w:rsidR="0093001C"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20</w:t>
      </w:r>
      <w:r w:rsidRPr="0072376D">
        <w:fldChar w:fldCharType="end"/>
      </w:r>
      <w:bookmarkEnd w:id="12"/>
      <w:r w:rsidRPr="0072376D">
        <w:t>.  </w:t>
      </w:r>
      <w:r w:rsidRPr="0072376D">
        <w:t>S</w:t>
      </w:r>
      <w:r w:rsidRPr="0072376D" w:rsidR="00F9671B">
        <w:t xml:space="preserve">ection 83 of </w:t>
      </w:r>
      <w:r w:rsidRPr="0072376D">
        <w:t>the ADA</w:t>
      </w:r>
      <w:r w:rsidRPr="0072376D" w:rsidR="00375113">
        <w:t>,</w:t>
      </w:r>
      <w:r w:rsidRPr="0072376D">
        <w:t xml:space="preserve"> </w:t>
      </w:r>
      <w:r w:rsidRPr="0072376D" w:rsidR="00F459B7">
        <w:t>as it stood at the material time</w:t>
      </w:r>
      <w:r w:rsidRPr="0072376D" w:rsidR="00375113">
        <w:t>,</w:t>
      </w:r>
      <w:r w:rsidRPr="0072376D" w:rsidR="00F459B7">
        <w:t xml:space="preserve"> </w:t>
      </w:r>
      <w:r w:rsidRPr="0072376D">
        <w:t>read as follows:</w:t>
      </w:r>
    </w:p>
    <w:p w:rsidRPr="0072376D" w:rsidR="006C70B3" w:rsidP="0072376D">
      <w:pPr>
        <w:pStyle w:val="ECHRParaQuote"/>
      </w:pPr>
      <w:r w:rsidRPr="0072376D">
        <w:t>“</w:t>
      </w:r>
      <w:r w:rsidRPr="0072376D">
        <w:t>(1) </w:t>
      </w:r>
      <w:r w:rsidRPr="0072376D" w:rsidR="00DD4F51">
        <w:t> </w:t>
      </w:r>
      <w:r w:rsidRPr="0072376D">
        <w:t xml:space="preserve">A judgment of a first-instance court </w:t>
      </w:r>
      <w:r w:rsidRPr="0072376D" w:rsidR="00375113">
        <w:t xml:space="preserve">may </w:t>
      </w:r>
      <w:r w:rsidRPr="0072376D">
        <w:t>be challenged by an appeal on points of law, which shall be lodged</w:t>
      </w:r>
      <w:r w:rsidRPr="0072376D" w:rsidR="00D924AB">
        <w:t xml:space="preserve"> within</w:t>
      </w:r>
      <w:r w:rsidRPr="0072376D">
        <w:t xml:space="preserve"> thirty days </w:t>
      </w:r>
      <w:r w:rsidRPr="0072376D" w:rsidR="00D924AB">
        <w:t>of</w:t>
      </w:r>
      <w:r w:rsidRPr="0072376D">
        <w:t xml:space="preserve"> the service of the judgment on the party.</w:t>
      </w:r>
    </w:p>
    <w:p w:rsidRPr="0072376D" w:rsidR="006C70B3" w:rsidP="0072376D">
      <w:pPr>
        <w:pStyle w:val="ECHRParaQuote"/>
      </w:pPr>
      <w:r w:rsidRPr="0072376D">
        <w:t>(2) </w:t>
      </w:r>
      <w:r w:rsidRPr="0072376D" w:rsidR="00DD4F51">
        <w:t> </w:t>
      </w:r>
      <w:r w:rsidRPr="0072376D">
        <w:t>The appeal on points of law is admissible if:</w:t>
      </w:r>
    </w:p>
    <w:p w:rsidRPr="0072376D" w:rsidR="006C70B3" w:rsidP="0072376D">
      <w:pPr>
        <w:pStyle w:val="ECHRParaQuote"/>
      </w:pPr>
      <w:r w:rsidRPr="0072376D">
        <w:t>1. </w:t>
      </w:r>
      <w:r w:rsidRPr="0072376D" w:rsidR="00DD4F51">
        <w:t> </w:t>
      </w:r>
      <w:r w:rsidRPr="0072376D">
        <w:t>the</w:t>
      </w:r>
      <w:r w:rsidRPr="0072376D">
        <w:t xml:space="preserve"> value of the contested part of the final administrative act or final ruling, when the court took a decision on merits, in matters where the right or obligation of a party is expressed in monetary</w:t>
      </w:r>
      <w:r w:rsidRPr="0072376D" w:rsidR="00375113">
        <w:t xml:space="preserve"> terms</w:t>
      </w:r>
      <w:r w:rsidRPr="0072376D">
        <w:t>, exceeds EUR 20,000;</w:t>
      </w:r>
    </w:p>
    <w:p w:rsidRPr="0072376D" w:rsidR="006C70B3" w:rsidP="0072376D">
      <w:pPr>
        <w:pStyle w:val="ECHRParaQuote"/>
      </w:pPr>
      <w:r w:rsidRPr="0072376D">
        <w:t>2. </w:t>
      </w:r>
      <w:r w:rsidRPr="0072376D" w:rsidR="00DD4F51">
        <w:t> </w:t>
      </w:r>
      <w:r w:rsidRPr="0072376D">
        <w:t xml:space="preserve">it concerns an important legal question </w:t>
      </w:r>
      <w:r w:rsidRPr="0072376D" w:rsidR="006309EC">
        <w:t xml:space="preserve">or if the ruling of the court of first instance deviates from the case-law of the Supreme Court with regard to </w:t>
      </w:r>
      <w:r w:rsidRPr="0072376D" w:rsidR="00354AC8">
        <w:t xml:space="preserve">a </w:t>
      </w:r>
      <w:r w:rsidRPr="0072376D" w:rsidR="006309EC">
        <w:t>legal issue that is essential for the decision, or if there is no uniform position concerning this legal issue in the case-law of the court of first instance and the Supreme Court has not yet adjudicated on the matter;</w:t>
      </w:r>
    </w:p>
    <w:p w:rsidRPr="0072376D" w:rsidR="006C70B3" w:rsidP="0072376D">
      <w:pPr>
        <w:pStyle w:val="ECHRParaQuote"/>
        <w:keepNext/>
        <w:keepLines/>
      </w:pPr>
      <w:r w:rsidRPr="0072376D">
        <w:t>3. </w:t>
      </w:r>
      <w:r w:rsidRPr="0072376D" w:rsidR="00DD4F51">
        <w:t> </w:t>
      </w:r>
      <w:r w:rsidRPr="0072376D">
        <w:t>the</w:t>
      </w:r>
      <w:r w:rsidRPr="0072376D">
        <w:t xml:space="preserve"> impugned decision has serious consequences for the party;</w:t>
      </w:r>
    </w:p>
    <w:p w:rsidRPr="0072376D" w:rsidR="0093001C" w:rsidP="0072376D">
      <w:pPr>
        <w:pStyle w:val="ECHRParaQuote"/>
        <w:keepNext/>
        <w:keepLines/>
      </w:pPr>
      <w:r w:rsidRPr="0072376D">
        <w:t>...</w:t>
      </w:r>
      <w:r w:rsidRPr="0072376D" w:rsidR="006C70B3">
        <w:t>”</w:t>
      </w:r>
    </w:p>
    <w:p w:rsidRPr="0072376D" w:rsidR="004E0C08" w:rsidP="0072376D">
      <w:pPr>
        <w:pStyle w:val="ECHRPara"/>
      </w:pPr>
      <w:r w:rsidRPr="0072376D">
        <w:t>S</w:t>
      </w:r>
      <w:r w:rsidRPr="0072376D" w:rsidR="00845B9F">
        <w:t xml:space="preserve">ection 85 of the ADA </w:t>
      </w:r>
      <w:r w:rsidRPr="0072376D">
        <w:t>reads:</w:t>
      </w:r>
    </w:p>
    <w:p w:rsidRPr="0072376D" w:rsidR="00625DB3" w:rsidP="0072376D">
      <w:pPr>
        <w:pStyle w:val="ECHRParaQuote"/>
      </w:pPr>
      <w:r w:rsidRPr="0072376D">
        <w:t>“(1) </w:t>
      </w:r>
      <w:r w:rsidRPr="0072376D">
        <w:t>A</w:t>
      </w:r>
      <w:r w:rsidRPr="0072376D" w:rsidR="00845B9F">
        <w:t>n</w:t>
      </w:r>
      <w:r w:rsidRPr="0072376D" w:rsidR="00845B9F">
        <w:t xml:space="preserve"> appeal on points of law can be lodged</w:t>
      </w:r>
      <w:r w:rsidRPr="0072376D">
        <w:t>:</w:t>
      </w:r>
    </w:p>
    <w:p w:rsidRPr="0072376D" w:rsidR="00625DB3" w:rsidP="0072376D">
      <w:pPr>
        <w:pStyle w:val="ECHRParaQuote"/>
      </w:pPr>
      <w:r w:rsidRPr="0072376D">
        <w:t>1. </w:t>
      </w:r>
      <w:r w:rsidRPr="0072376D" w:rsidR="00DD4F51">
        <w:t> </w:t>
      </w:r>
      <w:r w:rsidRPr="0072376D" w:rsidR="00B74A97">
        <w:t xml:space="preserve">on account </w:t>
      </w:r>
      <w:r w:rsidRPr="0072376D" w:rsidR="00845B9F">
        <w:t xml:space="preserve">of </w:t>
      </w:r>
      <w:r w:rsidRPr="0072376D" w:rsidR="0025665B">
        <w:t xml:space="preserve">a </w:t>
      </w:r>
      <w:r w:rsidRPr="0072376D" w:rsidR="00845B9F">
        <w:t xml:space="preserve">significant violation of the administrative dispute procedure </w:t>
      </w:r>
      <w:r w:rsidRPr="0072376D">
        <w:t xml:space="preserve">as described in subsections </w:t>
      </w:r>
      <w:r w:rsidRPr="0072376D" w:rsidR="00375113">
        <w:t>(2)</w:t>
      </w:r>
      <w:r w:rsidRPr="0072376D">
        <w:t xml:space="preserve"> and </w:t>
      </w:r>
      <w:r w:rsidRPr="0072376D" w:rsidR="00375113">
        <w:t>(3)</w:t>
      </w:r>
      <w:r w:rsidRPr="0072376D">
        <w:t xml:space="preserve"> of section 75 of this Act;</w:t>
      </w:r>
    </w:p>
    <w:p w:rsidRPr="0072376D" w:rsidR="00625DB3" w:rsidP="0072376D">
      <w:pPr>
        <w:pStyle w:val="ECHRParaQuote"/>
      </w:pPr>
      <w:r w:rsidRPr="0072376D">
        <w:t>2. </w:t>
      </w:r>
      <w:r w:rsidRPr="0072376D" w:rsidR="00DD4F51">
        <w:t> </w:t>
      </w:r>
      <w:r w:rsidRPr="0072376D">
        <w:t xml:space="preserve">on account of </w:t>
      </w:r>
      <w:r w:rsidRPr="0072376D" w:rsidR="00845B9F">
        <w:t xml:space="preserve">errors in </w:t>
      </w:r>
      <w:r w:rsidRPr="0072376D" w:rsidR="0025665B">
        <w:t>substanti</w:t>
      </w:r>
      <w:r w:rsidRPr="0072376D" w:rsidR="00542933">
        <w:t>ve</w:t>
      </w:r>
      <w:r w:rsidRPr="0072376D" w:rsidR="00845B9F">
        <w:t xml:space="preserve"> law.</w:t>
      </w:r>
    </w:p>
    <w:p w:rsidRPr="0072376D" w:rsidR="00F9671B" w:rsidP="0072376D">
      <w:pPr>
        <w:pStyle w:val="ECHRParaQuote"/>
      </w:pPr>
      <w:r w:rsidRPr="0072376D">
        <w:t>(2) </w:t>
      </w:r>
      <w:r w:rsidRPr="0072376D" w:rsidR="00845B9F">
        <w:t xml:space="preserve">An appeal on points of law cannot be lodged </w:t>
      </w:r>
      <w:r w:rsidRPr="0072376D" w:rsidR="00B74A97">
        <w:t>on account of</w:t>
      </w:r>
      <w:r w:rsidRPr="0072376D" w:rsidR="00845B9F">
        <w:t xml:space="preserve"> erroneous or incomplete establishment of the facts of the case.</w:t>
      </w:r>
    </w:p>
    <w:p w:rsidRPr="0072376D" w:rsidR="00625DB3" w:rsidP="0072376D">
      <w:pPr>
        <w:pStyle w:val="ECHRParaQuote"/>
      </w:pPr>
      <w:r w:rsidRPr="0072376D">
        <w:t>...</w:t>
      </w:r>
      <w:r w:rsidRPr="0072376D">
        <w:t>”</w:t>
      </w:r>
    </w:p>
    <w:bookmarkStart w:name="ADA_facts" w:id="13"/>
    <w:p w:rsidRPr="0072376D" w:rsidR="00AA0E73"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21</w:t>
      </w:r>
      <w:r w:rsidRPr="0072376D">
        <w:fldChar w:fldCharType="end"/>
      </w:r>
      <w:bookmarkEnd w:id="13"/>
      <w:r w:rsidRPr="0072376D">
        <w:t>.  </w:t>
      </w:r>
      <w:r w:rsidRPr="0072376D">
        <w:t>S</w:t>
      </w:r>
      <w:r w:rsidRPr="0072376D" w:rsidR="00F9671B">
        <w:t>ection 20 of the ADA</w:t>
      </w:r>
      <w:r w:rsidRPr="0072376D">
        <w:t xml:space="preserve"> reads:</w:t>
      </w:r>
    </w:p>
    <w:p w:rsidRPr="0072376D" w:rsidR="00AA0E73" w:rsidP="0072376D">
      <w:pPr>
        <w:pStyle w:val="ECHRParaQuote"/>
      </w:pPr>
      <w:r w:rsidRPr="0072376D">
        <w:t xml:space="preserve">“(1) The Administrative Court </w:t>
      </w:r>
      <w:r w:rsidRPr="0072376D" w:rsidR="00354AC8">
        <w:t xml:space="preserve">assesses </w:t>
      </w:r>
      <w:r w:rsidRPr="0072376D">
        <w:t xml:space="preserve">or </w:t>
      </w:r>
      <w:r w:rsidRPr="0072376D" w:rsidR="00354AC8">
        <w:t xml:space="preserve">examines </w:t>
      </w:r>
      <w:r w:rsidRPr="0072376D">
        <w:t>the facts within the limit</w:t>
      </w:r>
      <w:r w:rsidRPr="0072376D" w:rsidR="00D3789C">
        <w:t>s</w:t>
      </w:r>
      <w:r w:rsidRPr="0072376D">
        <w:t xml:space="preserve"> of the complainant</w:t>
      </w:r>
      <w:r w:rsidRPr="0072376D" w:rsidR="0072376D">
        <w:t>’</w:t>
      </w:r>
      <w:r w:rsidRPr="0072376D">
        <w:t>s submissions.</w:t>
      </w:r>
    </w:p>
    <w:p w:rsidRPr="0072376D" w:rsidR="00AA0E73" w:rsidP="0072376D">
      <w:pPr>
        <w:pStyle w:val="ECHRParaQuote"/>
      </w:pPr>
      <w:r w:rsidRPr="0072376D">
        <w:t xml:space="preserve">(2) The Administrative Court is not bound by the evidence adduced by the parties to the proceedings and may examine all evidence in so far as </w:t>
      </w:r>
      <w:r w:rsidRPr="0072376D" w:rsidR="00D3789C">
        <w:t>it is</w:t>
      </w:r>
      <w:r w:rsidRPr="0072376D">
        <w:t xml:space="preserve"> relevant for clarification of the matter and may contribute to </w:t>
      </w:r>
      <w:r w:rsidRPr="0072376D" w:rsidR="00D3789C">
        <w:t xml:space="preserve">the establishment of </w:t>
      </w:r>
      <w:r w:rsidRPr="0072376D">
        <w:t>a legal and correct decision.</w:t>
      </w:r>
    </w:p>
    <w:p w:rsidRPr="0072376D" w:rsidR="00AA0E73" w:rsidP="0072376D">
      <w:pPr>
        <w:pStyle w:val="ECHRParaQuote"/>
      </w:pPr>
      <w:r w:rsidRPr="0072376D">
        <w:t>...</w:t>
      </w:r>
      <w:r w:rsidRPr="0072376D">
        <w:t>”</w:t>
      </w:r>
    </w:p>
    <w:bookmarkStart w:name="ADA_hearing" w:id="14"/>
    <w:p w:rsidRPr="0072376D" w:rsidR="00716DEF"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22</w:t>
      </w:r>
      <w:r w:rsidRPr="0072376D">
        <w:fldChar w:fldCharType="end"/>
      </w:r>
      <w:bookmarkEnd w:id="14"/>
      <w:r w:rsidRPr="0072376D">
        <w:t>.  </w:t>
      </w:r>
      <w:r w:rsidRPr="0072376D">
        <w:t>S</w:t>
      </w:r>
      <w:r w:rsidRPr="0072376D" w:rsidR="007A449B">
        <w:t>ection 59 of the A</w:t>
      </w:r>
      <w:r w:rsidRPr="0072376D" w:rsidR="00EB2A1D">
        <w:t>DA</w:t>
      </w:r>
      <w:r w:rsidRPr="0072376D" w:rsidR="007A449B">
        <w:t xml:space="preserve"> </w:t>
      </w:r>
      <w:r w:rsidRPr="0072376D">
        <w:t>reads:</w:t>
      </w:r>
    </w:p>
    <w:p w:rsidRPr="0072376D" w:rsidR="00716DEF" w:rsidP="0072376D">
      <w:pPr>
        <w:pStyle w:val="ECHRParaQuote"/>
      </w:pPr>
      <w:r w:rsidRPr="0072376D">
        <w:t>“(1)</w:t>
      </w:r>
      <w:r w:rsidRPr="0072376D" w:rsidR="00DD4F51">
        <w:t> </w:t>
      </w:r>
      <w:r w:rsidRPr="0072376D">
        <w:t> The</w:t>
      </w:r>
      <w:r w:rsidRPr="0072376D">
        <w:t xml:space="preserve"> Administrative Court may issue a decision without holding a hearing if the facts on which </w:t>
      </w:r>
      <w:r w:rsidRPr="0072376D" w:rsidR="00D3789C">
        <w:t>the</w:t>
      </w:r>
      <w:r w:rsidRPr="0072376D">
        <w:t xml:space="preserve"> administrative decision </w:t>
      </w:r>
      <w:r w:rsidRPr="0072376D" w:rsidR="00354AC8">
        <w:t xml:space="preserve">is </w:t>
      </w:r>
      <w:r w:rsidRPr="0072376D">
        <w:t>based are uncontested.</w:t>
      </w:r>
    </w:p>
    <w:p w:rsidRPr="0072376D" w:rsidR="00716DEF" w:rsidP="0072376D">
      <w:pPr>
        <w:pStyle w:val="ECHRParaQuote"/>
      </w:pPr>
      <w:r w:rsidRPr="0072376D">
        <w:t>(2) </w:t>
      </w:r>
      <w:r w:rsidRPr="0072376D" w:rsidR="00DD4F51">
        <w:t> </w:t>
      </w:r>
      <w:r w:rsidRPr="0072376D">
        <w:t xml:space="preserve">Regardless of the provision </w:t>
      </w:r>
      <w:r w:rsidRPr="0072376D" w:rsidR="00D3789C">
        <w:t xml:space="preserve">in </w:t>
      </w:r>
      <w:r w:rsidRPr="0072376D">
        <w:t xml:space="preserve">subsection </w:t>
      </w:r>
      <w:r w:rsidRPr="0072376D" w:rsidR="00D3789C">
        <w:t xml:space="preserve">(1) above, </w:t>
      </w:r>
      <w:r w:rsidRPr="0072376D" w:rsidR="00D924AB">
        <w:t>the court</w:t>
      </w:r>
      <w:r w:rsidRPr="0072376D" w:rsidR="002740B8">
        <w:t xml:space="preserve"> </w:t>
      </w:r>
      <w:r w:rsidRPr="0072376D" w:rsidR="00D3789C">
        <w:t xml:space="preserve">may </w:t>
      </w:r>
      <w:r w:rsidRPr="0072376D" w:rsidR="002740B8">
        <w:t>also decide without holding a hearing in the following circumstances:</w:t>
      </w:r>
    </w:p>
    <w:p w:rsidRPr="0072376D" w:rsidR="007247CD" w:rsidP="0072376D">
      <w:pPr>
        <w:pStyle w:val="ECHRParaQuote"/>
      </w:pPr>
      <w:r w:rsidRPr="0072376D">
        <w:t>- </w:t>
      </w:r>
      <w:r w:rsidRPr="0072376D">
        <w:t>if</w:t>
      </w:r>
      <w:r w:rsidRPr="0072376D">
        <w:t xml:space="preserve">, on the basis of the action, the impugned legal act and </w:t>
      </w:r>
      <w:r w:rsidRPr="0072376D" w:rsidR="00D3789C">
        <w:t xml:space="preserve">the </w:t>
      </w:r>
      <w:r w:rsidRPr="0072376D">
        <w:t>administrative case</w:t>
      </w:r>
      <w:r w:rsidRPr="0072376D" w:rsidR="00D3789C">
        <w:t xml:space="preserve"> </w:t>
      </w:r>
      <w:r w:rsidRPr="0072376D">
        <w:t>files</w:t>
      </w:r>
      <w:r w:rsidRPr="0072376D" w:rsidR="00D3789C">
        <w:t>,</w:t>
      </w:r>
      <w:r w:rsidRPr="0072376D">
        <w:t xml:space="preserve"> it is apparent that it is necessary to grant the complainant</w:t>
      </w:r>
      <w:r w:rsidRPr="0072376D" w:rsidR="0072376D">
        <w:t>’</w:t>
      </w:r>
      <w:r w:rsidRPr="0072376D">
        <w:t>s request;</w:t>
      </w:r>
    </w:p>
    <w:p w:rsidRPr="0072376D" w:rsidR="007247CD" w:rsidP="0072376D">
      <w:pPr>
        <w:pStyle w:val="ECHRParaQuote"/>
      </w:pPr>
      <w:r w:rsidRPr="0072376D">
        <w:t>- if the facts are contested by the parties, but new facts and evidence submitted by the parties in their action before the Administrative Court are inadmissible (in accordance with section 52 of the A</w:t>
      </w:r>
      <w:r w:rsidRPr="0072376D" w:rsidR="00E50362">
        <w:t>DA</w:t>
      </w:r>
      <w:r w:rsidRPr="0072376D">
        <w:t>) or not relevant for the decision;</w:t>
      </w:r>
    </w:p>
    <w:p w:rsidRPr="0072376D" w:rsidR="00E50362" w:rsidP="0072376D">
      <w:pPr>
        <w:pStyle w:val="ECHRParaQuote"/>
      </w:pPr>
      <w:r w:rsidRPr="0072376D">
        <w:t>- </w:t>
      </w:r>
      <w:r w:rsidRPr="0072376D">
        <w:t>if</w:t>
      </w:r>
      <w:r w:rsidRPr="0072376D">
        <w:t xml:space="preserve"> the court has already decided on a dispute between the same parties on the same factual and legal basis.</w:t>
      </w:r>
    </w:p>
    <w:p w:rsidRPr="0072376D" w:rsidR="00E50362" w:rsidP="0072376D">
      <w:pPr>
        <w:pStyle w:val="ECHRParaQuote"/>
      </w:pPr>
      <w:r w:rsidRPr="0072376D">
        <w:t xml:space="preserve">(3) Regardless of subsection </w:t>
      </w:r>
      <w:r w:rsidRPr="0072376D" w:rsidR="00D3789C">
        <w:t>(</w:t>
      </w:r>
      <w:r w:rsidRPr="0072376D">
        <w:t>1</w:t>
      </w:r>
      <w:r w:rsidRPr="0072376D" w:rsidR="00D3789C">
        <w:t>),</w:t>
      </w:r>
      <w:r w:rsidRPr="0072376D">
        <w:t xml:space="preserve"> the court </w:t>
      </w:r>
      <w:r w:rsidRPr="0072376D" w:rsidR="00D3789C">
        <w:t xml:space="preserve">shall </w:t>
      </w:r>
      <w:r w:rsidRPr="0072376D" w:rsidR="00AD4F63">
        <w:t>decide</w:t>
      </w:r>
      <w:r w:rsidRPr="0072376D" w:rsidR="00D3789C">
        <w:t xml:space="preserve"> </w:t>
      </w:r>
      <w:r w:rsidRPr="0072376D">
        <w:t>at a hearing if:</w:t>
      </w:r>
    </w:p>
    <w:p w:rsidRPr="0072376D" w:rsidR="00E50362" w:rsidP="0072376D">
      <w:pPr>
        <w:pStyle w:val="ECHRParaQuote"/>
      </w:pPr>
      <w:r w:rsidRPr="0072376D">
        <w:t>- </w:t>
      </w:r>
      <w:r w:rsidRPr="0072376D" w:rsidR="00D3789C">
        <w:t xml:space="preserve">[it concerns] </w:t>
      </w:r>
      <w:r w:rsidRPr="0072376D">
        <w:t>a person who should have participated in the administrative proceedings as party or a third party</w:t>
      </w:r>
      <w:r w:rsidRPr="0072376D" w:rsidR="00F62B9F">
        <w:t xml:space="preserve"> and it is not a case </w:t>
      </w:r>
      <w:r w:rsidRPr="0072376D" w:rsidR="00D3789C">
        <w:t xml:space="preserve">provided for in </w:t>
      </w:r>
      <w:r w:rsidRPr="0072376D" w:rsidR="00F62B9F">
        <w:t xml:space="preserve">subsection </w:t>
      </w:r>
      <w:r w:rsidRPr="0072376D" w:rsidR="00D3789C">
        <w:t>(</w:t>
      </w:r>
      <w:r w:rsidRPr="0072376D" w:rsidR="00F62B9F">
        <w:t>2</w:t>
      </w:r>
      <w:r w:rsidRPr="0072376D" w:rsidR="00D3789C">
        <w:t>)</w:t>
      </w:r>
      <w:r w:rsidRPr="0072376D" w:rsidR="00F62B9F">
        <w:t xml:space="preserve"> of section 229 of the Administrative Procedure Act or </w:t>
      </w:r>
      <w:r w:rsidRPr="0072376D" w:rsidR="00D3789C">
        <w:t xml:space="preserve">a </w:t>
      </w:r>
      <w:r w:rsidRPr="0072376D" w:rsidR="00F62B9F">
        <w:t xml:space="preserve">substantially identical provision of another </w:t>
      </w:r>
      <w:r w:rsidRPr="0072376D" w:rsidR="00D3789C">
        <w:t xml:space="preserve">statute governing </w:t>
      </w:r>
      <w:r w:rsidRPr="0072376D" w:rsidR="00F62B9F">
        <w:t>the procedure of issuing the administrative act;</w:t>
      </w:r>
    </w:p>
    <w:p w:rsidRPr="0072376D" w:rsidR="00F62B9F" w:rsidP="0072376D">
      <w:pPr>
        <w:pStyle w:val="ECHRParaQuote"/>
      </w:pPr>
      <w:r w:rsidRPr="0072376D">
        <w:t>- </w:t>
      </w:r>
      <w:r w:rsidRPr="0072376D">
        <w:t>in</w:t>
      </w:r>
      <w:r w:rsidRPr="0072376D">
        <w:t xml:space="preserve"> the administrative proceedings a party was not able to make a statement on the facts relevant for the contested decision.</w:t>
      </w:r>
    </w:p>
    <w:p w:rsidRPr="0072376D" w:rsidR="00F62B9F" w:rsidP="0072376D">
      <w:pPr>
        <w:pStyle w:val="ECHRParaQuote"/>
      </w:pPr>
      <w:r w:rsidRPr="0072376D">
        <w:t>...</w:t>
      </w:r>
      <w:r w:rsidRPr="0072376D">
        <w:t>”</w:t>
      </w:r>
    </w:p>
    <w:bookmarkStart w:name="ADA_71_2" w:id="15"/>
    <w:p w:rsidRPr="0072376D" w:rsidR="00F62B9F" w:rsidP="0072376D">
      <w:pPr>
        <w:pStyle w:val="ECHRPara"/>
        <w:keepNext/>
        <w:keepLines/>
      </w:pPr>
      <w:r w:rsidRPr="0072376D">
        <w:fldChar w:fldCharType="begin"/>
      </w:r>
      <w:r w:rsidRPr="0072376D">
        <w:instrText xml:space="preserve"> SEQ level0 \*arabic </w:instrText>
      </w:r>
      <w:r w:rsidRPr="0072376D">
        <w:fldChar w:fldCharType="separate"/>
      </w:r>
      <w:r w:rsidRPr="0072376D" w:rsidR="0072376D">
        <w:rPr>
          <w:noProof/>
        </w:rPr>
        <w:t>23</w:t>
      </w:r>
      <w:r w:rsidRPr="0072376D">
        <w:fldChar w:fldCharType="end"/>
      </w:r>
      <w:bookmarkEnd w:id="15"/>
      <w:r w:rsidRPr="0072376D">
        <w:t>.  </w:t>
      </w:r>
      <w:r w:rsidRPr="0072376D" w:rsidR="00FB6081">
        <w:t>S</w:t>
      </w:r>
      <w:r w:rsidRPr="0072376D">
        <w:t>ection 71</w:t>
      </w:r>
      <w:r w:rsidRPr="0072376D">
        <w:t xml:space="preserve"> </w:t>
      </w:r>
      <w:r w:rsidRPr="0072376D">
        <w:t xml:space="preserve">of the ADA </w:t>
      </w:r>
      <w:r w:rsidRPr="0072376D">
        <w:t>reads:</w:t>
      </w:r>
    </w:p>
    <w:p w:rsidRPr="0072376D" w:rsidR="00F62B9F" w:rsidP="0072376D">
      <w:pPr>
        <w:pStyle w:val="ECHRParaQuote"/>
        <w:keepNext/>
        <w:keepLines/>
      </w:pPr>
      <w:r w:rsidRPr="0072376D">
        <w:t>“</w:t>
      </w:r>
      <w:r w:rsidRPr="0072376D" w:rsidR="007247CD">
        <w:t>...</w:t>
      </w:r>
    </w:p>
    <w:p w:rsidRPr="0072376D" w:rsidR="00F62B9F" w:rsidP="0072376D">
      <w:pPr>
        <w:pStyle w:val="ECHRParaQuote"/>
        <w:keepNext/>
        <w:keepLines/>
      </w:pPr>
      <w:r w:rsidRPr="0072376D">
        <w:t>(2) The Administrative Court does not have to give reasons for a decision if it agrees with the reasoning of the contested administrative decision and finds so in its own judgment.</w:t>
      </w:r>
    </w:p>
    <w:p w:rsidRPr="0072376D" w:rsidR="00F62B9F" w:rsidP="0072376D">
      <w:pPr>
        <w:pStyle w:val="ECHRParaQuote"/>
        <w:keepNext/>
        <w:keepLines/>
      </w:pPr>
      <w:r w:rsidRPr="0072376D">
        <w:t>...</w:t>
      </w:r>
      <w:r w:rsidRPr="0072376D">
        <w:t>”</w:t>
      </w:r>
    </w:p>
    <w:bookmarkStart w:name="CC_jurisdiction" w:id="16"/>
    <w:p w:rsidRPr="0072376D" w:rsidR="00845B9F"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24</w:t>
      </w:r>
      <w:r w:rsidRPr="0072376D">
        <w:fldChar w:fldCharType="end"/>
      </w:r>
      <w:bookmarkEnd w:id="16"/>
      <w:r w:rsidRPr="0072376D">
        <w:t>.  </w:t>
      </w:r>
      <w:r w:rsidRPr="0072376D" w:rsidR="004D329B">
        <w:t>S</w:t>
      </w:r>
      <w:r w:rsidRPr="0072376D" w:rsidR="00FC6E7A">
        <w:t xml:space="preserve">ection </w:t>
      </w:r>
      <w:r w:rsidRPr="0072376D" w:rsidR="00FC6E7A">
        <w:t>55b(</w:t>
      </w:r>
      <w:r w:rsidRPr="0072376D" w:rsidR="00FC6E7A">
        <w:t>2) of the Constitutional Court Act</w:t>
      </w:r>
      <w:r w:rsidRPr="0072376D" w:rsidR="004D329B">
        <w:t xml:space="preserve"> reads as follows:</w:t>
      </w:r>
    </w:p>
    <w:p w:rsidRPr="0072376D" w:rsidR="002D3BAA" w:rsidP="0072376D">
      <w:pPr>
        <w:pStyle w:val="ECHRParaQuote"/>
      </w:pPr>
      <w:r w:rsidRPr="0072376D">
        <w:t>“(2) A constitutional complaint shall be accepted for consideration:</w:t>
      </w:r>
    </w:p>
    <w:p w:rsidRPr="0072376D" w:rsidR="002D3BAA" w:rsidP="0072376D">
      <w:pPr>
        <w:pStyle w:val="ECHRParaQuote"/>
      </w:pPr>
      <w:r w:rsidRPr="0072376D">
        <w:t xml:space="preserve">- </w:t>
      </w:r>
      <w:r w:rsidRPr="0072376D">
        <w:t>if</w:t>
      </w:r>
      <w:r w:rsidRPr="0072376D">
        <w:t xml:space="preserve"> there is a violation of human rights or fundamental freedoms which has serious consequences for the complainant;</w:t>
      </w:r>
    </w:p>
    <w:p w:rsidRPr="0072376D" w:rsidR="002D3BAA" w:rsidP="0072376D">
      <w:pPr>
        <w:pStyle w:val="ECHRParaQuote"/>
      </w:pPr>
      <w:r w:rsidRPr="0072376D">
        <w:t>or</w:t>
      </w:r>
    </w:p>
    <w:p w:rsidRPr="0072376D" w:rsidR="004D329B" w:rsidP="0072376D">
      <w:pPr>
        <w:pStyle w:val="ECHRParaQuote"/>
      </w:pPr>
      <w:r w:rsidRPr="0072376D">
        <w:t xml:space="preserve">- if it concerns a constitutional question </w:t>
      </w:r>
      <w:r w:rsidRPr="0072376D" w:rsidR="00354AC8">
        <w:t xml:space="preserve">the importance of </w:t>
      </w:r>
      <w:r w:rsidRPr="0072376D">
        <w:t xml:space="preserve">which exceeds </w:t>
      </w:r>
      <w:r w:rsidRPr="0072376D" w:rsidR="00354AC8">
        <w:t xml:space="preserve">that </w:t>
      </w:r>
      <w:r w:rsidRPr="0072376D">
        <w:t>of the particular case in issue.”</w:t>
      </w:r>
    </w:p>
    <w:p w:rsidRPr="0072376D" w:rsidR="00014566" w:rsidP="0072376D">
      <w:pPr>
        <w:pStyle w:val="ECHRTitle1"/>
      </w:pPr>
      <w:r w:rsidRPr="0072376D">
        <w:t>THE LAW</w:t>
      </w:r>
    </w:p>
    <w:p w:rsidRPr="0072376D" w:rsidR="00014566" w:rsidP="0072376D">
      <w:pPr>
        <w:pStyle w:val="ECHRHeading1"/>
      </w:pPr>
      <w:r w:rsidRPr="0072376D">
        <w:t xml:space="preserve">I.  ALLEGED VIOLATION OF ARTICLE </w:t>
      </w:r>
      <w:r w:rsidRPr="0072376D" w:rsidR="00872192">
        <w:t xml:space="preserve">6 § 1 </w:t>
      </w:r>
      <w:r w:rsidRPr="0072376D">
        <w:t>OF THE CONVENTION</w:t>
      </w:r>
    </w:p>
    <w:p w:rsidRPr="0072376D" w:rsidR="002D3861"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25</w:t>
      </w:r>
      <w:r w:rsidRPr="0072376D">
        <w:fldChar w:fldCharType="end"/>
      </w:r>
      <w:r w:rsidRPr="0072376D" w:rsidR="00014566">
        <w:t xml:space="preserve">.  The applicant </w:t>
      </w:r>
      <w:r w:rsidRPr="0072376D" w:rsidR="005368C5">
        <w:t xml:space="preserve">institute </w:t>
      </w:r>
      <w:r w:rsidRPr="0072376D" w:rsidR="00014566">
        <w:t xml:space="preserve">complained </w:t>
      </w:r>
      <w:r w:rsidRPr="0072376D" w:rsidR="005368C5">
        <w:t xml:space="preserve">under Article 6 § 1 of the Convention that its right to a fair trial had been infringed on account of </w:t>
      </w:r>
      <w:r w:rsidRPr="0072376D" w:rsidR="00F82203">
        <w:t xml:space="preserve">the absence of an oral hearing before the Administrative Court and </w:t>
      </w:r>
      <w:r w:rsidRPr="0072376D" w:rsidR="005368C5">
        <w:t xml:space="preserve">the </w:t>
      </w:r>
      <w:r w:rsidRPr="0072376D" w:rsidR="00DB7FA1">
        <w:t xml:space="preserve">lack </w:t>
      </w:r>
      <w:r w:rsidRPr="0072376D" w:rsidR="005368C5">
        <w:t xml:space="preserve">of reasoning </w:t>
      </w:r>
      <w:r w:rsidRPr="0072376D" w:rsidR="00F01D2B">
        <w:t>in</w:t>
      </w:r>
      <w:r w:rsidRPr="0072376D" w:rsidR="00F82203">
        <w:t xml:space="preserve"> that court</w:t>
      </w:r>
      <w:r w:rsidRPr="0072376D" w:rsidR="0072376D">
        <w:t>’</w:t>
      </w:r>
      <w:r w:rsidRPr="0072376D" w:rsidR="00F01D2B">
        <w:t>s decision</w:t>
      </w:r>
      <w:r w:rsidRPr="0072376D" w:rsidR="005368C5">
        <w:t>.</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26</w:t>
      </w:r>
      <w:r w:rsidRPr="0072376D">
        <w:fldChar w:fldCharType="end"/>
      </w:r>
      <w:r w:rsidRPr="0072376D">
        <w:t>.  </w:t>
      </w:r>
      <w:r w:rsidRPr="0072376D" w:rsidR="004B18A7">
        <w:t xml:space="preserve">In so far as relevant, </w:t>
      </w:r>
      <w:r w:rsidRPr="0072376D">
        <w:t xml:space="preserve">Article </w:t>
      </w:r>
      <w:r w:rsidRPr="0072376D" w:rsidR="005368C5">
        <w:t>6 § 1</w:t>
      </w:r>
      <w:r w:rsidRPr="0072376D">
        <w:t xml:space="preserve"> of the Convention</w:t>
      </w:r>
      <w:r w:rsidRPr="0072376D" w:rsidR="00283426">
        <w:t xml:space="preserve"> </w:t>
      </w:r>
      <w:r w:rsidRPr="0072376D">
        <w:t>reads as follows:</w:t>
      </w:r>
    </w:p>
    <w:p w:rsidRPr="0072376D" w:rsidR="00014566" w:rsidP="0072376D">
      <w:pPr>
        <w:pStyle w:val="ECHRParaQuote"/>
      </w:pPr>
      <w:r w:rsidRPr="0072376D">
        <w:t>“In the determination of his civil rights and obligations ... everyone is entitled to a fair ... hearing ... by [a] ... tribunal ...”</w:t>
      </w:r>
    </w:p>
    <w:p w:rsidRPr="0072376D" w:rsidR="00014566" w:rsidP="0072376D">
      <w:pPr>
        <w:pStyle w:val="ECHRHeading2"/>
      </w:pPr>
      <w:r w:rsidRPr="0072376D">
        <w:t>A.  Admissibility</w:t>
      </w:r>
    </w:p>
    <w:p w:rsidRPr="0072376D" w:rsidR="00090D13"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27</w:t>
      </w:r>
      <w:r w:rsidRPr="0072376D">
        <w:fldChar w:fldCharType="end"/>
      </w:r>
      <w:r w:rsidRPr="0072376D">
        <w:t xml:space="preserve">.  The Court notes that no plea of inadmissibility for incompatibility </w:t>
      </w:r>
      <w:r w:rsidRPr="0072376D">
        <w:rPr>
          <w:i/>
        </w:rPr>
        <w:t>ratione</w:t>
      </w:r>
      <w:r w:rsidRPr="0072376D">
        <w:rPr>
          <w:i/>
        </w:rPr>
        <w:t xml:space="preserve"> </w:t>
      </w:r>
      <w:r w:rsidRPr="0072376D">
        <w:rPr>
          <w:i/>
        </w:rPr>
        <w:t>materiae</w:t>
      </w:r>
      <w:r w:rsidRPr="0072376D">
        <w:t xml:space="preserve"> with the provisions of Article 6 § 1 of the Convention was made by the Government in their observations. However, since this is a matter which goes to the Court</w:t>
      </w:r>
      <w:r w:rsidRPr="0072376D" w:rsidR="0072376D">
        <w:t>’</w:t>
      </w:r>
      <w:r w:rsidRPr="0072376D">
        <w:t xml:space="preserve">s jurisdiction, the Court may examine it of its own motion (see </w:t>
      </w:r>
      <w:r w:rsidRPr="0072376D">
        <w:rPr>
          <w:i/>
        </w:rPr>
        <w:t>Blečić</w:t>
      </w:r>
      <w:r w:rsidRPr="0072376D">
        <w:rPr>
          <w:i/>
        </w:rPr>
        <w:t xml:space="preserve"> v. Croatia</w:t>
      </w:r>
      <w:r w:rsidRPr="0072376D" w:rsidR="0029218B">
        <w:t xml:space="preserve"> [GC], no. 59532/00, § 67, ECHR </w:t>
      </w:r>
      <w:r w:rsidRPr="0072376D">
        <w:t>2006 III).</w:t>
      </w:r>
    </w:p>
    <w:p w:rsidRPr="0072376D" w:rsidR="00090D13"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28</w:t>
      </w:r>
      <w:r w:rsidRPr="0072376D">
        <w:fldChar w:fldCharType="end"/>
      </w:r>
      <w:r w:rsidRPr="0072376D">
        <w:t xml:space="preserve">.  In this connection, the Court notes that the applicant institute submitted a tender for research following a call for tenders made by the Government (see paragraph </w:t>
      </w:r>
      <w:r w:rsidRPr="0072376D">
        <w:fldChar w:fldCharType="begin"/>
      </w:r>
      <w:r w:rsidRPr="0072376D">
        <w:instrText xml:space="preserve"> REF call_for_tenders \h </w:instrText>
      </w:r>
      <w:r w:rsidRPr="0072376D">
        <w:fldChar w:fldCharType="separate"/>
      </w:r>
      <w:r w:rsidRPr="0072376D" w:rsidR="0072376D">
        <w:rPr>
          <w:noProof/>
        </w:rPr>
        <w:t>6</w:t>
      </w:r>
      <w:r w:rsidRPr="0072376D">
        <w:fldChar w:fldCharType="end"/>
      </w:r>
      <w:r w:rsidRPr="0072376D">
        <w:t xml:space="preserve"> above). While it is true that the applicant institute did not have a right to be awarded the sum of money offered by the Government and that, in applying the Rules on Quality Assessment and Funding of the Public Research Organisation Programme (see paragraph </w:t>
      </w:r>
      <w:r w:rsidRPr="0072376D">
        <w:fldChar w:fldCharType="begin"/>
      </w:r>
      <w:r w:rsidRPr="0072376D">
        <w:instrText xml:space="preserve"> REF call_for_tenders \h </w:instrText>
      </w:r>
      <w:r w:rsidRPr="0072376D">
        <w:fldChar w:fldCharType="separate"/>
      </w:r>
      <w:r w:rsidRPr="0072376D" w:rsidR="0072376D">
        <w:rPr>
          <w:noProof/>
        </w:rPr>
        <w:t>6</w:t>
      </w:r>
      <w:r w:rsidRPr="0072376D">
        <w:fldChar w:fldCharType="end"/>
      </w:r>
      <w:r w:rsidRPr="0072376D">
        <w:t xml:space="preserve"> above) in order to determine which was the best scientific research programme, the domestic authorities enjoyed a certain discretionary power, it is not disputed by the parties that the participants in the tender had the right to a lawful procedure for examination of their tenders. The Court further recalls that it has recently stated the principles pertaining to the application of Article 6 § 1 of the Convention in its judgment in the case of </w:t>
      </w:r>
      <w:r w:rsidRPr="0072376D">
        <w:rPr>
          <w:i/>
        </w:rPr>
        <w:t>Regner</w:t>
      </w:r>
      <w:r w:rsidRPr="0072376D">
        <w:rPr>
          <w:i/>
        </w:rPr>
        <w:t xml:space="preserve"> v. the Czech Republic</w:t>
      </w:r>
      <w:r w:rsidRPr="0072376D">
        <w:t xml:space="preserve"> ([GC], no. 35289/11, ECHR 2017 (extracts)). It distinguished four different situations where Article 6 § 1 is applicable, one of them regarding certain decisions where the authorities have a purely discretionary power to grant or refuse an advantage or privilege, with the law conferring on the person concerned the right to apply to the courts, which, where they find that the decision was unlawful, may set it aside. In such a case Article 6 § 1 of the Convention is applicable, on condition that the advantage or privilege, once granted, gives rise to a civil right (</w:t>
      </w:r>
      <w:r w:rsidRPr="0072376D">
        <w:t>ibid.,</w:t>
      </w:r>
      <w:r w:rsidRPr="0072376D">
        <w:t xml:space="preserve"> §</w:t>
      </w:r>
      <w:r w:rsidRPr="0072376D" w:rsidR="003A70EF">
        <w:t> </w:t>
      </w:r>
      <w:r w:rsidRPr="0072376D">
        <w:t>105).</w:t>
      </w:r>
    </w:p>
    <w:p w:rsidRPr="0072376D" w:rsidR="00090D13"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29</w:t>
      </w:r>
      <w:r w:rsidRPr="0072376D">
        <w:fldChar w:fldCharType="end"/>
      </w:r>
      <w:r w:rsidRPr="0072376D">
        <w:t xml:space="preserve">.  It is true that in some decisions, adopted before the </w:t>
      </w:r>
      <w:r w:rsidRPr="0072376D">
        <w:rPr>
          <w:i/>
        </w:rPr>
        <w:t>Regner</w:t>
      </w:r>
      <w:r w:rsidRPr="0072376D">
        <w:t xml:space="preserve"> judgment, the Court had excluded the applicability of Article 6 to procedures concerning a call for tenders by the domestic authorities, pointing out that the latter enjoyed a discretionary power and that the substantive law of the State concerned did not confer to the applicants a right to be awarded the tender (see, in particular, </w:t>
      </w:r>
      <w:r w:rsidRPr="0072376D">
        <w:rPr>
          <w:i/>
        </w:rPr>
        <w:t xml:space="preserve">Marti AG and </w:t>
      </w:r>
      <w:r w:rsidRPr="0072376D" w:rsidR="0029218B">
        <w:rPr>
          <w:i/>
        </w:rPr>
        <w:t>Others v. </w:t>
      </w:r>
      <w:r w:rsidRPr="0072376D">
        <w:rPr>
          <w:i/>
        </w:rPr>
        <w:t>Switzerland</w:t>
      </w:r>
      <w:r w:rsidRPr="0072376D">
        <w:t xml:space="preserve"> (</w:t>
      </w:r>
      <w:r w:rsidRPr="0072376D">
        <w:t>dec.</w:t>
      </w:r>
      <w:r w:rsidRPr="0072376D">
        <w:t xml:space="preserve">), no. 36308/97, ECHR 2000 VIII; </w:t>
      </w:r>
      <w:r w:rsidRPr="0072376D" w:rsidR="0029218B">
        <w:rPr>
          <w:i/>
        </w:rPr>
        <w:t>SKYRADIO AG and </w:t>
      </w:r>
      <w:r w:rsidRPr="0072376D">
        <w:rPr>
          <w:i/>
        </w:rPr>
        <w:t>Others v. Switzerland</w:t>
      </w:r>
      <w:r w:rsidRPr="0072376D">
        <w:t xml:space="preserve"> (</w:t>
      </w:r>
      <w:r w:rsidRPr="0072376D">
        <w:t>dec.</w:t>
      </w:r>
      <w:r w:rsidRPr="0072376D">
        <w:t xml:space="preserve">), no. 46841/99, 31 August 2004; </w:t>
      </w:r>
      <w:r w:rsidRPr="0072376D">
        <w:rPr>
          <w:i/>
        </w:rPr>
        <w:t>I.T.C. LTD v.</w:t>
      </w:r>
      <w:r w:rsidRPr="0072376D" w:rsidR="0029218B">
        <w:rPr>
          <w:i/>
        </w:rPr>
        <w:t> </w:t>
      </w:r>
      <w:r w:rsidRPr="0072376D">
        <w:rPr>
          <w:i/>
        </w:rPr>
        <w:t>Malta</w:t>
      </w:r>
      <w:r w:rsidRPr="0072376D">
        <w:t xml:space="preserve"> (</w:t>
      </w:r>
      <w:r w:rsidRPr="0072376D">
        <w:t>dec.</w:t>
      </w:r>
      <w:r w:rsidRPr="0072376D">
        <w:t xml:space="preserve">), no. 2629/06, 11 December 2007; and </w:t>
      </w:r>
      <w:r w:rsidRPr="0072376D">
        <w:rPr>
          <w:i/>
        </w:rPr>
        <w:t>S.C. Black</w:t>
      </w:r>
      <w:r w:rsidRPr="0072376D">
        <w:t xml:space="preserve"> </w:t>
      </w:r>
      <w:r w:rsidRPr="0072376D">
        <w:rPr>
          <w:i/>
        </w:rPr>
        <w:t xml:space="preserve">Sea Caviar S.R.L. v. Romania </w:t>
      </w:r>
      <w:r w:rsidRPr="0072376D">
        <w:t>(</w:t>
      </w:r>
      <w:r w:rsidRPr="0072376D">
        <w:t>dec.</w:t>
      </w:r>
      <w:r w:rsidRPr="0072376D">
        <w:t xml:space="preserve">) [Committee], no. 13013/06, 31 May 2016). However, the Court considers the principles stated in </w:t>
      </w:r>
      <w:r w:rsidRPr="0072376D">
        <w:rPr>
          <w:i/>
        </w:rPr>
        <w:t>Regner</w:t>
      </w:r>
      <w:r w:rsidRPr="0072376D">
        <w:t xml:space="preserve"> to be relevant for the present case, where the applicant institute clearly enjoyed a procedural right to the lawful and correct adjudication of the tenders. Should the tender be awarded to the applicant institute, the latter would have been conferred a civil right. In this connection, it is to be recalled that there has been a shift in Court</w:t>
      </w:r>
      <w:r w:rsidRPr="0072376D" w:rsidR="0072376D">
        <w:t>’</w:t>
      </w:r>
      <w:r w:rsidRPr="0072376D">
        <w:t>s case-law towards app</w:t>
      </w:r>
      <w:r w:rsidRPr="0072376D" w:rsidR="0029218B">
        <w:t>lying the civil limb of Article </w:t>
      </w:r>
      <w:r w:rsidRPr="0072376D">
        <w:t xml:space="preserve">6 to cases which might not initially appear to concern a civil right but which may have direct and significant repercussions on a private right belonging to an individual (see </w:t>
      </w:r>
      <w:r w:rsidRPr="0072376D">
        <w:rPr>
          <w:i/>
        </w:rPr>
        <w:t xml:space="preserve">De </w:t>
      </w:r>
      <w:r w:rsidRPr="0072376D">
        <w:rPr>
          <w:i/>
        </w:rPr>
        <w:t>Tommaso</w:t>
      </w:r>
      <w:r w:rsidRPr="0072376D">
        <w:rPr>
          <w:i/>
        </w:rPr>
        <w:t xml:space="preserve"> v. Italy</w:t>
      </w:r>
      <w:r w:rsidRPr="0072376D">
        <w:t xml:space="preserve"> </w:t>
      </w:r>
      <w:r w:rsidRPr="0072376D" w:rsidR="00EB0BBE">
        <w:t>[GC], no. 43395/09, § 151, ECHR </w:t>
      </w:r>
      <w:r w:rsidRPr="0072376D">
        <w:t>2017 (extracts)).</w:t>
      </w:r>
    </w:p>
    <w:p w:rsidRPr="0072376D" w:rsidR="00755DCC"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30</w:t>
      </w:r>
      <w:r w:rsidRPr="0072376D">
        <w:fldChar w:fldCharType="end"/>
      </w:r>
      <w:r w:rsidRPr="0072376D">
        <w:t>.  In the light of the above, the Court does not have any reasons to doubt the applicability of the civil limb of Article 6 § 1 of the Convention in the present case.</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31</w:t>
      </w:r>
      <w:r w:rsidRPr="0072376D">
        <w:fldChar w:fldCharType="end"/>
      </w:r>
      <w:r w:rsidRPr="0072376D">
        <w:t>.  The Court notes that the application is not manifestly ill-founded within the meaning of Article 35 § 3 (a) of the Convention. It further notes that it is not inadmissible on any other grounds. It must therefore be declared admissible.</w:t>
      </w:r>
    </w:p>
    <w:p w:rsidRPr="0072376D" w:rsidR="00014566" w:rsidP="0072376D">
      <w:pPr>
        <w:pStyle w:val="ECHRHeading2"/>
      </w:pPr>
      <w:r w:rsidRPr="0072376D">
        <w:t>B.  Merits</w:t>
      </w:r>
    </w:p>
    <w:p w:rsidRPr="0072376D" w:rsidR="00794280" w:rsidP="0072376D">
      <w:pPr>
        <w:pStyle w:val="ECHRHeading3"/>
      </w:pPr>
      <w:r w:rsidRPr="0072376D">
        <w:t>1.  The parties</w:t>
      </w:r>
      <w:r w:rsidRPr="0072376D" w:rsidR="0072376D">
        <w:t>’</w:t>
      </w:r>
      <w:r w:rsidRPr="0072376D">
        <w:t xml:space="preserve"> arguments</w:t>
      </w:r>
    </w:p>
    <w:p w:rsidRPr="0072376D" w:rsidR="00283426" w:rsidP="0072376D">
      <w:pPr>
        <w:pStyle w:val="ECHRHeading4"/>
      </w:pPr>
      <w:r w:rsidRPr="0072376D">
        <w:t>(a)  The applicant institute</w:t>
      </w:r>
    </w:p>
    <w:p w:rsidRPr="0072376D" w:rsidR="0029436A"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32</w:t>
      </w:r>
      <w:r w:rsidRPr="0072376D">
        <w:fldChar w:fldCharType="end"/>
      </w:r>
      <w:r w:rsidRPr="0072376D" w:rsidR="00014566">
        <w:t>.  The applicant</w:t>
      </w:r>
      <w:r w:rsidRPr="0072376D" w:rsidR="0099337E">
        <w:t xml:space="preserve"> institute</w:t>
      </w:r>
      <w:r w:rsidRPr="0072376D" w:rsidR="00014566">
        <w:t xml:space="preserve"> </w:t>
      </w:r>
      <w:r w:rsidRPr="0072376D" w:rsidR="00794280">
        <w:t xml:space="preserve">argued </w:t>
      </w:r>
      <w:r w:rsidRPr="0072376D">
        <w:t xml:space="preserve">that the Court had already held that only exceptional circumstances justified not holding a hearing. </w:t>
      </w:r>
      <w:r w:rsidRPr="0072376D" w:rsidR="000A4FEA">
        <w:t>The Slovenian Supreme Court had also held in several cases that unless reasons for not holding a hearing were given, the right to a fair hearing risked being violated.</w:t>
      </w:r>
    </w:p>
    <w:p w:rsidRPr="0072376D" w:rsidR="0029436A"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33</w:t>
      </w:r>
      <w:r w:rsidRPr="0072376D">
        <w:fldChar w:fldCharType="end"/>
      </w:r>
      <w:r w:rsidRPr="0072376D">
        <w:t>.  </w:t>
      </w:r>
      <w:r w:rsidRPr="0072376D" w:rsidR="009B2466">
        <w:t xml:space="preserve">As to </w:t>
      </w:r>
      <w:r w:rsidRPr="0072376D">
        <w:t>the lack of reasoning the applicant institute pointed out that the right to adversarial trial was effective only insofar as the courts</w:t>
      </w:r>
      <w:r w:rsidRPr="0072376D" w:rsidR="0072376D">
        <w:t>’</w:t>
      </w:r>
      <w:r w:rsidRPr="0072376D">
        <w:t xml:space="preserve"> reasoning was adequate. In the present case the reasoning of the Administrative Court did not fulfil that condition. The applicant institute had been unable to prove its claims because, instead of taking the requested evidence, the Administrative Court had relied on the administrative decisions of the opposing party and had accepted them as facts. The evidence the applicant institute had adduced had not been mentioned in the Administrative Court</w:t>
      </w:r>
      <w:r w:rsidRPr="0072376D" w:rsidR="0072376D">
        <w:t>’</w:t>
      </w:r>
      <w:r w:rsidRPr="0072376D">
        <w:t>s decision, and no reasons had been given for not taking it into account.</w:t>
      </w:r>
    </w:p>
    <w:p w:rsidRPr="0072376D" w:rsidR="00283426" w:rsidP="0072376D">
      <w:pPr>
        <w:pStyle w:val="ECHRHeading4"/>
      </w:pPr>
      <w:r w:rsidRPr="0072376D">
        <w:t>(b)  The Government</w:t>
      </w:r>
    </w:p>
    <w:bookmarkStart w:name="government_arguments_2" w:id="17"/>
    <w:bookmarkStart w:name="government_arguments_1" w:id="18"/>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34</w:t>
      </w:r>
      <w:r w:rsidRPr="0072376D">
        <w:fldChar w:fldCharType="end"/>
      </w:r>
      <w:bookmarkEnd w:id="17"/>
      <w:bookmarkEnd w:id="18"/>
      <w:r w:rsidRPr="0072376D">
        <w:t>.  </w:t>
      </w:r>
      <w:r w:rsidRPr="0072376D" w:rsidR="0029436A">
        <w:t xml:space="preserve">The Government pointed out </w:t>
      </w:r>
      <w:r w:rsidRPr="0072376D" w:rsidR="00FB6081">
        <w:t xml:space="preserve">that </w:t>
      </w:r>
      <w:r w:rsidRPr="0072376D" w:rsidR="00232EF6">
        <w:t xml:space="preserve">it </w:t>
      </w:r>
      <w:r w:rsidRPr="0072376D" w:rsidR="001E79E5">
        <w:t>wa</w:t>
      </w:r>
      <w:r w:rsidRPr="0072376D" w:rsidR="00232EF6">
        <w:t xml:space="preserve">s not obligatory </w:t>
      </w:r>
      <w:r w:rsidRPr="0072376D" w:rsidR="004D4768">
        <w:t>under the domestic law to hold a hearing in an administrative dispute</w:t>
      </w:r>
      <w:r w:rsidRPr="0072376D" w:rsidR="001157EF">
        <w:t xml:space="preserve"> and that the law set </w:t>
      </w:r>
      <w:r w:rsidRPr="0072376D" w:rsidR="00FB6081">
        <w:t xml:space="preserve">clear </w:t>
      </w:r>
      <w:r w:rsidRPr="0072376D" w:rsidR="001157EF">
        <w:t>conditions under which holding a hearing was not necessary</w:t>
      </w:r>
      <w:r w:rsidRPr="0072376D" w:rsidR="004D4768">
        <w:t xml:space="preserve">. While </w:t>
      </w:r>
      <w:r w:rsidRPr="0072376D" w:rsidR="00FB6081">
        <w:t xml:space="preserve">acknowledging </w:t>
      </w:r>
      <w:r w:rsidRPr="0072376D" w:rsidR="004D4768">
        <w:t xml:space="preserve">that no reasons </w:t>
      </w:r>
      <w:r w:rsidRPr="0072376D" w:rsidR="001E79E5">
        <w:t>had been</w:t>
      </w:r>
      <w:r w:rsidRPr="0072376D" w:rsidR="004D4768">
        <w:t xml:space="preserve"> given for not holding a hearing</w:t>
      </w:r>
      <w:r w:rsidRPr="0072376D">
        <w:t>,</w:t>
      </w:r>
      <w:r w:rsidRPr="0072376D" w:rsidR="004D4768">
        <w:t xml:space="preserve"> the Government argued that this had not constituted a significant violation of the administrative dispute procedure.</w:t>
      </w:r>
      <w:r w:rsidRPr="0072376D">
        <w:t xml:space="preserve"> </w:t>
      </w:r>
      <w:r w:rsidRPr="0072376D" w:rsidR="00FB6081">
        <w:t xml:space="preserve">Although </w:t>
      </w:r>
      <w:r w:rsidRPr="0072376D">
        <w:t xml:space="preserve">the Government agreed that the facts </w:t>
      </w:r>
      <w:r w:rsidRPr="0072376D" w:rsidR="001E79E5">
        <w:t>had been</w:t>
      </w:r>
      <w:r w:rsidRPr="0072376D">
        <w:t xml:space="preserve"> disputed between the parties, </w:t>
      </w:r>
      <w:r w:rsidRPr="0072376D" w:rsidR="00FB6081">
        <w:t xml:space="preserve">they contended that </w:t>
      </w:r>
      <w:r w:rsidRPr="0072376D">
        <w:t xml:space="preserve">the applicant institute </w:t>
      </w:r>
      <w:r w:rsidRPr="0072376D" w:rsidR="001E79E5">
        <w:t xml:space="preserve">had </w:t>
      </w:r>
      <w:r w:rsidRPr="0072376D">
        <w:t xml:space="preserve">failed to substantiate the relevance of </w:t>
      </w:r>
      <w:r w:rsidRPr="0072376D" w:rsidR="00DB7FA1">
        <w:t xml:space="preserve">the </w:t>
      </w:r>
      <w:r w:rsidRPr="0072376D">
        <w:t xml:space="preserve">adduced evidence. </w:t>
      </w:r>
      <w:r w:rsidRPr="0072376D" w:rsidR="001157EF">
        <w:t xml:space="preserve">As to </w:t>
      </w:r>
      <w:r w:rsidRPr="0072376D" w:rsidR="003A5BE3">
        <w:t>the court</w:t>
      </w:r>
      <w:r w:rsidRPr="0072376D" w:rsidR="0072376D">
        <w:t>’</w:t>
      </w:r>
      <w:r w:rsidRPr="0072376D" w:rsidR="003A5BE3">
        <w:t xml:space="preserve">s failure to hear </w:t>
      </w:r>
      <w:r w:rsidRPr="0072376D" w:rsidR="001157EF">
        <w:t xml:space="preserve">the witness K. </w:t>
      </w:r>
      <w:r w:rsidRPr="0072376D" w:rsidR="0007552A">
        <w:t>(see paragraph</w:t>
      </w:r>
      <w:r w:rsidRPr="0072376D" w:rsidR="00FC48DF">
        <w:t> </w:t>
      </w:r>
      <w:r w:rsidRPr="0072376D" w:rsidR="0007552A">
        <w:fldChar w:fldCharType="begin"/>
      </w:r>
      <w:r w:rsidRPr="0072376D" w:rsidR="0007552A">
        <w:instrText xml:space="preserve"> REF bias2 \h </w:instrText>
      </w:r>
      <w:r w:rsidRPr="0072376D" w:rsidR="0013657F">
        <w:instrText xml:space="preserve"> \* MERGEFORMAT </w:instrText>
      </w:r>
      <w:r w:rsidRPr="0072376D" w:rsidR="0007552A">
        <w:fldChar w:fldCharType="separate"/>
      </w:r>
      <w:r w:rsidRPr="0072376D" w:rsidR="0072376D">
        <w:rPr>
          <w:noProof/>
        </w:rPr>
        <w:t>11</w:t>
      </w:r>
      <w:r w:rsidRPr="0072376D" w:rsidR="0007552A">
        <w:fldChar w:fldCharType="end"/>
      </w:r>
      <w:r w:rsidRPr="0072376D" w:rsidR="0007552A">
        <w:t xml:space="preserve"> above)</w:t>
      </w:r>
      <w:r w:rsidRPr="0072376D" w:rsidR="00FB6081">
        <w:t>,</w:t>
      </w:r>
      <w:r w:rsidRPr="0072376D" w:rsidR="0007552A">
        <w:t xml:space="preserve"> </w:t>
      </w:r>
      <w:r w:rsidRPr="0072376D" w:rsidR="001157EF">
        <w:t xml:space="preserve">the Administrative Court </w:t>
      </w:r>
      <w:r w:rsidRPr="0072376D" w:rsidR="001E79E5">
        <w:t xml:space="preserve">had </w:t>
      </w:r>
      <w:r w:rsidRPr="0072376D" w:rsidR="001157EF">
        <w:t xml:space="preserve">had his letter </w:t>
      </w:r>
      <w:r w:rsidRPr="0072376D" w:rsidR="007C1C61">
        <w:t xml:space="preserve">of 2 December 2003 </w:t>
      </w:r>
      <w:r w:rsidRPr="0072376D" w:rsidR="001157EF">
        <w:t xml:space="preserve">at its disposal and </w:t>
      </w:r>
      <w:r w:rsidRPr="0072376D" w:rsidR="001E79E5">
        <w:t>had been</w:t>
      </w:r>
      <w:r w:rsidRPr="0072376D" w:rsidR="001157EF">
        <w:t xml:space="preserve"> able to take it into account. </w:t>
      </w:r>
      <w:r w:rsidRPr="0072376D">
        <w:t xml:space="preserve">Lastly, the Government expressed </w:t>
      </w:r>
      <w:r w:rsidRPr="0072376D" w:rsidR="00966852">
        <w:t>their</w:t>
      </w:r>
      <w:r w:rsidRPr="0072376D">
        <w:t xml:space="preserve"> belief that the documents in the case</w:t>
      </w:r>
      <w:r w:rsidRPr="0072376D" w:rsidR="00FB6081">
        <w:t xml:space="preserve"> </w:t>
      </w:r>
      <w:r w:rsidRPr="0072376D">
        <w:t xml:space="preserve">file </w:t>
      </w:r>
      <w:r w:rsidRPr="0072376D" w:rsidR="001E79E5">
        <w:t xml:space="preserve">had </w:t>
      </w:r>
      <w:r w:rsidRPr="0072376D">
        <w:t>provided a sufficient basis for ruling on the case.</w:t>
      </w:r>
    </w:p>
    <w:p w:rsidRPr="0072376D" w:rsidR="0029436A"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35</w:t>
      </w:r>
      <w:r w:rsidRPr="0072376D">
        <w:fldChar w:fldCharType="end"/>
      </w:r>
      <w:r w:rsidRPr="0072376D">
        <w:t>.  As to the lack of reasoning, the Government argued that before the Administrative Court the parties had been able to respond to each other</w:t>
      </w:r>
      <w:r w:rsidRPr="0072376D" w:rsidR="0072376D">
        <w:t>’</w:t>
      </w:r>
      <w:r w:rsidRPr="0072376D">
        <w:t>s submissions, which had ensured that the proceedings were adversarial in nature. In administrative disputes the domestic law allowed the court not to give its own reasoning, but to refer to the reasoning of the lower instance if it concurred with it.</w:t>
      </w:r>
    </w:p>
    <w:p w:rsidRPr="0072376D" w:rsidR="00794280" w:rsidP="0072376D">
      <w:pPr>
        <w:pStyle w:val="ECHRHeading3"/>
      </w:pPr>
      <w:r w:rsidRPr="0072376D">
        <w:t>2.  The Court</w:t>
      </w:r>
      <w:r w:rsidRPr="0072376D" w:rsidR="0072376D">
        <w:t>’</w:t>
      </w:r>
      <w:r w:rsidRPr="0072376D">
        <w:t>s assessment</w:t>
      </w:r>
    </w:p>
    <w:p w:rsidRPr="0072376D" w:rsidR="0028342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36</w:t>
      </w:r>
      <w:r w:rsidRPr="0072376D">
        <w:fldChar w:fldCharType="end"/>
      </w:r>
      <w:r w:rsidRPr="0072376D" w:rsidR="00014566">
        <w:t>.  </w:t>
      </w:r>
      <w:r w:rsidRPr="0072376D">
        <w:t>The Court reiterates that, in proceedings before a court of first and only instance, the right to a “public hearing” within the meaning of Article</w:t>
      </w:r>
      <w:r w:rsidRPr="0072376D" w:rsidR="001F2B06">
        <w:t> </w:t>
      </w:r>
      <w:r w:rsidRPr="0072376D">
        <w:t xml:space="preserve">6 § 1 entails an entitlement to an “oral hearing” unless there are exceptional circumstances that justify dispensing with such a hearing (see </w:t>
      </w:r>
      <w:r w:rsidRPr="0072376D" w:rsidR="00FC48DF">
        <w:rPr>
          <w:i/>
        </w:rPr>
        <w:t>Göç</w:t>
      </w:r>
      <w:r w:rsidRPr="0072376D" w:rsidR="00FC48DF">
        <w:rPr>
          <w:i/>
        </w:rPr>
        <w:t xml:space="preserve"> v. </w:t>
      </w:r>
      <w:r w:rsidRPr="0072376D">
        <w:rPr>
          <w:i/>
        </w:rPr>
        <w:t>Turkey</w:t>
      </w:r>
      <w:r w:rsidRPr="0072376D" w:rsidR="001F2B06">
        <w:t xml:space="preserve"> </w:t>
      </w:r>
      <w:r w:rsidRPr="0072376D">
        <w:t>[GC], no. 36590/97, § 47, ECHR 2002</w:t>
      </w:r>
      <w:r w:rsidRPr="0072376D" w:rsidR="00EB2A1D">
        <w:t>-</w:t>
      </w:r>
      <w:r w:rsidRPr="0072376D">
        <w:t xml:space="preserve">V, with further references). </w:t>
      </w:r>
      <w:r w:rsidRPr="0072376D" w:rsidR="001C07CC">
        <w:t xml:space="preserve">In proceedings before two instances, at least one instance must, in general, provide such a hearing if no such exceptional circumstances are at hand (see </w:t>
      </w:r>
      <w:r w:rsidRPr="0072376D" w:rsidR="001C07CC">
        <w:rPr>
          <w:i/>
        </w:rPr>
        <w:t>Salomonsson</w:t>
      </w:r>
      <w:r w:rsidRPr="0072376D" w:rsidR="001C07CC">
        <w:rPr>
          <w:i/>
        </w:rPr>
        <w:t xml:space="preserve"> v. Sweden</w:t>
      </w:r>
      <w:r w:rsidRPr="0072376D" w:rsidR="001C07CC">
        <w:t xml:space="preserve">, no. 38978/97, § 36, 12 November 2002). </w:t>
      </w:r>
      <w:r w:rsidRPr="0072376D" w:rsidR="001F2B06">
        <w:t xml:space="preserve">This public character protects litigants against the administration of justice in secret with no public scrutiny; it is also one of the means whereby confidence in the courts can be maintained. </w:t>
      </w:r>
      <w:r w:rsidRPr="0072376D">
        <w:t>By rendering the administration of justice transparent, an oral hearing in public contributes to the ac</w:t>
      </w:r>
      <w:r w:rsidRPr="0072376D" w:rsidR="00FC48DF">
        <w:t>hievement of the aim of Article 6 § </w:t>
      </w:r>
      <w:r w:rsidRPr="0072376D">
        <w:t xml:space="preserve">1, namely a fair trial, the guarantee of which is one of the fundamental principles of any democratic society, within the meaning of the Convention (see </w:t>
      </w:r>
      <w:r w:rsidRPr="0072376D">
        <w:rPr>
          <w:i/>
        </w:rPr>
        <w:t xml:space="preserve">Mehmet </w:t>
      </w:r>
      <w:r w:rsidRPr="0072376D">
        <w:rPr>
          <w:i/>
        </w:rPr>
        <w:t>Emin</w:t>
      </w:r>
      <w:r w:rsidRPr="0072376D">
        <w:rPr>
          <w:i/>
        </w:rPr>
        <w:t xml:space="preserve"> </w:t>
      </w:r>
      <w:r w:rsidRPr="0072376D">
        <w:rPr>
          <w:i/>
        </w:rPr>
        <w:t>Şimşek</w:t>
      </w:r>
      <w:r w:rsidRPr="0072376D">
        <w:rPr>
          <w:i/>
        </w:rPr>
        <w:t xml:space="preserve"> v. Turkey</w:t>
      </w:r>
      <w:r w:rsidRPr="0072376D">
        <w:t>, no.</w:t>
      </w:r>
      <w:r w:rsidRPr="0072376D" w:rsidR="00DF5E30">
        <w:t> </w:t>
      </w:r>
      <w:r w:rsidRPr="0072376D">
        <w:t>5488/05, § 28, 28 February 2012</w:t>
      </w:r>
      <w:r w:rsidRPr="0072376D" w:rsidR="00017CC5">
        <w:t>,</w:t>
      </w:r>
      <w:r w:rsidRPr="0072376D">
        <w:t xml:space="preserve"> </w:t>
      </w:r>
      <w:r w:rsidRPr="0072376D" w:rsidR="00FC195B">
        <w:t xml:space="preserve">and </w:t>
      </w:r>
      <w:r w:rsidRPr="0072376D">
        <w:rPr>
          <w:i/>
        </w:rPr>
        <w:t>Szücs</w:t>
      </w:r>
      <w:r w:rsidRPr="0072376D">
        <w:rPr>
          <w:i/>
        </w:rPr>
        <w:t xml:space="preserve"> v. Austria</w:t>
      </w:r>
      <w:r w:rsidRPr="0072376D" w:rsidR="0029218B">
        <w:t>, 24 </w:t>
      </w:r>
      <w:r w:rsidRPr="0072376D">
        <w:t xml:space="preserve">November 1997, § 42, </w:t>
      </w:r>
      <w:r w:rsidRPr="0072376D">
        <w:rPr>
          <w:i/>
        </w:rPr>
        <w:t>Reports of Judgments and Decisions</w:t>
      </w:r>
      <w:r w:rsidRPr="0072376D" w:rsidR="00C96642">
        <w:t xml:space="preserve"> 1997-</w:t>
      </w:r>
      <w:r w:rsidRPr="0072376D">
        <w:t>VII).</w:t>
      </w:r>
    </w:p>
    <w:p w:rsidRPr="0072376D" w:rsidR="0028342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37</w:t>
      </w:r>
      <w:r w:rsidRPr="0072376D">
        <w:fldChar w:fldCharType="end"/>
      </w:r>
      <w:r w:rsidRPr="0072376D">
        <w:t>.  </w:t>
      </w:r>
      <w:r w:rsidRPr="0072376D">
        <w:t>The exceptional character of the circumstances that may justify dispensing with an oral hearing in proceedings concerning a “civil” right essentially comes down to the nature of the issues to be decided by the competent national court, not to the frequency of such situations (</w:t>
      </w:r>
      <w:r w:rsidRPr="0072376D" w:rsidR="00270926">
        <w:t xml:space="preserve">see </w:t>
      </w:r>
      <w:r w:rsidRPr="0072376D">
        <w:rPr>
          <w:i/>
        </w:rPr>
        <w:t>Madaus</w:t>
      </w:r>
      <w:r w:rsidRPr="0072376D">
        <w:rPr>
          <w:i/>
        </w:rPr>
        <w:t xml:space="preserve"> v. Germany</w:t>
      </w:r>
      <w:r w:rsidRPr="0072376D">
        <w:t xml:space="preserve">, </w:t>
      </w:r>
      <w:r w:rsidRPr="0072376D" w:rsidR="00E72EE4">
        <w:t>no. 44164/14, § 23, 9 June 2016,</w:t>
      </w:r>
      <w:r w:rsidRPr="0072376D">
        <w:t xml:space="preserve"> </w:t>
      </w:r>
      <w:r w:rsidRPr="0072376D" w:rsidR="00FC195B">
        <w:t xml:space="preserve">and </w:t>
      </w:r>
      <w:r w:rsidRPr="0072376D">
        <w:t xml:space="preserve">also </w:t>
      </w:r>
      <w:r w:rsidRPr="0072376D" w:rsidR="00FC48DF">
        <w:rPr>
          <w:i/>
        </w:rPr>
        <w:t>Jussila</w:t>
      </w:r>
      <w:r w:rsidRPr="0072376D" w:rsidR="00FC48DF">
        <w:rPr>
          <w:i/>
        </w:rPr>
        <w:t xml:space="preserve"> v. </w:t>
      </w:r>
      <w:r w:rsidRPr="0072376D">
        <w:rPr>
          <w:i/>
        </w:rPr>
        <w:t>Finland</w:t>
      </w:r>
      <w:r w:rsidRPr="0072376D">
        <w:t xml:space="preserve"> [GC], no. 73053/01, § 42, ECHR 2006</w:t>
      </w:r>
      <w:r w:rsidRPr="0072376D" w:rsidR="00C96642">
        <w:t>-</w:t>
      </w:r>
      <w:r w:rsidRPr="0072376D">
        <w:t xml:space="preserve">XIV, which concerned the criminal limb of Article 6 § 1 of the Convention). This does not mean that refusing to hold an oral hearing may be justified only in rare cases (see </w:t>
      </w:r>
      <w:r w:rsidRPr="0072376D">
        <w:rPr>
          <w:i/>
        </w:rPr>
        <w:t>Miller v. Sweden</w:t>
      </w:r>
      <w:r w:rsidRPr="0072376D">
        <w:t xml:space="preserve">, no. 55853/00, § 29, 8 February 2005). The Court has accepted exceptional circumstances in cases where the proceedings concerned exclusively legal or highly technical questions (see </w:t>
      </w:r>
      <w:r w:rsidRPr="0072376D">
        <w:rPr>
          <w:i/>
        </w:rPr>
        <w:t>S</w:t>
      </w:r>
      <w:r w:rsidRPr="0072376D" w:rsidR="00FC48DF">
        <w:rPr>
          <w:i/>
        </w:rPr>
        <w:t>chuler</w:t>
      </w:r>
      <w:r w:rsidRPr="0072376D" w:rsidR="0029218B">
        <w:rPr>
          <w:i/>
        </w:rPr>
        <w:noBreakHyphen/>
      </w:r>
      <w:r w:rsidRPr="0072376D">
        <w:rPr>
          <w:i/>
        </w:rPr>
        <w:t>Zgraggen</w:t>
      </w:r>
      <w:r w:rsidRPr="0072376D">
        <w:rPr>
          <w:i/>
        </w:rPr>
        <w:t xml:space="preserve"> v. Switzerland</w:t>
      </w:r>
      <w:r w:rsidRPr="0072376D">
        <w:t>, 2</w:t>
      </w:r>
      <w:r w:rsidRPr="0072376D" w:rsidR="00FC48DF">
        <w:t>4 June 1993, § 58, Series A no. </w:t>
      </w:r>
      <w:r w:rsidRPr="0072376D">
        <w:t xml:space="preserve">263; </w:t>
      </w:r>
      <w:r w:rsidRPr="0072376D">
        <w:rPr>
          <w:i/>
        </w:rPr>
        <w:t xml:space="preserve">Varela </w:t>
      </w:r>
      <w:r w:rsidRPr="0072376D">
        <w:rPr>
          <w:i/>
        </w:rPr>
        <w:t>Assalino</w:t>
      </w:r>
      <w:r w:rsidRPr="0072376D">
        <w:rPr>
          <w:i/>
        </w:rPr>
        <w:t xml:space="preserve"> v. Portugal</w:t>
      </w:r>
      <w:r w:rsidRPr="0072376D">
        <w:t xml:space="preserve"> (</w:t>
      </w:r>
      <w:r w:rsidRPr="0072376D">
        <w:t>dec.</w:t>
      </w:r>
      <w:r w:rsidRPr="0072376D">
        <w:t xml:space="preserve">), no. 64336/01, 25 April 2002; and </w:t>
      </w:r>
      <w:r w:rsidRPr="0072376D">
        <w:rPr>
          <w:i/>
        </w:rPr>
        <w:t>Speil</w:t>
      </w:r>
      <w:r w:rsidRPr="0072376D">
        <w:rPr>
          <w:i/>
        </w:rPr>
        <w:t xml:space="preserve"> v.</w:t>
      </w:r>
      <w:r w:rsidRPr="0072376D" w:rsidR="00FC48DF">
        <w:rPr>
          <w:i/>
        </w:rPr>
        <w:t> </w:t>
      </w:r>
      <w:r w:rsidRPr="0072376D">
        <w:rPr>
          <w:i/>
        </w:rPr>
        <w:t xml:space="preserve">Austria </w:t>
      </w:r>
      <w:r w:rsidRPr="0072376D">
        <w:t>(</w:t>
      </w:r>
      <w:r w:rsidRPr="0072376D">
        <w:t>dec.</w:t>
      </w:r>
      <w:r w:rsidRPr="0072376D">
        <w:t>), no. 42057/98, 5 September 2002). There may be proceedings in which an oral hearing may not be required: for example, where there are no issues of credibility or contested facts which necessitate a hearing and the courts may fairly and reasonably decide the case on the basis of the parties</w:t>
      </w:r>
      <w:r w:rsidRPr="0072376D" w:rsidR="0072376D">
        <w:t>’</w:t>
      </w:r>
      <w:r w:rsidRPr="0072376D">
        <w:t xml:space="preserve"> submissions and other written materials (</w:t>
      </w:r>
      <w:r w:rsidRPr="0072376D">
        <w:t xml:space="preserve">see </w:t>
      </w:r>
      <w:r w:rsidRPr="0072376D">
        <w:rPr>
          <w:i/>
        </w:rPr>
        <w:t>Jussila</w:t>
      </w:r>
      <w:r w:rsidRPr="0072376D">
        <w:t xml:space="preserve">, cited above, § 41, with reference to </w:t>
      </w:r>
      <w:r w:rsidRPr="0072376D">
        <w:rPr>
          <w:i/>
        </w:rPr>
        <w:t>Döry</w:t>
      </w:r>
      <w:r w:rsidRPr="0072376D">
        <w:rPr>
          <w:i/>
        </w:rPr>
        <w:t xml:space="preserve"> v. Sweden</w:t>
      </w:r>
      <w:r w:rsidRPr="0072376D" w:rsidR="00EE779E">
        <w:t>, no. 28394/95, § </w:t>
      </w:r>
      <w:r w:rsidRPr="0072376D" w:rsidR="00FC48DF">
        <w:t>37, 12 </w:t>
      </w:r>
      <w:r w:rsidRPr="0072376D">
        <w:t>November 2002, which concerned the civil limb of Article 6 § 1 of the Convention).</w:t>
      </w:r>
    </w:p>
    <w:p w:rsidRPr="0072376D" w:rsidR="00853461"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38</w:t>
      </w:r>
      <w:r w:rsidRPr="0072376D">
        <w:fldChar w:fldCharType="end"/>
      </w:r>
      <w:r w:rsidRPr="0072376D">
        <w:t>.  </w:t>
      </w:r>
      <w:r w:rsidRPr="0072376D" w:rsidR="0036629E">
        <w:t xml:space="preserve">Turning to the circumstances of the present case, the Court observes that it is undisputed between the parties that no hearing took place before the Administrative Court </w:t>
      </w:r>
      <w:r w:rsidRPr="0072376D" w:rsidR="00D37392">
        <w:t xml:space="preserve">or before </w:t>
      </w:r>
      <w:r w:rsidRPr="0072376D" w:rsidR="00654182">
        <w:t xml:space="preserve">another authority </w:t>
      </w:r>
      <w:r w:rsidRPr="0072376D" w:rsidR="0036629E">
        <w:t>and that no reasons were given for th</w:t>
      </w:r>
      <w:r w:rsidRPr="0072376D" w:rsidR="00CF61E1">
        <w:t>e former</w:t>
      </w:r>
      <w:r w:rsidRPr="0072376D" w:rsidR="0036629E">
        <w:t xml:space="preserve"> (see paragraph </w:t>
      </w:r>
      <w:r w:rsidRPr="0072376D" w:rsidR="0036629E">
        <w:fldChar w:fldCharType="begin"/>
      </w:r>
      <w:r w:rsidRPr="0072376D" w:rsidR="0036629E">
        <w:instrText xml:space="preserve"> REF government_arguments_1 \h </w:instrText>
      </w:r>
      <w:r w:rsidRPr="0072376D" w:rsidR="0013657F">
        <w:instrText xml:space="preserve"> \* MERGEFORMAT </w:instrText>
      </w:r>
      <w:r w:rsidRPr="0072376D" w:rsidR="0036629E">
        <w:fldChar w:fldCharType="separate"/>
      </w:r>
      <w:r w:rsidRPr="0072376D" w:rsidR="0072376D">
        <w:rPr>
          <w:noProof/>
        </w:rPr>
        <w:t>34</w:t>
      </w:r>
      <w:r w:rsidRPr="0072376D" w:rsidR="0036629E">
        <w:fldChar w:fldCharType="end"/>
      </w:r>
      <w:r w:rsidRPr="0072376D" w:rsidR="0036629E">
        <w:t xml:space="preserve"> above). Therefore,</w:t>
      </w:r>
      <w:r w:rsidRPr="0072376D" w:rsidR="00283426">
        <w:t xml:space="preserve"> it needs to be examined whether there </w:t>
      </w:r>
      <w:r w:rsidRPr="0072376D" w:rsidR="00283426">
        <w:t>were</w:t>
      </w:r>
      <w:r w:rsidRPr="0072376D" w:rsidR="00283426">
        <w:t xml:space="preserve"> any exceptional circumstances which justified dispensing with an oral hearing in the instant case.</w:t>
      </w:r>
    </w:p>
    <w:p w:rsidRPr="0072376D" w:rsidR="00F25F23"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39</w:t>
      </w:r>
      <w:r w:rsidRPr="0072376D">
        <w:fldChar w:fldCharType="end"/>
      </w:r>
      <w:r w:rsidRPr="0072376D">
        <w:t>.  </w:t>
      </w:r>
      <w:r w:rsidRPr="0072376D" w:rsidR="006702CB">
        <w:t>The Court notes</w:t>
      </w:r>
      <w:r w:rsidRPr="0072376D">
        <w:t xml:space="preserve"> that the </w:t>
      </w:r>
      <w:r w:rsidRPr="0072376D">
        <w:t>Administrative Court acted as the first judicial instance</w:t>
      </w:r>
      <w:r w:rsidRPr="0072376D" w:rsidR="00E564D9">
        <w:t>. It was also the only judicial instance</w:t>
      </w:r>
      <w:r w:rsidRPr="0072376D" w:rsidR="00823BB7">
        <w:t xml:space="preserve"> with full jurisdiction</w:t>
      </w:r>
      <w:r w:rsidRPr="0072376D" w:rsidR="00E564D9">
        <w:t>, that is to say</w:t>
      </w:r>
      <w:r w:rsidRPr="0072376D">
        <w:t xml:space="preserve"> jurisdiction </w:t>
      </w:r>
      <w:r w:rsidRPr="0072376D" w:rsidR="00E564D9">
        <w:t xml:space="preserve">that </w:t>
      </w:r>
      <w:r w:rsidRPr="0072376D">
        <w:t>was not limited to matters of law, but also extended to factual issues (see paragraphs</w:t>
      </w:r>
      <w:r w:rsidRPr="0072376D" w:rsidR="00865DFD">
        <w:t xml:space="preserve"> </w:t>
      </w:r>
      <w:r w:rsidRPr="0072376D" w:rsidR="003A5BE3">
        <w:fldChar w:fldCharType="begin"/>
      </w:r>
      <w:r w:rsidRPr="0072376D" w:rsidR="003A5BE3">
        <w:instrText xml:space="preserve"> REF ADA_facts \h </w:instrText>
      </w:r>
      <w:r w:rsidRPr="0072376D" w:rsidR="00C61074">
        <w:instrText xml:space="preserve"> \* MERGEFORMAT </w:instrText>
      </w:r>
      <w:r w:rsidRPr="0072376D" w:rsidR="003A5BE3">
        <w:fldChar w:fldCharType="separate"/>
      </w:r>
      <w:r w:rsidRPr="0072376D" w:rsidR="0072376D">
        <w:rPr>
          <w:noProof/>
        </w:rPr>
        <w:t>21</w:t>
      </w:r>
      <w:r w:rsidRPr="0072376D" w:rsidR="003A5BE3">
        <w:fldChar w:fldCharType="end"/>
      </w:r>
      <w:r w:rsidRPr="0072376D" w:rsidR="00865DFD">
        <w:t>-</w:t>
      </w:r>
      <w:r w:rsidRPr="0072376D" w:rsidR="003A5BE3">
        <w:fldChar w:fldCharType="begin"/>
      </w:r>
      <w:r w:rsidRPr="0072376D" w:rsidR="003A5BE3">
        <w:instrText xml:space="preserve"> REF ADA_hearing \h </w:instrText>
      </w:r>
      <w:r w:rsidRPr="0072376D" w:rsidR="00C61074">
        <w:instrText xml:space="preserve"> \* MERGEFORMAT </w:instrText>
      </w:r>
      <w:r w:rsidRPr="0072376D" w:rsidR="003A5BE3">
        <w:fldChar w:fldCharType="separate"/>
      </w:r>
      <w:r w:rsidRPr="0072376D" w:rsidR="0072376D">
        <w:rPr>
          <w:noProof/>
        </w:rPr>
        <w:t>22</w:t>
      </w:r>
      <w:r w:rsidRPr="0072376D" w:rsidR="003A5BE3">
        <w:fldChar w:fldCharType="end"/>
      </w:r>
      <w:r w:rsidRPr="0072376D" w:rsidR="00865DFD">
        <w:t xml:space="preserve"> </w:t>
      </w:r>
      <w:r w:rsidRPr="0072376D">
        <w:t>above).</w:t>
      </w:r>
      <w:r w:rsidRPr="0072376D" w:rsidR="006702CB">
        <w:t xml:space="preserve"> The scope of the judicial review before the Supreme Court and the Constitutional Court was, on </w:t>
      </w:r>
      <w:r w:rsidRPr="0072376D" w:rsidR="006A0021">
        <w:t xml:space="preserve">the </w:t>
      </w:r>
      <w:r w:rsidRPr="0072376D" w:rsidR="006702CB">
        <w:t>contrary, limited to</w:t>
      </w:r>
      <w:r w:rsidRPr="0072376D" w:rsidR="005C6028">
        <w:t xml:space="preserve"> the legal matters and issues of constitutional law</w:t>
      </w:r>
      <w:r w:rsidRPr="0072376D" w:rsidR="006702CB">
        <w:t xml:space="preserve"> </w:t>
      </w:r>
      <w:r w:rsidRPr="0072376D" w:rsidR="00845B9F">
        <w:t xml:space="preserve">(see paragraphs </w:t>
      </w:r>
      <w:r w:rsidRPr="0072376D" w:rsidR="00845B9F">
        <w:fldChar w:fldCharType="begin"/>
      </w:r>
      <w:r w:rsidRPr="0072376D" w:rsidR="00845B9F">
        <w:instrText xml:space="preserve"> REF reasons_appeal_on_points_of_law \h </w:instrText>
      </w:r>
      <w:r w:rsidRPr="0072376D" w:rsidR="00AD4F63">
        <w:instrText xml:space="preserve"> \* MERGEFORMAT </w:instrText>
      </w:r>
      <w:r w:rsidRPr="0072376D" w:rsidR="00845B9F">
        <w:fldChar w:fldCharType="separate"/>
      </w:r>
      <w:r w:rsidRPr="0072376D" w:rsidR="0072376D">
        <w:rPr>
          <w:noProof/>
        </w:rPr>
        <w:t>20</w:t>
      </w:r>
      <w:r w:rsidRPr="0072376D" w:rsidR="00845B9F">
        <w:fldChar w:fldCharType="end"/>
      </w:r>
      <w:r w:rsidRPr="0072376D" w:rsidR="00845B9F">
        <w:t xml:space="preserve"> and </w:t>
      </w:r>
      <w:r w:rsidRPr="0072376D" w:rsidR="00845B9F">
        <w:fldChar w:fldCharType="begin"/>
      </w:r>
      <w:r w:rsidRPr="0072376D" w:rsidR="00845B9F">
        <w:instrText xml:space="preserve"> REF CC_jurisdiction \h </w:instrText>
      </w:r>
      <w:r w:rsidRPr="0072376D" w:rsidR="00AD4F63">
        <w:instrText xml:space="preserve"> \* MERGEFORMAT </w:instrText>
      </w:r>
      <w:r w:rsidRPr="0072376D" w:rsidR="00845B9F">
        <w:fldChar w:fldCharType="separate"/>
      </w:r>
      <w:r w:rsidRPr="0072376D" w:rsidR="0072376D">
        <w:rPr>
          <w:noProof/>
        </w:rPr>
        <w:t>24</w:t>
      </w:r>
      <w:r w:rsidRPr="0072376D" w:rsidR="00845B9F">
        <w:fldChar w:fldCharType="end"/>
      </w:r>
      <w:r w:rsidRPr="0072376D" w:rsidR="00845B9F">
        <w:t xml:space="preserve"> above).</w:t>
      </w:r>
    </w:p>
    <w:p w:rsidRPr="0072376D" w:rsidR="0038571B"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40</w:t>
      </w:r>
      <w:r w:rsidRPr="0072376D">
        <w:fldChar w:fldCharType="end"/>
      </w:r>
      <w:r w:rsidRPr="0072376D">
        <w:t>.  The Court observes</w:t>
      </w:r>
      <w:r w:rsidRPr="0072376D">
        <w:t xml:space="preserve"> in this connection</w:t>
      </w:r>
      <w:r w:rsidRPr="0072376D">
        <w:t xml:space="preserve"> that, as it appears from the applicant institute</w:t>
      </w:r>
      <w:r w:rsidRPr="0072376D" w:rsidR="0072376D">
        <w:t>’</w:t>
      </w:r>
      <w:r w:rsidRPr="0072376D">
        <w:t xml:space="preserve">s submissions to the Administrative Court, its claims were capable of raising issues </w:t>
      </w:r>
      <w:r w:rsidRPr="0072376D" w:rsidR="00270926">
        <w:t xml:space="preserve">of </w:t>
      </w:r>
      <w:r w:rsidRPr="0072376D">
        <w:t>both fact and law in relation to the Ministry</w:t>
      </w:r>
      <w:r w:rsidRPr="0072376D" w:rsidR="0072376D">
        <w:t>’</w:t>
      </w:r>
      <w:r w:rsidRPr="0072376D">
        <w:t xml:space="preserve">s decision of 30 March 2010 (see paragraph </w:t>
      </w:r>
      <w:r w:rsidRPr="0072376D" w:rsidR="00A711EF">
        <w:fldChar w:fldCharType="begin"/>
      </w:r>
      <w:r w:rsidRPr="0072376D" w:rsidR="00A711EF">
        <w:instrText xml:space="preserve"> REF bias2 \h </w:instrText>
      </w:r>
      <w:r w:rsidRPr="0072376D" w:rsidR="0013657F">
        <w:instrText xml:space="preserve"> \* MERGEFORMAT </w:instrText>
      </w:r>
      <w:r w:rsidRPr="0072376D" w:rsidR="00A711EF">
        <w:fldChar w:fldCharType="separate"/>
      </w:r>
      <w:r w:rsidRPr="0072376D" w:rsidR="0072376D">
        <w:rPr>
          <w:noProof/>
        </w:rPr>
        <w:t>11</w:t>
      </w:r>
      <w:r w:rsidRPr="0072376D" w:rsidR="00A711EF">
        <w:fldChar w:fldCharType="end"/>
      </w:r>
      <w:r w:rsidRPr="0072376D" w:rsidR="004948BE">
        <w:t xml:space="preserve"> above).</w:t>
      </w:r>
      <w:r w:rsidRPr="0072376D" w:rsidR="00B66238">
        <w:t xml:space="preserve"> T</w:t>
      </w:r>
      <w:r w:rsidRPr="0072376D" w:rsidR="00662C95">
        <w:t>he applicant institute</w:t>
      </w:r>
      <w:r w:rsidRPr="0072376D" w:rsidR="006A5050">
        <w:t xml:space="preserve"> consistently</w:t>
      </w:r>
      <w:r w:rsidRPr="0072376D" w:rsidR="00662C95">
        <w:t xml:space="preserve"> claimed</w:t>
      </w:r>
      <w:r w:rsidRPr="0072376D" w:rsidR="006A5050">
        <w:t xml:space="preserve"> </w:t>
      </w:r>
      <w:r w:rsidRPr="0072376D" w:rsidR="00662C95">
        <w:t xml:space="preserve">that </w:t>
      </w:r>
      <w:r w:rsidRPr="0072376D" w:rsidR="00FC6E7A">
        <w:t>the evaluators were in a situation of institutional bias which</w:t>
      </w:r>
      <w:r w:rsidRPr="0072376D" w:rsidR="00DF5E30">
        <w:t xml:space="preserve"> had</w:t>
      </w:r>
      <w:r w:rsidRPr="0072376D" w:rsidR="00FC6E7A">
        <w:t xml:space="preserve"> resulted in </w:t>
      </w:r>
      <w:r w:rsidRPr="0072376D" w:rsidR="005C6721">
        <w:t xml:space="preserve">substantive </w:t>
      </w:r>
      <w:r w:rsidRPr="0072376D" w:rsidR="00516361">
        <w:t xml:space="preserve">errors in the </w:t>
      </w:r>
      <w:r w:rsidRPr="0072376D" w:rsidR="00662C95">
        <w:t>proceedings for consideration of tenders</w:t>
      </w:r>
      <w:r w:rsidRPr="0072376D" w:rsidR="00516361">
        <w:t xml:space="preserve"> </w:t>
      </w:r>
      <w:r w:rsidRPr="0072376D" w:rsidR="006A0021">
        <w:t xml:space="preserve">and in the evaluation of the programmes </w:t>
      </w:r>
      <w:r w:rsidRPr="0072376D" w:rsidR="006A5050">
        <w:t xml:space="preserve">(see paragraphs </w:t>
      </w:r>
      <w:r w:rsidRPr="0072376D" w:rsidR="006A5050">
        <w:fldChar w:fldCharType="begin"/>
      </w:r>
      <w:r w:rsidRPr="0072376D" w:rsidR="006A5050">
        <w:instrText xml:space="preserve"> REF bias1 \h </w:instrText>
      </w:r>
      <w:r w:rsidRPr="0072376D" w:rsidR="0013657F">
        <w:instrText xml:space="preserve"> \* MERGEFORMAT </w:instrText>
      </w:r>
      <w:r w:rsidRPr="0072376D" w:rsidR="006A5050">
        <w:fldChar w:fldCharType="separate"/>
      </w:r>
      <w:r w:rsidRPr="0072376D" w:rsidR="0072376D">
        <w:rPr>
          <w:noProof/>
        </w:rPr>
        <w:t>10</w:t>
      </w:r>
      <w:r w:rsidRPr="0072376D" w:rsidR="006A5050">
        <w:fldChar w:fldCharType="end"/>
      </w:r>
      <w:r w:rsidRPr="0072376D" w:rsidR="006A5050">
        <w:t xml:space="preserve">, </w:t>
      </w:r>
      <w:r w:rsidRPr="0072376D" w:rsidR="006A5050">
        <w:fldChar w:fldCharType="begin"/>
      </w:r>
      <w:r w:rsidRPr="0072376D" w:rsidR="006A5050">
        <w:instrText xml:space="preserve"> REF bias2 \h </w:instrText>
      </w:r>
      <w:r w:rsidRPr="0072376D" w:rsidR="0013657F">
        <w:instrText xml:space="preserve"> \* MERGEFORMAT </w:instrText>
      </w:r>
      <w:r w:rsidRPr="0072376D" w:rsidR="006A5050">
        <w:fldChar w:fldCharType="separate"/>
      </w:r>
      <w:r w:rsidRPr="0072376D" w:rsidR="0072376D">
        <w:rPr>
          <w:noProof/>
        </w:rPr>
        <w:t>11</w:t>
      </w:r>
      <w:r w:rsidRPr="0072376D" w:rsidR="006A5050">
        <w:fldChar w:fldCharType="end"/>
      </w:r>
      <w:r w:rsidRPr="0072376D" w:rsidR="006A5050">
        <w:t xml:space="preserve">, </w:t>
      </w:r>
      <w:r w:rsidRPr="0072376D" w:rsidR="006A5050">
        <w:fldChar w:fldCharType="begin"/>
      </w:r>
      <w:r w:rsidRPr="0072376D" w:rsidR="006A5050">
        <w:instrText xml:space="preserve"> REF bias3 \h </w:instrText>
      </w:r>
      <w:r w:rsidRPr="0072376D" w:rsidR="0013657F">
        <w:instrText xml:space="preserve"> \* MERGEFORMAT </w:instrText>
      </w:r>
      <w:r w:rsidRPr="0072376D" w:rsidR="006A5050">
        <w:fldChar w:fldCharType="separate"/>
      </w:r>
      <w:r w:rsidRPr="0072376D" w:rsidR="0072376D">
        <w:rPr>
          <w:noProof/>
        </w:rPr>
        <w:t>14</w:t>
      </w:r>
      <w:r w:rsidRPr="0072376D" w:rsidR="006A5050">
        <w:fldChar w:fldCharType="end"/>
      </w:r>
      <w:r w:rsidRPr="0072376D" w:rsidR="006A5050">
        <w:t xml:space="preserve"> and </w:t>
      </w:r>
      <w:r w:rsidRPr="0072376D" w:rsidR="006A5050">
        <w:fldChar w:fldCharType="begin"/>
      </w:r>
      <w:r w:rsidRPr="0072376D" w:rsidR="006A5050">
        <w:instrText xml:space="preserve"> REF bias4 \h </w:instrText>
      </w:r>
      <w:r w:rsidRPr="0072376D" w:rsidR="0013657F">
        <w:instrText xml:space="preserve"> \* MERGEFORMAT </w:instrText>
      </w:r>
      <w:r w:rsidRPr="0072376D" w:rsidR="006A5050">
        <w:fldChar w:fldCharType="separate"/>
      </w:r>
      <w:r w:rsidRPr="0072376D" w:rsidR="0072376D">
        <w:rPr>
          <w:noProof/>
        </w:rPr>
        <w:t>16</w:t>
      </w:r>
      <w:r w:rsidRPr="0072376D" w:rsidR="006A5050">
        <w:fldChar w:fldCharType="end"/>
      </w:r>
      <w:r w:rsidRPr="0072376D" w:rsidR="006A5050">
        <w:t xml:space="preserve"> above)</w:t>
      </w:r>
      <w:r w:rsidRPr="0072376D" w:rsidR="00516361">
        <w:t>.</w:t>
      </w:r>
    </w:p>
    <w:p w:rsidRPr="0072376D" w:rsidR="00853461"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41</w:t>
      </w:r>
      <w:r w:rsidRPr="0072376D">
        <w:fldChar w:fldCharType="end"/>
      </w:r>
      <w:r w:rsidRPr="0072376D">
        <w:t xml:space="preserve">.  It is further noted </w:t>
      </w:r>
      <w:r w:rsidRPr="0072376D" w:rsidR="006A5050">
        <w:t xml:space="preserve">that the Government </w:t>
      </w:r>
      <w:r w:rsidRPr="0072376D" w:rsidR="00356A76">
        <w:t>acknowledged</w:t>
      </w:r>
      <w:r w:rsidRPr="0072376D" w:rsidR="006A5050">
        <w:t xml:space="preserve"> in </w:t>
      </w:r>
      <w:r w:rsidRPr="0072376D">
        <w:t>their</w:t>
      </w:r>
      <w:r w:rsidRPr="0072376D" w:rsidR="006A5050">
        <w:t xml:space="preserve"> observations that </w:t>
      </w:r>
      <w:r w:rsidRPr="0072376D" w:rsidR="00356A76">
        <w:t xml:space="preserve">the facts </w:t>
      </w:r>
      <w:r w:rsidRPr="0072376D">
        <w:t xml:space="preserve">of the case </w:t>
      </w:r>
      <w:r w:rsidRPr="0072376D" w:rsidR="00356A76">
        <w:t xml:space="preserve">were disputed between the parties (see paragraph </w:t>
      </w:r>
      <w:r w:rsidRPr="0072376D" w:rsidR="00356A76">
        <w:fldChar w:fldCharType="begin"/>
      </w:r>
      <w:r w:rsidRPr="0072376D" w:rsidR="00356A76">
        <w:instrText xml:space="preserve"> REF government_arguments_2 \h </w:instrText>
      </w:r>
      <w:r w:rsidRPr="0072376D" w:rsidR="0013657F">
        <w:instrText xml:space="preserve"> \* MERGEFORMAT </w:instrText>
      </w:r>
      <w:r w:rsidRPr="0072376D" w:rsidR="00356A76">
        <w:fldChar w:fldCharType="separate"/>
      </w:r>
      <w:r w:rsidRPr="0072376D" w:rsidR="0072376D">
        <w:rPr>
          <w:noProof/>
        </w:rPr>
        <w:t>34</w:t>
      </w:r>
      <w:r w:rsidRPr="0072376D" w:rsidR="00356A76">
        <w:fldChar w:fldCharType="end"/>
      </w:r>
      <w:r w:rsidRPr="0072376D" w:rsidR="00B71433">
        <w:t xml:space="preserve"> above).</w:t>
      </w:r>
    </w:p>
    <w:p w:rsidRPr="0072376D" w:rsidR="00853461"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42</w:t>
      </w:r>
      <w:r w:rsidRPr="0072376D">
        <w:fldChar w:fldCharType="end"/>
      </w:r>
      <w:r w:rsidRPr="0072376D">
        <w:t>.  The Court therefore accepts that the</w:t>
      </w:r>
      <w:r w:rsidRPr="0072376D" w:rsidR="00532E29">
        <w:t xml:space="preserve"> issues pending before the </w:t>
      </w:r>
      <w:r w:rsidRPr="0072376D">
        <w:t xml:space="preserve">Administrative Court </w:t>
      </w:r>
      <w:r w:rsidRPr="0072376D" w:rsidR="00532E29">
        <w:t>related also to the facts.</w:t>
      </w:r>
    </w:p>
    <w:p w:rsidRPr="0072376D" w:rsidR="00B66238" w:rsidP="0072376D">
      <w:pPr>
        <w:pStyle w:val="ECHRPara"/>
        <w:rPr>
          <w:lang w:val="sl-SI"/>
        </w:rPr>
      </w:pPr>
      <w:r w:rsidRPr="0072376D">
        <w:fldChar w:fldCharType="begin"/>
      </w:r>
      <w:r w:rsidRPr="0072376D">
        <w:instrText xml:space="preserve"> SEQ level0 \*arabic </w:instrText>
      </w:r>
      <w:r w:rsidRPr="0072376D">
        <w:fldChar w:fldCharType="separate"/>
      </w:r>
      <w:r w:rsidRPr="0072376D" w:rsidR="0072376D">
        <w:rPr>
          <w:noProof/>
        </w:rPr>
        <w:t>43</w:t>
      </w:r>
      <w:r w:rsidRPr="0072376D">
        <w:fldChar w:fldCharType="end"/>
      </w:r>
      <w:r w:rsidRPr="0072376D">
        <w:t>.  The Court observes that t</w:t>
      </w:r>
      <w:r w:rsidRPr="0072376D" w:rsidR="00995DAF">
        <w:t>he applicant institute expressly requested</w:t>
      </w:r>
      <w:r w:rsidRPr="0072376D" w:rsidR="00F92631">
        <w:t xml:space="preserve"> that </w:t>
      </w:r>
      <w:r w:rsidRPr="0072376D" w:rsidR="00995DAF">
        <w:t xml:space="preserve">a hearing </w:t>
      </w:r>
      <w:r w:rsidRPr="0072376D" w:rsidR="00DD0AD9">
        <w:t>be held</w:t>
      </w:r>
      <w:r w:rsidRPr="0072376D">
        <w:t xml:space="preserve">. </w:t>
      </w:r>
      <w:r w:rsidRPr="0072376D" w:rsidR="00270926">
        <w:t xml:space="preserve">Its </w:t>
      </w:r>
      <w:r w:rsidRPr="0072376D">
        <w:t xml:space="preserve">request referred to concrete evidence </w:t>
      </w:r>
      <w:r w:rsidRPr="0072376D" w:rsidR="00270926">
        <w:t>which it asked the court to take</w:t>
      </w:r>
      <w:r w:rsidRPr="0072376D">
        <w:t xml:space="preserve">, namely </w:t>
      </w:r>
      <w:r w:rsidRPr="0072376D" w:rsidR="00D24B48">
        <w:t xml:space="preserve">to </w:t>
      </w:r>
      <w:r w:rsidRPr="0072376D" w:rsidR="003E5A4D">
        <w:t>hear</w:t>
      </w:r>
      <w:r w:rsidRPr="0072376D" w:rsidR="006A0021">
        <w:t xml:space="preserve"> a certain K.</w:t>
      </w:r>
      <w:r w:rsidRPr="0072376D">
        <w:t xml:space="preserve"> in respect of facts relevant </w:t>
      </w:r>
      <w:r w:rsidRPr="0072376D" w:rsidR="00D24B48">
        <w:t xml:space="preserve">for </w:t>
      </w:r>
      <w:r w:rsidRPr="0072376D">
        <w:t xml:space="preserve">the assessment of the impartiality of persons involved in the determination of the tender. The Court is of the view that this aspect of the case can be said to have been relevant for the </w:t>
      </w:r>
      <w:r w:rsidRPr="0072376D" w:rsidR="00995DAF">
        <w:t xml:space="preserve">outcome of the proceedings (see paragraph </w:t>
      </w:r>
      <w:r w:rsidRPr="0072376D" w:rsidR="00995DAF">
        <w:fldChar w:fldCharType="begin"/>
      </w:r>
      <w:r w:rsidRPr="0072376D" w:rsidR="00995DAF">
        <w:instrText xml:space="preserve"> REF bias2 \h </w:instrText>
      </w:r>
      <w:r w:rsidRPr="0072376D" w:rsidR="0096667D">
        <w:instrText xml:space="preserve"> \* MERGEFORMAT </w:instrText>
      </w:r>
      <w:r w:rsidRPr="0072376D" w:rsidR="00995DAF">
        <w:fldChar w:fldCharType="separate"/>
      </w:r>
      <w:r w:rsidRPr="0072376D" w:rsidR="0072376D">
        <w:rPr>
          <w:noProof/>
        </w:rPr>
        <w:t>11</w:t>
      </w:r>
      <w:r w:rsidRPr="0072376D" w:rsidR="00995DAF">
        <w:fldChar w:fldCharType="end"/>
      </w:r>
      <w:r w:rsidRPr="0072376D" w:rsidR="00995DAF">
        <w:t xml:space="preserve"> above)</w:t>
      </w:r>
      <w:r w:rsidRPr="0072376D">
        <w:t xml:space="preserve"> and that these matters </w:t>
      </w:r>
      <w:r w:rsidRPr="0072376D" w:rsidR="00C434C8">
        <w:t xml:space="preserve">were disputed between the parties (see paragraph </w:t>
      </w:r>
      <w:r w:rsidRPr="0072376D" w:rsidR="00C434C8">
        <w:fldChar w:fldCharType="begin"/>
      </w:r>
      <w:r w:rsidRPr="0072376D" w:rsidR="00C434C8">
        <w:instrText xml:space="preserve"> REF government_arguments_2 \h  \* MERGEFORMAT </w:instrText>
      </w:r>
      <w:r w:rsidRPr="0072376D" w:rsidR="00C434C8">
        <w:fldChar w:fldCharType="separate"/>
      </w:r>
      <w:r w:rsidRPr="0072376D" w:rsidR="0072376D">
        <w:rPr>
          <w:noProof/>
        </w:rPr>
        <w:t>34</w:t>
      </w:r>
      <w:r w:rsidRPr="0072376D" w:rsidR="00C434C8">
        <w:fldChar w:fldCharType="end"/>
      </w:r>
      <w:r w:rsidRPr="0072376D" w:rsidR="00C434C8">
        <w:t xml:space="preserve"> above).</w:t>
      </w:r>
    </w:p>
    <w:p w:rsidRPr="0072376D" w:rsidR="00CC2481"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44</w:t>
      </w:r>
      <w:r w:rsidRPr="0072376D">
        <w:fldChar w:fldCharType="end"/>
      </w:r>
      <w:r w:rsidRPr="0072376D">
        <w:t>.  </w:t>
      </w:r>
      <w:r w:rsidRPr="0072376D" w:rsidR="005157CC">
        <w:t xml:space="preserve">The </w:t>
      </w:r>
      <w:r w:rsidRPr="0072376D">
        <w:t xml:space="preserve">Court </w:t>
      </w:r>
      <w:r w:rsidRPr="0072376D" w:rsidR="005157CC">
        <w:t xml:space="preserve">is well aware </w:t>
      </w:r>
      <w:r w:rsidRPr="0072376D">
        <w:t>that the domestic law does not always require that a hearing be held before the Administrative Court</w:t>
      </w:r>
      <w:r w:rsidRPr="0072376D" w:rsidR="005157CC">
        <w:t xml:space="preserve">. However, this is </w:t>
      </w:r>
      <w:r w:rsidRPr="0072376D" w:rsidR="00270926">
        <w:t xml:space="preserve">permissible </w:t>
      </w:r>
      <w:r w:rsidRPr="0072376D">
        <w:t xml:space="preserve">only </w:t>
      </w:r>
      <w:r w:rsidRPr="0072376D" w:rsidR="005157CC">
        <w:t xml:space="preserve">in </w:t>
      </w:r>
      <w:r w:rsidRPr="0072376D">
        <w:t>a limited number of situations (see paragraph</w:t>
      </w:r>
      <w:r w:rsidRPr="0072376D" w:rsidR="00FC48DF">
        <w:t> </w:t>
      </w:r>
      <w:r w:rsidRPr="0072376D" w:rsidR="00DD0AD9">
        <w:fldChar w:fldCharType="begin"/>
      </w:r>
      <w:r w:rsidRPr="0072376D" w:rsidR="00DD0AD9">
        <w:instrText xml:space="preserve"> REF ADA_hearing \h </w:instrText>
      </w:r>
      <w:r w:rsidRPr="0072376D" w:rsidR="00AD4F63">
        <w:instrText xml:space="preserve"> \* MERGEFORMAT </w:instrText>
      </w:r>
      <w:r w:rsidRPr="0072376D" w:rsidR="00DD0AD9">
        <w:fldChar w:fldCharType="separate"/>
      </w:r>
      <w:r w:rsidRPr="0072376D" w:rsidR="0072376D">
        <w:rPr>
          <w:noProof/>
        </w:rPr>
        <w:t>22</w:t>
      </w:r>
      <w:r w:rsidRPr="0072376D" w:rsidR="00DD0AD9">
        <w:fldChar w:fldCharType="end"/>
      </w:r>
      <w:r w:rsidRPr="0072376D">
        <w:t xml:space="preserve"> above). In this regard, the Court observes that the Administrative Court</w:t>
      </w:r>
      <w:r w:rsidRPr="0072376D" w:rsidR="00995DAF">
        <w:t xml:space="preserve"> </w:t>
      </w:r>
      <w:r w:rsidRPr="0072376D">
        <w:t>– except in the summary of the parties</w:t>
      </w:r>
      <w:r w:rsidRPr="0072376D" w:rsidR="0072376D">
        <w:t>’</w:t>
      </w:r>
      <w:r w:rsidRPr="0072376D">
        <w:t xml:space="preserve"> submissions</w:t>
      </w:r>
      <w:r w:rsidRPr="0072376D" w:rsidR="002759CD">
        <w:t xml:space="preserve"> </w:t>
      </w:r>
      <w:r w:rsidRPr="0072376D">
        <w:t>– neither acknowledge</w:t>
      </w:r>
      <w:r w:rsidRPr="0072376D" w:rsidR="00995DAF">
        <w:t>d</w:t>
      </w:r>
      <w:r w:rsidRPr="0072376D">
        <w:t xml:space="preserve"> the applicant institute</w:t>
      </w:r>
      <w:r w:rsidRPr="0072376D" w:rsidR="0072376D">
        <w:t>’</w:t>
      </w:r>
      <w:r w:rsidRPr="0072376D">
        <w:t xml:space="preserve">s request that a hearing be held, nor </w:t>
      </w:r>
      <w:r w:rsidRPr="0072376D" w:rsidR="00270926">
        <w:t xml:space="preserve">gave </w:t>
      </w:r>
      <w:r w:rsidRPr="0072376D">
        <w:t>any reasons for not granting the request (see paragraph</w:t>
      </w:r>
      <w:r w:rsidRPr="0072376D" w:rsidR="00550759">
        <w:t>s</w:t>
      </w:r>
      <w:r w:rsidRPr="0072376D">
        <w:t xml:space="preserve"> </w:t>
      </w:r>
      <w:r w:rsidRPr="0072376D">
        <w:fldChar w:fldCharType="begin"/>
      </w:r>
      <w:r w:rsidRPr="0072376D">
        <w:instrText xml:space="preserve"> REF admin_court_judgment \h </w:instrText>
      </w:r>
      <w:r w:rsidRPr="0072376D" w:rsidR="0013657F">
        <w:instrText xml:space="preserve"> \* MERGEFORMAT </w:instrText>
      </w:r>
      <w:r w:rsidRPr="0072376D">
        <w:fldChar w:fldCharType="separate"/>
      </w:r>
      <w:r w:rsidRPr="0072376D" w:rsidR="0072376D">
        <w:rPr>
          <w:noProof/>
        </w:rPr>
        <w:t>12</w:t>
      </w:r>
      <w:r w:rsidRPr="0072376D">
        <w:fldChar w:fldCharType="end"/>
      </w:r>
      <w:r w:rsidRPr="0072376D" w:rsidR="00550759">
        <w:t xml:space="preserve"> and </w:t>
      </w:r>
      <w:r w:rsidRPr="0072376D" w:rsidR="00550759">
        <w:fldChar w:fldCharType="begin"/>
      </w:r>
      <w:r w:rsidRPr="0072376D" w:rsidR="00550759">
        <w:instrText xml:space="preserve"> REF para13 \h </w:instrText>
      </w:r>
      <w:r w:rsidRPr="0072376D" w:rsidR="0013657F">
        <w:instrText xml:space="preserve"> \* MERGEFORMAT </w:instrText>
      </w:r>
      <w:r w:rsidRPr="0072376D" w:rsidR="00550759">
        <w:fldChar w:fldCharType="separate"/>
      </w:r>
      <w:r w:rsidRPr="0072376D" w:rsidR="0072376D">
        <w:rPr>
          <w:noProof/>
        </w:rPr>
        <w:t>13</w:t>
      </w:r>
      <w:r w:rsidRPr="0072376D" w:rsidR="00550759">
        <w:fldChar w:fldCharType="end"/>
      </w:r>
      <w:r w:rsidRPr="0072376D">
        <w:t xml:space="preserve"> above).</w:t>
      </w:r>
      <w:r w:rsidRPr="0072376D" w:rsidR="005157CC">
        <w:t xml:space="preserve"> Hence, </w:t>
      </w:r>
      <w:r w:rsidRPr="0072376D" w:rsidR="00532E29">
        <w:t xml:space="preserve">in the absence of any explanation as to why the </w:t>
      </w:r>
      <w:r w:rsidRPr="0072376D" w:rsidR="00550759">
        <w:t xml:space="preserve">Administrative Court </w:t>
      </w:r>
      <w:r w:rsidRPr="0072376D" w:rsidR="00532E29">
        <w:t>considered that it was n</w:t>
      </w:r>
      <w:r w:rsidRPr="0072376D" w:rsidR="00366796">
        <w:t xml:space="preserve">ot necessary to hold a hearing, it is difficult for the Court </w:t>
      </w:r>
      <w:r w:rsidRPr="0072376D" w:rsidR="00F6569F">
        <w:t>to ascertain whether it simply neglected to deal with the applicant institute</w:t>
      </w:r>
      <w:r w:rsidRPr="0072376D" w:rsidR="0072376D">
        <w:t>’</w:t>
      </w:r>
      <w:r w:rsidRPr="0072376D" w:rsidR="00F6569F">
        <w:t>s request for such a hearing or whether it intended to dismiss it and, if that were its intention, what its reasons were for so deciding</w:t>
      </w:r>
      <w:r w:rsidRPr="0072376D" w:rsidR="00270926">
        <w:t>. It is also difficult for the Court</w:t>
      </w:r>
      <w:r w:rsidRPr="0072376D" w:rsidR="00366796">
        <w:t xml:space="preserve"> to </w:t>
      </w:r>
      <w:r w:rsidRPr="0072376D" w:rsidR="005157CC">
        <w:t xml:space="preserve">draw any conclusions as to which legal provision was regarded by the </w:t>
      </w:r>
      <w:r w:rsidRPr="0072376D" w:rsidR="00550759">
        <w:t xml:space="preserve">Administrative Court </w:t>
      </w:r>
      <w:r w:rsidRPr="0072376D" w:rsidR="005157CC">
        <w:t>to form a legal b</w:t>
      </w:r>
      <w:r w:rsidRPr="0072376D" w:rsidR="00F25B4B">
        <w:t>asis for not holding a hearing</w:t>
      </w:r>
      <w:r w:rsidRPr="0072376D" w:rsidR="004948BE">
        <w:t xml:space="preserve"> </w:t>
      </w:r>
      <w:r w:rsidRPr="0072376D" w:rsidR="0029436A">
        <w:t xml:space="preserve">and how this legal provision was interpreted against the factual background of the case </w:t>
      </w:r>
      <w:r w:rsidRPr="0072376D" w:rsidR="004948BE">
        <w:t xml:space="preserve">(see, </w:t>
      </w:r>
      <w:r w:rsidRPr="0072376D" w:rsidR="004948BE">
        <w:rPr>
          <w:i/>
        </w:rPr>
        <w:t>mutatis mutandis</w:t>
      </w:r>
      <w:r w:rsidRPr="0072376D" w:rsidR="004948BE">
        <w:t xml:space="preserve">, </w:t>
      </w:r>
      <w:r w:rsidRPr="0072376D" w:rsidR="00F6569F">
        <w:rPr>
          <w:i/>
        </w:rPr>
        <w:t xml:space="preserve">Hiro </w:t>
      </w:r>
      <w:r w:rsidRPr="0072376D" w:rsidR="00F6569F">
        <w:rPr>
          <w:i/>
        </w:rPr>
        <w:t>Balani</w:t>
      </w:r>
      <w:r w:rsidRPr="0072376D" w:rsidR="00F6569F">
        <w:rPr>
          <w:i/>
        </w:rPr>
        <w:t xml:space="preserve"> v. Spain</w:t>
      </w:r>
      <w:r w:rsidRPr="0072376D" w:rsidR="00F6569F">
        <w:t>, 9 December 1994, § 28, Series A no. 303-B, and</w:t>
      </w:r>
      <w:r w:rsidRPr="0072376D" w:rsidR="00F6569F">
        <w:rPr>
          <w:i/>
        </w:rPr>
        <w:t xml:space="preserve"> </w:t>
      </w:r>
      <w:r w:rsidRPr="0072376D" w:rsidR="004948BE">
        <w:rPr>
          <w:i/>
        </w:rPr>
        <w:t>Tabor v. Poland</w:t>
      </w:r>
      <w:r w:rsidRPr="0072376D" w:rsidR="004948BE">
        <w:t>, no.</w:t>
      </w:r>
      <w:r w:rsidRPr="0072376D" w:rsidR="00F6569F">
        <w:t> </w:t>
      </w:r>
      <w:r w:rsidRPr="0072376D" w:rsidR="004948BE">
        <w:t>12825/02, § 45, 27</w:t>
      </w:r>
      <w:r w:rsidRPr="0072376D" w:rsidR="00FC48DF">
        <w:t> </w:t>
      </w:r>
      <w:r w:rsidRPr="0072376D" w:rsidR="004948BE">
        <w:t>June 2006)</w:t>
      </w:r>
      <w:r w:rsidRPr="0072376D" w:rsidR="00F25B4B">
        <w:t>.</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45</w:t>
      </w:r>
      <w:r w:rsidRPr="0072376D">
        <w:fldChar w:fldCharType="end"/>
      </w:r>
      <w:r w:rsidRPr="0072376D">
        <w:t>.  </w:t>
      </w:r>
      <w:r w:rsidRPr="0072376D" w:rsidR="005157CC">
        <w:t xml:space="preserve">Having regard to the </w:t>
      </w:r>
      <w:r w:rsidRPr="0072376D" w:rsidR="00532E29">
        <w:t xml:space="preserve">above considerations, </w:t>
      </w:r>
      <w:r w:rsidRPr="0072376D" w:rsidR="00886356">
        <w:t>the Court concludes that the proceedings were not fair and that, accordingly, there has been a violation of Article 6 § 1 of the Convention</w:t>
      </w:r>
      <w:r w:rsidRPr="0072376D" w:rsidR="00391461">
        <w:t>.</w:t>
      </w:r>
    </w:p>
    <w:p w:rsidRPr="0072376D" w:rsidR="00751719"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46</w:t>
      </w:r>
      <w:r w:rsidRPr="0072376D">
        <w:fldChar w:fldCharType="end"/>
      </w:r>
      <w:r w:rsidRPr="0072376D">
        <w:t xml:space="preserve">.  Having regard to the facts of the case, the submissions of the parties and its above finding under Article 6, the Court considers that it has examined the main legal questions raised in the present application and that there is no need to give a separate ruling on the remaining complaints (see, among other authorities, </w:t>
      </w:r>
      <w:r w:rsidRPr="0072376D" w:rsidR="00D91BA1">
        <w:rPr>
          <w:i/>
        </w:rPr>
        <w:t xml:space="preserve">Centre for Legal Resources on behalf of Valentin </w:t>
      </w:r>
      <w:r w:rsidRPr="0072376D" w:rsidR="00D91BA1">
        <w:rPr>
          <w:i/>
        </w:rPr>
        <w:t>Câmpeanu</w:t>
      </w:r>
      <w:r w:rsidRPr="0072376D" w:rsidR="00D91BA1">
        <w:rPr>
          <w:i/>
        </w:rPr>
        <w:t xml:space="preserve"> v. Romania</w:t>
      </w:r>
      <w:r w:rsidRPr="0072376D" w:rsidR="00D91BA1">
        <w:t xml:space="preserve"> [GC], no. 47848/08, § 156, ECHR 2014 and </w:t>
      </w:r>
      <w:r w:rsidRPr="0072376D">
        <w:rPr>
          <w:i/>
        </w:rPr>
        <w:t>Kamil</w:t>
      </w:r>
      <w:r w:rsidRPr="0072376D">
        <w:rPr>
          <w:i/>
        </w:rPr>
        <w:t xml:space="preserve"> Uzun v. Turkey</w:t>
      </w:r>
      <w:r w:rsidRPr="0072376D">
        <w:t>, no. 37410/97, § 64, 10 May 2007).</w:t>
      </w:r>
    </w:p>
    <w:p w:rsidRPr="0072376D" w:rsidR="00014566" w:rsidP="0072376D">
      <w:pPr>
        <w:pStyle w:val="ECHRHeading1"/>
      </w:pPr>
      <w:r w:rsidRPr="0072376D">
        <w:t>II</w:t>
      </w:r>
      <w:r w:rsidRPr="0072376D">
        <w:t>.</w:t>
      </w:r>
      <w:r w:rsidRPr="0072376D">
        <w:t>  APPLICATION</w:t>
      </w:r>
      <w:r w:rsidRPr="0072376D">
        <w:t xml:space="preserve"> OF ARTICLE 41 OF THE CONVENTION</w:t>
      </w:r>
    </w:p>
    <w:p w:rsidRPr="0072376D" w:rsidR="00014566" w:rsidP="0072376D">
      <w:pPr>
        <w:pStyle w:val="ECHRPara"/>
        <w:keepNext/>
        <w:keepLines/>
      </w:pPr>
      <w:r w:rsidRPr="0072376D">
        <w:fldChar w:fldCharType="begin"/>
      </w:r>
      <w:r w:rsidRPr="0072376D">
        <w:instrText xml:space="preserve"> SEQ level0 \*arabic </w:instrText>
      </w:r>
      <w:r w:rsidRPr="0072376D">
        <w:fldChar w:fldCharType="separate"/>
      </w:r>
      <w:r w:rsidRPr="0072376D" w:rsidR="0072376D">
        <w:rPr>
          <w:noProof/>
        </w:rPr>
        <w:t>47</w:t>
      </w:r>
      <w:r w:rsidRPr="0072376D">
        <w:fldChar w:fldCharType="end"/>
      </w:r>
      <w:r w:rsidRPr="0072376D">
        <w:t>.  Article 41 of the Convention provides:</w:t>
      </w:r>
    </w:p>
    <w:p w:rsidRPr="0072376D" w:rsidR="00014566" w:rsidP="0072376D">
      <w:pPr>
        <w:pStyle w:val="ECHRParaQuote"/>
        <w:keepNext/>
        <w:keepLines/>
      </w:pPr>
      <w:r w:rsidRPr="0072376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2376D" w:rsidR="00014566" w:rsidP="0072376D">
      <w:pPr>
        <w:pStyle w:val="ECHRHeading2"/>
      </w:pPr>
      <w:r w:rsidRPr="0072376D">
        <w:t>A.  Damage</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48</w:t>
      </w:r>
      <w:r w:rsidRPr="0072376D">
        <w:fldChar w:fldCharType="end"/>
      </w:r>
      <w:r w:rsidRPr="0072376D">
        <w:t xml:space="preserve">.  The applicant </w:t>
      </w:r>
      <w:r w:rsidRPr="0072376D" w:rsidR="00835239">
        <w:t xml:space="preserve">institute </w:t>
      </w:r>
      <w:r w:rsidRPr="0072376D">
        <w:t xml:space="preserve">claimed </w:t>
      </w:r>
      <w:r w:rsidRPr="0072376D" w:rsidR="00835239">
        <w:t>1,871,870</w:t>
      </w:r>
      <w:r w:rsidRPr="0072376D">
        <w:t xml:space="preserve"> euros (EUR) in respect of pecuniary </w:t>
      </w:r>
      <w:r w:rsidRPr="0072376D" w:rsidR="00835239">
        <w:t>damage</w:t>
      </w:r>
      <w:r w:rsidRPr="0072376D" w:rsidR="00270926">
        <w:t>. The claim represents</w:t>
      </w:r>
      <w:r w:rsidRPr="0072376D" w:rsidR="00835239">
        <w:t xml:space="preserve"> the amount of </w:t>
      </w:r>
      <w:r w:rsidRPr="0072376D" w:rsidR="00917FC7">
        <w:t xml:space="preserve">financing the applicant institute estimates it would </w:t>
      </w:r>
      <w:r w:rsidRPr="0072376D" w:rsidR="00270926">
        <w:t xml:space="preserve">have </w:t>
      </w:r>
      <w:r w:rsidRPr="0072376D" w:rsidR="00917FC7">
        <w:t>receive</w:t>
      </w:r>
      <w:r w:rsidRPr="0072376D" w:rsidR="00270926">
        <w:t>d</w:t>
      </w:r>
      <w:r w:rsidRPr="0072376D" w:rsidR="00917FC7">
        <w:t xml:space="preserve"> had it been successful in the tendering procedure.</w:t>
      </w:r>
      <w:r w:rsidRPr="0072376D" w:rsidR="00270926">
        <w:t xml:space="preserve"> I</w:t>
      </w:r>
      <w:r w:rsidRPr="0072376D" w:rsidR="00917FC7">
        <w:t xml:space="preserve">t </w:t>
      </w:r>
      <w:r w:rsidRPr="0072376D" w:rsidR="00270926">
        <w:t xml:space="preserve">also </w:t>
      </w:r>
      <w:r w:rsidRPr="0072376D" w:rsidR="00917FC7">
        <w:t>claimed</w:t>
      </w:r>
      <w:r w:rsidRPr="0072376D">
        <w:t xml:space="preserve"> </w:t>
      </w:r>
      <w:r w:rsidRPr="0072376D" w:rsidR="00917FC7">
        <w:t xml:space="preserve">EUR 100,000 in respect of </w:t>
      </w:r>
      <w:r w:rsidRPr="0072376D" w:rsidR="00FC48DF">
        <w:t>non</w:t>
      </w:r>
      <w:r w:rsidRPr="0072376D" w:rsidR="00FC48DF">
        <w:noBreakHyphen/>
      </w:r>
      <w:r w:rsidRPr="0072376D">
        <w:t>pecuniary damage</w:t>
      </w:r>
      <w:r w:rsidRPr="0072376D" w:rsidR="00917FC7">
        <w:t xml:space="preserve"> on account of </w:t>
      </w:r>
      <w:r w:rsidRPr="0072376D" w:rsidR="00B60ED0">
        <w:t xml:space="preserve">the </w:t>
      </w:r>
      <w:r w:rsidRPr="0072376D" w:rsidR="00917FC7">
        <w:t xml:space="preserve">frustration </w:t>
      </w:r>
      <w:r w:rsidRPr="0072376D" w:rsidR="00B60ED0">
        <w:t xml:space="preserve">suffered by its </w:t>
      </w:r>
      <w:r w:rsidRPr="0072376D" w:rsidR="00917FC7">
        <w:t>management and loss of reputation</w:t>
      </w:r>
      <w:r w:rsidRPr="0072376D">
        <w:t>.</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49</w:t>
      </w:r>
      <w:r w:rsidRPr="0072376D">
        <w:fldChar w:fldCharType="end"/>
      </w:r>
      <w:r w:rsidRPr="0072376D">
        <w:t xml:space="preserve">.  The Government </w:t>
      </w:r>
      <w:r w:rsidRPr="0072376D" w:rsidR="0008057D">
        <w:t>insisted that the applicant institute was not entitled to any just satisfaction.</w:t>
      </w:r>
    </w:p>
    <w:p w:rsidRPr="0072376D" w:rsidR="001F5635"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50</w:t>
      </w:r>
      <w:r w:rsidRPr="0072376D">
        <w:fldChar w:fldCharType="end"/>
      </w:r>
      <w:r w:rsidRPr="0072376D" w:rsidR="00014566">
        <w:t>.  </w:t>
      </w:r>
      <w:r w:rsidRPr="0072376D" w:rsidR="009D58A9">
        <w:t>As to the alleged pecuniary damage, the Court cannot speculate as to what the outcome of the proceedings complained of would have been</w:t>
      </w:r>
      <w:r w:rsidRPr="0072376D" w:rsidR="00DB7FA1">
        <w:t>,</w:t>
      </w:r>
      <w:r w:rsidRPr="0072376D" w:rsidR="009D58A9">
        <w:t xml:space="preserve"> had the violation of the Convention not occurred. There </w:t>
      </w:r>
      <w:r w:rsidRPr="0072376D" w:rsidR="00DB7FA1">
        <w:t xml:space="preserve">are </w:t>
      </w:r>
      <w:r w:rsidRPr="0072376D" w:rsidR="009D58A9">
        <w:t>accordingly no ground</w:t>
      </w:r>
      <w:r w:rsidRPr="0072376D" w:rsidR="00DB7FA1">
        <w:t>s</w:t>
      </w:r>
      <w:r w:rsidRPr="0072376D" w:rsidR="009D58A9">
        <w:t xml:space="preserve"> for making any award under </w:t>
      </w:r>
      <w:r w:rsidRPr="0072376D" w:rsidR="00DB7FA1">
        <w:t xml:space="preserve">that </w:t>
      </w:r>
      <w:r w:rsidRPr="0072376D" w:rsidR="009D58A9">
        <w:t xml:space="preserve">head (see, </w:t>
      </w:r>
      <w:r w:rsidRPr="0072376D" w:rsidR="009D58A9">
        <w:rPr>
          <w:i/>
        </w:rPr>
        <w:t>mutatis mutandis</w:t>
      </w:r>
      <w:r w:rsidRPr="0072376D" w:rsidR="009D58A9">
        <w:t xml:space="preserve">, </w:t>
      </w:r>
      <w:r w:rsidRPr="0072376D" w:rsidR="00FC48DF">
        <w:rPr>
          <w:i/>
        </w:rPr>
        <w:t>Yvon</w:t>
      </w:r>
      <w:r w:rsidRPr="0072376D" w:rsidR="00FC48DF">
        <w:rPr>
          <w:i/>
        </w:rPr>
        <w:t xml:space="preserve"> v. </w:t>
      </w:r>
      <w:r w:rsidRPr="0072376D" w:rsidR="00070032">
        <w:rPr>
          <w:i/>
        </w:rPr>
        <w:t>France</w:t>
      </w:r>
      <w:r w:rsidRPr="0072376D" w:rsidR="00070032">
        <w:t>,</w:t>
      </w:r>
      <w:r w:rsidRPr="0072376D" w:rsidR="00070032">
        <w:rPr>
          <w:i/>
        </w:rPr>
        <w:t xml:space="preserve"> </w:t>
      </w:r>
      <w:r w:rsidRPr="0072376D" w:rsidR="00070032">
        <w:t>no. 44962/98, § 44, ECHR 2003</w:t>
      </w:r>
      <w:r w:rsidRPr="0072376D" w:rsidR="008C31EC">
        <w:t>-</w:t>
      </w:r>
      <w:r w:rsidRPr="0072376D" w:rsidR="00070032">
        <w:t>V</w:t>
      </w:r>
      <w:r w:rsidRPr="0072376D" w:rsidR="009D58A9">
        <w:t>).</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51</w:t>
      </w:r>
      <w:r w:rsidRPr="0072376D">
        <w:fldChar w:fldCharType="end"/>
      </w:r>
      <w:r w:rsidRPr="0072376D">
        <w:t xml:space="preserve">.  The Court notes that, like commercial companies, private institutes may be awarded pecuniary compensation for non-pecuniary damage. Non-pecuniary damage suffered by such </w:t>
      </w:r>
      <w:r w:rsidRPr="0072376D" w:rsidR="00C931D5">
        <w:t>institutes</w:t>
      </w:r>
      <w:r w:rsidRPr="0072376D">
        <w:t xml:space="preserve"> may include heads of claim that are to a greater or lesser extent “objective” or “subjective”. Among these, account should be taken of the </w:t>
      </w:r>
      <w:r w:rsidRPr="0072376D" w:rsidR="00C931D5">
        <w:t>institute</w:t>
      </w:r>
      <w:r w:rsidRPr="0072376D" w:rsidR="0072376D">
        <w:t>’</w:t>
      </w:r>
      <w:r w:rsidRPr="0072376D">
        <w:t xml:space="preserve">s reputation, uncertainty in decision-planning, disruption in the management of the </w:t>
      </w:r>
      <w:r w:rsidRPr="0072376D" w:rsidR="00C931D5">
        <w:t>institute</w:t>
      </w:r>
      <w:r w:rsidRPr="0072376D">
        <w:t xml:space="preserve"> (for which there is no precise method of calculating the consequences) and lastly, albeit to a lesser degree, the anxiety and inconvenience caused to the members of the management team (see</w:t>
      </w:r>
      <w:r w:rsidRPr="0072376D" w:rsidR="00C931D5">
        <w:t xml:space="preserve">, </w:t>
      </w:r>
      <w:r w:rsidRPr="0072376D" w:rsidR="00C931D5">
        <w:rPr>
          <w:i/>
        </w:rPr>
        <w:t>mutatis mutandis</w:t>
      </w:r>
      <w:r w:rsidRPr="0072376D" w:rsidR="00C931D5">
        <w:t>,</w:t>
      </w:r>
      <w:r w:rsidRPr="0072376D">
        <w:t xml:space="preserve"> </w:t>
      </w:r>
      <w:r w:rsidRPr="0072376D">
        <w:rPr>
          <w:i/>
        </w:rPr>
        <w:t>Comingersoll</w:t>
      </w:r>
      <w:r w:rsidRPr="0072376D">
        <w:rPr>
          <w:i/>
        </w:rPr>
        <w:t xml:space="preserve"> S.A. v. Portugal</w:t>
      </w:r>
      <w:r w:rsidRPr="0072376D">
        <w:t xml:space="preserve"> [GC], no. 35382/97, § 35, ECHR 2000-IV). Having regard to these criteria, the Court </w:t>
      </w:r>
      <w:r w:rsidRPr="0072376D">
        <w:t xml:space="preserve">awards the applicant </w:t>
      </w:r>
      <w:r w:rsidRPr="0072376D" w:rsidR="00B60ED0">
        <w:t xml:space="preserve">institute </w:t>
      </w:r>
      <w:r w:rsidRPr="0072376D">
        <w:t xml:space="preserve">EUR </w:t>
      </w:r>
      <w:r w:rsidRPr="0072376D" w:rsidR="000F0C3A">
        <w:t>4</w:t>
      </w:r>
      <w:r w:rsidRPr="0072376D" w:rsidR="006779A9">
        <w:t>,</w:t>
      </w:r>
      <w:r w:rsidRPr="0072376D" w:rsidR="00757E1E">
        <w:t>8</w:t>
      </w:r>
      <w:r w:rsidRPr="0072376D" w:rsidR="00D77DFA">
        <w:t>00</w:t>
      </w:r>
      <w:r w:rsidRPr="0072376D" w:rsidR="009C712F">
        <w:t xml:space="preserve"> in respect of non</w:t>
      </w:r>
      <w:r w:rsidRPr="0072376D" w:rsidR="009C712F">
        <w:noBreakHyphen/>
      </w:r>
      <w:r w:rsidRPr="0072376D">
        <w:t>pecuniary damage.</w:t>
      </w:r>
    </w:p>
    <w:p w:rsidRPr="0072376D" w:rsidR="00014566" w:rsidP="0072376D">
      <w:pPr>
        <w:pStyle w:val="ECHRHeading2"/>
      </w:pPr>
      <w:r w:rsidRPr="0072376D">
        <w:t>B.  Costs and expenses</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52</w:t>
      </w:r>
      <w:r w:rsidRPr="0072376D">
        <w:fldChar w:fldCharType="end"/>
      </w:r>
      <w:r w:rsidRPr="0072376D">
        <w:t xml:space="preserve">.  The applicant </w:t>
      </w:r>
      <w:r w:rsidRPr="0072376D" w:rsidR="00DB7FA1">
        <w:t xml:space="preserve">institute </w:t>
      </w:r>
      <w:r w:rsidRPr="0072376D">
        <w:t xml:space="preserve">also claimed EUR </w:t>
      </w:r>
      <w:r w:rsidRPr="0072376D" w:rsidR="001D4467">
        <w:t>11,995.26</w:t>
      </w:r>
      <w:r w:rsidRPr="0072376D">
        <w:t xml:space="preserve"> for the costs and expenses incurred before the domestic </w:t>
      </w:r>
      <w:r w:rsidRPr="0072376D" w:rsidR="001D4467">
        <w:t>authorities</w:t>
      </w:r>
      <w:r w:rsidRPr="0072376D">
        <w:t xml:space="preserve"> and EUR </w:t>
      </w:r>
      <w:r w:rsidRPr="0072376D" w:rsidR="001D4467">
        <w:t>2,468.8</w:t>
      </w:r>
      <w:r w:rsidRPr="0072376D" w:rsidR="00163BF9">
        <w:t>0</w:t>
      </w:r>
      <w:r w:rsidRPr="0072376D">
        <w:t xml:space="preserve"> for those incurred before the Court.</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53</w:t>
      </w:r>
      <w:r w:rsidRPr="0072376D">
        <w:fldChar w:fldCharType="end"/>
      </w:r>
      <w:r w:rsidRPr="0072376D">
        <w:t xml:space="preserve">.  The Government </w:t>
      </w:r>
      <w:r w:rsidRPr="0072376D" w:rsidR="004408DE">
        <w:t xml:space="preserve">disputed the amount of costs and expenses actually incurred in the domestic proceedings. Moreover, it pointed out that the applicant institute </w:t>
      </w:r>
      <w:r w:rsidRPr="0072376D" w:rsidR="00B60ED0">
        <w:t xml:space="preserve">had </w:t>
      </w:r>
      <w:r w:rsidRPr="0072376D" w:rsidR="004408DE">
        <w:t xml:space="preserve">submitted with its observations a set of documents that differed from those </w:t>
      </w:r>
      <w:r w:rsidRPr="0072376D" w:rsidR="00C13654">
        <w:t>submitted with the application.</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54</w:t>
      </w:r>
      <w:r w:rsidRPr="0072376D">
        <w:fldChar w:fldCharType="end"/>
      </w:r>
      <w:r w:rsidRPr="0072376D">
        <w:t>.  </w:t>
      </w:r>
      <w:r w:rsidRPr="0072376D">
        <w:t>According to the Court</w:t>
      </w:r>
      <w:r w:rsidRPr="0072376D" w:rsidR="0072376D">
        <w:t>’</w:t>
      </w:r>
      <w:r w:rsidRPr="0072376D">
        <w:t>s case-law, an applicant is entitled to the reimbursement of costs and expenses only in so far as it has been shown that these have been actually and necessarily incurred and are reasonable as to quantum. In the present case, regard</w:t>
      </w:r>
      <w:r w:rsidRPr="0072376D">
        <w:t xml:space="preserve"> being had to the documents in its possession and </w:t>
      </w:r>
      <w:r w:rsidRPr="0072376D">
        <w:t>the above criteria</w:t>
      </w:r>
      <w:r w:rsidRPr="0072376D">
        <w:t xml:space="preserve">, the Court considers it reasonable to award the sum of EUR </w:t>
      </w:r>
      <w:r w:rsidRPr="0072376D" w:rsidR="009D58A9">
        <w:t>4,000</w:t>
      </w:r>
      <w:r w:rsidRPr="0072376D">
        <w:t xml:space="preserve"> covering costs under all heads.</w:t>
      </w:r>
    </w:p>
    <w:p w:rsidRPr="0072376D" w:rsidR="00014566" w:rsidP="0072376D">
      <w:pPr>
        <w:pStyle w:val="ECHRHeading2"/>
      </w:pPr>
      <w:r w:rsidRPr="0072376D">
        <w:t>C.  Default interest</w:t>
      </w:r>
    </w:p>
    <w:p w:rsidRPr="0072376D" w:rsidR="00014566" w:rsidP="0072376D">
      <w:pPr>
        <w:pStyle w:val="ECHRPara"/>
      </w:pPr>
      <w:r w:rsidRPr="0072376D">
        <w:fldChar w:fldCharType="begin"/>
      </w:r>
      <w:r w:rsidRPr="0072376D">
        <w:instrText xml:space="preserve"> SEQ level0 \*arabic </w:instrText>
      </w:r>
      <w:r w:rsidRPr="0072376D">
        <w:fldChar w:fldCharType="separate"/>
      </w:r>
      <w:r w:rsidRPr="0072376D" w:rsidR="0072376D">
        <w:rPr>
          <w:noProof/>
        </w:rPr>
        <w:t>55</w:t>
      </w:r>
      <w:r w:rsidRPr="0072376D">
        <w:fldChar w:fldCharType="end"/>
      </w:r>
      <w:r w:rsidRPr="0072376D">
        <w:t>.  </w:t>
      </w:r>
      <w:r w:rsidRPr="0072376D">
        <w:t>The Court considers it appropriate that the default interest rate should be based on the marginal lending rate of the European Central Bank, to which should be added three percentage points.</w:t>
      </w:r>
    </w:p>
    <w:p w:rsidRPr="0072376D" w:rsidR="00014566" w:rsidP="0072376D">
      <w:pPr>
        <w:pStyle w:val="ECHRTitle1"/>
      </w:pPr>
      <w:r w:rsidRPr="0072376D">
        <w:t>FOR THESE REASONS, THE COURT</w:t>
      </w:r>
      <w:r w:rsidRPr="0072376D" w:rsidR="00EB0BBE">
        <w:t>, UNANIMOUSLY,</w:t>
      </w:r>
    </w:p>
    <w:p w:rsidRPr="0072376D" w:rsidR="00B637B9" w:rsidP="0072376D">
      <w:pPr>
        <w:pStyle w:val="JuList"/>
      </w:pPr>
      <w:r w:rsidRPr="0072376D">
        <w:t>1.  </w:t>
      </w:r>
      <w:r w:rsidRPr="0072376D">
        <w:rPr>
          <w:i/>
        </w:rPr>
        <w:t>Declares</w:t>
      </w:r>
      <w:r w:rsidRPr="0072376D" w:rsidR="00EB0BBE">
        <w:t xml:space="preserve"> </w:t>
      </w:r>
      <w:r w:rsidRPr="0072376D">
        <w:t xml:space="preserve">the </w:t>
      </w:r>
      <w:r w:rsidRPr="0072376D" w:rsidR="00181AB9">
        <w:t>application</w:t>
      </w:r>
      <w:r w:rsidRPr="0072376D">
        <w:t xml:space="preserve"> admissible;</w:t>
      </w:r>
    </w:p>
    <w:p w:rsidRPr="0072376D" w:rsidR="00014566" w:rsidP="0072376D">
      <w:pPr>
        <w:pStyle w:val="JuList"/>
        <w:ind w:left="0" w:firstLine="0"/>
      </w:pPr>
    </w:p>
    <w:p w:rsidRPr="0072376D" w:rsidR="00014566" w:rsidP="0072376D">
      <w:pPr>
        <w:pStyle w:val="JuList"/>
      </w:pPr>
      <w:r w:rsidRPr="0072376D">
        <w:t>2</w:t>
      </w:r>
      <w:r w:rsidRPr="0072376D">
        <w:t>.  </w:t>
      </w:r>
      <w:r w:rsidRPr="0072376D">
        <w:rPr>
          <w:i/>
        </w:rPr>
        <w:t>Holds</w:t>
      </w:r>
      <w:r w:rsidRPr="0072376D" w:rsidR="00EB0BBE">
        <w:t xml:space="preserve"> </w:t>
      </w:r>
      <w:r w:rsidRPr="0072376D">
        <w:t xml:space="preserve">that there has been a violation of Article </w:t>
      </w:r>
      <w:r w:rsidRPr="0072376D">
        <w:t>6 § 1</w:t>
      </w:r>
      <w:r w:rsidRPr="0072376D">
        <w:t xml:space="preserve"> of the Convention;</w:t>
      </w:r>
    </w:p>
    <w:p w:rsidRPr="0072376D" w:rsidR="00014566" w:rsidP="0072376D">
      <w:pPr>
        <w:pStyle w:val="JuList"/>
      </w:pPr>
    </w:p>
    <w:p w:rsidRPr="0072376D" w:rsidR="00014566" w:rsidP="0072376D">
      <w:pPr>
        <w:pStyle w:val="JuList"/>
      </w:pPr>
      <w:r w:rsidRPr="0072376D">
        <w:t>3</w:t>
      </w:r>
      <w:r w:rsidRPr="0072376D">
        <w:t>.  </w:t>
      </w:r>
      <w:r w:rsidRPr="0072376D">
        <w:rPr>
          <w:i/>
        </w:rPr>
        <w:t>Holds</w:t>
      </w:r>
    </w:p>
    <w:p w:rsidRPr="0072376D" w:rsidR="00014566" w:rsidP="0072376D">
      <w:pPr>
        <w:pStyle w:val="JuLista"/>
      </w:pPr>
      <w:r w:rsidRPr="0072376D">
        <w:t>(a)  that the respondent State is to pay the applicant</w:t>
      </w:r>
      <w:r w:rsidRPr="0072376D" w:rsidR="00DB7FA1">
        <w:t xml:space="preserve"> institute</w:t>
      </w:r>
      <w:r w:rsidRPr="0072376D">
        <w:t>, within three months</w:t>
      </w:r>
      <w:r w:rsidRPr="0072376D" w:rsidR="00181AB9">
        <w:t xml:space="preserve"> from the date on which the judgment becomes final in accordance with Article 44 § 2 of the Convention,</w:t>
      </w:r>
      <w:r w:rsidRPr="0072376D">
        <w:t xml:space="preserve"> the following amounts:</w:t>
      </w:r>
    </w:p>
    <w:p w:rsidRPr="0072376D" w:rsidR="00014566" w:rsidP="0072376D">
      <w:pPr>
        <w:pStyle w:val="JuListi"/>
      </w:pPr>
      <w:r w:rsidRPr="0072376D">
        <w:t>(</w:t>
      </w:r>
      <w:r w:rsidRPr="0072376D">
        <w:t>i</w:t>
      </w:r>
      <w:r w:rsidRPr="0072376D">
        <w:t xml:space="preserve">)  EUR </w:t>
      </w:r>
      <w:r w:rsidRPr="0072376D" w:rsidR="00757E1E">
        <w:t>4,800</w:t>
      </w:r>
      <w:r w:rsidRPr="0072376D">
        <w:t xml:space="preserve"> (</w:t>
      </w:r>
      <w:r w:rsidRPr="0072376D" w:rsidR="006779A9">
        <w:t>four thousand eight hundred</w:t>
      </w:r>
      <w:r w:rsidRPr="0072376D">
        <w:t xml:space="preserve"> euros), plus any tax that may be chargeable, in respect of non-pecuniary damage;</w:t>
      </w:r>
    </w:p>
    <w:p w:rsidRPr="0072376D" w:rsidR="00014566" w:rsidP="0072376D">
      <w:pPr>
        <w:pStyle w:val="JuListi"/>
      </w:pPr>
      <w:r w:rsidRPr="0072376D">
        <w:t xml:space="preserve">(ii)  EUR </w:t>
      </w:r>
      <w:r w:rsidRPr="0072376D" w:rsidR="006779A9">
        <w:t>4,000</w:t>
      </w:r>
      <w:r w:rsidRPr="0072376D">
        <w:t xml:space="preserve"> (</w:t>
      </w:r>
      <w:r w:rsidRPr="0072376D" w:rsidR="006779A9">
        <w:t xml:space="preserve">four thousand </w:t>
      </w:r>
      <w:r w:rsidRPr="0072376D">
        <w:t>euros), plus any tax that may be chargeable to the applicant</w:t>
      </w:r>
      <w:r w:rsidRPr="0072376D" w:rsidR="00DB7FA1">
        <w:t xml:space="preserve"> institute</w:t>
      </w:r>
      <w:r w:rsidRPr="0072376D">
        <w:t>, in respect of costs and expenses;</w:t>
      </w:r>
    </w:p>
    <w:p w:rsidRPr="0072376D" w:rsidR="00014566" w:rsidP="0072376D">
      <w:pPr>
        <w:pStyle w:val="JuLista"/>
      </w:pPr>
      <w:r w:rsidRPr="0072376D">
        <w:t>(b)  that from the expiry of the above-mentioned three months until settlement simple interest shall be payable on the above amounts at a rate equal to the marginal lending rate of the European Central Bank during the default period</w:t>
      </w:r>
      <w:r w:rsidRPr="0072376D" w:rsidR="00204610">
        <w:t xml:space="preserve">, </w:t>
      </w:r>
      <w:r w:rsidRPr="0072376D">
        <w:t>plus three percentage points;</w:t>
      </w:r>
    </w:p>
    <w:p w:rsidRPr="0072376D" w:rsidR="00014566" w:rsidP="0072376D">
      <w:pPr>
        <w:pStyle w:val="JuList"/>
      </w:pPr>
    </w:p>
    <w:p w:rsidRPr="0072376D" w:rsidR="00014566" w:rsidP="0072376D">
      <w:pPr>
        <w:pStyle w:val="JuList"/>
      </w:pPr>
      <w:r w:rsidRPr="0072376D">
        <w:t>4</w:t>
      </w:r>
      <w:r w:rsidRPr="0072376D">
        <w:t>.  </w:t>
      </w:r>
      <w:r w:rsidRPr="0072376D">
        <w:rPr>
          <w:i/>
        </w:rPr>
        <w:t>Dismisses</w:t>
      </w:r>
      <w:r w:rsidRPr="0072376D" w:rsidR="00181AB9">
        <w:t xml:space="preserve"> </w:t>
      </w:r>
      <w:r w:rsidRPr="0072376D">
        <w:t>the remainder of the applicant</w:t>
      </w:r>
      <w:r w:rsidRPr="0072376D" w:rsidR="00DB7FA1">
        <w:t xml:space="preserve"> </w:t>
      </w:r>
      <w:r w:rsidRPr="0072376D" w:rsidR="00204610">
        <w:t>institute</w:t>
      </w:r>
      <w:r w:rsidRPr="0072376D" w:rsidR="0072376D">
        <w:t>’</w:t>
      </w:r>
      <w:r w:rsidRPr="0072376D" w:rsidR="00204610">
        <w:t xml:space="preserve">s </w:t>
      </w:r>
      <w:r w:rsidRPr="0072376D">
        <w:t>claim for just satisfaction.</w:t>
      </w:r>
    </w:p>
    <w:p w:rsidRPr="0072376D" w:rsidR="00014566" w:rsidP="0072376D">
      <w:pPr>
        <w:pStyle w:val="JuParaLast"/>
      </w:pPr>
      <w:r w:rsidRPr="0072376D">
        <w:t xml:space="preserve">Done in English, and notified in writing on </w:t>
      </w:r>
      <w:r w:rsidRPr="0072376D" w:rsidR="00EB0BBE">
        <w:t>13 March 2018</w:t>
      </w:r>
      <w:r w:rsidRPr="0072376D" w:rsidR="00C915FB">
        <w:t>, pursuant to Rule </w:t>
      </w:r>
      <w:r w:rsidRPr="0072376D">
        <w:t>77</w:t>
      </w:r>
      <w:r w:rsidRPr="0072376D" w:rsidR="00C915FB">
        <w:t> </w:t>
      </w:r>
      <w:r w:rsidRPr="0072376D">
        <w:t>§§</w:t>
      </w:r>
      <w:r w:rsidRPr="0072376D" w:rsidR="00C915FB">
        <w:t> </w:t>
      </w:r>
      <w:r w:rsidRPr="0072376D">
        <w:t>2 and 3 of the Rules of Court.</w:t>
      </w:r>
    </w:p>
    <w:p w:rsidRPr="0072376D" w:rsidR="004D15F3" w:rsidP="0072376D">
      <w:pPr>
        <w:pStyle w:val="JuSigned"/>
        <w:rPr>
          <w:lang w:val="it-IT"/>
        </w:rPr>
      </w:pPr>
      <w:r w:rsidRPr="0072376D">
        <w:tab/>
      </w:r>
      <w:r w:rsidRPr="0072376D" w:rsidR="00181AB9">
        <w:rPr>
          <w:lang w:val="it-IT"/>
        </w:rPr>
        <w:t>Marialena</w:t>
      </w:r>
      <w:r w:rsidRPr="0072376D" w:rsidR="00181AB9">
        <w:rPr>
          <w:lang w:val="it-IT"/>
        </w:rPr>
        <w:t xml:space="preserve"> </w:t>
      </w:r>
      <w:r w:rsidRPr="0072376D" w:rsidR="00181AB9">
        <w:rPr>
          <w:lang w:val="it-IT"/>
        </w:rPr>
        <w:t>Tsirli</w:t>
      </w:r>
      <w:r w:rsidRPr="0072376D">
        <w:rPr>
          <w:lang w:val="it-IT"/>
        </w:rPr>
        <w:tab/>
      </w:r>
      <w:r w:rsidRPr="0072376D" w:rsidR="00C315D3">
        <w:rPr>
          <w:lang w:val="it-IT"/>
        </w:rPr>
        <w:t xml:space="preserve">Ganna </w:t>
      </w:r>
      <w:r w:rsidRPr="0072376D" w:rsidR="00C315D3">
        <w:rPr>
          <w:lang w:val="it-IT"/>
        </w:rPr>
        <w:t>Yudkivska</w:t>
      </w:r>
      <w:r w:rsidRPr="0072376D" w:rsidR="00E1557C">
        <w:rPr>
          <w:szCs w:val="24"/>
          <w:lang w:val="it-IT"/>
        </w:rPr>
        <w:br/>
      </w:r>
      <w:r w:rsidRPr="0072376D">
        <w:rPr>
          <w:lang w:val="it-IT"/>
        </w:rPr>
        <w:tab/>
      </w:r>
      <w:r w:rsidRPr="0072376D" w:rsidR="00181AB9">
        <w:rPr>
          <w:iCs/>
          <w:lang w:val="it-IT"/>
        </w:rPr>
        <w:t>Registrar</w:t>
      </w:r>
      <w:r w:rsidRPr="0072376D">
        <w:rPr>
          <w:lang w:val="it-IT"/>
        </w:rPr>
        <w:tab/>
      </w:r>
      <w:r w:rsidRPr="0072376D">
        <w:rPr>
          <w:lang w:val="it-IT"/>
        </w:rPr>
        <w:t>President</w:t>
      </w:r>
    </w:p>
    <w:p w:rsidRPr="0072376D" w:rsidR="004927BF" w:rsidP="0072376D">
      <w:pPr>
        <w:pStyle w:val="JuParaLast"/>
        <w:rPr>
          <w:lang w:val="it-IT"/>
        </w:rPr>
      </w:pPr>
    </w:p>
    <w:sectPr w:rsidSect="00A10DDF">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0D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0D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0DDF" w:rsidRPr="00150BFA" w:rsidP="0020718E">
    <w:pPr>
      <w:jc w:val="center"/>
    </w:pPr>
    <w:r>
      <w:rPr>
        <w:noProof/>
        <w:lang w:val="fr-FR" w:eastAsia="fr-FR"/>
      </w:rPr>
      <w:drawing>
        <wp:inline distT="0" distB="0" distL="0" distR="0">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A10DD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0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62B9F" w:rsidRPr="00A10DDF" w:rsidP="00A10DD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0DDF" w:rsidRPr="00A45145" w:rsidP="00A45145">
    <w:pPr>
      <w:jc w:val="center"/>
    </w:pPr>
    <w:r>
      <w:rPr>
        <w:noProof/>
        <w:lang w:val="fr-FR" w:eastAsia="fr-FR"/>
      </w:rPr>
      <w:drawing>
        <wp:inline distT="0" distB="0" distL="0" distR="0">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A10DD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0DDF" w:rsidRPr="00E4133A"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72376D">
      <w:rPr>
        <w:rStyle w:val="PageNumber"/>
        <w:noProof/>
        <w:szCs w:val="18"/>
      </w:rPr>
      <w:t>12</w:t>
    </w:r>
    <w:r>
      <w:rPr>
        <w:rStyle w:val="PageNumber"/>
        <w:szCs w:val="18"/>
      </w:rPr>
      <w:fldChar w:fldCharType="end"/>
    </w:r>
    <w:r w:rsidRPr="00E4133A">
      <w:tab/>
    </w:r>
    <w:r>
      <w:t>MIROVNI INŠTITUT v. SLOVENIA</w:t>
    </w:r>
    <w:r w:rsidRPr="00E4133A">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10DDF" w:rsidRPr="00E4133A" w:rsidP="00D60D87">
    <w:pPr>
      <w:pStyle w:val="ECHRHeader"/>
    </w:pPr>
    <w:r w:rsidRPr="00E4133A">
      <w:tab/>
    </w:r>
    <w:r>
      <w:t>MIROVNI INŠTITUT v. SLOVENIA</w:t>
    </w:r>
    <w:r w:rsidRPr="00E4133A">
      <w:t xml:space="preserve"> </w:t>
    </w:r>
    <w:r>
      <w:t>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72376D">
      <w:rPr>
        <w:rStyle w:val="PageNumber"/>
        <w:noProof/>
        <w:szCs w:val="18"/>
      </w:rPr>
      <w:t>13</w:t>
    </w:r>
    <w:r>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AB9"/>
    <w:rsid w:val="00000067"/>
    <w:rsid w:val="000005C3"/>
    <w:rsid w:val="000010ED"/>
    <w:rsid w:val="000041F8"/>
    <w:rsid w:val="000042A8"/>
    <w:rsid w:val="00004308"/>
    <w:rsid w:val="00005BF0"/>
    <w:rsid w:val="00007154"/>
    <w:rsid w:val="000103AE"/>
    <w:rsid w:val="00011D69"/>
    <w:rsid w:val="00012AD3"/>
    <w:rsid w:val="00014566"/>
    <w:rsid w:val="00015C2D"/>
    <w:rsid w:val="00015F00"/>
    <w:rsid w:val="00017947"/>
    <w:rsid w:val="00017CC5"/>
    <w:rsid w:val="00022C1D"/>
    <w:rsid w:val="00026814"/>
    <w:rsid w:val="00034987"/>
    <w:rsid w:val="000350E3"/>
    <w:rsid w:val="00054FEE"/>
    <w:rsid w:val="0005650E"/>
    <w:rsid w:val="000574DD"/>
    <w:rsid w:val="000602DF"/>
    <w:rsid w:val="00061B05"/>
    <w:rsid w:val="00062973"/>
    <w:rsid w:val="00062D5D"/>
    <w:rsid w:val="000632D5"/>
    <w:rsid w:val="000644EE"/>
    <w:rsid w:val="00066576"/>
    <w:rsid w:val="00066F84"/>
    <w:rsid w:val="00070032"/>
    <w:rsid w:val="00071ABC"/>
    <w:rsid w:val="0007552A"/>
    <w:rsid w:val="0008057D"/>
    <w:rsid w:val="000823F2"/>
    <w:rsid w:val="000856D7"/>
    <w:rsid w:val="000902AD"/>
    <w:rsid w:val="00090D13"/>
    <w:rsid w:val="000925AD"/>
    <w:rsid w:val="000A24EB"/>
    <w:rsid w:val="000A4FEA"/>
    <w:rsid w:val="000A53C0"/>
    <w:rsid w:val="000B0E69"/>
    <w:rsid w:val="000B6923"/>
    <w:rsid w:val="000C033C"/>
    <w:rsid w:val="000C13EA"/>
    <w:rsid w:val="000C5F3C"/>
    <w:rsid w:val="000C6DCC"/>
    <w:rsid w:val="000C71A4"/>
    <w:rsid w:val="000D47AA"/>
    <w:rsid w:val="000D721F"/>
    <w:rsid w:val="000E069B"/>
    <w:rsid w:val="000E0E82"/>
    <w:rsid w:val="000E1DC5"/>
    <w:rsid w:val="000E223F"/>
    <w:rsid w:val="000E35AC"/>
    <w:rsid w:val="000E7D45"/>
    <w:rsid w:val="000F0C3A"/>
    <w:rsid w:val="000F4561"/>
    <w:rsid w:val="000F7851"/>
    <w:rsid w:val="00101DFD"/>
    <w:rsid w:val="00102EEA"/>
    <w:rsid w:val="00104E23"/>
    <w:rsid w:val="00111B0C"/>
    <w:rsid w:val="001157EF"/>
    <w:rsid w:val="00120D6C"/>
    <w:rsid w:val="00123A0E"/>
    <w:rsid w:val="00123B64"/>
    <w:rsid w:val="001257EC"/>
    <w:rsid w:val="0013138A"/>
    <w:rsid w:val="00132C6A"/>
    <w:rsid w:val="00133D33"/>
    <w:rsid w:val="00134D64"/>
    <w:rsid w:val="00135A30"/>
    <w:rsid w:val="0013612C"/>
    <w:rsid w:val="0013657F"/>
    <w:rsid w:val="00137FF6"/>
    <w:rsid w:val="001408E3"/>
    <w:rsid w:val="00141650"/>
    <w:rsid w:val="001457D8"/>
    <w:rsid w:val="00150BFA"/>
    <w:rsid w:val="001563C0"/>
    <w:rsid w:val="00156D4A"/>
    <w:rsid w:val="00162A12"/>
    <w:rsid w:val="00163BF9"/>
    <w:rsid w:val="00166530"/>
    <w:rsid w:val="0016741C"/>
    <w:rsid w:val="00171A82"/>
    <w:rsid w:val="00173BD4"/>
    <w:rsid w:val="00177F1D"/>
    <w:rsid w:val="00181AB9"/>
    <w:rsid w:val="001832BD"/>
    <w:rsid w:val="00190F66"/>
    <w:rsid w:val="001943B5"/>
    <w:rsid w:val="00195134"/>
    <w:rsid w:val="001A145B"/>
    <w:rsid w:val="001A674C"/>
    <w:rsid w:val="001B3B24"/>
    <w:rsid w:val="001B618B"/>
    <w:rsid w:val="001C07CC"/>
    <w:rsid w:val="001C0F98"/>
    <w:rsid w:val="001C2A42"/>
    <w:rsid w:val="001D4467"/>
    <w:rsid w:val="001D63ED"/>
    <w:rsid w:val="001D7240"/>
    <w:rsid w:val="001D7348"/>
    <w:rsid w:val="001E035B"/>
    <w:rsid w:val="001E0961"/>
    <w:rsid w:val="001E3EAE"/>
    <w:rsid w:val="001E3F68"/>
    <w:rsid w:val="001E5348"/>
    <w:rsid w:val="001E6F32"/>
    <w:rsid w:val="001E79E5"/>
    <w:rsid w:val="001F2145"/>
    <w:rsid w:val="001F2B06"/>
    <w:rsid w:val="001F5635"/>
    <w:rsid w:val="001F6262"/>
    <w:rsid w:val="001F67B0"/>
    <w:rsid w:val="001F7B3D"/>
    <w:rsid w:val="00204610"/>
    <w:rsid w:val="00205F9F"/>
    <w:rsid w:val="0020718E"/>
    <w:rsid w:val="00210338"/>
    <w:rsid w:val="002115FC"/>
    <w:rsid w:val="0021254F"/>
    <w:rsid w:val="002133F8"/>
    <w:rsid w:val="0021423C"/>
    <w:rsid w:val="0022214C"/>
    <w:rsid w:val="0023024F"/>
    <w:rsid w:val="00230D00"/>
    <w:rsid w:val="00231615"/>
    <w:rsid w:val="00231DF7"/>
    <w:rsid w:val="00231FD1"/>
    <w:rsid w:val="002328FF"/>
    <w:rsid w:val="00232EF6"/>
    <w:rsid w:val="00233113"/>
    <w:rsid w:val="002339E0"/>
    <w:rsid w:val="00233CF8"/>
    <w:rsid w:val="0023575D"/>
    <w:rsid w:val="00237148"/>
    <w:rsid w:val="0024222D"/>
    <w:rsid w:val="00244B0E"/>
    <w:rsid w:val="00244F6C"/>
    <w:rsid w:val="00247622"/>
    <w:rsid w:val="002532C5"/>
    <w:rsid w:val="0025665B"/>
    <w:rsid w:val="00260709"/>
    <w:rsid w:val="00260C03"/>
    <w:rsid w:val="00263674"/>
    <w:rsid w:val="0026540E"/>
    <w:rsid w:val="00270926"/>
    <w:rsid w:val="0027225C"/>
    <w:rsid w:val="002737FD"/>
    <w:rsid w:val="002740B8"/>
    <w:rsid w:val="00274306"/>
    <w:rsid w:val="00275123"/>
    <w:rsid w:val="00275709"/>
    <w:rsid w:val="002759CD"/>
    <w:rsid w:val="002766C9"/>
    <w:rsid w:val="00282240"/>
    <w:rsid w:val="00283426"/>
    <w:rsid w:val="0028572A"/>
    <w:rsid w:val="0029051A"/>
    <w:rsid w:val="0029218B"/>
    <w:rsid w:val="0029436A"/>
    <w:rsid w:val="002948AD"/>
    <w:rsid w:val="00294C05"/>
    <w:rsid w:val="00294C70"/>
    <w:rsid w:val="00294C92"/>
    <w:rsid w:val="002A01CC"/>
    <w:rsid w:val="002A61B1"/>
    <w:rsid w:val="002A663C"/>
    <w:rsid w:val="002B1E6C"/>
    <w:rsid w:val="002B1FF9"/>
    <w:rsid w:val="002B444B"/>
    <w:rsid w:val="002B57BA"/>
    <w:rsid w:val="002B5887"/>
    <w:rsid w:val="002C0692"/>
    <w:rsid w:val="002C0E27"/>
    <w:rsid w:val="002C3040"/>
    <w:rsid w:val="002C592F"/>
    <w:rsid w:val="002D022D"/>
    <w:rsid w:val="002D137C"/>
    <w:rsid w:val="002D24BB"/>
    <w:rsid w:val="002D3861"/>
    <w:rsid w:val="002D3BAA"/>
    <w:rsid w:val="002D7C89"/>
    <w:rsid w:val="002E79E0"/>
    <w:rsid w:val="002F171B"/>
    <w:rsid w:val="002F2AF7"/>
    <w:rsid w:val="002F7E1C"/>
    <w:rsid w:val="00301A75"/>
    <w:rsid w:val="00302F70"/>
    <w:rsid w:val="0030336F"/>
    <w:rsid w:val="0030375E"/>
    <w:rsid w:val="0031102C"/>
    <w:rsid w:val="00312A30"/>
    <w:rsid w:val="00320F72"/>
    <w:rsid w:val="0032463E"/>
    <w:rsid w:val="00326224"/>
    <w:rsid w:val="0032676F"/>
    <w:rsid w:val="00326C8D"/>
    <w:rsid w:val="0033172D"/>
    <w:rsid w:val="00331EAC"/>
    <w:rsid w:val="00337EE4"/>
    <w:rsid w:val="00340FFD"/>
    <w:rsid w:val="0034379C"/>
    <w:rsid w:val="003506B1"/>
    <w:rsid w:val="00354AC8"/>
    <w:rsid w:val="00356A76"/>
    <w:rsid w:val="00356AC7"/>
    <w:rsid w:val="0035703D"/>
    <w:rsid w:val="003609FA"/>
    <w:rsid w:val="0036629E"/>
    <w:rsid w:val="00366796"/>
    <w:rsid w:val="003710C8"/>
    <w:rsid w:val="003750BE"/>
    <w:rsid w:val="00375113"/>
    <w:rsid w:val="0037745C"/>
    <w:rsid w:val="00381D52"/>
    <w:rsid w:val="0038571B"/>
    <w:rsid w:val="003879F4"/>
    <w:rsid w:val="00387B9D"/>
    <w:rsid w:val="00387D59"/>
    <w:rsid w:val="00391461"/>
    <w:rsid w:val="0039364F"/>
    <w:rsid w:val="00396686"/>
    <w:rsid w:val="0039778E"/>
    <w:rsid w:val="003A441D"/>
    <w:rsid w:val="003A5BE3"/>
    <w:rsid w:val="003A70EF"/>
    <w:rsid w:val="003B4941"/>
    <w:rsid w:val="003C5714"/>
    <w:rsid w:val="003C6B9F"/>
    <w:rsid w:val="003C6E2A"/>
    <w:rsid w:val="003D0299"/>
    <w:rsid w:val="003D0AE9"/>
    <w:rsid w:val="003D415E"/>
    <w:rsid w:val="003E1C11"/>
    <w:rsid w:val="003E5A4D"/>
    <w:rsid w:val="003E6D80"/>
    <w:rsid w:val="003F05FA"/>
    <w:rsid w:val="003F244A"/>
    <w:rsid w:val="003F30B8"/>
    <w:rsid w:val="003F4C45"/>
    <w:rsid w:val="003F5949"/>
    <w:rsid w:val="003F5F7B"/>
    <w:rsid w:val="003F7D64"/>
    <w:rsid w:val="00414300"/>
    <w:rsid w:val="004162A6"/>
    <w:rsid w:val="00416F8F"/>
    <w:rsid w:val="004242F5"/>
    <w:rsid w:val="00425C67"/>
    <w:rsid w:val="00427E7A"/>
    <w:rsid w:val="00436307"/>
    <w:rsid w:val="00436C49"/>
    <w:rsid w:val="004408DE"/>
    <w:rsid w:val="004428DA"/>
    <w:rsid w:val="0044444A"/>
    <w:rsid w:val="00445366"/>
    <w:rsid w:val="0044539D"/>
    <w:rsid w:val="00447F5B"/>
    <w:rsid w:val="00461DB0"/>
    <w:rsid w:val="00463926"/>
    <w:rsid w:val="00464097"/>
    <w:rsid w:val="004646E0"/>
    <w:rsid w:val="00464C9A"/>
    <w:rsid w:val="00474F3D"/>
    <w:rsid w:val="00477E3A"/>
    <w:rsid w:val="00483E5F"/>
    <w:rsid w:val="00485FF9"/>
    <w:rsid w:val="004907F0"/>
    <w:rsid w:val="0049140B"/>
    <w:rsid w:val="004923A5"/>
    <w:rsid w:val="004927BF"/>
    <w:rsid w:val="0049477E"/>
    <w:rsid w:val="004948BE"/>
    <w:rsid w:val="00496BFB"/>
    <w:rsid w:val="004A15C7"/>
    <w:rsid w:val="004A6B17"/>
    <w:rsid w:val="004B013B"/>
    <w:rsid w:val="004B112B"/>
    <w:rsid w:val="004B18A7"/>
    <w:rsid w:val="004C01E4"/>
    <w:rsid w:val="004C086C"/>
    <w:rsid w:val="004C1F56"/>
    <w:rsid w:val="004C27BC"/>
    <w:rsid w:val="004D15F3"/>
    <w:rsid w:val="004D329B"/>
    <w:rsid w:val="004D347F"/>
    <w:rsid w:val="004D4768"/>
    <w:rsid w:val="004D5311"/>
    <w:rsid w:val="004D5DCC"/>
    <w:rsid w:val="004D7648"/>
    <w:rsid w:val="004E0C08"/>
    <w:rsid w:val="004E687A"/>
    <w:rsid w:val="004F06DB"/>
    <w:rsid w:val="004F10AF"/>
    <w:rsid w:val="004F11A4"/>
    <w:rsid w:val="004F2389"/>
    <w:rsid w:val="004F304D"/>
    <w:rsid w:val="004F61BE"/>
    <w:rsid w:val="004F66B1"/>
    <w:rsid w:val="00502A0D"/>
    <w:rsid w:val="00511C07"/>
    <w:rsid w:val="00512D5D"/>
    <w:rsid w:val="005144CF"/>
    <w:rsid w:val="005157CC"/>
    <w:rsid w:val="00516361"/>
    <w:rsid w:val="005173A6"/>
    <w:rsid w:val="00520BAA"/>
    <w:rsid w:val="00525208"/>
    <w:rsid w:val="005257A5"/>
    <w:rsid w:val="005264C0"/>
    <w:rsid w:val="00526A8A"/>
    <w:rsid w:val="00530586"/>
    <w:rsid w:val="00531DF2"/>
    <w:rsid w:val="00532E29"/>
    <w:rsid w:val="00533CF7"/>
    <w:rsid w:val="00534CA9"/>
    <w:rsid w:val="00535BB8"/>
    <w:rsid w:val="005368C5"/>
    <w:rsid w:val="00542933"/>
    <w:rsid w:val="005430C8"/>
    <w:rsid w:val="005442EE"/>
    <w:rsid w:val="00547353"/>
    <w:rsid w:val="005474E7"/>
    <w:rsid w:val="00550759"/>
    <w:rsid w:val="005512A3"/>
    <w:rsid w:val="00556C2C"/>
    <w:rsid w:val="005578CE"/>
    <w:rsid w:val="00562781"/>
    <w:rsid w:val="00563E83"/>
    <w:rsid w:val="0057271C"/>
    <w:rsid w:val="00572845"/>
    <w:rsid w:val="0059210A"/>
    <w:rsid w:val="00592772"/>
    <w:rsid w:val="0059574A"/>
    <w:rsid w:val="00596813"/>
    <w:rsid w:val="005A1B9B"/>
    <w:rsid w:val="005A6751"/>
    <w:rsid w:val="005B092E"/>
    <w:rsid w:val="005B152C"/>
    <w:rsid w:val="005B1EE0"/>
    <w:rsid w:val="005B2B24"/>
    <w:rsid w:val="005B4425"/>
    <w:rsid w:val="005B4B94"/>
    <w:rsid w:val="005C3EE8"/>
    <w:rsid w:val="005C6028"/>
    <w:rsid w:val="005C6721"/>
    <w:rsid w:val="005D2593"/>
    <w:rsid w:val="005D34F9"/>
    <w:rsid w:val="005D4190"/>
    <w:rsid w:val="005D67A3"/>
    <w:rsid w:val="005E2988"/>
    <w:rsid w:val="005E2A43"/>
    <w:rsid w:val="005E3085"/>
    <w:rsid w:val="005E438A"/>
    <w:rsid w:val="005E4EE7"/>
    <w:rsid w:val="005E538F"/>
    <w:rsid w:val="005E56EA"/>
    <w:rsid w:val="005F51E1"/>
    <w:rsid w:val="00611C80"/>
    <w:rsid w:val="00620692"/>
    <w:rsid w:val="00620EB9"/>
    <w:rsid w:val="006242CA"/>
    <w:rsid w:val="00624879"/>
    <w:rsid w:val="00625DB3"/>
    <w:rsid w:val="00627507"/>
    <w:rsid w:val="006309EC"/>
    <w:rsid w:val="006327F0"/>
    <w:rsid w:val="00633717"/>
    <w:rsid w:val="00633E63"/>
    <w:rsid w:val="006344E1"/>
    <w:rsid w:val="00654182"/>
    <w:rsid w:val="006545C4"/>
    <w:rsid w:val="00654A34"/>
    <w:rsid w:val="00661971"/>
    <w:rsid w:val="00661CE8"/>
    <w:rsid w:val="006623D9"/>
    <w:rsid w:val="00662C95"/>
    <w:rsid w:val="0066550C"/>
    <w:rsid w:val="006702CB"/>
    <w:rsid w:val="006716F2"/>
    <w:rsid w:val="006773B4"/>
    <w:rsid w:val="006779A9"/>
    <w:rsid w:val="00682BF2"/>
    <w:rsid w:val="00682FF3"/>
    <w:rsid w:val="00684666"/>
    <w:rsid w:val="006859CE"/>
    <w:rsid w:val="00691270"/>
    <w:rsid w:val="00694BA8"/>
    <w:rsid w:val="006A0021"/>
    <w:rsid w:val="006A037C"/>
    <w:rsid w:val="006A36F4"/>
    <w:rsid w:val="006A406F"/>
    <w:rsid w:val="006A5050"/>
    <w:rsid w:val="006A5D3A"/>
    <w:rsid w:val="006C23D4"/>
    <w:rsid w:val="006C70B3"/>
    <w:rsid w:val="006C7BB0"/>
    <w:rsid w:val="006C7C1E"/>
    <w:rsid w:val="006D0C0A"/>
    <w:rsid w:val="006D3237"/>
    <w:rsid w:val="006E2E37"/>
    <w:rsid w:val="006E3CF1"/>
    <w:rsid w:val="006E44D5"/>
    <w:rsid w:val="006E7E80"/>
    <w:rsid w:val="006F1B74"/>
    <w:rsid w:val="006F1DF9"/>
    <w:rsid w:val="006F24DB"/>
    <w:rsid w:val="006F362B"/>
    <w:rsid w:val="006F48CA"/>
    <w:rsid w:val="006F64DD"/>
    <w:rsid w:val="007000A7"/>
    <w:rsid w:val="00711758"/>
    <w:rsid w:val="00715127"/>
    <w:rsid w:val="00715E8E"/>
    <w:rsid w:val="00716DEF"/>
    <w:rsid w:val="00723580"/>
    <w:rsid w:val="00723755"/>
    <w:rsid w:val="0072376D"/>
    <w:rsid w:val="007247CD"/>
    <w:rsid w:val="007266DD"/>
    <w:rsid w:val="0073136C"/>
    <w:rsid w:val="00731F0F"/>
    <w:rsid w:val="00733250"/>
    <w:rsid w:val="00741404"/>
    <w:rsid w:val="007449E5"/>
    <w:rsid w:val="00744EC9"/>
    <w:rsid w:val="00746C5A"/>
    <w:rsid w:val="00747FF0"/>
    <w:rsid w:val="007509D5"/>
    <w:rsid w:val="00750E11"/>
    <w:rsid w:val="00751719"/>
    <w:rsid w:val="00755DCC"/>
    <w:rsid w:val="00757E1E"/>
    <w:rsid w:val="00764D4E"/>
    <w:rsid w:val="00765A1F"/>
    <w:rsid w:val="00774A6E"/>
    <w:rsid w:val="00775B6D"/>
    <w:rsid w:val="00776D68"/>
    <w:rsid w:val="00781B2F"/>
    <w:rsid w:val="0078348F"/>
    <w:rsid w:val="007850EE"/>
    <w:rsid w:val="00785B95"/>
    <w:rsid w:val="00790E96"/>
    <w:rsid w:val="007910F7"/>
    <w:rsid w:val="00791F45"/>
    <w:rsid w:val="00792B2F"/>
    <w:rsid w:val="00793366"/>
    <w:rsid w:val="00794280"/>
    <w:rsid w:val="007A449B"/>
    <w:rsid w:val="007A716F"/>
    <w:rsid w:val="007B270A"/>
    <w:rsid w:val="007B2B1E"/>
    <w:rsid w:val="007C0695"/>
    <w:rsid w:val="007C070A"/>
    <w:rsid w:val="007C1C61"/>
    <w:rsid w:val="007C419A"/>
    <w:rsid w:val="007C4CC8"/>
    <w:rsid w:val="007C5426"/>
    <w:rsid w:val="007C5798"/>
    <w:rsid w:val="007D4832"/>
    <w:rsid w:val="007D4D63"/>
    <w:rsid w:val="007E21B2"/>
    <w:rsid w:val="007E2C4E"/>
    <w:rsid w:val="007F1905"/>
    <w:rsid w:val="007F2C4E"/>
    <w:rsid w:val="007F7D8A"/>
    <w:rsid w:val="0080048F"/>
    <w:rsid w:val="00801300"/>
    <w:rsid w:val="00802C64"/>
    <w:rsid w:val="00805E52"/>
    <w:rsid w:val="008061D0"/>
    <w:rsid w:val="00810B38"/>
    <w:rsid w:val="00815AC9"/>
    <w:rsid w:val="008204C7"/>
    <w:rsid w:val="00820992"/>
    <w:rsid w:val="00823602"/>
    <w:rsid w:val="00823BB7"/>
    <w:rsid w:val="008255F5"/>
    <w:rsid w:val="0083014E"/>
    <w:rsid w:val="0083214A"/>
    <w:rsid w:val="00834220"/>
    <w:rsid w:val="00835239"/>
    <w:rsid w:val="00845723"/>
    <w:rsid w:val="00845B9F"/>
    <w:rsid w:val="00851EF9"/>
    <w:rsid w:val="00853461"/>
    <w:rsid w:val="00853B47"/>
    <w:rsid w:val="008577FD"/>
    <w:rsid w:val="00860B03"/>
    <w:rsid w:val="0086497A"/>
    <w:rsid w:val="00865DFD"/>
    <w:rsid w:val="008713A1"/>
    <w:rsid w:val="00872192"/>
    <w:rsid w:val="008754AB"/>
    <w:rsid w:val="0088060C"/>
    <w:rsid w:val="00880B07"/>
    <w:rsid w:val="008821FC"/>
    <w:rsid w:val="00886356"/>
    <w:rsid w:val="00893576"/>
    <w:rsid w:val="00893E73"/>
    <w:rsid w:val="008941C6"/>
    <w:rsid w:val="008A159A"/>
    <w:rsid w:val="008A28D5"/>
    <w:rsid w:val="008A43C4"/>
    <w:rsid w:val="008A7484"/>
    <w:rsid w:val="008B02DC"/>
    <w:rsid w:val="008B57CE"/>
    <w:rsid w:val="008B659F"/>
    <w:rsid w:val="008C26DE"/>
    <w:rsid w:val="008C31EC"/>
    <w:rsid w:val="008C6B6A"/>
    <w:rsid w:val="008D2225"/>
    <w:rsid w:val="008D4752"/>
    <w:rsid w:val="008D552A"/>
    <w:rsid w:val="008E271C"/>
    <w:rsid w:val="008E418E"/>
    <w:rsid w:val="008E5BC6"/>
    <w:rsid w:val="008E6A25"/>
    <w:rsid w:val="008E6AFC"/>
    <w:rsid w:val="008F5193"/>
    <w:rsid w:val="009013A7"/>
    <w:rsid w:val="009017FB"/>
    <w:rsid w:val="009017FC"/>
    <w:rsid w:val="0090352B"/>
    <w:rsid w:val="00903B43"/>
    <w:rsid w:val="0090506B"/>
    <w:rsid w:val="009050C9"/>
    <w:rsid w:val="009066FC"/>
    <w:rsid w:val="009073AA"/>
    <w:rsid w:val="009140A3"/>
    <w:rsid w:val="009144A2"/>
    <w:rsid w:val="0091510C"/>
    <w:rsid w:val="00917431"/>
    <w:rsid w:val="00917FC7"/>
    <w:rsid w:val="00922BB1"/>
    <w:rsid w:val="009259AC"/>
    <w:rsid w:val="00926F38"/>
    <w:rsid w:val="0093001C"/>
    <w:rsid w:val="00934301"/>
    <w:rsid w:val="00936CD1"/>
    <w:rsid w:val="00941747"/>
    <w:rsid w:val="00941EFB"/>
    <w:rsid w:val="00947AFB"/>
    <w:rsid w:val="00951D7D"/>
    <w:rsid w:val="00952C12"/>
    <w:rsid w:val="009630C7"/>
    <w:rsid w:val="0096667D"/>
    <w:rsid w:val="00966852"/>
    <w:rsid w:val="00971CE2"/>
    <w:rsid w:val="00972B55"/>
    <w:rsid w:val="009743B7"/>
    <w:rsid w:val="0098228B"/>
    <w:rsid w:val="00982562"/>
    <w:rsid w:val="009828D8"/>
    <w:rsid w:val="009828DA"/>
    <w:rsid w:val="00985BAB"/>
    <w:rsid w:val="00986234"/>
    <w:rsid w:val="009901EB"/>
    <w:rsid w:val="0099337E"/>
    <w:rsid w:val="00995DAF"/>
    <w:rsid w:val="00997F03"/>
    <w:rsid w:val="009A2D7F"/>
    <w:rsid w:val="009A46DF"/>
    <w:rsid w:val="009B1B5F"/>
    <w:rsid w:val="009B2466"/>
    <w:rsid w:val="009B2EC2"/>
    <w:rsid w:val="009B512E"/>
    <w:rsid w:val="009B6673"/>
    <w:rsid w:val="009C12C7"/>
    <w:rsid w:val="009C191B"/>
    <w:rsid w:val="009C2BD6"/>
    <w:rsid w:val="009C35B7"/>
    <w:rsid w:val="009C712F"/>
    <w:rsid w:val="009D58A9"/>
    <w:rsid w:val="009E0B40"/>
    <w:rsid w:val="009E1F32"/>
    <w:rsid w:val="009E5829"/>
    <w:rsid w:val="009E776C"/>
    <w:rsid w:val="009F1975"/>
    <w:rsid w:val="009F30EC"/>
    <w:rsid w:val="00A10DDF"/>
    <w:rsid w:val="00A130B4"/>
    <w:rsid w:val="00A1726E"/>
    <w:rsid w:val="00A204CF"/>
    <w:rsid w:val="00A23D49"/>
    <w:rsid w:val="00A27004"/>
    <w:rsid w:val="00A30C29"/>
    <w:rsid w:val="00A34DD6"/>
    <w:rsid w:val="00A36819"/>
    <w:rsid w:val="00A36989"/>
    <w:rsid w:val="00A43628"/>
    <w:rsid w:val="00A45145"/>
    <w:rsid w:val="00A53CEB"/>
    <w:rsid w:val="00A54192"/>
    <w:rsid w:val="00A6035E"/>
    <w:rsid w:val="00A6144C"/>
    <w:rsid w:val="00A6298D"/>
    <w:rsid w:val="00A66617"/>
    <w:rsid w:val="00A671F8"/>
    <w:rsid w:val="00A673A4"/>
    <w:rsid w:val="00A711EF"/>
    <w:rsid w:val="00A724AE"/>
    <w:rsid w:val="00A72940"/>
    <w:rsid w:val="00A731B0"/>
    <w:rsid w:val="00A73329"/>
    <w:rsid w:val="00A73A86"/>
    <w:rsid w:val="00A73E4B"/>
    <w:rsid w:val="00A73E97"/>
    <w:rsid w:val="00A82359"/>
    <w:rsid w:val="00A8569B"/>
    <w:rsid w:val="00A865D2"/>
    <w:rsid w:val="00A902F9"/>
    <w:rsid w:val="00A92FAF"/>
    <w:rsid w:val="00A94C20"/>
    <w:rsid w:val="00A96ED6"/>
    <w:rsid w:val="00AA0E73"/>
    <w:rsid w:val="00AA2118"/>
    <w:rsid w:val="00AA227F"/>
    <w:rsid w:val="00AA3BC7"/>
    <w:rsid w:val="00AA754A"/>
    <w:rsid w:val="00AB099E"/>
    <w:rsid w:val="00AB19E3"/>
    <w:rsid w:val="00AB4328"/>
    <w:rsid w:val="00AB57ED"/>
    <w:rsid w:val="00AB5FA0"/>
    <w:rsid w:val="00AB75C2"/>
    <w:rsid w:val="00AD0CDD"/>
    <w:rsid w:val="00AD4F63"/>
    <w:rsid w:val="00AE0A2E"/>
    <w:rsid w:val="00AE354C"/>
    <w:rsid w:val="00AF4B07"/>
    <w:rsid w:val="00AF6186"/>
    <w:rsid w:val="00AF788F"/>
    <w:rsid w:val="00AF7A3A"/>
    <w:rsid w:val="00B119AF"/>
    <w:rsid w:val="00B1423B"/>
    <w:rsid w:val="00B160DB"/>
    <w:rsid w:val="00B20836"/>
    <w:rsid w:val="00B235BB"/>
    <w:rsid w:val="00B27A44"/>
    <w:rsid w:val="00B30BBF"/>
    <w:rsid w:val="00B32C1E"/>
    <w:rsid w:val="00B33C03"/>
    <w:rsid w:val="00B44E56"/>
    <w:rsid w:val="00B46543"/>
    <w:rsid w:val="00B47D33"/>
    <w:rsid w:val="00B52169"/>
    <w:rsid w:val="00B52BE0"/>
    <w:rsid w:val="00B54133"/>
    <w:rsid w:val="00B60ED0"/>
    <w:rsid w:val="00B637B9"/>
    <w:rsid w:val="00B66238"/>
    <w:rsid w:val="00B701ED"/>
    <w:rsid w:val="00B71433"/>
    <w:rsid w:val="00B74A97"/>
    <w:rsid w:val="00B74BA4"/>
    <w:rsid w:val="00B8086C"/>
    <w:rsid w:val="00B83C0C"/>
    <w:rsid w:val="00B857E2"/>
    <w:rsid w:val="00B861B4"/>
    <w:rsid w:val="00B86DFE"/>
    <w:rsid w:val="00B90990"/>
    <w:rsid w:val="00B922FF"/>
    <w:rsid w:val="00B92491"/>
    <w:rsid w:val="00B9281E"/>
    <w:rsid w:val="00B93925"/>
    <w:rsid w:val="00B95187"/>
    <w:rsid w:val="00BA2D55"/>
    <w:rsid w:val="00BA71B1"/>
    <w:rsid w:val="00BB0637"/>
    <w:rsid w:val="00BB1619"/>
    <w:rsid w:val="00BB345F"/>
    <w:rsid w:val="00BB5883"/>
    <w:rsid w:val="00BB68EA"/>
    <w:rsid w:val="00BC1C27"/>
    <w:rsid w:val="00BC2430"/>
    <w:rsid w:val="00BC64DB"/>
    <w:rsid w:val="00BC6BBF"/>
    <w:rsid w:val="00BD1572"/>
    <w:rsid w:val="00BD3817"/>
    <w:rsid w:val="00BD59F5"/>
    <w:rsid w:val="00BE14E3"/>
    <w:rsid w:val="00BE2F84"/>
    <w:rsid w:val="00BE3774"/>
    <w:rsid w:val="00BE41E5"/>
    <w:rsid w:val="00BE6348"/>
    <w:rsid w:val="00BF0BBB"/>
    <w:rsid w:val="00BF4050"/>
    <w:rsid w:val="00BF4109"/>
    <w:rsid w:val="00BF4CC3"/>
    <w:rsid w:val="00C054C7"/>
    <w:rsid w:val="00C057B5"/>
    <w:rsid w:val="00C13654"/>
    <w:rsid w:val="00C22687"/>
    <w:rsid w:val="00C315D3"/>
    <w:rsid w:val="00C32E4D"/>
    <w:rsid w:val="00C333A0"/>
    <w:rsid w:val="00C36A81"/>
    <w:rsid w:val="00C376BF"/>
    <w:rsid w:val="00C41974"/>
    <w:rsid w:val="00C434C8"/>
    <w:rsid w:val="00C447AD"/>
    <w:rsid w:val="00C47FDA"/>
    <w:rsid w:val="00C53EB6"/>
    <w:rsid w:val="00C53F4A"/>
    <w:rsid w:val="00C54125"/>
    <w:rsid w:val="00C55B54"/>
    <w:rsid w:val="00C55C51"/>
    <w:rsid w:val="00C6098E"/>
    <w:rsid w:val="00C61074"/>
    <w:rsid w:val="00C6152C"/>
    <w:rsid w:val="00C621C2"/>
    <w:rsid w:val="00C67F6B"/>
    <w:rsid w:val="00C736B1"/>
    <w:rsid w:val="00C74810"/>
    <w:rsid w:val="00C90D68"/>
    <w:rsid w:val="00C915FB"/>
    <w:rsid w:val="00C92EE8"/>
    <w:rsid w:val="00C931D5"/>
    <w:rsid w:val="00C939FE"/>
    <w:rsid w:val="00C96642"/>
    <w:rsid w:val="00CA3A02"/>
    <w:rsid w:val="00CA4BDA"/>
    <w:rsid w:val="00CB1F66"/>
    <w:rsid w:val="00CB2951"/>
    <w:rsid w:val="00CC2481"/>
    <w:rsid w:val="00CD282B"/>
    <w:rsid w:val="00CD4C35"/>
    <w:rsid w:val="00CD7369"/>
    <w:rsid w:val="00CE0B0E"/>
    <w:rsid w:val="00CE2F1E"/>
    <w:rsid w:val="00CE3831"/>
    <w:rsid w:val="00CF5428"/>
    <w:rsid w:val="00CF61E1"/>
    <w:rsid w:val="00D00ABB"/>
    <w:rsid w:val="00D02EEC"/>
    <w:rsid w:val="00D03551"/>
    <w:rsid w:val="00D038C1"/>
    <w:rsid w:val="00D06A63"/>
    <w:rsid w:val="00D07E0E"/>
    <w:rsid w:val="00D11478"/>
    <w:rsid w:val="00D15ED0"/>
    <w:rsid w:val="00D204FE"/>
    <w:rsid w:val="00D21B3E"/>
    <w:rsid w:val="00D21FED"/>
    <w:rsid w:val="00D24251"/>
    <w:rsid w:val="00D24B48"/>
    <w:rsid w:val="00D343E2"/>
    <w:rsid w:val="00D361A2"/>
    <w:rsid w:val="00D37392"/>
    <w:rsid w:val="00D374D0"/>
    <w:rsid w:val="00D3789C"/>
    <w:rsid w:val="00D44C2E"/>
    <w:rsid w:val="00D452D9"/>
    <w:rsid w:val="00D45414"/>
    <w:rsid w:val="00D4730B"/>
    <w:rsid w:val="00D52A17"/>
    <w:rsid w:val="00D53C0F"/>
    <w:rsid w:val="00D566BD"/>
    <w:rsid w:val="00D57A4D"/>
    <w:rsid w:val="00D60AA7"/>
    <w:rsid w:val="00D60D87"/>
    <w:rsid w:val="00D6399F"/>
    <w:rsid w:val="00D6435F"/>
    <w:rsid w:val="00D72173"/>
    <w:rsid w:val="00D75E28"/>
    <w:rsid w:val="00D770D0"/>
    <w:rsid w:val="00D772C2"/>
    <w:rsid w:val="00D77DFA"/>
    <w:rsid w:val="00D8008E"/>
    <w:rsid w:val="00D82C45"/>
    <w:rsid w:val="00D835EA"/>
    <w:rsid w:val="00D908A8"/>
    <w:rsid w:val="00D91BA1"/>
    <w:rsid w:val="00D924AB"/>
    <w:rsid w:val="00D948DA"/>
    <w:rsid w:val="00D977B6"/>
    <w:rsid w:val="00DA4A31"/>
    <w:rsid w:val="00DA61F2"/>
    <w:rsid w:val="00DA7B04"/>
    <w:rsid w:val="00DB36C2"/>
    <w:rsid w:val="00DB7196"/>
    <w:rsid w:val="00DB7FA1"/>
    <w:rsid w:val="00DC169B"/>
    <w:rsid w:val="00DC2AB9"/>
    <w:rsid w:val="00DC63F0"/>
    <w:rsid w:val="00DD0AD9"/>
    <w:rsid w:val="00DD4F51"/>
    <w:rsid w:val="00DD6EE5"/>
    <w:rsid w:val="00DE1B8E"/>
    <w:rsid w:val="00DE386C"/>
    <w:rsid w:val="00DE4D35"/>
    <w:rsid w:val="00DF0549"/>
    <w:rsid w:val="00DF098B"/>
    <w:rsid w:val="00DF11C4"/>
    <w:rsid w:val="00DF210C"/>
    <w:rsid w:val="00DF4B6A"/>
    <w:rsid w:val="00DF5120"/>
    <w:rsid w:val="00DF5E30"/>
    <w:rsid w:val="00E02C09"/>
    <w:rsid w:val="00E04D59"/>
    <w:rsid w:val="00E07DA1"/>
    <w:rsid w:val="00E123CB"/>
    <w:rsid w:val="00E1557C"/>
    <w:rsid w:val="00E1796D"/>
    <w:rsid w:val="00E20E13"/>
    <w:rsid w:val="00E21DBC"/>
    <w:rsid w:val="00E22C66"/>
    <w:rsid w:val="00E25E18"/>
    <w:rsid w:val="00E275D7"/>
    <w:rsid w:val="00E27DBE"/>
    <w:rsid w:val="00E32AB1"/>
    <w:rsid w:val="00E33F07"/>
    <w:rsid w:val="00E36C71"/>
    <w:rsid w:val="00E40404"/>
    <w:rsid w:val="00E40D3B"/>
    <w:rsid w:val="00E4133A"/>
    <w:rsid w:val="00E459C6"/>
    <w:rsid w:val="00E47589"/>
    <w:rsid w:val="00E50362"/>
    <w:rsid w:val="00E55C6F"/>
    <w:rsid w:val="00E564D9"/>
    <w:rsid w:val="00E62003"/>
    <w:rsid w:val="00E64249"/>
    <w:rsid w:val="00E64915"/>
    <w:rsid w:val="00E661D4"/>
    <w:rsid w:val="00E70091"/>
    <w:rsid w:val="00E70872"/>
    <w:rsid w:val="00E71F08"/>
    <w:rsid w:val="00E720F5"/>
    <w:rsid w:val="00E72EE4"/>
    <w:rsid w:val="00E76D47"/>
    <w:rsid w:val="00E849F7"/>
    <w:rsid w:val="00E84CBD"/>
    <w:rsid w:val="00E86997"/>
    <w:rsid w:val="00E90302"/>
    <w:rsid w:val="00E9597F"/>
    <w:rsid w:val="00E97396"/>
    <w:rsid w:val="00EA185E"/>
    <w:rsid w:val="00EA383B"/>
    <w:rsid w:val="00EA592A"/>
    <w:rsid w:val="00EA737F"/>
    <w:rsid w:val="00EA749B"/>
    <w:rsid w:val="00EB0BBE"/>
    <w:rsid w:val="00EB14E4"/>
    <w:rsid w:val="00EB23EC"/>
    <w:rsid w:val="00EB2A1D"/>
    <w:rsid w:val="00EB32A5"/>
    <w:rsid w:val="00EB34ED"/>
    <w:rsid w:val="00EB7BE0"/>
    <w:rsid w:val="00EC315E"/>
    <w:rsid w:val="00ED077C"/>
    <w:rsid w:val="00ED1190"/>
    <w:rsid w:val="00ED6544"/>
    <w:rsid w:val="00ED7A74"/>
    <w:rsid w:val="00EE0277"/>
    <w:rsid w:val="00EE1DA9"/>
    <w:rsid w:val="00EE3ABE"/>
    <w:rsid w:val="00EE3E00"/>
    <w:rsid w:val="00EE5DD2"/>
    <w:rsid w:val="00EE65F0"/>
    <w:rsid w:val="00EE779E"/>
    <w:rsid w:val="00EF0073"/>
    <w:rsid w:val="00EF1676"/>
    <w:rsid w:val="00EF41F1"/>
    <w:rsid w:val="00EF4F08"/>
    <w:rsid w:val="00EF573B"/>
    <w:rsid w:val="00F00A79"/>
    <w:rsid w:val="00F00E86"/>
    <w:rsid w:val="00F00F8B"/>
    <w:rsid w:val="00F01D2B"/>
    <w:rsid w:val="00F06EBD"/>
    <w:rsid w:val="00F07C1E"/>
    <w:rsid w:val="00F105DB"/>
    <w:rsid w:val="00F132BC"/>
    <w:rsid w:val="00F13D80"/>
    <w:rsid w:val="00F16AAA"/>
    <w:rsid w:val="00F21161"/>
    <w:rsid w:val="00F218EF"/>
    <w:rsid w:val="00F21BC7"/>
    <w:rsid w:val="00F2448D"/>
    <w:rsid w:val="00F25B4B"/>
    <w:rsid w:val="00F25F23"/>
    <w:rsid w:val="00F266A2"/>
    <w:rsid w:val="00F32269"/>
    <w:rsid w:val="00F32708"/>
    <w:rsid w:val="00F33674"/>
    <w:rsid w:val="00F355A1"/>
    <w:rsid w:val="00F362EE"/>
    <w:rsid w:val="00F4457E"/>
    <w:rsid w:val="00F4559B"/>
    <w:rsid w:val="00F459B7"/>
    <w:rsid w:val="00F567F2"/>
    <w:rsid w:val="00F56A6F"/>
    <w:rsid w:val="00F5709C"/>
    <w:rsid w:val="00F62B9F"/>
    <w:rsid w:val="00F64EF1"/>
    <w:rsid w:val="00F6569F"/>
    <w:rsid w:val="00F6660D"/>
    <w:rsid w:val="00F7071E"/>
    <w:rsid w:val="00F77CDE"/>
    <w:rsid w:val="00F80A47"/>
    <w:rsid w:val="00F82203"/>
    <w:rsid w:val="00F8732B"/>
    <w:rsid w:val="00F8765F"/>
    <w:rsid w:val="00F90767"/>
    <w:rsid w:val="00F92631"/>
    <w:rsid w:val="00F92757"/>
    <w:rsid w:val="00F9671B"/>
    <w:rsid w:val="00FA685B"/>
    <w:rsid w:val="00FB0C01"/>
    <w:rsid w:val="00FB118D"/>
    <w:rsid w:val="00FB6081"/>
    <w:rsid w:val="00FC01D7"/>
    <w:rsid w:val="00FC18F2"/>
    <w:rsid w:val="00FC195B"/>
    <w:rsid w:val="00FC39E5"/>
    <w:rsid w:val="00FC3A78"/>
    <w:rsid w:val="00FC48DF"/>
    <w:rsid w:val="00FC5FFE"/>
    <w:rsid w:val="00FC6E7A"/>
    <w:rsid w:val="00FD1005"/>
    <w:rsid w:val="00FD1337"/>
    <w:rsid w:val="00FD3180"/>
    <w:rsid w:val="00FD6C75"/>
    <w:rsid w:val="00FE6AA8"/>
    <w:rsid w:val="00FE71B3"/>
    <w:rsid w:val="00FF2AC9"/>
    <w:rsid w:val="00FF3AAB"/>
    <w:rsid w:val="00FF42C5"/>
    <w:rsid w:val="00FF4D5B"/>
  </w:rsids>
  <w:docVars>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4E687A"/>
    <w:pPr>
      <w:jc w:val="both"/>
    </w:pPr>
    <w:rPr>
      <w:rFonts w:eastAsiaTheme="minorEastAsia"/>
      <w:sz w:val="24"/>
      <w:lang w:val="en-GB"/>
    </w:rPr>
  </w:style>
  <w:style w:type="paragraph" w:styleId="Heading1">
    <w:name w:val="heading 1"/>
    <w:basedOn w:val="Normal"/>
    <w:next w:val="Normal"/>
    <w:link w:val="Heading1Char"/>
    <w:uiPriority w:val="99"/>
    <w:semiHidden/>
    <w:rsid w:val="004E687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E687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E687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E687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D4F51"/>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E68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D4F51"/>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DD4F51"/>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DD4F51"/>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E687A"/>
    <w:rPr>
      <w:rFonts w:ascii="Tahoma" w:hAnsi="Tahoma" w:cs="Tahoma"/>
      <w:sz w:val="16"/>
      <w:szCs w:val="16"/>
    </w:rPr>
  </w:style>
  <w:style w:type="character" w:customStyle="1" w:styleId="BalloonTextChar">
    <w:name w:val="Balloon Text Char"/>
    <w:basedOn w:val="DefaultParagraphFont"/>
    <w:link w:val="BalloonText"/>
    <w:uiPriority w:val="99"/>
    <w:semiHidden/>
    <w:rsid w:val="004E687A"/>
    <w:rPr>
      <w:rFonts w:ascii="Tahoma" w:hAnsi="Tahoma" w:eastAsiaTheme="minorEastAsia" w:cs="Tahoma"/>
      <w:sz w:val="16"/>
      <w:szCs w:val="16"/>
      <w:lang w:val="en-GB"/>
    </w:rPr>
  </w:style>
  <w:style w:type="character" w:styleId="BookTitle">
    <w:name w:val="Book Title"/>
    <w:uiPriority w:val="99"/>
    <w:semiHidden/>
    <w:qFormat/>
    <w:rsid w:val="00DD4F51"/>
    <w:rPr>
      <w:i/>
      <w:iCs/>
      <w:smallCaps/>
      <w:spacing w:val="5"/>
    </w:rPr>
  </w:style>
  <w:style w:type="paragraph" w:customStyle="1" w:styleId="ECHRHeader">
    <w:name w:val="ECHR_Header"/>
    <w:aliases w:val="Ju_Header"/>
    <w:basedOn w:val="Header"/>
    <w:uiPriority w:val="4"/>
    <w:qFormat/>
    <w:rsid w:val="00DD4F51"/>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4E687A"/>
    <w:pPr>
      <w:jc w:val="left"/>
    </w:pPr>
    <w:rPr>
      <w:sz w:val="8"/>
    </w:rPr>
  </w:style>
  <w:style w:type="character" w:styleId="Strong">
    <w:name w:val="Strong"/>
    <w:uiPriority w:val="99"/>
    <w:semiHidden/>
    <w:qFormat/>
    <w:rsid w:val="00DD4F51"/>
    <w:rPr>
      <w:b/>
      <w:bCs/>
    </w:rPr>
  </w:style>
  <w:style w:type="paragraph" w:styleId="NoSpacing">
    <w:name w:val="No Spacing"/>
    <w:basedOn w:val="Normal"/>
    <w:link w:val="NoSpacingChar"/>
    <w:semiHidden/>
    <w:qFormat/>
    <w:rsid w:val="00DD4F51"/>
    <w:rPr>
      <w:sz w:val="22"/>
      <w:lang w:val="en-US"/>
    </w:rPr>
  </w:style>
  <w:style w:type="character" w:customStyle="1" w:styleId="NoSpacingChar">
    <w:name w:val="No Spacing Char"/>
    <w:basedOn w:val="DefaultParagraphFont"/>
    <w:link w:val="NoSpacing"/>
    <w:semiHidden/>
    <w:rsid w:val="00DD4F51"/>
    <w:rPr>
      <w:rFonts w:eastAsiaTheme="minorEastAsia"/>
    </w:rPr>
  </w:style>
  <w:style w:type="paragraph" w:customStyle="1" w:styleId="ECHRFooterLine">
    <w:name w:val="ECHR_Footer_Line"/>
    <w:aliases w:val="Footer_Line"/>
    <w:basedOn w:val="Normal"/>
    <w:next w:val="ECHRFooter"/>
    <w:uiPriority w:val="57"/>
    <w:semiHidden/>
    <w:rsid w:val="004E687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DD4F51"/>
    <w:pPr>
      <w:numPr>
        <w:numId w:val="38"/>
      </w:numPr>
      <w:jc w:val="left"/>
    </w:pPr>
    <w:rPr>
      <w:b/>
    </w:rPr>
  </w:style>
  <w:style w:type="paragraph" w:customStyle="1" w:styleId="OpiPara">
    <w:name w:val="Opi_Para"/>
    <w:basedOn w:val="ECHRPara"/>
    <w:uiPriority w:val="46"/>
    <w:qFormat/>
    <w:rsid w:val="00DD4F51"/>
  </w:style>
  <w:style w:type="paragraph" w:customStyle="1" w:styleId="JuParaSub">
    <w:name w:val="Ju_Para_Sub"/>
    <w:basedOn w:val="ECHRPara"/>
    <w:uiPriority w:val="13"/>
    <w:qFormat/>
    <w:rsid w:val="00DD4F51"/>
    <w:pPr>
      <w:ind w:left="284"/>
    </w:pPr>
  </w:style>
  <w:style w:type="paragraph" w:customStyle="1" w:styleId="ECHRTitleCentre3">
    <w:name w:val="ECHR_Title_Centre_3"/>
    <w:aliases w:val="Ju_H_Article"/>
    <w:basedOn w:val="Normal"/>
    <w:next w:val="ECHRParaQuote"/>
    <w:uiPriority w:val="27"/>
    <w:qFormat/>
    <w:rsid w:val="00DD4F5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DD4F5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DD4F51"/>
  </w:style>
  <w:style w:type="paragraph" w:customStyle="1" w:styleId="OpiQuot">
    <w:name w:val="Opi_Quot"/>
    <w:basedOn w:val="ECHRParaQuote"/>
    <w:uiPriority w:val="48"/>
    <w:qFormat/>
    <w:rsid w:val="00DD4F51"/>
  </w:style>
  <w:style w:type="paragraph" w:customStyle="1" w:styleId="OpiQuotSub">
    <w:name w:val="Opi_Quot_Sub"/>
    <w:basedOn w:val="JuQuotSub"/>
    <w:uiPriority w:val="49"/>
    <w:qFormat/>
    <w:rsid w:val="00DD4F51"/>
  </w:style>
  <w:style w:type="paragraph" w:customStyle="1" w:styleId="ECHRTitleCentre2">
    <w:name w:val="ECHR_Title_Centre_2"/>
    <w:aliases w:val="Dec_H_Case"/>
    <w:basedOn w:val="Normal"/>
    <w:next w:val="ECHRPara"/>
    <w:uiPriority w:val="8"/>
    <w:qFormat/>
    <w:rsid w:val="00DD4F51"/>
    <w:pPr>
      <w:spacing w:after="240"/>
      <w:jc w:val="center"/>
      <w:outlineLvl w:val="0"/>
    </w:pPr>
    <w:rPr>
      <w:rFonts w:asciiTheme="majorHAnsi" w:hAnsiTheme="majorHAnsi"/>
    </w:rPr>
  </w:style>
  <w:style w:type="paragraph" w:customStyle="1" w:styleId="JuTitle">
    <w:name w:val="Ju_Title"/>
    <w:basedOn w:val="Normal"/>
    <w:next w:val="ECHRPara"/>
    <w:uiPriority w:val="3"/>
    <w:semiHidden/>
    <w:qFormat/>
    <w:rsid w:val="00DD4F51"/>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DD4F5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DD4F5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DD4F5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DD4F5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DD4F51"/>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DD4F5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DD4F51"/>
    <w:pPr>
      <w:keepNext/>
      <w:keepLines/>
      <w:spacing w:before="240" w:after="120"/>
      <w:ind w:left="1236"/>
    </w:pPr>
    <w:rPr>
      <w:sz w:val="20"/>
      <w:lang w:val="en-GB"/>
    </w:rPr>
  </w:style>
  <w:style w:type="paragraph" w:customStyle="1" w:styleId="JuQuotSub">
    <w:name w:val="Ju_Quot_Sub"/>
    <w:basedOn w:val="ECHRParaQuote"/>
    <w:uiPriority w:val="15"/>
    <w:qFormat/>
    <w:rsid w:val="00DD4F51"/>
    <w:pPr>
      <w:ind w:left="567"/>
    </w:pPr>
  </w:style>
  <w:style w:type="paragraph" w:customStyle="1" w:styleId="JuInitialled">
    <w:name w:val="Ju_Initialled"/>
    <w:basedOn w:val="Normal"/>
    <w:uiPriority w:val="31"/>
    <w:qFormat/>
    <w:rsid w:val="00DD4F51"/>
    <w:pPr>
      <w:tabs>
        <w:tab w:val="center" w:pos="6407"/>
      </w:tabs>
      <w:spacing w:before="720"/>
      <w:jc w:val="right"/>
    </w:pPr>
  </w:style>
  <w:style w:type="paragraph" w:customStyle="1" w:styleId="OpiHA">
    <w:name w:val="Opi_H_A"/>
    <w:basedOn w:val="ECHRHeading1"/>
    <w:next w:val="OpiPara"/>
    <w:uiPriority w:val="41"/>
    <w:qFormat/>
    <w:rsid w:val="00DD4F51"/>
    <w:pPr>
      <w:tabs>
        <w:tab w:val="clear" w:pos="357"/>
      </w:tabs>
      <w:outlineLvl w:val="1"/>
    </w:pPr>
    <w:rPr>
      <w:b/>
    </w:rPr>
  </w:style>
  <w:style w:type="paragraph" w:styleId="Header">
    <w:name w:val="header"/>
    <w:basedOn w:val="Normal"/>
    <w:link w:val="HeaderChar"/>
    <w:uiPriority w:val="57"/>
    <w:semiHidden/>
    <w:rsid w:val="004E687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E687A"/>
    <w:rPr>
      <w:sz w:val="24"/>
      <w:lang w:val="en-GB"/>
    </w:rPr>
  </w:style>
  <w:style w:type="character" w:customStyle="1" w:styleId="Heading1Char">
    <w:name w:val="Heading 1 Char"/>
    <w:basedOn w:val="DefaultParagraphFont"/>
    <w:link w:val="Heading1"/>
    <w:uiPriority w:val="99"/>
    <w:semiHidden/>
    <w:rsid w:val="004E687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DD4F5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DD4F51"/>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4E687A"/>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DD4F51"/>
    <w:rPr>
      <w:caps w:val="0"/>
      <w:smallCaps/>
    </w:rPr>
  </w:style>
  <w:style w:type="paragraph" w:customStyle="1" w:styleId="JuCase">
    <w:name w:val="Ju_Case"/>
    <w:basedOn w:val="Normal"/>
    <w:next w:val="ECHRPara"/>
    <w:uiPriority w:val="10"/>
    <w:rsid w:val="004E687A"/>
    <w:pPr>
      <w:ind w:firstLine="284"/>
    </w:pPr>
    <w:rPr>
      <w:b/>
    </w:rPr>
  </w:style>
  <w:style w:type="character" w:customStyle="1" w:styleId="Heading3Char">
    <w:name w:val="Heading 3 Char"/>
    <w:basedOn w:val="DefaultParagraphFont"/>
    <w:link w:val="Heading3"/>
    <w:uiPriority w:val="99"/>
    <w:semiHidden/>
    <w:rsid w:val="004E687A"/>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4E687A"/>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DD4F51"/>
    <w:rPr>
      <w:rFonts w:asciiTheme="majorHAnsi" w:eastAsiaTheme="majorEastAsia" w:hAnsiTheme="majorHAnsi" w:cstheme="majorBidi"/>
      <w:b/>
      <w:bCs/>
      <w:color w:val="808080"/>
    </w:rPr>
  </w:style>
  <w:style w:type="character" w:styleId="SubtleEmphasis">
    <w:name w:val="Subtle Emphasis"/>
    <w:uiPriority w:val="99"/>
    <w:semiHidden/>
    <w:qFormat/>
    <w:rsid w:val="00DD4F51"/>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DD4F51"/>
    <w:pPr>
      <w:keepNext/>
      <w:keepLines/>
      <w:spacing w:before="720" w:after="240"/>
      <w:outlineLvl w:val="0"/>
    </w:pPr>
    <w:rPr>
      <w:rFonts w:asciiTheme="majorHAnsi" w:hAnsiTheme="majorHAnsi"/>
      <w:sz w:val="28"/>
    </w:rPr>
  </w:style>
  <w:style w:type="character" w:styleId="Emphasis">
    <w:name w:val="Emphasis"/>
    <w:uiPriority w:val="99"/>
    <w:semiHidden/>
    <w:qFormat/>
    <w:rsid w:val="00DD4F51"/>
    <w:rPr>
      <w:b/>
      <w:bCs/>
      <w:i/>
      <w:iCs/>
      <w:spacing w:val="10"/>
      <w:bdr w:val="none" w:sz="0" w:space="0" w:color="auto"/>
      <w:shd w:val="clear" w:color="auto" w:fill="auto"/>
    </w:rPr>
  </w:style>
  <w:style w:type="paragraph" w:styleId="Footer">
    <w:name w:val="footer"/>
    <w:basedOn w:val="Normal"/>
    <w:link w:val="FooterChar"/>
    <w:uiPriority w:val="57"/>
    <w:semiHidden/>
    <w:rsid w:val="004E687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E687A"/>
    <w:rPr>
      <w:sz w:val="24"/>
      <w:lang w:val="en-GB"/>
    </w:rPr>
  </w:style>
  <w:style w:type="character" w:styleId="FootnoteReference">
    <w:name w:val="footnote reference"/>
    <w:basedOn w:val="DefaultParagraphFont"/>
    <w:uiPriority w:val="99"/>
    <w:semiHidden/>
    <w:rsid w:val="004E687A"/>
    <w:rPr>
      <w:vertAlign w:val="superscript"/>
    </w:rPr>
  </w:style>
  <w:style w:type="paragraph" w:styleId="FootnoteText">
    <w:name w:val="footnote text"/>
    <w:basedOn w:val="Normal"/>
    <w:link w:val="FootnoteTextChar"/>
    <w:uiPriority w:val="99"/>
    <w:semiHidden/>
    <w:rsid w:val="004E687A"/>
    <w:rPr>
      <w:sz w:val="20"/>
      <w:szCs w:val="20"/>
    </w:rPr>
  </w:style>
  <w:style w:type="character" w:customStyle="1" w:styleId="FootnoteTextChar">
    <w:name w:val="Footnote Text Char"/>
    <w:basedOn w:val="DefaultParagraphFont"/>
    <w:link w:val="FootnoteText"/>
    <w:uiPriority w:val="99"/>
    <w:semiHidden/>
    <w:rsid w:val="004E687A"/>
    <w:rPr>
      <w:rFonts w:eastAsiaTheme="minorEastAsia"/>
      <w:sz w:val="20"/>
      <w:szCs w:val="20"/>
      <w:lang w:val="en-GB"/>
    </w:rPr>
  </w:style>
  <w:style w:type="character" w:customStyle="1" w:styleId="Heading6Char">
    <w:name w:val="Heading 6 Char"/>
    <w:basedOn w:val="DefaultParagraphFont"/>
    <w:link w:val="Heading6"/>
    <w:uiPriority w:val="99"/>
    <w:semiHidden/>
    <w:rsid w:val="004E687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DD4F5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D4F5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D4F51"/>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E687A"/>
    <w:rPr>
      <w:color w:val="0072BC" w:themeColor="hyperlink"/>
      <w:u w:val="single"/>
    </w:rPr>
  </w:style>
  <w:style w:type="character" w:styleId="IntenseEmphasis">
    <w:name w:val="Intense Emphasis"/>
    <w:uiPriority w:val="99"/>
    <w:semiHidden/>
    <w:qFormat/>
    <w:rsid w:val="00DD4F51"/>
    <w:rPr>
      <w:b/>
      <w:bCs/>
    </w:rPr>
  </w:style>
  <w:style w:type="paragraph" w:styleId="IntenseQuote">
    <w:name w:val="Intense Quote"/>
    <w:basedOn w:val="Normal"/>
    <w:next w:val="Normal"/>
    <w:link w:val="IntenseQuoteChar"/>
    <w:uiPriority w:val="99"/>
    <w:semiHidden/>
    <w:qFormat/>
    <w:rsid w:val="00DD4F51"/>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DD4F51"/>
    <w:rPr>
      <w:rFonts w:eastAsiaTheme="minorEastAsia"/>
      <w:b/>
      <w:bCs/>
      <w:i/>
      <w:iCs/>
      <w:lang w:bidi="en-US"/>
    </w:rPr>
  </w:style>
  <w:style w:type="character" w:styleId="IntenseReference">
    <w:name w:val="Intense Reference"/>
    <w:uiPriority w:val="99"/>
    <w:semiHidden/>
    <w:qFormat/>
    <w:rsid w:val="00DD4F51"/>
    <w:rPr>
      <w:smallCaps/>
      <w:spacing w:val="5"/>
      <w:u w:val="single"/>
    </w:rPr>
  </w:style>
  <w:style w:type="paragraph" w:styleId="ListParagraph">
    <w:name w:val="List Paragraph"/>
    <w:basedOn w:val="Normal"/>
    <w:uiPriority w:val="99"/>
    <w:semiHidden/>
    <w:qFormat/>
    <w:rsid w:val="00DD4F5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D4F51"/>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DD4F51"/>
    <w:rPr>
      <w:rFonts w:eastAsiaTheme="minorEastAsia"/>
      <w:i/>
      <w:iCs/>
      <w:lang w:bidi="en-US"/>
    </w:rPr>
  </w:style>
  <w:style w:type="character" w:styleId="SubtleReference">
    <w:name w:val="Subtle Reference"/>
    <w:uiPriority w:val="99"/>
    <w:semiHidden/>
    <w:qFormat/>
    <w:rsid w:val="00DD4F51"/>
    <w:rPr>
      <w:smallCaps/>
    </w:rPr>
  </w:style>
  <w:style w:type="table" w:styleId="TableGrid">
    <w:name w:val="Table Grid"/>
    <w:basedOn w:val="TableNormal"/>
    <w:uiPriority w:val="59"/>
    <w:semiHidden/>
    <w:rsid w:val="004E687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E687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E687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E687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E687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E687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D4F5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E687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DD4F51"/>
    <w:pPr>
      <w:spacing w:before="120" w:after="120"/>
      <w:ind w:left="425" w:firstLine="142"/>
    </w:pPr>
    <w:rPr>
      <w:sz w:val="20"/>
    </w:rPr>
  </w:style>
  <w:style w:type="paragraph" w:customStyle="1" w:styleId="ECHRPara">
    <w:name w:val="ECHR_Para"/>
    <w:aliases w:val="Ju_Para"/>
    <w:basedOn w:val="Normal"/>
    <w:link w:val="ECHRParaChar"/>
    <w:uiPriority w:val="12"/>
    <w:qFormat/>
    <w:rsid w:val="00DD4F51"/>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E687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DD4F51"/>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DD4F51"/>
    <w:pPr>
      <w:ind w:left="340" w:hanging="340"/>
    </w:pPr>
  </w:style>
  <w:style w:type="paragraph" w:customStyle="1" w:styleId="JuSigned">
    <w:name w:val="Ju_Signed"/>
    <w:basedOn w:val="Normal"/>
    <w:next w:val="JuParaLast"/>
    <w:uiPriority w:val="32"/>
    <w:qFormat/>
    <w:rsid w:val="00DD4F51"/>
    <w:pPr>
      <w:tabs>
        <w:tab w:val="center" w:pos="851"/>
        <w:tab w:val="center" w:pos="6407"/>
      </w:tabs>
      <w:spacing w:before="720"/>
      <w:jc w:val="left"/>
    </w:pPr>
  </w:style>
  <w:style w:type="paragraph" w:customStyle="1" w:styleId="JuParaLast">
    <w:name w:val="Ju_Para_Last"/>
    <w:basedOn w:val="Normal"/>
    <w:next w:val="ECHRPara"/>
    <w:uiPriority w:val="30"/>
    <w:qFormat/>
    <w:rsid w:val="00DD4F51"/>
    <w:pPr>
      <w:keepNext/>
      <w:keepLines/>
      <w:spacing w:before="240"/>
      <w:ind w:firstLine="284"/>
    </w:pPr>
  </w:style>
  <w:style w:type="character" w:customStyle="1" w:styleId="JuITMark">
    <w:name w:val="Ju_ITMark"/>
    <w:basedOn w:val="DefaultParagraphFont"/>
    <w:uiPriority w:val="38"/>
    <w:qFormat/>
    <w:rsid w:val="00DD4F51"/>
    <w:rPr>
      <w:vanish w:val="0"/>
      <w:color w:val="auto"/>
      <w:sz w:val="14"/>
      <w:bdr w:val="none" w:sz="0" w:space="0" w:color="auto"/>
      <w:shd w:val="clear" w:color="auto" w:fill="BEE5FF" w:themeFill="background1" w:themeFillTint="33"/>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DD4F51"/>
    <w:pPr>
      <w:ind w:left="346" w:firstLine="0"/>
    </w:pPr>
  </w:style>
  <w:style w:type="paragraph" w:customStyle="1" w:styleId="JuListi">
    <w:name w:val="Ju_List_i"/>
    <w:basedOn w:val="Normal"/>
    <w:next w:val="JuLista"/>
    <w:uiPriority w:val="28"/>
    <w:qFormat/>
    <w:rsid w:val="00DD4F51"/>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4E687A"/>
    <w:rPr>
      <w:vertAlign w:val="superscript"/>
    </w:rPr>
  </w:style>
  <w:style w:type="paragraph" w:styleId="EndnoteText">
    <w:name w:val="endnote text"/>
    <w:basedOn w:val="Normal"/>
    <w:link w:val="EndnoteTextChar"/>
    <w:uiPriority w:val="99"/>
    <w:semiHidden/>
    <w:rsid w:val="004E687A"/>
    <w:rPr>
      <w:sz w:val="20"/>
      <w:szCs w:val="20"/>
    </w:rPr>
  </w:style>
  <w:style w:type="character" w:customStyle="1" w:styleId="EndnoteTextChar">
    <w:name w:val="Endnote Text Char"/>
    <w:basedOn w:val="DefaultParagraphFont"/>
    <w:link w:val="EndnoteText"/>
    <w:uiPriority w:val="99"/>
    <w:semiHidden/>
    <w:rsid w:val="004E687A"/>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paragraph" w:customStyle="1" w:styleId="OpiTranslation">
    <w:name w:val="Opi_Translation"/>
    <w:basedOn w:val="Normal"/>
    <w:next w:val="OpiPara"/>
    <w:uiPriority w:val="40"/>
    <w:qFormat/>
    <w:rsid w:val="00DD4F51"/>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semiHidden/>
    <w:qFormat/>
    <w:rsid w:val="00DD4F51"/>
  </w:style>
  <w:style w:type="paragraph" w:styleId="Subtitle">
    <w:name w:val="Subtitle"/>
    <w:basedOn w:val="Normal"/>
    <w:next w:val="Normal"/>
    <w:link w:val="SubtitleChar"/>
    <w:uiPriority w:val="99"/>
    <w:semiHidden/>
    <w:qFormat/>
    <w:rsid w:val="00DD4F51"/>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DD4F51"/>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4E687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E687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E687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Court">
    <w:name w:val="Ju_Court"/>
    <w:basedOn w:val="Normal"/>
    <w:next w:val="Normal"/>
    <w:uiPriority w:val="16"/>
    <w:qFormat/>
    <w:rsid w:val="00DD4F51"/>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semiHidden/>
    <w:qFormat/>
    <w:rsid w:val="00DD4F51"/>
    <w:pPr>
      <w:spacing w:before="240"/>
      <w:ind w:left="284"/>
    </w:pPr>
  </w:style>
  <w:style w:type="paragraph" w:customStyle="1" w:styleId="OpiH1">
    <w:name w:val="Opi_H_1"/>
    <w:basedOn w:val="ECHRHeading2"/>
    <w:uiPriority w:val="42"/>
    <w:qFormat/>
    <w:rsid w:val="00DD4F51"/>
    <w:pPr>
      <w:ind w:left="635" w:hanging="357"/>
      <w:outlineLvl w:val="2"/>
    </w:pPr>
  </w:style>
  <w:style w:type="paragraph" w:customStyle="1" w:styleId="OpiHa0">
    <w:name w:val="Opi_H_a"/>
    <w:basedOn w:val="ECHRHeading3"/>
    <w:uiPriority w:val="43"/>
    <w:qFormat/>
    <w:rsid w:val="00DD4F51"/>
    <w:pPr>
      <w:ind w:left="833" w:hanging="357"/>
      <w:outlineLvl w:val="3"/>
    </w:pPr>
    <w:rPr>
      <w:b/>
      <w:i w:val="0"/>
      <w:sz w:val="20"/>
    </w:rPr>
  </w:style>
  <w:style w:type="paragraph" w:customStyle="1" w:styleId="OpiHi">
    <w:name w:val="Opi_H_i"/>
    <w:basedOn w:val="ECHRHeading4"/>
    <w:uiPriority w:val="44"/>
    <w:qFormat/>
    <w:rsid w:val="00DD4F51"/>
    <w:pPr>
      <w:ind w:left="1037" w:hanging="357"/>
      <w:outlineLvl w:val="4"/>
    </w:pPr>
    <w:rPr>
      <w:b w:val="0"/>
      <w:i/>
    </w:rPr>
  </w:style>
  <w:style w:type="paragraph" w:customStyle="1" w:styleId="DummyStyle">
    <w:name w:val="Dummy_Style"/>
    <w:basedOn w:val="Normal"/>
    <w:semiHidden/>
    <w:qFormat/>
    <w:rsid w:val="00DD4F51"/>
    <w:rPr>
      <w:color w:val="00B050"/>
    </w:rPr>
  </w:style>
  <w:style w:type="paragraph" w:customStyle="1" w:styleId="JuHeaderLandscape">
    <w:name w:val="Ju_Header_Landscape"/>
    <w:basedOn w:val="ECHRHeader"/>
    <w:uiPriority w:val="4"/>
    <w:qFormat/>
    <w:rsid w:val="00DD4F51"/>
    <w:pPr>
      <w:tabs>
        <w:tab w:val="clear" w:pos="3686"/>
        <w:tab w:val="center" w:pos="6146"/>
        <w:tab w:val="clear" w:pos="7371"/>
        <w:tab w:val="right" w:pos="12293"/>
      </w:tabs>
    </w:pPr>
  </w:style>
  <w:style w:type="character" w:customStyle="1" w:styleId="ECHRParaChar">
    <w:name w:val="ECHR_Para Char"/>
    <w:aliases w:val="Ju_Para Char"/>
    <w:link w:val="ECHRPara"/>
    <w:uiPriority w:val="12"/>
    <w:rsid w:val="00FC195B"/>
    <w:rPr>
      <w:rFonts w:eastAsiaTheme="minorEastAsia"/>
      <w:sz w:val="24"/>
      <w:lang w:val="en-GB"/>
    </w:rPr>
  </w:style>
  <w:style w:type="paragraph" w:styleId="Revision">
    <w:name w:val="Revision"/>
    <w:hidden/>
    <w:uiPriority w:val="99"/>
    <w:semiHidden/>
    <w:rsid w:val="00C53EB6"/>
    <w:rPr>
      <w:rFonts w:eastAsiaTheme="minorEastAsia"/>
      <w:sz w:val="24"/>
    </w:rPr>
  </w:style>
  <w:style w:type="paragraph" w:customStyle="1" w:styleId="jupara0">
    <w:name w:val="jupara"/>
    <w:basedOn w:val="Normal"/>
    <w:rsid w:val="0072376D"/>
    <w:pPr>
      <w:ind w:firstLine="284"/>
    </w:pPr>
    <w:rPr>
      <w:rFonts w:ascii="Times New Roman" w:eastAsia="Times New Roman" w:hAnsi="Times New Roman" w:cs="Times New Roman"/>
      <w:szCs w:val="24"/>
      <w:lang w:eastAsia="en-GB"/>
    </w:rPr>
  </w:style>
  <w:style w:type="paragraph" w:customStyle="1" w:styleId="jucase0">
    <w:name w:val="jucase"/>
    <w:basedOn w:val="Normal"/>
    <w:rsid w:val="0072376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BDE11-3635-4AA1-B62C-59BD1F444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5554</Words>
  <Characters>28106</Characters>
  <Application>Microsoft Office Word</Application>
  <DocSecurity>0</DocSecurity>
  <Lines>573</Lines>
  <Paragraphs>168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33492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dcterms:created xsi:type="dcterms:W3CDTF">2018-03-08T16:01:00Z</dcterms:created>
  <dcterms:modified xsi:type="dcterms:W3CDTF">2018-06-22T08:42:00Z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882884</vt:lpwstr>
  </property>
  <property fmtid="{D5CDD505-2E9C-101B-9397-08002B2CF9AE}" pid="3" name="cstLanguage">
    <vt:i4>2057</vt:i4>
  </property>
  <property fmtid="{D5CDD505-2E9C-101B-9397-08002B2CF9AE}" pid="4" name="RegisteredNo">
    <vt:lpwstr>32303/13</vt:lpwstr>
  </property>
</Properties>
</file>