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687D50" w14:textId="77777777" w:rsidR="00BF0382" w:rsidRPr="007B37E6" w:rsidRDefault="00BF0382" w:rsidP="00BF0382">
      <w:pPr>
        <w:jc w:val="center"/>
        <w:rPr>
          <w:rFonts w:ascii="Times New Roman" w:eastAsia="CIDFont+F1" w:hAnsi="Times New Roman"/>
          <w:sz w:val="20"/>
          <w:lang w:eastAsia="pl-PL"/>
        </w:rPr>
      </w:pPr>
      <w:r w:rsidRPr="007B37E6">
        <w:rPr>
          <w:rFonts w:ascii="Times New Roman" w:eastAsia="CIDFont+F1" w:hAnsi="Times New Roman"/>
          <w:sz w:val="20"/>
          <w:lang w:eastAsia="pl-PL"/>
        </w:rPr>
        <w:t xml:space="preserve">© </w:t>
      </w:r>
      <w:proofErr w:type="spellStart"/>
      <w:r w:rsidRPr="007B37E6">
        <w:rPr>
          <w:rFonts w:ascii="Times New Roman" w:eastAsia="CIDFont+F1" w:hAnsi="Times New Roman"/>
          <w:sz w:val="20"/>
          <w:lang w:eastAsia="pl-PL"/>
        </w:rPr>
        <w:t>Trybunał</w:t>
      </w:r>
      <w:proofErr w:type="spellEnd"/>
      <w:r w:rsidRPr="007B37E6">
        <w:rPr>
          <w:rFonts w:ascii="Times New Roman" w:eastAsia="CIDFont+F1" w:hAnsi="Times New Roman"/>
          <w:sz w:val="20"/>
          <w:lang w:eastAsia="pl-PL"/>
        </w:rPr>
        <w:t xml:space="preserve"> </w:t>
      </w:r>
      <w:proofErr w:type="spellStart"/>
      <w:r w:rsidRPr="007B37E6">
        <w:rPr>
          <w:rFonts w:ascii="Times New Roman" w:eastAsia="CIDFont+F1" w:hAnsi="Times New Roman"/>
          <w:sz w:val="20"/>
          <w:lang w:eastAsia="pl-PL"/>
        </w:rPr>
        <w:t>Konstytucyjny</w:t>
      </w:r>
      <w:proofErr w:type="spellEnd"/>
    </w:p>
    <w:p w14:paraId="389C6E6F" w14:textId="77777777" w:rsidR="00BF0382" w:rsidRPr="007B37E6" w:rsidRDefault="00BF0382" w:rsidP="00BF0382">
      <w:pPr>
        <w:jc w:val="center"/>
        <w:rPr>
          <w:rFonts w:ascii="Times New Roman" w:eastAsia="CIDFont+F1" w:hAnsi="Times New Roman"/>
          <w:sz w:val="20"/>
          <w:lang w:eastAsia="pl-PL"/>
        </w:rPr>
      </w:pPr>
      <w:r w:rsidRPr="007B37E6">
        <w:rPr>
          <w:rFonts w:ascii="Times New Roman" w:eastAsia="CIDFont+F1" w:hAnsi="Times New Roman"/>
          <w:sz w:val="20"/>
          <w:lang w:eastAsia="pl-PL"/>
        </w:rPr>
        <w:t>© Copyright for the Polish translation by the Polish Constitutional Tribunal</w:t>
      </w:r>
    </w:p>
    <w:p w14:paraId="64456247" w14:textId="09FB0C44" w:rsidR="00BF0382" w:rsidRDefault="00BF0382" w:rsidP="00BF0382">
      <w:pPr>
        <w:jc w:val="center"/>
        <w:rPr>
          <w:rFonts w:ascii="Times New Roman" w:eastAsia="CIDFont+F1" w:hAnsi="Times New Roman"/>
          <w:sz w:val="20"/>
          <w:lang w:eastAsia="pl-PL"/>
        </w:rPr>
      </w:pPr>
      <w:r w:rsidRPr="000C7A65">
        <w:rPr>
          <w:rFonts w:ascii="Times New Roman" w:eastAsia="CIDFont+F1" w:hAnsi="Times New Roman"/>
          <w:sz w:val="20"/>
          <w:lang w:eastAsia="pl-PL"/>
        </w:rPr>
        <w:t>Warszawa 20</w:t>
      </w:r>
      <w:r>
        <w:rPr>
          <w:rFonts w:ascii="Times New Roman" w:eastAsia="CIDFont+F1" w:hAnsi="Times New Roman"/>
          <w:sz w:val="20"/>
          <w:lang w:eastAsia="pl-PL"/>
        </w:rPr>
        <w:t>2</w:t>
      </w:r>
      <w:r>
        <w:rPr>
          <w:rFonts w:ascii="Times New Roman" w:eastAsia="CIDFont+F1" w:hAnsi="Times New Roman"/>
          <w:sz w:val="20"/>
          <w:lang w:eastAsia="pl-PL"/>
        </w:rPr>
        <w:t>2</w:t>
      </w:r>
    </w:p>
    <w:p w14:paraId="6D0A724E" w14:textId="77777777" w:rsidR="00BF0382" w:rsidRDefault="00BF0382" w:rsidP="001E148F">
      <w:pPr>
        <w:jc w:val="center"/>
        <w:rPr>
          <w:rFonts w:ascii="Times New Roman" w:hAnsi="Times New Roman" w:cs="Times New Roman"/>
          <w:lang w:val="pl-PL"/>
        </w:rPr>
      </w:pPr>
    </w:p>
    <w:p w14:paraId="1AB07B59" w14:textId="5097DD1D" w:rsidR="00176B6A" w:rsidRPr="006E4F1E" w:rsidRDefault="006E4F1E" w:rsidP="001E148F">
      <w:pPr>
        <w:jc w:val="center"/>
        <w:rPr>
          <w:rFonts w:ascii="Times New Roman" w:hAnsi="Times New Roman" w:cs="Times New Roman"/>
          <w:lang w:val="pl-PL"/>
        </w:rPr>
      </w:pPr>
      <w:r w:rsidRPr="006E4F1E">
        <w:rPr>
          <w:rFonts w:ascii="Times New Roman" w:hAnsi="Times New Roman" w:cs="Times New Roman"/>
          <w:lang w:val="pl-PL"/>
        </w:rPr>
        <w:t>EUROPEJSKI TRYBUNAŁ PRAW CZŁOWIEKA</w:t>
      </w:r>
    </w:p>
    <w:p w14:paraId="562232D6" w14:textId="77777777" w:rsidR="006E4F1E" w:rsidRPr="00301C97" w:rsidRDefault="006E4F1E" w:rsidP="001E148F">
      <w:pPr>
        <w:jc w:val="center"/>
        <w:rPr>
          <w:rFonts w:ascii="Times New Roman" w:hAnsi="Times New Roman" w:cs="Times New Roman"/>
          <w:lang w:val="pl-PL"/>
        </w:rPr>
      </w:pPr>
    </w:p>
    <w:p w14:paraId="7F78C278" w14:textId="77777777" w:rsidR="0098410D" w:rsidRPr="006E4F1E" w:rsidRDefault="00176B6A" w:rsidP="001E148F">
      <w:pPr>
        <w:pStyle w:val="DecHCase"/>
        <w:rPr>
          <w:lang w:val="pl-PL"/>
        </w:rPr>
      </w:pPr>
      <w:r>
        <w:rPr>
          <w:lang w:val="pl"/>
        </w:rPr>
        <w:t>CZWARTA SEKCJA</w:t>
      </w:r>
    </w:p>
    <w:p w14:paraId="56C97E30" w14:textId="77777777" w:rsidR="008E6217" w:rsidRPr="006E4F1E" w:rsidRDefault="008E6217" w:rsidP="00BF0382">
      <w:pPr>
        <w:pStyle w:val="JuTitle"/>
        <w:spacing w:before="840"/>
        <w:rPr>
          <w:lang w:val="pl-PL"/>
        </w:rPr>
      </w:pPr>
      <w:bookmarkStart w:id="0" w:name="To"/>
      <w:r>
        <w:rPr>
          <w:bCs/>
          <w:color w:val="000000" w:themeColor="text1"/>
          <w:lang w:val="pl"/>
        </w:rPr>
        <w:t xml:space="preserve">SPRAWA </w:t>
      </w:r>
      <w:bookmarkEnd w:id="0"/>
      <w:proofErr w:type="spellStart"/>
      <w:r>
        <w:rPr>
          <w:bCs/>
          <w:lang w:val="pl"/>
        </w:rPr>
        <w:t>SUDITA</w:t>
      </w:r>
      <w:proofErr w:type="spellEnd"/>
      <w:r>
        <w:rPr>
          <w:bCs/>
          <w:lang w:val="pl"/>
        </w:rPr>
        <w:t xml:space="preserve"> </w:t>
      </w:r>
      <w:proofErr w:type="spellStart"/>
      <w:r>
        <w:rPr>
          <w:bCs/>
          <w:lang w:val="pl"/>
        </w:rPr>
        <w:t>KEITA</w:t>
      </w:r>
      <w:proofErr w:type="spellEnd"/>
      <w:r>
        <w:rPr>
          <w:bCs/>
          <w:lang w:val="pl"/>
        </w:rPr>
        <w:t xml:space="preserve"> przeciwko WĘGROM</w:t>
      </w:r>
    </w:p>
    <w:p w14:paraId="0AFAD660" w14:textId="77777777" w:rsidR="00D74888" w:rsidRPr="006E4F1E" w:rsidRDefault="008E6217" w:rsidP="001E148F">
      <w:pPr>
        <w:pStyle w:val="ECHRCoverTitle4"/>
        <w:rPr>
          <w:lang w:val="pl-PL"/>
        </w:rPr>
      </w:pPr>
      <w:r>
        <w:rPr>
          <w:iCs/>
          <w:lang w:val="pl"/>
        </w:rPr>
        <w:t>(Skarga nr 42321/15)</w:t>
      </w:r>
    </w:p>
    <w:p w14:paraId="72F1692F" w14:textId="77777777" w:rsidR="0098410D" w:rsidRPr="006E4F1E" w:rsidRDefault="0098410D" w:rsidP="001E148F">
      <w:pPr>
        <w:pStyle w:val="DecHCase"/>
        <w:rPr>
          <w:lang w:val="pl-PL"/>
        </w:rPr>
      </w:pPr>
    </w:p>
    <w:p w14:paraId="325D17C7" w14:textId="77777777" w:rsidR="0098410D" w:rsidRPr="006E4F1E" w:rsidRDefault="0098410D" w:rsidP="001E148F">
      <w:pPr>
        <w:pStyle w:val="DecHCase"/>
        <w:rPr>
          <w:lang w:val="pl-PL"/>
        </w:rPr>
      </w:pPr>
      <w:r>
        <w:rPr>
          <w:lang w:val="pl"/>
        </w:rPr>
        <w:t>WYROK</w:t>
      </w:r>
    </w:p>
    <w:p w14:paraId="3865EFC1" w14:textId="411761A4" w:rsidR="007C3D22" w:rsidRPr="006E4F1E" w:rsidRDefault="00D467F5" w:rsidP="001E148F">
      <w:pPr>
        <w:pBdr>
          <w:top w:val="single" w:sz="4" w:space="1" w:color="auto"/>
          <w:left w:val="single" w:sz="4" w:space="4" w:color="auto"/>
          <w:bottom w:val="single" w:sz="4" w:space="1" w:color="auto"/>
          <w:right w:val="single" w:sz="4" w:space="4" w:color="auto"/>
        </w:pBdr>
        <w:jc w:val="both"/>
        <w:rPr>
          <w:lang w:val="pl-PL"/>
        </w:rPr>
      </w:pPr>
      <w:r>
        <w:rPr>
          <w:rFonts w:ascii="Times New Roman" w:hAnsi="Times New Roman"/>
          <w:lang w:val="pl"/>
        </w:rPr>
        <w:t>Artykuł 8 • Życie prywatne • Obowiązki pozytywne • Przedłużające się trudności</w:t>
      </w:r>
      <w:r>
        <w:rPr>
          <w:lang w:val="pl"/>
        </w:rPr>
        <w:t xml:space="preserve"> z uregulowaniem sytuacji prawnej bezpaństwowca • Negatywny wpływ niepewności co do statusu prawnego na dostęp do opieki zdrowotnej i zatrudnienia • Brak skutecznej i dostępnej procedury lub </w:t>
      </w:r>
      <w:r w:rsidR="00301C97">
        <w:rPr>
          <w:lang w:val="pl"/>
        </w:rPr>
        <w:t>kombinacji</w:t>
      </w:r>
      <w:r>
        <w:rPr>
          <w:lang w:val="pl"/>
        </w:rPr>
        <w:t xml:space="preserve"> procedur umożliwiających ustalenie dalszego pobytu i statusu z należytym uwzględnieniem interesów życia prywatnego • Niemożność spełnienia wymogów prawnych dotyczących statusu bezpaństwowca wbrew obowiązkom wynikającym z prawa międzynarodowego publicznego</w:t>
      </w:r>
    </w:p>
    <w:p w14:paraId="39AB9D60" w14:textId="77777777" w:rsidR="001E148F" w:rsidRPr="006E4F1E" w:rsidRDefault="001E148F" w:rsidP="001E148F">
      <w:pPr>
        <w:pStyle w:val="DecHCase"/>
        <w:rPr>
          <w:lang w:val="pl-PL"/>
        </w:rPr>
      </w:pPr>
    </w:p>
    <w:p w14:paraId="07C132B0" w14:textId="39099F41" w:rsidR="0098410D" w:rsidRPr="006E4F1E" w:rsidRDefault="0098410D" w:rsidP="001E148F">
      <w:pPr>
        <w:pStyle w:val="DecHCase"/>
        <w:rPr>
          <w:lang w:val="pl-PL"/>
        </w:rPr>
      </w:pPr>
      <w:r>
        <w:rPr>
          <w:lang w:val="pl"/>
        </w:rPr>
        <w:t>STRASBURG</w:t>
      </w:r>
    </w:p>
    <w:p w14:paraId="19C23001" w14:textId="77777777" w:rsidR="0098410D" w:rsidRPr="006E4F1E" w:rsidRDefault="00176B6A" w:rsidP="001E148F">
      <w:pPr>
        <w:pStyle w:val="DecHCase"/>
        <w:rPr>
          <w:rFonts w:ascii="Times New Roman" w:hAnsi="Times New Roman" w:cs="Times New Roman"/>
          <w:lang w:val="pl-PL"/>
        </w:rPr>
      </w:pPr>
      <w:r>
        <w:rPr>
          <w:rFonts w:ascii="Times New Roman" w:hAnsi="Times New Roman" w:cs="Times New Roman"/>
          <w:lang w:val="pl"/>
        </w:rPr>
        <w:t>12 maja 2020 r.</w:t>
      </w:r>
    </w:p>
    <w:p w14:paraId="49B85454" w14:textId="77777777" w:rsidR="00AC4CD4" w:rsidRPr="006E4F1E" w:rsidRDefault="00AC4CD4" w:rsidP="001E148F">
      <w:pPr>
        <w:pStyle w:val="JuPara"/>
        <w:rPr>
          <w:lang w:val="pl-PL"/>
        </w:rPr>
      </w:pPr>
    </w:p>
    <w:p w14:paraId="3F87FCAC" w14:textId="77777777" w:rsidR="00C60B8F" w:rsidRPr="006E4F1E" w:rsidRDefault="00C60B8F" w:rsidP="00C60B8F">
      <w:pPr>
        <w:pStyle w:val="jucase0"/>
        <w:ind w:firstLine="0"/>
        <w:jc w:val="center"/>
        <w:rPr>
          <w:color w:val="FF0000"/>
          <w:sz w:val="28"/>
          <w:szCs w:val="28"/>
          <w:u w:val="single"/>
          <w:lang w:val="pl-PL"/>
        </w:rPr>
      </w:pPr>
      <w:r>
        <w:rPr>
          <w:color w:val="FF0000"/>
          <w:sz w:val="28"/>
          <w:szCs w:val="28"/>
          <w:u w:val="single"/>
          <w:lang w:val="pl"/>
        </w:rPr>
        <w:t>OSTATECZNY</w:t>
      </w:r>
    </w:p>
    <w:p w14:paraId="5EF52A60" w14:textId="77777777" w:rsidR="00C60B8F" w:rsidRPr="006E4F1E" w:rsidRDefault="00C60B8F" w:rsidP="00C60B8F">
      <w:pPr>
        <w:pStyle w:val="jupara0"/>
        <w:tabs>
          <w:tab w:val="left" w:pos="4650"/>
        </w:tabs>
        <w:ind w:firstLine="0"/>
        <w:jc w:val="center"/>
        <w:rPr>
          <w:color w:val="FF0000"/>
          <w:sz w:val="28"/>
          <w:szCs w:val="28"/>
          <w:lang w:val="pl-PL"/>
        </w:rPr>
      </w:pPr>
    </w:p>
    <w:p w14:paraId="7E67812F" w14:textId="4BC6ADF1" w:rsidR="0055169E" w:rsidRPr="006E4F1E" w:rsidRDefault="0055169E" w:rsidP="00C60B8F">
      <w:pPr>
        <w:pStyle w:val="jupara0"/>
        <w:tabs>
          <w:tab w:val="left" w:pos="4650"/>
        </w:tabs>
        <w:ind w:firstLine="0"/>
        <w:jc w:val="center"/>
        <w:rPr>
          <w:color w:val="FF0000"/>
          <w:sz w:val="28"/>
          <w:szCs w:val="28"/>
          <w:lang w:val="pl-PL"/>
        </w:rPr>
      </w:pPr>
      <w:r>
        <w:rPr>
          <w:color w:val="FF0000"/>
          <w:sz w:val="28"/>
          <w:szCs w:val="28"/>
          <w:lang w:val="pl"/>
        </w:rPr>
        <w:t>12</w:t>
      </w:r>
      <w:r w:rsidR="00DA2456">
        <w:rPr>
          <w:color w:val="FF0000"/>
          <w:sz w:val="28"/>
          <w:szCs w:val="28"/>
          <w:lang w:val="pl"/>
        </w:rPr>
        <w:t>.</w:t>
      </w:r>
      <w:r>
        <w:rPr>
          <w:color w:val="FF0000"/>
          <w:sz w:val="28"/>
          <w:szCs w:val="28"/>
          <w:lang w:val="pl"/>
        </w:rPr>
        <w:t>08</w:t>
      </w:r>
      <w:r w:rsidR="00DA2456">
        <w:rPr>
          <w:color w:val="FF0000"/>
          <w:sz w:val="28"/>
          <w:szCs w:val="28"/>
          <w:lang w:val="pl"/>
        </w:rPr>
        <w:t>.</w:t>
      </w:r>
      <w:r>
        <w:rPr>
          <w:color w:val="FF0000"/>
          <w:sz w:val="28"/>
          <w:szCs w:val="28"/>
          <w:lang w:val="pl"/>
        </w:rPr>
        <w:t>2020 r.</w:t>
      </w:r>
    </w:p>
    <w:p w14:paraId="63D3DFE2" w14:textId="77777777" w:rsidR="00C60B8F" w:rsidRPr="006E4F1E" w:rsidRDefault="00C60B8F" w:rsidP="00C60B8F">
      <w:pPr>
        <w:pStyle w:val="jupara0"/>
        <w:ind w:firstLine="0"/>
        <w:jc w:val="center"/>
        <w:rPr>
          <w:lang w:val="pl-PL"/>
        </w:rPr>
      </w:pPr>
    </w:p>
    <w:p w14:paraId="1A30902C" w14:textId="7390626D" w:rsidR="002422B6" w:rsidRPr="006E4F1E" w:rsidRDefault="00C60B8F" w:rsidP="00BF0382">
      <w:pPr>
        <w:jc w:val="center"/>
        <w:rPr>
          <w:i/>
          <w:sz w:val="22"/>
          <w:lang w:val="pl-PL"/>
        </w:rPr>
      </w:pPr>
      <w:bookmarkStart w:id="1" w:name="_GoBack"/>
      <w:bookmarkEnd w:id="1"/>
      <w:r>
        <w:rPr>
          <w:i/>
          <w:iCs/>
          <w:sz w:val="22"/>
          <w:szCs w:val="22"/>
          <w:lang w:val="pl"/>
        </w:rPr>
        <w:t>Wyrok ten stał się ostateczny zgodnie z warunkami określonymi w art. 44 ust. 2 Konwencji. Wyrok może podlegać korekcie edycyjnej.</w:t>
      </w:r>
    </w:p>
    <w:p w14:paraId="54179889" w14:textId="77777777" w:rsidR="0098410D" w:rsidRPr="006E4F1E" w:rsidRDefault="0098410D" w:rsidP="001E148F">
      <w:pPr>
        <w:rPr>
          <w:lang w:val="pl-PL"/>
        </w:rPr>
        <w:sectPr w:rsidR="0098410D" w:rsidRPr="006E4F1E" w:rsidSect="00D66471">
          <w:headerReference w:type="default" r:id="rId11"/>
          <w:footerReference w:type="default" r:id="rId12"/>
          <w:headerReference w:type="first" r:id="rId13"/>
          <w:footerReference w:type="first" r:id="rId14"/>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2843B496" w14:textId="77777777" w:rsidR="0098410D" w:rsidRPr="006E4F1E" w:rsidRDefault="0098410D" w:rsidP="001E148F">
      <w:pPr>
        <w:pStyle w:val="JuCase"/>
        <w:rPr>
          <w:lang w:val="pl-PL"/>
        </w:rPr>
      </w:pPr>
      <w:r>
        <w:rPr>
          <w:bCs/>
          <w:lang w:val="pl"/>
        </w:rPr>
        <w:lastRenderedPageBreak/>
        <w:t xml:space="preserve">W sprawie </w:t>
      </w:r>
      <w:proofErr w:type="spellStart"/>
      <w:r>
        <w:rPr>
          <w:bCs/>
          <w:lang w:val="pl"/>
        </w:rPr>
        <w:t>Sudita</w:t>
      </w:r>
      <w:proofErr w:type="spellEnd"/>
      <w:r>
        <w:rPr>
          <w:bCs/>
          <w:lang w:val="pl"/>
        </w:rPr>
        <w:t xml:space="preserve"> </w:t>
      </w:r>
      <w:proofErr w:type="spellStart"/>
      <w:r>
        <w:rPr>
          <w:bCs/>
          <w:lang w:val="pl"/>
        </w:rPr>
        <w:t>Keita</w:t>
      </w:r>
      <w:proofErr w:type="spellEnd"/>
      <w:r>
        <w:rPr>
          <w:bCs/>
          <w:lang w:val="pl"/>
        </w:rPr>
        <w:t xml:space="preserve"> przeciwko Węgrom</w:t>
      </w:r>
    </w:p>
    <w:p w14:paraId="487398C9" w14:textId="4F15B82D" w:rsidR="009F4C8F" w:rsidRPr="006E4F1E" w:rsidRDefault="009F4C8F" w:rsidP="001E148F">
      <w:pPr>
        <w:pStyle w:val="JuPara"/>
        <w:rPr>
          <w:lang w:val="pl-PL"/>
        </w:rPr>
      </w:pPr>
      <w:r>
        <w:rPr>
          <w:lang w:val="pl"/>
        </w:rPr>
        <w:t xml:space="preserve">Europejski Trybunał Praw Człowieka (Czwarta Sekcja), zasiadając jako Izba </w:t>
      </w:r>
      <w:r w:rsidR="00086073">
        <w:rPr>
          <w:lang w:val="pl"/>
        </w:rPr>
        <w:t>w składzie</w:t>
      </w:r>
      <w:r>
        <w:rPr>
          <w:lang w:val="pl"/>
        </w:rPr>
        <w:t>:</w:t>
      </w:r>
    </w:p>
    <w:p w14:paraId="15B93D00" w14:textId="77777777" w:rsidR="00A1475B" w:rsidRPr="006E4F1E" w:rsidRDefault="0001141E" w:rsidP="001E148F">
      <w:pPr>
        <w:pStyle w:val="JuJudges"/>
        <w:rPr>
          <w:lang w:val="pl"/>
        </w:rPr>
      </w:pPr>
      <w:r>
        <w:rPr>
          <w:lang w:val="pl"/>
        </w:rPr>
        <w:tab/>
        <w:t xml:space="preserve">Jon </w:t>
      </w:r>
      <w:proofErr w:type="spellStart"/>
      <w:r>
        <w:rPr>
          <w:lang w:val="pl"/>
        </w:rPr>
        <w:t>Fridrik</w:t>
      </w:r>
      <w:proofErr w:type="spellEnd"/>
      <w:r>
        <w:rPr>
          <w:lang w:val="pl"/>
        </w:rPr>
        <w:t xml:space="preserve"> </w:t>
      </w:r>
      <w:proofErr w:type="spellStart"/>
      <w:r>
        <w:rPr>
          <w:lang w:val="pl"/>
        </w:rPr>
        <w:t>Kjølbro</w:t>
      </w:r>
      <w:proofErr w:type="spellEnd"/>
      <w:r>
        <w:rPr>
          <w:lang w:val="pl"/>
        </w:rPr>
        <w:t xml:space="preserve">, </w:t>
      </w:r>
      <w:r>
        <w:rPr>
          <w:i/>
          <w:iCs/>
          <w:lang w:val="pl"/>
        </w:rPr>
        <w:t>Przewodniczący,</w:t>
      </w:r>
      <w:r>
        <w:rPr>
          <w:lang w:val="pl"/>
        </w:rPr>
        <w:br/>
      </w:r>
      <w:r>
        <w:rPr>
          <w:lang w:val="pl"/>
        </w:rPr>
        <w:tab/>
      </w:r>
      <w:proofErr w:type="spellStart"/>
      <w:r>
        <w:rPr>
          <w:lang w:val="pl"/>
        </w:rPr>
        <w:t>Faris</w:t>
      </w:r>
      <w:proofErr w:type="spellEnd"/>
      <w:r>
        <w:rPr>
          <w:lang w:val="pl"/>
        </w:rPr>
        <w:t xml:space="preserve"> </w:t>
      </w:r>
      <w:proofErr w:type="spellStart"/>
      <w:r>
        <w:rPr>
          <w:lang w:val="pl"/>
        </w:rPr>
        <w:t>Vehabović</w:t>
      </w:r>
      <w:proofErr w:type="spellEnd"/>
      <w:r>
        <w:rPr>
          <w:lang w:val="pl"/>
        </w:rPr>
        <w:t>,</w:t>
      </w:r>
      <w:r>
        <w:rPr>
          <w:lang w:val="pl"/>
        </w:rPr>
        <w:br/>
      </w:r>
      <w:r>
        <w:rPr>
          <w:lang w:val="pl"/>
        </w:rPr>
        <w:tab/>
        <w:t>Robert Spano,</w:t>
      </w:r>
      <w:r>
        <w:rPr>
          <w:i/>
          <w:iCs/>
          <w:lang w:val="pl"/>
        </w:rPr>
        <w:t xml:space="preserve"> Sędzia ad hoc,</w:t>
      </w:r>
      <w:r>
        <w:rPr>
          <w:lang w:val="pl"/>
        </w:rPr>
        <w:br/>
      </w:r>
      <w:r>
        <w:rPr>
          <w:lang w:val="pl"/>
        </w:rPr>
        <w:tab/>
      </w:r>
      <w:proofErr w:type="spellStart"/>
      <w:r>
        <w:rPr>
          <w:lang w:val="pl"/>
        </w:rPr>
        <w:t>Iulia</w:t>
      </w:r>
      <w:proofErr w:type="spellEnd"/>
      <w:r>
        <w:rPr>
          <w:lang w:val="pl"/>
        </w:rPr>
        <w:t xml:space="preserve"> </w:t>
      </w:r>
      <w:proofErr w:type="spellStart"/>
      <w:r>
        <w:rPr>
          <w:lang w:val="pl"/>
        </w:rPr>
        <w:t>Antoanella</w:t>
      </w:r>
      <w:proofErr w:type="spellEnd"/>
      <w:r>
        <w:rPr>
          <w:lang w:val="pl"/>
        </w:rPr>
        <w:t xml:space="preserve"> </w:t>
      </w:r>
      <w:proofErr w:type="spellStart"/>
      <w:r>
        <w:rPr>
          <w:lang w:val="pl"/>
        </w:rPr>
        <w:t>Motoc</w:t>
      </w:r>
      <w:proofErr w:type="spellEnd"/>
      <w:r>
        <w:rPr>
          <w:lang w:val="pl"/>
        </w:rPr>
        <w:t>,</w:t>
      </w:r>
    </w:p>
    <w:p w14:paraId="7E65E4A4" w14:textId="77777777" w:rsidR="009F4C8F" w:rsidRPr="006E4F1E" w:rsidRDefault="0001141E" w:rsidP="001E148F">
      <w:pPr>
        <w:pStyle w:val="JuJudges"/>
        <w:rPr>
          <w:lang w:val="pl"/>
        </w:rPr>
      </w:pPr>
      <w:r>
        <w:rPr>
          <w:lang w:val="pl"/>
        </w:rPr>
        <w:tab/>
        <w:t xml:space="preserve">Carlo </w:t>
      </w:r>
      <w:proofErr w:type="spellStart"/>
      <w:r>
        <w:rPr>
          <w:lang w:val="pl"/>
        </w:rPr>
        <w:t>Ranzoni</w:t>
      </w:r>
      <w:proofErr w:type="spellEnd"/>
      <w:r>
        <w:rPr>
          <w:lang w:val="pl"/>
        </w:rPr>
        <w:t>,</w:t>
      </w:r>
      <w:r>
        <w:rPr>
          <w:lang w:val="pl"/>
        </w:rPr>
        <w:br/>
      </w:r>
      <w:r>
        <w:rPr>
          <w:lang w:val="pl"/>
        </w:rPr>
        <w:tab/>
      </w:r>
      <w:proofErr w:type="spellStart"/>
      <w:r>
        <w:rPr>
          <w:lang w:val="pl"/>
        </w:rPr>
        <w:t>Stéphanie</w:t>
      </w:r>
      <w:proofErr w:type="spellEnd"/>
      <w:r>
        <w:rPr>
          <w:lang w:val="pl"/>
        </w:rPr>
        <w:t xml:space="preserve"> </w:t>
      </w:r>
      <w:proofErr w:type="spellStart"/>
      <w:r>
        <w:rPr>
          <w:lang w:val="pl"/>
        </w:rPr>
        <w:t>Mourou-Vikström</w:t>
      </w:r>
      <w:proofErr w:type="spellEnd"/>
      <w:r>
        <w:rPr>
          <w:lang w:val="pl"/>
        </w:rPr>
        <w:t>,</w:t>
      </w:r>
      <w:r>
        <w:rPr>
          <w:lang w:val="pl"/>
        </w:rPr>
        <w:br/>
      </w:r>
      <w:r>
        <w:rPr>
          <w:lang w:val="pl"/>
        </w:rPr>
        <w:tab/>
        <w:t xml:space="preserve">Georges </w:t>
      </w:r>
      <w:proofErr w:type="spellStart"/>
      <w:r>
        <w:rPr>
          <w:lang w:val="pl"/>
        </w:rPr>
        <w:t>Ravarani</w:t>
      </w:r>
      <w:proofErr w:type="spellEnd"/>
      <w:r>
        <w:rPr>
          <w:lang w:val="pl"/>
        </w:rPr>
        <w:t>,</w:t>
      </w:r>
      <w:r>
        <w:rPr>
          <w:i/>
          <w:iCs/>
          <w:lang w:val="pl"/>
        </w:rPr>
        <w:t xml:space="preserve"> Sędziowie,</w:t>
      </w:r>
      <w:r>
        <w:rPr>
          <w:lang w:val="pl"/>
        </w:rPr>
        <w:br/>
        <w:t xml:space="preserve">i Andrea </w:t>
      </w:r>
      <w:proofErr w:type="spellStart"/>
      <w:r>
        <w:rPr>
          <w:lang w:val="pl"/>
        </w:rPr>
        <w:t>Tamietti</w:t>
      </w:r>
      <w:proofErr w:type="spellEnd"/>
      <w:r>
        <w:rPr>
          <w:lang w:val="pl"/>
        </w:rPr>
        <w:t xml:space="preserve">, </w:t>
      </w:r>
      <w:r>
        <w:rPr>
          <w:i/>
          <w:iCs/>
          <w:lang w:val="pl"/>
        </w:rPr>
        <w:t>Kanclerz Sekcji,</w:t>
      </w:r>
    </w:p>
    <w:p w14:paraId="260157E6" w14:textId="77777777" w:rsidR="0062693A" w:rsidRPr="006E4F1E" w:rsidRDefault="00176B6A" w:rsidP="001E148F">
      <w:pPr>
        <w:pStyle w:val="JuPara"/>
        <w:rPr>
          <w:lang w:val="pl-PL"/>
        </w:rPr>
      </w:pPr>
      <w:bookmarkStart w:id="2" w:name="ITMARKHavingStart"/>
      <w:bookmarkEnd w:id="2"/>
      <w:r>
        <w:rPr>
          <w:lang w:val="pl"/>
        </w:rPr>
        <w:t>mając na uwadze:</w:t>
      </w:r>
    </w:p>
    <w:p w14:paraId="1C95D0D3" w14:textId="20AA5D01" w:rsidR="00176B6A" w:rsidRPr="006E4F1E" w:rsidRDefault="00176B6A" w:rsidP="001E148F">
      <w:pPr>
        <w:pStyle w:val="JuPara"/>
        <w:rPr>
          <w:lang w:val="pl-PL"/>
        </w:rPr>
      </w:pPr>
      <w:r>
        <w:rPr>
          <w:lang w:val="pl"/>
        </w:rPr>
        <w:t xml:space="preserve">skargę przeciwko Węgrom wniesioną do Trybunału na podstawie art. 34 Konwencji o </w:t>
      </w:r>
      <w:r w:rsidR="00B92A18">
        <w:rPr>
          <w:lang w:val="pl"/>
        </w:rPr>
        <w:t xml:space="preserve">ochronie praw człowieka i podstawowych wolności </w:t>
      </w:r>
      <w:r>
        <w:rPr>
          <w:lang w:val="pl"/>
        </w:rPr>
        <w:t xml:space="preserve">(„Konwencja") przez bezpaństwowca, pana Michaela </w:t>
      </w:r>
      <w:proofErr w:type="spellStart"/>
      <w:r>
        <w:rPr>
          <w:lang w:val="pl"/>
        </w:rPr>
        <w:t>Suditę</w:t>
      </w:r>
      <w:proofErr w:type="spellEnd"/>
      <w:r>
        <w:rPr>
          <w:lang w:val="pl"/>
        </w:rPr>
        <w:t xml:space="preserve"> </w:t>
      </w:r>
      <w:proofErr w:type="spellStart"/>
      <w:r>
        <w:rPr>
          <w:lang w:val="pl"/>
        </w:rPr>
        <w:t>Keitę</w:t>
      </w:r>
      <w:proofErr w:type="spellEnd"/>
      <w:r>
        <w:rPr>
          <w:lang w:val="pl"/>
        </w:rPr>
        <w:t xml:space="preserve"> („skarżący”) dnia 25 sierpnia 2015 r.;</w:t>
      </w:r>
    </w:p>
    <w:p w14:paraId="3A78DFF5" w14:textId="77777777" w:rsidR="00176B6A" w:rsidRPr="006E4F1E" w:rsidRDefault="00176B6A" w:rsidP="001E148F">
      <w:pPr>
        <w:pStyle w:val="JuPara"/>
        <w:rPr>
          <w:lang w:val="pl-PL"/>
        </w:rPr>
      </w:pPr>
      <w:r>
        <w:rPr>
          <w:lang w:val="pl"/>
        </w:rPr>
        <w:t>decyzję o zakomunikowaniu skargi Rządowi węgierskiemu („Rząd”);</w:t>
      </w:r>
    </w:p>
    <w:p w14:paraId="4A348169" w14:textId="42BEC5AE" w:rsidR="00176B6A" w:rsidRPr="006E4F1E" w:rsidRDefault="00B92A18" w:rsidP="001E148F">
      <w:pPr>
        <w:pStyle w:val="JuPara"/>
        <w:rPr>
          <w:lang w:val="pl-PL"/>
        </w:rPr>
      </w:pPr>
      <w:r>
        <w:rPr>
          <w:lang w:val="pl"/>
        </w:rPr>
        <w:t xml:space="preserve">uwagi </w:t>
      </w:r>
      <w:r w:rsidR="00176B6A">
        <w:rPr>
          <w:lang w:val="pl"/>
        </w:rPr>
        <w:t>stron;</w:t>
      </w:r>
    </w:p>
    <w:p w14:paraId="5B5576F4" w14:textId="2BB287A4" w:rsidR="009F4C8F" w:rsidRPr="006E4F1E" w:rsidRDefault="009F4C8F" w:rsidP="001E148F">
      <w:pPr>
        <w:pStyle w:val="JuPara"/>
        <w:rPr>
          <w:lang w:val="pl-PL"/>
        </w:rPr>
      </w:pPr>
      <w:r>
        <w:rPr>
          <w:lang w:val="pl"/>
        </w:rPr>
        <w:t xml:space="preserve">obradując na posiedzeniu </w:t>
      </w:r>
      <w:r w:rsidR="00086073">
        <w:rPr>
          <w:lang w:val="pl"/>
        </w:rPr>
        <w:t>niejawnym</w:t>
      </w:r>
      <w:r>
        <w:rPr>
          <w:lang w:val="pl"/>
        </w:rPr>
        <w:t xml:space="preserve"> w dniu 21 kwietnia 2020 r.,</w:t>
      </w:r>
    </w:p>
    <w:p w14:paraId="78C1585C" w14:textId="77777777" w:rsidR="009F4C8F" w:rsidRPr="006E4F1E" w:rsidRDefault="009F4C8F" w:rsidP="001E148F">
      <w:pPr>
        <w:pStyle w:val="JuPara"/>
        <w:rPr>
          <w:lang w:val="pl-PL"/>
        </w:rPr>
      </w:pPr>
      <w:r>
        <w:rPr>
          <w:lang w:val="pl"/>
        </w:rPr>
        <w:t>wydaje następujący wyrok, który został przyjęty w tym dniu:</w:t>
      </w:r>
    </w:p>
    <w:p w14:paraId="2C67CCF1" w14:textId="77777777" w:rsidR="00176B6A" w:rsidRPr="006E4F1E" w:rsidRDefault="00176B6A" w:rsidP="001E148F">
      <w:pPr>
        <w:pStyle w:val="JuHHead"/>
        <w:numPr>
          <w:ilvl w:val="0"/>
          <w:numId w:val="0"/>
        </w:numPr>
        <w:rPr>
          <w:lang w:val="pl-PL"/>
        </w:rPr>
      </w:pPr>
      <w:r>
        <w:rPr>
          <w:lang w:val="pl"/>
        </w:rPr>
        <w:t>WPROWADZENIE</w:t>
      </w:r>
    </w:p>
    <w:p w14:paraId="252DF56C" w14:textId="564BCACF" w:rsidR="00176B6A" w:rsidRPr="006E4F1E" w:rsidRDefault="00176B6A" w:rsidP="001E148F">
      <w:pPr>
        <w:pStyle w:val="JuPara"/>
        <w:rPr>
          <w:lang w:val="pl-PL"/>
        </w:rPr>
      </w:pPr>
      <w:r>
        <w:rPr>
          <w:lang w:val="pl"/>
        </w:rPr>
        <w:t>Skarga dotyczy długotrwałych trudności</w:t>
      </w:r>
      <w:r w:rsidR="00B92A18" w:rsidRPr="00B92A18">
        <w:rPr>
          <w:lang w:val="pl"/>
        </w:rPr>
        <w:t xml:space="preserve"> </w:t>
      </w:r>
      <w:r w:rsidR="00B92A18">
        <w:rPr>
          <w:lang w:val="pl"/>
        </w:rPr>
        <w:t>z uregulowaniem swojej sytuacji prawnej na Węgrzech</w:t>
      </w:r>
      <w:r>
        <w:rPr>
          <w:lang w:val="pl"/>
        </w:rPr>
        <w:t xml:space="preserve">, jakich </w:t>
      </w:r>
      <w:r w:rsidR="00B92A18">
        <w:rPr>
          <w:lang w:val="pl"/>
        </w:rPr>
        <w:t xml:space="preserve">doświadczył </w:t>
      </w:r>
      <w:r>
        <w:rPr>
          <w:lang w:val="pl"/>
        </w:rPr>
        <w:t>skarżący, bezpaństwowiec, co</w:t>
      </w:r>
      <w:r w:rsidR="00222037">
        <w:rPr>
          <w:lang w:val="pl"/>
        </w:rPr>
        <w:t> </w:t>
      </w:r>
      <w:r>
        <w:rPr>
          <w:lang w:val="pl"/>
        </w:rPr>
        <w:t>rzekomo wywarło negatywny wpływ na jego dostęp do</w:t>
      </w:r>
      <w:r w:rsidR="00F473FD">
        <w:rPr>
          <w:lang w:val="pl"/>
        </w:rPr>
        <w:t> </w:t>
      </w:r>
      <w:r>
        <w:rPr>
          <w:lang w:val="pl"/>
        </w:rPr>
        <w:t>opieki zdrowotnej i zatrudnienia oraz na prawo do zawarcia związku małżeńskiego.</w:t>
      </w:r>
    </w:p>
    <w:p w14:paraId="6F2CE8BA" w14:textId="77777777" w:rsidR="00176B6A" w:rsidRPr="001E148F" w:rsidRDefault="00176B6A" w:rsidP="001E148F">
      <w:pPr>
        <w:pStyle w:val="JuHHead"/>
      </w:pPr>
      <w:r>
        <w:rPr>
          <w:lang w:val="pl"/>
        </w:rPr>
        <w:t>FAKTY</w:t>
      </w:r>
    </w:p>
    <w:p w14:paraId="28E92620" w14:textId="016A10F6" w:rsidR="00176B6A" w:rsidRPr="006E4F1E" w:rsidRDefault="00176B6A" w:rsidP="001E148F">
      <w:pPr>
        <w:pStyle w:val="JuPara"/>
        <w:rPr>
          <w:lang w:val="pl-PL"/>
        </w:rPr>
      </w:pPr>
      <w:r>
        <w:rPr>
          <w:noProof/>
          <w:lang w:val="pl"/>
        </w:rPr>
        <w:t>1</w:t>
      </w:r>
      <w:r>
        <w:rPr>
          <w:lang w:val="pl"/>
        </w:rPr>
        <w:t>.</w:t>
      </w:r>
      <w:r w:rsidR="00086073">
        <w:rPr>
          <w:lang w:val="pl"/>
        </w:rPr>
        <w:t xml:space="preserve"> </w:t>
      </w:r>
      <w:r>
        <w:rPr>
          <w:lang w:val="pl"/>
        </w:rPr>
        <w:t xml:space="preserve">Skarżący urodził się w 1985 r. i mieszka w Budapeszcie. Skarżący był reprezentowany przez panią </w:t>
      </w:r>
      <w:proofErr w:type="spellStart"/>
      <w:r>
        <w:rPr>
          <w:lang w:val="pl"/>
        </w:rPr>
        <w:t>Zs</w:t>
      </w:r>
      <w:proofErr w:type="spellEnd"/>
      <w:r>
        <w:rPr>
          <w:lang w:val="pl"/>
        </w:rPr>
        <w:t xml:space="preserve">. </w:t>
      </w:r>
      <w:proofErr w:type="spellStart"/>
      <w:r>
        <w:rPr>
          <w:lang w:val="pl"/>
        </w:rPr>
        <w:t>Dukkon</w:t>
      </w:r>
      <w:proofErr w:type="spellEnd"/>
      <w:r>
        <w:rPr>
          <w:lang w:val="pl"/>
        </w:rPr>
        <w:t>, adwokat praktykującą w</w:t>
      </w:r>
      <w:r w:rsidR="00F473FD">
        <w:rPr>
          <w:lang w:val="pl"/>
        </w:rPr>
        <w:t> </w:t>
      </w:r>
      <w:r>
        <w:rPr>
          <w:lang w:val="pl"/>
        </w:rPr>
        <w:t>Budapeszcie.</w:t>
      </w:r>
    </w:p>
    <w:p w14:paraId="13686B86" w14:textId="2E74B4DF" w:rsidR="00176B6A" w:rsidRPr="006E4F1E" w:rsidRDefault="00176B6A" w:rsidP="001E148F">
      <w:pPr>
        <w:pStyle w:val="JuPara"/>
        <w:rPr>
          <w:lang w:val="pl-PL"/>
        </w:rPr>
      </w:pPr>
      <w:r>
        <w:rPr>
          <w:noProof/>
          <w:lang w:val="pl"/>
        </w:rPr>
        <w:t>2</w:t>
      </w:r>
      <w:r>
        <w:rPr>
          <w:lang w:val="pl"/>
        </w:rPr>
        <w:t>.</w:t>
      </w:r>
      <w:r w:rsidR="00086073">
        <w:rPr>
          <w:lang w:val="pl"/>
        </w:rPr>
        <w:t xml:space="preserve"> </w:t>
      </w:r>
      <w:r>
        <w:rPr>
          <w:lang w:val="pl"/>
        </w:rPr>
        <w:t xml:space="preserve">Rząd reprezentowany był przez swojego pełnomocnika, pana Z. </w:t>
      </w:r>
      <w:proofErr w:type="spellStart"/>
      <w:r>
        <w:rPr>
          <w:lang w:val="pl"/>
        </w:rPr>
        <w:t>Tallódi</w:t>
      </w:r>
      <w:r w:rsidR="00B92A18">
        <w:rPr>
          <w:lang w:val="pl"/>
        </w:rPr>
        <w:t>ego</w:t>
      </w:r>
      <w:proofErr w:type="spellEnd"/>
      <w:r>
        <w:rPr>
          <w:lang w:val="pl"/>
        </w:rPr>
        <w:t>, z Ministerstwa Sprawiedliwości.</w:t>
      </w:r>
    </w:p>
    <w:p w14:paraId="27F1BB9D" w14:textId="3044D8A9" w:rsidR="00A91E4A" w:rsidRPr="006E4F1E" w:rsidRDefault="00176B6A" w:rsidP="001E148F">
      <w:pPr>
        <w:pStyle w:val="JuPara"/>
        <w:rPr>
          <w:lang w:val="pl-PL"/>
        </w:rPr>
      </w:pPr>
      <w:r>
        <w:rPr>
          <w:noProof/>
          <w:lang w:val="pl"/>
        </w:rPr>
        <w:t>3</w:t>
      </w:r>
      <w:r>
        <w:rPr>
          <w:lang w:val="pl"/>
        </w:rPr>
        <w:t>.</w:t>
      </w:r>
      <w:r w:rsidR="00086073">
        <w:rPr>
          <w:lang w:val="pl"/>
        </w:rPr>
        <w:t xml:space="preserve"> </w:t>
      </w:r>
      <w:r w:rsidR="00B92A18">
        <w:rPr>
          <w:lang w:val="pl"/>
        </w:rPr>
        <w:t xml:space="preserve">Pan </w:t>
      </w:r>
      <w:proofErr w:type="spellStart"/>
      <w:r>
        <w:rPr>
          <w:lang w:val="pl"/>
        </w:rPr>
        <w:t>Péter</w:t>
      </w:r>
      <w:proofErr w:type="spellEnd"/>
      <w:r>
        <w:rPr>
          <w:lang w:val="pl"/>
        </w:rPr>
        <w:t xml:space="preserve"> </w:t>
      </w:r>
      <w:proofErr w:type="spellStart"/>
      <w:r>
        <w:rPr>
          <w:lang w:val="pl"/>
        </w:rPr>
        <w:t>Paczolay</w:t>
      </w:r>
      <w:proofErr w:type="spellEnd"/>
      <w:r>
        <w:rPr>
          <w:lang w:val="pl"/>
        </w:rPr>
        <w:t>, sędzia wybrany z ramienia Węgier, wyłączył się z</w:t>
      </w:r>
      <w:r w:rsidR="00F473FD">
        <w:rPr>
          <w:lang w:val="pl"/>
        </w:rPr>
        <w:t> </w:t>
      </w:r>
      <w:r>
        <w:rPr>
          <w:lang w:val="pl"/>
        </w:rPr>
        <w:t>zasiadania w Izbie (</w:t>
      </w:r>
      <w:r w:rsidR="00B92A18">
        <w:rPr>
          <w:lang w:val="pl"/>
        </w:rPr>
        <w:t>Reguła</w:t>
      </w:r>
      <w:r>
        <w:rPr>
          <w:lang w:val="pl"/>
        </w:rPr>
        <w:t xml:space="preserve"> 28 Regulaminu Trybunału). W związku z</w:t>
      </w:r>
      <w:r w:rsidR="00F473FD">
        <w:rPr>
          <w:lang w:val="pl"/>
        </w:rPr>
        <w:t> </w:t>
      </w:r>
      <w:r>
        <w:rPr>
          <w:lang w:val="pl"/>
        </w:rPr>
        <w:t xml:space="preserve">powyższym Przewodniczący Sekcji wskazał pana Roberta Spano, sędziego wybranego z ramienia Islandii, jako sędziego </w:t>
      </w:r>
      <w:r>
        <w:rPr>
          <w:i/>
          <w:iCs/>
          <w:lang w:val="pl"/>
        </w:rPr>
        <w:t>ad hoc</w:t>
      </w:r>
      <w:r>
        <w:rPr>
          <w:lang w:val="pl"/>
        </w:rPr>
        <w:t xml:space="preserve"> z listy trzech osób wskazanych przez Rząd Węgier jako uprawnione do pełnienia funkcji takiego sędziego (art. 26 ust. 4 Konwencji i </w:t>
      </w:r>
      <w:r w:rsidR="00B92A18">
        <w:rPr>
          <w:lang w:val="pl"/>
        </w:rPr>
        <w:t xml:space="preserve">Reguła </w:t>
      </w:r>
      <w:r>
        <w:rPr>
          <w:lang w:val="pl"/>
        </w:rPr>
        <w:t xml:space="preserve">29 </w:t>
      </w:r>
      <w:r w:rsidR="00B92A18">
        <w:rPr>
          <w:rFonts w:cstheme="minorHAnsi"/>
          <w:lang w:val="pl"/>
        </w:rPr>
        <w:t>§</w:t>
      </w:r>
      <w:r>
        <w:rPr>
          <w:lang w:val="pl"/>
        </w:rPr>
        <w:t xml:space="preserve"> 1 lit. a Regulaminu</w:t>
      </w:r>
      <w:r w:rsidR="00B92A18">
        <w:rPr>
          <w:lang w:val="pl"/>
        </w:rPr>
        <w:t xml:space="preserve"> Trybunału</w:t>
      </w:r>
      <w:r>
        <w:rPr>
          <w:lang w:val="pl"/>
        </w:rPr>
        <w:t>).</w:t>
      </w:r>
    </w:p>
    <w:p w14:paraId="7FB737E5" w14:textId="038C8775" w:rsidR="00176B6A" w:rsidRPr="006E4F1E" w:rsidRDefault="00176B6A" w:rsidP="001E148F">
      <w:pPr>
        <w:pStyle w:val="JuPara"/>
        <w:rPr>
          <w:lang w:val="pl-PL"/>
        </w:rPr>
      </w:pPr>
      <w:r>
        <w:rPr>
          <w:noProof/>
          <w:lang w:val="pl"/>
        </w:rPr>
        <w:t>4</w:t>
      </w:r>
      <w:r>
        <w:rPr>
          <w:lang w:val="pl"/>
        </w:rPr>
        <w:t>.</w:t>
      </w:r>
      <w:r w:rsidR="00086073">
        <w:rPr>
          <w:lang w:val="pl"/>
        </w:rPr>
        <w:t xml:space="preserve"> </w:t>
      </w:r>
      <w:r>
        <w:rPr>
          <w:lang w:val="pl"/>
        </w:rPr>
        <w:t>Przedstawione przez strony fakty sprawy można pokrótce zaprezentować w sposób następujący.</w:t>
      </w:r>
    </w:p>
    <w:p w14:paraId="32E83F6F" w14:textId="77777777" w:rsidR="00176B6A" w:rsidRPr="006E4F1E" w:rsidRDefault="00176B6A" w:rsidP="001E148F">
      <w:pPr>
        <w:pStyle w:val="JuHA"/>
        <w:rPr>
          <w:lang w:val="pl-PL"/>
        </w:rPr>
      </w:pPr>
      <w:r>
        <w:rPr>
          <w:bCs/>
          <w:lang w:val="pl"/>
        </w:rPr>
        <w:lastRenderedPageBreak/>
        <w:t>Okres od przybycia skarżącego na Węgry do dnia 29 listopada 2002 r.</w:t>
      </w:r>
    </w:p>
    <w:p w14:paraId="12D646E4" w14:textId="32BA6AD3" w:rsidR="00176B6A" w:rsidRPr="006E4F1E" w:rsidRDefault="00176B6A" w:rsidP="001E148F">
      <w:pPr>
        <w:pStyle w:val="JuPara"/>
        <w:rPr>
          <w:lang w:val="pl-PL"/>
        </w:rPr>
      </w:pPr>
      <w:bookmarkStart w:id="3" w:name="Refugee_proceedings"/>
      <w:r>
        <w:rPr>
          <w:noProof/>
          <w:lang w:val="pl"/>
        </w:rPr>
        <w:t>5</w:t>
      </w:r>
      <w:bookmarkEnd w:id="3"/>
      <w:r>
        <w:rPr>
          <w:lang w:val="pl"/>
        </w:rPr>
        <w:t>.</w:t>
      </w:r>
      <w:r w:rsidR="00086073">
        <w:rPr>
          <w:lang w:val="pl"/>
        </w:rPr>
        <w:t xml:space="preserve"> </w:t>
      </w:r>
      <w:r>
        <w:rPr>
          <w:lang w:val="pl"/>
        </w:rPr>
        <w:t>W 2002 r. skarżący, z pochodzenia Somalijczyk i Nigeryjczyk, przybył na Węgry, przekraczając granicę nielegalnie, bez ważnych dokumentów podróży. Złożył wniosek o uznanie go za uchodźcę.</w:t>
      </w:r>
    </w:p>
    <w:p w14:paraId="416A49D5" w14:textId="3B0FB85D" w:rsidR="00176B6A" w:rsidRPr="006E4F1E" w:rsidRDefault="00176B6A" w:rsidP="001E148F">
      <w:pPr>
        <w:pStyle w:val="JuPara"/>
        <w:rPr>
          <w:lang w:val="pl-PL"/>
        </w:rPr>
      </w:pPr>
      <w:r>
        <w:rPr>
          <w:noProof/>
          <w:lang w:val="pl"/>
        </w:rPr>
        <w:t>6</w:t>
      </w:r>
      <w:r>
        <w:rPr>
          <w:lang w:val="pl"/>
        </w:rPr>
        <w:t>.</w:t>
      </w:r>
      <w:r w:rsidR="00086073">
        <w:rPr>
          <w:lang w:val="pl"/>
        </w:rPr>
        <w:t xml:space="preserve"> </w:t>
      </w:r>
      <w:r>
        <w:rPr>
          <w:lang w:val="pl"/>
        </w:rPr>
        <w:t>Zgodnie z art. 16 ust. 1 lit. c i d ustawy nr CXXXIX z 1997 r. o azylu (zwanej dalej „</w:t>
      </w:r>
      <w:r w:rsidR="00CF641A">
        <w:rPr>
          <w:lang w:val="pl"/>
        </w:rPr>
        <w:t xml:space="preserve">ustawą </w:t>
      </w:r>
      <w:r>
        <w:rPr>
          <w:lang w:val="pl"/>
        </w:rPr>
        <w:t>o azylu”), w trakcie postępowania skarżącemu przysługiwało prawo do podstawowej opieki zdrowotnej i zatrudnienia; nie wydaje się również, aby uniemożliwiono mu zawarcie związku małżeńskiego.</w:t>
      </w:r>
    </w:p>
    <w:p w14:paraId="259F4247" w14:textId="16AA7CBC" w:rsidR="00176B6A" w:rsidRPr="001E148F" w:rsidRDefault="00176B6A" w:rsidP="001E148F">
      <w:pPr>
        <w:pStyle w:val="JuPara"/>
      </w:pPr>
      <w:bookmarkStart w:id="4" w:name="para_7"/>
      <w:r>
        <w:rPr>
          <w:noProof/>
          <w:lang w:val="pl"/>
        </w:rPr>
        <w:t>7</w:t>
      </w:r>
      <w:bookmarkEnd w:id="4"/>
      <w:r>
        <w:rPr>
          <w:lang w:val="pl"/>
        </w:rPr>
        <w:t>.</w:t>
      </w:r>
      <w:r w:rsidR="00086073">
        <w:rPr>
          <w:lang w:val="pl"/>
        </w:rPr>
        <w:t xml:space="preserve"> </w:t>
      </w:r>
      <w:r>
        <w:rPr>
          <w:lang w:val="pl"/>
        </w:rPr>
        <w:t xml:space="preserve">Urząd ds. Imigracji i Obywatelstwa ostatecznie odrzucił wniosek skarżącego o nadanie statusu uchodźcy. W dniu 29 listopada 2002 r. jego </w:t>
      </w:r>
      <w:r w:rsidR="00B92A18">
        <w:rPr>
          <w:lang w:val="pl"/>
        </w:rPr>
        <w:t>odwołanie został</w:t>
      </w:r>
      <w:r w:rsidR="00D06F52">
        <w:rPr>
          <w:lang w:val="pl"/>
        </w:rPr>
        <w:t>o</w:t>
      </w:r>
      <w:r w:rsidR="00B92A18">
        <w:rPr>
          <w:lang w:val="pl"/>
        </w:rPr>
        <w:t xml:space="preserve"> oddalone</w:t>
      </w:r>
      <w:r>
        <w:rPr>
          <w:lang w:val="pl"/>
        </w:rPr>
        <w:t>.</w:t>
      </w:r>
    </w:p>
    <w:p w14:paraId="69BE65B9" w14:textId="77777777" w:rsidR="00176B6A" w:rsidRPr="006E4F1E" w:rsidRDefault="00176B6A" w:rsidP="001E148F">
      <w:pPr>
        <w:pStyle w:val="JuHA"/>
        <w:rPr>
          <w:lang w:val="pl-PL"/>
        </w:rPr>
      </w:pPr>
      <w:r>
        <w:rPr>
          <w:bCs/>
          <w:lang w:val="pl"/>
        </w:rPr>
        <w:t>Okres od dnia 29 listopada 2002 r. do dnia 19 lipca 2006 r.</w:t>
      </w:r>
    </w:p>
    <w:p w14:paraId="4851526F" w14:textId="056FC6D7" w:rsidR="00176B6A" w:rsidRPr="006E4F1E" w:rsidRDefault="00176B6A" w:rsidP="001E148F">
      <w:pPr>
        <w:pStyle w:val="JuPara"/>
        <w:rPr>
          <w:lang w:val="pl-PL"/>
        </w:rPr>
      </w:pPr>
      <w:bookmarkStart w:id="5" w:name="enforcement_expulsion"/>
      <w:r>
        <w:rPr>
          <w:noProof/>
          <w:lang w:val="pl"/>
        </w:rPr>
        <w:t>8</w:t>
      </w:r>
      <w:bookmarkEnd w:id="5"/>
      <w:r>
        <w:rPr>
          <w:lang w:val="pl"/>
        </w:rPr>
        <w:t>.</w:t>
      </w:r>
      <w:r w:rsidR="00086073">
        <w:rPr>
          <w:lang w:val="pl"/>
        </w:rPr>
        <w:t xml:space="preserve"> </w:t>
      </w:r>
      <w:r>
        <w:rPr>
          <w:lang w:val="pl"/>
        </w:rPr>
        <w:t>W dniu 16 kwietnia 2003 r. wydano nakaz wydalenia skarżącego. Wykonanie nakazu wydalenia zostało zawieszone w dniu 7 września 2004 r. do czasu spełnienia warunków koniecznych do zastosowania tego środka. W</w:t>
      </w:r>
      <w:r w:rsidR="00222037">
        <w:rPr>
          <w:lang w:val="pl"/>
        </w:rPr>
        <w:t> </w:t>
      </w:r>
      <w:r>
        <w:rPr>
          <w:lang w:val="pl"/>
        </w:rPr>
        <w:t>tym samym roku skarżący bezskutecznie ubiegał się o dokument pobytowy.</w:t>
      </w:r>
    </w:p>
    <w:p w14:paraId="72D43933" w14:textId="4AACD73E" w:rsidR="00176B6A" w:rsidRPr="006E4F1E" w:rsidRDefault="00176B6A" w:rsidP="001E148F">
      <w:pPr>
        <w:pStyle w:val="JuPara"/>
        <w:rPr>
          <w:lang w:val="pl-PL"/>
        </w:rPr>
      </w:pPr>
      <w:bookmarkStart w:id="6" w:name="no_title"/>
      <w:r>
        <w:rPr>
          <w:noProof/>
          <w:lang w:val="pl"/>
        </w:rPr>
        <w:t>9</w:t>
      </w:r>
      <w:bookmarkEnd w:id="6"/>
      <w:r>
        <w:rPr>
          <w:lang w:val="pl"/>
        </w:rPr>
        <w:t>.</w:t>
      </w:r>
      <w:r w:rsidR="00086073">
        <w:rPr>
          <w:lang w:val="pl"/>
        </w:rPr>
        <w:t xml:space="preserve"> </w:t>
      </w:r>
      <w:r>
        <w:rPr>
          <w:lang w:val="pl"/>
        </w:rPr>
        <w:t>W tym okresie skarżący, jako osoba objęta nakazem wydalenia i</w:t>
      </w:r>
      <w:r w:rsidR="00F473FD">
        <w:rPr>
          <w:lang w:val="pl"/>
        </w:rPr>
        <w:t> </w:t>
      </w:r>
      <w:r>
        <w:rPr>
          <w:lang w:val="pl"/>
        </w:rPr>
        <w:t>nieposiadająca uregulowanego statusu prawnego na Węgrzech, nie miał prawa do opieki zdrowotnej ani zatrudnienia. Nie mógł również korzystać z</w:t>
      </w:r>
      <w:r w:rsidR="00F473FD">
        <w:rPr>
          <w:lang w:val="pl"/>
        </w:rPr>
        <w:t> </w:t>
      </w:r>
      <w:r>
        <w:rPr>
          <w:lang w:val="pl"/>
        </w:rPr>
        <w:t>prawa do zawarcia małżeństwa, ponieważ nie mógł przedstawić żadnego z</w:t>
      </w:r>
      <w:r w:rsidR="00F473FD">
        <w:rPr>
          <w:lang w:val="pl"/>
        </w:rPr>
        <w:t> </w:t>
      </w:r>
      <w:r>
        <w:rPr>
          <w:lang w:val="pl"/>
        </w:rPr>
        <w:t>dokumentów wymaganych do zawarcia małżeństwa zgodnie z</w:t>
      </w:r>
      <w:r w:rsidR="00F473FD">
        <w:rPr>
          <w:lang w:val="pl"/>
        </w:rPr>
        <w:t> </w:t>
      </w:r>
      <w:r>
        <w:rPr>
          <w:lang w:val="pl"/>
        </w:rPr>
        <w:t>odpowiednimi przepisami dekretu z mocą ustawy nr 13 z 1979 r. w</w:t>
      </w:r>
      <w:r w:rsidR="00F473FD">
        <w:rPr>
          <w:lang w:val="pl"/>
        </w:rPr>
        <w:t> </w:t>
      </w:r>
      <w:r>
        <w:rPr>
          <w:lang w:val="pl"/>
        </w:rPr>
        <w:t>sprawie międzynarodowego prawa prywatnego i ustawy nr IV z 1952 r. o</w:t>
      </w:r>
      <w:r w:rsidR="00F473FD">
        <w:rPr>
          <w:lang w:val="pl"/>
        </w:rPr>
        <w:t> </w:t>
      </w:r>
      <w:r>
        <w:rPr>
          <w:lang w:val="pl"/>
        </w:rPr>
        <w:t xml:space="preserve">prawie rodzinnym (obowiązujących w </w:t>
      </w:r>
      <w:r w:rsidR="0037750F">
        <w:rPr>
          <w:lang w:val="pl"/>
        </w:rPr>
        <w:t xml:space="preserve">tamtym </w:t>
      </w:r>
      <w:r>
        <w:rPr>
          <w:lang w:val="pl"/>
        </w:rPr>
        <w:t>czasie).</w:t>
      </w:r>
    </w:p>
    <w:p w14:paraId="52A3414D" w14:textId="77777777" w:rsidR="00176B6A" w:rsidRPr="006E4F1E" w:rsidRDefault="00176B6A" w:rsidP="001E148F">
      <w:pPr>
        <w:pStyle w:val="JuHA"/>
        <w:rPr>
          <w:lang w:val="pl-PL"/>
        </w:rPr>
      </w:pPr>
      <w:r>
        <w:rPr>
          <w:bCs/>
          <w:lang w:val="pl"/>
        </w:rPr>
        <w:t>Okres od dnia 19 lipca 2006 r. do dnia 19 lipca 2008 r.</w:t>
      </w:r>
    </w:p>
    <w:p w14:paraId="5C0D16D7" w14:textId="353EAAAA" w:rsidR="00176B6A" w:rsidRPr="006E4F1E" w:rsidRDefault="00176B6A" w:rsidP="001E148F">
      <w:pPr>
        <w:pStyle w:val="JuPara"/>
        <w:rPr>
          <w:lang w:val="pl-PL"/>
        </w:rPr>
      </w:pPr>
      <w:bookmarkStart w:id="7" w:name="Nota_verbale"/>
      <w:r>
        <w:rPr>
          <w:noProof/>
          <w:lang w:val="pl"/>
        </w:rPr>
        <w:t>10</w:t>
      </w:r>
      <w:bookmarkEnd w:id="7"/>
      <w:r>
        <w:rPr>
          <w:lang w:val="pl"/>
        </w:rPr>
        <w:t>.</w:t>
      </w:r>
      <w:r w:rsidR="00086073">
        <w:rPr>
          <w:lang w:val="pl"/>
        </w:rPr>
        <w:t xml:space="preserve"> </w:t>
      </w:r>
      <w:r>
        <w:rPr>
          <w:lang w:val="pl"/>
        </w:rPr>
        <w:t>Z uwagi na fakt, że skarżący nie mógł zostać odesłany do Somalii ze</w:t>
      </w:r>
      <w:r w:rsidR="00F473FD">
        <w:rPr>
          <w:lang w:val="pl"/>
        </w:rPr>
        <w:t> </w:t>
      </w:r>
      <w:r>
        <w:rPr>
          <w:lang w:val="pl"/>
        </w:rPr>
        <w:t>względu na toczącą się tam wojnę domową, a ambasada Nigerii w</w:t>
      </w:r>
      <w:r w:rsidR="00F473FD">
        <w:rPr>
          <w:lang w:val="pl"/>
        </w:rPr>
        <w:t> </w:t>
      </w:r>
      <w:r>
        <w:rPr>
          <w:lang w:val="pl"/>
        </w:rPr>
        <w:t>Budapeszcie notą werbalną odmówiła uznania go za obywatela w 2006 r., w bliżej nieokreślonym dniu 2006 r. został on uznany przez władze węgierskie za wypędzonego (</w:t>
      </w:r>
      <w:proofErr w:type="spellStart"/>
      <w:r>
        <w:rPr>
          <w:i/>
          <w:iCs/>
          <w:lang w:val="pl"/>
        </w:rPr>
        <w:t>befogadott</w:t>
      </w:r>
      <w:proofErr w:type="spellEnd"/>
      <w:r>
        <w:rPr>
          <w:lang w:val="pl"/>
        </w:rPr>
        <w:t>).</w:t>
      </w:r>
    </w:p>
    <w:p w14:paraId="7D321736" w14:textId="2A2E7916" w:rsidR="00176B6A" w:rsidRPr="006E4F1E" w:rsidRDefault="00176B6A" w:rsidP="001E148F">
      <w:pPr>
        <w:pStyle w:val="JuPara"/>
        <w:rPr>
          <w:lang w:val="pl-PL"/>
        </w:rPr>
      </w:pPr>
      <w:bookmarkStart w:id="8" w:name="No_legal_aid"/>
      <w:r>
        <w:rPr>
          <w:noProof/>
          <w:lang w:val="pl"/>
        </w:rPr>
        <w:t>11</w:t>
      </w:r>
      <w:bookmarkEnd w:id="8"/>
      <w:r>
        <w:rPr>
          <w:lang w:val="pl"/>
        </w:rPr>
        <w:t>.</w:t>
      </w:r>
      <w:r w:rsidR="00086073">
        <w:rPr>
          <w:lang w:val="pl"/>
        </w:rPr>
        <w:t xml:space="preserve"> </w:t>
      </w:r>
      <w:r>
        <w:rPr>
          <w:lang w:val="pl"/>
        </w:rPr>
        <w:t>Wydaje się, że skarżący, po wydaniu noty werbalnej przez ambasadę Nigerii w Budapeszcie, nie został poinformowany przez władze krajowe o</w:t>
      </w:r>
      <w:r w:rsidR="00F473FD">
        <w:rPr>
          <w:lang w:val="pl"/>
        </w:rPr>
        <w:t> </w:t>
      </w:r>
      <w:r>
        <w:rPr>
          <w:lang w:val="pl"/>
        </w:rPr>
        <w:t>możliwości ubiegania się o status bezpaństwowca. Stosowny przepis dekretu rządowego nr 114/2007 (</w:t>
      </w:r>
      <w:proofErr w:type="spellStart"/>
      <w:r>
        <w:rPr>
          <w:lang w:val="pl"/>
        </w:rPr>
        <w:t>V.24</w:t>
      </w:r>
      <w:proofErr w:type="spellEnd"/>
      <w:r>
        <w:rPr>
          <w:lang w:val="pl"/>
        </w:rPr>
        <w:t xml:space="preserve">.) o wprowadzeniu w życie </w:t>
      </w:r>
      <w:r w:rsidR="00CF641A">
        <w:rPr>
          <w:lang w:val="pl"/>
        </w:rPr>
        <w:t xml:space="preserve">ustawy </w:t>
      </w:r>
      <w:r>
        <w:rPr>
          <w:lang w:val="pl"/>
        </w:rPr>
        <w:t>nr</w:t>
      </w:r>
      <w:r w:rsidR="00F473FD">
        <w:rPr>
          <w:lang w:val="pl"/>
        </w:rPr>
        <w:t> </w:t>
      </w:r>
      <w:r>
        <w:rPr>
          <w:lang w:val="pl"/>
        </w:rPr>
        <w:t>II z 2007 r</w:t>
      </w:r>
      <w:r w:rsidR="00F1181D">
        <w:rPr>
          <w:lang w:val="pl"/>
        </w:rPr>
        <w:t>.</w:t>
      </w:r>
      <w:r>
        <w:rPr>
          <w:lang w:val="pl"/>
        </w:rPr>
        <w:t xml:space="preserve"> („</w:t>
      </w:r>
      <w:r w:rsidR="00CF641A">
        <w:rPr>
          <w:lang w:val="pl"/>
        </w:rPr>
        <w:t>d</w:t>
      </w:r>
      <w:r>
        <w:rPr>
          <w:lang w:val="pl"/>
        </w:rPr>
        <w:t xml:space="preserve">ekret rządowy”) wymaga jednak, aby władze imigracyjne </w:t>
      </w:r>
      <w:r>
        <w:rPr>
          <w:lang w:val="pl"/>
        </w:rPr>
        <w:lastRenderedPageBreak/>
        <w:t>informowały daną osobę o procedurach obowiązujących w przypadku, gdy</w:t>
      </w:r>
      <w:r w:rsidR="00F473FD">
        <w:rPr>
          <w:lang w:val="pl"/>
        </w:rPr>
        <w:t> </w:t>
      </w:r>
      <w:r>
        <w:rPr>
          <w:lang w:val="pl"/>
        </w:rPr>
        <w:t>istnieje możliwość uznania jej za bezpaństwowca.</w:t>
      </w:r>
    </w:p>
    <w:p w14:paraId="05B15C0C" w14:textId="604D742E" w:rsidR="00176B6A" w:rsidRPr="006E4F1E" w:rsidRDefault="00176B6A" w:rsidP="001E148F">
      <w:pPr>
        <w:pStyle w:val="JuPara"/>
        <w:rPr>
          <w:lang w:val="pl-PL"/>
        </w:rPr>
      </w:pPr>
      <w:bookmarkStart w:id="9" w:name="Temporary_permit"/>
      <w:r>
        <w:rPr>
          <w:noProof/>
          <w:lang w:val="pl"/>
        </w:rPr>
        <w:t>12</w:t>
      </w:r>
      <w:bookmarkEnd w:id="9"/>
      <w:r>
        <w:rPr>
          <w:lang w:val="pl"/>
        </w:rPr>
        <w:t>.</w:t>
      </w:r>
      <w:r w:rsidR="00086073">
        <w:rPr>
          <w:lang w:val="pl"/>
        </w:rPr>
        <w:t xml:space="preserve"> </w:t>
      </w:r>
      <w:r>
        <w:rPr>
          <w:lang w:val="pl"/>
        </w:rPr>
        <w:t>W rezultacie tego stanu rzeczy, w dniu 19 lipca 2006 r. skarżącemu wydano dokument pobytowy ze wzgl</w:t>
      </w:r>
      <w:r w:rsidR="0037750F">
        <w:rPr>
          <w:lang w:val="pl"/>
        </w:rPr>
        <w:t>ędów humanitarnych, obowiązujący</w:t>
      </w:r>
      <w:r>
        <w:rPr>
          <w:lang w:val="pl"/>
        </w:rPr>
        <w:t xml:space="preserve"> do</w:t>
      </w:r>
      <w:r w:rsidR="00222037">
        <w:rPr>
          <w:lang w:val="pl"/>
        </w:rPr>
        <w:t> </w:t>
      </w:r>
      <w:r>
        <w:rPr>
          <w:lang w:val="pl"/>
        </w:rPr>
        <w:t>dnia 19 lipca 2008 r.</w:t>
      </w:r>
    </w:p>
    <w:p w14:paraId="0024DB5B" w14:textId="21639BE9" w:rsidR="00176B6A" w:rsidRPr="006E4F1E" w:rsidRDefault="00176B6A" w:rsidP="001E148F">
      <w:pPr>
        <w:pStyle w:val="JuPara"/>
        <w:rPr>
          <w:lang w:val="pl-PL"/>
        </w:rPr>
      </w:pPr>
      <w:r>
        <w:rPr>
          <w:noProof/>
          <w:lang w:val="pl"/>
        </w:rPr>
        <w:t>13</w:t>
      </w:r>
      <w:r>
        <w:rPr>
          <w:lang w:val="pl"/>
        </w:rPr>
        <w:t>.</w:t>
      </w:r>
      <w:r w:rsidR="00086073">
        <w:rPr>
          <w:lang w:val="pl"/>
        </w:rPr>
        <w:t xml:space="preserve"> </w:t>
      </w:r>
      <w:r>
        <w:rPr>
          <w:lang w:val="pl"/>
        </w:rPr>
        <w:t xml:space="preserve">W tym okresie dwóch lat przysługiwało mu prawo do podstawowej opieki zdrowotnej i zatrudnienia, zgodnie z art. 21 </w:t>
      </w:r>
      <w:r w:rsidR="00CF641A">
        <w:rPr>
          <w:lang w:val="pl"/>
        </w:rPr>
        <w:t xml:space="preserve">ustawy </w:t>
      </w:r>
      <w:r>
        <w:rPr>
          <w:lang w:val="pl"/>
        </w:rPr>
        <w:t>o azylu; nie</w:t>
      </w:r>
      <w:r w:rsidR="00F473FD">
        <w:rPr>
          <w:lang w:val="pl"/>
        </w:rPr>
        <w:t> </w:t>
      </w:r>
      <w:r>
        <w:rPr>
          <w:lang w:val="pl"/>
        </w:rPr>
        <w:t>wydaje się też, by w tym czasie uniemożliwiono mu zawarcie związku małżeńskiego.</w:t>
      </w:r>
    </w:p>
    <w:p w14:paraId="20FFDEDE" w14:textId="12C5A6E1" w:rsidR="00176B6A" w:rsidRPr="006E4F1E" w:rsidRDefault="00176B6A" w:rsidP="001E148F">
      <w:pPr>
        <w:pStyle w:val="JuHA"/>
        <w:rPr>
          <w:lang w:val="pl-PL"/>
        </w:rPr>
      </w:pPr>
      <w:r>
        <w:rPr>
          <w:bCs/>
          <w:lang w:val="pl"/>
        </w:rPr>
        <w:t xml:space="preserve">Okres od </w:t>
      </w:r>
      <w:r w:rsidR="0037750F">
        <w:rPr>
          <w:bCs/>
          <w:lang w:val="pl"/>
        </w:rPr>
        <w:t xml:space="preserve">dnia </w:t>
      </w:r>
      <w:r>
        <w:rPr>
          <w:bCs/>
          <w:lang w:val="pl"/>
        </w:rPr>
        <w:t xml:space="preserve">25 września 2008 r. do </w:t>
      </w:r>
      <w:r w:rsidR="0037750F">
        <w:rPr>
          <w:bCs/>
          <w:lang w:val="pl"/>
        </w:rPr>
        <w:t xml:space="preserve">dnia </w:t>
      </w:r>
      <w:r>
        <w:rPr>
          <w:bCs/>
          <w:lang w:val="pl"/>
        </w:rPr>
        <w:t>11 października 2017 r.</w:t>
      </w:r>
    </w:p>
    <w:p w14:paraId="1315B5F5" w14:textId="6CBF5C68" w:rsidR="00176B6A" w:rsidRPr="006E4F1E" w:rsidRDefault="00176B6A" w:rsidP="001E148F">
      <w:pPr>
        <w:pStyle w:val="JuPara"/>
        <w:rPr>
          <w:lang w:val="pl-PL"/>
        </w:rPr>
      </w:pPr>
      <w:bookmarkStart w:id="10" w:name="no_title2"/>
      <w:r>
        <w:rPr>
          <w:noProof/>
          <w:lang w:val="pl"/>
        </w:rPr>
        <w:t>14</w:t>
      </w:r>
      <w:bookmarkEnd w:id="10"/>
      <w:r>
        <w:rPr>
          <w:lang w:val="pl"/>
        </w:rPr>
        <w:t>.</w:t>
      </w:r>
      <w:r w:rsidR="00086073">
        <w:rPr>
          <w:lang w:val="pl"/>
        </w:rPr>
        <w:t xml:space="preserve"> </w:t>
      </w:r>
      <w:r>
        <w:rPr>
          <w:lang w:val="pl"/>
        </w:rPr>
        <w:t>Następnie Urząd Imigracyjny zweryfikował status skarżącego jako wypędzonego i w dniu 25 września 2008 r. stwierdził, że nie może on zostać przyjęty ani jako uchodźca, ani jako osoba chroniona oraz że</w:t>
      </w:r>
      <w:r w:rsidR="00F473FD">
        <w:rPr>
          <w:lang w:val="pl"/>
        </w:rPr>
        <w:t> </w:t>
      </w:r>
      <w:r>
        <w:rPr>
          <w:lang w:val="pl"/>
        </w:rPr>
        <w:t>w</w:t>
      </w:r>
      <w:r w:rsidR="00F473FD" w:rsidRPr="00F473FD">
        <w:rPr>
          <w:lang w:val="pl-PL"/>
        </w:rPr>
        <w:t> </w:t>
      </w:r>
      <w:r>
        <w:rPr>
          <w:lang w:val="pl"/>
        </w:rPr>
        <w:t xml:space="preserve">odniesieniu do Nigerii nie istnieje zakaz </w:t>
      </w:r>
      <w:proofErr w:type="spellStart"/>
      <w:r>
        <w:rPr>
          <w:i/>
          <w:iCs/>
          <w:lang w:val="pl"/>
        </w:rPr>
        <w:t>refoulement</w:t>
      </w:r>
      <w:proofErr w:type="spellEnd"/>
      <w:r>
        <w:rPr>
          <w:lang w:val="pl"/>
        </w:rPr>
        <w:t xml:space="preserve">. Skarżący bezskutecznie zaskarżył to orzeczenie </w:t>
      </w:r>
      <w:r w:rsidR="005750B6">
        <w:rPr>
          <w:lang w:val="pl"/>
        </w:rPr>
        <w:t>do sądu</w:t>
      </w:r>
      <w:r>
        <w:rPr>
          <w:lang w:val="pl"/>
        </w:rPr>
        <w:t>, mimo że Nigeria już</w:t>
      </w:r>
      <w:r w:rsidR="00F473FD">
        <w:rPr>
          <w:lang w:val="pl"/>
        </w:rPr>
        <w:t> </w:t>
      </w:r>
      <w:r>
        <w:rPr>
          <w:lang w:val="pl"/>
        </w:rPr>
        <w:t>wcześniej odmówiła uznania go za swego obywatela. W rezultacie ponownie stracił prawo do podstawowej opieki zdrowotnej, zatrudnienia i</w:t>
      </w:r>
      <w:r w:rsidR="00F473FD">
        <w:rPr>
          <w:lang w:val="pl"/>
        </w:rPr>
        <w:t> </w:t>
      </w:r>
      <w:r>
        <w:rPr>
          <w:lang w:val="pl"/>
        </w:rPr>
        <w:t>zawarcia małżeństwa, ponieważ nie</w:t>
      </w:r>
      <w:r w:rsidR="00222037">
        <w:rPr>
          <w:lang w:val="pl"/>
        </w:rPr>
        <w:t> </w:t>
      </w:r>
      <w:r>
        <w:rPr>
          <w:lang w:val="pl"/>
        </w:rPr>
        <w:t>posiadał uznanego statusu ani</w:t>
      </w:r>
      <w:r w:rsidR="00F473FD">
        <w:rPr>
          <w:lang w:val="pl"/>
        </w:rPr>
        <w:t> </w:t>
      </w:r>
      <w:r>
        <w:rPr>
          <w:lang w:val="pl"/>
        </w:rPr>
        <w:t>ważnych dokumentów.</w:t>
      </w:r>
    </w:p>
    <w:p w14:paraId="42F2288F" w14:textId="2B86C609" w:rsidR="00176B6A" w:rsidRPr="006E4F1E" w:rsidRDefault="00176B6A" w:rsidP="001E148F">
      <w:pPr>
        <w:pStyle w:val="JuPara"/>
        <w:rPr>
          <w:lang w:val="pl-PL"/>
        </w:rPr>
      </w:pPr>
      <w:bookmarkStart w:id="11" w:name="Background_deportation"/>
      <w:r>
        <w:rPr>
          <w:noProof/>
          <w:lang w:val="pl"/>
        </w:rPr>
        <w:t>15</w:t>
      </w:r>
      <w:bookmarkEnd w:id="11"/>
      <w:r>
        <w:rPr>
          <w:lang w:val="pl"/>
        </w:rPr>
        <w:t>.</w:t>
      </w:r>
      <w:r w:rsidR="00086073">
        <w:rPr>
          <w:lang w:val="pl"/>
        </w:rPr>
        <w:t xml:space="preserve"> </w:t>
      </w:r>
      <w:r>
        <w:rPr>
          <w:lang w:val="pl"/>
        </w:rPr>
        <w:t>W dniu 2 listopada 2009 r. wydano nakaz deportacji skarżącego do</w:t>
      </w:r>
      <w:r w:rsidR="00F473FD">
        <w:rPr>
          <w:lang w:val="pl"/>
        </w:rPr>
        <w:t> </w:t>
      </w:r>
      <w:r>
        <w:rPr>
          <w:lang w:val="pl"/>
        </w:rPr>
        <w:t xml:space="preserve">Nigerii. </w:t>
      </w:r>
      <w:r w:rsidR="005750B6">
        <w:rPr>
          <w:lang w:val="pl"/>
        </w:rPr>
        <w:t>Jego p</w:t>
      </w:r>
      <w:r>
        <w:rPr>
          <w:lang w:val="pl"/>
        </w:rPr>
        <w:t>óźniejsza apelacja okazała się bezskuteczna. Nakaz deportacji nie został jednak ostatecznie wykonany.</w:t>
      </w:r>
    </w:p>
    <w:p w14:paraId="5F0AC466" w14:textId="2B799745" w:rsidR="00176B6A" w:rsidRPr="006E4F1E" w:rsidRDefault="00176B6A" w:rsidP="001E148F">
      <w:pPr>
        <w:pStyle w:val="JuPara"/>
        <w:rPr>
          <w:lang w:val="pl-PL"/>
        </w:rPr>
      </w:pPr>
      <w:r>
        <w:rPr>
          <w:noProof/>
          <w:lang w:val="pl"/>
        </w:rPr>
        <w:t>16</w:t>
      </w:r>
      <w:r>
        <w:rPr>
          <w:lang w:val="pl"/>
        </w:rPr>
        <w:t>.</w:t>
      </w:r>
      <w:r w:rsidR="00086073">
        <w:rPr>
          <w:lang w:val="pl"/>
        </w:rPr>
        <w:t xml:space="preserve"> </w:t>
      </w:r>
      <w:r>
        <w:rPr>
          <w:lang w:val="pl"/>
        </w:rPr>
        <w:t xml:space="preserve">W dniu 16 września 2010 r. skarżący złożył wniosek o nadanie mu statusu bezpaństwowca, po tym </w:t>
      </w:r>
      <w:r w:rsidRPr="00283DC2">
        <w:rPr>
          <w:lang w:val="pl"/>
        </w:rPr>
        <w:t xml:space="preserve">jak otrzymał informację o takiej możliwości od prawnika. </w:t>
      </w:r>
      <w:r w:rsidR="005750B6">
        <w:rPr>
          <w:lang w:val="pl"/>
        </w:rPr>
        <w:t xml:space="preserve">W </w:t>
      </w:r>
      <w:r w:rsidRPr="00283DC2">
        <w:rPr>
          <w:lang w:val="pl"/>
        </w:rPr>
        <w:t>dniu 18 listopada 2010 r.</w:t>
      </w:r>
      <w:r w:rsidR="005750B6">
        <w:rPr>
          <w:lang w:val="pl"/>
        </w:rPr>
        <w:t xml:space="preserve"> wydano decyzję odmowną.</w:t>
      </w:r>
      <w:r w:rsidRPr="00283DC2">
        <w:rPr>
          <w:lang w:val="pl"/>
        </w:rPr>
        <w:t xml:space="preserve"> Skarżący zaskarżył tę decyzję przed sądem.</w:t>
      </w:r>
    </w:p>
    <w:p w14:paraId="3B1D5DB6" w14:textId="573EE02A" w:rsidR="00176B6A" w:rsidRPr="006E4F1E" w:rsidRDefault="00176B6A" w:rsidP="001E148F">
      <w:pPr>
        <w:pStyle w:val="JuPara"/>
        <w:rPr>
          <w:lang w:val="pl-PL"/>
        </w:rPr>
      </w:pPr>
      <w:bookmarkStart w:id="12" w:name="RRTN_act"/>
      <w:r w:rsidRPr="00283DC2">
        <w:rPr>
          <w:noProof/>
          <w:lang w:val="pl"/>
        </w:rPr>
        <w:t>17</w:t>
      </w:r>
      <w:bookmarkEnd w:id="12"/>
      <w:r w:rsidRPr="00283DC2">
        <w:rPr>
          <w:lang w:val="pl"/>
        </w:rPr>
        <w:t>.</w:t>
      </w:r>
      <w:r w:rsidR="00086073">
        <w:rPr>
          <w:lang w:val="pl"/>
        </w:rPr>
        <w:t xml:space="preserve"> </w:t>
      </w:r>
      <w:r w:rsidRPr="00283DC2">
        <w:rPr>
          <w:lang w:val="pl"/>
        </w:rPr>
        <w:t xml:space="preserve">W dniu 2 lutego 2012 r. </w:t>
      </w:r>
      <w:r w:rsidRPr="00D06BD5">
        <w:rPr>
          <w:iCs/>
          <w:lang w:val="pl"/>
        </w:rPr>
        <w:t xml:space="preserve">Sąd </w:t>
      </w:r>
      <w:r w:rsidR="00D06BD5" w:rsidRPr="00D06BD5">
        <w:rPr>
          <w:iCs/>
          <w:lang w:val="pl"/>
        </w:rPr>
        <w:t xml:space="preserve">Apelacyjny </w:t>
      </w:r>
      <w:r w:rsidRPr="00D06BD5">
        <w:rPr>
          <w:iCs/>
          <w:lang w:val="pl"/>
        </w:rPr>
        <w:t>w Budapeszcie</w:t>
      </w:r>
      <w:r w:rsidRPr="00283DC2">
        <w:rPr>
          <w:lang w:val="pl"/>
        </w:rPr>
        <w:t xml:space="preserve"> przyznał skarżącemu status bezpaństwowca. W dniu 17 października 2012 r., w</w:t>
      </w:r>
      <w:r w:rsidR="00F473FD">
        <w:rPr>
          <w:lang w:val="pl"/>
        </w:rPr>
        <w:t> </w:t>
      </w:r>
      <w:r w:rsidRPr="00283DC2">
        <w:rPr>
          <w:lang w:val="pl"/>
        </w:rPr>
        <w:t>ramach postępowania odwoławczego, Sąd Apelacyjny w Budapeszcie uchylił tę decyzję i od</w:t>
      </w:r>
      <w:r w:rsidR="005750B6">
        <w:rPr>
          <w:lang w:val="pl"/>
        </w:rPr>
        <w:t>dalił</w:t>
      </w:r>
      <w:r w:rsidRPr="00283DC2">
        <w:rPr>
          <w:lang w:val="pl"/>
        </w:rPr>
        <w:t xml:space="preserve"> wniosek; </w:t>
      </w:r>
      <w:proofErr w:type="spellStart"/>
      <w:r w:rsidRPr="00283DC2">
        <w:rPr>
          <w:i/>
          <w:iCs/>
          <w:lang w:val="pl"/>
        </w:rPr>
        <w:t>Kúria</w:t>
      </w:r>
      <w:proofErr w:type="spellEnd"/>
      <w:r w:rsidRPr="00283DC2">
        <w:rPr>
          <w:lang w:val="pl"/>
        </w:rPr>
        <w:t xml:space="preserve"> [Sąd Najwyższy] utrzymała to</w:t>
      </w:r>
      <w:r w:rsidR="00F473FD">
        <w:rPr>
          <w:lang w:val="pl"/>
        </w:rPr>
        <w:t> </w:t>
      </w:r>
      <w:r w:rsidRPr="00283DC2">
        <w:rPr>
          <w:lang w:val="pl"/>
        </w:rPr>
        <w:t>orzeczenie w mocy w dniu 11 grudnia 2013 r. Jako główną podstawę</w:t>
      </w:r>
      <w:r>
        <w:rPr>
          <w:lang w:val="pl"/>
        </w:rPr>
        <w:t xml:space="preserve"> tej</w:t>
      </w:r>
      <w:r w:rsidR="00222037">
        <w:rPr>
          <w:lang w:val="pl"/>
        </w:rPr>
        <w:t> </w:t>
      </w:r>
      <w:r>
        <w:rPr>
          <w:lang w:val="pl"/>
        </w:rPr>
        <w:t xml:space="preserve">decyzji wskazano fakt, że zgodnie z art. 76 ust. 1 </w:t>
      </w:r>
      <w:r w:rsidR="00CF641A">
        <w:rPr>
          <w:lang w:val="pl"/>
        </w:rPr>
        <w:t xml:space="preserve">ustawy </w:t>
      </w:r>
      <w:r>
        <w:rPr>
          <w:lang w:val="pl"/>
        </w:rPr>
        <w:t>nr II z 2007 r. o</w:t>
      </w:r>
      <w:r w:rsidR="00F473FD">
        <w:rPr>
          <w:lang w:val="pl"/>
        </w:rPr>
        <w:t> </w:t>
      </w:r>
      <w:r>
        <w:rPr>
          <w:lang w:val="pl"/>
        </w:rPr>
        <w:t>przyjmowaniu i prawie pobytu obywateli państw trzecich („</w:t>
      </w:r>
      <w:r w:rsidR="00CF641A">
        <w:rPr>
          <w:lang w:val="pl"/>
        </w:rPr>
        <w:t xml:space="preserve">ustawa </w:t>
      </w:r>
      <w:r>
        <w:rPr>
          <w:lang w:val="pl"/>
        </w:rPr>
        <w:t>o</w:t>
      </w:r>
      <w:r w:rsidR="00F473FD">
        <w:rPr>
          <w:lang w:val="pl"/>
        </w:rPr>
        <w:t> </w:t>
      </w:r>
      <w:r>
        <w:rPr>
          <w:lang w:val="pl"/>
        </w:rPr>
        <w:t>prawie pobytu”) warunkiem koniecznym dla przyznania statusu bezpaństwowca był „legalny pobyt w kraju”.</w:t>
      </w:r>
    </w:p>
    <w:p w14:paraId="70A0F518" w14:textId="2ADF7C66" w:rsidR="00176B6A" w:rsidRPr="006E4F1E" w:rsidRDefault="00176B6A" w:rsidP="001E148F">
      <w:pPr>
        <w:pStyle w:val="JuPara"/>
        <w:rPr>
          <w:lang w:val="pl-PL"/>
        </w:rPr>
      </w:pPr>
      <w:bookmarkStart w:id="13" w:name="Removing_lawful"/>
      <w:r>
        <w:rPr>
          <w:noProof/>
          <w:lang w:val="pl"/>
        </w:rPr>
        <w:t>18</w:t>
      </w:r>
      <w:bookmarkEnd w:id="13"/>
      <w:r>
        <w:rPr>
          <w:lang w:val="pl"/>
        </w:rPr>
        <w:t>.</w:t>
      </w:r>
      <w:r w:rsidR="00086073">
        <w:rPr>
          <w:lang w:val="pl"/>
        </w:rPr>
        <w:t xml:space="preserve"> </w:t>
      </w:r>
      <w:r>
        <w:rPr>
          <w:lang w:val="pl"/>
        </w:rPr>
        <w:t>Następnie, w dniu 10 grudnia 2012 r., skarżący ponownie wszczął procedurę uznania go za bezpaństwowca. Po początkowej odmowie w dniu 5</w:t>
      </w:r>
      <w:r w:rsidR="00222037">
        <w:rPr>
          <w:lang w:val="pl"/>
        </w:rPr>
        <w:t> </w:t>
      </w:r>
      <w:r>
        <w:rPr>
          <w:lang w:val="pl"/>
        </w:rPr>
        <w:t>czerwca 2013 r. sąd pierwszej instancji zwrócił się do Trybunału Konstytucyjnego o stwierdzenie niekonstytucyjności wymogu „legalnego pobytu” na terytorium Węgier w związku z nadaniem statusu bezpaństwowca.</w:t>
      </w:r>
    </w:p>
    <w:p w14:paraId="69E77BB9" w14:textId="29164AB8" w:rsidR="00176B6A" w:rsidRPr="006E4F1E" w:rsidRDefault="00176B6A" w:rsidP="001E148F">
      <w:pPr>
        <w:pStyle w:val="JuPara"/>
        <w:rPr>
          <w:lang w:val="pl-PL"/>
        </w:rPr>
      </w:pPr>
      <w:bookmarkStart w:id="14" w:name="removal"/>
      <w:r>
        <w:rPr>
          <w:noProof/>
          <w:lang w:val="pl"/>
        </w:rPr>
        <w:t>19</w:t>
      </w:r>
      <w:bookmarkEnd w:id="14"/>
      <w:r>
        <w:rPr>
          <w:lang w:val="pl"/>
        </w:rPr>
        <w:t>.</w:t>
      </w:r>
      <w:r w:rsidR="00086073">
        <w:rPr>
          <w:lang w:val="pl"/>
        </w:rPr>
        <w:t xml:space="preserve"> </w:t>
      </w:r>
      <w:r>
        <w:rPr>
          <w:lang w:val="pl"/>
        </w:rPr>
        <w:t>Trybunał Konstytucyjny przychylił się do wniosku sądu i</w:t>
      </w:r>
      <w:r w:rsidR="00F473FD">
        <w:rPr>
          <w:lang w:val="pl"/>
        </w:rPr>
        <w:t> </w:t>
      </w:r>
      <w:r>
        <w:rPr>
          <w:lang w:val="pl"/>
        </w:rPr>
        <w:t xml:space="preserve">postanowieniem z dnia 23 lutego 2015 r. usunął wymóg „legalnego pobytu” z </w:t>
      </w:r>
      <w:r w:rsidR="00CF641A">
        <w:rPr>
          <w:lang w:val="pl"/>
        </w:rPr>
        <w:t xml:space="preserve">ustawy </w:t>
      </w:r>
      <w:r>
        <w:rPr>
          <w:lang w:val="pl"/>
        </w:rPr>
        <w:t xml:space="preserve">o prawie pobytu z mocą obowiązującą od 30 września 2015 r. Uznał </w:t>
      </w:r>
      <w:r>
        <w:rPr>
          <w:lang w:val="pl"/>
        </w:rPr>
        <w:lastRenderedPageBreak/>
        <w:t>w szczególności, że wymóg ten jest sprzeczny z</w:t>
      </w:r>
      <w:r w:rsidR="00F473FD">
        <w:rPr>
          <w:lang w:val="pl"/>
        </w:rPr>
        <w:t> </w:t>
      </w:r>
      <w:r>
        <w:rPr>
          <w:lang w:val="pl"/>
        </w:rPr>
        <w:t xml:space="preserve">ratyfikowanymi przez Węgry zobowiązaniami wynikającymi z prawa międzynarodowego publicznego, w szczególności z Konwencją Narodów Zjednoczonych dotyczącą statusu bezpaństwowców z 1954 r. (zob. </w:t>
      </w:r>
      <w:r w:rsidR="006E4F1E">
        <w:rPr>
          <w:lang w:val="pl"/>
        </w:rPr>
        <w:t>paragraf</w:t>
      </w:r>
      <w:r w:rsidR="00086073">
        <w:rPr>
          <w:lang w:val="pl"/>
        </w:rPr>
        <w:t xml:space="preserve"> </w:t>
      </w:r>
      <w:r>
        <w:rPr>
          <w:noProof/>
          <w:lang w:val="pl"/>
        </w:rPr>
        <w:t>23</w:t>
      </w:r>
      <w:r>
        <w:rPr>
          <w:lang w:val="pl"/>
        </w:rPr>
        <w:t xml:space="preserve"> poniżej).</w:t>
      </w:r>
    </w:p>
    <w:p w14:paraId="70825886" w14:textId="61C74172" w:rsidR="00176B6A" w:rsidRPr="006E4F1E" w:rsidRDefault="00176B6A" w:rsidP="001E148F">
      <w:pPr>
        <w:pStyle w:val="JuPara"/>
        <w:rPr>
          <w:lang w:val="pl-PL"/>
        </w:rPr>
      </w:pPr>
      <w:bookmarkStart w:id="15" w:name="para_20"/>
      <w:bookmarkStart w:id="16" w:name="Decision_2017"/>
      <w:r>
        <w:rPr>
          <w:noProof/>
          <w:lang w:val="pl"/>
        </w:rPr>
        <w:t>20</w:t>
      </w:r>
      <w:bookmarkEnd w:id="15"/>
      <w:bookmarkEnd w:id="16"/>
      <w:r>
        <w:rPr>
          <w:lang w:val="pl"/>
        </w:rPr>
        <w:t>.</w:t>
      </w:r>
      <w:r w:rsidR="00086073">
        <w:rPr>
          <w:lang w:val="pl"/>
        </w:rPr>
        <w:t xml:space="preserve"> </w:t>
      </w:r>
      <w:r>
        <w:rPr>
          <w:lang w:val="pl"/>
        </w:rPr>
        <w:t>W dniu 5 października 2015 r. Sąd Administracyjny i Pracy w</w:t>
      </w:r>
      <w:r w:rsidR="00F473FD">
        <w:rPr>
          <w:lang w:val="pl"/>
        </w:rPr>
        <w:t> </w:t>
      </w:r>
      <w:r>
        <w:rPr>
          <w:lang w:val="pl"/>
        </w:rPr>
        <w:t>Budapeszcie uznał skarżącego za bezpaństwowca. W dniu 11 października 2017 r., w następstwie wniesionego odwołania, Sąd Apelacyjny w</w:t>
      </w:r>
      <w:r w:rsidR="00F473FD">
        <w:rPr>
          <w:lang w:val="pl"/>
        </w:rPr>
        <w:t> </w:t>
      </w:r>
      <w:r>
        <w:rPr>
          <w:lang w:val="pl"/>
        </w:rPr>
        <w:t>Budapeszcie utrzymał tę decyzję w mocy.</w:t>
      </w:r>
    </w:p>
    <w:p w14:paraId="538AF13C" w14:textId="76B2E813" w:rsidR="00176B6A" w:rsidRPr="006E4F1E" w:rsidRDefault="00176B6A" w:rsidP="001E148F">
      <w:pPr>
        <w:pStyle w:val="JuPara"/>
        <w:rPr>
          <w:lang w:val="pl-PL"/>
        </w:rPr>
      </w:pPr>
      <w:bookmarkStart w:id="17" w:name="Stateless_aceepted"/>
      <w:r>
        <w:rPr>
          <w:noProof/>
          <w:lang w:val="pl"/>
        </w:rPr>
        <w:t>21</w:t>
      </w:r>
      <w:bookmarkEnd w:id="17"/>
      <w:r>
        <w:rPr>
          <w:lang w:val="pl"/>
        </w:rPr>
        <w:t>.</w:t>
      </w:r>
      <w:r w:rsidR="00086073">
        <w:rPr>
          <w:lang w:val="pl"/>
        </w:rPr>
        <w:t xml:space="preserve"> </w:t>
      </w:r>
      <w:r>
        <w:rPr>
          <w:lang w:val="pl"/>
        </w:rPr>
        <w:t>Po przyznaniu statusu bezpaństwowca na mocy decyzji Sądu Apelacyjnego w Budapeszcie z dnia 11 października 2017 r. skarżący odzyskał prawo do podstawowej opieki zdrowotnej i zatrudnienia (zgodnie z</w:t>
      </w:r>
      <w:r w:rsidR="00222037">
        <w:rPr>
          <w:lang w:val="pl"/>
        </w:rPr>
        <w:t> </w:t>
      </w:r>
      <w:r>
        <w:rPr>
          <w:lang w:val="pl"/>
        </w:rPr>
        <w:t>odpowiednim przepisem ustawy nr II z 2002 r. w sprawie promulgacji Konwencji ONZ dotyczącej statusu bezpaństwowców z 1954 r.), a także przestały istnieć przeszkody dla zawarcia przez niego związku małżeńskiego.</w:t>
      </w:r>
    </w:p>
    <w:p w14:paraId="14555BA6" w14:textId="7B7C00C1" w:rsidR="00176B6A" w:rsidRPr="006E4F1E" w:rsidRDefault="00176B6A" w:rsidP="001E148F">
      <w:pPr>
        <w:pStyle w:val="JuPara"/>
        <w:rPr>
          <w:lang w:val="pl-PL"/>
        </w:rPr>
      </w:pPr>
      <w:bookmarkStart w:id="18" w:name="girlfriend"/>
      <w:r>
        <w:rPr>
          <w:noProof/>
          <w:lang w:val="pl"/>
        </w:rPr>
        <w:t>22</w:t>
      </w:r>
      <w:bookmarkEnd w:id="18"/>
      <w:r>
        <w:rPr>
          <w:lang w:val="pl"/>
        </w:rPr>
        <w:t>.</w:t>
      </w:r>
      <w:r w:rsidR="00086073">
        <w:rPr>
          <w:lang w:val="pl"/>
        </w:rPr>
        <w:t xml:space="preserve"> </w:t>
      </w:r>
      <w:r>
        <w:rPr>
          <w:lang w:val="pl"/>
        </w:rPr>
        <w:t>Skarżący oświadczył, że</w:t>
      </w:r>
      <w:r w:rsidR="00222037">
        <w:rPr>
          <w:lang w:val="pl"/>
        </w:rPr>
        <w:t> </w:t>
      </w:r>
      <w:r>
        <w:rPr>
          <w:lang w:val="pl"/>
        </w:rPr>
        <w:t>od 2009 r. mieszkał ze swoją partnerką, Węgierką, i w 2010 r. pomyślnie ukończył kurs operatora maszyn ciężkich w</w:t>
      </w:r>
      <w:r w:rsidR="00222037">
        <w:rPr>
          <w:lang w:val="pl"/>
        </w:rPr>
        <w:t> </w:t>
      </w:r>
      <w:r>
        <w:rPr>
          <w:lang w:val="pl"/>
        </w:rPr>
        <w:t>celu uzyskania pozwolenia na</w:t>
      </w:r>
      <w:r w:rsidR="00F473FD">
        <w:rPr>
          <w:lang w:val="pl"/>
        </w:rPr>
        <w:t> </w:t>
      </w:r>
      <w:r>
        <w:rPr>
          <w:lang w:val="pl"/>
        </w:rPr>
        <w:t>pracę.</w:t>
      </w:r>
      <w:r w:rsidR="00222037" w:rsidRPr="00222037">
        <w:rPr>
          <w:lang w:val="pl"/>
        </w:rPr>
        <w:t xml:space="preserve"> </w:t>
      </w:r>
      <w:r w:rsidR="00222037">
        <w:rPr>
          <w:lang w:val="pl"/>
        </w:rPr>
        <w:t>Rząd nie kwestionował tego twierdzenia.</w:t>
      </w:r>
    </w:p>
    <w:p w14:paraId="29A9A268" w14:textId="551C83DF" w:rsidR="00176B6A" w:rsidRPr="006E4F1E" w:rsidRDefault="00176B6A" w:rsidP="001E148F">
      <w:pPr>
        <w:pStyle w:val="JuPara"/>
        <w:rPr>
          <w:lang w:val="pl-PL"/>
        </w:rPr>
      </w:pPr>
      <w:r>
        <w:rPr>
          <w:lang w:val="pl"/>
        </w:rPr>
        <w:t xml:space="preserve">Brak informacji, czy </w:t>
      </w:r>
      <w:r w:rsidR="00222037">
        <w:rPr>
          <w:lang w:val="pl"/>
        </w:rPr>
        <w:t xml:space="preserve">skarżący </w:t>
      </w:r>
      <w:r>
        <w:rPr>
          <w:lang w:val="pl"/>
        </w:rPr>
        <w:t>ostatecznie wstąpił w związek małżeński.</w:t>
      </w:r>
    </w:p>
    <w:p w14:paraId="6BC844F9" w14:textId="77777777" w:rsidR="00176B6A" w:rsidRPr="001E148F" w:rsidRDefault="00176B6A" w:rsidP="001E148F">
      <w:pPr>
        <w:pStyle w:val="JuHHead"/>
        <w:numPr>
          <w:ilvl w:val="0"/>
          <w:numId w:val="23"/>
        </w:numPr>
        <w:jc w:val="left"/>
      </w:pPr>
      <w:r>
        <w:rPr>
          <w:lang w:val="pl"/>
        </w:rPr>
        <w:t>WŁAŚCIWE RAMY PRAWNE</w:t>
      </w:r>
    </w:p>
    <w:p w14:paraId="7D0AF273" w14:textId="6F209BF1" w:rsidR="00176B6A" w:rsidRPr="006E4F1E" w:rsidRDefault="00176B6A" w:rsidP="001E148F">
      <w:pPr>
        <w:pStyle w:val="JuPara"/>
        <w:rPr>
          <w:rFonts w:ascii="Times New Roman" w:eastAsia="Times New Roman" w:hAnsi="Times New Roman" w:cs="Times New Roman"/>
          <w:lang w:val="pl-PL"/>
        </w:rPr>
      </w:pPr>
      <w:bookmarkStart w:id="19" w:name="UN_Convention"/>
      <w:r>
        <w:rPr>
          <w:noProof/>
          <w:lang w:val="pl"/>
        </w:rPr>
        <w:t>23</w:t>
      </w:r>
      <w:bookmarkEnd w:id="19"/>
      <w:r>
        <w:rPr>
          <w:lang w:val="pl"/>
        </w:rPr>
        <w:t>.</w:t>
      </w:r>
      <w:r w:rsidR="00086073">
        <w:rPr>
          <w:lang w:val="pl"/>
        </w:rPr>
        <w:t xml:space="preserve"> </w:t>
      </w:r>
      <w:r>
        <w:rPr>
          <w:lang w:val="pl"/>
        </w:rPr>
        <w:t>Odpowiednie postanowienia Konwencji o statusie bezpaństwowców (Organizacja Narodów Zjednoczonych, Traktaty, t. 360, str. 117) z dnia 26</w:t>
      </w:r>
      <w:r w:rsidR="00F473FD">
        <w:rPr>
          <w:lang w:val="pl"/>
        </w:rPr>
        <w:t> </w:t>
      </w:r>
      <w:r>
        <w:rPr>
          <w:lang w:val="pl"/>
        </w:rPr>
        <w:t xml:space="preserve">kwietnia 1954 r., do której Węgry przystąpiły 21 listopada 2001 r., stanowią, co następuje (zob. także </w:t>
      </w:r>
      <w:proofErr w:type="spellStart"/>
      <w:r>
        <w:rPr>
          <w:rStyle w:val="JuParaChar"/>
          <w:i/>
          <w:iCs/>
          <w:lang w:val="pl"/>
        </w:rPr>
        <w:t>Hoti</w:t>
      </w:r>
      <w:proofErr w:type="spellEnd"/>
      <w:r>
        <w:rPr>
          <w:rStyle w:val="JuParaChar"/>
          <w:i/>
          <w:iCs/>
          <w:lang w:val="pl"/>
        </w:rPr>
        <w:t xml:space="preserve"> przeciwko Chorwacji</w:t>
      </w:r>
      <w:r>
        <w:rPr>
          <w:rStyle w:val="JuParaChar"/>
          <w:lang w:val="pl"/>
        </w:rPr>
        <w:t>, nr 63311/14,</w:t>
      </w:r>
      <w:r>
        <w:rPr>
          <w:lang w:val="pl"/>
        </w:rPr>
        <w:t xml:space="preserve"> §</w:t>
      </w:r>
      <w:r w:rsidR="00222037">
        <w:rPr>
          <w:lang w:val="pl"/>
        </w:rPr>
        <w:t> </w:t>
      </w:r>
      <w:r>
        <w:rPr>
          <w:lang w:val="pl"/>
        </w:rPr>
        <w:t>65, 26 kwietnia 2018 r.):</w:t>
      </w:r>
    </w:p>
    <w:p w14:paraId="2804187F" w14:textId="77777777" w:rsidR="00176B6A" w:rsidRPr="006E4F1E" w:rsidRDefault="00176B6A" w:rsidP="001E148F">
      <w:pPr>
        <w:pStyle w:val="JuHArticle"/>
        <w:rPr>
          <w:rFonts w:ascii="Times New Roman" w:eastAsia="Times New Roman" w:hAnsi="Times New Roman" w:cs="Times New Roman"/>
          <w:lang w:val="pl-PL"/>
        </w:rPr>
      </w:pPr>
      <w:r>
        <w:rPr>
          <w:rFonts w:eastAsia="Times New Roman"/>
          <w:bCs/>
          <w:lang w:val="pl"/>
        </w:rPr>
        <w:t>Artykuł 1 – Definicja pojęcia „bezpaństwowiec”</w:t>
      </w:r>
    </w:p>
    <w:p w14:paraId="402C7736" w14:textId="1E9D1C82" w:rsidR="00176B6A" w:rsidRPr="006E4F1E" w:rsidRDefault="00176B6A" w:rsidP="001E148F">
      <w:pPr>
        <w:pStyle w:val="JuQuot"/>
        <w:rPr>
          <w:rFonts w:ascii="Times New Roman" w:eastAsia="Times New Roman" w:hAnsi="Times New Roman" w:cs="Times New Roman"/>
          <w:lang w:val="pl-PL"/>
        </w:rPr>
      </w:pPr>
      <w:r>
        <w:rPr>
          <w:rFonts w:eastAsia="Times New Roman"/>
          <w:lang w:val="pl"/>
        </w:rPr>
        <w:t>„1. Dla celów niniejszej Konwencji pojęcie „bezpaństwowiec” oznacza osobę, która nie jest uznawana za obywatela żadnego państwa w zakresie obowiązywania jego prawa”</w:t>
      </w:r>
      <w:r w:rsidR="00086073">
        <w:rPr>
          <w:rFonts w:eastAsia="Times New Roman"/>
          <w:lang w:val="pl"/>
        </w:rPr>
        <w:t>.</w:t>
      </w:r>
    </w:p>
    <w:p w14:paraId="04E61981" w14:textId="77777777" w:rsidR="00176B6A" w:rsidRPr="006E4F1E" w:rsidRDefault="00176B6A" w:rsidP="001E148F">
      <w:pPr>
        <w:pStyle w:val="JuHArticle"/>
        <w:rPr>
          <w:rFonts w:ascii="Times New Roman" w:eastAsia="Times New Roman" w:hAnsi="Times New Roman" w:cs="Times New Roman"/>
          <w:lang w:val="pl-PL"/>
        </w:rPr>
      </w:pPr>
      <w:r>
        <w:rPr>
          <w:rFonts w:eastAsia="Times New Roman"/>
          <w:bCs/>
          <w:lang w:val="pl"/>
        </w:rPr>
        <w:t>Artykuł 6 – Sformułowanie „w tych samych okolicznościach”</w:t>
      </w:r>
    </w:p>
    <w:p w14:paraId="0A6D16E6" w14:textId="2726A367" w:rsidR="00176B6A" w:rsidRPr="006E4F1E" w:rsidRDefault="00176B6A" w:rsidP="001E148F">
      <w:pPr>
        <w:pStyle w:val="JuQuot"/>
        <w:rPr>
          <w:rFonts w:ascii="Times New Roman" w:eastAsia="Times New Roman" w:hAnsi="Times New Roman" w:cs="Times New Roman"/>
          <w:lang w:val="pl-PL"/>
        </w:rPr>
      </w:pPr>
      <w:r>
        <w:rPr>
          <w:rFonts w:eastAsia="Times New Roman"/>
          <w:lang w:val="pl"/>
        </w:rPr>
        <w:t>W</w:t>
      </w:r>
      <w:r w:rsidR="00086073">
        <w:rPr>
          <w:rFonts w:eastAsia="Times New Roman"/>
          <w:lang w:val="pl"/>
        </w:rPr>
        <w:t xml:space="preserve"> </w:t>
      </w:r>
      <w:r>
        <w:rPr>
          <w:rFonts w:eastAsia="Times New Roman"/>
          <w:lang w:val="pl"/>
        </w:rPr>
        <w:t>rozumieniu niniejszej Konwencji określenie „w tych samych okolicznościach” oznacza, że wszystkie wymogi (włącznie z tymi, które dotyczą czasu i warunków pobytu lub zamieszkiwania), jakie zainteresowana osoba powinna spełnić, aby móc korzystać z omawianego prawa, gdyby nie była bezpaństwowcem, powinny być przez nią wypełnione, z wyjątkiem wymogów, których bezpaństwowiec ze względu na ich charakter nie może spełnić”</w:t>
      </w:r>
      <w:r w:rsidR="00086073">
        <w:rPr>
          <w:rFonts w:eastAsia="Times New Roman"/>
          <w:lang w:val="pl"/>
        </w:rPr>
        <w:t>.</w:t>
      </w:r>
    </w:p>
    <w:p w14:paraId="16142F67" w14:textId="77777777" w:rsidR="00176B6A" w:rsidRPr="006E4F1E" w:rsidRDefault="00176B6A" w:rsidP="001E148F">
      <w:pPr>
        <w:pStyle w:val="JuHArticle"/>
        <w:rPr>
          <w:rFonts w:ascii="Times New Roman" w:eastAsia="Times New Roman" w:hAnsi="Times New Roman" w:cs="Times New Roman"/>
          <w:lang w:val="pl-PL"/>
        </w:rPr>
      </w:pPr>
      <w:r>
        <w:rPr>
          <w:rFonts w:eastAsia="Times New Roman"/>
          <w:bCs/>
          <w:lang w:val="pl"/>
        </w:rPr>
        <w:t>Artykuł 12 – Status osobowy</w:t>
      </w:r>
    </w:p>
    <w:p w14:paraId="1F6B3E96" w14:textId="10576390" w:rsidR="00176B6A" w:rsidRPr="006E4F1E" w:rsidRDefault="00176B6A" w:rsidP="001E148F">
      <w:pPr>
        <w:pStyle w:val="JuQuot"/>
        <w:rPr>
          <w:rFonts w:ascii="Times New Roman" w:eastAsia="Times New Roman" w:hAnsi="Times New Roman" w:cs="Times New Roman"/>
          <w:lang w:val="pl-PL"/>
        </w:rPr>
      </w:pPr>
      <w:r>
        <w:rPr>
          <w:rFonts w:eastAsia="Times New Roman"/>
          <w:lang w:val="pl"/>
        </w:rPr>
        <w:t>„1. Status osobowy bezpaństwowca określa prawo państwa jego stałego zamieszkiwania, a jeżeli nigdzie stale nie zamieszkuje, prawo państwa, w którym przebywa”</w:t>
      </w:r>
      <w:r w:rsidR="00086073">
        <w:rPr>
          <w:rFonts w:eastAsia="Times New Roman"/>
          <w:lang w:val="pl"/>
        </w:rPr>
        <w:t>.</w:t>
      </w:r>
    </w:p>
    <w:p w14:paraId="704CD4DC" w14:textId="77777777" w:rsidR="00176B6A" w:rsidRPr="006E4F1E" w:rsidRDefault="00176B6A" w:rsidP="001E148F">
      <w:pPr>
        <w:pStyle w:val="JuHArticle"/>
        <w:rPr>
          <w:rFonts w:ascii="Times New Roman" w:eastAsia="Times New Roman" w:hAnsi="Times New Roman" w:cs="Times New Roman"/>
          <w:lang w:val="pl-PL"/>
        </w:rPr>
      </w:pPr>
      <w:r>
        <w:rPr>
          <w:rFonts w:eastAsia="Times New Roman"/>
          <w:bCs/>
          <w:lang w:val="pl"/>
        </w:rPr>
        <w:lastRenderedPageBreak/>
        <w:t>Artykuł 25 – Pomoc administracyjna</w:t>
      </w:r>
    </w:p>
    <w:p w14:paraId="4E8EE9FE" w14:textId="441E8E92" w:rsidR="00176B6A" w:rsidRPr="006E4F1E" w:rsidRDefault="00176B6A" w:rsidP="001E148F">
      <w:pPr>
        <w:pStyle w:val="JuQuot"/>
        <w:rPr>
          <w:rFonts w:ascii="Times New Roman" w:eastAsia="Times New Roman" w:hAnsi="Times New Roman" w:cs="Times New Roman"/>
          <w:lang w:val="pl-PL"/>
        </w:rPr>
      </w:pPr>
      <w:r>
        <w:rPr>
          <w:rFonts w:eastAsia="Times New Roman"/>
          <w:lang w:val="pl"/>
        </w:rPr>
        <w:t>„1. Jeżeli korzystanie z prawa przez bezpaństwowca wymagałoby zwykle pomocy władz obcego państwa, do którego nie może się zwrócić, Umawiające się Państwo, na</w:t>
      </w:r>
      <w:r w:rsidR="00F473FD">
        <w:rPr>
          <w:rFonts w:eastAsia="Times New Roman"/>
          <w:lang w:val="pl"/>
        </w:rPr>
        <w:t> </w:t>
      </w:r>
      <w:r>
        <w:rPr>
          <w:rFonts w:eastAsia="Times New Roman"/>
          <w:lang w:val="pl"/>
        </w:rPr>
        <w:t>którego terytorium stale zamieszkuje, spowoduje, by tę pomoc otrzymał od jego własnych władz”</w:t>
      </w:r>
      <w:r w:rsidR="00086073">
        <w:rPr>
          <w:rFonts w:eastAsia="Times New Roman"/>
          <w:lang w:val="pl"/>
        </w:rPr>
        <w:t>.</w:t>
      </w:r>
    </w:p>
    <w:p w14:paraId="5BB388AB" w14:textId="77777777" w:rsidR="00176B6A" w:rsidRPr="006E4F1E" w:rsidRDefault="00176B6A" w:rsidP="001E148F">
      <w:pPr>
        <w:pStyle w:val="JuHArticle"/>
        <w:rPr>
          <w:rFonts w:ascii="Times New Roman" w:eastAsia="Times New Roman" w:hAnsi="Times New Roman" w:cs="Times New Roman"/>
          <w:lang w:val="pl-PL"/>
        </w:rPr>
      </w:pPr>
      <w:r>
        <w:rPr>
          <w:rFonts w:eastAsia="Times New Roman"/>
          <w:bCs/>
          <w:lang w:val="pl"/>
        </w:rPr>
        <w:t>Artykuł 32 – Naturalizacja</w:t>
      </w:r>
    </w:p>
    <w:p w14:paraId="118EE855" w14:textId="5E6C10F0" w:rsidR="00176B6A" w:rsidRPr="006E4F1E" w:rsidRDefault="00176B6A" w:rsidP="001E148F">
      <w:pPr>
        <w:pStyle w:val="JuQuot"/>
        <w:rPr>
          <w:rFonts w:ascii="Times New Roman" w:eastAsia="Times New Roman" w:hAnsi="Times New Roman" w:cs="Times New Roman"/>
          <w:lang w:val="pl-PL"/>
        </w:rPr>
      </w:pPr>
      <w:r>
        <w:rPr>
          <w:rFonts w:eastAsia="Times New Roman"/>
          <w:lang w:val="pl"/>
        </w:rPr>
        <w:t>Umawiające się Państwa będą w miarę możliwości ułatwiały asymilację i</w:t>
      </w:r>
      <w:r w:rsidR="00F473FD">
        <w:rPr>
          <w:rFonts w:eastAsia="Times New Roman"/>
          <w:lang w:val="pl"/>
        </w:rPr>
        <w:t> </w:t>
      </w:r>
      <w:r>
        <w:rPr>
          <w:rFonts w:eastAsia="Times New Roman"/>
          <w:lang w:val="pl"/>
        </w:rPr>
        <w:t>naturalizację bezpaństwowców. W szczególności podejmą wszelkie wysiłki dla</w:t>
      </w:r>
      <w:r w:rsidR="00F473FD">
        <w:rPr>
          <w:rFonts w:eastAsia="Times New Roman"/>
          <w:lang w:val="pl"/>
        </w:rPr>
        <w:t> </w:t>
      </w:r>
      <w:r>
        <w:rPr>
          <w:rFonts w:eastAsia="Times New Roman"/>
          <w:lang w:val="pl"/>
        </w:rPr>
        <w:t>przyspieszenia procedury naturalizacyjnej i zmniejszenia, tak dalece, jak to jest możliwe, opłat i kosztów tego postępowania”</w:t>
      </w:r>
      <w:r w:rsidR="00086073">
        <w:rPr>
          <w:rFonts w:eastAsia="Times New Roman"/>
          <w:lang w:val="pl"/>
        </w:rPr>
        <w:t>.</w:t>
      </w:r>
    </w:p>
    <w:p w14:paraId="3273C10C" w14:textId="77777777" w:rsidR="00176B6A" w:rsidRPr="001E148F" w:rsidRDefault="00176B6A" w:rsidP="001E148F">
      <w:pPr>
        <w:pStyle w:val="JuHHead"/>
      </w:pPr>
      <w:r>
        <w:rPr>
          <w:lang w:val="pl"/>
        </w:rPr>
        <w:t>PRAWO</w:t>
      </w:r>
    </w:p>
    <w:p w14:paraId="1DC1BDBB" w14:textId="72D2B388" w:rsidR="00176B6A" w:rsidRPr="001E148F" w:rsidRDefault="00176B6A" w:rsidP="001E148F">
      <w:pPr>
        <w:pStyle w:val="JuHIRoman"/>
      </w:pPr>
      <w:r>
        <w:rPr>
          <w:lang w:val="pl"/>
        </w:rPr>
        <w:t>ZARZUT NARUSZENIA ART</w:t>
      </w:r>
      <w:r w:rsidR="006E4F1E">
        <w:rPr>
          <w:lang w:val="pl"/>
        </w:rPr>
        <w:t>.</w:t>
      </w:r>
      <w:r>
        <w:rPr>
          <w:lang w:val="pl"/>
        </w:rPr>
        <w:t xml:space="preserve"> 8 KONWENCJI</w:t>
      </w:r>
    </w:p>
    <w:p w14:paraId="2C9876A4" w14:textId="0553936F" w:rsidR="00176B6A" w:rsidRPr="006E4F1E" w:rsidRDefault="00176B6A" w:rsidP="001E148F">
      <w:pPr>
        <w:pStyle w:val="JuPara"/>
        <w:rPr>
          <w:lang w:val="pl-PL"/>
        </w:rPr>
      </w:pPr>
      <w:r>
        <w:rPr>
          <w:noProof/>
          <w:lang w:val="pl"/>
        </w:rPr>
        <w:t>24</w:t>
      </w:r>
      <w:r>
        <w:rPr>
          <w:lang w:val="pl"/>
        </w:rPr>
        <w:t>.</w:t>
      </w:r>
      <w:r w:rsidR="00086073">
        <w:rPr>
          <w:lang w:val="pl"/>
        </w:rPr>
        <w:t xml:space="preserve"> </w:t>
      </w:r>
      <w:r>
        <w:rPr>
          <w:lang w:val="pl"/>
        </w:rPr>
        <w:t>Powołując się na art. 3, 5, 8, 13 i 14 Konwencji, skarżący zarzucił, że</w:t>
      </w:r>
      <w:r w:rsidR="00F473FD">
        <w:rPr>
          <w:lang w:val="pl"/>
        </w:rPr>
        <w:t> </w:t>
      </w:r>
      <w:r>
        <w:rPr>
          <w:lang w:val="pl"/>
        </w:rPr>
        <w:t xml:space="preserve">od 2002 r. do 2017 r. władze węgierskie odmawiały uregulowania jego sytuacji w sposób zadowalający, co poważnie naruszyło jego godność ludzką. Trybunał – jako odpowiedzialny za </w:t>
      </w:r>
      <w:r w:rsidR="003439E4">
        <w:rPr>
          <w:lang w:val="pl"/>
        </w:rPr>
        <w:t>dokonanie subsumpcji w</w:t>
      </w:r>
      <w:r w:rsidR="00F473FD">
        <w:rPr>
          <w:lang w:val="pl"/>
        </w:rPr>
        <w:t> </w:t>
      </w:r>
      <w:r w:rsidR="003439E4">
        <w:rPr>
          <w:lang w:val="pl"/>
        </w:rPr>
        <w:t xml:space="preserve">sprawie </w:t>
      </w:r>
      <w:r>
        <w:rPr>
          <w:lang w:val="pl"/>
        </w:rPr>
        <w:t>(zob.</w:t>
      </w:r>
      <w:r w:rsidR="00222037">
        <w:rPr>
          <w:lang w:val="pl"/>
        </w:rPr>
        <w:t> </w:t>
      </w:r>
      <w:proofErr w:type="spellStart"/>
      <w:r>
        <w:rPr>
          <w:i/>
          <w:iCs/>
          <w:lang w:val="pl"/>
        </w:rPr>
        <w:t>Radomilja</w:t>
      </w:r>
      <w:proofErr w:type="spellEnd"/>
      <w:r>
        <w:rPr>
          <w:i/>
          <w:iCs/>
          <w:lang w:val="pl"/>
        </w:rPr>
        <w:t xml:space="preserve"> i Inni przeciwko Chorwacji</w:t>
      </w:r>
      <w:r>
        <w:rPr>
          <w:lang w:val="pl"/>
        </w:rPr>
        <w:t xml:space="preserve"> [</w:t>
      </w:r>
      <w:proofErr w:type="spellStart"/>
      <w:r>
        <w:rPr>
          <w:lang w:val="pl"/>
        </w:rPr>
        <w:t>WI</w:t>
      </w:r>
      <w:proofErr w:type="spellEnd"/>
      <w:r>
        <w:rPr>
          <w:lang w:val="pl"/>
        </w:rPr>
        <w:t>], nr</w:t>
      </w:r>
      <w:r w:rsidR="00086073">
        <w:rPr>
          <w:lang w:val="pl"/>
        </w:rPr>
        <w:t xml:space="preserve"> </w:t>
      </w:r>
      <w:r>
        <w:rPr>
          <w:lang w:val="pl"/>
        </w:rPr>
        <w:t>37685/10 i</w:t>
      </w:r>
      <w:r w:rsidR="00F473FD">
        <w:rPr>
          <w:lang w:val="pl"/>
        </w:rPr>
        <w:t> </w:t>
      </w:r>
      <w:r>
        <w:rPr>
          <w:lang w:val="pl"/>
        </w:rPr>
        <w:t xml:space="preserve">22768/12, </w:t>
      </w:r>
      <w:r w:rsidR="003439E4" w:rsidRPr="003439E4">
        <w:rPr>
          <w:lang w:val="pl-PL"/>
        </w:rPr>
        <w:t>§§</w:t>
      </w:r>
      <w:r>
        <w:rPr>
          <w:lang w:val="pl"/>
        </w:rPr>
        <w:t xml:space="preserve"> 114 i 126, 20 marca 2018 r.), uznaje, że skarga podlega rozpoznaniu wyłącznie na podstawie art. 8 Konwencji, który w</w:t>
      </w:r>
      <w:r w:rsidR="00F473FD">
        <w:rPr>
          <w:lang w:val="pl"/>
        </w:rPr>
        <w:t> </w:t>
      </w:r>
      <w:r>
        <w:rPr>
          <w:lang w:val="pl"/>
        </w:rPr>
        <w:t>odpowiednim zakresie stanowi, jak następuje:</w:t>
      </w:r>
    </w:p>
    <w:p w14:paraId="700C44E5" w14:textId="14F10793" w:rsidR="00176B6A" w:rsidRPr="006E4F1E" w:rsidRDefault="00176B6A" w:rsidP="001E148F">
      <w:pPr>
        <w:pStyle w:val="JuQuot"/>
        <w:rPr>
          <w:lang w:val="pl-PL"/>
        </w:rPr>
      </w:pPr>
      <w:r>
        <w:rPr>
          <w:lang w:val="pl"/>
        </w:rPr>
        <w:t>„1.</w:t>
      </w:r>
      <w:r w:rsidR="00086073">
        <w:rPr>
          <w:lang w:val="pl"/>
        </w:rPr>
        <w:t xml:space="preserve"> </w:t>
      </w:r>
      <w:r w:rsidR="003439E4" w:rsidRPr="003439E4">
        <w:rPr>
          <w:lang w:val="pl"/>
        </w:rPr>
        <w:t>Każdy ma prawo do poszanowania swojego życia prywatnego i rodzinnego</w:t>
      </w:r>
      <w:r>
        <w:rPr>
          <w:lang w:val="pl"/>
        </w:rPr>
        <w:t xml:space="preserve"> (...)</w:t>
      </w:r>
    </w:p>
    <w:p w14:paraId="21BC04CC" w14:textId="55610A69" w:rsidR="00176B6A" w:rsidRPr="006E4F1E" w:rsidRDefault="00176B6A" w:rsidP="001E148F">
      <w:pPr>
        <w:pStyle w:val="JuQuot"/>
        <w:rPr>
          <w:lang w:val="pl-PL"/>
        </w:rPr>
      </w:pPr>
      <w:r>
        <w:rPr>
          <w:lang w:val="pl"/>
        </w:rPr>
        <w:t>2.</w:t>
      </w:r>
      <w:r w:rsidR="00086073">
        <w:rPr>
          <w:lang w:val="pl"/>
        </w:rPr>
        <w:t xml:space="preserve"> </w:t>
      </w:r>
      <w:r w:rsidR="00CF641A" w:rsidRPr="00CF641A">
        <w:rPr>
          <w:lang w:val="pl"/>
        </w:rPr>
        <w:t>Niedopuszczalna jest ingerencja władzy publicznej w korzystanie z tego prawa, z</w:t>
      </w:r>
      <w:r w:rsidR="00F473FD">
        <w:rPr>
          <w:lang w:val="pl"/>
        </w:rPr>
        <w:t> </w:t>
      </w:r>
      <w:r w:rsidR="00CF641A" w:rsidRPr="00CF641A">
        <w:rPr>
          <w:lang w:val="pl"/>
        </w:rPr>
        <w:t>wyjątkiem przypadków przewidzianych przez ustawę i koniecznych w</w:t>
      </w:r>
      <w:r w:rsidR="00F473FD">
        <w:rPr>
          <w:lang w:val="pl"/>
        </w:rPr>
        <w:t> </w:t>
      </w:r>
      <w:r w:rsidR="00CF641A" w:rsidRPr="00CF641A">
        <w:rPr>
          <w:lang w:val="pl"/>
        </w:rPr>
        <w:t>demokratycznym społeczeństwie z uwagi na bezpieczeństwo państwowe, bezpieczeństwo publiczne lub dobrobyt gospodarczy kraju, ochronę porządku i</w:t>
      </w:r>
      <w:r w:rsidR="00F473FD">
        <w:rPr>
          <w:lang w:val="pl"/>
        </w:rPr>
        <w:t> </w:t>
      </w:r>
      <w:r w:rsidR="00CF641A" w:rsidRPr="00CF641A">
        <w:rPr>
          <w:lang w:val="pl"/>
        </w:rPr>
        <w:t>zapobieganie przestępstwom, ochronę zdrowia i moralności lub ochronę praw i</w:t>
      </w:r>
      <w:r w:rsidR="00F473FD">
        <w:rPr>
          <w:lang w:val="pl"/>
        </w:rPr>
        <w:t> </w:t>
      </w:r>
      <w:r w:rsidR="00CF641A" w:rsidRPr="00CF641A">
        <w:rPr>
          <w:lang w:val="pl"/>
        </w:rPr>
        <w:t>wolności innych osób</w:t>
      </w:r>
      <w:r>
        <w:rPr>
          <w:lang w:val="pl"/>
        </w:rPr>
        <w:t>”</w:t>
      </w:r>
      <w:r w:rsidR="00CF641A">
        <w:rPr>
          <w:lang w:val="pl"/>
        </w:rPr>
        <w:t>.</w:t>
      </w:r>
    </w:p>
    <w:p w14:paraId="4510C679" w14:textId="77777777" w:rsidR="00176B6A" w:rsidRPr="001E148F" w:rsidRDefault="00176B6A" w:rsidP="001E148F">
      <w:pPr>
        <w:pStyle w:val="JuHA"/>
      </w:pPr>
      <w:r>
        <w:rPr>
          <w:bCs/>
          <w:lang w:val="pl"/>
        </w:rPr>
        <w:t>Dopuszczalność skargi</w:t>
      </w:r>
    </w:p>
    <w:p w14:paraId="2F9AEAEC" w14:textId="4EB7E28F" w:rsidR="00176B6A" w:rsidRPr="00C60EBA" w:rsidRDefault="00176B6A" w:rsidP="001E148F">
      <w:pPr>
        <w:pStyle w:val="JuPara"/>
        <w:rPr>
          <w:lang w:val="pl-PL"/>
        </w:rPr>
      </w:pPr>
      <w:r>
        <w:rPr>
          <w:noProof/>
          <w:lang w:val="pl"/>
        </w:rPr>
        <w:t>25</w:t>
      </w:r>
      <w:r>
        <w:rPr>
          <w:lang w:val="pl"/>
        </w:rPr>
        <w:t>.</w:t>
      </w:r>
      <w:r w:rsidR="00086073">
        <w:rPr>
          <w:lang w:val="pl"/>
        </w:rPr>
        <w:t xml:space="preserve"> </w:t>
      </w:r>
      <w:r>
        <w:rPr>
          <w:lang w:val="pl"/>
        </w:rPr>
        <w:t xml:space="preserve">Trybunał uważa, iż skarga nie jest ani </w:t>
      </w:r>
      <w:r w:rsidR="00C60EBA">
        <w:rPr>
          <w:lang w:val="pl"/>
        </w:rPr>
        <w:t>w sposób oczywisty nieuzasadniona</w:t>
      </w:r>
      <w:r>
        <w:rPr>
          <w:lang w:val="pl"/>
        </w:rPr>
        <w:t>, ani niedopuszczalna</w:t>
      </w:r>
      <w:r w:rsidR="003439E4">
        <w:rPr>
          <w:lang w:val="pl"/>
        </w:rPr>
        <w:t xml:space="preserve"> z innych powodów wskazanych </w:t>
      </w:r>
      <w:r>
        <w:rPr>
          <w:lang w:val="pl"/>
        </w:rPr>
        <w:t>w</w:t>
      </w:r>
      <w:r w:rsidR="00F473FD">
        <w:rPr>
          <w:lang w:val="pl"/>
        </w:rPr>
        <w:t> </w:t>
      </w:r>
      <w:r>
        <w:rPr>
          <w:lang w:val="pl"/>
        </w:rPr>
        <w:t>art.</w:t>
      </w:r>
      <w:r w:rsidR="00F473FD">
        <w:rPr>
          <w:lang w:val="pl"/>
        </w:rPr>
        <w:t> </w:t>
      </w:r>
      <w:r>
        <w:rPr>
          <w:lang w:val="pl"/>
        </w:rPr>
        <w:t>35 Konwencji. Musi zatem zostać uznana za dopuszczalną.</w:t>
      </w:r>
    </w:p>
    <w:p w14:paraId="653326D7" w14:textId="7F7B641C" w:rsidR="00176B6A" w:rsidRPr="001E148F" w:rsidRDefault="00CF641A" w:rsidP="001E148F">
      <w:pPr>
        <w:pStyle w:val="JuHA"/>
      </w:pPr>
      <w:r>
        <w:rPr>
          <w:bCs/>
          <w:lang w:val="pl"/>
        </w:rPr>
        <w:t>Przedmiot</w:t>
      </w:r>
      <w:r w:rsidR="00176B6A">
        <w:rPr>
          <w:bCs/>
          <w:lang w:val="pl"/>
        </w:rPr>
        <w:t xml:space="preserve"> skargi</w:t>
      </w:r>
    </w:p>
    <w:p w14:paraId="7665EE67" w14:textId="77777777" w:rsidR="00176B6A" w:rsidRPr="001E148F" w:rsidRDefault="00176B6A" w:rsidP="001E148F">
      <w:pPr>
        <w:pStyle w:val="JuH1"/>
      </w:pPr>
      <w:r>
        <w:rPr>
          <w:iCs/>
          <w:lang w:val="pl"/>
        </w:rPr>
        <w:t>Oświadczenia stron</w:t>
      </w:r>
    </w:p>
    <w:p w14:paraId="3F77DFA0" w14:textId="77777777" w:rsidR="00176B6A" w:rsidRPr="001E148F" w:rsidRDefault="00176B6A" w:rsidP="001E148F">
      <w:pPr>
        <w:pStyle w:val="JuHa0"/>
      </w:pPr>
      <w:r>
        <w:rPr>
          <w:bCs/>
          <w:lang w:val="pl"/>
        </w:rPr>
        <w:t>Skarżący</w:t>
      </w:r>
    </w:p>
    <w:p w14:paraId="74CAE0DA" w14:textId="2FBA8AB4" w:rsidR="00176B6A" w:rsidRPr="006E4F1E" w:rsidRDefault="00176B6A" w:rsidP="001E148F">
      <w:pPr>
        <w:pStyle w:val="JuPara"/>
        <w:rPr>
          <w:lang w:val="pl-PL"/>
        </w:rPr>
      </w:pPr>
      <w:r>
        <w:rPr>
          <w:noProof/>
          <w:lang w:val="pl"/>
        </w:rPr>
        <w:t>26</w:t>
      </w:r>
      <w:r>
        <w:rPr>
          <w:lang w:val="pl"/>
        </w:rPr>
        <w:t>.</w:t>
      </w:r>
      <w:r w:rsidR="00086073">
        <w:rPr>
          <w:lang w:val="pl"/>
        </w:rPr>
        <w:t xml:space="preserve"> </w:t>
      </w:r>
      <w:r>
        <w:rPr>
          <w:lang w:val="pl"/>
        </w:rPr>
        <w:t>Skarżący oświadczył, że fakt, iż władze przez piętnaście lat nie</w:t>
      </w:r>
      <w:r w:rsidR="00F473FD">
        <w:rPr>
          <w:lang w:val="pl"/>
        </w:rPr>
        <w:t> </w:t>
      </w:r>
      <w:r>
        <w:rPr>
          <w:lang w:val="pl"/>
        </w:rPr>
        <w:t>chciały uznać go za bezpaństwowca lub w inny sposób uregulować jego sytuacji, był niedopuszczalny, dyskryminujący i stanowił naruszenie godności ludzkiej.</w:t>
      </w:r>
    </w:p>
    <w:p w14:paraId="26210255" w14:textId="0088BC81" w:rsidR="00176B6A" w:rsidRPr="006E4F1E" w:rsidRDefault="00176B6A" w:rsidP="001E148F">
      <w:pPr>
        <w:pStyle w:val="JuPara"/>
        <w:rPr>
          <w:lang w:val="pl-PL"/>
        </w:rPr>
      </w:pPr>
      <w:r>
        <w:rPr>
          <w:noProof/>
          <w:lang w:val="pl"/>
        </w:rPr>
        <w:lastRenderedPageBreak/>
        <w:t>27</w:t>
      </w:r>
      <w:r>
        <w:rPr>
          <w:lang w:val="pl"/>
        </w:rPr>
        <w:t>.</w:t>
      </w:r>
      <w:r w:rsidR="00086073">
        <w:rPr>
          <w:lang w:val="pl"/>
        </w:rPr>
        <w:t xml:space="preserve"> </w:t>
      </w:r>
      <w:r>
        <w:rPr>
          <w:lang w:val="pl"/>
        </w:rPr>
        <w:t>W szczególności twierdził, że w tym okresie nie miał dostępu do</w:t>
      </w:r>
      <w:r w:rsidR="00F473FD">
        <w:rPr>
          <w:lang w:val="pl"/>
        </w:rPr>
        <w:t> </w:t>
      </w:r>
      <w:r>
        <w:rPr>
          <w:lang w:val="pl"/>
        </w:rPr>
        <w:t>odpowiedniej opieki zdrowotnej, został pozbawiony możliwości samodzielnego utrzymania się i nie mógł poślubić swojej partnerki. Od</w:t>
      </w:r>
      <w:r w:rsidR="00F473FD">
        <w:rPr>
          <w:lang w:val="pl"/>
        </w:rPr>
        <w:t> </w:t>
      </w:r>
      <w:r>
        <w:rPr>
          <w:lang w:val="pl"/>
        </w:rPr>
        <w:t>początku był bezpaństwowcem, jednak przepisy prawa węgierskiego, niezgodne z odpowiednimi przepisami prawa międzynarodowego, przez długi czas uniemożliwiały mu uregulowanie własnej sytuacji.</w:t>
      </w:r>
    </w:p>
    <w:p w14:paraId="5B634986" w14:textId="77777777" w:rsidR="00176B6A" w:rsidRPr="001E148F" w:rsidRDefault="00176B6A" w:rsidP="001E148F">
      <w:pPr>
        <w:pStyle w:val="JuHa0"/>
      </w:pPr>
      <w:r>
        <w:rPr>
          <w:bCs/>
          <w:lang w:val="pl"/>
        </w:rPr>
        <w:t>Rząd</w:t>
      </w:r>
    </w:p>
    <w:p w14:paraId="0B0880EF" w14:textId="328F7DD7" w:rsidR="00176B6A" w:rsidRPr="006E4F1E" w:rsidRDefault="00176B6A" w:rsidP="001E148F">
      <w:pPr>
        <w:pStyle w:val="JuPara"/>
        <w:rPr>
          <w:lang w:val="pl-PL"/>
        </w:rPr>
      </w:pPr>
      <w:r>
        <w:rPr>
          <w:noProof/>
          <w:lang w:val="pl"/>
        </w:rPr>
        <w:t>28</w:t>
      </w:r>
      <w:r>
        <w:rPr>
          <w:lang w:val="pl"/>
        </w:rPr>
        <w:t>.</w:t>
      </w:r>
      <w:r w:rsidR="00086073">
        <w:rPr>
          <w:lang w:val="pl"/>
        </w:rPr>
        <w:t xml:space="preserve"> </w:t>
      </w:r>
      <w:r>
        <w:rPr>
          <w:lang w:val="pl"/>
        </w:rPr>
        <w:t xml:space="preserve">Rząd nie zgodził się [z tym twierdzeniem]. </w:t>
      </w:r>
      <w:r w:rsidR="003439E4">
        <w:rPr>
          <w:lang w:val="pl"/>
        </w:rPr>
        <w:t>O</w:t>
      </w:r>
      <w:r>
        <w:rPr>
          <w:lang w:val="pl"/>
        </w:rPr>
        <w:t>świadczył w</w:t>
      </w:r>
      <w:r w:rsidR="00F473FD">
        <w:rPr>
          <w:lang w:val="pl"/>
        </w:rPr>
        <w:t> </w:t>
      </w:r>
      <w:r>
        <w:rPr>
          <w:lang w:val="pl"/>
        </w:rPr>
        <w:t>szczególności, że sytuacja skarżącego została ostatecznie rozwiązana na</w:t>
      </w:r>
      <w:r w:rsidR="00F473FD">
        <w:rPr>
          <w:lang w:val="pl"/>
        </w:rPr>
        <w:t> </w:t>
      </w:r>
      <w:r>
        <w:rPr>
          <w:lang w:val="pl"/>
        </w:rPr>
        <w:t>mocy orzeczenia Trybunału Konstytucyjnego.</w:t>
      </w:r>
    </w:p>
    <w:p w14:paraId="60470FD6" w14:textId="4AB2CAF5" w:rsidR="00176B6A" w:rsidRPr="006E4F1E" w:rsidRDefault="00176B6A" w:rsidP="001E148F">
      <w:pPr>
        <w:pStyle w:val="JuPara"/>
        <w:rPr>
          <w:lang w:val="pl-PL"/>
        </w:rPr>
      </w:pPr>
      <w:bookmarkStart w:id="20" w:name="para_27"/>
      <w:r>
        <w:rPr>
          <w:noProof/>
          <w:lang w:val="pl"/>
        </w:rPr>
        <w:t>29</w:t>
      </w:r>
      <w:bookmarkEnd w:id="20"/>
      <w:r>
        <w:rPr>
          <w:lang w:val="pl"/>
        </w:rPr>
        <w:t>.</w:t>
      </w:r>
      <w:r w:rsidR="00086073">
        <w:rPr>
          <w:lang w:val="pl"/>
        </w:rPr>
        <w:t xml:space="preserve"> </w:t>
      </w:r>
      <w:r>
        <w:rPr>
          <w:lang w:val="pl"/>
        </w:rPr>
        <w:t>W opinii Rządu, nawet do tego momentu ewentualne trudności, z</w:t>
      </w:r>
      <w:r w:rsidR="00F473FD">
        <w:rPr>
          <w:lang w:val="pl"/>
        </w:rPr>
        <w:t> </w:t>
      </w:r>
      <w:r>
        <w:rPr>
          <w:lang w:val="pl"/>
        </w:rPr>
        <w:t>jakimi skarżący mógł mieć do czynienia, nie były takiego rodzaju ani</w:t>
      </w:r>
      <w:r w:rsidR="00F473FD">
        <w:rPr>
          <w:lang w:val="pl"/>
        </w:rPr>
        <w:t> </w:t>
      </w:r>
      <w:r>
        <w:rPr>
          <w:lang w:val="pl"/>
        </w:rPr>
        <w:t>nie</w:t>
      </w:r>
      <w:r w:rsidR="00F473FD">
        <w:rPr>
          <w:lang w:val="pl"/>
        </w:rPr>
        <w:t> </w:t>
      </w:r>
      <w:r>
        <w:rPr>
          <w:lang w:val="pl"/>
        </w:rPr>
        <w:t xml:space="preserve">osiągnęły takiego stopnia, </w:t>
      </w:r>
      <w:r w:rsidR="005E0D7F">
        <w:rPr>
          <w:lang w:val="pl"/>
        </w:rPr>
        <w:t>by stanowiły</w:t>
      </w:r>
      <w:r>
        <w:rPr>
          <w:lang w:val="pl"/>
        </w:rPr>
        <w:t xml:space="preserve"> nieproporcjonalne obciążenie na gruncie art. 8 Konwencji. Artykułu tego nie można w żadnym razie interpretować jako zobowiązania Układającego się Państwa do</w:t>
      </w:r>
      <w:r w:rsidR="00F473FD">
        <w:rPr>
          <w:lang w:val="pl"/>
        </w:rPr>
        <w:t> </w:t>
      </w:r>
      <w:r>
        <w:rPr>
          <w:lang w:val="pl"/>
        </w:rPr>
        <w:t>przyznania jednostce statusu bezpaństwowca.</w:t>
      </w:r>
    </w:p>
    <w:p w14:paraId="21377BBB" w14:textId="3EADCA4E" w:rsidR="00176B6A" w:rsidRPr="006E4F1E" w:rsidRDefault="00176B6A" w:rsidP="001E148F">
      <w:pPr>
        <w:pStyle w:val="JuPara"/>
        <w:rPr>
          <w:lang w:val="pl-PL"/>
        </w:rPr>
      </w:pPr>
      <w:r>
        <w:rPr>
          <w:noProof/>
          <w:lang w:val="pl"/>
        </w:rPr>
        <w:t>30</w:t>
      </w:r>
      <w:r>
        <w:rPr>
          <w:lang w:val="pl"/>
        </w:rPr>
        <w:t>.</w:t>
      </w:r>
      <w:r w:rsidR="00086073">
        <w:rPr>
          <w:lang w:val="pl"/>
        </w:rPr>
        <w:t xml:space="preserve"> </w:t>
      </w:r>
      <w:r>
        <w:rPr>
          <w:lang w:val="pl"/>
        </w:rPr>
        <w:t>Ponadto Rząd twierdził, że władze prawidłowo zastosowały odpowiednie prawo na wszystkich etapach poszczególnych postępowań i</w:t>
      </w:r>
      <w:r w:rsidR="00F473FD">
        <w:rPr>
          <w:lang w:val="pl"/>
        </w:rPr>
        <w:t> </w:t>
      </w:r>
      <w:r>
        <w:rPr>
          <w:lang w:val="pl"/>
        </w:rPr>
        <w:t>że</w:t>
      </w:r>
      <w:r w:rsidR="00F473FD">
        <w:rPr>
          <w:lang w:val="pl"/>
        </w:rPr>
        <w:t> </w:t>
      </w:r>
      <w:r>
        <w:rPr>
          <w:lang w:val="pl"/>
        </w:rPr>
        <w:t>prawo skarżącego do zawarcia małżeństwa nie zostało ograniczone przez fakt, iż nie posiadał on prawa pobytu w kraju.</w:t>
      </w:r>
    </w:p>
    <w:p w14:paraId="6892797E" w14:textId="77777777" w:rsidR="00176B6A" w:rsidRPr="001E148F" w:rsidRDefault="00176B6A" w:rsidP="001E148F">
      <w:pPr>
        <w:pStyle w:val="JuH1"/>
      </w:pPr>
      <w:r>
        <w:rPr>
          <w:iCs/>
          <w:lang w:val="pl"/>
        </w:rPr>
        <w:t>Ocena Trybunału</w:t>
      </w:r>
    </w:p>
    <w:p w14:paraId="564BB854" w14:textId="77777777" w:rsidR="00176B6A" w:rsidRPr="001E148F" w:rsidRDefault="00176B6A" w:rsidP="001E148F">
      <w:pPr>
        <w:pStyle w:val="JuHa0"/>
      </w:pPr>
      <w:r>
        <w:rPr>
          <w:bCs/>
          <w:lang w:val="pl"/>
        </w:rPr>
        <w:t>Zasady ogólne</w:t>
      </w:r>
    </w:p>
    <w:p w14:paraId="31EB5B63" w14:textId="70F2F22D" w:rsidR="00176B6A" w:rsidRPr="006E4F1E" w:rsidRDefault="00176B6A" w:rsidP="001E148F">
      <w:pPr>
        <w:pStyle w:val="JuPara"/>
        <w:rPr>
          <w:lang w:val="pl-PL"/>
        </w:rPr>
      </w:pPr>
      <w:r>
        <w:rPr>
          <w:noProof/>
          <w:lang w:val="pl"/>
        </w:rPr>
        <w:t>31</w:t>
      </w:r>
      <w:r>
        <w:rPr>
          <w:lang w:val="pl"/>
        </w:rPr>
        <w:t>.</w:t>
      </w:r>
      <w:r w:rsidR="00086073">
        <w:rPr>
          <w:lang w:val="pl"/>
        </w:rPr>
        <w:t xml:space="preserve"> </w:t>
      </w:r>
      <w:r w:rsidR="005E0D7F">
        <w:rPr>
          <w:lang w:val="pl"/>
        </w:rPr>
        <w:t>Z</w:t>
      </w:r>
      <w:r>
        <w:rPr>
          <w:lang w:val="pl"/>
        </w:rPr>
        <w:t xml:space="preserve">asady </w:t>
      </w:r>
      <w:r w:rsidR="005E0D7F">
        <w:rPr>
          <w:lang w:val="pl"/>
        </w:rPr>
        <w:t xml:space="preserve">ogólne </w:t>
      </w:r>
      <w:r>
        <w:rPr>
          <w:lang w:val="pl"/>
        </w:rPr>
        <w:t xml:space="preserve">mające zastosowanie w odniesieniu do niniejszej skargi zostały niedawno przedstawione w skardze </w:t>
      </w:r>
      <w:proofErr w:type="spellStart"/>
      <w:r>
        <w:rPr>
          <w:rStyle w:val="JuParaChar"/>
          <w:i/>
          <w:iCs/>
          <w:lang w:val="pl"/>
        </w:rPr>
        <w:t>Hoti</w:t>
      </w:r>
      <w:proofErr w:type="spellEnd"/>
      <w:r>
        <w:rPr>
          <w:rStyle w:val="JuParaChar"/>
          <w:i/>
          <w:iCs/>
          <w:lang w:val="pl"/>
        </w:rPr>
        <w:t xml:space="preserve"> przeciwko Chorwacji</w:t>
      </w:r>
      <w:r>
        <w:rPr>
          <w:rStyle w:val="JuParaChar"/>
          <w:lang w:val="pl"/>
        </w:rPr>
        <w:t xml:space="preserve"> (nr</w:t>
      </w:r>
      <w:r w:rsidR="00222037">
        <w:rPr>
          <w:rStyle w:val="JuParaChar"/>
          <w:lang w:val="pl"/>
        </w:rPr>
        <w:t> </w:t>
      </w:r>
      <w:r>
        <w:rPr>
          <w:rStyle w:val="JuParaChar"/>
          <w:lang w:val="pl"/>
        </w:rPr>
        <w:t>63311/14,</w:t>
      </w:r>
      <w:r>
        <w:rPr>
          <w:lang w:val="pl"/>
        </w:rPr>
        <w:t xml:space="preserve"> §§ 119-123, 26</w:t>
      </w:r>
      <w:r w:rsidR="00086073">
        <w:rPr>
          <w:lang w:val="pl"/>
        </w:rPr>
        <w:t xml:space="preserve"> </w:t>
      </w:r>
      <w:r>
        <w:rPr>
          <w:lang w:val="pl"/>
        </w:rPr>
        <w:t>kwietnia 2018 r.):</w:t>
      </w:r>
    </w:p>
    <w:p w14:paraId="2D1DBBE2" w14:textId="47421F96" w:rsidR="00176B6A" w:rsidRPr="006E4F1E" w:rsidRDefault="00176B6A" w:rsidP="001E148F">
      <w:pPr>
        <w:pStyle w:val="JuQuot"/>
        <w:rPr>
          <w:lang w:val="pl-PL"/>
        </w:rPr>
      </w:pPr>
      <w:r>
        <w:rPr>
          <w:lang w:val="pl"/>
        </w:rPr>
        <w:t>„119.</w:t>
      </w:r>
      <w:r w:rsidR="00086073">
        <w:rPr>
          <w:lang w:val="pl"/>
        </w:rPr>
        <w:t xml:space="preserve"> </w:t>
      </w:r>
      <w:r>
        <w:rPr>
          <w:lang w:val="pl"/>
        </w:rPr>
        <w:t>Na wstępie Trybunał przypomina, że art</w:t>
      </w:r>
      <w:r w:rsidR="006E4F1E">
        <w:rPr>
          <w:lang w:val="pl"/>
        </w:rPr>
        <w:t>.</w:t>
      </w:r>
      <w:r>
        <w:rPr>
          <w:lang w:val="pl"/>
        </w:rPr>
        <w:t xml:space="preserve"> 8 chroni, między innymi, prawo do</w:t>
      </w:r>
      <w:r w:rsidR="00F473FD">
        <w:rPr>
          <w:lang w:val="pl"/>
        </w:rPr>
        <w:t> </w:t>
      </w:r>
      <w:r>
        <w:rPr>
          <w:lang w:val="pl"/>
        </w:rPr>
        <w:t xml:space="preserve">nawiązywania i pogłębiania relacji z innymi ludźmi oraz ze światem zewnętrznym i może niekiedy obejmować aspekty tożsamości społecznej jednostki. A zatem całość więzi społecznych między migrantem a społecznością, w której mieszka, stanowi część pojęcia życia prywatnego zgodnie z art. 8 (zob. </w:t>
      </w:r>
      <w:r>
        <w:rPr>
          <w:i/>
          <w:iCs/>
          <w:lang w:val="pl"/>
        </w:rPr>
        <w:t>mutatis mutandis</w:t>
      </w:r>
      <w:r>
        <w:rPr>
          <w:lang w:val="pl"/>
        </w:rPr>
        <w:t xml:space="preserve">, </w:t>
      </w:r>
      <w:proofErr w:type="spellStart"/>
      <w:r>
        <w:rPr>
          <w:i/>
          <w:iCs/>
          <w:lang w:val="pl"/>
        </w:rPr>
        <w:t>Maslov</w:t>
      </w:r>
      <w:proofErr w:type="spellEnd"/>
      <w:r>
        <w:rPr>
          <w:i/>
          <w:iCs/>
          <w:lang w:val="pl"/>
        </w:rPr>
        <w:t xml:space="preserve"> przeciwko Austrii</w:t>
      </w:r>
      <w:r>
        <w:rPr>
          <w:lang w:val="pl"/>
        </w:rPr>
        <w:t xml:space="preserve"> [</w:t>
      </w:r>
      <w:proofErr w:type="spellStart"/>
      <w:r>
        <w:rPr>
          <w:lang w:val="pl"/>
        </w:rPr>
        <w:t>WI</w:t>
      </w:r>
      <w:proofErr w:type="spellEnd"/>
      <w:r>
        <w:rPr>
          <w:lang w:val="pl"/>
        </w:rPr>
        <w:t xml:space="preserve">], nr 1638/03, </w:t>
      </w:r>
      <w:r w:rsidR="006E4F1E">
        <w:rPr>
          <w:lang w:val="pl"/>
        </w:rPr>
        <w:t>p</w:t>
      </w:r>
      <w:r>
        <w:rPr>
          <w:lang w:val="pl"/>
        </w:rPr>
        <w:t xml:space="preserve"> 63, </w:t>
      </w:r>
      <w:r w:rsidR="00CF641A">
        <w:rPr>
          <w:lang w:val="pl"/>
        </w:rPr>
        <w:t>ETPC</w:t>
      </w:r>
      <w:r>
        <w:rPr>
          <w:lang w:val="pl"/>
        </w:rPr>
        <w:t xml:space="preserve"> 2008 r., oraz </w:t>
      </w:r>
      <w:proofErr w:type="spellStart"/>
      <w:r>
        <w:rPr>
          <w:i/>
          <w:iCs/>
          <w:lang w:val="pl"/>
        </w:rPr>
        <w:t>Abuhmaid</w:t>
      </w:r>
      <w:proofErr w:type="spellEnd"/>
      <w:r>
        <w:rPr>
          <w:i/>
          <w:iCs/>
          <w:lang w:val="pl"/>
        </w:rPr>
        <w:t xml:space="preserve"> </w:t>
      </w:r>
      <w:r>
        <w:rPr>
          <w:lang w:val="pl"/>
        </w:rPr>
        <w:t>[</w:t>
      </w:r>
      <w:r>
        <w:rPr>
          <w:i/>
          <w:iCs/>
          <w:lang w:val="pl"/>
        </w:rPr>
        <w:t>przeciwko Ukrainie</w:t>
      </w:r>
      <w:r>
        <w:rPr>
          <w:lang w:val="pl"/>
        </w:rPr>
        <w:t>, nr</w:t>
      </w:r>
      <w:r w:rsidR="00222037">
        <w:rPr>
          <w:lang w:val="pl"/>
        </w:rPr>
        <w:t> </w:t>
      </w:r>
      <w:r>
        <w:rPr>
          <w:lang w:val="pl"/>
        </w:rPr>
        <w:t>31183/13, § 102, 12 stycznia 2017 r.]).</w:t>
      </w:r>
    </w:p>
    <w:p w14:paraId="68BD9B8D" w14:textId="577A7F64" w:rsidR="00176B6A" w:rsidRPr="006E4F1E" w:rsidRDefault="0062693A" w:rsidP="005E0D7F">
      <w:pPr>
        <w:pStyle w:val="JuQuot"/>
        <w:rPr>
          <w:lang w:val="pl-PL"/>
        </w:rPr>
      </w:pPr>
      <w:r>
        <w:rPr>
          <w:lang w:val="pl"/>
        </w:rPr>
        <w:t>120.</w:t>
      </w:r>
      <w:r w:rsidR="00086073">
        <w:rPr>
          <w:lang w:val="pl"/>
        </w:rPr>
        <w:t xml:space="preserve"> </w:t>
      </w:r>
      <w:r>
        <w:rPr>
          <w:lang w:val="pl"/>
        </w:rPr>
        <w:t>Niemniej jednak, zgodnie z orzecznictwem Trybunału, Konwencja nie</w:t>
      </w:r>
      <w:r w:rsidR="00F473FD">
        <w:rPr>
          <w:lang w:val="pl"/>
        </w:rPr>
        <w:t> </w:t>
      </w:r>
      <w:r>
        <w:rPr>
          <w:lang w:val="pl"/>
        </w:rPr>
        <w:t>gwarantuje cudzoziemcowi prawa do wjazdu lub pobytu w danym kraju, a</w:t>
      </w:r>
      <w:r w:rsidR="00F473FD">
        <w:rPr>
          <w:lang w:val="pl"/>
        </w:rPr>
        <w:t> </w:t>
      </w:r>
      <w:r>
        <w:rPr>
          <w:lang w:val="pl"/>
        </w:rPr>
        <w:t>Układającym się Państwom przysługuje prawo, na mocy ugruntowanego prawa międzynarodowego i z zastrzeżeniem ich zobowiązań traktatowych, w tym Konwencji, do kontrolowania wjazdu, pobytu i wydalania cudzoziemców (zob.</w:t>
      </w:r>
      <w:r w:rsidR="00F473FD">
        <w:rPr>
          <w:lang w:val="pl"/>
        </w:rPr>
        <w:t> </w:t>
      </w:r>
      <w:r>
        <w:rPr>
          <w:lang w:val="pl"/>
        </w:rPr>
        <w:t xml:space="preserve">między innymi </w:t>
      </w:r>
      <w:proofErr w:type="spellStart"/>
      <w:r>
        <w:rPr>
          <w:i/>
          <w:iCs/>
          <w:lang w:val="pl"/>
        </w:rPr>
        <w:t>Chahal</w:t>
      </w:r>
      <w:proofErr w:type="spellEnd"/>
      <w:r>
        <w:rPr>
          <w:i/>
          <w:iCs/>
          <w:lang w:val="pl"/>
        </w:rPr>
        <w:t xml:space="preserve"> przeciwko Zjednoczonemu Królestwu</w:t>
      </w:r>
      <w:r>
        <w:rPr>
          <w:lang w:val="pl"/>
        </w:rPr>
        <w:t>, 15 listopada 1996</w:t>
      </w:r>
      <w:r w:rsidR="00F473FD">
        <w:rPr>
          <w:lang w:val="pl"/>
        </w:rPr>
        <w:t> </w:t>
      </w:r>
      <w:r>
        <w:rPr>
          <w:lang w:val="pl"/>
        </w:rPr>
        <w:t xml:space="preserve">r., § 73, </w:t>
      </w:r>
      <w:r>
        <w:rPr>
          <w:i/>
          <w:iCs/>
          <w:lang w:val="pl"/>
        </w:rPr>
        <w:t>Sprawozdania z Wyroków i Decyzji</w:t>
      </w:r>
      <w:r>
        <w:rPr>
          <w:lang w:val="pl"/>
        </w:rPr>
        <w:t xml:space="preserve"> 1996 r.</w:t>
      </w:r>
      <w:r>
        <w:rPr>
          <w:rFonts w:ascii="MS Mincho" w:hAnsi="MS Mincho"/>
          <w:lang w:val="pl"/>
        </w:rPr>
        <w:noBreakHyphen/>
      </w:r>
      <w:r>
        <w:rPr>
          <w:lang w:val="pl"/>
        </w:rPr>
        <w:t xml:space="preserve">V; </w:t>
      </w:r>
      <w:proofErr w:type="spellStart"/>
      <w:r>
        <w:rPr>
          <w:i/>
          <w:iCs/>
          <w:lang w:val="pl"/>
        </w:rPr>
        <w:t>Üner</w:t>
      </w:r>
      <w:proofErr w:type="spellEnd"/>
      <w:r>
        <w:rPr>
          <w:lang w:val="pl"/>
        </w:rPr>
        <w:t xml:space="preserve"> [</w:t>
      </w:r>
      <w:r>
        <w:rPr>
          <w:i/>
          <w:iCs/>
          <w:lang w:val="pl"/>
        </w:rPr>
        <w:t>przeciwko Niderlandom</w:t>
      </w:r>
      <w:r>
        <w:rPr>
          <w:lang w:val="pl"/>
        </w:rPr>
        <w:t xml:space="preserve"> [</w:t>
      </w:r>
      <w:proofErr w:type="spellStart"/>
      <w:r>
        <w:rPr>
          <w:lang w:val="pl"/>
        </w:rPr>
        <w:t>WI</w:t>
      </w:r>
      <w:proofErr w:type="spellEnd"/>
      <w:r>
        <w:rPr>
          <w:lang w:val="pl"/>
        </w:rPr>
        <w:t xml:space="preserve">], nr 46410/99, </w:t>
      </w:r>
      <w:r>
        <w:rPr>
          <w:rFonts w:ascii="Times New Roman" w:hAnsi="Times New Roman"/>
          <w:lang w:val="pl"/>
        </w:rPr>
        <w:t>§</w:t>
      </w:r>
      <w:r w:rsidR="00222037">
        <w:rPr>
          <w:lang w:val="pl"/>
        </w:rPr>
        <w:t> </w:t>
      </w:r>
      <w:r>
        <w:rPr>
          <w:lang w:val="pl"/>
        </w:rPr>
        <w:t xml:space="preserve">54, </w:t>
      </w:r>
      <w:r w:rsidR="00CF641A">
        <w:rPr>
          <w:lang w:val="pl"/>
        </w:rPr>
        <w:t>ETPC</w:t>
      </w:r>
      <w:r>
        <w:rPr>
          <w:lang w:val="pl"/>
        </w:rPr>
        <w:t xml:space="preserve"> 2006</w:t>
      </w:r>
      <w:r>
        <w:rPr>
          <w:rFonts w:ascii="MS Mincho" w:hAnsi="MS Mincho"/>
          <w:lang w:val="pl"/>
        </w:rPr>
        <w:noBreakHyphen/>
      </w:r>
      <w:r>
        <w:rPr>
          <w:lang w:val="pl"/>
        </w:rPr>
        <w:t xml:space="preserve">XII]; </w:t>
      </w:r>
      <w:proofErr w:type="spellStart"/>
      <w:r>
        <w:rPr>
          <w:i/>
          <w:iCs/>
          <w:lang w:val="pl"/>
        </w:rPr>
        <w:t>Slivenko</w:t>
      </w:r>
      <w:proofErr w:type="spellEnd"/>
      <w:r>
        <w:rPr>
          <w:i/>
          <w:iCs/>
          <w:lang w:val="pl"/>
        </w:rPr>
        <w:t xml:space="preserve"> </w:t>
      </w:r>
      <w:r>
        <w:rPr>
          <w:lang w:val="pl"/>
        </w:rPr>
        <w:t>[</w:t>
      </w:r>
      <w:r>
        <w:rPr>
          <w:i/>
          <w:iCs/>
          <w:lang w:val="pl"/>
        </w:rPr>
        <w:t>przeciwko Łotwie</w:t>
      </w:r>
      <w:r>
        <w:rPr>
          <w:lang w:val="pl"/>
        </w:rPr>
        <w:t xml:space="preserve"> [</w:t>
      </w:r>
      <w:proofErr w:type="spellStart"/>
      <w:r>
        <w:rPr>
          <w:lang w:val="pl"/>
        </w:rPr>
        <w:t>WI</w:t>
      </w:r>
      <w:proofErr w:type="spellEnd"/>
      <w:r>
        <w:rPr>
          <w:lang w:val="pl"/>
        </w:rPr>
        <w:t xml:space="preserve">], nr 48321/99, § 115, </w:t>
      </w:r>
      <w:r w:rsidR="00CF641A">
        <w:rPr>
          <w:lang w:val="pl"/>
        </w:rPr>
        <w:t>ETPC</w:t>
      </w:r>
      <w:r>
        <w:rPr>
          <w:lang w:val="pl"/>
        </w:rPr>
        <w:t xml:space="preserve"> 2003</w:t>
      </w:r>
      <w:r>
        <w:rPr>
          <w:lang w:val="pl"/>
        </w:rPr>
        <w:noBreakHyphen/>
        <w:t xml:space="preserve">X]; </w:t>
      </w:r>
      <w:proofErr w:type="spellStart"/>
      <w:r>
        <w:rPr>
          <w:i/>
          <w:iCs/>
          <w:lang w:val="pl"/>
        </w:rPr>
        <w:t>Kurić</w:t>
      </w:r>
      <w:proofErr w:type="spellEnd"/>
      <w:r>
        <w:rPr>
          <w:i/>
          <w:iCs/>
          <w:lang w:val="pl"/>
        </w:rPr>
        <w:t xml:space="preserve"> i Inni </w:t>
      </w:r>
      <w:r>
        <w:rPr>
          <w:lang w:val="pl"/>
        </w:rPr>
        <w:t>[przeciwko Słowenii [</w:t>
      </w:r>
      <w:proofErr w:type="spellStart"/>
      <w:r>
        <w:rPr>
          <w:lang w:val="pl"/>
        </w:rPr>
        <w:t>WI</w:t>
      </w:r>
      <w:proofErr w:type="spellEnd"/>
      <w:r>
        <w:rPr>
          <w:lang w:val="pl"/>
        </w:rPr>
        <w:t>], nr</w:t>
      </w:r>
      <w:r w:rsidR="00F473FD">
        <w:rPr>
          <w:lang w:val="pl"/>
        </w:rPr>
        <w:t> </w:t>
      </w:r>
      <w:r>
        <w:rPr>
          <w:lang w:val="pl"/>
        </w:rPr>
        <w:t xml:space="preserve">26828/06, § 355, </w:t>
      </w:r>
      <w:r w:rsidR="00CF641A">
        <w:rPr>
          <w:lang w:val="pl"/>
        </w:rPr>
        <w:t>ETPC</w:t>
      </w:r>
      <w:r>
        <w:rPr>
          <w:lang w:val="pl"/>
        </w:rPr>
        <w:t xml:space="preserve"> 2012 r. </w:t>
      </w:r>
      <w:r w:rsidR="00504429">
        <w:rPr>
          <w:lang w:val="pl"/>
        </w:rPr>
        <w:t>(fragmenty</w:t>
      </w:r>
      <w:r>
        <w:rPr>
          <w:lang w:val="pl"/>
        </w:rPr>
        <w:t xml:space="preserve">)] i </w:t>
      </w:r>
      <w:proofErr w:type="spellStart"/>
      <w:r>
        <w:rPr>
          <w:i/>
          <w:iCs/>
          <w:lang w:val="pl"/>
        </w:rPr>
        <w:t>Abuhmaid</w:t>
      </w:r>
      <w:proofErr w:type="spellEnd"/>
      <w:r>
        <w:rPr>
          <w:lang w:val="pl"/>
        </w:rPr>
        <w:t xml:space="preserve">, cyt. powyżej, </w:t>
      </w:r>
      <w:r>
        <w:rPr>
          <w:rFonts w:ascii="Times New Roman" w:hAnsi="Times New Roman"/>
          <w:lang w:val="pl"/>
        </w:rPr>
        <w:t>§</w:t>
      </w:r>
      <w:r w:rsidR="00086073">
        <w:rPr>
          <w:rFonts w:ascii="Times New Roman" w:hAnsi="Times New Roman"/>
          <w:lang w:val="pl"/>
        </w:rPr>
        <w:t xml:space="preserve"> </w:t>
      </w:r>
      <w:r>
        <w:rPr>
          <w:lang w:val="pl"/>
        </w:rPr>
        <w:t>101).</w:t>
      </w:r>
    </w:p>
    <w:p w14:paraId="4D0550E1" w14:textId="4B538F7C" w:rsidR="00176B6A" w:rsidRPr="006E4F1E" w:rsidRDefault="0062693A" w:rsidP="001E148F">
      <w:pPr>
        <w:pStyle w:val="JuQuot"/>
        <w:rPr>
          <w:lang w:val="pl-PL"/>
        </w:rPr>
      </w:pPr>
      <w:r>
        <w:rPr>
          <w:lang w:val="pl"/>
        </w:rPr>
        <w:lastRenderedPageBreak/>
        <w:t>121.</w:t>
      </w:r>
      <w:r w:rsidR="00086073">
        <w:rPr>
          <w:lang w:val="pl"/>
        </w:rPr>
        <w:t xml:space="preserve"> </w:t>
      </w:r>
      <w:r>
        <w:rPr>
          <w:lang w:val="pl"/>
        </w:rPr>
        <w:t>Ponadto, ani art. 8, ani jakikolwiek inny przepis Konwencji nie może być interpretowany jako gwarantujący, sam w sobie, prawo do przyznania określonego rodzaju dokumentu pobytowego, pod warunkiem że rozwiązanie zaproponowane przez władze pozwala danej osobie na korzystanie bez przeszkód z jej prawa do</w:t>
      </w:r>
      <w:r w:rsidR="00F473FD">
        <w:rPr>
          <w:lang w:val="pl"/>
        </w:rPr>
        <w:t> </w:t>
      </w:r>
      <w:r>
        <w:rPr>
          <w:lang w:val="pl"/>
        </w:rPr>
        <w:t xml:space="preserve">poszanowania życia prywatnego i/lub rodzinnego (zob. </w:t>
      </w:r>
      <w:proofErr w:type="spellStart"/>
      <w:r>
        <w:rPr>
          <w:i/>
          <w:iCs/>
          <w:lang w:val="pl"/>
        </w:rPr>
        <w:t>Aristimuño</w:t>
      </w:r>
      <w:proofErr w:type="spellEnd"/>
      <w:r>
        <w:rPr>
          <w:i/>
          <w:iCs/>
          <w:lang w:val="pl"/>
        </w:rPr>
        <w:t xml:space="preserve"> </w:t>
      </w:r>
      <w:proofErr w:type="spellStart"/>
      <w:r>
        <w:rPr>
          <w:i/>
          <w:iCs/>
          <w:lang w:val="pl"/>
        </w:rPr>
        <w:t>Mendizabal</w:t>
      </w:r>
      <w:proofErr w:type="spellEnd"/>
      <w:r>
        <w:rPr>
          <w:i/>
          <w:iCs/>
          <w:lang w:val="pl"/>
        </w:rPr>
        <w:t xml:space="preserve"> przeciwko Francji</w:t>
      </w:r>
      <w:r>
        <w:rPr>
          <w:lang w:val="pl"/>
        </w:rPr>
        <w:t xml:space="preserve">, nr 51431/99, § 66, 17 stycznia 2006 r., oraz </w:t>
      </w:r>
      <w:proofErr w:type="spellStart"/>
      <w:r>
        <w:rPr>
          <w:i/>
          <w:iCs/>
          <w:lang w:val="pl"/>
        </w:rPr>
        <w:t>B.A.C</w:t>
      </w:r>
      <w:proofErr w:type="spellEnd"/>
      <w:r>
        <w:rPr>
          <w:i/>
          <w:iCs/>
          <w:lang w:val="pl"/>
        </w:rPr>
        <w:t>. przeciwko Grecji</w:t>
      </w:r>
      <w:r>
        <w:rPr>
          <w:lang w:val="pl"/>
        </w:rPr>
        <w:t xml:space="preserve"> [nr 11981/15, § 35, 13 października 2016 r.]). W szczególności, jeżeli dokument pobytowy umożliwia jego posiadaczowi zamieszkiwanie na terytorium państwa przyjmującego i swobodne korzystanie z prawa do poszanowania życia prywatnego i</w:t>
      </w:r>
      <w:r w:rsidR="00222037">
        <w:rPr>
          <w:lang w:val="pl"/>
        </w:rPr>
        <w:t> </w:t>
      </w:r>
      <w:r>
        <w:rPr>
          <w:lang w:val="pl"/>
        </w:rPr>
        <w:t xml:space="preserve">rodzinnego, przyznanie takiego dokumentu stanowi w zasadzie środek wystarczający do spełnienia wymogów określonych w art. 8. W takich sprawach Trybunał nie jest uprawniony do orzekania, czy danej jednostce należy przyznać taki, a nie inny status prawny, ponieważ wybór ten leży wyłącznie w gestii władz krajowych (zob. </w:t>
      </w:r>
      <w:r>
        <w:rPr>
          <w:i/>
          <w:iCs/>
          <w:lang w:val="pl"/>
        </w:rPr>
        <w:t>Ramadan przeciwko Malcie</w:t>
      </w:r>
      <w:r>
        <w:rPr>
          <w:lang w:val="pl"/>
        </w:rPr>
        <w:t xml:space="preserve">, nr 76136/12, § 91, </w:t>
      </w:r>
      <w:r w:rsidR="00CF641A">
        <w:rPr>
          <w:lang w:val="pl"/>
        </w:rPr>
        <w:t>ETPC</w:t>
      </w:r>
      <w:r>
        <w:rPr>
          <w:lang w:val="pl"/>
        </w:rPr>
        <w:t xml:space="preserve"> 2016 r. (</w:t>
      </w:r>
      <w:r w:rsidR="00504429">
        <w:rPr>
          <w:lang w:val="pl"/>
        </w:rPr>
        <w:t>fragmenty</w:t>
      </w:r>
      <w:r>
        <w:rPr>
          <w:lang w:val="pl"/>
        </w:rPr>
        <w:t>) i sprawy cytowane tamże).</w:t>
      </w:r>
    </w:p>
    <w:p w14:paraId="5FFCADB7" w14:textId="488FF547" w:rsidR="00176B6A" w:rsidRPr="006E4F1E" w:rsidRDefault="0062693A" w:rsidP="001E148F">
      <w:pPr>
        <w:pStyle w:val="JuQuot"/>
        <w:rPr>
          <w:lang w:val="pl-PL"/>
        </w:rPr>
      </w:pPr>
      <w:r>
        <w:rPr>
          <w:lang w:val="pl"/>
        </w:rPr>
        <w:t>122.</w:t>
      </w:r>
      <w:r w:rsidR="00086073">
        <w:rPr>
          <w:lang w:val="pl"/>
        </w:rPr>
        <w:t xml:space="preserve"> </w:t>
      </w:r>
      <w:r>
        <w:rPr>
          <w:lang w:val="pl"/>
        </w:rPr>
        <w:t>Trybunał przypomina jednak, że środki ograniczające prawo pobytu w kraju mogą, w pewnych przypadkach, pociągać za sobą naruszenie art. 8 Konwencji, jeśli wywołują nieproporcjonalne reperkusje w życiu prywatnym lub rodzinnym, lub</w:t>
      </w:r>
      <w:r w:rsidR="00F473FD">
        <w:rPr>
          <w:lang w:val="pl"/>
        </w:rPr>
        <w:t> </w:t>
      </w:r>
      <w:r>
        <w:rPr>
          <w:lang w:val="pl"/>
        </w:rPr>
        <w:t>w</w:t>
      </w:r>
      <w:r w:rsidR="00F473FD">
        <w:rPr>
          <w:lang w:val="pl"/>
        </w:rPr>
        <w:t> </w:t>
      </w:r>
      <w:r>
        <w:rPr>
          <w:lang w:val="pl"/>
        </w:rPr>
        <w:t xml:space="preserve">obu tych sferach, osób, których dotyczą (zob. </w:t>
      </w:r>
      <w:proofErr w:type="spellStart"/>
      <w:r>
        <w:rPr>
          <w:i/>
          <w:iCs/>
          <w:lang w:val="pl"/>
        </w:rPr>
        <w:t>Maslov</w:t>
      </w:r>
      <w:proofErr w:type="spellEnd"/>
      <w:r>
        <w:rPr>
          <w:lang w:val="pl"/>
        </w:rPr>
        <w:t>, cyt. powyżej, § 100, oraz</w:t>
      </w:r>
      <w:r w:rsidR="00F473FD">
        <w:rPr>
          <w:lang w:val="pl"/>
        </w:rPr>
        <w:t> </w:t>
      </w:r>
      <w:proofErr w:type="spellStart"/>
      <w:r>
        <w:rPr>
          <w:i/>
          <w:iCs/>
          <w:lang w:val="pl"/>
        </w:rPr>
        <w:t>Kurić</w:t>
      </w:r>
      <w:proofErr w:type="spellEnd"/>
      <w:r>
        <w:rPr>
          <w:i/>
          <w:iCs/>
          <w:lang w:val="pl"/>
        </w:rPr>
        <w:t xml:space="preserve"> i Inni</w:t>
      </w:r>
      <w:r>
        <w:rPr>
          <w:lang w:val="pl"/>
        </w:rPr>
        <w:t>, cyt. powyżej, § 355). Ponadto Trybunał orzekł, że w niektórych sprawach (...) art</w:t>
      </w:r>
      <w:r w:rsidR="006E4F1E">
        <w:rPr>
          <w:lang w:val="pl"/>
        </w:rPr>
        <w:t>.</w:t>
      </w:r>
      <w:r>
        <w:rPr>
          <w:lang w:val="pl"/>
        </w:rPr>
        <w:t xml:space="preserve"> 8 może wiązać się z pozytywnym obowiązkiem zapewnienia skutecznego korzystania z</w:t>
      </w:r>
      <w:r w:rsidR="00222037">
        <w:rPr>
          <w:lang w:val="pl"/>
        </w:rPr>
        <w:t> </w:t>
      </w:r>
      <w:r>
        <w:rPr>
          <w:lang w:val="pl"/>
        </w:rPr>
        <w:t>życia prywatnego i/lub rodzinnego skarżącego (zob.</w:t>
      </w:r>
      <w:r w:rsidR="00F473FD">
        <w:rPr>
          <w:lang w:val="pl"/>
        </w:rPr>
        <w:t> </w:t>
      </w:r>
      <w:r w:rsidR="006E4F1E">
        <w:rPr>
          <w:lang w:val="pl"/>
        </w:rPr>
        <w:t>paragraf</w:t>
      </w:r>
      <w:r>
        <w:rPr>
          <w:lang w:val="pl"/>
        </w:rPr>
        <w:t xml:space="preserve"> 119-120 powyżej). Z</w:t>
      </w:r>
      <w:r w:rsidR="00222037">
        <w:rPr>
          <w:lang w:val="pl"/>
        </w:rPr>
        <w:t> </w:t>
      </w:r>
      <w:r>
        <w:rPr>
          <w:lang w:val="pl"/>
        </w:rPr>
        <w:t xml:space="preserve">tego względu warto przypomnieć, że trudno jest precyzyjnie określić granice między pozytywnymi i negatywnymi obowiązkami </w:t>
      </w:r>
      <w:r w:rsidR="00C60EBA">
        <w:rPr>
          <w:lang w:val="pl"/>
        </w:rPr>
        <w:t xml:space="preserve">państwa </w:t>
      </w:r>
      <w:r>
        <w:rPr>
          <w:lang w:val="pl"/>
        </w:rPr>
        <w:t>wynikającymi z art. 8. Niemniej jednak obowiązujące zasady są zbliżone. W</w:t>
      </w:r>
      <w:r w:rsidR="00F473FD">
        <w:rPr>
          <w:lang w:val="pl"/>
        </w:rPr>
        <w:t> </w:t>
      </w:r>
      <w:r>
        <w:rPr>
          <w:lang w:val="pl"/>
        </w:rPr>
        <w:t>obu przypadkach należy mieć na względzie sprawiedliwą równowagę, jaką trzeba zachować między interesem ogólnym a</w:t>
      </w:r>
      <w:r w:rsidR="00222037">
        <w:rPr>
          <w:lang w:val="pl"/>
        </w:rPr>
        <w:t> </w:t>
      </w:r>
      <w:r>
        <w:rPr>
          <w:lang w:val="pl"/>
        </w:rPr>
        <w:t xml:space="preserve">interesami jednostki; przy czym w obu kontekstach </w:t>
      </w:r>
      <w:r w:rsidR="00C60EBA">
        <w:rPr>
          <w:lang w:val="pl"/>
        </w:rPr>
        <w:t xml:space="preserve">państwo </w:t>
      </w:r>
      <w:r>
        <w:rPr>
          <w:lang w:val="pl"/>
        </w:rPr>
        <w:t xml:space="preserve">korzysta z pewnego marginesu oceny (zob. między innymi </w:t>
      </w:r>
      <w:proofErr w:type="spellStart"/>
      <w:r>
        <w:rPr>
          <w:i/>
          <w:iCs/>
          <w:lang w:val="pl"/>
        </w:rPr>
        <w:t>Fernández</w:t>
      </w:r>
      <w:proofErr w:type="spellEnd"/>
      <w:r>
        <w:rPr>
          <w:i/>
          <w:iCs/>
          <w:lang w:val="pl"/>
        </w:rPr>
        <w:t xml:space="preserve"> </w:t>
      </w:r>
      <w:proofErr w:type="spellStart"/>
      <w:r>
        <w:rPr>
          <w:i/>
          <w:iCs/>
          <w:lang w:val="pl"/>
        </w:rPr>
        <w:t>Martínez</w:t>
      </w:r>
      <w:proofErr w:type="spellEnd"/>
      <w:r>
        <w:rPr>
          <w:i/>
          <w:iCs/>
          <w:lang w:val="pl"/>
        </w:rPr>
        <w:t xml:space="preserve"> przeciwko Hiszpanii</w:t>
      </w:r>
      <w:r>
        <w:rPr>
          <w:lang w:val="pl"/>
        </w:rPr>
        <w:t xml:space="preserve"> [</w:t>
      </w:r>
      <w:proofErr w:type="spellStart"/>
      <w:r>
        <w:rPr>
          <w:lang w:val="pl"/>
        </w:rPr>
        <w:t>WI</w:t>
      </w:r>
      <w:proofErr w:type="spellEnd"/>
      <w:r>
        <w:rPr>
          <w:lang w:val="pl"/>
        </w:rPr>
        <w:t>], nr</w:t>
      </w:r>
      <w:r w:rsidR="00086073">
        <w:rPr>
          <w:lang w:val="pl"/>
        </w:rPr>
        <w:t xml:space="preserve"> </w:t>
      </w:r>
      <w:r>
        <w:rPr>
          <w:lang w:val="pl"/>
        </w:rPr>
        <w:t xml:space="preserve">56030/07, § 114, </w:t>
      </w:r>
      <w:r w:rsidR="00CF641A">
        <w:rPr>
          <w:lang w:val="pl"/>
        </w:rPr>
        <w:t>ETPC</w:t>
      </w:r>
      <w:r>
        <w:rPr>
          <w:lang w:val="pl"/>
        </w:rPr>
        <w:t xml:space="preserve"> 2014 r. (</w:t>
      </w:r>
      <w:r w:rsidR="00504429">
        <w:rPr>
          <w:lang w:val="pl"/>
        </w:rPr>
        <w:t>fragmenty</w:t>
      </w:r>
      <w:r>
        <w:rPr>
          <w:lang w:val="pl"/>
        </w:rPr>
        <w:t xml:space="preserve">), oraz </w:t>
      </w:r>
      <w:proofErr w:type="spellStart"/>
      <w:r>
        <w:rPr>
          <w:i/>
          <w:iCs/>
          <w:lang w:val="pl"/>
        </w:rPr>
        <w:t>B.A.C</w:t>
      </w:r>
      <w:proofErr w:type="spellEnd"/>
      <w:r>
        <w:rPr>
          <w:i/>
          <w:iCs/>
          <w:lang w:val="pl"/>
        </w:rPr>
        <w:t>. przeciwko Grecji</w:t>
      </w:r>
      <w:r>
        <w:rPr>
          <w:lang w:val="pl"/>
        </w:rPr>
        <w:t>, cyt.</w:t>
      </w:r>
      <w:r w:rsidR="00222037">
        <w:rPr>
          <w:lang w:val="pl"/>
        </w:rPr>
        <w:t> </w:t>
      </w:r>
      <w:r>
        <w:rPr>
          <w:lang w:val="pl"/>
        </w:rPr>
        <w:t>powyżej, § 36).</w:t>
      </w:r>
    </w:p>
    <w:p w14:paraId="7BA1277C" w14:textId="2EF6684C" w:rsidR="00176B6A" w:rsidRPr="001E148F" w:rsidRDefault="0062693A" w:rsidP="001E148F">
      <w:pPr>
        <w:pStyle w:val="JuQuot"/>
      </w:pPr>
      <w:r>
        <w:rPr>
          <w:lang w:val="pl"/>
        </w:rPr>
        <w:t>123.</w:t>
      </w:r>
      <w:r w:rsidR="00086073">
        <w:rPr>
          <w:lang w:val="pl"/>
        </w:rPr>
        <w:t xml:space="preserve"> </w:t>
      </w:r>
      <w:r>
        <w:rPr>
          <w:lang w:val="pl"/>
        </w:rPr>
        <w:t xml:space="preserve">Pozytywny obowiązek wynikający z art. 8 można interpretować jako nałożenie na państwa obowiązku zapewnienia skutecznych i dostępnych środków ochrony prawa do poszanowania życia prywatnego i/lub rodzinnego (zob. </w:t>
      </w:r>
      <w:r>
        <w:rPr>
          <w:i/>
          <w:iCs/>
          <w:lang w:val="pl"/>
        </w:rPr>
        <w:t>Roche przeciwko Zjednoczonemu Królestwu</w:t>
      </w:r>
      <w:r>
        <w:rPr>
          <w:lang w:val="pl"/>
        </w:rPr>
        <w:t xml:space="preserve"> [</w:t>
      </w:r>
      <w:proofErr w:type="spellStart"/>
      <w:r>
        <w:rPr>
          <w:lang w:val="pl"/>
        </w:rPr>
        <w:t>WI</w:t>
      </w:r>
      <w:proofErr w:type="spellEnd"/>
      <w:r>
        <w:rPr>
          <w:lang w:val="pl"/>
        </w:rPr>
        <w:t>], nr</w:t>
      </w:r>
      <w:r w:rsidR="00086073">
        <w:rPr>
          <w:lang w:val="pl"/>
        </w:rPr>
        <w:t xml:space="preserve"> </w:t>
      </w:r>
      <w:r>
        <w:rPr>
          <w:lang w:val="pl"/>
        </w:rPr>
        <w:t xml:space="preserve">32555/96, § 162, </w:t>
      </w:r>
      <w:r w:rsidR="00CF641A">
        <w:rPr>
          <w:lang w:val="pl"/>
        </w:rPr>
        <w:t>ETPC</w:t>
      </w:r>
      <w:r>
        <w:rPr>
          <w:lang w:val="pl"/>
        </w:rPr>
        <w:t xml:space="preserve"> 2005</w:t>
      </w:r>
      <w:r>
        <w:rPr>
          <w:rFonts w:ascii="MS Mincho" w:hAnsi="MS Mincho"/>
          <w:lang w:val="pl"/>
        </w:rPr>
        <w:noBreakHyphen/>
      </w:r>
      <w:r>
        <w:rPr>
          <w:lang w:val="pl"/>
        </w:rPr>
        <w:t xml:space="preserve">X, oraz </w:t>
      </w:r>
      <w:proofErr w:type="spellStart"/>
      <w:r>
        <w:rPr>
          <w:i/>
          <w:iCs/>
          <w:lang w:val="pl"/>
        </w:rPr>
        <w:t>Abuhmaid</w:t>
      </w:r>
      <w:proofErr w:type="spellEnd"/>
      <w:r>
        <w:rPr>
          <w:lang w:val="pl"/>
        </w:rPr>
        <w:t xml:space="preserve">, cyt. powyżej, </w:t>
      </w:r>
      <w:r>
        <w:rPr>
          <w:rFonts w:ascii="Times New Roman" w:hAnsi="Times New Roman"/>
          <w:lang w:val="pl"/>
        </w:rPr>
        <w:t>§</w:t>
      </w:r>
      <w:r>
        <w:rPr>
          <w:lang w:val="pl"/>
        </w:rPr>
        <w:t xml:space="preserve"> 118, wraz z dalszymi odniesieniami; zob. również </w:t>
      </w:r>
      <w:proofErr w:type="spellStart"/>
      <w:r>
        <w:rPr>
          <w:i/>
          <w:iCs/>
          <w:lang w:val="pl"/>
        </w:rPr>
        <w:t>Kurić</w:t>
      </w:r>
      <w:proofErr w:type="spellEnd"/>
      <w:r>
        <w:rPr>
          <w:i/>
          <w:iCs/>
          <w:lang w:val="pl"/>
        </w:rPr>
        <w:t xml:space="preserve"> i Inni, </w:t>
      </w:r>
      <w:r>
        <w:rPr>
          <w:lang w:val="pl"/>
        </w:rPr>
        <w:t>cyt.</w:t>
      </w:r>
      <w:r w:rsidR="00F473FD">
        <w:rPr>
          <w:lang w:val="pl"/>
        </w:rPr>
        <w:t> </w:t>
      </w:r>
      <w:r>
        <w:rPr>
          <w:lang w:val="pl"/>
        </w:rPr>
        <w:t xml:space="preserve">powyżej, § 358). Artykuł 8 wymaga, między innymi, istnienia krajowego środka odwoławczego umożliwiającego właściwemu organowi krajowemu rozpoznanie istoty danej skargi dotyczącej Konwencji oraz przyznanie odpowiedniego zadośćuczynienia, przy czym pozostawia Układającym się Państwom mają pewną swobodę co do sposobu wypełnienia tego obowiązku (zob. </w:t>
      </w:r>
      <w:proofErr w:type="spellStart"/>
      <w:r>
        <w:rPr>
          <w:i/>
          <w:iCs/>
          <w:lang w:val="pl"/>
        </w:rPr>
        <w:t>Abuhmaid</w:t>
      </w:r>
      <w:proofErr w:type="spellEnd"/>
      <w:r>
        <w:rPr>
          <w:lang w:val="pl"/>
        </w:rPr>
        <w:t>, cyt. powyżej, §</w:t>
      </w:r>
      <w:r w:rsidR="00F473FD">
        <w:rPr>
          <w:lang w:val="pl"/>
        </w:rPr>
        <w:t> </w:t>
      </w:r>
      <w:r>
        <w:rPr>
          <w:lang w:val="pl"/>
        </w:rPr>
        <w:t>118)”.</w:t>
      </w:r>
    </w:p>
    <w:p w14:paraId="7074B05D" w14:textId="77777777" w:rsidR="00176B6A" w:rsidRPr="006E4F1E" w:rsidRDefault="00176B6A" w:rsidP="001E148F">
      <w:pPr>
        <w:pStyle w:val="JuHa0"/>
        <w:rPr>
          <w:lang w:val="pl-PL"/>
        </w:rPr>
      </w:pPr>
      <w:r>
        <w:rPr>
          <w:bCs/>
          <w:lang w:val="pl"/>
        </w:rPr>
        <w:t>Zastosowanie powyższych zasad w niniejszej sprawie</w:t>
      </w:r>
    </w:p>
    <w:p w14:paraId="479EC46A" w14:textId="5C976D4A" w:rsidR="00176B6A" w:rsidRPr="006E4F1E" w:rsidRDefault="00176B6A" w:rsidP="001E148F">
      <w:pPr>
        <w:pStyle w:val="JuPara"/>
        <w:rPr>
          <w:lang w:val="pl-PL"/>
        </w:rPr>
      </w:pPr>
      <w:r>
        <w:rPr>
          <w:noProof/>
          <w:lang w:val="pl"/>
        </w:rPr>
        <w:t>32</w:t>
      </w:r>
      <w:r>
        <w:rPr>
          <w:lang w:val="pl"/>
        </w:rPr>
        <w:t>.</w:t>
      </w:r>
      <w:r w:rsidR="00086073">
        <w:rPr>
          <w:lang w:val="pl"/>
        </w:rPr>
        <w:t xml:space="preserve"> </w:t>
      </w:r>
      <w:r>
        <w:rPr>
          <w:lang w:val="pl"/>
        </w:rPr>
        <w:t>Ze względu na charakter skargi skarżącego oraz fakt, że zapewnienie zgodności z odpowiednim obowiązkiem wynikającym z Konwencji leży przede wszystkim w gestii władz krajowych, Trybunał jest zdania, że</w:t>
      </w:r>
      <w:r w:rsidR="00F473FD">
        <w:rPr>
          <w:lang w:val="pl"/>
        </w:rPr>
        <w:t> </w:t>
      </w:r>
      <w:r>
        <w:rPr>
          <w:lang w:val="pl"/>
        </w:rPr>
        <w:t>podstawową kwestią, którą należy zbadać w niniejszej sprawie, jest to, czy</w:t>
      </w:r>
      <w:r w:rsidR="00222037">
        <w:rPr>
          <w:lang w:val="pl"/>
        </w:rPr>
        <w:t> </w:t>
      </w:r>
      <w:r>
        <w:rPr>
          <w:lang w:val="pl"/>
        </w:rPr>
        <w:t>biorąc pod uwagę całokształt okoliczności, władze węgierskie, zgodnie z</w:t>
      </w:r>
      <w:r w:rsidR="00222037">
        <w:rPr>
          <w:lang w:val="pl"/>
        </w:rPr>
        <w:t> </w:t>
      </w:r>
      <w:r>
        <w:rPr>
          <w:lang w:val="pl"/>
        </w:rPr>
        <w:t xml:space="preserve">art. 8, zapewniły skuteczną i dostępną procedurę lub kombinację procedur umożliwiających skarżącemu </w:t>
      </w:r>
      <w:r w:rsidR="00ED153A">
        <w:rPr>
          <w:lang w:val="pl"/>
        </w:rPr>
        <w:t xml:space="preserve">uzyskanie </w:t>
      </w:r>
      <w:r>
        <w:rPr>
          <w:lang w:val="pl"/>
        </w:rPr>
        <w:t>rozstrzygnięci</w:t>
      </w:r>
      <w:r w:rsidR="00ED153A">
        <w:rPr>
          <w:lang w:val="pl"/>
        </w:rPr>
        <w:t>a</w:t>
      </w:r>
      <w:r>
        <w:rPr>
          <w:lang w:val="pl"/>
        </w:rPr>
        <w:t xml:space="preserve"> kwestii jego </w:t>
      </w:r>
      <w:r>
        <w:rPr>
          <w:lang w:val="pl"/>
        </w:rPr>
        <w:lastRenderedPageBreak/>
        <w:t xml:space="preserve">dalszego pobytu i statusu na Węgrzech z należytym uwzględnieniem jego interesów życia prywatnego (zob. </w:t>
      </w:r>
      <w:r>
        <w:rPr>
          <w:i/>
          <w:iCs/>
          <w:lang w:val="pl"/>
        </w:rPr>
        <w:t>mutatis mutandis</w:t>
      </w:r>
      <w:r>
        <w:rPr>
          <w:lang w:val="pl"/>
        </w:rPr>
        <w:t xml:space="preserve">, </w:t>
      </w:r>
      <w:proofErr w:type="spellStart"/>
      <w:r>
        <w:rPr>
          <w:i/>
          <w:iCs/>
          <w:lang w:val="pl"/>
        </w:rPr>
        <w:t>Hoti</w:t>
      </w:r>
      <w:proofErr w:type="spellEnd"/>
      <w:r>
        <w:rPr>
          <w:lang w:val="pl"/>
        </w:rPr>
        <w:t>, cyt. powyżej, §</w:t>
      </w:r>
      <w:r w:rsidR="00F473FD">
        <w:rPr>
          <w:lang w:val="pl"/>
        </w:rPr>
        <w:t> </w:t>
      </w:r>
      <w:r>
        <w:rPr>
          <w:lang w:val="pl"/>
        </w:rPr>
        <w:t>124, z dalszymi odniesieniami).</w:t>
      </w:r>
    </w:p>
    <w:p w14:paraId="30E1EE40" w14:textId="13406738" w:rsidR="00176B6A" w:rsidRPr="006E4F1E" w:rsidRDefault="00176B6A" w:rsidP="001E148F">
      <w:pPr>
        <w:pStyle w:val="JuPara"/>
        <w:rPr>
          <w:lang w:val="pl-PL"/>
        </w:rPr>
      </w:pPr>
      <w:r>
        <w:rPr>
          <w:noProof/>
          <w:lang w:val="pl"/>
        </w:rPr>
        <w:t>33</w:t>
      </w:r>
      <w:r>
        <w:rPr>
          <w:lang w:val="pl"/>
        </w:rPr>
        <w:t>.</w:t>
      </w:r>
      <w:r w:rsidR="00086073">
        <w:rPr>
          <w:lang w:val="pl"/>
        </w:rPr>
        <w:t xml:space="preserve"> </w:t>
      </w:r>
      <w:r>
        <w:rPr>
          <w:lang w:val="pl"/>
        </w:rPr>
        <w:t>W tym względzie Trybunał zauważa, że skarżący mieszka na</w:t>
      </w:r>
      <w:r w:rsidR="00F473FD">
        <w:rPr>
          <w:lang w:val="pl"/>
        </w:rPr>
        <w:t> </w:t>
      </w:r>
      <w:r>
        <w:rPr>
          <w:lang w:val="pl"/>
        </w:rPr>
        <w:t xml:space="preserve">Węgrzech od 2002 r. i nie posiada uznanego statusu w jakimkolwiek innym państwie (zob. </w:t>
      </w:r>
      <w:r w:rsidR="006E4F1E">
        <w:rPr>
          <w:lang w:val="pl"/>
        </w:rPr>
        <w:t>paragraf</w:t>
      </w:r>
      <w:r w:rsidR="00D06F52">
        <w:rPr>
          <w:lang w:val="pl"/>
        </w:rPr>
        <w:t>y</w:t>
      </w:r>
      <w:r>
        <w:rPr>
          <w:lang w:val="pl"/>
        </w:rPr>
        <w:t xml:space="preserve"> </w:t>
      </w:r>
      <w:r>
        <w:rPr>
          <w:noProof/>
          <w:lang w:val="pl"/>
        </w:rPr>
        <w:t>5</w:t>
      </w:r>
      <w:r>
        <w:rPr>
          <w:lang w:val="pl"/>
        </w:rPr>
        <w:t>-</w:t>
      </w:r>
      <w:r>
        <w:rPr>
          <w:noProof/>
          <w:lang w:val="pl"/>
        </w:rPr>
        <w:t>22</w:t>
      </w:r>
      <w:r>
        <w:rPr>
          <w:lang w:val="pl"/>
        </w:rPr>
        <w:t xml:space="preserve"> powyżej). Od 2009 r. [skarżący] mieszka z partnerką, Węgierką, ukończył także szkolenie zawodowe (zob.</w:t>
      </w:r>
      <w:r w:rsidR="00F473FD">
        <w:rPr>
          <w:lang w:val="pl"/>
        </w:rPr>
        <w:t> </w:t>
      </w:r>
      <w:r w:rsidR="006E4F1E">
        <w:rPr>
          <w:lang w:val="pl"/>
        </w:rPr>
        <w:t>paragraf</w:t>
      </w:r>
      <w:r>
        <w:rPr>
          <w:lang w:val="pl"/>
        </w:rPr>
        <w:t xml:space="preserve"> </w:t>
      </w:r>
      <w:r>
        <w:rPr>
          <w:noProof/>
          <w:lang w:val="pl"/>
        </w:rPr>
        <w:t>22</w:t>
      </w:r>
      <w:r>
        <w:rPr>
          <w:lang w:val="pl"/>
        </w:rPr>
        <w:t xml:space="preserve"> powyżej); nie ma zatem wątpliwości, że prowadził na</w:t>
      </w:r>
      <w:r w:rsidR="00222037">
        <w:rPr>
          <w:lang w:val="pl"/>
        </w:rPr>
        <w:t> </w:t>
      </w:r>
      <w:r>
        <w:rPr>
          <w:lang w:val="pl"/>
        </w:rPr>
        <w:t xml:space="preserve">Węgrzech życie prywatne (zob., </w:t>
      </w:r>
      <w:r>
        <w:rPr>
          <w:i/>
          <w:iCs/>
          <w:lang w:val="pl"/>
        </w:rPr>
        <w:t>mutatis mutandis</w:t>
      </w:r>
      <w:r>
        <w:rPr>
          <w:lang w:val="pl"/>
        </w:rPr>
        <w:t xml:space="preserve">, </w:t>
      </w:r>
      <w:proofErr w:type="spellStart"/>
      <w:r>
        <w:rPr>
          <w:rStyle w:val="JuParaChar"/>
          <w:i/>
          <w:iCs/>
          <w:lang w:val="pl"/>
        </w:rPr>
        <w:t>Hoti</w:t>
      </w:r>
      <w:proofErr w:type="spellEnd"/>
      <w:r>
        <w:rPr>
          <w:rStyle w:val="JuParaChar"/>
          <w:lang w:val="pl"/>
        </w:rPr>
        <w:t>, cyt. powyżej,</w:t>
      </w:r>
      <w:r>
        <w:rPr>
          <w:lang w:val="pl"/>
        </w:rPr>
        <w:t xml:space="preserve"> §</w:t>
      </w:r>
      <w:r w:rsidR="00F473FD">
        <w:rPr>
          <w:lang w:val="pl"/>
        </w:rPr>
        <w:t> </w:t>
      </w:r>
      <w:r>
        <w:rPr>
          <w:lang w:val="pl"/>
        </w:rPr>
        <w:t>125).</w:t>
      </w:r>
    </w:p>
    <w:p w14:paraId="667DDB9F" w14:textId="6362A684" w:rsidR="00176B6A" w:rsidRPr="006E4F1E" w:rsidRDefault="00176B6A" w:rsidP="001E148F">
      <w:pPr>
        <w:pStyle w:val="JuPara"/>
        <w:rPr>
          <w:lang w:val="pl-PL"/>
        </w:rPr>
      </w:pPr>
      <w:bookmarkStart w:id="21" w:name="para_32"/>
      <w:r>
        <w:rPr>
          <w:noProof/>
          <w:lang w:val="pl"/>
        </w:rPr>
        <w:t>34</w:t>
      </w:r>
      <w:bookmarkEnd w:id="21"/>
      <w:r>
        <w:rPr>
          <w:lang w:val="pl"/>
        </w:rPr>
        <w:t>.</w:t>
      </w:r>
      <w:r w:rsidR="00086073">
        <w:rPr>
          <w:lang w:val="pl"/>
        </w:rPr>
        <w:t xml:space="preserve"> </w:t>
      </w:r>
      <w:r>
        <w:rPr>
          <w:lang w:val="pl"/>
        </w:rPr>
        <w:t>Trybunał zauważa, że w okresie od 2002 r. do dnia 11 października 2017 r., tj. przez okres około piętnastu lat, status prawny skarżącego na</w:t>
      </w:r>
      <w:r w:rsidR="00F473FD">
        <w:rPr>
          <w:lang w:val="pl"/>
        </w:rPr>
        <w:t> </w:t>
      </w:r>
      <w:r>
        <w:rPr>
          <w:lang w:val="pl"/>
        </w:rPr>
        <w:t xml:space="preserve">Węgrzech był niepewny. Jedynym okresem, w którym posiadał on ważny, choć tymczasowy, dokument pobytowy wydany ze względów humanitarnych, był okres od dnia 19 lipca 2006 r. do dnia 19 lipca 2008 r. (zob. </w:t>
      </w:r>
      <w:r w:rsidR="006E4F1E">
        <w:rPr>
          <w:lang w:val="pl"/>
        </w:rPr>
        <w:t>paragraf</w:t>
      </w:r>
      <w:r>
        <w:rPr>
          <w:lang w:val="pl"/>
        </w:rPr>
        <w:t xml:space="preserve"> </w:t>
      </w:r>
      <w:r>
        <w:rPr>
          <w:noProof/>
          <w:lang w:val="pl"/>
        </w:rPr>
        <w:t>12</w:t>
      </w:r>
      <w:r>
        <w:rPr>
          <w:lang w:val="pl"/>
        </w:rPr>
        <w:t xml:space="preserve"> powyżej). Taki stan rzeczy powodował, że przez długie okresy nie był on uprawniony do korzystania z opieki zdrowotnej i</w:t>
      </w:r>
      <w:r w:rsidR="00F473FD">
        <w:rPr>
          <w:lang w:val="pl"/>
        </w:rPr>
        <w:t> </w:t>
      </w:r>
      <w:r>
        <w:rPr>
          <w:lang w:val="pl"/>
        </w:rPr>
        <w:t xml:space="preserve">zatrudnienia na Węgrzech (zob. </w:t>
      </w:r>
      <w:r w:rsidR="006E4F1E">
        <w:rPr>
          <w:lang w:val="pl"/>
        </w:rPr>
        <w:t>paragraf</w:t>
      </w:r>
      <w:r>
        <w:rPr>
          <w:lang w:val="pl"/>
        </w:rPr>
        <w:t xml:space="preserve"> </w:t>
      </w:r>
      <w:r>
        <w:rPr>
          <w:noProof/>
          <w:lang w:val="pl"/>
        </w:rPr>
        <w:t>9</w:t>
      </w:r>
      <w:r>
        <w:rPr>
          <w:lang w:val="pl"/>
        </w:rPr>
        <w:t xml:space="preserve"> i </w:t>
      </w:r>
      <w:r>
        <w:rPr>
          <w:noProof/>
          <w:lang w:val="pl"/>
        </w:rPr>
        <w:t>14</w:t>
      </w:r>
      <w:r>
        <w:rPr>
          <w:lang w:val="pl"/>
        </w:rPr>
        <w:t>-</w:t>
      </w:r>
      <w:r>
        <w:rPr>
          <w:noProof/>
          <w:lang w:val="pl"/>
        </w:rPr>
        <w:t>20</w:t>
      </w:r>
      <w:r>
        <w:rPr>
          <w:lang w:val="pl"/>
        </w:rPr>
        <w:t xml:space="preserve"> powyżej). Dopiero w</w:t>
      </w:r>
      <w:r w:rsidR="00F473FD">
        <w:rPr>
          <w:lang w:val="pl"/>
        </w:rPr>
        <w:t> </w:t>
      </w:r>
      <w:r>
        <w:rPr>
          <w:lang w:val="pl"/>
        </w:rPr>
        <w:t>dniu 11 października 2017 r., na mocy decyzji Sądu Apelacyjnego w</w:t>
      </w:r>
      <w:r w:rsidR="00F473FD">
        <w:rPr>
          <w:lang w:val="pl"/>
        </w:rPr>
        <w:t> </w:t>
      </w:r>
      <w:r>
        <w:rPr>
          <w:lang w:val="pl"/>
        </w:rPr>
        <w:t xml:space="preserve">Budapeszcie, skarżący odzyskał wspomniane uprawnienie (zob. </w:t>
      </w:r>
      <w:r w:rsidR="006E4F1E">
        <w:rPr>
          <w:lang w:val="pl"/>
        </w:rPr>
        <w:t>paragraf</w:t>
      </w:r>
      <w:r>
        <w:rPr>
          <w:lang w:val="pl"/>
        </w:rPr>
        <w:t xml:space="preserve"> </w:t>
      </w:r>
      <w:r>
        <w:rPr>
          <w:noProof/>
          <w:lang w:val="pl"/>
        </w:rPr>
        <w:t>20</w:t>
      </w:r>
      <w:r>
        <w:rPr>
          <w:lang w:val="pl"/>
        </w:rPr>
        <w:t xml:space="preserve"> powyżej). W tych okolicznościach Trybunał przyznaje, że niepewność co</w:t>
      </w:r>
      <w:r w:rsidR="00222037">
        <w:rPr>
          <w:lang w:val="pl"/>
        </w:rPr>
        <w:t> </w:t>
      </w:r>
      <w:r>
        <w:rPr>
          <w:lang w:val="pl"/>
        </w:rPr>
        <w:t xml:space="preserve">do statusu prawnego skarżącego wywarła negatywny wpływ na jego życie prywatne (zob. </w:t>
      </w:r>
      <w:r>
        <w:rPr>
          <w:i/>
          <w:iCs/>
          <w:lang w:val="pl"/>
        </w:rPr>
        <w:t>mutatis mutandis</w:t>
      </w:r>
      <w:r>
        <w:rPr>
          <w:lang w:val="pl"/>
        </w:rPr>
        <w:t xml:space="preserve">, </w:t>
      </w:r>
      <w:proofErr w:type="spellStart"/>
      <w:r>
        <w:rPr>
          <w:rStyle w:val="JuParaChar"/>
          <w:i/>
          <w:iCs/>
          <w:lang w:val="pl"/>
        </w:rPr>
        <w:t>Hoti</w:t>
      </w:r>
      <w:proofErr w:type="spellEnd"/>
      <w:r>
        <w:rPr>
          <w:rStyle w:val="JuParaChar"/>
          <w:lang w:val="pl"/>
        </w:rPr>
        <w:t>, cyt. powyżej,</w:t>
      </w:r>
      <w:r>
        <w:rPr>
          <w:lang w:val="pl"/>
        </w:rPr>
        <w:t xml:space="preserve"> §</w:t>
      </w:r>
      <w:r w:rsidR="00086073">
        <w:rPr>
          <w:lang w:val="pl"/>
        </w:rPr>
        <w:t xml:space="preserve"> </w:t>
      </w:r>
      <w:r>
        <w:rPr>
          <w:lang w:val="pl"/>
        </w:rPr>
        <w:t>126).</w:t>
      </w:r>
    </w:p>
    <w:p w14:paraId="055F62D1" w14:textId="30D2549B" w:rsidR="00176B6A" w:rsidRPr="006E4F1E" w:rsidRDefault="00176B6A" w:rsidP="001E148F">
      <w:pPr>
        <w:pStyle w:val="JuPara"/>
        <w:rPr>
          <w:lang w:val="pl-PL"/>
        </w:rPr>
      </w:pPr>
      <w:r>
        <w:rPr>
          <w:noProof/>
          <w:lang w:val="pl"/>
        </w:rPr>
        <w:t>35</w:t>
      </w:r>
      <w:r>
        <w:rPr>
          <w:lang w:val="pl"/>
        </w:rPr>
        <w:t>.</w:t>
      </w:r>
      <w:r w:rsidR="00086073">
        <w:rPr>
          <w:lang w:val="pl"/>
        </w:rPr>
        <w:t xml:space="preserve"> </w:t>
      </w:r>
      <w:r>
        <w:rPr>
          <w:lang w:val="pl"/>
        </w:rPr>
        <w:t>Kolejnym istotnym elementem niniejszej sprawy jest fakt, że</w:t>
      </w:r>
      <w:r w:rsidR="00F473FD">
        <w:rPr>
          <w:lang w:val="pl"/>
        </w:rPr>
        <w:t> </w:t>
      </w:r>
      <w:r>
        <w:rPr>
          <w:lang w:val="pl"/>
        </w:rPr>
        <w:t xml:space="preserve">skarżący </w:t>
      </w:r>
      <w:r w:rsidR="00ED153A">
        <w:rPr>
          <w:lang w:val="pl"/>
        </w:rPr>
        <w:t xml:space="preserve">jest </w:t>
      </w:r>
      <w:r>
        <w:rPr>
          <w:lang w:val="pl"/>
        </w:rPr>
        <w:t xml:space="preserve">obecnie </w:t>
      </w:r>
      <w:r w:rsidR="00ED153A">
        <w:rPr>
          <w:lang w:val="pl"/>
        </w:rPr>
        <w:t>bezpaństwowcem</w:t>
      </w:r>
      <w:r>
        <w:rPr>
          <w:lang w:val="pl"/>
        </w:rPr>
        <w:t xml:space="preserve"> (zob. </w:t>
      </w:r>
      <w:r w:rsidR="006E4F1E">
        <w:rPr>
          <w:lang w:val="pl"/>
        </w:rPr>
        <w:t>paragraf</w:t>
      </w:r>
      <w:r>
        <w:rPr>
          <w:lang w:val="pl"/>
        </w:rPr>
        <w:t xml:space="preserve"> </w:t>
      </w:r>
      <w:r>
        <w:rPr>
          <w:noProof/>
          <w:lang w:val="pl"/>
        </w:rPr>
        <w:t>21</w:t>
      </w:r>
      <w:r>
        <w:rPr>
          <w:lang w:val="pl"/>
        </w:rPr>
        <w:t xml:space="preserve"> powyżej i </w:t>
      </w:r>
      <w:proofErr w:type="spellStart"/>
      <w:r>
        <w:rPr>
          <w:i/>
          <w:iCs/>
          <w:lang w:val="pl"/>
        </w:rPr>
        <w:t>Hoti</w:t>
      </w:r>
      <w:proofErr w:type="spellEnd"/>
      <w:r>
        <w:rPr>
          <w:lang w:val="pl"/>
        </w:rPr>
        <w:t>, cyt. powyżej, § 128).</w:t>
      </w:r>
    </w:p>
    <w:p w14:paraId="375EAFA9" w14:textId="162D7DF9" w:rsidR="00176B6A" w:rsidRPr="006E4F1E" w:rsidRDefault="00176B6A" w:rsidP="001E148F">
      <w:pPr>
        <w:pStyle w:val="JuPara"/>
        <w:rPr>
          <w:lang w:val="pl-PL"/>
        </w:rPr>
      </w:pPr>
      <w:r>
        <w:rPr>
          <w:noProof/>
          <w:lang w:val="pl"/>
        </w:rPr>
        <w:t>36</w:t>
      </w:r>
      <w:r>
        <w:rPr>
          <w:lang w:val="pl"/>
        </w:rPr>
        <w:t>.</w:t>
      </w:r>
      <w:r w:rsidR="00086073">
        <w:rPr>
          <w:lang w:val="pl"/>
        </w:rPr>
        <w:t xml:space="preserve"> </w:t>
      </w:r>
      <w:r>
        <w:rPr>
          <w:lang w:val="pl"/>
        </w:rPr>
        <w:t>Trybunał uważa, że należy zwrócić uwagę na szereg aspektów postępowania dotyczącego statusu skarżącego na Węgrzech. [Trybunał] nie</w:t>
      </w:r>
      <w:r w:rsidR="00F473FD">
        <w:rPr>
          <w:lang w:val="pl"/>
        </w:rPr>
        <w:t> </w:t>
      </w:r>
      <w:r>
        <w:rPr>
          <w:lang w:val="pl"/>
        </w:rPr>
        <w:t xml:space="preserve">może zgodzić się z twierdzeniami Rządu, iż art. 8 Konwencji nie można interpretować jako wymagającego od </w:t>
      </w:r>
      <w:r w:rsidR="00C60EBA">
        <w:rPr>
          <w:lang w:val="pl"/>
        </w:rPr>
        <w:t xml:space="preserve">państwa </w:t>
      </w:r>
      <w:r>
        <w:rPr>
          <w:lang w:val="pl"/>
        </w:rPr>
        <w:t xml:space="preserve">przyznania jednostce statusu bezpaństwowca (zob. </w:t>
      </w:r>
      <w:r w:rsidR="006E4F1E">
        <w:rPr>
          <w:lang w:val="pl"/>
        </w:rPr>
        <w:t>paragraf</w:t>
      </w:r>
      <w:r>
        <w:rPr>
          <w:lang w:val="pl"/>
        </w:rPr>
        <w:t xml:space="preserve"> </w:t>
      </w:r>
      <w:r>
        <w:rPr>
          <w:noProof/>
          <w:lang w:val="pl"/>
        </w:rPr>
        <w:t>29</w:t>
      </w:r>
      <w:r>
        <w:rPr>
          <w:lang w:val="pl"/>
        </w:rPr>
        <w:t xml:space="preserve"> powyżej). Skarga skarżącego nie dotyczy niemożności uzyskania przez niego statusu bezpaństwowca jako takiego, ale</w:t>
      </w:r>
      <w:r w:rsidR="00F473FD">
        <w:rPr>
          <w:lang w:val="pl"/>
        </w:rPr>
        <w:t> </w:t>
      </w:r>
      <w:r>
        <w:rPr>
          <w:lang w:val="pl"/>
        </w:rPr>
        <w:t>ogólnej niemożności uregulowania jego statusu na Węgrzech przez okres piętnastu lat. Trybunał nie jest zatem zobligowany do zbadania, czy</w:t>
      </w:r>
      <w:r w:rsidR="00F473FD">
        <w:rPr>
          <w:lang w:val="pl"/>
        </w:rPr>
        <w:t> </w:t>
      </w:r>
      <w:r>
        <w:rPr>
          <w:lang w:val="pl"/>
        </w:rPr>
        <w:t xml:space="preserve">skarżącemu należało przyznać status bezpaństwowca (który ostatecznie został przyznany w dniu 11 października 2017 r. – zob. </w:t>
      </w:r>
      <w:r w:rsidR="006E4F1E">
        <w:rPr>
          <w:lang w:val="pl"/>
        </w:rPr>
        <w:t>paragraf</w:t>
      </w:r>
      <w:r w:rsidR="00086073">
        <w:rPr>
          <w:lang w:val="pl"/>
        </w:rPr>
        <w:t xml:space="preserve"> </w:t>
      </w:r>
      <w:r>
        <w:rPr>
          <w:noProof/>
          <w:lang w:val="pl"/>
        </w:rPr>
        <w:t>20</w:t>
      </w:r>
      <w:r>
        <w:rPr>
          <w:lang w:val="pl"/>
        </w:rPr>
        <w:t xml:space="preserve"> powyżej), lecz raczej do zbadania, czy skarżący dysponował skuteczną możliwością uregulowania swojego statusu, co pozwoliłoby mu na</w:t>
      </w:r>
      <w:r w:rsidR="00F473FD">
        <w:rPr>
          <w:lang w:val="pl"/>
        </w:rPr>
        <w:t> </w:t>
      </w:r>
      <w:r>
        <w:rPr>
          <w:lang w:val="pl"/>
        </w:rPr>
        <w:t xml:space="preserve">prowadzenie normalnego życia prywatnego na Węgrzech (zob. </w:t>
      </w:r>
      <w:r>
        <w:rPr>
          <w:i/>
          <w:iCs/>
          <w:lang w:val="pl"/>
        </w:rPr>
        <w:t xml:space="preserve">mutatis mutandis, </w:t>
      </w:r>
      <w:proofErr w:type="spellStart"/>
      <w:r>
        <w:rPr>
          <w:i/>
          <w:iCs/>
          <w:lang w:val="pl"/>
        </w:rPr>
        <w:t>Hoti</w:t>
      </w:r>
      <w:proofErr w:type="spellEnd"/>
      <w:r>
        <w:rPr>
          <w:lang w:val="pl"/>
        </w:rPr>
        <w:t>, cyt. powyżej, § 131).</w:t>
      </w:r>
    </w:p>
    <w:p w14:paraId="4685C807" w14:textId="01BF03E3" w:rsidR="00176B6A" w:rsidRPr="006E4F1E" w:rsidRDefault="00176B6A" w:rsidP="001E148F">
      <w:pPr>
        <w:pStyle w:val="JuPara"/>
        <w:rPr>
          <w:lang w:val="pl-PL"/>
        </w:rPr>
      </w:pPr>
      <w:r>
        <w:rPr>
          <w:noProof/>
          <w:lang w:val="pl"/>
        </w:rPr>
        <w:t>37</w:t>
      </w:r>
      <w:r>
        <w:rPr>
          <w:lang w:val="pl"/>
        </w:rPr>
        <w:t>.</w:t>
      </w:r>
      <w:r w:rsidR="00086073">
        <w:rPr>
          <w:lang w:val="pl"/>
        </w:rPr>
        <w:t xml:space="preserve"> </w:t>
      </w:r>
      <w:r>
        <w:rPr>
          <w:lang w:val="pl"/>
        </w:rPr>
        <w:t>W tym miejscu Trybunał zauważa, że skarżący – po wydaniu decyzji z dnia 29 listopada 2002 r. o odmowie uznania statusu uchodźcy (zob.</w:t>
      </w:r>
      <w:r w:rsidR="00F473FD">
        <w:rPr>
          <w:lang w:val="pl"/>
        </w:rPr>
        <w:t> </w:t>
      </w:r>
      <w:r w:rsidR="006E4F1E">
        <w:rPr>
          <w:lang w:val="pl"/>
        </w:rPr>
        <w:t>paragraf</w:t>
      </w:r>
      <w:r>
        <w:rPr>
          <w:lang w:val="pl"/>
        </w:rPr>
        <w:t xml:space="preserve"> </w:t>
      </w:r>
      <w:r>
        <w:rPr>
          <w:noProof/>
          <w:lang w:val="pl"/>
        </w:rPr>
        <w:t>7</w:t>
      </w:r>
      <w:r>
        <w:rPr>
          <w:lang w:val="pl"/>
        </w:rPr>
        <w:t xml:space="preserve"> powyżej) – faktycznie mieszkał na Węgrzech, nie</w:t>
      </w:r>
      <w:r w:rsidR="00F473FD">
        <w:rPr>
          <w:lang w:val="pl"/>
        </w:rPr>
        <w:t> </w:t>
      </w:r>
      <w:r>
        <w:rPr>
          <w:lang w:val="pl"/>
        </w:rPr>
        <w:t xml:space="preserve">posiadając jakiegokolwiek statusu prawnego i będąc pozbawionym podstawowych </w:t>
      </w:r>
      <w:r>
        <w:rPr>
          <w:lang w:val="pl"/>
        </w:rPr>
        <w:lastRenderedPageBreak/>
        <w:t>uprawnień do opieki zdrowotnej i zatrudnienia. Jak</w:t>
      </w:r>
      <w:r w:rsidR="00F473FD">
        <w:rPr>
          <w:lang w:val="pl"/>
        </w:rPr>
        <w:t> </w:t>
      </w:r>
      <w:r>
        <w:rPr>
          <w:lang w:val="pl"/>
        </w:rPr>
        <w:t xml:space="preserve">wspomniano powyżej, sytuacja ta uległa zmianie na okres jedynie dwóch lat, po dniu 19 lipca 2006 r., kiedy to skarżącemu przyznano dokument pobytowy wydany ze względów humanitarnych jako wypędzonemu (zob. </w:t>
      </w:r>
      <w:r w:rsidR="006E4F1E">
        <w:rPr>
          <w:lang w:val="pl"/>
        </w:rPr>
        <w:t>paragraf</w:t>
      </w:r>
      <w:r w:rsidR="00D06F52">
        <w:rPr>
          <w:lang w:val="pl"/>
        </w:rPr>
        <w:t>y</w:t>
      </w:r>
      <w:r>
        <w:rPr>
          <w:lang w:val="pl"/>
        </w:rPr>
        <w:t xml:space="preserve"> </w:t>
      </w:r>
      <w:r>
        <w:rPr>
          <w:noProof/>
          <w:lang w:val="pl"/>
        </w:rPr>
        <w:t>12</w:t>
      </w:r>
      <w:r>
        <w:rPr>
          <w:lang w:val="pl"/>
        </w:rPr>
        <w:t xml:space="preserve"> i </w:t>
      </w:r>
      <w:r>
        <w:rPr>
          <w:noProof/>
          <w:lang w:val="pl"/>
        </w:rPr>
        <w:t>34</w:t>
      </w:r>
      <w:r>
        <w:rPr>
          <w:lang w:val="pl"/>
        </w:rPr>
        <w:t xml:space="preserve"> powyżej).</w:t>
      </w:r>
    </w:p>
    <w:p w14:paraId="15578206" w14:textId="6508203C" w:rsidR="00176B6A" w:rsidRPr="006E4F1E" w:rsidRDefault="00176B6A" w:rsidP="001E148F">
      <w:pPr>
        <w:pStyle w:val="JuPara"/>
        <w:rPr>
          <w:lang w:val="pl-PL"/>
        </w:rPr>
      </w:pPr>
      <w:r>
        <w:rPr>
          <w:noProof/>
          <w:lang w:val="pl"/>
        </w:rPr>
        <w:t>38</w:t>
      </w:r>
      <w:r>
        <w:rPr>
          <w:lang w:val="pl"/>
        </w:rPr>
        <w:t>.</w:t>
      </w:r>
      <w:r w:rsidR="00086073">
        <w:rPr>
          <w:lang w:val="pl"/>
        </w:rPr>
        <w:t xml:space="preserve"> </w:t>
      </w:r>
      <w:r>
        <w:rPr>
          <w:lang w:val="pl"/>
        </w:rPr>
        <w:t>Rząd nie kwestionował faktu, że w 2006 r. ambasada Nigerii w</w:t>
      </w:r>
      <w:r w:rsidR="00F473FD">
        <w:rPr>
          <w:lang w:val="pl"/>
        </w:rPr>
        <w:t> </w:t>
      </w:r>
      <w:r>
        <w:rPr>
          <w:lang w:val="pl"/>
        </w:rPr>
        <w:t>Budapeszcie odmówiła uznania skarżącego za obywatela Nigerii (zob.</w:t>
      </w:r>
      <w:r w:rsidR="00F473FD">
        <w:rPr>
          <w:lang w:val="pl"/>
        </w:rPr>
        <w:t> </w:t>
      </w:r>
      <w:r w:rsidR="006E4F1E">
        <w:rPr>
          <w:lang w:val="pl"/>
        </w:rPr>
        <w:t>paragraf</w:t>
      </w:r>
      <w:r>
        <w:rPr>
          <w:lang w:val="pl"/>
        </w:rPr>
        <w:t xml:space="preserve"> </w:t>
      </w:r>
      <w:r>
        <w:rPr>
          <w:noProof/>
          <w:lang w:val="pl"/>
        </w:rPr>
        <w:t>10</w:t>
      </w:r>
      <w:r>
        <w:rPr>
          <w:lang w:val="pl"/>
        </w:rPr>
        <w:t xml:space="preserve"> powyżej), w związku z czym od tego momentu skarżący stał się </w:t>
      </w:r>
      <w:r>
        <w:rPr>
          <w:i/>
          <w:iCs/>
          <w:lang w:val="pl"/>
        </w:rPr>
        <w:t>de facto</w:t>
      </w:r>
      <w:r>
        <w:rPr>
          <w:lang w:val="pl"/>
        </w:rPr>
        <w:t xml:space="preserve"> bezpaństwowcem. Trybunał zauważa, że władze krajowe, nie bacząc na dekret rządowy, nie rozważyły podjęcia jakichkolwiek odpowiednich działań w celu poinformowania skarżącego o możliwości ubiegania się w tym czasie o status bezpaństwowca (zob. </w:t>
      </w:r>
      <w:r w:rsidR="006E4F1E">
        <w:rPr>
          <w:lang w:val="pl"/>
        </w:rPr>
        <w:t>paragraf</w:t>
      </w:r>
      <w:r>
        <w:rPr>
          <w:lang w:val="pl"/>
        </w:rPr>
        <w:t xml:space="preserve"> </w:t>
      </w:r>
      <w:r>
        <w:rPr>
          <w:noProof/>
          <w:lang w:val="pl"/>
        </w:rPr>
        <w:t>11</w:t>
      </w:r>
      <w:r>
        <w:rPr>
          <w:lang w:val="pl"/>
        </w:rPr>
        <w:t xml:space="preserve"> powyżej).</w:t>
      </w:r>
    </w:p>
    <w:p w14:paraId="5923CC9C" w14:textId="22042154" w:rsidR="00176B6A" w:rsidRPr="006E4F1E" w:rsidRDefault="00176B6A" w:rsidP="001E148F">
      <w:pPr>
        <w:pStyle w:val="JuPara"/>
        <w:rPr>
          <w:lang w:val="pl-PL"/>
        </w:rPr>
      </w:pPr>
      <w:r>
        <w:rPr>
          <w:noProof/>
          <w:lang w:val="pl"/>
        </w:rPr>
        <w:t>39</w:t>
      </w:r>
      <w:r>
        <w:rPr>
          <w:lang w:val="pl"/>
        </w:rPr>
        <w:t>.</w:t>
      </w:r>
      <w:r w:rsidR="00086073">
        <w:rPr>
          <w:lang w:val="pl"/>
        </w:rPr>
        <w:t xml:space="preserve"> </w:t>
      </w:r>
      <w:r>
        <w:rPr>
          <w:lang w:val="pl"/>
        </w:rPr>
        <w:t>Należy również podkreślić, że do czasu wydania przez Trybunał Konstytucyjny orzeczenia eliminującego wymóg „legalnego pobytu” z</w:t>
      </w:r>
      <w:r w:rsidR="00F473FD">
        <w:rPr>
          <w:lang w:val="pl"/>
        </w:rPr>
        <w:t> </w:t>
      </w:r>
      <w:r>
        <w:rPr>
          <w:lang w:val="pl"/>
        </w:rPr>
        <w:t>art.</w:t>
      </w:r>
      <w:r w:rsidR="00F473FD">
        <w:rPr>
          <w:lang w:val="pl"/>
        </w:rPr>
        <w:t> </w:t>
      </w:r>
      <w:r>
        <w:rPr>
          <w:lang w:val="pl"/>
        </w:rPr>
        <w:t xml:space="preserve">76 ust. 1 ustawy o prawie pobytu (zob. </w:t>
      </w:r>
      <w:r w:rsidR="006E4F1E">
        <w:rPr>
          <w:lang w:val="pl"/>
        </w:rPr>
        <w:t>paragraf</w:t>
      </w:r>
      <w:r>
        <w:rPr>
          <w:lang w:val="pl"/>
        </w:rPr>
        <w:t xml:space="preserve"> </w:t>
      </w:r>
      <w:r>
        <w:rPr>
          <w:noProof/>
          <w:lang w:val="pl"/>
        </w:rPr>
        <w:t>19</w:t>
      </w:r>
      <w:r>
        <w:rPr>
          <w:lang w:val="pl"/>
        </w:rPr>
        <w:t xml:space="preserve"> powyżej), uznanie skarżącego za bezpaństwowca było praktycznie niemożliwe, ponieważ nie</w:t>
      </w:r>
      <w:r w:rsidR="00F473FD">
        <w:rPr>
          <w:lang w:val="pl"/>
        </w:rPr>
        <w:t> </w:t>
      </w:r>
      <w:r>
        <w:rPr>
          <w:lang w:val="pl"/>
        </w:rPr>
        <w:t>spełniał on tego wymogu. Zatem w rzeczywistości, wbrew zasadom wynikającym z Konwencji ONZ o statusie bezpaństwowców z 1954 r. (zob.</w:t>
      </w:r>
      <w:r w:rsidR="00F473FD">
        <w:rPr>
          <w:lang w:val="pl"/>
        </w:rPr>
        <w:t> </w:t>
      </w:r>
      <w:r w:rsidR="006E4F1E">
        <w:rPr>
          <w:lang w:val="pl"/>
        </w:rPr>
        <w:t>paragraf</w:t>
      </w:r>
      <w:r>
        <w:rPr>
          <w:lang w:val="pl"/>
        </w:rPr>
        <w:t xml:space="preserve"> 23 powyżej), od skarżącego będącego bezpaństwowcem wymagano spełnienia wymagań, których ze względu na swój status nie był w</w:t>
      </w:r>
      <w:r w:rsidR="00222037">
        <w:rPr>
          <w:lang w:val="pl"/>
        </w:rPr>
        <w:t> </w:t>
      </w:r>
      <w:r>
        <w:rPr>
          <w:lang w:val="pl"/>
        </w:rPr>
        <w:t xml:space="preserve">stanie spełnić (zob. </w:t>
      </w:r>
      <w:proofErr w:type="spellStart"/>
      <w:r>
        <w:rPr>
          <w:i/>
          <w:iCs/>
          <w:lang w:val="pl"/>
        </w:rPr>
        <w:t>Hoti</w:t>
      </w:r>
      <w:proofErr w:type="spellEnd"/>
      <w:r>
        <w:rPr>
          <w:lang w:val="pl"/>
        </w:rPr>
        <w:t>, cyt. powyżej, § 137).</w:t>
      </w:r>
    </w:p>
    <w:p w14:paraId="4D6D71DC" w14:textId="492C771F" w:rsidR="00176B6A" w:rsidRPr="006E4F1E" w:rsidRDefault="00176B6A" w:rsidP="001E148F">
      <w:pPr>
        <w:pStyle w:val="JuPara"/>
        <w:rPr>
          <w:lang w:val="pl-PL"/>
        </w:rPr>
      </w:pPr>
      <w:r>
        <w:rPr>
          <w:noProof/>
          <w:lang w:val="pl"/>
        </w:rPr>
        <w:t>40</w:t>
      </w:r>
      <w:r>
        <w:rPr>
          <w:lang w:val="pl"/>
        </w:rPr>
        <w:t>.</w:t>
      </w:r>
      <w:r w:rsidR="00086073">
        <w:rPr>
          <w:lang w:val="pl"/>
        </w:rPr>
        <w:t xml:space="preserve"> </w:t>
      </w:r>
      <w:r>
        <w:rPr>
          <w:lang w:val="pl"/>
        </w:rPr>
        <w:t xml:space="preserve">Trybunał zauważa również, że w następstwie decyzji Trybunału Konstytucyjnego z dnia 23 lutego 2015 r. (zob. </w:t>
      </w:r>
      <w:r w:rsidR="006E4F1E">
        <w:rPr>
          <w:lang w:val="pl"/>
        </w:rPr>
        <w:t>paragraf</w:t>
      </w:r>
      <w:r>
        <w:rPr>
          <w:lang w:val="pl"/>
        </w:rPr>
        <w:t xml:space="preserve"> </w:t>
      </w:r>
      <w:r>
        <w:rPr>
          <w:noProof/>
          <w:lang w:val="pl"/>
        </w:rPr>
        <w:t>19</w:t>
      </w:r>
      <w:r>
        <w:rPr>
          <w:lang w:val="pl"/>
        </w:rPr>
        <w:t xml:space="preserve"> powyżej), sądy krajowe wydały prawomocną decyzji w sprawie skarżącego, ostatecznie przyznającą mu status bezpaństwowca, dopiero w dniu 11 października 2017</w:t>
      </w:r>
      <w:r w:rsidR="00222037">
        <w:rPr>
          <w:lang w:val="pl"/>
        </w:rPr>
        <w:t> </w:t>
      </w:r>
      <w:r>
        <w:rPr>
          <w:lang w:val="pl"/>
        </w:rPr>
        <w:t xml:space="preserve">r. (zob. </w:t>
      </w:r>
      <w:r w:rsidR="006E4F1E">
        <w:rPr>
          <w:lang w:val="pl"/>
        </w:rPr>
        <w:t>paragraf</w:t>
      </w:r>
      <w:r>
        <w:rPr>
          <w:lang w:val="pl"/>
        </w:rPr>
        <w:t xml:space="preserve"> 20 powyżej).</w:t>
      </w:r>
    </w:p>
    <w:p w14:paraId="7AB5E20E" w14:textId="1C17408F" w:rsidR="00176B6A" w:rsidRPr="006E4F1E" w:rsidRDefault="00176B6A" w:rsidP="001E148F">
      <w:pPr>
        <w:pStyle w:val="JuPara"/>
        <w:rPr>
          <w:lang w:val="pl-PL"/>
        </w:rPr>
      </w:pPr>
      <w:r>
        <w:rPr>
          <w:noProof/>
          <w:lang w:val="pl"/>
        </w:rPr>
        <w:t>41</w:t>
      </w:r>
      <w:r>
        <w:rPr>
          <w:lang w:val="pl"/>
        </w:rPr>
        <w:t>.</w:t>
      </w:r>
      <w:r w:rsidR="00086073">
        <w:rPr>
          <w:lang w:val="pl"/>
        </w:rPr>
        <w:t xml:space="preserve"> </w:t>
      </w:r>
      <w:r>
        <w:rPr>
          <w:lang w:val="pl"/>
        </w:rPr>
        <w:t>Uwzględniając łączny skutek powyższych elementów, Trybunał nie</w:t>
      </w:r>
      <w:r w:rsidR="00F473FD">
        <w:rPr>
          <w:lang w:val="pl"/>
        </w:rPr>
        <w:t> </w:t>
      </w:r>
      <w:r>
        <w:rPr>
          <w:lang w:val="pl"/>
        </w:rPr>
        <w:t xml:space="preserve">jest przekonany, że w szczególnych okolicznościach sprawy skarżącego, pozwane Państwo wypełniło swój pozytywny obowiązek zapewnienia skutecznej i dostępnej procedury lub kombinacji procedur umożliwiającej skarżącemu </w:t>
      </w:r>
      <w:r w:rsidR="009B5907">
        <w:rPr>
          <w:lang w:val="pl"/>
        </w:rPr>
        <w:t>uzyskanie rozstrzygnięcia</w:t>
      </w:r>
      <w:r>
        <w:rPr>
          <w:lang w:val="pl"/>
        </w:rPr>
        <w:t xml:space="preserve"> jego statusu na Węgrzech z</w:t>
      </w:r>
      <w:r w:rsidR="00F473FD">
        <w:rPr>
          <w:lang w:val="pl"/>
        </w:rPr>
        <w:t> </w:t>
      </w:r>
      <w:r>
        <w:rPr>
          <w:lang w:val="pl"/>
        </w:rPr>
        <w:t xml:space="preserve">należytym uwzględnieniem jego interesów życia prywatnego na podstawie art. 8 Konwencji (zob. </w:t>
      </w:r>
      <w:r>
        <w:rPr>
          <w:i/>
          <w:iCs/>
          <w:lang w:val="pl"/>
        </w:rPr>
        <w:t>mutatis mutandis</w:t>
      </w:r>
      <w:r>
        <w:rPr>
          <w:lang w:val="pl"/>
        </w:rPr>
        <w:t xml:space="preserve">, </w:t>
      </w:r>
      <w:proofErr w:type="spellStart"/>
      <w:r>
        <w:rPr>
          <w:rStyle w:val="JuParaChar"/>
          <w:i/>
          <w:iCs/>
          <w:lang w:val="pl"/>
        </w:rPr>
        <w:t>Hoti</w:t>
      </w:r>
      <w:proofErr w:type="spellEnd"/>
      <w:r>
        <w:rPr>
          <w:rStyle w:val="JuParaChar"/>
          <w:lang w:val="pl"/>
        </w:rPr>
        <w:t xml:space="preserve">, cyt. powyżej, </w:t>
      </w:r>
      <w:r>
        <w:rPr>
          <w:lang w:val="pl"/>
        </w:rPr>
        <w:t>§ 141; por.</w:t>
      </w:r>
      <w:r w:rsidR="00F473FD">
        <w:rPr>
          <w:lang w:val="pl"/>
        </w:rPr>
        <w:t> </w:t>
      </w:r>
      <w:proofErr w:type="spellStart"/>
      <w:r>
        <w:rPr>
          <w:i/>
          <w:iCs/>
          <w:lang w:val="pl"/>
        </w:rPr>
        <w:t>Abuhmaid</w:t>
      </w:r>
      <w:proofErr w:type="spellEnd"/>
      <w:r>
        <w:rPr>
          <w:i/>
          <w:iCs/>
          <w:lang w:val="pl"/>
        </w:rPr>
        <w:t xml:space="preserve"> przeciwko Ukrainie</w:t>
      </w:r>
      <w:r>
        <w:rPr>
          <w:lang w:val="pl"/>
        </w:rPr>
        <w:t>, nr 31183/13 § 126, 12 stycznia 2017 r.).</w:t>
      </w:r>
    </w:p>
    <w:p w14:paraId="2EAE2AD3" w14:textId="3FDA9000" w:rsidR="00176B6A" w:rsidRPr="006E4F1E" w:rsidRDefault="00176B6A" w:rsidP="001E148F">
      <w:pPr>
        <w:pStyle w:val="JuPara"/>
        <w:rPr>
          <w:lang w:val="pl-PL"/>
        </w:rPr>
      </w:pPr>
      <w:r>
        <w:rPr>
          <w:noProof/>
          <w:lang w:val="pl"/>
        </w:rPr>
        <w:t>42</w:t>
      </w:r>
      <w:r>
        <w:rPr>
          <w:lang w:val="pl"/>
        </w:rPr>
        <w:t>.</w:t>
      </w:r>
      <w:r w:rsidR="00086073">
        <w:rPr>
          <w:lang w:val="pl"/>
        </w:rPr>
        <w:t xml:space="preserve"> </w:t>
      </w:r>
      <w:r w:rsidR="006E4F1E">
        <w:rPr>
          <w:lang w:val="pl"/>
        </w:rPr>
        <w:t xml:space="preserve">Doszło </w:t>
      </w:r>
      <w:r>
        <w:rPr>
          <w:lang w:val="pl"/>
        </w:rPr>
        <w:t xml:space="preserve">zatem </w:t>
      </w:r>
      <w:r w:rsidR="006E4F1E">
        <w:rPr>
          <w:lang w:val="pl"/>
        </w:rPr>
        <w:t>do naruszenia</w:t>
      </w:r>
      <w:r>
        <w:rPr>
          <w:lang w:val="pl"/>
        </w:rPr>
        <w:t xml:space="preserve"> art</w:t>
      </w:r>
      <w:r w:rsidR="006E4F1E">
        <w:rPr>
          <w:lang w:val="pl"/>
        </w:rPr>
        <w:t>.</w:t>
      </w:r>
      <w:r>
        <w:rPr>
          <w:lang w:val="pl"/>
        </w:rPr>
        <w:t xml:space="preserve"> 8 Konwencji.</w:t>
      </w:r>
    </w:p>
    <w:p w14:paraId="6AAD9E51" w14:textId="3ED335C1" w:rsidR="00176B6A" w:rsidRPr="001E148F" w:rsidRDefault="00176B6A" w:rsidP="001E148F">
      <w:pPr>
        <w:pStyle w:val="JuHIRoman"/>
      </w:pPr>
      <w:r>
        <w:rPr>
          <w:lang w:val="pl"/>
        </w:rPr>
        <w:t>ZASTOSOWANIE ART</w:t>
      </w:r>
      <w:r w:rsidR="006E4F1E">
        <w:rPr>
          <w:lang w:val="pl"/>
        </w:rPr>
        <w:t>.</w:t>
      </w:r>
      <w:r>
        <w:rPr>
          <w:lang w:val="pl"/>
        </w:rPr>
        <w:t xml:space="preserve"> 41 KONWENCJI</w:t>
      </w:r>
    </w:p>
    <w:p w14:paraId="219F7613" w14:textId="77A8E64B" w:rsidR="00176B6A" w:rsidRPr="001E148F" w:rsidRDefault="00176B6A" w:rsidP="001E148F">
      <w:pPr>
        <w:pStyle w:val="JuPara"/>
      </w:pPr>
      <w:r>
        <w:rPr>
          <w:noProof/>
          <w:lang w:val="pl"/>
        </w:rPr>
        <w:t>43</w:t>
      </w:r>
      <w:r>
        <w:rPr>
          <w:lang w:val="pl"/>
        </w:rPr>
        <w:t>.</w:t>
      </w:r>
      <w:r w:rsidR="00086073">
        <w:rPr>
          <w:lang w:val="pl"/>
        </w:rPr>
        <w:t xml:space="preserve"> </w:t>
      </w:r>
      <w:r>
        <w:rPr>
          <w:lang w:val="pl"/>
        </w:rPr>
        <w:t>Artykuł 41 Konwencji stanowi:</w:t>
      </w:r>
    </w:p>
    <w:p w14:paraId="7D8178E9" w14:textId="2597D50B" w:rsidR="00176B6A" w:rsidRPr="006E4F1E" w:rsidRDefault="00176B6A" w:rsidP="001E148F">
      <w:pPr>
        <w:pStyle w:val="JuQuot"/>
        <w:keepNext/>
        <w:keepLines/>
        <w:rPr>
          <w:lang w:val="pl-PL"/>
        </w:rPr>
      </w:pPr>
      <w:r>
        <w:rPr>
          <w:lang w:val="pl"/>
        </w:rPr>
        <w:lastRenderedPageBreak/>
        <w:t>„</w:t>
      </w:r>
      <w:r w:rsidR="00CF641A" w:rsidRPr="00CF641A">
        <w:rPr>
          <w:lang w:va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r>
        <w:rPr>
          <w:lang w:val="pl"/>
        </w:rPr>
        <w:t>”</w:t>
      </w:r>
      <w:r w:rsidR="00CF641A">
        <w:rPr>
          <w:lang w:val="pl"/>
        </w:rPr>
        <w:t>.</w:t>
      </w:r>
    </w:p>
    <w:p w14:paraId="6B0883D2" w14:textId="77777777" w:rsidR="00176B6A" w:rsidRPr="001E148F" w:rsidRDefault="00176B6A" w:rsidP="001E148F">
      <w:pPr>
        <w:pStyle w:val="JuHA"/>
      </w:pPr>
      <w:r>
        <w:rPr>
          <w:bCs/>
          <w:lang w:val="pl"/>
        </w:rPr>
        <w:t>Szkoda</w:t>
      </w:r>
    </w:p>
    <w:p w14:paraId="40B5EED3" w14:textId="27B4AC05" w:rsidR="00176B6A" w:rsidRPr="006E4F1E" w:rsidRDefault="00176B6A" w:rsidP="001E148F">
      <w:pPr>
        <w:pStyle w:val="JuPara"/>
        <w:rPr>
          <w:lang w:val="pl-PL"/>
        </w:rPr>
      </w:pPr>
      <w:r>
        <w:rPr>
          <w:noProof/>
          <w:lang w:val="pl"/>
        </w:rPr>
        <w:t>44</w:t>
      </w:r>
      <w:r>
        <w:rPr>
          <w:lang w:val="pl"/>
        </w:rPr>
        <w:t>.</w:t>
      </w:r>
      <w:r w:rsidR="00086073">
        <w:rPr>
          <w:lang w:val="pl"/>
        </w:rPr>
        <w:t xml:space="preserve"> </w:t>
      </w:r>
      <w:r>
        <w:rPr>
          <w:lang w:val="pl"/>
        </w:rPr>
        <w:t>Skarżący domagał się odszkodowania w wysokości 28</w:t>
      </w:r>
      <w:r w:rsidR="00433ED7">
        <w:rPr>
          <w:lang w:val="pl"/>
        </w:rPr>
        <w:t xml:space="preserve"> </w:t>
      </w:r>
      <w:r>
        <w:rPr>
          <w:lang w:val="pl"/>
        </w:rPr>
        <w:t>000 euro (EUR) z tytułu szkód majątkowych odpowiadających utraconym możliwościom zatrudnienia oraz 360</w:t>
      </w:r>
      <w:r w:rsidR="00433ED7">
        <w:rPr>
          <w:lang w:val="pl"/>
        </w:rPr>
        <w:t xml:space="preserve"> </w:t>
      </w:r>
      <w:r>
        <w:rPr>
          <w:lang w:val="pl"/>
        </w:rPr>
        <w:t>000 euro tytułem szkody niemajątkowej.</w:t>
      </w:r>
    </w:p>
    <w:p w14:paraId="1E97DEE9" w14:textId="6E979126" w:rsidR="00176B6A" w:rsidRPr="006E4F1E" w:rsidRDefault="00176B6A" w:rsidP="001E148F">
      <w:pPr>
        <w:pStyle w:val="JuPara"/>
        <w:rPr>
          <w:lang w:val="pl-PL"/>
        </w:rPr>
      </w:pPr>
      <w:r>
        <w:rPr>
          <w:noProof/>
          <w:lang w:val="pl"/>
        </w:rPr>
        <w:t>45</w:t>
      </w:r>
      <w:r>
        <w:rPr>
          <w:lang w:val="pl"/>
        </w:rPr>
        <w:t>.</w:t>
      </w:r>
      <w:r w:rsidR="00086073">
        <w:rPr>
          <w:lang w:val="pl"/>
        </w:rPr>
        <w:t xml:space="preserve"> </w:t>
      </w:r>
      <w:r>
        <w:rPr>
          <w:lang w:val="pl"/>
        </w:rPr>
        <w:t>Rząd kwestionował to roszczenie.</w:t>
      </w:r>
    </w:p>
    <w:p w14:paraId="434F4458" w14:textId="13BF9597" w:rsidR="00176B6A" w:rsidRPr="006E4F1E" w:rsidRDefault="00176B6A" w:rsidP="001E148F">
      <w:pPr>
        <w:pStyle w:val="JuPara"/>
        <w:rPr>
          <w:lang w:val="pl-PL"/>
        </w:rPr>
      </w:pPr>
      <w:r>
        <w:rPr>
          <w:noProof/>
          <w:lang w:val="pl"/>
        </w:rPr>
        <w:t>46</w:t>
      </w:r>
      <w:r>
        <w:rPr>
          <w:lang w:val="pl"/>
        </w:rPr>
        <w:t>.</w:t>
      </w:r>
      <w:r w:rsidR="00086073">
        <w:rPr>
          <w:lang w:val="pl"/>
        </w:rPr>
        <w:t xml:space="preserve"> </w:t>
      </w:r>
      <w:r>
        <w:rPr>
          <w:lang w:val="pl"/>
        </w:rPr>
        <w:t>Z jednej strony Trybunał stwierdza, że skarżący nie wykazał istnienia związku przyczynowego między stwierdzonym naruszeniem a rzekomą szkodą majątkową, a zatem oddala to żądanie. Jednakże z drugiej strony przyznaje skarżącemu kwotę 8000 euro jako zadośćuczynienie za szkodę niema</w:t>
      </w:r>
      <w:r w:rsidR="009B5907">
        <w:rPr>
          <w:lang w:val="pl"/>
        </w:rPr>
        <w:t>jątkową</w:t>
      </w:r>
      <w:r>
        <w:rPr>
          <w:lang w:val="pl"/>
        </w:rPr>
        <w:t>, wraz z ewentualnymi podatkami.</w:t>
      </w:r>
    </w:p>
    <w:p w14:paraId="52FDCA8B" w14:textId="77777777" w:rsidR="00176B6A" w:rsidRPr="001E148F" w:rsidRDefault="00176B6A" w:rsidP="001E148F">
      <w:pPr>
        <w:pStyle w:val="JuHA"/>
      </w:pPr>
      <w:r>
        <w:rPr>
          <w:bCs/>
          <w:lang w:val="pl"/>
        </w:rPr>
        <w:t>Koszty i wydatki</w:t>
      </w:r>
    </w:p>
    <w:p w14:paraId="6D5029E2" w14:textId="51A3E3A3" w:rsidR="00176B6A" w:rsidRPr="006E4F1E" w:rsidRDefault="00176B6A" w:rsidP="001E148F">
      <w:pPr>
        <w:pStyle w:val="JuPara"/>
        <w:rPr>
          <w:lang w:val="pl-PL"/>
        </w:rPr>
      </w:pPr>
      <w:r>
        <w:rPr>
          <w:noProof/>
          <w:lang w:val="pl"/>
        </w:rPr>
        <w:t>47</w:t>
      </w:r>
      <w:r>
        <w:rPr>
          <w:lang w:val="pl"/>
        </w:rPr>
        <w:t>.</w:t>
      </w:r>
      <w:r w:rsidR="00086073">
        <w:rPr>
          <w:lang w:val="pl"/>
        </w:rPr>
        <w:t xml:space="preserve"> </w:t>
      </w:r>
      <w:r>
        <w:rPr>
          <w:lang w:val="pl"/>
        </w:rPr>
        <w:t>Skarżący domagał się także kwoty 30</w:t>
      </w:r>
      <w:r w:rsidR="00433ED7">
        <w:rPr>
          <w:lang w:val="pl"/>
        </w:rPr>
        <w:t xml:space="preserve"> </w:t>
      </w:r>
      <w:r>
        <w:rPr>
          <w:lang w:val="pl"/>
        </w:rPr>
        <w:t>000 euro na pokrycie kosztów i</w:t>
      </w:r>
      <w:r w:rsidR="00F473FD">
        <w:rPr>
          <w:lang w:val="pl"/>
        </w:rPr>
        <w:t> </w:t>
      </w:r>
      <w:r>
        <w:rPr>
          <w:lang w:val="pl"/>
        </w:rPr>
        <w:t>wydatków w postępowaniu przed Trybunałem, bez ich dalszego wyszczególnienia. Przedstawił umowę zawartą z prawnikiem, zgodnie z</w:t>
      </w:r>
      <w:r w:rsidR="00F473FD">
        <w:rPr>
          <w:lang w:val="pl"/>
        </w:rPr>
        <w:t> </w:t>
      </w:r>
      <w:r>
        <w:rPr>
          <w:lang w:val="pl"/>
        </w:rPr>
        <w:t>którą kwota ta będzie podlegała rozliczeniu w przypadku pomyślnego zakończenia sprawy.</w:t>
      </w:r>
    </w:p>
    <w:p w14:paraId="3763B8D1" w14:textId="0E3E0DEE" w:rsidR="00176B6A" w:rsidRPr="006E4F1E" w:rsidRDefault="00176B6A" w:rsidP="001E148F">
      <w:pPr>
        <w:pStyle w:val="JuPara"/>
        <w:rPr>
          <w:lang w:val="pl-PL"/>
        </w:rPr>
      </w:pPr>
      <w:r>
        <w:rPr>
          <w:noProof/>
          <w:lang w:val="pl"/>
        </w:rPr>
        <w:t>48</w:t>
      </w:r>
      <w:r>
        <w:rPr>
          <w:lang w:val="pl"/>
        </w:rPr>
        <w:t>.</w:t>
      </w:r>
      <w:r w:rsidR="00086073">
        <w:rPr>
          <w:lang w:val="pl"/>
        </w:rPr>
        <w:t xml:space="preserve"> </w:t>
      </w:r>
      <w:r>
        <w:rPr>
          <w:lang w:val="pl"/>
        </w:rPr>
        <w:t>Rząd kwestionował to roszczenie.</w:t>
      </w:r>
    </w:p>
    <w:p w14:paraId="07B5EB31" w14:textId="75292221" w:rsidR="00176B6A" w:rsidRPr="006E4F1E" w:rsidRDefault="00176B6A" w:rsidP="001E148F">
      <w:pPr>
        <w:pStyle w:val="JuPara"/>
        <w:rPr>
          <w:lang w:val="pl-PL"/>
        </w:rPr>
      </w:pPr>
      <w:r>
        <w:rPr>
          <w:noProof/>
          <w:lang w:val="pl"/>
        </w:rPr>
        <w:t>49</w:t>
      </w:r>
      <w:r>
        <w:rPr>
          <w:lang w:val="pl"/>
        </w:rPr>
        <w:t>.</w:t>
      </w:r>
      <w:r w:rsidR="00086073">
        <w:rPr>
          <w:lang w:val="pl"/>
        </w:rPr>
        <w:t xml:space="preserve"> </w:t>
      </w:r>
      <w:r>
        <w:rPr>
          <w:lang w:val="pl"/>
        </w:rPr>
        <w:t>Zgodnie z orzecznictwem Trybunału, skarżący jest uprawniony do</w:t>
      </w:r>
      <w:r w:rsidR="00F473FD">
        <w:rPr>
          <w:lang w:val="pl"/>
        </w:rPr>
        <w:t> </w:t>
      </w:r>
      <w:r>
        <w:rPr>
          <w:lang w:val="pl"/>
        </w:rPr>
        <w:t xml:space="preserve">otrzymania zwrotu kosztów oraz wydatków </w:t>
      </w:r>
      <w:r w:rsidR="009B5907">
        <w:rPr>
          <w:lang w:val="pl"/>
        </w:rPr>
        <w:t xml:space="preserve">tylko </w:t>
      </w:r>
      <w:r>
        <w:rPr>
          <w:lang w:val="pl"/>
        </w:rPr>
        <w:t>w takim zakresie, w</w:t>
      </w:r>
      <w:r w:rsidR="00F473FD">
        <w:rPr>
          <w:lang w:val="pl"/>
        </w:rPr>
        <w:t> </w:t>
      </w:r>
      <w:r>
        <w:rPr>
          <w:lang w:val="pl"/>
        </w:rPr>
        <w:t xml:space="preserve">jakim wykazał, że </w:t>
      </w:r>
      <w:r w:rsidR="009B5907">
        <w:rPr>
          <w:lang w:val="pl"/>
        </w:rPr>
        <w:t xml:space="preserve">zostały </w:t>
      </w:r>
      <w:r>
        <w:rPr>
          <w:lang w:val="pl"/>
        </w:rPr>
        <w:t>one rzeczywiście poniesione</w:t>
      </w:r>
      <w:r w:rsidR="009B5907">
        <w:rPr>
          <w:lang w:val="pl"/>
        </w:rPr>
        <w:t xml:space="preserve"> oraz</w:t>
      </w:r>
      <w:r>
        <w:rPr>
          <w:lang w:val="pl"/>
        </w:rPr>
        <w:t xml:space="preserve"> były </w:t>
      </w:r>
      <w:r w:rsidR="009B5907">
        <w:rPr>
          <w:lang w:val="pl"/>
        </w:rPr>
        <w:t xml:space="preserve">konieczne i </w:t>
      </w:r>
      <w:r>
        <w:rPr>
          <w:lang w:val="pl"/>
        </w:rPr>
        <w:t>uzasadnione co do wysokości. W niniejszej sprawie</w:t>
      </w:r>
      <w:r w:rsidR="009B5907">
        <w:rPr>
          <w:lang w:val="pl"/>
        </w:rPr>
        <w:t>,</w:t>
      </w:r>
      <w:r>
        <w:rPr>
          <w:lang w:val="pl"/>
        </w:rPr>
        <w:t xml:space="preserve"> mając wzgląd na przedstawione dokumenty i powyższe kryteria, Trybunał uznaje za stosowne przyznać kwotę 4000 euro na pokrycie kosztów.</w:t>
      </w:r>
    </w:p>
    <w:p w14:paraId="690C724B" w14:textId="77777777" w:rsidR="00176B6A" w:rsidRPr="001E148F" w:rsidRDefault="00176B6A" w:rsidP="001E148F">
      <w:pPr>
        <w:pStyle w:val="JuHA"/>
      </w:pPr>
      <w:r>
        <w:rPr>
          <w:bCs/>
          <w:lang w:val="pl"/>
        </w:rPr>
        <w:t>Odsetki za zwłokę</w:t>
      </w:r>
    </w:p>
    <w:p w14:paraId="1D8989A1" w14:textId="3A32A980" w:rsidR="00176B6A" w:rsidRPr="006E4F1E" w:rsidRDefault="00176B6A" w:rsidP="001E148F">
      <w:pPr>
        <w:pStyle w:val="JuPara"/>
        <w:rPr>
          <w:lang w:val="pl-PL"/>
        </w:rPr>
      </w:pPr>
      <w:r>
        <w:rPr>
          <w:noProof/>
          <w:lang w:val="pl"/>
        </w:rPr>
        <w:t>50</w:t>
      </w:r>
      <w:r>
        <w:rPr>
          <w:lang w:val="pl"/>
        </w:rPr>
        <w:t>.</w:t>
      </w:r>
      <w:r w:rsidR="00086073">
        <w:rPr>
          <w:lang w:val="pl"/>
        </w:rPr>
        <w:t xml:space="preserve"> </w:t>
      </w:r>
      <w:r>
        <w:rPr>
          <w:lang w:val="pl"/>
        </w:rPr>
        <w:t xml:space="preserve">Trybunał uznaje za właściwe, by odsetki z tytułu niewypłacenia zasądzonych kwot zostały ustalone </w:t>
      </w:r>
      <w:r w:rsidR="009B5907" w:rsidRPr="00E51B9F">
        <w:rPr>
          <w:lang w:val="pl-PL"/>
        </w:rPr>
        <w:t xml:space="preserve">zgodnie </w:t>
      </w:r>
      <w:r w:rsidR="009B5907" w:rsidRPr="00830A25">
        <w:rPr>
          <w:lang w:val="pl-PL"/>
        </w:rPr>
        <w:t>z marginalną stopą procentową Europejskiego Banku Centralnego, plus trzy punkty procentowe</w:t>
      </w:r>
      <w:r>
        <w:rPr>
          <w:lang w:val="pl"/>
        </w:rPr>
        <w:t>.</w:t>
      </w:r>
    </w:p>
    <w:p w14:paraId="4071ABEC" w14:textId="77777777" w:rsidR="00176B6A" w:rsidRPr="001E148F" w:rsidRDefault="00176B6A" w:rsidP="001E148F">
      <w:pPr>
        <w:pStyle w:val="JuHHead"/>
      </w:pPr>
      <w:r>
        <w:rPr>
          <w:lang w:val="pl"/>
        </w:rPr>
        <w:t>Z TYCH PRZYCZYN TRYBUNAŁ JEDNOGŁOŚNIE</w:t>
      </w:r>
    </w:p>
    <w:p w14:paraId="63DD4CAE" w14:textId="77777777" w:rsidR="00176B6A" w:rsidRPr="001E148F" w:rsidRDefault="00176B6A" w:rsidP="001E148F">
      <w:pPr>
        <w:pStyle w:val="JuList"/>
      </w:pPr>
      <w:r>
        <w:rPr>
          <w:i/>
          <w:iCs/>
          <w:lang w:val="pl"/>
        </w:rPr>
        <w:t>Uznaje</w:t>
      </w:r>
      <w:r>
        <w:rPr>
          <w:lang w:val="pl"/>
        </w:rPr>
        <w:t xml:space="preserve"> skargę za dopuszczalną;</w:t>
      </w:r>
    </w:p>
    <w:p w14:paraId="3BD3A825" w14:textId="77777777" w:rsidR="00176B6A" w:rsidRPr="006E4F1E" w:rsidRDefault="00176B6A" w:rsidP="001E148F">
      <w:pPr>
        <w:pStyle w:val="JuList"/>
        <w:rPr>
          <w:lang w:val="pl-PL"/>
        </w:rPr>
      </w:pPr>
      <w:r>
        <w:rPr>
          <w:i/>
          <w:iCs/>
          <w:lang w:val="pl"/>
        </w:rPr>
        <w:t xml:space="preserve">Uznaje, </w:t>
      </w:r>
      <w:r>
        <w:rPr>
          <w:lang w:val="pl"/>
        </w:rPr>
        <w:t>że doszło do naruszenia art. 8 Konwencji;</w:t>
      </w:r>
    </w:p>
    <w:p w14:paraId="41E673B9" w14:textId="77777777" w:rsidR="00176B6A" w:rsidRPr="001E148F" w:rsidRDefault="00176B6A" w:rsidP="001E148F">
      <w:pPr>
        <w:pStyle w:val="JuList"/>
      </w:pPr>
      <w:r>
        <w:rPr>
          <w:i/>
          <w:iCs/>
          <w:lang w:val="pl"/>
        </w:rPr>
        <w:t>Uznaje,</w:t>
      </w:r>
    </w:p>
    <w:p w14:paraId="40F269B5" w14:textId="28C164BD" w:rsidR="00176B6A" w:rsidRPr="006E4F1E" w:rsidRDefault="00176B6A" w:rsidP="001E148F">
      <w:pPr>
        <w:pStyle w:val="JuLista"/>
        <w:numPr>
          <w:ilvl w:val="1"/>
          <w:numId w:val="22"/>
        </w:numPr>
        <w:rPr>
          <w:lang w:val="pl-PL"/>
        </w:rPr>
      </w:pPr>
      <w:r>
        <w:rPr>
          <w:lang w:val="pl"/>
        </w:rPr>
        <w:lastRenderedPageBreak/>
        <w:t>że pozwane Państwo ma obowiązek wypłacić skarżącemu, w</w:t>
      </w:r>
      <w:r w:rsidR="00F473FD">
        <w:rPr>
          <w:lang w:val="pl"/>
        </w:rPr>
        <w:t> </w:t>
      </w:r>
      <w:r>
        <w:rPr>
          <w:lang w:val="pl"/>
        </w:rPr>
        <w:t xml:space="preserve">terminie trzech miesięcy od dnia, kiedy wyrok stanie się </w:t>
      </w:r>
      <w:r w:rsidR="00CF641A">
        <w:rPr>
          <w:lang w:val="pl"/>
        </w:rPr>
        <w:t>ostateczny</w:t>
      </w:r>
      <w:r>
        <w:rPr>
          <w:lang w:val="pl"/>
        </w:rPr>
        <w:t xml:space="preserve"> zgodnie z art. 44 ust. 2 Konwencji, następujące kwoty w</w:t>
      </w:r>
      <w:r w:rsidR="00F473FD">
        <w:rPr>
          <w:lang w:val="pl"/>
        </w:rPr>
        <w:t> </w:t>
      </w:r>
      <w:r>
        <w:rPr>
          <w:lang w:val="pl"/>
        </w:rPr>
        <w:t xml:space="preserve">przeliczeniu na </w:t>
      </w:r>
      <w:r>
        <w:rPr>
          <w:color w:val="000000"/>
          <w:lang w:val="pl"/>
        </w:rPr>
        <w:t>walutę pozwanego Państwa</w:t>
      </w:r>
      <w:r>
        <w:rPr>
          <w:lang w:val="pl"/>
        </w:rPr>
        <w:t xml:space="preserve"> po kursie wymiany obowiązującym w dniu rozliczenia:</w:t>
      </w:r>
    </w:p>
    <w:p w14:paraId="2ECE1501" w14:textId="22DE3620" w:rsidR="00176B6A" w:rsidRPr="006E4F1E" w:rsidRDefault="00176B6A" w:rsidP="001E148F">
      <w:pPr>
        <w:pStyle w:val="JuListi"/>
        <w:rPr>
          <w:lang w:val="pl-PL"/>
        </w:rPr>
      </w:pPr>
      <w:r>
        <w:rPr>
          <w:lang w:val="pl"/>
        </w:rPr>
        <w:t>8000 euro (osiem tysięcy euro), wraz z ewentualnymi podatkami, z tytułu szkody niema</w:t>
      </w:r>
      <w:r w:rsidR="00617AB2">
        <w:rPr>
          <w:lang w:val="pl"/>
        </w:rPr>
        <w:t>jątkowej</w:t>
      </w:r>
      <w:r>
        <w:rPr>
          <w:lang w:val="pl"/>
        </w:rPr>
        <w:t>;</w:t>
      </w:r>
    </w:p>
    <w:p w14:paraId="33088F72" w14:textId="41CF3EF8" w:rsidR="00176B6A" w:rsidRPr="006E4F1E" w:rsidRDefault="00176B6A" w:rsidP="001E148F">
      <w:pPr>
        <w:pStyle w:val="JuListi"/>
        <w:rPr>
          <w:lang w:val="pl-PL"/>
        </w:rPr>
      </w:pPr>
      <w:r>
        <w:rPr>
          <w:lang w:val="pl"/>
        </w:rPr>
        <w:t>4000 euro (cztery tysiące euro), wraz z ewentualnymi podatkami płatnymi przez skarżącego, z tytułu kosztów i wydatków;</w:t>
      </w:r>
    </w:p>
    <w:p w14:paraId="6A73D836" w14:textId="035CC9B7" w:rsidR="00176B6A" w:rsidRPr="006E4F1E" w:rsidRDefault="00176B6A" w:rsidP="00301C97">
      <w:pPr>
        <w:pStyle w:val="JuLista"/>
        <w:numPr>
          <w:ilvl w:val="1"/>
          <w:numId w:val="22"/>
        </w:numPr>
        <w:rPr>
          <w:lang w:val="pl-PL"/>
        </w:rPr>
      </w:pPr>
      <w:r w:rsidRPr="00F473FD">
        <w:rPr>
          <w:lang w:val="pl"/>
        </w:rPr>
        <w:t xml:space="preserve">że od </w:t>
      </w:r>
      <w:r w:rsidR="00301C97" w:rsidRPr="00F473FD">
        <w:rPr>
          <w:lang w:val="pl"/>
        </w:rPr>
        <w:t>upływu</w:t>
      </w:r>
      <w:r w:rsidRPr="00F473FD">
        <w:rPr>
          <w:lang w:val="pl"/>
        </w:rPr>
        <w:t xml:space="preserve"> powyższego trzymiesięcznego terminu do momentu</w:t>
      </w:r>
      <w:r>
        <w:rPr>
          <w:lang w:val="pl"/>
        </w:rPr>
        <w:t xml:space="preserve"> zapłaty płatne od tej sumy będą odsetki </w:t>
      </w:r>
      <w:r w:rsidR="00301C97">
        <w:rPr>
          <w:lang w:val="pl"/>
        </w:rPr>
        <w:t xml:space="preserve">zwykłe </w:t>
      </w:r>
      <w:r>
        <w:rPr>
          <w:lang w:val="pl"/>
        </w:rPr>
        <w:t xml:space="preserve">obliczone </w:t>
      </w:r>
      <w:r w:rsidR="00301C97" w:rsidRPr="00301C97">
        <w:rPr>
          <w:lang w:val="pl"/>
        </w:rPr>
        <w:t>zgodnie z</w:t>
      </w:r>
      <w:r w:rsidR="00F473FD">
        <w:rPr>
          <w:lang w:val="pl"/>
        </w:rPr>
        <w:t> </w:t>
      </w:r>
      <w:r w:rsidR="00301C97" w:rsidRPr="00301C97">
        <w:rPr>
          <w:lang w:val="pl"/>
        </w:rPr>
        <w:t>marginalną stopą procentową Europejskiego Banku Centralnego, plus trzy punkty procentowe</w:t>
      </w:r>
      <w:r>
        <w:rPr>
          <w:lang w:val="pl"/>
        </w:rPr>
        <w:t>;</w:t>
      </w:r>
    </w:p>
    <w:p w14:paraId="793A7A9D" w14:textId="19B31FDD" w:rsidR="004D0EC7" w:rsidRPr="006E4F1E" w:rsidRDefault="00176B6A" w:rsidP="001E148F">
      <w:pPr>
        <w:pStyle w:val="JuList"/>
        <w:rPr>
          <w:lang w:val="pl-PL"/>
        </w:rPr>
      </w:pPr>
      <w:r>
        <w:rPr>
          <w:i/>
          <w:iCs/>
          <w:lang w:val="pl"/>
        </w:rPr>
        <w:t xml:space="preserve">Oddala </w:t>
      </w:r>
      <w:r>
        <w:rPr>
          <w:lang w:val="pl"/>
        </w:rPr>
        <w:t>pozostałą część roszczenia skarżącego dotycząc</w:t>
      </w:r>
      <w:r w:rsidR="00301C97">
        <w:rPr>
          <w:lang w:val="pl"/>
        </w:rPr>
        <w:t>ego</w:t>
      </w:r>
      <w:r>
        <w:rPr>
          <w:lang w:val="pl"/>
        </w:rPr>
        <w:t xml:space="preserve"> słusznego zadośćuczynienia.</w:t>
      </w:r>
    </w:p>
    <w:p w14:paraId="537EC18F" w14:textId="5D360E99" w:rsidR="008E3A08" w:rsidRPr="006E4F1E" w:rsidRDefault="007E2C8C" w:rsidP="001E148F">
      <w:pPr>
        <w:pStyle w:val="JuParaLast"/>
        <w:rPr>
          <w:lang w:val="pl-PL"/>
        </w:rPr>
      </w:pPr>
      <w:r>
        <w:rPr>
          <w:lang w:val="pl"/>
        </w:rPr>
        <w:t xml:space="preserve">Sporządzono w języku angielskim i obwieszczono na piśmie w dniu </w:t>
      </w:r>
      <w:r>
        <w:rPr>
          <w:rFonts w:ascii="Times New Roman" w:hAnsi="Times New Roman"/>
          <w:lang w:val="pl"/>
        </w:rPr>
        <w:t>12</w:t>
      </w:r>
      <w:r w:rsidR="00F473FD">
        <w:rPr>
          <w:rFonts w:ascii="Times New Roman" w:hAnsi="Times New Roman"/>
          <w:lang w:val="pl"/>
        </w:rPr>
        <w:t> </w:t>
      </w:r>
      <w:r>
        <w:rPr>
          <w:rFonts w:ascii="Times New Roman" w:hAnsi="Times New Roman"/>
          <w:lang w:val="pl"/>
        </w:rPr>
        <w:t>maja 2020 r.</w:t>
      </w:r>
      <w:r>
        <w:rPr>
          <w:lang w:val="pl"/>
        </w:rPr>
        <w:t xml:space="preserve">, zgodnie z </w:t>
      </w:r>
      <w:r w:rsidR="00301C97">
        <w:rPr>
          <w:lang w:val="pl"/>
        </w:rPr>
        <w:t>Regułą</w:t>
      </w:r>
      <w:r>
        <w:rPr>
          <w:lang w:val="pl"/>
        </w:rPr>
        <w:t xml:space="preserve"> 77 </w:t>
      </w:r>
      <w:r w:rsidR="00301C97">
        <w:rPr>
          <w:rFonts w:cstheme="minorHAnsi"/>
          <w:lang w:val="pl"/>
        </w:rPr>
        <w:t>§§</w:t>
      </w:r>
      <w:r w:rsidR="00301C97">
        <w:rPr>
          <w:lang w:val="pl"/>
        </w:rPr>
        <w:t xml:space="preserve"> </w:t>
      </w:r>
      <w:r>
        <w:rPr>
          <w:lang w:val="pl"/>
        </w:rPr>
        <w:t>2 i 3 Regulaminu Trybunału.</w:t>
      </w:r>
    </w:p>
    <w:p w14:paraId="40D473C6" w14:textId="77777777" w:rsidR="001C055B" w:rsidRPr="006E4F1E" w:rsidRDefault="00176B6A" w:rsidP="001E148F">
      <w:pPr>
        <w:pStyle w:val="JuSigned"/>
        <w:rPr>
          <w:lang w:val="pl-PL"/>
        </w:rPr>
      </w:pPr>
      <w:r>
        <w:rPr>
          <w:lang w:val="pl"/>
        </w:rPr>
        <w:t xml:space="preserve">Andrea </w:t>
      </w:r>
      <w:proofErr w:type="spellStart"/>
      <w:r>
        <w:rPr>
          <w:lang w:val="pl"/>
        </w:rPr>
        <w:t>Tamietti</w:t>
      </w:r>
      <w:proofErr w:type="spellEnd"/>
      <w:r>
        <w:rPr>
          <w:lang w:val="pl"/>
        </w:rPr>
        <w:t xml:space="preserve"> </w:t>
      </w:r>
      <w:r>
        <w:rPr>
          <w:lang w:val="pl"/>
        </w:rPr>
        <w:tab/>
        <w:t xml:space="preserve">Jon </w:t>
      </w:r>
      <w:proofErr w:type="spellStart"/>
      <w:r>
        <w:rPr>
          <w:lang w:val="pl"/>
        </w:rPr>
        <w:t>Fridrik</w:t>
      </w:r>
      <w:proofErr w:type="spellEnd"/>
      <w:r>
        <w:rPr>
          <w:lang w:val="pl"/>
        </w:rPr>
        <w:t xml:space="preserve"> </w:t>
      </w:r>
      <w:proofErr w:type="spellStart"/>
      <w:r>
        <w:rPr>
          <w:lang w:val="pl"/>
        </w:rPr>
        <w:t>Kjølbro</w:t>
      </w:r>
      <w:proofErr w:type="spellEnd"/>
      <w:r>
        <w:rPr>
          <w:lang w:val="pl"/>
        </w:rPr>
        <w:br/>
      </w:r>
      <w:r>
        <w:rPr>
          <w:lang w:val="pl"/>
        </w:rPr>
        <w:tab/>
        <w:t>Kanclerz</w:t>
      </w:r>
      <w:r>
        <w:rPr>
          <w:lang w:val="pl"/>
        </w:rPr>
        <w:tab/>
        <w:t>Przewodniczący</w:t>
      </w:r>
    </w:p>
    <w:p w14:paraId="39A2C596" w14:textId="77777777" w:rsidR="00086073" w:rsidRPr="006E4F1E" w:rsidRDefault="00086073">
      <w:pPr>
        <w:pStyle w:val="JuSigned"/>
        <w:rPr>
          <w:lang w:val="pl-PL"/>
        </w:rPr>
      </w:pPr>
    </w:p>
    <w:sectPr w:rsidR="00086073" w:rsidRPr="006E4F1E" w:rsidSect="007D3701">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BD7366" w14:textId="77777777" w:rsidR="00A5555A" w:rsidRPr="00CD447B" w:rsidRDefault="00A5555A" w:rsidP="0098410D">
      <w:r>
        <w:separator/>
      </w:r>
    </w:p>
  </w:endnote>
  <w:endnote w:type="continuationSeparator" w:id="0">
    <w:p w14:paraId="5D25C9E0" w14:textId="77777777" w:rsidR="00A5555A" w:rsidRPr="00CD447B" w:rsidRDefault="00A5555A" w:rsidP="0098410D">
      <w:r>
        <w:continuationSeparator/>
      </w:r>
    </w:p>
  </w:endnote>
  <w:endnote w:type="continuationNotice" w:id="1">
    <w:p w14:paraId="5F454FBE" w14:textId="77777777" w:rsidR="00A5555A" w:rsidRDefault="00A555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IDFont+F1">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558C7A" w14:textId="77777777" w:rsidR="00176B6A" w:rsidRPr="00150BFA" w:rsidRDefault="00176B6A" w:rsidP="0020718E">
    <w:pPr>
      <w:jc w:val="center"/>
    </w:pPr>
    <w:r>
      <w:rPr>
        <w:noProof/>
        <w:lang w:val="pl-PL" w:eastAsia="pl-PL"/>
      </w:rPr>
      <w:drawing>
        <wp:inline distT="0" distB="0" distL="0" distR="0" wp14:anchorId="6829FE3C" wp14:editId="2E0B28F4">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DFADEB1" w14:textId="77777777" w:rsidR="0098410D" w:rsidRPr="00CD447B" w:rsidRDefault="0098410D" w:rsidP="00AF12C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79841" w14:textId="77777777" w:rsidR="00C60B8F" w:rsidRDefault="00C60B8F" w:rsidP="00C60B8F">
    <w:pPr>
      <w:pStyle w:val="Stopka"/>
      <w:jc w:val="center"/>
    </w:pPr>
    <w:r>
      <w:rPr>
        <w:noProof/>
        <w:lang w:val="pl-PL" w:eastAsia="pl-PL"/>
      </w:rPr>
      <w:drawing>
        <wp:inline distT="0" distB="0" distL="0" distR="0" wp14:anchorId="6EE87666" wp14:editId="67131E7D">
          <wp:extent cx="771525" cy="619125"/>
          <wp:effectExtent l="0" t="0" r="9525" b="9525"/>
          <wp:docPr id="1" name="Picture 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A8C899" w14:textId="01B16618" w:rsidR="00C26D3D" w:rsidRDefault="00176B6A" w:rsidP="009A115C">
    <w:pPr>
      <w:pStyle w:val="JuHeader"/>
    </w:pPr>
    <w:r>
      <w:rPr>
        <w:rStyle w:val="Numerstrony"/>
        <w:lang w:val="pl"/>
      </w:rPr>
      <w:fldChar w:fldCharType="begin"/>
    </w:r>
    <w:r>
      <w:rPr>
        <w:rStyle w:val="Numerstrony"/>
        <w:lang w:val="pl"/>
      </w:rPr>
      <w:instrText xml:space="preserve"> PAGE </w:instrText>
    </w:r>
    <w:r>
      <w:rPr>
        <w:rStyle w:val="Numerstrony"/>
        <w:lang w:val="pl"/>
      </w:rPr>
      <w:fldChar w:fldCharType="separate"/>
    </w:r>
    <w:r w:rsidR="00BF0382">
      <w:rPr>
        <w:rStyle w:val="Numerstrony"/>
        <w:noProof/>
        <w:lang w:val="pl"/>
      </w:rPr>
      <w:t>8</w:t>
    </w:r>
    <w:r>
      <w:rPr>
        <w:rStyle w:val="Numerstrony"/>
        <w:lang w:val="pl"/>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8B860" w14:textId="41608787" w:rsidR="00C26D3D" w:rsidRPr="000B7195" w:rsidRDefault="00176B6A" w:rsidP="007D3701">
    <w:pPr>
      <w:pStyle w:val="JuHeader"/>
    </w:pPr>
    <w:r>
      <w:rPr>
        <w:lang w:val="pl"/>
      </w:rPr>
      <w:fldChar w:fldCharType="begin"/>
    </w:r>
    <w:r>
      <w:rPr>
        <w:lang w:val="pl"/>
      </w:rPr>
      <w:instrText xml:space="preserve"> PAGE </w:instrText>
    </w:r>
    <w:r>
      <w:rPr>
        <w:lang w:val="pl"/>
      </w:rPr>
      <w:fldChar w:fldCharType="separate"/>
    </w:r>
    <w:r w:rsidR="00BF0382">
      <w:rPr>
        <w:noProof/>
        <w:lang w:val="pl"/>
      </w:rPr>
      <w:t>9</w:t>
    </w:r>
    <w:r>
      <w:rPr>
        <w:lang w:val="p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109E2F" w14:textId="77777777" w:rsidR="00A5555A" w:rsidRPr="00CD447B" w:rsidRDefault="00A5555A" w:rsidP="0098410D">
      <w:r>
        <w:separator/>
      </w:r>
    </w:p>
  </w:footnote>
  <w:footnote w:type="continuationSeparator" w:id="0">
    <w:p w14:paraId="23C00702" w14:textId="77777777" w:rsidR="00A5555A" w:rsidRPr="00CD447B" w:rsidRDefault="00A5555A" w:rsidP="0098410D">
      <w:r>
        <w:continuationSeparator/>
      </w:r>
    </w:p>
  </w:footnote>
  <w:footnote w:type="continuationNotice" w:id="1">
    <w:p w14:paraId="720ADE85" w14:textId="77777777" w:rsidR="00A5555A" w:rsidRDefault="00A5555A"/>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913A64" w14:textId="77777777" w:rsidR="00176B6A" w:rsidRPr="00A45145" w:rsidRDefault="00176B6A" w:rsidP="00A45145">
    <w:pPr>
      <w:jc w:val="center"/>
    </w:pPr>
    <w:r>
      <w:rPr>
        <w:noProof/>
        <w:lang w:val="pl-PL" w:eastAsia="pl-PL"/>
      </w:rPr>
      <w:drawing>
        <wp:inline distT="0" distB="0" distL="0" distR="0" wp14:anchorId="1D3A7BD1" wp14:editId="67ACB85F">
          <wp:extent cx="2962275" cy="1219200"/>
          <wp:effectExtent l="0" t="0" r="9525" b="0"/>
          <wp:docPr id="37" name="Picture 3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D79E910" w14:textId="77777777" w:rsidR="0098410D" w:rsidRPr="00CD447B" w:rsidRDefault="0098410D"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9BA5FC" w14:textId="77777777" w:rsidR="00176B6A" w:rsidRPr="00A45145" w:rsidRDefault="00176B6A" w:rsidP="00A45145">
    <w:pPr>
      <w:jc w:val="center"/>
    </w:pPr>
    <w:r>
      <w:rPr>
        <w:noProof/>
        <w:lang w:val="pl-PL" w:eastAsia="pl-PL"/>
      </w:rPr>
      <w:drawing>
        <wp:inline distT="0" distB="0" distL="0" distR="0" wp14:anchorId="7D2ED45B" wp14:editId="08959E59">
          <wp:extent cx="2962275" cy="1219200"/>
          <wp:effectExtent l="0" t="0" r="9525" b="0"/>
          <wp:docPr id="36" name="Picture 3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13BA53E" w14:textId="77777777" w:rsidR="0098410D" w:rsidRPr="00CD447B" w:rsidRDefault="0098410D"/>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BDFA24" w14:textId="7DDAD89F" w:rsidR="00C26D3D" w:rsidRPr="006E4F1E" w:rsidRDefault="00176B6A" w:rsidP="004D0EC7">
    <w:pPr>
      <w:pStyle w:val="JuHeader"/>
      <w:rPr>
        <w:lang w:val="pl-PL"/>
      </w:rPr>
    </w:pPr>
    <w:r>
      <w:rPr>
        <w:lang w:val="pl"/>
      </w:rPr>
      <w:t xml:space="preserve">WYROK W SPRAWIE </w:t>
    </w:r>
    <w:proofErr w:type="spellStart"/>
    <w:r>
      <w:rPr>
        <w:lang w:val="pl"/>
      </w:rPr>
      <w:t>SUDITA</w:t>
    </w:r>
    <w:proofErr w:type="spellEnd"/>
    <w:r>
      <w:rPr>
        <w:lang w:val="pl"/>
      </w:rPr>
      <w:t xml:space="preserve"> </w:t>
    </w:r>
    <w:proofErr w:type="spellStart"/>
    <w:r>
      <w:rPr>
        <w:lang w:val="pl"/>
      </w:rPr>
      <w:t>KEITA</w:t>
    </w:r>
    <w:proofErr w:type="spellEnd"/>
    <w:r>
      <w:rPr>
        <w:lang w:val="pl"/>
      </w:rPr>
      <w:t xml:space="preserve"> </w:t>
    </w:r>
    <w:r w:rsidR="00F473FD">
      <w:rPr>
        <w:lang w:val="pl"/>
      </w:rPr>
      <w:t>PRZECIWKO</w:t>
    </w:r>
    <w:r>
      <w:rPr>
        <w:lang w:val="pl"/>
      </w:rPr>
      <w:t xml:space="preserve"> WĘGROM</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598C9" w14:textId="4FB5522F" w:rsidR="00C26D3D" w:rsidRPr="006E4F1E" w:rsidRDefault="00176B6A" w:rsidP="007D3701">
    <w:pPr>
      <w:pStyle w:val="JuHeader"/>
      <w:rPr>
        <w:lang w:val="pl-PL"/>
      </w:rPr>
    </w:pPr>
    <w:r>
      <w:rPr>
        <w:lang w:val="pl"/>
      </w:rPr>
      <w:t xml:space="preserve">WYROK W SPRAWIE </w:t>
    </w:r>
    <w:proofErr w:type="spellStart"/>
    <w:r>
      <w:rPr>
        <w:lang w:val="pl"/>
      </w:rPr>
      <w:t>SUDITA</w:t>
    </w:r>
    <w:proofErr w:type="spellEnd"/>
    <w:r>
      <w:rPr>
        <w:lang w:val="pl"/>
      </w:rPr>
      <w:t xml:space="preserve"> </w:t>
    </w:r>
    <w:proofErr w:type="spellStart"/>
    <w:r>
      <w:rPr>
        <w:lang w:val="pl"/>
      </w:rPr>
      <w:t>KEITA</w:t>
    </w:r>
    <w:proofErr w:type="spellEnd"/>
    <w:r>
      <w:rPr>
        <w:lang w:val="pl"/>
      </w:rPr>
      <w:t xml:space="preserve"> </w:t>
    </w:r>
    <w:r w:rsidR="00F473FD">
      <w:rPr>
        <w:lang w:val="pl"/>
      </w:rPr>
      <w:t>PRZECIWKO W</w:t>
    </w:r>
    <w:r>
      <w:rPr>
        <w:lang w:val="pl"/>
      </w:rPr>
      <w:t>ĘGROM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A8741ACC"/>
    <w:lvl w:ilvl="0">
      <w:start w:val="1"/>
      <w:numFmt w:val="none"/>
      <w:suff w:val="nothing"/>
      <w:lvlText w:val="%1"/>
      <w:lvlJc w:val="left"/>
      <w:pPr>
        <w:ind w:left="0" w:firstLine="0"/>
      </w:pPr>
      <w:rPr>
        <w:rFonts w:hint="default"/>
      </w:rPr>
    </w:lvl>
    <w:lvl w:ilvl="1">
      <w:start w:val="1"/>
      <w:numFmt w:val="upperRoman"/>
      <w:suff w:val="space"/>
      <w:lvlText w:val="%2."/>
      <w:lvlJc w:val="left"/>
      <w:pPr>
        <w:ind w:left="357" w:hanging="357"/>
      </w:pPr>
      <w:rPr>
        <w:rFonts w:hint="default"/>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lvlText w:val="(%7)"/>
      <w:lvlJc w:val="left"/>
      <w:pPr>
        <w:ind w:left="1372" w:hanging="334"/>
      </w:pPr>
      <w:rPr>
        <w:rFonts w:hint="default"/>
      </w:rPr>
    </w:lvl>
    <w:lvl w:ilvl="7">
      <w:start w:val="1"/>
      <w:numFmt w:val="bullet"/>
      <w:lvlText w:val="‒"/>
      <w:lvlJc w:val="left"/>
      <w:pPr>
        <w:ind w:left="1418" w:hanging="227"/>
      </w:pPr>
      <w:rPr>
        <w:rFonts w:ascii="Times New Roman" w:hAnsi="Times New Roman" w:cs="Times New Roman" w:hint="default"/>
        <w:color w:val="auto"/>
      </w:rPr>
    </w:lvl>
    <w:lvl w:ilvl="8">
      <w:start w:val="1"/>
      <w:numFmt w:val="bullet"/>
      <w:lvlText w:val="▪"/>
      <w:lvlJc w:val="left"/>
      <w:pPr>
        <w:ind w:left="1644" w:hanging="226"/>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85E6A40"/>
    <w:multiLevelType w:val="multilevel"/>
    <w:tmpl w:val="84A2DB16"/>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15:restartNumberingAfterBreak="0">
    <w:nsid w:val="56B9429C"/>
    <w:multiLevelType w:val="multilevel"/>
    <w:tmpl w:val="0326302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imes New Roman" w:hAnsi="Times New Roman" w:hint="default"/>
        <w:sz w:val="20"/>
      </w:rPr>
    </w:lvl>
    <w:lvl w:ilvl="7">
      <w:start w:val="1"/>
      <w:numFmt w:val="bullet"/>
      <w:pStyle w:val="JuH"/>
      <w:lvlText w:val="‒"/>
      <w:lvlJc w:val="left"/>
      <w:pPr>
        <w:ind w:left="1304" w:hanging="68"/>
      </w:pPr>
      <w:rPr>
        <w:rFonts w:ascii="Calibri" w:hAnsi="Calibri" w:hint="default"/>
        <w:color w:val="auto"/>
      </w:rPr>
    </w:lvl>
    <w:lvl w:ilvl="8">
      <w:start w:val="1"/>
      <w:numFmt w:val="bullet"/>
      <w:pStyle w:val="ECHRHeading9"/>
      <w:lvlText w:val="▪"/>
      <w:lvlJc w:val="left"/>
      <w:pPr>
        <w:ind w:left="1644" w:hanging="226"/>
      </w:pPr>
      <w:rPr>
        <w:rFonts w:ascii="Calibri" w:hAnsi="Calibri" w:hint="default"/>
        <w:b w:val="0"/>
        <w:i w:val="0"/>
        <w:color w:val="auto"/>
        <w:sz w:val="18"/>
      </w:rPr>
    </w:lvl>
  </w:abstractNum>
  <w:abstractNum w:abstractNumId="19"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0" w15:restartNumberingAfterBreak="0">
    <w:nsid w:val="69B170C5"/>
    <w:multiLevelType w:val="multilevel"/>
    <w:tmpl w:val="EBE68D30"/>
    <w:lvl w:ilvl="0">
      <w:start w:val="1"/>
      <w:numFmt w:val="upperRoman"/>
      <w:pStyle w:val="Nagwek1"/>
      <w:lvlText w:val="Article %1."/>
      <w:lvlJc w:val="left"/>
      <w:pPr>
        <w:ind w:left="0" w:firstLine="0"/>
      </w:pPr>
    </w:lvl>
    <w:lvl w:ilvl="1">
      <w:start w:val="1"/>
      <w:numFmt w:val="decimalZero"/>
      <w:pStyle w:val="Nagwek2"/>
      <w:isLgl/>
      <w:lvlText w:val="Section %1.%2"/>
      <w:lvlJc w:val="left"/>
      <w:pPr>
        <w:ind w:left="0" w:firstLine="0"/>
      </w:pPr>
    </w:lvl>
    <w:lvl w:ilvl="2">
      <w:start w:val="1"/>
      <w:numFmt w:val="lowerLetter"/>
      <w:pStyle w:val="Nagwek3"/>
      <w:lvlText w:val="(%3)"/>
      <w:lvlJc w:val="left"/>
      <w:pPr>
        <w:ind w:left="720" w:hanging="432"/>
      </w:pPr>
    </w:lvl>
    <w:lvl w:ilvl="3">
      <w:start w:val="1"/>
      <w:numFmt w:val="lowerRoman"/>
      <w:pStyle w:val="Nagwek4"/>
      <w:lvlText w:val="(%4)"/>
      <w:lvlJc w:val="right"/>
      <w:pPr>
        <w:ind w:left="864" w:hanging="144"/>
      </w:pPr>
    </w:lvl>
    <w:lvl w:ilvl="4">
      <w:start w:val="1"/>
      <w:numFmt w:val="decimal"/>
      <w:pStyle w:val="Nagwek5"/>
      <w:lvlText w:val="%5)"/>
      <w:lvlJc w:val="left"/>
      <w:pPr>
        <w:ind w:left="1008" w:hanging="432"/>
      </w:pPr>
    </w:lvl>
    <w:lvl w:ilvl="5">
      <w:start w:val="1"/>
      <w:numFmt w:val="lowerLetter"/>
      <w:pStyle w:val="Nagwek6"/>
      <w:lvlText w:val="%6)"/>
      <w:lvlJc w:val="left"/>
      <w:pPr>
        <w:ind w:left="1152" w:hanging="432"/>
      </w:pPr>
    </w:lvl>
    <w:lvl w:ilvl="6">
      <w:start w:val="1"/>
      <w:numFmt w:val="lowerRoman"/>
      <w:pStyle w:val="Nagwek7"/>
      <w:lvlText w:val="%7)"/>
      <w:lvlJc w:val="right"/>
      <w:pPr>
        <w:ind w:left="1296" w:hanging="288"/>
      </w:pPr>
    </w:lvl>
    <w:lvl w:ilvl="7">
      <w:start w:val="1"/>
      <w:numFmt w:val="lowerLetter"/>
      <w:pStyle w:val="Nagwek8"/>
      <w:lvlText w:val="%8."/>
      <w:lvlJc w:val="left"/>
      <w:pPr>
        <w:ind w:left="1440" w:hanging="432"/>
      </w:pPr>
    </w:lvl>
    <w:lvl w:ilvl="8">
      <w:start w:val="1"/>
      <w:numFmt w:val="lowerRoman"/>
      <w:pStyle w:val="Nagwek9"/>
      <w:lvlText w:val="%9."/>
      <w:lvlJc w:val="right"/>
      <w:pPr>
        <w:ind w:left="1584" w:hanging="144"/>
      </w:pPr>
    </w:lvl>
  </w:abstractNum>
  <w:num w:numId="1">
    <w:abstractNumId w:val="15"/>
  </w:num>
  <w:num w:numId="2">
    <w:abstractNumId w:val="12"/>
  </w:num>
  <w:num w:numId="3">
    <w:abstractNumId w:val="11"/>
  </w:num>
  <w:num w:numId="4">
    <w:abstractNumId w:val="16"/>
  </w:num>
  <w:num w:numId="5">
    <w:abstractNumId w:val="13"/>
  </w:num>
  <w:num w:numId="6">
    <w:abstractNumId w:val="17"/>
  </w:num>
  <w:num w:numId="7">
    <w:abstractNumId w:val="16"/>
  </w:num>
  <w:num w:numId="8">
    <w:abstractNumId w:val="17"/>
  </w:num>
  <w:num w:numId="9">
    <w:abstractNumId w:val="20"/>
  </w:num>
  <w:num w:numId="10">
    <w:abstractNumId w:val="18"/>
  </w:num>
  <w:num w:numId="11">
    <w:abstractNumId w:val="9"/>
  </w:num>
  <w:num w:numId="12">
    <w:abstractNumId w:val="1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4"/>
  </w:num>
  <w:num w:numId="23">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removePersonalInformation/>
  <w:proofState w:spelling="clean"/>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s>
  <w:rsids>
    <w:rsidRoot w:val="00176B6A"/>
    <w:rsid w:val="000041F8"/>
    <w:rsid w:val="000042A8"/>
    <w:rsid w:val="00004308"/>
    <w:rsid w:val="00005BF0"/>
    <w:rsid w:val="00007154"/>
    <w:rsid w:val="000103AE"/>
    <w:rsid w:val="0001141E"/>
    <w:rsid w:val="00011D69"/>
    <w:rsid w:val="00012AD3"/>
    <w:rsid w:val="00015C2D"/>
    <w:rsid w:val="00015F00"/>
    <w:rsid w:val="00022C1D"/>
    <w:rsid w:val="00031428"/>
    <w:rsid w:val="00034987"/>
    <w:rsid w:val="00041560"/>
    <w:rsid w:val="000524BF"/>
    <w:rsid w:val="000602DF"/>
    <w:rsid w:val="00061B05"/>
    <w:rsid w:val="000632D5"/>
    <w:rsid w:val="000644EE"/>
    <w:rsid w:val="0007780A"/>
    <w:rsid w:val="00085457"/>
    <w:rsid w:val="00086073"/>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391A"/>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76B6A"/>
    <w:rsid w:val="001832BD"/>
    <w:rsid w:val="001943B5"/>
    <w:rsid w:val="00195134"/>
    <w:rsid w:val="001A0DB6"/>
    <w:rsid w:val="001A145B"/>
    <w:rsid w:val="001A3E09"/>
    <w:rsid w:val="001A674C"/>
    <w:rsid w:val="001B3B24"/>
    <w:rsid w:val="001C055B"/>
    <w:rsid w:val="001C0F98"/>
    <w:rsid w:val="001C2A42"/>
    <w:rsid w:val="001D63ED"/>
    <w:rsid w:val="001D7348"/>
    <w:rsid w:val="001E035B"/>
    <w:rsid w:val="001E0961"/>
    <w:rsid w:val="001E148F"/>
    <w:rsid w:val="001E3EAE"/>
    <w:rsid w:val="001E6857"/>
    <w:rsid w:val="001E6F32"/>
    <w:rsid w:val="001F2145"/>
    <w:rsid w:val="001F6262"/>
    <w:rsid w:val="001F67B0"/>
    <w:rsid w:val="001F7B3D"/>
    <w:rsid w:val="00202752"/>
    <w:rsid w:val="002027A1"/>
    <w:rsid w:val="0020335A"/>
    <w:rsid w:val="002052BC"/>
    <w:rsid w:val="00205F9F"/>
    <w:rsid w:val="00210338"/>
    <w:rsid w:val="002115FC"/>
    <w:rsid w:val="0021423C"/>
    <w:rsid w:val="00216AF5"/>
    <w:rsid w:val="00222037"/>
    <w:rsid w:val="00222F94"/>
    <w:rsid w:val="00230D00"/>
    <w:rsid w:val="00231DF7"/>
    <w:rsid w:val="00231FD1"/>
    <w:rsid w:val="0023348B"/>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3DC2"/>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1C97"/>
    <w:rsid w:val="00302F70"/>
    <w:rsid w:val="0030336F"/>
    <w:rsid w:val="0030375E"/>
    <w:rsid w:val="00312A30"/>
    <w:rsid w:val="003201D8"/>
    <w:rsid w:val="00320F72"/>
    <w:rsid w:val="0032463E"/>
    <w:rsid w:val="00326224"/>
    <w:rsid w:val="00337EE4"/>
    <w:rsid w:val="00340FFD"/>
    <w:rsid w:val="003433B3"/>
    <w:rsid w:val="003439E4"/>
    <w:rsid w:val="00345C41"/>
    <w:rsid w:val="003506B1"/>
    <w:rsid w:val="00355877"/>
    <w:rsid w:val="00356AC7"/>
    <w:rsid w:val="003609FA"/>
    <w:rsid w:val="003710C8"/>
    <w:rsid w:val="003750BE"/>
    <w:rsid w:val="0037750F"/>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3ED7"/>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4429"/>
    <w:rsid w:val="00511C07"/>
    <w:rsid w:val="005125CB"/>
    <w:rsid w:val="00512EC4"/>
    <w:rsid w:val="0051725A"/>
    <w:rsid w:val="005173A6"/>
    <w:rsid w:val="00520354"/>
    <w:rsid w:val="00520BAA"/>
    <w:rsid w:val="005217D8"/>
    <w:rsid w:val="00525208"/>
    <w:rsid w:val="005257A5"/>
    <w:rsid w:val="005264C0"/>
    <w:rsid w:val="00526A8A"/>
    <w:rsid w:val="00530FE6"/>
    <w:rsid w:val="00531DF2"/>
    <w:rsid w:val="0053315C"/>
    <w:rsid w:val="00537476"/>
    <w:rsid w:val="005442EE"/>
    <w:rsid w:val="00545DA6"/>
    <w:rsid w:val="00547353"/>
    <w:rsid w:val="005474E7"/>
    <w:rsid w:val="005512A3"/>
    <w:rsid w:val="0055169E"/>
    <w:rsid w:val="005578CE"/>
    <w:rsid w:val="00562781"/>
    <w:rsid w:val="00562B6C"/>
    <w:rsid w:val="0057271C"/>
    <w:rsid w:val="00572845"/>
    <w:rsid w:val="005750B6"/>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0D7F"/>
    <w:rsid w:val="005E2988"/>
    <w:rsid w:val="005E3085"/>
    <w:rsid w:val="005E73ED"/>
    <w:rsid w:val="005F51E1"/>
    <w:rsid w:val="00611C80"/>
    <w:rsid w:val="00617AB2"/>
    <w:rsid w:val="00620692"/>
    <w:rsid w:val="006242CA"/>
    <w:rsid w:val="0062693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4F1E"/>
    <w:rsid w:val="006E68A3"/>
    <w:rsid w:val="006E7E80"/>
    <w:rsid w:val="006F1C2D"/>
    <w:rsid w:val="006F48CA"/>
    <w:rsid w:val="006F64DD"/>
    <w:rsid w:val="006F712D"/>
    <w:rsid w:val="00715127"/>
    <w:rsid w:val="00715E8E"/>
    <w:rsid w:val="00720505"/>
    <w:rsid w:val="00723580"/>
    <w:rsid w:val="00723755"/>
    <w:rsid w:val="0073136C"/>
    <w:rsid w:val="00731F0F"/>
    <w:rsid w:val="00733250"/>
    <w:rsid w:val="00741404"/>
    <w:rsid w:val="007449E5"/>
    <w:rsid w:val="0074750E"/>
    <w:rsid w:val="00747FF0"/>
    <w:rsid w:val="0075566E"/>
    <w:rsid w:val="00763602"/>
    <w:rsid w:val="00763C02"/>
    <w:rsid w:val="00764D4E"/>
    <w:rsid w:val="00765A1F"/>
    <w:rsid w:val="00775B6D"/>
    <w:rsid w:val="00776D68"/>
    <w:rsid w:val="0078323E"/>
    <w:rsid w:val="007850EE"/>
    <w:rsid w:val="00785B95"/>
    <w:rsid w:val="00790E96"/>
    <w:rsid w:val="00793366"/>
    <w:rsid w:val="007A716F"/>
    <w:rsid w:val="007B270A"/>
    <w:rsid w:val="007B4182"/>
    <w:rsid w:val="007C0695"/>
    <w:rsid w:val="007C3D22"/>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C4D69"/>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5886"/>
    <w:rsid w:val="009B1606"/>
    <w:rsid w:val="009B1B5F"/>
    <w:rsid w:val="009B5907"/>
    <w:rsid w:val="009B6673"/>
    <w:rsid w:val="009C191B"/>
    <w:rsid w:val="009C2BD6"/>
    <w:rsid w:val="009E1F32"/>
    <w:rsid w:val="009E2CC2"/>
    <w:rsid w:val="009E776C"/>
    <w:rsid w:val="009F4C8F"/>
    <w:rsid w:val="00A05588"/>
    <w:rsid w:val="00A1475B"/>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092C"/>
    <w:rsid w:val="00A51D0F"/>
    <w:rsid w:val="00A54192"/>
    <w:rsid w:val="00A5555A"/>
    <w:rsid w:val="00A57147"/>
    <w:rsid w:val="00A6035E"/>
    <w:rsid w:val="00A6144C"/>
    <w:rsid w:val="00A66617"/>
    <w:rsid w:val="00A671F8"/>
    <w:rsid w:val="00A673A4"/>
    <w:rsid w:val="00A724AE"/>
    <w:rsid w:val="00A73329"/>
    <w:rsid w:val="00A82359"/>
    <w:rsid w:val="00A865D2"/>
    <w:rsid w:val="00A90BCD"/>
    <w:rsid w:val="00A91E4A"/>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60CB0"/>
    <w:rsid w:val="00B701ED"/>
    <w:rsid w:val="00B748F7"/>
    <w:rsid w:val="00B8086C"/>
    <w:rsid w:val="00B81C58"/>
    <w:rsid w:val="00B861B4"/>
    <w:rsid w:val="00B86DFE"/>
    <w:rsid w:val="00B90990"/>
    <w:rsid w:val="00B922FF"/>
    <w:rsid w:val="00B9281E"/>
    <w:rsid w:val="00B92A18"/>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0382"/>
    <w:rsid w:val="00BF118F"/>
    <w:rsid w:val="00BF4109"/>
    <w:rsid w:val="00BF4CC3"/>
    <w:rsid w:val="00C054C7"/>
    <w:rsid w:val="00C057B5"/>
    <w:rsid w:val="00C115C3"/>
    <w:rsid w:val="00C15547"/>
    <w:rsid w:val="00C1672D"/>
    <w:rsid w:val="00C22687"/>
    <w:rsid w:val="00C26A92"/>
    <w:rsid w:val="00C26B1C"/>
    <w:rsid w:val="00C32E4D"/>
    <w:rsid w:val="00C333A0"/>
    <w:rsid w:val="00C36A81"/>
    <w:rsid w:val="00C41974"/>
    <w:rsid w:val="00C44A2C"/>
    <w:rsid w:val="00C477F7"/>
    <w:rsid w:val="00C509A6"/>
    <w:rsid w:val="00C53F4A"/>
    <w:rsid w:val="00C54125"/>
    <w:rsid w:val="00C55B54"/>
    <w:rsid w:val="00C6098E"/>
    <w:rsid w:val="00C60B8F"/>
    <w:rsid w:val="00C60EBA"/>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CF641A"/>
    <w:rsid w:val="00D00ABB"/>
    <w:rsid w:val="00D02EEC"/>
    <w:rsid w:val="00D03551"/>
    <w:rsid w:val="00D06A63"/>
    <w:rsid w:val="00D06BD5"/>
    <w:rsid w:val="00D06F52"/>
    <w:rsid w:val="00D07E0E"/>
    <w:rsid w:val="00D10CD6"/>
    <w:rsid w:val="00D11478"/>
    <w:rsid w:val="00D15ED0"/>
    <w:rsid w:val="00D164BF"/>
    <w:rsid w:val="00D21B3E"/>
    <w:rsid w:val="00D21FED"/>
    <w:rsid w:val="00D23048"/>
    <w:rsid w:val="00D24251"/>
    <w:rsid w:val="00D26E72"/>
    <w:rsid w:val="00D343E2"/>
    <w:rsid w:val="00D361A2"/>
    <w:rsid w:val="00D44C2E"/>
    <w:rsid w:val="00D45414"/>
    <w:rsid w:val="00D467F5"/>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2456"/>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9D1"/>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2678"/>
    <w:rsid w:val="00E95C1E"/>
    <w:rsid w:val="00E97396"/>
    <w:rsid w:val="00EA185E"/>
    <w:rsid w:val="00EA592A"/>
    <w:rsid w:val="00EB14E4"/>
    <w:rsid w:val="00EB32A5"/>
    <w:rsid w:val="00EB34ED"/>
    <w:rsid w:val="00EB447C"/>
    <w:rsid w:val="00EB7BE0"/>
    <w:rsid w:val="00EC315E"/>
    <w:rsid w:val="00ED077C"/>
    <w:rsid w:val="00ED0C09"/>
    <w:rsid w:val="00ED10A9"/>
    <w:rsid w:val="00ED1190"/>
    <w:rsid w:val="00ED153A"/>
    <w:rsid w:val="00ED34AC"/>
    <w:rsid w:val="00ED6544"/>
    <w:rsid w:val="00EE0277"/>
    <w:rsid w:val="00EE2899"/>
    <w:rsid w:val="00EE3E00"/>
    <w:rsid w:val="00EE5DD2"/>
    <w:rsid w:val="00EF36C5"/>
    <w:rsid w:val="00EF3DB4"/>
    <w:rsid w:val="00F00A79"/>
    <w:rsid w:val="00F00D13"/>
    <w:rsid w:val="00F00E86"/>
    <w:rsid w:val="00F07C1E"/>
    <w:rsid w:val="00F105DB"/>
    <w:rsid w:val="00F1181D"/>
    <w:rsid w:val="00F132BC"/>
    <w:rsid w:val="00F13D80"/>
    <w:rsid w:val="00F15B4D"/>
    <w:rsid w:val="00F16A7C"/>
    <w:rsid w:val="00F16AAA"/>
    <w:rsid w:val="00F1709C"/>
    <w:rsid w:val="00F21161"/>
    <w:rsid w:val="00F218EF"/>
    <w:rsid w:val="00F21BC7"/>
    <w:rsid w:val="00F266A2"/>
    <w:rsid w:val="00F32269"/>
    <w:rsid w:val="00F35B7A"/>
    <w:rsid w:val="00F473FD"/>
    <w:rsid w:val="00F56A6F"/>
    <w:rsid w:val="00F5709C"/>
    <w:rsid w:val="00F60B85"/>
    <w:rsid w:val="00F64EF1"/>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5EF7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D467F5"/>
    <w:rPr>
      <w:sz w:val="24"/>
      <w:szCs w:val="24"/>
      <w:lang w:val="en-GB"/>
    </w:rPr>
  </w:style>
  <w:style w:type="paragraph" w:styleId="Nagwek1">
    <w:name w:val="heading 1"/>
    <w:basedOn w:val="Normalny"/>
    <w:next w:val="Normalny"/>
    <w:link w:val="Nagwek1Znak"/>
    <w:uiPriority w:val="99"/>
    <w:semiHidden/>
    <w:rsid w:val="007D3701"/>
    <w:pPr>
      <w:numPr>
        <w:numId w:val="9"/>
      </w:num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7D3701"/>
    <w:pPr>
      <w:numPr>
        <w:ilvl w:val="1"/>
        <w:numId w:val="9"/>
      </w:num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7D3701"/>
    <w:pPr>
      <w:numPr>
        <w:ilvl w:val="2"/>
        <w:numId w:val="9"/>
      </w:num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7D3701"/>
    <w:pPr>
      <w:numPr>
        <w:ilvl w:val="3"/>
        <w:numId w:val="9"/>
      </w:num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7D3701"/>
    <w:pPr>
      <w:numPr>
        <w:ilvl w:val="4"/>
        <w:numId w:val="9"/>
      </w:num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7D3701"/>
    <w:pPr>
      <w:numPr>
        <w:ilvl w:val="5"/>
        <w:numId w:val="9"/>
      </w:num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7D3701"/>
    <w:pPr>
      <w:numPr>
        <w:ilvl w:val="6"/>
        <w:numId w:val="9"/>
      </w:num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7D3701"/>
    <w:pPr>
      <w:numPr>
        <w:ilvl w:val="7"/>
        <w:numId w:val="9"/>
      </w:num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7D3701"/>
    <w:pPr>
      <w:numPr>
        <w:ilvl w:val="8"/>
        <w:numId w:val="9"/>
      </w:num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7D3701"/>
    <w:rPr>
      <w:rFonts w:ascii="Tahoma" w:hAnsi="Tahoma" w:cs="Tahoma"/>
      <w:sz w:val="16"/>
      <w:szCs w:val="16"/>
    </w:rPr>
  </w:style>
  <w:style w:type="character" w:customStyle="1" w:styleId="TekstdymkaZnak">
    <w:name w:val="Tekst dymka Znak"/>
    <w:basedOn w:val="Domylnaczcionkaakapitu"/>
    <w:link w:val="Tekstdymka"/>
    <w:uiPriority w:val="99"/>
    <w:semiHidden/>
    <w:rsid w:val="007D3701"/>
    <w:rPr>
      <w:rFonts w:ascii="Tahoma" w:hAnsi="Tahoma" w:cs="Tahoma"/>
      <w:sz w:val="16"/>
      <w:szCs w:val="16"/>
      <w:lang w:val="en-GB"/>
    </w:rPr>
  </w:style>
  <w:style w:type="character" w:styleId="Tytuksiki">
    <w:name w:val="Book Title"/>
    <w:uiPriority w:val="99"/>
    <w:semiHidden/>
    <w:qFormat/>
    <w:rsid w:val="007D3701"/>
    <w:rPr>
      <w:i/>
      <w:iCs/>
      <w:smallCaps/>
      <w:spacing w:val="5"/>
    </w:rPr>
  </w:style>
  <w:style w:type="paragraph" w:customStyle="1" w:styleId="JuHeader">
    <w:name w:val="Ju_Header"/>
    <w:aliases w:val="_Header"/>
    <w:basedOn w:val="Nagwek"/>
    <w:uiPriority w:val="29"/>
    <w:qFormat/>
    <w:rsid w:val="007D3701"/>
    <w:pPr>
      <w:tabs>
        <w:tab w:val="clear" w:pos="4536"/>
        <w:tab w:val="clear" w:pos="9072"/>
      </w:tabs>
      <w:jc w:val="center"/>
    </w:pPr>
    <w:rPr>
      <w:sz w:val="18"/>
    </w:rPr>
  </w:style>
  <w:style w:type="paragraph" w:customStyle="1" w:styleId="NormalJustified">
    <w:name w:val="Normal_Justified"/>
    <w:basedOn w:val="Normalny"/>
    <w:semiHidden/>
    <w:rsid w:val="007D3701"/>
    <w:pPr>
      <w:jc w:val="both"/>
    </w:pPr>
  </w:style>
  <w:style w:type="character" w:styleId="Pogrubienie">
    <w:name w:val="Strong"/>
    <w:uiPriority w:val="99"/>
    <w:semiHidden/>
    <w:qFormat/>
    <w:rsid w:val="007D3701"/>
    <w:rPr>
      <w:b/>
      <w:bCs/>
    </w:rPr>
  </w:style>
  <w:style w:type="paragraph" w:styleId="Bezodstpw">
    <w:name w:val="No Spacing"/>
    <w:basedOn w:val="Normalny"/>
    <w:link w:val="BezodstpwZnak"/>
    <w:semiHidden/>
    <w:qFormat/>
    <w:rsid w:val="007D3701"/>
  </w:style>
  <w:style w:type="character" w:customStyle="1" w:styleId="BezodstpwZnak">
    <w:name w:val="Bez odstępów Znak"/>
    <w:basedOn w:val="Domylnaczcionkaakapitu"/>
    <w:link w:val="Bezodstpw"/>
    <w:semiHidden/>
    <w:rsid w:val="007D3701"/>
    <w:rPr>
      <w:sz w:val="24"/>
      <w:szCs w:val="24"/>
      <w:lang w:val="en-GB"/>
    </w:rPr>
  </w:style>
  <w:style w:type="paragraph" w:customStyle="1" w:styleId="JuQuot">
    <w:name w:val="Ju_Quot"/>
    <w:aliases w:val="_Quote"/>
    <w:basedOn w:val="NormalJustified"/>
    <w:uiPriority w:val="21"/>
    <w:qFormat/>
    <w:rsid w:val="007D3701"/>
    <w:pPr>
      <w:spacing w:before="120" w:after="120"/>
      <w:ind w:left="425" w:firstLine="142"/>
    </w:pPr>
    <w:rPr>
      <w:sz w:val="20"/>
    </w:rPr>
  </w:style>
  <w:style w:type="paragraph" w:customStyle="1" w:styleId="DecList">
    <w:name w:val="Dec_List"/>
    <w:aliases w:val="_List"/>
    <w:basedOn w:val="JuList"/>
    <w:uiPriority w:val="22"/>
    <w:rsid w:val="007D3701"/>
    <w:pPr>
      <w:numPr>
        <w:numId w:val="0"/>
      </w:numPr>
      <w:ind w:left="284"/>
    </w:pPr>
  </w:style>
  <w:style w:type="paragraph" w:customStyle="1" w:styleId="JuList">
    <w:name w:val="Ju_List"/>
    <w:aliases w:val="_List_1"/>
    <w:basedOn w:val="NormalJustified"/>
    <w:uiPriority w:val="23"/>
    <w:qFormat/>
    <w:rsid w:val="007D3701"/>
    <w:pPr>
      <w:numPr>
        <w:numId w:val="11"/>
      </w:numPr>
      <w:spacing w:before="280" w:after="60"/>
    </w:pPr>
  </w:style>
  <w:style w:type="paragraph" w:customStyle="1" w:styleId="JuLista">
    <w:name w:val="Ju_List_a"/>
    <w:aliases w:val="_List_2"/>
    <w:basedOn w:val="NormalJustified"/>
    <w:uiPriority w:val="23"/>
    <w:rsid w:val="007D3701"/>
    <w:pPr>
      <w:numPr>
        <w:ilvl w:val="1"/>
        <w:numId w:val="11"/>
      </w:numPr>
    </w:pPr>
  </w:style>
  <w:style w:type="paragraph" w:customStyle="1" w:styleId="JuListi">
    <w:name w:val="Ju_List_i"/>
    <w:aliases w:val="_List_3"/>
    <w:basedOn w:val="NormalJustified"/>
    <w:uiPriority w:val="23"/>
    <w:rsid w:val="007D3701"/>
    <w:pPr>
      <w:numPr>
        <w:ilvl w:val="2"/>
        <w:numId w:val="11"/>
      </w:numPr>
    </w:pPr>
  </w:style>
  <w:style w:type="paragraph" w:customStyle="1" w:styleId="JuHArticle">
    <w:name w:val="Ju_H_Article"/>
    <w:aliases w:val="_Title_Quote"/>
    <w:basedOn w:val="Normalny"/>
    <w:next w:val="JuQuot"/>
    <w:uiPriority w:val="20"/>
    <w:qFormat/>
    <w:rsid w:val="007D3701"/>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5"/>
    <w:qFormat/>
    <w:rsid w:val="007D3701"/>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5"/>
    <w:qFormat/>
    <w:rsid w:val="007D3701"/>
    <w:pPr>
      <w:keepNext/>
      <w:keepLines/>
      <w:tabs>
        <w:tab w:val="right" w:pos="7938"/>
      </w:tabs>
      <w:ind w:firstLine="0"/>
      <w:jc w:val="center"/>
    </w:pPr>
    <w:rPr>
      <w:i/>
    </w:rPr>
  </w:style>
  <w:style w:type="paragraph" w:customStyle="1" w:styleId="JuHHead">
    <w:name w:val="Ju_H_Head"/>
    <w:aliases w:val="_Head_1"/>
    <w:basedOn w:val="Normalny"/>
    <w:next w:val="JuPara"/>
    <w:uiPriority w:val="17"/>
    <w:qFormat/>
    <w:rsid w:val="007D3701"/>
    <w:pPr>
      <w:keepNext/>
      <w:keepLines/>
      <w:numPr>
        <w:numId w:val="10"/>
      </w:numPr>
      <w:spacing w:before="100" w:beforeAutospacing="1" w:after="240"/>
      <w:jc w:val="both"/>
      <w:outlineLvl w:val="0"/>
    </w:pPr>
    <w:rPr>
      <w:caps/>
      <w:sz w:val="28"/>
    </w:rPr>
  </w:style>
  <w:style w:type="numbering" w:customStyle="1" w:styleId="ECHRA1StyleBulletedSquare">
    <w:name w:val="ECHR_A1_Style_Bulleted_Square"/>
    <w:basedOn w:val="Bezlisty"/>
    <w:rsid w:val="007D3701"/>
    <w:pPr>
      <w:numPr>
        <w:numId w:val="4"/>
      </w:numPr>
    </w:pPr>
  </w:style>
  <w:style w:type="paragraph" w:customStyle="1" w:styleId="JuSigned">
    <w:name w:val="Ju_Signed"/>
    <w:aliases w:val="_Signature"/>
    <w:basedOn w:val="Normalny"/>
    <w:next w:val="JuPara"/>
    <w:uiPriority w:val="30"/>
    <w:qFormat/>
    <w:rsid w:val="007D3701"/>
    <w:pPr>
      <w:tabs>
        <w:tab w:val="center" w:pos="851"/>
        <w:tab w:val="center" w:pos="6407"/>
      </w:tabs>
      <w:spacing w:before="720"/>
    </w:pPr>
  </w:style>
  <w:style w:type="paragraph" w:styleId="Tytu">
    <w:name w:val="Title"/>
    <w:basedOn w:val="Normalny"/>
    <w:next w:val="Normalny"/>
    <w:link w:val="TytuZnak"/>
    <w:uiPriority w:val="99"/>
    <w:semiHidden/>
    <w:qFormat/>
    <w:rsid w:val="007D370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7D3701"/>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7D3701"/>
    <w:pPr>
      <w:numPr>
        <w:numId w:val="5"/>
      </w:numPr>
    </w:pPr>
  </w:style>
  <w:style w:type="numbering" w:customStyle="1" w:styleId="ECHRA1StyleNumberedList">
    <w:name w:val="ECHR_A1_Style_Numbered_List"/>
    <w:basedOn w:val="Bezlisty"/>
    <w:rsid w:val="007D3701"/>
    <w:pPr>
      <w:numPr>
        <w:numId w:val="6"/>
      </w:numPr>
    </w:pPr>
  </w:style>
  <w:style w:type="table" w:customStyle="1" w:styleId="ECHRTable2019">
    <w:name w:val="ECHR_Table_2019"/>
    <w:basedOn w:val="Standardowy"/>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1"/>
    <w:qFormat/>
    <w:rsid w:val="007D3701"/>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ny"/>
    <w:next w:val="JuPara"/>
    <w:uiPriority w:val="17"/>
    <w:qFormat/>
    <w:rsid w:val="007D3701"/>
    <w:pPr>
      <w:keepNext/>
      <w:keepLines/>
      <w:numPr>
        <w:ilvl w:val="1"/>
        <w:numId w:val="10"/>
      </w:numPr>
      <w:spacing w:before="100" w:beforeAutospacing="1" w:after="240"/>
      <w:jc w:val="both"/>
      <w:outlineLvl w:val="1"/>
    </w:pPr>
    <w:rPr>
      <w:caps/>
    </w:rPr>
  </w:style>
  <w:style w:type="paragraph" w:customStyle="1" w:styleId="JuHA">
    <w:name w:val="Ju_H_A"/>
    <w:aliases w:val="_Head_3"/>
    <w:basedOn w:val="Normalny"/>
    <w:next w:val="JuPara"/>
    <w:uiPriority w:val="17"/>
    <w:qFormat/>
    <w:rsid w:val="007D3701"/>
    <w:pPr>
      <w:keepNext/>
      <w:keepLines/>
      <w:numPr>
        <w:ilvl w:val="2"/>
        <w:numId w:val="10"/>
      </w:numPr>
      <w:spacing w:before="100" w:beforeAutospacing="1" w:after="240"/>
      <w:jc w:val="both"/>
      <w:outlineLvl w:val="2"/>
    </w:pPr>
    <w:rPr>
      <w:b/>
    </w:rPr>
  </w:style>
  <w:style w:type="paragraph" w:customStyle="1" w:styleId="JuH1">
    <w:name w:val="Ju_H_1."/>
    <w:aliases w:val="_Head_4"/>
    <w:basedOn w:val="Normalny"/>
    <w:next w:val="JuPara"/>
    <w:uiPriority w:val="17"/>
    <w:rsid w:val="007D3701"/>
    <w:pPr>
      <w:keepNext/>
      <w:keepLines/>
      <w:numPr>
        <w:ilvl w:val="3"/>
        <w:numId w:val="10"/>
      </w:numPr>
      <w:spacing w:before="100" w:beforeAutospacing="1" w:after="120"/>
      <w:jc w:val="both"/>
      <w:outlineLvl w:val="3"/>
    </w:pPr>
    <w:rPr>
      <w:i/>
    </w:rPr>
  </w:style>
  <w:style w:type="paragraph" w:styleId="Nagwek">
    <w:name w:val="header"/>
    <w:basedOn w:val="Normalny"/>
    <w:link w:val="NagwekZnak"/>
    <w:uiPriority w:val="57"/>
    <w:semiHidden/>
    <w:rsid w:val="007D3701"/>
    <w:pPr>
      <w:tabs>
        <w:tab w:val="center" w:pos="4536"/>
        <w:tab w:val="right" w:pos="9072"/>
      </w:tabs>
    </w:pPr>
  </w:style>
  <w:style w:type="character" w:customStyle="1" w:styleId="NagwekZnak">
    <w:name w:val="Nagłówek Znak"/>
    <w:basedOn w:val="Domylnaczcionkaakapitu"/>
    <w:link w:val="Nagwek"/>
    <w:uiPriority w:val="57"/>
    <w:semiHidden/>
    <w:rsid w:val="007D3701"/>
    <w:rPr>
      <w:sz w:val="24"/>
      <w:szCs w:val="24"/>
      <w:lang w:val="en-GB"/>
    </w:rPr>
  </w:style>
  <w:style w:type="character" w:customStyle="1" w:styleId="Nagwek1Znak">
    <w:name w:val="Nagłówek 1 Znak"/>
    <w:basedOn w:val="Domylnaczcionkaakapitu"/>
    <w:link w:val="Nagwek1"/>
    <w:uiPriority w:val="99"/>
    <w:semiHidden/>
    <w:rsid w:val="007D3701"/>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ormalny"/>
    <w:next w:val="JuPara"/>
    <w:uiPriority w:val="17"/>
    <w:rsid w:val="007D3701"/>
    <w:pPr>
      <w:keepNext/>
      <w:keepLines/>
      <w:numPr>
        <w:ilvl w:val="4"/>
        <w:numId w:val="10"/>
      </w:numPr>
      <w:spacing w:before="100" w:beforeAutospacing="1" w:after="120"/>
      <w:jc w:val="both"/>
      <w:outlineLvl w:val="4"/>
    </w:pPr>
    <w:rPr>
      <w:b/>
      <w:sz w:val="20"/>
    </w:rPr>
  </w:style>
  <w:style w:type="paragraph" w:customStyle="1" w:styleId="JuHi">
    <w:name w:val="Ju_H_i"/>
    <w:aliases w:val="_Head_6"/>
    <w:basedOn w:val="Normalny"/>
    <w:next w:val="JuPara"/>
    <w:uiPriority w:val="17"/>
    <w:rsid w:val="007D3701"/>
    <w:pPr>
      <w:keepNext/>
      <w:keepLines/>
      <w:numPr>
        <w:ilvl w:val="5"/>
        <w:numId w:val="10"/>
      </w:numPr>
      <w:spacing w:before="100" w:beforeAutospacing="1" w:after="120"/>
      <w:jc w:val="both"/>
      <w:outlineLvl w:val="5"/>
    </w:pPr>
    <w:rPr>
      <w:i/>
      <w:sz w:val="20"/>
    </w:rPr>
  </w:style>
  <w:style w:type="character" w:customStyle="1" w:styleId="Nagwek2Znak">
    <w:name w:val="Nagłówek 2 Znak"/>
    <w:basedOn w:val="Domylnaczcionkaakapitu"/>
    <w:link w:val="Nagwek2"/>
    <w:uiPriority w:val="99"/>
    <w:semiHidden/>
    <w:rsid w:val="007D3701"/>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ny"/>
    <w:next w:val="JuPara"/>
    <w:uiPriority w:val="17"/>
    <w:rsid w:val="007D3701"/>
    <w:pPr>
      <w:keepNext/>
      <w:keepLines/>
      <w:numPr>
        <w:ilvl w:val="6"/>
        <w:numId w:val="10"/>
      </w:numPr>
      <w:spacing w:before="100" w:beforeAutospacing="1" w:after="120"/>
      <w:jc w:val="both"/>
      <w:outlineLvl w:val="6"/>
    </w:pPr>
    <w:rPr>
      <w:sz w:val="20"/>
    </w:rPr>
  </w:style>
  <w:style w:type="paragraph" w:customStyle="1" w:styleId="JuH">
    <w:name w:val="Ju_H_–"/>
    <w:aliases w:val="_Head_8"/>
    <w:basedOn w:val="Normalny"/>
    <w:next w:val="JuPara"/>
    <w:uiPriority w:val="17"/>
    <w:rsid w:val="007D3701"/>
    <w:pPr>
      <w:keepNext/>
      <w:keepLines/>
      <w:numPr>
        <w:ilvl w:val="7"/>
        <w:numId w:val="10"/>
      </w:numPr>
      <w:spacing w:before="100" w:beforeAutospacing="1" w:after="120"/>
      <w:jc w:val="both"/>
      <w:outlineLvl w:val="7"/>
    </w:pPr>
    <w:rPr>
      <w:i/>
      <w:sz w:val="20"/>
    </w:rPr>
  </w:style>
  <w:style w:type="character" w:customStyle="1" w:styleId="Nagwek3Znak">
    <w:name w:val="Nagłówek 3 Znak"/>
    <w:basedOn w:val="Domylnaczcionkaakapitu"/>
    <w:link w:val="Nagwek3"/>
    <w:uiPriority w:val="99"/>
    <w:semiHidden/>
    <w:rsid w:val="007D3701"/>
    <w:rPr>
      <w:rFonts w:asciiTheme="majorHAnsi" w:eastAsiaTheme="majorEastAsia" w:hAnsiTheme="majorHAnsi" w:cstheme="majorBidi"/>
      <w:b/>
      <w:bCs/>
      <w:color w:val="5F5F5F"/>
      <w:sz w:val="24"/>
      <w:szCs w:val="24"/>
      <w:lang w:val="en-GB"/>
    </w:rPr>
  </w:style>
  <w:style w:type="paragraph" w:customStyle="1" w:styleId="JuParaLast">
    <w:name w:val="Ju_Para_Last"/>
    <w:aliases w:val="_Para_Spaced"/>
    <w:basedOn w:val="NormalJustified"/>
    <w:uiPriority w:val="9"/>
    <w:qFormat/>
    <w:rsid w:val="007D3701"/>
    <w:pPr>
      <w:keepNext/>
      <w:keepLines/>
      <w:spacing w:before="240" w:after="240"/>
      <w:ind w:firstLine="284"/>
    </w:pPr>
  </w:style>
  <w:style w:type="paragraph" w:customStyle="1" w:styleId="JuJudges">
    <w:name w:val="Ju_Judges"/>
    <w:aliases w:val="_Judges"/>
    <w:basedOn w:val="Normalny"/>
    <w:uiPriority w:val="31"/>
    <w:qFormat/>
    <w:rsid w:val="007D3701"/>
    <w:pPr>
      <w:tabs>
        <w:tab w:val="left" w:pos="567"/>
        <w:tab w:val="left" w:pos="1134"/>
      </w:tabs>
    </w:pPr>
  </w:style>
  <w:style w:type="character" w:customStyle="1" w:styleId="Nagwek4Znak">
    <w:name w:val="Nagłówek 4 Znak"/>
    <w:basedOn w:val="Domylnaczcionkaakapitu"/>
    <w:link w:val="Nagwek4"/>
    <w:uiPriority w:val="99"/>
    <w:semiHidden/>
    <w:rsid w:val="007D3701"/>
    <w:rPr>
      <w:rFonts w:asciiTheme="majorHAnsi" w:eastAsiaTheme="majorEastAsia" w:hAnsiTheme="majorHAnsi" w:cstheme="majorBidi"/>
      <w:b/>
      <w:bCs/>
      <w:i/>
      <w:iCs/>
      <w:color w:val="777777"/>
      <w:sz w:val="24"/>
      <w:szCs w:val="24"/>
      <w:lang w:val="en-GB"/>
    </w:rPr>
  </w:style>
  <w:style w:type="paragraph" w:customStyle="1" w:styleId="JuInitialled">
    <w:name w:val="Ju_Initialled"/>
    <w:aliases w:val="_Right"/>
    <w:basedOn w:val="Normalny"/>
    <w:uiPriority w:val="30"/>
    <w:qFormat/>
    <w:rsid w:val="007D3701"/>
    <w:pPr>
      <w:tabs>
        <w:tab w:val="center" w:pos="6407"/>
      </w:tabs>
      <w:spacing w:before="720"/>
      <w:jc w:val="right"/>
    </w:pPr>
  </w:style>
  <w:style w:type="character" w:customStyle="1" w:styleId="Nagwek5Znak">
    <w:name w:val="Nagłówek 5 Znak"/>
    <w:basedOn w:val="Domylnaczcionkaakapitu"/>
    <w:link w:val="Nagwek5"/>
    <w:uiPriority w:val="99"/>
    <w:semiHidden/>
    <w:rsid w:val="007D3701"/>
    <w:rPr>
      <w:rFonts w:asciiTheme="majorHAnsi" w:eastAsiaTheme="majorEastAsia" w:hAnsiTheme="majorHAnsi" w:cstheme="majorBidi"/>
      <w:b/>
      <w:bCs/>
      <w:color w:val="808080"/>
      <w:sz w:val="24"/>
      <w:szCs w:val="24"/>
      <w:lang w:val="en-GB"/>
    </w:rPr>
  </w:style>
  <w:style w:type="character" w:customStyle="1" w:styleId="JuITMark">
    <w:name w:val="Ju_ITMark"/>
    <w:aliases w:val="_ITMark"/>
    <w:basedOn w:val="Domylnaczcionkaakapitu"/>
    <w:uiPriority w:val="38"/>
    <w:qFormat/>
    <w:rsid w:val="007D3701"/>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4"/>
    <w:qFormat/>
    <w:rsid w:val="007D3701"/>
    <w:rPr>
      <w:caps w:val="0"/>
      <w:smallCaps/>
    </w:rPr>
  </w:style>
  <w:style w:type="character" w:styleId="Wyrnieniedelikatne">
    <w:name w:val="Subtle Emphasis"/>
    <w:uiPriority w:val="99"/>
    <w:semiHidden/>
    <w:qFormat/>
    <w:rsid w:val="007D3701"/>
    <w:rPr>
      <w:i/>
      <w:iCs/>
    </w:rPr>
  </w:style>
  <w:style w:type="table" w:customStyle="1" w:styleId="ECHRTable">
    <w:name w:val="ECHR_Table"/>
    <w:basedOn w:val="Standardowy"/>
    <w:rsid w:val="007D3701"/>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7D3701"/>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9"/>
    <w:semiHidden/>
    <w:qFormat/>
    <w:rsid w:val="007D3701"/>
    <w:rPr>
      <w:b/>
      <w:bCs/>
      <w:i/>
      <w:iCs/>
      <w:spacing w:val="10"/>
      <w:bdr w:val="none" w:sz="0" w:space="0" w:color="auto"/>
      <w:shd w:val="clear" w:color="auto" w:fill="auto"/>
    </w:rPr>
  </w:style>
  <w:style w:type="paragraph" w:styleId="Stopka">
    <w:name w:val="footer"/>
    <w:basedOn w:val="Normalny"/>
    <w:link w:val="StopkaZnak"/>
    <w:uiPriority w:val="57"/>
    <w:semiHidden/>
    <w:rsid w:val="007D3701"/>
    <w:pPr>
      <w:tabs>
        <w:tab w:val="center" w:pos="3686"/>
        <w:tab w:val="right" w:pos="7371"/>
      </w:tabs>
    </w:pPr>
  </w:style>
  <w:style w:type="character" w:customStyle="1" w:styleId="StopkaZnak">
    <w:name w:val="Stopka Znak"/>
    <w:basedOn w:val="Domylnaczcionkaakapitu"/>
    <w:link w:val="Stopka"/>
    <w:uiPriority w:val="57"/>
    <w:semiHidden/>
    <w:rsid w:val="007D3701"/>
    <w:rPr>
      <w:sz w:val="24"/>
      <w:szCs w:val="24"/>
      <w:lang w:val="en-GB"/>
    </w:rPr>
  </w:style>
  <w:style w:type="character" w:styleId="Odwoanieprzypisudolnego">
    <w:name w:val="footnote reference"/>
    <w:basedOn w:val="Domylnaczcionkaakapitu"/>
    <w:uiPriority w:val="99"/>
    <w:semiHidden/>
    <w:rsid w:val="007D3701"/>
    <w:rPr>
      <w:vertAlign w:val="superscript"/>
    </w:rPr>
  </w:style>
  <w:style w:type="paragraph" w:styleId="Tekstprzypisudolnego">
    <w:name w:val="footnote text"/>
    <w:basedOn w:val="Normalny"/>
    <w:link w:val="TekstprzypisudolnegoZnak"/>
    <w:uiPriority w:val="99"/>
    <w:semiHidden/>
    <w:rsid w:val="007D3701"/>
    <w:rPr>
      <w:sz w:val="20"/>
      <w:szCs w:val="20"/>
    </w:rPr>
  </w:style>
  <w:style w:type="character" w:customStyle="1" w:styleId="TekstprzypisudolnegoZnak">
    <w:name w:val="Tekst przypisu dolnego Znak"/>
    <w:basedOn w:val="Domylnaczcionkaakapitu"/>
    <w:link w:val="Tekstprzypisudolnego"/>
    <w:uiPriority w:val="99"/>
    <w:semiHidden/>
    <w:rsid w:val="007D3701"/>
    <w:rPr>
      <w:sz w:val="20"/>
      <w:szCs w:val="20"/>
      <w:lang w:val="en-GB"/>
    </w:rPr>
  </w:style>
  <w:style w:type="character" w:customStyle="1" w:styleId="Nagwek6Znak">
    <w:name w:val="Nagłówek 6 Znak"/>
    <w:basedOn w:val="Domylnaczcionkaakapitu"/>
    <w:link w:val="Nagwek6"/>
    <w:uiPriority w:val="99"/>
    <w:semiHidden/>
    <w:rsid w:val="007D3701"/>
    <w:rPr>
      <w:rFonts w:asciiTheme="majorHAnsi" w:eastAsiaTheme="majorEastAsia" w:hAnsiTheme="majorHAnsi" w:cstheme="majorBidi"/>
      <w:b/>
      <w:bCs/>
      <w:i/>
      <w:iCs/>
      <w:color w:val="7F7F7F" w:themeColor="text1" w:themeTint="80"/>
      <w:sz w:val="24"/>
      <w:szCs w:val="24"/>
      <w:lang w:val="en-GB" w:bidi="en-US"/>
    </w:rPr>
  </w:style>
  <w:style w:type="character" w:customStyle="1" w:styleId="Nagwek7Znak">
    <w:name w:val="Nagłówek 7 Znak"/>
    <w:basedOn w:val="Domylnaczcionkaakapitu"/>
    <w:link w:val="Nagwek7"/>
    <w:uiPriority w:val="99"/>
    <w:semiHidden/>
    <w:rsid w:val="007D3701"/>
    <w:rPr>
      <w:rFonts w:asciiTheme="majorHAnsi" w:eastAsiaTheme="majorEastAsia" w:hAnsiTheme="majorHAnsi" w:cstheme="majorBidi"/>
      <w:i/>
      <w:iCs/>
      <w:sz w:val="24"/>
      <w:szCs w:val="24"/>
      <w:lang w:val="en-GB" w:bidi="en-US"/>
    </w:rPr>
  </w:style>
  <w:style w:type="character" w:customStyle="1" w:styleId="Nagwek8Znak">
    <w:name w:val="Nagłówek 8 Znak"/>
    <w:basedOn w:val="Domylnaczcionkaakapitu"/>
    <w:link w:val="Nagwek8"/>
    <w:uiPriority w:val="99"/>
    <w:semiHidden/>
    <w:rsid w:val="007D3701"/>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9"/>
    <w:semiHidden/>
    <w:rsid w:val="007D3701"/>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9"/>
    <w:semiHidden/>
    <w:rsid w:val="007D3701"/>
    <w:rPr>
      <w:color w:val="0072BC" w:themeColor="hyperlink"/>
      <w:u w:val="single"/>
    </w:rPr>
  </w:style>
  <w:style w:type="character" w:styleId="Wyrnienieintensywne">
    <w:name w:val="Intense Emphasis"/>
    <w:uiPriority w:val="99"/>
    <w:semiHidden/>
    <w:qFormat/>
    <w:rsid w:val="007D3701"/>
    <w:rPr>
      <w:b/>
      <w:bCs/>
    </w:rPr>
  </w:style>
  <w:style w:type="paragraph" w:styleId="Cytatintensywny">
    <w:name w:val="Intense Quote"/>
    <w:basedOn w:val="Normalny"/>
    <w:next w:val="Normalny"/>
    <w:link w:val="CytatintensywnyZnak"/>
    <w:uiPriority w:val="99"/>
    <w:semiHidden/>
    <w:qFormat/>
    <w:rsid w:val="007D3701"/>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7D3701"/>
    <w:rPr>
      <w:b/>
      <w:bCs/>
      <w:i/>
      <w:iCs/>
      <w:sz w:val="24"/>
      <w:szCs w:val="24"/>
      <w:lang w:val="en-GB" w:bidi="en-US"/>
    </w:rPr>
  </w:style>
  <w:style w:type="character" w:styleId="Odwoanieintensywne">
    <w:name w:val="Intense Reference"/>
    <w:uiPriority w:val="99"/>
    <w:semiHidden/>
    <w:qFormat/>
    <w:rsid w:val="007D3701"/>
    <w:rPr>
      <w:smallCaps/>
      <w:spacing w:val="5"/>
      <w:u w:val="single"/>
    </w:rPr>
  </w:style>
  <w:style w:type="paragraph" w:styleId="Akapitzlist">
    <w:name w:val="List Paragraph"/>
    <w:basedOn w:val="Normalny"/>
    <w:uiPriority w:val="99"/>
    <w:semiHidden/>
    <w:qFormat/>
    <w:rsid w:val="007D3701"/>
    <w:pPr>
      <w:ind w:left="720"/>
      <w:contextualSpacing/>
    </w:pPr>
  </w:style>
  <w:style w:type="table" w:customStyle="1" w:styleId="LtrTableAddress">
    <w:name w:val="Ltr_Table_Address"/>
    <w:aliases w:val="ECHR_Ltr_Table_Address"/>
    <w:basedOn w:val="Standardowy"/>
    <w:uiPriority w:val="99"/>
    <w:rsid w:val="007D3701"/>
    <w:rPr>
      <w:sz w:val="24"/>
      <w:szCs w:val="24"/>
    </w:rPr>
    <w:tblPr>
      <w:tblInd w:w="5103" w:type="dxa"/>
    </w:tblPr>
  </w:style>
  <w:style w:type="paragraph" w:styleId="Cytat">
    <w:name w:val="Quote"/>
    <w:basedOn w:val="Normalny"/>
    <w:next w:val="Normalny"/>
    <w:link w:val="CytatZnak"/>
    <w:uiPriority w:val="99"/>
    <w:semiHidden/>
    <w:qFormat/>
    <w:rsid w:val="007D3701"/>
    <w:pPr>
      <w:spacing w:before="200"/>
      <w:ind w:left="360" w:right="360"/>
    </w:pPr>
    <w:rPr>
      <w:i/>
      <w:iCs/>
      <w:lang w:bidi="en-US"/>
    </w:rPr>
  </w:style>
  <w:style w:type="character" w:customStyle="1" w:styleId="CytatZnak">
    <w:name w:val="Cytat Znak"/>
    <w:basedOn w:val="Domylnaczcionkaakapitu"/>
    <w:link w:val="Cytat"/>
    <w:uiPriority w:val="99"/>
    <w:semiHidden/>
    <w:rsid w:val="007D3701"/>
    <w:rPr>
      <w:i/>
      <w:iCs/>
      <w:sz w:val="24"/>
      <w:szCs w:val="24"/>
      <w:lang w:val="en-GB" w:bidi="en-US"/>
    </w:rPr>
  </w:style>
  <w:style w:type="character" w:styleId="Odwoaniedelikatne">
    <w:name w:val="Subtle Reference"/>
    <w:uiPriority w:val="99"/>
    <w:semiHidden/>
    <w:qFormat/>
    <w:rsid w:val="007D3701"/>
    <w:rPr>
      <w:smallCaps/>
    </w:rPr>
  </w:style>
  <w:style w:type="table" w:styleId="Tabela-Siatka">
    <w:name w:val="Table Grid"/>
    <w:basedOn w:val="Standardowy"/>
    <w:uiPriority w:val="59"/>
    <w:semiHidden/>
    <w:rsid w:val="007D3701"/>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7D3701"/>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7D3701"/>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7D3701"/>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7D3701"/>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7D3701"/>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7D3701"/>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7D3701"/>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7D3701"/>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7D3701"/>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7D3701"/>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7D3701"/>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7D3701"/>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7D3701"/>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9"/>
    <w:semiHidden/>
    <w:qFormat/>
    <w:rsid w:val="007D3701"/>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9"/>
    <w:semiHidden/>
    <w:rsid w:val="007D3701"/>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7D3701"/>
    <w:pPr>
      <w:numPr>
        <w:numId w:val="1"/>
      </w:numPr>
    </w:pPr>
  </w:style>
  <w:style w:type="paragraph" w:customStyle="1" w:styleId="JuPara">
    <w:name w:val="Ju_Para"/>
    <w:aliases w:val="_Para"/>
    <w:basedOn w:val="NormalJustified"/>
    <w:link w:val="JuParaChar"/>
    <w:uiPriority w:val="4"/>
    <w:qFormat/>
    <w:rsid w:val="007D3701"/>
    <w:pPr>
      <w:ind w:firstLine="284"/>
    </w:pPr>
  </w:style>
  <w:style w:type="numbering" w:styleId="1ai">
    <w:name w:val="Outline List 1"/>
    <w:basedOn w:val="Bezlisty"/>
    <w:uiPriority w:val="99"/>
    <w:semiHidden/>
    <w:unhideWhenUsed/>
    <w:rsid w:val="007D3701"/>
    <w:pPr>
      <w:numPr>
        <w:numId w:val="2"/>
      </w:numPr>
    </w:pPr>
  </w:style>
  <w:style w:type="table" w:customStyle="1" w:styleId="ECHRTableSimpleBox">
    <w:name w:val="ECHR_Table_Simple_Box"/>
    <w:basedOn w:val="Standardowy"/>
    <w:uiPriority w:val="99"/>
    <w:rsid w:val="007D3701"/>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7D3701"/>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7D3701"/>
    <w:pPr>
      <w:numPr>
        <w:numId w:val="3"/>
      </w:numPr>
    </w:pPr>
  </w:style>
  <w:style w:type="table" w:customStyle="1" w:styleId="ECHRTableForInternalUse">
    <w:name w:val="ECHR_Table_For_Internal_Use"/>
    <w:basedOn w:val="Standardowy"/>
    <w:uiPriority w:val="99"/>
    <w:rsid w:val="007D3701"/>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7D3701"/>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7D3701"/>
  </w:style>
  <w:style w:type="paragraph" w:styleId="Tekstblokowy">
    <w:name w:val="Block Text"/>
    <w:basedOn w:val="Normalny"/>
    <w:uiPriority w:val="99"/>
    <w:semiHidden/>
    <w:rsid w:val="007D370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7D3701"/>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7D3701"/>
    <w:pPr>
      <w:spacing w:after="120"/>
    </w:pPr>
  </w:style>
  <w:style w:type="character" w:customStyle="1" w:styleId="TekstpodstawowyZnak">
    <w:name w:val="Tekst podstawowy Znak"/>
    <w:basedOn w:val="Domylnaczcionkaakapitu"/>
    <w:link w:val="Tekstpodstawowy"/>
    <w:uiPriority w:val="99"/>
    <w:semiHidden/>
    <w:rsid w:val="007D3701"/>
    <w:rPr>
      <w:sz w:val="24"/>
      <w:szCs w:val="24"/>
      <w:lang w:val="en-GB"/>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7D3701"/>
    <w:pPr>
      <w:spacing w:after="120" w:line="480" w:lineRule="auto"/>
    </w:pPr>
  </w:style>
  <w:style w:type="table" w:customStyle="1" w:styleId="ECHRHeaderTableReduced">
    <w:name w:val="ECHR_Header_Table_Reduced"/>
    <w:basedOn w:val="Standardowy"/>
    <w:uiPriority w:val="99"/>
    <w:rsid w:val="007D3701"/>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1"/>
    <w:rsid w:val="007D3701"/>
    <w:pPr>
      <w:ind w:firstLine="284"/>
    </w:pPr>
    <w:rPr>
      <w:b/>
    </w:rPr>
  </w:style>
  <w:style w:type="character" w:styleId="Numerstrony">
    <w:name w:val="page number"/>
    <w:uiPriority w:val="99"/>
    <w:semiHidden/>
    <w:rsid w:val="007D3701"/>
    <w:rPr>
      <w:sz w:val="18"/>
    </w:rPr>
  </w:style>
  <w:style w:type="paragraph" w:styleId="Listapunktowana">
    <w:name w:val="List Bullet"/>
    <w:basedOn w:val="Normalny"/>
    <w:uiPriority w:val="99"/>
    <w:semiHidden/>
    <w:rsid w:val="007D3701"/>
    <w:pPr>
      <w:numPr>
        <w:numId w:val="12"/>
      </w:numPr>
    </w:pPr>
  </w:style>
  <w:style w:type="paragraph" w:styleId="Listapunktowana3">
    <w:name w:val="List Bullet 3"/>
    <w:basedOn w:val="Normalny"/>
    <w:uiPriority w:val="99"/>
    <w:semiHidden/>
    <w:rsid w:val="007D3701"/>
    <w:pPr>
      <w:numPr>
        <w:numId w:val="14"/>
      </w:numPr>
      <w:contextualSpacing/>
    </w:pPr>
  </w:style>
  <w:style w:type="character" w:customStyle="1" w:styleId="Tekstpodstawowy2Znak">
    <w:name w:val="Tekst podstawowy 2 Znak"/>
    <w:basedOn w:val="Domylnaczcionkaakapitu"/>
    <w:link w:val="Tekstpodstawowy2"/>
    <w:uiPriority w:val="99"/>
    <w:semiHidden/>
    <w:rsid w:val="007D3701"/>
    <w:rPr>
      <w:sz w:val="24"/>
      <w:szCs w:val="24"/>
      <w:lang w:val="en-GB"/>
    </w:rPr>
  </w:style>
  <w:style w:type="paragraph" w:styleId="Tekstpodstawowy3">
    <w:name w:val="Body Text 3"/>
    <w:basedOn w:val="Normalny"/>
    <w:link w:val="Tekstpodstawowy3Znak"/>
    <w:uiPriority w:val="99"/>
    <w:semiHidden/>
    <w:rsid w:val="007D3701"/>
    <w:pPr>
      <w:spacing w:after="120"/>
    </w:pPr>
    <w:rPr>
      <w:sz w:val="16"/>
      <w:szCs w:val="16"/>
    </w:rPr>
  </w:style>
  <w:style w:type="character" w:customStyle="1" w:styleId="Tekstpodstawowy3Znak">
    <w:name w:val="Tekst podstawowy 3 Znak"/>
    <w:basedOn w:val="Domylnaczcionkaakapitu"/>
    <w:link w:val="Tekstpodstawowy3"/>
    <w:uiPriority w:val="99"/>
    <w:semiHidden/>
    <w:rsid w:val="007D3701"/>
    <w:rPr>
      <w:sz w:val="16"/>
      <w:szCs w:val="16"/>
      <w:lang w:val="en-GB"/>
    </w:rPr>
  </w:style>
  <w:style w:type="paragraph" w:styleId="Tekstpodstawowyzwciciem">
    <w:name w:val="Body Text First Indent"/>
    <w:basedOn w:val="Tekstpodstawowy"/>
    <w:link w:val="TekstpodstawowyzwciciemZnak"/>
    <w:uiPriority w:val="99"/>
    <w:semiHidden/>
    <w:rsid w:val="007D3701"/>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7D3701"/>
    <w:rPr>
      <w:sz w:val="24"/>
      <w:szCs w:val="24"/>
      <w:lang w:val="en-GB"/>
    </w:rPr>
  </w:style>
  <w:style w:type="paragraph" w:styleId="Tekstpodstawowywcity">
    <w:name w:val="Body Text Indent"/>
    <w:basedOn w:val="Normalny"/>
    <w:link w:val="TekstpodstawowywcityZnak"/>
    <w:uiPriority w:val="99"/>
    <w:semiHidden/>
    <w:rsid w:val="007D3701"/>
    <w:pPr>
      <w:spacing w:after="120"/>
      <w:ind w:left="283"/>
    </w:pPr>
  </w:style>
  <w:style w:type="character" w:customStyle="1" w:styleId="TekstpodstawowywcityZnak">
    <w:name w:val="Tekst podstawowy wcięty Znak"/>
    <w:basedOn w:val="Domylnaczcionkaakapitu"/>
    <w:link w:val="Tekstpodstawowywcity"/>
    <w:uiPriority w:val="99"/>
    <w:semiHidden/>
    <w:rsid w:val="007D3701"/>
    <w:rPr>
      <w:sz w:val="24"/>
      <w:szCs w:val="24"/>
      <w:lang w:val="en-GB"/>
    </w:rPr>
  </w:style>
  <w:style w:type="paragraph" w:styleId="Tekstpodstawowyzwciciem2">
    <w:name w:val="Body Text First Indent 2"/>
    <w:basedOn w:val="Tekstpodstawowywcity"/>
    <w:link w:val="Tekstpodstawowyzwciciem2Znak"/>
    <w:uiPriority w:val="99"/>
    <w:semiHidden/>
    <w:rsid w:val="007D3701"/>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7D3701"/>
    <w:rPr>
      <w:sz w:val="24"/>
      <w:szCs w:val="24"/>
      <w:lang w:val="en-GB"/>
    </w:rPr>
  </w:style>
  <w:style w:type="paragraph" w:styleId="Tekstpodstawowywcity2">
    <w:name w:val="Body Text Indent 2"/>
    <w:basedOn w:val="Normalny"/>
    <w:link w:val="Tekstpodstawowywcity2Znak"/>
    <w:uiPriority w:val="99"/>
    <w:semiHidden/>
    <w:rsid w:val="007D3701"/>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7D3701"/>
    <w:rPr>
      <w:sz w:val="24"/>
      <w:szCs w:val="24"/>
      <w:lang w:val="en-GB"/>
    </w:rPr>
  </w:style>
  <w:style w:type="paragraph" w:styleId="Tekstpodstawowywcity3">
    <w:name w:val="Body Text Indent 3"/>
    <w:basedOn w:val="Normalny"/>
    <w:link w:val="Tekstpodstawowywcity3Znak"/>
    <w:uiPriority w:val="99"/>
    <w:semiHidden/>
    <w:rsid w:val="007D3701"/>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7D3701"/>
    <w:rPr>
      <w:sz w:val="16"/>
      <w:szCs w:val="16"/>
      <w:lang w:val="en-GB"/>
    </w:rPr>
  </w:style>
  <w:style w:type="paragraph" w:styleId="Legenda">
    <w:name w:val="caption"/>
    <w:basedOn w:val="Normalny"/>
    <w:next w:val="Normalny"/>
    <w:uiPriority w:val="99"/>
    <w:semiHidden/>
    <w:qFormat/>
    <w:rsid w:val="007D3701"/>
    <w:pPr>
      <w:spacing w:after="200"/>
    </w:pPr>
    <w:rPr>
      <w:b/>
      <w:bCs/>
      <w:color w:val="0072BC" w:themeColor="accent1"/>
      <w:sz w:val="18"/>
      <w:szCs w:val="18"/>
    </w:rPr>
  </w:style>
  <w:style w:type="paragraph" w:styleId="Zwrotpoegnalny">
    <w:name w:val="Closing"/>
    <w:basedOn w:val="Normalny"/>
    <w:link w:val="ZwrotpoegnalnyZnak"/>
    <w:uiPriority w:val="99"/>
    <w:semiHidden/>
    <w:rsid w:val="007D3701"/>
    <w:pPr>
      <w:ind w:left="4252"/>
    </w:pPr>
  </w:style>
  <w:style w:type="character" w:customStyle="1" w:styleId="ZwrotpoegnalnyZnak">
    <w:name w:val="Zwrot pożegnalny Znak"/>
    <w:basedOn w:val="Domylnaczcionkaakapitu"/>
    <w:link w:val="Zwrotpoegnalny"/>
    <w:uiPriority w:val="99"/>
    <w:semiHidden/>
    <w:rsid w:val="007D3701"/>
    <w:rPr>
      <w:sz w:val="24"/>
      <w:szCs w:val="24"/>
      <w:lang w:val="en-GB"/>
    </w:rPr>
  </w:style>
  <w:style w:type="table" w:styleId="Kolorowasiatka">
    <w:name w:val="Colorful Grid"/>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7D3701"/>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7D3701"/>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7D3701"/>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7D3701"/>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7D3701"/>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7D3701"/>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7D3701"/>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7D3701"/>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7D3701"/>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7D3701"/>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7D3701"/>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7D3701"/>
    <w:rPr>
      <w:sz w:val="16"/>
      <w:szCs w:val="16"/>
    </w:rPr>
  </w:style>
  <w:style w:type="paragraph" w:styleId="Tekstkomentarza">
    <w:name w:val="annotation text"/>
    <w:basedOn w:val="Normalny"/>
    <w:link w:val="TekstkomentarzaZnak"/>
    <w:uiPriority w:val="99"/>
    <w:semiHidden/>
    <w:rsid w:val="007D3701"/>
    <w:rPr>
      <w:sz w:val="20"/>
      <w:szCs w:val="20"/>
    </w:rPr>
  </w:style>
  <w:style w:type="character" w:customStyle="1" w:styleId="TekstkomentarzaZnak">
    <w:name w:val="Tekst komentarza Znak"/>
    <w:basedOn w:val="Domylnaczcionkaakapitu"/>
    <w:link w:val="Tekstkomentarza"/>
    <w:uiPriority w:val="99"/>
    <w:semiHidden/>
    <w:rsid w:val="007D3701"/>
    <w:rPr>
      <w:sz w:val="20"/>
      <w:szCs w:val="20"/>
      <w:lang w:val="en-GB"/>
    </w:rPr>
  </w:style>
  <w:style w:type="paragraph" w:styleId="Tematkomentarza">
    <w:name w:val="annotation subject"/>
    <w:basedOn w:val="Tekstkomentarza"/>
    <w:next w:val="Tekstkomentarza"/>
    <w:link w:val="TematkomentarzaZnak"/>
    <w:uiPriority w:val="99"/>
    <w:semiHidden/>
    <w:rsid w:val="007D3701"/>
    <w:rPr>
      <w:b/>
      <w:bCs/>
    </w:rPr>
  </w:style>
  <w:style w:type="character" w:customStyle="1" w:styleId="TematkomentarzaZnak">
    <w:name w:val="Temat komentarza Znak"/>
    <w:basedOn w:val="TekstkomentarzaZnak"/>
    <w:link w:val="Tematkomentarza"/>
    <w:uiPriority w:val="99"/>
    <w:semiHidden/>
    <w:rsid w:val="007D3701"/>
    <w:rPr>
      <w:b/>
      <w:bCs/>
      <w:sz w:val="20"/>
      <w:szCs w:val="20"/>
      <w:lang w:val="en-GB"/>
    </w:rPr>
  </w:style>
  <w:style w:type="table" w:styleId="Ciemnalista">
    <w:name w:val="Dark List"/>
    <w:basedOn w:val="Standardowy"/>
    <w:uiPriority w:val="70"/>
    <w:semiHidden/>
    <w:rsid w:val="007D3701"/>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7D3701"/>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7D3701"/>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7D3701"/>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7D3701"/>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7D3701"/>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7D3701"/>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7D3701"/>
  </w:style>
  <w:style w:type="character" w:customStyle="1" w:styleId="DataZnak">
    <w:name w:val="Data Znak"/>
    <w:basedOn w:val="Domylnaczcionkaakapitu"/>
    <w:link w:val="Data"/>
    <w:uiPriority w:val="99"/>
    <w:semiHidden/>
    <w:rsid w:val="007D3701"/>
    <w:rPr>
      <w:sz w:val="24"/>
      <w:szCs w:val="24"/>
      <w:lang w:val="en-GB"/>
    </w:rPr>
  </w:style>
  <w:style w:type="paragraph" w:styleId="Mapadokumentu">
    <w:name w:val="Document Map"/>
    <w:basedOn w:val="Normalny"/>
    <w:link w:val="MapadokumentuZnak"/>
    <w:uiPriority w:val="99"/>
    <w:semiHidden/>
    <w:rsid w:val="007D3701"/>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7D3701"/>
    <w:rPr>
      <w:rFonts w:ascii="Tahoma" w:hAnsi="Tahoma" w:cs="Tahoma"/>
      <w:sz w:val="16"/>
      <w:szCs w:val="16"/>
      <w:lang w:val="en-GB"/>
    </w:rPr>
  </w:style>
  <w:style w:type="paragraph" w:styleId="Podpise-mail">
    <w:name w:val="E-mail Signature"/>
    <w:basedOn w:val="Normalny"/>
    <w:link w:val="Podpise-mailZnak"/>
    <w:uiPriority w:val="99"/>
    <w:semiHidden/>
    <w:rsid w:val="007D3701"/>
  </w:style>
  <w:style w:type="character" w:customStyle="1" w:styleId="Podpise-mailZnak">
    <w:name w:val="Podpis e-mail Znak"/>
    <w:basedOn w:val="Domylnaczcionkaakapitu"/>
    <w:link w:val="Podpise-mail"/>
    <w:uiPriority w:val="99"/>
    <w:semiHidden/>
    <w:rsid w:val="007D3701"/>
    <w:rPr>
      <w:sz w:val="24"/>
      <w:szCs w:val="24"/>
      <w:lang w:val="en-GB"/>
    </w:rPr>
  </w:style>
  <w:style w:type="character" w:styleId="Odwoanieprzypisukocowego">
    <w:name w:val="endnote reference"/>
    <w:basedOn w:val="Domylnaczcionkaakapitu"/>
    <w:uiPriority w:val="99"/>
    <w:semiHidden/>
    <w:rsid w:val="007D3701"/>
    <w:rPr>
      <w:vertAlign w:val="superscript"/>
    </w:rPr>
  </w:style>
  <w:style w:type="paragraph" w:styleId="Tekstprzypisukocowego">
    <w:name w:val="endnote text"/>
    <w:basedOn w:val="Normalny"/>
    <w:link w:val="TekstprzypisukocowegoZnak"/>
    <w:uiPriority w:val="99"/>
    <w:semiHidden/>
    <w:rsid w:val="007D3701"/>
    <w:rPr>
      <w:sz w:val="20"/>
      <w:szCs w:val="20"/>
    </w:rPr>
  </w:style>
  <w:style w:type="character" w:customStyle="1" w:styleId="TekstprzypisukocowegoZnak">
    <w:name w:val="Tekst przypisu końcowego Znak"/>
    <w:basedOn w:val="Domylnaczcionkaakapitu"/>
    <w:link w:val="Tekstprzypisukocowego"/>
    <w:uiPriority w:val="99"/>
    <w:semiHidden/>
    <w:rsid w:val="007D3701"/>
    <w:rPr>
      <w:sz w:val="20"/>
      <w:szCs w:val="20"/>
      <w:lang w:val="en-GB"/>
    </w:rPr>
  </w:style>
  <w:style w:type="paragraph" w:styleId="Adresnakopercie">
    <w:name w:val="envelope address"/>
    <w:basedOn w:val="Normalny"/>
    <w:uiPriority w:val="99"/>
    <w:semiHidden/>
    <w:rsid w:val="007D3701"/>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9"/>
    <w:semiHidden/>
    <w:rsid w:val="007D3701"/>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7D3701"/>
    <w:rPr>
      <w:color w:val="7030A0" w:themeColor="followedHyperlink"/>
      <w:u w:val="single"/>
    </w:rPr>
  </w:style>
  <w:style w:type="character" w:styleId="HTML-akronim">
    <w:name w:val="HTML Acronym"/>
    <w:basedOn w:val="Domylnaczcionkaakapitu"/>
    <w:uiPriority w:val="99"/>
    <w:semiHidden/>
    <w:rsid w:val="007D3701"/>
  </w:style>
  <w:style w:type="paragraph" w:styleId="HTML-adres">
    <w:name w:val="HTML Address"/>
    <w:basedOn w:val="Normalny"/>
    <w:link w:val="HTML-adresZnak"/>
    <w:uiPriority w:val="99"/>
    <w:semiHidden/>
    <w:rsid w:val="007D3701"/>
    <w:rPr>
      <w:i/>
      <w:iCs/>
    </w:rPr>
  </w:style>
  <w:style w:type="character" w:customStyle="1" w:styleId="HTML-adresZnak">
    <w:name w:val="HTML - adres Znak"/>
    <w:basedOn w:val="Domylnaczcionkaakapitu"/>
    <w:link w:val="HTML-adres"/>
    <w:uiPriority w:val="99"/>
    <w:semiHidden/>
    <w:rsid w:val="007D3701"/>
    <w:rPr>
      <w:i/>
      <w:iCs/>
      <w:sz w:val="24"/>
      <w:szCs w:val="24"/>
      <w:lang w:val="en-GB"/>
    </w:rPr>
  </w:style>
  <w:style w:type="character" w:styleId="HTML-cytat">
    <w:name w:val="HTML Cite"/>
    <w:basedOn w:val="Domylnaczcionkaakapitu"/>
    <w:uiPriority w:val="99"/>
    <w:semiHidden/>
    <w:rsid w:val="007D3701"/>
    <w:rPr>
      <w:i/>
      <w:iCs/>
    </w:rPr>
  </w:style>
  <w:style w:type="character" w:styleId="HTML-kod">
    <w:name w:val="HTML Code"/>
    <w:basedOn w:val="Domylnaczcionkaakapitu"/>
    <w:uiPriority w:val="99"/>
    <w:semiHidden/>
    <w:rsid w:val="007D3701"/>
    <w:rPr>
      <w:rFonts w:ascii="Consolas" w:hAnsi="Consolas" w:cs="Consolas"/>
      <w:sz w:val="20"/>
      <w:szCs w:val="20"/>
    </w:rPr>
  </w:style>
  <w:style w:type="character" w:styleId="HTML-definicja">
    <w:name w:val="HTML Definition"/>
    <w:basedOn w:val="Domylnaczcionkaakapitu"/>
    <w:uiPriority w:val="99"/>
    <w:semiHidden/>
    <w:rsid w:val="007D3701"/>
    <w:rPr>
      <w:i/>
      <w:iCs/>
    </w:rPr>
  </w:style>
  <w:style w:type="character" w:styleId="HTML-klawiatura">
    <w:name w:val="HTML Keyboard"/>
    <w:basedOn w:val="Domylnaczcionkaakapitu"/>
    <w:uiPriority w:val="99"/>
    <w:semiHidden/>
    <w:rsid w:val="007D3701"/>
    <w:rPr>
      <w:rFonts w:ascii="Consolas" w:hAnsi="Consolas" w:cs="Consolas"/>
      <w:sz w:val="20"/>
      <w:szCs w:val="20"/>
    </w:rPr>
  </w:style>
  <w:style w:type="paragraph" w:styleId="HTML-wstpniesformatowany">
    <w:name w:val="HTML Preformatted"/>
    <w:basedOn w:val="Normalny"/>
    <w:link w:val="HTML-wstpniesformatowanyZnak"/>
    <w:uiPriority w:val="99"/>
    <w:semiHidden/>
    <w:rsid w:val="007D3701"/>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7D3701"/>
    <w:rPr>
      <w:rFonts w:ascii="Consolas" w:hAnsi="Consolas" w:cs="Consolas"/>
      <w:sz w:val="20"/>
      <w:szCs w:val="20"/>
      <w:lang w:val="en-GB"/>
    </w:rPr>
  </w:style>
  <w:style w:type="character" w:styleId="HTML-przykad">
    <w:name w:val="HTML Sample"/>
    <w:basedOn w:val="Domylnaczcionkaakapitu"/>
    <w:uiPriority w:val="99"/>
    <w:semiHidden/>
    <w:rsid w:val="007D3701"/>
    <w:rPr>
      <w:rFonts w:ascii="Consolas" w:hAnsi="Consolas" w:cs="Consolas"/>
      <w:sz w:val="24"/>
      <w:szCs w:val="24"/>
    </w:rPr>
  </w:style>
  <w:style w:type="character" w:styleId="HTML-staaszeroko">
    <w:name w:val="HTML Typewriter"/>
    <w:basedOn w:val="Domylnaczcionkaakapitu"/>
    <w:uiPriority w:val="99"/>
    <w:semiHidden/>
    <w:rsid w:val="007D3701"/>
    <w:rPr>
      <w:rFonts w:ascii="Consolas" w:hAnsi="Consolas" w:cs="Consolas"/>
      <w:sz w:val="20"/>
      <w:szCs w:val="20"/>
    </w:rPr>
  </w:style>
  <w:style w:type="character" w:styleId="HTML-zmienna">
    <w:name w:val="HTML Variable"/>
    <w:basedOn w:val="Domylnaczcionkaakapitu"/>
    <w:uiPriority w:val="99"/>
    <w:semiHidden/>
    <w:rsid w:val="007D3701"/>
    <w:rPr>
      <w:i/>
      <w:iCs/>
    </w:rPr>
  </w:style>
  <w:style w:type="paragraph" w:styleId="Indeks1">
    <w:name w:val="index 1"/>
    <w:basedOn w:val="Normalny"/>
    <w:next w:val="Normalny"/>
    <w:autoRedefine/>
    <w:uiPriority w:val="99"/>
    <w:semiHidden/>
    <w:rsid w:val="007D3701"/>
    <w:pPr>
      <w:ind w:left="240" w:hanging="240"/>
    </w:pPr>
  </w:style>
  <w:style w:type="paragraph" w:styleId="Indeks2">
    <w:name w:val="index 2"/>
    <w:basedOn w:val="Normalny"/>
    <w:next w:val="Normalny"/>
    <w:autoRedefine/>
    <w:uiPriority w:val="99"/>
    <w:semiHidden/>
    <w:rsid w:val="007D3701"/>
    <w:pPr>
      <w:ind w:left="480" w:hanging="240"/>
    </w:pPr>
  </w:style>
  <w:style w:type="paragraph" w:styleId="Indeks3">
    <w:name w:val="index 3"/>
    <w:basedOn w:val="Normalny"/>
    <w:next w:val="Normalny"/>
    <w:autoRedefine/>
    <w:uiPriority w:val="99"/>
    <w:semiHidden/>
    <w:rsid w:val="007D3701"/>
    <w:pPr>
      <w:ind w:left="720" w:hanging="240"/>
    </w:pPr>
  </w:style>
  <w:style w:type="paragraph" w:styleId="Indeks4">
    <w:name w:val="index 4"/>
    <w:basedOn w:val="Normalny"/>
    <w:next w:val="Normalny"/>
    <w:autoRedefine/>
    <w:uiPriority w:val="99"/>
    <w:semiHidden/>
    <w:rsid w:val="007D3701"/>
    <w:pPr>
      <w:ind w:left="960" w:hanging="240"/>
    </w:pPr>
  </w:style>
  <w:style w:type="paragraph" w:styleId="Indeks5">
    <w:name w:val="index 5"/>
    <w:basedOn w:val="Normalny"/>
    <w:next w:val="Normalny"/>
    <w:autoRedefine/>
    <w:uiPriority w:val="99"/>
    <w:semiHidden/>
    <w:rsid w:val="007D3701"/>
    <w:pPr>
      <w:ind w:left="1200" w:hanging="240"/>
    </w:pPr>
  </w:style>
  <w:style w:type="paragraph" w:styleId="Indeks6">
    <w:name w:val="index 6"/>
    <w:basedOn w:val="Normalny"/>
    <w:next w:val="Normalny"/>
    <w:autoRedefine/>
    <w:uiPriority w:val="99"/>
    <w:semiHidden/>
    <w:rsid w:val="007D3701"/>
    <w:pPr>
      <w:ind w:left="1440" w:hanging="240"/>
    </w:pPr>
  </w:style>
  <w:style w:type="paragraph" w:styleId="Indeks7">
    <w:name w:val="index 7"/>
    <w:basedOn w:val="Normalny"/>
    <w:next w:val="Normalny"/>
    <w:autoRedefine/>
    <w:uiPriority w:val="99"/>
    <w:semiHidden/>
    <w:rsid w:val="007D3701"/>
    <w:pPr>
      <w:ind w:left="1680" w:hanging="240"/>
    </w:pPr>
  </w:style>
  <w:style w:type="paragraph" w:styleId="Indeks8">
    <w:name w:val="index 8"/>
    <w:basedOn w:val="Normalny"/>
    <w:next w:val="Normalny"/>
    <w:autoRedefine/>
    <w:uiPriority w:val="99"/>
    <w:semiHidden/>
    <w:rsid w:val="007D3701"/>
    <w:pPr>
      <w:ind w:left="1920" w:hanging="240"/>
    </w:pPr>
  </w:style>
  <w:style w:type="paragraph" w:styleId="Indeks9">
    <w:name w:val="index 9"/>
    <w:basedOn w:val="Normalny"/>
    <w:next w:val="Normalny"/>
    <w:autoRedefine/>
    <w:uiPriority w:val="99"/>
    <w:semiHidden/>
    <w:rsid w:val="007D3701"/>
    <w:pPr>
      <w:ind w:left="2160" w:hanging="240"/>
    </w:pPr>
  </w:style>
  <w:style w:type="paragraph" w:styleId="Nagwekindeksu">
    <w:name w:val="index heading"/>
    <w:basedOn w:val="Normalny"/>
    <w:next w:val="Indeks1"/>
    <w:uiPriority w:val="99"/>
    <w:semiHidden/>
    <w:rsid w:val="007D3701"/>
    <w:rPr>
      <w:rFonts w:asciiTheme="majorHAnsi" w:eastAsiaTheme="majorEastAsia" w:hAnsiTheme="majorHAnsi" w:cstheme="majorBidi"/>
      <w:b/>
      <w:bCs/>
    </w:rPr>
  </w:style>
  <w:style w:type="table" w:styleId="Jasnasiatka">
    <w:name w:val="Light Grid"/>
    <w:basedOn w:val="Standardowy"/>
    <w:uiPriority w:val="62"/>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7D3701"/>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7D3701"/>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7D3701"/>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7D3701"/>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7D3701"/>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7D3701"/>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7D3701"/>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7D3701"/>
  </w:style>
  <w:style w:type="paragraph" w:styleId="Lista">
    <w:name w:val="List"/>
    <w:basedOn w:val="Normalny"/>
    <w:uiPriority w:val="99"/>
    <w:semiHidden/>
    <w:rsid w:val="007D3701"/>
    <w:pPr>
      <w:ind w:left="283" w:hanging="283"/>
      <w:contextualSpacing/>
    </w:pPr>
  </w:style>
  <w:style w:type="paragraph" w:styleId="Lista2">
    <w:name w:val="List 2"/>
    <w:basedOn w:val="Normalny"/>
    <w:uiPriority w:val="99"/>
    <w:semiHidden/>
    <w:rsid w:val="007D3701"/>
    <w:pPr>
      <w:ind w:left="566" w:hanging="283"/>
      <w:contextualSpacing/>
    </w:pPr>
  </w:style>
  <w:style w:type="paragraph" w:styleId="Lista3">
    <w:name w:val="List 3"/>
    <w:basedOn w:val="Normalny"/>
    <w:uiPriority w:val="99"/>
    <w:semiHidden/>
    <w:rsid w:val="007D3701"/>
    <w:pPr>
      <w:ind w:left="849" w:hanging="283"/>
      <w:contextualSpacing/>
    </w:pPr>
  </w:style>
  <w:style w:type="paragraph" w:styleId="Lista4">
    <w:name w:val="List 4"/>
    <w:basedOn w:val="Normalny"/>
    <w:uiPriority w:val="99"/>
    <w:semiHidden/>
    <w:rsid w:val="007D3701"/>
    <w:pPr>
      <w:ind w:left="1132" w:hanging="283"/>
      <w:contextualSpacing/>
    </w:pPr>
  </w:style>
  <w:style w:type="paragraph" w:styleId="Lista5">
    <w:name w:val="List 5"/>
    <w:basedOn w:val="Normalny"/>
    <w:uiPriority w:val="99"/>
    <w:semiHidden/>
    <w:rsid w:val="007D3701"/>
    <w:pPr>
      <w:ind w:left="1415" w:hanging="283"/>
      <w:contextualSpacing/>
    </w:pPr>
  </w:style>
  <w:style w:type="paragraph" w:styleId="Listapunktowana2">
    <w:name w:val="List Bullet 2"/>
    <w:basedOn w:val="Normalny"/>
    <w:uiPriority w:val="99"/>
    <w:semiHidden/>
    <w:rsid w:val="007D3701"/>
    <w:pPr>
      <w:numPr>
        <w:numId w:val="13"/>
      </w:numPr>
      <w:contextualSpacing/>
    </w:pPr>
  </w:style>
  <w:style w:type="paragraph" w:styleId="Listapunktowana4">
    <w:name w:val="List Bullet 4"/>
    <w:basedOn w:val="Normalny"/>
    <w:uiPriority w:val="99"/>
    <w:semiHidden/>
    <w:rsid w:val="007D3701"/>
    <w:pPr>
      <w:numPr>
        <w:numId w:val="15"/>
      </w:numPr>
      <w:contextualSpacing/>
    </w:pPr>
  </w:style>
  <w:style w:type="paragraph" w:styleId="Listapunktowana5">
    <w:name w:val="List Bullet 5"/>
    <w:basedOn w:val="Normalny"/>
    <w:uiPriority w:val="99"/>
    <w:semiHidden/>
    <w:rsid w:val="007D3701"/>
    <w:pPr>
      <w:numPr>
        <w:numId w:val="16"/>
      </w:numPr>
      <w:contextualSpacing/>
    </w:pPr>
  </w:style>
  <w:style w:type="paragraph" w:styleId="Lista-kontynuacja">
    <w:name w:val="List Continue"/>
    <w:basedOn w:val="Normalny"/>
    <w:uiPriority w:val="99"/>
    <w:semiHidden/>
    <w:rsid w:val="007D3701"/>
    <w:pPr>
      <w:spacing w:after="120"/>
      <w:ind w:left="283"/>
      <w:contextualSpacing/>
    </w:pPr>
  </w:style>
  <w:style w:type="paragraph" w:styleId="Lista-kontynuacja2">
    <w:name w:val="List Continue 2"/>
    <w:basedOn w:val="Normalny"/>
    <w:uiPriority w:val="99"/>
    <w:semiHidden/>
    <w:rsid w:val="007D3701"/>
    <w:pPr>
      <w:spacing w:after="120"/>
      <w:ind w:left="566"/>
      <w:contextualSpacing/>
    </w:pPr>
  </w:style>
  <w:style w:type="paragraph" w:styleId="Lista-kontynuacja3">
    <w:name w:val="List Continue 3"/>
    <w:basedOn w:val="Normalny"/>
    <w:uiPriority w:val="99"/>
    <w:semiHidden/>
    <w:rsid w:val="007D3701"/>
    <w:pPr>
      <w:spacing w:after="120"/>
      <w:ind w:left="849"/>
      <w:contextualSpacing/>
    </w:pPr>
  </w:style>
  <w:style w:type="paragraph" w:styleId="Lista-kontynuacja4">
    <w:name w:val="List Continue 4"/>
    <w:basedOn w:val="Normalny"/>
    <w:uiPriority w:val="99"/>
    <w:semiHidden/>
    <w:rsid w:val="007D3701"/>
    <w:pPr>
      <w:spacing w:after="120"/>
      <w:ind w:left="1132"/>
      <w:contextualSpacing/>
    </w:pPr>
  </w:style>
  <w:style w:type="paragraph" w:styleId="Lista-kontynuacja5">
    <w:name w:val="List Continue 5"/>
    <w:basedOn w:val="Normalny"/>
    <w:uiPriority w:val="99"/>
    <w:semiHidden/>
    <w:rsid w:val="007D3701"/>
    <w:pPr>
      <w:spacing w:after="120"/>
      <w:ind w:left="1415"/>
      <w:contextualSpacing/>
    </w:pPr>
  </w:style>
  <w:style w:type="paragraph" w:styleId="Listanumerowana">
    <w:name w:val="List Number"/>
    <w:basedOn w:val="Normalny"/>
    <w:uiPriority w:val="99"/>
    <w:semiHidden/>
    <w:rsid w:val="007D3701"/>
    <w:pPr>
      <w:numPr>
        <w:numId w:val="17"/>
      </w:numPr>
      <w:contextualSpacing/>
    </w:pPr>
  </w:style>
  <w:style w:type="paragraph" w:styleId="Listanumerowana2">
    <w:name w:val="List Number 2"/>
    <w:basedOn w:val="Normalny"/>
    <w:uiPriority w:val="99"/>
    <w:semiHidden/>
    <w:rsid w:val="007D3701"/>
    <w:pPr>
      <w:numPr>
        <w:numId w:val="18"/>
      </w:numPr>
      <w:contextualSpacing/>
    </w:pPr>
  </w:style>
  <w:style w:type="paragraph" w:styleId="Listanumerowana3">
    <w:name w:val="List Number 3"/>
    <w:basedOn w:val="Normalny"/>
    <w:uiPriority w:val="99"/>
    <w:semiHidden/>
    <w:rsid w:val="007D3701"/>
    <w:pPr>
      <w:numPr>
        <w:numId w:val="19"/>
      </w:numPr>
      <w:contextualSpacing/>
    </w:pPr>
  </w:style>
  <w:style w:type="paragraph" w:styleId="Listanumerowana4">
    <w:name w:val="List Number 4"/>
    <w:basedOn w:val="Normalny"/>
    <w:uiPriority w:val="99"/>
    <w:semiHidden/>
    <w:rsid w:val="007D3701"/>
    <w:pPr>
      <w:numPr>
        <w:numId w:val="20"/>
      </w:numPr>
      <w:contextualSpacing/>
    </w:pPr>
  </w:style>
  <w:style w:type="paragraph" w:styleId="Listanumerowana5">
    <w:name w:val="List Number 5"/>
    <w:basedOn w:val="Normalny"/>
    <w:uiPriority w:val="99"/>
    <w:semiHidden/>
    <w:rsid w:val="007D3701"/>
    <w:pPr>
      <w:numPr>
        <w:numId w:val="21"/>
      </w:numPr>
      <w:contextualSpacing/>
    </w:pPr>
  </w:style>
  <w:style w:type="paragraph" w:styleId="Tekstmakra">
    <w:name w:val="macro"/>
    <w:link w:val="TekstmakraZnak"/>
    <w:uiPriority w:val="99"/>
    <w:semiHidden/>
    <w:rsid w:val="007D3701"/>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7D3701"/>
    <w:rPr>
      <w:rFonts w:ascii="Consolas" w:eastAsiaTheme="minorEastAsia" w:hAnsi="Consolas" w:cs="Consolas"/>
      <w:sz w:val="20"/>
      <w:szCs w:val="20"/>
    </w:rPr>
  </w:style>
  <w:style w:type="table" w:styleId="redniasiatka1">
    <w:name w:val="Medium Grid 1"/>
    <w:basedOn w:val="Standardowy"/>
    <w:uiPriority w:val="67"/>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7D3701"/>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7D3701"/>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7D3701"/>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7D3701"/>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7D3701"/>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7D3701"/>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7D3701"/>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7D370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9"/>
    <w:semiHidden/>
    <w:rsid w:val="007D3701"/>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semiHidden/>
    <w:rsid w:val="007D3701"/>
    <w:rPr>
      <w:rFonts w:ascii="Times New Roman" w:hAnsi="Times New Roman" w:cs="Times New Roman"/>
    </w:rPr>
  </w:style>
  <w:style w:type="paragraph" w:styleId="Wcicienormalne">
    <w:name w:val="Normal Indent"/>
    <w:basedOn w:val="Normalny"/>
    <w:uiPriority w:val="99"/>
    <w:semiHidden/>
    <w:rsid w:val="007D3701"/>
    <w:pPr>
      <w:ind w:left="720"/>
    </w:pPr>
  </w:style>
  <w:style w:type="paragraph" w:styleId="Nagweknotatki">
    <w:name w:val="Note Heading"/>
    <w:basedOn w:val="Normalny"/>
    <w:next w:val="Normalny"/>
    <w:link w:val="NagweknotatkiZnak"/>
    <w:uiPriority w:val="99"/>
    <w:semiHidden/>
    <w:rsid w:val="007D3701"/>
  </w:style>
  <w:style w:type="character" w:customStyle="1" w:styleId="NagweknotatkiZnak">
    <w:name w:val="Nagłówek notatki Znak"/>
    <w:basedOn w:val="Domylnaczcionkaakapitu"/>
    <w:link w:val="Nagweknotatki"/>
    <w:uiPriority w:val="99"/>
    <w:semiHidden/>
    <w:rsid w:val="007D3701"/>
    <w:rPr>
      <w:sz w:val="24"/>
      <w:szCs w:val="24"/>
      <w:lang w:val="en-GB"/>
    </w:rPr>
  </w:style>
  <w:style w:type="character" w:styleId="Tekstzastpczy">
    <w:name w:val="Placeholder Text"/>
    <w:basedOn w:val="Domylnaczcionkaakapitu"/>
    <w:uiPriority w:val="99"/>
    <w:semiHidden/>
    <w:rsid w:val="007D3701"/>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7D3701"/>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7D3701"/>
    <w:rPr>
      <w:rFonts w:ascii="Consolas" w:hAnsi="Consolas" w:cs="Consolas"/>
      <w:sz w:val="21"/>
      <w:szCs w:val="21"/>
      <w:lang w:val="en-GB"/>
    </w:rPr>
  </w:style>
  <w:style w:type="paragraph" w:styleId="Zwrotgrzecznociowy">
    <w:name w:val="Salutation"/>
    <w:basedOn w:val="Normalny"/>
    <w:next w:val="Normalny"/>
    <w:link w:val="ZwrotgrzecznociowyZnak"/>
    <w:uiPriority w:val="99"/>
    <w:semiHidden/>
    <w:rsid w:val="007D3701"/>
  </w:style>
  <w:style w:type="character" w:customStyle="1" w:styleId="ZwrotgrzecznociowyZnak">
    <w:name w:val="Zwrot grzecznościowy Znak"/>
    <w:basedOn w:val="Domylnaczcionkaakapitu"/>
    <w:link w:val="Zwrotgrzecznociowy"/>
    <w:uiPriority w:val="99"/>
    <w:semiHidden/>
    <w:rsid w:val="007D3701"/>
    <w:rPr>
      <w:sz w:val="24"/>
      <w:szCs w:val="24"/>
      <w:lang w:val="en-GB"/>
    </w:rPr>
  </w:style>
  <w:style w:type="paragraph" w:styleId="Podpis">
    <w:name w:val="Signature"/>
    <w:basedOn w:val="Normalny"/>
    <w:link w:val="PodpisZnak"/>
    <w:uiPriority w:val="99"/>
    <w:semiHidden/>
    <w:rsid w:val="007D3701"/>
    <w:pPr>
      <w:ind w:left="4252"/>
    </w:pPr>
  </w:style>
  <w:style w:type="character" w:customStyle="1" w:styleId="PodpisZnak">
    <w:name w:val="Podpis Znak"/>
    <w:basedOn w:val="Domylnaczcionkaakapitu"/>
    <w:link w:val="Podpis"/>
    <w:uiPriority w:val="99"/>
    <w:semiHidden/>
    <w:rsid w:val="007D3701"/>
    <w:rPr>
      <w:sz w:val="24"/>
      <w:szCs w:val="24"/>
      <w:lang w:val="en-GB"/>
    </w:rPr>
  </w:style>
  <w:style w:type="table" w:styleId="Tabela-Efekty3W1">
    <w:name w:val="Table 3D effects 1"/>
    <w:basedOn w:val="Standardowy"/>
    <w:uiPriority w:val="99"/>
    <w:semiHidden/>
    <w:unhideWhenUsed/>
    <w:rsid w:val="007D3701"/>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7D3701"/>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7D3701"/>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7D3701"/>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7D3701"/>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7D3701"/>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7D3701"/>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7D3701"/>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7D3701"/>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7D3701"/>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7D3701"/>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7D3701"/>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7D3701"/>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7D3701"/>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7D3701"/>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7D3701"/>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7D3701"/>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7D3701"/>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7D3701"/>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7D3701"/>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7D3701"/>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7D3701"/>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7D3701"/>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7D3701"/>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7D3701"/>
    <w:pPr>
      <w:ind w:left="240" w:hanging="240"/>
    </w:pPr>
  </w:style>
  <w:style w:type="paragraph" w:styleId="Spisilustracji">
    <w:name w:val="table of figures"/>
    <w:basedOn w:val="Normalny"/>
    <w:next w:val="Normalny"/>
    <w:uiPriority w:val="99"/>
    <w:semiHidden/>
    <w:rsid w:val="007D3701"/>
  </w:style>
  <w:style w:type="table" w:styleId="Tabela-Profesjonalny">
    <w:name w:val="Table Professional"/>
    <w:basedOn w:val="Standardowy"/>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7D3701"/>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7D3701"/>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7D3701"/>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7D3701"/>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7D3701"/>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7D3701"/>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7D3701"/>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7D3701"/>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7D3701"/>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7D3701"/>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7D3701"/>
    <w:pPr>
      <w:spacing w:after="100"/>
      <w:ind w:left="1680"/>
    </w:pPr>
  </w:style>
  <w:style w:type="paragraph" w:styleId="Spistreci9">
    <w:name w:val="toc 9"/>
    <w:basedOn w:val="Normalny"/>
    <w:next w:val="Normalny"/>
    <w:autoRedefine/>
    <w:uiPriority w:val="99"/>
    <w:semiHidden/>
    <w:rsid w:val="007D3701"/>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FooterLine">
    <w:name w:val="_Footer_Line"/>
    <w:aliases w:val="Footer_Line"/>
    <w:basedOn w:val="Normalny"/>
    <w:next w:val="Footer"/>
    <w:uiPriority w:val="57"/>
    <w:semiHidden/>
    <w:rsid w:val="007D3701"/>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5"/>
    <w:qFormat/>
    <w:rsid w:val="007D3701"/>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
    <w:qFormat/>
    <w:rsid w:val="007D3701"/>
    <w:pPr>
      <w:keepNext/>
      <w:keepLines/>
      <w:spacing w:before="1320" w:after="280"/>
      <w:contextualSpacing/>
      <w:jc w:val="center"/>
    </w:pPr>
    <w:rPr>
      <w:b/>
    </w:rPr>
  </w:style>
  <w:style w:type="paragraph" w:customStyle="1" w:styleId="ECHRBullet1">
    <w:name w:val="ECHR_Bullet_1"/>
    <w:aliases w:val="_Bul_1"/>
    <w:basedOn w:val="NormalJustified"/>
    <w:uiPriority w:val="23"/>
    <w:semiHidden/>
    <w:qFormat/>
    <w:rsid w:val="007D3701"/>
    <w:pPr>
      <w:numPr>
        <w:numId w:val="7"/>
      </w:numPr>
      <w:spacing w:before="60" w:after="60"/>
    </w:pPr>
  </w:style>
  <w:style w:type="paragraph" w:customStyle="1" w:styleId="ECHRBullet2">
    <w:name w:val="ECHR_Bullet_2"/>
    <w:aliases w:val="_Bul_2"/>
    <w:basedOn w:val="ECHRBullet1"/>
    <w:uiPriority w:val="23"/>
    <w:semiHidden/>
    <w:rsid w:val="007D3701"/>
    <w:pPr>
      <w:numPr>
        <w:ilvl w:val="1"/>
      </w:numPr>
    </w:pPr>
  </w:style>
  <w:style w:type="paragraph" w:customStyle="1" w:styleId="ECHRBullet3">
    <w:name w:val="ECHR_Bullet_3"/>
    <w:aliases w:val="_Bul_3"/>
    <w:basedOn w:val="ECHRBullet2"/>
    <w:uiPriority w:val="23"/>
    <w:semiHidden/>
    <w:rsid w:val="007D3701"/>
    <w:pPr>
      <w:numPr>
        <w:ilvl w:val="2"/>
      </w:numPr>
    </w:pPr>
  </w:style>
  <w:style w:type="paragraph" w:customStyle="1" w:styleId="ECHRBullet4">
    <w:name w:val="ECHR_Bullet_4"/>
    <w:aliases w:val="_Bul_4"/>
    <w:basedOn w:val="ECHRBullet3"/>
    <w:uiPriority w:val="23"/>
    <w:semiHidden/>
    <w:rsid w:val="007D3701"/>
    <w:pPr>
      <w:numPr>
        <w:ilvl w:val="3"/>
      </w:numPr>
    </w:pPr>
  </w:style>
  <w:style w:type="paragraph" w:customStyle="1" w:styleId="ECHRConfidential">
    <w:name w:val="ECHR_Confidential"/>
    <w:aliases w:val="_Confidential"/>
    <w:basedOn w:val="Normalny"/>
    <w:next w:val="Normalny"/>
    <w:uiPriority w:val="42"/>
    <w:semiHidden/>
    <w:qFormat/>
    <w:rsid w:val="007D3701"/>
    <w:pPr>
      <w:jc w:val="right"/>
    </w:pPr>
    <w:rPr>
      <w:color w:val="C00000"/>
      <w:sz w:val="20"/>
    </w:rPr>
  </w:style>
  <w:style w:type="paragraph" w:customStyle="1" w:styleId="ECHRDecisionBody">
    <w:name w:val="ECHR_Decision_Body"/>
    <w:aliases w:val="_Decision_Body"/>
    <w:basedOn w:val="NormalJustified"/>
    <w:uiPriority w:val="54"/>
    <w:semiHidden/>
    <w:rsid w:val="007D3701"/>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7D3701"/>
    <w:pPr>
      <w:contextualSpacing/>
      <w:jc w:val="center"/>
    </w:pPr>
    <w:rPr>
      <w:rFonts w:ascii="Arial" w:hAnsi="Arial"/>
      <w:i/>
      <w:color w:val="0072BC" w:themeColor="accent1"/>
      <w:sz w:val="32"/>
    </w:rPr>
  </w:style>
  <w:style w:type="character" w:customStyle="1" w:styleId="ECHRDivisionNameChar">
    <w:name w:val="ECHR_DivisionName Char"/>
    <w:aliases w:val="_Div_Name Char"/>
    <w:basedOn w:val="Domylnaczcionkaakapitu"/>
    <w:link w:val="ECHRDivisionName"/>
    <w:uiPriority w:val="41"/>
    <w:semiHidden/>
    <w:rsid w:val="007D3701"/>
    <w:rPr>
      <w:rFonts w:ascii="Arial" w:hAnsi="Arial"/>
      <w:i/>
      <w:color w:val="0072BC" w:themeColor="accent1"/>
      <w:sz w:val="32"/>
      <w:szCs w:val="24"/>
      <w:lang w:val="en-GB"/>
    </w:rPr>
  </w:style>
  <w:style w:type="paragraph" w:customStyle="1" w:styleId="ECHRFooterLineLandscape">
    <w:name w:val="ECHR_Footer_Line_Landscape"/>
    <w:aliases w:val="_Footer_Line_Landscape"/>
    <w:basedOn w:val="Normalny"/>
    <w:uiPriority w:val="30"/>
    <w:semiHidden/>
    <w:rsid w:val="007D3701"/>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7D3701"/>
    <w:pPr>
      <w:jc w:val="right"/>
    </w:pPr>
    <w:rPr>
      <w:sz w:val="20"/>
    </w:rPr>
  </w:style>
  <w:style w:type="paragraph" w:customStyle="1" w:styleId="ECHRHeaderRefIt">
    <w:name w:val="ECHR_Header_Ref_It"/>
    <w:aliases w:val="_Ref_Ital,Ref_Ital"/>
    <w:basedOn w:val="Normalny"/>
    <w:next w:val="ECHRHeaderDate"/>
    <w:uiPriority w:val="38"/>
    <w:qFormat/>
    <w:rsid w:val="007D3701"/>
    <w:pPr>
      <w:jc w:val="right"/>
    </w:pPr>
    <w:rPr>
      <w:i/>
      <w:sz w:val="20"/>
    </w:rPr>
  </w:style>
  <w:style w:type="paragraph" w:customStyle="1" w:styleId="ECHRHeading9">
    <w:name w:val="ECHR_Heading_9"/>
    <w:aliases w:val="_Head_9"/>
    <w:basedOn w:val="Nagwek9"/>
    <w:next w:val="Normalny"/>
    <w:uiPriority w:val="17"/>
    <w:semiHidden/>
    <w:rsid w:val="007D3701"/>
    <w:pPr>
      <w:numPr>
        <w:numId w:val="10"/>
      </w:numPr>
    </w:pPr>
    <w:rPr>
      <w:i w:val="0"/>
      <w:sz w:val="18"/>
    </w:rPr>
  </w:style>
  <w:style w:type="paragraph" w:customStyle="1" w:styleId="ECHRLine">
    <w:name w:val="ECHR_Line"/>
    <w:aliases w:val="_Line"/>
    <w:basedOn w:val="NormalJustified"/>
    <w:next w:val="Normalny"/>
    <w:uiPriority w:val="46"/>
    <w:semiHidden/>
    <w:rsid w:val="007D3701"/>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7D3701"/>
    <w:pPr>
      <w:numPr>
        <w:numId w:val="8"/>
      </w:numPr>
      <w:spacing w:before="60" w:after="60"/>
    </w:pPr>
  </w:style>
  <w:style w:type="paragraph" w:customStyle="1" w:styleId="ECHRNumberedList2">
    <w:name w:val="ECHR_Numbered_List_2"/>
    <w:aliases w:val="_Num_2"/>
    <w:basedOn w:val="ECHRNumberedList1"/>
    <w:uiPriority w:val="23"/>
    <w:semiHidden/>
    <w:rsid w:val="007D3701"/>
    <w:pPr>
      <w:numPr>
        <w:ilvl w:val="1"/>
      </w:numPr>
    </w:pPr>
  </w:style>
  <w:style w:type="paragraph" w:customStyle="1" w:styleId="ECHRNumberedList3">
    <w:name w:val="ECHR_Numbered_List_3"/>
    <w:aliases w:val="_Num_3"/>
    <w:basedOn w:val="ECHRNumberedList2"/>
    <w:uiPriority w:val="23"/>
    <w:semiHidden/>
    <w:rsid w:val="007D3701"/>
    <w:pPr>
      <w:numPr>
        <w:ilvl w:val="2"/>
      </w:numPr>
    </w:pPr>
  </w:style>
  <w:style w:type="paragraph" w:customStyle="1" w:styleId="ECHRParaHanging">
    <w:name w:val="ECHR_Para_Hanging"/>
    <w:aliases w:val="_Hanging"/>
    <w:basedOn w:val="Normalny"/>
    <w:uiPriority w:val="8"/>
    <w:semiHidden/>
    <w:qFormat/>
    <w:rsid w:val="007D3701"/>
    <w:pPr>
      <w:ind w:left="567" w:hanging="567"/>
      <w:jc w:val="both"/>
    </w:pPr>
  </w:style>
  <w:style w:type="paragraph" w:customStyle="1" w:styleId="ECHRParaIndent">
    <w:name w:val="ECHR_Para_Indent"/>
    <w:aliases w:val="_Indent"/>
    <w:basedOn w:val="Normalny"/>
    <w:uiPriority w:val="7"/>
    <w:semiHidden/>
    <w:qFormat/>
    <w:rsid w:val="007D3701"/>
    <w:pPr>
      <w:spacing w:before="120" w:after="120"/>
      <w:ind w:left="284"/>
      <w:jc w:val="both"/>
    </w:pPr>
  </w:style>
  <w:style w:type="character" w:customStyle="1" w:styleId="ECHRRed">
    <w:name w:val="ECHR_Red"/>
    <w:aliases w:val="_Red"/>
    <w:basedOn w:val="Domylnaczcionkaakapitu"/>
    <w:uiPriority w:val="15"/>
    <w:semiHidden/>
    <w:qFormat/>
    <w:rsid w:val="007D3701"/>
    <w:rPr>
      <w:color w:val="C00000" w:themeColor="accent2"/>
    </w:rPr>
  </w:style>
  <w:style w:type="paragraph" w:customStyle="1" w:styleId="ECHRSpacer">
    <w:name w:val="ECHR_Spacer"/>
    <w:aliases w:val="_Spacer"/>
    <w:basedOn w:val="Normalny"/>
    <w:uiPriority w:val="45"/>
    <w:semiHidden/>
    <w:rsid w:val="007D3701"/>
    <w:rPr>
      <w:sz w:val="4"/>
    </w:rPr>
  </w:style>
  <w:style w:type="table" w:customStyle="1" w:styleId="ECHRTable2">
    <w:name w:val="ECHR_Table_2"/>
    <w:basedOn w:val="Standardowy"/>
    <w:uiPriority w:val="99"/>
    <w:rsid w:val="007D3701"/>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7D3701"/>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7D3701"/>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7D3701"/>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7D3701"/>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7D3701"/>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7D3701"/>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7D3701"/>
    <w:pPr>
      <w:outlineLvl w:val="0"/>
    </w:pPr>
  </w:style>
  <w:style w:type="paragraph" w:customStyle="1" w:styleId="ECHRTitleTOC1">
    <w:name w:val="ECHR_Title_TOC_1"/>
    <w:aliases w:val="_Title_L_TOC"/>
    <w:basedOn w:val="ECHRTitle1"/>
    <w:next w:val="Normalny"/>
    <w:uiPriority w:val="27"/>
    <w:semiHidden/>
    <w:qFormat/>
    <w:rsid w:val="007D3701"/>
    <w:pPr>
      <w:outlineLvl w:val="0"/>
    </w:pPr>
  </w:style>
  <w:style w:type="character" w:customStyle="1" w:styleId="JuParaChar">
    <w:name w:val="Ju_Para Char"/>
    <w:aliases w:val="_Para Char"/>
    <w:link w:val="JuPara"/>
    <w:uiPriority w:val="4"/>
    <w:rsid w:val="00176B6A"/>
    <w:rPr>
      <w:sz w:val="24"/>
      <w:szCs w:val="24"/>
      <w:lang w:val="en-GB"/>
    </w:rPr>
  </w:style>
  <w:style w:type="paragraph" w:customStyle="1" w:styleId="JuHeaderLandscape">
    <w:name w:val="Ju_Header_Landscape"/>
    <w:aliases w:val="_Header_Landscape"/>
    <w:basedOn w:val="JuHeader"/>
    <w:uiPriority w:val="30"/>
    <w:qFormat/>
    <w:rsid w:val="00176B6A"/>
    <w:pPr>
      <w:tabs>
        <w:tab w:val="center" w:pos="6146"/>
        <w:tab w:val="right" w:pos="12293"/>
      </w:tabs>
      <w:jc w:val="left"/>
    </w:pPr>
    <w:rPr>
      <w:szCs w:val="22"/>
    </w:rPr>
  </w:style>
  <w:style w:type="character" w:customStyle="1" w:styleId="JuNames0">
    <w:name w:val="Ju_Names"/>
    <w:rsid w:val="00176B6A"/>
    <w:rPr>
      <w:smallCaps/>
    </w:rPr>
  </w:style>
  <w:style w:type="paragraph" w:customStyle="1" w:styleId="JuList4">
    <w:name w:val="Ju_List_4"/>
    <w:aliases w:val="N_Bul_4"/>
    <w:basedOn w:val="JuListi"/>
    <w:uiPriority w:val="19"/>
    <w:rsid w:val="00176B6A"/>
    <w:pPr>
      <w:numPr>
        <w:ilvl w:val="0"/>
        <w:numId w:val="0"/>
      </w:numPr>
      <w:tabs>
        <w:tab w:val="num" w:pos="1701"/>
      </w:tabs>
      <w:spacing w:before="60" w:after="60" w:line="240" w:lineRule="exact"/>
      <w:ind w:left="1703" w:hanging="284"/>
      <w:contextualSpacing/>
    </w:pPr>
    <w:rPr>
      <w:rFonts w:eastAsiaTheme="minorEastAsia"/>
      <w:sz w:val="22"/>
      <w:szCs w:val="22"/>
      <w:lang w:val="fr-FR" w:eastAsia="fr-FR"/>
    </w:rPr>
  </w:style>
  <w:style w:type="paragraph" w:styleId="Poprawka">
    <w:name w:val="Revision"/>
    <w:hidden/>
    <w:uiPriority w:val="99"/>
    <w:semiHidden/>
    <w:rsid w:val="00176B6A"/>
    <w:rPr>
      <w:rFonts w:eastAsiaTheme="minorEastAsia"/>
      <w:sz w:val="24"/>
      <w:lang w:val="en-GB"/>
    </w:rPr>
  </w:style>
  <w:style w:type="paragraph" w:customStyle="1" w:styleId="jupara0">
    <w:name w:val="jupara"/>
    <w:basedOn w:val="Normalny"/>
    <w:rsid w:val="00C60B8F"/>
    <w:pPr>
      <w:ind w:firstLine="284"/>
      <w:jc w:val="both"/>
    </w:pPr>
    <w:rPr>
      <w:rFonts w:ascii="Times New Roman" w:eastAsia="Times New Roman" w:hAnsi="Times New Roman" w:cs="Times New Roman"/>
      <w:lang w:eastAsia="en-GB"/>
    </w:rPr>
  </w:style>
  <w:style w:type="paragraph" w:customStyle="1" w:styleId="jucase0">
    <w:name w:val="jucase"/>
    <w:basedOn w:val="Normalny"/>
    <w:rsid w:val="00C60B8F"/>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6F8C5C-15EA-480C-BCAE-E15AF2B5A6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8BFDEEB0-6436-4267-9855-B37A87A1C41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48E521B-5BE0-46EA-A643-952E1BECF2CC}">
  <ds:schemaRefs>
    <ds:schemaRef ds:uri="http://schemas.microsoft.com/sharepoint/v3/contenttype/forms"/>
  </ds:schemaRefs>
</ds:datastoreItem>
</file>

<file path=customXml/itemProps4.xml><?xml version="1.0" encoding="utf-8"?>
<ds:datastoreItem xmlns:ds="http://schemas.openxmlformats.org/officeDocument/2006/customXml" ds:itemID="{13A86A28-9FE4-43DE-9467-BB287D9FB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3809</Words>
  <Characters>22860</Characters>
  <Application>Microsoft Office Word</Application>
  <DocSecurity>0</DocSecurity>
  <Lines>190</Lines>
  <Paragraphs>53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26616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2021-02-15T09:45:00Z</dcterms:created>
  <dcterms:modified xsi:type="dcterms:W3CDTF">2023-10-19T08:30:00Z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42321/15</vt:lpwstr>
  </property>
  <property fmtid="{D5CDD505-2E9C-101B-9397-08002B2CF9AE}" pid="4" name="CASEID">
    <vt:lpwstr>1152679</vt:lpwstr>
  </property>
  <property fmtid="{D5CDD505-2E9C-101B-9397-08002B2CF9AE}" pid="5" name="ContentTypeId">
    <vt:lpwstr>0x010100558EB02BDB9E204AB350EDD385B68E10</vt:lpwstr>
  </property>
</Properties>
</file>