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ED8D50" w14:textId="77777777" w:rsidR="002D2C99" w:rsidRPr="007A37E9" w:rsidRDefault="001408A9" w:rsidP="00BC16EE">
      <w:pPr>
        <w:pStyle w:val="ECHRDecisionBody"/>
        <w:jc w:val="center"/>
      </w:pPr>
      <w:r w:rsidRPr="007A37E9">
        <w:t>EUROPEJSKI TRYBUNAŁ PRAW CZŁOWIEKA</w:t>
      </w:r>
    </w:p>
    <w:p w14:paraId="7A532BC6" w14:textId="77777777" w:rsidR="002D2C99" w:rsidRPr="007A37E9" w:rsidRDefault="002D2C99" w:rsidP="00BC16EE">
      <w:pPr>
        <w:jc w:val="center"/>
      </w:pPr>
    </w:p>
    <w:p w14:paraId="63C3328E" w14:textId="704C442C" w:rsidR="002D2C99" w:rsidRPr="00BC16EE" w:rsidRDefault="00C96842" w:rsidP="00BC16EE">
      <w:pPr>
        <w:tabs>
          <w:tab w:val="left" w:pos="5529"/>
        </w:tabs>
        <w:jc w:val="center"/>
      </w:pPr>
      <w:r>
        <w:t>DRUGA</w:t>
      </w:r>
      <w:r w:rsidR="0049367B" w:rsidRPr="0049367B">
        <w:t xml:space="preserve"> </w:t>
      </w:r>
      <w:r w:rsidR="0049367B">
        <w:t>SEKCJA</w:t>
      </w:r>
    </w:p>
    <w:p w14:paraId="52775384" w14:textId="77777777" w:rsidR="002D2C99" w:rsidRPr="001408A9" w:rsidRDefault="002D2C99" w:rsidP="00BC16EE">
      <w:pPr>
        <w:jc w:val="center"/>
      </w:pPr>
    </w:p>
    <w:p w14:paraId="46CBD84D" w14:textId="77777777" w:rsidR="002D2C99" w:rsidRPr="001408A9" w:rsidRDefault="002D2C99" w:rsidP="00BC16EE">
      <w:pPr>
        <w:jc w:val="center"/>
      </w:pPr>
    </w:p>
    <w:p w14:paraId="1535EAA7" w14:textId="77777777" w:rsidR="002D2C99" w:rsidRPr="001408A9" w:rsidRDefault="002D2C99" w:rsidP="00BC16EE">
      <w:pPr>
        <w:jc w:val="center"/>
      </w:pPr>
    </w:p>
    <w:p w14:paraId="5077B2A1" w14:textId="77777777" w:rsidR="002D2C99" w:rsidRPr="001408A9" w:rsidRDefault="002D2C99" w:rsidP="00BC16EE">
      <w:pPr>
        <w:jc w:val="center"/>
      </w:pPr>
    </w:p>
    <w:p w14:paraId="1B0C998A" w14:textId="77777777" w:rsidR="00BC16EE" w:rsidRPr="001408A9" w:rsidRDefault="00BC16EE" w:rsidP="00BC16EE">
      <w:pPr>
        <w:jc w:val="center"/>
      </w:pPr>
    </w:p>
    <w:p w14:paraId="4D6B0ECF" w14:textId="77777777" w:rsidR="002D2C99" w:rsidRPr="001408A9" w:rsidRDefault="002D2C99" w:rsidP="00BC16EE">
      <w:pPr>
        <w:jc w:val="center"/>
      </w:pPr>
    </w:p>
    <w:p w14:paraId="1F240693" w14:textId="77777777" w:rsidR="002D2C99" w:rsidRPr="001408A9" w:rsidRDefault="002D2C99" w:rsidP="00BC16EE">
      <w:pPr>
        <w:jc w:val="center"/>
      </w:pPr>
    </w:p>
    <w:p w14:paraId="441CF40B" w14:textId="77777777" w:rsidR="002D2C99" w:rsidRPr="00BC16EE" w:rsidRDefault="002D2C99" w:rsidP="00BC16EE">
      <w:pPr>
        <w:jc w:val="center"/>
        <w:outlineLvl w:val="0"/>
        <w:rPr>
          <w:b/>
        </w:rPr>
      </w:pPr>
      <w:r>
        <w:rPr>
          <w:b/>
        </w:rPr>
        <w:t xml:space="preserve">SPRAWA </w:t>
      </w:r>
      <w:proofErr w:type="spellStart"/>
      <w:r>
        <w:rPr>
          <w:b/>
        </w:rPr>
        <w:t>YİRDEM</w:t>
      </w:r>
      <w:proofErr w:type="spellEnd"/>
      <w:r>
        <w:rPr>
          <w:b/>
        </w:rPr>
        <w:t xml:space="preserve"> I INNI PRZECIWKO TURCJI</w:t>
      </w:r>
    </w:p>
    <w:p w14:paraId="25CB1E24" w14:textId="77777777" w:rsidR="002D2C99" w:rsidRPr="001408A9" w:rsidRDefault="002D2C99" w:rsidP="00BC16EE">
      <w:pPr>
        <w:jc w:val="center"/>
      </w:pPr>
    </w:p>
    <w:p w14:paraId="7C50243D" w14:textId="77777777" w:rsidR="002D2C99" w:rsidRPr="00BC16EE" w:rsidRDefault="002D2C99" w:rsidP="00BC16EE">
      <w:pPr>
        <w:jc w:val="center"/>
        <w:rPr>
          <w:i/>
        </w:rPr>
      </w:pPr>
      <w:r>
        <w:rPr>
          <w:i/>
        </w:rPr>
        <w:t>(Skarga nr 72781/12)</w:t>
      </w:r>
    </w:p>
    <w:p w14:paraId="298B3E35" w14:textId="77777777" w:rsidR="002D2C99" w:rsidRPr="001408A9" w:rsidRDefault="002D2C99" w:rsidP="00BC16EE">
      <w:pPr>
        <w:jc w:val="center"/>
      </w:pPr>
    </w:p>
    <w:p w14:paraId="5DDE4F71" w14:textId="77777777" w:rsidR="002D2C99" w:rsidRPr="001408A9" w:rsidRDefault="002D2C99" w:rsidP="00BC16EE">
      <w:pPr>
        <w:jc w:val="center"/>
      </w:pPr>
    </w:p>
    <w:p w14:paraId="349A9A3D" w14:textId="77777777" w:rsidR="002D2C99" w:rsidRPr="001408A9" w:rsidRDefault="002D2C99" w:rsidP="00BC16EE">
      <w:pPr>
        <w:jc w:val="center"/>
      </w:pPr>
    </w:p>
    <w:p w14:paraId="2A1BD720" w14:textId="77777777" w:rsidR="002D2C99" w:rsidRPr="001408A9" w:rsidRDefault="002D2C99" w:rsidP="00BC16EE">
      <w:pPr>
        <w:jc w:val="center"/>
      </w:pPr>
    </w:p>
    <w:p w14:paraId="0918AC9D" w14:textId="77777777" w:rsidR="002D2C99" w:rsidRPr="001408A9" w:rsidRDefault="002D2C99" w:rsidP="00BC16EE">
      <w:pPr>
        <w:jc w:val="center"/>
      </w:pPr>
    </w:p>
    <w:p w14:paraId="12A2A92D" w14:textId="77777777" w:rsidR="002D2C99" w:rsidRPr="001408A9" w:rsidRDefault="002D2C99" w:rsidP="00BC16EE">
      <w:pPr>
        <w:jc w:val="center"/>
      </w:pPr>
    </w:p>
    <w:p w14:paraId="0540E849" w14:textId="77777777" w:rsidR="002D2C99" w:rsidRPr="001408A9" w:rsidRDefault="002D2C99" w:rsidP="00BC16EE">
      <w:pPr>
        <w:jc w:val="center"/>
      </w:pPr>
    </w:p>
    <w:p w14:paraId="261BF031" w14:textId="77777777" w:rsidR="002D2C99" w:rsidRPr="001408A9" w:rsidRDefault="002D2C99" w:rsidP="00BC16EE">
      <w:pPr>
        <w:jc w:val="center"/>
      </w:pPr>
    </w:p>
    <w:p w14:paraId="18DA6012" w14:textId="77777777" w:rsidR="002D2C99" w:rsidRPr="001408A9" w:rsidRDefault="002D2C99" w:rsidP="00BC16EE">
      <w:pPr>
        <w:jc w:val="center"/>
      </w:pPr>
    </w:p>
    <w:p w14:paraId="0CA444F8" w14:textId="77777777" w:rsidR="002D2C99" w:rsidRPr="001408A9" w:rsidRDefault="002D2C99" w:rsidP="00BC16EE">
      <w:pPr>
        <w:jc w:val="center"/>
      </w:pPr>
    </w:p>
    <w:p w14:paraId="14F69AF0" w14:textId="77777777" w:rsidR="002D2C99" w:rsidRPr="00BC16EE" w:rsidRDefault="002D2C99" w:rsidP="00BC16EE">
      <w:pPr>
        <w:jc w:val="center"/>
        <w:outlineLvl w:val="0"/>
      </w:pPr>
      <w:r>
        <w:t>WYROK</w:t>
      </w:r>
    </w:p>
    <w:p w14:paraId="53A2AF8B" w14:textId="77777777" w:rsidR="002D2C99" w:rsidRPr="001408A9" w:rsidRDefault="002D2C99" w:rsidP="00BC16EE">
      <w:pPr>
        <w:jc w:val="center"/>
        <w:rPr>
          <w:i/>
        </w:rPr>
      </w:pPr>
    </w:p>
    <w:p w14:paraId="233556D7" w14:textId="77777777" w:rsidR="002D2C99" w:rsidRPr="001408A9" w:rsidRDefault="002D2C99" w:rsidP="00BC16EE">
      <w:pPr>
        <w:jc w:val="center"/>
      </w:pPr>
    </w:p>
    <w:p w14:paraId="50514CCC" w14:textId="77777777" w:rsidR="002D2C99" w:rsidRPr="00BC16EE" w:rsidRDefault="002D2C99" w:rsidP="00BC16EE">
      <w:pPr>
        <w:jc w:val="center"/>
        <w:outlineLvl w:val="0"/>
      </w:pPr>
      <w:r>
        <w:t>STRASBURG</w:t>
      </w:r>
    </w:p>
    <w:p w14:paraId="59FC0E04" w14:textId="77777777" w:rsidR="002D2C99" w:rsidRPr="001408A9" w:rsidRDefault="002D2C99" w:rsidP="00BC16EE">
      <w:pPr>
        <w:jc w:val="center"/>
      </w:pPr>
    </w:p>
    <w:p w14:paraId="35B29C7A" w14:textId="77777777" w:rsidR="002D2C99" w:rsidRPr="00BC16EE" w:rsidRDefault="00C96842" w:rsidP="00BC16EE">
      <w:pPr>
        <w:jc w:val="center"/>
      </w:pPr>
      <w:r>
        <w:t>4 września 2018 r.</w:t>
      </w:r>
    </w:p>
    <w:p w14:paraId="2029B2D0" w14:textId="77777777" w:rsidR="002D2C99" w:rsidRPr="001408A9" w:rsidRDefault="002D2C99" w:rsidP="00BC16EE">
      <w:pPr>
        <w:jc w:val="center"/>
      </w:pPr>
    </w:p>
    <w:p w14:paraId="7ABD9BC4" w14:textId="77777777" w:rsidR="00BC16EE" w:rsidRPr="001408A9" w:rsidRDefault="00BC16EE" w:rsidP="00BC16EE">
      <w:pPr>
        <w:jc w:val="center"/>
      </w:pPr>
    </w:p>
    <w:p w14:paraId="570DB5F9" w14:textId="77777777" w:rsidR="000E298D" w:rsidRDefault="000E298D" w:rsidP="000E298D">
      <w:pPr>
        <w:pStyle w:val="jucase0"/>
        <w:ind w:firstLine="0"/>
        <w:jc w:val="center"/>
        <w:rPr>
          <w:color w:val="FF0000"/>
          <w:sz w:val="28"/>
          <w:szCs w:val="28"/>
          <w:u w:val="single"/>
        </w:rPr>
      </w:pPr>
      <w:r>
        <w:rPr>
          <w:color w:val="FF0000"/>
          <w:sz w:val="28"/>
          <w:szCs w:val="28"/>
          <w:u w:val="single"/>
        </w:rPr>
        <w:t>OSTATECZNY</w:t>
      </w:r>
    </w:p>
    <w:p w14:paraId="440AF064" w14:textId="77777777" w:rsidR="000E298D" w:rsidRPr="001408A9" w:rsidRDefault="000E298D" w:rsidP="000E298D">
      <w:pPr>
        <w:pStyle w:val="jupara"/>
        <w:tabs>
          <w:tab w:val="left" w:pos="3450"/>
        </w:tabs>
        <w:ind w:firstLine="0"/>
        <w:jc w:val="center"/>
        <w:rPr>
          <w:color w:val="FF0000"/>
          <w:sz w:val="28"/>
          <w:szCs w:val="28"/>
        </w:rPr>
      </w:pPr>
    </w:p>
    <w:p w14:paraId="72B50B7C" w14:textId="77777777" w:rsidR="000E298D" w:rsidRDefault="000E298D" w:rsidP="000E298D">
      <w:pPr>
        <w:pStyle w:val="jupara"/>
        <w:ind w:firstLine="0"/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04</w:t>
      </w:r>
      <w:r w:rsidR="006C11A6">
        <w:rPr>
          <w:color w:val="FF0000"/>
          <w:sz w:val="28"/>
          <w:szCs w:val="28"/>
        </w:rPr>
        <w:t>/</w:t>
      </w:r>
      <w:r>
        <w:rPr>
          <w:color w:val="FF0000"/>
          <w:sz w:val="28"/>
          <w:szCs w:val="28"/>
        </w:rPr>
        <w:t>12</w:t>
      </w:r>
      <w:r w:rsidR="006C11A6">
        <w:rPr>
          <w:color w:val="FF0000"/>
          <w:sz w:val="28"/>
          <w:szCs w:val="28"/>
        </w:rPr>
        <w:t>/</w:t>
      </w:r>
      <w:r>
        <w:rPr>
          <w:color w:val="FF0000"/>
          <w:sz w:val="28"/>
          <w:szCs w:val="28"/>
        </w:rPr>
        <w:t>2018</w:t>
      </w:r>
    </w:p>
    <w:p w14:paraId="2686881D" w14:textId="77777777" w:rsidR="000E298D" w:rsidRPr="001408A9" w:rsidRDefault="000E298D" w:rsidP="000E298D">
      <w:pPr>
        <w:pStyle w:val="jupara"/>
        <w:ind w:firstLine="0"/>
        <w:jc w:val="center"/>
        <w:rPr>
          <w:u w:val="single"/>
        </w:rPr>
      </w:pPr>
    </w:p>
    <w:p w14:paraId="122081F3" w14:textId="77777777" w:rsidR="000E298D" w:rsidRDefault="000E298D" w:rsidP="000E298D">
      <w:pPr>
        <w:jc w:val="center"/>
        <w:rPr>
          <w:i/>
          <w:iCs/>
          <w:sz w:val="22"/>
        </w:rPr>
      </w:pPr>
      <w:r>
        <w:rPr>
          <w:i/>
          <w:iCs/>
          <w:sz w:val="22"/>
        </w:rPr>
        <w:t>Wyrok ten stał się ostateczny zgodnie z warunkami określonymi w art. 44 ust. 2 Konwencji. Może on podlegać korekcie wydawniczej.</w:t>
      </w:r>
    </w:p>
    <w:p w14:paraId="042610B6" w14:textId="77777777" w:rsidR="002D2C99" w:rsidRPr="001408A9" w:rsidRDefault="002D2C99" w:rsidP="00BC16EE"/>
    <w:p w14:paraId="435BC9E5" w14:textId="77777777" w:rsidR="00BC16EE" w:rsidRPr="001408A9" w:rsidRDefault="00BC16EE" w:rsidP="00BC16EE">
      <w:pPr>
        <w:sectPr w:rsidR="00BC16EE" w:rsidRPr="001408A9" w:rsidSect="00F5432B">
          <w:headerReference w:type="default" r:id="rId11"/>
          <w:footerReference w:type="default" r:id="rId12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</w:sectPr>
      </w:pPr>
    </w:p>
    <w:p w14:paraId="335D1D60" w14:textId="77777777" w:rsidR="002D2C99" w:rsidRPr="00BC16EE" w:rsidRDefault="002D2C99" w:rsidP="00BC16EE">
      <w:pPr>
        <w:pStyle w:val="JuCase"/>
      </w:pPr>
      <w:r>
        <w:lastRenderedPageBreak/>
        <w:t xml:space="preserve">W sprawie </w:t>
      </w:r>
      <w:proofErr w:type="spellStart"/>
      <w:r>
        <w:t>Yirdem</w:t>
      </w:r>
      <w:proofErr w:type="spellEnd"/>
      <w:r>
        <w:t xml:space="preserve"> i Inni przeciwko Turcji,</w:t>
      </w:r>
    </w:p>
    <w:p w14:paraId="163CB4C8" w14:textId="0BB5CEC8" w:rsidR="00C96842" w:rsidRPr="00BC16EE" w:rsidRDefault="00C96842" w:rsidP="00BC16EE">
      <w:pPr>
        <w:pStyle w:val="ECHRPara"/>
      </w:pPr>
      <w:r>
        <w:t>Europejski Trybunał Praw Człowieka (</w:t>
      </w:r>
      <w:r w:rsidR="0049367B">
        <w:t>Druga</w:t>
      </w:r>
      <w:r w:rsidR="0049367B" w:rsidRPr="0049367B">
        <w:t xml:space="preserve"> </w:t>
      </w:r>
      <w:r w:rsidR="0049367B">
        <w:t>Sekcja</w:t>
      </w:r>
      <w:r>
        <w:t>), zasiadając jako Izba w składzie:</w:t>
      </w:r>
    </w:p>
    <w:p w14:paraId="31F02C62" w14:textId="77777777" w:rsidR="00C96842" w:rsidRPr="00BC16EE" w:rsidRDefault="00C96842" w:rsidP="00BC16EE">
      <w:pPr>
        <w:pStyle w:val="ECHRDecisionBody"/>
      </w:pPr>
      <w:r>
        <w:tab/>
        <w:t>Robert Spano,</w:t>
      </w:r>
      <w:r>
        <w:rPr>
          <w:i/>
        </w:rPr>
        <w:t xml:space="preserve"> przewodniczący,</w:t>
      </w:r>
      <w:r>
        <w:rPr>
          <w:i/>
        </w:rPr>
        <w:br/>
      </w:r>
      <w:r>
        <w:tab/>
        <w:t xml:space="preserve">Paul </w:t>
      </w:r>
      <w:proofErr w:type="spellStart"/>
      <w:r>
        <w:t>Lemmens</w:t>
      </w:r>
      <w:proofErr w:type="spellEnd"/>
      <w:r>
        <w:t>,</w:t>
      </w:r>
      <w:r>
        <w:rPr>
          <w:i/>
        </w:rPr>
        <w:br/>
      </w:r>
      <w:r>
        <w:tab/>
      </w:r>
      <w:proofErr w:type="spellStart"/>
      <w:r>
        <w:t>Ledi</w:t>
      </w:r>
      <w:proofErr w:type="spellEnd"/>
      <w:r>
        <w:t xml:space="preserve"> </w:t>
      </w:r>
      <w:proofErr w:type="spellStart"/>
      <w:r>
        <w:t>Bianku</w:t>
      </w:r>
      <w:proofErr w:type="spellEnd"/>
      <w:r>
        <w:t>,</w:t>
      </w:r>
      <w:r>
        <w:rPr>
          <w:i/>
        </w:rPr>
        <w:br/>
      </w:r>
      <w:r>
        <w:tab/>
      </w:r>
      <w:proofErr w:type="spellStart"/>
      <w:r>
        <w:t>Işıl</w:t>
      </w:r>
      <w:proofErr w:type="spellEnd"/>
      <w:r>
        <w:t xml:space="preserve"> </w:t>
      </w:r>
      <w:proofErr w:type="spellStart"/>
      <w:r>
        <w:t>Karakaş</w:t>
      </w:r>
      <w:proofErr w:type="spellEnd"/>
      <w:r>
        <w:t>,</w:t>
      </w:r>
      <w:r>
        <w:rPr>
          <w:i/>
        </w:rPr>
        <w:br/>
      </w:r>
      <w:r>
        <w:tab/>
      </w:r>
      <w:proofErr w:type="spellStart"/>
      <w:r>
        <w:t>Nebojša</w:t>
      </w:r>
      <w:proofErr w:type="spellEnd"/>
      <w:r>
        <w:t xml:space="preserve"> </w:t>
      </w:r>
      <w:proofErr w:type="spellStart"/>
      <w:r>
        <w:t>Vučinić</w:t>
      </w:r>
      <w:proofErr w:type="spellEnd"/>
      <w:r>
        <w:t>,</w:t>
      </w:r>
      <w:r>
        <w:rPr>
          <w:i/>
        </w:rPr>
        <w:br/>
      </w:r>
      <w:r>
        <w:tab/>
        <w:t xml:space="preserve">Valeriu </w:t>
      </w:r>
      <w:proofErr w:type="spellStart"/>
      <w:r>
        <w:t>Griţco</w:t>
      </w:r>
      <w:proofErr w:type="spellEnd"/>
      <w:r>
        <w:t>,</w:t>
      </w:r>
      <w:r>
        <w:rPr>
          <w:i/>
        </w:rPr>
        <w:br/>
      </w:r>
      <w:r>
        <w:tab/>
      </w:r>
      <w:proofErr w:type="spellStart"/>
      <w:r>
        <w:t>Stéphanie</w:t>
      </w:r>
      <w:proofErr w:type="spellEnd"/>
      <w:r>
        <w:t xml:space="preserve"> </w:t>
      </w:r>
      <w:proofErr w:type="spellStart"/>
      <w:r>
        <w:t>Mourou-Vikström</w:t>
      </w:r>
      <w:proofErr w:type="spellEnd"/>
      <w:r>
        <w:t>,</w:t>
      </w:r>
      <w:r>
        <w:rPr>
          <w:i/>
        </w:rPr>
        <w:t xml:space="preserve"> sędziowie,</w:t>
      </w:r>
      <w:r>
        <w:br/>
        <w:t xml:space="preserve">oraz </w:t>
      </w:r>
      <w:proofErr w:type="spellStart"/>
      <w:r>
        <w:rPr>
          <w:rStyle w:val="JuJudgesChar"/>
          <w:szCs w:val="24"/>
        </w:rPr>
        <w:t>Hasan</w:t>
      </w:r>
      <w:proofErr w:type="spellEnd"/>
      <w:r>
        <w:rPr>
          <w:rStyle w:val="JuJudgesChar"/>
          <w:szCs w:val="24"/>
        </w:rPr>
        <w:t xml:space="preserve"> </w:t>
      </w:r>
      <w:proofErr w:type="spellStart"/>
      <w:r>
        <w:rPr>
          <w:rStyle w:val="JuJudgesChar"/>
          <w:szCs w:val="24"/>
        </w:rPr>
        <w:t>Bakırcı</w:t>
      </w:r>
      <w:proofErr w:type="spellEnd"/>
      <w:r>
        <w:rPr>
          <w:rStyle w:val="JuJudgesChar"/>
          <w:szCs w:val="24"/>
        </w:rPr>
        <w:t xml:space="preserve">, </w:t>
      </w:r>
      <w:r>
        <w:rPr>
          <w:i/>
        </w:rPr>
        <w:t>zastępca kanclerza sekcji</w:t>
      </w:r>
      <w:r>
        <w:t>,</w:t>
      </w:r>
    </w:p>
    <w:p w14:paraId="65E36944" w14:textId="77777777" w:rsidR="00C96842" w:rsidRPr="00BC16EE" w:rsidRDefault="00C96842" w:rsidP="00BC16EE">
      <w:pPr>
        <w:pStyle w:val="ECHRPara"/>
      </w:pPr>
      <w:r>
        <w:t>obradując na posiedzeniu niejawnym w dniu 3 lipca 2018 r.,</w:t>
      </w:r>
    </w:p>
    <w:p w14:paraId="604A4259" w14:textId="77777777" w:rsidR="00C96842" w:rsidRPr="00BC16EE" w:rsidRDefault="00C96842" w:rsidP="00BC16EE">
      <w:pPr>
        <w:pStyle w:val="ECHRPara"/>
      </w:pPr>
      <w:r>
        <w:t>wydaje następujący wyrok, który został przyjęty w tym dniu:</w:t>
      </w:r>
    </w:p>
    <w:p w14:paraId="1BE038B6" w14:textId="77777777" w:rsidR="00C96842" w:rsidRPr="00BC16EE" w:rsidRDefault="00C96842" w:rsidP="00BC16EE">
      <w:pPr>
        <w:pStyle w:val="ECHRTitle1"/>
      </w:pPr>
      <w:r>
        <w:t>POSTĘPOWANIE</w:t>
      </w:r>
    </w:p>
    <w:p w14:paraId="03EC5292" w14:textId="6A3757CF" w:rsidR="00C96842" w:rsidRPr="00BC16EE" w:rsidRDefault="007A3B0E" w:rsidP="00BC16EE">
      <w:pPr>
        <w:pStyle w:val="ECHRPara"/>
      </w:pPr>
      <w:r>
        <w:rPr>
          <w:noProof/>
        </w:rPr>
        <w:t>1</w:t>
      </w:r>
      <w:r w:rsidR="00C96842">
        <w:t>.</w:t>
      </w:r>
      <w:r w:rsidR="00A418CB">
        <w:t xml:space="preserve"> </w:t>
      </w:r>
      <w:r w:rsidR="00C96842">
        <w:t xml:space="preserve">Sprawa wywodzi się ze skargi (nr 72781/12) wniesionej do Trybunału przeciwko </w:t>
      </w:r>
      <w:r w:rsidR="0039551A">
        <w:t xml:space="preserve">Republice Turcji </w:t>
      </w:r>
      <w:r w:rsidR="00C96842">
        <w:t>w dniu 18 września 2012 r. na podstawie art. 34 Konwencji o ochronie praw człowieka i podstawowych wolności („</w:t>
      </w:r>
      <w:r w:rsidR="000A29BF">
        <w:t>Konwencja</w:t>
      </w:r>
      <w:r w:rsidR="00C96842">
        <w:t xml:space="preserve">”) przez trzy obywatelki tureckie – p. </w:t>
      </w:r>
      <w:proofErr w:type="spellStart"/>
      <w:r w:rsidR="00C96842">
        <w:t>Münüre</w:t>
      </w:r>
      <w:proofErr w:type="spellEnd"/>
      <w:r w:rsidR="00C96842">
        <w:t xml:space="preserve"> </w:t>
      </w:r>
      <w:proofErr w:type="spellStart"/>
      <w:r w:rsidR="00C96842">
        <w:t>Yirdem</w:t>
      </w:r>
      <w:proofErr w:type="spellEnd"/>
      <w:r w:rsidR="00C96842">
        <w:t>, p.</w:t>
      </w:r>
      <w:r w:rsidR="006038BE">
        <w:t> </w:t>
      </w:r>
      <w:proofErr w:type="spellStart"/>
      <w:r w:rsidR="00C96842">
        <w:t>Deryę</w:t>
      </w:r>
      <w:proofErr w:type="spellEnd"/>
      <w:r w:rsidR="00C96842">
        <w:t xml:space="preserve"> </w:t>
      </w:r>
      <w:proofErr w:type="spellStart"/>
      <w:r w:rsidR="00C96842">
        <w:t>Şahin</w:t>
      </w:r>
      <w:proofErr w:type="spellEnd"/>
      <w:r w:rsidR="00C96842">
        <w:t xml:space="preserve"> </w:t>
      </w:r>
      <w:proofErr w:type="spellStart"/>
      <w:r w:rsidR="00C96842">
        <w:t>Yirdem</w:t>
      </w:r>
      <w:proofErr w:type="spellEnd"/>
      <w:r w:rsidR="00C96842">
        <w:t xml:space="preserve"> oraz p. </w:t>
      </w:r>
      <w:proofErr w:type="spellStart"/>
      <w:r w:rsidR="00C96842">
        <w:t>Gülay</w:t>
      </w:r>
      <w:proofErr w:type="spellEnd"/>
      <w:r w:rsidR="00C96842">
        <w:t xml:space="preserve"> </w:t>
      </w:r>
      <w:proofErr w:type="spellStart"/>
      <w:r w:rsidR="00C96842">
        <w:t>İlter</w:t>
      </w:r>
      <w:proofErr w:type="spellEnd"/>
      <w:r w:rsidR="00C96842">
        <w:t xml:space="preserve"> </w:t>
      </w:r>
      <w:proofErr w:type="spellStart"/>
      <w:r w:rsidR="00C96842">
        <w:t>Yirdem</w:t>
      </w:r>
      <w:proofErr w:type="spellEnd"/>
      <w:r w:rsidR="00C96842">
        <w:t xml:space="preserve"> („skarżące”).</w:t>
      </w:r>
    </w:p>
    <w:p w14:paraId="1C286436" w14:textId="27238300" w:rsidR="00C96842" w:rsidRPr="00BC16EE" w:rsidRDefault="007A3B0E" w:rsidP="00BC16EE">
      <w:pPr>
        <w:pStyle w:val="ECHRPara"/>
      </w:pPr>
      <w:r>
        <w:rPr>
          <w:noProof/>
        </w:rPr>
        <w:t>2</w:t>
      </w:r>
      <w:r w:rsidR="00C96842">
        <w:t>.</w:t>
      </w:r>
      <w:r w:rsidR="00A418CB">
        <w:t xml:space="preserve"> </w:t>
      </w:r>
      <w:r w:rsidR="00C96842">
        <w:t xml:space="preserve">Skarżące reprezentował A. </w:t>
      </w:r>
      <w:proofErr w:type="spellStart"/>
      <w:r w:rsidR="00C96842">
        <w:t>Erdoğan</w:t>
      </w:r>
      <w:proofErr w:type="spellEnd"/>
      <w:r w:rsidR="00C96842">
        <w:t>, adwokat praktykujący</w:t>
      </w:r>
      <w:r w:rsidR="001436F5">
        <w:t xml:space="preserve"> </w:t>
      </w:r>
      <w:r w:rsidR="00C96842">
        <w:t>w</w:t>
      </w:r>
      <w:r w:rsidR="006038BE">
        <w:t> </w:t>
      </w:r>
      <w:r w:rsidR="00C96842">
        <w:t>Stambule. Rząd turecki („Rząd”) był reprezentowany przez swojego pełnomocnika.</w:t>
      </w:r>
    </w:p>
    <w:p w14:paraId="549935CC" w14:textId="186569CC" w:rsidR="00C96842" w:rsidRPr="00BC16EE" w:rsidRDefault="007A3B0E" w:rsidP="00BC16EE">
      <w:pPr>
        <w:pStyle w:val="ECHRPara"/>
      </w:pPr>
      <w:r>
        <w:rPr>
          <w:noProof/>
        </w:rPr>
        <w:t>3</w:t>
      </w:r>
      <w:r w:rsidR="00C96842">
        <w:t>.</w:t>
      </w:r>
      <w:r w:rsidR="00A418CB">
        <w:t xml:space="preserve"> </w:t>
      </w:r>
      <w:r w:rsidR="00C96842">
        <w:t xml:space="preserve">W szczególności skarżące zarzucały naruszenie prawa do życia ich osoby </w:t>
      </w:r>
      <w:r w:rsidR="001408A9">
        <w:t>najbliższej</w:t>
      </w:r>
      <w:r w:rsidR="00C96842">
        <w:t>.</w:t>
      </w:r>
    </w:p>
    <w:p w14:paraId="14B1A635" w14:textId="059885F0" w:rsidR="00C96842" w:rsidRPr="00BC16EE" w:rsidRDefault="007A3B0E" w:rsidP="00BC16EE">
      <w:pPr>
        <w:pStyle w:val="ECHRPara"/>
        <w:rPr>
          <w:szCs w:val="24"/>
        </w:rPr>
      </w:pPr>
      <w:r>
        <w:rPr>
          <w:noProof/>
        </w:rPr>
        <w:t>4</w:t>
      </w:r>
      <w:r w:rsidR="00C96842">
        <w:t>.</w:t>
      </w:r>
      <w:r w:rsidR="00A418CB">
        <w:t xml:space="preserve"> </w:t>
      </w:r>
      <w:r w:rsidR="00C96842">
        <w:t>Sprawa została zakomunikowana Rządowi w dniu 3 stycznia 2017 r.</w:t>
      </w:r>
    </w:p>
    <w:p w14:paraId="7E420396" w14:textId="77777777" w:rsidR="00C96842" w:rsidRPr="00BC16EE" w:rsidRDefault="00C96842" w:rsidP="00BC16EE">
      <w:pPr>
        <w:pStyle w:val="ECHRTitle1"/>
        <w:tabs>
          <w:tab w:val="left" w:pos="5387"/>
        </w:tabs>
      </w:pPr>
      <w:r>
        <w:t>FAKTY</w:t>
      </w:r>
    </w:p>
    <w:p w14:paraId="45908482" w14:textId="4756FEF6" w:rsidR="00C96842" w:rsidRPr="00BC16EE" w:rsidRDefault="007A3B0E" w:rsidP="00BC16EE">
      <w:pPr>
        <w:pStyle w:val="ECHRPara"/>
      </w:pPr>
      <w:r>
        <w:rPr>
          <w:noProof/>
        </w:rPr>
        <w:t>5</w:t>
      </w:r>
      <w:r w:rsidR="00C96842">
        <w:t>.</w:t>
      </w:r>
      <w:r w:rsidR="00A418CB">
        <w:t xml:space="preserve"> </w:t>
      </w:r>
      <w:r w:rsidR="00C96842">
        <w:t>Skarżące urodziły się odpowiednio w latach 1958, 1973 i 1979</w:t>
      </w:r>
      <w:r w:rsidR="008C177B">
        <w:t>.</w:t>
      </w:r>
      <w:r w:rsidR="00C96842">
        <w:t xml:space="preserve"> </w:t>
      </w:r>
      <w:r w:rsidR="008C177B">
        <w:t>M</w:t>
      </w:r>
      <w:r w:rsidR="00C96842">
        <w:t>ieszkają w Stambule.</w:t>
      </w:r>
    </w:p>
    <w:p w14:paraId="5438422C" w14:textId="6F7FF4BD" w:rsidR="00C96842" w:rsidRPr="00BC16EE" w:rsidRDefault="007A3B0E" w:rsidP="00BC16EE">
      <w:pPr>
        <w:pStyle w:val="ECHRPara"/>
      </w:pPr>
      <w:r>
        <w:rPr>
          <w:noProof/>
        </w:rPr>
        <w:t>6</w:t>
      </w:r>
      <w:r w:rsidR="00C96842">
        <w:t>.</w:t>
      </w:r>
      <w:r w:rsidR="00A418CB">
        <w:t xml:space="preserve"> </w:t>
      </w:r>
      <w:r w:rsidR="00C96842">
        <w:t xml:space="preserve">Pierwsza skarżąca, p. </w:t>
      </w:r>
      <w:proofErr w:type="spellStart"/>
      <w:r w:rsidR="00C96842">
        <w:t>Münüre</w:t>
      </w:r>
      <w:proofErr w:type="spellEnd"/>
      <w:r w:rsidR="00C96842">
        <w:t xml:space="preserve"> </w:t>
      </w:r>
      <w:proofErr w:type="spellStart"/>
      <w:r w:rsidR="00C96842">
        <w:t>Yirdem</w:t>
      </w:r>
      <w:proofErr w:type="spellEnd"/>
      <w:r w:rsidR="00C96842">
        <w:t xml:space="preserve">, jest wdową po </w:t>
      </w:r>
      <w:proofErr w:type="spellStart"/>
      <w:r w:rsidR="00C96842">
        <w:t>Nayimie</w:t>
      </w:r>
      <w:proofErr w:type="spellEnd"/>
      <w:r w:rsidR="00C96842">
        <w:t xml:space="preserve"> </w:t>
      </w:r>
      <w:proofErr w:type="spellStart"/>
      <w:r w:rsidR="00C96842">
        <w:t>Yirdemie</w:t>
      </w:r>
      <w:proofErr w:type="spellEnd"/>
      <w:r w:rsidR="00C96842">
        <w:t>. Dwie pozostałe skarżące są jej dziećmi.</w:t>
      </w:r>
    </w:p>
    <w:p w14:paraId="0D4F6EC0" w14:textId="1ADCDA8B" w:rsidR="00C96842" w:rsidRPr="00BC16EE" w:rsidRDefault="007A3B0E" w:rsidP="00BC16EE">
      <w:pPr>
        <w:pStyle w:val="ECHRPara"/>
      </w:pPr>
      <w:r>
        <w:rPr>
          <w:noProof/>
        </w:rPr>
        <w:t>7</w:t>
      </w:r>
      <w:r w:rsidR="00C96842">
        <w:t>.</w:t>
      </w:r>
      <w:r w:rsidR="00A418CB">
        <w:t xml:space="preserve"> </w:t>
      </w:r>
      <w:r w:rsidR="00C96842">
        <w:t xml:space="preserve">W dniu 13 sierpnia 2003 r. </w:t>
      </w:r>
      <w:proofErr w:type="spellStart"/>
      <w:r w:rsidR="00C96842">
        <w:t>Nayim</w:t>
      </w:r>
      <w:proofErr w:type="spellEnd"/>
      <w:r w:rsidR="00C96842">
        <w:t xml:space="preserve"> </w:t>
      </w:r>
      <w:proofErr w:type="spellStart"/>
      <w:r w:rsidR="00C96842">
        <w:t>Yirdem</w:t>
      </w:r>
      <w:proofErr w:type="spellEnd"/>
      <w:r w:rsidR="00C96842">
        <w:t xml:space="preserve"> został przyjęty do szpitala </w:t>
      </w:r>
      <w:proofErr w:type="spellStart"/>
      <w:r w:rsidR="00C96842">
        <w:t>Bezmi</w:t>
      </w:r>
      <w:proofErr w:type="spellEnd"/>
      <w:r w:rsidR="00C96842">
        <w:t xml:space="preserve"> Alem </w:t>
      </w:r>
      <w:proofErr w:type="spellStart"/>
      <w:r w:rsidR="00C96842">
        <w:t>Valide</w:t>
      </w:r>
      <w:proofErr w:type="spellEnd"/>
      <w:r w:rsidR="00C96842">
        <w:t xml:space="preserve"> </w:t>
      </w:r>
      <w:proofErr w:type="spellStart"/>
      <w:r w:rsidR="00C96842">
        <w:t>Sultan</w:t>
      </w:r>
      <w:proofErr w:type="spellEnd"/>
      <w:r w:rsidR="00C96842">
        <w:t xml:space="preserve"> </w:t>
      </w:r>
      <w:proofErr w:type="spellStart"/>
      <w:r w:rsidR="00C96842">
        <w:t>Hospital</w:t>
      </w:r>
      <w:proofErr w:type="spellEnd"/>
      <w:r w:rsidR="00C96842">
        <w:t xml:space="preserve"> („szpital”) z powodu z</w:t>
      </w:r>
      <w:r w:rsidR="001408A9">
        <w:t xml:space="preserve">aburzeń </w:t>
      </w:r>
      <w:r w:rsidR="00C96842">
        <w:t>świadomości i niedowładu lewej strony ciała.</w:t>
      </w:r>
    </w:p>
    <w:p w14:paraId="3B586A48" w14:textId="25B8BEEB" w:rsidR="00C96842" w:rsidRPr="00BC16EE" w:rsidRDefault="007A3B0E" w:rsidP="00BC16EE">
      <w:pPr>
        <w:pStyle w:val="ECHRPara"/>
      </w:pPr>
      <w:r>
        <w:rPr>
          <w:noProof/>
        </w:rPr>
        <w:t>8</w:t>
      </w:r>
      <w:r w:rsidR="00C96842">
        <w:t>.</w:t>
      </w:r>
      <w:r w:rsidR="00A418CB">
        <w:t xml:space="preserve"> </w:t>
      </w:r>
      <w:r w:rsidR="00C96842">
        <w:t>Lekarze stwierdzili udar mózgu.</w:t>
      </w:r>
    </w:p>
    <w:p w14:paraId="49F21E47" w14:textId="3B810E98" w:rsidR="00C96842" w:rsidRPr="00BC16EE" w:rsidRDefault="007A3B0E" w:rsidP="00BC16EE">
      <w:pPr>
        <w:pStyle w:val="ECHRPara"/>
      </w:pPr>
      <w:r>
        <w:rPr>
          <w:noProof/>
        </w:rPr>
        <w:t>9</w:t>
      </w:r>
      <w:r w:rsidR="00C96842">
        <w:t>.</w:t>
      </w:r>
      <w:r w:rsidR="00A418CB">
        <w:t xml:space="preserve"> </w:t>
      </w:r>
      <w:r w:rsidR="00C96842">
        <w:t xml:space="preserve">W dniu 16 sierpnia 2003 r., około północy, u </w:t>
      </w:r>
      <w:proofErr w:type="spellStart"/>
      <w:r w:rsidR="00C96842">
        <w:t>Nayima</w:t>
      </w:r>
      <w:proofErr w:type="spellEnd"/>
      <w:r w:rsidR="00C96842">
        <w:t xml:space="preserve"> </w:t>
      </w:r>
      <w:proofErr w:type="spellStart"/>
      <w:r w:rsidR="00C96842">
        <w:t>Yirdema</w:t>
      </w:r>
      <w:proofErr w:type="spellEnd"/>
      <w:r w:rsidR="00C96842">
        <w:t xml:space="preserve"> doszło do zatrzymania akcji serca i zgonu pomimo </w:t>
      </w:r>
      <w:r w:rsidR="000136B0">
        <w:t xml:space="preserve">podjętych </w:t>
      </w:r>
      <w:r w:rsidR="00C96842">
        <w:t>przez lekarzy prób reanimacji.</w:t>
      </w:r>
    </w:p>
    <w:p w14:paraId="688066A1" w14:textId="37AE0BC2" w:rsidR="00C96842" w:rsidRPr="00BC16EE" w:rsidRDefault="007A3B0E" w:rsidP="00BC16EE">
      <w:pPr>
        <w:pStyle w:val="ECHRPara"/>
      </w:pPr>
      <w:r>
        <w:rPr>
          <w:noProof/>
        </w:rPr>
        <w:lastRenderedPageBreak/>
        <w:t>10</w:t>
      </w:r>
      <w:r w:rsidR="00C96842">
        <w:t>.</w:t>
      </w:r>
      <w:r w:rsidR="00A418CB">
        <w:t xml:space="preserve"> </w:t>
      </w:r>
      <w:r w:rsidR="00C96842">
        <w:t xml:space="preserve">Pierwsza skarżąca złożyła skargę do prokuratora w </w:t>
      </w:r>
      <w:proofErr w:type="spellStart"/>
      <w:r w:rsidR="00C96842">
        <w:t>Fatih</w:t>
      </w:r>
      <w:proofErr w:type="spellEnd"/>
      <w:r w:rsidR="00C96842">
        <w:t xml:space="preserve"> na lekarzy</w:t>
      </w:r>
      <w:r w:rsidR="001436F5">
        <w:t xml:space="preserve"> </w:t>
      </w:r>
      <w:r w:rsidR="00C96842">
        <w:t>i</w:t>
      </w:r>
      <w:r w:rsidR="006038BE">
        <w:t> </w:t>
      </w:r>
      <w:r w:rsidR="00C96842">
        <w:t>pielęgniarki szpitala. Twierdziła, że butla z tlenem uległa awarii i</w:t>
      </w:r>
      <w:r w:rsidR="006038BE">
        <w:t> </w:t>
      </w:r>
      <w:r w:rsidR="00C96842">
        <w:t>że</w:t>
      </w:r>
      <w:r w:rsidR="006038BE">
        <w:t> </w:t>
      </w:r>
      <w:r w:rsidR="00C96842">
        <w:t>opieka, jaką jej mąż otrzymał od personelu medycznego nie była odpowiednia.</w:t>
      </w:r>
    </w:p>
    <w:p w14:paraId="20EE0A5A" w14:textId="5E6F9580" w:rsidR="00C96842" w:rsidRPr="00BC16EE" w:rsidRDefault="007A3B0E" w:rsidP="00BC16EE">
      <w:pPr>
        <w:pStyle w:val="ECHRPara"/>
      </w:pPr>
      <w:r>
        <w:rPr>
          <w:noProof/>
        </w:rPr>
        <w:t>11</w:t>
      </w:r>
      <w:r w:rsidR="00C96842">
        <w:t>.</w:t>
      </w:r>
      <w:r w:rsidR="00A418CB">
        <w:t xml:space="preserve"> </w:t>
      </w:r>
      <w:r w:rsidR="00C96842">
        <w:t xml:space="preserve">Prokurator w </w:t>
      </w:r>
      <w:proofErr w:type="spellStart"/>
      <w:r w:rsidR="00C96842">
        <w:t>Fatih</w:t>
      </w:r>
      <w:proofErr w:type="spellEnd"/>
      <w:r w:rsidR="00C96842">
        <w:t xml:space="preserve"> wszczął postępowanie przygotowawcze, w</w:t>
      </w:r>
      <w:r w:rsidR="006038BE">
        <w:t> </w:t>
      </w:r>
      <w:r w:rsidR="00C96842">
        <w:t xml:space="preserve">ramach którego przeprowadzono </w:t>
      </w:r>
      <w:r w:rsidR="001A4D64">
        <w:t xml:space="preserve">sekcję zwłok </w:t>
      </w:r>
      <w:r w:rsidR="00C96842">
        <w:t>i zgromadzono liczne dowody</w:t>
      </w:r>
      <w:r w:rsidR="001436F5">
        <w:t xml:space="preserve"> </w:t>
      </w:r>
      <w:r w:rsidR="00C96842">
        <w:t>w</w:t>
      </w:r>
      <w:r w:rsidR="007803F9">
        <w:t> </w:t>
      </w:r>
      <w:r w:rsidR="00C96842">
        <w:t>postaci zeznań świadków, w tym zeznań skarżących.</w:t>
      </w:r>
    </w:p>
    <w:p w14:paraId="670FECB2" w14:textId="290A5AEA" w:rsidR="00C96842" w:rsidRPr="00BC16EE" w:rsidRDefault="007A3B0E" w:rsidP="00BC16EE">
      <w:pPr>
        <w:pStyle w:val="ECHRPara"/>
      </w:pPr>
      <w:r>
        <w:rPr>
          <w:noProof/>
        </w:rPr>
        <w:t>12</w:t>
      </w:r>
      <w:r w:rsidR="00C96842">
        <w:t>.</w:t>
      </w:r>
      <w:r w:rsidR="00A418CB">
        <w:t xml:space="preserve"> </w:t>
      </w:r>
      <w:r w:rsidR="00C96842">
        <w:t>W dniu 5 lutego 2004 r. instytut medycyny sądowej stwierdził,</w:t>
      </w:r>
      <w:r w:rsidR="001436F5">
        <w:t xml:space="preserve"> </w:t>
      </w:r>
      <w:r w:rsidR="00C96842">
        <w:t>że</w:t>
      </w:r>
      <w:r w:rsidR="006038BE">
        <w:t> </w:t>
      </w:r>
      <w:r w:rsidR="00C96842">
        <w:t>przyczyną zgonu był zawał serca i udar mózgu wskutek zatrucia heptanem</w:t>
      </w:r>
      <w:r w:rsidR="001436F5">
        <w:t xml:space="preserve"> </w:t>
      </w:r>
      <w:r w:rsidR="00C96842">
        <w:t>i toluenem, dwoma składnikami rozpuszczalników organicznych.</w:t>
      </w:r>
    </w:p>
    <w:p w14:paraId="68F845DF" w14:textId="2B9024E5" w:rsidR="00C96842" w:rsidRPr="00BC16EE" w:rsidRDefault="007A3B0E" w:rsidP="00BC16EE">
      <w:pPr>
        <w:pStyle w:val="ECHRPara"/>
      </w:pPr>
      <w:r>
        <w:rPr>
          <w:noProof/>
        </w:rPr>
        <w:t>13</w:t>
      </w:r>
      <w:r w:rsidR="00C96842">
        <w:t>.</w:t>
      </w:r>
      <w:r w:rsidR="00A418CB">
        <w:t xml:space="preserve"> </w:t>
      </w:r>
      <w:r w:rsidR="00C96842">
        <w:t>Lekarze i pielęgniarki, od których odebrano zeznania, stwierdzili,</w:t>
      </w:r>
      <w:r w:rsidR="001436F5">
        <w:t xml:space="preserve"> </w:t>
      </w:r>
      <w:r w:rsidR="00C96842">
        <w:t>że</w:t>
      </w:r>
      <w:r w:rsidR="006038BE">
        <w:t> </w:t>
      </w:r>
      <w:r w:rsidR="008E1E39">
        <w:t>w</w:t>
      </w:r>
      <w:r w:rsidR="007803F9">
        <w:t> </w:t>
      </w:r>
      <w:r w:rsidR="008E1E39">
        <w:t xml:space="preserve">szpitalu nie było </w:t>
      </w:r>
      <w:r w:rsidR="00A57CBD">
        <w:t>substancji</w:t>
      </w:r>
      <w:r w:rsidR="008E1E39">
        <w:t xml:space="preserve"> takich jak </w:t>
      </w:r>
      <w:r w:rsidR="00C96842">
        <w:t xml:space="preserve">heptan i toluen </w:t>
      </w:r>
      <w:r w:rsidR="008E1E39">
        <w:t xml:space="preserve">oraz </w:t>
      </w:r>
      <w:r w:rsidR="00C96842">
        <w:t>że butla</w:t>
      </w:r>
      <w:r w:rsidR="001436F5">
        <w:t xml:space="preserve"> </w:t>
      </w:r>
      <w:r w:rsidR="00C96842">
        <w:t>z</w:t>
      </w:r>
      <w:r w:rsidR="006038BE">
        <w:t> </w:t>
      </w:r>
      <w:r w:rsidR="00C96842">
        <w:t xml:space="preserve">tlenem nie uległa awarii. W szczególności dodali, że poziom tlenu we krwi pacjenta był normalny, co – ich zdaniem </w:t>
      </w:r>
      <w:r w:rsidR="001408A9">
        <w:t>–</w:t>
      </w:r>
      <w:r w:rsidR="00C96842">
        <w:t xml:space="preserve"> wskazywało na brak problemu</w:t>
      </w:r>
      <w:r w:rsidR="001436F5">
        <w:t xml:space="preserve"> </w:t>
      </w:r>
      <w:r w:rsidR="00C96842">
        <w:t>z</w:t>
      </w:r>
      <w:r w:rsidR="007803F9">
        <w:t> </w:t>
      </w:r>
      <w:r w:rsidR="00F46859">
        <w:t>dotlenieniem</w:t>
      </w:r>
      <w:r w:rsidR="004A7003">
        <w:t xml:space="preserve"> organizmu</w:t>
      </w:r>
      <w:r w:rsidR="00C96842">
        <w:t>.</w:t>
      </w:r>
    </w:p>
    <w:p w14:paraId="179D7AB8" w14:textId="12E7329C" w:rsidR="00C96842" w:rsidRPr="00BC16EE" w:rsidRDefault="007A3B0E" w:rsidP="00BC16EE">
      <w:pPr>
        <w:pStyle w:val="ECHRPara"/>
      </w:pPr>
      <w:r>
        <w:rPr>
          <w:noProof/>
        </w:rPr>
        <w:t>14</w:t>
      </w:r>
      <w:r w:rsidR="00C96842">
        <w:t>.</w:t>
      </w:r>
      <w:r w:rsidR="00A418CB">
        <w:t xml:space="preserve"> </w:t>
      </w:r>
      <w:r w:rsidR="00C96842">
        <w:t xml:space="preserve">Ratownicy medyczni szpitala również stwierdzili, że butla z tlenem nie uległa awarii i działała </w:t>
      </w:r>
      <w:r w:rsidR="00ED5FB4">
        <w:t>prawidłowo</w:t>
      </w:r>
      <w:r w:rsidR="00C96842">
        <w:t>.</w:t>
      </w:r>
    </w:p>
    <w:p w14:paraId="0F799E3E" w14:textId="51E835DD" w:rsidR="00C96842" w:rsidRPr="00BC16EE" w:rsidRDefault="007A3B0E" w:rsidP="00BC16EE">
      <w:pPr>
        <w:pStyle w:val="ECHRPara"/>
      </w:pPr>
      <w:r>
        <w:rPr>
          <w:noProof/>
        </w:rPr>
        <w:t>15</w:t>
      </w:r>
      <w:r w:rsidR="00C96842">
        <w:t>.</w:t>
      </w:r>
      <w:r w:rsidR="00A418CB">
        <w:t xml:space="preserve"> </w:t>
      </w:r>
      <w:r w:rsidR="00C96842">
        <w:t xml:space="preserve">W dniu 3 grudnia 2004 r. prokurator w </w:t>
      </w:r>
      <w:proofErr w:type="spellStart"/>
      <w:r w:rsidR="00C96842">
        <w:t>Fatih</w:t>
      </w:r>
      <w:proofErr w:type="spellEnd"/>
      <w:r w:rsidR="00C96842">
        <w:t xml:space="preserve"> przekazał akta sprawy </w:t>
      </w:r>
      <w:r w:rsidR="004A0CB2">
        <w:t xml:space="preserve">zespołowi </w:t>
      </w:r>
      <w:r w:rsidR="00C96842">
        <w:t>biegły</w:t>
      </w:r>
      <w:r w:rsidR="001365B3">
        <w:t>ch</w:t>
      </w:r>
      <w:r w:rsidR="00C96842">
        <w:t xml:space="preserve"> z instytutu medycyny sądowej i zwrócił się do </w:t>
      </w:r>
      <w:r w:rsidR="0042706B">
        <w:t>nie</w:t>
      </w:r>
      <w:r w:rsidR="004A0CB2">
        <w:t>go</w:t>
      </w:r>
      <w:r w:rsidR="001436F5">
        <w:t xml:space="preserve"> </w:t>
      </w:r>
      <w:r w:rsidR="00C96842">
        <w:t>z</w:t>
      </w:r>
      <w:r w:rsidR="006038BE">
        <w:t> </w:t>
      </w:r>
      <w:r w:rsidR="00C96842">
        <w:t xml:space="preserve">prośbą o </w:t>
      </w:r>
      <w:r w:rsidR="00BC6BEF">
        <w:t>określenie możliwe</w:t>
      </w:r>
      <w:r w:rsidR="00AA2143">
        <w:t>go zakresu</w:t>
      </w:r>
      <w:r w:rsidR="00BC6BEF">
        <w:t xml:space="preserve"> odpowiedzialności</w:t>
      </w:r>
      <w:r w:rsidR="00C96842">
        <w:t xml:space="preserve"> lekarzy, pielęgniarek i ratowników, którzy byli zaangażowani w sprawę.</w:t>
      </w:r>
    </w:p>
    <w:p w14:paraId="47B8693E" w14:textId="54672DA9" w:rsidR="00C96842" w:rsidRPr="00BC16EE" w:rsidRDefault="007A3B0E" w:rsidP="00BC16EE">
      <w:pPr>
        <w:pStyle w:val="ECHRPara"/>
      </w:pPr>
      <w:r>
        <w:rPr>
          <w:noProof/>
        </w:rPr>
        <w:t>16</w:t>
      </w:r>
      <w:r w:rsidR="00C96842">
        <w:t>.</w:t>
      </w:r>
      <w:r w:rsidR="00A418CB">
        <w:t xml:space="preserve"> </w:t>
      </w:r>
      <w:r w:rsidR="00C96842">
        <w:t xml:space="preserve">W dniu 15 sierpnia 2005 r. </w:t>
      </w:r>
      <w:r w:rsidR="004A0CB2">
        <w:t xml:space="preserve">zespół </w:t>
      </w:r>
      <w:r w:rsidR="00C96842">
        <w:t>bieg</w:t>
      </w:r>
      <w:r w:rsidR="000A29BF">
        <w:t>łych</w:t>
      </w:r>
      <w:r w:rsidR="00C96842">
        <w:t xml:space="preserve"> </w:t>
      </w:r>
      <w:r w:rsidR="0008691D">
        <w:t xml:space="preserve">nr 5 </w:t>
      </w:r>
      <w:r w:rsidR="00C96842">
        <w:t xml:space="preserve">z instytutu medycyny sądowej </w:t>
      </w:r>
      <w:r w:rsidR="00B04C3D">
        <w:t xml:space="preserve">wydał </w:t>
      </w:r>
      <w:r w:rsidR="00C96842">
        <w:t>opinię, która zawierała następujące wnioski:</w:t>
      </w:r>
    </w:p>
    <w:p w14:paraId="08AA5C9F" w14:textId="7F86FBB1" w:rsidR="00C96842" w:rsidRPr="00BC16EE" w:rsidRDefault="00C96842" w:rsidP="00BC16EE">
      <w:pPr>
        <w:pStyle w:val="ECHRParaQuote"/>
      </w:pPr>
      <w:r>
        <w:t xml:space="preserve">„Podczas </w:t>
      </w:r>
      <w:r w:rsidR="00F907D4">
        <w:t xml:space="preserve">sekcji zwłok </w:t>
      </w:r>
      <w:r>
        <w:t xml:space="preserve">stwierdzono, że w żołądku zmarłego znajdowało się 200 </w:t>
      </w:r>
      <w:proofErr w:type="spellStart"/>
      <w:r>
        <w:t>cm</w:t>
      </w:r>
      <w:r w:rsidRPr="007A37E9">
        <w:rPr>
          <w:vertAlign w:val="superscript"/>
        </w:rPr>
        <w:t>3</w:t>
      </w:r>
      <w:proofErr w:type="spellEnd"/>
      <w:r>
        <w:t xml:space="preserve"> substancji o czarnej barwie i silnym zapachu ropy naftowej. W wyniku przeprowadzonej analizy stwierdzono, że były to heptan i toluen – substancje, które nie</w:t>
      </w:r>
      <w:r w:rsidR="007803F9">
        <w:t> </w:t>
      </w:r>
      <w:r>
        <w:t xml:space="preserve">pochodziły z leków podawanych pacjentowi ani z innych </w:t>
      </w:r>
      <w:r w:rsidR="00C90E58">
        <w:t xml:space="preserve">środków </w:t>
      </w:r>
      <w:r>
        <w:t>stosowanych</w:t>
      </w:r>
      <w:r w:rsidR="001436F5">
        <w:t xml:space="preserve"> </w:t>
      </w:r>
      <w:r w:rsidR="007730AE">
        <w:t>w</w:t>
      </w:r>
      <w:r w:rsidR="006038BE">
        <w:t> </w:t>
      </w:r>
      <w:r w:rsidR="007730AE">
        <w:t>szpitalu</w:t>
      </w:r>
      <w:r>
        <w:t>”</w:t>
      </w:r>
      <w:r w:rsidR="007730AE">
        <w:t>.</w:t>
      </w:r>
    </w:p>
    <w:p w14:paraId="0AB00539" w14:textId="565F7C70" w:rsidR="00C96842" w:rsidRPr="00BC16EE" w:rsidRDefault="007A3B0E" w:rsidP="00BC16EE">
      <w:pPr>
        <w:pStyle w:val="ECHRPara"/>
      </w:pPr>
      <w:r>
        <w:rPr>
          <w:noProof/>
        </w:rPr>
        <w:t>17</w:t>
      </w:r>
      <w:r w:rsidR="00C96842">
        <w:t>.</w:t>
      </w:r>
      <w:r w:rsidR="00A418CB">
        <w:t xml:space="preserve"> </w:t>
      </w:r>
      <w:r w:rsidR="00C96842">
        <w:t xml:space="preserve">W opinii z dnia 29 marca 2006 r. </w:t>
      </w:r>
      <w:r w:rsidR="004A0CB2">
        <w:t>zespół</w:t>
      </w:r>
      <w:r w:rsidR="00A418CB">
        <w:t xml:space="preserve"> </w:t>
      </w:r>
      <w:r w:rsidR="001365B3">
        <w:t>biegłych</w:t>
      </w:r>
      <w:r w:rsidR="00C96842">
        <w:t xml:space="preserve"> </w:t>
      </w:r>
      <w:r w:rsidR="0008691D">
        <w:t xml:space="preserve">nr 3 </w:t>
      </w:r>
      <w:r w:rsidR="00C96842">
        <w:t xml:space="preserve">z instytutu medycyny sądowej </w:t>
      </w:r>
      <w:r w:rsidR="001365B3">
        <w:t>stwierdził</w:t>
      </w:r>
      <w:r w:rsidR="00C96842">
        <w:t xml:space="preserve">, że </w:t>
      </w:r>
      <w:proofErr w:type="spellStart"/>
      <w:r w:rsidR="00C96842">
        <w:t>Nayim</w:t>
      </w:r>
      <w:proofErr w:type="spellEnd"/>
      <w:r w:rsidR="00C96842">
        <w:t xml:space="preserve"> </w:t>
      </w:r>
      <w:proofErr w:type="spellStart"/>
      <w:r w:rsidR="00C96842">
        <w:t>Yirdem</w:t>
      </w:r>
      <w:proofErr w:type="spellEnd"/>
      <w:r w:rsidR="00C96842">
        <w:t xml:space="preserve"> </w:t>
      </w:r>
      <w:r w:rsidR="00533AB7">
        <w:t>przeszed</w:t>
      </w:r>
      <w:r w:rsidR="007F076E">
        <w:t>ł</w:t>
      </w:r>
      <w:r w:rsidR="00533AB7">
        <w:t xml:space="preserve"> </w:t>
      </w:r>
      <w:r w:rsidR="00C96842">
        <w:t>zawał serca</w:t>
      </w:r>
      <w:r w:rsidR="001365B3">
        <w:t>, który</w:t>
      </w:r>
      <w:r w:rsidR="00C96842">
        <w:t xml:space="preserve"> </w:t>
      </w:r>
      <w:r w:rsidR="00B76D6E">
        <w:t xml:space="preserve">doprowadził do wystąpienia zakrzepicy </w:t>
      </w:r>
      <w:r w:rsidR="00C96842">
        <w:t>zatok żylnych</w:t>
      </w:r>
      <w:r w:rsidR="007F076E">
        <w:t xml:space="preserve"> mózgu</w:t>
      </w:r>
      <w:r w:rsidR="00C96842">
        <w:t xml:space="preserve">, </w:t>
      </w:r>
      <w:r w:rsidR="00256533">
        <w:t xml:space="preserve">oraz </w:t>
      </w:r>
      <w:r w:rsidR="00C96842">
        <w:t>że lekarze nie wykryli zawału serca po przybyciu pacjenta do szpitala, a</w:t>
      </w:r>
      <w:r w:rsidR="006038BE">
        <w:t> </w:t>
      </w:r>
      <w:r w:rsidR="00C96842">
        <w:t xml:space="preserve">jedynie zdiagnozowali zakrzepicę zatok żylnych </w:t>
      </w:r>
      <w:r w:rsidR="00533AB7">
        <w:t xml:space="preserve">mózgu </w:t>
      </w:r>
      <w:r w:rsidR="00C96842">
        <w:t xml:space="preserve">i rozpoczęli leczenie farmakologiczne. </w:t>
      </w:r>
      <w:r w:rsidR="004A0CB2">
        <w:t xml:space="preserve">Zespół </w:t>
      </w:r>
      <w:r w:rsidR="00EF44A5">
        <w:t>biegłych</w:t>
      </w:r>
      <w:r w:rsidR="006A1352" w:rsidRPr="006A1352">
        <w:t xml:space="preserve"> nr 3 </w:t>
      </w:r>
      <w:r w:rsidR="006A1352">
        <w:t>wyjaśnił natomiast</w:t>
      </w:r>
      <w:r w:rsidR="006A1352" w:rsidRPr="006A1352">
        <w:t>, że</w:t>
      </w:r>
      <w:r w:rsidR="006038BE">
        <w:t> </w:t>
      </w:r>
      <w:r w:rsidR="006A1352" w:rsidRPr="006A1352">
        <w:t xml:space="preserve">chociaż zawał serca nie został rozpoznany, to </w:t>
      </w:r>
      <w:r w:rsidR="00BC6BEF">
        <w:t>przyczyną</w:t>
      </w:r>
      <w:r w:rsidR="00BC6BEF" w:rsidRPr="006A1352">
        <w:t xml:space="preserve"> zgon</w:t>
      </w:r>
      <w:r w:rsidR="00BC6BEF">
        <w:t>u</w:t>
      </w:r>
      <w:r w:rsidR="00BC6BEF" w:rsidRPr="006A1352">
        <w:t xml:space="preserve"> </w:t>
      </w:r>
      <w:r w:rsidR="00BC6BEF">
        <w:t>był</w:t>
      </w:r>
      <w:r w:rsidR="00BC6BEF" w:rsidRPr="006A1352">
        <w:t xml:space="preserve"> </w:t>
      </w:r>
      <w:r w:rsidR="006A1352" w:rsidRPr="006A1352">
        <w:t>sam udar mózgu.</w:t>
      </w:r>
      <w:r w:rsidR="00C96842">
        <w:t xml:space="preserve"> Dodano, że pacjent rzeczywiście połknął substancję zawierającą heptan</w:t>
      </w:r>
      <w:r w:rsidR="001436F5">
        <w:t xml:space="preserve"> </w:t>
      </w:r>
      <w:r w:rsidR="00C96842">
        <w:t>i</w:t>
      </w:r>
      <w:r w:rsidR="007803F9">
        <w:t> </w:t>
      </w:r>
      <w:r w:rsidR="00C96842">
        <w:t xml:space="preserve">toluen, ale ustalenie </w:t>
      </w:r>
      <w:r w:rsidR="00F83D3E">
        <w:t xml:space="preserve">ich </w:t>
      </w:r>
      <w:r w:rsidR="00C96842">
        <w:t>dokładnego wpływu na</w:t>
      </w:r>
      <w:r w:rsidR="006038BE">
        <w:t> </w:t>
      </w:r>
      <w:r w:rsidR="00C96842">
        <w:t xml:space="preserve">organizm było niemożliwe ze względu na </w:t>
      </w:r>
      <w:r w:rsidR="00ED1429">
        <w:t>niemożność</w:t>
      </w:r>
      <w:r w:rsidR="00C96842">
        <w:t xml:space="preserve"> </w:t>
      </w:r>
      <w:r w:rsidR="00ED1429">
        <w:t xml:space="preserve">dokładnego </w:t>
      </w:r>
      <w:r w:rsidR="00C96842">
        <w:t xml:space="preserve">określenia ilości </w:t>
      </w:r>
      <w:r w:rsidR="00ED1429">
        <w:t xml:space="preserve">i </w:t>
      </w:r>
      <w:r w:rsidR="00C96842">
        <w:t>pochodzenia substancji.</w:t>
      </w:r>
    </w:p>
    <w:p w14:paraId="1DC51DCC" w14:textId="39B1BD16" w:rsidR="00C96842" w:rsidRPr="00BC16EE" w:rsidRDefault="007A3B0E" w:rsidP="00BC16EE">
      <w:pPr>
        <w:pStyle w:val="ECHRPara"/>
      </w:pPr>
      <w:r>
        <w:rPr>
          <w:noProof/>
        </w:rPr>
        <w:t>18</w:t>
      </w:r>
      <w:r w:rsidR="00C96842">
        <w:t>.</w:t>
      </w:r>
      <w:r w:rsidR="00A418CB">
        <w:t xml:space="preserve"> </w:t>
      </w:r>
      <w:r w:rsidR="00C96842">
        <w:t xml:space="preserve">W akcie oskarżenia z dnia 24 kwietnia 2006 r. prokurator </w:t>
      </w:r>
      <w:r w:rsidR="004A0CB2">
        <w:t xml:space="preserve">Republiki </w:t>
      </w:r>
      <w:r w:rsidR="00C96842">
        <w:t>w</w:t>
      </w:r>
      <w:r w:rsidR="007803F9">
        <w:t> </w:t>
      </w:r>
      <w:proofErr w:type="spellStart"/>
      <w:r w:rsidR="00C96842">
        <w:t>Fatih</w:t>
      </w:r>
      <w:proofErr w:type="spellEnd"/>
      <w:r w:rsidR="00C96842">
        <w:t xml:space="preserve"> zarzucił personelowi medycznemu oddziału neurologii szpitala</w:t>
      </w:r>
      <w:r w:rsidR="005569EA">
        <w:t>,</w:t>
      </w:r>
      <w:r w:rsidR="001436F5">
        <w:t xml:space="preserve"> </w:t>
      </w:r>
      <w:r w:rsidR="005569EA">
        <w:t>że</w:t>
      </w:r>
      <w:r w:rsidR="006038BE">
        <w:t> </w:t>
      </w:r>
      <w:r w:rsidR="005569EA">
        <w:t>dopuścił się</w:t>
      </w:r>
      <w:r w:rsidR="00C96842">
        <w:t xml:space="preserve"> </w:t>
      </w:r>
      <w:r w:rsidR="005569EA">
        <w:t>zaniedbania medycznego</w:t>
      </w:r>
      <w:r w:rsidR="00C96842">
        <w:t>.</w:t>
      </w:r>
    </w:p>
    <w:p w14:paraId="2E14D687" w14:textId="413E7457" w:rsidR="00C96842" w:rsidRPr="00BC16EE" w:rsidRDefault="007A3B0E" w:rsidP="00BC16EE">
      <w:pPr>
        <w:pStyle w:val="ECHRPara"/>
      </w:pPr>
      <w:r>
        <w:rPr>
          <w:noProof/>
        </w:rPr>
        <w:t>19</w:t>
      </w:r>
      <w:r w:rsidR="00C96842">
        <w:t>.</w:t>
      </w:r>
      <w:r w:rsidR="00A418CB">
        <w:t xml:space="preserve"> </w:t>
      </w:r>
      <w:r w:rsidR="00C96842">
        <w:t>Po zamknięciu rozprawy w dniu 17 listopada 2008 r. sąd karny</w:t>
      </w:r>
      <w:r w:rsidR="001436F5">
        <w:t xml:space="preserve"> </w:t>
      </w:r>
      <w:r w:rsidR="00C96842">
        <w:t>w</w:t>
      </w:r>
      <w:r w:rsidR="006038BE">
        <w:t> </w:t>
      </w:r>
      <w:proofErr w:type="spellStart"/>
      <w:r w:rsidR="00C96842">
        <w:t>Fatih</w:t>
      </w:r>
      <w:proofErr w:type="spellEnd"/>
      <w:r w:rsidR="00C96842">
        <w:t xml:space="preserve"> zobowiązał Naczelną Radę Zdrowia do </w:t>
      </w:r>
      <w:r w:rsidR="0026305B">
        <w:t>sporządzenia ekspertyzy</w:t>
      </w:r>
      <w:r w:rsidR="00C96842">
        <w:t xml:space="preserve"> medycznej.</w:t>
      </w:r>
    </w:p>
    <w:p w14:paraId="7076D474" w14:textId="682553EA" w:rsidR="00C96842" w:rsidRPr="00BC16EE" w:rsidRDefault="007A3B0E" w:rsidP="00BC16EE">
      <w:pPr>
        <w:pStyle w:val="ECHRPara"/>
      </w:pPr>
      <w:r>
        <w:rPr>
          <w:noProof/>
        </w:rPr>
        <w:lastRenderedPageBreak/>
        <w:t>20</w:t>
      </w:r>
      <w:r w:rsidR="00C96842">
        <w:t>.</w:t>
      </w:r>
      <w:r w:rsidR="00A418CB">
        <w:t xml:space="preserve"> </w:t>
      </w:r>
      <w:r w:rsidR="0035563C">
        <w:t>Naczelna Rad</w:t>
      </w:r>
      <w:r w:rsidR="00215E2E">
        <w:t>a</w:t>
      </w:r>
      <w:r w:rsidR="0035563C">
        <w:t xml:space="preserve"> Zdrowia na posiedzeniu</w:t>
      </w:r>
      <w:r w:rsidR="004A3C89">
        <w:t xml:space="preserve">, które odbyło się </w:t>
      </w:r>
      <w:r w:rsidR="0035563C">
        <w:t>w</w:t>
      </w:r>
      <w:r w:rsidR="00C96842">
        <w:t xml:space="preserve"> dniach 10</w:t>
      </w:r>
      <w:r w:rsidR="007803F9">
        <w:t> </w:t>
      </w:r>
      <w:r w:rsidR="00C96842">
        <w:t>i</w:t>
      </w:r>
      <w:r w:rsidR="007803F9">
        <w:t> </w:t>
      </w:r>
      <w:r w:rsidR="00C96842">
        <w:t>11 grudnia 2009 r.</w:t>
      </w:r>
      <w:r w:rsidR="005B4CCF">
        <w:t>,</w:t>
      </w:r>
      <w:r w:rsidR="00C96842">
        <w:t xml:space="preserve"> </w:t>
      </w:r>
      <w:r w:rsidR="005166A7">
        <w:t>zajęła stanowisko</w:t>
      </w:r>
      <w:r w:rsidR="00C96842">
        <w:t xml:space="preserve">, że oskarżeni nie dopuścili się żadnego </w:t>
      </w:r>
      <w:r w:rsidR="005166A7">
        <w:t>zaniedbania medycznego</w:t>
      </w:r>
      <w:r w:rsidR="00C96842">
        <w:t xml:space="preserve">. </w:t>
      </w:r>
      <w:r w:rsidR="004C15AA">
        <w:t>Poinformowała</w:t>
      </w:r>
      <w:r w:rsidR="00C96842">
        <w:t>, że przyczyną śmierci był zawał serca i udar mózgu, a także zatrucie substancją zawierającą heptan i</w:t>
      </w:r>
      <w:r w:rsidR="007803F9">
        <w:t> </w:t>
      </w:r>
      <w:r w:rsidR="00C96842">
        <w:t xml:space="preserve">toluen, które spowodowało martwicę ściany żołądka. Zdaniem biegłych substancji tej nie podano w szpitalu, ale </w:t>
      </w:r>
      <w:r w:rsidR="004C15AA">
        <w:t xml:space="preserve">pacjent spożył ją </w:t>
      </w:r>
      <w:r w:rsidR="008470A3">
        <w:t>zapewne</w:t>
      </w:r>
      <w:r w:rsidR="00C96842">
        <w:t xml:space="preserve"> przed hospitalizacją. </w:t>
      </w:r>
      <w:r w:rsidR="001A68BC">
        <w:t>Biegli u</w:t>
      </w:r>
      <w:r w:rsidR="00C96842">
        <w:t xml:space="preserve">znali </w:t>
      </w:r>
      <w:r w:rsidR="008470A3">
        <w:t>również</w:t>
      </w:r>
      <w:r w:rsidR="00C96842">
        <w:t>, że obraz kliniczny zawału</w:t>
      </w:r>
      <w:r w:rsidR="00DE5112">
        <w:t xml:space="preserve"> serca </w:t>
      </w:r>
      <w:r w:rsidR="00013E3B">
        <w:t xml:space="preserve">utrudniał rozpoznanie innych problemów </w:t>
      </w:r>
      <w:r w:rsidR="00C96842">
        <w:t xml:space="preserve">i </w:t>
      </w:r>
      <w:r w:rsidR="00013E3B">
        <w:t>zdiagnozowanie</w:t>
      </w:r>
      <w:r w:rsidR="00C96842">
        <w:t xml:space="preserve"> zatrucia</w:t>
      </w:r>
      <w:r w:rsidR="00784A69">
        <w:t>,</w:t>
      </w:r>
      <w:r w:rsidR="00C96842">
        <w:t xml:space="preserve"> zwłaszcza że nie było żadnych związanych z tym skarg.</w:t>
      </w:r>
    </w:p>
    <w:p w14:paraId="19C1570F" w14:textId="2FE9CDDE" w:rsidR="00C96842" w:rsidRPr="00BC16EE" w:rsidRDefault="007A3B0E" w:rsidP="00BC16EE">
      <w:pPr>
        <w:pStyle w:val="ECHRPara"/>
        <w:rPr>
          <w:noProof/>
        </w:rPr>
      </w:pPr>
      <w:r>
        <w:rPr>
          <w:noProof/>
        </w:rPr>
        <w:t>21</w:t>
      </w:r>
      <w:r w:rsidR="00C96842">
        <w:t>.</w:t>
      </w:r>
      <w:r w:rsidR="00A418CB">
        <w:t xml:space="preserve"> </w:t>
      </w:r>
      <w:r w:rsidR="00C96842">
        <w:t>W dniu 3 maja 2010 r. sąd karny, na podstawie opinii sporządzonej przez Naczelną Radę Zdrowia,</w:t>
      </w:r>
      <w:r w:rsidR="00DF0CFE">
        <w:t xml:space="preserve"> </w:t>
      </w:r>
      <w:r w:rsidR="00C96842">
        <w:t xml:space="preserve">uniewinnił oskarżonych </w:t>
      </w:r>
      <w:r w:rsidR="0078758D">
        <w:t xml:space="preserve">zgodnie z żądaniami </w:t>
      </w:r>
      <w:r w:rsidR="00C96842">
        <w:t>prokuratora.</w:t>
      </w:r>
    </w:p>
    <w:p w14:paraId="2935AA1A" w14:textId="4E160325" w:rsidR="00C96842" w:rsidRPr="00BC16EE" w:rsidRDefault="007A3B0E" w:rsidP="00BC16EE">
      <w:pPr>
        <w:pStyle w:val="ECHRPara"/>
      </w:pPr>
      <w:r>
        <w:rPr>
          <w:noProof/>
        </w:rPr>
        <w:t>22</w:t>
      </w:r>
      <w:r w:rsidR="00C96842">
        <w:t>.</w:t>
      </w:r>
      <w:r w:rsidR="00A418CB">
        <w:t xml:space="preserve"> </w:t>
      </w:r>
      <w:r w:rsidR="00C96842">
        <w:t xml:space="preserve">W dniu 20 marca 2012 r. </w:t>
      </w:r>
      <w:r w:rsidR="007907DE">
        <w:t xml:space="preserve">Sąd Kasacyjny </w:t>
      </w:r>
      <w:r w:rsidR="00C96842">
        <w:t>utrzymał to orzeczenie</w:t>
      </w:r>
      <w:r w:rsidR="001436F5">
        <w:t xml:space="preserve"> </w:t>
      </w:r>
      <w:r w:rsidR="00C96842">
        <w:t>w</w:t>
      </w:r>
      <w:r w:rsidR="006038BE">
        <w:t> </w:t>
      </w:r>
      <w:r w:rsidR="00C96842">
        <w:t>mocy.</w:t>
      </w:r>
    </w:p>
    <w:p w14:paraId="0ACB5E26" w14:textId="3D8378AF" w:rsidR="00C96842" w:rsidRPr="00BC16EE" w:rsidRDefault="007A3B0E" w:rsidP="00BC16EE">
      <w:pPr>
        <w:pStyle w:val="ECHRPara"/>
      </w:pPr>
      <w:r>
        <w:rPr>
          <w:noProof/>
        </w:rPr>
        <w:t>23</w:t>
      </w:r>
      <w:r w:rsidR="00C96842">
        <w:t>.</w:t>
      </w:r>
      <w:r w:rsidR="00A418CB">
        <w:t xml:space="preserve"> </w:t>
      </w:r>
      <w:r w:rsidR="00C96842">
        <w:t xml:space="preserve">W międzyczasie, w dniu 13 lipca 2004 r., </w:t>
      </w:r>
      <w:r w:rsidR="00013E3B">
        <w:t xml:space="preserve">skarżące wniosły </w:t>
      </w:r>
      <w:r w:rsidR="00C96842">
        <w:t xml:space="preserve">do sądu </w:t>
      </w:r>
      <w:r w:rsidR="00FD563A">
        <w:t xml:space="preserve">wyższej instancji </w:t>
      </w:r>
      <w:r w:rsidR="00C96842">
        <w:t>w Stambule skargę o odszkodowanie przeciwko szpitalowi i personelowi medycznemu</w:t>
      </w:r>
      <w:r w:rsidR="00013E3B">
        <w:t>,</w:t>
      </w:r>
      <w:r w:rsidR="00C96842">
        <w:t xml:space="preserve"> wobec których prowadzono postępowanie przygotowawcze.</w:t>
      </w:r>
    </w:p>
    <w:p w14:paraId="36E77BD9" w14:textId="77B9AE08" w:rsidR="00C96842" w:rsidRPr="00BC16EE" w:rsidRDefault="007A3B0E" w:rsidP="00BC16EE">
      <w:pPr>
        <w:pStyle w:val="ECHRPara"/>
      </w:pPr>
      <w:r>
        <w:rPr>
          <w:noProof/>
        </w:rPr>
        <w:t>24</w:t>
      </w:r>
      <w:r w:rsidR="00C96842">
        <w:t>.</w:t>
      </w:r>
      <w:r w:rsidR="00A418CB">
        <w:t xml:space="preserve"> </w:t>
      </w:r>
      <w:r w:rsidR="00C96842">
        <w:t xml:space="preserve">Po wysłuchaniu stron sąd okręgowy postanowił zawiesić postępowanie do czasu zakończenia postępowania </w:t>
      </w:r>
      <w:r w:rsidR="00001400">
        <w:t>przygotowawczego</w:t>
      </w:r>
      <w:r w:rsidR="00C96842">
        <w:t>.</w:t>
      </w:r>
    </w:p>
    <w:p w14:paraId="6986F578" w14:textId="73DFDF58" w:rsidR="00C96842" w:rsidRPr="00BC16EE" w:rsidRDefault="007A3B0E" w:rsidP="00BC16EE">
      <w:pPr>
        <w:pStyle w:val="ECHRPara"/>
      </w:pPr>
      <w:r>
        <w:rPr>
          <w:noProof/>
        </w:rPr>
        <w:t>25</w:t>
      </w:r>
      <w:r w:rsidR="00C96842">
        <w:t>.</w:t>
      </w:r>
      <w:r w:rsidR="00A418CB">
        <w:t xml:space="preserve"> </w:t>
      </w:r>
      <w:r w:rsidR="00C96842">
        <w:t xml:space="preserve">W dniu 13 listopada 2013 r., powołując się na wynik postępowania karnego oraz zgromadzone w jego toku opinie biegłych, sąd okręgowy oddalił powództwo skarżących o odszkodowanie przeciwko personelowi medycznemu. </w:t>
      </w:r>
      <w:r w:rsidR="00AA7392">
        <w:t>Wyjaśnił</w:t>
      </w:r>
      <w:r w:rsidR="00C96842">
        <w:t xml:space="preserve">, że </w:t>
      </w:r>
      <w:r w:rsidR="00AA7392">
        <w:t>w kwestii</w:t>
      </w:r>
      <w:r w:rsidR="00C96842">
        <w:t xml:space="preserve"> </w:t>
      </w:r>
      <w:r w:rsidR="00FD563A">
        <w:t xml:space="preserve">ich </w:t>
      </w:r>
      <w:r w:rsidR="00C96842">
        <w:t>żądani</w:t>
      </w:r>
      <w:r w:rsidR="00AA7392">
        <w:t>a</w:t>
      </w:r>
      <w:r w:rsidR="00C96842">
        <w:t xml:space="preserve"> odszkodowani</w:t>
      </w:r>
      <w:r w:rsidR="00FD563A">
        <w:t>a</w:t>
      </w:r>
      <w:r w:rsidR="00C96842">
        <w:t xml:space="preserve"> od</w:t>
      </w:r>
      <w:r w:rsidR="006038BE">
        <w:t> </w:t>
      </w:r>
      <w:r w:rsidR="00C96842">
        <w:t xml:space="preserve">szpitala, </w:t>
      </w:r>
      <w:r w:rsidR="00AA7392">
        <w:t xml:space="preserve">skarżące powinny były </w:t>
      </w:r>
      <w:r w:rsidR="00C96842">
        <w:t>wnieść skargę do sądu administracyjnego.</w:t>
      </w:r>
    </w:p>
    <w:p w14:paraId="7983DAED" w14:textId="6E883BA3" w:rsidR="00C96842" w:rsidRPr="00BC16EE" w:rsidRDefault="007A3B0E" w:rsidP="00BC16EE">
      <w:pPr>
        <w:pStyle w:val="ECHRPara"/>
      </w:pPr>
      <w:r>
        <w:rPr>
          <w:noProof/>
        </w:rPr>
        <w:t>26</w:t>
      </w:r>
      <w:r w:rsidR="00C96842">
        <w:t>.</w:t>
      </w:r>
      <w:r w:rsidR="00A418CB">
        <w:t xml:space="preserve"> </w:t>
      </w:r>
      <w:r w:rsidR="00001400">
        <w:t>Skarżące</w:t>
      </w:r>
      <w:r w:rsidR="00AA7392">
        <w:t xml:space="preserve"> wniosły skargę kasacyjną o</w:t>
      </w:r>
      <w:r w:rsidR="00C96842">
        <w:t>d tego orzeczenia.</w:t>
      </w:r>
    </w:p>
    <w:p w14:paraId="5272AA3C" w14:textId="6374F424" w:rsidR="00C96842" w:rsidRPr="00BC16EE" w:rsidRDefault="007A3B0E" w:rsidP="00BC16EE">
      <w:pPr>
        <w:pStyle w:val="ECHRPara"/>
      </w:pPr>
      <w:r>
        <w:rPr>
          <w:noProof/>
        </w:rPr>
        <w:t>27</w:t>
      </w:r>
      <w:r w:rsidR="00C96842">
        <w:t>.</w:t>
      </w:r>
      <w:r w:rsidR="00A418CB">
        <w:t xml:space="preserve"> </w:t>
      </w:r>
      <w:r w:rsidR="00C96842">
        <w:t xml:space="preserve">Postępowanie </w:t>
      </w:r>
      <w:r w:rsidR="00FD563A">
        <w:t xml:space="preserve">to </w:t>
      </w:r>
      <w:r w:rsidR="00691435">
        <w:t xml:space="preserve">nadal toczy się </w:t>
      </w:r>
      <w:r w:rsidR="00C96842">
        <w:t xml:space="preserve">przed </w:t>
      </w:r>
      <w:r w:rsidR="006B5B63">
        <w:t>Sądem Kasacyjnym</w:t>
      </w:r>
      <w:r w:rsidR="00C96842">
        <w:t>.</w:t>
      </w:r>
    </w:p>
    <w:p w14:paraId="13F9AE9E" w14:textId="77777777" w:rsidR="00C96842" w:rsidRPr="00BC16EE" w:rsidRDefault="00C96842" w:rsidP="00BC16EE">
      <w:pPr>
        <w:pStyle w:val="ECHRTitle1"/>
      </w:pPr>
      <w:r>
        <w:t>PRAWO</w:t>
      </w:r>
    </w:p>
    <w:p w14:paraId="6CACAFAC" w14:textId="18C6E252" w:rsidR="00C96842" w:rsidRPr="00BC16EE" w:rsidRDefault="00C96842" w:rsidP="00BC16EE">
      <w:pPr>
        <w:pStyle w:val="ECHRHeading1"/>
      </w:pPr>
      <w:r>
        <w:t>I.</w:t>
      </w:r>
      <w:r w:rsidR="00A418CB">
        <w:t xml:space="preserve"> </w:t>
      </w:r>
      <w:r>
        <w:t>ZARZUCANE NARUSZENIE ART. 2 KONWENCJI</w:t>
      </w:r>
    </w:p>
    <w:p w14:paraId="37DC563E" w14:textId="7F0F1FF5" w:rsidR="00C96842" w:rsidRPr="00BC16EE" w:rsidRDefault="007A3B0E" w:rsidP="00BC16EE">
      <w:pPr>
        <w:pStyle w:val="ECHRPara"/>
      </w:pPr>
      <w:r>
        <w:rPr>
          <w:noProof/>
        </w:rPr>
        <w:t>28</w:t>
      </w:r>
      <w:r w:rsidR="00C96842">
        <w:t>.</w:t>
      </w:r>
      <w:r w:rsidR="00A418CB">
        <w:t xml:space="preserve"> </w:t>
      </w:r>
      <w:r w:rsidR="00C96842">
        <w:t>Powołując się na art. 2 Konwencji, skarżące złożyły skargę na</w:t>
      </w:r>
      <w:r w:rsidR="006038BE">
        <w:t> </w:t>
      </w:r>
      <w:r w:rsidR="00C96842">
        <w:t xml:space="preserve">okoliczność śmierci ich </w:t>
      </w:r>
      <w:r w:rsidR="005D48AB">
        <w:t xml:space="preserve">bliskiej </w:t>
      </w:r>
      <w:r w:rsidR="00C96842">
        <w:t xml:space="preserve">osoby. Twierdzą </w:t>
      </w:r>
      <w:r w:rsidR="005D48AB">
        <w:t xml:space="preserve">one </w:t>
      </w:r>
      <w:r w:rsidR="00C96842">
        <w:t xml:space="preserve">również, że sprawa </w:t>
      </w:r>
      <w:r w:rsidR="005D48AB">
        <w:t xml:space="preserve">ta </w:t>
      </w:r>
      <w:r w:rsidR="00C96842">
        <w:t>nie została sprawiedliwie i terminowo rozpatrzona przez sądy krajowe</w:t>
      </w:r>
      <w:r w:rsidR="001436F5">
        <w:t xml:space="preserve"> </w:t>
      </w:r>
      <w:r w:rsidR="00C96842">
        <w:t>w</w:t>
      </w:r>
      <w:r w:rsidR="006038BE">
        <w:t> </w:t>
      </w:r>
      <w:r w:rsidR="00C96842">
        <w:t>rozumieniu art. 6 Konwencji, co uniemożliwiło im skorzystanie</w:t>
      </w:r>
      <w:r w:rsidR="001436F5">
        <w:t xml:space="preserve"> </w:t>
      </w:r>
      <w:r w:rsidR="00C96842">
        <w:t>ze</w:t>
      </w:r>
      <w:r w:rsidR="006038BE">
        <w:t> </w:t>
      </w:r>
      <w:r w:rsidR="00C96842">
        <w:t>skutecznego środka odwoławczego.</w:t>
      </w:r>
    </w:p>
    <w:p w14:paraId="1AE54CA3" w14:textId="0249E861" w:rsidR="00C96842" w:rsidRPr="00BC16EE" w:rsidRDefault="007A3B0E" w:rsidP="00BC16EE">
      <w:pPr>
        <w:pStyle w:val="ECHRPara"/>
      </w:pPr>
      <w:r>
        <w:rPr>
          <w:noProof/>
        </w:rPr>
        <w:t>29</w:t>
      </w:r>
      <w:r w:rsidR="00C96842">
        <w:t>.</w:t>
      </w:r>
      <w:r w:rsidR="00A418CB">
        <w:t xml:space="preserve"> </w:t>
      </w:r>
      <w:r w:rsidR="00C96842">
        <w:t>Rząd kwestionuje te zarzuty.</w:t>
      </w:r>
      <w:bookmarkStart w:id="0" w:name="OLE_LINK1"/>
    </w:p>
    <w:p w14:paraId="69B9C0F6" w14:textId="686473C7" w:rsidR="00C96842" w:rsidRPr="00BC16EE" w:rsidRDefault="007A3B0E" w:rsidP="00BC16EE">
      <w:pPr>
        <w:pStyle w:val="ECHRPara"/>
      </w:pPr>
      <w:r>
        <w:rPr>
          <w:noProof/>
        </w:rPr>
        <w:t>30</w:t>
      </w:r>
      <w:r w:rsidR="00C96842">
        <w:t>.</w:t>
      </w:r>
      <w:r w:rsidR="00A418CB">
        <w:t xml:space="preserve"> </w:t>
      </w:r>
      <w:r w:rsidR="00C96842">
        <w:t>Trybunał uważa</w:t>
      </w:r>
      <w:bookmarkEnd w:id="0"/>
      <w:r w:rsidR="00C96842">
        <w:t xml:space="preserve">, że </w:t>
      </w:r>
      <w:r w:rsidR="00CB4918">
        <w:t xml:space="preserve">wszystkie </w:t>
      </w:r>
      <w:r w:rsidR="00C96842">
        <w:t>zarzuty skarżących wymagają rozpatrzenia wyłącznie na podstawie art. 2 Konwencji, który w istotnej części stanowi:</w:t>
      </w:r>
    </w:p>
    <w:p w14:paraId="162C7C9B" w14:textId="123D9F99" w:rsidR="00C96842" w:rsidRPr="00BC16EE" w:rsidRDefault="00C96842" w:rsidP="00BC16EE">
      <w:pPr>
        <w:pStyle w:val="ECHRParaQuote"/>
      </w:pPr>
      <w:r>
        <w:t>„1.</w:t>
      </w:r>
      <w:r w:rsidR="00A418CB">
        <w:t xml:space="preserve"> </w:t>
      </w:r>
      <w:r>
        <w:t>Prawo każdego człowieka do życia jest chronione przez ustawę”</w:t>
      </w:r>
      <w:r w:rsidR="007730AE">
        <w:t>.</w:t>
      </w:r>
    </w:p>
    <w:p w14:paraId="43B4F49D" w14:textId="61205AD7" w:rsidR="00C96842" w:rsidRPr="00BC16EE" w:rsidRDefault="00C96842" w:rsidP="00BC16EE">
      <w:pPr>
        <w:pStyle w:val="ECHRHeading2"/>
      </w:pPr>
      <w:r>
        <w:lastRenderedPageBreak/>
        <w:t>A.</w:t>
      </w:r>
      <w:r w:rsidR="00A418CB">
        <w:t xml:space="preserve"> </w:t>
      </w:r>
      <w:r>
        <w:t>Dopuszczalność</w:t>
      </w:r>
    </w:p>
    <w:p w14:paraId="10190E9E" w14:textId="787E4F19" w:rsidR="00C96842" w:rsidRPr="00BC16EE" w:rsidRDefault="007A3B0E" w:rsidP="00BC16EE">
      <w:pPr>
        <w:pStyle w:val="ECHRPara"/>
      </w:pPr>
      <w:r>
        <w:rPr>
          <w:noProof/>
        </w:rPr>
        <w:t>31</w:t>
      </w:r>
      <w:r w:rsidR="00C96842">
        <w:t>.</w:t>
      </w:r>
      <w:r w:rsidR="00A418CB">
        <w:t xml:space="preserve"> </w:t>
      </w:r>
      <w:r w:rsidR="00C96842">
        <w:t xml:space="preserve">Rząd podnosi </w:t>
      </w:r>
      <w:r w:rsidR="00215E2E">
        <w:t>zastrzeżenie dotyczące</w:t>
      </w:r>
      <w:r w:rsidR="00C96842">
        <w:t xml:space="preserve"> niewyczerpania krajowych środków odwoławczych. W</w:t>
      </w:r>
      <w:r w:rsidR="00CB4918">
        <w:t>skazuje</w:t>
      </w:r>
      <w:r w:rsidR="00C96842">
        <w:t xml:space="preserve"> </w:t>
      </w:r>
      <w:r w:rsidR="00CB4918">
        <w:t xml:space="preserve">w </w:t>
      </w:r>
      <w:r w:rsidR="00C96842">
        <w:t xml:space="preserve">tym zakresie, że </w:t>
      </w:r>
      <w:r w:rsidR="00CB4918">
        <w:t xml:space="preserve">toczy się </w:t>
      </w:r>
      <w:r w:rsidR="00C96842">
        <w:t xml:space="preserve">postępowanie przed </w:t>
      </w:r>
      <w:r w:rsidR="00AD22FB">
        <w:t xml:space="preserve">Sądem Kasacyjnym </w:t>
      </w:r>
      <w:r w:rsidR="00C96842">
        <w:t>i że skarżące mają obecnie możliwość złożenia indywidualnej skargi do Trybunału Konstytucyjnego.</w:t>
      </w:r>
    </w:p>
    <w:p w14:paraId="2C52863C" w14:textId="36208DA2" w:rsidR="00C96842" w:rsidRPr="00BC16EE" w:rsidRDefault="007A3B0E" w:rsidP="00BC16EE">
      <w:pPr>
        <w:pStyle w:val="ECHRPara"/>
      </w:pPr>
      <w:r>
        <w:rPr>
          <w:noProof/>
        </w:rPr>
        <w:t>32</w:t>
      </w:r>
      <w:r w:rsidR="00C96842">
        <w:t>.</w:t>
      </w:r>
      <w:r w:rsidR="00A418CB">
        <w:t xml:space="preserve"> </w:t>
      </w:r>
      <w:r w:rsidR="00C96842">
        <w:t>Trybunał uważa, że w okolicznościach niniejszej sprawy za</w:t>
      </w:r>
      <w:r w:rsidR="00215E2E">
        <w:t>strzeżenie dotyczące</w:t>
      </w:r>
      <w:r w:rsidR="00C96842">
        <w:t xml:space="preserve"> niewyczerpania krajowych środków odwoławczych jest ściśle związan</w:t>
      </w:r>
      <w:r w:rsidR="00215E2E">
        <w:t>e</w:t>
      </w:r>
      <w:r w:rsidR="001436F5">
        <w:t xml:space="preserve"> </w:t>
      </w:r>
      <w:r w:rsidR="00C96842">
        <w:t>z</w:t>
      </w:r>
      <w:r w:rsidR="006038BE">
        <w:t> </w:t>
      </w:r>
      <w:r w:rsidR="00C96842">
        <w:t>istotą zarzutów skarżących</w:t>
      </w:r>
      <w:r w:rsidR="00125108">
        <w:t>,</w:t>
      </w:r>
      <w:r w:rsidR="00C96842">
        <w:t xml:space="preserve"> sformułowanych na podstawie art. 2 Konwencji</w:t>
      </w:r>
      <w:r w:rsidR="007E12BC">
        <w:t>,</w:t>
      </w:r>
      <w:r w:rsidR="007D4F74">
        <w:t xml:space="preserve"> i</w:t>
      </w:r>
      <w:r w:rsidR="00C96842">
        <w:t xml:space="preserve"> tym samym powinn</w:t>
      </w:r>
      <w:r w:rsidR="00215E2E">
        <w:t>o</w:t>
      </w:r>
      <w:r w:rsidR="00C96842">
        <w:t xml:space="preserve"> zostać </w:t>
      </w:r>
      <w:r w:rsidR="00215E2E">
        <w:t>dołączone do przedmiotu</w:t>
      </w:r>
      <w:r w:rsidR="00C96842">
        <w:t xml:space="preserve"> skargi.</w:t>
      </w:r>
    </w:p>
    <w:p w14:paraId="74F48688" w14:textId="77777777" w:rsidR="00C96842" w:rsidRPr="00BC16EE" w:rsidRDefault="00C96842" w:rsidP="00BC16EE">
      <w:pPr>
        <w:pStyle w:val="ECHRPara"/>
      </w:pPr>
      <w:r>
        <w:t>Zauważa on ponadto, że nie zachodzą inne przesłanki niedopuszczalności.</w:t>
      </w:r>
    </w:p>
    <w:p w14:paraId="63DA0E55" w14:textId="19E65546" w:rsidR="00C96842" w:rsidRPr="00BC16EE" w:rsidRDefault="00C96842" w:rsidP="00BC16EE">
      <w:pPr>
        <w:pStyle w:val="ECHRHeading2"/>
      </w:pPr>
      <w:r>
        <w:t>B.</w:t>
      </w:r>
      <w:r w:rsidR="00A418CB">
        <w:t xml:space="preserve"> </w:t>
      </w:r>
      <w:r>
        <w:t>Przedmiot skargi</w:t>
      </w:r>
    </w:p>
    <w:p w14:paraId="3F64C7B1" w14:textId="3462149B" w:rsidR="00C96842" w:rsidRPr="00BC16EE" w:rsidRDefault="00C96842" w:rsidP="00BC16EE">
      <w:pPr>
        <w:pStyle w:val="ECHRHeading3"/>
      </w:pPr>
      <w:r w:rsidRPr="008319E7">
        <w:t>1.</w:t>
      </w:r>
      <w:r w:rsidR="00A418CB" w:rsidRPr="008319E7">
        <w:rPr>
          <w:i w:val="0"/>
        </w:rPr>
        <w:t xml:space="preserve"> </w:t>
      </w:r>
      <w:r w:rsidRPr="008319E7">
        <w:t>Stanowiska stron</w:t>
      </w:r>
    </w:p>
    <w:p w14:paraId="184DB1F6" w14:textId="235E516B" w:rsidR="00C96842" w:rsidRPr="00BC16EE" w:rsidRDefault="007A3B0E" w:rsidP="00BC16EE">
      <w:pPr>
        <w:pStyle w:val="ECHRPara"/>
      </w:pPr>
      <w:r>
        <w:rPr>
          <w:noProof/>
        </w:rPr>
        <w:t>33</w:t>
      </w:r>
      <w:r w:rsidR="00C96842">
        <w:t>.</w:t>
      </w:r>
      <w:r w:rsidR="00A418CB">
        <w:t xml:space="preserve"> </w:t>
      </w:r>
      <w:r w:rsidR="00C96842">
        <w:t xml:space="preserve">Skarżące </w:t>
      </w:r>
      <w:r w:rsidR="00125108">
        <w:t xml:space="preserve">obciążają </w:t>
      </w:r>
      <w:r w:rsidR="00C96842">
        <w:t xml:space="preserve">władze szpitala odpowiedzialnością za śmierć ich </w:t>
      </w:r>
      <w:r w:rsidR="00125108">
        <w:t xml:space="preserve">bliskiej </w:t>
      </w:r>
      <w:r w:rsidR="00C96842">
        <w:t xml:space="preserve">osoby. </w:t>
      </w:r>
      <w:r w:rsidR="004947E3">
        <w:t>Uważają,</w:t>
      </w:r>
      <w:r w:rsidR="00C96842">
        <w:t xml:space="preserve"> </w:t>
      </w:r>
      <w:r w:rsidR="004947E3">
        <w:t>że do zgonu doszło w wyniku</w:t>
      </w:r>
      <w:r w:rsidR="00C96842">
        <w:t xml:space="preserve"> zaniedbań medycznych, których </w:t>
      </w:r>
      <w:r w:rsidR="000C6E94">
        <w:t xml:space="preserve">dopuścił się </w:t>
      </w:r>
      <w:r w:rsidR="00C96842">
        <w:t>personel szpitala. Skarżące dodają, że</w:t>
      </w:r>
      <w:r w:rsidR="006038BE">
        <w:t> </w:t>
      </w:r>
      <w:r w:rsidR="002A7681">
        <w:t>butla z tlenem</w:t>
      </w:r>
      <w:r w:rsidR="00C96842">
        <w:t xml:space="preserve">, której używano </w:t>
      </w:r>
      <w:r w:rsidR="002A7681">
        <w:t xml:space="preserve">w toku </w:t>
      </w:r>
      <w:r w:rsidR="00226496">
        <w:t>sprawowania opieki nad</w:t>
      </w:r>
      <w:r w:rsidR="00C96842">
        <w:t xml:space="preserve"> </w:t>
      </w:r>
      <w:r w:rsidR="002A7681">
        <w:t>ich blisk</w:t>
      </w:r>
      <w:r w:rsidR="00226496">
        <w:t>ą</w:t>
      </w:r>
      <w:r w:rsidR="002A7681">
        <w:t xml:space="preserve"> osob</w:t>
      </w:r>
      <w:r w:rsidR="00226496">
        <w:t>ą</w:t>
      </w:r>
      <w:r w:rsidR="008626AD">
        <w:t>, nie została zbadana przez biegłych</w:t>
      </w:r>
      <w:r w:rsidR="00C96842">
        <w:t>. Twierdzą one ponadto, że</w:t>
      </w:r>
      <w:r w:rsidR="006038BE">
        <w:t> </w:t>
      </w:r>
      <w:r w:rsidR="00C96842">
        <w:t>nie</w:t>
      </w:r>
      <w:r w:rsidR="006038BE">
        <w:t> </w:t>
      </w:r>
      <w:r w:rsidR="00C96842">
        <w:t>dysponowały środkami odwoławczymi</w:t>
      </w:r>
      <w:r w:rsidR="007D4F74">
        <w:t xml:space="preserve">, które </w:t>
      </w:r>
      <w:r w:rsidR="00C96842">
        <w:t>umożliwia</w:t>
      </w:r>
      <w:r w:rsidR="007D4F74">
        <w:t xml:space="preserve">łyby im </w:t>
      </w:r>
      <w:r w:rsidR="00C96842">
        <w:t xml:space="preserve">dochodzenie </w:t>
      </w:r>
      <w:r w:rsidR="007D4F74">
        <w:t>ewentualnej</w:t>
      </w:r>
      <w:r w:rsidR="00BC6BEF">
        <w:t xml:space="preserve"> </w:t>
      </w:r>
      <w:r w:rsidR="00C96842">
        <w:t xml:space="preserve">odpowiedzialności. W szczególności </w:t>
      </w:r>
      <w:r w:rsidR="008626AD">
        <w:t xml:space="preserve">utrzymują </w:t>
      </w:r>
      <w:r w:rsidR="00C96842">
        <w:t>one, że postępowanie karne było nieskuteczne, przede wszystkim ze</w:t>
      </w:r>
      <w:r w:rsidR="006038BE">
        <w:t> </w:t>
      </w:r>
      <w:r w:rsidR="00C96842">
        <w:t>względu na czas jego trwania.</w:t>
      </w:r>
    </w:p>
    <w:p w14:paraId="77B0E9FA" w14:textId="6EC9EB23" w:rsidR="00C96842" w:rsidRPr="00BC16EE" w:rsidRDefault="007A3B0E" w:rsidP="00BC16EE">
      <w:pPr>
        <w:pStyle w:val="ECHRPara"/>
      </w:pPr>
      <w:r>
        <w:rPr>
          <w:noProof/>
        </w:rPr>
        <w:t>34</w:t>
      </w:r>
      <w:r w:rsidR="00C96842">
        <w:t>.</w:t>
      </w:r>
      <w:r w:rsidR="00A418CB">
        <w:t xml:space="preserve"> </w:t>
      </w:r>
      <w:r w:rsidR="00C96842">
        <w:t xml:space="preserve">Rząd kwestionuje ten zarzut. Wskazuje, że postępowanie przygotowawcze pozwoliło ustalić przyczynę śmierci </w:t>
      </w:r>
      <w:proofErr w:type="spellStart"/>
      <w:r w:rsidR="00C96842">
        <w:t>Nayima</w:t>
      </w:r>
      <w:proofErr w:type="spellEnd"/>
      <w:r w:rsidR="00C96842">
        <w:t xml:space="preserve"> </w:t>
      </w:r>
      <w:proofErr w:type="spellStart"/>
      <w:r w:rsidR="00C96842">
        <w:t>Yirdema</w:t>
      </w:r>
      <w:proofErr w:type="spellEnd"/>
      <w:r w:rsidR="00C96842">
        <w:t>,</w:t>
      </w:r>
      <w:r w:rsidR="001436F5">
        <w:t xml:space="preserve"> </w:t>
      </w:r>
      <w:r w:rsidR="004A168D">
        <w:t>a</w:t>
      </w:r>
      <w:r w:rsidR="006038BE">
        <w:t> </w:t>
      </w:r>
      <w:r w:rsidR="00C96842">
        <w:t>zarzuty</w:t>
      </w:r>
      <w:r w:rsidR="008319E7">
        <w:t xml:space="preserve"> skarżących </w:t>
      </w:r>
      <w:r w:rsidR="00C96842">
        <w:t>nie znalazły potwierdzenia w żadnej z opinii biegłych oraz</w:t>
      </w:r>
      <w:r w:rsidR="001436F5">
        <w:t xml:space="preserve"> </w:t>
      </w:r>
      <w:r w:rsidR="00C96842">
        <w:t xml:space="preserve">że </w:t>
      </w:r>
      <w:r w:rsidR="00624003">
        <w:t xml:space="preserve">zostały </w:t>
      </w:r>
      <w:r w:rsidR="00C96842">
        <w:t>wykluczon</w:t>
      </w:r>
      <w:r w:rsidR="00624003">
        <w:t>e</w:t>
      </w:r>
      <w:r w:rsidR="00215E2E">
        <w:t xml:space="preserve"> jakiekolwiek</w:t>
      </w:r>
      <w:r w:rsidR="00C96842">
        <w:t xml:space="preserve"> błędy </w:t>
      </w:r>
      <w:r w:rsidR="009316B6">
        <w:t xml:space="preserve">lub zaniedbania </w:t>
      </w:r>
      <w:r w:rsidR="00C96842">
        <w:t>medyczne w</w:t>
      </w:r>
      <w:r w:rsidR="007803F9">
        <w:t> </w:t>
      </w:r>
      <w:r w:rsidR="00C96842">
        <w:t>związku</w:t>
      </w:r>
      <w:r w:rsidR="001436F5">
        <w:t xml:space="preserve"> </w:t>
      </w:r>
      <w:r w:rsidR="00C96842">
        <w:t>ze</w:t>
      </w:r>
      <w:r w:rsidR="006038BE">
        <w:t> </w:t>
      </w:r>
      <w:r w:rsidR="00C96842">
        <w:t xml:space="preserve">śmiercią. Uważa, że z okoliczności sprawy nie wynikają żadne uchybienia ze strony organów w </w:t>
      </w:r>
      <w:r w:rsidR="0002588D">
        <w:t xml:space="preserve">odniesieniu do </w:t>
      </w:r>
      <w:r w:rsidR="00C96842">
        <w:t xml:space="preserve">obowiązków proceduralnych wynikających z art. 2 Konwencji. Ponadto, zdaniem Rządu, </w:t>
      </w:r>
      <w:r w:rsidR="00013416">
        <w:t>możliwe nieprzeprowadzenie badania</w:t>
      </w:r>
      <w:r w:rsidR="00B0786C">
        <w:t xml:space="preserve"> butl</w:t>
      </w:r>
      <w:r w:rsidR="00013416">
        <w:t>i</w:t>
      </w:r>
      <w:r w:rsidR="002730DC">
        <w:t xml:space="preserve"> </w:t>
      </w:r>
      <w:r w:rsidR="00C96842">
        <w:t>z tlenem przez biegłych nie</w:t>
      </w:r>
      <w:r w:rsidR="006038BE">
        <w:t> </w:t>
      </w:r>
      <w:r w:rsidR="00C96842">
        <w:t xml:space="preserve">zmienia </w:t>
      </w:r>
      <w:r w:rsidR="0057150B">
        <w:t>stanowisk</w:t>
      </w:r>
      <w:r w:rsidR="00013416">
        <w:t>a</w:t>
      </w:r>
      <w:r w:rsidR="00C96842">
        <w:t xml:space="preserve">, że </w:t>
      </w:r>
      <w:r w:rsidR="00330391">
        <w:t xml:space="preserve">postępowanie </w:t>
      </w:r>
      <w:r w:rsidR="00330391" w:rsidRPr="0017202F">
        <w:t>przygotowawcze</w:t>
      </w:r>
      <w:r w:rsidR="00330391">
        <w:t xml:space="preserve"> </w:t>
      </w:r>
      <w:r w:rsidR="00C96842">
        <w:t>przeprowadzone zgodnie z</w:t>
      </w:r>
      <w:r w:rsidR="007803F9">
        <w:t> </w:t>
      </w:r>
      <w:r w:rsidR="00C96842">
        <w:t>prawem krajowym było skuteczne i że podjęto wszelkie niezbędne</w:t>
      </w:r>
      <w:r w:rsidR="001436F5">
        <w:t xml:space="preserve"> </w:t>
      </w:r>
      <w:r w:rsidR="00C96842">
        <w:t>i</w:t>
      </w:r>
      <w:r w:rsidR="007803F9">
        <w:t> </w:t>
      </w:r>
      <w:r w:rsidR="00C96842">
        <w:t>właściwe środki</w:t>
      </w:r>
      <w:r w:rsidR="00037CFF">
        <w:t xml:space="preserve"> w celu</w:t>
      </w:r>
      <w:r w:rsidR="00C96842">
        <w:t xml:space="preserve"> ustalenia faktów i </w:t>
      </w:r>
      <w:r w:rsidR="00B71212">
        <w:t xml:space="preserve">możliwej </w:t>
      </w:r>
      <w:r w:rsidR="00C96842">
        <w:t xml:space="preserve">odpowiedzialności. Wreszcie </w:t>
      </w:r>
      <w:r w:rsidR="00037CFF">
        <w:t xml:space="preserve">Rząd </w:t>
      </w:r>
      <w:r w:rsidR="00C96842">
        <w:t>twierdzi, że skarżące miały również możliwość wystąpienia z roszczeniem</w:t>
      </w:r>
      <w:r>
        <w:t xml:space="preserve"> </w:t>
      </w:r>
      <w:r w:rsidR="00C96842">
        <w:t xml:space="preserve">o odszkodowanie do sądu cywilnego i że procedura ta była odpowiednim środkiem służącym </w:t>
      </w:r>
      <w:r w:rsidR="00624003">
        <w:t xml:space="preserve">do </w:t>
      </w:r>
      <w:r w:rsidR="00C96842">
        <w:t>dochodzeni</w:t>
      </w:r>
      <w:r w:rsidR="00624003">
        <w:t>a</w:t>
      </w:r>
      <w:r w:rsidR="00C96842">
        <w:t xml:space="preserve"> ich praw.</w:t>
      </w:r>
    </w:p>
    <w:p w14:paraId="590D2430" w14:textId="0E4F504E" w:rsidR="00C96842" w:rsidRPr="00BC16EE" w:rsidRDefault="00C96842" w:rsidP="00BC16EE">
      <w:pPr>
        <w:pStyle w:val="ECHRHeading3"/>
      </w:pPr>
      <w:r>
        <w:lastRenderedPageBreak/>
        <w:t>2.</w:t>
      </w:r>
      <w:r w:rsidR="00A418CB">
        <w:rPr>
          <w:i w:val="0"/>
        </w:rPr>
        <w:t xml:space="preserve"> </w:t>
      </w:r>
      <w:r>
        <w:t>Ocena Trybunału</w:t>
      </w:r>
    </w:p>
    <w:p w14:paraId="683235C1" w14:textId="13C87324" w:rsidR="00C96842" w:rsidRPr="00BC16EE" w:rsidRDefault="00C96842" w:rsidP="00BC16EE">
      <w:pPr>
        <w:pStyle w:val="ECHRHeading4"/>
        <w:rPr>
          <w:i/>
        </w:rPr>
      </w:pPr>
      <w:r>
        <w:t>a)</w:t>
      </w:r>
      <w:r w:rsidR="00A418CB">
        <w:t xml:space="preserve"> </w:t>
      </w:r>
      <w:r>
        <w:t>Zasady ogólne</w:t>
      </w:r>
    </w:p>
    <w:p w14:paraId="694511AA" w14:textId="13EBF944" w:rsidR="00C96842" w:rsidRPr="00BC16EE" w:rsidRDefault="007A3B0E" w:rsidP="00BC16EE">
      <w:pPr>
        <w:pStyle w:val="ECHRPara"/>
      </w:pPr>
      <w:r>
        <w:rPr>
          <w:noProof/>
        </w:rPr>
        <w:t>35</w:t>
      </w:r>
      <w:r w:rsidR="00C96842">
        <w:t>.</w:t>
      </w:r>
      <w:r w:rsidR="00A418CB">
        <w:t xml:space="preserve"> </w:t>
      </w:r>
      <w:r w:rsidR="00C96842">
        <w:t>Co się tyczy zasad</w:t>
      </w:r>
      <w:r w:rsidR="00C835CA" w:rsidRPr="00C835CA">
        <w:t xml:space="preserve"> </w:t>
      </w:r>
      <w:r w:rsidR="00C835CA">
        <w:t>ogólnych</w:t>
      </w:r>
      <w:r w:rsidR="00F21FB0">
        <w:t>,</w:t>
      </w:r>
      <w:r w:rsidR="00C96842">
        <w:t xml:space="preserve"> w tym zakresie Trybunał odsyła do</w:t>
      </w:r>
      <w:r w:rsidR="006038BE">
        <w:t> </w:t>
      </w:r>
      <w:r w:rsidR="00C96842">
        <w:t xml:space="preserve">swojego wyroku w sprawie </w:t>
      </w:r>
      <w:proofErr w:type="spellStart"/>
      <w:r w:rsidR="00C96842">
        <w:rPr>
          <w:i/>
          <w:iCs/>
        </w:rPr>
        <w:t>Lopes</w:t>
      </w:r>
      <w:proofErr w:type="spellEnd"/>
      <w:r w:rsidR="00C96842">
        <w:rPr>
          <w:i/>
          <w:iCs/>
        </w:rPr>
        <w:t xml:space="preserve"> de </w:t>
      </w:r>
      <w:proofErr w:type="spellStart"/>
      <w:r w:rsidR="00C96842">
        <w:rPr>
          <w:i/>
          <w:iCs/>
        </w:rPr>
        <w:t>Sousa</w:t>
      </w:r>
      <w:proofErr w:type="spellEnd"/>
      <w:r w:rsidR="00C96842">
        <w:rPr>
          <w:i/>
          <w:iCs/>
        </w:rPr>
        <w:t xml:space="preserve"> </w:t>
      </w:r>
      <w:proofErr w:type="spellStart"/>
      <w:r w:rsidR="00C96842">
        <w:rPr>
          <w:i/>
          <w:iCs/>
        </w:rPr>
        <w:t>Fernandes</w:t>
      </w:r>
      <w:proofErr w:type="spellEnd"/>
      <w:r w:rsidR="00C96842">
        <w:rPr>
          <w:i/>
          <w:iCs/>
        </w:rPr>
        <w:t xml:space="preserve"> przeciwko Portugalii</w:t>
      </w:r>
      <w:r w:rsidR="00C96842">
        <w:t xml:space="preserve"> [</w:t>
      </w:r>
      <w:proofErr w:type="spellStart"/>
      <w:r w:rsidR="00C96842">
        <w:t>WI</w:t>
      </w:r>
      <w:proofErr w:type="spellEnd"/>
      <w:r w:rsidR="00C96842">
        <w:t>]</w:t>
      </w:r>
      <w:r w:rsidR="00070118">
        <w:t>,</w:t>
      </w:r>
      <w:r w:rsidR="00C96842">
        <w:t xml:space="preserve"> </w:t>
      </w:r>
      <w:r w:rsidR="00070118">
        <w:t xml:space="preserve">nr </w:t>
      </w:r>
      <w:r w:rsidR="00C96842">
        <w:t>56080/13, §§ 185</w:t>
      </w:r>
      <w:r w:rsidR="00C96842">
        <w:noBreakHyphen/>
        <w:t>196 i 214</w:t>
      </w:r>
      <w:r w:rsidR="00C96842">
        <w:noBreakHyphen/>
        <w:t xml:space="preserve">221, </w:t>
      </w:r>
      <w:r w:rsidR="00A418CB">
        <w:t>ETPC</w:t>
      </w:r>
      <w:r w:rsidR="00C96842">
        <w:t xml:space="preserve"> 2017).</w:t>
      </w:r>
    </w:p>
    <w:p w14:paraId="19C39DD2" w14:textId="5F3737FE" w:rsidR="00C96842" w:rsidRPr="00BC16EE" w:rsidRDefault="007A3B0E" w:rsidP="00BC16EE">
      <w:pPr>
        <w:pStyle w:val="ECHRPara"/>
        <w:rPr>
          <w:noProof/>
        </w:rPr>
      </w:pPr>
      <w:r>
        <w:rPr>
          <w:noProof/>
        </w:rPr>
        <w:t>36</w:t>
      </w:r>
      <w:r w:rsidR="00C96842">
        <w:t>.</w:t>
      </w:r>
      <w:r w:rsidR="00A418CB">
        <w:t xml:space="preserve"> </w:t>
      </w:r>
      <w:r w:rsidR="00C96842">
        <w:t xml:space="preserve">W tym względzie Trybunał przypomina, że </w:t>
      </w:r>
      <w:r w:rsidR="00995346">
        <w:t xml:space="preserve">pierwsze zdanie </w:t>
      </w:r>
      <w:r w:rsidR="00C96842">
        <w:t xml:space="preserve">art. 2 Konwencji zobowiązuje </w:t>
      </w:r>
      <w:r w:rsidR="00A26DE5">
        <w:t xml:space="preserve">Państwo </w:t>
      </w:r>
      <w:r w:rsidR="00C96842">
        <w:t>nie tylko do powstrzymania się</w:t>
      </w:r>
      <w:r w:rsidR="001436F5">
        <w:t xml:space="preserve"> </w:t>
      </w:r>
      <w:r w:rsidR="00C96842">
        <w:t>od</w:t>
      </w:r>
      <w:r w:rsidR="006038BE">
        <w:t> </w:t>
      </w:r>
      <w:r w:rsidR="00C96842">
        <w:t>spowodowania śmierci umyślnie i niezgodnie z prawem, lecz także</w:t>
      </w:r>
      <w:r w:rsidR="001436F5">
        <w:t xml:space="preserve"> </w:t>
      </w:r>
      <w:r w:rsidR="00C96842">
        <w:t>do</w:t>
      </w:r>
      <w:r w:rsidR="006038BE">
        <w:t> </w:t>
      </w:r>
      <w:r w:rsidR="00C96842">
        <w:t>podjęcia środków niezbędnych do ochrony życia osób podlegających jego jurysdykcji. Zasady te mają również zastosowanie w dziedzinie zdrowia publicznego (</w:t>
      </w:r>
      <w:proofErr w:type="spellStart"/>
      <w:r w:rsidR="00C96842">
        <w:rPr>
          <w:i/>
          <w:iCs/>
        </w:rPr>
        <w:t>Calvelli</w:t>
      </w:r>
      <w:proofErr w:type="spellEnd"/>
      <w:r w:rsidR="00C96842">
        <w:rPr>
          <w:i/>
          <w:iCs/>
        </w:rPr>
        <w:t xml:space="preserve"> i </w:t>
      </w:r>
      <w:proofErr w:type="spellStart"/>
      <w:r w:rsidR="00C96842">
        <w:rPr>
          <w:i/>
          <w:iCs/>
        </w:rPr>
        <w:t>Ciglio</w:t>
      </w:r>
      <w:proofErr w:type="spellEnd"/>
      <w:r w:rsidR="00C96842">
        <w:rPr>
          <w:i/>
          <w:iCs/>
        </w:rPr>
        <w:t xml:space="preserve"> przeciwko Włochom</w:t>
      </w:r>
      <w:r w:rsidR="00C96842">
        <w:t xml:space="preserve"> [</w:t>
      </w:r>
      <w:proofErr w:type="spellStart"/>
      <w:r w:rsidR="00C96842">
        <w:t>WI</w:t>
      </w:r>
      <w:proofErr w:type="spellEnd"/>
      <w:r w:rsidR="00C96842">
        <w:t>], nr</w:t>
      </w:r>
      <w:r w:rsidR="006038BE">
        <w:t> </w:t>
      </w:r>
      <w:r w:rsidR="00C96842">
        <w:t xml:space="preserve">32967/96, § 48, </w:t>
      </w:r>
      <w:r w:rsidR="00A418CB">
        <w:t>ETPC</w:t>
      </w:r>
      <w:r w:rsidR="00C96842">
        <w:t xml:space="preserve"> 2002</w:t>
      </w:r>
      <w:r w:rsidR="00C96842">
        <w:noBreakHyphen/>
        <w:t xml:space="preserve">I oraz </w:t>
      </w:r>
      <w:proofErr w:type="spellStart"/>
      <w:r w:rsidR="00C96842">
        <w:rPr>
          <w:i/>
          <w:iCs/>
        </w:rPr>
        <w:t>Vo</w:t>
      </w:r>
      <w:proofErr w:type="spellEnd"/>
      <w:r w:rsidR="00C96842">
        <w:rPr>
          <w:i/>
          <w:iCs/>
        </w:rPr>
        <w:t xml:space="preserve"> przeciwko Francji</w:t>
      </w:r>
      <w:r w:rsidR="00C96842">
        <w:t xml:space="preserve"> [</w:t>
      </w:r>
      <w:proofErr w:type="spellStart"/>
      <w:r w:rsidR="00C96842">
        <w:t>WI</w:t>
      </w:r>
      <w:proofErr w:type="spellEnd"/>
      <w:r w:rsidR="00C96842">
        <w:t>], nr</w:t>
      </w:r>
      <w:r w:rsidR="006038BE">
        <w:t> </w:t>
      </w:r>
      <w:r w:rsidR="00C96842">
        <w:t xml:space="preserve">53924/00, § 88, </w:t>
      </w:r>
      <w:r w:rsidR="00A418CB">
        <w:t>ETPC</w:t>
      </w:r>
      <w:r w:rsidR="00C96842">
        <w:t xml:space="preserve"> 2004</w:t>
      </w:r>
      <w:r w:rsidR="00C96842">
        <w:noBreakHyphen/>
        <w:t>VIII).</w:t>
      </w:r>
    </w:p>
    <w:p w14:paraId="008A4CD2" w14:textId="7E65C4AF" w:rsidR="00C96842" w:rsidRPr="00BC16EE" w:rsidRDefault="007A3B0E" w:rsidP="00BC16EE">
      <w:pPr>
        <w:pStyle w:val="ECHRPara"/>
        <w:rPr>
          <w:rFonts w:eastAsia="Times New Roman"/>
          <w:szCs w:val="24"/>
        </w:rPr>
      </w:pPr>
      <w:r>
        <w:rPr>
          <w:noProof/>
        </w:rPr>
        <w:t>37</w:t>
      </w:r>
      <w:r w:rsidR="00C96842">
        <w:t>.</w:t>
      </w:r>
      <w:r w:rsidR="00A418CB">
        <w:t xml:space="preserve"> </w:t>
      </w:r>
      <w:r w:rsidR="00C96842">
        <w:t xml:space="preserve">Jednakże po podjęciu przez </w:t>
      </w:r>
      <w:r w:rsidR="0089527D">
        <w:t>U</w:t>
      </w:r>
      <w:r w:rsidR="005A3CEA">
        <w:t>kłada</w:t>
      </w:r>
      <w:r w:rsidR="00C96842">
        <w:t xml:space="preserve">jące się </w:t>
      </w:r>
      <w:r w:rsidR="00C34AEA">
        <w:t xml:space="preserve">Państwo </w:t>
      </w:r>
      <w:r w:rsidR="00C96842">
        <w:t xml:space="preserve">działań niezbędnych do zapewnienia wysokiego poziomu kompetencji pracowników służby zdrowia </w:t>
      </w:r>
      <w:r w:rsidR="00AC1C34">
        <w:t xml:space="preserve">w celu zapewnienia </w:t>
      </w:r>
      <w:r w:rsidR="00C96842">
        <w:t>ochrony życia pacjentów, nie można przyjąć, że kwestie takie jak błąd w ocenie</w:t>
      </w:r>
      <w:r w:rsidR="00AC1C34">
        <w:t xml:space="preserve"> popełniony przez</w:t>
      </w:r>
      <w:r w:rsidR="00C96842">
        <w:t xml:space="preserve"> pracownika służby zdrowia lub słaba koordynacja </w:t>
      </w:r>
      <w:r w:rsidR="0089527D">
        <w:t xml:space="preserve">działań </w:t>
      </w:r>
      <w:r w:rsidR="00C96842">
        <w:t>między pracownikami służby zdrowia w leczeniu konkretnego pacjenta są same w</w:t>
      </w:r>
      <w:r w:rsidR="006038BE">
        <w:t> </w:t>
      </w:r>
      <w:r w:rsidR="00C96842">
        <w:t>sobie wystarczające do</w:t>
      </w:r>
      <w:r w:rsidR="007803F9">
        <w:t> </w:t>
      </w:r>
      <w:r w:rsidR="00C96842">
        <w:t xml:space="preserve">pociągnięcia </w:t>
      </w:r>
      <w:r w:rsidR="0089527D">
        <w:t>U</w:t>
      </w:r>
      <w:r w:rsidR="005A3CEA">
        <w:t>kłada</w:t>
      </w:r>
      <w:r w:rsidR="00C96842">
        <w:t xml:space="preserve">jącego się </w:t>
      </w:r>
      <w:r w:rsidR="00C34AEA">
        <w:t xml:space="preserve">Państwa </w:t>
      </w:r>
      <w:r w:rsidR="00C96842">
        <w:t>do</w:t>
      </w:r>
      <w:r w:rsidR="006038BE">
        <w:t> </w:t>
      </w:r>
      <w:r w:rsidR="00C96842">
        <w:t>odpowiedzialności w ramach jego pozytywnego obowiązku ochrony prawa do życia wynikającego z art. 2 Konwencji (</w:t>
      </w:r>
      <w:r w:rsidR="00C96842">
        <w:rPr>
          <w:i/>
          <w:iCs/>
        </w:rPr>
        <w:t>Powell przeciwko Zjednoczonemu Królestwu</w:t>
      </w:r>
      <w:r w:rsidR="00C96842">
        <w:t xml:space="preserve"> (</w:t>
      </w:r>
      <w:proofErr w:type="spellStart"/>
      <w:r w:rsidR="00C96842">
        <w:t>dec</w:t>
      </w:r>
      <w:proofErr w:type="spellEnd"/>
      <w:r w:rsidR="00C96842">
        <w:t>.),</w:t>
      </w:r>
      <w:r w:rsidR="001436F5">
        <w:t xml:space="preserve"> </w:t>
      </w:r>
      <w:r w:rsidR="00C96842">
        <w:t>nr</w:t>
      </w:r>
      <w:r w:rsidR="007803F9">
        <w:t> </w:t>
      </w:r>
      <w:r w:rsidR="00C96842">
        <w:t xml:space="preserve">45305/99, </w:t>
      </w:r>
      <w:r w:rsidR="00A418CB">
        <w:t>ETPC</w:t>
      </w:r>
      <w:r w:rsidR="00C96842">
        <w:t xml:space="preserve"> 2000</w:t>
      </w:r>
      <w:r w:rsidR="00C96842">
        <w:noBreakHyphen/>
        <w:t xml:space="preserve">V oraz </w:t>
      </w:r>
      <w:proofErr w:type="spellStart"/>
      <w:r w:rsidR="00C96842">
        <w:rPr>
          <w:i/>
          <w:iCs/>
        </w:rPr>
        <w:t>Sevim</w:t>
      </w:r>
      <w:proofErr w:type="spellEnd"/>
      <w:r w:rsidR="00C96842">
        <w:rPr>
          <w:i/>
          <w:iCs/>
        </w:rPr>
        <w:t xml:space="preserve"> </w:t>
      </w:r>
      <w:proofErr w:type="spellStart"/>
      <w:r w:rsidR="00C96842">
        <w:rPr>
          <w:i/>
          <w:iCs/>
        </w:rPr>
        <w:t>Güngör</w:t>
      </w:r>
      <w:proofErr w:type="spellEnd"/>
      <w:r w:rsidR="00C96842">
        <w:rPr>
          <w:i/>
          <w:iCs/>
        </w:rPr>
        <w:t xml:space="preserve"> przeciwko Turcji</w:t>
      </w:r>
      <w:r w:rsidR="00C96842">
        <w:t xml:space="preserve"> (</w:t>
      </w:r>
      <w:proofErr w:type="spellStart"/>
      <w:r w:rsidR="00C96842">
        <w:t>dec</w:t>
      </w:r>
      <w:proofErr w:type="spellEnd"/>
      <w:r w:rsidR="00C96842">
        <w:t>.),</w:t>
      </w:r>
      <w:r w:rsidR="001436F5">
        <w:t xml:space="preserve"> </w:t>
      </w:r>
      <w:r w:rsidR="00C96842">
        <w:t>nr</w:t>
      </w:r>
      <w:r w:rsidR="007803F9">
        <w:t> </w:t>
      </w:r>
      <w:r w:rsidR="00C96842">
        <w:t>75173/01, 14 kwietnia 2009 r.).</w:t>
      </w:r>
    </w:p>
    <w:p w14:paraId="54B1CB5C" w14:textId="593A545C" w:rsidR="00C96842" w:rsidRPr="00BC16EE" w:rsidRDefault="007A3B0E" w:rsidP="00BC16EE">
      <w:pPr>
        <w:pStyle w:val="ECHRPara"/>
      </w:pPr>
      <w:r>
        <w:rPr>
          <w:rFonts w:eastAsia="Times New Roman"/>
          <w:noProof/>
          <w:szCs w:val="24"/>
        </w:rPr>
        <w:t>38</w:t>
      </w:r>
      <w:r w:rsidR="00C96842">
        <w:rPr>
          <w:szCs w:val="24"/>
        </w:rPr>
        <w:t>.</w:t>
      </w:r>
      <w:r w:rsidR="00A418CB">
        <w:rPr>
          <w:szCs w:val="24"/>
        </w:rPr>
        <w:t xml:space="preserve"> </w:t>
      </w:r>
      <w:r w:rsidR="00C96842">
        <w:t xml:space="preserve">Pozytywne obowiązki </w:t>
      </w:r>
      <w:r w:rsidR="007D7352">
        <w:t xml:space="preserve">Państwa </w:t>
      </w:r>
      <w:r w:rsidR="00C96842">
        <w:t xml:space="preserve">wynikające z art. 2 Konwencji pociągają za sobą ustanowienie przez </w:t>
      </w:r>
      <w:r w:rsidR="00A26DE5">
        <w:t xml:space="preserve">Państwo </w:t>
      </w:r>
      <w:r w:rsidR="00C96842">
        <w:t>ram legislacyjnych</w:t>
      </w:r>
      <w:r w:rsidR="001436F5">
        <w:t xml:space="preserve"> </w:t>
      </w:r>
      <w:r w:rsidR="00C96842">
        <w:t>i</w:t>
      </w:r>
      <w:r w:rsidR="006038BE">
        <w:t> </w:t>
      </w:r>
      <w:r w:rsidR="00C96842">
        <w:t>regulacyjnych wymagających od szpital</w:t>
      </w:r>
      <w:r w:rsidR="00033240">
        <w:t>i</w:t>
      </w:r>
      <w:r w:rsidR="00C96842">
        <w:t xml:space="preserve"> </w:t>
      </w:r>
      <w:r w:rsidR="00BB5CA9">
        <w:t xml:space="preserve">zarówno </w:t>
      </w:r>
      <w:r w:rsidR="00C96842">
        <w:t>prywatnych, jak</w:t>
      </w:r>
      <w:r w:rsidR="006038BE">
        <w:t> </w:t>
      </w:r>
      <w:r w:rsidR="00BB5CA9">
        <w:t>i</w:t>
      </w:r>
      <w:r w:rsidR="006038BE">
        <w:t> </w:t>
      </w:r>
      <w:r w:rsidR="00C96842">
        <w:t>publicznych podjęcia środków mających na celu zapewnienie ochrony życia pacjentów (</w:t>
      </w:r>
      <w:proofErr w:type="spellStart"/>
      <w:r w:rsidR="00C96842">
        <w:rPr>
          <w:i/>
          <w:iCs/>
        </w:rPr>
        <w:t>Oyal</w:t>
      </w:r>
      <w:proofErr w:type="spellEnd"/>
      <w:r w:rsidR="00C96842">
        <w:rPr>
          <w:i/>
          <w:iCs/>
        </w:rPr>
        <w:t xml:space="preserve"> przeciwko Turcji</w:t>
      </w:r>
      <w:r w:rsidR="00C96842">
        <w:t xml:space="preserve">, nr 4864/05, § 54, 23 marca 2010 r. oraz </w:t>
      </w:r>
      <w:r w:rsidR="00C96842">
        <w:rPr>
          <w:i/>
          <w:iCs/>
        </w:rPr>
        <w:t>Lambert i Inni przeciwko Francji</w:t>
      </w:r>
      <w:r w:rsidR="00C96842">
        <w:t xml:space="preserve"> [</w:t>
      </w:r>
      <w:proofErr w:type="spellStart"/>
      <w:r w:rsidR="00C96842">
        <w:t>WI</w:t>
      </w:r>
      <w:proofErr w:type="spellEnd"/>
      <w:r w:rsidR="00C96842">
        <w:t xml:space="preserve">], nr 46043/14, § 140, </w:t>
      </w:r>
      <w:r w:rsidR="00A418CB">
        <w:t>ETPC</w:t>
      </w:r>
      <w:r w:rsidR="00C96842">
        <w:t xml:space="preserve"> 2015 (fragmenty)).</w:t>
      </w:r>
    </w:p>
    <w:p w14:paraId="43D375AB" w14:textId="52C31063" w:rsidR="00C96842" w:rsidRPr="00BC16EE" w:rsidRDefault="007A3B0E" w:rsidP="00BC16EE">
      <w:pPr>
        <w:pStyle w:val="ECHRPara"/>
      </w:pPr>
      <w:r>
        <w:rPr>
          <w:noProof/>
        </w:rPr>
        <w:t>39</w:t>
      </w:r>
      <w:r w:rsidR="00C96842">
        <w:t>.</w:t>
      </w:r>
      <w:r w:rsidR="00A418CB">
        <w:t xml:space="preserve"> </w:t>
      </w:r>
      <w:r w:rsidR="00C96842">
        <w:t>Z art. 2 wynika również obowiązek ustanowienia skutecznego</w:t>
      </w:r>
      <w:r w:rsidR="001436F5">
        <w:t xml:space="preserve"> </w:t>
      </w:r>
      <w:r w:rsidR="00C96842">
        <w:t>i</w:t>
      </w:r>
      <w:r w:rsidR="006038BE">
        <w:t> </w:t>
      </w:r>
      <w:r w:rsidR="00C96842">
        <w:t xml:space="preserve">niezawisłego systemu sądowego, który – w przypadku śmierci osoby pozostającej pod opieką </w:t>
      </w:r>
      <w:r w:rsidR="00DE5FA2">
        <w:t>personelu medycznego</w:t>
      </w:r>
      <w:r w:rsidR="00C96842">
        <w:t xml:space="preserve"> </w:t>
      </w:r>
      <w:r w:rsidR="00197AEF">
        <w:t>w placówkach</w:t>
      </w:r>
      <w:r w:rsidR="002C4518">
        <w:t>, które należą do sektora</w:t>
      </w:r>
      <w:r w:rsidR="00197AEF">
        <w:t xml:space="preserve"> </w:t>
      </w:r>
      <w:r w:rsidR="00C96842">
        <w:t>publiczn</w:t>
      </w:r>
      <w:r w:rsidR="00B418C3">
        <w:t xml:space="preserve">ego </w:t>
      </w:r>
      <w:r w:rsidR="00C96842">
        <w:t>lub prywatn</w:t>
      </w:r>
      <w:r w:rsidR="00B418C3">
        <w:t>ego</w:t>
      </w:r>
      <w:r w:rsidR="00C96842">
        <w:t xml:space="preserve"> –</w:t>
      </w:r>
      <w:r w:rsidR="00FD3F6A">
        <w:t xml:space="preserve"> </w:t>
      </w:r>
      <w:r w:rsidR="00C96842">
        <w:t>będzie w stanie ustalić przyczynę śmierci i pociągnąć osoby odpowiedzialne</w:t>
      </w:r>
      <w:r w:rsidR="00F12630">
        <w:t>, o ile takie istnieją,</w:t>
      </w:r>
      <w:r w:rsidR="00C96842">
        <w:t xml:space="preserve"> do</w:t>
      </w:r>
      <w:r w:rsidR="006038BE">
        <w:t> </w:t>
      </w:r>
      <w:r w:rsidR="00C96842">
        <w:t>odpowiedzialności za ich działania (</w:t>
      </w:r>
      <w:proofErr w:type="spellStart"/>
      <w:r w:rsidR="00C96842">
        <w:rPr>
          <w:i/>
          <w:iCs/>
        </w:rPr>
        <w:t>Šilih</w:t>
      </w:r>
      <w:proofErr w:type="spellEnd"/>
      <w:r w:rsidR="00C96842">
        <w:rPr>
          <w:i/>
          <w:iCs/>
        </w:rPr>
        <w:t xml:space="preserve"> przeciwko Słowenii</w:t>
      </w:r>
      <w:r w:rsidR="00C96842">
        <w:t xml:space="preserve"> [</w:t>
      </w:r>
      <w:proofErr w:type="spellStart"/>
      <w:r w:rsidR="00C96842">
        <w:t>WI</w:t>
      </w:r>
      <w:proofErr w:type="spellEnd"/>
      <w:r w:rsidR="00C96842">
        <w:t>],</w:t>
      </w:r>
      <w:r w:rsidR="001436F5">
        <w:t xml:space="preserve"> </w:t>
      </w:r>
      <w:r w:rsidR="00C96842">
        <w:t>nr</w:t>
      </w:r>
      <w:r w:rsidR="006038BE">
        <w:t> </w:t>
      </w:r>
      <w:r w:rsidR="00C96842">
        <w:t>71463/01, § 192, 9 kwietnia 2009 r. oraz przytoczone tam orzecznictwo).</w:t>
      </w:r>
      <w:r w:rsidR="00F12630">
        <w:t xml:space="preserve"> </w:t>
      </w:r>
    </w:p>
    <w:p w14:paraId="2255FFFC" w14:textId="1A58E4B2" w:rsidR="00C96842" w:rsidRDefault="007A3B0E" w:rsidP="00BC16EE">
      <w:pPr>
        <w:pStyle w:val="ECHRPara"/>
      </w:pPr>
      <w:r>
        <w:rPr>
          <w:noProof/>
        </w:rPr>
        <w:t>40</w:t>
      </w:r>
      <w:r w:rsidR="00C96842">
        <w:t>.</w:t>
      </w:r>
      <w:r w:rsidR="00A418CB">
        <w:t xml:space="preserve"> </w:t>
      </w:r>
      <w:r w:rsidR="00C96842">
        <w:t xml:space="preserve">W tym względzie, chociaż Konwencja sama w sobie nie gwarantuje prawa do wszczęcia postępowania </w:t>
      </w:r>
      <w:r w:rsidR="0017202F">
        <w:t>karnego</w:t>
      </w:r>
      <w:r w:rsidR="009E1D21">
        <w:t xml:space="preserve"> </w:t>
      </w:r>
      <w:r w:rsidR="00C96842">
        <w:t xml:space="preserve">przeciwko osobom trzecim, Trybunał wielokrotnie stwierdzał, że skuteczny system sądowy wymagany na podstawie art. 2 może, a w pewnych okolicznościach musi, obejmować mechanizm </w:t>
      </w:r>
      <w:r w:rsidR="00D175C3">
        <w:t>represji</w:t>
      </w:r>
      <w:r w:rsidR="00A418CB">
        <w:t xml:space="preserve"> </w:t>
      </w:r>
      <w:r w:rsidR="00C96842">
        <w:t>karn</w:t>
      </w:r>
      <w:r w:rsidR="00D175C3">
        <w:t>ej</w:t>
      </w:r>
      <w:r w:rsidR="00C96842">
        <w:t xml:space="preserve"> (</w:t>
      </w:r>
      <w:proofErr w:type="spellStart"/>
      <w:r w:rsidR="00C96842">
        <w:rPr>
          <w:i/>
          <w:iCs/>
        </w:rPr>
        <w:t>Calvelli</w:t>
      </w:r>
      <w:proofErr w:type="spellEnd"/>
      <w:r w:rsidR="00C96842">
        <w:rPr>
          <w:i/>
          <w:iCs/>
        </w:rPr>
        <w:t xml:space="preserve"> i </w:t>
      </w:r>
      <w:proofErr w:type="spellStart"/>
      <w:r w:rsidR="00C96842">
        <w:rPr>
          <w:i/>
          <w:iCs/>
        </w:rPr>
        <w:t>Ciglio</w:t>
      </w:r>
      <w:proofErr w:type="spellEnd"/>
      <w:r w:rsidR="00C96842">
        <w:t xml:space="preserve">, </w:t>
      </w:r>
      <w:r w:rsidR="00C96842" w:rsidRPr="007A3B0E">
        <w:t>op. cit</w:t>
      </w:r>
      <w:r w:rsidR="00C96842" w:rsidRPr="007A37E9">
        <w:rPr>
          <w:i/>
          <w:iCs/>
        </w:rPr>
        <w:t>.</w:t>
      </w:r>
      <w:r w:rsidR="00C96842">
        <w:t xml:space="preserve">, § 51, </w:t>
      </w:r>
      <w:proofErr w:type="spellStart"/>
      <w:r w:rsidR="00C96842">
        <w:rPr>
          <w:i/>
          <w:iCs/>
        </w:rPr>
        <w:t>Mehmet</w:t>
      </w:r>
      <w:proofErr w:type="spellEnd"/>
      <w:r w:rsidR="00C96842">
        <w:rPr>
          <w:i/>
          <w:iCs/>
        </w:rPr>
        <w:t xml:space="preserve"> </w:t>
      </w:r>
      <w:proofErr w:type="spellStart"/>
      <w:r w:rsidR="00C96842">
        <w:rPr>
          <w:i/>
          <w:iCs/>
        </w:rPr>
        <w:t>Şentürk</w:t>
      </w:r>
      <w:proofErr w:type="spellEnd"/>
      <w:r w:rsidR="00C96842">
        <w:rPr>
          <w:i/>
          <w:iCs/>
        </w:rPr>
        <w:t xml:space="preserve"> </w:t>
      </w:r>
      <w:r w:rsidR="00C96842">
        <w:rPr>
          <w:i/>
          <w:iCs/>
        </w:rPr>
        <w:lastRenderedPageBreak/>
        <w:t>i</w:t>
      </w:r>
      <w:r w:rsidR="007803F9">
        <w:rPr>
          <w:i/>
          <w:iCs/>
        </w:rPr>
        <w:t> </w:t>
      </w:r>
      <w:proofErr w:type="spellStart"/>
      <w:r w:rsidR="00C96842">
        <w:rPr>
          <w:i/>
          <w:iCs/>
        </w:rPr>
        <w:t>Bekir</w:t>
      </w:r>
      <w:proofErr w:type="spellEnd"/>
      <w:r w:rsidR="00C96842">
        <w:rPr>
          <w:i/>
          <w:iCs/>
        </w:rPr>
        <w:t xml:space="preserve"> </w:t>
      </w:r>
      <w:proofErr w:type="spellStart"/>
      <w:r w:rsidR="00C96842">
        <w:rPr>
          <w:i/>
          <w:iCs/>
        </w:rPr>
        <w:t>Şentürk</w:t>
      </w:r>
      <w:proofErr w:type="spellEnd"/>
      <w:r w:rsidR="00C96842">
        <w:rPr>
          <w:i/>
          <w:iCs/>
        </w:rPr>
        <w:t xml:space="preserve"> przeciwko Turcji</w:t>
      </w:r>
      <w:r w:rsidR="00C96842">
        <w:t xml:space="preserve">, nr 13423/09, §§ 104-105, </w:t>
      </w:r>
      <w:r w:rsidR="00A418CB">
        <w:t>ETPC</w:t>
      </w:r>
      <w:r w:rsidR="00C96842">
        <w:t xml:space="preserve"> 2013 oraz </w:t>
      </w:r>
      <w:proofErr w:type="spellStart"/>
      <w:r w:rsidR="00C96842">
        <w:rPr>
          <w:i/>
          <w:iCs/>
        </w:rPr>
        <w:t>Asiye</w:t>
      </w:r>
      <w:proofErr w:type="spellEnd"/>
      <w:r w:rsidR="00C96842">
        <w:rPr>
          <w:i/>
          <w:iCs/>
        </w:rPr>
        <w:t xml:space="preserve"> </w:t>
      </w:r>
      <w:proofErr w:type="spellStart"/>
      <w:r w:rsidR="00C96842">
        <w:rPr>
          <w:i/>
          <w:iCs/>
        </w:rPr>
        <w:t>Genç</w:t>
      </w:r>
      <w:proofErr w:type="spellEnd"/>
      <w:r w:rsidR="00C96842">
        <w:rPr>
          <w:i/>
          <w:iCs/>
        </w:rPr>
        <w:t xml:space="preserve"> przeciwko Turcji</w:t>
      </w:r>
      <w:r w:rsidR="00C96842">
        <w:t xml:space="preserve">, nr 24109/07, § 73, 27 stycznia 2015 r.). Jeżeli jednak naruszenie prawa do życia lub nietykalności cielesnej nie jest </w:t>
      </w:r>
      <w:r w:rsidR="00D175C3">
        <w:t>zamierzone</w:t>
      </w:r>
      <w:r w:rsidR="00C96842">
        <w:t xml:space="preserve">, wynikający z art. 2 pozytywny obowiązek ustanowienia skutecznego systemu sądowego nie </w:t>
      </w:r>
      <w:r w:rsidR="009C158E">
        <w:t xml:space="preserve">musi koniecznie </w:t>
      </w:r>
      <w:r w:rsidR="00C96842">
        <w:t>wymaga</w:t>
      </w:r>
      <w:r w:rsidR="009C158E">
        <w:t>ć</w:t>
      </w:r>
      <w:r w:rsidR="00C96842">
        <w:t xml:space="preserve"> </w:t>
      </w:r>
      <w:r w:rsidR="00FF3AA2">
        <w:t xml:space="preserve">zastosowania </w:t>
      </w:r>
      <w:r w:rsidR="00C96842">
        <w:t>we wszystkich przypadkach środka o charakterze karnym (</w:t>
      </w:r>
      <w:proofErr w:type="spellStart"/>
      <w:r w:rsidR="00C96842">
        <w:rPr>
          <w:i/>
          <w:iCs/>
        </w:rPr>
        <w:t>Cevrioğlu</w:t>
      </w:r>
      <w:proofErr w:type="spellEnd"/>
      <w:r w:rsidR="00C96842">
        <w:rPr>
          <w:i/>
          <w:iCs/>
        </w:rPr>
        <w:t xml:space="preserve"> przeciwko Turcji</w:t>
      </w:r>
      <w:r w:rsidR="00C96842">
        <w:t>, nr 69546/12, § 54, 4 października</w:t>
      </w:r>
      <w:r w:rsidR="001436F5">
        <w:t xml:space="preserve"> </w:t>
      </w:r>
      <w:r w:rsidR="00C96842">
        <w:t>2016 r.). W</w:t>
      </w:r>
      <w:r w:rsidR="006038BE">
        <w:t> </w:t>
      </w:r>
      <w:r w:rsidR="00C96842">
        <w:t>szczególnym kontekście</w:t>
      </w:r>
      <w:r w:rsidR="00AD1324">
        <w:t xml:space="preserve"> </w:t>
      </w:r>
      <w:r w:rsidR="00C96842">
        <w:t>zaniedba</w:t>
      </w:r>
      <w:r w:rsidR="00AD1324">
        <w:t>ń</w:t>
      </w:r>
      <w:r w:rsidR="00A418CB">
        <w:t xml:space="preserve"> </w:t>
      </w:r>
      <w:r w:rsidR="00C96842">
        <w:t>medyczn</w:t>
      </w:r>
      <w:r w:rsidR="00AD1324">
        <w:t>ych</w:t>
      </w:r>
      <w:r w:rsidR="00FF3AA2">
        <w:t>,</w:t>
      </w:r>
      <w:r w:rsidR="00C96842">
        <w:t xml:space="preserve"> obowiązek taki może być również spełniony, na przykład, jeżeli dany system prawny umożliwia zainteresowanym osobom skorzystanie ze środka odwoławczego </w:t>
      </w:r>
      <w:r w:rsidR="00AD1324">
        <w:t xml:space="preserve">do </w:t>
      </w:r>
      <w:r w:rsidR="00C96842">
        <w:t>sąd</w:t>
      </w:r>
      <w:r w:rsidR="00AD1324">
        <w:t xml:space="preserve">ów </w:t>
      </w:r>
      <w:r w:rsidR="00C96842">
        <w:t>cywilny</w:t>
      </w:r>
      <w:r w:rsidR="00AD1324">
        <w:t>ch</w:t>
      </w:r>
      <w:r w:rsidR="00C96842">
        <w:t>, odrębnie lub w</w:t>
      </w:r>
      <w:r w:rsidR="00AD1324">
        <w:t xml:space="preserve"> połączeniu </w:t>
      </w:r>
      <w:r w:rsidR="00C96842">
        <w:t xml:space="preserve">ze środkiem odwoławczym </w:t>
      </w:r>
      <w:r w:rsidR="00AD1324">
        <w:t xml:space="preserve">do </w:t>
      </w:r>
      <w:r w:rsidR="00C96842">
        <w:t>sąd</w:t>
      </w:r>
      <w:r w:rsidR="00AD1324">
        <w:t>ów</w:t>
      </w:r>
      <w:r w:rsidR="00A418CB">
        <w:t xml:space="preserve"> </w:t>
      </w:r>
      <w:r w:rsidR="00C96842">
        <w:t>karny</w:t>
      </w:r>
      <w:r w:rsidR="00AD1324">
        <w:t>ch</w:t>
      </w:r>
      <w:r w:rsidR="00C96842">
        <w:t>, w celu ustalenia odpowiedzialności lekarzy i, w stosownych przypadkach, doprowadzenia do zastosowania odpowiednich sankcji cywilnych, takich jak zapłata odszkodowania i opublikowanie wyroku. Można również</w:t>
      </w:r>
      <w:r w:rsidR="00837EFC">
        <w:t xml:space="preserve"> </w:t>
      </w:r>
      <w:r w:rsidR="00DD7932">
        <w:t xml:space="preserve">rozważyć zastosowanie </w:t>
      </w:r>
      <w:r w:rsidR="00C96842">
        <w:t>środk</w:t>
      </w:r>
      <w:r w:rsidR="00DD7932">
        <w:t xml:space="preserve">ów </w:t>
      </w:r>
      <w:r w:rsidR="00C96842">
        <w:t>dyscyplinarn</w:t>
      </w:r>
      <w:r w:rsidR="00DD7932">
        <w:t>ych</w:t>
      </w:r>
      <w:r w:rsidR="00C96842">
        <w:t xml:space="preserve"> (</w:t>
      </w:r>
      <w:proofErr w:type="spellStart"/>
      <w:r w:rsidR="00C96842">
        <w:rPr>
          <w:i/>
          <w:iCs/>
        </w:rPr>
        <w:t>Calvelli</w:t>
      </w:r>
      <w:proofErr w:type="spellEnd"/>
      <w:r w:rsidR="00C96842">
        <w:rPr>
          <w:i/>
          <w:iCs/>
        </w:rPr>
        <w:t xml:space="preserve"> i</w:t>
      </w:r>
      <w:r w:rsidR="007803F9">
        <w:rPr>
          <w:i/>
          <w:iCs/>
        </w:rPr>
        <w:t> </w:t>
      </w:r>
      <w:proofErr w:type="spellStart"/>
      <w:r w:rsidR="00C96842">
        <w:rPr>
          <w:i/>
          <w:iCs/>
        </w:rPr>
        <w:t>Ciglio</w:t>
      </w:r>
      <w:proofErr w:type="spellEnd"/>
      <w:r w:rsidR="00C96842">
        <w:t xml:space="preserve">, § 51 i </w:t>
      </w:r>
      <w:proofErr w:type="spellStart"/>
      <w:r w:rsidR="00C96842">
        <w:rPr>
          <w:i/>
          <w:iCs/>
        </w:rPr>
        <w:t>Vo</w:t>
      </w:r>
      <w:proofErr w:type="spellEnd"/>
      <w:r w:rsidR="00C96842">
        <w:t xml:space="preserve">, § 90, </w:t>
      </w:r>
      <w:r w:rsidR="00C96842" w:rsidRPr="007A3B0E">
        <w:t>op. cit.</w:t>
      </w:r>
      <w:r w:rsidR="00C96842">
        <w:t xml:space="preserve"> oraz </w:t>
      </w:r>
      <w:r w:rsidR="00C96842">
        <w:rPr>
          <w:i/>
          <w:iCs/>
        </w:rPr>
        <w:t>Gray przeciwko Niemcom</w:t>
      </w:r>
      <w:r w:rsidR="00C96842">
        <w:t>, nr</w:t>
      </w:r>
      <w:r w:rsidR="006038BE">
        <w:t> </w:t>
      </w:r>
      <w:r w:rsidR="00C96842">
        <w:t>49278/09, §§ 80-82, 22 maja 2014 r.).</w:t>
      </w:r>
    </w:p>
    <w:p w14:paraId="584A185F" w14:textId="131B4386" w:rsidR="00C96842" w:rsidRPr="00BC16EE" w:rsidRDefault="007A3B0E" w:rsidP="00BC16EE">
      <w:pPr>
        <w:pStyle w:val="ECHRPara"/>
      </w:pPr>
      <w:r>
        <w:rPr>
          <w:noProof/>
        </w:rPr>
        <w:t>41</w:t>
      </w:r>
      <w:r w:rsidR="00C96842">
        <w:t>.</w:t>
      </w:r>
      <w:r w:rsidR="00A418CB">
        <w:t xml:space="preserve"> </w:t>
      </w:r>
      <w:r w:rsidR="00C96842">
        <w:t xml:space="preserve">W każdym </w:t>
      </w:r>
      <w:r w:rsidR="004A030A">
        <w:t xml:space="preserve">razie </w:t>
      </w:r>
      <w:r w:rsidR="00DE5B51">
        <w:t xml:space="preserve">nie można uznać </w:t>
      </w:r>
      <w:r w:rsidR="00C96842">
        <w:t>obowiązku państwa wynikającego z</w:t>
      </w:r>
      <w:r w:rsidR="007803F9">
        <w:t> </w:t>
      </w:r>
      <w:r w:rsidR="00C96842">
        <w:t xml:space="preserve">art. 2 Konwencji za spełniony, jeżeli mechanizmy ochrony </w:t>
      </w:r>
      <w:r w:rsidR="00DE5B51">
        <w:t xml:space="preserve">przewidziane prawem krajowym </w:t>
      </w:r>
      <w:r w:rsidR="00C96842">
        <w:t>mają wymiar czysto teoretyczny: muszą one być przede wszystkim skuteczne w praktyce (</w:t>
      </w:r>
      <w:proofErr w:type="spellStart"/>
      <w:r w:rsidR="00C96842">
        <w:rPr>
          <w:i/>
          <w:iCs/>
        </w:rPr>
        <w:t>Byrzykowski</w:t>
      </w:r>
      <w:proofErr w:type="spellEnd"/>
      <w:r w:rsidR="00C96842">
        <w:rPr>
          <w:i/>
          <w:iCs/>
        </w:rPr>
        <w:t xml:space="preserve"> przeciwko Polsce</w:t>
      </w:r>
      <w:r w:rsidR="00C96842">
        <w:t>, nr</w:t>
      </w:r>
      <w:r w:rsidR="006038BE">
        <w:t> </w:t>
      </w:r>
      <w:r w:rsidR="00C96842">
        <w:t xml:space="preserve">11562/05, § 105, 27 czerwca 2006 r. oraz </w:t>
      </w:r>
      <w:r w:rsidR="00C96842">
        <w:rPr>
          <w:i/>
          <w:iCs/>
        </w:rPr>
        <w:t xml:space="preserve">Spyra i </w:t>
      </w:r>
      <w:proofErr w:type="spellStart"/>
      <w:r w:rsidR="00C96842">
        <w:rPr>
          <w:i/>
          <w:iCs/>
        </w:rPr>
        <w:t>Kranczkowski</w:t>
      </w:r>
      <w:proofErr w:type="spellEnd"/>
      <w:r w:rsidR="00C96842">
        <w:rPr>
          <w:i/>
          <w:iCs/>
        </w:rPr>
        <w:t xml:space="preserve"> przeciwko Polsce</w:t>
      </w:r>
      <w:r w:rsidR="00C96842">
        <w:t>, nr 19764/07, § 88, 25 września 2012 r.).</w:t>
      </w:r>
    </w:p>
    <w:p w14:paraId="2D95ECB3" w14:textId="3258F65F" w:rsidR="00C96842" w:rsidRPr="00BC16EE" w:rsidRDefault="007A3B0E" w:rsidP="00BC16EE">
      <w:pPr>
        <w:pStyle w:val="ECHRPara"/>
      </w:pPr>
      <w:r>
        <w:rPr>
          <w:noProof/>
        </w:rPr>
        <w:t>42</w:t>
      </w:r>
      <w:r w:rsidR="00C96842">
        <w:t>.</w:t>
      </w:r>
      <w:r w:rsidR="00A418CB">
        <w:t xml:space="preserve"> </w:t>
      </w:r>
      <w:r w:rsidR="00C96842">
        <w:t>Obowiązek proceduralny nałożony przez art. 2 w odniesieniu do</w:t>
      </w:r>
      <w:r w:rsidR="006038BE">
        <w:t> </w:t>
      </w:r>
      <w:r w:rsidR="00C96842">
        <w:t>opieki wymaga</w:t>
      </w:r>
      <w:r w:rsidR="009300C5">
        <w:t xml:space="preserve"> w szczególności</w:t>
      </w:r>
      <w:r w:rsidR="00C96842">
        <w:t>, aby procedura została zakończona</w:t>
      </w:r>
      <w:r w:rsidR="001436F5">
        <w:t xml:space="preserve"> </w:t>
      </w:r>
      <w:r w:rsidR="00C96842">
        <w:t>w</w:t>
      </w:r>
      <w:r w:rsidR="006038BE">
        <w:t> </w:t>
      </w:r>
      <w:r w:rsidR="00C96842">
        <w:t>rozsądnym terminie (</w:t>
      </w:r>
      <w:proofErr w:type="spellStart"/>
      <w:r w:rsidR="00C96842">
        <w:rPr>
          <w:i/>
        </w:rPr>
        <w:t>Šilih</w:t>
      </w:r>
      <w:proofErr w:type="spellEnd"/>
      <w:r w:rsidR="00C96842">
        <w:t xml:space="preserve">, </w:t>
      </w:r>
      <w:r w:rsidR="00C96842" w:rsidRPr="007A37E9">
        <w:rPr>
          <w:i/>
          <w:iCs/>
        </w:rPr>
        <w:t>op. cit.</w:t>
      </w:r>
      <w:r w:rsidR="00C96842">
        <w:t>, § 196). W tym względzie Trybunał podkreśla, że oprócz kwestii przestrzegania praw wynikających z art. 2</w:t>
      </w:r>
      <w:r w:rsidR="001436F5">
        <w:t xml:space="preserve"> </w:t>
      </w:r>
      <w:r w:rsidR="00C96842">
        <w:t>w</w:t>
      </w:r>
      <w:r w:rsidR="006038BE">
        <w:t> </w:t>
      </w:r>
      <w:r w:rsidR="00C96842">
        <w:t xml:space="preserve">danym przypadku, bardziej ogólne względy wymagają również </w:t>
      </w:r>
      <w:r w:rsidR="00E0588E">
        <w:t xml:space="preserve">niezwłocznego </w:t>
      </w:r>
      <w:r w:rsidR="00C96842">
        <w:t xml:space="preserve">zbadania </w:t>
      </w:r>
      <w:r w:rsidR="008F5A63">
        <w:t xml:space="preserve">spraw </w:t>
      </w:r>
      <w:r w:rsidR="00C96842">
        <w:t>dotyczących zaniedbań medycznych</w:t>
      </w:r>
      <w:r w:rsidR="001436F5">
        <w:t xml:space="preserve"> </w:t>
      </w:r>
      <w:r w:rsidR="00C96842">
        <w:t>w</w:t>
      </w:r>
      <w:r w:rsidR="006038BE">
        <w:t> </w:t>
      </w:r>
      <w:r w:rsidR="00C96842">
        <w:t xml:space="preserve">środowisku szpitalnym. </w:t>
      </w:r>
      <w:r w:rsidR="00956F5A">
        <w:t xml:space="preserve">Znajomość </w:t>
      </w:r>
      <w:r w:rsidR="00C96842">
        <w:t>fakt</w:t>
      </w:r>
      <w:r w:rsidR="00956F5A">
        <w:t>ów</w:t>
      </w:r>
      <w:r w:rsidR="00A418CB">
        <w:t xml:space="preserve"> </w:t>
      </w:r>
      <w:r w:rsidR="00C96842">
        <w:t>i błędów, które mogły zostać popełnione w związku ze świadczeniem opieki medycznej</w:t>
      </w:r>
      <w:r w:rsidR="00E0588E">
        <w:t>,</w:t>
      </w:r>
      <w:r w:rsidR="00C96842">
        <w:t xml:space="preserve"> jest niezbędna, aby umożliwić zainteresowanym instytucjom i personelowi medycznemu naprawienie potencjalnych uchybień i zapobieżenie podobnym błędom. Niezwłoczne </w:t>
      </w:r>
      <w:r w:rsidR="008F5A63">
        <w:t xml:space="preserve">zbadanie </w:t>
      </w:r>
      <w:r w:rsidR="00C96842">
        <w:t>takich spraw ma zatem istotne znaczenie dla</w:t>
      </w:r>
      <w:r w:rsidR="006038BE">
        <w:t> </w:t>
      </w:r>
      <w:r w:rsidR="00C96842">
        <w:t>bezpieczeństwa osób korzystających ze wszystkich usług zdrowotnych (</w:t>
      </w:r>
      <w:proofErr w:type="spellStart"/>
      <w:r w:rsidR="00C96842">
        <w:rPr>
          <w:i/>
        </w:rPr>
        <w:t>Lopes</w:t>
      </w:r>
      <w:proofErr w:type="spellEnd"/>
      <w:r w:rsidR="00C96842">
        <w:rPr>
          <w:i/>
        </w:rPr>
        <w:t xml:space="preserve"> de </w:t>
      </w:r>
      <w:proofErr w:type="spellStart"/>
      <w:r w:rsidR="00C96842">
        <w:rPr>
          <w:i/>
        </w:rPr>
        <w:t>Sousa</w:t>
      </w:r>
      <w:proofErr w:type="spellEnd"/>
      <w:r w:rsidR="00C96842">
        <w:rPr>
          <w:i/>
        </w:rPr>
        <w:t xml:space="preserve"> </w:t>
      </w:r>
      <w:proofErr w:type="spellStart"/>
      <w:r w:rsidR="00C96842">
        <w:rPr>
          <w:i/>
        </w:rPr>
        <w:t>Fernandes</w:t>
      </w:r>
      <w:proofErr w:type="spellEnd"/>
      <w:r w:rsidR="00C96842">
        <w:t xml:space="preserve">, </w:t>
      </w:r>
      <w:r w:rsidR="00C96842" w:rsidRPr="007A3B0E">
        <w:t>op. cit</w:t>
      </w:r>
      <w:r w:rsidR="00C96842" w:rsidRPr="007A37E9">
        <w:rPr>
          <w:i/>
          <w:iCs/>
        </w:rPr>
        <w:t>.</w:t>
      </w:r>
      <w:r w:rsidR="00C96842">
        <w:t>,</w:t>
      </w:r>
      <w:r w:rsidR="00C96842">
        <w:rPr>
          <w:i/>
        </w:rPr>
        <w:t xml:space="preserve"> </w:t>
      </w:r>
      <w:r w:rsidR="00C96842">
        <w:t>§</w:t>
      </w:r>
      <w:r w:rsidR="00A418CB">
        <w:t xml:space="preserve"> </w:t>
      </w:r>
      <w:r w:rsidR="00C96842">
        <w:t>218 oraz</w:t>
      </w:r>
      <w:r w:rsidR="00A418CB">
        <w:t xml:space="preserve"> </w:t>
      </w:r>
      <w:proofErr w:type="spellStart"/>
      <w:r w:rsidR="00C96842">
        <w:rPr>
          <w:i/>
        </w:rPr>
        <w:t>Oyal</w:t>
      </w:r>
      <w:proofErr w:type="spellEnd"/>
      <w:r w:rsidR="00C96842">
        <w:t xml:space="preserve">, </w:t>
      </w:r>
      <w:r w:rsidR="00C96842" w:rsidRPr="007A3B0E">
        <w:t>op. cit.,</w:t>
      </w:r>
      <w:r w:rsidR="00C96842">
        <w:t xml:space="preserve"> § 76).</w:t>
      </w:r>
    </w:p>
    <w:p w14:paraId="6BA64FFD" w14:textId="0A15373A" w:rsidR="00C96842" w:rsidRPr="00BC16EE" w:rsidRDefault="007A3B0E" w:rsidP="00BC16EE">
      <w:pPr>
        <w:pStyle w:val="ECHRPara"/>
        <w:rPr>
          <w:rFonts w:eastAsia="Times New Roman"/>
          <w:szCs w:val="24"/>
        </w:rPr>
      </w:pPr>
      <w:r>
        <w:rPr>
          <w:noProof/>
        </w:rPr>
        <w:t>43</w:t>
      </w:r>
      <w:r w:rsidR="00C96842">
        <w:t>.</w:t>
      </w:r>
      <w:r w:rsidR="00A418CB">
        <w:t xml:space="preserve"> </w:t>
      </w:r>
      <w:r w:rsidR="00C96842">
        <w:t>Wreszcie Trybunał podkreśl</w:t>
      </w:r>
      <w:r w:rsidR="007D00C3">
        <w:t>a</w:t>
      </w:r>
      <w:r w:rsidR="00C96842">
        <w:t xml:space="preserve">, że ten obowiązek proceduralny nie jest </w:t>
      </w:r>
      <w:r w:rsidR="00C66209">
        <w:t xml:space="preserve">zobowiązaniem </w:t>
      </w:r>
      <w:r w:rsidR="00C96842">
        <w:t xml:space="preserve">rezultatu, lecz </w:t>
      </w:r>
      <w:r w:rsidR="00016F0E">
        <w:t>należytej staranności</w:t>
      </w:r>
      <w:r w:rsidR="00C96842">
        <w:t>.</w:t>
      </w:r>
      <w:r w:rsidR="00C96842">
        <w:rPr>
          <w:szCs w:val="24"/>
        </w:rPr>
        <w:t xml:space="preserve"> Tym samym sam fakt, że postępowanie w sprawie zaniedbania medycznego nie przyniosło wyniku korzystnego dla zainteresowanej osoby</w:t>
      </w:r>
      <w:r w:rsidR="007D00C3">
        <w:rPr>
          <w:szCs w:val="24"/>
        </w:rPr>
        <w:t>,</w:t>
      </w:r>
      <w:r w:rsidR="00C96842">
        <w:rPr>
          <w:szCs w:val="24"/>
        </w:rPr>
        <w:t xml:space="preserve"> nie oznacza, że pozwane </w:t>
      </w:r>
      <w:r w:rsidR="007D7352">
        <w:rPr>
          <w:szCs w:val="24"/>
        </w:rPr>
        <w:t xml:space="preserve">Państwo </w:t>
      </w:r>
      <w:r w:rsidR="00C96842">
        <w:rPr>
          <w:szCs w:val="24"/>
        </w:rPr>
        <w:t>nie dopełniło swojego pozytywnego obowiązku wynikającego z art. 2 Konwencji (</w:t>
      </w:r>
      <w:proofErr w:type="spellStart"/>
      <w:r w:rsidR="00C96842" w:rsidRPr="00DF0CFE">
        <w:rPr>
          <w:i/>
          <w:iCs/>
          <w:szCs w:val="24"/>
        </w:rPr>
        <w:t>B</w:t>
      </w:r>
      <w:r w:rsidR="00C96842">
        <w:rPr>
          <w:i/>
          <w:iCs/>
          <w:szCs w:val="24"/>
        </w:rPr>
        <w:t>esen</w:t>
      </w:r>
      <w:proofErr w:type="spellEnd"/>
      <w:r w:rsidR="00C96842">
        <w:rPr>
          <w:i/>
          <w:iCs/>
          <w:szCs w:val="24"/>
        </w:rPr>
        <w:t xml:space="preserve"> przeciwko Turcji</w:t>
      </w:r>
      <w:r w:rsidR="00C96842">
        <w:rPr>
          <w:szCs w:val="24"/>
        </w:rPr>
        <w:t xml:space="preserve"> (</w:t>
      </w:r>
      <w:proofErr w:type="spellStart"/>
      <w:r w:rsidR="00C96842">
        <w:rPr>
          <w:szCs w:val="24"/>
        </w:rPr>
        <w:t>dec</w:t>
      </w:r>
      <w:proofErr w:type="spellEnd"/>
      <w:r w:rsidR="00C96842">
        <w:rPr>
          <w:szCs w:val="24"/>
        </w:rPr>
        <w:t xml:space="preserve">.), nr 48915/09, § 38 </w:t>
      </w:r>
      <w:r w:rsidR="00C96842">
        <w:rPr>
          <w:i/>
          <w:iCs/>
          <w:szCs w:val="24"/>
        </w:rPr>
        <w:t>in fine</w:t>
      </w:r>
      <w:r w:rsidR="00C96842">
        <w:rPr>
          <w:szCs w:val="24"/>
        </w:rPr>
        <w:t>, 19</w:t>
      </w:r>
      <w:r w:rsidR="006038BE">
        <w:rPr>
          <w:szCs w:val="24"/>
        </w:rPr>
        <w:t> </w:t>
      </w:r>
      <w:r w:rsidR="00C96842">
        <w:rPr>
          <w:szCs w:val="24"/>
        </w:rPr>
        <w:t xml:space="preserve">czerwca 2012 r. oraz </w:t>
      </w:r>
      <w:proofErr w:type="spellStart"/>
      <w:r w:rsidR="00C96842">
        <w:rPr>
          <w:i/>
          <w:iCs/>
          <w:szCs w:val="24"/>
        </w:rPr>
        <w:t>E.M</w:t>
      </w:r>
      <w:proofErr w:type="spellEnd"/>
      <w:r w:rsidR="00C96842">
        <w:rPr>
          <w:i/>
          <w:iCs/>
          <w:szCs w:val="24"/>
        </w:rPr>
        <w:t>. i Inni przeciwko Rumunii</w:t>
      </w:r>
      <w:r w:rsidR="00C96842">
        <w:rPr>
          <w:szCs w:val="24"/>
        </w:rPr>
        <w:t xml:space="preserve"> (</w:t>
      </w:r>
      <w:proofErr w:type="spellStart"/>
      <w:r w:rsidR="00C96842">
        <w:rPr>
          <w:szCs w:val="24"/>
        </w:rPr>
        <w:t>dec</w:t>
      </w:r>
      <w:proofErr w:type="spellEnd"/>
      <w:r w:rsidR="00C96842">
        <w:rPr>
          <w:szCs w:val="24"/>
        </w:rPr>
        <w:t>.), nr 20192/07, § 50, 3 czerwca</w:t>
      </w:r>
      <w:r w:rsidR="001436F5">
        <w:rPr>
          <w:szCs w:val="24"/>
        </w:rPr>
        <w:t xml:space="preserve"> </w:t>
      </w:r>
      <w:r w:rsidR="00C96842">
        <w:rPr>
          <w:szCs w:val="24"/>
        </w:rPr>
        <w:t>2014</w:t>
      </w:r>
      <w:r w:rsidR="007803F9">
        <w:rPr>
          <w:szCs w:val="24"/>
        </w:rPr>
        <w:t> </w:t>
      </w:r>
      <w:r w:rsidR="00C96842">
        <w:rPr>
          <w:szCs w:val="24"/>
        </w:rPr>
        <w:t>r.).</w:t>
      </w:r>
    </w:p>
    <w:p w14:paraId="66578941" w14:textId="2F4117FE" w:rsidR="00C96842" w:rsidRPr="00BC16EE" w:rsidRDefault="00C96842" w:rsidP="00BC16EE">
      <w:pPr>
        <w:pStyle w:val="ECHRHeading4"/>
        <w:rPr>
          <w:rFonts w:eastAsia="Times New Roman"/>
        </w:rPr>
      </w:pPr>
      <w:r>
        <w:lastRenderedPageBreak/>
        <w:t>b)</w:t>
      </w:r>
      <w:r w:rsidR="00A418CB">
        <w:t xml:space="preserve"> </w:t>
      </w:r>
      <w:r>
        <w:t>Zastosowanie powyższych zasad w niniejszej sprawie</w:t>
      </w:r>
    </w:p>
    <w:p w14:paraId="473975A1" w14:textId="175BE8B3" w:rsidR="00C96842" w:rsidRPr="00BC16EE" w:rsidRDefault="007A3B0E" w:rsidP="00BC16EE">
      <w:pPr>
        <w:pStyle w:val="ECHRPara"/>
      </w:pPr>
      <w:r>
        <w:rPr>
          <w:rFonts w:eastAsia="Times New Roman"/>
          <w:noProof/>
          <w:szCs w:val="24"/>
        </w:rPr>
        <w:t>44</w:t>
      </w:r>
      <w:r w:rsidR="00C96842">
        <w:t>.</w:t>
      </w:r>
      <w:r w:rsidR="00A418CB">
        <w:rPr>
          <w:szCs w:val="24"/>
        </w:rPr>
        <w:t xml:space="preserve"> </w:t>
      </w:r>
      <w:r w:rsidR="00C96842">
        <w:t xml:space="preserve">Trybunał </w:t>
      </w:r>
      <w:r w:rsidR="00616A67">
        <w:t>uznaje</w:t>
      </w:r>
      <w:r w:rsidR="00C96842">
        <w:t>, że skarżące nie zarzucają ani wyraźnie, ani</w:t>
      </w:r>
      <w:r w:rsidR="006038BE">
        <w:t> </w:t>
      </w:r>
      <w:r w:rsidR="00C96842">
        <w:t>w</w:t>
      </w:r>
      <w:r w:rsidR="006038BE">
        <w:t> </w:t>
      </w:r>
      <w:r w:rsidR="00C96842">
        <w:t xml:space="preserve">sposób dorozumiany, że </w:t>
      </w:r>
      <w:r w:rsidR="00D73473">
        <w:t xml:space="preserve">zgon </w:t>
      </w:r>
      <w:r w:rsidR="00C96842">
        <w:t xml:space="preserve">ich </w:t>
      </w:r>
      <w:r w:rsidR="00D73473">
        <w:t xml:space="preserve">bliskiej </w:t>
      </w:r>
      <w:r w:rsidR="00C96842">
        <w:t xml:space="preserve">osoby został </w:t>
      </w:r>
      <w:r w:rsidR="00D73473">
        <w:t xml:space="preserve">spowodowany </w:t>
      </w:r>
      <w:r w:rsidR="00C96842">
        <w:t xml:space="preserve">umyślnie. Twierdzą, że </w:t>
      </w:r>
      <w:r w:rsidR="00D73473">
        <w:t xml:space="preserve">osoba </w:t>
      </w:r>
      <w:r w:rsidR="00C725C2">
        <w:t xml:space="preserve">ta </w:t>
      </w:r>
      <w:r w:rsidR="00C96842">
        <w:t>zmarł</w:t>
      </w:r>
      <w:r w:rsidR="00C725C2">
        <w:t>a</w:t>
      </w:r>
      <w:r w:rsidR="00C96842">
        <w:t xml:space="preserve"> w wyniku awarii butli z tlenem i</w:t>
      </w:r>
      <w:r w:rsidR="006038BE">
        <w:t> </w:t>
      </w:r>
      <w:r w:rsidR="00C96842">
        <w:t xml:space="preserve">różnych zaniedbań medycznych, których jakoby dopuszczono się w trakcie </w:t>
      </w:r>
      <w:r w:rsidR="00D73473">
        <w:t>leczenia</w:t>
      </w:r>
      <w:r w:rsidR="00C96842">
        <w:t xml:space="preserve">, a personel medyczny </w:t>
      </w:r>
      <w:r w:rsidR="00D73473">
        <w:t xml:space="preserve">sprawujący opiekę </w:t>
      </w:r>
      <w:r w:rsidR="00C96842">
        <w:t>nie podjął odpowiednich środków</w:t>
      </w:r>
      <w:r w:rsidR="001436F5">
        <w:t xml:space="preserve"> </w:t>
      </w:r>
      <w:r w:rsidR="00C96842">
        <w:t>w</w:t>
      </w:r>
      <w:r w:rsidR="007803F9">
        <w:t> </w:t>
      </w:r>
      <w:r w:rsidR="00C96842">
        <w:t>celu ratowania jej życia. Uważają, że sądy krajowe nie</w:t>
      </w:r>
      <w:r w:rsidR="006038BE">
        <w:t> </w:t>
      </w:r>
      <w:r w:rsidR="00C96842">
        <w:t>zareagowały na</w:t>
      </w:r>
      <w:r w:rsidR="007803F9">
        <w:t> </w:t>
      </w:r>
      <w:r w:rsidR="00C96842">
        <w:t>tę</w:t>
      </w:r>
      <w:r w:rsidR="007803F9">
        <w:t> </w:t>
      </w:r>
      <w:r w:rsidR="00C96842">
        <w:t xml:space="preserve">sytuację </w:t>
      </w:r>
      <w:r w:rsidR="00616CC4">
        <w:t>szybko</w:t>
      </w:r>
      <w:r w:rsidR="00C96842">
        <w:t xml:space="preserve">, </w:t>
      </w:r>
      <w:r w:rsidR="00C42A2A">
        <w:t>w odpowiedni sposób</w:t>
      </w:r>
      <w:r w:rsidR="00C96842">
        <w:t xml:space="preserve"> i </w:t>
      </w:r>
      <w:r w:rsidR="00C42A2A">
        <w:t xml:space="preserve">z należytą </w:t>
      </w:r>
      <w:r w:rsidR="00C96842">
        <w:t>starannością oraz że</w:t>
      </w:r>
      <w:r w:rsidR="007803F9">
        <w:t> </w:t>
      </w:r>
      <w:r w:rsidR="00C96842">
        <w:t>mechanizm sądowy nie działał w sposób właściwy, aby</w:t>
      </w:r>
      <w:r w:rsidR="006038BE">
        <w:t> </w:t>
      </w:r>
      <w:r w:rsidR="00C96842">
        <w:t>umożliwić ustalenie przyczyny śmierci, zapewnić, w stosownych przypadkach, pociągnięcie do odpowiedzialności osób odpowiedzialnych oraz zaradzić ewentualnym nieprawidłowościom w funkcjonowaniu służby szpitalnej.</w:t>
      </w:r>
    </w:p>
    <w:p w14:paraId="0262745D" w14:textId="6CA595D5" w:rsidR="00C96842" w:rsidRPr="00BC16EE" w:rsidRDefault="007A3B0E" w:rsidP="00BC16EE">
      <w:pPr>
        <w:pStyle w:val="ECHRPara"/>
      </w:pPr>
      <w:r>
        <w:rPr>
          <w:noProof/>
        </w:rPr>
        <w:t>45</w:t>
      </w:r>
      <w:r w:rsidR="00C96842">
        <w:t>.</w:t>
      </w:r>
      <w:r w:rsidR="00A418CB">
        <w:t xml:space="preserve"> </w:t>
      </w:r>
      <w:r w:rsidR="00C96842">
        <w:t xml:space="preserve">Trybunał podkreśla na wstępie, że nie należy </w:t>
      </w:r>
      <w:r w:rsidR="00203FBD">
        <w:t xml:space="preserve">do jego kompetencji ponowne rozpatrywanie </w:t>
      </w:r>
      <w:r w:rsidR="00C96842">
        <w:t xml:space="preserve">oceny stanu zmarłego pacjenta </w:t>
      </w:r>
      <w:r w:rsidR="00DD69B3">
        <w:t xml:space="preserve">dokonanej przez pracowników </w:t>
      </w:r>
      <w:r w:rsidR="00C96842">
        <w:t>służby zdrowia ani ich decyzji w przedmiocie leczenia, które należało zastosować (</w:t>
      </w:r>
      <w:r w:rsidR="00C96842">
        <w:rPr>
          <w:i/>
          <w:iCs/>
        </w:rPr>
        <w:t>Glass przeciwko Zjednoczonemu Królestwu</w:t>
      </w:r>
      <w:r w:rsidR="00C96842">
        <w:t xml:space="preserve"> (</w:t>
      </w:r>
      <w:proofErr w:type="spellStart"/>
      <w:r w:rsidR="00C96842">
        <w:t>dec</w:t>
      </w:r>
      <w:proofErr w:type="spellEnd"/>
      <w:r w:rsidR="00C96842">
        <w:t>.),</w:t>
      </w:r>
      <w:r w:rsidR="001436F5">
        <w:t xml:space="preserve"> </w:t>
      </w:r>
      <w:r w:rsidR="00C96842">
        <w:t>nr</w:t>
      </w:r>
      <w:r w:rsidR="006038BE">
        <w:t> </w:t>
      </w:r>
      <w:r w:rsidR="00C96842">
        <w:t xml:space="preserve">61827/00, 18 marca 2003 r.). Oceny te oraz decyzje kliniczne były odpowiednio dokonywane i podejmowane w oparciu o ówczesny stan zdrowia pacjenta oraz wnioski personelu medycznego </w:t>
      </w:r>
      <w:r w:rsidR="00963637">
        <w:t>w kwestii</w:t>
      </w:r>
      <w:r w:rsidR="00C96842">
        <w:t xml:space="preserve"> środków, które należało podjąć w ramach leczenia. W tym względzie Trybunał </w:t>
      </w:r>
      <w:r w:rsidR="00616A67">
        <w:t>zauważa</w:t>
      </w:r>
      <w:r w:rsidR="00C96842">
        <w:t xml:space="preserve">, że opieka medyczna udzielona </w:t>
      </w:r>
      <w:proofErr w:type="spellStart"/>
      <w:r w:rsidR="00C96842">
        <w:t>Nayimowi</w:t>
      </w:r>
      <w:proofErr w:type="spellEnd"/>
      <w:r w:rsidR="00C96842">
        <w:t xml:space="preserve"> </w:t>
      </w:r>
      <w:proofErr w:type="spellStart"/>
      <w:r w:rsidR="00C96842">
        <w:t>Yirdemowi</w:t>
      </w:r>
      <w:proofErr w:type="spellEnd"/>
      <w:r w:rsidR="00C96842">
        <w:t xml:space="preserve"> była </w:t>
      </w:r>
      <w:r w:rsidR="00616A67">
        <w:t xml:space="preserve">przedmiotem kontroli na szczeblu krajowym </w:t>
      </w:r>
      <w:r w:rsidR="00C96842">
        <w:t xml:space="preserve">i żaden z organów sądowych rozpatrujących zarzuty skarżących ostatecznie nie stwierdził </w:t>
      </w:r>
      <w:r w:rsidR="007C3CB5">
        <w:t xml:space="preserve">jakiegokolwiek </w:t>
      </w:r>
      <w:r w:rsidR="00C96842">
        <w:t xml:space="preserve">błędu w udzielonej </w:t>
      </w:r>
      <w:r w:rsidR="007C3CB5">
        <w:t xml:space="preserve">pacjentowi </w:t>
      </w:r>
      <w:r w:rsidR="00C96842">
        <w:t>opiece medycznej.</w:t>
      </w:r>
    </w:p>
    <w:p w14:paraId="1616C338" w14:textId="58947EED" w:rsidR="00C96842" w:rsidRPr="00BC16EE" w:rsidRDefault="007A3B0E" w:rsidP="00BC16EE">
      <w:pPr>
        <w:pStyle w:val="ECHRPara"/>
      </w:pPr>
      <w:r>
        <w:rPr>
          <w:noProof/>
        </w:rPr>
        <w:t>46</w:t>
      </w:r>
      <w:r w:rsidR="00C96842">
        <w:t>.</w:t>
      </w:r>
      <w:r w:rsidR="00A418CB">
        <w:t xml:space="preserve"> </w:t>
      </w:r>
      <w:r w:rsidR="00C96842">
        <w:t xml:space="preserve">W tym względzie Trybunał </w:t>
      </w:r>
      <w:r w:rsidR="007C3CB5">
        <w:t>podkreśla</w:t>
      </w:r>
      <w:r w:rsidR="00C96842">
        <w:t xml:space="preserve">, że z wyjątkiem przypadków arbitralności lub oczywistego błędu, nie jest </w:t>
      </w:r>
      <w:r w:rsidR="00763FBA">
        <w:t xml:space="preserve">jego zadaniem </w:t>
      </w:r>
      <w:r w:rsidR="00C96842">
        <w:t>kwestionowanie ustaleń faktycznych dokonywanych przez władze krajowe. Dotyczy</w:t>
      </w:r>
      <w:r w:rsidR="001436F5">
        <w:t xml:space="preserve"> </w:t>
      </w:r>
      <w:r w:rsidR="00C96842">
        <w:t>to</w:t>
      </w:r>
      <w:r w:rsidR="006038BE">
        <w:t> </w:t>
      </w:r>
      <w:r w:rsidR="00C96842">
        <w:t>w</w:t>
      </w:r>
      <w:r w:rsidR="006038BE">
        <w:t> </w:t>
      </w:r>
      <w:r w:rsidR="00C96842">
        <w:t>szczególności oceny biegłych, która z definicji wymaga specjalnej</w:t>
      </w:r>
      <w:r w:rsidR="001436F5">
        <w:t xml:space="preserve"> </w:t>
      </w:r>
      <w:r w:rsidR="00C96842">
        <w:t>i</w:t>
      </w:r>
      <w:r w:rsidR="006038BE">
        <w:t> </w:t>
      </w:r>
      <w:r w:rsidR="00C96842">
        <w:t>dogłębnej znajomości tematu (</w:t>
      </w:r>
      <w:proofErr w:type="spellStart"/>
      <w:r w:rsidR="00C96842">
        <w:rPr>
          <w:i/>
          <w:iCs/>
        </w:rPr>
        <w:t>Počkajevs</w:t>
      </w:r>
      <w:proofErr w:type="spellEnd"/>
      <w:r w:rsidR="00C96842">
        <w:rPr>
          <w:i/>
          <w:iCs/>
        </w:rPr>
        <w:t xml:space="preserve"> przeciwko Łotwie</w:t>
      </w:r>
      <w:r w:rsidR="00C96842">
        <w:t xml:space="preserve"> (</w:t>
      </w:r>
      <w:proofErr w:type="spellStart"/>
      <w:r w:rsidR="00C96842">
        <w:t>dec</w:t>
      </w:r>
      <w:proofErr w:type="spellEnd"/>
      <w:r w:rsidR="00C96842">
        <w:t>.),</w:t>
      </w:r>
      <w:r w:rsidR="001436F5">
        <w:t xml:space="preserve"> </w:t>
      </w:r>
      <w:r w:rsidR="00C96842">
        <w:t>nr</w:t>
      </w:r>
      <w:r w:rsidR="006038BE">
        <w:t> </w:t>
      </w:r>
      <w:r w:rsidR="00C96842">
        <w:t xml:space="preserve">76774/01, 21 października 2004 r.). </w:t>
      </w:r>
      <w:r w:rsidR="007C3CB5">
        <w:t>Z powyższego w</w:t>
      </w:r>
      <w:r w:rsidR="00C96842">
        <w:t>ynika,</w:t>
      </w:r>
      <w:r w:rsidR="001436F5">
        <w:t xml:space="preserve"> </w:t>
      </w:r>
      <w:r w:rsidR="00C96842">
        <w:t>że</w:t>
      </w:r>
      <w:r w:rsidR="006038BE">
        <w:t> </w:t>
      </w:r>
      <w:r w:rsidR="00C96842">
        <w:t xml:space="preserve">okoliczności, które doprowadziły do śmierci </w:t>
      </w:r>
      <w:r w:rsidR="007C3CB5">
        <w:t xml:space="preserve">bliskiej </w:t>
      </w:r>
      <w:r w:rsidR="00C96842">
        <w:t>osoby skarżących</w:t>
      </w:r>
      <w:r w:rsidR="00763FBA">
        <w:t>,</w:t>
      </w:r>
      <w:r w:rsidR="00C96842">
        <w:t xml:space="preserve"> oraz odpowiedzialność przypisywana pracownikom służby zdrowia, którzy się </w:t>
      </w:r>
      <w:r w:rsidR="007C3CB5">
        <w:t xml:space="preserve">nią </w:t>
      </w:r>
      <w:r w:rsidR="00C96842">
        <w:t>opiekowali, należy zbadać pod kątem ustalenia, czy istniejące mechanizmy pozwala</w:t>
      </w:r>
      <w:r w:rsidR="00215E2E">
        <w:t>ły</w:t>
      </w:r>
      <w:r w:rsidR="00C96842">
        <w:t xml:space="preserve"> wyjaśnić przebieg zdarzeń.</w:t>
      </w:r>
    </w:p>
    <w:p w14:paraId="024BEE00" w14:textId="645D465D" w:rsidR="00C96842" w:rsidRPr="00BC16EE" w:rsidRDefault="007A3B0E" w:rsidP="00BC16EE">
      <w:pPr>
        <w:pStyle w:val="ECHRPara"/>
      </w:pPr>
      <w:r>
        <w:rPr>
          <w:noProof/>
        </w:rPr>
        <w:t>47</w:t>
      </w:r>
      <w:r w:rsidR="00C96842">
        <w:t>.</w:t>
      </w:r>
      <w:r w:rsidR="00A418CB">
        <w:t xml:space="preserve"> </w:t>
      </w:r>
      <w:r w:rsidR="00C96842">
        <w:t xml:space="preserve">W niniejszej sprawie </w:t>
      </w:r>
      <w:r w:rsidR="00ED3AB9">
        <w:t xml:space="preserve">skarżące </w:t>
      </w:r>
      <w:r w:rsidR="00C96842">
        <w:t xml:space="preserve">nie twierdzą, że ich </w:t>
      </w:r>
      <w:r w:rsidR="00ED3AB9">
        <w:t xml:space="preserve">bliska </w:t>
      </w:r>
      <w:r w:rsidR="00C96842">
        <w:t xml:space="preserve">osoba została </w:t>
      </w:r>
      <w:r w:rsidR="00560492">
        <w:t xml:space="preserve">ogólnie </w:t>
      </w:r>
      <w:r w:rsidR="00C96842">
        <w:t>pozbawiona dostępu do leczenia lub w szczególności do</w:t>
      </w:r>
      <w:r w:rsidR="006038BE">
        <w:t> </w:t>
      </w:r>
      <w:r w:rsidR="00C96842">
        <w:t>opieki medycznej w nagłych wypadkach – a z akt sprawy nie wynika, że</w:t>
      </w:r>
      <w:r w:rsidR="006038BE">
        <w:t> </w:t>
      </w:r>
      <w:r w:rsidR="00C96842">
        <w:t>mogło to</w:t>
      </w:r>
      <w:r w:rsidR="007803F9">
        <w:t> </w:t>
      </w:r>
      <w:r w:rsidR="00C96842">
        <w:t>mieć miejsce – lecz że poddano ją nieprawidłowemu leczeniu z</w:t>
      </w:r>
      <w:r w:rsidR="006038BE">
        <w:t> </w:t>
      </w:r>
      <w:r w:rsidR="00C96842">
        <w:t xml:space="preserve">powodu zaniedbań lekarzy, którzy się </w:t>
      </w:r>
      <w:r w:rsidR="00ED3AB9">
        <w:t xml:space="preserve">nią </w:t>
      </w:r>
      <w:r w:rsidR="00C96842">
        <w:t>zajmowali.</w:t>
      </w:r>
    </w:p>
    <w:p w14:paraId="35F63863" w14:textId="0FB722E3" w:rsidR="00C96842" w:rsidRPr="00BC16EE" w:rsidRDefault="007A3B0E" w:rsidP="00BC16EE">
      <w:pPr>
        <w:pStyle w:val="ECHRPara"/>
        <w:rPr>
          <w:snapToGrid w:val="0"/>
        </w:rPr>
      </w:pPr>
      <w:r>
        <w:rPr>
          <w:noProof/>
        </w:rPr>
        <w:t>48</w:t>
      </w:r>
      <w:r w:rsidR="00C96842">
        <w:t>.</w:t>
      </w:r>
      <w:r w:rsidR="00A418CB">
        <w:t xml:space="preserve"> </w:t>
      </w:r>
      <w:r w:rsidR="00C96842">
        <w:t xml:space="preserve">Ponadto Trybunał </w:t>
      </w:r>
      <w:r w:rsidR="00912D3D">
        <w:t>uznaje</w:t>
      </w:r>
      <w:r w:rsidR="00C96842">
        <w:t xml:space="preserve">, że w niniejszej sprawie nie istniały wystarczające dowody wskazujące na to, że w momencie zaistnienia okoliczności faktycznych sprawy </w:t>
      </w:r>
      <w:r w:rsidR="00560492">
        <w:t xml:space="preserve">występowała </w:t>
      </w:r>
      <w:r w:rsidR="00C96842">
        <w:t xml:space="preserve">jakakolwiek wada systemowa lub strukturalna dotycząca szpitali, w których leczono </w:t>
      </w:r>
      <w:r w:rsidR="00912D3D">
        <w:t xml:space="preserve">bliską </w:t>
      </w:r>
      <w:r w:rsidR="00C96842">
        <w:t xml:space="preserve">osobę skarżących, o której </w:t>
      </w:r>
      <w:r w:rsidR="00560492">
        <w:t xml:space="preserve">to wadzie </w:t>
      </w:r>
      <w:r w:rsidR="00C96842">
        <w:t xml:space="preserve">władze </w:t>
      </w:r>
      <w:r w:rsidR="00D22005">
        <w:t xml:space="preserve">wiedziały </w:t>
      </w:r>
      <w:r w:rsidR="00C96842">
        <w:t xml:space="preserve">lub powinny były wiedzieć </w:t>
      </w:r>
      <w:r w:rsidR="00C96842">
        <w:lastRenderedPageBreak/>
        <w:t>i w odniesieniu do której nie podjęły one niezbędnych środków zapobiegawczych oraz że wada ta w decydujący sposób przyczyniła się do</w:t>
      </w:r>
      <w:r w:rsidR="006038BE">
        <w:t> </w:t>
      </w:r>
      <w:r w:rsidR="00C96842">
        <w:t xml:space="preserve">śmierci </w:t>
      </w:r>
      <w:r w:rsidR="00560492">
        <w:t xml:space="preserve">bliskiej </w:t>
      </w:r>
      <w:r w:rsidR="00C96842">
        <w:t xml:space="preserve">osoby skarżących (por. </w:t>
      </w:r>
      <w:proofErr w:type="spellStart"/>
      <w:r w:rsidR="00C96842" w:rsidRPr="001408A9">
        <w:rPr>
          <w:i/>
          <w:iCs/>
        </w:rPr>
        <w:t>Asiye</w:t>
      </w:r>
      <w:proofErr w:type="spellEnd"/>
      <w:r w:rsidR="00C96842" w:rsidRPr="001408A9">
        <w:rPr>
          <w:i/>
          <w:iCs/>
        </w:rPr>
        <w:t xml:space="preserve"> </w:t>
      </w:r>
      <w:proofErr w:type="spellStart"/>
      <w:r w:rsidR="00C96842" w:rsidRPr="001408A9">
        <w:rPr>
          <w:i/>
          <w:iCs/>
        </w:rPr>
        <w:t>Genç</w:t>
      </w:r>
      <w:proofErr w:type="spellEnd"/>
      <w:r w:rsidR="00C96842">
        <w:t xml:space="preserve">, </w:t>
      </w:r>
      <w:r w:rsidR="00C96842" w:rsidRPr="000A5AFF">
        <w:t>op. cit</w:t>
      </w:r>
      <w:r w:rsidR="00C96842">
        <w:rPr>
          <w:i/>
          <w:iCs/>
        </w:rPr>
        <w:t>.</w:t>
      </w:r>
      <w:r w:rsidR="00C96842">
        <w:t xml:space="preserve">, § 80 oraz </w:t>
      </w:r>
      <w:proofErr w:type="spellStart"/>
      <w:r w:rsidR="00C96842">
        <w:rPr>
          <w:i/>
          <w:iCs/>
        </w:rPr>
        <w:t>Aydoğdu</w:t>
      </w:r>
      <w:proofErr w:type="spellEnd"/>
      <w:r w:rsidR="00C96842">
        <w:rPr>
          <w:i/>
          <w:iCs/>
        </w:rPr>
        <w:t xml:space="preserve"> przeciwko Turcji</w:t>
      </w:r>
      <w:r w:rsidR="00C96842">
        <w:t>, nr 40448/06,</w:t>
      </w:r>
      <w:r w:rsidR="00C96842">
        <w:rPr>
          <w:snapToGrid w:val="0"/>
        </w:rPr>
        <w:t xml:space="preserve"> § 87, 30</w:t>
      </w:r>
      <w:r w:rsidR="00C96842">
        <w:t xml:space="preserve"> sierpnia </w:t>
      </w:r>
      <w:r w:rsidR="00C96842">
        <w:rPr>
          <w:snapToGrid w:val="0"/>
        </w:rPr>
        <w:t>2016 r.)</w:t>
      </w:r>
      <w:r w:rsidR="00C96842">
        <w:t>.</w:t>
      </w:r>
    </w:p>
    <w:p w14:paraId="41DE0542" w14:textId="4EBD130A" w:rsidR="00C96842" w:rsidRPr="00BC16EE" w:rsidRDefault="007A3B0E" w:rsidP="00BC16EE">
      <w:pPr>
        <w:pStyle w:val="ECHRPara"/>
      </w:pPr>
      <w:r>
        <w:rPr>
          <w:noProof/>
          <w:snapToGrid w:val="0"/>
        </w:rPr>
        <w:t>49</w:t>
      </w:r>
      <w:r w:rsidR="00C96842">
        <w:rPr>
          <w:snapToGrid w:val="0"/>
        </w:rPr>
        <w:t>.</w:t>
      </w:r>
      <w:r w:rsidR="00A418CB">
        <w:rPr>
          <w:snapToGrid w:val="0"/>
        </w:rPr>
        <w:t xml:space="preserve"> </w:t>
      </w:r>
      <w:r w:rsidR="00C96842">
        <w:t xml:space="preserve">Nie wykazano również, by wina przypisywana pracownikom służby zdrowia wykraczała poza zwykły błąd lekarski </w:t>
      </w:r>
      <w:r w:rsidR="00C96842" w:rsidRPr="00C03B8E">
        <w:t>lub zaniedbanie</w:t>
      </w:r>
      <w:r w:rsidR="00C96842">
        <w:t xml:space="preserve"> lub</w:t>
      </w:r>
      <w:r w:rsidR="006038BE">
        <w:t> </w:t>
      </w:r>
      <w:r w:rsidR="000A1615">
        <w:t>że</w:t>
      </w:r>
      <w:r w:rsidR="006038BE">
        <w:t> </w:t>
      </w:r>
      <w:r w:rsidR="00C96842">
        <w:t>osoby, które sprawowały opiekę nad osobą bliską skarżących</w:t>
      </w:r>
      <w:r w:rsidR="00B659AD">
        <w:t>,</w:t>
      </w:r>
      <w:r w:rsidR="001436F5">
        <w:t xml:space="preserve"> </w:t>
      </w:r>
      <w:r w:rsidR="00C96842">
        <w:t>nie</w:t>
      </w:r>
      <w:r w:rsidR="006038BE">
        <w:t> </w:t>
      </w:r>
      <w:r w:rsidR="00C96842">
        <w:t xml:space="preserve">zapewniły jej opieki medycznej w nagłych </w:t>
      </w:r>
      <w:r w:rsidR="007675D3">
        <w:t>przypadkach</w:t>
      </w:r>
      <w:r w:rsidR="00C96842">
        <w:t>, z naruszeniem swoich obowiązków zawodowych, mimo że doskonale zdawały sobie sprawę, że</w:t>
      </w:r>
      <w:r w:rsidR="007803F9">
        <w:t> </w:t>
      </w:r>
      <w:r w:rsidR="00C96842">
        <w:t xml:space="preserve">brak opieki </w:t>
      </w:r>
      <w:r w:rsidR="00B6167F">
        <w:t xml:space="preserve">stanowiłby </w:t>
      </w:r>
      <w:r w:rsidR="00C96842">
        <w:t>zagrożenie dla życia tej osoby.</w:t>
      </w:r>
    </w:p>
    <w:p w14:paraId="7D7C96E8" w14:textId="2F7290DD" w:rsidR="00C96842" w:rsidRPr="00BC16EE" w:rsidRDefault="007A3B0E" w:rsidP="00BC16EE">
      <w:pPr>
        <w:pStyle w:val="ECHRPara"/>
      </w:pPr>
      <w:r>
        <w:rPr>
          <w:noProof/>
        </w:rPr>
        <w:t>50</w:t>
      </w:r>
      <w:r w:rsidR="00C96842">
        <w:t>.</w:t>
      </w:r>
      <w:r w:rsidR="00A418CB">
        <w:t xml:space="preserve"> </w:t>
      </w:r>
      <w:r w:rsidR="00C96842">
        <w:t xml:space="preserve">W świetle powyższego Trybunał uważa, że niniejsza sprawa dotyczy zarzutów związanych z zaniedbaniem medycznym. W tych okolicznościach </w:t>
      </w:r>
      <w:r w:rsidR="000A1615">
        <w:t xml:space="preserve">materialne </w:t>
      </w:r>
      <w:r w:rsidR="00C96842">
        <w:t>pozytywne obowiązki spoczywające na Turcji ograniczają się do</w:t>
      </w:r>
      <w:r w:rsidR="006038BE">
        <w:t> </w:t>
      </w:r>
      <w:r w:rsidR="00C96842">
        <w:t>ustanowienia odpowiednich ram regulacyjnych wymagających od</w:t>
      </w:r>
      <w:r w:rsidR="006038BE">
        <w:t> </w:t>
      </w:r>
      <w:r w:rsidR="000A1615">
        <w:t xml:space="preserve">szpitali, </w:t>
      </w:r>
      <w:r w:rsidR="00C96842">
        <w:t>prywatnych lub publicznych</w:t>
      </w:r>
      <w:r w:rsidR="000A1615">
        <w:t xml:space="preserve">, </w:t>
      </w:r>
      <w:r w:rsidR="00C96842">
        <w:t>przyjęcia odpowiednich środków ochrony życia pacjentów (</w:t>
      </w:r>
      <w:proofErr w:type="spellStart"/>
      <w:r w:rsidR="00C96842">
        <w:rPr>
          <w:i/>
          <w:iCs/>
        </w:rPr>
        <w:t>Lopes</w:t>
      </w:r>
      <w:proofErr w:type="spellEnd"/>
      <w:r w:rsidR="00C96842">
        <w:rPr>
          <w:i/>
          <w:iCs/>
        </w:rPr>
        <w:t xml:space="preserve"> de </w:t>
      </w:r>
      <w:proofErr w:type="spellStart"/>
      <w:r w:rsidR="00C96842">
        <w:rPr>
          <w:i/>
          <w:iCs/>
        </w:rPr>
        <w:t>Sousa</w:t>
      </w:r>
      <w:proofErr w:type="spellEnd"/>
      <w:r w:rsidR="00C96842">
        <w:rPr>
          <w:i/>
          <w:iCs/>
        </w:rPr>
        <w:t xml:space="preserve"> </w:t>
      </w:r>
      <w:proofErr w:type="spellStart"/>
      <w:r w:rsidR="00C96842">
        <w:rPr>
          <w:i/>
          <w:iCs/>
        </w:rPr>
        <w:t>Fernandes</w:t>
      </w:r>
      <w:proofErr w:type="spellEnd"/>
      <w:r w:rsidR="00C96842">
        <w:t xml:space="preserve">, </w:t>
      </w:r>
      <w:r w:rsidR="00C96842" w:rsidRPr="000A5AFF">
        <w:t>op. cit.</w:t>
      </w:r>
      <w:r w:rsidR="00C96842">
        <w:t>, §§ 186 i</w:t>
      </w:r>
      <w:r w:rsidR="006038BE">
        <w:t> </w:t>
      </w:r>
      <w:r w:rsidR="00C96842">
        <w:t>189).</w:t>
      </w:r>
    </w:p>
    <w:p w14:paraId="2FB62BA2" w14:textId="11427789" w:rsidR="00C96842" w:rsidRPr="00BC16EE" w:rsidRDefault="007A3B0E" w:rsidP="00BC16EE">
      <w:pPr>
        <w:pStyle w:val="ECHRPara"/>
      </w:pPr>
      <w:r>
        <w:rPr>
          <w:noProof/>
        </w:rPr>
        <w:t>51</w:t>
      </w:r>
      <w:r w:rsidR="00C96842">
        <w:t>.</w:t>
      </w:r>
      <w:r w:rsidR="00A418CB">
        <w:t xml:space="preserve"> </w:t>
      </w:r>
      <w:r w:rsidR="00C96842">
        <w:t>Trybunał uważa, że obowiązujące ramy prawne nie wskazują na</w:t>
      </w:r>
      <w:r w:rsidR="006038BE">
        <w:t> </w:t>
      </w:r>
      <w:r w:rsidR="00C96842">
        <w:t xml:space="preserve">żadne uchybienie ze strony </w:t>
      </w:r>
      <w:r w:rsidR="0004683A">
        <w:t>P</w:t>
      </w:r>
      <w:r w:rsidR="00C96842">
        <w:t xml:space="preserve">aństwa w zakresie obowiązku ochrony prawa do życia </w:t>
      </w:r>
      <w:r w:rsidR="0004683A">
        <w:t xml:space="preserve">osoby </w:t>
      </w:r>
      <w:r w:rsidR="00AC5C34">
        <w:t xml:space="preserve">bliskiej </w:t>
      </w:r>
      <w:r w:rsidR="00C96842">
        <w:t xml:space="preserve">skarżących. Nie </w:t>
      </w:r>
      <w:r w:rsidR="00AC5C34">
        <w:t xml:space="preserve">zgłaszają </w:t>
      </w:r>
      <w:r w:rsidR="00C96842">
        <w:t>one</w:t>
      </w:r>
      <w:r w:rsidR="00DA1B25">
        <w:t xml:space="preserve"> </w:t>
      </w:r>
      <w:r w:rsidR="00C96842">
        <w:t xml:space="preserve">tego rodzaju </w:t>
      </w:r>
      <w:r w:rsidR="0004683A">
        <w:t>naruszenia</w:t>
      </w:r>
      <w:r w:rsidR="00C96842">
        <w:t>.</w:t>
      </w:r>
    </w:p>
    <w:p w14:paraId="7AB4A84F" w14:textId="3DF07B6A" w:rsidR="00C96842" w:rsidRPr="00BC16EE" w:rsidRDefault="007A3B0E" w:rsidP="00BC16EE">
      <w:pPr>
        <w:pStyle w:val="ECHRPara"/>
      </w:pPr>
      <w:r>
        <w:rPr>
          <w:noProof/>
        </w:rPr>
        <w:t>52</w:t>
      </w:r>
      <w:r w:rsidR="00C96842">
        <w:t>.</w:t>
      </w:r>
      <w:r w:rsidR="00A418CB">
        <w:t xml:space="preserve"> </w:t>
      </w:r>
      <w:r w:rsidR="00C96842">
        <w:t xml:space="preserve">Tym samym Trybunał </w:t>
      </w:r>
      <w:r w:rsidR="0039451B">
        <w:t>stwierdza</w:t>
      </w:r>
      <w:r w:rsidR="00C96842">
        <w:t xml:space="preserve">, że </w:t>
      </w:r>
      <w:r w:rsidR="0039451B">
        <w:t xml:space="preserve">nie </w:t>
      </w:r>
      <w:r w:rsidR="00C96842">
        <w:t>doszło do naruszenia art. 2 Konwencji w jego aspekcie materialnym.</w:t>
      </w:r>
    </w:p>
    <w:p w14:paraId="7FA9E352" w14:textId="09F23D99" w:rsidR="00C96842" w:rsidRPr="00BC16EE" w:rsidRDefault="007A3B0E" w:rsidP="00BC16EE">
      <w:pPr>
        <w:pStyle w:val="ECHRPara"/>
        <w:rPr>
          <w:rFonts w:eastAsia="Times New Roman"/>
          <w:szCs w:val="24"/>
        </w:rPr>
      </w:pPr>
      <w:r>
        <w:rPr>
          <w:noProof/>
        </w:rPr>
        <w:t>53</w:t>
      </w:r>
      <w:r w:rsidR="00C96842">
        <w:t>.</w:t>
      </w:r>
      <w:r w:rsidR="00A418CB">
        <w:t xml:space="preserve"> </w:t>
      </w:r>
      <w:r w:rsidR="00C96842">
        <w:t>Ponieważ niniejsza sprawa dotyczy zarzutów związanych</w:t>
      </w:r>
      <w:r w:rsidR="001436F5">
        <w:t xml:space="preserve"> </w:t>
      </w:r>
      <w:r w:rsidR="00C96842">
        <w:t>z</w:t>
      </w:r>
      <w:r w:rsidR="006038BE">
        <w:t> </w:t>
      </w:r>
      <w:r w:rsidR="00C96842">
        <w:t xml:space="preserve">zaniedbaniem medycznym, do zadań Trybunału należeć będzie również kontrola skuteczności środków zaradczych, którymi </w:t>
      </w:r>
      <w:r w:rsidR="00B25F49">
        <w:t>dysponowały skarżące</w:t>
      </w:r>
      <w:r w:rsidR="00C96842">
        <w:t>, a tym samym ustalenie, czy system sądowy zapewnił właściwe wdrożenie ram legislacyjnych i regulacyjnych mających na celu ochronę prawa do</w:t>
      </w:r>
      <w:r w:rsidR="006038BE">
        <w:t> </w:t>
      </w:r>
      <w:r w:rsidR="00C96842">
        <w:t xml:space="preserve">życia pacjentów; </w:t>
      </w:r>
      <w:r w:rsidR="00B25F49">
        <w:t xml:space="preserve">wiąże się </w:t>
      </w:r>
      <w:r w:rsidR="00C96842">
        <w:t xml:space="preserve">to </w:t>
      </w:r>
      <w:r w:rsidR="00B25F49">
        <w:t>z ustaleniem</w:t>
      </w:r>
      <w:r w:rsidR="00C96842">
        <w:t>, czy wszczęte p</w:t>
      </w:r>
      <w:r w:rsidR="0005221A">
        <w:t xml:space="preserve">rocedury </w:t>
      </w:r>
      <w:r w:rsidR="00C96842">
        <w:t>faktycznie pozwolił</w:t>
      </w:r>
      <w:r w:rsidR="0005221A">
        <w:t>y</w:t>
      </w:r>
      <w:r w:rsidR="00C96842">
        <w:t xml:space="preserve"> na zbadanie zarzutów skarżących oraz na ukaranie personelu medycznego w związku ze stwierdzeniem ewentualnego naruszenia norm.</w:t>
      </w:r>
    </w:p>
    <w:p w14:paraId="3382AE1C" w14:textId="2D31B9E0" w:rsidR="00C96842" w:rsidRPr="00BC16EE" w:rsidRDefault="007A3B0E" w:rsidP="00BC16EE">
      <w:pPr>
        <w:pStyle w:val="ECHRPara"/>
      </w:pPr>
      <w:r>
        <w:rPr>
          <w:noProof/>
        </w:rPr>
        <w:t>54</w:t>
      </w:r>
      <w:r w:rsidR="00C96842">
        <w:t>.</w:t>
      </w:r>
      <w:r w:rsidR="00A418CB">
        <w:t xml:space="preserve"> </w:t>
      </w:r>
      <w:r w:rsidR="00C96842">
        <w:t xml:space="preserve">Trybunał </w:t>
      </w:r>
      <w:r w:rsidR="00B25F49">
        <w:t>zauważa</w:t>
      </w:r>
      <w:r w:rsidR="00C96842">
        <w:t>, że w celu dochodzenia swoich praw skarżące wszczęły dwa postępowania – karne i cywilne. Pierwsze z nich zakończyło się uniewinnieniem oskarżonych po ponad dziewięciu latach</w:t>
      </w:r>
      <w:r w:rsidR="0005221A">
        <w:t xml:space="preserve"> postępowania</w:t>
      </w:r>
      <w:r w:rsidR="00C96842">
        <w:t>. Co się tyczy drugiego postępowania, to od 2004 r. toczy się ono przed sądami krajowymi.</w:t>
      </w:r>
    </w:p>
    <w:p w14:paraId="375E429C" w14:textId="004976B3" w:rsidR="00C96842" w:rsidRPr="00BC16EE" w:rsidRDefault="007A3B0E" w:rsidP="00BC16EE">
      <w:pPr>
        <w:pStyle w:val="ECHRPara"/>
      </w:pPr>
      <w:r>
        <w:rPr>
          <w:noProof/>
        </w:rPr>
        <w:t>55</w:t>
      </w:r>
      <w:r w:rsidR="00C96842">
        <w:t>.</w:t>
      </w:r>
      <w:r w:rsidR="00A418CB">
        <w:t xml:space="preserve"> </w:t>
      </w:r>
      <w:r w:rsidR="00C96842">
        <w:t>Jeśli chodzi o skuteczność postępowania karnego, prawdą jest,</w:t>
      </w:r>
      <w:r w:rsidR="001436F5">
        <w:t xml:space="preserve"> </w:t>
      </w:r>
      <w:r w:rsidR="00C96842">
        <w:t>że</w:t>
      </w:r>
      <w:r w:rsidR="006038BE">
        <w:t> </w:t>
      </w:r>
      <w:r w:rsidR="00C96842">
        <w:t xml:space="preserve">skarżące nie twierdzą, że śmierć </w:t>
      </w:r>
      <w:proofErr w:type="spellStart"/>
      <w:r w:rsidR="00C96842">
        <w:t>Nayima</w:t>
      </w:r>
      <w:proofErr w:type="spellEnd"/>
      <w:r w:rsidR="00C96842">
        <w:t xml:space="preserve"> </w:t>
      </w:r>
      <w:proofErr w:type="spellStart"/>
      <w:r w:rsidR="00C96842">
        <w:t>Yirdema</w:t>
      </w:r>
      <w:proofErr w:type="spellEnd"/>
      <w:r w:rsidR="00C96842">
        <w:t xml:space="preserve"> została spowodowana umyślnie. Z tego względu d</w:t>
      </w:r>
      <w:r w:rsidR="00226BC3">
        <w:t>la</w:t>
      </w:r>
      <w:r w:rsidR="00C96842">
        <w:t xml:space="preserve"> celów </w:t>
      </w:r>
      <w:r w:rsidR="009E1271">
        <w:t xml:space="preserve">określonych w </w:t>
      </w:r>
      <w:r w:rsidR="00C96842">
        <w:t>art. 2 Konwencji nie</w:t>
      </w:r>
      <w:r w:rsidR="006038BE">
        <w:t> </w:t>
      </w:r>
      <w:r w:rsidR="009E1271">
        <w:t>istniała konieczność</w:t>
      </w:r>
      <w:r w:rsidR="004A00E5">
        <w:t>,</w:t>
      </w:r>
      <w:r w:rsidR="009E1271">
        <w:t xml:space="preserve"> </w:t>
      </w:r>
      <w:r w:rsidR="00226BC3">
        <w:t xml:space="preserve">aby </w:t>
      </w:r>
      <w:r w:rsidR="007649B4">
        <w:t xml:space="preserve">był dostępny </w:t>
      </w:r>
      <w:r w:rsidR="00226BC3">
        <w:t xml:space="preserve">środek </w:t>
      </w:r>
      <w:r w:rsidR="009E1271">
        <w:t>odwoławcz</w:t>
      </w:r>
      <w:r w:rsidR="00226BC3">
        <w:t xml:space="preserve">y </w:t>
      </w:r>
      <w:r w:rsidR="00215E2E">
        <w:t xml:space="preserve">o charakterze </w:t>
      </w:r>
      <w:r w:rsidR="00C96842">
        <w:t>karny</w:t>
      </w:r>
      <w:r w:rsidR="00215E2E">
        <w:t>m</w:t>
      </w:r>
      <w:r w:rsidR="00C96842">
        <w:t xml:space="preserve"> (</w:t>
      </w:r>
      <w:proofErr w:type="spellStart"/>
      <w:r w:rsidR="00C96842">
        <w:rPr>
          <w:i/>
          <w:iCs/>
        </w:rPr>
        <w:t>Lopes</w:t>
      </w:r>
      <w:proofErr w:type="spellEnd"/>
      <w:r w:rsidR="00C96842">
        <w:rPr>
          <w:i/>
          <w:iCs/>
        </w:rPr>
        <w:t xml:space="preserve"> de </w:t>
      </w:r>
      <w:proofErr w:type="spellStart"/>
      <w:r w:rsidR="00C96842">
        <w:rPr>
          <w:i/>
          <w:iCs/>
        </w:rPr>
        <w:t>Sousa</w:t>
      </w:r>
      <w:proofErr w:type="spellEnd"/>
      <w:r w:rsidR="00C96842">
        <w:rPr>
          <w:i/>
          <w:iCs/>
        </w:rPr>
        <w:t xml:space="preserve"> </w:t>
      </w:r>
      <w:proofErr w:type="spellStart"/>
      <w:r w:rsidR="00C96842">
        <w:rPr>
          <w:i/>
          <w:iCs/>
        </w:rPr>
        <w:t>Fernandes</w:t>
      </w:r>
      <w:proofErr w:type="spellEnd"/>
      <w:r w:rsidR="00C96842">
        <w:rPr>
          <w:i/>
          <w:iCs/>
        </w:rPr>
        <w:t xml:space="preserve">, </w:t>
      </w:r>
      <w:r w:rsidR="00C96842" w:rsidRPr="000A5AFF">
        <w:t>op. cit</w:t>
      </w:r>
      <w:r w:rsidR="00C96842">
        <w:t>., § 232). Niemniej jednak po</w:t>
      </w:r>
      <w:r w:rsidR="006038BE">
        <w:t> </w:t>
      </w:r>
      <w:r w:rsidR="00C96842">
        <w:t xml:space="preserve">złożeniu przez </w:t>
      </w:r>
      <w:r w:rsidR="009E1271">
        <w:t xml:space="preserve">skarżącą </w:t>
      </w:r>
      <w:proofErr w:type="spellStart"/>
      <w:r w:rsidR="00C96842">
        <w:t>Münüre</w:t>
      </w:r>
      <w:proofErr w:type="spellEnd"/>
      <w:r w:rsidR="00C96842">
        <w:t xml:space="preserve"> </w:t>
      </w:r>
      <w:proofErr w:type="spellStart"/>
      <w:r w:rsidR="009E1271">
        <w:t>Yirdemę</w:t>
      </w:r>
      <w:proofErr w:type="spellEnd"/>
      <w:r w:rsidR="009E1271">
        <w:t xml:space="preserve"> </w:t>
      </w:r>
      <w:r w:rsidR="00C96842">
        <w:t>skargi na nieprawidłowości</w:t>
      </w:r>
      <w:r w:rsidR="001436F5">
        <w:t xml:space="preserve"> </w:t>
      </w:r>
      <w:r w:rsidR="00C96842">
        <w:t>w</w:t>
      </w:r>
      <w:r w:rsidR="006038BE">
        <w:t> </w:t>
      </w:r>
      <w:r w:rsidR="00C96842">
        <w:t>funkcjonowaniu służby szpitalnej (par. 11 powyżej)</w:t>
      </w:r>
      <w:r w:rsidR="009E1271">
        <w:t>,</w:t>
      </w:r>
      <w:r w:rsidR="00C96842">
        <w:t xml:space="preserve"> przeprowadzono </w:t>
      </w:r>
      <w:r w:rsidR="009E1271">
        <w:t xml:space="preserve">sekcję </w:t>
      </w:r>
      <w:r w:rsidR="00C96842">
        <w:t>zwłok, której wyniki (par.</w:t>
      </w:r>
      <w:r w:rsidR="004A00E5">
        <w:t xml:space="preserve"> </w:t>
      </w:r>
      <w:r w:rsidR="00C96842">
        <w:t>12 powyżej)</w:t>
      </w:r>
      <w:r w:rsidR="00EF4AD5">
        <w:t>,</w:t>
      </w:r>
      <w:r w:rsidR="00C96842">
        <w:t xml:space="preserve"> zdaniem prokuratora</w:t>
      </w:r>
      <w:r w:rsidR="00EF4AD5">
        <w:t>,</w:t>
      </w:r>
      <w:r w:rsidR="00C96842">
        <w:t xml:space="preserve"> wzbudziły podejrzenie wymagające przeprowadzenia dogłębnego postępowania przygotowawczego. Trybunał przypomina, że </w:t>
      </w:r>
      <w:r w:rsidR="003D1C00">
        <w:t>stwierdzenie</w:t>
      </w:r>
      <w:r w:rsidR="00C96842">
        <w:t xml:space="preserve"> </w:t>
      </w:r>
      <w:r w:rsidR="00C96842">
        <w:lastRenderedPageBreak/>
        <w:t xml:space="preserve">skuteczności </w:t>
      </w:r>
      <w:r w:rsidR="00226BC3">
        <w:t xml:space="preserve">dostępnego </w:t>
      </w:r>
      <w:r w:rsidR="00C96842">
        <w:t xml:space="preserve">środka </w:t>
      </w:r>
      <w:r w:rsidR="00CB2359">
        <w:t>odwoławczego</w:t>
      </w:r>
      <w:r w:rsidR="00A45E9D">
        <w:t xml:space="preserve"> w sprawach karnych</w:t>
      </w:r>
      <w:r w:rsidR="00C96842">
        <w:t xml:space="preserve"> wystarczyłoby</w:t>
      </w:r>
      <w:r w:rsidR="00E16EDA">
        <w:t xml:space="preserve"> </w:t>
      </w:r>
      <w:r w:rsidR="00C96842">
        <w:t>do spełnienia obowiązku proceduralnego wynikającego z</w:t>
      </w:r>
      <w:r w:rsidR="006038BE">
        <w:t> </w:t>
      </w:r>
      <w:r w:rsidR="00C96842">
        <w:t>tego postanowienia (</w:t>
      </w:r>
      <w:proofErr w:type="spellStart"/>
      <w:r w:rsidR="00C96842">
        <w:rPr>
          <w:i/>
        </w:rPr>
        <w:t>Šilih</w:t>
      </w:r>
      <w:proofErr w:type="spellEnd"/>
      <w:r w:rsidR="00C96842">
        <w:t xml:space="preserve">, </w:t>
      </w:r>
      <w:r w:rsidR="00C96842" w:rsidRPr="000A5AFF">
        <w:t>op. cit</w:t>
      </w:r>
      <w:r w:rsidR="00C96842">
        <w:rPr>
          <w:i/>
          <w:iCs/>
        </w:rPr>
        <w:t>.</w:t>
      </w:r>
      <w:r w:rsidR="00C96842">
        <w:t>, §</w:t>
      </w:r>
      <w:r w:rsidR="00A418CB">
        <w:t xml:space="preserve"> </w:t>
      </w:r>
      <w:r w:rsidR="00C96842">
        <w:t>202).</w:t>
      </w:r>
    </w:p>
    <w:p w14:paraId="362E3DBA" w14:textId="01A685CB" w:rsidR="00C96842" w:rsidRPr="00BC16EE" w:rsidRDefault="007A3B0E" w:rsidP="00BC16EE">
      <w:pPr>
        <w:pStyle w:val="ECHRPara"/>
      </w:pPr>
      <w:r>
        <w:rPr>
          <w:noProof/>
        </w:rPr>
        <w:t>56</w:t>
      </w:r>
      <w:r w:rsidR="00C96842">
        <w:t>.</w:t>
      </w:r>
      <w:r w:rsidR="00A418CB">
        <w:t xml:space="preserve"> </w:t>
      </w:r>
      <w:r w:rsidR="00C96842">
        <w:t xml:space="preserve">Wracając na grunt niniejszej sprawy, Trybunał </w:t>
      </w:r>
      <w:r w:rsidR="00796DAA">
        <w:t>zauważa</w:t>
      </w:r>
      <w:r w:rsidR="00C96842">
        <w:t>, że z opinii biegłych z zakresu medycyny s</w:t>
      </w:r>
      <w:r w:rsidR="00A827EF">
        <w:t>ą</w:t>
      </w:r>
      <w:r w:rsidR="00C96842">
        <w:t>dowej, których sporządzenie zlecono</w:t>
      </w:r>
      <w:r w:rsidR="001436F5">
        <w:t xml:space="preserve"> </w:t>
      </w:r>
      <w:r w:rsidR="00C96842">
        <w:t>w</w:t>
      </w:r>
      <w:r w:rsidR="006038BE">
        <w:t> </w:t>
      </w:r>
      <w:r w:rsidR="00C96842">
        <w:t>postępowaniu karnym</w:t>
      </w:r>
      <w:r w:rsidR="00A45E9D">
        <w:t>,</w:t>
      </w:r>
      <w:r w:rsidR="00C96842">
        <w:t xml:space="preserve"> wynika, że </w:t>
      </w:r>
      <w:r w:rsidR="00A610B5">
        <w:t xml:space="preserve">bliska </w:t>
      </w:r>
      <w:r w:rsidR="00C96842">
        <w:t>osoba skarżących zmarła wskutek zawału serca i udaru mózgu, a także zatrucia substancją zawierającą heptan i</w:t>
      </w:r>
      <w:r w:rsidR="007803F9">
        <w:t> </w:t>
      </w:r>
      <w:r w:rsidR="00C96842">
        <w:t>toluen, które przyczyniło się do martwicy ścian żołądka. Ustalono, że butla z tlenem używana w czasie sprawowania opieki nad pacjentem nie uległa awarii, że substancje toksyczne znajdujące się w</w:t>
      </w:r>
      <w:r w:rsidR="006038BE">
        <w:t> </w:t>
      </w:r>
      <w:r w:rsidR="00C96842">
        <w:t>ciele zmarłego nie</w:t>
      </w:r>
      <w:r w:rsidR="007803F9">
        <w:t> </w:t>
      </w:r>
      <w:r w:rsidR="00C96842">
        <w:t>pochodziły ze szpitala oraz że pacjent mógł zatruć się</w:t>
      </w:r>
      <w:r w:rsidR="006E4CF3">
        <w:t>,</w:t>
      </w:r>
      <w:r w:rsidR="00C96842">
        <w:t xml:space="preserve"> zanim </w:t>
      </w:r>
      <w:r w:rsidR="008F4F47">
        <w:t>został hospitalizowany</w:t>
      </w:r>
      <w:r w:rsidR="00C96842">
        <w:t xml:space="preserve">. Ogólnie rzecz biorąc, Trybunał nie dopatruje się żadnego uchybienia, które </w:t>
      </w:r>
      <w:r w:rsidR="001E0D27">
        <w:t>podważał</w:t>
      </w:r>
      <w:r w:rsidR="00575F14">
        <w:t>o</w:t>
      </w:r>
      <w:r w:rsidR="001E0D27">
        <w:t>by</w:t>
      </w:r>
      <w:r w:rsidR="00C96842">
        <w:t xml:space="preserve"> </w:t>
      </w:r>
      <w:r w:rsidR="00AC0639">
        <w:t xml:space="preserve">ogólną </w:t>
      </w:r>
      <w:r w:rsidR="00824E0F">
        <w:t>adekwatność</w:t>
      </w:r>
      <w:r w:rsidR="001E0D27">
        <w:t xml:space="preserve"> </w:t>
      </w:r>
      <w:r w:rsidR="00C96842">
        <w:t xml:space="preserve">przeprowadzonego przez organy krajowe postępowania przygotowawczego. </w:t>
      </w:r>
      <w:r w:rsidR="004D2CC8" w:rsidRPr="004D2CC8">
        <w:t xml:space="preserve">W szczególności </w:t>
      </w:r>
      <w:r w:rsidR="00D96206">
        <w:t xml:space="preserve">ewentualne </w:t>
      </w:r>
      <w:r w:rsidR="004D2CC8" w:rsidRPr="004D2CC8">
        <w:t xml:space="preserve">niewykonanie </w:t>
      </w:r>
      <w:r w:rsidR="00D96206">
        <w:t xml:space="preserve">przez biegłych </w:t>
      </w:r>
      <w:r w:rsidR="004D2CC8" w:rsidRPr="004D2CC8">
        <w:t>badania butli z</w:t>
      </w:r>
      <w:r w:rsidR="006038BE">
        <w:t> </w:t>
      </w:r>
      <w:r w:rsidR="004D2CC8" w:rsidRPr="004D2CC8">
        <w:t xml:space="preserve">tlenem nie zmienia </w:t>
      </w:r>
      <w:r w:rsidR="00105C08">
        <w:t xml:space="preserve">tego </w:t>
      </w:r>
      <w:r w:rsidR="00DF615D">
        <w:t>stanowiska</w:t>
      </w:r>
      <w:r w:rsidR="004D2CC8" w:rsidRPr="004D2CC8">
        <w:t xml:space="preserve">, </w:t>
      </w:r>
      <w:r w:rsidR="00105C08">
        <w:t xml:space="preserve">ponieważ </w:t>
      </w:r>
      <w:r w:rsidR="004D2CC8" w:rsidRPr="004D2CC8">
        <w:t>ustalono, że poziom tlenu we krwi pacjenta nie wykazywał nieprawidłowości i dlatego, zgodnie z</w:t>
      </w:r>
      <w:r w:rsidR="006038BE">
        <w:t> </w:t>
      </w:r>
      <w:r w:rsidR="004D2CC8" w:rsidRPr="004D2CC8">
        <w:t>dokumentacją medyczną osoby objętej postępowaniem, nie wystąpił problem z dotlenieniem organizmu.</w:t>
      </w:r>
      <w:r w:rsidR="000D2BB3">
        <w:t xml:space="preserve"> </w:t>
      </w:r>
      <w:r w:rsidR="00C96842">
        <w:t xml:space="preserve">Ponadto Trybunał </w:t>
      </w:r>
      <w:r w:rsidR="00F30BC7">
        <w:t>uznaje</w:t>
      </w:r>
      <w:r w:rsidR="00C96842">
        <w:t xml:space="preserve">, że skarżące miały dostęp do informacji uzyskanych w toku </w:t>
      </w:r>
      <w:r w:rsidR="007C4E7D">
        <w:t xml:space="preserve">dochodzenia </w:t>
      </w:r>
      <w:r w:rsidR="00C96842">
        <w:t>w stopniu wystarczającym, by umożliwić im skuteczny udział w postępowaniu.</w:t>
      </w:r>
    </w:p>
    <w:p w14:paraId="2702E75B" w14:textId="0FC9F032" w:rsidR="00C96842" w:rsidRPr="00BC16EE" w:rsidRDefault="007A3B0E" w:rsidP="00BC16EE">
      <w:pPr>
        <w:pStyle w:val="ECHRPara"/>
      </w:pPr>
      <w:r>
        <w:rPr>
          <w:noProof/>
        </w:rPr>
        <w:t>57</w:t>
      </w:r>
      <w:r w:rsidR="00C96842">
        <w:t>.</w:t>
      </w:r>
      <w:r w:rsidR="00A418CB">
        <w:t xml:space="preserve"> </w:t>
      </w:r>
      <w:r w:rsidR="00C96842">
        <w:t xml:space="preserve">Trybunał zauważa natomiast, że postępowanie karne nie było </w:t>
      </w:r>
      <w:r w:rsidR="007C4E7D">
        <w:t xml:space="preserve">przeprowadzone </w:t>
      </w:r>
      <w:r w:rsidR="00F30BC7">
        <w:t>szybk</w:t>
      </w:r>
      <w:r w:rsidR="007C4E7D">
        <w:t xml:space="preserve">o </w:t>
      </w:r>
      <w:r w:rsidR="00C96842">
        <w:t xml:space="preserve">i że całkowity czas jego trwania – ponad dziewięć lat – </w:t>
      </w:r>
      <w:r w:rsidR="002D1BE8">
        <w:t>nie był uzasadniony</w:t>
      </w:r>
      <w:r w:rsidR="00C96842">
        <w:t xml:space="preserve">. </w:t>
      </w:r>
      <w:r w:rsidR="0050265B">
        <w:t>Trybunał n</w:t>
      </w:r>
      <w:r w:rsidR="00F30BC7" w:rsidRPr="00F30BC7">
        <w:t xml:space="preserve">ie </w:t>
      </w:r>
      <w:r w:rsidR="0050265B">
        <w:t>może zaakceptować</w:t>
      </w:r>
      <w:r w:rsidR="00F30BC7" w:rsidRPr="00F30BC7">
        <w:t xml:space="preserve">, </w:t>
      </w:r>
      <w:r w:rsidR="0050265B">
        <w:t xml:space="preserve">żeby </w:t>
      </w:r>
      <w:r w:rsidR="00F30BC7" w:rsidRPr="00F30BC7">
        <w:t>postępowanie wszczęte w celu wyjaśnienia zarzutów dotyczących zaniedbań medycznych trwa</w:t>
      </w:r>
      <w:r w:rsidR="00F30BC7">
        <w:t>ło</w:t>
      </w:r>
      <w:r w:rsidR="00F30BC7" w:rsidRPr="00F30BC7">
        <w:t xml:space="preserve"> tak długo przed sądami krajowymi.</w:t>
      </w:r>
      <w:r w:rsidR="00C96842">
        <w:t xml:space="preserve"> To samo </w:t>
      </w:r>
      <w:r w:rsidR="0050265B">
        <w:t xml:space="preserve">odnosi się do </w:t>
      </w:r>
      <w:r w:rsidR="00C96842">
        <w:t xml:space="preserve">postępowań odszkodowawczych wszczętych przez </w:t>
      </w:r>
      <w:r w:rsidR="00F30BC7">
        <w:t xml:space="preserve">skarżące </w:t>
      </w:r>
      <w:r w:rsidR="00C96842">
        <w:t xml:space="preserve">przed sądami cywilnymi, które toczą się przed sądami krajowymi od ponad </w:t>
      </w:r>
      <w:r w:rsidR="00F30BC7">
        <w:t xml:space="preserve">trzynastu </w:t>
      </w:r>
      <w:r w:rsidR="00C96842">
        <w:t>lat. Z</w:t>
      </w:r>
      <w:r w:rsidR="007803F9">
        <w:t> </w:t>
      </w:r>
      <w:r w:rsidR="00C96842">
        <w:t>akt sprawy nie wynika, aby czas trwania tych postępowań był uzasadniony okolicznościami sprawy. Szczególnie uderzające jest to, że</w:t>
      </w:r>
      <w:r w:rsidR="00B97032">
        <w:t> </w:t>
      </w:r>
      <w:r w:rsidR="0050265B">
        <w:t>S</w:t>
      </w:r>
      <w:r w:rsidR="00C96842">
        <w:t xml:space="preserve">ąd </w:t>
      </w:r>
      <w:r w:rsidR="0050265B">
        <w:t>O</w:t>
      </w:r>
      <w:r w:rsidR="00C96842">
        <w:t>kręgowy</w:t>
      </w:r>
      <w:r w:rsidR="001436F5">
        <w:t xml:space="preserve"> </w:t>
      </w:r>
      <w:r w:rsidR="00C96842">
        <w:t>w</w:t>
      </w:r>
      <w:r w:rsidR="007803F9">
        <w:t> </w:t>
      </w:r>
      <w:r w:rsidR="00C96842">
        <w:t>Stambule potrzebował ponad dziewięciu lat, aby</w:t>
      </w:r>
      <w:r w:rsidR="00B97032">
        <w:t> </w:t>
      </w:r>
      <w:r w:rsidR="00C96842">
        <w:t>stwierdzić, że skarga</w:t>
      </w:r>
      <w:r w:rsidR="001436F5">
        <w:t xml:space="preserve"> </w:t>
      </w:r>
      <w:r w:rsidR="00C96842">
        <w:t>o</w:t>
      </w:r>
      <w:r w:rsidR="007803F9">
        <w:t> </w:t>
      </w:r>
      <w:r w:rsidR="00C96842">
        <w:t>odszkodowanie przeciwko szpitalowi powinna była zostać wniesiona do</w:t>
      </w:r>
      <w:r w:rsidR="007803F9">
        <w:t> </w:t>
      </w:r>
      <w:r w:rsidR="00C96842">
        <w:t>sądów administracyjnych i że nie był on właściwy do orzekania w tej sprawie.</w:t>
      </w:r>
    </w:p>
    <w:p w14:paraId="35725F48" w14:textId="646445EF" w:rsidR="00C96842" w:rsidRPr="00BC16EE" w:rsidRDefault="007A3B0E" w:rsidP="00BC16EE">
      <w:pPr>
        <w:pStyle w:val="ECHRPara"/>
        <w:rPr>
          <w:i/>
        </w:rPr>
      </w:pPr>
      <w:r>
        <w:rPr>
          <w:noProof/>
        </w:rPr>
        <w:t>58</w:t>
      </w:r>
      <w:r w:rsidR="00C96842">
        <w:t>.</w:t>
      </w:r>
      <w:r w:rsidR="00A418CB">
        <w:t xml:space="preserve"> </w:t>
      </w:r>
      <w:r w:rsidR="00C96842">
        <w:t>Trybunał jest zdania, że tego rodzaju opóźnienia mogą potęgować niepewność nie tylko po stronie powoda, ale także po stronie zainteresowanych pracowników służby zdrowia (</w:t>
      </w:r>
      <w:proofErr w:type="spellStart"/>
      <w:r w:rsidR="00C96842">
        <w:rPr>
          <w:i/>
        </w:rPr>
        <w:t>Lopes</w:t>
      </w:r>
      <w:proofErr w:type="spellEnd"/>
      <w:r w:rsidR="00C96842">
        <w:rPr>
          <w:i/>
        </w:rPr>
        <w:t xml:space="preserve"> de </w:t>
      </w:r>
      <w:proofErr w:type="spellStart"/>
      <w:r w:rsidR="00C96842">
        <w:rPr>
          <w:i/>
        </w:rPr>
        <w:t>Sousa</w:t>
      </w:r>
      <w:proofErr w:type="spellEnd"/>
      <w:r w:rsidR="00C96842">
        <w:rPr>
          <w:i/>
        </w:rPr>
        <w:t xml:space="preserve"> </w:t>
      </w:r>
      <w:proofErr w:type="spellStart"/>
      <w:r w:rsidR="00C96842">
        <w:rPr>
          <w:i/>
        </w:rPr>
        <w:t>Fernandes</w:t>
      </w:r>
      <w:proofErr w:type="spellEnd"/>
      <w:r w:rsidR="00C96842">
        <w:t xml:space="preserve">, </w:t>
      </w:r>
      <w:r w:rsidR="00C96842" w:rsidRPr="007A3B0E">
        <w:t>op. cit</w:t>
      </w:r>
      <w:r w:rsidR="00C96842">
        <w:rPr>
          <w:i/>
          <w:iCs/>
        </w:rPr>
        <w:t>.</w:t>
      </w:r>
      <w:r w:rsidR="00C96842">
        <w:t xml:space="preserve">, § 236). W związku z tym przypomina, że do państwa należy zorganizowanie </w:t>
      </w:r>
      <w:r w:rsidR="000A069E">
        <w:t xml:space="preserve">krajowego </w:t>
      </w:r>
      <w:r w:rsidR="00C96842">
        <w:t>systemu sądowego w taki sposób, by</w:t>
      </w:r>
      <w:r w:rsidR="00B97032">
        <w:t> </w:t>
      </w:r>
      <w:r w:rsidR="00C96842">
        <w:t>umożliwić sądom spełnienie wymogów wynikających z Konwencji, w</w:t>
      </w:r>
      <w:r w:rsidR="00B97032">
        <w:t> </w:t>
      </w:r>
      <w:r w:rsidR="00C96842">
        <w:t xml:space="preserve">szczególności </w:t>
      </w:r>
      <w:r w:rsidR="00E92AAC">
        <w:t xml:space="preserve">tych, które </w:t>
      </w:r>
      <w:r w:rsidR="00C96842">
        <w:t>dotyczą obowiązków wynikających z art. 2 (</w:t>
      </w:r>
      <w:proofErr w:type="spellStart"/>
      <w:r w:rsidR="00C96842">
        <w:rPr>
          <w:i/>
          <w:iCs/>
        </w:rPr>
        <w:t>Lopes</w:t>
      </w:r>
      <w:proofErr w:type="spellEnd"/>
      <w:r w:rsidR="00C96842">
        <w:rPr>
          <w:i/>
          <w:iCs/>
        </w:rPr>
        <w:t xml:space="preserve"> de </w:t>
      </w:r>
      <w:proofErr w:type="spellStart"/>
      <w:r w:rsidR="00C96842">
        <w:rPr>
          <w:i/>
          <w:iCs/>
        </w:rPr>
        <w:t>Sousa</w:t>
      </w:r>
      <w:proofErr w:type="spellEnd"/>
      <w:r w:rsidR="00C96842">
        <w:rPr>
          <w:i/>
          <w:iCs/>
        </w:rPr>
        <w:t xml:space="preserve"> </w:t>
      </w:r>
      <w:proofErr w:type="spellStart"/>
      <w:r w:rsidR="00C96842">
        <w:rPr>
          <w:i/>
          <w:iCs/>
        </w:rPr>
        <w:t>Fernandes</w:t>
      </w:r>
      <w:proofErr w:type="spellEnd"/>
      <w:r w:rsidR="00C96842">
        <w:rPr>
          <w:i/>
          <w:iCs/>
        </w:rPr>
        <w:t xml:space="preserve">, </w:t>
      </w:r>
      <w:r w:rsidR="00C96842" w:rsidRPr="000A5AFF">
        <w:t>op. cit</w:t>
      </w:r>
      <w:r w:rsidR="00C96842">
        <w:rPr>
          <w:i/>
          <w:iCs/>
        </w:rPr>
        <w:t>.</w:t>
      </w:r>
      <w:r w:rsidR="00C96842">
        <w:t xml:space="preserve">, § 236 oraz </w:t>
      </w:r>
      <w:proofErr w:type="spellStart"/>
      <w:r w:rsidR="00C96842">
        <w:rPr>
          <w:i/>
          <w:iCs/>
        </w:rPr>
        <w:t>Süleyman</w:t>
      </w:r>
      <w:proofErr w:type="spellEnd"/>
      <w:r w:rsidR="00C96842">
        <w:rPr>
          <w:i/>
          <w:iCs/>
        </w:rPr>
        <w:t xml:space="preserve"> </w:t>
      </w:r>
      <w:proofErr w:type="spellStart"/>
      <w:r w:rsidR="00C96842">
        <w:rPr>
          <w:i/>
          <w:iCs/>
        </w:rPr>
        <w:t>Ege</w:t>
      </w:r>
      <w:proofErr w:type="spellEnd"/>
      <w:r w:rsidR="00C96842">
        <w:rPr>
          <w:i/>
          <w:iCs/>
        </w:rPr>
        <w:t xml:space="preserve"> przeciwko</w:t>
      </w:r>
      <w:r w:rsidR="00C96842">
        <w:rPr>
          <w:i/>
          <w:iCs/>
          <w:snapToGrid w:val="0"/>
        </w:rPr>
        <w:t xml:space="preserve"> </w:t>
      </w:r>
      <w:r w:rsidR="00C96842">
        <w:rPr>
          <w:i/>
          <w:iCs/>
        </w:rPr>
        <w:t>Turcji</w:t>
      </w:r>
      <w:r w:rsidR="00C96842">
        <w:rPr>
          <w:snapToGrid w:val="0"/>
        </w:rPr>
        <w:t>, nr 45721/09, § 59, 25 czerwca 2013 r.).</w:t>
      </w:r>
    </w:p>
    <w:p w14:paraId="7FBE2318" w14:textId="6A3AA3AB" w:rsidR="00C96842" w:rsidRPr="00BC16EE" w:rsidRDefault="007A3B0E" w:rsidP="00BC16EE">
      <w:pPr>
        <w:pStyle w:val="ECHRPara"/>
      </w:pPr>
      <w:r>
        <w:rPr>
          <w:noProof/>
        </w:rPr>
        <w:lastRenderedPageBreak/>
        <w:t>59</w:t>
      </w:r>
      <w:r w:rsidR="00C96842">
        <w:t>.</w:t>
      </w:r>
      <w:r w:rsidR="00A418CB">
        <w:t xml:space="preserve"> </w:t>
      </w:r>
      <w:r w:rsidR="00C96842">
        <w:t>Elementy te same w sobie są wystarczające, aby Trybunał mógł stwierdzić, że postępowani</w:t>
      </w:r>
      <w:r w:rsidR="00035618">
        <w:t>e</w:t>
      </w:r>
      <w:r w:rsidR="00C96842">
        <w:t xml:space="preserve"> prowadzone na podstawie prawa krajowego było obarczone wadami. Organy krajowe nie </w:t>
      </w:r>
      <w:r w:rsidR="00294F8B">
        <w:t xml:space="preserve">rozpatrzyły </w:t>
      </w:r>
      <w:r w:rsidR="00C96842">
        <w:t>powództwa skarżących w związku ze śmiercią</w:t>
      </w:r>
      <w:r w:rsidR="00A418CB">
        <w:t xml:space="preserve"> </w:t>
      </w:r>
      <w:r w:rsidR="006B7892">
        <w:t xml:space="preserve">bliskiej </w:t>
      </w:r>
      <w:r w:rsidR="00294F8B">
        <w:t xml:space="preserve">im </w:t>
      </w:r>
      <w:r w:rsidR="00C96842">
        <w:t xml:space="preserve">osoby z należytą starannością wymaganą w art. 2 Konwencji (w tym zakresie zob. również </w:t>
      </w:r>
      <w:proofErr w:type="spellStart"/>
      <w:r w:rsidR="00C96842">
        <w:rPr>
          <w:i/>
          <w:iCs/>
        </w:rPr>
        <w:t>Lopes</w:t>
      </w:r>
      <w:proofErr w:type="spellEnd"/>
      <w:r w:rsidR="00C96842">
        <w:rPr>
          <w:i/>
          <w:iCs/>
        </w:rPr>
        <w:t xml:space="preserve"> de</w:t>
      </w:r>
      <w:r w:rsidR="00B97032">
        <w:rPr>
          <w:i/>
          <w:iCs/>
        </w:rPr>
        <w:t> </w:t>
      </w:r>
      <w:proofErr w:type="spellStart"/>
      <w:r w:rsidR="00C96842">
        <w:rPr>
          <w:i/>
          <w:iCs/>
        </w:rPr>
        <w:t>Sousa</w:t>
      </w:r>
      <w:proofErr w:type="spellEnd"/>
      <w:r w:rsidR="00C96842">
        <w:rPr>
          <w:i/>
          <w:iCs/>
        </w:rPr>
        <w:t xml:space="preserve"> </w:t>
      </w:r>
      <w:proofErr w:type="spellStart"/>
      <w:r w:rsidR="00C96842">
        <w:rPr>
          <w:i/>
          <w:iCs/>
        </w:rPr>
        <w:t>Fernandes</w:t>
      </w:r>
      <w:proofErr w:type="spellEnd"/>
      <w:r w:rsidR="00C96842">
        <w:t xml:space="preserve">, § 238). W konsekwencji Trybunał </w:t>
      </w:r>
      <w:r w:rsidR="0091328F">
        <w:t xml:space="preserve">odrzuca </w:t>
      </w:r>
      <w:r w:rsidR="00C96842">
        <w:t xml:space="preserve">zastrzeżenie </w:t>
      </w:r>
      <w:r w:rsidR="00953E9C">
        <w:t xml:space="preserve">wstępne </w:t>
      </w:r>
      <w:r w:rsidR="00C96842">
        <w:t>Rządu dotyczące niewyczerpania krajowych środków odwoławczych (</w:t>
      </w:r>
      <w:proofErr w:type="spellStart"/>
      <w:r w:rsidR="00C96842">
        <w:rPr>
          <w:i/>
          <w:iCs/>
        </w:rPr>
        <w:t>Šilih</w:t>
      </w:r>
      <w:proofErr w:type="spellEnd"/>
      <w:r w:rsidR="00C96842">
        <w:t xml:space="preserve">, </w:t>
      </w:r>
      <w:r w:rsidR="00C96842" w:rsidRPr="007A3B0E">
        <w:t>op. cit.,</w:t>
      </w:r>
      <w:r w:rsidR="00C96842">
        <w:t xml:space="preserve"> § 211) i stwierdza, że doszło do naruszenia tego </w:t>
      </w:r>
      <w:r w:rsidR="00EC4028">
        <w:t xml:space="preserve">przepisu </w:t>
      </w:r>
      <w:r w:rsidR="00C96842">
        <w:t>w aspekcie proceduralnym.</w:t>
      </w:r>
    </w:p>
    <w:p w14:paraId="3C555D09" w14:textId="66A5D838" w:rsidR="00C96842" w:rsidRPr="00BC16EE" w:rsidRDefault="00C96842" w:rsidP="00BC16EE">
      <w:pPr>
        <w:pStyle w:val="ECHRHeading1"/>
      </w:pPr>
      <w:r>
        <w:t>II.</w:t>
      </w:r>
      <w:r w:rsidR="00A418CB">
        <w:t xml:space="preserve"> </w:t>
      </w:r>
      <w:r>
        <w:t>ZASTOSOWANIE ART. 41 KONWENCJI</w:t>
      </w:r>
    </w:p>
    <w:p w14:paraId="31DEEBED" w14:textId="0364DB47" w:rsidR="00C96842" w:rsidRPr="00BC16EE" w:rsidRDefault="007A3B0E" w:rsidP="00BC16EE">
      <w:pPr>
        <w:pStyle w:val="ECHRPara"/>
      </w:pPr>
      <w:r>
        <w:rPr>
          <w:noProof/>
        </w:rPr>
        <w:t>60</w:t>
      </w:r>
      <w:r w:rsidR="00C96842">
        <w:t>.</w:t>
      </w:r>
      <w:r w:rsidR="00A418CB">
        <w:t xml:space="preserve"> </w:t>
      </w:r>
      <w:r w:rsidR="00571891">
        <w:t>A</w:t>
      </w:r>
      <w:r w:rsidR="004A7003">
        <w:t>rtykuł</w:t>
      </w:r>
      <w:r w:rsidR="00C96842">
        <w:t xml:space="preserve"> 41 Konwencji</w:t>
      </w:r>
      <w:r w:rsidR="00571891">
        <w:t xml:space="preserve"> stanowi</w:t>
      </w:r>
      <w:r w:rsidR="00C96842">
        <w:t>:</w:t>
      </w:r>
    </w:p>
    <w:p w14:paraId="500DABC7" w14:textId="52C596E3" w:rsidR="00C96842" w:rsidRPr="00BC16EE" w:rsidRDefault="00C96842" w:rsidP="00BC16EE">
      <w:pPr>
        <w:pStyle w:val="ECHRParaQuote"/>
        <w:keepNext/>
        <w:keepLines/>
      </w:pPr>
      <w:r>
        <w:t>„</w:t>
      </w:r>
      <w:r w:rsidR="007730AE" w:rsidRPr="007730AE">
        <w:t xml:space="preserve">Jeśli Trybunał stwierdzi, że nastąpiło naruszenie Konwencji lub jej </w:t>
      </w:r>
      <w:r w:rsidR="00244FC3" w:rsidRPr="007730AE">
        <w:t>Protokołów</w:t>
      </w:r>
      <w:r w:rsidR="007730AE" w:rsidRPr="007730AE">
        <w:t>, oraz jeśli prawo wewnętrzne zainteresowanej Wysokiej Układającej się Strony pozwala tylko na częściowe usunięcie konsekwencji tego naruszenia, Trybunał orzeka, gdy zachodzi potrzeba, słuszne zadośćuczynienie pokrzywdzonej stronie</w:t>
      </w:r>
      <w:r>
        <w:t>”.</w:t>
      </w:r>
    </w:p>
    <w:p w14:paraId="3783D27A" w14:textId="63761592" w:rsidR="00C96842" w:rsidRPr="00BC16EE" w:rsidRDefault="007A3B0E" w:rsidP="00BC16EE">
      <w:pPr>
        <w:pStyle w:val="ECHRPara"/>
      </w:pPr>
      <w:r>
        <w:rPr>
          <w:noProof/>
        </w:rPr>
        <w:t>61</w:t>
      </w:r>
      <w:r w:rsidR="00C96842">
        <w:t>.</w:t>
      </w:r>
      <w:r w:rsidR="00A418CB">
        <w:t xml:space="preserve"> </w:t>
      </w:r>
      <w:proofErr w:type="spellStart"/>
      <w:r w:rsidR="00C96842">
        <w:t>Münüre</w:t>
      </w:r>
      <w:proofErr w:type="spellEnd"/>
      <w:r w:rsidR="00C96842">
        <w:t xml:space="preserve"> </w:t>
      </w:r>
      <w:proofErr w:type="spellStart"/>
      <w:r w:rsidR="00C96842">
        <w:t>Yirdem</w:t>
      </w:r>
      <w:proofErr w:type="spellEnd"/>
      <w:r w:rsidR="00C96842">
        <w:t xml:space="preserve"> i </w:t>
      </w:r>
      <w:proofErr w:type="spellStart"/>
      <w:r w:rsidR="00C96842">
        <w:t>Derya</w:t>
      </w:r>
      <w:proofErr w:type="spellEnd"/>
      <w:r w:rsidR="00C96842">
        <w:t xml:space="preserve"> </w:t>
      </w:r>
      <w:proofErr w:type="spellStart"/>
      <w:r w:rsidR="00C96842">
        <w:t>Şahin</w:t>
      </w:r>
      <w:proofErr w:type="spellEnd"/>
      <w:r w:rsidR="00C96842">
        <w:t xml:space="preserve"> </w:t>
      </w:r>
      <w:proofErr w:type="spellStart"/>
      <w:r w:rsidR="00C96842">
        <w:t>Yirdem</w:t>
      </w:r>
      <w:proofErr w:type="spellEnd"/>
      <w:r w:rsidR="00C96842">
        <w:t xml:space="preserve"> </w:t>
      </w:r>
      <w:r w:rsidR="00F60C68">
        <w:t xml:space="preserve">domagają </w:t>
      </w:r>
      <w:r w:rsidR="00C96842">
        <w:t xml:space="preserve">się kwoty </w:t>
      </w:r>
      <w:r w:rsidR="00E804D6">
        <w:t>po</w:t>
      </w:r>
      <w:r w:rsidR="00B97032">
        <w:t> </w:t>
      </w:r>
      <w:r w:rsidR="00C96842">
        <w:t>50</w:t>
      </w:r>
      <w:r w:rsidR="00B97032">
        <w:t> </w:t>
      </w:r>
      <w:r w:rsidR="00C96842">
        <w:t>000 euro (EUR) tytułem odszkodowania za szkod</w:t>
      </w:r>
      <w:r w:rsidR="006A08BF">
        <w:t xml:space="preserve">y </w:t>
      </w:r>
      <w:r w:rsidR="00A6043F">
        <w:t>majątkowe</w:t>
      </w:r>
      <w:r w:rsidR="00C96842">
        <w:t xml:space="preserve">. </w:t>
      </w:r>
      <w:r w:rsidR="00824E0F">
        <w:t>Trzy s</w:t>
      </w:r>
      <w:r w:rsidR="00C96842">
        <w:t xml:space="preserve">karżące </w:t>
      </w:r>
      <w:r w:rsidR="00F60C68" w:rsidRPr="00F60C68">
        <w:t xml:space="preserve">wnoszą o zadośćuczynienie za </w:t>
      </w:r>
      <w:r w:rsidR="00F60C68">
        <w:t>s</w:t>
      </w:r>
      <w:r w:rsidR="00A67186">
        <w:t>zkodę niemajątkową</w:t>
      </w:r>
      <w:r w:rsidR="00A418CB">
        <w:t xml:space="preserve"> </w:t>
      </w:r>
      <w:r w:rsidR="00F60C68" w:rsidRPr="00F60C68">
        <w:t>w wysokości</w:t>
      </w:r>
      <w:r w:rsidR="00C96842">
        <w:t xml:space="preserve"> 150 000 EUR. </w:t>
      </w:r>
      <w:r w:rsidR="00A6043F">
        <w:t xml:space="preserve">Jeśli chodzi o </w:t>
      </w:r>
      <w:r w:rsidR="00C96842">
        <w:t>koszt</w:t>
      </w:r>
      <w:r w:rsidR="00A6043F">
        <w:t>y</w:t>
      </w:r>
      <w:r w:rsidR="00A418CB">
        <w:t xml:space="preserve"> </w:t>
      </w:r>
      <w:r w:rsidR="00C96842">
        <w:t>i wydatk</w:t>
      </w:r>
      <w:r w:rsidR="00A6043F">
        <w:t>i</w:t>
      </w:r>
      <w:r w:rsidR="00C96842">
        <w:t xml:space="preserve">, </w:t>
      </w:r>
      <w:r w:rsidR="00A6043F">
        <w:t xml:space="preserve">domagają się </w:t>
      </w:r>
      <w:r w:rsidR="00C96842">
        <w:t>kwoty 11</w:t>
      </w:r>
      <w:r w:rsidR="00B97032">
        <w:t> </w:t>
      </w:r>
      <w:r w:rsidR="00C96842">
        <w:t>620</w:t>
      </w:r>
      <w:r w:rsidR="00B97032">
        <w:t> </w:t>
      </w:r>
      <w:r w:rsidR="00C96842">
        <w:t>EUR tytułem zwrotu kosztów zastępstwa procesowego oraz kwoty 1</w:t>
      </w:r>
      <w:r w:rsidR="00B97032">
        <w:t> </w:t>
      </w:r>
      <w:r w:rsidR="00C96842">
        <w:t xml:space="preserve">000 EUR tytułem zwrotu opłat pocztowych, telefonicznych i kosztów tłumaczeń. </w:t>
      </w:r>
      <w:r w:rsidR="001A5939">
        <w:t>Celem uzasadnienia złożonego</w:t>
      </w:r>
      <w:r w:rsidR="00C96842">
        <w:t xml:space="preserve"> roszczenia przedłożyły wykaz stawek za czynności adwokackie stambulskiej izby adwokackiej oraz zestawienie kosztów tłumaczeń w wysokości 407 tureckich lirów (około 100 EUR).</w:t>
      </w:r>
    </w:p>
    <w:p w14:paraId="572E5C59" w14:textId="744D2F6A" w:rsidR="00C96842" w:rsidRPr="00BC16EE" w:rsidRDefault="007A3B0E" w:rsidP="00BC16EE">
      <w:pPr>
        <w:pStyle w:val="ECHRPara"/>
      </w:pPr>
      <w:r>
        <w:rPr>
          <w:noProof/>
        </w:rPr>
        <w:t>62</w:t>
      </w:r>
      <w:r w:rsidR="00C96842">
        <w:t>.</w:t>
      </w:r>
      <w:r w:rsidR="00A418CB">
        <w:t xml:space="preserve"> </w:t>
      </w:r>
      <w:r w:rsidR="00C96842">
        <w:t xml:space="preserve">Rząd kwestionuje roszczenia </w:t>
      </w:r>
      <w:r w:rsidR="00824E0F">
        <w:t>z tytułu szkody</w:t>
      </w:r>
      <w:r w:rsidR="00C96842">
        <w:t xml:space="preserve"> majątkow</w:t>
      </w:r>
      <w:r w:rsidR="00824E0F">
        <w:t>ej</w:t>
      </w:r>
      <w:r w:rsidR="00F4779C">
        <w:t xml:space="preserve"> oraz</w:t>
      </w:r>
      <w:r w:rsidR="00B63E95">
        <w:t xml:space="preserve"> </w:t>
      </w:r>
      <w:r w:rsidR="00824E0F">
        <w:t>kosztów</w:t>
      </w:r>
      <w:r w:rsidR="00C96842">
        <w:t xml:space="preserve"> </w:t>
      </w:r>
      <w:r w:rsidR="00824E0F">
        <w:t>i wydatków</w:t>
      </w:r>
      <w:r w:rsidR="00AD1E4A">
        <w:t>, a także</w:t>
      </w:r>
      <w:r w:rsidR="00F4779C">
        <w:t xml:space="preserve"> </w:t>
      </w:r>
      <w:r w:rsidR="00C96842">
        <w:t xml:space="preserve">pozostawia do uznania </w:t>
      </w:r>
      <w:r w:rsidR="00B63E95">
        <w:t xml:space="preserve">Trybunału </w:t>
      </w:r>
      <w:r w:rsidR="00C96842">
        <w:t>ustalenie wysokości zadośćuczynienia za s</w:t>
      </w:r>
      <w:r w:rsidR="008D3CD9">
        <w:t xml:space="preserve">zkodę niemajątkową </w:t>
      </w:r>
      <w:r w:rsidR="00C96842">
        <w:t>w przypadku stwierdzenia naruszenia.</w:t>
      </w:r>
    </w:p>
    <w:p w14:paraId="2899ADDB" w14:textId="54919D66" w:rsidR="00C96842" w:rsidRPr="00BC16EE" w:rsidRDefault="007A3B0E" w:rsidP="00BC16EE">
      <w:pPr>
        <w:pStyle w:val="ECHRPara"/>
      </w:pPr>
      <w:r>
        <w:rPr>
          <w:noProof/>
        </w:rPr>
        <w:t>63</w:t>
      </w:r>
      <w:r w:rsidR="00C96842">
        <w:t>.</w:t>
      </w:r>
      <w:r w:rsidR="00A418CB">
        <w:t xml:space="preserve"> </w:t>
      </w:r>
      <w:r w:rsidR="00C96842">
        <w:t xml:space="preserve">Trybunał nie dostrzega żadnego związku </w:t>
      </w:r>
      <w:proofErr w:type="spellStart"/>
      <w:r w:rsidR="00C96842">
        <w:t>przyczynowo-skutkowego</w:t>
      </w:r>
      <w:proofErr w:type="spellEnd"/>
      <w:r w:rsidR="00C96842">
        <w:t xml:space="preserve"> między stwierdzonym naruszeniem a szkodą majątkową, która ponadto nie znajduje żadnego uzasadnienia w dokumentach</w:t>
      </w:r>
      <w:r w:rsidR="00AD1E4A">
        <w:t>,</w:t>
      </w:r>
      <w:r w:rsidR="00C96842">
        <w:t xml:space="preserve"> i oddala roszczenie w tym zakresie. Jednocześnie Trybunał uznaje, że skarżącym należy przyznać łącznie kwotę 10 000 EUR tytułem zadośćuczynienia za s</w:t>
      </w:r>
      <w:r w:rsidR="008D3CD9">
        <w:t>zkodę niemajątkową</w:t>
      </w:r>
      <w:r w:rsidR="00C96842">
        <w:t>. Jeśli chodzi o koszty i wydatki, Trybunał zwraca uwagę,</w:t>
      </w:r>
      <w:r w:rsidR="00A418CB">
        <w:t xml:space="preserve"> </w:t>
      </w:r>
      <w:r w:rsidR="00C96842">
        <w:t>że</w:t>
      </w:r>
      <w:r w:rsidR="00B97032">
        <w:t> </w:t>
      </w:r>
      <w:r w:rsidR="00C96842">
        <w:t>skarżącemu może przysługiwać zwrot z tego tytułu tylko wtedy, gdy</w:t>
      </w:r>
      <w:r w:rsidR="00B97032">
        <w:t> </w:t>
      </w:r>
      <w:r w:rsidR="00C96842">
        <w:t xml:space="preserve">zostanie stwierdzone, że </w:t>
      </w:r>
      <w:r w:rsidR="00627FD2">
        <w:t>zostały one rzeczywiście poniesione</w:t>
      </w:r>
      <w:r w:rsidR="002455E3">
        <w:t xml:space="preserve"> i</w:t>
      </w:r>
      <w:r w:rsidR="00627FD2">
        <w:t xml:space="preserve"> były </w:t>
      </w:r>
      <w:r w:rsidR="00C96842">
        <w:t>konieczne</w:t>
      </w:r>
      <w:r w:rsidR="001436F5">
        <w:t xml:space="preserve"> </w:t>
      </w:r>
      <w:r w:rsidR="002455E3">
        <w:t>oraz</w:t>
      </w:r>
      <w:r w:rsidR="00C96842">
        <w:t xml:space="preserve"> uzasadnione</w:t>
      </w:r>
      <w:r w:rsidR="00627FD2">
        <w:t xml:space="preserve"> co do wysokości</w:t>
      </w:r>
      <w:r w:rsidR="00C96842">
        <w:t>. W niniejszej sprawie, w</w:t>
      </w:r>
      <w:r w:rsidR="00B97032">
        <w:t> </w:t>
      </w:r>
      <w:r w:rsidR="00C96842">
        <w:t>świetle przedłożonych dokumentów</w:t>
      </w:r>
      <w:r w:rsidR="001436F5">
        <w:t xml:space="preserve"> </w:t>
      </w:r>
      <w:r w:rsidR="00C96842">
        <w:t xml:space="preserve">i </w:t>
      </w:r>
      <w:r w:rsidR="00746889">
        <w:t xml:space="preserve">swego </w:t>
      </w:r>
      <w:r w:rsidR="00C96842">
        <w:t>orzecznictwa, Trybunał uznaje za uzasadnioną kwotę 1000 EUR tytułem zwrotu kosztów</w:t>
      </w:r>
      <w:r>
        <w:t xml:space="preserve"> </w:t>
      </w:r>
      <w:r w:rsidR="005E0E1B">
        <w:t>i</w:t>
      </w:r>
      <w:r w:rsidR="00B97032">
        <w:t> </w:t>
      </w:r>
      <w:r w:rsidR="005E0E1B">
        <w:t>wydatków związanych z postępowaniem</w:t>
      </w:r>
      <w:r w:rsidR="00DF0CFE">
        <w:t xml:space="preserve"> </w:t>
      </w:r>
      <w:r w:rsidR="00C96842">
        <w:t>i zasądza ją na rzecz skarżących.</w:t>
      </w:r>
    </w:p>
    <w:p w14:paraId="2AAF7723" w14:textId="77777777" w:rsidR="00C96842" w:rsidRPr="00BC16EE" w:rsidRDefault="00C96842" w:rsidP="00BC16EE">
      <w:pPr>
        <w:pStyle w:val="ECHRTitle1"/>
      </w:pPr>
      <w:r>
        <w:lastRenderedPageBreak/>
        <w:t xml:space="preserve">Z TYCH </w:t>
      </w:r>
      <w:r w:rsidR="005E0E1B">
        <w:t xml:space="preserve">PRZYCZYN </w:t>
      </w:r>
      <w:r>
        <w:t>TRYBUNAŁ JEDNOGŁOŚNIE</w:t>
      </w:r>
    </w:p>
    <w:p w14:paraId="287A459E" w14:textId="11C6267B" w:rsidR="00C96842" w:rsidRPr="00BC16EE" w:rsidRDefault="00C96842" w:rsidP="00BC16EE">
      <w:pPr>
        <w:pStyle w:val="JuList"/>
      </w:pPr>
      <w:r>
        <w:t>1.</w:t>
      </w:r>
      <w:r w:rsidR="00A418CB">
        <w:t xml:space="preserve"> </w:t>
      </w:r>
      <w:r w:rsidR="009005FA" w:rsidRPr="00746889">
        <w:rPr>
          <w:i/>
        </w:rPr>
        <w:t>dołącza</w:t>
      </w:r>
      <w:r w:rsidR="009005FA">
        <w:t xml:space="preserve"> </w:t>
      </w:r>
      <w:r w:rsidR="00746889">
        <w:t>do przedmiotu</w:t>
      </w:r>
      <w:r>
        <w:t xml:space="preserve"> s</w:t>
      </w:r>
      <w:r w:rsidR="008D3CD9">
        <w:t xml:space="preserve">prawy </w:t>
      </w:r>
      <w:r>
        <w:t>zarzut Rządu dotyczący niewyczerpania krajowych środków odwoławczych i odrzuca go;</w:t>
      </w:r>
    </w:p>
    <w:p w14:paraId="75CD984F" w14:textId="77777777" w:rsidR="00C96842" w:rsidRPr="001408A9" w:rsidRDefault="00C96842" w:rsidP="00BC16EE">
      <w:pPr>
        <w:pStyle w:val="JuList"/>
      </w:pPr>
    </w:p>
    <w:p w14:paraId="6B590DB3" w14:textId="79BEFB3F" w:rsidR="00C96842" w:rsidRPr="00BC16EE" w:rsidRDefault="00C96842" w:rsidP="00BC16EE">
      <w:pPr>
        <w:pStyle w:val="JuList"/>
      </w:pPr>
      <w:r>
        <w:t>2.</w:t>
      </w:r>
      <w:r w:rsidR="00A418CB">
        <w:t xml:space="preserve"> </w:t>
      </w:r>
      <w:r>
        <w:rPr>
          <w:i/>
          <w:iCs/>
        </w:rPr>
        <w:t>uznaje</w:t>
      </w:r>
      <w:r>
        <w:t xml:space="preserve"> skargę za dopuszczalną;</w:t>
      </w:r>
    </w:p>
    <w:p w14:paraId="526F87BC" w14:textId="77777777" w:rsidR="00C96842" w:rsidRPr="001408A9" w:rsidRDefault="00C96842" w:rsidP="00BC16EE">
      <w:pPr>
        <w:pStyle w:val="JuList"/>
      </w:pPr>
    </w:p>
    <w:p w14:paraId="1BB70CF1" w14:textId="2EB9936D" w:rsidR="00C96842" w:rsidRPr="00BC16EE" w:rsidRDefault="00C96842" w:rsidP="00BC16EE">
      <w:pPr>
        <w:pStyle w:val="JuList"/>
      </w:pPr>
      <w:r>
        <w:t>3.</w:t>
      </w:r>
      <w:r w:rsidR="00A418CB">
        <w:t xml:space="preserve"> </w:t>
      </w:r>
      <w:r>
        <w:rPr>
          <w:i/>
          <w:iCs/>
        </w:rPr>
        <w:t>uznaje</w:t>
      </w:r>
      <w:r>
        <w:t>, że nie doszło do naruszenia art. 2 Konwencji w aspekcie materialnym;</w:t>
      </w:r>
    </w:p>
    <w:p w14:paraId="587844A1" w14:textId="77777777" w:rsidR="00C96842" w:rsidRPr="001408A9" w:rsidRDefault="00C96842" w:rsidP="00BC16EE">
      <w:pPr>
        <w:pStyle w:val="JuList"/>
      </w:pPr>
    </w:p>
    <w:p w14:paraId="18EDAE7B" w14:textId="20599A09" w:rsidR="00C96842" w:rsidRPr="00BC16EE" w:rsidRDefault="00C96842" w:rsidP="00BC16EE">
      <w:pPr>
        <w:pStyle w:val="JuList"/>
      </w:pPr>
      <w:r>
        <w:t>4.</w:t>
      </w:r>
      <w:r w:rsidR="00A418CB">
        <w:t xml:space="preserve"> </w:t>
      </w:r>
      <w:r>
        <w:rPr>
          <w:i/>
          <w:iCs/>
        </w:rPr>
        <w:t>uznaje</w:t>
      </w:r>
      <w:r>
        <w:t>, że doszło do naruszenia art. 2 Konwencji w aspekcie proceduralnym;</w:t>
      </w:r>
    </w:p>
    <w:p w14:paraId="714B5DED" w14:textId="77777777" w:rsidR="00C96842" w:rsidRPr="001408A9" w:rsidRDefault="00C96842" w:rsidP="00BC16EE">
      <w:pPr>
        <w:pStyle w:val="JuList"/>
      </w:pPr>
    </w:p>
    <w:p w14:paraId="735F449B" w14:textId="28771227" w:rsidR="00C96842" w:rsidRPr="00BC16EE" w:rsidRDefault="00C96842" w:rsidP="00BC16EE">
      <w:pPr>
        <w:pStyle w:val="JuList"/>
      </w:pPr>
      <w:r>
        <w:t>5.</w:t>
      </w:r>
      <w:r w:rsidR="00A418CB">
        <w:t xml:space="preserve"> </w:t>
      </w:r>
      <w:r>
        <w:rPr>
          <w:i/>
          <w:iCs/>
        </w:rPr>
        <w:t>uznaje</w:t>
      </w:r>
      <w:r w:rsidR="0082664B">
        <w:rPr>
          <w:i/>
          <w:iCs/>
        </w:rPr>
        <w:t>,</w:t>
      </w:r>
    </w:p>
    <w:p w14:paraId="28D7E3B9" w14:textId="1AE1C099" w:rsidR="00C96842" w:rsidRPr="00BC16EE" w:rsidRDefault="00C96842" w:rsidP="00BC16EE">
      <w:pPr>
        <w:pStyle w:val="JuLista"/>
      </w:pPr>
      <w:r>
        <w:t>a)</w:t>
      </w:r>
      <w:r w:rsidR="00A418CB">
        <w:t xml:space="preserve"> </w:t>
      </w:r>
      <w:r>
        <w:t xml:space="preserve">że pozwane </w:t>
      </w:r>
      <w:r w:rsidR="00EF38B5">
        <w:t xml:space="preserve">Państwo </w:t>
      </w:r>
      <w:r>
        <w:t>winno</w:t>
      </w:r>
      <w:r w:rsidR="0082664B" w:rsidRPr="0082664B">
        <w:t xml:space="preserve"> </w:t>
      </w:r>
      <w:r w:rsidR="0082664B">
        <w:t>uiścić łącznie na rzecz skarżących</w:t>
      </w:r>
      <w:r w:rsidR="001436F5">
        <w:t xml:space="preserve"> </w:t>
      </w:r>
      <w:r>
        <w:t>w</w:t>
      </w:r>
      <w:r w:rsidR="00B97032">
        <w:t> </w:t>
      </w:r>
      <w:r>
        <w:t xml:space="preserve">terminie trzech miesięcy od daty, w której niniejszy wyrok stanie się ostateczny zgodnie z art. 44 ust. 2 Konwencji, następujące kwoty, przeliczone na walutę pozwanego </w:t>
      </w:r>
      <w:r w:rsidR="00C34AEA">
        <w:t xml:space="preserve">Państwa </w:t>
      </w:r>
      <w:r>
        <w:t>według kursu obowiązującego w dniu płatności:</w:t>
      </w:r>
    </w:p>
    <w:p w14:paraId="7D47FBF5" w14:textId="4BABF728" w:rsidR="00C96842" w:rsidRPr="00BC16EE" w:rsidRDefault="00C96842" w:rsidP="00BC16EE">
      <w:pPr>
        <w:pStyle w:val="JuListi"/>
      </w:pPr>
      <w:r>
        <w:t>i.</w:t>
      </w:r>
      <w:r w:rsidR="00A418CB">
        <w:t xml:space="preserve"> </w:t>
      </w:r>
      <w:r>
        <w:t>10</w:t>
      </w:r>
      <w:r w:rsidR="00A418CB">
        <w:t xml:space="preserve"> </w:t>
      </w:r>
      <w:r>
        <w:t xml:space="preserve">000 EUR (dziesięć tysięcy euro), plus wszelkie należne podatki, tytułem zadośćuczynienia za </w:t>
      </w:r>
      <w:r w:rsidR="00EF38B5">
        <w:t>szkodę niemajątkową</w:t>
      </w:r>
      <w:r>
        <w:t>;</w:t>
      </w:r>
    </w:p>
    <w:p w14:paraId="4D99D858" w14:textId="1F35A02F" w:rsidR="00C96842" w:rsidRPr="00BC16EE" w:rsidRDefault="00C96842" w:rsidP="00BC16EE">
      <w:pPr>
        <w:pStyle w:val="JuListi"/>
      </w:pPr>
      <w:r>
        <w:t>ii.</w:t>
      </w:r>
      <w:r w:rsidR="00A418CB">
        <w:t xml:space="preserve"> </w:t>
      </w:r>
      <w:r>
        <w:t>1000 EUR (tysiąc euro), plus wszelkie należne podatki, tytułem zwrotu poniesionych kosztów i wydatków;</w:t>
      </w:r>
    </w:p>
    <w:p w14:paraId="220D8901" w14:textId="5D2AD7BD" w:rsidR="00C96842" w:rsidRPr="00BC16EE" w:rsidRDefault="00C96842" w:rsidP="00BC16EE">
      <w:pPr>
        <w:pStyle w:val="JuLista"/>
      </w:pPr>
      <w:r>
        <w:t>b)</w:t>
      </w:r>
      <w:r w:rsidR="00A418CB">
        <w:t xml:space="preserve"> </w:t>
      </w:r>
      <w:r>
        <w:t>że od upływu wyżej wskazanego terminu trzech miesięcy aż</w:t>
      </w:r>
      <w:r w:rsidR="00B97032">
        <w:t> </w:t>
      </w:r>
      <w:r>
        <w:t>do</w:t>
      </w:r>
      <w:r w:rsidR="00B97032">
        <w:t> </w:t>
      </w:r>
      <w:r>
        <w:t>momentu uregulowania należności, należne będą odsetki zwykłe od</w:t>
      </w:r>
      <w:r w:rsidR="007803F9">
        <w:t> </w:t>
      </w:r>
      <w:r>
        <w:t>określonych powyżej kwot, naliczone według stopy równej marginalnej stopie procentowej Europejskiego Banku Centralnego obowiązującej</w:t>
      </w:r>
      <w:r w:rsidR="001436F5">
        <w:t xml:space="preserve"> </w:t>
      </w:r>
      <w:r>
        <w:t>w tym okresie, powiększonej o trzy punkty procentowe;</w:t>
      </w:r>
    </w:p>
    <w:p w14:paraId="7C4DA774" w14:textId="77777777" w:rsidR="00C96842" w:rsidRPr="001408A9" w:rsidRDefault="00C96842" w:rsidP="00BC16EE">
      <w:pPr>
        <w:pStyle w:val="JuLista"/>
      </w:pPr>
    </w:p>
    <w:p w14:paraId="4A1E00E8" w14:textId="400FD91B" w:rsidR="00C96842" w:rsidRPr="00BC16EE" w:rsidRDefault="00C96842" w:rsidP="00E418BB">
      <w:pPr>
        <w:pStyle w:val="JuList"/>
        <w:spacing w:after="120"/>
      </w:pPr>
      <w:r>
        <w:t>6.</w:t>
      </w:r>
      <w:r w:rsidR="00A418CB">
        <w:t xml:space="preserve"> </w:t>
      </w:r>
      <w:r>
        <w:rPr>
          <w:i/>
          <w:iCs/>
        </w:rPr>
        <w:t>oddala</w:t>
      </w:r>
      <w:r>
        <w:t xml:space="preserve"> </w:t>
      </w:r>
      <w:r w:rsidR="007D7352">
        <w:t>pozostałą część roszczenia skarżących o</w:t>
      </w:r>
      <w:r>
        <w:t xml:space="preserve"> słuszne</w:t>
      </w:r>
      <w:r w:rsidR="007A3B0E">
        <w:t xml:space="preserve"> </w:t>
      </w:r>
      <w:r w:rsidR="007D7352">
        <w:t>zadośćuczynienie</w:t>
      </w:r>
      <w:r>
        <w:t>.</w:t>
      </w:r>
    </w:p>
    <w:p w14:paraId="7C15902E" w14:textId="4CC1BB01" w:rsidR="00C96842" w:rsidRPr="00BC16EE" w:rsidRDefault="00E418BB" w:rsidP="00BC16EE">
      <w:pPr>
        <w:pStyle w:val="JuParaLast"/>
        <w:keepNext w:val="0"/>
        <w:keepLines w:val="0"/>
      </w:pPr>
      <w:r>
        <w:br w:type="page"/>
      </w:r>
      <w:r w:rsidR="00C96842">
        <w:lastRenderedPageBreak/>
        <w:t>Sporządzono w języku francuskim i obwieszczono pisemnie dnia</w:t>
      </w:r>
      <w:r w:rsidR="001436F5">
        <w:t xml:space="preserve"> </w:t>
      </w:r>
      <w:r w:rsidR="00C96842">
        <w:t>4</w:t>
      </w:r>
      <w:r w:rsidR="00B97032">
        <w:t> </w:t>
      </w:r>
      <w:r w:rsidR="00C96842">
        <w:t xml:space="preserve">września 2018 r., zgodnie z </w:t>
      </w:r>
      <w:r w:rsidR="003B1084">
        <w:t xml:space="preserve">Regułą </w:t>
      </w:r>
      <w:r w:rsidR="00C96842">
        <w:t>77 §§ 2 i 3 Regulaminu Trybunału.</w:t>
      </w:r>
    </w:p>
    <w:p w14:paraId="624934FD" w14:textId="77777777" w:rsidR="00C96842" w:rsidRPr="00BC16EE" w:rsidRDefault="00C96842" w:rsidP="00BC16EE">
      <w:pPr>
        <w:pStyle w:val="JuSigned"/>
      </w:pPr>
      <w:r>
        <w:tab/>
      </w:r>
      <w:proofErr w:type="spellStart"/>
      <w:r>
        <w:t>Hasan</w:t>
      </w:r>
      <w:proofErr w:type="spellEnd"/>
      <w:r>
        <w:t xml:space="preserve"> </w:t>
      </w:r>
      <w:proofErr w:type="spellStart"/>
      <w:r>
        <w:t>Bakırcı</w:t>
      </w:r>
      <w:proofErr w:type="spellEnd"/>
      <w:r>
        <w:tab/>
        <w:t>Robert Spano</w:t>
      </w:r>
      <w:r>
        <w:br/>
      </w:r>
      <w:r>
        <w:tab/>
        <w:t xml:space="preserve">Zastępca </w:t>
      </w:r>
      <w:r w:rsidR="00EF38B5">
        <w:t>Kanclerza</w:t>
      </w:r>
      <w:r>
        <w:tab/>
        <w:t>Przewodniczący</w:t>
      </w:r>
    </w:p>
    <w:p w14:paraId="2D82A68D" w14:textId="77777777" w:rsidR="002258CD" w:rsidRPr="001408A9" w:rsidRDefault="002258CD" w:rsidP="00BC16EE">
      <w:pPr>
        <w:jc w:val="left"/>
      </w:pPr>
    </w:p>
    <w:p w14:paraId="083C447F" w14:textId="77777777" w:rsidR="00C9700C" w:rsidRPr="00BC16EE" w:rsidRDefault="00C9700C" w:rsidP="00BC16EE">
      <w:pPr>
        <w:pStyle w:val="JuParaLast"/>
      </w:pPr>
      <w:r>
        <w:t xml:space="preserve">Zgodnie z art. 45 ust. 2 Konwencji i Regułą 74 § 2 Regulaminu Trybunału do niniejszego wyroku załączono opinię odrębną sędziego </w:t>
      </w:r>
      <w:proofErr w:type="spellStart"/>
      <w:r>
        <w:t>Lemmensa</w:t>
      </w:r>
      <w:proofErr w:type="spellEnd"/>
      <w:r>
        <w:t>.</w:t>
      </w:r>
    </w:p>
    <w:p w14:paraId="0B1C6460" w14:textId="77777777" w:rsidR="00C9700C" w:rsidRPr="00BC16EE" w:rsidRDefault="00C9700C" w:rsidP="00BC16EE">
      <w:pPr>
        <w:pStyle w:val="JuInitialled"/>
      </w:pPr>
      <w:proofErr w:type="spellStart"/>
      <w:r>
        <w:t>R.S</w:t>
      </w:r>
      <w:proofErr w:type="spellEnd"/>
      <w:r>
        <w:t>.</w:t>
      </w:r>
      <w:r>
        <w:br/>
      </w:r>
      <w:proofErr w:type="spellStart"/>
      <w:r>
        <w:t>H.B</w:t>
      </w:r>
      <w:proofErr w:type="spellEnd"/>
      <w:r>
        <w:t>.</w:t>
      </w:r>
    </w:p>
    <w:p w14:paraId="5B437F1B" w14:textId="77777777" w:rsidR="004D15F3" w:rsidRPr="001408A9" w:rsidRDefault="004D15F3" w:rsidP="00BC16EE"/>
    <w:p w14:paraId="47700C8B" w14:textId="77777777" w:rsidR="00AD08BB" w:rsidRPr="001408A9" w:rsidRDefault="00AD08BB" w:rsidP="00BC16EE">
      <w:pPr>
        <w:sectPr w:rsidR="00AD08BB" w:rsidRPr="001408A9">
          <w:headerReference w:type="even" r:id="rId13"/>
          <w:headerReference w:type="default" r:id="rId14"/>
          <w:footerReference w:type="even" r:id="rId15"/>
          <w:footerReference w:type="default" r:id="rId16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</w:sectPr>
      </w:pPr>
    </w:p>
    <w:p w14:paraId="309E1341" w14:textId="77777777" w:rsidR="00AD08BB" w:rsidRPr="00BC16EE" w:rsidRDefault="00AD08BB" w:rsidP="00BC16EE">
      <w:pPr>
        <w:pStyle w:val="ECHRTitleCentre1"/>
      </w:pPr>
      <w:r>
        <w:lastRenderedPageBreak/>
        <w:t xml:space="preserve">OPINIA ZBIEŻNA SĘDZIEGO </w:t>
      </w:r>
      <w:proofErr w:type="spellStart"/>
      <w:r>
        <w:t>LEMMENSA</w:t>
      </w:r>
      <w:proofErr w:type="spellEnd"/>
    </w:p>
    <w:p w14:paraId="3B556786" w14:textId="2E00E3AA" w:rsidR="00173565" w:rsidRPr="00BC16EE" w:rsidRDefault="00173565" w:rsidP="00BC16EE">
      <w:pPr>
        <w:pStyle w:val="OpiPara"/>
      </w:pPr>
      <w:r>
        <w:t>1.</w:t>
      </w:r>
      <w:r w:rsidR="00A418CB">
        <w:t xml:space="preserve"> </w:t>
      </w:r>
      <w:r>
        <w:t xml:space="preserve">Wraz z większością składu </w:t>
      </w:r>
      <w:r w:rsidR="0019606A">
        <w:t xml:space="preserve">sędziowskiego </w:t>
      </w:r>
      <w:r>
        <w:t>głosowałem za</w:t>
      </w:r>
      <w:r w:rsidR="00B03AC3">
        <w:t> </w:t>
      </w:r>
      <w:r>
        <w:t>stwierdzeniem naruszenia art. 2 Konwencji w aspekcie proceduralnym. Moim zdaniem jednak lepszym rozwiązaniem byłoby stwierdzenie naruszenia art. 6 ust. 1 Konwencji.</w:t>
      </w:r>
    </w:p>
    <w:p w14:paraId="56716163" w14:textId="77777777" w:rsidR="00173565" w:rsidRPr="001408A9" w:rsidRDefault="00173565" w:rsidP="00BC16EE">
      <w:pPr>
        <w:pStyle w:val="OpiPara"/>
      </w:pPr>
    </w:p>
    <w:p w14:paraId="56B1E768" w14:textId="73642988" w:rsidR="00173565" w:rsidRPr="00BC16EE" w:rsidRDefault="00173565" w:rsidP="00BC16EE">
      <w:pPr>
        <w:pStyle w:val="OpiPara"/>
      </w:pPr>
      <w:r>
        <w:t>2.</w:t>
      </w:r>
      <w:r w:rsidR="00A418CB">
        <w:t xml:space="preserve"> </w:t>
      </w:r>
      <w:r>
        <w:t>To właśnie w świetle tego ostatniego postanowienia skarżące zarzucały brak rzetelności postępowania oraz przekroczenie rozsądnego czasu jego trwania (par. 28 wyroku). Większość składu uznała, że zarzuty te</w:t>
      </w:r>
      <w:r w:rsidR="00B03AC3">
        <w:t> </w:t>
      </w:r>
      <w:r>
        <w:t>– jak</w:t>
      </w:r>
      <w:r w:rsidR="007803F9">
        <w:t> </w:t>
      </w:r>
      <w:r>
        <w:t xml:space="preserve">również zarzuty dotyczące odpowiedzialności pozwanego </w:t>
      </w:r>
      <w:r w:rsidR="007D7352">
        <w:t xml:space="preserve">Państwa </w:t>
      </w:r>
      <w:r>
        <w:t>za</w:t>
      </w:r>
      <w:r w:rsidR="007803F9">
        <w:t> </w:t>
      </w:r>
      <w:r>
        <w:t xml:space="preserve">śmierć </w:t>
      </w:r>
      <w:r w:rsidR="000A2194">
        <w:t xml:space="preserve">bliskiej </w:t>
      </w:r>
      <w:r>
        <w:t>osoby skarżących – wymagają rozpatrzenia w świetle art.</w:t>
      </w:r>
      <w:r w:rsidR="00B03AC3">
        <w:t> </w:t>
      </w:r>
      <w:r>
        <w:t>2 Konwencji (par. 30 wyroku).</w:t>
      </w:r>
    </w:p>
    <w:p w14:paraId="020775D3" w14:textId="77777777" w:rsidR="00173565" w:rsidRPr="001408A9" w:rsidRDefault="00173565" w:rsidP="00BC16EE">
      <w:pPr>
        <w:pStyle w:val="OpiPara"/>
      </w:pPr>
    </w:p>
    <w:p w14:paraId="733FC87C" w14:textId="3B54B289" w:rsidR="00173565" w:rsidRPr="00BC16EE" w:rsidRDefault="00173565" w:rsidP="00BC16EE">
      <w:pPr>
        <w:pStyle w:val="OpiPara"/>
      </w:pPr>
      <w:r>
        <w:t xml:space="preserve">Chociaż stanowisko to jest co do zasady trafne w sytuacji, gdy skarżący zarzuca brak skuteczności </w:t>
      </w:r>
      <w:r w:rsidR="001675EA">
        <w:t>śledztwa</w:t>
      </w:r>
      <w:r>
        <w:t xml:space="preserve"> prowadzonego w sprawie okoliczności śmierci, to w niniejszej sprawie</w:t>
      </w:r>
      <w:r w:rsidR="000A2194">
        <w:t>,</w:t>
      </w:r>
      <w:r>
        <w:t xml:space="preserve"> </w:t>
      </w:r>
      <w:r w:rsidR="000A2194">
        <w:t xml:space="preserve">moim zdaniem, </w:t>
      </w:r>
      <w:r>
        <w:t>nie mamy do czynienia z</w:t>
      </w:r>
      <w:r w:rsidR="00B03AC3">
        <w:t> </w:t>
      </w:r>
      <w:r>
        <w:t>takim przypadkiem.</w:t>
      </w:r>
    </w:p>
    <w:p w14:paraId="70FB3D06" w14:textId="77777777" w:rsidR="00173565" w:rsidRPr="001408A9" w:rsidRDefault="00173565" w:rsidP="00BC16EE">
      <w:pPr>
        <w:pStyle w:val="OpiPara"/>
      </w:pPr>
    </w:p>
    <w:p w14:paraId="71610963" w14:textId="28C4A2DD" w:rsidR="00173565" w:rsidRPr="00BC16EE" w:rsidRDefault="00173565" w:rsidP="00BC16EE">
      <w:pPr>
        <w:pStyle w:val="OpiPara"/>
      </w:pPr>
      <w:r>
        <w:t xml:space="preserve">W sprawie </w:t>
      </w:r>
      <w:r>
        <w:rPr>
          <w:i/>
          <w:iCs/>
        </w:rPr>
        <w:t xml:space="preserve">Mustafa </w:t>
      </w:r>
      <w:proofErr w:type="spellStart"/>
      <w:r>
        <w:rPr>
          <w:i/>
          <w:iCs/>
        </w:rPr>
        <w:t>Tunç</w:t>
      </w:r>
      <w:proofErr w:type="spellEnd"/>
      <w:r>
        <w:rPr>
          <w:i/>
          <w:iCs/>
        </w:rPr>
        <w:t xml:space="preserve"> i </w:t>
      </w:r>
      <w:proofErr w:type="spellStart"/>
      <w:r>
        <w:rPr>
          <w:i/>
          <w:iCs/>
        </w:rPr>
        <w:t>Fecire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Tunç</w:t>
      </w:r>
      <w:proofErr w:type="spellEnd"/>
      <w:r>
        <w:t xml:space="preserve"> Trybunał podkreślił, że przy ocenie przestrzegania wymogu proceduralnego na gruncie art. 2 bierze się pod</w:t>
      </w:r>
      <w:r w:rsidR="007803F9">
        <w:t> </w:t>
      </w:r>
      <w:r>
        <w:t>uwagę kilka istotnych czynników: adekwatność środków</w:t>
      </w:r>
      <w:r w:rsidR="00860370">
        <w:t xml:space="preserve"> podjętych</w:t>
      </w:r>
      <w:r>
        <w:t xml:space="preserve"> w</w:t>
      </w:r>
      <w:r w:rsidR="00B03AC3">
        <w:t> </w:t>
      </w:r>
      <w:r>
        <w:t xml:space="preserve">ramach </w:t>
      </w:r>
      <w:r w:rsidR="00860370">
        <w:t>śledztwa</w:t>
      </w:r>
      <w:r>
        <w:t xml:space="preserve">, szybkość prowadzenia </w:t>
      </w:r>
      <w:r w:rsidR="00860370">
        <w:t>śledztwa</w:t>
      </w:r>
      <w:r>
        <w:t xml:space="preserve">, udział osób </w:t>
      </w:r>
      <w:r w:rsidR="00B36720">
        <w:t xml:space="preserve">bliskich </w:t>
      </w:r>
      <w:r w:rsidR="001408A9">
        <w:t>dla</w:t>
      </w:r>
      <w:r w:rsidR="007803F9">
        <w:t> </w:t>
      </w:r>
      <w:r>
        <w:t xml:space="preserve">zmarłego w </w:t>
      </w:r>
      <w:r w:rsidR="00860370">
        <w:t>śledztwie</w:t>
      </w:r>
      <w:r>
        <w:t xml:space="preserve"> oraz niezależny charakter </w:t>
      </w:r>
      <w:r w:rsidR="006C549B">
        <w:t>śledztwa</w:t>
      </w:r>
      <w:r>
        <w:t>. Trybunał wyjaśnił, że czynniki te są ze sobą powiązane i że nie stanowią one celu samego w sobie, jak to ma miejsce na przykład</w:t>
      </w:r>
      <w:r w:rsidR="001436F5">
        <w:t xml:space="preserve"> </w:t>
      </w:r>
      <w:r>
        <w:t>w przypadku wymogu niezależności określonego w art. 6. Dodał, że kryteria te łącznie pozwalają na</w:t>
      </w:r>
      <w:r w:rsidR="007803F9">
        <w:t> </w:t>
      </w:r>
      <w:r>
        <w:t xml:space="preserve">ocenę stopnia skuteczności </w:t>
      </w:r>
      <w:r w:rsidR="00C03B8E">
        <w:t xml:space="preserve">śledztwa </w:t>
      </w:r>
      <w:r>
        <w:t>i że to właśnie w świetle tego celu skuteczności postępowania należy oceniać każdą kwestię (</w:t>
      </w:r>
      <w:r>
        <w:rPr>
          <w:i/>
          <w:iCs/>
        </w:rPr>
        <w:t xml:space="preserve">Mustafa </w:t>
      </w:r>
      <w:proofErr w:type="spellStart"/>
      <w:r>
        <w:rPr>
          <w:i/>
          <w:iCs/>
        </w:rPr>
        <w:t>Tunç</w:t>
      </w:r>
      <w:proofErr w:type="spellEnd"/>
      <w:r>
        <w:rPr>
          <w:i/>
          <w:iCs/>
        </w:rPr>
        <w:t xml:space="preserve"> i</w:t>
      </w:r>
      <w:r w:rsidR="00B03AC3">
        <w:rPr>
          <w:i/>
          <w:iCs/>
        </w:rPr>
        <w:t> </w:t>
      </w:r>
      <w:proofErr w:type="spellStart"/>
      <w:r>
        <w:rPr>
          <w:i/>
          <w:iCs/>
        </w:rPr>
        <w:t>Fecire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Tunç</w:t>
      </w:r>
      <w:proofErr w:type="spellEnd"/>
      <w:r>
        <w:rPr>
          <w:i/>
          <w:iCs/>
        </w:rPr>
        <w:t xml:space="preserve"> przeciwko Turcji</w:t>
      </w:r>
      <w:r>
        <w:t xml:space="preserve"> [</w:t>
      </w:r>
      <w:proofErr w:type="spellStart"/>
      <w:r>
        <w:t>WI</w:t>
      </w:r>
      <w:proofErr w:type="spellEnd"/>
      <w:r>
        <w:t>], nr 24014/05, § 225, 14 kwietnia 2015</w:t>
      </w:r>
      <w:r w:rsidR="00B03AC3">
        <w:t> </w:t>
      </w:r>
      <w:r>
        <w:t>r.).</w:t>
      </w:r>
    </w:p>
    <w:p w14:paraId="32B1FEB2" w14:textId="77777777" w:rsidR="00173565" w:rsidRPr="001408A9" w:rsidRDefault="00173565" w:rsidP="00BC16EE">
      <w:pPr>
        <w:pStyle w:val="OpiPara"/>
      </w:pPr>
    </w:p>
    <w:p w14:paraId="7184C382" w14:textId="55895470" w:rsidR="00173565" w:rsidRPr="00BC16EE" w:rsidRDefault="00173565" w:rsidP="00BC16EE">
      <w:pPr>
        <w:pStyle w:val="OpiPara"/>
      </w:pPr>
      <w:r>
        <w:t xml:space="preserve">Tymczasem w niniejszej sprawie większość składu jednoznacznie uznała, że nie doszło do </w:t>
      </w:r>
      <w:r w:rsidRPr="006C549B">
        <w:t xml:space="preserve">„uchybienia, które </w:t>
      </w:r>
      <w:r w:rsidR="00B36720" w:rsidRPr="006C549B">
        <w:t>podważałoby</w:t>
      </w:r>
      <w:r w:rsidR="00C03B8E">
        <w:t xml:space="preserve"> ogólną</w:t>
      </w:r>
      <w:r w:rsidR="00B36720" w:rsidRPr="006C549B">
        <w:t xml:space="preserve"> </w:t>
      </w:r>
      <w:r w:rsidR="00824E0F">
        <w:t>adekwatn</w:t>
      </w:r>
      <w:r w:rsidR="00B36720" w:rsidRPr="006C549B">
        <w:t xml:space="preserve">ość </w:t>
      </w:r>
      <w:r w:rsidRPr="006C549B">
        <w:t>przeprowadzonego przez organy krajowe postępowania przygotowawczego” oraz że</w:t>
      </w:r>
      <w:r>
        <w:t xml:space="preserve"> skarżące mogły skutecznie uczestniczyć w</w:t>
      </w:r>
      <w:r w:rsidR="00B03AC3">
        <w:t> </w:t>
      </w:r>
      <w:r>
        <w:t>postępowaniu karnym (par. 56 wyroku). Jedyn</w:t>
      </w:r>
      <w:r w:rsidR="002F6FC3">
        <w:t>e niedociągnięcie</w:t>
      </w:r>
      <w:r>
        <w:t>, którego dopatrzyła się większość składu, to zbyt długi czas trwania postępowania karnego</w:t>
      </w:r>
      <w:r w:rsidR="001436F5">
        <w:t xml:space="preserve"> </w:t>
      </w:r>
      <w:r>
        <w:t>i cywilnego (par. 57 wyroku).</w:t>
      </w:r>
    </w:p>
    <w:p w14:paraId="0D4D520F" w14:textId="77777777" w:rsidR="00173565" w:rsidRPr="001408A9" w:rsidRDefault="00173565" w:rsidP="00BC16EE">
      <w:pPr>
        <w:pStyle w:val="OpiPara"/>
      </w:pPr>
    </w:p>
    <w:p w14:paraId="6A51B86D" w14:textId="151ADFF3" w:rsidR="00173565" w:rsidRPr="00BC16EE" w:rsidRDefault="00173565" w:rsidP="00BC16EE">
      <w:pPr>
        <w:pStyle w:val="OpiPara"/>
      </w:pPr>
      <w:r>
        <w:t xml:space="preserve">Biorąc pod uwagę, że ogólnie postępowanie przygotowawcze było odpowiednie, że skarżące mogły w nim uczestniczyć oraz że było ono prowadzone przez niezależny organ ścigania, moim zdaniem lepszym rozwiązaniem było zbadanie kwestii czasu trwania postępowania z punktu </w:t>
      </w:r>
      <w:r>
        <w:lastRenderedPageBreak/>
        <w:t xml:space="preserve">widzenia prawa do </w:t>
      </w:r>
      <w:r w:rsidR="00CC755D">
        <w:t xml:space="preserve">uzyskania </w:t>
      </w:r>
      <w:r>
        <w:t>decyzji w rozsądnym terminie, a zatem z</w:t>
      </w:r>
      <w:r w:rsidR="00B03AC3">
        <w:t> </w:t>
      </w:r>
      <w:r>
        <w:t>punktu widzenia art. 6 ust. 1.</w:t>
      </w:r>
    </w:p>
    <w:p w14:paraId="5C1D2987" w14:textId="77777777" w:rsidR="00173565" w:rsidRPr="001408A9" w:rsidRDefault="00173565" w:rsidP="00BC16EE">
      <w:pPr>
        <w:pStyle w:val="OpiPara"/>
      </w:pPr>
    </w:p>
    <w:p w14:paraId="65CF0A84" w14:textId="54DFDB67" w:rsidR="00173565" w:rsidRPr="00BC16EE" w:rsidRDefault="00173565" w:rsidP="00BC16EE">
      <w:pPr>
        <w:pStyle w:val="OpiPara"/>
      </w:pPr>
      <w:r>
        <w:t>3.</w:t>
      </w:r>
      <w:r w:rsidR="00A418CB">
        <w:t xml:space="preserve"> </w:t>
      </w:r>
      <w:r w:rsidR="00B855C1">
        <w:t xml:space="preserve">Prawdą jest, że </w:t>
      </w:r>
      <w:r>
        <w:t xml:space="preserve">większość składu odniosła się do ogólnych rozważań wymagających szybkiego rozpatrzenia spraw dotyczących zaniedbań medycznych w szpitalach (par. 42 wyroku, w szczególności w odniesieniu do sprawy </w:t>
      </w:r>
      <w:proofErr w:type="spellStart"/>
      <w:r>
        <w:rPr>
          <w:i/>
          <w:iCs/>
        </w:rPr>
        <w:t>Lopes</w:t>
      </w:r>
      <w:proofErr w:type="spellEnd"/>
      <w:r>
        <w:rPr>
          <w:i/>
          <w:iCs/>
        </w:rPr>
        <w:t xml:space="preserve"> de </w:t>
      </w:r>
      <w:proofErr w:type="spellStart"/>
      <w:r>
        <w:rPr>
          <w:i/>
          <w:iCs/>
        </w:rPr>
        <w:t>Sousa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Fernandes</w:t>
      </w:r>
      <w:proofErr w:type="spellEnd"/>
      <w:r>
        <w:rPr>
          <w:i/>
          <w:iCs/>
        </w:rPr>
        <w:t xml:space="preserve"> przeciwko Portugalii</w:t>
      </w:r>
      <w:r>
        <w:t xml:space="preserve"> [</w:t>
      </w:r>
      <w:proofErr w:type="spellStart"/>
      <w:r>
        <w:t>WI</w:t>
      </w:r>
      <w:proofErr w:type="spellEnd"/>
      <w:r>
        <w:t>], nr</w:t>
      </w:r>
      <w:r w:rsidR="00B03AC3">
        <w:t> </w:t>
      </w:r>
      <w:r>
        <w:t xml:space="preserve">56080/13, § 218, 19 grudnia 2017 r.) oraz do </w:t>
      </w:r>
      <w:r w:rsidR="003A61CA">
        <w:t>konieczności wyeliminowania</w:t>
      </w:r>
      <w:r>
        <w:t xml:space="preserve"> </w:t>
      </w:r>
      <w:r w:rsidR="00BD60B3">
        <w:t>uciążliwe</w:t>
      </w:r>
      <w:r w:rsidR="00D7377C">
        <w:t>j niepewności</w:t>
      </w:r>
      <w:r w:rsidR="00BD60B3">
        <w:t xml:space="preserve"> w tej dziedzinie</w:t>
      </w:r>
      <w:r>
        <w:t xml:space="preserve"> (par. 58 wyroku, w odniesieniu</w:t>
      </w:r>
      <w:r w:rsidR="001436F5">
        <w:t xml:space="preserve"> </w:t>
      </w:r>
      <w:r>
        <w:t xml:space="preserve">do sprawy </w:t>
      </w:r>
      <w:proofErr w:type="spellStart"/>
      <w:r>
        <w:rPr>
          <w:i/>
          <w:iCs/>
        </w:rPr>
        <w:t>Lopes</w:t>
      </w:r>
      <w:proofErr w:type="spellEnd"/>
      <w:r>
        <w:rPr>
          <w:i/>
          <w:iCs/>
        </w:rPr>
        <w:t xml:space="preserve"> de </w:t>
      </w:r>
      <w:proofErr w:type="spellStart"/>
      <w:r>
        <w:rPr>
          <w:i/>
          <w:iCs/>
        </w:rPr>
        <w:t>Sousa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Fernandes</w:t>
      </w:r>
      <w:proofErr w:type="spellEnd"/>
      <w:r>
        <w:rPr>
          <w:i/>
          <w:iCs/>
        </w:rPr>
        <w:t>,</w:t>
      </w:r>
      <w:r w:rsidRPr="000A5AFF">
        <w:t xml:space="preserve"> op. cit.</w:t>
      </w:r>
      <w:r>
        <w:t>, § 236).</w:t>
      </w:r>
    </w:p>
    <w:p w14:paraId="52D34810" w14:textId="77777777" w:rsidR="00173565" w:rsidRPr="001408A9" w:rsidRDefault="00173565" w:rsidP="00BC16EE">
      <w:pPr>
        <w:pStyle w:val="OpiPara"/>
      </w:pPr>
    </w:p>
    <w:p w14:paraId="0E806D0D" w14:textId="54960198" w:rsidR="00173565" w:rsidRPr="00BC16EE" w:rsidRDefault="000418C6" w:rsidP="00BC16EE">
      <w:pPr>
        <w:pStyle w:val="OpiPara"/>
      </w:pPr>
      <w:r w:rsidRPr="000418C6">
        <w:t xml:space="preserve">Nie sądzę jednak, aby te argumenty </w:t>
      </w:r>
      <w:r w:rsidR="004D313C">
        <w:t>powinny</w:t>
      </w:r>
      <w:r w:rsidRPr="000418C6">
        <w:t xml:space="preserve"> prowadzić do rezygnacji</w:t>
      </w:r>
      <w:r w:rsidR="001436F5">
        <w:t xml:space="preserve"> </w:t>
      </w:r>
      <w:r w:rsidRPr="000418C6">
        <w:t>z</w:t>
      </w:r>
      <w:r w:rsidR="00B03AC3">
        <w:t> </w:t>
      </w:r>
      <w:r w:rsidRPr="000418C6">
        <w:t>kompleksowego podejścia do dochodzenia, które jest zalecane w wyroku</w:t>
      </w:r>
      <w:r w:rsidR="001436F5">
        <w:t xml:space="preserve"> </w:t>
      </w:r>
      <w:r w:rsidRPr="000418C6">
        <w:t>w</w:t>
      </w:r>
      <w:r w:rsidR="007803F9">
        <w:t> </w:t>
      </w:r>
      <w:bookmarkStart w:id="1" w:name="_GoBack"/>
      <w:bookmarkEnd w:id="1"/>
      <w:r w:rsidRPr="000418C6">
        <w:t>sprawie</w:t>
      </w:r>
      <w:r>
        <w:t xml:space="preserve"> </w:t>
      </w:r>
      <w:r w:rsidR="00173565">
        <w:t xml:space="preserve">w wyroku w sprawie </w:t>
      </w:r>
      <w:r w:rsidR="00173565">
        <w:rPr>
          <w:i/>
          <w:iCs/>
        </w:rPr>
        <w:t xml:space="preserve">Mustafa </w:t>
      </w:r>
      <w:proofErr w:type="spellStart"/>
      <w:r w:rsidR="00173565">
        <w:rPr>
          <w:i/>
          <w:iCs/>
        </w:rPr>
        <w:t>Tunç</w:t>
      </w:r>
      <w:proofErr w:type="spellEnd"/>
      <w:r w:rsidR="00173565">
        <w:rPr>
          <w:i/>
          <w:iCs/>
        </w:rPr>
        <w:t xml:space="preserve"> i </w:t>
      </w:r>
      <w:proofErr w:type="spellStart"/>
      <w:r w:rsidR="00173565">
        <w:rPr>
          <w:i/>
          <w:iCs/>
        </w:rPr>
        <w:t>Fecire</w:t>
      </w:r>
      <w:proofErr w:type="spellEnd"/>
      <w:r w:rsidR="00173565">
        <w:rPr>
          <w:i/>
          <w:iCs/>
        </w:rPr>
        <w:t xml:space="preserve"> </w:t>
      </w:r>
      <w:proofErr w:type="spellStart"/>
      <w:r w:rsidR="00173565">
        <w:rPr>
          <w:i/>
          <w:iCs/>
        </w:rPr>
        <w:t>Tunç</w:t>
      </w:r>
      <w:proofErr w:type="spellEnd"/>
      <w:r w:rsidR="00173565">
        <w:rPr>
          <w:i/>
          <w:iCs/>
        </w:rPr>
        <w:t xml:space="preserve"> </w:t>
      </w:r>
      <w:r w:rsidR="00173565" w:rsidRPr="000A5AFF">
        <w:t>(op. cit.)</w:t>
      </w:r>
      <w:r w:rsidR="00173565">
        <w:t xml:space="preserve">. Mogą one pozwolić na przyjęcie stosunkowo ścisłego podejścia </w:t>
      </w:r>
      <w:r w:rsidR="00643B1C">
        <w:t>do</w:t>
      </w:r>
      <w:r>
        <w:t xml:space="preserve"> oceny</w:t>
      </w:r>
      <w:r w:rsidR="00173565">
        <w:t xml:space="preserve"> zasadności czasu trwania postępowania przygotowawczego, ale podejście takie byłoby równie odpowiednie </w:t>
      </w:r>
      <w:r w:rsidR="00643B1C">
        <w:t xml:space="preserve">w przypadku oceny </w:t>
      </w:r>
      <w:r w:rsidR="00173565">
        <w:t xml:space="preserve">czasu trwania postępowania na </w:t>
      </w:r>
      <w:r w:rsidR="00643B1C">
        <w:t xml:space="preserve">mocy </w:t>
      </w:r>
      <w:r w:rsidR="00173565">
        <w:t>art. 6 ust. 1.</w:t>
      </w:r>
    </w:p>
    <w:p w14:paraId="6FE43A07" w14:textId="77777777" w:rsidR="00173565" w:rsidRPr="001408A9" w:rsidRDefault="00173565" w:rsidP="00BC16EE">
      <w:pPr>
        <w:pStyle w:val="OpiPara"/>
      </w:pPr>
    </w:p>
    <w:p w14:paraId="21930220" w14:textId="3193358E" w:rsidR="00C9700C" w:rsidRPr="00BC16EE" w:rsidRDefault="00173565" w:rsidP="00BC16EE">
      <w:pPr>
        <w:pStyle w:val="OpiPara"/>
      </w:pPr>
      <w:r>
        <w:t>4.</w:t>
      </w:r>
      <w:r w:rsidR="00A418CB">
        <w:t xml:space="preserve"> </w:t>
      </w:r>
      <w:r>
        <w:t xml:space="preserve">Podsumowując, uważam, że większość składu zastosowała proceduralny aspekt art. 2 w sposób, który </w:t>
      </w:r>
      <w:r w:rsidR="00BD60B3">
        <w:t xml:space="preserve">nadmiernie </w:t>
      </w:r>
      <w:r>
        <w:t xml:space="preserve">odbiega od </w:t>
      </w:r>
      <w:r w:rsidR="004449A0">
        <w:t xml:space="preserve">celu </w:t>
      </w:r>
      <w:r>
        <w:t>obowiązku proceduralnego zawartego w tym p</w:t>
      </w:r>
      <w:r w:rsidR="004449A0">
        <w:t>rzepisie</w:t>
      </w:r>
      <w:r>
        <w:t>, jakim jest cel zapewnienia skuteczności ochrony materialnej przewidzianej przez istniejące uregulowania prawne. Ten obowiązek proceduralny stanowi uzupełnienie szczególnych obowiązków określonych w art. 6 ust. 1 w</w:t>
      </w:r>
      <w:r w:rsidR="00B03AC3">
        <w:t> </w:t>
      </w:r>
      <w:r>
        <w:t xml:space="preserve">przypadku sporu dotyczącego „praw o charakterze cywilnym” ofiary. </w:t>
      </w:r>
      <w:r w:rsidR="006262A1">
        <w:t>Jednak a</w:t>
      </w:r>
      <w:r>
        <w:t>rt</w:t>
      </w:r>
      <w:r w:rsidR="006262A1">
        <w:t>.</w:t>
      </w:r>
      <w:r>
        <w:t xml:space="preserve"> 2 nie może </w:t>
      </w:r>
      <w:r w:rsidR="006262A1">
        <w:t xml:space="preserve">czynić zbytecznymi </w:t>
      </w:r>
      <w:r>
        <w:t>gwarancji wynikających z art. 6 ust. 1.</w:t>
      </w:r>
    </w:p>
    <w:p w14:paraId="1FC5488A" w14:textId="77777777" w:rsidR="00BC16EE" w:rsidRPr="001408A9" w:rsidRDefault="00BC16EE" w:rsidP="00BC16EE">
      <w:pPr>
        <w:pStyle w:val="OpiPara"/>
      </w:pPr>
    </w:p>
    <w:sectPr w:rsidR="00BC16EE" w:rsidRPr="001408A9" w:rsidSect="00AD08BB">
      <w:headerReference w:type="even" r:id="rId17"/>
      <w:headerReference w:type="default" r:id="rId18"/>
      <w:footnotePr>
        <w:numRestart w:val="eachSect"/>
      </w:footnotePr>
      <w:pgSz w:w="11906" w:h="16838" w:code="9"/>
      <w:pgMar w:top="2274" w:right="2274" w:bottom="2274" w:left="2274" w:header="1701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14AABD" w14:textId="77777777" w:rsidR="0075448F" w:rsidRPr="001D19C3" w:rsidRDefault="0075448F" w:rsidP="002D2C99">
      <w:pPr>
        <w:rPr>
          <w:lang w:val="fr-FR"/>
        </w:rPr>
      </w:pPr>
      <w:r w:rsidRPr="001D19C3">
        <w:rPr>
          <w:lang w:val="fr-FR"/>
        </w:rPr>
        <w:separator/>
      </w:r>
    </w:p>
  </w:endnote>
  <w:endnote w:type="continuationSeparator" w:id="0">
    <w:p w14:paraId="33C8659F" w14:textId="77777777" w:rsidR="0075448F" w:rsidRPr="001D19C3" w:rsidRDefault="0075448F" w:rsidP="002D2C99">
      <w:pPr>
        <w:rPr>
          <w:lang w:val="fr-FR"/>
        </w:rPr>
      </w:pPr>
      <w:r w:rsidRPr="001D19C3">
        <w:rPr>
          <w:lang w:val="fr-FR"/>
        </w:rPr>
        <w:continuationSeparator/>
      </w:r>
    </w:p>
  </w:endnote>
  <w:endnote w:type="continuationNotice" w:id="1">
    <w:p w14:paraId="5AABFE0E" w14:textId="77777777" w:rsidR="0075448F" w:rsidRDefault="0075448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190CE" w14:textId="30342037" w:rsidR="00434361" w:rsidRPr="00150BFA" w:rsidRDefault="000B3071" w:rsidP="00C87DCF">
    <w:pPr>
      <w:jc w:val="center"/>
    </w:pPr>
    <w:r>
      <w:rPr>
        <w:noProof/>
        <w:lang w:eastAsia="pl-PL"/>
      </w:rPr>
      <w:drawing>
        <wp:inline distT="0" distB="0" distL="0" distR="0" wp14:anchorId="50FA2CB3" wp14:editId="560C4807">
          <wp:extent cx="771525" cy="619125"/>
          <wp:effectExtent l="0" t="0" r="9525" b="9525"/>
          <wp:docPr id="2" name="Picture 3" descr="ECHR_CoverpageCS61_ECHR_Coverpage_Footer_COE_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CHR_CoverpageCS61_ECHR_Coverpage_Footer_COE_Bl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71D2AD8" w14:textId="77777777" w:rsidR="00434361" w:rsidRPr="001D19C3" w:rsidRDefault="00434361" w:rsidP="00C87DCF">
    <w:pPr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907C7" w14:textId="77777777" w:rsidR="00434361" w:rsidRDefault="00434361" w:rsidP="00C87DCF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987AF" w14:textId="77777777" w:rsidR="00434361" w:rsidRDefault="00434361" w:rsidP="00C87DC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8A97BA" w14:textId="77777777" w:rsidR="0075448F" w:rsidRPr="001D19C3" w:rsidRDefault="0075448F" w:rsidP="002D2C99">
      <w:pPr>
        <w:rPr>
          <w:lang w:val="fr-FR"/>
        </w:rPr>
      </w:pPr>
      <w:r w:rsidRPr="001D19C3">
        <w:rPr>
          <w:lang w:val="fr-FR"/>
        </w:rPr>
        <w:separator/>
      </w:r>
    </w:p>
  </w:footnote>
  <w:footnote w:type="continuationSeparator" w:id="0">
    <w:p w14:paraId="73E7E0EE" w14:textId="77777777" w:rsidR="0075448F" w:rsidRPr="001D19C3" w:rsidRDefault="0075448F" w:rsidP="002D2C99">
      <w:pPr>
        <w:rPr>
          <w:lang w:val="fr-FR"/>
        </w:rPr>
      </w:pPr>
      <w:r w:rsidRPr="001D19C3">
        <w:rPr>
          <w:lang w:val="fr-FR"/>
        </w:rPr>
        <w:continuationSeparator/>
      </w:r>
    </w:p>
  </w:footnote>
  <w:footnote w:type="continuationNotice" w:id="1">
    <w:p w14:paraId="02F29660" w14:textId="77777777" w:rsidR="0075448F" w:rsidRDefault="0075448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7C9179" w14:textId="2FCB718A" w:rsidR="00434361" w:rsidRPr="00A45145" w:rsidRDefault="000B3071" w:rsidP="00C87DCF">
    <w:pPr>
      <w:jc w:val="center"/>
    </w:pPr>
    <w:r>
      <w:rPr>
        <w:noProof/>
        <w:lang w:eastAsia="pl-PL"/>
      </w:rPr>
      <w:drawing>
        <wp:inline distT="0" distB="0" distL="0" distR="0" wp14:anchorId="16017535" wp14:editId="4365B487">
          <wp:extent cx="2962275" cy="1219200"/>
          <wp:effectExtent l="0" t="0" r="9525" b="0"/>
          <wp:docPr id="1" name="Picture 4" descr="ECHR_CoverpageCS61_ECHR_Coverpage_Header_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ECHR_CoverpageCS61_ECHR_Coverpage_Header_Bl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E5C9C4" w14:textId="77777777" w:rsidR="00434361" w:rsidRPr="001D19C3" w:rsidRDefault="00434361" w:rsidP="00F5432B">
    <w:pPr>
      <w:jc w:val="center"/>
      <w:rPr>
        <w:lang w:val="fr-F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87B3D9" w14:textId="0DD02A24" w:rsidR="00434361" w:rsidRPr="00F5432B" w:rsidRDefault="00434361" w:rsidP="00F5432B">
    <w:pPr>
      <w:pStyle w:val="ECHRHeader"/>
    </w:pPr>
    <w:r>
      <w:rPr>
        <w:rStyle w:val="Numerstrony"/>
      </w:rPr>
      <w:fldChar w:fldCharType="begin"/>
    </w:r>
    <w:r w:rsidRPr="00C96842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803F9">
      <w:rPr>
        <w:rStyle w:val="Numerstrony"/>
        <w:noProof/>
      </w:rPr>
      <w:t>12</w:t>
    </w:r>
    <w:r>
      <w:rPr>
        <w:rStyle w:val="Numerstrony"/>
      </w:rPr>
      <w:fldChar w:fldCharType="end"/>
    </w:r>
    <w:r>
      <w:tab/>
      <w:t>WYROK W SPRAWIE YİRDEM I INNI PRZECIWKO TURCJI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287F12" w14:textId="1EDF2A81" w:rsidR="00434361" w:rsidRPr="00C96842" w:rsidRDefault="00434361" w:rsidP="00420F04">
    <w:pPr>
      <w:pStyle w:val="ECHRHeader"/>
    </w:pPr>
    <w:r>
      <w:tab/>
      <w:t>WYROK W SPRAWIE YİRDEM I INNI PRZECIWKO TURCJI</w:t>
    </w:r>
    <w:r>
      <w:tab/>
    </w:r>
    <w:r>
      <w:rPr>
        <w:rStyle w:val="Numerstrony"/>
      </w:rPr>
      <w:fldChar w:fldCharType="begin"/>
    </w:r>
    <w:r w:rsidRPr="00C96842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803F9">
      <w:rPr>
        <w:rStyle w:val="Numerstrony"/>
        <w:noProof/>
      </w:rPr>
      <w:t>11</w:t>
    </w:r>
    <w:r>
      <w:rPr>
        <w:rStyle w:val="Numerstrony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9EE8EB" w14:textId="7F308A13" w:rsidR="00434361" w:rsidRPr="00F5432B" w:rsidRDefault="00434361" w:rsidP="00F5432B">
    <w:pPr>
      <w:pStyle w:val="ECHRHeader"/>
    </w:pPr>
    <w:r>
      <w:rPr>
        <w:rStyle w:val="Numerstrony"/>
      </w:rPr>
      <w:fldChar w:fldCharType="begin"/>
    </w:r>
    <w:r w:rsidRPr="00C96842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803F9">
      <w:rPr>
        <w:rStyle w:val="Numerstrony"/>
        <w:noProof/>
      </w:rPr>
      <w:t>14</w:t>
    </w:r>
    <w:r>
      <w:rPr>
        <w:rStyle w:val="Numerstrony"/>
      </w:rPr>
      <w:fldChar w:fldCharType="end"/>
    </w:r>
    <w:r>
      <w:tab/>
      <w:t>WYROK W SPRAWIE YİRDEM I INNI PRZECIWKO TURCJI – OPINIA ODRĘBNA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35ECA2" w14:textId="5B021836" w:rsidR="00434361" w:rsidRPr="00C96842" w:rsidRDefault="00434361" w:rsidP="00420F04">
    <w:pPr>
      <w:pStyle w:val="ECHRHeader"/>
    </w:pPr>
    <w:r>
      <w:tab/>
      <w:t>WYROK W SPRAWIE YİRDEM I INNI PRZECIWKO TURCJI – OPINIA ODRĘBNA</w:t>
    </w:r>
    <w:r>
      <w:tab/>
    </w:r>
    <w:r>
      <w:rPr>
        <w:rStyle w:val="Numerstrony"/>
      </w:rPr>
      <w:fldChar w:fldCharType="begin"/>
    </w:r>
    <w:r w:rsidRPr="00C96842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803F9">
      <w:rPr>
        <w:rStyle w:val="Numerstrony"/>
        <w:noProof/>
      </w:rPr>
      <w:t>13</w:t>
    </w:r>
    <w:r>
      <w:rPr>
        <w:rStyle w:val="Numerstrony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A08B0C2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CF25AF4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B02EDC2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1E60D70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D2AA4F54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9E2214A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DDCF244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04BE7E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2A84908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8CC5F4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635BF8"/>
    <w:multiLevelType w:val="hybridMultilevel"/>
    <w:tmpl w:val="528C16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363396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F4B36E4"/>
    <w:multiLevelType w:val="multilevel"/>
    <w:tmpl w:val="9B34AC6C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3" w15:restartNumberingAfterBreak="0">
    <w:nsid w:val="388D47DE"/>
    <w:multiLevelType w:val="multilevel"/>
    <w:tmpl w:val="8012C870"/>
    <w:lvl w:ilvl="0">
      <w:start w:val="1"/>
      <w:numFmt w:val="decimal"/>
      <w:lvlText w:val="%1."/>
      <w:lvlJc w:val="left"/>
      <w:pPr>
        <w:ind w:left="992" w:hanging="42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50201130"/>
    <w:multiLevelType w:val="multilevel"/>
    <w:tmpl w:val="F842BC8C"/>
    <w:lvl w:ilvl="0">
      <w:start w:val="1"/>
      <w:numFmt w:val="bullet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/>
      </w:rPr>
    </w:lvl>
    <w:lvl w:ilvl="1">
      <w:start w:val="1"/>
      <w:numFmt w:val="bullet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/>
      </w:rPr>
    </w:lvl>
    <w:lvl w:ilvl="3">
      <w:start w:val="1"/>
      <w:numFmt w:val="bullet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5" w15:restartNumberingAfterBreak="0">
    <w:nsid w:val="5B4233A6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70152ADB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3"/>
  </w:num>
  <w:num w:numId="2">
    <w:abstractNumId w:val="14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2"/>
  </w:num>
  <w:num w:numId="6">
    <w:abstractNumId w:val="14"/>
  </w:num>
  <w:num w:numId="7">
    <w:abstractNumId w:val="12"/>
  </w:num>
  <w:num w:numId="8">
    <w:abstractNumId w:val="7"/>
  </w:num>
  <w:num w:numId="9">
    <w:abstractNumId w:val="16"/>
  </w:num>
  <w:num w:numId="10">
    <w:abstractNumId w:val="15"/>
  </w:num>
  <w:num w:numId="11">
    <w:abstractNumId w:val="11"/>
  </w:num>
  <w:num w:numId="12">
    <w:abstractNumId w:val="9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17"/>
  </w:num>
  <w:num w:numId="22">
    <w:abstractNumId w:val="17"/>
  </w:num>
  <w:num w:numId="23">
    <w:abstractNumId w:val="17"/>
  </w:num>
  <w:num w:numId="24">
    <w:abstractNumId w:val="17"/>
  </w:num>
  <w:num w:numId="25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doNotDisplayPageBoundaries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MM" w:val="0"/>
    <w:docVar w:name="NBEMMDOC" w:val="0"/>
  </w:docVars>
  <w:rsids>
    <w:rsidRoot w:val="00C96842"/>
    <w:rsid w:val="00001400"/>
    <w:rsid w:val="00001D45"/>
    <w:rsid w:val="000041F8"/>
    <w:rsid w:val="000042A8"/>
    <w:rsid w:val="00004308"/>
    <w:rsid w:val="00005BF0"/>
    <w:rsid w:val="00007154"/>
    <w:rsid w:val="000103AE"/>
    <w:rsid w:val="00011D69"/>
    <w:rsid w:val="00012AD3"/>
    <w:rsid w:val="00013416"/>
    <w:rsid w:val="000136B0"/>
    <w:rsid w:val="00013E3B"/>
    <w:rsid w:val="00015C2D"/>
    <w:rsid w:val="00015F00"/>
    <w:rsid w:val="00016F0E"/>
    <w:rsid w:val="00022C1D"/>
    <w:rsid w:val="00023B22"/>
    <w:rsid w:val="0002588D"/>
    <w:rsid w:val="000308B1"/>
    <w:rsid w:val="00033240"/>
    <w:rsid w:val="00034987"/>
    <w:rsid w:val="00035618"/>
    <w:rsid w:val="00037CFF"/>
    <w:rsid w:val="000418C6"/>
    <w:rsid w:val="0004683A"/>
    <w:rsid w:val="0005221A"/>
    <w:rsid w:val="00052E1D"/>
    <w:rsid w:val="000602DF"/>
    <w:rsid w:val="00061B05"/>
    <w:rsid w:val="0006264D"/>
    <w:rsid w:val="000632D5"/>
    <w:rsid w:val="000644EE"/>
    <w:rsid w:val="00067D64"/>
    <w:rsid w:val="00070118"/>
    <w:rsid w:val="0007639E"/>
    <w:rsid w:val="0008691D"/>
    <w:rsid w:val="00087A1D"/>
    <w:rsid w:val="000925AD"/>
    <w:rsid w:val="00092D63"/>
    <w:rsid w:val="000A069E"/>
    <w:rsid w:val="000A1615"/>
    <w:rsid w:val="000A2194"/>
    <w:rsid w:val="000A24EB"/>
    <w:rsid w:val="000A29BF"/>
    <w:rsid w:val="000A5AFF"/>
    <w:rsid w:val="000B3071"/>
    <w:rsid w:val="000B6923"/>
    <w:rsid w:val="000C5F3C"/>
    <w:rsid w:val="000C6DCC"/>
    <w:rsid w:val="000C6E94"/>
    <w:rsid w:val="000D2BB3"/>
    <w:rsid w:val="000D47AA"/>
    <w:rsid w:val="000D721F"/>
    <w:rsid w:val="000E069B"/>
    <w:rsid w:val="000E0E82"/>
    <w:rsid w:val="000E1DC5"/>
    <w:rsid w:val="000E223F"/>
    <w:rsid w:val="000E298D"/>
    <w:rsid w:val="000E7D45"/>
    <w:rsid w:val="000F687A"/>
    <w:rsid w:val="000F7851"/>
    <w:rsid w:val="00104E23"/>
    <w:rsid w:val="0010597F"/>
    <w:rsid w:val="00105C08"/>
    <w:rsid w:val="00111B0C"/>
    <w:rsid w:val="00113424"/>
    <w:rsid w:val="00120D6C"/>
    <w:rsid w:val="00125108"/>
    <w:rsid w:val="001257EC"/>
    <w:rsid w:val="00127B42"/>
    <w:rsid w:val="00133D33"/>
    <w:rsid w:val="00134D64"/>
    <w:rsid w:val="00135A30"/>
    <w:rsid w:val="0013612C"/>
    <w:rsid w:val="001365B3"/>
    <w:rsid w:val="00137FF6"/>
    <w:rsid w:val="001408A9"/>
    <w:rsid w:val="00141650"/>
    <w:rsid w:val="001436F5"/>
    <w:rsid w:val="00162A12"/>
    <w:rsid w:val="00166530"/>
    <w:rsid w:val="001675EA"/>
    <w:rsid w:val="0017202F"/>
    <w:rsid w:val="00173565"/>
    <w:rsid w:val="001832BD"/>
    <w:rsid w:val="00190FAC"/>
    <w:rsid w:val="001943B5"/>
    <w:rsid w:val="00195134"/>
    <w:rsid w:val="0019606A"/>
    <w:rsid w:val="00197AEF"/>
    <w:rsid w:val="001A145B"/>
    <w:rsid w:val="001A4D64"/>
    <w:rsid w:val="001A5939"/>
    <w:rsid w:val="001A674C"/>
    <w:rsid w:val="001A68BC"/>
    <w:rsid w:val="001B07F1"/>
    <w:rsid w:val="001B3B24"/>
    <w:rsid w:val="001C0F98"/>
    <w:rsid w:val="001C2A42"/>
    <w:rsid w:val="001D19C3"/>
    <w:rsid w:val="001D63ED"/>
    <w:rsid w:val="001D7348"/>
    <w:rsid w:val="001E035B"/>
    <w:rsid w:val="001E0961"/>
    <w:rsid w:val="001E0D27"/>
    <w:rsid w:val="001E3EAE"/>
    <w:rsid w:val="001E6F32"/>
    <w:rsid w:val="001F2145"/>
    <w:rsid w:val="001F6262"/>
    <w:rsid w:val="001F67B0"/>
    <w:rsid w:val="001F7B3D"/>
    <w:rsid w:val="00203FBD"/>
    <w:rsid w:val="00205F9F"/>
    <w:rsid w:val="00210338"/>
    <w:rsid w:val="002115FC"/>
    <w:rsid w:val="0021423C"/>
    <w:rsid w:val="00215E2E"/>
    <w:rsid w:val="002258CD"/>
    <w:rsid w:val="00226496"/>
    <w:rsid w:val="00226BC3"/>
    <w:rsid w:val="00230D00"/>
    <w:rsid w:val="00231DF7"/>
    <w:rsid w:val="00231FD1"/>
    <w:rsid w:val="002339E0"/>
    <w:rsid w:val="00233CF8"/>
    <w:rsid w:val="0023575D"/>
    <w:rsid w:val="00237148"/>
    <w:rsid w:val="0024222D"/>
    <w:rsid w:val="00244B0E"/>
    <w:rsid w:val="00244F6C"/>
    <w:rsid w:val="00244FC3"/>
    <w:rsid w:val="002455E3"/>
    <w:rsid w:val="002532C5"/>
    <w:rsid w:val="00256533"/>
    <w:rsid w:val="00260C03"/>
    <w:rsid w:val="0026305B"/>
    <w:rsid w:val="0026540E"/>
    <w:rsid w:val="002730DC"/>
    <w:rsid w:val="00275123"/>
    <w:rsid w:val="0027566E"/>
    <w:rsid w:val="00282240"/>
    <w:rsid w:val="002948AD"/>
    <w:rsid w:val="00294F8B"/>
    <w:rsid w:val="002973BC"/>
    <w:rsid w:val="002A01CC"/>
    <w:rsid w:val="002A07BF"/>
    <w:rsid w:val="002A61B1"/>
    <w:rsid w:val="002A663C"/>
    <w:rsid w:val="002A7681"/>
    <w:rsid w:val="002B1E1F"/>
    <w:rsid w:val="002B444B"/>
    <w:rsid w:val="002B5887"/>
    <w:rsid w:val="002C0E27"/>
    <w:rsid w:val="002C3040"/>
    <w:rsid w:val="002C4518"/>
    <w:rsid w:val="002C6F79"/>
    <w:rsid w:val="002D022D"/>
    <w:rsid w:val="002D1BE8"/>
    <w:rsid w:val="002D24BB"/>
    <w:rsid w:val="002D2C99"/>
    <w:rsid w:val="002E6F2F"/>
    <w:rsid w:val="002F2AF7"/>
    <w:rsid w:val="002F6FC3"/>
    <w:rsid w:val="002F7E1C"/>
    <w:rsid w:val="00301A75"/>
    <w:rsid w:val="00302F70"/>
    <w:rsid w:val="0030336F"/>
    <w:rsid w:val="0030375E"/>
    <w:rsid w:val="00312A30"/>
    <w:rsid w:val="00320F72"/>
    <w:rsid w:val="0032463E"/>
    <w:rsid w:val="00326224"/>
    <w:rsid w:val="00330391"/>
    <w:rsid w:val="00336456"/>
    <w:rsid w:val="00337EE4"/>
    <w:rsid w:val="00340FFD"/>
    <w:rsid w:val="003506B1"/>
    <w:rsid w:val="00350E64"/>
    <w:rsid w:val="0035563C"/>
    <w:rsid w:val="00356AC7"/>
    <w:rsid w:val="003609FA"/>
    <w:rsid w:val="003705CD"/>
    <w:rsid w:val="003710C8"/>
    <w:rsid w:val="003750BE"/>
    <w:rsid w:val="00375BD9"/>
    <w:rsid w:val="00387B9D"/>
    <w:rsid w:val="0039364F"/>
    <w:rsid w:val="0039451B"/>
    <w:rsid w:val="0039551A"/>
    <w:rsid w:val="00396686"/>
    <w:rsid w:val="0039778E"/>
    <w:rsid w:val="003A61CA"/>
    <w:rsid w:val="003B1084"/>
    <w:rsid w:val="003B4941"/>
    <w:rsid w:val="003B6808"/>
    <w:rsid w:val="003C5714"/>
    <w:rsid w:val="003C6B9F"/>
    <w:rsid w:val="003C6E2A"/>
    <w:rsid w:val="003D0299"/>
    <w:rsid w:val="003D1C00"/>
    <w:rsid w:val="003E6D80"/>
    <w:rsid w:val="003F05FA"/>
    <w:rsid w:val="003F244A"/>
    <w:rsid w:val="003F30B8"/>
    <w:rsid w:val="003F4C45"/>
    <w:rsid w:val="003F5F7B"/>
    <w:rsid w:val="003F7D64"/>
    <w:rsid w:val="00414300"/>
    <w:rsid w:val="00420F04"/>
    <w:rsid w:val="00422717"/>
    <w:rsid w:val="00425C67"/>
    <w:rsid w:val="0042706B"/>
    <w:rsid w:val="00427E7A"/>
    <w:rsid w:val="00434361"/>
    <w:rsid w:val="00436C49"/>
    <w:rsid w:val="004449A0"/>
    <w:rsid w:val="00445366"/>
    <w:rsid w:val="00447F5B"/>
    <w:rsid w:val="00461DB0"/>
    <w:rsid w:val="00463926"/>
    <w:rsid w:val="00464C9A"/>
    <w:rsid w:val="00474F3D"/>
    <w:rsid w:val="00477E3A"/>
    <w:rsid w:val="00483E5F"/>
    <w:rsid w:val="004851DB"/>
    <w:rsid w:val="00485FF9"/>
    <w:rsid w:val="004907F0"/>
    <w:rsid w:val="0049140B"/>
    <w:rsid w:val="004923A5"/>
    <w:rsid w:val="0049367B"/>
    <w:rsid w:val="004947E3"/>
    <w:rsid w:val="00496BFB"/>
    <w:rsid w:val="004A00E5"/>
    <w:rsid w:val="004A030A"/>
    <w:rsid w:val="004A0CB2"/>
    <w:rsid w:val="004A15C7"/>
    <w:rsid w:val="004A168D"/>
    <w:rsid w:val="004A3C89"/>
    <w:rsid w:val="004A7003"/>
    <w:rsid w:val="004B013B"/>
    <w:rsid w:val="004B112B"/>
    <w:rsid w:val="004C01E4"/>
    <w:rsid w:val="004C086C"/>
    <w:rsid w:val="004C15AA"/>
    <w:rsid w:val="004C1EDA"/>
    <w:rsid w:val="004C1F56"/>
    <w:rsid w:val="004C27BC"/>
    <w:rsid w:val="004C72BB"/>
    <w:rsid w:val="004D08A9"/>
    <w:rsid w:val="004D15F3"/>
    <w:rsid w:val="004D2CC8"/>
    <w:rsid w:val="004D313C"/>
    <w:rsid w:val="004D5311"/>
    <w:rsid w:val="004D5DCC"/>
    <w:rsid w:val="004F10AF"/>
    <w:rsid w:val="004F11A4"/>
    <w:rsid w:val="004F2389"/>
    <w:rsid w:val="004F304D"/>
    <w:rsid w:val="004F61BE"/>
    <w:rsid w:val="004F66B1"/>
    <w:rsid w:val="0050265B"/>
    <w:rsid w:val="00511C07"/>
    <w:rsid w:val="005166A7"/>
    <w:rsid w:val="0051730C"/>
    <w:rsid w:val="005173A6"/>
    <w:rsid w:val="00520BAA"/>
    <w:rsid w:val="005236D5"/>
    <w:rsid w:val="00525208"/>
    <w:rsid w:val="005257A5"/>
    <w:rsid w:val="005264C0"/>
    <w:rsid w:val="00526A8A"/>
    <w:rsid w:val="00531DF2"/>
    <w:rsid w:val="00533AB7"/>
    <w:rsid w:val="005442EE"/>
    <w:rsid w:val="005463C3"/>
    <w:rsid w:val="00547353"/>
    <w:rsid w:val="005474E7"/>
    <w:rsid w:val="005512A3"/>
    <w:rsid w:val="00556146"/>
    <w:rsid w:val="005569EA"/>
    <w:rsid w:val="005578CE"/>
    <w:rsid w:val="00560492"/>
    <w:rsid w:val="00562781"/>
    <w:rsid w:val="00567FB5"/>
    <w:rsid w:val="0057150B"/>
    <w:rsid w:val="00571891"/>
    <w:rsid w:val="0057271C"/>
    <w:rsid w:val="00572845"/>
    <w:rsid w:val="00575F14"/>
    <w:rsid w:val="00590B69"/>
    <w:rsid w:val="00592772"/>
    <w:rsid w:val="0059574A"/>
    <w:rsid w:val="005A1B9B"/>
    <w:rsid w:val="005A3CEA"/>
    <w:rsid w:val="005A6751"/>
    <w:rsid w:val="005B092E"/>
    <w:rsid w:val="005B152C"/>
    <w:rsid w:val="005B1EE0"/>
    <w:rsid w:val="005B2B24"/>
    <w:rsid w:val="005B4425"/>
    <w:rsid w:val="005B4B94"/>
    <w:rsid w:val="005B4CCF"/>
    <w:rsid w:val="005C3EE8"/>
    <w:rsid w:val="005C7848"/>
    <w:rsid w:val="005D34F9"/>
    <w:rsid w:val="005D4190"/>
    <w:rsid w:val="005D48AB"/>
    <w:rsid w:val="005D67A3"/>
    <w:rsid w:val="005E0E1B"/>
    <w:rsid w:val="005E2988"/>
    <w:rsid w:val="005E3085"/>
    <w:rsid w:val="005E5299"/>
    <w:rsid w:val="005F51E1"/>
    <w:rsid w:val="006038BE"/>
    <w:rsid w:val="00607BBA"/>
    <w:rsid w:val="00611C80"/>
    <w:rsid w:val="00616A67"/>
    <w:rsid w:val="00616CC4"/>
    <w:rsid w:val="00620692"/>
    <w:rsid w:val="00624003"/>
    <w:rsid w:val="006242CA"/>
    <w:rsid w:val="006262A1"/>
    <w:rsid w:val="00627507"/>
    <w:rsid w:val="00627FD2"/>
    <w:rsid w:val="00631056"/>
    <w:rsid w:val="00633717"/>
    <w:rsid w:val="006344E1"/>
    <w:rsid w:val="00643B1C"/>
    <w:rsid w:val="006545C4"/>
    <w:rsid w:val="00661971"/>
    <w:rsid w:val="00661CE8"/>
    <w:rsid w:val="006623D9"/>
    <w:rsid w:val="00664EE8"/>
    <w:rsid w:val="0066550C"/>
    <w:rsid w:val="006716F2"/>
    <w:rsid w:val="00682BF2"/>
    <w:rsid w:val="006859CE"/>
    <w:rsid w:val="0069088B"/>
    <w:rsid w:val="00691270"/>
    <w:rsid w:val="00691435"/>
    <w:rsid w:val="00694BA8"/>
    <w:rsid w:val="006A037C"/>
    <w:rsid w:val="006A08BF"/>
    <w:rsid w:val="006A1352"/>
    <w:rsid w:val="006A36F4"/>
    <w:rsid w:val="006A406F"/>
    <w:rsid w:val="006A5D3A"/>
    <w:rsid w:val="006B172B"/>
    <w:rsid w:val="006B5B63"/>
    <w:rsid w:val="006B7892"/>
    <w:rsid w:val="006C11A6"/>
    <w:rsid w:val="006C23D4"/>
    <w:rsid w:val="006C549B"/>
    <w:rsid w:val="006C7BB0"/>
    <w:rsid w:val="006D0EFD"/>
    <w:rsid w:val="006D3237"/>
    <w:rsid w:val="006D70B1"/>
    <w:rsid w:val="006E2E37"/>
    <w:rsid w:val="006E3CF1"/>
    <w:rsid w:val="006E4CF3"/>
    <w:rsid w:val="006E7E80"/>
    <w:rsid w:val="006F48CA"/>
    <w:rsid w:val="006F64DD"/>
    <w:rsid w:val="00715127"/>
    <w:rsid w:val="00715E8E"/>
    <w:rsid w:val="00723580"/>
    <w:rsid w:val="00723755"/>
    <w:rsid w:val="0073136C"/>
    <w:rsid w:val="00731F0F"/>
    <w:rsid w:val="00733250"/>
    <w:rsid w:val="00741404"/>
    <w:rsid w:val="007449E5"/>
    <w:rsid w:val="00746889"/>
    <w:rsid w:val="00747FF0"/>
    <w:rsid w:val="0075448F"/>
    <w:rsid w:val="00762985"/>
    <w:rsid w:val="00763FBA"/>
    <w:rsid w:val="007649B4"/>
    <w:rsid w:val="00764D4E"/>
    <w:rsid w:val="00765A1F"/>
    <w:rsid w:val="00767573"/>
    <w:rsid w:val="007675D3"/>
    <w:rsid w:val="00772354"/>
    <w:rsid w:val="007730AE"/>
    <w:rsid w:val="00775B6D"/>
    <w:rsid w:val="00776D68"/>
    <w:rsid w:val="007803F9"/>
    <w:rsid w:val="00784A69"/>
    <w:rsid w:val="007850EE"/>
    <w:rsid w:val="00785B95"/>
    <w:rsid w:val="0078758D"/>
    <w:rsid w:val="007907DE"/>
    <w:rsid w:val="00790E96"/>
    <w:rsid w:val="00793366"/>
    <w:rsid w:val="00793445"/>
    <w:rsid w:val="00796DAA"/>
    <w:rsid w:val="007A37E9"/>
    <w:rsid w:val="007A3B0E"/>
    <w:rsid w:val="007A716F"/>
    <w:rsid w:val="007B270A"/>
    <w:rsid w:val="007C033F"/>
    <w:rsid w:val="007C0695"/>
    <w:rsid w:val="007C3CB5"/>
    <w:rsid w:val="007C419A"/>
    <w:rsid w:val="007C4CC8"/>
    <w:rsid w:val="007C4E7D"/>
    <w:rsid w:val="007C5426"/>
    <w:rsid w:val="007C5798"/>
    <w:rsid w:val="007D00C3"/>
    <w:rsid w:val="007D4832"/>
    <w:rsid w:val="007D4F74"/>
    <w:rsid w:val="007D6E11"/>
    <w:rsid w:val="007D6FB0"/>
    <w:rsid w:val="007D7352"/>
    <w:rsid w:val="007E12BC"/>
    <w:rsid w:val="007E21B2"/>
    <w:rsid w:val="007E2C4E"/>
    <w:rsid w:val="007F076E"/>
    <w:rsid w:val="007F1905"/>
    <w:rsid w:val="00801300"/>
    <w:rsid w:val="00802C64"/>
    <w:rsid w:val="00805E52"/>
    <w:rsid w:val="008061D0"/>
    <w:rsid w:val="00810B38"/>
    <w:rsid w:val="008204C7"/>
    <w:rsid w:val="00820992"/>
    <w:rsid w:val="00823602"/>
    <w:rsid w:val="00824E0F"/>
    <w:rsid w:val="008255F5"/>
    <w:rsid w:val="0082664B"/>
    <w:rsid w:val="0083014E"/>
    <w:rsid w:val="008319E7"/>
    <w:rsid w:val="0083214A"/>
    <w:rsid w:val="00834220"/>
    <w:rsid w:val="008362AB"/>
    <w:rsid w:val="00837EFC"/>
    <w:rsid w:val="00845723"/>
    <w:rsid w:val="008470A3"/>
    <w:rsid w:val="00850763"/>
    <w:rsid w:val="00851EF9"/>
    <w:rsid w:val="008577FD"/>
    <w:rsid w:val="00860370"/>
    <w:rsid w:val="00860B03"/>
    <w:rsid w:val="008626AD"/>
    <w:rsid w:val="0086497A"/>
    <w:rsid w:val="008713A1"/>
    <w:rsid w:val="008754AB"/>
    <w:rsid w:val="008802A9"/>
    <w:rsid w:val="0088060C"/>
    <w:rsid w:val="00881F38"/>
    <w:rsid w:val="008865BA"/>
    <w:rsid w:val="00893576"/>
    <w:rsid w:val="00893E73"/>
    <w:rsid w:val="0089527D"/>
    <w:rsid w:val="008B02DC"/>
    <w:rsid w:val="008B57CE"/>
    <w:rsid w:val="008C177B"/>
    <w:rsid w:val="008C26DE"/>
    <w:rsid w:val="008C69A8"/>
    <w:rsid w:val="008D2225"/>
    <w:rsid w:val="008D3CD9"/>
    <w:rsid w:val="008D4533"/>
    <w:rsid w:val="008D4752"/>
    <w:rsid w:val="008E1E39"/>
    <w:rsid w:val="008E271C"/>
    <w:rsid w:val="008E418E"/>
    <w:rsid w:val="008E50EE"/>
    <w:rsid w:val="008E5BC6"/>
    <w:rsid w:val="008E6A25"/>
    <w:rsid w:val="008F4F47"/>
    <w:rsid w:val="008F5193"/>
    <w:rsid w:val="008F547D"/>
    <w:rsid w:val="008F55F5"/>
    <w:rsid w:val="008F5A63"/>
    <w:rsid w:val="009005FA"/>
    <w:rsid w:val="009013A7"/>
    <w:rsid w:val="009017FB"/>
    <w:rsid w:val="009017FC"/>
    <w:rsid w:val="00901D9A"/>
    <w:rsid w:val="0090506B"/>
    <w:rsid w:val="009050C9"/>
    <w:rsid w:val="009066FC"/>
    <w:rsid w:val="00912D3D"/>
    <w:rsid w:val="0091328F"/>
    <w:rsid w:val="009140A3"/>
    <w:rsid w:val="009144A2"/>
    <w:rsid w:val="0091510C"/>
    <w:rsid w:val="009259AC"/>
    <w:rsid w:val="00926F38"/>
    <w:rsid w:val="009277DF"/>
    <w:rsid w:val="009300C5"/>
    <w:rsid w:val="00930765"/>
    <w:rsid w:val="009316B6"/>
    <w:rsid w:val="00934301"/>
    <w:rsid w:val="00936CD1"/>
    <w:rsid w:val="00940C67"/>
    <w:rsid w:val="00941747"/>
    <w:rsid w:val="00941EFB"/>
    <w:rsid w:val="00945056"/>
    <w:rsid w:val="00947AFB"/>
    <w:rsid w:val="00947E1B"/>
    <w:rsid w:val="00951D7D"/>
    <w:rsid w:val="00953E9C"/>
    <w:rsid w:val="00955EE5"/>
    <w:rsid w:val="00956F5A"/>
    <w:rsid w:val="009630C7"/>
    <w:rsid w:val="00963637"/>
    <w:rsid w:val="00971669"/>
    <w:rsid w:val="00972B55"/>
    <w:rsid w:val="009743B7"/>
    <w:rsid w:val="0097530C"/>
    <w:rsid w:val="0098228B"/>
    <w:rsid w:val="009828DA"/>
    <w:rsid w:val="00985BAB"/>
    <w:rsid w:val="00992716"/>
    <w:rsid w:val="00995346"/>
    <w:rsid w:val="009B1B5F"/>
    <w:rsid w:val="009B6673"/>
    <w:rsid w:val="009C158E"/>
    <w:rsid w:val="009C191B"/>
    <w:rsid w:val="009C2BD6"/>
    <w:rsid w:val="009E1271"/>
    <w:rsid w:val="009E1D21"/>
    <w:rsid w:val="009E1F32"/>
    <w:rsid w:val="009E776C"/>
    <w:rsid w:val="009F65DC"/>
    <w:rsid w:val="00A1726E"/>
    <w:rsid w:val="00A204CF"/>
    <w:rsid w:val="00A23D49"/>
    <w:rsid w:val="00A242AC"/>
    <w:rsid w:val="00A25856"/>
    <w:rsid w:val="00A26DE5"/>
    <w:rsid w:val="00A27004"/>
    <w:rsid w:val="00A30C29"/>
    <w:rsid w:val="00A343FC"/>
    <w:rsid w:val="00A34DD6"/>
    <w:rsid w:val="00A36819"/>
    <w:rsid w:val="00A36989"/>
    <w:rsid w:val="00A418CB"/>
    <w:rsid w:val="00A43628"/>
    <w:rsid w:val="00A451B4"/>
    <w:rsid w:val="00A45E9D"/>
    <w:rsid w:val="00A51EBA"/>
    <w:rsid w:val="00A54192"/>
    <w:rsid w:val="00A57CBD"/>
    <w:rsid w:val="00A6035E"/>
    <w:rsid w:val="00A6043F"/>
    <w:rsid w:val="00A610B5"/>
    <w:rsid w:val="00A6144C"/>
    <w:rsid w:val="00A66617"/>
    <w:rsid w:val="00A67186"/>
    <w:rsid w:val="00A671F8"/>
    <w:rsid w:val="00A673A4"/>
    <w:rsid w:val="00A724AE"/>
    <w:rsid w:val="00A73329"/>
    <w:rsid w:val="00A82359"/>
    <w:rsid w:val="00A827EF"/>
    <w:rsid w:val="00A8344F"/>
    <w:rsid w:val="00A865D2"/>
    <w:rsid w:val="00A94C20"/>
    <w:rsid w:val="00AA2143"/>
    <w:rsid w:val="00AA227F"/>
    <w:rsid w:val="00AA2B9A"/>
    <w:rsid w:val="00AA3BC7"/>
    <w:rsid w:val="00AA7392"/>
    <w:rsid w:val="00AA754A"/>
    <w:rsid w:val="00AB099E"/>
    <w:rsid w:val="00AB4328"/>
    <w:rsid w:val="00AC0639"/>
    <w:rsid w:val="00AC0EC6"/>
    <w:rsid w:val="00AC1C34"/>
    <w:rsid w:val="00AC3ABA"/>
    <w:rsid w:val="00AC5C34"/>
    <w:rsid w:val="00AC5FD6"/>
    <w:rsid w:val="00AC643A"/>
    <w:rsid w:val="00AD08BB"/>
    <w:rsid w:val="00AD1324"/>
    <w:rsid w:val="00AD1E4A"/>
    <w:rsid w:val="00AD22FB"/>
    <w:rsid w:val="00AD4891"/>
    <w:rsid w:val="00AD5EDD"/>
    <w:rsid w:val="00AE0A2E"/>
    <w:rsid w:val="00AE354C"/>
    <w:rsid w:val="00AE6E6A"/>
    <w:rsid w:val="00AE7A87"/>
    <w:rsid w:val="00AF4B07"/>
    <w:rsid w:val="00AF6186"/>
    <w:rsid w:val="00AF7A3A"/>
    <w:rsid w:val="00B03AC3"/>
    <w:rsid w:val="00B04C3D"/>
    <w:rsid w:val="00B0786C"/>
    <w:rsid w:val="00B160DB"/>
    <w:rsid w:val="00B20836"/>
    <w:rsid w:val="00B235BB"/>
    <w:rsid w:val="00B25F49"/>
    <w:rsid w:val="00B27A44"/>
    <w:rsid w:val="00B30BBF"/>
    <w:rsid w:val="00B33C03"/>
    <w:rsid w:val="00B36720"/>
    <w:rsid w:val="00B418C3"/>
    <w:rsid w:val="00B41C11"/>
    <w:rsid w:val="00B44AC9"/>
    <w:rsid w:val="00B44E56"/>
    <w:rsid w:val="00B46543"/>
    <w:rsid w:val="00B47D33"/>
    <w:rsid w:val="00B52BE0"/>
    <w:rsid w:val="00B54133"/>
    <w:rsid w:val="00B6167F"/>
    <w:rsid w:val="00B63E95"/>
    <w:rsid w:val="00B659AD"/>
    <w:rsid w:val="00B701ED"/>
    <w:rsid w:val="00B71212"/>
    <w:rsid w:val="00B76D6E"/>
    <w:rsid w:val="00B8086C"/>
    <w:rsid w:val="00B855C1"/>
    <w:rsid w:val="00B861B4"/>
    <w:rsid w:val="00B86DFE"/>
    <w:rsid w:val="00B90990"/>
    <w:rsid w:val="00B922FF"/>
    <w:rsid w:val="00B9281E"/>
    <w:rsid w:val="00B93925"/>
    <w:rsid w:val="00B95187"/>
    <w:rsid w:val="00B97032"/>
    <w:rsid w:val="00BA2D55"/>
    <w:rsid w:val="00BA71B1"/>
    <w:rsid w:val="00BB0637"/>
    <w:rsid w:val="00BB345F"/>
    <w:rsid w:val="00BB5C82"/>
    <w:rsid w:val="00BB5CA9"/>
    <w:rsid w:val="00BB68EA"/>
    <w:rsid w:val="00BC16EE"/>
    <w:rsid w:val="00BC1C27"/>
    <w:rsid w:val="00BC6BBF"/>
    <w:rsid w:val="00BC6BEF"/>
    <w:rsid w:val="00BD1572"/>
    <w:rsid w:val="00BD60B3"/>
    <w:rsid w:val="00BE14E3"/>
    <w:rsid w:val="00BE3774"/>
    <w:rsid w:val="00BE41E5"/>
    <w:rsid w:val="00BF4109"/>
    <w:rsid w:val="00BF4CC3"/>
    <w:rsid w:val="00C03B8E"/>
    <w:rsid w:val="00C054C7"/>
    <w:rsid w:val="00C057B5"/>
    <w:rsid w:val="00C22687"/>
    <w:rsid w:val="00C25A3E"/>
    <w:rsid w:val="00C26EF6"/>
    <w:rsid w:val="00C32E4D"/>
    <w:rsid w:val="00C333A0"/>
    <w:rsid w:val="00C34AEA"/>
    <w:rsid w:val="00C36408"/>
    <w:rsid w:val="00C36A81"/>
    <w:rsid w:val="00C41226"/>
    <w:rsid w:val="00C41974"/>
    <w:rsid w:val="00C41981"/>
    <w:rsid w:val="00C42A2A"/>
    <w:rsid w:val="00C535F5"/>
    <w:rsid w:val="00C53F4A"/>
    <w:rsid w:val="00C54125"/>
    <w:rsid w:val="00C55B54"/>
    <w:rsid w:val="00C6098E"/>
    <w:rsid w:val="00C6152C"/>
    <w:rsid w:val="00C6298A"/>
    <w:rsid w:val="00C66209"/>
    <w:rsid w:val="00C725C2"/>
    <w:rsid w:val="00C74810"/>
    <w:rsid w:val="00C835CA"/>
    <w:rsid w:val="00C87DCF"/>
    <w:rsid w:val="00C90D68"/>
    <w:rsid w:val="00C90E58"/>
    <w:rsid w:val="00C939FE"/>
    <w:rsid w:val="00C96842"/>
    <w:rsid w:val="00C9700C"/>
    <w:rsid w:val="00CA4BDA"/>
    <w:rsid w:val="00CB1F66"/>
    <w:rsid w:val="00CB2359"/>
    <w:rsid w:val="00CB25E5"/>
    <w:rsid w:val="00CB2951"/>
    <w:rsid w:val="00CB4918"/>
    <w:rsid w:val="00CC755D"/>
    <w:rsid w:val="00CD282B"/>
    <w:rsid w:val="00CD4C35"/>
    <w:rsid w:val="00CD6C12"/>
    <w:rsid w:val="00CD7369"/>
    <w:rsid w:val="00CE0B0E"/>
    <w:rsid w:val="00CE3831"/>
    <w:rsid w:val="00CE3D68"/>
    <w:rsid w:val="00D00ABB"/>
    <w:rsid w:val="00D02EEC"/>
    <w:rsid w:val="00D034C1"/>
    <w:rsid w:val="00D03551"/>
    <w:rsid w:val="00D06A63"/>
    <w:rsid w:val="00D07E0E"/>
    <w:rsid w:val="00D11478"/>
    <w:rsid w:val="00D15ED0"/>
    <w:rsid w:val="00D175C3"/>
    <w:rsid w:val="00D20A92"/>
    <w:rsid w:val="00D21918"/>
    <w:rsid w:val="00D21B3E"/>
    <w:rsid w:val="00D21FED"/>
    <w:rsid w:val="00D22005"/>
    <w:rsid w:val="00D24251"/>
    <w:rsid w:val="00D32482"/>
    <w:rsid w:val="00D343E2"/>
    <w:rsid w:val="00D361A2"/>
    <w:rsid w:val="00D37E59"/>
    <w:rsid w:val="00D44C2E"/>
    <w:rsid w:val="00D45414"/>
    <w:rsid w:val="00D47891"/>
    <w:rsid w:val="00D566BD"/>
    <w:rsid w:val="00D57A4D"/>
    <w:rsid w:val="00D60AA7"/>
    <w:rsid w:val="00D6435F"/>
    <w:rsid w:val="00D73473"/>
    <w:rsid w:val="00D7377C"/>
    <w:rsid w:val="00D75E28"/>
    <w:rsid w:val="00D772C2"/>
    <w:rsid w:val="00D8008E"/>
    <w:rsid w:val="00D82C45"/>
    <w:rsid w:val="00D908A8"/>
    <w:rsid w:val="00D96206"/>
    <w:rsid w:val="00D977B6"/>
    <w:rsid w:val="00DA1B25"/>
    <w:rsid w:val="00DA4A31"/>
    <w:rsid w:val="00DA7B04"/>
    <w:rsid w:val="00DA7E8A"/>
    <w:rsid w:val="00DB36C2"/>
    <w:rsid w:val="00DC169B"/>
    <w:rsid w:val="00DC2AB9"/>
    <w:rsid w:val="00DC63F0"/>
    <w:rsid w:val="00DD270C"/>
    <w:rsid w:val="00DD652A"/>
    <w:rsid w:val="00DD69B3"/>
    <w:rsid w:val="00DD6EE5"/>
    <w:rsid w:val="00DD7932"/>
    <w:rsid w:val="00DE1564"/>
    <w:rsid w:val="00DE386C"/>
    <w:rsid w:val="00DE4D35"/>
    <w:rsid w:val="00DE5112"/>
    <w:rsid w:val="00DE5B51"/>
    <w:rsid w:val="00DE5FA2"/>
    <w:rsid w:val="00DF098B"/>
    <w:rsid w:val="00DF0CFE"/>
    <w:rsid w:val="00DF11C4"/>
    <w:rsid w:val="00DF210C"/>
    <w:rsid w:val="00DF4B6A"/>
    <w:rsid w:val="00DF615D"/>
    <w:rsid w:val="00E02C09"/>
    <w:rsid w:val="00E04D59"/>
    <w:rsid w:val="00E0588E"/>
    <w:rsid w:val="00E07DA1"/>
    <w:rsid w:val="00E123CB"/>
    <w:rsid w:val="00E16EDA"/>
    <w:rsid w:val="00E17B54"/>
    <w:rsid w:val="00E20E13"/>
    <w:rsid w:val="00E21DBC"/>
    <w:rsid w:val="00E275D7"/>
    <w:rsid w:val="00E27DBE"/>
    <w:rsid w:val="00E32AB1"/>
    <w:rsid w:val="00E36C71"/>
    <w:rsid w:val="00E37CB1"/>
    <w:rsid w:val="00E40404"/>
    <w:rsid w:val="00E418BB"/>
    <w:rsid w:val="00E459C6"/>
    <w:rsid w:val="00E47589"/>
    <w:rsid w:val="00E506AE"/>
    <w:rsid w:val="00E64915"/>
    <w:rsid w:val="00E661D4"/>
    <w:rsid w:val="00E70091"/>
    <w:rsid w:val="00E720F5"/>
    <w:rsid w:val="00E76D47"/>
    <w:rsid w:val="00E804D6"/>
    <w:rsid w:val="00E849F7"/>
    <w:rsid w:val="00E90302"/>
    <w:rsid w:val="00E92AAC"/>
    <w:rsid w:val="00E97396"/>
    <w:rsid w:val="00EA185E"/>
    <w:rsid w:val="00EA2A66"/>
    <w:rsid w:val="00EA4BD7"/>
    <w:rsid w:val="00EA592A"/>
    <w:rsid w:val="00EB14E4"/>
    <w:rsid w:val="00EB32A5"/>
    <w:rsid w:val="00EB34ED"/>
    <w:rsid w:val="00EB7BE0"/>
    <w:rsid w:val="00EC315E"/>
    <w:rsid w:val="00EC4028"/>
    <w:rsid w:val="00EC69C0"/>
    <w:rsid w:val="00ED077C"/>
    <w:rsid w:val="00ED1190"/>
    <w:rsid w:val="00ED1429"/>
    <w:rsid w:val="00ED3AB9"/>
    <w:rsid w:val="00ED5A4D"/>
    <w:rsid w:val="00ED5FB4"/>
    <w:rsid w:val="00ED6544"/>
    <w:rsid w:val="00EE0277"/>
    <w:rsid w:val="00EE3E00"/>
    <w:rsid w:val="00EE5DD2"/>
    <w:rsid w:val="00EF38B5"/>
    <w:rsid w:val="00EF44A5"/>
    <w:rsid w:val="00EF4AD5"/>
    <w:rsid w:val="00F00A79"/>
    <w:rsid w:val="00F00E86"/>
    <w:rsid w:val="00F07C1E"/>
    <w:rsid w:val="00F105DB"/>
    <w:rsid w:val="00F12630"/>
    <w:rsid w:val="00F132BC"/>
    <w:rsid w:val="00F13D80"/>
    <w:rsid w:val="00F16AAA"/>
    <w:rsid w:val="00F21161"/>
    <w:rsid w:val="00F218EF"/>
    <w:rsid w:val="00F21BC7"/>
    <w:rsid w:val="00F21FB0"/>
    <w:rsid w:val="00F266A2"/>
    <w:rsid w:val="00F30BC7"/>
    <w:rsid w:val="00F32269"/>
    <w:rsid w:val="00F46859"/>
    <w:rsid w:val="00F4779C"/>
    <w:rsid w:val="00F5432B"/>
    <w:rsid w:val="00F56A6F"/>
    <w:rsid w:val="00F5709C"/>
    <w:rsid w:val="00F57D10"/>
    <w:rsid w:val="00F60C68"/>
    <w:rsid w:val="00F64EF1"/>
    <w:rsid w:val="00F77D70"/>
    <w:rsid w:val="00F83D3E"/>
    <w:rsid w:val="00F8765F"/>
    <w:rsid w:val="00F90767"/>
    <w:rsid w:val="00F907D4"/>
    <w:rsid w:val="00F94D2E"/>
    <w:rsid w:val="00FA685B"/>
    <w:rsid w:val="00FB0C01"/>
    <w:rsid w:val="00FC0945"/>
    <w:rsid w:val="00FC18F2"/>
    <w:rsid w:val="00FC39E5"/>
    <w:rsid w:val="00FC3A78"/>
    <w:rsid w:val="00FC7639"/>
    <w:rsid w:val="00FD1005"/>
    <w:rsid w:val="00FD3F6A"/>
    <w:rsid w:val="00FD563A"/>
    <w:rsid w:val="00FD6C75"/>
    <w:rsid w:val="00FE5C13"/>
    <w:rsid w:val="00FE71B3"/>
    <w:rsid w:val="00FF3AA2"/>
    <w:rsid w:val="00FF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2BCAD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rsid w:val="00C87DCF"/>
    <w:pPr>
      <w:jc w:val="both"/>
    </w:pPr>
    <w:rPr>
      <w:rFonts w:eastAsia="MS Mincho"/>
      <w:sz w:val="24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C87DCF"/>
    <w:pPr>
      <w:spacing w:before="480"/>
      <w:contextualSpacing/>
      <w:outlineLvl w:val="0"/>
    </w:pPr>
    <w:rPr>
      <w:rFonts w:eastAsia="MS Gothic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C87DCF"/>
    <w:pPr>
      <w:spacing w:before="200"/>
      <w:outlineLvl w:val="1"/>
    </w:pPr>
    <w:rPr>
      <w:rFonts w:eastAsia="MS Gothic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C87DCF"/>
    <w:pPr>
      <w:spacing w:before="200" w:line="271" w:lineRule="auto"/>
      <w:outlineLvl w:val="2"/>
    </w:pPr>
    <w:rPr>
      <w:rFonts w:eastAsia="MS Gothic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C87DCF"/>
    <w:pPr>
      <w:spacing w:before="200"/>
      <w:outlineLvl w:val="3"/>
    </w:pPr>
    <w:rPr>
      <w:rFonts w:eastAsia="MS Gothic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C87DCF"/>
    <w:pPr>
      <w:spacing w:before="200"/>
      <w:outlineLvl w:val="4"/>
    </w:pPr>
    <w:rPr>
      <w:rFonts w:eastAsia="MS Gothic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C87DCF"/>
    <w:pPr>
      <w:spacing w:line="271" w:lineRule="auto"/>
      <w:outlineLvl w:val="5"/>
    </w:pPr>
    <w:rPr>
      <w:rFonts w:eastAsia="MS Gothic"/>
      <w:b/>
      <w:bCs/>
      <w:i/>
      <w:iCs/>
      <w:color w:val="7F7F7F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C87DCF"/>
    <w:pPr>
      <w:outlineLvl w:val="6"/>
    </w:pPr>
    <w:rPr>
      <w:rFonts w:eastAsia="MS Gothic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C87DCF"/>
    <w:pPr>
      <w:outlineLvl w:val="7"/>
    </w:pPr>
    <w:rPr>
      <w:rFonts w:eastAsia="MS Gothic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C87DCF"/>
    <w:pPr>
      <w:outlineLvl w:val="8"/>
    </w:pPr>
    <w:rPr>
      <w:rFonts w:eastAsia="MS Gothic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C87D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87DCF"/>
    <w:rPr>
      <w:rFonts w:ascii="Tahoma" w:eastAsia="MS Mincho" w:hAnsi="Tahoma" w:cs="Tahoma"/>
      <w:sz w:val="16"/>
      <w:szCs w:val="16"/>
      <w:lang w:val="pl-PL"/>
    </w:rPr>
  </w:style>
  <w:style w:type="character" w:styleId="Tytuksiki">
    <w:name w:val="Book Title"/>
    <w:uiPriority w:val="99"/>
    <w:semiHidden/>
    <w:qFormat/>
    <w:rsid w:val="00C87DCF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C87DCF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DecHTitle">
    <w:name w:val="Dec_H_Title"/>
    <w:basedOn w:val="ECHRTitleCentre1"/>
    <w:uiPriority w:val="7"/>
    <w:semiHidden/>
    <w:qFormat/>
    <w:rsid w:val="00C87DCF"/>
  </w:style>
  <w:style w:type="character" w:styleId="Pogrubienie">
    <w:name w:val="Strong"/>
    <w:uiPriority w:val="99"/>
    <w:semiHidden/>
    <w:qFormat/>
    <w:rsid w:val="00C87DCF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C87DCF"/>
    <w:rPr>
      <w:sz w:val="22"/>
    </w:rPr>
  </w:style>
  <w:style w:type="character" w:customStyle="1" w:styleId="BezodstpwZnak">
    <w:name w:val="Bez odstępów Znak"/>
    <w:link w:val="Bezodstpw"/>
    <w:semiHidden/>
    <w:rsid w:val="00C87DCF"/>
    <w:rPr>
      <w:rFonts w:eastAsia="MS Mincho"/>
    </w:rPr>
  </w:style>
  <w:style w:type="paragraph" w:customStyle="1" w:styleId="ECHRParaQuote">
    <w:name w:val="ECHR_Para_Quote"/>
    <w:aliases w:val="Ju_Quot"/>
    <w:basedOn w:val="Normalny"/>
    <w:uiPriority w:val="14"/>
    <w:qFormat/>
    <w:rsid w:val="00C87DCF"/>
    <w:pPr>
      <w:spacing w:before="120" w:after="120"/>
      <w:ind w:left="425" w:firstLine="142"/>
    </w:pPr>
    <w:rPr>
      <w:sz w:val="20"/>
    </w:rPr>
  </w:style>
  <w:style w:type="paragraph" w:customStyle="1" w:styleId="DecList">
    <w:name w:val="Dec_List"/>
    <w:basedOn w:val="Normalny"/>
    <w:uiPriority w:val="9"/>
    <w:semiHidden/>
    <w:qFormat/>
    <w:rsid w:val="00C87DCF"/>
    <w:pPr>
      <w:spacing w:before="240"/>
      <w:ind w:left="284"/>
    </w:pPr>
  </w:style>
  <w:style w:type="paragraph" w:customStyle="1" w:styleId="DummyStyle">
    <w:name w:val="Dummy_Style"/>
    <w:basedOn w:val="Normalny"/>
    <w:semiHidden/>
    <w:qFormat/>
    <w:rsid w:val="00C87DCF"/>
    <w:rPr>
      <w:color w:val="00B050"/>
    </w:rPr>
  </w:style>
  <w:style w:type="paragraph" w:customStyle="1" w:styleId="JuAppQuestion">
    <w:name w:val="Ju_App_Question"/>
    <w:basedOn w:val="Normalny"/>
    <w:uiPriority w:val="5"/>
    <w:semiHidden/>
    <w:qFormat/>
    <w:rsid w:val="00C87DCF"/>
    <w:pPr>
      <w:numPr>
        <w:numId w:val="24"/>
      </w:numPr>
      <w:jc w:val="left"/>
    </w:pPr>
    <w:rPr>
      <w:b/>
    </w:rPr>
  </w:style>
  <w:style w:type="paragraph" w:customStyle="1" w:styleId="JuCourt">
    <w:name w:val="Ju_Court"/>
    <w:basedOn w:val="Normalny"/>
    <w:next w:val="Normalny"/>
    <w:uiPriority w:val="16"/>
    <w:qFormat/>
    <w:rsid w:val="00C87DCF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C87DCF"/>
    <w:pPr>
      <w:keepNext/>
      <w:keepLines/>
      <w:spacing w:before="240" w:after="120"/>
      <w:jc w:val="center"/>
      <w:outlineLvl w:val="3"/>
    </w:pPr>
    <w:rPr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C87DCF"/>
    <w:pPr>
      <w:keepNext/>
      <w:keepLines/>
      <w:spacing w:after="240"/>
      <w:jc w:val="center"/>
      <w:outlineLvl w:val="0"/>
    </w:pPr>
    <w:rPr>
      <w:sz w:val="28"/>
    </w:rPr>
  </w:style>
  <w:style w:type="paragraph" w:customStyle="1" w:styleId="JuHeaderLandscape">
    <w:name w:val="Ju_Header_Landscape"/>
    <w:basedOn w:val="ECHRHeader"/>
    <w:uiPriority w:val="4"/>
    <w:qFormat/>
    <w:rsid w:val="00C87DCF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C87DCF"/>
    <w:pPr>
      <w:keepNext/>
      <w:keepLines/>
      <w:spacing w:before="720" w:after="240"/>
      <w:outlineLvl w:val="0"/>
    </w:pPr>
    <w:rPr>
      <w:sz w:val="28"/>
    </w:rPr>
  </w:style>
  <w:style w:type="paragraph" w:customStyle="1" w:styleId="JuInitialled">
    <w:name w:val="Ju_Initialled"/>
    <w:basedOn w:val="Normalny"/>
    <w:qFormat/>
    <w:rsid w:val="00C87DCF"/>
    <w:pPr>
      <w:tabs>
        <w:tab w:val="center" w:pos="6407"/>
      </w:tabs>
      <w:spacing w:before="720"/>
      <w:jc w:val="right"/>
    </w:pPr>
  </w:style>
  <w:style w:type="paragraph" w:customStyle="1" w:styleId="JuSigned">
    <w:name w:val="Ju_Signed"/>
    <w:basedOn w:val="Normalny"/>
    <w:next w:val="JuParaLast"/>
    <w:uiPriority w:val="32"/>
    <w:qFormat/>
    <w:rsid w:val="00C87DCF"/>
    <w:pPr>
      <w:tabs>
        <w:tab w:val="center" w:pos="851"/>
        <w:tab w:val="center" w:pos="6407"/>
      </w:tabs>
      <w:spacing w:before="720"/>
      <w:jc w:val="left"/>
    </w:pPr>
  </w:style>
  <w:style w:type="paragraph" w:styleId="Tytu">
    <w:name w:val="Title"/>
    <w:basedOn w:val="Normalny"/>
    <w:next w:val="Normalny"/>
    <w:link w:val="TytuZnak"/>
    <w:uiPriority w:val="99"/>
    <w:semiHidden/>
    <w:qFormat/>
    <w:rsid w:val="00C87DCF"/>
    <w:pPr>
      <w:pBdr>
        <w:bottom w:val="single" w:sz="4" w:space="1" w:color="auto"/>
      </w:pBdr>
      <w:contextualSpacing/>
    </w:pPr>
    <w:rPr>
      <w:rFonts w:eastAsia="MS Gothic"/>
      <w:spacing w:val="5"/>
      <w:sz w:val="52"/>
      <w:szCs w:val="52"/>
      <w:lang w:bidi="en-US"/>
    </w:rPr>
  </w:style>
  <w:style w:type="character" w:customStyle="1" w:styleId="TytuZnak">
    <w:name w:val="Tytuł Znak"/>
    <w:link w:val="Tytu"/>
    <w:uiPriority w:val="99"/>
    <w:semiHidden/>
    <w:rsid w:val="00C87DCF"/>
    <w:rPr>
      <w:rFonts w:ascii="Times New Roman" w:eastAsia="MS Gothic" w:hAnsi="Times New Roman" w:cs="Times New Roman"/>
      <w:spacing w:val="5"/>
      <w:sz w:val="52"/>
      <w:szCs w:val="52"/>
      <w:lang w:bidi="en-US"/>
    </w:rPr>
  </w:style>
  <w:style w:type="character" w:customStyle="1" w:styleId="JuITMark">
    <w:name w:val="Ju_ITMark"/>
    <w:uiPriority w:val="38"/>
    <w:qFormat/>
    <w:rsid w:val="00C87DCF"/>
    <w:rPr>
      <w:vanish w:val="0"/>
      <w:color w:val="auto"/>
      <w:sz w:val="14"/>
      <w:bdr w:val="none" w:sz="0" w:space="0" w:color="auto"/>
      <w:shd w:val="clear" w:color="auto" w:fill="BEE5FF"/>
    </w:rPr>
  </w:style>
  <w:style w:type="character" w:customStyle="1" w:styleId="JUNAMES">
    <w:name w:val="JU_NAMES"/>
    <w:uiPriority w:val="17"/>
    <w:qFormat/>
    <w:rsid w:val="00C87DCF"/>
    <w:rPr>
      <w:caps w:val="0"/>
      <w:smallCaps/>
    </w:rPr>
  </w:style>
  <w:style w:type="paragraph" w:customStyle="1" w:styleId="JuParaSub">
    <w:name w:val="Ju_Para_Sub"/>
    <w:basedOn w:val="ECHRPara"/>
    <w:uiPriority w:val="13"/>
    <w:qFormat/>
    <w:rsid w:val="00C87DCF"/>
    <w:pPr>
      <w:ind w:left="284"/>
    </w:pPr>
  </w:style>
  <w:style w:type="paragraph" w:customStyle="1" w:styleId="JuQuotSub">
    <w:name w:val="Ju_Quot_Sub"/>
    <w:basedOn w:val="ECHRParaQuote"/>
    <w:uiPriority w:val="15"/>
    <w:qFormat/>
    <w:rsid w:val="00C87DCF"/>
    <w:pPr>
      <w:ind w:left="567"/>
    </w:pPr>
  </w:style>
  <w:style w:type="paragraph" w:customStyle="1" w:styleId="JuTitle">
    <w:name w:val="Ju_Title"/>
    <w:basedOn w:val="Normalny"/>
    <w:next w:val="ECHRPara"/>
    <w:uiPriority w:val="3"/>
    <w:semiHidden/>
    <w:qFormat/>
    <w:rsid w:val="00C87DCF"/>
    <w:pPr>
      <w:spacing w:before="720" w:after="240"/>
      <w:jc w:val="center"/>
      <w:outlineLvl w:val="0"/>
    </w:pPr>
    <w:rPr>
      <w:b/>
      <w:caps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C87DCF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C87DCF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C87DCF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styleId="Nagwek">
    <w:name w:val="header"/>
    <w:basedOn w:val="Normalny"/>
    <w:link w:val="NagwekZnak"/>
    <w:uiPriority w:val="57"/>
    <w:semiHidden/>
    <w:rsid w:val="00C87DCF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NagwekZnak">
    <w:name w:val="Nagłówek Znak"/>
    <w:link w:val="Nagwek"/>
    <w:uiPriority w:val="57"/>
    <w:semiHidden/>
    <w:rsid w:val="00C87DCF"/>
    <w:rPr>
      <w:sz w:val="24"/>
      <w:lang w:val="pl-PL"/>
    </w:rPr>
  </w:style>
  <w:style w:type="character" w:customStyle="1" w:styleId="Nagwek1Znak">
    <w:name w:val="Nagłówek 1 Znak"/>
    <w:link w:val="Nagwek1"/>
    <w:uiPriority w:val="99"/>
    <w:semiHidden/>
    <w:rsid w:val="00C87DCF"/>
    <w:rPr>
      <w:rFonts w:ascii="Times New Roman" w:eastAsia="MS Gothic" w:hAnsi="Times New Roman" w:cs="Times New Roman"/>
      <w:b/>
      <w:bCs/>
      <w:color w:val="333333"/>
      <w:sz w:val="28"/>
      <w:szCs w:val="28"/>
      <w:lang w:val="pl-PL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C87DCF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C87DCF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character" w:customStyle="1" w:styleId="Nagwek2Znak">
    <w:name w:val="Nagłówek 2 Znak"/>
    <w:link w:val="Nagwek2"/>
    <w:uiPriority w:val="99"/>
    <w:semiHidden/>
    <w:rsid w:val="00C87DCF"/>
    <w:rPr>
      <w:rFonts w:ascii="Times New Roman" w:eastAsia="MS Gothic" w:hAnsi="Times New Roman" w:cs="Times New Roman"/>
      <w:b/>
      <w:bCs/>
      <w:color w:val="4D4D4D"/>
      <w:sz w:val="26"/>
      <w:szCs w:val="26"/>
      <w:lang w:val="pl-PL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C87DCF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C87DCF"/>
    <w:pPr>
      <w:keepNext/>
      <w:keepLines/>
      <w:spacing w:before="240" w:after="120"/>
      <w:ind w:left="1236"/>
    </w:pPr>
    <w:rPr>
      <w:sz w:val="20"/>
    </w:rPr>
  </w:style>
  <w:style w:type="character" w:customStyle="1" w:styleId="Nagwek3Znak">
    <w:name w:val="Nagłówek 3 Znak"/>
    <w:link w:val="Nagwek3"/>
    <w:uiPriority w:val="99"/>
    <w:semiHidden/>
    <w:rsid w:val="00C87DCF"/>
    <w:rPr>
      <w:rFonts w:ascii="Times New Roman" w:eastAsia="MS Gothic" w:hAnsi="Times New Roman" w:cs="Times New Roman"/>
      <w:b/>
      <w:bCs/>
      <w:color w:val="5F5F5F"/>
      <w:sz w:val="24"/>
      <w:lang w:val="pl-PL"/>
    </w:rPr>
  </w:style>
  <w:style w:type="paragraph" w:customStyle="1" w:styleId="JuParaLast">
    <w:name w:val="Ju_Para_Last"/>
    <w:basedOn w:val="Normalny"/>
    <w:next w:val="ECHRPara"/>
    <w:qFormat/>
    <w:rsid w:val="00C87DCF"/>
    <w:pPr>
      <w:keepNext/>
      <w:keepLines/>
      <w:spacing w:before="240"/>
      <w:ind w:firstLine="284"/>
    </w:pPr>
  </w:style>
  <w:style w:type="paragraph" w:customStyle="1" w:styleId="JuList">
    <w:name w:val="Ju_List"/>
    <w:basedOn w:val="Normalny"/>
    <w:uiPriority w:val="28"/>
    <w:qFormat/>
    <w:rsid w:val="00C87DCF"/>
    <w:pPr>
      <w:ind w:left="340" w:hanging="340"/>
    </w:pPr>
  </w:style>
  <w:style w:type="character" w:customStyle="1" w:styleId="Nagwek4Znak">
    <w:name w:val="Nagłówek 4 Znak"/>
    <w:link w:val="Nagwek4"/>
    <w:uiPriority w:val="99"/>
    <w:semiHidden/>
    <w:rsid w:val="00C87DCF"/>
    <w:rPr>
      <w:rFonts w:ascii="Times New Roman" w:eastAsia="MS Gothic" w:hAnsi="Times New Roman" w:cs="Times New Roman"/>
      <w:b/>
      <w:bCs/>
      <w:i/>
      <w:iCs/>
      <w:color w:val="777777"/>
      <w:sz w:val="24"/>
      <w:lang w:val="pl-PL"/>
    </w:rPr>
  </w:style>
  <w:style w:type="paragraph" w:customStyle="1" w:styleId="JuLista">
    <w:name w:val="Ju_List_a"/>
    <w:basedOn w:val="JuList"/>
    <w:uiPriority w:val="28"/>
    <w:qFormat/>
    <w:rsid w:val="00C87DCF"/>
    <w:pPr>
      <w:ind w:left="346" w:firstLine="0"/>
    </w:pPr>
  </w:style>
  <w:style w:type="character" w:customStyle="1" w:styleId="Nagwek5Znak">
    <w:name w:val="Nagłówek 5 Znak"/>
    <w:link w:val="Nagwek5"/>
    <w:uiPriority w:val="99"/>
    <w:semiHidden/>
    <w:rsid w:val="00C87DCF"/>
    <w:rPr>
      <w:rFonts w:ascii="Times New Roman" w:eastAsia="MS Gothic" w:hAnsi="Times New Roman" w:cs="Times New Roman"/>
      <w:b/>
      <w:bCs/>
      <w:color w:val="808080"/>
    </w:rPr>
  </w:style>
  <w:style w:type="paragraph" w:customStyle="1" w:styleId="JuListi">
    <w:name w:val="Ju_List_i"/>
    <w:basedOn w:val="Normalny"/>
    <w:next w:val="JuLista"/>
    <w:uiPriority w:val="28"/>
    <w:qFormat/>
    <w:rsid w:val="00C87DCF"/>
    <w:pPr>
      <w:ind w:left="794"/>
    </w:pPr>
  </w:style>
  <w:style w:type="paragraph" w:customStyle="1" w:styleId="OpiH1">
    <w:name w:val="Opi_H_1"/>
    <w:basedOn w:val="ECHRHeading2"/>
    <w:uiPriority w:val="42"/>
    <w:qFormat/>
    <w:rsid w:val="00C87DCF"/>
    <w:pPr>
      <w:ind w:left="635" w:hanging="357"/>
      <w:outlineLvl w:val="2"/>
    </w:pPr>
  </w:style>
  <w:style w:type="character" w:styleId="Wyrnieniedelikatne">
    <w:name w:val="Subtle Emphasis"/>
    <w:uiPriority w:val="99"/>
    <w:semiHidden/>
    <w:qFormat/>
    <w:rsid w:val="00C87DCF"/>
    <w:rPr>
      <w:i/>
      <w:iCs/>
    </w:rPr>
  </w:style>
  <w:style w:type="paragraph" w:customStyle="1" w:styleId="OpiHa">
    <w:name w:val="Opi_H_a"/>
    <w:basedOn w:val="ECHRHeading3"/>
    <w:uiPriority w:val="43"/>
    <w:qFormat/>
    <w:rsid w:val="00C87DCF"/>
    <w:pPr>
      <w:ind w:left="833" w:hanging="357"/>
      <w:outlineLvl w:val="3"/>
    </w:pPr>
    <w:rPr>
      <w:b/>
      <w:i w:val="0"/>
      <w:sz w:val="20"/>
    </w:rPr>
  </w:style>
  <w:style w:type="table" w:customStyle="1" w:styleId="ECHRTable">
    <w:name w:val="ECHR_Table"/>
    <w:basedOn w:val="Standardowy"/>
    <w:rsid w:val="00860B03"/>
    <w:tblPr>
      <w:tblStyleRowBandSize w:val="1"/>
      <w:tblStyleColBandSize w:val="1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bottom w:w="28" w:type="dxa"/>
      </w:tblCellMar>
    </w:tblPr>
    <w:tblStylePr w:type="firstRow">
      <w:rPr>
        <w:rFonts w:ascii="Times New Roman" w:hAnsi="Times New Roman"/>
        <w:b/>
        <w:i w:val="0"/>
        <w:color w:val="474747"/>
        <w:sz w:val="22"/>
      </w:rPr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  <w:tl2br w:val="nil"/>
          <w:tr2bl w:val="nil"/>
        </w:tcBorders>
        <w:shd w:val="clear" w:color="auto" w:fill="DFDFDF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/>
      </w:tcPr>
    </w:tblStylePr>
    <w:tblStylePr w:type="band2Horz"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  <w:tl2br w:val="nil"/>
          <w:tr2bl w:val="nil"/>
        </w:tcBorders>
        <w:shd w:val="clear" w:color="auto" w:fill="DFDFDF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hAnsi="Verdana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/>
    </w:tcPr>
    <w:tblStylePr w:type="firstCol">
      <w:rPr>
        <w:b/>
        <w:color w:val="5F5F5F"/>
      </w:rPr>
    </w:tblStylePr>
  </w:style>
  <w:style w:type="paragraph" w:customStyle="1" w:styleId="OpiHA0">
    <w:name w:val="Opi_H_A"/>
    <w:basedOn w:val="ECHRHeading1"/>
    <w:next w:val="OpiPara"/>
    <w:uiPriority w:val="41"/>
    <w:qFormat/>
    <w:rsid w:val="00C87DCF"/>
    <w:pPr>
      <w:tabs>
        <w:tab w:val="clear" w:pos="357"/>
      </w:tabs>
      <w:outlineLvl w:val="1"/>
    </w:pPr>
    <w:rPr>
      <w:b/>
    </w:rPr>
  </w:style>
  <w:style w:type="paragraph" w:customStyle="1" w:styleId="OpiHi">
    <w:name w:val="Opi_H_i"/>
    <w:basedOn w:val="ECHRHeading4"/>
    <w:uiPriority w:val="44"/>
    <w:qFormat/>
    <w:rsid w:val="00C87DCF"/>
    <w:pPr>
      <w:ind w:left="1037" w:hanging="357"/>
      <w:outlineLvl w:val="4"/>
    </w:pPr>
    <w:rPr>
      <w:b w:val="0"/>
      <w:i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C87DCF"/>
    <w:pPr>
      <w:spacing w:after="600"/>
    </w:pPr>
    <w:rPr>
      <w:rFonts w:eastAsia="MS Gothic"/>
      <w:i/>
      <w:iCs/>
      <w:spacing w:val="13"/>
      <w:szCs w:val="24"/>
      <w:lang w:bidi="en-US"/>
    </w:rPr>
  </w:style>
  <w:style w:type="character" w:styleId="Uwydatnienie">
    <w:name w:val="Emphasis"/>
    <w:uiPriority w:val="99"/>
    <w:semiHidden/>
    <w:qFormat/>
    <w:rsid w:val="00C87DCF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C87DCF"/>
    <w:pPr>
      <w:tabs>
        <w:tab w:val="center" w:pos="4536"/>
        <w:tab w:val="right" w:pos="9696"/>
      </w:tabs>
      <w:ind w:left="-680" w:right="-680"/>
    </w:pPr>
    <w:rPr>
      <w:rFonts w:eastAsia="Times New Roman"/>
    </w:rPr>
  </w:style>
  <w:style w:type="character" w:customStyle="1" w:styleId="StopkaZnak">
    <w:name w:val="Stopka Znak"/>
    <w:link w:val="Stopka"/>
    <w:uiPriority w:val="57"/>
    <w:semiHidden/>
    <w:rsid w:val="00C87DCF"/>
    <w:rPr>
      <w:sz w:val="24"/>
      <w:lang w:val="pl-PL"/>
    </w:rPr>
  </w:style>
  <w:style w:type="character" w:styleId="Odwoanieprzypisudolnego">
    <w:name w:val="footnote reference"/>
    <w:uiPriority w:val="99"/>
    <w:semiHidden/>
    <w:rsid w:val="00C87DC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87DCF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87DCF"/>
    <w:rPr>
      <w:rFonts w:eastAsia="MS Mincho"/>
      <w:sz w:val="20"/>
      <w:szCs w:val="20"/>
      <w:lang w:val="pl-PL"/>
    </w:rPr>
  </w:style>
  <w:style w:type="character" w:customStyle="1" w:styleId="Nagwek6Znak">
    <w:name w:val="Nagłówek 6 Znak"/>
    <w:link w:val="Nagwek6"/>
    <w:uiPriority w:val="99"/>
    <w:semiHidden/>
    <w:rsid w:val="00C87DCF"/>
    <w:rPr>
      <w:rFonts w:ascii="Times New Roman" w:eastAsia="MS Gothic" w:hAnsi="Times New Roman" w:cs="Times New Roman"/>
      <w:b/>
      <w:bCs/>
      <w:i/>
      <w:iCs/>
      <w:color w:val="7F7F7F"/>
      <w:sz w:val="24"/>
      <w:lang w:val="pl-PL" w:bidi="en-US"/>
    </w:rPr>
  </w:style>
  <w:style w:type="character" w:customStyle="1" w:styleId="Nagwek7Znak">
    <w:name w:val="Nagłówek 7 Znak"/>
    <w:link w:val="Nagwek7"/>
    <w:uiPriority w:val="99"/>
    <w:semiHidden/>
    <w:rsid w:val="00C87DCF"/>
    <w:rPr>
      <w:rFonts w:ascii="Times New Roman" w:eastAsia="MS Gothic" w:hAnsi="Times New Roman" w:cs="Times New Roman"/>
      <w:i/>
      <w:iCs/>
      <w:lang w:bidi="en-US"/>
    </w:rPr>
  </w:style>
  <w:style w:type="character" w:customStyle="1" w:styleId="Nagwek8Znak">
    <w:name w:val="Nagłówek 8 Znak"/>
    <w:link w:val="Nagwek8"/>
    <w:uiPriority w:val="99"/>
    <w:semiHidden/>
    <w:rsid w:val="00C87DCF"/>
    <w:rPr>
      <w:rFonts w:ascii="Times New Roman" w:eastAsia="MS Gothic" w:hAnsi="Times New Roman" w:cs="Times New Roman"/>
      <w:sz w:val="20"/>
      <w:szCs w:val="20"/>
      <w:lang w:bidi="en-US"/>
    </w:rPr>
  </w:style>
  <w:style w:type="character" w:customStyle="1" w:styleId="Nagwek9Znak">
    <w:name w:val="Nagłówek 9 Znak"/>
    <w:link w:val="Nagwek9"/>
    <w:uiPriority w:val="99"/>
    <w:semiHidden/>
    <w:rsid w:val="00C87DCF"/>
    <w:rPr>
      <w:rFonts w:ascii="Times New Roman" w:eastAsia="MS Gothic" w:hAnsi="Times New Roman" w:cs="Times New Roman"/>
      <w:i/>
      <w:iCs/>
      <w:spacing w:val="5"/>
      <w:sz w:val="20"/>
      <w:szCs w:val="20"/>
      <w:lang w:bidi="en-US"/>
    </w:rPr>
  </w:style>
  <w:style w:type="character" w:styleId="Hipercze">
    <w:name w:val="Hyperlink"/>
    <w:uiPriority w:val="99"/>
    <w:semiHidden/>
    <w:rsid w:val="00C87DCF"/>
    <w:rPr>
      <w:color w:val="0072BC"/>
      <w:u w:val="single"/>
    </w:rPr>
  </w:style>
  <w:style w:type="character" w:styleId="Wyrnienieintensywne">
    <w:name w:val="Intense Emphasis"/>
    <w:uiPriority w:val="99"/>
    <w:semiHidden/>
    <w:qFormat/>
    <w:rsid w:val="00C87DCF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C87DCF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link w:val="Cytatintensywny"/>
    <w:uiPriority w:val="99"/>
    <w:semiHidden/>
    <w:rsid w:val="00C87DCF"/>
    <w:rPr>
      <w:rFonts w:eastAsia="MS Mincho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C87DCF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C87DCF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C87DCF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link w:val="Cytat"/>
    <w:uiPriority w:val="99"/>
    <w:semiHidden/>
    <w:rsid w:val="00C87DCF"/>
    <w:rPr>
      <w:rFonts w:eastAsia="MS Mincho"/>
      <w:i/>
      <w:iCs/>
      <w:lang w:bidi="en-US"/>
    </w:rPr>
  </w:style>
  <w:style w:type="character" w:styleId="Odwoaniedelikatne">
    <w:name w:val="Subtle Reference"/>
    <w:uiPriority w:val="99"/>
    <w:semiHidden/>
    <w:qFormat/>
    <w:rsid w:val="00C87DCF"/>
    <w:rPr>
      <w:smallCaps/>
    </w:rPr>
  </w:style>
  <w:style w:type="table" w:styleId="Tabela-Siatka">
    <w:name w:val="Table Grid"/>
    <w:basedOn w:val="Standardowy"/>
    <w:uiPriority w:val="59"/>
    <w:semiHidden/>
    <w:rsid w:val="00C87DCF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C87DCF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C87DCF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C87DCF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C87DCF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C87DCF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C87DCF"/>
    <w:pPr>
      <w:keepNext/>
      <w:keepLines/>
      <w:spacing w:before="240"/>
      <w:contextualSpacing/>
      <w:jc w:val="center"/>
    </w:pPr>
    <w:rPr>
      <w:rFonts w:eastAsia="Times New Roman"/>
      <w:b/>
      <w:color w:val="474747"/>
      <w:sz w:val="28"/>
    </w:rPr>
  </w:style>
  <w:style w:type="table" w:customStyle="1" w:styleId="UGTable">
    <w:name w:val="UG_Table"/>
    <w:basedOn w:val="Standardowy"/>
    <w:uiPriority w:val="99"/>
    <w:rsid w:val="00801300"/>
    <w:rPr>
      <w:rFonts w:eastAsia="MS Mincho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="MS Mincho"/>
      <w:lang w:eastAsia="en-GB"/>
    </w:rPr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/>
      <w:sz w:val="18"/>
    </w:rPr>
    <w:tblPr>
      <w:tblBorders>
        <w:top w:val="single" w:sz="8" w:space="0" w:color="9F9F9F"/>
        <w:left w:val="single" w:sz="8" w:space="0" w:color="9F9F9F"/>
        <w:bottom w:val="single" w:sz="8" w:space="0" w:color="9F9F9F"/>
        <w:right w:val="single" w:sz="8" w:space="0" w:color="9F9F9F"/>
        <w:insideH w:val="single" w:sz="8" w:space="0" w:color="9F9F9F"/>
        <w:insideV w:val="single" w:sz="8" w:space="0" w:color="9F9F9F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/>
    </w:rPr>
    <w:tblPr>
      <w:tblInd w:w="-680" w:type="dxa"/>
      <w:tblBorders>
        <w:insideH w:val="single" w:sz="4" w:space="0" w:color="C6C6C6"/>
        <w:insideV w:val="single" w:sz="4" w:space="0" w:color="C6C6C6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="Times New Roman" w:hAnsi="Times New Roman"/>
        <w:b/>
        <w:i w:val="0"/>
        <w:color w:val="474747"/>
        <w:sz w:val="24"/>
      </w:rPr>
      <w:tblPr/>
      <w:tcPr>
        <w:tcBorders>
          <w:top w:val="single" w:sz="4" w:space="0" w:color="949494"/>
          <w:left w:val="single" w:sz="4" w:space="0" w:color="949494"/>
          <w:bottom w:val="nil"/>
          <w:right w:val="single" w:sz="4" w:space="0" w:color="949494"/>
          <w:insideH w:val="nil"/>
          <w:insideV w:val="nil"/>
          <w:tl2br w:val="nil"/>
          <w:tr2bl w:val="nil"/>
        </w:tcBorders>
        <w:shd w:val="clear" w:color="auto" w:fill="DFDFDF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C87DCF"/>
    <w:pPr>
      <w:keepNext/>
      <w:keepLines/>
      <w:spacing w:before="240"/>
      <w:contextualSpacing/>
      <w:jc w:val="center"/>
    </w:pPr>
    <w:rPr>
      <w:rFonts w:eastAsia="MS Gothic"/>
      <w:b/>
      <w:bCs/>
      <w:color w:val="474747"/>
      <w:sz w:val="28"/>
      <w:szCs w:val="24"/>
    </w:rPr>
  </w:style>
  <w:style w:type="character" w:customStyle="1" w:styleId="PodtytuZnak">
    <w:name w:val="Podtytuł Znak"/>
    <w:link w:val="Podtytu"/>
    <w:uiPriority w:val="99"/>
    <w:semiHidden/>
    <w:rsid w:val="00C87DCF"/>
    <w:rPr>
      <w:rFonts w:ascii="Times New Roman" w:eastAsia="MS Gothic" w:hAnsi="Times New Roman" w:cs="Times New Roman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unhideWhenUsed/>
    <w:rsid w:val="002D2C99"/>
    <w:pPr>
      <w:numPr>
        <w:numId w:val="9"/>
      </w:numPr>
    </w:pPr>
  </w:style>
  <w:style w:type="numbering" w:styleId="1ai">
    <w:name w:val="Outline List 1"/>
    <w:basedOn w:val="Bezlisty"/>
    <w:uiPriority w:val="99"/>
    <w:semiHidden/>
    <w:unhideWhenUsed/>
    <w:rsid w:val="002D2C99"/>
    <w:pPr>
      <w:numPr>
        <w:numId w:val="10"/>
      </w:numPr>
    </w:pPr>
  </w:style>
  <w:style w:type="paragraph" w:customStyle="1" w:styleId="ECHRPara">
    <w:name w:val="ECHR_Para"/>
    <w:aliases w:val="Ju_Para"/>
    <w:basedOn w:val="Normalny"/>
    <w:link w:val="ECHRParaChar"/>
    <w:qFormat/>
    <w:rsid w:val="00C87DCF"/>
    <w:pPr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2D2C99"/>
    <w:pPr>
      <w:numPr>
        <w:numId w:val="11"/>
      </w:numPr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/>
        <w:left w:val="single" w:sz="4" w:space="0" w:color="9F9F9F"/>
        <w:bottom w:val="single" w:sz="4" w:space="0" w:color="9F9F9F"/>
        <w:right w:val="single" w:sz="4" w:space="0" w:color="9F9F9F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="Times New Roman" w:hAnsi="Times New Roman"/>
        <w:b/>
        <w:i w:val="0"/>
        <w:color w:val="474747"/>
        <w:sz w:val="24"/>
      </w:rPr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nil"/>
          <w:insideV w:val="nil"/>
          <w:tl2br w:val="nil"/>
          <w:tr2bl w:val="nil"/>
        </w:tcBorders>
        <w:shd w:val="clear" w:color="auto" w:fill="DFDFDF"/>
      </w:tcPr>
    </w:tblStylePr>
    <w:tblStylePr w:type="firstCol"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</w:tcBorders>
      </w:tcPr>
    </w:tblStylePr>
  </w:style>
  <w:style w:type="paragraph" w:styleId="Bibliografia">
    <w:name w:val="Bibliography"/>
    <w:basedOn w:val="Normalny"/>
    <w:next w:val="Normalny"/>
    <w:uiPriority w:val="99"/>
    <w:semiHidden/>
    <w:rsid w:val="002D2C99"/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C87DCF"/>
    <w:tblPr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bottom w:w="28" w:type="dxa"/>
      </w:tblCellMar>
    </w:tblPr>
    <w:tblStylePr w:type="firstRow">
      <w:rPr>
        <w:b/>
        <w:color w:val="474747"/>
      </w:rPr>
      <w:tblPr/>
      <w:trPr>
        <w:tblHeader/>
      </w:trPr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single" w:sz="4" w:space="0" w:color="949494"/>
          <w:insideV w:val="single" w:sz="4" w:space="0" w:color="949494"/>
        </w:tcBorders>
        <w:shd w:val="clear" w:color="auto" w:fill="DFDFDF"/>
      </w:tcPr>
    </w:tblStylePr>
  </w:style>
  <w:style w:type="paragraph" w:styleId="Tekstblokowy">
    <w:name w:val="Block Text"/>
    <w:basedOn w:val="Normalny"/>
    <w:uiPriority w:val="99"/>
    <w:semiHidden/>
    <w:rsid w:val="002D2C99"/>
    <w:pPr>
      <w:pBdr>
        <w:top w:val="single" w:sz="2" w:space="10" w:color="0072BC" w:shadow="1"/>
        <w:left w:val="single" w:sz="2" w:space="10" w:color="0072BC" w:shadow="1"/>
        <w:bottom w:val="single" w:sz="2" w:space="10" w:color="0072BC" w:shadow="1"/>
        <w:right w:val="single" w:sz="2" w:space="10" w:color="0072BC" w:shadow="1"/>
      </w:pBdr>
      <w:ind w:left="1152" w:right="1152"/>
    </w:pPr>
    <w:rPr>
      <w:i/>
      <w:iCs/>
      <w:color w:val="0072BC"/>
    </w:rPr>
  </w:style>
  <w:style w:type="paragraph" w:styleId="Tekstpodstawowy">
    <w:name w:val="Body Text"/>
    <w:basedOn w:val="Normalny"/>
    <w:link w:val="TekstpodstawowyZnak"/>
    <w:uiPriority w:val="99"/>
    <w:semiHidden/>
    <w:rsid w:val="002D2C99"/>
    <w:pPr>
      <w:spacing w:after="120"/>
    </w:p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Znak">
    <w:name w:val="Tekst podstawowy Znak"/>
    <w:link w:val="Tekstpodstawowy"/>
    <w:uiPriority w:val="99"/>
    <w:semiHidden/>
    <w:rsid w:val="002D2C99"/>
    <w:rPr>
      <w:rFonts w:eastAsia="MS Mincho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2D2C99"/>
    <w:pPr>
      <w:spacing w:after="120" w:line="480" w:lineRule="auto"/>
    </w:p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bottom w:w="28" w:type="dxa"/>
      </w:tblCellMar>
    </w:tblPr>
    <w:tblStylePr w:type="firstRow">
      <w:rPr>
        <w:rFonts w:ascii="Times New Roman" w:hAnsi="Times New Roman"/>
        <w:b/>
        <w:i w:val="0"/>
        <w:color w:val="474747"/>
        <w:sz w:val="22"/>
      </w:rPr>
      <w:tblPr/>
      <w:tcPr>
        <w:tcBorders>
          <w:top w:val="single" w:sz="4" w:space="0" w:color="949494"/>
          <w:left w:val="single" w:sz="4" w:space="0" w:color="949494"/>
          <w:bottom w:val="single" w:sz="4" w:space="0" w:color="949494"/>
          <w:right w:val="single" w:sz="4" w:space="0" w:color="949494"/>
          <w:insideH w:val="nil"/>
          <w:insideV w:val="single" w:sz="4" w:space="0" w:color="949494"/>
          <w:tl2br w:val="nil"/>
          <w:tr2bl w:val="nil"/>
        </w:tcBorders>
        <w:shd w:val="clear" w:color="auto" w:fill="DFDFD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/>
      </w:tcPr>
    </w:tblStylePr>
    <w:tblStylePr w:type="band1Horz">
      <w:rPr>
        <w:b/>
      </w:rPr>
      <w:tblPr/>
      <w:tcPr>
        <w:shd w:val="clear" w:color="auto" w:fill="DFDFDF"/>
      </w:tcPr>
    </w:tblStylePr>
  </w:style>
  <w:style w:type="paragraph" w:customStyle="1" w:styleId="ECHRDecisionBody">
    <w:name w:val="ECHR_Decision_Body"/>
    <w:aliases w:val="Ju_Judges"/>
    <w:basedOn w:val="Normalny"/>
    <w:link w:val="JuJudgesChar"/>
    <w:uiPriority w:val="11"/>
    <w:qFormat/>
    <w:rsid w:val="00C87DCF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basedOn w:val="Normalny"/>
    <w:next w:val="ECHRPara"/>
    <w:uiPriority w:val="10"/>
    <w:rsid w:val="00C87DCF"/>
    <w:pPr>
      <w:ind w:firstLine="284"/>
    </w:pPr>
    <w:rPr>
      <w:b/>
    </w:rPr>
  </w:style>
  <w:style w:type="character" w:styleId="Numerstrony">
    <w:name w:val="page number"/>
    <w:uiPriority w:val="99"/>
    <w:semiHidden/>
    <w:rsid w:val="002D2C99"/>
    <w:rPr>
      <w:rFonts w:ascii="Times New Roman" w:hAnsi="Times New Roman" w:cs="Times New Roman"/>
      <w:sz w:val="18"/>
    </w:rPr>
  </w:style>
  <w:style w:type="paragraph" w:styleId="Listapunktowana2">
    <w:name w:val="List Bullet 2"/>
    <w:basedOn w:val="Normalny"/>
    <w:uiPriority w:val="99"/>
    <w:semiHidden/>
    <w:rsid w:val="002D2C99"/>
    <w:pPr>
      <w:numPr>
        <w:numId w:val="8"/>
      </w:numPr>
      <w:contextualSpacing/>
    </w:pPr>
  </w:style>
  <w:style w:type="character" w:customStyle="1" w:styleId="Tekstpodstawowy2Znak">
    <w:name w:val="Tekst podstawowy 2 Znak"/>
    <w:link w:val="Tekstpodstawowy2"/>
    <w:uiPriority w:val="99"/>
    <w:semiHidden/>
    <w:rsid w:val="002D2C99"/>
    <w:rPr>
      <w:rFonts w:eastAsia="MS Minch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2D2C9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2D2C99"/>
    <w:rPr>
      <w:rFonts w:eastAsia="MS Mincho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2D2C99"/>
    <w:pPr>
      <w:spacing w:after="0"/>
      <w:ind w:firstLine="360"/>
    </w:pPr>
  </w:style>
  <w:style w:type="character" w:customStyle="1" w:styleId="TekstpodstawowyzwciciemZnak">
    <w:name w:val="Tekst podstawowy z wcięciem Znak"/>
    <w:link w:val="Tekstpodstawowyzwciciem"/>
    <w:uiPriority w:val="99"/>
    <w:semiHidden/>
    <w:rsid w:val="002D2C99"/>
    <w:rPr>
      <w:rFonts w:eastAsia="MS Mincho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2D2C99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2D2C99"/>
    <w:rPr>
      <w:rFonts w:eastAsia="MS Mincho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2D2C99"/>
    <w:pPr>
      <w:spacing w:after="0"/>
      <w:ind w:left="360" w:firstLine="360"/>
    </w:pPr>
  </w:style>
  <w:style w:type="character" w:customStyle="1" w:styleId="Tekstpodstawowyzwciciem2Znak">
    <w:name w:val="Tekst podstawowy z wcięciem 2 Znak"/>
    <w:link w:val="Tekstpodstawowyzwciciem2"/>
    <w:uiPriority w:val="99"/>
    <w:semiHidden/>
    <w:rsid w:val="002D2C99"/>
    <w:rPr>
      <w:rFonts w:eastAsia="MS Mincho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2D2C9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2D2C99"/>
    <w:rPr>
      <w:rFonts w:eastAsia="MS Mincho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2D2C9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2D2C99"/>
    <w:rPr>
      <w:rFonts w:eastAsia="MS Mincho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2D2C99"/>
    <w:pPr>
      <w:spacing w:after="200"/>
    </w:pPr>
    <w:rPr>
      <w:b/>
      <w:bCs/>
      <w:color w:val="0072BC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2D2C99"/>
    <w:pPr>
      <w:ind w:left="4252"/>
    </w:pPr>
  </w:style>
  <w:style w:type="character" w:customStyle="1" w:styleId="ZwrotpoegnalnyZnak">
    <w:name w:val="Zwrot pożegnalny Znak"/>
    <w:link w:val="Zwrotpoegnalny"/>
    <w:uiPriority w:val="99"/>
    <w:semiHidden/>
    <w:rsid w:val="002D2C99"/>
    <w:rPr>
      <w:rFonts w:eastAsia="MS Mincho"/>
      <w:sz w:val="24"/>
    </w:rPr>
  </w:style>
  <w:style w:type="table" w:styleId="Kolorowasiatka">
    <w:name w:val="Colorful Grid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0072BC"/>
      </w:rPr>
      <w:tblPr/>
      <w:tcPr>
        <w:shd w:val="clear" w:color="auto" w:fill="000000"/>
      </w:tcPr>
    </w:tblStylePr>
    <w:tblStylePr w:type="lastCol">
      <w:rPr>
        <w:color w:val="0072BC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Kolorowasiatkaakcent1">
    <w:name w:val="Colorful Grid Accent 1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BEE5FF"/>
    </w:tcPr>
    <w:tblStylePr w:type="firstRow">
      <w:rPr>
        <w:b/>
        <w:bCs/>
      </w:rPr>
      <w:tblPr/>
      <w:tcPr>
        <w:shd w:val="clear" w:color="auto" w:fill="7ECBFF"/>
      </w:tcPr>
    </w:tblStylePr>
    <w:tblStylePr w:type="lastRow">
      <w:rPr>
        <w:b/>
        <w:bCs/>
        <w:color w:val="000000"/>
      </w:rPr>
      <w:tblPr/>
      <w:tcPr>
        <w:shd w:val="clear" w:color="auto" w:fill="7ECBFF"/>
      </w:tcPr>
    </w:tblStylePr>
    <w:tblStylePr w:type="firstCol">
      <w:rPr>
        <w:color w:val="0072BC"/>
      </w:rPr>
      <w:tblPr/>
      <w:tcPr>
        <w:shd w:val="clear" w:color="auto" w:fill="00548C"/>
      </w:tcPr>
    </w:tblStylePr>
    <w:tblStylePr w:type="lastCol">
      <w:rPr>
        <w:color w:val="0072BC"/>
      </w:rPr>
      <w:tblPr/>
      <w:tcPr>
        <w:shd w:val="clear" w:color="auto" w:fill="00548C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styleId="Kolorowasiatkaakcent2">
    <w:name w:val="Colorful Grid Accent 2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FFBFBF"/>
    </w:tcPr>
    <w:tblStylePr w:type="firstRow">
      <w:rPr>
        <w:b/>
        <w:bCs/>
      </w:rPr>
      <w:tblPr/>
      <w:tcPr>
        <w:shd w:val="clear" w:color="auto" w:fill="FF7F7F"/>
      </w:tcPr>
    </w:tblStylePr>
    <w:tblStylePr w:type="lastRow">
      <w:rPr>
        <w:b/>
        <w:bCs/>
        <w:color w:val="000000"/>
      </w:rPr>
      <w:tblPr/>
      <w:tcPr>
        <w:shd w:val="clear" w:color="auto" w:fill="FF7F7F"/>
      </w:tcPr>
    </w:tblStylePr>
    <w:tblStylePr w:type="firstCol">
      <w:rPr>
        <w:color w:val="0072BC"/>
      </w:rPr>
      <w:tblPr/>
      <w:tcPr>
        <w:shd w:val="clear" w:color="auto" w:fill="8F0000"/>
      </w:tcPr>
    </w:tblStylePr>
    <w:tblStylePr w:type="lastCol">
      <w:rPr>
        <w:color w:val="0072BC"/>
      </w:rPr>
      <w:tblPr/>
      <w:tcPr>
        <w:shd w:val="clear" w:color="auto" w:fill="8F0000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styleId="Kolorowasiatkaakcent3">
    <w:name w:val="Colorful Grid Accent 3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Kolorowasiatkaakcent4">
    <w:name w:val="Colorful Grid Accent 4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EAEAEA"/>
    </w:tcPr>
    <w:tblStylePr w:type="firstRow">
      <w:rPr>
        <w:b/>
        <w:bCs/>
      </w:rPr>
      <w:tblPr/>
      <w:tcPr>
        <w:shd w:val="clear" w:color="auto" w:fill="D5D5D5"/>
      </w:tcPr>
    </w:tblStylePr>
    <w:tblStylePr w:type="lastRow">
      <w:rPr>
        <w:b/>
        <w:bCs/>
        <w:color w:val="000000"/>
      </w:rPr>
      <w:tblPr/>
      <w:tcPr>
        <w:shd w:val="clear" w:color="auto" w:fill="D5D5D5"/>
      </w:tcPr>
    </w:tblStylePr>
    <w:tblStylePr w:type="firstCol">
      <w:rPr>
        <w:color w:val="0072BC"/>
      </w:rPr>
      <w:tblPr/>
      <w:tcPr>
        <w:shd w:val="clear" w:color="auto" w:fill="707070"/>
      </w:tcPr>
    </w:tblStylePr>
    <w:tblStylePr w:type="lastCol">
      <w:rPr>
        <w:color w:val="0072BC"/>
      </w:rPr>
      <w:tblPr/>
      <w:tcPr>
        <w:shd w:val="clear" w:color="auto" w:fill="707070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styleId="Kolorowasiatkaakcent5">
    <w:name w:val="Colorful Grid Accent 5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Kolorowasiatkaakcent6">
    <w:name w:val="Colorful Grid Accent 6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BDBDB"/>
    </w:tcPr>
    <w:tblStylePr w:type="firstRow">
      <w:rPr>
        <w:b/>
        <w:bCs/>
      </w:rPr>
      <w:tblPr/>
      <w:tcPr>
        <w:shd w:val="clear" w:color="auto" w:fill="B7B7B7"/>
      </w:tcPr>
    </w:tblStylePr>
    <w:tblStylePr w:type="lastRow">
      <w:rPr>
        <w:b/>
        <w:bCs/>
        <w:color w:val="000000"/>
      </w:rPr>
      <w:tblPr/>
      <w:tcPr>
        <w:shd w:val="clear" w:color="auto" w:fill="B7B7B7"/>
      </w:tcPr>
    </w:tblStylePr>
    <w:tblStylePr w:type="firstCol">
      <w:rPr>
        <w:color w:val="0072BC"/>
      </w:rPr>
      <w:tblPr/>
      <w:tcPr>
        <w:shd w:val="clear" w:color="auto" w:fill="393939"/>
      </w:tcPr>
    </w:tblStylePr>
    <w:tblStylePr w:type="lastCol">
      <w:rPr>
        <w:color w:val="0072BC"/>
      </w:rPr>
      <w:tblPr/>
      <w:tcPr>
        <w:shd w:val="clear" w:color="auto" w:fill="393939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styleId="Kolorowalista">
    <w:name w:val="Colorful List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Kolorowalistaakcent1">
    <w:name w:val="Colorful List Accent 1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</w:tblPr>
    <w:tcPr>
      <w:shd w:val="clear" w:color="auto" w:fill="DFF2F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shd w:val="clear" w:color="auto" w:fill="BEE5FF"/>
      </w:tcPr>
    </w:tblStylePr>
  </w:style>
  <w:style w:type="table" w:styleId="Kolorowalistaakcent2">
    <w:name w:val="Colorful List Accent 2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</w:tblPr>
    <w:tcPr>
      <w:shd w:val="clear" w:color="auto" w:fill="FFDFD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shd w:val="clear" w:color="auto" w:fill="FFBFBF"/>
      </w:tcPr>
    </w:tblStylePr>
  </w:style>
  <w:style w:type="table" w:styleId="Kolorowalistaakcent3">
    <w:name w:val="Colorful List Accent 3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787878"/>
      </w:tcPr>
    </w:tblStylePr>
    <w:tblStylePr w:type="lastRow">
      <w:rPr>
        <w:b/>
        <w:bCs/>
        <w:color w:val="787878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styleId="Kolorowalistaakcent4">
    <w:name w:val="Colorful List Accent 4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</w:tblPr>
    <w:tcPr>
      <w:shd w:val="clear" w:color="auto" w:fill="F4F4F4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shd w:val="clear" w:color="auto" w:fill="EAEAEA"/>
      </w:tcPr>
    </w:tblStylePr>
  </w:style>
  <w:style w:type="table" w:styleId="Kolorowalistaakcent5">
    <w:name w:val="Colorful List Accent 5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3D3D3D"/>
      </w:tcPr>
    </w:tblStylePr>
    <w:tblStylePr w:type="lastRow">
      <w:rPr>
        <w:b/>
        <w:bCs/>
        <w:color w:val="3D3D3D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styleId="Kolorowalistaakcent6">
    <w:name w:val="Colorful List Accent 6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</w:tblPr>
    <w:tcPr>
      <w:shd w:val="clear" w:color="auto" w:fill="EDEDED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shd w:val="clear" w:color="auto" w:fill="DBDBDB"/>
      </w:tcPr>
    </w:tblStylePr>
  </w:style>
  <w:style w:type="table" w:styleId="Kolorowecieniowanie">
    <w:name w:val="Colorful Shading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24" w:space="0" w:color="C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72BC"/>
        <w:insideV w:val="single" w:sz="4" w:space="0" w:color="0072BC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1">
    <w:name w:val="Colorful Shading Accent 1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24" w:space="0" w:color="C00000"/>
        <w:left w:val="single" w:sz="4" w:space="0" w:color="0072BC"/>
        <w:bottom w:val="single" w:sz="4" w:space="0" w:color="0072BC"/>
        <w:right w:val="single" w:sz="4" w:space="0" w:color="0072BC"/>
        <w:insideH w:val="single" w:sz="4" w:space="0" w:color="0072BC"/>
        <w:insideV w:val="single" w:sz="4" w:space="0" w:color="0072BC"/>
      </w:tblBorders>
    </w:tblPr>
    <w:tcPr>
      <w:shd w:val="clear" w:color="auto" w:fill="DFF2F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447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4470"/>
          <w:insideV w:val="nil"/>
        </w:tcBorders>
        <w:shd w:val="clear" w:color="auto" w:fill="00447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/>
      </w:tcPr>
    </w:tblStylePr>
    <w:tblStylePr w:type="band1Vert">
      <w:tblPr/>
      <w:tcPr>
        <w:shd w:val="clear" w:color="auto" w:fill="7ECBFF"/>
      </w:tcPr>
    </w:tblStylePr>
    <w:tblStylePr w:type="band1Horz">
      <w:tblPr/>
      <w:tcPr>
        <w:shd w:val="clear" w:color="auto" w:fill="5EBFF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2">
    <w:name w:val="Colorful Shading Accent 2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2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0072BC"/>
        <w:insideV w:val="single" w:sz="4" w:space="0" w:color="0072BC"/>
      </w:tblBorders>
    </w:tblPr>
    <w:tcPr>
      <w:shd w:val="clear" w:color="auto" w:fill="FFDFD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73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730000"/>
          <w:insideV w:val="nil"/>
        </w:tcBorders>
        <w:shd w:val="clear" w:color="auto" w:fill="73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/>
      </w:tcPr>
    </w:tblStylePr>
    <w:tblStylePr w:type="band1Vert">
      <w:tblPr/>
      <w:tcPr>
        <w:shd w:val="clear" w:color="auto" w:fill="FF7F7F"/>
      </w:tcPr>
    </w:tblStylePr>
    <w:tblStylePr w:type="band1Horz">
      <w:tblPr/>
      <w:tcPr>
        <w:shd w:val="clear" w:color="auto" w:fill="FF606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3">
    <w:name w:val="Colorful Shading Accent 3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24" w:space="0" w:color="969696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</w:style>
  <w:style w:type="table" w:styleId="Kolorowecieniowanieakcent4">
    <w:name w:val="Colorful Shading Accent 4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24" w:space="0" w:color="5F5F5F"/>
        <w:left w:val="single" w:sz="4" w:space="0" w:color="969696"/>
        <w:bottom w:val="single" w:sz="4" w:space="0" w:color="969696"/>
        <w:right w:val="single" w:sz="4" w:space="0" w:color="969696"/>
        <w:insideH w:val="single" w:sz="4" w:space="0" w:color="0072BC"/>
        <w:insideV w:val="single" w:sz="4" w:space="0" w:color="0072BC"/>
      </w:tblBorders>
    </w:tblPr>
    <w:tcPr>
      <w:shd w:val="clear" w:color="auto" w:fill="F4F4F4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5A5A5A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5A5A5A"/>
          <w:insideV w:val="nil"/>
        </w:tcBorders>
        <w:shd w:val="clear" w:color="auto" w:fill="5A5A5A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/>
      </w:tcPr>
    </w:tblStylePr>
    <w:tblStylePr w:type="band1Vert">
      <w:tblPr/>
      <w:tcPr>
        <w:shd w:val="clear" w:color="auto" w:fill="D5D5D5"/>
      </w:tcPr>
    </w:tblStylePr>
    <w:tblStylePr w:type="band1Horz">
      <w:tblPr/>
      <w:tcPr>
        <w:shd w:val="clear" w:color="auto" w:fill="CACACA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5">
    <w:name w:val="Colorful Shading Accent 5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24" w:space="0" w:color="4D4D4D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6">
    <w:name w:val="Colorful Shading Accent 6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24" w:space="0" w:color="5F5F5F"/>
        <w:left w:val="single" w:sz="4" w:space="0" w:color="4D4D4D"/>
        <w:bottom w:val="single" w:sz="4" w:space="0" w:color="4D4D4D"/>
        <w:right w:val="single" w:sz="4" w:space="0" w:color="4D4D4D"/>
        <w:insideH w:val="single" w:sz="4" w:space="0" w:color="0072BC"/>
        <w:insideV w:val="single" w:sz="4" w:space="0" w:color="0072BC"/>
      </w:tblBorders>
    </w:tblPr>
    <w:tcPr>
      <w:shd w:val="clear" w:color="auto" w:fill="ED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2E2E2E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2E2E2E"/>
          <w:insideV w:val="nil"/>
        </w:tcBorders>
        <w:shd w:val="clear" w:color="auto" w:fill="2E2E2E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/>
      </w:tcPr>
    </w:tblStylePr>
    <w:tblStylePr w:type="band1Vert">
      <w:tblPr/>
      <w:tcPr>
        <w:shd w:val="clear" w:color="auto" w:fill="B7B7B7"/>
      </w:tcPr>
    </w:tblStylePr>
    <w:tblStylePr w:type="band1Horz">
      <w:tblPr/>
      <w:tcPr>
        <w:shd w:val="clear" w:color="auto" w:fill="A6A6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styleId="Odwoaniedokomentarza">
    <w:name w:val="annotation reference"/>
    <w:semiHidden/>
    <w:rsid w:val="002D2C9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2D2C99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2D2C99"/>
    <w:rPr>
      <w:rFonts w:eastAsia="MS Mincho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D2C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2D2C99"/>
    <w:rPr>
      <w:rFonts w:eastAsia="MS Mincho"/>
      <w:b/>
      <w:bCs/>
      <w:sz w:val="20"/>
      <w:szCs w:val="20"/>
    </w:rPr>
  </w:style>
  <w:style w:type="table" w:styleId="Ciemnalista">
    <w:name w:val="Dark List"/>
    <w:basedOn w:val="Standardowy"/>
    <w:uiPriority w:val="99"/>
    <w:semiHidden/>
    <w:rsid w:val="002D2C99"/>
    <w:rPr>
      <w:color w:val="0072BC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Ciemnalista2akcent1">
    <w:name w:val="Dark List Accent 1"/>
    <w:basedOn w:val="Standardowy"/>
    <w:uiPriority w:val="99"/>
    <w:semiHidden/>
    <w:rsid w:val="002D2C99"/>
    <w:rPr>
      <w:color w:val="0072BC"/>
    </w:rPr>
    <w:tblPr>
      <w:tblStyleRowBandSize w:val="1"/>
      <w:tblStyleColBandSize w:val="1"/>
    </w:tblPr>
    <w:tcPr>
      <w:shd w:val="clear" w:color="auto" w:fill="0072BC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385D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548C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</w:style>
  <w:style w:type="table" w:styleId="Ciemnalistaakcent2">
    <w:name w:val="Dark List Accent 2"/>
    <w:basedOn w:val="Standardowy"/>
    <w:uiPriority w:val="99"/>
    <w:semiHidden/>
    <w:rsid w:val="002D2C99"/>
    <w:rPr>
      <w:color w:val="0072BC"/>
    </w:rPr>
    <w:tblPr>
      <w:tblStyleRowBandSize w:val="1"/>
      <w:tblStyleColBandSize w:val="1"/>
    </w:tblPr>
    <w:tcPr>
      <w:shd w:val="clear" w:color="auto" w:fill="C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5F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8F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</w:style>
  <w:style w:type="table" w:styleId="Ciemnalistaakcent3">
    <w:name w:val="Dark List Accent 3"/>
    <w:basedOn w:val="Standardowy"/>
    <w:uiPriority w:val="99"/>
    <w:semiHidden/>
    <w:rsid w:val="002D2C99"/>
    <w:rPr>
      <w:color w:val="0072BC"/>
    </w:rPr>
    <w:tblPr>
      <w:tblStyleRowBandSize w:val="1"/>
      <w:tblStyleColBandSize w:val="1"/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styleId="Ciemnalistaakcent4">
    <w:name w:val="Dark List Accent 4"/>
    <w:basedOn w:val="Standardowy"/>
    <w:uiPriority w:val="99"/>
    <w:semiHidden/>
    <w:rsid w:val="002D2C99"/>
    <w:rPr>
      <w:color w:val="0072BC"/>
    </w:rPr>
    <w:tblPr>
      <w:tblStyleRowBandSize w:val="1"/>
      <w:tblStyleColBandSize w:val="1"/>
    </w:tblPr>
    <w:tcPr>
      <w:shd w:val="clear" w:color="auto" w:fill="96969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4A4A4A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70707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</w:style>
  <w:style w:type="table" w:styleId="Ciemnalistaakcent5">
    <w:name w:val="Dark List Accent 5"/>
    <w:basedOn w:val="Standardowy"/>
    <w:uiPriority w:val="99"/>
    <w:semiHidden/>
    <w:rsid w:val="002D2C99"/>
    <w:rPr>
      <w:color w:val="0072BC"/>
    </w:rPr>
    <w:tblPr>
      <w:tblStyleRowBandSize w:val="1"/>
      <w:tblStyleColBandSize w:val="1"/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styleId="Ciemnalistaakcent6">
    <w:name w:val="Dark List Accent 6"/>
    <w:basedOn w:val="Standardowy"/>
    <w:uiPriority w:val="99"/>
    <w:semiHidden/>
    <w:rsid w:val="002D2C99"/>
    <w:rPr>
      <w:color w:val="0072BC"/>
    </w:rPr>
    <w:tblPr>
      <w:tblStyleRowBandSize w:val="1"/>
      <w:tblStyleColBandSize w:val="1"/>
    </w:tblPr>
    <w:tcPr>
      <w:shd w:val="clear" w:color="auto" w:fill="4D4D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6262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393939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2D2C99"/>
  </w:style>
  <w:style w:type="character" w:customStyle="1" w:styleId="DataZnak">
    <w:name w:val="Data Znak"/>
    <w:link w:val="Data"/>
    <w:uiPriority w:val="99"/>
    <w:semiHidden/>
    <w:rsid w:val="002D2C99"/>
    <w:rPr>
      <w:rFonts w:eastAsia="MS Mincho"/>
      <w:sz w:val="24"/>
    </w:rPr>
  </w:style>
  <w:style w:type="paragraph" w:styleId="Mapadokumentu">
    <w:name w:val="Document Map"/>
    <w:basedOn w:val="Normalny"/>
    <w:link w:val="MapadokumentuZnak"/>
    <w:uiPriority w:val="99"/>
    <w:semiHidden/>
    <w:rsid w:val="002D2C99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link w:val="Mapadokumentu"/>
    <w:uiPriority w:val="99"/>
    <w:semiHidden/>
    <w:rsid w:val="002D2C99"/>
    <w:rPr>
      <w:rFonts w:ascii="Tahoma" w:eastAsia="MS Mincho" w:hAnsi="Tahoma" w:cs="Tahoma"/>
      <w:sz w:val="16"/>
      <w:szCs w:val="16"/>
    </w:rPr>
  </w:style>
  <w:style w:type="paragraph" w:styleId="Podpise-mail">
    <w:name w:val="E-mail Signature"/>
    <w:basedOn w:val="Normalny"/>
    <w:link w:val="Podpise-mailZnak"/>
    <w:uiPriority w:val="99"/>
    <w:semiHidden/>
    <w:rsid w:val="002D2C99"/>
  </w:style>
  <w:style w:type="character" w:customStyle="1" w:styleId="Podpise-mailZnak">
    <w:name w:val="Podpis e-mail Znak"/>
    <w:link w:val="Podpise-mail"/>
    <w:uiPriority w:val="99"/>
    <w:semiHidden/>
    <w:rsid w:val="002D2C99"/>
    <w:rPr>
      <w:rFonts w:eastAsia="MS Mincho"/>
      <w:sz w:val="24"/>
    </w:rPr>
  </w:style>
  <w:style w:type="character" w:styleId="Odwoanieprzypisukocowego">
    <w:name w:val="endnote reference"/>
    <w:uiPriority w:val="99"/>
    <w:semiHidden/>
    <w:rsid w:val="00C87DCF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87DC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C87DCF"/>
    <w:rPr>
      <w:rFonts w:eastAsia="MS Mincho"/>
      <w:sz w:val="20"/>
      <w:szCs w:val="20"/>
      <w:lang w:val="pl-PL"/>
    </w:rPr>
  </w:style>
  <w:style w:type="paragraph" w:styleId="Adresnakopercie">
    <w:name w:val="envelope address"/>
    <w:basedOn w:val="Normalny"/>
    <w:uiPriority w:val="99"/>
    <w:semiHidden/>
    <w:rsid w:val="002D2C99"/>
    <w:pPr>
      <w:framePr w:w="7938" w:h="1985" w:hRule="exact" w:hSpace="141" w:wrap="auto" w:hAnchor="page" w:xAlign="center" w:yAlign="bottom"/>
      <w:ind w:left="2835"/>
    </w:pPr>
    <w:rPr>
      <w:rFonts w:eastAsia="MS Gothic"/>
      <w:szCs w:val="24"/>
    </w:rPr>
  </w:style>
  <w:style w:type="paragraph" w:styleId="Adreszwrotnynakopercie">
    <w:name w:val="envelope return"/>
    <w:basedOn w:val="Normalny"/>
    <w:uiPriority w:val="99"/>
    <w:semiHidden/>
    <w:rsid w:val="002D2C99"/>
    <w:rPr>
      <w:rFonts w:eastAsia="MS Gothic"/>
      <w:sz w:val="20"/>
      <w:szCs w:val="20"/>
    </w:rPr>
  </w:style>
  <w:style w:type="character" w:styleId="UyteHipercze">
    <w:name w:val="FollowedHyperlink"/>
    <w:uiPriority w:val="99"/>
    <w:semiHidden/>
    <w:rsid w:val="002D2C99"/>
    <w:rPr>
      <w:color w:val="7030A0"/>
      <w:u w:val="single"/>
    </w:rPr>
  </w:style>
  <w:style w:type="character" w:styleId="HTML-akronim">
    <w:name w:val="HTML Acronym"/>
    <w:basedOn w:val="Domylnaczcionkaakapitu"/>
    <w:uiPriority w:val="99"/>
    <w:semiHidden/>
    <w:rsid w:val="002D2C99"/>
  </w:style>
  <w:style w:type="paragraph" w:styleId="HTML-adres">
    <w:name w:val="HTML Address"/>
    <w:basedOn w:val="Normalny"/>
    <w:link w:val="HTML-adresZnak"/>
    <w:uiPriority w:val="99"/>
    <w:semiHidden/>
    <w:rsid w:val="002D2C99"/>
    <w:rPr>
      <w:i/>
      <w:iCs/>
    </w:rPr>
  </w:style>
  <w:style w:type="character" w:customStyle="1" w:styleId="HTML-adresZnak">
    <w:name w:val="HTML - adres Znak"/>
    <w:link w:val="HTML-adres"/>
    <w:uiPriority w:val="99"/>
    <w:semiHidden/>
    <w:rsid w:val="002D2C99"/>
    <w:rPr>
      <w:rFonts w:eastAsia="MS Mincho"/>
      <w:i/>
      <w:iCs/>
      <w:sz w:val="24"/>
    </w:rPr>
  </w:style>
  <w:style w:type="character" w:styleId="HTML-cytat">
    <w:name w:val="HTML Cite"/>
    <w:uiPriority w:val="99"/>
    <w:semiHidden/>
    <w:rsid w:val="002D2C99"/>
    <w:rPr>
      <w:i/>
      <w:iCs/>
    </w:rPr>
  </w:style>
  <w:style w:type="character" w:styleId="HTML-kod">
    <w:name w:val="HTML Code"/>
    <w:uiPriority w:val="99"/>
    <w:semiHidden/>
    <w:rsid w:val="002D2C99"/>
    <w:rPr>
      <w:rFonts w:ascii="Consolas" w:hAnsi="Consolas" w:cs="Consolas"/>
      <w:sz w:val="20"/>
      <w:szCs w:val="20"/>
    </w:rPr>
  </w:style>
  <w:style w:type="character" w:styleId="HTML-definicja">
    <w:name w:val="HTML Definition"/>
    <w:uiPriority w:val="99"/>
    <w:semiHidden/>
    <w:rsid w:val="002D2C99"/>
    <w:rPr>
      <w:i/>
      <w:iCs/>
    </w:rPr>
  </w:style>
  <w:style w:type="character" w:styleId="HTML-klawiatura">
    <w:name w:val="HTML Keyboard"/>
    <w:uiPriority w:val="99"/>
    <w:semiHidden/>
    <w:rsid w:val="002D2C99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2D2C99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2D2C99"/>
    <w:rPr>
      <w:rFonts w:ascii="Consolas" w:eastAsia="MS Mincho" w:hAnsi="Consolas" w:cs="Consolas"/>
      <w:sz w:val="20"/>
      <w:szCs w:val="20"/>
    </w:rPr>
  </w:style>
  <w:style w:type="character" w:styleId="HTML-przykad">
    <w:name w:val="HTML Sample"/>
    <w:uiPriority w:val="99"/>
    <w:semiHidden/>
    <w:rsid w:val="002D2C99"/>
    <w:rPr>
      <w:rFonts w:ascii="Consolas" w:hAnsi="Consolas" w:cs="Consolas"/>
      <w:sz w:val="24"/>
      <w:szCs w:val="24"/>
    </w:rPr>
  </w:style>
  <w:style w:type="character" w:styleId="HTML-staaszeroko">
    <w:name w:val="HTML Typewriter"/>
    <w:uiPriority w:val="99"/>
    <w:semiHidden/>
    <w:rsid w:val="002D2C99"/>
    <w:rPr>
      <w:rFonts w:ascii="Consolas" w:hAnsi="Consolas" w:cs="Consolas"/>
      <w:sz w:val="20"/>
      <w:szCs w:val="20"/>
    </w:rPr>
  </w:style>
  <w:style w:type="character" w:styleId="HTML-zmienna">
    <w:name w:val="HTML Variable"/>
    <w:uiPriority w:val="99"/>
    <w:semiHidden/>
    <w:rsid w:val="002D2C99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2D2C99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2D2C99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2D2C99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2D2C99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2D2C99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2D2C99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2D2C99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2D2C99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2D2C99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2D2C99"/>
    <w:rPr>
      <w:rFonts w:eastAsia="MS Gothic"/>
      <w:b/>
      <w:bCs/>
    </w:rPr>
  </w:style>
  <w:style w:type="table" w:styleId="Jasnasiatka">
    <w:name w:val="Light Grid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1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  <w:shd w:val="clear" w:color="auto" w:fill="AFD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  <w:shd w:val="clear" w:color="auto" w:fill="AFDFFF"/>
      </w:tcPr>
    </w:tblStylePr>
    <w:tblStylePr w:type="band2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1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  <w:shd w:val="clear" w:color="auto" w:fill="FFB0B0"/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  <w:shd w:val="clear" w:color="auto" w:fill="FFB0B0"/>
      </w:tcPr>
    </w:tblStylePr>
    <w:tblStylePr w:type="band2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1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  <w:shd w:val="clear" w:color="auto" w:fill="E5E5E5"/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  <w:shd w:val="clear" w:color="auto" w:fill="E5E5E5"/>
      </w:tcPr>
    </w:tblStylePr>
    <w:tblStylePr w:type="band2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</w:tblPr>
    <w:tblStylePr w:type="fir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1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lastRow">
      <w:pPr>
        <w:spacing w:before="0" w:after="0" w:line="240" w:lineRule="auto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  <w:shd w:val="clear" w:color="auto" w:fill="D3D3D3"/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  <w:shd w:val="clear" w:color="auto" w:fill="D3D3D3"/>
      </w:tcPr>
    </w:tblStylePr>
    <w:tblStylePr w:type="band2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</w:tcPr>
    </w:tblStylePr>
  </w:style>
  <w:style w:type="table" w:styleId="Jasnalista">
    <w:name w:val="Light List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0072BC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C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96969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shd w:val="clear" w:color="auto" w:fill="4D4D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</w:style>
  <w:style w:type="table" w:styleId="Jasnecieniowanie">
    <w:name w:val="Light Shading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Jasnecieniowanieakcent1">
    <w:name w:val="Light Shading Accent 1"/>
    <w:basedOn w:val="Standardowy"/>
    <w:uiPriority w:val="99"/>
    <w:semiHidden/>
    <w:rsid w:val="002D2C99"/>
    <w:rPr>
      <w:color w:val="00548C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</w:style>
  <w:style w:type="table" w:styleId="Jasnecieniowanieakcent2">
    <w:name w:val="Light Shading Accent 2"/>
    <w:basedOn w:val="Standardowy"/>
    <w:uiPriority w:val="99"/>
    <w:semiHidden/>
    <w:rsid w:val="002D2C99"/>
    <w:rPr>
      <w:color w:val="8F0000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</w:style>
  <w:style w:type="table" w:styleId="Jasnecieniowanieakcent3">
    <w:name w:val="Light Shading Accent 3"/>
    <w:basedOn w:val="Standardowy"/>
    <w:uiPriority w:val="99"/>
    <w:semiHidden/>
    <w:rsid w:val="002D2C99"/>
    <w:rPr>
      <w:color w:val="474747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styleId="Jasnecieniowanieakcent4">
    <w:name w:val="Light Shading Accent 4"/>
    <w:basedOn w:val="Standardowy"/>
    <w:uiPriority w:val="99"/>
    <w:semiHidden/>
    <w:rsid w:val="002D2C99"/>
    <w:rPr>
      <w:color w:val="707070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</w:style>
  <w:style w:type="table" w:styleId="Jasnecieniowanieakcent5">
    <w:name w:val="Light Shading Accent 5"/>
    <w:basedOn w:val="Standardowy"/>
    <w:uiPriority w:val="99"/>
    <w:semiHidden/>
    <w:rsid w:val="002D2C99"/>
    <w:rPr>
      <w:color w:val="474747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styleId="Jasnecieniowanieakcent6">
    <w:name w:val="Light Shading Accent 6"/>
    <w:basedOn w:val="Standardowy"/>
    <w:uiPriority w:val="99"/>
    <w:semiHidden/>
    <w:rsid w:val="002D2C99"/>
    <w:rPr>
      <w:color w:val="393939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</w:style>
  <w:style w:type="character" w:styleId="Numerwiersza">
    <w:name w:val="line number"/>
    <w:basedOn w:val="Domylnaczcionkaakapitu"/>
    <w:uiPriority w:val="99"/>
    <w:semiHidden/>
    <w:rsid w:val="002D2C99"/>
  </w:style>
  <w:style w:type="paragraph" w:styleId="Lista">
    <w:name w:val="List"/>
    <w:basedOn w:val="Normalny"/>
    <w:uiPriority w:val="99"/>
    <w:semiHidden/>
    <w:rsid w:val="002D2C99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2D2C99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2D2C99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2D2C99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2D2C99"/>
    <w:pPr>
      <w:ind w:left="1415" w:hanging="283"/>
      <w:contextualSpacing/>
    </w:pPr>
  </w:style>
  <w:style w:type="paragraph" w:styleId="Listapunktowana">
    <w:name w:val="List Bullet"/>
    <w:basedOn w:val="Normalny"/>
    <w:uiPriority w:val="99"/>
    <w:semiHidden/>
    <w:rsid w:val="002D2C99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9"/>
    <w:semiHidden/>
    <w:rsid w:val="002D2C99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9"/>
    <w:semiHidden/>
    <w:rsid w:val="002D2C99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9"/>
    <w:semiHidden/>
    <w:rsid w:val="002D2C99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9"/>
    <w:semiHidden/>
    <w:rsid w:val="002D2C99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2D2C99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2D2C99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2D2C99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2D2C99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2D2C99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9"/>
    <w:semiHidden/>
    <w:rsid w:val="002D2C99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9"/>
    <w:semiHidden/>
    <w:rsid w:val="002D2C99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9"/>
    <w:semiHidden/>
    <w:rsid w:val="002D2C99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9"/>
    <w:semiHidden/>
    <w:rsid w:val="002D2C99"/>
    <w:pPr>
      <w:numPr>
        <w:numId w:val="20"/>
      </w:numPr>
      <w:contextualSpacing/>
    </w:pPr>
  </w:style>
  <w:style w:type="paragraph" w:styleId="Tekstmakra">
    <w:name w:val="macro"/>
    <w:link w:val="TekstmakraZnak"/>
    <w:uiPriority w:val="99"/>
    <w:semiHidden/>
    <w:rsid w:val="002D2C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="MS Mincho" w:hAnsi="Consolas" w:cs="Consolas"/>
      <w:lang w:eastAsia="en-US"/>
    </w:rPr>
  </w:style>
  <w:style w:type="character" w:customStyle="1" w:styleId="TekstmakraZnak">
    <w:name w:val="Tekst makra Znak"/>
    <w:link w:val="Tekstmakra"/>
    <w:uiPriority w:val="99"/>
    <w:semiHidden/>
    <w:rsid w:val="002D2C99"/>
    <w:rPr>
      <w:rFonts w:ascii="Consolas" w:eastAsia="MS Mincho" w:hAnsi="Consolas" w:cs="Consolas"/>
      <w:sz w:val="20"/>
      <w:szCs w:val="20"/>
    </w:rPr>
  </w:style>
  <w:style w:type="table" w:styleId="redniasiatka1">
    <w:name w:val="Medium Grid 1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redniasiatka1akcent1">
    <w:name w:val="Medium Grid 1 Accent 1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  <w:insideV w:val="single" w:sz="8" w:space="0" w:color="0D9FFF"/>
      </w:tblBorders>
    </w:tblPr>
    <w:tcPr>
      <w:shd w:val="clear" w:color="auto" w:fill="AFDFF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styleId="redniasiatka1akcent2">
    <w:name w:val="Medium Grid 1 Accent 2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  <w:insideV w:val="single" w:sz="8" w:space="0" w:color="FF1010"/>
      </w:tblBorders>
    </w:tblPr>
    <w:tcPr>
      <w:shd w:val="clear" w:color="auto" w:fill="FFB0B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styleId="redniasiatka1akcent3">
    <w:name w:val="Medium Grid 1 Accent 3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redniasiatka1akcent4">
    <w:name w:val="Medium Grid 1 Accent 4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  <w:insideV w:val="single" w:sz="8" w:space="0" w:color="B0B0B0"/>
      </w:tblBorders>
    </w:tblPr>
    <w:tcPr>
      <w:shd w:val="clear" w:color="auto" w:fill="E5E5E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styleId="redniasiatka1akcent5">
    <w:name w:val="Medium Grid 1 Accent 5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redniasiatka1akcent6">
    <w:name w:val="Medium Grid 1 Accent 6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  <w:insideV w:val="single" w:sz="8" w:space="0" w:color="797979"/>
      </w:tblBorders>
    </w:tblPr>
    <w:tcPr>
      <w:shd w:val="clear" w:color="auto" w:fill="D3D3D3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styleId="redniasiatka2">
    <w:name w:val="Medium Grid 2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0072BC"/>
      </w:tcPr>
    </w:tblStylePr>
  </w:style>
  <w:style w:type="table" w:styleId="redniasiatka2akcent1">
    <w:name w:val="Medium Grid 2 Accent 1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</w:tblPr>
    <w:tcPr>
      <w:shd w:val="clear" w:color="auto" w:fill="AFDFFF"/>
    </w:tcPr>
    <w:tblStylePr w:type="firstRow">
      <w:rPr>
        <w:b/>
        <w:bCs/>
        <w:color w:val="000000"/>
      </w:rPr>
      <w:tblPr/>
      <w:tcPr>
        <w:shd w:val="clear" w:color="auto" w:fill="DFF2F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tcBorders>
          <w:insideH w:val="single" w:sz="6" w:space="0" w:color="0072BC"/>
          <w:insideV w:val="single" w:sz="6" w:space="0" w:color="0072BC"/>
        </w:tcBorders>
        <w:shd w:val="clear" w:color="auto" w:fill="5EBFFF"/>
      </w:tcPr>
    </w:tblStylePr>
    <w:tblStylePr w:type="nwCell">
      <w:tblPr/>
      <w:tcPr>
        <w:shd w:val="clear" w:color="auto" w:fill="0072BC"/>
      </w:tcPr>
    </w:tblStylePr>
  </w:style>
  <w:style w:type="table" w:styleId="redniasiatka2akcent2">
    <w:name w:val="Medium Grid 2 Accent 2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</w:tblPr>
    <w:tcPr>
      <w:shd w:val="clear" w:color="auto" w:fill="FFB0B0"/>
    </w:tcPr>
    <w:tblStylePr w:type="firstRow">
      <w:rPr>
        <w:b/>
        <w:bCs/>
        <w:color w:val="000000"/>
      </w:rPr>
      <w:tblPr/>
      <w:tcPr>
        <w:shd w:val="clear" w:color="auto" w:fill="FFDFD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tcBorders>
          <w:insideH w:val="single" w:sz="6" w:space="0" w:color="C00000"/>
          <w:insideV w:val="single" w:sz="6" w:space="0" w:color="C00000"/>
        </w:tcBorders>
        <w:shd w:val="clear" w:color="auto" w:fill="FF6060"/>
      </w:tcPr>
    </w:tblStylePr>
    <w:tblStylePr w:type="nwCell">
      <w:tblPr/>
      <w:tcPr>
        <w:shd w:val="clear" w:color="auto" w:fill="0072BC"/>
      </w:tcPr>
    </w:tblStylePr>
  </w:style>
  <w:style w:type="table" w:styleId="redniasiatka2akcent3">
    <w:name w:val="Medium Grid 2 Accent 3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styleId="redniasiatka2akcent4">
    <w:name w:val="Medium Grid 2 Accent 4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</w:tblPr>
    <w:tcPr>
      <w:shd w:val="clear" w:color="auto" w:fill="E5E5E5"/>
    </w:tcPr>
    <w:tblStylePr w:type="firstRow">
      <w:rPr>
        <w:b/>
        <w:bCs/>
        <w:color w:val="000000"/>
      </w:rPr>
      <w:tblPr/>
      <w:tcPr>
        <w:shd w:val="clear" w:color="auto" w:fill="F4F4F4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tcBorders>
          <w:insideH w:val="single" w:sz="6" w:space="0" w:color="969696"/>
          <w:insideV w:val="single" w:sz="6" w:space="0" w:color="969696"/>
        </w:tcBorders>
        <w:shd w:val="clear" w:color="auto" w:fill="CACACA"/>
      </w:tcPr>
    </w:tblStylePr>
    <w:tblStylePr w:type="nwCell">
      <w:tblPr/>
      <w:tcPr>
        <w:shd w:val="clear" w:color="auto" w:fill="0072BC"/>
      </w:tcPr>
    </w:tblStylePr>
  </w:style>
  <w:style w:type="table" w:styleId="redniasiatka2akcent5">
    <w:name w:val="Medium Grid 2 Accent 5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styleId="redniasiatka2akcent6">
    <w:name w:val="Medium Grid 2 Accent 6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</w:tblPr>
    <w:tcPr>
      <w:shd w:val="clear" w:color="auto" w:fill="D3D3D3"/>
    </w:tcPr>
    <w:tblStylePr w:type="firstRow">
      <w:rPr>
        <w:b/>
        <w:bCs/>
        <w:color w:val="000000"/>
      </w:rPr>
      <w:tblPr/>
      <w:tcPr>
        <w:shd w:val="clear" w:color="auto" w:fill="ED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tcBorders>
          <w:insideH w:val="single" w:sz="6" w:space="0" w:color="4D4D4D"/>
          <w:insideV w:val="single" w:sz="6" w:space="0" w:color="4D4D4D"/>
        </w:tcBorders>
        <w:shd w:val="clear" w:color="auto" w:fill="A6A6A6"/>
      </w:tcPr>
    </w:tblStylePr>
    <w:tblStylePr w:type="nwCell">
      <w:tblPr/>
      <w:tcPr>
        <w:shd w:val="clear" w:color="auto" w:fill="0072BC"/>
      </w:tcPr>
    </w:tblStylePr>
  </w:style>
  <w:style w:type="table" w:styleId="redniasiatka3">
    <w:name w:val="Medium Grid 3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808080"/>
      </w:tcPr>
    </w:tblStylePr>
  </w:style>
  <w:style w:type="table" w:styleId="redniasiatka3akcent1">
    <w:name w:val="Medium Grid 3 Accent 1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AFDFFF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5EB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5EBFFF"/>
      </w:tcPr>
    </w:tblStylePr>
  </w:style>
  <w:style w:type="table" w:styleId="redniasiatka3akcent2">
    <w:name w:val="Medium Grid 3 Accent 2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FFB0B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FF606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FF6060"/>
      </w:tcPr>
    </w:tblStylePr>
  </w:style>
  <w:style w:type="table" w:styleId="redniasiatka3akcent3">
    <w:name w:val="Medium Grid 3 Accent 3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styleId="redniasiatka3akcent4">
    <w:name w:val="Medium Grid 3 Accent 4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E5E5E5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CACACA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CACACA"/>
      </w:tcPr>
    </w:tblStylePr>
  </w:style>
  <w:style w:type="table" w:styleId="redniasiatka3akcent5">
    <w:name w:val="Medium Grid 3 Accent 5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styleId="redniasiatka3akcent6">
    <w:name w:val="Medium Grid 3 Accent 6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3D3D3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6A6A6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6A6A6"/>
      </w:tcPr>
    </w:tblStylePr>
  </w:style>
  <w:style w:type="table" w:styleId="rednialista1">
    <w:name w:val="Medium List 1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rednialista1akcent1">
    <w:name w:val="Medium List 1 Accent 1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72BC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band1Vert">
      <w:tblPr/>
      <w:tcPr>
        <w:shd w:val="clear" w:color="auto" w:fill="AFDFFF"/>
      </w:tcPr>
    </w:tblStylePr>
    <w:tblStylePr w:type="band1Horz">
      <w:tblPr/>
      <w:tcPr>
        <w:shd w:val="clear" w:color="auto" w:fill="AFDFFF"/>
      </w:tcPr>
    </w:tblStylePr>
  </w:style>
  <w:style w:type="table" w:styleId="rednialista1akcent2">
    <w:name w:val="Medium List 1 Accent 2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C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band1Vert">
      <w:tblPr/>
      <w:tcPr>
        <w:shd w:val="clear" w:color="auto" w:fill="FFB0B0"/>
      </w:tcPr>
    </w:tblStylePr>
    <w:tblStylePr w:type="band1Horz">
      <w:tblPr/>
      <w:tcPr>
        <w:shd w:val="clear" w:color="auto" w:fill="FFB0B0"/>
      </w:tcPr>
    </w:tblStylePr>
  </w:style>
  <w:style w:type="table" w:styleId="rednialista1akcent3">
    <w:name w:val="Medium List 1 Accent 3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styleId="rednialista1akcent4">
    <w:name w:val="Medium List 1 Accent 4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969696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band1Vert">
      <w:tblPr/>
      <w:tcPr>
        <w:shd w:val="clear" w:color="auto" w:fill="E5E5E5"/>
      </w:tcPr>
    </w:tblStylePr>
    <w:tblStylePr w:type="band1Horz">
      <w:tblPr/>
      <w:tcPr>
        <w:shd w:val="clear" w:color="auto" w:fill="E5E5E5"/>
      </w:tcPr>
    </w:tblStylePr>
  </w:style>
  <w:style w:type="table" w:styleId="rednialista1akcent5">
    <w:name w:val="Medium List 1 Accent 5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styleId="rednialista1akcent6">
    <w:name w:val="Medium List 1 Accent 6"/>
    <w:basedOn w:val="Standardowy"/>
    <w:uiPriority w:val="99"/>
    <w:semiHidden/>
    <w:rsid w:val="002D2C99"/>
    <w:rPr>
      <w:color w:val="000000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4D4D4D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band1Vert">
      <w:tblPr/>
      <w:tcPr>
        <w:shd w:val="clear" w:color="auto" w:fill="D3D3D3"/>
      </w:tcPr>
    </w:tblStylePr>
    <w:tblStylePr w:type="band1Horz">
      <w:tblPr/>
      <w:tcPr>
        <w:shd w:val="clear" w:color="auto" w:fill="D3D3D3"/>
      </w:tcPr>
    </w:tblStylePr>
  </w:style>
  <w:style w:type="table" w:styleId="rednialista2">
    <w:name w:val="Medium List 2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C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C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969696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969696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2D2C99"/>
    <w:rPr>
      <w:rFonts w:eastAsia="MS Gothic"/>
      <w:color w:val="000000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4D4D4D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4D4D4D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2D2C99"/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8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2D2C9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2D2C9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eastAsia="MS Gothic"/>
      <w:szCs w:val="24"/>
    </w:rPr>
  </w:style>
  <w:style w:type="character" w:customStyle="1" w:styleId="NagwekwiadomociZnak">
    <w:name w:val="Nagłówek wiadomości Znak"/>
    <w:link w:val="Nagwekwiadomoci"/>
    <w:uiPriority w:val="99"/>
    <w:semiHidden/>
    <w:rsid w:val="002D2C99"/>
    <w:rPr>
      <w:rFonts w:ascii="Times New Roman" w:eastAsia="MS Gothic" w:hAnsi="Times New Roman" w:cs="Times New Roman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2D2C99"/>
    <w:rPr>
      <w:szCs w:val="24"/>
    </w:rPr>
  </w:style>
  <w:style w:type="paragraph" w:styleId="Wcicienormalne">
    <w:name w:val="Normal Indent"/>
    <w:basedOn w:val="Normalny"/>
    <w:uiPriority w:val="99"/>
    <w:semiHidden/>
    <w:rsid w:val="002D2C99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2D2C99"/>
  </w:style>
  <w:style w:type="character" w:customStyle="1" w:styleId="NagweknotatkiZnak">
    <w:name w:val="Nagłówek notatki Znak"/>
    <w:link w:val="Nagweknotatki"/>
    <w:uiPriority w:val="99"/>
    <w:semiHidden/>
    <w:rsid w:val="002D2C99"/>
    <w:rPr>
      <w:rFonts w:eastAsia="MS Mincho"/>
      <w:sz w:val="24"/>
    </w:rPr>
  </w:style>
  <w:style w:type="character" w:styleId="Tekstzastpczy">
    <w:name w:val="Placeholder Text"/>
    <w:uiPriority w:val="99"/>
    <w:rsid w:val="00C87DCF"/>
    <w:rPr>
      <w:color w:val="auto"/>
      <w:bdr w:val="none" w:sz="0" w:space="0" w:color="auto"/>
      <w:shd w:val="clear" w:color="auto" w:fill="DFDFDF"/>
    </w:rPr>
  </w:style>
  <w:style w:type="paragraph" w:styleId="Zwykytekst">
    <w:name w:val="Plain Text"/>
    <w:basedOn w:val="Normalny"/>
    <w:link w:val="ZwykytekstZnak"/>
    <w:uiPriority w:val="99"/>
    <w:semiHidden/>
    <w:rsid w:val="002D2C99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link w:val="Zwykytekst"/>
    <w:uiPriority w:val="99"/>
    <w:semiHidden/>
    <w:rsid w:val="002D2C99"/>
    <w:rPr>
      <w:rFonts w:ascii="Consolas" w:eastAsia="MS Mincho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2D2C99"/>
  </w:style>
  <w:style w:type="character" w:customStyle="1" w:styleId="ZwrotgrzecznociowyZnak">
    <w:name w:val="Zwrot grzecznościowy Znak"/>
    <w:link w:val="Zwrotgrzecznociowy"/>
    <w:uiPriority w:val="99"/>
    <w:semiHidden/>
    <w:rsid w:val="002D2C99"/>
    <w:rPr>
      <w:rFonts w:eastAsia="MS Mincho"/>
      <w:sz w:val="24"/>
    </w:rPr>
  </w:style>
  <w:style w:type="paragraph" w:styleId="Podpis">
    <w:name w:val="Signature"/>
    <w:basedOn w:val="Normalny"/>
    <w:link w:val="PodpisZnak"/>
    <w:uiPriority w:val="99"/>
    <w:semiHidden/>
    <w:rsid w:val="002D2C99"/>
    <w:pPr>
      <w:ind w:left="4252"/>
    </w:pPr>
  </w:style>
  <w:style w:type="character" w:customStyle="1" w:styleId="PodpisZnak">
    <w:name w:val="Podpis Znak"/>
    <w:link w:val="Podpis"/>
    <w:uiPriority w:val="99"/>
    <w:semiHidden/>
    <w:rsid w:val="002D2C99"/>
    <w:rPr>
      <w:rFonts w:eastAsia="MS Mincho"/>
      <w:sz w:val="24"/>
    </w:rPr>
  </w:style>
  <w:style w:type="table" w:styleId="Tabela-Efekty3W1">
    <w:name w:val="Table 3D effects 1"/>
    <w:basedOn w:val="Standardowy"/>
    <w:uiPriority w:val="99"/>
    <w:semiHidden/>
    <w:unhideWhenUsed/>
    <w:rsid w:val="002D2C99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2D2C99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2D2C99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2D2C99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2D2C99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2D2C99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2D2C99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2D2C99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2D2C99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2D2C99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2D2C99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2D2C99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2D2C99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2D2C99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2D2C99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2D2C99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2D2C99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2D2C99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2D2C99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2D2C99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2D2C99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2D2C99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2D2C99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2D2C99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2D2C99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2D2C99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2D2C99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2D2C99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2D2C99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2D2C99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2D2C99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2D2C99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2D2C99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2D2C99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2D2C99"/>
  </w:style>
  <w:style w:type="table" w:styleId="Tabela-Profesjonalny">
    <w:name w:val="Table Professional"/>
    <w:basedOn w:val="Standardowy"/>
    <w:uiPriority w:val="99"/>
    <w:semiHidden/>
    <w:unhideWhenUsed/>
    <w:rsid w:val="002D2C99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2D2C99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2D2C99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2D2C99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2D2C99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2D2C99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2D2C99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2D2C99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2D2C99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2D2C99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C87DCF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C87DCF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2D2C99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2D2C99"/>
    <w:pPr>
      <w:spacing w:after="100"/>
      <w:ind w:left="1920"/>
    </w:pPr>
  </w:style>
  <w:style w:type="paragraph" w:customStyle="1" w:styleId="OpiPara">
    <w:name w:val="Opi_Para"/>
    <w:basedOn w:val="ECHRPara"/>
    <w:uiPriority w:val="46"/>
    <w:qFormat/>
    <w:rsid w:val="00C87DCF"/>
  </w:style>
  <w:style w:type="paragraph" w:customStyle="1" w:styleId="OpiParaSub">
    <w:name w:val="Opi_Para_Sub"/>
    <w:basedOn w:val="JuParaSub"/>
    <w:uiPriority w:val="47"/>
    <w:qFormat/>
    <w:rsid w:val="00C87DCF"/>
  </w:style>
  <w:style w:type="paragraph" w:customStyle="1" w:styleId="ECHRFooter">
    <w:name w:val="ECHR_Footer"/>
    <w:aliases w:val="Footer_ECHR"/>
    <w:basedOn w:val="Stopka"/>
    <w:uiPriority w:val="57"/>
    <w:semiHidden/>
    <w:rsid w:val="00C87DCF"/>
    <w:pPr>
      <w:jc w:val="left"/>
    </w:pPr>
    <w:rPr>
      <w:sz w:val="8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C87DCF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C87DCF"/>
    <w:pPr>
      <w:spacing w:after="240"/>
      <w:jc w:val="center"/>
      <w:outlineLvl w:val="0"/>
    </w:pPr>
  </w:style>
  <w:style w:type="paragraph" w:customStyle="1" w:styleId="OpiQuot">
    <w:name w:val="Opi_Quot"/>
    <w:basedOn w:val="ECHRParaQuote"/>
    <w:uiPriority w:val="48"/>
    <w:qFormat/>
    <w:rsid w:val="00C87DCF"/>
  </w:style>
  <w:style w:type="paragraph" w:customStyle="1" w:styleId="OpiQuotSub">
    <w:name w:val="Opi_Quot_Sub"/>
    <w:basedOn w:val="JuQuotSub"/>
    <w:uiPriority w:val="49"/>
    <w:qFormat/>
    <w:rsid w:val="00C87DCF"/>
  </w:style>
  <w:style w:type="paragraph" w:customStyle="1" w:styleId="OpiTranslation">
    <w:name w:val="Opi_Translation"/>
    <w:basedOn w:val="Normalny"/>
    <w:next w:val="OpiPara"/>
    <w:uiPriority w:val="40"/>
    <w:qFormat/>
    <w:rsid w:val="00C87DCF"/>
    <w:pPr>
      <w:jc w:val="center"/>
      <w:outlineLvl w:val="0"/>
    </w:pPr>
    <w:rPr>
      <w:i/>
    </w:rPr>
  </w:style>
  <w:style w:type="paragraph" w:customStyle="1" w:styleId="ECHRSpacer">
    <w:name w:val="ECHR_Spacer"/>
    <w:basedOn w:val="Normalny"/>
    <w:uiPriority w:val="45"/>
    <w:rsid w:val="00C96842"/>
    <w:pPr>
      <w:jc w:val="left"/>
    </w:pPr>
    <w:rPr>
      <w:rFonts w:eastAsia="Times New Roman"/>
      <w:sz w:val="4"/>
    </w:rPr>
  </w:style>
  <w:style w:type="character" w:customStyle="1" w:styleId="ECHRParaChar">
    <w:name w:val="ECHR_Para Char"/>
    <w:aliases w:val="Ju_Para Char"/>
    <w:link w:val="ECHRPara"/>
    <w:uiPriority w:val="12"/>
    <w:rsid w:val="00C96842"/>
    <w:rPr>
      <w:rFonts w:eastAsia="MS Mincho"/>
      <w:sz w:val="24"/>
      <w:lang w:val="pl-PL"/>
    </w:rPr>
  </w:style>
  <w:style w:type="character" w:customStyle="1" w:styleId="JuJudgesChar">
    <w:name w:val="Ju_Judges Char"/>
    <w:link w:val="ECHRDecisionBody"/>
    <w:uiPriority w:val="11"/>
    <w:rsid w:val="00631056"/>
    <w:rPr>
      <w:rFonts w:eastAsia="MS Mincho"/>
      <w:sz w:val="24"/>
      <w:lang w:val="pl-PL"/>
    </w:rPr>
  </w:style>
  <w:style w:type="paragraph" w:customStyle="1" w:styleId="jupara">
    <w:name w:val="jupara"/>
    <w:basedOn w:val="Normalny"/>
    <w:rsid w:val="000E298D"/>
    <w:pPr>
      <w:ind w:firstLine="284"/>
    </w:pPr>
    <w:rPr>
      <w:rFonts w:eastAsia="Times New Roman"/>
      <w:szCs w:val="24"/>
      <w:lang w:eastAsia="en-GB"/>
    </w:rPr>
  </w:style>
  <w:style w:type="paragraph" w:customStyle="1" w:styleId="jucase0">
    <w:name w:val="jucase"/>
    <w:basedOn w:val="Normalny"/>
    <w:rsid w:val="000E298D"/>
    <w:pPr>
      <w:ind w:firstLine="284"/>
    </w:pPr>
    <w:rPr>
      <w:rFonts w:eastAsia="Times New Roman"/>
      <w:b/>
      <w:bCs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4CBF39-543C-4876-9B72-E96CD96CB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FE839BB-02A7-449F-99F7-B442C525D7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76C47B7-0AC9-47E1-84D3-7E604C138D3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313B439-AD74-4AF8-A877-EEBC1B734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4533</Words>
  <Characters>27198</Characters>
  <Application>Microsoft Office Word</Application>
  <DocSecurity>0</DocSecurity>
  <Lines>226</Lines>
  <Paragraphs>63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LinksUpToDate>false</LinksUpToDate>
  <CharactersWithSpaces>31668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DJF</dc:subject>
  <dc:creator/>
  <cp:lastModifiedBy/>
  <cp:revision>1</cp:revision>
  <dcterms:created xsi:type="dcterms:W3CDTF">2023-10-19T11:05:00Z</dcterms:created>
  <dcterms:modified xsi:type="dcterms:W3CDTF">2023-10-19T11:08:00Z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1036</vt:i4>
  </property>
  <property fmtid="{D5CDD505-2E9C-101B-9397-08002B2CF9AE}" pid="3" name="RegisteredNo">
    <vt:lpwstr>72781/12</vt:lpwstr>
  </property>
  <property fmtid="{D5CDD505-2E9C-101B-9397-08002B2CF9AE}" pid="4" name="CASEID">
    <vt:lpwstr>841453</vt:lpwstr>
  </property>
  <property fmtid="{D5CDD505-2E9C-101B-9397-08002B2CF9AE}" pid="5" name="ContentTypeId">
    <vt:lpwstr>0x010100558EB02BDB9E204AB350EDD385B68E10</vt:lpwstr>
  </property>
</Properties>
</file>