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5.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BC16EE" w:rsidR="002D2C99" w:rsidP="00BC16EE" w:rsidRDefault="002D2C99">
      <w:pPr>
        <w:pStyle w:val="ECHRDecisionBody"/>
        <w:jc w:val="center"/>
        <w:rPr>
          <w:lang w:val="fr-FR"/>
        </w:rPr>
      </w:pPr>
    </w:p>
    <w:p w:rsidRPr="00BC16EE" w:rsidR="002D2C99" w:rsidP="00BC16EE" w:rsidRDefault="002D2C99">
      <w:pPr>
        <w:jc w:val="center"/>
        <w:rPr>
          <w:lang w:val="fr-FR"/>
        </w:rPr>
      </w:pPr>
    </w:p>
    <w:p w:rsidRPr="00BC16EE" w:rsidR="002D2C99" w:rsidP="00BC16EE" w:rsidRDefault="00C96842">
      <w:pPr>
        <w:tabs>
          <w:tab w:val="left" w:pos="5529"/>
        </w:tabs>
        <w:jc w:val="center"/>
        <w:rPr>
          <w:lang w:val="fr-FR"/>
        </w:rPr>
      </w:pPr>
      <w:r w:rsidRPr="00BC16EE">
        <w:rPr>
          <w:lang w:val="fr-FR"/>
        </w:rPr>
        <w:t>DEUXIÈME SECTION</w:t>
      </w:r>
    </w:p>
    <w:p w:rsidRPr="00BC16EE" w:rsidR="002D2C99" w:rsidP="00BC16EE" w:rsidRDefault="002D2C99">
      <w:pPr>
        <w:jc w:val="center"/>
        <w:rPr>
          <w:lang w:val="fr-FR"/>
        </w:rPr>
      </w:pPr>
    </w:p>
    <w:p w:rsidRPr="00BC16EE" w:rsidR="002D2C99" w:rsidP="00BC16EE" w:rsidRDefault="002D2C99">
      <w:pPr>
        <w:jc w:val="center"/>
        <w:rPr>
          <w:lang w:val="fr-FR"/>
        </w:rPr>
      </w:pPr>
    </w:p>
    <w:p w:rsidRPr="00BC16EE" w:rsidR="002D2C99" w:rsidP="00BC16EE" w:rsidRDefault="002D2C99">
      <w:pPr>
        <w:jc w:val="center"/>
        <w:rPr>
          <w:lang w:val="fr-FR"/>
        </w:rPr>
      </w:pPr>
    </w:p>
    <w:p w:rsidRPr="00BC16EE" w:rsidR="002D2C99" w:rsidP="00BC16EE" w:rsidRDefault="002D2C99">
      <w:pPr>
        <w:jc w:val="center"/>
        <w:rPr>
          <w:lang w:val="fr-FR"/>
        </w:rPr>
      </w:pPr>
    </w:p>
    <w:p w:rsidRPr="00BC16EE" w:rsidR="00BC16EE" w:rsidP="00BC16EE" w:rsidRDefault="00BC16EE">
      <w:pPr>
        <w:jc w:val="center"/>
        <w:rPr>
          <w:lang w:val="fr-FR"/>
        </w:rPr>
      </w:pPr>
    </w:p>
    <w:p w:rsidRPr="00BC16EE" w:rsidR="002D2C99" w:rsidP="00BC16EE" w:rsidRDefault="002D2C99">
      <w:pPr>
        <w:jc w:val="center"/>
        <w:rPr>
          <w:lang w:val="fr-FR"/>
        </w:rPr>
      </w:pPr>
    </w:p>
    <w:p w:rsidRPr="00BC16EE" w:rsidR="002D2C99" w:rsidP="00BC16EE" w:rsidRDefault="002D2C99">
      <w:pPr>
        <w:jc w:val="center"/>
        <w:rPr>
          <w:lang w:val="fr-FR"/>
        </w:rPr>
      </w:pPr>
    </w:p>
    <w:p w:rsidRPr="00BC16EE" w:rsidR="002D2C99" w:rsidP="00BC16EE" w:rsidRDefault="002D2C99">
      <w:pPr>
        <w:jc w:val="center"/>
        <w:outlineLvl w:val="0"/>
        <w:rPr>
          <w:b/>
          <w:lang w:val="fr-FR"/>
        </w:rPr>
      </w:pPr>
      <w:r w:rsidRPr="00BC16EE">
        <w:rPr>
          <w:b/>
          <w:lang w:val="fr-FR"/>
        </w:rPr>
        <w:t xml:space="preserve">AFFAIRE </w:t>
      </w:r>
      <w:r w:rsidRPr="00BC16EE" w:rsidR="00C96842">
        <w:rPr>
          <w:b/>
          <w:lang w:val="fr-FR"/>
        </w:rPr>
        <w:t>Y</w:t>
      </w:r>
      <w:r w:rsidRPr="00BC16EE" w:rsidR="00631056">
        <w:rPr>
          <w:rFonts w:cstheme="minorHAnsi"/>
          <w:b/>
          <w:lang w:val="fr-FR"/>
        </w:rPr>
        <w:t>İ</w:t>
      </w:r>
      <w:r w:rsidRPr="00BC16EE" w:rsidR="00C96842">
        <w:rPr>
          <w:b/>
          <w:lang w:val="fr-FR"/>
        </w:rPr>
        <w:t>RDEM ET AUTRES c. TURQUIE</w:t>
      </w:r>
    </w:p>
    <w:p w:rsidRPr="00BC16EE" w:rsidR="002D2C99" w:rsidP="00BC16EE" w:rsidRDefault="002D2C99">
      <w:pPr>
        <w:jc w:val="center"/>
        <w:rPr>
          <w:lang w:val="fr-FR"/>
        </w:rPr>
      </w:pPr>
    </w:p>
    <w:p w:rsidRPr="00BC16EE" w:rsidR="002D2C99" w:rsidP="00BC16EE" w:rsidRDefault="002D2C99">
      <w:pPr>
        <w:jc w:val="center"/>
        <w:rPr>
          <w:i/>
          <w:lang w:val="fr-FR"/>
        </w:rPr>
      </w:pPr>
      <w:r w:rsidRPr="00BC16EE">
        <w:rPr>
          <w:i/>
          <w:lang w:val="fr-FR"/>
        </w:rPr>
        <w:t>(Requête n</w:t>
      </w:r>
      <w:r w:rsidRPr="00BC16EE">
        <w:rPr>
          <w:i/>
          <w:vertAlign w:val="superscript"/>
          <w:lang w:val="fr-FR"/>
        </w:rPr>
        <w:t>o</w:t>
      </w:r>
      <w:r w:rsidRPr="00BC16EE">
        <w:rPr>
          <w:i/>
          <w:lang w:val="fr-FR"/>
        </w:rPr>
        <w:t xml:space="preserve"> </w:t>
      </w:r>
      <w:r w:rsidRPr="00BC16EE" w:rsidR="00C96842">
        <w:rPr>
          <w:i/>
          <w:lang w:val="fr-FR"/>
        </w:rPr>
        <w:t>72781/12</w:t>
      </w:r>
      <w:r w:rsidRPr="00BC16EE">
        <w:rPr>
          <w:i/>
          <w:lang w:val="fr-FR"/>
        </w:rPr>
        <w:t>)</w:t>
      </w:r>
    </w:p>
    <w:p w:rsidRPr="00BC16EE" w:rsidR="002D2C99" w:rsidP="00BC16EE" w:rsidRDefault="002D2C99">
      <w:pPr>
        <w:jc w:val="center"/>
        <w:rPr>
          <w:lang w:val="fr-FR"/>
        </w:rPr>
      </w:pPr>
    </w:p>
    <w:p w:rsidRPr="00BC16EE" w:rsidR="002D2C99" w:rsidP="00BC16EE" w:rsidRDefault="002D2C99">
      <w:pPr>
        <w:jc w:val="center"/>
        <w:rPr>
          <w:lang w:val="fr-FR"/>
        </w:rPr>
      </w:pPr>
    </w:p>
    <w:p w:rsidRPr="00BC16EE" w:rsidR="002D2C99" w:rsidP="00BC16EE" w:rsidRDefault="002D2C99">
      <w:pPr>
        <w:jc w:val="center"/>
        <w:rPr>
          <w:lang w:val="fr-FR"/>
        </w:rPr>
      </w:pPr>
    </w:p>
    <w:p w:rsidRPr="00BC16EE" w:rsidR="002D2C99" w:rsidP="00BC16EE" w:rsidRDefault="002D2C99">
      <w:pPr>
        <w:jc w:val="center"/>
        <w:rPr>
          <w:lang w:val="fr-FR"/>
        </w:rPr>
      </w:pPr>
    </w:p>
    <w:p w:rsidRPr="00BC16EE" w:rsidR="002D2C99" w:rsidP="00BC16EE" w:rsidRDefault="002D2C99">
      <w:pPr>
        <w:jc w:val="center"/>
        <w:rPr>
          <w:lang w:val="fr-FR"/>
        </w:rPr>
      </w:pPr>
    </w:p>
    <w:p w:rsidRPr="00BC16EE" w:rsidR="002D2C99" w:rsidP="00BC16EE" w:rsidRDefault="002D2C99">
      <w:pPr>
        <w:jc w:val="center"/>
        <w:rPr>
          <w:lang w:val="fr-FR"/>
        </w:rPr>
      </w:pPr>
    </w:p>
    <w:p w:rsidRPr="00BC16EE" w:rsidR="002D2C99" w:rsidP="00BC16EE" w:rsidRDefault="002D2C99">
      <w:pPr>
        <w:jc w:val="center"/>
        <w:rPr>
          <w:lang w:val="fr-FR"/>
        </w:rPr>
      </w:pPr>
    </w:p>
    <w:p w:rsidRPr="00BC16EE" w:rsidR="002D2C99" w:rsidP="00BC16EE" w:rsidRDefault="002D2C99">
      <w:pPr>
        <w:jc w:val="center"/>
        <w:rPr>
          <w:lang w:val="fr-FR"/>
        </w:rPr>
      </w:pPr>
    </w:p>
    <w:p w:rsidRPr="00BC16EE" w:rsidR="002D2C99" w:rsidP="00BC16EE" w:rsidRDefault="002D2C99">
      <w:pPr>
        <w:jc w:val="center"/>
        <w:rPr>
          <w:lang w:val="fr-FR"/>
        </w:rPr>
      </w:pPr>
    </w:p>
    <w:p w:rsidRPr="00BC16EE" w:rsidR="002D2C99" w:rsidP="00BC16EE" w:rsidRDefault="002D2C99">
      <w:pPr>
        <w:jc w:val="center"/>
        <w:rPr>
          <w:lang w:val="fr-FR"/>
        </w:rPr>
      </w:pPr>
    </w:p>
    <w:p w:rsidRPr="00BC16EE" w:rsidR="002D2C99" w:rsidP="00BC16EE" w:rsidRDefault="002D2C99">
      <w:pPr>
        <w:jc w:val="center"/>
        <w:outlineLvl w:val="0"/>
        <w:rPr>
          <w:lang w:val="fr-FR"/>
        </w:rPr>
      </w:pPr>
      <w:r w:rsidRPr="00BC16EE">
        <w:rPr>
          <w:lang w:val="fr-FR"/>
        </w:rPr>
        <w:t>ARRÊT</w:t>
      </w:r>
    </w:p>
    <w:p w:rsidRPr="00BC16EE" w:rsidR="002D2C99" w:rsidP="00BC16EE" w:rsidRDefault="002D2C99">
      <w:pPr>
        <w:jc w:val="center"/>
        <w:rPr>
          <w:i/>
          <w:lang w:val="fr-FR"/>
        </w:rPr>
      </w:pPr>
    </w:p>
    <w:p w:rsidRPr="00BC16EE" w:rsidR="002D2C99" w:rsidP="00BC16EE" w:rsidRDefault="002D2C99">
      <w:pPr>
        <w:jc w:val="center"/>
        <w:rPr>
          <w:lang w:val="fr-FR"/>
        </w:rPr>
      </w:pPr>
    </w:p>
    <w:p w:rsidRPr="00BC16EE" w:rsidR="002D2C99" w:rsidP="00BC16EE" w:rsidRDefault="002D2C99">
      <w:pPr>
        <w:jc w:val="center"/>
        <w:outlineLvl w:val="0"/>
        <w:rPr>
          <w:lang w:val="fr-FR"/>
        </w:rPr>
      </w:pPr>
      <w:r w:rsidRPr="00BC16EE">
        <w:rPr>
          <w:lang w:val="fr-FR"/>
        </w:rPr>
        <w:t>STRASBOURG</w:t>
      </w:r>
    </w:p>
    <w:p w:rsidRPr="00BC16EE" w:rsidR="002D2C99" w:rsidP="00BC16EE" w:rsidRDefault="002D2C99">
      <w:pPr>
        <w:jc w:val="center"/>
        <w:rPr>
          <w:lang w:val="fr-FR"/>
        </w:rPr>
      </w:pPr>
    </w:p>
    <w:p w:rsidRPr="00BC16EE" w:rsidR="002D2C99" w:rsidP="00BC16EE" w:rsidRDefault="00C96842">
      <w:pPr>
        <w:jc w:val="center"/>
        <w:rPr>
          <w:lang w:val="fr-FR"/>
        </w:rPr>
      </w:pPr>
      <w:r w:rsidRPr="00BC16EE">
        <w:rPr>
          <w:lang w:val="fr-FR"/>
        </w:rPr>
        <w:t>4 septembre 2018</w:t>
      </w:r>
    </w:p>
    <w:p w:rsidRPr="00BC16EE" w:rsidR="002D2C99" w:rsidP="00BC16EE" w:rsidRDefault="002D2C99">
      <w:pPr>
        <w:jc w:val="center"/>
        <w:rPr>
          <w:lang w:val="fr-FR"/>
        </w:rPr>
      </w:pPr>
    </w:p>
    <w:p w:rsidRPr="00BC16EE" w:rsidR="00BC16EE" w:rsidP="00BC16EE" w:rsidRDefault="00BC16EE">
      <w:pPr>
        <w:jc w:val="center"/>
        <w:rPr>
          <w:lang w:val="fr-FR"/>
        </w:rPr>
      </w:pPr>
    </w:p>
    <w:p w:rsidR="000E298D" w:rsidP="000E298D" w:rsidRDefault="000E298D">
      <w:pPr>
        <w:pStyle w:val="jucase0"/>
        <w:ind w:firstLine="0"/>
        <w:jc w:val="center"/>
        <w:rPr>
          <w:color w:val="FF0000"/>
          <w:sz w:val="28"/>
          <w:szCs w:val="28"/>
          <w:u w:val="single"/>
          <w:lang w:val="fr-FR"/>
        </w:rPr>
      </w:pPr>
      <w:r>
        <w:rPr>
          <w:color w:val="FF0000"/>
          <w:sz w:val="28"/>
          <w:szCs w:val="28"/>
          <w:u w:val="single"/>
          <w:lang w:val="fr-FR"/>
        </w:rPr>
        <w:t>DÉFINITIF</w:t>
      </w:r>
    </w:p>
    <w:p w:rsidR="000E298D" w:rsidP="000E298D" w:rsidRDefault="000E298D">
      <w:pPr>
        <w:pStyle w:val="jupara"/>
        <w:tabs>
          <w:tab w:val="left" w:pos="3450"/>
        </w:tabs>
        <w:ind w:firstLine="0"/>
        <w:jc w:val="center"/>
        <w:rPr>
          <w:color w:val="FF0000"/>
          <w:sz w:val="28"/>
          <w:szCs w:val="28"/>
          <w:lang w:val="fr-FR"/>
        </w:rPr>
      </w:pPr>
    </w:p>
    <w:p w:rsidR="000E298D" w:rsidP="000E298D" w:rsidRDefault="000E298D">
      <w:pPr>
        <w:pStyle w:val="jupara"/>
        <w:ind w:firstLine="0"/>
        <w:jc w:val="center"/>
        <w:rPr>
          <w:color w:val="FF0000"/>
          <w:sz w:val="28"/>
          <w:szCs w:val="28"/>
          <w:lang w:val="fr-FR"/>
        </w:rPr>
      </w:pPr>
      <w:r>
        <w:rPr>
          <w:color w:val="FF0000"/>
          <w:sz w:val="28"/>
          <w:szCs w:val="28"/>
          <w:lang w:val="fr-FR"/>
        </w:rPr>
        <w:t>04/12/2018</w:t>
      </w:r>
    </w:p>
    <w:p w:rsidR="000E298D" w:rsidP="000E298D" w:rsidRDefault="000E298D">
      <w:pPr>
        <w:pStyle w:val="jupara"/>
        <w:ind w:firstLine="0"/>
        <w:jc w:val="center"/>
        <w:rPr>
          <w:u w:val="single"/>
          <w:lang w:val="fr-FR"/>
        </w:rPr>
      </w:pPr>
    </w:p>
    <w:p w:rsidR="000E298D" w:rsidP="000E298D" w:rsidRDefault="000E298D">
      <w:pPr>
        <w:jc w:val="center"/>
        <w:rPr>
          <w:i/>
          <w:iCs/>
          <w:sz w:val="22"/>
          <w:lang w:val="fr-FR"/>
        </w:rPr>
      </w:pPr>
      <w:r>
        <w:rPr>
          <w:i/>
          <w:iCs/>
          <w:sz w:val="22"/>
          <w:lang w:val="fr-FR"/>
        </w:rPr>
        <w:t>Cet arrêt est devenu définitif en vertu de l’article 44 § 2 de la Convention. Il peut subir des retouches de forme.</w:t>
      </w:r>
    </w:p>
    <w:p w:rsidRPr="00BC16EE" w:rsidR="002D2C99" w:rsidP="00BC16EE" w:rsidRDefault="002D2C99">
      <w:pPr>
        <w:rPr>
          <w:lang w:val="fr-FR"/>
        </w:rPr>
      </w:pPr>
      <w:bookmarkStart w:name="_GoBack" w:id="0"/>
      <w:bookmarkEnd w:id="0"/>
    </w:p>
    <w:p w:rsidRPr="00BC16EE" w:rsidR="00BC16EE" w:rsidP="00BC16EE" w:rsidRDefault="00BC16EE">
      <w:pPr>
        <w:rPr>
          <w:lang w:val="fr-FR"/>
        </w:rPr>
        <w:sectPr w:rsidRPr="00BC16EE" w:rsidR="00BC16EE" w:rsidSect="00F5432B">
          <w:headerReference w:type="default" r:id="rId8"/>
          <w:footerReference w:type="default" r:id="rId9"/>
          <w:footnotePr>
            <w:numRestart w:val="eachSect"/>
          </w:footnotePr>
          <w:pgSz w:w="11906" w:h="16838" w:code="9"/>
          <w:pgMar w:top="2274" w:right="2274" w:bottom="2274" w:left="2274" w:header="1701" w:footer="720" w:gutter="0"/>
          <w:pgNumType w:start="1"/>
          <w:cols w:space="720"/>
          <w:noEndnote/>
        </w:sectPr>
      </w:pPr>
    </w:p>
    <w:p w:rsidRPr="00BC16EE" w:rsidR="002D2C99" w:rsidP="00BC16EE" w:rsidRDefault="002D2C99">
      <w:pPr>
        <w:pStyle w:val="JuCase"/>
        <w:rPr>
          <w:lang w:val="fr-FR"/>
        </w:rPr>
      </w:pPr>
      <w:r w:rsidRPr="00BC16EE">
        <w:rPr>
          <w:lang w:val="fr-FR"/>
        </w:rPr>
        <w:t>En l</w:t>
      </w:r>
      <w:r w:rsidRPr="00BC16EE" w:rsidR="00BC16EE">
        <w:rPr>
          <w:lang w:val="fr-FR"/>
        </w:rPr>
        <w:t>’</w:t>
      </w:r>
      <w:r w:rsidRPr="00BC16EE">
        <w:rPr>
          <w:lang w:val="fr-FR"/>
        </w:rPr>
        <w:t xml:space="preserve">affaire </w:t>
      </w:r>
      <w:proofErr w:type="spellStart"/>
      <w:r w:rsidRPr="00BC16EE" w:rsidR="00C96842">
        <w:rPr>
          <w:lang w:val="fr-FR"/>
        </w:rPr>
        <w:t>Yirdem</w:t>
      </w:r>
      <w:proofErr w:type="spellEnd"/>
      <w:r w:rsidRPr="00BC16EE" w:rsidR="00C96842">
        <w:rPr>
          <w:lang w:val="fr-FR"/>
        </w:rPr>
        <w:t xml:space="preserve"> et autres c. Turquie</w:t>
      </w:r>
      <w:r w:rsidRPr="00BC16EE">
        <w:rPr>
          <w:lang w:val="fr-FR"/>
        </w:rPr>
        <w:t>,</w:t>
      </w:r>
    </w:p>
    <w:p w:rsidRPr="00BC16EE" w:rsidR="00C96842" w:rsidP="00BC16EE" w:rsidRDefault="00C96842">
      <w:pPr>
        <w:pStyle w:val="ECHRPara"/>
        <w:rPr>
          <w:lang w:val="fr-FR"/>
        </w:rPr>
      </w:pPr>
      <w:r w:rsidRPr="00BC16EE">
        <w:rPr>
          <w:lang w:val="fr-FR"/>
        </w:rPr>
        <w:t>La Cour européenne des droits de l</w:t>
      </w:r>
      <w:r w:rsidRPr="00BC16EE" w:rsidR="00BC16EE">
        <w:rPr>
          <w:lang w:val="fr-FR"/>
        </w:rPr>
        <w:t>’</w:t>
      </w:r>
      <w:r w:rsidRPr="00BC16EE">
        <w:rPr>
          <w:lang w:val="fr-FR"/>
        </w:rPr>
        <w:t>homme (deuxième section), siégeant en une chambre composée de :</w:t>
      </w:r>
    </w:p>
    <w:p w:rsidRPr="00BC16EE" w:rsidR="00C96842" w:rsidP="00BC16EE" w:rsidRDefault="00C96842">
      <w:pPr>
        <w:pStyle w:val="ECHRDecisionBody"/>
        <w:rPr>
          <w:lang w:val="fr-FR"/>
        </w:rPr>
      </w:pPr>
      <w:r w:rsidRPr="00BC16EE">
        <w:rPr>
          <w:lang w:val="fr-FR"/>
        </w:rPr>
        <w:tab/>
        <w:t>Robert Spano,</w:t>
      </w:r>
      <w:r w:rsidRPr="00BC16EE">
        <w:rPr>
          <w:i/>
          <w:lang w:val="fr-FR"/>
        </w:rPr>
        <w:t xml:space="preserve"> président,</w:t>
      </w:r>
      <w:r w:rsidRPr="00BC16EE">
        <w:rPr>
          <w:i/>
          <w:lang w:val="fr-FR"/>
        </w:rPr>
        <w:br/>
      </w:r>
      <w:r w:rsidRPr="00BC16EE">
        <w:rPr>
          <w:lang w:val="fr-FR"/>
        </w:rPr>
        <w:tab/>
        <w:t>Paul Lemmens,</w:t>
      </w:r>
      <w:r w:rsidRPr="00BC16EE">
        <w:rPr>
          <w:i/>
          <w:lang w:val="fr-FR"/>
        </w:rPr>
        <w:br/>
      </w:r>
      <w:r w:rsidRPr="00BC16EE">
        <w:rPr>
          <w:lang w:val="fr-FR"/>
        </w:rPr>
        <w:tab/>
        <w:t>Ledi Bianku,</w:t>
      </w:r>
      <w:r w:rsidRPr="00BC16EE">
        <w:rPr>
          <w:i/>
          <w:lang w:val="fr-FR"/>
        </w:rPr>
        <w:br/>
      </w:r>
      <w:r w:rsidRPr="00BC16EE">
        <w:rPr>
          <w:lang w:val="fr-FR"/>
        </w:rPr>
        <w:tab/>
      </w:r>
      <w:proofErr w:type="spellStart"/>
      <w:r w:rsidRPr="00BC16EE">
        <w:rPr>
          <w:lang w:val="fr-FR"/>
        </w:rPr>
        <w:t>Işıl</w:t>
      </w:r>
      <w:proofErr w:type="spellEnd"/>
      <w:r w:rsidRPr="00BC16EE">
        <w:rPr>
          <w:lang w:val="fr-FR"/>
        </w:rPr>
        <w:t xml:space="preserve"> </w:t>
      </w:r>
      <w:proofErr w:type="spellStart"/>
      <w:r w:rsidRPr="00BC16EE">
        <w:rPr>
          <w:lang w:val="fr-FR"/>
        </w:rPr>
        <w:t>Karakaş</w:t>
      </w:r>
      <w:proofErr w:type="spellEnd"/>
      <w:r w:rsidRPr="00BC16EE">
        <w:rPr>
          <w:lang w:val="fr-FR"/>
        </w:rPr>
        <w:t>,</w:t>
      </w:r>
      <w:r w:rsidRPr="00BC16EE">
        <w:rPr>
          <w:i/>
          <w:lang w:val="fr-FR"/>
        </w:rPr>
        <w:br/>
      </w:r>
      <w:r w:rsidRPr="00BC16EE">
        <w:rPr>
          <w:lang w:val="fr-FR"/>
        </w:rPr>
        <w:tab/>
      </w:r>
      <w:proofErr w:type="spellStart"/>
      <w:r w:rsidRPr="00BC16EE">
        <w:rPr>
          <w:lang w:val="fr-FR"/>
        </w:rPr>
        <w:t>Nebojša</w:t>
      </w:r>
      <w:proofErr w:type="spellEnd"/>
      <w:r w:rsidRPr="00BC16EE">
        <w:rPr>
          <w:lang w:val="fr-FR"/>
        </w:rPr>
        <w:t xml:space="preserve"> </w:t>
      </w:r>
      <w:proofErr w:type="spellStart"/>
      <w:r w:rsidRPr="00BC16EE">
        <w:rPr>
          <w:lang w:val="fr-FR"/>
        </w:rPr>
        <w:t>Vučinić</w:t>
      </w:r>
      <w:proofErr w:type="spellEnd"/>
      <w:r w:rsidRPr="00BC16EE">
        <w:rPr>
          <w:lang w:val="fr-FR"/>
        </w:rPr>
        <w:t>,</w:t>
      </w:r>
      <w:r w:rsidRPr="00BC16EE">
        <w:rPr>
          <w:i/>
          <w:lang w:val="fr-FR"/>
        </w:rPr>
        <w:br/>
      </w:r>
      <w:r w:rsidRPr="00BC16EE">
        <w:rPr>
          <w:lang w:val="fr-FR"/>
        </w:rPr>
        <w:tab/>
      </w:r>
      <w:proofErr w:type="spellStart"/>
      <w:r w:rsidRPr="00BC16EE">
        <w:rPr>
          <w:lang w:val="fr-FR"/>
        </w:rPr>
        <w:t>Valeriu</w:t>
      </w:r>
      <w:proofErr w:type="spellEnd"/>
      <w:r w:rsidRPr="00BC16EE">
        <w:rPr>
          <w:lang w:val="fr-FR"/>
        </w:rPr>
        <w:t xml:space="preserve"> </w:t>
      </w:r>
      <w:proofErr w:type="spellStart"/>
      <w:r w:rsidRPr="00BC16EE">
        <w:rPr>
          <w:lang w:val="fr-FR"/>
        </w:rPr>
        <w:t>Griţco</w:t>
      </w:r>
      <w:proofErr w:type="spellEnd"/>
      <w:r w:rsidRPr="00BC16EE">
        <w:rPr>
          <w:lang w:val="fr-FR"/>
        </w:rPr>
        <w:t>,</w:t>
      </w:r>
      <w:r w:rsidRPr="00BC16EE">
        <w:rPr>
          <w:i/>
          <w:lang w:val="fr-FR"/>
        </w:rPr>
        <w:br/>
      </w:r>
      <w:r w:rsidRPr="00BC16EE">
        <w:rPr>
          <w:lang w:val="fr-FR"/>
        </w:rPr>
        <w:tab/>
        <w:t xml:space="preserve">Stéphanie </w:t>
      </w:r>
      <w:proofErr w:type="spellStart"/>
      <w:r w:rsidRPr="00BC16EE">
        <w:rPr>
          <w:lang w:val="fr-FR"/>
        </w:rPr>
        <w:t>Mourou-Vikström</w:t>
      </w:r>
      <w:proofErr w:type="spellEnd"/>
      <w:r w:rsidRPr="00BC16EE">
        <w:rPr>
          <w:lang w:val="fr-FR"/>
        </w:rPr>
        <w:t>,</w:t>
      </w:r>
      <w:r w:rsidRPr="00BC16EE">
        <w:rPr>
          <w:i/>
          <w:lang w:val="fr-FR"/>
        </w:rPr>
        <w:t xml:space="preserve"> juges</w:t>
      </w:r>
      <w:proofErr w:type="gramStart"/>
      <w:r w:rsidRPr="00BC16EE">
        <w:rPr>
          <w:i/>
          <w:lang w:val="fr-FR"/>
        </w:rPr>
        <w:t>,</w:t>
      </w:r>
      <w:proofErr w:type="gramEnd"/>
      <w:r w:rsidRPr="00BC16EE">
        <w:rPr>
          <w:lang w:val="fr-FR"/>
        </w:rPr>
        <w:br/>
        <w:t xml:space="preserve">et de </w:t>
      </w:r>
      <w:r w:rsidRPr="00BC16EE" w:rsidR="00631056">
        <w:rPr>
          <w:rStyle w:val="JuJudgesChar"/>
          <w:szCs w:val="24"/>
          <w:lang w:val="fr-FR"/>
        </w:rPr>
        <w:t xml:space="preserve">Hasan Bakırcı, </w:t>
      </w:r>
      <w:r w:rsidRPr="00BC16EE" w:rsidR="00631056">
        <w:rPr>
          <w:i/>
          <w:szCs w:val="24"/>
          <w:lang w:val="fr-FR"/>
        </w:rPr>
        <w:t xml:space="preserve">greffier adjoint </w:t>
      </w:r>
      <w:r w:rsidRPr="00BC16EE">
        <w:rPr>
          <w:i/>
          <w:iCs/>
          <w:lang w:val="fr-FR"/>
        </w:rPr>
        <w:t>d</w:t>
      </w:r>
      <w:r w:rsidRPr="00BC16EE">
        <w:rPr>
          <w:i/>
          <w:lang w:val="fr-FR"/>
        </w:rPr>
        <w:t>e section</w:t>
      </w:r>
      <w:r w:rsidRPr="00BC16EE">
        <w:rPr>
          <w:lang w:val="fr-FR"/>
        </w:rPr>
        <w:t>,</w:t>
      </w:r>
    </w:p>
    <w:p w:rsidRPr="00BC16EE" w:rsidR="00C96842" w:rsidP="00BC16EE" w:rsidRDefault="00C96842">
      <w:pPr>
        <w:pStyle w:val="ECHRPara"/>
        <w:rPr>
          <w:lang w:val="fr-FR"/>
        </w:rPr>
      </w:pPr>
      <w:r w:rsidRPr="00BC16EE">
        <w:rPr>
          <w:lang w:val="fr-FR"/>
        </w:rPr>
        <w:t>Après en avoir délibéré en chambre du conseil le 3 juillet 2018,</w:t>
      </w:r>
    </w:p>
    <w:p w:rsidRPr="00BC16EE" w:rsidR="00C96842" w:rsidP="00BC16EE" w:rsidRDefault="00C96842">
      <w:pPr>
        <w:pStyle w:val="ECHRPara"/>
        <w:rPr>
          <w:lang w:val="fr-FR"/>
        </w:rPr>
      </w:pPr>
      <w:r w:rsidRPr="00BC16EE">
        <w:rPr>
          <w:lang w:val="fr-FR"/>
        </w:rPr>
        <w:t>Rend l</w:t>
      </w:r>
      <w:r w:rsidRPr="00BC16EE" w:rsidR="00BC16EE">
        <w:rPr>
          <w:lang w:val="fr-FR"/>
        </w:rPr>
        <w:t>’</w:t>
      </w:r>
      <w:r w:rsidRPr="00BC16EE">
        <w:rPr>
          <w:lang w:val="fr-FR"/>
        </w:rPr>
        <w:t>arrêt que voici, adopté à cette date :</w:t>
      </w:r>
    </w:p>
    <w:p w:rsidRPr="00BC16EE" w:rsidR="00C96842" w:rsidP="00BC16EE" w:rsidRDefault="00C96842">
      <w:pPr>
        <w:pStyle w:val="ECHRTitle1"/>
        <w:rPr>
          <w:lang w:val="fr-FR"/>
        </w:rPr>
      </w:pPr>
      <w:r w:rsidRPr="00BC16EE">
        <w:rPr>
          <w:lang w:val="fr-FR"/>
        </w:rPr>
        <w:t>PROCÉDURE</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1</w:t>
      </w:r>
      <w:r w:rsidRPr="00BC16EE">
        <w:fldChar w:fldCharType="end"/>
      </w:r>
      <w:r w:rsidRPr="00BC16EE">
        <w:rPr>
          <w:lang w:val="fr-FR"/>
        </w:rPr>
        <w:t>.  À l</w:t>
      </w:r>
      <w:r w:rsidRPr="00BC16EE" w:rsidR="00BC16EE">
        <w:rPr>
          <w:lang w:val="fr-FR"/>
        </w:rPr>
        <w:t>’</w:t>
      </w:r>
      <w:r w:rsidRPr="00BC16EE">
        <w:rPr>
          <w:lang w:val="fr-FR"/>
        </w:rPr>
        <w:t>origine de l</w:t>
      </w:r>
      <w:r w:rsidRPr="00BC16EE" w:rsidR="00BC16EE">
        <w:rPr>
          <w:lang w:val="fr-FR"/>
        </w:rPr>
        <w:t>’</w:t>
      </w:r>
      <w:r w:rsidRPr="00BC16EE">
        <w:rPr>
          <w:lang w:val="fr-FR"/>
        </w:rPr>
        <w:t>affaire se trouve une requête (n</w:t>
      </w:r>
      <w:r w:rsidRPr="00BC16EE">
        <w:rPr>
          <w:vertAlign w:val="superscript"/>
          <w:lang w:val="fr-FR"/>
        </w:rPr>
        <w:t>o</w:t>
      </w:r>
      <w:r w:rsidRPr="00BC16EE">
        <w:rPr>
          <w:lang w:val="fr-FR"/>
        </w:rPr>
        <w:t xml:space="preserve"> 72781/12) dirigée contre la République de Turquie et dont trois ressortissantes de cet État, M</w:t>
      </w:r>
      <w:r w:rsidRPr="00BC16EE">
        <w:rPr>
          <w:vertAlign w:val="superscript"/>
          <w:lang w:val="fr-FR"/>
        </w:rPr>
        <w:t>mes</w:t>
      </w:r>
      <w:r w:rsidRPr="00BC16EE">
        <w:rPr>
          <w:lang w:val="fr-FR"/>
        </w:rPr>
        <w:t xml:space="preserve"> </w:t>
      </w:r>
      <w:proofErr w:type="spellStart"/>
      <w:r w:rsidRPr="00BC16EE">
        <w:rPr>
          <w:lang w:val="fr-FR"/>
        </w:rPr>
        <w:t>Münüre</w:t>
      </w:r>
      <w:proofErr w:type="spellEnd"/>
      <w:r w:rsidRPr="00BC16EE">
        <w:rPr>
          <w:lang w:val="fr-FR"/>
        </w:rPr>
        <w:t xml:space="preserve"> </w:t>
      </w:r>
      <w:proofErr w:type="spellStart"/>
      <w:r w:rsidRPr="00BC16EE">
        <w:rPr>
          <w:lang w:val="fr-FR"/>
        </w:rPr>
        <w:t>Yirdem</w:t>
      </w:r>
      <w:proofErr w:type="spellEnd"/>
      <w:r w:rsidRPr="00BC16EE">
        <w:rPr>
          <w:lang w:val="fr-FR"/>
        </w:rPr>
        <w:t xml:space="preserve">, </w:t>
      </w:r>
      <w:proofErr w:type="spellStart"/>
      <w:r w:rsidRPr="00BC16EE">
        <w:rPr>
          <w:lang w:val="fr-FR"/>
        </w:rPr>
        <w:t>Derya</w:t>
      </w:r>
      <w:proofErr w:type="spellEnd"/>
      <w:r w:rsidRPr="00BC16EE">
        <w:rPr>
          <w:lang w:val="fr-FR"/>
        </w:rPr>
        <w:t xml:space="preserve"> </w:t>
      </w:r>
      <w:r w:rsidRPr="00BC16EE">
        <w:rPr>
          <w:rFonts w:cstheme="minorHAnsi"/>
          <w:lang w:val="fr-FR"/>
        </w:rPr>
        <w:t>Ş</w:t>
      </w:r>
      <w:r w:rsidRPr="00BC16EE">
        <w:rPr>
          <w:lang w:val="fr-FR"/>
        </w:rPr>
        <w:t xml:space="preserve">ahin </w:t>
      </w:r>
      <w:proofErr w:type="spellStart"/>
      <w:r w:rsidRPr="00BC16EE">
        <w:rPr>
          <w:lang w:val="fr-FR"/>
        </w:rPr>
        <w:t>Yirdem</w:t>
      </w:r>
      <w:proofErr w:type="spellEnd"/>
      <w:r w:rsidRPr="00BC16EE">
        <w:rPr>
          <w:lang w:val="fr-FR"/>
        </w:rPr>
        <w:t xml:space="preserve"> et </w:t>
      </w:r>
      <w:proofErr w:type="spellStart"/>
      <w:r w:rsidRPr="00BC16EE">
        <w:rPr>
          <w:lang w:val="fr-FR"/>
        </w:rPr>
        <w:t>Gülay</w:t>
      </w:r>
      <w:proofErr w:type="spellEnd"/>
      <w:r w:rsidRPr="00BC16EE">
        <w:rPr>
          <w:lang w:val="fr-FR"/>
        </w:rPr>
        <w:t xml:space="preserve"> </w:t>
      </w:r>
      <w:proofErr w:type="spellStart"/>
      <w:r w:rsidRPr="00BC16EE">
        <w:rPr>
          <w:rFonts w:cstheme="minorHAnsi"/>
          <w:lang w:val="fr-FR"/>
        </w:rPr>
        <w:t>İ</w:t>
      </w:r>
      <w:r w:rsidRPr="00BC16EE">
        <w:rPr>
          <w:lang w:val="fr-FR"/>
        </w:rPr>
        <w:t>lter</w:t>
      </w:r>
      <w:proofErr w:type="spellEnd"/>
      <w:r w:rsidRPr="00BC16EE">
        <w:rPr>
          <w:lang w:val="fr-FR"/>
        </w:rPr>
        <w:t xml:space="preserve"> </w:t>
      </w:r>
      <w:proofErr w:type="spellStart"/>
      <w:r w:rsidRPr="00BC16EE">
        <w:rPr>
          <w:lang w:val="fr-FR"/>
        </w:rPr>
        <w:t>Yirdem</w:t>
      </w:r>
      <w:proofErr w:type="spellEnd"/>
      <w:r w:rsidRPr="00BC16EE">
        <w:rPr>
          <w:lang w:val="fr-FR"/>
        </w:rPr>
        <w:t xml:space="preserve"> (« les requérantes »), ont saisi la Cour le 18 septembre 2012 en vertu de l</w:t>
      </w:r>
      <w:r w:rsidRPr="00BC16EE" w:rsidR="00BC16EE">
        <w:rPr>
          <w:lang w:val="fr-FR"/>
        </w:rPr>
        <w:t>’</w:t>
      </w:r>
      <w:r w:rsidRPr="00BC16EE">
        <w:rPr>
          <w:lang w:val="fr-FR"/>
        </w:rPr>
        <w:t>article 34 de la Convention de sauvegarde des droits de l</w:t>
      </w:r>
      <w:r w:rsidRPr="00BC16EE" w:rsidR="00BC16EE">
        <w:rPr>
          <w:lang w:val="fr-FR"/>
        </w:rPr>
        <w:t>’</w:t>
      </w:r>
      <w:r w:rsidRPr="00BC16EE">
        <w:rPr>
          <w:lang w:val="fr-FR"/>
        </w:rPr>
        <w:t>homme et des libertés fondamentales (« la Convention »).</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2</w:t>
      </w:r>
      <w:r w:rsidRPr="00BC16EE">
        <w:fldChar w:fldCharType="end"/>
      </w:r>
      <w:r w:rsidRPr="00BC16EE">
        <w:rPr>
          <w:lang w:val="fr-FR"/>
        </w:rPr>
        <w:t>.  Les requérantes ont été représentées par M</w:t>
      </w:r>
      <w:r w:rsidRPr="00BC16EE">
        <w:rPr>
          <w:vertAlign w:val="superscript"/>
          <w:lang w:val="fr-FR"/>
        </w:rPr>
        <w:t>e</w:t>
      </w:r>
      <w:r w:rsidRPr="00BC16EE">
        <w:rPr>
          <w:lang w:val="fr-FR"/>
        </w:rPr>
        <w:t xml:space="preserve"> A. </w:t>
      </w:r>
      <w:proofErr w:type="spellStart"/>
      <w:r w:rsidRPr="00BC16EE">
        <w:rPr>
          <w:lang w:val="fr-FR"/>
        </w:rPr>
        <w:t>Erdoğan</w:t>
      </w:r>
      <w:proofErr w:type="spellEnd"/>
      <w:r w:rsidRPr="00BC16EE">
        <w:rPr>
          <w:lang w:val="fr-FR"/>
        </w:rPr>
        <w:t>, avocat à Istanbul. Le gouvernement turc (« le Gouvernement ») a été représenté par son agent.</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3</w:t>
      </w:r>
      <w:r w:rsidRPr="00BC16EE">
        <w:fldChar w:fldCharType="end"/>
      </w:r>
      <w:r w:rsidRPr="00BC16EE">
        <w:rPr>
          <w:lang w:val="fr-FR"/>
        </w:rPr>
        <w:t>.  Les requérantes alléguaient en particulier une violation du droit à la vie de leur proche.</w:t>
      </w:r>
    </w:p>
    <w:p w:rsidRPr="00BC16EE" w:rsidR="00C96842" w:rsidP="00BC16EE" w:rsidRDefault="00C96842">
      <w:pPr>
        <w:pStyle w:val="ECHRPara"/>
        <w:rPr>
          <w:szCs w:val="24"/>
          <w:lang w:val="fr-FR" w:eastAsia="en-GB"/>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4</w:t>
      </w:r>
      <w:r w:rsidRPr="00BC16EE">
        <w:fldChar w:fldCharType="end"/>
      </w:r>
      <w:r w:rsidRPr="00BC16EE">
        <w:rPr>
          <w:lang w:val="fr-FR"/>
        </w:rPr>
        <w:t xml:space="preserve">.  Le </w:t>
      </w:r>
      <w:r w:rsidRPr="00BC16EE">
        <w:rPr>
          <w:szCs w:val="24"/>
          <w:lang w:val="fr-FR"/>
        </w:rPr>
        <w:t>3 janvier 2017</w:t>
      </w:r>
      <w:r w:rsidRPr="00BC16EE">
        <w:rPr>
          <w:lang w:val="fr-FR"/>
        </w:rPr>
        <w:t>, la requête a été communiquée au Gouvernement.</w:t>
      </w:r>
    </w:p>
    <w:p w:rsidRPr="00BC16EE" w:rsidR="00C96842" w:rsidP="00BC16EE" w:rsidRDefault="00C96842">
      <w:pPr>
        <w:pStyle w:val="ECHRTitle1"/>
        <w:tabs>
          <w:tab w:val="left" w:pos="5387"/>
        </w:tabs>
        <w:rPr>
          <w:lang w:val="fr-FR"/>
        </w:rPr>
      </w:pPr>
      <w:r w:rsidRPr="00BC16EE">
        <w:rPr>
          <w:lang w:val="fr-FR"/>
        </w:rPr>
        <w:t>EN FAIT</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5</w:t>
      </w:r>
      <w:r w:rsidRPr="00BC16EE">
        <w:fldChar w:fldCharType="end"/>
      </w:r>
      <w:r w:rsidRPr="00BC16EE">
        <w:rPr>
          <w:lang w:val="fr-FR"/>
        </w:rPr>
        <w:t>.  Les requérantes sont nées respectivement en 1958, en 1973 et en 1979. Elles résident à Istanbul.</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6</w:t>
      </w:r>
      <w:r w:rsidRPr="00BC16EE">
        <w:fldChar w:fldCharType="end"/>
      </w:r>
      <w:r w:rsidRPr="00BC16EE">
        <w:rPr>
          <w:lang w:val="fr-FR"/>
        </w:rPr>
        <w:t>.  La première requérante, M</w:t>
      </w:r>
      <w:r w:rsidRPr="00BC16EE">
        <w:rPr>
          <w:vertAlign w:val="superscript"/>
          <w:lang w:val="fr-FR"/>
        </w:rPr>
        <w:t>me</w:t>
      </w:r>
      <w:r w:rsidRPr="00BC16EE">
        <w:rPr>
          <w:lang w:val="fr-FR"/>
        </w:rPr>
        <w:t xml:space="preserve"> </w:t>
      </w:r>
      <w:proofErr w:type="spellStart"/>
      <w:r w:rsidRPr="00BC16EE">
        <w:rPr>
          <w:lang w:val="fr-FR"/>
        </w:rPr>
        <w:t>Münüre</w:t>
      </w:r>
      <w:proofErr w:type="spellEnd"/>
      <w:r w:rsidRPr="00BC16EE">
        <w:rPr>
          <w:lang w:val="fr-FR"/>
        </w:rPr>
        <w:t xml:space="preserve"> </w:t>
      </w:r>
      <w:proofErr w:type="spellStart"/>
      <w:r w:rsidRPr="00BC16EE">
        <w:rPr>
          <w:lang w:val="fr-FR"/>
        </w:rPr>
        <w:t>Yirdem</w:t>
      </w:r>
      <w:proofErr w:type="spellEnd"/>
      <w:r w:rsidRPr="00BC16EE">
        <w:rPr>
          <w:lang w:val="fr-FR"/>
        </w:rPr>
        <w:t>, est la veuve de M. </w:t>
      </w:r>
      <w:proofErr w:type="spellStart"/>
      <w:r w:rsidRPr="00BC16EE">
        <w:rPr>
          <w:lang w:val="fr-FR"/>
        </w:rPr>
        <w:t>Nayim</w:t>
      </w:r>
      <w:proofErr w:type="spellEnd"/>
      <w:r w:rsidRPr="00BC16EE">
        <w:rPr>
          <w:lang w:val="fr-FR"/>
        </w:rPr>
        <w:t xml:space="preserve"> </w:t>
      </w:r>
      <w:proofErr w:type="spellStart"/>
      <w:r w:rsidRPr="00BC16EE">
        <w:rPr>
          <w:lang w:val="fr-FR"/>
        </w:rPr>
        <w:t>Yirdem</w:t>
      </w:r>
      <w:proofErr w:type="spellEnd"/>
      <w:r w:rsidRPr="00BC16EE">
        <w:rPr>
          <w:lang w:val="fr-FR"/>
        </w:rPr>
        <w:t>. Les deux autres requérantes sont ses enfants.</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7</w:t>
      </w:r>
      <w:r w:rsidRPr="00BC16EE">
        <w:fldChar w:fldCharType="end"/>
      </w:r>
      <w:r w:rsidRPr="00BC16EE">
        <w:rPr>
          <w:lang w:val="fr-FR"/>
        </w:rPr>
        <w:t xml:space="preserve">.  Le 13 août 2003, </w:t>
      </w:r>
      <w:proofErr w:type="spellStart"/>
      <w:r w:rsidRPr="00BC16EE">
        <w:rPr>
          <w:lang w:val="fr-FR"/>
        </w:rPr>
        <w:t>Nayim</w:t>
      </w:r>
      <w:proofErr w:type="spellEnd"/>
      <w:r w:rsidRPr="00BC16EE">
        <w:rPr>
          <w:lang w:val="fr-FR"/>
        </w:rPr>
        <w:t xml:space="preserve"> </w:t>
      </w:r>
      <w:proofErr w:type="spellStart"/>
      <w:r w:rsidRPr="00BC16EE">
        <w:rPr>
          <w:lang w:val="fr-FR"/>
        </w:rPr>
        <w:t>Yirdem</w:t>
      </w:r>
      <w:proofErr w:type="spellEnd"/>
      <w:r w:rsidRPr="00BC16EE">
        <w:rPr>
          <w:lang w:val="fr-FR"/>
        </w:rPr>
        <w:t xml:space="preserve"> fut admis à l</w:t>
      </w:r>
      <w:r w:rsidRPr="00BC16EE" w:rsidR="00BC16EE">
        <w:rPr>
          <w:lang w:val="fr-FR"/>
        </w:rPr>
        <w:t>’</w:t>
      </w:r>
      <w:r w:rsidRPr="00BC16EE">
        <w:rPr>
          <w:lang w:val="fr-FR"/>
        </w:rPr>
        <w:t xml:space="preserve">hôpital </w:t>
      </w:r>
      <w:proofErr w:type="spellStart"/>
      <w:r w:rsidRPr="00BC16EE">
        <w:rPr>
          <w:lang w:val="fr-FR"/>
        </w:rPr>
        <w:t>Bezmi</w:t>
      </w:r>
      <w:proofErr w:type="spellEnd"/>
      <w:r w:rsidRPr="00BC16EE">
        <w:rPr>
          <w:lang w:val="fr-FR"/>
        </w:rPr>
        <w:t xml:space="preserve"> Alem Valide Sultan (« l</w:t>
      </w:r>
      <w:r w:rsidRPr="00BC16EE" w:rsidR="00BC16EE">
        <w:rPr>
          <w:lang w:val="fr-FR"/>
        </w:rPr>
        <w:t>’</w:t>
      </w:r>
      <w:r w:rsidRPr="00BC16EE">
        <w:rPr>
          <w:lang w:val="fr-FR"/>
        </w:rPr>
        <w:t>hôpital ») pour altération de l</w:t>
      </w:r>
      <w:r w:rsidRPr="00BC16EE" w:rsidR="00BC16EE">
        <w:rPr>
          <w:lang w:val="fr-FR"/>
        </w:rPr>
        <w:t>’</w:t>
      </w:r>
      <w:r w:rsidRPr="00BC16EE">
        <w:rPr>
          <w:lang w:val="fr-FR"/>
        </w:rPr>
        <w:t>état de conscience et faiblesse du côté gauche du corps.</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8</w:t>
      </w:r>
      <w:r w:rsidRPr="00BC16EE">
        <w:fldChar w:fldCharType="end"/>
      </w:r>
      <w:r w:rsidRPr="00BC16EE">
        <w:rPr>
          <w:lang w:val="fr-FR"/>
        </w:rPr>
        <w:t>.  Les médecins diagnostiquèrent un accident vasculaire cérébral ischémique.</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9</w:t>
      </w:r>
      <w:r w:rsidRPr="00BC16EE">
        <w:fldChar w:fldCharType="end"/>
      </w:r>
      <w:r w:rsidRPr="00BC16EE">
        <w:rPr>
          <w:lang w:val="fr-FR"/>
        </w:rPr>
        <w:t xml:space="preserve">.  Le 16 août 2003, vers minuit, </w:t>
      </w:r>
      <w:proofErr w:type="spellStart"/>
      <w:r w:rsidRPr="00BC16EE">
        <w:rPr>
          <w:lang w:val="fr-FR"/>
        </w:rPr>
        <w:t>Nayim</w:t>
      </w:r>
      <w:proofErr w:type="spellEnd"/>
      <w:r w:rsidRPr="00BC16EE">
        <w:rPr>
          <w:lang w:val="fr-FR"/>
        </w:rPr>
        <w:t xml:space="preserve"> </w:t>
      </w:r>
      <w:proofErr w:type="spellStart"/>
      <w:r w:rsidRPr="00BC16EE">
        <w:rPr>
          <w:lang w:val="fr-FR"/>
        </w:rPr>
        <w:t>Yirdem</w:t>
      </w:r>
      <w:proofErr w:type="spellEnd"/>
      <w:r w:rsidRPr="00BC16EE">
        <w:rPr>
          <w:lang w:val="fr-FR"/>
        </w:rPr>
        <w:t xml:space="preserve"> fit un arrêt cardiaque et décéda malgré les tentatives de réanimation des médecins.</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10</w:t>
      </w:r>
      <w:r w:rsidRPr="00BC16EE">
        <w:fldChar w:fldCharType="end"/>
      </w:r>
      <w:r w:rsidRPr="00BC16EE">
        <w:rPr>
          <w:lang w:val="fr-FR"/>
        </w:rPr>
        <w:t xml:space="preserve">.  La première requérante porta plainte auprès du procureur de </w:t>
      </w:r>
      <w:proofErr w:type="spellStart"/>
      <w:r w:rsidRPr="00BC16EE">
        <w:rPr>
          <w:lang w:val="fr-FR"/>
        </w:rPr>
        <w:t>Fatih</w:t>
      </w:r>
      <w:proofErr w:type="spellEnd"/>
      <w:r w:rsidRPr="00BC16EE">
        <w:rPr>
          <w:lang w:val="fr-FR"/>
        </w:rPr>
        <w:t xml:space="preserve"> contre les médecins et infirmières de l</w:t>
      </w:r>
      <w:r w:rsidRPr="00BC16EE" w:rsidR="00BC16EE">
        <w:rPr>
          <w:lang w:val="fr-FR"/>
        </w:rPr>
        <w:t>’</w:t>
      </w:r>
      <w:r w:rsidRPr="00BC16EE">
        <w:rPr>
          <w:lang w:val="fr-FR"/>
        </w:rPr>
        <w:t>hôpital. Elle soutint que la bouteille d</w:t>
      </w:r>
      <w:r w:rsidRPr="00BC16EE" w:rsidR="00BC16EE">
        <w:rPr>
          <w:lang w:val="fr-FR"/>
        </w:rPr>
        <w:t>’</w:t>
      </w:r>
      <w:r w:rsidRPr="00BC16EE">
        <w:rPr>
          <w:lang w:val="fr-FR"/>
        </w:rPr>
        <w:t>oxygène avait eu une panne et que le personnel médical ne s</w:t>
      </w:r>
      <w:r w:rsidRPr="00BC16EE" w:rsidR="00BC16EE">
        <w:rPr>
          <w:lang w:val="fr-FR"/>
        </w:rPr>
        <w:t>’</w:t>
      </w:r>
      <w:r w:rsidRPr="00BC16EE">
        <w:rPr>
          <w:lang w:val="fr-FR"/>
        </w:rPr>
        <w:t>était pas occupé de son époux correctement.</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11</w:t>
      </w:r>
      <w:r w:rsidRPr="00BC16EE">
        <w:fldChar w:fldCharType="end"/>
      </w:r>
      <w:r w:rsidRPr="00BC16EE">
        <w:rPr>
          <w:lang w:val="fr-FR"/>
        </w:rPr>
        <w:t xml:space="preserve">.  Une enquête pénale fut déclenchée par le parquet de </w:t>
      </w:r>
      <w:proofErr w:type="spellStart"/>
      <w:r w:rsidRPr="00BC16EE">
        <w:rPr>
          <w:lang w:val="fr-FR"/>
        </w:rPr>
        <w:t>Fatih</w:t>
      </w:r>
      <w:proofErr w:type="spellEnd"/>
      <w:r w:rsidRPr="00BC16EE">
        <w:rPr>
          <w:lang w:val="fr-FR"/>
        </w:rPr>
        <w:t>, qui fit procéder à une autopsie et recueillit de nombreux témoignages, dont ceux des requérantes.</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12</w:t>
      </w:r>
      <w:r w:rsidRPr="00BC16EE">
        <w:fldChar w:fldCharType="end"/>
      </w:r>
      <w:r w:rsidRPr="00BC16EE">
        <w:rPr>
          <w:lang w:val="fr-FR"/>
        </w:rPr>
        <w:t>.  Le 5 février 2004, l</w:t>
      </w:r>
      <w:r w:rsidRPr="00BC16EE" w:rsidR="00BC16EE">
        <w:rPr>
          <w:lang w:val="fr-FR"/>
        </w:rPr>
        <w:t>’</w:t>
      </w:r>
      <w:r w:rsidRPr="00BC16EE">
        <w:rPr>
          <w:lang w:val="fr-FR"/>
        </w:rPr>
        <w:t>institut médicolégal estima que le décès avait eu pour causes un infarctus du myocarde et un infarctus cérébral résultant d</w:t>
      </w:r>
      <w:r w:rsidRPr="00BC16EE" w:rsidR="00BC16EE">
        <w:rPr>
          <w:lang w:val="fr-FR"/>
        </w:rPr>
        <w:t>’</w:t>
      </w:r>
      <w:r w:rsidRPr="00BC16EE">
        <w:rPr>
          <w:lang w:val="fr-FR"/>
        </w:rPr>
        <w:t>une intoxication corrosive déclenchée par de l</w:t>
      </w:r>
      <w:r w:rsidRPr="00BC16EE" w:rsidR="00BC16EE">
        <w:rPr>
          <w:lang w:val="fr-FR"/>
        </w:rPr>
        <w:t>’</w:t>
      </w:r>
      <w:r w:rsidRPr="00BC16EE">
        <w:rPr>
          <w:lang w:val="fr-FR"/>
        </w:rPr>
        <w:t>heptane et du toluène, deux éléments entrant dans la composition de solvants organiques.</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13</w:t>
      </w:r>
      <w:r w:rsidRPr="00BC16EE">
        <w:fldChar w:fldCharType="end"/>
      </w:r>
      <w:r w:rsidRPr="00BC16EE">
        <w:rPr>
          <w:lang w:val="fr-FR"/>
        </w:rPr>
        <w:t>.  Les médecins et infirmières dont les témoignages furent recueillis déclarèrent que l</w:t>
      </w:r>
      <w:r w:rsidRPr="00BC16EE" w:rsidR="00BC16EE">
        <w:rPr>
          <w:lang w:val="fr-FR"/>
        </w:rPr>
        <w:t>’</w:t>
      </w:r>
      <w:r w:rsidRPr="00BC16EE">
        <w:rPr>
          <w:lang w:val="fr-FR"/>
        </w:rPr>
        <w:t>heptane et le toluène étaient des composants qui ne se trouvaient pas à l</w:t>
      </w:r>
      <w:r w:rsidRPr="00BC16EE" w:rsidR="00BC16EE">
        <w:rPr>
          <w:lang w:val="fr-FR"/>
        </w:rPr>
        <w:t>’</w:t>
      </w:r>
      <w:r w:rsidRPr="00BC16EE">
        <w:rPr>
          <w:lang w:val="fr-FR"/>
        </w:rPr>
        <w:t>hôpital et que la bouteille d</w:t>
      </w:r>
      <w:r w:rsidRPr="00BC16EE" w:rsidR="00BC16EE">
        <w:rPr>
          <w:lang w:val="fr-FR"/>
        </w:rPr>
        <w:t>’</w:t>
      </w:r>
      <w:r w:rsidRPr="00BC16EE">
        <w:rPr>
          <w:lang w:val="fr-FR"/>
        </w:rPr>
        <w:t>oxygène n</w:t>
      </w:r>
      <w:r w:rsidRPr="00BC16EE" w:rsidR="00BC16EE">
        <w:rPr>
          <w:lang w:val="fr-FR"/>
        </w:rPr>
        <w:t>’</w:t>
      </w:r>
      <w:r w:rsidRPr="00BC16EE">
        <w:rPr>
          <w:lang w:val="fr-FR"/>
        </w:rPr>
        <w:t xml:space="preserve">avait pas </w:t>
      </w:r>
      <w:proofErr w:type="gramStart"/>
      <w:r w:rsidRPr="00BC16EE">
        <w:rPr>
          <w:lang w:val="fr-FR"/>
        </w:rPr>
        <w:t>eu</w:t>
      </w:r>
      <w:proofErr w:type="gramEnd"/>
      <w:r w:rsidRPr="00BC16EE">
        <w:rPr>
          <w:lang w:val="fr-FR"/>
        </w:rPr>
        <w:t xml:space="preserve"> de panne. Ils ajoutèrent notamment que le taux d</w:t>
      </w:r>
      <w:r w:rsidRPr="00BC16EE" w:rsidR="00BC16EE">
        <w:rPr>
          <w:lang w:val="fr-FR"/>
        </w:rPr>
        <w:t>’</w:t>
      </w:r>
      <w:r w:rsidRPr="00BC16EE">
        <w:rPr>
          <w:lang w:val="fr-FR"/>
        </w:rPr>
        <w:t>oxygène dans le sang du patient était normal, ce qui démontrait à leurs yeux qu</w:t>
      </w:r>
      <w:r w:rsidRPr="00BC16EE" w:rsidR="00BC16EE">
        <w:rPr>
          <w:lang w:val="fr-FR"/>
        </w:rPr>
        <w:t>’</w:t>
      </w:r>
      <w:r w:rsidRPr="00BC16EE">
        <w:rPr>
          <w:lang w:val="fr-FR"/>
        </w:rPr>
        <w:t>il n</w:t>
      </w:r>
      <w:r w:rsidRPr="00BC16EE" w:rsidR="00BC16EE">
        <w:rPr>
          <w:lang w:val="fr-FR"/>
        </w:rPr>
        <w:t>’</w:t>
      </w:r>
      <w:r w:rsidRPr="00BC16EE">
        <w:rPr>
          <w:lang w:val="fr-FR"/>
        </w:rPr>
        <w:t>y avait pas eu de problème d</w:t>
      </w:r>
      <w:r w:rsidRPr="00BC16EE" w:rsidR="00BC16EE">
        <w:rPr>
          <w:lang w:val="fr-FR"/>
        </w:rPr>
        <w:t>’</w:t>
      </w:r>
      <w:r w:rsidRPr="00BC16EE">
        <w:rPr>
          <w:lang w:val="fr-FR"/>
        </w:rPr>
        <w:t>oxygénation.</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14</w:t>
      </w:r>
      <w:r w:rsidRPr="00BC16EE">
        <w:fldChar w:fldCharType="end"/>
      </w:r>
      <w:r w:rsidRPr="00BC16EE">
        <w:rPr>
          <w:lang w:val="fr-FR"/>
        </w:rPr>
        <w:t>.  Les techniciens médicaux de l</w:t>
      </w:r>
      <w:r w:rsidRPr="00BC16EE" w:rsidR="00BC16EE">
        <w:rPr>
          <w:lang w:val="fr-FR"/>
        </w:rPr>
        <w:t>’</w:t>
      </w:r>
      <w:r w:rsidRPr="00BC16EE">
        <w:rPr>
          <w:lang w:val="fr-FR"/>
        </w:rPr>
        <w:t>hôpital déclarèrent eux aussi qu</w:t>
      </w:r>
      <w:r w:rsidRPr="00BC16EE" w:rsidR="00BC16EE">
        <w:rPr>
          <w:lang w:val="fr-FR"/>
        </w:rPr>
        <w:t>’</w:t>
      </w:r>
      <w:r w:rsidRPr="00BC16EE">
        <w:rPr>
          <w:lang w:val="fr-FR"/>
        </w:rPr>
        <w:t>il n</w:t>
      </w:r>
      <w:r w:rsidRPr="00BC16EE" w:rsidR="00BC16EE">
        <w:rPr>
          <w:lang w:val="fr-FR"/>
        </w:rPr>
        <w:t>’</w:t>
      </w:r>
      <w:r w:rsidRPr="00BC16EE">
        <w:rPr>
          <w:lang w:val="fr-FR"/>
        </w:rPr>
        <w:t>y avait pas eu de panne de la bouteille d</w:t>
      </w:r>
      <w:r w:rsidRPr="00BC16EE" w:rsidR="00BC16EE">
        <w:rPr>
          <w:lang w:val="fr-FR"/>
        </w:rPr>
        <w:t>’</w:t>
      </w:r>
      <w:r w:rsidRPr="00BC16EE">
        <w:rPr>
          <w:lang w:val="fr-FR"/>
        </w:rPr>
        <w:t>oxygène et que celle-ci avait fonctionné normalement.</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15</w:t>
      </w:r>
      <w:r w:rsidRPr="00BC16EE">
        <w:fldChar w:fldCharType="end"/>
      </w:r>
      <w:r w:rsidRPr="00BC16EE">
        <w:rPr>
          <w:lang w:val="fr-FR"/>
        </w:rPr>
        <w:t xml:space="preserve">.  Le 3 décembre 2004, le procureur de la République de </w:t>
      </w:r>
      <w:proofErr w:type="spellStart"/>
      <w:r w:rsidRPr="00BC16EE">
        <w:rPr>
          <w:lang w:val="fr-FR"/>
        </w:rPr>
        <w:t>Fatih</w:t>
      </w:r>
      <w:proofErr w:type="spellEnd"/>
      <w:r w:rsidRPr="00BC16EE">
        <w:rPr>
          <w:lang w:val="fr-FR"/>
        </w:rPr>
        <w:t xml:space="preserve"> transmit le dossier au conseil d</w:t>
      </w:r>
      <w:r w:rsidRPr="00BC16EE" w:rsidR="00BC16EE">
        <w:rPr>
          <w:lang w:val="fr-FR"/>
        </w:rPr>
        <w:t>’</w:t>
      </w:r>
      <w:r w:rsidRPr="00BC16EE">
        <w:rPr>
          <w:lang w:val="fr-FR"/>
        </w:rPr>
        <w:t>experts de l</w:t>
      </w:r>
      <w:r w:rsidRPr="00BC16EE" w:rsidR="00BC16EE">
        <w:rPr>
          <w:lang w:val="fr-FR"/>
        </w:rPr>
        <w:t>’</w:t>
      </w:r>
      <w:r w:rsidRPr="00BC16EE">
        <w:rPr>
          <w:lang w:val="fr-FR"/>
        </w:rPr>
        <w:t>institut médicolégal et lui demanda d</w:t>
      </w:r>
      <w:r w:rsidRPr="00BC16EE" w:rsidR="00BC16EE">
        <w:rPr>
          <w:lang w:val="fr-FR"/>
        </w:rPr>
        <w:t>’</w:t>
      </w:r>
      <w:r w:rsidRPr="00BC16EE">
        <w:rPr>
          <w:lang w:val="fr-FR"/>
        </w:rPr>
        <w:t>établir les responsabilités éventuelles des médecins, infirmières et techniciens mis en cause.</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16</w:t>
      </w:r>
      <w:r w:rsidRPr="00BC16EE">
        <w:fldChar w:fldCharType="end"/>
      </w:r>
      <w:r w:rsidRPr="00BC16EE">
        <w:rPr>
          <w:lang w:val="fr-FR"/>
        </w:rPr>
        <w:t>.  Le 15 août 2005, le conseil d</w:t>
      </w:r>
      <w:r w:rsidRPr="00BC16EE" w:rsidR="00BC16EE">
        <w:rPr>
          <w:lang w:val="fr-FR"/>
        </w:rPr>
        <w:t>’</w:t>
      </w:r>
      <w:r w:rsidRPr="00BC16EE">
        <w:rPr>
          <w:lang w:val="fr-FR"/>
        </w:rPr>
        <w:t>experts n</w:t>
      </w:r>
      <w:r w:rsidRPr="00BC16EE">
        <w:rPr>
          <w:vertAlign w:val="superscript"/>
          <w:lang w:val="fr-FR"/>
        </w:rPr>
        <w:t>o</w:t>
      </w:r>
      <w:r w:rsidRPr="00BC16EE">
        <w:rPr>
          <w:lang w:val="fr-FR"/>
        </w:rPr>
        <w:t xml:space="preserve"> 5 de l</w:t>
      </w:r>
      <w:r w:rsidRPr="00BC16EE" w:rsidR="00BC16EE">
        <w:rPr>
          <w:lang w:val="fr-FR"/>
        </w:rPr>
        <w:t>’</w:t>
      </w:r>
      <w:r w:rsidRPr="00BC16EE">
        <w:rPr>
          <w:lang w:val="fr-FR"/>
        </w:rPr>
        <w:t>institut médicolégal rendit son rapport, qui concluait comme suit :</w:t>
      </w:r>
    </w:p>
    <w:p w:rsidRPr="00BC16EE" w:rsidR="00C96842" w:rsidP="00BC16EE" w:rsidRDefault="00C96842">
      <w:pPr>
        <w:pStyle w:val="ECHRParaQuote"/>
        <w:rPr>
          <w:lang w:val="fr-FR"/>
        </w:rPr>
      </w:pPr>
      <w:r w:rsidRPr="00BC16EE">
        <w:rPr>
          <w:lang w:val="fr-FR"/>
        </w:rPr>
        <w:t>« </w:t>
      </w:r>
      <w:r w:rsidRPr="00BC16EE">
        <w:rPr>
          <w:rFonts w:cstheme="minorHAnsi"/>
          <w:lang w:val="fr-FR"/>
        </w:rPr>
        <w:t>À</w:t>
      </w:r>
      <w:r w:rsidRPr="00BC16EE">
        <w:rPr>
          <w:lang w:val="fr-FR"/>
        </w:rPr>
        <w:t xml:space="preserve"> l</w:t>
      </w:r>
      <w:r w:rsidRPr="00BC16EE" w:rsidR="00BC16EE">
        <w:rPr>
          <w:lang w:val="fr-FR"/>
        </w:rPr>
        <w:t>’</w:t>
      </w:r>
      <w:r w:rsidRPr="00BC16EE">
        <w:rPr>
          <w:lang w:val="fr-FR"/>
        </w:rPr>
        <w:t>autopsie, il a été relevé que l</w:t>
      </w:r>
      <w:r w:rsidRPr="00BC16EE" w:rsidR="00BC16EE">
        <w:rPr>
          <w:lang w:val="fr-FR"/>
        </w:rPr>
        <w:t>’</w:t>
      </w:r>
      <w:r w:rsidRPr="00BC16EE">
        <w:rPr>
          <w:lang w:val="fr-FR"/>
        </w:rPr>
        <w:t>estomac du défunt contenait 200 cc d</w:t>
      </w:r>
      <w:r w:rsidRPr="00BC16EE" w:rsidR="00BC16EE">
        <w:rPr>
          <w:lang w:val="fr-FR"/>
        </w:rPr>
        <w:t>’</w:t>
      </w:r>
      <w:r w:rsidRPr="00BC16EE">
        <w:rPr>
          <w:lang w:val="fr-FR"/>
        </w:rPr>
        <w:t>une substance qui était de couleur noire et qui sentait fortement le pétrole. L</w:t>
      </w:r>
      <w:r w:rsidRPr="00BC16EE" w:rsidR="00BC16EE">
        <w:rPr>
          <w:lang w:val="fr-FR"/>
        </w:rPr>
        <w:t>’</w:t>
      </w:r>
      <w:r w:rsidRPr="00BC16EE">
        <w:rPr>
          <w:lang w:val="fr-FR"/>
        </w:rPr>
        <w:t>analyse effectuée a permis de constater que c</w:t>
      </w:r>
      <w:r w:rsidRPr="00BC16EE" w:rsidR="00BC16EE">
        <w:rPr>
          <w:lang w:val="fr-FR"/>
        </w:rPr>
        <w:t>’</w:t>
      </w:r>
      <w:r w:rsidRPr="00BC16EE">
        <w:rPr>
          <w:lang w:val="fr-FR"/>
        </w:rPr>
        <w:t>était de l</w:t>
      </w:r>
      <w:r w:rsidRPr="00BC16EE" w:rsidR="00BC16EE">
        <w:rPr>
          <w:lang w:val="fr-FR"/>
        </w:rPr>
        <w:t>’</w:t>
      </w:r>
      <w:r w:rsidRPr="00BC16EE">
        <w:rPr>
          <w:lang w:val="fr-FR"/>
        </w:rPr>
        <w:t>heptane et du toluène, qui ne provenaient ni des médicaments donnés au patient ni d</w:t>
      </w:r>
      <w:r w:rsidRPr="00BC16EE" w:rsidR="00BC16EE">
        <w:rPr>
          <w:lang w:val="fr-FR"/>
        </w:rPr>
        <w:t>’</w:t>
      </w:r>
      <w:r w:rsidRPr="00BC16EE">
        <w:rPr>
          <w:lang w:val="fr-FR"/>
        </w:rPr>
        <w:t>autres substances utilisées dans le milieu hospitalier. »</w:t>
      </w:r>
    </w:p>
    <w:p w:rsidRPr="00BC16EE" w:rsidR="00C96842" w:rsidP="00BC16EE" w:rsidRDefault="00C96842">
      <w:pPr>
        <w:pStyle w:val="ECHRPara"/>
        <w:rPr>
          <w:lang w:val="fr-FR"/>
        </w:rPr>
      </w:pPr>
      <w:r w:rsidRPr="00BC16EE">
        <w:rPr>
          <w:noProof/>
        </w:rPr>
        <w:fldChar w:fldCharType="begin"/>
      </w:r>
      <w:r w:rsidRPr="00BC16EE">
        <w:rPr>
          <w:noProof/>
          <w:lang w:val="fr-FR"/>
        </w:rPr>
        <w:instrText xml:space="preserve"> SEQ level0 \*arabic </w:instrText>
      </w:r>
      <w:r w:rsidRPr="00BC16EE">
        <w:rPr>
          <w:noProof/>
        </w:rPr>
        <w:fldChar w:fldCharType="separate"/>
      </w:r>
      <w:r w:rsidRPr="00BC16EE" w:rsidR="00BC16EE">
        <w:rPr>
          <w:noProof/>
          <w:lang w:val="fr-FR"/>
        </w:rPr>
        <w:t>17</w:t>
      </w:r>
      <w:r w:rsidRPr="00BC16EE">
        <w:rPr>
          <w:noProof/>
        </w:rPr>
        <w:fldChar w:fldCharType="end"/>
      </w:r>
      <w:r w:rsidRPr="00BC16EE">
        <w:rPr>
          <w:noProof/>
          <w:lang w:val="fr-FR"/>
        </w:rPr>
        <w:t>.  Dans son rapport du 29 mars 2006, le conseil d</w:t>
      </w:r>
      <w:r w:rsidRPr="00BC16EE" w:rsidR="00BC16EE">
        <w:rPr>
          <w:noProof/>
          <w:lang w:val="fr-FR"/>
        </w:rPr>
        <w:t>’</w:t>
      </w:r>
      <w:r w:rsidRPr="00BC16EE">
        <w:rPr>
          <w:noProof/>
          <w:lang w:val="fr-FR"/>
        </w:rPr>
        <w:t>experts n</w:t>
      </w:r>
      <w:r w:rsidRPr="00BC16EE">
        <w:rPr>
          <w:noProof/>
          <w:vertAlign w:val="superscript"/>
          <w:lang w:val="fr-FR"/>
        </w:rPr>
        <w:t xml:space="preserve">o </w:t>
      </w:r>
      <w:r w:rsidRPr="00BC16EE">
        <w:rPr>
          <w:noProof/>
          <w:lang w:val="fr-FR"/>
        </w:rPr>
        <w:t>3 de l</w:t>
      </w:r>
      <w:r w:rsidRPr="00BC16EE" w:rsidR="00BC16EE">
        <w:rPr>
          <w:noProof/>
          <w:lang w:val="fr-FR"/>
        </w:rPr>
        <w:t>’</w:t>
      </w:r>
      <w:r w:rsidRPr="00BC16EE">
        <w:rPr>
          <w:noProof/>
          <w:lang w:val="fr-FR"/>
        </w:rPr>
        <w:t xml:space="preserve">institut médicolégal indiquait que </w:t>
      </w:r>
      <w:proofErr w:type="spellStart"/>
      <w:r w:rsidRPr="00BC16EE">
        <w:rPr>
          <w:lang w:val="fr-FR"/>
        </w:rPr>
        <w:t>Nayim</w:t>
      </w:r>
      <w:proofErr w:type="spellEnd"/>
      <w:r w:rsidRPr="00BC16EE">
        <w:rPr>
          <w:lang w:val="fr-FR"/>
        </w:rPr>
        <w:t xml:space="preserve"> </w:t>
      </w:r>
      <w:proofErr w:type="spellStart"/>
      <w:r w:rsidRPr="00BC16EE">
        <w:rPr>
          <w:lang w:val="fr-FR"/>
        </w:rPr>
        <w:t>Yirdem</w:t>
      </w:r>
      <w:proofErr w:type="spellEnd"/>
      <w:r w:rsidRPr="00BC16EE">
        <w:rPr>
          <w:lang w:val="fr-FR"/>
        </w:rPr>
        <w:t xml:space="preserve"> avait fait un infarctus du myocarde et que cet infarctus avait provoqué une </w:t>
      </w:r>
      <w:r w:rsidRPr="00BC16EE">
        <w:rPr>
          <w:noProof/>
          <w:lang w:val="fr-FR"/>
        </w:rPr>
        <w:t>thrombose veineuse cérébrale, que les médecins n</w:t>
      </w:r>
      <w:r w:rsidRPr="00BC16EE" w:rsidR="00BC16EE">
        <w:rPr>
          <w:noProof/>
          <w:lang w:val="fr-FR"/>
        </w:rPr>
        <w:t>’</w:t>
      </w:r>
      <w:r w:rsidRPr="00BC16EE">
        <w:rPr>
          <w:noProof/>
          <w:lang w:val="fr-FR"/>
        </w:rPr>
        <w:t>avaient pas décelé l</w:t>
      </w:r>
      <w:r w:rsidRPr="00BC16EE" w:rsidR="00BC16EE">
        <w:rPr>
          <w:noProof/>
          <w:lang w:val="fr-FR"/>
        </w:rPr>
        <w:t>’</w:t>
      </w:r>
      <w:r w:rsidRPr="00BC16EE">
        <w:rPr>
          <w:noProof/>
          <w:lang w:val="fr-FR"/>
        </w:rPr>
        <w:t>infarctus du myocarde à l</w:t>
      </w:r>
      <w:r w:rsidRPr="00BC16EE" w:rsidR="00BC16EE">
        <w:rPr>
          <w:noProof/>
          <w:lang w:val="fr-FR"/>
        </w:rPr>
        <w:t>’</w:t>
      </w:r>
      <w:r w:rsidRPr="00BC16EE">
        <w:rPr>
          <w:noProof/>
          <w:lang w:val="fr-FR"/>
        </w:rPr>
        <w:t>arrivée du patient à l</w:t>
      </w:r>
      <w:r w:rsidRPr="00BC16EE" w:rsidR="00BC16EE">
        <w:rPr>
          <w:noProof/>
          <w:lang w:val="fr-FR"/>
        </w:rPr>
        <w:t>’</w:t>
      </w:r>
      <w:r w:rsidRPr="00BC16EE">
        <w:rPr>
          <w:noProof/>
          <w:lang w:val="fr-FR"/>
        </w:rPr>
        <w:t>hôpital, et qu</w:t>
      </w:r>
      <w:r w:rsidRPr="00BC16EE" w:rsidR="00BC16EE">
        <w:rPr>
          <w:noProof/>
          <w:lang w:val="fr-FR"/>
        </w:rPr>
        <w:t>’</w:t>
      </w:r>
      <w:r w:rsidRPr="00BC16EE">
        <w:rPr>
          <w:noProof/>
          <w:lang w:val="fr-FR"/>
        </w:rPr>
        <w:t>ils avaient diagnostiqué seulement la thrombose veineuse cérébrale et mis en place un traitement médicamenteux. Le conseil d</w:t>
      </w:r>
      <w:r w:rsidRPr="00BC16EE" w:rsidR="00BC16EE">
        <w:rPr>
          <w:noProof/>
          <w:lang w:val="fr-FR"/>
        </w:rPr>
        <w:t>’</w:t>
      </w:r>
      <w:r w:rsidRPr="00BC16EE">
        <w:rPr>
          <w:noProof/>
          <w:lang w:val="fr-FR"/>
        </w:rPr>
        <w:t>experts n</w:t>
      </w:r>
      <w:r w:rsidRPr="00BC16EE">
        <w:rPr>
          <w:noProof/>
          <w:vertAlign w:val="superscript"/>
          <w:lang w:val="fr-FR"/>
        </w:rPr>
        <w:t>o</w:t>
      </w:r>
      <w:r w:rsidRPr="00BC16EE">
        <w:rPr>
          <w:noProof/>
          <w:lang w:val="fr-FR"/>
        </w:rPr>
        <w:t xml:space="preserve"> 3 précisait cependant que, même si </w:t>
      </w:r>
      <w:r w:rsidRPr="00BC16EE">
        <w:rPr>
          <w:lang w:val="fr-FR"/>
        </w:rPr>
        <w:t>l</w:t>
      </w:r>
      <w:r w:rsidRPr="00BC16EE" w:rsidR="00BC16EE">
        <w:rPr>
          <w:lang w:val="fr-FR"/>
        </w:rPr>
        <w:t>’</w:t>
      </w:r>
      <w:r w:rsidRPr="00BC16EE">
        <w:rPr>
          <w:lang w:val="fr-FR"/>
        </w:rPr>
        <w:t>infarctus du myocarde était passé inaperçu, l</w:t>
      </w:r>
      <w:r w:rsidRPr="00BC16EE" w:rsidR="00BC16EE">
        <w:rPr>
          <w:lang w:val="fr-FR"/>
        </w:rPr>
        <w:t>’</w:t>
      </w:r>
      <w:r w:rsidRPr="00BC16EE">
        <w:rPr>
          <w:lang w:val="fr-FR"/>
        </w:rPr>
        <w:t>infarctus cérébral était à lui seul u</w:t>
      </w:r>
      <w:r w:rsidRPr="00BC16EE">
        <w:rPr>
          <w:noProof/>
          <w:lang w:val="fr-FR"/>
        </w:rPr>
        <w:t xml:space="preserve">n accident vasculaire mortel. Il ajoutait que le patient avait effectivement ingéré une substance contenant de </w:t>
      </w:r>
      <w:r w:rsidRPr="00BC16EE">
        <w:rPr>
          <w:lang w:val="fr-FR"/>
        </w:rPr>
        <w:t>l</w:t>
      </w:r>
      <w:r w:rsidRPr="00BC16EE" w:rsidR="00BC16EE">
        <w:rPr>
          <w:lang w:val="fr-FR"/>
        </w:rPr>
        <w:t>’</w:t>
      </w:r>
      <w:r w:rsidRPr="00BC16EE">
        <w:rPr>
          <w:lang w:val="fr-FR"/>
        </w:rPr>
        <w:t>heptane et du toluène, mais qu</w:t>
      </w:r>
      <w:r w:rsidRPr="00BC16EE" w:rsidR="00BC16EE">
        <w:rPr>
          <w:lang w:val="fr-FR"/>
        </w:rPr>
        <w:t>’</w:t>
      </w:r>
      <w:r w:rsidRPr="00BC16EE">
        <w:rPr>
          <w:lang w:val="fr-FR"/>
        </w:rPr>
        <w:t>il n</w:t>
      </w:r>
      <w:r w:rsidRPr="00BC16EE" w:rsidR="00BC16EE">
        <w:rPr>
          <w:lang w:val="fr-FR"/>
        </w:rPr>
        <w:t>’</w:t>
      </w:r>
      <w:r w:rsidRPr="00BC16EE">
        <w:rPr>
          <w:lang w:val="fr-FR"/>
        </w:rPr>
        <w:t>était pas possible d</w:t>
      </w:r>
      <w:r w:rsidRPr="00BC16EE" w:rsidR="00BC16EE">
        <w:rPr>
          <w:lang w:val="fr-FR"/>
        </w:rPr>
        <w:t>’</w:t>
      </w:r>
      <w:r w:rsidRPr="00BC16EE">
        <w:rPr>
          <w:lang w:val="fr-FR"/>
        </w:rPr>
        <w:t>en connaître avec exactitude l</w:t>
      </w:r>
      <w:r w:rsidRPr="00BC16EE" w:rsidR="00BC16EE">
        <w:rPr>
          <w:lang w:val="fr-FR"/>
        </w:rPr>
        <w:t>’</w:t>
      </w:r>
      <w:r w:rsidRPr="00BC16EE">
        <w:rPr>
          <w:lang w:val="fr-FR"/>
        </w:rPr>
        <w:t>effet sur l</w:t>
      </w:r>
      <w:r w:rsidRPr="00BC16EE" w:rsidR="00BC16EE">
        <w:rPr>
          <w:lang w:val="fr-FR"/>
        </w:rPr>
        <w:t>’</w:t>
      </w:r>
      <w:r w:rsidRPr="00BC16EE">
        <w:rPr>
          <w:lang w:val="fr-FR"/>
        </w:rPr>
        <w:t>organisme dans la mesure où il n</w:t>
      </w:r>
      <w:r w:rsidRPr="00BC16EE" w:rsidR="00BC16EE">
        <w:rPr>
          <w:lang w:val="fr-FR"/>
        </w:rPr>
        <w:t>’</w:t>
      </w:r>
      <w:r w:rsidRPr="00BC16EE">
        <w:rPr>
          <w:lang w:val="fr-FR"/>
        </w:rPr>
        <w:t>aurait été possible de déterminer avec précision ni sa quantité ni son origine.</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18</w:t>
      </w:r>
      <w:r w:rsidRPr="00BC16EE">
        <w:fldChar w:fldCharType="end"/>
      </w:r>
      <w:r w:rsidRPr="00BC16EE">
        <w:rPr>
          <w:lang w:val="fr-FR"/>
        </w:rPr>
        <w:t>.  Par un acte d</w:t>
      </w:r>
      <w:r w:rsidRPr="00BC16EE" w:rsidR="00BC16EE">
        <w:rPr>
          <w:lang w:val="fr-FR"/>
        </w:rPr>
        <w:t>’</w:t>
      </w:r>
      <w:r w:rsidRPr="00BC16EE">
        <w:rPr>
          <w:lang w:val="fr-FR"/>
        </w:rPr>
        <w:t xml:space="preserve">accusation du 24 avril 2006, le procureur de la République de </w:t>
      </w:r>
      <w:proofErr w:type="spellStart"/>
      <w:r w:rsidRPr="00BC16EE">
        <w:rPr>
          <w:lang w:val="fr-FR"/>
        </w:rPr>
        <w:t>Fatih</w:t>
      </w:r>
      <w:proofErr w:type="spellEnd"/>
      <w:r w:rsidRPr="00BC16EE">
        <w:rPr>
          <w:lang w:val="fr-FR"/>
        </w:rPr>
        <w:t xml:space="preserve"> inculpa le personnel médical du service de neurologie de l</w:t>
      </w:r>
      <w:r w:rsidRPr="00BC16EE" w:rsidR="00BC16EE">
        <w:rPr>
          <w:lang w:val="fr-FR"/>
        </w:rPr>
        <w:t>’</w:t>
      </w:r>
      <w:r w:rsidRPr="00BC16EE">
        <w:rPr>
          <w:lang w:val="fr-FR"/>
        </w:rPr>
        <w:t>hôpital de négligence dans l</w:t>
      </w:r>
      <w:r w:rsidRPr="00BC16EE" w:rsidR="00BC16EE">
        <w:rPr>
          <w:lang w:val="fr-FR"/>
        </w:rPr>
        <w:t>’</w:t>
      </w:r>
      <w:r w:rsidRPr="00BC16EE">
        <w:rPr>
          <w:lang w:val="fr-FR"/>
        </w:rPr>
        <w:t>exercice de leur profession.</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19</w:t>
      </w:r>
      <w:r w:rsidRPr="00BC16EE">
        <w:fldChar w:fldCharType="end"/>
      </w:r>
      <w:r w:rsidRPr="00BC16EE">
        <w:rPr>
          <w:lang w:val="fr-FR"/>
        </w:rPr>
        <w:t>.  </w:t>
      </w:r>
      <w:r w:rsidRPr="00BC16EE">
        <w:rPr>
          <w:rFonts w:cstheme="minorHAnsi"/>
          <w:lang w:val="fr-FR"/>
        </w:rPr>
        <w:t>À</w:t>
      </w:r>
      <w:r w:rsidRPr="00BC16EE">
        <w:rPr>
          <w:lang w:val="fr-FR"/>
        </w:rPr>
        <w:t xml:space="preserve"> l</w:t>
      </w:r>
      <w:r w:rsidRPr="00BC16EE" w:rsidR="00BC16EE">
        <w:rPr>
          <w:lang w:val="fr-FR"/>
        </w:rPr>
        <w:t>’</w:t>
      </w:r>
      <w:r w:rsidRPr="00BC16EE">
        <w:rPr>
          <w:lang w:val="fr-FR"/>
        </w:rPr>
        <w:t>issue de l</w:t>
      </w:r>
      <w:r w:rsidRPr="00BC16EE" w:rsidR="00BC16EE">
        <w:rPr>
          <w:lang w:val="fr-FR"/>
        </w:rPr>
        <w:t>’</w:t>
      </w:r>
      <w:r w:rsidRPr="00BC16EE">
        <w:rPr>
          <w:lang w:val="fr-FR"/>
        </w:rPr>
        <w:t xml:space="preserve">audience du 17 novembre 2008, le tribunal correctionnel de </w:t>
      </w:r>
      <w:proofErr w:type="spellStart"/>
      <w:r w:rsidRPr="00BC16EE">
        <w:rPr>
          <w:lang w:val="fr-FR"/>
        </w:rPr>
        <w:t>Fatih</w:t>
      </w:r>
      <w:proofErr w:type="spellEnd"/>
      <w:r w:rsidRPr="00BC16EE">
        <w:rPr>
          <w:lang w:val="fr-FR"/>
        </w:rPr>
        <w:t xml:space="preserve"> ordonna au Conseil supérieur de la santé la réalisation d</w:t>
      </w:r>
      <w:r w:rsidRPr="00BC16EE" w:rsidR="00BC16EE">
        <w:rPr>
          <w:lang w:val="fr-FR"/>
        </w:rPr>
        <w:t>’</w:t>
      </w:r>
      <w:r w:rsidRPr="00BC16EE">
        <w:rPr>
          <w:lang w:val="fr-FR"/>
        </w:rPr>
        <w:t>une expertise médicale.</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20</w:t>
      </w:r>
      <w:r w:rsidRPr="00BC16EE">
        <w:fldChar w:fldCharType="end"/>
      </w:r>
      <w:r w:rsidRPr="00BC16EE">
        <w:rPr>
          <w:lang w:val="fr-FR"/>
        </w:rPr>
        <w:t>.  Le Conseil supérieur de la santé se réunit les 10 et 11 décembre 2009 et conclut que les prévenus n</w:t>
      </w:r>
      <w:r w:rsidRPr="00BC16EE" w:rsidR="00BC16EE">
        <w:rPr>
          <w:lang w:val="fr-FR"/>
        </w:rPr>
        <w:t>’</w:t>
      </w:r>
      <w:r w:rsidRPr="00BC16EE">
        <w:rPr>
          <w:lang w:val="fr-FR"/>
        </w:rPr>
        <w:t>avaient commis aucune faute dans l</w:t>
      </w:r>
      <w:r w:rsidRPr="00BC16EE" w:rsidR="00BC16EE">
        <w:rPr>
          <w:lang w:val="fr-FR"/>
        </w:rPr>
        <w:t>’</w:t>
      </w:r>
      <w:r w:rsidRPr="00BC16EE">
        <w:rPr>
          <w:lang w:val="fr-FR"/>
        </w:rPr>
        <w:t>exercice de leur profession. Il exposa que le décès était dû à un infarctus du myocarde et un infarctus cérébral, ainsi qu</w:t>
      </w:r>
      <w:r w:rsidRPr="00BC16EE" w:rsidR="00BC16EE">
        <w:rPr>
          <w:lang w:val="fr-FR"/>
        </w:rPr>
        <w:t>’</w:t>
      </w:r>
      <w:r w:rsidRPr="00BC16EE">
        <w:rPr>
          <w:lang w:val="fr-FR"/>
        </w:rPr>
        <w:t>à une intoxication par une substance contenant de l</w:t>
      </w:r>
      <w:r w:rsidRPr="00BC16EE" w:rsidR="00BC16EE">
        <w:rPr>
          <w:lang w:val="fr-FR"/>
        </w:rPr>
        <w:t>’</w:t>
      </w:r>
      <w:r w:rsidRPr="00BC16EE">
        <w:rPr>
          <w:lang w:val="fr-FR"/>
        </w:rPr>
        <w:t>heptane et du toluène ayant causé une nécrose dans la paroi de l</w:t>
      </w:r>
      <w:r w:rsidRPr="00BC16EE" w:rsidR="00BC16EE">
        <w:rPr>
          <w:lang w:val="fr-FR"/>
        </w:rPr>
        <w:t>’</w:t>
      </w:r>
      <w:r w:rsidRPr="00BC16EE">
        <w:rPr>
          <w:lang w:val="fr-FR"/>
        </w:rPr>
        <w:t>estomac. Selon les experts, cette substance n</w:t>
      </w:r>
      <w:r w:rsidRPr="00BC16EE" w:rsidR="00BC16EE">
        <w:rPr>
          <w:lang w:val="fr-FR"/>
        </w:rPr>
        <w:t>’</w:t>
      </w:r>
      <w:r w:rsidRPr="00BC16EE">
        <w:rPr>
          <w:lang w:val="fr-FR"/>
        </w:rPr>
        <w:t>avait pas été injectée à l</w:t>
      </w:r>
      <w:r w:rsidRPr="00BC16EE" w:rsidR="00BC16EE">
        <w:rPr>
          <w:lang w:val="fr-FR"/>
        </w:rPr>
        <w:t>’</w:t>
      </w:r>
      <w:r w:rsidRPr="00BC16EE">
        <w:rPr>
          <w:lang w:val="fr-FR"/>
        </w:rPr>
        <w:t>hôpital, mais elle avait certainement été ingérée par le patient avant son hospitalisation. En outre, selon eux, le tableau clinique relatif aux infarctus avait masqué les autres problèmes et empêché de poser le diagnostic d</w:t>
      </w:r>
      <w:r w:rsidRPr="00BC16EE" w:rsidR="00BC16EE">
        <w:rPr>
          <w:lang w:val="fr-FR"/>
        </w:rPr>
        <w:t>’</w:t>
      </w:r>
      <w:r w:rsidRPr="00BC16EE">
        <w:rPr>
          <w:lang w:val="fr-FR"/>
        </w:rPr>
        <w:t>intoxication, et ce d</w:t>
      </w:r>
      <w:r w:rsidRPr="00BC16EE" w:rsidR="00BC16EE">
        <w:rPr>
          <w:lang w:val="fr-FR"/>
        </w:rPr>
        <w:t>’</w:t>
      </w:r>
      <w:r w:rsidRPr="00BC16EE">
        <w:rPr>
          <w:lang w:val="fr-FR"/>
        </w:rPr>
        <w:t>autant qu</w:t>
      </w:r>
      <w:r w:rsidRPr="00BC16EE" w:rsidR="00BC16EE">
        <w:rPr>
          <w:lang w:val="fr-FR"/>
        </w:rPr>
        <w:t>’</w:t>
      </w:r>
      <w:r w:rsidRPr="00BC16EE">
        <w:rPr>
          <w:lang w:val="fr-FR"/>
        </w:rPr>
        <w:t>il n</w:t>
      </w:r>
      <w:r w:rsidRPr="00BC16EE" w:rsidR="00BC16EE">
        <w:rPr>
          <w:lang w:val="fr-FR"/>
        </w:rPr>
        <w:t>’</w:t>
      </w:r>
      <w:r w:rsidRPr="00BC16EE">
        <w:rPr>
          <w:lang w:val="fr-FR"/>
        </w:rPr>
        <w:t>y aurait eu aucune doléance dans ce sens.</w:t>
      </w:r>
    </w:p>
    <w:p w:rsidRPr="00BC16EE" w:rsidR="00C96842" w:rsidP="00BC16EE" w:rsidRDefault="00C96842">
      <w:pPr>
        <w:pStyle w:val="ECHRPara"/>
        <w:rPr>
          <w:noProof/>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21</w:t>
      </w:r>
      <w:r w:rsidRPr="00BC16EE">
        <w:fldChar w:fldCharType="end"/>
      </w:r>
      <w:r w:rsidRPr="00BC16EE">
        <w:rPr>
          <w:lang w:val="fr-FR"/>
        </w:rPr>
        <w:t>.  Le 3 mai 2010, le tribunal correctionnel, se fondant sur le rapport du Conseil supérieur de la santé, acquitta les prévenus conformément aux réquisitions du procureur</w:t>
      </w:r>
      <w:r w:rsidRPr="00BC16EE">
        <w:rPr>
          <w:noProof/>
          <w:lang w:val="fr-FR"/>
        </w:rPr>
        <w:t>.</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22</w:t>
      </w:r>
      <w:r w:rsidRPr="00BC16EE">
        <w:fldChar w:fldCharType="end"/>
      </w:r>
      <w:r w:rsidRPr="00BC16EE">
        <w:rPr>
          <w:lang w:val="fr-FR"/>
        </w:rPr>
        <w:t>.  Le 20 mars 2012, la Cour de cassation confirma ce jugement.</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23</w:t>
      </w:r>
      <w:r w:rsidRPr="00BC16EE">
        <w:fldChar w:fldCharType="end"/>
      </w:r>
      <w:r w:rsidRPr="00BC16EE">
        <w:rPr>
          <w:lang w:val="fr-FR"/>
        </w:rPr>
        <w:t>.  Entre-temps, le 13 juillet 2004, les requérantes avaient introduit devant le tribunal de grande instance d</w:t>
      </w:r>
      <w:r w:rsidRPr="00BC16EE" w:rsidR="00BC16EE">
        <w:rPr>
          <w:lang w:val="fr-FR"/>
        </w:rPr>
        <w:t>’</w:t>
      </w:r>
      <w:r w:rsidRPr="00BC16EE">
        <w:rPr>
          <w:lang w:val="fr-FR"/>
        </w:rPr>
        <w:t>Istanbul une action en dommages et intérêts contre l</w:t>
      </w:r>
      <w:r w:rsidRPr="00BC16EE" w:rsidR="00BC16EE">
        <w:rPr>
          <w:lang w:val="fr-FR"/>
        </w:rPr>
        <w:t>’</w:t>
      </w:r>
      <w:r w:rsidRPr="00BC16EE">
        <w:rPr>
          <w:lang w:val="fr-FR"/>
        </w:rPr>
        <w:t>hôpital et le personnel médical mis en cause lors de l</w:t>
      </w:r>
      <w:r w:rsidRPr="00BC16EE" w:rsidR="00BC16EE">
        <w:rPr>
          <w:lang w:val="fr-FR"/>
        </w:rPr>
        <w:t>’</w:t>
      </w:r>
      <w:r w:rsidRPr="00BC16EE">
        <w:rPr>
          <w:lang w:val="fr-FR"/>
        </w:rPr>
        <w:t>enquête pénale.</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24</w:t>
      </w:r>
      <w:r w:rsidRPr="00BC16EE">
        <w:fldChar w:fldCharType="end"/>
      </w:r>
      <w:r w:rsidRPr="00BC16EE">
        <w:rPr>
          <w:lang w:val="fr-FR"/>
        </w:rPr>
        <w:t>.  Après avoir entendu les parties, le tribunal de grande instance décida de surseoir à statuer dans l</w:t>
      </w:r>
      <w:r w:rsidRPr="00BC16EE" w:rsidR="00BC16EE">
        <w:rPr>
          <w:lang w:val="fr-FR"/>
        </w:rPr>
        <w:t>’</w:t>
      </w:r>
      <w:r w:rsidRPr="00BC16EE">
        <w:rPr>
          <w:lang w:val="fr-FR"/>
        </w:rPr>
        <w:t>attente de l</w:t>
      </w:r>
      <w:r w:rsidRPr="00BC16EE" w:rsidR="00BC16EE">
        <w:rPr>
          <w:lang w:val="fr-FR"/>
        </w:rPr>
        <w:t>’</w:t>
      </w:r>
      <w:r w:rsidRPr="00BC16EE">
        <w:rPr>
          <w:lang w:val="fr-FR"/>
        </w:rPr>
        <w:t>issue de la procédure pénale.</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25</w:t>
      </w:r>
      <w:r w:rsidRPr="00BC16EE">
        <w:fldChar w:fldCharType="end"/>
      </w:r>
      <w:r w:rsidRPr="00BC16EE">
        <w:rPr>
          <w:lang w:val="fr-FR"/>
        </w:rPr>
        <w:t>.  Le 13 novembre 2013, faisant référence à l</w:t>
      </w:r>
      <w:r w:rsidRPr="00BC16EE" w:rsidR="00BC16EE">
        <w:rPr>
          <w:lang w:val="fr-FR"/>
        </w:rPr>
        <w:t>’</w:t>
      </w:r>
      <w:r w:rsidRPr="00BC16EE">
        <w:rPr>
          <w:lang w:val="fr-FR"/>
        </w:rPr>
        <w:t>issue de la procédure pénale et aux rapports d</w:t>
      </w:r>
      <w:r w:rsidRPr="00BC16EE" w:rsidR="00BC16EE">
        <w:rPr>
          <w:lang w:val="fr-FR"/>
        </w:rPr>
        <w:t>’</w:t>
      </w:r>
      <w:r w:rsidRPr="00BC16EE">
        <w:rPr>
          <w:lang w:val="fr-FR"/>
        </w:rPr>
        <w:t>expertise recueillis lors de cette procédure, le tribunal de grande instance débouta les requérantes de leur demande en indemnisation dirigée contre le personnel médical. Il précisa que, s</w:t>
      </w:r>
      <w:r w:rsidRPr="00BC16EE" w:rsidR="00BC16EE">
        <w:rPr>
          <w:lang w:val="fr-FR"/>
        </w:rPr>
        <w:t>’</w:t>
      </w:r>
      <w:r w:rsidRPr="00BC16EE">
        <w:rPr>
          <w:lang w:val="fr-FR"/>
        </w:rPr>
        <w:t>agissant de leur demande en indemnisation dirigée contre l</w:t>
      </w:r>
      <w:r w:rsidRPr="00BC16EE" w:rsidR="00BC16EE">
        <w:rPr>
          <w:lang w:val="fr-FR"/>
        </w:rPr>
        <w:t>’</w:t>
      </w:r>
      <w:r w:rsidRPr="00BC16EE">
        <w:rPr>
          <w:lang w:val="fr-FR"/>
        </w:rPr>
        <w:t>hôpital, les requérantes auraient dû introduire leur requête devant le tribunal administratif.</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26</w:t>
      </w:r>
      <w:r w:rsidRPr="00BC16EE">
        <w:fldChar w:fldCharType="end"/>
      </w:r>
      <w:r w:rsidRPr="00BC16EE">
        <w:rPr>
          <w:lang w:val="fr-FR"/>
        </w:rPr>
        <w:t>.  Les requérantes se pourvurent en cassation de ce jugement.</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27</w:t>
      </w:r>
      <w:r w:rsidRPr="00BC16EE">
        <w:fldChar w:fldCharType="end"/>
      </w:r>
      <w:r w:rsidRPr="00BC16EE">
        <w:rPr>
          <w:lang w:val="fr-FR"/>
        </w:rPr>
        <w:t>.  Cette procédure est toujours pendante devant la Cour de cassation.</w:t>
      </w:r>
    </w:p>
    <w:p w:rsidRPr="00BC16EE" w:rsidR="00C96842" w:rsidP="00BC16EE" w:rsidRDefault="00C96842">
      <w:pPr>
        <w:pStyle w:val="ECHRTitle1"/>
        <w:rPr>
          <w:lang w:val="fr-FR"/>
        </w:rPr>
      </w:pPr>
      <w:r w:rsidRPr="00BC16EE">
        <w:rPr>
          <w:lang w:val="fr-FR"/>
        </w:rPr>
        <w:t>EN DROIT</w:t>
      </w:r>
    </w:p>
    <w:p w:rsidRPr="00BC16EE" w:rsidR="00C96842" w:rsidP="00BC16EE" w:rsidRDefault="00C96842">
      <w:pPr>
        <w:pStyle w:val="ECHRHeading1"/>
        <w:rPr>
          <w:lang w:val="fr-FR"/>
        </w:rPr>
      </w:pPr>
      <w:r w:rsidRPr="00BC16EE">
        <w:rPr>
          <w:lang w:val="fr-FR"/>
        </w:rPr>
        <w:t>I.  SUR LA VIOLATION ALLÉGUÉE DE L</w:t>
      </w:r>
      <w:r w:rsidRPr="00BC16EE" w:rsidR="00BC16EE">
        <w:rPr>
          <w:lang w:val="fr-FR"/>
        </w:rPr>
        <w:t>’</w:t>
      </w:r>
      <w:r w:rsidRPr="00BC16EE">
        <w:rPr>
          <w:lang w:val="fr-FR"/>
        </w:rPr>
        <w:t>ARTICLE 2 DE LA CONVENTION</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28</w:t>
      </w:r>
      <w:r w:rsidRPr="00BC16EE">
        <w:fldChar w:fldCharType="end"/>
      </w:r>
      <w:r w:rsidRPr="00BC16EE">
        <w:rPr>
          <w:lang w:val="fr-FR"/>
        </w:rPr>
        <w:t>.  Invoquant l</w:t>
      </w:r>
      <w:r w:rsidRPr="00BC16EE" w:rsidR="00BC16EE">
        <w:rPr>
          <w:lang w:val="fr-FR"/>
        </w:rPr>
        <w:t>’</w:t>
      </w:r>
      <w:r w:rsidRPr="00BC16EE">
        <w:rPr>
          <w:lang w:val="fr-FR"/>
        </w:rPr>
        <w:t>article 2 de la Convention, les requérantes se plaignent des circonstances du décès de leur proche. Elles estiment aussi que leur cause n</w:t>
      </w:r>
      <w:r w:rsidRPr="00BC16EE" w:rsidR="00BC16EE">
        <w:rPr>
          <w:lang w:val="fr-FR"/>
        </w:rPr>
        <w:t>’</w:t>
      </w:r>
      <w:r w:rsidRPr="00BC16EE">
        <w:rPr>
          <w:lang w:val="fr-FR"/>
        </w:rPr>
        <w:t>a pas été entendue équitablement et dans un délai raisonnable au sens de l</w:t>
      </w:r>
      <w:r w:rsidRPr="00BC16EE" w:rsidR="00BC16EE">
        <w:rPr>
          <w:lang w:val="fr-FR"/>
        </w:rPr>
        <w:t>’</w:t>
      </w:r>
      <w:r w:rsidRPr="00BC16EE">
        <w:rPr>
          <w:lang w:val="fr-FR"/>
        </w:rPr>
        <w:t>article 6 de la Convention par les tribunaux internes, de sorte qu</w:t>
      </w:r>
      <w:r w:rsidRPr="00BC16EE" w:rsidR="00BC16EE">
        <w:rPr>
          <w:lang w:val="fr-FR"/>
        </w:rPr>
        <w:t>’</w:t>
      </w:r>
      <w:r w:rsidRPr="00BC16EE">
        <w:rPr>
          <w:lang w:val="fr-FR"/>
        </w:rPr>
        <w:t>elles n</w:t>
      </w:r>
      <w:r w:rsidRPr="00BC16EE" w:rsidR="00BC16EE">
        <w:rPr>
          <w:lang w:val="fr-FR"/>
        </w:rPr>
        <w:t>’</w:t>
      </w:r>
      <w:r w:rsidRPr="00BC16EE">
        <w:rPr>
          <w:lang w:val="fr-FR"/>
        </w:rPr>
        <w:t>auraient pas pu bénéficier d</w:t>
      </w:r>
      <w:r w:rsidRPr="00BC16EE" w:rsidR="00BC16EE">
        <w:rPr>
          <w:lang w:val="fr-FR"/>
        </w:rPr>
        <w:t>’</w:t>
      </w:r>
      <w:r w:rsidRPr="00BC16EE">
        <w:rPr>
          <w:lang w:val="fr-FR"/>
        </w:rPr>
        <w:t>un recours effectif.</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29</w:t>
      </w:r>
      <w:r w:rsidRPr="00BC16EE">
        <w:fldChar w:fldCharType="end"/>
      </w:r>
      <w:r w:rsidRPr="00BC16EE">
        <w:rPr>
          <w:lang w:val="fr-FR"/>
        </w:rPr>
        <w:t>.  Le Gouvernement récuse ces griefs.</w:t>
      </w:r>
      <w:bookmarkStart w:name="OLE_LINK1" w:id="1"/>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30</w:t>
      </w:r>
      <w:r w:rsidRPr="00BC16EE">
        <w:fldChar w:fldCharType="end"/>
      </w:r>
      <w:r w:rsidRPr="00BC16EE">
        <w:rPr>
          <w:lang w:val="fr-FR"/>
        </w:rPr>
        <w:t xml:space="preserve">.  La Cour estime que </w:t>
      </w:r>
      <w:bookmarkEnd w:id="1"/>
      <w:r w:rsidRPr="00BC16EE">
        <w:rPr>
          <w:lang w:val="fr-FR"/>
        </w:rPr>
        <w:t>l</w:t>
      </w:r>
      <w:r w:rsidRPr="00BC16EE" w:rsidR="00BC16EE">
        <w:rPr>
          <w:lang w:val="fr-FR"/>
        </w:rPr>
        <w:t>’</w:t>
      </w:r>
      <w:r w:rsidRPr="00BC16EE">
        <w:rPr>
          <w:lang w:val="fr-FR"/>
        </w:rPr>
        <w:t>ensemble des griefs des requérantes appelle un examen sur le seul terrain de l</w:t>
      </w:r>
      <w:r w:rsidRPr="00BC16EE" w:rsidR="00BC16EE">
        <w:rPr>
          <w:lang w:val="fr-FR"/>
        </w:rPr>
        <w:t>’</w:t>
      </w:r>
      <w:r w:rsidRPr="00BC16EE">
        <w:rPr>
          <w:lang w:val="fr-FR"/>
        </w:rPr>
        <w:t>article 2 de la Convention, ainsi libellé dans sa partie pertinente en l</w:t>
      </w:r>
      <w:r w:rsidRPr="00BC16EE" w:rsidR="00BC16EE">
        <w:rPr>
          <w:lang w:val="fr-FR"/>
        </w:rPr>
        <w:t>’</w:t>
      </w:r>
      <w:r w:rsidRPr="00BC16EE">
        <w:rPr>
          <w:lang w:val="fr-FR"/>
        </w:rPr>
        <w:t>espèce :</w:t>
      </w:r>
    </w:p>
    <w:p w:rsidRPr="00BC16EE" w:rsidR="00C96842" w:rsidP="00BC16EE" w:rsidRDefault="00C96842">
      <w:pPr>
        <w:pStyle w:val="ECHRParaQuote"/>
        <w:rPr>
          <w:lang w:val="fr-FR"/>
        </w:rPr>
      </w:pPr>
      <w:r w:rsidRPr="00BC16EE">
        <w:rPr>
          <w:lang w:val="fr-FR"/>
        </w:rPr>
        <w:t>« 1.  Le droit de toute personne à la vie est protégé par la loi. »</w:t>
      </w:r>
    </w:p>
    <w:p w:rsidRPr="00BC16EE" w:rsidR="00C96842" w:rsidP="00BC16EE" w:rsidRDefault="00C96842">
      <w:pPr>
        <w:pStyle w:val="ECHRHeading2"/>
        <w:rPr>
          <w:lang w:val="fr-FR"/>
        </w:rPr>
      </w:pPr>
      <w:r w:rsidRPr="00BC16EE">
        <w:rPr>
          <w:lang w:val="fr-FR"/>
        </w:rPr>
        <w:t>A.  Sur la recevabilité</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31</w:t>
      </w:r>
      <w:r w:rsidRPr="00BC16EE">
        <w:fldChar w:fldCharType="end"/>
      </w:r>
      <w:r w:rsidRPr="00BC16EE">
        <w:rPr>
          <w:lang w:val="fr-FR"/>
        </w:rPr>
        <w:t>.  Le Gouvernement excipe du non-épuisement des voies de recours internes. Il indique à cet égard que la procédure est pendante devant la Cour de cassation et que les requérantes ont désormais la possibilité d</w:t>
      </w:r>
      <w:r w:rsidRPr="00BC16EE" w:rsidR="00BC16EE">
        <w:rPr>
          <w:lang w:val="fr-FR"/>
        </w:rPr>
        <w:t>’</w:t>
      </w:r>
      <w:r w:rsidRPr="00BC16EE">
        <w:rPr>
          <w:lang w:val="fr-FR"/>
        </w:rPr>
        <w:t>introduire un recours individuel devant la Cour constitutionnelle.</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32</w:t>
      </w:r>
      <w:r w:rsidRPr="00BC16EE">
        <w:fldChar w:fldCharType="end"/>
      </w:r>
      <w:r w:rsidRPr="00BC16EE">
        <w:rPr>
          <w:lang w:val="fr-FR"/>
        </w:rPr>
        <w:t>.  La Cour considère que, dans les circonstances de la cause, l</w:t>
      </w:r>
      <w:r w:rsidRPr="00BC16EE" w:rsidR="00BC16EE">
        <w:rPr>
          <w:lang w:val="fr-FR"/>
        </w:rPr>
        <w:t>’</w:t>
      </w:r>
      <w:r w:rsidRPr="00BC16EE">
        <w:rPr>
          <w:lang w:val="fr-FR"/>
        </w:rPr>
        <w:t>exception de non-épuisement des voies de recours internes est étroitement liée à la substance des griefs des requérantes tirés de l</w:t>
      </w:r>
      <w:r w:rsidRPr="00BC16EE" w:rsidR="00BC16EE">
        <w:rPr>
          <w:lang w:val="fr-FR"/>
        </w:rPr>
        <w:t>’</w:t>
      </w:r>
      <w:r w:rsidRPr="00BC16EE">
        <w:rPr>
          <w:lang w:val="fr-FR"/>
        </w:rPr>
        <w:t>article 2 de la Convention et qu</w:t>
      </w:r>
      <w:r w:rsidRPr="00BC16EE" w:rsidR="00BC16EE">
        <w:rPr>
          <w:lang w:val="fr-FR"/>
        </w:rPr>
        <w:t>’</w:t>
      </w:r>
      <w:r w:rsidRPr="00BC16EE">
        <w:rPr>
          <w:lang w:val="fr-FR"/>
        </w:rPr>
        <w:t>elle doit donc être jointe au fond.</w:t>
      </w:r>
    </w:p>
    <w:p w:rsidRPr="00BC16EE" w:rsidR="00C96842" w:rsidP="00BC16EE" w:rsidRDefault="00C96842">
      <w:pPr>
        <w:pStyle w:val="ECHRPara"/>
        <w:rPr>
          <w:lang w:val="fr-FR"/>
        </w:rPr>
      </w:pPr>
      <w:r w:rsidRPr="00BC16EE">
        <w:rPr>
          <w:lang w:val="fr-FR"/>
        </w:rPr>
        <w:t>Elle relève en outre que ces griefs ne se heurtent à aucun autre motif d</w:t>
      </w:r>
      <w:r w:rsidRPr="00BC16EE" w:rsidR="00BC16EE">
        <w:rPr>
          <w:lang w:val="fr-FR"/>
        </w:rPr>
        <w:t>’</w:t>
      </w:r>
      <w:r w:rsidRPr="00BC16EE">
        <w:rPr>
          <w:lang w:val="fr-FR"/>
        </w:rPr>
        <w:t>irrecevabilité.</w:t>
      </w:r>
    </w:p>
    <w:p w:rsidRPr="00BC16EE" w:rsidR="00C96842" w:rsidP="00BC16EE" w:rsidRDefault="00C96842">
      <w:pPr>
        <w:pStyle w:val="ECHRHeading2"/>
        <w:rPr>
          <w:lang w:val="fr-FR"/>
        </w:rPr>
      </w:pPr>
      <w:r w:rsidRPr="00BC16EE">
        <w:rPr>
          <w:lang w:val="fr-FR"/>
        </w:rPr>
        <w:t>B.  Sur le fond</w:t>
      </w:r>
    </w:p>
    <w:p w:rsidRPr="00BC16EE" w:rsidR="00C96842" w:rsidP="00BC16EE" w:rsidRDefault="00C96842">
      <w:pPr>
        <w:pStyle w:val="ECHRHeading3"/>
        <w:rPr>
          <w:lang w:val="fr-FR"/>
        </w:rPr>
      </w:pPr>
      <w:r w:rsidRPr="00BC16EE">
        <w:rPr>
          <w:lang w:val="fr-FR"/>
        </w:rPr>
        <w:t>1.</w:t>
      </w:r>
      <w:r w:rsidRPr="00BC16EE">
        <w:rPr>
          <w:i w:val="0"/>
          <w:lang w:val="fr-FR"/>
        </w:rPr>
        <w:t>  </w:t>
      </w:r>
      <w:r w:rsidRPr="00BC16EE">
        <w:rPr>
          <w:lang w:val="fr-FR"/>
        </w:rPr>
        <w:t>Arguments des parties</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33</w:t>
      </w:r>
      <w:r w:rsidRPr="00BC16EE">
        <w:fldChar w:fldCharType="end"/>
      </w:r>
      <w:r w:rsidRPr="00BC16EE">
        <w:rPr>
          <w:lang w:val="fr-FR"/>
        </w:rPr>
        <w:t>.  Les requérantes tiennent les autorités hospitalières pour responsables du décès de leur proche. Selon elles, le décès est le résultat de négligences médicales commises par le personnel hospitalier dans la pratique de sa profession. Les requérantes ajoutent que la bouteille d</w:t>
      </w:r>
      <w:r w:rsidRPr="00BC16EE" w:rsidR="00BC16EE">
        <w:rPr>
          <w:lang w:val="fr-FR"/>
        </w:rPr>
        <w:t>’</w:t>
      </w:r>
      <w:r w:rsidRPr="00BC16EE">
        <w:rPr>
          <w:lang w:val="fr-FR"/>
        </w:rPr>
        <w:t>oxygène utilisée lors de la prise en charge de leur proche n</w:t>
      </w:r>
      <w:r w:rsidRPr="00BC16EE" w:rsidR="00BC16EE">
        <w:rPr>
          <w:lang w:val="fr-FR"/>
        </w:rPr>
        <w:t>’</w:t>
      </w:r>
      <w:r w:rsidRPr="00BC16EE">
        <w:rPr>
          <w:lang w:val="fr-FR"/>
        </w:rPr>
        <w:t>a pas fait l</w:t>
      </w:r>
      <w:r w:rsidRPr="00BC16EE" w:rsidR="00BC16EE">
        <w:rPr>
          <w:lang w:val="fr-FR"/>
        </w:rPr>
        <w:t>’</w:t>
      </w:r>
      <w:r w:rsidRPr="00BC16EE">
        <w:rPr>
          <w:lang w:val="fr-FR"/>
        </w:rPr>
        <w:t>objet d</w:t>
      </w:r>
      <w:r w:rsidRPr="00BC16EE" w:rsidR="00BC16EE">
        <w:rPr>
          <w:lang w:val="fr-FR"/>
        </w:rPr>
        <w:t>’</w:t>
      </w:r>
      <w:r w:rsidRPr="00BC16EE">
        <w:rPr>
          <w:lang w:val="fr-FR"/>
        </w:rPr>
        <w:t>un examen de la part des experts. Elles allèguent en outre ne pas avoir disposé d</w:t>
      </w:r>
      <w:r w:rsidRPr="00BC16EE" w:rsidR="00BC16EE">
        <w:rPr>
          <w:lang w:val="fr-FR"/>
        </w:rPr>
        <w:t>’</w:t>
      </w:r>
      <w:r w:rsidRPr="00BC16EE">
        <w:rPr>
          <w:lang w:val="fr-FR"/>
        </w:rPr>
        <w:t>une voie de recours qui eût permis de déterminer les éventuelles responsabilités. Elles soutiennent en particulier que la procédure pénale a été ineffective en raison notamment de sa durée.</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34</w:t>
      </w:r>
      <w:r w:rsidRPr="00BC16EE">
        <w:fldChar w:fldCharType="end"/>
      </w:r>
      <w:r w:rsidRPr="00BC16EE">
        <w:rPr>
          <w:lang w:val="fr-FR"/>
        </w:rPr>
        <w:t>.  Le Gouvernement conteste cette thèse. Il indique que l</w:t>
      </w:r>
      <w:r w:rsidRPr="00BC16EE" w:rsidR="00BC16EE">
        <w:rPr>
          <w:lang w:val="fr-FR"/>
        </w:rPr>
        <w:t>’</w:t>
      </w:r>
      <w:r w:rsidRPr="00BC16EE">
        <w:rPr>
          <w:lang w:val="fr-FR"/>
        </w:rPr>
        <w:t xml:space="preserve">enquête pénale a permis de déterminer la cause du décès de </w:t>
      </w:r>
      <w:proofErr w:type="spellStart"/>
      <w:r w:rsidRPr="00BC16EE">
        <w:rPr>
          <w:lang w:val="fr-FR"/>
        </w:rPr>
        <w:t>Nayim</w:t>
      </w:r>
      <w:proofErr w:type="spellEnd"/>
      <w:r w:rsidRPr="00BC16EE">
        <w:rPr>
          <w:lang w:val="fr-FR"/>
        </w:rPr>
        <w:t xml:space="preserve"> </w:t>
      </w:r>
      <w:proofErr w:type="spellStart"/>
      <w:r w:rsidRPr="00BC16EE">
        <w:rPr>
          <w:lang w:val="fr-FR"/>
        </w:rPr>
        <w:t>Yirdem</w:t>
      </w:r>
      <w:proofErr w:type="spellEnd"/>
      <w:r w:rsidRPr="00BC16EE">
        <w:rPr>
          <w:lang w:val="fr-FR"/>
        </w:rPr>
        <w:t>, qu</w:t>
      </w:r>
      <w:r w:rsidRPr="00BC16EE" w:rsidR="00BC16EE">
        <w:rPr>
          <w:lang w:val="fr-FR"/>
        </w:rPr>
        <w:t>’</w:t>
      </w:r>
      <w:r w:rsidRPr="00BC16EE">
        <w:rPr>
          <w:lang w:val="fr-FR"/>
        </w:rPr>
        <w:t>aucune des expertises médicales n</w:t>
      </w:r>
      <w:r w:rsidRPr="00BC16EE" w:rsidR="00BC16EE">
        <w:rPr>
          <w:lang w:val="fr-FR"/>
        </w:rPr>
        <w:t>’</w:t>
      </w:r>
      <w:r w:rsidRPr="00BC16EE">
        <w:rPr>
          <w:lang w:val="fr-FR"/>
        </w:rPr>
        <w:t>a confirmé les allégations des requérantes et que toute faute ou négligence médicale dans la survenance du décès a été exclue. Il estime que les circonstances de l</w:t>
      </w:r>
      <w:r w:rsidRPr="00BC16EE" w:rsidR="00BC16EE">
        <w:rPr>
          <w:lang w:val="fr-FR"/>
        </w:rPr>
        <w:t>’</w:t>
      </w:r>
      <w:r w:rsidRPr="00BC16EE">
        <w:rPr>
          <w:lang w:val="fr-FR"/>
        </w:rPr>
        <w:t>espèce ne révèlent aucun manquement de la part des autorités à l</w:t>
      </w:r>
      <w:r w:rsidRPr="00BC16EE" w:rsidR="00BC16EE">
        <w:rPr>
          <w:lang w:val="fr-FR"/>
        </w:rPr>
        <w:t>’</w:t>
      </w:r>
      <w:r w:rsidRPr="00BC16EE">
        <w:rPr>
          <w:lang w:val="fr-FR"/>
        </w:rPr>
        <w:t>obligation procédurale que fait peser sur elles l</w:t>
      </w:r>
      <w:r w:rsidRPr="00BC16EE" w:rsidR="00BC16EE">
        <w:rPr>
          <w:lang w:val="fr-FR"/>
        </w:rPr>
        <w:t>’</w:t>
      </w:r>
      <w:r w:rsidRPr="00BC16EE">
        <w:rPr>
          <w:lang w:val="fr-FR"/>
        </w:rPr>
        <w:t>article 2 de la Convention. De plus, selon le Gouvernement, que la bouteille d</w:t>
      </w:r>
      <w:r w:rsidRPr="00BC16EE" w:rsidR="00BC16EE">
        <w:rPr>
          <w:lang w:val="fr-FR"/>
        </w:rPr>
        <w:t>’</w:t>
      </w:r>
      <w:r w:rsidRPr="00BC16EE">
        <w:rPr>
          <w:lang w:val="fr-FR"/>
        </w:rPr>
        <w:t>oxygène utilisée ait été ou non examinée par les experts ne change pas le constat selon lequel l</w:t>
      </w:r>
      <w:r w:rsidRPr="00BC16EE" w:rsidR="00BC16EE">
        <w:rPr>
          <w:lang w:val="fr-FR"/>
        </w:rPr>
        <w:t>’</w:t>
      </w:r>
      <w:r w:rsidRPr="00BC16EE">
        <w:rPr>
          <w:lang w:val="fr-FR"/>
        </w:rPr>
        <w:t>enquête menée en droit interne a été effective et toutes les mesures nécessaires et appropriées de nature à contribuer à l</w:t>
      </w:r>
      <w:r w:rsidRPr="00BC16EE" w:rsidR="00BC16EE">
        <w:rPr>
          <w:lang w:val="fr-FR"/>
        </w:rPr>
        <w:t>’</w:t>
      </w:r>
      <w:r w:rsidRPr="00BC16EE">
        <w:rPr>
          <w:lang w:val="fr-FR"/>
        </w:rPr>
        <w:t>établissement des faits et à la détermination des responsabilités éventuelles ont été prises. Il indique enfin que les requérantes ont également eu l</w:t>
      </w:r>
      <w:r w:rsidRPr="00BC16EE" w:rsidR="00BC16EE">
        <w:rPr>
          <w:lang w:val="fr-FR"/>
        </w:rPr>
        <w:t>’</w:t>
      </w:r>
      <w:r w:rsidRPr="00BC16EE">
        <w:rPr>
          <w:lang w:val="fr-FR"/>
        </w:rPr>
        <w:t>opportunité de saisir les juridictions civiles d</w:t>
      </w:r>
      <w:r w:rsidRPr="00BC16EE" w:rsidR="00BC16EE">
        <w:rPr>
          <w:lang w:val="fr-FR"/>
        </w:rPr>
        <w:t>’</w:t>
      </w:r>
      <w:r w:rsidRPr="00BC16EE">
        <w:rPr>
          <w:lang w:val="fr-FR"/>
        </w:rPr>
        <w:t>une demande en indemnisation et que cette procédure était la voie de recours appropriée pour faire valoir leurs droits.</w:t>
      </w:r>
    </w:p>
    <w:p w:rsidRPr="00BC16EE" w:rsidR="00C96842" w:rsidP="00BC16EE" w:rsidRDefault="00C96842">
      <w:pPr>
        <w:pStyle w:val="ECHRHeading3"/>
        <w:rPr>
          <w:lang w:val="fr-FR"/>
        </w:rPr>
      </w:pPr>
      <w:r w:rsidRPr="00BC16EE">
        <w:rPr>
          <w:lang w:val="fr-FR"/>
        </w:rPr>
        <w:t>2.</w:t>
      </w:r>
      <w:r w:rsidRPr="00BC16EE">
        <w:rPr>
          <w:i w:val="0"/>
          <w:lang w:val="fr-FR"/>
        </w:rPr>
        <w:t>  </w:t>
      </w:r>
      <w:r w:rsidRPr="00BC16EE">
        <w:rPr>
          <w:lang w:val="fr-FR"/>
        </w:rPr>
        <w:t>Appréciation de la Cour</w:t>
      </w:r>
    </w:p>
    <w:p w:rsidRPr="00BC16EE" w:rsidR="00C96842" w:rsidP="00BC16EE" w:rsidRDefault="00C96842">
      <w:pPr>
        <w:pStyle w:val="ECHRHeading4"/>
        <w:rPr>
          <w:i/>
          <w:lang w:val="fr-FR"/>
        </w:rPr>
      </w:pPr>
      <w:r w:rsidRPr="00BC16EE">
        <w:rPr>
          <w:lang w:val="fr-FR"/>
        </w:rPr>
        <w:t>a)  Principes généraux</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35</w:t>
      </w:r>
      <w:r w:rsidRPr="00BC16EE">
        <w:fldChar w:fldCharType="end"/>
      </w:r>
      <w:r w:rsidRPr="00BC16EE">
        <w:rPr>
          <w:lang w:val="fr-FR"/>
        </w:rPr>
        <w:t xml:space="preserve">.  Pour les principes généraux en la matière, la Cour se référé à son arrêt </w:t>
      </w:r>
      <w:r w:rsidRPr="00BC16EE">
        <w:rPr>
          <w:i/>
          <w:lang w:val="fr-FR"/>
        </w:rPr>
        <w:t>Lopes de Sousa Fernandes c. Portugal</w:t>
      </w:r>
      <w:r w:rsidRPr="00BC16EE">
        <w:rPr>
          <w:lang w:val="fr-FR"/>
        </w:rPr>
        <w:t xml:space="preserve"> [GC], n</w:t>
      </w:r>
      <w:r w:rsidRPr="00BC16EE">
        <w:rPr>
          <w:vertAlign w:val="superscript"/>
          <w:lang w:val="fr-FR"/>
        </w:rPr>
        <w:t>o</w:t>
      </w:r>
      <w:r w:rsidRPr="00BC16EE">
        <w:rPr>
          <w:lang w:val="fr-FR"/>
        </w:rPr>
        <w:t xml:space="preserve"> 56080/13, §§ 185</w:t>
      </w:r>
      <w:r w:rsidRPr="00BC16EE">
        <w:rPr>
          <w:lang w:val="fr-FR"/>
        </w:rPr>
        <w:noBreakHyphen/>
        <w:t>196 et 214</w:t>
      </w:r>
      <w:r w:rsidRPr="00BC16EE">
        <w:rPr>
          <w:lang w:val="fr-FR"/>
        </w:rPr>
        <w:noBreakHyphen/>
        <w:t>221, CEDH 2017).</w:t>
      </w:r>
    </w:p>
    <w:p w:rsidRPr="00BC16EE" w:rsidR="00C96842" w:rsidP="00BC16EE" w:rsidRDefault="00C96842">
      <w:pPr>
        <w:pStyle w:val="ECHRPara"/>
        <w:rPr>
          <w:noProof/>
          <w:lang w:val="fr-FR"/>
        </w:rPr>
      </w:pPr>
      <w:r w:rsidRPr="00BC16EE">
        <w:rPr>
          <w:noProof/>
        </w:rPr>
        <w:fldChar w:fldCharType="begin"/>
      </w:r>
      <w:r w:rsidRPr="00BC16EE">
        <w:rPr>
          <w:noProof/>
          <w:lang w:val="fr-FR"/>
        </w:rPr>
        <w:instrText xml:space="preserve"> SEQ level0 \*arabic </w:instrText>
      </w:r>
      <w:r w:rsidRPr="00BC16EE">
        <w:rPr>
          <w:noProof/>
        </w:rPr>
        <w:fldChar w:fldCharType="separate"/>
      </w:r>
      <w:r w:rsidRPr="00BC16EE" w:rsidR="00BC16EE">
        <w:rPr>
          <w:noProof/>
          <w:lang w:val="fr-FR"/>
        </w:rPr>
        <w:t>36</w:t>
      </w:r>
      <w:r w:rsidRPr="00BC16EE">
        <w:rPr>
          <w:noProof/>
        </w:rPr>
        <w:fldChar w:fldCharType="end"/>
      </w:r>
      <w:r w:rsidRPr="00BC16EE">
        <w:rPr>
          <w:noProof/>
          <w:lang w:val="fr-FR"/>
        </w:rPr>
        <w:t>.  </w:t>
      </w:r>
      <w:r w:rsidRPr="00BC16EE">
        <w:rPr>
          <w:rFonts w:cstheme="minorHAnsi"/>
          <w:noProof/>
          <w:lang w:val="fr-FR"/>
        </w:rPr>
        <w:t>À</w:t>
      </w:r>
      <w:r w:rsidRPr="00BC16EE">
        <w:rPr>
          <w:noProof/>
          <w:lang w:val="fr-FR"/>
        </w:rPr>
        <w:t xml:space="preserve"> cet égard, la Cour rappelle que la première phrase de l</w:t>
      </w:r>
      <w:r w:rsidRPr="00BC16EE" w:rsidR="00BC16EE">
        <w:rPr>
          <w:noProof/>
          <w:lang w:val="fr-FR"/>
        </w:rPr>
        <w:t>’</w:t>
      </w:r>
      <w:r w:rsidRPr="00BC16EE">
        <w:rPr>
          <w:noProof/>
          <w:lang w:val="fr-FR"/>
        </w:rPr>
        <w:t>article 2 de la Convention astreint l</w:t>
      </w:r>
      <w:r w:rsidRPr="00BC16EE" w:rsidR="00BC16EE">
        <w:rPr>
          <w:noProof/>
          <w:lang w:val="fr-FR"/>
        </w:rPr>
        <w:t>’</w:t>
      </w:r>
      <w:r w:rsidRPr="00BC16EE">
        <w:rPr>
          <w:noProof/>
          <w:lang w:val="fr-FR"/>
        </w:rPr>
        <w:t>État non seulement à s</w:t>
      </w:r>
      <w:r w:rsidRPr="00BC16EE" w:rsidR="00BC16EE">
        <w:rPr>
          <w:noProof/>
          <w:lang w:val="fr-FR"/>
        </w:rPr>
        <w:t>’</w:t>
      </w:r>
      <w:r w:rsidRPr="00BC16EE">
        <w:rPr>
          <w:noProof/>
          <w:lang w:val="fr-FR"/>
        </w:rPr>
        <w:t>abstenir de provoquer la mort de manière volontaire et irrégulière, mais aussi à prendre les mesures nécessaires à la protection de la vie des personnes relevant de sa juridiction. Ces principes s</w:t>
      </w:r>
      <w:r w:rsidRPr="00BC16EE" w:rsidR="00BC16EE">
        <w:rPr>
          <w:noProof/>
          <w:lang w:val="fr-FR"/>
        </w:rPr>
        <w:t>’</w:t>
      </w:r>
      <w:r w:rsidRPr="00BC16EE">
        <w:rPr>
          <w:noProof/>
          <w:lang w:val="fr-FR"/>
        </w:rPr>
        <w:t>appliquent également dans le domaine de la santé publique (</w:t>
      </w:r>
      <w:r w:rsidRPr="00BC16EE">
        <w:rPr>
          <w:i/>
          <w:noProof/>
          <w:lang w:val="fr-FR"/>
        </w:rPr>
        <w:t>Calvelli et Ciglio c. Italie</w:t>
      </w:r>
      <w:r w:rsidRPr="00BC16EE">
        <w:rPr>
          <w:noProof/>
          <w:lang w:val="fr-FR"/>
        </w:rPr>
        <w:t xml:space="preserve"> [GC], n</w:t>
      </w:r>
      <w:r w:rsidRPr="00BC16EE">
        <w:rPr>
          <w:noProof/>
          <w:vertAlign w:val="superscript"/>
          <w:lang w:val="fr-FR"/>
        </w:rPr>
        <w:t>o</w:t>
      </w:r>
      <w:r w:rsidRPr="00BC16EE">
        <w:rPr>
          <w:noProof/>
          <w:lang w:val="fr-FR"/>
        </w:rPr>
        <w:t xml:space="preserve"> 32967/96, § 48, CEDH 2002</w:t>
      </w:r>
      <w:r w:rsidRPr="00BC16EE">
        <w:rPr>
          <w:noProof/>
          <w:lang w:val="fr-FR"/>
        </w:rPr>
        <w:noBreakHyphen/>
        <w:t xml:space="preserve">I, et </w:t>
      </w:r>
      <w:r w:rsidRPr="00BC16EE">
        <w:rPr>
          <w:i/>
          <w:noProof/>
          <w:lang w:val="fr-FR"/>
        </w:rPr>
        <w:t>Vo c. France</w:t>
      </w:r>
      <w:r w:rsidRPr="00BC16EE">
        <w:rPr>
          <w:noProof/>
          <w:lang w:val="fr-FR"/>
        </w:rPr>
        <w:t xml:space="preserve"> [GC], n</w:t>
      </w:r>
      <w:r w:rsidRPr="00BC16EE">
        <w:rPr>
          <w:noProof/>
          <w:vertAlign w:val="superscript"/>
          <w:lang w:val="fr-FR"/>
        </w:rPr>
        <w:t>o</w:t>
      </w:r>
      <w:r w:rsidRPr="00BC16EE">
        <w:rPr>
          <w:noProof/>
          <w:lang w:val="fr-FR"/>
        </w:rPr>
        <w:t xml:space="preserve"> 53924/00, § 88, CEDH 2004</w:t>
      </w:r>
      <w:r w:rsidRPr="00BC16EE">
        <w:rPr>
          <w:noProof/>
          <w:lang w:val="fr-FR"/>
        </w:rPr>
        <w:noBreakHyphen/>
        <w:t>VIII).</w:t>
      </w:r>
    </w:p>
    <w:p w:rsidRPr="00BC16EE" w:rsidR="00C96842" w:rsidP="00BC16EE" w:rsidRDefault="00C96842">
      <w:pPr>
        <w:pStyle w:val="ECHRPara"/>
        <w:rPr>
          <w:rFonts w:ascii="Times New Roman" w:hAnsi="Times New Roman" w:eastAsia="Times New Roman" w:cs="Times New Roman"/>
          <w:szCs w:val="24"/>
          <w:lang w:val="fr-FR" w:eastAsia="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37</w:t>
      </w:r>
      <w:r w:rsidRPr="00BC16EE">
        <w:fldChar w:fldCharType="end"/>
      </w:r>
      <w:r w:rsidRPr="00BC16EE">
        <w:rPr>
          <w:lang w:val="fr-FR"/>
        </w:rPr>
        <w:t>.  Toutefois, dès lors qu</w:t>
      </w:r>
      <w:r w:rsidRPr="00BC16EE" w:rsidR="00BC16EE">
        <w:rPr>
          <w:lang w:val="fr-FR"/>
        </w:rPr>
        <w:t>’</w:t>
      </w:r>
      <w:r w:rsidRPr="00BC16EE">
        <w:rPr>
          <w:lang w:val="fr-FR"/>
        </w:rPr>
        <w:t>un État contractant a fait ce qu</w:t>
      </w:r>
      <w:r w:rsidRPr="00BC16EE" w:rsidR="00BC16EE">
        <w:rPr>
          <w:lang w:val="fr-FR"/>
        </w:rPr>
        <w:t>’</w:t>
      </w:r>
      <w:r w:rsidRPr="00BC16EE">
        <w:rPr>
          <w:lang w:val="fr-FR"/>
        </w:rPr>
        <w:t>il fallait pour assurer un haut niveau de compétence chez les professionnels de la santé et pour garantir la protection de la vie des patients, on ne peut admettre que des questions telles qu</w:t>
      </w:r>
      <w:r w:rsidRPr="00BC16EE" w:rsidR="00BC16EE">
        <w:rPr>
          <w:lang w:val="fr-FR"/>
        </w:rPr>
        <w:t>’</w:t>
      </w:r>
      <w:r w:rsidRPr="00BC16EE">
        <w:rPr>
          <w:lang w:val="fr-FR"/>
        </w:rPr>
        <w:t>une erreur de jugement de la part d</w:t>
      </w:r>
      <w:r w:rsidRPr="00BC16EE" w:rsidR="00BC16EE">
        <w:rPr>
          <w:lang w:val="fr-FR"/>
        </w:rPr>
        <w:t>’</w:t>
      </w:r>
      <w:r w:rsidRPr="00BC16EE">
        <w:rPr>
          <w:lang w:val="fr-FR"/>
        </w:rPr>
        <w:t>un professionnel de la santé ou une mauvaise coordination entre des professionnels de la santé dans le cadre du traitement d</w:t>
      </w:r>
      <w:r w:rsidRPr="00BC16EE" w:rsidR="00BC16EE">
        <w:rPr>
          <w:lang w:val="fr-FR"/>
        </w:rPr>
        <w:t>’</w:t>
      </w:r>
      <w:r w:rsidRPr="00BC16EE">
        <w:rPr>
          <w:lang w:val="fr-FR"/>
        </w:rPr>
        <w:t>un patient en particulier suffisent en elles-mêmes à obliger un État contractant à rendre des comptes en vertu de l</w:t>
      </w:r>
      <w:r w:rsidRPr="00BC16EE" w:rsidR="00BC16EE">
        <w:rPr>
          <w:lang w:val="fr-FR"/>
        </w:rPr>
        <w:t>’</w:t>
      </w:r>
      <w:r w:rsidRPr="00BC16EE">
        <w:rPr>
          <w:lang w:val="fr-FR"/>
        </w:rPr>
        <w:t>obligation positive de protéger le droit à la vie qui lui incombait aux termes de l</w:t>
      </w:r>
      <w:r w:rsidRPr="00BC16EE" w:rsidR="00BC16EE">
        <w:rPr>
          <w:lang w:val="fr-FR"/>
        </w:rPr>
        <w:t>’</w:t>
      </w:r>
      <w:r w:rsidRPr="00BC16EE">
        <w:rPr>
          <w:lang w:val="fr-FR"/>
        </w:rPr>
        <w:t>article 2 de la Convention (</w:t>
      </w:r>
      <w:r w:rsidRPr="00BC16EE">
        <w:rPr>
          <w:i/>
          <w:lang w:val="fr-FR"/>
        </w:rPr>
        <w:t>Powell c. Royaume-Uni</w:t>
      </w:r>
      <w:r w:rsidRPr="00BC16EE">
        <w:rPr>
          <w:lang w:val="fr-FR"/>
        </w:rPr>
        <w:t xml:space="preserve"> (déc.), n</w:t>
      </w:r>
      <w:r w:rsidRPr="00BC16EE">
        <w:rPr>
          <w:vertAlign w:val="superscript"/>
          <w:lang w:val="fr-FR"/>
        </w:rPr>
        <w:t>o</w:t>
      </w:r>
      <w:r w:rsidRPr="00BC16EE">
        <w:rPr>
          <w:lang w:val="fr-FR"/>
        </w:rPr>
        <w:t> 45305/99, CEDH 2000</w:t>
      </w:r>
      <w:r w:rsidRPr="00BC16EE">
        <w:rPr>
          <w:lang w:val="fr-FR"/>
        </w:rPr>
        <w:noBreakHyphen/>
        <w:t xml:space="preserve">V, et </w:t>
      </w:r>
      <w:r w:rsidRPr="00BC16EE">
        <w:rPr>
          <w:rFonts w:ascii="Times New Roman" w:hAnsi="Times New Roman" w:eastAsia="Times New Roman" w:cs="Times New Roman"/>
          <w:i/>
          <w:szCs w:val="24"/>
          <w:lang w:val="fr-FR" w:eastAsia="fr-FR"/>
        </w:rPr>
        <w:t xml:space="preserve">Sevim </w:t>
      </w:r>
      <w:proofErr w:type="spellStart"/>
      <w:r w:rsidRPr="00BC16EE">
        <w:rPr>
          <w:rFonts w:ascii="Times New Roman" w:hAnsi="Times New Roman" w:eastAsia="Times New Roman" w:cs="Times New Roman"/>
          <w:i/>
          <w:szCs w:val="24"/>
          <w:lang w:val="fr-FR" w:eastAsia="fr-FR"/>
        </w:rPr>
        <w:t>Güngör</w:t>
      </w:r>
      <w:proofErr w:type="spellEnd"/>
      <w:r w:rsidRPr="00BC16EE">
        <w:rPr>
          <w:rFonts w:ascii="Times New Roman" w:hAnsi="Times New Roman" w:eastAsia="Times New Roman" w:cs="Times New Roman"/>
          <w:i/>
          <w:szCs w:val="24"/>
          <w:lang w:val="fr-FR" w:eastAsia="fr-FR"/>
        </w:rPr>
        <w:t xml:space="preserve"> c. Turquie</w:t>
      </w:r>
      <w:r w:rsidRPr="00BC16EE">
        <w:rPr>
          <w:rFonts w:ascii="Times New Roman" w:hAnsi="Times New Roman" w:eastAsia="Times New Roman" w:cs="Times New Roman"/>
          <w:szCs w:val="24"/>
          <w:lang w:val="fr-FR" w:eastAsia="fr-FR"/>
        </w:rPr>
        <w:t xml:space="preserve"> (déc.), n</w:t>
      </w:r>
      <w:r w:rsidRPr="00BC16EE">
        <w:rPr>
          <w:rFonts w:ascii="Times New Roman" w:hAnsi="Times New Roman" w:eastAsia="Times New Roman" w:cs="Times New Roman"/>
          <w:szCs w:val="24"/>
          <w:vertAlign w:val="superscript"/>
          <w:lang w:val="fr-FR" w:eastAsia="fr-FR"/>
        </w:rPr>
        <w:t>o</w:t>
      </w:r>
      <w:r w:rsidRPr="00BC16EE">
        <w:rPr>
          <w:rFonts w:ascii="Times New Roman" w:hAnsi="Times New Roman" w:eastAsia="Times New Roman" w:cs="Times New Roman"/>
          <w:szCs w:val="24"/>
          <w:lang w:val="fr-FR" w:eastAsia="fr-FR"/>
        </w:rPr>
        <w:t> 75173/01, 14 avril 2009).</w:t>
      </w:r>
    </w:p>
    <w:p w:rsidRPr="00BC16EE" w:rsidR="00C96842" w:rsidP="00BC16EE" w:rsidRDefault="00C96842">
      <w:pPr>
        <w:pStyle w:val="ECHRPara"/>
        <w:rPr>
          <w:lang w:val="fr-FR"/>
        </w:rPr>
      </w:pPr>
      <w:r w:rsidRPr="00BC16EE">
        <w:rPr>
          <w:rFonts w:ascii="Times New Roman" w:hAnsi="Times New Roman" w:eastAsia="Times New Roman" w:cs="Times New Roman"/>
          <w:szCs w:val="24"/>
          <w:lang w:eastAsia="fr-FR"/>
        </w:rPr>
        <w:fldChar w:fldCharType="begin"/>
      </w:r>
      <w:r w:rsidRPr="00BC16EE">
        <w:rPr>
          <w:rFonts w:ascii="Times New Roman" w:hAnsi="Times New Roman" w:eastAsia="Times New Roman" w:cs="Times New Roman"/>
          <w:szCs w:val="24"/>
          <w:lang w:val="fr-FR" w:eastAsia="fr-FR"/>
        </w:rPr>
        <w:instrText xml:space="preserve"> SEQ level0 \*arabic </w:instrText>
      </w:r>
      <w:r w:rsidRPr="00BC16EE">
        <w:rPr>
          <w:rFonts w:ascii="Times New Roman" w:hAnsi="Times New Roman" w:eastAsia="Times New Roman" w:cs="Times New Roman"/>
          <w:szCs w:val="24"/>
          <w:lang w:eastAsia="fr-FR"/>
        </w:rPr>
        <w:fldChar w:fldCharType="separate"/>
      </w:r>
      <w:r w:rsidRPr="00BC16EE" w:rsidR="00BC16EE">
        <w:rPr>
          <w:rFonts w:ascii="Times New Roman" w:hAnsi="Times New Roman" w:eastAsia="Times New Roman" w:cs="Times New Roman"/>
          <w:noProof/>
          <w:szCs w:val="24"/>
          <w:lang w:val="fr-FR" w:eastAsia="fr-FR"/>
        </w:rPr>
        <w:t>38</w:t>
      </w:r>
      <w:r w:rsidRPr="00BC16EE">
        <w:rPr>
          <w:rFonts w:ascii="Times New Roman" w:hAnsi="Times New Roman" w:eastAsia="Times New Roman" w:cs="Times New Roman"/>
          <w:szCs w:val="24"/>
          <w:lang w:eastAsia="fr-FR"/>
        </w:rPr>
        <w:fldChar w:fldCharType="end"/>
      </w:r>
      <w:r w:rsidRPr="00BC16EE">
        <w:rPr>
          <w:rFonts w:ascii="Times New Roman" w:hAnsi="Times New Roman" w:eastAsia="Times New Roman" w:cs="Times New Roman"/>
          <w:szCs w:val="24"/>
          <w:lang w:val="fr-FR" w:eastAsia="fr-FR"/>
        </w:rPr>
        <w:t>.  </w:t>
      </w:r>
      <w:r w:rsidRPr="00BC16EE">
        <w:rPr>
          <w:lang w:val="fr-FR"/>
        </w:rPr>
        <w:t>Les obligations positives que l</w:t>
      </w:r>
      <w:r w:rsidRPr="00BC16EE" w:rsidR="00BC16EE">
        <w:rPr>
          <w:lang w:val="fr-FR"/>
        </w:rPr>
        <w:t>’</w:t>
      </w:r>
      <w:r w:rsidRPr="00BC16EE">
        <w:rPr>
          <w:lang w:val="fr-FR"/>
        </w:rPr>
        <w:t>article 2 de la Convention fait peser sur l</w:t>
      </w:r>
      <w:r w:rsidRPr="00BC16EE" w:rsidR="00BC16EE">
        <w:rPr>
          <w:lang w:val="fr-FR"/>
        </w:rPr>
        <w:t>’</w:t>
      </w:r>
      <w:r w:rsidRPr="00BC16EE">
        <w:rPr>
          <w:lang w:val="fr-FR"/>
        </w:rPr>
        <w:t>État impliquent la mise en place par lui d</w:t>
      </w:r>
      <w:r w:rsidRPr="00BC16EE" w:rsidR="00BC16EE">
        <w:rPr>
          <w:lang w:val="fr-FR"/>
        </w:rPr>
        <w:t>’</w:t>
      </w:r>
      <w:r w:rsidRPr="00BC16EE">
        <w:rPr>
          <w:lang w:val="fr-FR"/>
        </w:rPr>
        <w:t>un cadre législatif et réglementaire imposant aux hôpitaux, qu</w:t>
      </w:r>
      <w:r w:rsidRPr="00BC16EE" w:rsidR="00BC16EE">
        <w:rPr>
          <w:lang w:val="fr-FR"/>
        </w:rPr>
        <w:t>’</w:t>
      </w:r>
      <w:r w:rsidRPr="00BC16EE">
        <w:rPr>
          <w:lang w:val="fr-FR"/>
        </w:rPr>
        <w:t>ils soient privés ou publics, l</w:t>
      </w:r>
      <w:r w:rsidRPr="00BC16EE" w:rsidR="00BC16EE">
        <w:rPr>
          <w:lang w:val="fr-FR"/>
        </w:rPr>
        <w:t>’</w:t>
      </w:r>
      <w:r w:rsidRPr="00BC16EE">
        <w:rPr>
          <w:lang w:val="fr-FR"/>
        </w:rPr>
        <w:t>adoption de mesures propres à assurer la protection de la vie des malades (</w:t>
      </w:r>
      <w:proofErr w:type="spellStart"/>
      <w:r w:rsidRPr="00BC16EE">
        <w:rPr>
          <w:i/>
          <w:lang w:val="fr-FR"/>
        </w:rPr>
        <w:t>Oyal</w:t>
      </w:r>
      <w:proofErr w:type="spellEnd"/>
      <w:r w:rsidRPr="00BC16EE">
        <w:rPr>
          <w:i/>
          <w:lang w:val="fr-FR"/>
        </w:rPr>
        <w:t xml:space="preserve"> c. Turquie</w:t>
      </w:r>
      <w:r w:rsidRPr="00BC16EE">
        <w:rPr>
          <w:lang w:val="fr-FR"/>
        </w:rPr>
        <w:t>, n</w:t>
      </w:r>
      <w:r w:rsidRPr="00BC16EE">
        <w:rPr>
          <w:vertAlign w:val="superscript"/>
          <w:lang w:val="fr-FR"/>
        </w:rPr>
        <w:t>o</w:t>
      </w:r>
      <w:r w:rsidRPr="00BC16EE">
        <w:rPr>
          <w:lang w:val="fr-FR"/>
        </w:rPr>
        <w:t xml:space="preserve"> 4864/05, § 54, 23 mars 2010, et </w:t>
      </w:r>
      <w:r w:rsidRPr="00BC16EE">
        <w:rPr>
          <w:i/>
          <w:lang w:val="fr-FR"/>
        </w:rPr>
        <w:t>Lambert et autres c. France</w:t>
      </w:r>
      <w:r w:rsidRPr="00BC16EE">
        <w:rPr>
          <w:lang w:val="fr-FR"/>
        </w:rPr>
        <w:t xml:space="preserve"> [GC], n</w:t>
      </w:r>
      <w:r w:rsidRPr="00BC16EE">
        <w:rPr>
          <w:vertAlign w:val="superscript"/>
          <w:lang w:val="fr-FR"/>
        </w:rPr>
        <w:t>o</w:t>
      </w:r>
      <w:r w:rsidRPr="00BC16EE">
        <w:rPr>
          <w:lang w:val="fr-FR"/>
        </w:rPr>
        <w:t xml:space="preserve"> 46043/14, § 140, CEDH 2015 (extraits)).</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39</w:t>
      </w:r>
      <w:r w:rsidRPr="00BC16EE">
        <w:fldChar w:fldCharType="end"/>
      </w:r>
      <w:r w:rsidRPr="00BC16EE">
        <w:rPr>
          <w:lang w:val="fr-FR"/>
        </w:rPr>
        <w:t>.  L</w:t>
      </w:r>
      <w:r w:rsidRPr="00BC16EE" w:rsidR="00BC16EE">
        <w:rPr>
          <w:lang w:val="fr-FR"/>
        </w:rPr>
        <w:t>’</w:t>
      </w:r>
      <w:r w:rsidRPr="00BC16EE">
        <w:rPr>
          <w:lang w:val="fr-FR"/>
        </w:rPr>
        <w:t>article 2 implique également l</w:t>
      </w:r>
      <w:r w:rsidRPr="00BC16EE" w:rsidR="00BC16EE">
        <w:rPr>
          <w:lang w:val="fr-FR"/>
        </w:rPr>
        <w:t>’</w:t>
      </w:r>
      <w:r w:rsidRPr="00BC16EE">
        <w:rPr>
          <w:lang w:val="fr-FR"/>
        </w:rPr>
        <w:t>obligation d</w:t>
      </w:r>
      <w:r w:rsidRPr="00BC16EE" w:rsidR="00BC16EE">
        <w:rPr>
          <w:lang w:val="fr-FR"/>
        </w:rPr>
        <w:t>’</w:t>
      </w:r>
      <w:r w:rsidRPr="00BC16EE">
        <w:rPr>
          <w:lang w:val="fr-FR"/>
        </w:rPr>
        <w:t>instaurer un système judiciaire effectif et indépendant apte, en cas de décès d</w:t>
      </w:r>
      <w:r w:rsidRPr="00BC16EE" w:rsidR="00BC16EE">
        <w:rPr>
          <w:lang w:val="fr-FR"/>
        </w:rPr>
        <w:t>’</w:t>
      </w:r>
      <w:r w:rsidRPr="00BC16EE">
        <w:rPr>
          <w:lang w:val="fr-FR"/>
        </w:rPr>
        <w:t>un individu se trouvant sous la responsabilité de professionnels de la santé, qu</w:t>
      </w:r>
      <w:r w:rsidRPr="00BC16EE" w:rsidR="00BC16EE">
        <w:rPr>
          <w:lang w:val="fr-FR"/>
        </w:rPr>
        <w:t>’</w:t>
      </w:r>
      <w:r w:rsidRPr="00BC16EE">
        <w:rPr>
          <w:lang w:val="fr-FR"/>
        </w:rPr>
        <w:t>ils relèvent du secteur public ou du secteur privé, à établir la cause du décès et à obliger les responsables éventuels à répondre de leurs actes (</w:t>
      </w:r>
      <w:proofErr w:type="spellStart"/>
      <w:r w:rsidRPr="00BC16EE">
        <w:rPr>
          <w:i/>
          <w:lang w:val="fr-FR"/>
        </w:rPr>
        <w:t>Šilih</w:t>
      </w:r>
      <w:proofErr w:type="spellEnd"/>
      <w:r w:rsidRPr="00BC16EE">
        <w:rPr>
          <w:i/>
          <w:lang w:val="fr-FR"/>
        </w:rPr>
        <w:t xml:space="preserve"> c. Slovénie</w:t>
      </w:r>
      <w:r w:rsidRPr="00BC16EE">
        <w:rPr>
          <w:lang w:val="fr-FR"/>
        </w:rPr>
        <w:t xml:space="preserve"> [GC], n</w:t>
      </w:r>
      <w:r w:rsidRPr="00BC16EE">
        <w:rPr>
          <w:vertAlign w:val="superscript"/>
          <w:lang w:val="fr-FR"/>
        </w:rPr>
        <w:t>o</w:t>
      </w:r>
      <w:r w:rsidRPr="00BC16EE">
        <w:rPr>
          <w:lang w:val="fr-FR"/>
        </w:rPr>
        <w:t> 71463/01, § 192, 9 avril 2009, et les affaires qui y sont citées).</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40</w:t>
      </w:r>
      <w:r w:rsidRPr="00BC16EE">
        <w:fldChar w:fldCharType="end"/>
      </w:r>
      <w:r w:rsidRPr="00BC16EE">
        <w:rPr>
          <w:lang w:val="fr-FR"/>
        </w:rPr>
        <w:t>.  À cet égard, même si la Convention ne garantit pas en soi le droit à l</w:t>
      </w:r>
      <w:r w:rsidRPr="00BC16EE" w:rsidR="00BC16EE">
        <w:rPr>
          <w:lang w:val="fr-FR"/>
        </w:rPr>
        <w:t>’</w:t>
      </w:r>
      <w:r w:rsidRPr="00BC16EE">
        <w:rPr>
          <w:lang w:val="fr-FR"/>
        </w:rPr>
        <w:t>ouverture de poursuites pénales contre des tiers, la Cour a maintes fois affirmé que le système judiciaire efficace exigé par l</w:t>
      </w:r>
      <w:r w:rsidRPr="00BC16EE" w:rsidR="00BC16EE">
        <w:rPr>
          <w:lang w:val="fr-FR"/>
        </w:rPr>
        <w:t>’</w:t>
      </w:r>
      <w:r w:rsidRPr="00BC16EE">
        <w:rPr>
          <w:lang w:val="fr-FR"/>
        </w:rPr>
        <w:t>article 2 peut comporter, et dans certaines circonstances doit comporter, un mécanisme de répression pénale (</w:t>
      </w:r>
      <w:proofErr w:type="spellStart"/>
      <w:r w:rsidRPr="00BC16EE">
        <w:rPr>
          <w:i/>
          <w:lang w:val="fr-FR"/>
        </w:rPr>
        <w:t>Calvelli</w:t>
      </w:r>
      <w:proofErr w:type="spellEnd"/>
      <w:r w:rsidRPr="00BC16EE">
        <w:rPr>
          <w:i/>
          <w:lang w:val="fr-FR"/>
        </w:rPr>
        <w:t xml:space="preserve"> et </w:t>
      </w:r>
      <w:proofErr w:type="spellStart"/>
      <w:r w:rsidRPr="00BC16EE">
        <w:rPr>
          <w:i/>
          <w:lang w:val="fr-FR"/>
        </w:rPr>
        <w:t>Ciglio</w:t>
      </w:r>
      <w:proofErr w:type="spellEnd"/>
      <w:r w:rsidRPr="00BC16EE">
        <w:rPr>
          <w:lang w:val="fr-FR"/>
        </w:rPr>
        <w:t xml:space="preserve">, précité, § 51, </w:t>
      </w:r>
      <w:r w:rsidRPr="00BC16EE">
        <w:rPr>
          <w:i/>
          <w:lang w:val="fr-FR"/>
        </w:rPr>
        <w:t xml:space="preserve">Mehmet </w:t>
      </w:r>
      <w:proofErr w:type="spellStart"/>
      <w:r w:rsidRPr="00BC16EE">
        <w:rPr>
          <w:i/>
          <w:lang w:val="fr-FR"/>
        </w:rPr>
        <w:t>Şentürk</w:t>
      </w:r>
      <w:proofErr w:type="spellEnd"/>
      <w:r w:rsidRPr="00BC16EE">
        <w:rPr>
          <w:i/>
          <w:lang w:val="fr-FR"/>
        </w:rPr>
        <w:t xml:space="preserve"> et </w:t>
      </w:r>
      <w:proofErr w:type="spellStart"/>
      <w:r w:rsidRPr="00BC16EE">
        <w:rPr>
          <w:i/>
          <w:lang w:val="fr-FR"/>
        </w:rPr>
        <w:t>Bekir</w:t>
      </w:r>
      <w:proofErr w:type="spellEnd"/>
      <w:r w:rsidRPr="00BC16EE">
        <w:rPr>
          <w:i/>
          <w:lang w:val="fr-FR"/>
        </w:rPr>
        <w:t xml:space="preserve"> </w:t>
      </w:r>
      <w:proofErr w:type="spellStart"/>
      <w:r w:rsidRPr="00BC16EE">
        <w:rPr>
          <w:i/>
          <w:lang w:val="fr-FR"/>
        </w:rPr>
        <w:t>Şentürk</w:t>
      </w:r>
      <w:proofErr w:type="spellEnd"/>
      <w:r w:rsidRPr="00BC16EE">
        <w:rPr>
          <w:i/>
          <w:lang w:val="fr-FR"/>
        </w:rPr>
        <w:t xml:space="preserve"> c. Turquie</w:t>
      </w:r>
      <w:r w:rsidRPr="00BC16EE">
        <w:rPr>
          <w:lang w:val="fr-FR"/>
        </w:rPr>
        <w:t>, n</w:t>
      </w:r>
      <w:r w:rsidRPr="00BC16EE">
        <w:rPr>
          <w:vertAlign w:val="superscript"/>
          <w:lang w:val="fr-FR"/>
        </w:rPr>
        <w:t>o</w:t>
      </w:r>
      <w:r w:rsidRPr="00BC16EE">
        <w:rPr>
          <w:lang w:val="fr-FR"/>
        </w:rPr>
        <w:t xml:space="preserve"> 13423/09, §§ 104-105, CEDH 2013, et </w:t>
      </w:r>
      <w:proofErr w:type="spellStart"/>
      <w:r w:rsidRPr="00BC16EE">
        <w:rPr>
          <w:i/>
          <w:lang w:val="fr-FR"/>
        </w:rPr>
        <w:t>Asiye</w:t>
      </w:r>
      <w:proofErr w:type="spellEnd"/>
      <w:r w:rsidRPr="00BC16EE">
        <w:rPr>
          <w:i/>
          <w:lang w:val="fr-FR"/>
        </w:rPr>
        <w:t xml:space="preserve"> </w:t>
      </w:r>
      <w:proofErr w:type="spellStart"/>
      <w:r w:rsidRPr="00BC16EE">
        <w:rPr>
          <w:i/>
          <w:lang w:val="fr-FR"/>
        </w:rPr>
        <w:t>Genç</w:t>
      </w:r>
      <w:proofErr w:type="spellEnd"/>
      <w:r w:rsidRPr="00BC16EE">
        <w:rPr>
          <w:i/>
          <w:lang w:val="fr-FR"/>
        </w:rPr>
        <w:t xml:space="preserve"> c. Turquie</w:t>
      </w:r>
      <w:r w:rsidRPr="00BC16EE">
        <w:rPr>
          <w:lang w:val="fr-FR"/>
        </w:rPr>
        <w:t>, n</w:t>
      </w:r>
      <w:r w:rsidRPr="00BC16EE">
        <w:rPr>
          <w:vertAlign w:val="superscript"/>
          <w:lang w:val="fr-FR"/>
        </w:rPr>
        <w:t>o</w:t>
      </w:r>
      <w:r w:rsidRPr="00BC16EE">
        <w:rPr>
          <w:lang w:val="fr-FR"/>
        </w:rPr>
        <w:t xml:space="preserve"> 24109/07, § 73, 27 janvier 2015). Toutefois, si l</w:t>
      </w:r>
      <w:r w:rsidRPr="00BC16EE" w:rsidR="00BC16EE">
        <w:rPr>
          <w:lang w:val="fr-FR"/>
        </w:rPr>
        <w:t>’</w:t>
      </w:r>
      <w:r w:rsidRPr="00BC16EE">
        <w:rPr>
          <w:lang w:val="fr-FR"/>
        </w:rPr>
        <w:t>atteinte au droit à la vie ou à l</w:t>
      </w:r>
      <w:r w:rsidRPr="00BC16EE" w:rsidR="00BC16EE">
        <w:rPr>
          <w:lang w:val="fr-FR"/>
        </w:rPr>
        <w:t>’</w:t>
      </w:r>
      <w:r w:rsidRPr="00BC16EE">
        <w:rPr>
          <w:lang w:val="fr-FR"/>
        </w:rPr>
        <w:t>intégrité physique n</w:t>
      </w:r>
      <w:r w:rsidRPr="00BC16EE" w:rsidR="00BC16EE">
        <w:rPr>
          <w:lang w:val="fr-FR"/>
        </w:rPr>
        <w:t>’</w:t>
      </w:r>
      <w:r w:rsidRPr="00BC16EE">
        <w:rPr>
          <w:lang w:val="fr-FR"/>
        </w:rPr>
        <w:t>est pas volontaire, l</w:t>
      </w:r>
      <w:r w:rsidRPr="00BC16EE" w:rsidR="00BC16EE">
        <w:rPr>
          <w:lang w:val="fr-FR"/>
        </w:rPr>
        <w:t>’</w:t>
      </w:r>
      <w:r w:rsidRPr="00BC16EE">
        <w:rPr>
          <w:lang w:val="fr-FR"/>
        </w:rPr>
        <w:t>obligation positive découlant de l</w:t>
      </w:r>
      <w:r w:rsidRPr="00BC16EE" w:rsidR="00BC16EE">
        <w:rPr>
          <w:lang w:val="fr-FR"/>
        </w:rPr>
        <w:t>’</w:t>
      </w:r>
      <w:r w:rsidRPr="00BC16EE">
        <w:rPr>
          <w:lang w:val="fr-FR"/>
        </w:rPr>
        <w:t>article 2 de mettre en place un système judiciaire efficace n</w:t>
      </w:r>
      <w:r w:rsidRPr="00BC16EE" w:rsidR="00BC16EE">
        <w:rPr>
          <w:lang w:val="fr-FR"/>
        </w:rPr>
        <w:t>’</w:t>
      </w:r>
      <w:r w:rsidRPr="00BC16EE">
        <w:rPr>
          <w:lang w:val="fr-FR"/>
        </w:rPr>
        <w:t>exige pas nécessairement dans tous les cas un recours de nature pénale (</w:t>
      </w:r>
      <w:proofErr w:type="spellStart"/>
      <w:r w:rsidRPr="00BC16EE">
        <w:rPr>
          <w:i/>
          <w:lang w:val="fr-FR"/>
        </w:rPr>
        <w:t>Cevrioğlu</w:t>
      </w:r>
      <w:proofErr w:type="spellEnd"/>
      <w:r w:rsidRPr="00BC16EE">
        <w:rPr>
          <w:i/>
          <w:lang w:val="fr-FR"/>
        </w:rPr>
        <w:t xml:space="preserve"> c. Turquie</w:t>
      </w:r>
      <w:r w:rsidRPr="00BC16EE">
        <w:rPr>
          <w:lang w:val="fr-FR"/>
        </w:rPr>
        <w:t>, n</w:t>
      </w:r>
      <w:r w:rsidRPr="00BC16EE">
        <w:rPr>
          <w:vertAlign w:val="superscript"/>
          <w:lang w:val="fr-FR"/>
        </w:rPr>
        <w:t>o</w:t>
      </w:r>
      <w:r w:rsidRPr="00BC16EE">
        <w:rPr>
          <w:lang w:val="fr-FR"/>
        </w:rPr>
        <w:t xml:space="preserve"> 69546/12, § 54, 4 octobre 2016). Dans le contexte spécifique des négligences médicales, pareille obligation peut être remplie aussi, par exemple, si le système juridique en cause offre aux intéressés un recours devant les juridictions civiles, seul ou conjointement avec un recours devant les juridictions pénales, aux fins d</w:t>
      </w:r>
      <w:r w:rsidRPr="00BC16EE" w:rsidR="00BC16EE">
        <w:rPr>
          <w:lang w:val="fr-FR"/>
        </w:rPr>
        <w:t>’</w:t>
      </w:r>
      <w:r w:rsidRPr="00BC16EE">
        <w:rPr>
          <w:lang w:val="fr-FR"/>
        </w:rPr>
        <w:t>établir la responsabilité des médecins en cause et, le cas échéant, d</w:t>
      </w:r>
      <w:r w:rsidRPr="00BC16EE" w:rsidR="00BC16EE">
        <w:rPr>
          <w:lang w:val="fr-FR"/>
        </w:rPr>
        <w:t>’</w:t>
      </w:r>
      <w:r w:rsidRPr="00BC16EE">
        <w:rPr>
          <w:lang w:val="fr-FR"/>
        </w:rPr>
        <w:t>obtenir l</w:t>
      </w:r>
      <w:r w:rsidRPr="00BC16EE" w:rsidR="00BC16EE">
        <w:rPr>
          <w:lang w:val="fr-FR"/>
        </w:rPr>
        <w:t>’</w:t>
      </w:r>
      <w:r w:rsidRPr="00BC16EE">
        <w:rPr>
          <w:lang w:val="fr-FR"/>
        </w:rPr>
        <w:t>application de toute sanction civile appropriée, tels le versement de dommages-intérêts et la publication de l</w:t>
      </w:r>
      <w:r w:rsidRPr="00BC16EE" w:rsidR="00BC16EE">
        <w:rPr>
          <w:lang w:val="fr-FR"/>
        </w:rPr>
        <w:t>’</w:t>
      </w:r>
      <w:r w:rsidRPr="00BC16EE">
        <w:rPr>
          <w:lang w:val="fr-FR"/>
        </w:rPr>
        <w:t>arrêt. Des mesures disciplinaires peuvent également être envisagées (</w:t>
      </w:r>
      <w:proofErr w:type="spellStart"/>
      <w:r w:rsidRPr="00BC16EE">
        <w:rPr>
          <w:i/>
          <w:lang w:val="fr-FR"/>
        </w:rPr>
        <w:t>Calvelli</w:t>
      </w:r>
      <w:proofErr w:type="spellEnd"/>
      <w:r w:rsidRPr="00BC16EE">
        <w:rPr>
          <w:i/>
          <w:lang w:val="fr-FR"/>
        </w:rPr>
        <w:t xml:space="preserve"> et </w:t>
      </w:r>
      <w:proofErr w:type="spellStart"/>
      <w:r w:rsidRPr="00BC16EE">
        <w:rPr>
          <w:i/>
          <w:lang w:val="fr-FR"/>
        </w:rPr>
        <w:t>Ciglio</w:t>
      </w:r>
      <w:proofErr w:type="spellEnd"/>
      <w:r w:rsidRPr="00BC16EE">
        <w:rPr>
          <w:lang w:val="fr-FR"/>
        </w:rPr>
        <w:t xml:space="preserve">, § 51, et </w:t>
      </w:r>
      <w:r w:rsidRPr="00BC16EE">
        <w:rPr>
          <w:i/>
          <w:lang w:val="fr-FR"/>
        </w:rPr>
        <w:t>Vo</w:t>
      </w:r>
      <w:r w:rsidRPr="00BC16EE">
        <w:rPr>
          <w:lang w:val="fr-FR"/>
        </w:rPr>
        <w:t xml:space="preserve">, § 90, tous deux précités, et </w:t>
      </w:r>
      <w:r w:rsidRPr="00BC16EE">
        <w:rPr>
          <w:i/>
          <w:lang w:val="fr-FR"/>
        </w:rPr>
        <w:t>Gray c. Allemagne</w:t>
      </w:r>
      <w:r w:rsidRPr="00BC16EE">
        <w:rPr>
          <w:lang w:val="fr-FR"/>
        </w:rPr>
        <w:t>, n</w:t>
      </w:r>
      <w:r w:rsidRPr="00BC16EE">
        <w:rPr>
          <w:vertAlign w:val="superscript"/>
          <w:lang w:val="fr-FR"/>
        </w:rPr>
        <w:t>o</w:t>
      </w:r>
      <w:r w:rsidRPr="00BC16EE">
        <w:rPr>
          <w:lang w:val="fr-FR"/>
        </w:rPr>
        <w:t xml:space="preserve"> 49278/09, §§ 80 à 82, 22 mai 2014).</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41</w:t>
      </w:r>
      <w:r w:rsidRPr="00BC16EE">
        <w:fldChar w:fldCharType="end"/>
      </w:r>
      <w:r w:rsidRPr="00BC16EE">
        <w:rPr>
          <w:lang w:val="fr-FR"/>
        </w:rPr>
        <w:t>.  Dans tous les cas, l</w:t>
      </w:r>
      <w:r w:rsidRPr="00BC16EE" w:rsidR="00BC16EE">
        <w:rPr>
          <w:lang w:val="fr-FR"/>
        </w:rPr>
        <w:t>’</w:t>
      </w:r>
      <w:r w:rsidRPr="00BC16EE">
        <w:rPr>
          <w:lang w:val="fr-FR"/>
        </w:rPr>
        <w:t>obligation de l</w:t>
      </w:r>
      <w:r w:rsidRPr="00BC16EE" w:rsidR="00BC16EE">
        <w:rPr>
          <w:lang w:val="fr-FR"/>
        </w:rPr>
        <w:t>’</w:t>
      </w:r>
      <w:r w:rsidRPr="00BC16EE">
        <w:rPr>
          <w:lang w:val="fr-FR"/>
        </w:rPr>
        <w:t>État au regard de l</w:t>
      </w:r>
      <w:r w:rsidRPr="00BC16EE" w:rsidR="00BC16EE">
        <w:rPr>
          <w:lang w:val="fr-FR"/>
        </w:rPr>
        <w:t>’</w:t>
      </w:r>
      <w:r w:rsidRPr="00BC16EE">
        <w:rPr>
          <w:lang w:val="fr-FR"/>
        </w:rPr>
        <w:t>article</w:t>
      </w:r>
      <w:r w:rsidRPr="00BC16EE" w:rsidR="00A51EBA">
        <w:rPr>
          <w:lang w:val="fr-FR"/>
        </w:rPr>
        <w:t xml:space="preserve"> </w:t>
      </w:r>
      <w:r w:rsidRPr="00BC16EE">
        <w:rPr>
          <w:lang w:val="fr-FR"/>
        </w:rPr>
        <w:t>2 de la Convention ne peut être réputée satisfaite si les mécanismes de protection prévus en droit interne n</w:t>
      </w:r>
      <w:r w:rsidRPr="00BC16EE" w:rsidR="00BC16EE">
        <w:rPr>
          <w:lang w:val="fr-FR"/>
        </w:rPr>
        <w:t>’</w:t>
      </w:r>
      <w:r w:rsidRPr="00BC16EE">
        <w:rPr>
          <w:lang w:val="fr-FR"/>
        </w:rPr>
        <w:t>existent qu</w:t>
      </w:r>
      <w:r w:rsidRPr="00BC16EE" w:rsidR="00BC16EE">
        <w:rPr>
          <w:lang w:val="fr-FR"/>
        </w:rPr>
        <w:t>’</w:t>
      </w:r>
      <w:r w:rsidRPr="00BC16EE">
        <w:rPr>
          <w:lang w:val="fr-FR"/>
        </w:rPr>
        <w:t>en théorie : il faut surtout qu</w:t>
      </w:r>
      <w:r w:rsidRPr="00BC16EE" w:rsidR="00BC16EE">
        <w:rPr>
          <w:lang w:val="fr-FR"/>
        </w:rPr>
        <w:t>’</w:t>
      </w:r>
      <w:r w:rsidRPr="00BC16EE">
        <w:rPr>
          <w:lang w:val="fr-FR"/>
        </w:rPr>
        <w:t>ils fonctionnent effectivement en pratique (</w:t>
      </w:r>
      <w:proofErr w:type="spellStart"/>
      <w:r w:rsidRPr="00BC16EE">
        <w:rPr>
          <w:i/>
          <w:lang w:val="fr-FR"/>
        </w:rPr>
        <w:t>Byrzykowski</w:t>
      </w:r>
      <w:proofErr w:type="spellEnd"/>
      <w:r w:rsidRPr="00BC16EE">
        <w:rPr>
          <w:i/>
          <w:lang w:val="fr-FR"/>
        </w:rPr>
        <w:t xml:space="preserve"> c. Pologne</w:t>
      </w:r>
      <w:r w:rsidRPr="00BC16EE">
        <w:rPr>
          <w:lang w:val="fr-FR"/>
        </w:rPr>
        <w:t>, n</w:t>
      </w:r>
      <w:r w:rsidRPr="00BC16EE">
        <w:rPr>
          <w:vertAlign w:val="superscript"/>
          <w:lang w:val="fr-FR"/>
        </w:rPr>
        <w:t>o</w:t>
      </w:r>
      <w:r w:rsidRPr="00BC16EE">
        <w:rPr>
          <w:lang w:val="fr-FR"/>
        </w:rPr>
        <w:t xml:space="preserve"> 11562/05, § 105, 27 juin 2006, et </w:t>
      </w:r>
      <w:proofErr w:type="spellStart"/>
      <w:r w:rsidRPr="00BC16EE">
        <w:rPr>
          <w:i/>
          <w:lang w:val="fr-FR"/>
        </w:rPr>
        <w:t>Spyra</w:t>
      </w:r>
      <w:proofErr w:type="spellEnd"/>
      <w:r w:rsidRPr="00BC16EE">
        <w:rPr>
          <w:i/>
          <w:lang w:val="fr-FR"/>
        </w:rPr>
        <w:t xml:space="preserve"> et </w:t>
      </w:r>
      <w:proofErr w:type="spellStart"/>
      <w:r w:rsidRPr="00BC16EE">
        <w:rPr>
          <w:i/>
          <w:lang w:val="fr-FR"/>
        </w:rPr>
        <w:t>Kranczkowski</w:t>
      </w:r>
      <w:proofErr w:type="spellEnd"/>
      <w:r w:rsidRPr="00BC16EE">
        <w:rPr>
          <w:i/>
          <w:lang w:val="fr-FR"/>
        </w:rPr>
        <w:t xml:space="preserve"> c. Pologne</w:t>
      </w:r>
      <w:r w:rsidRPr="00BC16EE">
        <w:rPr>
          <w:lang w:val="fr-FR"/>
        </w:rPr>
        <w:t>, n</w:t>
      </w:r>
      <w:r w:rsidRPr="00BC16EE">
        <w:rPr>
          <w:vertAlign w:val="superscript"/>
          <w:lang w:val="fr-FR"/>
        </w:rPr>
        <w:t>o</w:t>
      </w:r>
      <w:r w:rsidRPr="00BC16EE">
        <w:rPr>
          <w:lang w:val="fr-FR"/>
        </w:rPr>
        <w:t> 19764/07, § 88, 25 septembre 2012).</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42</w:t>
      </w:r>
      <w:r w:rsidRPr="00BC16EE">
        <w:fldChar w:fldCharType="end"/>
      </w:r>
      <w:r w:rsidRPr="00BC16EE">
        <w:rPr>
          <w:lang w:val="fr-FR"/>
        </w:rPr>
        <w:t>.  L</w:t>
      </w:r>
      <w:r w:rsidRPr="00BC16EE" w:rsidR="00BC16EE">
        <w:rPr>
          <w:lang w:val="fr-FR"/>
        </w:rPr>
        <w:t>’</w:t>
      </w:r>
      <w:r w:rsidRPr="00BC16EE">
        <w:rPr>
          <w:lang w:val="fr-FR"/>
        </w:rPr>
        <w:t>obligation procédurale imposée par l</w:t>
      </w:r>
      <w:r w:rsidRPr="00BC16EE" w:rsidR="00BC16EE">
        <w:rPr>
          <w:lang w:val="fr-FR"/>
        </w:rPr>
        <w:t>’</w:t>
      </w:r>
      <w:r w:rsidRPr="00BC16EE">
        <w:rPr>
          <w:lang w:val="fr-FR"/>
        </w:rPr>
        <w:t>article 2 en matière de soins impose notamment que la procédure soit menée à terme dans un délai raisonnable (</w:t>
      </w:r>
      <w:proofErr w:type="spellStart"/>
      <w:r w:rsidRPr="00BC16EE">
        <w:rPr>
          <w:i/>
          <w:lang w:val="fr-FR"/>
        </w:rPr>
        <w:t>Šilih</w:t>
      </w:r>
      <w:proofErr w:type="spellEnd"/>
      <w:r w:rsidRPr="00BC16EE">
        <w:rPr>
          <w:lang w:val="fr-FR"/>
        </w:rPr>
        <w:t>, précité, § 196). À cet égard, la Cour souligne que, outre la question du respect des droits découlant de l</w:t>
      </w:r>
      <w:r w:rsidRPr="00BC16EE" w:rsidR="00BC16EE">
        <w:rPr>
          <w:lang w:val="fr-FR"/>
        </w:rPr>
        <w:t>’</w:t>
      </w:r>
      <w:r w:rsidRPr="00BC16EE">
        <w:rPr>
          <w:lang w:val="fr-FR"/>
        </w:rPr>
        <w:t>article 2 dans une affaire donnée, des considérations plus générales appellent également un prompt examen des affaires concernant une négligence médicale survenue en milieu hospitalier. La connaissance des faits et des erreurs éventuellement commises dans l</w:t>
      </w:r>
      <w:r w:rsidRPr="00BC16EE" w:rsidR="00BC16EE">
        <w:rPr>
          <w:lang w:val="fr-FR"/>
        </w:rPr>
        <w:t>’</w:t>
      </w:r>
      <w:r w:rsidRPr="00BC16EE">
        <w:rPr>
          <w:lang w:val="fr-FR"/>
        </w:rPr>
        <w:t>administration de soins médicaux est essentielle pour permettre aux établissements concernés et au personnel médical de remédier aux défaillances potentielles et de prévenir des erreurs similaires. Le prompt examen de telles affaires est donc important pour la sécurité des usagers de l</w:t>
      </w:r>
      <w:r w:rsidRPr="00BC16EE" w:rsidR="00BC16EE">
        <w:rPr>
          <w:lang w:val="fr-FR"/>
        </w:rPr>
        <w:t>’</w:t>
      </w:r>
      <w:r w:rsidRPr="00BC16EE">
        <w:rPr>
          <w:lang w:val="fr-FR"/>
        </w:rPr>
        <w:t>ensemble des services de santé (</w:t>
      </w:r>
      <w:r w:rsidRPr="00BC16EE">
        <w:rPr>
          <w:i/>
          <w:lang w:val="fr-FR"/>
        </w:rPr>
        <w:t>Lopes de Sousa Fernandes</w:t>
      </w:r>
      <w:r w:rsidRPr="00BC16EE">
        <w:rPr>
          <w:lang w:val="fr-FR"/>
        </w:rPr>
        <w:t>, précité,</w:t>
      </w:r>
      <w:r w:rsidRPr="00BC16EE">
        <w:rPr>
          <w:i/>
          <w:lang w:val="fr-FR"/>
        </w:rPr>
        <w:t xml:space="preserve"> </w:t>
      </w:r>
      <w:r w:rsidRPr="00BC16EE">
        <w:rPr>
          <w:lang w:val="fr-FR"/>
        </w:rPr>
        <w:t>§ 218 et </w:t>
      </w:r>
      <w:proofErr w:type="spellStart"/>
      <w:r w:rsidRPr="00BC16EE">
        <w:rPr>
          <w:i/>
          <w:lang w:val="fr-FR"/>
        </w:rPr>
        <w:t>Oyal</w:t>
      </w:r>
      <w:proofErr w:type="spellEnd"/>
      <w:r w:rsidRPr="00BC16EE">
        <w:rPr>
          <w:lang w:val="fr-FR"/>
        </w:rPr>
        <w:t>, précité, § 76).</w:t>
      </w:r>
    </w:p>
    <w:p w:rsidRPr="00BC16EE" w:rsidR="00C96842" w:rsidP="00BC16EE" w:rsidRDefault="00C96842">
      <w:pPr>
        <w:pStyle w:val="ECHRPara"/>
        <w:rPr>
          <w:rFonts w:ascii="Times New Roman" w:hAnsi="Times New Roman" w:eastAsia="Times New Roman" w:cs="Times New Roman"/>
          <w:szCs w:val="24"/>
          <w:lang w:val="fr-FR" w:eastAsia="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43</w:t>
      </w:r>
      <w:r w:rsidRPr="00BC16EE">
        <w:fldChar w:fldCharType="end"/>
      </w:r>
      <w:r w:rsidRPr="00BC16EE">
        <w:rPr>
          <w:lang w:val="fr-FR"/>
        </w:rPr>
        <w:t xml:space="preserve">.  Enfin, la Cour rappelle que </w:t>
      </w:r>
      <w:r w:rsidRPr="00BC16EE">
        <w:rPr>
          <w:rFonts w:ascii="Times New Roman" w:hAnsi="Times New Roman" w:eastAsia="Times New Roman" w:cs="Times New Roman"/>
          <w:szCs w:val="24"/>
          <w:lang w:val="fr-FR" w:eastAsia="fr-FR"/>
        </w:rPr>
        <w:t>cette obligation procédurale est une obligation non de résultat mais de moyens. Ainsi, le simple fait qu</w:t>
      </w:r>
      <w:r w:rsidRPr="00BC16EE" w:rsidR="00BC16EE">
        <w:rPr>
          <w:rFonts w:ascii="Times New Roman" w:hAnsi="Times New Roman" w:eastAsia="Times New Roman" w:cs="Times New Roman"/>
          <w:szCs w:val="24"/>
          <w:lang w:val="fr-FR" w:eastAsia="fr-FR"/>
        </w:rPr>
        <w:t>’</w:t>
      </w:r>
      <w:r w:rsidRPr="00BC16EE">
        <w:rPr>
          <w:rFonts w:ascii="Times New Roman" w:hAnsi="Times New Roman" w:eastAsia="Times New Roman" w:cs="Times New Roman"/>
          <w:szCs w:val="24"/>
          <w:lang w:val="fr-FR" w:eastAsia="fr-FR"/>
        </w:rPr>
        <w:t>une procédure relative à une négligence médicale n</w:t>
      </w:r>
      <w:r w:rsidRPr="00BC16EE" w:rsidR="00BC16EE">
        <w:rPr>
          <w:rFonts w:ascii="Times New Roman" w:hAnsi="Times New Roman" w:eastAsia="Times New Roman" w:cs="Times New Roman"/>
          <w:szCs w:val="24"/>
          <w:lang w:val="fr-FR" w:eastAsia="fr-FR"/>
        </w:rPr>
        <w:t>’</w:t>
      </w:r>
      <w:r w:rsidRPr="00BC16EE">
        <w:rPr>
          <w:rFonts w:ascii="Times New Roman" w:hAnsi="Times New Roman" w:eastAsia="Times New Roman" w:cs="Times New Roman"/>
          <w:szCs w:val="24"/>
          <w:lang w:val="fr-FR" w:eastAsia="fr-FR"/>
        </w:rPr>
        <w:t>a pas eu une issue favorable pour la personne concernée ne signifie pas en lui-même que l</w:t>
      </w:r>
      <w:r w:rsidRPr="00BC16EE" w:rsidR="00BC16EE">
        <w:rPr>
          <w:rFonts w:ascii="Times New Roman" w:hAnsi="Times New Roman" w:eastAsia="Times New Roman" w:cs="Times New Roman"/>
          <w:szCs w:val="24"/>
          <w:lang w:val="fr-FR" w:eastAsia="fr-FR"/>
        </w:rPr>
        <w:t>’</w:t>
      </w:r>
      <w:r w:rsidRPr="00BC16EE">
        <w:rPr>
          <w:rFonts w:ascii="Times New Roman" w:hAnsi="Times New Roman" w:eastAsia="Times New Roman" w:cs="Times New Roman"/>
          <w:szCs w:val="24"/>
          <w:lang w:val="fr-FR" w:eastAsia="fr-FR"/>
        </w:rPr>
        <w:t>État défendeur a failli à l</w:t>
      </w:r>
      <w:r w:rsidRPr="00BC16EE" w:rsidR="00BC16EE">
        <w:rPr>
          <w:rFonts w:ascii="Times New Roman" w:hAnsi="Times New Roman" w:eastAsia="Times New Roman" w:cs="Times New Roman"/>
          <w:szCs w:val="24"/>
          <w:lang w:val="fr-FR" w:eastAsia="fr-FR"/>
        </w:rPr>
        <w:t>’</w:t>
      </w:r>
      <w:r w:rsidRPr="00BC16EE">
        <w:rPr>
          <w:rFonts w:ascii="Times New Roman" w:hAnsi="Times New Roman" w:eastAsia="Times New Roman" w:cs="Times New Roman"/>
          <w:szCs w:val="24"/>
          <w:lang w:val="fr-FR" w:eastAsia="fr-FR"/>
        </w:rPr>
        <w:t>obligation positive qui lui incombe au titre de l</w:t>
      </w:r>
      <w:r w:rsidRPr="00BC16EE" w:rsidR="00BC16EE">
        <w:rPr>
          <w:rFonts w:ascii="Times New Roman" w:hAnsi="Times New Roman" w:eastAsia="Times New Roman" w:cs="Times New Roman"/>
          <w:szCs w:val="24"/>
          <w:lang w:val="fr-FR" w:eastAsia="fr-FR"/>
        </w:rPr>
        <w:t>’</w:t>
      </w:r>
      <w:r w:rsidRPr="00BC16EE">
        <w:rPr>
          <w:rFonts w:ascii="Times New Roman" w:hAnsi="Times New Roman" w:eastAsia="Times New Roman" w:cs="Times New Roman"/>
          <w:szCs w:val="24"/>
          <w:lang w:val="fr-FR" w:eastAsia="fr-FR"/>
        </w:rPr>
        <w:t>article 2 de la Convention (</w:t>
      </w:r>
      <w:proofErr w:type="spellStart"/>
      <w:r w:rsidRPr="00BC16EE">
        <w:rPr>
          <w:rFonts w:ascii="Times New Roman" w:hAnsi="Times New Roman" w:eastAsia="Times New Roman" w:cs="Times New Roman"/>
          <w:i/>
          <w:szCs w:val="24"/>
          <w:lang w:val="fr-FR" w:eastAsia="fr-FR"/>
        </w:rPr>
        <w:t>Besen</w:t>
      </w:r>
      <w:proofErr w:type="spellEnd"/>
      <w:r w:rsidRPr="00BC16EE">
        <w:rPr>
          <w:rFonts w:ascii="Times New Roman" w:hAnsi="Times New Roman" w:eastAsia="Times New Roman" w:cs="Times New Roman"/>
          <w:i/>
          <w:szCs w:val="24"/>
          <w:lang w:val="fr-FR" w:eastAsia="fr-FR"/>
        </w:rPr>
        <w:t xml:space="preserve"> c. Turquie</w:t>
      </w:r>
      <w:r w:rsidRPr="00BC16EE">
        <w:rPr>
          <w:rFonts w:ascii="Times New Roman" w:hAnsi="Times New Roman" w:eastAsia="Times New Roman" w:cs="Times New Roman"/>
          <w:szCs w:val="24"/>
          <w:lang w:val="fr-FR" w:eastAsia="fr-FR"/>
        </w:rPr>
        <w:t xml:space="preserve"> (déc.), n</w:t>
      </w:r>
      <w:r w:rsidRPr="00BC16EE">
        <w:rPr>
          <w:rFonts w:ascii="Times New Roman" w:hAnsi="Times New Roman" w:eastAsia="Times New Roman" w:cs="Times New Roman"/>
          <w:szCs w:val="24"/>
          <w:vertAlign w:val="superscript"/>
          <w:lang w:val="fr-FR" w:eastAsia="fr-FR"/>
        </w:rPr>
        <w:t>o</w:t>
      </w:r>
      <w:r w:rsidRPr="00BC16EE">
        <w:rPr>
          <w:rFonts w:ascii="Times New Roman" w:hAnsi="Times New Roman" w:eastAsia="Times New Roman" w:cs="Times New Roman"/>
          <w:szCs w:val="24"/>
          <w:lang w:val="fr-FR" w:eastAsia="fr-FR"/>
        </w:rPr>
        <w:t xml:space="preserve"> 48915/09, § 38 </w:t>
      </w:r>
      <w:r w:rsidRPr="00BC16EE">
        <w:rPr>
          <w:rFonts w:ascii="Times New Roman" w:hAnsi="Times New Roman" w:eastAsia="Times New Roman" w:cs="Times New Roman"/>
          <w:i/>
          <w:szCs w:val="24"/>
          <w:lang w:val="fr-FR" w:eastAsia="fr-FR"/>
        </w:rPr>
        <w:t>in fine</w:t>
      </w:r>
      <w:r w:rsidRPr="00BC16EE">
        <w:rPr>
          <w:rFonts w:ascii="Times New Roman" w:hAnsi="Times New Roman" w:eastAsia="Times New Roman" w:cs="Times New Roman"/>
          <w:szCs w:val="24"/>
          <w:lang w:val="fr-FR" w:eastAsia="fr-FR"/>
        </w:rPr>
        <w:t xml:space="preserve">, 19 juin 2012, et </w:t>
      </w:r>
      <w:r w:rsidRPr="00BC16EE">
        <w:rPr>
          <w:rFonts w:ascii="Times New Roman" w:hAnsi="Times New Roman" w:eastAsia="Times New Roman" w:cs="Times New Roman"/>
          <w:i/>
          <w:szCs w:val="24"/>
          <w:lang w:val="fr-FR" w:eastAsia="fr-FR"/>
        </w:rPr>
        <w:t>E.M. et autres c. Roumanie</w:t>
      </w:r>
      <w:r w:rsidRPr="00BC16EE">
        <w:rPr>
          <w:rFonts w:ascii="Times New Roman" w:hAnsi="Times New Roman" w:eastAsia="Times New Roman" w:cs="Times New Roman"/>
          <w:szCs w:val="24"/>
          <w:lang w:val="fr-FR" w:eastAsia="fr-FR"/>
        </w:rPr>
        <w:t xml:space="preserve"> (déc.), n</w:t>
      </w:r>
      <w:r w:rsidRPr="00BC16EE">
        <w:rPr>
          <w:rFonts w:ascii="Times New Roman" w:hAnsi="Times New Roman" w:eastAsia="Times New Roman" w:cs="Times New Roman"/>
          <w:szCs w:val="24"/>
          <w:vertAlign w:val="superscript"/>
          <w:lang w:val="fr-FR" w:eastAsia="fr-FR"/>
        </w:rPr>
        <w:t>o </w:t>
      </w:r>
      <w:r w:rsidRPr="00BC16EE">
        <w:rPr>
          <w:rFonts w:ascii="Times New Roman" w:hAnsi="Times New Roman" w:eastAsia="Times New Roman" w:cs="Times New Roman"/>
          <w:szCs w:val="24"/>
          <w:lang w:val="fr-FR" w:eastAsia="fr-FR"/>
        </w:rPr>
        <w:t>20192/07, § 50, 3 juin 2014).</w:t>
      </w:r>
    </w:p>
    <w:p w:rsidRPr="00BC16EE" w:rsidR="00C96842" w:rsidP="00BC16EE" w:rsidRDefault="00C96842">
      <w:pPr>
        <w:pStyle w:val="ECHRHeading4"/>
        <w:rPr>
          <w:rFonts w:eastAsia="Times New Roman"/>
          <w:lang w:val="fr-FR" w:eastAsia="fr-FR"/>
        </w:rPr>
      </w:pPr>
      <w:r w:rsidRPr="00BC16EE">
        <w:rPr>
          <w:lang w:val="fr-FR"/>
        </w:rPr>
        <w:t>b</w:t>
      </w:r>
      <w:r w:rsidRPr="00BC16EE">
        <w:rPr>
          <w:b w:val="0"/>
          <w:lang w:val="fr-FR"/>
        </w:rPr>
        <w:t>)  </w:t>
      </w:r>
      <w:r w:rsidRPr="00BC16EE">
        <w:rPr>
          <w:lang w:val="fr-FR"/>
        </w:rPr>
        <w:t>Application des principes à la présente espèce</w:t>
      </w:r>
    </w:p>
    <w:p w:rsidRPr="00BC16EE" w:rsidR="00C96842" w:rsidP="00BC16EE" w:rsidRDefault="00C96842">
      <w:pPr>
        <w:pStyle w:val="ECHRPara"/>
        <w:rPr>
          <w:lang w:val="fr-FR"/>
        </w:rPr>
      </w:pPr>
      <w:r w:rsidRPr="00BC16EE">
        <w:rPr>
          <w:rFonts w:ascii="Times New Roman" w:hAnsi="Times New Roman" w:eastAsia="Times New Roman" w:cs="Times New Roman"/>
          <w:szCs w:val="24"/>
          <w:lang w:eastAsia="fr-FR"/>
        </w:rPr>
        <w:fldChar w:fldCharType="begin"/>
      </w:r>
      <w:r w:rsidRPr="00BC16EE">
        <w:rPr>
          <w:rFonts w:ascii="Times New Roman" w:hAnsi="Times New Roman" w:eastAsia="Times New Roman" w:cs="Times New Roman"/>
          <w:szCs w:val="24"/>
          <w:lang w:val="fr-FR" w:eastAsia="fr-FR"/>
        </w:rPr>
        <w:instrText xml:space="preserve"> SEQ level0 \*arabic </w:instrText>
      </w:r>
      <w:r w:rsidRPr="00BC16EE">
        <w:rPr>
          <w:rFonts w:ascii="Times New Roman" w:hAnsi="Times New Roman" w:eastAsia="Times New Roman" w:cs="Times New Roman"/>
          <w:szCs w:val="24"/>
          <w:lang w:eastAsia="fr-FR"/>
        </w:rPr>
        <w:fldChar w:fldCharType="separate"/>
      </w:r>
      <w:r w:rsidRPr="00BC16EE" w:rsidR="00BC16EE">
        <w:rPr>
          <w:rFonts w:ascii="Times New Roman" w:hAnsi="Times New Roman" w:eastAsia="Times New Roman" w:cs="Times New Roman"/>
          <w:noProof/>
          <w:szCs w:val="24"/>
          <w:lang w:val="fr-FR" w:eastAsia="fr-FR"/>
        </w:rPr>
        <w:t>44</w:t>
      </w:r>
      <w:r w:rsidRPr="00BC16EE">
        <w:rPr>
          <w:rFonts w:ascii="Times New Roman" w:hAnsi="Times New Roman" w:eastAsia="Times New Roman" w:cs="Times New Roman"/>
          <w:szCs w:val="24"/>
          <w:lang w:eastAsia="fr-FR"/>
        </w:rPr>
        <w:fldChar w:fldCharType="end"/>
      </w:r>
      <w:r w:rsidRPr="00BC16EE">
        <w:rPr>
          <w:rFonts w:ascii="Times New Roman" w:hAnsi="Times New Roman" w:eastAsia="Times New Roman" w:cs="Times New Roman"/>
          <w:szCs w:val="24"/>
          <w:lang w:val="fr-FR" w:eastAsia="fr-FR"/>
        </w:rPr>
        <w:t xml:space="preserve">.  La </w:t>
      </w:r>
      <w:r w:rsidRPr="00BC16EE">
        <w:rPr>
          <w:lang w:val="fr-FR"/>
        </w:rPr>
        <w:t>Cour constate que les requérantes n</w:t>
      </w:r>
      <w:r w:rsidRPr="00BC16EE" w:rsidR="00BC16EE">
        <w:rPr>
          <w:lang w:val="fr-FR"/>
        </w:rPr>
        <w:t>’</w:t>
      </w:r>
      <w:r w:rsidRPr="00BC16EE">
        <w:rPr>
          <w:lang w:val="fr-FR"/>
        </w:rPr>
        <w:t>allèguent ni explicitement ni implicitement que la mort de leur proche a été provoquée intentionnellement. Elles soutiennent qu</w:t>
      </w:r>
      <w:r w:rsidRPr="00BC16EE" w:rsidR="00BC16EE">
        <w:rPr>
          <w:lang w:val="fr-FR"/>
        </w:rPr>
        <w:t>’</w:t>
      </w:r>
      <w:r w:rsidRPr="00BC16EE">
        <w:rPr>
          <w:lang w:val="fr-FR"/>
        </w:rPr>
        <w:t>il est décédé des suites d</w:t>
      </w:r>
      <w:r w:rsidRPr="00BC16EE" w:rsidR="00BC16EE">
        <w:rPr>
          <w:lang w:val="fr-FR"/>
        </w:rPr>
        <w:t>’</w:t>
      </w:r>
      <w:r w:rsidRPr="00BC16EE">
        <w:rPr>
          <w:lang w:val="fr-FR"/>
        </w:rPr>
        <w:t>une panne de la bouteille d</w:t>
      </w:r>
      <w:r w:rsidRPr="00BC16EE" w:rsidR="00BC16EE">
        <w:rPr>
          <w:lang w:val="fr-FR"/>
        </w:rPr>
        <w:t>’</w:t>
      </w:r>
      <w:r w:rsidRPr="00BC16EE">
        <w:rPr>
          <w:lang w:val="fr-FR"/>
        </w:rPr>
        <w:t>oxygène et de diverses négligences médicales qui auraient été commises tout au long de sa prise en charge, et que le personnel médical affecté à ses soins n</w:t>
      </w:r>
      <w:r w:rsidRPr="00BC16EE" w:rsidR="00BC16EE">
        <w:rPr>
          <w:lang w:val="fr-FR"/>
        </w:rPr>
        <w:t>’</w:t>
      </w:r>
      <w:r w:rsidRPr="00BC16EE">
        <w:rPr>
          <w:lang w:val="fr-FR"/>
        </w:rPr>
        <w:t>a pas pris les mesures adéquates pour le sauver. Elles estiment que les juridictions nationales n</w:t>
      </w:r>
      <w:r w:rsidRPr="00BC16EE" w:rsidR="00BC16EE">
        <w:rPr>
          <w:lang w:val="fr-FR"/>
        </w:rPr>
        <w:t>’</w:t>
      </w:r>
      <w:r w:rsidRPr="00BC16EE">
        <w:rPr>
          <w:lang w:val="fr-FR"/>
        </w:rPr>
        <w:t>ont pas répondu à cette situation avec la promptitude, la réactivité et la diligence nécessaires, et que le mécanisme judiciaire n</w:t>
      </w:r>
      <w:r w:rsidRPr="00BC16EE" w:rsidR="00BC16EE">
        <w:rPr>
          <w:lang w:val="fr-FR"/>
        </w:rPr>
        <w:t>’</w:t>
      </w:r>
      <w:r w:rsidRPr="00BC16EE">
        <w:rPr>
          <w:lang w:val="fr-FR"/>
        </w:rPr>
        <w:t>a pas fonctionné d</w:t>
      </w:r>
      <w:r w:rsidRPr="00BC16EE" w:rsidR="00BC16EE">
        <w:rPr>
          <w:lang w:val="fr-FR"/>
        </w:rPr>
        <w:t>’</w:t>
      </w:r>
      <w:r w:rsidRPr="00BC16EE">
        <w:rPr>
          <w:lang w:val="fr-FR"/>
        </w:rPr>
        <w:t>une manière appropriée pour permettre de déterminer la cause du décès, de faire en sorte, le cas échéant, que les responsables aient à répondre de leurs actes et de remédier aux éventuels dysfonctionnements dans le service hospitalier.</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45</w:t>
      </w:r>
      <w:r w:rsidRPr="00BC16EE">
        <w:fldChar w:fldCharType="end"/>
      </w:r>
      <w:r w:rsidRPr="00BC16EE">
        <w:rPr>
          <w:lang w:val="fr-FR"/>
        </w:rPr>
        <w:t>.  La Cour souligne d</w:t>
      </w:r>
      <w:r w:rsidRPr="00BC16EE" w:rsidR="00BC16EE">
        <w:rPr>
          <w:lang w:val="fr-FR"/>
        </w:rPr>
        <w:t>’</w:t>
      </w:r>
      <w:r w:rsidRPr="00BC16EE">
        <w:rPr>
          <w:lang w:val="fr-FR"/>
        </w:rPr>
        <w:t>emblée qu</w:t>
      </w:r>
      <w:r w:rsidRPr="00BC16EE" w:rsidR="00BC16EE">
        <w:rPr>
          <w:lang w:val="fr-FR"/>
        </w:rPr>
        <w:t>’</w:t>
      </w:r>
      <w:r w:rsidRPr="00BC16EE">
        <w:rPr>
          <w:lang w:val="fr-FR"/>
        </w:rPr>
        <w:t>il ne lui appartient pas de revenir sur l</w:t>
      </w:r>
      <w:r w:rsidRPr="00BC16EE" w:rsidR="00BC16EE">
        <w:rPr>
          <w:lang w:val="fr-FR"/>
        </w:rPr>
        <w:t>’</w:t>
      </w:r>
      <w:r w:rsidRPr="00BC16EE">
        <w:rPr>
          <w:lang w:val="fr-FR"/>
        </w:rPr>
        <w:t>appréciation qu</w:t>
      </w:r>
      <w:r w:rsidRPr="00BC16EE" w:rsidR="00BC16EE">
        <w:rPr>
          <w:lang w:val="fr-FR"/>
        </w:rPr>
        <w:t>’</w:t>
      </w:r>
      <w:r w:rsidRPr="00BC16EE">
        <w:rPr>
          <w:lang w:val="fr-FR"/>
        </w:rPr>
        <w:t>ont faite des professionnels de la santé de l</w:t>
      </w:r>
      <w:r w:rsidRPr="00BC16EE" w:rsidR="00BC16EE">
        <w:rPr>
          <w:lang w:val="fr-FR"/>
        </w:rPr>
        <w:t>’</w:t>
      </w:r>
      <w:r w:rsidRPr="00BC16EE">
        <w:rPr>
          <w:lang w:val="fr-FR"/>
        </w:rPr>
        <w:t>état d</w:t>
      </w:r>
      <w:r w:rsidRPr="00BC16EE" w:rsidR="00BC16EE">
        <w:rPr>
          <w:lang w:val="fr-FR"/>
        </w:rPr>
        <w:t>’</w:t>
      </w:r>
      <w:r w:rsidRPr="00BC16EE">
        <w:rPr>
          <w:lang w:val="fr-FR"/>
        </w:rPr>
        <w:t>un patient désormais décédé, ni sur leurs décisions quant au traitement qui aurait dû lui être administré (</w:t>
      </w:r>
      <w:r w:rsidRPr="00BC16EE">
        <w:rPr>
          <w:i/>
          <w:lang w:val="fr-FR"/>
        </w:rPr>
        <w:t>Glass c. Royaume</w:t>
      </w:r>
      <w:r w:rsidRPr="00BC16EE">
        <w:rPr>
          <w:i/>
          <w:lang w:val="fr-FR"/>
        </w:rPr>
        <w:noBreakHyphen/>
        <w:t>Uni</w:t>
      </w:r>
      <w:r w:rsidRPr="00BC16EE">
        <w:rPr>
          <w:lang w:val="fr-FR"/>
        </w:rPr>
        <w:t xml:space="preserve"> (déc.), n</w:t>
      </w:r>
      <w:r w:rsidRPr="00BC16EE">
        <w:rPr>
          <w:vertAlign w:val="superscript"/>
          <w:lang w:val="fr-FR"/>
        </w:rPr>
        <w:t>o </w:t>
      </w:r>
      <w:r w:rsidRPr="00BC16EE">
        <w:rPr>
          <w:lang w:val="fr-FR"/>
        </w:rPr>
        <w:t>61827/00, 18 mars 2003). Ces évaluations et décisions cliniques ont été respectivement effectuées et prises en fonction de l</w:t>
      </w:r>
      <w:r w:rsidRPr="00BC16EE" w:rsidR="00BC16EE">
        <w:rPr>
          <w:lang w:val="fr-FR"/>
        </w:rPr>
        <w:t>’</w:t>
      </w:r>
      <w:r w:rsidRPr="00BC16EE">
        <w:rPr>
          <w:lang w:val="fr-FR"/>
        </w:rPr>
        <w:t>état de santé du patient sur le moment et des conclusions du personnel médical quant aux mesures à prendre dans le cadre du traitement. À cet égard, la Cour observe que le traitement médical dispensé à M.</w:t>
      </w:r>
      <w:r w:rsidRPr="00BC16EE" w:rsidR="00DD270C">
        <w:rPr>
          <w:lang w:val="fr-FR"/>
        </w:rPr>
        <w:t xml:space="preserve"> </w:t>
      </w:r>
      <w:proofErr w:type="spellStart"/>
      <w:r w:rsidRPr="00BC16EE">
        <w:rPr>
          <w:lang w:val="fr-FR"/>
        </w:rPr>
        <w:t>Nayim</w:t>
      </w:r>
      <w:proofErr w:type="spellEnd"/>
      <w:r w:rsidRPr="00BC16EE">
        <w:rPr>
          <w:lang w:val="fr-FR"/>
        </w:rPr>
        <w:t xml:space="preserve"> </w:t>
      </w:r>
      <w:proofErr w:type="spellStart"/>
      <w:r w:rsidRPr="00BC16EE">
        <w:rPr>
          <w:lang w:val="fr-FR"/>
        </w:rPr>
        <w:t>Yirdem</w:t>
      </w:r>
      <w:proofErr w:type="spellEnd"/>
      <w:r w:rsidRPr="00BC16EE">
        <w:rPr>
          <w:lang w:val="fr-FR"/>
        </w:rPr>
        <w:t xml:space="preserve"> a fait l</w:t>
      </w:r>
      <w:r w:rsidRPr="00BC16EE" w:rsidR="00BC16EE">
        <w:rPr>
          <w:lang w:val="fr-FR"/>
        </w:rPr>
        <w:t>’</w:t>
      </w:r>
      <w:r w:rsidRPr="00BC16EE">
        <w:rPr>
          <w:lang w:val="fr-FR"/>
        </w:rPr>
        <w:t>objet d</w:t>
      </w:r>
      <w:r w:rsidRPr="00BC16EE" w:rsidR="00BC16EE">
        <w:rPr>
          <w:lang w:val="fr-FR"/>
        </w:rPr>
        <w:t>’</w:t>
      </w:r>
      <w:r w:rsidRPr="00BC16EE">
        <w:rPr>
          <w:lang w:val="fr-FR"/>
        </w:rPr>
        <w:t>un contrôle au niveau interne et qu</w:t>
      </w:r>
      <w:r w:rsidRPr="00BC16EE" w:rsidR="00BC16EE">
        <w:rPr>
          <w:lang w:val="fr-FR"/>
        </w:rPr>
        <w:t>’</w:t>
      </w:r>
      <w:r w:rsidRPr="00BC16EE">
        <w:rPr>
          <w:lang w:val="fr-FR"/>
        </w:rPr>
        <w:t>aucune des instances judiciaires saisies des allégations formulées par les requérantes n</w:t>
      </w:r>
      <w:r w:rsidRPr="00BC16EE" w:rsidR="00BC16EE">
        <w:rPr>
          <w:lang w:val="fr-FR"/>
        </w:rPr>
        <w:t>’</w:t>
      </w:r>
      <w:r w:rsidRPr="00BC16EE">
        <w:rPr>
          <w:lang w:val="fr-FR"/>
        </w:rPr>
        <w:t>a conclu en définitive à une quelconque faute dans le traitement médical qui lui a été prodigué.</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46</w:t>
      </w:r>
      <w:r w:rsidRPr="00BC16EE">
        <w:fldChar w:fldCharType="end"/>
      </w:r>
      <w:r w:rsidRPr="00BC16EE">
        <w:rPr>
          <w:lang w:val="fr-FR"/>
        </w:rPr>
        <w:t>.  À cet égard, la Cour rappelle que, sauf en cas d</w:t>
      </w:r>
      <w:r w:rsidRPr="00BC16EE" w:rsidR="00BC16EE">
        <w:rPr>
          <w:lang w:val="fr-FR"/>
        </w:rPr>
        <w:t>’</w:t>
      </w:r>
      <w:r w:rsidRPr="00BC16EE">
        <w:rPr>
          <w:lang w:val="fr-FR"/>
        </w:rPr>
        <w:t>arbitraire ou d</w:t>
      </w:r>
      <w:r w:rsidRPr="00BC16EE" w:rsidR="00BC16EE">
        <w:rPr>
          <w:lang w:val="fr-FR"/>
        </w:rPr>
        <w:t>’</w:t>
      </w:r>
      <w:r w:rsidRPr="00BC16EE">
        <w:rPr>
          <w:lang w:val="fr-FR"/>
        </w:rPr>
        <w:t>erreur manifeste, elle n</w:t>
      </w:r>
      <w:r w:rsidRPr="00BC16EE" w:rsidR="00BC16EE">
        <w:rPr>
          <w:lang w:val="fr-FR"/>
        </w:rPr>
        <w:t>’</w:t>
      </w:r>
      <w:r w:rsidRPr="00BC16EE">
        <w:rPr>
          <w:lang w:val="fr-FR"/>
        </w:rPr>
        <w:t>a pas pour tâche de remettre en question les constats de fait opérés par les autorités internes. Cela vaut particulièrement pour les expertises scientifiques, lesquelles par définition nécessitent une connaissance spéciale et approfondie du sujet (</w:t>
      </w:r>
      <w:proofErr w:type="spellStart"/>
      <w:r w:rsidRPr="00BC16EE">
        <w:rPr>
          <w:i/>
          <w:lang w:val="fr-FR"/>
        </w:rPr>
        <w:t>Počkajevs</w:t>
      </w:r>
      <w:proofErr w:type="spellEnd"/>
      <w:r w:rsidRPr="00BC16EE">
        <w:rPr>
          <w:i/>
          <w:lang w:val="fr-FR"/>
        </w:rPr>
        <w:t xml:space="preserve"> c. Lettonie</w:t>
      </w:r>
      <w:r w:rsidRPr="00BC16EE">
        <w:rPr>
          <w:lang w:val="fr-FR"/>
        </w:rPr>
        <w:t>, (déc.), n</w:t>
      </w:r>
      <w:r w:rsidRPr="00BC16EE">
        <w:rPr>
          <w:vertAlign w:val="superscript"/>
          <w:lang w:val="fr-FR"/>
        </w:rPr>
        <w:t>o </w:t>
      </w:r>
      <w:r w:rsidRPr="00BC16EE">
        <w:rPr>
          <w:lang w:val="fr-FR"/>
        </w:rPr>
        <w:t>76774/01, 21 octobre 2004). Il s</w:t>
      </w:r>
      <w:r w:rsidRPr="00BC16EE" w:rsidR="00BC16EE">
        <w:rPr>
          <w:lang w:val="fr-FR"/>
        </w:rPr>
        <w:t>’</w:t>
      </w:r>
      <w:r w:rsidRPr="00BC16EE">
        <w:rPr>
          <w:lang w:val="fr-FR"/>
        </w:rPr>
        <w:t>ensuit qu</w:t>
      </w:r>
      <w:r w:rsidRPr="00BC16EE" w:rsidR="00BC16EE">
        <w:rPr>
          <w:lang w:val="fr-FR"/>
        </w:rPr>
        <w:t>’</w:t>
      </w:r>
      <w:r w:rsidRPr="00BC16EE">
        <w:rPr>
          <w:lang w:val="fr-FR"/>
        </w:rPr>
        <w:t>il faut examiner les circonstances qui ont abouti au décès du proche des requérantes et la responsabilité alléguée des professionnels de la santé qui l</w:t>
      </w:r>
      <w:r w:rsidRPr="00BC16EE" w:rsidR="00BC16EE">
        <w:rPr>
          <w:lang w:val="fr-FR"/>
        </w:rPr>
        <w:t>’</w:t>
      </w:r>
      <w:r w:rsidRPr="00BC16EE">
        <w:rPr>
          <w:lang w:val="fr-FR"/>
        </w:rPr>
        <w:t>ont pris en charge en recherchant si les mécanismes existants permettaient de faire la lumière sur le cours des événements.</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47</w:t>
      </w:r>
      <w:r w:rsidRPr="00BC16EE">
        <w:fldChar w:fldCharType="end"/>
      </w:r>
      <w:r w:rsidRPr="00BC16EE">
        <w:rPr>
          <w:lang w:val="fr-FR"/>
        </w:rPr>
        <w:t>.  En l</w:t>
      </w:r>
      <w:r w:rsidRPr="00BC16EE" w:rsidR="00BC16EE">
        <w:rPr>
          <w:lang w:val="fr-FR"/>
        </w:rPr>
        <w:t>’</w:t>
      </w:r>
      <w:r w:rsidRPr="00BC16EE">
        <w:rPr>
          <w:lang w:val="fr-FR"/>
        </w:rPr>
        <w:t>espèce, les requérantes n</w:t>
      </w:r>
      <w:r w:rsidRPr="00BC16EE" w:rsidR="00BC16EE">
        <w:rPr>
          <w:lang w:val="fr-FR"/>
        </w:rPr>
        <w:t>’</w:t>
      </w:r>
      <w:r w:rsidRPr="00BC16EE">
        <w:rPr>
          <w:lang w:val="fr-FR"/>
        </w:rPr>
        <w:t>allèguent pas que l</w:t>
      </w:r>
      <w:r w:rsidRPr="00BC16EE" w:rsidR="00BC16EE">
        <w:rPr>
          <w:lang w:val="fr-FR"/>
        </w:rPr>
        <w:t>’</w:t>
      </w:r>
      <w:r w:rsidRPr="00BC16EE">
        <w:rPr>
          <w:lang w:val="fr-FR"/>
        </w:rPr>
        <w:t>on ait privé leur proche de l</w:t>
      </w:r>
      <w:r w:rsidRPr="00BC16EE" w:rsidR="00BC16EE">
        <w:rPr>
          <w:lang w:val="fr-FR"/>
        </w:rPr>
        <w:t>’</w:t>
      </w:r>
      <w:r w:rsidRPr="00BC16EE">
        <w:rPr>
          <w:lang w:val="fr-FR"/>
        </w:rPr>
        <w:t>accès à un traitement médical en général ou à des soins d</w:t>
      </w:r>
      <w:r w:rsidRPr="00BC16EE" w:rsidR="00BC16EE">
        <w:rPr>
          <w:lang w:val="fr-FR"/>
        </w:rPr>
        <w:t>’</w:t>
      </w:r>
      <w:r w:rsidRPr="00BC16EE">
        <w:rPr>
          <w:lang w:val="fr-FR"/>
        </w:rPr>
        <w:t>urgence en particulier – et rien dans le dossier n</w:t>
      </w:r>
      <w:r w:rsidRPr="00BC16EE" w:rsidR="00BC16EE">
        <w:rPr>
          <w:lang w:val="fr-FR"/>
        </w:rPr>
        <w:t>’</w:t>
      </w:r>
      <w:r w:rsidRPr="00BC16EE">
        <w:rPr>
          <w:lang w:val="fr-FR"/>
        </w:rPr>
        <w:t>indique non plus que tel ait pu être le cas – mais qu</w:t>
      </w:r>
      <w:r w:rsidRPr="00BC16EE" w:rsidR="00BC16EE">
        <w:rPr>
          <w:lang w:val="fr-FR"/>
        </w:rPr>
        <w:t>’</w:t>
      </w:r>
      <w:r w:rsidRPr="00BC16EE">
        <w:rPr>
          <w:lang w:val="fr-FR"/>
        </w:rPr>
        <w:t>il a été soumis à un traitement défaillant parce que les médecins qui l</w:t>
      </w:r>
      <w:r w:rsidRPr="00BC16EE" w:rsidR="00BC16EE">
        <w:rPr>
          <w:lang w:val="fr-FR"/>
        </w:rPr>
        <w:t>’</w:t>
      </w:r>
      <w:r w:rsidRPr="00BC16EE">
        <w:rPr>
          <w:lang w:val="fr-FR"/>
        </w:rPr>
        <w:t>ont traité ont été négligents.</w:t>
      </w:r>
    </w:p>
    <w:p w:rsidRPr="00BC16EE" w:rsidR="00C96842" w:rsidP="00BC16EE" w:rsidRDefault="00C96842">
      <w:pPr>
        <w:pStyle w:val="ECHRPara"/>
        <w:rPr>
          <w:snapToGrid w:val="0"/>
          <w:lang w:val="pt-PT"/>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48</w:t>
      </w:r>
      <w:r w:rsidRPr="00BC16EE">
        <w:fldChar w:fldCharType="end"/>
      </w:r>
      <w:r w:rsidRPr="00BC16EE">
        <w:rPr>
          <w:lang w:val="fr-FR"/>
        </w:rPr>
        <w:t>.  De plus, la Cour considère qu</w:t>
      </w:r>
      <w:r w:rsidRPr="00BC16EE" w:rsidR="00BC16EE">
        <w:rPr>
          <w:lang w:val="fr-FR"/>
        </w:rPr>
        <w:t>’</w:t>
      </w:r>
      <w:r w:rsidRPr="00BC16EE">
        <w:rPr>
          <w:lang w:val="fr-FR"/>
        </w:rPr>
        <w:t>il n</w:t>
      </w:r>
      <w:r w:rsidRPr="00BC16EE" w:rsidR="00BC16EE">
        <w:rPr>
          <w:lang w:val="fr-FR"/>
        </w:rPr>
        <w:t>’</w:t>
      </w:r>
      <w:r w:rsidRPr="00BC16EE">
        <w:rPr>
          <w:lang w:val="fr-FR"/>
        </w:rPr>
        <w:t>a pas été produit en l</w:t>
      </w:r>
      <w:r w:rsidRPr="00BC16EE" w:rsidR="00BC16EE">
        <w:rPr>
          <w:lang w:val="fr-FR"/>
        </w:rPr>
        <w:t>’</w:t>
      </w:r>
      <w:r w:rsidRPr="00BC16EE">
        <w:rPr>
          <w:lang w:val="fr-FR"/>
        </w:rPr>
        <w:t>espèce d</w:t>
      </w:r>
      <w:r w:rsidRPr="00BC16EE" w:rsidR="00BC16EE">
        <w:rPr>
          <w:lang w:val="fr-FR"/>
        </w:rPr>
        <w:t>’</w:t>
      </w:r>
      <w:r w:rsidRPr="00BC16EE">
        <w:rPr>
          <w:lang w:val="fr-FR"/>
        </w:rPr>
        <w:t>éléments suffisants pour démontrer qu</w:t>
      </w:r>
      <w:r w:rsidRPr="00BC16EE" w:rsidR="00BC16EE">
        <w:rPr>
          <w:lang w:val="fr-FR"/>
        </w:rPr>
        <w:t>’</w:t>
      </w:r>
      <w:r w:rsidRPr="00BC16EE">
        <w:rPr>
          <w:lang w:val="fr-FR"/>
        </w:rPr>
        <w:t>il existait à l</w:t>
      </w:r>
      <w:r w:rsidRPr="00BC16EE" w:rsidR="00BC16EE">
        <w:rPr>
          <w:lang w:val="fr-FR"/>
        </w:rPr>
        <w:t>’</w:t>
      </w:r>
      <w:r w:rsidRPr="00BC16EE">
        <w:rPr>
          <w:lang w:val="fr-FR"/>
        </w:rPr>
        <w:t>époque des faits un quelconque dysfonctionnement systémique ou structurel touchant les hôpitaux où le proche des requérantes avait été traité, dont les autorités avaient ou auraient dû avoir connaissance et à l</w:t>
      </w:r>
      <w:r w:rsidRPr="00BC16EE" w:rsidR="00BC16EE">
        <w:rPr>
          <w:lang w:val="fr-FR"/>
        </w:rPr>
        <w:t>’</w:t>
      </w:r>
      <w:r w:rsidRPr="00BC16EE">
        <w:rPr>
          <w:lang w:val="fr-FR"/>
        </w:rPr>
        <w:t>égard duquel elle n</w:t>
      </w:r>
      <w:r w:rsidRPr="00BC16EE" w:rsidR="00BC16EE">
        <w:rPr>
          <w:lang w:val="fr-FR"/>
        </w:rPr>
        <w:t>’</w:t>
      </w:r>
      <w:r w:rsidRPr="00BC16EE">
        <w:rPr>
          <w:lang w:val="fr-FR"/>
        </w:rPr>
        <w:t xml:space="preserve">ont pas pris les mesures préventives nécessaires, et que cette défaillance a contribué de manière déterminante au décès du proche des requérantes (comparer avec </w:t>
      </w:r>
      <w:proofErr w:type="spellStart"/>
      <w:r w:rsidRPr="00BC16EE">
        <w:rPr>
          <w:i/>
          <w:lang w:val="fr-FR"/>
        </w:rPr>
        <w:t>Asiye</w:t>
      </w:r>
      <w:proofErr w:type="spellEnd"/>
      <w:r w:rsidRPr="00BC16EE">
        <w:rPr>
          <w:i/>
          <w:lang w:val="fr-FR"/>
        </w:rPr>
        <w:t xml:space="preserve"> </w:t>
      </w:r>
      <w:proofErr w:type="spellStart"/>
      <w:r w:rsidRPr="00BC16EE">
        <w:rPr>
          <w:i/>
          <w:lang w:val="fr-FR"/>
        </w:rPr>
        <w:t>Genç</w:t>
      </w:r>
      <w:proofErr w:type="spellEnd"/>
      <w:r w:rsidRPr="00BC16EE">
        <w:rPr>
          <w:lang w:val="fr-FR"/>
        </w:rPr>
        <w:t xml:space="preserve">, précité, § 80, et </w:t>
      </w:r>
      <w:proofErr w:type="spellStart"/>
      <w:r w:rsidRPr="00BC16EE">
        <w:rPr>
          <w:i/>
          <w:lang w:val="pt-PT"/>
        </w:rPr>
        <w:t>Aydoğdu</w:t>
      </w:r>
      <w:proofErr w:type="spellEnd"/>
      <w:r w:rsidRPr="00BC16EE">
        <w:rPr>
          <w:i/>
          <w:lang w:val="pt-PT"/>
        </w:rPr>
        <w:t xml:space="preserve"> c. </w:t>
      </w:r>
      <w:proofErr w:type="spellStart"/>
      <w:r w:rsidRPr="00BC16EE">
        <w:rPr>
          <w:i/>
          <w:lang w:val="pt-PT"/>
        </w:rPr>
        <w:t>Turquie</w:t>
      </w:r>
      <w:proofErr w:type="spellEnd"/>
      <w:r w:rsidRPr="00BC16EE">
        <w:rPr>
          <w:lang w:val="pt-PT"/>
        </w:rPr>
        <w:t>, n</w:t>
      </w:r>
      <w:r w:rsidRPr="00BC16EE">
        <w:rPr>
          <w:vertAlign w:val="superscript"/>
          <w:lang w:val="pt-PT"/>
        </w:rPr>
        <w:t>o</w:t>
      </w:r>
      <w:r w:rsidRPr="00BC16EE">
        <w:rPr>
          <w:lang w:val="pt-PT"/>
        </w:rPr>
        <w:t xml:space="preserve"> 40448/06</w:t>
      </w:r>
      <w:r w:rsidRPr="00BC16EE">
        <w:rPr>
          <w:snapToGrid w:val="0"/>
          <w:lang w:val="pt-PT"/>
        </w:rPr>
        <w:t>, § 87, 30 </w:t>
      </w:r>
      <w:proofErr w:type="spellStart"/>
      <w:r w:rsidRPr="00BC16EE">
        <w:rPr>
          <w:lang w:val="pt-PT"/>
        </w:rPr>
        <w:t>août</w:t>
      </w:r>
      <w:proofErr w:type="spellEnd"/>
      <w:r w:rsidRPr="00BC16EE">
        <w:rPr>
          <w:snapToGrid w:val="0"/>
          <w:lang w:val="pt-PT"/>
        </w:rPr>
        <w:t xml:space="preserve"> 2016).</w:t>
      </w:r>
    </w:p>
    <w:p w:rsidRPr="00BC16EE" w:rsidR="00C96842" w:rsidP="00BC16EE" w:rsidRDefault="00C96842">
      <w:pPr>
        <w:pStyle w:val="ECHRPara"/>
        <w:rPr>
          <w:lang w:val="fr-FR"/>
        </w:rPr>
      </w:pPr>
      <w:r w:rsidRPr="00BC16EE">
        <w:rPr>
          <w:snapToGrid w:val="0"/>
          <w:lang w:val="pt-PT"/>
        </w:rPr>
        <w:fldChar w:fldCharType="begin"/>
      </w:r>
      <w:r w:rsidRPr="00BC16EE">
        <w:rPr>
          <w:snapToGrid w:val="0"/>
          <w:lang w:val="pt-PT"/>
        </w:rPr>
        <w:instrText xml:space="preserve"> SEQ level0 \*arabic </w:instrText>
      </w:r>
      <w:r w:rsidRPr="00BC16EE">
        <w:rPr>
          <w:snapToGrid w:val="0"/>
          <w:lang w:val="pt-PT"/>
        </w:rPr>
        <w:fldChar w:fldCharType="separate"/>
      </w:r>
      <w:r w:rsidRPr="00BC16EE" w:rsidR="00BC16EE">
        <w:rPr>
          <w:noProof/>
          <w:snapToGrid w:val="0"/>
          <w:lang w:val="pt-PT"/>
        </w:rPr>
        <w:t>49</w:t>
      </w:r>
      <w:r w:rsidRPr="00BC16EE">
        <w:rPr>
          <w:snapToGrid w:val="0"/>
          <w:lang w:val="pt-PT"/>
        </w:rPr>
        <w:fldChar w:fldCharType="end"/>
      </w:r>
      <w:r w:rsidRPr="00BC16EE">
        <w:rPr>
          <w:snapToGrid w:val="0"/>
          <w:lang w:val="pt-PT"/>
        </w:rPr>
        <w:t>.  </w:t>
      </w:r>
      <w:r w:rsidRPr="00BC16EE">
        <w:rPr>
          <w:lang w:val="fr-FR"/>
        </w:rPr>
        <w:t>Il n</w:t>
      </w:r>
      <w:r w:rsidRPr="00BC16EE" w:rsidR="00BC16EE">
        <w:rPr>
          <w:lang w:val="fr-FR"/>
        </w:rPr>
        <w:t>’</w:t>
      </w:r>
      <w:r w:rsidRPr="00BC16EE">
        <w:rPr>
          <w:lang w:val="fr-FR"/>
        </w:rPr>
        <w:t>a pas non plus été démontré que la faute prétendument commise par les professionnels de la santé soit allée au-delà d</w:t>
      </w:r>
      <w:r w:rsidRPr="00BC16EE" w:rsidR="00BC16EE">
        <w:rPr>
          <w:lang w:val="fr-FR"/>
        </w:rPr>
        <w:t>’</w:t>
      </w:r>
      <w:r w:rsidRPr="00BC16EE">
        <w:rPr>
          <w:lang w:val="fr-FR"/>
        </w:rPr>
        <w:t>une simple erreur ou négligence médicale ni que les personnes ayant participé à la prise en charge du proche des requérantes ne lui aient pas prodigué un traitement médical d</w:t>
      </w:r>
      <w:r w:rsidRPr="00BC16EE" w:rsidR="00BC16EE">
        <w:rPr>
          <w:lang w:val="fr-FR"/>
        </w:rPr>
        <w:t>’</w:t>
      </w:r>
      <w:r w:rsidRPr="00BC16EE">
        <w:rPr>
          <w:lang w:val="fr-FR"/>
        </w:rPr>
        <w:t>urgence, au mépris de leurs obligations professionnelles, alors qu</w:t>
      </w:r>
      <w:r w:rsidRPr="00BC16EE" w:rsidR="00BC16EE">
        <w:rPr>
          <w:lang w:val="fr-FR"/>
        </w:rPr>
        <w:t>’</w:t>
      </w:r>
      <w:r w:rsidRPr="00BC16EE">
        <w:rPr>
          <w:lang w:val="fr-FR"/>
        </w:rPr>
        <w:t>elles savaient pertinemment qu</w:t>
      </w:r>
      <w:r w:rsidRPr="00BC16EE" w:rsidR="00BC16EE">
        <w:rPr>
          <w:lang w:val="fr-FR"/>
        </w:rPr>
        <w:t>’</w:t>
      </w:r>
      <w:r w:rsidRPr="00BC16EE">
        <w:rPr>
          <w:lang w:val="fr-FR"/>
        </w:rPr>
        <w:t>une telle absence de traitement mettrait sa vie en danger.</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50</w:t>
      </w:r>
      <w:r w:rsidRPr="00BC16EE">
        <w:fldChar w:fldCharType="end"/>
      </w:r>
      <w:r w:rsidRPr="00BC16EE">
        <w:rPr>
          <w:lang w:val="fr-FR"/>
        </w:rPr>
        <w:t>.  Au vu de ce qui précède, la Cour considère que la présente affaire a pour objet des allégations de négligence médicale. Dans ces conditions, les obligations positives matérielles pesant sur la Turquie se limitent à la mise en place d</w:t>
      </w:r>
      <w:r w:rsidRPr="00BC16EE" w:rsidR="00BC16EE">
        <w:rPr>
          <w:lang w:val="fr-FR"/>
        </w:rPr>
        <w:t>’</w:t>
      </w:r>
      <w:r w:rsidRPr="00BC16EE">
        <w:rPr>
          <w:lang w:val="fr-FR"/>
        </w:rPr>
        <w:t>un cadre réglementaire adéquat imposant aux hôpitaux, qu</w:t>
      </w:r>
      <w:r w:rsidRPr="00BC16EE" w:rsidR="00BC16EE">
        <w:rPr>
          <w:lang w:val="fr-FR"/>
        </w:rPr>
        <w:t>’</w:t>
      </w:r>
      <w:r w:rsidRPr="00BC16EE">
        <w:rPr>
          <w:lang w:val="fr-FR"/>
        </w:rPr>
        <w:t>ils soient privés ou publics, d</w:t>
      </w:r>
      <w:r w:rsidRPr="00BC16EE" w:rsidR="00BC16EE">
        <w:rPr>
          <w:lang w:val="fr-FR"/>
        </w:rPr>
        <w:t>’</w:t>
      </w:r>
      <w:r w:rsidRPr="00BC16EE">
        <w:rPr>
          <w:lang w:val="fr-FR"/>
        </w:rPr>
        <w:t>adopter des mesures appropriées pour protéger la vie des patients (</w:t>
      </w:r>
      <w:r w:rsidRPr="00BC16EE">
        <w:rPr>
          <w:i/>
          <w:lang w:val="fr-FR"/>
        </w:rPr>
        <w:t>Lopes de Sousa Fernandes</w:t>
      </w:r>
      <w:r w:rsidRPr="00BC16EE">
        <w:rPr>
          <w:lang w:val="fr-FR"/>
        </w:rPr>
        <w:t>, précité, §§ 186 et 189).</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51</w:t>
      </w:r>
      <w:r w:rsidRPr="00BC16EE">
        <w:fldChar w:fldCharType="end"/>
      </w:r>
      <w:r w:rsidRPr="00BC16EE">
        <w:rPr>
          <w:lang w:val="fr-FR"/>
        </w:rPr>
        <w:t>.  La Cour estime que le cadre réglementaire en vigueur ne révèle aucun manquement de la part de l</w:t>
      </w:r>
      <w:r w:rsidRPr="00BC16EE" w:rsidR="00BC16EE">
        <w:rPr>
          <w:lang w:val="fr-FR"/>
        </w:rPr>
        <w:t>’</w:t>
      </w:r>
      <w:r w:rsidRPr="00BC16EE">
        <w:rPr>
          <w:lang w:val="fr-FR"/>
        </w:rPr>
        <w:t>État à l</w:t>
      </w:r>
      <w:r w:rsidRPr="00BC16EE" w:rsidR="00BC16EE">
        <w:rPr>
          <w:lang w:val="fr-FR"/>
        </w:rPr>
        <w:t>’</w:t>
      </w:r>
      <w:r w:rsidRPr="00BC16EE">
        <w:rPr>
          <w:lang w:val="fr-FR"/>
        </w:rPr>
        <w:t>obligation qui lui incombait de protéger le droit à la vie du proche des requérantes. Celles-ci ne dénoncent d</w:t>
      </w:r>
      <w:r w:rsidRPr="00BC16EE" w:rsidR="00BC16EE">
        <w:rPr>
          <w:lang w:val="fr-FR"/>
        </w:rPr>
        <w:t>’</w:t>
      </w:r>
      <w:r w:rsidRPr="00BC16EE">
        <w:rPr>
          <w:lang w:val="fr-FR"/>
        </w:rPr>
        <w:t>ailleurs pas un manquement de ce type.</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52</w:t>
      </w:r>
      <w:r w:rsidRPr="00BC16EE">
        <w:fldChar w:fldCharType="end"/>
      </w:r>
      <w:r w:rsidRPr="00BC16EE">
        <w:rPr>
          <w:lang w:val="fr-FR"/>
        </w:rPr>
        <w:t>.  Partant, la Cour dit qu</w:t>
      </w:r>
      <w:r w:rsidRPr="00BC16EE" w:rsidR="00BC16EE">
        <w:rPr>
          <w:lang w:val="fr-FR"/>
        </w:rPr>
        <w:t>’</w:t>
      </w:r>
      <w:r w:rsidRPr="00BC16EE">
        <w:rPr>
          <w:lang w:val="fr-FR"/>
        </w:rPr>
        <w:t>il n</w:t>
      </w:r>
      <w:r w:rsidRPr="00BC16EE" w:rsidR="00BC16EE">
        <w:rPr>
          <w:lang w:val="fr-FR"/>
        </w:rPr>
        <w:t>’</w:t>
      </w:r>
      <w:r w:rsidRPr="00BC16EE">
        <w:rPr>
          <w:lang w:val="fr-FR"/>
        </w:rPr>
        <w:t>y a pas eu violation de l</w:t>
      </w:r>
      <w:r w:rsidRPr="00BC16EE" w:rsidR="00BC16EE">
        <w:rPr>
          <w:lang w:val="fr-FR"/>
        </w:rPr>
        <w:t>’</w:t>
      </w:r>
      <w:r w:rsidRPr="00BC16EE">
        <w:rPr>
          <w:lang w:val="fr-FR"/>
        </w:rPr>
        <w:t>article 2 de la Convention sous son volet matériel.</w:t>
      </w:r>
    </w:p>
    <w:p w:rsidRPr="00BC16EE" w:rsidR="00C96842" w:rsidP="00BC16EE" w:rsidRDefault="00C96842">
      <w:pPr>
        <w:pStyle w:val="ECHRPara"/>
        <w:rPr>
          <w:rFonts w:ascii="Times New Roman" w:hAnsi="Times New Roman" w:eastAsia="Times New Roman" w:cs="Times New Roman"/>
          <w:szCs w:val="24"/>
          <w:lang w:val="fr-FR" w:eastAsia="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53</w:t>
      </w:r>
      <w:r w:rsidRPr="00BC16EE">
        <w:fldChar w:fldCharType="end"/>
      </w:r>
      <w:r w:rsidRPr="00BC16EE">
        <w:rPr>
          <w:lang w:val="fr-FR"/>
        </w:rPr>
        <w:t>.  La présente affaire ayant pour objet des allégations de négligence médicale, la Cour aura également pour tâche de</w:t>
      </w:r>
      <w:r w:rsidRPr="00BC16EE">
        <w:rPr>
          <w:rFonts w:ascii="Times New Roman" w:hAnsi="Times New Roman" w:eastAsia="Times New Roman" w:cs="Times New Roman"/>
          <w:szCs w:val="24"/>
          <w:lang w:val="fr-FR" w:eastAsia="fr-FR"/>
        </w:rPr>
        <w:t xml:space="preserve"> contrôler l</w:t>
      </w:r>
      <w:r w:rsidRPr="00BC16EE" w:rsidR="00BC16EE">
        <w:rPr>
          <w:rFonts w:ascii="Times New Roman" w:hAnsi="Times New Roman" w:eastAsia="Times New Roman" w:cs="Times New Roman"/>
          <w:szCs w:val="24"/>
          <w:lang w:val="fr-FR" w:eastAsia="fr-FR"/>
        </w:rPr>
        <w:t>’</w:t>
      </w:r>
      <w:r w:rsidRPr="00BC16EE">
        <w:rPr>
          <w:rFonts w:ascii="Times New Roman" w:hAnsi="Times New Roman" w:eastAsia="Times New Roman" w:cs="Times New Roman"/>
          <w:szCs w:val="24"/>
          <w:lang w:val="fr-FR" w:eastAsia="fr-FR"/>
        </w:rPr>
        <w:t xml:space="preserve">effectivité des recours dont les requérantes ont disposé et de déterminer ainsi si le système judiciaire a assuré </w:t>
      </w:r>
      <w:r w:rsidRPr="00BC16EE">
        <w:rPr>
          <w:lang w:val="fr-FR"/>
        </w:rPr>
        <w:t>la mise en œuvre adéquate du cadre législatif et réglementaire conçu pour protéger le droit à la vie des patients ; cela implique de vérifier si les procédures entamées ont permis aux requérantes de faire réellement examiner leurs allégations et de faire sanctionner toute méconnaissance éventuellement constatée de la réglementation par le personnel médical.</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54</w:t>
      </w:r>
      <w:r w:rsidRPr="00BC16EE">
        <w:fldChar w:fldCharType="end"/>
      </w:r>
      <w:r w:rsidRPr="00BC16EE">
        <w:rPr>
          <w:lang w:val="fr-FR"/>
        </w:rPr>
        <w:t>.  La Cour relève que les requérantes ont eu recours à deux procédures, l</w:t>
      </w:r>
      <w:r w:rsidRPr="00BC16EE" w:rsidR="00BC16EE">
        <w:rPr>
          <w:lang w:val="fr-FR"/>
        </w:rPr>
        <w:t>’</w:t>
      </w:r>
      <w:r w:rsidRPr="00BC16EE">
        <w:rPr>
          <w:lang w:val="fr-FR"/>
        </w:rPr>
        <w:t>une pénale et l</w:t>
      </w:r>
      <w:r w:rsidRPr="00BC16EE" w:rsidR="00BC16EE">
        <w:rPr>
          <w:lang w:val="fr-FR"/>
        </w:rPr>
        <w:t>’</w:t>
      </w:r>
      <w:r w:rsidRPr="00BC16EE">
        <w:rPr>
          <w:lang w:val="fr-FR"/>
        </w:rPr>
        <w:t>autre civile, pour faire valoir leurs droits. La première s</w:t>
      </w:r>
      <w:r w:rsidRPr="00BC16EE" w:rsidR="00BC16EE">
        <w:rPr>
          <w:lang w:val="fr-FR"/>
        </w:rPr>
        <w:t>’</w:t>
      </w:r>
      <w:r w:rsidRPr="00BC16EE">
        <w:rPr>
          <w:lang w:val="fr-FR"/>
        </w:rPr>
        <w:t>est soldée par l</w:t>
      </w:r>
      <w:r w:rsidRPr="00BC16EE" w:rsidR="00BC16EE">
        <w:rPr>
          <w:lang w:val="fr-FR"/>
        </w:rPr>
        <w:t>’</w:t>
      </w:r>
      <w:r w:rsidRPr="00BC16EE">
        <w:rPr>
          <w:lang w:val="fr-FR"/>
        </w:rPr>
        <w:t>acquittement des prévenus à l</w:t>
      </w:r>
      <w:r w:rsidRPr="00BC16EE" w:rsidR="00BC16EE">
        <w:rPr>
          <w:lang w:val="fr-FR"/>
        </w:rPr>
        <w:t>’</w:t>
      </w:r>
      <w:r w:rsidRPr="00BC16EE">
        <w:rPr>
          <w:lang w:val="fr-FR"/>
        </w:rPr>
        <w:t>issue d</w:t>
      </w:r>
      <w:r w:rsidRPr="00BC16EE" w:rsidR="00BC16EE">
        <w:rPr>
          <w:lang w:val="fr-FR"/>
        </w:rPr>
        <w:t>’</w:t>
      </w:r>
      <w:r w:rsidRPr="00BC16EE">
        <w:rPr>
          <w:lang w:val="fr-FR"/>
        </w:rPr>
        <w:t>une procédure qui a duré plus de neuf ans. Quant à la seconde, elle est pendante devant les juridictions nationales depuis 2004.</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55</w:t>
      </w:r>
      <w:r w:rsidRPr="00BC16EE">
        <w:fldChar w:fldCharType="end"/>
      </w:r>
      <w:r w:rsidRPr="00BC16EE">
        <w:rPr>
          <w:lang w:val="fr-FR"/>
        </w:rPr>
        <w:t>.  S</w:t>
      </w:r>
      <w:r w:rsidRPr="00BC16EE" w:rsidR="00BC16EE">
        <w:rPr>
          <w:lang w:val="fr-FR"/>
        </w:rPr>
        <w:t>’</w:t>
      </w:r>
      <w:r w:rsidRPr="00BC16EE">
        <w:rPr>
          <w:lang w:val="fr-FR"/>
        </w:rPr>
        <w:t xml:space="preserve">agissant du caractère effectif de la procédure pénale, il est vrai que les requérantes ne soutiennent pas que le décès de </w:t>
      </w:r>
      <w:proofErr w:type="spellStart"/>
      <w:r w:rsidRPr="00BC16EE">
        <w:rPr>
          <w:lang w:val="fr-FR"/>
        </w:rPr>
        <w:t>Nayim</w:t>
      </w:r>
      <w:proofErr w:type="spellEnd"/>
      <w:r w:rsidRPr="00BC16EE">
        <w:rPr>
          <w:lang w:val="fr-FR"/>
        </w:rPr>
        <w:t xml:space="preserve"> </w:t>
      </w:r>
      <w:proofErr w:type="spellStart"/>
      <w:r w:rsidRPr="00BC16EE">
        <w:rPr>
          <w:lang w:val="fr-FR"/>
        </w:rPr>
        <w:t>Yirdem</w:t>
      </w:r>
      <w:proofErr w:type="spellEnd"/>
      <w:r w:rsidRPr="00BC16EE">
        <w:rPr>
          <w:lang w:val="fr-FR"/>
        </w:rPr>
        <w:t xml:space="preserve"> a été causé intentionnellement. En conséquence, il n</w:t>
      </w:r>
      <w:r w:rsidRPr="00BC16EE" w:rsidR="00BC16EE">
        <w:rPr>
          <w:lang w:val="fr-FR"/>
        </w:rPr>
        <w:t>’</w:t>
      </w:r>
      <w:r w:rsidRPr="00BC16EE">
        <w:rPr>
          <w:lang w:val="fr-FR"/>
        </w:rPr>
        <w:t>était pas forcément nécessaire aux fins de l</w:t>
      </w:r>
      <w:r w:rsidRPr="00BC16EE" w:rsidR="00BC16EE">
        <w:rPr>
          <w:lang w:val="fr-FR"/>
        </w:rPr>
        <w:t>’</w:t>
      </w:r>
      <w:r w:rsidRPr="00BC16EE">
        <w:rPr>
          <w:lang w:val="fr-FR"/>
        </w:rPr>
        <w:t>article 2 de la Convention qu</w:t>
      </w:r>
      <w:r w:rsidRPr="00BC16EE" w:rsidR="00BC16EE">
        <w:rPr>
          <w:lang w:val="fr-FR"/>
        </w:rPr>
        <w:t>’</w:t>
      </w:r>
      <w:r w:rsidRPr="00BC16EE">
        <w:rPr>
          <w:lang w:val="fr-FR"/>
        </w:rPr>
        <w:t>une voie de recours pénale fût ouverte (</w:t>
      </w:r>
      <w:r w:rsidRPr="00BC16EE">
        <w:rPr>
          <w:i/>
          <w:lang w:val="fr-FR"/>
        </w:rPr>
        <w:t>Lopes de Sousa Fernandes</w:t>
      </w:r>
      <w:r w:rsidRPr="00BC16EE">
        <w:rPr>
          <w:lang w:val="fr-FR"/>
        </w:rPr>
        <w:t xml:space="preserve">, précité, § 232). Néanmoins, à la suite de la plainte de la requérante </w:t>
      </w:r>
      <w:proofErr w:type="spellStart"/>
      <w:r w:rsidRPr="00BC16EE">
        <w:rPr>
          <w:lang w:val="fr-FR"/>
        </w:rPr>
        <w:t>Münüre</w:t>
      </w:r>
      <w:proofErr w:type="spellEnd"/>
      <w:r w:rsidRPr="00BC16EE">
        <w:rPr>
          <w:lang w:val="fr-FR"/>
        </w:rPr>
        <w:t xml:space="preserve"> </w:t>
      </w:r>
      <w:proofErr w:type="spellStart"/>
      <w:r w:rsidRPr="00BC16EE">
        <w:rPr>
          <w:lang w:val="fr-FR"/>
        </w:rPr>
        <w:t>Yirdem</w:t>
      </w:r>
      <w:proofErr w:type="spellEnd"/>
      <w:r w:rsidRPr="00BC16EE">
        <w:rPr>
          <w:lang w:val="fr-FR"/>
        </w:rPr>
        <w:t xml:space="preserve"> pour dysfonctionnements au sein du service hospitalier (paragraphe 11 ci</w:t>
      </w:r>
      <w:r w:rsidRPr="00BC16EE">
        <w:rPr>
          <w:lang w:val="fr-FR"/>
        </w:rPr>
        <w:noBreakHyphen/>
        <w:t>dessus), une autopsie a été pratiquée sur le corps du défunt, dont les résultats (paragraphes 12 ci-dessus) étaient, selon le parquet, de nature à faire naître un soupçon nécessitant de mener une instruction pénale de manière approfondie. La Cour rappelle que, si la voie de recours pénale ouverte était jugée effective, elle suffirait à satisfaire à l</w:t>
      </w:r>
      <w:r w:rsidRPr="00BC16EE" w:rsidR="00BC16EE">
        <w:rPr>
          <w:lang w:val="fr-FR"/>
        </w:rPr>
        <w:t>’</w:t>
      </w:r>
      <w:r w:rsidRPr="00BC16EE">
        <w:rPr>
          <w:lang w:val="fr-FR"/>
        </w:rPr>
        <w:t>obligation procédurale découlant de cette disposition (</w:t>
      </w:r>
      <w:proofErr w:type="spellStart"/>
      <w:r w:rsidRPr="00BC16EE">
        <w:rPr>
          <w:i/>
          <w:lang w:val="fr-FR"/>
        </w:rPr>
        <w:t>Šilih</w:t>
      </w:r>
      <w:proofErr w:type="spellEnd"/>
      <w:r w:rsidRPr="00BC16EE">
        <w:rPr>
          <w:lang w:val="fr-FR"/>
        </w:rPr>
        <w:t>, précité, § 202).</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56</w:t>
      </w:r>
      <w:r w:rsidRPr="00BC16EE">
        <w:fldChar w:fldCharType="end"/>
      </w:r>
      <w:r w:rsidRPr="00BC16EE">
        <w:rPr>
          <w:lang w:val="fr-FR"/>
        </w:rPr>
        <w:t>.  Revenant à la présente espèce, la Cour note que les expertises médicales ordonnées lors de la procédure pénale ont permis d</w:t>
      </w:r>
      <w:r w:rsidRPr="00BC16EE" w:rsidR="00BC16EE">
        <w:rPr>
          <w:lang w:val="fr-FR"/>
        </w:rPr>
        <w:t>’</w:t>
      </w:r>
      <w:r w:rsidRPr="00BC16EE">
        <w:rPr>
          <w:lang w:val="fr-FR"/>
        </w:rPr>
        <w:t>établir que le proche des requérantes était décédé des suites d</w:t>
      </w:r>
      <w:r w:rsidRPr="00BC16EE" w:rsidR="00BC16EE">
        <w:rPr>
          <w:lang w:val="fr-FR"/>
        </w:rPr>
        <w:t>’</w:t>
      </w:r>
      <w:r w:rsidRPr="00BC16EE">
        <w:rPr>
          <w:lang w:val="fr-FR"/>
        </w:rPr>
        <w:t>un infarctus du myocarde et d</w:t>
      </w:r>
      <w:r w:rsidRPr="00BC16EE" w:rsidR="00BC16EE">
        <w:rPr>
          <w:lang w:val="fr-FR"/>
        </w:rPr>
        <w:t>’</w:t>
      </w:r>
      <w:r w:rsidRPr="00BC16EE">
        <w:rPr>
          <w:lang w:val="fr-FR"/>
        </w:rPr>
        <w:t>un infarctus cérébral, ainsi que d</w:t>
      </w:r>
      <w:r w:rsidRPr="00BC16EE" w:rsidR="00BC16EE">
        <w:rPr>
          <w:lang w:val="fr-FR"/>
        </w:rPr>
        <w:t>’</w:t>
      </w:r>
      <w:r w:rsidRPr="00BC16EE">
        <w:rPr>
          <w:lang w:val="fr-FR"/>
        </w:rPr>
        <w:t>une intoxication à une substance contenant de l</w:t>
      </w:r>
      <w:r w:rsidRPr="00BC16EE" w:rsidR="00BC16EE">
        <w:rPr>
          <w:lang w:val="fr-FR"/>
        </w:rPr>
        <w:t>’</w:t>
      </w:r>
      <w:r w:rsidRPr="00BC16EE">
        <w:rPr>
          <w:lang w:val="fr-FR"/>
        </w:rPr>
        <w:t>heptane et du toluène ayant causé une nécrose dans la paroi de l</w:t>
      </w:r>
      <w:r w:rsidRPr="00BC16EE" w:rsidR="00BC16EE">
        <w:rPr>
          <w:lang w:val="fr-FR"/>
        </w:rPr>
        <w:t>’</w:t>
      </w:r>
      <w:r w:rsidRPr="00BC16EE">
        <w:rPr>
          <w:lang w:val="fr-FR"/>
        </w:rPr>
        <w:t>estomac. Il a été établi que la bouteille d</w:t>
      </w:r>
      <w:r w:rsidRPr="00BC16EE" w:rsidR="00BC16EE">
        <w:rPr>
          <w:lang w:val="fr-FR"/>
        </w:rPr>
        <w:t>’</w:t>
      </w:r>
      <w:r w:rsidRPr="00BC16EE">
        <w:rPr>
          <w:lang w:val="fr-FR"/>
        </w:rPr>
        <w:t>oxygène utilisée lors de la prise en charge du patient n</w:t>
      </w:r>
      <w:r w:rsidRPr="00BC16EE" w:rsidR="00BC16EE">
        <w:rPr>
          <w:lang w:val="fr-FR"/>
        </w:rPr>
        <w:t>’</w:t>
      </w:r>
      <w:r w:rsidRPr="00BC16EE">
        <w:rPr>
          <w:lang w:val="fr-FR"/>
        </w:rPr>
        <w:t>avait pas eu de panne, que les substances toxiques retrouvées dans l</w:t>
      </w:r>
      <w:r w:rsidRPr="00BC16EE" w:rsidR="00BC16EE">
        <w:rPr>
          <w:lang w:val="fr-FR"/>
        </w:rPr>
        <w:t>’</w:t>
      </w:r>
      <w:r w:rsidRPr="00BC16EE">
        <w:rPr>
          <w:lang w:val="fr-FR"/>
        </w:rPr>
        <w:t>organisme du défunt n</w:t>
      </w:r>
      <w:r w:rsidRPr="00BC16EE" w:rsidR="00BC16EE">
        <w:rPr>
          <w:lang w:val="fr-FR"/>
        </w:rPr>
        <w:t>’</w:t>
      </w:r>
      <w:r w:rsidRPr="00BC16EE">
        <w:rPr>
          <w:lang w:val="fr-FR"/>
        </w:rPr>
        <w:t>étaient pas d</w:t>
      </w:r>
      <w:r w:rsidRPr="00BC16EE" w:rsidR="00BC16EE">
        <w:rPr>
          <w:lang w:val="fr-FR"/>
        </w:rPr>
        <w:t>’</w:t>
      </w:r>
      <w:r w:rsidRPr="00BC16EE">
        <w:rPr>
          <w:lang w:val="fr-FR"/>
        </w:rPr>
        <w:t>origine hospitalière et que le patient avait pu être intoxiqué avant son hospitalisation. D</w:t>
      </w:r>
      <w:r w:rsidRPr="00BC16EE" w:rsidR="00BC16EE">
        <w:rPr>
          <w:lang w:val="fr-FR"/>
        </w:rPr>
        <w:t>’</w:t>
      </w:r>
      <w:r w:rsidRPr="00BC16EE">
        <w:rPr>
          <w:lang w:val="fr-FR"/>
        </w:rPr>
        <w:t>une manière générale, la Cour n</w:t>
      </w:r>
      <w:r w:rsidRPr="00BC16EE" w:rsidR="00BC16EE">
        <w:rPr>
          <w:lang w:val="fr-FR"/>
        </w:rPr>
        <w:t>’</w:t>
      </w:r>
      <w:r w:rsidRPr="00BC16EE">
        <w:rPr>
          <w:lang w:val="fr-FR"/>
        </w:rPr>
        <w:t>aperçoit aucun manquement susceptible de remettre en cause le caractère globalement adéquat de l</w:t>
      </w:r>
      <w:r w:rsidRPr="00BC16EE" w:rsidR="00BC16EE">
        <w:rPr>
          <w:lang w:val="fr-FR"/>
        </w:rPr>
        <w:t>’</w:t>
      </w:r>
      <w:r w:rsidRPr="00BC16EE">
        <w:rPr>
          <w:lang w:val="fr-FR"/>
        </w:rPr>
        <w:t>enquête pénale menée par les instances nationales. Notamment, l</w:t>
      </w:r>
      <w:r w:rsidRPr="00BC16EE" w:rsidR="00BC16EE">
        <w:rPr>
          <w:lang w:val="fr-FR"/>
        </w:rPr>
        <w:t>’</w:t>
      </w:r>
      <w:r w:rsidRPr="00BC16EE">
        <w:rPr>
          <w:lang w:val="fr-FR"/>
        </w:rPr>
        <w:t>éventuelle absence d</w:t>
      </w:r>
      <w:r w:rsidRPr="00BC16EE" w:rsidR="00BC16EE">
        <w:rPr>
          <w:lang w:val="fr-FR"/>
        </w:rPr>
        <w:t>’</w:t>
      </w:r>
      <w:r w:rsidRPr="00BC16EE">
        <w:rPr>
          <w:lang w:val="fr-FR"/>
        </w:rPr>
        <w:t>examen par les experts de la bouteille d</w:t>
      </w:r>
      <w:r w:rsidRPr="00BC16EE" w:rsidR="00BC16EE">
        <w:rPr>
          <w:lang w:val="fr-FR"/>
        </w:rPr>
        <w:t>’</w:t>
      </w:r>
      <w:r w:rsidRPr="00BC16EE">
        <w:rPr>
          <w:lang w:val="fr-FR"/>
        </w:rPr>
        <w:t>oxygène ne change pas ce constat dans la mesure où il a été établi que le taux d</w:t>
      </w:r>
      <w:r w:rsidRPr="00BC16EE" w:rsidR="00BC16EE">
        <w:rPr>
          <w:lang w:val="fr-FR"/>
        </w:rPr>
        <w:t>’</w:t>
      </w:r>
      <w:r w:rsidRPr="00BC16EE">
        <w:rPr>
          <w:lang w:val="fr-FR"/>
        </w:rPr>
        <w:t>oxygène dans le sang du patient ne présentait pas d</w:t>
      </w:r>
      <w:r w:rsidRPr="00BC16EE" w:rsidR="00BC16EE">
        <w:rPr>
          <w:lang w:val="fr-FR"/>
        </w:rPr>
        <w:t>’</w:t>
      </w:r>
      <w:r w:rsidRPr="00BC16EE">
        <w:rPr>
          <w:lang w:val="fr-FR"/>
        </w:rPr>
        <w:t>anomalie et que dès lors, d</w:t>
      </w:r>
      <w:r w:rsidRPr="00BC16EE" w:rsidR="00BC16EE">
        <w:rPr>
          <w:lang w:val="fr-FR"/>
        </w:rPr>
        <w:t>’</w:t>
      </w:r>
      <w:r w:rsidRPr="00BC16EE">
        <w:rPr>
          <w:lang w:val="fr-FR"/>
        </w:rPr>
        <w:t>après le dossier médical de l</w:t>
      </w:r>
      <w:r w:rsidRPr="00BC16EE" w:rsidR="00BC16EE">
        <w:rPr>
          <w:lang w:val="fr-FR"/>
        </w:rPr>
        <w:t>’</w:t>
      </w:r>
      <w:r w:rsidRPr="00BC16EE">
        <w:rPr>
          <w:lang w:val="fr-FR"/>
        </w:rPr>
        <w:t>intéressé, il n</w:t>
      </w:r>
      <w:r w:rsidRPr="00BC16EE" w:rsidR="00BC16EE">
        <w:rPr>
          <w:lang w:val="fr-FR"/>
        </w:rPr>
        <w:t>’</w:t>
      </w:r>
      <w:r w:rsidRPr="00BC16EE">
        <w:rPr>
          <w:lang w:val="fr-FR"/>
        </w:rPr>
        <w:t>y avait pas eu de problème d</w:t>
      </w:r>
      <w:r w:rsidRPr="00BC16EE" w:rsidR="00BC16EE">
        <w:rPr>
          <w:lang w:val="fr-FR"/>
        </w:rPr>
        <w:t>’</w:t>
      </w:r>
      <w:r w:rsidRPr="00BC16EE">
        <w:rPr>
          <w:lang w:val="fr-FR"/>
        </w:rPr>
        <w:t>oxygénation. Par ailleurs, la Cour estime que les requérantes ont bénéficié d</w:t>
      </w:r>
      <w:r w:rsidRPr="00BC16EE" w:rsidR="00BC16EE">
        <w:rPr>
          <w:lang w:val="fr-FR"/>
        </w:rPr>
        <w:t>’</w:t>
      </w:r>
      <w:r w:rsidRPr="00BC16EE">
        <w:rPr>
          <w:lang w:val="fr-FR"/>
        </w:rPr>
        <w:t>un accès aux informations produites par l</w:t>
      </w:r>
      <w:r w:rsidRPr="00BC16EE" w:rsidR="00BC16EE">
        <w:rPr>
          <w:lang w:val="fr-FR"/>
        </w:rPr>
        <w:t>’</w:t>
      </w:r>
      <w:r w:rsidRPr="00BC16EE">
        <w:rPr>
          <w:lang w:val="fr-FR"/>
        </w:rPr>
        <w:t>enquête à un degré suffisant pour leur permettre de participer de manière effective à la procédure.</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57</w:t>
      </w:r>
      <w:r w:rsidRPr="00BC16EE">
        <w:fldChar w:fldCharType="end"/>
      </w:r>
      <w:r w:rsidRPr="00BC16EE">
        <w:rPr>
          <w:lang w:val="fr-FR"/>
        </w:rPr>
        <w:t>.  En revanche, la Cour observe que la procédure pénale n</w:t>
      </w:r>
      <w:r w:rsidRPr="00BC16EE" w:rsidR="00BC16EE">
        <w:rPr>
          <w:lang w:val="fr-FR"/>
        </w:rPr>
        <w:t>’</w:t>
      </w:r>
      <w:r w:rsidRPr="00BC16EE">
        <w:rPr>
          <w:lang w:val="fr-FR"/>
        </w:rPr>
        <w:t>a pas été menée promptement et que sa durée totale – plus de neuf ans – n</w:t>
      </w:r>
      <w:r w:rsidRPr="00BC16EE" w:rsidR="00BC16EE">
        <w:rPr>
          <w:lang w:val="fr-FR"/>
        </w:rPr>
        <w:t>’</w:t>
      </w:r>
      <w:r w:rsidRPr="00BC16EE">
        <w:rPr>
          <w:lang w:val="fr-FR"/>
        </w:rPr>
        <w:t>a pas été raisonnable. Elle ne saurait admettre qu</w:t>
      </w:r>
      <w:r w:rsidRPr="00BC16EE" w:rsidR="00BC16EE">
        <w:rPr>
          <w:lang w:val="fr-FR"/>
        </w:rPr>
        <w:t>’</w:t>
      </w:r>
      <w:r w:rsidRPr="00BC16EE">
        <w:rPr>
          <w:lang w:val="fr-FR"/>
        </w:rPr>
        <w:t>une procédure engagée pour faire la lumière sur des accusations de négligence médicale puisse durer aussi longtemps devant les juridictions nationales. Il en est de même de la procédure en indemnisation engagée par les requérantes devant les juridictions civiles, qui est pendante devant les tribunaux internes depuis plus de treize ans. Il n</w:t>
      </w:r>
      <w:r w:rsidRPr="00BC16EE" w:rsidR="00BC16EE">
        <w:rPr>
          <w:lang w:val="fr-FR"/>
        </w:rPr>
        <w:t>’</w:t>
      </w:r>
      <w:r w:rsidRPr="00BC16EE">
        <w:rPr>
          <w:lang w:val="fr-FR"/>
        </w:rPr>
        <w:t>apparaît pas, au vu des éléments du dossier, qu</w:t>
      </w:r>
      <w:r w:rsidRPr="00BC16EE" w:rsidR="00BC16EE">
        <w:rPr>
          <w:lang w:val="fr-FR"/>
        </w:rPr>
        <w:t>’</w:t>
      </w:r>
      <w:r w:rsidRPr="00BC16EE">
        <w:rPr>
          <w:lang w:val="fr-FR"/>
        </w:rPr>
        <w:t>une telle durée soit justifiée par les circonstances de la cause. Il est surtout frappant de constater que le tribunal de grande instance d</w:t>
      </w:r>
      <w:r w:rsidRPr="00BC16EE" w:rsidR="00BC16EE">
        <w:rPr>
          <w:lang w:val="fr-FR"/>
        </w:rPr>
        <w:t>’</w:t>
      </w:r>
      <w:r w:rsidRPr="00BC16EE">
        <w:rPr>
          <w:lang w:val="fr-FR"/>
        </w:rPr>
        <w:t>Istanbul a mis plus de neuf ans pour conclure que l</w:t>
      </w:r>
      <w:r w:rsidRPr="00BC16EE" w:rsidR="00BC16EE">
        <w:rPr>
          <w:lang w:val="fr-FR"/>
        </w:rPr>
        <w:t>’</w:t>
      </w:r>
      <w:r w:rsidRPr="00BC16EE">
        <w:rPr>
          <w:lang w:val="fr-FR"/>
        </w:rPr>
        <w:t>action en indemnisation dirigée contre l</w:t>
      </w:r>
      <w:r w:rsidRPr="00BC16EE" w:rsidR="00BC16EE">
        <w:rPr>
          <w:lang w:val="fr-FR"/>
        </w:rPr>
        <w:t>’</w:t>
      </w:r>
      <w:r w:rsidRPr="00BC16EE">
        <w:rPr>
          <w:lang w:val="fr-FR"/>
        </w:rPr>
        <w:t>hôpital aurait dû être introduite devant les juridictions administratives et qu</w:t>
      </w:r>
      <w:r w:rsidRPr="00BC16EE" w:rsidR="00BC16EE">
        <w:rPr>
          <w:lang w:val="fr-FR"/>
        </w:rPr>
        <w:t>’</w:t>
      </w:r>
      <w:r w:rsidRPr="00BC16EE">
        <w:rPr>
          <w:lang w:val="fr-FR"/>
        </w:rPr>
        <w:t>il n</w:t>
      </w:r>
      <w:r w:rsidRPr="00BC16EE" w:rsidR="00BC16EE">
        <w:rPr>
          <w:lang w:val="fr-FR"/>
        </w:rPr>
        <w:t>’</w:t>
      </w:r>
      <w:r w:rsidRPr="00BC16EE">
        <w:rPr>
          <w:lang w:val="fr-FR"/>
        </w:rPr>
        <w:t>était pas compétent pour statuer sur l</w:t>
      </w:r>
      <w:r w:rsidRPr="00BC16EE" w:rsidR="00BC16EE">
        <w:rPr>
          <w:lang w:val="fr-FR"/>
        </w:rPr>
        <w:t>’</w:t>
      </w:r>
      <w:r w:rsidRPr="00BC16EE">
        <w:rPr>
          <w:lang w:val="fr-FR"/>
        </w:rPr>
        <w:t>affaire.</w:t>
      </w:r>
    </w:p>
    <w:p w:rsidRPr="00BC16EE" w:rsidR="00C96842" w:rsidP="00BC16EE" w:rsidRDefault="00C96842">
      <w:pPr>
        <w:pStyle w:val="ECHRPara"/>
        <w:rPr>
          <w:i/>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58</w:t>
      </w:r>
      <w:r w:rsidRPr="00BC16EE">
        <w:fldChar w:fldCharType="end"/>
      </w:r>
      <w:r w:rsidRPr="00BC16EE">
        <w:rPr>
          <w:lang w:val="fr-FR"/>
        </w:rPr>
        <w:t>.  La Cour estime que pareilles lenteurs sont de nature à prolonger une incertitude éprouvante non seulement pour la partie demanderesse mais aussi pour les professionnels de la santé concernés (</w:t>
      </w:r>
      <w:r w:rsidRPr="00BC16EE">
        <w:rPr>
          <w:i/>
          <w:lang w:val="fr-FR"/>
        </w:rPr>
        <w:t>Lopes de Sousa Fernandes</w:t>
      </w:r>
      <w:r w:rsidRPr="00BC16EE">
        <w:rPr>
          <w:lang w:val="fr-FR"/>
        </w:rPr>
        <w:t>, précité, § 236). À cet égard, elle rappelle qu</w:t>
      </w:r>
      <w:r w:rsidRPr="00BC16EE" w:rsidR="00BC16EE">
        <w:rPr>
          <w:lang w:val="fr-FR"/>
        </w:rPr>
        <w:t>’</w:t>
      </w:r>
      <w:r w:rsidRPr="00BC16EE">
        <w:rPr>
          <w:lang w:val="fr-FR"/>
        </w:rPr>
        <w:t>il appartient à l</w:t>
      </w:r>
      <w:r w:rsidRPr="00BC16EE" w:rsidR="00BC16EE">
        <w:rPr>
          <w:lang w:val="fr-FR"/>
        </w:rPr>
        <w:t>’</w:t>
      </w:r>
      <w:r w:rsidRPr="00BC16EE">
        <w:rPr>
          <w:rFonts w:cstheme="minorHAnsi"/>
          <w:lang w:val="fr-FR"/>
        </w:rPr>
        <w:t>É</w:t>
      </w:r>
      <w:r w:rsidRPr="00BC16EE">
        <w:rPr>
          <w:lang w:val="fr-FR"/>
        </w:rPr>
        <w:t>tat d</w:t>
      </w:r>
      <w:r w:rsidRPr="00BC16EE" w:rsidR="00BC16EE">
        <w:rPr>
          <w:lang w:val="fr-FR"/>
        </w:rPr>
        <w:t>’</w:t>
      </w:r>
      <w:r w:rsidRPr="00BC16EE">
        <w:rPr>
          <w:lang w:val="fr-FR"/>
        </w:rPr>
        <w:t>agencer son système judiciaire de manière à permettre à ses tribunaux de répondre aux exigences de la Convention, notamment celles consacrées par les obligations découlant de son article 2 (</w:t>
      </w:r>
      <w:r w:rsidRPr="00BC16EE">
        <w:rPr>
          <w:i/>
          <w:lang w:val="fr-FR"/>
        </w:rPr>
        <w:t>Lopes de Sousa Fernandes</w:t>
      </w:r>
      <w:r w:rsidRPr="00BC16EE">
        <w:rPr>
          <w:lang w:val="fr-FR"/>
        </w:rPr>
        <w:t>, précité, § 236</w:t>
      </w:r>
      <w:r w:rsidRPr="00BC16EE" w:rsidR="00DD270C">
        <w:rPr>
          <w:lang w:val="fr-FR"/>
        </w:rPr>
        <w:t>,</w:t>
      </w:r>
      <w:r w:rsidRPr="00BC16EE">
        <w:rPr>
          <w:lang w:val="fr-FR"/>
        </w:rPr>
        <w:t xml:space="preserve"> et </w:t>
      </w:r>
      <w:r w:rsidRPr="00BC16EE">
        <w:rPr>
          <w:i/>
          <w:lang w:val="fr-FR"/>
        </w:rPr>
        <w:t xml:space="preserve">Süleyman </w:t>
      </w:r>
      <w:proofErr w:type="spellStart"/>
      <w:r w:rsidRPr="00BC16EE">
        <w:rPr>
          <w:i/>
          <w:lang w:val="fr-FR"/>
        </w:rPr>
        <w:t>Ege</w:t>
      </w:r>
      <w:proofErr w:type="spellEnd"/>
      <w:r w:rsidRPr="00BC16EE">
        <w:rPr>
          <w:snapToGrid w:val="0"/>
          <w:lang w:val="fr-FR"/>
        </w:rPr>
        <w:t xml:space="preserve"> </w:t>
      </w:r>
      <w:r w:rsidRPr="00BC16EE">
        <w:rPr>
          <w:i/>
          <w:lang w:val="fr-FR"/>
        </w:rPr>
        <w:t>c. Turquie</w:t>
      </w:r>
      <w:r w:rsidRPr="00BC16EE">
        <w:rPr>
          <w:snapToGrid w:val="0"/>
          <w:lang w:val="fr-FR"/>
        </w:rPr>
        <w:t>, n</w:t>
      </w:r>
      <w:r w:rsidRPr="00BC16EE">
        <w:rPr>
          <w:snapToGrid w:val="0"/>
          <w:vertAlign w:val="superscript"/>
          <w:lang w:val="fr-FR"/>
        </w:rPr>
        <w:t xml:space="preserve">o </w:t>
      </w:r>
      <w:r w:rsidRPr="00BC16EE">
        <w:rPr>
          <w:snapToGrid w:val="0"/>
          <w:lang w:val="fr-FR"/>
        </w:rPr>
        <w:t>45721/09, § 59, 25</w:t>
      </w:r>
      <w:r w:rsidRPr="00BC16EE" w:rsidR="00DD270C">
        <w:rPr>
          <w:snapToGrid w:val="0"/>
          <w:lang w:val="fr-FR"/>
        </w:rPr>
        <w:t> </w:t>
      </w:r>
      <w:r w:rsidRPr="00BC16EE">
        <w:rPr>
          <w:snapToGrid w:val="0"/>
          <w:lang w:val="fr-FR"/>
        </w:rPr>
        <w:t>juin 2013).</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59</w:t>
      </w:r>
      <w:r w:rsidRPr="00BC16EE">
        <w:fldChar w:fldCharType="end"/>
      </w:r>
      <w:r w:rsidRPr="00BC16EE">
        <w:rPr>
          <w:lang w:val="fr-FR"/>
        </w:rPr>
        <w:t>.  Ces éléments suffisent en eux-mêmes pour permettre à la Cour de conclure que les procédures menées en droit interne ont été défaillantes. Les autorités nationales n</w:t>
      </w:r>
      <w:r w:rsidRPr="00BC16EE" w:rsidR="00BC16EE">
        <w:rPr>
          <w:lang w:val="fr-FR"/>
        </w:rPr>
        <w:t>’</w:t>
      </w:r>
      <w:r w:rsidRPr="00BC16EE">
        <w:rPr>
          <w:lang w:val="fr-FR"/>
        </w:rPr>
        <w:t>ont pas traité la cause des requérantes liée au décès de leur proche avec le niveau de diligence requis par l</w:t>
      </w:r>
      <w:r w:rsidRPr="00BC16EE" w:rsidR="00BC16EE">
        <w:rPr>
          <w:lang w:val="fr-FR"/>
        </w:rPr>
        <w:t>’</w:t>
      </w:r>
      <w:r w:rsidRPr="00BC16EE">
        <w:rPr>
          <w:lang w:val="fr-FR"/>
        </w:rPr>
        <w:t xml:space="preserve">article 2 de la Convention (voir également dans ce sens, </w:t>
      </w:r>
      <w:r w:rsidRPr="00BC16EE">
        <w:rPr>
          <w:i/>
          <w:lang w:val="fr-FR"/>
        </w:rPr>
        <w:t>Lopes de Sousa Fernandes</w:t>
      </w:r>
      <w:r w:rsidRPr="00BC16EE">
        <w:rPr>
          <w:lang w:val="fr-FR"/>
        </w:rPr>
        <w:t>, § 238). En conséquence, la Cour rejette l</w:t>
      </w:r>
      <w:r w:rsidRPr="00BC16EE" w:rsidR="00BC16EE">
        <w:rPr>
          <w:lang w:val="fr-FR"/>
        </w:rPr>
        <w:t>’</w:t>
      </w:r>
      <w:r w:rsidRPr="00BC16EE">
        <w:rPr>
          <w:lang w:val="fr-FR"/>
        </w:rPr>
        <w:t>exception préliminaire du Gouvernement relative au non-épuisement des voies de recours internes (</w:t>
      </w:r>
      <w:proofErr w:type="spellStart"/>
      <w:r w:rsidRPr="00BC16EE">
        <w:rPr>
          <w:i/>
          <w:lang w:val="fr-FR"/>
        </w:rPr>
        <w:t>Šilih</w:t>
      </w:r>
      <w:proofErr w:type="spellEnd"/>
      <w:r w:rsidRPr="00BC16EE">
        <w:rPr>
          <w:lang w:val="fr-FR"/>
        </w:rPr>
        <w:t>, précité, § 211) et conclut à la violation de cette disposition sous son volet procédural.</w:t>
      </w:r>
    </w:p>
    <w:p w:rsidRPr="00BC16EE" w:rsidR="00C96842" w:rsidP="00BC16EE" w:rsidRDefault="00C96842">
      <w:pPr>
        <w:pStyle w:val="ECHRHeading1"/>
        <w:rPr>
          <w:lang w:val="fr-FR"/>
        </w:rPr>
      </w:pPr>
      <w:r w:rsidRPr="00BC16EE">
        <w:rPr>
          <w:lang w:val="fr-FR"/>
        </w:rPr>
        <w:t>II.  SUR L</w:t>
      </w:r>
      <w:r w:rsidRPr="00BC16EE" w:rsidR="00BC16EE">
        <w:rPr>
          <w:lang w:val="fr-FR"/>
        </w:rPr>
        <w:t>’</w:t>
      </w:r>
      <w:r w:rsidRPr="00BC16EE">
        <w:rPr>
          <w:lang w:val="fr-FR"/>
        </w:rPr>
        <w:t>APPLICATION DE L</w:t>
      </w:r>
      <w:r w:rsidRPr="00BC16EE" w:rsidR="00BC16EE">
        <w:rPr>
          <w:lang w:val="fr-FR"/>
        </w:rPr>
        <w:t>’</w:t>
      </w:r>
      <w:r w:rsidRPr="00BC16EE">
        <w:rPr>
          <w:lang w:val="fr-FR"/>
        </w:rPr>
        <w:t>ARTICLE 41 DE LA CONVENTION</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60</w:t>
      </w:r>
      <w:r w:rsidRPr="00BC16EE">
        <w:fldChar w:fldCharType="end"/>
      </w:r>
      <w:r w:rsidRPr="00BC16EE">
        <w:rPr>
          <w:lang w:val="fr-FR"/>
        </w:rPr>
        <w:t>.  Aux termes de l</w:t>
      </w:r>
      <w:r w:rsidRPr="00BC16EE" w:rsidR="00BC16EE">
        <w:rPr>
          <w:lang w:val="fr-FR"/>
        </w:rPr>
        <w:t>’</w:t>
      </w:r>
      <w:r w:rsidRPr="00BC16EE">
        <w:rPr>
          <w:lang w:val="fr-FR"/>
        </w:rPr>
        <w:t>article 41 de la Convention,</w:t>
      </w:r>
    </w:p>
    <w:p w:rsidRPr="00BC16EE" w:rsidR="00C96842" w:rsidP="00BC16EE" w:rsidRDefault="00C96842">
      <w:pPr>
        <w:pStyle w:val="ECHRParaQuote"/>
        <w:keepNext/>
        <w:keepLines/>
        <w:rPr>
          <w:lang w:val="fr-FR"/>
        </w:rPr>
      </w:pPr>
      <w:r w:rsidRPr="00BC16EE">
        <w:rPr>
          <w:lang w:val="fr-FR"/>
        </w:rPr>
        <w:t>« Si la Cour déclare qu</w:t>
      </w:r>
      <w:r w:rsidRPr="00BC16EE" w:rsidR="00BC16EE">
        <w:rPr>
          <w:lang w:val="fr-FR"/>
        </w:rPr>
        <w:t>’</w:t>
      </w:r>
      <w:r w:rsidRPr="00BC16EE">
        <w:rPr>
          <w:lang w:val="fr-FR"/>
        </w:rPr>
        <w:t>il y a eu violation de la Convention ou de ses Protocoles, et si le droit interne de la Haute Partie contractante ne permet d</w:t>
      </w:r>
      <w:r w:rsidRPr="00BC16EE" w:rsidR="00BC16EE">
        <w:rPr>
          <w:lang w:val="fr-FR"/>
        </w:rPr>
        <w:t>’</w:t>
      </w:r>
      <w:r w:rsidRPr="00BC16EE">
        <w:rPr>
          <w:lang w:val="fr-FR"/>
        </w:rPr>
        <w:t>effacer qu</w:t>
      </w:r>
      <w:r w:rsidRPr="00BC16EE" w:rsidR="00BC16EE">
        <w:rPr>
          <w:lang w:val="fr-FR"/>
        </w:rPr>
        <w:t>’</w:t>
      </w:r>
      <w:r w:rsidRPr="00BC16EE">
        <w:rPr>
          <w:lang w:val="fr-FR"/>
        </w:rPr>
        <w:t>imparfaitement les conséquences de cette violation, la Cour accorde à la partie lésée, s</w:t>
      </w:r>
      <w:r w:rsidRPr="00BC16EE" w:rsidR="00BC16EE">
        <w:rPr>
          <w:lang w:val="fr-FR"/>
        </w:rPr>
        <w:t>’</w:t>
      </w:r>
      <w:r w:rsidRPr="00BC16EE">
        <w:rPr>
          <w:lang w:val="fr-FR"/>
        </w:rPr>
        <w:t>il y a lieu, une satisfaction équitable. »</w:t>
      </w:r>
    </w:p>
    <w:p w:rsidRPr="00BC16EE" w:rsidR="00C96842" w:rsidP="00BC16EE" w:rsidRDefault="00C96842">
      <w:pPr>
        <w:pStyle w:val="ECHRPara"/>
        <w:rPr>
          <w:lang w:val="fr-FR"/>
        </w:rPr>
      </w:pPr>
      <w:r w:rsidRPr="00BC16EE">
        <w:rPr>
          <w:noProof/>
        </w:rPr>
        <w:fldChar w:fldCharType="begin"/>
      </w:r>
      <w:r w:rsidRPr="00BC16EE">
        <w:rPr>
          <w:noProof/>
          <w:lang w:val="fr-FR"/>
        </w:rPr>
        <w:instrText xml:space="preserve"> SEQ level0 \*arabic </w:instrText>
      </w:r>
      <w:r w:rsidRPr="00BC16EE">
        <w:rPr>
          <w:noProof/>
        </w:rPr>
        <w:fldChar w:fldCharType="separate"/>
      </w:r>
      <w:r w:rsidRPr="00BC16EE" w:rsidR="00BC16EE">
        <w:rPr>
          <w:noProof/>
          <w:lang w:val="fr-FR"/>
        </w:rPr>
        <w:t>61</w:t>
      </w:r>
      <w:r w:rsidRPr="00BC16EE">
        <w:rPr>
          <w:noProof/>
        </w:rPr>
        <w:fldChar w:fldCharType="end"/>
      </w:r>
      <w:r w:rsidRPr="00BC16EE">
        <w:rPr>
          <w:noProof/>
          <w:lang w:val="fr-FR"/>
        </w:rPr>
        <w:t>.  M</w:t>
      </w:r>
      <w:r w:rsidRPr="00BC16EE">
        <w:rPr>
          <w:noProof/>
          <w:vertAlign w:val="superscript"/>
          <w:lang w:val="fr-FR"/>
        </w:rPr>
        <w:t>mes</w:t>
      </w:r>
      <w:r w:rsidRPr="00BC16EE">
        <w:rPr>
          <w:noProof/>
          <w:lang w:val="fr-FR"/>
        </w:rPr>
        <w:t xml:space="preserve"> </w:t>
      </w:r>
      <w:proofErr w:type="spellStart"/>
      <w:r w:rsidRPr="00BC16EE">
        <w:rPr>
          <w:lang w:val="fr-FR"/>
        </w:rPr>
        <w:t>Münüre</w:t>
      </w:r>
      <w:proofErr w:type="spellEnd"/>
      <w:r w:rsidRPr="00BC16EE">
        <w:rPr>
          <w:lang w:val="fr-FR"/>
        </w:rPr>
        <w:t xml:space="preserve"> </w:t>
      </w:r>
      <w:proofErr w:type="spellStart"/>
      <w:r w:rsidRPr="00BC16EE">
        <w:rPr>
          <w:lang w:val="fr-FR"/>
        </w:rPr>
        <w:t>Yirdem</w:t>
      </w:r>
      <w:proofErr w:type="spellEnd"/>
      <w:r w:rsidRPr="00BC16EE">
        <w:rPr>
          <w:lang w:val="fr-FR"/>
        </w:rPr>
        <w:t xml:space="preserve"> et </w:t>
      </w:r>
      <w:proofErr w:type="spellStart"/>
      <w:r w:rsidRPr="00BC16EE">
        <w:rPr>
          <w:lang w:val="fr-FR"/>
        </w:rPr>
        <w:t>Derya</w:t>
      </w:r>
      <w:proofErr w:type="spellEnd"/>
      <w:r w:rsidRPr="00BC16EE">
        <w:rPr>
          <w:lang w:val="fr-FR"/>
        </w:rPr>
        <w:t xml:space="preserve"> </w:t>
      </w:r>
      <w:r w:rsidRPr="00BC16EE">
        <w:rPr>
          <w:rFonts w:cstheme="minorHAnsi"/>
          <w:lang w:val="fr-FR"/>
        </w:rPr>
        <w:t>Ş</w:t>
      </w:r>
      <w:r w:rsidRPr="00BC16EE">
        <w:rPr>
          <w:lang w:val="fr-FR"/>
        </w:rPr>
        <w:t xml:space="preserve">ahin </w:t>
      </w:r>
      <w:proofErr w:type="spellStart"/>
      <w:r w:rsidRPr="00BC16EE">
        <w:rPr>
          <w:lang w:val="fr-FR"/>
        </w:rPr>
        <w:t>Yirdem</w:t>
      </w:r>
      <w:proofErr w:type="spellEnd"/>
      <w:r w:rsidRPr="00BC16EE">
        <w:rPr>
          <w:lang w:val="fr-FR"/>
        </w:rPr>
        <w:t xml:space="preserve"> réclament chacune 50 000 euros (EUR) pour préjudice matériel. Les requérantes demandent à elles trois 150 000 EUR pour préjudice moral. Quant aux frais et dépens, elles réclament 11 620 EUR pour les honoraires d</w:t>
      </w:r>
      <w:r w:rsidRPr="00BC16EE" w:rsidR="00BC16EE">
        <w:rPr>
          <w:lang w:val="fr-FR"/>
        </w:rPr>
        <w:t>’</w:t>
      </w:r>
      <w:r w:rsidRPr="00BC16EE">
        <w:rPr>
          <w:lang w:val="fr-FR"/>
        </w:rPr>
        <w:t>avocat et 1 000 EUR pour les frais de poste, de téléphone et de traduction. Elles soumettent, à titre de justificatifs, le tableau de référence des honoraires d</w:t>
      </w:r>
      <w:r w:rsidRPr="00BC16EE" w:rsidR="00BC16EE">
        <w:rPr>
          <w:lang w:val="fr-FR"/>
        </w:rPr>
        <w:t>’</w:t>
      </w:r>
      <w:r w:rsidRPr="00BC16EE">
        <w:rPr>
          <w:lang w:val="fr-FR"/>
        </w:rPr>
        <w:t>avocat du barreau d</w:t>
      </w:r>
      <w:r w:rsidRPr="00BC16EE" w:rsidR="00BC16EE">
        <w:rPr>
          <w:lang w:val="fr-FR"/>
        </w:rPr>
        <w:t>’</w:t>
      </w:r>
      <w:r w:rsidRPr="00BC16EE">
        <w:rPr>
          <w:lang w:val="fr-FR"/>
        </w:rPr>
        <w:t>Istanbul et un décompte de frais de traduction d</w:t>
      </w:r>
      <w:r w:rsidRPr="00BC16EE" w:rsidR="00BC16EE">
        <w:rPr>
          <w:lang w:val="fr-FR"/>
        </w:rPr>
        <w:t>’</w:t>
      </w:r>
      <w:r w:rsidRPr="00BC16EE">
        <w:rPr>
          <w:lang w:val="fr-FR"/>
        </w:rPr>
        <w:t>un montant de 407 livres turques (soit environ 100 EUR).</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62</w:t>
      </w:r>
      <w:r w:rsidRPr="00BC16EE">
        <w:fldChar w:fldCharType="end"/>
      </w:r>
      <w:r w:rsidRPr="00BC16EE">
        <w:rPr>
          <w:lang w:val="fr-FR"/>
        </w:rPr>
        <w:t>.  Le Gouvernement conteste les prétentions relatives au préjudice matériel et aux frais et dépens, et il s</w:t>
      </w:r>
      <w:r w:rsidRPr="00BC16EE" w:rsidR="00BC16EE">
        <w:rPr>
          <w:lang w:val="fr-FR"/>
        </w:rPr>
        <w:t>’</w:t>
      </w:r>
      <w:r w:rsidRPr="00BC16EE">
        <w:rPr>
          <w:lang w:val="fr-FR"/>
        </w:rPr>
        <w:t>en remet à l</w:t>
      </w:r>
      <w:r w:rsidRPr="00BC16EE" w:rsidR="00BC16EE">
        <w:rPr>
          <w:lang w:val="fr-FR"/>
        </w:rPr>
        <w:t>’</w:t>
      </w:r>
      <w:r w:rsidRPr="00BC16EE">
        <w:rPr>
          <w:lang w:val="fr-FR"/>
        </w:rPr>
        <w:t>appréciation de la Cour pour la fixation du montant du préjudice moral en cas de constat de violation.</w:t>
      </w:r>
    </w:p>
    <w:p w:rsidRPr="00BC16EE" w:rsidR="00C96842" w:rsidP="00BC16EE" w:rsidRDefault="00C96842">
      <w:pPr>
        <w:pStyle w:val="ECHRPara"/>
        <w:rPr>
          <w:lang w:val="fr-FR"/>
        </w:rPr>
      </w:pPr>
      <w:r w:rsidRPr="00BC16EE">
        <w:fldChar w:fldCharType="begin"/>
      </w:r>
      <w:r w:rsidRPr="00BC16EE">
        <w:rPr>
          <w:lang w:val="fr-FR"/>
        </w:rPr>
        <w:instrText xml:space="preserve"> SEQ level0 \*arabic </w:instrText>
      </w:r>
      <w:r w:rsidRPr="00BC16EE">
        <w:fldChar w:fldCharType="separate"/>
      </w:r>
      <w:r w:rsidRPr="00BC16EE" w:rsidR="00BC16EE">
        <w:rPr>
          <w:noProof/>
          <w:lang w:val="fr-FR"/>
        </w:rPr>
        <w:t>63</w:t>
      </w:r>
      <w:r w:rsidRPr="00BC16EE">
        <w:fldChar w:fldCharType="end"/>
      </w:r>
      <w:r w:rsidRPr="00BC16EE">
        <w:rPr>
          <w:lang w:val="fr-FR"/>
        </w:rPr>
        <w:t>.  La Cour n</w:t>
      </w:r>
      <w:r w:rsidRPr="00BC16EE" w:rsidR="00BC16EE">
        <w:rPr>
          <w:lang w:val="fr-FR"/>
        </w:rPr>
        <w:t>’</w:t>
      </w:r>
      <w:r w:rsidRPr="00BC16EE">
        <w:rPr>
          <w:lang w:val="fr-FR"/>
        </w:rPr>
        <w:t>aperçoit pas de lien de causalité entre la violation constatée et le dommage matériel allégué, lequel n</w:t>
      </w:r>
      <w:r w:rsidRPr="00BC16EE" w:rsidR="00BC16EE">
        <w:rPr>
          <w:lang w:val="fr-FR"/>
        </w:rPr>
        <w:t>’</w:t>
      </w:r>
      <w:r w:rsidRPr="00BC16EE">
        <w:rPr>
          <w:lang w:val="fr-FR"/>
        </w:rPr>
        <w:t>est du reste nullement étayé par des justificatifs, et elle rejette cette demande. En revanche, elle considère qu</w:t>
      </w:r>
      <w:r w:rsidRPr="00BC16EE" w:rsidR="00BC16EE">
        <w:rPr>
          <w:lang w:val="fr-FR"/>
        </w:rPr>
        <w:t>’</w:t>
      </w:r>
      <w:r w:rsidRPr="00BC16EE">
        <w:rPr>
          <w:lang w:val="fr-FR"/>
        </w:rPr>
        <w:t>il y a lieu d</w:t>
      </w:r>
      <w:r w:rsidRPr="00BC16EE" w:rsidR="00BC16EE">
        <w:rPr>
          <w:lang w:val="fr-FR"/>
        </w:rPr>
        <w:t>’</w:t>
      </w:r>
      <w:r w:rsidRPr="00BC16EE">
        <w:rPr>
          <w:lang w:val="fr-FR"/>
        </w:rPr>
        <w:t>octroyer conjointement aux requérantes 10 000 EUR pour dommage moral. S</w:t>
      </w:r>
      <w:r w:rsidRPr="00BC16EE" w:rsidR="00BC16EE">
        <w:rPr>
          <w:lang w:val="fr-FR"/>
        </w:rPr>
        <w:t>’</w:t>
      </w:r>
      <w:r w:rsidRPr="00BC16EE">
        <w:rPr>
          <w:lang w:val="fr-FR"/>
        </w:rPr>
        <w:t>agissant des frais et dépens, elle rappelle qu</w:t>
      </w:r>
      <w:r w:rsidRPr="00BC16EE" w:rsidR="00BC16EE">
        <w:rPr>
          <w:lang w:val="fr-FR"/>
        </w:rPr>
        <w:t>’</w:t>
      </w:r>
      <w:r w:rsidRPr="00BC16EE">
        <w:rPr>
          <w:lang w:val="fr-FR"/>
        </w:rPr>
        <w:t>un requérant ne peut en obtenir le remboursement que dans la mesure où se trouvent établis leur réalité, leur nécessité et le caractère raisonnable de leur taux. En l</w:t>
      </w:r>
      <w:r w:rsidRPr="00BC16EE" w:rsidR="00BC16EE">
        <w:rPr>
          <w:lang w:val="fr-FR"/>
        </w:rPr>
        <w:t>’</w:t>
      </w:r>
      <w:r w:rsidRPr="00BC16EE">
        <w:rPr>
          <w:lang w:val="fr-FR"/>
        </w:rPr>
        <w:t>espèce, compte tenu des documents dont elle dispose et de sa jurisprudence, la Cour estime raisonnable la somme de 1 000 EUR pour les frais et dépens, et elle l</w:t>
      </w:r>
      <w:r w:rsidRPr="00BC16EE" w:rsidR="00BC16EE">
        <w:rPr>
          <w:lang w:val="fr-FR"/>
        </w:rPr>
        <w:t>’</w:t>
      </w:r>
      <w:r w:rsidRPr="00BC16EE">
        <w:rPr>
          <w:lang w:val="fr-FR"/>
        </w:rPr>
        <w:t>accorde conjointement aux requérantes.</w:t>
      </w:r>
    </w:p>
    <w:p w:rsidRPr="00BC16EE" w:rsidR="00C96842" w:rsidP="00BC16EE" w:rsidRDefault="00C96842">
      <w:pPr>
        <w:pStyle w:val="ECHRTitle1"/>
        <w:rPr>
          <w:lang w:val="fr-FR"/>
        </w:rPr>
      </w:pPr>
      <w:r w:rsidRPr="00BC16EE">
        <w:rPr>
          <w:lang w:val="fr-FR"/>
        </w:rPr>
        <w:t>PAR CES MOTIFS, LA COUR, À L</w:t>
      </w:r>
      <w:r w:rsidRPr="00BC16EE" w:rsidR="00BC16EE">
        <w:rPr>
          <w:lang w:val="fr-FR"/>
        </w:rPr>
        <w:t>’</w:t>
      </w:r>
      <w:r w:rsidRPr="00BC16EE">
        <w:rPr>
          <w:lang w:val="fr-FR"/>
        </w:rPr>
        <w:t>UNANIMITÉ,</w:t>
      </w:r>
    </w:p>
    <w:p w:rsidRPr="00BC16EE" w:rsidR="00C96842" w:rsidP="00BC16EE" w:rsidRDefault="00C96842">
      <w:pPr>
        <w:pStyle w:val="JuList"/>
        <w:rPr>
          <w:lang w:val="fr-FR"/>
        </w:rPr>
      </w:pPr>
      <w:r w:rsidRPr="00BC16EE">
        <w:rPr>
          <w:lang w:val="fr-FR"/>
        </w:rPr>
        <w:t>1. </w:t>
      </w:r>
      <w:r w:rsidRPr="00BC16EE">
        <w:rPr>
          <w:i/>
          <w:lang w:val="fr-FR"/>
        </w:rPr>
        <w:t> Joint</w:t>
      </w:r>
      <w:r w:rsidRPr="00BC16EE">
        <w:rPr>
          <w:lang w:val="fr-FR"/>
        </w:rPr>
        <w:t xml:space="preserve"> au fond l</w:t>
      </w:r>
      <w:r w:rsidRPr="00BC16EE" w:rsidR="00BC16EE">
        <w:rPr>
          <w:lang w:val="fr-FR"/>
        </w:rPr>
        <w:t>’</w:t>
      </w:r>
      <w:r w:rsidRPr="00BC16EE">
        <w:rPr>
          <w:lang w:val="fr-FR"/>
        </w:rPr>
        <w:t>exception de non-épuisement des voies de recours internes soulevée par le Gouvernement, et la rejette ;</w:t>
      </w:r>
    </w:p>
    <w:p w:rsidRPr="00BC16EE" w:rsidR="00C96842" w:rsidP="00BC16EE" w:rsidRDefault="00C96842">
      <w:pPr>
        <w:pStyle w:val="JuList"/>
        <w:rPr>
          <w:lang w:val="fr-FR"/>
        </w:rPr>
      </w:pPr>
    </w:p>
    <w:p w:rsidRPr="00BC16EE" w:rsidR="00C96842" w:rsidP="00BC16EE" w:rsidRDefault="00C96842">
      <w:pPr>
        <w:pStyle w:val="JuList"/>
        <w:rPr>
          <w:lang w:val="fr-FR"/>
        </w:rPr>
      </w:pPr>
      <w:r w:rsidRPr="00BC16EE">
        <w:rPr>
          <w:lang w:val="fr-FR"/>
        </w:rPr>
        <w:t>2.  </w:t>
      </w:r>
      <w:r w:rsidRPr="00BC16EE">
        <w:rPr>
          <w:i/>
          <w:lang w:val="fr-FR"/>
        </w:rPr>
        <w:t>Déclare</w:t>
      </w:r>
      <w:r w:rsidRPr="00BC16EE">
        <w:rPr>
          <w:lang w:val="fr-FR"/>
        </w:rPr>
        <w:t xml:space="preserve"> la requête recevable ;</w:t>
      </w:r>
    </w:p>
    <w:p w:rsidRPr="00BC16EE" w:rsidR="00C96842" w:rsidP="00BC16EE" w:rsidRDefault="00C96842">
      <w:pPr>
        <w:pStyle w:val="JuList"/>
        <w:rPr>
          <w:lang w:val="fr-FR"/>
        </w:rPr>
      </w:pPr>
    </w:p>
    <w:p w:rsidRPr="00BC16EE" w:rsidR="00C96842" w:rsidP="00BC16EE" w:rsidRDefault="00C96842">
      <w:pPr>
        <w:pStyle w:val="JuList"/>
        <w:rPr>
          <w:lang w:val="fr-FR"/>
        </w:rPr>
      </w:pPr>
      <w:r w:rsidRPr="00BC16EE">
        <w:rPr>
          <w:lang w:val="fr-FR"/>
        </w:rPr>
        <w:t>3.  </w:t>
      </w:r>
      <w:r w:rsidRPr="00BC16EE">
        <w:rPr>
          <w:i/>
          <w:lang w:val="fr-FR"/>
        </w:rPr>
        <w:t>Dit</w:t>
      </w:r>
      <w:r w:rsidRPr="00BC16EE">
        <w:rPr>
          <w:lang w:val="fr-FR"/>
        </w:rPr>
        <w:t xml:space="preserve"> qu</w:t>
      </w:r>
      <w:r w:rsidRPr="00BC16EE" w:rsidR="00BC16EE">
        <w:rPr>
          <w:lang w:val="fr-FR"/>
        </w:rPr>
        <w:t>’</w:t>
      </w:r>
      <w:r w:rsidRPr="00BC16EE">
        <w:rPr>
          <w:lang w:val="fr-FR"/>
        </w:rPr>
        <w:t>il n</w:t>
      </w:r>
      <w:r w:rsidRPr="00BC16EE" w:rsidR="00BC16EE">
        <w:rPr>
          <w:lang w:val="fr-FR"/>
        </w:rPr>
        <w:t>’</w:t>
      </w:r>
      <w:r w:rsidRPr="00BC16EE">
        <w:rPr>
          <w:lang w:val="fr-FR"/>
        </w:rPr>
        <w:t>y a pas eu violation du volet matériel de l</w:t>
      </w:r>
      <w:r w:rsidRPr="00BC16EE" w:rsidR="00BC16EE">
        <w:rPr>
          <w:lang w:val="fr-FR"/>
        </w:rPr>
        <w:t>’</w:t>
      </w:r>
      <w:r w:rsidRPr="00BC16EE">
        <w:rPr>
          <w:lang w:val="fr-FR"/>
        </w:rPr>
        <w:t>article 2 de la Convention ;</w:t>
      </w:r>
    </w:p>
    <w:p w:rsidRPr="00BC16EE" w:rsidR="00C96842" w:rsidP="00BC16EE" w:rsidRDefault="00C96842">
      <w:pPr>
        <w:pStyle w:val="JuList"/>
        <w:rPr>
          <w:lang w:val="fr-FR"/>
        </w:rPr>
      </w:pPr>
    </w:p>
    <w:p w:rsidRPr="00BC16EE" w:rsidR="00C96842" w:rsidP="00BC16EE" w:rsidRDefault="00C96842">
      <w:pPr>
        <w:pStyle w:val="JuList"/>
        <w:rPr>
          <w:lang w:val="fr-FR"/>
        </w:rPr>
      </w:pPr>
      <w:r w:rsidRPr="00BC16EE">
        <w:rPr>
          <w:lang w:val="fr-FR"/>
        </w:rPr>
        <w:t>4.  </w:t>
      </w:r>
      <w:r w:rsidRPr="00BC16EE">
        <w:rPr>
          <w:i/>
          <w:lang w:val="fr-FR"/>
        </w:rPr>
        <w:t>Dit</w:t>
      </w:r>
      <w:r w:rsidRPr="00BC16EE">
        <w:rPr>
          <w:lang w:val="fr-FR"/>
        </w:rPr>
        <w:t xml:space="preserve"> qu</w:t>
      </w:r>
      <w:r w:rsidRPr="00BC16EE" w:rsidR="00BC16EE">
        <w:rPr>
          <w:lang w:val="fr-FR"/>
        </w:rPr>
        <w:t>’</w:t>
      </w:r>
      <w:r w:rsidRPr="00BC16EE">
        <w:rPr>
          <w:lang w:val="fr-FR"/>
        </w:rPr>
        <w:t>il y a eu violation du volet procédural de l</w:t>
      </w:r>
      <w:r w:rsidRPr="00BC16EE" w:rsidR="00BC16EE">
        <w:rPr>
          <w:lang w:val="fr-FR"/>
        </w:rPr>
        <w:t>’</w:t>
      </w:r>
      <w:r w:rsidRPr="00BC16EE">
        <w:rPr>
          <w:lang w:val="fr-FR"/>
        </w:rPr>
        <w:t>article 2 de la Convention ;</w:t>
      </w:r>
    </w:p>
    <w:p w:rsidRPr="00BC16EE" w:rsidR="00C96842" w:rsidP="00BC16EE" w:rsidRDefault="00C96842">
      <w:pPr>
        <w:pStyle w:val="JuList"/>
        <w:rPr>
          <w:lang w:val="fr-FR"/>
        </w:rPr>
      </w:pPr>
    </w:p>
    <w:p w:rsidRPr="00BC16EE" w:rsidR="00C96842" w:rsidP="00BC16EE" w:rsidRDefault="00C96842">
      <w:pPr>
        <w:pStyle w:val="JuList"/>
        <w:rPr>
          <w:lang w:val="fr-FR"/>
        </w:rPr>
      </w:pPr>
      <w:r w:rsidRPr="00BC16EE">
        <w:rPr>
          <w:lang w:val="fr-FR"/>
        </w:rPr>
        <w:t>5.  </w:t>
      </w:r>
      <w:r w:rsidRPr="00BC16EE">
        <w:rPr>
          <w:i/>
          <w:lang w:val="fr-FR"/>
        </w:rPr>
        <w:t>Dit</w:t>
      </w:r>
    </w:p>
    <w:p w:rsidRPr="00BC16EE" w:rsidR="00C96842" w:rsidP="00BC16EE" w:rsidRDefault="00C96842">
      <w:pPr>
        <w:pStyle w:val="JuLista"/>
        <w:rPr>
          <w:lang w:val="fr-FR"/>
        </w:rPr>
      </w:pPr>
      <w:r w:rsidRPr="00BC16EE">
        <w:rPr>
          <w:lang w:val="fr-FR"/>
        </w:rPr>
        <w:t>a)  que l</w:t>
      </w:r>
      <w:r w:rsidRPr="00BC16EE" w:rsidR="00BC16EE">
        <w:rPr>
          <w:lang w:val="fr-FR"/>
        </w:rPr>
        <w:t>’</w:t>
      </w:r>
      <w:r w:rsidRPr="00BC16EE">
        <w:rPr>
          <w:lang w:val="fr-FR"/>
        </w:rPr>
        <w:t>État défendeur doit verser conjointement aux requérantes, dans les trois mois à compter du jour où l</w:t>
      </w:r>
      <w:r w:rsidRPr="00BC16EE" w:rsidR="00BC16EE">
        <w:rPr>
          <w:lang w:val="fr-FR"/>
        </w:rPr>
        <w:t>’</w:t>
      </w:r>
      <w:r w:rsidRPr="00BC16EE">
        <w:rPr>
          <w:lang w:val="fr-FR"/>
        </w:rPr>
        <w:t>arrêt sera devenu définitif conformément à l</w:t>
      </w:r>
      <w:r w:rsidRPr="00BC16EE" w:rsidR="00BC16EE">
        <w:rPr>
          <w:lang w:val="fr-FR"/>
        </w:rPr>
        <w:t>’</w:t>
      </w:r>
      <w:r w:rsidRPr="00BC16EE">
        <w:rPr>
          <w:lang w:val="fr-FR"/>
        </w:rPr>
        <w:t xml:space="preserve">article 44 § 2 de la Convention, les sommes suivantes, à convertir </w:t>
      </w:r>
      <w:r w:rsidRPr="00BC16EE">
        <w:rPr>
          <w:bCs/>
          <w:lang w:val="fr-FR"/>
        </w:rPr>
        <w:t>dans la monnaie de l</w:t>
      </w:r>
      <w:r w:rsidRPr="00BC16EE" w:rsidR="00BC16EE">
        <w:rPr>
          <w:bCs/>
          <w:lang w:val="fr-FR"/>
        </w:rPr>
        <w:t>’</w:t>
      </w:r>
      <w:r w:rsidRPr="00BC16EE">
        <w:rPr>
          <w:bCs/>
          <w:lang w:val="fr-FR"/>
        </w:rPr>
        <w:t>État défendeur,</w:t>
      </w:r>
      <w:r w:rsidRPr="00BC16EE">
        <w:rPr>
          <w:lang w:val="fr-FR"/>
        </w:rPr>
        <w:t xml:space="preserve"> au taux applicable à la date du règlement :</w:t>
      </w:r>
    </w:p>
    <w:p w:rsidRPr="00BC16EE" w:rsidR="00C96842" w:rsidP="00BC16EE" w:rsidRDefault="00C96842">
      <w:pPr>
        <w:pStyle w:val="JuListi"/>
        <w:rPr>
          <w:lang w:val="fr-FR" w:eastAsia="en-GB"/>
        </w:rPr>
      </w:pPr>
      <w:r w:rsidRPr="00BC16EE">
        <w:rPr>
          <w:lang w:val="fr-FR" w:eastAsia="en-GB"/>
        </w:rPr>
        <w:t>i.  10 000 EUR (dix mille euros), plus tout montant pouvant être dû à titre d</w:t>
      </w:r>
      <w:r w:rsidRPr="00BC16EE" w:rsidR="00BC16EE">
        <w:rPr>
          <w:lang w:val="fr-FR" w:eastAsia="en-GB"/>
        </w:rPr>
        <w:t>’</w:t>
      </w:r>
      <w:r w:rsidRPr="00BC16EE">
        <w:rPr>
          <w:lang w:val="fr-FR" w:eastAsia="en-GB"/>
        </w:rPr>
        <w:t>impôt, pour dommage moral,</w:t>
      </w:r>
    </w:p>
    <w:p w:rsidRPr="00BC16EE" w:rsidR="00C96842" w:rsidP="00BC16EE" w:rsidRDefault="00C96842">
      <w:pPr>
        <w:pStyle w:val="JuListi"/>
        <w:rPr>
          <w:lang w:val="fr-FR" w:eastAsia="en-GB"/>
        </w:rPr>
      </w:pPr>
      <w:r w:rsidRPr="00BC16EE">
        <w:rPr>
          <w:lang w:val="fr-FR" w:eastAsia="en-GB"/>
        </w:rPr>
        <w:t xml:space="preserve">ii.  1 000 EUR (mille euros), plus tout montant pouvant être dû par </w:t>
      </w:r>
      <w:r w:rsidRPr="00BC16EE">
        <w:rPr>
          <w:lang w:val="fr-FR"/>
        </w:rPr>
        <w:t>les requérantes</w:t>
      </w:r>
      <w:r w:rsidRPr="00BC16EE">
        <w:rPr>
          <w:lang w:val="fr-FR" w:eastAsia="en-GB"/>
        </w:rPr>
        <w:t xml:space="preserve"> à titre d</w:t>
      </w:r>
      <w:r w:rsidRPr="00BC16EE" w:rsidR="00BC16EE">
        <w:rPr>
          <w:lang w:val="fr-FR" w:eastAsia="en-GB"/>
        </w:rPr>
        <w:t>’</w:t>
      </w:r>
      <w:r w:rsidRPr="00BC16EE">
        <w:rPr>
          <w:lang w:val="fr-FR" w:eastAsia="en-GB"/>
        </w:rPr>
        <w:t>impôt, pour frais et dépens ;</w:t>
      </w:r>
    </w:p>
    <w:p w:rsidRPr="00BC16EE" w:rsidR="00C96842" w:rsidP="00BC16EE" w:rsidRDefault="00C96842">
      <w:pPr>
        <w:pStyle w:val="JuLista"/>
        <w:rPr>
          <w:lang w:val="fr-FR"/>
        </w:rPr>
      </w:pPr>
      <w:r w:rsidRPr="00BC16EE">
        <w:rPr>
          <w:lang w:val="fr-FR"/>
        </w:rPr>
        <w:t>b)  qu</w:t>
      </w:r>
      <w:r w:rsidRPr="00BC16EE" w:rsidR="00BC16EE">
        <w:rPr>
          <w:lang w:val="fr-FR"/>
        </w:rPr>
        <w:t>’</w:t>
      </w:r>
      <w:r w:rsidRPr="00BC16EE">
        <w:rPr>
          <w:lang w:val="fr-FR"/>
        </w:rPr>
        <w:t>à compter de l</w:t>
      </w:r>
      <w:r w:rsidRPr="00BC16EE" w:rsidR="00BC16EE">
        <w:rPr>
          <w:lang w:val="fr-FR"/>
        </w:rPr>
        <w:t>’</w:t>
      </w:r>
      <w:r w:rsidRPr="00BC16EE">
        <w:rPr>
          <w:lang w:val="fr-FR"/>
        </w:rPr>
        <w:t>expiration dudit délai et jusqu</w:t>
      </w:r>
      <w:r w:rsidRPr="00BC16EE" w:rsidR="00BC16EE">
        <w:rPr>
          <w:lang w:val="fr-FR"/>
        </w:rPr>
        <w:t>’</w:t>
      </w:r>
      <w:r w:rsidRPr="00BC16EE">
        <w:rPr>
          <w:lang w:val="fr-FR"/>
        </w:rPr>
        <w:t>au versement, ces montants seront à majorer d</w:t>
      </w:r>
      <w:r w:rsidRPr="00BC16EE" w:rsidR="00BC16EE">
        <w:rPr>
          <w:lang w:val="fr-FR"/>
        </w:rPr>
        <w:t>’</w:t>
      </w:r>
      <w:r w:rsidRPr="00BC16EE">
        <w:rPr>
          <w:lang w:val="fr-FR"/>
        </w:rPr>
        <w:t>un intérêt simple à un taux égal à celui de la facilité de prêt marginal de la Banque centrale européenne applicable pendant cette période, augmenté de trois points de pourcentage ;</w:t>
      </w:r>
    </w:p>
    <w:p w:rsidRPr="00BC16EE" w:rsidR="00C96842" w:rsidP="00BC16EE" w:rsidRDefault="00C96842">
      <w:pPr>
        <w:pStyle w:val="JuLista"/>
        <w:rPr>
          <w:lang w:val="fr-FR"/>
        </w:rPr>
      </w:pPr>
    </w:p>
    <w:p w:rsidRPr="00BC16EE" w:rsidR="00C96842" w:rsidP="00BC16EE" w:rsidRDefault="00C96842">
      <w:pPr>
        <w:pStyle w:val="JuList"/>
        <w:rPr>
          <w:lang w:val="fr-FR"/>
        </w:rPr>
      </w:pPr>
      <w:r w:rsidRPr="00BC16EE">
        <w:rPr>
          <w:lang w:val="fr-FR"/>
        </w:rPr>
        <w:t>6.  </w:t>
      </w:r>
      <w:r w:rsidRPr="00BC16EE">
        <w:rPr>
          <w:i/>
          <w:lang w:val="fr-FR"/>
        </w:rPr>
        <w:t>Rejette</w:t>
      </w:r>
      <w:r w:rsidRPr="00BC16EE">
        <w:rPr>
          <w:lang w:val="fr-FR"/>
        </w:rPr>
        <w:t xml:space="preserve"> la demande de satisfaction équitable pour le surplus.</w:t>
      </w:r>
    </w:p>
    <w:p w:rsidRPr="00BC16EE" w:rsidR="00C96842" w:rsidP="00BC16EE" w:rsidRDefault="00C96842">
      <w:pPr>
        <w:pStyle w:val="JuParaLast"/>
        <w:keepNext w:val="0"/>
        <w:keepLines w:val="0"/>
        <w:rPr>
          <w:lang w:val="fr-FR"/>
        </w:rPr>
      </w:pPr>
      <w:r w:rsidRPr="00BC16EE">
        <w:rPr>
          <w:lang w:val="fr-FR"/>
        </w:rPr>
        <w:t>Fait en français, puis communiqué par écrit le 4 septembre 2018, en application de l</w:t>
      </w:r>
      <w:r w:rsidRPr="00BC16EE" w:rsidR="00BC16EE">
        <w:rPr>
          <w:lang w:val="fr-FR"/>
        </w:rPr>
        <w:t>’</w:t>
      </w:r>
      <w:r w:rsidRPr="00BC16EE">
        <w:rPr>
          <w:lang w:val="fr-FR"/>
        </w:rPr>
        <w:t>article 77 §§ 2 et 3 du règlement de la Cour.</w:t>
      </w:r>
    </w:p>
    <w:p w:rsidRPr="00BC16EE" w:rsidR="00C96842" w:rsidP="00BC16EE" w:rsidRDefault="00C96842">
      <w:pPr>
        <w:pStyle w:val="JuSigned"/>
        <w:rPr>
          <w:lang w:val="fr-FR"/>
        </w:rPr>
      </w:pPr>
      <w:r w:rsidRPr="00BC16EE">
        <w:rPr>
          <w:lang w:val="fr-FR"/>
        </w:rPr>
        <w:tab/>
      </w:r>
      <w:r w:rsidRPr="00BC16EE" w:rsidR="00631056">
        <w:rPr>
          <w:lang w:val="fr-FR"/>
        </w:rPr>
        <w:t>Hasan Bakırcı</w:t>
      </w:r>
      <w:r w:rsidRPr="00BC16EE">
        <w:rPr>
          <w:lang w:val="fr-FR"/>
        </w:rPr>
        <w:tab/>
      </w:r>
      <w:r w:rsidRPr="00BC16EE">
        <w:rPr>
          <w:szCs w:val="24"/>
          <w:lang w:val="fr-FR"/>
        </w:rPr>
        <w:t>Robert Spano</w:t>
      </w:r>
      <w:r w:rsidRPr="00BC16EE">
        <w:rPr>
          <w:lang w:val="fr-FR"/>
        </w:rPr>
        <w:br/>
      </w:r>
      <w:r w:rsidRPr="00BC16EE">
        <w:rPr>
          <w:lang w:val="fr-FR"/>
        </w:rPr>
        <w:tab/>
        <w:t>Greffier</w:t>
      </w:r>
      <w:r w:rsidRPr="00BC16EE" w:rsidR="00631056">
        <w:rPr>
          <w:lang w:val="fr-FR"/>
        </w:rPr>
        <w:t xml:space="preserve"> adjoint</w:t>
      </w:r>
      <w:r w:rsidRPr="00BC16EE">
        <w:rPr>
          <w:lang w:val="fr-FR"/>
        </w:rPr>
        <w:tab/>
        <w:t>Président</w:t>
      </w:r>
    </w:p>
    <w:p w:rsidRPr="00BC16EE" w:rsidR="002258CD" w:rsidP="00BC16EE" w:rsidRDefault="002258CD">
      <w:pPr>
        <w:jc w:val="left"/>
        <w:rPr>
          <w:lang w:val="fr-FR"/>
        </w:rPr>
      </w:pPr>
    </w:p>
    <w:p w:rsidRPr="00BC16EE" w:rsidR="00C9700C" w:rsidP="00BC16EE" w:rsidRDefault="00C9700C">
      <w:pPr>
        <w:pStyle w:val="JuParaLast"/>
        <w:rPr>
          <w:lang w:val="fr-FR"/>
        </w:rPr>
      </w:pPr>
      <w:r w:rsidRPr="00BC16EE">
        <w:rPr>
          <w:lang w:val="fr-FR"/>
        </w:rPr>
        <w:t>Au présent arrêt se trouve joint, conformément aux articles</w:t>
      </w:r>
      <w:r w:rsidRPr="00BC16EE" w:rsidR="00F77D70">
        <w:rPr>
          <w:lang w:val="fr-FR"/>
        </w:rPr>
        <w:t xml:space="preserve"> </w:t>
      </w:r>
      <w:r w:rsidRPr="00BC16EE">
        <w:rPr>
          <w:lang w:val="fr-FR"/>
        </w:rPr>
        <w:t>45 §</w:t>
      </w:r>
      <w:r w:rsidRPr="00BC16EE" w:rsidR="00F77D70">
        <w:rPr>
          <w:lang w:val="fr-FR"/>
        </w:rPr>
        <w:t xml:space="preserve"> </w:t>
      </w:r>
      <w:r w:rsidRPr="00BC16EE">
        <w:rPr>
          <w:lang w:val="fr-FR"/>
        </w:rPr>
        <w:t>2 de la Convention et</w:t>
      </w:r>
      <w:r w:rsidRPr="00BC16EE" w:rsidR="00F77D70">
        <w:rPr>
          <w:lang w:val="fr-FR"/>
        </w:rPr>
        <w:t xml:space="preserve"> </w:t>
      </w:r>
      <w:r w:rsidRPr="00BC16EE">
        <w:rPr>
          <w:lang w:val="fr-FR"/>
        </w:rPr>
        <w:t>74 §</w:t>
      </w:r>
      <w:r w:rsidRPr="00BC16EE" w:rsidR="00F77D70">
        <w:rPr>
          <w:lang w:val="fr-FR"/>
        </w:rPr>
        <w:t xml:space="preserve"> </w:t>
      </w:r>
      <w:r w:rsidRPr="00BC16EE">
        <w:rPr>
          <w:lang w:val="fr-FR"/>
        </w:rPr>
        <w:t>2 du règlement, l</w:t>
      </w:r>
      <w:r w:rsidRPr="00BC16EE" w:rsidR="00BC16EE">
        <w:rPr>
          <w:lang w:val="fr-FR"/>
        </w:rPr>
        <w:t>’</w:t>
      </w:r>
      <w:r w:rsidRPr="00BC16EE">
        <w:rPr>
          <w:lang w:val="fr-FR"/>
        </w:rPr>
        <w:t>exposé de l</w:t>
      </w:r>
      <w:r w:rsidRPr="00BC16EE" w:rsidR="00BC16EE">
        <w:rPr>
          <w:lang w:val="fr-FR"/>
        </w:rPr>
        <w:t>’</w:t>
      </w:r>
      <w:r w:rsidRPr="00BC16EE">
        <w:rPr>
          <w:lang w:val="fr-FR"/>
        </w:rPr>
        <w:t>opinion séparée d</w:t>
      </w:r>
      <w:r w:rsidRPr="00BC16EE" w:rsidR="00F77D70">
        <w:rPr>
          <w:lang w:val="fr-FR"/>
        </w:rPr>
        <w:t xml:space="preserve">u </w:t>
      </w:r>
      <w:r w:rsidRPr="00BC16EE">
        <w:rPr>
          <w:lang w:val="fr-FR"/>
        </w:rPr>
        <w:t>juge</w:t>
      </w:r>
      <w:r w:rsidRPr="00BC16EE" w:rsidR="00F77D70">
        <w:rPr>
          <w:lang w:val="fr-FR"/>
        </w:rPr>
        <w:t> Lemmens</w:t>
      </w:r>
      <w:r w:rsidRPr="00BC16EE">
        <w:rPr>
          <w:lang w:val="fr-FR"/>
        </w:rPr>
        <w:t>.</w:t>
      </w:r>
    </w:p>
    <w:p w:rsidRPr="00BC16EE" w:rsidR="00C9700C" w:rsidP="00BC16EE" w:rsidRDefault="00C9700C">
      <w:pPr>
        <w:pStyle w:val="JuInitialled"/>
        <w:rPr>
          <w:lang w:val="fr-FR"/>
        </w:rPr>
      </w:pPr>
      <w:r w:rsidRPr="00BC16EE">
        <w:rPr>
          <w:lang w:val="fr-FR"/>
        </w:rPr>
        <w:t>R.S</w:t>
      </w:r>
      <w:proofErr w:type="gramStart"/>
      <w:r w:rsidRPr="00BC16EE">
        <w:rPr>
          <w:lang w:val="fr-FR"/>
        </w:rPr>
        <w:t>.</w:t>
      </w:r>
      <w:proofErr w:type="gramEnd"/>
      <w:r w:rsidRPr="00BC16EE">
        <w:rPr>
          <w:lang w:val="fr-FR"/>
        </w:rPr>
        <w:br/>
        <w:t>H.B.</w:t>
      </w:r>
    </w:p>
    <w:p w:rsidRPr="00BC16EE" w:rsidR="004D15F3" w:rsidP="00BC16EE" w:rsidRDefault="004D15F3">
      <w:pPr>
        <w:rPr>
          <w:lang w:val="fr-FR"/>
        </w:rPr>
      </w:pPr>
    </w:p>
    <w:p w:rsidRPr="00BC16EE" w:rsidR="00AD08BB" w:rsidP="00BC16EE" w:rsidRDefault="00AD08BB">
      <w:pPr>
        <w:rPr>
          <w:lang w:val="fr-FR"/>
        </w:rPr>
        <w:sectPr w:rsidRPr="00BC16EE" w:rsidR="00AD08BB">
          <w:headerReference w:type="even" r:id="rId10"/>
          <w:headerReference w:type="default" r:id="rId11"/>
          <w:footerReference w:type="even" r:id="rId12"/>
          <w:footerReference w:type="default" r:id="rId13"/>
          <w:footnotePr>
            <w:numRestart w:val="eachSect"/>
          </w:footnotePr>
          <w:pgSz w:w="11906" w:h="16838" w:code="9"/>
          <w:pgMar w:top="2274" w:right="2274" w:bottom="2274" w:left="2274" w:header="1701" w:footer="720" w:gutter="0"/>
          <w:pgNumType w:start="1"/>
          <w:cols w:space="720"/>
          <w:noEndnote/>
        </w:sectPr>
      </w:pPr>
    </w:p>
    <w:p w:rsidRPr="00BC16EE" w:rsidR="00AD08BB" w:rsidP="00BC16EE" w:rsidRDefault="00AD08BB">
      <w:pPr>
        <w:pStyle w:val="ECHRTitleCentre1"/>
        <w:rPr>
          <w:lang w:val="fr-FR"/>
        </w:rPr>
      </w:pPr>
      <w:r w:rsidRPr="00BC16EE">
        <w:rPr>
          <w:lang w:val="fr-FR"/>
        </w:rPr>
        <w:t>OPINION CONCORDANTE DU JUGE LEMMENS</w:t>
      </w:r>
    </w:p>
    <w:p w:rsidRPr="00BC16EE" w:rsidR="00173565" w:rsidP="00BC16EE" w:rsidRDefault="00173565">
      <w:pPr>
        <w:pStyle w:val="OpiPara"/>
        <w:rPr>
          <w:lang w:val="fr-FR"/>
        </w:rPr>
      </w:pPr>
      <w:r w:rsidRPr="00BC16EE">
        <w:rPr>
          <w:lang w:val="fr-FR"/>
        </w:rPr>
        <w:t>1.  J</w:t>
      </w:r>
      <w:r w:rsidRPr="00BC16EE" w:rsidR="00BC16EE">
        <w:rPr>
          <w:lang w:val="fr-FR"/>
        </w:rPr>
        <w:t>’</w:t>
      </w:r>
      <w:r w:rsidRPr="00BC16EE">
        <w:rPr>
          <w:lang w:val="fr-FR"/>
        </w:rPr>
        <w:t>ai voté avec la majorité en faveur du constat de violation du volet procédural de l</w:t>
      </w:r>
      <w:r w:rsidRPr="00BC16EE" w:rsidR="00BC16EE">
        <w:rPr>
          <w:lang w:val="fr-FR"/>
        </w:rPr>
        <w:t>’</w:t>
      </w:r>
      <w:r w:rsidRPr="00BC16EE">
        <w:rPr>
          <w:lang w:val="fr-FR"/>
        </w:rPr>
        <w:t>article 2 de la Convention. À mon avis, toutefois, il aurait été préférable de conclure à la violation de l</w:t>
      </w:r>
      <w:r w:rsidRPr="00BC16EE" w:rsidR="00BC16EE">
        <w:rPr>
          <w:lang w:val="fr-FR"/>
        </w:rPr>
        <w:t>’</w:t>
      </w:r>
      <w:r w:rsidRPr="00BC16EE">
        <w:rPr>
          <w:lang w:val="fr-FR"/>
        </w:rPr>
        <w:t>article 6 § 1 de la Convention.</w:t>
      </w:r>
    </w:p>
    <w:p w:rsidRPr="00BC16EE" w:rsidR="00173565" w:rsidP="00BC16EE" w:rsidRDefault="00173565">
      <w:pPr>
        <w:pStyle w:val="OpiPara"/>
        <w:rPr>
          <w:lang w:val="fr-FR"/>
        </w:rPr>
      </w:pPr>
    </w:p>
    <w:p w:rsidRPr="00BC16EE" w:rsidR="00173565" w:rsidP="00BC16EE" w:rsidRDefault="00173565">
      <w:pPr>
        <w:pStyle w:val="OpiPara"/>
        <w:rPr>
          <w:lang w:val="fr-FR"/>
        </w:rPr>
      </w:pPr>
      <w:r w:rsidRPr="00BC16EE">
        <w:rPr>
          <w:lang w:val="fr-FR"/>
        </w:rPr>
        <w:t>2.  C</w:t>
      </w:r>
      <w:r w:rsidRPr="00BC16EE" w:rsidR="00BC16EE">
        <w:rPr>
          <w:lang w:val="fr-FR"/>
        </w:rPr>
        <w:t>’</w:t>
      </w:r>
      <w:r w:rsidRPr="00BC16EE">
        <w:rPr>
          <w:lang w:val="fr-FR"/>
        </w:rPr>
        <w:t>est en effet sur le terrain de cette dernière disposition que les requérantes se sont plaintes du caractère inéquitable de la procédure et du dépassement du délai raisonnable (paragraphe 28 de l</w:t>
      </w:r>
      <w:r w:rsidRPr="00BC16EE" w:rsidR="00BC16EE">
        <w:rPr>
          <w:lang w:val="fr-FR"/>
        </w:rPr>
        <w:t>’</w:t>
      </w:r>
      <w:r w:rsidRPr="00BC16EE">
        <w:rPr>
          <w:lang w:val="fr-FR"/>
        </w:rPr>
        <w:t>arrêt). La majorité a estimé que ces griefs – ainsi que ceux concernant la responsabilité de l</w:t>
      </w:r>
      <w:r w:rsidRPr="00BC16EE" w:rsidR="00BC16EE">
        <w:rPr>
          <w:lang w:val="fr-FR"/>
        </w:rPr>
        <w:t>’</w:t>
      </w:r>
      <w:r w:rsidRPr="00BC16EE">
        <w:rPr>
          <w:lang w:val="fr-FR"/>
        </w:rPr>
        <w:t>État défendeur pour le décès de leur proche – appelaient un examen sur le terrain de l</w:t>
      </w:r>
      <w:r w:rsidRPr="00BC16EE" w:rsidR="00BC16EE">
        <w:rPr>
          <w:lang w:val="fr-FR"/>
        </w:rPr>
        <w:t>’</w:t>
      </w:r>
      <w:r w:rsidRPr="00BC16EE">
        <w:rPr>
          <w:lang w:val="fr-FR"/>
        </w:rPr>
        <w:t>article 2 de la Convention (paragraphe 30 de l</w:t>
      </w:r>
      <w:r w:rsidRPr="00BC16EE" w:rsidR="00BC16EE">
        <w:rPr>
          <w:lang w:val="fr-FR"/>
        </w:rPr>
        <w:t>’</w:t>
      </w:r>
      <w:r w:rsidRPr="00BC16EE">
        <w:rPr>
          <w:lang w:val="fr-FR"/>
        </w:rPr>
        <w:t>arrêt).</w:t>
      </w:r>
    </w:p>
    <w:p w:rsidRPr="00BC16EE" w:rsidR="00173565" w:rsidP="00BC16EE" w:rsidRDefault="00173565">
      <w:pPr>
        <w:pStyle w:val="OpiPara"/>
        <w:rPr>
          <w:lang w:val="fr-FR"/>
        </w:rPr>
      </w:pPr>
    </w:p>
    <w:p w:rsidRPr="00BC16EE" w:rsidR="00173565" w:rsidP="00BC16EE" w:rsidRDefault="00173565">
      <w:pPr>
        <w:pStyle w:val="OpiPara"/>
        <w:rPr>
          <w:lang w:val="fr-FR"/>
        </w:rPr>
      </w:pPr>
      <w:r w:rsidRPr="00BC16EE">
        <w:rPr>
          <w:lang w:val="fr-FR"/>
        </w:rPr>
        <w:t>Si une telle approche se justifie généralement quand un requérant se plaint de l</w:t>
      </w:r>
      <w:r w:rsidRPr="00BC16EE" w:rsidR="00BC16EE">
        <w:rPr>
          <w:lang w:val="fr-FR"/>
        </w:rPr>
        <w:t>’</w:t>
      </w:r>
      <w:r w:rsidRPr="00BC16EE">
        <w:rPr>
          <w:lang w:val="fr-FR"/>
        </w:rPr>
        <w:t>ineffectivité de l</w:t>
      </w:r>
      <w:r w:rsidRPr="00BC16EE" w:rsidR="00BC16EE">
        <w:rPr>
          <w:lang w:val="fr-FR"/>
        </w:rPr>
        <w:t>’</w:t>
      </w:r>
      <w:r w:rsidRPr="00BC16EE">
        <w:rPr>
          <w:lang w:val="fr-FR"/>
        </w:rPr>
        <w:t>enquête menée sur les circonstances d</w:t>
      </w:r>
      <w:r w:rsidRPr="00BC16EE" w:rsidR="00BC16EE">
        <w:rPr>
          <w:lang w:val="fr-FR"/>
        </w:rPr>
        <w:t>’</w:t>
      </w:r>
      <w:r w:rsidRPr="00BC16EE">
        <w:rPr>
          <w:lang w:val="fr-FR"/>
        </w:rPr>
        <w:t>un décès, il n</w:t>
      </w:r>
      <w:r w:rsidRPr="00BC16EE" w:rsidR="00BC16EE">
        <w:rPr>
          <w:lang w:val="fr-FR"/>
        </w:rPr>
        <w:t>’</w:t>
      </w:r>
      <w:r w:rsidRPr="00BC16EE">
        <w:rPr>
          <w:lang w:val="fr-FR"/>
        </w:rPr>
        <w:t>en va pas ainsi, à mon avis, dans la présente espèce.</w:t>
      </w:r>
    </w:p>
    <w:p w:rsidRPr="00BC16EE" w:rsidR="00173565" w:rsidP="00BC16EE" w:rsidRDefault="00173565">
      <w:pPr>
        <w:pStyle w:val="OpiPara"/>
        <w:rPr>
          <w:lang w:val="fr-FR"/>
        </w:rPr>
      </w:pPr>
    </w:p>
    <w:p w:rsidRPr="00BC16EE" w:rsidR="00173565" w:rsidP="00BC16EE" w:rsidRDefault="00173565">
      <w:pPr>
        <w:pStyle w:val="OpiPara"/>
        <w:rPr>
          <w:lang w:val="fr-FR"/>
        </w:rPr>
      </w:pPr>
      <w:r w:rsidRPr="00BC16EE">
        <w:rPr>
          <w:lang w:val="fr-FR"/>
        </w:rPr>
        <w:t>Dans l</w:t>
      </w:r>
      <w:r w:rsidRPr="00BC16EE" w:rsidR="00BC16EE">
        <w:rPr>
          <w:lang w:val="fr-FR"/>
        </w:rPr>
        <w:t>’</w:t>
      </w:r>
      <w:r w:rsidRPr="00BC16EE">
        <w:rPr>
          <w:lang w:val="fr-FR"/>
        </w:rPr>
        <w:t xml:space="preserve">affaire </w:t>
      </w:r>
      <w:r w:rsidRPr="00BC16EE">
        <w:rPr>
          <w:i/>
          <w:lang w:val="fr-FR"/>
        </w:rPr>
        <w:t xml:space="preserve">Mustafa </w:t>
      </w:r>
      <w:proofErr w:type="spellStart"/>
      <w:r w:rsidRPr="00BC16EE">
        <w:rPr>
          <w:i/>
          <w:lang w:val="fr-FR"/>
        </w:rPr>
        <w:t>Tunç</w:t>
      </w:r>
      <w:proofErr w:type="spellEnd"/>
      <w:r w:rsidRPr="00BC16EE">
        <w:rPr>
          <w:i/>
          <w:lang w:val="fr-FR"/>
        </w:rPr>
        <w:t xml:space="preserve"> et </w:t>
      </w:r>
      <w:proofErr w:type="spellStart"/>
      <w:r w:rsidRPr="00BC16EE">
        <w:rPr>
          <w:i/>
          <w:lang w:val="fr-FR"/>
        </w:rPr>
        <w:t>Fecire</w:t>
      </w:r>
      <w:proofErr w:type="spellEnd"/>
      <w:r w:rsidRPr="00BC16EE">
        <w:rPr>
          <w:i/>
          <w:lang w:val="fr-FR"/>
        </w:rPr>
        <w:t xml:space="preserve"> </w:t>
      </w:r>
      <w:proofErr w:type="spellStart"/>
      <w:r w:rsidRPr="00BC16EE">
        <w:rPr>
          <w:i/>
          <w:lang w:val="fr-FR"/>
        </w:rPr>
        <w:t>Tunç</w:t>
      </w:r>
      <w:proofErr w:type="spellEnd"/>
      <w:r w:rsidRPr="00BC16EE">
        <w:rPr>
          <w:lang w:val="fr-FR"/>
        </w:rPr>
        <w:t>, la Cour a souligné que le respect de l</w:t>
      </w:r>
      <w:r w:rsidRPr="00BC16EE" w:rsidR="00BC16EE">
        <w:rPr>
          <w:lang w:val="fr-FR"/>
        </w:rPr>
        <w:t>’</w:t>
      </w:r>
      <w:r w:rsidRPr="00BC16EE">
        <w:rPr>
          <w:lang w:val="fr-FR"/>
        </w:rPr>
        <w:t>exigence procédurale de l</w:t>
      </w:r>
      <w:r w:rsidRPr="00BC16EE" w:rsidR="00BC16EE">
        <w:rPr>
          <w:lang w:val="fr-FR"/>
        </w:rPr>
        <w:t>’</w:t>
      </w:r>
      <w:r w:rsidRPr="00BC16EE">
        <w:rPr>
          <w:lang w:val="fr-FR"/>
        </w:rPr>
        <w:t>article 2 s</w:t>
      </w:r>
      <w:r w:rsidRPr="00BC16EE" w:rsidR="00BC16EE">
        <w:rPr>
          <w:lang w:val="fr-FR"/>
        </w:rPr>
        <w:t>’</w:t>
      </w:r>
      <w:r w:rsidRPr="00BC16EE">
        <w:rPr>
          <w:lang w:val="fr-FR"/>
        </w:rPr>
        <w:t>appréciait sur la base de plusieurs paramètres essentiels : l</w:t>
      </w:r>
      <w:r w:rsidRPr="00BC16EE" w:rsidR="00BC16EE">
        <w:rPr>
          <w:lang w:val="fr-FR"/>
        </w:rPr>
        <w:t>’</w:t>
      </w:r>
      <w:r w:rsidRPr="00BC16EE">
        <w:rPr>
          <w:lang w:val="fr-FR"/>
        </w:rPr>
        <w:t>adéquation des mesures d</w:t>
      </w:r>
      <w:r w:rsidRPr="00BC16EE" w:rsidR="00BC16EE">
        <w:rPr>
          <w:lang w:val="fr-FR"/>
        </w:rPr>
        <w:t>’</w:t>
      </w:r>
      <w:r w:rsidRPr="00BC16EE">
        <w:rPr>
          <w:lang w:val="fr-FR"/>
        </w:rPr>
        <w:t>investigation, la promptitude de l</w:t>
      </w:r>
      <w:r w:rsidRPr="00BC16EE" w:rsidR="00BC16EE">
        <w:rPr>
          <w:lang w:val="fr-FR"/>
        </w:rPr>
        <w:t>’</w:t>
      </w:r>
      <w:r w:rsidRPr="00BC16EE">
        <w:rPr>
          <w:lang w:val="fr-FR"/>
        </w:rPr>
        <w:t>enquête, la participation des proches du défunt à celle-ci et l</w:t>
      </w:r>
      <w:r w:rsidRPr="00BC16EE" w:rsidR="00BC16EE">
        <w:rPr>
          <w:lang w:val="fr-FR"/>
        </w:rPr>
        <w:t>’</w:t>
      </w:r>
      <w:r w:rsidRPr="00BC16EE">
        <w:rPr>
          <w:lang w:val="fr-FR"/>
        </w:rPr>
        <w:t>indépendance de l</w:t>
      </w:r>
      <w:r w:rsidRPr="00BC16EE" w:rsidR="00BC16EE">
        <w:rPr>
          <w:lang w:val="fr-FR"/>
        </w:rPr>
        <w:t>’</w:t>
      </w:r>
      <w:r w:rsidRPr="00BC16EE">
        <w:rPr>
          <w:lang w:val="fr-FR"/>
        </w:rPr>
        <w:t>enquête. Elle a précisé que ces paramètres étaient liés entre eux et qu</w:t>
      </w:r>
      <w:r w:rsidRPr="00BC16EE" w:rsidR="00BC16EE">
        <w:rPr>
          <w:lang w:val="fr-FR"/>
        </w:rPr>
        <w:t>’</w:t>
      </w:r>
      <w:r w:rsidRPr="00BC16EE">
        <w:rPr>
          <w:lang w:val="fr-FR"/>
        </w:rPr>
        <w:t>ils ne constituaient pas, pris isolément, une finalité en soi, comme c</w:t>
      </w:r>
      <w:r w:rsidRPr="00BC16EE" w:rsidR="00BC16EE">
        <w:rPr>
          <w:lang w:val="fr-FR"/>
        </w:rPr>
        <w:t>’</w:t>
      </w:r>
      <w:r w:rsidRPr="00BC16EE">
        <w:rPr>
          <w:lang w:val="fr-FR"/>
        </w:rPr>
        <w:t>est le cas, par exemple, pour l</w:t>
      </w:r>
      <w:r w:rsidRPr="00BC16EE" w:rsidR="00BC16EE">
        <w:rPr>
          <w:lang w:val="fr-FR"/>
        </w:rPr>
        <w:t>’</w:t>
      </w:r>
      <w:r w:rsidRPr="00BC16EE">
        <w:rPr>
          <w:lang w:val="fr-FR"/>
        </w:rPr>
        <w:t>exigence d</w:t>
      </w:r>
      <w:r w:rsidRPr="00BC16EE" w:rsidR="00BC16EE">
        <w:rPr>
          <w:lang w:val="fr-FR"/>
        </w:rPr>
        <w:t>’</w:t>
      </w:r>
      <w:r w:rsidRPr="00BC16EE">
        <w:rPr>
          <w:lang w:val="fr-FR"/>
        </w:rPr>
        <w:t>indépendance de l</w:t>
      </w:r>
      <w:r w:rsidRPr="00BC16EE" w:rsidR="00BC16EE">
        <w:rPr>
          <w:lang w:val="fr-FR"/>
        </w:rPr>
        <w:t>’</w:t>
      </w:r>
      <w:r w:rsidRPr="00BC16EE">
        <w:rPr>
          <w:lang w:val="fr-FR"/>
        </w:rPr>
        <w:t>article</w:t>
      </w:r>
      <w:r w:rsidRPr="00BC16EE" w:rsidR="00AC0EC6">
        <w:rPr>
          <w:lang w:val="fr-FR"/>
        </w:rPr>
        <w:t> </w:t>
      </w:r>
      <w:r w:rsidRPr="00BC16EE">
        <w:rPr>
          <w:lang w:val="fr-FR"/>
        </w:rPr>
        <w:t>6. Elle a ajouté qu</w:t>
      </w:r>
      <w:r w:rsidRPr="00BC16EE" w:rsidR="00BC16EE">
        <w:rPr>
          <w:lang w:val="fr-FR"/>
        </w:rPr>
        <w:t>’</w:t>
      </w:r>
      <w:r w:rsidRPr="00BC16EE">
        <w:rPr>
          <w:lang w:val="fr-FR"/>
        </w:rPr>
        <w:t>ils étaient autant de critères qui, pris conjointement, permettaient d</w:t>
      </w:r>
      <w:r w:rsidRPr="00BC16EE" w:rsidR="00BC16EE">
        <w:rPr>
          <w:lang w:val="fr-FR"/>
        </w:rPr>
        <w:t>’</w:t>
      </w:r>
      <w:r w:rsidRPr="00BC16EE">
        <w:rPr>
          <w:lang w:val="fr-FR"/>
        </w:rPr>
        <w:t>apprécier le degré d</w:t>
      </w:r>
      <w:r w:rsidRPr="00BC16EE" w:rsidR="00BC16EE">
        <w:rPr>
          <w:lang w:val="fr-FR"/>
        </w:rPr>
        <w:t>’</w:t>
      </w:r>
      <w:r w:rsidRPr="00BC16EE">
        <w:rPr>
          <w:lang w:val="fr-FR"/>
        </w:rPr>
        <w:t>effectivité de l</w:t>
      </w:r>
      <w:r w:rsidRPr="00BC16EE" w:rsidR="00BC16EE">
        <w:rPr>
          <w:lang w:val="fr-FR"/>
        </w:rPr>
        <w:t>’</w:t>
      </w:r>
      <w:r w:rsidRPr="00BC16EE">
        <w:rPr>
          <w:lang w:val="fr-FR"/>
        </w:rPr>
        <w:t>enquête, et que c</w:t>
      </w:r>
      <w:r w:rsidRPr="00BC16EE" w:rsidR="00BC16EE">
        <w:rPr>
          <w:lang w:val="fr-FR"/>
        </w:rPr>
        <w:t>’</w:t>
      </w:r>
      <w:r w:rsidRPr="00BC16EE">
        <w:rPr>
          <w:lang w:val="fr-FR"/>
        </w:rPr>
        <w:t>est à l</w:t>
      </w:r>
      <w:r w:rsidRPr="00BC16EE" w:rsidR="00BC16EE">
        <w:rPr>
          <w:lang w:val="fr-FR"/>
        </w:rPr>
        <w:t>’</w:t>
      </w:r>
      <w:r w:rsidRPr="00BC16EE">
        <w:rPr>
          <w:lang w:val="fr-FR"/>
        </w:rPr>
        <w:t>aune de cet objectif d</w:t>
      </w:r>
      <w:r w:rsidRPr="00BC16EE" w:rsidR="00BC16EE">
        <w:rPr>
          <w:lang w:val="fr-FR"/>
        </w:rPr>
        <w:t>’</w:t>
      </w:r>
      <w:r w:rsidRPr="00BC16EE">
        <w:rPr>
          <w:lang w:val="fr-FR"/>
        </w:rPr>
        <w:t>effectivité de l</w:t>
      </w:r>
      <w:r w:rsidRPr="00BC16EE" w:rsidR="00BC16EE">
        <w:rPr>
          <w:lang w:val="fr-FR"/>
        </w:rPr>
        <w:t>’</w:t>
      </w:r>
      <w:r w:rsidRPr="00BC16EE">
        <w:rPr>
          <w:lang w:val="fr-FR"/>
        </w:rPr>
        <w:t>enquête que toute question devait être appréciée (</w:t>
      </w:r>
      <w:r w:rsidRPr="00BC16EE">
        <w:rPr>
          <w:i/>
          <w:lang w:val="fr-FR"/>
        </w:rPr>
        <w:t xml:space="preserve">Mustafa </w:t>
      </w:r>
      <w:proofErr w:type="spellStart"/>
      <w:r w:rsidRPr="00BC16EE">
        <w:rPr>
          <w:i/>
          <w:lang w:val="fr-FR"/>
        </w:rPr>
        <w:t>Tunç</w:t>
      </w:r>
      <w:proofErr w:type="spellEnd"/>
      <w:r w:rsidRPr="00BC16EE">
        <w:rPr>
          <w:i/>
          <w:lang w:val="fr-FR"/>
        </w:rPr>
        <w:t xml:space="preserve"> et </w:t>
      </w:r>
      <w:proofErr w:type="spellStart"/>
      <w:r w:rsidRPr="00BC16EE">
        <w:rPr>
          <w:i/>
          <w:lang w:val="fr-FR"/>
        </w:rPr>
        <w:t>Fecire</w:t>
      </w:r>
      <w:proofErr w:type="spellEnd"/>
      <w:r w:rsidRPr="00BC16EE">
        <w:rPr>
          <w:i/>
          <w:lang w:val="fr-FR"/>
        </w:rPr>
        <w:t xml:space="preserve"> </w:t>
      </w:r>
      <w:proofErr w:type="spellStart"/>
      <w:r w:rsidRPr="00BC16EE">
        <w:rPr>
          <w:i/>
          <w:lang w:val="fr-FR"/>
        </w:rPr>
        <w:t>Tunç</w:t>
      </w:r>
      <w:proofErr w:type="spellEnd"/>
      <w:r w:rsidRPr="00BC16EE">
        <w:rPr>
          <w:lang w:val="fr-FR"/>
        </w:rPr>
        <w:t xml:space="preserve"> </w:t>
      </w:r>
      <w:r w:rsidRPr="00BC16EE">
        <w:rPr>
          <w:i/>
          <w:lang w:val="fr-FR"/>
        </w:rPr>
        <w:t>c.</w:t>
      </w:r>
      <w:r w:rsidRPr="00BC16EE" w:rsidR="00AC0EC6">
        <w:rPr>
          <w:i/>
          <w:lang w:val="fr-FR"/>
        </w:rPr>
        <w:t> </w:t>
      </w:r>
      <w:r w:rsidRPr="00BC16EE">
        <w:rPr>
          <w:i/>
          <w:lang w:val="fr-FR"/>
        </w:rPr>
        <w:t>Turquie</w:t>
      </w:r>
      <w:r w:rsidRPr="00BC16EE">
        <w:rPr>
          <w:lang w:val="fr-FR"/>
        </w:rPr>
        <w:t xml:space="preserve"> [GC], n</w:t>
      </w:r>
      <w:r w:rsidRPr="00BC16EE">
        <w:rPr>
          <w:vertAlign w:val="superscript"/>
          <w:lang w:val="fr-FR"/>
        </w:rPr>
        <w:t>o</w:t>
      </w:r>
      <w:r w:rsidRPr="00BC16EE">
        <w:rPr>
          <w:lang w:val="fr-FR"/>
        </w:rPr>
        <w:t xml:space="preserve"> 24014/05, § 225, 14 avril 2015).</w:t>
      </w:r>
    </w:p>
    <w:p w:rsidRPr="00BC16EE" w:rsidR="00173565" w:rsidP="00BC16EE" w:rsidRDefault="00173565">
      <w:pPr>
        <w:pStyle w:val="OpiPara"/>
        <w:rPr>
          <w:lang w:val="fr-FR"/>
        </w:rPr>
      </w:pPr>
    </w:p>
    <w:p w:rsidRPr="00BC16EE" w:rsidR="00173565" w:rsidP="00BC16EE" w:rsidRDefault="00173565">
      <w:pPr>
        <w:pStyle w:val="OpiPara"/>
        <w:rPr>
          <w:lang w:val="fr-FR"/>
        </w:rPr>
      </w:pPr>
      <w:r w:rsidRPr="00BC16EE">
        <w:rPr>
          <w:lang w:val="fr-FR"/>
        </w:rPr>
        <w:t>Or, en l</w:t>
      </w:r>
      <w:r w:rsidRPr="00BC16EE" w:rsidR="00BC16EE">
        <w:rPr>
          <w:lang w:val="fr-FR"/>
        </w:rPr>
        <w:t>’</w:t>
      </w:r>
      <w:r w:rsidRPr="00BC16EE">
        <w:rPr>
          <w:lang w:val="fr-FR"/>
        </w:rPr>
        <w:t>espèce, la majorité a explicitement constaté qu</w:t>
      </w:r>
      <w:r w:rsidRPr="00BC16EE" w:rsidR="00BC16EE">
        <w:rPr>
          <w:lang w:val="fr-FR"/>
        </w:rPr>
        <w:t>’</w:t>
      </w:r>
      <w:r w:rsidRPr="00BC16EE">
        <w:rPr>
          <w:lang w:val="fr-FR"/>
        </w:rPr>
        <w:t>il n</w:t>
      </w:r>
      <w:r w:rsidRPr="00BC16EE" w:rsidR="00BC16EE">
        <w:rPr>
          <w:lang w:val="fr-FR"/>
        </w:rPr>
        <w:t>’</w:t>
      </w:r>
      <w:r w:rsidRPr="00BC16EE">
        <w:rPr>
          <w:lang w:val="fr-FR"/>
        </w:rPr>
        <w:t>y avait pas eu de « manquement susceptible de remettre en cause le caractère globalement adéquat de l</w:t>
      </w:r>
      <w:r w:rsidRPr="00BC16EE" w:rsidR="00BC16EE">
        <w:rPr>
          <w:lang w:val="fr-FR"/>
        </w:rPr>
        <w:t>’</w:t>
      </w:r>
      <w:r w:rsidRPr="00BC16EE">
        <w:rPr>
          <w:lang w:val="fr-FR"/>
        </w:rPr>
        <w:t>enquête pénale menée par les instances nationales » et que les requérantes avaient pu participer de manière effective à la procédure pénale (paragraphe</w:t>
      </w:r>
      <w:r w:rsidRPr="00BC16EE" w:rsidR="00AC0EC6">
        <w:rPr>
          <w:lang w:val="fr-FR"/>
        </w:rPr>
        <w:t> </w:t>
      </w:r>
      <w:r w:rsidRPr="00BC16EE">
        <w:rPr>
          <w:lang w:val="fr-FR"/>
        </w:rPr>
        <w:t>56 de l</w:t>
      </w:r>
      <w:r w:rsidRPr="00BC16EE" w:rsidR="00BC16EE">
        <w:rPr>
          <w:lang w:val="fr-FR"/>
        </w:rPr>
        <w:t>’</w:t>
      </w:r>
      <w:r w:rsidRPr="00BC16EE">
        <w:rPr>
          <w:lang w:val="fr-FR"/>
        </w:rPr>
        <w:t>arrêt). La seule défaillance que la majorité ait constatée réside dans le caractère excessif de la durée tant de la procédure pénale que de la procédure civile (paragraphe 57 de l</w:t>
      </w:r>
      <w:r w:rsidRPr="00BC16EE" w:rsidR="00BC16EE">
        <w:rPr>
          <w:lang w:val="fr-FR"/>
        </w:rPr>
        <w:t>’</w:t>
      </w:r>
      <w:r w:rsidRPr="00BC16EE">
        <w:rPr>
          <w:lang w:val="fr-FR"/>
        </w:rPr>
        <w:t>arrêt).</w:t>
      </w:r>
    </w:p>
    <w:p w:rsidRPr="00BC16EE" w:rsidR="00173565" w:rsidP="00BC16EE" w:rsidRDefault="00173565">
      <w:pPr>
        <w:pStyle w:val="OpiPara"/>
        <w:rPr>
          <w:lang w:val="fr-FR"/>
        </w:rPr>
      </w:pPr>
    </w:p>
    <w:p w:rsidRPr="00BC16EE" w:rsidR="00173565" w:rsidP="00BC16EE" w:rsidRDefault="00173565">
      <w:pPr>
        <w:pStyle w:val="OpiPara"/>
        <w:rPr>
          <w:lang w:val="fr-FR"/>
        </w:rPr>
      </w:pPr>
      <w:r w:rsidRPr="00BC16EE">
        <w:rPr>
          <w:lang w:val="fr-FR"/>
        </w:rPr>
        <w:t>Dès lors que l</w:t>
      </w:r>
      <w:r w:rsidRPr="00BC16EE" w:rsidR="00BC16EE">
        <w:rPr>
          <w:lang w:val="fr-FR"/>
        </w:rPr>
        <w:t>’</w:t>
      </w:r>
      <w:r w:rsidRPr="00BC16EE">
        <w:rPr>
          <w:lang w:val="fr-FR"/>
        </w:rPr>
        <w:t>enquête a été globalement adéquate, que les requérantes ont pu y participer et qu</w:t>
      </w:r>
      <w:r w:rsidRPr="00BC16EE" w:rsidR="00BC16EE">
        <w:rPr>
          <w:lang w:val="fr-FR"/>
        </w:rPr>
        <w:t>’</w:t>
      </w:r>
      <w:r w:rsidRPr="00BC16EE">
        <w:rPr>
          <w:lang w:val="fr-FR"/>
        </w:rPr>
        <w:t>elle a été menée par des enquêteurs indépendants, il était à mon avis préférable d</w:t>
      </w:r>
      <w:r w:rsidRPr="00BC16EE" w:rsidR="00BC16EE">
        <w:rPr>
          <w:lang w:val="fr-FR"/>
        </w:rPr>
        <w:t>’</w:t>
      </w:r>
      <w:r w:rsidRPr="00BC16EE">
        <w:rPr>
          <w:lang w:val="fr-FR"/>
        </w:rPr>
        <w:t>examiner la question de la durée des procédures sous l</w:t>
      </w:r>
      <w:r w:rsidRPr="00BC16EE" w:rsidR="00BC16EE">
        <w:rPr>
          <w:lang w:val="fr-FR"/>
        </w:rPr>
        <w:t>’</w:t>
      </w:r>
      <w:r w:rsidRPr="00BC16EE">
        <w:rPr>
          <w:lang w:val="fr-FR"/>
        </w:rPr>
        <w:t>angle du droit à une décision dans un délai raisonnable, et donc sous l</w:t>
      </w:r>
      <w:r w:rsidRPr="00BC16EE" w:rsidR="00BC16EE">
        <w:rPr>
          <w:lang w:val="fr-FR"/>
        </w:rPr>
        <w:t>’</w:t>
      </w:r>
      <w:r w:rsidRPr="00BC16EE">
        <w:rPr>
          <w:lang w:val="fr-FR"/>
        </w:rPr>
        <w:t>angle de l</w:t>
      </w:r>
      <w:r w:rsidRPr="00BC16EE" w:rsidR="00BC16EE">
        <w:rPr>
          <w:lang w:val="fr-FR"/>
        </w:rPr>
        <w:t>’</w:t>
      </w:r>
      <w:r w:rsidRPr="00BC16EE">
        <w:rPr>
          <w:lang w:val="fr-FR"/>
        </w:rPr>
        <w:t>article 6 § 1.</w:t>
      </w:r>
    </w:p>
    <w:p w:rsidRPr="00BC16EE" w:rsidR="00173565" w:rsidP="00BC16EE" w:rsidRDefault="00173565">
      <w:pPr>
        <w:pStyle w:val="OpiPara"/>
        <w:rPr>
          <w:lang w:val="fr-FR"/>
        </w:rPr>
      </w:pPr>
    </w:p>
    <w:p w:rsidRPr="00BC16EE" w:rsidR="00173565" w:rsidP="00BC16EE" w:rsidRDefault="00173565">
      <w:pPr>
        <w:pStyle w:val="OpiPara"/>
        <w:rPr>
          <w:lang w:val="fr-FR"/>
        </w:rPr>
      </w:pPr>
      <w:r w:rsidRPr="00BC16EE">
        <w:rPr>
          <w:lang w:val="fr-FR"/>
        </w:rPr>
        <w:t>3.  Certes, la majorité s</w:t>
      </w:r>
      <w:r w:rsidRPr="00BC16EE" w:rsidR="00BC16EE">
        <w:rPr>
          <w:lang w:val="fr-FR"/>
        </w:rPr>
        <w:t>’</w:t>
      </w:r>
      <w:r w:rsidRPr="00BC16EE">
        <w:rPr>
          <w:lang w:val="fr-FR"/>
        </w:rPr>
        <w:t>est référée à des considérations générales appelant un examen prompt des affaires relatives à une négligence médicale en milieu hospitalier (paragraphe 42 de l</w:t>
      </w:r>
      <w:r w:rsidRPr="00BC16EE" w:rsidR="00BC16EE">
        <w:rPr>
          <w:lang w:val="fr-FR"/>
        </w:rPr>
        <w:t>’</w:t>
      </w:r>
      <w:r w:rsidRPr="00BC16EE">
        <w:rPr>
          <w:lang w:val="fr-FR"/>
        </w:rPr>
        <w:t xml:space="preserve">arrêt, avec la référence notamment à </w:t>
      </w:r>
      <w:r w:rsidRPr="00BC16EE">
        <w:rPr>
          <w:i/>
          <w:lang w:val="fr-FR"/>
        </w:rPr>
        <w:t>Lopes de Sousa Fernandes c. Portugal</w:t>
      </w:r>
      <w:r w:rsidRPr="00BC16EE">
        <w:rPr>
          <w:lang w:val="fr-FR"/>
        </w:rPr>
        <w:t xml:space="preserve"> [GC], n</w:t>
      </w:r>
      <w:r w:rsidRPr="00BC16EE">
        <w:rPr>
          <w:vertAlign w:val="superscript"/>
          <w:lang w:val="fr-FR"/>
        </w:rPr>
        <w:t>o</w:t>
      </w:r>
      <w:r w:rsidRPr="00BC16EE">
        <w:rPr>
          <w:lang w:val="fr-FR"/>
        </w:rPr>
        <w:t xml:space="preserve"> 56080/13, §</w:t>
      </w:r>
      <w:r w:rsidRPr="00BC16EE" w:rsidR="00AC0EC6">
        <w:rPr>
          <w:lang w:val="fr-FR"/>
        </w:rPr>
        <w:t> </w:t>
      </w:r>
      <w:r w:rsidRPr="00BC16EE">
        <w:rPr>
          <w:lang w:val="fr-FR"/>
        </w:rPr>
        <w:t>218, 19</w:t>
      </w:r>
      <w:r w:rsidRPr="00BC16EE" w:rsidR="00AC0EC6">
        <w:rPr>
          <w:lang w:val="fr-FR"/>
        </w:rPr>
        <w:t> </w:t>
      </w:r>
      <w:r w:rsidRPr="00BC16EE">
        <w:rPr>
          <w:lang w:val="fr-FR"/>
        </w:rPr>
        <w:t>décembre 2017) et à la nécessité d</w:t>
      </w:r>
      <w:r w:rsidRPr="00BC16EE" w:rsidR="00BC16EE">
        <w:rPr>
          <w:lang w:val="fr-FR"/>
        </w:rPr>
        <w:t>’</w:t>
      </w:r>
      <w:r w:rsidRPr="00BC16EE">
        <w:rPr>
          <w:lang w:val="fr-FR"/>
        </w:rPr>
        <w:t>éviter une incertitude éprouvante dans ce domaine (paragraphe 58 de l</w:t>
      </w:r>
      <w:r w:rsidRPr="00BC16EE" w:rsidR="00BC16EE">
        <w:rPr>
          <w:lang w:val="fr-FR"/>
        </w:rPr>
        <w:t>’</w:t>
      </w:r>
      <w:r w:rsidRPr="00BC16EE">
        <w:rPr>
          <w:lang w:val="fr-FR"/>
        </w:rPr>
        <w:t xml:space="preserve">arrêt, avec la référence à </w:t>
      </w:r>
      <w:r w:rsidRPr="00BC16EE">
        <w:rPr>
          <w:i/>
          <w:lang w:val="fr-FR"/>
        </w:rPr>
        <w:t>Lopes de Sousa Fernandes</w:t>
      </w:r>
      <w:r w:rsidRPr="00BC16EE">
        <w:rPr>
          <w:lang w:val="fr-FR"/>
        </w:rPr>
        <w:t>, précité, § 236).</w:t>
      </w:r>
    </w:p>
    <w:p w:rsidRPr="00BC16EE" w:rsidR="00173565" w:rsidP="00BC16EE" w:rsidRDefault="00173565">
      <w:pPr>
        <w:pStyle w:val="OpiPara"/>
        <w:rPr>
          <w:lang w:val="fr-FR"/>
        </w:rPr>
      </w:pPr>
    </w:p>
    <w:p w:rsidRPr="00BC16EE" w:rsidR="00173565" w:rsidP="00BC16EE" w:rsidRDefault="00173565">
      <w:pPr>
        <w:pStyle w:val="OpiPara"/>
        <w:rPr>
          <w:lang w:val="fr-FR"/>
        </w:rPr>
      </w:pPr>
      <w:r w:rsidRPr="00BC16EE">
        <w:rPr>
          <w:lang w:val="fr-FR"/>
        </w:rPr>
        <w:t>Je ne vois toutefois pas en quoi ces considérations devraient conduire à écarter l</w:t>
      </w:r>
      <w:r w:rsidRPr="00BC16EE" w:rsidR="00BC16EE">
        <w:rPr>
          <w:lang w:val="fr-FR"/>
        </w:rPr>
        <w:t>’</w:t>
      </w:r>
      <w:r w:rsidRPr="00BC16EE">
        <w:rPr>
          <w:lang w:val="fr-FR"/>
        </w:rPr>
        <w:t>approche holistique que l</w:t>
      </w:r>
      <w:r w:rsidRPr="00BC16EE" w:rsidR="00BC16EE">
        <w:rPr>
          <w:lang w:val="fr-FR"/>
        </w:rPr>
        <w:t>’</w:t>
      </w:r>
      <w:r w:rsidRPr="00BC16EE">
        <w:rPr>
          <w:lang w:val="fr-FR"/>
        </w:rPr>
        <w:t xml:space="preserve">arrêt </w:t>
      </w:r>
      <w:r w:rsidRPr="00BC16EE">
        <w:rPr>
          <w:i/>
          <w:lang w:val="fr-FR"/>
        </w:rPr>
        <w:t xml:space="preserve">Mustafa </w:t>
      </w:r>
      <w:proofErr w:type="spellStart"/>
      <w:r w:rsidRPr="00BC16EE">
        <w:rPr>
          <w:i/>
          <w:lang w:val="fr-FR"/>
        </w:rPr>
        <w:t>Tunç</w:t>
      </w:r>
      <w:proofErr w:type="spellEnd"/>
      <w:r w:rsidRPr="00BC16EE">
        <w:rPr>
          <w:i/>
          <w:lang w:val="fr-FR"/>
        </w:rPr>
        <w:t xml:space="preserve"> et </w:t>
      </w:r>
      <w:proofErr w:type="spellStart"/>
      <w:r w:rsidRPr="00BC16EE">
        <w:rPr>
          <w:i/>
          <w:lang w:val="fr-FR"/>
        </w:rPr>
        <w:t>Fecire</w:t>
      </w:r>
      <w:proofErr w:type="spellEnd"/>
      <w:r w:rsidRPr="00BC16EE">
        <w:rPr>
          <w:i/>
          <w:lang w:val="fr-FR"/>
        </w:rPr>
        <w:t xml:space="preserve"> </w:t>
      </w:r>
      <w:proofErr w:type="spellStart"/>
      <w:r w:rsidRPr="00BC16EE">
        <w:rPr>
          <w:i/>
          <w:lang w:val="fr-FR"/>
        </w:rPr>
        <w:t>Tunç</w:t>
      </w:r>
      <w:proofErr w:type="spellEnd"/>
      <w:r w:rsidRPr="00BC16EE">
        <w:rPr>
          <w:lang w:val="fr-FR"/>
        </w:rPr>
        <w:t xml:space="preserve"> (précité) préconise en matière d</w:t>
      </w:r>
      <w:r w:rsidRPr="00BC16EE" w:rsidR="00BC16EE">
        <w:rPr>
          <w:lang w:val="fr-FR"/>
        </w:rPr>
        <w:t>’</w:t>
      </w:r>
      <w:r w:rsidRPr="00BC16EE">
        <w:rPr>
          <w:lang w:val="fr-FR"/>
        </w:rPr>
        <w:t>enquête. Elles permettent peut-être d</w:t>
      </w:r>
      <w:r w:rsidRPr="00BC16EE" w:rsidR="00BC16EE">
        <w:rPr>
          <w:lang w:val="fr-FR"/>
        </w:rPr>
        <w:t>’</w:t>
      </w:r>
      <w:r w:rsidRPr="00BC16EE">
        <w:rPr>
          <w:lang w:val="fr-FR"/>
        </w:rPr>
        <w:t>adopter une approche relativement stricte quand il s</w:t>
      </w:r>
      <w:r w:rsidRPr="00BC16EE" w:rsidR="00BC16EE">
        <w:rPr>
          <w:lang w:val="fr-FR"/>
        </w:rPr>
        <w:t>’</w:t>
      </w:r>
      <w:r w:rsidRPr="00BC16EE">
        <w:rPr>
          <w:lang w:val="fr-FR"/>
        </w:rPr>
        <w:t>agit d</w:t>
      </w:r>
      <w:r w:rsidRPr="00BC16EE" w:rsidR="00BC16EE">
        <w:rPr>
          <w:lang w:val="fr-FR"/>
        </w:rPr>
        <w:t>’</w:t>
      </w:r>
      <w:r w:rsidRPr="00BC16EE">
        <w:rPr>
          <w:lang w:val="fr-FR"/>
        </w:rPr>
        <w:t>apprécier le caractère raisonnable de la durée d</w:t>
      </w:r>
      <w:r w:rsidRPr="00BC16EE" w:rsidR="00BC16EE">
        <w:rPr>
          <w:lang w:val="fr-FR"/>
        </w:rPr>
        <w:t>’</w:t>
      </w:r>
      <w:r w:rsidRPr="00BC16EE">
        <w:rPr>
          <w:lang w:val="fr-FR"/>
        </w:rPr>
        <w:t>une enquête, mais pareille approche serait aussi parfaitement adéquate lorsqu</w:t>
      </w:r>
      <w:r w:rsidRPr="00BC16EE" w:rsidR="00BC16EE">
        <w:rPr>
          <w:lang w:val="fr-FR"/>
        </w:rPr>
        <w:t>’</w:t>
      </w:r>
      <w:r w:rsidRPr="00BC16EE">
        <w:rPr>
          <w:lang w:val="fr-FR"/>
        </w:rPr>
        <w:t>il s</w:t>
      </w:r>
      <w:r w:rsidRPr="00BC16EE" w:rsidR="00BC16EE">
        <w:rPr>
          <w:lang w:val="fr-FR"/>
        </w:rPr>
        <w:t>’</w:t>
      </w:r>
      <w:r w:rsidRPr="00BC16EE">
        <w:rPr>
          <w:lang w:val="fr-FR"/>
        </w:rPr>
        <w:t>agit d</w:t>
      </w:r>
      <w:r w:rsidRPr="00BC16EE" w:rsidR="00BC16EE">
        <w:rPr>
          <w:lang w:val="fr-FR"/>
        </w:rPr>
        <w:t>’</w:t>
      </w:r>
      <w:r w:rsidRPr="00BC16EE">
        <w:rPr>
          <w:lang w:val="fr-FR"/>
        </w:rPr>
        <w:t>apprécier la durée d</w:t>
      </w:r>
      <w:r w:rsidRPr="00BC16EE" w:rsidR="00BC16EE">
        <w:rPr>
          <w:lang w:val="fr-FR"/>
        </w:rPr>
        <w:t>’</w:t>
      </w:r>
      <w:r w:rsidRPr="00BC16EE">
        <w:rPr>
          <w:lang w:val="fr-FR"/>
        </w:rPr>
        <w:t>une procédure sous l</w:t>
      </w:r>
      <w:r w:rsidRPr="00BC16EE" w:rsidR="00BC16EE">
        <w:rPr>
          <w:lang w:val="fr-FR"/>
        </w:rPr>
        <w:t>’</w:t>
      </w:r>
      <w:r w:rsidRPr="00BC16EE">
        <w:rPr>
          <w:lang w:val="fr-FR"/>
        </w:rPr>
        <w:t>angle de l</w:t>
      </w:r>
      <w:r w:rsidRPr="00BC16EE" w:rsidR="00BC16EE">
        <w:rPr>
          <w:lang w:val="fr-FR"/>
        </w:rPr>
        <w:t>’</w:t>
      </w:r>
      <w:r w:rsidRPr="00BC16EE">
        <w:rPr>
          <w:lang w:val="fr-FR"/>
        </w:rPr>
        <w:t>article 6 § 1.</w:t>
      </w:r>
    </w:p>
    <w:p w:rsidRPr="00BC16EE" w:rsidR="00173565" w:rsidP="00BC16EE" w:rsidRDefault="00173565">
      <w:pPr>
        <w:pStyle w:val="OpiPara"/>
        <w:rPr>
          <w:lang w:val="fr-FR"/>
        </w:rPr>
      </w:pPr>
    </w:p>
    <w:p w:rsidRPr="00BC16EE" w:rsidR="00C9700C" w:rsidP="00BC16EE" w:rsidRDefault="00173565">
      <w:pPr>
        <w:pStyle w:val="OpiPara"/>
        <w:rPr>
          <w:lang w:val="fr-FR"/>
        </w:rPr>
      </w:pPr>
      <w:r w:rsidRPr="00BC16EE">
        <w:rPr>
          <w:lang w:val="fr-FR"/>
        </w:rPr>
        <w:t>4.  En somme, j</w:t>
      </w:r>
      <w:r w:rsidRPr="00BC16EE" w:rsidR="00BC16EE">
        <w:rPr>
          <w:lang w:val="fr-FR"/>
        </w:rPr>
        <w:t>’</w:t>
      </w:r>
      <w:r w:rsidRPr="00BC16EE">
        <w:rPr>
          <w:lang w:val="fr-FR"/>
        </w:rPr>
        <w:t>estime que la majorité a appliqué le volet procédural de l</w:t>
      </w:r>
      <w:r w:rsidRPr="00BC16EE" w:rsidR="00BC16EE">
        <w:rPr>
          <w:lang w:val="fr-FR"/>
        </w:rPr>
        <w:t>’</w:t>
      </w:r>
      <w:r w:rsidRPr="00BC16EE">
        <w:rPr>
          <w:lang w:val="fr-FR"/>
        </w:rPr>
        <w:t>article</w:t>
      </w:r>
      <w:r w:rsidRPr="00BC16EE" w:rsidR="00AC0EC6">
        <w:rPr>
          <w:lang w:val="fr-FR"/>
        </w:rPr>
        <w:t> </w:t>
      </w:r>
      <w:r w:rsidRPr="00BC16EE">
        <w:rPr>
          <w:lang w:val="fr-FR"/>
        </w:rPr>
        <w:t>2 d</w:t>
      </w:r>
      <w:r w:rsidRPr="00BC16EE" w:rsidR="00BC16EE">
        <w:rPr>
          <w:lang w:val="fr-FR"/>
        </w:rPr>
        <w:t>’</w:t>
      </w:r>
      <w:r w:rsidRPr="00BC16EE">
        <w:rPr>
          <w:lang w:val="fr-FR"/>
        </w:rPr>
        <w:t>une manière qui l</w:t>
      </w:r>
      <w:r w:rsidRPr="00BC16EE" w:rsidR="00BC16EE">
        <w:rPr>
          <w:lang w:val="fr-FR"/>
        </w:rPr>
        <w:t>’</w:t>
      </w:r>
      <w:r w:rsidRPr="00BC16EE">
        <w:rPr>
          <w:lang w:val="fr-FR"/>
        </w:rPr>
        <w:t>éloigne trop de la raison d</w:t>
      </w:r>
      <w:r w:rsidRPr="00BC16EE" w:rsidR="00BC16EE">
        <w:rPr>
          <w:lang w:val="fr-FR"/>
        </w:rPr>
        <w:t>’</w:t>
      </w:r>
      <w:r w:rsidRPr="00BC16EE">
        <w:rPr>
          <w:lang w:val="fr-FR"/>
        </w:rPr>
        <w:t>être de l</w:t>
      </w:r>
      <w:r w:rsidRPr="00BC16EE" w:rsidR="00BC16EE">
        <w:rPr>
          <w:lang w:val="fr-FR"/>
        </w:rPr>
        <w:t>’</w:t>
      </w:r>
      <w:r w:rsidRPr="00BC16EE">
        <w:rPr>
          <w:lang w:val="fr-FR"/>
        </w:rPr>
        <w:t>obligation procédurale que cette disposition renferme, à savoir assurer le caractère effectif de la protection matérielle fournie par le cadre réglementaire en vigueur. Cette obligation procédurale s</w:t>
      </w:r>
      <w:r w:rsidRPr="00BC16EE" w:rsidR="00BC16EE">
        <w:rPr>
          <w:lang w:val="fr-FR"/>
        </w:rPr>
        <w:t>’</w:t>
      </w:r>
      <w:r w:rsidRPr="00BC16EE">
        <w:rPr>
          <w:lang w:val="fr-FR"/>
        </w:rPr>
        <w:t>ajoute aux obligations spécifiques de l</w:t>
      </w:r>
      <w:r w:rsidRPr="00BC16EE" w:rsidR="00BC16EE">
        <w:rPr>
          <w:lang w:val="fr-FR"/>
        </w:rPr>
        <w:t>’</w:t>
      </w:r>
      <w:r w:rsidRPr="00BC16EE">
        <w:rPr>
          <w:lang w:val="fr-FR"/>
        </w:rPr>
        <w:t>article 6 § 1 lorsqu</w:t>
      </w:r>
      <w:r w:rsidRPr="00BC16EE" w:rsidR="00BC16EE">
        <w:rPr>
          <w:lang w:val="fr-FR"/>
        </w:rPr>
        <w:t>’</w:t>
      </w:r>
      <w:r w:rsidRPr="00BC16EE">
        <w:rPr>
          <w:lang w:val="fr-FR"/>
        </w:rPr>
        <w:t>il y a un litige sur les « droits civils » de la victime. Mais l</w:t>
      </w:r>
      <w:r w:rsidRPr="00BC16EE" w:rsidR="00BC16EE">
        <w:rPr>
          <w:lang w:val="fr-FR"/>
        </w:rPr>
        <w:t>’</w:t>
      </w:r>
      <w:r w:rsidRPr="00BC16EE">
        <w:rPr>
          <w:lang w:val="fr-FR"/>
        </w:rPr>
        <w:t>article 2 ne saurait rendre les garanties de l</w:t>
      </w:r>
      <w:r w:rsidRPr="00BC16EE" w:rsidR="00BC16EE">
        <w:rPr>
          <w:lang w:val="fr-FR"/>
        </w:rPr>
        <w:t>’</w:t>
      </w:r>
      <w:r w:rsidRPr="00BC16EE">
        <w:rPr>
          <w:lang w:val="fr-FR"/>
        </w:rPr>
        <w:t>article 6 § 1 superflues.</w:t>
      </w:r>
    </w:p>
    <w:p w:rsidRPr="00BC16EE" w:rsidR="00BC16EE" w:rsidP="00BC16EE" w:rsidRDefault="00BC16EE">
      <w:pPr>
        <w:pStyle w:val="OpiPara"/>
        <w:rPr>
          <w:lang w:val="fr-FR"/>
        </w:rPr>
      </w:pPr>
    </w:p>
    <w:sectPr w:rsidRPr="00BC16EE" w:rsidR="00BC16EE" w:rsidSect="00AD08BB">
      <w:headerReference w:type="even" r:id="rId14"/>
      <w:headerReference w:type="default" r:id="rId15"/>
      <w:footnotePr>
        <w:numRestart w:val="eachSect"/>
      </w:footnotePr>
      <w:pgSz w:w="11906" w:h="16838" w:code="9"/>
      <w:pgMar w:top="2274" w:right="2274" w:bottom="2274" w:left="2274" w:header="1701"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7DCF" w:rsidRPr="001D19C3" w:rsidRDefault="00C87DCF" w:rsidP="002D2C99">
      <w:pPr>
        <w:rPr>
          <w:lang w:val="fr-FR"/>
        </w:rPr>
      </w:pPr>
      <w:r w:rsidRPr="001D19C3">
        <w:rPr>
          <w:lang w:val="fr-FR"/>
        </w:rPr>
        <w:separator/>
      </w:r>
    </w:p>
  </w:endnote>
  <w:endnote w:type="continuationSeparator" w:id="0">
    <w:p w:rsidR="00C87DCF" w:rsidRPr="001D19C3" w:rsidRDefault="00C87DCF" w:rsidP="002D2C99">
      <w:pPr>
        <w:rPr>
          <w:lang w:val="fr-FR"/>
        </w:rPr>
      </w:pPr>
      <w:r w:rsidRPr="001D19C3">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7DCF" w:rsidRPr="00150BFA" w:rsidRDefault="00C87DCF" w:rsidP="00C87DCF">
    <w:pPr>
      <w:jc w:val="center"/>
    </w:pPr>
    <w:r>
      <w:rPr>
        <w:noProof/>
        <w:lang w:val="en-US" w:eastAsia="ja-JP"/>
      </w:rPr>
      <w:drawing>
        <wp:inline distT="0" distB="0" distL="0" distR="0" wp14:anchorId="29BDFBD2" wp14:editId="78728013">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C87DCF" w:rsidRPr="001D19C3" w:rsidRDefault="00C87DCF" w:rsidP="00C87DCF">
    <w:pPr>
      <w:rPr>
        <w:lang w:val="fr-F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7DCF" w:rsidRDefault="00C87DCF" w:rsidP="00C87DCF"/>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7DCF" w:rsidRDefault="00C87DCF" w:rsidP="00C87DC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7DCF" w:rsidRPr="001D19C3" w:rsidRDefault="00C87DCF" w:rsidP="002D2C99">
      <w:pPr>
        <w:rPr>
          <w:lang w:val="fr-FR"/>
        </w:rPr>
      </w:pPr>
      <w:r w:rsidRPr="001D19C3">
        <w:rPr>
          <w:lang w:val="fr-FR"/>
        </w:rPr>
        <w:separator/>
      </w:r>
    </w:p>
  </w:footnote>
  <w:footnote w:type="continuationSeparator" w:id="0">
    <w:p w:rsidR="00C87DCF" w:rsidRPr="001D19C3" w:rsidRDefault="00C87DCF" w:rsidP="002D2C99">
      <w:pPr>
        <w:rPr>
          <w:lang w:val="fr-FR"/>
        </w:rPr>
      </w:pPr>
      <w:r w:rsidRPr="001D19C3">
        <w:rPr>
          <w:lang w:val="fr-F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7DCF" w:rsidRPr="00A45145" w:rsidRDefault="00C87DCF" w:rsidP="00C87DCF">
    <w:pPr>
      <w:jc w:val="center"/>
    </w:pPr>
    <w:r>
      <w:rPr>
        <w:noProof/>
        <w:lang w:val="en-US" w:eastAsia="ja-JP"/>
      </w:rPr>
      <w:drawing>
        <wp:inline distT="0" distB="0" distL="0" distR="0" wp14:anchorId="2D057281" wp14:editId="45069CE6">
          <wp:extent cx="2962275" cy="1219200"/>
          <wp:effectExtent l="0" t="0" r="9525" b="0"/>
          <wp:docPr id="4" name="Picture 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C87DCF" w:rsidRPr="001D19C3" w:rsidRDefault="00C87DCF" w:rsidP="00F5432B">
    <w:pPr>
      <w:jc w:val="cent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7DCF" w:rsidRPr="00F5432B" w:rsidRDefault="00C87DCF" w:rsidP="00F5432B">
    <w:pPr>
      <w:pStyle w:val="ECHRHeader"/>
      <w:rPr>
        <w:lang w:val="fr-FR"/>
      </w:rPr>
    </w:pPr>
    <w:r>
      <w:rPr>
        <w:rStyle w:val="PageNumber"/>
      </w:rPr>
      <w:fldChar w:fldCharType="begin"/>
    </w:r>
    <w:r w:rsidRPr="00C96842">
      <w:rPr>
        <w:rStyle w:val="PageNumber"/>
        <w:lang w:val="fr-FR"/>
      </w:rPr>
      <w:instrText xml:space="preserve"> PAGE </w:instrText>
    </w:r>
    <w:r>
      <w:rPr>
        <w:rStyle w:val="PageNumber"/>
      </w:rPr>
      <w:fldChar w:fldCharType="separate"/>
    </w:r>
    <w:r w:rsidR="000E298D">
      <w:rPr>
        <w:rStyle w:val="PageNumber"/>
        <w:noProof/>
        <w:lang w:val="fr-FR"/>
      </w:rPr>
      <w:t>12</w:t>
    </w:r>
    <w:r>
      <w:rPr>
        <w:rStyle w:val="PageNumber"/>
      </w:rPr>
      <w:fldChar w:fldCharType="end"/>
    </w:r>
    <w:r w:rsidRPr="00C96842">
      <w:rPr>
        <w:lang w:val="fr-FR"/>
      </w:rPr>
      <w:tab/>
      <w:t>ARRÊT Y</w:t>
    </w:r>
    <w:r>
      <w:rPr>
        <w:lang w:val="fr-FR"/>
      </w:rPr>
      <w:t>İ</w:t>
    </w:r>
    <w:r w:rsidRPr="00C96842">
      <w:rPr>
        <w:lang w:val="fr-FR"/>
      </w:rPr>
      <w:t>RDEM ET AUTRES c. TURQUIE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7DCF" w:rsidRPr="00C96842" w:rsidRDefault="00C87DCF" w:rsidP="00420F04">
    <w:pPr>
      <w:pStyle w:val="ECHRHeader"/>
      <w:rPr>
        <w:lang w:val="fr-FR"/>
      </w:rPr>
    </w:pPr>
    <w:r>
      <w:tab/>
    </w:r>
    <w:r w:rsidRPr="00C96842">
      <w:rPr>
        <w:lang w:val="fr-FR"/>
      </w:rPr>
      <w:t>ARRÊT Y</w:t>
    </w:r>
    <w:r>
      <w:rPr>
        <w:lang w:val="fr-FR"/>
      </w:rPr>
      <w:t>İ</w:t>
    </w:r>
    <w:r w:rsidRPr="00C96842">
      <w:rPr>
        <w:lang w:val="fr-FR"/>
      </w:rPr>
      <w:t>RDEM ET AUTRES c. TURQUIE</w:t>
    </w:r>
    <w:r w:rsidRPr="00C96842">
      <w:rPr>
        <w:lang w:val="fr-FR"/>
      </w:rPr>
      <w:tab/>
    </w:r>
    <w:r>
      <w:rPr>
        <w:rStyle w:val="PageNumber"/>
      </w:rPr>
      <w:fldChar w:fldCharType="begin"/>
    </w:r>
    <w:r w:rsidRPr="00C96842">
      <w:rPr>
        <w:rStyle w:val="PageNumber"/>
        <w:lang w:val="fr-FR"/>
      </w:rPr>
      <w:instrText xml:space="preserve"> PAGE </w:instrText>
    </w:r>
    <w:r>
      <w:rPr>
        <w:rStyle w:val="PageNumber"/>
      </w:rPr>
      <w:fldChar w:fldCharType="separate"/>
    </w:r>
    <w:r w:rsidR="000E298D">
      <w:rPr>
        <w:rStyle w:val="PageNumber"/>
        <w:noProof/>
        <w:lang w:val="fr-FR"/>
      </w:rPr>
      <w:t>11</w:t>
    </w:r>
    <w:r>
      <w:rPr>
        <w:rStyle w:val="PageNumber"/>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08BB" w:rsidRPr="00F5432B" w:rsidRDefault="00AD08BB" w:rsidP="00F5432B">
    <w:pPr>
      <w:pStyle w:val="ECHRHeader"/>
      <w:rPr>
        <w:lang w:val="fr-FR"/>
      </w:rPr>
    </w:pPr>
    <w:r>
      <w:rPr>
        <w:rStyle w:val="PageNumber"/>
      </w:rPr>
      <w:fldChar w:fldCharType="begin"/>
    </w:r>
    <w:r w:rsidRPr="00C96842">
      <w:rPr>
        <w:rStyle w:val="PageNumber"/>
        <w:lang w:val="fr-FR"/>
      </w:rPr>
      <w:instrText xml:space="preserve"> PAGE </w:instrText>
    </w:r>
    <w:r>
      <w:rPr>
        <w:rStyle w:val="PageNumber"/>
      </w:rPr>
      <w:fldChar w:fldCharType="separate"/>
    </w:r>
    <w:r w:rsidR="000E298D">
      <w:rPr>
        <w:rStyle w:val="PageNumber"/>
        <w:noProof/>
        <w:lang w:val="fr-FR"/>
      </w:rPr>
      <w:t>14</w:t>
    </w:r>
    <w:r>
      <w:rPr>
        <w:rStyle w:val="PageNumber"/>
      </w:rPr>
      <w:fldChar w:fldCharType="end"/>
    </w:r>
    <w:r w:rsidRPr="00C96842">
      <w:rPr>
        <w:lang w:val="fr-FR"/>
      </w:rPr>
      <w:tab/>
      <w:t>ARRÊT Y</w:t>
    </w:r>
    <w:r>
      <w:rPr>
        <w:lang w:val="fr-FR"/>
      </w:rPr>
      <w:t>İ</w:t>
    </w:r>
    <w:r w:rsidRPr="00C96842">
      <w:rPr>
        <w:lang w:val="fr-FR"/>
      </w:rPr>
      <w:t>RDEM ET AUTRES c. TURQUIE</w:t>
    </w:r>
    <w:r>
      <w:rPr>
        <w:lang w:val="fr-FR"/>
      </w:rPr>
      <w:t>– OPINION</w:t>
    </w:r>
    <w:r w:rsidRPr="00193341">
      <w:rPr>
        <w:lang w:val="fr-FR"/>
      </w:rPr>
      <w:t xml:space="preserve"> SÉPARÉE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08BB" w:rsidRPr="00C96842" w:rsidRDefault="00AD08BB" w:rsidP="00420F04">
    <w:pPr>
      <w:pStyle w:val="ECHRHeader"/>
      <w:rPr>
        <w:lang w:val="fr-FR"/>
      </w:rPr>
    </w:pPr>
    <w:r>
      <w:tab/>
    </w:r>
    <w:r w:rsidRPr="00C96842">
      <w:rPr>
        <w:lang w:val="fr-FR"/>
      </w:rPr>
      <w:t>ARRÊT Y</w:t>
    </w:r>
    <w:r>
      <w:rPr>
        <w:lang w:val="fr-FR"/>
      </w:rPr>
      <w:t>İ</w:t>
    </w:r>
    <w:r w:rsidRPr="00C96842">
      <w:rPr>
        <w:lang w:val="fr-FR"/>
      </w:rPr>
      <w:t>RDEM ET AUTRES c. TURQUIE</w:t>
    </w:r>
    <w:r>
      <w:rPr>
        <w:lang w:val="fr-FR"/>
      </w:rPr>
      <w:t>– OPINION</w:t>
    </w:r>
    <w:r w:rsidRPr="00193341">
      <w:rPr>
        <w:lang w:val="fr-FR"/>
      </w:rPr>
      <w:t xml:space="preserve"> SÉPARÉE</w:t>
    </w:r>
    <w:r w:rsidRPr="00C96842">
      <w:rPr>
        <w:lang w:val="fr-FR"/>
      </w:rPr>
      <w:tab/>
    </w:r>
    <w:r>
      <w:rPr>
        <w:rStyle w:val="PageNumber"/>
      </w:rPr>
      <w:fldChar w:fldCharType="begin"/>
    </w:r>
    <w:r w:rsidRPr="00C96842">
      <w:rPr>
        <w:rStyle w:val="PageNumber"/>
        <w:lang w:val="fr-FR"/>
      </w:rPr>
      <w:instrText xml:space="preserve"> PAGE </w:instrText>
    </w:r>
    <w:r>
      <w:rPr>
        <w:rStyle w:val="PageNumber"/>
      </w:rPr>
      <w:fldChar w:fldCharType="separate"/>
    </w:r>
    <w:r w:rsidR="000E298D">
      <w:rPr>
        <w:rStyle w:val="PageNumber"/>
        <w:noProof/>
        <w:lang w:val="fr-FR"/>
      </w:rPr>
      <w:t>13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3A08B0C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3CF25AF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B02EDC2"/>
    <w:lvl w:ilvl="0">
      <w:start w:val="1"/>
      <w:numFmt w:val="decimal"/>
      <w:pStyle w:val="ListNumber3"/>
      <w:lvlText w:val="%1."/>
      <w:lvlJc w:val="left"/>
      <w:pPr>
        <w:tabs>
          <w:tab w:val="num" w:pos="926"/>
        </w:tabs>
        <w:ind w:left="926" w:hanging="360"/>
      </w:pPr>
    </w:lvl>
  </w:abstractNum>
  <w:abstractNum w:abstractNumId="3">
    <w:nsid w:val="FFFFFF7F"/>
    <w:multiLevelType w:val="singleLevel"/>
    <w:tmpl w:val="C1E60D70"/>
    <w:lvl w:ilvl="0">
      <w:start w:val="1"/>
      <w:numFmt w:val="decimal"/>
      <w:pStyle w:val="ListNumber2"/>
      <w:lvlText w:val="%1."/>
      <w:lvlJc w:val="left"/>
      <w:pPr>
        <w:tabs>
          <w:tab w:val="num" w:pos="643"/>
        </w:tabs>
        <w:ind w:left="643" w:hanging="360"/>
      </w:pPr>
    </w:lvl>
  </w:abstractNum>
  <w:abstractNum w:abstractNumId="4">
    <w:nsid w:val="FFFFFF80"/>
    <w:multiLevelType w:val="singleLevel"/>
    <w:tmpl w:val="D2AA4F5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99E2214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0DDCF24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804BE7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2A84908"/>
    <w:lvl w:ilvl="0">
      <w:start w:val="1"/>
      <w:numFmt w:val="decimal"/>
      <w:pStyle w:val="ListNumber"/>
      <w:lvlText w:val="%1."/>
      <w:lvlJc w:val="left"/>
      <w:pPr>
        <w:tabs>
          <w:tab w:val="num" w:pos="360"/>
        </w:tabs>
        <w:ind w:left="360" w:hanging="360"/>
      </w:pPr>
    </w:lvl>
  </w:abstractNum>
  <w:abstractNum w:abstractNumId="9">
    <w:nsid w:val="FFFFFF89"/>
    <w:multiLevelType w:val="singleLevel"/>
    <w:tmpl w:val="88CC5F4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7363396"/>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F4B36E4"/>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50201130"/>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4">
    <w:nsid w:val="5B4233A6"/>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70152ADB"/>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2"/>
  </w:num>
  <w:num w:numId="2">
    <w:abstractNumId w:val="13"/>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1"/>
  </w:num>
  <w:num w:numId="6">
    <w:abstractNumId w:val="13"/>
  </w:num>
  <w:num w:numId="7">
    <w:abstractNumId w:val="11"/>
  </w:num>
  <w:num w:numId="8">
    <w:abstractNumId w:val="7"/>
  </w:num>
  <w:num w:numId="9">
    <w:abstractNumId w:val="15"/>
  </w:num>
  <w:num w:numId="10">
    <w:abstractNumId w:val="14"/>
  </w:num>
  <w:num w:numId="11">
    <w:abstractNumId w:val="10"/>
  </w:num>
  <w:num w:numId="12">
    <w:abstractNumId w:val="9"/>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6"/>
  </w:num>
  <w:num w:numId="22">
    <w:abstractNumId w:val="16"/>
  </w:num>
  <w:num w:numId="23">
    <w:abstractNumId w:val="16"/>
  </w:num>
  <w:num w:numId="24">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C96842"/>
    <w:rsid w:val="000041F8"/>
    <w:rsid w:val="000042A8"/>
    <w:rsid w:val="00004308"/>
    <w:rsid w:val="00005BF0"/>
    <w:rsid w:val="00007154"/>
    <w:rsid w:val="000103AE"/>
    <w:rsid w:val="00011D69"/>
    <w:rsid w:val="00012AD3"/>
    <w:rsid w:val="00015C2D"/>
    <w:rsid w:val="00015F00"/>
    <w:rsid w:val="00022C1D"/>
    <w:rsid w:val="00034987"/>
    <w:rsid w:val="000602DF"/>
    <w:rsid w:val="00061B05"/>
    <w:rsid w:val="000632D5"/>
    <w:rsid w:val="000644EE"/>
    <w:rsid w:val="000925AD"/>
    <w:rsid w:val="000A24EB"/>
    <w:rsid w:val="000B6923"/>
    <w:rsid w:val="000C5F3C"/>
    <w:rsid w:val="000C6DCC"/>
    <w:rsid w:val="000D47AA"/>
    <w:rsid w:val="000D721F"/>
    <w:rsid w:val="000E069B"/>
    <w:rsid w:val="000E0E82"/>
    <w:rsid w:val="000E1DC5"/>
    <w:rsid w:val="000E223F"/>
    <w:rsid w:val="000E298D"/>
    <w:rsid w:val="000E7D45"/>
    <w:rsid w:val="000F7851"/>
    <w:rsid w:val="00104E23"/>
    <w:rsid w:val="00111B0C"/>
    <w:rsid w:val="00120D6C"/>
    <w:rsid w:val="001257EC"/>
    <w:rsid w:val="00127B42"/>
    <w:rsid w:val="00133D33"/>
    <w:rsid w:val="00134D64"/>
    <w:rsid w:val="00135A30"/>
    <w:rsid w:val="0013612C"/>
    <w:rsid w:val="00137FF6"/>
    <w:rsid w:val="00141650"/>
    <w:rsid w:val="00162A12"/>
    <w:rsid w:val="00166530"/>
    <w:rsid w:val="00173565"/>
    <w:rsid w:val="001832BD"/>
    <w:rsid w:val="001943B5"/>
    <w:rsid w:val="00195134"/>
    <w:rsid w:val="001A145B"/>
    <w:rsid w:val="001A674C"/>
    <w:rsid w:val="001B3B24"/>
    <w:rsid w:val="001C0F98"/>
    <w:rsid w:val="001C2A42"/>
    <w:rsid w:val="001D19C3"/>
    <w:rsid w:val="001D63ED"/>
    <w:rsid w:val="001D7348"/>
    <w:rsid w:val="001E035B"/>
    <w:rsid w:val="001E0961"/>
    <w:rsid w:val="001E3EAE"/>
    <w:rsid w:val="001E6F32"/>
    <w:rsid w:val="001F2145"/>
    <w:rsid w:val="001F6262"/>
    <w:rsid w:val="001F67B0"/>
    <w:rsid w:val="001F7B3D"/>
    <w:rsid w:val="00205F9F"/>
    <w:rsid w:val="00210338"/>
    <w:rsid w:val="002115FC"/>
    <w:rsid w:val="0021423C"/>
    <w:rsid w:val="002258CD"/>
    <w:rsid w:val="00230D00"/>
    <w:rsid w:val="00231DF7"/>
    <w:rsid w:val="00231FD1"/>
    <w:rsid w:val="002339E0"/>
    <w:rsid w:val="00233CF8"/>
    <w:rsid w:val="0023575D"/>
    <w:rsid w:val="00237148"/>
    <w:rsid w:val="0024222D"/>
    <w:rsid w:val="00244B0E"/>
    <w:rsid w:val="00244F6C"/>
    <w:rsid w:val="002532C5"/>
    <w:rsid w:val="00260C03"/>
    <w:rsid w:val="0026540E"/>
    <w:rsid w:val="00275123"/>
    <w:rsid w:val="00282240"/>
    <w:rsid w:val="002948AD"/>
    <w:rsid w:val="002A01CC"/>
    <w:rsid w:val="002A61B1"/>
    <w:rsid w:val="002A663C"/>
    <w:rsid w:val="002B444B"/>
    <w:rsid w:val="002B5887"/>
    <w:rsid w:val="002C0E27"/>
    <w:rsid w:val="002C3040"/>
    <w:rsid w:val="002D022D"/>
    <w:rsid w:val="002D24BB"/>
    <w:rsid w:val="002D2C99"/>
    <w:rsid w:val="002F2AF7"/>
    <w:rsid w:val="002F7E1C"/>
    <w:rsid w:val="00301A75"/>
    <w:rsid w:val="00302F70"/>
    <w:rsid w:val="0030336F"/>
    <w:rsid w:val="0030375E"/>
    <w:rsid w:val="00312A30"/>
    <w:rsid w:val="00320F72"/>
    <w:rsid w:val="0032463E"/>
    <w:rsid w:val="00326224"/>
    <w:rsid w:val="00336456"/>
    <w:rsid w:val="00337EE4"/>
    <w:rsid w:val="00340FFD"/>
    <w:rsid w:val="003506B1"/>
    <w:rsid w:val="00356AC7"/>
    <w:rsid w:val="003609FA"/>
    <w:rsid w:val="003710C8"/>
    <w:rsid w:val="003750BE"/>
    <w:rsid w:val="00387B9D"/>
    <w:rsid w:val="0039364F"/>
    <w:rsid w:val="00396686"/>
    <w:rsid w:val="0039778E"/>
    <w:rsid w:val="003B4941"/>
    <w:rsid w:val="003C5714"/>
    <w:rsid w:val="003C6B9F"/>
    <w:rsid w:val="003C6E2A"/>
    <w:rsid w:val="003D0299"/>
    <w:rsid w:val="003E6D80"/>
    <w:rsid w:val="003F05FA"/>
    <w:rsid w:val="003F244A"/>
    <w:rsid w:val="003F30B8"/>
    <w:rsid w:val="003F4C45"/>
    <w:rsid w:val="003F5F7B"/>
    <w:rsid w:val="003F7D64"/>
    <w:rsid w:val="00414300"/>
    <w:rsid w:val="00420F04"/>
    <w:rsid w:val="00425C67"/>
    <w:rsid w:val="00427E7A"/>
    <w:rsid w:val="00436C49"/>
    <w:rsid w:val="00445366"/>
    <w:rsid w:val="00447F5B"/>
    <w:rsid w:val="00461DB0"/>
    <w:rsid w:val="00463926"/>
    <w:rsid w:val="00464C9A"/>
    <w:rsid w:val="00474F3D"/>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D15F3"/>
    <w:rsid w:val="004D5311"/>
    <w:rsid w:val="004D5DCC"/>
    <w:rsid w:val="004F10AF"/>
    <w:rsid w:val="004F11A4"/>
    <w:rsid w:val="004F2389"/>
    <w:rsid w:val="004F304D"/>
    <w:rsid w:val="004F61BE"/>
    <w:rsid w:val="004F66B1"/>
    <w:rsid w:val="00511C07"/>
    <w:rsid w:val="005173A6"/>
    <w:rsid w:val="00520BAA"/>
    <w:rsid w:val="005236D5"/>
    <w:rsid w:val="00525208"/>
    <w:rsid w:val="005257A5"/>
    <w:rsid w:val="005264C0"/>
    <w:rsid w:val="00526A8A"/>
    <w:rsid w:val="00531DF2"/>
    <w:rsid w:val="005442EE"/>
    <w:rsid w:val="00547353"/>
    <w:rsid w:val="005474E7"/>
    <w:rsid w:val="005512A3"/>
    <w:rsid w:val="005578CE"/>
    <w:rsid w:val="00562781"/>
    <w:rsid w:val="0057271C"/>
    <w:rsid w:val="00572845"/>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42CA"/>
    <w:rsid w:val="00627507"/>
    <w:rsid w:val="00631056"/>
    <w:rsid w:val="00633717"/>
    <w:rsid w:val="006344E1"/>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B172B"/>
    <w:rsid w:val="006C23D4"/>
    <w:rsid w:val="006C7BB0"/>
    <w:rsid w:val="006D3237"/>
    <w:rsid w:val="006E2E37"/>
    <w:rsid w:val="006E3CF1"/>
    <w:rsid w:val="006E7E80"/>
    <w:rsid w:val="006F48CA"/>
    <w:rsid w:val="006F64DD"/>
    <w:rsid w:val="00715127"/>
    <w:rsid w:val="00715E8E"/>
    <w:rsid w:val="00723580"/>
    <w:rsid w:val="00723755"/>
    <w:rsid w:val="0073136C"/>
    <w:rsid w:val="00731F0F"/>
    <w:rsid w:val="00733250"/>
    <w:rsid w:val="00741404"/>
    <w:rsid w:val="007449E5"/>
    <w:rsid w:val="00747FF0"/>
    <w:rsid w:val="00764D4E"/>
    <w:rsid w:val="00765A1F"/>
    <w:rsid w:val="00775B6D"/>
    <w:rsid w:val="00776D68"/>
    <w:rsid w:val="007850EE"/>
    <w:rsid w:val="00785B95"/>
    <w:rsid w:val="00790E96"/>
    <w:rsid w:val="00793366"/>
    <w:rsid w:val="007A716F"/>
    <w:rsid w:val="007B270A"/>
    <w:rsid w:val="007C0695"/>
    <w:rsid w:val="007C419A"/>
    <w:rsid w:val="007C4CC8"/>
    <w:rsid w:val="007C5426"/>
    <w:rsid w:val="007C5798"/>
    <w:rsid w:val="007D4832"/>
    <w:rsid w:val="007E21B2"/>
    <w:rsid w:val="007E2C4E"/>
    <w:rsid w:val="007F1905"/>
    <w:rsid w:val="00801300"/>
    <w:rsid w:val="00802C64"/>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54AB"/>
    <w:rsid w:val="008802A9"/>
    <w:rsid w:val="0088060C"/>
    <w:rsid w:val="00893576"/>
    <w:rsid w:val="00893E73"/>
    <w:rsid w:val="008B02DC"/>
    <w:rsid w:val="008B57CE"/>
    <w:rsid w:val="008C26DE"/>
    <w:rsid w:val="008D2225"/>
    <w:rsid w:val="008D4752"/>
    <w:rsid w:val="008E271C"/>
    <w:rsid w:val="008E418E"/>
    <w:rsid w:val="008E5BC6"/>
    <w:rsid w:val="008E6A25"/>
    <w:rsid w:val="008F5193"/>
    <w:rsid w:val="008F55F5"/>
    <w:rsid w:val="009013A7"/>
    <w:rsid w:val="009017FB"/>
    <w:rsid w:val="009017FC"/>
    <w:rsid w:val="0090506B"/>
    <w:rsid w:val="009050C9"/>
    <w:rsid w:val="009066FC"/>
    <w:rsid w:val="009140A3"/>
    <w:rsid w:val="009144A2"/>
    <w:rsid w:val="0091510C"/>
    <w:rsid w:val="009259AC"/>
    <w:rsid w:val="00926F38"/>
    <w:rsid w:val="00934301"/>
    <w:rsid w:val="00936CD1"/>
    <w:rsid w:val="00940C67"/>
    <w:rsid w:val="00941747"/>
    <w:rsid w:val="00941EFB"/>
    <w:rsid w:val="00947AFB"/>
    <w:rsid w:val="00951D7D"/>
    <w:rsid w:val="00955EE5"/>
    <w:rsid w:val="009630C7"/>
    <w:rsid w:val="00972B55"/>
    <w:rsid w:val="009743B7"/>
    <w:rsid w:val="0098228B"/>
    <w:rsid w:val="009828DA"/>
    <w:rsid w:val="00985BAB"/>
    <w:rsid w:val="009B1B5F"/>
    <w:rsid w:val="009B6673"/>
    <w:rsid w:val="009C191B"/>
    <w:rsid w:val="009C2BD6"/>
    <w:rsid w:val="009E1F32"/>
    <w:rsid w:val="009E776C"/>
    <w:rsid w:val="009F65DC"/>
    <w:rsid w:val="00A1726E"/>
    <w:rsid w:val="00A204CF"/>
    <w:rsid w:val="00A23D49"/>
    <w:rsid w:val="00A242AC"/>
    <w:rsid w:val="00A27004"/>
    <w:rsid w:val="00A30C29"/>
    <w:rsid w:val="00A34DD6"/>
    <w:rsid w:val="00A36819"/>
    <w:rsid w:val="00A36989"/>
    <w:rsid w:val="00A43628"/>
    <w:rsid w:val="00A51EBA"/>
    <w:rsid w:val="00A54192"/>
    <w:rsid w:val="00A6035E"/>
    <w:rsid w:val="00A6144C"/>
    <w:rsid w:val="00A66617"/>
    <w:rsid w:val="00A671F8"/>
    <w:rsid w:val="00A673A4"/>
    <w:rsid w:val="00A724AE"/>
    <w:rsid w:val="00A73329"/>
    <w:rsid w:val="00A82359"/>
    <w:rsid w:val="00A865D2"/>
    <w:rsid w:val="00A94C20"/>
    <w:rsid w:val="00AA227F"/>
    <w:rsid w:val="00AA3BC7"/>
    <w:rsid w:val="00AA754A"/>
    <w:rsid w:val="00AB099E"/>
    <w:rsid w:val="00AB4328"/>
    <w:rsid w:val="00AC0EC6"/>
    <w:rsid w:val="00AC3ABA"/>
    <w:rsid w:val="00AD08BB"/>
    <w:rsid w:val="00AD4891"/>
    <w:rsid w:val="00AE0A2E"/>
    <w:rsid w:val="00AE354C"/>
    <w:rsid w:val="00AF4B07"/>
    <w:rsid w:val="00AF6186"/>
    <w:rsid w:val="00AF7A3A"/>
    <w:rsid w:val="00B160DB"/>
    <w:rsid w:val="00B20836"/>
    <w:rsid w:val="00B235BB"/>
    <w:rsid w:val="00B27A44"/>
    <w:rsid w:val="00B30BBF"/>
    <w:rsid w:val="00B33C03"/>
    <w:rsid w:val="00B44E56"/>
    <w:rsid w:val="00B46543"/>
    <w:rsid w:val="00B47D33"/>
    <w:rsid w:val="00B52BE0"/>
    <w:rsid w:val="00B54133"/>
    <w:rsid w:val="00B701ED"/>
    <w:rsid w:val="00B8086C"/>
    <w:rsid w:val="00B861B4"/>
    <w:rsid w:val="00B86DFE"/>
    <w:rsid w:val="00B90990"/>
    <w:rsid w:val="00B922FF"/>
    <w:rsid w:val="00B9281E"/>
    <w:rsid w:val="00B93925"/>
    <w:rsid w:val="00B95187"/>
    <w:rsid w:val="00BA2D55"/>
    <w:rsid w:val="00BA71B1"/>
    <w:rsid w:val="00BB0637"/>
    <w:rsid w:val="00BB345F"/>
    <w:rsid w:val="00BB5C82"/>
    <w:rsid w:val="00BB68EA"/>
    <w:rsid w:val="00BC16EE"/>
    <w:rsid w:val="00BC1C27"/>
    <w:rsid w:val="00BC6BBF"/>
    <w:rsid w:val="00BD1572"/>
    <w:rsid w:val="00BE14E3"/>
    <w:rsid w:val="00BE3774"/>
    <w:rsid w:val="00BE41E5"/>
    <w:rsid w:val="00BF4109"/>
    <w:rsid w:val="00BF4CC3"/>
    <w:rsid w:val="00C054C7"/>
    <w:rsid w:val="00C057B5"/>
    <w:rsid w:val="00C22687"/>
    <w:rsid w:val="00C25A3E"/>
    <w:rsid w:val="00C32E4D"/>
    <w:rsid w:val="00C333A0"/>
    <w:rsid w:val="00C36408"/>
    <w:rsid w:val="00C36A81"/>
    <w:rsid w:val="00C41226"/>
    <w:rsid w:val="00C41974"/>
    <w:rsid w:val="00C41981"/>
    <w:rsid w:val="00C535F5"/>
    <w:rsid w:val="00C53F4A"/>
    <w:rsid w:val="00C54125"/>
    <w:rsid w:val="00C55B54"/>
    <w:rsid w:val="00C6098E"/>
    <w:rsid w:val="00C6152C"/>
    <w:rsid w:val="00C74810"/>
    <w:rsid w:val="00C87DCF"/>
    <w:rsid w:val="00C90D68"/>
    <w:rsid w:val="00C939FE"/>
    <w:rsid w:val="00C96842"/>
    <w:rsid w:val="00C9700C"/>
    <w:rsid w:val="00CA4BDA"/>
    <w:rsid w:val="00CB1F66"/>
    <w:rsid w:val="00CB25E5"/>
    <w:rsid w:val="00CB2951"/>
    <w:rsid w:val="00CD282B"/>
    <w:rsid w:val="00CD4C35"/>
    <w:rsid w:val="00CD7369"/>
    <w:rsid w:val="00CE0B0E"/>
    <w:rsid w:val="00CE3831"/>
    <w:rsid w:val="00D00ABB"/>
    <w:rsid w:val="00D02EEC"/>
    <w:rsid w:val="00D03551"/>
    <w:rsid w:val="00D06A63"/>
    <w:rsid w:val="00D07E0E"/>
    <w:rsid w:val="00D11478"/>
    <w:rsid w:val="00D15ED0"/>
    <w:rsid w:val="00D20A92"/>
    <w:rsid w:val="00D21B3E"/>
    <w:rsid w:val="00D21FED"/>
    <w:rsid w:val="00D24251"/>
    <w:rsid w:val="00D343E2"/>
    <w:rsid w:val="00D361A2"/>
    <w:rsid w:val="00D44C2E"/>
    <w:rsid w:val="00D45414"/>
    <w:rsid w:val="00D47891"/>
    <w:rsid w:val="00D566BD"/>
    <w:rsid w:val="00D57A4D"/>
    <w:rsid w:val="00D60AA7"/>
    <w:rsid w:val="00D6435F"/>
    <w:rsid w:val="00D75E28"/>
    <w:rsid w:val="00D772C2"/>
    <w:rsid w:val="00D8008E"/>
    <w:rsid w:val="00D82C45"/>
    <w:rsid w:val="00D908A8"/>
    <w:rsid w:val="00D977B6"/>
    <w:rsid w:val="00DA4A31"/>
    <w:rsid w:val="00DA7B04"/>
    <w:rsid w:val="00DB36C2"/>
    <w:rsid w:val="00DC169B"/>
    <w:rsid w:val="00DC2AB9"/>
    <w:rsid w:val="00DC63F0"/>
    <w:rsid w:val="00DD270C"/>
    <w:rsid w:val="00DD6EE5"/>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37CB1"/>
    <w:rsid w:val="00E40404"/>
    <w:rsid w:val="00E459C6"/>
    <w:rsid w:val="00E47589"/>
    <w:rsid w:val="00E64915"/>
    <w:rsid w:val="00E661D4"/>
    <w:rsid w:val="00E70091"/>
    <w:rsid w:val="00E720F5"/>
    <w:rsid w:val="00E76D47"/>
    <w:rsid w:val="00E849F7"/>
    <w:rsid w:val="00E90302"/>
    <w:rsid w:val="00E97396"/>
    <w:rsid w:val="00EA185E"/>
    <w:rsid w:val="00EA4BD7"/>
    <w:rsid w:val="00EA592A"/>
    <w:rsid w:val="00EB14E4"/>
    <w:rsid w:val="00EB32A5"/>
    <w:rsid w:val="00EB34ED"/>
    <w:rsid w:val="00EB7BE0"/>
    <w:rsid w:val="00EC315E"/>
    <w:rsid w:val="00EC69C0"/>
    <w:rsid w:val="00ED077C"/>
    <w:rsid w:val="00ED1190"/>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66A2"/>
    <w:rsid w:val="00F32269"/>
    <w:rsid w:val="00F5432B"/>
    <w:rsid w:val="00F56A6F"/>
    <w:rsid w:val="00F5709C"/>
    <w:rsid w:val="00F64EF1"/>
    <w:rsid w:val="00F77D70"/>
    <w:rsid w:val="00F8765F"/>
    <w:rsid w:val="00F90767"/>
    <w:rsid w:val="00FA685B"/>
    <w:rsid w:val="00FB0C01"/>
    <w:rsid w:val="00FC18F2"/>
    <w:rsid w:val="00FC39E5"/>
    <w:rsid w:val="00FC3A78"/>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C87DCF"/>
    <w:pPr>
      <w:jc w:val="both"/>
    </w:pPr>
    <w:rPr>
      <w:rFonts w:eastAsiaTheme="minorEastAsia"/>
      <w:sz w:val="24"/>
      <w:lang w:val="en-GB"/>
    </w:rPr>
  </w:style>
  <w:style w:type="paragraph" w:styleId="Heading1">
    <w:name w:val="heading 1"/>
    <w:basedOn w:val="Normal"/>
    <w:next w:val="Normal"/>
    <w:link w:val="Heading1Char"/>
    <w:uiPriority w:val="99"/>
    <w:semiHidden/>
    <w:rsid w:val="00C87DCF"/>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C87DCF"/>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C87DCF"/>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C87DCF"/>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C87DCF"/>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C87DCF"/>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C87DCF"/>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C87DCF"/>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C87DCF"/>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87DCF"/>
    <w:rPr>
      <w:rFonts w:ascii="Tahoma" w:hAnsi="Tahoma" w:cs="Tahoma"/>
      <w:sz w:val="16"/>
      <w:szCs w:val="16"/>
    </w:rPr>
  </w:style>
  <w:style w:type="character" w:customStyle="1" w:styleId="BalloonTextChar">
    <w:name w:val="Balloon Text Char"/>
    <w:basedOn w:val="DefaultParagraphFont"/>
    <w:link w:val="BalloonText"/>
    <w:uiPriority w:val="99"/>
    <w:semiHidden/>
    <w:rsid w:val="00C87DCF"/>
    <w:rPr>
      <w:rFonts w:ascii="Tahoma" w:eastAsiaTheme="minorEastAsia" w:hAnsi="Tahoma" w:cs="Tahoma"/>
      <w:sz w:val="16"/>
      <w:szCs w:val="16"/>
      <w:lang w:val="en-GB"/>
    </w:rPr>
  </w:style>
  <w:style w:type="character" w:styleId="BookTitle">
    <w:name w:val="Book Title"/>
    <w:uiPriority w:val="99"/>
    <w:semiHidden/>
    <w:qFormat/>
    <w:rsid w:val="00C87DCF"/>
    <w:rPr>
      <w:i/>
      <w:iCs/>
      <w:smallCaps/>
      <w:spacing w:val="5"/>
    </w:rPr>
  </w:style>
  <w:style w:type="paragraph" w:customStyle="1" w:styleId="ECHRHeader">
    <w:name w:val="ECHR_Header"/>
    <w:aliases w:val="Ju_Header"/>
    <w:basedOn w:val="Header"/>
    <w:uiPriority w:val="4"/>
    <w:qFormat/>
    <w:rsid w:val="00C87DCF"/>
    <w:pPr>
      <w:tabs>
        <w:tab w:val="clear" w:pos="4536"/>
        <w:tab w:val="clear" w:pos="9072"/>
        <w:tab w:val="center" w:pos="3686"/>
        <w:tab w:val="right" w:pos="7371"/>
      </w:tabs>
      <w:jc w:val="left"/>
    </w:pPr>
    <w:rPr>
      <w:sz w:val="18"/>
    </w:rPr>
  </w:style>
  <w:style w:type="paragraph" w:customStyle="1" w:styleId="DecHTitle">
    <w:name w:val="Dec_H_Title"/>
    <w:basedOn w:val="ECHRTitleCentre1"/>
    <w:uiPriority w:val="7"/>
    <w:semiHidden/>
    <w:qFormat/>
    <w:rsid w:val="00C87DCF"/>
  </w:style>
  <w:style w:type="character" w:styleId="Strong">
    <w:name w:val="Strong"/>
    <w:uiPriority w:val="99"/>
    <w:semiHidden/>
    <w:qFormat/>
    <w:rsid w:val="00C87DCF"/>
    <w:rPr>
      <w:b/>
      <w:bCs/>
    </w:rPr>
  </w:style>
  <w:style w:type="paragraph" w:styleId="NoSpacing">
    <w:name w:val="No Spacing"/>
    <w:basedOn w:val="Normal"/>
    <w:link w:val="NoSpacingChar"/>
    <w:semiHidden/>
    <w:qFormat/>
    <w:rsid w:val="00C87DCF"/>
    <w:rPr>
      <w:sz w:val="22"/>
      <w:lang w:val="en-US"/>
    </w:rPr>
  </w:style>
  <w:style w:type="character" w:customStyle="1" w:styleId="NoSpacingChar">
    <w:name w:val="No Spacing Char"/>
    <w:basedOn w:val="DefaultParagraphFont"/>
    <w:link w:val="NoSpacing"/>
    <w:semiHidden/>
    <w:rsid w:val="00C87DCF"/>
    <w:rPr>
      <w:rFonts w:eastAsiaTheme="minorEastAsia"/>
    </w:rPr>
  </w:style>
  <w:style w:type="paragraph" w:customStyle="1" w:styleId="ECHRParaQuote">
    <w:name w:val="ECHR_Para_Quote"/>
    <w:aliases w:val="Ju_Quot"/>
    <w:basedOn w:val="Normal"/>
    <w:uiPriority w:val="14"/>
    <w:qFormat/>
    <w:rsid w:val="00C87DCF"/>
    <w:pPr>
      <w:spacing w:before="120" w:after="120"/>
      <w:ind w:left="425" w:firstLine="142"/>
    </w:pPr>
    <w:rPr>
      <w:sz w:val="20"/>
    </w:rPr>
  </w:style>
  <w:style w:type="paragraph" w:customStyle="1" w:styleId="DecList">
    <w:name w:val="Dec_List"/>
    <w:basedOn w:val="Normal"/>
    <w:uiPriority w:val="9"/>
    <w:semiHidden/>
    <w:qFormat/>
    <w:rsid w:val="00C87DCF"/>
    <w:pPr>
      <w:spacing w:before="240"/>
      <w:ind w:left="284"/>
    </w:pPr>
  </w:style>
  <w:style w:type="paragraph" w:customStyle="1" w:styleId="DummyStyle">
    <w:name w:val="Dummy_Style"/>
    <w:basedOn w:val="Normal"/>
    <w:semiHidden/>
    <w:qFormat/>
    <w:rsid w:val="00C87DCF"/>
    <w:rPr>
      <w:color w:val="00B050"/>
    </w:rPr>
  </w:style>
  <w:style w:type="paragraph" w:customStyle="1" w:styleId="JuAppQuestion">
    <w:name w:val="Ju_App_Question"/>
    <w:basedOn w:val="Normal"/>
    <w:uiPriority w:val="5"/>
    <w:semiHidden/>
    <w:qFormat/>
    <w:rsid w:val="00C87DCF"/>
    <w:pPr>
      <w:numPr>
        <w:numId w:val="24"/>
      </w:numPr>
      <w:jc w:val="left"/>
    </w:pPr>
    <w:rPr>
      <w:b/>
    </w:rPr>
  </w:style>
  <w:style w:type="paragraph" w:customStyle="1" w:styleId="JuCourt">
    <w:name w:val="Ju_Court"/>
    <w:basedOn w:val="Normal"/>
    <w:next w:val="Normal"/>
    <w:uiPriority w:val="16"/>
    <w:qFormat/>
    <w:rsid w:val="00C87DCF"/>
    <w:pPr>
      <w:tabs>
        <w:tab w:val="left" w:pos="907"/>
        <w:tab w:val="left" w:pos="1701"/>
        <w:tab w:val="right" w:pos="7371"/>
      </w:tabs>
      <w:spacing w:before="240"/>
      <w:ind w:left="397" w:hanging="397"/>
      <w:jc w:val="left"/>
    </w:pPr>
    <w:rPr>
      <w:lang w:bidi="en-US"/>
    </w:rPr>
  </w:style>
  <w:style w:type="paragraph" w:customStyle="1" w:styleId="ECHRTitleCentre3">
    <w:name w:val="ECHR_Title_Centre_3"/>
    <w:aliases w:val="Ju_H_Article"/>
    <w:basedOn w:val="Normal"/>
    <w:next w:val="ECHRParaQuote"/>
    <w:uiPriority w:val="27"/>
    <w:qFormat/>
    <w:rsid w:val="00C87DCF"/>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C87DCF"/>
    <w:pPr>
      <w:keepNext/>
      <w:keepLines/>
      <w:spacing w:after="240"/>
      <w:jc w:val="center"/>
      <w:outlineLvl w:val="0"/>
    </w:pPr>
    <w:rPr>
      <w:rFonts w:asciiTheme="majorHAnsi" w:hAnsiTheme="majorHAnsi"/>
      <w:sz w:val="28"/>
    </w:rPr>
  </w:style>
  <w:style w:type="paragraph" w:customStyle="1" w:styleId="JuHeaderLandscape">
    <w:name w:val="Ju_Header_Landscape"/>
    <w:basedOn w:val="ECHRHeader"/>
    <w:uiPriority w:val="4"/>
    <w:qFormat/>
    <w:rsid w:val="00C87DCF"/>
    <w:pPr>
      <w:tabs>
        <w:tab w:val="clear" w:pos="3686"/>
        <w:tab w:val="clear" w:pos="7371"/>
        <w:tab w:val="center" w:pos="6146"/>
        <w:tab w:val="right" w:pos="12293"/>
      </w:tabs>
    </w:pPr>
  </w:style>
  <w:style w:type="paragraph" w:customStyle="1" w:styleId="ECHRTitle1">
    <w:name w:val="ECHR_Title_1"/>
    <w:aliases w:val="Ju_H_Head"/>
    <w:basedOn w:val="Normal"/>
    <w:next w:val="ECHRPara"/>
    <w:uiPriority w:val="18"/>
    <w:qFormat/>
    <w:rsid w:val="00C87DCF"/>
    <w:pPr>
      <w:keepNext/>
      <w:keepLines/>
      <w:spacing w:before="720" w:after="240"/>
      <w:outlineLvl w:val="0"/>
    </w:pPr>
    <w:rPr>
      <w:rFonts w:asciiTheme="majorHAnsi" w:hAnsiTheme="majorHAnsi"/>
      <w:sz w:val="28"/>
    </w:rPr>
  </w:style>
  <w:style w:type="paragraph" w:customStyle="1" w:styleId="JuInitialled">
    <w:name w:val="Ju_Initialled"/>
    <w:basedOn w:val="Normal"/>
    <w:qFormat/>
    <w:rsid w:val="00C87DCF"/>
    <w:pPr>
      <w:tabs>
        <w:tab w:val="center" w:pos="6407"/>
      </w:tabs>
      <w:spacing w:before="720"/>
      <w:jc w:val="right"/>
    </w:pPr>
  </w:style>
  <w:style w:type="paragraph" w:customStyle="1" w:styleId="JuSigned">
    <w:name w:val="Ju_Signed"/>
    <w:basedOn w:val="Normal"/>
    <w:next w:val="JuParaLast"/>
    <w:uiPriority w:val="32"/>
    <w:qFormat/>
    <w:rsid w:val="00C87DCF"/>
    <w:pPr>
      <w:tabs>
        <w:tab w:val="center" w:pos="851"/>
        <w:tab w:val="center" w:pos="6407"/>
      </w:tabs>
      <w:spacing w:before="720"/>
      <w:jc w:val="left"/>
    </w:pPr>
  </w:style>
  <w:style w:type="paragraph" w:styleId="Title">
    <w:name w:val="Title"/>
    <w:basedOn w:val="Normal"/>
    <w:next w:val="Normal"/>
    <w:link w:val="TitleChar"/>
    <w:uiPriority w:val="99"/>
    <w:semiHidden/>
    <w:qFormat/>
    <w:rsid w:val="00C87DCF"/>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C87DCF"/>
    <w:rPr>
      <w:rFonts w:asciiTheme="majorHAnsi" w:eastAsiaTheme="majorEastAsia" w:hAnsiTheme="majorHAnsi" w:cstheme="majorBidi"/>
      <w:spacing w:val="5"/>
      <w:sz w:val="52"/>
      <w:szCs w:val="52"/>
      <w:lang w:bidi="en-US"/>
    </w:rPr>
  </w:style>
  <w:style w:type="character" w:customStyle="1" w:styleId="JuITMark">
    <w:name w:val="Ju_ITMark"/>
    <w:basedOn w:val="DefaultParagraphFont"/>
    <w:uiPriority w:val="38"/>
    <w:qFormat/>
    <w:rsid w:val="00C87DCF"/>
    <w:rPr>
      <w:vanish w:val="0"/>
      <w:color w:val="auto"/>
      <w:sz w:val="14"/>
      <w:bdr w:val="none" w:sz="0" w:space="0" w:color="auto"/>
      <w:shd w:val="clear" w:color="auto" w:fill="BEE5FF" w:themeFill="background1" w:themeFillTint="33"/>
    </w:rPr>
  </w:style>
  <w:style w:type="character" w:customStyle="1" w:styleId="JUNAMES">
    <w:name w:val="JU_NAMES"/>
    <w:uiPriority w:val="17"/>
    <w:qFormat/>
    <w:rsid w:val="00C87DCF"/>
    <w:rPr>
      <w:caps w:val="0"/>
      <w:smallCaps/>
    </w:rPr>
  </w:style>
  <w:style w:type="paragraph" w:customStyle="1" w:styleId="JuParaSub">
    <w:name w:val="Ju_Para_Sub"/>
    <w:basedOn w:val="ECHRPara"/>
    <w:uiPriority w:val="13"/>
    <w:qFormat/>
    <w:rsid w:val="00C87DCF"/>
    <w:pPr>
      <w:ind w:left="284"/>
    </w:pPr>
  </w:style>
  <w:style w:type="paragraph" w:customStyle="1" w:styleId="JuQuotSub">
    <w:name w:val="Ju_Quot_Sub"/>
    <w:basedOn w:val="ECHRParaQuote"/>
    <w:uiPriority w:val="15"/>
    <w:qFormat/>
    <w:rsid w:val="00C87DCF"/>
    <w:pPr>
      <w:ind w:left="567"/>
    </w:pPr>
  </w:style>
  <w:style w:type="paragraph" w:customStyle="1" w:styleId="JuTitle">
    <w:name w:val="Ju_Title"/>
    <w:basedOn w:val="Normal"/>
    <w:next w:val="ECHRPara"/>
    <w:uiPriority w:val="3"/>
    <w:semiHidden/>
    <w:qFormat/>
    <w:rsid w:val="00C87DCF"/>
    <w:pPr>
      <w:spacing w:before="720" w:after="240"/>
      <w:jc w:val="center"/>
      <w:outlineLvl w:val="0"/>
    </w:pPr>
    <w:rPr>
      <w:rFonts w:asciiTheme="majorHAnsi" w:hAnsiTheme="majorHAnsi"/>
      <w:b/>
      <w:caps/>
    </w:rPr>
  </w:style>
  <w:style w:type="paragraph" w:customStyle="1" w:styleId="ECHRHeading1">
    <w:name w:val="ECHR_Heading_1"/>
    <w:aliases w:val="Ju_H_I_Roman"/>
    <w:basedOn w:val="Heading1"/>
    <w:next w:val="ECHRPara"/>
    <w:uiPriority w:val="19"/>
    <w:qFormat/>
    <w:rsid w:val="00C87DCF"/>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C87DCF"/>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C87DCF"/>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semiHidden/>
    <w:rsid w:val="00C87DCF"/>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C87DCF"/>
    <w:rPr>
      <w:sz w:val="24"/>
      <w:lang w:val="en-GB"/>
    </w:rPr>
  </w:style>
  <w:style w:type="character" w:customStyle="1" w:styleId="Heading1Char">
    <w:name w:val="Heading 1 Char"/>
    <w:basedOn w:val="DefaultParagraphFont"/>
    <w:link w:val="Heading1"/>
    <w:uiPriority w:val="99"/>
    <w:semiHidden/>
    <w:rsid w:val="00C87DCF"/>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Heading4"/>
    <w:next w:val="ECHRPara"/>
    <w:uiPriority w:val="22"/>
    <w:qFormat/>
    <w:rsid w:val="00C87DCF"/>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C87DCF"/>
    <w:pPr>
      <w:keepNext/>
      <w:keepLines/>
      <w:tabs>
        <w:tab w:val="left" w:pos="1191"/>
      </w:tabs>
      <w:spacing w:before="240" w:after="120"/>
      <w:ind w:left="1190" w:hanging="357"/>
    </w:pPr>
    <w:rPr>
      <w:b w:val="0"/>
      <w:i/>
      <w:color w:val="auto"/>
      <w:sz w:val="20"/>
      <w:lang w:val="en-GB"/>
    </w:rPr>
  </w:style>
  <w:style w:type="character" w:customStyle="1" w:styleId="Heading2Char">
    <w:name w:val="Heading 2 Char"/>
    <w:basedOn w:val="DefaultParagraphFont"/>
    <w:link w:val="Heading2"/>
    <w:uiPriority w:val="99"/>
    <w:semiHidden/>
    <w:rsid w:val="00C87DCF"/>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Heading6"/>
    <w:next w:val="ECHRPara"/>
    <w:uiPriority w:val="24"/>
    <w:qFormat/>
    <w:rsid w:val="00C87DCF"/>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C87DCF"/>
    <w:pPr>
      <w:keepNext/>
      <w:keepLines/>
      <w:spacing w:before="240" w:after="120"/>
      <w:ind w:left="1236"/>
    </w:pPr>
    <w:rPr>
      <w:sz w:val="20"/>
      <w:lang w:val="en-GB"/>
    </w:rPr>
  </w:style>
  <w:style w:type="character" w:customStyle="1" w:styleId="Heading3Char">
    <w:name w:val="Heading 3 Char"/>
    <w:basedOn w:val="DefaultParagraphFont"/>
    <w:link w:val="Heading3"/>
    <w:uiPriority w:val="99"/>
    <w:semiHidden/>
    <w:rsid w:val="00C87DCF"/>
    <w:rPr>
      <w:rFonts w:asciiTheme="majorHAnsi" w:eastAsiaTheme="majorEastAsia" w:hAnsiTheme="majorHAnsi" w:cstheme="majorBidi"/>
      <w:b/>
      <w:bCs/>
      <w:color w:val="5F5F5F"/>
      <w:sz w:val="24"/>
      <w:lang w:val="en-GB"/>
    </w:rPr>
  </w:style>
  <w:style w:type="paragraph" w:customStyle="1" w:styleId="JuParaLast">
    <w:name w:val="Ju_Para_Last"/>
    <w:basedOn w:val="Normal"/>
    <w:next w:val="ECHRPara"/>
    <w:qFormat/>
    <w:rsid w:val="00C87DCF"/>
    <w:pPr>
      <w:keepNext/>
      <w:keepLines/>
      <w:spacing w:before="240"/>
      <w:ind w:firstLine="284"/>
    </w:pPr>
  </w:style>
  <w:style w:type="paragraph" w:customStyle="1" w:styleId="JuList">
    <w:name w:val="Ju_List"/>
    <w:basedOn w:val="Normal"/>
    <w:uiPriority w:val="28"/>
    <w:qFormat/>
    <w:rsid w:val="00C87DCF"/>
    <w:pPr>
      <w:ind w:left="340" w:hanging="340"/>
    </w:pPr>
  </w:style>
  <w:style w:type="character" w:customStyle="1" w:styleId="Heading4Char">
    <w:name w:val="Heading 4 Char"/>
    <w:basedOn w:val="DefaultParagraphFont"/>
    <w:link w:val="Heading4"/>
    <w:uiPriority w:val="99"/>
    <w:semiHidden/>
    <w:rsid w:val="00C87DCF"/>
    <w:rPr>
      <w:rFonts w:asciiTheme="majorHAnsi" w:eastAsiaTheme="majorEastAsia" w:hAnsiTheme="majorHAnsi" w:cstheme="majorBidi"/>
      <w:b/>
      <w:bCs/>
      <w:i/>
      <w:iCs/>
      <w:color w:val="777777"/>
      <w:sz w:val="24"/>
      <w:lang w:val="en-GB"/>
    </w:rPr>
  </w:style>
  <w:style w:type="paragraph" w:customStyle="1" w:styleId="JuLista">
    <w:name w:val="Ju_List_a"/>
    <w:basedOn w:val="JuList"/>
    <w:uiPriority w:val="28"/>
    <w:qFormat/>
    <w:rsid w:val="00C87DCF"/>
    <w:pPr>
      <w:ind w:left="346" w:firstLine="0"/>
    </w:pPr>
  </w:style>
  <w:style w:type="character" w:customStyle="1" w:styleId="Heading5Char">
    <w:name w:val="Heading 5 Char"/>
    <w:basedOn w:val="DefaultParagraphFont"/>
    <w:link w:val="Heading5"/>
    <w:uiPriority w:val="99"/>
    <w:semiHidden/>
    <w:rsid w:val="00C87DCF"/>
    <w:rPr>
      <w:rFonts w:asciiTheme="majorHAnsi" w:eastAsiaTheme="majorEastAsia" w:hAnsiTheme="majorHAnsi" w:cstheme="majorBidi"/>
      <w:b/>
      <w:bCs/>
      <w:color w:val="808080"/>
    </w:rPr>
  </w:style>
  <w:style w:type="paragraph" w:customStyle="1" w:styleId="JuListi">
    <w:name w:val="Ju_List_i"/>
    <w:basedOn w:val="Normal"/>
    <w:next w:val="JuLista"/>
    <w:uiPriority w:val="28"/>
    <w:qFormat/>
    <w:rsid w:val="00C87DCF"/>
    <w:pPr>
      <w:ind w:left="794"/>
    </w:pPr>
  </w:style>
  <w:style w:type="paragraph" w:customStyle="1" w:styleId="OpiH1">
    <w:name w:val="Opi_H_1"/>
    <w:basedOn w:val="ECHRHeading2"/>
    <w:uiPriority w:val="42"/>
    <w:qFormat/>
    <w:rsid w:val="00C87DCF"/>
    <w:pPr>
      <w:ind w:left="635" w:hanging="357"/>
      <w:outlineLvl w:val="2"/>
    </w:pPr>
  </w:style>
  <w:style w:type="character" w:styleId="SubtleEmphasis">
    <w:name w:val="Subtle Emphasis"/>
    <w:uiPriority w:val="99"/>
    <w:semiHidden/>
    <w:qFormat/>
    <w:rsid w:val="00C87DCF"/>
    <w:rPr>
      <w:i/>
      <w:iCs/>
    </w:rPr>
  </w:style>
  <w:style w:type="paragraph" w:customStyle="1" w:styleId="OpiHa">
    <w:name w:val="Opi_H_a"/>
    <w:basedOn w:val="ECHRHeading3"/>
    <w:uiPriority w:val="43"/>
    <w:qFormat/>
    <w:rsid w:val="00C87DCF"/>
    <w:pPr>
      <w:ind w:left="833" w:hanging="357"/>
      <w:outlineLvl w:val="3"/>
    </w:pPr>
    <w:rPr>
      <w:b/>
      <w:i w:val="0"/>
      <w:sz w:val="20"/>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1"/>
    <w:next w:val="OpiPara"/>
    <w:uiPriority w:val="41"/>
    <w:qFormat/>
    <w:rsid w:val="00C87DCF"/>
    <w:pPr>
      <w:tabs>
        <w:tab w:val="clear" w:pos="357"/>
      </w:tabs>
      <w:outlineLvl w:val="1"/>
    </w:pPr>
    <w:rPr>
      <w:b/>
    </w:rPr>
  </w:style>
  <w:style w:type="paragraph" w:customStyle="1" w:styleId="OpiHi">
    <w:name w:val="Opi_H_i"/>
    <w:basedOn w:val="ECHRHeading4"/>
    <w:uiPriority w:val="44"/>
    <w:qFormat/>
    <w:rsid w:val="00C87DCF"/>
    <w:pPr>
      <w:ind w:left="1037" w:hanging="357"/>
      <w:outlineLvl w:val="4"/>
    </w:pPr>
    <w:rPr>
      <w:b w:val="0"/>
      <w:i/>
    </w:rPr>
  </w:style>
  <w:style w:type="paragraph" w:styleId="Subtitle">
    <w:name w:val="Subtitle"/>
    <w:basedOn w:val="Normal"/>
    <w:next w:val="Normal"/>
    <w:link w:val="SubtitleChar"/>
    <w:uiPriority w:val="99"/>
    <w:semiHidden/>
    <w:qFormat/>
    <w:rsid w:val="00C87DCF"/>
    <w:pPr>
      <w:spacing w:after="600"/>
    </w:pPr>
    <w:rPr>
      <w:rFonts w:asciiTheme="majorHAnsi" w:eastAsiaTheme="majorEastAsia" w:hAnsiTheme="majorHAnsi" w:cstheme="majorBidi"/>
      <w:i/>
      <w:iCs/>
      <w:spacing w:val="13"/>
      <w:szCs w:val="24"/>
      <w:lang w:val="en-US" w:bidi="en-US"/>
    </w:rPr>
  </w:style>
  <w:style w:type="character" w:styleId="Emphasis">
    <w:name w:val="Emphasis"/>
    <w:uiPriority w:val="99"/>
    <w:semiHidden/>
    <w:qFormat/>
    <w:rsid w:val="00C87DCF"/>
    <w:rPr>
      <w:b/>
      <w:bCs/>
      <w:i/>
      <w:iCs/>
      <w:spacing w:val="10"/>
      <w:bdr w:val="none" w:sz="0" w:space="0" w:color="auto"/>
      <w:shd w:val="clear" w:color="auto" w:fill="auto"/>
    </w:rPr>
  </w:style>
  <w:style w:type="paragraph" w:styleId="Footer">
    <w:name w:val="footer"/>
    <w:basedOn w:val="Normal"/>
    <w:link w:val="FooterChar"/>
    <w:uiPriority w:val="57"/>
    <w:semiHidden/>
    <w:rsid w:val="00C87DCF"/>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C87DCF"/>
    <w:rPr>
      <w:sz w:val="24"/>
      <w:lang w:val="en-GB"/>
    </w:rPr>
  </w:style>
  <w:style w:type="character" w:styleId="FootnoteReference">
    <w:name w:val="footnote reference"/>
    <w:basedOn w:val="DefaultParagraphFont"/>
    <w:uiPriority w:val="99"/>
    <w:semiHidden/>
    <w:rsid w:val="00C87DCF"/>
    <w:rPr>
      <w:vertAlign w:val="superscript"/>
    </w:rPr>
  </w:style>
  <w:style w:type="paragraph" w:styleId="FootnoteText">
    <w:name w:val="footnote text"/>
    <w:basedOn w:val="Normal"/>
    <w:link w:val="FootnoteTextChar"/>
    <w:uiPriority w:val="99"/>
    <w:semiHidden/>
    <w:rsid w:val="00C87DCF"/>
    <w:rPr>
      <w:sz w:val="20"/>
      <w:szCs w:val="20"/>
    </w:rPr>
  </w:style>
  <w:style w:type="character" w:customStyle="1" w:styleId="FootnoteTextChar">
    <w:name w:val="Footnote Text Char"/>
    <w:basedOn w:val="DefaultParagraphFont"/>
    <w:link w:val="FootnoteText"/>
    <w:uiPriority w:val="99"/>
    <w:semiHidden/>
    <w:rsid w:val="00C87DCF"/>
    <w:rPr>
      <w:rFonts w:eastAsiaTheme="minorEastAsia"/>
      <w:sz w:val="20"/>
      <w:szCs w:val="20"/>
      <w:lang w:val="en-GB"/>
    </w:rPr>
  </w:style>
  <w:style w:type="character" w:customStyle="1" w:styleId="Heading6Char">
    <w:name w:val="Heading 6 Char"/>
    <w:basedOn w:val="DefaultParagraphFont"/>
    <w:link w:val="Heading6"/>
    <w:uiPriority w:val="99"/>
    <w:semiHidden/>
    <w:rsid w:val="00C87DCF"/>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C87DCF"/>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C87DCF"/>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C87DCF"/>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C87DCF"/>
    <w:rPr>
      <w:color w:val="0072BC" w:themeColor="hyperlink"/>
      <w:u w:val="single"/>
    </w:rPr>
  </w:style>
  <w:style w:type="character" w:styleId="IntenseEmphasis">
    <w:name w:val="Intense Emphasis"/>
    <w:uiPriority w:val="99"/>
    <w:semiHidden/>
    <w:qFormat/>
    <w:rsid w:val="00C87DCF"/>
    <w:rPr>
      <w:b/>
      <w:bCs/>
    </w:rPr>
  </w:style>
  <w:style w:type="paragraph" w:styleId="IntenseQuote">
    <w:name w:val="Intense Quote"/>
    <w:basedOn w:val="Normal"/>
    <w:next w:val="Normal"/>
    <w:link w:val="IntenseQuoteChar"/>
    <w:uiPriority w:val="99"/>
    <w:semiHidden/>
    <w:qFormat/>
    <w:rsid w:val="00C87DCF"/>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C87DCF"/>
    <w:rPr>
      <w:rFonts w:eastAsiaTheme="minorEastAsia"/>
      <w:b/>
      <w:bCs/>
      <w:i/>
      <w:iCs/>
      <w:lang w:bidi="en-US"/>
    </w:rPr>
  </w:style>
  <w:style w:type="character" w:styleId="IntenseReference">
    <w:name w:val="Intense Reference"/>
    <w:uiPriority w:val="99"/>
    <w:semiHidden/>
    <w:qFormat/>
    <w:rsid w:val="00C87DCF"/>
    <w:rPr>
      <w:smallCaps/>
      <w:spacing w:val="5"/>
      <w:u w:val="single"/>
    </w:rPr>
  </w:style>
  <w:style w:type="paragraph" w:styleId="ListParagraph">
    <w:name w:val="List Paragraph"/>
    <w:basedOn w:val="Normal"/>
    <w:uiPriority w:val="99"/>
    <w:semiHidden/>
    <w:qFormat/>
    <w:rsid w:val="00C87DCF"/>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C87DCF"/>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C87DCF"/>
    <w:rPr>
      <w:rFonts w:eastAsiaTheme="minorEastAsia"/>
      <w:i/>
      <w:iCs/>
      <w:lang w:bidi="en-US"/>
    </w:rPr>
  </w:style>
  <w:style w:type="character" w:styleId="SubtleReference">
    <w:name w:val="Subtle Reference"/>
    <w:uiPriority w:val="99"/>
    <w:semiHidden/>
    <w:qFormat/>
    <w:rsid w:val="00C87DCF"/>
    <w:rPr>
      <w:smallCaps/>
    </w:rPr>
  </w:style>
  <w:style w:type="table" w:styleId="TableGrid">
    <w:name w:val="Table Grid"/>
    <w:basedOn w:val="TableNormal"/>
    <w:uiPriority w:val="59"/>
    <w:semiHidden/>
    <w:rsid w:val="00C87DCF"/>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C87DCF"/>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C87DCF"/>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C87DCF"/>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C87DCF"/>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C87DCF"/>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C87DCF"/>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C87DCF"/>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character" w:customStyle="1" w:styleId="SubtitleChar">
    <w:name w:val="Subtitle Char"/>
    <w:basedOn w:val="DefaultParagraphFont"/>
    <w:link w:val="Subtitle"/>
    <w:uiPriority w:val="99"/>
    <w:semiHidden/>
    <w:rsid w:val="00C87DCF"/>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2D2C99"/>
    <w:pPr>
      <w:numPr>
        <w:numId w:val="9"/>
      </w:numPr>
    </w:pPr>
  </w:style>
  <w:style w:type="numbering" w:styleId="1ai">
    <w:name w:val="Outline List 1"/>
    <w:basedOn w:val="NoList"/>
    <w:uiPriority w:val="99"/>
    <w:semiHidden/>
    <w:unhideWhenUsed/>
    <w:rsid w:val="002D2C99"/>
    <w:pPr>
      <w:numPr>
        <w:numId w:val="10"/>
      </w:numPr>
    </w:pPr>
  </w:style>
  <w:style w:type="paragraph" w:customStyle="1" w:styleId="ECHRPara">
    <w:name w:val="ECHR_Para"/>
    <w:aliases w:val="Ju_Para"/>
    <w:basedOn w:val="Normal"/>
    <w:link w:val="ECHRParaChar"/>
    <w:qFormat/>
    <w:rsid w:val="00C87DCF"/>
    <w:pPr>
      <w:ind w:firstLine="284"/>
    </w:pPr>
  </w:style>
  <w:style w:type="numbering" w:styleId="ArticleSection">
    <w:name w:val="Outline List 3"/>
    <w:basedOn w:val="NoList"/>
    <w:uiPriority w:val="99"/>
    <w:semiHidden/>
    <w:unhideWhenUsed/>
    <w:rsid w:val="002D2C99"/>
    <w:pPr>
      <w:numPr>
        <w:numId w:val="11"/>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ibliography">
    <w:name w:val="Bibliography"/>
    <w:basedOn w:val="Normal"/>
    <w:next w:val="Normal"/>
    <w:uiPriority w:val="99"/>
    <w:semiHidden/>
    <w:rsid w:val="002D2C99"/>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C87DCF"/>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lockText">
    <w:name w:val="Block Text"/>
    <w:basedOn w:val="Normal"/>
    <w:uiPriority w:val="99"/>
    <w:semiHidden/>
    <w:rsid w:val="002D2C99"/>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paragraph" w:styleId="BodyText">
    <w:name w:val="Body Text"/>
    <w:basedOn w:val="Normal"/>
    <w:link w:val="BodyTextChar"/>
    <w:uiPriority w:val="99"/>
    <w:semiHidden/>
    <w:rsid w:val="002D2C99"/>
    <w:pPr>
      <w:spacing w:after="120"/>
    </w:p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Char">
    <w:name w:val="Body Text Char"/>
    <w:basedOn w:val="DefaultParagraphFont"/>
    <w:link w:val="BodyText"/>
    <w:uiPriority w:val="99"/>
    <w:semiHidden/>
    <w:rsid w:val="002D2C99"/>
    <w:rPr>
      <w:rFonts w:eastAsiaTheme="minorEastAsia"/>
      <w:sz w:val="24"/>
    </w:rPr>
  </w:style>
  <w:style w:type="paragraph" w:styleId="BodyText2">
    <w:name w:val="Body Text 2"/>
    <w:basedOn w:val="Normal"/>
    <w:link w:val="BodyText2Char"/>
    <w:uiPriority w:val="99"/>
    <w:semiHidden/>
    <w:rsid w:val="002D2C99"/>
    <w:pPr>
      <w:spacing w:after="120" w:line="480" w:lineRule="auto"/>
    </w:p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link w:val="JuJudgesChar"/>
    <w:uiPriority w:val="11"/>
    <w:qFormat/>
    <w:rsid w:val="00C87DCF"/>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C87DCF"/>
    <w:pPr>
      <w:ind w:firstLine="284"/>
    </w:pPr>
    <w:rPr>
      <w:b/>
    </w:rPr>
  </w:style>
  <w:style w:type="character" w:styleId="PageNumber">
    <w:name w:val="page number"/>
    <w:uiPriority w:val="99"/>
    <w:semiHidden/>
    <w:rsid w:val="002D2C99"/>
    <w:rPr>
      <w:rFonts w:ascii="Times New Roman" w:hAnsi="Times New Roman" w:cs="Times New Roman"/>
      <w:sz w:val="18"/>
    </w:rPr>
  </w:style>
  <w:style w:type="paragraph" w:styleId="ListBullet2">
    <w:name w:val="List Bullet 2"/>
    <w:basedOn w:val="Normal"/>
    <w:uiPriority w:val="99"/>
    <w:semiHidden/>
    <w:rsid w:val="002D2C99"/>
    <w:pPr>
      <w:numPr>
        <w:numId w:val="8"/>
      </w:numPr>
      <w:contextualSpacing/>
    </w:pPr>
  </w:style>
  <w:style w:type="character" w:customStyle="1" w:styleId="BodyText2Char">
    <w:name w:val="Body Text 2 Char"/>
    <w:basedOn w:val="DefaultParagraphFont"/>
    <w:link w:val="BodyText2"/>
    <w:uiPriority w:val="99"/>
    <w:semiHidden/>
    <w:rsid w:val="002D2C99"/>
    <w:rPr>
      <w:rFonts w:eastAsiaTheme="minorEastAsia"/>
      <w:sz w:val="24"/>
    </w:rPr>
  </w:style>
  <w:style w:type="paragraph" w:styleId="BodyText3">
    <w:name w:val="Body Text 3"/>
    <w:basedOn w:val="Normal"/>
    <w:link w:val="BodyText3Char"/>
    <w:uiPriority w:val="99"/>
    <w:semiHidden/>
    <w:rsid w:val="002D2C99"/>
    <w:pPr>
      <w:spacing w:after="120"/>
    </w:pPr>
    <w:rPr>
      <w:sz w:val="16"/>
      <w:szCs w:val="16"/>
    </w:rPr>
  </w:style>
  <w:style w:type="character" w:customStyle="1" w:styleId="BodyText3Char">
    <w:name w:val="Body Text 3 Char"/>
    <w:basedOn w:val="DefaultParagraphFont"/>
    <w:link w:val="BodyText3"/>
    <w:uiPriority w:val="99"/>
    <w:semiHidden/>
    <w:rsid w:val="002D2C99"/>
    <w:rPr>
      <w:rFonts w:eastAsiaTheme="minorEastAsia"/>
      <w:sz w:val="16"/>
      <w:szCs w:val="16"/>
    </w:rPr>
  </w:style>
  <w:style w:type="paragraph" w:styleId="BodyTextFirstIndent">
    <w:name w:val="Body Text First Indent"/>
    <w:basedOn w:val="BodyText"/>
    <w:link w:val="BodyTextFirstIndentChar"/>
    <w:uiPriority w:val="99"/>
    <w:semiHidden/>
    <w:rsid w:val="002D2C99"/>
    <w:pPr>
      <w:spacing w:after="0"/>
      <w:ind w:firstLine="360"/>
    </w:pPr>
  </w:style>
  <w:style w:type="character" w:customStyle="1" w:styleId="BodyTextFirstIndentChar">
    <w:name w:val="Body Text First Indent Char"/>
    <w:basedOn w:val="BodyTextChar"/>
    <w:link w:val="BodyTextFirstIndent"/>
    <w:uiPriority w:val="99"/>
    <w:semiHidden/>
    <w:rsid w:val="002D2C99"/>
    <w:rPr>
      <w:rFonts w:eastAsiaTheme="minorEastAsia"/>
      <w:sz w:val="24"/>
    </w:rPr>
  </w:style>
  <w:style w:type="paragraph" w:styleId="BodyTextIndent">
    <w:name w:val="Body Text Indent"/>
    <w:basedOn w:val="Normal"/>
    <w:link w:val="BodyTextIndentChar"/>
    <w:uiPriority w:val="99"/>
    <w:semiHidden/>
    <w:rsid w:val="002D2C99"/>
    <w:pPr>
      <w:spacing w:after="120"/>
      <w:ind w:left="283"/>
    </w:pPr>
  </w:style>
  <w:style w:type="character" w:customStyle="1" w:styleId="BodyTextIndentChar">
    <w:name w:val="Body Text Indent Char"/>
    <w:basedOn w:val="DefaultParagraphFont"/>
    <w:link w:val="BodyTextIndent"/>
    <w:uiPriority w:val="99"/>
    <w:semiHidden/>
    <w:rsid w:val="002D2C99"/>
    <w:rPr>
      <w:rFonts w:eastAsiaTheme="minorEastAsia"/>
      <w:sz w:val="24"/>
    </w:rPr>
  </w:style>
  <w:style w:type="paragraph" w:styleId="BodyTextFirstIndent2">
    <w:name w:val="Body Text First Indent 2"/>
    <w:basedOn w:val="BodyTextIndent"/>
    <w:link w:val="BodyTextFirstIndent2Char"/>
    <w:uiPriority w:val="99"/>
    <w:semiHidden/>
    <w:rsid w:val="002D2C99"/>
    <w:pPr>
      <w:spacing w:after="0"/>
      <w:ind w:left="360" w:firstLine="360"/>
    </w:pPr>
  </w:style>
  <w:style w:type="character" w:customStyle="1" w:styleId="BodyTextFirstIndent2Char">
    <w:name w:val="Body Text First Indent 2 Char"/>
    <w:basedOn w:val="BodyTextIndentChar"/>
    <w:link w:val="BodyTextFirstIndent2"/>
    <w:uiPriority w:val="99"/>
    <w:semiHidden/>
    <w:rsid w:val="002D2C99"/>
    <w:rPr>
      <w:rFonts w:eastAsiaTheme="minorEastAsia"/>
      <w:sz w:val="24"/>
    </w:rPr>
  </w:style>
  <w:style w:type="paragraph" w:styleId="BodyTextIndent2">
    <w:name w:val="Body Text Indent 2"/>
    <w:basedOn w:val="Normal"/>
    <w:link w:val="BodyTextIndent2Char"/>
    <w:uiPriority w:val="99"/>
    <w:semiHidden/>
    <w:rsid w:val="002D2C99"/>
    <w:pPr>
      <w:spacing w:after="120" w:line="480" w:lineRule="auto"/>
      <w:ind w:left="283"/>
    </w:pPr>
  </w:style>
  <w:style w:type="character" w:customStyle="1" w:styleId="BodyTextIndent2Char">
    <w:name w:val="Body Text Indent 2 Char"/>
    <w:basedOn w:val="DefaultParagraphFont"/>
    <w:link w:val="BodyTextIndent2"/>
    <w:uiPriority w:val="99"/>
    <w:semiHidden/>
    <w:rsid w:val="002D2C99"/>
    <w:rPr>
      <w:rFonts w:eastAsiaTheme="minorEastAsia"/>
      <w:sz w:val="24"/>
    </w:rPr>
  </w:style>
  <w:style w:type="paragraph" w:styleId="BodyTextIndent3">
    <w:name w:val="Body Text Indent 3"/>
    <w:basedOn w:val="Normal"/>
    <w:link w:val="BodyTextIndent3Char"/>
    <w:uiPriority w:val="99"/>
    <w:semiHidden/>
    <w:rsid w:val="002D2C99"/>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D2C99"/>
    <w:rPr>
      <w:rFonts w:eastAsiaTheme="minorEastAsia"/>
      <w:sz w:val="16"/>
      <w:szCs w:val="16"/>
    </w:rPr>
  </w:style>
  <w:style w:type="paragraph" w:styleId="Caption">
    <w:name w:val="caption"/>
    <w:basedOn w:val="Normal"/>
    <w:next w:val="Normal"/>
    <w:uiPriority w:val="99"/>
    <w:semiHidden/>
    <w:qFormat/>
    <w:rsid w:val="002D2C99"/>
    <w:pPr>
      <w:spacing w:after="200"/>
    </w:pPr>
    <w:rPr>
      <w:b/>
      <w:bCs/>
      <w:color w:val="0072BC" w:themeColor="accent1"/>
      <w:sz w:val="18"/>
      <w:szCs w:val="18"/>
    </w:rPr>
  </w:style>
  <w:style w:type="paragraph" w:styleId="Closing">
    <w:name w:val="Closing"/>
    <w:basedOn w:val="Normal"/>
    <w:link w:val="ClosingChar"/>
    <w:uiPriority w:val="99"/>
    <w:semiHidden/>
    <w:rsid w:val="002D2C99"/>
    <w:pPr>
      <w:ind w:left="4252"/>
    </w:pPr>
  </w:style>
  <w:style w:type="character" w:customStyle="1" w:styleId="ClosingChar">
    <w:name w:val="Closing Char"/>
    <w:basedOn w:val="DefaultParagraphFont"/>
    <w:link w:val="Closing"/>
    <w:uiPriority w:val="99"/>
    <w:semiHidden/>
    <w:rsid w:val="002D2C99"/>
    <w:rPr>
      <w:rFonts w:eastAsiaTheme="minorEastAsia"/>
      <w:sz w:val="24"/>
    </w:rPr>
  </w:style>
  <w:style w:type="table" w:styleId="ColorfulGrid">
    <w:name w:val="Colorful Grid"/>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2D2C99"/>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2D2C99"/>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2D2C99"/>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2D2C99"/>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2D2C99"/>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2D2C99"/>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2D2C99"/>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2D2C99"/>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2D2C99"/>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2D2C99"/>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2D2C99"/>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2D2C99"/>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2D2C99"/>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2D2C99"/>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semiHidden/>
    <w:rsid w:val="002D2C99"/>
    <w:rPr>
      <w:sz w:val="16"/>
      <w:szCs w:val="16"/>
    </w:rPr>
  </w:style>
  <w:style w:type="paragraph" w:styleId="CommentText">
    <w:name w:val="annotation text"/>
    <w:basedOn w:val="Normal"/>
    <w:link w:val="CommentTextChar"/>
    <w:semiHidden/>
    <w:rsid w:val="002D2C99"/>
    <w:rPr>
      <w:sz w:val="20"/>
      <w:szCs w:val="20"/>
    </w:rPr>
  </w:style>
  <w:style w:type="character" w:customStyle="1" w:styleId="CommentTextChar">
    <w:name w:val="Comment Text Char"/>
    <w:basedOn w:val="DefaultParagraphFont"/>
    <w:link w:val="CommentText"/>
    <w:semiHidden/>
    <w:rsid w:val="002D2C99"/>
    <w:rPr>
      <w:rFonts w:eastAsiaTheme="minorEastAsia"/>
      <w:sz w:val="20"/>
      <w:szCs w:val="20"/>
    </w:rPr>
  </w:style>
  <w:style w:type="paragraph" w:styleId="CommentSubject">
    <w:name w:val="annotation subject"/>
    <w:basedOn w:val="CommentText"/>
    <w:next w:val="CommentText"/>
    <w:link w:val="CommentSubjectChar"/>
    <w:uiPriority w:val="99"/>
    <w:semiHidden/>
    <w:rsid w:val="002D2C99"/>
    <w:rPr>
      <w:b/>
      <w:bCs/>
    </w:rPr>
  </w:style>
  <w:style w:type="character" w:customStyle="1" w:styleId="CommentSubjectChar">
    <w:name w:val="Comment Subject Char"/>
    <w:basedOn w:val="CommentTextChar"/>
    <w:link w:val="CommentSubject"/>
    <w:uiPriority w:val="99"/>
    <w:semiHidden/>
    <w:rsid w:val="002D2C99"/>
    <w:rPr>
      <w:rFonts w:eastAsiaTheme="minorEastAsia"/>
      <w:b/>
      <w:bCs/>
      <w:sz w:val="20"/>
      <w:szCs w:val="20"/>
    </w:rPr>
  </w:style>
  <w:style w:type="table" w:styleId="DarkList">
    <w:name w:val="Dark List"/>
    <w:basedOn w:val="TableNormal"/>
    <w:uiPriority w:val="99"/>
    <w:semiHidden/>
    <w:rsid w:val="002D2C99"/>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2D2C99"/>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2D2C99"/>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2D2C99"/>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2D2C99"/>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2D2C99"/>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2D2C99"/>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2D2C99"/>
  </w:style>
  <w:style w:type="character" w:customStyle="1" w:styleId="DateChar">
    <w:name w:val="Date Char"/>
    <w:basedOn w:val="DefaultParagraphFont"/>
    <w:link w:val="Date"/>
    <w:uiPriority w:val="99"/>
    <w:semiHidden/>
    <w:rsid w:val="002D2C99"/>
    <w:rPr>
      <w:rFonts w:eastAsiaTheme="minorEastAsia"/>
      <w:sz w:val="24"/>
    </w:rPr>
  </w:style>
  <w:style w:type="paragraph" w:styleId="DocumentMap">
    <w:name w:val="Document Map"/>
    <w:basedOn w:val="Normal"/>
    <w:link w:val="DocumentMapChar"/>
    <w:uiPriority w:val="99"/>
    <w:semiHidden/>
    <w:rsid w:val="002D2C99"/>
    <w:rPr>
      <w:rFonts w:ascii="Tahoma" w:hAnsi="Tahoma" w:cs="Tahoma"/>
      <w:sz w:val="16"/>
      <w:szCs w:val="16"/>
    </w:rPr>
  </w:style>
  <w:style w:type="character" w:customStyle="1" w:styleId="DocumentMapChar">
    <w:name w:val="Document Map Char"/>
    <w:basedOn w:val="DefaultParagraphFont"/>
    <w:link w:val="DocumentMap"/>
    <w:uiPriority w:val="99"/>
    <w:semiHidden/>
    <w:rsid w:val="002D2C99"/>
    <w:rPr>
      <w:rFonts w:ascii="Tahoma" w:eastAsiaTheme="minorEastAsia" w:hAnsi="Tahoma" w:cs="Tahoma"/>
      <w:sz w:val="16"/>
      <w:szCs w:val="16"/>
    </w:rPr>
  </w:style>
  <w:style w:type="paragraph" w:styleId="E-mailSignature">
    <w:name w:val="E-mail Signature"/>
    <w:basedOn w:val="Normal"/>
    <w:link w:val="E-mailSignatureChar"/>
    <w:uiPriority w:val="99"/>
    <w:semiHidden/>
    <w:rsid w:val="002D2C99"/>
  </w:style>
  <w:style w:type="character" w:customStyle="1" w:styleId="E-mailSignatureChar">
    <w:name w:val="E-mail Signature Char"/>
    <w:basedOn w:val="DefaultParagraphFont"/>
    <w:link w:val="E-mailSignature"/>
    <w:uiPriority w:val="99"/>
    <w:semiHidden/>
    <w:rsid w:val="002D2C99"/>
    <w:rPr>
      <w:rFonts w:eastAsiaTheme="minorEastAsia"/>
      <w:sz w:val="24"/>
    </w:rPr>
  </w:style>
  <w:style w:type="character" w:styleId="EndnoteReference">
    <w:name w:val="endnote reference"/>
    <w:basedOn w:val="DefaultParagraphFont"/>
    <w:uiPriority w:val="99"/>
    <w:semiHidden/>
    <w:rsid w:val="00C87DCF"/>
    <w:rPr>
      <w:vertAlign w:val="superscript"/>
    </w:rPr>
  </w:style>
  <w:style w:type="paragraph" w:styleId="EndnoteText">
    <w:name w:val="endnote text"/>
    <w:basedOn w:val="Normal"/>
    <w:link w:val="EndnoteTextChar"/>
    <w:uiPriority w:val="99"/>
    <w:semiHidden/>
    <w:rsid w:val="00C87DCF"/>
    <w:rPr>
      <w:sz w:val="20"/>
      <w:szCs w:val="20"/>
    </w:rPr>
  </w:style>
  <w:style w:type="character" w:customStyle="1" w:styleId="EndnoteTextChar">
    <w:name w:val="Endnote Text Char"/>
    <w:basedOn w:val="DefaultParagraphFont"/>
    <w:link w:val="EndnoteText"/>
    <w:uiPriority w:val="99"/>
    <w:semiHidden/>
    <w:rsid w:val="00C87DCF"/>
    <w:rPr>
      <w:rFonts w:eastAsiaTheme="minorEastAsia"/>
      <w:sz w:val="20"/>
      <w:szCs w:val="20"/>
      <w:lang w:val="en-GB"/>
    </w:rPr>
  </w:style>
  <w:style w:type="paragraph" w:styleId="EnvelopeAddress">
    <w:name w:val="envelope address"/>
    <w:basedOn w:val="Normal"/>
    <w:uiPriority w:val="99"/>
    <w:semiHidden/>
    <w:rsid w:val="002D2C99"/>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2D2C99"/>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2D2C99"/>
    <w:rPr>
      <w:color w:val="7030A0" w:themeColor="followedHyperlink"/>
      <w:u w:val="single"/>
    </w:rPr>
  </w:style>
  <w:style w:type="character" w:styleId="HTMLAcronym">
    <w:name w:val="HTML Acronym"/>
    <w:basedOn w:val="DefaultParagraphFont"/>
    <w:uiPriority w:val="99"/>
    <w:semiHidden/>
    <w:rsid w:val="002D2C99"/>
  </w:style>
  <w:style w:type="paragraph" w:styleId="HTMLAddress">
    <w:name w:val="HTML Address"/>
    <w:basedOn w:val="Normal"/>
    <w:link w:val="HTMLAddressChar"/>
    <w:uiPriority w:val="99"/>
    <w:semiHidden/>
    <w:rsid w:val="002D2C99"/>
    <w:rPr>
      <w:i/>
      <w:iCs/>
    </w:rPr>
  </w:style>
  <w:style w:type="character" w:customStyle="1" w:styleId="HTMLAddressChar">
    <w:name w:val="HTML Address Char"/>
    <w:basedOn w:val="DefaultParagraphFont"/>
    <w:link w:val="HTMLAddress"/>
    <w:uiPriority w:val="99"/>
    <w:semiHidden/>
    <w:rsid w:val="002D2C99"/>
    <w:rPr>
      <w:rFonts w:eastAsiaTheme="minorEastAsia"/>
      <w:i/>
      <w:iCs/>
      <w:sz w:val="24"/>
    </w:rPr>
  </w:style>
  <w:style w:type="character" w:styleId="HTMLCite">
    <w:name w:val="HTML Cite"/>
    <w:basedOn w:val="DefaultParagraphFont"/>
    <w:uiPriority w:val="99"/>
    <w:semiHidden/>
    <w:rsid w:val="002D2C99"/>
    <w:rPr>
      <w:i/>
      <w:iCs/>
    </w:rPr>
  </w:style>
  <w:style w:type="character" w:styleId="HTMLCode">
    <w:name w:val="HTML Code"/>
    <w:basedOn w:val="DefaultParagraphFont"/>
    <w:uiPriority w:val="99"/>
    <w:semiHidden/>
    <w:rsid w:val="002D2C99"/>
    <w:rPr>
      <w:rFonts w:ascii="Consolas" w:hAnsi="Consolas" w:cs="Consolas"/>
      <w:sz w:val="20"/>
      <w:szCs w:val="20"/>
    </w:rPr>
  </w:style>
  <w:style w:type="character" w:styleId="HTMLDefinition">
    <w:name w:val="HTML Definition"/>
    <w:basedOn w:val="DefaultParagraphFont"/>
    <w:uiPriority w:val="99"/>
    <w:semiHidden/>
    <w:rsid w:val="002D2C99"/>
    <w:rPr>
      <w:i/>
      <w:iCs/>
    </w:rPr>
  </w:style>
  <w:style w:type="character" w:styleId="HTMLKeyboard">
    <w:name w:val="HTML Keyboard"/>
    <w:basedOn w:val="DefaultParagraphFont"/>
    <w:uiPriority w:val="99"/>
    <w:semiHidden/>
    <w:rsid w:val="002D2C99"/>
    <w:rPr>
      <w:rFonts w:ascii="Consolas" w:hAnsi="Consolas" w:cs="Consolas"/>
      <w:sz w:val="20"/>
      <w:szCs w:val="20"/>
    </w:rPr>
  </w:style>
  <w:style w:type="paragraph" w:styleId="HTMLPreformatted">
    <w:name w:val="HTML Preformatted"/>
    <w:basedOn w:val="Normal"/>
    <w:link w:val="HTMLPreformattedChar"/>
    <w:uiPriority w:val="99"/>
    <w:semiHidden/>
    <w:rsid w:val="002D2C99"/>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2D2C99"/>
    <w:rPr>
      <w:rFonts w:ascii="Consolas" w:eastAsiaTheme="minorEastAsia" w:hAnsi="Consolas" w:cs="Consolas"/>
      <w:sz w:val="20"/>
      <w:szCs w:val="20"/>
    </w:rPr>
  </w:style>
  <w:style w:type="character" w:styleId="HTMLSample">
    <w:name w:val="HTML Sample"/>
    <w:basedOn w:val="DefaultParagraphFont"/>
    <w:uiPriority w:val="99"/>
    <w:semiHidden/>
    <w:rsid w:val="002D2C99"/>
    <w:rPr>
      <w:rFonts w:ascii="Consolas" w:hAnsi="Consolas" w:cs="Consolas"/>
      <w:sz w:val="24"/>
      <w:szCs w:val="24"/>
    </w:rPr>
  </w:style>
  <w:style w:type="character" w:styleId="HTMLTypewriter">
    <w:name w:val="HTML Typewriter"/>
    <w:basedOn w:val="DefaultParagraphFont"/>
    <w:uiPriority w:val="99"/>
    <w:semiHidden/>
    <w:rsid w:val="002D2C99"/>
    <w:rPr>
      <w:rFonts w:ascii="Consolas" w:hAnsi="Consolas" w:cs="Consolas"/>
      <w:sz w:val="20"/>
      <w:szCs w:val="20"/>
    </w:rPr>
  </w:style>
  <w:style w:type="character" w:styleId="HTMLVariable">
    <w:name w:val="HTML Variable"/>
    <w:basedOn w:val="DefaultParagraphFont"/>
    <w:uiPriority w:val="99"/>
    <w:semiHidden/>
    <w:rsid w:val="002D2C99"/>
    <w:rPr>
      <w:i/>
      <w:iCs/>
    </w:rPr>
  </w:style>
  <w:style w:type="paragraph" w:styleId="Index1">
    <w:name w:val="index 1"/>
    <w:basedOn w:val="Normal"/>
    <w:next w:val="Normal"/>
    <w:autoRedefine/>
    <w:uiPriority w:val="99"/>
    <w:semiHidden/>
    <w:rsid w:val="002D2C99"/>
    <w:pPr>
      <w:ind w:left="240" w:hanging="240"/>
    </w:pPr>
  </w:style>
  <w:style w:type="paragraph" w:styleId="Index2">
    <w:name w:val="index 2"/>
    <w:basedOn w:val="Normal"/>
    <w:next w:val="Normal"/>
    <w:autoRedefine/>
    <w:uiPriority w:val="99"/>
    <w:semiHidden/>
    <w:rsid w:val="002D2C99"/>
    <w:pPr>
      <w:ind w:left="480" w:hanging="240"/>
    </w:pPr>
  </w:style>
  <w:style w:type="paragraph" w:styleId="Index3">
    <w:name w:val="index 3"/>
    <w:basedOn w:val="Normal"/>
    <w:next w:val="Normal"/>
    <w:autoRedefine/>
    <w:uiPriority w:val="99"/>
    <w:semiHidden/>
    <w:rsid w:val="002D2C99"/>
    <w:pPr>
      <w:ind w:left="720" w:hanging="240"/>
    </w:pPr>
  </w:style>
  <w:style w:type="paragraph" w:styleId="Index4">
    <w:name w:val="index 4"/>
    <w:basedOn w:val="Normal"/>
    <w:next w:val="Normal"/>
    <w:autoRedefine/>
    <w:uiPriority w:val="99"/>
    <w:semiHidden/>
    <w:rsid w:val="002D2C99"/>
    <w:pPr>
      <w:ind w:left="960" w:hanging="240"/>
    </w:pPr>
  </w:style>
  <w:style w:type="paragraph" w:styleId="Index5">
    <w:name w:val="index 5"/>
    <w:basedOn w:val="Normal"/>
    <w:next w:val="Normal"/>
    <w:autoRedefine/>
    <w:uiPriority w:val="99"/>
    <w:semiHidden/>
    <w:rsid w:val="002D2C99"/>
    <w:pPr>
      <w:ind w:left="1200" w:hanging="240"/>
    </w:pPr>
  </w:style>
  <w:style w:type="paragraph" w:styleId="Index6">
    <w:name w:val="index 6"/>
    <w:basedOn w:val="Normal"/>
    <w:next w:val="Normal"/>
    <w:autoRedefine/>
    <w:uiPriority w:val="99"/>
    <w:semiHidden/>
    <w:rsid w:val="002D2C99"/>
    <w:pPr>
      <w:ind w:left="1440" w:hanging="240"/>
    </w:pPr>
  </w:style>
  <w:style w:type="paragraph" w:styleId="Index7">
    <w:name w:val="index 7"/>
    <w:basedOn w:val="Normal"/>
    <w:next w:val="Normal"/>
    <w:autoRedefine/>
    <w:uiPriority w:val="99"/>
    <w:semiHidden/>
    <w:rsid w:val="002D2C99"/>
    <w:pPr>
      <w:ind w:left="1680" w:hanging="240"/>
    </w:pPr>
  </w:style>
  <w:style w:type="paragraph" w:styleId="Index8">
    <w:name w:val="index 8"/>
    <w:basedOn w:val="Normal"/>
    <w:next w:val="Normal"/>
    <w:autoRedefine/>
    <w:uiPriority w:val="99"/>
    <w:semiHidden/>
    <w:rsid w:val="002D2C99"/>
    <w:pPr>
      <w:ind w:left="1920" w:hanging="240"/>
    </w:pPr>
  </w:style>
  <w:style w:type="paragraph" w:styleId="Index9">
    <w:name w:val="index 9"/>
    <w:basedOn w:val="Normal"/>
    <w:next w:val="Normal"/>
    <w:autoRedefine/>
    <w:uiPriority w:val="99"/>
    <w:semiHidden/>
    <w:rsid w:val="002D2C99"/>
    <w:pPr>
      <w:ind w:left="2160" w:hanging="240"/>
    </w:pPr>
  </w:style>
  <w:style w:type="paragraph" w:styleId="IndexHeading">
    <w:name w:val="index heading"/>
    <w:basedOn w:val="Normal"/>
    <w:next w:val="Index1"/>
    <w:uiPriority w:val="99"/>
    <w:semiHidden/>
    <w:rsid w:val="002D2C99"/>
    <w:rPr>
      <w:rFonts w:asciiTheme="majorHAnsi" w:eastAsiaTheme="majorEastAsia" w:hAnsiTheme="majorHAnsi" w:cstheme="majorBidi"/>
      <w:b/>
      <w:bCs/>
    </w:rPr>
  </w:style>
  <w:style w:type="table" w:styleId="LightGrid">
    <w:name w:val="Light Grid"/>
    <w:basedOn w:val="TableNormal"/>
    <w:uiPriority w:val="99"/>
    <w:semiHidden/>
    <w:rsid w:val="002D2C9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2D2C9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2D2C9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2D2C9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2D2C9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2D2C9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2D2C9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2D2C9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2D2C9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2D2C9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2D2C9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2D2C9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2D2C9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2D2C9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2D2C9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2D2C99"/>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2D2C99"/>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2D2C99"/>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2D2C99"/>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2D2C99"/>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2D2C99"/>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2D2C99"/>
  </w:style>
  <w:style w:type="paragraph" w:styleId="List">
    <w:name w:val="List"/>
    <w:basedOn w:val="Normal"/>
    <w:uiPriority w:val="99"/>
    <w:semiHidden/>
    <w:rsid w:val="002D2C99"/>
    <w:pPr>
      <w:ind w:left="283" w:hanging="283"/>
      <w:contextualSpacing/>
    </w:pPr>
  </w:style>
  <w:style w:type="paragraph" w:styleId="List2">
    <w:name w:val="List 2"/>
    <w:basedOn w:val="Normal"/>
    <w:uiPriority w:val="99"/>
    <w:semiHidden/>
    <w:rsid w:val="002D2C99"/>
    <w:pPr>
      <w:ind w:left="566" w:hanging="283"/>
      <w:contextualSpacing/>
    </w:pPr>
  </w:style>
  <w:style w:type="paragraph" w:styleId="List3">
    <w:name w:val="List 3"/>
    <w:basedOn w:val="Normal"/>
    <w:uiPriority w:val="99"/>
    <w:semiHidden/>
    <w:rsid w:val="002D2C99"/>
    <w:pPr>
      <w:ind w:left="849" w:hanging="283"/>
      <w:contextualSpacing/>
    </w:pPr>
  </w:style>
  <w:style w:type="paragraph" w:styleId="List4">
    <w:name w:val="List 4"/>
    <w:basedOn w:val="Normal"/>
    <w:uiPriority w:val="99"/>
    <w:semiHidden/>
    <w:rsid w:val="002D2C99"/>
    <w:pPr>
      <w:ind w:left="1132" w:hanging="283"/>
      <w:contextualSpacing/>
    </w:pPr>
  </w:style>
  <w:style w:type="paragraph" w:styleId="List5">
    <w:name w:val="List 5"/>
    <w:basedOn w:val="Normal"/>
    <w:uiPriority w:val="99"/>
    <w:semiHidden/>
    <w:rsid w:val="002D2C99"/>
    <w:pPr>
      <w:ind w:left="1415" w:hanging="283"/>
      <w:contextualSpacing/>
    </w:pPr>
  </w:style>
  <w:style w:type="paragraph" w:styleId="ListBullet">
    <w:name w:val="List Bullet"/>
    <w:basedOn w:val="Normal"/>
    <w:uiPriority w:val="99"/>
    <w:semiHidden/>
    <w:rsid w:val="002D2C99"/>
    <w:pPr>
      <w:numPr>
        <w:numId w:val="12"/>
      </w:numPr>
      <w:contextualSpacing/>
    </w:pPr>
  </w:style>
  <w:style w:type="paragraph" w:styleId="ListBullet3">
    <w:name w:val="List Bullet 3"/>
    <w:basedOn w:val="Normal"/>
    <w:uiPriority w:val="99"/>
    <w:semiHidden/>
    <w:rsid w:val="002D2C99"/>
    <w:pPr>
      <w:numPr>
        <w:numId w:val="13"/>
      </w:numPr>
      <w:contextualSpacing/>
    </w:pPr>
  </w:style>
  <w:style w:type="paragraph" w:styleId="ListBullet4">
    <w:name w:val="List Bullet 4"/>
    <w:basedOn w:val="Normal"/>
    <w:uiPriority w:val="99"/>
    <w:semiHidden/>
    <w:rsid w:val="002D2C99"/>
    <w:pPr>
      <w:numPr>
        <w:numId w:val="14"/>
      </w:numPr>
      <w:contextualSpacing/>
    </w:pPr>
  </w:style>
  <w:style w:type="paragraph" w:styleId="ListBullet5">
    <w:name w:val="List Bullet 5"/>
    <w:basedOn w:val="Normal"/>
    <w:uiPriority w:val="99"/>
    <w:semiHidden/>
    <w:rsid w:val="002D2C99"/>
    <w:pPr>
      <w:numPr>
        <w:numId w:val="15"/>
      </w:numPr>
      <w:contextualSpacing/>
    </w:pPr>
  </w:style>
  <w:style w:type="paragraph" w:styleId="ListContinue">
    <w:name w:val="List Continue"/>
    <w:basedOn w:val="Normal"/>
    <w:uiPriority w:val="99"/>
    <w:semiHidden/>
    <w:rsid w:val="002D2C99"/>
    <w:pPr>
      <w:spacing w:after="120"/>
      <w:ind w:left="283"/>
      <w:contextualSpacing/>
    </w:pPr>
  </w:style>
  <w:style w:type="paragraph" w:styleId="ListContinue2">
    <w:name w:val="List Continue 2"/>
    <w:basedOn w:val="Normal"/>
    <w:uiPriority w:val="99"/>
    <w:semiHidden/>
    <w:rsid w:val="002D2C99"/>
    <w:pPr>
      <w:spacing w:after="120"/>
      <w:ind w:left="566"/>
      <w:contextualSpacing/>
    </w:pPr>
  </w:style>
  <w:style w:type="paragraph" w:styleId="ListContinue3">
    <w:name w:val="List Continue 3"/>
    <w:basedOn w:val="Normal"/>
    <w:uiPriority w:val="99"/>
    <w:semiHidden/>
    <w:rsid w:val="002D2C99"/>
    <w:pPr>
      <w:spacing w:after="120"/>
      <w:ind w:left="849"/>
      <w:contextualSpacing/>
    </w:pPr>
  </w:style>
  <w:style w:type="paragraph" w:styleId="ListContinue4">
    <w:name w:val="List Continue 4"/>
    <w:basedOn w:val="Normal"/>
    <w:uiPriority w:val="99"/>
    <w:semiHidden/>
    <w:rsid w:val="002D2C99"/>
    <w:pPr>
      <w:spacing w:after="120"/>
      <w:ind w:left="1132"/>
      <w:contextualSpacing/>
    </w:pPr>
  </w:style>
  <w:style w:type="paragraph" w:styleId="ListContinue5">
    <w:name w:val="List Continue 5"/>
    <w:basedOn w:val="Normal"/>
    <w:uiPriority w:val="99"/>
    <w:semiHidden/>
    <w:rsid w:val="002D2C99"/>
    <w:pPr>
      <w:spacing w:after="120"/>
      <w:ind w:left="1415"/>
      <w:contextualSpacing/>
    </w:pPr>
  </w:style>
  <w:style w:type="paragraph" w:styleId="ListNumber">
    <w:name w:val="List Number"/>
    <w:basedOn w:val="Normal"/>
    <w:uiPriority w:val="99"/>
    <w:semiHidden/>
    <w:rsid w:val="002D2C99"/>
    <w:pPr>
      <w:numPr>
        <w:numId w:val="16"/>
      </w:numPr>
      <w:contextualSpacing/>
    </w:pPr>
  </w:style>
  <w:style w:type="paragraph" w:styleId="ListNumber2">
    <w:name w:val="List Number 2"/>
    <w:basedOn w:val="Normal"/>
    <w:uiPriority w:val="99"/>
    <w:semiHidden/>
    <w:rsid w:val="002D2C99"/>
    <w:pPr>
      <w:numPr>
        <w:numId w:val="17"/>
      </w:numPr>
      <w:contextualSpacing/>
    </w:pPr>
  </w:style>
  <w:style w:type="paragraph" w:styleId="ListNumber3">
    <w:name w:val="List Number 3"/>
    <w:basedOn w:val="Normal"/>
    <w:uiPriority w:val="99"/>
    <w:semiHidden/>
    <w:rsid w:val="002D2C99"/>
    <w:pPr>
      <w:numPr>
        <w:numId w:val="18"/>
      </w:numPr>
      <w:contextualSpacing/>
    </w:pPr>
  </w:style>
  <w:style w:type="paragraph" w:styleId="ListNumber4">
    <w:name w:val="List Number 4"/>
    <w:basedOn w:val="Normal"/>
    <w:uiPriority w:val="99"/>
    <w:semiHidden/>
    <w:rsid w:val="002D2C99"/>
    <w:pPr>
      <w:numPr>
        <w:numId w:val="19"/>
      </w:numPr>
      <w:contextualSpacing/>
    </w:pPr>
  </w:style>
  <w:style w:type="paragraph" w:styleId="ListNumber5">
    <w:name w:val="List Number 5"/>
    <w:basedOn w:val="Normal"/>
    <w:uiPriority w:val="99"/>
    <w:semiHidden/>
    <w:rsid w:val="002D2C99"/>
    <w:pPr>
      <w:numPr>
        <w:numId w:val="20"/>
      </w:numPr>
      <w:contextualSpacing/>
    </w:pPr>
  </w:style>
  <w:style w:type="paragraph" w:styleId="MacroText">
    <w:name w:val="macro"/>
    <w:link w:val="MacroTextChar"/>
    <w:uiPriority w:val="99"/>
    <w:semiHidden/>
    <w:rsid w:val="002D2C9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2D2C99"/>
    <w:rPr>
      <w:rFonts w:ascii="Consolas" w:eastAsiaTheme="minorEastAsia" w:hAnsi="Consolas" w:cs="Consolas"/>
      <w:sz w:val="20"/>
      <w:szCs w:val="20"/>
    </w:rPr>
  </w:style>
  <w:style w:type="table" w:styleId="MediumGrid1">
    <w:name w:val="Medium Grid 1"/>
    <w:basedOn w:val="TableNormal"/>
    <w:uiPriority w:val="99"/>
    <w:semiHidden/>
    <w:rsid w:val="002D2C9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2D2C9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2D2C9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2D2C9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2D2C9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2D2C9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2D2C9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2D2C99"/>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2D2C99"/>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2D2C99"/>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2D2C99"/>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2D2C99"/>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2D2C99"/>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2D2C99"/>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2D2C9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2D2C9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2D2C9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2D2C9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2D2C9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2D2C9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2D2C9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2D2C9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2D2C99"/>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2D2C99"/>
    <w:rPr>
      <w:rFonts w:ascii="Times New Roman" w:hAnsi="Times New Roman" w:cs="Times New Roman"/>
      <w:szCs w:val="24"/>
    </w:rPr>
  </w:style>
  <w:style w:type="paragraph" w:styleId="NormalIndent">
    <w:name w:val="Normal Indent"/>
    <w:basedOn w:val="Normal"/>
    <w:uiPriority w:val="99"/>
    <w:semiHidden/>
    <w:rsid w:val="002D2C99"/>
    <w:pPr>
      <w:ind w:left="720"/>
    </w:pPr>
  </w:style>
  <w:style w:type="paragraph" w:styleId="NoteHeading">
    <w:name w:val="Note Heading"/>
    <w:basedOn w:val="Normal"/>
    <w:next w:val="Normal"/>
    <w:link w:val="NoteHeadingChar"/>
    <w:uiPriority w:val="99"/>
    <w:semiHidden/>
    <w:rsid w:val="002D2C99"/>
  </w:style>
  <w:style w:type="character" w:customStyle="1" w:styleId="NoteHeadingChar">
    <w:name w:val="Note Heading Char"/>
    <w:basedOn w:val="DefaultParagraphFont"/>
    <w:link w:val="NoteHeading"/>
    <w:uiPriority w:val="99"/>
    <w:semiHidden/>
    <w:rsid w:val="002D2C99"/>
    <w:rPr>
      <w:rFonts w:eastAsiaTheme="minorEastAsia"/>
      <w:sz w:val="24"/>
    </w:rPr>
  </w:style>
  <w:style w:type="character" w:styleId="PlaceholderText">
    <w:name w:val="Placeholder Text"/>
    <w:basedOn w:val="DefaultParagraphFont"/>
    <w:uiPriority w:val="99"/>
    <w:rsid w:val="00C87DCF"/>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2D2C99"/>
    <w:rPr>
      <w:rFonts w:ascii="Consolas" w:hAnsi="Consolas" w:cs="Consolas"/>
      <w:sz w:val="21"/>
      <w:szCs w:val="21"/>
    </w:rPr>
  </w:style>
  <w:style w:type="character" w:customStyle="1" w:styleId="PlainTextChar">
    <w:name w:val="Plain Text Char"/>
    <w:basedOn w:val="DefaultParagraphFont"/>
    <w:link w:val="PlainText"/>
    <w:uiPriority w:val="99"/>
    <w:semiHidden/>
    <w:rsid w:val="002D2C99"/>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2D2C99"/>
  </w:style>
  <w:style w:type="character" w:customStyle="1" w:styleId="SalutationChar">
    <w:name w:val="Salutation Char"/>
    <w:basedOn w:val="DefaultParagraphFont"/>
    <w:link w:val="Salutation"/>
    <w:uiPriority w:val="99"/>
    <w:semiHidden/>
    <w:rsid w:val="002D2C99"/>
    <w:rPr>
      <w:rFonts w:eastAsiaTheme="minorEastAsia"/>
      <w:sz w:val="24"/>
    </w:rPr>
  </w:style>
  <w:style w:type="paragraph" w:styleId="Signature">
    <w:name w:val="Signature"/>
    <w:basedOn w:val="Normal"/>
    <w:link w:val="SignatureChar"/>
    <w:uiPriority w:val="99"/>
    <w:semiHidden/>
    <w:rsid w:val="002D2C99"/>
    <w:pPr>
      <w:ind w:left="4252"/>
    </w:pPr>
  </w:style>
  <w:style w:type="character" w:customStyle="1" w:styleId="SignatureChar">
    <w:name w:val="Signature Char"/>
    <w:basedOn w:val="DefaultParagraphFont"/>
    <w:link w:val="Signature"/>
    <w:uiPriority w:val="99"/>
    <w:semiHidden/>
    <w:rsid w:val="002D2C99"/>
    <w:rPr>
      <w:rFonts w:eastAsiaTheme="minorEastAsia"/>
      <w:sz w:val="24"/>
    </w:rPr>
  </w:style>
  <w:style w:type="table" w:styleId="Table3Deffects1">
    <w:name w:val="Table 3D effects 1"/>
    <w:basedOn w:val="TableNormal"/>
    <w:uiPriority w:val="99"/>
    <w:semiHidden/>
    <w:unhideWhenUsed/>
    <w:rsid w:val="002D2C99"/>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D2C99"/>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D2C99"/>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D2C99"/>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D2C99"/>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D2C99"/>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D2C99"/>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D2C99"/>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D2C99"/>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D2C99"/>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D2C99"/>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D2C99"/>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D2C99"/>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D2C99"/>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D2C99"/>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D2C99"/>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D2C99"/>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D2C99"/>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D2C99"/>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D2C99"/>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D2C99"/>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D2C99"/>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D2C99"/>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D2C99"/>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D2C99"/>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D2C99"/>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D2C99"/>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D2C99"/>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2D2C99"/>
    <w:pPr>
      <w:ind w:left="240" w:hanging="240"/>
    </w:pPr>
  </w:style>
  <w:style w:type="paragraph" w:styleId="TableofFigures">
    <w:name w:val="table of figures"/>
    <w:basedOn w:val="Normal"/>
    <w:next w:val="Normal"/>
    <w:uiPriority w:val="99"/>
    <w:semiHidden/>
    <w:rsid w:val="002D2C99"/>
  </w:style>
  <w:style w:type="table" w:styleId="TableProfessional">
    <w:name w:val="Table Professional"/>
    <w:basedOn w:val="TableNormal"/>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D2C99"/>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D2C99"/>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D2C99"/>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D2C99"/>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D2C9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D2C99"/>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D2C99"/>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D2C99"/>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C87DCF"/>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C87DCF"/>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2D2C99"/>
    <w:pPr>
      <w:spacing w:after="100"/>
      <w:ind w:left="1680"/>
    </w:pPr>
  </w:style>
  <w:style w:type="paragraph" w:styleId="TOC9">
    <w:name w:val="toc 9"/>
    <w:basedOn w:val="Normal"/>
    <w:next w:val="Normal"/>
    <w:autoRedefine/>
    <w:uiPriority w:val="99"/>
    <w:semiHidden/>
    <w:rsid w:val="002D2C99"/>
    <w:pPr>
      <w:spacing w:after="100"/>
      <w:ind w:left="1920"/>
    </w:pPr>
  </w:style>
  <w:style w:type="paragraph" w:customStyle="1" w:styleId="OpiPara">
    <w:name w:val="Opi_Para"/>
    <w:basedOn w:val="ECHRPara"/>
    <w:uiPriority w:val="46"/>
    <w:qFormat/>
    <w:rsid w:val="00C87DCF"/>
  </w:style>
  <w:style w:type="paragraph" w:customStyle="1" w:styleId="OpiParaSub">
    <w:name w:val="Opi_Para_Sub"/>
    <w:basedOn w:val="JuParaSub"/>
    <w:uiPriority w:val="47"/>
    <w:qFormat/>
    <w:rsid w:val="00C87DCF"/>
  </w:style>
  <w:style w:type="paragraph" w:customStyle="1" w:styleId="ECHRFooter">
    <w:name w:val="ECHR_Footer"/>
    <w:aliases w:val="Footer_ECHR"/>
    <w:basedOn w:val="Footer"/>
    <w:uiPriority w:val="57"/>
    <w:semiHidden/>
    <w:rsid w:val="00C87DCF"/>
    <w:pPr>
      <w:jc w:val="left"/>
    </w:pPr>
    <w:rPr>
      <w:sz w:val="8"/>
    </w:rPr>
  </w:style>
  <w:style w:type="paragraph" w:customStyle="1" w:styleId="ECHRFooterLine">
    <w:name w:val="ECHR_Footer_Line"/>
    <w:aliases w:val="Footer_Line"/>
    <w:basedOn w:val="Normal"/>
    <w:next w:val="ECHRFooter"/>
    <w:uiPriority w:val="57"/>
    <w:semiHidden/>
    <w:rsid w:val="00C87DCF"/>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
    <w:next w:val="ECHRPara"/>
    <w:uiPriority w:val="8"/>
    <w:qFormat/>
    <w:rsid w:val="00C87DCF"/>
    <w:pPr>
      <w:spacing w:after="240"/>
      <w:jc w:val="center"/>
      <w:outlineLvl w:val="0"/>
    </w:pPr>
    <w:rPr>
      <w:rFonts w:asciiTheme="majorHAnsi" w:hAnsiTheme="majorHAnsi"/>
    </w:rPr>
  </w:style>
  <w:style w:type="paragraph" w:customStyle="1" w:styleId="OpiQuot">
    <w:name w:val="Opi_Quot"/>
    <w:basedOn w:val="ECHRParaQuote"/>
    <w:uiPriority w:val="48"/>
    <w:qFormat/>
    <w:rsid w:val="00C87DCF"/>
  </w:style>
  <w:style w:type="paragraph" w:customStyle="1" w:styleId="OpiQuotSub">
    <w:name w:val="Opi_Quot_Sub"/>
    <w:basedOn w:val="JuQuotSub"/>
    <w:uiPriority w:val="49"/>
    <w:qFormat/>
    <w:rsid w:val="00C87DCF"/>
  </w:style>
  <w:style w:type="paragraph" w:customStyle="1" w:styleId="OpiTranslation">
    <w:name w:val="Opi_Translation"/>
    <w:basedOn w:val="Normal"/>
    <w:next w:val="OpiPara"/>
    <w:uiPriority w:val="40"/>
    <w:qFormat/>
    <w:rsid w:val="00C87DCF"/>
    <w:pPr>
      <w:jc w:val="center"/>
      <w:outlineLvl w:val="0"/>
    </w:pPr>
    <w:rPr>
      <w:i/>
    </w:rPr>
  </w:style>
  <w:style w:type="paragraph" w:customStyle="1" w:styleId="ECHRSpacer">
    <w:name w:val="ECHR_Spacer"/>
    <w:basedOn w:val="Normal"/>
    <w:uiPriority w:val="45"/>
    <w:rsid w:val="00C96842"/>
    <w:pPr>
      <w:jc w:val="left"/>
    </w:pPr>
    <w:rPr>
      <w:rFonts w:eastAsiaTheme="minorHAnsi"/>
      <w:sz w:val="4"/>
      <w:lang w:val="fr-FR"/>
    </w:rPr>
  </w:style>
  <w:style w:type="character" w:customStyle="1" w:styleId="ECHRParaChar">
    <w:name w:val="ECHR_Para Char"/>
    <w:aliases w:val="Ju_Para Char"/>
    <w:link w:val="ECHRPara"/>
    <w:uiPriority w:val="12"/>
    <w:rsid w:val="00C96842"/>
    <w:rPr>
      <w:rFonts w:eastAsiaTheme="minorEastAsia"/>
      <w:sz w:val="24"/>
      <w:lang w:val="en-GB"/>
    </w:rPr>
  </w:style>
  <w:style w:type="character" w:customStyle="1" w:styleId="JuJudgesChar">
    <w:name w:val="Ju_Judges Char"/>
    <w:link w:val="ECHRDecisionBody"/>
    <w:uiPriority w:val="11"/>
    <w:rsid w:val="00631056"/>
    <w:rPr>
      <w:rFonts w:eastAsiaTheme="minorEastAsia"/>
      <w:sz w:val="24"/>
      <w:lang w:val="en-GB"/>
    </w:rPr>
  </w:style>
  <w:style w:type="paragraph" w:customStyle="1" w:styleId="jupara">
    <w:name w:val="jupara"/>
    <w:basedOn w:val="Normal"/>
    <w:rsid w:val="000E298D"/>
    <w:pPr>
      <w:ind w:firstLine="284"/>
    </w:pPr>
    <w:rPr>
      <w:rFonts w:ascii="Times New Roman" w:eastAsia="Times New Roman" w:hAnsi="Times New Roman" w:cs="Times New Roman"/>
      <w:szCs w:val="24"/>
      <w:lang w:eastAsia="en-GB"/>
    </w:rPr>
  </w:style>
  <w:style w:type="paragraph" w:customStyle="1" w:styleId="jucase0">
    <w:name w:val="jucase"/>
    <w:basedOn w:val="Normal"/>
    <w:rsid w:val="000E298D"/>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4CBF39-543C-4876-9B72-E96CD96CB5E9}"/>
</file>

<file path=customXml/itemProps2.xml><?xml version="1.0" encoding="utf-8"?>
<ds:datastoreItem xmlns:ds="http://schemas.openxmlformats.org/officeDocument/2006/customXml" ds:itemID="{985A9D79-5A1E-44D5-BA77-FF448F7D7EEB}"/>
</file>

<file path=customXml/itemProps3.xml><?xml version="1.0" encoding="utf-8"?>
<ds:datastoreItem xmlns:ds="http://schemas.openxmlformats.org/officeDocument/2006/customXml" ds:itemID="{D76C47B7-0AC9-47E1-84D3-7E604C138D39}"/>
</file>

<file path=customXml/itemProps4.xml><?xml version="1.0" encoding="utf-8"?>
<ds:datastoreItem xmlns:ds="http://schemas.openxmlformats.org/officeDocument/2006/customXml" ds:itemID="{AFE839BB-02A7-449F-99F7-B442C525D7D8}"/>
</file>

<file path=docProps/app.xml><?xml version="1.0" encoding="utf-8"?>
<Properties xmlns="http://schemas.openxmlformats.org/officeDocument/2006/extended-properties" xmlns:vt="http://schemas.openxmlformats.org/officeDocument/2006/docPropsVTypes">
  <Template>Normal.dotm</Template>
  <TotalTime>0</TotalTime>
  <Pages>1</Pages>
  <Words>5272</Words>
  <Characters>30056</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35258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dcterms:created xsi:type="dcterms:W3CDTF">2019-09-10T08:48:00Z</dcterms:created>
  <dcterms:modified xsi:type="dcterms:W3CDTF">2019-09-10T08:48:00Z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72781/12</vt:lpwstr>
  </property>
  <property fmtid="{D5CDD505-2E9C-101B-9397-08002B2CF9AE}" pid="4" name="CASEID">
    <vt:lpwstr>841453</vt:lpwstr>
  </property>
  <property fmtid="{D5CDD505-2E9C-101B-9397-08002B2CF9AE}" pid="5" name="ContentTypeId">
    <vt:lpwstr>0x010100558EB02BDB9E204AB350EDD385B68E10</vt:lpwstr>
  </property>
</Properties>
</file>