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5CBDF" w14:textId="77777777" w:rsidR="00795AD3" w:rsidRPr="0070271E" w:rsidRDefault="00795AD3" w:rsidP="0070271E">
      <w:pPr>
        <w:jc w:val="center"/>
        <w:rPr>
          <w:rFonts w:ascii="Times New Roman" w:hAnsi="Times New Roman" w:cs="Times New Roman"/>
        </w:rPr>
      </w:pPr>
    </w:p>
    <w:p w14:paraId="20AB157A" w14:textId="77777777" w:rsidR="0098410D" w:rsidRPr="0070271E" w:rsidRDefault="0098410D" w:rsidP="0070271E">
      <w:pPr>
        <w:jc w:val="center"/>
      </w:pPr>
    </w:p>
    <w:p w14:paraId="5E63B958" w14:textId="77777777" w:rsidR="0098410D" w:rsidRPr="0058055F" w:rsidRDefault="008055D7" w:rsidP="0070271E">
      <w:pPr>
        <w:pStyle w:val="DecHTitle"/>
        <w:rPr>
          <w:lang w:val="pl-PL"/>
        </w:rPr>
      </w:pPr>
      <w:r>
        <w:rPr>
          <w:lang w:val="pl"/>
        </w:rPr>
        <w:t>PIERWSZA SEKCJA</w:t>
      </w:r>
    </w:p>
    <w:p w14:paraId="32CA3E82" w14:textId="53600EAD" w:rsidR="008E6217" w:rsidRPr="0058055F" w:rsidRDefault="008055D7" w:rsidP="0070271E">
      <w:pPr>
        <w:pStyle w:val="JuTitle"/>
        <w:rPr>
          <w:lang w:val="pl-PL"/>
        </w:rPr>
      </w:pPr>
      <w:r>
        <w:rPr>
          <w:bCs/>
          <w:color w:val="000000" w:themeColor="text1"/>
          <w:lang w:val="pl"/>
        </w:rPr>
        <w:t xml:space="preserve">SPRAWA </w:t>
      </w:r>
      <w:r>
        <w:rPr>
          <w:bCs/>
          <w:lang w:val="pl"/>
        </w:rPr>
        <w:t>K.</w:t>
      </w:r>
      <w:r w:rsidR="00B744C9">
        <w:rPr>
          <w:bCs/>
          <w:lang w:val="pl"/>
        </w:rPr>
        <w:t xml:space="preserve"> </w:t>
      </w:r>
      <w:r>
        <w:rPr>
          <w:bCs/>
          <w:lang w:val="pl"/>
        </w:rPr>
        <w:t>P. PRZECIWKO POLSCE</w:t>
      </w:r>
    </w:p>
    <w:p w14:paraId="13CCDD64" w14:textId="77777777" w:rsidR="00D74888" w:rsidRPr="0058055F" w:rsidRDefault="008055D7" w:rsidP="0070271E">
      <w:pPr>
        <w:pStyle w:val="ECHRCoverTitle4"/>
        <w:rPr>
          <w:lang w:val="pl-PL"/>
        </w:rPr>
      </w:pPr>
      <w:r>
        <w:rPr>
          <w:iCs/>
          <w:lang w:val="pl"/>
        </w:rPr>
        <w:t>(Skarga nr 52641/16)</w:t>
      </w:r>
    </w:p>
    <w:p w14:paraId="355608D7" w14:textId="77777777" w:rsidR="0098410D" w:rsidRPr="0058055F" w:rsidRDefault="0098410D" w:rsidP="0070271E">
      <w:pPr>
        <w:pStyle w:val="DecHCase"/>
        <w:rPr>
          <w:lang w:val="pl-PL"/>
        </w:rPr>
      </w:pPr>
    </w:p>
    <w:p w14:paraId="409DECD5" w14:textId="77777777" w:rsidR="000D624F" w:rsidRPr="0058055F" w:rsidRDefault="000D624F" w:rsidP="0070271E">
      <w:pPr>
        <w:pStyle w:val="DecHCase"/>
        <w:rPr>
          <w:lang w:val="pl-PL"/>
        </w:rPr>
      </w:pPr>
    </w:p>
    <w:p w14:paraId="05938139" w14:textId="77777777" w:rsidR="0098410D" w:rsidRPr="0058055F" w:rsidRDefault="008055D7" w:rsidP="0070271E">
      <w:pPr>
        <w:pStyle w:val="DecHCase"/>
        <w:rPr>
          <w:lang w:val="pl-PL"/>
        </w:rPr>
      </w:pPr>
      <w:r>
        <w:rPr>
          <w:lang w:val="pl"/>
        </w:rPr>
        <w:t>WYROK</w:t>
      </w:r>
      <w:r>
        <w:rPr>
          <w:lang w:val="pl"/>
        </w:rPr>
        <w:br/>
      </w:r>
    </w:p>
    <w:p w14:paraId="06D11305" w14:textId="77777777" w:rsidR="0070271E" w:rsidRPr="0058055F" w:rsidRDefault="008055D7" w:rsidP="0070271E">
      <w:pPr>
        <w:pStyle w:val="JuPara"/>
        <w:pBdr>
          <w:top w:val="single" w:sz="4" w:space="1" w:color="auto"/>
          <w:left w:val="single" w:sz="4" w:space="4" w:color="auto"/>
          <w:bottom w:val="single" w:sz="4" w:space="1" w:color="auto"/>
          <w:right w:val="single" w:sz="4" w:space="4" w:color="auto"/>
        </w:pBdr>
        <w:ind w:firstLine="0"/>
        <w:rPr>
          <w:lang w:val="pl-PL"/>
        </w:rPr>
      </w:pPr>
      <w:r>
        <w:rPr>
          <w:lang w:val="pl"/>
        </w:rPr>
        <w:t>Art. 5 ust. 3 • Nadmiernie długi okres tymczasowego aresztowania skarżącej wynoszący ponad sześć lat • Oparcie się przez sądy krajowe na przesłankach, których nie można uznać za „wystarczające” do uzasadnienia całego okresu pozbawienia wolności</w:t>
      </w:r>
    </w:p>
    <w:p w14:paraId="1DD359D8" w14:textId="77777777" w:rsidR="0070271E" w:rsidRPr="0058055F" w:rsidRDefault="008055D7" w:rsidP="0070271E">
      <w:pPr>
        <w:pStyle w:val="JuPara"/>
        <w:pBdr>
          <w:top w:val="single" w:sz="4" w:space="1" w:color="auto"/>
          <w:left w:val="single" w:sz="4" w:space="4" w:color="auto"/>
          <w:bottom w:val="single" w:sz="4" w:space="1" w:color="auto"/>
          <w:right w:val="single" w:sz="4" w:space="4" w:color="auto"/>
        </w:pBdr>
        <w:ind w:firstLine="0"/>
        <w:rPr>
          <w:lang w:val="pl-PL"/>
        </w:rPr>
      </w:pPr>
      <w:r>
        <w:rPr>
          <w:lang w:val="pl"/>
        </w:rPr>
        <w:t>Art. 34 • Ofiara • Pozwane państwo wywiązało się z wynikającego z art. 3 proceduralnego obowiązku przeprowadzenia skutecznego śledztwa w sprawie zarzutów przekroczenia uprawnień przez funkcjonariusza służby więziennej w kontekście stosunku zależności, w wyniku czego skarżąca zaszła w ciążę w okresie pozbawienia wolności • Nieudzielenie przez skarżącą informacji, dlaczego nigdy nie wystąpiła o odszkodowanie z tytułu naruszenia praw osobistych w związku z zarzucanym złym traktowaniem • Utrata statusu ofiary</w:t>
      </w:r>
    </w:p>
    <w:p w14:paraId="502A81B1" w14:textId="77777777" w:rsidR="0070271E" w:rsidRPr="0058055F" w:rsidRDefault="0070271E" w:rsidP="0058055F">
      <w:pPr>
        <w:pStyle w:val="JuPara"/>
        <w:spacing w:after="120"/>
        <w:rPr>
          <w:lang w:val="pl-PL"/>
        </w:rPr>
      </w:pPr>
    </w:p>
    <w:p w14:paraId="09BE556C" w14:textId="77777777" w:rsidR="0098410D" w:rsidRPr="0058055F" w:rsidRDefault="008055D7" w:rsidP="0070271E">
      <w:pPr>
        <w:pStyle w:val="DecHCase"/>
        <w:rPr>
          <w:lang w:val="pl-PL"/>
        </w:rPr>
      </w:pPr>
      <w:r>
        <w:rPr>
          <w:lang w:val="pl"/>
        </w:rPr>
        <w:t>STRASBURG</w:t>
      </w:r>
    </w:p>
    <w:p w14:paraId="65DFB5D9" w14:textId="77777777" w:rsidR="0098410D" w:rsidRPr="0058055F" w:rsidRDefault="008055D7" w:rsidP="0070271E">
      <w:pPr>
        <w:pStyle w:val="DecHCase"/>
        <w:rPr>
          <w:lang w:val="pl-PL"/>
        </w:rPr>
      </w:pPr>
      <w:r>
        <w:rPr>
          <w:rFonts w:ascii="Times New Roman" w:hAnsi="Times New Roman" w:cs="Times New Roman"/>
          <w:lang w:val="pl"/>
        </w:rPr>
        <w:t>26 października 2023 r.</w:t>
      </w:r>
    </w:p>
    <w:p w14:paraId="525026B7" w14:textId="77777777" w:rsidR="00AC4CD4" w:rsidRPr="0058055F" w:rsidRDefault="00AC4CD4" w:rsidP="0070271E">
      <w:pPr>
        <w:pStyle w:val="JuPara"/>
        <w:rPr>
          <w:lang w:val="pl-PL"/>
        </w:rPr>
      </w:pPr>
    </w:p>
    <w:p w14:paraId="67EA0EFF" w14:textId="77777777" w:rsidR="00DD0930" w:rsidRPr="0058055F" w:rsidRDefault="008055D7" w:rsidP="0070271E">
      <w:pPr>
        <w:rPr>
          <w:i/>
          <w:sz w:val="22"/>
          <w:lang w:val="pl-PL"/>
        </w:rPr>
      </w:pPr>
      <w:r>
        <w:rPr>
          <w:i/>
          <w:iCs/>
          <w:sz w:val="22"/>
          <w:lang w:val="pl"/>
        </w:rPr>
        <w:t>Wyrok ten stanie się ostateczny zgodnie z warunkami określonymi w art. 44 ust. 2</w:t>
      </w:r>
    </w:p>
    <w:p w14:paraId="194E48A5" w14:textId="77777777" w:rsidR="002422B6" w:rsidRPr="0058055F" w:rsidRDefault="008055D7" w:rsidP="0070271E">
      <w:pPr>
        <w:rPr>
          <w:i/>
          <w:sz w:val="22"/>
          <w:lang w:val="pl-PL"/>
        </w:rPr>
      </w:pPr>
      <w:r>
        <w:rPr>
          <w:i/>
          <w:iCs/>
          <w:sz w:val="22"/>
          <w:lang w:val="pl"/>
        </w:rPr>
        <w:t>Konwencji. Wyrok może podlegać korekcie wydawniczej.</w:t>
      </w:r>
    </w:p>
    <w:p w14:paraId="6B45AD04" w14:textId="77777777" w:rsidR="0098410D" w:rsidRPr="0058055F" w:rsidRDefault="0098410D" w:rsidP="0070271E">
      <w:pPr>
        <w:rPr>
          <w:lang w:val="pl-PL"/>
        </w:rPr>
        <w:sectPr w:rsidR="0098410D" w:rsidRPr="0058055F"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6B0B72CE" w14:textId="6B9AAE75" w:rsidR="0098410D" w:rsidRPr="0058055F" w:rsidRDefault="008055D7" w:rsidP="0070271E">
      <w:pPr>
        <w:pStyle w:val="JuCase"/>
        <w:rPr>
          <w:lang w:val="pl-PL"/>
        </w:rPr>
      </w:pPr>
      <w:r>
        <w:rPr>
          <w:bCs/>
          <w:lang w:val="pl"/>
        </w:rPr>
        <w:lastRenderedPageBreak/>
        <w:t>W sprawie K.</w:t>
      </w:r>
      <w:r w:rsidR="00027EE2">
        <w:rPr>
          <w:bCs/>
          <w:lang w:val="pl"/>
        </w:rPr>
        <w:t xml:space="preserve"> </w:t>
      </w:r>
      <w:r>
        <w:rPr>
          <w:bCs/>
          <w:lang w:val="pl"/>
        </w:rPr>
        <w:t>P. przeciwko Polsce</w:t>
      </w:r>
    </w:p>
    <w:p w14:paraId="31402885" w14:textId="77777777" w:rsidR="009F4C8F" w:rsidRPr="0058055F" w:rsidRDefault="008055D7" w:rsidP="0070271E">
      <w:pPr>
        <w:pStyle w:val="JuPara"/>
        <w:rPr>
          <w:lang w:val="pl-PL"/>
        </w:rPr>
      </w:pPr>
      <w:r>
        <w:rPr>
          <w:lang w:val="pl"/>
        </w:rPr>
        <w:t>Europejski Trybunał Praw Człowieka (pierwsza sekcja), zasiadając jako Izba w składzie:</w:t>
      </w:r>
    </w:p>
    <w:p w14:paraId="055F4E83" w14:textId="390BAA4C" w:rsidR="00A92625" w:rsidRPr="0058055F" w:rsidRDefault="008055D7" w:rsidP="0070271E">
      <w:pPr>
        <w:pStyle w:val="JuJudges"/>
        <w:rPr>
          <w:lang w:val="pl"/>
        </w:rPr>
      </w:pPr>
      <w:r>
        <w:rPr>
          <w:lang w:val="pl"/>
        </w:rPr>
        <w:tab/>
        <w:t xml:space="preserve">Marko </w:t>
      </w:r>
      <w:proofErr w:type="spellStart"/>
      <w:r>
        <w:rPr>
          <w:lang w:val="pl"/>
        </w:rPr>
        <w:t>Bošnjak</w:t>
      </w:r>
      <w:proofErr w:type="spellEnd"/>
      <w:r>
        <w:rPr>
          <w:i/>
          <w:iCs/>
          <w:lang w:val="pl"/>
        </w:rPr>
        <w:t>, Przewodniczący</w:t>
      </w:r>
      <w:r>
        <w:rPr>
          <w:lang w:val="pl"/>
        </w:rPr>
        <w:t>,</w:t>
      </w:r>
      <w:r>
        <w:rPr>
          <w:lang w:val="pl"/>
        </w:rPr>
        <w:br/>
      </w:r>
      <w:r>
        <w:rPr>
          <w:lang w:val="pl"/>
        </w:rPr>
        <w:tab/>
        <w:t xml:space="preserve">Alena </w:t>
      </w:r>
      <w:proofErr w:type="spellStart"/>
      <w:r>
        <w:rPr>
          <w:lang w:val="pl"/>
        </w:rPr>
        <w:t>Poláčková</w:t>
      </w:r>
      <w:proofErr w:type="spellEnd"/>
      <w:r>
        <w:rPr>
          <w:lang w:val="pl"/>
        </w:rPr>
        <w:t>,</w:t>
      </w:r>
      <w:r>
        <w:rPr>
          <w:lang w:val="pl"/>
        </w:rPr>
        <w:br/>
      </w:r>
      <w:r>
        <w:rPr>
          <w:lang w:val="pl"/>
        </w:rPr>
        <w:tab/>
        <w:t xml:space="preserve">Krzysztof </w:t>
      </w:r>
      <w:proofErr w:type="spellStart"/>
      <w:r>
        <w:rPr>
          <w:lang w:val="pl"/>
        </w:rPr>
        <w:t>Wojtyczek</w:t>
      </w:r>
      <w:proofErr w:type="spellEnd"/>
      <w:r>
        <w:rPr>
          <w:lang w:val="pl"/>
        </w:rPr>
        <w:t>,</w:t>
      </w:r>
      <w:r>
        <w:rPr>
          <w:lang w:val="pl"/>
        </w:rPr>
        <w:br/>
      </w:r>
      <w:r>
        <w:rPr>
          <w:lang w:val="pl"/>
        </w:rPr>
        <w:tab/>
      </w:r>
      <w:proofErr w:type="spellStart"/>
      <w:r>
        <w:rPr>
          <w:lang w:val="pl"/>
        </w:rPr>
        <w:t>Lətif</w:t>
      </w:r>
      <w:proofErr w:type="spellEnd"/>
      <w:r>
        <w:rPr>
          <w:lang w:val="pl"/>
        </w:rPr>
        <w:t xml:space="preserve"> </w:t>
      </w:r>
      <w:proofErr w:type="spellStart"/>
      <w:r>
        <w:rPr>
          <w:lang w:val="pl"/>
        </w:rPr>
        <w:t>Hüseynov</w:t>
      </w:r>
      <w:proofErr w:type="spellEnd"/>
      <w:r>
        <w:rPr>
          <w:lang w:val="pl"/>
        </w:rPr>
        <w:t>,</w:t>
      </w:r>
      <w:r>
        <w:rPr>
          <w:lang w:val="pl"/>
        </w:rPr>
        <w:br/>
      </w:r>
      <w:r>
        <w:rPr>
          <w:lang w:val="pl"/>
        </w:rPr>
        <w:tab/>
      </w:r>
      <w:proofErr w:type="spellStart"/>
      <w:r>
        <w:rPr>
          <w:lang w:val="pl"/>
        </w:rPr>
        <w:t>Péter</w:t>
      </w:r>
      <w:proofErr w:type="spellEnd"/>
      <w:r>
        <w:rPr>
          <w:lang w:val="pl"/>
        </w:rPr>
        <w:t xml:space="preserve"> </w:t>
      </w:r>
      <w:proofErr w:type="spellStart"/>
      <w:r>
        <w:rPr>
          <w:lang w:val="pl"/>
        </w:rPr>
        <w:t>Paczolay</w:t>
      </w:r>
      <w:proofErr w:type="spellEnd"/>
      <w:r>
        <w:rPr>
          <w:lang w:val="pl"/>
        </w:rPr>
        <w:t>,</w:t>
      </w:r>
      <w:r>
        <w:rPr>
          <w:lang w:val="pl"/>
        </w:rPr>
        <w:br/>
      </w:r>
      <w:r>
        <w:rPr>
          <w:lang w:val="pl"/>
        </w:rPr>
        <w:tab/>
        <w:t xml:space="preserve">Ivana </w:t>
      </w:r>
      <w:proofErr w:type="spellStart"/>
      <w:r>
        <w:rPr>
          <w:lang w:val="pl"/>
        </w:rPr>
        <w:t>Jelić</w:t>
      </w:r>
      <w:proofErr w:type="spellEnd"/>
      <w:r>
        <w:rPr>
          <w:lang w:val="pl"/>
        </w:rPr>
        <w:t>,</w:t>
      </w:r>
      <w:r>
        <w:rPr>
          <w:lang w:val="pl"/>
        </w:rPr>
        <w:br/>
      </w:r>
      <w:r>
        <w:rPr>
          <w:lang w:val="pl"/>
        </w:rPr>
        <w:tab/>
        <w:t xml:space="preserve">Gilberto </w:t>
      </w:r>
      <w:proofErr w:type="spellStart"/>
      <w:r>
        <w:rPr>
          <w:lang w:val="pl"/>
        </w:rPr>
        <w:t>Felici</w:t>
      </w:r>
      <w:proofErr w:type="spellEnd"/>
      <w:r>
        <w:rPr>
          <w:i/>
          <w:iCs/>
          <w:lang w:val="pl"/>
        </w:rPr>
        <w:t xml:space="preserve">, </w:t>
      </w:r>
      <w:r w:rsidR="00027EE2">
        <w:rPr>
          <w:i/>
          <w:iCs/>
          <w:lang w:val="pl"/>
        </w:rPr>
        <w:t>s</w:t>
      </w:r>
      <w:r>
        <w:rPr>
          <w:i/>
          <w:iCs/>
          <w:lang w:val="pl"/>
        </w:rPr>
        <w:t>ędziowie</w:t>
      </w:r>
      <w:r>
        <w:rPr>
          <w:lang w:val="pl"/>
        </w:rPr>
        <w:t>,</w:t>
      </w:r>
      <w:r>
        <w:rPr>
          <w:lang w:val="pl"/>
        </w:rPr>
        <w:br/>
        <w:t xml:space="preserve">oraz </w:t>
      </w:r>
      <w:proofErr w:type="spellStart"/>
      <w:r>
        <w:rPr>
          <w:lang w:val="pl"/>
        </w:rPr>
        <w:t>Liv</w:t>
      </w:r>
      <w:proofErr w:type="spellEnd"/>
      <w:r>
        <w:rPr>
          <w:lang w:val="pl"/>
        </w:rPr>
        <w:t xml:space="preserve"> </w:t>
      </w:r>
      <w:proofErr w:type="spellStart"/>
      <w:r>
        <w:rPr>
          <w:lang w:val="pl"/>
        </w:rPr>
        <w:t>Tigerstedt</w:t>
      </w:r>
      <w:proofErr w:type="spellEnd"/>
      <w:r>
        <w:rPr>
          <w:lang w:val="pl"/>
        </w:rPr>
        <w:t xml:space="preserve">, </w:t>
      </w:r>
      <w:r>
        <w:rPr>
          <w:i/>
          <w:iCs/>
          <w:lang w:val="pl"/>
        </w:rPr>
        <w:t>Zastępczyni Kanclerza Sekcji</w:t>
      </w:r>
      <w:r>
        <w:rPr>
          <w:lang w:val="pl"/>
        </w:rPr>
        <w:t>,</w:t>
      </w:r>
    </w:p>
    <w:p w14:paraId="3453A30D" w14:textId="77777777" w:rsidR="00E70AE3" w:rsidRPr="0058055F" w:rsidRDefault="008055D7" w:rsidP="0070271E">
      <w:pPr>
        <w:pStyle w:val="JuPara"/>
        <w:rPr>
          <w:lang w:val="pl-PL"/>
        </w:rPr>
      </w:pPr>
      <w:r>
        <w:rPr>
          <w:lang w:val="pl"/>
        </w:rPr>
        <w:t>mając na uwadze:</w:t>
      </w:r>
    </w:p>
    <w:p w14:paraId="07A2EAB0" w14:textId="22733C32" w:rsidR="00E70AE3" w:rsidRPr="0058055F" w:rsidRDefault="008055D7" w:rsidP="0070271E">
      <w:pPr>
        <w:pStyle w:val="JuPara"/>
        <w:rPr>
          <w:lang w:val="pl-PL"/>
        </w:rPr>
      </w:pPr>
      <w:r>
        <w:rPr>
          <w:lang w:val="pl"/>
        </w:rPr>
        <w:t>skargę (nr 52641/16) przeciwko Rzeczypospolitej Polskiej wniesioną do Trybunału w dniu 30 sierpnia 2016 r. na podstawie art. 34 Konwencji o ochronie praw człowieka i podstawowych wolności („Konwencja”) przez obywatelkę polską, K.</w:t>
      </w:r>
      <w:r w:rsidR="00AA29E6">
        <w:rPr>
          <w:lang w:val="pl"/>
        </w:rPr>
        <w:t xml:space="preserve"> </w:t>
      </w:r>
      <w:r>
        <w:rPr>
          <w:lang w:val="pl"/>
        </w:rPr>
        <w:t>P. („skarżąca”);</w:t>
      </w:r>
    </w:p>
    <w:p w14:paraId="101227EC" w14:textId="77777777" w:rsidR="00E70AE3" w:rsidRPr="0058055F" w:rsidRDefault="008055D7" w:rsidP="0070271E">
      <w:pPr>
        <w:pStyle w:val="JuPara"/>
        <w:rPr>
          <w:lang w:val="pl-PL"/>
        </w:rPr>
      </w:pPr>
      <w:r>
        <w:rPr>
          <w:lang w:val="pl"/>
        </w:rPr>
        <w:t>decyzję o zakomunikowaniu skargi Rządowi polskiemu („Rząd”);</w:t>
      </w:r>
    </w:p>
    <w:p w14:paraId="2392553D" w14:textId="77777777" w:rsidR="00E70AE3" w:rsidRPr="0058055F" w:rsidRDefault="008055D7" w:rsidP="0070271E">
      <w:pPr>
        <w:pStyle w:val="JuPara"/>
        <w:rPr>
          <w:lang w:val="pl-PL"/>
        </w:rPr>
      </w:pPr>
      <w:r>
        <w:rPr>
          <w:lang w:val="pl"/>
        </w:rPr>
        <w:t>decyzję o nieujawnianiu tożsamości skarżącej;</w:t>
      </w:r>
    </w:p>
    <w:p w14:paraId="3FDCCA18" w14:textId="77777777" w:rsidR="00E70AE3" w:rsidRPr="0058055F" w:rsidRDefault="008055D7" w:rsidP="0070271E">
      <w:pPr>
        <w:pStyle w:val="JuPara"/>
        <w:rPr>
          <w:lang w:val="pl-PL"/>
        </w:rPr>
      </w:pPr>
      <w:r>
        <w:rPr>
          <w:lang w:val="pl"/>
        </w:rPr>
        <w:t>uwagi stron;</w:t>
      </w:r>
    </w:p>
    <w:p w14:paraId="1441D8C2" w14:textId="77777777" w:rsidR="009F4C8F" w:rsidRPr="0058055F" w:rsidRDefault="008055D7" w:rsidP="0070271E">
      <w:pPr>
        <w:pStyle w:val="JuPara"/>
        <w:rPr>
          <w:lang w:val="pl-PL"/>
        </w:rPr>
      </w:pPr>
      <w:r>
        <w:rPr>
          <w:lang w:val="pl"/>
        </w:rPr>
        <w:t>obradując na posiedzeniu niejawnym w dniu 3 października 2023 r.,</w:t>
      </w:r>
    </w:p>
    <w:p w14:paraId="3D253C61" w14:textId="77777777" w:rsidR="009F4C8F" w:rsidRPr="0058055F" w:rsidRDefault="008055D7" w:rsidP="0070271E">
      <w:pPr>
        <w:pStyle w:val="JuPara"/>
        <w:rPr>
          <w:lang w:val="pl-PL"/>
        </w:rPr>
      </w:pPr>
      <w:r>
        <w:rPr>
          <w:lang w:val="pl"/>
        </w:rPr>
        <w:t>wydaje następujący wyrok, który został przyjęty w tym dniu:</w:t>
      </w:r>
    </w:p>
    <w:p w14:paraId="588A2E07" w14:textId="77777777" w:rsidR="00E70AE3" w:rsidRPr="0058055F" w:rsidRDefault="008055D7" w:rsidP="0070271E">
      <w:pPr>
        <w:pStyle w:val="JuHHead"/>
        <w:numPr>
          <w:ilvl w:val="0"/>
          <w:numId w:val="0"/>
        </w:numPr>
        <w:rPr>
          <w:lang w:val="pl-PL"/>
        </w:rPr>
      </w:pPr>
      <w:r>
        <w:rPr>
          <w:bCs w:val="0"/>
          <w:lang w:val="pl"/>
        </w:rPr>
        <w:t>WPROWADZENIE</w:t>
      </w:r>
    </w:p>
    <w:p w14:paraId="4814A5BF" w14:textId="7BAD8263"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sidR="006B2EC6">
        <w:rPr>
          <w:noProof/>
          <w:lang w:val="pl"/>
        </w:rPr>
        <w:t>1</w:t>
      </w:r>
      <w:r>
        <w:rPr>
          <w:lang w:val="pl"/>
        </w:rPr>
        <w:fldChar w:fldCharType="end"/>
      </w:r>
      <w:r>
        <w:rPr>
          <w:lang w:val="pl"/>
        </w:rPr>
        <w:t>.  Skarga dotyczy czasu trwania tymczasowego aresztowania skarżącej, ograniczeń wizyt rodzinnych skarżącej oraz zarzutów przekroczenia uprawnień przez funkcjonariusza służby więziennej w kontekście stosunku zależności, w wyniku czego skarżąca zaszła w ciążę w okresie pozbawienia wolności.</w:t>
      </w:r>
    </w:p>
    <w:p w14:paraId="5B277D1B" w14:textId="77777777" w:rsidR="00E70AE3" w:rsidRPr="00617058" w:rsidRDefault="008055D7" w:rsidP="00617058">
      <w:pPr>
        <w:pStyle w:val="JuHHead"/>
        <w:numPr>
          <w:ilvl w:val="0"/>
          <w:numId w:val="0"/>
        </w:numPr>
        <w:rPr>
          <w:lang w:val="pl-PL"/>
        </w:rPr>
      </w:pPr>
      <w:r>
        <w:rPr>
          <w:bCs w:val="0"/>
          <w:lang w:val="pl"/>
        </w:rPr>
        <w:t>FAKTY</w:t>
      </w:r>
    </w:p>
    <w:p w14:paraId="14F76428" w14:textId="77777777"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Skarżąca urodziła się w 1984 r. i mieszka w A. Reprezentowała ją A. Żurawska, prawniczka prowadząca praktykę w Gdańsku.</w:t>
      </w:r>
    </w:p>
    <w:p w14:paraId="71CA02DB" w14:textId="77777777"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Rząd reprezentowany był przez swojego pełnomocnika J. Sobczaka z Ministerstwa Spraw Zagranicznych.</w:t>
      </w:r>
    </w:p>
    <w:p w14:paraId="6DDC91D4" w14:textId="77777777"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Okoliczności faktyczne sprawy można streścić następująco.</w:t>
      </w:r>
    </w:p>
    <w:p w14:paraId="41D35F09" w14:textId="3EB82312" w:rsidR="00E70AE3" w:rsidRPr="00617058" w:rsidRDefault="00617058" w:rsidP="00617058">
      <w:pPr>
        <w:pStyle w:val="JuHIRoman"/>
        <w:numPr>
          <w:ilvl w:val="0"/>
          <w:numId w:val="0"/>
        </w:numPr>
        <w:ind w:left="369" w:hanging="369"/>
        <w:rPr>
          <w:lang w:val="pl-PL"/>
        </w:rPr>
      </w:pPr>
      <w:r w:rsidRPr="00617058">
        <w:rPr>
          <w:lang w:val="pl-PL"/>
        </w:rPr>
        <w:t>I.</w:t>
      </w:r>
      <w:r w:rsidRPr="00617058">
        <w:rPr>
          <w:lang w:val="pl-PL"/>
        </w:rPr>
        <w:tab/>
      </w:r>
      <w:r w:rsidR="008055D7">
        <w:rPr>
          <w:bCs w:val="0"/>
          <w:lang w:val="pl"/>
        </w:rPr>
        <w:t>POSTĘPOWANIE KARNE i ARESZTOWANIE</w:t>
      </w:r>
    </w:p>
    <w:p w14:paraId="64F1C132" w14:textId="65B07CFF" w:rsidR="00E70AE3" w:rsidRPr="00617058" w:rsidRDefault="00617058" w:rsidP="00617058">
      <w:pPr>
        <w:pStyle w:val="JuHA"/>
        <w:numPr>
          <w:ilvl w:val="0"/>
          <w:numId w:val="0"/>
        </w:numPr>
        <w:ind w:left="510" w:hanging="340"/>
        <w:rPr>
          <w:lang w:val="pl-PL"/>
        </w:rPr>
      </w:pPr>
      <w:r w:rsidRPr="00617058">
        <w:rPr>
          <w:lang w:val="pl-PL"/>
        </w:rPr>
        <w:t>A.</w:t>
      </w:r>
      <w:r w:rsidRPr="00617058">
        <w:rPr>
          <w:lang w:val="pl-PL"/>
        </w:rPr>
        <w:tab/>
      </w:r>
      <w:r w:rsidR="008055D7">
        <w:rPr>
          <w:lang w:val="pl"/>
        </w:rPr>
        <w:t>Śledztwo</w:t>
      </w:r>
    </w:p>
    <w:p w14:paraId="298D8EB5" w14:textId="75287E88"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w:t>
      </w:r>
      <w:r>
        <w:rPr>
          <w:noProof/>
          <w:lang w:val="pl"/>
        </w:rPr>
        <w:fldChar w:fldCharType="end"/>
      </w:r>
      <w:r>
        <w:rPr>
          <w:lang w:val="pl"/>
        </w:rPr>
        <w:t xml:space="preserve">.  W maju 2012 r. prokuratura wszczęła śledztwo w sprawie zarzutów oszustwa i prania pieniędzy przez spółkę A. Spółkę założył w 2009 r. </w:t>
      </w:r>
      <w:r>
        <w:rPr>
          <w:lang w:val="pl"/>
        </w:rPr>
        <w:lastRenderedPageBreak/>
        <w:t>ówczesny mąż skarżącej, M.</w:t>
      </w:r>
      <w:r w:rsidR="00AA29E6">
        <w:rPr>
          <w:lang w:val="pl"/>
        </w:rPr>
        <w:t xml:space="preserve"> </w:t>
      </w:r>
      <w:r>
        <w:rPr>
          <w:lang w:val="pl"/>
        </w:rPr>
        <w:t>P., i oferowała ona wysokie oprocentowanie depozytów złożonych przez około 11 000 osób. W 2012 r. ogłoszono jej niewypłacalność i zlikwidowano.</w:t>
      </w:r>
    </w:p>
    <w:p w14:paraId="36A86CAD" w14:textId="5005BD85"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w:t>
      </w:r>
      <w:r>
        <w:rPr>
          <w:noProof/>
          <w:lang w:val="pl"/>
        </w:rPr>
        <w:fldChar w:fldCharType="end"/>
      </w:r>
      <w:r>
        <w:rPr>
          <w:lang w:val="pl"/>
        </w:rPr>
        <w:t>.  W dniu 30 sierpnia 2012 r. M.</w:t>
      </w:r>
      <w:r w:rsidR="00AA29E6">
        <w:rPr>
          <w:lang w:val="pl"/>
        </w:rPr>
        <w:t xml:space="preserve"> </w:t>
      </w:r>
      <w:r>
        <w:rPr>
          <w:lang w:val="pl"/>
        </w:rPr>
        <w:t>P. został zatrzymany i tymczasowo aresztowany w związku ze śledztwem.</w:t>
      </w:r>
    </w:p>
    <w:bookmarkStart w:id="0" w:name="charges"/>
    <w:p w14:paraId="765E0827" w14:textId="495128B0" w:rsidR="00E70AE3" w:rsidRPr="0058055F" w:rsidRDefault="008055D7"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w:t>
      </w:r>
      <w:r>
        <w:rPr>
          <w:lang w:val="pl"/>
        </w:rPr>
        <w:fldChar w:fldCharType="end"/>
      </w:r>
      <w:bookmarkEnd w:id="0"/>
      <w:r>
        <w:rPr>
          <w:lang w:val="pl"/>
        </w:rPr>
        <w:t xml:space="preserve">.  W dniu 28 września 2012 r. skarżącej postawiono zarzuty popełnienia szeregu przestępstw, głównie związanych z zarządzaniem finansami spółek, w których była prezesem zarządu. W dniu 10 października 2012 r. </w:t>
      </w:r>
      <w:r w:rsidR="00AA29E6">
        <w:rPr>
          <w:lang w:val="pl"/>
        </w:rPr>
        <w:t>zastosowano wobec niej</w:t>
      </w:r>
      <w:r>
        <w:rPr>
          <w:lang w:val="pl"/>
        </w:rPr>
        <w:t xml:space="preserve"> zakaz opuszczania kraju.</w:t>
      </w:r>
    </w:p>
    <w:p w14:paraId="106BC22C"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w:t>
      </w:r>
      <w:r>
        <w:rPr>
          <w:noProof/>
          <w:lang w:val="pl"/>
        </w:rPr>
        <w:fldChar w:fldCharType="end"/>
      </w:r>
      <w:r>
        <w:rPr>
          <w:lang w:val="pl"/>
        </w:rPr>
        <w:t>.  W dniu 15 kwietnia 2013 r. Prokuratura Okręgowa w Łodzi podjęła decyzję o postawieniu skarżącej dodatkowych zarzutów. Zarzucono jej popełnienie dodatkowych przestępstw związanych z udzielaniem pomocy małżonkowi w utworzeniu i prowadzeniu spółki A., która była piramidą finansową. W szczególności skarżącej zarzucono podpisanie ponad 2 000 indywidualnych umów depozytów na rzecz spółki.</w:t>
      </w:r>
    </w:p>
    <w:p w14:paraId="1104CB28" w14:textId="7CB9243F" w:rsidR="00E70AE3" w:rsidRPr="00617058" w:rsidRDefault="00617058" w:rsidP="00617058">
      <w:pPr>
        <w:pStyle w:val="JuHA"/>
        <w:numPr>
          <w:ilvl w:val="0"/>
          <w:numId w:val="0"/>
        </w:numPr>
        <w:ind w:left="510" w:hanging="340"/>
        <w:rPr>
          <w:lang w:val="pl-PL"/>
        </w:rPr>
      </w:pPr>
      <w:r w:rsidRPr="00617058">
        <w:rPr>
          <w:lang w:val="pl-PL"/>
        </w:rPr>
        <w:t>B.</w:t>
      </w:r>
      <w:r w:rsidRPr="00617058">
        <w:rPr>
          <w:lang w:val="pl-PL"/>
        </w:rPr>
        <w:tab/>
      </w:r>
      <w:r w:rsidR="008055D7">
        <w:rPr>
          <w:lang w:val="pl"/>
        </w:rPr>
        <w:t>Aresztowanie</w:t>
      </w:r>
    </w:p>
    <w:bookmarkStart w:id="1" w:name="detention_imposed"/>
    <w:p w14:paraId="7FF287B5" w14:textId="0D5294DC" w:rsidR="00E70AE3" w:rsidRPr="0058055F" w:rsidRDefault="008055D7"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w:t>
      </w:r>
      <w:r>
        <w:rPr>
          <w:lang w:val="pl"/>
        </w:rPr>
        <w:fldChar w:fldCharType="end"/>
      </w:r>
      <w:bookmarkEnd w:id="1"/>
      <w:r>
        <w:rPr>
          <w:lang w:val="pl"/>
        </w:rPr>
        <w:t>.  W dniu 15 kwietnia 2013 r. prokurator zdecydował o </w:t>
      </w:r>
      <w:r w:rsidR="001914AB">
        <w:rPr>
          <w:lang w:val="pl"/>
        </w:rPr>
        <w:t xml:space="preserve">zatrzymaniu </w:t>
      </w:r>
      <w:r>
        <w:rPr>
          <w:lang w:val="pl"/>
        </w:rPr>
        <w:t>skarżącej  i </w:t>
      </w:r>
      <w:r w:rsidR="001914AB">
        <w:rPr>
          <w:lang w:val="pl"/>
        </w:rPr>
        <w:t>zgodnie z planem</w:t>
      </w:r>
      <w:r>
        <w:rPr>
          <w:lang w:val="pl"/>
        </w:rPr>
        <w:t xml:space="preserve"> dokonano jej zatrzymania. Tego samego dnia Sąd Rejonowy w Łodzi zdecydował o tymczasowym aresztowaniu skarżącej. Skarżąca poinformowała sąd, iż od sierpnia 2012 r. leczy się </w:t>
      </w:r>
      <w:r w:rsidR="001914AB">
        <w:rPr>
          <w:lang w:val="pl"/>
        </w:rPr>
        <w:t>psychiatrycznie</w:t>
      </w:r>
      <w:r>
        <w:rPr>
          <w:lang w:val="pl"/>
        </w:rPr>
        <w:t>.</w:t>
      </w:r>
    </w:p>
    <w:p w14:paraId="164D2437" w14:textId="342573BF"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w:t>
      </w:r>
      <w:r>
        <w:rPr>
          <w:noProof/>
          <w:lang w:val="pl"/>
        </w:rPr>
        <w:fldChar w:fldCharType="end"/>
      </w:r>
      <w:r>
        <w:rPr>
          <w:lang w:val="pl"/>
        </w:rPr>
        <w:t>.  W dniu 17 maja 2013 r. Sąd Okręgowy w Łodzi oddalił zażalenie skarżącej na postanowienie o tymczasowym aresztowaniu z  15 kwietnia 2013 r.</w:t>
      </w:r>
    </w:p>
    <w:p w14:paraId="28731664"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w:t>
      </w:r>
      <w:r>
        <w:rPr>
          <w:noProof/>
          <w:lang w:val="pl"/>
        </w:rPr>
        <w:fldChar w:fldCharType="end"/>
      </w:r>
      <w:r>
        <w:rPr>
          <w:lang w:val="pl"/>
        </w:rPr>
        <w:t>.  Tymczasowe aresztowanie skarżącej było następnie regularnie przedłużane.</w:t>
      </w:r>
    </w:p>
    <w:p w14:paraId="622ECDF2" w14:textId="01854F9F"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w:t>
      </w:r>
      <w:r>
        <w:rPr>
          <w:noProof/>
          <w:lang w:val="pl"/>
        </w:rPr>
        <w:fldChar w:fldCharType="end"/>
      </w:r>
      <w:r>
        <w:rPr>
          <w:lang w:val="pl"/>
        </w:rPr>
        <w:t xml:space="preserve">.  W dniu 15 czerwca 2015 r. </w:t>
      </w:r>
      <w:r w:rsidR="001914AB">
        <w:rPr>
          <w:lang w:val="pl"/>
        </w:rPr>
        <w:t>P</w:t>
      </w:r>
      <w:r>
        <w:rPr>
          <w:lang w:val="pl"/>
        </w:rPr>
        <w:t xml:space="preserve">rokurator </w:t>
      </w:r>
      <w:r w:rsidR="001914AB">
        <w:rPr>
          <w:lang w:val="pl"/>
        </w:rPr>
        <w:t>O</w:t>
      </w:r>
      <w:r>
        <w:rPr>
          <w:lang w:val="pl"/>
        </w:rPr>
        <w:t>kręgowy w Łodzi wniósł akt oskarżenia przeciwko skarżącej i jej mężowi.</w:t>
      </w:r>
    </w:p>
    <w:bookmarkStart w:id="2" w:name="detention_grounds"/>
    <w:p w14:paraId="389FB207" w14:textId="5690ED2A" w:rsidR="00E70AE3" w:rsidRPr="0058055F" w:rsidRDefault="008055D7"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13</w:t>
      </w:r>
      <w:r>
        <w:rPr>
          <w:lang w:val="pl"/>
        </w:rPr>
        <w:fldChar w:fldCharType="end"/>
      </w:r>
      <w:bookmarkEnd w:id="2"/>
      <w:r>
        <w:rPr>
          <w:lang w:val="pl"/>
        </w:rPr>
        <w:t>.  Wszystkie postanowienia przedłuż</w:t>
      </w:r>
      <w:r w:rsidR="001914AB">
        <w:rPr>
          <w:lang w:val="pl"/>
        </w:rPr>
        <w:t>ające</w:t>
      </w:r>
      <w:r>
        <w:rPr>
          <w:lang w:val="pl"/>
        </w:rPr>
        <w:t xml:space="preserve"> tymczasowe aresztowani</w:t>
      </w:r>
      <w:r w:rsidR="001914AB">
        <w:rPr>
          <w:lang w:val="pl"/>
        </w:rPr>
        <w:t>e skarżącej</w:t>
      </w:r>
      <w:r>
        <w:rPr>
          <w:lang w:val="pl"/>
        </w:rPr>
        <w:t xml:space="preserve"> opierały się na następujących podstawach. Po pierwsze, i przede wszystkim, istniało prawdopodobieństwo wymierzenia surowej kary ze względu na skalę działalności przestępczej, o udział w której skarżącą podejrzewano. Sądy podejrzewały ponadto, że skarżąca może zakłócać prawidłowy przebieg postępowania, biorąc pod uwagę prawdopodobieństwo orzeczenia kary do 15 lat pozbawienia wolności. Sądy krajowe uzna</w:t>
      </w:r>
      <w:r w:rsidR="009052C8">
        <w:rPr>
          <w:lang w:val="pl"/>
        </w:rPr>
        <w:t>wa</w:t>
      </w:r>
      <w:r>
        <w:rPr>
          <w:lang w:val="pl"/>
        </w:rPr>
        <w:t>ły, że tymczasowe aresztowanie skarżącej było konieczne ze względu na wyjątkową złożoność sprawy, co uzasadniało przeprowadzenie dużej liczby przesłuchań i innych czynności procesowych.</w:t>
      </w:r>
    </w:p>
    <w:p w14:paraId="617D8CB5" w14:textId="588E103B" w:rsidR="00E70AE3" w:rsidRPr="0058055F" w:rsidRDefault="009052C8" w:rsidP="0070271E">
      <w:pPr>
        <w:pStyle w:val="JuPara"/>
        <w:rPr>
          <w:lang w:val="pl-PL"/>
        </w:rPr>
      </w:pPr>
      <w:r>
        <w:rPr>
          <w:lang w:val="pl"/>
        </w:rPr>
        <w:t>W niektórych przypadkach</w:t>
      </w:r>
      <w:r w:rsidR="008055D7">
        <w:rPr>
          <w:lang w:val="pl"/>
        </w:rPr>
        <w:t xml:space="preserve"> władze odnosiły się do trudnej sytuacji osobistej skarżącej, ponieważ przebywała ona w zakładzie karnym wraz z dzieckiem. Chociaż przyzna</w:t>
      </w:r>
      <w:r>
        <w:rPr>
          <w:lang w:val="pl"/>
        </w:rPr>
        <w:t>wa</w:t>
      </w:r>
      <w:r w:rsidR="008055D7">
        <w:rPr>
          <w:lang w:val="pl"/>
        </w:rPr>
        <w:t xml:space="preserve">ły, że zakład karny nie jest idealnym miejscem do wychowywania dziecka, nie stanowiło to wyraźnego przeciwwskazania dla </w:t>
      </w:r>
      <w:r>
        <w:rPr>
          <w:lang w:val="pl"/>
        </w:rPr>
        <w:t>jej aresztowania</w:t>
      </w:r>
      <w:r w:rsidR="008055D7">
        <w:rPr>
          <w:lang w:val="pl"/>
        </w:rPr>
        <w:t>.</w:t>
      </w:r>
    </w:p>
    <w:p w14:paraId="288BF79D" w14:textId="54A304D8" w:rsidR="00E70AE3" w:rsidRPr="0058055F" w:rsidRDefault="008055D7" w:rsidP="0070271E">
      <w:pPr>
        <w:pStyle w:val="JuPara"/>
        <w:rPr>
          <w:lang w:val="pl-PL"/>
        </w:rPr>
      </w:pPr>
      <w:r>
        <w:rPr>
          <w:lang w:val="pl"/>
        </w:rPr>
        <w:lastRenderedPageBreak/>
        <w:t xml:space="preserve">Wreszcie władze krajowe wielokrotnie badały </w:t>
      </w:r>
      <w:r w:rsidR="009052C8">
        <w:rPr>
          <w:lang w:val="pl"/>
        </w:rPr>
        <w:t xml:space="preserve">zarzuty </w:t>
      </w:r>
      <w:r>
        <w:rPr>
          <w:lang w:val="pl"/>
        </w:rPr>
        <w:t xml:space="preserve">skarżącej, </w:t>
      </w:r>
      <w:r w:rsidR="009052C8">
        <w:rPr>
          <w:lang w:val="pl"/>
        </w:rPr>
        <w:t>że kontynuowanie jej</w:t>
      </w:r>
      <w:r>
        <w:rPr>
          <w:lang w:val="pl"/>
        </w:rPr>
        <w:t xml:space="preserve"> </w:t>
      </w:r>
      <w:r w:rsidR="009052C8">
        <w:rPr>
          <w:lang w:val="pl"/>
        </w:rPr>
        <w:t xml:space="preserve">tymczasowego </w:t>
      </w:r>
      <w:r>
        <w:rPr>
          <w:lang w:val="pl"/>
        </w:rPr>
        <w:t>aresztowani</w:t>
      </w:r>
      <w:r w:rsidR="009052C8">
        <w:rPr>
          <w:lang w:val="pl"/>
        </w:rPr>
        <w:t>a</w:t>
      </w:r>
      <w:r>
        <w:rPr>
          <w:lang w:val="pl"/>
        </w:rPr>
        <w:t xml:space="preserve"> stanowiło naruszenie Konwencji, uzna</w:t>
      </w:r>
      <w:r w:rsidR="009052C8">
        <w:rPr>
          <w:lang w:val="pl"/>
        </w:rPr>
        <w:t>wa</w:t>
      </w:r>
      <w:r>
        <w:rPr>
          <w:lang w:val="pl"/>
        </w:rPr>
        <w:t xml:space="preserve">ły one jednak, że </w:t>
      </w:r>
      <w:r w:rsidR="001748F6">
        <w:rPr>
          <w:lang w:val="pl"/>
        </w:rPr>
        <w:t xml:space="preserve">jej dalsze </w:t>
      </w:r>
      <w:r>
        <w:rPr>
          <w:lang w:val="pl"/>
        </w:rPr>
        <w:t>aresztowani</w:t>
      </w:r>
      <w:r w:rsidR="001748F6">
        <w:rPr>
          <w:lang w:val="pl"/>
        </w:rPr>
        <w:t>e</w:t>
      </w:r>
      <w:r>
        <w:rPr>
          <w:lang w:val="pl"/>
        </w:rPr>
        <w:t xml:space="preserve"> </w:t>
      </w:r>
      <w:r w:rsidR="001748F6">
        <w:rPr>
          <w:lang w:val="pl"/>
        </w:rPr>
        <w:t xml:space="preserve">stosowano </w:t>
      </w:r>
      <w:r>
        <w:rPr>
          <w:lang w:val="pl"/>
        </w:rPr>
        <w:t>jedynie na okres niezbędny do zakończenia procesu i że całkowity czas pozbawienia wolności nie był nieuzasadniony.</w:t>
      </w:r>
    </w:p>
    <w:bookmarkStart w:id="3" w:name="facts_gold"/>
    <w:p w14:paraId="1CA6FF2E" w14:textId="7B4306DC" w:rsidR="00E70AE3" w:rsidRPr="0058055F" w:rsidRDefault="008055D7"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w:t>
      </w:r>
      <w:r>
        <w:rPr>
          <w:lang w:val="pl"/>
        </w:rPr>
        <w:fldChar w:fldCharType="end"/>
      </w:r>
      <w:bookmarkEnd w:id="3"/>
      <w:r>
        <w:rPr>
          <w:lang w:val="pl"/>
        </w:rPr>
        <w:t xml:space="preserve">.  W wydanych w okresie od 8 kwietnia 2015 r. do 20 lipca 2016 r. postanowieniach w przedmiocie przedłużenia tymczasowego aresztowania </w:t>
      </w:r>
      <w:r w:rsidR="00711A29">
        <w:rPr>
          <w:lang w:val="pl"/>
        </w:rPr>
        <w:t xml:space="preserve">skarżącej </w:t>
      </w:r>
      <w:r>
        <w:rPr>
          <w:lang w:val="pl"/>
        </w:rPr>
        <w:t>Sąd Apelacyjny w Gdańsku o</w:t>
      </w:r>
      <w:r w:rsidR="00711A29">
        <w:rPr>
          <w:lang w:val="pl"/>
        </w:rPr>
        <w:t>dwoływał</w:t>
      </w:r>
      <w:r>
        <w:rPr>
          <w:lang w:val="pl"/>
        </w:rPr>
        <w:t xml:space="preserve"> się do incydentu z 2012 r., kiedy to skarżąca przypuszczalnie próbowała sprzedać 15 kilogramów złota osobie, która stała się świadkiem w postępowaniu. Sąd uznał za uzasadnione stwierdzenie, że ryzyko zakłócania przez skarżącą przebiegu postępowania nie było hipotetyczne, lecz całkowicie realne i oparte na konkretnych okolicznościach.</w:t>
      </w:r>
    </w:p>
    <w:p w14:paraId="4D984394" w14:textId="6153AF23"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15</w:t>
      </w:r>
      <w:r>
        <w:rPr>
          <w:noProof/>
          <w:lang w:val="pl"/>
        </w:rPr>
        <w:fldChar w:fldCharType="end"/>
      </w:r>
      <w:r>
        <w:rPr>
          <w:lang w:val="pl"/>
        </w:rPr>
        <w:t>.  W postanowieniu z 18 stycznia 2018 r. w przedmiocie przedłużenia tymczasowego aresztowania</w:t>
      </w:r>
      <w:r w:rsidR="004864DD">
        <w:rPr>
          <w:lang w:val="pl"/>
        </w:rPr>
        <w:t xml:space="preserve"> skarżącej</w:t>
      </w:r>
      <w:r>
        <w:rPr>
          <w:lang w:val="pl"/>
        </w:rPr>
        <w:t xml:space="preserve"> Sąd Apelacyjny w Gdańsku stwierdził, że do przesłuchania </w:t>
      </w:r>
      <w:r w:rsidR="004864DD">
        <w:rPr>
          <w:lang w:val="pl"/>
        </w:rPr>
        <w:t xml:space="preserve">ciągle </w:t>
      </w:r>
      <w:r>
        <w:rPr>
          <w:lang w:val="pl"/>
        </w:rPr>
        <w:t>pozostało jeszcze około 130 świadków, w związku z czym dalsze aresztowanie skarżącej jest konieczne.</w:t>
      </w:r>
    </w:p>
    <w:p w14:paraId="6565639F" w14:textId="42FFB14B"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16</w:t>
      </w:r>
      <w:r>
        <w:rPr>
          <w:noProof/>
          <w:lang w:val="pl"/>
        </w:rPr>
        <w:fldChar w:fldCharType="end"/>
      </w:r>
      <w:r>
        <w:rPr>
          <w:lang w:val="pl"/>
        </w:rPr>
        <w:t xml:space="preserve">.  Postanowieniem z 9 stycznia 2019 r. Sąd Apelacyjny w Gdańsku zgodził się na przedłużenie tymczasowego aresztowania, </w:t>
      </w:r>
      <w:r w:rsidR="004864DD">
        <w:rPr>
          <w:lang w:val="pl"/>
        </w:rPr>
        <w:t xml:space="preserve">ale </w:t>
      </w:r>
      <w:r>
        <w:rPr>
          <w:lang w:val="pl"/>
        </w:rPr>
        <w:t xml:space="preserve">jedynie do 15 lutego 2019 r., stwierdzając, iż dalsze aresztowanie nie będzie już uzasadnione, chyba że zaistnieją nowe okoliczności. </w:t>
      </w:r>
      <w:r w:rsidR="004864DD">
        <w:rPr>
          <w:lang w:val="pl"/>
        </w:rPr>
        <w:t>T</w:t>
      </w:r>
      <w:r>
        <w:rPr>
          <w:lang w:val="pl"/>
        </w:rPr>
        <w:t xml:space="preserve">ymczasowe aresztowanie </w:t>
      </w:r>
      <w:r w:rsidR="004864DD">
        <w:rPr>
          <w:lang w:val="pl"/>
        </w:rPr>
        <w:t xml:space="preserve">skarżącej </w:t>
      </w:r>
      <w:r>
        <w:rPr>
          <w:lang w:val="pl"/>
        </w:rPr>
        <w:t>ponownie przedłużono 12 lutego i 10 kwietnia 2019 r.</w:t>
      </w:r>
    </w:p>
    <w:p w14:paraId="7DABC950" w14:textId="7644AAAD"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17</w:t>
      </w:r>
      <w:r>
        <w:rPr>
          <w:noProof/>
          <w:lang w:val="pl"/>
        </w:rPr>
        <w:fldChar w:fldCharType="end"/>
      </w:r>
      <w:r>
        <w:rPr>
          <w:lang w:val="pl"/>
        </w:rPr>
        <w:t xml:space="preserve">.  Skarżąca bezskutecznie składała zażalenia na wszystkie postanowienia w przedmiocie przedłużenia stosowanego wobec niej tymczasowego aresztowania. Wielokrotnie składała wnioski o uchylenie tymczasowego aresztowania i zastosowanie innych środków zapobiegawczych, w szczególności </w:t>
      </w:r>
      <w:r w:rsidR="004C3738">
        <w:rPr>
          <w:lang w:val="pl"/>
        </w:rPr>
        <w:t>poręczenia majątkowego</w:t>
      </w:r>
      <w:r>
        <w:rPr>
          <w:lang w:val="pl"/>
        </w:rPr>
        <w:t>.</w:t>
      </w:r>
    </w:p>
    <w:p w14:paraId="4256FA3F"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18</w:t>
      </w:r>
      <w:r>
        <w:rPr>
          <w:noProof/>
          <w:lang w:val="pl"/>
        </w:rPr>
        <w:fldChar w:fldCharType="end"/>
      </w:r>
      <w:r>
        <w:rPr>
          <w:lang w:val="pl"/>
        </w:rPr>
        <w:t>.  W dniu 23 września 2021 r. skarżącą zwolniono z aresztu.</w:t>
      </w:r>
    </w:p>
    <w:p w14:paraId="1DCB2A37" w14:textId="4A92CC6C" w:rsidR="00E70AE3" w:rsidRPr="00617058" w:rsidRDefault="00617058" w:rsidP="00617058">
      <w:pPr>
        <w:pStyle w:val="JuHA"/>
        <w:numPr>
          <w:ilvl w:val="0"/>
          <w:numId w:val="0"/>
        </w:numPr>
        <w:ind w:left="510" w:hanging="340"/>
        <w:rPr>
          <w:lang w:val="pl-PL"/>
        </w:rPr>
      </w:pPr>
      <w:r w:rsidRPr="00617058">
        <w:rPr>
          <w:lang w:val="pl-PL"/>
        </w:rPr>
        <w:t>C.</w:t>
      </w:r>
      <w:r w:rsidRPr="00617058">
        <w:rPr>
          <w:lang w:val="pl-PL"/>
        </w:rPr>
        <w:tab/>
      </w:r>
      <w:r w:rsidR="008055D7">
        <w:rPr>
          <w:lang w:val="pl"/>
        </w:rPr>
        <w:t>Postępowanie sądowe</w:t>
      </w:r>
    </w:p>
    <w:bookmarkStart w:id="4" w:name="conviction_2019"/>
    <w:p w14:paraId="161F45F7" w14:textId="4354B63E" w:rsidR="00E70AE3" w:rsidRPr="0058055F" w:rsidRDefault="008055D7"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19</w:t>
      </w:r>
      <w:r>
        <w:rPr>
          <w:lang w:val="pl"/>
        </w:rPr>
        <w:fldChar w:fldCharType="end"/>
      </w:r>
      <w:bookmarkEnd w:id="4"/>
      <w:r>
        <w:rPr>
          <w:lang w:val="pl"/>
        </w:rPr>
        <w:t xml:space="preserve">.  W dniu 20 maja 2019 r. Sąd Rejonowy w Gdańsku skazał skarżącą i jej byłego męża, M.P. W tym dniu sąd rozpoczął odczytywanie wyroku, które trwało do dnia 16 października 2019 r. Skarżąca została skazana na karę </w:t>
      </w:r>
      <w:r w:rsidR="004C3738">
        <w:rPr>
          <w:lang w:val="pl"/>
        </w:rPr>
        <w:t xml:space="preserve">12 lat i 6 miesięcy </w:t>
      </w:r>
      <w:r>
        <w:rPr>
          <w:lang w:val="pl"/>
        </w:rPr>
        <w:t>pozbawienia wolności. W lipcu 2020 r. sąd przygotował pisemne uzasadnienie wyroku, a skarżąca złożyła apelację.</w:t>
      </w:r>
    </w:p>
    <w:p w14:paraId="48CBE13B" w14:textId="6EAC2C74"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20</w:t>
      </w:r>
      <w:r>
        <w:rPr>
          <w:noProof/>
          <w:lang w:val="pl"/>
        </w:rPr>
        <w:fldChar w:fldCharType="end"/>
      </w:r>
      <w:r>
        <w:rPr>
          <w:lang w:val="pl"/>
        </w:rPr>
        <w:t xml:space="preserve">.  W dniu 30 maja 2022 r. Sąd Apelacyjny w Gdańsku utrzymał w mocy wyrok </w:t>
      </w:r>
      <w:r w:rsidR="004C3738">
        <w:rPr>
          <w:lang w:val="pl"/>
        </w:rPr>
        <w:t>sądu</w:t>
      </w:r>
      <w:r>
        <w:rPr>
          <w:lang w:val="pl"/>
        </w:rPr>
        <w:t xml:space="preserve"> pierwszej instancji, ale obniżył karę </w:t>
      </w:r>
      <w:r w:rsidR="004C3738">
        <w:rPr>
          <w:lang w:val="pl"/>
        </w:rPr>
        <w:t xml:space="preserve">wymierzoną </w:t>
      </w:r>
      <w:r>
        <w:rPr>
          <w:lang w:val="pl"/>
        </w:rPr>
        <w:t>skarżącej do 11 lat i 6 miesięcy pozbawienia wolności.</w:t>
      </w:r>
    </w:p>
    <w:p w14:paraId="508C7FBB" w14:textId="179F0516" w:rsidR="00E70AE3" w:rsidRPr="0058055F" w:rsidRDefault="00617058" w:rsidP="00617058">
      <w:pPr>
        <w:pStyle w:val="JuHIRoman"/>
        <w:numPr>
          <w:ilvl w:val="0"/>
          <w:numId w:val="0"/>
        </w:numPr>
        <w:ind w:left="369" w:hanging="369"/>
        <w:rPr>
          <w:lang w:val="pl-PL"/>
        </w:rPr>
      </w:pPr>
      <w:r w:rsidRPr="0058055F">
        <w:rPr>
          <w:lang w:val="pl-PL"/>
        </w:rPr>
        <w:lastRenderedPageBreak/>
        <w:t>II.</w:t>
      </w:r>
      <w:r w:rsidRPr="0058055F">
        <w:rPr>
          <w:lang w:val="pl-PL"/>
        </w:rPr>
        <w:tab/>
      </w:r>
      <w:r w:rsidR="008055D7">
        <w:rPr>
          <w:bCs w:val="0"/>
          <w:lang w:val="pl"/>
        </w:rPr>
        <w:t>RELACJA Z T.R. i NARODZINY DZIECKA</w:t>
      </w:r>
    </w:p>
    <w:p w14:paraId="390D06F8" w14:textId="6D8EBABE" w:rsidR="00E70AE3" w:rsidRPr="00617058" w:rsidRDefault="00617058" w:rsidP="00617058">
      <w:pPr>
        <w:pStyle w:val="JuHA"/>
        <w:numPr>
          <w:ilvl w:val="0"/>
          <w:numId w:val="0"/>
        </w:numPr>
        <w:ind w:left="510" w:hanging="340"/>
        <w:rPr>
          <w:lang w:val="pl-PL"/>
        </w:rPr>
      </w:pPr>
      <w:r w:rsidRPr="00617058">
        <w:rPr>
          <w:lang w:val="pl-PL"/>
        </w:rPr>
        <w:t>A.</w:t>
      </w:r>
      <w:r w:rsidRPr="00617058">
        <w:rPr>
          <w:lang w:val="pl-PL"/>
        </w:rPr>
        <w:tab/>
      </w:r>
      <w:r w:rsidR="008055D7">
        <w:rPr>
          <w:lang w:val="pl"/>
        </w:rPr>
        <w:t>Ciąża i poród</w:t>
      </w:r>
    </w:p>
    <w:p w14:paraId="43D1305C" w14:textId="58225E4C"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21</w:t>
      </w:r>
      <w:r>
        <w:rPr>
          <w:noProof/>
          <w:lang w:val="pl"/>
        </w:rPr>
        <w:fldChar w:fldCharType="end"/>
      </w:r>
      <w:r>
        <w:rPr>
          <w:lang w:val="pl"/>
        </w:rPr>
        <w:t xml:space="preserve">.  W dniu zatrzymania, </w:t>
      </w:r>
      <w:r w:rsidR="004C3738">
        <w:rPr>
          <w:lang w:val="pl"/>
        </w:rPr>
        <w:t>15 kw</w:t>
      </w:r>
      <w:r>
        <w:rPr>
          <w:lang w:val="pl"/>
        </w:rPr>
        <w:t>ietnia 2013 r., skarżąca uskarżała się na zły stan psychiczny. W dniu 17 kwietnia 2013 r. dyrektor zakładu karnego w Łodzi postanowił uwzględnić wniosek skarżącej i zastosował środki wzmożonej ochrony. Dyrektor zakładu zauważył, że chociaż do tej pory nie doszło do żadnych incydentów, sprawa skarżącej spotkała się jednak z dużym zainteresowaniem mediów, a niektórzy osadzeni lub ich rodziny mogli być ofiarami spółki A.</w:t>
      </w:r>
    </w:p>
    <w:p w14:paraId="4B391236"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22</w:t>
      </w:r>
      <w:r>
        <w:rPr>
          <w:noProof/>
          <w:lang w:val="pl"/>
        </w:rPr>
        <w:fldChar w:fldCharType="end"/>
      </w:r>
      <w:r>
        <w:rPr>
          <w:lang w:val="pl"/>
        </w:rPr>
        <w:t>.  W okresie pozbawienia wolności skarżąca cierpiała na depresję i różne inne dolegliwości. W okresie, o którym mowa poniżej, skarżąca otrzymywała pomoc psychologiczną oraz leki, w tym środki antydepresyjne i psychotropowe.</w:t>
      </w:r>
    </w:p>
    <w:bookmarkStart w:id="5" w:name="statement_CP_2016_account1"/>
    <w:p w14:paraId="677C84D2" w14:textId="75B764D9" w:rsidR="00E70AE3" w:rsidRPr="0058055F" w:rsidRDefault="008055D7"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23</w:t>
      </w:r>
      <w:r>
        <w:rPr>
          <w:lang w:val="pl"/>
        </w:rPr>
        <w:fldChar w:fldCharType="end"/>
      </w:r>
      <w:bookmarkEnd w:id="5"/>
      <w:r>
        <w:rPr>
          <w:lang w:val="pl"/>
        </w:rPr>
        <w:t>.  Po lecie 2013 r. funkcjonariusz służby więziennej T.R. został wychowawcą oddziału na oddziale skarżącej. Zgodnie z zeznaniami skarżącej złożonymi przed prokuratorem rejonowym w Grudziądzu (zob. paragraf </w:t>
      </w:r>
      <w:r>
        <w:rPr>
          <w:lang w:val="pl"/>
        </w:rPr>
        <w:fldChar w:fldCharType="begin"/>
      </w:r>
      <w:r>
        <w:rPr>
          <w:lang w:val="pl"/>
        </w:rPr>
        <w:instrText xml:space="preserve"> REF statement_CP_2016 \h </w:instrText>
      </w:r>
      <w:r>
        <w:rPr>
          <w:lang w:val="pl"/>
        </w:rPr>
      </w:r>
      <w:r>
        <w:rPr>
          <w:lang w:val="pl"/>
        </w:rPr>
        <w:fldChar w:fldCharType="separate"/>
      </w:r>
      <w:r>
        <w:rPr>
          <w:noProof/>
          <w:lang w:val="pl"/>
        </w:rPr>
        <w:t>37</w:t>
      </w:r>
      <w:r>
        <w:rPr>
          <w:lang w:val="pl"/>
        </w:rPr>
        <w:fldChar w:fldCharType="end"/>
      </w:r>
      <w:r>
        <w:rPr>
          <w:lang w:val="pl"/>
        </w:rPr>
        <w:t xml:space="preserve"> poniżej) funkcjonariusz spotykał się z nią na każd</w:t>
      </w:r>
      <w:r w:rsidR="00402E1D">
        <w:rPr>
          <w:lang w:val="pl"/>
        </w:rPr>
        <w:t>y</w:t>
      </w:r>
      <w:r>
        <w:rPr>
          <w:lang w:val="pl"/>
        </w:rPr>
        <w:t xml:space="preserve"> jej </w:t>
      </w:r>
      <w:r w:rsidR="00402E1D">
        <w:rPr>
          <w:lang w:val="pl"/>
        </w:rPr>
        <w:t>wniosek</w:t>
      </w:r>
      <w:r>
        <w:rPr>
          <w:lang w:val="pl"/>
        </w:rPr>
        <w:t xml:space="preserve"> ze względu na jej depresyjny stan. Z czasem zauważyła jednak, że ich spotkania stały się regularne i długie oraz że to T.R. je inicjował. Podczas gdy na początku spotkania trwały 15 minut i miały miejsce tylko wtedy, gdy </w:t>
      </w:r>
      <w:r w:rsidR="00402E1D">
        <w:rPr>
          <w:lang w:val="pl"/>
        </w:rPr>
        <w:t xml:space="preserve">potrzebowała </w:t>
      </w:r>
      <w:r>
        <w:rPr>
          <w:lang w:val="pl"/>
        </w:rPr>
        <w:t>się z nim zobaczyć, później odbywały się one codziennie i trwały do dwóch godzin i 30 minut. Doprowadziło to do wrogości ze strony innych osadzonych na oddziale, ponieważ postrzegano skarżącą jako monopolizującą czas wychowawcy. Skarżąca była jednak zobowiązana do wykonywania poleceń wychowawcy i uczestniczenia w spotkaniach, na które ją zapraszał. Wychowawca był ponadto jedynym funkcjonariuszem, z którym osadz</w:t>
      </w:r>
      <w:r w:rsidR="00402E1D">
        <w:rPr>
          <w:lang w:val="pl"/>
        </w:rPr>
        <w:t>one</w:t>
      </w:r>
      <w:r>
        <w:rPr>
          <w:lang w:val="pl"/>
        </w:rPr>
        <w:t xml:space="preserve"> mi</w:t>
      </w:r>
      <w:r w:rsidR="00402E1D">
        <w:rPr>
          <w:lang w:val="pl"/>
        </w:rPr>
        <w:t>ały</w:t>
      </w:r>
      <w:r>
        <w:rPr>
          <w:lang w:val="pl"/>
        </w:rPr>
        <w:t xml:space="preserve"> </w:t>
      </w:r>
      <w:r w:rsidR="00402E1D">
        <w:rPr>
          <w:lang w:val="pl"/>
        </w:rPr>
        <w:t xml:space="preserve">jakikolwiek </w:t>
      </w:r>
      <w:r>
        <w:rPr>
          <w:lang w:val="pl"/>
        </w:rPr>
        <w:t>regularn</w:t>
      </w:r>
      <w:r w:rsidR="00402E1D">
        <w:rPr>
          <w:lang w:val="pl"/>
        </w:rPr>
        <w:t>y</w:t>
      </w:r>
      <w:r>
        <w:rPr>
          <w:lang w:val="pl"/>
        </w:rPr>
        <w:t xml:space="preserve"> kontakt, i nie było żadnej innej osoby, której skarżąca mogłaby</w:t>
      </w:r>
      <w:r w:rsidR="00402E1D">
        <w:rPr>
          <w:lang w:val="pl"/>
        </w:rPr>
        <w:t xml:space="preserve"> </w:t>
      </w:r>
      <w:r>
        <w:rPr>
          <w:lang w:val="pl"/>
        </w:rPr>
        <w:t xml:space="preserve"> poskarżyć się na jego zachowanie. Później funkcjonariusz zaczął przekraczać granice, co polegało na tym, że dotykał ubrań skarżącej, rozmawiał z nią czule i przytulał. Około lutego 2014 r., kiedy skarżąca przebywała w pomieszczeniu z funkcjonariuszem T.R., on </w:t>
      </w:r>
      <w:r w:rsidR="00402E1D">
        <w:rPr>
          <w:lang w:val="pl"/>
        </w:rPr>
        <w:t>popchnął ją na</w:t>
      </w:r>
      <w:r>
        <w:rPr>
          <w:lang w:val="pl"/>
        </w:rPr>
        <w:t> drzwi, dotknął jej piersi i pocałował w usta. Po tym zdarzeniu pozwolił jej opuścić pomieszczenie, gdy o to poprosiła. Kiedy skarżąca próbowała stawić opór zalotom funkcjonariusza, T.R. powiedział, że nikt jej nie uwierzy, podkreślił swoją wysoką rangę i powiązania z dyrektorem zakładu karnego. Skarżąca tylko kilka razy spotkała dyrektor</w:t>
      </w:r>
      <w:r w:rsidR="004C1FEA">
        <w:rPr>
          <w:lang w:val="pl"/>
        </w:rPr>
        <w:t>a</w:t>
      </w:r>
      <w:r>
        <w:rPr>
          <w:lang w:val="pl"/>
        </w:rPr>
        <w:t xml:space="preserve"> zakładu karnego, w obecności T.R., i dyrektor zawsze dawał do zrozumienia, że we wszystkich sprawach powinna najpierw rozmawiać z wychowawcą.</w:t>
      </w:r>
    </w:p>
    <w:p w14:paraId="2F005903" w14:textId="7FD2CC29"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24</w:t>
      </w:r>
      <w:r>
        <w:rPr>
          <w:noProof/>
          <w:lang w:val="pl"/>
        </w:rPr>
        <w:fldChar w:fldCharType="end"/>
      </w:r>
      <w:r>
        <w:rPr>
          <w:lang w:val="pl"/>
        </w:rPr>
        <w:t>.  W kwietniu 2014 r. wychowawca skarżącej T.</w:t>
      </w:r>
      <w:r w:rsidR="004C1FEA">
        <w:rPr>
          <w:lang w:val="pl"/>
        </w:rPr>
        <w:t xml:space="preserve"> </w:t>
      </w:r>
      <w:r>
        <w:rPr>
          <w:lang w:val="pl"/>
        </w:rPr>
        <w:t xml:space="preserve">R. wezwał ją na spotkanie, podczas którego poinformował ją, że zmarł jej dziadek. Był to cios dla skarżącej, która była ze swoim dziadkiem bardzo zżyta. Zaczęła płakać i załamywać się. Funkcjonariusz zbliżył się do niej, zaczął ją całować, zdjął </w:t>
      </w:r>
      <w:r>
        <w:rPr>
          <w:lang w:val="pl"/>
        </w:rPr>
        <w:lastRenderedPageBreak/>
        <w:t>jej spodnie i odbył z nią stosunek. Skarżąca była zaskoczona, przerażona i nie czuła się na tyle silna, by przeciwstawić się jego naleganiom i determinacji. Później funkcjonariusz kazał jej się ubrać i przestać płakać; wezwał kogoś, aby przyszedł i zabrał skarżącą, choć zwykle sam odprowadzał ją do celi. Skarżącą oficjalnie poinformowano o śmierci dziadka dopiero kilka dni później, po powrocie dyrektora zakładu karnego.</w:t>
      </w:r>
    </w:p>
    <w:p w14:paraId="3B639112"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25</w:t>
      </w:r>
      <w:r>
        <w:rPr>
          <w:noProof/>
          <w:lang w:val="pl"/>
        </w:rPr>
        <w:fldChar w:fldCharType="end"/>
      </w:r>
      <w:r>
        <w:rPr>
          <w:lang w:val="pl"/>
        </w:rPr>
        <w:t>.  Spotkania skarżącej z wychowawcą T.R. odbywały się codziennie, a później wchodził on do jej celi, używając klucza, który sam zdobył. Skarżąca została przeniesiona do celi z tylko jedną inną osadzoną, która pracowała i w związku z tym była przez większość dnia nieobecna; T.R. powiedział skarżącej, że przeniesienia dokonano na jego prośbę. Wychowawca był życzliwy i miły dla skarżącej; był jedyną przyjazną i zainteresowaną osobą, z którą mogła rozmawiać. Wypytywał ją o wszystko i był zaangażowany we wszystkie aspekty jej codziennego życia, w tym w przekazywanie jej korespondencji i kierowanie jej do psychologa lub psychiatry.</w:t>
      </w:r>
    </w:p>
    <w:bookmarkStart w:id="6" w:name="statement_CP_2016_accountend"/>
    <w:p w14:paraId="75C1363A" w14:textId="25F1E84C" w:rsidR="00E70AE3" w:rsidRPr="0058055F" w:rsidRDefault="008055D7"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26</w:t>
      </w:r>
      <w:r>
        <w:rPr>
          <w:lang w:val="pl"/>
        </w:rPr>
        <w:fldChar w:fldCharType="end"/>
      </w:r>
      <w:bookmarkEnd w:id="6"/>
      <w:r>
        <w:rPr>
          <w:lang w:val="pl"/>
        </w:rPr>
        <w:t xml:space="preserve">.  Po powrocie T.R. z urlopu letniego skarżąca skontaktowała się z nim i poinformowała go, że nie chce kontynuować </w:t>
      </w:r>
      <w:r w:rsidR="00F50A4C">
        <w:rPr>
          <w:lang w:val="pl"/>
        </w:rPr>
        <w:t xml:space="preserve">ich </w:t>
      </w:r>
      <w:r>
        <w:rPr>
          <w:lang w:val="pl"/>
        </w:rPr>
        <w:t>związku, nie podoba jej się ta relacja i nie ma siły jej utrzymywać. Funkcjonariusz T.R. był oburzony i zaczął ignorować skarżącą i jej prośby. T.</w:t>
      </w:r>
      <w:r w:rsidR="00F50A4C">
        <w:rPr>
          <w:lang w:val="pl"/>
        </w:rPr>
        <w:t xml:space="preserve"> </w:t>
      </w:r>
      <w:r>
        <w:rPr>
          <w:lang w:val="pl"/>
        </w:rPr>
        <w:t>R. zachował się również w sposób, który skarżąca postrzegała jako grożenie jej pogorsz</w:t>
      </w:r>
      <w:r w:rsidR="00F50A4C">
        <w:rPr>
          <w:lang w:val="pl"/>
        </w:rPr>
        <w:t xml:space="preserve">eniem jej sytuacji </w:t>
      </w:r>
      <w:r>
        <w:rPr>
          <w:lang w:val="pl"/>
        </w:rPr>
        <w:t xml:space="preserve">i okazywanie władzy, jaką </w:t>
      </w:r>
      <w:r w:rsidR="00F50A4C">
        <w:rPr>
          <w:lang w:val="pl"/>
        </w:rPr>
        <w:t xml:space="preserve">miał </w:t>
      </w:r>
      <w:r>
        <w:rPr>
          <w:lang w:val="pl"/>
        </w:rPr>
        <w:t>nad nią. Chwalił się, że może ją przenieść do innej celi i że prawie popchnął inną osadzoną do samobójstwa. W pewnym momencie skarżąca przestała „walczyć” z T.</w:t>
      </w:r>
      <w:r w:rsidR="00F50A4C">
        <w:rPr>
          <w:lang w:val="pl"/>
        </w:rPr>
        <w:t xml:space="preserve"> </w:t>
      </w:r>
      <w:r>
        <w:rPr>
          <w:lang w:val="pl"/>
        </w:rPr>
        <w:t xml:space="preserve">R. i ponownie zaczęli regularnie odbywać stosunki seksualne. Dochodziło do nich, gdy skarżąca czuła się przygnębiona, po </w:t>
      </w:r>
      <w:r w:rsidR="00F50A4C">
        <w:rPr>
          <w:lang w:val="pl"/>
        </w:rPr>
        <w:t>posiedzeniach</w:t>
      </w:r>
      <w:r>
        <w:rPr>
          <w:lang w:val="pl"/>
        </w:rPr>
        <w:t>, na któr</w:t>
      </w:r>
      <w:r w:rsidR="00F50A4C">
        <w:rPr>
          <w:lang w:val="pl"/>
        </w:rPr>
        <w:t>ych</w:t>
      </w:r>
      <w:r>
        <w:rPr>
          <w:lang w:val="pl"/>
        </w:rPr>
        <w:t xml:space="preserve"> przedłużono jej tymczasowe aresztowanie lub gdy była z innego powodu zdenerwowana. Sytuacja ta trwała do końca listopada 2014 r., kiedy funkcjonariusz został przeniesiony na inny oddział.</w:t>
      </w:r>
    </w:p>
    <w:p w14:paraId="104A5558" w14:textId="4C697D81"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27</w:t>
      </w:r>
      <w:r>
        <w:rPr>
          <w:noProof/>
          <w:lang w:val="pl"/>
        </w:rPr>
        <w:fldChar w:fldCharType="end"/>
      </w:r>
      <w:r>
        <w:rPr>
          <w:lang w:val="pl"/>
        </w:rPr>
        <w:t xml:space="preserve">.  W listopadzie 2014 r. skarżąca zaszła w ciążę podczas </w:t>
      </w:r>
      <w:r w:rsidR="00F50A4C">
        <w:rPr>
          <w:lang w:val="pl"/>
        </w:rPr>
        <w:t xml:space="preserve">osadzenia </w:t>
      </w:r>
      <w:r>
        <w:rPr>
          <w:lang w:val="pl"/>
        </w:rPr>
        <w:t>w Zakładzie Karnym w Łodzi.</w:t>
      </w:r>
    </w:p>
    <w:p w14:paraId="0EB8D7A1" w14:textId="0600AC29"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28</w:t>
      </w:r>
      <w:r>
        <w:rPr>
          <w:noProof/>
          <w:lang w:val="pl"/>
        </w:rPr>
        <w:fldChar w:fldCharType="end"/>
      </w:r>
      <w:r>
        <w:rPr>
          <w:lang w:val="pl"/>
        </w:rPr>
        <w:t xml:space="preserve">.  W dniu 1 kwietnia 2015 r. skarżącą przeniesiono do Zakładu Karnego w Grudziądzu, który posiada oddział dla kobiet w ciąży i po jej zakończeniu – </w:t>
      </w:r>
      <w:r w:rsidR="00F50A4C">
        <w:rPr>
          <w:lang w:val="pl"/>
        </w:rPr>
        <w:t xml:space="preserve">do </w:t>
      </w:r>
      <w:r>
        <w:rPr>
          <w:lang w:val="pl"/>
        </w:rPr>
        <w:t>Dom</w:t>
      </w:r>
      <w:r w:rsidR="00F50A4C">
        <w:rPr>
          <w:lang w:val="pl"/>
        </w:rPr>
        <w:t>u</w:t>
      </w:r>
      <w:r>
        <w:rPr>
          <w:lang w:val="pl"/>
        </w:rPr>
        <w:t xml:space="preserve"> Matki i Dziecka. Dzieci mogą przebywać w placówce wraz z matkami w pierwszych latach życia.</w:t>
      </w:r>
    </w:p>
    <w:p w14:paraId="6434F9FA"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29</w:t>
      </w:r>
      <w:r>
        <w:rPr>
          <w:noProof/>
          <w:lang w:val="pl"/>
        </w:rPr>
        <w:fldChar w:fldCharType="end"/>
      </w:r>
      <w:r>
        <w:rPr>
          <w:lang w:val="pl"/>
        </w:rPr>
        <w:t>.  W dniu 12 sierpnia 2015 r. skarżąca urodziła syna, J. Skarżąca musiała poddać się zabiegowi cesarskiego cięcia, ponieważ życie dziecka było zagrożone.</w:t>
      </w:r>
    </w:p>
    <w:p w14:paraId="5F66D864" w14:textId="62D962C1"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30</w:t>
      </w:r>
      <w:r>
        <w:rPr>
          <w:noProof/>
          <w:lang w:val="pl"/>
        </w:rPr>
        <w:fldChar w:fldCharType="end"/>
      </w:r>
      <w:r>
        <w:rPr>
          <w:lang w:val="pl"/>
        </w:rPr>
        <w:t>.  W dniu 26 października 2018 r. Sąd Rejonowy w Gdańsku postanowił, że skarżąca powinna nadal sprawować bezpośrednią opiekę nad synem, któremu zezwolono na pobyt z nią w placówce penitencjarnej dla matek do 12 sierpnia 2019 r., kiedy to dziecko ukończyłoby cztery lata.</w:t>
      </w:r>
    </w:p>
    <w:p w14:paraId="078855BD"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31</w:t>
      </w:r>
      <w:r>
        <w:rPr>
          <w:noProof/>
          <w:lang w:val="pl"/>
        </w:rPr>
        <w:fldChar w:fldCharType="end"/>
      </w:r>
      <w:r>
        <w:rPr>
          <w:lang w:val="pl"/>
        </w:rPr>
        <w:t>.  W dniu 30 stycznia 2020 r. Sąd Rejonowy w Gdańsku wydał postanowienie o ustanowieniu matki skarżącej opiekunem J.</w:t>
      </w:r>
    </w:p>
    <w:p w14:paraId="144DEC3C" w14:textId="2EC8EF3D" w:rsidR="00E70AE3" w:rsidRPr="0058055F" w:rsidRDefault="00617058" w:rsidP="00617058">
      <w:pPr>
        <w:pStyle w:val="JuHA"/>
        <w:numPr>
          <w:ilvl w:val="0"/>
          <w:numId w:val="0"/>
        </w:numPr>
        <w:ind w:left="510" w:hanging="340"/>
        <w:rPr>
          <w:lang w:val="pl-PL"/>
        </w:rPr>
      </w:pPr>
      <w:r w:rsidRPr="0058055F">
        <w:rPr>
          <w:lang w:val="pl-PL"/>
        </w:rPr>
        <w:lastRenderedPageBreak/>
        <w:t>B.</w:t>
      </w:r>
      <w:r w:rsidRPr="0058055F">
        <w:rPr>
          <w:lang w:val="pl-PL"/>
        </w:rPr>
        <w:tab/>
      </w:r>
      <w:r w:rsidR="008055D7">
        <w:rPr>
          <w:lang w:val="pl"/>
        </w:rPr>
        <w:t>Postępowanie karne przeciwko funkcjonariuszowi służby więziennej</w:t>
      </w:r>
    </w:p>
    <w:p w14:paraId="0C6C7299"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32</w:t>
      </w:r>
      <w:r>
        <w:rPr>
          <w:noProof/>
          <w:lang w:val="pl"/>
        </w:rPr>
        <w:fldChar w:fldCharType="end"/>
      </w:r>
      <w:r>
        <w:rPr>
          <w:lang w:val="pl"/>
        </w:rPr>
        <w:t>.  W dniu 13 marca 2015 r. prokuratura wszczęła śledztwo w sprawie okoliczności zajścia w ciążę przez skarżącą w okresie pozbawienia wolności. Skarżąca uzyskała status pokrzywdzonej w postępowaniu; była reprezentowana przez wybranego przez siebie prawnika. Została przesłuchana przez prokuratora, ale odmówiła złożenia zeznań na temat okoliczności, w jakich zaszła w ciążę w zakładzie karnym.</w:t>
      </w:r>
    </w:p>
    <w:p w14:paraId="3774FEEC" w14:textId="4084932E"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33</w:t>
      </w:r>
      <w:r>
        <w:rPr>
          <w:noProof/>
          <w:lang w:val="pl"/>
        </w:rPr>
        <w:fldChar w:fldCharType="end"/>
      </w:r>
      <w:r>
        <w:rPr>
          <w:lang w:val="pl"/>
        </w:rPr>
        <w:t>.  Prokurator przesłuchał innych świadków, w szczególności wysokiego rangą funkcjonariusza Zakładu Karnego w Łodzi oraz dyrektora Okręgowego Inspektoratu Służby Więziennej, którzy wskazali funkcjonariusza T.</w:t>
      </w:r>
      <w:r w:rsidR="00636D6F">
        <w:rPr>
          <w:lang w:val="pl"/>
        </w:rPr>
        <w:t xml:space="preserve"> </w:t>
      </w:r>
      <w:r>
        <w:rPr>
          <w:lang w:val="pl"/>
        </w:rPr>
        <w:t>R. jako najbardziej prawdopodobnego ojca dziecka skarżącej. Podejrzenia te opierały się w szczególności na notatkach psychologów, którzy poinformowali przełożonych T.</w:t>
      </w:r>
      <w:r w:rsidR="00636D6F">
        <w:rPr>
          <w:lang w:val="pl"/>
        </w:rPr>
        <w:t xml:space="preserve"> </w:t>
      </w:r>
      <w:r>
        <w:rPr>
          <w:lang w:val="pl"/>
        </w:rPr>
        <w:t>R., że odbywa</w:t>
      </w:r>
      <w:r w:rsidR="00636D6F">
        <w:rPr>
          <w:lang w:val="pl"/>
        </w:rPr>
        <w:t xml:space="preserve"> on</w:t>
      </w:r>
      <w:r>
        <w:rPr>
          <w:lang w:val="pl"/>
        </w:rPr>
        <w:t xml:space="preserve"> codzienne, długotrwałe i nienadzorowane spotkania ze skarżącą. Prokurator zauważył ponadto, iż w ramach prowadzonego równolegle postępowania dyscyplinarnego wobec T.</w:t>
      </w:r>
      <w:r w:rsidR="00636D6F">
        <w:rPr>
          <w:lang w:val="pl"/>
        </w:rPr>
        <w:t xml:space="preserve"> </w:t>
      </w:r>
      <w:r>
        <w:rPr>
          <w:lang w:val="pl"/>
        </w:rPr>
        <w:t>R. (zob. paragrafy </w:t>
      </w:r>
      <w:r>
        <w:rPr>
          <w:lang w:val="pl"/>
        </w:rPr>
        <w:fldChar w:fldCharType="begin"/>
      </w:r>
      <w:r>
        <w:rPr>
          <w:lang w:val="pl"/>
        </w:rPr>
        <w:instrText xml:space="preserve"> REF facts_discipl_start \h  \* MERGEFORMAT </w:instrText>
      </w:r>
      <w:r>
        <w:rPr>
          <w:lang w:val="pl"/>
        </w:rPr>
      </w:r>
      <w:r>
        <w:rPr>
          <w:lang w:val="pl"/>
        </w:rPr>
        <w:fldChar w:fldCharType="separate"/>
      </w:r>
      <w:r>
        <w:rPr>
          <w:lang w:val="pl"/>
        </w:rPr>
        <w:t>43</w:t>
      </w:r>
      <w:r>
        <w:rPr>
          <w:lang w:val="pl"/>
        </w:rPr>
        <w:fldChar w:fldCharType="end"/>
      </w:r>
      <w:r>
        <w:rPr>
          <w:lang w:val="pl"/>
        </w:rPr>
        <w:t>-</w:t>
      </w:r>
      <w:r>
        <w:rPr>
          <w:lang w:val="pl"/>
        </w:rPr>
        <w:fldChar w:fldCharType="begin"/>
      </w:r>
      <w:r>
        <w:rPr>
          <w:lang w:val="pl"/>
        </w:rPr>
        <w:instrText xml:space="preserve"> REF facts_discipl_end \h  \* MERGEFORMAT </w:instrText>
      </w:r>
      <w:r>
        <w:rPr>
          <w:lang w:val="pl"/>
        </w:rPr>
      </w:r>
      <w:r>
        <w:rPr>
          <w:lang w:val="pl"/>
        </w:rPr>
        <w:fldChar w:fldCharType="separate"/>
      </w:r>
      <w:r>
        <w:rPr>
          <w:lang w:val="pl"/>
        </w:rPr>
        <w:t>47</w:t>
      </w:r>
      <w:r>
        <w:rPr>
          <w:lang w:val="pl"/>
        </w:rPr>
        <w:fldChar w:fldCharType="end"/>
      </w:r>
      <w:r>
        <w:rPr>
          <w:lang w:val="pl"/>
        </w:rPr>
        <w:t xml:space="preserve"> poniżej) ustalono, że funkcjonariusz nawiązał ze skarżącą kontakt</w:t>
      </w:r>
      <w:r w:rsidR="007E084E">
        <w:rPr>
          <w:lang w:val="pl"/>
        </w:rPr>
        <w:t xml:space="preserve"> o</w:t>
      </w:r>
      <w:r>
        <w:rPr>
          <w:lang w:val="pl"/>
        </w:rPr>
        <w:t xml:space="preserve"> charakter</w:t>
      </w:r>
      <w:r w:rsidR="007E084E">
        <w:rPr>
          <w:lang w:val="pl"/>
        </w:rPr>
        <w:t>ze</w:t>
      </w:r>
      <w:r>
        <w:rPr>
          <w:lang w:val="pl"/>
        </w:rPr>
        <w:t xml:space="preserve"> inny</w:t>
      </w:r>
      <w:r w:rsidR="007E084E">
        <w:rPr>
          <w:lang w:val="pl"/>
        </w:rPr>
        <w:t>m</w:t>
      </w:r>
      <w:r>
        <w:rPr>
          <w:lang w:val="pl"/>
        </w:rPr>
        <w:t xml:space="preserve"> niż prof</w:t>
      </w:r>
      <w:r w:rsidR="007E084E">
        <w:rPr>
          <w:lang w:val="pl"/>
        </w:rPr>
        <w:t>esjonalne</w:t>
      </w:r>
      <w:r>
        <w:rPr>
          <w:lang w:val="pl"/>
        </w:rPr>
        <w:t>. W aktach dyscyplinarnych ujawniono sześć zdarzeń w okresie od sierpnia 2014 r. do stycznia 2015 r., w tym nieuprawnione zajmowanie się korespondencją skarżącej, organizowanie dla niej nie</w:t>
      </w:r>
      <w:r w:rsidR="007E084E">
        <w:rPr>
          <w:lang w:val="pl"/>
        </w:rPr>
        <w:t>za</w:t>
      </w:r>
      <w:r>
        <w:rPr>
          <w:lang w:val="pl"/>
        </w:rPr>
        <w:t xml:space="preserve">planowanych spotkań z psychiatrą, organizowanie codziennych i długotrwałych spotkań bez nadzoru oraz zabieranie kluczy do jej celi za zgodą innych funkcjonariuszy. Prokurator </w:t>
      </w:r>
      <w:r w:rsidR="007E084E">
        <w:rPr>
          <w:lang w:val="pl"/>
        </w:rPr>
        <w:t>odnotował</w:t>
      </w:r>
      <w:r>
        <w:rPr>
          <w:lang w:val="pl"/>
        </w:rPr>
        <w:t>, że nie rejestr</w:t>
      </w:r>
      <w:r w:rsidR="007E084E">
        <w:rPr>
          <w:lang w:val="pl"/>
        </w:rPr>
        <w:t>owano</w:t>
      </w:r>
      <w:r>
        <w:rPr>
          <w:lang w:val="pl"/>
        </w:rPr>
        <w:t xml:space="preserve"> spotkań T.</w:t>
      </w:r>
      <w:r w:rsidR="007E084E">
        <w:rPr>
          <w:lang w:val="pl"/>
        </w:rPr>
        <w:t xml:space="preserve"> </w:t>
      </w:r>
      <w:r>
        <w:rPr>
          <w:lang w:val="pl"/>
        </w:rPr>
        <w:t>R. ze skarżącą, ponieważ odbywały się one w obrębie tego samego oddziału. Dochodziło do nich w biurze, które nie było objęte monitoringiem wideo, a regulamin zakładu karnego nie nakładał żadnych ograniczeń co do częstotliwości spotkań osadzonych z wychowawcą. Prokurator przesłuchał również funkcjonariusza T.</w:t>
      </w:r>
      <w:r w:rsidR="00672554">
        <w:rPr>
          <w:lang w:val="pl"/>
        </w:rPr>
        <w:t xml:space="preserve"> </w:t>
      </w:r>
      <w:r>
        <w:rPr>
          <w:lang w:val="pl"/>
        </w:rPr>
        <w:t>R., który zaprzeczył jakiemukolwiek intymnemu kontaktowi ze skarżącą.</w:t>
      </w:r>
    </w:p>
    <w:p w14:paraId="1E646513"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34</w:t>
      </w:r>
      <w:r>
        <w:rPr>
          <w:noProof/>
          <w:lang w:val="pl"/>
        </w:rPr>
        <w:fldChar w:fldCharType="end"/>
      </w:r>
      <w:r>
        <w:rPr>
          <w:lang w:val="pl"/>
        </w:rPr>
        <w:t>.  W dniu 16 grudnia 2015 r. prokurator rejonowy w Łodzi umorzył śledztwo.</w:t>
      </w:r>
    </w:p>
    <w:p w14:paraId="0C864C5E" w14:textId="1AC7D3FC"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35</w:t>
      </w:r>
      <w:r>
        <w:rPr>
          <w:noProof/>
          <w:lang w:val="pl"/>
        </w:rPr>
        <w:fldChar w:fldCharType="end"/>
      </w:r>
      <w:r>
        <w:rPr>
          <w:lang w:val="pl"/>
        </w:rPr>
        <w:t>.  Prawnik skarżącej wniósł odwołanie, podnosząc w szczególności, że prokurator nie przeprowadził badania DNA w celu potwierdzenia ojcostwa funkcjonariusza T.</w:t>
      </w:r>
      <w:r w:rsidR="00672554">
        <w:rPr>
          <w:lang w:val="pl"/>
        </w:rPr>
        <w:t xml:space="preserve"> </w:t>
      </w:r>
      <w:r>
        <w:rPr>
          <w:lang w:val="pl"/>
        </w:rPr>
        <w:t xml:space="preserve">R., który w międzyczasie został wskazany przez skarżącą jako ojciec jej dziecka. Prawnik podniósł ponadto, że </w:t>
      </w:r>
      <w:r w:rsidR="00672554">
        <w:rPr>
          <w:lang w:val="pl"/>
        </w:rPr>
        <w:t xml:space="preserve">wskazany </w:t>
      </w:r>
      <w:r>
        <w:rPr>
          <w:lang w:val="pl"/>
        </w:rPr>
        <w:t>funkcjonariusz został ukarany dyscyplinarnie za „nawiązanie niezgodnej z prawem relacji ze [skarżącą], próby organizowania z nią spotkań, umożliwianie sobie nieograniczonego i niekontrolowanego dostępu do [skarżącej] poprzez uzyskanie nieuprawnionego dostępu do kluczy do jej celi, wyrażanie nieuzasadnionego zainteresowania jej życiem osobistym, niezachowanie odpowiednie</w:t>
      </w:r>
      <w:r w:rsidR="00672554">
        <w:rPr>
          <w:lang w:val="pl"/>
        </w:rPr>
        <w:t>go dystansu do niej</w:t>
      </w:r>
      <w:r>
        <w:rPr>
          <w:lang w:val="pl"/>
        </w:rPr>
        <w:t xml:space="preserve">, celowe wprowadzanie w błąd i przekazywanie swoim przełożonym nieprawdziwych informacji na </w:t>
      </w:r>
      <w:r>
        <w:rPr>
          <w:lang w:val="pl"/>
        </w:rPr>
        <w:lastRenderedPageBreak/>
        <w:t xml:space="preserve">temat okoliczności zajścia [przez skarżącą] w ciążę”. Ponadto skarżąca </w:t>
      </w:r>
      <w:r w:rsidR="00672554">
        <w:rPr>
          <w:lang w:val="pl"/>
        </w:rPr>
        <w:t xml:space="preserve">została </w:t>
      </w:r>
      <w:r>
        <w:rPr>
          <w:lang w:val="pl"/>
        </w:rPr>
        <w:t>wcześniej przesłuchana w warunkach, które uniemożliwiały jej wypowiedzenie się, ponieważ pozostawała osadzona w tej samej placówce, w której funkcjonariusz T.</w:t>
      </w:r>
      <w:r w:rsidR="00672554">
        <w:rPr>
          <w:lang w:val="pl"/>
        </w:rPr>
        <w:t xml:space="preserve"> </w:t>
      </w:r>
      <w:r>
        <w:rPr>
          <w:lang w:val="pl"/>
        </w:rPr>
        <w:t>R. nadal pracował. Z tego powodu w marcu 2015 r. odmówiła podania jakichkolwiek szczegółów lub złożenia zeznań na temat tego, z kim i w jakich okolicznościach zaszła w ciążę.</w:t>
      </w:r>
    </w:p>
    <w:p w14:paraId="172C6A0C"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36</w:t>
      </w:r>
      <w:r>
        <w:rPr>
          <w:noProof/>
          <w:lang w:val="pl"/>
        </w:rPr>
        <w:fldChar w:fldCharType="end"/>
      </w:r>
      <w:r>
        <w:rPr>
          <w:lang w:val="pl"/>
        </w:rPr>
        <w:t xml:space="preserve">.  W dniu 9 sierpnia 2016 r. Sąd Rejonowy w Łodzi (II </w:t>
      </w:r>
      <w:proofErr w:type="spellStart"/>
      <w:r>
        <w:rPr>
          <w:lang w:val="pl"/>
        </w:rPr>
        <w:t>Kp</w:t>
      </w:r>
      <w:proofErr w:type="spellEnd"/>
      <w:r>
        <w:rPr>
          <w:lang w:val="pl"/>
        </w:rPr>
        <w:t xml:space="preserve"> 243/16) uwzględnił odwołanie skarżącej i uchylił decyzję prokuratora.</w:t>
      </w:r>
    </w:p>
    <w:bookmarkStart w:id="7" w:name="statement_CP_2016"/>
    <w:p w14:paraId="1DED152B" w14:textId="7F1C1F11" w:rsidR="00E70AE3" w:rsidRPr="0058055F" w:rsidRDefault="008055D7"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37</w:t>
      </w:r>
      <w:r>
        <w:rPr>
          <w:lang w:val="pl"/>
        </w:rPr>
        <w:fldChar w:fldCharType="end"/>
      </w:r>
      <w:bookmarkEnd w:id="7"/>
      <w:r>
        <w:rPr>
          <w:lang w:val="pl"/>
        </w:rPr>
        <w:t>.  W dniu 28 września 2016 r. skarżącą przesłuchał prokurator rejonowy w Grudziądzu (zob. paragrafy </w:t>
      </w:r>
      <w:r>
        <w:rPr>
          <w:lang w:val="pl"/>
        </w:rPr>
        <w:fldChar w:fldCharType="begin"/>
      </w:r>
      <w:r>
        <w:rPr>
          <w:lang w:val="pl"/>
        </w:rPr>
        <w:instrText xml:space="preserve"> REF statement_CP_2016_account1 \h </w:instrText>
      </w:r>
      <w:r>
        <w:rPr>
          <w:lang w:val="pl"/>
        </w:rPr>
      </w:r>
      <w:r>
        <w:rPr>
          <w:lang w:val="pl"/>
        </w:rPr>
        <w:fldChar w:fldCharType="separate"/>
      </w:r>
      <w:r>
        <w:rPr>
          <w:noProof/>
          <w:lang w:val="pl"/>
        </w:rPr>
        <w:t>23</w:t>
      </w:r>
      <w:r>
        <w:rPr>
          <w:lang w:val="pl"/>
        </w:rPr>
        <w:fldChar w:fldCharType="end"/>
      </w:r>
      <w:r>
        <w:rPr>
          <w:lang w:val="pl"/>
        </w:rPr>
        <w:t>-</w:t>
      </w:r>
      <w:r>
        <w:rPr>
          <w:lang w:val="pl"/>
        </w:rPr>
        <w:fldChar w:fldCharType="begin"/>
      </w:r>
      <w:r>
        <w:rPr>
          <w:lang w:val="pl"/>
        </w:rPr>
        <w:instrText xml:space="preserve"> REF statement_CP_2016_accountend \h </w:instrText>
      </w:r>
      <w:r>
        <w:rPr>
          <w:lang w:val="pl"/>
        </w:rPr>
      </w:r>
      <w:r>
        <w:rPr>
          <w:lang w:val="pl"/>
        </w:rPr>
        <w:fldChar w:fldCharType="separate"/>
      </w:r>
      <w:r>
        <w:rPr>
          <w:noProof/>
          <w:lang w:val="pl"/>
        </w:rPr>
        <w:t>26</w:t>
      </w:r>
      <w:r>
        <w:rPr>
          <w:lang w:val="pl"/>
        </w:rPr>
        <w:fldChar w:fldCharType="end"/>
      </w:r>
      <w:r>
        <w:rPr>
          <w:lang w:val="pl"/>
        </w:rPr>
        <w:t xml:space="preserve"> powyżej zawierające szczegółowy opis zdarzeń podany przez skarżącą). Skarżąca wskazała, że po odkryciu ciąży pozostała w tym samym zakładzie karnym, w którym T.</w:t>
      </w:r>
      <w:r w:rsidR="00301143">
        <w:rPr>
          <w:lang w:val="pl"/>
        </w:rPr>
        <w:t xml:space="preserve"> </w:t>
      </w:r>
      <w:r>
        <w:rPr>
          <w:lang w:val="pl"/>
        </w:rPr>
        <w:t>R. nadal pracował. Z tego powodu, gdy była przesłuchiwana przez prokuratora, nie była gotowa zeznawać przeciwko T.</w:t>
      </w:r>
      <w:r w:rsidR="00301143">
        <w:rPr>
          <w:lang w:val="pl"/>
        </w:rPr>
        <w:t xml:space="preserve"> </w:t>
      </w:r>
      <w:r>
        <w:rPr>
          <w:lang w:val="pl"/>
        </w:rPr>
        <w:t>R. Funkcjonariusze służby więziennej i dyrektor zakładu karnego sugerowali jej milczenie; obwiniano ją za wpływ na administrację placówki mediów zainteresowanych jej ciążą, ponieważ w zakładzie karnym musiały zostać przeprowadzone różne kontrole wewnętrzne.</w:t>
      </w:r>
    </w:p>
    <w:p w14:paraId="2B51DF0D" w14:textId="35683446"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38</w:t>
      </w:r>
      <w:r>
        <w:rPr>
          <w:noProof/>
          <w:lang w:val="pl"/>
        </w:rPr>
        <w:fldChar w:fldCharType="end"/>
      </w:r>
      <w:r>
        <w:rPr>
          <w:lang w:val="pl"/>
        </w:rPr>
        <w:t>.  W dniu 7 października 2016 r. skarżąca ponownie zwróciła się do prokuratora o przeprowadzenie badania DNA jej syna w celu potwierdzenia ojcostwa T.</w:t>
      </w:r>
      <w:r w:rsidR="00301143">
        <w:rPr>
          <w:lang w:val="pl"/>
        </w:rPr>
        <w:t xml:space="preserve"> </w:t>
      </w:r>
      <w:r>
        <w:rPr>
          <w:lang w:val="pl"/>
        </w:rPr>
        <w:t>R.</w:t>
      </w:r>
    </w:p>
    <w:bookmarkStart w:id="8" w:name="facts_bill_indictment"/>
    <w:p w14:paraId="7EE6B3AF" w14:textId="02651B17" w:rsidR="00E70AE3" w:rsidRPr="0058055F" w:rsidRDefault="008055D7"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39</w:t>
      </w:r>
      <w:r>
        <w:rPr>
          <w:lang w:val="pl"/>
        </w:rPr>
        <w:fldChar w:fldCharType="end"/>
      </w:r>
      <w:bookmarkEnd w:id="8"/>
      <w:r>
        <w:rPr>
          <w:lang w:val="pl"/>
        </w:rPr>
        <w:t>.  W dniu 27 września 2018 r. T.</w:t>
      </w:r>
      <w:r w:rsidR="00301143">
        <w:rPr>
          <w:lang w:val="pl"/>
        </w:rPr>
        <w:t xml:space="preserve"> </w:t>
      </w:r>
      <w:r>
        <w:rPr>
          <w:lang w:val="pl"/>
        </w:rPr>
        <w:t>R. został postawiony w stan oskarżenia przed Sądem Rejonowym w Łodzi pod zarzutem przekroczenia uprawnień z art. 231 oraz wykorzystania seksualnego w </w:t>
      </w:r>
      <w:r w:rsidR="00301143">
        <w:rPr>
          <w:lang w:val="pl"/>
        </w:rPr>
        <w:t>sytuacji istnienia</w:t>
      </w:r>
      <w:r>
        <w:rPr>
          <w:lang w:val="pl"/>
        </w:rPr>
        <w:t xml:space="preserve"> stosunku zależności </w:t>
      </w:r>
      <w:r w:rsidR="00DC2B2C">
        <w:rPr>
          <w:lang w:val="pl"/>
        </w:rPr>
        <w:t>z</w:t>
      </w:r>
      <w:r>
        <w:rPr>
          <w:lang w:val="pl"/>
        </w:rPr>
        <w:t> art. 199 § 1 Kodeksu karnego. W akcie oskarżenia stwierdzono, co następuje:</w:t>
      </w:r>
    </w:p>
    <w:p w14:paraId="73884917" w14:textId="0091844A" w:rsidR="00E70AE3" w:rsidRPr="0058055F" w:rsidRDefault="008055D7" w:rsidP="0070271E">
      <w:pPr>
        <w:pStyle w:val="JuQuot"/>
        <w:rPr>
          <w:lang w:val="pl-PL"/>
        </w:rPr>
      </w:pPr>
      <w:r>
        <w:rPr>
          <w:lang w:val="pl"/>
        </w:rPr>
        <w:t>„[T.</w:t>
      </w:r>
      <w:r w:rsidR="00DC2B2C">
        <w:rPr>
          <w:lang w:val="pl"/>
        </w:rPr>
        <w:t xml:space="preserve"> </w:t>
      </w:r>
      <w:r>
        <w:rPr>
          <w:lang w:val="pl"/>
        </w:rPr>
        <w:t xml:space="preserve">R. </w:t>
      </w:r>
      <w:r w:rsidR="00DC2B2C">
        <w:rPr>
          <w:lang w:val="pl"/>
        </w:rPr>
        <w:t>O</w:t>
      </w:r>
      <w:r>
        <w:rPr>
          <w:lang w:val="pl"/>
        </w:rPr>
        <w:t>skarżono</w:t>
      </w:r>
      <w:r w:rsidR="00DC2B2C">
        <w:rPr>
          <w:lang w:val="pl"/>
        </w:rPr>
        <w:t xml:space="preserve"> o to</w:t>
      </w:r>
      <w:r>
        <w:rPr>
          <w:lang w:val="pl"/>
        </w:rPr>
        <w:t>, że] w okresie od lutego do listopada 2014 r. w Łodzi, będąc funkcjonariuszem publicznym, wbrew przepisom [ustawy o Służbie Więziennej], poprzez nadużycie stosunku zależności osadzon</w:t>
      </w:r>
      <w:r w:rsidR="00DC2B2C">
        <w:rPr>
          <w:lang w:val="pl"/>
        </w:rPr>
        <w:t>ej</w:t>
      </w:r>
      <w:r>
        <w:rPr>
          <w:lang w:val="pl"/>
        </w:rPr>
        <w:t xml:space="preserve"> w związku z pełnieniem przez niego funkcji wychowawcy oddziału kontaktował się z pokrzywdzoną w celach innych niż wynikające z jego obowiązków służbowych i doprowadził pokrzywdzoną do poddania się czynnościom seksualnym, w tym czynnościom skutkującym ciążą osadzonej, a tym samym działał na szkodę interesu osobistego [skarżącej] i interesu publicznego przez niezapewnienie prawidłowego wykonywania środka zapobiegawczego wobec oskarżonej oraz podważenie autorytetu Służby Więziennej”.</w:t>
      </w:r>
    </w:p>
    <w:p w14:paraId="4E68F5C2"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40</w:t>
      </w:r>
      <w:r>
        <w:rPr>
          <w:noProof/>
          <w:lang w:val="pl"/>
        </w:rPr>
        <w:fldChar w:fldCharType="end"/>
      </w:r>
      <w:r>
        <w:rPr>
          <w:lang w:val="pl"/>
        </w:rPr>
        <w:t>.  W listopadzie 2018 r. skarżąca przystąpiła do postępowania w charakterze oskarżycielki posiłkowej.</w:t>
      </w:r>
    </w:p>
    <w:bookmarkStart w:id="9" w:name="facts_TRconvicted"/>
    <w:p w14:paraId="2BA8FDCD" w14:textId="3EC82BF7" w:rsidR="00E70AE3" w:rsidRPr="0058055F" w:rsidRDefault="008055D7"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41</w:t>
      </w:r>
      <w:r>
        <w:rPr>
          <w:lang w:val="pl"/>
        </w:rPr>
        <w:fldChar w:fldCharType="end"/>
      </w:r>
      <w:bookmarkEnd w:id="9"/>
      <w:r>
        <w:rPr>
          <w:lang w:val="pl"/>
        </w:rPr>
        <w:t>.  W dniu 12 marca 2019 r. Sąd Rejonowy w Łodzi uznał funkcjonariusza T.</w:t>
      </w:r>
      <w:r w:rsidR="00DC2B2C">
        <w:rPr>
          <w:lang w:val="pl"/>
        </w:rPr>
        <w:t xml:space="preserve"> </w:t>
      </w:r>
      <w:r>
        <w:rPr>
          <w:lang w:val="pl"/>
        </w:rPr>
        <w:t xml:space="preserve">R. za winnego przekroczenia uprawnień </w:t>
      </w:r>
      <w:r w:rsidR="00DC2B2C">
        <w:rPr>
          <w:lang w:val="pl"/>
        </w:rPr>
        <w:t>z</w:t>
      </w:r>
      <w:r>
        <w:rPr>
          <w:lang w:val="pl"/>
        </w:rPr>
        <w:t xml:space="preserve"> art. 231 § 1 Kodeksu karnego oraz wykorzystania seksualnego w kontekście stosunku zależności </w:t>
      </w:r>
      <w:r w:rsidR="00DC2B2C">
        <w:rPr>
          <w:lang w:val="pl"/>
        </w:rPr>
        <w:t>z</w:t>
      </w:r>
      <w:r>
        <w:rPr>
          <w:lang w:val="pl"/>
        </w:rPr>
        <w:t xml:space="preserve"> art. 199 § 1 Kodeksu karnego i skazał go na karę </w:t>
      </w:r>
      <w:r w:rsidR="00DC2B2C">
        <w:rPr>
          <w:lang w:val="pl"/>
        </w:rPr>
        <w:t xml:space="preserve">jednego roku </w:t>
      </w:r>
      <w:r>
        <w:rPr>
          <w:lang w:val="pl"/>
        </w:rPr>
        <w:t>pozbawienia wolności</w:t>
      </w:r>
      <w:r w:rsidR="00DC2B2C">
        <w:rPr>
          <w:lang w:val="pl"/>
        </w:rPr>
        <w:t>,</w:t>
      </w:r>
      <w:r>
        <w:rPr>
          <w:lang w:val="pl"/>
        </w:rPr>
        <w:t xml:space="preserve"> </w:t>
      </w:r>
      <w:r w:rsidR="00DC2B2C">
        <w:rPr>
          <w:lang w:val="pl"/>
        </w:rPr>
        <w:t>z zawieszeniem jej wykonania na okres trzech</w:t>
      </w:r>
      <w:r>
        <w:rPr>
          <w:lang w:val="pl"/>
        </w:rPr>
        <w:t xml:space="preserve"> lat. Sąd </w:t>
      </w:r>
      <w:r w:rsidR="00DC2B2C">
        <w:rPr>
          <w:lang w:val="pl"/>
        </w:rPr>
        <w:t xml:space="preserve">wymierzył </w:t>
      </w:r>
      <w:r>
        <w:rPr>
          <w:lang w:val="pl"/>
        </w:rPr>
        <w:t>grzywnę w wysokości 5 000 złotych (PLN) i </w:t>
      </w:r>
      <w:r w:rsidR="00DC2B2C">
        <w:rPr>
          <w:lang w:val="pl"/>
        </w:rPr>
        <w:t xml:space="preserve">orzekł wobec </w:t>
      </w:r>
      <w:r>
        <w:rPr>
          <w:lang w:val="pl"/>
        </w:rPr>
        <w:t>T.</w:t>
      </w:r>
      <w:r w:rsidR="00DC2B2C">
        <w:rPr>
          <w:lang w:val="pl"/>
        </w:rPr>
        <w:t xml:space="preserve"> </w:t>
      </w:r>
      <w:r>
        <w:rPr>
          <w:lang w:val="pl"/>
        </w:rPr>
        <w:t xml:space="preserve">R. </w:t>
      </w:r>
      <w:r w:rsidR="00DC2B2C">
        <w:rPr>
          <w:lang w:val="pl"/>
        </w:rPr>
        <w:t xml:space="preserve">zakaz </w:t>
      </w:r>
      <w:r>
        <w:rPr>
          <w:lang w:val="pl"/>
        </w:rPr>
        <w:t>zajmowania stanowiska w Służbie Więziennej przez pięć lat. T.</w:t>
      </w:r>
      <w:r w:rsidR="00DC2B2C">
        <w:rPr>
          <w:lang w:val="pl"/>
        </w:rPr>
        <w:t xml:space="preserve"> </w:t>
      </w:r>
      <w:r>
        <w:rPr>
          <w:lang w:val="pl"/>
        </w:rPr>
        <w:t xml:space="preserve">R. został uznany za winnego popełnienia zarzucanych mu czynów (zob. </w:t>
      </w:r>
      <w:r>
        <w:rPr>
          <w:lang w:val="pl"/>
        </w:rPr>
        <w:lastRenderedPageBreak/>
        <w:t>paragraf </w:t>
      </w:r>
      <w:r>
        <w:rPr>
          <w:lang w:val="pl"/>
        </w:rPr>
        <w:fldChar w:fldCharType="begin"/>
      </w:r>
      <w:r>
        <w:rPr>
          <w:lang w:val="pl"/>
        </w:rPr>
        <w:instrText xml:space="preserve"> REF facts_bill_indictment \h </w:instrText>
      </w:r>
      <w:r>
        <w:rPr>
          <w:lang w:val="pl"/>
        </w:rPr>
      </w:r>
      <w:r>
        <w:rPr>
          <w:lang w:val="pl"/>
        </w:rPr>
        <w:fldChar w:fldCharType="separate"/>
      </w:r>
      <w:r>
        <w:rPr>
          <w:noProof/>
          <w:lang w:val="pl"/>
        </w:rPr>
        <w:t>39</w:t>
      </w:r>
      <w:r>
        <w:rPr>
          <w:lang w:val="pl"/>
        </w:rPr>
        <w:fldChar w:fldCharType="end"/>
      </w:r>
      <w:r>
        <w:rPr>
          <w:lang w:val="pl"/>
        </w:rPr>
        <w:t xml:space="preserve"> powyżej)</w:t>
      </w:r>
      <w:r w:rsidR="00E12121">
        <w:rPr>
          <w:lang w:val="pl"/>
        </w:rPr>
        <w:t xml:space="preserve"> z</w:t>
      </w:r>
      <w:r>
        <w:rPr>
          <w:lang w:val="pl"/>
        </w:rPr>
        <w:t xml:space="preserve"> niewielk</w:t>
      </w:r>
      <w:r w:rsidR="00E12121">
        <w:rPr>
          <w:lang w:val="pl"/>
        </w:rPr>
        <w:t>ą</w:t>
      </w:r>
      <w:r>
        <w:rPr>
          <w:lang w:val="pl"/>
        </w:rPr>
        <w:t xml:space="preserve"> </w:t>
      </w:r>
      <w:r w:rsidR="00E12121">
        <w:rPr>
          <w:lang w:val="pl"/>
        </w:rPr>
        <w:t xml:space="preserve">modyfikacją </w:t>
      </w:r>
      <w:r>
        <w:rPr>
          <w:lang w:val="pl"/>
        </w:rPr>
        <w:t>opis</w:t>
      </w:r>
      <w:r w:rsidR="00E12121">
        <w:rPr>
          <w:lang w:val="pl"/>
        </w:rPr>
        <w:t>u</w:t>
      </w:r>
      <w:r>
        <w:rPr>
          <w:lang w:val="pl"/>
        </w:rPr>
        <w:t xml:space="preserve"> przestępstwa</w:t>
      </w:r>
      <w:r w:rsidR="00E12121">
        <w:rPr>
          <w:lang w:val="pl"/>
        </w:rPr>
        <w:t>,</w:t>
      </w:r>
      <w:r>
        <w:rPr>
          <w:lang w:val="pl"/>
        </w:rPr>
        <w:t xml:space="preserve"> polegając</w:t>
      </w:r>
      <w:r w:rsidR="00E12121">
        <w:rPr>
          <w:lang w:val="pl"/>
        </w:rPr>
        <w:t>ą</w:t>
      </w:r>
      <w:r>
        <w:rPr>
          <w:lang w:val="pl"/>
        </w:rPr>
        <w:t xml:space="preserve"> na dodaniu sformułowania „przekroczył swoje uprawnienia”.</w:t>
      </w:r>
    </w:p>
    <w:p w14:paraId="0D1D71A6" w14:textId="0454D8C8"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42</w:t>
      </w:r>
      <w:r>
        <w:rPr>
          <w:noProof/>
          <w:lang w:val="pl"/>
        </w:rPr>
        <w:fldChar w:fldCharType="end"/>
      </w:r>
      <w:r>
        <w:rPr>
          <w:lang w:val="pl"/>
        </w:rPr>
        <w:t xml:space="preserve">.  Ponieważ strony nie odwołały się od wyroku, nie </w:t>
      </w:r>
      <w:r w:rsidR="00E12121">
        <w:rPr>
          <w:lang w:val="pl"/>
        </w:rPr>
        <w:t>sporządzano pisemnego</w:t>
      </w:r>
      <w:r>
        <w:rPr>
          <w:lang w:val="pl"/>
        </w:rPr>
        <w:t xml:space="preserve"> uzasadnienia, a wyrok stał się ostateczny w dniu 30 marca 2019 r.</w:t>
      </w:r>
    </w:p>
    <w:p w14:paraId="3D9DAE6B" w14:textId="4F52991E" w:rsidR="00E70AE3" w:rsidRPr="00617058" w:rsidRDefault="00617058" w:rsidP="00617058">
      <w:pPr>
        <w:pStyle w:val="JuHA"/>
        <w:numPr>
          <w:ilvl w:val="0"/>
          <w:numId w:val="0"/>
        </w:numPr>
        <w:ind w:left="510" w:hanging="340"/>
        <w:rPr>
          <w:lang w:val="pl-PL"/>
        </w:rPr>
      </w:pPr>
      <w:r w:rsidRPr="00617058">
        <w:rPr>
          <w:lang w:val="pl-PL"/>
        </w:rPr>
        <w:t>C.</w:t>
      </w:r>
      <w:r w:rsidRPr="00617058">
        <w:rPr>
          <w:lang w:val="pl-PL"/>
        </w:rPr>
        <w:tab/>
      </w:r>
      <w:r w:rsidR="008055D7">
        <w:rPr>
          <w:lang w:val="pl"/>
        </w:rPr>
        <w:t>Postępowanie dyscyplinarne</w:t>
      </w:r>
    </w:p>
    <w:bookmarkStart w:id="10" w:name="facts_discipl_start"/>
    <w:p w14:paraId="653912CA" w14:textId="1B0F4EE1" w:rsidR="00E70AE3" w:rsidRPr="0058055F" w:rsidRDefault="008055D7"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43</w:t>
      </w:r>
      <w:r>
        <w:rPr>
          <w:lang w:val="pl"/>
        </w:rPr>
        <w:fldChar w:fldCharType="end"/>
      </w:r>
      <w:bookmarkEnd w:id="10"/>
      <w:r>
        <w:rPr>
          <w:lang w:val="pl"/>
        </w:rPr>
        <w:t>.  W dniu 27 listopada 2015 r. dyrektor Zakładu Karnego w Łodzi uznał T.</w:t>
      </w:r>
      <w:r w:rsidR="00FB1585">
        <w:rPr>
          <w:lang w:val="pl"/>
        </w:rPr>
        <w:t xml:space="preserve"> </w:t>
      </w:r>
      <w:r>
        <w:rPr>
          <w:lang w:val="pl"/>
        </w:rPr>
        <w:t xml:space="preserve">R. za winnego popełnienia szeregu przewinień dyscyplinarnych, w tym utrzymywania niewłaściwych kontaktów ze skarżącą w okresie od września do listopada 2014 r., polegających na nadmiernym zainteresowaniu jej życiem osobistym, organizowaniu regularnych i długich spotkań z nią, interwencjach u lekarzy w celu zorganizowania dla niej wizyt lekarskich poza zwykłym zakresem swoich obowiązków, oraz naruszenia innych przepisów wewnętrznych dotyczących postępowania z osadzonymi (w tym postępowania z korespondencją skarżącej). Pomimo otrzymania oficjalnego zakazu </w:t>
      </w:r>
      <w:r w:rsidR="00FB1585">
        <w:rPr>
          <w:lang w:val="pl"/>
        </w:rPr>
        <w:t xml:space="preserve">jakichkolwiek </w:t>
      </w:r>
      <w:r>
        <w:rPr>
          <w:lang w:val="pl"/>
        </w:rPr>
        <w:t>kontaktów ze skarżącą funkcjonariusz odbył z nią w dniu 1 stycznia 2015 r. spotkanie, które trwało godzinę i 44 minuty. Funkcjonariusz naruszył przepisy wewnętrzne, ponieważ w okresie od września do 30 listopada 2014 r. używał specjalnego zestawu kluczy, dzięki któremu miał nieograniczony dostęp do celi skarżącej. Funkcjonariusz został również uznany za winnego</w:t>
      </w:r>
      <w:r w:rsidR="00E95226">
        <w:rPr>
          <w:lang w:val="pl"/>
        </w:rPr>
        <w:t xml:space="preserve"> korzystania z internetowych stron</w:t>
      </w:r>
      <w:r>
        <w:rPr>
          <w:lang w:val="pl"/>
        </w:rPr>
        <w:t xml:space="preserve"> pornograficznych na swoim komputerze służbowym, a także innych stron internetowych niezwiązanych z jego obowiązkami zawodowymi, w szczególności w celu wyszukiwania informacji związanych z obliczaniem dni płodnych w cyklu rozrodczym człowieka oraz informacji o ciąży. W trakcie śledztwa funkcjonariusz celowo i świadomie wprowadził władze w błąd, co utrudniało ustalenie okoliczności, w jakich skarżąca zaszła w ciążę i skutkowało szczególnie negatywnym wizerunkiem Służby Więziennej.</w:t>
      </w:r>
    </w:p>
    <w:p w14:paraId="5992BA01" w14:textId="6F30C633"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44</w:t>
      </w:r>
      <w:r>
        <w:rPr>
          <w:noProof/>
          <w:lang w:val="pl"/>
        </w:rPr>
        <w:fldChar w:fldCharType="end"/>
      </w:r>
      <w:r>
        <w:rPr>
          <w:lang w:val="pl"/>
        </w:rPr>
        <w:t>.  Dyrektor uznał jednak, iż nie ma wystarczających dowodów, aby stwierdzić, że T.</w:t>
      </w:r>
      <w:r w:rsidR="00E95226">
        <w:rPr>
          <w:lang w:val="pl"/>
        </w:rPr>
        <w:t xml:space="preserve"> </w:t>
      </w:r>
      <w:r>
        <w:rPr>
          <w:lang w:val="pl"/>
        </w:rPr>
        <w:t>R. nadużył swojego stanowiska w celu utrzymywania ze skarżącą relacji innych niż wynikające z pełnionych przez niego obowiązków służbowych, w tym kontaktów intymnych, w wyniku których zaszła w ciążę. Dyrektor zauważył, że skoro skarżąca postanowiła nie ujawniać, kto jest ojcem dziecka, istniało domniemanie ojcostwa wobec jej męża.</w:t>
      </w:r>
    </w:p>
    <w:p w14:paraId="6CF6A468" w14:textId="1E5F7648" w:rsidR="00E70AE3" w:rsidRPr="0058055F" w:rsidRDefault="008055D7" w:rsidP="0070271E">
      <w:pPr>
        <w:pStyle w:val="JuPara"/>
        <w:rPr>
          <w:lang w:val="pl-PL"/>
        </w:rPr>
      </w:pPr>
      <w:r>
        <w:rPr>
          <w:lang w:val="pl"/>
        </w:rPr>
        <w:t xml:space="preserve">Dyrektor </w:t>
      </w:r>
      <w:r w:rsidR="00E95226">
        <w:rPr>
          <w:lang w:val="pl"/>
        </w:rPr>
        <w:t xml:space="preserve">wymierzył </w:t>
      </w:r>
      <w:r>
        <w:rPr>
          <w:lang w:val="pl"/>
        </w:rPr>
        <w:t>karę dyscyplinarną polegającą na przeniesieniu na niższe stanowisko służbowe (degradacja). Funkcjonariusz T.</w:t>
      </w:r>
      <w:r w:rsidR="00E95226">
        <w:rPr>
          <w:lang w:val="pl"/>
        </w:rPr>
        <w:t xml:space="preserve"> </w:t>
      </w:r>
      <w:r>
        <w:rPr>
          <w:lang w:val="pl"/>
        </w:rPr>
        <w:t xml:space="preserve">R. </w:t>
      </w:r>
      <w:r w:rsidR="00E95226">
        <w:rPr>
          <w:lang w:val="pl"/>
        </w:rPr>
        <w:t xml:space="preserve">złożył </w:t>
      </w:r>
      <w:r>
        <w:rPr>
          <w:lang w:val="pl"/>
        </w:rPr>
        <w:t>odwołanie.</w:t>
      </w:r>
    </w:p>
    <w:p w14:paraId="4D0E2723" w14:textId="4F496B24"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45</w:t>
      </w:r>
      <w:r>
        <w:rPr>
          <w:noProof/>
          <w:lang w:val="pl"/>
        </w:rPr>
        <w:fldChar w:fldCharType="end"/>
      </w:r>
      <w:r>
        <w:rPr>
          <w:lang w:val="pl"/>
        </w:rPr>
        <w:t xml:space="preserve">.  W dniu 15 stycznia 2016 r. Dyrektor Okręgowy Służby Więziennej w Łodzi uchylił </w:t>
      </w:r>
      <w:r w:rsidR="00634866">
        <w:rPr>
          <w:lang w:val="pl"/>
        </w:rPr>
        <w:t xml:space="preserve">decyzję </w:t>
      </w:r>
      <w:r>
        <w:rPr>
          <w:lang w:val="pl"/>
        </w:rPr>
        <w:t>w odniesieniu do większości naruszeń i nałożył na T.</w:t>
      </w:r>
      <w:r w:rsidR="00634866">
        <w:rPr>
          <w:lang w:val="pl"/>
        </w:rPr>
        <w:t xml:space="preserve"> </w:t>
      </w:r>
      <w:r>
        <w:rPr>
          <w:lang w:val="pl"/>
        </w:rPr>
        <w:t>R karę nagany.</w:t>
      </w:r>
    </w:p>
    <w:p w14:paraId="33003F36" w14:textId="388E6A78"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46</w:t>
      </w:r>
      <w:r>
        <w:rPr>
          <w:noProof/>
          <w:lang w:val="pl"/>
        </w:rPr>
        <w:fldChar w:fldCharType="end"/>
      </w:r>
      <w:r>
        <w:rPr>
          <w:lang w:val="pl"/>
        </w:rPr>
        <w:t>.  W dniu 30 czerwca 2016 r. T.</w:t>
      </w:r>
      <w:r w:rsidR="00634866">
        <w:rPr>
          <w:lang w:val="pl"/>
        </w:rPr>
        <w:t xml:space="preserve"> </w:t>
      </w:r>
      <w:r>
        <w:rPr>
          <w:lang w:val="pl"/>
        </w:rPr>
        <w:t>R. przestał być zatrudniony w Służbie Więziennej.</w:t>
      </w:r>
    </w:p>
    <w:bookmarkStart w:id="11" w:name="facts_discipl_end"/>
    <w:p w14:paraId="2B85B7C3" w14:textId="4EA02CC1" w:rsidR="00E70AE3" w:rsidRPr="0058055F" w:rsidRDefault="008055D7" w:rsidP="0070271E">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47</w:t>
      </w:r>
      <w:r>
        <w:rPr>
          <w:lang w:val="pl"/>
        </w:rPr>
        <w:fldChar w:fldCharType="end"/>
      </w:r>
      <w:bookmarkEnd w:id="11"/>
      <w:r>
        <w:rPr>
          <w:lang w:val="pl"/>
        </w:rPr>
        <w:t xml:space="preserve">.  Fakt, że skarżąca zaszła w ciążę w okresie pozbawienia wolności, doprowadził do wszczęcia siedmiu innych postępowań dyscyplinarnych przeciwko funkcjonariuszom różnych stopni i pełniącym różne funkcje w Służbie Więziennej. Większość tych postępowań zakończyła się udzieleniem funkcjonariuszom nagan wydanych w różnych </w:t>
      </w:r>
      <w:r w:rsidR="00634866">
        <w:rPr>
          <w:lang w:val="pl"/>
        </w:rPr>
        <w:t xml:space="preserve">datach </w:t>
      </w:r>
      <w:r>
        <w:rPr>
          <w:lang w:val="pl"/>
        </w:rPr>
        <w:t>w 2015 r.</w:t>
      </w:r>
    </w:p>
    <w:p w14:paraId="43E76FB5" w14:textId="1769C260" w:rsidR="00E70AE3" w:rsidRPr="00617058" w:rsidRDefault="00617058" w:rsidP="00617058">
      <w:pPr>
        <w:pStyle w:val="JuHA"/>
        <w:numPr>
          <w:ilvl w:val="0"/>
          <w:numId w:val="0"/>
        </w:numPr>
        <w:ind w:left="510" w:hanging="340"/>
        <w:rPr>
          <w:lang w:val="pl-PL"/>
        </w:rPr>
      </w:pPr>
      <w:r w:rsidRPr="00617058">
        <w:rPr>
          <w:lang w:val="pl-PL"/>
        </w:rPr>
        <w:t>D.</w:t>
      </w:r>
      <w:r w:rsidRPr="00617058">
        <w:rPr>
          <w:lang w:val="pl-PL"/>
        </w:rPr>
        <w:tab/>
      </w:r>
      <w:r w:rsidR="008055D7">
        <w:rPr>
          <w:lang w:val="pl"/>
        </w:rPr>
        <w:t>Postępowanie w sprawie ojcostwa</w:t>
      </w:r>
    </w:p>
    <w:p w14:paraId="20B5519E"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48</w:t>
      </w:r>
      <w:r>
        <w:rPr>
          <w:noProof/>
          <w:lang w:val="pl"/>
        </w:rPr>
        <w:fldChar w:fldCharType="end"/>
      </w:r>
      <w:r>
        <w:rPr>
          <w:lang w:val="pl"/>
        </w:rPr>
        <w:t>.  W dniu 1 czerwca 2016 r. Sąd Rejonowy w Gdańsku dopuścił powództwo męża skarżącej o zaprzeczenie ojcostwa dziecka. Skarżąca przyznała, że to funkcjonariusz służby więziennej, nie jej mąż, jest ojcem dziecka.</w:t>
      </w:r>
    </w:p>
    <w:p w14:paraId="6708CC39" w14:textId="20B8E1E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49</w:t>
      </w:r>
      <w:r>
        <w:rPr>
          <w:noProof/>
          <w:lang w:val="pl"/>
        </w:rPr>
        <w:fldChar w:fldCharType="end"/>
      </w:r>
      <w:r>
        <w:rPr>
          <w:lang w:val="pl"/>
        </w:rPr>
        <w:t>.  W dniu 5 lipca 2016 r. skarżąca wniosła pozew cywilny o ustalenie ojcostwa dziecka i pozbawienie ojca praw rodzicielskich. W bliżej nieokreślonym terminie pozew został rozpatrzony, a T.</w:t>
      </w:r>
      <w:r w:rsidR="00634866">
        <w:rPr>
          <w:lang w:val="pl"/>
        </w:rPr>
        <w:t xml:space="preserve"> </w:t>
      </w:r>
      <w:r>
        <w:rPr>
          <w:lang w:val="pl"/>
        </w:rPr>
        <w:t>R. został uznany za ojca J. i pozbawiony praw rodzicielskich.</w:t>
      </w:r>
    </w:p>
    <w:p w14:paraId="578F9EE4" w14:textId="3C36A521" w:rsidR="00E70AE3" w:rsidRPr="00617058" w:rsidRDefault="00617058" w:rsidP="00617058">
      <w:pPr>
        <w:pStyle w:val="JuHA"/>
        <w:numPr>
          <w:ilvl w:val="0"/>
          <w:numId w:val="0"/>
        </w:numPr>
        <w:ind w:left="510" w:hanging="340"/>
        <w:rPr>
          <w:lang w:val="pl-PL"/>
        </w:rPr>
      </w:pPr>
      <w:r w:rsidRPr="00617058">
        <w:rPr>
          <w:lang w:val="pl-PL"/>
        </w:rPr>
        <w:t>E.</w:t>
      </w:r>
      <w:r w:rsidRPr="00617058">
        <w:rPr>
          <w:lang w:val="pl-PL"/>
        </w:rPr>
        <w:tab/>
      </w:r>
      <w:r w:rsidR="008055D7">
        <w:rPr>
          <w:lang w:val="pl"/>
        </w:rPr>
        <w:t>Proces skarżącej</w:t>
      </w:r>
    </w:p>
    <w:p w14:paraId="3BCF7828" w14:textId="71E1B86F"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50</w:t>
      </w:r>
      <w:r>
        <w:rPr>
          <w:noProof/>
          <w:lang w:val="pl"/>
        </w:rPr>
        <w:fldChar w:fldCharType="end"/>
      </w:r>
      <w:r>
        <w:rPr>
          <w:lang w:val="pl"/>
        </w:rPr>
        <w:t xml:space="preserve">.  W dniu 20 stycznia 2016 r. Sąd Okręgowy w Gdańsku zwrócił się do Zakładu Karnego w Grudziądzu z pytaniem o organizację opieki nad synem skarżącej w trakcie </w:t>
      </w:r>
      <w:r w:rsidR="00634866">
        <w:rPr>
          <w:lang w:val="pl"/>
        </w:rPr>
        <w:t xml:space="preserve">jej </w:t>
      </w:r>
      <w:r>
        <w:rPr>
          <w:lang w:val="pl"/>
        </w:rPr>
        <w:t>procesu, ponieważ dziecko mieszkało ze skarżącą w zakładzie karnym, a skarżąca karmiła je piersią. Rozpraw</w:t>
      </w:r>
      <w:r w:rsidR="00D5780F">
        <w:rPr>
          <w:lang w:val="pl"/>
        </w:rPr>
        <w:t>ę</w:t>
      </w:r>
      <w:r>
        <w:rPr>
          <w:lang w:val="pl"/>
        </w:rPr>
        <w:t xml:space="preserve"> zaplanowano na dwa lub trzy dni w tygodniu w godz. 9.00–15.00. Z odpowiedzi dyrektora zakładu karnego wynikało, że skarżąca może skorzystać z następujących możliwości: nie stawiać się osobiście, ponieważ matki karmiące piersią mogą być uznane za niezdolne do udziału w postępowaniu z przyczyn medycznych, oddać dziecko pod opiekę członka rodziny lub brać udział w rozprawie za pośrednictwem urządzeń do wideokonferencji.</w:t>
      </w:r>
    </w:p>
    <w:p w14:paraId="21415C84" w14:textId="12DBC086"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51</w:t>
      </w:r>
      <w:r>
        <w:rPr>
          <w:noProof/>
          <w:lang w:val="pl"/>
        </w:rPr>
        <w:fldChar w:fldCharType="end"/>
      </w:r>
      <w:r>
        <w:rPr>
          <w:lang w:val="pl"/>
        </w:rPr>
        <w:t>.  Skarżąca ponawiała swoje wnioski o obecność na rozprawach. Ponadto nie zgodziła się, aby jej rodzina opiekowała się jej dzieckiem podczas rozpraw</w:t>
      </w:r>
      <w:r w:rsidR="00D5780F">
        <w:rPr>
          <w:lang w:val="pl"/>
        </w:rPr>
        <w:t>y</w:t>
      </w:r>
      <w:r>
        <w:rPr>
          <w:lang w:val="pl"/>
        </w:rPr>
        <w:t>, ponieważ dziecko nie znało nikogo poza nią, gdyż sąd odmówił jej zgody na widzenia rodzinne. Skarżąca najwyraźniej była przeciwna udziałowi w rozprawie za pośrednictwem łącza wideo.</w:t>
      </w:r>
    </w:p>
    <w:p w14:paraId="63870074" w14:textId="66DB0D0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52</w:t>
      </w:r>
      <w:r>
        <w:rPr>
          <w:noProof/>
          <w:lang w:val="pl"/>
        </w:rPr>
        <w:fldChar w:fldCharType="end"/>
      </w:r>
      <w:r>
        <w:rPr>
          <w:lang w:val="pl"/>
        </w:rPr>
        <w:t>.  Pierwsz</w:t>
      </w:r>
      <w:r w:rsidR="00D5780F">
        <w:rPr>
          <w:lang w:val="pl"/>
        </w:rPr>
        <w:t>y termin</w:t>
      </w:r>
      <w:r>
        <w:rPr>
          <w:lang w:val="pl"/>
        </w:rPr>
        <w:t xml:space="preserve"> rozpraw</w:t>
      </w:r>
      <w:r w:rsidR="00D5780F">
        <w:rPr>
          <w:lang w:val="pl"/>
        </w:rPr>
        <w:t>y</w:t>
      </w:r>
      <w:r>
        <w:rPr>
          <w:lang w:val="pl"/>
        </w:rPr>
        <w:t xml:space="preserve"> odbył się 21 marca 2016 r., a skarżąca była na niej obecna. Kolejne </w:t>
      </w:r>
      <w:r w:rsidR="00D5780F">
        <w:rPr>
          <w:lang w:val="pl"/>
        </w:rPr>
        <w:t xml:space="preserve">terminy </w:t>
      </w:r>
      <w:r>
        <w:rPr>
          <w:lang w:val="pl"/>
        </w:rPr>
        <w:t>odbyły się w marcu i kwietniu 2016 r. Skarżąca uczestniczyła w nich osobiście, a Zakład Karny w Grudziądzu zapewniał opiekę nad dzieckiem skarżącej podczas jej nieobecności.</w:t>
      </w:r>
    </w:p>
    <w:p w14:paraId="4D294D70" w14:textId="7118E5AA"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53</w:t>
      </w:r>
      <w:r>
        <w:rPr>
          <w:noProof/>
          <w:lang w:val="pl"/>
        </w:rPr>
        <w:fldChar w:fldCharType="end"/>
      </w:r>
      <w:r>
        <w:rPr>
          <w:lang w:val="pl"/>
        </w:rPr>
        <w:t>.  W dniu 26 kwietnia 2016 r. skarżąca poinformowała sąd, że lekarz uznał ją za niezdolną do udziału w rozpraw</w:t>
      </w:r>
      <w:r w:rsidR="00D5780F">
        <w:rPr>
          <w:lang w:val="pl"/>
        </w:rPr>
        <w:t>ie</w:t>
      </w:r>
      <w:r>
        <w:rPr>
          <w:lang w:val="pl"/>
        </w:rPr>
        <w:t xml:space="preserve"> ze względu na chorobę jej dziecka. Skarżąca była obecna na kolejnych </w:t>
      </w:r>
      <w:r w:rsidR="00D5780F">
        <w:rPr>
          <w:lang w:val="pl"/>
        </w:rPr>
        <w:t>terminach,</w:t>
      </w:r>
      <w:r>
        <w:rPr>
          <w:lang w:val="pl"/>
        </w:rPr>
        <w:t xml:space="preserve"> 7 i 8 lipca 2016 r.</w:t>
      </w:r>
    </w:p>
    <w:p w14:paraId="448C9FB9" w14:textId="632F9E98" w:rsidR="00E70AE3" w:rsidRPr="0058055F" w:rsidRDefault="00617058" w:rsidP="00617058">
      <w:pPr>
        <w:pStyle w:val="JuHA"/>
        <w:numPr>
          <w:ilvl w:val="0"/>
          <w:numId w:val="0"/>
        </w:numPr>
        <w:ind w:left="510" w:hanging="340"/>
        <w:rPr>
          <w:lang w:val="pl-PL"/>
        </w:rPr>
      </w:pPr>
      <w:r w:rsidRPr="0058055F">
        <w:rPr>
          <w:lang w:val="pl-PL"/>
        </w:rPr>
        <w:lastRenderedPageBreak/>
        <w:t>F.</w:t>
      </w:r>
      <w:r w:rsidRPr="0058055F">
        <w:rPr>
          <w:lang w:val="pl-PL"/>
        </w:rPr>
        <w:tab/>
      </w:r>
      <w:r w:rsidR="008055D7">
        <w:rPr>
          <w:lang w:val="pl"/>
        </w:rPr>
        <w:t>Dom Matki i Dziecka w Zakładzie Karnym w Grudziądzu</w:t>
      </w:r>
    </w:p>
    <w:bookmarkStart w:id="12" w:name="grudziac_unit"/>
    <w:p w14:paraId="61D85479" w14:textId="30CAE4BB" w:rsidR="00E70AE3" w:rsidRPr="0058055F" w:rsidRDefault="008055D7"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54</w:t>
      </w:r>
      <w:r>
        <w:rPr>
          <w:lang w:val="pl"/>
        </w:rPr>
        <w:fldChar w:fldCharType="end"/>
      </w:r>
      <w:bookmarkEnd w:id="12"/>
      <w:r>
        <w:rPr>
          <w:lang w:val="pl"/>
        </w:rPr>
        <w:t xml:space="preserve">.  Rząd </w:t>
      </w:r>
      <w:r w:rsidR="00D5780F">
        <w:rPr>
          <w:lang w:val="pl"/>
        </w:rPr>
        <w:t xml:space="preserve">przedstawił </w:t>
      </w:r>
      <w:r>
        <w:rPr>
          <w:lang w:val="pl"/>
        </w:rPr>
        <w:t>następujące informacje na temat Domu Matki i Dziecka w Zakładzie Karnym w Grudziądzu. Placówka przeszła gruntowny remont w 2012 r. i dysponowała oddziałem ginekologicznym i położniczym oraz częś</w:t>
      </w:r>
      <w:r w:rsidR="009F496B">
        <w:rPr>
          <w:lang w:val="pl"/>
        </w:rPr>
        <w:t>cią</w:t>
      </w:r>
      <w:r>
        <w:rPr>
          <w:lang w:val="pl"/>
        </w:rPr>
        <w:t xml:space="preserve"> sypialną, którą odnowiono w 2009 r. W placówce znajdowały się pokoje z łóżkami i łóżeczkami dla dzieci oraz dużymi balkonami; była ona wyposażona w bawialnię dla dzieci, telewizory, zabawki i pokoje dzienne ze stołami i krzesłami. Osadzone miały dostęp do kuchni z lodówkami, kuchenkami mikrofalowymi i innym sprzętem, jak również do łazienek z prysznicami i wannami. Placówka posiadała pomieszczenia użytkowe, w tym pralnię i ogród z placem zabaw (w tym piaskownicą, zabawkami, huśtawkami i zjeżdżalniami), z których osadzone mogły korzystać w ciągu dnia. Skarżąca uczestniczyła w różnych kursach przygotowujących do porodu oraz opieki nad dzieckiem i karmienia piersią. Była objęta opieką psychologa i miała dostęp do pediatry oraz innych lekarzy, w tym specjalistów z różnych dziedzin.</w:t>
      </w:r>
    </w:p>
    <w:p w14:paraId="432D7EBF" w14:textId="72B5AC0D" w:rsidR="00E70AE3" w:rsidRPr="0058055F" w:rsidRDefault="008055D7" w:rsidP="0070271E">
      <w:pPr>
        <w:pStyle w:val="JuPara"/>
        <w:rPr>
          <w:lang w:val="pl-PL"/>
        </w:rPr>
      </w:pPr>
      <w:r>
        <w:rPr>
          <w:lang w:val="pl"/>
        </w:rPr>
        <w:t>Osadzone ciężarne i matki karmiące miały prawo do otrzymywania dodatkowych paczek z żywnością i dłuższych widzeń rodzinnych.</w:t>
      </w:r>
    </w:p>
    <w:p w14:paraId="43644898" w14:textId="28AD0974"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55</w:t>
      </w:r>
      <w:r>
        <w:rPr>
          <w:noProof/>
          <w:lang w:val="pl"/>
        </w:rPr>
        <w:fldChar w:fldCharType="end"/>
      </w:r>
      <w:r>
        <w:rPr>
          <w:lang w:val="pl"/>
        </w:rPr>
        <w:t xml:space="preserve">.  Skarżąca nie </w:t>
      </w:r>
      <w:r w:rsidR="009F496B">
        <w:rPr>
          <w:lang w:val="pl"/>
        </w:rPr>
        <w:t xml:space="preserve">złożyła </w:t>
      </w:r>
      <w:r>
        <w:rPr>
          <w:lang w:val="pl"/>
        </w:rPr>
        <w:t xml:space="preserve">żadnej skargi dotyczącej warunków </w:t>
      </w:r>
      <w:r w:rsidR="009F496B">
        <w:rPr>
          <w:lang w:val="pl"/>
        </w:rPr>
        <w:t xml:space="preserve">osadzenia </w:t>
      </w:r>
      <w:r>
        <w:rPr>
          <w:lang w:val="pl"/>
        </w:rPr>
        <w:t>w Domu Matki i Dziecka.</w:t>
      </w:r>
    </w:p>
    <w:p w14:paraId="7941B593" w14:textId="08FD6008" w:rsidR="00E70AE3" w:rsidRPr="00617058" w:rsidRDefault="00617058" w:rsidP="00617058">
      <w:pPr>
        <w:pStyle w:val="JuHIRoman"/>
        <w:numPr>
          <w:ilvl w:val="0"/>
          <w:numId w:val="0"/>
        </w:numPr>
        <w:ind w:left="369" w:hanging="369"/>
        <w:rPr>
          <w:lang w:val="pl-PL"/>
        </w:rPr>
      </w:pPr>
      <w:r w:rsidRPr="00617058">
        <w:rPr>
          <w:lang w:val="pl-PL"/>
        </w:rPr>
        <w:t>III.</w:t>
      </w:r>
      <w:r w:rsidRPr="00617058">
        <w:rPr>
          <w:lang w:val="pl-PL"/>
        </w:rPr>
        <w:tab/>
      </w:r>
      <w:r w:rsidR="008055D7">
        <w:rPr>
          <w:bCs w:val="0"/>
          <w:lang w:val="pl"/>
        </w:rPr>
        <w:t>WIDZENIA RODZINNE</w:t>
      </w:r>
    </w:p>
    <w:p w14:paraId="68DFB7BE"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56</w:t>
      </w:r>
      <w:r>
        <w:rPr>
          <w:noProof/>
          <w:lang w:val="pl"/>
        </w:rPr>
        <w:fldChar w:fldCharType="end"/>
      </w:r>
      <w:r>
        <w:rPr>
          <w:lang w:val="pl"/>
        </w:rPr>
        <w:t>.  W okresie od 11 maja 2013 r. do czerwca 2015 r. skarżącą regularnie odwiedzali matka, brat, bratowa i inni członkowie rodziny. Na widzenia zezwolił prokurator okręgowy, który zgodził się również na dłuższe widzenia. Po wniesieniu w czerwcu 2015 r. aktu oskarżenia przeciwko skarżącej do Sądu Okręgowego w Gdańsku wszystkie wnioski należało kierować do tego sądu.</w:t>
      </w:r>
    </w:p>
    <w:p w14:paraId="6998F13A" w14:textId="0369B67B"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57</w:t>
      </w:r>
      <w:r>
        <w:rPr>
          <w:noProof/>
          <w:lang w:val="pl"/>
        </w:rPr>
        <w:fldChar w:fldCharType="end"/>
      </w:r>
      <w:r>
        <w:rPr>
          <w:lang w:val="pl"/>
        </w:rPr>
        <w:t xml:space="preserve">.  W dniu 28 czerwca 2015 r. matka skarżącej </w:t>
      </w:r>
      <w:r w:rsidR="009F496B">
        <w:rPr>
          <w:lang w:val="pl"/>
        </w:rPr>
        <w:t xml:space="preserve">złożyła </w:t>
      </w:r>
      <w:r>
        <w:rPr>
          <w:lang w:val="pl"/>
        </w:rPr>
        <w:t>wnios</w:t>
      </w:r>
      <w:r w:rsidR="009F496B">
        <w:rPr>
          <w:lang w:val="pl"/>
        </w:rPr>
        <w:t>ek</w:t>
      </w:r>
      <w:r>
        <w:rPr>
          <w:lang w:val="pl"/>
        </w:rPr>
        <w:t xml:space="preserve"> o zezwolenie na </w:t>
      </w:r>
      <w:r w:rsidR="009F496B">
        <w:rPr>
          <w:lang w:val="pl"/>
        </w:rPr>
        <w:t>widzenie ze</w:t>
      </w:r>
      <w:r>
        <w:rPr>
          <w:lang w:val="pl"/>
        </w:rPr>
        <w:t xml:space="preserve"> skarżąc</w:t>
      </w:r>
      <w:r w:rsidR="009F496B">
        <w:rPr>
          <w:lang w:val="pl"/>
        </w:rPr>
        <w:t>ą</w:t>
      </w:r>
      <w:r>
        <w:rPr>
          <w:lang w:val="pl"/>
        </w:rPr>
        <w:t xml:space="preserve"> bez oddzielenia jej ekranem z pleksi. Wniosek został opatrzony odręczną adnotacją z 30 czerwca 2015 r. stanowiącą: „Nie wyrażam zgody na widzenie (świadek ma stawić się w sądzie)”.</w:t>
      </w:r>
    </w:p>
    <w:p w14:paraId="2B6B2BEB" w14:textId="2274E1FE"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58</w:t>
      </w:r>
      <w:r>
        <w:rPr>
          <w:noProof/>
          <w:lang w:val="pl"/>
        </w:rPr>
        <w:fldChar w:fldCharType="end"/>
      </w:r>
      <w:r>
        <w:rPr>
          <w:lang w:val="pl"/>
        </w:rPr>
        <w:t xml:space="preserve">.  W dniu 29 czerwca 2015 r. prawnik skarżącej złożył do sądu rozpoznającego sprawę wniosek o zezwolenie matce skarżącej na widzenie </w:t>
      </w:r>
      <w:r w:rsidR="00E00ED2">
        <w:rPr>
          <w:lang w:val="pl"/>
        </w:rPr>
        <w:t xml:space="preserve">z nią </w:t>
      </w:r>
      <w:r>
        <w:rPr>
          <w:lang w:val="pl"/>
        </w:rPr>
        <w:t>w areszcie. Wniosek zawiera następującą odręczną adnotację: „Nie zgadzam się na widzenie [matki skarżącej], ponieważ jest ona ważnym świadkiem w sprawie.” Adnotacja opatrzona jest nieczytelnym podpisem i datą 6 sierpnia 2015 r.</w:t>
      </w:r>
    </w:p>
    <w:p w14:paraId="498094C9"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59</w:t>
      </w:r>
      <w:r>
        <w:rPr>
          <w:noProof/>
          <w:lang w:val="pl"/>
        </w:rPr>
        <w:fldChar w:fldCharType="end"/>
      </w:r>
      <w:r>
        <w:rPr>
          <w:lang w:val="pl"/>
        </w:rPr>
        <w:t xml:space="preserve">.  W dniu 29 czerwca 2015 r. prawnik skarżącej zwrócił się do sądu o udzielenie jej bratowej zgody na obecność przy porodzie, pod warunkiem, że przybędzie ona na czas po otrzymaniu od zakładu karnego informacji </w:t>
      </w:r>
      <w:r>
        <w:rPr>
          <w:lang w:val="pl"/>
        </w:rPr>
        <w:lastRenderedPageBreak/>
        <w:t>o rozpoczęciu porodu. Dokument złożony przez prawnika zawierał ponadto wnioski o zezwolenie skarżącej na otrzymanie od rodziny paczek zawierających środki higieniczne dla niej i dziecka oraz leki. Dokument ten jest opatrzony odręczną adnotacją wskazującą, że sąd odmownie rozpatrzył wniosek o zezwolenie na obecność bratowej przy porodzie. Sąd wyraził zgodę jedynie na otrzymanie przez skarżącą paczek od rodziny. W dniu 6 lipca 2015 r. Sąd Okręgowy w Gdańsku poinformował na piśmie prawnika skarżącej o tej decyzji.</w:t>
      </w:r>
    </w:p>
    <w:p w14:paraId="64D8C89F" w14:textId="098A2EEE"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60</w:t>
      </w:r>
      <w:r>
        <w:rPr>
          <w:noProof/>
          <w:lang w:val="pl"/>
        </w:rPr>
        <w:fldChar w:fldCharType="end"/>
      </w:r>
      <w:r>
        <w:rPr>
          <w:lang w:val="pl"/>
        </w:rPr>
        <w:t>.  W dniu 29 czerwca 2015 r. prawnik skarżącej zwrócił się do sądu o umożliwienie mu osobistego spotkania się ze skarżącą oraz o umożliwienie skarżącej kontaktu telefonicznego z nim w jego biurze. Dokument zawierający wniosek zawiera odręczną adnotację, że sąd odmownie rozpatrzył wniosek w zakresie, w jakim dotyczy on rozmów telefonicznych, ale zezwolił adwokatowi na osobiste spotkanie ze skarżącą. W dniu 6 lipca 2015 r. Sąd Okręgowy w Gdańsku poinformował prawnika skarżącej o tej decyzji.</w:t>
      </w:r>
    </w:p>
    <w:p w14:paraId="6B95614A"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61</w:t>
      </w:r>
      <w:r>
        <w:rPr>
          <w:noProof/>
          <w:lang w:val="pl"/>
        </w:rPr>
        <w:fldChar w:fldCharType="end"/>
      </w:r>
      <w:r>
        <w:rPr>
          <w:lang w:val="pl"/>
        </w:rPr>
        <w:t>.  W dniu 20 lipca 2015 r. bratowa skarżącej zwróciła się do sądu o zezwolenie na widzenie ze skarżącą w towarzystwie swojej córki, która jest chrześnicą skarżącej. Sędzia odmownie rozpatrzył ten wniosek w dniu 21 lipca 2015 r., podając jako uzasadnienie, że bratowa jest świadkiem w sprawie.</w:t>
      </w:r>
    </w:p>
    <w:p w14:paraId="5CC23271" w14:textId="15371450"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62</w:t>
      </w:r>
      <w:r>
        <w:rPr>
          <w:noProof/>
          <w:lang w:val="pl"/>
        </w:rPr>
        <w:fldChar w:fldCharType="end"/>
      </w:r>
      <w:r>
        <w:rPr>
          <w:lang w:val="pl"/>
        </w:rPr>
        <w:t>.  W dniu 22 lipca 2015 r. brat skarżącej zwrócił się do sądu o zezwolenie na widzenie ze skarżącą. Dokument zawierający wniosek zawiera odręczną adnotację, że wniosek rozpatrzono odmownie 23 lipca 2015 r.</w:t>
      </w:r>
    </w:p>
    <w:p w14:paraId="2115FBE2"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63</w:t>
      </w:r>
      <w:r>
        <w:rPr>
          <w:noProof/>
          <w:lang w:val="pl"/>
        </w:rPr>
        <w:fldChar w:fldCharType="end"/>
      </w:r>
      <w:r>
        <w:rPr>
          <w:lang w:val="pl"/>
        </w:rPr>
        <w:t>.  W dniu 22 lipca 2015 r. Sąd Okręgowy w Gdańsku odmownie rozpatrzył wniosek o widzenie złożony w dniu 10 lipca 2015 r. przez matkę skarżącej.</w:t>
      </w:r>
    </w:p>
    <w:p w14:paraId="636CD6FB" w14:textId="266E7F65"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64</w:t>
      </w:r>
      <w:r>
        <w:rPr>
          <w:noProof/>
          <w:lang w:val="pl"/>
        </w:rPr>
        <w:fldChar w:fldCharType="end"/>
      </w:r>
      <w:r>
        <w:rPr>
          <w:lang w:val="pl"/>
        </w:rPr>
        <w:t xml:space="preserve">.  Sąd wielokrotnie wyrażał zgodę na widzenie </w:t>
      </w:r>
      <w:r w:rsidR="00587C9A">
        <w:rPr>
          <w:lang w:val="pl"/>
        </w:rPr>
        <w:t xml:space="preserve">dla </w:t>
      </w:r>
      <w:r>
        <w:rPr>
          <w:lang w:val="pl"/>
        </w:rPr>
        <w:t>bratanicy skarżącej.</w:t>
      </w:r>
    </w:p>
    <w:p w14:paraId="618038C4" w14:textId="7D130F36"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65</w:t>
      </w:r>
      <w:r>
        <w:rPr>
          <w:noProof/>
          <w:lang w:val="pl"/>
        </w:rPr>
        <w:fldChar w:fldCharType="end"/>
      </w:r>
      <w:r>
        <w:rPr>
          <w:lang w:val="pl"/>
        </w:rPr>
        <w:t>.  W dniu 24 sierpnia 2015 r. matka skarżącej zwróciła się do sądu o umożliwienie jej widzenia ze skarżącą i jej dzieckiem. Twierdziła, że złożyła już zeznania w sprawie i powołała się na prawo do nieskładania zeznań przeciwko bliskiemu krewnemu, odmawiając złożenia zeznań w sprawie. Na etapie postępowania przygotowawczego regularnie odwiedzała córkę, ponadto skarżąca właśnie urodziła jej wnuka i potrzebowała wsparcia swojej własnej matki. Wniosek ten rozpatrzono odmownie 28 sierpnia 2015 r. Sąd uznał, że okoliczności sprawy uzasadniają niestosowanie ogólnej zasady, zgodnie z którą osadzony ma prawo do jednego widzenia rodzinnego w miesiącu. Sąd zauważył również, że przechwycił napisaną przez skarżącą nielegalną notatką, na której było napisane „Mama”, co uzasadniało ocenę, iż skarżąca wykorzysta spotkanie z matką, aby zakłócać postępowanie.</w:t>
      </w:r>
    </w:p>
    <w:p w14:paraId="0F0EB263" w14:textId="327B1A39"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66</w:t>
      </w:r>
      <w:r>
        <w:rPr>
          <w:noProof/>
          <w:lang w:val="pl"/>
        </w:rPr>
        <w:fldChar w:fldCharType="end"/>
      </w:r>
      <w:r>
        <w:rPr>
          <w:lang w:val="pl"/>
        </w:rPr>
        <w:t>.  Prawnik skarżącej odwołał się od wyżej wspomnianej decyzji, podnosząc, że matka skarżącej nie była ważnym świadkiem w sprawie i </w:t>
      </w:r>
      <w:r w:rsidR="00587C9A">
        <w:rPr>
          <w:lang w:val="pl"/>
        </w:rPr>
        <w:t xml:space="preserve">że </w:t>
      </w:r>
      <w:r>
        <w:rPr>
          <w:lang w:val="pl"/>
        </w:rPr>
        <w:lastRenderedPageBreak/>
        <w:t>wcześniej zezw</w:t>
      </w:r>
      <w:r w:rsidR="00587C9A">
        <w:rPr>
          <w:lang w:val="pl"/>
        </w:rPr>
        <w:t>a</w:t>
      </w:r>
      <w:r>
        <w:rPr>
          <w:lang w:val="pl"/>
        </w:rPr>
        <w:t>l</w:t>
      </w:r>
      <w:r w:rsidR="00587C9A">
        <w:rPr>
          <w:lang w:val="pl"/>
        </w:rPr>
        <w:t>a</w:t>
      </w:r>
      <w:r>
        <w:rPr>
          <w:lang w:val="pl"/>
        </w:rPr>
        <w:t>no jej na widzeni</w:t>
      </w:r>
      <w:r w:rsidR="000D07B6">
        <w:rPr>
          <w:lang w:val="pl"/>
        </w:rPr>
        <w:t>a</w:t>
      </w:r>
      <w:r>
        <w:rPr>
          <w:lang w:val="pl"/>
        </w:rPr>
        <w:t xml:space="preserve"> ze skarżącą. Prawnik dodał, iż formalne podstawy bycia świadkiem nie stanowią wystarczającego powodu do odmowy widzenia. Nie zgodził się również z twierdzeniem, że notatka skarżącej naruszała regulamin zakładu karnego, ponieważ odnosiła się wyłącznie do spraw prywatnych, była przeznaczona do wykorzystania w konsultacji z drugim prawnikiem skarżącej i nie miała zostać wyniesiona z zakładu karnego.</w:t>
      </w:r>
    </w:p>
    <w:p w14:paraId="41DE4B1E" w14:textId="37A9CC82"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67</w:t>
      </w:r>
      <w:r>
        <w:rPr>
          <w:noProof/>
          <w:lang w:val="pl"/>
        </w:rPr>
        <w:fldChar w:fldCharType="end"/>
      </w:r>
      <w:r>
        <w:rPr>
          <w:lang w:val="pl"/>
        </w:rPr>
        <w:t xml:space="preserve">.  W dniu 16 września 2015 r. Sąd Okręgowy w Gdańsku oddalił </w:t>
      </w:r>
      <w:r w:rsidR="000D07B6">
        <w:rPr>
          <w:lang w:val="pl"/>
        </w:rPr>
        <w:t>zażalenie</w:t>
      </w:r>
      <w:r>
        <w:rPr>
          <w:lang w:val="pl"/>
        </w:rPr>
        <w:t>. W uzasadnionym orzeczeniu sąd stwierdził, że skarżąca próbowała nielegalnie przekazać notatkę swojej matce. Ponadto matka skarżącej była świadkiem w postępowaniu, co uzasadniało ograniczenie kontaktów między nią a skarżącą.</w:t>
      </w:r>
    </w:p>
    <w:p w14:paraId="07F49EDC" w14:textId="08175BDD"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68</w:t>
      </w:r>
      <w:r>
        <w:rPr>
          <w:noProof/>
          <w:lang w:val="pl"/>
        </w:rPr>
        <w:fldChar w:fldCharType="end"/>
      </w:r>
      <w:r>
        <w:rPr>
          <w:lang w:val="pl"/>
        </w:rPr>
        <w:t xml:space="preserve">.  W dniu 23 listopada 2015 r. brat skarżącej poinformował sąd, że skorzysta z prawa do </w:t>
      </w:r>
      <w:r w:rsidR="000D07B6">
        <w:rPr>
          <w:lang w:val="pl"/>
        </w:rPr>
        <w:t xml:space="preserve">odmowy składania </w:t>
      </w:r>
      <w:r>
        <w:rPr>
          <w:lang w:val="pl"/>
        </w:rPr>
        <w:t>zeznań przeciwko bliskiemu krewnemu i nie zamierza zeznawać w sprawie. Jego oświadczenie zostało złożone przed notariuszem.</w:t>
      </w:r>
    </w:p>
    <w:p w14:paraId="4E7F130C" w14:textId="032BEF73"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69</w:t>
      </w:r>
      <w:r>
        <w:rPr>
          <w:noProof/>
          <w:lang w:val="pl"/>
        </w:rPr>
        <w:fldChar w:fldCharType="end"/>
      </w:r>
      <w:r>
        <w:rPr>
          <w:lang w:val="pl"/>
        </w:rPr>
        <w:t>.  W dniu 30 listopada 2015 r. matka skarżącej złożyła identyczne oświadczenie przed notariuszem</w:t>
      </w:r>
      <w:r w:rsidR="000D07B6">
        <w:rPr>
          <w:lang w:val="pl"/>
        </w:rPr>
        <w:t xml:space="preserve"> i</w:t>
      </w:r>
      <w:r>
        <w:rPr>
          <w:lang w:val="pl"/>
        </w:rPr>
        <w:t> tego samego dnia prawnik skarżącej zwrócił się do sądu o zezwolenie matce na widzenie ze skarżącą. Prawnik powtórzył, że matka skarżącej odmówiła złożenia zeznań przeciwko niej na etapie śledztwa i właśnie powtórzyła swoją odmowę. Nie było zatem podstaw do odmownego rozpatrzenia wniosku matki o widzenie ze skarżącą. Ponadto skarżąca cierpiała psychicznie w wyniku aresztowania, porodu i odizolowania od rodziny.</w:t>
      </w:r>
    </w:p>
    <w:p w14:paraId="7C0A84E1"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70</w:t>
      </w:r>
      <w:r>
        <w:rPr>
          <w:noProof/>
          <w:lang w:val="pl"/>
        </w:rPr>
        <w:fldChar w:fldCharType="end"/>
      </w:r>
      <w:r>
        <w:rPr>
          <w:lang w:val="pl"/>
        </w:rPr>
        <w:t>.  W dniu 23 grudnia 2015 r. sąd otrzymał opinię lekarską, w której stwierdzono, że skarżąca miała depresję i głębokie zaburzenia. Lekarz oświadczył, że potrzebuje ona leków antydepresyjnych, mogłaby je jednak przyjmować dopiero po zaprzestaniu karmienia piersią.</w:t>
      </w:r>
    </w:p>
    <w:p w14:paraId="3A989D8E" w14:textId="7A5073A0"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71</w:t>
      </w:r>
      <w:r>
        <w:rPr>
          <w:noProof/>
          <w:lang w:val="pl"/>
        </w:rPr>
        <w:fldChar w:fldCharType="end"/>
      </w:r>
      <w:r>
        <w:rPr>
          <w:lang w:val="pl"/>
        </w:rPr>
        <w:t xml:space="preserve">.  W dniu 7 stycznia 2016 r. prawnik skarżącej zwrócił się o zezwolenie matce na widzenie ze skarżącą. W dniu 18 stycznia 2016 r. adwokat ponowił wniosek i ponownie wniósł o formalne powiadomienie go o decyzji sądu. W dniu 22 stycznia 2016 r. sąd odmownie rozpatrzył wniosek, ale pismo to nie zawierało żadnego uzasadnienia. W dniu 8 lutego 2016 r. prawnik skarżącej zwrócił się do sądu o doręczenie jej decyzji wraz z pisemnym uzasadnieniem. Uzasadnienie zostało następnie dostarczone i stanowiło, że matka skarżącej jest wskazana jako świadek i że w przyszłości może ona cofnąć decyzję o odmowie składania zeznań. Prawnik skarżącej </w:t>
      </w:r>
      <w:r w:rsidR="000E2934">
        <w:rPr>
          <w:lang w:val="pl"/>
        </w:rPr>
        <w:t>złożył zażalenie</w:t>
      </w:r>
      <w:r>
        <w:rPr>
          <w:lang w:val="pl"/>
        </w:rPr>
        <w:t xml:space="preserve">, ale Sąd Okręgowy w Gdańsku oddalił je w dniu 12 kwietnia 2016 r. W uzasadnionej decyzji sąd stwierdził, iż matka skarżącej była głęboko zaangażowana w działalność spółki A., a prawidłowy </w:t>
      </w:r>
      <w:r w:rsidR="000E2934">
        <w:rPr>
          <w:lang w:val="pl"/>
        </w:rPr>
        <w:t>tok postępowania</w:t>
      </w:r>
      <w:r>
        <w:rPr>
          <w:lang w:val="pl"/>
        </w:rPr>
        <w:t xml:space="preserve"> wymaga, aby nie spotykała się ze skarżącą. Ponieważ jednak w tym czasie matka skarżącej złożyła zeznania przed sądem rozpoznającym sprawę, powinna ponownie złożyć wniosek o widzenie rodzinne ze skarżącą.</w:t>
      </w:r>
    </w:p>
    <w:p w14:paraId="0BE12722" w14:textId="7B70B7CF" w:rsidR="00E70AE3" w:rsidRPr="0058055F" w:rsidRDefault="0070271E" w:rsidP="0070271E">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72</w:t>
      </w:r>
      <w:r>
        <w:rPr>
          <w:noProof/>
          <w:lang w:val="pl"/>
        </w:rPr>
        <w:fldChar w:fldCharType="end"/>
      </w:r>
      <w:r>
        <w:rPr>
          <w:lang w:val="pl"/>
        </w:rPr>
        <w:t>.  Następnie wnioski o widzenia rodzinne nie były już rozpatrywane odmownie. W szczególności matce skarżącej przyznano prawo do widzeń przy stol</w:t>
      </w:r>
      <w:r w:rsidR="000E2934">
        <w:rPr>
          <w:lang w:val="pl"/>
        </w:rPr>
        <w:t>iku</w:t>
      </w:r>
      <w:r>
        <w:rPr>
          <w:lang w:val="pl"/>
        </w:rPr>
        <w:t xml:space="preserve"> w sposób umożliwiający bezpośredni kontakt w dniach 29 lipca, 5 września, 2 i 14 października oraz 6 listopada 2016 r. W 2017 r. pozytywnie rozpatrzono 11 wniosków o widzenie złożonych przez matkę i innych krewnych skarżącej.</w:t>
      </w:r>
    </w:p>
    <w:p w14:paraId="57A6EEF5" w14:textId="77777777" w:rsidR="00E70AE3" w:rsidRPr="00617058" w:rsidRDefault="008055D7" w:rsidP="00617058">
      <w:pPr>
        <w:pStyle w:val="JuHHead"/>
        <w:numPr>
          <w:ilvl w:val="0"/>
          <w:numId w:val="0"/>
        </w:numPr>
        <w:rPr>
          <w:lang w:val="pl-PL"/>
        </w:rPr>
      </w:pPr>
      <w:r>
        <w:rPr>
          <w:bCs w:val="0"/>
          <w:lang w:val="pl"/>
        </w:rPr>
        <w:t>WŁAŚCIWE RAMY PRAWNE</w:t>
      </w:r>
    </w:p>
    <w:p w14:paraId="3A2A2244" w14:textId="77777777"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r>
        <w:rPr>
          <w:lang w:val="pl"/>
        </w:rPr>
        <w:t>.  Kodeks karny w zakresie istotnym dla sprawy stanowi, co następuje:</w:t>
      </w:r>
    </w:p>
    <w:p w14:paraId="7D716ECE" w14:textId="77777777" w:rsidR="00E70AE3" w:rsidRPr="0058055F" w:rsidRDefault="008055D7" w:rsidP="0070271E">
      <w:pPr>
        <w:pStyle w:val="JuHArticle"/>
        <w:rPr>
          <w:lang w:val="pl-PL"/>
        </w:rPr>
      </w:pPr>
      <w:r>
        <w:rPr>
          <w:bCs/>
          <w:lang w:val="pl"/>
        </w:rPr>
        <w:t>Artykuł 231 § 1</w:t>
      </w:r>
    </w:p>
    <w:p w14:paraId="03B4C874" w14:textId="77777777" w:rsidR="00E70AE3" w:rsidRPr="0058055F" w:rsidRDefault="008055D7" w:rsidP="0070271E">
      <w:pPr>
        <w:pStyle w:val="JuQuot"/>
        <w:rPr>
          <w:lang w:val="pl-PL"/>
        </w:rPr>
      </w:pPr>
      <w:r>
        <w:rPr>
          <w:lang w:val="pl"/>
        </w:rPr>
        <w:t>„Funkcjonariusz publiczny, który, przekraczając swoje uprawnienia lub nie dopełniając obowiązków, działa na szkodę interesu publicznego lub prywatnego, podlega karze pozbawienia wolności do lat 3”.</w:t>
      </w:r>
    </w:p>
    <w:p w14:paraId="497AC81B" w14:textId="77777777" w:rsidR="00E70AE3" w:rsidRPr="0058055F" w:rsidRDefault="008055D7" w:rsidP="0070271E">
      <w:pPr>
        <w:pStyle w:val="JuHArticle"/>
        <w:rPr>
          <w:lang w:val="pl-PL"/>
        </w:rPr>
      </w:pPr>
      <w:r>
        <w:rPr>
          <w:bCs/>
          <w:lang w:val="pl"/>
        </w:rPr>
        <w:t>Artykuł 199 § 1</w:t>
      </w:r>
    </w:p>
    <w:p w14:paraId="065B95F8" w14:textId="77777777" w:rsidR="00E70AE3" w:rsidRPr="0058055F" w:rsidRDefault="008055D7" w:rsidP="0070271E">
      <w:pPr>
        <w:pStyle w:val="JuQuot"/>
        <w:rPr>
          <w:lang w:val="pl-PL"/>
        </w:rPr>
      </w:pPr>
      <w:r>
        <w:rPr>
          <w:lang w:val="pl"/>
        </w:rPr>
        <w:t>„Kto, przez nadużycie stosunku zależności lub wykorzystanie krytycznego położenia, doprowadza inną osobę do obcowania płciowego lub do poddania się innej czynności seksualnej albo do wykonania takiej czynności, podlega karze pozbawienia wolności do lat 3”.</w:t>
      </w:r>
    </w:p>
    <w:bookmarkStart w:id="13" w:name="domestic_law_CivilCode"/>
    <w:p w14:paraId="0294FCA0" w14:textId="77777777" w:rsidR="00E70AE3" w:rsidRPr="0058055F" w:rsidRDefault="008055D7"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74</w:t>
      </w:r>
      <w:r>
        <w:rPr>
          <w:lang w:val="pl"/>
        </w:rPr>
        <w:fldChar w:fldCharType="end"/>
      </w:r>
      <w:bookmarkEnd w:id="13"/>
      <w:r>
        <w:rPr>
          <w:lang w:val="pl"/>
        </w:rPr>
        <w:t>.  Przepisy Kodeksu cywilnego dotyczące tzw. dóbr osobistych stanowią, co następuje:</w:t>
      </w:r>
    </w:p>
    <w:p w14:paraId="28AC3C13" w14:textId="77777777" w:rsidR="00E70AE3" w:rsidRPr="0058055F" w:rsidRDefault="008055D7" w:rsidP="0070271E">
      <w:pPr>
        <w:pStyle w:val="JuHArticle"/>
        <w:rPr>
          <w:lang w:val="pl-PL"/>
        </w:rPr>
      </w:pPr>
      <w:r>
        <w:rPr>
          <w:bCs/>
          <w:lang w:val="pl"/>
        </w:rPr>
        <w:t>Artykuł 23</w:t>
      </w:r>
    </w:p>
    <w:p w14:paraId="72897659" w14:textId="77777777" w:rsidR="00E70AE3" w:rsidRPr="0058055F" w:rsidRDefault="008055D7" w:rsidP="0070271E">
      <w:pPr>
        <w:pStyle w:val="JuQuot"/>
        <w:rPr>
          <w:lang w:val="pl-PL"/>
        </w:rPr>
      </w:pPr>
      <w:r>
        <w:rPr>
          <w:lang w:val="pl"/>
        </w:rPr>
        <w:t>„Dobra osobiste 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w:t>
      </w:r>
    </w:p>
    <w:p w14:paraId="1E8E362F" w14:textId="77777777" w:rsidR="00E70AE3" w:rsidRPr="0058055F" w:rsidRDefault="008055D7" w:rsidP="0070271E">
      <w:pPr>
        <w:pStyle w:val="JuHArticle"/>
        <w:rPr>
          <w:lang w:val="pl-PL"/>
        </w:rPr>
      </w:pPr>
      <w:r>
        <w:rPr>
          <w:bCs/>
          <w:lang w:val="pl"/>
        </w:rPr>
        <w:t>Artykuł 24 § 1</w:t>
      </w:r>
    </w:p>
    <w:p w14:paraId="50C17AAC" w14:textId="77777777" w:rsidR="00E70AE3" w:rsidRPr="0058055F" w:rsidRDefault="008055D7" w:rsidP="0070271E">
      <w:pPr>
        <w:pStyle w:val="JuQuot"/>
        <w:rPr>
          <w:lang w:val="pl-PL"/>
        </w:rPr>
      </w:pPr>
      <w:r>
        <w:rPr>
          <w:lang w:val="pl"/>
        </w:rPr>
        <w:t>„Ten, czyje dobro osobiste zostaje zagrożone cudzym działaniem, może żądać zaniechania tego działania, chyba że nie jest ono bezprawne. W razie dokonanego naruszenia może on także żądać, ażeby osoba, która dopuściła się naruszenia, dopełniła czynności potrzebnych do usunięcia jego skutków [...]. Na zasadach przewidzianych w kodeksie może on również żądać zadośćuczynienia pieniężnego albo zapłaty odpowiedniej sumy pieniężnej na wskazany cel społeczny”.</w:t>
      </w:r>
    </w:p>
    <w:p w14:paraId="298BEAE8" w14:textId="77777777" w:rsidR="00E70AE3" w:rsidRPr="00617058" w:rsidRDefault="008055D7" w:rsidP="00617058">
      <w:pPr>
        <w:pStyle w:val="JuHHead"/>
        <w:numPr>
          <w:ilvl w:val="0"/>
          <w:numId w:val="0"/>
        </w:numPr>
        <w:rPr>
          <w:lang w:val="pl-PL"/>
        </w:rPr>
      </w:pPr>
      <w:r>
        <w:rPr>
          <w:bCs w:val="0"/>
          <w:lang w:val="pl"/>
        </w:rPr>
        <w:lastRenderedPageBreak/>
        <w:t>PRAWO</w:t>
      </w:r>
    </w:p>
    <w:p w14:paraId="77BF98A0" w14:textId="1D6363EE" w:rsidR="00E70AE3" w:rsidRPr="0058055F" w:rsidRDefault="00617058" w:rsidP="00617058">
      <w:pPr>
        <w:pStyle w:val="JuHIRoman"/>
        <w:numPr>
          <w:ilvl w:val="0"/>
          <w:numId w:val="0"/>
        </w:numPr>
        <w:ind w:left="369" w:hanging="369"/>
        <w:rPr>
          <w:lang w:val="pl-PL"/>
        </w:rPr>
      </w:pPr>
      <w:r w:rsidRPr="0058055F">
        <w:rPr>
          <w:lang w:val="pl-PL"/>
        </w:rPr>
        <w:t>I.</w:t>
      </w:r>
      <w:r w:rsidRPr="0058055F">
        <w:rPr>
          <w:lang w:val="pl-PL"/>
        </w:rPr>
        <w:tab/>
      </w:r>
      <w:r w:rsidR="008055D7">
        <w:rPr>
          <w:bCs w:val="0"/>
          <w:lang w:val="pl"/>
        </w:rPr>
        <w:t>ZARZUCANE NARUSZENIE ART. 8 KONWENCJI w odniesieniu do widzeń rodzinnych</w:t>
      </w:r>
    </w:p>
    <w:p w14:paraId="0C4F23DF" w14:textId="7A22E962"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r>
        <w:rPr>
          <w:lang w:val="pl"/>
        </w:rPr>
        <w:t>.  Skarżąca podniosła, że w trakcie tymczasowego aresztowania uniemożliwiano jej widzenia z </w:t>
      </w:r>
      <w:r w:rsidR="00FB10CC">
        <w:rPr>
          <w:lang w:val="pl"/>
        </w:rPr>
        <w:t xml:space="preserve">wieloma </w:t>
      </w:r>
      <w:r>
        <w:rPr>
          <w:lang w:val="pl"/>
        </w:rPr>
        <w:t>członkami rodziny przez okres około roku, co stanowi naruszenie art. 8 Konwencji, który brzmi następująco:</w:t>
      </w:r>
    </w:p>
    <w:p w14:paraId="531FCB4C" w14:textId="77777777" w:rsidR="00E70AE3" w:rsidRPr="0058055F" w:rsidRDefault="008055D7" w:rsidP="0070271E">
      <w:pPr>
        <w:pStyle w:val="JuQuot"/>
        <w:rPr>
          <w:lang w:val="pl-PL"/>
        </w:rPr>
      </w:pPr>
      <w:r>
        <w:rPr>
          <w:lang w:val="pl"/>
        </w:rPr>
        <w:t>„1.  Każdy ma prawo do poszanowania swojego życia prywatnego i rodzinnego, swojego mieszkania i swojej korespondencji.</w:t>
      </w:r>
    </w:p>
    <w:p w14:paraId="05C6FFAD" w14:textId="77777777" w:rsidR="00E70AE3" w:rsidRPr="0058055F" w:rsidRDefault="008055D7" w:rsidP="0070271E">
      <w:pPr>
        <w:pStyle w:val="JuQuot"/>
        <w:rPr>
          <w:lang w:val="pl-PL"/>
        </w:rPr>
      </w:pPr>
      <w:r>
        <w:rPr>
          <w:lang w:va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3E4B33E3" w14:textId="2CD4D3CA"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Pismem z  9 lutego 2018 r. Rząd poinformował Trybunał, że zaproponował złożenie jednostronnej deklaracji w celu rozwiązania kwestii podniesionej w tej części skargi. Ponadto zwrócił się do Trybunału o </w:t>
      </w:r>
      <w:r w:rsidR="00FB10CC">
        <w:rPr>
          <w:lang w:val="pl"/>
        </w:rPr>
        <w:t>s</w:t>
      </w:r>
      <w:r>
        <w:rPr>
          <w:lang w:val="pl"/>
        </w:rPr>
        <w:t>kreślenie tej części skargi zgodnie z art. 37 Konwencji.</w:t>
      </w:r>
    </w:p>
    <w:p w14:paraId="66127377" w14:textId="77777777"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r>
        <w:rPr>
          <w:lang w:val="pl"/>
        </w:rPr>
        <w:t>.  Deklaracja stanowiła, co następuje:</w:t>
      </w:r>
    </w:p>
    <w:p w14:paraId="6CE47A90" w14:textId="7BCDB85B" w:rsidR="00E70AE3" w:rsidRPr="0058055F" w:rsidRDefault="008055D7" w:rsidP="0070271E">
      <w:pPr>
        <w:pStyle w:val="JuQuot"/>
        <w:rPr>
          <w:lang w:val="pl-PL"/>
        </w:rPr>
      </w:pPr>
      <w:r>
        <w:rPr>
          <w:lang w:val="pl"/>
        </w:rPr>
        <w:t xml:space="preserve">„Rząd niniejszym pragnie wyrazić – w drodze deklaracji jednostronnej – że uznaje, iż dopuścił się naruszenia art. 8 ust. 2 Konwencji w związku z ograniczeniami nałożonymi na widzenia rodzinne podczas tymczasowego aresztowania skarżącej. Jednocześnie Rząd oświadcza, iż jest gotów wypłacić skarżącej kwotę 1 500 EUR (tysiąc pięćset euro), którą uważa za rozsądną w świetle orzecznictwa Trybunału [...]. Kwota, o której mowa powyżej, ma pokryć wszelkie szkody majątkowe i niemajątkowe, jak również koszty i wydatki, i będzie wolna od </w:t>
      </w:r>
      <w:r w:rsidR="00FB10CC">
        <w:rPr>
          <w:lang w:val="pl"/>
        </w:rPr>
        <w:t xml:space="preserve">jakichkolwiek </w:t>
      </w:r>
      <w:r>
        <w:rPr>
          <w:lang w:val="pl"/>
        </w:rPr>
        <w:t>należnych podatków. Kwota ta będzie płatna w terminie trzech miesięcy od daty zawiadomienia o decyzji podjętej przez Trybunał zgodnie z art. 37 ust. 1 Konwencji o ochronie praw człowieka i podstawowych wolności. W przypadku nieuregulowania należności w terminie trzech miesięcy Rząd zobowiązuje się do zapłaty odsetek zwykłych, naliczanych od momentu upływu tego terminu do chwili rozliczenia, według stopy równej marginalnej stopie procentowej Europejskiego Banku Centralnego obowiązującej w tym okresie, powiększonej o trzy punkty procentowe”.</w:t>
      </w:r>
    </w:p>
    <w:p w14:paraId="143EDA74" w14:textId="1E26824E"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r>
        <w:rPr>
          <w:lang w:val="pl"/>
        </w:rPr>
        <w:t>.  Pismem z  4 kwietnia 2018 r. skarżąca wskazała, że nie jest usatysfakcjonowana warunkami deklaracji jednostronnej.</w:t>
      </w:r>
    </w:p>
    <w:p w14:paraId="4A4F5C99" w14:textId="77777777"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r>
        <w:rPr>
          <w:lang w:val="pl"/>
        </w:rPr>
        <w:t xml:space="preserve">.  Trybunał </w:t>
      </w:r>
      <w:r>
        <w:rPr>
          <w:color w:val="000000"/>
          <w:lang w:val="pl"/>
        </w:rPr>
        <w:t>przypomina</w:t>
      </w:r>
      <w:r>
        <w:rPr>
          <w:lang w:val="pl"/>
        </w:rPr>
        <w:t>, że art. 37 Konwencji stanowi, iż Trybunał może w każdej fazie postępowania zdecydować o skreśleniu skargi z listy spraw, jeżeli okoliczności prowadzą do jednego z wniosków określonych w ust. 1 lit. a, b lub c tego artykułu. W szczególności art. 37 ust. 1 lit. c umożliwia Trybunałowi skreślenie sprawy z listy, jeżeli</w:t>
      </w:r>
    </w:p>
    <w:p w14:paraId="61A025DB" w14:textId="77777777" w:rsidR="00E70AE3" w:rsidRPr="0058055F" w:rsidRDefault="008055D7" w:rsidP="0070271E">
      <w:pPr>
        <w:pStyle w:val="JuQuot"/>
        <w:rPr>
          <w:lang w:val="pl-PL"/>
        </w:rPr>
      </w:pPr>
      <w:r>
        <w:rPr>
          <w:lang w:val="pl"/>
        </w:rPr>
        <w:t>„z jakiejkolwiek innej przyczyny ustalonej przez Trybunał nie jest uzasadnione dalsze rozpatrywanie skargi”.</w:t>
      </w:r>
    </w:p>
    <w:p w14:paraId="57D93F50" w14:textId="2EE68D13" w:rsidR="00E70AE3" w:rsidRPr="0058055F" w:rsidRDefault="008055D7" w:rsidP="0070271E">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xml:space="preserve">.  Trybunał powtarza również, że w pewnych okolicznościach może </w:t>
      </w:r>
      <w:r w:rsidR="00FB10CC">
        <w:rPr>
          <w:lang w:val="pl"/>
        </w:rPr>
        <w:t>s</w:t>
      </w:r>
      <w:r>
        <w:rPr>
          <w:lang w:val="pl"/>
        </w:rPr>
        <w:t xml:space="preserve">kreślić skargę zgodnie z art. 37 ust. 1 lit. c na podstawie deklaracji jednostronnej pozwanego Rządu, nawet jeżeli skarżący </w:t>
      </w:r>
      <w:r w:rsidR="00BC60D5">
        <w:rPr>
          <w:lang w:val="pl"/>
        </w:rPr>
        <w:t>żąda</w:t>
      </w:r>
      <w:r>
        <w:rPr>
          <w:lang w:val="pl"/>
        </w:rPr>
        <w:t xml:space="preserve"> dalszego prowadzenia sprawy.</w:t>
      </w:r>
    </w:p>
    <w:p w14:paraId="445ECA76" w14:textId="498F534A"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81</w:t>
      </w:r>
      <w:r>
        <w:rPr>
          <w:lang w:val="pl"/>
        </w:rPr>
        <w:fldChar w:fldCharType="end"/>
      </w:r>
      <w:r>
        <w:rPr>
          <w:lang w:val="pl"/>
        </w:rPr>
        <w:t xml:space="preserve">.  Trybunał </w:t>
      </w:r>
      <w:r w:rsidR="00BC60D5">
        <w:rPr>
          <w:color w:val="000000"/>
          <w:lang w:val="pl"/>
        </w:rPr>
        <w:t xml:space="preserve">zbadał </w:t>
      </w:r>
      <w:r>
        <w:rPr>
          <w:lang w:val="pl"/>
        </w:rPr>
        <w:t xml:space="preserve">treść deklaracji w świetle zasad wynikających z jego orzecznictwa, w szczególności z wyroku </w:t>
      </w:r>
      <w:proofErr w:type="spellStart"/>
      <w:r>
        <w:rPr>
          <w:i/>
          <w:iCs/>
          <w:lang w:val="pl"/>
        </w:rPr>
        <w:t>Tahsin</w:t>
      </w:r>
      <w:proofErr w:type="spellEnd"/>
      <w:r>
        <w:rPr>
          <w:i/>
          <w:iCs/>
          <w:lang w:val="pl"/>
        </w:rPr>
        <w:t xml:space="preserve"> </w:t>
      </w:r>
      <w:proofErr w:type="spellStart"/>
      <w:r>
        <w:rPr>
          <w:i/>
          <w:iCs/>
          <w:lang w:val="pl"/>
        </w:rPr>
        <w:t>Acar</w:t>
      </w:r>
      <w:proofErr w:type="spellEnd"/>
      <w:r>
        <w:rPr>
          <w:lang w:val="pl"/>
        </w:rPr>
        <w:t xml:space="preserve"> (zob. </w:t>
      </w:r>
      <w:proofErr w:type="spellStart"/>
      <w:r>
        <w:rPr>
          <w:i/>
          <w:iCs/>
          <w:lang w:val="pl"/>
        </w:rPr>
        <w:t>Tahsin</w:t>
      </w:r>
      <w:proofErr w:type="spellEnd"/>
      <w:r>
        <w:rPr>
          <w:i/>
          <w:iCs/>
          <w:lang w:val="pl"/>
        </w:rPr>
        <w:t xml:space="preserve"> </w:t>
      </w:r>
      <w:proofErr w:type="spellStart"/>
      <w:r>
        <w:rPr>
          <w:i/>
          <w:iCs/>
          <w:lang w:val="pl"/>
        </w:rPr>
        <w:t>Acar</w:t>
      </w:r>
      <w:proofErr w:type="spellEnd"/>
      <w:r>
        <w:rPr>
          <w:i/>
          <w:iCs/>
          <w:lang w:val="pl"/>
        </w:rPr>
        <w:t xml:space="preserve"> p. Turcji</w:t>
      </w:r>
      <w:r>
        <w:rPr>
          <w:lang w:val="pl"/>
        </w:rPr>
        <w:t xml:space="preserve"> (zastrzeżenie wstępne) [WI], nr 26307/95, §§ 75–77, </w:t>
      </w:r>
      <w:proofErr w:type="spellStart"/>
      <w:r>
        <w:rPr>
          <w:lang w:val="pl"/>
        </w:rPr>
        <w:t>ETPCz</w:t>
      </w:r>
      <w:proofErr w:type="spellEnd"/>
      <w:r>
        <w:rPr>
          <w:lang w:val="pl"/>
        </w:rPr>
        <w:t xml:space="preserve"> 2003-VI</w:t>
      </w:r>
      <w:r w:rsidR="00BC60D5">
        <w:rPr>
          <w:lang w:val="pl"/>
        </w:rPr>
        <w:t>,</w:t>
      </w:r>
      <w:r>
        <w:rPr>
          <w:lang w:val="pl"/>
        </w:rPr>
        <w:t xml:space="preserve"> </w:t>
      </w:r>
      <w:r>
        <w:rPr>
          <w:i/>
          <w:iCs/>
          <w:lang w:val="pl"/>
        </w:rPr>
        <w:t>WAZA Sp. z o.o. p. Polsce</w:t>
      </w:r>
      <w:r>
        <w:rPr>
          <w:lang w:val="pl"/>
        </w:rPr>
        <w:t xml:space="preserve"> (</w:t>
      </w:r>
      <w:proofErr w:type="spellStart"/>
      <w:r>
        <w:rPr>
          <w:lang w:val="pl"/>
        </w:rPr>
        <w:t>dec</w:t>
      </w:r>
      <w:proofErr w:type="spellEnd"/>
      <w:r>
        <w:rPr>
          <w:lang w:val="pl"/>
        </w:rPr>
        <w:t xml:space="preserve">.), nr 11602/02, 26 czerwca 2007 r. oraz </w:t>
      </w:r>
      <w:proofErr w:type="spellStart"/>
      <w:r>
        <w:rPr>
          <w:i/>
          <w:iCs/>
          <w:lang w:val="pl"/>
        </w:rPr>
        <w:t>Sulwińska</w:t>
      </w:r>
      <w:proofErr w:type="spellEnd"/>
      <w:r>
        <w:rPr>
          <w:i/>
          <w:iCs/>
          <w:lang w:val="pl"/>
        </w:rPr>
        <w:t xml:space="preserve"> p. Polsce</w:t>
      </w:r>
      <w:r>
        <w:rPr>
          <w:lang w:val="pl"/>
        </w:rPr>
        <w:t xml:space="preserve"> (</w:t>
      </w:r>
      <w:proofErr w:type="spellStart"/>
      <w:r>
        <w:rPr>
          <w:lang w:val="pl"/>
        </w:rPr>
        <w:t>dec</w:t>
      </w:r>
      <w:proofErr w:type="spellEnd"/>
      <w:r>
        <w:rPr>
          <w:lang w:val="pl"/>
        </w:rPr>
        <w:t>.), nr 28953/03, 18 września 2007 r.).</w:t>
      </w:r>
    </w:p>
    <w:p w14:paraId="0389E803" w14:textId="44AB1C03"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Trybunał ustalił w szeregu spraw, w tym w sprawach wniesionych przeciwko Polsce, swoją praktykę w zakresie skarg dotyczących naruszenia art. 8 Konwencji w </w:t>
      </w:r>
      <w:r w:rsidR="00BC60D5">
        <w:rPr>
          <w:lang w:val="pl"/>
        </w:rPr>
        <w:t>związku z odmową udzielenia zgody na widzenia rodzinne</w:t>
      </w:r>
      <w:r>
        <w:rPr>
          <w:lang w:val="pl"/>
        </w:rPr>
        <w:t xml:space="preserve"> osobom osadzonym (zob. </w:t>
      </w:r>
      <w:r>
        <w:rPr>
          <w:i/>
          <w:iCs/>
          <w:lang w:val="pl"/>
        </w:rPr>
        <w:t>Pie</w:t>
      </w:r>
      <w:bookmarkStart w:id="14" w:name="cl34153"/>
      <w:r>
        <w:rPr>
          <w:i/>
          <w:iCs/>
          <w:lang w:val="pl"/>
        </w:rPr>
        <w:t>chowicz p. Polsce</w:t>
      </w:r>
      <w:bookmarkEnd w:id="14"/>
      <w:r>
        <w:rPr>
          <w:lang w:val="pl"/>
        </w:rPr>
        <w:t>, nr 20071/07, § 222, 17 kwietnia 2012 r.</w:t>
      </w:r>
      <w:r w:rsidR="00BC60D5">
        <w:rPr>
          <w:lang w:val="pl"/>
        </w:rPr>
        <w:t>,</w:t>
      </w:r>
      <w:r>
        <w:rPr>
          <w:lang w:val="pl"/>
        </w:rPr>
        <w:t xml:space="preserve"> </w:t>
      </w:r>
      <w:proofErr w:type="spellStart"/>
      <w:r>
        <w:rPr>
          <w:i/>
          <w:iCs/>
          <w:lang w:val="pl"/>
        </w:rPr>
        <w:t>Hor</w:t>
      </w:r>
      <w:bookmarkStart w:id="15" w:name="cl27601"/>
      <w:r>
        <w:rPr>
          <w:i/>
          <w:iCs/>
          <w:lang w:val="pl"/>
        </w:rPr>
        <w:t>ych</w:t>
      </w:r>
      <w:proofErr w:type="spellEnd"/>
      <w:r>
        <w:rPr>
          <w:i/>
          <w:iCs/>
          <w:lang w:val="pl"/>
        </w:rPr>
        <w:t xml:space="preserve"> p. Polsce</w:t>
      </w:r>
      <w:bookmarkEnd w:id="15"/>
      <w:r>
        <w:rPr>
          <w:lang w:val="pl"/>
        </w:rPr>
        <w:t xml:space="preserve">, nr 13621/08, § 132, 17 kwietnia 2012 r. oraz </w:t>
      </w:r>
      <w:r>
        <w:rPr>
          <w:i/>
          <w:iCs/>
          <w:lang w:val="pl"/>
        </w:rPr>
        <w:t>Doc</w:t>
      </w:r>
      <w:bookmarkStart w:id="16" w:name="cl24645"/>
      <w:r>
        <w:rPr>
          <w:i/>
          <w:iCs/>
          <w:lang w:val="pl"/>
        </w:rPr>
        <w:t>hnal p. Polsce</w:t>
      </w:r>
      <w:bookmarkEnd w:id="16"/>
      <w:r>
        <w:rPr>
          <w:lang w:val="pl"/>
        </w:rPr>
        <w:t>, nr 31622/07, § 97, 18 września 2012 r.).</w:t>
      </w:r>
    </w:p>
    <w:p w14:paraId="5C967814" w14:textId="77777777"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83</w:t>
      </w:r>
      <w:r>
        <w:rPr>
          <w:lang w:val="pl"/>
        </w:rPr>
        <w:fldChar w:fldCharType="end"/>
      </w:r>
      <w:r>
        <w:rPr>
          <w:lang w:val="pl"/>
        </w:rPr>
        <w:t>.  Biorąc pod uwagę charakter twierdzeń zawartych w deklaracji Rządu, jak również proponowaną kwotę odszkodowania – która odpowiada kwotom przyznanym w podobnych sprawach – Trybunał uważa, że dalsze rozpatrywanie tej części skargi nie jest dłużej zasadne (art. 37 ust. 1 lit. c Konwencji).</w:t>
      </w:r>
    </w:p>
    <w:p w14:paraId="138991ED" w14:textId="66E47DF3"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84</w:t>
      </w:r>
      <w:r>
        <w:rPr>
          <w:lang w:val="pl"/>
        </w:rPr>
        <w:fldChar w:fldCharType="end"/>
      </w:r>
      <w:r>
        <w:rPr>
          <w:lang w:val="pl"/>
        </w:rPr>
        <w:t xml:space="preserve">.  Ponadto w świetle powyższych rozważań, a w szczególności biorąc pod uwagę jasne i obszerne orzecznictwo w tym zakresie, Trybunał jest przekonany, że poszanowanie praw człowieka określonych w Konwencji i </w:t>
      </w:r>
      <w:r w:rsidR="00BC60D5">
        <w:rPr>
          <w:lang w:val="pl"/>
        </w:rPr>
        <w:t xml:space="preserve">jej </w:t>
      </w:r>
      <w:r>
        <w:rPr>
          <w:lang w:val="pl"/>
        </w:rPr>
        <w:t xml:space="preserve">protokołach nie wymaga od niego </w:t>
      </w:r>
      <w:r w:rsidR="00BC60D5">
        <w:rPr>
          <w:lang w:val="pl"/>
        </w:rPr>
        <w:t>kontyn</w:t>
      </w:r>
      <w:r w:rsidR="0048534D">
        <w:rPr>
          <w:lang w:val="pl"/>
        </w:rPr>
        <w:t>uowania badania</w:t>
      </w:r>
      <w:r>
        <w:rPr>
          <w:lang w:val="pl"/>
        </w:rPr>
        <w:t xml:space="preserve"> tej skargi (art. 37 ust. 1 </w:t>
      </w:r>
      <w:r>
        <w:rPr>
          <w:i/>
          <w:iCs/>
          <w:lang w:val="pl"/>
        </w:rPr>
        <w:t>in fine</w:t>
      </w:r>
      <w:r>
        <w:rPr>
          <w:lang w:val="pl"/>
        </w:rPr>
        <w:t>).</w:t>
      </w:r>
    </w:p>
    <w:p w14:paraId="1FAFF1D7" w14:textId="77777777"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85</w:t>
      </w:r>
      <w:r>
        <w:rPr>
          <w:lang w:val="pl"/>
        </w:rPr>
        <w:fldChar w:fldCharType="end"/>
      </w:r>
      <w:r>
        <w:rPr>
          <w:lang w:val="pl"/>
        </w:rPr>
        <w:t xml:space="preserve">.  Wreszcie Trybunał podkreśla, że w przypadku nieprzestrzegania przez Rząd warunków jednostronnej deklaracji, ta część skargi może zostać ponownie wpisana na listę zgodnie z art. 37 ust. 2 Konwencji (zob. </w:t>
      </w:r>
      <w:proofErr w:type="spellStart"/>
      <w:r>
        <w:rPr>
          <w:i/>
          <w:iCs/>
          <w:lang w:val="pl"/>
        </w:rPr>
        <w:t>Josipović</w:t>
      </w:r>
      <w:proofErr w:type="spellEnd"/>
      <w:r>
        <w:rPr>
          <w:i/>
          <w:iCs/>
          <w:lang w:val="pl"/>
        </w:rPr>
        <w:t xml:space="preserve"> p. Serbii</w:t>
      </w:r>
      <w:r>
        <w:rPr>
          <w:lang w:val="pl"/>
        </w:rPr>
        <w:t xml:space="preserve"> (</w:t>
      </w:r>
      <w:proofErr w:type="spellStart"/>
      <w:r>
        <w:rPr>
          <w:lang w:val="pl"/>
        </w:rPr>
        <w:t>dec</w:t>
      </w:r>
      <w:proofErr w:type="spellEnd"/>
      <w:r>
        <w:rPr>
          <w:lang w:val="pl"/>
        </w:rPr>
        <w:t>.), nr 18369/07, 4 marca 2008 r.).</w:t>
      </w:r>
    </w:p>
    <w:p w14:paraId="3BDD762F" w14:textId="3555437B"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86</w:t>
      </w:r>
      <w:r>
        <w:rPr>
          <w:lang w:val="pl"/>
        </w:rPr>
        <w:fldChar w:fldCharType="end"/>
      </w:r>
      <w:r>
        <w:rPr>
          <w:lang w:val="pl"/>
        </w:rPr>
        <w:t xml:space="preserve">.  W związku z powyższym należy </w:t>
      </w:r>
      <w:r w:rsidR="0048534D">
        <w:rPr>
          <w:lang w:val="pl"/>
        </w:rPr>
        <w:t>s</w:t>
      </w:r>
      <w:r>
        <w:rPr>
          <w:lang w:val="pl"/>
        </w:rPr>
        <w:t>kreślić sprawę z listy</w:t>
      </w:r>
      <w:r>
        <w:rPr>
          <w:color w:val="000000"/>
          <w:lang w:val="pl"/>
        </w:rPr>
        <w:t xml:space="preserve"> w zakresie, w jakim odnosi się ona do </w:t>
      </w:r>
      <w:r w:rsidR="0048534D">
        <w:rPr>
          <w:color w:val="000000"/>
          <w:lang w:val="pl"/>
        </w:rPr>
        <w:t>zarzutu</w:t>
      </w:r>
      <w:r>
        <w:rPr>
          <w:color w:val="000000"/>
          <w:lang w:val="pl"/>
        </w:rPr>
        <w:t xml:space="preserve"> naruszenia art. 8 Konwencji w odniesieniu do widzeń rodzinnych</w:t>
      </w:r>
      <w:r>
        <w:rPr>
          <w:lang w:val="pl"/>
        </w:rPr>
        <w:t>.</w:t>
      </w:r>
    </w:p>
    <w:p w14:paraId="3A0BC1F1" w14:textId="3E7804F8" w:rsidR="00E70AE3" w:rsidRPr="00617058" w:rsidRDefault="00617058" w:rsidP="00617058">
      <w:pPr>
        <w:pStyle w:val="JuHIRoman"/>
        <w:numPr>
          <w:ilvl w:val="0"/>
          <w:numId w:val="0"/>
        </w:numPr>
        <w:ind w:left="369" w:hanging="369"/>
        <w:rPr>
          <w:lang w:val="pl-PL"/>
        </w:rPr>
      </w:pPr>
      <w:r w:rsidRPr="00617058">
        <w:rPr>
          <w:lang w:val="pl-PL"/>
        </w:rPr>
        <w:t>II.</w:t>
      </w:r>
      <w:r w:rsidRPr="00617058">
        <w:rPr>
          <w:lang w:val="pl-PL"/>
        </w:rPr>
        <w:tab/>
      </w:r>
      <w:r w:rsidR="008055D7">
        <w:rPr>
          <w:bCs w:val="0"/>
          <w:lang w:val="pl"/>
        </w:rPr>
        <w:t>ZARZUCANE NARUSZENIE ART. 5 UST. 3 KONWENCJI</w:t>
      </w:r>
    </w:p>
    <w:p w14:paraId="701BFE5C" w14:textId="673544C4"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87</w:t>
      </w:r>
      <w:r>
        <w:rPr>
          <w:lang w:val="pl"/>
        </w:rPr>
        <w:fldChar w:fldCharType="end"/>
      </w:r>
      <w:r>
        <w:rPr>
          <w:lang w:val="pl"/>
        </w:rPr>
        <w:t>.  Skarżąca podniosła na gruncie art. 5 ust. 3 Konwencji, że okres jej tymczasowego aresztowania był nadmier</w:t>
      </w:r>
      <w:r w:rsidR="00834224">
        <w:rPr>
          <w:lang w:val="pl"/>
        </w:rPr>
        <w:t>nej</w:t>
      </w:r>
      <w:r>
        <w:rPr>
          <w:lang w:val="pl"/>
        </w:rPr>
        <w:t xml:space="preserve"> dług</w:t>
      </w:r>
      <w:r w:rsidR="00834224">
        <w:rPr>
          <w:lang w:val="pl"/>
        </w:rPr>
        <w:t>ości</w:t>
      </w:r>
      <w:r>
        <w:rPr>
          <w:lang w:val="pl"/>
        </w:rPr>
        <w:t>.</w:t>
      </w:r>
    </w:p>
    <w:p w14:paraId="7CF9F805" w14:textId="77777777" w:rsidR="00E70AE3" w:rsidRPr="0058055F" w:rsidRDefault="008055D7" w:rsidP="0070271E">
      <w:pPr>
        <w:pStyle w:val="JuPara"/>
        <w:rPr>
          <w:lang w:val="pl-PL"/>
        </w:rPr>
      </w:pPr>
      <w:r>
        <w:rPr>
          <w:lang w:val="pl"/>
        </w:rPr>
        <w:t>Art. 5 ust. 3 Konwencji w odpowiednim zakresie stanowi:</w:t>
      </w:r>
    </w:p>
    <w:p w14:paraId="1CACC789" w14:textId="77777777" w:rsidR="00E70AE3" w:rsidRPr="0058055F" w:rsidRDefault="008055D7" w:rsidP="0070271E">
      <w:pPr>
        <w:pStyle w:val="JuQuot"/>
        <w:rPr>
          <w:lang w:val="pl-PL"/>
        </w:rPr>
      </w:pPr>
      <w:r>
        <w:rPr>
          <w:lang w:val="pl"/>
        </w:rPr>
        <w:t>„Każdy zatrzymany lub aresztowany zgodnie z postanowieniami ustępu 1 lit. c) niniejszego artykułu [...] ma prawo być sądzony w rozsądnym terminie albo zwolniony na czas postępowania. Zwolnienie może zostać uzależnione od udzielenia gwarancji zapewniających stawienie się na rozprawę”.</w:t>
      </w:r>
    </w:p>
    <w:p w14:paraId="2B6FA604" w14:textId="5118C630" w:rsidR="00E70AE3" w:rsidRPr="00617058" w:rsidRDefault="00617058" w:rsidP="00617058">
      <w:pPr>
        <w:pStyle w:val="JuHA"/>
        <w:numPr>
          <w:ilvl w:val="0"/>
          <w:numId w:val="0"/>
        </w:numPr>
        <w:ind w:left="510" w:hanging="340"/>
        <w:rPr>
          <w:lang w:val="pl-PL"/>
        </w:rPr>
      </w:pPr>
      <w:r w:rsidRPr="00617058">
        <w:rPr>
          <w:lang w:val="pl-PL"/>
        </w:rPr>
        <w:lastRenderedPageBreak/>
        <w:t>A.</w:t>
      </w:r>
      <w:r w:rsidRPr="00617058">
        <w:rPr>
          <w:lang w:val="pl-PL"/>
        </w:rPr>
        <w:tab/>
      </w:r>
      <w:r w:rsidR="008055D7">
        <w:rPr>
          <w:lang w:val="pl"/>
        </w:rPr>
        <w:t>Dopuszczalność</w:t>
      </w:r>
    </w:p>
    <w:p w14:paraId="7540B9B9" w14:textId="19BCAF5C" w:rsidR="00E70AE3" w:rsidRPr="00617058"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88</w:t>
      </w:r>
      <w:r>
        <w:rPr>
          <w:lang w:val="pl"/>
        </w:rPr>
        <w:fldChar w:fldCharType="end"/>
      </w:r>
      <w:r>
        <w:rPr>
          <w:lang w:val="pl"/>
        </w:rPr>
        <w:t xml:space="preserve">.  Trybunał zauważa, że </w:t>
      </w:r>
      <w:r w:rsidR="007C7469">
        <w:rPr>
          <w:lang w:val="pl"/>
        </w:rPr>
        <w:t xml:space="preserve">zarzut </w:t>
      </w:r>
      <w:r>
        <w:rPr>
          <w:lang w:val="pl"/>
        </w:rPr>
        <w:t>t</w:t>
      </w:r>
      <w:r w:rsidR="007C7469">
        <w:rPr>
          <w:lang w:val="pl"/>
        </w:rPr>
        <w:t>en</w:t>
      </w:r>
      <w:r>
        <w:rPr>
          <w:lang w:val="pl"/>
        </w:rPr>
        <w:t xml:space="preserve"> nie jest w sposób oczywisty nieuzasadnion</w:t>
      </w:r>
      <w:r w:rsidR="007C7469">
        <w:rPr>
          <w:lang w:val="pl"/>
        </w:rPr>
        <w:t>y</w:t>
      </w:r>
      <w:r>
        <w:rPr>
          <w:lang w:val="pl"/>
        </w:rPr>
        <w:t xml:space="preserve"> w rozumieniu art. 35 ust. 3 lit. a Konwencji. Ponadto zauważa, że </w:t>
      </w:r>
      <w:r w:rsidR="007C7469">
        <w:rPr>
          <w:lang w:val="pl"/>
        </w:rPr>
        <w:t xml:space="preserve">skarga w tym zakresie </w:t>
      </w:r>
      <w:r>
        <w:rPr>
          <w:lang w:val="pl"/>
        </w:rPr>
        <w:t>nie jest niedopuszczalna na żadnym innym gruncie. Musi zatem zostać uznana za dopuszczalną.</w:t>
      </w:r>
    </w:p>
    <w:p w14:paraId="4F21D8FB" w14:textId="76A027CC" w:rsidR="00E70AE3" w:rsidRPr="00617058" w:rsidRDefault="00617058" w:rsidP="00617058">
      <w:pPr>
        <w:pStyle w:val="JuHA"/>
        <w:numPr>
          <w:ilvl w:val="0"/>
          <w:numId w:val="0"/>
        </w:numPr>
        <w:ind w:left="510" w:hanging="340"/>
        <w:rPr>
          <w:lang w:val="pl-PL"/>
        </w:rPr>
      </w:pPr>
      <w:r w:rsidRPr="00617058">
        <w:rPr>
          <w:lang w:val="pl-PL"/>
        </w:rPr>
        <w:t>B.</w:t>
      </w:r>
      <w:r w:rsidRPr="00617058">
        <w:rPr>
          <w:lang w:val="pl-PL"/>
        </w:rPr>
        <w:tab/>
      </w:r>
      <w:r w:rsidR="007C7469">
        <w:rPr>
          <w:lang w:val="pl"/>
        </w:rPr>
        <w:t>Meritum</w:t>
      </w:r>
    </w:p>
    <w:p w14:paraId="608DE8E0" w14:textId="4B25B173" w:rsidR="00E70AE3" w:rsidRPr="00617058" w:rsidRDefault="00617058" w:rsidP="00617058">
      <w:pPr>
        <w:pStyle w:val="JuH1"/>
        <w:numPr>
          <w:ilvl w:val="0"/>
          <w:numId w:val="0"/>
        </w:numPr>
        <w:ind w:left="680" w:hanging="340"/>
        <w:rPr>
          <w:lang w:val="pl-PL"/>
        </w:rPr>
      </w:pPr>
      <w:r w:rsidRPr="00617058">
        <w:rPr>
          <w:lang w:val="pl-PL"/>
        </w:rPr>
        <w:t>1.</w:t>
      </w:r>
      <w:r w:rsidRPr="00617058">
        <w:rPr>
          <w:lang w:val="pl-PL"/>
        </w:rPr>
        <w:tab/>
      </w:r>
      <w:r w:rsidR="008055D7">
        <w:rPr>
          <w:bCs w:val="0"/>
          <w:lang w:val="pl"/>
        </w:rPr>
        <w:t>Stanowiska stron</w:t>
      </w:r>
    </w:p>
    <w:p w14:paraId="3F2BD575" w14:textId="165230A5"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89</w:t>
      </w:r>
      <w:r>
        <w:rPr>
          <w:noProof/>
          <w:lang w:val="pl"/>
        </w:rPr>
        <w:fldChar w:fldCharType="end"/>
      </w:r>
      <w:r>
        <w:rPr>
          <w:lang w:val="pl"/>
        </w:rPr>
        <w:t xml:space="preserve">.  Skarżąca podniosła, że </w:t>
      </w:r>
      <w:r w:rsidR="007C7469">
        <w:rPr>
          <w:lang w:val="pl"/>
        </w:rPr>
        <w:t xml:space="preserve">długość </w:t>
      </w:r>
      <w:r>
        <w:rPr>
          <w:lang w:val="pl"/>
        </w:rPr>
        <w:t>tymczasowego aresztowania był</w:t>
      </w:r>
      <w:r w:rsidR="007C7469">
        <w:rPr>
          <w:lang w:val="pl"/>
        </w:rPr>
        <w:t>a</w:t>
      </w:r>
      <w:r>
        <w:rPr>
          <w:lang w:val="pl"/>
        </w:rPr>
        <w:t xml:space="preserve"> nadmiern</w:t>
      </w:r>
      <w:r w:rsidR="007C7469">
        <w:rPr>
          <w:lang w:val="pl"/>
        </w:rPr>
        <w:t>a</w:t>
      </w:r>
      <w:r>
        <w:rPr>
          <w:lang w:val="pl"/>
        </w:rPr>
        <w:t xml:space="preserve"> </w:t>
      </w:r>
      <w:r w:rsidR="007C7469">
        <w:rPr>
          <w:lang w:val="pl"/>
        </w:rPr>
        <w:t>i</w:t>
      </w:r>
      <w:r>
        <w:rPr>
          <w:lang w:val="pl"/>
        </w:rPr>
        <w:t> nieuzasadnion</w:t>
      </w:r>
      <w:r w:rsidR="007C7469">
        <w:rPr>
          <w:lang w:val="pl"/>
        </w:rPr>
        <w:t>a</w:t>
      </w:r>
      <w:r>
        <w:rPr>
          <w:lang w:val="pl"/>
        </w:rPr>
        <w:t>. Aresztowanie przedłuż</w:t>
      </w:r>
      <w:r w:rsidR="007C7469">
        <w:rPr>
          <w:lang w:val="pl"/>
        </w:rPr>
        <w:t>a</w:t>
      </w:r>
      <w:r>
        <w:rPr>
          <w:lang w:val="pl"/>
        </w:rPr>
        <w:t xml:space="preserve">no nawet po przesłuchaniu wszystkich świadków. Władze opierały się głównie na surowości </w:t>
      </w:r>
      <w:r w:rsidR="007C7469">
        <w:rPr>
          <w:lang w:val="pl"/>
        </w:rPr>
        <w:t>ewentualnej kary</w:t>
      </w:r>
      <w:r>
        <w:rPr>
          <w:lang w:val="pl"/>
        </w:rPr>
        <w:t xml:space="preserve"> i odrzuciły wszystkie wnioski o zastosowanie innego środka zapobiegawczego w celu zapewnienia obecności skarżącej podczas procesu.</w:t>
      </w:r>
    </w:p>
    <w:p w14:paraId="0FA8BB8E" w14:textId="0CC4244B"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90</w:t>
      </w:r>
      <w:r>
        <w:rPr>
          <w:noProof/>
          <w:lang w:val="pl"/>
        </w:rPr>
        <w:fldChar w:fldCharType="end"/>
      </w:r>
      <w:r>
        <w:rPr>
          <w:lang w:val="pl"/>
        </w:rPr>
        <w:t>.  Rząd podniósł, że w niniejszej sprawie spełnione zostały wszystkie przesłanki zastosowania i przedłuż</w:t>
      </w:r>
      <w:r w:rsidR="00012DE8">
        <w:rPr>
          <w:lang w:val="pl"/>
        </w:rPr>
        <w:t>a</w:t>
      </w:r>
      <w:r>
        <w:rPr>
          <w:lang w:val="pl"/>
        </w:rPr>
        <w:t xml:space="preserve">nia stosowania tymczasowego aresztowania. Podstawą zastosowania wobec skarżącej tymczasowego aresztowania było uzasadnione podejrzenie popełnienia przez nią zarzucanych jej przestępstw. Postępowanie było szczególnie złożone i prowadzone z należytą starannością. Rząd zwrócił uwagę na fakt, że akta sprawy składały się z ponad 15 000 tomów, przy czym każdy z nich liczył 200 stron, oraz że wartość strat poniesionych przez około 18 000 </w:t>
      </w:r>
      <w:r w:rsidR="00012DE8">
        <w:rPr>
          <w:lang w:val="pl"/>
        </w:rPr>
        <w:t xml:space="preserve">pokrzywdzonych </w:t>
      </w:r>
      <w:r>
        <w:rPr>
          <w:lang w:val="pl"/>
        </w:rPr>
        <w:t xml:space="preserve">w wyniku działania systemu piramidy spółki A. oszacowano na łączną kwotę 850 000 000 PLN. </w:t>
      </w:r>
      <w:r w:rsidR="00012DE8">
        <w:rPr>
          <w:lang w:val="pl"/>
        </w:rPr>
        <w:t>Tymczasowe a</w:t>
      </w:r>
      <w:r>
        <w:rPr>
          <w:lang w:val="pl"/>
        </w:rPr>
        <w:t xml:space="preserve">resztowanie skarżącej było konieczne ze względu na ryzyko ucieczki lub prób wywarcia wpływu na świadków. Ponadto charakter zarzucanych jej przestępstw oraz surowość przewidywanej kary uzasadniały cały okres </w:t>
      </w:r>
      <w:r w:rsidR="00012DE8">
        <w:rPr>
          <w:lang w:val="pl"/>
        </w:rPr>
        <w:t xml:space="preserve">jej </w:t>
      </w:r>
      <w:r>
        <w:rPr>
          <w:lang w:val="pl"/>
        </w:rPr>
        <w:t>tymczasowego aresztowania.</w:t>
      </w:r>
    </w:p>
    <w:p w14:paraId="572FE617" w14:textId="14CB0258" w:rsidR="00E70AE3" w:rsidRPr="00617058" w:rsidRDefault="00617058" w:rsidP="00617058">
      <w:pPr>
        <w:pStyle w:val="JuH1"/>
        <w:numPr>
          <w:ilvl w:val="0"/>
          <w:numId w:val="0"/>
        </w:numPr>
        <w:ind w:left="680" w:hanging="340"/>
        <w:rPr>
          <w:lang w:val="pl-PL"/>
        </w:rPr>
      </w:pPr>
      <w:r w:rsidRPr="00617058">
        <w:rPr>
          <w:lang w:val="pl-PL"/>
        </w:rPr>
        <w:t>2.</w:t>
      </w:r>
      <w:r w:rsidRPr="00617058">
        <w:rPr>
          <w:lang w:val="pl-PL"/>
        </w:rPr>
        <w:tab/>
      </w:r>
      <w:r w:rsidR="008055D7">
        <w:rPr>
          <w:bCs w:val="0"/>
          <w:lang w:val="pl"/>
        </w:rPr>
        <w:t xml:space="preserve"> Ocena Trybunału</w:t>
      </w:r>
    </w:p>
    <w:p w14:paraId="639AE056" w14:textId="5BB104F2"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91</w:t>
      </w:r>
      <w:r>
        <w:rPr>
          <w:lang w:val="pl"/>
        </w:rPr>
        <w:fldChar w:fldCharType="end"/>
      </w:r>
      <w:r>
        <w:rPr>
          <w:lang w:val="pl"/>
        </w:rPr>
        <w:t>.  Tymczasowe aresztowanie skarżącej rozpoczęło się w dniu 15 kwietnia 2013 r., kiedy została zatrzymana (zob. paragraf </w:t>
      </w:r>
      <w:r>
        <w:rPr>
          <w:lang w:val="pl"/>
        </w:rPr>
        <w:fldChar w:fldCharType="begin"/>
      </w:r>
      <w:r>
        <w:rPr>
          <w:lang w:val="pl"/>
        </w:rPr>
        <w:instrText xml:space="preserve"> REF detention_imposed \h </w:instrText>
      </w:r>
      <w:r>
        <w:rPr>
          <w:lang w:val="pl"/>
        </w:rPr>
      </w:r>
      <w:r>
        <w:rPr>
          <w:lang w:val="pl"/>
        </w:rPr>
        <w:fldChar w:fldCharType="separate"/>
      </w:r>
      <w:r>
        <w:rPr>
          <w:noProof/>
          <w:lang w:val="pl"/>
        </w:rPr>
        <w:t>9</w:t>
      </w:r>
      <w:r>
        <w:rPr>
          <w:lang w:val="pl"/>
        </w:rPr>
        <w:fldChar w:fldCharType="end"/>
      </w:r>
      <w:r>
        <w:rPr>
          <w:lang w:val="pl"/>
        </w:rPr>
        <w:t xml:space="preserve"> powyżej). W dniu 20 maja 2019 r. Sąd Rejonowy w Gdańsku wydał wobec niej wyrok skazujący (zob. paragraf </w:t>
      </w:r>
      <w:r>
        <w:rPr>
          <w:lang w:val="pl"/>
        </w:rPr>
        <w:fldChar w:fldCharType="begin"/>
      </w:r>
      <w:r>
        <w:rPr>
          <w:lang w:val="pl"/>
        </w:rPr>
        <w:instrText xml:space="preserve"> REF conviction_2019 \h </w:instrText>
      </w:r>
      <w:r>
        <w:rPr>
          <w:lang w:val="pl"/>
        </w:rPr>
      </w:r>
      <w:r>
        <w:rPr>
          <w:lang w:val="pl"/>
        </w:rPr>
        <w:fldChar w:fldCharType="separate"/>
      </w:r>
      <w:r>
        <w:rPr>
          <w:noProof/>
          <w:lang w:val="pl"/>
        </w:rPr>
        <w:t>19</w:t>
      </w:r>
      <w:r>
        <w:rPr>
          <w:lang w:val="pl"/>
        </w:rPr>
        <w:fldChar w:fldCharType="end"/>
      </w:r>
      <w:r>
        <w:rPr>
          <w:lang w:val="pl"/>
        </w:rPr>
        <w:t xml:space="preserve"> powyżej). Od tego dnia skarżąca była pozbawiona wolności „w wyniku skazania przez właściwy sąd” w rozumieniu art. 5 ust. 1 lit. a, w związku z czym okres następujący po tej dacie nie wchodzi w zakres art. 5 ust. 3 (por. </w:t>
      </w:r>
      <w:r>
        <w:rPr>
          <w:i/>
          <w:iCs/>
          <w:lang w:val="pl"/>
        </w:rPr>
        <w:t>Kudła p. Polsce</w:t>
      </w:r>
      <w:r>
        <w:rPr>
          <w:lang w:val="pl"/>
        </w:rPr>
        <w:t xml:space="preserve"> [WI], nr 30210/96, § 104, </w:t>
      </w:r>
      <w:proofErr w:type="spellStart"/>
      <w:r>
        <w:rPr>
          <w:lang w:val="pl"/>
        </w:rPr>
        <w:t>ETPCz</w:t>
      </w:r>
      <w:proofErr w:type="spellEnd"/>
      <w:r>
        <w:rPr>
          <w:lang w:val="pl"/>
        </w:rPr>
        <w:t> 2000</w:t>
      </w:r>
      <w:r>
        <w:rPr>
          <w:lang w:val="pl"/>
        </w:rPr>
        <w:noBreakHyphen/>
        <w:t>XI).</w:t>
      </w:r>
    </w:p>
    <w:p w14:paraId="479D373B" w14:textId="77777777"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92</w:t>
      </w:r>
      <w:r>
        <w:rPr>
          <w:lang w:val="pl"/>
        </w:rPr>
        <w:fldChar w:fldCharType="end"/>
      </w:r>
      <w:r>
        <w:rPr>
          <w:lang w:val="pl"/>
        </w:rPr>
        <w:t>.  W związku z tym rozpatrywany okres wynosił sześć lat, jeden miesiąc i pięć dni.</w:t>
      </w:r>
    </w:p>
    <w:p w14:paraId="755CB32A" w14:textId="14421EEB" w:rsidR="00E70AE3" w:rsidRPr="0058055F" w:rsidRDefault="0070271E" w:rsidP="0070271E">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93</w:t>
      </w:r>
      <w:r>
        <w:rPr>
          <w:noProof/>
          <w:lang w:val="pl"/>
        </w:rPr>
        <w:fldChar w:fldCharType="end"/>
      </w:r>
      <w:r>
        <w:rPr>
          <w:lang w:val="pl"/>
        </w:rPr>
        <w:t xml:space="preserve">.  Trybunał powtarza, że ogólne zasady dotyczące prawa do bycia „sądzonym w rozsądnym terminie albo zwolnionym na czas postępowania”, zagwarantowanego w art. 5 ust. 3 Konwencji zostały </w:t>
      </w:r>
      <w:r w:rsidR="00386DF6">
        <w:rPr>
          <w:lang w:val="pl"/>
        </w:rPr>
        <w:t xml:space="preserve">przedstawione </w:t>
      </w:r>
      <w:r>
        <w:rPr>
          <w:lang w:val="pl"/>
        </w:rPr>
        <w:t xml:space="preserve">w szeregu wcześniejszych wyroków (zob. m.in. </w:t>
      </w:r>
      <w:r>
        <w:rPr>
          <w:i/>
          <w:iCs/>
          <w:lang w:val="pl"/>
        </w:rPr>
        <w:t>Kudła</w:t>
      </w:r>
      <w:r>
        <w:rPr>
          <w:lang w:val="pl"/>
        </w:rPr>
        <w:t xml:space="preserve">, </w:t>
      </w:r>
      <w:r w:rsidR="00386DF6">
        <w:rPr>
          <w:lang w:val="pl"/>
        </w:rPr>
        <w:t>cyt. pow.</w:t>
      </w:r>
      <w:r>
        <w:rPr>
          <w:lang w:val="pl"/>
        </w:rPr>
        <w:t xml:space="preserve">, §§ 110 i nast., </w:t>
      </w:r>
      <w:proofErr w:type="spellStart"/>
      <w:r>
        <w:rPr>
          <w:i/>
          <w:iCs/>
          <w:lang w:val="pl"/>
        </w:rPr>
        <w:t>McKay</w:t>
      </w:r>
      <w:proofErr w:type="spellEnd"/>
      <w:r>
        <w:rPr>
          <w:i/>
          <w:iCs/>
          <w:lang w:val="pl"/>
        </w:rPr>
        <w:t xml:space="preserve"> p. Zjednoczonemu Królestwu</w:t>
      </w:r>
      <w:r>
        <w:rPr>
          <w:lang w:val="pl"/>
        </w:rPr>
        <w:t xml:space="preserve"> [WI], nr 543/03, §§ 41–44, </w:t>
      </w:r>
      <w:proofErr w:type="spellStart"/>
      <w:r>
        <w:rPr>
          <w:lang w:val="pl"/>
        </w:rPr>
        <w:t>ETPCz</w:t>
      </w:r>
      <w:proofErr w:type="spellEnd"/>
      <w:r>
        <w:rPr>
          <w:lang w:val="pl"/>
        </w:rPr>
        <w:t xml:space="preserve"> 2006-X i przytoczone tam orzecznictwo oraz ostatnio </w:t>
      </w:r>
      <w:bookmarkStart w:id="17" w:name="_cl22834"/>
      <w:proofErr w:type="spellStart"/>
      <w:r>
        <w:rPr>
          <w:i/>
          <w:iCs/>
          <w:lang w:val="pl"/>
        </w:rPr>
        <w:t>Buzadji</w:t>
      </w:r>
      <w:proofErr w:type="spellEnd"/>
      <w:r>
        <w:rPr>
          <w:i/>
          <w:iCs/>
          <w:lang w:val="pl"/>
        </w:rPr>
        <w:t xml:space="preserve"> </w:t>
      </w:r>
      <w:r w:rsidR="00386DF6">
        <w:rPr>
          <w:i/>
          <w:iCs/>
          <w:lang w:val="pl"/>
        </w:rPr>
        <w:br/>
      </w:r>
      <w:r>
        <w:rPr>
          <w:i/>
          <w:iCs/>
          <w:lang w:val="pl"/>
        </w:rPr>
        <w:t>p. Republice Mołdawii</w:t>
      </w:r>
      <w:bookmarkEnd w:id="17"/>
      <w:r>
        <w:rPr>
          <w:lang w:val="pl"/>
        </w:rPr>
        <w:t xml:space="preserve"> [WI], nr 23755/07, §§ 84–91, 5 lipca 2016 r.).</w:t>
      </w:r>
    </w:p>
    <w:p w14:paraId="00523F35" w14:textId="016D2281"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94</w:t>
      </w:r>
      <w:r>
        <w:rPr>
          <w:noProof/>
          <w:lang w:val="pl"/>
        </w:rPr>
        <w:fldChar w:fldCharType="end"/>
      </w:r>
      <w:r>
        <w:rPr>
          <w:lang w:val="pl"/>
        </w:rPr>
        <w:t>.  </w:t>
      </w:r>
      <w:r w:rsidR="00386DF6">
        <w:rPr>
          <w:lang w:val="pl"/>
        </w:rPr>
        <w:t>Orzekając o stosowaniu</w:t>
      </w:r>
      <w:r>
        <w:rPr>
          <w:lang w:val="pl"/>
        </w:rPr>
        <w:t xml:space="preserve"> wobec skarżącej tymczasowego aresztowania w trakcie postępowania przeciwko niej, oprócz uzasadnionego podejrzenia popełnienia przez skarżącą przestępstw władze </w:t>
      </w:r>
      <w:r w:rsidR="00386DF6">
        <w:rPr>
          <w:lang w:val="pl"/>
        </w:rPr>
        <w:t xml:space="preserve">stale </w:t>
      </w:r>
      <w:r>
        <w:rPr>
          <w:lang w:val="pl"/>
        </w:rPr>
        <w:t xml:space="preserve">opierały się na trzech </w:t>
      </w:r>
      <w:r w:rsidR="00386DF6">
        <w:rPr>
          <w:lang w:val="pl"/>
        </w:rPr>
        <w:t xml:space="preserve">głównych </w:t>
      </w:r>
      <w:r>
        <w:rPr>
          <w:lang w:val="pl"/>
        </w:rPr>
        <w:t>podstawach, a mianowicie: 1) poważnym charakterze zarzucanych jej przestępstw; 2) surowości kary, która jej groziła oraz 3) potrzebie zabezpiecz</w:t>
      </w:r>
      <w:r w:rsidR="00CF60A0">
        <w:rPr>
          <w:lang w:val="pl"/>
        </w:rPr>
        <w:t>enia</w:t>
      </w:r>
      <w:r>
        <w:rPr>
          <w:lang w:val="pl"/>
        </w:rPr>
        <w:t xml:space="preserve"> prawidłowego </w:t>
      </w:r>
      <w:r w:rsidR="00CF60A0">
        <w:rPr>
          <w:lang w:val="pl"/>
        </w:rPr>
        <w:t>toku</w:t>
      </w:r>
      <w:r>
        <w:rPr>
          <w:lang w:val="pl"/>
        </w:rPr>
        <w:t xml:space="preserve"> postępowania, biorąc pod uwagę ryzyko, że skarżąca może zakłócić jego przebieg (zob. paragraf </w:t>
      </w:r>
      <w:r>
        <w:rPr>
          <w:lang w:val="pl"/>
        </w:rPr>
        <w:fldChar w:fldCharType="begin"/>
      </w:r>
      <w:r>
        <w:rPr>
          <w:lang w:val="pl"/>
        </w:rPr>
        <w:instrText xml:space="preserve"> REF detention_grounds \h </w:instrText>
      </w:r>
      <w:r>
        <w:rPr>
          <w:lang w:val="pl"/>
        </w:rPr>
      </w:r>
      <w:r>
        <w:rPr>
          <w:lang w:val="pl"/>
        </w:rPr>
        <w:fldChar w:fldCharType="separate"/>
      </w:r>
      <w:r>
        <w:rPr>
          <w:noProof/>
          <w:lang w:val="pl"/>
        </w:rPr>
        <w:t>13</w:t>
      </w:r>
      <w:r>
        <w:rPr>
          <w:lang w:val="pl"/>
        </w:rPr>
        <w:fldChar w:fldCharType="end"/>
      </w:r>
      <w:r>
        <w:rPr>
          <w:lang w:val="pl"/>
        </w:rPr>
        <w:t xml:space="preserve"> powyżej).</w:t>
      </w:r>
    </w:p>
    <w:p w14:paraId="6E4F8BEC"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95</w:t>
      </w:r>
      <w:r>
        <w:rPr>
          <w:noProof/>
          <w:lang w:val="pl"/>
        </w:rPr>
        <w:fldChar w:fldCharType="end"/>
      </w:r>
      <w:r>
        <w:rPr>
          <w:lang w:val="pl"/>
        </w:rPr>
        <w:t>.  Skarżącej zarzucono popełnienie szeregu przestępstw związanych z udzielaniem pomocy małżonkowi w utworzeniu i prowadzeniu spółki A., która była piramidą finansową. Jej działania obejmowały podpisywanie określonych umów depozytów na rzecz spółki oraz udział w zarządzaniu finansami spółek, w których była prezesem zarządu (zob. paragraf </w:t>
      </w:r>
      <w:r>
        <w:rPr>
          <w:lang w:val="pl"/>
        </w:rPr>
        <w:fldChar w:fldCharType="begin"/>
      </w:r>
      <w:r>
        <w:rPr>
          <w:lang w:val="pl"/>
        </w:rPr>
        <w:instrText xml:space="preserve"> REF charges \h </w:instrText>
      </w:r>
      <w:r>
        <w:rPr>
          <w:lang w:val="pl"/>
        </w:rPr>
      </w:r>
      <w:r>
        <w:rPr>
          <w:lang w:val="pl"/>
        </w:rPr>
        <w:fldChar w:fldCharType="separate"/>
      </w:r>
      <w:r>
        <w:rPr>
          <w:noProof/>
          <w:lang w:val="pl"/>
        </w:rPr>
        <w:t>7</w:t>
      </w:r>
      <w:r>
        <w:rPr>
          <w:lang w:val="pl"/>
        </w:rPr>
        <w:fldChar w:fldCharType="end"/>
      </w:r>
      <w:r>
        <w:rPr>
          <w:lang w:val="pl"/>
        </w:rPr>
        <w:t xml:space="preserve"> powyżej).</w:t>
      </w:r>
    </w:p>
    <w:p w14:paraId="7CB7DB5C" w14:textId="6549B105"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96</w:t>
      </w:r>
      <w:r>
        <w:rPr>
          <w:noProof/>
          <w:lang w:val="pl"/>
        </w:rPr>
        <w:fldChar w:fldCharType="end"/>
      </w:r>
      <w:r>
        <w:rPr>
          <w:lang w:val="pl"/>
        </w:rPr>
        <w:t xml:space="preserve">.  Trybunał przyjmuje argument, że uzasadnione podejrzenie popełnienia przez skarżącą wyżej wspomnianych poważnych przestępstw mogło uzasadniać jej początkowe aresztowanie. Przypomina, że utrzymywanie się uzasadnionego podejrzenia, iż osadzony popełnił przestępstwo, jest warunkiem </w:t>
      </w:r>
      <w:r>
        <w:rPr>
          <w:i/>
          <w:iCs/>
          <w:lang w:val="pl"/>
        </w:rPr>
        <w:t>sine qua non</w:t>
      </w:r>
      <w:r>
        <w:rPr>
          <w:lang w:val="pl"/>
        </w:rPr>
        <w:t xml:space="preserve"> </w:t>
      </w:r>
      <w:r w:rsidR="00CF60A0">
        <w:rPr>
          <w:lang w:val="pl"/>
        </w:rPr>
        <w:t xml:space="preserve">zasadności </w:t>
      </w:r>
      <w:r>
        <w:rPr>
          <w:lang w:val="pl"/>
        </w:rPr>
        <w:t xml:space="preserve">jego dalszego aresztowania. Jednak gdy krajowe organy sądowe badają najpierw, „niezwłocznie” po </w:t>
      </w:r>
      <w:r w:rsidR="00CF60A0">
        <w:rPr>
          <w:lang w:val="pl"/>
        </w:rPr>
        <w:t>zatrzymaniu</w:t>
      </w:r>
      <w:r>
        <w:rPr>
          <w:lang w:val="pl"/>
        </w:rPr>
        <w:t xml:space="preserve">, czy wobec </w:t>
      </w:r>
      <w:r w:rsidR="00CF60A0">
        <w:rPr>
          <w:lang w:val="pl"/>
        </w:rPr>
        <w:t>zatrzymanego</w:t>
      </w:r>
      <w:r>
        <w:rPr>
          <w:lang w:val="pl"/>
        </w:rPr>
        <w:t xml:space="preserve"> należy zastosować tymczasowe aresztowanie, podejrzenie to nie jest już wystarczające, a organy muszą również podać inne istotne i wystarczające podstawy uzasadniające pozbawienie wolności. Tymi innymi podstawami mogą być ryzyko ucieczki, ryzyko wywierania wpływu na świadków lub manipulacji materiałem dowodowym, ryzyko zmowy, ryzyko ponownego popełnienia przestępstwa lub ryzyko zakłócenia porządku publicznego i związana z tym potrzeba </w:t>
      </w:r>
      <w:r w:rsidR="000A1849">
        <w:rPr>
          <w:lang w:val="pl"/>
        </w:rPr>
        <w:t xml:space="preserve">zabezpieczenia </w:t>
      </w:r>
      <w:r>
        <w:rPr>
          <w:lang w:val="pl"/>
        </w:rPr>
        <w:t xml:space="preserve">osadzonego (zob. </w:t>
      </w:r>
      <w:proofErr w:type="spellStart"/>
      <w:r>
        <w:rPr>
          <w:i/>
          <w:iCs/>
          <w:lang w:val="pl"/>
        </w:rPr>
        <w:t>Buzadji</w:t>
      </w:r>
      <w:proofErr w:type="spellEnd"/>
      <w:r>
        <w:rPr>
          <w:lang w:val="pl"/>
        </w:rPr>
        <w:t xml:space="preserve">, </w:t>
      </w:r>
      <w:r w:rsidR="000A1849">
        <w:rPr>
          <w:lang w:val="pl"/>
        </w:rPr>
        <w:t xml:space="preserve">cyt. pow., </w:t>
      </w:r>
      <w:r>
        <w:rPr>
          <w:lang w:val="pl"/>
        </w:rPr>
        <w:t>§§ 87</w:t>
      </w:r>
      <w:r>
        <w:rPr>
          <w:lang w:val="pl"/>
        </w:rPr>
        <w:noBreakHyphen/>
        <w:t>88 i 101</w:t>
      </w:r>
      <w:r>
        <w:rPr>
          <w:lang w:val="pl"/>
        </w:rPr>
        <w:noBreakHyphen/>
        <w:t>102 i przytoczone tam orzecznictwo).</w:t>
      </w:r>
    </w:p>
    <w:p w14:paraId="346765F6" w14:textId="056361F1"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97</w:t>
      </w:r>
      <w:r>
        <w:rPr>
          <w:noProof/>
          <w:lang w:val="pl"/>
        </w:rPr>
        <w:fldChar w:fldCharType="end"/>
      </w:r>
      <w:r>
        <w:rPr>
          <w:lang w:val="pl"/>
        </w:rPr>
        <w:t xml:space="preserve">.  Zdaniem władz prawdopodobieństwo </w:t>
      </w:r>
      <w:r w:rsidR="000A1849">
        <w:rPr>
          <w:lang w:val="pl"/>
        </w:rPr>
        <w:t xml:space="preserve">wymierzenia </w:t>
      </w:r>
      <w:r>
        <w:rPr>
          <w:lang w:val="pl"/>
        </w:rPr>
        <w:t>skarżąc</w:t>
      </w:r>
      <w:r w:rsidR="000A1849">
        <w:rPr>
          <w:lang w:val="pl"/>
        </w:rPr>
        <w:t>ej</w:t>
      </w:r>
      <w:r>
        <w:rPr>
          <w:lang w:val="pl"/>
        </w:rPr>
        <w:t xml:space="preserve"> surowej kary było podstawowym powodem jej dalszego aresztowania. Trybunał przypomina jednak, że o ile surowość </w:t>
      </w:r>
      <w:r w:rsidR="000A1849">
        <w:rPr>
          <w:lang w:val="pl"/>
        </w:rPr>
        <w:t xml:space="preserve">grożącej </w:t>
      </w:r>
      <w:r>
        <w:rPr>
          <w:lang w:val="pl"/>
        </w:rPr>
        <w:t>kary jest istotnym elementem przy ocenie ryzyka ucieczki lub ponownego popełnienia przestępstwa, o tyle ciężar zarzutów nie może sam w sobie uzasadni</w:t>
      </w:r>
      <w:r w:rsidR="000A1849">
        <w:rPr>
          <w:lang w:val="pl"/>
        </w:rPr>
        <w:t>ać</w:t>
      </w:r>
      <w:r>
        <w:rPr>
          <w:lang w:val="pl"/>
        </w:rPr>
        <w:t xml:space="preserve"> stosowania tymczasowego aresztowania przez długi okres (zob. </w:t>
      </w:r>
      <w:r>
        <w:rPr>
          <w:i/>
          <w:iCs/>
          <w:lang w:val="pl"/>
        </w:rPr>
        <w:t>Michta p. Polsce</w:t>
      </w:r>
      <w:r>
        <w:rPr>
          <w:lang w:val="pl"/>
        </w:rPr>
        <w:t xml:space="preserve">, nr 13425/02, § 49, 4 maja 2006 r.). Ponadto ryzyko wywierania wpływu na świadków nie może opierać się wyłącznie na prawdopodobieństwie wymierzenia surowej kary, </w:t>
      </w:r>
      <w:r>
        <w:rPr>
          <w:lang w:val="pl"/>
        </w:rPr>
        <w:lastRenderedPageBreak/>
        <w:t xml:space="preserve">lecz musi być powiązane z konkretnymi okolicznościami faktycznymi (zob. </w:t>
      </w:r>
      <w:proofErr w:type="spellStart"/>
      <w:r>
        <w:rPr>
          <w:i/>
          <w:iCs/>
          <w:lang w:val="pl"/>
        </w:rPr>
        <w:t>Buzadji</w:t>
      </w:r>
      <w:proofErr w:type="spellEnd"/>
      <w:r>
        <w:rPr>
          <w:lang w:val="pl"/>
        </w:rPr>
        <w:t xml:space="preserve">, </w:t>
      </w:r>
      <w:r w:rsidR="000A1849">
        <w:rPr>
          <w:lang w:val="pl"/>
        </w:rPr>
        <w:t>cyt. pow.</w:t>
      </w:r>
      <w:r w:rsidR="00E3581D">
        <w:rPr>
          <w:lang w:val="pl"/>
        </w:rPr>
        <w:t xml:space="preserve">, </w:t>
      </w:r>
      <w:r>
        <w:rPr>
          <w:lang w:val="pl"/>
        </w:rPr>
        <w:t>§ 224 i przytoczone tam orzecznictwo).</w:t>
      </w:r>
    </w:p>
    <w:p w14:paraId="7DBF6CD9" w14:textId="50B1064F"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98</w:t>
      </w:r>
      <w:r>
        <w:rPr>
          <w:noProof/>
          <w:lang w:val="pl"/>
        </w:rPr>
        <w:fldChar w:fldCharType="end"/>
      </w:r>
      <w:r>
        <w:rPr>
          <w:lang w:val="pl"/>
        </w:rPr>
        <w:t xml:space="preserve">.  W związku z tym Trybunał zauważa, iż przez cały sześcioletni okres tymczasowego aresztowania władze w dużym stopniu opierały się na ryzyku manipulowania przez skarżącą materiałem dowodowym, odnosząc się przede wszystkim do prawdopodobieństwa wymierzenia surowej kary. Przez </w:t>
      </w:r>
      <w:r w:rsidR="00E3581D">
        <w:rPr>
          <w:lang w:val="pl"/>
        </w:rPr>
        <w:t xml:space="preserve">okres jednego </w:t>
      </w:r>
      <w:r>
        <w:rPr>
          <w:lang w:val="pl"/>
        </w:rPr>
        <w:t>rok</w:t>
      </w:r>
      <w:r w:rsidR="00E3581D">
        <w:rPr>
          <w:lang w:val="pl"/>
        </w:rPr>
        <w:t>u</w:t>
      </w:r>
      <w:r>
        <w:rPr>
          <w:lang w:val="pl"/>
        </w:rPr>
        <w:t>, do dnia 20 lipca 2016 r., sądy dodatkowo powoływały się na zdarzenie, które przypuszczalnie miało miejsce w 2012 r., przed zatrzymaniem skarżącej (zob. paragraf </w:t>
      </w:r>
      <w:r>
        <w:rPr>
          <w:lang w:val="pl"/>
        </w:rPr>
        <w:fldChar w:fldCharType="begin"/>
      </w:r>
      <w:r>
        <w:rPr>
          <w:lang w:val="pl"/>
        </w:rPr>
        <w:instrText xml:space="preserve"> REF facts_gold \h  \* MERGEFORMAT </w:instrText>
      </w:r>
      <w:r>
        <w:rPr>
          <w:lang w:val="pl"/>
        </w:rPr>
      </w:r>
      <w:r>
        <w:rPr>
          <w:lang w:val="pl"/>
        </w:rPr>
        <w:fldChar w:fldCharType="separate"/>
      </w:r>
      <w:r>
        <w:rPr>
          <w:lang w:val="pl"/>
        </w:rPr>
        <w:t>14</w:t>
      </w:r>
      <w:r>
        <w:rPr>
          <w:lang w:val="pl"/>
        </w:rPr>
        <w:fldChar w:fldCharType="end"/>
      </w:r>
      <w:r>
        <w:rPr>
          <w:lang w:val="pl"/>
        </w:rPr>
        <w:t xml:space="preserve"> powyżej). Trybunał stwierdza zatem, że domniemane ryzyko wywierania przez skarżącą wpływu na świadków lub manipulowania materiałem dowodowym nie zostało należycie ponownie ocenione na późniejszych etapach postępowania karnego (zob. </w:t>
      </w:r>
      <w:proofErr w:type="spellStart"/>
      <w:r>
        <w:rPr>
          <w:i/>
          <w:iCs/>
          <w:lang w:val="pl"/>
        </w:rPr>
        <w:t>Merabishvili</w:t>
      </w:r>
      <w:proofErr w:type="spellEnd"/>
      <w:r>
        <w:rPr>
          <w:i/>
          <w:iCs/>
          <w:lang w:val="pl"/>
        </w:rPr>
        <w:t xml:space="preserve"> p. Gruzji</w:t>
      </w:r>
      <w:r>
        <w:rPr>
          <w:lang w:val="pl"/>
        </w:rPr>
        <w:t xml:space="preserve"> [WI], nr 72508/13, § 222, 28 listopada 2017 r. i przytoczone tam orzecznictwo).</w:t>
      </w:r>
    </w:p>
    <w:p w14:paraId="33BFC2E9" w14:textId="46302A1F" w:rsidR="00E70AE3" w:rsidRPr="0058055F" w:rsidRDefault="008055D7" w:rsidP="0070271E">
      <w:pPr>
        <w:pStyle w:val="JuPara"/>
        <w:rPr>
          <w:iCs/>
          <w:lang w:val="pl-PL"/>
        </w:rPr>
      </w:pPr>
      <w:r>
        <w:rPr>
          <w:lang w:val="pl"/>
        </w:rPr>
        <w:fldChar w:fldCharType="begin"/>
      </w:r>
      <w:r>
        <w:rPr>
          <w:lang w:val="pl"/>
        </w:rPr>
        <w:instrText xml:space="preserve"> SEQ level0 \*arabic \* MERGEFORMAT </w:instrText>
      </w:r>
      <w:r>
        <w:rPr>
          <w:lang w:val="pl"/>
        </w:rPr>
        <w:fldChar w:fldCharType="separate"/>
      </w:r>
      <w:r>
        <w:rPr>
          <w:noProof/>
          <w:lang w:val="pl"/>
        </w:rPr>
        <w:t>99</w:t>
      </w:r>
      <w:r>
        <w:rPr>
          <w:lang w:val="pl"/>
        </w:rPr>
        <w:fldChar w:fldCharType="end"/>
      </w:r>
      <w:r>
        <w:rPr>
          <w:lang w:val="pl"/>
        </w:rPr>
        <w:t xml:space="preserve">.  Trybunał odnotowuje ponadto konieczność </w:t>
      </w:r>
      <w:r w:rsidR="00E3581D">
        <w:rPr>
          <w:lang w:val="pl"/>
        </w:rPr>
        <w:t xml:space="preserve">zabezpieczenia </w:t>
      </w:r>
      <w:r>
        <w:rPr>
          <w:lang w:val="pl"/>
        </w:rPr>
        <w:t xml:space="preserve">prawidłowego </w:t>
      </w:r>
      <w:r w:rsidR="00E3581D">
        <w:rPr>
          <w:lang w:val="pl"/>
        </w:rPr>
        <w:t xml:space="preserve">toku </w:t>
      </w:r>
      <w:r>
        <w:rPr>
          <w:lang w:val="pl"/>
        </w:rPr>
        <w:t xml:space="preserve">postępowania, w szczególności z uwagi na objętość materiału dowodowego i liczbę domniemanych </w:t>
      </w:r>
      <w:r w:rsidR="00E3581D">
        <w:rPr>
          <w:lang w:val="pl"/>
        </w:rPr>
        <w:t>pokrzywdzonych</w:t>
      </w:r>
      <w:r>
        <w:rPr>
          <w:lang w:val="pl"/>
        </w:rPr>
        <w:t xml:space="preserve">. Trybunał przyznaje również, że postępowanie było wyjątkowo skomplikowane; w szczególności wiązało się z koniecznością </w:t>
      </w:r>
      <w:r w:rsidR="00E3581D">
        <w:rPr>
          <w:lang w:val="pl"/>
        </w:rPr>
        <w:t>przesłuchania</w:t>
      </w:r>
      <w:r>
        <w:rPr>
          <w:lang w:val="pl"/>
        </w:rPr>
        <w:t xml:space="preserve"> ponad 18 000 </w:t>
      </w:r>
      <w:r w:rsidR="00E3581D">
        <w:rPr>
          <w:lang w:val="pl"/>
        </w:rPr>
        <w:t xml:space="preserve">pokrzywdzonych </w:t>
      </w:r>
      <w:r>
        <w:rPr>
          <w:lang w:val="pl"/>
        </w:rPr>
        <w:t>i około 400 innych świadków. Chociaż wszystkie powyższe czynniki i powody, na których oparły się sądy krajowe, mogły uzasadniać nawet stosunkowo długi okres aresztowania, nie uprawniały one jednak sądów krajowych do przedłużania aresztowania skarżącej, gdy tych czynników i powodów, choć istotnych, nie można już było uznać za wystarczające.</w:t>
      </w:r>
    </w:p>
    <w:p w14:paraId="5EA524B5" w14:textId="40CCC718" w:rsidR="00E70AE3" w:rsidRPr="0058055F" w:rsidRDefault="008055D7" w:rsidP="0070271E">
      <w:pPr>
        <w:pStyle w:val="JuPara"/>
        <w:rPr>
          <w:iCs/>
          <w:lang w:val="pl-PL"/>
        </w:rPr>
      </w:pPr>
      <w:r>
        <w:rPr>
          <w:lang w:val="pl"/>
        </w:rPr>
        <w:fldChar w:fldCharType="begin"/>
      </w:r>
      <w:r>
        <w:rPr>
          <w:lang w:val="pl"/>
        </w:rPr>
        <w:instrText xml:space="preserve"> SEQ level0 \*arabic \* MERGEFORMAT </w:instrText>
      </w:r>
      <w:r>
        <w:rPr>
          <w:lang w:val="pl"/>
        </w:rPr>
        <w:fldChar w:fldCharType="separate"/>
      </w:r>
      <w:r>
        <w:rPr>
          <w:noProof/>
          <w:lang w:val="pl"/>
        </w:rPr>
        <w:t>100</w:t>
      </w:r>
      <w:r>
        <w:rPr>
          <w:lang w:val="pl"/>
        </w:rPr>
        <w:fldChar w:fldCharType="end"/>
      </w:r>
      <w:r>
        <w:rPr>
          <w:lang w:val="pl"/>
        </w:rPr>
        <w:t>.  Mając powyższe na względzie, nawet biorąc pod uwagę fakt, że sądy stanęły przed szczególnie trudnym zadaniem prowadzenia postępowania w złożonej sprawie dotyczącej piramidy finansowej, Trybunał stwierdza, że całkowity okres pozbawienia wolności skarżącej był nadmiern</w:t>
      </w:r>
      <w:r w:rsidR="00E3581D">
        <w:rPr>
          <w:lang w:val="pl"/>
        </w:rPr>
        <w:t>y</w:t>
      </w:r>
      <w:r>
        <w:rPr>
          <w:lang w:val="pl"/>
        </w:rPr>
        <w:t>, gdyż sądy krajowe oparły się na powodach, których nie można uznać za „wystarczające” do uzasadnienia całego jego czasu trwania.</w:t>
      </w:r>
    </w:p>
    <w:p w14:paraId="007E1936"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101</w:t>
      </w:r>
      <w:r>
        <w:rPr>
          <w:noProof/>
          <w:lang w:val="pl"/>
        </w:rPr>
        <w:fldChar w:fldCharType="end"/>
      </w:r>
      <w:r>
        <w:rPr>
          <w:lang w:val="pl"/>
        </w:rPr>
        <w:t>.  W związku z powyższym doszło do naruszenia art. 5 ust. 3 Konwencji.</w:t>
      </w:r>
    </w:p>
    <w:p w14:paraId="0099DDD9" w14:textId="6A0D217F" w:rsidR="00E70AE3" w:rsidRPr="0058055F" w:rsidRDefault="00617058" w:rsidP="00617058">
      <w:pPr>
        <w:pStyle w:val="JuHIRoman"/>
        <w:numPr>
          <w:ilvl w:val="0"/>
          <w:numId w:val="0"/>
        </w:numPr>
        <w:ind w:left="369" w:hanging="369"/>
        <w:rPr>
          <w:lang w:val="pl-PL"/>
        </w:rPr>
      </w:pPr>
      <w:r w:rsidRPr="0058055F">
        <w:rPr>
          <w:lang w:val="pl-PL"/>
        </w:rPr>
        <w:t>III.</w:t>
      </w:r>
      <w:r w:rsidRPr="0058055F">
        <w:rPr>
          <w:lang w:val="pl-PL"/>
        </w:rPr>
        <w:tab/>
      </w:r>
      <w:r w:rsidR="008055D7">
        <w:rPr>
          <w:bCs w:val="0"/>
          <w:lang w:val="pl"/>
        </w:rPr>
        <w:t>ZARZUCANE NARUSZENIE ART. 3 KONWENCJI w odniesieniu do zajścia przez skarżącą w ciążę w okresie pozbawienia wolności</w:t>
      </w:r>
    </w:p>
    <w:p w14:paraId="29E08E46" w14:textId="77777777"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102</w:t>
      </w:r>
      <w:r>
        <w:rPr>
          <w:lang w:val="pl"/>
        </w:rPr>
        <w:fldChar w:fldCharType="end"/>
      </w:r>
      <w:r>
        <w:rPr>
          <w:lang w:val="pl"/>
        </w:rPr>
        <w:t>.  Skarżąca podniosła zarzut, że zaszła w ciążę w Zakładzie Karnym w Łodzi w okolicznościach stanowiących naruszenie art. 3 Konwencji, który brzmi następująco:</w:t>
      </w:r>
    </w:p>
    <w:p w14:paraId="26BEDA80" w14:textId="77777777" w:rsidR="00E70AE3" w:rsidRPr="0058055F" w:rsidRDefault="008055D7" w:rsidP="0070271E">
      <w:pPr>
        <w:pStyle w:val="JuQuot"/>
        <w:rPr>
          <w:lang w:val="pl-PL"/>
        </w:rPr>
      </w:pPr>
      <w:r>
        <w:rPr>
          <w:lang w:val="pl"/>
        </w:rPr>
        <w:t>„Nikt nie może być poddany torturom ani nieludzkiemu lub poniżającemu traktowaniu albo karaniu”.</w:t>
      </w:r>
    </w:p>
    <w:p w14:paraId="02D11B23" w14:textId="77777777" w:rsidR="00E70AE3" w:rsidRPr="00617058" w:rsidRDefault="008055D7" w:rsidP="0070271E">
      <w:pPr>
        <w:pStyle w:val="JuHA"/>
        <w:numPr>
          <w:ilvl w:val="0"/>
          <w:numId w:val="0"/>
        </w:numPr>
        <w:ind w:left="170"/>
        <w:rPr>
          <w:lang w:val="pl-PL"/>
        </w:rPr>
      </w:pPr>
      <w:r>
        <w:rPr>
          <w:lang w:val="pl"/>
        </w:rPr>
        <w:lastRenderedPageBreak/>
        <w:t>Dopuszczalność</w:t>
      </w:r>
    </w:p>
    <w:p w14:paraId="2B0AB325" w14:textId="19F86A27" w:rsidR="00E70AE3" w:rsidRPr="00617058" w:rsidRDefault="00617058" w:rsidP="00617058">
      <w:pPr>
        <w:pStyle w:val="JuH1"/>
        <w:numPr>
          <w:ilvl w:val="0"/>
          <w:numId w:val="0"/>
        </w:numPr>
        <w:ind w:left="680" w:hanging="340"/>
        <w:rPr>
          <w:lang w:val="pl-PL"/>
        </w:rPr>
      </w:pPr>
      <w:r w:rsidRPr="00617058">
        <w:rPr>
          <w:lang w:val="pl-PL"/>
        </w:rPr>
        <w:t>1.</w:t>
      </w:r>
      <w:r w:rsidRPr="00617058">
        <w:rPr>
          <w:lang w:val="pl-PL"/>
        </w:rPr>
        <w:tab/>
      </w:r>
      <w:r w:rsidR="008055D7">
        <w:rPr>
          <w:bCs w:val="0"/>
          <w:lang w:val="pl"/>
        </w:rPr>
        <w:t>Stanowiska stron</w:t>
      </w:r>
    </w:p>
    <w:p w14:paraId="54874EB9" w14:textId="09AECBC7"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103</w:t>
      </w:r>
      <w:r>
        <w:rPr>
          <w:lang w:val="pl"/>
        </w:rPr>
        <w:fldChar w:fldCharType="end"/>
      </w:r>
      <w:r>
        <w:rPr>
          <w:lang w:val="pl"/>
        </w:rPr>
        <w:t xml:space="preserve">.  Rząd wyraził zastrzeżenie wstępne </w:t>
      </w:r>
      <w:r w:rsidR="00C31CF2">
        <w:rPr>
          <w:lang w:val="pl"/>
        </w:rPr>
        <w:t xml:space="preserve">co do </w:t>
      </w:r>
      <w:r>
        <w:rPr>
          <w:lang w:val="pl"/>
        </w:rPr>
        <w:t xml:space="preserve">niewyczerpania </w:t>
      </w:r>
      <w:r w:rsidR="00C31CF2">
        <w:rPr>
          <w:lang w:val="pl"/>
        </w:rPr>
        <w:t xml:space="preserve">środków </w:t>
      </w:r>
      <w:r>
        <w:rPr>
          <w:lang w:val="pl"/>
        </w:rPr>
        <w:t>krajowych, ponieważ skarżąca nie zgłosiła władzom więziennym ani prokuratorom żadnych nieprawidłowości w zachowaniu T.</w:t>
      </w:r>
      <w:r w:rsidR="009361B5">
        <w:rPr>
          <w:lang w:val="pl"/>
        </w:rPr>
        <w:t xml:space="preserve"> </w:t>
      </w:r>
      <w:r>
        <w:rPr>
          <w:lang w:val="pl"/>
        </w:rPr>
        <w:t>R. W okresie pozbawienia wolności skarżąc</w:t>
      </w:r>
      <w:r w:rsidR="009361B5">
        <w:rPr>
          <w:lang w:val="pl"/>
        </w:rPr>
        <w:t>a</w:t>
      </w:r>
      <w:r>
        <w:rPr>
          <w:lang w:val="pl"/>
        </w:rPr>
        <w:t xml:space="preserve"> regularnie </w:t>
      </w:r>
      <w:r w:rsidR="009361B5">
        <w:rPr>
          <w:lang w:val="pl"/>
        </w:rPr>
        <w:t xml:space="preserve">była doprowadzana </w:t>
      </w:r>
      <w:r>
        <w:rPr>
          <w:lang w:val="pl"/>
        </w:rPr>
        <w:t>na rozpraw</w:t>
      </w:r>
      <w:r w:rsidR="00C31CF2">
        <w:rPr>
          <w:lang w:val="pl"/>
        </w:rPr>
        <w:t>ę</w:t>
      </w:r>
      <w:r>
        <w:rPr>
          <w:lang w:val="pl"/>
        </w:rPr>
        <w:t xml:space="preserve"> i spotkania z prokuratorami, w trakcie których powinna była złożyć skargę na T.</w:t>
      </w:r>
      <w:r w:rsidR="00C31CF2">
        <w:rPr>
          <w:lang w:val="pl"/>
        </w:rPr>
        <w:t xml:space="preserve"> </w:t>
      </w:r>
      <w:r>
        <w:rPr>
          <w:lang w:val="pl"/>
        </w:rPr>
        <w:t xml:space="preserve">R. Po drugie, skarżąca nie wniosła powództwa cywilnego na </w:t>
      </w:r>
      <w:r w:rsidR="00C31CF2">
        <w:rPr>
          <w:lang w:val="pl"/>
        </w:rPr>
        <w:t xml:space="preserve">podstawie </w:t>
      </w:r>
      <w:r>
        <w:rPr>
          <w:lang w:val="pl"/>
        </w:rPr>
        <w:t xml:space="preserve">art. 23 i 24 Kodeksu cywilnego </w:t>
      </w:r>
      <w:r w:rsidR="00C31CF2">
        <w:rPr>
          <w:lang w:val="pl"/>
        </w:rPr>
        <w:t>z tytułu </w:t>
      </w:r>
      <w:r>
        <w:rPr>
          <w:lang w:val="pl"/>
        </w:rPr>
        <w:t>naruszeni</w:t>
      </w:r>
      <w:r w:rsidR="00C31CF2">
        <w:rPr>
          <w:lang w:val="pl"/>
        </w:rPr>
        <w:t>a</w:t>
      </w:r>
      <w:r>
        <w:rPr>
          <w:lang w:val="pl"/>
        </w:rPr>
        <w:t xml:space="preserve"> jej dóbr osobistych w związku z </w:t>
      </w:r>
      <w:r w:rsidR="00B13183">
        <w:rPr>
          <w:lang w:val="pl"/>
        </w:rPr>
        <w:t xml:space="preserve">jej </w:t>
      </w:r>
      <w:r>
        <w:rPr>
          <w:lang w:val="pl"/>
        </w:rPr>
        <w:t>zarzutami dotyczącymi wykorzystywania i złego traktowania przez funkcjonariusza służby więziennej w odniesieniu do okoliczności, które doprowadziły do zajścia przez skarżącą w ciążę w okresie pozbawienia wolności.</w:t>
      </w:r>
    </w:p>
    <w:p w14:paraId="65E3F1D9" w14:textId="7218F5F6"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104</w:t>
      </w:r>
      <w:r>
        <w:rPr>
          <w:noProof/>
          <w:lang w:val="pl"/>
        </w:rPr>
        <w:fldChar w:fldCharType="end"/>
      </w:r>
      <w:r>
        <w:rPr>
          <w:lang w:val="pl"/>
        </w:rPr>
        <w:t xml:space="preserve">.  W drugim zestawie uwag, przedstawionym w dniu 20 listopada 2020 r., Rząd podniósł argument, że </w:t>
      </w:r>
      <w:r w:rsidR="00CB3BCB">
        <w:rPr>
          <w:lang w:val="pl"/>
        </w:rPr>
        <w:t xml:space="preserve">prawomocnym </w:t>
      </w:r>
      <w:r>
        <w:rPr>
          <w:lang w:val="pl"/>
        </w:rPr>
        <w:t xml:space="preserve">wyrokiem z 12 marca 2019 r. sąd krajowy uznał funkcjonariusza służby więziennej za winnego popełnienia dwóch przestępstw </w:t>
      </w:r>
      <w:r w:rsidR="00CB3BCB">
        <w:rPr>
          <w:lang w:val="pl"/>
        </w:rPr>
        <w:t>z</w:t>
      </w:r>
      <w:r>
        <w:rPr>
          <w:lang w:val="pl"/>
        </w:rPr>
        <w:t> Kodeks</w:t>
      </w:r>
      <w:r w:rsidR="00CB3BCB">
        <w:rPr>
          <w:lang w:val="pl"/>
        </w:rPr>
        <w:t>u</w:t>
      </w:r>
      <w:r>
        <w:rPr>
          <w:lang w:val="pl"/>
        </w:rPr>
        <w:t xml:space="preserve"> karn</w:t>
      </w:r>
      <w:r w:rsidR="00CB3BCB">
        <w:rPr>
          <w:lang w:val="pl"/>
        </w:rPr>
        <w:t>ego</w:t>
      </w:r>
      <w:r>
        <w:rPr>
          <w:lang w:val="pl"/>
        </w:rPr>
        <w:t xml:space="preserve">. Funkcjonariusz ten został skazany na karę pozbawienia wolności </w:t>
      </w:r>
      <w:r w:rsidR="00537F18">
        <w:rPr>
          <w:lang w:val="pl"/>
        </w:rPr>
        <w:t>z warunkowym zawieszeniem</w:t>
      </w:r>
      <w:r>
        <w:rPr>
          <w:lang w:val="pl"/>
        </w:rPr>
        <w:t>, grzywnę i zakaz zajmowania jakiegokolwiek stanowiska w Służbie Więziennej przez okres pięć lat. W postępowaniu przeciwko T.</w:t>
      </w:r>
      <w:r w:rsidR="00513B38">
        <w:rPr>
          <w:lang w:val="pl"/>
        </w:rPr>
        <w:t xml:space="preserve"> </w:t>
      </w:r>
      <w:r>
        <w:rPr>
          <w:lang w:val="pl"/>
        </w:rPr>
        <w:t xml:space="preserve">R. skarżąca </w:t>
      </w:r>
      <w:r w:rsidR="00513B38">
        <w:rPr>
          <w:lang w:val="pl"/>
        </w:rPr>
        <w:t xml:space="preserve">miała </w:t>
      </w:r>
      <w:r>
        <w:rPr>
          <w:lang w:val="pl"/>
        </w:rPr>
        <w:t xml:space="preserve">status pokrzywdzonej i została oskarżycielką </w:t>
      </w:r>
      <w:r w:rsidR="00513B38">
        <w:rPr>
          <w:lang w:val="pl"/>
        </w:rPr>
        <w:t>posiłkową</w:t>
      </w:r>
      <w:r>
        <w:rPr>
          <w:lang w:val="pl"/>
        </w:rPr>
        <w:t>, ale nie odwołała się od wyroku. Rząd podkreślił, że wyżej wspomniany wyrok skazujący</w:t>
      </w:r>
      <w:r w:rsidR="00513B38">
        <w:rPr>
          <w:lang w:val="pl"/>
        </w:rPr>
        <w:t>,</w:t>
      </w:r>
      <w:r>
        <w:rPr>
          <w:lang w:val="pl"/>
        </w:rPr>
        <w:t xml:space="preserve"> wydany przez sąd krajowy</w:t>
      </w:r>
      <w:r w:rsidR="00513B38">
        <w:rPr>
          <w:lang w:val="pl"/>
        </w:rPr>
        <w:t>,</w:t>
      </w:r>
      <w:r>
        <w:rPr>
          <w:lang w:val="pl"/>
        </w:rPr>
        <w:t xml:space="preserve"> stanowi uznanie naruszenia praw skarżącej w zakresie, w jakim funkcjonariusz służby więziennej przekroczył swoje uprawnienia i nadużył stosunku zależności, aby doprowadzić skarżącą do obcowania płciowego skutkującego ciążą. W wyniku tego wyroku skazującego, od którego nie wniesiono apelacji, skarżąca nie może </w:t>
      </w:r>
      <w:r w:rsidR="00513B38">
        <w:rPr>
          <w:lang w:val="pl"/>
        </w:rPr>
        <w:t>podnosić</w:t>
      </w:r>
      <w:r>
        <w:rPr>
          <w:lang w:val="pl"/>
        </w:rPr>
        <w:t>, że jest ofiarą naruszenia art. 3 Konwencji.</w:t>
      </w:r>
    </w:p>
    <w:p w14:paraId="74C203DF" w14:textId="29DDE7C7"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105</w:t>
      </w:r>
      <w:r>
        <w:rPr>
          <w:lang w:val="pl"/>
        </w:rPr>
        <w:fldChar w:fldCharType="end"/>
      </w:r>
      <w:r>
        <w:rPr>
          <w:lang w:val="pl"/>
        </w:rPr>
        <w:t>.  Skarżąca pierwotnie podnosiła, że została potraktowana w sposób nieludzki i poniżający przez funkcjonariusza służby więziennej T.</w:t>
      </w:r>
      <w:r w:rsidR="00513B38">
        <w:rPr>
          <w:lang w:val="pl"/>
        </w:rPr>
        <w:t xml:space="preserve"> </w:t>
      </w:r>
      <w:r>
        <w:rPr>
          <w:lang w:val="pl"/>
        </w:rPr>
        <w:t xml:space="preserve">R., co skutkowało jej zajściem w ciążę. </w:t>
      </w:r>
      <w:r w:rsidR="00513B38">
        <w:rPr>
          <w:lang w:val="pl"/>
        </w:rPr>
        <w:t xml:space="preserve">Zarzucała </w:t>
      </w:r>
      <w:r>
        <w:rPr>
          <w:lang w:val="pl"/>
        </w:rPr>
        <w:t>również nieskuteczność śledztwa w sprawie okoliczności zajścia przez nią w ciążę, ponieważ prokurator nie przeprowadził wszystkich niezbędnych czynności i w dniu 16 grudnia 2015 r. umorzył śledztwo. Jej zarzuty wobec funkcjonariusza służby więziennej były poważne i mogły zostać łatwo udowodnione, ponieważ zgodziła się na badanie DNA swojego syna i wskazała funkcjonariusza, z którym zaszła w ciążę. W dniu 28 września 2016 r. skarżąca opisała również prokuratorowi, w jaki sposób funkcjonariusz T.</w:t>
      </w:r>
      <w:r w:rsidR="00513B38">
        <w:rPr>
          <w:lang w:val="pl"/>
        </w:rPr>
        <w:t xml:space="preserve"> </w:t>
      </w:r>
      <w:r>
        <w:rPr>
          <w:lang w:val="pl"/>
        </w:rPr>
        <w:t xml:space="preserve">R. wykorzystał jej zależność, zły stan psychiczny i izolację, co </w:t>
      </w:r>
      <w:r w:rsidR="00513B38">
        <w:rPr>
          <w:lang w:val="pl"/>
        </w:rPr>
        <w:t xml:space="preserve">doprowadziło </w:t>
      </w:r>
      <w:r>
        <w:rPr>
          <w:lang w:val="pl"/>
        </w:rPr>
        <w:t>ją do poddania się czynnościom seksualnym</w:t>
      </w:r>
      <w:r w:rsidR="00513B38" w:rsidRPr="00513B38">
        <w:rPr>
          <w:lang w:val="pl"/>
        </w:rPr>
        <w:t xml:space="preserve"> </w:t>
      </w:r>
      <w:r w:rsidR="00513B38">
        <w:rPr>
          <w:lang w:val="pl"/>
        </w:rPr>
        <w:t>z nim</w:t>
      </w:r>
      <w:r>
        <w:rPr>
          <w:lang w:val="pl"/>
        </w:rPr>
        <w:t>.</w:t>
      </w:r>
    </w:p>
    <w:p w14:paraId="521B6D62" w14:textId="3201C84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106</w:t>
      </w:r>
      <w:r>
        <w:rPr>
          <w:noProof/>
          <w:lang w:val="pl"/>
        </w:rPr>
        <w:fldChar w:fldCharType="end"/>
      </w:r>
      <w:r>
        <w:rPr>
          <w:lang w:val="pl"/>
        </w:rPr>
        <w:t xml:space="preserve">.  W drugim zestawie uwag, przedstawionym w dniu 6 listopada 2020 r., skarżąca twierdziła, że gdyby nie determinacja jej i jej prawnika, funkcjonariusz nie zostałby ukarany za swoje czyny. Odniosła się do </w:t>
      </w:r>
      <w:r>
        <w:rPr>
          <w:lang w:val="pl"/>
        </w:rPr>
        <w:lastRenderedPageBreak/>
        <w:t xml:space="preserve">ostatecznego </w:t>
      </w:r>
      <w:r w:rsidR="00513B38">
        <w:rPr>
          <w:lang w:val="pl"/>
        </w:rPr>
        <w:t>skazania</w:t>
      </w:r>
      <w:r>
        <w:rPr>
          <w:lang w:val="pl"/>
        </w:rPr>
        <w:t xml:space="preserve"> T.</w:t>
      </w:r>
      <w:r w:rsidR="00513B38">
        <w:rPr>
          <w:lang w:val="pl"/>
        </w:rPr>
        <w:t xml:space="preserve"> </w:t>
      </w:r>
      <w:r>
        <w:rPr>
          <w:lang w:val="pl"/>
        </w:rPr>
        <w:t>R. w postępowaniu karnym, które zakończyło się 12 marca 2019 r. Nie wskazała wyraźnie, czy w </w:t>
      </w:r>
      <w:r w:rsidR="00513B38">
        <w:rPr>
          <w:lang w:val="pl"/>
        </w:rPr>
        <w:t>związku ze skazaniem go</w:t>
      </w:r>
      <w:r>
        <w:rPr>
          <w:lang w:val="pl"/>
        </w:rPr>
        <w:t xml:space="preserve"> podtrzymuje zarzuty na </w:t>
      </w:r>
      <w:r w:rsidR="00513B38">
        <w:rPr>
          <w:lang w:val="pl"/>
        </w:rPr>
        <w:t xml:space="preserve">podstawie </w:t>
      </w:r>
      <w:r>
        <w:rPr>
          <w:lang w:val="pl"/>
        </w:rPr>
        <w:t xml:space="preserve">art. 3 Konwencji. Nie ponowiła również pierwotnego zarzutu, że śledztwo w sprawie okoliczności zajścia przez nią w ciążę </w:t>
      </w:r>
      <w:r w:rsidR="00513B38">
        <w:rPr>
          <w:lang w:val="pl"/>
        </w:rPr>
        <w:t>w czasie osadzenia</w:t>
      </w:r>
      <w:r>
        <w:rPr>
          <w:lang w:val="pl"/>
        </w:rPr>
        <w:t xml:space="preserve"> nie było skuteczne.</w:t>
      </w:r>
    </w:p>
    <w:p w14:paraId="01402DAF" w14:textId="24BA4BBD" w:rsidR="00E70AE3" w:rsidRPr="00617058" w:rsidRDefault="00617058" w:rsidP="00617058">
      <w:pPr>
        <w:pStyle w:val="JuH1"/>
        <w:numPr>
          <w:ilvl w:val="0"/>
          <w:numId w:val="0"/>
        </w:numPr>
        <w:ind w:left="680" w:hanging="340"/>
        <w:rPr>
          <w:lang w:val="pl-PL"/>
        </w:rPr>
      </w:pPr>
      <w:r w:rsidRPr="00617058">
        <w:rPr>
          <w:lang w:val="pl-PL"/>
        </w:rPr>
        <w:t>2.</w:t>
      </w:r>
      <w:r w:rsidRPr="00617058">
        <w:rPr>
          <w:lang w:val="pl-PL"/>
        </w:rPr>
        <w:tab/>
      </w:r>
      <w:r w:rsidR="008055D7">
        <w:rPr>
          <w:bCs w:val="0"/>
          <w:lang w:val="pl"/>
        </w:rPr>
        <w:t>Ocena Trybunału</w:t>
      </w:r>
    </w:p>
    <w:p w14:paraId="16254754" w14:textId="4AF85E6B"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107</w:t>
      </w:r>
      <w:r>
        <w:rPr>
          <w:noProof/>
          <w:lang w:val="pl"/>
        </w:rPr>
        <w:fldChar w:fldCharType="end"/>
      </w:r>
      <w:r>
        <w:rPr>
          <w:lang w:val="pl"/>
        </w:rPr>
        <w:t>.  Trybunał przypomina, że to władze krajowe w pierwszej kolejności powinny naprawić naruszenie Konwencji. Stąd na wszystkich etapach postępowania przed Trybunałem istotne jest pytanie, czy skarżący może twierdzić, że jest ofiarą zarzuconego naruszenia. Decyzja lub środek korzystny dla skarżącego nie wystarcza, co do zasady, by pozbawić go statusu „ofiary” w myśl art. 34 Konwencji</w:t>
      </w:r>
      <w:r w:rsidR="00513B38">
        <w:rPr>
          <w:lang w:val="pl"/>
        </w:rPr>
        <w:t>,</w:t>
      </w:r>
      <w:r>
        <w:rPr>
          <w:lang w:val="pl"/>
        </w:rPr>
        <w:t xml:space="preserve"> chyba że władze krajowe </w:t>
      </w:r>
      <w:r w:rsidR="00513B38">
        <w:rPr>
          <w:lang w:val="pl"/>
        </w:rPr>
        <w:t xml:space="preserve">przyznały - </w:t>
      </w:r>
      <w:r>
        <w:rPr>
          <w:lang w:val="pl"/>
        </w:rPr>
        <w:t xml:space="preserve">w sposób wyraźny lub co do istoty </w:t>
      </w:r>
      <w:r w:rsidR="00513B38">
        <w:rPr>
          <w:lang w:val="pl"/>
        </w:rPr>
        <w:t xml:space="preserve">- </w:t>
      </w:r>
      <w:r>
        <w:rPr>
          <w:lang w:val="pl"/>
        </w:rPr>
        <w:t xml:space="preserve">naruszenie Konwencji, a następnie je naprawiły (zob. m.in. </w:t>
      </w:r>
      <w:proofErr w:type="spellStart"/>
      <w:r>
        <w:rPr>
          <w:i/>
          <w:iCs/>
          <w:lang w:val="pl"/>
        </w:rPr>
        <w:t>Gäfgen</w:t>
      </w:r>
      <w:proofErr w:type="spellEnd"/>
      <w:r>
        <w:rPr>
          <w:i/>
          <w:iCs/>
          <w:lang w:val="pl"/>
        </w:rPr>
        <w:t xml:space="preserve"> p. Niemcom</w:t>
      </w:r>
      <w:r>
        <w:rPr>
          <w:lang w:val="pl"/>
        </w:rPr>
        <w:t xml:space="preserve"> [WI], nr 22978/05, §§ 115–119, ETPC 2010 i przytoczone tam orzecznictwo). W przypadkach umyślnego złego traktowania przez funkcjonariuszy państwowych z naruszeniem art. 3 Trybunał wielokrotnie stwierdzał, że do zapewnienia wystarczającego </w:t>
      </w:r>
      <w:r w:rsidR="00D83146">
        <w:rPr>
          <w:lang w:val="pl"/>
        </w:rPr>
        <w:t xml:space="preserve">zadośćuczynienia </w:t>
      </w:r>
      <w:r>
        <w:rPr>
          <w:lang w:val="pl"/>
        </w:rPr>
        <w:t>konieczne są dwa środki. Po pierwsze, władze państwowe muszą przeprowadzić dokładne i skuteczne śledztwo, które może doprowadzić do identyfikacji i ukarania osób odpowiedzialnych. Po drugie, w stosownych przypadkach wymagane jest przyznanie skarżącemu odszkodowania lub przynajmniej możliwości dochodzenia i uzyskania odszkodowania za szkodę, którą skarżący poniósł w wyniku złego traktowania (</w:t>
      </w:r>
      <w:r>
        <w:rPr>
          <w:i/>
          <w:iCs/>
          <w:lang w:val="pl"/>
        </w:rPr>
        <w:t>ibid.</w:t>
      </w:r>
      <w:r>
        <w:rPr>
          <w:lang w:val="pl"/>
        </w:rPr>
        <w:t>, § 116).</w:t>
      </w:r>
    </w:p>
    <w:p w14:paraId="2F2E1033" w14:textId="354B0CD5"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108</w:t>
      </w:r>
      <w:r>
        <w:rPr>
          <w:noProof/>
          <w:lang w:val="pl"/>
        </w:rPr>
        <w:fldChar w:fldCharType="end"/>
      </w:r>
      <w:r>
        <w:rPr>
          <w:lang w:val="pl"/>
        </w:rPr>
        <w:t xml:space="preserve">.  Co się tyczy wymogu przeprowadzenia dokładnego i skutecznego śledztwa, Trybunał zauważa, że skarżąca przedstawiła poważne zarzuty dotyczące </w:t>
      </w:r>
      <w:r w:rsidR="00D83146">
        <w:rPr>
          <w:lang w:val="pl"/>
        </w:rPr>
        <w:t>przemocy wobec niej</w:t>
      </w:r>
      <w:r>
        <w:rPr>
          <w:lang w:val="pl"/>
        </w:rPr>
        <w:t xml:space="preserve"> podczas pobytu w Zakładzie Karnym w Łodzi. Funkcjonariusz służby więziennej, jej wychowawca, utrzymywał z nią stosunki seksualne przez wiele miesięcy, co doprowadziło do zajścia przez nią w ciążę. Władze krajowe wszczęły śledztwo niezwłocznie, w dniu 13 marca 2015 r. Chociaż początkowo prokurator umorzył postępowanie w dniu 16 grudnia 2015 r., zostało ono wznowione w dniu 9 sierpnia 2016 r. po wniesieniu odwołania przez skarżącą. Funkcjonariusz T.</w:t>
      </w:r>
      <w:r w:rsidR="00D83146">
        <w:rPr>
          <w:lang w:val="pl"/>
        </w:rPr>
        <w:t xml:space="preserve"> </w:t>
      </w:r>
      <w:r>
        <w:rPr>
          <w:lang w:val="pl"/>
        </w:rPr>
        <w:t>R. został oskarżony w dniu 27 września 2018 r. i skazany przez Sąd Rejonowy w Łodzi w dniu 12 marca 2019 r. Sąd uznał go za winnego przestępstwa przekroczenia uprawnień z naruszeniem art. 231 § 1 Kodeksu karnego oraz wykorzystywania seksualnego w kontekście stosunku zależności, zabronionego przez art. 199 § 1 Kodeksu karnego. Funkcjonariusz T.</w:t>
      </w:r>
      <w:r w:rsidR="00D83146">
        <w:rPr>
          <w:lang w:val="pl"/>
        </w:rPr>
        <w:t xml:space="preserve"> </w:t>
      </w:r>
      <w:r>
        <w:rPr>
          <w:lang w:val="pl"/>
        </w:rPr>
        <w:t>R. został skazany na karę pozbawienia wolności w zawieszeniu, grzywnę i zakaz zajmowania stanowiska w Służbie Więziennej przez pięć lat (zob. paragraf </w:t>
      </w:r>
      <w:r>
        <w:rPr>
          <w:lang w:val="pl"/>
        </w:rPr>
        <w:fldChar w:fldCharType="begin"/>
      </w:r>
      <w:r>
        <w:rPr>
          <w:lang w:val="pl"/>
        </w:rPr>
        <w:instrText xml:space="preserve"> REF facts_TRconvicted \h  \* MERGEFORMAT </w:instrText>
      </w:r>
      <w:r>
        <w:rPr>
          <w:lang w:val="pl"/>
        </w:rPr>
      </w:r>
      <w:r>
        <w:rPr>
          <w:lang w:val="pl"/>
        </w:rPr>
        <w:fldChar w:fldCharType="separate"/>
      </w:r>
      <w:r>
        <w:rPr>
          <w:lang w:val="pl"/>
        </w:rPr>
        <w:t>41</w:t>
      </w:r>
      <w:r>
        <w:rPr>
          <w:lang w:val="pl"/>
        </w:rPr>
        <w:fldChar w:fldCharType="end"/>
      </w:r>
      <w:r>
        <w:rPr>
          <w:lang w:val="pl"/>
        </w:rPr>
        <w:t xml:space="preserve"> powyżej). Skarżąca aktywnie uczestniczyła w postępowaniu i została oskarżycielką posiłkową, ale zdecydowała się nie wnosić apelacji od wyroku Sądu Rejonowego w Łodzi. Trybunał stwierdza zatem, że skarżąca </w:t>
      </w:r>
      <w:r>
        <w:rPr>
          <w:lang w:val="pl"/>
        </w:rPr>
        <w:lastRenderedPageBreak/>
        <w:t>uznała, iż sąd krajowy poddał sprawę starannej analizie i nie wymierzył zbyt łagodnej kary.</w:t>
      </w:r>
    </w:p>
    <w:p w14:paraId="153039BA" w14:textId="1B3818AE"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109</w:t>
      </w:r>
      <w:r>
        <w:rPr>
          <w:noProof/>
          <w:lang w:val="pl"/>
        </w:rPr>
        <w:fldChar w:fldCharType="end"/>
      </w:r>
      <w:r>
        <w:rPr>
          <w:lang w:val="pl"/>
        </w:rPr>
        <w:t xml:space="preserve">.  Analizując odpowiedź władz na zarzuty skarżącej, Trybunał będzie musiał rozważyć wszelkie inne przewidziane prawem środki, które mogłyby stanowić środek prawny pozwalający ustalić fakty, pociągnąć winnych do odpowiedzialności i zapewnić ofierze odpowiednie naprawienie szkody (zob. </w:t>
      </w:r>
      <w:proofErr w:type="spellStart"/>
      <w:r>
        <w:rPr>
          <w:i/>
          <w:iCs/>
          <w:lang w:val="pl"/>
        </w:rPr>
        <w:t>Nicolae</w:t>
      </w:r>
      <w:proofErr w:type="spellEnd"/>
      <w:r>
        <w:rPr>
          <w:i/>
          <w:iCs/>
          <w:lang w:val="pl"/>
        </w:rPr>
        <w:t xml:space="preserve"> </w:t>
      </w:r>
      <w:proofErr w:type="spellStart"/>
      <w:r>
        <w:rPr>
          <w:i/>
          <w:iCs/>
          <w:lang w:val="pl"/>
        </w:rPr>
        <w:t>Virgiliu</w:t>
      </w:r>
      <w:proofErr w:type="spellEnd"/>
      <w:r>
        <w:rPr>
          <w:i/>
          <w:iCs/>
          <w:lang w:val="pl"/>
        </w:rPr>
        <w:t xml:space="preserve"> </w:t>
      </w:r>
      <w:proofErr w:type="spellStart"/>
      <w:r>
        <w:rPr>
          <w:i/>
          <w:iCs/>
          <w:lang w:val="pl"/>
        </w:rPr>
        <w:t>Tănase</w:t>
      </w:r>
      <w:proofErr w:type="spellEnd"/>
      <w:r>
        <w:rPr>
          <w:i/>
          <w:iCs/>
          <w:lang w:val="pl"/>
        </w:rPr>
        <w:t xml:space="preserve"> p. Rumunii</w:t>
      </w:r>
      <w:r>
        <w:rPr>
          <w:lang w:val="pl"/>
        </w:rPr>
        <w:t xml:space="preserve"> [WI], nr 41720/13, § 169, 25 czerwca 2019 r.). W związku z tym Trybunał zwraca uwagę na szereg postępowań dyscyplinarnych, które wszczęto w krótkim czasie po przedmiotowych wydarzeniach. Zakończyły się one nałożeniem kar dyscyplinarnych na funkcjonariusza T.</w:t>
      </w:r>
      <w:r w:rsidR="00D83146">
        <w:rPr>
          <w:lang w:val="pl"/>
        </w:rPr>
        <w:t xml:space="preserve"> </w:t>
      </w:r>
      <w:r>
        <w:rPr>
          <w:lang w:val="pl"/>
        </w:rPr>
        <w:t>R., a także na sześciu innych funkcjonariuszy służby więziennej różnej rangi (zob. paragrafy </w:t>
      </w:r>
      <w:r>
        <w:rPr>
          <w:lang w:val="pl"/>
        </w:rPr>
        <w:fldChar w:fldCharType="begin"/>
      </w:r>
      <w:r>
        <w:rPr>
          <w:lang w:val="pl"/>
        </w:rPr>
        <w:instrText xml:space="preserve"> REF facts_discipl_start \h </w:instrText>
      </w:r>
      <w:r>
        <w:rPr>
          <w:lang w:val="pl"/>
        </w:rPr>
      </w:r>
      <w:r>
        <w:rPr>
          <w:lang w:val="pl"/>
        </w:rPr>
        <w:fldChar w:fldCharType="separate"/>
      </w:r>
      <w:r>
        <w:rPr>
          <w:noProof/>
          <w:lang w:val="pl"/>
        </w:rPr>
        <w:t>43</w:t>
      </w:r>
      <w:r>
        <w:rPr>
          <w:lang w:val="pl"/>
        </w:rPr>
        <w:fldChar w:fldCharType="end"/>
      </w:r>
      <w:r>
        <w:rPr>
          <w:lang w:val="pl"/>
        </w:rPr>
        <w:t>-</w:t>
      </w:r>
      <w:r>
        <w:rPr>
          <w:lang w:val="pl"/>
        </w:rPr>
        <w:fldChar w:fldCharType="begin"/>
      </w:r>
      <w:r>
        <w:rPr>
          <w:lang w:val="pl"/>
        </w:rPr>
        <w:instrText xml:space="preserve"> REF facts_discipl_end \h </w:instrText>
      </w:r>
      <w:r>
        <w:rPr>
          <w:lang w:val="pl"/>
        </w:rPr>
      </w:r>
      <w:r>
        <w:rPr>
          <w:lang w:val="pl"/>
        </w:rPr>
        <w:fldChar w:fldCharType="separate"/>
      </w:r>
      <w:r>
        <w:rPr>
          <w:noProof/>
          <w:lang w:val="pl"/>
        </w:rPr>
        <w:t>47</w:t>
      </w:r>
      <w:r>
        <w:rPr>
          <w:lang w:val="pl"/>
        </w:rPr>
        <w:fldChar w:fldCharType="end"/>
      </w:r>
      <w:r>
        <w:rPr>
          <w:lang w:val="pl"/>
        </w:rPr>
        <w:t xml:space="preserve"> powyżej).</w:t>
      </w:r>
    </w:p>
    <w:p w14:paraId="76235172"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110</w:t>
      </w:r>
      <w:r>
        <w:rPr>
          <w:noProof/>
          <w:lang w:val="pl"/>
        </w:rPr>
        <w:fldChar w:fldCharType="end"/>
      </w:r>
      <w:r>
        <w:rPr>
          <w:lang w:val="pl"/>
        </w:rPr>
        <w:t xml:space="preserve">.  W związku z powyższym Trybunał uważa, że państwo wywiązało się z obowiązku proceduralnego wynikającego z art. 3 Konwencji w zakresie przeprowadzenia skutecznego śledztwa (zob. </w:t>
      </w:r>
      <w:proofErr w:type="spellStart"/>
      <w:r>
        <w:rPr>
          <w:i/>
          <w:iCs/>
          <w:lang w:val="pl"/>
        </w:rPr>
        <w:t>Murdalovy</w:t>
      </w:r>
      <w:proofErr w:type="spellEnd"/>
      <w:r>
        <w:rPr>
          <w:i/>
          <w:iCs/>
          <w:lang w:val="pl"/>
        </w:rPr>
        <w:t xml:space="preserve"> p. Rosji</w:t>
      </w:r>
      <w:r>
        <w:rPr>
          <w:lang w:val="pl"/>
        </w:rPr>
        <w:t>, nr 51933/08, § 91, 31 marca 2020 r.).</w:t>
      </w:r>
    </w:p>
    <w:p w14:paraId="43F885CD" w14:textId="521781C2"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111</w:t>
      </w:r>
      <w:r>
        <w:rPr>
          <w:noProof/>
          <w:lang w:val="pl"/>
        </w:rPr>
        <w:fldChar w:fldCharType="end"/>
      </w:r>
      <w:r>
        <w:rPr>
          <w:lang w:val="pl"/>
        </w:rPr>
        <w:t>.  Trybunał zauważa wreszcie, że skarżąca mogła dochodzić odszkodowania od funkcjonariusza T.</w:t>
      </w:r>
      <w:r w:rsidR="0064317D">
        <w:rPr>
          <w:lang w:val="pl"/>
        </w:rPr>
        <w:t xml:space="preserve"> </w:t>
      </w:r>
      <w:r>
        <w:rPr>
          <w:lang w:val="pl"/>
        </w:rPr>
        <w:t>R. lub Skarbu Państwa, w szczególności na podstawie art. 23 w związku z art. 24 § 1 Kodeksu cywilnego (zob. paragraf </w:t>
      </w:r>
      <w:r>
        <w:rPr>
          <w:lang w:val="pl"/>
        </w:rPr>
        <w:fldChar w:fldCharType="begin"/>
      </w:r>
      <w:r>
        <w:rPr>
          <w:lang w:val="pl"/>
        </w:rPr>
        <w:instrText xml:space="preserve"> REF domestic_law_CivilCode \h </w:instrText>
      </w:r>
      <w:r>
        <w:rPr>
          <w:lang w:val="pl"/>
        </w:rPr>
      </w:r>
      <w:r>
        <w:rPr>
          <w:lang w:val="pl"/>
        </w:rPr>
        <w:fldChar w:fldCharType="separate"/>
      </w:r>
      <w:r>
        <w:rPr>
          <w:noProof/>
          <w:lang w:val="pl"/>
        </w:rPr>
        <w:t>74</w:t>
      </w:r>
      <w:r>
        <w:rPr>
          <w:lang w:val="pl"/>
        </w:rPr>
        <w:fldChar w:fldCharType="end"/>
      </w:r>
      <w:r>
        <w:rPr>
          <w:lang w:val="pl"/>
        </w:rPr>
        <w:t xml:space="preserve"> powyżej). Postępowanie cywilne, w przypadku powodzenia, mogło doprowadzić do przyznania odpowiedniego </w:t>
      </w:r>
      <w:r w:rsidR="0064317D">
        <w:rPr>
          <w:lang w:val="pl"/>
        </w:rPr>
        <w:t>zadośćuczynienia</w:t>
      </w:r>
      <w:r>
        <w:rPr>
          <w:lang w:val="pl"/>
        </w:rPr>
        <w:t xml:space="preserve"> (zob. </w:t>
      </w:r>
      <w:r>
        <w:rPr>
          <w:i/>
          <w:iCs/>
          <w:lang w:val="pl"/>
        </w:rPr>
        <w:t xml:space="preserve">mutatis mutandis </w:t>
      </w:r>
      <w:bookmarkStart w:id="18" w:name="_cl42033"/>
      <w:proofErr w:type="spellStart"/>
      <w:r>
        <w:rPr>
          <w:i/>
          <w:iCs/>
          <w:lang w:val="pl"/>
        </w:rPr>
        <w:t>Kornicka-Ziobro</w:t>
      </w:r>
      <w:proofErr w:type="spellEnd"/>
      <w:r>
        <w:rPr>
          <w:i/>
          <w:iCs/>
          <w:lang w:val="pl"/>
        </w:rPr>
        <w:t xml:space="preserve"> p. </w:t>
      </w:r>
      <w:r>
        <w:rPr>
          <w:lang w:val="pl"/>
        </w:rPr>
        <w:t>Polsce</w:t>
      </w:r>
      <w:bookmarkEnd w:id="18"/>
      <w:r>
        <w:rPr>
          <w:lang w:val="pl"/>
        </w:rPr>
        <w:t>, nr 23037/16, § 82, 20 października 2022 r.). Skarżąca nie przedstawiła żadnych informacji na temat tego, dlaczego nigdy nie dochodziła odszkodowania za naruszenie jej dóbr osobistych w związku z zarzucanym złym traktowaniem.</w:t>
      </w:r>
    </w:p>
    <w:p w14:paraId="3031E39D" w14:textId="77777777"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112</w:t>
      </w:r>
      <w:r>
        <w:rPr>
          <w:noProof/>
          <w:lang w:val="pl"/>
        </w:rPr>
        <w:fldChar w:fldCharType="end"/>
      </w:r>
      <w:r>
        <w:rPr>
          <w:lang w:val="pl"/>
        </w:rPr>
        <w:t xml:space="preserve">.  W świetle powyższych ustaleń Trybunał podtrzymuje stanowisko Rządu dotyczące utraty statusu ofiary przez skarżącą. Ta część skargi jest zatem niezgodna </w:t>
      </w:r>
      <w:proofErr w:type="spellStart"/>
      <w:r>
        <w:rPr>
          <w:i/>
          <w:iCs/>
          <w:lang w:val="pl"/>
        </w:rPr>
        <w:t>ratione</w:t>
      </w:r>
      <w:proofErr w:type="spellEnd"/>
      <w:r>
        <w:rPr>
          <w:i/>
          <w:iCs/>
          <w:lang w:val="pl"/>
        </w:rPr>
        <w:t xml:space="preserve"> </w:t>
      </w:r>
      <w:proofErr w:type="spellStart"/>
      <w:r>
        <w:rPr>
          <w:i/>
          <w:iCs/>
          <w:lang w:val="pl"/>
        </w:rPr>
        <w:t>personae</w:t>
      </w:r>
      <w:proofErr w:type="spellEnd"/>
      <w:r>
        <w:rPr>
          <w:lang w:val="pl"/>
        </w:rPr>
        <w:t xml:space="preserve"> z postanowieniami Konwencji w rozumieniu art. 35 ust. 3 lit. a i musi zostać odrzucona zgodnie z art. 35 ust. 4.</w:t>
      </w:r>
    </w:p>
    <w:p w14:paraId="04F5C539" w14:textId="2B603411" w:rsidR="00E70AE3" w:rsidRPr="00617058" w:rsidRDefault="00617058" w:rsidP="00617058">
      <w:pPr>
        <w:pStyle w:val="JuHIRoman"/>
        <w:numPr>
          <w:ilvl w:val="0"/>
          <w:numId w:val="0"/>
        </w:numPr>
        <w:ind w:left="369" w:hanging="369"/>
        <w:rPr>
          <w:lang w:val="pl-PL"/>
        </w:rPr>
      </w:pPr>
      <w:r w:rsidRPr="00617058">
        <w:rPr>
          <w:lang w:val="pl-PL"/>
        </w:rPr>
        <w:t>IV.</w:t>
      </w:r>
      <w:r w:rsidRPr="00617058">
        <w:rPr>
          <w:lang w:val="pl-PL"/>
        </w:rPr>
        <w:tab/>
      </w:r>
      <w:r w:rsidR="008055D7">
        <w:rPr>
          <w:bCs w:val="0"/>
          <w:lang w:val="pl"/>
        </w:rPr>
        <w:t>INNE ZARZUCANE NARUSZENIA KONWENCJI</w:t>
      </w:r>
    </w:p>
    <w:p w14:paraId="639BBE3F" w14:textId="7DE50D7F"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113</w:t>
      </w:r>
      <w:r>
        <w:rPr>
          <w:lang w:val="pl"/>
        </w:rPr>
        <w:fldChar w:fldCharType="end"/>
      </w:r>
      <w:r>
        <w:rPr>
          <w:lang w:val="pl"/>
        </w:rPr>
        <w:t>.  </w:t>
      </w:r>
      <w:r w:rsidR="0064317D">
        <w:rPr>
          <w:lang w:val="pl"/>
        </w:rPr>
        <w:t>W końcu s</w:t>
      </w:r>
      <w:r>
        <w:rPr>
          <w:lang w:val="pl"/>
        </w:rPr>
        <w:t>karżąca podniosła zarzut na gruncie art. 3 i 8 Konwencji dotyczący opieki prenatalnej i poporodowej otrzymanej przez nią i jej dziecko w areszcie śledczym. Skarżąca zarzuciła ogólnie, że podczas pobytu z dzieckiem w Domu Matki i Dziecka w Grudziądzu musiała przestrzegać wielu zasad pod groźbą kar dyscyplinarnych.</w:t>
      </w:r>
    </w:p>
    <w:p w14:paraId="68DE6CF9" w14:textId="5743CA41" w:rsidR="00E70AE3" w:rsidRPr="0058055F" w:rsidRDefault="008055D7" w:rsidP="0070271E">
      <w:pPr>
        <w:pStyle w:val="JuPara"/>
        <w:rPr>
          <w:lang w:val="pl-PL"/>
        </w:rPr>
      </w:pPr>
      <w:r>
        <w:rPr>
          <w:lang w:val="pl"/>
        </w:rPr>
        <w:t>Skarżąca zarzuciła również, że zaoferowano jej niewystarczającą pomoc w opiece nad synem podczas rozpraw</w:t>
      </w:r>
      <w:r w:rsidR="0064317D">
        <w:rPr>
          <w:lang w:val="pl"/>
        </w:rPr>
        <w:t>y</w:t>
      </w:r>
      <w:r>
        <w:rPr>
          <w:lang w:val="pl"/>
        </w:rPr>
        <w:t xml:space="preserve"> w latach 2016 i 2017 oraz że konieczność opuszczania dziecka na długie okresy z powodu obecności na </w:t>
      </w:r>
      <w:r w:rsidR="0064317D">
        <w:rPr>
          <w:lang w:val="pl"/>
        </w:rPr>
        <w:t xml:space="preserve">rozprawie </w:t>
      </w:r>
      <w:r>
        <w:rPr>
          <w:lang w:val="pl"/>
        </w:rPr>
        <w:t>spowodowała u niej udrękę i obawę o dobro dziecka.</w:t>
      </w:r>
    </w:p>
    <w:p w14:paraId="3807707D" w14:textId="796D08B0" w:rsidR="00E70AE3" w:rsidRPr="0058055F" w:rsidRDefault="0070271E" w:rsidP="0070271E">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114</w:t>
      </w:r>
      <w:r>
        <w:rPr>
          <w:noProof/>
          <w:lang w:val="pl"/>
        </w:rPr>
        <w:fldChar w:fldCharType="end"/>
      </w:r>
      <w:r>
        <w:rPr>
          <w:lang w:val="pl"/>
        </w:rPr>
        <w:t xml:space="preserve">.  Rząd podniósł, że skarżąca nie wyczerpała </w:t>
      </w:r>
      <w:r w:rsidR="0064317D">
        <w:rPr>
          <w:lang w:val="pl"/>
        </w:rPr>
        <w:t xml:space="preserve">środków </w:t>
      </w:r>
      <w:r>
        <w:rPr>
          <w:lang w:val="pl"/>
        </w:rPr>
        <w:t>krajowych w związku z</w:t>
      </w:r>
      <w:r w:rsidR="00C577E0">
        <w:rPr>
          <w:lang w:val="pl"/>
        </w:rPr>
        <w:t xml:space="preserve"> zarzutami</w:t>
      </w:r>
      <w:r>
        <w:rPr>
          <w:lang w:val="pl"/>
        </w:rPr>
        <w:t xml:space="preserve"> dotyczącymi warunków jej opieki prenatalnej i późniejszego </w:t>
      </w:r>
      <w:r w:rsidR="00C577E0">
        <w:rPr>
          <w:lang w:val="pl"/>
        </w:rPr>
        <w:t xml:space="preserve">osadzenia </w:t>
      </w:r>
      <w:r>
        <w:rPr>
          <w:lang w:val="pl"/>
        </w:rPr>
        <w:t>wraz z dzieckiem. W szczególności nie złożyła skargi do dyrektora zakładu karnego ani nie wystąpiła z roszczeniem cywilnoprawnym o odszkodowanie w </w:t>
      </w:r>
      <w:r w:rsidR="00C577E0">
        <w:rPr>
          <w:lang w:val="pl"/>
        </w:rPr>
        <w:t xml:space="preserve">czasie osadzenia </w:t>
      </w:r>
      <w:r>
        <w:rPr>
          <w:lang w:val="pl"/>
        </w:rPr>
        <w:t>lub po zwolnieniu. Rząd przedstawił szczegółowe informacje na temat organizacji i wyposażenia specjalnego oddziału dla matek z dziećmi w Zakładzie Karnym w Grudziądzu (zob. paragraf </w:t>
      </w:r>
      <w:r>
        <w:rPr>
          <w:lang w:val="pl"/>
        </w:rPr>
        <w:fldChar w:fldCharType="begin"/>
      </w:r>
      <w:r>
        <w:rPr>
          <w:lang w:val="pl"/>
        </w:rPr>
        <w:instrText xml:space="preserve"> REF grudziac_unit \h </w:instrText>
      </w:r>
      <w:r>
        <w:rPr>
          <w:lang w:val="pl"/>
        </w:rPr>
      </w:r>
      <w:r>
        <w:rPr>
          <w:lang w:val="pl"/>
        </w:rPr>
        <w:fldChar w:fldCharType="separate"/>
      </w:r>
      <w:r>
        <w:rPr>
          <w:noProof/>
          <w:lang w:val="pl"/>
        </w:rPr>
        <w:t>54</w:t>
      </w:r>
      <w:r>
        <w:rPr>
          <w:lang w:val="pl"/>
        </w:rPr>
        <w:fldChar w:fldCharType="end"/>
      </w:r>
      <w:r>
        <w:rPr>
          <w:lang w:val="pl"/>
        </w:rPr>
        <w:t xml:space="preserve"> powyżej). Rząd twierdził, że warunki te </w:t>
      </w:r>
      <w:r w:rsidR="00C577E0">
        <w:rPr>
          <w:lang w:val="pl"/>
        </w:rPr>
        <w:t xml:space="preserve">były </w:t>
      </w:r>
      <w:r>
        <w:rPr>
          <w:lang w:val="pl"/>
        </w:rPr>
        <w:t>bardzo dobre i zaspokaja</w:t>
      </w:r>
      <w:r w:rsidR="00C577E0">
        <w:rPr>
          <w:lang w:val="pl"/>
        </w:rPr>
        <w:t>ły</w:t>
      </w:r>
      <w:r>
        <w:rPr>
          <w:lang w:val="pl"/>
        </w:rPr>
        <w:t xml:space="preserve"> wszystkie potrzeby matek z małymi dziećmi. Ponadto wprowadzono szereg rozwiązań umożliwiających skarżącej udział w rozpraw</w:t>
      </w:r>
      <w:r w:rsidR="00C577E0">
        <w:rPr>
          <w:lang w:val="pl"/>
        </w:rPr>
        <w:t>ie</w:t>
      </w:r>
      <w:r>
        <w:rPr>
          <w:lang w:val="pl"/>
        </w:rPr>
        <w:t xml:space="preserve">, a dziecko </w:t>
      </w:r>
      <w:r w:rsidR="00C577E0">
        <w:rPr>
          <w:lang w:val="pl"/>
        </w:rPr>
        <w:t xml:space="preserve">w jednostce penitencjarnej dla matek </w:t>
      </w:r>
      <w:r>
        <w:rPr>
          <w:lang w:val="pl"/>
        </w:rPr>
        <w:t>przebywało pod opieką pielęgniarki; inne możliwości oferowane skarżącej obejmowały zwolnienie dziecka pod opiekę matki skarżącej lub umożliwienie udziału skarżącej w rozpraw</w:t>
      </w:r>
      <w:r w:rsidR="00C577E0">
        <w:rPr>
          <w:lang w:val="pl"/>
        </w:rPr>
        <w:t>ie</w:t>
      </w:r>
      <w:r>
        <w:rPr>
          <w:lang w:val="pl"/>
        </w:rPr>
        <w:t xml:space="preserve"> za pośrednictwem łącza wideo.</w:t>
      </w:r>
    </w:p>
    <w:p w14:paraId="107331B2" w14:textId="1F3192AC"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115</w:t>
      </w:r>
      <w:r>
        <w:rPr>
          <w:noProof/>
          <w:lang w:val="pl"/>
        </w:rPr>
        <w:fldChar w:fldCharType="end"/>
      </w:r>
      <w:r>
        <w:rPr>
          <w:lang w:val="pl"/>
        </w:rPr>
        <w:t xml:space="preserve">.  Trybunał przyjmuje do wiadomości przedstawiony przez Rząd opis warunków w Domu Matki i Dziecka w Zakładzie Karnym w Grudziądzu. Uznaje, że skarżąca nie podniosła żadnego konkretnego zarzutu w odniesieniu do opieki zapewnianej jej przez władze więzienne podczas ciąży lub w późniejszym okresie i nie uzasadniła swoich </w:t>
      </w:r>
      <w:r w:rsidR="00E74C37">
        <w:rPr>
          <w:lang w:val="pl"/>
        </w:rPr>
        <w:t xml:space="preserve">zarzutów </w:t>
      </w:r>
      <w:r>
        <w:rPr>
          <w:lang w:val="pl"/>
        </w:rPr>
        <w:t>na podstawie Konwencji. Ponadto skarżąca nie wniosła do władz krajowych żadnych skarg dotyczących opieki prenatalnej i poporodowej nad nią i jej dzieckiem.</w:t>
      </w:r>
    </w:p>
    <w:p w14:paraId="2E463BAD" w14:textId="77D414F9"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116</w:t>
      </w:r>
      <w:r>
        <w:rPr>
          <w:noProof/>
          <w:lang w:val="pl"/>
        </w:rPr>
        <w:fldChar w:fldCharType="end"/>
      </w:r>
      <w:r>
        <w:rPr>
          <w:lang w:val="pl"/>
        </w:rPr>
        <w:t xml:space="preserve">.  W świetle wszystkich posiadanych dokumentów i w zakresie, w jakim kwestie będące przedmiotem skargi należą do jego kompetencji, Trybunał uznaje, że nie wskazują one na wystąpienie jakiegokolwiek naruszenia praw i wolności określonych w Konwencji </w:t>
      </w:r>
      <w:r w:rsidR="00E74C37">
        <w:rPr>
          <w:lang w:val="pl"/>
        </w:rPr>
        <w:t xml:space="preserve">i jej </w:t>
      </w:r>
      <w:r>
        <w:rPr>
          <w:lang w:val="pl"/>
        </w:rPr>
        <w:t xml:space="preserve">Protokołach. Nie zachodzi zatem potrzeba zajęcia się zastrzeżeniem Rządu dotyczącym niewyczerpania </w:t>
      </w:r>
      <w:r w:rsidR="00E74C37">
        <w:rPr>
          <w:lang w:val="pl"/>
        </w:rPr>
        <w:t xml:space="preserve">środków </w:t>
      </w:r>
      <w:r>
        <w:rPr>
          <w:lang w:val="pl"/>
        </w:rPr>
        <w:t>krajowych .</w:t>
      </w:r>
    </w:p>
    <w:p w14:paraId="576C36A9" w14:textId="1E3596E9" w:rsidR="00E70AE3" w:rsidRPr="0058055F" w:rsidRDefault="0070271E" w:rsidP="0070271E">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117</w:t>
      </w:r>
      <w:r>
        <w:rPr>
          <w:noProof/>
          <w:lang w:val="pl"/>
        </w:rPr>
        <w:fldChar w:fldCharType="end"/>
      </w:r>
      <w:r>
        <w:rPr>
          <w:lang w:val="pl"/>
        </w:rPr>
        <w:t>.  W związku z tym pozostała część skargi jest w sposób oczywisty nieuzasadniona i podlega odrzuceniu zgodnie z art. 35 ust. 3 lit. a </w:t>
      </w:r>
      <w:r w:rsidR="00E74C37">
        <w:rPr>
          <w:lang w:val="pl"/>
        </w:rPr>
        <w:t xml:space="preserve">i </w:t>
      </w:r>
      <w:r>
        <w:rPr>
          <w:lang w:val="pl"/>
        </w:rPr>
        <w:t>art. 35 ust. 4 Konwencji.</w:t>
      </w:r>
    </w:p>
    <w:p w14:paraId="6D79D0ED" w14:textId="5143A6BB" w:rsidR="00E70AE3" w:rsidRPr="00617058" w:rsidRDefault="00617058" w:rsidP="00617058">
      <w:pPr>
        <w:pStyle w:val="JuHIRoman"/>
        <w:numPr>
          <w:ilvl w:val="0"/>
          <w:numId w:val="0"/>
        </w:numPr>
        <w:ind w:left="369" w:hanging="369"/>
        <w:rPr>
          <w:lang w:val="pl-PL"/>
        </w:rPr>
      </w:pPr>
      <w:r w:rsidRPr="00617058">
        <w:rPr>
          <w:lang w:val="pl-PL"/>
        </w:rPr>
        <w:t>V.</w:t>
      </w:r>
      <w:r w:rsidRPr="00617058">
        <w:rPr>
          <w:lang w:val="pl-PL"/>
        </w:rPr>
        <w:tab/>
      </w:r>
      <w:r w:rsidR="008055D7">
        <w:rPr>
          <w:bCs w:val="0"/>
          <w:lang w:val="pl"/>
        </w:rPr>
        <w:t>ZASTOSOWANIE ART. 41 KONWENCJI</w:t>
      </w:r>
    </w:p>
    <w:p w14:paraId="755104A3" w14:textId="77777777" w:rsidR="00E70AE3" w:rsidRPr="00617058"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118</w:t>
      </w:r>
      <w:r>
        <w:rPr>
          <w:lang w:val="pl"/>
        </w:rPr>
        <w:fldChar w:fldCharType="end"/>
      </w:r>
      <w:r>
        <w:rPr>
          <w:lang w:val="pl"/>
        </w:rPr>
        <w:t>.  Art. 41 Konwencji stanowi:</w:t>
      </w:r>
    </w:p>
    <w:p w14:paraId="402BDAD3" w14:textId="77777777" w:rsidR="00E70AE3" w:rsidRPr="0058055F" w:rsidRDefault="008055D7" w:rsidP="0070271E">
      <w:pPr>
        <w:pStyle w:val="JuQuot"/>
        <w:rPr>
          <w:lang w:val="pl-PL"/>
        </w:rPr>
      </w:pPr>
      <w:r>
        <w:rPr>
          <w:lang w:va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6D76A2FF" w14:textId="6E01AC80" w:rsidR="00E70AE3" w:rsidRPr="00617058" w:rsidRDefault="00617058" w:rsidP="00617058">
      <w:pPr>
        <w:pStyle w:val="JuHA"/>
        <w:numPr>
          <w:ilvl w:val="0"/>
          <w:numId w:val="0"/>
        </w:numPr>
        <w:ind w:left="510" w:hanging="340"/>
        <w:rPr>
          <w:lang w:val="pl-PL"/>
        </w:rPr>
      </w:pPr>
      <w:r w:rsidRPr="00617058">
        <w:rPr>
          <w:lang w:val="pl-PL"/>
        </w:rPr>
        <w:lastRenderedPageBreak/>
        <w:t>A.</w:t>
      </w:r>
      <w:r w:rsidRPr="00617058">
        <w:rPr>
          <w:lang w:val="pl-PL"/>
        </w:rPr>
        <w:tab/>
      </w:r>
      <w:r w:rsidR="008055D7">
        <w:rPr>
          <w:lang w:val="pl"/>
        </w:rPr>
        <w:t>Szkoda</w:t>
      </w:r>
    </w:p>
    <w:p w14:paraId="7B580260" w14:textId="77777777"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119</w:t>
      </w:r>
      <w:r>
        <w:rPr>
          <w:lang w:val="pl"/>
        </w:rPr>
        <w:fldChar w:fldCharType="end"/>
      </w:r>
      <w:r>
        <w:rPr>
          <w:lang w:val="pl"/>
        </w:rPr>
        <w:t>.  Skarżąca domagała się kwoty 1 000 000 euro (EUR) tytułem zadośćuczynienia za szkodę niemajątkową.</w:t>
      </w:r>
    </w:p>
    <w:p w14:paraId="7A6012E2" w14:textId="77777777"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120</w:t>
      </w:r>
      <w:r>
        <w:rPr>
          <w:lang w:val="pl"/>
        </w:rPr>
        <w:fldChar w:fldCharType="end"/>
      </w:r>
      <w:r>
        <w:rPr>
          <w:lang w:val="pl"/>
        </w:rPr>
        <w:t>.  Rząd zakwestionował te roszczenia i uznał je za nadmierne.</w:t>
      </w:r>
    </w:p>
    <w:p w14:paraId="52C16B9A" w14:textId="77777777"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121</w:t>
      </w:r>
      <w:r>
        <w:rPr>
          <w:lang w:val="pl"/>
        </w:rPr>
        <w:fldChar w:fldCharType="end"/>
      </w:r>
      <w:r>
        <w:rPr>
          <w:lang w:val="pl"/>
        </w:rPr>
        <w:t>.  Trybunał przyznaje skarżącej kwotę 6 500 EUR, plus wszelkie należne podatki, tytułem zadośćuczynienia za szkodę niemajątkową.</w:t>
      </w:r>
    </w:p>
    <w:p w14:paraId="6149C464" w14:textId="34C112F9" w:rsidR="00E70AE3" w:rsidRPr="00617058" w:rsidRDefault="00617058" w:rsidP="00617058">
      <w:pPr>
        <w:pStyle w:val="JuHA"/>
        <w:numPr>
          <w:ilvl w:val="0"/>
          <w:numId w:val="0"/>
        </w:numPr>
        <w:ind w:left="510" w:hanging="340"/>
        <w:rPr>
          <w:lang w:val="pl-PL"/>
        </w:rPr>
      </w:pPr>
      <w:r w:rsidRPr="00617058">
        <w:rPr>
          <w:lang w:val="pl-PL"/>
        </w:rPr>
        <w:t>B.</w:t>
      </w:r>
      <w:r w:rsidRPr="00617058">
        <w:rPr>
          <w:lang w:val="pl-PL"/>
        </w:rPr>
        <w:tab/>
      </w:r>
      <w:r w:rsidR="008055D7">
        <w:rPr>
          <w:lang w:val="pl"/>
        </w:rPr>
        <w:t>Koszty i wydatki</w:t>
      </w:r>
    </w:p>
    <w:p w14:paraId="66001B2D" w14:textId="77777777" w:rsidR="00E70AE3" w:rsidRPr="0058055F" w:rsidRDefault="008055D7" w:rsidP="0070271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122</w:t>
      </w:r>
      <w:r>
        <w:rPr>
          <w:lang w:val="pl"/>
        </w:rPr>
        <w:fldChar w:fldCharType="end"/>
      </w:r>
      <w:r>
        <w:rPr>
          <w:lang w:val="pl"/>
        </w:rPr>
        <w:t>.  Skarżąca nie wystąpiła z roszczeniem w przedmiocie kosztów i wydatków poniesionych przed sądami krajowymi lub Trybunałem. Nie ma zatem potrzeby zasądzania jakiejkolwiek kwoty z tego tytułu.</w:t>
      </w:r>
    </w:p>
    <w:p w14:paraId="2D1F67F0" w14:textId="08EB2544" w:rsidR="00E70AE3" w:rsidRPr="00617058" w:rsidRDefault="008055D7" w:rsidP="00617058">
      <w:pPr>
        <w:pStyle w:val="JuHHead"/>
        <w:numPr>
          <w:ilvl w:val="0"/>
          <w:numId w:val="0"/>
        </w:numPr>
        <w:rPr>
          <w:lang w:val="pl-PL"/>
        </w:rPr>
      </w:pPr>
      <w:r>
        <w:rPr>
          <w:bCs w:val="0"/>
          <w:lang w:val="pl"/>
        </w:rPr>
        <w:t xml:space="preserve">Z </w:t>
      </w:r>
      <w:r w:rsidR="00B4233F">
        <w:rPr>
          <w:bCs w:val="0"/>
          <w:lang w:val="pl"/>
        </w:rPr>
        <w:t xml:space="preserve">TYCH </w:t>
      </w:r>
      <w:r>
        <w:rPr>
          <w:bCs w:val="0"/>
          <w:lang w:val="pl"/>
        </w:rPr>
        <w:t>WZGLĘDÓW TRYBUNAŁ JEDNOGŁOŚNIE</w:t>
      </w:r>
    </w:p>
    <w:p w14:paraId="28E32CD1" w14:textId="0DDFFAE1" w:rsidR="00E70AE3" w:rsidRPr="0058055F" w:rsidRDefault="00617058" w:rsidP="00617058">
      <w:pPr>
        <w:pStyle w:val="JuList"/>
        <w:numPr>
          <w:ilvl w:val="0"/>
          <w:numId w:val="0"/>
        </w:numPr>
        <w:tabs>
          <w:tab w:val="left" w:pos="340"/>
        </w:tabs>
        <w:ind w:left="340" w:hanging="340"/>
        <w:rPr>
          <w:lang w:val="pl-PL"/>
        </w:rPr>
      </w:pPr>
      <w:r w:rsidRPr="0058055F">
        <w:rPr>
          <w:lang w:val="pl-PL"/>
        </w:rPr>
        <w:t>1.</w:t>
      </w:r>
      <w:r w:rsidRPr="0058055F">
        <w:rPr>
          <w:lang w:val="pl-PL"/>
        </w:rPr>
        <w:tab/>
      </w:r>
      <w:r w:rsidR="008055D7">
        <w:rPr>
          <w:i/>
          <w:iCs/>
          <w:lang w:val="pl"/>
        </w:rPr>
        <w:t>przyjmuje do wiadomości</w:t>
      </w:r>
      <w:r w:rsidR="008055D7">
        <w:rPr>
          <w:lang w:val="pl"/>
        </w:rPr>
        <w:t xml:space="preserve"> warunki deklaracji jednostronnej pozwanego Rządu w odniesieniu do </w:t>
      </w:r>
      <w:r w:rsidR="00B4233F">
        <w:rPr>
          <w:lang w:val="pl"/>
        </w:rPr>
        <w:t>zarzutu z</w:t>
      </w:r>
      <w:r w:rsidR="008055D7">
        <w:rPr>
          <w:lang w:val="pl"/>
        </w:rPr>
        <w:t xml:space="preserve"> art. 8 Konwencji w kwestii wizyt rodzinnych oraz sposobów zapewnienia zgodności z zobowiązaniami, o których mowa w tym postanowieniu;</w:t>
      </w:r>
    </w:p>
    <w:p w14:paraId="2E3B2478" w14:textId="249D6007" w:rsidR="00E70AE3" w:rsidRPr="0058055F" w:rsidRDefault="00617058" w:rsidP="00617058">
      <w:pPr>
        <w:pStyle w:val="JuList"/>
        <w:numPr>
          <w:ilvl w:val="0"/>
          <w:numId w:val="0"/>
        </w:numPr>
        <w:tabs>
          <w:tab w:val="left" w:pos="340"/>
        </w:tabs>
        <w:ind w:left="340" w:hanging="340"/>
        <w:rPr>
          <w:lang w:val="pl-PL"/>
        </w:rPr>
      </w:pPr>
      <w:r w:rsidRPr="0058055F">
        <w:rPr>
          <w:lang w:val="pl-PL"/>
        </w:rPr>
        <w:t>2.</w:t>
      </w:r>
      <w:r w:rsidRPr="0058055F">
        <w:rPr>
          <w:lang w:val="pl-PL"/>
        </w:rPr>
        <w:tab/>
      </w:r>
      <w:r w:rsidR="008055D7">
        <w:rPr>
          <w:i/>
          <w:iCs/>
          <w:lang w:val="pl"/>
        </w:rPr>
        <w:t>postanawia</w:t>
      </w:r>
      <w:r w:rsidR="008055D7">
        <w:rPr>
          <w:lang w:val="pl"/>
        </w:rPr>
        <w:t xml:space="preserve"> </w:t>
      </w:r>
      <w:r w:rsidR="00B4233F">
        <w:rPr>
          <w:lang w:val="pl"/>
        </w:rPr>
        <w:t>s</w:t>
      </w:r>
      <w:r w:rsidR="008055D7">
        <w:rPr>
          <w:lang w:val="pl"/>
        </w:rPr>
        <w:t>kreślić z listy spraw skargę w zakresie, w jakim odnosi się ona do powyższe</w:t>
      </w:r>
      <w:r w:rsidR="00B4233F">
        <w:rPr>
          <w:lang w:val="pl"/>
        </w:rPr>
        <w:t>go zarzutu</w:t>
      </w:r>
      <w:r w:rsidR="008055D7">
        <w:rPr>
          <w:lang w:val="pl"/>
        </w:rPr>
        <w:t>, zgodnie z art. 37 ust. 1 lit. c Konwencji;</w:t>
      </w:r>
    </w:p>
    <w:p w14:paraId="2DF2E191" w14:textId="011C50D1" w:rsidR="00E70AE3" w:rsidRPr="0058055F" w:rsidRDefault="00617058" w:rsidP="00617058">
      <w:pPr>
        <w:pStyle w:val="JuList"/>
        <w:numPr>
          <w:ilvl w:val="0"/>
          <w:numId w:val="0"/>
        </w:numPr>
        <w:tabs>
          <w:tab w:val="left" w:pos="340"/>
        </w:tabs>
        <w:ind w:left="340" w:hanging="340"/>
        <w:rPr>
          <w:lang w:val="pl-PL"/>
        </w:rPr>
      </w:pPr>
      <w:r w:rsidRPr="0058055F">
        <w:rPr>
          <w:lang w:val="pl-PL"/>
        </w:rPr>
        <w:t>3.</w:t>
      </w:r>
      <w:r w:rsidRPr="0058055F">
        <w:rPr>
          <w:lang w:val="pl-PL"/>
        </w:rPr>
        <w:tab/>
      </w:r>
      <w:r w:rsidR="008055D7">
        <w:rPr>
          <w:i/>
          <w:iCs/>
          <w:lang w:val="pl"/>
        </w:rPr>
        <w:t>uznaje</w:t>
      </w:r>
      <w:r w:rsidR="008055D7">
        <w:rPr>
          <w:lang w:val="pl"/>
        </w:rPr>
        <w:t xml:space="preserve"> skargę na gruncie art. 5 ust. 3 Konwencji dotyczącą czasu trwania tymczasowego aresztowania skarżącej za dopuszczalną, zaś pozostałą część skargi za niedopuszczalną;</w:t>
      </w:r>
    </w:p>
    <w:p w14:paraId="59C44693" w14:textId="0A9494C7" w:rsidR="00E70AE3" w:rsidRPr="0058055F" w:rsidRDefault="00617058" w:rsidP="00617058">
      <w:pPr>
        <w:pStyle w:val="JuList"/>
        <w:numPr>
          <w:ilvl w:val="0"/>
          <w:numId w:val="0"/>
        </w:numPr>
        <w:tabs>
          <w:tab w:val="left" w:pos="340"/>
        </w:tabs>
        <w:ind w:left="340" w:hanging="340"/>
        <w:rPr>
          <w:lang w:val="pl-PL"/>
        </w:rPr>
      </w:pPr>
      <w:r w:rsidRPr="0058055F">
        <w:rPr>
          <w:lang w:val="pl-PL"/>
        </w:rPr>
        <w:t>4.</w:t>
      </w:r>
      <w:r w:rsidRPr="0058055F">
        <w:rPr>
          <w:lang w:val="pl-PL"/>
        </w:rPr>
        <w:tab/>
      </w:r>
      <w:r w:rsidR="008055D7">
        <w:rPr>
          <w:i/>
          <w:iCs/>
          <w:lang w:val="pl"/>
        </w:rPr>
        <w:t>uznaje</w:t>
      </w:r>
      <w:r w:rsidR="008055D7">
        <w:rPr>
          <w:lang w:val="pl"/>
        </w:rPr>
        <w:t>, że doszło do naruszenia art. 5 ust. 3 Konwencji;</w:t>
      </w:r>
    </w:p>
    <w:p w14:paraId="59D45981" w14:textId="1497473C" w:rsidR="00E70AE3" w:rsidRPr="00617058" w:rsidRDefault="00617058" w:rsidP="00617058">
      <w:pPr>
        <w:pStyle w:val="JuList"/>
        <w:numPr>
          <w:ilvl w:val="0"/>
          <w:numId w:val="0"/>
        </w:numPr>
        <w:tabs>
          <w:tab w:val="left" w:pos="340"/>
        </w:tabs>
        <w:ind w:left="340" w:hanging="340"/>
        <w:rPr>
          <w:lang w:val="pl-PL"/>
        </w:rPr>
      </w:pPr>
      <w:r w:rsidRPr="00617058">
        <w:rPr>
          <w:lang w:val="pl-PL"/>
        </w:rPr>
        <w:t>5.</w:t>
      </w:r>
      <w:r w:rsidRPr="00617058">
        <w:rPr>
          <w:lang w:val="pl-PL"/>
        </w:rPr>
        <w:tab/>
      </w:r>
      <w:r w:rsidR="008055D7">
        <w:rPr>
          <w:i/>
          <w:iCs/>
          <w:lang w:val="pl"/>
        </w:rPr>
        <w:t>uznaje,</w:t>
      </w:r>
    </w:p>
    <w:p w14:paraId="427A9D7A" w14:textId="463C5BB7" w:rsidR="00E70AE3" w:rsidRPr="0058055F" w:rsidRDefault="00617058" w:rsidP="00617058">
      <w:pPr>
        <w:pStyle w:val="JuLista"/>
        <w:numPr>
          <w:ilvl w:val="0"/>
          <w:numId w:val="0"/>
        </w:numPr>
        <w:tabs>
          <w:tab w:val="left" w:pos="680"/>
        </w:tabs>
        <w:ind w:left="680" w:hanging="340"/>
        <w:rPr>
          <w:lang w:val="pl-PL"/>
        </w:rPr>
      </w:pPr>
      <w:r w:rsidRPr="0058055F">
        <w:rPr>
          <w:lang w:val="pl-PL"/>
        </w:rPr>
        <w:t>(a)</w:t>
      </w:r>
      <w:r w:rsidRPr="0058055F">
        <w:rPr>
          <w:lang w:val="pl-PL"/>
        </w:rPr>
        <w:tab/>
      </w:r>
      <w:r w:rsidR="008055D7">
        <w:rPr>
          <w:lang w:val="pl"/>
        </w:rPr>
        <w:t>że pozwane państwo winno, w terminie trzech miesięcy od daty, w której niniejszy wyrok stanie się ostateczny zgodnie z art. 44 ust. 2 Konwencji, uiścić na rzecz skarżącej kwotę 6 500 EUR (sześć tysięcy pięćset euro), plus wszelkie należne podatki, tytułem zadośćuczynienia za szkodę niemajątkową, przeliczoną na walutę pozwanego państwa według kursu obowiązującego w dniu płatności;</w:t>
      </w:r>
    </w:p>
    <w:p w14:paraId="74F83592" w14:textId="438451A1" w:rsidR="00E70AE3" w:rsidRPr="0058055F" w:rsidRDefault="00617058" w:rsidP="00617058">
      <w:pPr>
        <w:pStyle w:val="JuLista"/>
        <w:numPr>
          <w:ilvl w:val="0"/>
          <w:numId w:val="0"/>
        </w:numPr>
        <w:tabs>
          <w:tab w:val="left" w:pos="680"/>
        </w:tabs>
        <w:ind w:left="680" w:hanging="340"/>
        <w:rPr>
          <w:lang w:val="pl-PL"/>
        </w:rPr>
      </w:pPr>
      <w:r w:rsidRPr="0058055F">
        <w:rPr>
          <w:lang w:val="pl-PL"/>
        </w:rPr>
        <w:t>(b)</w:t>
      </w:r>
      <w:r w:rsidRPr="0058055F">
        <w:rPr>
          <w:lang w:val="pl-PL"/>
        </w:rPr>
        <w:tab/>
      </w:r>
      <w:r w:rsidR="008055D7">
        <w:rPr>
          <w:lang w:val="pl"/>
        </w:rP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712C2396" w14:textId="51BFBB61" w:rsidR="004D0EC7" w:rsidRPr="0058055F" w:rsidRDefault="00617058" w:rsidP="00617058">
      <w:pPr>
        <w:pStyle w:val="JuList"/>
        <w:numPr>
          <w:ilvl w:val="0"/>
          <w:numId w:val="0"/>
        </w:numPr>
        <w:tabs>
          <w:tab w:val="left" w:pos="340"/>
        </w:tabs>
        <w:ind w:left="340" w:hanging="340"/>
        <w:rPr>
          <w:lang w:val="pl-PL"/>
        </w:rPr>
      </w:pPr>
      <w:r w:rsidRPr="0058055F">
        <w:rPr>
          <w:lang w:val="pl-PL"/>
        </w:rPr>
        <w:lastRenderedPageBreak/>
        <w:t>6.</w:t>
      </w:r>
      <w:r w:rsidRPr="0058055F">
        <w:rPr>
          <w:lang w:val="pl-PL"/>
        </w:rPr>
        <w:tab/>
      </w:r>
      <w:r w:rsidR="008055D7">
        <w:rPr>
          <w:i/>
          <w:iCs/>
          <w:lang w:val="pl"/>
        </w:rPr>
        <w:t>oddala</w:t>
      </w:r>
      <w:r w:rsidR="008055D7">
        <w:rPr>
          <w:lang w:val="pl"/>
        </w:rPr>
        <w:t xml:space="preserve"> pozostałą część roszczenia skarżącej dotyczącą słusznego zadośćuczynienia.</w:t>
      </w:r>
    </w:p>
    <w:p w14:paraId="455E33F1" w14:textId="4479A44A" w:rsidR="008E3A08" w:rsidRPr="0058055F" w:rsidRDefault="008055D7" w:rsidP="0070271E">
      <w:pPr>
        <w:pStyle w:val="JuParaLast"/>
        <w:rPr>
          <w:lang w:val="pl-PL"/>
        </w:rPr>
      </w:pPr>
      <w:r>
        <w:rPr>
          <w:lang w:val="pl"/>
        </w:rPr>
        <w:t xml:space="preserve">Sporządzono w języku angielskim i obwieszczono pisemnie </w:t>
      </w:r>
      <w:r>
        <w:rPr>
          <w:rFonts w:ascii="Times New Roman" w:hAnsi="Times New Roman"/>
          <w:lang w:val="pl"/>
        </w:rPr>
        <w:t>26 października 2023 r.</w:t>
      </w:r>
      <w:r>
        <w:rPr>
          <w:lang w:val="pl"/>
        </w:rPr>
        <w:t>, zgodnie z Regułą 77 §§ 2 i 3 Regulaminu Trybunału.</w:t>
      </w:r>
    </w:p>
    <w:p w14:paraId="49FB8788" w14:textId="77777777" w:rsidR="007E79A4" w:rsidRPr="0058055F" w:rsidRDefault="008055D7" w:rsidP="0070271E">
      <w:pPr>
        <w:pStyle w:val="ECHRPlaceholder"/>
        <w:jc w:val="both"/>
        <w:rPr>
          <w:szCs w:val="22"/>
          <w:lang w:val="pl-PL"/>
        </w:rPr>
      </w:pPr>
      <w:r>
        <w:rPr>
          <w:lang w:val="pl"/>
        </w:rPr>
        <w:tab/>
      </w:r>
    </w:p>
    <w:p w14:paraId="518B4439" w14:textId="77777777" w:rsidR="007E79A4" w:rsidRPr="0058055F" w:rsidRDefault="008055D7" w:rsidP="0070271E">
      <w:pPr>
        <w:pStyle w:val="JuSigned"/>
        <w:rPr>
          <w:lang w:val="pl-PL"/>
        </w:rPr>
      </w:pPr>
      <w:r>
        <w:rPr>
          <w:lang w:val="pl"/>
        </w:rPr>
        <w:tab/>
      </w:r>
      <w:proofErr w:type="spellStart"/>
      <w:r>
        <w:rPr>
          <w:lang w:val="pl"/>
        </w:rPr>
        <w:t>Liv</w:t>
      </w:r>
      <w:proofErr w:type="spellEnd"/>
      <w:r>
        <w:rPr>
          <w:lang w:val="pl"/>
        </w:rPr>
        <w:t xml:space="preserve"> </w:t>
      </w:r>
      <w:proofErr w:type="spellStart"/>
      <w:r>
        <w:rPr>
          <w:lang w:val="pl"/>
        </w:rPr>
        <w:t>Tigerstedt</w:t>
      </w:r>
      <w:proofErr w:type="spellEnd"/>
      <w:r>
        <w:rPr>
          <w:lang w:val="pl"/>
        </w:rPr>
        <w:tab/>
        <w:t xml:space="preserve">Marko </w:t>
      </w:r>
      <w:proofErr w:type="spellStart"/>
      <w:r>
        <w:rPr>
          <w:lang w:val="pl"/>
        </w:rPr>
        <w:t>Bošnjak</w:t>
      </w:r>
      <w:proofErr w:type="spellEnd"/>
      <w:r>
        <w:rPr>
          <w:lang w:val="pl"/>
        </w:rPr>
        <w:br/>
      </w:r>
      <w:r>
        <w:rPr>
          <w:lang w:val="pl"/>
        </w:rPr>
        <w:tab/>
        <w:t>Zastępca Kanclerza</w:t>
      </w:r>
      <w:r>
        <w:rPr>
          <w:lang w:val="pl"/>
        </w:rPr>
        <w:tab/>
        <w:t>Przewodniczący</w:t>
      </w:r>
    </w:p>
    <w:p w14:paraId="66C5140C" w14:textId="77777777" w:rsidR="00675AF2" w:rsidRPr="0058055F" w:rsidRDefault="00675AF2" w:rsidP="0070271E">
      <w:pPr>
        <w:pStyle w:val="JuPara"/>
        <w:rPr>
          <w:lang w:val="pl-PL"/>
        </w:rPr>
      </w:pPr>
    </w:p>
    <w:p w14:paraId="319F0C4B" w14:textId="77777777" w:rsidR="00182EBA" w:rsidRPr="0058055F" w:rsidRDefault="00182EBA" w:rsidP="0070271E">
      <w:pPr>
        <w:rPr>
          <w:lang w:val="pl-PL"/>
        </w:rPr>
      </w:pPr>
    </w:p>
    <w:sectPr w:rsidR="00182EBA" w:rsidRPr="0058055F"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53887" w14:textId="77777777" w:rsidR="00E81271" w:rsidRDefault="00E81271">
      <w:r>
        <w:separator/>
      </w:r>
    </w:p>
  </w:endnote>
  <w:endnote w:type="continuationSeparator" w:id="0">
    <w:p w14:paraId="41318628" w14:textId="77777777" w:rsidR="00E81271" w:rsidRDefault="00E81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A05A3" w14:textId="77777777" w:rsidR="00E70AE3" w:rsidRDefault="00E70AE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D532C" w14:textId="77777777" w:rsidR="00E70AE3" w:rsidRPr="00150BFA" w:rsidRDefault="008055D7" w:rsidP="0020718E">
    <w:pPr>
      <w:jc w:val="center"/>
    </w:pPr>
    <w:r>
      <w:rPr>
        <w:noProof/>
        <w:lang w:val="pl"/>
      </w:rPr>
      <w:drawing>
        <wp:inline distT="0" distB="0" distL="0" distR="0" wp14:anchorId="6316BB1D" wp14:editId="7A15432A">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102C7263" w14:textId="77777777" w:rsidR="0098410D" w:rsidRPr="00E67565" w:rsidRDefault="0098410D"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E5156" w14:textId="77777777" w:rsidR="00E70AE3" w:rsidRPr="00150BFA" w:rsidRDefault="008055D7" w:rsidP="0020718E">
    <w:pPr>
      <w:jc w:val="center"/>
    </w:pPr>
    <w:r>
      <w:rPr>
        <w:noProof/>
        <w:lang w:val="pl"/>
      </w:rPr>
      <w:drawing>
        <wp:inline distT="0" distB="0" distL="0" distR="0" wp14:anchorId="0C3E0DCC" wp14:editId="43A4036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6163559D" w14:textId="77777777" w:rsidR="009E7A6F" w:rsidRPr="00E67565" w:rsidRDefault="009E7A6F"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44E0A" w14:textId="77777777" w:rsidR="00182EBA" w:rsidRDefault="008055D7"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4</w:t>
    </w:r>
    <w:r>
      <w:rPr>
        <w:rStyle w:val="Numerstrony"/>
        <w:lang w:val="pl"/>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C7C2B" w14:textId="77777777" w:rsidR="00182EBA" w:rsidRPr="000B7195" w:rsidRDefault="008055D7" w:rsidP="007D3701">
    <w:pPr>
      <w:pStyle w:val="JuHeader"/>
    </w:pPr>
    <w:r>
      <w:rPr>
        <w:lang w:val="pl"/>
      </w:rPr>
      <w:fldChar w:fldCharType="begin"/>
    </w:r>
    <w:r>
      <w:rPr>
        <w:lang w:val="pl"/>
      </w:rPr>
      <w:instrText xml:space="preserve"> PAGE </w:instrText>
    </w:r>
    <w:r>
      <w:rPr>
        <w:lang w:val="pl"/>
      </w:rPr>
      <w:fldChar w:fldCharType="separate"/>
    </w:r>
    <w:r>
      <w:rPr>
        <w:noProof/>
        <w:lang w:val="pl"/>
      </w:rPr>
      <w:t>4</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B3611" w14:textId="77777777" w:rsidR="00E81271" w:rsidRDefault="00E81271">
      <w:r>
        <w:separator/>
      </w:r>
    </w:p>
  </w:footnote>
  <w:footnote w:type="continuationSeparator" w:id="0">
    <w:p w14:paraId="1C07024E" w14:textId="77777777" w:rsidR="00E81271" w:rsidRDefault="00E812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F6053" w14:textId="77777777" w:rsidR="00E70AE3" w:rsidRDefault="00E70AE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6D35D" w14:textId="77777777" w:rsidR="00E70AE3" w:rsidRPr="00A45145" w:rsidRDefault="008055D7" w:rsidP="00A45145">
    <w:pPr>
      <w:jc w:val="center"/>
    </w:pPr>
    <w:r>
      <w:rPr>
        <w:noProof/>
        <w:lang w:val="pl"/>
      </w:rPr>
      <w:drawing>
        <wp:inline distT="0" distB="0" distL="0" distR="0" wp14:anchorId="1FC2F4B9" wp14:editId="153310C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47F755CD" w14:textId="77777777" w:rsidR="0098410D" w:rsidRPr="00E67565" w:rsidRDefault="0098410D"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F1FA2" w14:textId="77777777" w:rsidR="00E70AE3" w:rsidRPr="00A45145" w:rsidRDefault="008055D7" w:rsidP="00A45145">
    <w:pPr>
      <w:jc w:val="center"/>
    </w:pPr>
    <w:r>
      <w:rPr>
        <w:noProof/>
        <w:lang w:val="pl"/>
      </w:rPr>
      <w:drawing>
        <wp:inline distT="0" distB="0" distL="0" distR="0" wp14:anchorId="1CBE9739" wp14:editId="56BC2E03">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3C6D57B4" w14:textId="77777777" w:rsidR="0098410D" w:rsidRPr="00E67565" w:rsidRDefault="0098410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B6AD7" w14:textId="77777777" w:rsidR="00182EBA" w:rsidRPr="004D0EC7" w:rsidRDefault="008055D7" w:rsidP="004D0EC7">
    <w:pPr>
      <w:pStyle w:val="JuHeader"/>
    </w:pPr>
    <w:r>
      <w:rPr>
        <w:lang w:val="pl"/>
      </w:rPr>
      <w:t>WYROK K.P.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0E63A" w14:textId="77777777" w:rsidR="00182EBA" w:rsidRPr="00882CD5" w:rsidRDefault="008055D7" w:rsidP="007D3701">
    <w:pPr>
      <w:pStyle w:val="JuHeader"/>
    </w:pPr>
    <w:r>
      <w:rPr>
        <w:lang w:val="pl"/>
      </w:rPr>
      <w:t>WYROK K.P.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D87A6884">
      <w:start w:val="1"/>
      <w:numFmt w:val="bullet"/>
      <w:pStyle w:val="Listapunktowana"/>
      <w:lvlText w:val=""/>
      <w:lvlJc w:val="left"/>
      <w:pPr>
        <w:tabs>
          <w:tab w:val="num" w:pos="851"/>
        </w:tabs>
        <w:ind w:left="568" w:firstLine="0"/>
      </w:pPr>
      <w:rPr>
        <w:rFonts w:ascii="Wingdings" w:hAnsi="Wingdings" w:hint="default"/>
        <w:color w:val="808080"/>
        <w:sz w:val="16"/>
      </w:rPr>
    </w:lvl>
    <w:lvl w:ilvl="1" w:tplc="F3189F1C" w:tentative="1">
      <w:start w:val="1"/>
      <w:numFmt w:val="bullet"/>
      <w:lvlText w:val="o"/>
      <w:lvlJc w:val="left"/>
      <w:pPr>
        <w:tabs>
          <w:tab w:val="num" w:pos="1724"/>
        </w:tabs>
        <w:ind w:left="1724" w:hanging="360"/>
      </w:pPr>
      <w:rPr>
        <w:rFonts w:ascii="Courier New" w:hAnsi="Courier New" w:cs="Courier New" w:hint="default"/>
      </w:rPr>
    </w:lvl>
    <w:lvl w:ilvl="2" w:tplc="5E0429D0" w:tentative="1">
      <w:start w:val="1"/>
      <w:numFmt w:val="bullet"/>
      <w:lvlText w:val=""/>
      <w:lvlJc w:val="left"/>
      <w:pPr>
        <w:tabs>
          <w:tab w:val="num" w:pos="2444"/>
        </w:tabs>
        <w:ind w:left="2444" w:hanging="360"/>
      </w:pPr>
      <w:rPr>
        <w:rFonts w:ascii="Wingdings" w:hAnsi="Wingdings" w:hint="default"/>
      </w:rPr>
    </w:lvl>
    <w:lvl w:ilvl="3" w:tplc="9ADEC5CE" w:tentative="1">
      <w:start w:val="1"/>
      <w:numFmt w:val="bullet"/>
      <w:lvlText w:val=""/>
      <w:lvlJc w:val="left"/>
      <w:pPr>
        <w:tabs>
          <w:tab w:val="num" w:pos="3164"/>
        </w:tabs>
        <w:ind w:left="3164" w:hanging="360"/>
      </w:pPr>
      <w:rPr>
        <w:rFonts w:ascii="Symbol" w:hAnsi="Symbol" w:hint="default"/>
      </w:rPr>
    </w:lvl>
    <w:lvl w:ilvl="4" w:tplc="1F4C0D98" w:tentative="1">
      <w:start w:val="1"/>
      <w:numFmt w:val="bullet"/>
      <w:lvlText w:val="o"/>
      <w:lvlJc w:val="left"/>
      <w:pPr>
        <w:tabs>
          <w:tab w:val="num" w:pos="3884"/>
        </w:tabs>
        <w:ind w:left="3884" w:hanging="360"/>
      </w:pPr>
      <w:rPr>
        <w:rFonts w:ascii="Courier New" w:hAnsi="Courier New" w:cs="Courier New" w:hint="default"/>
      </w:rPr>
    </w:lvl>
    <w:lvl w:ilvl="5" w:tplc="D526BB54" w:tentative="1">
      <w:start w:val="1"/>
      <w:numFmt w:val="bullet"/>
      <w:lvlText w:val=""/>
      <w:lvlJc w:val="left"/>
      <w:pPr>
        <w:tabs>
          <w:tab w:val="num" w:pos="4604"/>
        </w:tabs>
        <w:ind w:left="4604" w:hanging="360"/>
      </w:pPr>
      <w:rPr>
        <w:rFonts w:ascii="Wingdings" w:hAnsi="Wingdings" w:hint="default"/>
      </w:rPr>
    </w:lvl>
    <w:lvl w:ilvl="6" w:tplc="2F8ED9BE" w:tentative="1">
      <w:start w:val="1"/>
      <w:numFmt w:val="bullet"/>
      <w:lvlText w:val=""/>
      <w:lvlJc w:val="left"/>
      <w:pPr>
        <w:tabs>
          <w:tab w:val="num" w:pos="5324"/>
        </w:tabs>
        <w:ind w:left="5324" w:hanging="360"/>
      </w:pPr>
      <w:rPr>
        <w:rFonts w:ascii="Symbol" w:hAnsi="Symbol" w:hint="default"/>
      </w:rPr>
    </w:lvl>
    <w:lvl w:ilvl="7" w:tplc="E0189932" w:tentative="1">
      <w:start w:val="1"/>
      <w:numFmt w:val="bullet"/>
      <w:lvlText w:val="o"/>
      <w:lvlJc w:val="left"/>
      <w:pPr>
        <w:tabs>
          <w:tab w:val="num" w:pos="6044"/>
        </w:tabs>
        <w:ind w:left="6044" w:hanging="360"/>
      </w:pPr>
      <w:rPr>
        <w:rFonts w:ascii="Courier New" w:hAnsi="Courier New" w:cs="Courier New" w:hint="default"/>
      </w:rPr>
    </w:lvl>
    <w:lvl w:ilvl="8" w:tplc="C06C7462"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394307378">
    <w:abstractNumId w:val="19"/>
  </w:num>
  <w:num w:numId="2" w16cid:durableId="717170804">
    <w:abstractNumId w:val="17"/>
  </w:num>
  <w:num w:numId="3" w16cid:durableId="147984496">
    <w:abstractNumId w:val="14"/>
  </w:num>
  <w:num w:numId="4" w16cid:durableId="840042178">
    <w:abstractNumId w:val="12"/>
  </w:num>
  <w:num w:numId="5" w16cid:durableId="566845072">
    <w:abstractNumId w:val="11"/>
  </w:num>
  <w:num w:numId="6" w16cid:durableId="1955404282">
    <w:abstractNumId w:val="18"/>
  </w:num>
  <w:num w:numId="7" w16cid:durableId="1849562886">
    <w:abstractNumId w:val="7"/>
  </w:num>
  <w:num w:numId="8" w16cid:durableId="1956130223">
    <w:abstractNumId w:val="6"/>
  </w:num>
  <w:num w:numId="9" w16cid:durableId="319621978">
    <w:abstractNumId w:val="5"/>
  </w:num>
  <w:num w:numId="10" w16cid:durableId="84963905">
    <w:abstractNumId w:val="4"/>
  </w:num>
  <w:num w:numId="11" w16cid:durableId="680815094">
    <w:abstractNumId w:val="8"/>
  </w:num>
  <w:num w:numId="12" w16cid:durableId="1981687308">
    <w:abstractNumId w:val="3"/>
  </w:num>
  <w:num w:numId="13" w16cid:durableId="1606107933">
    <w:abstractNumId w:val="2"/>
  </w:num>
  <w:num w:numId="14" w16cid:durableId="1672296818">
    <w:abstractNumId w:val="1"/>
  </w:num>
  <w:num w:numId="15" w16cid:durableId="633218104">
    <w:abstractNumId w:val="0"/>
  </w:num>
  <w:num w:numId="16" w16cid:durableId="1876193049">
    <w:abstractNumId w:val="15"/>
  </w:num>
  <w:num w:numId="17" w16cid:durableId="699166826">
    <w:abstractNumId w:val="13"/>
  </w:num>
  <w:num w:numId="18" w16cid:durableId="750928626">
    <w:abstractNumId w:val="16"/>
  </w:num>
  <w:num w:numId="19" w16cid:durableId="1880120653">
    <w:abstractNumId w:val="15"/>
  </w:num>
  <w:num w:numId="20" w16cid:durableId="72288194">
    <w:abstractNumId w:val="16"/>
  </w:num>
  <w:num w:numId="21" w16cid:durableId="923294204">
    <w:abstractNumId w:val="10"/>
  </w:num>
  <w:num w:numId="22" w16cid:durableId="493037738">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 w:name="Plural" w:val="0"/>
  </w:docVars>
  <w:rsids>
    <w:rsidRoot w:val="00E70AE3"/>
    <w:rsid w:val="000041F8"/>
    <w:rsid w:val="000042A8"/>
    <w:rsid w:val="00004308"/>
    <w:rsid w:val="00005BF0"/>
    <w:rsid w:val="0000617D"/>
    <w:rsid w:val="00007154"/>
    <w:rsid w:val="000103AE"/>
    <w:rsid w:val="00011D69"/>
    <w:rsid w:val="00012AD3"/>
    <w:rsid w:val="00012DE8"/>
    <w:rsid w:val="000146DD"/>
    <w:rsid w:val="00015C2D"/>
    <w:rsid w:val="00015F00"/>
    <w:rsid w:val="00022C1D"/>
    <w:rsid w:val="0002592F"/>
    <w:rsid w:val="00027EE2"/>
    <w:rsid w:val="00031428"/>
    <w:rsid w:val="00034987"/>
    <w:rsid w:val="00041560"/>
    <w:rsid w:val="000602DF"/>
    <w:rsid w:val="000607F7"/>
    <w:rsid w:val="00061B05"/>
    <w:rsid w:val="000632D5"/>
    <w:rsid w:val="000644EE"/>
    <w:rsid w:val="000712E3"/>
    <w:rsid w:val="0007780A"/>
    <w:rsid w:val="00085457"/>
    <w:rsid w:val="000925AD"/>
    <w:rsid w:val="00096B33"/>
    <w:rsid w:val="00096FE1"/>
    <w:rsid w:val="00097A62"/>
    <w:rsid w:val="000A1849"/>
    <w:rsid w:val="000A24EB"/>
    <w:rsid w:val="000B686A"/>
    <w:rsid w:val="000B6923"/>
    <w:rsid w:val="000B7195"/>
    <w:rsid w:val="000C5F3C"/>
    <w:rsid w:val="000C6DCC"/>
    <w:rsid w:val="000D07B6"/>
    <w:rsid w:val="000D47AA"/>
    <w:rsid w:val="000D624F"/>
    <w:rsid w:val="000D721F"/>
    <w:rsid w:val="000E069B"/>
    <w:rsid w:val="000E0E82"/>
    <w:rsid w:val="000E1DC5"/>
    <w:rsid w:val="000E223F"/>
    <w:rsid w:val="000E2934"/>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748F6"/>
    <w:rsid w:val="00182EBA"/>
    <w:rsid w:val="001832BD"/>
    <w:rsid w:val="001914AB"/>
    <w:rsid w:val="001923CA"/>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2A0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514D"/>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D7D2C"/>
    <w:rsid w:val="002E46DA"/>
    <w:rsid w:val="002E7764"/>
    <w:rsid w:val="002F2AF7"/>
    <w:rsid w:val="002F69C4"/>
    <w:rsid w:val="002F7D9E"/>
    <w:rsid w:val="002F7E1C"/>
    <w:rsid w:val="00301143"/>
    <w:rsid w:val="00301A75"/>
    <w:rsid w:val="00302F70"/>
    <w:rsid w:val="0030336F"/>
    <w:rsid w:val="0030375E"/>
    <w:rsid w:val="00312A30"/>
    <w:rsid w:val="003201D8"/>
    <w:rsid w:val="00320F72"/>
    <w:rsid w:val="0032463E"/>
    <w:rsid w:val="00326224"/>
    <w:rsid w:val="00335B8D"/>
    <w:rsid w:val="00337EE4"/>
    <w:rsid w:val="00340FFD"/>
    <w:rsid w:val="00345C41"/>
    <w:rsid w:val="003506B1"/>
    <w:rsid w:val="00355877"/>
    <w:rsid w:val="00356AC7"/>
    <w:rsid w:val="003609FA"/>
    <w:rsid w:val="003710C8"/>
    <w:rsid w:val="003750BE"/>
    <w:rsid w:val="00385A36"/>
    <w:rsid w:val="00385F3D"/>
    <w:rsid w:val="00386DF6"/>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2E1D"/>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BCD"/>
    <w:rsid w:val="00477E3A"/>
    <w:rsid w:val="00483E5F"/>
    <w:rsid w:val="0048534D"/>
    <w:rsid w:val="00485FF9"/>
    <w:rsid w:val="004864DD"/>
    <w:rsid w:val="0049049B"/>
    <w:rsid w:val="004907F0"/>
    <w:rsid w:val="0049140B"/>
    <w:rsid w:val="004923A5"/>
    <w:rsid w:val="0049310E"/>
    <w:rsid w:val="004950E2"/>
    <w:rsid w:val="00496151"/>
    <w:rsid w:val="00496BFB"/>
    <w:rsid w:val="004A15C7"/>
    <w:rsid w:val="004A3201"/>
    <w:rsid w:val="004A7044"/>
    <w:rsid w:val="004B013B"/>
    <w:rsid w:val="004B112B"/>
    <w:rsid w:val="004B444E"/>
    <w:rsid w:val="004C01E4"/>
    <w:rsid w:val="004C086C"/>
    <w:rsid w:val="004C1F56"/>
    <w:rsid w:val="004C1FEA"/>
    <w:rsid w:val="004C27BC"/>
    <w:rsid w:val="004C3738"/>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0D94"/>
    <w:rsid w:val="00511C07"/>
    <w:rsid w:val="005125CB"/>
    <w:rsid w:val="00512EC4"/>
    <w:rsid w:val="00513B38"/>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37F18"/>
    <w:rsid w:val="005442EE"/>
    <w:rsid w:val="00545DA6"/>
    <w:rsid w:val="00547353"/>
    <w:rsid w:val="005474E7"/>
    <w:rsid w:val="005512A3"/>
    <w:rsid w:val="005578CE"/>
    <w:rsid w:val="00562781"/>
    <w:rsid w:val="00562B6C"/>
    <w:rsid w:val="0057271C"/>
    <w:rsid w:val="00572845"/>
    <w:rsid w:val="0058055F"/>
    <w:rsid w:val="005879A2"/>
    <w:rsid w:val="00587C9A"/>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17058"/>
    <w:rsid w:val="00620692"/>
    <w:rsid w:val="006242CA"/>
    <w:rsid w:val="00627507"/>
    <w:rsid w:val="00633717"/>
    <w:rsid w:val="006344E1"/>
    <w:rsid w:val="00634866"/>
    <w:rsid w:val="00636D6F"/>
    <w:rsid w:val="0064317D"/>
    <w:rsid w:val="00643524"/>
    <w:rsid w:val="0064393B"/>
    <w:rsid w:val="00645CF2"/>
    <w:rsid w:val="006545C4"/>
    <w:rsid w:val="00661971"/>
    <w:rsid w:val="00661CE8"/>
    <w:rsid w:val="006623D9"/>
    <w:rsid w:val="006642A5"/>
    <w:rsid w:val="0066550C"/>
    <w:rsid w:val="00665BD2"/>
    <w:rsid w:val="006716F2"/>
    <w:rsid w:val="00672554"/>
    <w:rsid w:val="00672C7E"/>
    <w:rsid w:val="00675AF2"/>
    <w:rsid w:val="00682BF2"/>
    <w:rsid w:val="0068573E"/>
    <w:rsid w:val="006859CE"/>
    <w:rsid w:val="00691270"/>
    <w:rsid w:val="00694BA8"/>
    <w:rsid w:val="006A037C"/>
    <w:rsid w:val="006A0C84"/>
    <w:rsid w:val="006A36F4"/>
    <w:rsid w:val="006A406F"/>
    <w:rsid w:val="006A4E97"/>
    <w:rsid w:val="006A5D3A"/>
    <w:rsid w:val="006B18FC"/>
    <w:rsid w:val="006B1942"/>
    <w:rsid w:val="006B2EC6"/>
    <w:rsid w:val="006C23D4"/>
    <w:rsid w:val="006C7BB0"/>
    <w:rsid w:val="006D3237"/>
    <w:rsid w:val="006E2E37"/>
    <w:rsid w:val="006E3CF1"/>
    <w:rsid w:val="006E68A3"/>
    <w:rsid w:val="006E7E80"/>
    <w:rsid w:val="006F1C2D"/>
    <w:rsid w:val="006F48CA"/>
    <w:rsid w:val="006F64DD"/>
    <w:rsid w:val="006F712D"/>
    <w:rsid w:val="0070271E"/>
    <w:rsid w:val="00711A29"/>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5AD3"/>
    <w:rsid w:val="0079666C"/>
    <w:rsid w:val="007A716F"/>
    <w:rsid w:val="007B270A"/>
    <w:rsid w:val="007B3527"/>
    <w:rsid w:val="007B4182"/>
    <w:rsid w:val="007C0695"/>
    <w:rsid w:val="007C419A"/>
    <w:rsid w:val="007C4CC8"/>
    <w:rsid w:val="007C5426"/>
    <w:rsid w:val="007C5798"/>
    <w:rsid w:val="007C5E7D"/>
    <w:rsid w:val="007C7469"/>
    <w:rsid w:val="007D1ECD"/>
    <w:rsid w:val="007D3701"/>
    <w:rsid w:val="007D4832"/>
    <w:rsid w:val="007E084E"/>
    <w:rsid w:val="007E21B2"/>
    <w:rsid w:val="007E2C4E"/>
    <w:rsid w:val="007E2C8C"/>
    <w:rsid w:val="007E51BA"/>
    <w:rsid w:val="007E73D7"/>
    <w:rsid w:val="007E79A4"/>
    <w:rsid w:val="007F1905"/>
    <w:rsid w:val="007F27E4"/>
    <w:rsid w:val="007F3437"/>
    <w:rsid w:val="00802C64"/>
    <w:rsid w:val="008055D7"/>
    <w:rsid w:val="00805E52"/>
    <w:rsid w:val="008061D0"/>
    <w:rsid w:val="00810B38"/>
    <w:rsid w:val="008204C7"/>
    <w:rsid w:val="00820992"/>
    <w:rsid w:val="00823602"/>
    <w:rsid w:val="008255F5"/>
    <w:rsid w:val="00826890"/>
    <w:rsid w:val="0083014E"/>
    <w:rsid w:val="008315E4"/>
    <w:rsid w:val="0083214A"/>
    <w:rsid w:val="00834220"/>
    <w:rsid w:val="00834224"/>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C5A18"/>
    <w:rsid w:val="008D1668"/>
    <w:rsid w:val="008D2225"/>
    <w:rsid w:val="008D4752"/>
    <w:rsid w:val="008D5A13"/>
    <w:rsid w:val="008E271C"/>
    <w:rsid w:val="008E3A08"/>
    <w:rsid w:val="008E418E"/>
    <w:rsid w:val="008E5A6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52C8"/>
    <w:rsid w:val="009066FC"/>
    <w:rsid w:val="009140A3"/>
    <w:rsid w:val="009144A2"/>
    <w:rsid w:val="0091510C"/>
    <w:rsid w:val="009259AC"/>
    <w:rsid w:val="00926F38"/>
    <w:rsid w:val="00927BEB"/>
    <w:rsid w:val="009333DC"/>
    <w:rsid w:val="00934301"/>
    <w:rsid w:val="00935A76"/>
    <w:rsid w:val="009361B5"/>
    <w:rsid w:val="00936CD1"/>
    <w:rsid w:val="0094131C"/>
    <w:rsid w:val="00941747"/>
    <w:rsid w:val="00941EFB"/>
    <w:rsid w:val="00947AFB"/>
    <w:rsid w:val="00951AA3"/>
    <w:rsid w:val="00951D7D"/>
    <w:rsid w:val="00956D0C"/>
    <w:rsid w:val="009630C7"/>
    <w:rsid w:val="00972B55"/>
    <w:rsid w:val="009743B7"/>
    <w:rsid w:val="0098228B"/>
    <w:rsid w:val="009828DA"/>
    <w:rsid w:val="0098339C"/>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96B"/>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29E6"/>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3183"/>
    <w:rsid w:val="00B14793"/>
    <w:rsid w:val="00B153A0"/>
    <w:rsid w:val="00B160DB"/>
    <w:rsid w:val="00B20836"/>
    <w:rsid w:val="00B235BB"/>
    <w:rsid w:val="00B27A44"/>
    <w:rsid w:val="00B30BBF"/>
    <w:rsid w:val="00B33C03"/>
    <w:rsid w:val="00B4233F"/>
    <w:rsid w:val="00B4421F"/>
    <w:rsid w:val="00B44E56"/>
    <w:rsid w:val="00B45917"/>
    <w:rsid w:val="00B46543"/>
    <w:rsid w:val="00B47D33"/>
    <w:rsid w:val="00B52BE0"/>
    <w:rsid w:val="00B54133"/>
    <w:rsid w:val="00B55A8D"/>
    <w:rsid w:val="00B701ED"/>
    <w:rsid w:val="00B744C9"/>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0D5"/>
    <w:rsid w:val="00BC6BBF"/>
    <w:rsid w:val="00BD1572"/>
    <w:rsid w:val="00BE14E3"/>
    <w:rsid w:val="00BE3774"/>
    <w:rsid w:val="00BE41E5"/>
    <w:rsid w:val="00BE4CE2"/>
    <w:rsid w:val="00BF118F"/>
    <w:rsid w:val="00BF4109"/>
    <w:rsid w:val="00BF4CC3"/>
    <w:rsid w:val="00C054C7"/>
    <w:rsid w:val="00C057B5"/>
    <w:rsid w:val="00C05EC0"/>
    <w:rsid w:val="00C07D0E"/>
    <w:rsid w:val="00C115C3"/>
    <w:rsid w:val="00C15547"/>
    <w:rsid w:val="00C1672D"/>
    <w:rsid w:val="00C22687"/>
    <w:rsid w:val="00C26A92"/>
    <w:rsid w:val="00C26B1C"/>
    <w:rsid w:val="00C31CF2"/>
    <w:rsid w:val="00C32E4D"/>
    <w:rsid w:val="00C333A0"/>
    <w:rsid w:val="00C36A81"/>
    <w:rsid w:val="00C41974"/>
    <w:rsid w:val="00C44A2C"/>
    <w:rsid w:val="00C44F09"/>
    <w:rsid w:val="00C477F7"/>
    <w:rsid w:val="00C509A6"/>
    <w:rsid w:val="00C53F4A"/>
    <w:rsid w:val="00C54125"/>
    <w:rsid w:val="00C55B54"/>
    <w:rsid w:val="00C577E0"/>
    <w:rsid w:val="00C6098E"/>
    <w:rsid w:val="00C6152C"/>
    <w:rsid w:val="00C71424"/>
    <w:rsid w:val="00C74810"/>
    <w:rsid w:val="00C870F6"/>
    <w:rsid w:val="00C90D68"/>
    <w:rsid w:val="00C939FE"/>
    <w:rsid w:val="00CA4BDA"/>
    <w:rsid w:val="00CB13E3"/>
    <w:rsid w:val="00CB1F66"/>
    <w:rsid w:val="00CB232C"/>
    <w:rsid w:val="00CB2951"/>
    <w:rsid w:val="00CB3BCB"/>
    <w:rsid w:val="00CB4277"/>
    <w:rsid w:val="00CC3D37"/>
    <w:rsid w:val="00CC5067"/>
    <w:rsid w:val="00CD11D3"/>
    <w:rsid w:val="00CD282B"/>
    <w:rsid w:val="00CD447B"/>
    <w:rsid w:val="00CD4C35"/>
    <w:rsid w:val="00CD7369"/>
    <w:rsid w:val="00CE0B0E"/>
    <w:rsid w:val="00CE3831"/>
    <w:rsid w:val="00CF2397"/>
    <w:rsid w:val="00CF60A0"/>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80F"/>
    <w:rsid w:val="00D57A4D"/>
    <w:rsid w:val="00D60AA7"/>
    <w:rsid w:val="00D6435F"/>
    <w:rsid w:val="00D66471"/>
    <w:rsid w:val="00D669D4"/>
    <w:rsid w:val="00D70641"/>
    <w:rsid w:val="00D74888"/>
    <w:rsid w:val="00D7488B"/>
    <w:rsid w:val="00D75E28"/>
    <w:rsid w:val="00D772C2"/>
    <w:rsid w:val="00D8008E"/>
    <w:rsid w:val="00D82C45"/>
    <w:rsid w:val="00D83146"/>
    <w:rsid w:val="00D908A8"/>
    <w:rsid w:val="00D95D8C"/>
    <w:rsid w:val="00D977B6"/>
    <w:rsid w:val="00DA1223"/>
    <w:rsid w:val="00DA4A31"/>
    <w:rsid w:val="00DA7B04"/>
    <w:rsid w:val="00DA7F12"/>
    <w:rsid w:val="00DB36C2"/>
    <w:rsid w:val="00DC00A8"/>
    <w:rsid w:val="00DC169B"/>
    <w:rsid w:val="00DC2AB9"/>
    <w:rsid w:val="00DC2B2C"/>
    <w:rsid w:val="00DC63F0"/>
    <w:rsid w:val="00DD0930"/>
    <w:rsid w:val="00DD37EA"/>
    <w:rsid w:val="00DD6EE5"/>
    <w:rsid w:val="00DE386C"/>
    <w:rsid w:val="00DE4D35"/>
    <w:rsid w:val="00DF098B"/>
    <w:rsid w:val="00DF11C4"/>
    <w:rsid w:val="00DF210C"/>
    <w:rsid w:val="00DF4B6A"/>
    <w:rsid w:val="00E004C0"/>
    <w:rsid w:val="00E00ED2"/>
    <w:rsid w:val="00E02C09"/>
    <w:rsid w:val="00E04A36"/>
    <w:rsid w:val="00E04D59"/>
    <w:rsid w:val="00E07DA1"/>
    <w:rsid w:val="00E12121"/>
    <w:rsid w:val="00E123CB"/>
    <w:rsid w:val="00E13B09"/>
    <w:rsid w:val="00E20E13"/>
    <w:rsid w:val="00E21DBC"/>
    <w:rsid w:val="00E275D7"/>
    <w:rsid w:val="00E27DBE"/>
    <w:rsid w:val="00E32AB1"/>
    <w:rsid w:val="00E3581D"/>
    <w:rsid w:val="00E36C71"/>
    <w:rsid w:val="00E40404"/>
    <w:rsid w:val="00E4126A"/>
    <w:rsid w:val="00E42A06"/>
    <w:rsid w:val="00E45147"/>
    <w:rsid w:val="00E459C6"/>
    <w:rsid w:val="00E47589"/>
    <w:rsid w:val="00E557AA"/>
    <w:rsid w:val="00E63EC7"/>
    <w:rsid w:val="00E64915"/>
    <w:rsid w:val="00E64D3A"/>
    <w:rsid w:val="00E661D4"/>
    <w:rsid w:val="00E67565"/>
    <w:rsid w:val="00E70091"/>
    <w:rsid w:val="00E70AE3"/>
    <w:rsid w:val="00E70D2E"/>
    <w:rsid w:val="00E720F5"/>
    <w:rsid w:val="00E744E0"/>
    <w:rsid w:val="00E74C37"/>
    <w:rsid w:val="00E76D47"/>
    <w:rsid w:val="00E81271"/>
    <w:rsid w:val="00E827BC"/>
    <w:rsid w:val="00E849F7"/>
    <w:rsid w:val="00E90302"/>
    <w:rsid w:val="00E91D05"/>
    <w:rsid w:val="00E9262D"/>
    <w:rsid w:val="00E94245"/>
    <w:rsid w:val="00E95226"/>
    <w:rsid w:val="00E95C1E"/>
    <w:rsid w:val="00E97396"/>
    <w:rsid w:val="00EA185E"/>
    <w:rsid w:val="00EA592A"/>
    <w:rsid w:val="00EB14E4"/>
    <w:rsid w:val="00EB32A5"/>
    <w:rsid w:val="00EB34ED"/>
    <w:rsid w:val="00EB447C"/>
    <w:rsid w:val="00EB7BE0"/>
    <w:rsid w:val="00EC0448"/>
    <w:rsid w:val="00EC315E"/>
    <w:rsid w:val="00ED077C"/>
    <w:rsid w:val="00ED10A9"/>
    <w:rsid w:val="00ED1190"/>
    <w:rsid w:val="00ED34AC"/>
    <w:rsid w:val="00ED6544"/>
    <w:rsid w:val="00EE0277"/>
    <w:rsid w:val="00EE2899"/>
    <w:rsid w:val="00EE3E00"/>
    <w:rsid w:val="00EE5DD2"/>
    <w:rsid w:val="00EF36C5"/>
    <w:rsid w:val="00EF3DB4"/>
    <w:rsid w:val="00EF484E"/>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0A4C"/>
    <w:rsid w:val="00F56A6F"/>
    <w:rsid w:val="00F5709C"/>
    <w:rsid w:val="00F60B85"/>
    <w:rsid w:val="00F64EF1"/>
    <w:rsid w:val="00F72498"/>
    <w:rsid w:val="00F72B14"/>
    <w:rsid w:val="00F7349B"/>
    <w:rsid w:val="00F8765F"/>
    <w:rsid w:val="00F90767"/>
    <w:rsid w:val="00F9263C"/>
    <w:rsid w:val="00FA1637"/>
    <w:rsid w:val="00FA685B"/>
    <w:rsid w:val="00FB0C01"/>
    <w:rsid w:val="00FB10CC"/>
    <w:rsid w:val="00FB1585"/>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10A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DD0930"/>
    <w:rPr>
      <w:sz w:val="24"/>
      <w:szCs w:val="24"/>
      <w:lang w:val="en-GB"/>
    </w:rPr>
  </w:style>
  <w:style w:type="paragraph" w:styleId="Nagwek1">
    <w:name w:val="heading 1"/>
    <w:basedOn w:val="Normalny"/>
    <w:next w:val="Normalny"/>
    <w:link w:val="Nagwek1Znak"/>
    <w:uiPriority w:val="98"/>
    <w:semiHidden/>
    <w:rsid w:val="00DD093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DD093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DD0930"/>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DD0930"/>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DD0930"/>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DD093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DD0930"/>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DD093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DD093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DD0930"/>
    <w:rPr>
      <w:rFonts w:ascii="Tahoma" w:hAnsi="Tahoma" w:cs="Tahoma"/>
      <w:sz w:val="16"/>
      <w:szCs w:val="16"/>
    </w:rPr>
  </w:style>
  <w:style w:type="character" w:customStyle="1" w:styleId="TekstdymkaZnak">
    <w:name w:val="Tekst dymka Znak"/>
    <w:basedOn w:val="Domylnaczcionkaakapitu"/>
    <w:link w:val="Tekstdymka"/>
    <w:uiPriority w:val="98"/>
    <w:semiHidden/>
    <w:rsid w:val="00DD0930"/>
    <w:rPr>
      <w:rFonts w:ascii="Tahoma" w:hAnsi="Tahoma" w:cs="Tahoma"/>
      <w:sz w:val="16"/>
      <w:szCs w:val="16"/>
      <w:lang w:val="en-GB"/>
    </w:rPr>
  </w:style>
  <w:style w:type="character" w:styleId="Tytuksiki">
    <w:name w:val="Book Title"/>
    <w:uiPriority w:val="98"/>
    <w:semiHidden/>
    <w:qFormat/>
    <w:rsid w:val="00DD0930"/>
    <w:rPr>
      <w:i/>
      <w:iCs/>
      <w:smallCaps/>
      <w:spacing w:val="5"/>
    </w:rPr>
  </w:style>
  <w:style w:type="paragraph" w:customStyle="1" w:styleId="JuHeader">
    <w:name w:val="Ju_Header"/>
    <w:aliases w:val="_Header"/>
    <w:basedOn w:val="Nagwek"/>
    <w:uiPriority w:val="29"/>
    <w:qFormat/>
    <w:rsid w:val="00DD0930"/>
    <w:pPr>
      <w:tabs>
        <w:tab w:val="clear" w:pos="4536"/>
        <w:tab w:val="clear" w:pos="9072"/>
      </w:tabs>
      <w:jc w:val="center"/>
    </w:pPr>
    <w:rPr>
      <w:sz w:val="18"/>
    </w:rPr>
  </w:style>
  <w:style w:type="paragraph" w:customStyle="1" w:styleId="NormalJustified">
    <w:name w:val="Normal_Justified"/>
    <w:basedOn w:val="Normalny"/>
    <w:semiHidden/>
    <w:rsid w:val="00DD0930"/>
    <w:pPr>
      <w:jc w:val="both"/>
    </w:pPr>
  </w:style>
  <w:style w:type="character" w:styleId="Pogrubienie">
    <w:name w:val="Strong"/>
    <w:uiPriority w:val="98"/>
    <w:semiHidden/>
    <w:qFormat/>
    <w:rsid w:val="00DD0930"/>
    <w:rPr>
      <w:b/>
      <w:bCs/>
    </w:rPr>
  </w:style>
  <w:style w:type="paragraph" w:styleId="Bezodstpw">
    <w:name w:val="No Spacing"/>
    <w:basedOn w:val="Normalny"/>
    <w:link w:val="BezodstpwZnak"/>
    <w:uiPriority w:val="98"/>
    <w:semiHidden/>
    <w:qFormat/>
    <w:rsid w:val="00DD0930"/>
  </w:style>
  <w:style w:type="character" w:customStyle="1" w:styleId="BezodstpwZnak">
    <w:name w:val="Bez odstępów Znak"/>
    <w:basedOn w:val="Domylnaczcionkaakapitu"/>
    <w:link w:val="Bezodstpw"/>
    <w:uiPriority w:val="98"/>
    <w:semiHidden/>
    <w:rsid w:val="00DD0930"/>
    <w:rPr>
      <w:sz w:val="24"/>
      <w:szCs w:val="24"/>
      <w:lang w:val="en-GB"/>
    </w:rPr>
  </w:style>
  <w:style w:type="paragraph" w:customStyle="1" w:styleId="JuQuot">
    <w:name w:val="Ju_Quot"/>
    <w:aliases w:val="_Quote"/>
    <w:basedOn w:val="NormalJustified"/>
    <w:uiPriority w:val="20"/>
    <w:qFormat/>
    <w:rsid w:val="00DD0930"/>
    <w:pPr>
      <w:spacing w:before="120" w:after="120"/>
      <w:ind w:left="425" w:firstLine="142"/>
    </w:pPr>
    <w:rPr>
      <w:sz w:val="20"/>
    </w:rPr>
  </w:style>
  <w:style w:type="paragraph" w:customStyle="1" w:styleId="JuList">
    <w:name w:val="Ju_List"/>
    <w:aliases w:val="_List_1"/>
    <w:basedOn w:val="NormalJustified"/>
    <w:link w:val="JuListChar"/>
    <w:uiPriority w:val="23"/>
    <w:qFormat/>
    <w:rsid w:val="00DD0930"/>
    <w:pPr>
      <w:numPr>
        <w:numId w:val="22"/>
      </w:numPr>
      <w:spacing w:before="280" w:after="60"/>
    </w:pPr>
  </w:style>
  <w:style w:type="paragraph" w:customStyle="1" w:styleId="JuLista">
    <w:name w:val="Ju_List_a"/>
    <w:aliases w:val="_List_2"/>
    <w:basedOn w:val="NormalJustified"/>
    <w:uiPriority w:val="23"/>
    <w:rsid w:val="00DD0930"/>
    <w:pPr>
      <w:numPr>
        <w:ilvl w:val="1"/>
        <w:numId w:val="22"/>
      </w:numPr>
    </w:pPr>
  </w:style>
  <w:style w:type="paragraph" w:customStyle="1" w:styleId="JuListi">
    <w:name w:val="Ju_List_i"/>
    <w:aliases w:val="_List_3"/>
    <w:basedOn w:val="NormalJustified"/>
    <w:uiPriority w:val="23"/>
    <w:rsid w:val="00DD0930"/>
    <w:pPr>
      <w:numPr>
        <w:ilvl w:val="2"/>
        <w:numId w:val="22"/>
      </w:numPr>
    </w:pPr>
  </w:style>
  <w:style w:type="paragraph" w:customStyle="1" w:styleId="JuHArticle">
    <w:name w:val="Ju_H_Article"/>
    <w:aliases w:val="_Title_Quote"/>
    <w:basedOn w:val="Normalny"/>
    <w:next w:val="JuQuot"/>
    <w:uiPriority w:val="19"/>
    <w:qFormat/>
    <w:rsid w:val="00DD0930"/>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DD0930"/>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DD0930"/>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DD0930"/>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DD0930"/>
    <w:pPr>
      <w:numPr>
        <w:numId w:val="16"/>
      </w:numPr>
    </w:pPr>
  </w:style>
  <w:style w:type="paragraph" w:customStyle="1" w:styleId="JuSigned">
    <w:name w:val="Ju_Signed"/>
    <w:aliases w:val="_Signature"/>
    <w:basedOn w:val="Normalny"/>
    <w:next w:val="JuPara"/>
    <w:uiPriority w:val="31"/>
    <w:qFormat/>
    <w:rsid w:val="00DD0930"/>
    <w:pPr>
      <w:tabs>
        <w:tab w:val="center" w:pos="1418"/>
        <w:tab w:val="center" w:pos="5954"/>
      </w:tabs>
      <w:spacing w:before="720"/>
    </w:pPr>
  </w:style>
  <w:style w:type="paragraph" w:styleId="Tytu">
    <w:name w:val="Title"/>
    <w:basedOn w:val="Normalny"/>
    <w:next w:val="Normalny"/>
    <w:link w:val="TytuZnak"/>
    <w:uiPriority w:val="98"/>
    <w:semiHidden/>
    <w:qFormat/>
    <w:rsid w:val="00DD093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DD0930"/>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DD0930"/>
    <w:pPr>
      <w:numPr>
        <w:numId w:val="17"/>
      </w:numPr>
    </w:pPr>
  </w:style>
  <w:style w:type="numbering" w:customStyle="1" w:styleId="ECHRA1StyleNumberedList">
    <w:name w:val="ECHR_A1_Style_Numbered_List"/>
    <w:basedOn w:val="Bezlisty"/>
    <w:rsid w:val="00DD0930"/>
    <w:pPr>
      <w:numPr>
        <w:numId w:val="18"/>
      </w:numPr>
    </w:pPr>
  </w:style>
  <w:style w:type="table" w:customStyle="1" w:styleId="ECHRTable2019">
    <w:name w:val="ECHR_Table_2019"/>
    <w:basedOn w:val="Standardowy"/>
    <w:uiPriority w:val="99"/>
    <w:rsid w:val="00DD0930"/>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DD0930"/>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DD0930"/>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DD0930"/>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DD0930"/>
    <w:pPr>
      <w:keepNext/>
      <w:keepLines/>
      <w:numPr>
        <w:ilvl w:val="3"/>
        <w:numId w:val="21"/>
      </w:numPr>
      <w:spacing w:before="100" w:beforeAutospacing="1" w:after="120"/>
      <w:jc w:val="both"/>
    </w:pPr>
    <w:rPr>
      <w:b w:val="0"/>
      <w:color w:val="auto"/>
      <w:sz w:val="24"/>
    </w:rPr>
  </w:style>
  <w:style w:type="paragraph" w:styleId="Nagwek">
    <w:name w:val="header"/>
    <w:basedOn w:val="Normalny"/>
    <w:link w:val="NagwekZnak"/>
    <w:uiPriority w:val="98"/>
    <w:semiHidden/>
    <w:rsid w:val="00DD0930"/>
    <w:pPr>
      <w:tabs>
        <w:tab w:val="center" w:pos="4536"/>
        <w:tab w:val="right" w:pos="9072"/>
      </w:tabs>
    </w:pPr>
  </w:style>
  <w:style w:type="character" w:customStyle="1" w:styleId="NagwekZnak">
    <w:name w:val="Nagłówek Znak"/>
    <w:basedOn w:val="Domylnaczcionkaakapitu"/>
    <w:link w:val="Nagwek"/>
    <w:uiPriority w:val="98"/>
    <w:semiHidden/>
    <w:rsid w:val="00DD0930"/>
    <w:rPr>
      <w:sz w:val="24"/>
      <w:szCs w:val="24"/>
      <w:lang w:val="en-GB"/>
    </w:rPr>
  </w:style>
  <w:style w:type="character" w:customStyle="1" w:styleId="Nagwek1Znak">
    <w:name w:val="Nagłówek 1 Znak"/>
    <w:basedOn w:val="Domylnaczcionkaakapitu"/>
    <w:link w:val="Nagwek1"/>
    <w:uiPriority w:val="98"/>
    <w:semiHidden/>
    <w:rsid w:val="00DD0930"/>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DD0930"/>
    <w:pPr>
      <w:keepNext/>
      <w:keepLines/>
      <w:numPr>
        <w:ilvl w:val="4"/>
        <w:numId w:val="21"/>
      </w:numPr>
      <w:spacing w:before="100" w:beforeAutospacing="1" w:after="120"/>
      <w:jc w:val="both"/>
    </w:pPr>
    <w:rPr>
      <w:color w:val="auto"/>
      <w:sz w:val="20"/>
    </w:rPr>
  </w:style>
  <w:style w:type="paragraph" w:customStyle="1" w:styleId="JuHi">
    <w:name w:val="Ju_H_i"/>
    <w:aliases w:val="_Head_6"/>
    <w:basedOn w:val="Nagwek6"/>
    <w:next w:val="JuPara"/>
    <w:uiPriority w:val="17"/>
    <w:rsid w:val="00DD0930"/>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DD0930"/>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DD0930"/>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DD0930"/>
    <w:pPr>
      <w:keepNext/>
      <w:keepLines/>
      <w:numPr>
        <w:ilvl w:val="7"/>
        <w:numId w:val="21"/>
      </w:numPr>
      <w:spacing w:before="100" w:beforeAutospacing="1" w:after="120"/>
      <w:jc w:val="both"/>
    </w:pPr>
    <w:rPr>
      <w:i/>
    </w:rPr>
  </w:style>
  <w:style w:type="character" w:customStyle="1" w:styleId="Nagwek3Znak">
    <w:name w:val="Nagłówek 3 Znak"/>
    <w:basedOn w:val="Domylnaczcionkaakapitu"/>
    <w:link w:val="Nagwek3"/>
    <w:uiPriority w:val="98"/>
    <w:semiHidden/>
    <w:rsid w:val="00DD0930"/>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DD0930"/>
    <w:pPr>
      <w:keepNext/>
      <w:keepLines/>
      <w:spacing w:before="240" w:after="240"/>
      <w:ind w:firstLine="284"/>
    </w:pPr>
  </w:style>
  <w:style w:type="paragraph" w:customStyle="1" w:styleId="JuJudges">
    <w:name w:val="Ju_Judges"/>
    <w:aliases w:val="_Judges"/>
    <w:basedOn w:val="Normalny"/>
    <w:uiPriority w:val="32"/>
    <w:qFormat/>
    <w:rsid w:val="00DD0930"/>
    <w:pPr>
      <w:tabs>
        <w:tab w:val="left" w:pos="567"/>
        <w:tab w:val="left" w:pos="1134"/>
      </w:tabs>
    </w:pPr>
  </w:style>
  <w:style w:type="character" w:customStyle="1" w:styleId="Nagwek4Znak">
    <w:name w:val="Nagłówek 4 Znak"/>
    <w:basedOn w:val="Domylnaczcionkaakapitu"/>
    <w:link w:val="Nagwek4"/>
    <w:uiPriority w:val="98"/>
    <w:semiHidden/>
    <w:rsid w:val="00DD0930"/>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DD0930"/>
    <w:pPr>
      <w:tabs>
        <w:tab w:val="center" w:pos="6407"/>
      </w:tabs>
      <w:spacing w:before="720"/>
      <w:jc w:val="right"/>
    </w:pPr>
  </w:style>
  <w:style w:type="character" w:customStyle="1" w:styleId="Nagwek5Znak">
    <w:name w:val="Nagłówek 5 Znak"/>
    <w:basedOn w:val="Domylnaczcionkaakapitu"/>
    <w:link w:val="Nagwek5"/>
    <w:uiPriority w:val="98"/>
    <w:semiHidden/>
    <w:rsid w:val="00DD0930"/>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DD0930"/>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DD0930"/>
    <w:rPr>
      <w:caps w:val="0"/>
      <w:smallCaps/>
    </w:rPr>
  </w:style>
  <w:style w:type="character" w:styleId="Wyrnieniedelikatne">
    <w:name w:val="Subtle Emphasis"/>
    <w:uiPriority w:val="98"/>
    <w:semiHidden/>
    <w:qFormat/>
    <w:rsid w:val="00DD0930"/>
    <w:rPr>
      <w:i/>
      <w:iCs/>
    </w:rPr>
  </w:style>
  <w:style w:type="table" w:customStyle="1" w:styleId="ECHRTable">
    <w:name w:val="ECHR_Table"/>
    <w:basedOn w:val="Standardowy"/>
    <w:rsid w:val="00DD0930"/>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DD093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DD0930"/>
    <w:rPr>
      <w:b/>
      <w:bCs/>
      <w:i/>
      <w:iCs/>
      <w:spacing w:val="10"/>
      <w:bdr w:val="none" w:sz="0" w:space="0" w:color="auto"/>
      <w:shd w:val="clear" w:color="auto" w:fill="auto"/>
    </w:rPr>
  </w:style>
  <w:style w:type="paragraph" w:styleId="Stopka">
    <w:name w:val="footer"/>
    <w:basedOn w:val="Normalny"/>
    <w:link w:val="StopkaZnak"/>
    <w:uiPriority w:val="98"/>
    <w:semiHidden/>
    <w:rsid w:val="00DD0930"/>
    <w:pPr>
      <w:tabs>
        <w:tab w:val="center" w:pos="3686"/>
        <w:tab w:val="right" w:pos="7371"/>
      </w:tabs>
    </w:pPr>
  </w:style>
  <w:style w:type="character" w:customStyle="1" w:styleId="StopkaZnak">
    <w:name w:val="Stopka Znak"/>
    <w:basedOn w:val="Domylnaczcionkaakapitu"/>
    <w:link w:val="Stopka"/>
    <w:uiPriority w:val="98"/>
    <w:semiHidden/>
    <w:rsid w:val="00DD0930"/>
    <w:rPr>
      <w:sz w:val="24"/>
      <w:szCs w:val="24"/>
      <w:lang w:val="en-GB"/>
    </w:rPr>
  </w:style>
  <w:style w:type="character" w:styleId="Odwoanieprzypisudolnego">
    <w:name w:val="footnote reference"/>
    <w:basedOn w:val="Domylnaczcionkaakapitu"/>
    <w:uiPriority w:val="98"/>
    <w:semiHidden/>
    <w:rsid w:val="00DD0930"/>
    <w:rPr>
      <w:vertAlign w:val="superscript"/>
    </w:rPr>
  </w:style>
  <w:style w:type="paragraph" w:styleId="Tekstprzypisudolnego">
    <w:name w:val="footnote text"/>
    <w:basedOn w:val="NormalJustified"/>
    <w:link w:val="TekstprzypisudolnegoZnak"/>
    <w:uiPriority w:val="98"/>
    <w:semiHidden/>
    <w:rsid w:val="00DD0930"/>
    <w:rPr>
      <w:sz w:val="20"/>
      <w:szCs w:val="20"/>
    </w:rPr>
  </w:style>
  <w:style w:type="character" w:customStyle="1" w:styleId="TekstprzypisudolnegoZnak">
    <w:name w:val="Tekst przypisu dolnego Znak"/>
    <w:basedOn w:val="Domylnaczcionkaakapitu"/>
    <w:link w:val="Tekstprzypisudolnego"/>
    <w:uiPriority w:val="98"/>
    <w:semiHidden/>
    <w:rsid w:val="00DD0930"/>
    <w:rPr>
      <w:sz w:val="20"/>
      <w:szCs w:val="20"/>
      <w:lang w:val="en-GB"/>
    </w:rPr>
  </w:style>
  <w:style w:type="character" w:customStyle="1" w:styleId="Nagwek6Znak">
    <w:name w:val="Nagłówek 6 Znak"/>
    <w:basedOn w:val="Domylnaczcionkaakapitu"/>
    <w:link w:val="Nagwek6"/>
    <w:uiPriority w:val="98"/>
    <w:semiHidden/>
    <w:rsid w:val="00DD0930"/>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DD0930"/>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DD0930"/>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DD0930"/>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DD0930"/>
    <w:rPr>
      <w:color w:val="0072BC" w:themeColor="hyperlink"/>
      <w:u w:val="single"/>
    </w:rPr>
  </w:style>
  <w:style w:type="character" w:styleId="Wyrnienieintensywne">
    <w:name w:val="Intense Emphasis"/>
    <w:uiPriority w:val="98"/>
    <w:semiHidden/>
    <w:qFormat/>
    <w:rsid w:val="00DD0930"/>
    <w:rPr>
      <w:b/>
      <w:bCs/>
    </w:rPr>
  </w:style>
  <w:style w:type="paragraph" w:styleId="Cytatintensywny">
    <w:name w:val="Intense Quote"/>
    <w:basedOn w:val="Normalny"/>
    <w:next w:val="Normalny"/>
    <w:link w:val="CytatintensywnyZnak"/>
    <w:uiPriority w:val="98"/>
    <w:semiHidden/>
    <w:qFormat/>
    <w:rsid w:val="00DD0930"/>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DD0930"/>
    <w:rPr>
      <w:b/>
      <w:bCs/>
      <w:i/>
      <w:iCs/>
      <w:sz w:val="24"/>
      <w:szCs w:val="24"/>
      <w:lang w:val="en-GB" w:bidi="en-US"/>
    </w:rPr>
  </w:style>
  <w:style w:type="character" w:styleId="Odwoanieintensywne">
    <w:name w:val="Intense Reference"/>
    <w:uiPriority w:val="98"/>
    <w:semiHidden/>
    <w:qFormat/>
    <w:rsid w:val="00DD0930"/>
    <w:rPr>
      <w:smallCaps/>
      <w:spacing w:val="5"/>
      <w:u w:val="single"/>
    </w:rPr>
  </w:style>
  <w:style w:type="paragraph" w:styleId="Akapitzlist">
    <w:name w:val="List Paragraph"/>
    <w:basedOn w:val="Normalny"/>
    <w:uiPriority w:val="98"/>
    <w:semiHidden/>
    <w:qFormat/>
    <w:rsid w:val="00DD0930"/>
    <w:pPr>
      <w:ind w:left="720"/>
      <w:contextualSpacing/>
    </w:pPr>
  </w:style>
  <w:style w:type="table" w:customStyle="1" w:styleId="LtrTableAddress">
    <w:name w:val="Ltr_Table_Address"/>
    <w:aliases w:val="ECHR_Ltr_Table_Address"/>
    <w:basedOn w:val="Standardowy"/>
    <w:uiPriority w:val="99"/>
    <w:rsid w:val="00DD0930"/>
    <w:rPr>
      <w:sz w:val="24"/>
      <w:szCs w:val="24"/>
    </w:rPr>
    <w:tblPr>
      <w:tblInd w:w="5103" w:type="dxa"/>
    </w:tblPr>
  </w:style>
  <w:style w:type="paragraph" w:styleId="Cytat">
    <w:name w:val="Quote"/>
    <w:basedOn w:val="Normalny"/>
    <w:next w:val="Normalny"/>
    <w:link w:val="CytatZnak"/>
    <w:uiPriority w:val="98"/>
    <w:semiHidden/>
    <w:qFormat/>
    <w:rsid w:val="00DD0930"/>
    <w:pPr>
      <w:spacing w:before="200"/>
      <w:ind w:left="360" w:right="360"/>
    </w:pPr>
    <w:rPr>
      <w:i/>
      <w:iCs/>
      <w:lang w:bidi="en-US"/>
    </w:rPr>
  </w:style>
  <w:style w:type="character" w:customStyle="1" w:styleId="CytatZnak">
    <w:name w:val="Cytat Znak"/>
    <w:basedOn w:val="Domylnaczcionkaakapitu"/>
    <w:link w:val="Cytat"/>
    <w:uiPriority w:val="98"/>
    <w:semiHidden/>
    <w:rsid w:val="00DD0930"/>
    <w:rPr>
      <w:i/>
      <w:iCs/>
      <w:sz w:val="24"/>
      <w:szCs w:val="24"/>
      <w:lang w:val="en-GB" w:bidi="en-US"/>
    </w:rPr>
  </w:style>
  <w:style w:type="character" w:styleId="Odwoaniedelikatne">
    <w:name w:val="Subtle Reference"/>
    <w:uiPriority w:val="98"/>
    <w:semiHidden/>
    <w:qFormat/>
    <w:rsid w:val="00DD0930"/>
    <w:rPr>
      <w:smallCaps/>
    </w:rPr>
  </w:style>
  <w:style w:type="table" w:styleId="Tabela-Siatka">
    <w:name w:val="Table Grid"/>
    <w:basedOn w:val="Standardowy"/>
    <w:uiPriority w:val="59"/>
    <w:semiHidden/>
    <w:rsid w:val="00DD093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DD093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DD093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DD093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DD0930"/>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DD093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DD0930"/>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DD0930"/>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DD0930"/>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DD0930"/>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D0930"/>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DD093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DD0930"/>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DD0930"/>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DD0930"/>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DD0930"/>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DD0930"/>
    <w:pPr>
      <w:numPr>
        <w:numId w:val="3"/>
      </w:numPr>
    </w:pPr>
  </w:style>
  <w:style w:type="paragraph" w:customStyle="1" w:styleId="JuPara">
    <w:name w:val="Ju_Para"/>
    <w:aliases w:val="_Para"/>
    <w:basedOn w:val="NormalJustified"/>
    <w:link w:val="JuParaChar"/>
    <w:uiPriority w:val="4"/>
    <w:qFormat/>
    <w:rsid w:val="00DD0930"/>
    <w:pPr>
      <w:ind w:firstLine="284"/>
    </w:pPr>
  </w:style>
  <w:style w:type="numbering" w:styleId="1ai">
    <w:name w:val="Outline List 1"/>
    <w:basedOn w:val="Bezlisty"/>
    <w:uiPriority w:val="99"/>
    <w:semiHidden/>
    <w:unhideWhenUsed/>
    <w:rsid w:val="00DD0930"/>
    <w:pPr>
      <w:numPr>
        <w:numId w:val="4"/>
      </w:numPr>
    </w:pPr>
  </w:style>
  <w:style w:type="table" w:customStyle="1" w:styleId="ECHRTableSimpleBox">
    <w:name w:val="ECHR_Table_Simple_Box"/>
    <w:basedOn w:val="Standardowy"/>
    <w:uiPriority w:val="99"/>
    <w:rsid w:val="00DD0930"/>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DD0930"/>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DD0930"/>
    <w:pPr>
      <w:numPr>
        <w:numId w:val="5"/>
      </w:numPr>
    </w:pPr>
  </w:style>
  <w:style w:type="table" w:customStyle="1" w:styleId="ECHRTableForInternalUse">
    <w:name w:val="ECHR_Table_For_Internal_Use"/>
    <w:basedOn w:val="Standardowy"/>
    <w:uiPriority w:val="99"/>
    <w:rsid w:val="00DD0930"/>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DD0930"/>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DD0930"/>
  </w:style>
  <w:style w:type="paragraph" w:styleId="Tekstblokowy">
    <w:name w:val="Block Text"/>
    <w:basedOn w:val="Normalny"/>
    <w:uiPriority w:val="98"/>
    <w:semiHidden/>
    <w:rsid w:val="00DD093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DD0930"/>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DD0930"/>
    <w:pPr>
      <w:spacing w:after="120"/>
    </w:pPr>
  </w:style>
  <w:style w:type="character" w:customStyle="1" w:styleId="TekstpodstawowyZnak">
    <w:name w:val="Tekst podstawowy Znak"/>
    <w:basedOn w:val="Domylnaczcionkaakapitu"/>
    <w:link w:val="Tekstpodstawowy"/>
    <w:uiPriority w:val="98"/>
    <w:semiHidden/>
    <w:rsid w:val="00DD0930"/>
    <w:rPr>
      <w:sz w:val="24"/>
      <w:szCs w:val="24"/>
      <w:lang w:val="en-GB"/>
    </w:rPr>
  </w:style>
  <w:style w:type="table" w:customStyle="1" w:styleId="ECHRTableOddBanded">
    <w:name w:val="ECHR_Table_Odd_Banded"/>
    <w:basedOn w:val="Standardowy"/>
    <w:uiPriority w:val="99"/>
    <w:rsid w:val="00DD0930"/>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DD0930"/>
    <w:pPr>
      <w:spacing w:after="120" w:line="480" w:lineRule="auto"/>
    </w:pPr>
  </w:style>
  <w:style w:type="table" w:customStyle="1" w:styleId="ECHRHeaderTableReduced">
    <w:name w:val="ECHR_Header_Table_Reduced"/>
    <w:basedOn w:val="Standardowy"/>
    <w:uiPriority w:val="99"/>
    <w:rsid w:val="00DD093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DD0930"/>
    <w:pPr>
      <w:ind w:firstLine="284"/>
    </w:pPr>
    <w:rPr>
      <w:b/>
    </w:rPr>
  </w:style>
  <w:style w:type="character" w:styleId="Numerstrony">
    <w:name w:val="page number"/>
    <w:uiPriority w:val="98"/>
    <w:semiHidden/>
    <w:rsid w:val="00DD0930"/>
    <w:rPr>
      <w:sz w:val="18"/>
    </w:rPr>
  </w:style>
  <w:style w:type="paragraph" w:styleId="Listapunktowana">
    <w:name w:val="List Bullet"/>
    <w:basedOn w:val="Normalny"/>
    <w:uiPriority w:val="98"/>
    <w:semiHidden/>
    <w:rsid w:val="00DD0930"/>
    <w:pPr>
      <w:numPr>
        <w:numId w:val="6"/>
      </w:numPr>
    </w:pPr>
  </w:style>
  <w:style w:type="paragraph" w:styleId="Listapunktowana3">
    <w:name w:val="List Bullet 3"/>
    <w:basedOn w:val="Normalny"/>
    <w:uiPriority w:val="98"/>
    <w:semiHidden/>
    <w:rsid w:val="00DD0930"/>
    <w:pPr>
      <w:numPr>
        <w:numId w:val="8"/>
      </w:numPr>
      <w:contextualSpacing/>
    </w:pPr>
  </w:style>
  <w:style w:type="character" w:customStyle="1" w:styleId="Tekstpodstawowy2Znak">
    <w:name w:val="Tekst podstawowy 2 Znak"/>
    <w:basedOn w:val="Domylnaczcionkaakapitu"/>
    <w:link w:val="Tekstpodstawowy2"/>
    <w:uiPriority w:val="98"/>
    <w:semiHidden/>
    <w:rsid w:val="00DD0930"/>
    <w:rPr>
      <w:sz w:val="24"/>
      <w:szCs w:val="24"/>
      <w:lang w:val="en-GB"/>
    </w:rPr>
  </w:style>
  <w:style w:type="paragraph" w:styleId="Tekstpodstawowy3">
    <w:name w:val="Body Text 3"/>
    <w:basedOn w:val="Normalny"/>
    <w:link w:val="Tekstpodstawowy3Znak"/>
    <w:uiPriority w:val="98"/>
    <w:semiHidden/>
    <w:rsid w:val="00DD0930"/>
    <w:pPr>
      <w:spacing w:after="120"/>
    </w:pPr>
    <w:rPr>
      <w:sz w:val="16"/>
      <w:szCs w:val="16"/>
    </w:rPr>
  </w:style>
  <w:style w:type="character" w:customStyle="1" w:styleId="Tekstpodstawowy3Znak">
    <w:name w:val="Tekst podstawowy 3 Znak"/>
    <w:basedOn w:val="Domylnaczcionkaakapitu"/>
    <w:link w:val="Tekstpodstawowy3"/>
    <w:uiPriority w:val="98"/>
    <w:semiHidden/>
    <w:rsid w:val="00DD0930"/>
    <w:rPr>
      <w:sz w:val="16"/>
      <w:szCs w:val="16"/>
      <w:lang w:val="en-GB"/>
    </w:rPr>
  </w:style>
  <w:style w:type="paragraph" w:styleId="Tekstpodstawowyzwciciem">
    <w:name w:val="Body Text First Indent"/>
    <w:basedOn w:val="Tekstpodstawowy"/>
    <w:link w:val="TekstpodstawowyzwciciemZnak"/>
    <w:uiPriority w:val="98"/>
    <w:semiHidden/>
    <w:rsid w:val="00DD0930"/>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DD0930"/>
    <w:rPr>
      <w:sz w:val="24"/>
      <w:szCs w:val="24"/>
      <w:lang w:val="en-GB"/>
    </w:rPr>
  </w:style>
  <w:style w:type="paragraph" w:styleId="Tekstpodstawowywcity">
    <w:name w:val="Body Text Indent"/>
    <w:basedOn w:val="Normalny"/>
    <w:link w:val="TekstpodstawowywcityZnak"/>
    <w:uiPriority w:val="98"/>
    <w:semiHidden/>
    <w:rsid w:val="00DD0930"/>
    <w:pPr>
      <w:spacing w:after="120"/>
      <w:ind w:left="283"/>
    </w:pPr>
  </w:style>
  <w:style w:type="character" w:customStyle="1" w:styleId="TekstpodstawowywcityZnak">
    <w:name w:val="Tekst podstawowy wcięty Znak"/>
    <w:basedOn w:val="Domylnaczcionkaakapitu"/>
    <w:link w:val="Tekstpodstawowywcity"/>
    <w:uiPriority w:val="98"/>
    <w:semiHidden/>
    <w:rsid w:val="00DD0930"/>
    <w:rPr>
      <w:sz w:val="24"/>
      <w:szCs w:val="24"/>
      <w:lang w:val="en-GB"/>
    </w:rPr>
  </w:style>
  <w:style w:type="paragraph" w:styleId="Tekstpodstawowyzwciciem2">
    <w:name w:val="Body Text First Indent 2"/>
    <w:basedOn w:val="Tekstpodstawowywcity"/>
    <w:link w:val="Tekstpodstawowyzwciciem2Znak"/>
    <w:uiPriority w:val="98"/>
    <w:semiHidden/>
    <w:rsid w:val="00DD0930"/>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DD0930"/>
    <w:rPr>
      <w:sz w:val="24"/>
      <w:szCs w:val="24"/>
      <w:lang w:val="en-GB"/>
    </w:rPr>
  </w:style>
  <w:style w:type="paragraph" w:styleId="Tekstpodstawowywcity2">
    <w:name w:val="Body Text Indent 2"/>
    <w:basedOn w:val="Normalny"/>
    <w:link w:val="Tekstpodstawowywcity2Znak"/>
    <w:uiPriority w:val="98"/>
    <w:semiHidden/>
    <w:rsid w:val="00DD0930"/>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DD0930"/>
    <w:rPr>
      <w:sz w:val="24"/>
      <w:szCs w:val="24"/>
      <w:lang w:val="en-GB"/>
    </w:rPr>
  </w:style>
  <w:style w:type="paragraph" w:styleId="Tekstpodstawowywcity3">
    <w:name w:val="Body Text Indent 3"/>
    <w:basedOn w:val="Normalny"/>
    <w:link w:val="Tekstpodstawowywcity3Znak"/>
    <w:uiPriority w:val="98"/>
    <w:semiHidden/>
    <w:rsid w:val="00DD093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DD0930"/>
    <w:rPr>
      <w:sz w:val="16"/>
      <w:szCs w:val="16"/>
      <w:lang w:val="en-GB"/>
    </w:rPr>
  </w:style>
  <w:style w:type="paragraph" w:styleId="Legenda">
    <w:name w:val="caption"/>
    <w:basedOn w:val="Normalny"/>
    <w:next w:val="Normalny"/>
    <w:uiPriority w:val="98"/>
    <w:semiHidden/>
    <w:qFormat/>
    <w:rsid w:val="00DD0930"/>
    <w:pPr>
      <w:spacing w:after="200"/>
    </w:pPr>
    <w:rPr>
      <w:b/>
      <w:bCs/>
      <w:color w:val="0072BC" w:themeColor="accent1"/>
      <w:sz w:val="18"/>
      <w:szCs w:val="18"/>
    </w:rPr>
  </w:style>
  <w:style w:type="paragraph" w:styleId="Zwrotpoegnalny">
    <w:name w:val="Closing"/>
    <w:basedOn w:val="Normalny"/>
    <w:link w:val="ZwrotpoegnalnyZnak"/>
    <w:uiPriority w:val="98"/>
    <w:semiHidden/>
    <w:rsid w:val="00DD0930"/>
    <w:pPr>
      <w:ind w:left="4252"/>
    </w:pPr>
  </w:style>
  <w:style w:type="character" w:customStyle="1" w:styleId="ZwrotpoegnalnyZnak">
    <w:name w:val="Zwrot pożegnalny Znak"/>
    <w:basedOn w:val="Domylnaczcionkaakapitu"/>
    <w:link w:val="Zwrotpoegnalny"/>
    <w:uiPriority w:val="98"/>
    <w:semiHidden/>
    <w:rsid w:val="00DD0930"/>
    <w:rPr>
      <w:sz w:val="24"/>
      <w:szCs w:val="24"/>
      <w:lang w:val="en-GB"/>
    </w:rPr>
  </w:style>
  <w:style w:type="table" w:styleId="Kolorowasiatka">
    <w:name w:val="Colorful Grid"/>
    <w:basedOn w:val="Standardowy"/>
    <w:uiPriority w:val="73"/>
    <w:semiHidden/>
    <w:rsid w:val="00DD0930"/>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D0930"/>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D0930"/>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D0930"/>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DD0930"/>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D0930"/>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D0930"/>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D0930"/>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D0930"/>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D0930"/>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D0930"/>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DD0930"/>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D0930"/>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D0930"/>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D093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D093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D093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D0930"/>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DD0930"/>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D093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D093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DD0930"/>
    <w:rPr>
      <w:sz w:val="16"/>
      <w:szCs w:val="16"/>
    </w:rPr>
  </w:style>
  <w:style w:type="paragraph" w:styleId="Tekstkomentarza">
    <w:name w:val="annotation text"/>
    <w:basedOn w:val="Normalny"/>
    <w:link w:val="TekstkomentarzaZnak"/>
    <w:uiPriority w:val="98"/>
    <w:semiHidden/>
    <w:rsid w:val="00DD0930"/>
    <w:rPr>
      <w:sz w:val="20"/>
      <w:szCs w:val="20"/>
    </w:rPr>
  </w:style>
  <w:style w:type="character" w:customStyle="1" w:styleId="TekstkomentarzaZnak">
    <w:name w:val="Tekst komentarza Znak"/>
    <w:basedOn w:val="Domylnaczcionkaakapitu"/>
    <w:link w:val="Tekstkomentarza"/>
    <w:uiPriority w:val="98"/>
    <w:semiHidden/>
    <w:rsid w:val="00DD0930"/>
    <w:rPr>
      <w:sz w:val="20"/>
      <w:szCs w:val="20"/>
      <w:lang w:val="en-GB"/>
    </w:rPr>
  </w:style>
  <w:style w:type="paragraph" w:styleId="Tematkomentarza">
    <w:name w:val="annotation subject"/>
    <w:basedOn w:val="Tekstkomentarza"/>
    <w:next w:val="Tekstkomentarza"/>
    <w:link w:val="TematkomentarzaZnak"/>
    <w:uiPriority w:val="98"/>
    <w:semiHidden/>
    <w:rsid w:val="00DD0930"/>
    <w:rPr>
      <w:b/>
      <w:bCs/>
    </w:rPr>
  </w:style>
  <w:style w:type="character" w:customStyle="1" w:styleId="TematkomentarzaZnak">
    <w:name w:val="Temat komentarza Znak"/>
    <w:basedOn w:val="TekstkomentarzaZnak"/>
    <w:link w:val="Tematkomentarza"/>
    <w:uiPriority w:val="98"/>
    <w:semiHidden/>
    <w:rsid w:val="00DD0930"/>
    <w:rPr>
      <w:b/>
      <w:bCs/>
      <w:sz w:val="20"/>
      <w:szCs w:val="20"/>
      <w:lang w:val="en-GB"/>
    </w:rPr>
  </w:style>
  <w:style w:type="table" w:styleId="Ciemnalista">
    <w:name w:val="Dark List"/>
    <w:basedOn w:val="Standardowy"/>
    <w:uiPriority w:val="70"/>
    <w:semiHidden/>
    <w:rsid w:val="00DD0930"/>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D0930"/>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D0930"/>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D0930"/>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DD0930"/>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D0930"/>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D0930"/>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DD0930"/>
  </w:style>
  <w:style w:type="character" w:customStyle="1" w:styleId="DataZnak">
    <w:name w:val="Data Znak"/>
    <w:basedOn w:val="Domylnaczcionkaakapitu"/>
    <w:link w:val="Data"/>
    <w:uiPriority w:val="98"/>
    <w:semiHidden/>
    <w:rsid w:val="00DD0930"/>
    <w:rPr>
      <w:sz w:val="24"/>
      <w:szCs w:val="24"/>
      <w:lang w:val="en-GB"/>
    </w:rPr>
  </w:style>
  <w:style w:type="paragraph" w:styleId="Mapadokumentu">
    <w:name w:val="Document Map"/>
    <w:basedOn w:val="Normalny"/>
    <w:link w:val="MapadokumentuZnak"/>
    <w:uiPriority w:val="98"/>
    <w:semiHidden/>
    <w:rsid w:val="00DD0930"/>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DD0930"/>
    <w:rPr>
      <w:rFonts w:ascii="Tahoma" w:hAnsi="Tahoma" w:cs="Tahoma"/>
      <w:sz w:val="16"/>
      <w:szCs w:val="16"/>
      <w:lang w:val="en-GB"/>
    </w:rPr>
  </w:style>
  <w:style w:type="paragraph" w:styleId="Podpise-mail">
    <w:name w:val="E-mail Signature"/>
    <w:basedOn w:val="Normalny"/>
    <w:link w:val="Podpise-mailZnak"/>
    <w:uiPriority w:val="98"/>
    <w:semiHidden/>
    <w:rsid w:val="00DD0930"/>
  </w:style>
  <w:style w:type="character" w:customStyle="1" w:styleId="Podpise-mailZnak">
    <w:name w:val="Podpis e-mail Znak"/>
    <w:basedOn w:val="Domylnaczcionkaakapitu"/>
    <w:link w:val="Podpise-mail"/>
    <w:uiPriority w:val="98"/>
    <w:semiHidden/>
    <w:rsid w:val="00DD0930"/>
    <w:rPr>
      <w:sz w:val="24"/>
      <w:szCs w:val="24"/>
      <w:lang w:val="en-GB"/>
    </w:rPr>
  </w:style>
  <w:style w:type="character" w:styleId="Odwoanieprzypisukocowego">
    <w:name w:val="endnote reference"/>
    <w:basedOn w:val="Domylnaczcionkaakapitu"/>
    <w:uiPriority w:val="98"/>
    <w:semiHidden/>
    <w:rsid w:val="00DD0930"/>
    <w:rPr>
      <w:vertAlign w:val="superscript"/>
    </w:rPr>
  </w:style>
  <w:style w:type="paragraph" w:styleId="Tekstprzypisukocowego">
    <w:name w:val="endnote text"/>
    <w:basedOn w:val="Normalny"/>
    <w:link w:val="TekstprzypisukocowegoZnak"/>
    <w:uiPriority w:val="98"/>
    <w:semiHidden/>
    <w:rsid w:val="00DD0930"/>
    <w:rPr>
      <w:sz w:val="20"/>
      <w:szCs w:val="20"/>
    </w:rPr>
  </w:style>
  <w:style w:type="character" w:customStyle="1" w:styleId="TekstprzypisukocowegoZnak">
    <w:name w:val="Tekst przypisu końcowego Znak"/>
    <w:basedOn w:val="Domylnaczcionkaakapitu"/>
    <w:link w:val="Tekstprzypisukocowego"/>
    <w:uiPriority w:val="98"/>
    <w:semiHidden/>
    <w:rsid w:val="00DD0930"/>
    <w:rPr>
      <w:sz w:val="20"/>
      <w:szCs w:val="20"/>
      <w:lang w:val="en-GB"/>
    </w:rPr>
  </w:style>
  <w:style w:type="paragraph" w:styleId="Adresnakopercie">
    <w:name w:val="envelope address"/>
    <w:basedOn w:val="Normalny"/>
    <w:uiPriority w:val="98"/>
    <w:semiHidden/>
    <w:rsid w:val="00DD0930"/>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DD0930"/>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DD0930"/>
    <w:rPr>
      <w:color w:val="7030A0" w:themeColor="followedHyperlink"/>
      <w:u w:val="single"/>
    </w:rPr>
  </w:style>
  <w:style w:type="character" w:styleId="HTML-akronim">
    <w:name w:val="HTML Acronym"/>
    <w:basedOn w:val="Domylnaczcionkaakapitu"/>
    <w:uiPriority w:val="98"/>
    <w:semiHidden/>
    <w:rsid w:val="00DD0930"/>
  </w:style>
  <w:style w:type="paragraph" w:styleId="HTML-adres">
    <w:name w:val="HTML Address"/>
    <w:basedOn w:val="Normalny"/>
    <w:link w:val="HTML-adresZnak"/>
    <w:uiPriority w:val="98"/>
    <w:semiHidden/>
    <w:rsid w:val="00DD0930"/>
    <w:rPr>
      <w:i/>
      <w:iCs/>
    </w:rPr>
  </w:style>
  <w:style w:type="character" w:customStyle="1" w:styleId="HTML-adresZnak">
    <w:name w:val="HTML - adres Znak"/>
    <w:basedOn w:val="Domylnaczcionkaakapitu"/>
    <w:link w:val="HTML-adres"/>
    <w:uiPriority w:val="98"/>
    <w:semiHidden/>
    <w:rsid w:val="00DD0930"/>
    <w:rPr>
      <w:i/>
      <w:iCs/>
      <w:sz w:val="24"/>
      <w:szCs w:val="24"/>
      <w:lang w:val="en-GB"/>
    </w:rPr>
  </w:style>
  <w:style w:type="character" w:styleId="HTML-cytat">
    <w:name w:val="HTML Cite"/>
    <w:basedOn w:val="Domylnaczcionkaakapitu"/>
    <w:uiPriority w:val="98"/>
    <w:semiHidden/>
    <w:rsid w:val="00DD0930"/>
    <w:rPr>
      <w:i/>
      <w:iCs/>
    </w:rPr>
  </w:style>
  <w:style w:type="character" w:styleId="HTML-kod">
    <w:name w:val="HTML Code"/>
    <w:basedOn w:val="Domylnaczcionkaakapitu"/>
    <w:uiPriority w:val="98"/>
    <w:semiHidden/>
    <w:rsid w:val="00DD0930"/>
    <w:rPr>
      <w:rFonts w:ascii="Consolas" w:hAnsi="Consolas" w:cs="Consolas"/>
      <w:sz w:val="20"/>
      <w:szCs w:val="20"/>
    </w:rPr>
  </w:style>
  <w:style w:type="character" w:styleId="HTML-definicja">
    <w:name w:val="HTML Definition"/>
    <w:basedOn w:val="Domylnaczcionkaakapitu"/>
    <w:uiPriority w:val="98"/>
    <w:semiHidden/>
    <w:rsid w:val="00DD0930"/>
    <w:rPr>
      <w:i/>
      <w:iCs/>
    </w:rPr>
  </w:style>
  <w:style w:type="character" w:styleId="HTML-klawiatura">
    <w:name w:val="HTML Keyboard"/>
    <w:basedOn w:val="Domylnaczcionkaakapitu"/>
    <w:uiPriority w:val="98"/>
    <w:semiHidden/>
    <w:rsid w:val="00DD0930"/>
    <w:rPr>
      <w:rFonts w:ascii="Consolas" w:hAnsi="Consolas" w:cs="Consolas"/>
      <w:sz w:val="20"/>
      <w:szCs w:val="20"/>
    </w:rPr>
  </w:style>
  <w:style w:type="paragraph" w:styleId="HTML-wstpniesformatowany">
    <w:name w:val="HTML Preformatted"/>
    <w:basedOn w:val="Normalny"/>
    <w:link w:val="HTML-wstpniesformatowanyZnak"/>
    <w:uiPriority w:val="98"/>
    <w:semiHidden/>
    <w:rsid w:val="00DD093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DD0930"/>
    <w:rPr>
      <w:rFonts w:ascii="Consolas" w:hAnsi="Consolas" w:cs="Consolas"/>
      <w:sz w:val="20"/>
      <w:szCs w:val="20"/>
      <w:lang w:val="en-GB"/>
    </w:rPr>
  </w:style>
  <w:style w:type="character" w:styleId="HTML-przykad">
    <w:name w:val="HTML Sample"/>
    <w:basedOn w:val="Domylnaczcionkaakapitu"/>
    <w:uiPriority w:val="98"/>
    <w:semiHidden/>
    <w:rsid w:val="00DD0930"/>
    <w:rPr>
      <w:rFonts w:ascii="Consolas" w:hAnsi="Consolas" w:cs="Consolas"/>
      <w:sz w:val="24"/>
      <w:szCs w:val="24"/>
    </w:rPr>
  </w:style>
  <w:style w:type="character" w:styleId="HTML-staaszeroko">
    <w:name w:val="HTML Typewriter"/>
    <w:basedOn w:val="Domylnaczcionkaakapitu"/>
    <w:uiPriority w:val="98"/>
    <w:semiHidden/>
    <w:rsid w:val="00DD0930"/>
    <w:rPr>
      <w:rFonts w:ascii="Consolas" w:hAnsi="Consolas" w:cs="Consolas"/>
      <w:sz w:val="20"/>
      <w:szCs w:val="20"/>
    </w:rPr>
  </w:style>
  <w:style w:type="character" w:styleId="HTML-zmienna">
    <w:name w:val="HTML Variable"/>
    <w:basedOn w:val="Domylnaczcionkaakapitu"/>
    <w:uiPriority w:val="98"/>
    <w:semiHidden/>
    <w:rsid w:val="00DD0930"/>
    <w:rPr>
      <w:i/>
      <w:iCs/>
    </w:rPr>
  </w:style>
  <w:style w:type="paragraph" w:styleId="Indeks1">
    <w:name w:val="index 1"/>
    <w:basedOn w:val="Normalny"/>
    <w:next w:val="Normalny"/>
    <w:autoRedefine/>
    <w:uiPriority w:val="98"/>
    <w:semiHidden/>
    <w:rsid w:val="00DD0930"/>
    <w:pPr>
      <w:ind w:left="240" w:hanging="240"/>
    </w:pPr>
  </w:style>
  <w:style w:type="paragraph" w:styleId="Indeks2">
    <w:name w:val="index 2"/>
    <w:basedOn w:val="Normalny"/>
    <w:next w:val="Normalny"/>
    <w:autoRedefine/>
    <w:uiPriority w:val="98"/>
    <w:semiHidden/>
    <w:rsid w:val="00DD0930"/>
    <w:pPr>
      <w:ind w:left="480" w:hanging="240"/>
    </w:pPr>
  </w:style>
  <w:style w:type="paragraph" w:styleId="Indeks3">
    <w:name w:val="index 3"/>
    <w:basedOn w:val="Normalny"/>
    <w:next w:val="Normalny"/>
    <w:autoRedefine/>
    <w:uiPriority w:val="98"/>
    <w:semiHidden/>
    <w:rsid w:val="00DD0930"/>
    <w:pPr>
      <w:ind w:left="720" w:hanging="240"/>
    </w:pPr>
  </w:style>
  <w:style w:type="paragraph" w:styleId="Indeks4">
    <w:name w:val="index 4"/>
    <w:basedOn w:val="Normalny"/>
    <w:next w:val="Normalny"/>
    <w:autoRedefine/>
    <w:uiPriority w:val="98"/>
    <w:semiHidden/>
    <w:rsid w:val="00DD0930"/>
    <w:pPr>
      <w:ind w:left="960" w:hanging="240"/>
    </w:pPr>
  </w:style>
  <w:style w:type="paragraph" w:styleId="Indeks5">
    <w:name w:val="index 5"/>
    <w:basedOn w:val="Normalny"/>
    <w:next w:val="Normalny"/>
    <w:autoRedefine/>
    <w:uiPriority w:val="98"/>
    <w:semiHidden/>
    <w:rsid w:val="00DD0930"/>
    <w:pPr>
      <w:ind w:left="1200" w:hanging="240"/>
    </w:pPr>
  </w:style>
  <w:style w:type="paragraph" w:styleId="Indeks6">
    <w:name w:val="index 6"/>
    <w:basedOn w:val="Normalny"/>
    <w:next w:val="Normalny"/>
    <w:autoRedefine/>
    <w:uiPriority w:val="98"/>
    <w:semiHidden/>
    <w:rsid w:val="00DD0930"/>
    <w:pPr>
      <w:ind w:left="1440" w:hanging="240"/>
    </w:pPr>
  </w:style>
  <w:style w:type="paragraph" w:styleId="Indeks7">
    <w:name w:val="index 7"/>
    <w:basedOn w:val="Normalny"/>
    <w:next w:val="Normalny"/>
    <w:autoRedefine/>
    <w:uiPriority w:val="98"/>
    <w:semiHidden/>
    <w:rsid w:val="00DD0930"/>
    <w:pPr>
      <w:ind w:left="1680" w:hanging="240"/>
    </w:pPr>
  </w:style>
  <w:style w:type="paragraph" w:styleId="Indeks8">
    <w:name w:val="index 8"/>
    <w:basedOn w:val="Normalny"/>
    <w:next w:val="Normalny"/>
    <w:autoRedefine/>
    <w:uiPriority w:val="98"/>
    <w:semiHidden/>
    <w:rsid w:val="00DD0930"/>
    <w:pPr>
      <w:ind w:left="1920" w:hanging="240"/>
    </w:pPr>
  </w:style>
  <w:style w:type="paragraph" w:styleId="Indeks9">
    <w:name w:val="index 9"/>
    <w:basedOn w:val="Normalny"/>
    <w:next w:val="Normalny"/>
    <w:autoRedefine/>
    <w:uiPriority w:val="98"/>
    <w:semiHidden/>
    <w:rsid w:val="00DD0930"/>
    <w:pPr>
      <w:ind w:left="2160" w:hanging="240"/>
    </w:pPr>
  </w:style>
  <w:style w:type="paragraph" w:styleId="Nagwekindeksu">
    <w:name w:val="index heading"/>
    <w:basedOn w:val="Normalny"/>
    <w:next w:val="Indeks1"/>
    <w:uiPriority w:val="98"/>
    <w:semiHidden/>
    <w:rsid w:val="00DD0930"/>
    <w:rPr>
      <w:rFonts w:asciiTheme="majorHAnsi" w:eastAsiaTheme="majorEastAsia" w:hAnsiTheme="majorHAnsi" w:cstheme="majorBidi"/>
      <w:b/>
      <w:bCs/>
    </w:rPr>
  </w:style>
  <w:style w:type="table" w:styleId="Jasnasiatka">
    <w:name w:val="Light Grid"/>
    <w:basedOn w:val="Standardowy"/>
    <w:uiPriority w:val="62"/>
    <w:semiHidden/>
    <w:rsid w:val="00DD093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D093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D093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D0930"/>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DD093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D093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D093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D093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D093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D093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D0930"/>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DD093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D093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D093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D093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D093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D093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D0930"/>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DD093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D093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D093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DD0930"/>
  </w:style>
  <w:style w:type="paragraph" w:styleId="Lista">
    <w:name w:val="List"/>
    <w:basedOn w:val="Normalny"/>
    <w:uiPriority w:val="98"/>
    <w:semiHidden/>
    <w:rsid w:val="00DD0930"/>
    <w:pPr>
      <w:ind w:left="283" w:hanging="283"/>
      <w:contextualSpacing/>
    </w:pPr>
  </w:style>
  <w:style w:type="paragraph" w:styleId="Lista2">
    <w:name w:val="List 2"/>
    <w:basedOn w:val="Normalny"/>
    <w:uiPriority w:val="98"/>
    <w:semiHidden/>
    <w:rsid w:val="00DD0930"/>
    <w:pPr>
      <w:ind w:left="566" w:hanging="283"/>
      <w:contextualSpacing/>
    </w:pPr>
  </w:style>
  <w:style w:type="paragraph" w:styleId="Lista3">
    <w:name w:val="List 3"/>
    <w:basedOn w:val="Normalny"/>
    <w:uiPriority w:val="98"/>
    <w:semiHidden/>
    <w:rsid w:val="00DD0930"/>
    <w:pPr>
      <w:ind w:left="849" w:hanging="283"/>
      <w:contextualSpacing/>
    </w:pPr>
  </w:style>
  <w:style w:type="paragraph" w:styleId="Lista4">
    <w:name w:val="List 4"/>
    <w:basedOn w:val="Normalny"/>
    <w:uiPriority w:val="98"/>
    <w:semiHidden/>
    <w:rsid w:val="00DD0930"/>
    <w:pPr>
      <w:ind w:left="1132" w:hanging="283"/>
      <w:contextualSpacing/>
    </w:pPr>
  </w:style>
  <w:style w:type="paragraph" w:styleId="Lista5">
    <w:name w:val="List 5"/>
    <w:basedOn w:val="Normalny"/>
    <w:uiPriority w:val="98"/>
    <w:semiHidden/>
    <w:rsid w:val="00DD0930"/>
    <w:pPr>
      <w:ind w:left="1415" w:hanging="283"/>
      <w:contextualSpacing/>
    </w:pPr>
  </w:style>
  <w:style w:type="paragraph" w:styleId="Listapunktowana2">
    <w:name w:val="List Bullet 2"/>
    <w:basedOn w:val="Normalny"/>
    <w:uiPriority w:val="98"/>
    <w:semiHidden/>
    <w:rsid w:val="00DD0930"/>
    <w:pPr>
      <w:numPr>
        <w:numId w:val="7"/>
      </w:numPr>
      <w:contextualSpacing/>
    </w:pPr>
  </w:style>
  <w:style w:type="paragraph" w:styleId="Listapunktowana4">
    <w:name w:val="List Bullet 4"/>
    <w:basedOn w:val="Normalny"/>
    <w:uiPriority w:val="98"/>
    <w:semiHidden/>
    <w:rsid w:val="00DD0930"/>
    <w:pPr>
      <w:numPr>
        <w:numId w:val="9"/>
      </w:numPr>
      <w:contextualSpacing/>
    </w:pPr>
  </w:style>
  <w:style w:type="paragraph" w:styleId="Listapunktowana5">
    <w:name w:val="List Bullet 5"/>
    <w:basedOn w:val="Normalny"/>
    <w:uiPriority w:val="98"/>
    <w:semiHidden/>
    <w:rsid w:val="00DD0930"/>
    <w:pPr>
      <w:numPr>
        <w:numId w:val="10"/>
      </w:numPr>
      <w:contextualSpacing/>
    </w:pPr>
  </w:style>
  <w:style w:type="paragraph" w:styleId="Lista-kontynuacja">
    <w:name w:val="List Continue"/>
    <w:basedOn w:val="Normalny"/>
    <w:uiPriority w:val="98"/>
    <w:semiHidden/>
    <w:rsid w:val="00DD0930"/>
    <w:pPr>
      <w:spacing w:after="120"/>
      <w:ind w:left="283"/>
      <w:contextualSpacing/>
    </w:pPr>
  </w:style>
  <w:style w:type="paragraph" w:styleId="Lista-kontynuacja2">
    <w:name w:val="List Continue 2"/>
    <w:basedOn w:val="Normalny"/>
    <w:uiPriority w:val="98"/>
    <w:semiHidden/>
    <w:rsid w:val="00DD0930"/>
    <w:pPr>
      <w:spacing w:after="120"/>
      <w:ind w:left="566"/>
      <w:contextualSpacing/>
    </w:pPr>
  </w:style>
  <w:style w:type="paragraph" w:styleId="Lista-kontynuacja3">
    <w:name w:val="List Continue 3"/>
    <w:basedOn w:val="Normalny"/>
    <w:uiPriority w:val="98"/>
    <w:semiHidden/>
    <w:rsid w:val="00DD0930"/>
    <w:pPr>
      <w:spacing w:after="120"/>
      <w:ind w:left="849"/>
      <w:contextualSpacing/>
    </w:pPr>
  </w:style>
  <w:style w:type="paragraph" w:styleId="Lista-kontynuacja4">
    <w:name w:val="List Continue 4"/>
    <w:basedOn w:val="Normalny"/>
    <w:uiPriority w:val="98"/>
    <w:semiHidden/>
    <w:rsid w:val="00DD0930"/>
    <w:pPr>
      <w:spacing w:after="120"/>
      <w:ind w:left="1132"/>
      <w:contextualSpacing/>
    </w:pPr>
  </w:style>
  <w:style w:type="paragraph" w:styleId="Lista-kontynuacja5">
    <w:name w:val="List Continue 5"/>
    <w:basedOn w:val="Normalny"/>
    <w:uiPriority w:val="98"/>
    <w:semiHidden/>
    <w:rsid w:val="00DD0930"/>
    <w:pPr>
      <w:spacing w:after="120"/>
      <w:ind w:left="1415"/>
      <w:contextualSpacing/>
    </w:pPr>
  </w:style>
  <w:style w:type="paragraph" w:styleId="Listanumerowana">
    <w:name w:val="List Number"/>
    <w:basedOn w:val="Normalny"/>
    <w:uiPriority w:val="98"/>
    <w:semiHidden/>
    <w:rsid w:val="00DD0930"/>
    <w:pPr>
      <w:numPr>
        <w:numId w:val="11"/>
      </w:numPr>
      <w:contextualSpacing/>
    </w:pPr>
  </w:style>
  <w:style w:type="paragraph" w:styleId="Listanumerowana2">
    <w:name w:val="List Number 2"/>
    <w:basedOn w:val="Normalny"/>
    <w:uiPriority w:val="98"/>
    <w:semiHidden/>
    <w:rsid w:val="00DD0930"/>
    <w:pPr>
      <w:numPr>
        <w:numId w:val="12"/>
      </w:numPr>
      <w:contextualSpacing/>
    </w:pPr>
  </w:style>
  <w:style w:type="paragraph" w:styleId="Listanumerowana3">
    <w:name w:val="List Number 3"/>
    <w:basedOn w:val="Normalny"/>
    <w:uiPriority w:val="98"/>
    <w:semiHidden/>
    <w:rsid w:val="00DD0930"/>
    <w:pPr>
      <w:numPr>
        <w:numId w:val="13"/>
      </w:numPr>
      <w:contextualSpacing/>
    </w:pPr>
  </w:style>
  <w:style w:type="paragraph" w:styleId="Listanumerowana4">
    <w:name w:val="List Number 4"/>
    <w:basedOn w:val="Normalny"/>
    <w:uiPriority w:val="98"/>
    <w:semiHidden/>
    <w:rsid w:val="00DD0930"/>
    <w:pPr>
      <w:numPr>
        <w:numId w:val="14"/>
      </w:numPr>
      <w:contextualSpacing/>
    </w:pPr>
  </w:style>
  <w:style w:type="paragraph" w:styleId="Listanumerowana5">
    <w:name w:val="List Number 5"/>
    <w:basedOn w:val="Normalny"/>
    <w:uiPriority w:val="98"/>
    <w:semiHidden/>
    <w:rsid w:val="00DD0930"/>
    <w:pPr>
      <w:numPr>
        <w:numId w:val="15"/>
      </w:numPr>
      <w:contextualSpacing/>
    </w:pPr>
  </w:style>
  <w:style w:type="paragraph" w:styleId="Tekstmakra">
    <w:name w:val="macro"/>
    <w:link w:val="TekstmakraZnak"/>
    <w:uiPriority w:val="98"/>
    <w:semiHidden/>
    <w:rsid w:val="00DD093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DD0930"/>
    <w:rPr>
      <w:rFonts w:ascii="Consolas" w:eastAsiaTheme="minorEastAsia" w:hAnsi="Consolas" w:cs="Consolas"/>
      <w:sz w:val="20"/>
      <w:szCs w:val="20"/>
    </w:rPr>
  </w:style>
  <w:style w:type="table" w:styleId="redniasiatka1">
    <w:name w:val="Medium Grid 1"/>
    <w:basedOn w:val="Standardowy"/>
    <w:uiPriority w:val="67"/>
    <w:semiHidden/>
    <w:rsid w:val="00DD093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D093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D093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D0930"/>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DD093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D093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D093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DD093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D093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D093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D093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DD093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D093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D093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DD093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D093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D093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D0930"/>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DD093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D093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D093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DD093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D093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D093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D0930"/>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D093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D093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D093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D093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D093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D093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D093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D093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D093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D093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DD093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DD0930"/>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DD0930"/>
    <w:rPr>
      <w:rFonts w:ascii="Times New Roman" w:hAnsi="Times New Roman" w:cs="Times New Roman"/>
    </w:rPr>
  </w:style>
  <w:style w:type="paragraph" w:styleId="Wcicienormalne">
    <w:name w:val="Normal Indent"/>
    <w:basedOn w:val="Normalny"/>
    <w:uiPriority w:val="98"/>
    <w:semiHidden/>
    <w:rsid w:val="00DD0930"/>
    <w:pPr>
      <w:ind w:left="720"/>
    </w:pPr>
  </w:style>
  <w:style w:type="paragraph" w:styleId="Nagweknotatki">
    <w:name w:val="Note Heading"/>
    <w:basedOn w:val="Normalny"/>
    <w:next w:val="Normalny"/>
    <w:link w:val="NagweknotatkiZnak"/>
    <w:uiPriority w:val="98"/>
    <w:semiHidden/>
    <w:rsid w:val="00DD0930"/>
  </w:style>
  <w:style w:type="character" w:customStyle="1" w:styleId="NagweknotatkiZnak">
    <w:name w:val="Nagłówek notatki Znak"/>
    <w:basedOn w:val="Domylnaczcionkaakapitu"/>
    <w:link w:val="Nagweknotatki"/>
    <w:uiPriority w:val="98"/>
    <w:semiHidden/>
    <w:rsid w:val="00DD0930"/>
    <w:rPr>
      <w:sz w:val="24"/>
      <w:szCs w:val="24"/>
      <w:lang w:val="en-GB"/>
    </w:rPr>
  </w:style>
  <w:style w:type="character" w:styleId="Tekstzastpczy">
    <w:name w:val="Placeholder Text"/>
    <w:basedOn w:val="Domylnaczcionkaakapitu"/>
    <w:uiPriority w:val="98"/>
    <w:semiHidden/>
    <w:rsid w:val="00DD0930"/>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DD0930"/>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DD0930"/>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DD0930"/>
  </w:style>
  <w:style w:type="character" w:customStyle="1" w:styleId="ZwrotgrzecznociowyZnak">
    <w:name w:val="Zwrot grzecznościowy Znak"/>
    <w:basedOn w:val="Domylnaczcionkaakapitu"/>
    <w:link w:val="Zwrotgrzecznociowy"/>
    <w:uiPriority w:val="98"/>
    <w:semiHidden/>
    <w:rsid w:val="00DD0930"/>
    <w:rPr>
      <w:sz w:val="24"/>
      <w:szCs w:val="24"/>
      <w:lang w:val="en-GB"/>
    </w:rPr>
  </w:style>
  <w:style w:type="paragraph" w:styleId="Podpis">
    <w:name w:val="Signature"/>
    <w:basedOn w:val="Normalny"/>
    <w:link w:val="PodpisZnak"/>
    <w:uiPriority w:val="98"/>
    <w:semiHidden/>
    <w:rsid w:val="00DD0930"/>
    <w:pPr>
      <w:ind w:left="4252"/>
    </w:pPr>
  </w:style>
  <w:style w:type="character" w:customStyle="1" w:styleId="PodpisZnak">
    <w:name w:val="Podpis Znak"/>
    <w:basedOn w:val="Domylnaczcionkaakapitu"/>
    <w:link w:val="Podpis"/>
    <w:uiPriority w:val="98"/>
    <w:semiHidden/>
    <w:rsid w:val="00DD0930"/>
    <w:rPr>
      <w:sz w:val="24"/>
      <w:szCs w:val="24"/>
      <w:lang w:val="en-GB"/>
    </w:rPr>
  </w:style>
  <w:style w:type="table" w:styleId="Tabela-Efekty3D1">
    <w:name w:val="Table 3D effects 1"/>
    <w:basedOn w:val="Standardowy"/>
    <w:uiPriority w:val="99"/>
    <w:semiHidden/>
    <w:unhideWhenUsed/>
    <w:rsid w:val="00DD093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D093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D093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D093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D093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D093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D093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D093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D093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D093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D093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D093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D093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D093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D093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D093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D093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D093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D093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D093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D093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D093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D093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D093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D093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D093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D093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D093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D093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D093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D093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D093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D093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DD0930"/>
    <w:pPr>
      <w:ind w:left="240" w:hanging="240"/>
    </w:pPr>
  </w:style>
  <w:style w:type="paragraph" w:styleId="Spisilustracji">
    <w:name w:val="table of figures"/>
    <w:basedOn w:val="Normalny"/>
    <w:next w:val="Normalny"/>
    <w:uiPriority w:val="98"/>
    <w:semiHidden/>
    <w:rsid w:val="00DD0930"/>
  </w:style>
  <w:style w:type="table" w:styleId="Tabela-Profesjonalny">
    <w:name w:val="Table Professional"/>
    <w:basedOn w:val="Standardowy"/>
    <w:uiPriority w:val="99"/>
    <w:semiHidden/>
    <w:unhideWhenUsed/>
    <w:rsid w:val="00DD093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D093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D093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D093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D093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D093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D093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D093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D093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D093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DD093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DD093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DD0930"/>
    <w:pPr>
      <w:spacing w:after="100"/>
      <w:ind w:left="1680"/>
    </w:pPr>
  </w:style>
  <w:style w:type="paragraph" w:styleId="Spistreci9">
    <w:name w:val="toc 9"/>
    <w:basedOn w:val="Normalny"/>
    <w:next w:val="Normalny"/>
    <w:autoRedefine/>
    <w:uiPriority w:val="98"/>
    <w:semiHidden/>
    <w:rsid w:val="00DD0930"/>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DD0930"/>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D0930"/>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DD0930"/>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DD0930"/>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D0930"/>
    <w:pPr>
      <w:numPr>
        <w:numId w:val="19"/>
      </w:numPr>
      <w:spacing w:before="60" w:after="60"/>
    </w:pPr>
  </w:style>
  <w:style w:type="paragraph" w:customStyle="1" w:styleId="ECHRBullet2">
    <w:name w:val="ECHR_Bullet_2"/>
    <w:aliases w:val="_Bul_2"/>
    <w:basedOn w:val="ECHRBullet1"/>
    <w:uiPriority w:val="23"/>
    <w:semiHidden/>
    <w:rsid w:val="00DD0930"/>
    <w:pPr>
      <w:numPr>
        <w:ilvl w:val="1"/>
      </w:numPr>
    </w:pPr>
  </w:style>
  <w:style w:type="paragraph" w:customStyle="1" w:styleId="ECHRBullet3">
    <w:name w:val="ECHR_Bullet_3"/>
    <w:aliases w:val="_Bul_3"/>
    <w:basedOn w:val="ECHRBullet2"/>
    <w:uiPriority w:val="23"/>
    <w:semiHidden/>
    <w:rsid w:val="00DD0930"/>
    <w:pPr>
      <w:numPr>
        <w:ilvl w:val="2"/>
      </w:numPr>
    </w:pPr>
  </w:style>
  <w:style w:type="paragraph" w:customStyle="1" w:styleId="ECHRBullet4">
    <w:name w:val="ECHR_Bullet_4"/>
    <w:aliases w:val="_Bul_4"/>
    <w:basedOn w:val="ECHRBullet3"/>
    <w:uiPriority w:val="23"/>
    <w:semiHidden/>
    <w:rsid w:val="00DD0930"/>
    <w:pPr>
      <w:numPr>
        <w:ilvl w:val="3"/>
      </w:numPr>
    </w:pPr>
  </w:style>
  <w:style w:type="paragraph" w:customStyle="1" w:styleId="ECHRConfidential">
    <w:name w:val="ECHR_Confidential"/>
    <w:aliases w:val="_Confidential"/>
    <w:basedOn w:val="Normalny"/>
    <w:next w:val="Normalny"/>
    <w:uiPriority w:val="42"/>
    <w:semiHidden/>
    <w:qFormat/>
    <w:rsid w:val="00DD0930"/>
    <w:pPr>
      <w:jc w:val="right"/>
    </w:pPr>
    <w:rPr>
      <w:color w:val="C00000"/>
      <w:sz w:val="20"/>
    </w:rPr>
  </w:style>
  <w:style w:type="paragraph" w:customStyle="1" w:styleId="ECHRDecisionBody">
    <w:name w:val="ECHR_Decision_Body"/>
    <w:aliases w:val="_Decision_Body"/>
    <w:basedOn w:val="NormalJustified"/>
    <w:uiPriority w:val="54"/>
    <w:semiHidden/>
    <w:rsid w:val="00DD0930"/>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DD0930"/>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DD0930"/>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DD0930"/>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DD0930"/>
    <w:pPr>
      <w:jc w:val="right"/>
    </w:pPr>
    <w:rPr>
      <w:sz w:val="20"/>
    </w:rPr>
  </w:style>
  <w:style w:type="paragraph" w:customStyle="1" w:styleId="ECHRHeaderRefIt">
    <w:name w:val="ECHR_Header_Ref_It"/>
    <w:aliases w:val="_Ref_Ital"/>
    <w:basedOn w:val="Normalny"/>
    <w:next w:val="ECHRHeaderDate"/>
    <w:uiPriority w:val="43"/>
    <w:qFormat/>
    <w:rsid w:val="00DD0930"/>
    <w:pPr>
      <w:jc w:val="right"/>
    </w:pPr>
    <w:rPr>
      <w:i/>
      <w:sz w:val="20"/>
    </w:rPr>
  </w:style>
  <w:style w:type="paragraph" w:customStyle="1" w:styleId="ECHRHeading9">
    <w:name w:val="ECHR_Heading_9"/>
    <w:aliases w:val="_Head_9"/>
    <w:basedOn w:val="Nagwek9"/>
    <w:uiPriority w:val="17"/>
    <w:semiHidden/>
    <w:rsid w:val="00DD0930"/>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DD0930"/>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DD0930"/>
    <w:pPr>
      <w:numPr>
        <w:numId w:val="20"/>
      </w:numPr>
      <w:spacing w:before="60" w:after="60"/>
    </w:pPr>
  </w:style>
  <w:style w:type="paragraph" w:customStyle="1" w:styleId="ECHRNumberedList2">
    <w:name w:val="ECHR_Numbered_List_2"/>
    <w:aliases w:val="_Num_2"/>
    <w:basedOn w:val="ECHRNumberedList1"/>
    <w:uiPriority w:val="23"/>
    <w:semiHidden/>
    <w:rsid w:val="00DD0930"/>
    <w:pPr>
      <w:numPr>
        <w:ilvl w:val="1"/>
      </w:numPr>
    </w:pPr>
  </w:style>
  <w:style w:type="paragraph" w:customStyle="1" w:styleId="ECHRNumberedList3">
    <w:name w:val="ECHR_Numbered_List_3"/>
    <w:aliases w:val="_Num_3"/>
    <w:basedOn w:val="ECHRNumberedList2"/>
    <w:uiPriority w:val="23"/>
    <w:semiHidden/>
    <w:rsid w:val="00DD0930"/>
    <w:pPr>
      <w:numPr>
        <w:ilvl w:val="2"/>
      </w:numPr>
    </w:pPr>
  </w:style>
  <w:style w:type="paragraph" w:customStyle="1" w:styleId="ECHRParaHanging">
    <w:name w:val="ECHR_Para_Hanging"/>
    <w:aliases w:val="_Hanging"/>
    <w:basedOn w:val="NormalJustified"/>
    <w:uiPriority w:val="8"/>
    <w:semiHidden/>
    <w:qFormat/>
    <w:rsid w:val="00DD0930"/>
    <w:pPr>
      <w:ind w:left="567" w:hanging="567"/>
    </w:pPr>
  </w:style>
  <w:style w:type="paragraph" w:customStyle="1" w:styleId="ECHRParaIndent">
    <w:name w:val="ECHR_Para_Indent"/>
    <w:aliases w:val="_Indent"/>
    <w:basedOn w:val="NormalJustified"/>
    <w:uiPriority w:val="7"/>
    <w:semiHidden/>
    <w:qFormat/>
    <w:rsid w:val="00DD0930"/>
    <w:pPr>
      <w:spacing w:before="120" w:after="120"/>
      <w:ind w:left="284"/>
    </w:pPr>
  </w:style>
  <w:style w:type="character" w:customStyle="1" w:styleId="ECHRRed">
    <w:name w:val="ECHR_Red"/>
    <w:aliases w:val="_Red"/>
    <w:basedOn w:val="Domylnaczcionkaakapitu"/>
    <w:uiPriority w:val="15"/>
    <w:semiHidden/>
    <w:qFormat/>
    <w:rsid w:val="00DD0930"/>
    <w:rPr>
      <w:color w:val="C00000" w:themeColor="accent2"/>
    </w:rPr>
  </w:style>
  <w:style w:type="paragraph" w:customStyle="1" w:styleId="DecList">
    <w:name w:val="Dec_List"/>
    <w:aliases w:val="_List"/>
    <w:basedOn w:val="JuList"/>
    <w:uiPriority w:val="22"/>
    <w:rsid w:val="00DD0930"/>
    <w:pPr>
      <w:numPr>
        <w:numId w:val="0"/>
      </w:numPr>
      <w:ind w:left="284"/>
    </w:pPr>
  </w:style>
  <w:style w:type="table" w:customStyle="1" w:styleId="ECHRTable2">
    <w:name w:val="ECHR_Table_2"/>
    <w:basedOn w:val="Standardowy"/>
    <w:uiPriority w:val="99"/>
    <w:rsid w:val="00DD093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DD0930"/>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DD0930"/>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DD0930"/>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DD0930"/>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DD0930"/>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DD0930"/>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DD0930"/>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DD0930"/>
    <w:pPr>
      <w:outlineLvl w:val="0"/>
    </w:pPr>
  </w:style>
  <w:style w:type="paragraph" w:customStyle="1" w:styleId="ECHRTitleTOC1">
    <w:name w:val="ECHR_Title_TOC_1"/>
    <w:aliases w:val="_Title_L_TOC"/>
    <w:basedOn w:val="ECHRTitle1"/>
    <w:next w:val="Normalny"/>
    <w:uiPriority w:val="27"/>
    <w:semiHidden/>
    <w:qFormat/>
    <w:rsid w:val="00DD0930"/>
    <w:pPr>
      <w:outlineLvl w:val="0"/>
    </w:pPr>
  </w:style>
  <w:style w:type="paragraph" w:customStyle="1" w:styleId="ECHRPlaceholder">
    <w:name w:val="ECHR_Placeholder"/>
    <w:aliases w:val="_Placeholder"/>
    <w:basedOn w:val="JuSigned"/>
    <w:uiPriority w:val="31"/>
    <w:rsid w:val="00DD0930"/>
    <w:rPr>
      <w:color w:val="FFFFFF"/>
    </w:rPr>
  </w:style>
  <w:style w:type="paragraph" w:customStyle="1" w:styleId="ECHRSpacer">
    <w:name w:val="ECHR_Spacer"/>
    <w:aliases w:val="_Spacer"/>
    <w:basedOn w:val="Normalny"/>
    <w:uiPriority w:val="45"/>
    <w:semiHidden/>
    <w:rsid w:val="00DD0930"/>
    <w:rPr>
      <w:sz w:val="4"/>
    </w:rPr>
  </w:style>
  <w:style w:type="table" w:customStyle="1" w:styleId="ECHRTableGrey">
    <w:name w:val="ECHR_Table_Grey"/>
    <w:basedOn w:val="Standardowy"/>
    <w:uiPriority w:val="99"/>
    <w:rsid w:val="00DD0930"/>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DD0930"/>
    <w:rPr>
      <w:color w:val="605E5C"/>
      <w:shd w:val="clear" w:color="auto" w:fill="E1DFDD"/>
    </w:rPr>
  </w:style>
  <w:style w:type="character" w:customStyle="1" w:styleId="JuParaChar">
    <w:name w:val="Ju_Para Char"/>
    <w:aliases w:val="_Para Char"/>
    <w:link w:val="JuPara"/>
    <w:uiPriority w:val="4"/>
    <w:rsid w:val="00E70AE3"/>
    <w:rPr>
      <w:sz w:val="24"/>
      <w:szCs w:val="24"/>
      <w:lang w:val="en-GB"/>
    </w:rPr>
  </w:style>
  <w:style w:type="table" w:styleId="Tabelasiatki1jasna">
    <w:name w:val="Grid Table 1 Light"/>
    <w:basedOn w:val="Standardowy"/>
    <w:uiPriority w:val="46"/>
    <w:semiHidden/>
    <w:rsid w:val="00E70AE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E70AE3"/>
    <w:pPr>
      <w:numPr>
        <w:ilvl w:val="0"/>
        <w:numId w:val="0"/>
      </w:numPr>
      <w:tabs>
        <w:tab w:val="num" w:pos="1701"/>
      </w:tabs>
      <w:spacing w:before="60" w:after="60" w:line="240" w:lineRule="exact"/>
      <w:ind w:left="1703" w:hanging="284"/>
      <w:contextualSpacing/>
    </w:pPr>
    <w:rPr>
      <w:sz w:val="22"/>
      <w:lang w:val="fr-FR" w:eastAsia="fr-FR"/>
    </w:rPr>
  </w:style>
  <w:style w:type="table" w:styleId="Tabelasiatki1jasnaakcent1">
    <w:name w:val="Grid Table 1 Light Accent 1"/>
    <w:basedOn w:val="Standardowy"/>
    <w:uiPriority w:val="46"/>
    <w:semiHidden/>
    <w:rsid w:val="00E70AE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E70AE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E70AE3"/>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E70AE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E70AE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E70AE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E70AE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E70AE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E70AE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E70AE3"/>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E70AE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E70AE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E70AE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E70AE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E70AE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E70AE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E70AE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E70AE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E70AE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E70AE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E70AE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E70AE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E70AE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E70AE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E70AE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E70AE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E70AE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E70A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E70A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E70A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E70A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E70A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E70A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E70A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E70AE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E70AE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E70AE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E70AE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E70AE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E70AE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E70AE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E70AE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E70AE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E70AE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E70AE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E70AE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E70AE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E70AE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E70AE3"/>
    <w:rPr>
      <w:color w:val="2B579A"/>
      <w:shd w:val="clear" w:color="auto" w:fill="E1DFDD"/>
    </w:rPr>
  </w:style>
  <w:style w:type="table" w:styleId="Tabelalisty1jasna">
    <w:name w:val="List Table 1 Light"/>
    <w:basedOn w:val="Standardowy"/>
    <w:uiPriority w:val="46"/>
    <w:semiHidden/>
    <w:rsid w:val="00E70AE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E70AE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E70AE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E70AE3"/>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E70AE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E70AE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E70AE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E70AE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E70AE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E70AE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E70AE3"/>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E70AE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E70AE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E70AE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E70AE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E70AE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E70AE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E70AE3"/>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E70AE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E70AE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E70AE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E70AE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E70AE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E70AE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E70AE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E70AE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E70AE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E70AE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E70AE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E70AE3"/>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E70AE3"/>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E70AE3"/>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E70AE3"/>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E70AE3"/>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E70AE3"/>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E70AE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E70AE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E70AE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E70AE3"/>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E70AE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E70AE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E70AE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E70AE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E70AE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E70AE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E70AE3"/>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E70AE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E70AE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E70AE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E70AE3"/>
    <w:rPr>
      <w:color w:val="2B579A"/>
      <w:shd w:val="clear" w:color="auto" w:fill="E1DFDD"/>
    </w:rPr>
  </w:style>
  <w:style w:type="table" w:styleId="Zwykatabela1">
    <w:name w:val="Plain Table 1"/>
    <w:basedOn w:val="Standardowy"/>
    <w:uiPriority w:val="41"/>
    <w:semiHidden/>
    <w:rsid w:val="00E70AE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E70AE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E70AE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E70AE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E70AE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E70AE3"/>
    <w:rPr>
      <w:u w:val="dotted"/>
    </w:rPr>
  </w:style>
  <w:style w:type="character" w:styleId="Inteligentnylink">
    <w:name w:val="Smart Link"/>
    <w:basedOn w:val="Domylnaczcionkaakapitu"/>
    <w:uiPriority w:val="99"/>
    <w:semiHidden/>
    <w:unhideWhenUsed/>
    <w:rsid w:val="00E70AE3"/>
    <w:rPr>
      <w:color w:val="0000FF"/>
      <w:u w:val="single"/>
      <w:shd w:val="clear" w:color="auto" w:fill="F3F2F1"/>
    </w:rPr>
  </w:style>
  <w:style w:type="table" w:styleId="Siatkatabelijasna">
    <w:name w:val="Grid Table Light"/>
    <w:basedOn w:val="Standardowy"/>
    <w:uiPriority w:val="40"/>
    <w:semiHidden/>
    <w:rsid w:val="00E70AE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JuListChar">
    <w:name w:val="Ju_List Char"/>
    <w:link w:val="JuList"/>
    <w:uiPriority w:val="23"/>
    <w:rsid w:val="00E70AE3"/>
    <w:rPr>
      <w:sz w:val="24"/>
      <w:szCs w:val="24"/>
      <w:lang w:val="en-GB"/>
    </w:rPr>
  </w:style>
  <w:style w:type="character" w:customStyle="1" w:styleId="JuParaCar">
    <w:name w:val="Ju_Para Car"/>
    <w:uiPriority w:val="12"/>
    <w:rsid w:val="00E70AE3"/>
    <w:rPr>
      <w:sz w:val="24"/>
      <w:lang w:val="en-GB" w:eastAsia="fr-FR" w:bidi="ar-SA"/>
    </w:rPr>
  </w:style>
  <w:style w:type="paragraph" w:styleId="Poprawka">
    <w:name w:val="Revision"/>
    <w:hidden/>
    <w:uiPriority w:val="99"/>
    <w:semiHidden/>
    <w:rsid w:val="00E70AE3"/>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9205</Words>
  <Characters>55231</Characters>
  <Application>Microsoft Office Word</Application>
  <DocSecurity>0</DocSecurity>
  <Lines>460</Lines>
  <Paragraphs>128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64308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2023-10-26T12:33:00Z</dcterms:created>
  <dcterms:modified xsi:type="dcterms:W3CDTF">2023-12-05T10:42:00Z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1236094</vt:lpwstr>
  </property>
  <property fmtid="{D5CDD505-2E9C-101B-9397-08002B2CF9AE}" pid="3" name="cstLanguage">
    <vt:i4>2057</vt:i4>
  </property>
  <property fmtid="{D5CDD505-2E9C-101B-9397-08002B2CF9AE}" pid="4" name="RegisteredNo">
    <vt:lpwstr>52641/16</vt:lpwstr>
  </property>
</Properties>
</file>