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666007" w14:textId="77777777" w:rsidR="0051506F" w:rsidRPr="00584DBA" w:rsidRDefault="0051506F" w:rsidP="00613515">
      <w:pPr>
        <w:jc w:val="center"/>
        <w:rPr>
          <w:rFonts w:ascii="Times New Roman" w:hAnsi="Times New Roman" w:cs="Times New Roman"/>
        </w:rPr>
      </w:pPr>
    </w:p>
    <w:p w14:paraId="4E7E9C46" w14:textId="77777777" w:rsidR="0098410D" w:rsidRPr="00584DBA" w:rsidRDefault="0098410D" w:rsidP="00613515">
      <w:pPr>
        <w:jc w:val="center"/>
      </w:pPr>
    </w:p>
    <w:p w14:paraId="72CB62E1" w14:textId="77777777" w:rsidR="00584DBA" w:rsidRPr="00584DBA" w:rsidRDefault="00584DBA" w:rsidP="00584DBA">
      <w:pPr>
        <w:pStyle w:val="DecHTitle"/>
      </w:pPr>
      <w:r w:rsidRPr="00584DBA">
        <w:t>SEKCJA PIERWSZA</w:t>
      </w:r>
    </w:p>
    <w:p w14:paraId="589B21E8" w14:textId="77777777" w:rsidR="00584DBA" w:rsidRPr="00584DBA" w:rsidRDefault="00584DBA" w:rsidP="00584DBA">
      <w:pPr>
        <w:pStyle w:val="JuTitle"/>
      </w:pPr>
      <w:r w:rsidRPr="00584DBA">
        <w:rPr>
          <w:color w:val="000000" w:themeColor="text1"/>
        </w:rPr>
        <w:t xml:space="preserve">SPRAWA </w:t>
      </w:r>
      <w:r w:rsidRPr="00584DBA">
        <w:t>ANDRZEJ RUCIŃSKI PRZECIWKO POLSCE</w:t>
      </w:r>
    </w:p>
    <w:p w14:paraId="52709C51" w14:textId="77777777" w:rsidR="00584DBA" w:rsidRPr="00584DBA" w:rsidRDefault="00584DBA" w:rsidP="00584DBA">
      <w:pPr>
        <w:pStyle w:val="ECHRCoverTitle4"/>
      </w:pPr>
      <w:r w:rsidRPr="00584DBA">
        <w:t>(Skarga nr 22716/12)</w:t>
      </w:r>
    </w:p>
    <w:p w14:paraId="4529C3DD" w14:textId="77777777" w:rsidR="00584DBA" w:rsidRPr="00584DBA" w:rsidRDefault="00584DBA" w:rsidP="00584DBA">
      <w:pPr>
        <w:pStyle w:val="DecHCase"/>
      </w:pPr>
    </w:p>
    <w:p w14:paraId="6E4BD976" w14:textId="3478027D" w:rsidR="00584DBA" w:rsidRPr="00584DBA" w:rsidRDefault="00584DBA" w:rsidP="00584DBA">
      <w:pPr>
        <w:pStyle w:val="DecHCase"/>
      </w:pPr>
      <w:r w:rsidRPr="00584DBA">
        <w:t>WYROK</w:t>
      </w:r>
      <w:r w:rsidRPr="00584DBA">
        <w:br/>
      </w:r>
      <w:r w:rsidRPr="00584DBA">
        <w:rPr>
          <w:i/>
          <w:iCs/>
        </w:rPr>
        <w:t>(</w:t>
      </w:r>
      <w:r w:rsidR="005B53CD" w:rsidRPr="005B53CD">
        <w:rPr>
          <w:i/>
          <w:iCs/>
        </w:rPr>
        <w:t>przedmiot skargi</w:t>
      </w:r>
      <w:r w:rsidRPr="00584DBA">
        <w:rPr>
          <w:i/>
          <w:iCs/>
        </w:rPr>
        <w:t>)</w:t>
      </w:r>
    </w:p>
    <w:p w14:paraId="14414160" w14:textId="77777777" w:rsidR="00584DBA" w:rsidRPr="00584DBA" w:rsidRDefault="00584DBA" w:rsidP="00584DBA">
      <w:pPr>
        <w:pStyle w:val="DecHCase"/>
      </w:pPr>
    </w:p>
    <w:p w14:paraId="6BB3D3AF" w14:textId="601B50F0" w:rsidR="00584DBA" w:rsidRPr="00584DBA" w:rsidRDefault="00584DBA" w:rsidP="00584DBA">
      <w:pPr>
        <w:pStyle w:val="DecHCase"/>
        <w:pBdr>
          <w:top w:val="single" w:sz="4" w:space="1" w:color="auto"/>
          <w:left w:val="single" w:sz="4" w:space="4" w:color="auto"/>
          <w:bottom w:val="single" w:sz="4" w:space="1" w:color="auto"/>
          <w:right w:val="single" w:sz="4" w:space="4" w:color="auto"/>
        </w:pBdr>
        <w:jc w:val="both"/>
      </w:pPr>
      <w:r w:rsidRPr="00584DBA">
        <w:t xml:space="preserve">Art. 1 P1 </w:t>
      </w:r>
      <w:r w:rsidR="00145859">
        <w:t>–</w:t>
      </w:r>
      <w:r w:rsidRPr="00584DBA">
        <w:t xml:space="preserve"> </w:t>
      </w:r>
      <w:r w:rsidR="00145859">
        <w:t xml:space="preserve">Poszanowanie </w:t>
      </w:r>
      <w:r w:rsidR="009D459A">
        <w:t xml:space="preserve">prawa </w:t>
      </w:r>
      <w:r w:rsidR="00411EBA">
        <w:t>do swojego mienia</w:t>
      </w:r>
      <w:r w:rsidR="009D459A">
        <w:t xml:space="preserve"> </w:t>
      </w:r>
      <w:r w:rsidRPr="00584DBA">
        <w:t xml:space="preserve">- </w:t>
      </w:r>
      <w:r w:rsidR="00145859">
        <w:t>U</w:t>
      </w:r>
      <w:r w:rsidR="00145859" w:rsidRPr="00145859">
        <w:t>regulowani</w:t>
      </w:r>
      <w:r w:rsidR="00145859">
        <w:t>e</w:t>
      </w:r>
      <w:r w:rsidR="00145859" w:rsidRPr="00145859">
        <w:t xml:space="preserve"> sposobu korzystania z</w:t>
      </w:r>
      <w:r w:rsidR="00145859">
        <w:t> </w:t>
      </w:r>
      <w:r w:rsidR="00145859" w:rsidRPr="00145859">
        <w:t xml:space="preserve">własności </w:t>
      </w:r>
      <w:r w:rsidRPr="00584DBA">
        <w:t>- Indywidualne i nadmierne obciążenie nałożone na skarżącego w wyniku ograniczenia jego własności osobistej i firmowej przez okres trzech lat w kontekście przedłużającego się postępowania podatkowego - Możliwość zastosowania art. 1 P1 - Przedsiębiorstwo skarżącego poniosło znaczne straty - Władze krajowe nie rozważyły w wystarczającym stopniu możliwości zastosowania mniej inwazyjnych środków - Brak odszkodowania - Skarżący zmuszony do poniesienia istotnych konsekwencji finansowych rozbieżnych praktyk władz publicznych - Państwo powinno ponosić odpowiedzialność za błędy lub zaniechania wynikające z jego działań - Niezachowanie właściwej równowagi między konkurującymi interesami</w:t>
      </w:r>
    </w:p>
    <w:p w14:paraId="0F65333A" w14:textId="77777777" w:rsidR="00584DBA" w:rsidRPr="00584DBA" w:rsidRDefault="00584DBA" w:rsidP="00584DBA">
      <w:pPr>
        <w:pStyle w:val="DecHCase"/>
      </w:pPr>
    </w:p>
    <w:p w14:paraId="33CD696D" w14:textId="77777777" w:rsidR="00584DBA" w:rsidRPr="00584DBA" w:rsidRDefault="00584DBA" w:rsidP="00584DBA">
      <w:pPr>
        <w:pStyle w:val="DecHCase"/>
      </w:pPr>
      <w:r w:rsidRPr="00584DBA">
        <w:t>STRASBURG</w:t>
      </w:r>
    </w:p>
    <w:p w14:paraId="6A524C44" w14:textId="67490EB4" w:rsidR="00584DBA" w:rsidRPr="00584DBA" w:rsidRDefault="00584DBA" w:rsidP="00584DBA">
      <w:pPr>
        <w:pStyle w:val="DecHCase"/>
      </w:pPr>
      <w:r w:rsidRPr="00584DBA">
        <w:rPr>
          <w:rFonts w:ascii="Times New Roman" w:hAnsi="Times New Roman"/>
        </w:rPr>
        <w:t>5 października 2023 r.</w:t>
      </w:r>
    </w:p>
    <w:p w14:paraId="364D2195" w14:textId="18BA5C5E" w:rsidR="0098410D" w:rsidRPr="00584DBA" w:rsidRDefault="00584DBA" w:rsidP="00613515">
      <w:pPr>
        <w:sectPr w:rsidR="0098410D" w:rsidRPr="00584DBA"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r w:rsidRPr="00584DBA">
        <w:rPr>
          <w:i/>
          <w:sz w:val="22"/>
        </w:rPr>
        <w:t>Wyrok ten stanie się ostateczny na zasadach określonych w art. 44 ust. 2 Konwencji. Wyrok może podlegać korekcie wydawniczej</w:t>
      </w:r>
      <w:r w:rsidRPr="00613515">
        <w:rPr>
          <w:i/>
          <w:sz w:val="22"/>
        </w:rPr>
        <w:t>.</w:t>
      </w:r>
    </w:p>
    <w:p w14:paraId="480E1A42" w14:textId="77777777" w:rsidR="0098410D" w:rsidRPr="00584DBA" w:rsidRDefault="00775227" w:rsidP="00613515">
      <w:pPr>
        <w:pStyle w:val="JuCase"/>
      </w:pPr>
      <w:r w:rsidRPr="00584DBA">
        <w:lastRenderedPageBreak/>
        <w:t>W sprawie Andrzej Ruciński przeciwko Polsce,</w:t>
      </w:r>
    </w:p>
    <w:p w14:paraId="60123A9B" w14:textId="77777777" w:rsidR="009F4C8F" w:rsidRPr="00584DBA" w:rsidRDefault="00775227" w:rsidP="00613515">
      <w:pPr>
        <w:pStyle w:val="JuPara"/>
      </w:pPr>
      <w:r w:rsidRPr="00584DBA">
        <w:t>Europejski Trybunał Praw Człowieka (Sekcja Pierwsza), zasiadając jako Izba w składzie:</w:t>
      </w:r>
    </w:p>
    <w:p w14:paraId="365F23FA" w14:textId="3F126DDC" w:rsidR="00A92625" w:rsidRPr="00584DBA" w:rsidRDefault="00775227" w:rsidP="00613515">
      <w:pPr>
        <w:pStyle w:val="JuJudges"/>
      </w:pPr>
      <w:r w:rsidRPr="00584DBA">
        <w:tab/>
        <w:t xml:space="preserve">Marko </w:t>
      </w:r>
      <w:proofErr w:type="spellStart"/>
      <w:r w:rsidRPr="00584DBA">
        <w:t>Bošnjak</w:t>
      </w:r>
      <w:proofErr w:type="spellEnd"/>
      <w:r w:rsidRPr="00584DBA">
        <w:t xml:space="preserve">, </w:t>
      </w:r>
      <w:r w:rsidRPr="00584DBA">
        <w:rPr>
          <w:i/>
        </w:rPr>
        <w:t>przewodniczący</w:t>
      </w:r>
      <w:r w:rsidRPr="00584DBA">
        <w:t>,</w:t>
      </w:r>
      <w:r w:rsidRPr="00584DBA">
        <w:br/>
      </w:r>
      <w:r w:rsidR="00264123">
        <w:tab/>
      </w:r>
      <w:r w:rsidRPr="00584DBA">
        <w:t xml:space="preserve">Alena </w:t>
      </w:r>
      <w:proofErr w:type="spellStart"/>
      <w:r w:rsidRPr="00584DBA">
        <w:t>Poláčková</w:t>
      </w:r>
      <w:proofErr w:type="spellEnd"/>
      <w:r w:rsidRPr="00584DBA">
        <w:t>,</w:t>
      </w:r>
      <w:r w:rsidRPr="00584DBA">
        <w:br/>
      </w:r>
      <w:r w:rsidR="00264123">
        <w:tab/>
      </w:r>
      <w:r w:rsidRPr="00584DBA">
        <w:t xml:space="preserve">Krzysztof </w:t>
      </w:r>
      <w:proofErr w:type="spellStart"/>
      <w:r w:rsidRPr="00584DBA">
        <w:t>Wojtyczek</w:t>
      </w:r>
      <w:proofErr w:type="spellEnd"/>
      <w:r w:rsidRPr="00584DBA">
        <w:t>,</w:t>
      </w:r>
      <w:r w:rsidRPr="00584DBA">
        <w:br/>
      </w:r>
      <w:r w:rsidR="00264123">
        <w:tab/>
      </w:r>
      <w:proofErr w:type="spellStart"/>
      <w:r w:rsidRPr="00584DBA">
        <w:t>Lətif</w:t>
      </w:r>
      <w:proofErr w:type="spellEnd"/>
      <w:r w:rsidRPr="00584DBA">
        <w:t xml:space="preserve"> </w:t>
      </w:r>
      <w:proofErr w:type="spellStart"/>
      <w:r w:rsidRPr="00584DBA">
        <w:t>Hüseynov</w:t>
      </w:r>
      <w:proofErr w:type="spellEnd"/>
      <w:r w:rsidRPr="00584DBA">
        <w:t>,</w:t>
      </w:r>
      <w:r w:rsidRPr="00584DBA">
        <w:br/>
      </w:r>
      <w:r w:rsidR="00264123">
        <w:tab/>
      </w:r>
      <w:proofErr w:type="spellStart"/>
      <w:r w:rsidRPr="00584DBA">
        <w:t>Péter</w:t>
      </w:r>
      <w:proofErr w:type="spellEnd"/>
      <w:r w:rsidRPr="00584DBA">
        <w:t xml:space="preserve"> </w:t>
      </w:r>
      <w:proofErr w:type="spellStart"/>
      <w:r w:rsidRPr="00584DBA">
        <w:t>Paczolay</w:t>
      </w:r>
      <w:proofErr w:type="spellEnd"/>
      <w:r w:rsidRPr="00584DBA">
        <w:t>,</w:t>
      </w:r>
      <w:r w:rsidRPr="00584DBA">
        <w:br/>
      </w:r>
      <w:r w:rsidR="00264123">
        <w:tab/>
      </w:r>
      <w:r w:rsidRPr="00584DBA">
        <w:t xml:space="preserve">Ivana </w:t>
      </w:r>
      <w:proofErr w:type="spellStart"/>
      <w:r w:rsidRPr="00584DBA">
        <w:t>Jelić</w:t>
      </w:r>
      <w:proofErr w:type="spellEnd"/>
      <w:r w:rsidRPr="00584DBA">
        <w:t>,</w:t>
      </w:r>
      <w:r w:rsidRPr="00584DBA">
        <w:br/>
      </w:r>
      <w:r w:rsidR="00264123">
        <w:tab/>
      </w:r>
      <w:r w:rsidRPr="00584DBA">
        <w:t xml:space="preserve">Gilberto </w:t>
      </w:r>
      <w:proofErr w:type="spellStart"/>
      <w:r w:rsidRPr="00584DBA">
        <w:t>Felici</w:t>
      </w:r>
      <w:proofErr w:type="spellEnd"/>
      <w:r w:rsidRPr="00584DBA">
        <w:rPr>
          <w:i/>
        </w:rPr>
        <w:t>, sędziowie</w:t>
      </w:r>
      <w:r w:rsidRPr="00584DBA">
        <w:br/>
        <w:t xml:space="preserve">oraz Renata </w:t>
      </w:r>
      <w:proofErr w:type="spellStart"/>
      <w:r w:rsidRPr="00584DBA">
        <w:t>Degener</w:t>
      </w:r>
      <w:proofErr w:type="spellEnd"/>
      <w:r w:rsidRPr="00584DBA">
        <w:t xml:space="preserve">, </w:t>
      </w:r>
      <w:r w:rsidRPr="00584DBA">
        <w:rPr>
          <w:i/>
          <w:iCs/>
        </w:rPr>
        <w:t>kanclerz</w:t>
      </w:r>
      <w:r w:rsidRPr="00584DBA">
        <w:rPr>
          <w:i/>
        </w:rPr>
        <w:t xml:space="preserve"> sekcji</w:t>
      </w:r>
      <w:r w:rsidRPr="00584DBA">
        <w:t>,</w:t>
      </w:r>
    </w:p>
    <w:p w14:paraId="7AF3F539" w14:textId="495D814B" w:rsidR="0051506F" w:rsidRPr="00584DBA" w:rsidRDefault="00264123" w:rsidP="00613515">
      <w:pPr>
        <w:pStyle w:val="JuPara"/>
      </w:pPr>
      <w:r>
        <w:t>m</w:t>
      </w:r>
      <w:r w:rsidRPr="00584DBA">
        <w:t>ając na uwadze:</w:t>
      </w:r>
    </w:p>
    <w:p w14:paraId="7C138FE1" w14:textId="2335ECF8" w:rsidR="0051506F" w:rsidRPr="00584DBA" w:rsidRDefault="00775227" w:rsidP="00613515">
      <w:pPr>
        <w:pStyle w:val="JuPara"/>
      </w:pPr>
      <w:r w:rsidRPr="00584DBA">
        <w:t>skargę (nr 22716/12) przeciwko Rzeczypospolitej Polskiej wniesioną do Trybunału w dniu 5 kwietnia 2012 r. na podstawie art. 34 Konwencji o</w:t>
      </w:r>
      <w:r w:rsidR="00264123">
        <w:t> </w:t>
      </w:r>
      <w:r w:rsidRPr="00584DBA">
        <w:t>ochronie praw człowieka i podstawowych wolności („Konwencja”) przez obywatela polskiego Andrzeja Rucińskiego („skarżący”);</w:t>
      </w:r>
    </w:p>
    <w:p w14:paraId="15839477" w14:textId="66D0ADF3" w:rsidR="0051506F" w:rsidRPr="00584DBA" w:rsidRDefault="00775227" w:rsidP="00613515">
      <w:pPr>
        <w:pStyle w:val="JuPara"/>
      </w:pPr>
      <w:r w:rsidRPr="00584DBA">
        <w:t>decyzję o zawiadomieniu rządu polskiego („Rząd”) o skardze dotyczącej braku odszkodowania za szkodę, jaką przedsiębiorstwo skarżącego poniosło w</w:t>
      </w:r>
      <w:r w:rsidR="00264123">
        <w:t> </w:t>
      </w:r>
      <w:r w:rsidRPr="00584DBA">
        <w:t>wyniku niezgodnych z prawem i nieproporcjonalnych decyzji podatkowych, oraz o uznaniu pozostałej części skargi za niedopuszczalną;</w:t>
      </w:r>
    </w:p>
    <w:p w14:paraId="73E35818" w14:textId="77777777" w:rsidR="0051506F" w:rsidRPr="00584DBA" w:rsidRDefault="00775227" w:rsidP="00613515">
      <w:pPr>
        <w:pStyle w:val="JuPara"/>
      </w:pPr>
      <w:r w:rsidRPr="00584DBA">
        <w:t>uwagi przedstawione przez Rząd oraz uwagi przedłożone w odpowiedzi przez skarżącego,</w:t>
      </w:r>
    </w:p>
    <w:p w14:paraId="73B779C4" w14:textId="6EAE2488" w:rsidR="0051506F" w:rsidRPr="00584DBA" w:rsidRDefault="00775227" w:rsidP="00613515">
      <w:pPr>
        <w:pStyle w:val="JuPara"/>
      </w:pPr>
      <w:r w:rsidRPr="00584DBA">
        <w:t>uwagi przedstawione przez Helsińską Fundację Praw Człowieka, której Przewodniczący Sekcji udzielił zgody na przystąpienie do sprawy w</w:t>
      </w:r>
      <w:r w:rsidR="00264123">
        <w:t> </w:t>
      </w:r>
      <w:r w:rsidRPr="00584DBA">
        <w:t>charakterze interweniującej strony;</w:t>
      </w:r>
    </w:p>
    <w:p w14:paraId="60C74784" w14:textId="77777777" w:rsidR="009F4C8F" w:rsidRPr="00584DBA" w:rsidRDefault="00775227" w:rsidP="00613515">
      <w:pPr>
        <w:pStyle w:val="JuPara"/>
      </w:pPr>
      <w:r w:rsidRPr="00584DBA">
        <w:t>obradując na posiedzeniu niejawnym w dniu 12 września 2023 r.,</w:t>
      </w:r>
    </w:p>
    <w:p w14:paraId="580F81C5" w14:textId="77777777" w:rsidR="009F4C8F" w:rsidRPr="00584DBA" w:rsidRDefault="00775227" w:rsidP="00613515">
      <w:pPr>
        <w:pStyle w:val="JuPara"/>
      </w:pPr>
      <w:r w:rsidRPr="00584DBA">
        <w:t>wydaje następujący wyrok, który został przyjęty w tym dniu:</w:t>
      </w:r>
    </w:p>
    <w:p w14:paraId="65F25534" w14:textId="77777777" w:rsidR="0051506F" w:rsidRPr="00584DBA" w:rsidRDefault="00775227" w:rsidP="00613515">
      <w:pPr>
        <w:pStyle w:val="JuHHead"/>
      </w:pPr>
      <w:r w:rsidRPr="00584DBA">
        <w:t>WPROWADZENIE</w:t>
      </w:r>
    </w:p>
    <w:p w14:paraId="1CBBA8A6" w14:textId="38D9C46A" w:rsidR="0051506F" w:rsidRPr="00584DBA" w:rsidRDefault="00775227" w:rsidP="00613515">
      <w:pPr>
        <w:pStyle w:val="JuPara"/>
      </w:pPr>
      <w:fldSimple w:instr=" SEQ level0 \*arabic ">
        <w:r w:rsidR="0062101B" w:rsidRPr="00584DBA">
          <w:rPr>
            <w:noProof/>
          </w:rPr>
          <w:t>1</w:t>
        </w:r>
      </w:fldSimple>
      <w:r w:rsidRPr="00584DBA">
        <w:t>.  Sprawa dotyczy braku odszkodowania za nieproporcjonalną ingerencję organów podatkowych w działalność gospodarczą skarżącego.</w:t>
      </w:r>
    </w:p>
    <w:p w14:paraId="6641AC56" w14:textId="77777777" w:rsidR="0051506F" w:rsidRPr="00584DBA" w:rsidRDefault="00775227" w:rsidP="00613515">
      <w:pPr>
        <w:pStyle w:val="JuHHead"/>
      </w:pPr>
      <w:r w:rsidRPr="00584DBA">
        <w:t>FAKTY</w:t>
      </w:r>
    </w:p>
    <w:p w14:paraId="007D5CC0" w14:textId="0E891A94" w:rsidR="0051506F" w:rsidRPr="00584DBA" w:rsidRDefault="00775227" w:rsidP="00613515">
      <w:pPr>
        <w:pStyle w:val="JuPara"/>
      </w:pPr>
      <w:fldSimple w:instr=" SEQ level0 \*arabic ">
        <w:r w:rsidR="0062101B" w:rsidRPr="00584DBA">
          <w:rPr>
            <w:noProof/>
          </w:rPr>
          <w:t>2</w:t>
        </w:r>
      </w:fldSimple>
      <w:r w:rsidRPr="00584DBA">
        <w:t>.  Skarżący urodził się w 1958 r. i mieszka w Dobrej. Skarżącego reprezentował p. Z. Barwina, prawnik prowadzący praktykę w Szczecinie.</w:t>
      </w:r>
    </w:p>
    <w:p w14:paraId="645BEEBD" w14:textId="0524B411" w:rsidR="0051506F" w:rsidRPr="00584DBA" w:rsidRDefault="00775227" w:rsidP="00613515">
      <w:pPr>
        <w:pStyle w:val="JuPara"/>
      </w:pPr>
      <w:fldSimple w:instr=" SEQ level0 \*arabic ">
        <w:r w:rsidR="0062101B" w:rsidRPr="00584DBA">
          <w:rPr>
            <w:noProof/>
          </w:rPr>
          <w:t>3</w:t>
        </w:r>
      </w:fldSimple>
      <w:r w:rsidRPr="00584DBA">
        <w:t>.  Rząd reprezentowany był przez swojego pełnomocnika</w:t>
      </w:r>
      <w:r w:rsidR="00264123">
        <w:t>,</w:t>
      </w:r>
      <w:r w:rsidRPr="00584DBA">
        <w:t xml:space="preserve"> p. J. Sobczaka z Ministerstwa Spraw Zagranicznych.</w:t>
      </w:r>
    </w:p>
    <w:p w14:paraId="35E2C352" w14:textId="38A1AD56" w:rsidR="0051506F" w:rsidRPr="00584DBA" w:rsidRDefault="00775227" w:rsidP="00613515">
      <w:pPr>
        <w:pStyle w:val="JuPara"/>
      </w:pPr>
      <w:fldSimple w:instr=" SEQ level0 \*arabic ">
        <w:r w:rsidR="0062101B" w:rsidRPr="00584DBA">
          <w:rPr>
            <w:noProof/>
          </w:rPr>
          <w:t>4</w:t>
        </w:r>
      </w:fldSimple>
      <w:r w:rsidRPr="00584DBA">
        <w:t>.  Okoliczności faktyczne sprawy można streścić w następujący sposób.</w:t>
      </w:r>
    </w:p>
    <w:p w14:paraId="576BECFD" w14:textId="5774ECB3" w:rsidR="0051506F" w:rsidRPr="00584DBA" w:rsidRDefault="00775227" w:rsidP="00613515">
      <w:pPr>
        <w:pStyle w:val="JuPara"/>
      </w:pPr>
      <w:fldSimple w:instr=" SEQ level0 \*arabic ">
        <w:r w:rsidR="0062101B" w:rsidRPr="00584DBA">
          <w:rPr>
            <w:noProof/>
          </w:rPr>
          <w:t>5</w:t>
        </w:r>
      </w:fldSimple>
      <w:r w:rsidRPr="00584DBA">
        <w:t>.  Skarżący prowadził działalność gospodarczą w zakresie handlu wyrobami tytoniowymi.</w:t>
      </w:r>
    </w:p>
    <w:p w14:paraId="626F9BB2" w14:textId="77777777" w:rsidR="0051506F" w:rsidRPr="00584DBA" w:rsidRDefault="00775227" w:rsidP="00613515">
      <w:pPr>
        <w:pStyle w:val="JuHIRoman"/>
      </w:pPr>
      <w:r w:rsidRPr="00584DBA">
        <w:lastRenderedPageBreak/>
        <w:t>ZAJĘCIE MAJĄTKU</w:t>
      </w:r>
    </w:p>
    <w:p w14:paraId="6EB4EA2E" w14:textId="3CA582AE" w:rsidR="0051506F" w:rsidRPr="00584DBA" w:rsidRDefault="00775227" w:rsidP="00613515">
      <w:pPr>
        <w:pStyle w:val="JuPara"/>
      </w:pPr>
      <w:fldSimple w:instr=" SEQ level0 \*arabic \* MERGEFORMAT ">
        <w:bookmarkStart w:id="0" w:name="paragraph00006"/>
        <w:r w:rsidR="0062101B" w:rsidRPr="00584DBA">
          <w:rPr>
            <w:noProof/>
          </w:rPr>
          <w:t>6</w:t>
        </w:r>
        <w:bookmarkEnd w:id="0"/>
      </w:fldSimple>
      <w:r w:rsidRPr="00584DBA">
        <w:t>.  W dniu 19 maja 2003 r., w następstwie kontroli podatkowej, Urząd Skarbowy w Szczecinie wydał dwie decyzje nakazujące dokonanie zajęcia majątku skarżącego celem zabezpieczenia zapłaty zobowiązań podatkowych z tytułu podatku akcyzowego w ramach działalności gospodarczej za kilka miesięcy w latach 2002 i 2003. W wycenie wstępnej zobowiązania te zostały wyliczone na kwotę 708</w:t>
      </w:r>
      <w:r w:rsidR="00CA538E">
        <w:t> </w:t>
      </w:r>
      <w:r w:rsidRPr="00584DBA">
        <w:t>372 złotych polskich (PLN – 163</w:t>
      </w:r>
      <w:r w:rsidR="00CA538E">
        <w:t> </w:t>
      </w:r>
      <w:r w:rsidRPr="00584DBA">
        <w:t>067 euro (EUR) według oficjalnego kursu Narodowego Banku Polskiego z przedmiotowego dnia).</w:t>
      </w:r>
    </w:p>
    <w:p w14:paraId="2D88E3D8" w14:textId="4B839484" w:rsidR="0051506F" w:rsidRPr="00584DBA" w:rsidRDefault="00775227" w:rsidP="00613515">
      <w:pPr>
        <w:pStyle w:val="JuPara"/>
      </w:pPr>
      <w:fldSimple w:instr=" SEQ level0 \*arabic \* MERGEFORMAT ">
        <w:bookmarkStart w:id="1" w:name="paragraph00007"/>
        <w:r w:rsidR="0062101B" w:rsidRPr="00584DBA">
          <w:rPr>
            <w:noProof/>
          </w:rPr>
          <w:t>7</w:t>
        </w:r>
        <w:bookmarkEnd w:id="1"/>
      </w:fldSimple>
      <w:r w:rsidRPr="00584DBA">
        <w:t>.  Decyzje te zawierały następującą wycenę majątku należącego do przedsiębiorstwa skarżącego, zgłoszonego w grudniu 2002 r. Wartość majątku trwałego przedsiębiorstwa została wyceniona na kwotę 203</w:t>
      </w:r>
      <w:r w:rsidR="00CA538E">
        <w:t> </w:t>
      </w:r>
      <w:r w:rsidRPr="00584DBA">
        <w:t>327</w:t>
      </w:r>
      <w:r w:rsidR="00CA538E">
        <w:t> </w:t>
      </w:r>
      <w:r w:rsidRPr="00584DBA">
        <w:t>PLN (46</w:t>
      </w:r>
      <w:r w:rsidR="00CA538E">
        <w:t> </w:t>
      </w:r>
      <w:r w:rsidRPr="00584DBA">
        <w:t>805</w:t>
      </w:r>
      <w:r w:rsidR="00CA538E">
        <w:t> </w:t>
      </w:r>
      <w:r w:rsidRPr="00584DBA">
        <w:t>EUR). Majątek trwały obejmował budynki i obiekty biurowe, maszyny i urządzenia oraz pojazdy. Wartość majątku obrotowego przedsiębiorstwa została wyceniona na kwotę 1 750</w:t>
      </w:r>
      <w:r w:rsidR="00E26730">
        <w:t> </w:t>
      </w:r>
      <w:r w:rsidRPr="00584DBA">
        <w:t>848</w:t>
      </w:r>
      <w:r w:rsidR="00E26730">
        <w:t> </w:t>
      </w:r>
      <w:r w:rsidRPr="00584DBA">
        <w:t>PLN (403</w:t>
      </w:r>
      <w:r w:rsidR="00CA538E">
        <w:t> </w:t>
      </w:r>
      <w:r w:rsidRPr="00584DBA">
        <w:t>045</w:t>
      </w:r>
      <w:r w:rsidR="00CA538E">
        <w:t> </w:t>
      </w:r>
      <w:r w:rsidRPr="00584DBA">
        <w:t>EUR). Na majątek ten składały się zapasy towarów przeznaczonych do sprzedaży, należności z tytułu sprzedaży, podatków, ceł i</w:t>
      </w:r>
      <w:r w:rsidR="00CA538E">
        <w:t> </w:t>
      </w:r>
      <w:r w:rsidRPr="00584DBA">
        <w:t>ubezpieczeń społecznych oraz środki pieniężne w kwocie 221</w:t>
      </w:r>
      <w:r w:rsidR="00CA538E">
        <w:t> </w:t>
      </w:r>
      <w:r w:rsidRPr="00584DBA">
        <w:t>840</w:t>
      </w:r>
      <w:r w:rsidR="00CA538E">
        <w:t> </w:t>
      </w:r>
      <w:r w:rsidRPr="00584DBA">
        <w:t>PLN (51</w:t>
      </w:r>
      <w:r w:rsidR="00CA538E">
        <w:t> </w:t>
      </w:r>
      <w:r w:rsidRPr="00584DBA">
        <w:t>067</w:t>
      </w:r>
      <w:r w:rsidR="00CA538E">
        <w:t> </w:t>
      </w:r>
      <w:r w:rsidRPr="00584DBA">
        <w:t>EUR). Kapitał własny skarżącego został oszacowany na kwotę 609</w:t>
      </w:r>
      <w:r w:rsidR="00CA538E">
        <w:t> </w:t>
      </w:r>
      <w:r w:rsidRPr="00584DBA">
        <w:t>734</w:t>
      </w:r>
      <w:r w:rsidR="00CA538E">
        <w:t> </w:t>
      </w:r>
      <w:r w:rsidRPr="00584DBA">
        <w:t>PLN (140</w:t>
      </w:r>
      <w:r w:rsidR="00CA538E">
        <w:t> </w:t>
      </w:r>
      <w:r w:rsidRPr="00584DBA">
        <w:t>360</w:t>
      </w:r>
      <w:r w:rsidR="00CA538E">
        <w:t> </w:t>
      </w:r>
      <w:r w:rsidRPr="00584DBA">
        <w:t>EUR). Urząd skarbowy dokonał dalszych obliczeń zobowiązań, pożyczek i zysków skarżącego za ostatnie lata oraz jego płynności finansowej. Na podstawie wszystkich tych elementów stwierdzono, że przedsiębiorstwo skarżącego nie będzie w stanie wygenerować zysku na tyle wystarczającego, aby uiścić zobowiązanie podatkowe z tytułu podatku akcyzowego, które było przedmiotem oceny, oraz że istniało ryzyko, że skarżący uchyli się od uiszczenia tego zobowiązania podatkowego po jego ustaleniu.</w:t>
      </w:r>
    </w:p>
    <w:p w14:paraId="77999621" w14:textId="11E5693E" w:rsidR="0051506F" w:rsidRPr="00584DBA" w:rsidRDefault="00775227" w:rsidP="00613515">
      <w:pPr>
        <w:pStyle w:val="JuPara"/>
      </w:pPr>
      <w:fldSimple w:instr=" SEQ level0 \*arabic ">
        <w:r w:rsidR="0062101B" w:rsidRPr="00584DBA">
          <w:rPr>
            <w:noProof/>
          </w:rPr>
          <w:t>8</w:t>
        </w:r>
      </w:fldSimple>
      <w:r w:rsidRPr="00584DBA">
        <w:t>.  W dniu 26 maja 2003 r. skarżący odwołał się od tych decyzji</w:t>
      </w:r>
      <w:r w:rsidR="002118EE">
        <w:t>,</w:t>
      </w:r>
      <w:r w:rsidRPr="00584DBA">
        <w:t xml:space="preserve"> powołując się na brak podstawy prawnej do zajęcia jego majątku, ponieważ jego przyszłe zobowiązanie z tytułu podatku akcyzowego nie istniało i nie było ryzyka, że gdyby takie zobowiązanie zostało ustalone, nie wywiązałby się z</w:t>
      </w:r>
      <w:r w:rsidR="002118EE">
        <w:t> </w:t>
      </w:r>
      <w:r w:rsidRPr="00584DBA">
        <w:t>niego.</w:t>
      </w:r>
    </w:p>
    <w:p w14:paraId="5A2166D3" w14:textId="70DFECE7" w:rsidR="0051506F" w:rsidRPr="00584DBA" w:rsidRDefault="00775227" w:rsidP="00613515">
      <w:pPr>
        <w:pStyle w:val="JuPara"/>
      </w:pPr>
      <w:fldSimple w:instr=" SEQ level0 \*arabic ">
        <w:bookmarkStart w:id="2" w:name="paragraph00009"/>
        <w:r w:rsidR="0062101B" w:rsidRPr="00584DBA">
          <w:rPr>
            <w:noProof/>
          </w:rPr>
          <w:t>9</w:t>
        </w:r>
        <w:bookmarkEnd w:id="2"/>
      </w:fldSimple>
      <w:r w:rsidRPr="00584DBA">
        <w:t>.  Środki zarządzone na podstawie wyżej wymienionych decyzji obejmowały: zamrożenie dwóch rachunków bankowych przedsiębiorstwa; zajęcie sześciu samochodów przedsiębiorstwa, w tym pojazdów dostawczych; oraz ustanowienie</w:t>
      </w:r>
      <w:r w:rsidRPr="00584DBA">
        <w:noBreakHyphen/>
        <w:t>hipotek na czterech nieruchomościach należących do skarżącego.</w:t>
      </w:r>
    </w:p>
    <w:p w14:paraId="4E7289CA" w14:textId="0138E0D6" w:rsidR="0051506F" w:rsidRPr="00584DBA" w:rsidRDefault="00775227" w:rsidP="00613515">
      <w:pPr>
        <w:pStyle w:val="JuPara"/>
      </w:pPr>
      <w:fldSimple w:instr=" SEQ level0 \*arabic ">
        <w:r w:rsidR="0062101B" w:rsidRPr="00584DBA">
          <w:rPr>
            <w:noProof/>
          </w:rPr>
          <w:t>10</w:t>
        </w:r>
      </w:fldSimple>
      <w:r w:rsidRPr="00584DBA">
        <w:t>.  W dniu 6 czerwca 2003 r. skarżący wniósł o zastąpienie przedmiotowych środków ustanowieniem hipotek na dwóch różnych należących do niego nieruchomościach.</w:t>
      </w:r>
    </w:p>
    <w:p w14:paraId="1B1CDBC2" w14:textId="6057C98D" w:rsidR="0051506F" w:rsidRPr="00584DBA" w:rsidRDefault="00775227" w:rsidP="00613515">
      <w:pPr>
        <w:pStyle w:val="JuPara"/>
      </w:pPr>
      <w:fldSimple w:instr=" SEQ level0 \*arabic ">
        <w:r w:rsidR="0062101B" w:rsidRPr="00584DBA">
          <w:rPr>
            <w:noProof/>
          </w:rPr>
          <w:t>11</w:t>
        </w:r>
      </w:fldSimple>
      <w:r w:rsidRPr="00584DBA">
        <w:t xml:space="preserve">.  W dniu 5 sierpnia 2003 r. naczelnik urzędu skarbowego, częściowo uwzględniając wniosek skarżącego, uchylił środek w odniesieniu do jednego rachunku bankowego i ustanowił hipotekę na dwóch nieruchomościach </w:t>
      </w:r>
      <w:r w:rsidRPr="00584DBA">
        <w:lastRenderedPageBreak/>
        <w:t>wskazanych przez skarżącego, których wartość została oszacowana na kwotę 180</w:t>
      </w:r>
      <w:r w:rsidR="00DF3C9E">
        <w:t> </w:t>
      </w:r>
      <w:r w:rsidRPr="00584DBA">
        <w:t>000</w:t>
      </w:r>
      <w:r w:rsidR="00DF3C9E">
        <w:t> </w:t>
      </w:r>
      <w:r w:rsidRPr="00584DBA">
        <w:t>PLN (41</w:t>
      </w:r>
      <w:r w:rsidR="00DF3C9E">
        <w:t> </w:t>
      </w:r>
      <w:r w:rsidRPr="00584DBA">
        <w:t>256</w:t>
      </w:r>
      <w:r w:rsidR="00DF3C9E">
        <w:t> </w:t>
      </w:r>
      <w:r w:rsidRPr="00584DBA">
        <w:t>EUR).</w:t>
      </w:r>
    </w:p>
    <w:p w14:paraId="3D275EFE" w14:textId="6EAD43F4" w:rsidR="0051506F" w:rsidRPr="00584DBA" w:rsidRDefault="00775227" w:rsidP="00613515">
      <w:pPr>
        <w:pStyle w:val="JuPara"/>
      </w:pPr>
      <w:fldSimple w:instr=" SEQ level0 \*arabic \* MERGEFORMAT ">
        <w:r w:rsidR="0062101B" w:rsidRPr="00584DBA">
          <w:rPr>
            <w:noProof/>
          </w:rPr>
          <w:t>12</w:t>
        </w:r>
      </w:fldSimple>
      <w:r w:rsidRPr="00584DBA">
        <w:t xml:space="preserve">.  W dniu 5 sierpnia 2003 r. Urząd Skarbowy w Szczecinie wydał dwie decyzje oddalające odwołania od decyzji z dnia 19 maja 2003 r. Zauważył między innymi, że w decyzjach urząd skarbowy dokonał dogłębnej analizy finansowej i ekonomicznej sytuacji gospodarczej skarżącego, prowadzącej do wniosku, że wartość </w:t>
      </w:r>
      <w:r w:rsidR="00C93F63">
        <w:t>majątku trwałego</w:t>
      </w:r>
      <w:r w:rsidRPr="00584DBA">
        <w:t xml:space="preserve"> przedsiębiorstwa wynosiła jedynie 10% jego całkowitego majątku i była niższa od kwoty możliwego zobowiązania podatkowego </w:t>
      </w:r>
      <w:r w:rsidR="00C93F63" w:rsidRPr="00C93F63">
        <w:t>z tytułu podatku akcyzowego</w:t>
      </w:r>
      <w:r w:rsidRPr="00584DBA">
        <w:t>.</w:t>
      </w:r>
    </w:p>
    <w:p w14:paraId="2A7414FC" w14:textId="77777777" w:rsidR="0051506F" w:rsidRPr="00584DBA" w:rsidRDefault="00775227" w:rsidP="00613515">
      <w:pPr>
        <w:pStyle w:val="JuHIRoman"/>
      </w:pPr>
      <w:r w:rsidRPr="00584DBA">
        <w:t>ZOBOWIĄZANIA PODATKOWE</w:t>
      </w:r>
    </w:p>
    <w:p w14:paraId="4255D1CD" w14:textId="78401E1B" w:rsidR="0051506F" w:rsidRPr="00584DBA" w:rsidRDefault="00775227" w:rsidP="00613515">
      <w:pPr>
        <w:pStyle w:val="JuPara"/>
      </w:pPr>
      <w:fldSimple w:instr=" SEQ level0 \*arabic \* MERGEFORMAT ">
        <w:bookmarkStart w:id="3" w:name="paragraph00013"/>
        <w:r w:rsidR="0062101B" w:rsidRPr="00584DBA">
          <w:rPr>
            <w:noProof/>
          </w:rPr>
          <w:t>13</w:t>
        </w:r>
        <w:bookmarkEnd w:id="3"/>
      </w:fldSimple>
      <w:r w:rsidRPr="00584DBA">
        <w:t>.  W dniu 21 sierpnia 2003 r. Urząd Skarbowy w Szczecinie wydał dziewięć decyzji określających zobowiązania podatkowe przedsiębiorstwa z</w:t>
      </w:r>
      <w:r w:rsidR="00C93F63">
        <w:t> </w:t>
      </w:r>
      <w:r w:rsidRPr="00584DBA">
        <w:t xml:space="preserve">tytułu podatku akcyzowego za kilka miesięcy w latach 2002 i 2003. Urząd skarbowy uznał, że ponieważ działalność </w:t>
      </w:r>
      <w:r w:rsidR="002B4B14">
        <w:t>przedsiębiorstwa</w:t>
      </w:r>
      <w:r w:rsidR="002B4B14" w:rsidRPr="00584DBA">
        <w:t xml:space="preserve"> </w:t>
      </w:r>
      <w:r w:rsidRPr="00584DBA">
        <w:t>polegała na sprzedaży papierosów, na których nie wskazano ceny maksymalnej, był</w:t>
      </w:r>
      <w:r w:rsidR="002B4B14">
        <w:t>o</w:t>
      </w:r>
      <w:r w:rsidRPr="00584DBA">
        <w:t xml:space="preserve"> on</w:t>
      </w:r>
      <w:r w:rsidR="002B4B14">
        <w:t>o</w:t>
      </w:r>
      <w:r w:rsidRPr="00584DBA">
        <w:t xml:space="preserve"> zobowiązan</w:t>
      </w:r>
      <w:r w:rsidR="002B4B14">
        <w:t>e</w:t>
      </w:r>
      <w:r w:rsidRPr="00584DBA">
        <w:t xml:space="preserve"> do zapłaty podatku akcyzowego na podstawie art. 37 ust. 7 i 8 ustawy z dnia 8 stycznia 1993 r. o podatku od towarów i usług oraz o podatku akcyzowym ( „</w:t>
      </w:r>
      <w:r w:rsidR="002B4B14" w:rsidRPr="00584DBA">
        <w:t>ustaw</w:t>
      </w:r>
      <w:r w:rsidR="002B4B14">
        <w:t>a</w:t>
      </w:r>
      <w:r w:rsidR="002B4B14" w:rsidRPr="00584DBA">
        <w:t xml:space="preserve"> </w:t>
      </w:r>
      <w:r w:rsidRPr="00584DBA">
        <w:t>o</w:t>
      </w:r>
      <w:r w:rsidR="002B4B14">
        <w:t> </w:t>
      </w:r>
      <w:r w:rsidRPr="00584DBA">
        <w:t>podatku akcyzowym z 1993 r.”).</w:t>
      </w:r>
    </w:p>
    <w:p w14:paraId="715E7F89" w14:textId="31E254B6" w:rsidR="0051506F" w:rsidRPr="00584DBA" w:rsidRDefault="00775227" w:rsidP="00613515">
      <w:pPr>
        <w:pStyle w:val="JuPara"/>
      </w:pPr>
      <w:fldSimple w:instr=" SEQ level0 \*arabic ">
        <w:bookmarkStart w:id="4" w:name="paragraph00014"/>
        <w:r w:rsidR="0062101B" w:rsidRPr="00584DBA">
          <w:rPr>
            <w:noProof/>
          </w:rPr>
          <w:t>14</w:t>
        </w:r>
        <w:bookmarkEnd w:id="4"/>
      </w:fldSimple>
      <w:r w:rsidRPr="00584DBA">
        <w:t>.  Łączna kwota zobowiązania z tytułu podatku akcyzowego wyniosła 803</w:t>
      </w:r>
      <w:r w:rsidR="00835F52">
        <w:t> </w:t>
      </w:r>
      <w:r w:rsidRPr="00584DBA">
        <w:t>754</w:t>
      </w:r>
      <w:r w:rsidR="00835F52">
        <w:t> </w:t>
      </w:r>
      <w:r w:rsidRPr="00584DBA">
        <w:t>PLN (184</w:t>
      </w:r>
      <w:r w:rsidR="00F85D7F">
        <w:t> </w:t>
      </w:r>
      <w:r w:rsidRPr="00584DBA">
        <w:t>622</w:t>
      </w:r>
      <w:r w:rsidR="00F85D7F">
        <w:t> </w:t>
      </w:r>
      <w:r w:rsidRPr="00584DBA">
        <w:t>EUR).</w:t>
      </w:r>
    </w:p>
    <w:p w14:paraId="514F9158" w14:textId="5BAC6476" w:rsidR="0051506F" w:rsidRPr="00584DBA" w:rsidRDefault="00775227" w:rsidP="00613515">
      <w:pPr>
        <w:pStyle w:val="JuPara"/>
      </w:pPr>
      <w:fldSimple w:instr=" SEQ level0 \*arabic ">
        <w:r w:rsidR="0062101B" w:rsidRPr="00584DBA">
          <w:rPr>
            <w:noProof/>
          </w:rPr>
          <w:t>15</w:t>
        </w:r>
      </w:fldSimple>
      <w:r w:rsidRPr="00584DBA">
        <w:t>.  Jak ustalił sąd cywilny, w dniu 17 listopada 2003 r. Urząd Celny w</w:t>
      </w:r>
      <w:r w:rsidR="00C93F63">
        <w:t> </w:t>
      </w:r>
      <w:r w:rsidRPr="00584DBA">
        <w:t>Szczecinie odrzucił wniosek skarżącego o wstrzymanie wykonania dziewięciu zaskarżonych przez niego decyzji. W dniu 28 października 2003</w:t>
      </w:r>
      <w:r w:rsidR="00C93F63">
        <w:t> </w:t>
      </w:r>
      <w:r w:rsidRPr="00584DBA">
        <w:t>r. naczelnik urzędu skarbowego odrzucił zarzut wniesiony przez skarżącego wobec zajęcia jego majątku i majątku jego przedsiębiorstwa na podstawie dziewięciu decyzji z dnia 21 sierpnia 2003 r.</w:t>
      </w:r>
    </w:p>
    <w:p w14:paraId="7487D06E" w14:textId="31388CAC" w:rsidR="0051506F" w:rsidRPr="00584DBA" w:rsidRDefault="00775227" w:rsidP="00613515">
      <w:pPr>
        <w:pStyle w:val="JuPara"/>
      </w:pPr>
      <w:fldSimple w:instr=" SEQ level0 \*arabic \* MERGEFORMAT ">
        <w:bookmarkStart w:id="5" w:name="paragraph00016"/>
        <w:r w:rsidR="0062101B" w:rsidRPr="00584DBA">
          <w:rPr>
            <w:noProof/>
          </w:rPr>
          <w:t>16</w:t>
        </w:r>
        <w:bookmarkEnd w:id="5"/>
      </w:fldSimple>
      <w:r w:rsidRPr="00584DBA">
        <w:t>.  W dniu 2 sierpnia 2004 r. decyzje urzędu skarbowego zostały utrzymane w mocy przez Izbę Celną w Szczecinie.</w:t>
      </w:r>
    </w:p>
    <w:p w14:paraId="195408A5" w14:textId="621B5F31" w:rsidR="0051506F" w:rsidRPr="00584DBA" w:rsidRDefault="00775227" w:rsidP="00613515">
      <w:pPr>
        <w:pStyle w:val="JuPara"/>
      </w:pPr>
      <w:fldSimple w:instr=" SEQ level0 \*arabic ">
        <w:bookmarkStart w:id="6" w:name="paragraph00017"/>
        <w:r w:rsidR="0062101B" w:rsidRPr="00584DBA">
          <w:rPr>
            <w:noProof/>
          </w:rPr>
          <w:t>17</w:t>
        </w:r>
        <w:bookmarkEnd w:id="6"/>
      </w:fldSimple>
      <w:r w:rsidRPr="00584DBA">
        <w:t>.  Rząd podniósł, że w trakcie prowadzenia postępowania odwoławczego, w dniu 19 lipca 2005 r. Wojewódzki Sąd Administracyjny wstrzymał wykonanie trzech decyzji, a w dniu 14 marca 2006 r. wstrzymał wykonanie sześciu decyzji wydanych w sprawie skarżącego. Odpisy tych decyzji nie zostały przesłane do Trybunału.</w:t>
      </w:r>
    </w:p>
    <w:p w14:paraId="47DC5F02" w14:textId="6D28909E" w:rsidR="0051506F" w:rsidRPr="00584DBA" w:rsidRDefault="00775227" w:rsidP="00613515">
      <w:pPr>
        <w:pStyle w:val="JuPara"/>
      </w:pPr>
      <w:fldSimple w:instr=" SEQ level0 \*arabic ">
        <w:bookmarkStart w:id="7" w:name="paragraph00018"/>
        <w:r w:rsidR="0062101B" w:rsidRPr="00584DBA">
          <w:rPr>
            <w:noProof/>
          </w:rPr>
          <w:t>18</w:t>
        </w:r>
        <w:bookmarkEnd w:id="7"/>
      </w:fldSimple>
      <w:r w:rsidRPr="00584DBA">
        <w:t>.  W dniu 24 kwietnia 2006 r. Izba Celna w Szczecinie uchyliła wszystkie swoje decyzje z dnia 2 sierpnia 2004 r., stwierdzając, że były one dotknięte naruszeniem prawa materialnego. Decyzje te skutkowały podwójnym opodatkowaniem towarów sprzedawanych przez skarżącego. Tym samym były one sprzeczne z art. 38 ust. 2 pkt 2a ustawy o VAT oraz z</w:t>
      </w:r>
      <w:r w:rsidR="00C93F63">
        <w:t> </w:t>
      </w:r>
      <w:r w:rsidRPr="00584DBA">
        <w:t>§</w:t>
      </w:r>
      <w:r w:rsidR="0077426C">
        <w:t> </w:t>
      </w:r>
      <w:r w:rsidRPr="00584DBA">
        <w:t>12 ust. 1 pkt 4 rozporządzenia Ministra Finansów z dnia 22 marca 2002</w:t>
      </w:r>
      <w:r w:rsidR="00C93F63">
        <w:t> </w:t>
      </w:r>
      <w:r w:rsidRPr="00584DBA">
        <w:t>r. w</w:t>
      </w:r>
      <w:r w:rsidR="00C93F63">
        <w:t> </w:t>
      </w:r>
      <w:r w:rsidRPr="00584DBA">
        <w:t>sprawie podatku akcyzowego</w:t>
      </w:r>
      <w:r w:rsidRPr="00584DBA">
        <w:rPr>
          <w:i/>
        </w:rPr>
        <w:t xml:space="preserve"> </w:t>
      </w:r>
      <w:r w:rsidRPr="00584DBA">
        <w:t>( „rozporządzenie z</w:t>
      </w:r>
      <w:r w:rsidR="00C93F63">
        <w:t> </w:t>
      </w:r>
      <w:r w:rsidRPr="00584DBA">
        <w:t>2002</w:t>
      </w:r>
      <w:r w:rsidR="00C93F63">
        <w:t> </w:t>
      </w:r>
      <w:r w:rsidRPr="00584DBA">
        <w:t xml:space="preserve">r.”). Izba celna wskazała również, że nie istniała podstawa prawna do nakładania podatku </w:t>
      </w:r>
      <w:r w:rsidRPr="00584DBA">
        <w:lastRenderedPageBreak/>
        <w:t>akcyzowego na sprzedawców zajmujących się obrotem towarami, od których podatek akcyzowy powinien zostać uiszczony przez same organy podatkowe.</w:t>
      </w:r>
    </w:p>
    <w:p w14:paraId="6C35AAFD" w14:textId="658D172C" w:rsidR="0051506F" w:rsidRPr="00584DBA" w:rsidRDefault="00775227" w:rsidP="00613515">
      <w:pPr>
        <w:pStyle w:val="JuPara"/>
      </w:pPr>
      <w:fldSimple w:instr=" SEQ level0 \*arabic ">
        <w:bookmarkStart w:id="8" w:name="paragraph00019"/>
        <w:r w:rsidR="0062101B" w:rsidRPr="00584DBA">
          <w:rPr>
            <w:noProof/>
          </w:rPr>
          <w:t>19</w:t>
        </w:r>
        <w:bookmarkEnd w:id="8"/>
      </w:fldSimple>
      <w:r w:rsidRPr="00584DBA">
        <w:t>.  Rząd podniósł, że w tym samym dniu Izba Celna w Szczecinie wydała decyzję stwierdzającą nadpłatę dokonaną przez przedsiębiorstwo skarżącego. Odpis tej decyzji nie został przedłożony Trybunałowi.</w:t>
      </w:r>
    </w:p>
    <w:p w14:paraId="61ED8EE4" w14:textId="0C47EE87" w:rsidR="0051506F" w:rsidRPr="00584DBA" w:rsidRDefault="00775227" w:rsidP="00613515">
      <w:pPr>
        <w:pStyle w:val="JuPara"/>
      </w:pPr>
      <w:fldSimple w:instr=" SEQ level0 \*arabic ">
        <w:bookmarkStart w:id="9" w:name="paragraph00020"/>
        <w:r w:rsidR="0062101B" w:rsidRPr="00584DBA">
          <w:rPr>
            <w:noProof/>
          </w:rPr>
          <w:t>20</w:t>
        </w:r>
        <w:bookmarkEnd w:id="9"/>
      </w:fldSimple>
      <w:r w:rsidRPr="00584DBA">
        <w:t>.  W dniu 25 maja 2006 r. Wojewódzki Sąd Administracyjny umorzył postępowanie. Stwierdził, że w świetle decyzji z dnia 24 kwietnia 2006 r., na mocy których zaskarżone decyzje zostały uchylone, nie ma potrzeby dalszego rozpatrywania odwołania skarżącego.</w:t>
      </w:r>
    </w:p>
    <w:p w14:paraId="718F98B7" w14:textId="77777777" w:rsidR="0051506F" w:rsidRPr="00584DBA" w:rsidRDefault="00775227" w:rsidP="00613515">
      <w:pPr>
        <w:pStyle w:val="JuHIRoman"/>
      </w:pPr>
      <w:r w:rsidRPr="00584DBA">
        <w:t>POSTĘPOWANIE CYWILNE O ODSZKODOWANIE ZA NIEZGODNE Z PRAWEM DECYZJE PODATKOWE</w:t>
      </w:r>
    </w:p>
    <w:p w14:paraId="2CE2A728" w14:textId="736AB8E1" w:rsidR="0051506F" w:rsidRPr="00584DBA" w:rsidRDefault="00775227" w:rsidP="00613515">
      <w:pPr>
        <w:pStyle w:val="JuPara"/>
      </w:pPr>
      <w:fldSimple w:instr=" SEQ level0 \*arabic ">
        <w:bookmarkStart w:id="10" w:name="paragraph00021"/>
        <w:r w:rsidR="0062101B" w:rsidRPr="00584DBA">
          <w:rPr>
            <w:noProof/>
          </w:rPr>
          <w:t>21</w:t>
        </w:r>
        <w:bookmarkEnd w:id="10"/>
      </w:fldSimple>
      <w:r w:rsidRPr="00584DBA">
        <w:t>.  W dniu 15 stycznia 2009 r. skarżący wytoczył powództwo cywilne o</w:t>
      </w:r>
      <w:r w:rsidR="00C93F63">
        <w:t> </w:t>
      </w:r>
      <w:r w:rsidRPr="00584DBA">
        <w:t xml:space="preserve">odszkodowanie przeciwko Skarbowi Państwa na podstawie przepisów Kodeksu cywilnego, które regulowały odpowiedzialność cywilną państwa za szkody wynikające z niezgodnych z prawem działań i decyzji (zob. </w:t>
      </w:r>
      <w:r w:rsidR="00DE7DD8">
        <w:t>pkt </w:t>
      </w:r>
      <w:r w:rsidRPr="00584DBA">
        <w:fldChar w:fldCharType="begin"/>
      </w:r>
      <w:r w:rsidRPr="00584DBA">
        <w:instrText xml:space="preserve"> REF paragraph00044 \h  \* CharFormat </w:instrText>
      </w:r>
      <w:r w:rsidRPr="00584DBA">
        <w:fldChar w:fldCharType="separate"/>
      </w:r>
      <w:r w:rsidR="0062101B" w:rsidRPr="00584DBA">
        <w:t>44</w:t>
      </w:r>
      <w:r w:rsidRPr="00584DBA">
        <w:fldChar w:fldCharType="end"/>
      </w:r>
      <w:r w:rsidR="00734822">
        <w:t>–</w:t>
      </w:r>
      <w:r w:rsidRPr="00584DBA">
        <w:fldChar w:fldCharType="begin"/>
      </w:r>
      <w:r w:rsidRPr="00584DBA">
        <w:instrText xml:space="preserve"> REF paragraph00047 \h  \* CharFormat </w:instrText>
      </w:r>
      <w:r w:rsidRPr="00584DBA">
        <w:fldChar w:fldCharType="separate"/>
      </w:r>
      <w:r w:rsidR="0062101B" w:rsidRPr="00584DBA">
        <w:t>47</w:t>
      </w:r>
      <w:r w:rsidRPr="00584DBA">
        <w:fldChar w:fldCharType="end"/>
      </w:r>
      <w:r w:rsidRPr="00584DBA">
        <w:t xml:space="preserve"> poniżej). Skarżący dochodził kwoty 790</w:t>
      </w:r>
      <w:r w:rsidR="00734822">
        <w:t> </w:t>
      </w:r>
      <w:r w:rsidRPr="00584DBA">
        <w:t>839</w:t>
      </w:r>
      <w:r w:rsidR="00734822">
        <w:t> </w:t>
      </w:r>
      <w:r w:rsidRPr="00584DBA">
        <w:t>PLN (187</w:t>
      </w:r>
      <w:r w:rsidR="00734822">
        <w:t> </w:t>
      </w:r>
      <w:r w:rsidRPr="00584DBA">
        <w:t>191</w:t>
      </w:r>
      <w:r w:rsidR="00734822">
        <w:t> </w:t>
      </w:r>
      <w:r w:rsidRPr="00584DBA">
        <w:t>EUR) tytułem zysku utraconego przez jego przedsiębiorstwo w</w:t>
      </w:r>
      <w:r w:rsidR="004A79B9">
        <w:t> </w:t>
      </w:r>
      <w:r w:rsidRPr="00584DBA">
        <w:t>okresie od maja 2003 r. do czerwca 2006 r. Twierdził, że szkoda powstała w</w:t>
      </w:r>
      <w:r w:rsidR="004A79B9">
        <w:t> </w:t>
      </w:r>
      <w:r w:rsidRPr="00584DBA">
        <w:t>wyniku zamrożenia rachunków bankowych przedsiębiorstwa i zajęcia innego mienia; oraz że środki te, które zostały podjęte na podstawie niezgodnych z prawem decyzji władz, uniemożliwiły mu prowadzenie działalności gospodarczej w</w:t>
      </w:r>
      <w:r w:rsidR="00C93F63">
        <w:t> </w:t>
      </w:r>
      <w:r w:rsidRPr="00584DBA">
        <w:t>wyżej wymienionym okresie.</w:t>
      </w:r>
    </w:p>
    <w:p w14:paraId="0E337AFB" w14:textId="036184FF" w:rsidR="0051506F" w:rsidRPr="00584DBA" w:rsidRDefault="00775227" w:rsidP="00613515">
      <w:pPr>
        <w:pStyle w:val="JuPara"/>
      </w:pPr>
      <w:fldSimple w:instr=" SEQ level0 \*arabic ">
        <w:bookmarkStart w:id="11" w:name="paragraph00022"/>
        <w:r w:rsidR="0062101B" w:rsidRPr="00584DBA">
          <w:rPr>
            <w:noProof/>
          </w:rPr>
          <w:t>22</w:t>
        </w:r>
        <w:bookmarkEnd w:id="11"/>
      </w:fldSimple>
      <w:r w:rsidRPr="00584DBA">
        <w:t>.  W dniu 27 kwietnia 2010 r. Sąd Okręgowy w Szczecinie zasądził na rzecz skarżącego kwotę 759</w:t>
      </w:r>
      <w:r w:rsidR="00C93F63">
        <w:t> </w:t>
      </w:r>
      <w:r w:rsidRPr="00584DBA">
        <w:t>999</w:t>
      </w:r>
      <w:r w:rsidR="00C93F63">
        <w:t> </w:t>
      </w:r>
      <w:r w:rsidRPr="00584DBA">
        <w:t>PLN tytułem odszkodowania (183</w:t>
      </w:r>
      <w:r w:rsidR="00C93F63">
        <w:t> </w:t>
      </w:r>
      <w:r w:rsidRPr="00584DBA">
        <w:t>132</w:t>
      </w:r>
      <w:r w:rsidR="00C93F63">
        <w:t> </w:t>
      </w:r>
      <w:r w:rsidRPr="00584DBA">
        <w:t>EUR zgodnie z wyliczeniem skarżącego opartym na oficjalnym średnim miesięcznym kursie wymiany Narodowego Banku Polskiego z</w:t>
      </w:r>
      <w:r w:rsidR="00C93F63">
        <w:t> </w:t>
      </w:r>
      <w:r w:rsidRPr="00584DBA">
        <w:t>kwietnia 2010</w:t>
      </w:r>
      <w:r w:rsidR="00C93F63">
        <w:t> </w:t>
      </w:r>
      <w:r w:rsidRPr="00584DBA">
        <w:t>r.).</w:t>
      </w:r>
    </w:p>
    <w:p w14:paraId="6801B3AA" w14:textId="5633CCCA" w:rsidR="0051506F" w:rsidRPr="00584DBA" w:rsidRDefault="00775227" w:rsidP="00613515">
      <w:pPr>
        <w:pStyle w:val="JuPara"/>
      </w:pPr>
      <w:fldSimple w:instr=" SEQ level0 \*arabic ">
        <w:bookmarkStart w:id="12" w:name="paragraph00023"/>
        <w:r w:rsidR="0062101B" w:rsidRPr="00584DBA">
          <w:rPr>
            <w:noProof/>
          </w:rPr>
          <w:t>23</w:t>
        </w:r>
        <w:bookmarkEnd w:id="12"/>
      </w:fldSimple>
      <w:r w:rsidRPr="00584DBA">
        <w:t>.  Sąd krajowy uznał, że skarżący poniósł szkodę z powodu braku możliwości kontynuowania działalności gospodarczej. Po pierwsze, jego przedsiębiorstwo zostało zmuszone do zapłacenia podatku, który nie powinien zostać zapłacony. Po drugie, bez rachunku bankowego i pojazdów, które były przedmiotem zajęcia, skarżący nie był w stanie kontynuować działalności gospodarczej.</w:t>
      </w:r>
    </w:p>
    <w:p w14:paraId="245681B6" w14:textId="6E4F6237" w:rsidR="0051506F" w:rsidRPr="00584DBA" w:rsidRDefault="00775227" w:rsidP="00613515">
      <w:pPr>
        <w:pStyle w:val="JuPara"/>
      </w:pPr>
      <w:fldSimple w:instr=" SEQ level0 \*arabic ">
        <w:bookmarkStart w:id="13" w:name="paragraph00024"/>
        <w:r w:rsidR="0062101B" w:rsidRPr="00584DBA">
          <w:rPr>
            <w:noProof/>
          </w:rPr>
          <w:t>24</w:t>
        </w:r>
        <w:bookmarkEnd w:id="13"/>
      </w:fldSimple>
      <w:r w:rsidRPr="00584DBA">
        <w:t>.  Aby obliczyć wysokość przedmiotowej szkody, sąd zapoznał się z</w:t>
      </w:r>
      <w:r w:rsidR="00C93F63">
        <w:t> </w:t>
      </w:r>
      <w:r w:rsidRPr="00584DBA">
        <w:t>dokumentacją przedsiębiorstwa oraz zeznaniami podatkowymi skarżącego dotyczącymi podatku dochodowego od osób prawnych i fizycznych począwszy od 1999 r. Z dokumentów wynikało, że przedsiębiorstwo skarżącego wygenerowało stratę, a sprzedaż spadła po zajęciu majątku. Sąd miał również na uwadze sprawozdanie i ustne opinie biegłego sądowego</w:t>
      </w:r>
      <w:r w:rsidR="007D0D0B">
        <w:t>,</w:t>
      </w:r>
      <w:r w:rsidRPr="00584DBA">
        <w:t xml:space="preserve"> który oszacował szkodę skarżącego na kwotę 768</w:t>
      </w:r>
      <w:r w:rsidR="004C65D9">
        <w:t> </w:t>
      </w:r>
      <w:r w:rsidRPr="00584DBA">
        <w:t>328</w:t>
      </w:r>
      <w:r w:rsidR="004C65D9">
        <w:t> </w:t>
      </w:r>
      <w:r w:rsidRPr="00584DBA">
        <w:t xml:space="preserve">PLN w okresie trzydziestu ośmiu miesięcy. Sąd zakwestionował jednak tę kwotę, zauważając, że sporne decyzje podatkowe miały wpływ na jego działalność </w:t>
      </w:r>
      <w:r w:rsidRPr="00584DBA">
        <w:lastRenderedPageBreak/>
        <w:t>gospodarczą od maja 2003 r. do kwietnia 2006 r. włącznie, czyli przez okres trzydziestu sześciu miesięcy.</w:t>
      </w:r>
    </w:p>
    <w:p w14:paraId="25BAEDBF" w14:textId="4A6C5205" w:rsidR="0051506F" w:rsidRPr="00584DBA" w:rsidRDefault="00775227" w:rsidP="00613515">
      <w:pPr>
        <w:pStyle w:val="JuPara"/>
      </w:pPr>
      <w:fldSimple w:instr=" SEQ level0 \*arabic ">
        <w:bookmarkStart w:id="14" w:name="paragraph00025"/>
        <w:r w:rsidR="0062101B" w:rsidRPr="00584DBA">
          <w:rPr>
            <w:noProof/>
          </w:rPr>
          <w:t>25</w:t>
        </w:r>
        <w:bookmarkEnd w:id="14"/>
      </w:fldSimple>
      <w:r w:rsidRPr="00584DBA">
        <w:t xml:space="preserve">.  Sąd potwierdził następnie, że szkoda poniesiona przez skarżącego wynikała z szeregu decyzji wydanych w toku postępowania podatkowego opisanego w </w:t>
      </w:r>
      <w:r w:rsidR="00784571">
        <w:t>pkt </w:t>
      </w:r>
      <w:r w:rsidRPr="00584DBA">
        <w:fldChar w:fldCharType="begin"/>
      </w:r>
      <w:r w:rsidRPr="00584DBA">
        <w:instrText xml:space="preserve"> REF paragraph00006 \h  \* CharFormat </w:instrText>
      </w:r>
      <w:r w:rsidRPr="00584DBA">
        <w:fldChar w:fldCharType="separate"/>
      </w:r>
      <w:r w:rsidR="0062101B" w:rsidRPr="00584DBA">
        <w:t>6</w:t>
      </w:r>
      <w:r w:rsidRPr="00584DBA">
        <w:fldChar w:fldCharType="end"/>
      </w:r>
      <w:r w:rsidR="00784571">
        <w:t>–</w:t>
      </w:r>
      <w:r w:rsidRPr="00584DBA">
        <w:fldChar w:fldCharType="begin"/>
      </w:r>
      <w:r w:rsidRPr="00584DBA">
        <w:instrText xml:space="preserve"> REF paragraph00020 \h  \* CharFormat </w:instrText>
      </w:r>
      <w:r w:rsidRPr="00584DBA">
        <w:fldChar w:fldCharType="separate"/>
      </w:r>
      <w:r w:rsidR="0062101B" w:rsidRPr="00584DBA">
        <w:t>20</w:t>
      </w:r>
      <w:r w:rsidRPr="00584DBA">
        <w:fldChar w:fldCharType="end"/>
      </w:r>
      <w:r w:rsidRPr="00584DBA">
        <w:t xml:space="preserve"> powyżej. W szczególności, gdyby nie decyzja z dnia 2</w:t>
      </w:r>
      <w:r w:rsidR="00891479">
        <w:t> </w:t>
      </w:r>
      <w:r w:rsidRPr="00584DBA">
        <w:t xml:space="preserve">sierpnia 2004 r. (zob. </w:t>
      </w:r>
      <w:r w:rsidR="00784571">
        <w:t>pkt </w:t>
      </w:r>
      <w:r w:rsidRPr="00584DBA">
        <w:fldChar w:fldCharType="begin"/>
      </w:r>
      <w:r w:rsidRPr="00584DBA">
        <w:instrText xml:space="preserve"> REF paragraph00016 \h  \* CharFormat </w:instrText>
      </w:r>
      <w:r w:rsidRPr="00584DBA">
        <w:fldChar w:fldCharType="separate"/>
      </w:r>
      <w:r w:rsidR="0062101B" w:rsidRPr="00584DBA">
        <w:t>16</w:t>
      </w:r>
      <w:r w:rsidRPr="00584DBA">
        <w:fldChar w:fldCharType="end"/>
      </w:r>
      <w:r w:rsidRPr="00584DBA">
        <w:t xml:space="preserve"> powyżej), która doprowadziła do zamrożenia rachunków bankowych skarżącego, byłby on w</w:t>
      </w:r>
      <w:r w:rsidR="00784571">
        <w:t> </w:t>
      </w:r>
      <w:r w:rsidRPr="00584DBA">
        <w:t>stanie kontynuować swoją działalność gospodarczą.</w:t>
      </w:r>
    </w:p>
    <w:p w14:paraId="0F3F8EEF" w14:textId="47E48413" w:rsidR="0051506F" w:rsidRPr="00584DBA" w:rsidRDefault="00775227" w:rsidP="00613515">
      <w:pPr>
        <w:pStyle w:val="JuPara"/>
      </w:pPr>
      <w:fldSimple w:instr=" SEQ level0 \*arabic ">
        <w:r w:rsidR="0062101B" w:rsidRPr="00584DBA">
          <w:rPr>
            <w:noProof/>
          </w:rPr>
          <w:t>26</w:t>
        </w:r>
      </w:fldSimple>
      <w:r w:rsidRPr="00584DBA">
        <w:t>.  Wreszcie sąd krajowy nie miał wątpliwości, że decyzje organów z</w:t>
      </w:r>
      <w:r w:rsidR="00634BA0">
        <w:t> </w:t>
      </w:r>
      <w:r w:rsidRPr="00584DBA">
        <w:t>dnia 21 sierpnia 2003 r. i 2</w:t>
      </w:r>
      <w:r w:rsidR="00633D33">
        <w:t> </w:t>
      </w:r>
      <w:r w:rsidRPr="00584DBA">
        <w:t>sierpnia 2004 r. nie były zgodne z prawem w</w:t>
      </w:r>
      <w:r w:rsidR="00634BA0">
        <w:t> </w:t>
      </w:r>
      <w:r w:rsidRPr="00584DBA">
        <w:t xml:space="preserve">rozumieniu art. 417 Kodeksu cywilnego w brzmieniu obowiązującym przed dniem 1 września 2004 r. Sąd odniósł się również do potwierdzenia przez urząd skarbowy, że decyzje stanowiły naruszenie art. 38 ust. 2 pkt 2a ustawy o VAT i </w:t>
      </w:r>
      <w:r w:rsidR="00523C03" w:rsidRPr="00523C03">
        <w:t>§</w:t>
      </w:r>
      <w:r w:rsidR="00523C03">
        <w:t> </w:t>
      </w:r>
      <w:r w:rsidRPr="00584DBA">
        <w:t>12 ust. 1 pkt 4 rozporządzenia z 2002 r.</w:t>
      </w:r>
    </w:p>
    <w:p w14:paraId="145B126F" w14:textId="6834182D" w:rsidR="0051506F" w:rsidRPr="00584DBA" w:rsidRDefault="00775227" w:rsidP="00613515">
      <w:pPr>
        <w:pStyle w:val="JuPara"/>
      </w:pPr>
      <w:fldSimple w:instr=" SEQ level0 \*arabic ">
        <w:bookmarkStart w:id="15" w:name="paragraph00027"/>
        <w:r w:rsidR="0062101B" w:rsidRPr="00584DBA">
          <w:rPr>
            <w:noProof/>
          </w:rPr>
          <w:t>27</w:t>
        </w:r>
        <w:bookmarkEnd w:id="15"/>
      </w:fldSimple>
      <w:r w:rsidRPr="00584DBA">
        <w:t>.  W świetle powyższych rozważań sąd krajowy uznał, że spełnione zostały przesłanki prawne, które art. 417 Kodeksu cywilnego wiąże z</w:t>
      </w:r>
      <w:r w:rsidR="00634BA0">
        <w:t> </w:t>
      </w:r>
      <w:r w:rsidRPr="00584DBA">
        <w:t xml:space="preserve">odpowiedzialnością cywilną państwa </w:t>
      </w:r>
      <w:r w:rsidR="00523C03">
        <w:t>–</w:t>
      </w:r>
      <w:r w:rsidRPr="00584DBA">
        <w:t xml:space="preserve"> mianowicie istnienie szkody, niezgodna z prawem decyzja wydana przy wykonywaniu władzy publicznej oraz związek </w:t>
      </w:r>
      <w:proofErr w:type="spellStart"/>
      <w:r w:rsidRPr="00584DBA">
        <w:t>przyczynowo-skutkowy</w:t>
      </w:r>
      <w:proofErr w:type="spellEnd"/>
      <w:r w:rsidRPr="00584DBA">
        <w:t xml:space="preserve"> między decyzją a szkodą.</w:t>
      </w:r>
    </w:p>
    <w:p w14:paraId="04DEFB3A" w14:textId="2D19B16B" w:rsidR="0051506F" w:rsidRPr="00584DBA" w:rsidRDefault="00775227" w:rsidP="00613515">
      <w:pPr>
        <w:pStyle w:val="JuPara"/>
      </w:pPr>
      <w:fldSimple w:instr=" SEQ level0 \*arabic ">
        <w:r w:rsidR="0062101B" w:rsidRPr="00584DBA">
          <w:rPr>
            <w:noProof/>
          </w:rPr>
          <w:t>28</w:t>
        </w:r>
      </w:fldSimple>
      <w:r w:rsidRPr="00584DBA">
        <w:t xml:space="preserve">.  Skarb Państwa zaskarżył ten wyrok. Po pierwsze, twierdził, że zaskarżone decyzje podatkowe nie były </w:t>
      </w:r>
      <w:r w:rsidR="00AF2F53" w:rsidRPr="00AF2F53">
        <w:t>w sposób oczywisty</w:t>
      </w:r>
      <w:r w:rsidR="00AF2F53" w:rsidRPr="00AF2F53" w:rsidDel="00AF2F53">
        <w:t xml:space="preserve"> </w:t>
      </w:r>
      <w:r w:rsidRPr="00584DBA">
        <w:t>niezgodne z</w:t>
      </w:r>
      <w:r w:rsidR="00FF3A4A">
        <w:t> </w:t>
      </w:r>
      <w:r w:rsidRPr="00584DBA">
        <w:t>prawem, ponieważ przepisy dotyczące zwolnienia papierosów z</w:t>
      </w:r>
      <w:r w:rsidR="00AF2F53">
        <w:t> </w:t>
      </w:r>
      <w:r w:rsidRPr="00584DBA">
        <w:t>podatku akcyzowego powodowały poważne rozbieżności w ich stosowaniu. Sąd pierwszej instancji nie dokonał zatem kwalifikacji „niezgodności z</w:t>
      </w:r>
      <w:r w:rsidR="00AF2F53">
        <w:t> </w:t>
      </w:r>
      <w:r w:rsidRPr="00584DBA">
        <w:t>prawem” wymaganej do zastosowania art. 417 § 1 Kodeksu cywilnego. Po drugie, wywodzono, że sąd pierwszej instancji popełnił błąd przy obliczaniu wysokości szkody. W szczególności w swoich ustnych opiniach powołany przez sąd biegły przeszacował straty za jeden rok z</w:t>
      </w:r>
      <w:r w:rsidR="00AF2F53">
        <w:t> </w:t>
      </w:r>
      <w:r w:rsidRPr="00584DBA">
        <w:t>przedmiotowych lat.</w:t>
      </w:r>
    </w:p>
    <w:p w14:paraId="79589DCF" w14:textId="5E7BBF0A" w:rsidR="0051506F" w:rsidRPr="00584DBA" w:rsidRDefault="00775227" w:rsidP="00613515">
      <w:pPr>
        <w:pStyle w:val="JuPara"/>
      </w:pPr>
      <w:fldSimple w:instr=" SEQ level0 \*arabic ">
        <w:bookmarkStart w:id="16" w:name="paragraph00029"/>
        <w:r w:rsidR="0062101B" w:rsidRPr="00584DBA">
          <w:rPr>
            <w:noProof/>
          </w:rPr>
          <w:t>29</w:t>
        </w:r>
        <w:bookmarkEnd w:id="16"/>
      </w:fldSimple>
      <w:r w:rsidRPr="00584DBA">
        <w:t>.  W dniu 22 grudnia 2010 r. Sąd Apelacyjny w Szczecinie uwzględnił apelację wniesioną przez Skarb Państwa i oddalił powództwo skarżącego.</w:t>
      </w:r>
    </w:p>
    <w:p w14:paraId="57AB01D0" w14:textId="2E30891C" w:rsidR="0051506F" w:rsidRPr="00584DBA" w:rsidRDefault="00775227" w:rsidP="00613515">
      <w:pPr>
        <w:pStyle w:val="JuPara"/>
      </w:pPr>
      <w:fldSimple w:instr=" SEQ level0 \*arabic ">
        <w:bookmarkStart w:id="17" w:name="paragraph00030"/>
        <w:r w:rsidR="0062101B" w:rsidRPr="00584DBA">
          <w:rPr>
            <w:noProof/>
          </w:rPr>
          <w:t>30</w:t>
        </w:r>
        <w:bookmarkEnd w:id="17"/>
      </w:fldSimple>
      <w:r w:rsidRPr="00584DBA">
        <w:t>.  Sąd apelacyjny podzielił stanowisko sądu pierwszej instancji, zgodnie z którym źródłem szkody poniesionej przez skarżącego była decyzja z dnia 2</w:t>
      </w:r>
      <w:r w:rsidR="00634BA0">
        <w:t> </w:t>
      </w:r>
      <w:r w:rsidRPr="00584DBA">
        <w:t>sierpnia 2004 r. Sąd apelacyjny nie poczynił żadnych innych ustaleń w</w:t>
      </w:r>
      <w:r w:rsidR="00634BA0">
        <w:t> </w:t>
      </w:r>
      <w:r w:rsidRPr="00584DBA">
        <w:t xml:space="preserve">zakresie przedmiotowej szkody ani związku </w:t>
      </w:r>
      <w:proofErr w:type="spellStart"/>
      <w:r w:rsidRPr="00584DBA">
        <w:t>przyczynowo-skutkowego</w:t>
      </w:r>
      <w:proofErr w:type="spellEnd"/>
      <w:r w:rsidRPr="00584DBA">
        <w:t>.</w:t>
      </w:r>
    </w:p>
    <w:p w14:paraId="56716CE4" w14:textId="1708C15B" w:rsidR="0051506F" w:rsidRPr="00584DBA" w:rsidRDefault="00775227" w:rsidP="00613515">
      <w:pPr>
        <w:pStyle w:val="JuPara"/>
      </w:pPr>
      <w:fldSimple w:instr=" SEQ level0 \*arabic ">
        <w:r w:rsidR="0062101B" w:rsidRPr="00584DBA">
          <w:rPr>
            <w:noProof/>
          </w:rPr>
          <w:t>31</w:t>
        </w:r>
      </w:fldSimple>
      <w:r w:rsidRPr="00584DBA">
        <w:t>.  Następnie potwierdził, że decyzja z dnia 24 kwietnia 2006 r. stanowiła orzeczenie o niezgodności z prawem wymagane przez art. 417</w:t>
      </w:r>
      <w:r w:rsidRPr="00584DBA">
        <w:rPr>
          <w:vertAlign w:val="superscript"/>
        </w:rPr>
        <w:t>1</w:t>
      </w:r>
      <w:r w:rsidRPr="00584DBA">
        <w:t xml:space="preserve"> § 2 Kodeksu cywilnego (zob. </w:t>
      </w:r>
      <w:r w:rsidR="00CB431C">
        <w:t>pkt </w:t>
      </w:r>
      <w:r w:rsidRPr="00584DBA">
        <w:fldChar w:fldCharType="begin"/>
      </w:r>
      <w:r w:rsidRPr="00584DBA">
        <w:instrText xml:space="preserve"> REF paragraph00047 \h  \* CharFormat </w:instrText>
      </w:r>
      <w:r w:rsidRPr="00584DBA">
        <w:fldChar w:fldCharType="separate"/>
      </w:r>
      <w:r w:rsidR="0062101B" w:rsidRPr="00584DBA">
        <w:t>47</w:t>
      </w:r>
      <w:r w:rsidRPr="00584DBA">
        <w:fldChar w:fldCharType="end"/>
      </w:r>
      <w:r w:rsidRPr="00584DBA">
        <w:t xml:space="preserve">, </w:t>
      </w:r>
      <w:r w:rsidRPr="00584DBA">
        <w:fldChar w:fldCharType="begin"/>
      </w:r>
      <w:r w:rsidRPr="00584DBA">
        <w:instrText xml:space="preserve"> REF paragraph00048 \h  \* CharFormat </w:instrText>
      </w:r>
      <w:r w:rsidRPr="00584DBA">
        <w:fldChar w:fldCharType="separate"/>
      </w:r>
      <w:r w:rsidR="0062101B" w:rsidRPr="00584DBA">
        <w:t>48</w:t>
      </w:r>
      <w:r w:rsidRPr="00584DBA">
        <w:fldChar w:fldCharType="end"/>
      </w:r>
      <w:r w:rsidRPr="00584DBA">
        <w:t xml:space="preserve"> i </w:t>
      </w:r>
      <w:r w:rsidRPr="00584DBA">
        <w:fldChar w:fldCharType="begin"/>
      </w:r>
      <w:r w:rsidRPr="00584DBA">
        <w:instrText xml:space="preserve"> REF paragraph00052 \h  \* CharFormat </w:instrText>
      </w:r>
      <w:r w:rsidRPr="00584DBA">
        <w:fldChar w:fldCharType="separate"/>
      </w:r>
      <w:r w:rsidR="0062101B" w:rsidRPr="00584DBA">
        <w:t>52</w:t>
      </w:r>
      <w:r w:rsidRPr="00584DBA">
        <w:fldChar w:fldCharType="end"/>
      </w:r>
      <w:r w:rsidRPr="00584DBA">
        <w:t xml:space="preserve"> poniżej).</w:t>
      </w:r>
    </w:p>
    <w:p w14:paraId="586B48FC" w14:textId="0DFD6CE3" w:rsidR="0051506F" w:rsidRPr="00584DBA" w:rsidRDefault="00775227" w:rsidP="00613515">
      <w:pPr>
        <w:pStyle w:val="JuPara"/>
      </w:pPr>
      <w:fldSimple w:instr=" SEQ level0 \*arabic ">
        <w:r w:rsidR="0062101B" w:rsidRPr="00584DBA">
          <w:rPr>
            <w:noProof/>
          </w:rPr>
          <w:t>32</w:t>
        </w:r>
      </w:fldSimple>
      <w:r w:rsidRPr="00584DBA">
        <w:t>.  Sąd apelacyjny rozwinął następnie argumentację Skarbu Państwa, że doszło do poważnych rozbieżności w wykładni przepisów regulujących kwestię, czy papierosy sprzedawane przez skarżącego w paczkach nabytych od administracyjnych organów egzekucyjnych i nieoznaczone indywidualną ceną detaliczną były zwolnione od akcyzy na podstawie rozporządzenia Ministra Finansów z 2002 r.</w:t>
      </w:r>
    </w:p>
    <w:p w14:paraId="26DBC371" w14:textId="7B2F5306" w:rsidR="0051506F" w:rsidRPr="00584DBA" w:rsidRDefault="00775227" w:rsidP="00613515">
      <w:pPr>
        <w:pStyle w:val="JuPara"/>
      </w:pPr>
      <w:fldSimple w:instr=" SEQ level0 \*arabic ">
        <w:r w:rsidR="0062101B" w:rsidRPr="00584DBA">
          <w:rPr>
            <w:noProof/>
          </w:rPr>
          <w:t>33</w:t>
        </w:r>
      </w:fldSimple>
      <w:r w:rsidRPr="00584DBA">
        <w:t>.  Zauważono, że w dwóch uchwałach pełnego składu (z dnia 1 czerwca 2007 r. (I</w:t>
      </w:r>
      <w:r w:rsidR="005151A5">
        <w:t> </w:t>
      </w:r>
      <w:r w:rsidRPr="00584DBA">
        <w:t>FPS</w:t>
      </w:r>
      <w:r w:rsidR="005151A5">
        <w:t> </w:t>
      </w:r>
      <w:r w:rsidRPr="00584DBA">
        <w:t>6/07) i z dnia 19 lutego 2009 r. (I</w:t>
      </w:r>
      <w:r w:rsidR="005151A5">
        <w:t> </w:t>
      </w:r>
      <w:r w:rsidRPr="00584DBA">
        <w:t>FPS</w:t>
      </w:r>
      <w:r w:rsidR="005151A5">
        <w:t> </w:t>
      </w:r>
      <w:r w:rsidRPr="00584DBA">
        <w:t>3/09)</w:t>
      </w:r>
      <w:r w:rsidR="005151A5">
        <w:t>)</w:t>
      </w:r>
      <w:r w:rsidRPr="00584DBA">
        <w:t xml:space="preserve"> Naczelny Sąd Administracyjny, po zbadaniu kwestii prawnych związanych z zagadnieniem poruszonym w przedmiotowej sprawie, ostatecznie wyraził rozbieżne stanowiska prawne. Zdaniem sądu apelacyjnego świadczy to o złożonym charakterze sprawy i trudnościach interpretacyjnych.</w:t>
      </w:r>
    </w:p>
    <w:p w14:paraId="57E57BFF" w14:textId="2ADFF298" w:rsidR="0051506F" w:rsidRPr="00584DBA" w:rsidRDefault="00775227" w:rsidP="00613515">
      <w:pPr>
        <w:pStyle w:val="JuPara"/>
      </w:pPr>
      <w:fldSimple w:instr=" SEQ level0 \*arabic ">
        <w:bookmarkStart w:id="18" w:name="paragraph00034"/>
        <w:r w:rsidR="0062101B" w:rsidRPr="00584DBA">
          <w:rPr>
            <w:noProof/>
          </w:rPr>
          <w:t>34</w:t>
        </w:r>
        <w:bookmarkEnd w:id="18"/>
      </w:fldSimple>
      <w:r w:rsidRPr="00584DBA">
        <w:t>.  Sąd apelacyjny stwierdził, że wybór jednej z tych interpretacji był zatem uzasadniony ze strony urzędu skarbowego. W rezultacie naruszenie prawa przez urząd skarbowy nie miało charakteru oczywistego, który powodowałby niezgodność zaskarżonej decyzji z prawem. Powstanie odpowiedzialności cywilnej państwa wymaga, aby błąd co do prawa był kwalifikowany, elementarny i oczywisty. Skarżący został obciążony kosztami w łącznej wysokości 26</w:t>
      </w:r>
      <w:r w:rsidR="005151A5">
        <w:t> </w:t>
      </w:r>
      <w:r w:rsidRPr="00584DBA">
        <w:t>205</w:t>
      </w:r>
      <w:r w:rsidR="005151A5">
        <w:t> </w:t>
      </w:r>
      <w:r w:rsidRPr="00584DBA">
        <w:t>PLN (około 6566</w:t>
      </w:r>
      <w:r w:rsidR="005151A5">
        <w:t> </w:t>
      </w:r>
      <w:r w:rsidRPr="00584DBA">
        <w:t>EUR).</w:t>
      </w:r>
    </w:p>
    <w:p w14:paraId="19D2DD73" w14:textId="2E1ADB6B" w:rsidR="0051506F" w:rsidRPr="00584DBA" w:rsidRDefault="00775227" w:rsidP="00613515">
      <w:pPr>
        <w:pStyle w:val="JuPara"/>
      </w:pPr>
      <w:fldSimple w:instr=" SEQ level0 \*arabic ">
        <w:r w:rsidR="0062101B" w:rsidRPr="00584DBA">
          <w:rPr>
            <w:noProof/>
          </w:rPr>
          <w:t>35</w:t>
        </w:r>
      </w:fldSimple>
      <w:r w:rsidRPr="00584DBA">
        <w:t>.  W dniu 16 listopada 2011 r. Sąd Najwyższy odmówił przyjęcia do rozpoznania skargi kasacyjnej złożonej przez skarżącego.</w:t>
      </w:r>
    </w:p>
    <w:p w14:paraId="49864943" w14:textId="77777777" w:rsidR="0051506F" w:rsidRPr="00584DBA" w:rsidRDefault="00775227" w:rsidP="00613515">
      <w:pPr>
        <w:pStyle w:val="JuHHead"/>
      </w:pPr>
      <w:r w:rsidRPr="00584DBA">
        <w:t>WŁAŚCIWE RAMY PRAWNE I PRAKTYKA</w:t>
      </w:r>
    </w:p>
    <w:p w14:paraId="3FB569EE" w14:textId="77777777" w:rsidR="0051506F" w:rsidRPr="00584DBA" w:rsidRDefault="00775227" w:rsidP="00613515">
      <w:pPr>
        <w:pStyle w:val="JuHIRoman"/>
      </w:pPr>
      <w:r w:rsidRPr="00584DBA">
        <w:t>PRAWO PODATKOWE</w:t>
      </w:r>
    </w:p>
    <w:p w14:paraId="2DAD9A17" w14:textId="40E14D35" w:rsidR="0051506F" w:rsidRPr="00584DBA" w:rsidRDefault="00775227" w:rsidP="00613515">
      <w:pPr>
        <w:pStyle w:val="JuPara"/>
      </w:pPr>
      <w:fldSimple w:instr=" SEQ level0 \*arabic ">
        <w:r w:rsidR="0062101B" w:rsidRPr="00584DBA">
          <w:rPr>
            <w:noProof/>
          </w:rPr>
          <w:t>36</w:t>
        </w:r>
      </w:fldSimple>
      <w:r w:rsidRPr="00584DBA">
        <w:t xml:space="preserve">.  W czasie istotnym dla sprawy podatek akcyzowy był regulowany przez ustawę o podatku akcyzowym z 1993 r. i rozporządzenie z 2002 r., które </w:t>
      </w:r>
      <w:r w:rsidR="00AB7352">
        <w:t xml:space="preserve">to akty </w:t>
      </w:r>
      <w:r w:rsidRPr="00584DBA">
        <w:t>uchylono w dniu 1 maja 2004 r.</w:t>
      </w:r>
    </w:p>
    <w:p w14:paraId="77FD3AE5" w14:textId="6BD2711F" w:rsidR="0051506F" w:rsidRPr="00584DBA" w:rsidRDefault="00775227" w:rsidP="00613515">
      <w:pPr>
        <w:pStyle w:val="JuPara"/>
      </w:pPr>
      <w:fldSimple w:instr=" SEQ level0 \*arabic ">
        <w:r w:rsidR="0062101B" w:rsidRPr="00584DBA">
          <w:rPr>
            <w:noProof/>
          </w:rPr>
          <w:t>37</w:t>
        </w:r>
      </w:fldSimple>
      <w:r w:rsidRPr="00584DBA">
        <w:t xml:space="preserve">.  Zgodnie z art. 37 ust. 7 pkt 2 </w:t>
      </w:r>
      <w:r w:rsidR="00EB0314">
        <w:t>u</w:t>
      </w:r>
      <w:r w:rsidR="00EB0314" w:rsidRPr="00584DBA">
        <w:t xml:space="preserve">stawy </w:t>
      </w:r>
      <w:r w:rsidRPr="00584DBA">
        <w:t>o podatku akcyzowym z</w:t>
      </w:r>
      <w:r w:rsidR="000478ED">
        <w:t> </w:t>
      </w:r>
      <w:r w:rsidRPr="00584DBA">
        <w:t>1993</w:t>
      </w:r>
      <w:r w:rsidR="00B85556">
        <w:t> </w:t>
      </w:r>
      <w:r w:rsidRPr="00584DBA">
        <w:t>r., przedsiębiorstwo, które nie było producentem lub importerem papierosów, było zobowiązane do zapłaty podatku akcyzowego od sprzedaży (mającej miejsce po dacie granicznej 1 marca 2001 r.) papierosów, na których nie podano maksymalnej ceny detalicznej. Artykuł 37 ust. 8 regulował stawkę podatku akcyzowego</w:t>
      </w:r>
      <w:r w:rsidR="000478ED">
        <w:t xml:space="preserve"> </w:t>
      </w:r>
      <w:r w:rsidRPr="00584DBA">
        <w:t>od takiej sprzedaży.</w:t>
      </w:r>
    </w:p>
    <w:p w14:paraId="48C95B87" w14:textId="34CD0466" w:rsidR="0051506F" w:rsidRPr="00584DBA" w:rsidRDefault="00775227" w:rsidP="00613515">
      <w:pPr>
        <w:pStyle w:val="JuPara"/>
      </w:pPr>
      <w:fldSimple w:instr=" SEQ level0 \*arabic ">
        <w:r w:rsidR="0062101B" w:rsidRPr="00584DBA">
          <w:rPr>
            <w:noProof/>
          </w:rPr>
          <w:t>38</w:t>
        </w:r>
      </w:fldSimple>
      <w:r w:rsidRPr="00584DBA">
        <w:t>.  Artykuł 38 ust. 2 pkt 2a upoważniał Ministra Finansów do zwolnienia niektórych grup podatników z obowiązku podatkowego w celu uniknięcia podwójnego opodatkowania.</w:t>
      </w:r>
    </w:p>
    <w:p w14:paraId="6FC91917" w14:textId="247D1965" w:rsidR="0051506F" w:rsidRPr="00584DBA" w:rsidRDefault="00775227" w:rsidP="00613515">
      <w:pPr>
        <w:pStyle w:val="JuPara"/>
      </w:pPr>
      <w:fldSimple w:instr=" SEQ level0 \*arabic ">
        <w:r w:rsidR="0062101B" w:rsidRPr="00584DBA">
          <w:rPr>
            <w:noProof/>
          </w:rPr>
          <w:t>39</w:t>
        </w:r>
      </w:fldSimple>
      <w:r w:rsidRPr="00584DBA">
        <w:t>.  § 12 ust. 1 pkt 4 rozporządzenia z 2002 r. stanowi:</w:t>
      </w:r>
    </w:p>
    <w:p w14:paraId="10D47966" w14:textId="06333BCA" w:rsidR="0051506F" w:rsidRPr="00584DBA" w:rsidRDefault="00775227" w:rsidP="00082C62">
      <w:pPr>
        <w:pStyle w:val="JuQuot"/>
      </w:pPr>
      <w:r w:rsidRPr="00584DBA">
        <w:t>„</w:t>
      </w:r>
      <w:r w:rsidR="00082C62" w:rsidRPr="00082C62">
        <w:t>Zwalnia się z obowiązku podatkowego w podatku akcyzowym podatników będących sprzedawcami wyrobów akcyzowych, z wyjątkiem podmiotów sprzedających:</w:t>
      </w:r>
      <w:r w:rsidR="00082C62">
        <w:t xml:space="preserve"> […] wyroby akcyzowe podlegające opodatkowaniu tym podatkiem, od których nie zapłacono podatku akcyzowego</w:t>
      </w:r>
      <w:r w:rsidRPr="00584DBA">
        <w:t>”</w:t>
      </w:r>
      <w:r w:rsidR="000478ED">
        <w:t>.</w:t>
      </w:r>
    </w:p>
    <w:p w14:paraId="42420337" w14:textId="42898130" w:rsidR="0051506F" w:rsidRPr="00584DBA" w:rsidRDefault="00775227" w:rsidP="00613515">
      <w:pPr>
        <w:pStyle w:val="JuPara"/>
      </w:pPr>
      <w:fldSimple w:instr=" SEQ level0 \*arabic ">
        <w:bookmarkStart w:id="19" w:name="paragraph00040"/>
        <w:r w:rsidR="0062101B" w:rsidRPr="00584DBA">
          <w:rPr>
            <w:noProof/>
          </w:rPr>
          <w:t>40</w:t>
        </w:r>
        <w:bookmarkEnd w:id="19"/>
      </w:fldSimple>
      <w:r w:rsidRPr="00584DBA">
        <w:t xml:space="preserve">.  Powyższy przepis rozporządzenia z 2002 r. skutkował wykształceniem się dwóch rozbieżnych linii orzeczniczych. Naczelny Sąd Administracyjny był początkowo konsekwentny w przyznawaniu zwolnienia z podatku akcyzowego przedsiębiorcom sprzedającym papierosy, o których mowa w art. 37 ust. 7 ustawy o podatku akcyzowym z 1993 r. (zob. wyroki: </w:t>
      </w:r>
      <w:r w:rsidR="00ED6FAB">
        <w:t>nr</w:t>
      </w:r>
      <w:r w:rsidRPr="00584DBA">
        <w:t xml:space="preserve"> I</w:t>
      </w:r>
      <w:r w:rsidR="00ED6FAB">
        <w:t> </w:t>
      </w:r>
      <w:r w:rsidRPr="00584DBA">
        <w:t>FSK</w:t>
      </w:r>
      <w:r w:rsidR="00ED6FAB">
        <w:t> </w:t>
      </w:r>
      <w:r w:rsidRPr="00584DBA">
        <w:t>172/05 z dnia 4 listopada 2005 r.; nr I</w:t>
      </w:r>
      <w:r w:rsidR="00ED6FAB">
        <w:t> </w:t>
      </w:r>
      <w:r w:rsidRPr="00584DBA">
        <w:t>FSK</w:t>
      </w:r>
      <w:r w:rsidR="00ED6FAB">
        <w:t> </w:t>
      </w:r>
      <w:r w:rsidRPr="00584DBA">
        <w:t>401/05 z dnia 4 stycznia 2006 r.; oraz nr I</w:t>
      </w:r>
      <w:r w:rsidR="00ED6FAB">
        <w:t> </w:t>
      </w:r>
      <w:r w:rsidRPr="00584DBA">
        <w:t>FSK</w:t>
      </w:r>
      <w:r w:rsidR="00ED6FAB">
        <w:t> </w:t>
      </w:r>
      <w:r w:rsidRPr="00584DBA">
        <w:t>521/05 z dnia 20</w:t>
      </w:r>
      <w:r w:rsidR="00726421">
        <w:t> </w:t>
      </w:r>
      <w:r w:rsidRPr="00584DBA">
        <w:t xml:space="preserve">stycznia 2006 r.). W dniu 4 kwietnia </w:t>
      </w:r>
      <w:r w:rsidRPr="00584DBA">
        <w:lastRenderedPageBreak/>
        <w:t>2006 r. zmienił swoje stanowisko (zob. wyrok nr I</w:t>
      </w:r>
      <w:r w:rsidR="00726421">
        <w:t> </w:t>
      </w:r>
      <w:r w:rsidRPr="00584DBA">
        <w:t>FSK</w:t>
      </w:r>
      <w:r w:rsidR="00726421">
        <w:t> </w:t>
      </w:r>
      <w:r w:rsidRPr="00584DBA">
        <w:t>762/05). W związku z powyższym pełny skład Naczelnego Sądu Administracyjnego został dwukrotnie wezwany do autorytatywnego rozstrzygnięcia „zagadnienia prawnego budzącego poważne wątpliwości”.</w:t>
      </w:r>
    </w:p>
    <w:p w14:paraId="7982218E" w14:textId="06A629BB" w:rsidR="0051506F" w:rsidRPr="00584DBA" w:rsidRDefault="00775227" w:rsidP="00613515">
      <w:pPr>
        <w:pStyle w:val="JuPara"/>
      </w:pPr>
      <w:fldSimple w:instr=" SEQ level0 \*arabic ">
        <w:bookmarkStart w:id="20" w:name="paragraph00041"/>
        <w:r w:rsidR="0062101B" w:rsidRPr="00584DBA">
          <w:rPr>
            <w:noProof/>
          </w:rPr>
          <w:t>41</w:t>
        </w:r>
        <w:bookmarkEnd w:id="20"/>
      </w:fldSimple>
      <w:r w:rsidRPr="00584DBA">
        <w:t>.  Tym samym w dniu 1 czerwca 2007 r. Naczelny Sąd Administracyjny wydał uchwałę, w której uznał, że w stanie prawnym obowiązującym w</w:t>
      </w:r>
      <w:r w:rsidR="00472189">
        <w:t> </w:t>
      </w:r>
      <w:r w:rsidRPr="00584DBA">
        <w:t>2003</w:t>
      </w:r>
      <w:r w:rsidR="00472189">
        <w:t> </w:t>
      </w:r>
      <w:r w:rsidRPr="00584DBA">
        <w:t>r. podatnicy podatku akcyzowego, którzy prowadzili sprzedaż papierosów, na których nie wskazano maksymalnej ceny detalicznej, byli zwolnieni z</w:t>
      </w:r>
      <w:r w:rsidR="00472189">
        <w:t> </w:t>
      </w:r>
      <w:r w:rsidRPr="00584DBA">
        <w:t>obowiązku podatkowego na podstawie § 12 ust. 1 pkt 4 rozporządzenia z 2002 r. (uchwała nr I</w:t>
      </w:r>
      <w:r w:rsidR="00954EA9">
        <w:t> </w:t>
      </w:r>
      <w:r w:rsidRPr="00584DBA">
        <w:t>FPS</w:t>
      </w:r>
      <w:r w:rsidR="00954EA9">
        <w:t> </w:t>
      </w:r>
      <w:r w:rsidRPr="00584DBA">
        <w:t>6/07). W dniu 19 lutego 2009</w:t>
      </w:r>
      <w:r w:rsidR="00954EA9">
        <w:t> </w:t>
      </w:r>
      <w:r w:rsidRPr="00584DBA">
        <w:t>r. Naczelny Sąd Administracyjny powtórzył to orzeczenie w odniesieniu do poprzedniego rozporządzenia regulującego podatek akcyzowy w latach 2001</w:t>
      </w:r>
      <w:r w:rsidR="00954EA9">
        <w:t>–</w:t>
      </w:r>
      <w:r w:rsidRPr="00584DBA">
        <w:t>2003 oraz § 12 ust. 1 pkt 4 rozporządzenia z 2002 r. (uchwała nr</w:t>
      </w:r>
      <w:r w:rsidR="00472189">
        <w:t> </w:t>
      </w:r>
      <w:r w:rsidRPr="00584DBA">
        <w:t>I</w:t>
      </w:r>
      <w:r w:rsidR="00472189">
        <w:t> </w:t>
      </w:r>
      <w:r w:rsidRPr="00584DBA">
        <w:t>FPS</w:t>
      </w:r>
      <w:r w:rsidR="00472189">
        <w:t> </w:t>
      </w:r>
      <w:r w:rsidRPr="00584DBA">
        <w:t>3/09).</w:t>
      </w:r>
    </w:p>
    <w:p w14:paraId="104E36DB" w14:textId="77777777" w:rsidR="0051506F" w:rsidRPr="00584DBA" w:rsidRDefault="00775227" w:rsidP="00613515">
      <w:pPr>
        <w:pStyle w:val="JuHIRoman"/>
      </w:pPr>
      <w:r w:rsidRPr="00584DBA">
        <w:t>ODPOWIEDZIALNOŚĆ PAŃSTWA ZA SZKODY SPOWODOWANE NIEZGODNYMI Z PRAWEM DECYZJAMI</w:t>
      </w:r>
    </w:p>
    <w:p w14:paraId="239B2330" w14:textId="19439377" w:rsidR="0051506F" w:rsidRPr="00584DBA" w:rsidRDefault="00775227" w:rsidP="00613515">
      <w:pPr>
        <w:pStyle w:val="JuPara"/>
      </w:pPr>
      <w:fldSimple w:instr=" SEQ level0 \*arabic \* MERGEFORMAT ">
        <w:bookmarkStart w:id="21" w:name="paragraph00042"/>
        <w:r w:rsidR="0062101B" w:rsidRPr="00584DBA">
          <w:rPr>
            <w:noProof/>
          </w:rPr>
          <w:t>42</w:t>
        </w:r>
        <w:bookmarkEnd w:id="21"/>
      </w:fldSimple>
      <w:r w:rsidRPr="00584DBA">
        <w:t>.  Odpowiedzialność państwa za szkody wyrządzone niezgodnymi z</w:t>
      </w:r>
      <w:r w:rsidR="00253B61">
        <w:t> </w:t>
      </w:r>
      <w:r w:rsidRPr="00584DBA">
        <w:t xml:space="preserve">prawem decyzjami uregulowana jest w art. 77 ust. 1 Konstytucji </w:t>
      </w:r>
      <w:r w:rsidR="00245CCE" w:rsidRPr="00584DBA">
        <w:t>R</w:t>
      </w:r>
      <w:r w:rsidR="00245CCE">
        <w:t>zeczypospolitej Polskiej</w:t>
      </w:r>
      <w:r w:rsidR="00245CCE" w:rsidRPr="00584DBA">
        <w:t xml:space="preserve"> </w:t>
      </w:r>
      <w:r w:rsidRPr="00584DBA">
        <w:t>z</w:t>
      </w:r>
      <w:r w:rsidR="00253B61">
        <w:t> </w:t>
      </w:r>
      <w:r w:rsidRPr="00584DBA">
        <w:t>1997</w:t>
      </w:r>
      <w:r w:rsidR="00253B61">
        <w:t> </w:t>
      </w:r>
      <w:r w:rsidRPr="00584DBA">
        <w:t>r., która weszła w życie 17 października 1997 r., oraz w art. 417 i</w:t>
      </w:r>
      <w:r w:rsidR="00253B61">
        <w:t> </w:t>
      </w:r>
      <w:r w:rsidRPr="00584DBA">
        <w:t>nast. polskiego Kodeksu cywilnego.</w:t>
      </w:r>
    </w:p>
    <w:p w14:paraId="11A1A1B0" w14:textId="43261D15" w:rsidR="0051506F" w:rsidRPr="00584DBA" w:rsidRDefault="00775227" w:rsidP="00613515">
      <w:pPr>
        <w:pStyle w:val="JuPara"/>
      </w:pPr>
      <w:fldSimple w:instr=" SEQ level0 \*arabic ">
        <w:r w:rsidR="0062101B" w:rsidRPr="00584DBA">
          <w:rPr>
            <w:noProof/>
          </w:rPr>
          <w:t>43</w:t>
        </w:r>
      </w:fldSimple>
      <w:r w:rsidRPr="00584DBA">
        <w:t>.  Artykuł 77 Konstytucji RP stanowi:</w:t>
      </w:r>
    </w:p>
    <w:p w14:paraId="00C487BA" w14:textId="77777777" w:rsidR="0051506F" w:rsidRPr="00584DBA" w:rsidRDefault="00775227" w:rsidP="00613515">
      <w:pPr>
        <w:pStyle w:val="JuQuot"/>
      </w:pPr>
      <w:r w:rsidRPr="00584DBA">
        <w:t>„1. Każdy ma prawo do wynagrodzenia szkody, jaka została mu wyrządzona przez niezgodne z prawem działanie organu władzy publicznej.</w:t>
      </w:r>
    </w:p>
    <w:p w14:paraId="0E97932F" w14:textId="507D018A" w:rsidR="0051506F" w:rsidRPr="00584DBA" w:rsidRDefault="00775227" w:rsidP="00613515">
      <w:pPr>
        <w:pStyle w:val="JuQuot"/>
      </w:pPr>
      <w:r w:rsidRPr="00584DBA">
        <w:t>2. Ustawa nie może nikomu zamykać drogi sądowej dochodzenia naruszonych wolności lub praw”</w:t>
      </w:r>
      <w:r w:rsidR="00245CCE">
        <w:t>.</w:t>
      </w:r>
    </w:p>
    <w:p w14:paraId="67F636C8" w14:textId="29E3934F" w:rsidR="0051506F" w:rsidRPr="00584DBA" w:rsidRDefault="00775227" w:rsidP="00613515">
      <w:pPr>
        <w:pStyle w:val="JuPara"/>
      </w:pPr>
      <w:fldSimple w:instr=" SEQ level0 \*arabic ">
        <w:bookmarkStart w:id="22" w:name="paragraph00044"/>
        <w:r w:rsidR="0062101B" w:rsidRPr="00584DBA">
          <w:rPr>
            <w:noProof/>
          </w:rPr>
          <w:t>44</w:t>
        </w:r>
        <w:bookmarkEnd w:id="22"/>
      </w:fldSimple>
      <w:r w:rsidRPr="00584DBA">
        <w:t>.  W brzmieniu obowiązującym do dnia 1 września 2004 r. art. 417 § 1 Kodeksu cywilnego, ustanawiający zasadę ogólną, brzmiał następująco:</w:t>
      </w:r>
    </w:p>
    <w:p w14:paraId="6BA091A6" w14:textId="223B75F4" w:rsidR="0051506F" w:rsidRPr="00584DBA" w:rsidRDefault="00775227" w:rsidP="00613515">
      <w:pPr>
        <w:pStyle w:val="JuQuot"/>
      </w:pPr>
      <w:r w:rsidRPr="00584DBA">
        <w:t>„Skarb Państwa ponosi odpowiedzialność za szkodę wyrządzoną przez funkcjonariusza państwowego przy wykonywaniu powierzonej mu czynności”</w:t>
      </w:r>
      <w:r w:rsidR="001B66B6">
        <w:t>.</w:t>
      </w:r>
    </w:p>
    <w:p w14:paraId="0A00808C" w14:textId="18A6F232" w:rsidR="0051506F" w:rsidRPr="00584DBA" w:rsidRDefault="00775227" w:rsidP="00613515">
      <w:pPr>
        <w:pStyle w:val="JuPara"/>
      </w:pPr>
      <w:fldSimple w:instr=" SEQ level0 \*arabic ">
        <w:r w:rsidR="0062101B" w:rsidRPr="00584DBA">
          <w:rPr>
            <w:noProof/>
          </w:rPr>
          <w:t>45</w:t>
        </w:r>
      </w:fldSimple>
      <w:r w:rsidRPr="00584DBA">
        <w:t xml:space="preserve">.  W dniu 1 września 2004 r. weszła w życie ustawa z dnia 17 czerwca 2004 r. o zmianie ustawy </w:t>
      </w:r>
      <w:r w:rsidR="002E4A53">
        <w:t>–</w:t>
      </w:r>
      <w:r w:rsidRPr="00584DBA">
        <w:t xml:space="preserve"> Kodeks cywilny oraz niektórych innych ustaw</w:t>
      </w:r>
      <w:r w:rsidRPr="00584DBA">
        <w:rPr>
          <w:i/>
        </w:rPr>
        <w:t xml:space="preserve"> </w:t>
      </w:r>
      <w:r w:rsidRPr="00584DBA">
        <w:t>(„</w:t>
      </w:r>
      <w:r w:rsidR="002E4A53" w:rsidRPr="00584DBA">
        <w:t>ustaw</w:t>
      </w:r>
      <w:r w:rsidR="002E4A53">
        <w:t>a</w:t>
      </w:r>
      <w:r w:rsidR="002E4A53" w:rsidRPr="00584DBA">
        <w:t xml:space="preserve"> nowelizując</w:t>
      </w:r>
      <w:r w:rsidR="002E4A53">
        <w:t>a</w:t>
      </w:r>
      <w:r w:rsidR="002E4A53" w:rsidRPr="00584DBA">
        <w:t xml:space="preserve"> </w:t>
      </w:r>
      <w:r w:rsidRPr="00584DBA">
        <w:t>z 2004 r.”). Stosowne zmiany miały zasadniczo na celu rozszerzenie zakresu odpowiedzialności deliktowej Skarbu Państwa.</w:t>
      </w:r>
    </w:p>
    <w:p w14:paraId="50503C6C" w14:textId="1EDD61F2" w:rsidR="0051506F" w:rsidRPr="00584DBA" w:rsidRDefault="00775227" w:rsidP="00613515">
      <w:pPr>
        <w:pStyle w:val="JuPara"/>
      </w:pPr>
      <w:fldSimple w:instr=" SEQ level0 \*arabic ">
        <w:r w:rsidR="0062101B" w:rsidRPr="00584DBA">
          <w:rPr>
            <w:noProof/>
          </w:rPr>
          <w:t>46</w:t>
        </w:r>
      </w:fldSimple>
      <w:r w:rsidRPr="00584DBA">
        <w:t>.  Zgodnie z przepisami przejściowymi art. 5 ustawy nowelizującej z</w:t>
      </w:r>
      <w:r w:rsidR="00E7570C">
        <w:t> </w:t>
      </w:r>
      <w:r w:rsidRPr="00584DBA">
        <w:t>2004 r.</w:t>
      </w:r>
      <w:r w:rsidR="00C23144">
        <w:t xml:space="preserve"> –</w:t>
      </w:r>
      <w:r w:rsidRPr="00584DBA">
        <w:t xml:space="preserve"> art. 417 w brzmieniu obowiązującym przed 1 września 2004 r. ma zastosowanie do wszystkich zdarzeń i sytuacji prawnych, które miały miejsce przed tą datą.</w:t>
      </w:r>
    </w:p>
    <w:p w14:paraId="312AD29A" w14:textId="6433DFBA" w:rsidR="0051506F" w:rsidRPr="00584DBA" w:rsidRDefault="00775227" w:rsidP="00613515">
      <w:pPr>
        <w:pStyle w:val="JuPara"/>
      </w:pPr>
      <w:fldSimple w:instr=" SEQ level0 \*arabic ">
        <w:bookmarkStart w:id="23" w:name="paragraph00047"/>
        <w:r w:rsidR="0062101B" w:rsidRPr="00584DBA">
          <w:rPr>
            <w:noProof/>
          </w:rPr>
          <w:t>47</w:t>
        </w:r>
        <w:bookmarkEnd w:id="23"/>
      </w:fldSimple>
      <w:r w:rsidRPr="00584DBA">
        <w:t>.  Artykuł 417 § 1 Kodeksu cywilnego, w brzmieniu obowiązującym po 1 września 2004 r., stanowi:</w:t>
      </w:r>
    </w:p>
    <w:p w14:paraId="52DE2FD7" w14:textId="4805F609" w:rsidR="0051506F" w:rsidRPr="00584DBA" w:rsidRDefault="00775227" w:rsidP="00613515">
      <w:pPr>
        <w:pStyle w:val="JuQuot"/>
      </w:pPr>
      <w:r w:rsidRPr="00584DBA">
        <w:t xml:space="preserve">„Za szkodę wyrządzoną przez niezgodne z prawem działanie lub zaniechanie przy wykonywaniu władzy publicznej ponosi odpowiedzialność Skarb Państwa lub </w:t>
      </w:r>
      <w:r w:rsidRPr="00584DBA">
        <w:lastRenderedPageBreak/>
        <w:t>jednostka samorządu terytorialnego lub inna osoba prawna wykonująca tę władzę</w:t>
      </w:r>
      <w:r w:rsidR="0091125C">
        <w:t xml:space="preserve"> z mocy prawa</w:t>
      </w:r>
      <w:r w:rsidRPr="00584DBA">
        <w:t>”.</w:t>
      </w:r>
    </w:p>
    <w:p w14:paraId="30DE3967" w14:textId="03F51A2C" w:rsidR="0051506F" w:rsidRPr="00584DBA" w:rsidRDefault="00775227" w:rsidP="00613515">
      <w:pPr>
        <w:pStyle w:val="JuPara"/>
      </w:pPr>
      <w:fldSimple w:instr=" SEQ level0 \*arabic \* MERGEFORMAT ">
        <w:bookmarkStart w:id="24" w:name="paragraph00048"/>
        <w:r w:rsidR="0062101B" w:rsidRPr="00584DBA">
          <w:rPr>
            <w:noProof/>
          </w:rPr>
          <w:t>48</w:t>
        </w:r>
        <w:bookmarkEnd w:id="24"/>
      </w:fldSimple>
      <w:r w:rsidRPr="00584DBA">
        <w:t>.  Artykuł 417</w:t>
      </w:r>
      <w:r w:rsidRPr="00584DBA">
        <w:rPr>
          <w:vertAlign w:val="superscript"/>
        </w:rPr>
        <w:t>1</w:t>
      </w:r>
      <w:r w:rsidRPr="00584DBA">
        <w:t xml:space="preserve"> § 2 Kodeksu cywilnego stanowi:</w:t>
      </w:r>
    </w:p>
    <w:p w14:paraId="584CE647" w14:textId="2E033C1C" w:rsidR="0051506F" w:rsidRPr="00584DBA" w:rsidRDefault="00775227" w:rsidP="00613515">
      <w:pPr>
        <w:pStyle w:val="JuQuot"/>
      </w:pPr>
      <w:r w:rsidRPr="00584DBA">
        <w:t xml:space="preserve">„Jeżeli szkoda została wyrządzona przez wydanie prawomocnego orzeczenia lub ostatecznej decyzji, jej naprawienia można żądać po stwierdzeniu we właściwym postępowaniu </w:t>
      </w:r>
      <w:r w:rsidR="00BC4D67">
        <w:t xml:space="preserve">ich </w:t>
      </w:r>
      <w:r w:rsidRPr="00584DBA">
        <w:t>niezgodności z prawem, chyba że przepisy odrębne stanowią inaczej”.</w:t>
      </w:r>
    </w:p>
    <w:p w14:paraId="192B2509" w14:textId="3CF71E21" w:rsidR="0051506F" w:rsidRPr="00584DBA" w:rsidRDefault="00775227" w:rsidP="00613515">
      <w:pPr>
        <w:pStyle w:val="JuPara"/>
      </w:pPr>
      <w:fldSimple w:instr=" SEQ level0 \*arabic ">
        <w:r w:rsidR="0062101B" w:rsidRPr="00584DBA">
          <w:rPr>
            <w:noProof/>
          </w:rPr>
          <w:t>49</w:t>
        </w:r>
      </w:fldSimple>
      <w:r w:rsidRPr="00584DBA">
        <w:t>.  W praktyce sądów krajowych roszczenie z art. 417</w:t>
      </w:r>
      <w:r w:rsidRPr="00584DBA">
        <w:rPr>
          <w:vertAlign w:val="superscript"/>
        </w:rPr>
        <w:t>1</w:t>
      </w:r>
      <w:r w:rsidRPr="00584DBA">
        <w:t xml:space="preserve"> Kodeksu cywilnego nie powstaje, jeżeli niezgodność z prawem działania lub zaniechania, z którego wynikła szkoda, nie została stwierdzona w odrębnym postępowaniu (prejudykat) (zob. wyrok Sądu Okręgowego w Słupsku nr</w:t>
      </w:r>
      <w:r w:rsidR="00EA0465">
        <w:t> </w:t>
      </w:r>
      <w:r w:rsidRPr="00584DBA">
        <w:t>IC</w:t>
      </w:r>
      <w:r w:rsidR="007A01F6">
        <w:t> </w:t>
      </w:r>
      <w:r w:rsidRPr="00584DBA">
        <w:t>342/16 z dnia 2 lutego 2017 r.).</w:t>
      </w:r>
    </w:p>
    <w:p w14:paraId="27388BAF" w14:textId="36D50083" w:rsidR="0051506F" w:rsidRPr="00584DBA" w:rsidRDefault="00775227" w:rsidP="00613515">
      <w:pPr>
        <w:pStyle w:val="JuPara"/>
      </w:pPr>
      <w:fldSimple w:instr=" SEQ level0 \*arabic ">
        <w:r w:rsidR="0062101B" w:rsidRPr="00584DBA">
          <w:rPr>
            <w:noProof/>
          </w:rPr>
          <w:t>50</w:t>
        </w:r>
      </w:fldSimple>
      <w:r w:rsidRPr="00584DBA">
        <w:t>.  W praktyce sądowej wykształciły się dwie różne interpretacje terminu „niezgodności z prawem”.</w:t>
      </w:r>
    </w:p>
    <w:p w14:paraId="3F538201" w14:textId="320775AA" w:rsidR="0051506F" w:rsidRPr="00584DBA" w:rsidRDefault="00775227" w:rsidP="00613515">
      <w:pPr>
        <w:pStyle w:val="JuPara"/>
      </w:pPr>
      <w:fldSimple w:instr=" SEQ level0 \*arabic ">
        <w:bookmarkStart w:id="25" w:name="paragraph00051"/>
        <w:r w:rsidR="0062101B" w:rsidRPr="00584DBA">
          <w:rPr>
            <w:noProof/>
          </w:rPr>
          <w:t>51</w:t>
        </w:r>
        <w:bookmarkEnd w:id="25"/>
      </w:fldSimple>
      <w:r w:rsidRPr="00584DBA">
        <w:t xml:space="preserve">.  Jedno </w:t>
      </w:r>
      <w:r w:rsidR="000C6C70">
        <w:t xml:space="preserve">ze </w:t>
      </w:r>
      <w:r w:rsidRPr="00584DBA">
        <w:t>stanowisk wymaga, aby niezgodność z prawem była spowodowana oczywistym lub rażącym naruszeniem prawa, które nie budzi wątpliwości i ma charakter elementarny i kwalifikowany (zob. wyrok Sądu Okręgowego w Gdańsku z dnia 14 listopada 2012 r., III Ca 140/12). Nie stanowi zatem tak oczywistego i rażącego naruszenia prawa wydanie orzeczenia opartego na jednej z kilku możliwych sądowych wykładni przepisu prawa (zob. wyroki Sądu Najwyższego z: 4 grudnia 2013 r., II</w:t>
      </w:r>
      <w:r w:rsidR="00C409A8">
        <w:t> </w:t>
      </w:r>
      <w:r w:rsidRPr="00584DBA">
        <w:t>BP6/13; 12 września 2008 r., I BP2/08; oraz 9 grudnia 2020 r., V</w:t>
      </w:r>
      <w:r w:rsidR="00661EE7">
        <w:t> </w:t>
      </w:r>
      <w:r w:rsidRPr="00584DBA">
        <w:t>CSK</w:t>
      </w:r>
      <w:r w:rsidR="00661EE7">
        <w:t> </w:t>
      </w:r>
      <w:r w:rsidRPr="00584DBA">
        <w:t>80/20).</w:t>
      </w:r>
    </w:p>
    <w:p w14:paraId="01AF3A82" w14:textId="0DBB73E7" w:rsidR="0051506F" w:rsidRPr="00584DBA" w:rsidRDefault="00775227" w:rsidP="00613515">
      <w:pPr>
        <w:pStyle w:val="JuPara"/>
      </w:pPr>
      <w:fldSimple w:instr=" SEQ level0 \*arabic ">
        <w:bookmarkStart w:id="26" w:name="paragraph00052"/>
        <w:r w:rsidR="0062101B" w:rsidRPr="00584DBA">
          <w:rPr>
            <w:noProof/>
          </w:rPr>
          <w:t>52</w:t>
        </w:r>
        <w:bookmarkEnd w:id="26"/>
      </w:fldSimple>
      <w:r w:rsidRPr="00584DBA">
        <w:t>.  Zgodnie z drugim stanowiskiem niezgodność z prawem musi być rozumiana obiektywnie, tj. jako sprzeczność działania/zaniechania z</w:t>
      </w:r>
      <w:r w:rsidR="006A06E1">
        <w:t> </w:t>
      </w:r>
      <w:r w:rsidRPr="00584DBA">
        <w:t xml:space="preserve">porządkiem prawnym określonym </w:t>
      </w:r>
      <w:r w:rsidRPr="00584DBA">
        <w:rPr>
          <w:i/>
        </w:rPr>
        <w:t xml:space="preserve">sensu </w:t>
      </w:r>
      <w:r w:rsidR="00E47723" w:rsidRPr="00584DBA">
        <w:rPr>
          <w:i/>
        </w:rPr>
        <w:t>la</w:t>
      </w:r>
      <w:r w:rsidR="00E47723">
        <w:rPr>
          <w:i/>
        </w:rPr>
        <w:t>rg</w:t>
      </w:r>
      <w:r w:rsidR="00E47723" w:rsidRPr="00584DBA">
        <w:rPr>
          <w:i/>
        </w:rPr>
        <w:t>o</w:t>
      </w:r>
      <w:r w:rsidRPr="00584DBA">
        <w:t>, co wyklucza możliwość jakiegokolwiek rozróżnienia co do skali lub stopnia bezprawności zachowania. Nie ma zatem podstawy prawnej ani potrzeby wymagania, aby odpowiedzialność z art. 417 Kodeksu cywilnego wynikała tylko z</w:t>
      </w:r>
      <w:r w:rsidR="006A06E1">
        <w:t> </w:t>
      </w:r>
      <w:r w:rsidRPr="00584DBA">
        <w:t>oczywistego naruszenia prawa (zob. m.in. wyroki Sądu Najwyższego z:</w:t>
      </w:r>
      <w:r w:rsidR="006A06E1">
        <w:t> </w:t>
      </w:r>
      <w:r w:rsidRPr="00584DBA">
        <w:t>8</w:t>
      </w:r>
      <w:r w:rsidR="006A06E1">
        <w:t> </w:t>
      </w:r>
      <w:r w:rsidRPr="00584DBA">
        <w:t>stycznia 2002 r., I</w:t>
      </w:r>
      <w:r w:rsidR="008D1720">
        <w:t> </w:t>
      </w:r>
      <w:r w:rsidRPr="00584DBA">
        <w:t>CKN</w:t>
      </w:r>
      <w:r w:rsidR="008D1720">
        <w:t> </w:t>
      </w:r>
      <w:r w:rsidRPr="00584DBA">
        <w:t>581/99; 6 lutego 2002 r., V CKN 1248/00; 18</w:t>
      </w:r>
      <w:r w:rsidR="006A06E1">
        <w:t> </w:t>
      </w:r>
      <w:r w:rsidRPr="00584DBA">
        <w:t>czerwca 2018 r., V CSK 422/09; 19 kwietnia 2012 r., IV CSK 406/11; 19</w:t>
      </w:r>
      <w:r w:rsidR="006A06E1">
        <w:t> </w:t>
      </w:r>
      <w:r w:rsidRPr="00584DBA">
        <w:t>września 2018 r., ICSK 585/17; i 25 lutego 2022 r., II CSKP 173/22; uchwała Sądu Najwyższego w składzie siedmiu sędziów z dnia 26 kwietnia 2006 r., III CZP 125/05; oraz wyrok Trybunału Konstytucyjnego z dnia 4</w:t>
      </w:r>
      <w:r w:rsidR="006A06E1">
        <w:t> </w:t>
      </w:r>
      <w:r w:rsidRPr="00584DBA">
        <w:t>grudnia 2001 r., SK 18/00). Zgodnie z drugim stanowiskiem rygorystyczna odpowiedzialność władz publicznych za skutki ich niezgodnych z prawem działań jest już wystarczająco zapewniona poprzez ocenę niezgodności z</w:t>
      </w:r>
      <w:r w:rsidR="008D1720">
        <w:t> </w:t>
      </w:r>
      <w:r w:rsidRPr="00584DBA">
        <w:t xml:space="preserve">prawem decyzji w odrębnym postępowaniu oraz poprzez wymóg istnienia związku </w:t>
      </w:r>
      <w:proofErr w:type="spellStart"/>
      <w:r w:rsidRPr="00584DBA">
        <w:t>przyczynowo-skutkowego</w:t>
      </w:r>
      <w:proofErr w:type="spellEnd"/>
      <w:r w:rsidRPr="00584DBA">
        <w:t xml:space="preserve"> między zaskarżonymi działaniami a</w:t>
      </w:r>
      <w:r w:rsidR="008D1720">
        <w:t> </w:t>
      </w:r>
      <w:r w:rsidRPr="00584DBA">
        <w:t xml:space="preserve">wynikającą z nich szkodą. Cel ten nie może być osiągnięty przez różnicowanie skali lub stopnia bezprawności, gdyż wykraczałoby to poza zakres przedmiotowy przepisu i nie miałoby podstawy ustawowej (zob. wyrok Sądu Najwyższego z dnia 26 kwietnia 2001 r., III CKN 966/00; wyrok </w:t>
      </w:r>
      <w:r w:rsidRPr="00584DBA">
        <w:lastRenderedPageBreak/>
        <w:t>Sądu Okręgowego w Łodzi z dnia 22 kwietnia 2016 r., II Ca 177/16; zob. też uchwałę Sądu Najwyższego wydaną w składzie siedmiu sędziów, cyt. wyżej; a także wyroki Sądu Najwyższego: z dnia 11 marca 2008 r., II CSK 58/07; z</w:t>
      </w:r>
      <w:r w:rsidR="00E40D82">
        <w:t> </w:t>
      </w:r>
      <w:r w:rsidRPr="00584DBA">
        <w:t>dnia 20 sierpnia 2009 r., II CSK 68/09; i z dnia 18 czerwca 2010 r., V CSK 422/09). Co więcej, pojęcie „rażącego naruszenia prawa” ma charakter wysoce uznaniowy (zob. wyrok Sądu Najwyższego z dnia 19 kwietnia 2012</w:t>
      </w:r>
      <w:r w:rsidR="00E40D82">
        <w:t> </w:t>
      </w:r>
      <w:r w:rsidRPr="00584DBA">
        <w:t>r., IV CSK 406/11, oraz cytowany powyżej wyrok Sądu Okręgowego w</w:t>
      </w:r>
      <w:r w:rsidR="00E40D82">
        <w:t> </w:t>
      </w:r>
      <w:r w:rsidRPr="00584DBA">
        <w:t>Łodzi z dnia 22 kwietnia 2016 r.). W aktualnej praktyce orzeczniczej przeważa druga z tych interpretacji (zob. wyroki: Sądu Apelacyjnego w</w:t>
      </w:r>
      <w:r w:rsidR="00E40D82">
        <w:t> </w:t>
      </w:r>
      <w:r w:rsidRPr="00584DBA">
        <w:t xml:space="preserve">Warszawie z dnia 5 listopada 2015 r., VI </w:t>
      </w:r>
      <w:proofErr w:type="spellStart"/>
      <w:r w:rsidRPr="00584DBA">
        <w:t>Aca</w:t>
      </w:r>
      <w:proofErr w:type="spellEnd"/>
      <w:r w:rsidRPr="00584DBA">
        <w:t xml:space="preserve"> 1593/14; Sądu Apelacyjnego w Szczecinie z dnia 28 czerwca 2017 r., I</w:t>
      </w:r>
      <w:r w:rsidR="00E40D82">
        <w:t> </w:t>
      </w:r>
      <w:proofErr w:type="spellStart"/>
      <w:r w:rsidRPr="00584DBA">
        <w:t>Aca</w:t>
      </w:r>
      <w:proofErr w:type="spellEnd"/>
      <w:r w:rsidR="00E40D82">
        <w:t> </w:t>
      </w:r>
      <w:r w:rsidRPr="00584DBA">
        <w:t>133/17; oraz Sądu Okręgowego w Płocku z dnia 23 kwietnia 2018 r., I C 863/12).</w:t>
      </w:r>
    </w:p>
    <w:p w14:paraId="3A642E0C" w14:textId="6E49BA0F" w:rsidR="0051506F" w:rsidRPr="00584DBA" w:rsidRDefault="00775227" w:rsidP="00613515">
      <w:pPr>
        <w:pStyle w:val="JuPara"/>
      </w:pPr>
      <w:fldSimple w:instr=" SEQ level0 \*arabic ">
        <w:bookmarkStart w:id="27" w:name="paragraph00053"/>
        <w:r w:rsidR="0062101B" w:rsidRPr="00584DBA">
          <w:rPr>
            <w:noProof/>
          </w:rPr>
          <w:t>53</w:t>
        </w:r>
        <w:bookmarkEnd w:id="27"/>
      </w:fldSimple>
      <w:r w:rsidRPr="00584DBA">
        <w:t>.  „Szkoda”, o której mowa w tych przepisach, oznacza szkodę majątkową, którą art. 361 § 2 Kodeksu cywilnego definiuje jako „straty, które poszkodowany poniósł, oraz korzyści, które mógłby osiągnąć, gdyby mu szkody nie wyrządzono”.</w:t>
      </w:r>
    </w:p>
    <w:p w14:paraId="30474B45" w14:textId="77777777" w:rsidR="0051506F" w:rsidRPr="00584DBA" w:rsidRDefault="00775227" w:rsidP="00613515">
      <w:pPr>
        <w:pStyle w:val="JuHHead"/>
      </w:pPr>
      <w:r w:rsidRPr="00584DBA">
        <w:t>PRAWO</w:t>
      </w:r>
    </w:p>
    <w:p w14:paraId="3A1F566E" w14:textId="77777777" w:rsidR="0051506F" w:rsidRPr="00584DBA" w:rsidRDefault="00775227" w:rsidP="00613515">
      <w:pPr>
        <w:pStyle w:val="JuHIRoman"/>
      </w:pPr>
      <w:r w:rsidRPr="00584DBA">
        <w:t>ZARZUCANE NARUSZENIE ART. 1 PROTOKOŁU Nr 1 DO KONWENCJI</w:t>
      </w:r>
    </w:p>
    <w:p w14:paraId="5F4394EC" w14:textId="29C649F3" w:rsidR="0051506F" w:rsidRPr="00584DBA" w:rsidRDefault="00775227" w:rsidP="00613515">
      <w:pPr>
        <w:pStyle w:val="JuPara"/>
      </w:pPr>
      <w:fldSimple w:instr=" SEQ level0 \*arabic \* MERGEFORMAT ">
        <w:bookmarkStart w:id="28" w:name="paragraph00054"/>
        <w:r w:rsidR="0062101B" w:rsidRPr="00584DBA">
          <w:rPr>
            <w:noProof/>
          </w:rPr>
          <w:t>54</w:t>
        </w:r>
        <w:bookmarkEnd w:id="28"/>
      </w:fldSimple>
      <w:r w:rsidRPr="00584DBA">
        <w:t>.  Skarżący zarzucił, powołując się na art. 1 Protokołu nr 1 do Konwencji, że jego przedsiębiorstwo poniosło poważne straty z powodu decyzji podatkowych, które zostały uznane za niezgodne z prawem przed złożeniem przez niego skargi do Trybunału. Przedmiotowa szkoda nie została naprawiona. Sąd cywilny, oddalając powództwo skarżącego o</w:t>
      </w:r>
      <w:r w:rsidR="007503BB">
        <w:t> </w:t>
      </w:r>
      <w:r w:rsidRPr="00584DBA">
        <w:t>odszkodowanie za szkodę majątkową, zastosował prawo w sposób, który w</w:t>
      </w:r>
      <w:r w:rsidR="003A0463">
        <w:t> </w:t>
      </w:r>
      <w:r w:rsidRPr="00584DBA">
        <w:t>sposób nieproporcjonalny chronił Skarb Państwa przed roszczeniami osób prywatnych. W rezultacie istniejące przepisy gwarantujące prawo do odszkodowania za szkody spowodowane bezprawnymi działaniami państwa stały się w jego przypadku nieskuteczne i iluzoryczne. Ogólnie rzecz biorąc, na skarżącego nałożono nadmierne indywidualne obciążenie.</w:t>
      </w:r>
    </w:p>
    <w:p w14:paraId="3EB50F34" w14:textId="499028E8" w:rsidR="0051506F" w:rsidRPr="00584DBA" w:rsidRDefault="00775227" w:rsidP="00613515">
      <w:pPr>
        <w:pStyle w:val="JuPara"/>
      </w:pPr>
      <w:fldSimple w:instr=" SEQ level0 \*arabic \* MERGEFORMAT ">
        <w:r w:rsidR="0062101B" w:rsidRPr="00584DBA">
          <w:rPr>
            <w:noProof/>
          </w:rPr>
          <w:t>55</w:t>
        </w:r>
      </w:fldSimple>
      <w:r w:rsidRPr="00584DBA">
        <w:t>.  Odpowiedni artykuł brzmi następująco:</w:t>
      </w:r>
    </w:p>
    <w:p w14:paraId="43152631" w14:textId="77777777" w:rsidR="0051506F" w:rsidRPr="00584DBA" w:rsidRDefault="00775227" w:rsidP="00613515">
      <w:pPr>
        <w:pStyle w:val="JuQuot"/>
      </w:pPr>
      <w:r w:rsidRPr="00584DBA">
        <w:t>„Każda osoba fizyczna i prawna ma prawo do poszanowania swego mienia. Nikt nie może być pozbawiony swojej własności, chyba że w interesie publicznym i na warunkach przewidzianych przez ustawę oraz zgodnie z podstawowymi zasadami prawa międzynarodowego.</w:t>
      </w:r>
    </w:p>
    <w:p w14:paraId="1D66F9A6" w14:textId="77777777" w:rsidR="0051506F" w:rsidRPr="00584DBA" w:rsidRDefault="00775227" w:rsidP="00613515">
      <w:pPr>
        <w:pStyle w:val="JuQuot"/>
      </w:pPr>
      <w:r w:rsidRPr="00584DBA">
        <w:t>Powyższe postanowienia nie będą jednak w żaden sposób naruszać prawa Państwa do wydawania takich ustaw, jakie uzna za konieczne dla uregulowania sposobu korzystania z własności zgodnie z interesem powszechnym lub w celu zapewnienia uiszczania podatków bądź innych należności lub kar pieniężnych”.</w:t>
      </w:r>
    </w:p>
    <w:p w14:paraId="12841299" w14:textId="77777777" w:rsidR="0051506F" w:rsidRPr="00584DBA" w:rsidRDefault="00775227" w:rsidP="00613515">
      <w:pPr>
        <w:pStyle w:val="JuHA"/>
      </w:pPr>
      <w:r w:rsidRPr="00584DBA">
        <w:lastRenderedPageBreak/>
        <w:t>Dopuszczalność</w:t>
      </w:r>
    </w:p>
    <w:p w14:paraId="6FCA4162" w14:textId="77777777" w:rsidR="0051506F" w:rsidRPr="00584DBA" w:rsidRDefault="00775227" w:rsidP="00613515">
      <w:pPr>
        <w:pStyle w:val="JuH1"/>
      </w:pPr>
      <w:r w:rsidRPr="00584DBA">
        <w:t>Zarzut wstępny Rządu</w:t>
      </w:r>
    </w:p>
    <w:p w14:paraId="3D3B4995" w14:textId="766AE2D4" w:rsidR="0051506F" w:rsidRPr="00584DBA" w:rsidRDefault="00775227" w:rsidP="00613515">
      <w:pPr>
        <w:pStyle w:val="JuPara"/>
      </w:pPr>
      <w:fldSimple w:instr=" SEQ level0 \*arabic \* MERGEFORMAT ">
        <w:r w:rsidR="0062101B" w:rsidRPr="00584DBA">
          <w:rPr>
            <w:noProof/>
          </w:rPr>
          <w:t>56</w:t>
        </w:r>
      </w:fldSimple>
      <w:r w:rsidRPr="00584DBA">
        <w:t xml:space="preserve">.  Rząd podniósł zarzut wstępny, twierdząc, że skarga jest niezgodna </w:t>
      </w:r>
      <w:proofErr w:type="spellStart"/>
      <w:r w:rsidRPr="00584DBA">
        <w:rPr>
          <w:i/>
          <w:iCs/>
        </w:rPr>
        <w:t>ratione</w:t>
      </w:r>
      <w:proofErr w:type="spellEnd"/>
      <w:r w:rsidRPr="00584DBA">
        <w:rPr>
          <w:i/>
          <w:iCs/>
        </w:rPr>
        <w:t xml:space="preserve"> </w:t>
      </w:r>
      <w:proofErr w:type="spellStart"/>
      <w:r w:rsidRPr="00584DBA">
        <w:rPr>
          <w:i/>
          <w:iCs/>
        </w:rPr>
        <w:t>materiae</w:t>
      </w:r>
      <w:proofErr w:type="spellEnd"/>
      <w:r w:rsidRPr="00584DBA">
        <w:t xml:space="preserve"> z Konwencją.</w:t>
      </w:r>
    </w:p>
    <w:p w14:paraId="2682B212" w14:textId="77777777" w:rsidR="0051506F" w:rsidRPr="00584DBA" w:rsidRDefault="00775227" w:rsidP="00613515">
      <w:pPr>
        <w:pStyle w:val="JuHa0"/>
      </w:pPr>
      <w:r w:rsidRPr="00584DBA">
        <w:t>Rząd</w:t>
      </w:r>
    </w:p>
    <w:p w14:paraId="7EF62750" w14:textId="13DB8C68" w:rsidR="0051506F" w:rsidRPr="00584DBA" w:rsidRDefault="00775227" w:rsidP="00613515">
      <w:pPr>
        <w:pStyle w:val="JuPara"/>
      </w:pPr>
      <w:fldSimple w:instr=" SEQ level0 \*arabic \* MERGEFORMAT ">
        <w:bookmarkStart w:id="29" w:name="paragraph00057"/>
        <w:r w:rsidR="0062101B" w:rsidRPr="00584DBA">
          <w:rPr>
            <w:noProof/>
          </w:rPr>
          <w:t>57</w:t>
        </w:r>
        <w:bookmarkEnd w:id="29"/>
      </w:fldSimple>
      <w:r w:rsidRPr="00584DBA">
        <w:t>.  Rząd twierdził, że skarżący nie posiada żadnego prawa własności, majątku, uzasadnionych oczekiwań ani istotnego interesu, który podlegałby ochronie na podstawie art. 1 Protokołu nr 1 do Konwencji. W szczególności podniósł, że korzystne orzeczenie sądu pierwszej instancji, które zostało ostatecznie uchylone w wyniku apelacji, nie przyznało skarżącemu żadnego prawa własności, które podlegałoby ochronie na podstawie art. 1 Protokołu nr 1.</w:t>
      </w:r>
    </w:p>
    <w:p w14:paraId="444F32E8" w14:textId="77777777" w:rsidR="0051506F" w:rsidRPr="00584DBA" w:rsidRDefault="00775227" w:rsidP="00613515">
      <w:pPr>
        <w:pStyle w:val="JuHa0"/>
      </w:pPr>
      <w:r w:rsidRPr="00584DBA">
        <w:t xml:space="preserve"> Skarżący</w:t>
      </w:r>
    </w:p>
    <w:p w14:paraId="2D60B816" w14:textId="72FC9D12" w:rsidR="0051506F" w:rsidRPr="00584DBA" w:rsidRDefault="00775227" w:rsidP="00613515">
      <w:pPr>
        <w:pStyle w:val="JuPara"/>
      </w:pPr>
      <w:fldSimple w:instr=" SEQ level0 \*arabic \* MERGEFORMAT ">
        <w:bookmarkStart w:id="30" w:name="paragraph00058"/>
        <w:r w:rsidR="0062101B" w:rsidRPr="00584DBA">
          <w:rPr>
            <w:noProof/>
          </w:rPr>
          <w:t>58</w:t>
        </w:r>
        <w:bookmarkEnd w:id="30"/>
      </w:fldSimple>
      <w:r w:rsidRPr="00584DBA">
        <w:t>.  Skarżący podniósł, że jego prawo do uzyskania odszkodowania za szkodę poniesioną przez jego przedsiębiorstwo nie wynikało z korzystnego wyroku pierwszej instancji, le</w:t>
      </w:r>
      <w:r w:rsidR="00BB1487">
        <w:t>cz</w:t>
      </w:r>
      <w:r w:rsidRPr="00584DBA">
        <w:t xml:space="preserve"> raczej z poważnych, negatywnych i</w:t>
      </w:r>
      <w:r w:rsidR="00F4066B">
        <w:t> </w:t>
      </w:r>
      <w:r w:rsidRPr="00584DBA">
        <w:t>nieproporcjonalnych skutków zaskarżonych decyzji podatkowych przed ich unieważnieniem. Konsekwencje te zostały uznane przez sąd krajowy, mimo że ostatecznie powództwo skarżącego o odszkodowanie nie zostało uwzględnione.</w:t>
      </w:r>
    </w:p>
    <w:p w14:paraId="7282FA9B" w14:textId="462A6F18" w:rsidR="0051506F" w:rsidRPr="00584DBA" w:rsidRDefault="00775227" w:rsidP="002B758E">
      <w:pPr>
        <w:pStyle w:val="JuPara"/>
      </w:pPr>
      <w:fldSimple w:instr=" SEQ level0 \*arabic \* MERGEFORMAT ">
        <w:bookmarkStart w:id="31" w:name="paragraph00059"/>
        <w:r w:rsidR="0062101B" w:rsidRPr="00584DBA">
          <w:rPr>
            <w:noProof/>
          </w:rPr>
          <w:t>59</w:t>
        </w:r>
        <w:bookmarkEnd w:id="31"/>
      </w:fldSimple>
      <w:r w:rsidRPr="00584DBA">
        <w:t>.  Skarżący twierdził, że wyrok pierwszej instancji był istotny w</w:t>
      </w:r>
      <w:r w:rsidR="00F4066B">
        <w:t> </w:t>
      </w:r>
      <w:r w:rsidRPr="00584DBA">
        <w:t xml:space="preserve">zakresie, w jakim potwierdzał, że w okolicznościach jego sprawy zachodzi związek </w:t>
      </w:r>
      <w:proofErr w:type="spellStart"/>
      <w:r w:rsidRPr="00584DBA">
        <w:t>przyczynowo-skutkowy</w:t>
      </w:r>
      <w:proofErr w:type="spellEnd"/>
      <w:r w:rsidRPr="00584DBA">
        <w:t xml:space="preserve"> i inne przesłanki odpowiedzialności cywilnej państwa. Podkreślił, że istnienie zaskarżonych niezgodnych z</w:t>
      </w:r>
      <w:r w:rsidR="00F4066B">
        <w:t> </w:t>
      </w:r>
      <w:r w:rsidRPr="00584DBA">
        <w:t xml:space="preserve">prawem decyzji, poniesiona szkoda i związek </w:t>
      </w:r>
      <w:proofErr w:type="spellStart"/>
      <w:r w:rsidRPr="00584DBA">
        <w:t>przyczynowo-skutkowy</w:t>
      </w:r>
      <w:proofErr w:type="spellEnd"/>
      <w:r w:rsidRPr="00584DBA">
        <w:t xml:space="preserve"> między nimi są bezsporne. Skarżący zasadniczo twierdził, że ponieważ ingerencja w jego prawo do </w:t>
      </w:r>
      <w:r w:rsidR="002B758E">
        <w:t>poszanowania swego mienia</w:t>
      </w:r>
      <w:r w:rsidR="002B758E" w:rsidRPr="00584DBA" w:rsidDel="002B758E">
        <w:t xml:space="preserve"> </w:t>
      </w:r>
      <w:r w:rsidRPr="00584DBA">
        <w:t>była bezsporna, miał on uzasadnione oczekiwanie, że roszczenie o</w:t>
      </w:r>
      <w:r w:rsidR="00F4066B">
        <w:t> </w:t>
      </w:r>
      <w:r w:rsidRPr="00584DBA">
        <w:t>odszkodowanie, które zgodnie z prawem wynikało z tej ingerencji, zostanie zaspokojone.</w:t>
      </w:r>
    </w:p>
    <w:p w14:paraId="25D50B9D" w14:textId="77777777" w:rsidR="0051506F" w:rsidRPr="00584DBA" w:rsidRDefault="00775227" w:rsidP="00613515">
      <w:pPr>
        <w:pStyle w:val="JuH1"/>
      </w:pPr>
      <w:r w:rsidRPr="00584DBA">
        <w:t>Ocena Trybunału</w:t>
      </w:r>
    </w:p>
    <w:p w14:paraId="792B50E3" w14:textId="77777777" w:rsidR="0051506F" w:rsidRPr="00584DBA" w:rsidRDefault="00775227" w:rsidP="00613515">
      <w:pPr>
        <w:pStyle w:val="JuHa0"/>
      </w:pPr>
      <w:r w:rsidRPr="00584DBA">
        <w:t>Zasady ogólne</w:t>
      </w:r>
    </w:p>
    <w:p w14:paraId="0DCAFFEA" w14:textId="4685F1C5" w:rsidR="0051506F" w:rsidRPr="00584DBA" w:rsidRDefault="00775227" w:rsidP="00562489">
      <w:pPr>
        <w:pStyle w:val="JuPara"/>
      </w:pPr>
      <w:fldSimple w:instr=" SEQ level0 \*arabic \* MERGEFORMAT ">
        <w:bookmarkStart w:id="32" w:name="paragraph00060"/>
        <w:r w:rsidR="0062101B" w:rsidRPr="00584DBA">
          <w:rPr>
            <w:noProof/>
          </w:rPr>
          <w:t>60</w:t>
        </w:r>
        <w:bookmarkEnd w:id="32"/>
      </w:fldSimple>
      <w:r w:rsidRPr="00584DBA">
        <w:t xml:space="preserve">.  Trybunał powtarza, że art. 1 Protokołu nr 1, który gwarantuje prawo do ochrony własności, zawiera trzy odrębne zasady: pierwsza zasada zawarta w pierwszym zdaniu pierwszego akapitu ma charakter ogólny i wyraża normę </w:t>
      </w:r>
      <w:r w:rsidR="00562489">
        <w:t>poszanowania mienia</w:t>
      </w:r>
      <w:r w:rsidRPr="00584DBA">
        <w:t>; druga zasada zawarta w drugim zdaniu pierwszego akapitu odnosi się do pozbawienia własności i zastrzega warunki takiego pozbawienia własności; trzecia zasada</w:t>
      </w:r>
      <w:r w:rsidR="00BA6DED">
        <w:t>,</w:t>
      </w:r>
      <w:r w:rsidRPr="00584DBA">
        <w:t xml:space="preserve"> wyrażona w drugim akapicie</w:t>
      </w:r>
      <w:r w:rsidR="00BA6DED">
        <w:t>,</w:t>
      </w:r>
      <w:r w:rsidRPr="00584DBA">
        <w:t xml:space="preserve"> uznaje prawo układających się państw </w:t>
      </w:r>
      <w:r w:rsidR="00BA6DED">
        <w:t xml:space="preserve">m.in. </w:t>
      </w:r>
      <w:r w:rsidRPr="00584DBA">
        <w:t xml:space="preserve">do regulowania sposobu korzystania </w:t>
      </w:r>
      <w:r w:rsidRPr="00584DBA">
        <w:lastRenderedPageBreak/>
        <w:t>z</w:t>
      </w:r>
      <w:r w:rsidR="002B758E">
        <w:t> </w:t>
      </w:r>
      <w:r w:rsidRPr="00584DBA">
        <w:t xml:space="preserve">własności zgodnie z interesem powszechnym. Te trzy zasady nie są jednak „odrębne” w znaczeniu braku powiązania między nimi. Druga i trzecia zasada dotyczą w szczególności przypadków ingerencji w poszanowanie </w:t>
      </w:r>
      <w:r w:rsidR="006D29AD">
        <w:t>mienia</w:t>
      </w:r>
      <w:r w:rsidRPr="00584DBA">
        <w:t xml:space="preserve">, a zatem należy je interpretować w świetle ogólnej zasady wyrażonej w zasadzie pierwszej (zob., między innymi, </w:t>
      </w:r>
      <w:bookmarkStart w:id="33" w:name="_cl28273"/>
      <w:r w:rsidRPr="009B39E2">
        <w:rPr>
          <w:i/>
          <w:iCs/>
        </w:rPr>
        <w:t>James i Inni przeciwko Zjednoczonemu Królestwu</w:t>
      </w:r>
      <w:bookmarkEnd w:id="33"/>
      <w:r w:rsidRPr="00584DBA">
        <w:t>, 21</w:t>
      </w:r>
      <w:r w:rsidR="006D29AD">
        <w:t> </w:t>
      </w:r>
      <w:r w:rsidRPr="00584DBA">
        <w:t xml:space="preserve">lutego 1986 r., </w:t>
      </w:r>
      <w:r w:rsidR="006D29AD">
        <w:t>pkt </w:t>
      </w:r>
      <w:r w:rsidRPr="00584DBA">
        <w:t xml:space="preserve">37, Seria A nr 98 i inne sprawy tam cytowane; </w:t>
      </w:r>
      <w:r w:rsidRPr="009B39E2">
        <w:rPr>
          <w:i/>
          <w:iCs/>
        </w:rPr>
        <w:t xml:space="preserve">J.A. </w:t>
      </w:r>
      <w:proofErr w:type="spellStart"/>
      <w:r w:rsidRPr="009B39E2">
        <w:rPr>
          <w:i/>
          <w:iCs/>
        </w:rPr>
        <w:t>Pye</w:t>
      </w:r>
      <w:proofErr w:type="spellEnd"/>
      <w:r w:rsidRPr="009B39E2">
        <w:rPr>
          <w:i/>
          <w:iCs/>
        </w:rPr>
        <w:t xml:space="preserve"> (Oxford) </w:t>
      </w:r>
      <w:proofErr w:type="spellStart"/>
      <w:r w:rsidRPr="009B39E2">
        <w:rPr>
          <w:i/>
          <w:iCs/>
        </w:rPr>
        <w:t>Ltd</w:t>
      </w:r>
      <w:proofErr w:type="spellEnd"/>
      <w:r w:rsidRPr="009B39E2">
        <w:rPr>
          <w:i/>
          <w:iCs/>
        </w:rPr>
        <w:t xml:space="preserve"> i J.A. </w:t>
      </w:r>
      <w:proofErr w:type="spellStart"/>
      <w:r w:rsidRPr="009B39E2">
        <w:rPr>
          <w:i/>
          <w:iCs/>
        </w:rPr>
        <w:t>Pye</w:t>
      </w:r>
      <w:proofErr w:type="spellEnd"/>
      <w:r w:rsidRPr="009B39E2">
        <w:rPr>
          <w:i/>
          <w:iCs/>
        </w:rPr>
        <w:t xml:space="preserve"> (Oxford) Land </w:t>
      </w:r>
      <w:proofErr w:type="spellStart"/>
      <w:r w:rsidRPr="009B39E2">
        <w:rPr>
          <w:i/>
          <w:iCs/>
        </w:rPr>
        <w:t>Ltd</w:t>
      </w:r>
      <w:proofErr w:type="spellEnd"/>
      <w:r w:rsidRPr="009B39E2">
        <w:rPr>
          <w:i/>
          <w:iCs/>
        </w:rPr>
        <w:t xml:space="preserve"> przeciwko Zjednoczonemu Królestwu</w:t>
      </w:r>
      <w:r w:rsidRPr="00584DBA">
        <w:t xml:space="preserve"> [WI], nr</w:t>
      </w:r>
      <w:r w:rsidR="006D29AD">
        <w:t> </w:t>
      </w:r>
      <w:r w:rsidRPr="00584DBA">
        <w:t xml:space="preserve">44302/02, </w:t>
      </w:r>
      <w:r w:rsidR="006D29AD">
        <w:t>pkt </w:t>
      </w:r>
      <w:r w:rsidRPr="00584DBA">
        <w:t>52, ETPC 2007</w:t>
      </w:r>
      <w:r w:rsidR="008338FD">
        <w:noBreakHyphen/>
      </w:r>
      <w:r w:rsidRPr="00584DBA">
        <w:t xml:space="preserve">III; </w:t>
      </w:r>
      <w:proofErr w:type="spellStart"/>
      <w:r w:rsidRPr="009B39E2">
        <w:rPr>
          <w:i/>
          <w:iCs/>
        </w:rPr>
        <w:t>Iatridis</w:t>
      </w:r>
      <w:proofErr w:type="spellEnd"/>
      <w:r w:rsidRPr="009B39E2">
        <w:rPr>
          <w:i/>
          <w:iCs/>
        </w:rPr>
        <w:t xml:space="preserve"> przeciwko Grecji</w:t>
      </w:r>
      <w:r w:rsidRPr="00584DBA">
        <w:t xml:space="preserve"> [WI], nr</w:t>
      </w:r>
      <w:r w:rsidR="006D29AD">
        <w:t> </w:t>
      </w:r>
      <w:r w:rsidRPr="00584DBA">
        <w:t xml:space="preserve">31107/96, </w:t>
      </w:r>
      <w:r w:rsidR="006D29AD">
        <w:t>pkt </w:t>
      </w:r>
      <w:r w:rsidRPr="00584DBA">
        <w:t xml:space="preserve">55, ETPC 1999-II; </w:t>
      </w:r>
      <w:proofErr w:type="spellStart"/>
      <w:r w:rsidRPr="009B39E2">
        <w:rPr>
          <w:i/>
          <w:iCs/>
        </w:rPr>
        <w:t>Immobiliare</w:t>
      </w:r>
      <w:proofErr w:type="spellEnd"/>
      <w:r w:rsidRPr="009B39E2">
        <w:rPr>
          <w:i/>
          <w:iCs/>
        </w:rPr>
        <w:t xml:space="preserve"> </w:t>
      </w:r>
      <w:proofErr w:type="spellStart"/>
      <w:r w:rsidRPr="009B39E2">
        <w:rPr>
          <w:i/>
          <w:iCs/>
        </w:rPr>
        <w:t>Saffi</w:t>
      </w:r>
      <w:proofErr w:type="spellEnd"/>
      <w:r w:rsidRPr="009B39E2">
        <w:rPr>
          <w:i/>
          <w:iCs/>
        </w:rPr>
        <w:t xml:space="preserve"> przeciwko Włochom </w:t>
      </w:r>
      <w:r w:rsidRPr="00584DBA">
        <w:t>[WI], nr</w:t>
      </w:r>
      <w:r w:rsidR="006D29AD">
        <w:t> </w:t>
      </w:r>
      <w:r w:rsidRPr="00584DBA">
        <w:t xml:space="preserve">22774/93, </w:t>
      </w:r>
      <w:r w:rsidR="006D29AD">
        <w:t>pkt </w:t>
      </w:r>
      <w:r w:rsidRPr="00584DBA">
        <w:t xml:space="preserve">44, ETPC 1999-V; oraz </w:t>
      </w:r>
      <w:proofErr w:type="spellStart"/>
      <w:r w:rsidRPr="009B39E2">
        <w:rPr>
          <w:i/>
          <w:iCs/>
        </w:rPr>
        <w:t>Hábenczius</w:t>
      </w:r>
      <w:proofErr w:type="spellEnd"/>
      <w:r w:rsidRPr="009B39E2">
        <w:rPr>
          <w:i/>
          <w:iCs/>
        </w:rPr>
        <w:t xml:space="preserve"> przeciwko Węgrom</w:t>
      </w:r>
      <w:r w:rsidRPr="00584DBA">
        <w:t>, nr</w:t>
      </w:r>
      <w:r w:rsidR="006D29AD">
        <w:t> </w:t>
      </w:r>
      <w:r w:rsidRPr="00584DBA">
        <w:t xml:space="preserve">44473/06, </w:t>
      </w:r>
      <w:r w:rsidR="006D29AD">
        <w:t>pkt </w:t>
      </w:r>
      <w:r w:rsidRPr="00584DBA">
        <w:t>27, 21</w:t>
      </w:r>
      <w:r w:rsidR="00533D7F">
        <w:t> </w:t>
      </w:r>
      <w:r w:rsidRPr="00584DBA">
        <w:t>października 2014</w:t>
      </w:r>
      <w:r w:rsidR="00643F6E">
        <w:t> </w:t>
      </w:r>
      <w:r w:rsidRPr="00584DBA">
        <w:t>r.).</w:t>
      </w:r>
    </w:p>
    <w:p w14:paraId="3FC879C4" w14:textId="42757215" w:rsidR="0051506F" w:rsidRPr="00584DBA" w:rsidRDefault="00775227" w:rsidP="00613515">
      <w:pPr>
        <w:pStyle w:val="JuPara"/>
      </w:pPr>
      <w:fldSimple w:instr=" SEQ level0 \*arabic \* MERGEFORMAT ">
        <w:bookmarkStart w:id="34" w:name="paragraph00061"/>
        <w:r w:rsidR="0062101B" w:rsidRPr="00584DBA">
          <w:rPr>
            <w:noProof/>
          </w:rPr>
          <w:t>61</w:t>
        </w:r>
        <w:bookmarkEnd w:id="34"/>
      </w:fldSimple>
      <w:r w:rsidRPr="00584DBA">
        <w:t xml:space="preserve">.  Zajęcie mienia w kontekście postępowania sądowego zwykle odnosi się do </w:t>
      </w:r>
      <w:r w:rsidR="009B792A" w:rsidRPr="00997723">
        <w:rPr>
          <w:i/>
          <w:iCs/>
        </w:rPr>
        <w:t>uregulowania sposobu korzystania z własności</w:t>
      </w:r>
      <w:r w:rsidRPr="00584DBA">
        <w:t xml:space="preserve">, co wchodzi w zakres drugiego akapitu art. 1 Protokołu nr 1 (zob. między innymi </w:t>
      </w:r>
      <w:bookmarkStart w:id="35" w:name="_cl41003"/>
      <w:r w:rsidRPr="00584DBA">
        <w:rPr>
          <w:i/>
          <w:iCs/>
        </w:rPr>
        <w:t>Łysak</w:t>
      </w:r>
      <w:r w:rsidRPr="00584DBA">
        <w:t xml:space="preserve"> </w:t>
      </w:r>
      <w:r w:rsidRPr="00584DBA">
        <w:rPr>
          <w:i/>
          <w:iCs/>
        </w:rPr>
        <w:t>przeciwko Polsce</w:t>
      </w:r>
      <w:r w:rsidRPr="00584DBA">
        <w:t xml:space="preserve">, nr 1631/16, </w:t>
      </w:r>
      <w:r w:rsidR="00EE128D">
        <w:t>pkt </w:t>
      </w:r>
      <w:r w:rsidRPr="00584DBA">
        <w:t>76, 7 października 2021 r.)</w:t>
      </w:r>
      <w:bookmarkEnd w:id="35"/>
      <w:r w:rsidRPr="00584DBA">
        <w:t>. To samo dotyczy strat z</w:t>
      </w:r>
      <w:r w:rsidR="002B758E">
        <w:t> </w:t>
      </w:r>
      <w:r w:rsidRPr="00584DBA">
        <w:t>działalności gospodarczej wynikających z ogólnych ograniczeń sprzedaży określonego towaru lub z wycofania indywidualnego zezwolenia (zob. </w:t>
      </w:r>
      <w:proofErr w:type="spellStart"/>
      <w:r w:rsidRPr="00584DBA">
        <w:rPr>
          <w:i/>
          <w:iCs/>
        </w:rPr>
        <w:t>Tre</w:t>
      </w:r>
      <w:proofErr w:type="spellEnd"/>
      <w:r w:rsidRPr="00584DBA">
        <w:rPr>
          <w:i/>
          <w:iCs/>
        </w:rPr>
        <w:t xml:space="preserve"> </w:t>
      </w:r>
      <w:proofErr w:type="spellStart"/>
      <w:r w:rsidRPr="00584DBA">
        <w:rPr>
          <w:i/>
          <w:iCs/>
        </w:rPr>
        <w:t>Traktörer</w:t>
      </w:r>
      <w:proofErr w:type="spellEnd"/>
      <w:r w:rsidRPr="00584DBA">
        <w:rPr>
          <w:i/>
          <w:iCs/>
        </w:rPr>
        <w:t xml:space="preserve"> AB przeciwko Szwecji</w:t>
      </w:r>
      <w:r w:rsidRPr="00584DBA">
        <w:t xml:space="preserve">, 7 lipca 1989 r., </w:t>
      </w:r>
      <w:r w:rsidR="00BA3544">
        <w:t>pkt </w:t>
      </w:r>
      <w:r w:rsidRPr="00584DBA">
        <w:t>54</w:t>
      </w:r>
      <w:r w:rsidR="00BA3544">
        <w:t>–</w:t>
      </w:r>
      <w:r w:rsidRPr="00584DBA">
        <w:t>55, Seria A nr</w:t>
      </w:r>
      <w:r w:rsidR="00BA3544">
        <w:t> </w:t>
      </w:r>
      <w:r w:rsidRPr="00584DBA">
        <w:t>159, w</w:t>
      </w:r>
      <w:r w:rsidR="002B758E">
        <w:t> </w:t>
      </w:r>
      <w:r w:rsidRPr="00584DBA">
        <w:t xml:space="preserve">odniesieniu do wycofania zezwolenia na sprzedaż alkoholu w restauracji; </w:t>
      </w:r>
      <w:proofErr w:type="spellStart"/>
      <w:r w:rsidRPr="00584DBA">
        <w:rPr>
          <w:i/>
          <w:iCs/>
        </w:rPr>
        <w:t>Pinnacle</w:t>
      </w:r>
      <w:proofErr w:type="spellEnd"/>
      <w:r w:rsidRPr="00584DBA">
        <w:rPr>
          <w:i/>
          <w:iCs/>
        </w:rPr>
        <w:t xml:space="preserve"> </w:t>
      </w:r>
      <w:proofErr w:type="spellStart"/>
      <w:r w:rsidRPr="00584DBA">
        <w:rPr>
          <w:i/>
          <w:iCs/>
        </w:rPr>
        <w:t>Meat</w:t>
      </w:r>
      <w:proofErr w:type="spellEnd"/>
      <w:r w:rsidRPr="00584DBA">
        <w:rPr>
          <w:i/>
          <w:iCs/>
        </w:rPr>
        <w:t xml:space="preserve"> </w:t>
      </w:r>
      <w:proofErr w:type="spellStart"/>
      <w:r w:rsidRPr="00584DBA">
        <w:rPr>
          <w:i/>
          <w:iCs/>
        </w:rPr>
        <w:t>Processors</w:t>
      </w:r>
      <w:proofErr w:type="spellEnd"/>
      <w:r w:rsidRPr="00584DBA">
        <w:rPr>
          <w:i/>
          <w:iCs/>
        </w:rPr>
        <w:t xml:space="preserve"> Company i Inni przeciwko Zjednoczonemu Królestwu</w:t>
      </w:r>
      <w:r w:rsidRPr="00584DBA">
        <w:t xml:space="preserve"> (</w:t>
      </w:r>
      <w:proofErr w:type="spellStart"/>
      <w:r w:rsidRPr="00584DBA">
        <w:t>dec</w:t>
      </w:r>
      <w:proofErr w:type="spellEnd"/>
      <w:r w:rsidRPr="00584DBA">
        <w:t>.), nr</w:t>
      </w:r>
      <w:r w:rsidR="00EE128D">
        <w:t> </w:t>
      </w:r>
      <w:r w:rsidRPr="00584DBA">
        <w:t>33298/96, 21</w:t>
      </w:r>
      <w:r w:rsidR="00D60621">
        <w:t> </w:t>
      </w:r>
      <w:r w:rsidRPr="00584DBA">
        <w:t>października 1998 r., w związku z utratą działalności w</w:t>
      </w:r>
      <w:r w:rsidR="00EE128D">
        <w:t> </w:t>
      </w:r>
      <w:r w:rsidRPr="00584DBA">
        <w:t xml:space="preserve">zakresie przetwórstwa mięsa wynikającą z ograniczeń nałożonych na wykorzystanie określonego materiału bydlęcego; oraz </w:t>
      </w:r>
      <w:proofErr w:type="spellStart"/>
      <w:r w:rsidRPr="00584DBA">
        <w:rPr>
          <w:i/>
          <w:iCs/>
        </w:rPr>
        <w:t>Ian</w:t>
      </w:r>
      <w:proofErr w:type="spellEnd"/>
      <w:r w:rsidRPr="00584DBA">
        <w:rPr>
          <w:i/>
          <w:iCs/>
        </w:rPr>
        <w:t xml:space="preserve"> Edgar (Liverpool) </w:t>
      </w:r>
      <w:proofErr w:type="spellStart"/>
      <w:r w:rsidRPr="00584DBA">
        <w:rPr>
          <w:i/>
          <w:iCs/>
        </w:rPr>
        <w:t>Ltd</w:t>
      </w:r>
      <w:proofErr w:type="spellEnd"/>
      <w:r w:rsidRPr="00584DBA">
        <w:rPr>
          <w:i/>
          <w:iCs/>
        </w:rPr>
        <w:t xml:space="preserve"> przeciwko Zjednoczonemu Królestwu</w:t>
      </w:r>
      <w:r w:rsidRPr="00584DBA">
        <w:t xml:space="preserve"> (</w:t>
      </w:r>
      <w:proofErr w:type="spellStart"/>
      <w:r w:rsidRPr="00584DBA">
        <w:t>dec</w:t>
      </w:r>
      <w:proofErr w:type="spellEnd"/>
      <w:r w:rsidRPr="00584DBA">
        <w:t>.), nr</w:t>
      </w:r>
      <w:r w:rsidR="002B758E">
        <w:t> </w:t>
      </w:r>
      <w:r w:rsidRPr="00584DBA">
        <w:t xml:space="preserve">37683/97, ETPC 2000-I w odniesieniu do utraty działalności gospodarczej wynikającej z zakazu posiadania broni ręcznej). Trybunał przyjął również, że istniała </w:t>
      </w:r>
      <w:r w:rsidR="00F83846">
        <w:t>regulacja</w:t>
      </w:r>
      <w:r w:rsidR="00F83846" w:rsidRPr="00584DBA">
        <w:t xml:space="preserve"> </w:t>
      </w:r>
      <w:r w:rsidRPr="00584DBA">
        <w:t xml:space="preserve">sposobu korzystania z własności, w przypadku gdy skarżąca spółka, utraciwszy możliwości na rynku, doznała spadku wartości swojego przedsiębiorstwa (zob. </w:t>
      </w:r>
      <w:proofErr w:type="spellStart"/>
      <w:r w:rsidRPr="00584DBA">
        <w:rPr>
          <w:i/>
          <w:iCs/>
        </w:rPr>
        <w:t>Könyv-Tár</w:t>
      </w:r>
      <w:proofErr w:type="spellEnd"/>
      <w:r w:rsidR="00F75E7F">
        <w:rPr>
          <w:i/>
          <w:iCs/>
        </w:rPr>
        <w:t xml:space="preserve"> </w:t>
      </w:r>
      <w:proofErr w:type="spellStart"/>
      <w:r w:rsidRPr="009B39E2">
        <w:rPr>
          <w:i/>
          <w:iCs/>
        </w:rPr>
        <w:t>Kft</w:t>
      </w:r>
      <w:proofErr w:type="spellEnd"/>
      <w:r w:rsidRPr="009B39E2">
        <w:rPr>
          <w:i/>
          <w:iCs/>
        </w:rPr>
        <w:t xml:space="preserve"> i Inni przeciwko Węgrom</w:t>
      </w:r>
      <w:r w:rsidRPr="00584DBA">
        <w:t>, nr</w:t>
      </w:r>
      <w:r w:rsidR="00F83846">
        <w:t> </w:t>
      </w:r>
      <w:r w:rsidRPr="00584DBA">
        <w:t xml:space="preserve">21623/13, </w:t>
      </w:r>
      <w:r w:rsidR="00EE128D">
        <w:t>pkt </w:t>
      </w:r>
      <w:r w:rsidRPr="00584DBA">
        <w:t xml:space="preserve">43, 16 października 2018 r., w odniesieniu do spadku wartości kapitału własnego w następstwie utworzenia monopolu państwowego na rynku dystrybucji podręczników szkolnych, oraz </w:t>
      </w:r>
      <w:bookmarkStart w:id="36" w:name="_cl42159"/>
      <w:proofErr w:type="spellStart"/>
      <w:r w:rsidRPr="00584DBA">
        <w:rPr>
          <w:i/>
          <w:iCs/>
        </w:rPr>
        <w:t>Pannon</w:t>
      </w:r>
      <w:proofErr w:type="spellEnd"/>
      <w:r w:rsidRPr="00584DBA">
        <w:rPr>
          <w:i/>
          <w:iCs/>
        </w:rPr>
        <w:t xml:space="preserve"> </w:t>
      </w:r>
      <w:proofErr w:type="spellStart"/>
      <w:r w:rsidRPr="00584DBA">
        <w:rPr>
          <w:i/>
          <w:iCs/>
        </w:rPr>
        <w:t>Plakát</w:t>
      </w:r>
      <w:proofErr w:type="spellEnd"/>
      <w:r w:rsidRPr="00584DBA">
        <w:rPr>
          <w:i/>
          <w:iCs/>
        </w:rPr>
        <w:t xml:space="preserve"> </w:t>
      </w:r>
      <w:proofErr w:type="spellStart"/>
      <w:r w:rsidRPr="00584DBA">
        <w:rPr>
          <w:i/>
          <w:iCs/>
        </w:rPr>
        <w:t>Kft</w:t>
      </w:r>
      <w:proofErr w:type="spellEnd"/>
      <w:r w:rsidRPr="00584DBA">
        <w:rPr>
          <w:i/>
          <w:iCs/>
        </w:rPr>
        <w:t xml:space="preserve"> i Inni przeciwko Węgrom</w:t>
      </w:r>
      <w:bookmarkEnd w:id="36"/>
      <w:r w:rsidRPr="00584DBA">
        <w:t xml:space="preserve">, nr 39859/14, </w:t>
      </w:r>
      <w:r w:rsidR="008F134A">
        <w:t>pkt </w:t>
      </w:r>
      <w:r w:rsidRPr="00584DBA">
        <w:t>44 i 46, 6 grudnia 2022 r., w związku ze spadkiem wartości przedsiębiorstwa spółki i częściową utratą wartości ekonomicznej nieelastycznych i niezmiennych składników spółki z powodu ustawowych ograniczeń działalności spółki (przydrożne tablice reklamowe), do której przedmiotowe składniki były wykorzystywane</w:t>
      </w:r>
      <w:r w:rsidR="00293CD1">
        <w:t>)</w:t>
      </w:r>
      <w:r w:rsidRPr="00584DBA">
        <w:t>.</w:t>
      </w:r>
    </w:p>
    <w:p w14:paraId="08F4322B" w14:textId="0BDF435C" w:rsidR="0051506F" w:rsidRPr="00584DBA" w:rsidRDefault="00775227" w:rsidP="00613515">
      <w:pPr>
        <w:pStyle w:val="JuPara"/>
      </w:pPr>
      <w:fldSimple w:instr=" SEQ level0 \*arabic \* MERGEFORMAT ">
        <w:r w:rsidR="0062101B" w:rsidRPr="00584DBA">
          <w:rPr>
            <w:noProof/>
          </w:rPr>
          <w:t>62</w:t>
        </w:r>
      </w:fldSimple>
      <w:r w:rsidRPr="00584DBA">
        <w:t xml:space="preserve">.  Niezależnie od powyższego, w pewnych okolicznościach „uzasadnione oczekiwanie” uzyskania „składnika majątku” może również korzystać z ochrony art. 1 Protokołu nr 1. Tak więc, w przypadku gdy interes majątkowy ma charakter roszczenia, można uznać, że osoba, której on przysługuje, ma „uzasadnione oczekiwanie”, jeżeli istnieje wystarczająca podstawa dla tego interesu w prawie krajowym, na przykład gdy istnieje </w:t>
      </w:r>
      <w:r w:rsidRPr="00584DBA">
        <w:lastRenderedPageBreak/>
        <w:t xml:space="preserve">utrwalone orzecznictwo sądów krajowych potwierdzające jego istnienie (zob. </w:t>
      </w:r>
      <w:proofErr w:type="spellStart"/>
      <w:r w:rsidRPr="00584DBA">
        <w:rPr>
          <w:i/>
          <w:iCs/>
        </w:rPr>
        <w:t>Kopecký</w:t>
      </w:r>
      <w:proofErr w:type="spellEnd"/>
      <w:r w:rsidRPr="00584DBA">
        <w:rPr>
          <w:i/>
          <w:iCs/>
        </w:rPr>
        <w:t xml:space="preserve"> przeciwko Słowacji</w:t>
      </w:r>
      <w:r w:rsidRPr="00584DBA">
        <w:t xml:space="preserve"> [WI], nr</w:t>
      </w:r>
      <w:r w:rsidR="006231DD">
        <w:t> </w:t>
      </w:r>
      <w:r w:rsidRPr="00584DBA">
        <w:t xml:space="preserve">44912/98, </w:t>
      </w:r>
      <w:r w:rsidR="006231DD">
        <w:t>pkt </w:t>
      </w:r>
      <w:r w:rsidRPr="00584DBA">
        <w:t xml:space="preserve">52, ETPC 2004-IX; </w:t>
      </w:r>
      <w:proofErr w:type="spellStart"/>
      <w:r w:rsidRPr="00584DBA">
        <w:rPr>
          <w:i/>
          <w:iCs/>
        </w:rPr>
        <w:t>Draon</w:t>
      </w:r>
      <w:proofErr w:type="spellEnd"/>
      <w:r w:rsidRPr="00584DBA">
        <w:rPr>
          <w:i/>
          <w:iCs/>
        </w:rPr>
        <w:t xml:space="preserve"> przeciwko Francji</w:t>
      </w:r>
      <w:r w:rsidRPr="00584DBA">
        <w:t xml:space="preserve"> [WI], nr 1513/03, </w:t>
      </w:r>
      <w:r w:rsidR="006231DD">
        <w:t>pkt </w:t>
      </w:r>
      <w:r w:rsidRPr="00584DBA">
        <w:t xml:space="preserve">68, 6 października 2005 r.; </w:t>
      </w:r>
      <w:proofErr w:type="spellStart"/>
      <w:r w:rsidRPr="00584DBA">
        <w:rPr>
          <w:i/>
          <w:iCs/>
        </w:rPr>
        <w:t>Anheuser</w:t>
      </w:r>
      <w:proofErr w:type="spellEnd"/>
      <w:r w:rsidRPr="00584DBA">
        <w:rPr>
          <w:i/>
          <w:iCs/>
        </w:rPr>
        <w:noBreakHyphen/>
        <w:t xml:space="preserve">Busch Inc. przeciwko Portugalii </w:t>
      </w:r>
      <w:r w:rsidRPr="00584DBA">
        <w:t xml:space="preserve">[WI], nr 73049/01, </w:t>
      </w:r>
      <w:r w:rsidR="00BE115B">
        <w:t>pkt </w:t>
      </w:r>
      <w:r w:rsidRPr="00584DBA">
        <w:t>65, ETPC 2007</w:t>
      </w:r>
      <w:r w:rsidR="008338FD">
        <w:noBreakHyphen/>
      </w:r>
      <w:r w:rsidRPr="00584DBA">
        <w:t xml:space="preserve">I; oraz </w:t>
      </w:r>
      <w:proofErr w:type="spellStart"/>
      <w:r w:rsidRPr="00584DBA">
        <w:rPr>
          <w:i/>
          <w:iCs/>
        </w:rPr>
        <w:t>Pressos</w:t>
      </w:r>
      <w:proofErr w:type="spellEnd"/>
      <w:r w:rsidRPr="00584DBA">
        <w:rPr>
          <w:i/>
          <w:iCs/>
        </w:rPr>
        <w:t xml:space="preserve"> </w:t>
      </w:r>
      <w:proofErr w:type="spellStart"/>
      <w:r w:rsidRPr="00584DBA">
        <w:rPr>
          <w:i/>
          <w:iCs/>
        </w:rPr>
        <w:t>Compania</w:t>
      </w:r>
      <w:proofErr w:type="spellEnd"/>
      <w:r w:rsidRPr="00584DBA">
        <w:rPr>
          <w:i/>
          <w:iCs/>
        </w:rPr>
        <w:t xml:space="preserve"> </w:t>
      </w:r>
      <w:proofErr w:type="spellStart"/>
      <w:r w:rsidRPr="00584DBA">
        <w:rPr>
          <w:i/>
          <w:iCs/>
        </w:rPr>
        <w:t>Naviera</w:t>
      </w:r>
      <w:proofErr w:type="spellEnd"/>
      <w:r w:rsidRPr="00584DBA">
        <w:rPr>
          <w:i/>
          <w:iCs/>
        </w:rPr>
        <w:t xml:space="preserve"> S.A. i Inni przeciwko Belgii</w:t>
      </w:r>
      <w:r w:rsidRPr="00584DBA">
        <w:t>, 20</w:t>
      </w:r>
      <w:r w:rsidR="00BE115B">
        <w:t> </w:t>
      </w:r>
      <w:r w:rsidRPr="00584DBA">
        <w:t xml:space="preserve">listopada 1995 r., </w:t>
      </w:r>
      <w:r w:rsidR="006B577D">
        <w:t>pkt </w:t>
      </w:r>
      <w:r w:rsidRPr="00584DBA">
        <w:t>31, Seria A nr 332).</w:t>
      </w:r>
    </w:p>
    <w:p w14:paraId="1B35468F" w14:textId="070A03F2" w:rsidR="0051506F" w:rsidRPr="00584DBA" w:rsidRDefault="00775227" w:rsidP="00613515">
      <w:pPr>
        <w:pStyle w:val="JuPara"/>
      </w:pPr>
      <w:fldSimple w:instr=" SEQ level0 \*arabic \* MERGEFORMAT ">
        <w:r w:rsidR="0062101B" w:rsidRPr="00584DBA">
          <w:rPr>
            <w:noProof/>
          </w:rPr>
          <w:t>63</w:t>
        </w:r>
      </w:fldSimple>
      <w:r w:rsidRPr="00584DBA">
        <w:t xml:space="preserve">.  Nie można </w:t>
      </w:r>
      <w:r w:rsidR="00164AC8">
        <w:t xml:space="preserve">jednak </w:t>
      </w:r>
      <w:r w:rsidRPr="00584DBA">
        <w:t xml:space="preserve">mówić o uzasadnionym oczekiwaniu w sytuacji, gdy istnieje spór w przedmiocie prawidłowej wykładni i stosowania prawa krajowego, a wnioski skarżących są </w:t>
      </w:r>
      <w:r w:rsidR="00440A2E">
        <w:t>następnie</w:t>
      </w:r>
      <w:r w:rsidR="00164AC8">
        <w:t xml:space="preserve"> </w:t>
      </w:r>
      <w:r w:rsidRPr="00584DBA">
        <w:t xml:space="preserve">odrzucane przez sądy krajowe (zob. </w:t>
      </w:r>
      <w:proofErr w:type="spellStart"/>
      <w:r w:rsidRPr="00584DBA">
        <w:rPr>
          <w:i/>
          <w:iCs/>
        </w:rPr>
        <w:t>Kopecký</w:t>
      </w:r>
      <w:proofErr w:type="spellEnd"/>
      <w:r w:rsidRPr="00584DBA">
        <w:t xml:space="preserve">, </w:t>
      </w:r>
      <w:r w:rsidR="008C65C5" w:rsidRPr="008C65C5">
        <w:t xml:space="preserve">cyt. </w:t>
      </w:r>
      <w:r w:rsidR="008C65C5">
        <w:t>w</w:t>
      </w:r>
      <w:r w:rsidR="008C65C5" w:rsidRPr="008C65C5">
        <w:t>yżej</w:t>
      </w:r>
      <w:r w:rsidRPr="00584DBA">
        <w:t xml:space="preserve">, </w:t>
      </w:r>
      <w:r w:rsidR="00164AC8">
        <w:t>pkt </w:t>
      </w:r>
      <w:r w:rsidRPr="00584DBA">
        <w:t>50).</w:t>
      </w:r>
    </w:p>
    <w:p w14:paraId="65E0927F" w14:textId="0E12E875" w:rsidR="0051506F" w:rsidRPr="00584DBA" w:rsidRDefault="00775227" w:rsidP="00613515">
      <w:pPr>
        <w:pStyle w:val="JuPara"/>
      </w:pPr>
      <w:fldSimple w:instr=" SEQ level0 \*arabic \* MERGEFORMAT ">
        <w:r w:rsidR="0062101B" w:rsidRPr="00584DBA">
          <w:rPr>
            <w:noProof/>
          </w:rPr>
          <w:t>64</w:t>
        </w:r>
      </w:fldSimple>
      <w:r w:rsidRPr="00584DBA">
        <w:t>.  W związku z tym wykładnia i stosowanie prawa krajowego należą przede wszystkim do władz krajowych, w szczególności do sądów. Kompetencja Trybunału do sprawdzania prawidłowości wykładni i</w:t>
      </w:r>
      <w:r w:rsidR="0085648D">
        <w:t> </w:t>
      </w:r>
      <w:r w:rsidRPr="00584DBA">
        <w:t xml:space="preserve">zastosowania prawa krajowego jest ograniczona, a jego zadaniem nie jest zastępowanie sądów krajowych; jego rolą jest raczej zapewnienie, aby orzeczenia tych sądów nie były obarczone wadą arbitralności lub aby pod innym względem nie były </w:t>
      </w:r>
      <w:r w:rsidR="00EE3925">
        <w:t>w oczywisty sposób</w:t>
      </w:r>
      <w:r w:rsidR="00EE3925" w:rsidRPr="00584DBA">
        <w:t xml:space="preserve"> </w:t>
      </w:r>
      <w:r w:rsidRPr="00584DBA">
        <w:t xml:space="preserve">nieuzasadnione (zob. </w:t>
      </w:r>
      <w:proofErr w:type="spellStart"/>
      <w:r w:rsidRPr="00584DBA">
        <w:rPr>
          <w:i/>
          <w:iCs/>
        </w:rPr>
        <w:t>Topallaj</w:t>
      </w:r>
      <w:proofErr w:type="spellEnd"/>
      <w:r w:rsidRPr="00584DBA">
        <w:rPr>
          <w:i/>
          <w:iCs/>
        </w:rPr>
        <w:t xml:space="preserve"> przeciwko Albanii</w:t>
      </w:r>
      <w:r w:rsidRPr="00584DBA">
        <w:t xml:space="preserve">, nr 32913/03, </w:t>
      </w:r>
      <w:r w:rsidR="00EE3925">
        <w:t>pkt </w:t>
      </w:r>
      <w:r w:rsidRPr="00584DBA">
        <w:t xml:space="preserve">89, 21 kwietnia 2016 r., oraz </w:t>
      </w:r>
      <w:proofErr w:type="spellStart"/>
      <w:r w:rsidRPr="00584DBA">
        <w:rPr>
          <w:i/>
          <w:iCs/>
        </w:rPr>
        <w:t>Weitz</w:t>
      </w:r>
      <w:proofErr w:type="spellEnd"/>
      <w:r w:rsidRPr="00584DBA">
        <w:rPr>
          <w:i/>
          <w:iCs/>
        </w:rPr>
        <w:t xml:space="preserve"> przeciwko Polsce</w:t>
      </w:r>
      <w:r w:rsidRPr="00584DBA">
        <w:t xml:space="preserve"> (</w:t>
      </w:r>
      <w:proofErr w:type="spellStart"/>
      <w:r w:rsidRPr="00584DBA">
        <w:t>dec</w:t>
      </w:r>
      <w:proofErr w:type="spellEnd"/>
      <w:r w:rsidRPr="00584DBA">
        <w:t>.), nr</w:t>
      </w:r>
      <w:r w:rsidR="00EE3925">
        <w:t> </w:t>
      </w:r>
      <w:r w:rsidRPr="00584DBA">
        <w:t>37727/05, 23 czerwca 2009 r.).</w:t>
      </w:r>
    </w:p>
    <w:p w14:paraId="7360F4F7" w14:textId="77777777" w:rsidR="0051506F" w:rsidRPr="00584DBA" w:rsidRDefault="00775227" w:rsidP="00613515">
      <w:pPr>
        <w:pStyle w:val="JuHa0"/>
      </w:pPr>
      <w:r w:rsidRPr="00584DBA">
        <w:t>Zastosowanie tych zasad w niniejszej sprawie</w:t>
      </w:r>
    </w:p>
    <w:p w14:paraId="69A297F9" w14:textId="066C94EB" w:rsidR="0051506F" w:rsidRPr="00584DBA" w:rsidRDefault="00775227" w:rsidP="00613515">
      <w:pPr>
        <w:pStyle w:val="JuPara"/>
      </w:pPr>
      <w:fldSimple w:instr=" SEQ level0 \*arabic \* MERGEFORMAT ">
        <w:r w:rsidR="0062101B" w:rsidRPr="00584DBA">
          <w:rPr>
            <w:noProof/>
          </w:rPr>
          <w:t>65</w:t>
        </w:r>
      </w:fldSimple>
      <w:r w:rsidRPr="00584DBA">
        <w:t xml:space="preserve">.  W niniejszej sprawie podniesiony przez Rząd zarzut niezgodności koncentrował się na rzekomym braku uzasadnionego oczekiwania uzyskania korzystnego orzeczenia w odniesieniu do odszkodowania za utratę działalności gospodarczej (zob. </w:t>
      </w:r>
      <w:r w:rsidR="005118F5">
        <w:t>pkt </w:t>
      </w:r>
      <w:r w:rsidRPr="00584DBA">
        <w:fldChar w:fldCharType="begin"/>
      </w:r>
      <w:r w:rsidRPr="00584DBA">
        <w:instrText xml:space="preserve"> REF paragraph00057 \h  \* CharFormat </w:instrText>
      </w:r>
      <w:r w:rsidRPr="00584DBA">
        <w:fldChar w:fldCharType="separate"/>
      </w:r>
      <w:r w:rsidR="0062101B" w:rsidRPr="00584DBA">
        <w:t>57</w:t>
      </w:r>
      <w:r w:rsidRPr="00584DBA">
        <w:fldChar w:fldCharType="end"/>
      </w:r>
      <w:r w:rsidRPr="00584DBA">
        <w:t xml:space="preserve"> powyżej).</w:t>
      </w:r>
    </w:p>
    <w:p w14:paraId="1DAD0932" w14:textId="49AF3D4B" w:rsidR="0051506F" w:rsidRPr="00584DBA" w:rsidRDefault="00775227" w:rsidP="00613515">
      <w:pPr>
        <w:pStyle w:val="JuPara"/>
      </w:pPr>
      <w:fldSimple w:instr=" SEQ level0 \*arabic \* MERGEFORMAT ">
        <w:r w:rsidR="0062101B" w:rsidRPr="00584DBA">
          <w:rPr>
            <w:noProof/>
          </w:rPr>
          <w:t>66</w:t>
        </w:r>
      </w:fldSimple>
      <w:r w:rsidRPr="00584DBA">
        <w:t xml:space="preserve">.  Z kolei argumentacja skarżącego opierała się zarówno na doktrynie </w:t>
      </w:r>
      <w:r w:rsidR="00191A91">
        <w:t>regulowania</w:t>
      </w:r>
      <w:r w:rsidR="00191A91" w:rsidRPr="00584DBA">
        <w:t xml:space="preserve"> </w:t>
      </w:r>
      <w:r w:rsidRPr="00584DBA">
        <w:t xml:space="preserve">sposobu korzystania z własności, jak i doktrynie uzasadnionych oczekiwań. Skarżący twierdził zatem, że jego prawo własności wynikało przede wszystkim z poniesionej przez niego szkody, mianowicie strat wynikających z niezgodnych z prawem decyzji podatkowych dotyczących jego działalności gospodarczej oraz z zajęcia jego własności (zob. </w:t>
      </w:r>
      <w:r w:rsidR="00BF683C">
        <w:t>pkt</w:t>
      </w:r>
      <w:r w:rsidR="00BF683C" w:rsidRPr="00584DBA">
        <w:t> </w:t>
      </w:r>
      <w:r w:rsidRPr="00584DBA">
        <w:fldChar w:fldCharType="begin"/>
      </w:r>
      <w:r w:rsidRPr="00584DBA">
        <w:instrText xml:space="preserve"> REF paragraph00058 \h  \* CharFormat </w:instrText>
      </w:r>
      <w:r w:rsidRPr="00584DBA">
        <w:fldChar w:fldCharType="separate"/>
      </w:r>
      <w:r w:rsidR="0062101B" w:rsidRPr="00584DBA">
        <w:t>58</w:t>
      </w:r>
      <w:r w:rsidRPr="00584DBA">
        <w:fldChar w:fldCharType="end"/>
      </w:r>
      <w:r w:rsidRPr="00584DBA">
        <w:t xml:space="preserve"> i </w:t>
      </w:r>
      <w:r w:rsidRPr="00584DBA">
        <w:fldChar w:fldCharType="begin"/>
      </w:r>
      <w:r w:rsidRPr="00584DBA">
        <w:instrText xml:space="preserve"> REF paragraph00059 \h  \* CharFormat </w:instrText>
      </w:r>
      <w:r w:rsidRPr="00584DBA">
        <w:fldChar w:fldCharType="separate"/>
      </w:r>
      <w:r w:rsidR="0062101B" w:rsidRPr="00584DBA">
        <w:t>59</w:t>
      </w:r>
      <w:r w:rsidRPr="00584DBA">
        <w:fldChar w:fldCharType="end"/>
      </w:r>
      <w:r w:rsidRPr="00584DBA">
        <w:t xml:space="preserve"> powyżej). W związku z tym skarżący obliczył zysk, który jego przedsiębiorstwo miało utracić w okresie od maja 2003 r. do czerwca 2006</w:t>
      </w:r>
      <w:r w:rsidR="006A0D33">
        <w:t> </w:t>
      </w:r>
      <w:r w:rsidRPr="00584DBA">
        <w:t>r., tj. w czasie, gdy jego prawa własności w</w:t>
      </w:r>
      <w:r w:rsidR="00BF683C">
        <w:t> </w:t>
      </w:r>
      <w:r w:rsidRPr="00584DBA">
        <w:t>odniesieniu do majątku jego przedsiębiorstwa i jego własnego majątku prywatnego zostały naruszone decyzjami o zastosowaniu tymczasowych środków zajęcia (z dnia 19 maja 2003 r.) i późniejszymi decyzjami dotyczącymi jego zobowiązań z tytułu podatku akcyzowego (z dnia 21</w:t>
      </w:r>
      <w:r w:rsidR="00E83CBE">
        <w:t> </w:t>
      </w:r>
      <w:r w:rsidRPr="00584DBA">
        <w:t xml:space="preserve">sierpnia 2003 r. i 2 sierpnia 2004 r.; zob. </w:t>
      </w:r>
      <w:r w:rsidR="00E83CBE">
        <w:t>pkt </w:t>
      </w:r>
      <w:r w:rsidRPr="00584DBA">
        <w:fldChar w:fldCharType="begin"/>
      </w:r>
      <w:r w:rsidRPr="00584DBA">
        <w:instrText xml:space="preserve"> REF paragraph00006 \h  \* CharFormat </w:instrText>
      </w:r>
      <w:r w:rsidRPr="00584DBA">
        <w:fldChar w:fldCharType="separate"/>
      </w:r>
      <w:r w:rsidR="0062101B" w:rsidRPr="00584DBA">
        <w:t>6</w:t>
      </w:r>
      <w:r w:rsidRPr="00584DBA">
        <w:fldChar w:fldCharType="end"/>
      </w:r>
      <w:r w:rsidRPr="00584DBA">
        <w:t xml:space="preserve">, </w:t>
      </w:r>
      <w:r w:rsidRPr="00584DBA">
        <w:fldChar w:fldCharType="begin"/>
      </w:r>
      <w:r w:rsidRPr="00584DBA">
        <w:instrText xml:space="preserve"> REF paragraph00007 \h  \* CharFormat </w:instrText>
      </w:r>
      <w:r w:rsidRPr="00584DBA">
        <w:fldChar w:fldCharType="separate"/>
      </w:r>
      <w:r w:rsidR="0062101B" w:rsidRPr="00584DBA">
        <w:t>7</w:t>
      </w:r>
      <w:r w:rsidRPr="00584DBA">
        <w:fldChar w:fldCharType="end"/>
      </w:r>
      <w:r w:rsidRPr="00584DBA">
        <w:t xml:space="preserve">, </w:t>
      </w:r>
      <w:r w:rsidRPr="00584DBA">
        <w:fldChar w:fldCharType="begin"/>
      </w:r>
      <w:r w:rsidRPr="00584DBA">
        <w:instrText xml:space="preserve"> REF paragraph00013 \h  \* CharFormat </w:instrText>
      </w:r>
      <w:r w:rsidRPr="00584DBA">
        <w:fldChar w:fldCharType="separate"/>
      </w:r>
      <w:r w:rsidR="0062101B" w:rsidRPr="00584DBA">
        <w:t>13</w:t>
      </w:r>
      <w:r w:rsidRPr="00584DBA">
        <w:fldChar w:fldCharType="end"/>
      </w:r>
      <w:r w:rsidRPr="00584DBA">
        <w:t xml:space="preserve">, </w:t>
      </w:r>
      <w:r w:rsidRPr="00584DBA">
        <w:fldChar w:fldCharType="begin"/>
      </w:r>
      <w:r w:rsidRPr="00584DBA">
        <w:instrText xml:space="preserve"> REF paragraph00014 \h  \* CharFormat </w:instrText>
      </w:r>
      <w:r w:rsidRPr="00584DBA">
        <w:fldChar w:fldCharType="separate"/>
      </w:r>
      <w:r w:rsidR="0062101B" w:rsidRPr="00584DBA">
        <w:t>14</w:t>
      </w:r>
      <w:r w:rsidRPr="00584DBA">
        <w:fldChar w:fldCharType="end"/>
      </w:r>
      <w:r w:rsidRPr="00584DBA">
        <w:t xml:space="preserve">, </w:t>
      </w:r>
      <w:r w:rsidRPr="00584DBA">
        <w:fldChar w:fldCharType="begin"/>
      </w:r>
      <w:r w:rsidRPr="00584DBA">
        <w:instrText xml:space="preserve"> REF paragraph00016 \h  \* CharFormat </w:instrText>
      </w:r>
      <w:r w:rsidRPr="00584DBA">
        <w:fldChar w:fldCharType="separate"/>
      </w:r>
      <w:r w:rsidR="0062101B" w:rsidRPr="00584DBA">
        <w:t>16</w:t>
      </w:r>
      <w:r w:rsidRPr="00584DBA">
        <w:fldChar w:fldCharType="end"/>
      </w:r>
      <w:r w:rsidRPr="00584DBA">
        <w:t xml:space="preserve"> i</w:t>
      </w:r>
      <w:r w:rsidR="00E83CBE">
        <w:t> </w:t>
      </w:r>
      <w:r w:rsidRPr="00584DBA">
        <w:fldChar w:fldCharType="begin"/>
      </w:r>
      <w:r w:rsidRPr="00584DBA">
        <w:instrText xml:space="preserve"> REF paragraph00021 \h  \* CharFormat </w:instrText>
      </w:r>
      <w:r w:rsidRPr="00584DBA">
        <w:fldChar w:fldCharType="separate"/>
      </w:r>
      <w:r w:rsidR="0062101B" w:rsidRPr="00584DBA">
        <w:t>21</w:t>
      </w:r>
      <w:r w:rsidRPr="00584DBA">
        <w:fldChar w:fldCharType="end"/>
      </w:r>
      <w:r w:rsidRPr="00584DBA">
        <w:t xml:space="preserve"> powyżej). Przed sądem krajowym skarżący twierdził zatem, że poniósł szkodę pieniężną w wysokości około 190</w:t>
      </w:r>
      <w:r w:rsidR="00C7089C">
        <w:t> </w:t>
      </w:r>
      <w:r w:rsidRPr="00584DBA">
        <w:t>403</w:t>
      </w:r>
      <w:r w:rsidR="00C7089C">
        <w:t> </w:t>
      </w:r>
      <w:r w:rsidRPr="00584DBA">
        <w:t xml:space="preserve">EUR (obliczoną według kursu wymiany ze stycznia 2009 r.; zob. </w:t>
      </w:r>
      <w:r w:rsidR="00A4199A">
        <w:t>pkt</w:t>
      </w:r>
      <w:r w:rsidR="00A4199A" w:rsidRPr="00584DBA">
        <w:t> </w:t>
      </w:r>
      <w:r w:rsidRPr="00584DBA">
        <w:fldChar w:fldCharType="begin"/>
      </w:r>
      <w:r w:rsidRPr="00584DBA">
        <w:instrText xml:space="preserve"> REF paragraph00021 \h  \* CharFormat </w:instrText>
      </w:r>
      <w:r w:rsidRPr="00584DBA">
        <w:fldChar w:fldCharType="separate"/>
      </w:r>
      <w:r w:rsidR="0062101B" w:rsidRPr="00584DBA">
        <w:t>21</w:t>
      </w:r>
      <w:r w:rsidRPr="00584DBA">
        <w:fldChar w:fldCharType="end"/>
      </w:r>
      <w:r w:rsidRPr="00584DBA">
        <w:t xml:space="preserve"> powyżej). Ponadto skarżący zasadniczo twierdził, że miał uzasadnione oczekiwania co do uzyskania odszkodowania, ponieważ jego roszczenie cywilne spełniało wszystkie przesłanki prawne (zob. </w:t>
      </w:r>
      <w:r w:rsidR="00A4199A">
        <w:t>pkt </w:t>
      </w:r>
      <w:r w:rsidR="00A4199A" w:rsidRPr="00584DBA">
        <w:fldChar w:fldCharType="begin"/>
      </w:r>
      <w:r w:rsidR="00A4199A" w:rsidRPr="00584DBA">
        <w:instrText xml:space="preserve"> REF paragraph00054 \h  \* CharFormat </w:instrText>
      </w:r>
      <w:r w:rsidR="00A4199A" w:rsidRPr="00584DBA">
        <w:fldChar w:fldCharType="separate"/>
      </w:r>
      <w:r w:rsidR="00A4199A" w:rsidRPr="00584DBA">
        <w:t>54</w:t>
      </w:r>
      <w:r w:rsidR="00A4199A" w:rsidRPr="00584DBA">
        <w:fldChar w:fldCharType="end"/>
      </w:r>
      <w:r w:rsidRPr="00584DBA">
        <w:t xml:space="preserve">, </w:t>
      </w:r>
      <w:r w:rsidRPr="00584DBA">
        <w:fldChar w:fldCharType="begin"/>
      </w:r>
      <w:r w:rsidRPr="00584DBA">
        <w:instrText xml:space="preserve"> REF paragraph00058 \h  \* CharFormat </w:instrText>
      </w:r>
      <w:r w:rsidRPr="00584DBA">
        <w:fldChar w:fldCharType="separate"/>
      </w:r>
      <w:r w:rsidR="0062101B" w:rsidRPr="00584DBA">
        <w:t>58</w:t>
      </w:r>
      <w:r w:rsidRPr="00584DBA">
        <w:fldChar w:fldCharType="end"/>
      </w:r>
      <w:r w:rsidRPr="00584DBA">
        <w:t xml:space="preserve"> i </w:t>
      </w:r>
      <w:r w:rsidRPr="00584DBA">
        <w:fldChar w:fldCharType="begin"/>
      </w:r>
      <w:r w:rsidRPr="00584DBA">
        <w:instrText xml:space="preserve"> REF paragraph00059 \h  \* CharFormat </w:instrText>
      </w:r>
      <w:r w:rsidRPr="00584DBA">
        <w:fldChar w:fldCharType="separate"/>
      </w:r>
      <w:r w:rsidR="0062101B" w:rsidRPr="00584DBA">
        <w:t>59</w:t>
      </w:r>
      <w:r w:rsidRPr="00584DBA">
        <w:fldChar w:fldCharType="end"/>
      </w:r>
      <w:r w:rsidRPr="00584DBA">
        <w:t xml:space="preserve"> powyżej).</w:t>
      </w:r>
    </w:p>
    <w:p w14:paraId="12467F8F" w14:textId="04D57173" w:rsidR="0051506F" w:rsidRPr="00584DBA" w:rsidRDefault="00775227" w:rsidP="00613515">
      <w:pPr>
        <w:pStyle w:val="JuPara"/>
      </w:pPr>
      <w:fldSimple w:instr=" SEQ level0 \*arabic \* MERGEFORMAT ">
        <w:r w:rsidR="0062101B" w:rsidRPr="00584DBA">
          <w:rPr>
            <w:noProof/>
          </w:rPr>
          <w:t>67</w:t>
        </w:r>
      </w:fldSimple>
      <w:r w:rsidRPr="00584DBA">
        <w:t xml:space="preserve">.  Trybunał powtarza, że art. 1 Protokołu nr 1 ma zastosowanie jedynie do istniejącego stanu posiadania danej osoby i nie kreuje prawa do nabycia własności (zob. </w:t>
      </w:r>
      <w:proofErr w:type="spellStart"/>
      <w:r w:rsidRPr="00584DBA">
        <w:rPr>
          <w:i/>
          <w:iCs/>
        </w:rPr>
        <w:t>Stummer</w:t>
      </w:r>
      <w:proofErr w:type="spellEnd"/>
      <w:r w:rsidRPr="00584DBA">
        <w:rPr>
          <w:i/>
          <w:iCs/>
        </w:rPr>
        <w:t xml:space="preserve"> przeciwko Austrii</w:t>
      </w:r>
      <w:r w:rsidRPr="00584DBA">
        <w:t xml:space="preserve"> [WI], nr 37452/02, </w:t>
      </w:r>
      <w:r w:rsidR="000B64C3">
        <w:t>pkt</w:t>
      </w:r>
      <w:r w:rsidRPr="00584DBA">
        <w:t xml:space="preserve"> 82, ETPC 2011). </w:t>
      </w:r>
      <w:r w:rsidR="00902118">
        <w:t>P</w:t>
      </w:r>
      <w:r w:rsidRPr="00584DBA">
        <w:t>rzyszłych dochodów nie można uznawać za „własność”, chyba że jest to dochód już uzyskany lub definitywnie należny (zob.</w:t>
      </w:r>
      <w:r w:rsidR="0062101B" w:rsidRPr="00584DBA">
        <w:t xml:space="preserve"> </w:t>
      </w:r>
      <w:proofErr w:type="spellStart"/>
      <w:r w:rsidRPr="00584DBA">
        <w:rPr>
          <w:i/>
          <w:iCs/>
        </w:rPr>
        <w:t>Anheuser</w:t>
      </w:r>
      <w:proofErr w:type="spellEnd"/>
      <w:r w:rsidRPr="00584DBA">
        <w:rPr>
          <w:i/>
          <w:iCs/>
        </w:rPr>
        <w:t>-Busch Inc. przeciwko Portugalii</w:t>
      </w:r>
      <w:r w:rsidRPr="00584DBA">
        <w:t xml:space="preserve"> [WI], nr 73049/01, </w:t>
      </w:r>
      <w:r w:rsidR="000B64C3">
        <w:t>pkt </w:t>
      </w:r>
      <w:r w:rsidRPr="00584DBA">
        <w:t xml:space="preserve">64, ETPC 2007 I; oraz </w:t>
      </w:r>
      <w:proofErr w:type="spellStart"/>
      <w:r w:rsidRPr="009B39E2">
        <w:rPr>
          <w:i/>
          <w:iCs/>
        </w:rPr>
        <w:t>Juszczyszyn</w:t>
      </w:r>
      <w:proofErr w:type="spellEnd"/>
      <w:r w:rsidRPr="009B39E2">
        <w:rPr>
          <w:i/>
          <w:iCs/>
        </w:rPr>
        <w:t xml:space="preserve"> przeciwko Polsce</w:t>
      </w:r>
      <w:r w:rsidRPr="00584DBA">
        <w:t xml:space="preserve">, nr 35599/20, </w:t>
      </w:r>
      <w:r w:rsidR="000B64C3">
        <w:t>pkt </w:t>
      </w:r>
      <w:r w:rsidRPr="00584DBA">
        <w:t>344, 6</w:t>
      </w:r>
      <w:r w:rsidR="00603B92">
        <w:t> </w:t>
      </w:r>
      <w:r w:rsidRPr="00584DBA">
        <w:t xml:space="preserve">października 2022 r., z dalszymi odniesieniami). Mając to na uwadze, Trybunał nie ma żadnych wątpliwości, że zgodna z prawem działalność gospodarcza i prawa majątkowe skarżącego zostały naruszone przez ograniczenia nałożone przez szereg decyzji organów podatkowych dotyczących wykorzystania składników majątku należących do przedsiębiorstwa skarżącego i jego własnego majątku prywatnego. </w:t>
      </w:r>
      <w:r w:rsidR="009E5B39">
        <w:t xml:space="preserve">Istotnie, </w:t>
      </w:r>
      <w:r w:rsidRPr="00584DBA">
        <w:t xml:space="preserve">Trybunał wielokrotnie orzekał, że zajęcie pociąga za sobą szkodę (zob. na przykład </w:t>
      </w:r>
      <w:proofErr w:type="spellStart"/>
      <w:r w:rsidRPr="00584DBA">
        <w:rPr>
          <w:i/>
          <w:iCs/>
        </w:rPr>
        <w:t>Borzhonov</w:t>
      </w:r>
      <w:proofErr w:type="spellEnd"/>
      <w:r w:rsidRPr="00584DBA">
        <w:rPr>
          <w:i/>
          <w:iCs/>
        </w:rPr>
        <w:t xml:space="preserve"> przeciwko Rosji</w:t>
      </w:r>
      <w:r w:rsidRPr="00584DBA">
        <w:t xml:space="preserve">, nr 18274/04, </w:t>
      </w:r>
      <w:r w:rsidR="000B64C3">
        <w:t>pkt </w:t>
      </w:r>
      <w:r w:rsidRPr="00584DBA">
        <w:t>61, 22 stycznia 2009</w:t>
      </w:r>
      <w:r w:rsidR="00603B92">
        <w:t> </w:t>
      </w:r>
      <w:r w:rsidRPr="00584DBA">
        <w:t xml:space="preserve">r.). W szczególności Trybunał orzekł również, że zajęcie, które nałożyło tymczasowe ograniczenie na rozporządzanie własnością skarżącego </w:t>
      </w:r>
      <w:r w:rsidR="009E5B39">
        <w:t>związaną</w:t>
      </w:r>
      <w:r w:rsidR="009E5B39" w:rsidRPr="00584DBA">
        <w:t xml:space="preserve"> </w:t>
      </w:r>
      <w:r w:rsidRPr="00584DBA">
        <w:t xml:space="preserve">z jego zgodną z prawem działalnością gospodarczą, nieuchronnie miało wpływ na zdolność tej działalności do normalnego funkcjonowania (zob. </w:t>
      </w:r>
      <w:r w:rsidRPr="00584DBA">
        <w:rPr>
          <w:i/>
          <w:iCs/>
        </w:rPr>
        <w:t xml:space="preserve">JGK </w:t>
      </w:r>
      <w:proofErr w:type="spellStart"/>
      <w:r w:rsidRPr="00584DBA">
        <w:rPr>
          <w:i/>
          <w:iCs/>
        </w:rPr>
        <w:t>Statyba</w:t>
      </w:r>
      <w:proofErr w:type="spellEnd"/>
      <w:r w:rsidRPr="00584DBA">
        <w:rPr>
          <w:i/>
          <w:iCs/>
        </w:rPr>
        <w:t xml:space="preserve"> </w:t>
      </w:r>
      <w:proofErr w:type="spellStart"/>
      <w:r w:rsidRPr="00584DBA">
        <w:rPr>
          <w:i/>
          <w:iCs/>
        </w:rPr>
        <w:t>Ltd</w:t>
      </w:r>
      <w:proofErr w:type="spellEnd"/>
      <w:r w:rsidRPr="00584DBA">
        <w:rPr>
          <w:i/>
          <w:iCs/>
        </w:rPr>
        <w:t xml:space="preserve"> i</w:t>
      </w:r>
      <w:r w:rsidR="00D06431">
        <w:rPr>
          <w:i/>
          <w:iCs/>
        </w:rPr>
        <w:t> </w:t>
      </w:r>
      <w:proofErr w:type="spellStart"/>
      <w:r w:rsidRPr="00584DBA">
        <w:rPr>
          <w:i/>
          <w:iCs/>
        </w:rPr>
        <w:t>Guselnikovas</w:t>
      </w:r>
      <w:proofErr w:type="spellEnd"/>
      <w:r w:rsidRPr="00584DBA">
        <w:t xml:space="preserve"> </w:t>
      </w:r>
      <w:r w:rsidRPr="00584DBA">
        <w:rPr>
          <w:i/>
          <w:iCs/>
        </w:rPr>
        <w:t>przeciwko Litwie</w:t>
      </w:r>
      <w:r w:rsidRPr="00584DBA">
        <w:t xml:space="preserve">, </w:t>
      </w:r>
      <w:r w:rsidR="00603B92">
        <w:t>pkt </w:t>
      </w:r>
      <w:r w:rsidRPr="00584DBA">
        <w:t>115 i</w:t>
      </w:r>
      <w:r w:rsidR="000B64C3">
        <w:t> </w:t>
      </w:r>
      <w:r w:rsidRPr="00584DBA">
        <w:t>129, 5</w:t>
      </w:r>
      <w:r w:rsidR="00603B92">
        <w:t> </w:t>
      </w:r>
      <w:r w:rsidRPr="00584DBA">
        <w:t xml:space="preserve">listopada 2013 r., oraz </w:t>
      </w:r>
      <w:proofErr w:type="spellStart"/>
      <w:r w:rsidRPr="00584DBA">
        <w:rPr>
          <w:i/>
          <w:iCs/>
        </w:rPr>
        <w:t>Džinić</w:t>
      </w:r>
      <w:proofErr w:type="spellEnd"/>
      <w:r w:rsidRPr="00584DBA">
        <w:rPr>
          <w:i/>
          <w:iCs/>
        </w:rPr>
        <w:t xml:space="preserve"> przeciwko Chorwacji</w:t>
      </w:r>
      <w:r w:rsidRPr="00584DBA">
        <w:t xml:space="preserve">, nr 38359/13, </w:t>
      </w:r>
      <w:r w:rsidR="00603B92">
        <w:t>pkt </w:t>
      </w:r>
      <w:r w:rsidRPr="00584DBA">
        <w:t>61 i</w:t>
      </w:r>
      <w:r w:rsidR="00603B92">
        <w:t> </w:t>
      </w:r>
      <w:r w:rsidRPr="00584DBA">
        <w:t xml:space="preserve">68 </w:t>
      </w:r>
      <w:r w:rsidRPr="00584DBA">
        <w:rPr>
          <w:i/>
          <w:iCs/>
        </w:rPr>
        <w:t>in fine</w:t>
      </w:r>
      <w:r w:rsidRPr="00584DBA">
        <w:t>, 17 maja 2016</w:t>
      </w:r>
      <w:r w:rsidR="002C0F67">
        <w:t> </w:t>
      </w:r>
      <w:r w:rsidRPr="00584DBA">
        <w:t>r., z</w:t>
      </w:r>
      <w:r w:rsidR="002C0F67">
        <w:t> </w:t>
      </w:r>
      <w:r w:rsidRPr="00584DBA">
        <w:t xml:space="preserve">dalszymi odniesieniami; por. także </w:t>
      </w:r>
      <w:proofErr w:type="spellStart"/>
      <w:r w:rsidRPr="00584DBA">
        <w:rPr>
          <w:i/>
          <w:iCs/>
        </w:rPr>
        <w:t>Jucys</w:t>
      </w:r>
      <w:proofErr w:type="spellEnd"/>
      <w:r w:rsidRPr="00584DBA">
        <w:rPr>
          <w:i/>
          <w:iCs/>
        </w:rPr>
        <w:t xml:space="preserve"> przeciwko Litwie</w:t>
      </w:r>
      <w:r w:rsidRPr="00584DBA">
        <w:t>, nr</w:t>
      </w:r>
      <w:r w:rsidR="005D46B1">
        <w:t> </w:t>
      </w:r>
      <w:r w:rsidRPr="00584DBA">
        <w:t xml:space="preserve">5457/03, </w:t>
      </w:r>
      <w:r w:rsidR="00603B92">
        <w:t>pkt </w:t>
      </w:r>
      <w:r w:rsidRPr="00584DBA">
        <w:t>34, 8</w:t>
      </w:r>
      <w:r w:rsidR="00AB7B86">
        <w:t> </w:t>
      </w:r>
      <w:r w:rsidRPr="00584DBA">
        <w:t>stycznia 2008 r.). Z takiego stanu rzeczy wynika, że przedsiębiorstwo skarżącego poniosło również szkodę w</w:t>
      </w:r>
      <w:r w:rsidR="00603B92">
        <w:t> </w:t>
      </w:r>
      <w:r w:rsidRPr="00584DBA">
        <w:t xml:space="preserve">zakresie jego wartości ekonomicznej, wartości firmy i klientów, które zostały swobodnie nabyte przez lata prowadzenia jego działalności gospodarczej. Istnienie takiej szkody zostało faktycznie potwierdzone przez sąd cywilny pierwszej instancji (zob. </w:t>
      </w:r>
      <w:r w:rsidR="001C1C1E">
        <w:t>pkt </w:t>
      </w:r>
      <w:r w:rsidRPr="00584DBA">
        <w:fldChar w:fldCharType="begin"/>
      </w:r>
      <w:r w:rsidRPr="00584DBA">
        <w:instrText xml:space="preserve"> REF paragraph00023 \h  \* CharFormat </w:instrText>
      </w:r>
      <w:r w:rsidRPr="00584DBA">
        <w:fldChar w:fldCharType="separate"/>
      </w:r>
      <w:r w:rsidR="0062101B" w:rsidRPr="00584DBA">
        <w:t>23</w:t>
      </w:r>
      <w:r w:rsidRPr="00584DBA">
        <w:fldChar w:fldCharType="end"/>
      </w:r>
      <w:r w:rsidR="001C1C1E">
        <w:t>–</w:t>
      </w:r>
      <w:r w:rsidRPr="00584DBA">
        <w:fldChar w:fldCharType="begin"/>
      </w:r>
      <w:r w:rsidRPr="00584DBA">
        <w:instrText xml:space="preserve"> REF paragraph00027 \h  \* CharFormat </w:instrText>
      </w:r>
      <w:r w:rsidRPr="00584DBA">
        <w:fldChar w:fldCharType="separate"/>
      </w:r>
      <w:r w:rsidR="0062101B" w:rsidRPr="00584DBA">
        <w:t>27</w:t>
      </w:r>
      <w:r w:rsidRPr="00584DBA">
        <w:fldChar w:fldCharType="end"/>
      </w:r>
      <w:r w:rsidRPr="00584DBA">
        <w:t xml:space="preserve"> powyżej), mimo że kwestia ta nie była dalej rozpatrywana przez sądy wyższej instancji w</w:t>
      </w:r>
      <w:r w:rsidR="001C1C1E">
        <w:t> </w:t>
      </w:r>
      <w:r w:rsidRPr="00584DBA">
        <w:t>świetle argumentów podniesionych przez pozwanego w apelacji.</w:t>
      </w:r>
    </w:p>
    <w:p w14:paraId="359853DC" w14:textId="005313ED" w:rsidR="0051506F" w:rsidRPr="00584DBA" w:rsidRDefault="00775227" w:rsidP="00613515">
      <w:pPr>
        <w:pStyle w:val="JuPara"/>
      </w:pPr>
      <w:fldSimple w:instr=" SEQ level0 \*arabic \* MERGEFORMAT ">
        <w:r w:rsidR="0062101B" w:rsidRPr="00584DBA">
          <w:rPr>
            <w:noProof/>
          </w:rPr>
          <w:t>68</w:t>
        </w:r>
      </w:fldSimple>
      <w:r w:rsidRPr="00584DBA">
        <w:t>.  W świetle powyższych rozważań i utrwalonego orzecznictwa, jak opisano powyżej, Trybunał stwierdza, że interesy skarżącego wchodzą w</w:t>
      </w:r>
      <w:r w:rsidR="00D00715">
        <w:t> </w:t>
      </w:r>
      <w:r w:rsidRPr="00584DBA">
        <w:t xml:space="preserve">zakres praw chronionych na mocy art. 1 Protokołu nr 1 do Konwencji (zob. </w:t>
      </w:r>
      <w:r w:rsidR="00953CB2">
        <w:t>pkt</w:t>
      </w:r>
      <w:r w:rsidR="00953CB2" w:rsidRPr="00584DBA">
        <w:t> </w:t>
      </w:r>
      <w:r w:rsidRPr="00584DBA">
        <w:fldChar w:fldCharType="begin"/>
      </w:r>
      <w:r w:rsidRPr="00584DBA">
        <w:instrText xml:space="preserve"> REF paragraph00060 \h  \* CharFormat </w:instrText>
      </w:r>
      <w:r w:rsidRPr="00584DBA">
        <w:fldChar w:fldCharType="separate"/>
      </w:r>
      <w:r w:rsidR="0062101B" w:rsidRPr="00584DBA">
        <w:t>60</w:t>
      </w:r>
      <w:r w:rsidRPr="00584DBA">
        <w:fldChar w:fldCharType="end"/>
      </w:r>
      <w:r w:rsidRPr="00584DBA">
        <w:t xml:space="preserve"> i </w:t>
      </w:r>
      <w:r w:rsidRPr="00584DBA">
        <w:fldChar w:fldCharType="begin"/>
      </w:r>
      <w:r w:rsidRPr="00584DBA">
        <w:instrText xml:space="preserve"> REF paragraph00061 \h  \* CharFormat </w:instrText>
      </w:r>
      <w:r w:rsidRPr="00584DBA">
        <w:fldChar w:fldCharType="separate"/>
      </w:r>
      <w:r w:rsidR="0062101B" w:rsidRPr="00584DBA">
        <w:t>61</w:t>
      </w:r>
      <w:r w:rsidRPr="00584DBA">
        <w:fldChar w:fldCharType="end"/>
      </w:r>
      <w:r w:rsidRPr="00584DBA">
        <w:t xml:space="preserve"> powyżej).</w:t>
      </w:r>
    </w:p>
    <w:p w14:paraId="2FD600A1" w14:textId="77777777" w:rsidR="0051506F" w:rsidRPr="00584DBA" w:rsidRDefault="00775227" w:rsidP="00613515">
      <w:pPr>
        <w:pStyle w:val="JuHa0"/>
      </w:pPr>
      <w:r w:rsidRPr="00584DBA">
        <w:t>Decyzja w sprawie dopuszczalności</w:t>
      </w:r>
    </w:p>
    <w:p w14:paraId="3FE2F4EF" w14:textId="2E29324C" w:rsidR="0051506F" w:rsidRPr="00584DBA" w:rsidRDefault="00775227" w:rsidP="00613515">
      <w:pPr>
        <w:pStyle w:val="JuPara"/>
      </w:pPr>
      <w:fldSimple w:instr=" SEQ level0 \*arabic \* MERGEFORMAT ">
        <w:r w:rsidR="0062101B" w:rsidRPr="00584DBA">
          <w:rPr>
            <w:noProof/>
          </w:rPr>
          <w:t>69</w:t>
        </w:r>
      </w:fldSimple>
      <w:r w:rsidRPr="00584DBA">
        <w:t xml:space="preserve">.  Z powyższych rozważań wynika, że skarga nie może zostać odrzucona jako niezgodna </w:t>
      </w:r>
      <w:proofErr w:type="spellStart"/>
      <w:r w:rsidRPr="00584DBA">
        <w:rPr>
          <w:i/>
          <w:iCs/>
        </w:rPr>
        <w:t>ratione</w:t>
      </w:r>
      <w:proofErr w:type="spellEnd"/>
      <w:r w:rsidRPr="00584DBA">
        <w:rPr>
          <w:i/>
          <w:iCs/>
        </w:rPr>
        <w:t xml:space="preserve"> </w:t>
      </w:r>
      <w:proofErr w:type="spellStart"/>
      <w:r w:rsidRPr="00584DBA">
        <w:rPr>
          <w:i/>
          <w:iCs/>
        </w:rPr>
        <w:t>materiae</w:t>
      </w:r>
      <w:proofErr w:type="spellEnd"/>
      <w:r w:rsidRPr="00584DBA">
        <w:t xml:space="preserve"> z postanowieniami Konwencji lub Protokołów do niej.</w:t>
      </w:r>
    </w:p>
    <w:p w14:paraId="00DB4381" w14:textId="0E301A15" w:rsidR="0051506F" w:rsidRPr="00584DBA" w:rsidRDefault="00775227" w:rsidP="00613515">
      <w:pPr>
        <w:pStyle w:val="JuPara"/>
      </w:pPr>
      <w:fldSimple w:instr=" SEQ level0 \*arabic \* MERGEFORMAT ">
        <w:r w:rsidR="0062101B" w:rsidRPr="00584DBA">
          <w:rPr>
            <w:noProof/>
          </w:rPr>
          <w:t>70</w:t>
        </w:r>
      </w:fldSimple>
      <w:r w:rsidRPr="00584DBA">
        <w:t>.  Trybunał zauważa, że skarga nie jest w sposób oczywisty nieuzasadniona w rozumieniu art. 35 ust. 3 lit. a Konwencji ani nie jest niedopuszczalna na jakiejkolwiek innej podstawie. Tym samym należy uznać ją za dopuszczalną.</w:t>
      </w:r>
    </w:p>
    <w:p w14:paraId="76B954B2" w14:textId="77777777" w:rsidR="0051506F" w:rsidRPr="00584DBA" w:rsidRDefault="00775227" w:rsidP="00613515">
      <w:pPr>
        <w:pStyle w:val="JuHA"/>
      </w:pPr>
      <w:r w:rsidRPr="00584DBA">
        <w:lastRenderedPageBreak/>
        <w:t>Przedmiot skargi</w:t>
      </w:r>
    </w:p>
    <w:p w14:paraId="3EF330A5" w14:textId="77777777" w:rsidR="0051506F" w:rsidRPr="00584DBA" w:rsidRDefault="00775227" w:rsidP="00613515">
      <w:pPr>
        <w:pStyle w:val="JuH1"/>
      </w:pPr>
      <w:r w:rsidRPr="00584DBA">
        <w:t>Stanowiska stron</w:t>
      </w:r>
    </w:p>
    <w:p w14:paraId="129DF240" w14:textId="77777777" w:rsidR="0051506F" w:rsidRPr="00584DBA" w:rsidRDefault="00775227" w:rsidP="00613515">
      <w:pPr>
        <w:pStyle w:val="JuHa0"/>
      </w:pPr>
      <w:r w:rsidRPr="00584DBA">
        <w:t>Skarżący</w:t>
      </w:r>
    </w:p>
    <w:p w14:paraId="50633F97" w14:textId="565B5238" w:rsidR="0051506F" w:rsidRPr="00584DBA" w:rsidRDefault="00775227" w:rsidP="00613515">
      <w:pPr>
        <w:pStyle w:val="JuPara"/>
      </w:pPr>
      <w:fldSimple w:instr=" SEQ level0 \*arabic \* MERGEFORMAT ">
        <w:r w:rsidR="0062101B" w:rsidRPr="00584DBA">
          <w:rPr>
            <w:noProof/>
          </w:rPr>
          <w:t>71</w:t>
        </w:r>
      </w:fldSimple>
      <w:r w:rsidRPr="00584DBA">
        <w:t>.  Skarżący twierdził, że ustanowienie hipotek na jego nieruchomościach, zamrożenie jego firmowych rachunków bankowych i</w:t>
      </w:r>
      <w:r w:rsidR="008B31A5">
        <w:t> </w:t>
      </w:r>
      <w:r w:rsidRPr="00584DBA">
        <w:t>zajęcie jego samochodów, a także egzekucja zobowiązań podatkowych, z</w:t>
      </w:r>
      <w:r w:rsidR="008B31A5">
        <w:t> </w:t>
      </w:r>
      <w:r w:rsidRPr="00584DBA">
        <w:t>których wszystkie zostały zatwierdzone w postępowaniu podatkowym uznanym za niezgodne z prawem, stanowiły ingerencję w jego działalność gospodarczą w takim stopniu, że jego przedsiębiorstwo odnotowało poważne straty.</w:t>
      </w:r>
    </w:p>
    <w:p w14:paraId="0A8B627E" w14:textId="086E0F88" w:rsidR="0051506F" w:rsidRPr="00584DBA" w:rsidRDefault="00775227" w:rsidP="00613515">
      <w:pPr>
        <w:pStyle w:val="JuPara"/>
      </w:pPr>
      <w:fldSimple w:instr=" SEQ level0 \*arabic \* MERGEFORMAT ">
        <w:r w:rsidR="0062101B" w:rsidRPr="00584DBA">
          <w:rPr>
            <w:noProof/>
          </w:rPr>
          <w:t>72</w:t>
        </w:r>
      </w:fldSimple>
      <w:r w:rsidRPr="00584DBA">
        <w:t>.  Skarżący twierdził, że obciążenie, które musiał ponieść, było nadmierne. Po pierwsze, interes finansowy państwa byłby wystarczająco zabezpieczony poprzez obciążenie hipoteką jedynie jego nieruchomości, gdyż jej wartość wielokrotnie przewyższała wartość kwestionowanych zobowiązań podatkowych. Po drugie, wbrew twierdzeniom Rządu, zniesienie środków nie nastąpiło tak szybko, jak to możliwe. Gdyby bowiem organy podatkowe były w stanie stwierdzić, przed ujednoliceniem przez Naczelny Sąd Administracyjny, że sporna decyzja podatkowa była niezgodna z</w:t>
      </w:r>
      <w:r w:rsidR="008B31A5">
        <w:t> </w:t>
      </w:r>
      <w:r w:rsidRPr="00584DBA">
        <w:t>prawem, powinny były uchylić przedmiotowe środki znacznie wcześniej, podczas gdy w rzeczywistości obowiązywały one przez okres aż trzech lat. Po trzecie, szkoda, jaką poniosło przedsiębiorstwo skarżącego, nie została naprawiona z powodu drastycznego ograniczenia odpowiedzialności Skarbu Państwa wobec osób prywatnych. Możliwość dochodzenia odszkodowania była zatem teoretyczna i nieskuteczna. Wymóg, aby niezgodność z prawem była rażąca lub oczywista, co stanowiło kwalifikację subiektywną, pozostawiał zbyt wiele niemożliwej do zweryfikowania swobody i miejsca na arbitralność ze strony sądu krajowego orzekającego w sprawie.</w:t>
      </w:r>
    </w:p>
    <w:p w14:paraId="204E3F10" w14:textId="77777777" w:rsidR="0051506F" w:rsidRPr="00584DBA" w:rsidRDefault="00775227" w:rsidP="00613515">
      <w:pPr>
        <w:pStyle w:val="JuHa0"/>
      </w:pPr>
      <w:r w:rsidRPr="00584DBA">
        <w:t>Rząd</w:t>
      </w:r>
    </w:p>
    <w:p w14:paraId="74D600A2" w14:textId="1F9F8D8E" w:rsidR="0051506F" w:rsidRPr="00584DBA" w:rsidRDefault="00775227" w:rsidP="00613515">
      <w:pPr>
        <w:pStyle w:val="JuPara"/>
      </w:pPr>
      <w:fldSimple w:instr=" SEQ level0 \*arabic \* MERGEFORMAT ">
        <w:r w:rsidR="0062101B" w:rsidRPr="00584DBA">
          <w:rPr>
            <w:noProof/>
          </w:rPr>
          <w:t>73</w:t>
        </w:r>
      </w:fldSimple>
      <w:r w:rsidRPr="00584DBA">
        <w:t>.  Rząd wywodził, że istnieją skuteczne ramy prawne zapewniające naprawienie szkód spowodowanych niezgodnymi z prawem decyzjami władz państwowych.</w:t>
      </w:r>
    </w:p>
    <w:p w14:paraId="50E32D0E" w14:textId="6D49360F" w:rsidR="0051506F" w:rsidRPr="00584DBA" w:rsidRDefault="00775227" w:rsidP="00613515">
      <w:pPr>
        <w:pStyle w:val="JuPara"/>
      </w:pPr>
      <w:fldSimple w:instr=" SEQ level0 \*arabic \* MERGEFORMAT ">
        <w:r w:rsidR="0062101B" w:rsidRPr="00584DBA">
          <w:rPr>
            <w:noProof/>
          </w:rPr>
          <w:t>74</w:t>
        </w:r>
      </w:fldSimple>
      <w:r w:rsidRPr="00584DBA">
        <w:t xml:space="preserve">.  Decyzje określające zobowiązania podatkowe skarżącego nie były jednak niezgodne z prawem </w:t>
      </w:r>
      <w:r w:rsidRPr="00584DBA">
        <w:rPr>
          <w:i/>
          <w:iCs/>
        </w:rPr>
        <w:t xml:space="preserve">per </w:t>
      </w:r>
      <w:proofErr w:type="spellStart"/>
      <w:r w:rsidRPr="00584DBA">
        <w:rPr>
          <w:i/>
          <w:iCs/>
        </w:rPr>
        <w:t>se</w:t>
      </w:r>
      <w:proofErr w:type="spellEnd"/>
      <w:r w:rsidRPr="00584DBA">
        <w:t>, le</w:t>
      </w:r>
      <w:r w:rsidR="005E2D70">
        <w:t>cz</w:t>
      </w:r>
      <w:r w:rsidRPr="00584DBA">
        <w:t xml:space="preserve"> raczej były wadliwe z powodu naruszenia prawa wynikającego z istnienia dwóch sprzecznych linii orzeczniczych w zakresie prawa podatkowego. Późniejsze ujednolicenie linii orzeczniczej przez Naczelny Sąd Administracyjny w latach 2007 i 2009 nie spowodowało, że wcześniejsze decyzje podatkowe stały się niezgodne z</w:t>
      </w:r>
      <w:r w:rsidR="00145427">
        <w:t> </w:t>
      </w:r>
      <w:r w:rsidRPr="00584DBA">
        <w:t>prawem tylko dlatego, że były zgodne z obowiązującą wówczas linią orzeczniczą.</w:t>
      </w:r>
    </w:p>
    <w:p w14:paraId="364442A3" w14:textId="566663C5" w:rsidR="0051506F" w:rsidRPr="00584DBA" w:rsidRDefault="00775227" w:rsidP="00613515">
      <w:pPr>
        <w:pStyle w:val="JuPara"/>
      </w:pPr>
      <w:fldSimple w:instr=" SEQ level0 \*arabic \* MERGEFORMAT ">
        <w:r w:rsidR="0062101B" w:rsidRPr="00584DBA">
          <w:rPr>
            <w:noProof/>
          </w:rPr>
          <w:t>75</w:t>
        </w:r>
      </w:fldSimple>
      <w:r w:rsidRPr="00584DBA">
        <w:t>.  Ponadto nałożenie środków było uzasadnione, jak wskazano w</w:t>
      </w:r>
      <w:r w:rsidR="00145427">
        <w:t> </w:t>
      </w:r>
      <w:r w:rsidRPr="00584DBA">
        <w:t xml:space="preserve">uzasadnieniu odpowiednich decyzji, potrzebą ochrony interesów Skarbu </w:t>
      </w:r>
      <w:r w:rsidRPr="00584DBA">
        <w:lastRenderedPageBreak/>
        <w:t xml:space="preserve">Państwa oraz ponieważ wartość </w:t>
      </w:r>
      <w:r w:rsidR="005E2D70">
        <w:t>majątku trwałego</w:t>
      </w:r>
      <w:r w:rsidRPr="00584DBA">
        <w:t xml:space="preserve"> przedsiębiorstwa skarżącego nie była wystarczająca do pokrycia jego zobowiązań podatkowych i istniało ryzyko, że nie wywiąże się on z tych zobowiązań.</w:t>
      </w:r>
    </w:p>
    <w:p w14:paraId="73BD24CE" w14:textId="310E556F" w:rsidR="0051506F" w:rsidRPr="00584DBA" w:rsidRDefault="00775227" w:rsidP="00613515">
      <w:pPr>
        <w:pStyle w:val="JuPara"/>
      </w:pPr>
      <w:fldSimple w:instr=" SEQ level0 \*arabic \* MERGEFORMAT ">
        <w:r w:rsidR="0062101B" w:rsidRPr="00584DBA">
          <w:rPr>
            <w:noProof/>
          </w:rPr>
          <w:t>76</w:t>
        </w:r>
      </w:fldSimple>
      <w:r w:rsidRPr="00584DBA">
        <w:t>.  Rząd stwierdził również, że zaskarżone środki nie były nieproporcjonalnie uciążliwe dla skarżącego. Wartość zabezpieczonych przedmiotów odzwierciedlała wysokość jego zobowiązań z tytułu podatku akcyzowego. Wykonywanie środków zostało częściowo wstrzymane w</w:t>
      </w:r>
      <w:r w:rsidR="00145427">
        <w:t> </w:t>
      </w:r>
      <w:r w:rsidRPr="00584DBA">
        <w:t>latach 2005 i 2006. Niezwłocznie po zniesieniu środków wydano decyzję stwierdzającą, że skarżący dokonał nadpłaty podatku.</w:t>
      </w:r>
    </w:p>
    <w:p w14:paraId="3A39D884" w14:textId="227DE0E5" w:rsidR="0051506F" w:rsidRPr="00584DBA" w:rsidRDefault="00775227" w:rsidP="00613515">
      <w:pPr>
        <w:pStyle w:val="JuPara"/>
      </w:pPr>
      <w:fldSimple w:instr=" SEQ level0 \*arabic \* MERGEFORMAT ">
        <w:r w:rsidR="0062101B" w:rsidRPr="00584DBA">
          <w:rPr>
            <w:noProof/>
          </w:rPr>
          <w:t>77</w:t>
        </w:r>
      </w:fldSimple>
      <w:r w:rsidRPr="00584DBA">
        <w:t>.  Ogólnie rzecz biorąc, Rząd stwierdził, że w niniejszej sprawie władze krajowe zachowały właściwą równowagę między indywidualnymi interesami skarżącego a interesami publicznymi.</w:t>
      </w:r>
    </w:p>
    <w:p w14:paraId="58340629" w14:textId="77777777" w:rsidR="0051506F" w:rsidRPr="00584DBA" w:rsidRDefault="00775227" w:rsidP="00613515">
      <w:pPr>
        <w:pStyle w:val="JuHa0"/>
      </w:pPr>
      <w:r w:rsidRPr="00584DBA">
        <w:t>Strona trzecia</w:t>
      </w:r>
    </w:p>
    <w:p w14:paraId="5EDD344D" w14:textId="56F6D053" w:rsidR="0051506F" w:rsidRPr="00584DBA" w:rsidRDefault="00775227" w:rsidP="00613515">
      <w:pPr>
        <w:pStyle w:val="JuPara"/>
      </w:pPr>
      <w:fldSimple w:instr=" SEQ level0 \*arabic \* MERGEFORMAT ">
        <w:r w:rsidR="0062101B" w:rsidRPr="00584DBA">
          <w:rPr>
            <w:noProof/>
          </w:rPr>
          <w:t>78</w:t>
        </w:r>
      </w:fldSimple>
      <w:r w:rsidRPr="00584DBA">
        <w:t>.  </w:t>
      </w:r>
      <w:r w:rsidRPr="00584DBA">
        <w:noBreakHyphen/>
        <w:t xml:space="preserve">Helsińska Fundacja Praw Człowieka („Fundacja”) podniosła, że system polskiego prawa podatkowego opiera się na mechanizmie </w:t>
      </w:r>
      <w:proofErr w:type="spellStart"/>
      <w:r w:rsidRPr="00584DBA">
        <w:t>samowymiaru</w:t>
      </w:r>
      <w:proofErr w:type="spellEnd"/>
      <w:r w:rsidRPr="00584DBA">
        <w:t xml:space="preserve"> podatkowego. Innymi słowy, obowiązkiem podatnika jest ustalenie, w oparciu o obowiązujące przepisy podatkowe, czy i w jakiej wysokości jest on zobowiązany do zapłaty, a następnie uiszczenie odpowiedniej kwoty na rzecz organów podatkowych. Zdaniem Fundacji, system </w:t>
      </w:r>
      <w:proofErr w:type="spellStart"/>
      <w:r w:rsidRPr="00584DBA">
        <w:t>samowymiaru</w:t>
      </w:r>
      <w:proofErr w:type="spellEnd"/>
      <w:r w:rsidRPr="00584DBA">
        <w:t xml:space="preserve"> podatku w połączeniu z konstytucyjną zasadą praworządności i zasadą zaufania do państwa wymaga, aby prawo podatkowe było spójne, dostatecznie konkretne, stabilne, funkcjonalne i jasno skonstruowane.</w:t>
      </w:r>
    </w:p>
    <w:p w14:paraId="672C4CE8" w14:textId="358867B8" w:rsidR="0051506F" w:rsidRPr="00584DBA" w:rsidRDefault="00775227" w:rsidP="00613515">
      <w:pPr>
        <w:pStyle w:val="JuPara"/>
      </w:pPr>
      <w:fldSimple w:instr=" SEQ level0 \*arabic ">
        <w:bookmarkStart w:id="37" w:name="paragraph00079"/>
        <w:r w:rsidR="0062101B" w:rsidRPr="00584DBA">
          <w:rPr>
            <w:noProof/>
          </w:rPr>
          <w:t>79</w:t>
        </w:r>
        <w:bookmarkEnd w:id="37"/>
      </w:fldSimple>
      <w:r w:rsidRPr="00584DBA">
        <w:t xml:space="preserve">.  Prawo podatkowe w Polsce, w ocenie Fundacji, nie spełnia tych wymogów </w:t>
      </w:r>
      <w:r w:rsidR="006647BE">
        <w:t>–</w:t>
      </w:r>
      <w:r w:rsidRPr="00584DBA">
        <w:t xml:space="preserve"> jest skomplikowane i trudne w interpretacji. Każdego roku organy podatkowe wydają oficjalne interpretacje różnych przepisów podatkowych w odniesieniu do 33</w:t>
      </w:r>
      <w:r w:rsidR="006647BE">
        <w:t> </w:t>
      </w:r>
      <w:r w:rsidRPr="00584DBA">
        <w:t>000 wniosków indywidualnych. W latach 2008</w:t>
      </w:r>
      <w:r w:rsidRPr="00584DBA">
        <w:noBreakHyphen/>
        <w:t>16 wydano prawie 302</w:t>
      </w:r>
      <w:r w:rsidR="006647BE">
        <w:t> </w:t>
      </w:r>
      <w:r w:rsidRPr="00584DBA">
        <w:t>000 takich oficjalnych interpretacji podatkowych. Tak duże zapotrzebowanie na interpretacje podatkowe świadczy o tym, że prawo podatkowe jest dla podatników bardzo niejednoznaczne. Co więcej, prawo podatkowe jest nieprzewidywalne i ulega ciągłym zmianom. Przykładowo, w ciągu siedmiu lat od wejścia w życie ustawy o VAT (2004</w:t>
      </w:r>
      <w:r w:rsidR="00E602BE">
        <w:t>–</w:t>
      </w:r>
      <w:r w:rsidRPr="00584DBA">
        <w:t>2011) zmieniono 698 przepisów, w tym jeden artykuł zmieniano czternaście razy. Tylko w 2013 r. ustawa o VAT była nowelizowana sześć razy. Została ona ponownie znowelizowana w 2016</w:t>
      </w:r>
      <w:r w:rsidR="006647BE">
        <w:t> </w:t>
      </w:r>
      <w:r w:rsidRPr="00584DBA">
        <w:t xml:space="preserve">r., ponieważ w życie </w:t>
      </w:r>
      <w:r w:rsidR="00773338" w:rsidRPr="00584DBA">
        <w:t>weszł</w:t>
      </w:r>
      <w:r w:rsidR="00773338">
        <w:t>y</w:t>
      </w:r>
      <w:r w:rsidR="00773338" w:rsidRPr="00584DBA">
        <w:t xml:space="preserve"> </w:t>
      </w:r>
      <w:r w:rsidRPr="00584DBA">
        <w:t xml:space="preserve">1784 </w:t>
      </w:r>
      <w:r w:rsidR="00773338" w:rsidRPr="00584DBA">
        <w:t>stro</w:t>
      </w:r>
      <w:r w:rsidR="00773338">
        <w:t>ny</w:t>
      </w:r>
      <w:r w:rsidR="00773338" w:rsidRPr="00584DBA">
        <w:t xml:space="preserve"> </w:t>
      </w:r>
      <w:r w:rsidRPr="00584DBA">
        <w:t>nowych przepisów bezpośrednio regulujących kwestie podatkowe.</w:t>
      </w:r>
    </w:p>
    <w:p w14:paraId="298F3F71" w14:textId="4CFFD0DD" w:rsidR="0051506F" w:rsidRPr="00584DBA" w:rsidRDefault="00775227" w:rsidP="00613515">
      <w:pPr>
        <w:pStyle w:val="JuPara"/>
      </w:pPr>
      <w:fldSimple w:instr=" SEQ level0 \*arabic \* MERGEFORMAT ">
        <w:bookmarkStart w:id="38" w:name="paragraph00080"/>
        <w:r w:rsidR="0062101B" w:rsidRPr="00584DBA">
          <w:rPr>
            <w:noProof/>
          </w:rPr>
          <w:t>80</w:t>
        </w:r>
        <w:bookmarkEnd w:id="38"/>
      </w:fldSimple>
      <w:r w:rsidRPr="00584DBA">
        <w:t>.  Fundacja stwierdziła również, że podatnicy są zniechęcani do pozywania państwa za niezgodne z prawem decyzje podatkowe ze względu na wysokie koszty i nikłe szanse wygrania takich spraw. Przedstawiła ona statystyki, z których wynikało, że w latach 2010</w:t>
      </w:r>
      <w:r w:rsidR="00E779E5">
        <w:t>–</w:t>
      </w:r>
      <w:r w:rsidRPr="00584DBA">
        <w:t>2016 polskie sądy rozpoznały 112 pozwów o odszkodowanie za niezgodne z prawem decyzje podatkowe. Skarb Państwa wygrał dziewięćdziesiąt cztery z tych spraw.</w:t>
      </w:r>
    </w:p>
    <w:p w14:paraId="77819FC0" w14:textId="77777777" w:rsidR="0051506F" w:rsidRPr="00584DBA" w:rsidRDefault="00775227" w:rsidP="00613515">
      <w:pPr>
        <w:pStyle w:val="JuH1"/>
      </w:pPr>
      <w:r w:rsidRPr="00584DBA">
        <w:lastRenderedPageBreak/>
        <w:t>Ocena Trybunału</w:t>
      </w:r>
    </w:p>
    <w:p w14:paraId="42DA7073" w14:textId="77777777" w:rsidR="0051506F" w:rsidRPr="00584DBA" w:rsidRDefault="00775227" w:rsidP="00613515">
      <w:pPr>
        <w:pStyle w:val="JuHa0"/>
      </w:pPr>
      <w:r w:rsidRPr="00584DBA">
        <w:t>Zasady ogólne</w:t>
      </w:r>
    </w:p>
    <w:p w14:paraId="5118D49A" w14:textId="4E5CC7A9" w:rsidR="0051506F" w:rsidRPr="00584DBA" w:rsidRDefault="00775227" w:rsidP="00613515">
      <w:pPr>
        <w:pStyle w:val="JuPara"/>
      </w:pPr>
      <w:fldSimple w:instr=" SEQ level0 \*arabic \* MERGEFORMAT ">
        <w:r w:rsidR="0062101B" w:rsidRPr="00584DBA">
          <w:rPr>
            <w:noProof/>
          </w:rPr>
          <w:t>81</w:t>
        </w:r>
      </w:fldSimple>
      <w:r w:rsidRPr="00584DBA">
        <w:t>.  W kontekście ingerencji w prawo własności pierwszym i</w:t>
      </w:r>
      <w:r w:rsidR="00524B80">
        <w:t> </w:t>
      </w:r>
      <w:r w:rsidRPr="00584DBA">
        <w:t xml:space="preserve">najważniejszym wymogiem wynikającym z art. 1 Protokołu nr 1 jest to, aby była ona zgodna z prawem: w akapicie drugim uznaje się, że państwa mają prawo do </w:t>
      </w:r>
      <w:r w:rsidR="00C201B8">
        <w:t>ur</w:t>
      </w:r>
      <w:r w:rsidR="00C201B8" w:rsidRPr="00584DBA">
        <w:t xml:space="preserve">egulowania </w:t>
      </w:r>
      <w:r w:rsidRPr="00584DBA">
        <w:t xml:space="preserve">sposobu korzystania z własności poprzez </w:t>
      </w:r>
      <w:r w:rsidR="00464726">
        <w:t>wydawanie</w:t>
      </w:r>
      <w:r w:rsidR="00464726" w:rsidRPr="00584DBA">
        <w:t xml:space="preserve"> </w:t>
      </w:r>
      <w:r w:rsidRPr="00584DBA">
        <w:t xml:space="preserve">„ustaw” (zob. </w:t>
      </w:r>
      <w:proofErr w:type="spellStart"/>
      <w:r w:rsidRPr="00584DBA">
        <w:rPr>
          <w:i/>
          <w:iCs/>
        </w:rPr>
        <w:t>Iatridis</w:t>
      </w:r>
      <w:proofErr w:type="spellEnd"/>
      <w:r w:rsidRPr="00584DBA">
        <w:t xml:space="preserve">, </w:t>
      </w:r>
      <w:r w:rsidR="00C201B8">
        <w:t>cyt. wyżej</w:t>
      </w:r>
      <w:r w:rsidRPr="00584DBA">
        <w:t xml:space="preserve">, </w:t>
      </w:r>
      <w:r w:rsidR="00C201B8">
        <w:t>pkt </w:t>
      </w:r>
      <w:r w:rsidRPr="00584DBA">
        <w:t xml:space="preserve">58; </w:t>
      </w:r>
      <w:r w:rsidRPr="00584DBA">
        <w:rPr>
          <w:i/>
          <w:iCs/>
        </w:rPr>
        <w:t>Były Król Grecji i Inni przeciwko Grecji</w:t>
      </w:r>
      <w:r w:rsidRPr="00584DBA">
        <w:t xml:space="preserve"> [WI], nr 25701/94, </w:t>
      </w:r>
      <w:r w:rsidR="00C201B8">
        <w:t>pkt </w:t>
      </w:r>
      <w:r w:rsidRPr="00584DBA">
        <w:t xml:space="preserve">79, ETPC 2000-XII; oraz </w:t>
      </w:r>
      <w:r w:rsidRPr="00584DBA">
        <w:rPr>
          <w:i/>
          <w:iCs/>
        </w:rPr>
        <w:t>Broniowski</w:t>
      </w:r>
      <w:r w:rsidRPr="00584DBA">
        <w:t xml:space="preserve"> </w:t>
      </w:r>
      <w:r w:rsidRPr="00584DBA">
        <w:rPr>
          <w:i/>
          <w:iCs/>
        </w:rPr>
        <w:t xml:space="preserve">przeciwko Polsce </w:t>
      </w:r>
      <w:r w:rsidRPr="00584DBA">
        <w:t xml:space="preserve">[WI], nr 31443/96, </w:t>
      </w:r>
      <w:r w:rsidR="00C201B8">
        <w:t>pkt </w:t>
      </w:r>
      <w:r w:rsidRPr="00584DBA">
        <w:t>147, ETPC 2004-V). Oznacza to, że ingerencja powinna być zgodna z prawem krajowym, a samo prawo powinno być wystarczającej jakości, aby umożliwić skarżącemu przewidzenie konsekwencji jego zachowania. Jeśli chodzi o</w:t>
      </w:r>
      <w:r w:rsidR="00126BDA">
        <w:t> </w:t>
      </w:r>
      <w:r w:rsidRPr="00584DBA">
        <w:t>zgodność z prawem krajowym, Trybunał ma ograniczone uprawnienia w</w:t>
      </w:r>
      <w:r w:rsidR="00126BDA">
        <w:t> </w:t>
      </w:r>
      <w:r w:rsidRPr="00584DBA">
        <w:t>tym zakresie, ponieważ jest to kwestia, która przede wszystkim leży w</w:t>
      </w:r>
      <w:r w:rsidR="00767893">
        <w:t> </w:t>
      </w:r>
      <w:r w:rsidRPr="00584DBA">
        <w:t xml:space="preserve">kompetencji sądów krajowych (zob. </w:t>
      </w:r>
      <w:r w:rsidRPr="00584DBA">
        <w:rPr>
          <w:i/>
          <w:iCs/>
        </w:rPr>
        <w:t xml:space="preserve">OAO </w:t>
      </w:r>
      <w:proofErr w:type="spellStart"/>
      <w:r w:rsidRPr="00584DBA">
        <w:rPr>
          <w:i/>
          <w:iCs/>
        </w:rPr>
        <w:t>Neftyanaya</w:t>
      </w:r>
      <w:proofErr w:type="spellEnd"/>
      <w:r w:rsidRPr="00584DBA">
        <w:rPr>
          <w:i/>
          <w:iCs/>
        </w:rPr>
        <w:t xml:space="preserve"> </w:t>
      </w:r>
      <w:proofErr w:type="spellStart"/>
      <w:r w:rsidRPr="00584DBA">
        <w:rPr>
          <w:i/>
          <w:iCs/>
        </w:rPr>
        <w:t>Kompaniya</w:t>
      </w:r>
      <w:proofErr w:type="spellEnd"/>
      <w:r w:rsidRPr="00584DBA">
        <w:rPr>
          <w:i/>
          <w:iCs/>
        </w:rPr>
        <w:t xml:space="preserve"> </w:t>
      </w:r>
      <w:proofErr w:type="spellStart"/>
      <w:r w:rsidRPr="00584DBA">
        <w:rPr>
          <w:i/>
          <w:iCs/>
        </w:rPr>
        <w:t>Yukos</w:t>
      </w:r>
      <w:proofErr w:type="spellEnd"/>
      <w:r w:rsidRPr="00584DBA">
        <w:rPr>
          <w:i/>
          <w:iCs/>
        </w:rPr>
        <w:t xml:space="preserve"> przeciwko Rosji</w:t>
      </w:r>
      <w:r w:rsidRPr="00584DBA">
        <w:t>, nr</w:t>
      </w:r>
      <w:r w:rsidR="00084FC1">
        <w:t> </w:t>
      </w:r>
      <w:r w:rsidRPr="00584DBA">
        <w:t xml:space="preserve">14902/04, </w:t>
      </w:r>
      <w:r w:rsidR="00524B80">
        <w:t>pkt </w:t>
      </w:r>
      <w:r w:rsidRPr="00584DBA">
        <w:t>559, 20</w:t>
      </w:r>
      <w:r w:rsidR="00524B80">
        <w:t> </w:t>
      </w:r>
      <w:r w:rsidRPr="00584DBA">
        <w:t>września 2011</w:t>
      </w:r>
      <w:r w:rsidR="00D17D7B">
        <w:t> </w:t>
      </w:r>
      <w:r w:rsidRPr="00584DBA">
        <w:t>r., z dalszymi odniesieniami).</w:t>
      </w:r>
    </w:p>
    <w:p w14:paraId="40A0F635" w14:textId="037F65F4" w:rsidR="0051506F" w:rsidRPr="00584DBA" w:rsidRDefault="00775227" w:rsidP="00613515">
      <w:pPr>
        <w:pStyle w:val="JuPara"/>
      </w:pPr>
      <w:fldSimple w:instr=" SEQ level0 \*arabic \* MERGEFORMAT ">
        <w:r w:rsidR="0062101B" w:rsidRPr="00584DBA">
          <w:rPr>
            <w:noProof/>
          </w:rPr>
          <w:t>82</w:t>
        </w:r>
      </w:fldSimple>
      <w:r w:rsidRPr="00584DBA">
        <w:t>.  Ponadto, niezależnie od tego, czy sprawa jest analizowana w</w:t>
      </w:r>
      <w:r w:rsidR="00524B80">
        <w:t> </w:t>
      </w:r>
      <w:r w:rsidRPr="00584DBA">
        <w:t>kategoriach pozytywnego zobowiązania państwa, czy też w kategoriach ingerencji organu publicznego, która musi być uzasadniona, zasadniczo nie ma różnicy co do podlegających zastosowaniu kryteriów. W szczególności należy mieć na uwadze sprawiedliwą równowagę między konkurującymi ze sobą interesami jednostki i całej społeczności. Prawdą jest również, że cele wymienione w art. 1 Protokołu nr 1 mogą mieć pewne znaczenie dla oceny, czy zachowana została równowaga między wymogami interesu publicznego a</w:t>
      </w:r>
      <w:r w:rsidR="00D8106E">
        <w:t> </w:t>
      </w:r>
      <w:r w:rsidRPr="00584DBA">
        <w:t xml:space="preserve">podstawowym prawem własności skarżącego. W obu kontekstach państwo posiada pewien margines oceny przy ustalaniu kroków, które należy podjąć w celu zapewnienia zgodności z Konwencją (zob. </w:t>
      </w:r>
      <w:r w:rsidRPr="00584DBA">
        <w:rPr>
          <w:i/>
          <w:iCs/>
        </w:rPr>
        <w:t>Broniowski</w:t>
      </w:r>
      <w:r w:rsidRPr="00584DBA">
        <w:t>,</w:t>
      </w:r>
      <w:r w:rsidR="003A465E">
        <w:t xml:space="preserve"> </w:t>
      </w:r>
      <w:r w:rsidR="005300B1">
        <w:t>cyt</w:t>
      </w:r>
      <w:r w:rsidRPr="00584DBA">
        <w:t>.</w:t>
      </w:r>
      <w:r w:rsidR="005300B1">
        <w:t xml:space="preserve"> wyżej</w:t>
      </w:r>
      <w:r w:rsidRPr="00584DBA">
        <w:t xml:space="preserve">, </w:t>
      </w:r>
      <w:r w:rsidR="005300B1">
        <w:t>pkt </w:t>
      </w:r>
      <w:r w:rsidRPr="00584DBA">
        <w:t xml:space="preserve">144, oraz </w:t>
      </w:r>
      <w:r w:rsidRPr="00584DBA">
        <w:rPr>
          <w:i/>
          <w:iCs/>
        </w:rPr>
        <w:t xml:space="preserve">JGK </w:t>
      </w:r>
      <w:proofErr w:type="spellStart"/>
      <w:r w:rsidRPr="00584DBA">
        <w:rPr>
          <w:i/>
          <w:iCs/>
        </w:rPr>
        <w:t>Statyba</w:t>
      </w:r>
      <w:proofErr w:type="spellEnd"/>
      <w:r w:rsidRPr="00584DBA">
        <w:rPr>
          <w:i/>
          <w:iCs/>
        </w:rPr>
        <w:t xml:space="preserve"> </w:t>
      </w:r>
      <w:proofErr w:type="spellStart"/>
      <w:r w:rsidRPr="00584DBA">
        <w:rPr>
          <w:i/>
          <w:iCs/>
        </w:rPr>
        <w:t>Ltd</w:t>
      </w:r>
      <w:proofErr w:type="spellEnd"/>
      <w:r w:rsidRPr="00584DBA">
        <w:rPr>
          <w:i/>
          <w:iCs/>
        </w:rPr>
        <w:t xml:space="preserve"> i </w:t>
      </w:r>
      <w:proofErr w:type="spellStart"/>
      <w:r w:rsidRPr="00584DBA">
        <w:rPr>
          <w:i/>
          <w:iCs/>
        </w:rPr>
        <w:t>Guselnikovas</w:t>
      </w:r>
      <w:proofErr w:type="spellEnd"/>
      <w:r w:rsidRPr="00584DBA">
        <w:t xml:space="preserve">, </w:t>
      </w:r>
      <w:r w:rsidR="005300B1">
        <w:t>cyt. wyżej</w:t>
      </w:r>
      <w:r w:rsidRPr="00584DBA">
        <w:t xml:space="preserve">, </w:t>
      </w:r>
      <w:r w:rsidR="005300B1">
        <w:t>pkt </w:t>
      </w:r>
      <w:r w:rsidRPr="00584DBA">
        <w:t>118, z dalszymi odniesieniami).</w:t>
      </w:r>
    </w:p>
    <w:p w14:paraId="7A12160F" w14:textId="73DEA931" w:rsidR="0051506F" w:rsidRPr="00584DBA" w:rsidRDefault="00775227" w:rsidP="00613515">
      <w:pPr>
        <w:pStyle w:val="JuPara"/>
      </w:pPr>
      <w:fldSimple w:instr=" SEQ level0 \*arabic \* MERGEFORMAT ">
        <w:r w:rsidR="0062101B" w:rsidRPr="00584DBA">
          <w:rPr>
            <w:noProof/>
          </w:rPr>
          <w:t>83</w:t>
        </w:r>
      </w:fldSimple>
      <w:r w:rsidRPr="00584DBA">
        <w:t>.  Pozytywne zobowiązania wynikające z art. 1 Protokołu nr 1 mogą pociągać za sobą podjęcie środków niezbędnych do ochrony praw własności, w szczególności gdy istnieje bezpośredni związek między środkami, których skarżący może zasadnie oczekiwać od władz, a skutecznym korzystaniem przez niego z jego własności, nawet w sprawach dotyczących sporów sądowych między podmiotami prywatnymi. Oznacza to w szczególności, że państwa są zobowiązane do zapewnienia sądowego mechanizmu skutecznego rozstrzygania sporów majątkowych oraz do zapewnienia zgodności tych mechanizmów z zabezpieczeniami proceduralnymi i</w:t>
      </w:r>
      <w:r w:rsidR="00EF03F4">
        <w:t> </w:t>
      </w:r>
      <w:r w:rsidRPr="00584DBA">
        <w:t>materialnymi zapisanymi w Konwencji. Zasada ta ma tym większe zastosowanie, gdy samo państwo pozostaje w sporze z jednostką (zob. </w:t>
      </w:r>
      <w:r w:rsidRPr="00584DBA">
        <w:rPr>
          <w:i/>
        </w:rPr>
        <w:t xml:space="preserve">Plechanow </w:t>
      </w:r>
      <w:r w:rsidRPr="00584DBA">
        <w:rPr>
          <w:i/>
          <w:iCs/>
        </w:rPr>
        <w:t>przeciwko Polsce</w:t>
      </w:r>
      <w:r w:rsidRPr="00584DBA">
        <w:rPr>
          <w:i/>
        </w:rPr>
        <w:t xml:space="preserve">, </w:t>
      </w:r>
      <w:r w:rsidRPr="00584DBA">
        <w:t xml:space="preserve">nr 22279/04, </w:t>
      </w:r>
      <w:r w:rsidR="00126AFF">
        <w:t>pkt </w:t>
      </w:r>
      <w:r w:rsidRPr="00584DBA">
        <w:t>99 i 100, 7 lipca 2009</w:t>
      </w:r>
      <w:r w:rsidR="00EF03F4">
        <w:t> </w:t>
      </w:r>
      <w:r w:rsidRPr="00584DBA">
        <w:t>r.).</w:t>
      </w:r>
    </w:p>
    <w:p w14:paraId="22E5303E" w14:textId="493CE617" w:rsidR="0051506F" w:rsidRPr="00584DBA" w:rsidRDefault="00775227" w:rsidP="00613515">
      <w:pPr>
        <w:pStyle w:val="JuPara"/>
      </w:pPr>
      <w:fldSimple w:instr=" SEQ level0 \*arabic ">
        <w:r w:rsidR="0062101B" w:rsidRPr="00584DBA">
          <w:rPr>
            <w:noProof/>
          </w:rPr>
          <w:t>84</w:t>
        </w:r>
      </w:fldSimple>
      <w:r w:rsidRPr="00584DBA">
        <w:t>.  Prawo do odszkodowania nie jest nieodłącznym elementem drugiego akapitu art. 1 Protokołu nr 1 do Konwencji dotyczącego</w:t>
      </w:r>
      <w:r w:rsidR="00325A26">
        <w:t xml:space="preserve"> uregulowania</w:t>
      </w:r>
      <w:r w:rsidRPr="00584DBA">
        <w:t xml:space="preserve"> sposobu korzystania z własności (zob</w:t>
      </w:r>
      <w:r w:rsidRPr="00584DBA">
        <w:rPr>
          <w:i/>
        </w:rPr>
        <w:t xml:space="preserve">. </w:t>
      </w:r>
      <w:r w:rsidR="002167A7" w:rsidRPr="002167A7">
        <w:rPr>
          <w:i/>
        </w:rPr>
        <w:t>J.A.</w:t>
      </w:r>
      <w:r w:rsidR="002167A7">
        <w:rPr>
          <w:i/>
        </w:rPr>
        <w:t xml:space="preserve"> </w:t>
      </w:r>
      <w:proofErr w:type="spellStart"/>
      <w:r w:rsidRPr="00584DBA">
        <w:rPr>
          <w:i/>
        </w:rPr>
        <w:t>Pye</w:t>
      </w:r>
      <w:proofErr w:type="spellEnd"/>
      <w:r w:rsidRPr="00584DBA">
        <w:rPr>
          <w:i/>
        </w:rPr>
        <w:t xml:space="preserve"> (Oxford) </w:t>
      </w:r>
      <w:proofErr w:type="spellStart"/>
      <w:r w:rsidRPr="00584DBA">
        <w:rPr>
          <w:i/>
        </w:rPr>
        <w:t>Ltd</w:t>
      </w:r>
      <w:proofErr w:type="spellEnd"/>
      <w:r w:rsidRPr="00584DBA">
        <w:rPr>
          <w:i/>
        </w:rPr>
        <w:t xml:space="preserve"> </w:t>
      </w:r>
      <w:r w:rsidRPr="00584DBA">
        <w:rPr>
          <w:i/>
          <w:iCs/>
        </w:rPr>
        <w:t xml:space="preserve">i J.A. </w:t>
      </w:r>
      <w:proofErr w:type="spellStart"/>
      <w:r w:rsidRPr="00584DBA">
        <w:rPr>
          <w:i/>
          <w:iCs/>
        </w:rPr>
        <w:t>Pye</w:t>
      </w:r>
      <w:proofErr w:type="spellEnd"/>
      <w:r w:rsidRPr="00584DBA">
        <w:rPr>
          <w:i/>
          <w:iCs/>
        </w:rPr>
        <w:t xml:space="preserve"> (Oxford) Land </w:t>
      </w:r>
      <w:proofErr w:type="spellStart"/>
      <w:r w:rsidRPr="00584DBA">
        <w:rPr>
          <w:i/>
          <w:iCs/>
        </w:rPr>
        <w:t>Ltd</w:t>
      </w:r>
      <w:proofErr w:type="spellEnd"/>
      <w:r w:rsidRPr="00584DBA">
        <w:t xml:space="preserve">, </w:t>
      </w:r>
      <w:r w:rsidR="002167A7">
        <w:t>cyt. wyżej</w:t>
      </w:r>
      <w:r w:rsidRPr="00584DBA">
        <w:rPr>
          <w:i/>
        </w:rPr>
        <w:t>,</w:t>
      </w:r>
      <w:r w:rsidRPr="00584DBA">
        <w:t xml:space="preserve"> </w:t>
      </w:r>
      <w:r w:rsidR="003A3307">
        <w:t>pkt </w:t>
      </w:r>
      <w:r w:rsidRPr="00584DBA">
        <w:t xml:space="preserve">79; oraz </w:t>
      </w:r>
      <w:proofErr w:type="spellStart"/>
      <w:r w:rsidRPr="00584DBA">
        <w:rPr>
          <w:i/>
        </w:rPr>
        <w:t>Banér</w:t>
      </w:r>
      <w:proofErr w:type="spellEnd"/>
      <w:r w:rsidRPr="00584DBA">
        <w:rPr>
          <w:i/>
        </w:rPr>
        <w:t xml:space="preserve"> przeciwko Szwecji</w:t>
      </w:r>
      <w:r w:rsidRPr="00584DBA">
        <w:t>, nr</w:t>
      </w:r>
      <w:r w:rsidR="002167A7">
        <w:t> </w:t>
      </w:r>
      <w:r w:rsidRPr="00584DBA">
        <w:t>11763/85, decyzja Komisji z dnia 9 marca 1989 r., Zbiór Decyzji i</w:t>
      </w:r>
      <w:r w:rsidR="007E40E9">
        <w:t> </w:t>
      </w:r>
      <w:r w:rsidRPr="00584DBA">
        <w:t>Raportów 60, s. 128, na s. 142). Wynika z</w:t>
      </w:r>
      <w:r w:rsidR="003A3307">
        <w:t> </w:t>
      </w:r>
      <w:r w:rsidRPr="00584DBA">
        <w:t>tego, że w przypadku gdy chodzi o</w:t>
      </w:r>
      <w:r w:rsidR="007E40E9">
        <w:t> </w:t>
      </w:r>
      <w:r w:rsidRPr="00584DBA">
        <w:t xml:space="preserve">środek </w:t>
      </w:r>
      <w:r w:rsidR="007E40E9">
        <w:t>regu</w:t>
      </w:r>
      <w:r w:rsidRPr="00584DBA">
        <w:t>lujący sposób korzystania z</w:t>
      </w:r>
      <w:r w:rsidR="003A3307">
        <w:t> </w:t>
      </w:r>
      <w:r w:rsidRPr="00584DBA">
        <w:t>własności, brak odszkodowania nie jest sam w sobie wystarczający, aby stanowić naruszenie art. 1 Protokołu nr</w:t>
      </w:r>
      <w:r w:rsidR="007F15E7">
        <w:t> </w:t>
      </w:r>
      <w:r w:rsidRPr="00584DBA">
        <w:t xml:space="preserve">1. Niemniej jest to czynnik, który należy wziąć pod uwagę przy ustalaniu, czy osiągnięto sprawiedliwą równowagę (zob. </w:t>
      </w:r>
      <w:proofErr w:type="spellStart"/>
      <w:r w:rsidRPr="00584DBA">
        <w:rPr>
          <w:i/>
        </w:rPr>
        <w:t>Anonymos</w:t>
      </w:r>
      <w:proofErr w:type="spellEnd"/>
      <w:r w:rsidRPr="00584DBA">
        <w:rPr>
          <w:i/>
        </w:rPr>
        <w:t xml:space="preserve"> </w:t>
      </w:r>
      <w:proofErr w:type="spellStart"/>
      <w:r w:rsidRPr="00584DBA">
        <w:rPr>
          <w:i/>
        </w:rPr>
        <w:t>Touristiki</w:t>
      </w:r>
      <w:proofErr w:type="spellEnd"/>
      <w:r w:rsidRPr="00584DBA">
        <w:rPr>
          <w:i/>
        </w:rPr>
        <w:t xml:space="preserve"> </w:t>
      </w:r>
      <w:proofErr w:type="spellStart"/>
      <w:r w:rsidRPr="00584DBA">
        <w:rPr>
          <w:i/>
        </w:rPr>
        <w:t>Etairia</w:t>
      </w:r>
      <w:proofErr w:type="spellEnd"/>
      <w:r w:rsidRPr="00584DBA">
        <w:rPr>
          <w:i/>
        </w:rPr>
        <w:t xml:space="preserve"> </w:t>
      </w:r>
      <w:proofErr w:type="spellStart"/>
      <w:r w:rsidRPr="00584DBA">
        <w:rPr>
          <w:i/>
        </w:rPr>
        <w:t>Xenodocheia</w:t>
      </w:r>
      <w:proofErr w:type="spellEnd"/>
      <w:r w:rsidRPr="00584DBA">
        <w:rPr>
          <w:i/>
        </w:rPr>
        <w:t xml:space="preserve"> </w:t>
      </w:r>
      <w:proofErr w:type="spellStart"/>
      <w:r w:rsidRPr="00584DBA">
        <w:rPr>
          <w:i/>
        </w:rPr>
        <w:t>Kritis</w:t>
      </w:r>
      <w:proofErr w:type="spellEnd"/>
      <w:r w:rsidRPr="00584DBA">
        <w:rPr>
          <w:i/>
        </w:rPr>
        <w:t xml:space="preserve"> przeciwko Grecji</w:t>
      </w:r>
      <w:r w:rsidRPr="00584DBA">
        <w:t>, nr</w:t>
      </w:r>
      <w:r w:rsidR="007E40E9">
        <w:t> </w:t>
      </w:r>
      <w:r w:rsidRPr="00584DBA">
        <w:t xml:space="preserve">35332/05, </w:t>
      </w:r>
      <w:r w:rsidR="00F32B00">
        <w:t>pkt </w:t>
      </w:r>
      <w:r w:rsidRPr="00584DBA">
        <w:t xml:space="preserve">45, 21 lutego 2008 r., oraz </w:t>
      </w:r>
      <w:proofErr w:type="spellStart"/>
      <w:r w:rsidRPr="00584DBA">
        <w:rPr>
          <w:i/>
        </w:rPr>
        <w:t>Depalle</w:t>
      </w:r>
      <w:proofErr w:type="spellEnd"/>
      <w:r w:rsidRPr="00584DBA">
        <w:rPr>
          <w:i/>
        </w:rPr>
        <w:t xml:space="preserve"> przeciwko Francji</w:t>
      </w:r>
      <w:r w:rsidRPr="00584DBA">
        <w:t xml:space="preserve"> [WI], nr</w:t>
      </w:r>
      <w:r w:rsidR="00F32B00">
        <w:t> </w:t>
      </w:r>
      <w:r w:rsidRPr="00584DBA">
        <w:t xml:space="preserve">34044/02, </w:t>
      </w:r>
      <w:r w:rsidR="00F32B00">
        <w:t>pkt </w:t>
      </w:r>
      <w:r w:rsidRPr="00584DBA">
        <w:t>91, ETPC 2010, z</w:t>
      </w:r>
      <w:r w:rsidR="00872737">
        <w:t> </w:t>
      </w:r>
      <w:r w:rsidRPr="00584DBA">
        <w:t>dalszymi odniesieniami). Przykładowo, w</w:t>
      </w:r>
      <w:r w:rsidR="00F32B00">
        <w:t> </w:t>
      </w:r>
      <w:r w:rsidRPr="00584DBA">
        <w:t>sprawie, w</w:t>
      </w:r>
      <w:r w:rsidR="00F32B00">
        <w:t> </w:t>
      </w:r>
      <w:r w:rsidRPr="00584DBA">
        <w:t>której władze dokonały zajęcia i przetrzymywały przedmioty stanowiące dowody rzeczowe w</w:t>
      </w:r>
      <w:r w:rsidR="007F15E7">
        <w:t> </w:t>
      </w:r>
      <w:r w:rsidRPr="00584DBA">
        <w:t xml:space="preserve">postępowaniu karnym, Trybunał uznał, że </w:t>
      </w:r>
      <w:r w:rsidR="00F32B00">
        <w:t xml:space="preserve">– </w:t>
      </w:r>
      <w:r w:rsidRPr="00584DBA">
        <w:t>w</w:t>
      </w:r>
      <w:r w:rsidR="00F32B00">
        <w:t> </w:t>
      </w:r>
      <w:r w:rsidRPr="00584DBA">
        <w:t>kontekście art. 13 w</w:t>
      </w:r>
      <w:r w:rsidR="007F15E7">
        <w:t> </w:t>
      </w:r>
      <w:r w:rsidRPr="00584DBA">
        <w:t>związku z</w:t>
      </w:r>
      <w:r w:rsidR="007F15E7">
        <w:t> </w:t>
      </w:r>
      <w:r w:rsidRPr="00584DBA">
        <w:t>art.</w:t>
      </w:r>
      <w:r w:rsidR="007F15E7">
        <w:t> </w:t>
      </w:r>
      <w:r w:rsidRPr="00584DBA">
        <w:t xml:space="preserve">1 Protokołu nr 1 do Konwencji </w:t>
      </w:r>
      <w:r w:rsidR="00F32B00">
        <w:t>–</w:t>
      </w:r>
      <w:r w:rsidRPr="00584DBA">
        <w:t xml:space="preserve"> ustawodawstwo krajowe powinno przewidywać możliwość wszczęcia postępowania przeciwko państwu i dochodzenia odszkodowania za wszelkie szkody wynikające z</w:t>
      </w:r>
      <w:r w:rsidR="00872737">
        <w:t> </w:t>
      </w:r>
      <w:r w:rsidRPr="00584DBA">
        <w:t>niedopełnienia przez władze obowiązku zapewnienia bezpieczeństwa i</w:t>
      </w:r>
      <w:r w:rsidR="00872737">
        <w:t> </w:t>
      </w:r>
      <w:r w:rsidRPr="00584DBA">
        <w:t>należytego stanu przedmiotów. W</w:t>
      </w:r>
      <w:r w:rsidR="003A3307">
        <w:t> </w:t>
      </w:r>
      <w:r w:rsidRPr="00584DBA">
        <w:t xml:space="preserve">szczególności dotyczy to przypadków, gdy sama ingerencja została uznana za niezgodną z prawem (zob. </w:t>
      </w:r>
      <w:r w:rsidRPr="00584DBA">
        <w:rPr>
          <w:i/>
        </w:rPr>
        <w:t>mutatis mutandis</w:t>
      </w:r>
      <w:r w:rsidRPr="00584DBA">
        <w:t xml:space="preserve">, </w:t>
      </w:r>
      <w:proofErr w:type="spellStart"/>
      <w:r w:rsidRPr="00584DBA">
        <w:rPr>
          <w:i/>
        </w:rPr>
        <w:t>Karamitrov</w:t>
      </w:r>
      <w:proofErr w:type="spellEnd"/>
      <w:r w:rsidRPr="00584DBA">
        <w:rPr>
          <w:rFonts w:ascii="Calibri-Italic" w:hAnsi="Calibri-Italic"/>
          <w:i/>
          <w:iCs/>
          <w:sz w:val="22"/>
          <w:szCs w:val="22"/>
        </w:rPr>
        <w:t xml:space="preserve"> </w:t>
      </w:r>
      <w:r w:rsidRPr="00584DBA">
        <w:rPr>
          <w:i/>
          <w:iCs/>
        </w:rPr>
        <w:t>i Inni przeciwko Bułgarii</w:t>
      </w:r>
      <w:r w:rsidRPr="00584DBA">
        <w:rPr>
          <w:i/>
        </w:rPr>
        <w:t xml:space="preserve">, </w:t>
      </w:r>
      <w:r w:rsidRPr="00584DBA">
        <w:t>nr</w:t>
      </w:r>
      <w:r w:rsidR="00F32B00">
        <w:t> </w:t>
      </w:r>
      <w:r w:rsidRPr="00584DBA">
        <w:t xml:space="preserve">53321/99, </w:t>
      </w:r>
      <w:r w:rsidR="00F32B00">
        <w:t>pkt </w:t>
      </w:r>
      <w:r w:rsidRPr="00584DBA">
        <w:t>77, 10</w:t>
      </w:r>
      <w:r w:rsidR="00872737">
        <w:t> </w:t>
      </w:r>
      <w:r w:rsidRPr="00584DBA">
        <w:t>stycznia 2008 r.).</w:t>
      </w:r>
    </w:p>
    <w:p w14:paraId="4D78787D" w14:textId="77777777" w:rsidR="0051506F" w:rsidRPr="00584DBA" w:rsidRDefault="00775227" w:rsidP="00613515">
      <w:pPr>
        <w:pStyle w:val="JuHa0"/>
      </w:pPr>
      <w:r w:rsidRPr="00584DBA">
        <w:t>Zastosowanie powyższych zasad w niniejszej sprawie</w:t>
      </w:r>
    </w:p>
    <w:p w14:paraId="21B33592" w14:textId="5DE7A7D9" w:rsidR="0051506F" w:rsidRPr="00584DBA" w:rsidRDefault="00775227" w:rsidP="00613515">
      <w:pPr>
        <w:pStyle w:val="JuPara"/>
      </w:pPr>
      <w:fldSimple w:instr=" SEQ level0 \*arabic \* MERGEFORMAT ">
        <w:r w:rsidR="0062101B" w:rsidRPr="00584DBA">
          <w:rPr>
            <w:noProof/>
          </w:rPr>
          <w:t>85</w:t>
        </w:r>
      </w:fldSimple>
      <w:r w:rsidRPr="00584DBA">
        <w:t>.  Trybunał zauważył, że niniejsza skarga dotyczy szeregu ograniczeń wprowadzonych w następstwie decyzji o zastosowaniu tymczasowych środków zajęcia (z dnia 19 maja 2003 r.) oraz późniejszych decyzji dotyczących zobowiązań skarżącego z tytułu podatku akcyzowego (z dnia 21</w:t>
      </w:r>
      <w:r w:rsidR="00076857">
        <w:t> </w:t>
      </w:r>
      <w:r w:rsidRPr="00584DBA">
        <w:t xml:space="preserve">sierpnia 2003 r. i 2 sierpnia 2004 r.). Ograniczenia te wpłynęły na wykonywanie praw własności skarżącego w odniesieniu do majątku jego przedsiębiorstwa i jego własnego majątku prywatnego (zob. </w:t>
      </w:r>
      <w:r w:rsidR="00076857">
        <w:t>pkt</w:t>
      </w:r>
      <w:r w:rsidR="00076857" w:rsidRPr="00584DBA">
        <w:t> </w:t>
      </w:r>
      <w:r w:rsidRPr="00584DBA">
        <w:fldChar w:fldCharType="begin"/>
      </w:r>
      <w:r w:rsidRPr="00584DBA">
        <w:instrText xml:space="preserve"> REF paragraph00023 \h  \* CharFormat </w:instrText>
      </w:r>
      <w:r w:rsidRPr="00584DBA">
        <w:fldChar w:fldCharType="separate"/>
      </w:r>
      <w:r w:rsidR="0062101B" w:rsidRPr="00584DBA">
        <w:t>23</w:t>
      </w:r>
      <w:r w:rsidRPr="00584DBA">
        <w:fldChar w:fldCharType="end"/>
      </w:r>
      <w:r w:rsidRPr="00584DBA">
        <w:t xml:space="preserve">, </w:t>
      </w:r>
      <w:r w:rsidRPr="00584DBA">
        <w:fldChar w:fldCharType="begin"/>
      </w:r>
      <w:r w:rsidRPr="00584DBA">
        <w:instrText xml:space="preserve"> REF paragraph00025 \h  \* CharFormat </w:instrText>
      </w:r>
      <w:r w:rsidRPr="00584DBA">
        <w:fldChar w:fldCharType="separate"/>
      </w:r>
      <w:r w:rsidR="0062101B" w:rsidRPr="00584DBA">
        <w:t>25</w:t>
      </w:r>
      <w:r w:rsidRPr="00584DBA">
        <w:fldChar w:fldCharType="end"/>
      </w:r>
      <w:r w:rsidRPr="00584DBA">
        <w:t xml:space="preserve"> i </w:t>
      </w:r>
      <w:r w:rsidRPr="00584DBA">
        <w:fldChar w:fldCharType="begin"/>
      </w:r>
      <w:r w:rsidRPr="00584DBA">
        <w:instrText xml:space="preserve"> REF paragraph00030 \h  \* CharFormat </w:instrText>
      </w:r>
      <w:r w:rsidRPr="00584DBA">
        <w:fldChar w:fldCharType="separate"/>
      </w:r>
      <w:r w:rsidR="0062101B" w:rsidRPr="00584DBA">
        <w:t>30</w:t>
      </w:r>
      <w:r w:rsidRPr="00584DBA">
        <w:fldChar w:fldCharType="end"/>
      </w:r>
      <w:r w:rsidRPr="00584DBA">
        <w:t xml:space="preserve"> powyżej) i, jak twierdził skarżący, wyrządziły mu wymierną szkodę majątkową (utrata działalności gospodarczej). Przedmiotowe decyzje podatkowe zostały później uznane za niezgodne z</w:t>
      </w:r>
      <w:r w:rsidR="00076857">
        <w:t> </w:t>
      </w:r>
      <w:r w:rsidRPr="00584DBA">
        <w:t xml:space="preserve">prawem i uchylone (zob. </w:t>
      </w:r>
      <w:r w:rsidR="00F57DEB">
        <w:t>pkt </w:t>
      </w:r>
      <w:r w:rsidRPr="00584DBA">
        <w:fldChar w:fldCharType="begin"/>
      </w:r>
      <w:r w:rsidRPr="00584DBA">
        <w:instrText xml:space="preserve"> REF paragraph00018 \h  \* CharFormat </w:instrText>
      </w:r>
      <w:r w:rsidRPr="00584DBA">
        <w:fldChar w:fldCharType="separate"/>
      </w:r>
      <w:r w:rsidR="0062101B" w:rsidRPr="00584DBA">
        <w:t>18</w:t>
      </w:r>
      <w:r w:rsidRPr="00584DBA">
        <w:fldChar w:fldCharType="end"/>
      </w:r>
      <w:r w:rsidRPr="00584DBA">
        <w:t xml:space="preserve"> i </w:t>
      </w:r>
      <w:r w:rsidRPr="00584DBA">
        <w:fldChar w:fldCharType="begin"/>
      </w:r>
      <w:r w:rsidRPr="00584DBA">
        <w:instrText xml:space="preserve"> REF paragraph00019 \h  \* CharFormat </w:instrText>
      </w:r>
      <w:r w:rsidRPr="00584DBA">
        <w:fldChar w:fldCharType="separate"/>
      </w:r>
      <w:r w:rsidR="0062101B" w:rsidRPr="00584DBA">
        <w:t>19</w:t>
      </w:r>
      <w:r w:rsidRPr="00584DBA">
        <w:fldChar w:fldCharType="end"/>
      </w:r>
      <w:r w:rsidRPr="00584DBA">
        <w:t xml:space="preserve"> powyżej).</w:t>
      </w:r>
    </w:p>
    <w:p w14:paraId="731AD390" w14:textId="0CE77968" w:rsidR="0051506F" w:rsidRPr="00584DBA" w:rsidRDefault="00775227" w:rsidP="00613515">
      <w:pPr>
        <w:pStyle w:val="JuPara"/>
      </w:pPr>
      <w:fldSimple w:instr=" SEQ level0 \*arabic \* MERGEFORMAT ">
        <w:r w:rsidR="0062101B" w:rsidRPr="00584DBA">
          <w:rPr>
            <w:noProof/>
          </w:rPr>
          <w:t>86</w:t>
        </w:r>
      </w:fldSimple>
      <w:r w:rsidRPr="00584DBA">
        <w:t xml:space="preserve">.  Rząd twierdził, że decyzje określające zobowiązania podatkowe skarżącego nie były niezgodne z prawem </w:t>
      </w:r>
      <w:r w:rsidRPr="00584DBA">
        <w:rPr>
          <w:i/>
          <w:iCs/>
        </w:rPr>
        <w:t xml:space="preserve">per </w:t>
      </w:r>
      <w:proofErr w:type="spellStart"/>
      <w:r w:rsidRPr="00584DBA">
        <w:rPr>
          <w:i/>
          <w:iCs/>
        </w:rPr>
        <w:t>se</w:t>
      </w:r>
      <w:proofErr w:type="spellEnd"/>
      <w:r w:rsidRPr="00584DBA">
        <w:t>, le</w:t>
      </w:r>
      <w:r w:rsidR="005D5C29">
        <w:t>cz</w:t>
      </w:r>
      <w:r w:rsidRPr="00584DBA">
        <w:t xml:space="preserve"> raczej były wadliwe z</w:t>
      </w:r>
      <w:r w:rsidR="001C4F46">
        <w:t> </w:t>
      </w:r>
      <w:r w:rsidRPr="00584DBA">
        <w:t xml:space="preserve">powodu naruszenia prawa wynikającego z istnienia dwóch sprzecznych linii orzeczniczych dotyczących prawa krajowego (zob. </w:t>
      </w:r>
      <w:r w:rsidR="00A81F4B">
        <w:t>pkt </w:t>
      </w:r>
      <w:r w:rsidRPr="00584DBA">
        <w:fldChar w:fldCharType="begin"/>
      </w:r>
      <w:r w:rsidRPr="00584DBA">
        <w:instrText xml:space="preserve"> REF paragraph00040 \h  \* CharFormat </w:instrText>
      </w:r>
      <w:r w:rsidRPr="00584DBA">
        <w:fldChar w:fldCharType="separate"/>
      </w:r>
      <w:r w:rsidR="0062101B" w:rsidRPr="00584DBA">
        <w:t>40</w:t>
      </w:r>
      <w:r w:rsidRPr="00584DBA">
        <w:fldChar w:fldCharType="end"/>
      </w:r>
      <w:r w:rsidRPr="00584DBA">
        <w:t xml:space="preserve"> powyżej). Praktyka krajowa została później ujednolicona przez Naczelny Sąd Administracyjny, ale w czasie istotnym dla sprawy początkowy wynik postępowania podatkowego odzwierciedlał jedną z</w:t>
      </w:r>
      <w:r w:rsidR="00A81F4B">
        <w:t> </w:t>
      </w:r>
      <w:r w:rsidRPr="00584DBA">
        <w:t xml:space="preserve">sądowych wykładni odpowiednich przepisów dotyczących podatku akcyzowego (zob. </w:t>
      </w:r>
      <w:r w:rsidR="004C7B02">
        <w:t>pkt </w:t>
      </w:r>
      <w:r w:rsidRPr="00584DBA">
        <w:fldChar w:fldCharType="begin"/>
      </w:r>
      <w:r w:rsidRPr="00584DBA">
        <w:instrText xml:space="preserve"> REF paragraph00041 \h  \* CharFormat </w:instrText>
      </w:r>
      <w:r w:rsidRPr="00584DBA">
        <w:fldChar w:fldCharType="separate"/>
      </w:r>
      <w:r w:rsidR="0062101B" w:rsidRPr="00584DBA">
        <w:t>41</w:t>
      </w:r>
      <w:r w:rsidRPr="00584DBA">
        <w:fldChar w:fldCharType="end"/>
      </w:r>
      <w:r w:rsidRPr="00584DBA">
        <w:t xml:space="preserve"> </w:t>
      </w:r>
      <w:r w:rsidRPr="00584DBA">
        <w:lastRenderedPageBreak/>
        <w:t>powyżej). Skarżący utrzymywał natomiast, że decyzje określające jego zobowiązania podatkowe z tytułu podatku akcyzowego były niezgodne z</w:t>
      </w:r>
      <w:r w:rsidR="004C7B02">
        <w:t> </w:t>
      </w:r>
      <w:r w:rsidRPr="00584DBA">
        <w:t xml:space="preserve">prawem, niezależnie od istnienia różnych wykładni sądowych odpowiednich przepisów; w rzeczywistości zaskarżone decyzje zostały unieważnione przed ujednoliceniem praktyki. Ponadto twierdził zasadniczo, że odpowiednie przepisy dotyczące zobowiązań z tytułu podatku akcyzowego nie były jasne (zob. </w:t>
      </w:r>
      <w:r w:rsidR="005D5C29">
        <w:t>pkt</w:t>
      </w:r>
      <w:r w:rsidR="005D5C29" w:rsidRPr="00584DBA">
        <w:t> </w:t>
      </w:r>
      <w:r w:rsidRPr="00584DBA">
        <w:fldChar w:fldCharType="begin"/>
      </w:r>
      <w:r w:rsidRPr="00584DBA">
        <w:instrText xml:space="preserve"> REF paragraph00079 \h  \* CharFormat </w:instrText>
      </w:r>
      <w:r w:rsidRPr="00584DBA">
        <w:fldChar w:fldCharType="separate"/>
      </w:r>
      <w:r w:rsidR="0062101B" w:rsidRPr="00584DBA">
        <w:t>79</w:t>
      </w:r>
      <w:r w:rsidRPr="00584DBA">
        <w:fldChar w:fldCharType="end"/>
      </w:r>
      <w:r w:rsidRPr="00584DBA">
        <w:t xml:space="preserve"> i</w:t>
      </w:r>
      <w:r w:rsidR="005D5C29">
        <w:t> </w:t>
      </w:r>
      <w:r w:rsidRPr="00584DBA">
        <w:fldChar w:fldCharType="begin"/>
      </w:r>
      <w:r w:rsidRPr="00584DBA">
        <w:instrText xml:space="preserve"> REF paragraph00080 \h  \* CharFormat </w:instrText>
      </w:r>
      <w:r w:rsidRPr="00584DBA">
        <w:fldChar w:fldCharType="separate"/>
      </w:r>
      <w:r w:rsidR="0062101B" w:rsidRPr="00584DBA">
        <w:t>80</w:t>
      </w:r>
      <w:r w:rsidRPr="00584DBA">
        <w:fldChar w:fldCharType="end"/>
      </w:r>
      <w:r w:rsidRPr="00584DBA">
        <w:t xml:space="preserve"> powyżej). Trybunał odnotowuje zatem rozbieżne stanowiska stron co do zgodności z prawem ingerencji.</w:t>
      </w:r>
    </w:p>
    <w:p w14:paraId="67333DFC" w14:textId="15068952" w:rsidR="0051506F" w:rsidRPr="00584DBA" w:rsidRDefault="00775227" w:rsidP="00613515">
      <w:pPr>
        <w:pStyle w:val="JuPara"/>
      </w:pPr>
      <w:fldSimple w:instr=" SEQ level0 \*arabic ">
        <w:r w:rsidR="0062101B" w:rsidRPr="00584DBA">
          <w:rPr>
            <w:noProof/>
          </w:rPr>
          <w:t>87</w:t>
        </w:r>
      </w:fldSimple>
      <w:r w:rsidRPr="00584DBA">
        <w:t xml:space="preserve">.  Trybunał uważa za istotne powtórzenie, że w przedmiotowej sprawie środki pociągające za sobą zajęcie własności skarżącego miały na celu zapewnienie uiszczenia podatku akcyzowego należnego z tytułu prowadzonej przez niego działalności gospodarczej. Jego zobowiązania podatkowe były początkowo przedmiotem analizy (począwszy od 19 maja 2003 r.; zob. </w:t>
      </w:r>
      <w:r w:rsidR="00163C5F">
        <w:t>pkt</w:t>
      </w:r>
      <w:r w:rsidR="00163C5F" w:rsidRPr="00584DBA">
        <w:t> </w:t>
      </w:r>
      <w:r w:rsidRPr="00584DBA">
        <w:fldChar w:fldCharType="begin"/>
      </w:r>
      <w:r w:rsidRPr="00584DBA">
        <w:instrText xml:space="preserve"> REF paragraph00006 \h  \* CharFormat </w:instrText>
      </w:r>
      <w:r w:rsidRPr="00584DBA">
        <w:fldChar w:fldCharType="separate"/>
      </w:r>
      <w:r w:rsidR="0062101B" w:rsidRPr="00584DBA">
        <w:t>6</w:t>
      </w:r>
      <w:r w:rsidRPr="00584DBA">
        <w:fldChar w:fldCharType="end"/>
      </w:r>
      <w:r w:rsidR="00163C5F">
        <w:t>–</w:t>
      </w:r>
      <w:r w:rsidRPr="00584DBA">
        <w:fldChar w:fldCharType="begin"/>
      </w:r>
      <w:r w:rsidRPr="00584DBA">
        <w:instrText xml:space="preserve"> REF paragraph00009 \h  \* CharFormat </w:instrText>
      </w:r>
      <w:r w:rsidRPr="00584DBA">
        <w:fldChar w:fldCharType="separate"/>
      </w:r>
      <w:r w:rsidR="0062101B" w:rsidRPr="00584DBA">
        <w:t>9</w:t>
      </w:r>
      <w:r w:rsidRPr="00584DBA">
        <w:fldChar w:fldCharType="end"/>
      </w:r>
      <w:r w:rsidRPr="00584DBA">
        <w:t xml:space="preserve"> powyżej), a następnie zostały ustalone i stały się wykonalne w wyniku dziewięciu decyzji wydanych przez organy podatkowe pierwszej i drugiej instancji (począwszy od 21 sierpnia 2003 r.; zob. </w:t>
      </w:r>
      <w:r w:rsidR="00163C5F">
        <w:t>pkt </w:t>
      </w:r>
      <w:r w:rsidRPr="00584DBA">
        <w:fldChar w:fldCharType="begin"/>
      </w:r>
      <w:r w:rsidRPr="00584DBA">
        <w:instrText xml:space="preserve"> REF paragraph00013 \h  \* CharFormat </w:instrText>
      </w:r>
      <w:r w:rsidRPr="00584DBA">
        <w:fldChar w:fldCharType="separate"/>
      </w:r>
      <w:r w:rsidR="0062101B" w:rsidRPr="00584DBA">
        <w:t>13</w:t>
      </w:r>
      <w:r w:rsidRPr="00584DBA">
        <w:fldChar w:fldCharType="end"/>
      </w:r>
      <w:r w:rsidRPr="00584DBA">
        <w:t xml:space="preserve">, </w:t>
      </w:r>
      <w:r w:rsidRPr="00584DBA">
        <w:fldChar w:fldCharType="begin"/>
      </w:r>
      <w:r w:rsidRPr="00584DBA">
        <w:instrText xml:space="preserve"> REF paragraph00014 \h  \* CharFormat </w:instrText>
      </w:r>
      <w:r w:rsidRPr="00584DBA">
        <w:fldChar w:fldCharType="separate"/>
      </w:r>
      <w:r w:rsidR="0062101B" w:rsidRPr="00584DBA">
        <w:t>14</w:t>
      </w:r>
      <w:r w:rsidRPr="00584DBA">
        <w:fldChar w:fldCharType="end"/>
      </w:r>
      <w:r w:rsidRPr="00584DBA">
        <w:t xml:space="preserve"> i </w:t>
      </w:r>
      <w:r w:rsidRPr="00584DBA">
        <w:fldChar w:fldCharType="begin"/>
      </w:r>
      <w:r w:rsidRPr="00584DBA">
        <w:instrText xml:space="preserve"> REF paragraph00016 \h  \* CharFormat </w:instrText>
      </w:r>
      <w:r w:rsidRPr="00584DBA">
        <w:fldChar w:fldCharType="separate"/>
      </w:r>
      <w:r w:rsidR="0062101B" w:rsidRPr="00584DBA">
        <w:t>16</w:t>
      </w:r>
      <w:r w:rsidRPr="00584DBA">
        <w:fldChar w:fldCharType="end"/>
      </w:r>
      <w:r w:rsidRPr="00584DBA">
        <w:t xml:space="preserve"> powyżej). Środki te pozostały w mocy (przypuszczalnie przy stopniowym wstrzymywaniu ich wykonania w 2005 r. i na początku 2006 r.; zob. </w:t>
      </w:r>
      <w:r w:rsidR="00BD3B02">
        <w:t>pkt </w:t>
      </w:r>
      <w:r w:rsidRPr="00584DBA">
        <w:fldChar w:fldCharType="begin"/>
      </w:r>
      <w:r w:rsidRPr="00584DBA">
        <w:instrText xml:space="preserve"> REF paragraph00017 \h  \* CharFormat </w:instrText>
      </w:r>
      <w:r w:rsidRPr="00584DBA">
        <w:fldChar w:fldCharType="separate"/>
      </w:r>
      <w:r w:rsidR="0062101B" w:rsidRPr="00584DBA">
        <w:t>17</w:t>
      </w:r>
      <w:r w:rsidRPr="00584DBA">
        <w:fldChar w:fldCharType="end"/>
      </w:r>
      <w:r w:rsidRPr="00584DBA">
        <w:t xml:space="preserve"> powyżej) do dnia 24 kwietnia 2006</w:t>
      </w:r>
      <w:r w:rsidR="00BD3B02">
        <w:t> </w:t>
      </w:r>
      <w:r w:rsidRPr="00584DBA">
        <w:t>r., kiedy to zaskarżone decyzje podatkowe w odniesieniu do zobowiązań skarżącego z</w:t>
      </w:r>
      <w:r w:rsidR="0097322D">
        <w:t> </w:t>
      </w:r>
      <w:r w:rsidRPr="00584DBA">
        <w:t xml:space="preserve">tytułu podatku akcyzowego zostały uchylone (zob. </w:t>
      </w:r>
      <w:r w:rsidR="00163C5F">
        <w:t>pkt </w:t>
      </w:r>
      <w:r w:rsidRPr="00584DBA">
        <w:fldChar w:fldCharType="begin"/>
      </w:r>
      <w:r w:rsidRPr="00584DBA">
        <w:instrText xml:space="preserve"> REF paragraph00018 \h  \* CharFormat </w:instrText>
      </w:r>
      <w:r w:rsidRPr="00584DBA">
        <w:fldChar w:fldCharType="separate"/>
      </w:r>
      <w:r w:rsidR="0062101B" w:rsidRPr="00584DBA">
        <w:t>18</w:t>
      </w:r>
      <w:r w:rsidRPr="00584DBA">
        <w:fldChar w:fldCharType="end"/>
      </w:r>
      <w:r w:rsidRPr="00584DBA">
        <w:t xml:space="preserve"> powyżej).</w:t>
      </w:r>
    </w:p>
    <w:p w14:paraId="33DDE45C" w14:textId="255849C3" w:rsidR="0051506F" w:rsidRPr="00584DBA" w:rsidRDefault="00775227" w:rsidP="00F32432">
      <w:pPr>
        <w:pStyle w:val="JuPara"/>
      </w:pPr>
      <w:fldSimple w:instr=" SEQ level0 \*arabic ">
        <w:r w:rsidR="0062101B" w:rsidRPr="00584DBA">
          <w:rPr>
            <w:noProof/>
          </w:rPr>
          <w:t>88</w:t>
        </w:r>
      </w:fldSimple>
      <w:r w:rsidRPr="00584DBA">
        <w:t xml:space="preserve">.  W okolicznościach niniejszej sprawy Trybunał uważa, że ograniczenie prawa skarżącego do </w:t>
      </w:r>
      <w:r w:rsidR="00F32432">
        <w:t xml:space="preserve">poszanowania swego mienia </w:t>
      </w:r>
      <w:r w:rsidRPr="00584DBA">
        <w:t>nie jest samo w sobie przedmiotem krytyki, w</w:t>
      </w:r>
      <w:r w:rsidR="00F32432">
        <w:t> </w:t>
      </w:r>
      <w:r w:rsidRPr="00584DBA">
        <w:t>szczególności w świetle uzasadnionego celu i</w:t>
      </w:r>
      <w:r w:rsidR="00F32432">
        <w:t> </w:t>
      </w:r>
      <w:r w:rsidRPr="00584DBA">
        <w:t xml:space="preserve">marginesu oceny przyznanego w akapicie </w:t>
      </w:r>
      <w:r w:rsidR="00CF0D18" w:rsidRPr="00584DBA">
        <w:t xml:space="preserve">drugim </w:t>
      </w:r>
      <w:r w:rsidRPr="00584DBA">
        <w:t>art. 1 Protokołu nr 1 do Konwencji. Ryzyko związane z takim systemem polega jednak na tym, że może on nadmiernie ograniczyć zdolność skarżącego do zarządzania swoją własnością, zwłaszcza jeśli postępowanie jest przewlekłe, jak miało to miejsce w niniejszej sprawie. Ponadto Trybunał nie jest przekonany, że władze krajowe w wystarczającym stopniu rozważyły możliwość podjęcia mniej inwazyjnych środków w</w:t>
      </w:r>
      <w:r w:rsidR="00F32432">
        <w:t> </w:t>
      </w:r>
      <w:r w:rsidRPr="00584DBA">
        <w:t>odniesieniu do własności skarżącego.</w:t>
      </w:r>
    </w:p>
    <w:p w14:paraId="628E61E8" w14:textId="75F99188" w:rsidR="0051506F" w:rsidRPr="00584DBA" w:rsidRDefault="00775227" w:rsidP="00613515">
      <w:pPr>
        <w:pStyle w:val="JuPara"/>
      </w:pPr>
      <w:fldSimple w:instr=" SEQ level0 \*arabic ">
        <w:r w:rsidR="0062101B" w:rsidRPr="00584DBA">
          <w:rPr>
            <w:noProof/>
          </w:rPr>
          <w:t>89</w:t>
        </w:r>
      </w:fldSimple>
      <w:r w:rsidRPr="00584DBA">
        <w:t xml:space="preserve">.  Trybunał zauważył </w:t>
      </w:r>
      <w:r w:rsidR="006349E1">
        <w:t>także</w:t>
      </w:r>
      <w:r w:rsidRPr="00584DBA">
        <w:t xml:space="preserve">, że sąd pierwszej instancji uwzględnił powództwo skarżącego i zasądził na jego rzecz odszkodowanie w kwocie zbliżonej do dochodzonej przez niego kwoty. Sąd krajowy, uwzględniając opinię biegłego, uznał, że po zamrożeniu rachunku bankowego i zajęciu pojazdów skarżący nie był w stanie kontynuować swojej działalności gospodarczej i poniósł znaczne straty (zob. </w:t>
      </w:r>
      <w:r w:rsidR="00CF0D18">
        <w:t>pkt </w:t>
      </w:r>
      <w:r w:rsidRPr="00584DBA">
        <w:fldChar w:fldCharType="begin"/>
      </w:r>
      <w:r w:rsidRPr="00584DBA">
        <w:instrText xml:space="preserve"> REF paragraph00022 \h  \* CharFormat </w:instrText>
      </w:r>
      <w:r w:rsidRPr="00584DBA">
        <w:fldChar w:fldCharType="separate"/>
      </w:r>
      <w:r w:rsidR="0062101B" w:rsidRPr="00584DBA">
        <w:t>22</w:t>
      </w:r>
      <w:r w:rsidRPr="00584DBA">
        <w:fldChar w:fldCharType="end"/>
      </w:r>
      <w:r w:rsidRPr="00584DBA">
        <w:t xml:space="preserve"> i </w:t>
      </w:r>
      <w:r w:rsidRPr="00584DBA">
        <w:fldChar w:fldCharType="begin"/>
      </w:r>
      <w:r w:rsidRPr="00584DBA">
        <w:instrText xml:space="preserve"> REF paragraph00024 \h  \* CharFormat </w:instrText>
      </w:r>
      <w:r w:rsidRPr="00584DBA">
        <w:fldChar w:fldCharType="separate"/>
      </w:r>
      <w:r w:rsidR="0062101B" w:rsidRPr="00584DBA">
        <w:t>24</w:t>
      </w:r>
      <w:r w:rsidRPr="00584DBA">
        <w:fldChar w:fldCharType="end"/>
      </w:r>
      <w:r w:rsidRPr="00584DBA">
        <w:t xml:space="preserve"> powyżej). Sąd ten uznał również, że spośród licznych decyzji, które zostały wydane przez władze począwszy od 19 maja 2003 r., to właśnie decyzja Izby Celnej w</w:t>
      </w:r>
      <w:r w:rsidR="00141ABF">
        <w:t> </w:t>
      </w:r>
      <w:r w:rsidRPr="00584DBA">
        <w:t>Szczecinie z dnia 2 sierpnia 2004 r. miała fatalne skutki dla działalności skarżącego. Decyzja ta doprowadziła do zamrożenia rachunków bankowych skarżącego i skutecznie utrudniła mu dokonywanie czynności w</w:t>
      </w:r>
      <w:r w:rsidR="00F30873">
        <w:t> </w:t>
      </w:r>
      <w:r w:rsidRPr="00584DBA">
        <w:t xml:space="preserve">ramach działalności gospodarczej (zob. </w:t>
      </w:r>
      <w:r w:rsidR="00251FF4">
        <w:t>pkt </w:t>
      </w:r>
      <w:r w:rsidRPr="00584DBA">
        <w:fldChar w:fldCharType="begin"/>
      </w:r>
      <w:r w:rsidRPr="00584DBA">
        <w:instrText xml:space="preserve"> REF paragraph00025 \h  \* CharFormat </w:instrText>
      </w:r>
      <w:r w:rsidRPr="00584DBA">
        <w:fldChar w:fldCharType="separate"/>
      </w:r>
      <w:r w:rsidR="0062101B" w:rsidRPr="00584DBA">
        <w:t>25</w:t>
      </w:r>
      <w:r w:rsidRPr="00584DBA">
        <w:fldChar w:fldCharType="end"/>
      </w:r>
      <w:r w:rsidRPr="00584DBA">
        <w:t xml:space="preserve"> powyżej).</w:t>
      </w:r>
    </w:p>
    <w:p w14:paraId="0B4EDBE0" w14:textId="2F3A3CCC" w:rsidR="0051506F" w:rsidRPr="00584DBA" w:rsidRDefault="00775227" w:rsidP="00613515">
      <w:pPr>
        <w:pStyle w:val="JuPara"/>
      </w:pPr>
      <w:fldSimple w:instr=" SEQ level0 \*arabic ">
        <w:r w:rsidR="0062101B" w:rsidRPr="00584DBA">
          <w:rPr>
            <w:noProof/>
          </w:rPr>
          <w:t>90</w:t>
        </w:r>
      </w:fldSimple>
      <w:r w:rsidRPr="00584DBA">
        <w:t>.  Trybunał jest zdania, że</w:t>
      </w:r>
      <w:r w:rsidR="00D874C5">
        <w:t xml:space="preserve"> –</w:t>
      </w:r>
      <w:r w:rsidRPr="00584DBA">
        <w:t xml:space="preserve"> pomimo ostatecznego uchylenia tego wyroku przez sąd apelacyjny</w:t>
      </w:r>
      <w:r w:rsidR="00D874C5">
        <w:t xml:space="preserve"> –</w:t>
      </w:r>
      <w:r w:rsidRPr="00584DBA">
        <w:t xml:space="preserve"> ustalenia faktyczne poczynione przez sąd pierwszej instancji wskazują, że skarżący rzeczywiście poniósł znaczną szkodę majątkową oraz że przedmiotowa szkoda została bezpośrednio spowodowana przez środki zarządzone przez różne organy państwowe (zob. </w:t>
      </w:r>
      <w:r w:rsidRPr="00584DBA">
        <w:rPr>
          <w:i/>
        </w:rPr>
        <w:t>mutatis mutandis</w:t>
      </w:r>
      <w:r w:rsidRPr="00584DBA">
        <w:t xml:space="preserve">, </w:t>
      </w:r>
      <w:proofErr w:type="spellStart"/>
      <w:r w:rsidRPr="00584DBA">
        <w:rPr>
          <w:i/>
        </w:rPr>
        <w:t>Tarnawczyk</w:t>
      </w:r>
      <w:proofErr w:type="spellEnd"/>
      <w:r w:rsidRPr="00584DBA">
        <w:t xml:space="preserve"> </w:t>
      </w:r>
      <w:r w:rsidRPr="00584DBA">
        <w:rPr>
          <w:i/>
          <w:iCs/>
        </w:rPr>
        <w:t>przeciwko Polsce</w:t>
      </w:r>
      <w:r w:rsidRPr="00584DBA">
        <w:t xml:space="preserve">, nr 27480/02, </w:t>
      </w:r>
      <w:r w:rsidR="00C13133">
        <w:t>pkt </w:t>
      </w:r>
      <w:r w:rsidRPr="00584DBA">
        <w:t>104, 7</w:t>
      </w:r>
      <w:r w:rsidR="00D874C5">
        <w:t> </w:t>
      </w:r>
      <w:r w:rsidRPr="00584DBA">
        <w:t>grudnia 2010</w:t>
      </w:r>
      <w:r w:rsidR="00141ABF">
        <w:t> </w:t>
      </w:r>
      <w:r w:rsidRPr="00584DBA">
        <w:t>r.).</w:t>
      </w:r>
    </w:p>
    <w:p w14:paraId="6B55C4A3" w14:textId="28411307" w:rsidR="0051506F" w:rsidRPr="00584DBA" w:rsidRDefault="00775227" w:rsidP="00613515">
      <w:pPr>
        <w:pStyle w:val="JuPara"/>
      </w:pPr>
      <w:fldSimple w:instr=" SEQ level0 \*arabic \* MERGEFORMAT ">
        <w:r w:rsidR="0062101B" w:rsidRPr="00584DBA">
          <w:rPr>
            <w:noProof/>
          </w:rPr>
          <w:t>91</w:t>
        </w:r>
      </w:fldSimple>
      <w:r w:rsidRPr="00584DBA">
        <w:t>.  Skarżący został zatem zmuszony do poniesienia istotnych konsekwencji finansowych rozbieżnej praktyki władz publicznych, podczas gdy to państwo ponosi odpowiedzialność za błędy lub zaniechania wynikające z ich działań.</w:t>
      </w:r>
    </w:p>
    <w:p w14:paraId="54659E1F" w14:textId="21591A15" w:rsidR="0051506F" w:rsidRPr="00584DBA" w:rsidRDefault="00775227" w:rsidP="00613515">
      <w:pPr>
        <w:pStyle w:val="JuPara"/>
      </w:pPr>
      <w:fldSimple w:instr=" SEQ level0 \*arabic ">
        <w:r w:rsidR="0062101B" w:rsidRPr="00584DBA">
          <w:rPr>
            <w:noProof/>
          </w:rPr>
          <w:t>92</w:t>
        </w:r>
      </w:fldSimple>
      <w:r w:rsidRPr="00584DBA">
        <w:t xml:space="preserve">.  W świetle powyższych rozważań Trybunał stwierdza, że ograniczenia nałożone na majątek prywatny i majątek przedsiębiorstwa skarżącego na okres trzech lat stanowiły dla niego indywidualne i nadmierne obciążenie, naruszając „sprawiedliwą równowagę”, która powinna być zachowana między ochroną prawa własności a wymogami interesu powszechnego (zob. </w:t>
      </w:r>
      <w:r w:rsidRPr="00584DBA">
        <w:rPr>
          <w:i/>
        </w:rPr>
        <w:t>mutatis mutandis</w:t>
      </w:r>
      <w:r w:rsidRPr="00584DBA">
        <w:t>,</w:t>
      </w:r>
      <w:r w:rsidRPr="00584DBA">
        <w:rPr>
          <w:i/>
        </w:rPr>
        <w:t xml:space="preserve"> </w:t>
      </w:r>
      <w:proofErr w:type="spellStart"/>
      <w:r w:rsidRPr="00584DBA">
        <w:rPr>
          <w:i/>
        </w:rPr>
        <w:t>Džinić</w:t>
      </w:r>
      <w:proofErr w:type="spellEnd"/>
      <w:r w:rsidRPr="00584DBA">
        <w:t xml:space="preserve">, </w:t>
      </w:r>
      <w:r w:rsidR="002957E0">
        <w:t>cyt</w:t>
      </w:r>
      <w:r w:rsidRPr="00584DBA">
        <w:t>.</w:t>
      </w:r>
      <w:r w:rsidR="002957E0">
        <w:t xml:space="preserve"> wyżej</w:t>
      </w:r>
      <w:r w:rsidRPr="00584DBA">
        <w:t xml:space="preserve">, oraz </w:t>
      </w:r>
      <w:proofErr w:type="spellStart"/>
      <w:r w:rsidRPr="00584DBA">
        <w:rPr>
          <w:i/>
        </w:rPr>
        <w:t>Lachikhina</w:t>
      </w:r>
      <w:proofErr w:type="spellEnd"/>
      <w:r w:rsidRPr="00584DBA">
        <w:t xml:space="preserve"> </w:t>
      </w:r>
      <w:r w:rsidRPr="00584DBA">
        <w:rPr>
          <w:i/>
          <w:iCs/>
        </w:rPr>
        <w:t>przeciwko Rosji</w:t>
      </w:r>
      <w:r w:rsidRPr="00584DBA">
        <w:t>, nr</w:t>
      </w:r>
      <w:r w:rsidR="00141ABF">
        <w:t> </w:t>
      </w:r>
      <w:r w:rsidRPr="00584DBA">
        <w:t>38783/07, 10</w:t>
      </w:r>
      <w:r w:rsidR="002957E0">
        <w:t> </w:t>
      </w:r>
      <w:r w:rsidRPr="00584DBA">
        <w:t>października 2017 r.).</w:t>
      </w:r>
    </w:p>
    <w:p w14:paraId="596FDD4F" w14:textId="3F5FF823" w:rsidR="0051506F" w:rsidRPr="00584DBA" w:rsidRDefault="00775227" w:rsidP="00613515">
      <w:pPr>
        <w:pStyle w:val="JuPara"/>
      </w:pPr>
      <w:fldSimple w:instr=" SEQ level0 \*arabic ">
        <w:r w:rsidR="0062101B" w:rsidRPr="00584DBA">
          <w:rPr>
            <w:noProof/>
          </w:rPr>
          <w:t>93</w:t>
        </w:r>
      </w:fldSimple>
      <w:r w:rsidRPr="00584DBA">
        <w:t>.  Tym samym doszło do naruszenia art. 1 Protokołu nr 1 do Konwencji.</w:t>
      </w:r>
    </w:p>
    <w:p w14:paraId="3389F591" w14:textId="77777777" w:rsidR="0051506F" w:rsidRPr="00584DBA" w:rsidRDefault="00775227" w:rsidP="00613515">
      <w:pPr>
        <w:pStyle w:val="JuHIRoman"/>
      </w:pPr>
      <w:r w:rsidRPr="00584DBA">
        <w:t>ZASTOSOWANIE ART. 41 KONWENCJI</w:t>
      </w:r>
    </w:p>
    <w:p w14:paraId="4E9E9BA9" w14:textId="3A89EDC9" w:rsidR="0051506F" w:rsidRPr="00584DBA" w:rsidRDefault="00775227" w:rsidP="00613515">
      <w:pPr>
        <w:pStyle w:val="JuPara"/>
      </w:pPr>
      <w:fldSimple w:instr=" SEQ level0 \*arabic ">
        <w:r w:rsidR="0062101B" w:rsidRPr="00584DBA">
          <w:rPr>
            <w:noProof/>
          </w:rPr>
          <w:t>94</w:t>
        </w:r>
      </w:fldSimple>
      <w:r w:rsidRPr="00584DBA">
        <w:t>.  Artykuł 41 Konwencji stanowi:</w:t>
      </w:r>
    </w:p>
    <w:p w14:paraId="35C67005" w14:textId="0FAD2455" w:rsidR="0051506F" w:rsidRPr="00584DBA" w:rsidRDefault="00775227" w:rsidP="00613515">
      <w:pPr>
        <w:pStyle w:val="JuQuot"/>
      </w:pPr>
      <w:r w:rsidRPr="00584DBA">
        <w:t xml:space="preserve">„Jeżeli Trybunał stwierdzi, że nastąpiło naruszenie Konwencji lub jej Protokołów, oraz jeżeli prawo wewnętrzne zainteresowanej Wysokiej Układającej się Strony pozwala tylko na częściowe usunięcie konsekwencji tego naruszenia, Trybunał orzeka, gdy zachodzi </w:t>
      </w:r>
      <w:r w:rsidR="00934FF3">
        <w:t xml:space="preserve">taka </w:t>
      </w:r>
      <w:r w:rsidRPr="00584DBA">
        <w:t>potrzeba, o przyznaniu słusznego zadośćuczynienia pokrzywdzonej stronie”.</w:t>
      </w:r>
    </w:p>
    <w:p w14:paraId="18C4508D" w14:textId="2AC3F988" w:rsidR="0051506F" w:rsidRPr="00584DBA" w:rsidRDefault="00775227" w:rsidP="00613515">
      <w:pPr>
        <w:pStyle w:val="JuPara"/>
      </w:pPr>
      <w:fldSimple w:instr=" SEQ level0 \*arabic ">
        <w:r w:rsidR="0062101B" w:rsidRPr="00584DBA">
          <w:rPr>
            <w:noProof/>
          </w:rPr>
          <w:t>95</w:t>
        </w:r>
      </w:fldSimple>
      <w:r w:rsidRPr="00584DBA">
        <w:t xml:space="preserve">.  Skarżący dochodził kwoty 183 132 euro (EUR) tytułem odszkodowania za szkodę majątkową. Wyjaśnił, że kwota ta stanowi równowartość strat, które poniósł, nie będąc w stanie prowadzić działalności gospodarczej z powodu </w:t>
      </w:r>
      <w:r w:rsidR="00AF729B">
        <w:t>zaskarżonego</w:t>
      </w:r>
      <w:r w:rsidR="00AF729B" w:rsidRPr="00584DBA">
        <w:t xml:space="preserve"> </w:t>
      </w:r>
      <w:r w:rsidRPr="00584DBA">
        <w:t xml:space="preserve">zajęcia. Odpowiadała ona również kwocie zasądzonej przez sąd pierwszej instancji w postępowaniu cywilnym (zob. </w:t>
      </w:r>
      <w:r w:rsidR="003A7965">
        <w:t>pkt </w:t>
      </w:r>
      <w:r w:rsidRPr="00584DBA">
        <w:fldChar w:fldCharType="begin"/>
      </w:r>
      <w:r w:rsidRPr="00584DBA">
        <w:instrText xml:space="preserve"> REF paragraph00022 \h  \* CharFormat </w:instrText>
      </w:r>
      <w:r w:rsidRPr="00584DBA">
        <w:fldChar w:fldCharType="separate"/>
      </w:r>
      <w:r w:rsidR="0062101B" w:rsidRPr="00584DBA">
        <w:t>22</w:t>
      </w:r>
      <w:r w:rsidRPr="00584DBA">
        <w:fldChar w:fldCharType="end"/>
      </w:r>
      <w:r w:rsidRPr="00584DBA">
        <w:t xml:space="preserve"> powyżej). W przypadku gdyby Trybunał nie zasądził żadnego odszkodowania tytułem szkody majątkowej, skarżący domagał się kwoty 100</w:t>
      </w:r>
      <w:r w:rsidR="003A7965">
        <w:t> </w:t>
      </w:r>
      <w:r w:rsidRPr="00584DBA">
        <w:t>000</w:t>
      </w:r>
      <w:r w:rsidR="003A7965">
        <w:t> </w:t>
      </w:r>
      <w:r w:rsidRPr="00584DBA">
        <w:t>EUR tytułem zadośćuczynienia za szkodę niemajątkową w</w:t>
      </w:r>
      <w:r w:rsidR="003A7965">
        <w:t> </w:t>
      </w:r>
      <w:r w:rsidRPr="00584DBA">
        <w:t>związku z cierpieniem spowodowanym „trudnościami w</w:t>
      </w:r>
      <w:r w:rsidR="00ED0562">
        <w:t> </w:t>
      </w:r>
      <w:r w:rsidRPr="00584DBA">
        <w:t>jego życiu zawodowym i</w:t>
      </w:r>
      <w:r w:rsidR="007E36C2">
        <w:t> </w:t>
      </w:r>
      <w:r w:rsidRPr="00584DBA">
        <w:t>prywatnym”.</w:t>
      </w:r>
    </w:p>
    <w:p w14:paraId="3E52F7CE" w14:textId="3B48AEF9" w:rsidR="0051506F" w:rsidRPr="00584DBA" w:rsidRDefault="00775227" w:rsidP="00613515">
      <w:pPr>
        <w:pStyle w:val="JuPara"/>
      </w:pPr>
      <w:fldSimple w:instr=" SEQ level0 \*arabic ">
        <w:r w:rsidR="0062101B" w:rsidRPr="00584DBA">
          <w:rPr>
            <w:noProof/>
          </w:rPr>
          <w:t>96</w:t>
        </w:r>
      </w:fldSimple>
      <w:r w:rsidRPr="00584DBA">
        <w:t>.  Rząd twierdził, że roszczenie skarżącego w odniesieniu do szkody majątkowej było bezpodstawne, a roszczenie w odniesieniu do szkody niemajątkowej było niesprecyzowane, nieuzasadnione, a w każdym razie wygórowane.</w:t>
      </w:r>
    </w:p>
    <w:p w14:paraId="0FF977B9" w14:textId="57371D08" w:rsidR="0051506F" w:rsidRPr="00584DBA" w:rsidRDefault="00775227" w:rsidP="00613515">
      <w:pPr>
        <w:pStyle w:val="JuPara"/>
      </w:pPr>
      <w:fldSimple w:instr=" SEQ level0 \*arabic \* MERGEFORMAT ">
        <w:r w:rsidR="0062101B" w:rsidRPr="00584DBA">
          <w:rPr>
            <w:noProof/>
          </w:rPr>
          <w:t>97</w:t>
        </w:r>
      </w:fldSimple>
      <w:r w:rsidRPr="00584DBA">
        <w:t xml:space="preserve">.  W okolicznościach niniejszej sprawy Trybunał uważa, że w zakresie dotyczącym przyznania odszkodowania nie jest jeszcze możliwe </w:t>
      </w:r>
      <w:r w:rsidRPr="00584DBA">
        <w:lastRenderedPageBreak/>
        <w:t xml:space="preserve">rozstrzygnięcie kwestii zastosowania art. 41 (zob. </w:t>
      </w:r>
      <w:r w:rsidRPr="009B39E2">
        <w:rPr>
          <w:i/>
          <w:iCs/>
        </w:rPr>
        <w:t>Łysak</w:t>
      </w:r>
      <w:r w:rsidRPr="00584DBA">
        <w:t xml:space="preserve">, </w:t>
      </w:r>
      <w:r w:rsidR="00B35990">
        <w:t>cyt. wyżej</w:t>
      </w:r>
      <w:r w:rsidRPr="00584DBA">
        <w:t xml:space="preserve">, </w:t>
      </w:r>
      <w:r w:rsidR="00B35990">
        <w:t>pkt </w:t>
      </w:r>
      <w:r w:rsidRPr="00584DBA">
        <w:t>96). W</w:t>
      </w:r>
      <w:r w:rsidR="00ED0562">
        <w:t> </w:t>
      </w:r>
      <w:r w:rsidRPr="00584DBA">
        <w:t>tej sytuacji kwestia ta powinna zostać zastrzeżona do dalszego rozstrzygnięcia, a dalszy bieg sprawy ustalony z uwzględnieniem ewentualnego porozumienia pomiędzy Rządem a skarżącym (Reguła 75 §§ 1 i</w:t>
      </w:r>
      <w:r w:rsidR="00BC20B3">
        <w:t> </w:t>
      </w:r>
      <w:r w:rsidRPr="00584DBA">
        <w:t>4 Regulaminu Trybunału).</w:t>
      </w:r>
    </w:p>
    <w:p w14:paraId="7072BE89" w14:textId="77777777" w:rsidR="0051506F" w:rsidRPr="00584DBA" w:rsidRDefault="00775227" w:rsidP="00613515">
      <w:pPr>
        <w:pStyle w:val="JuHHead"/>
      </w:pPr>
      <w:r w:rsidRPr="00584DBA">
        <w:t>Z POWYŻSZYCH WZGLĘDÓW TRYBUNAŁ JEDNOGŁOŚNIE</w:t>
      </w:r>
    </w:p>
    <w:p w14:paraId="7D046ECC" w14:textId="77777777" w:rsidR="0051506F" w:rsidRPr="00584DBA" w:rsidRDefault="00775227" w:rsidP="00613515">
      <w:pPr>
        <w:pStyle w:val="JuList"/>
      </w:pPr>
      <w:r w:rsidRPr="00584DBA">
        <w:rPr>
          <w:i/>
          <w:iCs/>
        </w:rPr>
        <w:t>uznaje</w:t>
      </w:r>
      <w:r w:rsidRPr="00584DBA">
        <w:t xml:space="preserve"> skargę za dopuszczalną;</w:t>
      </w:r>
    </w:p>
    <w:p w14:paraId="2E1B9101" w14:textId="77777777" w:rsidR="0051506F" w:rsidRPr="00584DBA" w:rsidRDefault="00775227" w:rsidP="00613515">
      <w:pPr>
        <w:pStyle w:val="JuList"/>
      </w:pPr>
      <w:r w:rsidRPr="00584DBA">
        <w:rPr>
          <w:i/>
        </w:rPr>
        <w:t xml:space="preserve">uznaje, </w:t>
      </w:r>
      <w:r w:rsidRPr="00584DBA">
        <w:t>że doszło do naruszenia art. 1 Protokołu nr 1 do Konwencji;</w:t>
      </w:r>
    </w:p>
    <w:p w14:paraId="7296A7CE" w14:textId="77777777" w:rsidR="0051506F" w:rsidRPr="00584DBA" w:rsidRDefault="00775227" w:rsidP="00613515">
      <w:pPr>
        <w:pStyle w:val="JuList"/>
        <w:rPr>
          <w:iCs/>
        </w:rPr>
      </w:pPr>
      <w:r w:rsidRPr="00584DBA">
        <w:rPr>
          <w:i/>
        </w:rPr>
        <w:t>stwierdza</w:t>
      </w:r>
      <w:r w:rsidRPr="00584DBA">
        <w:t>, że kwestia zastosowania art. 41 Konwencji nie jest gotowa do rozstrzygnięcia i w związku z tym,</w:t>
      </w:r>
    </w:p>
    <w:p w14:paraId="18B07EE0" w14:textId="77777777" w:rsidR="0051506F" w:rsidRPr="00584DBA" w:rsidRDefault="00775227" w:rsidP="00613515">
      <w:pPr>
        <w:pStyle w:val="JuLista"/>
      </w:pPr>
      <w:r w:rsidRPr="00584DBA">
        <w:t>zastrzega sobie prawo do jej rozstrzygnięcia;</w:t>
      </w:r>
    </w:p>
    <w:p w14:paraId="460026B9" w14:textId="5A43E8A0" w:rsidR="0051506F" w:rsidRPr="00584DBA" w:rsidRDefault="00775227" w:rsidP="00613515">
      <w:pPr>
        <w:pStyle w:val="JuLista"/>
      </w:pPr>
      <w:r w:rsidRPr="00584DBA">
        <w:t>wzywa Rząd i skarżącego do przedstawienia, w ciągu trzech miesięcy od dnia, w którym wyrok stanie się ostateczny, zgodnie z art. 44 ust.</w:t>
      </w:r>
      <w:r w:rsidR="00897797">
        <w:t> </w:t>
      </w:r>
      <w:r w:rsidRPr="00584DBA">
        <w:t>2 Konwencji, swoich pisemnych uwag dotyczących wysokości odszkodowania, które ma być przyznane skarżącemu, w</w:t>
      </w:r>
      <w:r w:rsidR="00FD40B9">
        <w:t> </w:t>
      </w:r>
      <w:r w:rsidRPr="00584DBA">
        <w:t>szczególności do poinformowania Trybunału o ewentualnym zawartym przez nich porozumieniu;</w:t>
      </w:r>
    </w:p>
    <w:p w14:paraId="0EDA6EC3" w14:textId="7A401AB0" w:rsidR="004D0EC7" w:rsidRPr="00584DBA" w:rsidRDefault="00775227" w:rsidP="00613515">
      <w:pPr>
        <w:pStyle w:val="JuList"/>
      </w:pPr>
      <w:r w:rsidRPr="00584DBA">
        <w:rPr>
          <w:i/>
        </w:rPr>
        <w:t>zastrzega</w:t>
      </w:r>
      <w:r w:rsidRPr="00584DBA">
        <w:t xml:space="preserve"> sobie prawo do dalszego trybu postępowania i uprawnia Przewodniczącego Izby do jego określenia w razie konieczności.</w:t>
      </w:r>
    </w:p>
    <w:p w14:paraId="6CD7E35D" w14:textId="084CC69B" w:rsidR="008E3A08" w:rsidRPr="00584DBA" w:rsidRDefault="00775227" w:rsidP="00613515">
      <w:pPr>
        <w:pStyle w:val="JuParaLast"/>
      </w:pPr>
      <w:r w:rsidRPr="00584DBA">
        <w:t xml:space="preserve">Sporządzono w języku angielskim i obwieszczono pisemnie w dniu </w:t>
      </w:r>
      <w:r w:rsidRPr="00584DBA">
        <w:rPr>
          <w:rFonts w:ascii="Times New Roman" w:hAnsi="Times New Roman"/>
        </w:rPr>
        <w:t>5</w:t>
      </w:r>
      <w:r w:rsidR="00F372E9">
        <w:rPr>
          <w:rFonts w:ascii="Times New Roman" w:hAnsi="Times New Roman"/>
        </w:rPr>
        <w:t> </w:t>
      </w:r>
      <w:r w:rsidRPr="00584DBA">
        <w:rPr>
          <w:rFonts w:ascii="Times New Roman" w:hAnsi="Times New Roman"/>
        </w:rPr>
        <w:t>października 2023 r.</w:t>
      </w:r>
      <w:r w:rsidRPr="00584DBA">
        <w:t xml:space="preserve">, zgodnie z Regułą 77 </w:t>
      </w:r>
      <w:r w:rsidR="00F23758" w:rsidRPr="00584DBA">
        <w:t>§</w:t>
      </w:r>
      <w:r w:rsidRPr="00584DBA">
        <w:t>§ 2 i 3 Regulaminu Trybunału.</w:t>
      </w:r>
    </w:p>
    <w:p w14:paraId="313A4D4A" w14:textId="77777777" w:rsidR="007E79A4" w:rsidRPr="00584DBA" w:rsidRDefault="00775227" w:rsidP="00613515">
      <w:pPr>
        <w:pStyle w:val="ECHRPlaceholder"/>
        <w:rPr>
          <w:szCs w:val="22"/>
        </w:rPr>
      </w:pPr>
      <w:r w:rsidRPr="00584DBA">
        <w:tab/>
      </w:r>
    </w:p>
    <w:p w14:paraId="24B3D5F1" w14:textId="23B05FE5" w:rsidR="00182EBA" w:rsidRPr="00584DBA" w:rsidRDefault="00775227" w:rsidP="00887B96">
      <w:pPr>
        <w:pStyle w:val="JuSigned"/>
        <w:ind w:left="284" w:hanging="284"/>
      </w:pPr>
      <w:r w:rsidRPr="00584DBA">
        <w:tab/>
        <w:t xml:space="preserve">Renata </w:t>
      </w:r>
      <w:proofErr w:type="spellStart"/>
      <w:r w:rsidRPr="00584DBA">
        <w:t>Degener</w:t>
      </w:r>
      <w:proofErr w:type="spellEnd"/>
      <w:r w:rsidRPr="00584DBA">
        <w:t xml:space="preserve"> </w:t>
      </w:r>
      <w:r w:rsidRPr="00584DBA">
        <w:tab/>
        <w:t xml:space="preserve">Marko </w:t>
      </w:r>
      <w:proofErr w:type="spellStart"/>
      <w:r w:rsidRPr="00584DBA">
        <w:t>Bošnjak</w:t>
      </w:r>
      <w:proofErr w:type="spellEnd"/>
      <w:r w:rsidRPr="00584DBA">
        <w:br/>
        <w:t>Kanclerz</w:t>
      </w:r>
      <w:r w:rsidRPr="00584DBA">
        <w:tab/>
      </w:r>
      <w:r w:rsidR="00887B96" w:rsidRPr="00584DBA">
        <w:tab/>
      </w:r>
      <w:r w:rsidRPr="00584DBA">
        <w:t>Przewodniczący</w:t>
      </w:r>
    </w:p>
    <w:sectPr w:rsidR="00182EBA" w:rsidRPr="00584DBA"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133954" w14:textId="77777777" w:rsidR="007A608F" w:rsidRDefault="007A608F">
      <w:r>
        <w:separator/>
      </w:r>
    </w:p>
  </w:endnote>
  <w:endnote w:type="continuationSeparator" w:id="0">
    <w:p w14:paraId="6732C28D" w14:textId="77777777" w:rsidR="007A608F" w:rsidRDefault="007A60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libri-Italic">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895C7" w14:textId="77777777" w:rsidR="0051506F" w:rsidRPr="00150BFA" w:rsidRDefault="00775227" w:rsidP="0020718E">
    <w:pPr>
      <w:jc w:val="center"/>
    </w:pPr>
    <w:r>
      <w:rPr>
        <w:noProof/>
      </w:rPr>
      <w:drawing>
        <wp:inline distT="0" distB="0" distL="0" distR="0" wp14:anchorId="4DA29113" wp14:editId="70A469DB">
          <wp:extent cx="771525" cy="619125"/>
          <wp:effectExtent l="0" t="0" r="9525" b="9525"/>
          <wp:docPr id="1217204877" name="Obraz 121720487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1CC6E842" w14:textId="77777777" w:rsidR="0098410D" w:rsidRPr="00E67565" w:rsidRDefault="0098410D" w:rsidP="00AF12C5">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3719C" w14:textId="77777777" w:rsidR="0051506F" w:rsidRPr="00150BFA" w:rsidRDefault="00775227" w:rsidP="0020718E">
    <w:pPr>
      <w:jc w:val="center"/>
    </w:pPr>
    <w:r>
      <w:rPr>
        <w:noProof/>
      </w:rPr>
      <w:drawing>
        <wp:inline distT="0" distB="0" distL="0" distR="0" wp14:anchorId="030AB5A2" wp14:editId="4CE6C777">
          <wp:extent cx="771525" cy="619125"/>
          <wp:effectExtent l="0" t="0" r="9525" b="9525"/>
          <wp:docPr id="2053981109" name="Obraz 205398110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37EA687B" w14:textId="77777777" w:rsidR="009E7A6F" w:rsidRPr="00E67565" w:rsidRDefault="009E7A6F" w:rsidP="009E7A6F">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DFAFB" w14:textId="77777777" w:rsidR="00182EBA" w:rsidRDefault="00775227" w:rsidP="009A115C">
    <w:pPr>
      <w:pStyle w:val="JuHeader"/>
    </w:pPr>
    <w:r>
      <w:rPr>
        <w:rStyle w:val="Numerstrony"/>
      </w:rPr>
      <w:fldChar w:fldCharType="begin"/>
    </w:r>
    <w:r>
      <w:rPr>
        <w:rStyle w:val="Numerstrony"/>
      </w:rPr>
      <w:instrText xml:space="preserve"> PAGE </w:instrText>
    </w:r>
    <w:r>
      <w:rPr>
        <w:rStyle w:val="Numerstrony"/>
      </w:rPr>
      <w:fldChar w:fldCharType="separate"/>
    </w:r>
    <w:r>
      <w:rPr>
        <w:rStyle w:val="Numerstrony"/>
      </w:rPr>
      <w:t>4</w:t>
    </w:r>
    <w:r>
      <w:rPr>
        <w:rStyle w:val="Numerstrony"/>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46AAD" w14:textId="77777777" w:rsidR="00182EBA" w:rsidRPr="000B7195" w:rsidRDefault="00775227" w:rsidP="007D3701">
    <w:pPr>
      <w:pStyle w:val="JuHeader"/>
    </w:pPr>
    <w:r>
      <w:fldChar w:fldCharType="begin"/>
    </w:r>
    <w:r>
      <w:instrText xml:space="preserve"> PAGE </w:instrText>
    </w:r>
    <w:r>
      <w:fldChar w:fldCharType="separate"/>
    </w:r>
    <w: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124FC9" w14:textId="77777777" w:rsidR="007A608F" w:rsidRDefault="007A608F">
      <w:r>
        <w:separator/>
      </w:r>
    </w:p>
  </w:footnote>
  <w:footnote w:type="continuationSeparator" w:id="0">
    <w:p w14:paraId="0F6F670C" w14:textId="77777777" w:rsidR="007A608F" w:rsidRDefault="007A60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56E92" w14:textId="77777777" w:rsidR="0051506F" w:rsidRPr="00A45145" w:rsidRDefault="00775227" w:rsidP="00A45145">
    <w:pPr>
      <w:jc w:val="center"/>
    </w:pPr>
    <w:r>
      <w:rPr>
        <w:noProof/>
      </w:rPr>
      <w:drawing>
        <wp:inline distT="0" distB="0" distL="0" distR="0" wp14:anchorId="3F33400B" wp14:editId="2C2CCC33">
          <wp:extent cx="2962275" cy="1219200"/>
          <wp:effectExtent l="0" t="0" r="9525" b="0"/>
          <wp:docPr id="2058776263" name="Obraz 205877626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492FD8F7" w14:textId="77777777" w:rsidR="0098410D" w:rsidRPr="00E67565" w:rsidRDefault="0098410D" w:rsidP="00B14793">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D72FD" w14:textId="77777777" w:rsidR="0051506F" w:rsidRPr="00A45145" w:rsidRDefault="00775227" w:rsidP="00A45145">
    <w:pPr>
      <w:jc w:val="center"/>
    </w:pPr>
    <w:r>
      <w:rPr>
        <w:noProof/>
      </w:rPr>
      <w:drawing>
        <wp:inline distT="0" distB="0" distL="0" distR="0" wp14:anchorId="6E7DDC3C" wp14:editId="6D76D65E">
          <wp:extent cx="2962275" cy="1219200"/>
          <wp:effectExtent l="0" t="0" r="9525" b="0"/>
          <wp:docPr id="93993736" name="Obraz 9399373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0B4136AB" w14:textId="77777777" w:rsidR="0098410D" w:rsidRPr="00E67565" w:rsidRDefault="0098410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8497E" w14:textId="37CD4BD9" w:rsidR="00182EBA" w:rsidRPr="004D0EC7" w:rsidRDefault="00775227" w:rsidP="004D0EC7">
    <w:pPr>
      <w:pStyle w:val="JuHeader"/>
    </w:pPr>
    <w:r>
      <w:t>WYROK W SPRAWIE ANDRZEJ RUCIŃSKI PRZECIWKO POLSCE (</w:t>
    </w:r>
    <w:r w:rsidR="00E65583" w:rsidRPr="00E65583">
      <w:t>PRZEDMIOT SKARGI</w:t>
    </w:r>
    <w:r>
      <w: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CE035" w14:textId="59E3A0F7" w:rsidR="00182EBA" w:rsidRPr="00882CD5" w:rsidRDefault="00775227" w:rsidP="007D3701">
    <w:pPr>
      <w:pStyle w:val="JuHeader"/>
    </w:pPr>
    <w:r>
      <w:t>WYROK W SPRAWIE ANDRZEJ RUCIŃSKI PRZECIWKO POLSCE (</w:t>
    </w:r>
    <w:r w:rsidR="005B53CD" w:rsidRPr="005B53CD">
      <w:t>PRZEDMIOT SKARGI</w:t>
    </w: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D3CCB8A8">
      <w:start w:val="1"/>
      <w:numFmt w:val="bullet"/>
      <w:pStyle w:val="Listapunktowana"/>
      <w:lvlText w:val=""/>
      <w:lvlJc w:val="left"/>
      <w:pPr>
        <w:tabs>
          <w:tab w:val="num" w:pos="851"/>
        </w:tabs>
        <w:ind w:left="568" w:firstLine="0"/>
      </w:pPr>
      <w:rPr>
        <w:rFonts w:ascii="Wingdings" w:hAnsi="Wingdings" w:hint="default"/>
        <w:color w:val="808080"/>
        <w:sz w:val="16"/>
      </w:rPr>
    </w:lvl>
    <w:lvl w:ilvl="1" w:tplc="A2F06304" w:tentative="1">
      <w:start w:val="1"/>
      <w:numFmt w:val="bullet"/>
      <w:lvlText w:val="o"/>
      <w:lvlJc w:val="left"/>
      <w:pPr>
        <w:tabs>
          <w:tab w:val="num" w:pos="1724"/>
        </w:tabs>
        <w:ind w:left="1724" w:hanging="360"/>
      </w:pPr>
      <w:rPr>
        <w:rFonts w:ascii="Courier New" w:hAnsi="Courier New" w:cs="Courier New" w:hint="default"/>
      </w:rPr>
    </w:lvl>
    <w:lvl w:ilvl="2" w:tplc="09A6A3B4" w:tentative="1">
      <w:start w:val="1"/>
      <w:numFmt w:val="bullet"/>
      <w:lvlText w:val=""/>
      <w:lvlJc w:val="left"/>
      <w:pPr>
        <w:tabs>
          <w:tab w:val="num" w:pos="2444"/>
        </w:tabs>
        <w:ind w:left="2444" w:hanging="360"/>
      </w:pPr>
      <w:rPr>
        <w:rFonts w:ascii="Wingdings" w:hAnsi="Wingdings" w:hint="default"/>
      </w:rPr>
    </w:lvl>
    <w:lvl w:ilvl="3" w:tplc="DA9C203C" w:tentative="1">
      <w:start w:val="1"/>
      <w:numFmt w:val="bullet"/>
      <w:lvlText w:val=""/>
      <w:lvlJc w:val="left"/>
      <w:pPr>
        <w:tabs>
          <w:tab w:val="num" w:pos="3164"/>
        </w:tabs>
        <w:ind w:left="3164" w:hanging="360"/>
      </w:pPr>
      <w:rPr>
        <w:rFonts w:ascii="Symbol" w:hAnsi="Symbol" w:hint="default"/>
      </w:rPr>
    </w:lvl>
    <w:lvl w:ilvl="4" w:tplc="EB0E3A2A" w:tentative="1">
      <w:start w:val="1"/>
      <w:numFmt w:val="bullet"/>
      <w:lvlText w:val="o"/>
      <w:lvlJc w:val="left"/>
      <w:pPr>
        <w:tabs>
          <w:tab w:val="num" w:pos="3884"/>
        </w:tabs>
        <w:ind w:left="3884" w:hanging="360"/>
      </w:pPr>
      <w:rPr>
        <w:rFonts w:ascii="Courier New" w:hAnsi="Courier New" w:cs="Courier New" w:hint="default"/>
      </w:rPr>
    </w:lvl>
    <w:lvl w:ilvl="5" w:tplc="AF467C5E" w:tentative="1">
      <w:start w:val="1"/>
      <w:numFmt w:val="bullet"/>
      <w:lvlText w:val=""/>
      <w:lvlJc w:val="left"/>
      <w:pPr>
        <w:tabs>
          <w:tab w:val="num" w:pos="4604"/>
        </w:tabs>
        <w:ind w:left="4604" w:hanging="360"/>
      </w:pPr>
      <w:rPr>
        <w:rFonts w:ascii="Wingdings" w:hAnsi="Wingdings" w:hint="default"/>
      </w:rPr>
    </w:lvl>
    <w:lvl w:ilvl="6" w:tplc="9EDCF8F4" w:tentative="1">
      <w:start w:val="1"/>
      <w:numFmt w:val="bullet"/>
      <w:lvlText w:val=""/>
      <w:lvlJc w:val="left"/>
      <w:pPr>
        <w:tabs>
          <w:tab w:val="num" w:pos="5324"/>
        </w:tabs>
        <w:ind w:left="5324" w:hanging="360"/>
      </w:pPr>
      <w:rPr>
        <w:rFonts w:ascii="Symbol" w:hAnsi="Symbol" w:hint="default"/>
      </w:rPr>
    </w:lvl>
    <w:lvl w:ilvl="7" w:tplc="2F0AF2C4" w:tentative="1">
      <w:start w:val="1"/>
      <w:numFmt w:val="bullet"/>
      <w:lvlText w:val="o"/>
      <w:lvlJc w:val="left"/>
      <w:pPr>
        <w:tabs>
          <w:tab w:val="num" w:pos="6044"/>
        </w:tabs>
        <w:ind w:left="6044" w:hanging="360"/>
      </w:pPr>
      <w:rPr>
        <w:rFonts w:ascii="Courier New" w:hAnsi="Courier New" w:cs="Courier New" w:hint="default"/>
      </w:rPr>
    </w:lvl>
    <w:lvl w:ilvl="8" w:tplc="101ED1BE" w:tentative="1">
      <w:start w:val="1"/>
      <w:numFmt w:val="bullet"/>
      <w:lvlText w:val=""/>
      <w:lvlJc w:val="left"/>
      <w:pPr>
        <w:tabs>
          <w:tab w:val="num" w:pos="6764"/>
        </w:tabs>
        <w:ind w:left="6764" w:hanging="360"/>
      </w:pPr>
      <w:rPr>
        <w:rFonts w:ascii="Wingdings" w:hAnsi="Wingdings" w:hint="default"/>
      </w:rPr>
    </w:lvl>
  </w:abstractNum>
  <w:num w:numId="1" w16cid:durableId="696739579">
    <w:abstractNumId w:val="14"/>
  </w:num>
  <w:num w:numId="2" w16cid:durableId="1606646650">
    <w:abstractNumId w:val="12"/>
  </w:num>
  <w:num w:numId="3" w16cid:durableId="2079278067">
    <w:abstractNumId w:val="11"/>
  </w:num>
  <w:num w:numId="4" w16cid:durableId="1784961316">
    <w:abstractNumId w:val="17"/>
  </w:num>
  <w:num w:numId="5" w16cid:durableId="650594526">
    <w:abstractNumId w:val="7"/>
  </w:num>
  <w:num w:numId="6" w16cid:durableId="1017317110">
    <w:abstractNumId w:val="6"/>
  </w:num>
  <w:num w:numId="7" w16cid:durableId="475489144">
    <w:abstractNumId w:val="5"/>
  </w:num>
  <w:num w:numId="8" w16cid:durableId="1011447891">
    <w:abstractNumId w:val="4"/>
  </w:num>
  <w:num w:numId="9" w16cid:durableId="1373992311">
    <w:abstractNumId w:val="8"/>
  </w:num>
  <w:num w:numId="10" w16cid:durableId="840510823">
    <w:abstractNumId w:val="3"/>
  </w:num>
  <w:num w:numId="11" w16cid:durableId="808398676">
    <w:abstractNumId w:val="2"/>
  </w:num>
  <w:num w:numId="12" w16cid:durableId="396363847">
    <w:abstractNumId w:val="1"/>
  </w:num>
  <w:num w:numId="13" w16cid:durableId="1408192854">
    <w:abstractNumId w:val="0"/>
  </w:num>
  <w:num w:numId="14" w16cid:durableId="503399280">
    <w:abstractNumId w:val="15"/>
  </w:num>
  <w:num w:numId="15" w16cid:durableId="171187446">
    <w:abstractNumId w:val="13"/>
  </w:num>
  <w:num w:numId="16" w16cid:durableId="483082145">
    <w:abstractNumId w:val="16"/>
  </w:num>
  <w:num w:numId="17" w16cid:durableId="294914553">
    <w:abstractNumId w:val="15"/>
  </w:num>
  <w:num w:numId="18" w16cid:durableId="281032797">
    <w:abstractNumId w:val="16"/>
  </w:num>
  <w:num w:numId="19" w16cid:durableId="1604067329">
    <w:abstractNumId w:val="10"/>
  </w:num>
  <w:num w:numId="20" w16cid:durableId="903561517">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NBEMMDOC" w:val="0"/>
    <w:docVar w:name="Plural" w:val="0"/>
  </w:docVars>
  <w:rsids>
    <w:rsidRoot w:val="0051506F"/>
    <w:rsid w:val="000041F8"/>
    <w:rsid w:val="000042A8"/>
    <w:rsid w:val="00004308"/>
    <w:rsid w:val="00005BF0"/>
    <w:rsid w:val="0000617D"/>
    <w:rsid w:val="00007154"/>
    <w:rsid w:val="000103AE"/>
    <w:rsid w:val="00011D69"/>
    <w:rsid w:val="00012AD3"/>
    <w:rsid w:val="00015C2D"/>
    <w:rsid w:val="00015F00"/>
    <w:rsid w:val="000167A1"/>
    <w:rsid w:val="00022C1D"/>
    <w:rsid w:val="0002592F"/>
    <w:rsid w:val="000278D5"/>
    <w:rsid w:val="00031428"/>
    <w:rsid w:val="00034987"/>
    <w:rsid w:val="00041560"/>
    <w:rsid w:val="000478ED"/>
    <w:rsid w:val="000602DF"/>
    <w:rsid w:val="00061B05"/>
    <w:rsid w:val="000632D5"/>
    <w:rsid w:val="000644EE"/>
    <w:rsid w:val="00065B75"/>
    <w:rsid w:val="00071276"/>
    <w:rsid w:val="000712E3"/>
    <w:rsid w:val="00076857"/>
    <w:rsid w:val="0007780A"/>
    <w:rsid w:val="00082C62"/>
    <w:rsid w:val="00084FC1"/>
    <w:rsid w:val="00085457"/>
    <w:rsid w:val="00086F3D"/>
    <w:rsid w:val="000925AD"/>
    <w:rsid w:val="00092EED"/>
    <w:rsid w:val="00096FE1"/>
    <w:rsid w:val="00097A62"/>
    <w:rsid w:val="000A24EB"/>
    <w:rsid w:val="000B64C3"/>
    <w:rsid w:val="000B686A"/>
    <w:rsid w:val="000B6923"/>
    <w:rsid w:val="000B7195"/>
    <w:rsid w:val="000C5F3C"/>
    <w:rsid w:val="000C6C70"/>
    <w:rsid w:val="000C6DCC"/>
    <w:rsid w:val="000D47AA"/>
    <w:rsid w:val="000D721F"/>
    <w:rsid w:val="000E069B"/>
    <w:rsid w:val="000E0E82"/>
    <w:rsid w:val="000E1DC5"/>
    <w:rsid w:val="000E223F"/>
    <w:rsid w:val="000E46B8"/>
    <w:rsid w:val="000E52E7"/>
    <w:rsid w:val="000E7D45"/>
    <w:rsid w:val="000F52F4"/>
    <w:rsid w:val="000F7851"/>
    <w:rsid w:val="00101505"/>
    <w:rsid w:val="00104E23"/>
    <w:rsid w:val="0010790F"/>
    <w:rsid w:val="00110DA8"/>
    <w:rsid w:val="00111B0C"/>
    <w:rsid w:val="00120D6C"/>
    <w:rsid w:val="00123D0B"/>
    <w:rsid w:val="001257EC"/>
    <w:rsid w:val="00126AFF"/>
    <w:rsid w:val="00126BDA"/>
    <w:rsid w:val="00130683"/>
    <w:rsid w:val="00133D33"/>
    <w:rsid w:val="00134B6A"/>
    <w:rsid w:val="00134D64"/>
    <w:rsid w:val="00135A30"/>
    <w:rsid w:val="0013612C"/>
    <w:rsid w:val="00137FF6"/>
    <w:rsid w:val="00141650"/>
    <w:rsid w:val="00141ABF"/>
    <w:rsid w:val="00145427"/>
    <w:rsid w:val="00145859"/>
    <w:rsid w:val="00150BFA"/>
    <w:rsid w:val="001561B6"/>
    <w:rsid w:val="00162A12"/>
    <w:rsid w:val="00163C5F"/>
    <w:rsid w:val="00164AC8"/>
    <w:rsid w:val="00166530"/>
    <w:rsid w:val="00170027"/>
    <w:rsid w:val="001734F1"/>
    <w:rsid w:val="00182EBA"/>
    <w:rsid w:val="001832BD"/>
    <w:rsid w:val="00191A91"/>
    <w:rsid w:val="001943B5"/>
    <w:rsid w:val="00195134"/>
    <w:rsid w:val="001A020C"/>
    <w:rsid w:val="001A145B"/>
    <w:rsid w:val="001A3E09"/>
    <w:rsid w:val="001A674C"/>
    <w:rsid w:val="001B3B24"/>
    <w:rsid w:val="001B66B6"/>
    <w:rsid w:val="001C055B"/>
    <w:rsid w:val="001C0F98"/>
    <w:rsid w:val="001C1C1E"/>
    <w:rsid w:val="001C2A42"/>
    <w:rsid w:val="001C304F"/>
    <w:rsid w:val="001C4F46"/>
    <w:rsid w:val="001D63ED"/>
    <w:rsid w:val="001D7348"/>
    <w:rsid w:val="001E035B"/>
    <w:rsid w:val="001E0961"/>
    <w:rsid w:val="001E3EAE"/>
    <w:rsid w:val="001E6857"/>
    <w:rsid w:val="001E6F32"/>
    <w:rsid w:val="001F2145"/>
    <w:rsid w:val="001F5D2D"/>
    <w:rsid w:val="001F6262"/>
    <w:rsid w:val="001F67B0"/>
    <w:rsid w:val="001F7B3D"/>
    <w:rsid w:val="00202752"/>
    <w:rsid w:val="0020335A"/>
    <w:rsid w:val="002052BC"/>
    <w:rsid w:val="00205F9F"/>
    <w:rsid w:val="0020718E"/>
    <w:rsid w:val="00210338"/>
    <w:rsid w:val="002115FC"/>
    <w:rsid w:val="002118EE"/>
    <w:rsid w:val="0021423C"/>
    <w:rsid w:val="002167A7"/>
    <w:rsid w:val="00226C89"/>
    <w:rsid w:val="00230D00"/>
    <w:rsid w:val="00231DF7"/>
    <w:rsid w:val="00231FD1"/>
    <w:rsid w:val="002339E0"/>
    <w:rsid w:val="00233CF8"/>
    <w:rsid w:val="0023575D"/>
    <w:rsid w:val="00237148"/>
    <w:rsid w:val="0024222D"/>
    <w:rsid w:val="002422B6"/>
    <w:rsid w:val="00244B0E"/>
    <w:rsid w:val="00244F6C"/>
    <w:rsid w:val="00245CCE"/>
    <w:rsid w:val="00246B89"/>
    <w:rsid w:val="00247C65"/>
    <w:rsid w:val="00251FF4"/>
    <w:rsid w:val="00252C4E"/>
    <w:rsid w:val="002532C5"/>
    <w:rsid w:val="00253B61"/>
    <w:rsid w:val="00254DF2"/>
    <w:rsid w:val="00260C03"/>
    <w:rsid w:val="00264123"/>
    <w:rsid w:val="0026439A"/>
    <w:rsid w:val="0026540E"/>
    <w:rsid w:val="002715EC"/>
    <w:rsid w:val="00275123"/>
    <w:rsid w:val="00281B7C"/>
    <w:rsid w:val="00282240"/>
    <w:rsid w:val="00282BD8"/>
    <w:rsid w:val="00287AD5"/>
    <w:rsid w:val="002934D0"/>
    <w:rsid w:val="00293676"/>
    <w:rsid w:val="00293BD9"/>
    <w:rsid w:val="00293CD1"/>
    <w:rsid w:val="002948AD"/>
    <w:rsid w:val="002957E0"/>
    <w:rsid w:val="002A01CC"/>
    <w:rsid w:val="002A613A"/>
    <w:rsid w:val="002A61B1"/>
    <w:rsid w:val="002A663C"/>
    <w:rsid w:val="002A6C95"/>
    <w:rsid w:val="002B444B"/>
    <w:rsid w:val="002B4B14"/>
    <w:rsid w:val="002B5887"/>
    <w:rsid w:val="002B5B43"/>
    <w:rsid w:val="002B758E"/>
    <w:rsid w:val="002C0E27"/>
    <w:rsid w:val="002C0F67"/>
    <w:rsid w:val="002C3040"/>
    <w:rsid w:val="002C4433"/>
    <w:rsid w:val="002C5ADD"/>
    <w:rsid w:val="002C7826"/>
    <w:rsid w:val="002D022D"/>
    <w:rsid w:val="002D24BB"/>
    <w:rsid w:val="002D2FA7"/>
    <w:rsid w:val="002D47BA"/>
    <w:rsid w:val="002D77B9"/>
    <w:rsid w:val="002E46DA"/>
    <w:rsid w:val="002E4A53"/>
    <w:rsid w:val="002E7764"/>
    <w:rsid w:val="002F2AF7"/>
    <w:rsid w:val="002F69C4"/>
    <w:rsid w:val="002F7D9E"/>
    <w:rsid w:val="002F7E1C"/>
    <w:rsid w:val="00301A75"/>
    <w:rsid w:val="00302F70"/>
    <w:rsid w:val="0030336F"/>
    <w:rsid w:val="0030375E"/>
    <w:rsid w:val="00312A30"/>
    <w:rsid w:val="003201D8"/>
    <w:rsid w:val="00320F72"/>
    <w:rsid w:val="0032463E"/>
    <w:rsid w:val="00325A26"/>
    <w:rsid w:val="00326224"/>
    <w:rsid w:val="00337EE4"/>
    <w:rsid w:val="00340FFD"/>
    <w:rsid w:val="00345C41"/>
    <w:rsid w:val="003506B1"/>
    <w:rsid w:val="00355877"/>
    <w:rsid w:val="00356AC7"/>
    <w:rsid w:val="003609FA"/>
    <w:rsid w:val="003710C8"/>
    <w:rsid w:val="003750BE"/>
    <w:rsid w:val="00385A36"/>
    <w:rsid w:val="00385F3D"/>
    <w:rsid w:val="003865A6"/>
    <w:rsid w:val="0038740C"/>
    <w:rsid w:val="00387B9D"/>
    <w:rsid w:val="00387C70"/>
    <w:rsid w:val="00390294"/>
    <w:rsid w:val="0039364F"/>
    <w:rsid w:val="00396686"/>
    <w:rsid w:val="0039778E"/>
    <w:rsid w:val="003A0463"/>
    <w:rsid w:val="003A3307"/>
    <w:rsid w:val="003A465E"/>
    <w:rsid w:val="003A7965"/>
    <w:rsid w:val="003B4941"/>
    <w:rsid w:val="003C057B"/>
    <w:rsid w:val="003C5714"/>
    <w:rsid w:val="003C6B9F"/>
    <w:rsid w:val="003C6E2A"/>
    <w:rsid w:val="003D0299"/>
    <w:rsid w:val="003E6D80"/>
    <w:rsid w:val="003E7BCC"/>
    <w:rsid w:val="003F05FA"/>
    <w:rsid w:val="003F244A"/>
    <w:rsid w:val="003F2517"/>
    <w:rsid w:val="003F30B8"/>
    <w:rsid w:val="003F4C45"/>
    <w:rsid w:val="003F5F7B"/>
    <w:rsid w:val="003F7D64"/>
    <w:rsid w:val="0040433A"/>
    <w:rsid w:val="00411EBA"/>
    <w:rsid w:val="00414300"/>
    <w:rsid w:val="00414F27"/>
    <w:rsid w:val="00420703"/>
    <w:rsid w:val="00425C67"/>
    <w:rsid w:val="00427E7A"/>
    <w:rsid w:val="004355AC"/>
    <w:rsid w:val="00436C49"/>
    <w:rsid w:val="00440A2E"/>
    <w:rsid w:val="00443D98"/>
    <w:rsid w:val="00445366"/>
    <w:rsid w:val="00447F5B"/>
    <w:rsid w:val="0045645E"/>
    <w:rsid w:val="00461DB0"/>
    <w:rsid w:val="00463926"/>
    <w:rsid w:val="00464726"/>
    <w:rsid w:val="00464AB7"/>
    <w:rsid w:val="00464C9A"/>
    <w:rsid w:val="00465926"/>
    <w:rsid w:val="00472189"/>
    <w:rsid w:val="0047226B"/>
    <w:rsid w:val="00474F3D"/>
    <w:rsid w:val="00477E3A"/>
    <w:rsid w:val="00483E5F"/>
    <w:rsid w:val="00485FF9"/>
    <w:rsid w:val="0049049B"/>
    <w:rsid w:val="004907F0"/>
    <w:rsid w:val="0049140B"/>
    <w:rsid w:val="004923A5"/>
    <w:rsid w:val="0049310E"/>
    <w:rsid w:val="004950E2"/>
    <w:rsid w:val="00496BFB"/>
    <w:rsid w:val="004A0115"/>
    <w:rsid w:val="004A15C7"/>
    <w:rsid w:val="004A3201"/>
    <w:rsid w:val="004A7044"/>
    <w:rsid w:val="004A79B9"/>
    <w:rsid w:val="004B013B"/>
    <w:rsid w:val="004B112B"/>
    <w:rsid w:val="004B444E"/>
    <w:rsid w:val="004C01E4"/>
    <w:rsid w:val="004C086C"/>
    <w:rsid w:val="004C1F56"/>
    <w:rsid w:val="004C27BC"/>
    <w:rsid w:val="004C65D9"/>
    <w:rsid w:val="004C6621"/>
    <w:rsid w:val="004C7B02"/>
    <w:rsid w:val="004C7E9C"/>
    <w:rsid w:val="004D0EC7"/>
    <w:rsid w:val="004D15F3"/>
    <w:rsid w:val="004D3B3D"/>
    <w:rsid w:val="004D4EF1"/>
    <w:rsid w:val="004D5311"/>
    <w:rsid w:val="004D5DCC"/>
    <w:rsid w:val="004D7E45"/>
    <w:rsid w:val="004F10AF"/>
    <w:rsid w:val="004F11A4"/>
    <w:rsid w:val="004F2389"/>
    <w:rsid w:val="004F304D"/>
    <w:rsid w:val="004F4290"/>
    <w:rsid w:val="004F4737"/>
    <w:rsid w:val="004F594D"/>
    <w:rsid w:val="004F5BA4"/>
    <w:rsid w:val="004F61BE"/>
    <w:rsid w:val="004F66B1"/>
    <w:rsid w:val="00505F69"/>
    <w:rsid w:val="005118F5"/>
    <w:rsid w:val="00511C07"/>
    <w:rsid w:val="005125CB"/>
    <w:rsid w:val="00512EC4"/>
    <w:rsid w:val="0051506F"/>
    <w:rsid w:val="005151A5"/>
    <w:rsid w:val="0051725A"/>
    <w:rsid w:val="005173A6"/>
    <w:rsid w:val="00517BB8"/>
    <w:rsid w:val="00520354"/>
    <w:rsid w:val="00520BAA"/>
    <w:rsid w:val="005217D8"/>
    <w:rsid w:val="00523C03"/>
    <w:rsid w:val="00524B80"/>
    <w:rsid w:val="00525208"/>
    <w:rsid w:val="005257A5"/>
    <w:rsid w:val="005264C0"/>
    <w:rsid w:val="00526A8A"/>
    <w:rsid w:val="00527FB1"/>
    <w:rsid w:val="005300B1"/>
    <w:rsid w:val="00530FE6"/>
    <w:rsid w:val="00531DF2"/>
    <w:rsid w:val="0053315C"/>
    <w:rsid w:val="00533D7F"/>
    <w:rsid w:val="00537476"/>
    <w:rsid w:val="005442EE"/>
    <w:rsid w:val="00545DA6"/>
    <w:rsid w:val="00547353"/>
    <w:rsid w:val="005474E7"/>
    <w:rsid w:val="005512A3"/>
    <w:rsid w:val="005578CE"/>
    <w:rsid w:val="00562489"/>
    <w:rsid w:val="00562781"/>
    <w:rsid w:val="00562B6C"/>
    <w:rsid w:val="0057271C"/>
    <w:rsid w:val="00572845"/>
    <w:rsid w:val="00584583"/>
    <w:rsid w:val="00584DBA"/>
    <w:rsid w:val="005879A2"/>
    <w:rsid w:val="00592772"/>
    <w:rsid w:val="0059574A"/>
    <w:rsid w:val="005A1B9B"/>
    <w:rsid w:val="005A2221"/>
    <w:rsid w:val="005A2E79"/>
    <w:rsid w:val="005A6751"/>
    <w:rsid w:val="005B092E"/>
    <w:rsid w:val="005B152C"/>
    <w:rsid w:val="005B1EE0"/>
    <w:rsid w:val="005B2B24"/>
    <w:rsid w:val="005B4425"/>
    <w:rsid w:val="005B4B94"/>
    <w:rsid w:val="005B53CD"/>
    <w:rsid w:val="005C2C62"/>
    <w:rsid w:val="005C3EE8"/>
    <w:rsid w:val="005D2F2A"/>
    <w:rsid w:val="005D34F9"/>
    <w:rsid w:val="005D4190"/>
    <w:rsid w:val="005D46B1"/>
    <w:rsid w:val="005D5C29"/>
    <w:rsid w:val="005D67A3"/>
    <w:rsid w:val="005E2988"/>
    <w:rsid w:val="005E2D70"/>
    <w:rsid w:val="005E3085"/>
    <w:rsid w:val="005E3869"/>
    <w:rsid w:val="005E38F0"/>
    <w:rsid w:val="005F0EB3"/>
    <w:rsid w:val="005F51E1"/>
    <w:rsid w:val="00603B92"/>
    <w:rsid w:val="00611C80"/>
    <w:rsid w:val="00613515"/>
    <w:rsid w:val="00620692"/>
    <w:rsid w:val="0062101B"/>
    <w:rsid w:val="006231DD"/>
    <w:rsid w:val="006242CA"/>
    <w:rsid w:val="00627507"/>
    <w:rsid w:val="006334FD"/>
    <w:rsid w:val="00633717"/>
    <w:rsid w:val="00633D33"/>
    <w:rsid w:val="006344E1"/>
    <w:rsid w:val="006349E1"/>
    <w:rsid w:val="00634BA0"/>
    <w:rsid w:val="0063502C"/>
    <w:rsid w:val="00640A3B"/>
    <w:rsid w:val="00643524"/>
    <w:rsid w:val="0064393B"/>
    <w:rsid w:val="00643F6E"/>
    <w:rsid w:val="00645CF2"/>
    <w:rsid w:val="006545C4"/>
    <w:rsid w:val="00656722"/>
    <w:rsid w:val="00661971"/>
    <w:rsid w:val="00661CE8"/>
    <w:rsid w:val="00661EE7"/>
    <w:rsid w:val="006623D9"/>
    <w:rsid w:val="006642A5"/>
    <w:rsid w:val="006647BE"/>
    <w:rsid w:val="0066550C"/>
    <w:rsid w:val="00665BD2"/>
    <w:rsid w:val="006716F2"/>
    <w:rsid w:val="00675AF2"/>
    <w:rsid w:val="00675F9F"/>
    <w:rsid w:val="00682BF2"/>
    <w:rsid w:val="0068573E"/>
    <w:rsid w:val="006859CE"/>
    <w:rsid w:val="00691270"/>
    <w:rsid w:val="0069482F"/>
    <w:rsid w:val="00694BA8"/>
    <w:rsid w:val="006A037C"/>
    <w:rsid w:val="006A06E1"/>
    <w:rsid w:val="006A0C84"/>
    <w:rsid w:val="006A0D33"/>
    <w:rsid w:val="006A36F4"/>
    <w:rsid w:val="006A406F"/>
    <w:rsid w:val="006A4E97"/>
    <w:rsid w:val="006A5D3A"/>
    <w:rsid w:val="006B058B"/>
    <w:rsid w:val="006B1942"/>
    <w:rsid w:val="006B577D"/>
    <w:rsid w:val="006C23D4"/>
    <w:rsid w:val="006C7BB0"/>
    <w:rsid w:val="006D29AD"/>
    <w:rsid w:val="006D3237"/>
    <w:rsid w:val="006E2E37"/>
    <w:rsid w:val="006E3CF1"/>
    <w:rsid w:val="006E68A3"/>
    <w:rsid w:val="006E7E80"/>
    <w:rsid w:val="006F1C2D"/>
    <w:rsid w:val="006F48CA"/>
    <w:rsid w:val="006F64DD"/>
    <w:rsid w:val="006F712D"/>
    <w:rsid w:val="00715127"/>
    <w:rsid w:val="00715E8E"/>
    <w:rsid w:val="00723580"/>
    <w:rsid w:val="00723755"/>
    <w:rsid w:val="00726421"/>
    <w:rsid w:val="0073136C"/>
    <w:rsid w:val="00731F0F"/>
    <w:rsid w:val="00733250"/>
    <w:rsid w:val="00734822"/>
    <w:rsid w:val="00741404"/>
    <w:rsid w:val="007449E5"/>
    <w:rsid w:val="0074750E"/>
    <w:rsid w:val="00747FF0"/>
    <w:rsid w:val="007503BB"/>
    <w:rsid w:val="00751066"/>
    <w:rsid w:val="0075566E"/>
    <w:rsid w:val="00763602"/>
    <w:rsid w:val="00764D4E"/>
    <w:rsid w:val="00765A1F"/>
    <w:rsid w:val="00767893"/>
    <w:rsid w:val="00773338"/>
    <w:rsid w:val="0077426C"/>
    <w:rsid w:val="00775227"/>
    <w:rsid w:val="00775B6D"/>
    <w:rsid w:val="00776D68"/>
    <w:rsid w:val="00781140"/>
    <w:rsid w:val="0078323E"/>
    <w:rsid w:val="00784571"/>
    <w:rsid w:val="007849C2"/>
    <w:rsid w:val="007850EE"/>
    <w:rsid w:val="00785B95"/>
    <w:rsid w:val="00790E96"/>
    <w:rsid w:val="007926FD"/>
    <w:rsid w:val="00792861"/>
    <w:rsid w:val="00793366"/>
    <w:rsid w:val="0079666C"/>
    <w:rsid w:val="007A01F6"/>
    <w:rsid w:val="007A608F"/>
    <w:rsid w:val="007A716F"/>
    <w:rsid w:val="007B270A"/>
    <w:rsid w:val="007B4182"/>
    <w:rsid w:val="007C0695"/>
    <w:rsid w:val="007C419A"/>
    <w:rsid w:val="007C4CC8"/>
    <w:rsid w:val="007C5426"/>
    <w:rsid w:val="007C5798"/>
    <w:rsid w:val="007D0D0B"/>
    <w:rsid w:val="007D1ECD"/>
    <w:rsid w:val="007D3701"/>
    <w:rsid w:val="007D4832"/>
    <w:rsid w:val="007E21B2"/>
    <w:rsid w:val="007E2C4E"/>
    <w:rsid w:val="007E2C8C"/>
    <w:rsid w:val="007E36C2"/>
    <w:rsid w:val="007E40E9"/>
    <w:rsid w:val="007E51BA"/>
    <w:rsid w:val="007E73D7"/>
    <w:rsid w:val="007E79A4"/>
    <w:rsid w:val="007F15E7"/>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38FD"/>
    <w:rsid w:val="00834220"/>
    <w:rsid w:val="00835F52"/>
    <w:rsid w:val="00845723"/>
    <w:rsid w:val="008519E7"/>
    <w:rsid w:val="00851EF9"/>
    <w:rsid w:val="0085648D"/>
    <w:rsid w:val="0085761A"/>
    <w:rsid w:val="008577FD"/>
    <w:rsid w:val="00860B03"/>
    <w:rsid w:val="0086497A"/>
    <w:rsid w:val="0086538E"/>
    <w:rsid w:val="00867066"/>
    <w:rsid w:val="008670C2"/>
    <w:rsid w:val="00867841"/>
    <w:rsid w:val="008713A1"/>
    <w:rsid w:val="00872584"/>
    <w:rsid w:val="00872737"/>
    <w:rsid w:val="008754AB"/>
    <w:rsid w:val="0088033F"/>
    <w:rsid w:val="0088060C"/>
    <w:rsid w:val="00880BCA"/>
    <w:rsid w:val="00882CD5"/>
    <w:rsid w:val="00883151"/>
    <w:rsid w:val="00887B96"/>
    <w:rsid w:val="00891479"/>
    <w:rsid w:val="00893576"/>
    <w:rsid w:val="00893E73"/>
    <w:rsid w:val="00897797"/>
    <w:rsid w:val="008A484B"/>
    <w:rsid w:val="008B02DC"/>
    <w:rsid w:val="008B092C"/>
    <w:rsid w:val="008B31A5"/>
    <w:rsid w:val="008B57CE"/>
    <w:rsid w:val="008C0657"/>
    <w:rsid w:val="008C26DE"/>
    <w:rsid w:val="008C65C5"/>
    <w:rsid w:val="008D1668"/>
    <w:rsid w:val="008D1720"/>
    <w:rsid w:val="008D2225"/>
    <w:rsid w:val="008D4752"/>
    <w:rsid w:val="008D5A13"/>
    <w:rsid w:val="008E271C"/>
    <w:rsid w:val="008E3A08"/>
    <w:rsid w:val="008E418E"/>
    <w:rsid w:val="008E5BC6"/>
    <w:rsid w:val="008E6217"/>
    <w:rsid w:val="008E6A25"/>
    <w:rsid w:val="008F134A"/>
    <w:rsid w:val="008F2465"/>
    <w:rsid w:val="008F2554"/>
    <w:rsid w:val="008F3AEC"/>
    <w:rsid w:val="008F4D80"/>
    <w:rsid w:val="008F5193"/>
    <w:rsid w:val="008F6B36"/>
    <w:rsid w:val="009013A7"/>
    <w:rsid w:val="009017FB"/>
    <w:rsid w:val="009017FC"/>
    <w:rsid w:val="00902118"/>
    <w:rsid w:val="0090506B"/>
    <w:rsid w:val="009050C9"/>
    <w:rsid w:val="009066FC"/>
    <w:rsid w:val="0091125C"/>
    <w:rsid w:val="009140A3"/>
    <w:rsid w:val="009144A2"/>
    <w:rsid w:val="0091510C"/>
    <w:rsid w:val="009259AC"/>
    <w:rsid w:val="00926F38"/>
    <w:rsid w:val="00927BEB"/>
    <w:rsid w:val="009333DC"/>
    <w:rsid w:val="00934301"/>
    <w:rsid w:val="00934FF3"/>
    <w:rsid w:val="00936CD1"/>
    <w:rsid w:val="0094131C"/>
    <w:rsid w:val="00941747"/>
    <w:rsid w:val="00941EFB"/>
    <w:rsid w:val="009439BC"/>
    <w:rsid w:val="00946221"/>
    <w:rsid w:val="00947AFB"/>
    <w:rsid w:val="00951AA3"/>
    <w:rsid w:val="00951D7D"/>
    <w:rsid w:val="00953CB2"/>
    <w:rsid w:val="00954EA9"/>
    <w:rsid w:val="00956D0C"/>
    <w:rsid w:val="009630C7"/>
    <w:rsid w:val="00972B55"/>
    <w:rsid w:val="0097322D"/>
    <w:rsid w:val="009743B7"/>
    <w:rsid w:val="0098228B"/>
    <w:rsid w:val="009828DA"/>
    <w:rsid w:val="0098410D"/>
    <w:rsid w:val="00985BAB"/>
    <w:rsid w:val="00986B3C"/>
    <w:rsid w:val="009A115C"/>
    <w:rsid w:val="009A1B54"/>
    <w:rsid w:val="009A5D66"/>
    <w:rsid w:val="009A7FC1"/>
    <w:rsid w:val="009B1606"/>
    <w:rsid w:val="009B1B5F"/>
    <w:rsid w:val="009B39E2"/>
    <w:rsid w:val="009B6673"/>
    <w:rsid w:val="009B792A"/>
    <w:rsid w:val="009C191B"/>
    <w:rsid w:val="009C2BD6"/>
    <w:rsid w:val="009D459A"/>
    <w:rsid w:val="009D57AA"/>
    <w:rsid w:val="009E1F32"/>
    <w:rsid w:val="009E2CC2"/>
    <w:rsid w:val="009E47A2"/>
    <w:rsid w:val="009E5B39"/>
    <w:rsid w:val="009E776C"/>
    <w:rsid w:val="009E7A6F"/>
    <w:rsid w:val="009F4C8F"/>
    <w:rsid w:val="00A02972"/>
    <w:rsid w:val="00A03210"/>
    <w:rsid w:val="00A05588"/>
    <w:rsid w:val="00A15601"/>
    <w:rsid w:val="00A1726E"/>
    <w:rsid w:val="00A204CF"/>
    <w:rsid w:val="00A21D2B"/>
    <w:rsid w:val="00A22745"/>
    <w:rsid w:val="00A23D49"/>
    <w:rsid w:val="00A24A0D"/>
    <w:rsid w:val="00A24F1D"/>
    <w:rsid w:val="00A27004"/>
    <w:rsid w:val="00A308CE"/>
    <w:rsid w:val="00A30C29"/>
    <w:rsid w:val="00A34BB8"/>
    <w:rsid w:val="00A34DD6"/>
    <w:rsid w:val="00A35143"/>
    <w:rsid w:val="00A35683"/>
    <w:rsid w:val="00A36819"/>
    <w:rsid w:val="00A36989"/>
    <w:rsid w:val="00A4199A"/>
    <w:rsid w:val="00A41D86"/>
    <w:rsid w:val="00A43628"/>
    <w:rsid w:val="00A45145"/>
    <w:rsid w:val="00A51D0F"/>
    <w:rsid w:val="00A54192"/>
    <w:rsid w:val="00A57147"/>
    <w:rsid w:val="00A6035E"/>
    <w:rsid w:val="00A6144C"/>
    <w:rsid w:val="00A66617"/>
    <w:rsid w:val="00A671F8"/>
    <w:rsid w:val="00A673A4"/>
    <w:rsid w:val="00A724AE"/>
    <w:rsid w:val="00A73329"/>
    <w:rsid w:val="00A77CFE"/>
    <w:rsid w:val="00A81F4B"/>
    <w:rsid w:val="00A82359"/>
    <w:rsid w:val="00A865D2"/>
    <w:rsid w:val="00A87C10"/>
    <w:rsid w:val="00A90BCD"/>
    <w:rsid w:val="00A92625"/>
    <w:rsid w:val="00A94C20"/>
    <w:rsid w:val="00A95D81"/>
    <w:rsid w:val="00AA1B09"/>
    <w:rsid w:val="00AA227F"/>
    <w:rsid w:val="00AA3BC7"/>
    <w:rsid w:val="00AA754A"/>
    <w:rsid w:val="00AB099E"/>
    <w:rsid w:val="00AB4328"/>
    <w:rsid w:val="00AB7352"/>
    <w:rsid w:val="00AB7B86"/>
    <w:rsid w:val="00AC38DE"/>
    <w:rsid w:val="00AC4CD4"/>
    <w:rsid w:val="00AE0A2E"/>
    <w:rsid w:val="00AE0A45"/>
    <w:rsid w:val="00AE354C"/>
    <w:rsid w:val="00AF12C5"/>
    <w:rsid w:val="00AF2F53"/>
    <w:rsid w:val="00AF3D5F"/>
    <w:rsid w:val="00AF4B07"/>
    <w:rsid w:val="00AF6186"/>
    <w:rsid w:val="00AF729B"/>
    <w:rsid w:val="00AF7A3A"/>
    <w:rsid w:val="00B02587"/>
    <w:rsid w:val="00B049D1"/>
    <w:rsid w:val="00B14793"/>
    <w:rsid w:val="00B153A0"/>
    <w:rsid w:val="00B160DB"/>
    <w:rsid w:val="00B20836"/>
    <w:rsid w:val="00B235BB"/>
    <w:rsid w:val="00B27A44"/>
    <w:rsid w:val="00B30BBF"/>
    <w:rsid w:val="00B33C03"/>
    <w:rsid w:val="00B34CBA"/>
    <w:rsid w:val="00B35990"/>
    <w:rsid w:val="00B40695"/>
    <w:rsid w:val="00B4421F"/>
    <w:rsid w:val="00B44E56"/>
    <w:rsid w:val="00B45917"/>
    <w:rsid w:val="00B46543"/>
    <w:rsid w:val="00B4756F"/>
    <w:rsid w:val="00B47D33"/>
    <w:rsid w:val="00B52BE0"/>
    <w:rsid w:val="00B54133"/>
    <w:rsid w:val="00B55A8D"/>
    <w:rsid w:val="00B63FC3"/>
    <w:rsid w:val="00B701ED"/>
    <w:rsid w:val="00B748F7"/>
    <w:rsid w:val="00B76233"/>
    <w:rsid w:val="00B8086C"/>
    <w:rsid w:val="00B81C58"/>
    <w:rsid w:val="00B85556"/>
    <w:rsid w:val="00B861B4"/>
    <w:rsid w:val="00B86DFE"/>
    <w:rsid w:val="00B90990"/>
    <w:rsid w:val="00B922FF"/>
    <w:rsid w:val="00B9281E"/>
    <w:rsid w:val="00B93925"/>
    <w:rsid w:val="00B95187"/>
    <w:rsid w:val="00BA2D55"/>
    <w:rsid w:val="00BA3544"/>
    <w:rsid w:val="00BA6DED"/>
    <w:rsid w:val="00BA71B1"/>
    <w:rsid w:val="00BB0637"/>
    <w:rsid w:val="00BB1487"/>
    <w:rsid w:val="00BB345F"/>
    <w:rsid w:val="00BB68EA"/>
    <w:rsid w:val="00BC0B99"/>
    <w:rsid w:val="00BC1C27"/>
    <w:rsid w:val="00BC20B3"/>
    <w:rsid w:val="00BC4D67"/>
    <w:rsid w:val="00BC56A7"/>
    <w:rsid w:val="00BC6BBF"/>
    <w:rsid w:val="00BD1572"/>
    <w:rsid w:val="00BD3B02"/>
    <w:rsid w:val="00BE115B"/>
    <w:rsid w:val="00BE14E3"/>
    <w:rsid w:val="00BE3774"/>
    <w:rsid w:val="00BE41E5"/>
    <w:rsid w:val="00BE4CE2"/>
    <w:rsid w:val="00BF118F"/>
    <w:rsid w:val="00BF4109"/>
    <w:rsid w:val="00BF4CC3"/>
    <w:rsid w:val="00BF683C"/>
    <w:rsid w:val="00C054C7"/>
    <w:rsid w:val="00C057B5"/>
    <w:rsid w:val="00C07D0E"/>
    <w:rsid w:val="00C115A8"/>
    <w:rsid w:val="00C115C3"/>
    <w:rsid w:val="00C13133"/>
    <w:rsid w:val="00C15547"/>
    <w:rsid w:val="00C1672D"/>
    <w:rsid w:val="00C201B8"/>
    <w:rsid w:val="00C22687"/>
    <w:rsid w:val="00C23144"/>
    <w:rsid w:val="00C26A92"/>
    <w:rsid w:val="00C26B1C"/>
    <w:rsid w:val="00C32E4D"/>
    <w:rsid w:val="00C333A0"/>
    <w:rsid w:val="00C36A81"/>
    <w:rsid w:val="00C409A8"/>
    <w:rsid w:val="00C41974"/>
    <w:rsid w:val="00C44A2C"/>
    <w:rsid w:val="00C44F09"/>
    <w:rsid w:val="00C477F7"/>
    <w:rsid w:val="00C509A6"/>
    <w:rsid w:val="00C53F4A"/>
    <w:rsid w:val="00C54125"/>
    <w:rsid w:val="00C55B54"/>
    <w:rsid w:val="00C6098E"/>
    <w:rsid w:val="00C6152C"/>
    <w:rsid w:val="00C7089C"/>
    <w:rsid w:val="00C71424"/>
    <w:rsid w:val="00C74810"/>
    <w:rsid w:val="00C80F7A"/>
    <w:rsid w:val="00C90D68"/>
    <w:rsid w:val="00C939FE"/>
    <w:rsid w:val="00C93F63"/>
    <w:rsid w:val="00CA0F89"/>
    <w:rsid w:val="00CA4BDA"/>
    <w:rsid w:val="00CA538E"/>
    <w:rsid w:val="00CB13E3"/>
    <w:rsid w:val="00CB1F66"/>
    <w:rsid w:val="00CB232C"/>
    <w:rsid w:val="00CB2951"/>
    <w:rsid w:val="00CB4277"/>
    <w:rsid w:val="00CB431C"/>
    <w:rsid w:val="00CC0659"/>
    <w:rsid w:val="00CC5067"/>
    <w:rsid w:val="00CD11D3"/>
    <w:rsid w:val="00CD282B"/>
    <w:rsid w:val="00CD447B"/>
    <w:rsid w:val="00CD4C35"/>
    <w:rsid w:val="00CD7369"/>
    <w:rsid w:val="00CE0B0E"/>
    <w:rsid w:val="00CE3831"/>
    <w:rsid w:val="00CF0D18"/>
    <w:rsid w:val="00CF2397"/>
    <w:rsid w:val="00D00715"/>
    <w:rsid w:val="00D00ABB"/>
    <w:rsid w:val="00D02EEC"/>
    <w:rsid w:val="00D03551"/>
    <w:rsid w:val="00D04315"/>
    <w:rsid w:val="00D06431"/>
    <w:rsid w:val="00D06A63"/>
    <w:rsid w:val="00D07E0E"/>
    <w:rsid w:val="00D10CD6"/>
    <w:rsid w:val="00D11478"/>
    <w:rsid w:val="00D13CCD"/>
    <w:rsid w:val="00D15ED0"/>
    <w:rsid w:val="00D164BF"/>
    <w:rsid w:val="00D17D7B"/>
    <w:rsid w:val="00D21B3E"/>
    <w:rsid w:val="00D21FED"/>
    <w:rsid w:val="00D23048"/>
    <w:rsid w:val="00D24251"/>
    <w:rsid w:val="00D26E72"/>
    <w:rsid w:val="00D343E2"/>
    <w:rsid w:val="00D361A2"/>
    <w:rsid w:val="00D37272"/>
    <w:rsid w:val="00D420D7"/>
    <w:rsid w:val="00D44C2E"/>
    <w:rsid w:val="00D45414"/>
    <w:rsid w:val="00D50A0A"/>
    <w:rsid w:val="00D53548"/>
    <w:rsid w:val="00D5576B"/>
    <w:rsid w:val="00D566BD"/>
    <w:rsid w:val="00D57A4D"/>
    <w:rsid w:val="00D60621"/>
    <w:rsid w:val="00D60AA7"/>
    <w:rsid w:val="00D6435F"/>
    <w:rsid w:val="00D66471"/>
    <w:rsid w:val="00D669D4"/>
    <w:rsid w:val="00D70641"/>
    <w:rsid w:val="00D74888"/>
    <w:rsid w:val="00D7488B"/>
    <w:rsid w:val="00D75E28"/>
    <w:rsid w:val="00D772C2"/>
    <w:rsid w:val="00D8008E"/>
    <w:rsid w:val="00D8106E"/>
    <w:rsid w:val="00D82C45"/>
    <w:rsid w:val="00D874C5"/>
    <w:rsid w:val="00D908A8"/>
    <w:rsid w:val="00D977B6"/>
    <w:rsid w:val="00DA1223"/>
    <w:rsid w:val="00DA4A31"/>
    <w:rsid w:val="00DA7B04"/>
    <w:rsid w:val="00DB36C2"/>
    <w:rsid w:val="00DC00A8"/>
    <w:rsid w:val="00DC169B"/>
    <w:rsid w:val="00DC2AB9"/>
    <w:rsid w:val="00DC63F0"/>
    <w:rsid w:val="00DD37EA"/>
    <w:rsid w:val="00DD6EE5"/>
    <w:rsid w:val="00DE386C"/>
    <w:rsid w:val="00DE4D35"/>
    <w:rsid w:val="00DE7DD8"/>
    <w:rsid w:val="00DF098B"/>
    <w:rsid w:val="00DF0A63"/>
    <w:rsid w:val="00DF11C4"/>
    <w:rsid w:val="00DF210C"/>
    <w:rsid w:val="00DF3C9E"/>
    <w:rsid w:val="00DF4B6A"/>
    <w:rsid w:val="00E004C0"/>
    <w:rsid w:val="00E02C09"/>
    <w:rsid w:val="00E04D59"/>
    <w:rsid w:val="00E07DA1"/>
    <w:rsid w:val="00E123CB"/>
    <w:rsid w:val="00E13B09"/>
    <w:rsid w:val="00E20E13"/>
    <w:rsid w:val="00E21DBC"/>
    <w:rsid w:val="00E23088"/>
    <w:rsid w:val="00E26730"/>
    <w:rsid w:val="00E275D7"/>
    <w:rsid w:val="00E27DBE"/>
    <w:rsid w:val="00E32AB1"/>
    <w:rsid w:val="00E36C71"/>
    <w:rsid w:val="00E40404"/>
    <w:rsid w:val="00E40D82"/>
    <w:rsid w:val="00E4126A"/>
    <w:rsid w:val="00E42A06"/>
    <w:rsid w:val="00E459C6"/>
    <w:rsid w:val="00E47589"/>
    <w:rsid w:val="00E47723"/>
    <w:rsid w:val="00E557AA"/>
    <w:rsid w:val="00E56E18"/>
    <w:rsid w:val="00E602BE"/>
    <w:rsid w:val="00E63EC7"/>
    <w:rsid w:val="00E64915"/>
    <w:rsid w:val="00E64D3A"/>
    <w:rsid w:val="00E65583"/>
    <w:rsid w:val="00E661D4"/>
    <w:rsid w:val="00E67565"/>
    <w:rsid w:val="00E70091"/>
    <w:rsid w:val="00E70D2E"/>
    <w:rsid w:val="00E720F5"/>
    <w:rsid w:val="00E73588"/>
    <w:rsid w:val="00E744E0"/>
    <w:rsid w:val="00E7570C"/>
    <w:rsid w:val="00E76D47"/>
    <w:rsid w:val="00E779E5"/>
    <w:rsid w:val="00E827BC"/>
    <w:rsid w:val="00E83CBE"/>
    <w:rsid w:val="00E849F7"/>
    <w:rsid w:val="00E90302"/>
    <w:rsid w:val="00E91D05"/>
    <w:rsid w:val="00E9262D"/>
    <w:rsid w:val="00E94245"/>
    <w:rsid w:val="00E95C1E"/>
    <w:rsid w:val="00E97396"/>
    <w:rsid w:val="00EA0465"/>
    <w:rsid w:val="00EA185E"/>
    <w:rsid w:val="00EA2E81"/>
    <w:rsid w:val="00EA592A"/>
    <w:rsid w:val="00EB0314"/>
    <w:rsid w:val="00EB14E4"/>
    <w:rsid w:val="00EB32A5"/>
    <w:rsid w:val="00EB34ED"/>
    <w:rsid w:val="00EB447C"/>
    <w:rsid w:val="00EB7BE0"/>
    <w:rsid w:val="00EC315E"/>
    <w:rsid w:val="00ED0562"/>
    <w:rsid w:val="00ED077C"/>
    <w:rsid w:val="00ED10A9"/>
    <w:rsid w:val="00ED1190"/>
    <w:rsid w:val="00ED34AC"/>
    <w:rsid w:val="00ED6544"/>
    <w:rsid w:val="00ED6FAB"/>
    <w:rsid w:val="00EE0277"/>
    <w:rsid w:val="00EE128D"/>
    <w:rsid w:val="00EE2899"/>
    <w:rsid w:val="00EE3925"/>
    <w:rsid w:val="00EE3E00"/>
    <w:rsid w:val="00EE5DD2"/>
    <w:rsid w:val="00EF03F4"/>
    <w:rsid w:val="00EF36C5"/>
    <w:rsid w:val="00EF3DB4"/>
    <w:rsid w:val="00F00A79"/>
    <w:rsid w:val="00F00D13"/>
    <w:rsid w:val="00F00E86"/>
    <w:rsid w:val="00F07C1E"/>
    <w:rsid w:val="00F105DB"/>
    <w:rsid w:val="00F12AF2"/>
    <w:rsid w:val="00F132BC"/>
    <w:rsid w:val="00F13D80"/>
    <w:rsid w:val="00F15B4D"/>
    <w:rsid w:val="00F16A7C"/>
    <w:rsid w:val="00F16AAA"/>
    <w:rsid w:val="00F1709C"/>
    <w:rsid w:val="00F21161"/>
    <w:rsid w:val="00F218EF"/>
    <w:rsid w:val="00F21BC7"/>
    <w:rsid w:val="00F23758"/>
    <w:rsid w:val="00F266A2"/>
    <w:rsid w:val="00F30873"/>
    <w:rsid w:val="00F32269"/>
    <w:rsid w:val="00F32432"/>
    <w:rsid w:val="00F32B00"/>
    <w:rsid w:val="00F35B7A"/>
    <w:rsid w:val="00F361AC"/>
    <w:rsid w:val="00F372E9"/>
    <w:rsid w:val="00F4066B"/>
    <w:rsid w:val="00F56A6F"/>
    <w:rsid w:val="00F5709C"/>
    <w:rsid w:val="00F57D8A"/>
    <w:rsid w:val="00F57DEB"/>
    <w:rsid w:val="00F60B85"/>
    <w:rsid w:val="00F64EF1"/>
    <w:rsid w:val="00F72498"/>
    <w:rsid w:val="00F72B14"/>
    <w:rsid w:val="00F7349B"/>
    <w:rsid w:val="00F75E7F"/>
    <w:rsid w:val="00F83846"/>
    <w:rsid w:val="00F85D7F"/>
    <w:rsid w:val="00F8765F"/>
    <w:rsid w:val="00F90767"/>
    <w:rsid w:val="00F9263C"/>
    <w:rsid w:val="00FA1637"/>
    <w:rsid w:val="00FA685B"/>
    <w:rsid w:val="00FB0C01"/>
    <w:rsid w:val="00FB57D8"/>
    <w:rsid w:val="00FB5934"/>
    <w:rsid w:val="00FC18F2"/>
    <w:rsid w:val="00FC2A17"/>
    <w:rsid w:val="00FC38CF"/>
    <w:rsid w:val="00FC39E5"/>
    <w:rsid w:val="00FC3A78"/>
    <w:rsid w:val="00FD1005"/>
    <w:rsid w:val="00FD1F7F"/>
    <w:rsid w:val="00FD40B9"/>
    <w:rsid w:val="00FD6C75"/>
    <w:rsid w:val="00FD7972"/>
    <w:rsid w:val="00FE0401"/>
    <w:rsid w:val="00FE71B3"/>
    <w:rsid w:val="00FF3A4A"/>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85B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ny">
    <w:name w:val="Normal"/>
    <w:semiHidden/>
    <w:rsid w:val="00D13CCD"/>
    <w:rPr>
      <w:sz w:val="24"/>
      <w:szCs w:val="24"/>
    </w:rPr>
  </w:style>
  <w:style w:type="paragraph" w:styleId="Nagwek1">
    <w:name w:val="heading 1"/>
    <w:basedOn w:val="Normalny"/>
    <w:next w:val="Normalny"/>
    <w:link w:val="Nagwek1Znak"/>
    <w:uiPriority w:val="98"/>
    <w:semiHidden/>
    <w:rsid w:val="00D13CCD"/>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D13CCD"/>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D13CCD"/>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D13CCD"/>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D13CCD"/>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D13CCD"/>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D13CCD"/>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D13CCD"/>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D13CCD"/>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D13CCD"/>
    <w:rPr>
      <w:rFonts w:ascii="Tahoma" w:hAnsi="Tahoma" w:cs="Tahoma"/>
      <w:sz w:val="16"/>
      <w:szCs w:val="16"/>
    </w:rPr>
  </w:style>
  <w:style w:type="character" w:customStyle="1" w:styleId="TekstdymkaZnak">
    <w:name w:val="Tekst dymka Znak"/>
    <w:basedOn w:val="Domylnaczcionkaakapitu"/>
    <w:link w:val="Tekstdymka"/>
    <w:uiPriority w:val="98"/>
    <w:semiHidden/>
    <w:rsid w:val="00D13CCD"/>
    <w:rPr>
      <w:rFonts w:ascii="Tahoma" w:hAnsi="Tahoma" w:cs="Tahoma"/>
      <w:sz w:val="16"/>
      <w:szCs w:val="16"/>
      <w:lang w:val="pl-PL"/>
    </w:rPr>
  </w:style>
  <w:style w:type="character" w:styleId="Tytuksiki">
    <w:name w:val="Book Title"/>
    <w:uiPriority w:val="98"/>
    <w:semiHidden/>
    <w:qFormat/>
    <w:rsid w:val="00D13CCD"/>
    <w:rPr>
      <w:i/>
      <w:iCs/>
      <w:smallCaps/>
      <w:spacing w:val="5"/>
    </w:rPr>
  </w:style>
  <w:style w:type="paragraph" w:customStyle="1" w:styleId="JuHeader">
    <w:name w:val="Ju_Header"/>
    <w:aliases w:val="_Header"/>
    <w:basedOn w:val="Nagwek"/>
    <w:uiPriority w:val="29"/>
    <w:qFormat/>
    <w:rsid w:val="00D13CCD"/>
    <w:pPr>
      <w:tabs>
        <w:tab w:val="clear" w:pos="4536"/>
        <w:tab w:val="clear" w:pos="9072"/>
      </w:tabs>
      <w:jc w:val="center"/>
    </w:pPr>
    <w:rPr>
      <w:sz w:val="18"/>
    </w:rPr>
  </w:style>
  <w:style w:type="paragraph" w:customStyle="1" w:styleId="NormalJustified">
    <w:name w:val="Normal_Justified"/>
    <w:basedOn w:val="Normalny"/>
    <w:semiHidden/>
    <w:rsid w:val="00D13CCD"/>
    <w:pPr>
      <w:jc w:val="both"/>
    </w:pPr>
  </w:style>
  <w:style w:type="character" w:styleId="Pogrubienie">
    <w:name w:val="Strong"/>
    <w:uiPriority w:val="98"/>
    <w:semiHidden/>
    <w:qFormat/>
    <w:rsid w:val="00D13CCD"/>
    <w:rPr>
      <w:b/>
      <w:bCs/>
    </w:rPr>
  </w:style>
  <w:style w:type="paragraph" w:styleId="Bezodstpw">
    <w:name w:val="No Spacing"/>
    <w:basedOn w:val="Normalny"/>
    <w:link w:val="BezodstpwZnak"/>
    <w:uiPriority w:val="98"/>
    <w:semiHidden/>
    <w:qFormat/>
    <w:rsid w:val="00D13CCD"/>
  </w:style>
  <w:style w:type="character" w:customStyle="1" w:styleId="BezodstpwZnak">
    <w:name w:val="Bez odstępów Znak"/>
    <w:basedOn w:val="Domylnaczcionkaakapitu"/>
    <w:link w:val="Bezodstpw"/>
    <w:uiPriority w:val="98"/>
    <w:semiHidden/>
    <w:rsid w:val="00D13CCD"/>
    <w:rPr>
      <w:sz w:val="24"/>
      <w:szCs w:val="24"/>
      <w:lang w:val="pl-PL"/>
    </w:rPr>
  </w:style>
  <w:style w:type="paragraph" w:customStyle="1" w:styleId="JuQuot">
    <w:name w:val="Ju_Quot"/>
    <w:aliases w:val="_Quote"/>
    <w:basedOn w:val="NormalJustified"/>
    <w:uiPriority w:val="20"/>
    <w:qFormat/>
    <w:rsid w:val="00D13CCD"/>
    <w:pPr>
      <w:spacing w:before="120" w:after="120"/>
      <w:ind w:left="425" w:firstLine="142"/>
    </w:pPr>
    <w:rPr>
      <w:sz w:val="20"/>
    </w:rPr>
  </w:style>
  <w:style w:type="paragraph" w:customStyle="1" w:styleId="JuList">
    <w:name w:val="Ju_List"/>
    <w:aliases w:val="_List_1"/>
    <w:basedOn w:val="NormalJustified"/>
    <w:uiPriority w:val="23"/>
    <w:qFormat/>
    <w:rsid w:val="00D13CCD"/>
    <w:pPr>
      <w:numPr>
        <w:numId w:val="20"/>
      </w:numPr>
      <w:spacing w:before="280" w:after="60"/>
    </w:pPr>
  </w:style>
  <w:style w:type="paragraph" w:customStyle="1" w:styleId="JuLista">
    <w:name w:val="Ju_List_a"/>
    <w:aliases w:val="_List_2"/>
    <w:basedOn w:val="NormalJustified"/>
    <w:uiPriority w:val="23"/>
    <w:rsid w:val="00D13CCD"/>
    <w:pPr>
      <w:numPr>
        <w:ilvl w:val="1"/>
        <w:numId w:val="20"/>
      </w:numPr>
    </w:pPr>
  </w:style>
  <w:style w:type="paragraph" w:customStyle="1" w:styleId="JuListi">
    <w:name w:val="Ju_List_i"/>
    <w:aliases w:val="_List_3"/>
    <w:basedOn w:val="NormalJustified"/>
    <w:uiPriority w:val="23"/>
    <w:rsid w:val="00D13CCD"/>
    <w:pPr>
      <w:numPr>
        <w:ilvl w:val="2"/>
        <w:numId w:val="20"/>
      </w:numPr>
    </w:pPr>
  </w:style>
  <w:style w:type="paragraph" w:customStyle="1" w:styleId="JuHArticle">
    <w:name w:val="Ju_H_Article"/>
    <w:aliases w:val="_Title_Quote"/>
    <w:basedOn w:val="Normalny"/>
    <w:next w:val="JuQuot"/>
    <w:uiPriority w:val="19"/>
    <w:qFormat/>
    <w:rsid w:val="00D13CCD"/>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D13CCD"/>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D13CCD"/>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D13CCD"/>
    <w:pPr>
      <w:keepNext/>
      <w:keepLines/>
      <w:numPr>
        <w:numId w:val="19"/>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D13CCD"/>
    <w:pPr>
      <w:numPr>
        <w:numId w:val="14"/>
      </w:numPr>
    </w:pPr>
  </w:style>
  <w:style w:type="paragraph" w:customStyle="1" w:styleId="JuSigned">
    <w:name w:val="Ju_Signed"/>
    <w:aliases w:val="_Signature"/>
    <w:basedOn w:val="Normalny"/>
    <w:next w:val="JuPara"/>
    <w:uiPriority w:val="31"/>
    <w:qFormat/>
    <w:rsid w:val="00D13CCD"/>
    <w:pPr>
      <w:tabs>
        <w:tab w:val="center" w:pos="1418"/>
        <w:tab w:val="center" w:pos="5954"/>
      </w:tabs>
      <w:spacing w:before="720"/>
    </w:pPr>
  </w:style>
  <w:style w:type="paragraph" w:styleId="Tytu">
    <w:name w:val="Title"/>
    <w:basedOn w:val="Normalny"/>
    <w:next w:val="Normalny"/>
    <w:link w:val="TytuZnak"/>
    <w:uiPriority w:val="98"/>
    <w:semiHidden/>
    <w:qFormat/>
    <w:rsid w:val="00D13CC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D13CCD"/>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D13CCD"/>
    <w:pPr>
      <w:numPr>
        <w:numId w:val="15"/>
      </w:numPr>
    </w:pPr>
  </w:style>
  <w:style w:type="numbering" w:customStyle="1" w:styleId="ECHRA1StyleNumberedList">
    <w:name w:val="ECHR_A1_Style_Numbered_List"/>
    <w:basedOn w:val="Bezlisty"/>
    <w:rsid w:val="00D13CCD"/>
    <w:pPr>
      <w:numPr>
        <w:numId w:val="16"/>
      </w:numPr>
    </w:pPr>
  </w:style>
  <w:style w:type="table" w:customStyle="1" w:styleId="ECHRTable2019">
    <w:name w:val="ECHR_Table_2019"/>
    <w:basedOn w:val="Standardowy"/>
    <w:uiPriority w:val="99"/>
    <w:rsid w:val="00D13CCD"/>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D13CCD"/>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D13CCD"/>
    <w:pPr>
      <w:keepNext/>
      <w:keepLines/>
      <w:numPr>
        <w:ilvl w:val="1"/>
        <w:numId w:val="1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D13CCD"/>
    <w:pPr>
      <w:keepNext/>
      <w:keepLines/>
      <w:numPr>
        <w:ilvl w:val="2"/>
        <w:numId w:val="19"/>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D13CCD"/>
    <w:pPr>
      <w:keepNext/>
      <w:keepLines/>
      <w:numPr>
        <w:ilvl w:val="3"/>
        <w:numId w:val="19"/>
      </w:numPr>
      <w:spacing w:before="100" w:beforeAutospacing="1" w:after="120"/>
      <w:jc w:val="both"/>
    </w:pPr>
    <w:rPr>
      <w:b w:val="0"/>
      <w:color w:val="auto"/>
      <w:sz w:val="24"/>
    </w:rPr>
  </w:style>
  <w:style w:type="paragraph" w:styleId="Nagwek">
    <w:name w:val="header"/>
    <w:basedOn w:val="Normalny"/>
    <w:link w:val="NagwekZnak"/>
    <w:uiPriority w:val="98"/>
    <w:semiHidden/>
    <w:rsid w:val="00D13CCD"/>
    <w:pPr>
      <w:tabs>
        <w:tab w:val="center" w:pos="4536"/>
        <w:tab w:val="right" w:pos="9072"/>
      </w:tabs>
    </w:pPr>
  </w:style>
  <w:style w:type="character" w:customStyle="1" w:styleId="NagwekZnak">
    <w:name w:val="Nagłówek Znak"/>
    <w:basedOn w:val="Domylnaczcionkaakapitu"/>
    <w:link w:val="Nagwek"/>
    <w:uiPriority w:val="98"/>
    <w:semiHidden/>
    <w:rsid w:val="00D13CCD"/>
    <w:rPr>
      <w:sz w:val="24"/>
      <w:szCs w:val="24"/>
      <w:lang w:val="pl-PL"/>
    </w:rPr>
  </w:style>
  <w:style w:type="character" w:customStyle="1" w:styleId="Nagwek1Znak">
    <w:name w:val="Nagłówek 1 Znak"/>
    <w:basedOn w:val="Domylnaczcionkaakapitu"/>
    <w:link w:val="Nagwek1"/>
    <w:uiPriority w:val="98"/>
    <w:semiHidden/>
    <w:rsid w:val="00D13CCD"/>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D13CCD"/>
    <w:pPr>
      <w:keepNext/>
      <w:keepLines/>
      <w:numPr>
        <w:ilvl w:val="4"/>
        <w:numId w:val="19"/>
      </w:numPr>
      <w:spacing w:before="100" w:beforeAutospacing="1" w:after="120"/>
      <w:jc w:val="both"/>
    </w:pPr>
    <w:rPr>
      <w:color w:val="auto"/>
      <w:sz w:val="20"/>
    </w:rPr>
  </w:style>
  <w:style w:type="paragraph" w:customStyle="1" w:styleId="JuHi">
    <w:name w:val="Ju_H_i"/>
    <w:aliases w:val="_Head_6"/>
    <w:basedOn w:val="Nagwek6"/>
    <w:next w:val="JuPara"/>
    <w:uiPriority w:val="17"/>
    <w:rsid w:val="00D13CCD"/>
    <w:pPr>
      <w:keepNext/>
      <w:keepLines/>
      <w:numPr>
        <w:ilvl w:val="5"/>
        <w:numId w:val="19"/>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D13CCD"/>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D13CCD"/>
    <w:pPr>
      <w:keepNext/>
      <w:keepLines/>
      <w:numPr>
        <w:ilvl w:val="6"/>
        <w:numId w:val="19"/>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D13CCD"/>
    <w:pPr>
      <w:keepNext/>
      <w:keepLines/>
      <w:numPr>
        <w:ilvl w:val="7"/>
        <w:numId w:val="19"/>
      </w:numPr>
      <w:spacing w:before="100" w:beforeAutospacing="1" w:after="120"/>
      <w:jc w:val="both"/>
    </w:pPr>
    <w:rPr>
      <w:i/>
    </w:rPr>
  </w:style>
  <w:style w:type="character" w:customStyle="1" w:styleId="Nagwek3Znak">
    <w:name w:val="Nagłówek 3 Znak"/>
    <w:basedOn w:val="Domylnaczcionkaakapitu"/>
    <w:link w:val="Nagwek3"/>
    <w:uiPriority w:val="98"/>
    <w:semiHidden/>
    <w:rsid w:val="00D13CCD"/>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D13CCD"/>
    <w:pPr>
      <w:keepNext/>
      <w:keepLines/>
      <w:spacing w:before="240" w:after="240"/>
      <w:ind w:firstLine="284"/>
    </w:pPr>
  </w:style>
  <w:style w:type="paragraph" w:customStyle="1" w:styleId="JuJudges">
    <w:name w:val="Ju_Judges"/>
    <w:aliases w:val="_Judges"/>
    <w:basedOn w:val="Normalny"/>
    <w:uiPriority w:val="32"/>
    <w:qFormat/>
    <w:rsid w:val="00D13CCD"/>
    <w:pPr>
      <w:tabs>
        <w:tab w:val="left" w:pos="567"/>
        <w:tab w:val="left" w:pos="1134"/>
      </w:tabs>
    </w:pPr>
  </w:style>
  <w:style w:type="character" w:customStyle="1" w:styleId="Nagwek4Znak">
    <w:name w:val="Nagłówek 4 Znak"/>
    <w:basedOn w:val="Domylnaczcionkaakapitu"/>
    <w:link w:val="Nagwek4"/>
    <w:uiPriority w:val="98"/>
    <w:semiHidden/>
    <w:rsid w:val="00D13CCD"/>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0"/>
    <w:qFormat/>
    <w:rsid w:val="00D13CCD"/>
    <w:pPr>
      <w:tabs>
        <w:tab w:val="center" w:pos="6407"/>
      </w:tabs>
      <w:spacing w:before="720"/>
      <w:jc w:val="right"/>
    </w:pPr>
  </w:style>
  <w:style w:type="character" w:customStyle="1" w:styleId="Nagwek5Znak">
    <w:name w:val="Nagłówek 5 Znak"/>
    <w:basedOn w:val="Domylnaczcionkaakapitu"/>
    <w:link w:val="Nagwek5"/>
    <w:uiPriority w:val="98"/>
    <w:semiHidden/>
    <w:rsid w:val="00D13CCD"/>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54"/>
    <w:qFormat/>
    <w:rsid w:val="00D13CCD"/>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D13CCD"/>
    <w:rPr>
      <w:caps w:val="0"/>
      <w:smallCaps/>
    </w:rPr>
  </w:style>
  <w:style w:type="character" w:styleId="Wyrnieniedelikatne">
    <w:name w:val="Subtle Emphasis"/>
    <w:uiPriority w:val="98"/>
    <w:semiHidden/>
    <w:qFormat/>
    <w:rsid w:val="00D13CCD"/>
    <w:rPr>
      <w:i/>
      <w:iCs/>
    </w:rPr>
  </w:style>
  <w:style w:type="table" w:customStyle="1" w:styleId="ECHRTable">
    <w:name w:val="ECHR_Table"/>
    <w:basedOn w:val="Standardowy"/>
    <w:rsid w:val="00D13CCD"/>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D13CCD"/>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D13CCD"/>
    <w:rPr>
      <w:b/>
      <w:bCs/>
      <w:i/>
      <w:iCs/>
      <w:spacing w:val="10"/>
      <w:bdr w:val="none" w:sz="0" w:space="0" w:color="auto"/>
      <w:shd w:val="clear" w:color="auto" w:fill="auto"/>
    </w:rPr>
  </w:style>
  <w:style w:type="paragraph" w:styleId="Stopka">
    <w:name w:val="footer"/>
    <w:basedOn w:val="Normalny"/>
    <w:link w:val="StopkaZnak"/>
    <w:uiPriority w:val="98"/>
    <w:semiHidden/>
    <w:rsid w:val="00D13CCD"/>
    <w:pPr>
      <w:tabs>
        <w:tab w:val="center" w:pos="3686"/>
        <w:tab w:val="right" w:pos="7371"/>
      </w:tabs>
    </w:pPr>
  </w:style>
  <w:style w:type="character" w:customStyle="1" w:styleId="StopkaZnak">
    <w:name w:val="Stopka Znak"/>
    <w:basedOn w:val="Domylnaczcionkaakapitu"/>
    <w:link w:val="Stopka"/>
    <w:uiPriority w:val="98"/>
    <w:semiHidden/>
    <w:rsid w:val="00D13CCD"/>
    <w:rPr>
      <w:sz w:val="24"/>
      <w:szCs w:val="24"/>
      <w:lang w:val="pl-PL"/>
    </w:rPr>
  </w:style>
  <w:style w:type="character" w:styleId="Odwoanieprzypisudolnego">
    <w:name w:val="footnote reference"/>
    <w:basedOn w:val="Domylnaczcionkaakapitu"/>
    <w:uiPriority w:val="98"/>
    <w:semiHidden/>
    <w:rsid w:val="00D13CCD"/>
    <w:rPr>
      <w:vertAlign w:val="superscript"/>
    </w:rPr>
  </w:style>
  <w:style w:type="paragraph" w:styleId="Tekstprzypisudolnego">
    <w:name w:val="footnote text"/>
    <w:basedOn w:val="NormalJustified"/>
    <w:link w:val="TekstprzypisudolnegoZnak"/>
    <w:uiPriority w:val="98"/>
    <w:semiHidden/>
    <w:rsid w:val="00D13CCD"/>
    <w:rPr>
      <w:sz w:val="20"/>
      <w:szCs w:val="20"/>
    </w:rPr>
  </w:style>
  <w:style w:type="character" w:customStyle="1" w:styleId="TekstprzypisudolnegoZnak">
    <w:name w:val="Tekst przypisu dolnego Znak"/>
    <w:basedOn w:val="Domylnaczcionkaakapitu"/>
    <w:link w:val="Tekstprzypisudolnego"/>
    <w:uiPriority w:val="98"/>
    <w:semiHidden/>
    <w:rsid w:val="00D13CCD"/>
    <w:rPr>
      <w:sz w:val="20"/>
      <w:szCs w:val="20"/>
      <w:lang w:val="pl-PL"/>
    </w:rPr>
  </w:style>
  <w:style w:type="character" w:customStyle="1" w:styleId="Nagwek6Znak">
    <w:name w:val="Nagłówek 6 Znak"/>
    <w:basedOn w:val="Domylnaczcionkaakapitu"/>
    <w:link w:val="Nagwek6"/>
    <w:uiPriority w:val="98"/>
    <w:semiHidden/>
    <w:rsid w:val="00D13CCD"/>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D13CCD"/>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D13CCD"/>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D13CCD"/>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D13CCD"/>
    <w:rPr>
      <w:color w:val="0072BC" w:themeColor="hyperlink"/>
      <w:u w:val="single"/>
    </w:rPr>
  </w:style>
  <w:style w:type="character" w:styleId="Wyrnienieintensywne">
    <w:name w:val="Intense Emphasis"/>
    <w:uiPriority w:val="98"/>
    <w:semiHidden/>
    <w:qFormat/>
    <w:rsid w:val="00D13CCD"/>
    <w:rPr>
      <w:b/>
      <w:bCs/>
    </w:rPr>
  </w:style>
  <w:style w:type="paragraph" w:styleId="Cytatintensywny">
    <w:name w:val="Intense Quote"/>
    <w:basedOn w:val="Normalny"/>
    <w:next w:val="Normalny"/>
    <w:link w:val="CytatintensywnyZnak"/>
    <w:uiPriority w:val="98"/>
    <w:semiHidden/>
    <w:qFormat/>
    <w:rsid w:val="00D13CCD"/>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D13CCD"/>
    <w:rPr>
      <w:b/>
      <w:bCs/>
      <w:i/>
      <w:iCs/>
      <w:sz w:val="24"/>
      <w:szCs w:val="24"/>
      <w:lang w:val="pl-PL" w:bidi="en-US"/>
    </w:rPr>
  </w:style>
  <w:style w:type="character" w:styleId="Odwoanieintensywne">
    <w:name w:val="Intense Reference"/>
    <w:uiPriority w:val="98"/>
    <w:semiHidden/>
    <w:qFormat/>
    <w:rsid w:val="00D13CCD"/>
    <w:rPr>
      <w:smallCaps/>
      <w:spacing w:val="5"/>
      <w:u w:val="single"/>
    </w:rPr>
  </w:style>
  <w:style w:type="paragraph" w:styleId="Akapitzlist">
    <w:name w:val="List Paragraph"/>
    <w:basedOn w:val="Normalny"/>
    <w:uiPriority w:val="98"/>
    <w:semiHidden/>
    <w:qFormat/>
    <w:rsid w:val="00D13CCD"/>
    <w:pPr>
      <w:ind w:left="720"/>
      <w:contextualSpacing/>
    </w:pPr>
  </w:style>
  <w:style w:type="table" w:customStyle="1" w:styleId="LtrTableAddress">
    <w:name w:val="Ltr_Table_Address"/>
    <w:aliases w:val="ECHR_Ltr_Table_Address"/>
    <w:basedOn w:val="Standardowy"/>
    <w:uiPriority w:val="99"/>
    <w:rsid w:val="00D13CCD"/>
    <w:rPr>
      <w:sz w:val="24"/>
      <w:szCs w:val="24"/>
    </w:rPr>
    <w:tblPr>
      <w:tblInd w:w="5103" w:type="dxa"/>
    </w:tblPr>
  </w:style>
  <w:style w:type="paragraph" w:styleId="Cytat">
    <w:name w:val="Quote"/>
    <w:basedOn w:val="Normalny"/>
    <w:next w:val="Normalny"/>
    <w:link w:val="CytatZnak"/>
    <w:uiPriority w:val="98"/>
    <w:semiHidden/>
    <w:qFormat/>
    <w:rsid w:val="00D13CCD"/>
    <w:pPr>
      <w:spacing w:before="200"/>
      <w:ind w:left="360" w:right="360"/>
    </w:pPr>
    <w:rPr>
      <w:i/>
      <w:iCs/>
      <w:lang w:bidi="en-US"/>
    </w:rPr>
  </w:style>
  <w:style w:type="character" w:customStyle="1" w:styleId="CytatZnak">
    <w:name w:val="Cytat Znak"/>
    <w:basedOn w:val="Domylnaczcionkaakapitu"/>
    <w:link w:val="Cytat"/>
    <w:uiPriority w:val="98"/>
    <w:semiHidden/>
    <w:rsid w:val="00D13CCD"/>
    <w:rPr>
      <w:i/>
      <w:iCs/>
      <w:sz w:val="24"/>
      <w:szCs w:val="24"/>
      <w:lang w:val="pl-PL" w:bidi="en-US"/>
    </w:rPr>
  </w:style>
  <w:style w:type="character" w:styleId="Odwoaniedelikatne">
    <w:name w:val="Subtle Reference"/>
    <w:uiPriority w:val="98"/>
    <w:semiHidden/>
    <w:qFormat/>
    <w:rsid w:val="00D13CCD"/>
    <w:rPr>
      <w:smallCaps/>
    </w:rPr>
  </w:style>
  <w:style w:type="table" w:styleId="Tabela-Siatka">
    <w:name w:val="Table Grid"/>
    <w:basedOn w:val="Standardowy"/>
    <w:uiPriority w:val="59"/>
    <w:semiHidden/>
    <w:rsid w:val="00D13CCD"/>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D13CCD"/>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D13CCD"/>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D13CCD"/>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D13CCD"/>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D13CCD"/>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D13CCD"/>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D13CCD"/>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D13CCD"/>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D13CCD"/>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D13CCD"/>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D13CCD"/>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D13CCD"/>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D13CCD"/>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D13CCD"/>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D13CCD"/>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D13CCD"/>
    <w:pPr>
      <w:numPr>
        <w:numId w:val="1"/>
      </w:numPr>
    </w:pPr>
  </w:style>
  <w:style w:type="paragraph" w:customStyle="1" w:styleId="JuPara">
    <w:name w:val="Ju_Para"/>
    <w:aliases w:val="_Para"/>
    <w:basedOn w:val="NormalJustified"/>
    <w:link w:val="JuParaChar"/>
    <w:uiPriority w:val="4"/>
    <w:qFormat/>
    <w:rsid w:val="00D13CCD"/>
    <w:pPr>
      <w:ind w:firstLine="284"/>
    </w:pPr>
  </w:style>
  <w:style w:type="numbering" w:styleId="1ai">
    <w:name w:val="Outline List 1"/>
    <w:basedOn w:val="Bezlisty"/>
    <w:uiPriority w:val="99"/>
    <w:semiHidden/>
    <w:unhideWhenUsed/>
    <w:rsid w:val="00D13CCD"/>
    <w:pPr>
      <w:numPr>
        <w:numId w:val="2"/>
      </w:numPr>
    </w:pPr>
  </w:style>
  <w:style w:type="table" w:customStyle="1" w:styleId="ECHRTableSimpleBox">
    <w:name w:val="ECHR_Table_Simple_Box"/>
    <w:basedOn w:val="Standardowy"/>
    <w:uiPriority w:val="99"/>
    <w:rsid w:val="00D13CCD"/>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D13CCD"/>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D13CCD"/>
    <w:pPr>
      <w:numPr>
        <w:numId w:val="3"/>
      </w:numPr>
    </w:pPr>
  </w:style>
  <w:style w:type="table" w:customStyle="1" w:styleId="ECHRTableForInternalUse">
    <w:name w:val="ECHR_Table_For_Internal_Use"/>
    <w:basedOn w:val="Standardowy"/>
    <w:uiPriority w:val="99"/>
    <w:rsid w:val="00D13CCD"/>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D13CCD"/>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D13CCD"/>
  </w:style>
  <w:style w:type="paragraph" w:styleId="Tekstblokowy">
    <w:name w:val="Block Text"/>
    <w:basedOn w:val="Normalny"/>
    <w:uiPriority w:val="98"/>
    <w:semiHidden/>
    <w:rsid w:val="00D13CC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D13CCD"/>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D13CCD"/>
    <w:pPr>
      <w:spacing w:after="120"/>
    </w:pPr>
  </w:style>
  <w:style w:type="character" w:customStyle="1" w:styleId="TekstpodstawowyZnak">
    <w:name w:val="Tekst podstawowy Znak"/>
    <w:basedOn w:val="Domylnaczcionkaakapitu"/>
    <w:link w:val="Tekstpodstawowy"/>
    <w:uiPriority w:val="98"/>
    <w:semiHidden/>
    <w:rsid w:val="00D13CCD"/>
    <w:rPr>
      <w:sz w:val="24"/>
      <w:szCs w:val="24"/>
      <w:lang w:val="pl-PL"/>
    </w:rPr>
  </w:style>
  <w:style w:type="table" w:customStyle="1" w:styleId="ECHRTableOddBanded">
    <w:name w:val="ECHR_Table_Odd_Banded"/>
    <w:basedOn w:val="Standardowy"/>
    <w:uiPriority w:val="99"/>
    <w:rsid w:val="00D13CCD"/>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D13CCD"/>
    <w:pPr>
      <w:spacing w:after="120" w:line="480" w:lineRule="auto"/>
    </w:pPr>
  </w:style>
  <w:style w:type="table" w:customStyle="1" w:styleId="ECHRHeaderTableReduced">
    <w:name w:val="ECHR_Header_Table_Reduced"/>
    <w:basedOn w:val="Standardowy"/>
    <w:uiPriority w:val="99"/>
    <w:rsid w:val="00D13CCD"/>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D13CCD"/>
    <w:pPr>
      <w:ind w:firstLine="284"/>
    </w:pPr>
    <w:rPr>
      <w:b/>
    </w:rPr>
  </w:style>
  <w:style w:type="character" w:styleId="Numerstrony">
    <w:name w:val="page number"/>
    <w:uiPriority w:val="98"/>
    <w:semiHidden/>
    <w:rsid w:val="00D13CCD"/>
    <w:rPr>
      <w:sz w:val="18"/>
    </w:rPr>
  </w:style>
  <w:style w:type="paragraph" w:styleId="Listapunktowana">
    <w:name w:val="List Bullet"/>
    <w:basedOn w:val="Normalny"/>
    <w:uiPriority w:val="98"/>
    <w:semiHidden/>
    <w:rsid w:val="00D13CCD"/>
    <w:pPr>
      <w:numPr>
        <w:numId w:val="4"/>
      </w:numPr>
    </w:pPr>
  </w:style>
  <w:style w:type="paragraph" w:styleId="Listapunktowana3">
    <w:name w:val="List Bullet 3"/>
    <w:basedOn w:val="Normalny"/>
    <w:uiPriority w:val="98"/>
    <w:semiHidden/>
    <w:rsid w:val="00D13CCD"/>
    <w:pPr>
      <w:numPr>
        <w:numId w:val="6"/>
      </w:numPr>
      <w:contextualSpacing/>
    </w:pPr>
  </w:style>
  <w:style w:type="character" w:customStyle="1" w:styleId="Tekstpodstawowy2Znak">
    <w:name w:val="Tekst podstawowy 2 Znak"/>
    <w:basedOn w:val="Domylnaczcionkaakapitu"/>
    <w:link w:val="Tekstpodstawowy2"/>
    <w:uiPriority w:val="98"/>
    <w:semiHidden/>
    <w:rsid w:val="00D13CCD"/>
    <w:rPr>
      <w:sz w:val="24"/>
      <w:szCs w:val="24"/>
      <w:lang w:val="pl-PL"/>
    </w:rPr>
  </w:style>
  <w:style w:type="paragraph" w:styleId="Tekstpodstawowy3">
    <w:name w:val="Body Text 3"/>
    <w:basedOn w:val="Normalny"/>
    <w:link w:val="Tekstpodstawowy3Znak"/>
    <w:uiPriority w:val="98"/>
    <w:semiHidden/>
    <w:rsid w:val="00D13CCD"/>
    <w:pPr>
      <w:spacing w:after="120"/>
    </w:pPr>
    <w:rPr>
      <w:sz w:val="16"/>
      <w:szCs w:val="16"/>
    </w:rPr>
  </w:style>
  <w:style w:type="character" w:customStyle="1" w:styleId="Tekstpodstawowy3Znak">
    <w:name w:val="Tekst podstawowy 3 Znak"/>
    <w:basedOn w:val="Domylnaczcionkaakapitu"/>
    <w:link w:val="Tekstpodstawowy3"/>
    <w:uiPriority w:val="98"/>
    <w:semiHidden/>
    <w:rsid w:val="00D13CCD"/>
    <w:rPr>
      <w:sz w:val="16"/>
      <w:szCs w:val="16"/>
      <w:lang w:val="pl-PL"/>
    </w:rPr>
  </w:style>
  <w:style w:type="paragraph" w:styleId="Tekstpodstawowyzwciciem">
    <w:name w:val="Body Text First Indent"/>
    <w:basedOn w:val="Tekstpodstawowy"/>
    <w:link w:val="TekstpodstawowyzwciciemZnak"/>
    <w:uiPriority w:val="98"/>
    <w:semiHidden/>
    <w:rsid w:val="00D13CCD"/>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D13CCD"/>
    <w:rPr>
      <w:sz w:val="24"/>
      <w:szCs w:val="24"/>
      <w:lang w:val="pl-PL"/>
    </w:rPr>
  </w:style>
  <w:style w:type="paragraph" w:styleId="Tekstpodstawowywcity">
    <w:name w:val="Body Text Indent"/>
    <w:basedOn w:val="Normalny"/>
    <w:link w:val="TekstpodstawowywcityZnak"/>
    <w:uiPriority w:val="98"/>
    <w:semiHidden/>
    <w:rsid w:val="00D13CCD"/>
    <w:pPr>
      <w:spacing w:after="120"/>
      <w:ind w:left="283"/>
    </w:pPr>
  </w:style>
  <w:style w:type="character" w:customStyle="1" w:styleId="TekstpodstawowywcityZnak">
    <w:name w:val="Tekst podstawowy wcięty Znak"/>
    <w:basedOn w:val="Domylnaczcionkaakapitu"/>
    <w:link w:val="Tekstpodstawowywcity"/>
    <w:uiPriority w:val="98"/>
    <w:semiHidden/>
    <w:rsid w:val="00D13CCD"/>
    <w:rPr>
      <w:sz w:val="24"/>
      <w:szCs w:val="24"/>
      <w:lang w:val="pl-PL"/>
    </w:rPr>
  </w:style>
  <w:style w:type="paragraph" w:styleId="Tekstpodstawowyzwciciem2">
    <w:name w:val="Body Text First Indent 2"/>
    <w:basedOn w:val="Tekstpodstawowywcity"/>
    <w:link w:val="Tekstpodstawowyzwciciem2Znak"/>
    <w:uiPriority w:val="98"/>
    <w:semiHidden/>
    <w:rsid w:val="00D13CCD"/>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D13CCD"/>
    <w:rPr>
      <w:sz w:val="24"/>
      <w:szCs w:val="24"/>
      <w:lang w:val="pl-PL"/>
    </w:rPr>
  </w:style>
  <w:style w:type="paragraph" w:styleId="Tekstpodstawowywcity2">
    <w:name w:val="Body Text Indent 2"/>
    <w:basedOn w:val="Normalny"/>
    <w:link w:val="Tekstpodstawowywcity2Znak"/>
    <w:uiPriority w:val="98"/>
    <w:semiHidden/>
    <w:rsid w:val="00D13CCD"/>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D13CCD"/>
    <w:rPr>
      <w:sz w:val="24"/>
      <w:szCs w:val="24"/>
      <w:lang w:val="pl-PL"/>
    </w:rPr>
  </w:style>
  <w:style w:type="paragraph" w:styleId="Tekstpodstawowywcity3">
    <w:name w:val="Body Text Indent 3"/>
    <w:basedOn w:val="Normalny"/>
    <w:link w:val="Tekstpodstawowywcity3Znak"/>
    <w:uiPriority w:val="98"/>
    <w:semiHidden/>
    <w:rsid w:val="00D13CC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D13CCD"/>
    <w:rPr>
      <w:sz w:val="16"/>
      <w:szCs w:val="16"/>
      <w:lang w:val="pl-PL"/>
    </w:rPr>
  </w:style>
  <w:style w:type="paragraph" w:styleId="Legenda">
    <w:name w:val="caption"/>
    <w:basedOn w:val="Normalny"/>
    <w:next w:val="Normalny"/>
    <w:uiPriority w:val="98"/>
    <w:semiHidden/>
    <w:qFormat/>
    <w:rsid w:val="00D13CCD"/>
    <w:pPr>
      <w:spacing w:after="200"/>
    </w:pPr>
    <w:rPr>
      <w:b/>
      <w:bCs/>
      <w:color w:val="0072BC" w:themeColor="accent1"/>
      <w:sz w:val="18"/>
      <w:szCs w:val="18"/>
    </w:rPr>
  </w:style>
  <w:style w:type="paragraph" w:styleId="Zwrotpoegnalny">
    <w:name w:val="Closing"/>
    <w:basedOn w:val="Normalny"/>
    <w:link w:val="ZwrotpoegnalnyZnak"/>
    <w:uiPriority w:val="98"/>
    <w:semiHidden/>
    <w:rsid w:val="00D13CCD"/>
    <w:pPr>
      <w:ind w:left="4252"/>
    </w:pPr>
  </w:style>
  <w:style w:type="character" w:customStyle="1" w:styleId="ZwrotpoegnalnyZnak">
    <w:name w:val="Zwrot pożegnalny Znak"/>
    <w:basedOn w:val="Domylnaczcionkaakapitu"/>
    <w:link w:val="Zwrotpoegnalny"/>
    <w:uiPriority w:val="98"/>
    <w:semiHidden/>
    <w:rsid w:val="00D13CCD"/>
    <w:rPr>
      <w:sz w:val="24"/>
      <w:szCs w:val="24"/>
      <w:lang w:val="pl-PL"/>
    </w:rPr>
  </w:style>
  <w:style w:type="table" w:styleId="Kolorowasiatka">
    <w:name w:val="Colorful Grid"/>
    <w:basedOn w:val="Standardowy"/>
    <w:uiPriority w:val="73"/>
    <w:semiHidden/>
    <w:rsid w:val="00D13CCD"/>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D13CCD"/>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D13CCD"/>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D13CCD"/>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D13CCD"/>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D13CCD"/>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D13CCD"/>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D13CCD"/>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D13CCD"/>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D13CCD"/>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D13CCD"/>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D13CCD"/>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D13CCD"/>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D13CCD"/>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D13CCD"/>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D13CCD"/>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D13CCD"/>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D13CCD"/>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D13CCD"/>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D13CCD"/>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D13CCD"/>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D13CCD"/>
    <w:rPr>
      <w:sz w:val="16"/>
      <w:szCs w:val="16"/>
    </w:rPr>
  </w:style>
  <w:style w:type="paragraph" w:styleId="Tekstkomentarza">
    <w:name w:val="annotation text"/>
    <w:basedOn w:val="Normalny"/>
    <w:link w:val="TekstkomentarzaZnak"/>
    <w:uiPriority w:val="98"/>
    <w:semiHidden/>
    <w:rsid w:val="00D13CCD"/>
    <w:rPr>
      <w:sz w:val="20"/>
      <w:szCs w:val="20"/>
    </w:rPr>
  </w:style>
  <w:style w:type="character" w:customStyle="1" w:styleId="TekstkomentarzaZnak">
    <w:name w:val="Tekst komentarza Znak"/>
    <w:basedOn w:val="Domylnaczcionkaakapitu"/>
    <w:link w:val="Tekstkomentarza"/>
    <w:uiPriority w:val="98"/>
    <w:semiHidden/>
    <w:rsid w:val="00D13CCD"/>
    <w:rPr>
      <w:sz w:val="20"/>
      <w:szCs w:val="20"/>
      <w:lang w:val="pl-PL"/>
    </w:rPr>
  </w:style>
  <w:style w:type="paragraph" w:styleId="Tematkomentarza">
    <w:name w:val="annotation subject"/>
    <w:basedOn w:val="Tekstkomentarza"/>
    <w:next w:val="Tekstkomentarza"/>
    <w:link w:val="TematkomentarzaZnak"/>
    <w:uiPriority w:val="98"/>
    <w:semiHidden/>
    <w:rsid w:val="00D13CCD"/>
    <w:rPr>
      <w:b/>
      <w:bCs/>
    </w:rPr>
  </w:style>
  <w:style w:type="character" w:customStyle="1" w:styleId="TematkomentarzaZnak">
    <w:name w:val="Temat komentarza Znak"/>
    <w:basedOn w:val="TekstkomentarzaZnak"/>
    <w:link w:val="Tematkomentarza"/>
    <w:uiPriority w:val="98"/>
    <w:semiHidden/>
    <w:rsid w:val="00D13CCD"/>
    <w:rPr>
      <w:b/>
      <w:bCs/>
      <w:sz w:val="20"/>
      <w:szCs w:val="20"/>
      <w:lang w:val="pl-PL"/>
    </w:rPr>
  </w:style>
  <w:style w:type="table" w:styleId="Ciemnalista">
    <w:name w:val="Dark List"/>
    <w:basedOn w:val="Standardowy"/>
    <w:uiPriority w:val="70"/>
    <w:semiHidden/>
    <w:rsid w:val="00D13CCD"/>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D13CCD"/>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D13CCD"/>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D13CCD"/>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D13CCD"/>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D13CCD"/>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D13CCD"/>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D13CCD"/>
  </w:style>
  <w:style w:type="character" w:customStyle="1" w:styleId="DataZnak">
    <w:name w:val="Data Znak"/>
    <w:basedOn w:val="Domylnaczcionkaakapitu"/>
    <w:link w:val="Data"/>
    <w:uiPriority w:val="98"/>
    <w:semiHidden/>
    <w:rsid w:val="00D13CCD"/>
    <w:rPr>
      <w:sz w:val="24"/>
      <w:szCs w:val="24"/>
      <w:lang w:val="pl-PL"/>
    </w:rPr>
  </w:style>
  <w:style w:type="paragraph" w:styleId="Mapadokumentu">
    <w:name w:val="Document Map"/>
    <w:basedOn w:val="Normalny"/>
    <w:link w:val="MapadokumentuZnak"/>
    <w:uiPriority w:val="98"/>
    <w:semiHidden/>
    <w:rsid w:val="00D13CCD"/>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D13CCD"/>
    <w:rPr>
      <w:rFonts w:ascii="Tahoma" w:hAnsi="Tahoma" w:cs="Tahoma"/>
      <w:sz w:val="16"/>
      <w:szCs w:val="16"/>
      <w:lang w:val="pl-PL"/>
    </w:rPr>
  </w:style>
  <w:style w:type="paragraph" w:styleId="Podpise-mail">
    <w:name w:val="E-mail Signature"/>
    <w:basedOn w:val="Normalny"/>
    <w:link w:val="Podpise-mailZnak"/>
    <w:uiPriority w:val="98"/>
    <w:semiHidden/>
    <w:rsid w:val="00D13CCD"/>
  </w:style>
  <w:style w:type="character" w:customStyle="1" w:styleId="Podpise-mailZnak">
    <w:name w:val="Podpis e-mail Znak"/>
    <w:basedOn w:val="Domylnaczcionkaakapitu"/>
    <w:link w:val="Podpise-mail"/>
    <w:uiPriority w:val="98"/>
    <w:semiHidden/>
    <w:rsid w:val="00D13CCD"/>
    <w:rPr>
      <w:sz w:val="24"/>
      <w:szCs w:val="24"/>
      <w:lang w:val="pl-PL"/>
    </w:rPr>
  </w:style>
  <w:style w:type="character" w:styleId="Odwoanieprzypisukocowego">
    <w:name w:val="endnote reference"/>
    <w:basedOn w:val="Domylnaczcionkaakapitu"/>
    <w:uiPriority w:val="98"/>
    <w:semiHidden/>
    <w:rsid w:val="00D13CCD"/>
    <w:rPr>
      <w:vertAlign w:val="superscript"/>
    </w:rPr>
  </w:style>
  <w:style w:type="paragraph" w:styleId="Tekstprzypisukocowego">
    <w:name w:val="endnote text"/>
    <w:basedOn w:val="Normalny"/>
    <w:link w:val="TekstprzypisukocowegoZnak"/>
    <w:uiPriority w:val="98"/>
    <w:semiHidden/>
    <w:rsid w:val="00D13CCD"/>
    <w:rPr>
      <w:sz w:val="20"/>
      <w:szCs w:val="20"/>
    </w:rPr>
  </w:style>
  <w:style w:type="character" w:customStyle="1" w:styleId="TekstprzypisukocowegoZnak">
    <w:name w:val="Tekst przypisu końcowego Znak"/>
    <w:basedOn w:val="Domylnaczcionkaakapitu"/>
    <w:link w:val="Tekstprzypisukocowego"/>
    <w:uiPriority w:val="98"/>
    <w:semiHidden/>
    <w:rsid w:val="00D13CCD"/>
    <w:rPr>
      <w:sz w:val="20"/>
      <w:szCs w:val="20"/>
      <w:lang w:val="pl-PL"/>
    </w:rPr>
  </w:style>
  <w:style w:type="paragraph" w:styleId="Adresnakopercie">
    <w:name w:val="envelope address"/>
    <w:basedOn w:val="Normalny"/>
    <w:uiPriority w:val="98"/>
    <w:semiHidden/>
    <w:rsid w:val="00D13CCD"/>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D13CCD"/>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D13CCD"/>
    <w:rPr>
      <w:color w:val="7030A0" w:themeColor="followedHyperlink"/>
      <w:u w:val="single"/>
    </w:rPr>
  </w:style>
  <w:style w:type="character" w:styleId="HTML-akronim">
    <w:name w:val="HTML Acronym"/>
    <w:basedOn w:val="Domylnaczcionkaakapitu"/>
    <w:uiPriority w:val="98"/>
    <w:semiHidden/>
    <w:rsid w:val="00D13CCD"/>
  </w:style>
  <w:style w:type="paragraph" w:styleId="HTML-adres">
    <w:name w:val="HTML Address"/>
    <w:basedOn w:val="Normalny"/>
    <w:link w:val="HTML-adresZnak"/>
    <w:uiPriority w:val="98"/>
    <w:semiHidden/>
    <w:rsid w:val="00D13CCD"/>
    <w:rPr>
      <w:i/>
      <w:iCs/>
    </w:rPr>
  </w:style>
  <w:style w:type="character" w:customStyle="1" w:styleId="HTML-adresZnak">
    <w:name w:val="HTML - adres Znak"/>
    <w:basedOn w:val="Domylnaczcionkaakapitu"/>
    <w:link w:val="HTML-adres"/>
    <w:uiPriority w:val="98"/>
    <w:semiHidden/>
    <w:rsid w:val="00D13CCD"/>
    <w:rPr>
      <w:i/>
      <w:iCs/>
      <w:sz w:val="24"/>
      <w:szCs w:val="24"/>
      <w:lang w:val="pl-PL"/>
    </w:rPr>
  </w:style>
  <w:style w:type="character" w:styleId="HTML-cytat">
    <w:name w:val="HTML Cite"/>
    <w:basedOn w:val="Domylnaczcionkaakapitu"/>
    <w:uiPriority w:val="98"/>
    <w:semiHidden/>
    <w:rsid w:val="00D13CCD"/>
    <w:rPr>
      <w:i/>
      <w:iCs/>
    </w:rPr>
  </w:style>
  <w:style w:type="character" w:styleId="HTML-kod">
    <w:name w:val="HTML Code"/>
    <w:basedOn w:val="Domylnaczcionkaakapitu"/>
    <w:uiPriority w:val="98"/>
    <w:semiHidden/>
    <w:rsid w:val="00D13CCD"/>
    <w:rPr>
      <w:rFonts w:ascii="Consolas" w:hAnsi="Consolas" w:cs="Consolas"/>
      <w:sz w:val="20"/>
      <w:szCs w:val="20"/>
    </w:rPr>
  </w:style>
  <w:style w:type="character" w:styleId="HTML-definicja">
    <w:name w:val="HTML Definition"/>
    <w:basedOn w:val="Domylnaczcionkaakapitu"/>
    <w:uiPriority w:val="98"/>
    <w:semiHidden/>
    <w:rsid w:val="00D13CCD"/>
    <w:rPr>
      <w:i/>
      <w:iCs/>
    </w:rPr>
  </w:style>
  <w:style w:type="character" w:styleId="HTML-klawiatura">
    <w:name w:val="HTML Keyboard"/>
    <w:basedOn w:val="Domylnaczcionkaakapitu"/>
    <w:uiPriority w:val="98"/>
    <w:semiHidden/>
    <w:rsid w:val="00D13CCD"/>
    <w:rPr>
      <w:rFonts w:ascii="Consolas" w:hAnsi="Consolas" w:cs="Consolas"/>
      <w:sz w:val="20"/>
      <w:szCs w:val="20"/>
    </w:rPr>
  </w:style>
  <w:style w:type="paragraph" w:styleId="HTML-wstpniesformatowany">
    <w:name w:val="HTML Preformatted"/>
    <w:basedOn w:val="Normalny"/>
    <w:link w:val="HTML-wstpniesformatowanyZnak"/>
    <w:uiPriority w:val="98"/>
    <w:semiHidden/>
    <w:rsid w:val="00D13CC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D13CCD"/>
    <w:rPr>
      <w:rFonts w:ascii="Consolas" w:hAnsi="Consolas" w:cs="Consolas"/>
      <w:sz w:val="20"/>
      <w:szCs w:val="20"/>
      <w:lang w:val="pl-PL"/>
    </w:rPr>
  </w:style>
  <w:style w:type="character" w:styleId="HTML-przykad">
    <w:name w:val="HTML Sample"/>
    <w:basedOn w:val="Domylnaczcionkaakapitu"/>
    <w:uiPriority w:val="98"/>
    <w:semiHidden/>
    <w:rsid w:val="00D13CCD"/>
    <w:rPr>
      <w:rFonts w:ascii="Consolas" w:hAnsi="Consolas" w:cs="Consolas"/>
      <w:sz w:val="24"/>
      <w:szCs w:val="24"/>
    </w:rPr>
  </w:style>
  <w:style w:type="character" w:styleId="HTML-staaszeroko">
    <w:name w:val="HTML Typewriter"/>
    <w:basedOn w:val="Domylnaczcionkaakapitu"/>
    <w:uiPriority w:val="98"/>
    <w:semiHidden/>
    <w:rsid w:val="00D13CCD"/>
    <w:rPr>
      <w:rFonts w:ascii="Consolas" w:hAnsi="Consolas" w:cs="Consolas"/>
      <w:sz w:val="20"/>
      <w:szCs w:val="20"/>
    </w:rPr>
  </w:style>
  <w:style w:type="character" w:styleId="HTML-zmienna">
    <w:name w:val="HTML Variable"/>
    <w:basedOn w:val="Domylnaczcionkaakapitu"/>
    <w:uiPriority w:val="98"/>
    <w:semiHidden/>
    <w:rsid w:val="00D13CCD"/>
    <w:rPr>
      <w:i/>
      <w:iCs/>
    </w:rPr>
  </w:style>
  <w:style w:type="paragraph" w:styleId="Indeks1">
    <w:name w:val="index 1"/>
    <w:basedOn w:val="Normalny"/>
    <w:next w:val="Normalny"/>
    <w:autoRedefine/>
    <w:uiPriority w:val="98"/>
    <w:semiHidden/>
    <w:rsid w:val="00D13CCD"/>
    <w:pPr>
      <w:ind w:left="240" w:hanging="240"/>
    </w:pPr>
  </w:style>
  <w:style w:type="paragraph" w:styleId="Indeks2">
    <w:name w:val="index 2"/>
    <w:basedOn w:val="Normalny"/>
    <w:next w:val="Normalny"/>
    <w:autoRedefine/>
    <w:uiPriority w:val="98"/>
    <w:semiHidden/>
    <w:rsid w:val="00D13CCD"/>
    <w:pPr>
      <w:ind w:left="480" w:hanging="240"/>
    </w:pPr>
  </w:style>
  <w:style w:type="paragraph" w:styleId="Indeks3">
    <w:name w:val="index 3"/>
    <w:basedOn w:val="Normalny"/>
    <w:next w:val="Normalny"/>
    <w:autoRedefine/>
    <w:uiPriority w:val="98"/>
    <w:semiHidden/>
    <w:rsid w:val="00D13CCD"/>
    <w:pPr>
      <w:ind w:left="720" w:hanging="240"/>
    </w:pPr>
  </w:style>
  <w:style w:type="paragraph" w:styleId="Indeks4">
    <w:name w:val="index 4"/>
    <w:basedOn w:val="Normalny"/>
    <w:next w:val="Normalny"/>
    <w:autoRedefine/>
    <w:uiPriority w:val="98"/>
    <w:semiHidden/>
    <w:rsid w:val="00D13CCD"/>
    <w:pPr>
      <w:ind w:left="960" w:hanging="240"/>
    </w:pPr>
  </w:style>
  <w:style w:type="paragraph" w:styleId="Indeks5">
    <w:name w:val="index 5"/>
    <w:basedOn w:val="Normalny"/>
    <w:next w:val="Normalny"/>
    <w:autoRedefine/>
    <w:uiPriority w:val="98"/>
    <w:semiHidden/>
    <w:rsid w:val="00D13CCD"/>
    <w:pPr>
      <w:ind w:left="1200" w:hanging="240"/>
    </w:pPr>
  </w:style>
  <w:style w:type="paragraph" w:styleId="Indeks6">
    <w:name w:val="index 6"/>
    <w:basedOn w:val="Normalny"/>
    <w:next w:val="Normalny"/>
    <w:autoRedefine/>
    <w:uiPriority w:val="98"/>
    <w:semiHidden/>
    <w:rsid w:val="00D13CCD"/>
    <w:pPr>
      <w:ind w:left="1440" w:hanging="240"/>
    </w:pPr>
  </w:style>
  <w:style w:type="paragraph" w:styleId="Indeks7">
    <w:name w:val="index 7"/>
    <w:basedOn w:val="Normalny"/>
    <w:next w:val="Normalny"/>
    <w:autoRedefine/>
    <w:uiPriority w:val="98"/>
    <w:semiHidden/>
    <w:rsid w:val="00D13CCD"/>
    <w:pPr>
      <w:ind w:left="1680" w:hanging="240"/>
    </w:pPr>
  </w:style>
  <w:style w:type="paragraph" w:styleId="Indeks8">
    <w:name w:val="index 8"/>
    <w:basedOn w:val="Normalny"/>
    <w:next w:val="Normalny"/>
    <w:autoRedefine/>
    <w:uiPriority w:val="98"/>
    <w:semiHidden/>
    <w:rsid w:val="00D13CCD"/>
    <w:pPr>
      <w:ind w:left="1920" w:hanging="240"/>
    </w:pPr>
  </w:style>
  <w:style w:type="paragraph" w:styleId="Indeks9">
    <w:name w:val="index 9"/>
    <w:basedOn w:val="Normalny"/>
    <w:next w:val="Normalny"/>
    <w:autoRedefine/>
    <w:uiPriority w:val="98"/>
    <w:semiHidden/>
    <w:rsid w:val="00D13CCD"/>
    <w:pPr>
      <w:ind w:left="2160" w:hanging="240"/>
    </w:pPr>
  </w:style>
  <w:style w:type="paragraph" w:styleId="Nagwekindeksu">
    <w:name w:val="index heading"/>
    <w:basedOn w:val="Normalny"/>
    <w:next w:val="Indeks1"/>
    <w:uiPriority w:val="98"/>
    <w:semiHidden/>
    <w:rsid w:val="00D13CCD"/>
    <w:rPr>
      <w:rFonts w:asciiTheme="majorHAnsi" w:eastAsiaTheme="majorEastAsia" w:hAnsiTheme="majorHAnsi" w:cstheme="majorBidi"/>
      <w:b/>
      <w:bCs/>
    </w:rPr>
  </w:style>
  <w:style w:type="table" w:styleId="Jasnasiatka">
    <w:name w:val="Light Grid"/>
    <w:basedOn w:val="Standardowy"/>
    <w:uiPriority w:val="62"/>
    <w:semiHidden/>
    <w:rsid w:val="00D13CCD"/>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D13CCD"/>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D13CCD"/>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D13CCD"/>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D13CCD"/>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D13CCD"/>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D13CCD"/>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D13CCD"/>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D13CCD"/>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D13CCD"/>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D13CCD"/>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D13CCD"/>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D13CCD"/>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D13CCD"/>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D13CCD"/>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D13CCD"/>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D13CCD"/>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D13CCD"/>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D13CCD"/>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D13CCD"/>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D13CCD"/>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D13CCD"/>
  </w:style>
  <w:style w:type="paragraph" w:styleId="Lista">
    <w:name w:val="List"/>
    <w:basedOn w:val="Normalny"/>
    <w:uiPriority w:val="98"/>
    <w:semiHidden/>
    <w:rsid w:val="00D13CCD"/>
    <w:pPr>
      <w:ind w:left="283" w:hanging="283"/>
      <w:contextualSpacing/>
    </w:pPr>
  </w:style>
  <w:style w:type="paragraph" w:styleId="Lista2">
    <w:name w:val="List 2"/>
    <w:basedOn w:val="Normalny"/>
    <w:uiPriority w:val="98"/>
    <w:semiHidden/>
    <w:rsid w:val="00D13CCD"/>
    <w:pPr>
      <w:ind w:left="566" w:hanging="283"/>
      <w:contextualSpacing/>
    </w:pPr>
  </w:style>
  <w:style w:type="paragraph" w:styleId="Lista3">
    <w:name w:val="List 3"/>
    <w:basedOn w:val="Normalny"/>
    <w:uiPriority w:val="98"/>
    <w:semiHidden/>
    <w:rsid w:val="00D13CCD"/>
    <w:pPr>
      <w:ind w:left="849" w:hanging="283"/>
      <w:contextualSpacing/>
    </w:pPr>
  </w:style>
  <w:style w:type="paragraph" w:styleId="Lista4">
    <w:name w:val="List 4"/>
    <w:basedOn w:val="Normalny"/>
    <w:uiPriority w:val="98"/>
    <w:semiHidden/>
    <w:rsid w:val="00D13CCD"/>
    <w:pPr>
      <w:ind w:left="1132" w:hanging="283"/>
      <w:contextualSpacing/>
    </w:pPr>
  </w:style>
  <w:style w:type="paragraph" w:styleId="Lista5">
    <w:name w:val="List 5"/>
    <w:basedOn w:val="Normalny"/>
    <w:uiPriority w:val="98"/>
    <w:semiHidden/>
    <w:rsid w:val="00D13CCD"/>
    <w:pPr>
      <w:ind w:left="1415" w:hanging="283"/>
      <w:contextualSpacing/>
    </w:pPr>
  </w:style>
  <w:style w:type="paragraph" w:styleId="Listapunktowana2">
    <w:name w:val="List Bullet 2"/>
    <w:basedOn w:val="Normalny"/>
    <w:uiPriority w:val="98"/>
    <w:semiHidden/>
    <w:rsid w:val="00D13CCD"/>
    <w:pPr>
      <w:numPr>
        <w:numId w:val="5"/>
      </w:numPr>
      <w:contextualSpacing/>
    </w:pPr>
  </w:style>
  <w:style w:type="paragraph" w:styleId="Listapunktowana4">
    <w:name w:val="List Bullet 4"/>
    <w:basedOn w:val="Normalny"/>
    <w:uiPriority w:val="98"/>
    <w:semiHidden/>
    <w:rsid w:val="00D13CCD"/>
    <w:pPr>
      <w:numPr>
        <w:numId w:val="7"/>
      </w:numPr>
      <w:contextualSpacing/>
    </w:pPr>
  </w:style>
  <w:style w:type="paragraph" w:styleId="Listapunktowana5">
    <w:name w:val="List Bullet 5"/>
    <w:basedOn w:val="Normalny"/>
    <w:uiPriority w:val="98"/>
    <w:semiHidden/>
    <w:rsid w:val="00D13CCD"/>
    <w:pPr>
      <w:numPr>
        <w:numId w:val="8"/>
      </w:numPr>
      <w:contextualSpacing/>
    </w:pPr>
  </w:style>
  <w:style w:type="paragraph" w:styleId="Lista-kontynuacja">
    <w:name w:val="List Continue"/>
    <w:basedOn w:val="Normalny"/>
    <w:uiPriority w:val="98"/>
    <w:semiHidden/>
    <w:rsid w:val="00D13CCD"/>
    <w:pPr>
      <w:spacing w:after="120"/>
      <w:ind w:left="283"/>
      <w:contextualSpacing/>
    </w:pPr>
  </w:style>
  <w:style w:type="paragraph" w:styleId="Lista-kontynuacja2">
    <w:name w:val="List Continue 2"/>
    <w:basedOn w:val="Normalny"/>
    <w:uiPriority w:val="98"/>
    <w:semiHidden/>
    <w:rsid w:val="00D13CCD"/>
    <w:pPr>
      <w:spacing w:after="120"/>
      <w:ind w:left="566"/>
      <w:contextualSpacing/>
    </w:pPr>
  </w:style>
  <w:style w:type="paragraph" w:styleId="Lista-kontynuacja3">
    <w:name w:val="List Continue 3"/>
    <w:basedOn w:val="Normalny"/>
    <w:uiPriority w:val="98"/>
    <w:semiHidden/>
    <w:rsid w:val="00D13CCD"/>
    <w:pPr>
      <w:spacing w:after="120"/>
      <w:ind w:left="849"/>
      <w:contextualSpacing/>
    </w:pPr>
  </w:style>
  <w:style w:type="paragraph" w:styleId="Lista-kontynuacja4">
    <w:name w:val="List Continue 4"/>
    <w:basedOn w:val="Normalny"/>
    <w:uiPriority w:val="98"/>
    <w:semiHidden/>
    <w:rsid w:val="00D13CCD"/>
    <w:pPr>
      <w:spacing w:after="120"/>
      <w:ind w:left="1132"/>
      <w:contextualSpacing/>
    </w:pPr>
  </w:style>
  <w:style w:type="paragraph" w:styleId="Lista-kontynuacja5">
    <w:name w:val="List Continue 5"/>
    <w:basedOn w:val="Normalny"/>
    <w:uiPriority w:val="98"/>
    <w:semiHidden/>
    <w:rsid w:val="00D13CCD"/>
    <w:pPr>
      <w:spacing w:after="120"/>
      <w:ind w:left="1415"/>
      <w:contextualSpacing/>
    </w:pPr>
  </w:style>
  <w:style w:type="paragraph" w:styleId="Listanumerowana">
    <w:name w:val="List Number"/>
    <w:basedOn w:val="Normalny"/>
    <w:uiPriority w:val="98"/>
    <w:semiHidden/>
    <w:rsid w:val="00D13CCD"/>
    <w:pPr>
      <w:numPr>
        <w:numId w:val="9"/>
      </w:numPr>
      <w:contextualSpacing/>
    </w:pPr>
  </w:style>
  <w:style w:type="paragraph" w:styleId="Listanumerowana2">
    <w:name w:val="List Number 2"/>
    <w:basedOn w:val="Normalny"/>
    <w:uiPriority w:val="98"/>
    <w:semiHidden/>
    <w:rsid w:val="00D13CCD"/>
    <w:pPr>
      <w:numPr>
        <w:numId w:val="10"/>
      </w:numPr>
      <w:contextualSpacing/>
    </w:pPr>
  </w:style>
  <w:style w:type="paragraph" w:styleId="Listanumerowana3">
    <w:name w:val="List Number 3"/>
    <w:basedOn w:val="Normalny"/>
    <w:uiPriority w:val="98"/>
    <w:semiHidden/>
    <w:rsid w:val="00D13CCD"/>
    <w:pPr>
      <w:numPr>
        <w:numId w:val="11"/>
      </w:numPr>
      <w:contextualSpacing/>
    </w:pPr>
  </w:style>
  <w:style w:type="paragraph" w:styleId="Listanumerowana4">
    <w:name w:val="List Number 4"/>
    <w:basedOn w:val="Normalny"/>
    <w:uiPriority w:val="98"/>
    <w:semiHidden/>
    <w:rsid w:val="00D13CCD"/>
    <w:pPr>
      <w:numPr>
        <w:numId w:val="12"/>
      </w:numPr>
      <w:contextualSpacing/>
    </w:pPr>
  </w:style>
  <w:style w:type="paragraph" w:styleId="Listanumerowana5">
    <w:name w:val="List Number 5"/>
    <w:basedOn w:val="Normalny"/>
    <w:uiPriority w:val="98"/>
    <w:semiHidden/>
    <w:rsid w:val="00D13CCD"/>
    <w:pPr>
      <w:numPr>
        <w:numId w:val="13"/>
      </w:numPr>
      <w:contextualSpacing/>
    </w:pPr>
  </w:style>
  <w:style w:type="paragraph" w:styleId="Tekstmakra">
    <w:name w:val="macro"/>
    <w:link w:val="TekstmakraZnak"/>
    <w:uiPriority w:val="98"/>
    <w:semiHidden/>
    <w:rsid w:val="00D13CC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D13CCD"/>
    <w:rPr>
      <w:rFonts w:ascii="Consolas" w:eastAsiaTheme="minorEastAsia" w:hAnsi="Consolas" w:cs="Consolas"/>
      <w:sz w:val="20"/>
      <w:szCs w:val="20"/>
    </w:rPr>
  </w:style>
  <w:style w:type="table" w:styleId="redniasiatka1">
    <w:name w:val="Medium Grid 1"/>
    <w:basedOn w:val="Standardowy"/>
    <w:uiPriority w:val="67"/>
    <w:semiHidden/>
    <w:rsid w:val="00D13CCD"/>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D13CCD"/>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D13CCD"/>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D13CCD"/>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D13CCD"/>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D13CCD"/>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D13CCD"/>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D13CCD"/>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D13CCD"/>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D13CCD"/>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D13CC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D13CCD"/>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D13CC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D13CCD"/>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D13CC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D13CC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D13CC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D13CC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D13CC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D13CC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D13CC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D13CCD"/>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D13CCD"/>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D13CCD"/>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D13CCD"/>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D13CCD"/>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D13CCD"/>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D13CCD"/>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D13CCD"/>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D13CCD"/>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D13CCD"/>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D13CC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D13CCD"/>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D13CC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D13CCD"/>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D13CCD"/>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D13CCD"/>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D13CCD"/>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D13CCD"/>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D13CCD"/>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D13CCD"/>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D13CCD"/>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D13CC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D13CC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D13CC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D13CC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D13CC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D13CC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D13CC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D13CC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D13CCD"/>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D13CCD"/>
    <w:rPr>
      <w:rFonts w:ascii="Times New Roman" w:hAnsi="Times New Roman" w:cs="Times New Roman"/>
    </w:rPr>
  </w:style>
  <w:style w:type="paragraph" w:styleId="Wcicienormalne">
    <w:name w:val="Normal Indent"/>
    <w:basedOn w:val="Normalny"/>
    <w:uiPriority w:val="98"/>
    <w:semiHidden/>
    <w:rsid w:val="00D13CCD"/>
    <w:pPr>
      <w:ind w:left="720"/>
    </w:pPr>
  </w:style>
  <w:style w:type="paragraph" w:styleId="Nagweknotatki">
    <w:name w:val="Note Heading"/>
    <w:basedOn w:val="Normalny"/>
    <w:next w:val="Normalny"/>
    <w:link w:val="NagweknotatkiZnak"/>
    <w:uiPriority w:val="98"/>
    <w:semiHidden/>
    <w:rsid w:val="00D13CCD"/>
  </w:style>
  <w:style w:type="character" w:customStyle="1" w:styleId="NagweknotatkiZnak">
    <w:name w:val="Nagłówek notatki Znak"/>
    <w:basedOn w:val="Domylnaczcionkaakapitu"/>
    <w:link w:val="Nagweknotatki"/>
    <w:uiPriority w:val="98"/>
    <w:semiHidden/>
    <w:rsid w:val="00D13CCD"/>
    <w:rPr>
      <w:sz w:val="24"/>
      <w:szCs w:val="24"/>
      <w:lang w:val="pl-PL"/>
    </w:rPr>
  </w:style>
  <w:style w:type="character" w:styleId="Tekstzastpczy">
    <w:name w:val="Placeholder Text"/>
    <w:basedOn w:val="Domylnaczcionkaakapitu"/>
    <w:uiPriority w:val="98"/>
    <w:semiHidden/>
    <w:rsid w:val="00D13CCD"/>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D13CCD"/>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D13CCD"/>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D13CCD"/>
  </w:style>
  <w:style w:type="character" w:customStyle="1" w:styleId="ZwrotgrzecznociowyZnak">
    <w:name w:val="Zwrot grzecznościowy Znak"/>
    <w:basedOn w:val="Domylnaczcionkaakapitu"/>
    <w:link w:val="Zwrotgrzecznociowy"/>
    <w:uiPriority w:val="98"/>
    <w:semiHidden/>
    <w:rsid w:val="00D13CCD"/>
    <w:rPr>
      <w:sz w:val="24"/>
      <w:szCs w:val="24"/>
      <w:lang w:val="pl-PL"/>
    </w:rPr>
  </w:style>
  <w:style w:type="paragraph" w:styleId="Podpis">
    <w:name w:val="Signature"/>
    <w:basedOn w:val="Normalny"/>
    <w:link w:val="PodpisZnak"/>
    <w:uiPriority w:val="98"/>
    <w:semiHidden/>
    <w:rsid w:val="00D13CCD"/>
    <w:pPr>
      <w:ind w:left="4252"/>
    </w:pPr>
  </w:style>
  <w:style w:type="character" w:customStyle="1" w:styleId="PodpisZnak">
    <w:name w:val="Podpis Znak"/>
    <w:basedOn w:val="Domylnaczcionkaakapitu"/>
    <w:link w:val="Podpis"/>
    <w:uiPriority w:val="98"/>
    <w:semiHidden/>
    <w:rsid w:val="00D13CCD"/>
    <w:rPr>
      <w:sz w:val="24"/>
      <w:szCs w:val="24"/>
      <w:lang w:val="pl-PL"/>
    </w:rPr>
  </w:style>
  <w:style w:type="table" w:styleId="Tabela-Efekty3D1">
    <w:name w:val="Table 3D effects 1"/>
    <w:basedOn w:val="Standardowy"/>
    <w:uiPriority w:val="99"/>
    <w:semiHidden/>
    <w:unhideWhenUsed/>
    <w:rsid w:val="00D13CCD"/>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D13CCD"/>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D13CCD"/>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13CCD"/>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13CCD"/>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13CCD"/>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13CCD"/>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D13CCD"/>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D13CCD"/>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D13CCD"/>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13CCD"/>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13CCD"/>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13CCD"/>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13CCD"/>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13CCD"/>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13CCD"/>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13CCD"/>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13CC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13CCD"/>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13CCD"/>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13CCD"/>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13CC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13CCD"/>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13CCD"/>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13CCD"/>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13CCD"/>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13CCD"/>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13CCD"/>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13CC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13CC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13CC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13CCD"/>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13CC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D13CCD"/>
    <w:pPr>
      <w:ind w:left="240" w:hanging="240"/>
    </w:pPr>
  </w:style>
  <w:style w:type="paragraph" w:styleId="Spisilustracji">
    <w:name w:val="table of figures"/>
    <w:basedOn w:val="Normalny"/>
    <w:next w:val="Normalny"/>
    <w:uiPriority w:val="98"/>
    <w:semiHidden/>
    <w:rsid w:val="00D13CCD"/>
  </w:style>
  <w:style w:type="table" w:styleId="Tabela-Profesjonalny">
    <w:name w:val="Table Professional"/>
    <w:basedOn w:val="Standardowy"/>
    <w:uiPriority w:val="99"/>
    <w:semiHidden/>
    <w:unhideWhenUsed/>
    <w:rsid w:val="00D13CC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13CCD"/>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13CCD"/>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13CCD"/>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13CCD"/>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13CCD"/>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13CCD"/>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13CCD"/>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13CCD"/>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13CCD"/>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D13CCD"/>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D13CCD"/>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D13CCD"/>
    <w:pPr>
      <w:spacing w:after="100"/>
      <w:ind w:left="1680"/>
    </w:pPr>
  </w:style>
  <w:style w:type="paragraph" w:styleId="Spistreci9">
    <w:name w:val="toc 9"/>
    <w:basedOn w:val="Normalny"/>
    <w:next w:val="Normalny"/>
    <w:autoRedefine/>
    <w:uiPriority w:val="98"/>
    <w:semiHidden/>
    <w:rsid w:val="00D13CCD"/>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D13CCD"/>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D13CCD"/>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D13CCD"/>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D13CCD"/>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D13CCD"/>
    <w:pPr>
      <w:numPr>
        <w:numId w:val="17"/>
      </w:numPr>
      <w:spacing w:before="60" w:after="60"/>
    </w:pPr>
  </w:style>
  <w:style w:type="paragraph" w:customStyle="1" w:styleId="ECHRBullet2">
    <w:name w:val="ECHR_Bullet_2"/>
    <w:aliases w:val="_Bul_2"/>
    <w:basedOn w:val="ECHRBullet1"/>
    <w:uiPriority w:val="23"/>
    <w:semiHidden/>
    <w:rsid w:val="00D13CCD"/>
    <w:pPr>
      <w:numPr>
        <w:ilvl w:val="1"/>
      </w:numPr>
    </w:pPr>
  </w:style>
  <w:style w:type="paragraph" w:customStyle="1" w:styleId="ECHRBullet3">
    <w:name w:val="ECHR_Bullet_3"/>
    <w:aliases w:val="_Bul_3"/>
    <w:basedOn w:val="ECHRBullet2"/>
    <w:uiPriority w:val="23"/>
    <w:semiHidden/>
    <w:rsid w:val="00D13CCD"/>
    <w:pPr>
      <w:numPr>
        <w:ilvl w:val="2"/>
      </w:numPr>
    </w:pPr>
  </w:style>
  <w:style w:type="paragraph" w:customStyle="1" w:styleId="ECHRBullet4">
    <w:name w:val="ECHR_Bullet_4"/>
    <w:aliases w:val="_Bul_4"/>
    <w:basedOn w:val="ECHRBullet3"/>
    <w:uiPriority w:val="23"/>
    <w:semiHidden/>
    <w:rsid w:val="00D13CCD"/>
    <w:pPr>
      <w:numPr>
        <w:ilvl w:val="3"/>
      </w:numPr>
    </w:pPr>
  </w:style>
  <w:style w:type="paragraph" w:customStyle="1" w:styleId="ECHRConfidential">
    <w:name w:val="ECHR_Confidential"/>
    <w:aliases w:val="_Confidential"/>
    <w:basedOn w:val="Normalny"/>
    <w:next w:val="Normalny"/>
    <w:uiPriority w:val="42"/>
    <w:semiHidden/>
    <w:qFormat/>
    <w:rsid w:val="00D13CCD"/>
    <w:pPr>
      <w:jc w:val="right"/>
    </w:pPr>
    <w:rPr>
      <w:color w:val="C00000"/>
      <w:sz w:val="20"/>
    </w:rPr>
  </w:style>
  <w:style w:type="paragraph" w:customStyle="1" w:styleId="ECHRDecisionBody">
    <w:name w:val="ECHR_Decision_Body"/>
    <w:aliases w:val="_Decision_Body"/>
    <w:basedOn w:val="NormalJustified"/>
    <w:uiPriority w:val="54"/>
    <w:semiHidden/>
    <w:rsid w:val="00D13CCD"/>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D13CCD"/>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D13CCD"/>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D13CCD"/>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D13CCD"/>
    <w:pPr>
      <w:jc w:val="right"/>
    </w:pPr>
    <w:rPr>
      <w:sz w:val="20"/>
    </w:rPr>
  </w:style>
  <w:style w:type="paragraph" w:customStyle="1" w:styleId="ECHRHeaderRefIt">
    <w:name w:val="ECHR_Header_Ref_It"/>
    <w:aliases w:val="_Ref_Ital"/>
    <w:basedOn w:val="Normalny"/>
    <w:next w:val="ECHRHeaderDate"/>
    <w:uiPriority w:val="43"/>
    <w:qFormat/>
    <w:rsid w:val="00D13CCD"/>
    <w:pPr>
      <w:jc w:val="right"/>
    </w:pPr>
    <w:rPr>
      <w:i/>
      <w:sz w:val="20"/>
    </w:rPr>
  </w:style>
  <w:style w:type="paragraph" w:customStyle="1" w:styleId="ECHRHeading9">
    <w:name w:val="ECHR_Heading_9"/>
    <w:aliases w:val="_Head_9"/>
    <w:basedOn w:val="Nagwek9"/>
    <w:uiPriority w:val="17"/>
    <w:semiHidden/>
    <w:rsid w:val="00D13CCD"/>
    <w:pPr>
      <w:keepNext/>
      <w:keepLines/>
      <w:numPr>
        <w:ilvl w:val="8"/>
        <w:numId w:val="19"/>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D13CCD"/>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D13CCD"/>
    <w:pPr>
      <w:numPr>
        <w:numId w:val="18"/>
      </w:numPr>
      <w:spacing w:before="60" w:after="60"/>
    </w:pPr>
  </w:style>
  <w:style w:type="paragraph" w:customStyle="1" w:styleId="ECHRNumberedList2">
    <w:name w:val="ECHR_Numbered_List_2"/>
    <w:aliases w:val="_Num_2"/>
    <w:basedOn w:val="ECHRNumberedList1"/>
    <w:uiPriority w:val="23"/>
    <w:semiHidden/>
    <w:rsid w:val="00D13CCD"/>
    <w:pPr>
      <w:numPr>
        <w:ilvl w:val="1"/>
      </w:numPr>
    </w:pPr>
  </w:style>
  <w:style w:type="paragraph" w:customStyle="1" w:styleId="ECHRNumberedList3">
    <w:name w:val="ECHR_Numbered_List_3"/>
    <w:aliases w:val="_Num_3"/>
    <w:basedOn w:val="ECHRNumberedList2"/>
    <w:uiPriority w:val="23"/>
    <w:semiHidden/>
    <w:rsid w:val="00D13CCD"/>
    <w:pPr>
      <w:numPr>
        <w:ilvl w:val="2"/>
      </w:numPr>
    </w:pPr>
  </w:style>
  <w:style w:type="paragraph" w:customStyle="1" w:styleId="ECHRParaHanging">
    <w:name w:val="ECHR_Para_Hanging"/>
    <w:aliases w:val="_Hanging"/>
    <w:basedOn w:val="NormalJustified"/>
    <w:uiPriority w:val="8"/>
    <w:semiHidden/>
    <w:qFormat/>
    <w:rsid w:val="00D13CCD"/>
    <w:pPr>
      <w:ind w:left="567" w:hanging="567"/>
    </w:pPr>
  </w:style>
  <w:style w:type="paragraph" w:customStyle="1" w:styleId="ECHRParaIndent">
    <w:name w:val="ECHR_Para_Indent"/>
    <w:aliases w:val="_Indent"/>
    <w:basedOn w:val="NormalJustified"/>
    <w:uiPriority w:val="7"/>
    <w:semiHidden/>
    <w:qFormat/>
    <w:rsid w:val="00D13CCD"/>
    <w:pPr>
      <w:spacing w:before="120" w:after="120"/>
      <w:ind w:left="284"/>
    </w:pPr>
  </w:style>
  <w:style w:type="character" w:customStyle="1" w:styleId="ECHRRed">
    <w:name w:val="ECHR_Red"/>
    <w:aliases w:val="_Red"/>
    <w:basedOn w:val="Domylnaczcionkaakapitu"/>
    <w:uiPriority w:val="15"/>
    <w:semiHidden/>
    <w:qFormat/>
    <w:rsid w:val="00D13CCD"/>
    <w:rPr>
      <w:color w:val="C00000" w:themeColor="accent2"/>
    </w:rPr>
  </w:style>
  <w:style w:type="paragraph" w:customStyle="1" w:styleId="DecList">
    <w:name w:val="Dec_List"/>
    <w:aliases w:val="_List"/>
    <w:basedOn w:val="JuList"/>
    <w:uiPriority w:val="22"/>
    <w:rsid w:val="00D13CCD"/>
    <w:pPr>
      <w:numPr>
        <w:numId w:val="0"/>
      </w:numPr>
      <w:ind w:left="284"/>
    </w:pPr>
  </w:style>
  <w:style w:type="table" w:customStyle="1" w:styleId="ECHRTable2">
    <w:name w:val="ECHR_Table_2"/>
    <w:basedOn w:val="Standardowy"/>
    <w:uiPriority w:val="99"/>
    <w:rsid w:val="00D13CCD"/>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D13CCD"/>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D13CCD"/>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D13CCD"/>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D13CCD"/>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D13CCD"/>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D13CCD"/>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D13CCD"/>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D13CCD"/>
    <w:pPr>
      <w:outlineLvl w:val="0"/>
    </w:pPr>
  </w:style>
  <w:style w:type="paragraph" w:customStyle="1" w:styleId="ECHRTitleTOC1">
    <w:name w:val="ECHR_Title_TOC_1"/>
    <w:aliases w:val="_Title_L_TOC"/>
    <w:basedOn w:val="ECHRTitle1"/>
    <w:next w:val="Normalny"/>
    <w:uiPriority w:val="27"/>
    <w:semiHidden/>
    <w:qFormat/>
    <w:rsid w:val="00D13CCD"/>
    <w:pPr>
      <w:outlineLvl w:val="0"/>
    </w:pPr>
  </w:style>
  <w:style w:type="paragraph" w:customStyle="1" w:styleId="ECHRPlaceholder">
    <w:name w:val="ECHR_Placeholder"/>
    <w:aliases w:val="_Placeholder"/>
    <w:basedOn w:val="JuSigned"/>
    <w:uiPriority w:val="31"/>
    <w:rsid w:val="00D13CCD"/>
    <w:rPr>
      <w:color w:val="FFFFFF"/>
    </w:rPr>
  </w:style>
  <w:style w:type="paragraph" w:customStyle="1" w:styleId="ECHRSpacer">
    <w:name w:val="ECHR_Spacer"/>
    <w:aliases w:val="_Spacer"/>
    <w:basedOn w:val="Normalny"/>
    <w:uiPriority w:val="45"/>
    <w:semiHidden/>
    <w:rsid w:val="00D13CCD"/>
    <w:rPr>
      <w:sz w:val="4"/>
    </w:rPr>
  </w:style>
  <w:style w:type="table" w:customStyle="1" w:styleId="ECHRTableGrey">
    <w:name w:val="ECHR_Table_Grey"/>
    <w:basedOn w:val="Standardowy"/>
    <w:uiPriority w:val="99"/>
    <w:rsid w:val="00D13CCD"/>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D13CCD"/>
    <w:rPr>
      <w:color w:val="605E5C"/>
      <w:shd w:val="clear" w:color="auto" w:fill="E1DFDD"/>
    </w:rPr>
  </w:style>
  <w:style w:type="character" w:customStyle="1" w:styleId="JuParaChar">
    <w:name w:val="Ju_Para Char"/>
    <w:aliases w:val="_Para Char"/>
    <w:link w:val="JuPara"/>
    <w:uiPriority w:val="4"/>
    <w:rsid w:val="0051506F"/>
    <w:rPr>
      <w:sz w:val="24"/>
      <w:szCs w:val="24"/>
      <w:lang w:val="pl-PL"/>
    </w:rPr>
  </w:style>
  <w:style w:type="table" w:styleId="Tabelasiatki1jasna">
    <w:name w:val="Grid Table 1 Light"/>
    <w:basedOn w:val="Standardowy"/>
    <w:uiPriority w:val="46"/>
    <w:semiHidden/>
    <w:rsid w:val="0051506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51506F"/>
    <w:pPr>
      <w:numPr>
        <w:ilvl w:val="0"/>
        <w:numId w:val="0"/>
      </w:numPr>
      <w:tabs>
        <w:tab w:val="num" w:pos="1701"/>
      </w:tabs>
      <w:spacing w:before="60" w:after="60" w:line="240" w:lineRule="exact"/>
      <w:ind w:left="1703" w:hanging="284"/>
      <w:contextualSpacing/>
    </w:pPr>
    <w:rPr>
      <w:sz w:val="22"/>
      <w:lang w:eastAsia="fr-FR"/>
    </w:rPr>
  </w:style>
  <w:style w:type="table" w:styleId="Tabelasiatki1jasnaakcent1">
    <w:name w:val="Grid Table 1 Light Accent 1"/>
    <w:basedOn w:val="Standardowy"/>
    <w:uiPriority w:val="46"/>
    <w:semiHidden/>
    <w:rsid w:val="0051506F"/>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51506F"/>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51506F"/>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51506F"/>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51506F"/>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51506F"/>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51506F"/>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51506F"/>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51506F"/>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51506F"/>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51506F"/>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51506F"/>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51506F"/>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51506F"/>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51506F"/>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51506F"/>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51506F"/>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51506F"/>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51506F"/>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51506F"/>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51506F"/>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51506F"/>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51506F"/>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51506F"/>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51506F"/>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51506F"/>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51506F"/>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51506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51506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51506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51506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51506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51506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51506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51506F"/>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51506F"/>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51506F"/>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51506F"/>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51506F"/>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51506F"/>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51506F"/>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51506F"/>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51506F"/>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51506F"/>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51506F"/>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51506F"/>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51506F"/>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51506F"/>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51506F"/>
    <w:rPr>
      <w:color w:val="2B579A"/>
      <w:shd w:val="clear" w:color="auto" w:fill="E1DFDD"/>
    </w:rPr>
  </w:style>
  <w:style w:type="table" w:styleId="Tabelalisty1jasna">
    <w:name w:val="List Table 1 Light"/>
    <w:basedOn w:val="Standardowy"/>
    <w:uiPriority w:val="46"/>
    <w:semiHidden/>
    <w:rsid w:val="0051506F"/>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51506F"/>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51506F"/>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51506F"/>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51506F"/>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51506F"/>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51506F"/>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51506F"/>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51506F"/>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51506F"/>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51506F"/>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51506F"/>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51506F"/>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51506F"/>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51506F"/>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51506F"/>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51506F"/>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51506F"/>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51506F"/>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51506F"/>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51506F"/>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51506F"/>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51506F"/>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51506F"/>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51506F"/>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51506F"/>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51506F"/>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51506F"/>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51506F"/>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51506F"/>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51506F"/>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51506F"/>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51506F"/>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51506F"/>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51506F"/>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51506F"/>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51506F"/>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51506F"/>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51506F"/>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51506F"/>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51506F"/>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51506F"/>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51506F"/>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51506F"/>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51506F"/>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51506F"/>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51506F"/>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51506F"/>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51506F"/>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51506F"/>
    <w:rPr>
      <w:color w:val="2B579A"/>
      <w:shd w:val="clear" w:color="auto" w:fill="E1DFDD"/>
    </w:rPr>
  </w:style>
  <w:style w:type="table" w:styleId="Zwykatabela1">
    <w:name w:val="Plain Table 1"/>
    <w:basedOn w:val="Standardowy"/>
    <w:uiPriority w:val="41"/>
    <w:semiHidden/>
    <w:rsid w:val="0051506F"/>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51506F"/>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51506F"/>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51506F"/>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51506F"/>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51506F"/>
    <w:rPr>
      <w:u w:val="dotted"/>
    </w:rPr>
  </w:style>
  <w:style w:type="character" w:styleId="Inteligentnylink">
    <w:name w:val="Smart Link"/>
    <w:basedOn w:val="Domylnaczcionkaakapitu"/>
    <w:uiPriority w:val="99"/>
    <w:semiHidden/>
    <w:unhideWhenUsed/>
    <w:rsid w:val="0051506F"/>
    <w:rPr>
      <w:color w:val="0000FF"/>
      <w:u w:val="single"/>
      <w:shd w:val="clear" w:color="auto" w:fill="F3F2F1"/>
    </w:rPr>
  </w:style>
  <w:style w:type="table" w:styleId="Siatkatabelijasna">
    <w:name w:val="Grid Table Light"/>
    <w:basedOn w:val="Standardowy"/>
    <w:uiPriority w:val="40"/>
    <w:semiHidden/>
    <w:rsid w:val="0051506F"/>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styleId="Poprawka">
    <w:name w:val="Revision"/>
    <w:hidden/>
    <w:uiPriority w:val="99"/>
    <w:semiHidden/>
    <w:rsid w:val="0051506F"/>
    <w:rPr>
      <w:sz w:val="24"/>
      <w:szCs w:val="24"/>
    </w:rPr>
  </w:style>
  <w:style w:type="paragraph" w:customStyle="1" w:styleId="DummyStyle">
    <w:name w:val="Dummy_Style"/>
    <w:aliases w:val="_Dummy"/>
    <w:basedOn w:val="Normalny"/>
    <w:semiHidden/>
    <w:qFormat/>
    <w:rsid w:val="00D13CCD"/>
    <w:rPr>
      <w:color w:val="00B05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8167</Words>
  <Characters>49002</Characters>
  <Application>Microsoft Office Word</Application>
  <DocSecurity>0</DocSecurity>
  <Lines>408</Lines>
  <Paragraphs>114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Company/>
  <LinksUpToDate>false</LinksUpToDate>
  <CharactersWithSpaces>57055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2023-10-24T06:53:00Z</dcterms:created>
  <dcterms:modified xsi:type="dcterms:W3CDTF">2023-12-04T15:05:00Z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791357</vt:lpwstr>
  </property>
  <property fmtid="{D5CDD505-2E9C-101B-9397-08002B2CF9AE}" pid="3" name="cstLanguage">
    <vt:i4>2057</vt:i4>
  </property>
  <property fmtid="{D5CDD505-2E9C-101B-9397-08002B2CF9AE}" pid="4" name="RegisteredNo">
    <vt:lpwstr>22716/12</vt:lpwstr>
  </property>
</Properties>
</file>