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9D0F4D" w14:textId="77777777" w:rsidR="00D734A7" w:rsidRPr="00ED2127" w:rsidRDefault="00D734A7" w:rsidP="00ED2127">
      <w:pPr>
        <w:jc w:val="center"/>
        <w:rPr>
          <w:rFonts w:ascii="Times New Roman" w:hAnsi="Times New Roman" w:cs="Times New Roman"/>
          <w:noProof/>
        </w:rPr>
      </w:pPr>
    </w:p>
    <w:p w14:paraId="1C60E965" w14:textId="77777777" w:rsidR="0098410D" w:rsidRPr="00ED2127" w:rsidRDefault="0098410D" w:rsidP="00ED2127">
      <w:pPr>
        <w:jc w:val="center"/>
      </w:pPr>
    </w:p>
    <w:p w14:paraId="4CE69B29" w14:textId="77777777" w:rsidR="0098410D" w:rsidRPr="00132703" w:rsidRDefault="0023787B" w:rsidP="00ED2127">
      <w:pPr>
        <w:pStyle w:val="DecHTitle"/>
        <w:rPr>
          <w:lang w:val="pl-PL"/>
        </w:rPr>
      </w:pPr>
      <w:r>
        <w:rPr>
          <w:lang w:val="pl"/>
        </w:rPr>
        <w:t>SEKCJA PIERWSZA</w:t>
      </w:r>
    </w:p>
    <w:p w14:paraId="45DB5B12" w14:textId="77777777" w:rsidR="008E6217" w:rsidRPr="00132703" w:rsidRDefault="0023787B" w:rsidP="00ED2127">
      <w:pPr>
        <w:pStyle w:val="JuTitle"/>
        <w:rPr>
          <w:lang w:val="pl-PL"/>
        </w:rPr>
      </w:pPr>
      <w:r>
        <w:rPr>
          <w:bCs/>
          <w:color w:val="000000" w:themeColor="text1"/>
          <w:lang w:val="pl"/>
        </w:rPr>
        <w:t xml:space="preserve">SPRAWA </w:t>
      </w:r>
      <w:r>
        <w:rPr>
          <w:bCs/>
          <w:lang w:val="pl"/>
        </w:rPr>
        <w:t>BELUCH przeciwko POLSCE</w:t>
      </w:r>
    </w:p>
    <w:p w14:paraId="0B419FF4" w14:textId="77777777" w:rsidR="00D74888" w:rsidRPr="00132703" w:rsidRDefault="0023787B" w:rsidP="00ED2127">
      <w:pPr>
        <w:pStyle w:val="ECHRCoverTitle4"/>
        <w:rPr>
          <w:lang w:val="pl-PL"/>
        </w:rPr>
      </w:pPr>
      <w:r>
        <w:rPr>
          <w:iCs/>
          <w:lang w:val="pl"/>
        </w:rPr>
        <w:t>(</w:t>
      </w:r>
      <w:r>
        <w:rPr>
          <w:iCs/>
          <w:noProof/>
          <w:lang w:val="pl"/>
        </w:rPr>
        <w:t>Skarga nr</w:t>
      </w:r>
      <w:r>
        <w:rPr>
          <w:iCs/>
          <w:lang w:val="pl"/>
        </w:rPr>
        <w:t xml:space="preserve"> 4065/21)</w:t>
      </w:r>
    </w:p>
    <w:p w14:paraId="6FA20205" w14:textId="77777777" w:rsidR="0098410D" w:rsidRPr="00132703" w:rsidRDefault="0098410D" w:rsidP="00ED2127">
      <w:pPr>
        <w:pStyle w:val="DecHCase"/>
        <w:rPr>
          <w:lang w:val="pl-PL"/>
        </w:rPr>
      </w:pPr>
    </w:p>
    <w:p w14:paraId="3534645E" w14:textId="77777777" w:rsidR="0098410D" w:rsidRPr="00132703" w:rsidRDefault="0098410D" w:rsidP="00ED2127">
      <w:pPr>
        <w:pStyle w:val="DecHCase"/>
        <w:rPr>
          <w:lang w:val="pl-PL"/>
        </w:rPr>
      </w:pPr>
    </w:p>
    <w:p w14:paraId="35FB2904" w14:textId="77777777" w:rsidR="00AC4CD4" w:rsidRPr="00132703" w:rsidRDefault="00AC4CD4" w:rsidP="00ED2127">
      <w:pPr>
        <w:pStyle w:val="DecHCase"/>
        <w:rPr>
          <w:lang w:val="pl-PL"/>
        </w:rPr>
      </w:pPr>
    </w:p>
    <w:p w14:paraId="7F614123" w14:textId="77777777" w:rsidR="009A745C" w:rsidRPr="00132703" w:rsidRDefault="009A745C" w:rsidP="00ED2127">
      <w:pPr>
        <w:pStyle w:val="DecHCase"/>
        <w:rPr>
          <w:lang w:val="pl-PL"/>
        </w:rPr>
      </w:pPr>
    </w:p>
    <w:p w14:paraId="510CCEE1" w14:textId="77777777" w:rsidR="009A745C" w:rsidRPr="00132703" w:rsidRDefault="009A745C" w:rsidP="00ED2127">
      <w:pPr>
        <w:pStyle w:val="DecHCase"/>
        <w:rPr>
          <w:lang w:val="pl-PL"/>
        </w:rPr>
      </w:pPr>
    </w:p>
    <w:p w14:paraId="73696E9E" w14:textId="77777777" w:rsidR="0098410D" w:rsidRPr="00132703" w:rsidRDefault="0098410D" w:rsidP="00ED2127">
      <w:pPr>
        <w:pStyle w:val="DecHCase"/>
        <w:rPr>
          <w:lang w:val="pl-PL"/>
        </w:rPr>
      </w:pPr>
    </w:p>
    <w:p w14:paraId="2EC59E48" w14:textId="77777777" w:rsidR="0098410D" w:rsidRPr="00132703" w:rsidRDefault="0023787B" w:rsidP="00ED2127">
      <w:pPr>
        <w:pStyle w:val="DecHCase"/>
        <w:rPr>
          <w:lang w:val="pl-PL"/>
        </w:rPr>
      </w:pPr>
      <w:r>
        <w:rPr>
          <w:lang w:val="pl"/>
        </w:rPr>
        <w:t>WYROK</w:t>
      </w:r>
      <w:r>
        <w:rPr>
          <w:lang w:val="pl"/>
        </w:rPr>
        <w:br/>
      </w:r>
    </w:p>
    <w:p w14:paraId="6E5605CC" w14:textId="77777777" w:rsidR="0098410D" w:rsidRPr="00132703" w:rsidRDefault="0023787B" w:rsidP="00ED2127">
      <w:pPr>
        <w:pStyle w:val="DecHCase"/>
        <w:rPr>
          <w:lang w:val="pl-PL"/>
        </w:rPr>
      </w:pPr>
      <w:r>
        <w:rPr>
          <w:lang w:val="pl"/>
        </w:rPr>
        <w:t>STRASBURG</w:t>
      </w:r>
    </w:p>
    <w:p w14:paraId="7529548C" w14:textId="77777777" w:rsidR="0098410D" w:rsidRPr="00132703" w:rsidRDefault="0023787B" w:rsidP="00ED2127">
      <w:pPr>
        <w:pStyle w:val="DecHCase"/>
        <w:rPr>
          <w:lang w:val="pl-PL"/>
        </w:rPr>
      </w:pPr>
      <w:r>
        <w:rPr>
          <w:rFonts w:ascii="Times New Roman" w:hAnsi="Times New Roman" w:cs="Times New Roman"/>
          <w:lang w:val="pl"/>
        </w:rPr>
        <w:t>28 września 2023 r.</w:t>
      </w:r>
    </w:p>
    <w:p w14:paraId="4D9D7F5C" w14:textId="77777777" w:rsidR="00AC4CD4" w:rsidRPr="00132703" w:rsidRDefault="00AC4CD4" w:rsidP="00ED2127">
      <w:pPr>
        <w:pStyle w:val="JuPara"/>
        <w:rPr>
          <w:lang w:val="pl-PL"/>
        </w:rPr>
      </w:pPr>
    </w:p>
    <w:p w14:paraId="2E2BDA0B" w14:textId="4A4E1A83" w:rsidR="002422B6" w:rsidRPr="00132703" w:rsidRDefault="0023787B" w:rsidP="00132703">
      <w:pPr>
        <w:jc w:val="center"/>
        <w:rPr>
          <w:i/>
          <w:sz w:val="22"/>
          <w:lang w:val="pl-PL"/>
        </w:rPr>
      </w:pPr>
      <w:r>
        <w:rPr>
          <w:i/>
          <w:iCs/>
          <w:sz w:val="22"/>
          <w:lang w:val="pl"/>
        </w:rPr>
        <w:t xml:space="preserve">Wyrok </w:t>
      </w:r>
      <w:r>
        <w:rPr>
          <w:i/>
          <w:iCs/>
          <w:noProof/>
          <w:sz w:val="22"/>
          <w:lang w:val="pl"/>
        </w:rPr>
        <w:t>jest ostateczny, lecz</w:t>
      </w:r>
      <w:r>
        <w:rPr>
          <w:i/>
          <w:iCs/>
          <w:sz w:val="22"/>
          <w:lang w:val="pl"/>
        </w:rPr>
        <w:t xml:space="preserve"> może podlegać korekcie wydawniczej.</w:t>
      </w:r>
    </w:p>
    <w:p w14:paraId="6358A7DE" w14:textId="77777777" w:rsidR="0096441B" w:rsidRPr="00132703" w:rsidRDefault="0096441B" w:rsidP="00132703">
      <w:pPr>
        <w:jc w:val="center"/>
        <w:rPr>
          <w:i/>
          <w:sz w:val="22"/>
          <w:lang w:val="pl-PL"/>
        </w:rPr>
      </w:pPr>
    </w:p>
    <w:p w14:paraId="5B2CE19D" w14:textId="77777777" w:rsidR="0098410D" w:rsidRPr="00132703" w:rsidRDefault="0098410D" w:rsidP="00ED2127">
      <w:pPr>
        <w:rPr>
          <w:lang w:val="pl-PL"/>
        </w:rPr>
        <w:sectPr w:rsidR="0098410D" w:rsidRPr="00132703" w:rsidSect="00D66471">
          <w:headerReference w:type="default" r:id="rId8"/>
          <w:footerReference w:type="default" r:id="rId9"/>
          <w:headerReference w:type="first" r:id="rId10"/>
          <w:footerReference w:type="first" r:id="rId11"/>
          <w:footnotePr>
            <w:numRestart w:val="eachSect"/>
          </w:footnotePr>
          <w:endnotePr>
            <w:numFmt w:val="decimal"/>
          </w:endnotePr>
          <w:pgSz w:w="11906" w:h="16838" w:code="9"/>
          <w:pgMar w:top="2274" w:right="2274" w:bottom="2274" w:left="2274" w:header="1701" w:footer="720" w:gutter="0"/>
          <w:pgNumType w:start="1"/>
          <w:cols w:space="720"/>
          <w:noEndnote/>
          <w:titlePg/>
        </w:sectPr>
      </w:pPr>
    </w:p>
    <w:p w14:paraId="63D82870" w14:textId="77777777" w:rsidR="0098410D" w:rsidRPr="00132703" w:rsidRDefault="0023787B" w:rsidP="00ED2127">
      <w:pPr>
        <w:pStyle w:val="JuCase"/>
        <w:rPr>
          <w:lang w:val="pl-PL"/>
        </w:rPr>
      </w:pPr>
      <w:r>
        <w:rPr>
          <w:bCs/>
          <w:lang w:val="pl"/>
        </w:rPr>
        <w:lastRenderedPageBreak/>
        <w:t>W sprawie Beluch przeciwko Polsce,</w:t>
      </w:r>
    </w:p>
    <w:p w14:paraId="769439CF" w14:textId="77777777" w:rsidR="009F4C8F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t xml:space="preserve">Europejski Trybunał Praw Człowieka (Sekcja Pierwsza), zasiadając jako </w:t>
      </w:r>
      <w:r>
        <w:rPr>
          <w:noProof/>
          <w:lang w:val="pl"/>
        </w:rPr>
        <w:t>komitet</w:t>
      </w:r>
      <w:r>
        <w:rPr>
          <w:lang w:val="pl"/>
        </w:rPr>
        <w:t xml:space="preserve"> w składzie:</w:t>
      </w:r>
    </w:p>
    <w:p w14:paraId="2F7AB455" w14:textId="2925ACF4" w:rsidR="00A92625" w:rsidRPr="00132703" w:rsidRDefault="0023787B" w:rsidP="00ED2127">
      <w:pPr>
        <w:pStyle w:val="JuJudges"/>
        <w:rPr>
          <w:lang w:val="pl-PL"/>
        </w:rPr>
      </w:pPr>
      <w:r>
        <w:rPr>
          <w:lang w:val="pl"/>
        </w:rPr>
        <w:tab/>
        <w:t xml:space="preserve">Ivana Jelić, </w:t>
      </w:r>
      <w:r>
        <w:rPr>
          <w:i/>
          <w:iCs/>
          <w:lang w:val="pl"/>
        </w:rPr>
        <w:t>Przewodnicząc</w:t>
      </w:r>
      <w:r w:rsidR="00337D95">
        <w:rPr>
          <w:i/>
          <w:iCs/>
          <w:lang w:val="pl"/>
        </w:rPr>
        <w:t>a</w:t>
      </w:r>
      <w:r>
        <w:rPr>
          <w:lang w:val="pl"/>
        </w:rPr>
        <w:t>,</w:t>
      </w:r>
      <w:r>
        <w:rPr>
          <w:lang w:val="pl"/>
        </w:rPr>
        <w:br/>
      </w:r>
      <w:r>
        <w:rPr>
          <w:lang w:val="pl"/>
        </w:rPr>
        <w:tab/>
        <w:t>Krzysztof Wojtyczek,</w:t>
      </w:r>
      <w:r>
        <w:rPr>
          <w:lang w:val="pl"/>
        </w:rPr>
        <w:br/>
      </w:r>
      <w:r>
        <w:rPr>
          <w:lang w:val="pl"/>
        </w:rPr>
        <w:tab/>
        <w:t>Erik Wennerström</w:t>
      </w:r>
      <w:r>
        <w:rPr>
          <w:i/>
          <w:iCs/>
          <w:lang w:val="pl"/>
        </w:rPr>
        <w:t>, Sędziowie</w:t>
      </w:r>
      <w:r>
        <w:rPr>
          <w:lang w:val="pl"/>
        </w:rPr>
        <w:t>,</w:t>
      </w:r>
      <w:r>
        <w:rPr>
          <w:lang w:val="pl"/>
        </w:rPr>
        <w:br/>
        <w:t xml:space="preserve">i </w:t>
      </w:r>
      <w:r>
        <w:rPr>
          <w:noProof/>
          <w:lang w:val="pl"/>
        </w:rPr>
        <w:t>Liv Tigerstedt</w:t>
      </w:r>
      <w:r>
        <w:rPr>
          <w:lang w:val="pl"/>
        </w:rPr>
        <w:t xml:space="preserve">, </w:t>
      </w:r>
      <w:r>
        <w:rPr>
          <w:i/>
          <w:iCs/>
          <w:noProof/>
          <w:lang w:val="pl"/>
        </w:rPr>
        <w:t>Zastępca</w:t>
      </w:r>
      <w:r>
        <w:rPr>
          <w:i/>
          <w:iCs/>
          <w:lang w:val="pl"/>
        </w:rPr>
        <w:t xml:space="preserve"> Kanclerza Sekcji,</w:t>
      </w:r>
    </w:p>
    <w:p w14:paraId="1164FDB8" w14:textId="634DC544" w:rsidR="00D734A7" w:rsidRPr="00132703" w:rsidRDefault="00337D95" w:rsidP="00ED2127">
      <w:pPr>
        <w:pStyle w:val="JuPara"/>
        <w:rPr>
          <w:lang w:val="pl-PL"/>
        </w:rPr>
      </w:pPr>
      <w:r>
        <w:rPr>
          <w:lang w:val="pl"/>
        </w:rPr>
        <w:t>uwzględniając:</w:t>
      </w:r>
    </w:p>
    <w:p w14:paraId="6A663157" w14:textId="06342DAF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t>skargę (nr 4065/21) przeciwko Rzeczypospolitej Polskiej wniesioną do</w:t>
      </w:r>
      <w:r w:rsidR="00337D95">
        <w:rPr>
          <w:lang w:val="pl"/>
        </w:rPr>
        <w:t> </w:t>
      </w:r>
      <w:r>
        <w:rPr>
          <w:lang w:val="pl"/>
        </w:rPr>
        <w:t>Trybunału w dniu 23 grudnia 2020 r. na podstawie art. 34 Konwencji o</w:t>
      </w:r>
      <w:r w:rsidR="00132703">
        <w:rPr>
          <w:lang w:val="pl"/>
        </w:rPr>
        <w:t> </w:t>
      </w:r>
      <w:r>
        <w:rPr>
          <w:lang w:val="pl"/>
        </w:rPr>
        <w:t>ochronie praw człowieka i podstawowych wolności („Konwencja”) przez obywatela polskiego Piotra Belucha („skarżący”), urodzonego w 1968 r., zamieszkałego w Krakowie, reprezentowanego przez M. Warcholika, prawnika praktykującego w Krakowie;</w:t>
      </w:r>
    </w:p>
    <w:p w14:paraId="6D7FCAF7" w14:textId="57EFEEA9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t>decyzję o za</w:t>
      </w:r>
      <w:r w:rsidR="00337D95">
        <w:rPr>
          <w:lang w:val="pl"/>
        </w:rPr>
        <w:t>komunikowaniu sprawy</w:t>
      </w:r>
      <w:r>
        <w:rPr>
          <w:lang w:val="pl"/>
        </w:rPr>
        <w:t xml:space="preserve"> Rząd</w:t>
      </w:r>
      <w:r w:rsidR="00337D95">
        <w:rPr>
          <w:lang w:val="pl"/>
        </w:rPr>
        <w:t>owi</w:t>
      </w:r>
      <w:r>
        <w:rPr>
          <w:lang w:val="pl"/>
        </w:rPr>
        <w:t xml:space="preserve"> Rzeczypospolitej Polskiej („Rząd”), reprezentowane</w:t>
      </w:r>
      <w:r w:rsidR="00337D95">
        <w:rPr>
          <w:lang w:val="pl"/>
        </w:rPr>
        <w:t>mu</w:t>
      </w:r>
      <w:r>
        <w:rPr>
          <w:lang w:val="pl"/>
        </w:rPr>
        <w:t xml:space="preserve"> przez pełnomocnika, J. Sobczaka z</w:t>
      </w:r>
      <w:r w:rsidR="00132703">
        <w:rPr>
          <w:lang w:val="pl"/>
        </w:rPr>
        <w:t> </w:t>
      </w:r>
      <w:r>
        <w:rPr>
          <w:lang w:val="pl"/>
        </w:rPr>
        <w:t>Ministerstwa Spraw Zagranicznych;</w:t>
      </w:r>
    </w:p>
    <w:p w14:paraId="5A9A694E" w14:textId="77777777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t>uwagi stron;</w:t>
      </w:r>
    </w:p>
    <w:p w14:paraId="70C6ADAC" w14:textId="2AA3BB5D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t>uwagi przedstawione przez Stowarzyszenie „Eurydyka”, któremu Przewodnicząc</w:t>
      </w:r>
      <w:r w:rsidR="00337D95">
        <w:rPr>
          <w:lang w:val="pl"/>
        </w:rPr>
        <w:t>a</w:t>
      </w:r>
      <w:r>
        <w:rPr>
          <w:lang w:val="pl"/>
        </w:rPr>
        <w:t xml:space="preserve"> Sekcji udzielił</w:t>
      </w:r>
      <w:r w:rsidR="00337D95">
        <w:rPr>
          <w:lang w:val="pl"/>
        </w:rPr>
        <w:t>a</w:t>
      </w:r>
      <w:r>
        <w:rPr>
          <w:lang w:val="pl"/>
        </w:rPr>
        <w:t xml:space="preserve"> zgody na interwencję;</w:t>
      </w:r>
    </w:p>
    <w:p w14:paraId="1101A59C" w14:textId="77777777" w:rsidR="009F4C8F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t>obradując na posiedzeniu niejawnym w dniu 5 września 2023 r.,</w:t>
      </w:r>
    </w:p>
    <w:p w14:paraId="073B0A8C" w14:textId="77777777" w:rsidR="009F4C8F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t>wydaje następujący wyrok, który został przyjęty w tym dniu:</w:t>
      </w:r>
    </w:p>
    <w:p w14:paraId="7F104B29" w14:textId="77777777" w:rsidR="00D734A7" w:rsidRPr="00132703" w:rsidRDefault="0023787B" w:rsidP="00ED2127">
      <w:pPr>
        <w:pStyle w:val="JuHHead"/>
        <w:numPr>
          <w:ilvl w:val="0"/>
          <w:numId w:val="0"/>
        </w:numPr>
        <w:rPr>
          <w:lang w:val="pl-PL"/>
        </w:rPr>
      </w:pPr>
      <w:r>
        <w:rPr>
          <w:bCs w:val="0"/>
          <w:lang w:val="pl"/>
        </w:rPr>
        <w:t>PRZEDMIOT SPRAWY</w:t>
      </w:r>
    </w:p>
    <w:p w14:paraId="2F206DD7" w14:textId="1336CD29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</w:t>
      </w:r>
      <w:r>
        <w:rPr>
          <w:noProof/>
          <w:lang w:val="pl"/>
        </w:rPr>
        <w:fldChar w:fldCharType="end"/>
      </w:r>
      <w:r>
        <w:rPr>
          <w:lang w:val="pl"/>
        </w:rPr>
        <w:t>.  Niniejsza skarga dotyczy wykonywania prawa skarżącego do</w:t>
      </w:r>
      <w:r w:rsidR="00337D95">
        <w:rPr>
          <w:lang w:val="pl"/>
        </w:rPr>
        <w:t> </w:t>
      </w:r>
      <w:r>
        <w:rPr>
          <w:lang w:val="pl"/>
        </w:rPr>
        <w:t>kontaktów z córką X, urodzoną w styczniu 2010 r.</w:t>
      </w:r>
    </w:p>
    <w:p w14:paraId="0A229405" w14:textId="2F610328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2</w:t>
      </w:r>
      <w:r>
        <w:rPr>
          <w:noProof/>
          <w:lang w:val="pl"/>
        </w:rPr>
        <w:fldChar w:fldCharType="end"/>
      </w:r>
      <w:r>
        <w:rPr>
          <w:lang w:val="pl"/>
        </w:rPr>
        <w:t>.  Skarżący, wraz z synem z poprzedniego związku, mieszkał z matką X - M.M., przez ponad pięć lat przed narodzinami X. Opuścił M.M. wkrótce po</w:t>
      </w:r>
      <w:r w:rsidR="0045528D">
        <w:rPr>
          <w:lang w:val="pl"/>
        </w:rPr>
        <w:t> </w:t>
      </w:r>
      <w:r>
        <w:rPr>
          <w:lang w:val="pl"/>
        </w:rPr>
        <w:t>narodzinach X, w marcu 2010 r.</w:t>
      </w:r>
    </w:p>
    <w:p w14:paraId="6B953F28" w14:textId="77777777" w:rsidR="00D734A7" w:rsidRPr="00ED2127" w:rsidRDefault="0023787B" w:rsidP="00ED2127">
      <w:pPr>
        <w:pStyle w:val="JuHIRoman"/>
      </w:pPr>
      <w:r>
        <w:rPr>
          <w:bCs w:val="0"/>
          <w:lang w:val="pl"/>
        </w:rPr>
        <w:t>USTALENIA DOTYCZĄCE KONTAKTÓW</w:t>
      </w:r>
    </w:p>
    <w:p w14:paraId="57A4DC56" w14:textId="5875A91F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3</w:t>
      </w:r>
      <w:r>
        <w:rPr>
          <w:noProof/>
          <w:lang w:val="pl"/>
        </w:rPr>
        <w:fldChar w:fldCharType="end"/>
      </w:r>
      <w:r>
        <w:rPr>
          <w:lang w:val="pl"/>
        </w:rPr>
        <w:t>.  W kwietniu 2010 r. M.M. zwróciła się do Sądu Rejonowego w</w:t>
      </w:r>
      <w:r w:rsidR="00132703">
        <w:rPr>
          <w:lang w:val="pl"/>
        </w:rPr>
        <w:t> </w:t>
      </w:r>
      <w:r>
        <w:rPr>
          <w:lang w:val="pl"/>
        </w:rPr>
        <w:t>Krakowie o powierzenie jej wyłącznej pieczy nad X i ograniczenie władzy rodzicielskiej skarżącego.</w:t>
      </w:r>
    </w:p>
    <w:p w14:paraId="6AA5C45A" w14:textId="14B486A4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4</w:t>
      </w:r>
      <w:r>
        <w:rPr>
          <w:noProof/>
          <w:lang w:val="pl"/>
        </w:rPr>
        <w:fldChar w:fldCharType="end"/>
      </w:r>
      <w:r>
        <w:rPr>
          <w:lang w:val="pl"/>
        </w:rPr>
        <w:t>.  10 września 2010 r. wnioski M.M. zostały uwzględnione. Władza rodzicielska skarżącego została ograniczona do współdecydowania w</w:t>
      </w:r>
      <w:r w:rsidR="00132703">
        <w:rPr>
          <w:lang w:val="pl"/>
        </w:rPr>
        <w:t> </w:t>
      </w:r>
      <w:r>
        <w:rPr>
          <w:lang w:val="pl"/>
        </w:rPr>
        <w:t>szczególności o miejscu stałego pobytu dziecka, leczeniu oraz wyborze, żłobka, przedszkola i szkoły.</w:t>
      </w:r>
    </w:p>
    <w:p w14:paraId="746AAD39" w14:textId="11CF2605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5</w:t>
      </w:r>
      <w:r>
        <w:rPr>
          <w:noProof/>
          <w:lang w:val="pl"/>
        </w:rPr>
        <w:fldChar w:fldCharType="end"/>
      </w:r>
      <w:r>
        <w:rPr>
          <w:lang w:val="pl"/>
        </w:rPr>
        <w:t>.  W międzyczasie, w maju 2010 r., skarżący zwrócił się do sądu rejonowego o u</w:t>
      </w:r>
      <w:r w:rsidR="0045528D">
        <w:rPr>
          <w:lang w:val="pl"/>
        </w:rPr>
        <w:t>stalenie</w:t>
      </w:r>
      <w:r>
        <w:rPr>
          <w:lang w:val="pl"/>
        </w:rPr>
        <w:t xml:space="preserve"> jego kontaktów z X ze względu na odmowę M.M., aby był zaangażowany w życie dziecka.</w:t>
      </w:r>
    </w:p>
    <w:p w14:paraId="3B845F90" w14:textId="7BE63A3D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lastRenderedPageBreak/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6</w:t>
      </w:r>
      <w:r>
        <w:rPr>
          <w:noProof/>
          <w:lang w:val="pl"/>
        </w:rPr>
        <w:fldChar w:fldCharType="end"/>
      </w:r>
      <w:r>
        <w:rPr>
          <w:lang w:val="pl"/>
        </w:rPr>
        <w:t xml:space="preserve">.  W grudniu 2014 r. </w:t>
      </w:r>
      <w:r w:rsidR="00F8733E">
        <w:rPr>
          <w:lang w:val="pl"/>
        </w:rPr>
        <w:t>s</w:t>
      </w:r>
      <w:r>
        <w:rPr>
          <w:lang w:val="pl"/>
        </w:rPr>
        <w:t xml:space="preserve">ąd </w:t>
      </w:r>
      <w:r w:rsidR="00F8733E">
        <w:rPr>
          <w:lang w:val="pl"/>
        </w:rPr>
        <w:t>r</w:t>
      </w:r>
      <w:r>
        <w:rPr>
          <w:lang w:val="pl"/>
        </w:rPr>
        <w:t xml:space="preserve">ejonowy wydał </w:t>
      </w:r>
      <w:r w:rsidR="0045528D">
        <w:rPr>
          <w:lang w:val="pl"/>
        </w:rPr>
        <w:t>postanowienie</w:t>
      </w:r>
      <w:r>
        <w:rPr>
          <w:lang w:val="pl"/>
        </w:rPr>
        <w:t xml:space="preserve">, które następnie </w:t>
      </w:r>
      <w:r w:rsidR="0045528D">
        <w:rPr>
          <w:lang w:val="pl"/>
        </w:rPr>
        <w:t xml:space="preserve">dnia </w:t>
      </w:r>
      <w:r>
        <w:rPr>
          <w:lang w:val="pl"/>
        </w:rPr>
        <w:t>28</w:t>
      </w:r>
      <w:r w:rsidR="0045528D">
        <w:rPr>
          <w:lang w:val="pl"/>
        </w:rPr>
        <w:t xml:space="preserve"> </w:t>
      </w:r>
      <w:r>
        <w:rPr>
          <w:lang w:val="pl"/>
        </w:rPr>
        <w:t>kwietnia 2015 r. zostało zmienione przez Sąd Okręgowy w</w:t>
      </w:r>
      <w:r w:rsidR="0045528D">
        <w:rPr>
          <w:lang w:val="pl"/>
        </w:rPr>
        <w:t> </w:t>
      </w:r>
      <w:r>
        <w:rPr>
          <w:lang w:val="pl"/>
        </w:rPr>
        <w:t xml:space="preserve">Krakowie. Sąd przyznał skarżącemu </w:t>
      </w:r>
      <w:r w:rsidR="0045528D">
        <w:rPr>
          <w:lang w:val="pl"/>
        </w:rPr>
        <w:t xml:space="preserve">prawo do </w:t>
      </w:r>
      <w:r>
        <w:rPr>
          <w:lang w:val="pl"/>
        </w:rPr>
        <w:t>kontakt</w:t>
      </w:r>
      <w:r w:rsidR="0045528D">
        <w:rPr>
          <w:lang w:val="pl"/>
        </w:rPr>
        <w:t>ów</w:t>
      </w:r>
      <w:r>
        <w:rPr>
          <w:lang w:val="pl"/>
        </w:rPr>
        <w:t xml:space="preserve"> z X przez dwie godziny we wskazane dni, bez obecności M.M. i z dala od miejsca stałego pobytu dziecka. Skarżący </w:t>
      </w:r>
      <w:r w:rsidR="0045528D">
        <w:rPr>
          <w:lang w:val="pl"/>
        </w:rPr>
        <w:t xml:space="preserve">miał </w:t>
      </w:r>
      <w:r>
        <w:rPr>
          <w:lang w:val="pl"/>
        </w:rPr>
        <w:t>również</w:t>
      </w:r>
      <w:r w:rsidR="0045528D">
        <w:rPr>
          <w:lang w:val="pl"/>
        </w:rPr>
        <w:t xml:space="preserve"> prawo</w:t>
      </w:r>
      <w:r>
        <w:rPr>
          <w:lang w:val="pl"/>
        </w:rPr>
        <w:t xml:space="preserve"> zabierać X z jej miejsca stałego pobytu w co drugi weekend</w:t>
      </w:r>
      <w:r w:rsidR="0045528D">
        <w:rPr>
          <w:lang w:val="pl"/>
        </w:rPr>
        <w:t>, przy obecności</w:t>
      </w:r>
      <w:r w:rsidR="00132703">
        <w:rPr>
          <w:lang w:val="pl"/>
        </w:rPr>
        <w:t> </w:t>
      </w:r>
      <w:r w:rsidR="007733C8">
        <w:rPr>
          <w:lang w:val="pl"/>
        </w:rPr>
        <w:t>kurator</w:t>
      </w:r>
      <w:r w:rsidR="0045528D">
        <w:rPr>
          <w:lang w:val="pl"/>
        </w:rPr>
        <w:t>a</w:t>
      </w:r>
      <w:r w:rsidR="007733C8">
        <w:rPr>
          <w:lang w:val="pl"/>
        </w:rPr>
        <w:t xml:space="preserve"> wyznaczon</w:t>
      </w:r>
      <w:r w:rsidR="0045528D">
        <w:rPr>
          <w:lang w:val="pl"/>
        </w:rPr>
        <w:t>ego</w:t>
      </w:r>
      <w:r w:rsidR="007733C8">
        <w:rPr>
          <w:lang w:val="pl"/>
        </w:rPr>
        <w:t xml:space="preserve"> </w:t>
      </w:r>
      <w:r>
        <w:rPr>
          <w:lang w:val="pl"/>
        </w:rPr>
        <w:t xml:space="preserve">do ochrony </w:t>
      </w:r>
      <w:r w:rsidR="00694134">
        <w:rPr>
          <w:lang w:val="pl"/>
        </w:rPr>
        <w:t>praw</w:t>
      </w:r>
      <w:r>
        <w:rPr>
          <w:lang w:val="pl"/>
        </w:rPr>
        <w:t xml:space="preserve"> X, i spędzać z córką trzy tygodnie wakacji letnich, a</w:t>
      </w:r>
      <w:r w:rsidR="0045528D">
        <w:rPr>
          <w:lang w:val="pl"/>
        </w:rPr>
        <w:t> </w:t>
      </w:r>
      <w:r>
        <w:rPr>
          <w:lang w:val="pl"/>
        </w:rPr>
        <w:t>także niektóre dni Bożego Narodzenia i</w:t>
      </w:r>
      <w:r w:rsidR="00132703">
        <w:rPr>
          <w:lang w:val="pl"/>
        </w:rPr>
        <w:t> </w:t>
      </w:r>
      <w:r>
        <w:rPr>
          <w:lang w:val="pl"/>
        </w:rPr>
        <w:t>Wielkanocy.</w:t>
      </w:r>
    </w:p>
    <w:p w14:paraId="6052FAE4" w14:textId="1A5EB3BA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7</w:t>
      </w:r>
      <w:r>
        <w:rPr>
          <w:noProof/>
          <w:lang w:val="pl"/>
        </w:rPr>
        <w:fldChar w:fldCharType="end"/>
      </w:r>
      <w:r>
        <w:rPr>
          <w:lang w:val="pl"/>
        </w:rPr>
        <w:t xml:space="preserve">.  Skarżący </w:t>
      </w:r>
      <w:r w:rsidR="0045528D">
        <w:rPr>
          <w:lang w:val="pl"/>
        </w:rPr>
        <w:t xml:space="preserve">utrzymywał </w:t>
      </w:r>
      <w:r>
        <w:rPr>
          <w:lang w:val="pl"/>
        </w:rPr>
        <w:t xml:space="preserve">nieregularne kontakty z córką, głównie </w:t>
      </w:r>
      <w:r w:rsidR="00694134">
        <w:rPr>
          <w:lang w:val="pl"/>
        </w:rPr>
        <w:t>podczas spotkań w</w:t>
      </w:r>
      <w:r w:rsidR="0045528D">
        <w:rPr>
          <w:lang w:val="pl"/>
        </w:rPr>
        <w:t> </w:t>
      </w:r>
      <w:r>
        <w:rPr>
          <w:lang w:val="pl"/>
        </w:rPr>
        <w:t>przedszkolu. W dniach kontaktu X odmawiała pójścia ze skarżącym, ponieważ najwyraźniej nie była emocjonalnie przygotowana do wizyt.</w:t>
      </w:r>
    </w:p>
    <w:p w14:paraId="6A6FE606" w14:textId="0CDF6D9C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8</w:t>
      </w:r>
      <w:r>
        <w:rPr>
          <w:noProof/>
          <w:lang w:val="pl"/>
        </w:rPr>
        <w:fldChar w:fldCharType="end"/>
      </w:r>
      <w:r>
        <w:rPr>
          <w:lang w:val="pl"/>
        </w:rPr>
        <w:t xml:space="preserve">.  Począwszy od </w:t>
      </w:r>
      <w:r w:rsidR="00D551F2">
        <w:rPr>
          <w:lang w:val="pl"/>
        </w:rPr>
        <w:t xml:space="preserve">dnia </w:t>
      </w:r>
      <w:r>
        <w:rPr>
          <w:lang w:val="pl"/>
        </w:rPr>
        <w:t xml:space="preserve">8 września 2015 r. wdrożono dodatkowy nadzór </w:t>
      </w:r>
      <w:r w:rsidR="007733C8">
        <w:rPr>
          <w:lang w:val="pl"/>
        </w:rPr>
        <w:t>kuratora</w:t>
      </w:r>
      <w:r>
        <w:rPr>
          <w:lang w:val="pl"/>
        </w:rPr>
        <w:t xml:space="preserve">, ale pomimo wszelkich starań </w:t>
      </w:r>
      <w:r w:rsidR="007733C8">
        <w:rPr>
          <w:lang w:val="pl"/>
        </w:rPr>
        <w:t>kuratorowi</w:t>
      </w:r>
      <w:r>
        <w:rPr>
          <w:lang w:val="pl"/>
        </w:rPr>
        <w:t xml:space="preserve"> również nie udało się przekonać X do udziału w spotkaniach ze skarżącym.</w:t>
      </w:r>
    </w:p>
    <w:p w14:paraId="61D87548" w14:textId="35F1CB26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9</w:t>
      </w:r>
      <w:r>
        <w:rPr>
          <w:noProof/>
          <w:lang w:val="pl"/>
        </w:rPr>
        <w:fldChar w:fldCharType="end"/>
      </w:r>
      <w:r>
        <w:rPr>
          <w:lang w:val="pl"/>
        </w:rPr>
        <w:t xml:space="preserve">.  W lipcu 2015 r. М.М. zwróciła się do </w:t>
      </w:r>
      <w:r w:rsidR="00694134">
        <w:rPr>
          <w:lang w:val="pl"/>
        </w:rPr>
        <w:t>s</w:t>
      </w:r>
      <w:r>
        <w:rPr>
          <w:lang w:val="pl"/>
        </w:rPr>
        <w:t xml:space="preserve">ądu </w:t>
      </w:r>
      <w:r w:rsidR="00694134">
        <w:rPr>
          <w:lang w:val="pl"/>
        </w:rPr>
        <w:t>r</w:t>
      </w:r>
      <w:r>
        <w:rPr>
          <w:lang w:val="pl"/>
        </w:rPr>
        <w:t xml:space="preserve">ejonowego o zmianę ustaleń </w:t>
      </w:r>
      <w:r w:rsidR="00D551F2">
        <w:rPr>
          <w:lang w:val="pl"/>
        </w:rPr>
        <w:t xml:space="preserve">w sprawie </w:t>
      </w:r>
      <w:r>
        <w:rPr>
          <w:lang w:val="pl"/>
        </w:rPr>
        <w:t xml:space="preserve">kontaktów. </w:t>
      </w:r>
      <w:r w:rsidR="00D551F2">
        <w:rPr>
          <w:lang w:val="pl"/>
        </w:rPr>
        <w:t xml:space="preserve">W dniu </w:t>
      </w:r>
      <w:r>
        <w:rPr>
          <w:lang w:val="pl"/>
        </w:rPr>
        <w:t xml:space="preserve">22 grudnia 2015 r. </w:t>
      </w:r>
      <w:r w:rsidR="00694134">
        <w:rPr>
          <w:lang w:val="pl"/>
        </w:rPr>
        <w:t>s</w:t>
      </w:r>
      <w:r>
        <w:rPr>
          <w:lang w:val="pl"/>
        </w:rPr>
        <w:t xml:space="preserve">ąd wydał </w:t>
      </w:r>
      <w:r w:rsidR="00694134">
        <w:rPr>
          <w:lang w:val="pl"/>
        </w:rPr>
        <w:t>postanowienie o zabezpieczeniu</w:t>
      </w:r>
      <w:r>
        <w:rPr>
          <w:lang w:val="pl"/>
        </w:rPr>
        <w:t xml:space="preserve"> na czas trwania postępowania, </w:t>
      </w:r>
      <w:r w:rsidR="00D551F2">
        <w:rPr>
          <w:lang w:val="pl"/>
        </w:rPr>
        <w:t>w ramach którego wy</w:t>
      </w:r>
      <w:r>
        <w:rPr>
          <w:lang w:val="pl"/>
        </w:rPr>
        <w:t>elimin</w:t>
      </w:r>
      <w:r w:rsidR="00D551F2">
        <w:rPr>
          <w:lang w:val="pl"/>
        </w:rPr>
        <w:t>ował</w:t>
      </w:r>
      <w:r>
        <w:rPr>
          <w:lang w:val="pl"/>
        </w:rPr>
        <w:t xml:space="preserve"> kontakty między skarżącym a X w weekendy. Skarżący wniósł </w:t>
      </w:r>
      <w:r w:rsidR="00694134">
        <w:rPr>
          <w:lang w:val="pl"/>
        </w:rPr>
        <w:t>zażalenie</w:t>
      </w:r>
      <w:r>
        <w:rPr>
          <w:lang w:val="pl"/>
        </w:rPr>
        <w:t>, a</w:t>
      </w:r>
      <w:r w:rsidR="00D551F2">
        <w:rPr>
          <w:lang w:val="pl"/>
        </w:rPr>
        <w:t xml:space="preserve"> dnia </w:t>
      </w:r>
      <w:r>
        <w:rPr>
          <w:lang w:val="pl"/>
        </w:rPr>
        <w:t>7 marca 2016 r. Sąd Okręgowy w Krakowie oddalił wniosek M.M. o</w:t>
      </w:r>
      <w:r w:rsidR="00D551F2">
        <w:rPr>
          <w:lang w:val="pl"/>
        </w:rPr>
        <w:t> </w:t>
      </w:r>
      <w:r>
        <w:rPr>
          <w:lang w:val="pl"/>
        </w:rPr>
        <w:t xml:space="preserve">zastosowanie </w:t>
      </w:r>
      <w:r w:rsidR="00694134">
        <w:rPr>
          <w:lang w:val="pl"/>
        </w:rPr>
        <w:t>zabezpieczenia</w:t>
      </w:r>
      <w:r>
        <w:rPr>
          <w:lang w:val="pl"/>
        </w:rPr>
        <w:t>, orzekając, że trudności w</w:t>
      </w:r>
      <w:r w:rsidR="00D551F2">
        <w:rPr>
          <w:lang w:val="pl"/>
        </w:rPr>
        <w:t> </w:t>
      </w:r>
      <w:r>
        <w:rPr>
          <w:lang w:val="pl"/>
        </w:rPr>
        <w:t>przeprowadzaniu kontaktów można przypisać postawie M.M., a</w:t>
      </w:r>
      <w:r w:rsidR="00D551F2">
        <w:rPr>
          <w:lang w:val="pl"/>
        </w:rPr>
        <w:t> </w:t>
      </w:r>
      <w:r>
        <w:rPr>
          <w:lang w:val="pl"/>
        </w:rPr>
        <w:t>ograniczenie kontaktów skarżącego w</w:t>
      </w:r>
      <w:r w:rsidR="00132703">
        <w:rPr>
          <w:lang w:val="pl"/>
        </w:rPr>
        <w:t> </w:t>
      </w:r>
      <w:r>
        <w:rPr>
          <w:lang w:val="pl"/>
        </w:rPr>
        <w:t xml:space="preserve">drodze </w:t>
      </w:r>
      <w:r w:rsidR="00694134">
        <w:rPr>
          <w:lang w:val="pl"/>
        </w:rPr>
        <w:t>zabezpieczenia</w:t>
      </w:r>
      <w:r>
        <w:rPr>
          <w:lang w:val="pl"/>
        </w:rPr>
        <w:t xml:space="preserve"> nie jest wskazane.</w:t>
      </w:r>
    </w:p>
    <w:p w14:paraId="481823B9" w14:textId="011691D4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10</w:t>
      </w:r>
      <w:r>
        <w:rPr>
          <w:noProof/>
          <w:lang w:val="pl"/>
        </w:rPr>
        <w:fldChar w:fldCharType="end"/>
      </w:r>
      <w:r>
        <w:rPr>
          <w:lang w:val="pl"/>
        </w:rPr>
        <w:t xml:space="preserve">.  Skarżący nadal spotykał się z X nieregularnie, w pierwszą i trzecią sobotę miesiąca w obecności </w:t>
      </w:r>
      <w:r w:rsidR="007733C8">
        <w:rPr>
          <w:lang w:val="pl"/>
        </w:rPr>
        <w:t>kuratora</w:t>
      </w:r>
      <w:r>
        <w:rPr>
          <w:lang w:val="pl"/>
        </w:rPr>
        <w:t xml:space="preserve"> oraz w miejscach publicznych. W</w:t>
      </w:r>
      <w:r w:rsidR="00132703">
        <w:rPr>
          <w:lang w:val="pl"/>
        </w:rPr>
        <w:t> </w:t>
      </w:r>
      <w:r>
        <w:rPr>
          <w:lang w:val="pl"/>
        </w:rPr>
        <w:t xml:space="preserve">spotkaniach tych uczestniczyła również M.M., mimo że od </w:t>
      </w:r>
      <w:r w:rsidR="00D551F2">
        <w:rPr>
          <w:lang w:val="pl"/>
        </w:rPr>
        <w:t xml:space="preserve">dnia </w:t>
      </w:r>
      <w:r>
        <w:rPr>
          <w:lang w:val="pl"/>
        </w:rPr>
        <w:t>7</w:t>
      </w:r>
      <w:r w:rsidR="00132703">
        <w:rPr>
          <w:lang w:val="pl"/>
        </w:rPr>
        <w:t> </w:t>
      </w:r>
      <w:r>
        <w:rPr>
          <w:lang w:val="pl"/>
        </w:rPr>
        <w:t>marca</w:t>
      </w:r>
      <w:r w:rsidR="00132703">
        <w:rPr>
          <w:lang w:val="pl"/>
        </w:rPr>
        <w:t> </w:t>
      </w:r>
      <w:r>
        <w:rPr>
          <w:lang w:val="pl"/>
        </w:rPr>
        <w:t>2016</w:t>
      </w:r>
      <w:r w:rsidR="00132703">
        <w:rPr>
          <w:lang w:val="pl"/>
        </w:rPr>
        <w:t> </w:t>
      </w:r>
      <w:r>
        <w:rPr>
          <w:lang w:val="pl"/>
        </w:rPr>
        <w:t xml:space="preserve">r. </w:t>
      </w:r>
      <w:r w:rsidR="00694134">
        <w:rPr>
          <w:lang w:val="pl"/>
        </w:rPr>
        <w:t>k</w:t>
      </w:r>
      <w:r>
        <w:rPr>
          <w:lang w:val="pl"/>
        </w:rPr>
        <w:t>ontakty miały odbywać się bez jej obecności. Kilkakrotnie skarżącemu udało się przekonać X do wyjścia z nim sam na sam do kina lub na zakupy.</w:t>
      </w:r>
    </w:p>
    <w:bookmarkStart w:id="0" w:name="opinion28_09_16"/>
    <w:p w14:paraId="611F3E81" w14:textId="00DD4E95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11</w:t>
      </w:r>
      <w:r>
        <w:rPr>
          <w:lang w:val="pl"/>
        </w:rPr>
        <w:fldChar w:fldCharType="end"/>
      </w:r>
      <w:bookmarkEnd w:id="0"/>
      <w:r>
        <w:rPr>
          <w:lang w:val="pl"/>
        </w:rPr>
        <w:t>.  </w:t>
      </w:r>
      <w:r w:rsidR="00D551F2">
        <w:rPr>
          <w:lang w:val="pl"/>
        </w:rPr>
        <w:t xml:space="preserve">W dniu </w:t>
      </w:r>
      <w:r>
        <w:rPr>
          <w:lang w:val="pl"/>
        </w:rPr>
        <w:t xml:space="preserve">8 lutego 2018 r. </w:t>
      </w:r>
      <w:r w:rsidR="00694134">
        <w:rPr>
          <w:lang w:val="pl"/>
        </w:rPr>
        <w:t>s</w:t>
      </w:r>
      <w:r>
        <w:rPr>
          <w:lang w:val="pl"/>
        </w:rPr>
        <w:t xml:space="preserve">ąd </w:t>
      </w:r>
      <w:r w:rsidR="00694134">
        <w:rPr>
          <w:lang w:val="pl"/>
        </w:rPr>
        <w:t>r</w:t>
      </w:r>
      <w:r>
        <w:rPr>
          <w:lang w:val="pl"/>
        </w:rPr>
        <w:t xml:space="preserve">ejonowy wydał nowe </w:t>
      </w:r>
      <w:r w:rsidR="00D551F2">
        <w:rPr>
          <w:lang w:val="pl"/>
        </w:rPr>
        <w:t xml:space="preserve">postanowienie </w:t>
      </w:r>
      <w:r>
        <w:rPr>
          <w:lang w:val="pl"/>
        </w:rPr>
        <w:t>w</w:t>
      </w:r>
      <w:r w:rsidR="00D551F2">
        <w:rPr>
          <w:lang w:val="pl"/>
        </w:rPr>
        <w:t> </w:t>
      </w:r>
      <w:r>
        <w:rPr>
          <w:lang w:val="pl"/>
        </w:rPr>
        <w:t>sprawie kontaktów. Sąd wskazał, że M.M. nie stosowała się do</w:t>
      </w:r>
      <w:r w:rsidR="00D551F2">
        <w:rPr>
          <w:lang w:val="pl"/>
        </w:rPr>
        <w:t> </w:t>
      </w:r>
      <w:r>
        <w:rPr>
          <w:lang w:val="pl"/>
        </w:rPr>
        <w:t>wcześniejszych nakazów dotyczących kontaktów dziecka z ojcem i</w:t>
      </w:r>
      <w:r w:rsidR="00D551F2">
        <w:rPr>
          <w:lang w:val="pl"/>
        </w:rPr>
        <w:t> </w:t>
      </w:r>
      <w:r>
        <w:rPr>
          <w:lang w:val="pl"/>
        </w:rPr>
        <w:t>izolowała dziecko od niego. Sąd również zagroził M.M.</w:t>
      </w:r>
      <w:r w:rsidR="00694134">
        <w:rPr>
          <w:lang w:val="pl"/>
        </w:rPr>
        <w:t xml:space="preserve"> nakazaniem zapłaty</w:t>
      </w:r>
      <w:r>
        <w:rPr>
          <w:lang w:val="pl"/>
        </w:rPr>
        <w:t xml:space="preserve"> kar</w:t>
      </w:r>
      <w:r w:rsidR="00694134">
        <w:rPr>
          <w:lang w:val="pl"/>
        </w:rPr>
        <w:t xml:space="preserve">y </w:t>
      </w:r>
      <w:r>
        <w:rPr>
          <w:lang w:val="pl"/>
        </w:rPr>
        <w:t>grzywny w</w:t>
      </w:r>
      <w:r w:rsidR="00D551F2">
        <w:rPr>
          <w:lang w:val="pl"/>
        </w:rPr>
        <w:t> </w:t>
      </w:r>
      <w:r>
        <w:rPr>
          <w:lang w:val="pl"/>
        </w:rPr>
        <w:t>wysokości 3</w:t>
      </w:r>
      <w:r w:rsidR="00694134">
        <w:rPr>
          <w:lang w:val="pl"/>
        </w:rPr>
        <w:t>.</w:t>
      </w:r>
      <w:r>
        <w:rPr>
          <w:lang w:val="pl"/>
        </w:rPr>
        <w:t xml:space="preserve">000 złotych polskich (PLN) za każde odwołane spotkanie. Sąd wydał to </w:t>
      </w:r>
      <w:r w:rsidR="00D551F2">
        <w:rPr>
          <w:lang w:val="pl"/>
        </w:rPr>
        <w:t xml:space="preserve">postanowienie </w:t>
      </w:r>
      <w:r>
        <w:rPr>
          <w:lang w:val="pl"/>
        </w:rPr>
        <w:t xml:space="preserve">na podstawie opinii zespołu biegłych uzyskanej </w:t>
      </w:r>
      <w:r w:rsidR="00D551F2">
        <w:rPr>
          <w:lang w:val="pl"/>
        </w:rPr>
        <w:t xml:space="preserve">dnia </w:t>
      </w:r>
      <w:r>
        <w:rPr>
          <w:lang w:val="pl"/>
        </w:rPr>
        <w:t>28 września 2016 r., z której wynikało, że X nie odczuwała lęku przed spotkaniami z ojcem. Powielała jednak negatywne nastawienie M.M. do</w:t>
      </w:r>
      <w:r w:rsidR="00D551F2">
        <w:rPr>
          <w:lang w:val="pl"/>
        </w:rPr>
        <w:t> </w:t>
      </w:r>
      <w:r>
        <w:rPr>
          <w:lang w:val="pl"/>
        </w:rPr>
        <w:t>skarżącego, a w konsekwencji wyp</w:t>
      </w:r>
      <w:r w:rsidR="00D551F2">
        <w:rPr>
          <w:lang w:val="pl"/>
        </w:rPr>
        <w:t>ie</w:t>
      </w:r>
      <w:r>
        <w:rPr>
          <w:lang w:val="pl"/>
        </w:rPr>
        <w:t>r</w:t>
      </w:r>
      <w:r w:rsidR="00505F61">
        <w:rPr>
          <w:lang w:val="pl"/>
        </w:rPr>
        <w:t>a</w:t>
      </w:r>
      <w:r>
        <w:rPr>
          <w:lang w:val="pl"/>
        </w:rPr>
        <w:t>ła naturalną potrzebę nawiązania i</w:t>
      </w:r>
      <w:r w:rsidR="00D551F2">
        <w:rPr>
          <w:lang w:val="pl"/>
        </w:rPr>
        <w:t> </w:t>
      </w:r>
      <w:r>
        <w:rPr>
          <w:lang w:val="pl"/>
        </w:rPr>
        <w:t>utrzymywania z nim kontaktu.</w:t>
      </w:r>
    </w:p>
    <w:p w14:paraId="06ADD3F4" w14:textId="2E0797D8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12</w:t>
      </w:r>
      <w:r>
        <w:rPr>
          <w:noProof/>
          <w:lang w:val="pl"/>
        </w:rPr>
        <w:fldChar w:fldCharType="end"/>
      </w:r>
      <w:r>
        <w:rPr>
          <w:lang w:val="pl"/>
        </w:rPr>
        <w:t xml:space="preserve">.  Na skutek </w:t>
      </w:r>
      <w:r w:rsidR="00694134">
        <w:rPr>
          <w:lang w:val="pl"/>
        </w:rPr>
        <w:t>odwołania</w:t>
      </w:r>
      <w:r>
        <w:rPr>
          <w:lang w:val="pl"/>
        </w:rPr>
        <w:t xml:space="preserve"> skarżącego w dniu 17 września 2019 r. Sąd Okręgowy w Krakowie zobowiązał M.M. i skarżącego do poddania się regularnej terapii rodzinnej w Specjalistycznej Poradni Rodzinnej w</w:t>
      </w:r>
      <w:r w:rsidR="00132703">
        <w:rPr>
          <w:lang w:val="pl"/>
        </w:rPr>
        <w:t> </w:t>
      </w:r>
      <w:r>
        <w:rPr>
          <w:lang w:val="pl"/>
        </w:rPr>
        <w:t xml:space="preserve">Warszawie, aby ugruntować prawidłowe postawy rodzicielskie i zapewnić </w:t>
      </w:r>
      <w:r>
        <w:rPr>
          <w:lang w:val="pl"/>
        </w:rPr>
        <w:lastRenderedPageBreak/>
        <w:t>dziecku kontakt z ojcem. Sąd ustalił również harmonogram kontaktów między X a skarżącym. M.M. została ponownie zobowiązana do</w:t>
      </w:r>
      <w:r w:rsidR="00505F61">
        <w:rPr>
          <w:lang w:val="pl"/>
        </w:rPr>
        <w:t> </w:t>
      </w:r>
      <w:r>
        <w:rPr>
          <w:lang w:val="pl"/>
        </w:rPr>
        <w:t>przygotowania dziecka do kontaktów z ojcem i zagrożono jej</w:t>
      </w:r>
      <w:r w:rsidR="00694134">
        <w:rPr>
          <w:lang w:val="pl"/>
        </w:rPr>
        <w:t xml:space="preserve"> zapłatą</w:t>
      </w:r>
      <w:r>
        <w:rPr>
          <w:lang w:val="pl"/>
        </w:rPr>
        <w:t xml:space="preserve"> kar</w:t>
      </w:r>
      <w:r w:rsidR="00694134">
        <w:rPr>
          <w:lang w:val="pl"/>
        </w:rPr>
        <w:t>y</w:t>
      </w:r>
      <w:r>
        <w:rPr>
          <w:lang w:val="pl"/>
        </w:rPr>
        <w:t xml:space="preserve"> grzywny w wysokości 3 000 PLN za każde naruszenie obowiązków.</w:t>
      </w:r>
    </w:p>
    <w:p w14:paraId="55A8D922" w14:textId="49AC24ED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13</w:t>
      </w:r>
      <w:r>
        <w:rPr>
          <w:noProof/>
          <w:lang w:val="pl"/>
        </w:rPr>
        <w:fldChar w:fldCharType="end"/>
      </w:r>
      <w:r>
        <w:rPr>
          <w:lang w:val="pl"/>
        </w:rPr>
        <w:t>.  W międzyczasie, w kwietniu 2015 r., M.M. wyszła za mąż, a</w:t>
      </w:r>
      <w:r w:rsidR="00132703">
        <w:rPr>
          <w:lang w:val="pl"/>
        </w:rPr>
        <w:t> </w:t>
      </w:r>
      <w:r>
        <w:rPr>
          <w:lang w:val="pl"/>
        </w:rPr>
        <w:t>w</w:t>
      </w:r>
      <w:r w:rsidR="00132703">
        <w:rPr>
          <w:lang w:val="pl"/>
        </w:rPr>
        <w:t> </w:t>
      </w:r>
      <w:r>
        <w:rPr>
          <w:lang w:val="pl"/>
        </w:rPr>
        <w:t xml:space="preserve">sierpniu 2016 r. przeprowadziła się z X z Krakowa do Warszawy. Poinformowała o tym skarżącego prawie miesiąc później, mimo że była zobowiązana do uzyskania uprzedniej zgody skarżącego na każdą zmianę miejsca stałego pobytu dziecka. Skarżący został poinformowany o nowym adresie córki w Warszawie dopiero </w:t>
      </w:r>
      <w:r w:rsidR="00505F61">
        <w:rPr>
          <w:lang w:val="pl"/>
        </w:rPr>
        <w:t xml:space="preserve">dnia </w:t>
      </w:r>
      <w:r>
        <w:rPr>
          <w:lang w:val="pl"/>
        </w:rPr>
        <w:t>7 września 2016 r.</w:t>
      </w:r>
    </w:p>
    <w:bookmarkStart w:id="1" w:name="move_to_warsaw"/>
    <w:p w14:paraId="499ECE9C" w14:textId="59484D87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14</w:t>
      </w:r>
      <w:r>
        <w:rPr>
          <w:lang w:val="pl"/>
        </w:rPr>
        <w:fldChar w:fldCharType="end"/>
      </w:r>
      <w:bookmarkEnd w:id="1"/>
      <w:r>
        <w:rPr>
          <w:lang w:val="pl"/>
        </w:rPr>
        <w:t xml:space="preserve">.  W 2014 r. skarżący zawarł związek małżeński. Nadal mieszkał z żoną i dziećmi w Krakowie. M.M. przeprowadziła się z X do Warszawy, dlatego od sierpnia 2016 r. skarżący musiał zrezygnować z prób </w:t>
      </w:r>
      <w:r w:rsidR="0035188C">
        <w:rPr>
          <w:lang w:val="pl"/>
        </w:rPr>
        <w:t xml:space="preserve">utrzymywania </w:t>
      </w:r>
      <w:r>
        <w:rPr>
          <w:lang w:val="pl"/>
        </w:rPr>
        <w:t xml:space="preserve">kontaktów z córką, </w:t>
      </w:r>
      <w:r w:rsidR="0035188C">
        <w:rPr>
          <w:lang w:val="pl"/>
        </w:rPr>
        <w:t xml:space="preserve">które zgodnie z </w:t>
      </w:r>
      <w:r>
        <w:rPr>
          <w:lang w:val="pl"/>
        </w:rPr>
        <w:t>wcześniej</w:t>
      </w:r>
      <w:r w:rsidR="0035188C">
        <w:rPr>
          <w:lang w:val="pl"/>
        </w:rPr>
        <w:t>szymi</w:t>
      </w:r>
      <w:r>
        <w:rPr>
          <w:lang w:val="pl"/>
        </w:rPr>
        <w:t xml:space="preserve"> ustal</w:t>
      </w:r>
      <w:r w:rsidR="0035188C">
        <w:rPr>
          <w:lang w:val="pl"/>
        </w:rPr>
        <w:t>eniami miały</w:t>
      </w:r>
      <w:r>
        <w:rPr>
          <w:lang w:val="pl"/>
        </w:rPr>
        <w:t xml:space="preserve"> odbywa</w:t>
      </w:r>
      <w:r w:rsidR="0035188C">
        <w:rPr>
          <w:lang w:val="pl"/>
        </w:rPr>
        <w:t>ć</w:t>
      </w:r>
      <w:r>
        <w:rPr>
          <w:lang w:val="pl"/>
        </w:rPr>
        <w:t xml:space="preserve"> się w środy. Od </w:t>
      </w:r>
      <w:r w:rsidR="0035188C">
        <w:rPr>
          <w:lang w:val="pl"/>
        </w:rPr>
        <w:t xml:space="preserve">dnia </w:t>
      </w:r>
      <w:r>
        <w:rPr>
          <w:lang w:val="pl"/>
        </w:rPr>
        <w:t xml:space="preserve">17 września 2019 r., czyli od daty ostatniego </w:t>
      </w:r>
      <w:r w:rsidR="0035188C">
        <w:rPr>
          <w:lang w:val="pl"/>
        </w:rPr>
        <w:t xml:space="preserve">postanowienia </w:t>
      </w:r>
      <w:r>
        <w:rPr>
          <w:lang w:val="pl"/>
        </w:rPr>
        <w:t>regulującego kontakty, skarżącemu udało się spotkać z córką trzykrotnie (raz w 2019 r. i dwa razy w 2022 r.). Żadne z</w:t>
      </w:r>
      <w:r w:rsidR="00132703">
        <w:rPr>
          <w:lang w:val="pl"/>
        </w:rPr>
        <w:t> </w:t>
      </w:r>
      <w:r>
        <w:rPr>
          <w:lang w:val="pl"/>
        </w:rPr>
        <w:t xml:space="preserve">tych spotkań nie odbyło się zgodnie z postanowieniem sądu </w:t>
      </w:r>
      <w:r w:rsidR="0035188C">
        <w:rPr>
          <w:lang w:val="pl"/>
        </w:rPr>
        <w:t>w sprawie</w:t>
      </w:r>
      <w:r>
        <w:rPr>
          <w:lang w:val="pl"/>
        </w:rPr>
        <w:t xml:space="preserve"> kontakt</w:t>
      </w:r>
      <w:r w:rsidR="0035188C">
        <w:rPr>
          <w:lang w:val="pl"/>
        </w:rPr>
        <w:t>ów</w:t>
      </w:r>
      <w:r>
        <w:rPr>
          <w:lang w:val="pl"/>
        </w:rPr>
        <w:t>, a każde trwało około godziny.</w:t>
      </w:r>
    </w:p>
    <w:p w14:paraId="6C6907AB" w14:textId="1FC0B087" w:rsidR="00D734A7" w:rsidRPr="00ED2127" w:rsidRDefault="0023787B" w:rsidP="00ED2127">
      <w:pPr>
        <w:pStyle w:val="JuHIRoman"/>
      </w:pPr>
      <w:r>
        <w:rPr>
          <w:bCs w:val="0"/>
          <w:caps w:val="0"/>
          <w:lang w:val="pl"/>
        </w:rPr>
        <w:t xml:space="preserve">POSTĘPOWANIE </w:t>
      </w:r>
      <w:r w:rsidR="00D54D02">
        <w:rPr>
          <w:bCs w:val="0"/>
          <w:caps w:val="0"/>
          <w:lang w:val="pl"/>
        </w:rPr>
        <w:t>WYKONAWCZE</w:t>
      </w:r>
    </w:p>
    <w:p w14:paraId="14581286" w14:textId="4401E802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15</w:t>
      </w:r>
      <w:r>
        <w:rPr>
          <w:noProof/>
          <w:lang w:val="pl"/>
        </w:rPr>
        <w:fldChar w:fldCharType="end"/>
      </w:r>
      <w:r>
        <w:rPr>
          <w:lang w:val="pl"/>
        </w:rPr>
        <w:t>.  </w:t>
      </w:r>
      <w:r w:rsidR="0035188C">
        <w:rPr>
          <w:lang w:val="pl"/>
        </w:rPr>
        <w:t xml:space="preserve">W dniu </w:t>
      </w:r>
      <w:r>
        <w:rPr>
          <w:lang w:val="pl"/>
        </w:rPr>
        <w:t xml:space="preserve">3 listopada 2015 r. skarżący zwrócił się do </w:t>
      </w:r>
      <w:r w:rsidR="002A3C72">
        <w:rPr>
          <w:lang w:val="pl"/>
        </w:rPr>
        <w:t>s</w:t>
      </w:r>
      <w:r>
        <w:rPr>
          <w:lang w:val="pl"/>
        </w:rPr>
        <w:t xml:space="preserve">ądu </w:t>
      </w:r>
      <w:r w:rsidR="002A3C72">
        <w:rPr>
          <w:lang w:val="pl"/>
        </w:rPr>
        <w:t>r</w:t>
      </w:r>
      <w:r>
        <w:rPr>
          <w:lang w:val="pl"/>
        </w:rPr>
        <w:t>ejonowego o</w:t>
      </w:r>
      <w:r w:rsidR="00132703">
        <w:rPr>
          <w:lang w:val="pl"/>
        </w:rPr>
        <w:t> </w:t>
      </w:r>
      <w:r>
        <w:rPr>
          <w:lang w:val="pl"/>
        </w:rPr>
        <w:t>zagrożenie M.M. nałożeniem kary grzywny za każde odwołane spotkanie.</w:t>
      </w:r>
    </w:p>
    <w:p w14:paraId="11CB6BA2" w14:textId="6A12F1D0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16</w:t>
      </w:r>
      <w:r>
        <w:rPr>
          <w:noProof/>
          <w:lang w:val="pl"/>
        </w:rPr>
        <w:fldChar w:fldCharType="end"/>
      </w:r>
      <w:r>
        <w:rPr>
          <w:lang w:val="pl"/>
        </w:rPr>
        <w:t>.  </w:t>
      </w:r>
      <w:r w:rsidR="0035188C">
        <w:rPr>
          <w:lang w:val="pl"/>
        </w:rPr>
        <w:t xml:space="preserve">W dniu </w:t>
      </w:r>
      <w:r>
        <w:rPr>
          <w:lang w:val="pl"/>
        </w:rPr>
        <w:t xml:space="preserve">7 czerwca 2016 r. Sąd Rejonowy zawiesił postępowanie </w:t>
      </w:r>
      <w:r w:rsidR="002A3C72">
        <w:rPr>
          <w:lang w:val="pl"/>
        </w:rPr>
        <w:t>wykonawcze</w:t>
      </w:r>
      <w:r>
        <w:rPr>
          <w:lang w:val="pl"/>
        </w:rPr>
        <w:t xml:space="preserve">, uznając, że jego rozstrzygnięcie zależy od innego toczącego się postępowania w sprawie ustalenia kontaktów. Skarżący oraz Rzecznik Praw Dziecka, który </w:t>
      </w:r>
      <w:r w:rsidR="00EB4C8F">
        <w:rPr>
          <w:lang w:val="pl"/>
        </w:rPr>
        <w:t>przystąpił</w:t>
      </w:r>
      <w:r>
        <w:rPr>
          <w:lang w:val="pl"/>
        </w:rPr>
        <w:t xml:space="preserve"> do postępowania i po</w:t>
      </w:r>
      <w:r w:rsidR="00EB4C8F">
        <w:rPr>
          <w:lang w:val="pl"/>
        </w:rPr>
        <w:t>dtrzyma</w:t>
      </w:r>
      <w:r>
        <w:rPr>
          <w:lang w:val="pl"/>
        </w:rPr>
        <w:t xml:space="preserve">ł stanowisko skarżącego, wnieśli apelację. </w:t>
      </w:r>
      <w:r w:rsidR="00EB4C8F">
        <w:rPr>
          <w:lang w:val="pl"/>
        </w:rPr>
        <w:t xml:space="preserve">Dnia </w:t>
      </w:r>
      <w:r>
        <w:rPr>
          <w:lang w:val="pl"/>
        </w:rPr>
        <w:t>30 czerwca 2016 r. Sąd Okręgowy w</w:t>
      </w:r>
      <w:r w:rsidR="00EB4C8F">
        <w:rPr>
          <w:lang w:val="pl"/>
        </w:rPr>
        <w:t> </w:t>
      </w:r>
      <w:r>
        <w:rPr>
          <w:lang w:val="pl"/>
        </w:rPr>
        <w:t>Krakowie uchylił zaskarżon</w:t>
      </w:r>
      <w:r w:rsidR="00EB4C8F">
        <w:rPr>
          <w:lang w:val="pl"/>
        </w:rPr>
        <w:t>e postanowienie</w:t>
      </w:r>
      <w:r>
        <w:rPr>
          <w:lang w:val="pl"/>
        </w:rPr>
        <w:t>.</w:t>
      </w:r>
    </w:p>
    <w:p w14:paraId="43ECEE3B" w14:textId="17E568E6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17</w:t>
      </w:r>
      <w:r>
        <w:rPr>
          <w:noProof/>
          <w:lang w:val="pl"/>
        </w:rPr>
        <w:fldChar w:fldCharType="end"/>
      </w:r>
      <w:r>
        <w:rPr>
          <w:lang w:val="pl"/>
        </w:rPr>
        <w:t>.  </w:t>
      </w:r>
      <w:r w:rsidR="00EB4C8F">
        <w:rPr>
          <w:lang w:val="pl"/>
        </w:rPr>
        <w:t xml:space="preserve">W dniu </w:t>
      </w:r>
      <w:r>
        <w:rPr>
          <w:lang w:val="pl"/>
        </w:rPr>
        <w:t>9 sierpnia 2016 r</w:t>
      </w:r>
      <w:r w:rsidR="00EB4C8F">
        <w:rPr>
          <w:lang w:val="pl"/>
        </w:rPr>
        <w:t>.</w:t>
      </w:r>
      <w:r>
        <w:rPr>
          <w:lang w:val="pl"/>
        </w:rPr>
        <w:t xml:space="preserve"> </w:t>
      </w:r>
      <w:r w:rsidR="002A3C72">
        <w:rPr>
          <w:lang w:val="pl"/>
        </w:rPr>
        <w:t>s</w:t>
      </w:r>
      <w:r>
        <w:rPr>
          <w:lang w:val="pl"/>
        </w:rPr>
        <w:t xml:space="preserve">ąd </w:t>
      </w:r>
      <w:r w:rsidR="002A3C72">
        <w:rPr>
          <w:lang w:val="pl"/>
        </w:rPr>
        <w:t>r</w:t>
      </w:r>
      <w:r>
        <w:rPr>
          <w:lang w:val="pl"/>
        </w:rPr>
        <w:t>ejonowy zagroził M.M. nakazem zapłaty na rzecz skarżącego kwoty 1</w:t>
      </w:r>
      <w:r w:rsidR="002A3C72">
        <w:rPr>
          <w:lang w:val="pl"/>
        </w:rPr>
        <w:t>.</w:t>
      </w:r>
      <w:r>
        <w:rPr>
          <w:lang w:val="pl"/>
        </w:rPr>
        <w:t xml:space="preserve">500 PLN za każde kolejne naruszenie spoczywających na niej obowiązków. Pomimo powyższego nakazu kontakty skarżącego z córką nie były </w:t>
      </w:r>
      <w:r w:rsidR="002A3C72">
        <w:rPr>
          <w:lang w:val="pl"/>
        </w:rPr>
        <w:t>wykonywane</w:t>
      </w:r>
      <w:r>
        <w:rPr>
          <w:lang w:val="pl"/>
        </w:rPr>
        <w:t>.</w:t>
      </w:r>
    </w:p>
    <w:bookmarkStart w:id="2" w:name="first_enforcement_request"/>
    <w:p w14:paraId="737C391A" w14:textId="1F120E05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18</w:t>
      </w:r>
      <w:r>
        <w:rPr>
          <w:lang w:val="pl"/>
        </w:rPr>
        <w:fldChar w:fldCharType="end"/>
      </w:r>
      <w:bookmarkEnd w:id="2"/>
      <w:r>
        <w:rPr>
          <w:lang w:val="pl"/>
        </w:rPr>
        <w:t>.  </w:t>
      </w:r>
      <w:r w:rsidR="00EB4C8F">
        <w:rPr>
          <w:lang w:val="pl"/>
        </w:rPr>
        <w:t xml:space="preserve">W dniu </w:t>
      </w:r>
      <w:r>
        <w:rPr>
          <w:lang w:val="pl"/>
        </w:rPr>
        <w:t>19 grudnia 2016 r. skarżący złożył wniosek egzekucyjny o</w:t>
      </w:r>
      <w:r w:rsidR="00EB4C8F">
        <w:rPr>
          <w:lang w:val="pl"/>
        </w:rPr>
        <w:t> </w:t>
      </w:r>
      <w:r>
        <w:rPr>
          <w:lang w:val="pl"/>
        </w:rPr>
        <w:t>nakazanie M.M. zapłaty określonej kwoty pieniężnej za jej ciągły brak współpracy w zakresie jego prawa do kontaktów z X.</w:t>
      </w:r>
    </w:p>
    <w:bookmarkStart w:id="3" w:name="fine"/>
    <w:p w14:paraId="7FA79B52" w14:textId="7369DF44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19</w:t>
      </w:r>
      <w:r>
        <w:rPr>
          <w:lang w:val="pl"/>
        </w:rPr>
        <w:fldChar w:fldCharType="end"/>
      </w:r>
      <w:bookmarkEnd w:id="3"/>
      <w:r>
        <w:rPr>
          <w:lang w:val="pl"/>
        </w:rPr>
        <w:t>.  </w:t>
      </w:r>
      <w:r w:rsidR="00EB4C8F">
        <w:rPr>
          <w:lang w:val="pl"/>
        </w:rPr>
        <w:t xml:space="preserve">W dniu </w:t>
      </w:r>
      <w:r>
        <w:rPr>
          <w:lang w:val="pl"/>
        </w:rPr>
        <w:t xml:space="preserve">3 października 2017 r. </w:t>
      </w:r>
      <w:r w:rsidR="002A3C72">
        <w:rPr>
          <w:lang w:val="pl"/>
        </w:rPr>
        <w:t>s</w:t>
      </w:r>
      <w:r>
        <w:rPr>
          <w:lang w:val="pl"/>
        </w:rPr>
        <w:t xml:space="preserve">ąd </w:t>
      </w:r>
      <w:r w:rsidR="002A3C72">
        <w:rPr>
          <w:lang w:val="pl"/>
        </w:rPr>
        <w:t>r</w:t>
      </w:r>
      <w:r>
        <w:rPr>
          <w:lang w:val="pl"/>
        </w:rPr>
        <w:t>ejonowy zasądził od M.M. na</w:t>
      </w:r>
      <w:r w:rsidR="00EB4C8F">
        <w:rPr>
          <w:lang w:val="pl"/>
        </w:rPr>
        <w:t> </w:t>
      </w:r>
      <w:r>
        <w:rPr>
          <w:lang w:val="pl"/>
        </w:rPr>
        <w:t>rzecz skarżącego kwotę 13</w:t>
      </w:r>
      <w:r w:rsidR="002A3C72">
        <w:rPr>
          <w:lang w:val="pl"/>
        </w:rPr>
        <w:t>.</w:t>
      </w:r>
      <w:r>
        <w:rPr>
          <w:lang w:val="pl"/>
        </w:rPr>
        <w:t>500 PLN z tytułu popełnionych przez nią naruszeń oraz nakazał jej zwrot wydatków poniesionych przez skarżącego w</w:t>
      </w:r>
      <w:r w:rsidR="00EB4C8F">
        <w:rPr>
          <w:lang w:val="pl"/>
        </w:rPr>
        <w:t> </w:t>
      </w:r>
      <w:r>
        <w:rPr>
          <w:lang w:val="pl"/>
        </w:rPr>
        <w:t>związku z przygotowaniem do kontaktów z X.</w:t>
      </w:r>
    </w:p>
    <w:bookmarkStart w:id="4" w:name="second_enforcement_request"/>
    <w:p w14:paraId="5BFE82D0" w14:textId="4C340814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20</w:t>
      </w:r>
      <w:r>
        <w:rPr>
          <w:lang w:val="pl"/>
        </w:rPr>
        <w:fldChar w:fldCharType="end"/>
      </w:r>
      <w:bookmarkEnd w:id="4"/>
      <w:r>
        <w:rPr>
          <w:lang w:val="pl"/>
        </w:rPr>
        <w:t>.  </w:t>
      </w:r>
      <w:r w:rsidR="00EB4C8F">
        <w:rPr>
          <w:lang w:val="pl"/>
        </w:rPr>
        <w:t xml:space="preserve">W dniu </w:t>
      </w:r>
      <w:r>
        <w:rPr>
          <w:lang w:val="pl"/>
        </w:rPr>
        <w:t>29 czerwca 2018 r. skarżący złożył drugi wniosek egzekucyjny o</w:t>
      </w:r>
      <w:r w:rsidR="00EB4C8F">
        <w:rPr>
          <w:lang w:val="pl"/>
        </w:rPr>
        <w:t xml:space="preserve"> wydanie wobec</w:t>
      </w:r>
      <w:r>
        <w:rPr>
          <w:lang w:val="pl"/>
        </w:rPr>
        <w:t xml:space="preserve"> M.M. nakazu zapłaty w związku z dalszym </w:t>
      </w:r>
      <w:r>
        <w:rPr>
          <w:lang w:val="pl"/>
        </w:rPr>
        <w:lastRenderedPageBreak/>
        <w:t>niewywiązywaniem się przez nią z obowiązków – za okres od</w:t>
      </w:r>
      <w:r w:rsidR="00EB4C8F">
        <w:rPr>
          <w:lang w:val="pl"/>
        </w:rPr>
        <w:t xml:space="preserve"> dnia</w:t>
      </w:r>
      <w:r>
        <w:rPr>
          <w:lang w:val="pl"/>
        </w:rPr>
        <w:t xml:space="preserve"> 21 grudnia 2016 r. do </w:t>
      </w:r>
      <w:r w:rsidR="00EB4C8F">
        <w:rPr>
          <w:lang w:val="pl"/>
        </w:rPr>
        <w:t xml:space="preserve">dnia </w:t>
      </w:r>
      <w:r>
        <w:rPr>
          <w:lang w:val="pl"/>
        </w:rPr>
        <w:t>6 stycznia 2018 r.</w:t>
      </w:r>
    </w:p>
    <w:p w14:paraId="4DED404D" w14:textId="56CE0967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21</w:t>
      </w:r>
      <w:r>
        <w:rPr>
          <w:noProof/>
          <w:lang w:val="pl"/>
        </w:rPr>
        <w:fldChar w:fldCharType="end"/>
      </w:r>
      <w:r>
        <w:rPr>
          <w:lang w:val="pl"/>
        </w:rPr>
        <w:t xml:space="preserve">.  Termin pierwszej rozprawy w tej sprawie wyznaczono na </w:t>
      </w:r>
      <w:r w:rsidR="00EB4C8F">
        <w:rPr>
          <w:lang w:val="pl"/>
        </w:rPr>
        <w:t xml:space="preserve">dzień </w:t>
      </w:r>
      <w:r>
        <w:rPr>
          <w:lang w:val="pl"/>
        </w:rPr>
        <w:t>20</w:t>
      </w:r>
      <w:r w:rsidR="00EB4C8F">
        <w:rPr>
          <w:lang w:val="pl"/>
        </w:rPr>
        <w:t> </w:t>
      </w:r>
      <w:r>
        <w:rPr>
          <w:lang w:val="pl"/>
        </w:rPr>
        <w:t xml:space="preserve">września 2018 r., ale nie przeprowadzono żadnego postępowania dowodowego. Kolejne </w:t>
      </w:r>
      <w:r w:rsidR="002A3C72">
        <w:rPr>
          <w:lang w:val="pl"/>
        </w:rPr>
        <w:t>terminy rozpraw</w:t>
      </w:r>
      <w:r>
        <w:rPr>
          <w:lang w:val="pl"/>
        </w:rPr>
        <w:t xml:space="preserve"> zostały odwołane. </w:t>
      </w:r>
      <w:r w:rsidR="00EB4C8F">
        <w:rPr>
          <w:lang w:val="pl"/>
        </w:rPr>
        <w:t xml:space="preserve">W dniu </w:t>
      </w:r>
      <w:r>
        <w:rPr>
          <w:lang w:val="pl"/>
        </w:rPr>
        <w:t xml:space="preserve">12 marca 2019 r. skarżący zwrócił się do sądu o podjęcie działań w jego sprawie. Kolejna rozprawa odbyła się </w:t>
      </w:r>
      <w:r w:rsidR="00EB4C8F">
        <w:rPr>
          <w:lang w:val="pl"/>
        </w:rPr>
        <w:t xml:space="preserve">w dniu </w:t>
      </w:r>
      <w:r>
        <w:rPr>
          <w:lang w:val="pl"/>
        </w:rPr>
        <w:t>23</w:t>
      </w:r>
      <w:r w:rsidR="00132703">
        <w:rPr>
          <w:lang w:val="pl"/>
        </w:rPr>
        <w:t> </w:t>
      </w:r>
      <w:r>
        <w:rPr>
          <w:lang w:val="pl"/>
        </w:rPr>
        <w:t>maja 2019 r.</w:t>
      </w:r>
    </w:p>
    <w:bookmarkStart w:id="5" w:name="discontinued"/>
    <w:p w14:paraId="21C8A28A" w14:textId="25C7E72E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22</w:t>
      </w:r>
      <w:r>
        <w:rPr>
          <w:lang w:val="pl"/>
        </w:rPr>
        <w:fldChar w:fldCharType="end"/>
      </w:r>
      <w:bookmarkEnd w:id="5"/>
      <w:r>
        <w:rPr>
          <w:lang w:val="pl"/>
        </w:rPr>
        <w:t>.  </w:t>
      </w:r>
      <w:r w:rsidR="00EB4C8F">
        <w:rPr>
          <w:lang w:val="pl"/>
        </w:rPr>
        <w:t xml:space="preserve">W dniu </w:t>
      </w:r>
      <w:r>
        <w:rPr>
          <w:lang w:val="pl"/>
        </w:rPr>
        <w:t>14 stycznia 2020 r. Sąd Okręgowy w Krakowie umorzył postępowanie egzekucyjne, uznając, że wydanie orzeczenia co do istoty sprawy byłoby pozbawione podstaw. Powodem takiej decyzji było to, że tytuł egzekucyjny, jakim było prawomocne postanowienie Sądu Okręgowego w</w:t>
      </w:r>
      <w:r w:rsidR="00132703">
        <w:rPr>
          <w:lang w:val="pl"/>
        </w:rPr>
        <w:t> </w:t>
      </w:r>
      <w:r>
        <w:rPr>
          <w:lang w:val="pl"/>
        </w:rPr>
        <w:t xml:space="preserve">Krakowie z dnia 28 kwietnia 2015 r. </w:t>
      </w:r>
      <w:r w:rsidR="00EC12AD">
        <w:rPr>
          <w:lang w:val="pl"/>
        </w:rPr>
        <w:t xml:space="preserve">w sprawie </w:t>
      </w:r>
      <w:r>
        <w:rPr>
          <w:lang w:val="pl"/>
        </w:rPr>
        <w:t>kontaktów, będąc</w:t>
      </w:r>
      <w:r w:rsidR="002A3C72">
        <w:rPr>
          <w:lang w:val="pl"/>
        </w:rPr>
        <w:t>y</w:t>
      </w:r>
      <w:r>
        <w:rPr>
          <w:lang w:val="pl"/>
        </w:rPr>
        <w:t xml:space="preserve"> podstawą przedmiotowego wniosku skarżącego, przestał istnieć z uwagi na</w:t>
      </w:r>
      <w:r w:rsidR="004E47A1">
        <w:rPr>
          <w:lang w:val="pl"/>
        </w:rPr>
        <w:t> </w:t>
      </w:r>
      <w:r>
        <w:rPr>
          <w:lang w:val="pl"/>
        </w:rPr>
        <w:t xml:space="preserve">wydanie w dniu 17 września 2019 r. nowego </w:t>
      </w:r>
      <w:r w:rsidR="00EC12AD">
        <w:rPr>
          <w:lang w:val="pl"/>
        </w:rPr>
        <w:t xml:space="preserve">postanowienia </w:t>
      </w:r>
      <w:r>
        <w:rPr>
          <w:lang w:val="pl"/>
        </w:rPr>
        <w:t xml:space="preserve">zmieniającego ustalenia </w:t>
      </w:r>
      <w:r w:rsidR="00EC12AD">
        <w:rPr>
          <w:lang w:val="pl"/>
        </w:rPr>
        <w:t>w sprawie</w:t>
      </w:r>
      <w:r>
        <w:rPr>
          <w:lang w:val="pl"/>
        </w:rPr>
        <w:t xml:space="preserve"> kontaktów.</w:t>
      </w:r>
    </w:p>
    <w:p w14:paraId="2910566F" w14:textId="38FDF6DB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23</w:t>
      </w:r>
      <w:r>
        <w:rPr>
          <w:noProof/>
          <w:lang w:val="pl"/>
        </w:rPr>
        <w:fldChar w:fldCharType="end"/>
      </w:r>
      <w:r>
        <w:rPr>
          <w:lang w:val="pl"/>
        </w:rPr>
        <w:t xml:space="preserve">.  Skarżący wniósł </w:t>
      </w:r>
      <w:r w:rsidR="00EC12AD">
        <w:rPr>
          <w:lang w:val="pl"/>
        </w:rPr>
        <w:t>apelację</w:t>
      </w:r>
      <w:r>
        <w:rPr>
          <w:lang w:val="pl"/>
        </w:rPr>
        <w:t>, a</w:t>
      </w:r>
      <w:r w:rsidR="00EC12AD">
        <w:rPr>
          <w:lang w:val="pl"/>
        </w:rPr>
        <w:t xml:space="preserve"> dnia</w:t>
      </w:r>
      <w:r>
        <w:rPr>
          <w:lang w:val="pl"/>
        </w:rPr>
        <w:t xml:space="preserve"> 29 czerwca 2020 r. Sąd Okręgowy w</w:t>
      </w:r>
      <w:r w:rsidR="00132703">
        <w:rPr>
          <w:lang w:val="pl"/>
        </w:rPr>
        <w:t> </w:t>
      </w:r>
      <w:r>
        <w:rPr>
          <w:lang w:val="pl"/>
        </w:rPr>
        <w:t xml:space="preserve">Krakowie </w:t>
      </w:r>
      <w:r w:rsidR="00EC12AD">
        <w:rPr>
          <w:lang w:val="pl"/>
        </w:rPr>
        <w:t xml:space="preserve">ją </w:t>
      </w:r>
      <w:r>
        <w:rPr>
          <w:lang w:val="pl"/>
        </w:rPr>
        <w:t>oddalił</w:t>
      </w:r>
      <w:r w:rsidR="00EC12AD">
        <w:rPr>
          <w:lang w:val="pl"/>
        </w:rPr>
        <w:t>.</w:t>
      </w:r>
    </w:p>
    <w:p w14:paraId="72D0B30B" w14:textId="01F400EF" w:rsidR="00D734A7" w:rsidRPr="00ED2127" w:rsidRDefault="00EB4C8F" w:rsidP="00ED2127">
      <w:pPr>
        <w:pStyle w:val="JuHIRoman"/>
      </w:pPr>
      <w:r>
        <w:rPr>
          <w:bCs w:val="0"/>
          <w:lang w:val="pl"/>
        </w:rPr>
        <w:t>ZARZUT</w:t>
      </w:r>
    </w:p>
    <w:bookmarkStart w:id="6" w:name="recent_contact"/>
    <w:p w14:paraId="4B719B37" w14:textId="77777777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24</w:t>
      </w:r>
      <w:r>
        <w:rPr>
          <w:lang w:val="pl"/>
        </w:rPr>
        <w:fldChar w:fldCharType="end"/>
      </w:r>
      <w:bookmarkEnd w:id="6"/>
      <w:r>
        <w:rPr>
          <w:lang w:val="pl"/>
        </w:rPr>
        <w:t>.  Na podstawie art. 8 Konwencji skarżący zarzucił naruszenie jego prawa do kontaktów z córką.</w:t>
      </w:r>
    </w:p>
    <w:p w14:paraId="605C6E50" w14:textId="77777777" w:rsidR="00D734A7" w:rsidRPr="00ED2127" w:rsidRDefault="0023787B" w:rsidP="00ED2127">
      <w:pPr>
        <w:pStyle w:val="JuHHead"/>
      </w:pPr>
      <w:r>
        <w:rPr>
          <w:bCs w:val="0"/>
          <w:lang w:val="pl"/>
        </w:rPr>
        <w:t>OCENA TRYBUNAŁU</w:t>
      </w:r>
    </w:p>
    <w:p w14:paraId="5500CB07" w14:textId="77777777" w:rsidR="00D734A7" w:rsidRPr="00ED2127" w:rsidRDefault="0023787B" w:rsidP="00ED2127">
      <w:pPr>
        <w:pStyle w:val="JuHIRoman"/>
        <w:numPr>
          <w:ilvl w:val="0"/>
          <w:numId w:val="0"/>
        </w:numPr>
      </w:pPr>
      <w:r>
        <w:rPr>
          <w:bCs w:val="0"/>
          <w:lang w:val="pl"/>
        </w:rPr>
        <w:t>DOMNIEMANE NARUSZENIE ART. 8 KONWENCJI</w:t>
      </w:r>
    </w:p>
    <w:p w14:paraId="1A79AED3" w14:textId="08D48E58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25</w:t>
      </w:r>
      <w:r>
        <w:rPr>
          <w:noProof/>
          <w:lang w:val="pl"/>
        </w:rPr>
        <w:fldChar w:fldCharType="end"/>
      </w:r>
      <w:r>
        <w:rPr>
          <w:lang w:val="pl"/>
        </w:rPr>
        <w:t xml:space="preserve">.  Rząd uznał, że skarżący nie wyczerpał dostępnych krajowych środków odwoławczych, ponieważ nie złożył trzeciego wniosku o nałożenie grzywny na M.M. za nieprzestrzeganie przez nią nakazu </w:t>
      </w:r>
      <w:r w:rsidR="00EC12AD">
        <w:rPr>
          <w:lang w:val="pl"/>
        </w:rPr>
        <w:t xml:space="preserve">realizowania </w:t>
      </w:r>
      <w:r>
        <w:rPr>
          <w:lang w:val="pl"/>
        </w:rPr>
        <w:t>kontaktów.</w:t>
      </w:r>
    </w:p>
    <w:p w14:paraId="4934A1FA" w14:textId="77777777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26</w:t>
      </w:r>
      <w:r>
        <w:rPr>
          <w:noProof/>
          <w:lang w:val="pl"/>
        </w:rPr>
        <w:fldChar w:fldCharType="end"/>
      </w:r>
      <w:r>
        <w:rPr>
          <w:lang w:val="pl"/>
        </w:rPr>
        <w:t>.  Skarżący stwierdził, że wyczerpał wszystkie krajowe środki odwoławcze.</w:t>
      </w:r>
    </w:p>
    <w:p w14:paraId="0336DF0C" w14:textId="68072340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27</w:t>
      </w:r>
      <w:r>
        <w:rPr>
          <w:noProof/>
          <w:lang w:val="pl"/>
        </w:rPr>
        <w:fldChar w:fldCharType="end"/>
      </w:r>
      <w:r>
        <w:rPr>
          <w:lang w:val="pl"/>
        </w:rPr>
        <w:t>.  Trybunał zauważa, że skarżący dwukrotnie zwr</w:t>
      </w:r>
      <w:r w:rsidR="00EC12AD">
        <w:rPr>
          <w:lang w:val="pl"/>
        </w:rPr>
        <w:t>ó</w:t>
      </w:r>
      <w:r>
        <w:rPr>
          <w:lang w:val="pl"/>
        </w:rPr>
        <w:t>c</w:t>
      </w:r>
      <w:r w:rsidR="00EC12AD">
        <w:rPr>
          <w:lang w:val="pl"/>
        </w:rPr>
        <w:t>i</w:t>
      </w:r>
      <w:r>
        <w:rPr>
          <w:lang w:val="pl"/>
        </w:rPr>
        <w:t xml:space="preserve">ł się do sądu krajowego o nałożenie grzywny na M.M. za nieprzestrzeganie przez nią nakazu </w:t>
      </w:r>
      <w:r w:rsidR="003132FA">
        <w:rPr>
          <w:lang w:val="pl"/>
        </w:rPr>
        <w:t xml:space="preserve">realizowania </w:t>
      </w:r>
      <w:r>
        <w:rPr>
          <w:lang w:val="pl"/>
        </w:rPr>
        <w:t xml:space="preserve">kontaktów. Pierwsze postępowanie zakończyło się nałożeniem na M.M. kary grzywny, a drugie zostało umorzone (zob. paragrafy </w:t>
      </w:r>
      <w:r>
        <w:rPr>
          <w:lang w:val="pl"/>
        </w:rPr>
        <w:fldChar w:fldCharType="begin"/>
      </w:r>
      <w:r>
        <w:rPr>
          <w:lang w:val="pl"/>
        </w:rPr>
        <w:instrText xml:space="preserve"> REF fine \h </w:instrText>
      </w:r>
      <w:r>
        <w:rPr>
          <w:lang w:val="pl"/>
        </w:rPr>
      </w:r>
      <w:r>
        <w:rPr>
          <w:lang w:val="pl"/>
        </w:rPr>
        <w:fldChar w:fldCharType="separate"/>
      </w:r>
      <w:r>
        <w:rPr>
          <w:noProof/>
          <w:lang w:val="pl"/>
        </w:rPr>
        <w:t>19</w:t>
      </w:r>
      <w:r>
        <w:rPr>
          <w:lang w:val="pl"/>
        </w:rPr>
        <w:fldChar w:fldCharType="end"/>
      </w:r>
      <w:r>
        <w:rPr>
          <w:lang w:val="pl"/>
        </w:rPr>
        <w:t xml:space="preserve"> i </w:t>
      </w:r>
      <w:r>
        <w:rPr>
          <w:lang w:val="pl"/>
        </w:rPr>
        <w:fldChar w:fldCharType="begin"/>
      </w:r>
      <w:r>
        <w:rPr>
          <w:lang w:val="pl"/>
        </w:rPr>
        <w:instrText xml:space="preserve"> REF discontinued \h </w:instrText>
      </w:r>
      <w:r>
        <w:rPr>
          <w:lang w:val="pl"/>
        </w:rPr>
      </w:r>
      <w:r>
        <w:rPr>
          <w:lang w:val="pl"/>
        </w:rPr>
        <w:fldChar w:fldCharType="separate"/>
      </w:r>
      <w:r>
        <w:rPr>
          <w:noProof/>
          <w:lang w:val="pl"/>
        </w:rPr>
        <w:t>22</w:t>
      </w:r>
      <w:r>
        <w:rPr>
          <w:lang w:val="pl"/>
        </w:rPr>
        <w:fldChar w:fldCharType="end"/>
      </w:r>
      <w:r>
        <w:rPr>
          <w:lang w:val="pl"/>
        </w:rPr>
        <w:t xml:space="preserve"> powyżej). W tych okolicznościach Trybunał uzna</w:t>
      </w:r>
      <w:r w:rsidR="003132FA">
        <w:rPr>
          <w:lang w:val="pl"/>
        </w:rPr>
        <w:t>je</w:t>
      </w:r>
      <w:r>
        <w:rPr>
          <w:lang w:val="pl"/>
        </w:rPr>
        <w:t>, że</w:t>
      </w:r>
      <w:r w:rsidR="003132FA">
        <w:rPr>
          <w:lang w:val="pl"/>
        </w:rPr>
        <w:t> </w:t>
      </w:r>
      <w:r>
        <w:rPr>
          <w:lang w:val="pl"/>
        </w:rPr>
        <w:t>skarżący nie musiał wszczynać kolejnego podobnego postępowania. Zastrzeżenie Rządu należy zatem oddalić.</w:t>
      </w:r>
    </w:p>
    <w:p w14:paraId="6B17800F" w14:textId="74E03E44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</w:instrText>
      </w:r>
      <w:r>
        <w:rPr>
          <w:lang w:val="pl"/>
        </w:rPr>
        <w:fldChar w:fldCharType="separate"/>
      </w:r>
      <w:r>
        <w:rPr>
          <w:noProof/>
          <w:lang w:val="pl"/>
        </w:rPr>
        <w:t>28</w:t>
      </w:r>
      <w:r>
        <w:rPr>
          <w:lang w:val="pl"/>
        </w:rPr>
        <w:fldChar w:fldCharType="end"/>
      </w:r>
      <w:r>
        <w:rPr>
          <w:lang w:val="pl"/>
        </w:rPr>
        <w:t>.  Trybunał zauważa, że skarga skarżącego nie jest w sposób oczywisty nieuzasadniona w rozumieniu art. 35 ust. 3 lit. a) Konwencji lub niedopuszczalna z jakichkolwiek innych powodów. Należy ją zatem uznać za</w:t>
      </w:r>
      <w:r w:rsidR="003132FA">
        <w:rPr>
          <w:lang w:val="pl"/>
        </w:rPr>
        <w:t> </w:t>
      </w:r>
      <w:r>
        <w:rPr>
          <w:lang w:val="pl"/>
        </w:rPr>
        <w:t>dopuszczalną.</w:t>
      </w:r>
    </w:p>
    <w:p w14:paraId="7F98C233" w14:textId="59C1A5BF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lastRenderedPageBreak/>
        <w:fldChar w:fldCharType="begin"/>
      </w:r>
      <w:r>
        <w:rPr>
          <w:lang w:val="pl"/>
        </w:rPr>
        <w:instrText xml:space="preserve"> SEQ level0 \*arabic </w:instrText>
      </w:r>
      <w:r>
        <w:rPr>
          <w:lang w:val="pl"/>
        </w:rPr>
        <w:fldChar w:fldCharType="separate"/>
      </w:r>
      <w:r>
        <w:rPr>
          <w:noProof/>
          <w:lang w:val="pl"/>
        </w:rPr>
        <w:t>29</w:t>
      </w:r>
      <w:r>
        <w:rPr>
          <w:lang w:val="pl"/>
        </w:rPr>
        <w:fldChar w:fldCharType="end"/>
      </w:r>
      <w:r>
        <w:rPr>
          <w:lang w:val="pl"/>
        </w:rPr>
        <w:t>.  Ogólne zasady dotyczące poszanowania życia rodzinnego, pozytywnych obowiązków państwa oraz znaczenia interesów dziecka w</w:t>
      </w:r>
      <w:r w:rsidR="00132703">
        <w:rPr>
          <w:lang w:val="pl"/>
        </w:rPr>
        <w:t> </w:t>
      </w:r>
      <w:r>
        <w:rPr>
          <w:lang w:val="pl"/>
        </w:rPr>
        <w:t>kwestiach dotyczących pieczy nad dzieckiem streszczono w wyroku w</w:t>
      </w:r>
      <w:r w:rsidR="00132703">
        <w:rPr>
          <w:lang w:val="pl"/>
        </w:rPr>
        <w:t> </w:t>
      </w:r>
      <w:r>
        <w:rPr>
          <w:lang w:val="pl"/>
        </w:rPr>
        <w:t xml:space="preserve">sprawie </w:t>
      </w:r>
      <w:bookmarkStart w:id="7" w:name="_cl33530"/>
      <w:r>
        <w:rPr>
          <w:i/>
          <w:iCs/>
          <w:lang w:val="pl"/>
        </w:rPr>
        <w:t>P.K. przeciwko Polsce</w:t>
      </w:r>
      <w:bookmarkEnd w:id="7"/>
      <w:r>
        <w:rPr>
          <w:lang w:val="pl"/>
        </w:rPr>
        <w:t>, nr 43123/10, §§ 81–86, 10</w:t>
      </w:r>
      <w:r w:rsidR="00132703">
        <w:rPr>
          <w:lang w:val="pl"/>
        </w:rPr>
        <w:t> </w:t>
      </w:r>
      <w:r>
        <w:rPr>
          <w:lang w:val="pl"/>
        </w:rPr>
        <w:t>czerwca</w:t>
      </w:r>
      <w:r w:rsidR="00132703">
        <w:rPr>
          <w:lang w:val="pl"/>
        </w:rPr>
        <w:t> </w:t>
      </w:r>
      <w:r>
        <w:rPr>
          <w:lang w:val="pl"/>
        </w:rPr>
        <w:t>2014</w:t>
      </w:r>
      <w:r w:rsidR="00132703">
        <w:rPr>
          <w:lang w:val="pl"/>
        </w:rPr>
        <w:t> </w:t>
      </w:r>
      <w:r>
        <w:rPr>
          <w:lang w:val="pl"/>
        </w:rPr>
        <w:t xml:space="preserve">r. oraz </w:t>
      </w:r>
      <w:bookmarkStart w:id="8" w:name="_cl31057"/>
      <w:r>
        <w:rPr>
          <w:i/>
          <w:iCs/>
          <w:lang w:val="pl"/>
        </w:rPr>
        <w:t>Malec przeciwko Polsce</w:t>
      </w:r>
      <w:bookmarkEnd w:id="8"/>
      <w:r>
        <w:rPr>
          <w:lang w:val="pl"/>
        </w:rPr>
        <w:t>, nr 28623/12, §§ 66–67, 28</w:t>
      </w:r>
      <w:r w:rsidR="00132703">
        <w:rPr>
          <w:lang w:val="pl"/>
        </w:rPr>
        <w:t> </w:t>
      </w:r>
      <w:r>
        <w:rPr>
          <w:lang w:val="pl"/>
        </w:rPr>
        <w:t>czerwca 2016 r.</w:t>
      </w:r>
    </w:p>
    <w:p w14:paraId="225F0DF3" w14:textId="1578734B" w:rsidR="00D734A7" w:rsidRPr="00132703" w:rsidRDefault="0023787B" w:rsidP="00ED2127">
      <w:pPr>
        <w:pStyle w:val="JuPara"/>
        <w:rPr>
          <w:rFonts w:eastAsia="Times New Roman"/>
          <w:sz w:val="17"/>
          <w:szCs w:val="17"/>
          <w:lang w:val="pl-PL"/>
        </w:rPr>
      </w:pPr>
      <w:r>
        <w:rPr>
          <w:rFonts w:eastAsia="Times New Roman"/>
          <w:lang w:val="pl"/>
        </w:rPr>
        <w:fldChar w:fldCharType="begin"/>
      </w:r>
      <w:r>
        <w:rPr>
          <w:rFonts w:eastAsia="Times New Roman"/>
          <w:lang w:val="pl"/>
        </w:rPr>
        <w:instrText xml:space="preserve"> SEQ level0 \*arabic \* MERGEFORMAT </w:instrText>
      </w:r>
      <w:r>
        <w:rPr>
          <w:rFonts w:eastAsia="Times New Roman"/>
          <w:lang w:val="pl"/>
        </w:rPr>
        <w:fldChar w:fldCharType="separate"/>
      </w:r>
      <w:r>
        <w:rPr>
          <w:rFonts w:eastAsia="Times New Roman"/>
          <w:noProof/>
          <w:lang w:val="pl"/>
        </w:rPr>
        <w:t>30</w:t>
      </w:r>
      <w:r>
        <w:rPr>
          <w:rFonts w:eastAsia="Times New Roman"/>
          <w:lang w:val="pl"/>
        </w:rPr>
        <w:fldChar w:fldCharType="end"/>
      </w:r>
      <w:r>
        <w:rPr>
          <w:rFonts w:eastAsia="Times New Roman"/>
          <w:lang w:val="pl"/>
        </w:rPr>
        <w:t>.  Nie pod</w:t>
      </w:r>
      <w:r w:rsidR="00075383">
        <w:rPr>
          <w:rFonts w:eastAsia="Times New Roman"/>
          <w:lang w:val="pl"/>
        </w:rPr>
        <w:t>d</w:t>
      </w:r>
      <w:r>
        <w:rPr>
          <w:rFonts w:eastAsia="Times New Roman"/>
          <w:lang w:val="pl"/>
        </w:rPr>
        <w:t>aje się w wątpliwość, że kwestie, których dotyczy niniejsza sprawa, odnoszą się do „życia rodzinnego” w rozumieniu art. 8 ust. 1 Konwencji i że przepis ten ma zastosowanie.</w:t>
      </w:r>
    </w:p>
    <w:p w14:paraId="33A6DAA7" w14:textId="750071B7" w:rsidR="00D734A7" w:rsidRPr="00132703" w:rsidRDefault="0023787B" w:rsidP="00ED2127">
      <w:pPr>
        <w:pStyle w:val="JuPara"/>
        <w:rPr>
          <w:rFonts w:eastAsia="Times New Roman"/>
          <w:lang w:val="pl-PL"/>
        </w:rPr>
      </w:pPr>
      <w:r>
        <w:rPr>
          <w:rFonts w:eastAsia="Times New Roman"/>
          <w:lang w:val="pl"/>
        </w:rPr>
        <w:fldChar w:fldCharType="begin"/>
      </w:r>
      <w:r>
        <w:rPr>
          <w:rFonts w:eastAsia="Times New Roman"/>
          <w:lang w:val="pl"/>
        </w:rPr>
        <w:instrText xml:space="preserve"> SEQ level0 \*arabic \* MERGEFORMAT </w:instrText>
      </w:r>
      <w:r>
        <w:rPr>
          <w:rFonts w:eastAsia="Times New Roman"/>
          <w:lang w:val="pl"/>
        </w:rPr>
        <w:fldChar w:fldCharType="separate"/>
      </w:r>
      <w:r>
        <w:rPr>
          <w:rFonts w:eastAsia="Times New Roman"/>
          <w:noProof/>
          <w:lang w:val="pl"/>
        </w:rPr>
        <w:t>31</w:t>
      </w:r>
      <w:r>
        <w:rPr>
          <w:rFonts w:eastAsia="Times New Roman"/>
          <w:lang w:val="pl"/>
        </w:rPr>
        <w:fldChar w:fldCharType="end"/>
      </w:r>
      <w:r>
        <w:rPr>
          <w:rFonts w:eastAsia="Times New Roman"/>
          <w:lang w:val="pl"/>
        </w:rPr>
        <w:t>.  Decydującą kwestią jest to, czy polskie władze podjęły wszelkie odpowiednie kroki – jakich można było w sposób uzasadniony wymagać – aby ułatwić egzekwowanie ustaleń dotyczących kontaktów określonych w</w:t>
      </w:r>
      <w:r w:rsidR="00132703">
        <w:rPr>
          <w:rFonts w:eastAsia="Times New Roman"/>
          <w:lang w:val="pl"/>
        </w:rPr>
        <w:t> </w:t>
      </w:r>
      <w:r>
        <w:rPr>
          <w:rFonts w:eastAsia="Times New Roman"/>
          <w:lang w:val="pl"/>
        </w:rPr>
        <w:t xml:space="preserve">postanowieniach w sprawie kontaktów. Wszystkie wydane </w:t>
      </w:r>
      <w:r w:rsidR="00585E96">
        <w:rPr>
          <w:rFonts w:eastAsia="Times New Roman"/>
          <w:lang w:val="pl"/>
        </w:rPr>
        <w:t xml:space="preserve">postanowienia </w:t>
      </w:r>
      <w:r>
        <w:rPr>
          <w:rFonts w:eastAsia="Times New Roman"/>
          <w:lang w:val="pl"/>
        </w:rPr>
        <w:t>zezwalały skarżącemu na regularne kontakty z córką, choć z czasem ustalenia te ulegały pewnym zmianom.</w:t>
      </w:r>
    </w:p>
    <w:p w14:paraId="231EF510" w14:textId="785C23A0" w:rsidR="00D734A7" w:rsidRPr="00132703" w:rsidRDefault="0023787B" w:rsidP="00ED2127">
      <w:pPr>
        <w:pStyle w:val="JuPara"/>
        <w:rPr>
          <w:rFonts w:eastAsia="Times New Roman"/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32</w:t>
      </w:r>
      <w:r>
        <w:rPr>
          <w:lang w:val="pl"/>
        </w:rPr>
        <w:fldChar w:fldCharType="end"/>
      </w:r>
      <w:r>
        <w:rPr>
          <w:lang w:val="pl"/>
        </w:rPr>
        <w:t>.  Trybunał zauważa, że skarżący i M.M. rozstali się w marcu 2010 r., kiedy X miała około dwóch miesięcy. Już w kwietniu 2010 r. M.M. zwróciła się do sądu o przyznanie jej wyłącznej pieczy i władzy rodzicielskiej. Co</w:t>
      </w:r>
      <w:r w:rsidR="00132703">
        <w:rPr>
          <w:lang w:val="pl"/>
        </w:rPr>
        <w:t> </w:t>
      </w:r>
      <w:r>
        <w:rPr>
          <w:lang w:val="pl"/>
        </w:rPr>
        <w:t>więcej natychmiast po separacji kontakt skarżącego z córką stał się nieregularny, a konflikt między rodzicami nasilił się. Następnie po sierpniu 2016 r., kiedy M.M. przeprowadziła się z X do Warszawy, skarżący musiał zrezygnować z prób widywania się z córką w środy, ponieważ mógł podróżować z Krakowa do Warszawy tylko w weekendy. Od 2019 r. skarżącemu udało się zobaczyć z córką zaledwie trzykrotnie, raz w 2019 r. i</w:t>
      </w:r>
      <w:r w:rsidR="00132703">
        <w:rPr>
          <w:lang w:val="pl"/>
        </w:rPr>
        <w:t> </w:t>
      </w:r>
      <w:r>
        <w:rPr>
          <w:lang w:val="pl"/>
        </w:rPr>
        <w:t xml:space="preserve">dwa razy w 2022 r. (zob. paragraf </w:t>
      </w:r>
      <w:r>
        <w:rPr>
          <w:lang w:val="pl"/>
        </w:rPr>
        <w:fldChar w:fldCharType="begin"/>
      </w:r>
      <w:r>
        <w:rPr>
          <w:lang w:val="pl"/>
        </w:rPr>
        <w:instrText xml:space="preserve"> REF move_to_warsaw \h </w:instrText>
      </w:r>
      <w:r>
        <w:rPr>
          <w:lang w:val="pl"/>
        </w:rPr>
      </w:r>
      <w:r>
        <w:rPr>
          <w:lang w:val="pl"/>
        </w:rPr>
        <w:fldChar w:fldCharType="separate"/>
      </w:r>
      <w:r>
        <w:rPr>
          <w:noProof/>
          <w:lang w:val="pl"/>
        </w:rPr>
        <w:t>14</w:t>
      </w:r>
      <w:r>
        <w:rPr>
          <w:lang w:val="pl"/>
        </w:rPr>
        <w:fldChar w:fldCharType="end"/>
      </w:r>
      <w:r>
        <w:rPr>
          <w:lang w:val="pl"/>
        </w:rPr>
        <w:t xml:space="preserve"> powyżej).</w:t>
      </w:r>
    </w:p>
    <w:p w14:paraId="75AC29B8" w14:textId="00C8DB95" w:rsidR="00D734A7" w:rsidRPr="00132703" w:rsidRDefault="0023787B" w:rsidP="00ED2127">
      <w:pPr>
        <w:pStyle w:val="JuPara"/>
        <w:rPr>
          <w:rFonts w:eastAsia="Times New Roman"/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33</w:t>
      </w:r>
      <w:r>
        <w:rPr>
          <w:lang w:val="pl"/>
        </w:rPr>
        <w:fldChar w:fldCharType="end"/>
      </w:r>
      <w:r>
        <w:rPr>
          <w:lang w:val="pl"/>
        </w:rPr>
        <w:t xml:space="preserve">.  Trudności w zorganizowaniu kontaktów wynikały co prawda w dużej mierze z </w:t>
      </w:r>
      <w:r w:rsidR="00075383">
        <w:rPr>
          <w:lang w:val="pl"/>
        </w:rPr>
        <w:t>powodu konfliktu</w:t>
      </w:r>
      <w:r w:rsidR="00D07D28">
        <w:rPr>
          <w:lang w:val="pl"/>
        </w:rPr>
        <w:t xml:space="preserve"> istniejącego</w:t>
      </w:r>
      <w:r>
        <w:rPr>
          <w:lang w:val="pl"/>
        </w:rPr>
        <w:t xml:space="preserve"> między M.M. a skarżącym. Trybunał zauważa również rosnącą niechęć dziecka do spotkań z ojcem, którą w opinii biegł</w:t>
      </w:r>
      <w:r w:rsidR="00585E96">
        <w:rPr>
          <w:lang w:val="pl"/>
        </w:rPr>
        <w:t>ych</w:t>
      </w:r>
      <w:r>
        <w:rPr>
          <w:lang w:val="pl"/>
        </w:rPr>
        <w:t xml:space="preserve"> z</w:t>
      </w:r>
      <w:r w:rsidR="00132703">
        <w:rPr>
          <w:lang w:val="pl"/>
        </w:rPr>
        <w:t> </w:t>
      </w:r>
      <w:r>
        <w:rPr>
          <w:lang w:val="pl"/>
        </w:rPr>
        <w:t>28</w:t>
      </w:r>
      <w:r w:rsidR="00132703">
        <w:rPr>
          <w:lang w:val="pl"/>
        </w:rPr>
        <w:t> </w:t>
      </w:r>
      <w:r>
        <w:rPr>
          <w:lang w:val="pl"/>
        </w:rPr>
        <w:t>września 2016 r. przypisano negatywnemu nastawieniu M.M. do</w:t>
      </w:r>
      <w:r w:rsidR="00585E96">
        <w:rPr>
          <w:lang w:val="pl"/>
        </w:rPr>
        <w:t> </w:t>
      </w:r>
      <w:r>
        <w:rPr>
          <w:lang w:val="pl"/>
        </w:rPr>
        <w:t xml:space="preserve">skarżącego (zob. paragraf </w:t>
      </w:r>
      <w:r>
        <w:rPr>
          <w:lang w:val="pl"/>
        </w:rPr>
        <w:fldChar w:fldCharType="begin"/>
      </w:r>
      <w:r>
        <w:rPr>
          <w:lang w:val="pl"/>
        </w:rPr>
        <w:instrText xml:space="preserve"> REF opinion28_09_16 \h </w:instrText>
      </w:r>
      <w:r>
        <w:rPr>
          <w:lang w:val="pl"/>
        </w:rPr>
      </w:r>
      <w:r>
        <w:rPr>
          <w:lang w:val="pl"/>
        </w:rPr>
        <w:fldChar w:fldCharType="separate"/>
      </w:r>
      <w:r>
        <w:rPr>
          <w:noProof/>
          <w:lang w:val="pl"/>
        </w:rPr>
        <w:t>11</w:t>
      </w:r>
      <w:r>
        <w:rPr>
          <w:lang w:val="pl"/>
        </w:rPr>
        <w:fldChar w:fldCharType="end"/>
      </w:r>
      <w:r>
        <w:rPr>
          <w:lang w:val="pl"/>
        </w:rPr>
        <w:t xml:space="preserve"> powyżej). W tym względzie należy pamiętać, że spory dotyczące kontaktów i miejsca stałego pobytu są z natury niezwykle delikatne dla wszystkich zainteresowanych stron i nie jest łatwym zadaniem dla władz krajowych zapewnienie wykonania orzeczenia sądowego, gdy zachowanie jednego </w:t>
      </w:r>
      <w:r w:rsidR="00585E96">
        <w:rPr>
          <w:lang w:val="pl"/>
        </w:rPr>
        <w:t xml:space="preserve">rodzica </w:t>
      </w:r>
      <w:r>
        <w:rPr>
          <w:lang w:val="pl"/>
        </w:rPr>
        <w:t>lub obojga jest mniej niż konstruktywne lub kiedy – jak w niniejszej sprawie – M.M. nieustannie utrudnia</w:t>
      </w:r>
      <w:r w:rsidR="00585E96">
        <w:rPr>
          <w:lang w:val="pl"/>
        </w:rPr>
        <w:t>ła</w:t>
      </w:r>
      <w:r>
        <w:rPr>
          <w:lang w:val="pl"/>
        </w:rPr>
        <w:t xml:space="preserve"> kontakty. Brak współpracy między rodzicami pozostającymi w</w:t>
      </w:r>
      <w:r w:rsidR="00585E96">
        <w:rPr>
          <w:lang w:val="pl"/>
        </w:rPr>
        <w:t> </w:t>
      </w:r>
      <w:r>
        <w:rPr>
          <w:lang w:val="pl"/>
        </w:rPr>
        <w:t>separacji nie jest jednak okolicznością, która sama w sobie może zwolnić władze z ich pozytywnych obowiązków wynikających z art. 8; nakłada ona raczej na władze obowiązek podjęcia środków, które pogodziłyby sprzeczne interesy stron, mając na uwadze nadrzędne interesy dziecka (zob.</w:t>
      </w:r>
      <w:r w:rsidR="004E47A1">
        <w:rPr>
          <w:lang w:val="pl"/>
        </w:rPr>
        <w:t> </w:t>
      </w:r>
      <w:r>
        <w:rPr>
          <w:i/>
          <w:iCs/>
          <w:lang w:val="pl"/>
        </w:rPr>
        <w:t>Z.</w:t>
      </w:r>
      <w:r w:rsidR="0006146A">
        <w:rPr>
          <w:i/>
          <w:iCs/>
          <w:lang w:val="pl"/>
        </w:rPr>
        <w:t> </w:t>
      </w:r>
      <w:r>
        <w:rPr>
          <w:i/>
          <w:iCs/>
          <w:lang w:val="pl"/>
        </w:rPr>
        <w:t>przeciwko Polsce</w:t>
      </w:r>
      <w:r>
        <w:rPr>
          <w:lang w:val="pl"/>
        </w:rPr>
        <w:t xml:space="preserve">, nr 34694/06, § 75, 20 kwietnia 2010 r. oraz </w:t>
      </w:r>
      <w:r>
        <w:rPr>
          <w:i/>
          <w:iCs/>
          <w:lang w:val="pl"/>
        </w:rPr>
        <w:t>G.B. przeciwko Litwie</w:t>
      </w:r>
      <w:r>
        <w:rPr>
          <w:lang w:val="pl"/>
        </w:rPr>
        <w:t>, nr</w:t>
      </w:r>
      <w:r w:rsidR="00132703">
        <w:rPr>
          <w:lang w:val="pl"/>
        </w:rPr>
        <w:t> </w:t>
      </w:r>
      <w:r>
        <w:rPr>
          <w:lang w:val="pl"/>
        </w:rPr>
        <w:t>36137/13, § 93, 19 stycznia 2016 r.).</w:t>
      </w:r>
    </w:p>
    <w:p w14:paraId="68C97FE9" w14:textId="75EB8E0C" w:rsidR="00D734A7" w:rsidRPr="00132703" w:rsidRDefault="0023787B" w:rsidP="00ED2127">
      <w:pPr>
        <w:pStyle w:val="JuPara"/>
        <w:rPr>
          <w:rFonts w:eastAsia="Times New Roman"/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\* MERGEFORMAT </w:instrText>
      </w:r>
      <w:r>
        <w:rPr>
          <w:lang w:val="pl"/>
        </w:rPr>
        <w:fldChar w:fldCharType="separate"/>
      </w:r>
      <w:r>
        <w:rPr>
          <w:noProof/>
          <w:lang w:val="pl"/>
        </w:rPr>
        <w:t>34</w:t>
      </w:r>
      <w:r>
        <w:rPr>
          <w:lang w:val="pl"/>
        </w:rPr>
        <w:fldChar w:fldCharType="end"/>
      </w:r>
      <w:r>
        <w:rPr>
          <w:lang w:val="pl"/>
        </w:rPr>
        <w:t>.  Trybunał zauważ</w:t>
      </w:r>
      <w:r w:rsidR="0006146A">
        <w:rPr>
          <w:lang w:val="pl"/>
        </w:rPr>
        <w:t>a</w:t>
      </w:r>
      <w:r>
        <w:rPr>
          <w:lang w:val="pl"/>
        </w:rPr>
        <w:t xml:space="preserve">, że gdy M.M. nie zastosowała się do nakazu </w:t>
      </w:r>
      <w:r w:rsidR="0006146A">
        <w:rPr>
          <w:lang w:val="pl"/>
        </w:rPr>
        <w:t xml:space="preserve">realizowania </w:t>
      </w:r>
      <w:r>
        <w:rPr>
          <w:lang w:val="pl"/>
        </w:rPr>
        <w:t xml:space="preserve">kontaktów, skarżący zaczął składać wnioski do </w:t>
      </w:r>
      <w:r w:rsidR="00331C10">
        <w:rPr>
          <w:lang w:val="pl"/>
        </w:rPr>
        <w:t>s</w:t>
      </w:r>
      <w:r>
        <w:rPr>
          <w:lang w:val="pl"/>
        </w:rPr>
        <w:t xml:space="preserve">ądu </w:t>
      </w:r>
      <w:r w:rsidR="00331C10">
        <w:rPr>
          <w:lang w:val="pl"/>
        </w:rPr>
        <w:t>r</w:t>
      </w:r>
      <w:r>
        <w:rPr>
          <w:lang w:val="pl"/>
        </w:rPr>
        <w:t xml:space="preserve">ejonowego, aby ten zagroził M.M. grzywnami, a następnie wnioski </w:t>
      </w:r>
      <w:r>
        <w:rPr>
          <w:lang w:val="pl"/>
        </w:rPr>
        <w:lastRenderedPageBreak/>
        <w:t>o</w:t>
      </w:r>
      <w:r w:rsidR="0006146A">
        <w:rPr>
          <w:lang w:val="pl"/>
        </w:rPr>
        <w:t> </w:t>
      </w:r>
      <w:r>
        <w:rPr>
          <w:lang w:val="pl"/>
        </w:rPr>
        <w:t xml:space="preserve">nałożenie na nią grzywien i </w:t>
      </w:r>
      <w:r w:rsidR="0006146A">
        <w:rPr>
          <w:lang w:val="pl"/>
        </w:rPr>
        <w:t>z</w:t>
      </w:r>
      <w:r>
        <w:rPr>
          <w:lang w:val="pl"/>
        </w:rPr>
        <w:t>obowiąz</w:t>
      </w:r>
      <w:r w:rsidR="0006146A">
        <w:rPr>
          <w:lang w:val="pl"/>
        </w:rPr>
        <w:t>anie do</w:t>
      </w:r>
      <w:r>
        <w:rPr>
          <w:lang w:val="pl"/>
        </w:rPr>
        <w:t xml:space="preserve"> zwrotu kosztów podróży skarżącego. Skarżący złożył dwa wnioski egzekucyjne na podstawie prawomocnego </w:t>
      </w:r>
      <w:r w:rsidR="0006146A">
        <w:rPr>
          <w:lang w:val="pl"/>
        </w:rPr>
        <w:t>postanowienia w sprawie</w:t>
      </w:r>
      <w:r>
        <w:rPr>
          <w:lang w:val="pl"/>
        </w:rPr>
        <w:t xml:space="preserve"> kontaktów wydanego przez Sąd Okręgowy w Krakowie w dniu 28</w:t>
      </w:r>
      <w:r w:rsidR="00132703">
        <w:rPr>
          <w:lang w:val="pl"/>
        </w:rPr>
        <w:t> </w:t>
      </w:r>
      <w:r>
        <w:rPr>
          <w:lang w:val="pl"/>
        </w:rPr>
        <w:t>kwietnia</w:t>
      </w:r>
      <w:r w:rsidR="00132703">
        <w:rPr>
          <w:lang w:val="pl"/>
        </w:rPr>
        <w:t> </w:t>
      </w:r>
      <w:r>
        <w:rPr>
          <w:lang w:val="pl"/>
        </w:rPr>
        <w:t xml:space="preserve">2015 r. (zob. paragrafy </w:t>
      </w:r>
      <w:r>
        <w:rPr>
          <w:lang w:val="pl"/>
        </w:rPr>
        <w:fldChar w:fldCharType="begin"/>
      </w:r>
      <w:r>
        <w:rPr>
          <w:lang w:val="pl"/>
        </w:rPr>
        <w:instrText xml:space="preserve"> REF first_enforcement_request \h </w:instrText>
      </w:r>
      <w:r>
        <w:rPr>
          <w:lang w:val="pl"/>
        </w:rPr>
      </w:r>
      <w:r>
        <w:rPr>
          <w:lang w:val="pl"/>
        </w:rPr>
        <w:fldChar w:fldCharType="separate"/>
      </w:r>
      <w:r>
        <w:rPr>
          <w:noProof/>
          <w:lang w:val="pl"/>
        </w:rPr>
        <w:t>18</w:t>
      </w:r>
      <w:r>
        <w:rPr>
          <w:lang w:val="pl"/>
        </w:rPr>
        <w:fldChar w:fldCharType="end"/>
      </w:r>
      <w:r>
        <w:rPr>
          <w:lang w:val="pl"/>
        </w:rPr>
        <w:t xml:space="preserve"> i </w:t>
      </w:r>
      <w:r>
        <w:rPr>
          <w:lang w:val="pl"/>
        </w:rPr>
        <w:fldChar w:fldCharType="begin"/>
      </w:r>
      <w:r>
        <w:rPr>
          <w:lang w:val="pl"/>
        </w:rPr>
        <w:instrText xml:space="preserve"> REF second_enforcement_request \h </w:instrText>
      </w:r>
      <w:r>
        <w:rPr>
          <w:lang w:val="pl"/>
        </w:rPr>
      </w:r>
      <w:r>
        <w:rPr>
          <w:lang w:val="pl"/>
        </w:rPr>
        <w:fldChar w:fldCharType="separate"/>
      </w:r>
      <w:r>
        <w:rPr>
          <w:noProof/>
          <w:lang w:val="pl"/>
        </w:rPr>
        <w:t>20</w:t>
      </w:r>
      <w:r>
        <w:rPr>
          <w:lang w:val="pl"/>
        </w:rPr>
        <w:fldChar w:fldCharType="end"/>
      </w:r>
      <w:r>
        <w:rPr>
          <w:lang w:val="pl"/>
        </w:rPr>
        <w:t xml:space="preserve"> powyżej).</w:t>
      </w:r>
    </w:p>
    <w:p w14:paraId="153D0874" w14:textId="2ABBB8F1" w:rsidR="00D734A7" w:rsidRPr="00132703" w:rsidRDefault="0023787B" w:rsidP="00ED2127">
      <w:pPr>
        <w:pStyle w:val="JuPara"/>
        <w:rPr>
          <w:rFonts w:eastAsia="Times New Roman"/>
          <w:lang w:val="pl-PL"/>
        </w:rPr>
      </w:pPr>
      <w:r>
        <w:rPr>
          <w:rStyle w:val="JuParaChar"/>
          <w:lang w:val="pl"/>
        </w:rPr>
        <w:fldChar w:fldCharType="begin"/>
      </w:r>
      <w:r>
        <w:rPr>
          <w:rStyle w:val="JuParaChar"/>
          <w:lang w:val="pl"/>
        </w:rPr>
        <w:instrText xml:space="preserve"> SEQ level0 \*arabic \* MERGEFORMAT </w:instrText>
      </w:r>
      <w:r>
        <w:rPr>
          <w:rStyle w:val="JuParaChar"/>
          <w:lang w:val="pl"/>
        </w:rPr>
        <w:fldChar w:fldCharType="separate"/>
      </w:r>
      <w:r>
        <w:rPr>
          <w:rStyle w:val="JuParaChar"/>
          <w:noProof/>
          <w:lang w:val="pl"/>
        </w:rPr>
        <w:t>35</w:t>
      </w:r>
      <w:r>
        <w:rPr>
          <w:rStyle w:val="JuParaChar"/>
          <w:lang w:val="pl"/>
        </w:rPr>
        <w:fldChar w:fldCharType="end"/>
      </w:r>
      <w:r>
        <w:rPr>
          <w:rStyle w:val="JuParaChar"/>
          <w:lang w:val="pl"/>
        </w:rPr>
        <w:t>.  </w:t>
      </w:r>
      <w:r>
        <w:rPr>
          <w:lang w:val="pl"/>
        </w:rPr>
        <w:t>Trybunał zauważa jednak, że sąd krajowy rozpatrzył pierwszy wniosek z dnia 3 listopada 2015 r. w dniu 9 sierpnia 2016 r., kiedy to zagroził matce grzywną w wysokości 1</w:t>
      </w:r>
      <w:r w:rsidR="00331C10">
        <w:rPr>
          <w:lang w:val="pl"/>
        </w:rPr>
        <w:t>.</w:t>
      </w:r>
      <w:r>
        <w:rPr>
          <w:lang w:val="pl"/>
        </w:rPr>
        <w:t>500 PLN za każde niedopełnienie obowiązków. M.M. nadal uniemożliwiała skarżącemu jakikolwiek kontakt z</w:t>
      </w:r>
      <w:r w:rsidR="00132703">
        <w:rPr>
          <w:lang w:val="pl"/>
        </w:rPr>
        <w:t> </w:t>
      </w:r>
      <w:r>
        <w:rPr>
          <w:lang w:val="pl"/>
        </w:rPr>
        <w:t xml:space="preserve">X, dlatego </w:t>
      </w:r>
      <w:r w:rsidR="0006146A">
        <w:rPr>
          <w:lang w:val="pl"/>
        </w:rPr>
        <w:t xml:space="preserve">w dniu </w:t>
      </w:r>
      <w:r>
        <w:rPr>
          <w:lang w:val="pl"/>
        </w:rPr>
        <w:t xml:space="preserve">19 grudnia 2016 r. skarżący złożył wniosek egzekucyjny, który został rozpatrzony </w:t>
      </w:r>
      <w:r w:rsidR="0006146A">
        <w:rPr>
          <w:lang w:val="pl"/>
        </w:rPr>
        <w:t xml:space="preserve">dnia </w:t>
      </w:r>
      <w:r>
        <w:rPr>
          <w:lang w:val="pl"/>
        </w:rPr>
        <w:t xml:space="preserve">3 października 2017 r., tj. prawie dziesięć miesięcy później i prawie dwa lata po złożeniu pierwszego wniosku (zob. paragraf </w:t>
      </w:r>
      <w:r>
        <w:rPr>
          <w:lang w:val="pl"/>
        </w:rPr>
        <w:fldChar w:fldCharType="begin"/>
      </w:r>
      <w:r>
        <w:rPr>
          <w:lang w:val="pl"/>
        </w:rPr>
        <w:instrText xml:space="preserve"> REF fine \h </w:instrText>
      </w:r>
      <w:r>
        <w:rPr>
          <w:lang w:val="pl"/>
        </w:rPr>
      </w:r>
      <w:r>
        <w:rPr>
          <w:lang w:val="pl"/>
        </w:rPr>
        <w:fldChar w:fldCharType="separate"/>
      </w:r>
      <w:r>
        <w:rPr>
          <w:noProof/>
          <w:lang w:val="pl"/>
        </w:rPr>
        <w:t>19</w:t>
      </w:r>
      <w:r>
        <w:rPr>
          <w:lang w:val="pl"/>
        </w:rPr>
        <w:fldChar w:fldCharType="end"/>
      </w:r>
      <w:r w:rsidR="00132703">
        <w:rPr>
          <w:lang w:val="pl"/>
        </w:rPr>
        <w:t> </w:t>
      </w:r>
      <w:r>
        <w:rPr>
          <w:lang w:val="pl"/>
        </w:rPr>
        <w:t xml:space="preserve">powyżej). Ponadto postępowanie </w:t>
      </w:r>
      <w:r w:rsidR="00331C10">
        <w:rPr>
          <w:lang w:val="pl"/>
        </w:rPr>
        <w:t>wykonawcze</w:t>
      </w:r>
      <w:r>
        <w:rPr>
          <w:lang w:val="pl"/>
        </w:rPr>
        <w:t xml:space="preserve"> wszczęte przez skarżącego w dniu 29 czerwca 2018 r. ostatecznie umorzono dwa lata później, </w:t>
      </w:r>
      <w:r w:rsidR="0006146A">
        <w:rPr>
          <w:lang w:val="pl"/>
        </w:rPr>
        <w:t xml:space="preserve">dnia </w:t>
      </w:r>
      <w:r>
        <w:rPr>
          <w:lang w:val="pl"/>
        </w:rPr>
        <w:t>29</w:t>
      </w:r>
      <w:r w:rsidR="00132703">
        <w:rPr>
          <w:lang w:val="pl"/>
        </w:rPr>
        <w:t> </w:t>
      </w:r>
      <w:r>
        <w:rPr>
          <w:lang w:val="pl"/>
        </w:rPr>
        <w:t xml:space="preserve">czerwca 2020 r. (zob. paragraf </w:t>
      </w:r>
      <w:r>
        <w:rPr>
          <w:lang w:val="pl"/>
        </w:rPr>
        <w:fldChar w:fldCharType="begin"/>
      </w:r>
      <w:r>
        <w:rPr>
          <w:lang w:val="pl"/>
        </w:rPr>
        <w:instrText xml:space="preserve"> REF discontinued \h </w:instrText>
      </w:r>
      <w:r>
        <w:rPr>
          <w:lang w:val="pl"/>
        </w:rPr>
      </w:r>
      <w:r>
        <w:rPr>
          <w:lang w:val="pl"/>
        </w:rPr>
        <w:fldChar w:fldCharType="separate"/>
      </w:r>
      <w:r>
        <w:rPr>
          <w:noProof/>
          <w:lang w:val="pl"/>
        </w:rPr>
        <w:t>22</w:t>
      </w:r>
      <w:r>
        <w:rPr>
          <w:lang w:val="pl"/>
        </w:rPr>
        <w:fldChar w:fldCharType="end"/>
      </w:r>
      <w:r>
        <w:rPr>
          <w:lang w:val="pl"/>
        </w:rPr>
        <w:t xml:space="preserve"> powyżej).</w:t>
      </w:r>
    </w:p>
    <w:p w14:paraId="617A18D0" w14:textId="44986C71" w:rsidR="00D734A7" w:rsidRPr="00132703" w:rsidRDefault="0023787B" w:rsidP="00ED2127">
      <w:pPr>
        <w:pStyle w:val="JuPara"/>
        <w:rPr>
          <w:rFonts w:eastAsia="Times New Roman"/>
          <w:lang w:val="pl-PL"/>
        </w:rPr>
      </w:pPr>
      <w:r>
        <w:rPr>
          <w:rFonts w:eastAsia="Times New Roman"/>
          <w:lang w:val="pl"/>
        </w:rPr>
        <w:fldChar w:fldCharType="begin"/>
      </w:r>
      <w:r>
        <w:rPr>
          <w:rFonts w:eastAsia="Times New Roman"/>
          <w:lang w:val="pl"/>
        </w:rPr>
        <w:instrText xml:space="preserve"> SEQ level0 \*arabic \* MERGEFORMAT </w:instrText>
      </w:r>
      <w:r>
        <w:rPr>
          <w:rFonts w:eastAsia="Times New Roman"/>
          <w:lang w:val="pl"/>
        </w:rPr>
        <w:fldChar w:fldCharType="separate"/>
      </w:r>
      <w:r>
        <w:rPr>
          <w:rFonts w:eastAsia="Times New Roman"/>
          <w:noProof/>
          <w:lang w:val="pl"/>
        </w:rPr>
        <w:t>36</w:t>
      </w:r>
      <w:r>
        <w:rPr>
          <w:rFonts w:eastAsia="Times New Roman"/>
          <w:lang w:val="pl"/>
        </w:rPr>
        <w:fldChar w:fldCharType="end"/>
      </w:r>
      <w:r>
        <w:rPr>
          <w:rFonts w:eastAsia="Times New Roman"/>
          <w:lang w:val="pl"/>
        </w:rPr>
        <w:t>.  W związku z tym Trybunał przypomina, że w tego rodzaju sprawach adekwatność środka należy oceniać na podstawie szybkości jego wdrożenia, ponieważ upływ czasu może mieć nieodwracalne konsekwencje dla relacji między</w:t>
      </w:r>
      <w:r w:rsidR="0006146A">
        <w:rPr>
          <w:rFonts w:eastAsia="Times New Roman"/>
          <w:lang w:val="pl"/>
        </w:rPr>
        <w:t xml:space="preserve"> niemieszkającymi ze sobą</w:t>
      </w:r>
      <w:r>
        <w:rPr>
          <w:rFonts w:eastAsia="Times New Roman"/>
          <w:lang w:val="pl"/>
        </w:rPr>
        <w:t xml:space="preserve"> dzieckiem a rodzicem. Ponadto Trybunał zauważa, że Rząd nie przedstawił żadnych wyjaśnień dotyczących opóźnień w rozpatrywaniu wniosków skarżącego. Trybunał stwierdza, że chociaż początkowe wnioski egzekucyjne skarżącego doprowadziły ostatecznie do</w:t>
      </w:r>
      <w:r w:rsidR="00DD1FCF">
        <w:rPr>
          <w:rFonts w:eastAsia="Times New Roman"/>
          <w:lang w:val="pl"/>
        </w:rPr>
        <w:t> </w:t>
      </w:r>
      <w:r>
        <w:rPr>
          <w:rFonts w:eastAsia="Times New Roman"/>
          <w:lang w:val="pl"/>
        </w:rPr>
        <w:t xml:space="preserve">wydania jednego </w:t>
      </w:r>
      <w:r w:rsidR="00DD1FCF">
        <w:rPr>
          <w:rFonts w:eastAsia="Times New Roman"/>
          <w:lang w:val="pl"/>
        </w:rPr>
        <w:t xml:space="preserve">postanowienia </w:t>
      </w:r>
      <w:r>
        <w:rPr>
          <w:rFonts w:eastAsia="Times New Roman"/>
          <w:lang w:val="pl"/>
        </w:rPr>
        <w:t xml:space="preserve">nakładającego grzywnę na matkę, przedłużające się rozpatrywanie </w:t>
      </w:r>
      <w:r w:rsidR="00EA5014">
        <w:rPr>
          <w:rFonts w:eastAsia="Times New Roman"/>
          <w:lang w:val="pl"/>
        </w:rPr>
        <w:t xml:space="preserve">rzeczonych </w:t>
      </w:r>
      <w:r>
        <w:rPr>
          <w:rFonts w:eastAsia="Times New Roman"/>
          <w:lang w:val="pl"/>
        </w:rPr>
        <w:t>wniosków przyczyniło się do</w:t>
      </w:r>
      <w:r w:rsidR="004E47A1">
        <w:rPr>
          <w:rFonts w:eastAsia="Times New Roman"/>
          <w:lang w:val="pl"/>
        </w:rPr>
        <w:t> </w:t>
      </w:r>
      <w:r>
        <w:rPr>
          <w:rFonts w:eastAsia="Times New Roman"/>
          <w:lang w:val="pl"/>
        </w:rPr>
        <w:t>dalszego rozluźnienia więzi emocjonalnej skarżącego z córką.</w:t>
      </w:r>
    </w:p>
    <w:p w14:paraId="2416D921" w14:textId="062ECE3C" w:rsidR="00D734A7" w:rsidRPr="00132703" w:rsidRDefault="0023787B" w:rsidP="00ED2127">
      <w:pPr>
        <w:pStyle w:val="JuPara"/>
        <w:rPr>
          <w:rFonts w:eastAsia="Times New Roman"/>
          <w:sz w:val="17"/>
          <w:szCs w:val="17"/>
          <w:lang w:val="pl-PL"/>
        </w:rPr>
      </w:pPr>
      <w:r>
        <w:rPr>
          <w:rFonts w:eastAsia="Times New Roman"/>
          <w:lang w:val="pl"/>
        </w:rPr>
        <w:fldChar w:fldCharType="begin"/>
      </w:r>
      <w:r>
        <w:rPr>
          <w:rFonts w:eastAsia="Times New Roman"/>
          <w:lang w:val="pl"/>
        </w:rPr>
        <w:instrText xml:space="preserve"> SEQ level0 \*arabic \* MERGEFORMAT </w:instrText>
      </w:r>
      <w:r>
        <w:rPr>
          <w:rFonts w:eastAsia="Times New Roman"/>
          <w:lang w:val="pl"/>
        </w:rPr>
        <w:fldChar w:fldCharType="separate"/>
      </w:r>
      <w:r>
        <w:rPr>
          <w:rFonts w:eastAsia="Times New Roman"/>
          <w:noProof/>
          <w:lang w:val="pl"/>
        </w:rPr>
        <w:t>37</w:t>
      </w:r>
      <w:r>
        <w:rPr>
          <w:rFonts w:eastAsia="Times New Roman"/>
          <w:lang w:val="pl"/>
        </w:rPr>
        <w:fldChar w:fldCharType="end"/>
      </w:r>
      <w:r>
        <w:rPr>
          <w:rFonts w:eastAsia="Times New Roman"/>
          <w:lang w:val="pl"/>
        </w:rPr>
        <w:t>.  Trybunał przyznaje, że zadanie sądów krajowych było utrudnione ze</w:t>
      </w:r>
      <w:r w:rsidR="00DD1FCF">
        <w:rPr>
          <w:rFonts w:eastAsia="Times New Roman"/>
          <w:lang w:val="pl"/>
        </w:rPr>
        <w:t> </w:t>
      </w:r>
      <w:r>
        <w:rPr>
          <w:rFonts w:eastAsia="Times New Roman"/>
          <w:lang w:val="pl"/>
        </w:rPr>
        <w:t xml:space="preserve">względu na szczególnie napięte relacje między skarżącym a M.M. Nic nie wskazuje jednak na to, że konflikt ten wpłynął na przebieg postępowania </w:t>
      </w:r>
      <w:r w:rsidR="00331C10">
        <w:rPr>
          <w:rFonts w:eastAsia="Times New Roman"/>
          <w:lang w:val="pl"/>
        </w:rPr>
        <w:t>wykonawczego</w:t>
      </w:r>
      <w:r>
        <w:rPr>
          <w:rFonts w:eastAsia="Times New Roman"/>
          <w:lang w:val="pl"/>
        </w:rPr>
        <w:t>. Przyczyną opóźnień wydaje się być brak skuteczności i</w:t>
      </w:r>
      <w:r w:rsidR="00132703">
        <w:rPr>
          <w:rFonts w:eastAsia="Times New Roman"/>
          <w:lang w:val="pl"/>
        </w:rPr>
        <w:t> </w:t>
      </w:r>
      <w:r>
        <w:rPr>
          <w:rFonts w:eastAsia="Times New Roman"/>
          <w:lang w:val="pl"/>
        </w:rPr>
        <w:t xml:space="preserve">staranności ze strony sądów krajowych (zob. </w:t>
      </w:r>
      <w:r>
        <w:rPr>
          <w:rFonts w:eastAsia="Times New Roman"/>
          <w:i/>
          <w:iCs/>
          <w:lang w:val="pl"/>
        </w:rPr>
        <w:t>Stasik przeciwko Polsce</w:t>
      </w:r>
      <w:r>
        <w:rPr>
          <w:rFonts w:eastAsia="Times New Roman"/>
          <w:lang w:val="pl"/>
        </w:rPr>
        <w:t>, nr</w:t>
      </w:r>
      <w:r w:rsidR="00132703">
        <w:rPr>
          <w:rFonts w:eastAsia="Times New Roman"/>
          <w:lang w:val="pl"/>
        </w:rPr>
        <w:t> </w:t>
      </w:r>
      <w:r>
        <w:rPr>
          <w:rFonts w:eastAsia="Times New Roman"/>
          <w:lang w:val="pl"/>
        </w:rPr>
        <w:t>21823/12, § 93, 6 października 2015 r.).</w:t>
      </w:r>
    </w:p>
    <w:p w14:paraId="1B947A3E" w14:textId="565904AC" w:rsidR="00D734A7" w:rsidRPr="00132703" w:rsidRDefault="0023787B" w:rsidP="00ED2127">
      <w:pPr>
        <w:pStyle w:val="JuPara"/>
        <w:rPr>
          <w:rFonts w:eastAsia="Times New Roman"/>
          <w:sz w:val="17"/>
          <w:szCs w:val="17"/>
          <w:lang w:val="pl-PL"/>
        </w:rPr>
      </w:pPr>
      <w:r>
        <w:rPr>
          <w:rFonts w:eastAsia="Times New Roman"/>
          <w:lang w:val="pl"/>
        </w:rPr>
        <w:fldChar w:fldCharType="begin"/>
      </w:r>
      <w:r>
        <w:rPr>
          <w:rFonts w:eastAsia="Times New Roman"/>
          <w:lang w:val="pl"/>
        </w:rPr>
        <w:instrText xml:space="preserve"> SEQ level0 \*arabic \* MERGEFORMAT </w:instrText>
      </w:r>
      <w:r>
        <w:rPr>
          <w:rFonts w:eastAsia="Times New Roman"/>
          <w:lang w:val="pl"/>
        </w:rPr>
        <w:fldChar w:fldCharType="separate"/>
      </w:r>
      <w:r>
        <w:rPr>
          <w:rFonts w:eastAsia="Times New Roman"/>
          <w:noProof/>
          <w:lang w:val="pl"/>
        </w:rPr>
        <w:t>38</w:t>
      </w:r>
      <w:r>
        <w:rPr>
          <w:rFonts w:eastAsia="Times New Roman"/>
          <w:lang w:val="pl"/>
        </w:rPr>
        <w:fldChar w:fldCharType="end"/>
      </w:r>
      <w:r>
        <w:rPr>
          <w:rFonts w:eastAsia="Times New Roman"/>
          <w:lang w:val="pl"/>
        </w:rPr>
        <w:t>.  Zważywszy na okoliczności faktyczne sprawy, w szczególności upływ czasu, oraz kryteria określone w orzecznictwie Trybunału, Trybunał stwierdza, że pomimo przysługującego państwu marginesu oceny polskie władze nie podjęły odpowiednich i skutecznych wysiłków w celu wyegzekwowania prawa skarżącego do kontaktów z dzieckiem.</w:t>
      </w:r>
    </w:p>
    <w:p w14:paraId="2A22594B" w14:textId="77777777" w:rsidR="00D734A7" w:rsidRPr="00132703" w:rsidRDefault="0023787B" w:rsidP="00ED2127">
      <w:pPr>
        <w:pStyle w:val="JuPara"/>
        <w:rPr>
          <w:rFonts w:eastAsia="Times New Roman"/>
          <w:sz w:val="17"/>
          <w:szCs w:val="17"/>
          <w:lang w:val="pl-PL"/>
        </w:rPr>
      </w:pPr>
      <w:r>
        <w:rPr>
          <w:rFonts w:eastAsia="Times New Roman"/>
          <w:lang w:val="pl"/>
        </w:rPr>
        <w:fldChar w:fldCharType="begin"/>
      </w:r>
      <w:r>
        <w:rPr>
          <w:rFonts w:eastAsia="Times New Roman"/>
          <w:lang w:val="pl"/>
        </w:rPr>
        <w:instrText xml:space="preserve"> SEQ level0 \*arabic \* MERGEFORMAT </w:instrText>
      </w:r>
      <w:r>
        <w:rPr>
          <w:rFonts w:eastAsia="Times New Roman"/>
          <w:lang w:val="pl"/>
        </w:rPr>
        <w:fldChar w:fldCharType="separate"/>
      </w:r>
      <w:r>
        <w:rPr>
          <w:rFonts w:eastAsia="Times New Roman"/>
          <w:noProof/>
          <w:lang w:val="pl"/>
        </w:rPr>
        <w:t>39</w:t>
      </w:r>
      <w:r>
        <w:rPr>
          <w:rFonts w:eastAsia="Times New Roman"/>
          <w:lang w:val="pl"/>
        </w:rPr>
        <w:fldChar w:fldCharType="end"/>
      </w:r>
      <w:r>
        <w:rPr>
          <w:rFonts w:eastAsia="Times New Roman"/>
          <w:lang w:val="pl"/>
        </w:rPr>
        <w:t>.  W związku z powyższym doszło do naruszenia art. 8 Konwencji.</w:t>
      </w:r>
    </w:p>
    <w:p w14:paraId="02C851A4" w14:textId="77777777" w:rsidR="00D734A7" w:rsidRPr="00ED2127" w:rsidRDefault="0023787B" w:rsidP="00ED2127">
      <w:pPr>
        <w:pStyle w:val="JuHHead"/>
      </w:pPr>
      <w:r>
        <w:rPr>
          <w:bCs w:val="0"/>
          <w:lang w:val="pl"/>
        </w:rPr>
        <w:t>ZASTOSOWANIE ART. 41 KONWENCJI</w:t>
      </w:r>
    </w:p>
    <w:p w14:paraId="59F0A751" w14:textId="2845CB03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</w:instrText>
      </w:r>
      <w:r>
        <w:rPr>
          <w:lang w:val="pl"/>
        </w:rPr>
        <w:fldChar w:fldCharType="separate"/>
      </w:r>
      <w:r>
        <w:rPr>
          <w:noProof/>
          <w:lang w:val="pl"/>
        </w:rPr>
        <w:t>40</w:t>
      </w:r>
      <w:r>
        <w:rPr>
          <w:lang w:val="pl"/>
        </w:rPr>
        <w:fldChar w:fldCharType="end"/>
      </w:r>
      <w:r>
        <w:rPr>
          <w:lang w:val="pl"/>
        </w:rPr>
        <w:t xml:space="preserve">.  Skarżący zażądał </w:t>
      </w:r>
      <w:r w:rsidR="00DD1FCF">
        <w:rPr>
          <w:lang w:val="pl"/>
        </w:rPr>
        <w:t xml:space="preserve">kwoty </w:t>
      </w:r>
      <w:r>
        <w:rPr>
          <w:lang w:val="pl"/>
        </w:rPr>
        <w:t>10</w:t>
      </w:r>
      <w:r w:rsidR="00331C10">
        <w:rPr>
          <w:lang w:val="pl"/>
        </w:rPr>
        <w:t>.</w:t>
      </w:r>
      <w:r>
        <w:rPr>
          <w:lang w:val="pl"/>
        </w:rPr>
        <w:t>500 euro (EUR) tytułem zadośćuczynienia za szkodę majątkową i 15</w:t>
      </w:r>
      <w:r w:rsidR="00331C10">
        <w:rPr>
          <w:lang w:val="pl"/>
        </w:rPr>
        <w:t>.</w:t>
      </w:r>
      <w:r>
        <w:rPr>
          <w:lang w:val="pl"/>
        </w:rPr>
        <w:t>000 EUR tytułem zadośćuczynienia za szkodę niemajątkową, a także 3</w:t>
      </w:r>
      <w:r w:rsidR="00331C10">
        <w:rPr>
          <w:lang w:val="pl"/>
        </w:rPr>
        <w:t>.</w:t>
      </w:r>
      <w:r>
        <w:rPr>
          <w:lang w:val="pl"/>
        </w:rPr>
        <w:t xml:space="preserve">200 EUR tytułem </w:t>
      </w:r>
      <w:r>
        <w:rPr>
          <w:lang w:val="pl"/>
        </w:rPr>
        <w:lastRenderedPageBreak/>
        <w:t>kosztów i wydatków poniesionych przed sądami krajowymi i przed Trybunałem.</w:t>
      </w:r>
    </w:p>
    <w:p w14:paraId="004FA4C0" w14:textId="77777777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</w:instrText>
      </w:r>
      <w:r>
        <w:rPr>
          <w:lang w:val="pl"/>
        </w:rPr>
        <w:fldChar w:fldCharType="separate"/>
      </w:r>
      <w:r>
        <w:rPr>
          <w:noProof/>
          <w:lang w:val="pl"/>
        </w:rPr>
        <w:t>41</w:t>
      </w:r>
      <w:r>
        <w:rPr>
          <w:lang w:val="pl"/>
        </w:rPr>
        <w:fldChar w:fldCharType="end"/>
      </w:r>
      <w:r>
        <w:rPr>
          <w:lang w:val="pl"/>
        </w:rPr>
        <w:t>.  Rząd uznał te roszczenia za bezpodstawne i w sposób nieuzasadniony wygórowane.</w:t>
      </w:r>
    </w:p>
    <w:p w14:paraId="0A700776" w14:textId="4148E9A1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</w:instrText>
      </w:r>
      <w:r>
        <w:rPr>
          <w:lang w:val="pl"/>
        </w:rPr>
        <w:fldChar w:fldCharType="separate"/>
      </w:r>
      <w:r>
        <w:rPr>
          <w:noProof/>
          <w:lang w:val="pl"/>
        </w:rPr>
        <w:t>42</w:t>
      </w:r>
      <w:r>
        <w:rPr>
          <w:lang w:val="pl"/>
        </w:rPr>
        <w:fldChar w:fldCharType="end"/>
      </w:r>
      <w:r>
        <w:rPr>
          <w:lang w:val="pl"/>
        </w:rPr>
        <w:t>.  Trybunał nie dostrzega żadnego związku przyczynowego między stwierdzonym naruszeniem a domniemaną szkodą majątkową, w związku z</w:t>
      </w:r>
      <w:r w:rsidR="00132703">
        <w:rPr>
          <w:lang w:val="pl"/>
        </w:rPr>
        <w:t> </w:t>
      </w:r>
      <w:r>
        <w:rPr>
          <w:lang w:val="pl"/>
        </w:rPr>
        <w:t>czym oddala roszczenie</w:t>
      </w:r>
      <w:r w:rsidR="00DD1FCF">
        <w:rPr>
          <w:lang w:val="pl"/>
        </w:rPr>
        <w:t xml:space="preserve"> w tym względzie</w:t>
      </w:r>
      <w:r>
        <w:rPr>
          <w:lang w:val="pl"/>
        </w:rPr>
        <w:t>. Zasądza jednak na rzecz skarżącego kwotę 6</w:t>
      </w:r>
      <w:r w:rsidR="00331C10">
        <w:rPr>
          <w:lang w:val="pl"/>
        </w:rPr>
        <w:t>.</w:t>
      </w:r>
      <w:r>
        <w:rPr>
          <w:lang w:val="pl"/>
        </w:rPr>
        <w:t>000 EUR, plus wszelkie należne podatki, tytułem zadośćuczynienia za szkodę niemajątkową.</w:t>
      </w:r>
    </w:p>
    <w:p w14:paraId="06DAE5B5" w14:textId="0071B83C" w:rsidR="00D734A7" w:rsidRPr="00132703" w:rsidRDefault="0023787B" w:rsidP="00ED2127">
      <w:pPr>
        <w:pStyle w:val="JuPara"/>
        <w:rPr>
          <w:lang w:val="pl-PL"/>
        </w:rPr>
      </w:pPr>
      <w:r>
        <w:rPr>
          <w:lang w:val="pl"/>
        </w:rPr>
        <w:fldChar w:fldCharType="begin"/>
      </w:r>
      <w:r>
        <w:rPr>
          <w:lang w:val="pl"/>
        </w:rPr>
        <w:instrText xml:space="preserve"> SEQ level0 \*arabic </w:instrText>
      </w:r>
      <w:r>
        <w:rPr>
          <w:lang w:val="pl"/>
        </w:rPr>
        <w:fldChar w:fldCharType="separate"/>
      </w:r>
      <w:r>
        <w:rPr>
          <w:noProof/>
          <w:lang w:val="pl"/>
        </w:rPr>
        <w:t>43</w:t>
      </w:r>
      <w:r>
        <w:rPr>
          <w:lang w:val="pl"/>
        </w:rPr>
        <w:fldChar w:fldCharType="end"/>
      </w:r>
      <w:r>
        <w:rPr>
          <w:lang w:val="pl"/>
        </w:rPr>
        <w:t>.  Mając na uwadze dokumenty znajdujące się w jego posiadaniu, Trybunał uznaje za uzasadnione zasądzenie kwoty 2</w:t>
      </w:r>
      <w:r w:rsidR="00331C10">
        <w:rPr>
          <w:lang w:val="pl"/>
        </w:rPr>
        <w:t>.</w:t>
      </w:r>
      <w:r>
        <w:rPr>
          <w:lang w:val="pl"/>
        </w:rPr>
        <w:t xml:space="preserve">500 EUR na pokrycie kosztów wszelkiego rodzaju, </w:t>
      </w:r>
      <w:r w:rsidR="004E47A1" w:rsidRPr="004E47A1">
        <w:rPr>
          <w:lang w:val="pl"/>
        </w:rPr>
        <w:t>powiększon</w:t>
      </w:r>
      <w:r w:rsidR="004E47A1">
        <w:rPr>
          <w:lang w:val="pl"/>
        </w:rPr>
        <w:t>ej</w:t>
      </w:r>
      <w:r w:rsidR="004E47A1" w:rsidRPr="004E47A1">
        <w:rPr>
          <w:lang w:val="pl"/>
        </w:rPr>
        <w:t xml:space="preserve"> o należne podatki, jakie mogą zostać naliczone wobec</w:t>
      </w:r>
      <w:r>
        <w:rPr>
          <w:lang w:val="pl"/>
        </w:rPr>
        <w:t>.</w:t>
      </w:r>
    </w:p>
    <w:p w14:paraId="16AAF636" w14:textId="5F883680" w:rsidR="00D734A7" w:rsidRPr="00ED2127" w:rsidRDefault="0023787B" w:rsidP="00ED2127">
      <w:pPr>
        <w:pStyle w:val="JuHHead"/>
      </w:pPr>
      <w:r>
        <w:rPr>
          <w:bCs w:val="0"/>
          <w:lang w:val="pl"/>
        </w:rPr>
        <w:t>Z</w:t>
      </w:r>
      <w:r w:rsidR="00331C10">
        <w:rPr>
          <w:bCs w:val="0"/>
          <w:lang w:val="pl"/>
        </w:rPr>
        <w:t xml:space="preserve"> </w:t>
      </w:r>
      <w:r>
        <w:rPr>
          <w:bCs w:val="0"/>
          <w:lang w:val="pl"/>
        </w:rPr>
        <w:t>POWYŻSZYCH WZGLĘDÓW TRYBUNAŁ JEDNOGŁOŚNIE</w:t>
      </w:r>
    </w:p>
    <w:p w14:paraId="37B4394E" w14:textId="3C98AA91" w:rsidR="00D734A7" w:rsidRPr="00ED2127" w:rsidRDefault="00DD1FCF" w:rsidP="00ED2127">
      <w:pPr>
        <w:pStyle w:val="JuList"/>
        <w:numPr>
          <w:ilvl w:val="0"/>
          <w:numId w:val="2"/>
        </w:numPr>
      </w:pPr>
      <w:r>
        <w:rPr>
          <w:i/>
          <w:iCs/>
          <w:lang w:val="pl"/>
        </w:rPr>
        <w:t>uznaje</w:t>
      </w:r>
      <w:r>
        <w:rPr>
          <w:lang w:val="pl"/>
        </w:rPr>
        <w:t xml:space="preserve"> skargę za dopuszczalną;</w:t>
      </w:r>
    </w:p>
    <w:p w14:paraId="1807476B" w14:textId="47D44FD9" w:rsidR="00D734A7" w:rsidRPr="00132703" w:rsidRDefault="00DD1FCF" w:rsidP="00ED2127">
      <w:pPr>
        <w:pStyle w:val="JuList"/>
        <w:numPr>
          <w:ilvl w:val="0"/>
          <w:numId w:val="2"/>
        </w:numPr>
        <w:rPr>
          <w:lang w:val="pl-PL"/>
        </w:rPr>
      </w:pPr>
      <w:r>
        <w:rPr>
          <w:i/>
          <w:iCs/>
          <w:lang w:val="pl"/>
        </w:rPr>
        <w:t>orzeka</w:t>
      </w:r>
      <w:r>
        <w:rPr>
          <w:lang w:val="pl"/>
        </w:rPr>
        <w:t>, że doszło do naruszenia art. 8 Konwencji;</w:t>
      </w:r>
    </w:p>
    <w:p w14:paraId="6A4BA4CB" w14:textId="37080323" w:rsidR="00D734A7" w:rsidRPr="00ED2127" w:rsidRDefault="00DD1FCF" w:rsidP="00ED2127">
      <w:pPr>
        <w:pStyle w:val="JuList"/>
        <w:numPr>
          <w:ilvl w:val="0"/>
          <w:numId w:val="2"/>
        </w:numPr>
      </w:pPr>
      <w:r>
        <w:rPr>
          <w:i/>
          <w:iCs/>
          <w:lang w:val="pl"/>
        </w:rPr>
        <w:t>orzeka,</w:t>
      </w:r>
    </w:p>
    <w:p w14:paraId="72FDE02D" w14:textId="1649806A" w:rsidR="00D734A7" w:rsidRPr="00132703" w:rsidRDefault="0023787B" w:rsidP="00ED2127">
      <w:pPr>
        <w:pStyle w:val="JuLista"/>
        <w:numPr>
          <w:ilvl w:val="1"/>
          <w:numId w:val="1"/>
        </w:numPr>
        <w:rPr>
          <w:lang w:val="pl-PL"/>
        </w:rPr>
      </w:pPr>
      <w:r>
        <w:rPr>
          <w:lang w:val="pl"/>
        </w:rPr>
        <w:t xml:space="preserve">że pozwane państwo </w:t>
      </w:r>
      <w:r w:rsidR="00331C10">
        <w:rPr>
          <w:lang w:val="pl"/>
        </w:rPr>
        <w:t>po</w:t>
      </w:r>
      <w:r>
        <w:rPr>
          <w:lang w:val="pl"/>
        </w:rPr>
        <w:t>winno, w terminie trzech miesięcy, uiścić na</w:t>
      </w:r>
      <w:r w:rsidR="00DD1FCF">
        <w:rPr>
          <w:lang w:val="pl"/>
        </w:rPr>
        <w:t> </w:t>
      </w:r>
      <w:r>
        <w:rPr>
          <w:lang w:val="pl"/>
        </w:rPr>
        <w:t xml:space="preserve">rzecz skarżącego następujące kwoty, przeliczone na </w:t>
      </w:r>
      <w:r>
        <w:rPr>
          <w:color w:val="000000"/>
          <w:lang w:val="pl"/>
        </w:rPr>
        <w:t>walutę pozwanego państwa</w:t>
      </w:r>
      <w:r>
        <w:rPr>
          <w:lang w:val="pl"/>
        </w:rPr>
        <w:t xml:space="preserve"> według kursu obowiązującego w dniu płatności:</w:t>
      </w:r>
    </w:p>
    <w:p w14:paraId="108E15C9" w14:textId="7627735F" w:rsidR="00D734A7" w:rsidRPr="00132703" w:rsidRDefault="0023787B" w:rsidP="00ED2127">
      <w:pPr>
        <w:pStyle w:val="JuListi"/>
        <w:numPr>
          <w:ilvl w:val="2"/>
          <w:numId w:val="1"/>
        </w:numPr>
        <w:rPr>
          <w:lang w:val="pl-PL"/>
        </w:rPr>
      </w:pPr>
      <w:r>
        <w:rPr>
          <w:lang w:val="pl"/>
        </w:rPr>
        <w:t>6</w:t>
      </w:r>
      <w:r w:rsidR="00331C10">
        <w:rPr>
          <w:lang w:val="pl"/>
        </w:rPr>
        <w:t>.</w:t>
      </w:r>
      <w:r>
        <w:rPr>
          <w:lang w:val="pl"/>
        </w:rPr>
        <w:t>000 EUR (sześć tysięcy euro), plus wszelkie należne podatki, tytułem zadośćuczynienia za szkodę niemajątkową;</w:t>
      </w:r>
    </w:p>
    <w:p w14:paraId="35E6882D" w14:textId="2EAD6E0F" w:rsidR="00D734A7" w:rsidRPr="00132703" w:rsidRDefault="0023787B" w:rsidP="00ED2127">
      <w:pPr>
        <w:pStyle w:val="JuListi"/>
        <w:numPr>
          <w:ilvl w:val="2"/>
          <w:numId w:val="1"/>
        </w:numPr>
        <w:rPr>
          <w:lang w:val="pl-PL"/>
        </w:rPr>
      </w:pPr>
      <w:r>
        <w:rPr>
          <w:lang w:val="pl"/>
        </w:rPr>
        <w:t>2</w:t>
      </w:r>
      <w:r w:rsidR="00331C10">
        <w:rPr>
          <w:lang w:val="pl"/>
        </w:rPr>
        <w:t>.</w:t>
      </w:r>
      <w:r>
        <w:rPr>
          <w:lang w:val="pl"/>
        </w:rPr>
        <w:t>500 EUR (dwa tysiące pięćset euro), plus wszelkie należne od</w:t>
      </w:r>
      <w:r w:rsidR="00DD1FCF">
        <w:rPr>
          <w:lang w:val="pl"/>
        </w:rPr>
        <w:t> </w:t>
      </w:r>
      <w:r>
        <w:rPr>
          <w:lang w:val="pl"/>
        </w:rPr>
        <w:t>skarżącego podatki, tytułem poniesionych kosztów i</w:t>
      </w:r>
      <w:r w:rsidR="00DD1FCF">
        <w:rPr>
          <w:lang w:val="pl"/>
        </w:rPr>
        <w:t> </w:t>
      </w:r>
      <w:r>
        <w:rPr>
          <w:lang w:val="pl"/>
        </w:rPr>
        <w:t>wydatków;</w:t>
      </w:r>
    </w:p>
    <w:p w14:paraId="6802FD1D" w14:textId="61CB0994" w:rsidR="00D734A7" w:rsidRPr="00132703" w:rsidRDefault="0023787B" w:rsidP="00ED2127">
      <w:pPr>
        <w:pStyle w:val="JuLista"/>
        <w:numPr>
          <w:ilvl w:val="1"/>
          <w:numId w:val="1"/>
        </w:numPr>
        <w:rPr>
          <w:lang w:val="pl-PL"/>
        </w:rPr>
      </w:pPr>
      <w:r>
        <w:rPr>
          <w:lang w:val="pl"/>
        </w:rPr>
        <w:t>że od upływu wyżej wskazanego terminu trzech miesięcy aż</w:t>
      </w:r>
      <w:r w:rsidR="00DD1FCF">
        <w:rPr>
          <w:lang w:val="pl"/>
        </w:rPr>
        <w:t> </w:t>
      </w:r>
      <w:r>
        <w:rPr>
          <w:lang w:val="pl"/>
        </w:rPr>
        <w:t>do</w:t>
      </w:r>
      <w:r w:rsidR="00DD1FCF">
        <w:rPr>
          <w:lang w:val="pl"/>
        </w:rPr>
        <w:t> </w:t>
      </w:r>
      <w:r>
        <w:rPr>
          <w:lang w:val="pl"/>
        </w:rPr>
        <w:t>momentu uregulowania należności, należne będą odsetki zwykłe od określonych powyżej kwot, naliczone według stopy równej marginalnej stopie procentowej Europejskiego Banku Centralnego obowiązującej w</w:t>
      </w:r>
      <w:r w:rsidR="00912D4D">
        <w:rPr>
          <w:lang w:val="pl"/>
        </w:rPr>
        <w:t xml:space="preserve"> </w:t>
      </w:r>
      <w:r>
        <w:rPr>
          <w:lang w:val="pl"/>
        </w:rPr>
        <w:t>tym okresie, powiększonej o trzy punkty procentowe;</w:t>
      </w:r>
    </w:p>
    <w:p w14:paraId="55B52869" w14:textId="453B5F7D" w:rsidR="004D0EC7" w:rsidRPr="00132703" w:rsidRDefault="00DD1FCF" w:rsidP="00ED2127">
      <w:pPr>
        <w:pStyle w:val="JuList"/>
        <w:rPr>
          <w:lang w:val="pl-PL"/>
        </w:rPr>
      </w:pPr>
      <w:r>
        <w:rPr>
          <w:i/>
          <w:iCs/>
          <w:lang w:val="pl"/>
        </w:rPr>
        <w:t>oddala</w:t>
      </w:r>
      <w:r>
        <w:rPr>
          <w:lang w:val="pl"/>
        </w:rPr>
        <w:t xml:space="preserve"> pozostałą część roszczenia skarżącego dotyczącego słusznego zadośćuczynienia.</w:t>
      </w:r>
    </w:p>
    <w:p w14:paraId="21DC2D0C" w14:textId="11CB0765" w:rsidR="008E3A08" w:rsidRPr="00132703" w:rsidRDefault="0023787B" w:rsidP="00ED2127">
      <w:pPr>
        <w:pStyle w:val="JuParaLast"/>
        <w:rPr>
          <w:lang w:val="pl-PL"/>
        </w:rPr>
      </w:pPr>
      <w:r>
        <w:rPr>
          <w:lang w:val="pl"/>
        </w:rPr>
        <w:lastRenderedPageBreak/>
        <w:t>Sporządzono w języku angielskim i obwieszczono pisemnie dnia</w:t>
      </w:r>
      <w:r w:rsidR="00DD1FCF">
        <w:rPr>
          <w:lang w:val="pl"/>
        </w:rPr>
        <w:t xml:space="preserve"> </w:t>
      </w:r>
      <w:r>
        <w:rPr>
          <w:rFonts w:ascii="Times New Roman" w:hAnsi="Times New Roman"/>
          <w:lang w:val="pl"/>
        </w:rPr>
        <w:t>28 września 2023 r.</w:t>
      </w:r>
      <w:r>
        <w:rPr>
          <w:lang w:val="pl"/>
        </w:rPr>
        <w:t>, zgodnie z Regułą 77 §§ 2 i 3 Regulaminu Trybunału.</w:t>
      </w:r>
    </w:p>
    <w:p w14:paraId="16B8E43A" w14:textId="34E75E05" w:rsidR="007E79A4" w:rsidRPr="00132703" w:rsidRDefault="0023787B" w:rsidP="00ED2127">
      <w:pPr>
        <w:pStyle w:val="JuSigned"/>
        <w:rPr>
          <w:lang w:val="pl-PL"/>
        </w:rPr>
      </w:pPr>
      <w:r>
        <w:rPr>
          <w:lang w:val="pl"/>
        </w:rPr>
        <w:tab/>
      </w:r>
      <w:r>
        <w:rPr>
          <w:noProof/>
          <w:lang w:val="pl"/>
        </w:rPr>
        <w:t>Liv Tigerstedt</w:t>
      </w:r>
      <w:r>
        <w:rPr>
          <w:lang w:val="pl"/>
        </w:rPr>
        <w:tab/>
      </w:r>
      <w:r>
        <w:rPr>
          <w:noProof/>
          <w:lang w:val="pl"/>
        </w:rPr>
        <w:t>Ivana Jelić</w:t>
      </w:r>
      <w:r>
        <w:rPr>
          <w:lang w:val="pl"/>
        </w:rPr>
        <w:br/>
      </w:r>
      <w:r>
        <w:rPr>
          <w:lang w:val="pl"/>
        </w:rPr>
        <w:tab/>
      </w:r>
      <w:r>
        <w:rPr>
          <w:noProof/>
          <w:lang w:val="pl"/>
        </w:rPr>
        <w:t>Zastępca Kanclerza</w:t>
      </w:r>
      <w:r>
        <w:rPr>
          <w:lang w:val="pl"/>
        </w:rPr>
        <w:tab/>
        <w:t>Przewodnicząc</w:t>
      </w:r>
      <w:r w:rsidR="00DD1FCF">
        <w:rPr>
          <w:lang w:val="pl"/>
        </w:rPr>
        <w:t>a</w:t>
      </w:r>
    </w:p>
    <w:sectPr w:rsidR="007E79A4" w:rsidRPr="00132703" w:rsidSect="007D3701">
      <w:headerReference w:type="even" r:id="rId12"/>
      <w:headerReference w:type="default" r:id="rId13"/>
      <w:footerReference w:type="even" r:id="rId14"/>
      <w:footerReference w:type="default" r:id="rId15"/>
      <w:footnotePr>
        <w:numRestart w:val="eachSect"/>
      </w:footnotePr>
      <w:pgSz w:w="11906" w:h="16838" w:code="9"/>
      <w:pgMar w:top="2274" w:right="2274" w:bottom="2274" w:left="2274" w:header="1701" w:footer="720" w:gutter="0"/>
      <w:pgNumType w:start="1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F8361E" w14:textId="77777777" w:rsidR="002B122F" w:rsidRDefault="002B122F">
      <w:r>
        <w:separator/>
      </w:r>
    </w:p>
  </w:endnote>
  <w:endnote w:type="continuationSeparator" w:id="0">
    <w:p w14:paraId="0BD30521" w14:textId="77777777" w:rsidR="002B122F" w:rsidRDefault="002B12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3BB2C6" w14:textId="77777777" w:rsidR="00D734A7" w:rsidRPr="00150BFA" w:rsidRDefault="0023787B" w:rsidP="0020718E">
    <w:pPr>
      <w:jc w:val="center"/>
    </w:pPr>
    <w:r>
      <w:rPr>
        <w:noProof/>
        <w:lang w:val="pl"/>
      </w:rPr>
      <w:drawing>
        <wp:inline distT="0" distB="0" distL="0" distR="0" wp14:anchorId="55F73C5B" wp14:editId="08D34588">
          <wp:extent cx="771525" cy="619125"/>
          <wp:effectExtent l="0" t="0" r="9525" b="9525"/>
          <wp:docPr id="49" name="Picture 49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9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C462043" w14:textId="77777777" w:rsidR="0098410D" w:rsidRPr="00D734A7" w:rsidRDefault="0098410D" w:rsidP="00AF12C5">
    <w:pPr>
      <w:pStyle w:val="Stopka"/>
      <w:jc w:val="center"/>
      <w:rPr>
        <w:sz w:val="4"/>
        <w:szCs w:val="4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A0C0C0" w14:textId="77777777" w:rsidR="00D734A7" w:rsidRPr="00150BFA" w:rsidRDefault="0023787B" w:rsidP="0020718E">
    <w:pPr>
      <w:jc w:val="center"/>
    </w:pPr>
    <w:r>
      <w:rPr>
        <w:noProof/>
        <w:lang w:val="pl"/>
      </w:rPr>
      <w:drawing>
        <wp:inline distT="0" distB="0" distL="0" distR="0" wp14:anchorId="5C693EF7" wp14:editId="4CA180DE">
          <wp:extent cx="771525" cy="619125"/>
          <wp:effectExtent l="0" t="0" r="9525" b="9525"/>
          <wp:docPr id="3" name="Picture 3" descr="R:\1_Graphics&amp;Web\Court_Graphic_Charter\2013\ECHR_Stationery\Documents_and_Letters\Cover_Pages_And_Docs\White_600_dpi\ECHR_CoverpageCS61_ECHR_Coverpage_Footer_COE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cture 2" descr="R:\1_Graphics&amp;Web\Court_Graphic_Charter\2013\ECHR_Stationery\Documents_and_Letters\Cover_Pages_And_Docs\White_600_dpi\ECHR_CoverpageCS61_ECHR_Coverpage_Footer_COE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771525" cy="6191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D0F6296" w14:textId="77777777" w:rsidR="009E7A6F" w:rsidRPr="00D734A7" w:rsidRDefault="009E7A6F" w:rsidP="009E7A6F">
    <w:pPr>
      <w:pStyle w:val="Stopka"/>
      <w:jc w:val="center"/>
      <w:rPr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AF142B" w14:textId="77777777" w:rsidR="00182EBA" w:rsidRDefault="0023787B" w:rsidP="009A115C">
    <w:pPr>
      <w:pStyle w:val="JuHeader"/>
    </w:pPr>
    <w:r>
      <w:rPr>
        <w:rStyle w:val="Numerstrony"/>
        <w:lang w:val="pl"/>
      </w:rPr>
      <w:fldChar w:fldCharType="begin"/>
    </w:r>
    <w:r>
      <w:rPr>
        <w:rStyle w:val="Numerstrony"/>
        <w:lang w:val="pl"/>
      </w:rPr>
      <w:instrText xml:space="preserve"> PAGE </w:instrText>
    </w:r>
    <w:r>
      <w:rPr>
        <w:rStyle w:val="Numerstrony"/>
        <w:lang w:val="pl"/>
      </w:rPr>
      <w:fldChar w:fldCharType="separate"/>
    </w:r>
    <w:r>
      <w:rPr>
        <w:rStyle w:val="Numerstrony"/>
        <w:noProof/>
        <w:lang w:val="pl"/>
      </w:rPr>
      <w:t>1</w:t>
    </w:r>
    <w:r>
      <w:rPr>
        <w:rStyle w:val="Numerstrony"/>
        <w:lang w:val="pl"/>
      </w:rPr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0324E" w14:textId="77777777" w:rsidR="00182EBA" w:rsidRPr="000B7195" w:rsidRDefault="0023787B" w:rsidP="007D3701">
    <w:pPr>
      <w:pStyle w:val="JuHeader"/>
    </w:pPr>
    <w:r>
      <w:rPr>
        <w:lang w:val="pl"/>
      </w:rPr>
      <w:fldChar w:fldCharType="begin"/>
    </w:r>
    <w:r>
      <w:rPr>
        <w:lang w:val="pl"/>
      </w:rPr>
      <w:instrText xml:space="preserve"> PAGE </w:instrText>
    </w:r>
    <w:r>
      <w:rPr>
        <w:lang w:val="pl"/>
      </w:rPr>
      <w:fldChar w:fldCharType="separate"/>
    </w:r>
    <w:r>
      <w:rPr>
        <w:noProof/>
        <w:lang w:val="pl"/>
      </w:rPr>
      <w:t>1</w:t>
    </w:r>
    <w:r>
      <w:rPr>
        <w:lang w:val="pl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A9D1D0" w14:textId="77777777" w:rsidR="002B122F" w:rsidRDefault="002B122F">
      <w:r>
        <w:separator/>
      </w:r>
    </w:p>
  </w:footnote>
  <w:footnote w:type="continuationSeparator" w:id="0">
    <w:p w14:paraId="73B93CBB" w14:textId="77777777" w:rsidR="002B122F" w:rsidRDefault="002B12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2AD6E" w14:textId="77777777" w:rsidR="00D734A7" w:rsidRPr="00A45145" w:rsidRDefault="0023787B" w:rsidP="00A45145">
    <w:pPr>
      <w:jc w:val="center"/>
    </w:pPr>
    <w:r>
      <w:rPr>
        <w:noProof/>
        <w:lang w:val="pl"/>
      </w:rPr>
      <w:drawing>
        <wp:inline distT="0" distB="0" distL="0" distR="0" wp14:anchorId="746F1DF0" wp14:editId="65DC7812">
          <wp:extent cx="2962275" cy="1219200"/>
          <wp:effectExtent l="0" t="0" r="9525" b="0"/>
          <wp:docPr id="1" name="Picture 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3D435B2" w14:textId="77777777" w:rsidR="0098410D" w:rsidRPr="00D734A7" w:rsidRDefault="0098410D" w:rsidP="00B14793">
    <w:pPr>
      <w:jc w:val="center"/>
      <w:rPr>
        <w:sz w:val="4"/>
        <w:szCs w:val="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3FE02F" w14:textId="77777777" w:rsidR="00D734A7" w:rsidRPr="00A45145" w:rsidRDefault="0023787B" w:rsidP="00A45145">
    <w:pPr>
      <w:jc w:val="center"/>
    </w:pPr>
    <w:r>
      <w:rPr>
        <w:noProof/>
        <w:lang w:val="pl"/>
      </w:rPr>
      <w:drawing>
        <wp:inline distT="0" distB="0" distL="0" distR="0" wp14:anchorId="2C1F170C" wp14:editId="3FC3FA61">
          <wp:extent cx="2962275" cy="1219200"/>
          <wp:effectExtent l="0" t="0" r="9525" b="0"/>
          <wp:docPr id="41" name="Picture 41" descr="R:\1_Graphics&amp;Web\Court_Graphic_Charter\2013\ECHR_Stationery\Documents_and_Letters\Cover_Pages_And_Docs\White_600_dpi\ECHR_CoverpageCS61_ECHR_Coverpage_Header_Black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Picture 1" descr="R:\1_Graphics&amp;Web\Court_Graphic_Charter\2013\ECHR_Stationery\Documents_and_Letters\Cover_Pages_And_Docs\White_600_dpi\ECHR_CoverpageCS61_ECHR_Coverpage_Header_Black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962275" cy="1219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79883879" w14:textId="77777777" w:rsidR="0098410D" w:rsidRPr="00D734A7" w:rsidRDefault="0098410D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22A10F" w14:textId="77777777" w:rsidR="00182EBA" w:rsidRPr="00132703" w:rsidRDefault="0023787B" w:rsidP="004D0EC7">
    <w:pPr>
      <w:pStyle w:val="JuHeader"/>
      <w:rPr>
        <w:lang w:val="pl-PL"/>
      </w:rPr>
    </w:pPr>
    <w:r>
      <w:rPr>
        <w:lang w:val="pl"/>
      </w:rPr>
      <w:t>WYROK W SPRAWIE BELUCH przeciwko POLSCE</w: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D8C0BD" w14:textId="77777777" w:rsidR="00182EBA" w:rsidRPr="00132703" w:rsidRDefault="0023787B" w:rsidP="007D3701">
    <w:pPr>
      <w:pStyle w:val="JuHeader"/>
      <w:rPr>
        <w:lang w:val="pl-PL"/>
      </w:rPr>
    </w:pPr>
    <w:r>
      <w:rPr>
        <w:lang w:val="pl"/>
      </w:rPr>
      <w:t>WYROK W SPRAWIE BELUCH przeciwko POLSCE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6701916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23283F32"/>
    <w:lvl w:ilvl="0">
      <w:start w:val="1"/>
      <w:numFmt w:val="decimal"/>
      <w:pStyle w:val="Listanumerowan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2F369A7C"/>
    <w:lvl w:ilvl="0">
      <w:start w:val="1"/>
      <w:numFmt w:val="decimal"/>
      <w:pStyle w:val="Listanumerowan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46880A"/>
    <w:lvl w:ilvl="0">
      <w:start w:val="1"/>
      <w:numFmt w:val="decimal"/>
      <w:pStyle w:val="Listanumerowan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552A83EC"/>
    <w:lvl w:ilvl="0">
      <w:start w:val="1"/>
      <w:numFmt w:val="bullet"/>
      <w:pStyle w:val="Listapunktowan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085AC83C"/>
    <w:lvl w:ilvl="0">
      <w:start w:val="1"/>
      <w:numFmt w:val="bullet"/>
      <w:pStyle w:val="Listapunktowan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87486FE2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A528BA6"/>
    <w:lvl w:ilvl="0">
      <w:start w:val="1"/>
      <w:numFmt w:val="bullet"/>
      <w:pStyle w:val="Listapunktowan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366C20B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048F2261"/>
    <w:multiLevelType w:val="multilevel"/>
    <w:tmpl w:val="C8FE6436"/>
    <w:numStyleLink w:val="ECHRA1StyleList"/>
  </w:abstractNum>
  <w:abstractNum w:abstractNumId="10" w15:restartNumberingAfterBreak="0">
    <w:nsid w:val="0C0F5BFC"/>
    <w:multiLevelType w:val="multilevel"/>
    <w:tmpl w:val="E2B270DC"/>
    <w:lvl w:ilvl="0">
      <w:start w:val="1"/>
      <w:numFmt w:val="none"/>
      <w:pStyle w:val="JuHHead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upperRoman"/>
      <w:pStyle w:val="JuHIRoman"/>
      <w:lvlText w:val="%2."/>
      <w:lvlJc w:val="left"/>
      <w:pPr>
        <w:ind w:left="369" w:hanging="369"/>
      </w:pPr>
      <w:rPr>
        <w:rFonts w:hint="default"/>
      </w:rPr>
    </w:lvl>
    <w:lvl w:ilvl="2">
      <w:start w:val="1"/>
      <w:numFmt w:val="upperLetter"/>
      <w:pStyle w:val="JuHA"/>
      <w:lvlText w:val="%3."/>
      <w:lvlJc w:val="left"/>
      <w:pPr>
        <w:ind w:left="510" w:hanging="340"/>
      </w:pPr>
      <w:rPr>
        <w:rFonts w:hint="default"/>
      </w:rPr>
    </w:lvl>
    <w:lvl w:ilvl="3">
      <w:start w:val="1"/>
      <w:numFmt w:val="decimal"/>
      <w:pStyle w:val="JuH1"/>
      <w:lvlText w:val="%4."/>
      <w:lvlJc w:val="left"/>
      <w:pPr>
        <w:ind w:left="680" w:hanging="340"/>
      </w:pPr>
      <w:rPr>
        <w:rFonts w:hint="default"/>
      </w:rPr>
    </w:lvl>
    <w:lvl w:ilvl="4">
      <w:start w:val="1"/>
      <w:numFmt w:val="lowerLetter"/>
      <w:pStyle w:val="JuHa0"/>
      <w:lvlText w:val="(%5)"/>
      <w:lvlJc w:val="left"/>
      <w:pPr>
        <w:ind w:left="851" w:hanging="341"/>
      </w:pPr>
      <w:rPr>
        <w:rFonts w:hint="default"/>
      </w:rPr>
    </w:lvl>
    <w:lvl w:ilvl="5">
      <w:start w:val="1"/>
      <w:numFmt w:val="lowerRoman"/>
      <w:pStyle w:val="JuHi"/>
      <w:lvlText w:val="(%6)"/>
      <w:lvlJc w:val="left"/>
      <w:pPr>
        <w:ind w:left="1021" w:hanging="341"/>
      </w:pPr>
      <w:rPr>
        <w:rFonts w:hint="default"/>
      </w:rPr>
    </w:lvl>
    <w:lvl w:ilvl="6">
      <w:start w:val="1"/>
      <mc:AlternateContent>
        <mc:Choice Requires="w14">
          <w:numFmt w:val="custom" w:format="α, β, γ, ..."/>
        </mc:Choice>
        <mc:Fallback>
          <w:numFmt w:val="decimal"/>
        </mc:Fallback>
      </mc:AlternateContent>
      <w:pStyle w:val="JuHalpha"/>
      <w:lvlText w:val="(%7)"/>
      <w:lvlJc w:val="left"/>
      <w:pPr>
        <w:ind w:left="1247" w:hanging="396"/>
      </w:pPr>
      <w:rPr>
        <w:rFonts w:asciiTheme="minorHAnsi" w:hAnsiTheme="minorHAnsi" w:hint="default"/>
        <w:b w:val="0"/>
        <w:i w:val="0"/>
      </w:rPr>
    </w:lvl>
    <w:lvl w:ilvl="7">
      <w:start w:val="1"/>
      <w:numFmt w:val="bullet"/>
      <w:pStyle w:val="JuH"/>
      <w:lvlText w:val="‒"/>
      <w:lvlJc w:val="left"/>
      <w:pPr>
        <w:ind w:left="1247" w:hanging="226"/>
      </w:pPr>
      <w:rPr>
        <w:rFonts w:ascii="Times New Roman" w:hAnsi="Times New Roman" w:cs="Times New Roman" w:hint="default"/>
        <w:color w:val="auto"/>
      </w:rPr>
    </w:lvl>
    <w:lvl w:ilvl="8">
      <w:start w:val="1"/>
      <w:numFmt w:val="bullet"/>
      <w:pStyle w:val="ECHRHeading9"/>
      <w:lvlText w:val="▪"/>
      <w:lvlJc w:val="left"/>
      <w:pPr>
        <w:ind w:left="1361" w:hanging="170"/>
      </w:pPr>
      <w:rPr>
        <w:rFonts w:ascii="Times New Roman" w:hAnsi="Times New Roman" w:cs="Times New Roman" w:hint="default"/>
        <w:color w:val="auto"/>
      </w:rPr>
    </w:lvl>
  </w:abstractNum>
  <w:abstractNum w:abstractNumId="11" w15:restartNumberingAfterBreak="0">
    <w:nsid w:val="1AA96CEA"/>
    <w:multiLevelType w:val="multilevel"/>
    <w:tmpl w:val="040C0023"/>
    <w:styleLink w:val="Artykusekc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2" w15:restartNumberingAfterBreak="0">
    <w:nsid w:val="1D27094A"/>
    <w:multiLevelType w:val="multilevel"/>
    <w:tmpl w:val="040C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27D5546B"/>
    <w:multiLevelType w:val="multilevel"/>
    <w:tmpl w:val="C8FE6436"/>
    <w:styleLink w:val="ECHRA1StyleList"/>
    <w:lvl w:ilvl="0">
      <w:start w:val="1"/>
      <w:numFmt w:val="decimal"/>
      <w:pStyle w:val="JuList"/>
      <w:lvlText w:val="%1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>
      <w:start w:val="1"/>
      <w:numFmt w:val="lowerLetter"/>
      <w:pStyle w:val="JuLista"/>
      <w:lvlText w:val="(%2)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>
      <w:start w:val="1"/>
      <w:numFmt w:val="lowerRoman"/>
      <w:pStyle w:val="JuListi"/>
      <w:suff w:val="space"/>
      <w:lvlText w:val="(%3)"/>
      <w:lvlJc w:val="left"/>
      <w:pPr>
        <w:ind w:left="1021" w:hanging="341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4" w15:restartNumberingAfterBreak="0">
    <w:nsid w:val="40B939E1"/>
    <w:multiLevelType w:val="multilevel"/>
    <w:tmpl w:val="040C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5" w15:restartNumberingAfterBreak="0">
    <w:nsid w:val="4989571C"/>
    <w:multiLevelType w:val="multilevel"/>
    <w:tmpl w:val="EFC26858"/>
    <w:styleLink w:val="ECHRA1StyleBulletedSquare"/>
    <w:lvl w:ilvl="0">
      <w:start w:val="1"/>
      <w:numFmt w:val="bullet"/>
      <w:pStyle w:val="ECHRBullet1"/>
      <w:lvlText w:val=""/>
      <w:lvlJc w:val="left"/>
      <w:pPr>
        <w:tabs>
          <w:tab w:val="num" w:pos="851"/>
        </w:tabs>
        <w:ind w:left="851" w:hanging="284"/>
      </w:pPr>
      <w:rPr>
        <w:rFonts w:ascii="Wingdings" w:hAnsi="Wingdings" w:hint="default"/>
        <w:color w:val="0072BC" w:themeColor="background1"/>
      </w:rPr>
    </w:lvl>
    <w:lvl w:ilvl="1">
      <w:start w:val="1"/>
      <w:numFmt w:val="bullet"/>
      <w:pStyle w:val="ECHRBullet2"/>
      <w:lvlText w:val=""/>
      <w:lvlJc w:val="left"/>
      <w:pPr>
        <w:tabs>
          <w:tab w:val="num" w:pos="1134"/>
        </w:tabs>
        <w:ind w:left="1135" w:hanging="284"/>
      </w:pPr>
      <w:rPr>
        <w:rFonts w:ascii="Wingdings" w:hAnsi="Wingdings" w:hint="default"/>
        <w:color w:val="0072BC" w:themeColor="background1"/>
      </w:rPr>
    </w:lvl>
    <w:lvl w:ilvl="2">
      <w:start w:val="1"/>
      <w:numFmt w:val="bullet"/>
      <w:pStyle w:val="ECHRBullet3"/>
      <w:lvlText w:val=""/>
      <w:lvlJc w:val="left"/>
      <w:pPr>
        <w:tabs>
          <w:tab w:val="num" w:pos="1418"/>
        </w:tabs>
        <w:ind w:left="1419" w:hanging="284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pStyle w:val="ECHRBullet4"/>
      <w:lvlText w:val=""/>
      <w:lvlJc w:val="left"/>
      <w:pPr>
        <w:tabs>
          <w:tab w:val="num" w:pos="1701"/>
        </w:tabs>
        <w:ind w:left="1703" w:hanging="284"/>
      </w:pPr>
      <w:rPr>
        <w:rFonts w:ascii="Wingdings" w:hAnsi="Wingdings" w:hint="default"/>
        <w:color w:val="7F7F7F" w:themeColor="text1" w:themeTint="80"/>
      </w:rPr>
    </w:lvl>
    <w:lvl w:ilvl="4">
      <w:start w:val="1"/>
      <w:numFmt w:val="bullet"/>
      <w:lvlText w:val=""/>
      <w:lvlJc w:val="left"/>
      <w:pPr>
        <w:tabs>
          <w:tab w:val="num" w:pos="1760"/>
        </w:tabs>
        <w:ind w:left="1987" w:hanging="284"/>
      </w:pPr>
      <w:rPr>
        <w:rFonts w:ascii="Wingdings" w:hAnsi="Wingdings" w:hint="default"/>
        <w:color w:val="0072BC" w:themeColor="background1"/>
      </w:rPr>
    </w:lvl>
    <w:lvl w:ilvl="5">
      <w:start w:val="1"/>
      <w:numFmt w:val="bullet"/>
      <w:lvlText w:val=""/>
      <w:lvlJc w:val="left"/>
      <w:pPr>
        <w:tabs>
          <w:tab w:val="num" w:pos="2044"/>
        </w:tabs>
        <w:ind w:left="2271" w:hanging="284"/>
      </w:pPr>
      <w:rPr>
        <w:rFonts w:ascii="Wingdings" w:hAnsi="Wingdings" w:hint="default"/>
        <w:color w:val="5F5F5F" w:themeColor="accent5"/>
      </w:rPr>
    </w:lvl>
    <w:lvl w:ilvl="6">
      <w:start w:val="1"/>
      <w:numFmt w:val="bullet"/>
      <w:lvlText w:val=""/>
      <w:lvlJc w:val="left"/>
      <w:pPr>
        <w:tabs>
          <w:tab w:val="num" w:pos="2328"/>
        </w:tabs>
        <w:ind w:left="2555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612"/>
        </w:tabs>
        <w:ind w:left="2839" w:hanging="284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2896"/>
        </w:tabs>
        <w:ind w:left="3123" w:hanging="284"/>
      </w:pPr>
      <w:rPr>
        <w:rFonts w:ascii="Wingdings" w:hAnsi="Wingdings" w:hint="default"/>
      </w:rPr>
    </w:lvl>
  </w:abstractNum>
  <w:abstractNum w:abstractNumId="16" w15:restartNumberingAfterBreak="0">
    <w:nsid w:val="5032512D"/>
    <w:multiLevelType w:val="multilevel"/>
    <w:tmpl w:val="9B34AC6C"/>
    <w:styleLink w:val="ECHRA1StyleNumberedList"/>
    <w:lvl w:ilvl="0">
      <w:start w:val="1"/>
      <w:numFmt w:val="decimal"/>
      <w:pStyle w:val="ECHRNumberedList1"/>
      <w:lvlText w:val="%1."/>
      <w:lvlJc w:val="left"/>
      <w:pPr>
        <w:tabs>
          <w:tab w:val="num" w:pos="964"/>
        </w:tabs>
        <w:ind w:left="964" w:hanging="397"/>
      </w:pPr>
      <w:rPr>
        <w:rFonts w:hint="default"/>
      </w:rPr>
    </w:lvl>
    <w:lvl w:ilvl="1">
      <w:start w:val="1"/>
      <w:numFmt w:val="lowerLetter"/>
      <w:pStyle w:val="ECHRNumberedList2"/>
      <w:lvlText w:val="%2."/>
      <w:lvlJc w:val="left"/>
      <w:pPr>
        <w:tabs>
          <w:tab w:val="num" w:pos="1361"/>
        </w:tabs>
        <w:ind w:left="1361" w:hanging="397"/>
      </w:pPr>
      <w:rPr>
        <w:rFonts w:hint="default"/>
      </w:rPr>
    </w:lvl>
    <w:lvl w:ilvl="2">
      <w:start w:val="1"/>
      <w:numFmt w:val="lowerRoman"/>
      <w:pStyle w:val="ECHRNumberedList3"/>
      <w:lvlText w:val="%3."/>
      <w:lvlJc w:val="left"/>
      <w:pPr>
        <w:tabs>
          <w:tab w:val="num" w:pos="1758"/>
        </w:tabs>
        <w:ind w:left="1758" w:hanging="397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703"/>
        </w:tabs>
        <w:ind w:left="1703" w:hanging="284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987"/>
        </w:tabs>
        <w:ind w:left="1987" w:hanging="284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271"/>
        </w:tabs>
        <w:ind w:left="2271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55"/>
        </w:tabs>
        <w:ind w:left="2555" w:hanging="284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39"/>
        </w:tabs>
        <w:ind w:left="2839" w:hanging="284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123"/>
        </w:tabs>
        <w:ind w:left="3123" w:hanging="284"/>
      </w:pPr>
      <w:rPr>
        <w:rFonts w:hint="default"/>
      </w:rPr>
    </w:lvl>
  </w:abstractNum>
  <w:abstractNum w:abstractNumId="17" w15:restartNumberingAfterBreak="0">
    <w:nsid w:val="67FD1241"/>
    <w:multiLevelType w:val="hybridMultilevel"/>
    <w:tmpl w:val="F6D86CC2"/>
    <w:lvl w:ilvl="0" w:tplc="10FABA14">
      <w:start w:val="1"/>
      <w:numFmt w:val="bullet"/>
      <w:pStyle w:val="Listapunktowana"/>
      <w:lvlText w:val=""/>
      <w:lvlJc w:val="left"/>
      <w:pPr>
        <w:tabs>
          <w:tab w:val="num" w:pos="851"/>
        </w:tabs>
        <w:ind w:left="568" w:firstLine="0"/>
      </w:pPr>
      <w:rPr>
        <w:rFonts w:ascii="Wingdings" w:hAnsi="Wingdings" w:hint="default"/>
        <w:color w:val="808080"/>
        <w:sz w:val="16"/>
      </w:rPr>
    </w:lvl>
    <w:lvl w:ilvl="1" w:tplc="134C8C76" w:tentative="1">
      <w:start w:val="1"/>
      <w:numFmt w:val="bullet"/>
      <w:lvlText w:val="o"/>
      <w:lvlJc w:val="left"/>
      <w:pPr>
        <w:tabs>
          <w:tab w:val="num" w:pos="1724"/>
        </w:tabs>
        <w:ind w:left="1724" w:hanging="360"/>
      </w:pPr>
      <w:rPr>
        <w:rFonts w:ascii="Courier New" w:hAnsi="Courier New" w:cs="Courier New" w:hint="default"/>
      </w:rPr>
    </w:lvl>
    <w:lvl w:ilvl="2" w:tplc="37261740" w:tentative="1">
      <w:start w:val="1"/>
      <w:numFmt w:val="bullet"/>
      <w:lvlText w:val=""/>
      <w:lvlJc w:val="left"/>
      <w:pPr>
        <w:tabs>
          <w:tab w:val="num" w:pos="2444"/>
        </w:tabs>
        <w:ind w:left="2444" w:hanging="360"/>
      </w:pPr>
      <w:rPr>
        <w:rFonts w:ascii="Wingdings" w:hAnsi="Wingdings" w:hint="default"/>
      </w:rPr>
    </w:lvl>
    <w:lvl w:ilvl="3" w:tplc="7938DC28" w:tentative="1">
      <w:start w:val="1"/>
      <w:numFmt w:val="bullet"/>
      <w:lvlText w:val=""/>
      <w:lvlJc w:val="left"/>
      <w:pPr>
        <w:tabs>
          <w:tab w:val="num" w:pos="3164"/>
        </w:tabs>
        <w:ind w:left="3164" w:hanging="360"/>
      </w:pPr>
      <w:rPr>
        <w:rFonts w:ascii="Symbol" w:hAnsi="Symbol" w:hint="default"/>
      </w:rPr>
    </w:lvl>
    <w:lvl w:ilvl="4" w:tplc="9C1C809A" w:tentative="1">
      <w:start w:val="1"/>
      <w:numFmt w:val="bullet"/>
      <w:lvlText w:val="o"/>
      <w:lvlJc w:val="left"/>
      <w:pPr>
        <w:tabs>
          <w:tab w:val="num" w:pos="3884"/>
        </w:tabs>
        <w:ind w:left="3884" w:hanging="360"/>
      </w:pPr>
      <w:rPr>
        <w:rFonts w:ascii="Courier New" w:hAnsi="Courier New" w:cs="Courier New" w:hint="default"/>
      </w:rPr>
    </w:lvl>
    <w:lvl w:ilvl="5" w:tplc="1C265640" w:tentative="1">
      <w:start w:val="1"/>
      <w:numFmt w:val="bullet"/>
      <w:lvlText w:val=""/>
      <w:lvlJc w:val="left"/>
      <w:pPr>
        <w:tabs>
          <w:tab w:val="num" w:pos="4604"/>
        </w:tabs>
        <w:ind w:left="4604" w:hanging="360"/>
      </w:pPr>
      <w:rPr>
        <w:rFonts w:ascii="Wingdings" w:hAnsi="Wingdings" w:hint="default"/>
      </w:rPr>
    </w:lvl>
    <w:lvl w:ilvl="6" w:tplc="58E01CD0" w:tentative="1">
      <w:start w:val="1"/>
      <w:numFmt w:val="bullet"/>
      <w:lvlText w:val=""/>
      <w:lvlJc w:val="left"/>
      <w:pPr>
        <w:tabs>
          <w:tab w:val="num" w:pos="5324"/>
        </w:tabs>
        <w:ind w:left="5324" w:hanging="360"/>
      </w:pPr>
      <w:rPr>
        <w:rFonts w:ascii="Symbol" w:hAnsi="Symbol" w:hint="default"/>
      </w:rPr>
    </w:lvl>
    <w:lvl w:ilvl="7" w:tplc="BAAAAC10" w:tentative="1">
      <w:start w:val="1"/>
      <w:numFmt w:val="bullet"/>
      <w:lvlText w:val="o"/>
      <w:lvlJc w:val="left"/>
      <w:pPr>
        <w:tabs>
          <w:tab w:val="num" w:pos="6044"/>
        </w:tabs>
        <w:ind w:left="6044" w:hanging="360"/>
      </w:pPr>
      <w:rPr>
        <w:rFonts w:ascii="Courier New" w:hAnsi="Courier New" w:cs="Courier New" w:hint="default"/>
      </w:rPr>
    </w:lvl>
    <w:lvl w:ilvl="8" w:tplc="80AE1BD6" w:tentative="1">
      <w:start w:val="1"/>
      <w:numFmt w:val="bullet"/>
      <w:lvlText w:val=""/>
      <w:lvlJc w:val="left"/>
      <w:pPr>
        <w:tabs>
          <w:tab w:val="num" w:pos="6764"/>
        </w:tabs>
        <w:ind w:left="6764" w:hanging="360"/>
      </w:pPr>
      <w:rPr>
        <w:rFonts w:ascii="Wingdings" w:hAnsi="Wingdings" w:hint="default"/>
      </w:rPr>
    </w:lvl>
  </w:abstractNum>
  <w:num w:numId="1" w16cid:durableId="1578443903">
    <w:abstractNumId w:val="13"/>
  </w:num>
  <w:num w:numId="2" w16cid:durableId="254898001">
    <w:abstractNumId w:val="9"/>
  </w:num>
  <w:num w:numId="3" w16cid:durableId="1021128647">
    <w:abstractNumId w:val="14"/>
  </w:num>
  <w:num w:numId="4" w16cid:durableId="1794013734">
    <w:abstractNumId w:val="12"/>
  </w:num>
  <w:num w:numId="5" w16cid:durableId="603417938">
    <w:abstractNumId w:val="11"/>
  </w:num>
  <w:num w:numId="6" w16cid:durableId="2072188046">
    <w:abstractNumId w:val="17"/>
  </w:num>
  <w:num w:numId="7" w16cid:durableId="239557739">
    <w:abstractNumId w:val="7"/>
  </w:num>
  <w:num w:numId="8" w16cid:durableId="1522935960">
    <w:abstractNumId w:val="6"/>
  </w:num>
  <w:num w:numId="9" w16cid:durableId="826559439">
    <w:abstractNumId w:val="5"/>
  </w:num>
  <w:num w:numId="10" w16cid:durableId="1790852125">
    <w:abstractNumId w:val="4"/>
  </w:num>
  <w:num w:numId="11" w16cid:durableId="394016268">
    <w:abstractNumId w:val="8"/>
  </w:num>
  <w:num w:numId="12" w16cid:durableId="865486986">
    <w:abstractNumId w:val="3"/>
  </w:num>
  <w:num w:numId="13" w16cid:durableId="200167727">
    <w:abstractNumId w:val="2"/>
  </w:num>
  <w:num w:numId="14" w16cid:durableId="169561908">
    <w:abstractNumId w:val="1"/>
  </w:num>
  <w:num w:numId="15" w16cid:durableId="1994724380">
    <w:abstractNumId w:val="0"/>
  </w:num>
  <w:num w:numId="16" w16cid:durableId="1711954826">
    <w:abstractNumId w:val="15"/>
  </w:num>
  <w:num w:numId="17" w16cid:durableId="185751703">
    <w:abstractNumId w:val="13"/>
  </w:num>
  <w:num w:numId="18" w16cid:durableId="1591542948">
    <w:abstractNumId w:val="16"/>
  </w:num>
  <w:num w:numId="19" w16cid:durableId="903416248">
    <w:abstractNumId w:val="15"/>
  </w:num>
  <w:num w:numId="20" w16cid:durableId="3283739">
    <w:abstractNumId w:val="16"/>
  </w:num>
  <w:num w:numId="21" w16cid:durableId="590354203">
    <w:abstractNumId w:val="10"/>
  </w:num>
  <w:num w:numId="22" w16cid:durableId="2144301452">
    <w:abstractNumId w:val="9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stylePaneFormatFilter w:val="D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1"/>
  <w:defaultTabStop w:val="720"/>
  <w:hyphenationZone w:val="425"/>
  <w:evenAndOddHeaders/>
  <w:drawingGridHorizontalSpacing w:val="110"/>
  <w:displayHorizontalDrawingGridEvery w:val="2"/>
  <w:displayVerticalDrawingGridEvery w:val="2"/>
  <w:characterSpacingControl w:val="doNotCompress"/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pplicationsApp" w:val="1"/>
    <w:docVar w:name="AppNatAutre" w:val="0"/>
    <w:docVar w:name="DocVarPREMATURE" w:val="0"/>
    <w:docVar w:name="EMM" w:val="0"/>
    <w:docVar w:name="ETRANSMISSION" w:val="BY E-TRANSMISSION ONLY"/>
    <w:docVar w:name="L4_1Annex" w:val="0"/>
    <w:docVar w:name="L4_1Anonymity" w:val="0"/>
    <w:docVar w:name="NBEMMDOC" w:val="0"/>
    <w:docVar w:name="P3" w:val="P3"/>
    <w:docVar w:name="Plural" w:val="0"/>
    <w:docVar w:name="SignForeName" w:val="0"/>
    <w:docVar w:name="SndCaseNumber" w:val="Error!Nodocumentvariablesupplied."/>
  </w:docVars>
  <w:rsids>
    <w:rsidRoot w:val="00D734A7"/>
    <w:rsid w:val="000041F8"/>
    <w:rsid w:val="000042A8"/>
    <w:rsid w:val="00004308"/>
    <w:rsid w:val="00005BF0"/>
    <w:rsid w:val="0000617D"/>
    <w:rsid w:val="00007154"/>
    <w:rsid w:val="000103AE"/>
    <w:rsid w:val="00011D69"/>
    <w:rsid w:val="00012AD3"/>
    <w:rsid w:val="00015C2D"/>
    <w:rsid w:val="00015F00"/>
    <w:rsid w:val="00022C1D"/>
    <w:rsid w:val="0002592F"/>
    <w:rsid w:val="00031428"/>
    <w:rsid w:val="00034987"/>
    <w:rsid w:val="00041560"/>
    <w:rsid w:val="000602DF"/>
    <w:rsid w:val="0006146A"/>
    <w:rsid w:val="00061B05"/>
    <w:rsid w:val="000632D5"/>
    <w:rsid w:val="000644EE"/>
    <w:rsid w:val="000712E3"/>
    <w:rsid w:val="00075383"/>
    <w:rsid w:val="0007780A"/>
    <w:rsid w:val="00085457"/>
    <w:rsid w:val="000925AD"/>
    <w:rsid w:val="00096FE1"/>
    <w:rsid w:val="00097A62"/>
    <w:rsid w:val="000A24EB"/>
    <w:rsid w:val="000B686A"/>
    <w:rsid w:val="000B6923"/>
    <w:rsid w:val="000B7195"/>
    <w:rsid w:val="000C5F3C"/>
    <w:rsid w:val="000C6DCC"/>
    <w:rsid w:val="000D47AA"/>
    <w:rsid w:val="000D721F"/>
    <w:rsid w:val="000E069B"/>
    <w:rsid w:val="000E0E82"/>
    <w:rsid w:val="000E1DC5"/>
    <w:rsid w:val="000E223F"/>
    <w:rsid w:val="000E46B8"/>
    <w:rsid w:val="000E7D45"/>
    <w:rsid w:val="000F52F4"/>
    <w:rsid w:val="000F7851"/>
    <w:rsid w:val="00101505"/>
    <w:rsid w:val="00104E23"/>
    <w:rsid w:val="00110DA8"/>
    <w:rsid w:val="00111B0C"/>
    <w:rsid w:val="00120D6C"/>
    <w:rsid w:val="001257EC"/>
    <w:rsid w:val="00132703"/>
    <w:rsid w:val="00133D33"/>
    <w:rsid w:val="00134B6A"/>
    <w:rsid w:val="00134D64"/>
    <w:rsid w:val="00135A30"/>
    <w:rsid w:val="0013612C"/>
    <w:rsid w:val="00137FF6"/>
    <w:rsid w:val="00141650"/>
    <w:rsid w:val="00150BFA"/>
    <w:rsid w:val="001561B6"/>
    <w:rsid w:val="00162A12"/>
    <w:rsid w:val="00166530"/>
    <w:rsid w:val="00170027"/>
    <w:rsid w:val="00182EBA"/>
    <w:rsid w:val="001832BD"/>
    <w:rsid w:val="001943B5"/>
    <w:rsid w:val="00195134"/>
    <w:rsid w:val="001A020C"/>
    <w:rsid w:val="001A145B"/>
    <w:rsid w:val="001A3E09"/>
    <w:rsid w:val="001A674C"/>
    <w:rsid w:val="001B3B24"/>
    <w:rsid w:val="001C055B"/>
    <w:rsid w:val="001C0F98"/>
    <w:rsid w:val="001C2A42"/>
    <w:rsid w:val="001D63ED"/>
    <w:rsid w:val="001D7348"/>
    <w:rsid w:val="001E035B"/>
    <w:rsid w:val="001E0961"/>
    <w:rsid w:val="001E3EAE"/>
    <w:rsid w:val="001E6857"/>
    <w:rsid w:val="001E6F32"/>
    <w:rsid w:val="001F2145"/>
    <w:rsid w:val="001F6262"/>
    <w:rsid w:val="001F67B0"/>
    <w:rsid w:val="001F7B3D"/>
    <w:rsid w:val="00202752"/>
    <w:rsid w:val="0020335A"/>
    <w:rsid w:val="002052BC"/>
    <w:rsid w:val="00205F9F"/>
    <w:rsid w:val="0020718E"/>
    <w:rsid w:val="00210338"/>
    <w:rsid w:val="002115FC"/>
    <w:rsid w:val="0021423C"/>
    <w:rsid w:val="00226C89"/>
    <w:rsid w:val="00230D00"/>
    <w:rsid w:val="00231DF7"/>
    <w:rsid w:val="00231FD1"/>
    <w:rsid w:val="002339E0"/>
    <w:rsid w:val="00233CF8"/>
    <w:rsid w:val="0023575D"/>
    <w:rsid w:val="00237148"/>
    <w:rsid w:val="0023787B"/>
    <w:rsid w:val="0024222D"/>
    <w:rsid w:val="002422B6"/>
    <w:rsid w:val="00244B0E"/>
    <w:rsid w:val="00244F6C"/>
    <w:rsid w:val="00246B89"/>
    <w:rsid w:val="00252C4E"/>
    <w:rsid w:val="002532C5"/>
    <w:rsid w:val="00254DF2"/>
    <w:rsid w:val="00260C03"/>
    <w:rsid w:val="0026439A"/>
    <w:rsid w:val="0026540E"/>
    <w:rsid w:val="00275123"/>
    <w:rsid w:val="00281B7C"/>
    <w:rsid w:val="00282240"/>
    <w:rsid w:val="00282BD8"/>
    <w:rsid w:val="00287AD5"/>
    <w:rsid w:val="002934D0"/>
    <w:rsid w:val="00293676"/>
    <w:rsid w:val="00293BD9"/>
    <w:rsid w:val="002948AD"/>
    <w:rsid w:val="002A01CC"/>
    <w:rsid w:val="002A3C72"/>
    <w:rsid w:val="002A613A"/>
    <w:rsid w:val="002A61B1"/>
    <w:rsid w:val="002A663C"/>
    <w:rsid w:val="002B122F"/>
    <w:rsid w:val="002B444B"/>
    <w:rsid w:val="002B5887"/>
    <w:rsid w:val="002B5B43"/>
    <w:rsid w:val="002C0E27"/>
    <w:rsid w:val="002C3040"/>
    <w:rsid w:val="002C4433"/>
    <w:rsid w:val="002C5ADD"/>
    <w:rsid w:val="002C7826"/>
    <w:rsid w:val="002D022D"/>
    <w:rsid w:val="002D24BB"/>
    <w:rsid w:val="002D2FA7"/>
    <w:rsid w:val="002D47BA"/>
    <w:rsid w:val="002D77B9"/>
    <w:rsid w:val="002E46DA"/>
    <w:rsid w:val="002E7764"/>
    <w:rsid w:val="002F2AF7"/>
    <w:rsid w:val="002F69C4"/>
    <w:rsid w:val="002F7D9E"/>
    <w:rsid w:val="002F7E1C"/>
    <w:rsid w:val="00301A75"/>
    <w:rsid w:val="00302F70"/>
    <w:rsid w:val="0030336F"/>
    <w:rsid w:val="0030375E"/>
    <w:rsid w:val="00312A30"/>
    <w:rsid w:val="003132FA"/>
    <w:rsid w:val="003201D8"/>
    <w:rsid w:val="00320F72"/>
    <w:rsid w:val="0032463E"/>
    <w:rsid w:val="00326224"/>
    <w:rsid w:val="00331C10"/>
    <w:rsid w:val="00337D95"/>
    <w:rsid w:val="00337EE4"/>
    <w:rsid w:val="00340FFD"/>
    <w:rsid w:val="00345C41"/>
    <w:rsid w:val="003506B1"/>
    <w:rsid w:val="0035188C"/>
    <w:rsid w:val="00355877"/>
    <w:rsid w:val="00356AC7"/>
    <w:rsid w:val="003609FA"/>
    <w:rsid w:val="003710C8"/>
    <w:rsid w:val="003750BE"/>
    <w:rsid w:val="00385A36"/>
    <w:rsid w:val="00385F3D"/>
    <w:rsid w:val="0038740C"/>
    <w:rsid w:val="00387B9D"/>
    <w:rsid w:val="00387C70"/>
    <w:rsid w:val="00390294"/>
    <w:rsid w:val="0039364F"/>
    <w:rsid w:val="00396686"/>
    <w:rsid w:val="0039778E"/>
    <w:rsid w:val="003B4941"/>
    <w:rsid w:val="003C5714"/>
    <w:rsid w:val="003C6B9F"/>
    <w:rsid w:val="003C6E2A"/>
    <w:rsid w:val="003D0299"/>
    <w:rsid w:val="003E6D80"/>
    <w:rsid w:val="003E7BCC"/>
    <w:rsid w:val="003F05FA"/>
    <w:rsid w:val="003F244A"/>
    <w:rsid w:val="003F2517"/>
    <w:rsid w:val="003F30B8"/>
    <w:rsid w:val="003F4C45"/>
    <w:rsid w:val="003F5F7B"/>
    <w:rsid w:val="003F7D64"/>
    <w:rsid w:val="0040433A"/>
    <w:rsid w:val="00414300"/>
    <w:rsid w:val="00414F27"/>
    <w:rsid w:val="00420703"/>
    <w:rsid w:val="00420CC3"/>
    <w:rsid w:val="00425C67"/>
    <w:rsid w:val="00427E7A"/>
    <w:rsid w:val="004355AC"/>
    <w:rsid w:val="00436C49"/>
    <w:rsid w:val="00443D98"/>
    <w:rsid w:val="00445366"/>
    <w:rsid w:val="00447F5B"/>
    <w:rsid w:val="0045528D"/>
    <w:rsid w:val="00461DB0"/>
    <w:rsid w:val="00463926"/>
    <w:rsid w:val="00464AB7"/>
    <w:rsid w:val="00464C9A"/>
    <w:rsid w:val="00474F3D"/>
    <w:rsid w:val="00477E3A"/>
    <w:rsid w:val="00483E5F"/>
    <w:rsid w:val="00485FF9"/>
    <w:rsid w:val="0049049B"/>
    <w:rsid w:val="004907F0"/>
    <w:rsid w:val="0049140B"/>
    <w:rsid w:val="004923A5"/>
    <w:rsid w:val="0049310E"/>
    <w:rsid w:val="004950E2"/>
    <w:rsid w:val="00496BFB"/>
    <w:rsid w:val="00497249"/>
    <w:rsid w:val="004A15C7"/>
    <w:rsid w:val="004A3201"/>
    <w:rsid w:val="004A7044"/>
    <w:rsid w:val="004B013B"/>
    <w:rsid w:val="004B112B"/>
    <w:rsid w:val="004B444E"/>
    <w:rsid w:val="004C01E4"/>
    <w:rsid w:val="004C086C"/>
    <w:rsid w:val="004C1F56"/>
    <w:rsid w:val="004C27BC"/>
    <w:rsid w:val="004C6621"/>
    <w:rsid w:val="004D0EC7"/>
    <w:rsid w:val="004D15F3"/>
    <w:rsid w:val="004D3B3D"/>
    <w:rsid w:val="004D4EF1"/>
    <w:rsid w:val="004D5311"/>
    <w:rsid w:val="004D5DCC"/>
    <w:rsid w:val="004D7E45"/>
    <w:rsid w:val="004E47A1"/>
    <w:rsid w:val="004F10AF"/>
    <w:rsid w:val="004F11A4"/>
    <w:rsid w:val="004F2389"/>
    <w:rsid w:val="004F304D"/>
    <w:rsid w:val="004F4290"/>
    <w:rsid w:val="004F61BE"/>
    <w:rsid w:val="004F66B1"/>
    <w:rsid w:val="00505F61"/>
    <w:rsid w:val="00505F69"/>
    <w:rsid w:val="00511C07"/>
    <w:rsid w:val="005125CB"/>
    <w:rsid w:val="00512EC4"/>
    <w:rsid w:val="0051725A"/>
    <w:rsid w:val="005173A6"/>
    <w:rsid w:val="00517BB8"/>
    <w:rsid w:val="00520354"/>
    <w:rsid w:val="00520BAA"/>
    <w:rsid w:val="005217D8"/>
    <w:rsid w:val="00525208"/>
    <w:rsid w:val="005257A5"/>
    <w:rsid w:val="005264C0"/>
    <w:rsid w:val="00526A8A"/>
    <w:rsid w:val="00527FB1"/>
    <w:rsid w:val="00530FE6"/>
    <w:rsid w:val="00531DF2"/>
    <w:rsid w:val="0053315C"/>
    <w:rsid w:val="00537476"/>
    <w:rsid w:val="005405C5"/>
    <w:rsid w:val="005442EE"/>
    <w:rsid w:val="00545DA6"/>
    <w:rsid w:val="00547353"/>
    <w:rsid w:val="005474E7"/>
    <w:rsid w:val="005512A3"/>
    <w:rsid w:val="005578CE"/>
    <w:rsid w:val="00562781"/>
    <w:rsid w:val="00562B6C"/>
    <w:rsid w:val="0057271C"/>
    <w:rsid w:val="00572845"/>
    <w:rsid w:val="00585E96"/>
    <w:rsid w:val="005879A2"/>
    <w:rsid w:val="00592772"/>
    <w:rsid w:val="0059574A"/>
    <w:rsid w:val="00595F21"/>
    <w:rsid w:val="005A1B9B"/>
    <w:rsid w:val="005A2221"/>
    <w:rsid w:val="005A2E79"/>
    <w:rsid w:val="005A6751"/>
    <w:rsid w:val="005B092E"/>
    <w:rsid w:val="005B152C"/>
    <w:rsid w:val="005B1EE0"/>
    <w:rsid w:val="005B2B24"/>
    <w:rsid w:val="005B4425"/>
    <w:rsid w:val="005B4B94"/>
    <w:rsid w:val="005C2C62"/>
    <w:rsid w:val="005C3EE8"/>
    <w:rsid w:val="005D2F2A"/>
    <w:rsid w:val="005D34F9"/>
    <w:rsid w:val="005D4190"/>
    <w:rsid w:val="005D67A3"/>
    <w:rsid w:val="005E2988"/>
    <w:rsid w:val="005E3085"/>
    <w:rsid w:val="005F0EB3"/>
    <w:rsid w:val="005F51E1"/>
    <w:rsid w:val="00611C80"/>
    <w:rsid w:val="00620692"/>
    <w:rsid w:val="006242CA"/>
    <w:rsid w:val="00627507"/>
    <w:rsid w:val="00633717"/>
    <w:rsid w:val="006344E1"/>
    <w:rsid w:val="00643524"/>
    <w:rsid w:val="0064393B"/>
    <w:rsid w:val="00645CF2"/>
    <w:rsid w:val="006545C4"/>
    <w:rsid w:val="00661971"/>
    <w:rsid w:val="00661CE8"/>
    <w:rsid w:val="006623D9"/>
    <w:rsid w:val="006642A5"/>
    <w:rsid w:val="0066550C"/>
    <w:rsid w:val="00665BD2"/>
    <w:rsid w:val="006716F2"/>
    <w:rsid w:val="00672E61"/>
    <w:rsid w:val="00673CF2"/>
    <w:rsid w:val="00675AF2"/>
    <w:rsid w:val="00682BF2"/>
    <w:rsid w:val="0068573E"/>
    <w:rsid w:val="006859CE"/>
    <w:rsid w:val="00691270"/>
    <w:rsid w:val="00694134"/>
    <w:rsid w:val="00694BA8"/>
    <w:rsid w:val="006A037C"/>
    <w:rsid w:val="006A0C84"/>
    <w:rsid w:val="006A36F4"/>
    <w:rsid w:val="006A406F"/>
    <w:rsid w:val="006A4E97"/>
    <w:rsid w:val="006A5D3A"/>
    <w:rsid w:val="006B1942"/>
    <w:rsid w:val="006C23D4"/>
    <w:rsid w:val="006C7BB0"/>
    <w:rsid w:val="006D3237"/>
    <w:rsid w:val="006E2E37"/>
    <w:rsid w:val="006E3CF1"/>
    <w:rsid w:val="006E68A3"/>
    <w:rsid w:val="006E7E80"/>
    <w:rsid w:val="006F1C2D"/>
    <w:rsid w:val="006F48CA"/>
    <w:rsid w:val="006F64DD"/>
    <w:rsid w:val="006F712D"/>
    <w:rsid w:val="00715127"/>
    <w:rsid w:val="00715E8E"/>
    <w:rsid w:val="00723580"/>
    <w:rsid w:val="00723755"/>
    <w:rsid w:val="0073136C"/>
    <w:rsid w:val="00731F0F"/>
    <w:rsid w:val="00733250"/>
    <w:rsid w:val="00741404"/>
    <w:rsid w:val="007449E5"/>
    <w:rsid w:val="0074750E"/>
    <w:rsid w:val="00747FF0"/>
    <w:rsid w:val="00751066"/>
    <w:rsid w:val="0075566E"/>
    <w:rsid w:val="00763602"/>
    <w:rsid w:val="007636DC"/>
    <w:rsid w:val="00764D4E"/>
    <w:rsid w:val="00765A1F"/>
    <w:rsid w:val="007733C8"/>
    <w:rsid w:val="00775B6D"/>
    <w:rsid w:val="00776D68"/>
    <w:rsid w:val="00781140"/>
    <w:rsid w:val="0078323E"/>
    <w:rsid w:val="007849C2"/>
    <w:rsid w:val="007850EE"/>
    <w:rsid w:val="00785B95"/>
    <w:rsid w:val="00790E96"/>
    <w:rsid w:val="007926FD"/>
    <w:rsid w:val="00793366"/>
    <w:rsid w:val="0079666C"/>
    <w:rsid w:val="00796723"/>
    <w:rsid w:val="007A716F"/>
    <w:rsid w:val="007B270A"/>
    <w:rsid w:val="007B4182"/>
    <w:rsid w:val="007C0695"/>
    <w:rsid w:val="007C419A"/>
    <w:rsid w:val="007C4CC8"/>
    <w:rsid w:val="007C5426"/>
    <w:rsid w:val="007C5798"/>
    <w:rsid w:val="007D1ECD"/>
    <w:rsid w:val="007D3701"/>
    <w:rsid w:val="007D4832"/>
    <w:rsid w:val="007D719C"/>
    <w:rsid w:val="007E21B2"/>
    <w:rsid w:val="007E2C4E"/>
    <w:rsid w:val="007E2C8C"/>
    <w:rsid w:val="007E50DB"/>
    <w:rsid w:val="007E51BA"/>
    <w:rsid w:val="007E73D7"/>
    <w:rsid w:val="007E79A4"/>
    <w:rsid w:val="007F1905"/>
    <w:rsid w:val="007F27E4"/>
    <w:rsid w:val="007F3437"/>
    <w:rsid w:val="00802C64"/>
    <w:rsid w:val="00805E52"/>
    <w:rsid w:val="008061D0"/>
    <w:rsid w:val="00810B38"/>
    <w:rsid w:val="008204C7"/>
    <w:rsid w:val="00820992"/>
    <w:rsid w:val="00823602"/>
    <w:rsid w:val="008255F5"/>
    <w:rsid w:val="00826890"/>
    <w:rsid w:val="0083014E"/>
    <w:rsid w:val="0083214A"/>
    <w:rsid w:val="00834220"/>
    <w:rsid w:val="00845723"/>
    <w:rsid w:val="008519E7"/>
    <w:rsid w:val="00851EF9"/>
    <w:rsid w:val="008577FD"/>
    <w:rsid w:val="00860B03"/>
    <w:rsid w:val="0086497A"/>
    <w:rsid w:val="0086538E"/>
    <w:rsid w:val="00867066"/>
    <w:rsid w:val="008713A1"/>
    <w:rsid w:val="00872584"/>
    <w:rsid w:val="008754AB"/>
    <w:rsid w:val="0088060C"/>
    <w:rsid w:val="00882CD5"/>
    <w:rsid w:val="00883151"/>
    <w:rsid w:val="00893576"/>
    <w:rsid w:val="00893E73"/>
    <w:rsid w:val="008B02DC"/>
    <w:rsid w:val="008B092C"/>
    <w:rsid w:val="008B57CE"/>
    <w:rsid w:val="008C26DE"/>
    <w:rsid w:val="008D1668"/>
    <w:rsid w:val="008D2225"/>
    <w:rsid w:val="008D4752"/>
    <w:rsid w:val="008D5A13"/>
    <w:rsid w:val="008E271C"/>
    <w:rsid w:val="008E3A08"/>
    <w:rsid w:val="008E418E"/>
    <w:rsid w:val="008E5BC6"/>
    <w:rsid w:val="008E6217"/>
    <w:rsid w:val="008E6A25"/>
    <w:rsid w:val="008F2465"/>
    <w:rsid w:val="008F2554"/>
    <w:rsid w:val="008F3AEC"/>
    <w:rsid w:val="008F4D80"/>
    <w:rsid w:val="008F5193"/>
    <w:rsid w:val="008F6B36"/>
    <w:rsid w:val="009013A7"/>
    <w:rsid w:val="009017FB"/>
    <w:rsid w:val="009017FC"/>
    <w:rsid w:val="0090506B"/>
    <w:rsid w:val="009050C9"/>
    <w:rsid w:val="009066FC"/>
    <w:rsid w:val="00907058"/>
    <w:rsid w:val="00912D4D"/>
    <w:rsid w:val="009140A3"/>
    <w:rsid w:val="009144A2"/>
    <w:rsid w:val="0091510C"/>
    <w:rsid w:val="009242D1"/>
    <w:rsid w:val="009259AC"/>
    <w:rsid w:val="00926F38"/>
    <w:rsid w:val="00927BEB"/>
    <w:rsid w:val="009333DC"/>
    <w:rsid w:val="00934301"/>
    <w:rsid w:val="00936CD1"/>
    <w:rsid w:val="0094131C"/>
    <w:rsid w:val="00941747"/>
    <w:rsid w:val="00941EFB"/>
    <w:rsid w:val="00947AFB"/>
    <w:rsid w:val="00951AA3"/>
    <w:rsid w:val="00951D7D"/>
    <w:rsid w:val="00956D0C"/>
    <w:rsid w:val="009630C7"/>
    <w:rsid w:val="0096441B"/>
    <w:rsid w:val="00972B55"/>
    <w:rsid w:val="009743B7"/>
    <w:rsid w:val="0098228B"/>
    <w:rsid w:val="009828DA"/>
    <w:rsid w:val="0098410D"/>
    <w:rsid w:val="00985BAB"/>
    <w:rsid w:val="00986B3C"/>
    <w:rsid w:val="009A115C"/>
    <w:rsid w:val="009A745C"/>
    <w:rsid w:val="009A7FC1"/>
    <w:rsid w:val="009B1606"/>
    <w:rsid w:val="009B1878"/>
    <w:rsid w:val="009B1B5F"/>
    <w:rsid w:val="009B6673"/>
    <w:rsid w:val="009C191B"/>
    <w:rsid w:val="009C2BD6"/>
    <w:rsid w:val="009D57AA"/>
    <w:rsid w:val="009E1F32"/>
    <w:rsid w:val="009E2CC2"/>
    <w:rsid w:val="009E47A2"/>
    <w:rsid w:val="009E776C"/>
    <w:rsid w:val="009E7A6F"/>
    <w:rsid w:val="009F4C8F"/>
    <w:rsid w:val="00A02972"/>
    <w:rsid w:val="00A05588"/>
    <w:rsid w:val="00A15601"/>
    <w:rsid w:val="00A1726E"/>
    <w:rsid w:val="00A204CF"/>
    <w:rsid w:val="00A21D2B"/>
    <w:rsid w:val="00A22745"/>
    <w:rsid w:val="00A23D49"/>
    <w:rsid w:val="00A27004"/>
    <w:rsid w:val="00A308CE"/>
    <w:rsid w:val="00A30C29"/>
    <w:rsid w:val="00A34DD6"/>
    <w:rsid w:val="00A35683"/>
    <w:rsid w:val="00A36819"/>
    <w:rsid w:val="00A36989"/>
    <w:rsid w:val="00A41D86"/>
    <w:rsid w:val="00A43628"/>
    <w:rsid w:val="00A45145"/>
    <w:rsid w:val="00A5159A"/>
    <w:rsid w:val="00A51D0F"/>
    <w:rsid w:val="00A54192"/>
    <w:rsid w:val="00A57147"/>
    <w:rsid w:val="00A6035E"/>
    <w:rsid w:val="00A6144C"/>
    <w:rsid w:val="00A66617"/>
    <w:rsid w:val="00A671F8"/>
    <w:rsid w:val="00A673A4"/>
    <w:rsid w:val="00A724AE"/>
    <w:rsid w:val="00A73329"/>
    <w:rsid w:val="00A82359"/>
    <w:rsid w:val="00A865D2"/>
    <w:rsid w:val="00A87C10"/>
    <w:rsid w:val="00A90BCD"/>
    <w:rsid w:val="00A92625"/>
    <w:rsid w:val="00A94C20"/>
    <w:rsid w:val="00A95D81"/>
    <w:rsid w:val="00AA1B09"/>
    <w:rsid w:val="00AA227F"/>
    <w:rsid w:val="00AA3BC7"/>
    <w:rsid w:val="00AA754A"/>
    <w:rsid w:val="00AB099E"/>
    <w:rsid w:val="00AB4328"/>
    <w:rsid w:val="00AC38DE"/>
    <w:rsid w:val="00AC4CD4"/>
    <w:rsid w:val="00AE0A2E"/>
    <w:rsid w:val="00AE354C"/>
    <w:rsid w:val="00AF12C5"/>
    <w:rsid w:val="00AF4B07"/>
    <w:rsid w:val="00AF6186"/>
    <w:rsid w:val="00AF7A3A"/>
    <w:rsid w:val="00B02587"/>
    <w:rsid w:val="00B03980"/>
    <w:rsid w:val="00B049D1"/>
    <w:rsid w:val="00B14793"/>
    <w:rsid w:val="00B153A0"/>
    <w:rsid w:val="00B160DB"/>
    <w:rsid w:val="00B20836"/>
    <w:rsid w:val="00B235BB"/>
    <w:rsid w:val="00B27A44"/>
    <w:rsid w:val="00B30BBF"/>
    <w:rsid w:val="00B33C03"/>
    <w:rsid w:val="00B4421F"/>
    <w:rsid w:val="00B44E56"/>
    <w:rsid w:val="00B45917"/>
    <w:rsid w:val="00B46543"/>
    <w:rsid w:val="00B47D33"/>
    <w:rsid w:val="00B52BE0"/>
    <w:rsid w:val="00B54133"/>
    <w:rsid w:val="00B55A8D"/>
    <w:rsid w:val="00B701ED"/>
    <w:rsid w:val="00B748F7"/>
    <w:rsid w:val="00B8086C"/>
    <w:rsid w:val="00B81C58"/>
    <w:rsid w:val="00B861B4"/>
    <w:rsid w:val="00B86DFE"/>
    <w:rsid w:val="00B90990"/>
    <w:rsid w:val="00B922FF"/>
    <w:rsid w:val="00B9281E"/>
    <w:rsid w:val="00B93925"/>
    <w:rsid w:val="00B95187"/>
    <w:rsid w:val="00BA2D55"/>
    <w:rsid w:val="00BA71B1"/>
    <w:rsid w:val="00BB0637"/>
    <w:rsid w:val="00BB345F"/>
    <w:rsid w:val="00BB68EA"/>
    <w:rsid w:val="00BC0B99"/>
    <w:rsid w:val="00BC1C27"/>
    <w:rsid w:val="00BC56A7"/>
    <w:rsid w:val="00BC6BBF"/>
    <w:rsid w:val="00BD1572"/>
    <w:rsid w:val="00BE14E3"/>
    <w:rsid w:val="00BE3774"/>
    <w:rsid w:val="00BE41E5"/>
    <w:rsid w:val="00BE4CE2"/>
    <w:rsid w:val="00BF0B73"/>
    <w:rsid w:val="00BF118F"/>
    <w:rsid w:val="00BF4109"/>
    <w:rsid w:val="00BF4CC3"/>
    <w:rsid w:val="00C054C7"/>
    <w:rsid w:val="00C057B5"/>
    <w:rsid w:val="00C07D0E"/>
    <w:rsid w:val="00C115C3"/>
    <w:rsid w:val="00C15547"/>
    <w:rsid w:val="00C1672D"/>
    <w:rsid w:val="00C22687"/>
    <w:rsid w:val="00C26A92"/>
    <w:rsid w:val="00C26B1C"/>
    <w:rsid w:val="00C32E4D"/>
    <w:rsid w:val="00C333A0"/>
    <w:rsid w:val="00C36A81"/>
    <w:rsid w:val="00C41974"/>
    <w:rsid w:val="00C44A2C"/>
    <w:rsid w:val="00C44F09"/>
    <w:rsid w:val="00C477F7"/>
    <w:rsid w:val="00C509A6"/>
    <w:rsid w:val="00C5251C"/>
    <w:rsid w:val="00C53B51"/>
    <w:rsid w:val="00C53F4A"/>
    <w:rsid w:val="00C54125"/>
    <w:rsid w:val="00C55B54"/>
    <w:rsid w:val="00C6098E"/>
    <w:rsid w:val="00C60FF2"/>
    <w:rsid w:val="00C6152C"/>
    <w:rsid w:val="00C71424"/>
    <w:rsid w:val="00C74810"/>
    <w:rsid w:val="00C90D68"/>
    <w:rsid w:val="00C939FE"/>
    <w:rsid w:val="00CA4BDA"/>
    <w:rsid w:val="00CB13E3"/>
    <w:rsid w:val="00CB1F66"/>
    <w:rsid w:val="00CB232C"/>
    <w:rsid w:val="00CB2951"/>
    <w:rsid w:val="00CB4277"/>
    <w:rsid w:val="00CC5067"/>
    <w:rsid w:val="00CD11D3"/>
    <w:rsid w:val="00CD282B"/>
    <w:rsid w:val="00CD447B"/>
    <w:rsid w:val="00CD4C35"/>
    <w:rsid w:val="00CD7369"/>
    <w:rsid w:val="00CE0B0E"/>
    <w:rsid w:val="00CE3831"/>
    <w:rsid w:val="00CF2397"/>
    <w:rsid w:val="00D00ABB"/>
    <w:rsid w:val="00D02EEC"/>
    <w:rsid w:val="00D03551"/>
    <w:rsid w:val="00D04315"/>
    <w:rsid w:val="00D06A63"/>
    <w:rsid w:val="00D07D28"/>
    <w:rsid w:val="00D07E0E"/>
    <w:rsid w:val="00D10CD6"/>
    <w:rsid w:val="00D11478"/>
    <w:rsid w:val="00D15ED0"/>
    <w:rsid w:val="00D164BF"/>
    <w:rsid w:val="00D21B3E"/>
    <w:rsid w:val="00D21FED"/>
    <w:rsid w:val="00D23048"/>
    <w:rsid w:val="00D24251"/>
    <w:rsid w:val="00D26E72"/>
    <w:rsid w:val="00D343E2"/>
    <w:rsid w:val="00D361A2"/>
    <w:rsid w:val="00D37272"/>
    <w:rsid w:val="00D44C2E"/>
    <w:rsid w:val="00D45414"/>
    <w:rsid w:val="00D50A0A"/>
    <w:rsid w:val="00D53548"/>
    <w:rsid w:val="00D54D02"/>
    <w:rsid w:val="00D551F2"/>
    <w:rsid w:val="00D5576B"/>
    <w:rsid w:val="00D566BD"/>
    <w:rsid w:val="00D57A4D"/>
    <w:rsid w:val="00D60AA7"/>
    <w:rsid w:val="00D6435F"/>
    <w:rsid w:val="00D66471"/>
    <w:rsid w:val="00D669D4"/>
    <w:rsid w:val="00D70641"/>
    <w:rsid w:val="00D70E4B"/>
    <w:rsid w:val="00D734A7"/>
    <w:rsid w:val="00D74888"/>
    <w:rsid w:val="00D7488B"/>
    <w:rsid w:val="00D75E28"/>
    <w:rsid w:val="00D772C2"/>
    <w:rsid w:val="00D8008E"/>
    <w:rsid w:val="00D82C45"/>
    <w:rsid w:val="00D908A8"/>
    <w:rsid w:val="00D977B6"/>
    <w:rsid w:val="00DA1223"/>
    <w:rsid w:val="00DA4A31"/>
    <w:rsid w:val="00DA7B04"/>
    <w:rsid w:val="00DB36C2"/>
    <w:rsid w:val="00DC00A8"/>
    <w:rsid w:val="00DC169B"/>
    <w:rsid w:val="00DC2AB9"/>
    <w:rsid w:val="00DC63F0"/>
    <w:rsid w:val="00DD1FCF"/>
    <w:rsid w:val="00DD37EA"/>
    <w:rsid w:val="00DD6EE5"/>
    <w:rsid w:val="00DE386C"/>
    <w:rsid w:val="00DE4D35"/>
    <w:rsid w:val="00DF098B"/>
    <w:rsid w:val="00DF11C4"/>
    <w:rsid w:val="00DF210C"/>
    <w:rsid w:val="00DF4B6A"/>
    <w:rsid w:val="00E004C0"/>
    <w:rsid w:val="00E02C09"/>
    <w:rsid w:val="00E04D59"/>
    <w:rsid w:val="00E07DA1"/>
    <w:rsid w:val="00E123CB"/>
    <w:rsid w:val="00E13B09"/>
    <w:rsid w:val="00E20E13"/>
    <w:rsid w:val="00E21DBC"/>
    <w:rsid w:val="00E275D7"/>
    <w:rsid w:val="00E27DBE"/>
    <w:rsid w:val="00E32AB1"/>
    <w:rsid w:val="00E36C71"/>
    <w:rsid w:val="00E40404"/>
    <w:rsid w:val="00E4126A"/>
    <w:rsid w:val="00E42A06"/>
    <w:rsid w:val="00E459C6"/>
    <w:rsid w:val="00E47589"/>
    <w:rsid w:val="00E557AA"/>
    <w:rsid w:val="00E63EC7"/>
    <w:rsid w:val="00E64915"/>
    <w:rsid w:val="00E64D3A"/>
    <w:rsid w:val="00E661D4"/>
    <w:rsid w:val="00E67565"/>
    <w:rsid w:val="00E70091"/>
    <w:rsid w:val="00E70D2E"/>
    <w:rsid w:val="00E720F5"/>
    <w:rsid w:val="00E744E0"/>
    <w:rsid w:val="00E76D47"/>
    <w:rsid w:val="00E827BC"/>
    <w:rsid w:val="00E849F7"/>
    <w:rsid w:val="00E90302"/>
    <w:rsid w:val="00E91D05"/>
    <w:rsid w:val="00E9262D"/>
    <w:rsid w:val="00E94245"/>
    <w:rsid w:val="00E95C1E"/>
    <w:rsid w:val="00E97396"/>
    <w:rsid w:val="00EA185E"/>
    <w:rsid w:val="00EA5014"/>
    <w:rsid w:val="00EA592A"/>
    <w:rsid w:val="00EB14E4"/>
    <w:rsid w:val="00EB32A5"/>
    <w:rsid w:val="00EB34ED"/>
    <w:rsid w:val="00EB447C"/>
    <w:rsid w:val="00EB4C8F"/>
    <w:rsid w:val="00EB7BE0"/>
    <w:rsid w:val="00EC12AD"/>
    <w:rsid w:val="00EC315E"/>
    <w:rsid w:val="00ED077C"/>
    <w:rsid w:val="00ED10A9"/>
    <w:rsid w:val="00ED1190"/>
    <w:rsid w:val="00ED2127"/>
    <w:rsid w:val="00ED34AC"/>
    <w:rsid w:val="00ED6544"/>
    <w:rsid w:val="00EE0277"/>
    <w:rsid w:val="00EE2899"/>
    <w:rsid w:val="00EE3E00"/>
    <w:rsid w:val="00EE5DD2"/>
    <w:rsid w:val="00EF36C5"/>
    <w:rsid w:val="00EF3DB4"/>
    <w:rsid w:val="00F00A79"/>
    <w:rsid w:val="00F00D13"/>
    <w:rsid w:val="00F00E86"/>
    <w:rsid w:val="00F07C1E"/>
    <w:rsid w:val="00F105DB"/>
    <w:rsid w:val="00F132BC"/>
    <w:rsid w:val="00F13D80"/>
    <w:rsid w:val="00F15B4D"/>
    <w:rsid w:val="00F16A7C"/>
    <w:rsid w:val="00F16AAA"/>
    <w:rsid w:val="00F1709C"/>
    <w:rsid w:val="00F21161"/>
    <w:rsid w:val="00F218EF"/>
    <w:rsid w:val="00F21BC7"/>
    <w:rsid w:val="00F266A2"/>
    <w:rsid w:val="00F32269"/>
    <w:rsid w:val="00F35B7A"/>
    <w:rsid w:val="00F56A6F"/>
    <w:rsid w:val="00F5709C"/>
    <w:rsid w:val="00F60B85"/>
    <w:rsid w:val="00F64EF1"/>
    <w:rsid w:val="00F72498"/>
    <w:rsid w:val="00F72B14"/>
    <w:rsid w:val="00F7349B"/>
    <w:rsid w:val="00F8733E"/>
    <w:rsid w:val="00F8765F"/>
    <w:rsid w:val="00F90767"/>
    <w:rsid w:val="00F9263C"/>
    <w:rsid w:val="00FA1637"/>
    <w:rsid w:val="00FA685B"/>
    <w:rsid w:val="00FB0C01"/>
    <w:rsid w:val="00FB5934"/>
    <w:rsid w:val="00FC18F2"/>
    <w:rsid w:val="00FC2A17"/>
    <w:rsid w:val="00FC38CF"/>
    <w:rsid w:val="00FC39E5"/>
    <w:rsid w:val="00FC3A78"/>
    <w:rsid w:val="00FD1005"/>
    <w:rsid w:val="00FD1F7F"/>
    <w:rsid w:val="00FD6C75"/>
    <w:rsid w:val="00FD7972"/>
    <w:rsid w:val="00FE0401"/>
    <w:rsid w:val="00FE71B3"/>
    <w:rsid w:val="00FF42C5"/>
    <w:rsid w:val="00FF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8883FC2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8" w:defSemiHidden="0" w:defUnhideWhenUsed="0" w:defQFormat="0" w:count="376">
    <w:lsdException w:name="Normal" w:uiPriority="0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/>
    <w:lsdException w:name="toa heading" w:semiHidden="1" w:unhideWhenUsed="1"/>
    <w:lsdException w:name="List" w:semiHidden="1" w:unhideWhenUsed="1"/>
    <w:lsdException w:name="List Bullet" w:semiHidden="1"/>
    <w:lsdException w:name="List Number" w:semiHidden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iPriority="99" w:unhideWhenUsed="1"/>
    <w:lsdException w:name="HTML Bottom of Form" w:semiHidden="1" w:uiPriority="99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iPriority="99" w:unhideWhenUsed="1"/>
    <w:lsdException w:name="annotation subject" w:semiHidden="1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iPriority="99" w:unhideWhenUsed="1"/>
    <w:lsdException w:name="Table Simple 2" w:semiHidden="1" w:uiPriority="99" w:unhideWhenUsed="1"/>
    <w:lsdException w:name="Table Simple 3" w:semiHidden="1" w:uiPriority="99" w:unhideWhenUsed="1"/>
    <w:lsdException w:name="Table Classic 1" w:semiHidden="1" w:uiPriority="99" w:unhideWhenUsed="1"/>
    <w:lsdException w:name="Table Classic 2" w:semiHidden="1" w:uiPriority="99" w:unhideWhenUsed="1"/>
    <w:lsdException w:name="Table Classic 3" w:semiHidden="1" w:uiPriority="99" w:unhideWhenUsed="1"/>
    <w:lsdException w:name="Table Classic 4" w:semiHidden="1" w:uiPriority="99" w:unhideWhenUsed="1"/>
    <w:lsdException w:name="Table Colorful 1" w:semiHidden="1" w:uiPriority="99" w:unhideWhenUsed="1"/>
    <w:lsdException w:name="Table Colorful 2" w:semiHidden="1" w:uiPriority="99" w:unhideWhenUsed="1"/>
    <w:lsdException w:name="Table Colorful 3" w:semiHidden="1" w:uiPriority="99" w:unhideWhenUsed="1"/>
    <w:lsdException w:name="Table Columns 1" w:semiHidden="1" w:uiPriority="99" w:unhideWhenUsed="1"/>
    <w:lsdException w:name="Table Columns 2" w:semiHidden="1" w:uiPriority="99" w:unhideWhenUsed="1"/>
    <w:lsdException w:name="Table Columns 3" w:semiHidden="1" w:uiPriority="99" w:unhideWhenUsed="1"/>
    <w:lsdException w:name="Table Columns 4" w:semiHidden="1" w:uiPriority="99" w:unhideWhenUsed="1"/>
    <w:lsdException w:name="Table Columns 5" w:semiHidden="1" w:uiPriority="99" w:unhideWhenUsed="1"/>
    <w:lsdException w:name="Table Grid 1" w:semiHidden="1" w:uiPriority="99" w:unhideWhenUsed="1"/>
    <w:lsdException w:name="Table Grid 2" w:semiHidden="1" w:uiPriority="99" w:unhideWhenUsed="1"/>
    <w:lsdException w:name="Table Grid 3" w:semiHidden="1" w:uiPriority="99" w:unhideWhenUsed="1"/>
    <w:lsdException w:name="Table Grid 4" w:semiHidden="1" w:uiPriority="99" w:unhideWhenUsed="1"/>
    <w:lsdException w:name="Table Grid 5" w:semiHidden="1" w:uiPriority="99" w:unhideWhenUsed="1"/>
    <w:lsdException w:name="Table Grid 6" w:semiHidden="1" w:uiPriority="99" w:unhideWhenUsed="1"/>
    <w:lsdException w:name="Table Grid 7" w:semiHidden="1" w:uiPriority="99" w:unhideWhenUsed="1"/>
    <w:lsdException w:name="Table Grid 8" w:semiHidden="1" w:uiPriority="99" w:unhideWhenUsed="1"/>
    <w:lsdException w:name="Table List 1" w:semiHidden="1" w:uiPriority="99" w:unhideWhenUsed="1"/>
    <w:lsdException w:name="Table List 2" w:semiHidden="1" w:uiPriority="99" w:unhideWhenUsed="1"/>
    <w:lsdException w:name="Table List 3" w:semiHidden="1" w:uiPriority="99" w:unhideWhenUsed="1"/>
    <w:lsdException w:name="Table List 4" w:semiHidden="1" w:uiPriority="99" w:unhideWhenUsed="1"/>
    <w:lsdException w:name="Table List 5" w:semiHidden="1" w:uiPriority="99" w:unhideWhenUsed="1"/>
    <w:lsdException w:name="Table List 6" w:semiHidden="1" w:uiPriority="99" w:unhideWhenUsed="1"/>
    <w:lsdException w:name="Table List 7" w:semiHidden="1" w:uiPriority="99" w:unhideWhenUsed="1"/>
    <w:lsdException w:name="Table List 8" w:semiHidden="1" w:uiPriority="99" w:unhideWhenUsed="1"/>
    <w:lsdException w:name="Table 3D effects 1" w:semiHidden="1" w:uiPriority="99" w:unhideWhenUsed="1"/>
    <w:lsdException w:name="Table 3D effects 2" w:semiHidden="1" w:uiPriority="99" w:unhideWhenUsed="1"/>
    <w:lsdException w:name="Table 3D effects 3" w:semiHidden="1" w:uiPriority="99" w:unhideWhenUsed="1"/>
    <w:lsdException w:name="Table Contemporary" w:semiHidden="1" w:uiPriority="99" w:unhideWhenUsed="1"/>
    <w:lsdException w:name="Table Elegant" w:semiHidden="1" w:uiPriority="99" w:unhideWhenUsed="1"/>
    <w:lsdException w:name="Table Professional" w:semiHidden="1" w:uiPriority="99" w:unhideWhenUsed="1"/>
    <w:lsdException w:name="Table Subtle 1" w:semiHidden="1" w:uiPriority="99" w:unhideWhenUsed="1"/>
    <w:lsdException w:name="Table Subtle 2" w:semiHidden="1" w:uiPriority="99" w:unhideWhenUsed="1"/>
    <w:lsdException w:name="Table Web 1" w:semiHidden="1" w:uiPriority="99" w:unhideWhenUsed="1"/>
    <w:lsdException w:name="Table Web 2" w:semiHidden="1" w:uiPriority="99" w:unhideWhenUsed="1"/>
    <w:lsdException w:name="Table Web 3" w:semiHidden="1" w:uiPriority="99" w:unhideWhenUsed="1"/>
    <w:lsdException w:name="Balloon Text" w:semiHidden="1" w:unhideWhenUsed="1"/>
    <w:lsdException w:name="Table Grid" w:uiPriority="59"/>
    <w:lsdException w:name="Table Theme" w:semiHidden="1" w:uiPriority="99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/>
    <w:lsdException w:name="TOC Heading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Smart Link" w:semiHidden="1" w:uiPriority="99" w:unhideWhenUsed="1"/>
  </w:latentStyles>
  <w:style w:type="paragraph" w:default="1" w:styleId="Normalny">
    <w:name w:val="Normal"/>
    <w:semiHidden/>
    <w:rsid w:val="0096441B"/>
    <w:rPr>
      <w:sz w:val="24"/>
      <w:szCs w:val="24"/>
      <w:lang w:val="en-GB"/>
    </w:rPr>
  </w:style>
  <w:style w:type="paragraph" w:styleId="Nagwek1">
    <w:name w:val="heading 1"/>
    <w:basedOn w:val="Normalny"/>
    <w:next w:val="Normalny"/>
    <w:link w:val="Nagwek1Znak"/>
    <w:uiPriority w:val="98"/>
    <w:semiHidden/>
    <w:rsid w:val="0096441B"/>
    <w:pPr>
      <w:spacing w:before="480"/>
      <w:contextualSpacing/>
      <w:outlineLvl w:val="0"/>
    </w:pPr>
    <w:rPr>
      <w:rFonts w:asciiTheme="majorHAnsi" w:eastAsiaTheme="majorEastAsia" w:hAnsiTheme="majorHAnsi" w:cstheme="majorBidi"/>
      <w:b/>
      <w:bCs/>
      <w:color w:val="333333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8"/>
    <w:semiHidden/>
    <w:rsid w:val="0096441B"/>
    <w:pPr>
      <w:spacing w:before="200"/>
      <w:outlineLvl w:val="1"/>
    </w:pPr>
    <w:rPr>
      <w:rFonts w:asciiTheme="majorHAnsi" w:eastAsiaTheme="majorEastAsia" w:hAnsiTheme="majorHAnsi" w:cstheme="majorBidi"/>
      <w:b/>
      <w:bCs/>
      <w:color w:val="4D4D4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8"/>
    <w:semiHidden/>
    <w:rsid w:val="0096441B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color w:val="5F5F5F"/>
      <w:sz w:val="22"/>
      <w:szCs w:val="22"/>
    </w:rPr>
  </w:style>
  <w:style w:type="paragraph" w:styleId="Nagwek4">
    <w:name w:val="heading 4"/>
    <w:basedOn w:val="Normalny"/>
    <w:next w:val="Normalny"/>
    <w:link w:val="Nagwek4Znak"/>
    <w:uiPriority w:val="98"/>
    <w:semiHidden/>
    <w:rsid w:val="0096441B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777777"/>
      <w:sz w:val="22"/>
      <w:szCs w:val="22"/>
    </w:rPr>
  </w:style>
  <w:style w:type="paragraph" w:styleId="Nagwek5">
    <w:name w:val="heading 5"/>
    <w:basedOn w:val="Normalny"/>
    <w:next w:val="Normalny"/>
    <w:link w:val="Nagwek5Znak"/>
    <w:uiPriority w:val="98"/>
    <w:semiHidden/>
    <w:qFormat/>
    <w:rsid w:val="0096441B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808080"/>
      <w:sz w:val="22"/>
      <w:szCs w:val="22"/>
    </w:rPr>
  </w:style>
  <w:style w:type="paragraph" w:styleId="Nagwek6">
    <w:name w:val="heading 6"/>
    <w:basedOn w:val="Normalny"/>
    <w:next w:val="Normalny"/>
    <w:link w:val="Nagwek6Znak"/>
    <w:uiPriority w:val="98"/>
    <w:semiHidden/>
    <w:rsid w:val="0096441B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bidi="en-US"/>
    </w:rPr>
  </w:style>
  <w:style w:type="paragraph" w:styleId="Nagwek7">
    <w:name w:val="heading 7"/>
    <w:basedOn w:val="Normalny"/>
    <w:next w:val="Normalny"/>
    <w:link w:val="Nagwek7Znak"/>
    <w:uiPriority w:val="98"/>
    <w:semiHidden/>
    <w:qFormat/>
    <w:rsid w:val="0096441B"/>
    <w:pPr>
      <w:outlineLvl w:val="6"/>
    </w:pPr>
    <w:rPr>
      <w:rFonts w:asciiTheme="majorHAnsi" w:eastAsiaTheme="majorEastAsia" w:hAnsiTheme="majorHAnsi" w:cstheme="majorBidi"/>
      <w:i/>
      <w:iCs/>
      <w:sz w:val="22"/>
      <w:szCs w:val="22"/>
      <w:lang w:bidi="en-US"/>
    </w:rPr>
  </w:style>
  <w:style w:type="paragraph" w:styleId="Nagwek8">
    <w:name w:val="heading 8"/>
    <w:basedOn w:val="Normalny"/>
    <w:next w:val="Normalny"/>
    <w:link w:val="Nagwek8Znak"/>
    <w:uiPriority w:val="98"/>
    <w:semiHidden/>
    <w:qFormat/>
    <w:rsid w:val="0096441B"/>
    <w:pPr>
      <w:outlineLvl w:val="7"/>
    </w:pPr>
    <w:rPr>
      <w:rFonts w:asciiTheme="majorHAnsi" w:eastAsiaTheme="majorEastAsia" w:hAnsiTheme="majorHAnsi" w:cstheme="majorBidi"/>
      <w:sz w:val="20"/>
      <w:szCs w:val="20"/>
      <w:lang w:bidi="en-US"/>
    </w:rPr>
  </w:style>
  <w:style w:type="paragraph" w:styleId="Nagwek9">
    <w:name w:val="heading 9"/>
    <w:basedOn w:val="Normalny"/>
    <w:next w:val="Normalny"/>
    <w:link w:val="Nagwek9Znak"/>
    <w:uiPriority w:val="98"/>
    <w:semiHidden/>
    <w:qFormat/>
    <w:rsid w:val="0096441B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bidi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8"/>
    <w:semiHidden/>
    <w:rsid w:val="0096441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8"/>
    <w:semiHidden/>
    <w:rsid w:val="0096441B"/>
    <w:rPr>
      <w:rFonts w:ascii="Tahoma" w:hAnsi="Tahoma" w:cs="Tahoma"/>
      <w:sz w:val="16"/>
      <w:szCs w:val="16"/>
      <w:lang w:val="en-GB"/>
    </w:rPr>
  </w:style>
  <w:style w:type="character" w:styleId="Tytuksiki">
    <w:name w:val="Book Title"/>
    <w:uiPriority w:val="98"/>
    <w:semiHidden/>
    <w:qFormat/>
    <w:rsid w:val="0096441B"/>
    <w:rPr>
      <w:i/>
      <w:iCs/>
      <w:smallCaps/>
      <w:spacing w:val="5"/>
    </w:rPr>
  </w:style>
  <w:style w:type="paragraph" w:customStyle="1" w:styleId="JuHeader">
    <w:name w:val="Ju_Header"/>
    <w:aliases w:val="_Header"/>
    <w:basedOn w:val="Nagwek"/>
    <w:uiPriority w:val="29"/>
    <w:qFormat/>
    <w:rsid w:val="0096441B"/>
    <w:pPr>
      <w:tabs>
        <w:tab w:val="clear" w:pos="4536"/>
        <w:tab w:val="clear" w:pos="9072"/>
      </w:tabs>
      <w:jc w:val="center"/>
    </w:pPr>
    <w:rPr>
      <w:sz w:val="18"/>
    </w:rPr>
  </w:style>
  <w:style w:type="paragraph" w:customStyle="1" w:styleId="NormalJustified">
    <w:name w:val="Normal_Justified"/>
    <w:basedOn w:val="Normalny"/>
    <w:semiHidden/>
    <w:rsid w:val="0096441B"/>
    <w:pPr>
      <w:jc w:val="both"/>
    </w:pPr>
  </w:style>
  <w:style w:type="character" w:styleId="Pogrubienie">
    <w:name w:val="Strong"/>
    <w:uiPriority w:val="98"/>
    <w:semiHidden/>
    <w:qFormat/>
    <w:rsid w:val="0096441B"/>
    <w:rPr>
      <w:b/>
      <w:bCs/>
    </w:rPr>
  </w:style>
  <w:style w:type="paragraph" w:styleId="Bezodstpw">
    <w:name w:val="No Spacing"/>
    <w:basedOn w:val="Normalny"/>
    <w:link w:val="BezodstpwZnak"/>
    <w:uiPriority w:val="98"/>
    <w:semiHidden/>
    <w:qFormat/>
    <w:rsid w:val="0096441B"/>
  </w:style>
  <w:style w:type="character" w:customStyle="1" w:styleId="BezodstpwZnak">
    <w:name w:val="Bez odstępów Znak"/>
    <w:basedOn w:val="Domylnaczcionkaakapitu"/>
    <w:link w:val="Bezodstpw"/>
    <w:uiPriority w:val="98"/>
    <w:semiHidden/>
    <w:rsid w:val="0096441B"/>
    <w:rPr>
      <w:sz w:val="24"/>
      <w:szCs w:val="24"/>
      <w:lang w:val="en-GB"/>
    </w:rPr>
  </w:style>
  <w:style w:type="paragraph" w:customStyle="1" w:styleId="JuQuot">
    <w:name w:val="Ju_Quot"/>
    <w:aliases w:val="_Quote"/>
    <w:basedOn w:val="NormalJustified"/>
    <w:uiPriority w:val="20"/>
    <w:qFormat/>
    <w:rsid w:val="0096441B"/>
    <w:pPr>
      <w:spacing w:before="120" w:after="120"/>
      <w:ind w:left="425" w:firstLine="142"/>
    </w:pPr>
    <w:rPr>
      <w:sz w:val="20"/>
    </w:rPr>
  </w:style>
  <w:style w:type="paragraph" w:customStyle="1" w:styleId="JuList">
    <w:name w:val="Ju_List"/>
    <w:aliases w:val="_List_1"/>
    <w:basedOn w:val="NormalJustified"/>
    <w:uiPriority w:val="23"/>
    <w:qFormat/>
    <w:rsid w:val="0096441B"/>
    <w:pPr>
      <w:numPr>
        <w:numId w:val="22"/>
      </w:numPr>
      <w:spacing w:before="280" w:after="60"/>
    </w:pPr>
  </w:style>
  <w:style w:type="paragraph" w:customStyle="1" w:styleId="JuLista">
    <w:name w:val="Ju_List_a"/>
    <w:aliases w:val="_List_2"/>
    <w:basedOn w:val="NormalJustified"/>
    <w:uiPriority w:val="23"/>
    <w:rsid w:val="0096441B"/>
    <w:pPr>
      <w:numPr>
        <w:ilvl w:val="1"/>
        <w:numId w:val="22"/>
      </w:numPr>
    </w:pPr>
  </w:style>
  <w:style w:type="paragraph" w:customStyle="1" w:styleId="JuListi">
    <w:name w:val="Ju_List_i"/>
    <w:aliases w:val="_List_3"/>
    <w:basedOn w:val="NormalJustified"/>
    <w:uiPriority w:val="23"/>
    <w:rsid w:val="0096441B"/>
    <w:pPr>
      <w:numPr>
        <w:ilvl w:val="2"/>
        <w:numId w:val="22"/>
      </w:numPr>
    </w:pPr>
  </w:style>
  <w:style w:type="paragraph" w:customStyle="1" w:styleId="JuHArticle">
    <w:name w:val="Ju_H_Article"/>
    <w:aliases w:val="_Title_Quote"/>
    <w:basedOn w:val="Normalny"/>
    <w:next w:val="JuQuot"/>
    <w:uiPriority w:val="19"/>
    <w:qFormat/>
    <w:rsid w:val="0096441B"/>
    <w:pPr>
      <w:keepNext/>
      <w:spacing w:before="100" w:beforeAutospacing="1" w:after="120"/>
      <w:contextualSpacing/>
      <w:jc w:val="center"/>
    </w:pPr>
    <w:rPr>
      <w:b/>
      <w:sz w:val="20"/>
    </w:rPr>
  </w:style>
  <w:style w:type="paragraph" w:customStyle="1" w:styleId="DecHTitle">
    <w:name w:val="Dec_H_Title"/>
    <w:aliases w:val="_Title_1"/>
    <w:basedOn w:val="JuPara"/>
    <w:next w:val="JuPara"/>
    <w:uiPriority w:val="38"/>
    <w:qFormat/>
    <w:rsid w:val="0096441B"/>
    <w:pPr>
      <w:keepNext/>
      <w:keepLines/>
      <w:spacing w:after="240"/>
      <w:ind w:firstLine="0"/>
      <w:jc w:val="center"/>
      <w:outlineLvl w:val="0"/>
    </w:pPr>
    <w:rPr>
      <w:rFonts w:asciiTheme="majorHAnsi" w:hAnsiTheme="majorHAnsi"/>
      <w:sz w:val="28"/>
    </w:rPr>
  </w:style>
  <w:style w:type="paragraph" w:customStyle="1" w:styleId="ECHRCoverTitle4">
    <w:name w:val="ECHR_Cover_Title_4"/>
    <w:aliases w:val="_Title_4"/>
    <w:basedOn w:val="JuPara"/>
    <w:next w:val="JuPara"/>
    <w:uiPriority w:val="38"/>
    <w:qFormat/>
    <w:rsid w:val="0096441B"/>
    <w:pPr>
      <w:keepNext/>
      <w:keepLines/>
      <w:tabs>
        <w:tab w:val="right" w:pos="7938"/>
      </w:tabs>
      <w:ind w:firstLine="0"/>
      <w:jc w:val="center"/>
    </w:pPr>
    <w:rPr>
      <w:i/>
    </w:rPr>
  </w:style>
  <w:style w:type="paragraph" w:customStyle="1" w:styleId="JuHHead">
    <w:name w:val="Ju_H_Head"/>
    <w:aliases w:val="_Head_1"/>
    <w:basedOn w:val="Nagwek1"/>
    <w:next w:val="JuPara"/>
    <w:uiPriority w:val="17"/>
    <w:qFormat/>
    <w:rsid w:val="0096441B"/>
    <w:pPr>
      <w:keepNext/>
      <w:keepLines/>
      <w:numPr>
        <w:numId w:val="21"/>
      </w:numPr>
      <w:spacing w:before="100" w:beforeAutospacing="1" w:after="240"/>
      <w:contextualSpacing w:val="0"/>
      <w:jc w:val="both"/>
    </w:pPr>
    <w:rPr>
      <w:b w:val="0"/>
      <w:caps/>
      <w:color w:val="auto"/>
    </w:rPr>
  </w:style>
  <w:style w:type="numbering" w:customStyle="1" w:styleId="ECHRA1StyleBulletedSquare">
    <w:name w:val="ECHR_A1_Style_Bulleted_Square"/>
    <w:basedOn w:val="Bezlisty"/>
    <w:rsid w:val="0096441B"/>
    <w:pPr>
      <w:numPr>
        <w:numId w:val="16"/>
      </w:numPr>
    </w:pPr>
  </w:style>
  <w:style w:type="paragraph" w:customStyle="1" w:styleId="JuSigned">
    <w:name w:val="Ju_Signed"/>
    <w:aliases w:val="_Signature"/>
    <w:basedOn w:val="Normalny"/>
    <w:next w:val="JuPara"/>
    <w:uiPriority w:val="31"/>
    <w:qFormat/>
    <w:rsid w:val="0096441B"/>
    <w:pPr>
      <w:tabs>
        <w:tab w:val="center" w:pos="1418"/>
        <w:tab w:val="center" w:pos="5954"/>
      </w:tabs>
      <w:spacing w:before="720"/>
    </w:pPr>
  </w:style>
  <w:style w:type="paragraph" w:styleId="Tytu">
    <w:name w:val="Title"/>
    <w:basedOn w:val="Normalny"/>
    <w:next w:val="Normalny"/>
    <w:link w:val="TytuZnak"/>
    <w:uiPriority w:val="98"/>
    <w:semiHidden/>
    <w:qFormat/>
    <w:rsid w:val="0096441B"/>
    <w:pPr>
      <w:pBdr>
        <w:bottom w:val="single" w:sz="4" w:space="1" w:color="auto"/>
      </w:pBdr>
      <w:contextualSpacing/>
    </w:pPr>
    <w:rPr>
      <w:rFonts w:asciiTheme="majorHAnsi" w:eastAsiaTheme="majorEastAsia" w:hAnsiTheme="majorHAnsi" w:cstheme="majorBidi"/>
      <w:spacing w:val="5"/>
      <w:sz w:val="52"/>
      <w:szCs w:val="52"/>
      <w:lang w:bidi="en-US"/>
    </w:rPr>
  </w:style>
  <w:style w:type="character" w:customStyle="1" w:styleId="TytuZnak">
    <w:name w:val="Tytuł Znak"/>
    <w:basedOn w:val="Domylnaczcionkaakapitu"/>
    <w:link w:val="Tytu"/>
    <w:uiPriority w:val="98"/>
    <w:semiHidden/>
    <w:rsid w:val="0096441B"/>
    <w:rPr>
      <w:rFonts w:asciiTheme="majorHAnsi" w:eastAsiaTheme="majorEastAsia" w:hAnsiTheme="majorHAnsi" w:cstheme="majorBidi"/>
      <w:spacing w:val="5"/>
      <w:sz w:val="52"/>
      <w:szCs w:val="52"/>
      <w:lang w:val="en-GB" w:bidi="en-US"/>
    </w:rPr>
  </w:style>
  <w:style w:type="numbering" w:customStyle="1" w:styleId="ECHRA1StyleList">
    <w:name w:val="ECHR_A1_Style_List"/>
    <w:basedOn w:val="Bezlisty"/>
    <w:uiPriority w:val="99"/>
    <w:rsid w:val="0096441B"/>
    <w:pPr>
      <w:numPr>
        <w:numId w:val="1"/>
      </w:numPr>
    </w:pPr>
  </w:style>
  <w:style w:type="numbering" w:customStyle="1" w:styleId="ECHRA1StyleNumberedList">
    <w:name w:val="ECHR_A1_Style_Numbered_List"/>
    <w:basedOn w:val="Bezlisty"/>
    <w:rsid w:val="0096441B"/>
    <w:pPr>
      <w:numPr>
        <w:numId w:val="18"/>
      </w:numPr>
    </w:pPr>
  </w:style>
  <w:style w:type="table" w:customStyle="1" w:styleId="ECHRTable2019">
    <w:name w:val="ECHR_Table_2019"/>
    <w:basedOn w:val="Standardowy"/>
    <w:uiPriority w:val="99"/>
    <w:rsid w:val="0096441B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auto"/>
        <w:sz w:val="22"/>
      </w:rPr>
      <w:tblPr/>
      <w:tcPr>
        <w:shd w:val="clear" w:color="auto" w:fill="DFDFDF" w:themeFill="accent3" w:themeFillTint="3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F3F3F3" w:themeFill="text2" w:themeFillTint="33"/>
      </w:tcPr>
    </w:tblStylePr>
    <w:tblStylePr w:type="band2Horz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5F5F5F" w:themeColor="accent3"/>
          <w:tl2br w:val="nil"/>
          <w:tr2bl w:val="nil"/>
        </w:tcBorders>
        <w:shd w:val="clear" w:color="auto" w:fill="F3F3F3" w:themeFill="text2" w:themeFillTint="33"/>
      </w:tcPr>
    </w:tblStylePr>
  </w:style>
  <w:style w:type="paragraph" w:customStyle="1" w:styleId="Footer">
    <w:name w:val="_Footer"/>
    <w:aliases w:val="Footer_"/>
    <w:basedOn w:val="Stopka"/>
    <w:uiPriority w:val="57"/>
    <w:semiHidden/>
    <w:rsid w:val="007D3701"/>
    <w:rPr>
      <w:sz w:val="8"/>
    </w:rPr>
  </w:style>
  <w:style w:type="paragraph" w:customStyle="1" w:styleId="JuCourt">
    <w:name w:val="Ju_Court"/>
    <w:aliases w:val="_Court_Names"/>
    <w:basedOn w:val="Normalny"/>
    <w:next w:val="Normalny"/>
    <w:uiPriority w:val="32"/>
    <w:qFormat/>
    <w:rsid w:val="0096441B"/>
    <w:pPr>
      <w:tabs>
        <w:tab w:val="left" w:pos="907"/>
        <w:tab w:val="left" w:pos="1701"/>
        <w:tab w:val="right" w:pos="7371"/>
      </w:tabs>
      <w:spacing w:before="240"/>
      <w:ind w:left="397" w:hanging="397"/>
    </w:pPr>
    <w:rPr>
      <w:lang w:bidi="en-US"/>
    </w:rPr>
  </w:style>
  <w:style w:type="paragraph" w:customStyle="1" w:styleId="JuHIRoman">
    <w:name w:val="Ju_H_I_Roman"/>
    <w:aliases w:val="_Head_2"/>
    <w:basedOn w:val="Nagwek2"/>
    <w:next w:val="JuPara"/>
    <w:uiPriority w:val="17"/>
    <w:qFormat/>
    <w:rsid w:val="0096441B"/>
    <w:pPr>
      <w:keepNext/>
      <w:keepLines/>
      <w:numPr>
        <w:ilvl w:val="1"/>
        <w:numId w:val="21"/>
      </w:numPr>
      <w:tabs>
        <w:tab w:val="left" w:pos="454"/>
        <w:tab w:val="left" w:pos="539"/>
        <w:tab w:val="left" w:pos="624"/>
        <w:tab w:val="left" w:pos="709"/>
        <w:tab w:val="left" w:pos="794"/>
      </w:tabs>
      <w:spacing w:before="100" w:beforeAutospacing="1" w:after="240"/>
      <w:jc w:val="both"/>
    </w:pPr>
    <w:rPr>
      <w:b w:val="0"/>
      <w:caps/>
      <w:color w:val="auto"/>
      <w:sz w:val="24"/>
    </w:rPr>
  </w:style>
  <w:style w:type="paragraph" w:customStyle="1" w:styleId="JuHA">
    <w:name w:val="Ju_H_A"/>
    <w:aliases w:val="_Head_3"/>
    <w:basedOn w:val="Nagwek3"/>
    <w:next w:val="JuPara"/>
    <w:uiPriority w:val="17"/>
    <w:qFormat/>
    <w:rsid w:val="0096441B"/>
    <w:pPr>
      <w:keepNext/>
      <w:keepLines/>
      <w:numPr>
        <w:ilvl w:val="2"/>
        <w:numId w:val="21"/>
      </w:numPr>
      <w:spacing w:before="100" w:beforeAutospacing="1" w:after="240" w:line="240" w:lineRule="auto"/>
      <w:jc w:val="both"/>
    </w:pPr>
    <w:rPr>
      <w:color w:val="auto"/>
      <w:sz w:val="24"/>
    </w:rPr>
  </w:style>
  <w:style w:type="paragraph" w:customStyle="1" w:styleId="JuH1">
    <w:name w:val="Ju_H_1."/>
    <w:aliases w:val="_Head_4"/>
    <w:basedOn w:val="Nagwek4"/>
    <w:next w:val="JuPara"/>
    <w:uiPriority w:val="17"/>
    <w:rsid w:val="0096441B"/>
    <w:pPr>
      <w:keepNext/>
      <w:keepLines/>
      <w:numPr>
        <w:ilvl w:val="3"/>
        <w:numId w:val="21"/>
      </w:numPr>
      <w:spacing w:before="100" w:beforeAutospacing="1" w:after="120"/>
      <w:jc w:val="both"/>
    </w:pPr>
    <w:rPr>
      <w:b w:val="0"/>
      <w:color w:val="auto"/>
      <w:sz w:val="24"/>
    </w:rPr>
  </w:style>
  <w:style w:type="paragraph" w:styleId="Nagwek">
    <w:name w:val="header"/>
    <w:basedOn w:val="Normalny"/>
    <w:link w:val="NagwekZnak"/>
    <w:uiPriority w:val="98"/>
    <w:semiHidden/>
    <w:rsid w:val="0096441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8"/>
    <w:semiHidden/>
    <w:rsid w:val="0096441B"/>
    <w:rPr>
      <w:sz w:val="24"/>
      <w:szCs w:val="24"/>
      <w:lang w:val="en-GB"/>
    </w:rPr>
  </w:style>
  <w:style w:type="character" w:customStyle="1" w:styleId="Nagwek1Znak">
    <w:name w:val="Nagłówek 1 Znak"/>
    <w:basedOn w:val="Domylnaczcionkaakapitu"/>
    <w:link w:val="Nagwek1"/>
    <w:uiPriority w:val="98"/>
    <w:semiHidden/>
    <w:rsid w:val="0096441B"/>
    <w:rPr>
      <w:rFonts w:asciiTheme="majorHAnsi" w:eastAsiaTheme="majorEastAsia" w:hAnsiTheme="majorHAnsi" w:cstheme="majorBidi"/>
      <w:b/>
      <w:bCs/>
      <w:color w:val="333333"/>
      <w:sz w:val="28"/>
      <w:szCs w:val="28"/>
      <w:lang w:val="en-GB"/>
    </w:rPr>
  </w:style>
  <w:style w:type="paragraph" w:customStyle="1" w:styleId="JuHa0">
    <w:name w:val="Ju_H_a"/>
    <w:aliases w:val="_Head_5"/>
    <w:basedOn w:val="Nagwek5"/>
    <w:next w:val="JuPara"/>
    <w:uiPriority w:val="17"/>
    <w:rsid w:val="0096441B"/>
    <w:pPr>
      <w:keepNext/>
      <w:keepLines/>
      <w:numPr>
        <w:ilvl w:val="4"/>
        <w:numId w:val="21"/>
      </w:numPr>
      <w:spacing w:before="100" w:beforeAutospacing="1" w:after="120"/>
      <w:jc w:val="both"/>
    </w:pPr>
    <w:rPr>
      <w:color w:val="auto"/>
      <w:sz w:val="20"/>
    </w:rPr>
  </w:style>
  <w:style w:type="paragraph" w:customStyle="1" w:styleId="JuHi">
    <w:name w:val="Ju_H_i"/>
    <w:aliases w:val="_Head_6"/>
    <w:basedOn w:val="Nagwek6"/>
    <w:next w:val="JuPara"/>
    <w:uiPriority w:val="17"/>
    <w:rsid w:val="0096441B"/>
    <w:pPr>
      <w:keepNext/>
      <w:keepLines/>
      <w:numPr>
        <w:ilvl w:val="5"/>
        <w:numId w:val="21"/>
      </w:numPr>
      <w:tabs>
        <w:tab w:val="left" w:pos="1077"/>
        <w:tab w:val="left" w:pos="1134"/>
        <w:tab w:val="left" w:pos="1191"/>
        <w:tab w:val="left" w:pos="1247"/>
      </w:tabs>
      <w:spacing w:before="100" w:beforeAutospacing="1" w:after="120"/>
      <w:jc w:val="both"/>
    </w:pPr>
    <w:rPr>
      <w:b w:val="0"/>
      <w:color w:val="auto"/>
      <w:sz w:val="20"/>
    </w:rPr>
  </w:style>
  <w:style w:type="character" w:customStyle="1" w:styleId="Nagwek2Znak">
    <w:name w:val="Nagłówek 2 Znak"/>
    <w:basedOn w:val="Domylnaczcionkaakapitu"/>
    <w:link w:val="Nagwek2"/>
    <w:uiPriority w:val="98"/>
    <w:semiHidden/>
    <w:rsid w:val="0096441B"/>
    <w:rPr>
      <w:rFonts w:asciiTheme="majorHAnsi" w:eastAsiaTheme="majorEastAsia" w:hAnsiTheme="majorHAnsi" w:cstheme="majorBidi"/>
      <w:b/>
      <w:bCs/>
      <w:color w:val="4D4D4D"/>
      <w:sz w:val="26"/>
      <w:szCs w:val="26"/>
      <w:lang w:val="en-GB"/>
    </w:rPr>
  </w:style>
  <w:style w:type="paragraph" w:customStyle="1" w:styleId="JuHalpha">
    <w:name w:val="Ju_H_alpha"/>
    <w:aliases w:val="_Head_7"/>
    <w:basedOn w:val="Nagwek7"/>
    <w:next w:val="JuPara"/>
    <w:uiPriority w:val="17"/>
    <w:rsid w:val="0096441B"/>
    <w:pPr>
      <w:keepNext/>
      <w:keepLines/>
      <w:numPr>
        <w:ilvl w:val="6"/>
        <w:numId w:val="21"/>
      </w:numPr>
      <w:tabs>
        <w:tab w:val="left" w:pos="1361"/>
      </w:tabs>
      <w:spacing w:before="100" w:beforeAutospacing="1" w:after="120"/>
      <w:jc w:val="both"/>
    </w:pPr>
    <w:rPr>
      <w:i w:val="0"/>
      <w:sz w:val="20"/>
    </w:rPr>
  </w:style>
  <w:style w:type="paragraph" w:customStyle="1" w:styleId="JuH">
    <w:name w:val="Ju_H_–"/>
    <w:aliases w:val="_Head_8"/>
    <w:basedOn w:val="Nagwek8"/>
    <w:next w:val="JuPara"/>
    <w:uiPriority w:val="17"/>
    <w:rsid w:val="0096441B"/>
    <w:pPr>
      <w:keepNext/>
      <w:keepLines/>
      <w:numPr>
        <w:ilvl w:val="7"/>
        <w:numId w:val="21"/>
      </w:numPr>
      <w:spacing w:before="100" w:beforeAutospacing="1" w:after="120"/>
      <w:jc w:val="both"/>
    </w:pPr>
    <w:rPr>
      <w:i/>
    </w:rPr>
  </w:style>
  <w:style w:type="character" w:customStyle="1" w:styleId="Nagwek3Znak">
    <w:name w:val="Nagłówek 3 Znak"/>
    <w:basedOn w:val="Domylnaczcionkaakapitu"/>
    <w:link w:val="Nagwek3"/>
    <w:uiPriority w:val="98"/>
    <w:semiHidden/>
    <w:rsid w:val="0096441B"/>
    <w:rPr>
      <w:rFonts w:asciiTheme="majorHAnsi" w:eastAsiaTheme="majorEastAsia" w:hAnsiTheme="majorHAnsi" w:cstheme="majorBidi"/>
      <w:b/>
      <w:bCs/>
      <w:color w:val="5F5F5F"/>
      <w:lang w:val="en-GB"/>
    </w:rPr>
  </w:style>
  <w:style w:type="paragraph" w:customStyle="1" w:styleId="JuParaLast">
    <w:name w:val="Ju_Para_Last"/>
    <w:aliases w:val="_Para_Spaced"/>
    <w:basedOn w:val="NormalJustified"/>
    <w:uiPriority w:val="5"/>
    <w:qFormat/>
    <w:rsid w:val="0096441B"/>
    <w:pPr>
      <w:keepNext/>
      <w:keepLines/>
      <w:spacing w:before="240" w:after="240"/>
      <w:ind w:firstLine="284"/>
    </w:pPr>
  </w:style>
  <w:style w:type="paragraph" w:customStyle="1" w:styleId="JuJudges">
    <w:name w:val="Ju_Judges"/>
    <w:aliases w:val="_Judges"/>
    <w:basedOn w:val="Normalny"/>
    <w:uiPriority w:val="32"/>
    <w:qFormat/>
    <w:rsid w:val="0096441B"/>
    <w:pPr>
      <w:tabs>
        <w:tab w:val="left" w:pos="567"/>
        <w:tab w:val="left" w:pos="1134"/>
      </w:tabs>
    </w:pPr>
  </w:style>
  <w:style w:type="character" w:customStyle="1" w:styleId="Nagwek4Znak">
    <w:name w:val="Nagłówek 4 Znak"/>
    <w:basedOn w:val="Domylnaczcionkaakapitu"/>
    <w:link w:val="Nagwek4"/>
    <w:uiPriority w:val="98"/>
    <w:semiHidden/>
    <w:rsid w:val="0096441B"/>
    <w:rPr>
      <w:rFonts w:asciiTheme="majorHAnsi" w:eastAsiaTheme="majorEastAsia" w:hAnsiTheme="majorHAnsi" w:cstheme="majorBidi"/>
      <w:b/>
      <w:bCs/>
      <w:i/>
      <w:iCs/>
      <w:color w:val="777777"/>
      <w:lang w:val="en-GB"/>
    </w:rPr>
  </w:style>
  <w:style w:type="paragraph" w:customStyle="1" w:styleId="JuInitialled">
    <w:name w:val="Ju_Initialled"/>
    <w:aliases w:val="_Right"/>
    <w:basedOn w:val="Normalny"/>
    <w:uiPriority w:val="30"/>
    <w:qFormat/>
    <w:rsid w:val="0096441B"/>
    <w:pPr>
      <w:tabs>
        <w:tab w:val="center" w:pos="6407"/>
      </w:tabs>
      <w:spacing w:before="720"/>
      <w:jc w:val="right"/>
    </w:pPr>
  </w:style>
  <w:style w:type="character" w:customStyle="1" w:styleId="Nagwek5Znak">
    <w:name w:val="Nagłówek 5 Znak"/>
    <w:basedOn w:val="Domylnaczcionkaakapitu"/>
    <w:link w:val="Nagwek5"/>
    <w:uiPriority w:val="98"/>
    <w:semiHidden/>
    <w:rsid w:val="0096441B"/>
    <w:rPr>
      <w:rFonts w:asciiTheme="majorHAnsi" w:eastAsiaTheme="majorEastAsia" w:hAnsiTheme="majorHAnsi" w:cstheme="majorBidi"/>
      <w:b/>
      <w:bCs/>
      <w:color w:val="808080"/>
      <w:lang w:val="en-GB"/>
    </w:rPr>
  </w:style>
  <w:style w:type="character" w:customStyle="1" w:styleId="JuITMark">
    <w:name w:val="Ju_ITMark"/>
    <w:aliases w:val="_ITMark"/>
    <w:basedOn w:val="Domylnaczcionkaakapitu"/>
    <w:uiPriority w:val="54"/>
    <w:qFormat/>
    <w:rsid w:val="0096441B"/>
    <w:rPr>
      <w:vanish w:val="0"/>
      <w:color w:val="auto"/>
      <w:sz w:val="14"/>
      <w:bdr w:val="none" w:sz="0" w:space="0" w:color="auto"/>
      <w:shd w:val="clear" w:color="auto" w:fill="BEE5FF" w:themeFill="background1" w:themeFillTint="33"/>
    </w:rPr>
  </w:style>
  <w:style w:type="character" w:customStyle="1" w:styleId="JUNAMES">
    <w:name w:val="JU_NAMES"/>
    <w:aliases w:val="_Ju_Names"/>
    <w:uiPriority w:val="33"/>
    <w:qFormat/>
    <w:rsid w:val="0096441B"/>
    <w:rPr>
      <w:caps w:val="0"/>
      <w:smallCaps/>
    </w:rPr>
  </w:style>
  <w:style w:type="character" w:styleId="Wyrnieniedelikatne">
    <w:name w:val="Subtle Emphasis"/>
    <w:uiPriority w:val="98"/>
    <w:semiHidden/>
    <w:qFormat/>
    <w:rsid w:val="0096441B"/>
    <w:rPr>
      <w:i/>
      <w:iCs/>
    </w:rPr>
  </w:style>
  <w:style w:type="table" w:customStyle="1" w:styleId="ECHRTable">
    <w:name w:val="ECHR_Table"/>
    <w:basedOn w:val="Standardowy"/>
    <w:rsid w:val="0096441B"/>
    <w:rPr>
      <w:rFonts w:eastAsia="Times New Roman" w:cs="Times New Roman"/>
      <w:sz w:val="20"/>
      <w:szCs w:val="20"/>
      <w:lang w:val="en-GB"/>
    </w:rPr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rPr>
        <w:b/>
      </w:rPr>
    </w:tblStylePr>
    <w:tblStylePr w:type="band2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2Horz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</w:style>
  <w:style w:type="table" w:customStyle="1" w:styleId="ECHRTableBoxHeader">
    <w:name w:val="ECHR_Table_Box_Header"/>
    <w:basedOn w:val="Standardowy"/>
    <w:rsid w:val="0096441B"/>
    <w:rPr>
      <w:rFonts w:ascii="Verdana" w:eastAsia="Times New Roman" w:hAnsi="Verdana" w:cs="Times New Roman"/>
      <w:sz w:val="20"/>
      <w:szCs w:val="20"/>
      <w:lang w:val="en-GB"/>
    </w:rPr>
    <w:tblPr>
      <w:tblCellMar>
        <w:top w:w="57" w:type="dxa"/>
        <w:left w:w="57" w:type="dxa"/>
        <w:bottom w:w="57" w:type="dxa"/>
        <w:right w:w="57" w:type="dxa"/>
      </w:tblCellMar>
    </w:tblPr>
    <w:tcPr>
      <w:shd w:val="clear" w:color="auto" w:fill="F8F8F8" w:themeFill="background2"/>
    </w:tcPr>
    <w:tblStylePr w:type="firstCol">
      <w:rPr>
        <w:b/>
        <w:color w:val="5F5F5F" w:themeColor="accent3"/>
      </w:rPr>
    </w:tblStylePr>
  </w:style>
  <w:style w:type="character" w:styleId="Uwydatnienie">
    <w:name w:val="Emphasis"/>
    <w:uiPriority w:val="98"/>
    <w:semiHidden/>
    <w:qFormat/>
    <w:rsid w:val="0096441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Stopka">
    <w:name w:val="footer"/>
    <w:basedOn w:val="Normalny"/>
    <w:link w:val="StopkaZnak"/>
    <w:uiPriority w:val="98"/>
    <w:semiHidden/>
    <w:rsid w:val="0096441B"/>
    <w:pPr>
      <w:tabs>
        <w:tab w:val="center" w:pos="3686"/>
        <w:tab w:val="right" w:pos="7371"/>
      </w:tabs>
    </w:pPr>
  </w:style>
  <w:style w:type="character" w:customStyle="1" w:styleId="StopkaZnak">
    <w:name w:val="Stopka Znak"/>
    <w:basedOn w:val="Domylnaczcionkaakapitu"/>
    <w:link w:val="Stopka"/>
    <w:uiPriority w:val="98"/>
    <w:semiHidden/>
    <w:rsid w:val="0096441B"/>
    <w:rPr>
      <w:sz w:val="24"/>
      <w:szCs w:val="24"/>
      <w:lang w:val="en-GB"/>
    </w:rPr>
  </w:style>
  <w:style w:type="character" w:styleId="Odwoanieprzypisudolnego">
    <w:name w:val="footnote reference"/>
    <w:basedOn w:val="Domylnaczcionkaakapitu"/>
    <w:uiPriority w:val="98"/>
    <w:semiHidden/>
    <w:rsid w:val="0096441B"/>
    <w:rPr>
      <w:vertAlign w:val="superscript"/>
    </w:rPr>
  </w:style>
  <w:style w:type="paragraph" w:styleId="Tekstprzypisudolnego">
    <w:name w:val="footnote text"/>
    <w:basedOn w:val="NormalJustified"/>
    <w:link w:val="TekstprzypisudolnegoZnak"/>
    <w:uiPriority w:val="98"/>
    <w:semiHidden/>
    <w:rsid w:val="0096441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8"/>
    <w:semiHidden/>
    <w:rsid w:val="0096441B"/>
    <w:rPr>
      <w:sz w:val="20"/>
      <w:szCs w:val="20"/>
      <w:lang w:val="en-GB"/>
    </w:rPr>
  </w:style>
  <w:style w:type="character" w:customStyle="1" w:styleId="Nagwek6Znak">
    <w:name w:val="Nagłówek 6 Znak"/>
    <w:basedOn w:val="Domylnaczcionkaakapitu"/>
    <w:link w:val="Nagwek6"/>
    <w:uiPriority w:val="98"/>
    <w:semiHidden/>
    <w:rsid w:val="0096441B"/>
    <w:rPr>
      <w:rFonts w:asciiTheme="majorHAnsi" w:eastAsiaTheme="majorEastAsia" w:hAnsiTheme="majorHAnsi" w:cstheme="majorBidi"/>
      <w:b/>
      <w:bCs/>
      <w:i/>
      <w:iCs/>
      <w:color w:val="7F7F7F" w:themeColor="text1" w:themeTint="80"/>
      <w:lang w:val="en-GB" w:bidi="en-US"/>
    </w:rPr>
  </w:style>
  <w:style w:type="character" w:customStyle="1" w:styleId="Nagwek7Znak">
    <w:name w:val="Nagłówek 7 Znak"/>
    <w:basedOn w:val="Domylnaczcionkaakapitu"/>
    <w:link w:val="Nagwek7"/>
    <w:uiPriority w:val="98"/>
    <w:semiHidden/>
    <w:rsid w:val="0096441B"/>
    <w:rPr>
      <w:rFonts w:asciiTheme="majorHAnsi" w:eastAsiaTheme="majorEastAsia" w:hAnsiTheme="majorHAnsi" w:cstheme="majorBidi"/>
      <w:i/>
      <w:iCs/>
      <w:lang w:val="en-GB" w:bidi="en-US"/>
    </w:rPr>
  </w:style>
  <w:style w:type="character" w:customStyle="1" w:styleId="Nagwek8Znak">
    <w:name w:val="Nagłówek 8 Znak"/>
    <w:basedOn w:val="Domylnaczcionkaakapitu"/>
    <w:link w:val="Nagwek8"/>
    <w:uiPriority w:val="98"/>
    <w:semiHidden/>
    <w:rsid w:val="0096441B"/>
    <w:rPr>
      <w:rFonts w:asciiTheme="majorHAnsi" w:eastAsiaTheme="majorEastAsia" w:hAnsiTheme="majorHAnsi" w:cstheme="majorBidi"/>
      <w:sz w:val="20"/>
      <w:szCs w:val="20"/>
      <w:lang w:val="en-GB" w:bidi="en-US"/>
    </w:rPr>
  </w:style>
  <w:style w:type="character" w:customStyle="1" w:styleId="Nagwek9Znak">
    <w:name w:val="Nagłówek 9 Znak"/>
    <w:basedOn w:val="Domylnaczcionkaakapitu"/>
    <w:link w:val="Nagwek9"/>
    <w:uiPriority w:val="98"/>
    <w:semiHidden/>
    <w:rsid w:val="0096441B"/>
    <w:rPr>
      <w:rFonts w:asciiTheme="majorHAnsi" w:eastAsiaTheme="majorEastAsia" w:hAnsiTheme="majorHAnsi" w:cstheme="majorBidi"/>
      <w:i/>
      <w:iCs/>
      <w:spacing w:val="5"/>
      <w:sz w:val="20"/>
      <w:szCs w:val="20"/>
      <w:lang w:val="en-GB" w:bidi="en-US"/>
    </w:rPr>
  </w:style>
  <w:style w:type="character" w:styleId="Hipercze">
    <w:name w:val="Hyperlink"/>
    <w:basedOn w:val="Domylnaczcionkaakapitu"/>
    <w:uiPriority w:val="98"/>
    <w:semiHidden/>
    <w:rsid w:val="0096441B"/>
    <w:rPr>
      <w:color w:val="0072BC" w:themeColor="hyperlink"/>
      <w:u w:val="single"/>
    </w:rPr>
  </w:style>
  <w:style w:type="character" w:styleId="Wyrnienieintensywne">
    <w:name w:val="Intense Emphasis"/>
    <w:uiPriority w:val="98"/>
    <w:semiHidden/>
    <w:qFormat/>
    <w:rsid w:val="0096441B"/>
    <w:rPr>
      <w:b/>
      <w:bCs/>
    </w:rPr>
  </w:style>
  <w:style w:type="paragraph" w:styleId="Cytatintensywny">
    <w:name w:val="Intense Quote"/>
    <w:basedOn w:val="Normalny"/>
    <w:next w:val="Normalny"/>
    <w:link w:val="CytatintensywnyZnak"/>
    <w:uiPriority w:val="98"/>
    <w:semiHidden/>
    <w:qFormat/>
    <w:rsid w:val="0096441B"/>
    <w:pPr>
      <w:pBdr>
        <w:bottom w:val="single" w:sz="4" w:space="1" w:color="auto"/>
      </w:pBdr>
      <w:spacing w:before="200" w:after="280"/>
      <w:ind w:left="1008" w:right="1152"/>
    </w:pPr>
    <w:rPr>
      <w:b/>
      <w:bCs/>
      <w:i/>
      <w:iCs/>
      <w:lang w:bidi="en-US"/>
    </w:rPr>
  </w:style>
  <w:style w:type="character" w:customStyle="1" w:styleId="CytatintensywnyZnak">
    <w:name w:val="Cytat intensywny Znak"/>
    <w:basedOn w:val="Domylnaczcionkaakapitu"/>
    <w:link w:val="Cytatintensywny"/>
    <w:uiPriority w:val="98"/>
    <w:semiHidden/>
    <w:rsid w:val="0096441B"/>
    <w:rPr>
      <w:b/>
      <w:bCs/>
      <w:i/>
      <w:iCs/>
      <w:sz w:val="24"/>
      <w:szCs w:val="24"/>
      <w:lang w:val="en-GB" w:bidi="en-US"/>
    </w:rPr>
  </w:style>
  <w:style w:type="character" w:styleId="Odwoanieintensywne">
    <w:name w:val="Intense Reference"/>
    <w:uiPriority w:val="98"/>
    <w:semiHidden/>
    <w:qFormat/>
    <w:rsid w:val="0096441B"/>
    <w:rPr>
      <w:smallCaps/>
      <w:spacing w:val="5"/>
      <w:u w:val="single"/>
    </w:rPr>
  </w:style>
  <w:style w:type="paragraph" w:styleId="Akapitzlist">
    <w:name w:val="List Paragraph"/>
    <w:basedOn w:val="Normalny"/>
    <w:uiPriority w:val="98"/>
    <w:semiHidden/>
    <w:qFormat/>
    <w:rsid w:val="0096441B"/>
    <w:pPr>
      <w:ind w:left="720"/>
      <w:contextualSpacing/>
    </w:pPr>
  </w:style>
  <w:style w:type="table" w:customStyle="1" w:styleId="LtrTableAddress">
    <w:name w:val="Ltr_Table_Address"/>
    <w:aliases w:val="ECHR_Ltr_Table_Address"/>
    <w:basedOn w:val="Standardowy"/>
    <w:uiPriority w:val="99"/>
    <w:rsid w:val="0096441B"/>
    <w:rPr>
      <w:sz w:val="24"/>
      <w:szCs w:val="24"/>
    </w:rPr>
    <w:tblPr>
      <w:tblInd w:w="5103" w:type="dxa"/>
    </w:tblPr>
  </w:style>
  <w:style w:type="paragraph" w:styleId="Cytat">
    <w:name w:val="Quote"/>
    <w:basedOn w:val="Normalny"/>
    <w:next w:val="Normalny"/>
    <w:link w:val="CytatZnak"/>
    <w:uiPriority w:val="98"/>
    <w:semiHidden/>
    <w:qFormat/>
    <w:rsid w:val="0096441B"/>
    <w:pPr>
      <w:spacing w:before="200"/>
      <w:ind w:left="360" w:right="360"/>
    </w:pPr>
    <w:rPr>
      <w:i/>
      <w:iCs/>
      <w:lang w:bidi="en-US"/>
    </w:rPr>
  </w:style>
  <w:style w:type="character" w:customStyle="1" w:styleId="CytatZnak">
    <w:name w:val="Cytat Znak"/>
    <w:basedOn w:val="Domylnaczcionkaakapitu"/>
    <w:link w:val="Cytat"/>
    <w:uiPriority w:val="98"/>
    <w:semiHidden/>
    <w:rsid w:val="0096441B"/>
    <w:rPr>
      <w:i/>
      <w:iCs/>
      <w:sz w:val="24"/>
      <w:szCs w:val="24"/>
      <w:lang w:val="en-GB" w:bidi="en-US"/>
    </w:rPr>
  </w:style>
  <w:style w:type="character" w:styleId="Odwoaniedelikatne">
    <w:name w:val="Subtle Reference"/>
    <w:uiPriority w:val="98"/>
    <w:semiHidden/>
    <w:qFormat/>
    <w:rsid w:val="0096441B"/>
    <w:rPr>
      <w:smallCaps/>
    </w:rPr>
  </w:style>
  <w:style w:type="table" w:styleId="Tabela-Siatka">
    <w:name w:val="Table Grid"/>
    <w:basedOn w:val="Standardowy"/>
    <w:uiPriority w:val="59"/>
    <w:semiHidden/>
    <w:rsid w:val="0096441B"/>
    <w:rPr>
      <w:rFonts w:eastAsiaTheme="minorEastAsia"/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pistreci1">
    <w:name w:val="toc 1"/>
    <w:basedOn w:val="Normalny"/>
    <w:next w:val="Normalny"/>
    <w:autoRedefine/>
    <w:uiPriority w:val="98"/>
    <w:semiHidden/>
    <w:rsid w:val="0096441B"/>
    <w:pPr>
      <w:keepNext/>
      <w:tabs>
        <w:tab w:val="right" w:leader="dot" w:pos="7371"/>
      </w:tabs>
      <w:spacing w:before="160" w:after="60" w:line="240" w:lineRule="exact"/>
      <w:ind w:left="340" w:right="567" w:hanging="340"/>
    </w:pPr>
    <w:rPr>
      <w:b/>
      <w:sz w:val="22"/>
    </w:rPr>
  </w:style>
  <w:style w:type="paragraph" w:styleId="Spistreci2">
    <w:name w:val="toc 2"/>
    <w:basedOn w:val="Normalny"/>
    <w:next w:val="Normalny"/>
    <w:autoRedefine/>
    <w:uiPriority w:val="98"/>
    <w:semiHidden/>
    <w:rsid w:val="0096441B"/>
    <w:pPr>
      <w:keepNext/>
      <w:tabs>
        <w:tab w:val="right" w:leader="dot" w:pos="7371"/>
      </w:tabs>
      <w:spacing w:after="60" w:line="240" w:lineRule="exact"/>
      <w:ind w:left="680" w:right="567" w:hanging="340"/>
    </w:pPr>
    <w:rPr>
      <w:sz w:val="22"/>
    </w:rPr>
  </w:style>
  <w:style w:type="paragraph" w:styleId="Spistreci3">
    <w:name w:val="toc 3"/>
    <w:basedOn w:val="Normalny"/>
    <w:next w:val="Normalny"/>
    <w:autoRedefine/>
    <w:uiPriority w:val="98"/>
    <w:semiHidden/>
    <w:rsid w:val="0096441B"/>
    <w:pPr>
      <w:keepNext/>
      <w:tabs>
        <w:tab w:val="right" w:leader="dot" w:pos="7371"/>
      </w:tabs>
      <w:spacing w:after="60" w:line="240" w:lineRule="exact"/>
      <w:ind w:left="1020" w:right="567" w:hanging="340"/>
    </w:pPr>
    <w:rPr>
      <w:sz w:val="20"/>
    </w:rPr>
  </w:style>
  <w:style w:type="paragraph" w:styleId="Spistreci4">
    <w:name w:val="toc 4"/>
    <w:basedOn w:val="Normalny"/>
    <w:next w:val="Normalny"/>
    <w:autoRedefine/>
    <w:uiPriority w:val="98"/>
    <w:semiHidden/>
    <w:rsid w:val="0096441B"/>
    <w:pPr>
      <w:keepNext/>
      <w:tabs>
        <w:tab w:val="right" w:leader="dot" w:pos="7371"/>
      </w:tabs>
      <w:spacing w:after="60" w:line="240" w:lineRule="exact"/>
      <w:ind w:left="1361" w:right="567" w:hanging="340"/>
    </w:pPr>
    <w:rPr>
      <w:sz w:val="20"/>
    </w:rPr>
  </w:style>
  <w:style w:type="paragraph" w:styleId="Spistreci5">
    <w:name w:val="toc 5"/>
    <w:basedOn w:val="Normalny"/>
    <w:next w:val="Normalny"/>
    <w:autoRedefine/>
    <w:uiPriority w:val="98"/>
    <w:semiHidden/>
    <w:rsid w:val="0096441B"/>
    <w:pPr>
      <w:tabs>
        <w:tab w:val="right" w:leader="dot" w:pos="7371"/>
      </w:tabs>
      <w:spacing w:after="60" w:line="240" w:lineRule="exact"/>
      <w:ind w:left="1701" w:right="567" w:hanging="340"/>
    </w:pPr>
    <w:rPr>
      <w:sz w:val="20"/>
    </w:rPr>
  </w:style>
  <w:style w:type="paragraph" w:styleId="Nagwekspisutreci">
    <w:name w:val="TOC Heading"/>
    <w:basedOn w:val="Normalny"/>
    <w:next w:val="Normalny"/>
    <w:uiPriority w:val="98"/>
    <w:semiHidden/>
    <w:qFormat/>
    <w:rsid w:val="0096441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table" w:customStyle="1" w:styleId="UGTable">
    <w:name w:val="UG_Table"/>
    <w:aliases w:val="ECHR_UG_Table"/>
    <w:basedOn w:val="Standardowy"/>
    <w:uiPriority w:val="99"/>
    <w:rsid w:val="0096441B"/>
    <w:rPr>
      <w:rFonts w:eastAsiaTheme="minorEastAsia"/>
      <w:sz w:val="20"/>
      <w:szCs w:val="24"/>
      <w:lang w:val="en-GB" w:eastAsia="en-GB"/>
    </w:rPr>
    <w:tblPr>
      <w:tblInd w:w="-1191" w:type="dxa"/>
      <w:tblCellMar>
        <w:top w:w="57" w:type="dxa"/>
        <w:left w:w="0" w:type="dxa"/>
        <w:right w:w="0" w:type="dxa"/>
      </w:tblCellMar>
    </w:tbl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AEAEA"/>
      </w:tcPr>
    </w:tblStylePr>
  </w:style>
  <w:style w:type="table" w:customStyle="1" w:styleId="UGTableWhiteBox">
    <w:name w:val="UG_Table_White_Box"/>
    <w:aliases w:val="ECHR_UG_Table_White_Box"/>
    <w:basedOn w:val="Standardowy"/>
    <w:uiPriority w:val="99"/>
    <w:rsid w:val="0096441B"/>
    <w:rPr>
      <w:rFonts w:eastAsiaTheme="minorEastAsia"/>
      <w:sz w:val="24"/>
      <w:szCs w:val="24"/>
      <w:lang w:val="en-GB" w:eastAsia="en-GB"/>
    </w:rPr>
    <w:tblPr>
      <w:tblBorders>
        <w:top w:val="single" w:sz="4" w:space="0" w:color="B9B9B9" w:themeColor="background2" w:themeShade="BF"/>
        <w:left w:val="single" w:sz="4" w:space="0" w:color="B9B9B9" w:themeColor="background2" w:themeShade="BF"/>
        <w:bottom w:val="single" w:sz="4" w:space="0" w:color="B9B9B9" w:themeColor="background2" w:themeShade="BF"/>
        <w:right w:val="single" w:sz="4" w:space="0" w:color="B9B9B9" w:themeColor="background2" w:themeShade="BF"/>
      </w:tblBorders>
      <w:tblCellMar>
        <w:top w:w="113" w:type="dxa"/>
        <w:left w:w="113" w:type="dxa"/>
        <w:bottom w:w="113" w:type="dxa"/>
        <w:right w:w="113" w:type="dxa"/>
      </w:tblCellMar>
    </w:tblPr>
    <w:tcPr>
      <w:shd w:val="clear" w:color="auto" w:fill="FFFFFF"/>
    </w:tcPr>
  </w:style>
  <w:style w:type="table" w:customStyle="1" w:styleId="PCFTableStyle">
    <w:name w:val="PCF_Table_Style"/>
    <w:aliases w:val="ECHR_PCF_Table_Style"/>
    <w:basedOn w:val="Standardowy"/>
    <w:uiPriority w:val="99"/>
    <w:rsid w:val="0096441B"/>
    <w:rPr>
      <w:color w:val="000000" w:themeColor="text1"/>
      <w:sz w:val="18"/>
      <w:szCs w:val="24"/>
    </w:rPr>
    <w:tblPr>
      <w:tblBorders>
        <w:top w:val="single" w:sz="8" w:space="0" w:color="9F9F9F" w:themeColor="accent3" w:themeTint="99"/>
        <w:left w:val="single" w:sz="8" w:space="0" w:color="9F9F9F" w:themeColor="accent3" w:themeTint="99"/>
        <w:bottom w:val="single" w:sz="8" w:space="0" w:color="9F9F9F" w:themeColor="accent3" w:themeTint="99"/>
        <w:right w:val="single" w:sz="8" w:space="0" w:color="9F9F9F" w:themeColor="accent3" w:themeTint="99"/>
        <w:insideH w:val="single" w:sz="8" w:space="0" w:color="9F9F9F" w:themeColor="accent3" w:themeTint="99"/>
        <w:insideV w:val="single" w:sz="8" w:space="0" w:color="9F9F9F" w:themeColor="accent3" w:themeTint="99"/>
      </w:tblBorders>
    </w:tblPr>
    <w:tblStylePr w:type="firstRow">
      <w:pPr>
        <w:wordWrap/>
        <w:spacing w:beforeLines="0" w:before="120" w:beforeAutospacing="0" w:afterLines="0" w:after="120" w:afterAutospacing="0" w:line="240" w:lineRule="auto"/>
        <w:contextualSpacing/>
        <w:jc w:val="center"/>
      </w:pPr>
      <w:rPr>
        <w:b/>
        <w:i w:val="0"/>
        <w:color w:val="FFFFFF"/>
        <w:sz w:val="2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0072BC" w:themeFill="accent1"/>
        <w:vAlign w:val="center"/>
      </w:tcPr>
    </w:tblStylePr>
    <w:tblStylePr w:type="firstCol">
      <w:pPr>
        <w:jc w:val="left"/>
      </w:pPr>
      <w:tblPr/>
      <w:tcPr>
        <w:vAlign w:val="center"/>
      </w:tcPr>
    </w:tblStylePr>
  </w:style>
  <w:style w:type="table" w:customStyle="1" w:styleId="ECHRTableFax">
    <w:name w:val="ECHR_Table_Fax"/>
    <w:basedOn w:val="Standardowy"/>
    <w:uiPriority w:val="99"/>
    <w:rsid w:val="0096441B"/>
    <w:rPr>
      <w:color w:val="000000" w:themeColor="text1"/>
      <w:sz w:val="24"/>
      <w:szCs w:val="24"/>
    </w:rPr>
    <w:tblPr>
      <w:tblInd w:w="-680" w:type="dxa"/>
      <w:tblBorders>
        <w:insideH w:val="single" w:sz="4" w:space="0" w:color="C6C6C6" w:themeColor="text2"/>
        <w:insideV w:val="single" w:sz="4" w:space="0" w:color="C6C6C6" w:themeColor="text2"/>
      </w:tblBorders>
      <w:tblCellMar>
        <w:top w:w="142" w:type="dxa"/>
        <w:bottom w:w="142" w:type="dxa"/>
      </w:tblCellMar>
    </w:tblPr>
    <w:trPr>
      <w:cantSplit/>
    </w:trPr>
  </w:style>
  <w:style w:type="table" w:customStyle="1" w:styleId="ECHRTableMemo">
    <w:name w:val="ECHR_Table_Memo"/>
    <w:basedOn w:val="Standardowy"/>
    <w:uiPriority w:val="99"/>
    <w:rsid w:val="0096441B"/>
    <w:rPr>
      <w:sz w:val="24"/>
      <w:szCs w:val="24"/>
    </w:rPr>
    <w:tblPr>
      <w:jc w:val="center"/>
      <w:tblCellMar>
        <w:top w:w="113" w:type="dxa"/>
        <w:left w:w="0" w:type="dxa"/>
        <w:bottom w:w="113" w:type="dxa"/>
        <w:right w:w="0" w:type="dxa"/>
      </w:tblCellMar>
    </w:tblPr>
    <w:trPr>
      <w:jc w:val="center"/>
    </w:trPr>
    <w:tblStylePr w:type="lastRow">
      <w:tblPr/>
      <w:tcPr>
        <w:tcBorders>
          <w:top w:val="nil"/>
          <w:left w:val="nil"/>
          <w:bottom w:val="single" w:sz="4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ECHRDNTable">
    <w:name w:val="ECHR_DN_Table"/>
    <w:basedOn w:val="Standardowy"/>
    <w:uiPriority w:val="99"/>
    <w:rsid w:val="0096441B"/>
    <w:rPr>
      <w:sz w:val="24"/>
      <w:szCs w:val="24"/>
    </w:rPr>
    <w:tblPr>
      <w:jc w:val="center"/>
      <w:tblBorders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57" w:type="dxa"/>
        <w:bottom w:w="57" w:type="dxa"/>
      </w:tblCellMar>
    </w:tblPr>
    <w:trPr>
      <w:jc w:val="center"/>
    </w:trPr>
    <w:tcPr>
      <w:vAlign w:val="center"/>
    </w:tcPr>
    <w:tblStylePr w:type="firstRow">
      <w:pPr>
        <w:wordWrap/>
        <w:spacing w:beforeLines="0"/>
        <w:ind w:leftChars="0" w:left="0"/>
      </w:pPr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nil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</w:style>
  <w:style w:type="paragraph" w:styleId="Nagwekwykazurde">
    <w:name w:val="toa heading"/>
    <w:basedOn w:val="Normalny"/>
    <w:next w:val="Normalny"/>
    <w:uiPriority w:val="98"/>
    <w:semiHidden/>
    <w:rsid w:val="0096441B"/>
    <w:pPr>
      <w:keepNext/>
      <w:keepLines/>
      <w:spacing w:before="240"/>
      <w:contextualSpacing/>
      <w:jc w:val="center"/>
    </w:pPr>
    <w:rPr>
      <w:rFonts w:asciiTheme="majorHAnsi" w:eastAsiaTheme="majorEastAsia" w:hAnsiTheme="majorHAnsi" w:cstheme="majorBidi"/>
      <w:b/>
      <w:bCs/>
      <w:color w:val="474747" w:themeColor="accent3" w:themeShade="BF"/>
      <w:sz w:val="28"/>
    </w:rPr>
  </w:style>
  <w:style w:type="paragraph" w:styleId="Podtytu">
    <w:name w:val="Subtitle"/>
    <w:basedOn w:val="Normalny"/>
    <w:next w:val="Normalny"/>
    <w:link w:val="PodtytuZnak"/>
    <w:uiPriority w:val="98"/>
    <w:semiHidden/>
    <w:qFormat/>
    <w:rsid w:val="0096441B"/>
    <w:pPr>
      <w:spacing w:after="600"/>
    </w:pPr>
    <w:rPr>
      <w:rFonts w:asciiTheme="majorHAnsi" w:eastAsiaTheme="majorEastAsia" w:hAnsiTheme="majorHAnsi" w:cstheme="majorBidi"/>
      <w:i/>
      <w:iCs/>
      <w:spacing w:val="13"/>
      <w:lang w:bidi="en-US"/>
    </w:rPr>
  </w:style>
  <w:style w:type="character" w:customStyle="1" w:styleId="PodtytuZnak">
    <w:name w:val="Podtytuł Znak"/>
    <w:basedOn w:val="Domylnaczcionkaakapitu"/>
    <w:link w:val="Podtytu"/>
    <w:uiPriority w:val="98"/>
    <w:semiHidden/>
    <w:rsid w:val="0096441B"/>
    <w:rPr>
      <w:rFonts w:asciiTheme="majorHAnsi" w:eastAsiaTheme="majorEastAsia" w:hAnsiTheme="majorHAnsi" w:cstheme="majorBidi"/>
      <w:i/>
      <w:iCs/>
      <w:spacing w:val="13"/>
      <w:sz w:val="24"/>
      <w:szCs w:val="24"/>
      <w:lang w:val="en-GB" w:bidi="en-US"/>
    </w:rPr>
  </w:style>
  <w:style w:type="numbering" w:styleId="111111">
    <w:name w:val="Outline List 2"/>
    <w:basedOn w:val="Bezlisty"/>
    <w:uiPriority w:val="99"/>
    <w:semiHidden/>
    <w:unhideWhenUsed/>
    <w:rsid w:val="0096441B"/>
    <w:pPr>
      <w:numPr>
        <w:numId w:val="3"/>
      </w:numPr>
    </w:pPr>
  </w:style>
  <w:style w:type="paragraph" w:customStyle="1" w:styleId="JuPara">
    <w:name w:val="Ju_Para"/>
    <w:aliases w:val="_Para"/>
    <w:basedOn w:val="NormalJustified"/>
    <w:link w:val="JuParaChar"/>
    <w:uiPriority w:val="4"/>
    <w:qFormat/>
    <w:rsid w:val="0096441B"/>
    <w:pPr>
      <w:ind w:firstLine="284"/>
    </w:pPr>
  </w:style>
  <w:style w:type="numbering" w:styleId="1ai">
    <w:name w:val="Outline List 1"/>
    <w:basedOn w:val="Bezlisty"/>
    <w:uiPriority w:val="99"/>
    <w:semiHidden/>
    <w:unhideWhenUsed/>
    <w:rsid w:val="0096441B"/>
    <w:pPr>
      <w:numPr>
        <w:numId w:val="4"/>
      </w:numPr>
    </w:pPr>
  </w:style>
  <w:style w:type="table" w:customStyle="1" w:styleId="ECHRTableSimpleBox">
    <w:name w:val="ECHR_Table_Simple_Box"/>
    <w:basedOn w:val="Standardowy"/>
    <w:uiPriority w:val="99"/>
    <w:rsid w:val="0096441B"/>
    <w:rPr>
      <w:sz w:val="24"/>
      <w:szCs w:val="24"/>
    </w:rPr>
    <w:tblPr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</w:tblBorders>
      <w:tblCellMar>
        <w:top w:w="113" w:type="dxa"/>
        <w:bottom w:w="113" w:type="dxa"/>
      </w:tblCellMar>
    </w:tblPr>
  </w:style>
  <w:style w:type="table" w:customStyle="1" w:styleId="ECHRTableNoLines">
    <w:name w:val="ECHR_Table_No_Lines"/>
    <w:basedOn w:val="Standardowy"/>
    <w:uiPriority w:val="99"/>
    <w:rsid w:val="0096441B"/>
    <w:rPr>
      <w:sz w:val="24"/>
      <w:szCs w:val="24"/>
    </w:rPr>
    <w:tblPr>
      <w:tblCellMar>
        <w:top w:w="85" w:type="dxa"/>
        <w:left w:w="142" w:type="dxa"/>
        <w:bottom w:w="28" w:type="dxa"/>
        <w:right w:w="142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4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firstCol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</w:tcPr>
    </w:tblStylePr>
  </w:style>
  <w:style w:type="numbering" w:styleId="Artykusekcja">
    <w:name w:val="Outline List 3"/>
    <w:basedOn w:val="Bezlisty"/>
    <w:uiPriority w:val="99"/>
    <w:semiHidden/>
    <w:unhideWhenUsed/>
    <w:rsid w:val="0096441B"/>
    <w:pPr>
      <w:numPr>
        <w:numId w:val="5"/>
      </w:numPr>
    </w:pPr>
  </w:style>
  <w:style w:type="table" w:customStyle="1" w:styleId="ECHRTableForInternalUse">
    <w:name w:val="ECHR_Table_For_Internal_Use"/>
    <w:basedOn w:val="Standardowy"/>
    <w:uiPriority w:val="99"/>
    <w:rsid w:val="0096441B"/>
    <w:rPr>
      <w:color w:val="636363" w:themeColor="text2" w:themeShade="80"/>
      <w:sz w:val="18"/>
      <w:szCs w:val="24"/>
    </w:rPr>
    <w:tblPr>
      <w:tblStyleColBandSize w:val="1"/>
      <w:jc w:val="right"/>
      <w:tblCellMar>
        <w:top w:w="113" w:type="dxa"/>
        <w:bottom w:w="28" w:type="dxa"/>
      </w:tblCellMar>
    </w:tblPr>
    <w:trPr>
      <w:jc w:val="right"/>
    </w:trPr>
    <w:tblStylePr w:type="firstRow">
      <w:rPr>
        <w:b/>
      </w:rPr>
    </w:tblStylePr>
    <w:tblStylePr w:type="lastCol">
      <w:pPr>
        <w:jc w:val="right"/>
      </w:p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  <w:tblStylePr w:type="band1Vert"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  <w:tl2br w:val="nil"/>
          <w:tr2bl w:val="nil"/>
        </w:tcBorders>
      </w:tcPr>
    </w:tblStylePr>
  </w:style>
  <w:style w:type="table" w:customStyle="1" w:styleId="ECHRListTable">
    <w:name w:val="ECHR_List_Table"/>
    <w:basedOn w:val="Standardowy"/>
    <w:uiPriority w:val="99"/>
    <w:rsid w:val="0096441B"/>
    <w:rPr>
      <w:sz w:val="24"/>
      <w:szCs w:val="24"/>
    </w:rPr>
    <w:tblPr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b/>
        <w:color w:val="474747" w:themeColor="accent3" w:themeShade="BF"/>
      </w:rPr>
      <w:tblPr/>
      <w:trPr>
        <w:tblHeader/>
      </w:trPr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single" w:sz="4" w:space="0" w:color="949494" w:themeColor="text2" w:themeShade="BF"/>
          <w:insideV w:val="single" w:sz="4" w:space="0" w:color="949494" w:themeColor="text2" w:themeShade="BF"/>
        </w:tcBorders>
        <w:shd w:val="clear" w:color="auto" w:fill="DFDFDF" w:themeFill="background2" w:themeFillShade="E6"/>
      </w:tcPr>
    </w:tblStylePr>
  </w:style>
  <w:style w:type="paragraph" w:styleId="Bibliografia">
    <w:name w:val="Bibliography"/>
    <w:basedOn w:val="Normalny"/>
    <w:next w:val="Normalny"/>
    <w:uiPriority w:val="98"/>
    <w:semiHidden/>
    <w:rsid w:val="0096441B"/>
  </w:style>
  <w:style w:type="paragraph" w:styleId="Tekstblokowy">
    <w:name w:val="Block Text"/>
    <w:basedOn w:val="Normalny"/>
    <w:uiPriority w:val="98"/>
    <w:semiHidden/>
    <w:rsid w:val="0096441B"/>
    <w:pPr>
      <w:pBdr>
        <w:top w:val="single" w:sz="2" w:space="10" w:color="0072BC" w:themeColor="accent1" w:shadow="1" w:frame="1"/>
        <w:left w:val="single" w:sz="2" w:space="10" w:color="0072BC" w:themeColor="accent1" w:shadow="1" w:frame="1"/>
        <w:bottom w:val="single" w:sz="2" w:space="10" w:color="0072BC" w:themeColor="accent1" w:shadow="1" w:frame="1"/>
        <w:right w:val="single" w:sz="2" w:space="10" w:color="0072BC" w:themeColor="accent1" w:shadow="1" w:frame="1"/>
      </w:pBdr>
      <w:ind w:left="1152" w:right="1152"/>
    </w:pPr>
    <w:rPr>
      <w:i/>
      <w:iCs/>
      <w:color w:val="0072BC" w:themeColor="accent1"/>
    </w:rPr>
  </w:style>
  <w:style w:type="table" w:customStyle="1" w:styleId="ECHRHeaderTable">
    <w:name w:val="ECHR_Header_Table"/>
    <w:basedOn w:val="Standardowy"/>
    <w:uiPriority w:val="99"/>
    <w:rsid w:val="0096441B"/>
    <w:rPr>
      <w:sz w:val="24"/>
      <w:szCs w:val="24"/>
    </w:rPr>
    <w:tblPr>
      <w:tblInd w:w="-1474" w:type="dxa"/>
      <w:tblBorders>
        <w:bottom w:val="single" w:sz="6" w:space="0" w:color="949494" w:themeColor="text2" w:themeShade="BF"/>
      </w:tblBorders>
      <w:tblCellMar>
        <w:left w:w="0" w:type="dxa"/>
        <w:bottom w:w="28" w:type="dxa"/>
        <w:right w:w="0" w:type="dxa"/>
      </w:tblCellMar>
    </w:tblPr>
    <w:tcPr>
      <w:vAlign w:val="bottom"/>
    </w:tcPr>
    <w:tblStylePr w:type="lastCol">
      <w:pPr>
        <w:wordWrap/>
        <w:jc w:val="both"/>
      </w:pPr>
    </w:tblStylePr>
  </w:style>
  <w:style w:type="paragraph" w:styleId="Tekstpodstawowy">
    <w:name w:val="Body Text"/>
    <w:basedOn w:val="Normalny"/>
    <w:link w:val="TekstpodstawowyZnak"/>
    <w:uiPriority w:val="98"/>
    <w:semiHidden/>
    <w:rsid w:val="0096441B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8"/>
    <w:semiHidden/>
    <w:rsid w:val="0096441B"/>
    <w:rPr>
      <w:sz w:val="24"/>
      <w:szCs w:val="24"/>
      <w:lang w:val="en-GB"/>
    </w:rPr>
  </w:style>
  <w:style w:type="table" w:customStyle="1" w:styleId="ECHRTableOddBanded">
    <w:name w:val="ECHR_Table_Odd_Banded"/>
    <w:basedOn w:val="Standardowy"/>
    <w:uiPriority w:val="99"/>
    <w:rsid w:val="0096441B"/>
    <w:tblPr>
      <w:tblStyleRowBandSize w:val="1"/>
      <w:tblStyleColBandSize w:val="1"/>
      <w:tblBorders>
        <w:top w:val="single" w:sz="4" w:space="0" w:color="949494" w:themeColor="text2" w:themeShade="BF"/>
        <w:left w:val="single" w:sz="4" w:space="0" w:color="949494" w:themeColor="text2" w:themeShade="BF"/>
        <w:bottom w:val="single" w:sz="4" w:space="0" w:color="949494" w:themeColor="text2" w:themeShade="BF"/>
        <w:right w:val="single" w:sz="4" w:space="0" w:color="949494" w:themeColor="text2" w:themeShade="BF"/>
        <w:insideH w:val="single" w:sz="4" w:space="0" w:color="949494" w:themeColor="text2" w:themeShade="BF"/>
        <w:insideV w:val="single" w:sz="4" w:space="0" w:color="949494" w:themeColor="text2" w:themeShade="BF"/>
      </w:tblBorders>
      <w:tblCellMar>
        <w:top w:w="28" w:type="dxa"/>
        <w:bottom w:w="28" w:type="dxa"/>
      </w:tblCellMar>
    </w:tblPr>
    <w:tblStylePr w:type="firstRow">
      <w:rPr>
        <w:rFonts w:asciiTheme="majorHAnsi" w:hAnsiTheme="majorHAnsi"/>
        <w:b/>
        <w:i w:val="0"/>
        <w:color w:val="474747" w:themeColor="accent3" w:themeShade="BF"/>
        <w:sz w:val="22"/>
      </w:rPr>
      <w:tblPr/>
      <w:tcPr>
        <w:tcBorders>
          <w:top w:val="single" w:sz="4" w:space="0" w:color="949494" w:themeColor="text2" w:themeShade="BF"/>
          <w:left w:val="single" w:sz="4" w:space="0" w:color="949494" w:themeColor="text2" w:themeShade="BF"/>
          <w:bottom w:val="single" w:sz="4" w:space="0" w:color="949494" w:themeColor="text2" w:themeShade="BF"/>
          <w:right w:val="single" w:sz="4" w:space="0" w:color="949494" w:themeColor="text2" w:themeShade="BF"/>
          <w:insideH w:val="nil"/>
          <w:insideV w:val="single" w:sz="4" w:space="0" w:color="949494" w:themeColor="text2" w:themeShade="BF"/>
          <w:tl2br w:val="nil"/>
          <w:tr2bl w:val="nil"/>
        </w:tcBorders>
        <w:shd w:val="clear" w:color="auto" w:fill="DFDFDF" w:themeFill="background2" w:themeFillShade="E6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band1Horz">
      <w:rPr>
        <w:b/>
      </w:rPr>
      <w:tblPr/>
      <w:tcPr>
        <w:shd w:val="clear" w:color="auto" w:fill="DFDFDF" w:themeFill="background2" w:themeFillShade="E6"/>
      </w:tcPr>
    </w:tblStylePr>
  </w:style>
  <w:style w:type="paragraph" w:styleId="Tekstpodstawowy2">
    <w:name w:val="Body Text 2"/>
    <w:basedOn w:val="Normalny"/>
    <w:link w:val="Tekstpodstawowy2Znak"/>
    <w:uiPriority w:val="98"/>
    <w:semiHidden/>
    <w:rsid w:val="0096441B"/>
    <w:pPr>
      <w:spacing w:after="120" w:line="480" w:lineRule="auto"/>
    </w:pPr>
  </w:style>
  <w:style w:type="table" w:customStyle="1" w:styleId="ECHRHeaderTableReduced">
    <w:name w:val="ECHR_Header_Table_Reduced"/>
    <w:basedOn w:val="Standardowy"/>
    <w:uiPriority w:val="99"/>
    <w:rsid w:val="0096441B"/>
    <w:rPr>
      <w:sz w:val="24"/>
      <w:szCs w:val="24"/>
    </w:rPr>
    <w:tblPr>
      <w:tblInd w:w="-1474" w:type="dxa"/>
      <w:tblCellMar>
        <w:left w:w="0" w:type="dxa"/>
        <w:right w:w="0" w:type="dxa"/>
      </w:tblCellMar>
    </w:tblPr>
    <w:tcPr>
      <w:vAlign w:val="bottom"/>
    </w:tcPr>
    <w:tblStylePr w:type="firstRow">
      <w:rPr>
        <w:sz w:val="18"/>
      </w:rPr>
      <w:tblPr/>
      <w:tcPr>
        <w:tcBorders>
          <w:top w:val="nil"/>
          <w:left w:val="nil"/>
          <w:bottom w:val="single" w:sz="6" w:space="0" w:color="949494" w:themeColor="text2" w:themeShade="BF"/>
          <w:right w:val="nil"/>
          <w:insideH w:val="nil"/>
          <w:insideV w:val="nil"/>
          <w:tl2br w:val="nil"/>
          <w:tr2bl w:val="nil"/>
        </w:tcBorders>
      </w:tcPr>
    </w:tblStylePr>
    <w:tblStylePr w:type="lastRow">
      <w:pPr>
        <w:jc w:val="right"/>
      </w:pPr>
      <w:tblPr/>
      <w:tcPr>
        <w:tcBorders>
          <w:top w:val="single" w:sz="6" w:space="0" w:color="949494" w:themeColor="text2" w:themeShade="BF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</w:style>
  <w:style w:type="paragraph" w:customStyle="1" w:styleId="JuCase">
    <w:name w:val="Ju_Case"/>
    <w:aliases w:val="_Case_Name"/>
    <w:basedOn w:val="NormalJustified"/>
    <w:next w:val="JuPara"/>
    <w:uiPriority w:val="32"/>
    <w:rsid w:val="0096441B"/>
    <w:pPr>
      <w:ind w:firstLine="284"/>
    </w:pPr>
    <w:rPr>
      <w:b/>
    </w:rPr>
  </w:style>
  <w:style w:type="character" w:styleId="Numerstrony">
    <w:name w:val="page number"/>
    <w:uiPriority w:val="98"/>
    <w:semiHidden/>
    <w:rsid w:val="0096441B"/>
    <w:rPr>
      <w:sz w:val="18"/>
    </w:rPr>
  </w:style>
  <w:style w:type="paragraph" w:styleId="Listapunktowana">
    <w:name w:val="List Bullet"/>
    <w:basedOn w:val="Normalny"/>
    <w:uiPriority w:val="98"/>
    <w:semiHidden/>
    <w:rsid w:val="0096441B"/>
    <w:pPr>
      <w:numPr>
        <w:numId w:val="6"/>
      </w:numPr>
    </w:pPr>
  </w:style>
  <w:style w:type="paragraph" w:styleId="Listapunktowana3">
    <w:name w:val="List Bullet 3"/>
    <w:basedOn w:val="Normalny"/>
    <w:uiPriority w:val="98"/>
    <w:semiHidden/>
    <w:rsid w:val="0096441B"/>
    <w:pPr>
      <w:numPr>
        <w:numId w:val="8"/>
      </w:numPr>
      <w:contextualSpacing/>
    </w:pPr>
  </w:style>
  <w:style w:type="character" w:customStyle="1" w:styleId="Tekstpodstawowy2Znak">
    <w:name w:val="Tekst podstawowy 2 Znak"/>
    <w:basedOn w:val="Domylnaczcionkaakapitu"/>
    <w:link w:val="Tekstpodstawowy2"/>
    <w:uiPriority w:val="98"/>
    <w:semiHidden/>
    <w:rsid w:val="0096441B"/>
    <w:rPr>
      <w:sz w:val="24"/>
      <w:szCs w:val="24"/>
      <w:lang w:val="en-GB"/>
    </w:rPr>
  </w:style>
  <w:style w:type="paragraph" w:styleId="Tekstpodstawowy3">
    <w:name w:val="Body Text 3"/>
    <w:basedOn w:val="Normalny"/>
    <w:link w:val="Tekstpodstawowy3Znak"/>
    <w:uiPriority w:val="98"/>
    <w:semiHidden/>
    <w:rsid w:val="0096441B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8"/>
    <w:semiHidden/>
    <w:rsid w:val="0096441B"/>
    <w:rPr>
      <w:sz w:val="16"/>
      <w:szCs w:val="16"/>
      <w:lang w:val="en-GB"/>
    </w:rPr>
  </w:style>
  <w:style w:type="paragraph" w:styleId="Tekstpodstawowyzwciciem">
    <w:name w:val="Body Text First Indent"/>
    <w:basedOn w:val="Tekstpodstawowy"/>
    <w:link w:val="TekstpodstawowyzwciciemZnak"/>
    <w:uiPriority w:val="98"/>
    <w:semiHidden/>
    <w:rsid w:val="0096441B"/>
    <w:pPr>
      <w:spacing w:after="0"/>
      <w:ind w:firstLine="360"/>
    </w:pPr>
  </w:style>
  <w:style w:type="character" w:customStyle="1" w:styleId="TekstpodstawowyzwciciemZnak">
    <w:name w:val="Tekst podstawowy z wcięciem Znak"/>
    <w:basedOn w:val="TekstpodstawowyZnak"/>
    <w:link w:val="Tekstpodstawowyzwciciem"/>
    <w:uiPriority w:val="98"/>
    <w:semiHidden/>
    <w:rsid w:val="0096441B"/>
    <w:rPr>
      <w:sz w:val="24"/>
      <w:szCs w:val="24"/>
      <w:lang w:val="en-GB"/>
    </w:rPr>
  </w:style>
  <w:style w:type="paragraph" w:styleId="Tekstpodstawowywcity">
    <w:name w:val="Body Text Indent"/>
    <w:basedOn w:val="Normalny"/>
    <w:link w:val="TekstpodstawowywcityZnak"/>
    <w:uiPriority w:val="98"/>
    <w:semiHidden/>
    <w:rsid w:val="0096441B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8"/>
    <w:semiHidden/>
    <w:rsid w:val="0096441B"/>
    <w:rPr>
      <w:sz w:val="24"/>
      <w:szCs w:val="24"/>
      <w:lang w:val="en-GB"/>
    </w:rPr>
  </w:style>
  <w:style w:type="paragraph" w:styleId="Tekstpodstawowyzwciciem2">
    <w:name w:val="Body Text First Indent 2"/>
    <w:basedOn w:val="Tekstpodstawowywcity"/>
    <w:link w:val="Tekstpodstawowyzwciciem2Znak"/>
    <w:uiPriority w:val="98"/>
    <w:semiHidden/>
    <w:rsid w:val="0096441B"/>
    <w:pPr>
      <w:spacing w:after="0"/>
      <w:ind w:left="360" w:firstLine="360"/>
    </w:pPr>
  </w:style>
  <w:style w:type="character" w:customStyle="1" w:styleId="Tekstpodstawowyzwciciem2Znak">
    <w:name w:val="Tekst podstawowy z wcięciem 2 Znak"/>
    <w:basedOn w:val="TekstpodstawowywcityZnak"/>
    <w:link w:val="Tekstpodstawowyzwciciem2"/>
    <w:uiPriority w:val="98"/>
    <w:semiHidden/>
    <w:rsid w:val="0096441B"/>
    <w:rPr>
      <w:sz w:val="24"/>
      <w:szCs w:val="24"/>
      <w:lang w:val="en-GB"/>
    </w:rPr>
  </w:style>
  <w:style w:type="paragraph" w:styleId="Tekstpodstawowywcity2">
    <w:name w:val="Body Text Indent 2"/>
    <w:basedOn w:val="Normalny"/>
    <w:link w:val="Tekstpodstawowywcity2Znak"/>
    <w:uiPriority w:val="98"/>
    <w:semiHidden/>
    <w:rsid w:val="0096441B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8"/>
    <w:semiHidden/>
    <w:rsid w:val="0096441B"/>
    <w:rPr>
      <w:sz w:val="24"/>
      <w:szCs w:val="24"/>
      <w:lang w:val="en-GB"/>
    </w:rPr>
  </w:style>
  <w:style w:type="paragraph" w:styleId="Tekstpodstawowywcity3">
    <w:name w:val="Body Text Indent 3"/>
    <w:basedOn w:val="Normalny"/>
    <w:link w:val="Tekstpodstawowywcity3Znak"/>
    <w:uiPriority w:val="98"/>
    <w:semiHidden/>
    <w:rsid w:val="0096441B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uiPriority w:val="98"/>
    <w:semiHidden/>
    <w:rsid w:val="0096441B"/>
    <w:rPr>
      <w:sz w:val="16"/>
      <w:szCs w:val="16"/>
      <w:lang w:val="en-GB"/>
    </w:rPr>
  </w:style>
  <w:style w:type="paragraph" w:styleId="Legenda">
    <w:name w:val="caption"/>
    <w:basedOn w:val="Normalny"/>
    <w:next w:val="Normalny"/>
    <w:uiPriority w:val="98"/>
    <w:semiHidden/>
    <w:qFormat/>
    <w:rsid w:val="0096441B"/>
    <w:pPr>
      <w:spacing w:after="200"/>
    </w:pPr>
    <w:rPr>
      <w:b/>
      <w:bCs/>
      <w:color w:val="0072BC" w:themeColor="accent1"/>
      <w:sz w:val="18"/>
      <w:szCs w:val="18"/>
    </w:rPr>
  </w:style>
  <w:style w:type="paragraph" w:styleId="Zwrotpoegnalny">
    <w:name w:val="Closing"/>
    <w:basedOn w:val="Normalny"/>
    <w:link w:val="ZwrotpoegnalnyZnak"/>
    <w:uiPriority w:val="98"/>
    <w:semiHidden/>
    <w:rsid w:val="0096441B"/>
    <w:pPr>
      <w:ind w:left="4252"/>
    </w:pPr>
  </w:style>
  <w:style w:type="character" w:customStyle="1" w:styleId="ZwrotpoegnalnyZnak">
    <w:name w:val="Zwrot pożegnalny Znak"/>
    <w:basedOn w:val="Domylnaczcionkaakapitu"/>
    <w:link w:val="Zwrotpoegnalny"/>
    <w:uiPriority w:val="98"/>
    <w:semiHidden/>
    <w:rsid w:val="0096441B"/>
    <w:rPr>
      <w:sz w:val="24"/>
      <w:szCs w:val="24"/>
      <w:lang w:val="en-GB"/>
    </w:rPr>
  </w:style>
  <w:style w:type="table" w:styleId="Kolorowasiatka">
    <w:name w:val="Colorful Grid"/>
    <w:basedOn w:val="Standardowy"/>
    <w:uiPriority w:val="73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0072BC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</w:rPr>
      <w:tblPr/>
      <w:tcPr>
        <w:shd w:val="clear" w:color="auto" w:fill="7ECBFF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7ECBFF" w:themeFill="accent1" w:themeFillTint="66"/>
      </w:tcPr>
    </w:tblStylePr>
    <w:tblStylePr w:type="fir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lastCol">
      <w:rPr>
        <w:color w:val="0072BC" w:themeColor="background1"/>
      </w:rPr>
      <w:tblPr/>
      <w:tcPr>
        <w:shd w:val="clear" w:color="auto" w:fill="00548C" w:themeFill="accent1" w:themeFillShade="BF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Kolorowasiatkaakcent2">
    <w:name w:val="Colorful Grid Accent 2"/>
    <w:basedOn w:val="Standardowy"/>
    <w:uiPriority w:val="73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</w:rPr>
      <w:tblPr/>
      <w:tcPr>
        <w:shd w:val="clear" w:color="auto" w:fill="FF7F7F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F7F7F" w:themeFill="accent2" w:themeFillTint="66"/>
      </w:tcPr>
    </w:tblStylePr>
    <w:tblStylePr w:type="fir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lastCol">
      <w:rPr>
        <w:color w:val="0072BC" w:themeColor="background1"/>
      </w:rPr>
      <w:tblPr/>
      <w:tcPr>
        <w:shd w:val="clear" w:color="auto" w:fill="8F0000" w:themeFill="accent2" w:themeFillShade="BF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Kolorowasiatkaakcent3">
    <w:name w:val="Colorful Grid Accent 3"/>
    <w:basedOn w:val="Standardowy"/>
    <w:uiPriority w:val="73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</w:rPr>
      <w:tblPr/>
      <w:tcPr>
        <w:shd w:val="clear" w:color="auto" w:fill="BFBFBF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3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3" w:themeFillShade="BF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asiatkaakcent4">
    <w:name w:val="Colorful Grid Accent 4"/>
    <w:basedOn w:val="Standardowy"/>
    <w:uiPriority w:val="73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</w:rPr>
      <w:tblPr/>
      <w:tcPr>
        <w:shd w:val="clear" w:color="auto" w:fill="D5D5D5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5D5D5" w:themeFill="accent4" w:themeFillTint="66"/>
      </w:tcPr>
    </w:tblStylePr>
    <w:tblStylePr w:type="fir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lastCol">
      <w:rPr>
        <w:color w:val="0072BC" w:themeColor="background1"/>
      </w:rPr>
      <w:tblPr/>
      <w:tcPr>
        <w:shd w:val="clear" w:color="auto" w:fill="707070" w:themeFill="accent4" w:themeFillShade="BF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Kolorowasiatkaakcent5">
    <w:name w:val="Colorful Grid Accent 5"/>
    <w:basedOn w:val="Standardowy"/>
    <w:uiPriority w:val="73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</w:rPr>
      <w:tblPr/>
      <w:tcPr>
        <w:shd w:val="clear" w:color="auto" w:fill="BFBFBF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FBFBF" w:themeFill="accent5" w:themeFillTint="66"/>
      </w:tcPr>
    </w:tblStylePr>
    <w:tblStylePr w:type="fir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lastCol">
      <w:rPr>
        <w:color w:val="0072BC" w:themeColor="background1"/>
      </w:rPr>
      <w:tblPr/>
      <w:tcPr>
        <w:shd w:val="clear" w:color="auto" w:fill="474747" w:themeFill="accent5" w:themeFillShade="BF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Kolorowasiatkaakcent6">
    <w:name w:val="Colorful Grid Accent 6"/>
    <w:basedOn w:val="Standardowy"/>
    <w:uiPriority w:val="73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insideH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</w:rPr>
      <w:tblPr/>
      <w:tcPr>
        <w:shd w:val="clear" w:color="auto" w:fill="B7B7B7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7B7B7" w:themeFill="accent6" w:themeFillTint="66"/>
      </w:tcPr>
    </w:tblStylePr>
    <w:tblStylePr w:type="fir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lastCol">
      <w:rPr>
        <w:color w:val="0072BC" w:themeColor="background1"/>
      </w:rPr>
      <w:tblPr/>
      <w:tcPr>
        <w:shd w:val="clear" w:color="auto" w:fill="393939" w:themeFill="accent6" w:themeFillShade="BF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Kolorowalista">
    <w:name w:val="Colorful List"/>
    <w:basedOn w:val="Standardowy"/>
    <w:uiPriority w:val="72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DFF2FF" w:themeFill="accent1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Kolorowalistaakcent2">
    <w:name w:val="Colorful List Accent 2"/>
    <w:basedOn w:val="Standardowy"/>
    <w:uiPriority w:val="72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FDFDF" w:themeFill="accent2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990000" w:themeFill="accent2" w:themeFillShade="CC"/>
      </w:tcPr>
    </w:tblStylePr>
    <w:tblStylePr w:type="lastRow">
      <w:rPr>
        <w:b/>
        <w:bCs/>
        <w:color w:val="990000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Kolorowalistaakcent3">
    <w:name w:val="Colorful List Accent 3"/>
    <w:basedOn w:val="Standardowy"/>
    <w:uiPriority w:val="72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3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787878" w:themeFill="accent4" w:themeFillShade="CC"/>
      </w:tcPr>
    </w:tblStylePr>
    <w:tblStylePr w:type="lastRow">
      <w:rPr>
        <w:b/>
        <w:bCs/>
        <w:color w:val="787878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Kolorowalistaakcent4">
    <w:name w:val="Colorful List Accent 4"/>
    <w:basedOn w:val="Standardowy"/>
    <w:uiPriority w:val="72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4F4F4" w:themeFill="accent4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3" w:themeFillShade="CC"/>
      </w:tcPr>
    </w:tblStylePr>
    <w:tblStylePr w:type="lastRow">
      <w:rPr>
        <w:b/>
        <w:bCs/>
        <w:color w:val="4C4C4C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Kolorowalistaakcent5">
    <w:name w:val="Colorful List Accent 5"/>
    <w:basedOn w:val="Standardowy"/>
    <w:uiPriority w:val="72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FEFEF" w:themeFill="accent5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3D3D3D" w:themeFill="accent6" w:themeFillShade="CC"/>
      </w:tcPr>
    </w:tblStylePr>
    <w:tblStylePr w:type="lastRow">
      <w:rPr>
        <w:b/>
        <w:bCs/>
        <w:color w:val="3D3D3D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Kolorowalistaakcent6">
    <w:name w:val="Colorful List Accent 6"/>
    <w:basedOn w:val="Standardowy"/>
    <w:uiPriority w:val="72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EDED" w:themeFill="accent6" w:themeFillTint="19"/>
    </w:tcPr>
    <w:tblStylePr w:type="firstRow">
      <w:rPr>
        <w:b/>
        <w:bCs/>
        <w:color w:val="0072BC" w:themeColor="background1"/>
      </w:rPr>
      <w:tblPr/>
      <w:tcPr>
        <w:tcBorders>
          <w:bottom w:val="single" w:sz="12" w:space="0" w:color="0072BC" w:themeColor="background1"/>
        </w:tcBorders>
        <w:shd w:val="clear" w:color="auto" w:fill="4C4C4C" w:themeFill="accent5" w:themeFillShade="CC"/>
      </w:tcPr>
    </w:tblStylePr>
    <w:tblStylePr w:type="lastRow">
      <w:rPr>
        <w:b/>
        <w:bCs/>
        <w:color w:val="4C4C4C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Kolorowecieniowanie">
    <w:name w:val="Colorful Shading"/>
    <w:basedOn w:val="Standardowy"/>
    <w:uiPriority w:val="71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0000" w:themeFill="tex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F2FF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004470" w:themeFill="accent1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4470" w:themeColor="accent1" w:themeShade="99"/>
          <w:insideV w:val="nil"/>
        </w:tcBorders>
        <w:shd w:val="clear" w:color="auto" w:fill="004470" w:themeFill="accent1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4470" w:themeFill="accent1" w:themeFillShade="99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5EBFFF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DFDF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730000" w:themeFill="accent2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30000" w:themeColor="accent2" w:themeShade="99"/>
          <w:insideV w:val="nil"/>
        </w:tcBorders>
        <w:shd w:val="clear" w:color="auto" w:fill="730000" w:themeFill="accent2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30000" w:themeFill="accent2" w:themeFillShade="99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6060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969696" w:themeColor="accent4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3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3" w:themeShade="99"/>
          <w:insideV w:val="nil"/>
        </w:tcBorders>
        <w:shd w:val="clear" w:color="auto" w:fill="393939" w:themeFill="accent3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3" w:themeFillShade="99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3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4F4F4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5A5A5A" w:themeFill="accent4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A5A5A" w:themeColor="accent4" w:themeShade="99"/>
          <w:insideV w:val="nil"/>
        </w:tcBorders>
        <w:shd w:val="clear" w:color="auto" w:fill="5A5A5A" w:themeFill="accent4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A5A5A" w:themeFill="accent4" w:themeFillShade="99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CACACA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4D4D4D" w:themeColor="accent6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FEFEF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393939" w:themeFill="accent5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393939" w:themeColor="accent5" w:themeShade="99"/>
          <w:insideV w:val="nil"/>
        </w:tcBorders>
        <w:shd w:val="clear" w:color="auto" w:fill="393939" w:themeFill="accent5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5" w:themeFillShade="99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AFAFAF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24" w:space="0" w:color="5F5F5F" w:themeColor="accent5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DEDED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  <w:color w:val="0072BC" w:themeColor="background1"/>
      </w:rPr>
      <w:tblPr/>
      <w:tcPr>
        <w:tcBorders>
          <w:top w:val="single" w:sz="6" w:space="0" w:color="0072BC" w:themeColor="background1"/>
        </w:tcBorders>
        <w:shd w:val="clear" w:color="auto" w:fill="2E2E2E" w:themeFill="accent6" w:themeFillShade="99"/>
      </w:tcPr>
    </w:tblStylePr>
    <w:tblStylePr w:type="fir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E2E2E" w:themeColor="accent6" w:themeShade="99"/>
          <w:insideV w:val="nil"/>
        </w:tcBorders>
        <w:shd w:val="clear" w:color="auto" w:fill="2E2E2E" w:themeFill="accent6" w:themeFillShade="99"/>
      </w:tcPr>
    </w:tblStylePr>
    <w:tblStylePr w:type="lastCol">
      <w:rPr>
        <w:color w:val="0072BC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E2E2E" w:themeFill="accent6" w:themeFillShade="99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A6A6A6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Odwoaniedokomentarza">
    <w:name w:val="annotation reference"/>
    <w:basedOn w:val="Domylnaczcionkaakapitu"/>
    <w:uiPriority w:val="98"/>
    <w:semiHidden/>
    <w:rsid w:val="0096441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8"/>
    <w:semiHidden/>
    <w:rsid w:val="0096441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8"/>
    <w:semiHidden/>
    <w:rsid w:val="0096441B"/>
    <w:rPr>
      <w:sz w:val="20"/>
      <w:szCs w:val="20"/>
      <w:lang w:val="en-GB"/>
    </w:rPr>
  </w:style>
  <w:style w:type="paragraph" w:styleId="Tematkomentarza">
    <w:name w:val="annotation subject"/>
    <w:basedOn w:val="Tekstkomentarza"/>
    <w:next w:val="Tekstkomentarza"/>
    <w:link w:val="TematkomentarzaZnak"/>
    <w:uiPriority w:val="98"/>
    <w:semiHidden/>
    <w:rsid w:val="0096441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8"/>
    <w:semiHidden/>
    <w:rsid w:val="0096441B"/>
    <w:rPr>
      <w:b/>
      <w:bCs/>
      <w:sz w:val="20"/>
      <w:szCs w:val="20"/>
      <w:lang w:val="en-GB"/>
    </w:rPr>
  </w:style>
  <w:style w:type="table" w:styleId="Ciemnalista">
    <w:name w:val="Dark List"/>
    <w:basedOn w:val="Standardowy"/>
    <w:uiPriority w:val="70"/>
    <w:semiHidden/>
    <w:rsid w:val="0096441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semiHidden/>
    <w:rsid w:val="0096441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00385D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00548C" w:themeFill="accent1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548C" w:themeFill="accent1" w:themeFillShade="BF"/>
      </w:tcPr>
    </w:tblStylePr>
  </w:style>
  <w:style w:type="table" w:styleId="Ciemnalistaakcent2">
    <w:name w:val="Dark List Accent 2"/>
    <w:basedOn w:val="Standardowy"/>
    <w:uiPriority w:val="70"/>
    <w:semiHidden/>
    <w:rsid w:val="0096441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5F0000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8F0000" w:themeFill="accent2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8F0000" w:themeFill="accent2" w:themeFillShade="BF"/>
      </w:tcPr>
    </w:tblStylePr>
  </w:style>
  <w:style w:type="table" w:styleId="Ciemnalistaakcent3">
    <w:name w:val="Dark List Accent 3"/>
    <w:basedOn w:val="Standardowy"/>
    <w:uiPriority w:val="70"/>
    <w:semiHidden/>
    <w:rsid w:val="0096441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3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3" w:themeFillShade="BF"/>
      </w:tcPr>
    </w:tblStylePr>
  </w:style>
  <w:style w:type="table" w:styleId="Ciemnalistaakcent4">
    <w:name w:val="Dark List Accent 4"/>
    <w:basedOn w:val="Standardowy"/>
    <w:uiPriority w:val="70"/>
    <w:semiHidden/>
    <w:rsid w:val="0096441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4A4A4A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707070" w:themeFill="accent4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07070" w:themeFill="accent4" w:themeFillShade="BF"/>
      </w:tcPr>
    </w:tblStylePr>
  </w:style>
  <w:style w:type="table" w:styleId="Ciemnalistaakcent5">
    <w:name w:val="Dark List Accent 5"/>
    <w:basedOn w:val="Standardowy"/>
    <w:uiPriority w:val="70"/>
    <w:semiHidden/>
    <w:rsid w:val="0096441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F2F2F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474747" w:themeFill="accent5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74747" w:themeFill="accent5" w:themeFillShade="BF"/>
      </w:tcPr>
    </w:tblStylePr>
  </w:style>
  <w:style w:type="table" w:styleId="Ciemnalistaakcent6">
    <w:name w:val="Dark List Accent 6"/>
    <w:basedOn w:val="Standardowy"/>
    <w:uiPriority w:val="70"/>
    <w:semiHidden/>
    <w:rsid w:val="0096441B"/>
    <w:rPr>
      <w:color w:val="0072BC" w:themeColor="background1"/>
      <w:sz w:val="24"/>
      <w:szCs w:val="24"/>
    </w:rPr>
    <w:tblPr>
      <w:tblStyleRowBandSize w:val="1"/>
      <w:tblStyleColBandSize w:val="1"/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0072BC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0072BC" w:themeColor="background1"/>
          <w:left w:val="nil"/>
          <w:bottom w:val="nil"/>
          <w:right w:val="nil"/>
          <w:insideH w:val="nil"/>
          <w:insideV w:val="nil"/>
        </w:tcBorders>
        <w:shd w:val="clear" w:color="auto" w:fill="26262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0072BC" w:themeColor="background1"/>
          <w:insideH w:val="nil"/>
          <w:insideV w:val="nil"/>
        </w:tcBorders>
        <w:shd w:val="clear" w:color="auto" w:fill="393939" w:themeFill="accent6" w:themeFillShade="BF"/>
      </w:tcPr>
    </w:tblStylePr>
    <w:tblStylePr w:type="lastCol">
      <w:tblPr/>
      <w:tcPr>
        <w:tcBorders>
          <w:top w:val="nil"/>
          <w:left w:val="single" w:sz="18" w:space="0" w:color="0072BC" w:themeColor="background1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93939" w:themeFill="accent6" w:themeFillShade="BF"/>
      </w:tcPr>
    </w:tblStylePr>
  </w:style>
  <w:style w:type="paragraph" w:styleId="Data">
    <w:name w:val="Date"/>
    <w:basedOn w:val="Normalny"/>
    <w:next w:val="Normalny"/>
    <w:link w:val="DataZnak"/>
    <w:uiPriority w:val="98"/>
    <w:semiHidden/>
    <w:rsid w:val="0096441B"/>
  </w:style>
  <w:style w:type="character" w:customStyle="1" w:styleId="DataZnak">
    <w:name w:val="Data Znak"/>
    <w:basedOn w:val="Domylnaczcionkaakapitu"/>
    <w:link w:val="Data"/>
    <w:uiPriority w:val="98"/>
    <w:semiHidden/>
    <w:rsid w:val="0096441B"/>
    <w:rPr>
      <w:sz w:val="24"/>
      <w:szCs w:val="24"/>
      <w:lang w:val="en-GB"/>
    </w:rPr>
  </w:style>
  <w:style w:type="paragraph" w:styleId="Mapadokumentu">
    <w:name w:val="Document Map"/>
    <w:basedOn w:val="Normalny"/>
    <w:link w:val="MapadokumentuZnak"/>
    <w:uiPriority w:val="98"/>
    <w:semiHidden/>
    <w:rsid w:val="0096441B"/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8"/>
    <w:semiHidden/>
    <w:rsid w:val="0096441B"/>
    <w:rPr>
      <w:rFonts w:ascii="Tahoma" w:hAnsi="Tahoma" w:cs="Tahoma"/>
      <w:sz w:val="16"/>
      <w:szCs w:val="16"/>
      <w:lang w:val="en-GB"/>
    </w:rPr>
  </w:style>
  <w:style w:type="paragraph" w:styleId="Podpise-mail">
    <w:name w:val="E-mail Signature"/>
    <w:basedOn w:val="Normalny"/>
    <w:link w:val="Podpise-mailZnak"/>
    <w:uiPriority w:val="98"/>
    <w:semiHidden/>
    <w:rsid w:val="0096441B"/>
  </w:style>
  <w:style w:type="character" w:customStyle="1" w:styleId="Podpise-mailZnak">
    <w:name w:val="Podpis e-mail Znak"/>
    <w:basedOn w:val="Domylnaczcionkaakapitu"/>
    <w:link w:val="Podpise-mail"/>
    <w:uiPriority w:val="98"/>
    <w:semiHidden/>
    <w:rsid w:val="0096441B"/>
    <w:rPr>
      <w:sz w:val="24"/>
      <w:szCs w:val="24"/>
      <w:lang w:val="en-GB"/>
    </w:rPr>
  </w:style>
  <w:style w:type="character" w:styleId="Odwoanieprzypisukocowego">
    <w:name w:val="endnote reference"/>
    <w:basedOn w:val="Domylnaczcionkaakapitu"/>
    <w:uiPriority w:val="98"/>
    <w:semiHidden/>
    <w:rsid w:val="0096441B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8"/>
    <w:semiHidden/>
    <w:rsid w:val="0096441B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8"/>
    <w:semiHidden/>
    <w:rsid w:val="0096441B"/>
    <w:rPr>
      <w:sz w:val="20"/>
      <w:szCs w:val="20"/>
      <w:lang w:val="en-GB"/>
    </w:rPr>
  </w:style>
  <w:style w:type="paragraph" w:styleId="Adresnakopercie">
    <w:name w:val="envelope address"/>
    <w:basedOn w:val="Normalny"/>
    <w:uiPriority w:val="98"/>
    <w:semiHidden/>
    <w:rsid w:val="0096441B"/>
    <w:pPr>
      <w:framePr w:w="7938" w:h="1985" w:hRule="exact" w:hSpace="141" w:wrap="auto" w:hAnchor="page" w:xAlign="center" w:yAlign="bottom"/>
      <w:ind w:left="2835"/>
    </w:pPr>
    <w:rPr>
      <w:rFonts w:asciiTheme="majorHAnsi" w:eastAsiaTheme="majorEastAsia" w:hAnsiTheme="majorHAnsi" w:cstheme="majorBidi"/>
    </w:rPr>
  </w:style>
  <w:style w:type="paragraph" w:styleId="Adreszwrotnynakopercie">
    <w:name w:val="envelope return"/>
    <w:basedOn w:val="Normalny"/>
    <w:uiPriority w:val="98"/>
    <w:semiHidden/>
    <w:rsid w:val="0096441B"/>
    <w:rPr>
      <w:rFonts w:asciiTheme="majorHAnsi" w:eastAsiaTheme="majorEastAsia" w:hAnsiTheme="majorHAnsi" w:cstheme="majorBidi"/>
      <w:sz w:val="20"/>
      <w:szCs w:val="20"/>
    </w:rPr>
  </w:style>
  <w:style w:type="character" w:styleId="UyteHipercze">
    <w:name w:val="FollowedHyperlink"/>
    <w:basedOn w:val="Domylnaczcionkaakapitu"/>
    <w:uiPriority w:val="98"/>
    <w:semiHidden/>
    <w:rsid w:val="0096441B"/>
    <w:rPr>
      <w:color w:val="7030A0" w:themeColor="followedHyperlink"/>
      <w:u w:val="single"/>
    </w:rPr>
  </w:style>
  <w:style w:type="character" w:styleId="HTML-akronim">
    <w:name w:val="HTML Acronym"/>
    <w:basedOn w:val="Domylnaczcionkaakapitu"/>
    <w:uiPriority w:val="98"/>
    <w:semiHidden/>
    <w:rsid w:val="0096441B"/>
  </w:style>
  <w:style w:type="paragraph" w:styleId="HTML-adres">
    <w:name w:val="HTML Address"/>
    <w:basedOn w:val="Normalny"/>
    <w:link w:val="HTML-adresZnak"/>
    <w:uiPriority w:val="98"/>
    <w:semiHidden/>
    <w:rsid w:val="0096441B"/>
    <w:rPr>
      <w:i/>
      <w:iCs/>
    </w:rPr>
  </w:style>
  <w:style w:type="character" w:customStyle="1" w:styleId="HTML-adresZnak">
    <w:name w:val="HTML - adres Znak"/>
    <w:basedOn w:val="Domylnaczcionkaakapitu"/>
    <w:link w:val="HTML-adres"/>
    <w:uiPriority w:val="98"/>
    <w:semiHidden/>
    <w:rsid w:val="0096441B"/>
    <w:rPr>
      <w:i/>
      <w:iCs/>
      <w:sz w:val="24"/>
      <w:szCs w:val="24"/>
      <w:lang w:val="en-GB"/>
    </w:rPr>
  </w:style>
  <w:style w:type="character" w:styleId="HTML-cytat">
    <w:name w:val="HTML Cite"/>
    <w:basedOn w:val="Domylnaczcionkaakapitu"/>
    <w:uiPriority w:val="98"/>
    <w:semiHidden/>
    <w:rsid w:val="0096441B"/>
    <w:rPr>
      <w:i/>
      <w:iCs/>
    </w:rPr>
  </w:style>
  <w:style w:type="character" w:styleId="HTML-kod">
    <w:name w:val="HTML Code"/>
    <w:basedOn w:val="Domylnaczcionkaakapitu"/>
    <w:uiPriority w:val="98"/>
    <w:semiHidden/>
    <w:rsid w:val="0096441B"/>
    <w:rPr>
      <w:rFonts w:ascii="Consolas" w:hAnsi="Consolas" w:cs="Consolas"/>
      <w:sz w:val="20"/>
      <w:szCs w:val="20"/>
    </w:rPr>
  </w:style>
  <w:style w:type="character" w:styleId="HTML-definicja">
    <w:name w:val="HTML Definition"/>
    <w:basedOn w:val="Domylnaczcionkaakapitu"/>
    <w:uiPriority w:val="98"/>
    <w:semiHidden/>
    <w:rsid w:val="0096441B"/>
    <w:rPr>
      <w:i/>
      <w:iCs/>
    </w:rPr>
  </w:style>
  <w:style w:type="character" w:styleId="HTML-klawiatura">
    <w:name w:val="HTML Keyboard"/>
    <w:basedOn w:val="Domylnaczcionkaakapitu"/>
    <w:uiPriority w:val="98"/>
    <w:semiHidden/>
    <w:rsid w:val="0096441B"/>
    <w:rPr>
      <w:rFonts w:ascii="Consolas" w:hAnsi="Consolas" w:cs="Consolas"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8"/>
    <w:semiHidden/>
    <w:rsid w:val="0096441B"/>
    <w:rPr>
      <w:rFonts w:ascii="Consolas" w:hAnsi="Consolas" w:cs="Consolas"/>
      <w:sz w:val="20"/>
      <w:szCs w:val="20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8"/>
    <w:semiHidden/>
    <w:rsid w:val="0096441B"/>
    <w:rPr>
      <w:rFonts w:ascii="Consolas" w:hAnsi="Consolas" w:cs="Consolas"/>
      <w:sz w:val="20"/>
      <w:szCs w:val="20"/>
      <w:lang w:val="en-GB"/>
    </w:rPr>
  </w:style>
  <w:style w:type="character" w:styleId="HTML-przykad">
    <w:name w:val="HTML Sample"/>
    <w:basedOn w:val="Domylnaczcionkaakapitu"/>
    <w:uiPriority w:val="98"/>
    <w:semiHidden/>
    <w:rsid w:val="0096441B"/>
    <w:rPr>
      <w:rFonts w:ascii="Consolas" w:hAnsi="Consolas" w:cs="Consolas"/>
      <w:sz w:val="24"/>
      <w:szCs w:val="24"/>
    </w:rPr>
  </w:style>
  <w:style w:type="character" w:styleId="HTML-staaszeroko">
    <w:name w:val="HTML Typewriter"/>
    <w:basedOn w:val="Domylnaczcionkaakapitu"/>
    <w:uiPriority w:val="98"/>
    <w:semiHidden/>
    <w:rsid w:val="0096441B"/>
    <w:rPr>
      <w:rFonts w:ascii="Consolas" w:hAnsi="Consolas" w:cs="Consolas"/>
      <w:sz w:val="20"/>
      <w:szCs w:val="20"/>
    </w:rPr>
  </w:style>
  <w:style w:type="character" w:styleId="HTML-zmienna">
    <w:name w:val="HTML Variable"/>
    <w:basedOn w:val="Domylnaczcionkaakapitu"/>
    <w:uiPriority w:val="98"/>
    <w:semiHidden/>
    <w:rsid w:val="0096441B"/>
    <w:rPr>
      <w:i/>
      <w:iCs/>
    </w:rPr>
  </w:style>
  <w:style w:type="paragraph" w:styleId="Indeks1">
    <w:name w:val="index 1"/>
    <w:basedOn w:val="Normalny"/>
    <w:next w:val="Normalny"/>
    <w:autoRedefine/>
    <w:uiPriority w:val="98"/>
    <w:semiHidden/>
    <w:rsid w:val="0096441B"/>
    <w:pPr>
      <w:ind w:left="240" w:hanging="240"/>
    </w:pPr>
  </w:style>
  <w:style w:type="paragraph" w:styleId="Indeks2">
    <w:name w:val="index 2"/>
    <w:basedOn w:val="Normalny"/>
    <w:next w:val="Normalny"/>
    <w:autoRedefine/>
    <w:uiPriority w:val="98"/>
    <w:semiHidden/>
    <w:rsid w:val="0096441B"/>
    <w:pPr>
      <w:ind w:left="480" w:hanging="240"/>
    </w:pPr>
  </w:style>
  <w:style w:type="paragraph" w:styleId="Indeks3">
    <w:name w:val="index 3"/>
    <w:basedOn w:val="Normalny"/>
    <w:next w:val="Normalny"/>
    <w:autoRedefine/>
    <w:uiPriority w:val="98"/>
    <w:semiHidden/>
    <w:rsid w:val="0096441B"/>
    <w:pPr>
      <w:ind w:left="720" w:hanging="240"/>
    </w:pPr>
  </w:style>
  <w:style w:type="paragraph" w:styleId="Indeks4">
    <w:name w:val="index 4"/>
    <w:basedOn w:val="Normalny"/>
    <w:next w:val="Normalny"/>
    <w:autoRedefine/>
    <w:uiPriority w:val="98"/>
    <w:semiHidden/>
    <w:rsid w:val="0096441B"/>
    <w:pPr>
      <w:ind w:left="960" w:hanging="240"/>
    </w:pPr>
  </w:style>
  <w:style w:type="paragraph" w:styleId="Indeks5">
    <w:name w:val="index 5"/>
    <w:basedOn w:val="Normalny"/>
    <w:next w:val="Normalny"/>
    <w:autoRedefine/>
    <w:uiPriority w:val="98"/>
    <w:semiHidden/>
    <w:rsid w:val="0096441B"/>
    <w:pPr>
      <w:ind w:left="1200" w:hanging="240"/>
    </w:pPr>
  </w:style>
  <w:style w:type="paragraph" w:styleId="Indeks6">
    <w:name w:val="index 6"/>
    <w:basedOn w:val="Normalny"/>
    <w:next w:val="Normalny"/>
    <w:autoRedefine/>
    <w:uiPriority w:val="98"/>
    <w:semiHidden/>
    <w:rsid w:val="0096441B"/>
    <w:pPr>
      <w:ind w:left="1440" w:hanging="240"/>
    </w:pPr>
  </w:style>
  <w:style w:type="paragraph" w:styleId="Indeks7">
    <w:name w:val="index 7"/>
    <w:basedOn w:val="Normalny"/>
    <w:next w:val="Normalny"/>
    <w:autoRedefine/>
    <w:uiPriority w:val="98"/>
    <w:semiHidden/>
    <w:rsid w:val="0096441B"/>
    <w:pPr>
      <w:ind w:left="1680" w:hanging="240"/>
    </w:pPr>
  </w:style>
  <w:style w:type="paragraph" w:styleId="Indeks8">
    <w:name w:val="index 8"/>
    <w:basedOn w:val="Normalny"/>
    <w:next w:val="Normalny"/>
    <w:autoRedefine/>
    <w:uiPriority w:val="98"/>
    <w:semiHidden/>
    <w:rsid w:val="0096441B"/>
    <w:pPr>
      <w:ind w:left="1920" w:hanging="240"/>
    </w:pPr>
  </w:style>
  <w:style w:type="paragraph" w:styleId="Indeks9">
    <w:name w:val="index 9"/>
    <w:basedOn w:val="Normalny"/>
    <w:next w:val="Normalny"/>
    <w:autoRedefine/>
    <w:uiPriority w:val="98"/>
    <w:semiHidden/>
    <w:rsid w:val="0096441B"/>
    <w:pPr>
      <w:ind w:left="2160" w:hanging="240"/>
    </w:pPr>
  </w:style>
  <w:style w:type="paragraph" w:styleId="Nagwekindeksu">
    <w:name w:val="index heading"/>
    <w:basedOn w:val="Normalny"/>
    <w:next w:val="Indeks1"/>
    <w:uiPriority w:val="98"/>
    <w:semiHidden/>
    <w:rsid w:val="0096441B"/>
    <w:rPr>
      <w:rFonts w:asciiTheme="majorHAnsi" w:eastAsiaTheme="majorEastAsia" w:hAnsiTheme="majorHAnsi" w:cstheme="majorBidi"/>
      <w:b/>
      <w:bCs/>
    </w:rPr>
  </w:style>
  <w:style w:type="table" w:styleId="Jasnasiatka">
    <w:name w:val="Light Grid"/>
    <w:basedOn w:val="Standardowy"/>
    <w:uiPriority w:val="62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1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H w:val="nil"/>
          <w:insideV w:val="single" w:sz="8" w:space="0" w:color="0072BC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  <w:shd w:val="clear" w:color="auto" w:fill="AFDFFF" w:themeFill="accent1" w:themeFillTint="3F"/>
      </w:tcPr>
    </w:tblStylePr>
    <w:tblStylePr w:type="band2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  <w:insideV w:val="single" w:sz="8" w:space="0" w:color="0072BC" w:themeColor="accent1"/>
        </w:tcBorders>
      </w:tcPr>
    </w:tblStylePr>
  </w:style>
  <w:style w:type="table" w:styleId="Jasnasiatkaakcent2">
    <w:name w:val="Light Grid Accent 2"/>
    <w:basedOn w:val="Standardowy"/>
    <w:uiPriority w:val="62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1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H w:val="nil"/>
          <w:insideV w:val="single" w:sz="8" w:space="0" w:color="C00000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  <w:shd w:val="clear" w:color="auto" w:fill="FFB0B0" w:themeFill="accent2" w:themeFillTint="3F"/>
      </w:tcPr>
    </w:tblStylePr>
    <w:tblStylePr w:type="band2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  <w:insideV w:val="single" w:sz="8" w:space="0" w:color="C00000" w:themeColor="accent2"/>
        </w:tcBorders>
      </w:tcPr>
    </w:tblStylePr>
  </w:style>
  <w:style w:type="table" w:styleId="Jasnasiatkaakcent3">
    <w:name w:val="Light Grid Accent 3"/>
    <w:basedOn w:val="Standardowy"/>
    <w:uiPriority w:val="62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1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H w:val="nil"/>
          <w:insideV w:val="single" w:sz="8" w:space="0" w:color="5F5F5F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  <w:shd w:val="clear" w:color="auto" w:fill="D7D7D7" w:themeFill="accent3" w:themeFillTint="3F"/>
      </w:tcPr>
    </w:tblStylePr>
    <w:tblStylePr w:type="band2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  <w:insideV w:val="single" w:sz="8" w:space="0" w:color="5F5F5F" w:themeColor="accent3"/>
        </w:tcBorders>
      </w:tcPr>
    </w:tblStylePr>
  </w:style>
  <w:style w:type="table" w:styleId="Jasnasiatkaakcent4">
    <w:name w:val="Light Grid Accent 4"/>
    <w:basedOn w:val="Standardowy"/>
    <w:uiPriority w:val="62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1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H w:val="nil"/>
          <w:insideV w:val="single" w:sz="8" w:space="0" w:color="969696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  <w:shd w:val="clear" w:color="auto" w:fill="E5E5E5" w:themeFill="accent4" w:themeFillTint="3F"/>
      </w:tcPr>
    </w:tblStylePr>
    <w:tblStylePr w:type="band2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  <w:insideV w:val="single" w:sz="8" w:space="0" w:color="969696" w:themeColor="accent4"/>
        </w:tcBorders>
      </w:tcPr>
    </w:tblStylePr>
  </w:style>
  <w:style w:type="table" w:styleId="Jasnasiatkaakcent5">
    <w:name w:val="Light Grid Accent 5"/>
    <w:basedOn w:val="Standardowy"/>
    <w:uiPriority w:val="62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1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H w:val="nil"/>
          <w:insideV w:val="single" w:sz="8" w:space="0" w:color="5F5F5F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  <w:shd w:val="clear" w:color="auto" w:fill="D7D7D7" w:themeFill="accent5" w:themeFillTint="3F"/>
      </w:tcPr>
    </w:tblStylePr>
    <w:tblStylePr w:type="band2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  <w:insideV w:val="single" w:sz="8" w:space="0" w:color="5F5F5F" w:themeColor="accent5"/>
        </w:tcBorders>
      </w:tcPr>
    </w:tblStylePr>
  </w:style>
  <w:style w:type="table" w:styleId="Jasnasiatkaakcent6">
    <w:name w:val="Light Grid Accent 6"/>
    <w:basedOn w:val="Standardowy"/>
    <w:uiPriority w:val="62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1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H w:val="nil"/>
          <w:insideV w:val="single" w:sz="8" w:space="0" w:color="4D4D4D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  <w:shd w:val="clear" w:color="auto" w:fill="D3D3D3" w:themeFill="accent6" w:themeFillTint="3F"/>
      </w:tcPr>
    </w:tblStylePr>
    <w:tblStylePr w:type="band2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  <w:insideV w:val="single" w:sz="8" w:space="0" w:color="4D4D4D" w:themeColor="accent6"/>
        </w:tcBorders>
      </w:tcPr>
    </w:tblStylePr>
  </w:style>
  <w:style w:type="table" w:styleId="Jasnalista">
    <w:name w:val="Light List"/>
    <w:basedOn w:val="Standardowy"/>
    <w:uiPriority w:val="61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  <w:tblStylePr w:type="band1Horz">
      <w:tblPr/>
      <w:tcPr>
        <w:tcBorders>
          <w:top w:val="single" w:sz="8" w:space="0" w:color="0072BC" w:themeColor="accent1"/>
          <w:left w:val="single" w:sz="8" w:space="0" w:color="0072BC" w:themeColor="accent1"/>
          <w:bottom w:val="single" w:sz="8" w:space="0" w:color="0072BC" w:themeColor="accent1"/>
          <w:right w:val="single" w:sz="8" w:space="0" w:color="0072BC" w:themeColor="accent1"/>
        </w:tcBorders>
      </w:tcPr>
    </w:tblStylePr>
  </w:style>
  <w:style w:type="table" w:styleId="Jasnalistaakcent2">
    <w:name w:val="Light List Accent 2"/>
    <w:basedOn w:val="Standardowy"/>
    <w:uiPriority w:val="61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  <w:tblStylePr w:type="band1Horz">
      <w:tblPr/>
      <w:tcPr>
        <w:tcBorders>
          <w:top w:val="single" w:sz="8" w:space="0" w:color="C00000" w:themeColor="accent2"/>
          <w:left w:val="single" w:sz="8" w:space="0" w:color="C00000" w:themeColor="accent2"/>
          <w:bottom w:val="single" w:sz="8" w:space="0" w:color="C00000" w:themeColor="accent2"/>
          <w:right w:val="single" w:sz="8" w:space="0" w:color="C00000" w:themeColor="accent2"/>
        </w:tcBorders>
      </w:tcPr>
    </w:tblStylePr>
  </w:style>
  <w:style w:type="table" w:styleId="Jasnalistaakcent3">
    <w:name w:val="Light List Accent 3"/>
    <w:basedOn w:val="Standardowy"/>
    <w:uiPriority w:val="61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  <w:tblStylePr w:type="band1Horz">
      <w:tblPr/>
      <w:tcPr>
        <w:tcBorders>
          <w:top w:val="single" w:sz="8" w:space="0" w:color="5F5F5F" w:themeColor="accent3"/>
          <w:left w:val="single" w:sz="8" w:space="0" w:color="5F5F5F" w:themeColor="accent3"/>
          <w:bottom w:val="single" w:sz="8" w:space="0" w:color="5F5F5F" w:themeColor="accent3"/>
          <w:right w:val="single" w:sz="8" w:space="0" w:color="5F5F5F" w:themeColor="accent3"/>
        </w:tcBorders>
      </w:tcPr>
    </w:tblStylePr>
  </w:style>
  <w:style w:type="table" w:styleId="Jasnalistaakcent4">
    <w:name w:val="Light List Accent 4"/>
    <w:basedOn w:val="Standardowy"/>
    <w:uiPriority w:val="61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  <w:tblStylePr w:type="band1Horz">
      <w:tblPr/>
      <w:tcPr>
        <w:tcBorders>
          <w:top w:val="single" w:sz="8" w:space="0" w:color="969696" w:themeColor="accent4"/>
          <w:left w:val="single" w:sz="8" w:space="0" w:color="969696" w:themeColor="accent4"/>
          <w:bottom w:val="single" w:sz="8" w:space="0" w:color="969696" w:themeColor="accent4"/>
          <w:right w:val="single" w:sz="8" w:space="0" w:color="969696" w:themeColor="accent4"/>
        </w:tcBorders>
      </w:tcPr>
    </w:tblStylePr>
  </w:style>
  <w:style w:type="table" w:styleId="Jasnalistaakcent5">
    <w:name w:val="Light List Accent 5"/>
    <w:basedOn w:val="Standardowy"/>
    <w:uiPriority w:val="61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  <w:tblStylePr w:type="band1Horz">
      <w:tblPr/>
      <w:tcPr>
        <w:tcBorders>
          <w:top w:val="single" w:sz="8" w:space="0" w:color="5F5F5F" w:themeColor="accent5"/>
          <w:left w:val="single" w:sz="8" w:space="0" w:color="5F5F5F" w:themeColor="accent5"/>
          <w:bottom w:val="single" w:sz="8" w:space="0" w:color="5F5F5F" w:themeColor="accent5"/>
          <w:right w:val="single" w:sz="8" w:space="0" w:color="5F5F5F" w:themeColor="accent5"/>
        </w:tcBorders>
      </w:tcPr>
    </w:tblStylePr>
  </w:style>
  <w:style w:type="table" w:styleId="Jasnalistaakcent6">
    <w:name w:val="Light List Accent 6"/>
    <w:basedOn w:val="Standardowy"/>
    <w:uiPriority w:val="61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  <w:tblStylePr w:type="band1Horz">
      <w:tblPr/>
      <w:tcPr>
        <w:tcBorders>
          <w:top w:val="single" w:sz="8" w:space="0" w:color="4D4D4D" w:themeColor="accent6"/>
          <w:left w:val="single" w:sz="8" w:space="0" w:color="4D4D4D" w:themeColor="accent6"/>
          <w:bottom w:val="single" w:sz="8" w:space="0" w:color="4D4D4D" w:themeColor="accent6"/>
          <w:right w:val="single" w:sz="8" w:space="0" w:color="4D4D4D" w:themeColor="accent6"/>
        </w:tcBorders>
      </w:tcPr>
    </w:tblStylePr>
  </w:style>
  <w:style w:type="table" w:styleId="Jasnecieniowanie">
    <w:name w:val="Light Shading"/>
    <w:basedOn w:val="Standardowy"/>
    <w:uiPriority w:val="60"/>
    <w:semiHidden/>
    <w:rsid w:val="0096441B"/>
    <w:rPr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semiHidden/>
    <w:rsid w:val="0096441B"/>
    <w:rPr>
      <w:color w:val="00548C" w:themeColor="accent1" w:themeShade="BF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72BC" w:themeColor="accent1"/>
          <w:left w:val="nil"/>
          <w:bottom w:val="single" w:sz="8" w:space="0" w:color="0072BC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</w:style>
  <w:style w:type="table" w:styleId="Jasnecieniowanieakcent2">
    <w:name w:val="Light Shading Accent 2"/>
    <w:basedOn w:val="Standardowy"/>
    <w:uiPriority w:val="60"/>
    <w:semiHidden/>
    <w:rsid w:val="0096441B"/>
    <w:rPr>
      <w:color w:val="8F0000" w:themeColor="accent2" w:themeShade="BF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0000" w:themeColor="accent2"/>
          <w:left w:val="nil"/>
          <w:bottom w:val="single" w:sz="8" w:space="0" w:color="C00000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</w:style>
  <w:style w:type="table" w:styleId="Jasnecieniowanieakcent3">
    <w:name w:val="Light Shading Accent 3"/>
    <w:basedOn w:val="Standardowy"/>
    <w:uiPriority w:val="60"/>
    <w:semiHidden/>
    <w:rsid w:val="0096441B"/>
    <w:rPr>
      <w:color w:val="474747" w:themeColor="accent3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3"/>
          <w:left w:val="nil"/>
          <w:bottom w:val="single" w:sz="8" w:space="0" w:color="5F5F5F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</w:style>
  <w:style w:type="table" w:styleId="Jasnecieniowanieakcent4">
    <w:name w:val="Light Shading Accent 4"/>
    <w:basedOn w:val="Standardowy"/>
    <w:uiPriority w:val="60"/>
    <w:semiHidden/>
    <w:rsid w:val="0096441B"/>
    <w:rPr>
      <w:color w:val="707070" w:themeColor="accent4" w:themeShade="BF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69696" w:themeColor="accent4"/>
          <w:left w:val="nil"/>
          <w:bottom w:val="single" w:sz="8" w:space="0" w:color="969696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</w:style>
  <w:style w:type="table" w:styleId="Jasnecieniowanieakcent5">
    <w:name w:val="Light Shading Accent 5"/>
    <w:basedOn w:val="Standardowy"/>
    <w:uiPriority w:val="60"/>
    <w:semiHidden/>
    <w:rsid w:val="0096441B"/>
    <w:rPr>
      <w:color w:val="474747" w:themeColor="accent5" w:themeShade="BF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5F5F5F" w:themeColor="accent5"/>
          <w:left w:val="nil"/>
          <w:bottom w:val="single" w:sz="8" w:space="0" w:color="5F5F5F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</w:style>
  <w:style w:type="table" w:styleId="Jasnecieniowanieakcent6">
    <w:name w:val="Light Shading Accent 6"/>
    <w:basedOn w:val="Standardowy"/>
    <w:uiPriority w:val="60"/>
    <w:semiHidden/>
    <w:rsid w:val="0096441B"/>
    <w:rPr>
      <w:color w:val="393939" w:themeColor="accent6" w:themeShade="BF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D4D4D" w:themeColor="accent6"/>
          <w:left w:val="nil"/>
          <w:bottom w:val="single" w:sz="8" w:space="0" w:color="4D4D4D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</w:style>
  <w:style w:type="character" w:styleId="Numerwiersza">
    <w:name w:val="line number"/>
    <w:basedOn w:val="Domylnaczcionkaakapitu"/>
    <w:uiPriority w:val="98"/>
    <w:semiHidden/>
    <w:rsid w:val="0096441B"/>
  </w:style>
  <w:style w:type="paragraph" w:styleId="Lista">
    <w:name w:val="List"/>
    <w:basedOn w:val="Normalny"/>
    <w:uiPriority w:val="98"/>
    <w:semiHidden/>
    <w:rsid w:val="0096441B"/>
    <w:pPr>
      <w:ind w:left="283" w:hanging="283"/>
      <w:contextualSpacing/>
    </w:pPr>
  </w:style>
  <w:style w:type="paragraph" w:styleId="Lista2">
    <w:name w:val="List 2"/>
    <w:basedOn w:val="Normalny"/>
    <w:uiPriority w:val="98"/>
    <w:semiHidden/>
    <w:rsid w:val="0096441B"/>
    <w:pPr>
      <w:ind w:left="566" w:hanging="283"/>
      <w:contextualSpacing/>
    </w:pPr>
  </w:style>
  <w:style w:type="paragraph" w:styleId="Lista3">
    <w:name w:val="List 3"/>
    <w:basedOn w:val="Normalny"/>
    <w:uiPriority w:val="98"/>
    <w:semiHidden/>
    <w:rsid w:val="0096441B"/>
    <w:pPr>
      <w:ind w:left="849" w:hanging="283"/>
      <w:contextualSpacing/>
    </w:pPr>
  </w:style>
  <w:style w:type="paragraph" w:styleId="Lista4">
    <w:name w:val="List 4"/>
    <w:basedOn w:val="Normalny"/>
    <w:uiPriority w:val="98"/>
    <w:semiHidden/>
    <w:rsid w:val="0096441B"/>
    <w:pPr>
      <w:ind w:left="1132" w:hanging="283"/>
      <w:contextualSpacing/>
    </w:pPr>
  </w:style>
  <w:style w:type="paragraph" w:styleId="Lista5">
    <w:name w:val="List 5"/>
    <w:basedOn w:val="Normalny"/>
    <w:uiPriority w:val="98"/>
    <w:semiHidden/>
    <w:rsid w:val="0096441B"/>
    <w:pPr>
      <w:ind w:left="1415" w:hanging="283"/>
      <w:contextualSpacing/>
    </w:pPr>
  </w:style>
  <w:style w:type="paragraph" w:styleId="Listapunktowana2">
    <w:name w:val="List Bullet 2"/>
    <w:basedOn w:val="Normalny"/>
    <w:uiPriority w:val="98"/>
    <w:semiHidden/>
    <w:rsid w:val="0096441B"/>
    <w:pPr>
      <w:numPr>
        <w:numId w:val="7"/>
      </w:numPr>
      <w:contextualSpacing/>
    </w:pPr>
  </w:style>
  <w:style w:type="paragraph" w:styleId="Listapunktowana4">
    <w:name w:val="List Bullet 4"/>
    <w:basedOn w:val="Normalny"/>
    <w:uiPriority w:val="98"/>
    <w:semiHidden/>
    <w:rsid w:val="0096441B"/>
    <w:pPr>
      <w:numPr>
        <w:numId w:val="9"/>
      </w:numPr>
      <w:contextualSpacing/>
    </w:pPr>
  </w:style>
  <w:style w:type="paragraph" w:styleId="Listapunktowana5">
    <w:name w:val="List Bullet 5"/>
    <w:basedOn w:val="Normalny"/>
    <w:uiPriority w:val="98"/>
    <w:semiHidden/>
    <w:rsid w:val="0096441B"/>
    <w:pPr>
      <w:numPr>
        <w:numId w:val="10"/>
      </w:numPr>
      <w:contextualSpacing/>
    </w:pPr>
  </w:style>
  <w:style w:type="paragraph" w:styleId="Lista-kontynuacja">
    <w:name w:val="List Continue"/>
    <w:basedOn w:val="Normalny"/>
    <w:uiPriority w:val="98"/>
    <w:semiHidden/>
    <w:rsid w:val="0096441B"/>
    <w:pPr>
      <w:spacing w:after="120"/>
      <w:ind w:left="283"/>
      <w:contextualSpacing/>
    </w:pPr>
  </w:style>
  <w:style w:type="paragraph" w:styleId="Lista-kontynuacja2">
    <w:name w:val="List Continue 2"/>
    <w:basedOn w:val="Normalny"/>
    <w:uiPriority w:val="98"/>
    <w:semiHidden/>
    <w:rsid w:val="0096441B"/>
    <w:pPr>
      <w:spacing w:after="120"/>
      <w:ind w:left="566"/>
      <w:contextualSpacing/>
    </w:pPr>
  </w:style>
  <w:style w:type="paragraph" w:styleId="Lista-kontynuacja3">
    <w:name w:val="List Continue 3"/>
    <w:basedOn w:val="Normalny"/>
    <w:uiPriority w:val="98"/>
    <w:semiHidden/>
    <w:rsid w:val="0096441B"/>
    <w:pPr>
      <w:spacing w:after="120"/>
      <w:ind w:left="849"/>
      <w:contextualSpacing/>
    </w:pPr>
  </w:style>
  <w:style w:type="paragraph" w:styleId="Lista-kontynuacja4">
    <w:name w:val="List Continue 4"/>
    <w:basedOn w:val="Normalny"/>
    <w:uiPriority w:val="98"/>
    <w:semiHidden/>
    <w:rsid w:val="0096441B"/>
    <w:pPr>
      <w:spacing w:after="120"/>
      <w:ind w:left="1132"/>
      <w:contextualSpacing/>
    </w:pPr>
  </w:style>
  <w:style w:type="paragraph" w:styleId="Lista-kontynuacja5">
    <w:name w:val="List Continue 5"/>
    <w:basedOn w:val="Normalny"/>
    <w:uiPriority w:val="98"/>
    <w:semiHidden/>
    <w:rsid w:val="0096441B"/>
    <w:pPr>
      <w:spacing w:after="120"/>
      <w:ind w:left="1415"/>
      <w:contextualSpacing/>
    </w:pPr>
  </w:style>
  <w:style w:type="paragraph" w:styleId="Listanumerowana">
    <w:name w:val="List Number"/>
    <w:basedOn w:val="Normalny"/>
    <w:uiPriority w:val="98"/>
    <w:semiHidden/>
    <w:rsid w:val="0096441B"/>
    <w:pPr>
      <w:numPr>
        <w:numId w:val="11"/>
      </w:numPr>
      <w:contextualSpacing/>
    </w:pPr>
  </w:style>
  <w:style w:type="paragraph" w:styleId="Listanumerowana2">
    <w:name w:val="List Number 2"/>
    <w:basedOn w:val="Normalny"/>
    <w:uiPriority w:val="98"/>
    <w:semiHidden/>
    <w:rsid w:val="0096441B"/>
    <w:pPr>
      <w:numPr>
        <w:numId w:val="12"/>
      </w:numPr>
      <w:contextualSpacing/>
    </w:pPr>
  </w:style>
  <w:style w:type="paragraph" w:styleId="Listanumerowana3">
    <w:name w:val="List Number 3"/>
    <w:basedOn w:val="Normalny"/>
    <w:uiPriority w:val="98"/>
    <w:semiHidden/>
    <w:rsid w:val="0096441B"/>
    <w:pPr>
      <w:numPr>
        <w:numId w:val="13"/>
      </w:numPr>
      <w:contextualSpacing/>
    </w:pPr>
  </w:style>
  <w:style w:type="paragraph" w:styleId="Listanumerowana4">
    <w:name w:val="List Number 4"/>
    <w:basedOn w:val="Normalny"/>
    <w:uiPriority w:val="98"/>
    <w:semiHidden/>
    <w:rsid w:val="0096441B"/>
    <w:pPr>
      <w:numPr>
        <w:numId w:val="14"/>
      </w:numPr>
      <w:contextualSpacing/>
    </w:pPr>
  </w:style>
  <w:style w:type="paragraph" w:styleId="Listanumerowana5">
    <w:name w:val="List Number 5"/>
    <w:basedOn w:val="Normalny"/>
    <w:uiPriority w:val="98"/>
    <w:semiHidden/>
    <w:rsid w:val="0096441B"/>
    <w:pPr>
      <w:numPr>
        <w:numId w:val="15"/>
      </w:numPr>
      <w:contextualSpacing/>
    </w:pPr>
  </w:style>
  <w:style w:type="paragraph" w:styleId="Tekstmakra">
    <w:name w:val="macro"/>
    <w:link w:val="TekstmakraZnak"/>
    <w:uiPriority w:val="98"/>
    <w:semiHidden/>
    <w:rsid w:val="0096441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jc w:val="both"/>
    </w:pPr>
    <w:rPr>
      <w:rFonts w:ascii="Consolas" w:eastAsiaTheme="minorEastAsia" w:hAnsi="Consolas" w:cs="Consolas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8"/>
    <w:semiHidden/>
    <w:rsid w:val="0096441B"/>
    <w:rPr>
      <w:rFonts w:ascii="Consolas" w:eastAsiaTheme="minorEastAsia" w:hAnsi="Consolas" w:cs="Consolas"/>
      <w:sz w:val="20"/>
      <w:szCs w:val="20"/>
    </w:rPr>
  </w:style>
  <w:style w:type="table" w:styleId="redniasiatka1">
    <w:name w:val="Medium Grid 1"/>
    <w:basedOn w:val="Standardowy"/>
    <w:uiPriority w:val="67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  <w:insideV w:val="single" w:sz="8" w:space="0" w:color="0D9FFF" w:themeColor="accent1" w:themeTint="BF"/>
      </w:tblBorders>
    </w:tblPr>
    <w:tcPr>
      <w:shd w:val="clear" w:color="auto" w:fill="AFDFFF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0D9FFF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shd w:val="clear" w:color="auto" w:fill="5EBFFF" w:themeFill="accent1" w:themeFillTint="7F"/>
      </w:tcPr>
    </w:tblStylePr>
  </w:style>
  <w:style w:type="table" w:styleId="redniasiatka1akcent2">
    <w:name w:val="Medium Grid 1 Accent 2"/>
    <w:basedOn w:val="Standardowy"/>
    <w:uiPriority w:val="67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  <w:insideV w:val="single" w:sz="8" w:space="0" w:color="FF1010" w:themeColor="accent2" w:themeTint="BF"/>
      </w:tblBorders>
    </w:tblPr>
    <w:tcPr>
      <w:shd w:val="clear" w:color="auto" w:fill="FFB0B0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F1010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shd w:val="clear" w:color="auto" w:fill="FF6060" w:themeFill="accent2" w:themeFillTint="7F"/>
      </w:tcPr>
    </w:tblStylePr>
  </w:style>
  <w:style w:type="table" w:styleId="redniasiatka1akcent3">
    <w:name w:val="Medium Grid 1 Accent 3"/>
    <w:basedOn w:val="Standardowy"/>
    <w:uiPriority w:val="67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  <w:insideV w:val="single" w:sz="8" w:space="0" w:color="878787" w:themeColor="accent3" w:themeTint="BF"/>
      </w:tblBorders>
    </w:tblPr>
    <w:tcPr>
      <w:shd w:val="clear" w:color="auto" w:fill="D7D7D7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shd w:val="clear" w:color="auto" w:fill="AFAFAF" w:themeFill="accent3" w:themeFillTint="7F"/>
      </w:tcPr>
    </w:tblStylePr>
  </w:style>
  <w:style w:type="table" w:styleId="redniasiatka1akcent4">
    <w:name w:val="Medium Grid 1 Accent 4"/>
    <w:basedOn w:val="Standardowy"/>
    <w:uiPriority w:val="67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  <w:insideV w:val="single" w:sz="8" w:space="0" w:color="B0B0B0" w:themeColor="accent4" w:themeTint="BF"/>
      </w:tblBorders>
    </w:tblPr>
    <w:tcPr>
      <w:shd w:val="clear" w:color="auto" w:fill="E5E5E5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0B0B0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shd w:val="clear" w:color="auto" w:fill="CACACA" w:themeFill="accent4" w:themeFillTint="7F"/>
      </w:tcPr>
    </w:tblStylePr>
  </w:style>
  <w:style w:type="table" w:styleId="redniasiatka1akcent5">
    <w:name w:val="Medium Grid 1 Accent 5"/>
    <w:basedOn w:val="Standardowy"/>
    <w:uiPriority w:val="67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  <w:insideV w:val="single" w:sz="8" w:space="0" w:color="878787" w:themeColor="accent5" w:themeTint="BF"/>
      </w:tblBorders>
    </w:tblPr>
    <w:tcPr>
      <w:shd w:val="clear" w:color="auto" w:fill="D7D7D7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878787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shd w:val="clear" w:color="auto" w:fill="AFAFAF" w:themeFill="accent5" w:themeFillTint="7F"/>
      </w:tcPr>
    </w:tblStylePr>
  </w:style>
  <w:style w:type="table" w:styleId="redniasiatka1akcent6">
    <w:name w:val="Medium Grid 1 Accent 6"/>
    <w:basedOn w:val="Standardowy"/>
    <w:uiPriority w:val="67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  <w:insideV w:val="single" w:sz="8" w:space="0" w:color="797979" w:themeColor="accent6" w:themeTint="BF"/>
      </w:tblBorders>
    </w:tblPr>
    <w:tcPr>
      <w:shd w:val="clear" w:color="auto" w:fill="D3D3D3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97979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shd w:val="clear" w:color="auto" w:fill="A6A6A6" w:themeFill="accent6" w:themeFillTint="7F"/>
      </w:tcPr>
    </w:tblStylePr>
  </w:style>
  <w:style w:type="table" w:styleId="redniasiatka2">
    <w:name w:val="Medium Grid 2"/>
    <w:basedOn w:val="Standardowy"/>
    <w:uiPriority w:val="68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1">
    <w:name w:val="Medium Grid 2 Accent 1"/>
    <w:basedOn w:val="Standardowy"/>
    <w:uiPriority w:val="68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  <w:insideH w:val="single" w:sz="8" w:space="0" w:color="0072BC" w:themeColor="accent1"/>
        <w:insideV w:val="single" w:sz="8" w:space="0" w:color="0072BC" w:themeColor="accent1"/>
      </w:tblBorders>
    </w:tblPr>
    <w:tcPr>
      <w:shd w:val="clear" w:color="auto" w:fill="AFDFFF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DFF2FF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EE5FF" w:themeFill="accent1" w:themeFillTint="33"/>
      </w:tcPr>
    </w:tblStylePr>
    <w:tblStylePr w:type="band1Vert">
      <w:tblPr/>
      <w:tcPr>
        <w:shd w:val="clear" w:color="auto" w:fill="5EBFFF" w:themeFill="accent1" w:themeFillTint="7F"/>
      </w:tcPr>
    </w:tblStylePr>
    <w:tblStylePr w:type="band1Horz">
      <w:tblPr/>
      <w:tcPr>
        <w:tcBorders>
          <w:insideH w:val="single" w:sz="6" w:space="0" w:color="0072BC" w:themeColor="accent1"/>
          <w:insideV w:val="single" w:sz="6" w:space="0" w:color="0072BC" w:themeColor="accent1"/>
        </w:tcBorders>
        <w:shd w:val="clear" w:color="auto" w:fill="5EBFFF" w:themeFill="accent1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2">
    <w:name w:val="Medium Grid 2 Accent 2"/>
    <w:basedOn w:val="Standardowy"/>
    <w:uiPriority w:val="68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  <w:insideH w:val="single" w:sz="8" w:space="0" w:color="C00000" w:themeColor="accent2"/>
        <w:insideV w:val="single" w:sz="8" w:space="0" w:color="C00000" w:themeColor="accent2"/>
      </w:tblBorders>
    </w:tblPr>
    <w:tcPr>
      <w:shd w:val="clear" w:color="auto" w:fill="FFB0B0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FDFDF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BFBF" w:themeFill="accent2" w:themeFillTint="33"/>
      </w:tcPr>
    </w:tblStylePr>
    <w:tblStylePr w:type="band1Vert">
      <w:tblPr/>
      <w:tcPr>
        <w:shd w:val="clear" w:color="auto" w:fill="FF6060" w:themeFill="accent2" w:themeFillTint="7F"/>
      </w:tcPr>
    </w:tblStylePr>
    <w:tblStylePr w:type="band1Horz">
      <w:tblPr/>
      <w:tcPr>
        <w:tcBorders>
          <w:insideH w:val="single" w:sz="6" w:space="0" w:color="C00000" w:themeColor="accent2"/>
          <w:insideV w:val="single" w:sz="6" w:space="0" w:color="C00000" w:themeColor="accent2"/>
        </w:tcBorders>
        <w:shd w:val="clear" w:color="auto" w:fill="FF6060" w:themeFill="accent2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3">
    <w:name w:val="Medium Grid 2 Accent 3"/>
    <w:basedOn w:val="Standardowy"/>
    <w:uiPriority w:val="68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  <w:insideH w:val="single" w:sz="8" w:space="0" w:color="5F5F5F" w:themeColor="accent3"/>
        <w:insideV w:val="single" w:sz="8" w:space="0" w:color="5F5F5F" w:themeColor="accent3"/>
      </w:tblBorders>
    </w:tblPr>
    <w:tcPr>
      <w:shd w:val="clear" w:color="auto" w:fill="D7D7D7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3" w:themeFillTint="33"/>
      </w:tcPr>
    </w:tblStylePr>
    <w:tblStylePr w:type="band1Vert">
      <w:tblPr/>
      <w:tcPr>
        <w:shd w:val="clear" w:color="auto" w:fill="AFAFAF" w:themeFill="accent3" w:themeFillTint="7F"/>
      </w:tcPr>
    </w:tblStylePr>
    <w:tblStylePr w:type="band1Horz">
      <w:tblPr/>
      <w:tcPr>
        <w:tcBorders>
          <w:insideH w:val="single" w:sz="6" w:space="0" w:color="5F5F5F" w:themeColor="accent3"/>
          <w:insideV w:val="single" w:sz="6" w:space="0" w:color="5F5F5F" w:themeColor="accent3"/>
        </w:tcBorders>
        <w:shd w:val="clear" w:color="auto" w:fill="AFAFAF" w:themeFill="accent3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4">
    <w:name w:val="Medium Grid 2 Accent 4"/>
    <w:basedOn w:val="Standardowy"/>
    <w:uiPriority w:val="68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  <w:insideH w:val="single" w:sz="8" w:space="0" w:color="969696" w:themeColor="accent4"/>
        <w:insideV w:val="single" w:sz="8" w:space="0" w:color="969696" w:themeColor="accent4"/>
      </w:tblBorders>
    </w:tblPr>
    <w:tcPr>
      <w:shd w:val="clear" w:color="auto" w:fill="E5E5E5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4F4F4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EAEA" w:themeFill="accent4" w:themeFillTint="33"/>
      </w:tcPr>
    </w:tblStylePr>
    <w:tblStylePr w:type="band1Vert">
      <w:tblPr/>
      <w:tcPr>
        <w:shd w:val="clear" w:color="auto" w:fill="CACACA" w:themeFill="accent4" w:themeFillTint="7F"/>
      </w:tcPr>
    </w:tblStylePr>
    <w:tblStylePr w:type="band1Horz">
      <w:tblPr/>
      <w:tcPr>
        <w:tcBorders>
          <w:insideH w:val="single" w:sz="6" w:space="0" w:color="969696" w:themeColor="accent4"/>
          <w:insideV w:val="single" w:sz="6" w:space="0" w:color="969696" w:themeColor="accent4"/>
        </w:tcBorders>
        <w:shd w:val="clear" w:color="auto" w:fill="CACACA" w:themeFill="accent4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5">
    <w:name w:val="Medium Grid 2 Accent 5"/>
    <w:basedOn w:val="Standardowy"/>
    <w:uiPriority w:val="68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  <w:insideH w:val="single" w:sz="8" w:space="0" w:color="5F5F5F" w:themeColor="accent5"/>
        <w:insideV w:val="single" w:sz="8" w:space="0" w:color="5F5F5F" w:themeColor="accent5"/>
      </w:tblBorders>
    </w:tblPr>
    <w:tcPr>
      <w:shd w:val="clear" w:color="auto" w:fill="D7D7D7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FEFEF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FDF" w:themeFill="accent5" w:themeFillTint="33"/>
      </w:tcPr>
    </w:tblStylePr>
    <w:tblStylePr w:type="band1Vert">
      <w:tblPr/>
      <w:tcPr>
        <w:shd w:val="clear" w:color="auto" w:fill="AFAFAF" w:themeFill="accent5" w:themeFillTint="7F"/>
      </w:tcPr>
    </w:tblStylePr>
    <w:tblStylePr w:type="band1Horz">
      <w:tblPr/>
      <w:tcPr>
        <w:tcBorders>
          <w:insideH w:val="single" w:sz="6" w:space="0" w:color="5F5F5F" w:themeColor="accent5"/>
          <w:insideV w:val="single" w:sz="6" w:space="0" w:color="5F5F5F" w:themeColor="accent5"/>
        </w:tcBorders>
        <w:shd w:val="clear" w:color="auto" w:fill="AFAFAF" w:themeFill="accent5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2akcent6">
    <w:name w:val="Medium Grid 2 Accent 6"/>
    <w:basedOn w:val="Standardowy"/>
    <w:uiPriority w:val="68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  <w:insideH w:val="single" w:sz="8" w:space="0" w:color="4D4D4D" w:themeColor="accent6"/>
        <w:insideV w:val="single" w:sz="8" w:space="0" w:color="4D4D4D" w:themeColor="accent6"/>
      </w:tblBorders>
    </w:tblPr>
    <w:tcPr>
      <w:shd w:val="clear" w:color="auto" w:fill="D3D3D3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EDEDED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DBDB" w:themeFill="accent6" w:themeFillTint="33"/>
      </w:tcPr>
    </w:tblStylePr>
    <w:tblStylePr w:type="band1Vert">
      <w:tblPr/>
      <w:tcPr>
        <w:shd w:val="clear" w:color="auto" w:fill="A6A6A6" w:themeFill="accent6" w:themeFillTint="7F"/>
      </w:tcPr>
    </w:tblStylePr>
    <w:tblStylePr w:type="band1Horz">
      <w:tblPr/>
      <w:tcPr>
        <w:tcBorders>
          <w:insideH w:val="single" w:sz="6" w:space="0" w:color="4D4D4D" w:themeColor="accent6"/>
          <w:insideV w:val="single" w:sz="6" w:space="0" w:color="4D4D4D" w:themeColor="accent6"/>
        </w:tcBorders>
        <w:shd w:val="clear" w:color="auto" w:fill="A6A6A6" w:themeFill="accent6" w:themeFillTint="7F"/>
      </w:tcPr>
    </w:tblStylePr>
    <w:tblStylePr w:type="nwCell">
      <w:tblPr/>
      <w:tcPr>
        <w:shd w:val="clear" w:color="auto" w:fill="0072BC" w:themeFill="background1"/>
      </w:tcPr>
    </w:tblStylePr>
  </w:style>
  <w:style w:type="table" w:styleId="redniasiatka3">
    <w:name w:val="Medium Grid 3"/>
    <w:basedOn w:val="Standardowy"/>
    <w:uiPriority w:val="69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AFDFFF" w:themeFill="accent1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0072BC" w:themeFill="accent1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5EBFFF" w:themeFill="accent1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5EBFFF" w:themeFill="accent1" w:themeFillTint="7F"/>
      </w:tcPr>
    </w:tblStylePr>
  </w:style>
  <w:style w:type="table" w:styleId="redniasiatka3akcent2">
    <w:name w:val="Medium Grid 3 Accent 2"/>
    <w:basedOn w:val="Standardowy"/>
    <w:uiPriority w:val="69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FFB0B0" w:themeFill="accent2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C00000" w:themeFill="accent2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FF6060" w:themeFill="accent2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FF6060" w:themeFill="accent2" w:themeFillTint="7F"/>
      </w:tcPr>
    </w:tblStylePr>
  </w:style>
  <w:style w:type="table" w:styleId="redniasiatka3akcent3">
    <w:name w:val="Medium Grid 3 Accent 3"/>
    <w:basedOn w:val="Standardowy"/>
    <w:uiPriority w:val="69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3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3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3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3" w:themeFillTint="7F"/>
      </w:tcPr>
    </w:tblStylePr>
  </w:style>
  <w:style w:type="table" w:styleId="redniasiatka3akcent4">
    <w:name w:val="Medium Grid 3 Accent 4"/>
    <w:basedOn w:val="Standardowy"/>
    <w:uiPriority w:val="69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E5E5E5" w:themeFill="accent4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969696" w:themeFill="accent4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CACACA" w:themeFill="accent4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CACACA" w:themeFill="accent4" w:themeFillTint="7F"/>
      </w:tcPr>
    </w:tblStylePr>
  </w:style>
  <w:style w:type="table" w:styleId="redniasiatka3akcent5">
    <w:name w:val="Medium Grid 3 Accent 5"/>
    <w:basedOn w:val="Standardowy"/>
    <w:uiPriority w:val="69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7D7D7" w:themeFill="accent5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5F5F5F" w:themeFill="accent5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FAFAF" w:themeFill="accent5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FAFAF" w:themeFill="accent5" w:themeFillTint="7F"/>
      </w:tcPr>
    </w:tblStylePr>
  </w:style>
  <w:style w:type="table" w:styleId="redniasiatka3akcent6">
    <w:name w:val="Medium Grid 3 Accent 6"/>
    <w:basedOn w:val="Standardowy"/>
    <w:uiPriority w:val="69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072BC" w:themeColor="background1"/>
        <w:left w:val="single" w:sz="8" w:space="0" w:color="0072BC" w:themeColor="background1"/>
        <w:bottom w:val="single" w:sz="8" w:space="0" w:color="0072BC" w:themeColor="background1"/>
        <w:right w:val="single" w:sz="8" w:space="0" w:color="0072BC" w:themeColor="background1"/>
        <w:insideH w:val="single" w:sz="6" w:space="0" w:color="0072BC" w:themeColor="background1"/>
        <w:insideV w:val="single" w:sz="6" w:space="0" w:color="0072BC" w:themeColor="background1"/>
      </w:tblBorders>
    </w:tblPr>
    <w:tcPr>
      <w:shd w:val="clear" w:color="auto" w:fill="D3D3D3" w:themeFill="accent6" w:themeFillTint="3F"/>
    </w:tcPr>
    <w:tblStylePr w:type="firstRow">
      <w:rPr>
        <w:b/>
        <w:bCs/>
        <w:i w:val="0"/>
        <w:iCs w:val="0"/>
        <w:color w:val="0072BC" w:themeColor="background1"/>
      </w:rPr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24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lastRow">
      <w:rPr>
        <w:b/>
        <w:bCs/>
        <w:i w:val="0"/>
        <w:iCs w:val="0"/>
        <w:color w:val="0072BC" w:themeColor="background1"/>
      </w:rPr>
      <w:tblPr/>
      <w:tcPr>
        <w:tcBorders>
          <w:top w:val="single" w:sz="24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single" w:sz="8" w:space="0" w:color="0072BC" w:themeColor="background1"/>
        </w:tcBorders>
        <w:shd w:val="clear" w:color="auto" w:fill="4D4D4D" w:themeFill="accent6"/>
      </w:tcPr>
    </w:tblStylePr>
    <w:tblStylePr w:type="firstCol">
      <w:rPr>
        <w:b/>
        <w:bCs/>
        <w:i w:val="0"/>
        <w:iCs w:val="0"/>
        <w:color w:val="0072BC" w:themeColor="background1"/>
      </w:rPr>
      <w:tblPr/>
      <w:tcPr>
        <w:tcBorders>
          <w:left w:val="single" w:sz="8" w:space="0" w:color="0072BC" w:themeColor="background1"/>
          <w:right w:val="single" w:sz="2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i w:val="0"/>
        <w:iCs w:val="0"/>
        <w:color w:val="0072BC" w:themeColor="background1"/>
      </w:rPr>
      <w:tblPr/>
      <w:tcPr>
        <w:tcBorders>
          <w:top w:val="nil"/>
          <w:left w:val="single" w:sz="24" w:space="0" w:color="0072BC" w:themeColor="background1"/>
          <w:bottom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nil"/>
          <w:insideV w:val="nil"/>
        </w:tcBorders>
        <w:shd w:val="clear" w:color="auto" w:fill="A6A6A6" w:themeFill="accent6" w:themeFillTint="7F"/>
      </w:tcPr>
    </w:tblStylePr>
    <w:tblStylePr w:type="band1Horz">
      <w:tblPr/>
      <w:tcPr>
        <w:tcBorders>
          <w:top w:val="single" w:sz="8" w:space="0" w:color="0072BC" w:themeColor="background1"/>
          <w:left w:val="single" w:sz="8" w:space="0" w:color="0072BC" w:themeColor="background1"/>
          <w:bottom w:val="single" w:sz="8" w:space="0" w:color="0072BC" w:themeColor="background1"/>
          <w:right w:val="single" w:sz="8" w:space="0" w:color="0072BC" w:themeColor="background1"/>
          <w:insideH w:val="single" w:sz="8" w:space="0" w:color="0072BC" w:themeColor="background1"/>
          <w:insideV w:val="single" w:sz="8" w:space="0" w:color="0072BC" w:themeColor="background1"/>
        </w:tcBorders>
        <w:shd w:val="clear" w:color="auto" w:fill="A6A6A6" w:themeFill="accent6" w:themeFillTint="7F"/>
      </w:tcPr>
    </w:tblStylePr>
  </w:style>
  <w:style w:type="table" w:styleId="rednialista1">
    <w:name w:val="Medium List 1"/>
    <w:basedOn w:val="Standardowy"/>
    <w:uiPriority w:val="65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bottom w:val="single" w:sz="8" w:space="0" w:color="0072BC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72BC" w:themeColor="accent1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72BC" w:themeColor="accent1"/>
          <w:bottom w:val="single" w:sz="8" w:space="0" w:color="0072BC" w:themeColor="accent1"/>
        </w:tcBorders>
      </w:tc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shd w:val="clear" w:color="auto" w:fill="AFDFFF" w:themeFill="accent1" w:themeFillTint="3F"/>
      </w:tcPr>
    </w:tblStylePr>
  </w:style>
  <w:style w:type="table" w:styleId="rednialista1akcent2">
    <w:name w:val="Medium List 1 Accent 2"/>
    <w:basedOn w:val="Standardowy"/>
    <w:uiPriority w:val="65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bottom w:val="single" w:sz="8" w:space="0" w:color="C00000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0000" w:themeColor="accent2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0000" w:themeColor="accent2"/>
          <w:bottom w:val="single" w:sz="8" w:space="0" w:color="C00000" w:themeColor="accent2"/>
        </w:tcBorders>
      </w:tc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shd w:val="clear" w:color="auto" w:fill="FFB0B0" w:themeFill="accent2" w:themeFillTint="3F"/>
      </w:tcPr>
    </w:tblStylePr>
  </w:style>
  <w:style w:type="table" w:styleId="rednialista1akcent3">
    <w:name w:val="Medium List 1 Accent 3"/>
    <w:basedOn w:val="Standardowy"/>
    <w:uiPriority w:val="65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bottom w:val="single" w:sz="8" w:space="0" w:color="5F5F5F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3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3"/>
          <w:bottom w:val="single" w:sz="8" w:space="0" w:color="5F5F5F" w:themeColor="accent3"/>
        </w:tcBorders>
      </w:tc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shd w:val="clear" w:color="auto" w:fill="D7D7D7" w:themeFill="accent3" w:themeFillTint="3F"/>
      </w:tcPr>
    </w:tblStylePr>
  </w:style>
  <w:style w:type="table" w:styleId="rednialista1akcent4">
    <w:name w:val="Medium List 1 Accent 4"/>
    <w:basedOn w:val="Standardowy"/>
    <w:uiPriority w:val="65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bottom w:val="single" w:sz="8" w:space="0" w:color="969696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69696" w:themeColor="accent4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69696" w:themeColor="accent4"/>
          <w:bottom w:val="single" w:sz="8" w:space="0" w:color="969696" w:themeColor="accent4"/>
        </w:tcBorders>
      </w:tc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shd w:val="clear" w:color="auto" w:fill="E5E5E5" w:themeFill="accent4" w:themeFillTint="3F"/>
      </w:tcPr>
    </w:tblStylePr>
  </w:style>
  <w:style w:type="table" w:styleId="rednialista1akcent5">
    <w:name w:val="Medium List 1 Accent 5"/>
    <w:basedOn w:val="Standardowy"/>
    <w:uiPriority w:val="65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bottom w:val="single" w:sz="8" w:space="0" w:color="5F5F5F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5F5F5F" w:themeColor="accent5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5F5F5F" w:themeColor="accent5"/>
          <w:bottom w:val="single" w:sz="8" w:space="0" w:color="5F5F5F" w:themeColor="accent5"/>
        </w:tcBorders>
      </w:tc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shd w:val="clear" w:color="auto" w:fill="D7D7D7" w:themeFill="accent5" w:themeFillTint="3F"/>
      </w:tcPr>
    </w:tblStylePr>
  </w:style>
  <w:style w:type="table" w:styleId="rednialista1akcent6">
    <w:name w:val="Medium List 1 Accent 6"/>
    <w:basedOn w:val="Standardowy"/>
    <w:uiPriority w:val="65"/>
    <w:semiHidden/>
    <w:rsid w:val="0096441B"/>
    <w:rPr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bottom w:val="single" w:sz="8" w:space="0" w:color="4D4D4D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D4D4D" w:themeColor="accent6"/>
        </w:tcBorders>
      </w:tcPr>
    </w:tblStylePr>
    <w:tblStylePr w:type="lastRow">
      <w:rPr>
        <w:b/>
        <w:bCs/>
        <w:color w:val="C6C6C6" w:themeColor="text2"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D4D4D" w:themeColor="accent6"/>
          <w:bottom w:val="single" w:sz="8" w:space="0" w:color="4D4D4D" w:themeColor="accent6"/>
        </w:tcBorders>
      </w:tc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shd w:val="clear" w:color="auto" w:fill="D3D3D3" w:themeFill="accent6" w:themeFillTint="3F"/>
      </w:tcPr>
    </w:tblStylePr>
  </w:style>
  <w:style w:type="table" w:styleId="rednialista2">
    <w:name w:val="Medium List 2"/>
    <w:basedOn w:val="Standardowy"/>
    <w:uiPriority w:val="66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0072BC" w:themeColor="accent1"/>
        <w:left w:val="single" w:sz="8" w:space="0" w:color="0072BC" w:themeColor="accent1"/>
        <w:bottom w:val="single" w:sz="8" w:space="0" w:color="0072BC" w:themeColor="accent1"/>
        <w:right w:val="single" w:sz="8" w:space="0" w:color="0072BC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72BC" w:themeColor="accent1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0072BC" w:themeColor="accent1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72BC" w:themeColor="accent1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0072BC" w:themeColor="accent1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AFDFFF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AFDFFF" w:themeFill="accent1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C00000" w:themeColor="accent2"/>
        <w:left w:val="single" w:sz="8" w:space="0" w:color="C00000" w:themeColor="accent2"/>
        <w:bottom w:val="single" w:sz="8" w:space="0" w:color="C00000" w:themeColor="accent2"/>
        <w:right w:val="single" w:sz="8" w:space="0" w:color="C00000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0000" w:themeColor="accent2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C00000" w:themeColor="accent2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0000" w:themeColor="accent2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C00000" w:themeColor="accent2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FB0B0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FB0B0" w:themeFill="accent2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3"/>
        <w:left w:val="single" w:sz="8" w:space="0" w:color="5F5F5F" w:themeColor="accent3"/>
        <w:bottom w:val="single" w:sz="8" w:space="0" w:color="5F5F5F" w:themeColor="accent3"/>
        <w:right w:val="single" w:sz="8" w:space="0" w:color="5F5F5F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3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3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3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3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3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969696" w:themeColor="accent4"/>
        <w:left w:val="single" w:sz="8" w:space="0" w:color="969696" w:themeColor="accent4"/>
        <w:bottom w:val="single" w:sz="8" w:space="0" w:color="969696" w:themeColor="accent4"/>
        <w:right w:val="single" w:sz="8" w:space="0" w:color="969696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69696" w:themeColor="accent4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969696" w:themeColor="accent4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69696" w:themeColor="accent4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969696" w:themeColor="accent4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5E5E5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5E5E5" w:themeFill="accent4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5F5F5F" w:themeColor="accent5"/>
        <w:left w:val="single" w:sz="8" w:space="0" w:color="5F5F5F" w:themeColor="accent5"/>
        <w:bottom w:val="single" w:sz="8" w:space="0" w:color="5F5F5F" w:themeColor="accent5"/>
        <w:right w:val="single" w:sz="8" w:space="0" w:color="5F5F5F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5F5F5F" w:themeColor="accent5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5F5F5F" w:themeColor="accent5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5F5F5F" w:themeColor="accent5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5F5F5F" w:themeColor="accent5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7D7D7" w:themeFill="accent5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semiHidden/>
    <w:rsid w:val="0096441B"/>
    <w:rPr>
      <w:rFonts w:asciiTheme="majorHAnsi" w:eastAsiaTheme="majorEastAsia" w:hAnsiTheme="majorHAnsi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sz="8" w:space="0" w:color="4D4D4D" w:themeColor="accent6"/>
        <w:left w:val="single" w:sz="8" w:space="0" w:color="4D4D4D" w:themeColor="accent6"/>
        <w:bottom w:val="single" w:sz="8" w:space="0" w:color="4D4D4D" w:themeColor="accent6"/>
        <w:right w:val="single" w:sz="8" w:space="0" w:color="4D4D4D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D4D4D" w:themeColor="accent6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tblPr/>
      <w:tcPr>
        <w:tcBorders>
          <w:top w:val="single" w:sz="8" w:space="0" w:color="4D4D4D" w:themeColor="accent6"/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D4D4D" w:themeColor="accent6"/>
          <w:insideH w:val="nil"/>
          <w:insideV w:val="nil"/>
        </w:tcBorders>
        <w:shd w:val="clear" w:color="auto" w:fill="0072BC" w:themeFill="background1"/>
      </w:tcPr>
    </w:tblStylePr>
    <w:tblStylePr w:type="lastCol">
      <w:tblPr/>
      <w:tcPr>
        <w:tcBorders>
          <w:top w:val="nil"/>
          <w:left w:val="single" w:sz="8" w:space="0" w:color="4D4D4D" w:themeColor="accent6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3D3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3D3" w:themeFill="accent6" w:themeFillTint="3F"/>
      </w:tcPr>
    </w:tblStylePr>
    <w:tblStylePr w:type="nwCell">
      <w:tblPr/>
      <w:tcPr>
        <w:shd w:val="clear" w:color="auto" w:fill="0072BC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ecieniowanie1">
    <w:name w:val="Medium Shading 1"/>
    <w:basedOn w:val="Standardowy"/>
    <w:uiPriority w:val="63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0D9FFF" w:themeColor="accent1" w:themeTint="BF"/>
        <w:left w:val="single" w:sz="8" w:space="0" w:color="0D9FFF" w:themeColor="accent1" w:themeTint="BF"/>
        <w:bottom w:val="single" w:sz="8" w:space="0" w:color="0D9FFF" w:themeColor="accent1" w:themeTint="BF"/>
        <w:right w:val="single" w:sz="8" w:space="0" w:color="0D9FFF" w:themeColor="accent1" w:themeTint="BF"/>
        <w:insideH w:val="single" w:sz="8" w:space="0" w:color="0D9FFF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D9FFF" w:themeColor="accent1" w:themeTint="BF"/>
          <w:left w:val="single" w:sz="8" w:space="0" w:color="0D9FFF" w:themeColor="accent1" w:themeTint="BF"/>
          <w:bottom w:val="single" w:sz="8" w:space="0" w:color="0D9FFF" w:themeColor="accent1" w:themeTint="BF"/>
          <w:right w:val="single" w:sz="8" w:space="0" w:color="0D9FFF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FDFFF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AFDFFF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FF1010" w:themeColor="accent2" w:themeTint="BF"/>
        <w:left w:val="single" w:sz="8" w:space="0" w:color="FF1010" w:themeColor="accent2" w:themeTint="BF"/>
        <w:bottom w:val="single" w:sz="8" w:space="0" w:color="FF1010" w:themeColor="accent2" w:themeTint="BF"/>
        <w:right w:val="single" w:sz="8" w:space="0" w:color="FF1010" w:themeColor="accent2" w:themeTint="BF"/>
        <w:insideH w:val="single" w:sz="8" w:space="0" w:color="FF1010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F1010" w:themeColor="accent2" w:themeTint="BF"/>
          <w:left w:val="single" w:sz="8" w:space="0" w:color="FF1010" w:themeColor="accent2" w:themeTint="BF"/>
          <w:bottom w:val="single" w:sz="8" w:space="0" w:color="FF1010" w:themeColor="accent2" w:themeTint="BF"/>
          <w:right w:val="single" w:sz="8" w:space="0" w:color="FF1010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0B0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FB0B0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3" w:themeTint="BF"/>
        <w:left w:val="single" w:sz="8" w:space="0" w:color="878787" w:themeColor="accent3" w:themeTint="BF"/>
        <w:bottom w:val="single" w:sz="8" w:space="0" w:color="878787" w:themeColor="accent3" w:themeTint="BF"/>
        <w:right w:val="single" w:sz="8" w:space="0" w:color="878787" w:themeColor="accent3" w:themeTint="BF"/>
        <w:insideH w:val="single" w:sz="8" w:space="0" w:color="878787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3" w:themeTint="BF"/>
          <w:left w:val="single" w:sz="8" w:space="0" w:color="878787" w:themeColor="accent3" w:themeTint="BF"/>
          <w:bottom w:val="single" w:sz="8" w:space="0" w:color="878787" w:themeColor="accent3" w:themeTint="BF"/>
          <w:right w:val="single" w:sz="8" w:space="0" w:color="878787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B0B0B0" w:themeColor="accent4" w:themeTint="BF"/>
        <w:left w:val="single" w:sz="8" w:space="0" w:color="B0B0B0" w:themeColor="accent4" w:themeTint="BF"/>
        <w:bottom w:val="single" w:sz="8" w:space="0" w:color="B0B0B0" w:themeColor="accent4" w:themeTint="BF"/>
        <w:right w:val="single" w:sz="8" w:space="0" w:color="B0B0B0" w:themeColor="accent4" w:themeTint="BF"/>
        <w:insideH w:val="single" w:sz="8" w:space="0" w:color="B0B0B0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0B0B0" w:themeColor="accent4" w:themeTint="BF"/>
          <w:left w:val="single" w:sz="8" w:space="0" w:color="B0B0B0" w:themeColor="accent4" w:themeTint="BF"/>
          <w:bottom w:val="single" w:sz="8" w:space="0" w:color="B0B0B0" w:themeColor="accent4" w:themeTint="BF"/>
          <w:right w:val="single" w:sz="8" w:space="0" w:color="B0B0B0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5E5E5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5E5E5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878787" w:themeColor="accent5" w:themeTint="BF"/>
        <w:left w:val="single" w:sz="8" w:space="0" w:color="878787" w:themeColor="accent5" w:themeTint="BF"/>
        <w:bottom w:val="single" w:sz="8" w:space="0" w:color="878787" w:themeColor="accent5" w:themeTint="BF"/>
        <w:right w:val="single" w:sz="8" w:space="0" w:color="878787" w:themeColor="accent5" w:themeTint="BF"/>
        <w:insideH w:val="single" w:sz="8" w:space="0" w:color="878787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78787" w:themeColor="accent5" w:themeTint="BF"/>
          <w:left w:val="single" w:sz="8" w:space="0" w:color="878787" w:themeColor="accent5" w:themeTint="BF"/>
          <w:bottom w:val="single" w:sz="8" w:space="0" w:color="878787" w:themeColor="accent5" w:themeTint="BF"/>
          <w:right w:val="single" w:sz="8" w:space="0" w:color="878787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7D7D7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7D7D7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8" w:space="0" w:color="797979" w:themeColor="accent6" w:themeTint="BF"/>
        <w:left w:val="single" w:sz="8" w:space="0" w:color="797979" w:themeColor="accent6" w:themeTint="BF"/>
        <w:bottom w:val="single" w:sz="8" w:space="0" w:color="797979" w:themeColor="accent6" w:themeTint="BF"/>
        <w:right w:val="single" w:sz="8" w:space="0" w:color="797979" w:themeColor="accent6" w:themeTint="BF"/>
        <w:insideH w:val="single" w:sz="8" w:space="0" w:color="797979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8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97979" w:themeColor="accent6" w:themeTint="BF"/>
          <w:left w:val="single" w:sz="8" w:space="0" w:color="797979" w:themeColor="accent6" w:themeTint="BF"/>
          <w:bottom w:val="single" w:sz="8" w:space="0" w:color="797979" w:themeColor="accent6" w:themeTint="BF"/>
          <w:right w:val="single" w:sz="8" w:space="0" w:color="797979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3D3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3D3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72BC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0000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69696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5F5F5F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semiHidden/>
    <w:rsid w:val="0096441B"/>
    <w:rPr>
      <w:sz w:val="24"/>
      <w:szCs w:val="24"/>
    </w:r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  <w:color w:val="0072BC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D4D4D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00609F" w:themeFill="background1" w:themeFillShade="D8"/>
      </w:tcPr>
    </w:tblStylePr>
    <w:tblStylePr w:type="band1Horz">
      <w:tblPr/>
      <w:tcPr>
        <w:shd w:val="clear" w:color="auto" w:fill="00609F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0072BC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paragraph" w:styleId="Nagwekwiadomoci">
    <w:name w:val="Message Header"/>
    <w:basedOn w:val="Normalny"/>
    <w:link w:val="NagwekwiadomociZnak"/>
    <w:uiPriority w:val="98"/>
    <w:semiHidden/>
    <w:rsid w:val="0096441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</w:rPr>
  </w:style>
  <w:style w:type="character" w:customStyle="1" w:styleId="NagwekwiadomociZnak">
    <w:name w:val="Nagłówek wiadomości Znak"/>
    <w:basedOn w:val="Domylnaczcionkaakapitu"/>
    <w:link w:val="Nagwekwiadomoci"/>
    <w:uiPriority w:val="98"/>
    <w:semiHidden/>
    <w:rsid w:val="0096441B"/>
    <w:rPr>
      <w:rFonts w:asciiTheme="majorHAnsi" w:eastAsiaTheme="majorEastAsia" w:hAnsiTheme="majorHAnsi" w:cstheme="majorBidi"/>
      <w:sz w:val="24"/>
      <w:szCs w:val="24"/>
      <w:shd w:val="pct20" w:color="auto" w:fill="auto"/>
      <w:lang w:val="en-GB"/>
    </w:rPr>
  </w:style>
  <w:style w:type="paragraph" w:styleId="NormalnyWeb">
    <w:name w:val="Normal (Web)"/>
    <w:basedOn w:val="Normalny"/>
    <w:uiPriority w:val="98"/>
    <w:semiHidden/>
    <w:rsid w:val="0096441B"/>
    <w:rPr>
      <w:rFonts w:ascii="Times New Roman" w:hAnsi="Times New Roman" w:cs="Times New Roman"/>
    </w:rPr>
  </w:style>
  <w:style w:type="paragraph" w:styleId="Wcicienormalne">
    <w:name w:val="Normal Indent"/>
    <w:basedOn w:val="Normalny"/>
    <w:uiPriority w:val="98"/>
    <w:semiHidden/>
    <w:rsid w:val="0096441B"/>
    <w:pPr>
      <w:ind w:left="720"/>
    </w:pPr>
  </w:style>
  <w:style w:type="paragraph" w:styleId="Nagweknotatki">
    <w:name w:val="Note Heading"/>
    <w:basedOn w:val="Normalny"/>
    <w:next w:val="Normalny"/>
    <w:link w:val="NagweknotatkiZnak"/>
    <w:uiPriority w:val="98"/>
    <w:semiHidden/>
    <w:rsid w:val="0096441B"/>
  </w:style>
  <w:style w:type="character" w:customStyle="1" w:styleId="NagweknotatkiZnak">
    <w:name w:val="Nagłówek notatki Znak"/>
    <w:basedOn w:val="Domylnaczcionkaakapitu"/>
    <w:link w:val="Nagweknotatki"/>
    <w:uiPriority w:val="98"/>
    <w:semiHidden/>
    <w:rsid w:val="0096441B"/>
    <w:rPr>
      <w:sz w:val="24"/>
      <w:szCs w:val="24"/>
      <w:lang w:val="en-GB"/>
    </w:rPr>
  </w:style>
  <w:style w:type="character" w:styleId="Tekstzastpczy">
    <w:name w:val="Placeholder Text"/>
    <w:basedOn w:val="Domylnaczcionkaakapitu"/>
    <w:uiPriority w:val="98"/>
    <w:semiHidden/>
    <w:rsid w:val="0096441B"/>
    <w:rPr>
      <w:color w:val="auto"/>
      <w:bdr w:val="none" w:sz="0" w:space="0" w:color="auto"/>
      <w:shd w:val="clear" w:color="auto" w:fill="DFDFDF" w:themeFill="background2" w:themeFillShade="E6"/>
    </w:rPr>
  </w:style>
  <w:style w:type="paragraph" w:styleId="Zwykytekst">
    <w:name w:val="Plain Text"/>
    <w:basedOn w:val="Normalny"/>
    <w:link w:val="ZwykytekstZnak"/>
    <w:uiPriority w:val="98"/>
    <w:semiHidden/>
    <w:rsid w:val="0096441B"/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8"/>
    <w:semiHidden/>
    <w:rsid w:val="0096441B"/>
    <w:rPr>
      <w:rFonts w:ascii="Consolas" w:hAnsi="Consolas" w:cs="Consolas"/>
      <w:sz w:val="21"/>
      <w:szCs w:val="21"/>
      <w:lang w:val="en-GB"/>
    </w:rPr>
  </w:style>
  <w:style w:type="paragraph" w:styleId="Zwrotgrzecznociowy">
    <w:name w:val="Salutation"/>
    <w:basedOn w:val="Normalny"/>
    <w:next w:val="Normalny"/>
    <w:link w:val="ZwrotgrzecznociowyZnak"/>
    <w:uiPriority w:val="98"/>
    <w:semiHidden/>
    <w:rsid w:val="0096441B"/>
  </w:style>
  <w:style w:type="character" w:customStyle="1" w:styleId="ZwrotgrzecznociowyZnak">
    <w:name w:val="Zwrot grzecznościowy Znak"/>
    <w:basedOn w:val="Domylnaczcionkaakapitu"/>
    <w:link w:val="Zwrotgrzecznociowy"/>
    <w:uiPriority w:val="98"/>
    <w:semiHidden/>
    <w:rsid w:val="0096441B"/>
    <w:rPr>
      <w:sz w:val="24"/>
      <w:szCs w:val="24"/>
      <w:lang w:val="en-GB"/>
    </w:rPr>
  </w:style>
  <w:style w:type="paragraph" w:styleId="Podpis">
    <w:name w:val="Signature"/>
    <w:basedOn w:val="Normalny"/>
    <w:link w:val="PodpisZnak"/>
    <w:uiPriority w:val="98"/>
    <w:semiHidden/>
    <w:rsid w:val="0096441B"/>
    <w:pPr>
      <w:ind w:left="4252"/>
    </w:pPr>
  </w:style>
  <w:style w:type="character" w:customStyle="1" w:styleId="PodpisZnak">
    <w:name w:val="Podpis Znak"/>
    <w:basedOn w:val="Domylnaczcionkaakapitu"/>
    <w:link w:val="Podpis"/>
    <w:uiPriority w:val="98"/>
    <w:semiHidden/>
    <w:rsid w:val="0096441B"/>
    <w:rPr>
      <w:sz w:val="24"/>
      <w:szCs w:val="24"/>
      <w:lang w:val="en-GB"/>
    </w:rPr>
  </w:style>
  <w:style w:type="table" w:styleId="Tabela-Efekty3D1">
    <w:name w:val="Table 3D effects 1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Efekty3D2">
    <w:name w:val="Table 3D effects 2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Efekty3D3">
    <w:name w:val="Table 3D effects 3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1">
    <w:name w:val="Table Classic 1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2">
    <w:name w:val="Table Classic 2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3">
    <w:name w:val="Table Classic 3"/>
    <w:basedOn w:val="Standardowy"/>
    <w:uiPriority w:val="99"/>
    <w:semiHidden/>
    <w:unhideWhenUsed/>
    <w:rsid w:val="0096441B"/>
    <w:pPr>
      <w:jc w:val="both"/>
    </w:pPr>
    <w:rPr>
      <w:color w:val="000080"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lasyczny4">
    <w:name w:val="Table Classic 4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1">
    <w:name w:val="Table Colorful 1"/>
    <w:basedOn w:val="Standardowy"/>
    <w:uiPriority w:val="99"/>
    <w:semiHidden/>
    <w:unhideWhenUsed/>
    <w:rsid w:val="0096441B"/>
    <w:pPr>
      <w:jc w:val="both"/>
    </w:pPr>
    <w:rPr>
      <w:color w:val="FFFFFF"/>
      <w:sz w:val="24"/>
      <w:szCs w:val="24"/>
    </w:rPr>
    <w:tblPr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2">
    <w:name w:val="Table Colorful 2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bottom w:val="single" w:sz="12" w:space="0" w:color="00000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orowy3">
    <w:name w:val="Table Colorful 3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Kolumnowy1">
    <w:name w:val="Table Columns 1"/>
    <w:basedOn w:val="Standardowy"/>
    <w:uiPriority w:val="99"/>
    <w:semiHidden/>
    <w:unhideWhenUsed/>
    <w:rsid w:val="0096441B"/>
    <w:pPr>
      <w:jc w:val="both"/>
    </w:pPr>
    <w:rPr>
      <w:b/>
      <w:bCs/>
      <w:sz w:val="24"/>
      <w:szCs w:val="24"/>
    </w:rPr>
    <w:tblPr>
      <w:tblStyleColBandSize w:val="1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2">
    <w:name w:val="Table Columns 2"/>
    <w:basedOn w:val="Standardowy"/>
    <w:uiPriority w:val="99"/>
    <w:semiHidden/>
    <w:unhideWhenUsed/>
    <w:rsid w:val="0096441B"/>
    <w:pPr>
      <w:jc w:val="both"/>
    </w:pPr>
    <w:rPr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3">
    <w:name w:val="Table Columns 3"/>
    <w:basedOn w:val="Standardowy"/>
    <w:uiPriority w:val="99"/>
    <w:semiHidden/>
    <w:unhideWhenUsed/>
    <w:rsid w:val="0096441B"/>
    <w:pPr>
      <w:jc w:val="both"/>
    </w:pPr>
    <w:rPr>
      <w:b/>
      <w:bCs/>
      <w:sz w:val="24"/>
      <w:szCs w:val="24"/>
    </w:rPr>
    <w:tblPr>
      <w:tblStyleColBandSize w:val="1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Kolumnowy4">
    <w:name w:val="Table Columns 4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ela-Kolumnowy5">
    <w:name w:val="Table Columns 5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ColBandSize w:val="1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ela-Wspczesny">
    <w:name w:val="Table Contemporary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RowBandSize w:val="1"/>
      <w:tblBorders>
        <w:insideH w:val="single" w:sz="18" w:space="0" w:color="FFFFFF"/>
        <w:insideV w:val="single" w:sz="18" w:space="0" w:color="FFFFFF"/>
      </w:tblBorders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ela-Elegancki">
    <w:name w:val="Table Elegant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1">
    <w:name w:val="Table Grid 1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2">
    <w:name w:val="Table Grid 2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3">
    <w:name w:val="Table Grid 3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4">
    <w:name w:val="Table Grid 4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atka5">
    <w:name w:val="Table Grid 5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6">
    <w:name w:val="Table Grid 6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7">
    <w:name w:val="Table Grid 7"/>
    <w:basedOn w:val="Standardowy"/>
    <w:uiPriority w:val="99"/>
    <w:semiHidden/>
    <w:unhideWhenUsed/>
    <w:rsid w:val="0096441B"/>
    <w:pPr>
      <w:jc w:val="both"/>
    </w:pPr>
    <w:rPr>
      <w:b/>
      <w:bCs/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ela-Siatka8">
    <w:name w:val="Table Grid 8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1">
    <w:name w:val="Table List 1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RowBandSize w:val="1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2">
    <w:name w:val="Table List 2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RowBandSize w:val="2"/>
      <w:tblBorders>
        <w:bottom w:val="single" w:sz="12" w:space="0" w:color="808080"/>
      </w:tblBorders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3">
    <w:name w:val="Table List 3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2" w:space="0" w:color="000000"/>
        <w:bottom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4">
    <w:name w:val="Table List 4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ela-Lista5">
    <w:name w:val="Table List 5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Lista6">
    <w:name w:val="Table List 6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ela-Lista7">
    <w:name w:val="Table List 7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RowBandSize w:val="1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ela-Lista8">
    <w:name w:val="Table List 8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RowBandSize w:val="1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paragraph" w:styleId="Wykazrde">
    <w:name w:val="table of authorities"/>
    <w:basedOn w:val="Normalny"/>
    <w:next w:val="Normalny"/>
    <w:uiPriority w:val="98"/>
    <w:semiHidden/>
    <w:rsid w:val="0096441B"/>
    <w:pPr>
      <w:ind w:left="240" w:hanging="240"/>
    </w:pPr>
  </w:style>
  <w:style w:type="paragraph" w:styleId="Spisilustracji">
    <w:name w:val="table of figures"/>
    <w:basedOn w:val="Normalny"/>
    <w:next w:val="Normalny"/>
    <w:uiPriority w:val="98"/>
    <w:semiHidden/>
    <w:rsid w:val="0096441B"/>
  </w:style>
  <w:style w:type="table" w:styleId="Tabela-Profesjonalny">
    <w:name w:val="Table Professional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Prosty1">
    <w:name w:val="Table Simple 1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2" w:space="0" w:color="008000"/>
        <w:bottom w:val="single" w:sz="12" w:space="0" w:color="008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ela-Prosty2">
    <w:name w:val="Table Simple 2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/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ela-Prosty3">
    <w:name w:val="Table Simple 3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ela-Delikatny1">
    <w:name w:val="Table Subtle 1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StyleRowBandSize w:val="1"/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Delikatny2">
    <w:name w:val="Table Subtle 2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left w:val="single" w:sz="6" w:space="0" w:color="000000"/>
        <w:right w:val="single" w:sz="6" w:space="0" w:color="000000"/>
      </w:tblBorders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Motyw">
    <w:name w:val="Table Theme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eWeb1">
    <w:name w:val="Table Web 1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2">
    <w:name w:val="Table Web 2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CellSpacing w:w="2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ela-SieWeb3">
    <w:name w:val="Table Web 3"/>
    <w:basedOn w:val="Standardowy"/>
    <w:uiPriority w:val="99"/>
    <w:semiHidden/>
    <w:unhideWhenUsed/>
    <w:rsid w:val="0096441B"/>
    <w:pPr>
      <w:jc w:val="both"/>
    </w:pPr>
    <w:rPr>
      <w:sz w:val="24"/>
      <w:szCs w:val="24"/>
    </w:rPr>
    <w:tblPr>
      <w:tblCellSpacing w:w="2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pistreci6">
    <w:name w:val="toc 6"/>
    <w:basedOn w:val="Normalny"/>
    <w:next w:val="Normalny"/>
    <w:autoRedefine/>
    <w:uiPriority w:val="98"/>
    <w:semiHidden/>
    <w:rsid w:val="0096441B"/>
    <w:pPr>
      <w:tabs>
        <w:tab w:val="right" w:leader="dot" w:pos="7371"/>
      </w:tabs>
      <w:spacing w:after="60" w:line="240" w:lineRule="exact"/>
      <w:ind w:left="2041" w:right="567" w:hanging="340"/>
    </w:pPr>
    <w:rPr>
      <w:sz w:val="20"/>
    </w:rPr>
  </w:style>
  <w:style w:type="paragraph" w:styleId="Spistreci7">
    <w:name w:val="toc 7"/>
    <w:basedOn w:val="Normalny"/>
    <w:next w:val="Normalny"/>
    <w:autoRedefine/>
    <w:uiPriority w:val="98"/>
    <w:semiHidden/>
    <w:rsid w:val="0096441B"/>
    <w:pPr>
      <w:tabs>
        <w:tab w:val="right" w:leader="dot" w:pos="7371"/>
      </w:tabs>
      <w:spacing w:after="60" w:line="240" w:lineRule="exact"/>
      <w:ind w:left="2381" w:right="567" w:hanging="340"/>
    </w:pPr>
    <w:rPr>
      <w:sz w:val="20"/>
    </w:rPr>
  </w:style>
  <w:style w:type="paragraph" w:styleId="Spistreci8">
    <w:name w:val="toc 8"/>
    <w:basedOn w:val="Normalny"/>
    <w:next w:val="Normalny"/>
    <w:autoRedefine/>
    <w:uiPriority w:val="98"/>
    <w:semiHidden/>
    <w:rsid w:val="0096441B"/>
    <w:pPr>
      <w:spacing w:after="100"/>
      <w:ind w:left="1680"/>
    </w:pPr>
  </w:style>
  <w:style w:type="paragraph" w:styleId="Spistreci9">
    <w:name w:val="toc 9"/>
    <w:basedOn w:val="Normalny"/>
    <w:next w:val="Normalny"/>
    <w:autoRedefine/>
    <w:uiPriority w:val="98"/>
    <w:semiHidden/>
    <w:rsid w:val="0096441B"/>
    <w:pPr>
      <w:spacing w:after="100"/>
      <w:ind w:left="1920"/>
    </w:pPr>
  </w:style>
  <w:style w:type="paragraph" w:customStyle="1" w:styleId="ECHRFooter">
    <w:name w:val="ECHR_Footer"/>
    <w:aliases w:val="Footer_ECHR"/>
    <w:basedOn w:val="Stopka"/>
    <w:uiPriority w:val="57"/>
    <w:semiHidden/>
    <w:rsid w:val="0064393B"/>
    <w:rPr>
      <w:sz w:val="8"/>
    </w:rPr>
  </w:style>
  <w:style w:type="paragraph" w:customStyle="1" w:styleId="ECHRFooterLine">
    <w:name w:val="ECHR_Footer_Line"/>
    <w:aliases w:val="_Footer_Line"/>
    <w:basedOn w:val="Normalny"/>
    <w:next w:val="Normalny"/>
    <w:uiPriority w:val="30"/>
    <w:semiHidden/>
    <w:rsid w:val="0096441B"/>
    <w:pPr>
      <w:pBdr>
        <w:top w:val="single" w:sz="6" w:space="1" w:color="5F5F5F"/>
      </w:pBdr>
      <w:tabs>
        <w:tab w:val="center" w:pos="3686"/>
        <w:tab w:val="right" w:pos="7371"/>
      </w:tabs>
      <w:ind w:left="-1474" w:right="-1474"/>
    </w:pPr>
    <w:rPr>
      <w:color w:val="5F5F5F"/>
    </w:rPr>
  </w:style>
  <w:style w:type="paragraph" w:customStyle="1" w:styleId="DecHCase">
    <w:name w:val="Dec_H_Case"/>
    <w:aliases w:val="_Title_3"/>
    <w:basedOn w:val="JuPara"/>
    <w:next w:val="JuPara"/>
    <w:uiPriority w:val="38"/>
    <w:qFormat/>
    <w:rsid w:val="0096441B"/>
    <w:pPr>
      <w:keepNext/>
      <w:keepLines/>
      <w:spacing w:after="280"/>
      <w:ind w:firstLine="0"/>
      <w:jc w:val="center"/>
    </w:pPr>
    <w:rPr>
      <w:rFonts w:asciiTheme="majorHAnsi" w:hAnsiTheme="majorHAnsi"/>
    </w:rPr>
  </w:style>
  <w:style w:type="paragraph" w:customStyle="1" w:styleId="JuTitle">
    <w:name w:val="Ju_Title"/>
    <w:aliases w:val="_Title_2"/>
    <w:basedOn w:val="Normalny"/>
    <w:next w:val="JuPara"/>
    <w:uiPriority w:val="38"/>
    <w:qFormat/>
    <w:rsid w:val="0096441B"/>
    <w:pPr>
      <w:keepNext/>
      <w:keepLines/>
      <w:spacing w:before="1320" w:after="280"/>
      <w:contextualSpacing/>
      <w:jc w:val="center"/>
    </w:pPr>
    <w:rPr>
      <w:b/>
    </w:rPr>
  </w:style>
  <w:style w:type="paragraph" w:customStyle="1" w:styleId="ECHRHeaderLandscape">
    <w:name w:val="ECHR_Header_Landscape"/>
    <w:aliases w:val="_Header_Landscape"/>
    <w:basedOn w:val="JuHeader"/>
    <w:uiPriority w:val="29"/>
    <w:semiHidden/>
    <w:rsid w:val="0096441B"/>
    <w:pPr>
      <w:tabs>
        <w:tab w:val="center" w:pos="6146"/>
        <w:tab w:val="right" w:pos="13778"/>
      </w:tabs>
      <w:ind w:left="-1474" w:right="-1474"/>
    </w:pPr>
  </w:style>
  <w:style w:type="paragraph" w:customStyle="1" w:styleId="ECHRBullet1">
    <w:name w:val="ECHR_Bullet_1"/>
    <w:aliases w:val="_Bul_1"/>
    <w:basedOn w:val="NormalJustified"/>
    <w:uiPriority w:val="23"/>
    <w:semiHidden/>
    <w:qFormat/>
    <w:rsid w:val="0096441B"/>
    <w:pPr>
      <w:numPr>
        <w:numId w:val="19"/>
      </w:numPr>
      <w:spacing w:before="60" w:after="60"/>
    </w:pPr>
  </w:style>
  <w:style w:type="paragraph" w:customStyle="1" w:styleId="ECHRBullet2">
    <w:name w:val="ECHR_Bullet_2"/>
    <w:aliases w:val="_Bul_2"/>
    <w:basedOn w:val="ECHRBullet1"/>
    <w:uiPriority w:val="23"/>
    <w:semiHidden/>
    <w:rsid w:val="0096441B"/>
    <w:pPr>
      <w:numPr>
        <w:ilvl w:val="1"/>
      </w:numPr>
    </w:pPr>
  </w:style>
  <w:style w:type="paragraph" w:customStyle="1" w:styleId="ECHRBullet3">
    <w:name w:val="ECHR_Bullet_3"/>
    <w:aliases w:val="_Bul_3"/>
    <w:basedOn w:val="ECHRBullet2"/>
    <w:uiPriority w:val="23"/>
    <w:semiHidden/>
    <w:rsid w:val="0096441B"/>
    <w:pPr>
      <w:numPr>
        <w:ilvl w:val="2"/>
      </w:numPr>
    </w:pPr>
  </w:style>
  <w:style w:type="paragraph" w:customStyle="1" w:styleId="ECHRBullet4">
    <w:name w:val="ECHR_Bullet_4"/>
    <w:aliases w:val="_Bul_4"/>
    <w:basedOn w:val="ECHRBullet3"/>
    <w:uiPriority w:val="23"/>
    <w:semiHidden/>
    <w:rsid w:val="0096441B"/>
    <w:pPr>
      <w:numPr>
        <w:ilvl w:val="3"/>
      </w:numPr>
    </w:pPr>
  </w:style>
  <w:style w:type="paragraph" w:customStyle="1" w:styleId="ECHRConfidential">
    <w:name w:val="ECHR_Confidential"/>
    <w:aliases w:val="_Confidential"/>
    <w:basedOn w:val="Normalny"/>
    <w:next w:val="Normalny"/>
    <w:uiPriority w:val="42"/>
    <w:semiHidden/>
    <w:qFormat/>
    <w:rsid w:val="0096441B"/>
    <w:pPr>
      <w:jc w:val="right"/>
    </w:pPr>
    <w:rPr>
      <w:color w:val="C00000"/>
      <w:sz w:val="20"/>
    </w:rPr>
  </w:style>
  <w:style w:type="paragraph" w:customStyle="1" w:styleId="ECHRDecisionBody">
    <w:name w:val="ECHR_Decision_Body"/>
    <w:aliases w:val="_Decision_Body"/>
    <w:basedOn w:val="NormalJustified"/>
    <w:uiPriority w:val="54"/>
    <w:semiHidden/>
    <w:rsid w:val="0096441B"/>
    <w:pPr>
      <w:tabs>
        <w:tab w:val="left" w:pos="567"/>
        <w:tab w:val="left" w:pos="1134"/>
      </w:tabs>
      <w:spacing w:line="240" w:lineRule="exact"/>
      <w:jc w:val="left"/>
    </w:pPr>
  </w:style>
  <w:style w:type="paragraph" w:customStyle="1" w:styleId="ECHRDivisionName">
    <w:name w:val="ECHR_DivisionName"/>
    <w:aliases w:val="_Div_Name"/>
    <w:basedOn w:val="Normalny"/>
    <w:link w:val="ECHRDivisionNameChar"/>
    <w:uiPriority w:val="41"/>
    <w:semiHidden/>
    <w:qFormat/>
    <w:rsid w:val="0096441B"/>
    <w:pPr>
      <w:contextualSpacing/>
      <w:jc w:val="center"/>
    </w:pPr>
    <w:rPr>
      <w:rFonts w:ascii="Arial" w:hAnsi="Arial"/>
      <w:i/>
      <w:color w:val="002856"/>
      <w:sz w:val="32"/>
    </w:rPr>
  </w:style>
  <w:style w:type="character" w:customStyle="1" w:styleId="ECHRDivisionNameChar">
    <w:name w:val="ECHR_DivisionName Char"/>
    <w:aliases w:val="_Div_Name Char"/>
    <w:basedOn w:val="Domylnaczcionkaakapitu"/>
    <w:link w:val="ECHRDivisionName"/>
    <w:uiPriority w:val="41"/>
    <w:semiHidden/>
    <w:rsid w:val="0096441B"/>
    <w:rPr>
      <w:rFonts w:ascii="Arial" w:hAnsi="Arial"/>
      <w:i/>
      <w:color w:val="002856"/>
      <w:sz w:val="32"/>
      <w:szCs w:val="24"/>
      <w:lang w:val="en-GB"/>
    </w:rPr>
  </w:style>
  <w:style w:type="paragraph" w:customStyle="1" w:styleId="ECHRFooterLineLandscape">
    <w:name w:val="ECHR_Footer_Line_Landscape"/>
    <w:aliases w:val="_Footer_Line_Landscape"/>
    <w:basedOn w:val="Normalny"/>
    <w:uiPriority w:val="30"/>
    <w:semiHidden/>
    <w:rsid w:val="0096441B"/>
    <w:pPr>
      <w:pBdr>
        <w:top w:val="single" w:sz="8" w:space="1" w:color="7F7F7F" w:themeColor="text1" w:themeTint="80"/>
      </w:pBdr>
      <w:tabs>
        <w:tab w:val="center" w:pos="6146"/>
        <w:tab w:val="right" w:pos="12293"/>
      </w:tabs>
      <w:ind w:left="-1474" w:right="-1474"/>
    </w:pPr>
    <w:rPr>
      <w:color w:val="474747" w:themeColor="accent3" w:themeShade="BF"/>
      <w:sz w:val="22"/>
    </w:rPr>
  </w:style>
  <w:style w:type="paragraph" w:customStyle="1" w:styleId="ECHRHeaderDate">
    <w:name w:val="ECHR_Header_Date"/>
    <w:aliases w:val="_Ref_Date"/>
    <w:basedOn w:val="Normalny"/>
    <w:uiPriority w:val="44"/>
    <w:semiHidden/>
    <w:qFormat/>
    <w:rsid w:val="0096441B"/>
    <w:pPr>
      <w:jc w:val="right"/>
    </w:pPr>
    <w:rPr>
      <w:sz w:val="20"/>
    </w:rPr>
  </w:style>
  <w:style w:type="paragraph" w:customStyle="1" w:styleId="ECHRHeaderRefIt">
    <w:name w:val="ECHR_Header_Ref_It"/>
    <w:aliases w:val="_Ref_Ital"/>
    <w:basedOn w:val="Normalny"/>
    <w:next w:val="ECHRHeaderDate"/>
    <w:uiPriority w:val="43"/>
    <w:semiHidden/>
    <w:qFormat/>
    <w:rsid w:val="0096441B"/>
    <w:pPr>
      <w:jc w:val="right"/>
    </w:pPr>
    <w:rPr>
      <w:i/>
      <w:sz w:val="20"/>
    </w:rPr>
  </w:style>
  <w:style w:type="paragraph" w:customStyle="1" w:styleId="ECHRHeading9">
    <w:name w:val="ECHR_Heading_9"/>
    <w:aliases w:val="_Head_9"/>
    <w:basedOn w:val="Nagwek9"/>
    <w:uiPriority w:val="17"/>
    <w:semiHidden/>
    <w:rsid w:val="0096441B"/>
    <w:pPr>
      <w:keepNext/>
      <w:keepLines/>
      <w:numPr>
        <w:ilvl w:val="8"/>
        <w:numId w:val="21"/>
      </w:numPr>
      <w:spacing w:before="100" w:beforeAutospacing="1"/>
      <w:contextualSpacing/>
      <w:jc w:val="both"/>
    </w:pPr>
    <w:rPr>
      <w:i w:val="0"/>
      <w:sz w:val="18"/>
    </w:rPr>
  </w:style>
  <w:style w:type="paragraph" w:customStyle="1" w:styleId="ECHRLine">
    <w:name w:val="ECHR_Line"/>
    <w:aliases w:val="_Line"/>
    <w:basedOn w:val="NormalJustified"/>
    <w:next w:val="Normalny"/>
    <w:uiPriority w:val="46"/>
    <w:semiHidden/>
    <w:rsid w:val="0096441B"/>
    <w:pPr>
      <w:pBdr>
        <w:bottom w:val="single" w:sz="12" w:space="1" w:color="949494" w:themeColor="text2" w:themeShade="BF"/>
      </w:pBdr>
      <w:spacing w:after="120"/>
    </w:pPr>
    <w:rPr>
      <w:sz w:val="12"/>
    </w:rPr>
  </w:style>
  <w:style w:type="paragraph" w:customStyle="1" w:styleId="ECHRNumberedList1">
    <w:name w:val="ECHR_Numbered_List_1"/>
    <w:aliases w:val="_Num_1"/>
    <w:basedOn w:val="NormalJustified"/>
    <w:uiPriority w:val="23"/>
    <w:semiHidden/>
    <w:qFormat/>
    <w:rsid w:val="0096441B"/>
    <w:pPr>
      <w:numPr>
        <w:numId w:val="20"/>
      </w:numPr>
      <w:spacing w:before="60" w:after="60"/>
    </w:pPr>
  </w:style>
  <w:style w:type="paragraph" w:customStyle="1" w:styleId="ECHRNumberedList2">
    <w:name w:val="ECHR_Numbered_List_2"/>
    <w:aliases w:val="_Num_2"/>
    <w:basedOn w:val="ECHRNumberedList1"/>
    <w:uiPriority w:val="23"/>
    <w:semiHidden/>
    <w:rsid w:val="0096441B"/>
    <w:pPr>
      <w:numPr>
        <w:ilvl w:val="1"/>
      </w:numPr>
    </w:pPr>
  </w:style>
  <w:style w:type="paragraph" w:customStyle="1" w:styleId="ECHRNumberedList3">
    <w:name w:val="ECHR_Numbered_List_3"/>
    <w:aliases w:val="_Num_3"/>
    <w:basedOn w:val="ECHRNumberedList2"/>
    <w:uiPriority w:val="23"/>
    <w:semiHidden/>
    <w:rsid w:val="0096441B"/>
    <w:pPr>
      <w:numPr>
        <w:ilvl w:val="2"/>
      </w:numPr>
    </w:pPr>
  </w:style>
  <w:style w:type="paragraph" w:customStyle="1" w:styleId="ECHRParaHanging">
    <w:name w:val="ECHR_Para_Hanging"/>
    <w:aliases w:val="_Hanging"/>
    <w:basedOn w:val="NormalJustified"/>
    <w:uiPriority w:val="8"/>
    <w:semiHidden/>
    <w:qFormat/>
    <w:rsid w:val="0096441B"/>
    <w:pPr>
      <w:ind w:left="567" w:hanging="567"/>
    </w:pPr>
  </w:style>
  <w:style w:type="paragraph" w:customStyle="1" w:styleId="ECHRParaIndent">
    <w:name w:val="ECHR_Para_Indent"/>
    <w:aliases w:val="_Indent"/>
    <w:basedOn w:val="NormalJustified"/>
    <w:uiPriority w:val="7"/>
    <w:semiHidden/>
    <w:qFormat/>
    <w:rsid w:val="0096441B"/>
    <w:pPr>
      <w:spacing w:before="120" w:after="120"/>
      <w:ind w:left="284"/>
    </w:pPr>
  </w:style>
  <w:style w:type="character" w:customStyle="1" w:styleId="ECHRRed">
    <w:name w:val="ECHR_Red"/>
    <w:aliases w:val="_Red"/>
    <w:basedOn w:val="Domylnaczcionkaakapitu"/>
    <w:uiPriority w:val="15"/>
    <w:semiHidden/>
    <w:qFormat/>
    <w:rsid w:val="0096441B"/>
    <w:rPr>
      <w:color w:val="C00000" w:themeColor="accent2"/>
    </w:rPr>
  </w:style>
  <w:style w:type="paragraph" w:customStyle="1" w:styleId="DecList">
    <w:name w:val="Dec_List"/>
    <w:aliases w:val="_List"/>
    <w:basedOn w:val="JuList"/>
    <w:uiPriority w:val="22"/>
    <w:rsid w:val="0096441B"/>
    <w:pPr>
      <w:numPr>
        <w:numId w:val="0"/>
      </w:numPr>
      <w:ind w:left="284"/>
    </w:pPr>
  </w:style>
  <w:style w:type="table" w:customStyle="1" w:styleId="ECHRTable2">
    <w:name w:val="ECHR_Table_2"/>
    <w:basedOn w:val="Standardowy"/>
    <w:uiPriority w:val="99"/>
    <w:rsid w:val="0096441B"/>
    <w:pPr>
      <w:tabs>
        <w:tab w:val="left" w:pos="567"/>
        <w:tab w:val="left" w:pos="851"/>
        <w:tab w:val="right" w:pos="5273"/>
      </w:tabs>
    </w:pPr>
    <w:rPr>
      <w:color w:val="262626" w:themeColor="text1" w:themeTint="D9"/>
      <w:sz w:val="24"/>
      <w:szCs w:val="24"/>
    </w:rPr>
    <w:tblPr>
      <w:tblStyleRowBandSize w:val="1"/>
      <w:tblStyleColBandSize w:val="1"/>
      <w:tblCellSpacing w:w="28" w:type="dxa"/>
      <w:tblInd w:w="-964" w:type="dxa"/>
      <w:tblCellMar>
        <w:top w:w="85" w:type="dxa"/>
        <w:left w:w="113" w:type="dxa"/>
        <w:bottom w:w="85" w:type="dxa"/>
        <w:right w:w="113" w:type="dxa"/>
      </w:tblCellMar>
    </w:tblPr>
    <w:trPr>
      <w:tblCellSpacing w:w="28" w:type="dxa"/>
    </w:trPr>
    <w:tblStylePr w:type="firstRow">
      <w:pPr>
        <w:jc w:val="center"/>
      </w:pPr>
      <w:rPr>
        <w:b/>
        <w:sz w:val="24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FDFDF" w:themeFill="background2" w:themeFillShade="E6"/>
      </w:tcPr>
    </w:tblStylePr>
    <w:tblStylePr w:type="lastRow"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CECEC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EFF8FF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3FCE8"/>
      </w:tcPr>
    </w:tblStylePr>
    <w:tblStylePr w:type="band1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  <w:tblStylePr w:type="band2Vert">
      <w:pPr>
        <w:jc w:val="center"/>
      </w:pPr>
      <w:rPr>
        <w:b/>
        <w:sz w:val="28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</w:tcPr>
    </w:tblStylePr>
    <w:tblStylePr w:type="band2Horz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F8F8F8" w:themeFill="background2"/>
      </w:tcPr>
    </w:tblStylePr>
    <w:tblStylePr w:type="ne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DCF6BC"/>
      </w:tcPr>
    </w:tblStylePr>
    <w:tblStylePr w:type="nwCell">
      <w:pPr>
        <w:jc w:val="center"/>
      </w:pPr>
      <w:rPr>
        <w:b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DEBFF"/>
      </w:tcPr>
    </w:tblStylePr>
    <w:tblStylePr w:type="se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C6F094"/>
      </w:tcPr>
    </w:tblStylePr>
    <w:tblStylePr w:type="swCell">
      <w:tblPr/>
      <w:tcPr>
        <w:tcBorders>
          <w:top w:val="nil"/>
          <w:left w:val="nil"/>
          <w:bottom w:val="nil"/>
          <w:right w:val="nil"/>
          <w:insideH w:val="nil"/>
          <w:insideV w:val="nil"/>
          <w:tl2br w:val="nil"/>
          <w:tr2bl w:val="nil"/>
        </w:tcBorders>
        <w:shd w:val="clear" w:color="auto" w:fill="A7DBFF"/>
      </w:tcPr>
    </w:tblStylePr>
  </w:style>
  <w:style w:type="table" w:customStyle="1" w:styleId="ECHRTable2016">
    <w:name w:val="ECHR_Table_2016"/>
    <w:basedOn w:val="Standardowy"/>
    <w:uiPriority w:val="99"/>
    <w:rsid w:val="0096441B"/>
    <w:rPr>
      <w:sz w:val="24"/>
      <w:szCs w:val="24"/>
    </w:rPr>
    <w:tblPr>
      <w:tblStyleRowBandSize w:val="1"/>
      <w:tblStyleColBandSize w:val="1"/>
      <w:jc w:val="center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  <w:insideH w:val="single" w:sz="4" w:space="0" w:color="5F5F5F" w:themeColor="accent3"/>
        <w:insideV w:val="single" w:sz="4" w:space="0" w:color="5F5F5F" w:themeColor="accent3"/>
      </w:tblBorders>
    </w:tblPr>
    <w:trPr>
      <w:jc w:val="center"/>
    </w:trPr>
    <w:tblStylePr w:type="firstRow">
      <w:rPr>
        <w:rFonts w:asciiTheme="majorHAnsi" w:hAnsiTheme="majorHAnsi"/>
        <w:b/>
        <w:i w:val="0"/>
        <w:color w:val="F8F8F8" w:themeColor="background2"/>
        <w:sz w:val="22"/>
      </w:rPr>
      <w:tblPr/>
      <w:trPr>
        <w:tblHeader/>
      </w:trPr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single" w:sz="4" w:space="0" w:color="5F5F5F" w:themeColor="accent3"/>
          <w:insideV w:val="single" w:sz="4" w:space="0" w:color="F8F8F8" w:themeColor="background2"/>
          <w:tl2br w:val="nil"/>
          <w:tr2bl w:val="nil"/>
        </w:tcBorders>
        <w:shd w:val="clear" w:color="auto" w:fill="5F5F5F" w:themeFill="accent3"/>
      </w:tcPr>
    </w:tblStylePr>
    <w:tblStylePr w:type="lastRow">
      <w:rPr>
        <w:b/>
        <w:i w:val="0"/>
      </w:rPr>
      <w:tblPr/>
      <w:tcPr>
        <w:tcBorders>
          <w:top w:val="single" w:sz="8" w:space="0" w:color="5F5F5F" w:themeColor="accent3"/>
          <w:left w:val="single" w:sz="4" w:space="0" w:color="5F5F5F" w:themeColor="accent3"/>
          <w:bottom w:val="single" w:sz="8" w:space="0" w:color="5F5F5F" w:themeColor="accent3"/>
          <w:right w:val="single" w:sz="4" w:space="0" w:color="5F5F5F" w:themeColor="accent3"/>
          <w:insideH w:val="nil"/>
          <w:insideV w:val="single" w:sz="4" w:space="0" w:color="5F5F5F" w:themeColor="accent3"/>
          <w:tl2br w:val="nil"/>
          <w:tr2bl w:val="nil"/>
        </w:tcBorders>
      </w:tcPr>
    </w:tblStylePr>
    <w:tblStylePr w:type="firstCol">
      <w:rPr>
        <w:rFonts w:asciiTheme="majorHAnsi" w:hAnsiTheme="majorHAnsi"/>
        <w:b/>
        <w:i w:val="0"/>
        <w:color w:val="3E3E3E" w:themeColor="background2" w:themeShade="40"/>
        <w:sz w:val="22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lastCol">
      <w:rPr>
        <w:b/>
        <w:i w:val="0"/>
      </w:rPr>
    </w:tblStylePr>
    <w:tblStylePr w:type="band2Vert"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  <w:tl2br w:val="nil"/>
          <w:tr2bl w:val="nil"/>
        </w:tcBorders>
        <w:shd w:val="clear" w:color="auto" w:fill="E8E8E8" w:themeFill="text2" w:themeFillTint="66"/>
      </w:tcPr>
    </w:tblStylePr>
    <w:tblStylePr w:type="band2Horz"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single" w:sz="4" w:space="0" w:color="0072BC" w:themeColor="accent1"/>
          <w:insideV w:val="single" w:sz="4" w:space="0" w:color="0072BC" w:themeColor="accent1"/>
          <w:tl2br w:val="nil"/>
          <w:tr2bl w:val="nil"/>
        </w:tcBorders>
        <w:shd w:val="clear" w:color="auto" w:fill="E8E8E8" w:themeFill="text2" w:themeFillTint="66"/>
      </w:tcPr>
    </w:tblStylePr>
  </w:style>
  <w:style w:type="paragraph" w:customStyle="1" w:styleId="ECHRTitle1">
    <w:name w:val="ECHR_Title_1"/>
    <w:aliases w:val="_Title_L_1"/>
    <w:basedOn w:val="Normalny"/>
    <w:next w:val="Normalny"/>
    <w:uiPriority w:val="28"/>
    <w:semiHidden/>
    <w:qFormat/>
    <w:rsid w:val="0096441B"/>
    <w:pPr>
      <w:keepNext/>
      <w:keepLines/>
      <w:spacing w:before="240"/>
      <w:contextualSpacing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2">
    <w:name w:val="ECHR_Title_2"/>
    <w:aliases w:val="_Title_L_2"/>
    <w:basedOn w:val="Normalny"/>
    <w:next w:val="Normalny"/>
    <w:uiPriority w:val="28"/>
    <w:semiHidden/>
    <w:qFormat/>
    <w:rsid w:val="0096441B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3">
    <w:name w:val="ECHR_Title_3"/>
    <w:aliases w:val="_Title_L_3"/>
    <w:basedOn w:val="Normalny"/>
    <w:next w:val="Normalny"/>
    <w:uiPriority w:val="28"/>
    <w:semiHidden/>
    <w:qFormat/>
    <w:rsid w:val="0096441B"/>
    <w:pPr>
      <w:keepNext/>
      <w:keepLines/>
      <w:spacing w:before="240"/>
      <w:contextualSpacing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1">
    <w:name w:val="ECHR_Title_Centre_1"/>
    <w:aliases w:val="_Title_C_1"/>
    <w:basedOn w:val="Normalny"/>
    <w:next w:val="Normalny"/>
    <w:uiPriority w:val="26"/>
    <w:semiHidden/>
    <w:qFormat/>
    <w:rsid w:val="0096441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2F2F2F" w:themeColor="accent3" w:themeShade="80"/>
      <w:sz w:val="32"/>
    </w:rPr>
  </w:style>
  <w:style w:type="paragraph" w:customStyle="1" w:styleId="ECHRTitleCentre2">
    <w:name w:val="ECHR_Title_Centre_2"/>
    <w:aliases w:val="_Title_C_2"/>
    <w:basedOn w:val="Normalny"/>
    <w:next w:val="Normalny"/>
    <w:uiPriority w:val="26"/>
    <w:semiHidden/>
    <w:qFormat/>
    <w:rsid w:val="0096441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  <w:sz w:val="28"/>
    </w:rPr>
  </w:style>
  <w:style w:type="paragraph" w:customStyle="1" w:styleId="ECHRTitleCentre3">
    <w:name w:val="ECHR_Title_Centre_3"/>
    <w:aliases w:val="_Title_C_3"/>
    <w:basedOn w:val="Normalny"/>
    <w:next w:val="Normalny"/>
    <w:uiPriority w:val="26"/>
    <w:semiHidden/>
    <w:qFormat/>
    <w:rsid w:val="0096441B"/>
    <w:pPr>
      <w:keepNext/>
      <w:keepLines/>
      <w:spacing w:before="240"/>
      <w:contextualSpacing/>
      <w:jc w:val="center"/>
    </w:pPr>
    <w:rPr>
      <w:rFonts w:asciiTheme="majorHAnsi" w:hAnsiTheme="majorHAnsi"/>
      <w:b/>
      <w:color w:val="474747" w:themeColor="accent3" w:themeShade="BF"/>
    </w:rPr>
  </w:style>
  <w:style w:type="paragraph" w:customStyle="1" w:styleId="ECHRTitleCentreTOC1">
    <w:name w:val="ECHR_Title_Centre_TOC_1"/>
    <w:aliases w:val="_Title_C_TOC"/>
    <w:basedOn w:val="ECHRTitleCentre1"/>
    <w:next w:val="Normalny"/>
    <w:uiPriority w:val="25"/>
    <w:semiHidden/>
    <w:qFormat/>
    <w:rsid w:val="0096441B"/>
    <w:pPr>
      <w:outlineLvl w:val="0"/>
    </w:pPr>
  </w:style>
  <w:style w:type="paragraph" w:customStyle="1" w:styleId="ECHRTitleTOC1">
    <w:name w:val="ECHR_Title_TOC_1"/>
    <w:aliases w:val="_Title_L_TOC"/>
    <w:basedOn w:val="ECHRTitle1"/>
    <w:next w:val="Normalny"/>
    <w:uiPriority w:val="27"/>
    <w:semiHidden/>
    <w:qFormat/>
    <w:rsid w:val="0096441B"/>
    <w:pPr>
      <w:outlineLvl w:val="0"/>
    </w:pPr>
  </w:style>
  <w:style w:type="paragraph" w:customStyle="1" w:styleId="ECHRPlaceholder">
    <w:name w:val="ECHR_Placeholder"/>
    <w:aliases w:val="_Placeholder"/>
    <w:basedOn w:val="JuSigned"/>
    <w:uiPriority w:val="31"/>
    <w:rsid w:val="0096441B"/>
    <w:rPr>
      <w:color w:val="FFFFFF"/>
    </w:rPr>
  </w:style>
  <w:style w:type="paragraph" w:customStyle="1" w:styleId="ECHRSpacer">
    <w:name w:val="ECHR_Spacer"/>
    <w:aliases w:val="_Spacer"/>
    <w:basedOn w:val="Normalny"/>
    <w:uiPriority w:val="45"/>
    <w:semiHidden/>
    <w:rsid w:val="0096441B"/>
    <w:rPr>
      <w:sz w:val="4"/>
    </w:rPr>
  </w:style>
  <w:style w:type="table" w:customStyle="1" w:styleId="ECHRTableGrey">
    <w:name w:val="ECHR_Table_Grey"/>
    <w:basedOn w:val="Standardowy"/>
    <w:uiPriority w:val="99"/>
    <w:rsid w:val="0096441B"/>
    <w:pPr>
      <w:tabs>
        <w:tab w:val="left" w:pos="397"/>
      </w:tabs>
    </w:pPr>
    <w:tblPr>
      <w:jc w:val="center"/>
      <w:tblBorders>
        <w:top w:val="single" w:sz="4" w:space="0" w:color="636363" w:themeColor="text2" w:themeShade="80"/>
        <w:left w:val="single" w:sz="4" w:space="0" w:color="636363" w:themeColor="text2" w:themeShade="80"/>
        <w:bottom w:val="single" w:sz="4" w:space="0" w:color="636363" w:themeColor="text2" w:themeShade="80"/>
        <w:right w:val="single" w:sz="4" w:space="0" w:color="636363" w:themeColor="text2" w:themeShade="80"/>
      </w:tblBorders>
      <w:tblCellMar>
        <w:top w:w="142" w:type="dxa"/>
        <w:bottom w:w="85" w:type="dxa"/>
      </w:tblCellMar>
    </w:tblPr>
    <w:trPr>
      <w:jc w:val="center"/>
    </w:trPr>
    <w:tcPr>
      <w:shd w:val="clear" w:color="auto" w:fill="F8F8F8" w:themeFill="background2"/>
    </w:tcPr>
    <w:tblStylePr w:type="firstRow">
      <w:rPr>
        <w:b/>
        <w:color w:val="262626" w:themeColor="text1" w:themeTint="D9"/>
      </w:rPr>
    </w:tblStyle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96441B"/>
    <w:rPr>
      <w:color w:val="605E5C"/>
      <w:shd w:val="clear" w:color="auto" w:fill="E1DFDD"/>
    </w:rPr>
  </w:style>
  <w:style w:type="character" w:customStyle="1" w:styleId="JuParaChar">
    <w:name w:val="Ju_Para Char"/>
    <w:aliases w:val="_Para Char"/>
    <w:link w:val="JuPara"/>
    <w:uiPriority w:val="4"/>
    <w:rsid w:val="00D734A7"/>
    <w:rPr>
      <w:sz w:val="24"/>
      <w:szCs w:val="24"/>
      <w:lang w:val="en-GB"/>
    </w:rPr>
  </w:style>
  <w:style w:type="table" w:styleId="Tabelasiatki1jasna">
    <w:name w:val="Grid Table 1 Light"/>
    <w:basedOn w:val="Standardowy"/>
    <w:uiPriority w:val="46"/>
    <w:semiHidden/>
    <w:rsid w:val="0096441B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1">
    <w:name w:val="Grid Table 1 Light Accent 1"/>
    <w:basedOn w:val="Standardowy"/>
    <w:uiPriority w:val="46"/>
    <w:semiHidden/>
    <w:rsid w:val="0096441B"/>
    <w:tblPr>
      <w:tblStyleRowBandSize w:val="1"/>
      <w:tblStyleColBandSize w:val="1"/>
      <w:tblBorders>
        <w:top w:val="single" w:sz="4" w:space="0" w:color="7ECBFF" w:themeColor="accent1" w:themeTint="66"/>
        <w:left w:val="single" w:sz="4" w:space="0" w:color="7ECBFF" w:themeColor="accent1" w:themeTint="66"/>
        <w:bottom w:val="single" w:sz="4" w:space="0" w:color="7ECBFF" w:themeColor="accent1" w:themeTint="66"/>
        <w:right w:val="single" w:sz="4" w:space="0" w:color="7ECBFF" w:themeColor="accent1" w:themeTint="66"/>
        <w:insideH w:val="single" w:sz="4" w:space="0" w:color="7ECBFF" w:themeColor="accent1" w:themeTint="66"/>
        <w:insideV w:val="single" w:sz="4" w:space="0" w:color="7ECBFF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2">
    <w:name w:val="Grid Table 1 Light Accent 2"/>
    <w:basedOn w:val="Standardowy"/>
    <w:uiPriority w:val="46"/>
    <w:semiHidden/>
    <w:rsid w:val="0096441B"/>
    <w:tblPr>
      <w:tblStyleRowBandSize w:val="1"/>
      <w:tblStyleColBandSize w:val="1"/>
      <w:tblBorders>
        <w:top w:val="single" w:sz="4" w:space="0" w:color="FF7F7F" w:themeColor="accent2" w:themeTint="66"/>
        <w:left w:val="single" w:sz="4" w:space="0" w:color="FF7F7F" w:themeColor="accent2" w:themeTint="66"/>
        <w:bottom w:val="single" w:sz="4" w:space="0" w:color="FF7F7F" w:themeColor="accent2" w:themeTint="66"/>
        <w:right w:val="single" w:sz="4" w:space="0" w:color="FF7F7F" w:themeColor="accent2" w:themeTint="66"/>
        <w:insideH w:val="single" w:sz="4" w:space="0" w:color="FF7F7F" w:themeColor="accent2" w:themeTint="66"/>
        <w:insideV w:val="single" w:sz="4" w:space="0" w:color="FF7F7F" w:themeColor="accent2" w:themeTint="66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3">
    <w:name w:val="Grid Table 1 Light Accent 3"/>
    <w:basedOn w:val="Standardowy"/>
    <w:uiPriority w:val="46"/>
    <w:semiHidden/>
    <w:rsid w:val="0096441B"/>
    <w:tblPr>
      <w:tblStyleRowBandSize w:val="1"/>
      <w:tblStyleColBandSize w:val="1"/>
      <w:tblBorders>
        <w:top w:val="single" w:sz="4" w:space="0" w:color="BFBFBF" w:themeColor="accent3" w:themeTint="66"/>
        <w:left w:val="single" w:sz="4" w:space="0" w:color="BFBFBF" w:themeColor="accent3" w:themeTint="66"/>
        <w:bottom w:val="single" w:sz="4" w:space="0" w:color="BFBFBF" w:themeColor="accent3" w:themeTint="66"/>
        <w:right w:val="single" w:sz="4" w:space="0" w:color="BFBFBF" w:themeColor="accent3" w:themeTint="66"/>
        <w:insideH w:val="single" w:sz="4" w:space="0" w:color="BFBFBF" w:themeColor="accent3" w:themeTint="66"/>
        <w:insideV w:val="single" w:sz="4" w:space="0" w:color="BFBFBF" w:themeColor="accent3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4">
    <w:name w:val="Grid Table 1 Light Accent 4"/>
    <w:basedOn w:val="Standardowy"/>
    <w:uiPriority w:val="46"/>
    <w:semiHidden/>
    <w:rsid w:val="0096441B"/>
    <w:tblPr>
      <w:tblStyleRowBandSize w:val="1"/>
      <w:tblStyleColBandSize w:val="1"/>
      <w:tblBorders>
        <w:top w:val="single" w:sz="4" w:space="0" w:color="D5D5D5" w:themeColor="accent4" w:themeTint="66"/>
        <w:left w:val="single" w:sz="4" w:space="0" w:color="D5D5D5" w:themeColor="accent4" w:themeTint="66"/>
        <w:bottom w:val="single" w:sz="4" w:space="0" w:color="D5D5D5" w:themeColor="accent4" w:themeTint="66"/>
        <w:right w:val="single" w:sz="4" w:space="0" w:color="D5D5D5" w:themeColor="accent4" w:themeTint="66"/>
        <w:insideH w:val="single" w:sz="4" w:space="0" w:color="D5D5D5" w:themeColor="accent4" w:themeTint="66"/>
        <w:insideV w:val="single" w:sz="4" w:space="0" w:color="D5D5D5" w:themeColor="accent4" w:themeTint="66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5">
    <w:name w:val="Grid Table 1 Light Accent 5"/>
    <w:basedOn w:val="Standardowy"/>
    <w:uiPriority w:val="46"/>
    <w:semiHidden/>
    <w:rsid w:val="0096441B"/>
    <w:tblPr>
      <w:tblStyleRowBandSize w:val="1"/>
      <w:tblStyleColBandSize w:val="1"/>
      <w:tblBorders>
        <w:top w:val="single" w:sz="4" w:space="0" w:color="BFBFBF" w:themeColor="accent5" w:themeTint="66"/>
        <w:left w:val="single" w:sz="4" w:space="0" w:color="BFBFBF" w:themeColor="accent5" w:themeTint="66"/>
        <w:bottom w:val="single" w:sz="4" w:space="0" w:color="BFBFBF" w:themeColor="accent5" w:themeTint="66"/>
        <w:right w:val="single" w:sz="4" w:space="0" w:color="BFBFBF" w:themeColor="accent5" w:themeTint="66"/>
        <w:insideH w:val="single" w:sz="4" w:space="0" w:color="BFBFBF" w:themeColor="accent5" w:themeTint="66"/>
        <w:insideV w:val="single" w:sz="4" w:space="0" w:color="BFBFBF" w:themeColor="accent5" w:themeTint="66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1jasnaakcent6">
    <w:name w:val="Grid Table 1 Light Accent 6"/>
    <w:basedOn w:val="Standardowy"/>
    <w:uiPriority w:val="46"/>
    <w:semiHidden/>
    <w:rsid w:val="0096441B"/>
    <w:tblPr>
      <w:tblStyleRowBandSize w:val="1"/>
      <w:tblStyleColBandSize w:val="1"/>
      <w:tblBorders>
        <w:top w:val="single" w:sz="4" w:space="0" w:color="B7B7B7" w:themeColor="accent6" w:themeTint="66"/>
        <w:left w:val="single" w:sz="4" w:space="0" w:color="B7B7B7" w:themeColor="accent6" w:themeTint="66"/>
        <w:bottom w:val="single" w:sz="4" w:space="0" w:color="B7B7B7" w:themeColor="accent6" w:themeTint="66"/>
        <w:right w:val="single" w:sz="4" w:space="0" w:color="B7B7B7" w:themeColor="accent6" w:themeTint="66"/>
        <w:insideH w:val="single" w:sz="4" w:space="0" w:color="B7B7B7" w:themeColor="accent6" w:themeTint="66"/>
        <w:insideV w:val="single" w:sz="4" w:space="0" w:color="B7B7B7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siatki2">
    <w:name w:val="Grid Table 2"/>
    <w:basedOn w:val="Standardowy"/>
    <w:uiPriority w:val="47"/>
    <w:semiHidden/>
    <w:rsid w:val="0096441B"/>
    <w:tblPr>
      <w:tblStyleRowBandSize w:val="1"/>
      <w:tblStyleColBandSize w:val="1"/>
      <w:tblBorders>
        <w:top w:val="single" w:sz="2" w:space="0" w:color="666666" w:themeColor="text1" w:themeTint="99"/>
        <w:bottom w:val="single" w:sz="2" w:space="0" w:color="666666" w:themeColor="text1" w:themeTint="99"/>
        <w:insideH w:val="single" w:sz="2" w:space="0" w:color="666666" w:themeColor="text1" w:themeTint="99"/>
        <w:insideV w:val="single" w:sz="2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666666" w:themeColor="tex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2akcent1">
    <w:name w:val="Grid Table 2 Accent 1"/>
    <w:basedOn w:val="Standardowy"/>
    <w:uiPriority w:val="47"/>
    <w:semiHidden/>
    <w:rsid w:val="0096441B"/>
    <w:tblPr>
      <w:tblStyleRowBandSize w:val="1"/>
      <w:tblStyleColBandSize w:val="1"/>
      <w:tblBorders>
        <w:top w:val="single" w:sz="2" w:space="0" w:color="3DB2FF" w:themeColor="accent1" w:themeTint="99"/>
        <w:bottom w:val="single" w:sz="2" w:space="0" w:color="3DB2FF" w:themeColor="accent1" w:themeTint="99"/>
        <w:insideH w:val="single" w:sz="2" w:space="0" w:color="3DB2FF" w:themeColor="accent1" w:themeTint="99"/>
        <w:insideV w:val="single" w:sz="2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3DB2FF" w:themeColor="accent1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3DB2FF" w:themeColor="accent1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2akcent2">
    <w:name w:val="Grid Table 2 Accent 2"/>
    <w:basedOn w:val="Standardowy"/>
    <w:uiPriority w:val="47"/>
    <w:semiHidden/>
    <w:rsid w:val="0096441B"/>
    <w:tblPr>
      <w:tblStyleRowBandSize w:val="1"/>
      <w:tblStyleColBandSize w:val="1"/>
      <w:tblBorders>
        <w:top w:val="single" w:sz="2" w:space="0" w:color="FF4040" w:themeColor="accent2" w:themeTint="99"/>
        <w:bottom w:val="single" w:sz="2" w:space="0" w:color="FF4040" w:themeColor="accent2" w:themeTint="99"/>
        <w:insideH w:val="single" w:sz="2" w:space="0" w:color="FF4040" w:themeColor="accent2" w:themeTint="99"/>
        <w:insideV w:val="single" w:sz="2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F4040" w:themeColor="accent2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F4040" w:themeColor="accent2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2akcent3">
    <w:name w:val="Grid Table 2 Accent 3"/>
    <w:basedOn w:val="Standardowy"/>
    <w:uiPriority w:val="47"/>
    <w:semiHidden/>
    <w:rsid w:val="0096441B"/>
    <w:tblPr>
      <w:tblStyleRowBandSize w:val="1"/>
      <w:tblStyleColBandSize w:val="1"/>
      <w:tblBorders>
        <w:top w:val="single" w:sz="2" w:space="0" w:color="9F9F9F" w:themeColor="accent3" w:themeTint="99"/>
        <w:bottom w:val="single" w:sz="2" w:space="0" w:color="9F9F9F" w:themeColor="accent3" w:themeTint="99"/>
        <w:insideH w:val="single" w:sz="2" w:space="0" w:color="9F9F9F" w:themeColor="accent3" w:themeTint="99"/>
        <w:insideV w:val="single" w:sz="2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3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3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2akcent4">
    <w:name w:val="Grid Table 2 Accent 4"/>
    <w:basedOn w:val="Standardowy"/>
    <w:uiPriority w:val="47"/>
    <w:semiHidden/>
    <w:rsid w:val="0096441B"/>
    <w:tblPr>
      <w:tblStyleRowBandSize w:val="1"/>
      <w:tblStyleColBandSize w:val="1"/>
      <w:tblBorders>
        <w:top w:val="single" w:sz="2" w:space="0" w:color="C0C0C0" w:themeColor="accent4" w:themeTint="99"/>
        <w:bottom w:val="single" w:sz="2" w:space="0" w:color="C0C0C0" w:themeColor="accent4" w:themeTint="99"/>
        <w:insideH w:val="single" w:sz="2" w:space="0" w:color="C0C0C0" w:themeColor="accent4" w:themeTint="99"/>
        <w:insideV w:val="single" w:sz="2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C0C0C0" w:themeColor="accent4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C0C0C0" w:themeColor="accent4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2akcent5">
    <w:name w:val="Grid Table 2 Accent 5"/>
    <w:basedOn w:val="Standardowy"/>
    <w:uiPriority w:val="47"/>
    <w:semiHidden/>
    <w:rsid w:val="0096441B"/>
    <w:tblPr>
      <w:tblStyleRowBandSize w:val="1"/>
      <w:tblStyleColBandSize w:val="1"/>
      <w:tblBorders>
        <w:top w:val="single" w:sz="2" w:space="0" w:color="9F9F9F" w:themeColor="accent5" w:themeTint="99"/>
        <w:bottom w:val="single" w:sz="2" w:space="0" w:color="9F9F9F" w:themeColor="accent5" w:themeTint="99"/>
        <w:insideH w:val="single" w:sz="2" w:space="0" w:color="9F9F9F" w:themeColor="accent5" w:themeTint="99"/>
        <w:insideV w:val="single" w:sz="2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F9F9F" w:themeColor="accent5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F9F9F" w:themeColor="accent5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2akcent6">
    <w:name w:val="Grid Table 2 Accent 6"/>
    <w:basedOn w:val="Standardowy"/>
    <w:uiPriority w:val="47"/>
    <w:semiHidden/>
    <w:rsid w:val="0096441B"/>
    <w:tblPr>
      <w:tblStyleRowBandSize w:val="1"/>
      <w:tblStyleColBandSize w:val="1"/>
      <w:tblBorders>
        <w:top w:val="single" w:sz="2" w:space="0" w:color="949494" w:themeColor="accent6" w:themeTint="99"/>
        <w:bottom w:val="single" w:sz="2" w:space="0" w:color="949494" w:themeColor="accent6" w:themeTint="99"/>
        <w:insideH w:val="single" w:sz="2" w:space="0" w:color="949494" w:themeColor="accent6" w:themeTint="99"/>
        <w:insideV w:val="single" w:sz="2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49494" w:themeColor="accent6" w:themeTint="99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49494" w:themeColor="accent6" w:themeTint="99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3">
    <w:name w:val="Grid Table 3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3akcent1">
    <w:name w:val="Grid Table 3 Accent 1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3akcent2">
    <w:name w:val="Grid Table 3 Accent 2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3akcent3">
    <w:name w:val="Grid Table 3 Accent 3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3akcent4">
    <w:name w:val="Grid Table 3 Accent 4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3akcent5">
    <w:name w:val="Grid Table 3 Accent 5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3akcent6">
    <w:name w:val="Grid Table 3 Accent 6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table" w:styleId="Tabelasiatki4">
    <w:name w:val="Grid Table 4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4akcent1">
    <w:name w:val="Grid Table 4 Accent 1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4akcent2">
    <w:name w:val="Grid Table 4 Accent 2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4akcent3">
    <w:name w:val="Grid Table 4 Accent 3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4akcent4">
    <w:name w:val="Grid Table 4 Accent 4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4akcent5">
    <w:name w:val="Grid Table 4 Accent 5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4akcent6">
    <w:name w:val="Grid Table 4 Accent 6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5ciemna">
    <w:name w:val="Grid Table 5 Dark"/>
    <w:basedOn w:val="Standardowy"/>
    <w:uiPriority w:val="50"/>
    <w:semiHidden/>
    <w:rsid w:val="0096441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0000" w:themeFill="tex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0000" w:themeFill="text1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999999" w:themeFill="text1" w:themeFillTint="66"/>
      </w:tcPr>
    </w:tblStylePr>
  </w:style>
  <w:style w:type="table" w:styleId="Tabelasiatki5ciemnaakcent1">
    <w:name w:val="Grid Table 5 Dark Accent 1"/>
    <w:basedOn w:val="Standardowy"/>
    <w:uiPriority w:val="50"/>
    <w:semiHidden/>
    <w:rsid w:val="0096441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BEE5FF" w:themeFill="accent1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0072BC" w:themeFill="accent1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0072BC" w:themeFill="accent1"/>
      </w:tcPr>
    </w:tblStylePr>
    <w:tblStylePr w:type="band1Vert">
      <w:tblPr/>
      <w:tcPr>
        <w:shd w:val="clear" w:color="auto" w:fill="7ECBFF" w:themeFill="accent1" w:themeFillTint="66"/>
      </w:tcPr>
    </w:tblStylePr>
    <w:tblStylePr w:type="band1Horz">
      <w:tblPr/>
      <w:tcPr>
        <w:shd w:val="clear" w:color="auto" w:fill="7ECBFF" w:themeFill="accent1" w:themeFillTint="66"/>
      </w:tcPr>
    </w:tblStylePr>
  </w:style>
  <w:style w:type="table" w:styleId="Tabelasiatki5ciemnaakcent2">
    <w:name w:val="Grid Table 5 Dark Accent 2"/>
    <w:basedOn w:val="Standardowy"/>
    <w:uiPriority w:val="50"/>
    <w:semiHidden/>
    <w:rsid w:val="0096441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FFBFBF" w:themeFill="accent2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C00000" w:themeFill="accent2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C00000" w:themeFill="accent2"/>
      </w:tcPr>
    </w:tblStylePr>
    <w:tblStylePr w:type="band1Vert">
      <w:tblPr/>
      <w:tcPr>
        <w:shd w:val="clear" w:color="auto" w:fill="FF7F7F" w:themeFill="accent2" w:themeFillTint="66"/>
      </w:tcPr>
    </w:tblStylePr>
    <w:tblStylePr w:type="band1Horz">
      <w:tblPr/>
      <w:tcPr>
        <w:shd w:val="clear" w:color="auto" w:fill="FF7F7F" w:themeFill="accent2" w:themeFillTint="66"/>
      </w:tcPr>
    </w:tblStylePr>
  </w:style>
  <w:style w:type="table" w:styleId="Tabelasiatki5ciemnaakcent3">
    <w:name w:val="Grid Table 5 Dark Accent 3"/>
    <w:basedOn w:val="Standardowy"/>
    <w:uiPriority w:val="50"/>
    <w:semiHidden/>
    <w:rsid w:val="0096441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3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3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3"/>
      </w:tcPr>
    </w:tblStylePr>
    <w:tblStylePr w:type="band1Vert">
      <w:tblPr/>
      <w:tcPr>
        <w:shd w:val="clear" w:color="auto" w:fill="BFBFBF" w:themeFill="accent3" w:themeFillTint="66"/>
      </w:tcPr>
    </w:tblStylePr>
    <w:tblStylePr w:type="band1Horz">
      <w:tblPr/>
      <w:tcPr>
        <w:shd w:val="clear" w:color="auto" w:fill="BFBFBF" w:themeFill="accent3" w:themeFillTint="66"/>
      </w:tcPr>
    </w:tblStylePr>
  </w:style>
  <w:style w:type="table" w:styleId="Tabelasiatki5ciemnaakcent4">
    <w:name w:val="Grid Table 5 Dark Accent 4"/>
    <w:basedOn w:val="Standardowy"/>
    <w:uiPriority w:val="50"/>
    <w:semiHidden/>
    <w:rsid w:val="0096441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EAEAEA" w:themeFill="accent4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969696" w:themeFill="accent4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969696" w:themeFill="accent4"/>
      </w:tcPr>
    </w:tblStylePr>
    <w:tblStylePr w:type="band1Vert">
      <w:tblPr/>
      <w:tcPr>
        <w:shd w:val="clear" w:color="auto" w:fill="D5D5D5" w:themeFill="accent4" w:themeFillTint="66"/>
      </w:tcPr>
    </w:tblStylePr>
    <w:tblStylePr w:type="band1Horz">
      <w:tblPr/>
      <w:tcPr>
        <w:shd w:val="clear" w:color="auto" w:fill="D5D5D5" w:themeFill="accent4" w:themeFillTint="66"/>
      </w:tcPr>
    </w:tblStylePr>
  </w:style>
  <w:style w:type="table" w:styleId="Tabelasiatki5ciemnaakcent5">
    <w:name w:val="Grid Table 5 Dark Accent 5"/>
    <w:basedOn w:val="Standardowy"/>
    <w:uiPriority w:val="50"/>
    <w:semiHidden/>
    <w:rsid w:val="0096441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FDFDF" w:themeFill="accent5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5F5F5F" w:themeFill="accent5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5F5F5F" w:themeFill="accent5"/>
      </w:tcPr>
    </w:tblStylePr>
    <w:tblStylePr w:type="band1Vert">
      <w:tblPr/>
      <w:tcPr>
        <w:shd w:val="clear" w:color="auto" w:fill="BFBFBF" w:themeFill="accent5" w:themeFillTint="66"/>
      </w:tcPr>
    </w:tblStylePr>
    <w:tblStylePr w:type="band1Horz">
      <w:tblPr/>
      <w:tcPr>
        <w:shd w:val="clear" w:color="auto" w:fill="BFBFBF" w:themeFill="accent5" w:themeFillTint="66"/>
      </w:tcPr>
    </w:tblStylePr>
  </w:style>
  <w:style w:type="table" w:styleId="Tabelasiatki5ciemnaakcent6">
    <w:name w:val="Grid Table 5 Dark Accent 6"/>
    <w:basedOn w:val="Standardowy"/>
    <w:uiPriority w:val="50"/>
    <w:semiHidden/>
    <w:rsid w:val="0096441B"/>
    <w:tblPr>
      <w:tblStyleRowBandSize w:val="1"/>
      <w:tblStyleColBandSize w:val="1"/>
      <w:tblBorders>
        <w:top w:val="single" w:sz="4" w:space="0" w:color="0072BC" w:themeColor="background1"/>
        <w:left w:val="single" w:sz="4" w:space="0" w:color="0072BC" w:themeColor="background1"/>
        <w:bottom w:val="single" w:sz="4" w:space="0" w:color="0072BC" w:themeColor="background1"/>
        <w:right w:val="single" w:sz="4" w:space="0" w:color="0072BC" w:themeColor="background1"/>
        <w:insideH w:val="single" w:sz="4" w:space="0" w:color="0072BC" w:themeColor="background1"/>
        <w:insideV w:val="single" w:sz="4" w:space="0" w:color="0072BC" w:themeColor="background1"/>
      </w:tblBorders>
    </w:tblPr>
    <w:tcPr>
      <w:shd w:val="clear" w:color="auto" w:fill="DBDBDB" w:themeFill="accent6" w:themeFillTint="33"/>
    </w:tc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lastRow">
      <w:rPr>
        <w:b/>
        <w:bCs/>
        <w:color w:val="0072BC" w:themeColor="background1"/>
      </w:rPr>
      <w:tblPr/>
      <w:tcPr>
        <w:tcBorders>
          <w:left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H w:val="nil"/>
          <w:insideV w:val="nil"/>
        </w:tcBorders>
        <w:shd w:val="clear" w:color="auto" w:fill="4D4D4D" w:themeFill="accent6"/>
      </w:tcPr>
    </w:tblStylePr>
    <w:tblStylePr w:type="fir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left w:val="single" w:sz="4" w:space="0" w:color="0072BC" w:themeColor="background1"/>
          <w:bottom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lastCol">
      <w:rPr>
        <w:b/>
        <w:bCs/>
        <w:color w:val="0072BC" w:themeColor="background1"/>
      </w:rPr>
      <w:tblPr/>
      <w:tcPr>
        <w:tcBorders>
          <w:top w:val="single" w:sz="4" w:space="0" w:color="0072BC" w:themeColor="background1"/>
          <w:bottom w:val="single" w:sz="4" w:space="0" w:color="0072BC" w:themeColor="background1"/>
          <w:right w:val="single" w:sz="4" w:space="0" w:color="0072BC" w:themeColor="background1"/>
          <w:insideV w:val="nil"/>
        </w:tcBorders>
        <w:shd w:val="clear" w:color="auto" w:fill="4D4D4D" w:themeFill="accent6"/>
      </w:tcPr>
    </w:tblStylePr>
    <w:tblStylePr w:type="band1Vert">
      <w:tblPr/>
      <w:tcPr>
        <w:shd w:val="clear" w:color="auto" w:fill="B7B7B7" w:themeFill="accent6" w:themeFillTint="66"/>
      </w:tcPr>
    </w:tblStylePr>
    <w:tblStylePr w:type="band1Horz">
      <w:tblPr/>
      <w:tcPr>
        <w:shd w:val="clear" w:color="auto" w:fill="B7B7B7" w:themeFill="accent6" w:themeFillTint="66"/>
      </w:tcPr>
    </w:tblStylePr>
  </w:style>
  <w:style w:type="table" w:styleId="Tabelasiatki6kolorowa">
    <w:name w:val="Grid Table 6 Colorful"/>
    <w:basedOn w:val="Standardowy"/>
    <w:uiPriority w:val="51"/>
    <w:semiHidden/>
    <w:rsid w:val="0096441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siatki6kolorowaakcent1">
    <w:name w:val="Grid Table 6 Colorful Accent 1"/>
    <w:basedOn w:val="Standardowy"/>
    <w:uiPriority w:val="51"/>
    <w:semiHidden/>
    <w:rsid w:val="0096441B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siatki6kolorowaakcent2">
    <w:name w:val="Grid Table 6 Colorful Accent 2"/>
    <w:basedOn w:val="Standardowy"/>
    <w:uiPriority w:val="51"/>
    <w:semiHidden/>
    <w:rsid w:val="0096441B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siatki6kolorowaakcent3">
    <w:name w:val="Grid Table 6 Colorful Accent 3"/>
    <w:basedOn w:val="Standardowy"/>
    <w:uiPriority w:val="51"/>
    <w:semiHidden/>
    <w:rsid w:val="0096441B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siatki6kolorowaakcent4">
    <w:name w:val="Grid Table 6 Colorful Accent 4"/>
    <w:basedOn w:val="Standardowy"/>
    <w:uiPriority w:val="51"/>
    <w:semiHidden/>
    <w:rsid w:val="0096441B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siatki6kolorowaakcent5">
    <w:name w:val="Grid Table 6 Colorful Accent 5"/>
    <w:basedOn w:val="Standardowy"/>
    <w:uiPriority w:val="51"/>
    <w:semiHidden/>
    <w:rsid w:val="0096441B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siatki6kolorowaakcent6">
    <w:name w:val="Grid Table 6 Colorful Accent 6"/>
    <w:basedOn w:val="Standardowy"/>
    <w:uiPriority w:val="51"/>
    <w:semiHidden/>
    <w:rsid w:val="0096441B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siatki7kolorowa">
    <w:name w:val="Grid Table 7 Colorful"/>
    <w:basedOn w:val="Standardowy"/>
    <w:uiPriority w:val="52"/>
    <w:semiHidden/>
    <w:rsid w:val="0096441B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siatki7kolorowaakcent1">
    <w:name w:val="Grid Table 7 Colorful Accent 1"/>
    <w:basedOn w:val="Standardowy"/>
    <w:uiPriority w:val="52"/>
    <w:semiHidden/>
    <w:rsid w:val="0096441B"/>
    <w:rPr>
      <w:color w:val="00548C" w:themeColor="accent1" w:themeShade="BF"/>
    </w:rPr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  <w:insideV w:val="single" w:sz="4" w:space="0" w:color="3DB2FF" w:themeColor="accen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bottom w:val="single" w:sz="4" w:space="0" w:color="3DB2FF" w:themeColor="accent1" w:themeTint="99"/>
        </w:tcBorders>
      </w:tcPr>
    </w:tblStylePr>
    <w:tblStylePr w:type="nwCell">
      <w:tblPr/>
      <w:tcPr>
        <w:tcBorders>
          <w:bottom w:val="single" w:sz="4" w:space="0" w:color="3DB2FF" w:themeColor="accent1" w:themeTint="99"/>
        </w:tcBorders>
      </w:tcPr>
    </w:tblStylePr>
    <w:tblStylePr w:type="seCell">
      <w:tblPr/>
      <w:tcPr>
        <w:tcBorders>
          <w:top w:val="single" w:sz="4" w:space="0" w:color="3DB2FF" w:themeColor="accent1" w:themeTint="99"/>
        </w:tcBorders>
      </w:tcPr>
    </w:tblStylePr>
    <w:tblStylePr w:type="swCell">
      <w:tblPr/>
      <w:tcPr>
        <w:tcBorders>
          <w:top w:val="single" w:sz="4" w:space="0" w:color="3DB2FF" w:themeColor="accent1" w:themeTint="99"/>
        </w:tcBorders>
      </w:tcPr>
    </w:tblStylePr>
  </w:style>
  <w:style w:type="table" w:styleId="Tabelasiatki7kolorowaakcent2">
    <w:name w:val="Grid Table 7 Colorful Accent 2"/>
    <w:basedOn w:val="Standardowy"/>
    <w:uiPriority w:val="52"/>
    <w:semiHidden/>
    <w:rsid w:val="0096441B"/>
    <w:rPr>
      <w:color w:val="8F0000" w:themeColor="accent2" w:themeShade="BF"/>
    </w:rPr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  <w:insideV w:val="single" w:sz="4" w:space="0" w:color="FF4040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bottom w:val="single" w:sz="4" w:space="0" w:color="FF4040" w:themeColor="accent2" w:themeTint="99"/>
        </w:tcBorders>
      </w:tcPr>
    </w:tblStylePr>
    <w:tblStylePr w:type="nwCell">
      <w:tblPr/>
      <w:tcPr>
        <w:tcBorders>
          <w:bottom w:val="single" w:sz="4" w:space="0" w:color="FF4040" w:themeColor="accent2" w:themeTint="99"/>
        </w:tcBorders>
      </w:tcPr>
    </w:tblStylePr>
    <w:tblStylePr w:type="seCell">
      <w:tblPr/>
      <w:tcPr>
        <w:tcBorders>
          <w:top w:val="single" w:sz="4" w:space="0" w:color="FF4040" w:themeColor="accent2" w:themeTint="99"/>
        </w:tcBorders>
      </w:tcPr>
    </w:tblStylePr>
    <w:tblStylePr w:type="swCell">
      <w:tblPr/>
      <w:tcPr>
        <w:tcBorders>
          <w:top w:val="single" w:sz="4" w:space="0" w:color="FF4040" w:themeColor="accent2" w:themeTint="99"/>
        </w:tcBorders>
      </w:tcPr>
    </w:tblStylePr>
  </w:style>
  <w:style w:type="table" w:styleId="Tabelasiatki7kolorowaakcent3">
    <w:name w:val="Grid Table 7 Colorful Accent 3"/>
    <w:basedOn w:val="Standardowy"/>
    <w:uiPriority w:val="52"/>
    <w:semiHidden/>
    <w:rsid w:val="0096441B"/>
    <w:rPr>
      <w:color w:val="474747" w:themeColor="accent3" w:themeShade="BF"/>
    </w:rPr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  <w:insideV w:val="single" w:sz="4" w:space="0" w:color="9F9F9F" w:themeColor="accent3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bottom w:val="single" w:sz="4" w:space="0" w:color="9F9F9F" w:themeColor="accent3" w:themeTint="99"/>
        </w:tcBorders>
      </w:tcPr>
    </w:tblStylePr>
    <w:tblStylePr w:type="nwCell">
      <w:tblPr/>
      <w:tcPr>
        <w:tcBorders>
          <w:bottom w:val="single" w:sz="4" w:space="0" w:color="9F9F9F" w:themeColor="accent3" w:themeTint="99"/>
        </w:tcBorders>
      </w:tcPr>
    </w:tblStylePr>
    <w:tblStylePr w:type="seCell">
      <w:tblPr/>
      <w:tcPr>
        <w:tcBorders>
          <w:top w:val="single" w:sz="4" w:space="0" w:color="9F9F9F" w:themeColor="accent3" w:themeTint="99"/>
        </w:tcBorders>
      </w:tcPr>
    </w:tblStylePr>
    <w:tblStylePr w:type="swCell">
      <w:tblPr/>
      <w:tcPr>
        <w:tcBorders>
          <w:top w:val="single" w:sz="4" w:space="0" w:color="9F9F9F" w:themeColor="accent3" w:themeTint="99"/>
        </w:tcBorders>
      </w:tcPr>
    </w:tblStylePr>
  </w:style>
  <w:style w:type="table" w:styleId="Tabelasiatki7kolorowaakcent4">
    <w:name w:val="Grid Table 7 Colorful Accent 4"/>
    <w:basedOn w:val="Standardowy"/>
    <w:uiPriority w:val="52"/>
    <w:semiHidden/>
    <w:rsid w:val="0096441B"/>
    <w:rPr>
      <w:color w:val="707070" w:themeColor="accent4" w:themeShade="BF"/>
    </w:rPr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  <w:insideV w:val="single" w:sz="4" w:space="0" w:color="C0C0C0" w:themeColor="accent4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bottom w:val="single" w:sz="4" w:space="0" w:color="C0C0C0" w:themeColor="accent4" w:themeTint="99"/>
        </w:tcBorders>
      </w:tcPr>
    </w:tblStylePr>
    <w:tblStylePr w:type="nwCell">
      <w:tblPr/>
      <w:tcPr>
        <w:tcBorders>
          <w:bottom w:val="single" w:sz="4" w:space="0" w:color="C0C0C0" w:themeColor="accent4" w:themeTint="99"/>
        </w:tcBorders>
      </w:tcPr>
    </w:tblStylePr>
    <w:tblStylePr w:type="seCell">
      <w:tblPr/>
      <w:tcPr>
        <w:tcBorders>
          <w:top w:val="single" w:sz="4" w:space="0" w:color="C0C0C0" w:themeColor="accent4" w:themeTint="99"/>
        </w:tcBorders>
      </w:tcPr>
    </w:tblStylePr>
    <w:tblStylePr w:type="swCell">
      <w:tblPr/>
      <w:tcPr>
        <w:tcBorders>
          <w:top w:val="single" w:sz="4" w:space="0" w:color="C0C0C0" w:themeColor="accent4" w:themeTint="99"/>
        </w:tcBorders>
      </w:tcPr>
    </w:tblStylePr>
  </w:style>
  <w:style w:type="table" w:styleId="Tabelasiatki7kolorowaakcent5">
    <w:name w:val="Grid Table 7 Colorful Accent 5"/>
    <w:basedOn w:val="Standardowy"/>
    <w:uiPriority w:val="52"/>
    <w:semiHidden/>
    <w:rsid w:val="0096441B"/>
    <w:rPr>
      <w:color w:val="474747" w:themeColor="accent5" w:themeShade="BF"/>
    </w:rPr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  <w:insideV w:val="single" w:sz="4" w:space="0" w:color="9F9F9F" w:themeColor="accent5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bottom w:val="single" w:sz="4" w:space="0" w:color="9F9F9F" w:themeColor="accent5" w:themeTint="99"/>
        </w:tcBorders>
      </w:tcPr>
    </w:tblStylePr>
    <w:tblStylePr w:type="nwCell">
      <w:tblPr/>
      <w:tcPr>
        <w:tcBorders>
          <w:bottom w:val="single" w:sz="4" w:space="0" w:color="9F9F9F" w:themeColor="accent5" w:themeTint="99"/>
        </w:tcBorders>
      </w:tcPr>
    </w:tblStylePr>
    <w:tblStylePr w:type="seCell">
      <w:tblPr/>
      <w:tcPr>
        <w:tcBorders>
          <w:top w:val="single" w:sz="4" w:space="0" w:color="9F9F9F" w:themeColor="accent5" w:themeTint="99"/>
        </w:tcBorders>
      </w:tcPr>
    </w:tblStylePr>
    <w:tblStylePr w:type="swCell">
      <w:tblPr/>
      <w:tcPr>
        <w:tcBorders>
          <w:top w:val="single" w:sz="4" w:space="0" w:color="9F9F9F" w:themeColor="accent5" w:themeTint="99"/>
        </w:tcBorders>
      </w:tcPr>
    </w:tblStylePr>
  </w:style>
  <w:style w:type="table" w:styleId="Tabelasiatki7kolorowaakcent6">
    <w:name w:val="Grid Table 7 Colorful Accent 6"/>
    <w:basedOn w:val="Standardowy"/>
    <w:uiPriority w:val="52"/>
    <w:semiHidden/>
    <w:rsid w:val="0096441B"/>
    <w:rPr>
      <w:color w:val="393939" w:themeColor="accent6" w:themeShade="BF"/>
    </w:rPr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  <w:insideV w:val="single" w:sz="4" w:space="0" w:color="949494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0072BC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bottom w:val="single" w:sz="4" w:space="0" w:color="949494" w:themeColor="accent6" w:themeTint="99"/>
        </w:tcBorders>
      </w:tcPr>
    </w:tblStylePr>
    <w:tblStylePr w:type="nwCell">
      <w:tblPr/>
      <w:tcPr>
        <w:tcBorders>
          <w:bottom w:val="single" w:sz="4" w:space="0" w:color="949494" w:themeColor="accent6" w:themeTint="99"/>
        </w:tcBorders>
      </w:tcPr>
    </w:tblStylePr>
    <w:tblStylePr w:type="seCell">
      <w:tblPr/>
      <w:tcPr>
        <w:tcBorders>
          <w:top w:val="single" w:sz="4" w:space="0" w:color="949494" w:themeColor="accent6" w:themeTint="99"/>
        </w:tcBorders>
      </w:tcPr>
    </w:tblStylePr>
    <w:tblStylePr w:type="swCell">
      <w:tblPr/>
      <w:tcPr>
        <w:tcBorders>
          <w:top w:val="single" w:sz="4" w:space="0" w:color="949494" w:themeColor="accent6" w:themeTint="99"/>
        </w:tcBorders>
      </w:tcPr>
    </w:tblStylePr>
  </w:style>
  <w:style w:type="character" w:customStyle="1" w:styleId="Hasztag1">
    <w:name w:val="Hasztag1"/>
    <w:basedOn w:val="Domylnaczcionkaakapitu"/>
    <w:uiPriority w:val="99"/>
    <w:semiHidden/>
    <w:unhideWhenUsed/>
    <w:rsid w:val="0096441B"/>
    <w:rPr>
      <w:color w:val="2B579A"/>
      <w:shd w:val="clear" w:color="auto" w:fill="E1DFDD"/>
    </w:rPr>
  </w:style>
  <w:style w:type="table" w:styleId="Tabelalisty1jasna">
    <w:name w:val="List Table 1 Light"/>
    <w:basedOn w:val="Standardowy"/>
    <w:uiPriority w:val="46"/>
    <w:semiHidden/>
    <w:rsid w:val="0096441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1jasnaakcent1">
    <w:name w:val="List Table 1 Light Accent 1"/>
    <w:basedOn w:val="Standardowy"/>
    <w:uiPriority w:val="46"/>
    <w:semiHidden/>
    <w:rsid w:val="0096441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3DB2FF" w:themeColor="accent1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1jasnaakcent2">
    <w:name w:val="List Table 1 Light Accent 2"/>
    <w:basedOn w:val="Standardowy"/>
    <w:uiPriority w:val="46"/>
    <w:semiHidden/>
    <w:rsid w:val="0096441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FF4040" w:themeColor="accent2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1jasnaakcent3">
    <w:name w:val="List Table 1 Light Accent 3"/>
    <w:basedOn w:val="Standardowy"/>
    <w:uiPriority w:val="46"/>
    <w:semiHidden/>
    <w:rsid w:val="0096441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3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1jasnaakcent4">
    <w:name w:val="List Table 1 Light Accent 4"/>
    <w:basedOn w:val="Standardowy"/>
    <w:uiPriority w:val="46"/>
    <w:semiHidden/>
    <w:rsid w:val="0096441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C0C0C0" w:themeColor="accent4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1jasnaakcent5">
    <w:name w:val="List Table 1 Light Accent 5"/>
    <w:basedOn w:val="Standardowy"/>
    <w:uiPriority w:val="46"/>
    <w:semiHidden/>
    <w:rsid w:val="0096441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F9F9F" w:themeColor="accent5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1jasnaakcent6">
    <w:name w:val="List Table 1 Light Accent 6"/>
    <w:basedOn w:val="Standardowy"/>
    <w:uiPriority w:val="46"/>
    <w:semiHidden/>
    <w:rsid w:val="0096441B"/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949494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2">
    <w:name w:val="List Table 2"/>
    <w:basedOn w:val="Standardowy"/>
    <w:uiPriority w:val="47"/>
    <w:semiHidden/>
    <w:rsid w:val="0096441B"/>
    <w:tblPr>
      <w:tblStyleRowBandSize w:val="1"/>
      <w:tblStyleColBandSize w:val="1"/>
      <w:tblBorders>
        <w:top w:val="single" w:sz="4" w:space="0" w:color="666666" w:themeColor="text1" w:themeTint="99"/>
        <w:bottom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2akcent1">
    <w:name w:val="List Table 2 Accent 1"/>
    <w:basedOn w:val="Standardowy"/>
    <w:uiPriority w:val="47"/>
    <w:semiHidden/>
    <w:rsid w:val="0096441B"/>
    <w:tblPr>
      <w:tblStyleRowBandSize w:val="1"/>
      <w:tblStyleColBandSize w:val="1"/>
      <w:tblBorders>
        <w:top w:val="single" w:sz="4" w:space="0" w:color="3DB2FF" w:themeColor="accent1" w:themeTint="99"/>
        <w:bottom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2akcent2">
    <w:name w:val="List Table 2 Accent 2"/>
    <w:basedOn w:val="Standardowy"/>
    <w:uiPriority w:val="47"/>
    <w:semiHidden/>
    <w:rsid w:val="0096441B"/>
    <w:tblPr>
      <w:tblStyleRowBandSize w:val="1"/>
      <w:tblStyleColBandSize w:val="1"/>
      <w:tblBorders>
        <w:top w:val="single" w:sz="4" w:space="0" w:color="FF4040" w:themeColor="accent2" w:themeTint="99"/>
        <w:bottom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2akcent3">
    <w:name w:val="List Table 2 Accent 3"/>
    <w:basedOn w:val="Standardowy"/>
    <w:uiPriority w:val="47"/>
    <w:semiHidden/>
    <w:rsid w:val="0096441B"/>
    <w:tblPr>
      <w:tblStyleRowBandSize w:val="1"/>
      <w:tblStyleColBandSize w:val="1"/>
      <w:tblBorders>
        <w:top w:val="single" w:sz="4" w:space="0" w:color="9F9F9F" w:themeColor="accent3" w:themeTint="99"/>
        <w:bottom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2akcent4">
    <w:name w:val="List Table 2 Accent 4"/>
    <w:basedOn w:val="Standardowy"/>
    <w:uiPriority w:val="47"/>
    <w:semiHidden/>
    <w:rsid w:val="0096441B"/>
    <w:tblPr>
      <w:tblStyleRowBandSize w:val="1"/>
      <w:tblStyleColBandSize w:val="1"/>
      <w:tblBorders>
        <w:top w:val="single" w:sz="4" w:space="0" w:color="C0C0C0" w:themeColor="accent4" w:themeTint="99"/>
        <w:bottom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2akcent5">
    <w:name w:val="List Table 2 Accent 5"/>
    <w:basedOn w:val="Standardowy"/>
    <w:uiPriority w:val="47"/>
    <w:semiHidden/>
    <w:rsid w:val="0096441B"/>
    <w:tblPr>
      <w:tblStyleRowBandSize w:val="1"/>
      <w:tblStyleColBandSize w:val="1"/>
      <w:tblBorders>
        <w:top w:val="single" w:sz="4" w:space="0" w:color="9F9F9F" w:themeColor="accent5" w:themeTint="99"/>
        <w:bottom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2akcent6">
    <w:name w:val="List Table 2 Accent 6"/>
    <w:basedOn w:val="Standardowy"/>
    <w:uiPriority w:val="47"/>
    <w:semiHidden/>
    <w:rsid w:val="0096441B"/>
    <w:tblPr>
      <w:tblStyleRowBandSize w:val="1"/>
      <w:tblStyleColBandSize w:val="1"/>
      <w:tblBorders>
        <w:top w:val="single" w:sz="4" w:space="0" w:color="949494" w:themeColor="accent6" w:themeTint="99"/>
        <w:bottom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3">
    <w:name w:val="List Table 3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0000" w:themeColor="text1"/>
          <w:left w:val="nil"/>
        </w:tcBorders>
      </w:tcPr>
    </w:tblStylePr>
    <w:tblStylePr w:type="swCell">
      <w:tblPr/>
      <w:tcPr>
        <w:tcBorders>
          <w:top w:val="double" w:sz="4" w:space="0" w:color="000000" w:themeColor="text1"/>
          <w:right w:val="nil"/>
        </w:tcBorders>
      </w:tcPr>
    </w:tblStylePr>
  </w:style>
  <w:style w:type="table" w:styleId="Tabelalisty3akcent1">
    <w:name w:val="List Table 3 Accent 1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0072BC" w:themeColor="accent1"/>
        <w:left w:val="single" w:sz="4" w:space="0" w:color="0072BC" w:themeColor="accent1"/>
        <w:bottom w:val="single" w:sz="4" w:space="0" w:color="0072BC" w:themeColor="accent1"/>
        <w:right w:val="single" w:sz="4" w:space="0" w:color="0072BC" w:themeColor="accent1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0072BC" w:themeColor="accent1"/>
          <w:right w:val="single" w:sz="4" w:space="0" w:color="0072BC" w:themeColor="accent1"/>
        </w:tcBorders>
      </w:tcPr>
    </w:tblStylePr>
    <w:tblStylePr w:type="band1Horz">
      <w:tblPr/>
      <w:tcPr>
        <w:tcBorders>
          <w:top w:val="single" w:sz="4" w:space="0" w:color="0072BC" w:themeColor="accent1"/>
          <w:bottom w:val="single" w:sz="4" w:space="0" w:color="0072BC" w:themeColor="accent1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0072BC" w:themeColor="accent1"/>
          <w:left w:val="nil"/>
        </w:tcBorders>
      </w:tcPr>
    </w:tblStylePr>
    <w:tblStylePr w:type="swCell">
      <w:tblPr/>
      <w:tcPr>
        <w:tcBorders>
          <w:top w:val="double" w:sz="4" w:space="0" w:color="0072BC" w:themeColor="accent1"/>
          <w:right w:val="nil"/>
        </w:tcBorders>
      </w:tcPr>
    </w:tblStylePr>
  </w:style>
  <w:style w:type="table" w:styleId="Tabelalisty3akcent2">
    <w:name w:val="List Table 3 Accent 2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C00000" w:themeColor="accent2"/>
        <w:left w:val="single" w:sz="4" w:space="0" w:color="C00000" w:themeColor="accent2"/>
        <w:bottom w:val="single" w:sz="4" w:space="0" w:color="C00000" w:themeColor="accent2"/>
        <w:right w:val="single" w:sz="4" w:space="0" w:color="C00000" w:themeColor="accent2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C00000" w:themeColor="accent2"/>
          <w:right w:val="single" w:sz="4" w:space="0" w:color="C00000" w:themeColor="accent2"/>
        </w:tcBorders>
      </w:tcPr>
    </w:tblStylePr>
    <w:tblStylePr w:type="band1Horz">
      <w:tblPr/>
      <w:tcPr>
        <w:tcBorders>
          <w:top w:val="single" w:sz="4" w:space="0" w:color="C00000" w:themeColor="accent2"/>
          <w:bottom w:val="single" w:sz="4" w:space="0" w:color="C00000" w:themeColor="accent2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C00000" w:themeColor="accent2"/>
          <w:left w:val="nil"/>
        </w:tcBorders>
      </w:tcPr>
    </w:tblStylePr>
    <w:tblStylePr w:type="swCell">
      <w:tblPr/>
      <w:tcPr>
        <w:tcBorders>
          <w:top w:val="double" w:sz="4" w:space="0" w:color="C00000" w:themeColor="accent2"/>
          <w:right w:val="nil"/>
        </w:tcBorders>
      </w:tcPr>
    </w:tblStylePr>
  </w:style>
  <w:style w:type="table" w:styleId="Tabelalisty3akcent3">
    <w:name w:val="List Table 3 Accent 3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5F5F5F" w:themeColor="accent3"/>
        <w:left w:val="single" w:sz="4" w:space="0" w:color="5F5F5F" w:themeColor="accent3"/>
        <w:bottom w:val="single" w:sz="4" w:space="0" w:color="5F5F5F" w:themeColor="accent3"/>
        <w:right w:val="single" w:sz="4" w:space="0" w:color="5F5F5F" w:themeColor="accent3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3"/>
          <w:right w:val="single" w:sz="4" w:space="0" w:color="5F5F5F" w:themeColor="accent3"/>
        </w:tcBorders>
      </w:tcPr>
    </w:tblStylePr>
    <w:tblStylePr w:type="band1Horz">
      <w:tblPr/>
      <w:tcPr>
        <w:tcBorders>
          <w:top w:val="single" w:sz="4" w:space="0" w:color="5F5F5F" w:themeColor="accent3"/>
          <w:bottom w:val="single" w:sz="4" w:space="0" w:color="5F5F5F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3"/>
          <w:left w:val="nil"/>
        </w:tcBorders>
      </w:tcPr>
    </w:tblStylePr>
    <w:tblStylePr w:type="swCell">
      <w:tblPr/>
      <w:tcPr>
        <w:tcBorders>
          <w:top w:val="double" w:sz="4" w:space="0" w:color="5F5F5F" w:themeColor="accent3"/>
          <w:right w:val="nil"/>
        </w:tcBorders>
      </w:tcPr>
    </w:tblStylePr>
  </w:style>
  <w:style w:type="table" w:styleId="Tabelalisty3akcent4">
    <w:name w:val="List Table 3 Accent 4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969696" w:themeColor="accent4"/>
        <w:left w:val="single" w:sz="4" w:space="0" w:color="969696" w:themeColor="accent4"/>
        <w:bottom w:val="single" w:sz="4" w:space="0" w:color="969696" w:themeColor="accent4"/>
        <w:right w:val="single" w:sz="4" w:space="0" w:color="969696" w:themeColor="accent4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969696" w:themeColor="accent4"/>
          <w:right w:val="single" w:sz="4" w:space="0" w:color="969696" w:themeColor="accent4"/>
        </w:tcBorders>
      </w:tcPr>
    </w:tblStylePr>
    <w:tblStylePr w:type="band1Horz">
      <w:tblPr/>
      <w:tcPr>
        <w:tcBorders>
          <w:top w:val="single" w:sz="4" w:space="0" w:color="969696" w:themeColor="accent4"/>
          <w:bottom w:val="single" w:sz="4" w:space="0" w:color="969696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69696" w:themeColor="accent4"/>
          <w:left w:val="nil"/>
        </w:tcBorders>
      </w:tcPr>
    </w:tblStylePr>
    <w:tblStylePr w:type="swCell">
      <w:tblPr/>
      <w:tcPr>
        <w:tcBorders>
          <w:top w:val="double" w:sz="4" w:space="0" w:color="969696" w:themeColor="accent4"/>
          <w:right w:val="nil"/>
        </w:tcBorders>
      </w:tcPr>
    </w:tblStylePr>
  </w:style>
  <w:style w:type="table" w:styleId="Tabelalisty3akcent5">
    <w:name w:val="List Table 3 Accent 5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5F5F5F" w:themeColor="accent5"/>
        <w:left w:val="single" w:sz="4" w:space="0" w:color="5F5F5F" w:themeColor="accent5"/>
        <w:bottom w:val="single" w:sz="4" w:space="0" w:color="5F5F5F" w:themeColor="accent5"/>
        <w:right w:val="single" w:sz="4" w:space="0" w:color="5F5F5F" w:themeColor="accent5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5F5F5F" w:themeColor="accent5"/>
          <w:right w:val="single" w:sz="4" w:space="0" w:color="5F5F5F" w:themeColor="accent5"/>
        </w:tcBorders>
      </w:tcPr>
    </w:tblStylePr>
    <w:tblStylePr w:type="band1Horz">
      <w:tblPr/>
      <w:tcPr>
        <w:tcBorders>
          <w:top w:val="single" w:sz="4" w:space="0" w:color="5F5F5F" w:themeColor="accent5"/>
          <w:bottom w:val="single" w:sz="4" w:space="0" w:color="5F5F5F" w:themeColor="accent5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5F5F5F" w:themeColor="accent5"/>
          <w:left w:val="nil"/>
        </w:tcBorders>
      </w:tcPr>
    </w:tblStylePr>
    <w:tblStylePr w:type="swCell">
      <w:tblPr/>
      <w:tcPr>
        <w:tcBorders>
          <w:top w:val="double" w:sz="4" w:space="0" w:color="5F5F5F" w:themeColor="accent5"/>
          <w:right w:val="nil"/>
        </w:tcBorders>
      </w:tcPr>
    </w:tblStylePr>
  </w:style>
  <w:style w:type="table" w:styleId="Tabelalisty3akcent6">
    <w:name w:val="List Table 3 Accent 6"/>
    <w:basedOn w:val="Standardowy"/>
    <w:uiPriority w:val="48"/>
    <w:semiHidden/>
    <w:rsid w:val="0096441B"/>
    <w:tblPr>
      <w:tblStyleRowBandSize w:val="1"/>
      <w:tblStyleColBandSize w:val="1"/>
      <w:tblBorders>
        <w:top w:val="single" w:sz="4" w:space="0" w:color="4D4D4D" w:themeColor="accent6"/>
        <w:left w:val="single" w:sz="4" w:space="0" w:color="4D4D4D" w:themeColor="accent6"/>
        <w:bottom w:val="single" w:sz="4" w:space="0" w:color="4D4D4D" w:themeColor="accent6"/>
        <w:right w:val="single" w:sz="4" w:space="0" w:color="4D4D4D" w:themeColor="accent6"/>
      </w:tblBorders>
    </w:tblPr>
    <w:tblStylePr w:type="firstRow">
      <w:rPr>
        <w:b/>
        <w:bCs/>
        <w:color w:val="0072BC" w:themeColor="background1"/>
      </w:rPr>
      <w:tblPr/>
      <w:tcPr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  <w:shd w:val="clear" w:color="auto" w:fill="0072BC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0072BC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0072BC" w:themeFill="background1"/>
      </w:tcPr>
    </w:tblStylePr>
    <w:tblStylePr w:type="band1Vert">
      <w:tblPr/>
      <w:tcPr>
        <w:tcBorders>
          <w:left w:val="single" w:sz="4" w:space="0" w:color="4D4D4D" w:themeColor="accent6"/>
          <w:right w:val="single" w:sz="4" w:space="0" w:color="4D4D4D" w:themeColor="accent6"/>
        </w:tcBorders>
      </w:tcPr>
    </w:tblStylePr>
    <w:tblStylePr w:type="band1Horz">
      <w:tblPr/>
      <w:tcPr>
        <w:tcBorders>
          <w:top w:val="single" w:sz="4" w:space="0" w:color="4D4D4D" w:themeColor="accent6"/>
          <w:bottom w:val="single" w:sz="4" w:space="0" w:color="4D4D4D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4D4D4D" w:themeColor="accent6"/>
          <w:left w:val="nil"/>
        </w:tcBorders>
      </w:tcPr>
    </w:tblStylePr>
    <w:tblStylePr w:type="swCell">
      <w:tblPr/>
      <w:tcPr>
        <w:tcBorders>
          <w:top w:val="double" w:sz="4" w:space="0" w:color="4D4D4D" w:themeColor="accent6"/>
          <w:right w:val="nil"/>
        </w:tcBorders>
      </w:tcPr>
    </w:tblStylePr>
  </w:style>
  <w:style w:type="table" w:styleId="Tabelalisty4">
    <w:name w:val="List Table 4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4akcent1">
    <w:name w:val="List Table 4 Accent 1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3DB2FF" w:themeColor="accent1" w:themeTint="99"/>
        <w:left w:val="single" w:sz="4" w:space="0" w:color="3DB2FF" w:themeColor="accent1" w:themeTint="99"/>
        <w:bottom w:val="single" w:sz="4" w:space="0" w:color="3DB2FF" w:themeColor="accent1" w:themeTint="99"/>
        <w:right w:val="single" w:sz="4" w:space="0" w:color="3DB2FF" w:themeColor="accent1" w:themeTint="99"/>
        <w:insideH w:val="single" w:sz="4" w:space="0" w:color="3DB2FF" w:themeColor="accent1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0072BC" w:themeColor="accent1"/>
          <w:left w:val="single" w:sz="4" w:space="0" w:color="0072BC" w:themeColor="accent1"/>
          <w:bottom w:val="single" w:sz="4" w:space="0" w:color="0072BC" w:themeColor="accent1"/>
          <w:right w:val="single" w:sz="4" w:space="0" w:color="0072BC" w:themeColor="accent1"/>
          <w:insideH w:val="nil"/>
        </w:tcBorders>
        <w:shd w:val="clear" w:color="auto" w:fill="0072BC" w:themeFill="accent1"/>
      </w:tcPr>
    </w:tblStylePr>
    <w:tblStylePr w:type="lastRow">
      <w:rPr>
        <w:b/>
        <w:bCs/>
      </w:rPr>
      <w:tblPr/>
      <w:tcPr>
        <w:tcBorders>
          <w:top w:val="double" w:sz="4" w:space="0" w:color="3DB2FF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4akcent2">
    <w:name w:val="List Table 4 Accent 2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FF4040" w:themeColor="accent2" w:themeTint="99"/>
        <w:left w:val="single" w:sz="4" w:space="0" w:color="FF4040" w:themeColor="accent2" w:themeTint="99"/>
        <w:bottom w:val="single" w:sz="4" w:space="0" w:color="FF4040" w:themeColor="accent2" w:themeTint="99"/>
        <w:right w:val="single" w:sz="4" w:space="0" w:color="FF4040" w:themeColor="accent2" w:themeTint="99"/>
        <w:insideH w:val="single" w:sz="4" w:space="0" w:color="FF4040" w:themeColor="accent2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C00000" w:themeColor="accent2"/>
          <w:left w:val="single" w:sz="4" w:space="0" w:color="C00000" w:themeColor="accent2"/>
          <w:bottom w:val="single" w:sz="4" w:space="0" w:color="C00000" w:themeColor="accent2"/>
          <w:right w:val="single" w:sz="4" w:space="0" w:color="C00000" w:themeColor="accent2"/>
          <w:insideH w:val="nil"/>
        </w:tcBorders>
        <w:shd w:val="clear" w:color="auto" w:fill="C00000" w:themeFill="accent2"/>
      </w:tcPr>
    </w:tblStylePr>
    <w:tblStylePr w:type="lastRow">
      <w:rPr>
        <w:b/>
        <w:bCs/>
      </w:rPr>
      <w:tblPr/>
      <w:tcPr>
        <w:tcBorders>
          <w:top w:val="double" w:sz="4" w:space="0" w:color="FF4040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4akcent3">
    <w:name w:val="List Table 4 Accent 3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9F9F9F" w:themeColor="accent3" w:themeTint="99"/>
        <w:left w:val="single" w:sz="4" w:space="0" w:color="9F9F9F" w:themeColor="accent3" w:themeTint="99"/>
        <w:bottom w:val="single" w:sz="4" w:space="0" w:color="9F9F9F" w:themeColor="accent3" w:themeTint="99"/>
        <w:right w:val="single" w:sz="4" w:space="0" w:color="9F9F9F" w:themeColor="accent3" w:themeTint="99"/>
        <w:insideH w:val="single" w:sz="4" w:space="0" w:color="9F9F9F" w:themeColor="accent3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3"/>
          <w:left w:val="single" w:sz="4" w:space="0" w:color="5F5F5F" w:themeColor="accent3"/>
          <w:bottom w:val="single" w:sz="4" w:space="0" w:color="5F5F5F" w:themeColor="accent3"/>
          <w:right w:val="single" w:sz="4" w:space="0" w:color="5F5F5F" w:themeColor="accent3"/>
          <w:insideH w:val="nil"/>
        </w:tcBorders>
        <w:shd w:val="clear" w:color="auto" w:fill="5F5F5F" w:themeFill="accent3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4akcent4">
    <w:name w:val="List Table 4 Accent 4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C0C0C0" w:themeColor="accent4" w:themeTint="99"/>
        <w:left w:val="single" w:sz="4" w:space="0" w:color="C0C0C0" w:themeColor="accent4" w:themeTint="99"/>
        <w:bottom w:val="single" w:sz="4" w:space="0" w:color="C0C0C0" w:themeColor="accent4" w:themeTint="99"/>
        <w:right w:val="single" w:sz="4" w:space="0" w:color="C0C0C0" w:themeColor="accent4" w:themeTint="99"/>
        <w:insideH w:val="single" w:sz="4" w:space="0" w:color="C0C0C0" w:themeColor="accent4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969696" w:themeColor="accent4"/>
          <w:left w:val="single" w:sz="4" w:space="0" w:color="969696" w:themeColor="accent4"/>
          <w:bottom w:val="single" w:sz="4" w:space="0" w:color="969696" w:themeColor="accent4"/>
          <w:right w:val="single" w:sz="4" w:space="0" w:color="969696" w:themeColor="accent4"/>
          <w:insideH w:val="nil"/>
        </w:tcBorders>
        <w:shd w:val="clear" w:color="auto" w:fill="969696" w:themeFill="accent4"/>
      </w:tcPr>
    </w:tblStylePr>
    <w:tblStylePr w:type="lastRow">
      <w:rPr>
        <w:b/>
        <w:bCs/>
      </w:rPr>
      <w:tblPr/>
      <w:tcPr>
        <w:tcBorders>
          <w:top w:val="double" w:sz="4" w:space="0" w:color="C0C0C0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4akcent5">
    <w:name w:val="List Table 4 Accent 5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9F9F9F" w:themeColor="accent5" w:themeTint="99"/>
        <w:left w:val="single" w:sz="4" w:space="0" w:color="9F9F9F" w:themeColor="accent5" w:themeTint="99"/>
        <w:bottom w:val="single" w:sz="4" w:space="0" w:color="9F9F9F" w:themeColor="accent5" w:themeTint="99"/>
        <w:right w:val="single" w:sz="4" w:space="0" w:color="9F9F9F" w:themeColor="accent5" w:themeTint="99"/>
        <w:insideH w:val="single" w:sz="4" w:space="0" w:color="9F9F9F" w:themeColor="accent5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5F5F5F" w:themeColor="accent5"/>
          <w:left w:val="single" w:sz="4" w:space="0" w:color="5F5F5F" w:themeColor="accent5"/>
          <w:bottom w:val="single" w:sz="4" w:space="0" w:color="5F5F5F" w:themeColor="accent5"/>
          <w:right w:val="single" w:sz="4" w:space="0" w:color="5F5F5F" w:themeColor="accent5"/>
          <w:insideH w:val="nil"/>
        </w:tcBorders>
        <w:shd w:val="clear" w:color="auto" w:fill="5F5F5F" w:themeFill="accent5"/>
      </w:tcPr>
    </w:tblStylePr>
    <w:tblStylePr w:type="lastRow">
      <w:rPr>
        <w:b/>
        <w:bCs/>
      </w:rPr>
      <w:tblPr/>
      <w:tcPr>
        <w:tcBorders>
          <w:top w:val="double" w:sz="4" w:space="0" w:color="9F9F9F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4akcent6">
    <w:name w:val="List Table 4 Accent 6"/>
    <w:basedOn w:val="Standardowy"/>
    <w:uiPriority w:val="49"/>
    <w:semiHidden/>
    <w:rsid w:val="0096441B"/>
    <w:tblPr>
      <w:tblStyleRowBandSize w:val="1"/>
      <w:tblStyleColBandSize w:val="1"/>
      <w:tblBorders>
        <w:top w:val="single" w:sz="4" w:space="0" w:color="949494" w:themeColor="accent6" w:themeTint="99"/>
        <w:left w:val="single" w:sz="4" w:space="0" w:color="949494" w:themeColor="accent6" w:themeTint="99"/>
        <w:bottom w:val="single" w:sz="4" w:space="0" w:color="949494" w:themeColor="accent6" w:themeTint="99"/>
        <w:right w:val="single" w:sz="4" w:space="0" w:color="949494" w:themeColor="accent6" w:themeTint="99"/>
        <w:insideH w:val="single" w:sz="4" w:space="0" w:color="949494" w:themeColor="accent6" w:themeTint="99"/>
      </w:tblBorders>
    </w:tblPr>
    <w:tblStylePr w:type="firstRow">
      <w:rPr>
        <w:b/>
        <w:bCs/>
        <w:color w:val="0072BC" w:themeColor="background1"/>
      </w:rPr>
      <w:tblPr/>
      <w:tcPr>
        <w:tcBorders>
          <w:top w:val="single" w:sz="4" w:space="0" w:color="4D4D4D" w:themeColor="accent6"/>
          <w:left w:val="single" w:sz="4" w:space="0" w:color="4D4D4D" w:themeColor="accent6"/>
          <w:bottom w:val="single" w:sz="4" w:space="0" w:color="4D4D4D" w:themeColor="accent6"/>
          <w:right w:val="single" w:sz="4" w:space="0" w:color="4D4D4D" w:themeColor="accent6"/>
          <w:insideH w:val="nil"/>
        </w:tcBorders>
        <w:shd w:val="clear" w:color="auto" w:fill="4D4D4D" w:themeFill="accent6"/>
      </w:tcPr>
    </w:tblStylePr>
    <w:tblStylePr w:type="lastRow">
      <w:rPr>
        <w:b/>
        <w:bCs/>
      </w:rPr>
      <w:tblPr/>
      <w:tcPr>
        <w:tcBorders>
          <w:top w:val="double" w:sz="4" w:space="0" w:color="94949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5ciemna">
    <w:name w:val="List Table 5 Dark"/>
    <w:basedOn w:val="Standardowy"/>
    <w:uiPriority w:val="50"/>
    <w:semiHidden/>
    <w:rsid w:val="0096441B"/>
    <w:rPr>
      <w:color w:val="0072BC" w:themeColor="background1"/>
    </w:rPr>
    <w:tblPr>
      <w:tblStyleRowBandSize w:val="1"/>
      <w:tblStyleColBandSize w:val="1"/>
      <w:tblBorders>
        <w:top w:val="single" w:sz="24" w:space="0" w:color="000000" w:themeColor="text1"/>
        <w:left w:val="single" w:sz="24" w:space="0" w:color="000000" w:themeColor="text1"/>
        <w:bottom w:val="single" w:sz="24" w:space="0" w:color="000000" w:themeColor="text1"/>
        <w:right w:val="single" w:sz="24" w:space="0" w:color="000000" w:themeColor="text1"/>
      </w:tblBorders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1">
    <w:name w:val="List Table 5 Dark Accent 1"/>
    <w:basedOn w:val="Standardowy"/>
    <w:uiPriority w:val="50"/>
    <w:semiHidden/>
    <w:rsid w:val="0096441B"/>
    <w:rPr>
      <w:color w:val="0072BC" w:themeColor="background1"/>
    </w:rPr>
    <w:tblPr>
      <w:tblStyleRowBandSize w:val="1"/>
      <w:tblStyleColBandSize w:val="1"/>
      <w:tblBorders>
        <w:top w:val="single" w:sz="24" w:space="0" w:color="0072BC" w:themeColor="accent1"/>
        <w:left w:val="single" w:sz="24" w:space="0" w:color="0072BC" w:themeColor="accent1"/>
        <w:bottom w:val="single" w:sz="24" w:space="0" w:color="0072BC" w:themeColor="accent1"/>
        <w:right w:val="single" w:sz="24" w:space="0" w:color="0072BC" w:themeColor="accent1"/>
      </w:tblBorders>
    </w:tblPr>
    <w:tcPr>
      <w:shd w:val="clear" w:color="auto" w:fill="0072BC" w:themeFill="accent1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2">
    <w:name w:val="List Table 5 Dark Accent 2"/>
    <w:basedOn w:val="Standardowy"/>
    <w:uiPriority w:val="50"/>
    <w:semiHidden/>
    <w:rsid w:val="0096441B"/>
    <w:rPr>
      <w:color w:val="0072BC" w:themeColor="background1"/>
    </w:rPr>
    <w:tblPr>
      <w:tblStyleRowBandSize w:val="1"/>
      <w:tblStyleColBandSize w:val="1"/>
      <w:tblBorders>
        <w:top w:val="single" w:sz="24" w:space="0" w:color="C00000" w:themeColor="accent2"/>
        <w:left w:val="single" w:sz="24" w:space="0" w:color="C00000" w:themeColor="accent2"/>
        <w:bottom w:val="single" w:sz="24" w:space="0" w:color="C00000" w:themeColor="accent2"/>
        <w:right w:val="single" w:sz="24" w:space="0" w:color="C00000" w:themeColor="accent2"/>
      </w:tblBorders>
    </w:tblPr>
    <w:tcPr>
      <w:shd w:val="clear" w:color="auto" w:fill="C00000" w:themeFill="accent2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3">
    <w:name w:val="List Table 5 Dark Accent 3"/>
    <w:basedOn w:val="Standardowy"/>
    <w:uiPriority w:val="50"/>
    <w:semiHidden/>
    <w:rsid w:val="0096441B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3"/>
        <w:left w:val="single" w:sz="24" w:space="0" w:color="5F5F5F" w:themeColor="accent3"/>
        <w:bottom w:val="single" w:sz="24" w:space="0" w:color="5F5F5F" w:themeColor="accent3"/>
        <w:right w:val="single" w:sz="24" w:space="0" w:color="5F5F5F" w:themeColor="accent3"/>
      </w:tblBorders>
    </w:tblPr>
    <w:tcPr>
      <w:shd w:val="clear" w:color="auto" w:fill="5F5F5F" w:themeFill="accent3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4">
    <w:name w:val="List Table 5 Dark Accent 4"/>
    <w:basedOn w:val="Standardowy"/>
    <w:uiPriority w:val="50"/>
    <w:semiHidden/>
    <w:rsid w:val="0096441B"/>
    <w:rPr>
      <w:color w:val="0072BC" w:themeColor="background1"/>
    </w:rPr>
    <w:tblPr>
      <w:tblStyleRowBandSize w:val="1"/>
      <w:tblStyleColBandSize w:val="1"/>
      <w:tblBorders>
        <w:top w:val="single" w:sz="24" w:space="0" w:color="969696" w:themeColor="accent4"/>
        <w:left w:val="single" w:sz="24" w:space="0" w:color="969696" w:themeColor="accent4"/>
        <w:bottom w:val="single" w:sz="24" w:space="0" w:color="969696" w:themeColor="accent4"/>
        <w:right w:val="single" w:sz="24" w:space="0" w:color="969696" w:themeColor="accent4"/>
      </w:tblBorders>
    </w:tblPr>
    <w:tcPr>
      <w:shd w:val="clear" w:color="auto" w:fill="969696" w:themeFill="accent4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5">
    <w:name w:val="List Table 5 Dark Accent 5"/>
    <w:basedOn w:val="Standardowy"/>
    <w:uiPriority w:val="50"/>
    <w:semiHidden/>
    <w:rsid w:val="0096441B"/>
    <w:rPr>
      <w:color w:val="0072BC" w:themeColor="background1"/>
    </w:rPr>
    <w:tblPr>
      <w:tblStyleRowBandSize w:val="1"/>
      <w:tblStyleColBandSize w:val="1"/>
      <w:tblBorders>
        <w:top w:val="single" w:sz="24" w:space="0" w:color="5F5F5F" w:themeColor="accent5"/>
        <w:left w:val="single" w:sz="24" w:space="0" w:color="5F5F5F" w:themeColor="accent5"/>
        <w:bottom w:val="single" w:sz="24" w:space="0" w:color="5F5F5F" w:themeColor="accent5"/>
        <w:right w:val="single" w:sz="24" w:space="0" w:color="5F5F5F" w:themeColor="accent5"/>
      </w:tblBorders>
    </w:tblPr>
    <w:tcPr>
      <w:shd w:val="clear" w:color="auto" w:fill="5F5F5F" w:themeFill="accent5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5ciemnaakcent6">
    <w:name w:val="List Table 5 Dark Accent 6"/>
    <w:basedOn w:val="Standardowy"/>
    <w:uiPriority w:val="50"/>
    <w:semiHidden/>
    <w:rsid w:val="0096441B"/>
    <w:rPr>
      <w:color w:val="0072BC" w:themeColor="background1"/>
    </w:rPr>
    <w:tblPr>
      <w:tblStyleRowBandSize w:val="1"/>
      <w:tblStyleColBandSize w:val="1"/>
      <w:tblBorders>
        <w:top w:val="single" w:sz="24" w:space="0" w:color="4D4D4D" w:themeColor="accent6"/>
        <w:left w:val="single" w:sz="24" w:space="0" w:color="4D4D4D" w:themeColor="accent6"/>
        <w:bottom w:val="single" w:sz="24" w:space="0" w:color="4D4D4D" w:themeColor="accent6"/>
        <w:right w:val="single" w:sz="24" w:space="0" w:color="4D4D4D" w:themeColor="accent6"/>
      </w:tblBorders>
    </w:tblPr>
    <w:tcPr>
      <w:shd w:val="clear" w:color="auto" w:fill="4D4D4D" w:themeFill="accent6"/>
    </w:tcPr>
    <w:tblStylePr w:type="firstRow">
      <w:rPr>
        <w:b/>
        <w:bCs/>
      </w:rPr>
      <w:tblPr/>
      <w:tcPr>
        <w:tcBorders>
          <w:bottom w:val="single" w:sz="18" w:space="0" w:color="0072BC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0072BC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0072BC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0072BC" w:themeColor="background1"/>
        </w:tcBorders>
      </w:tcPr>
    </w:tblStylePr>
    <w:tblStylePr w:type="band1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2Vert">
      <w:tblPr/>
      <w:tcPr>
        <w:tcBorders>
          <w:left w:val="single" w:sz="4" w:space="0" w:color="0072BC" w:themeColor="background1"/>
          <w:right w:val="single" w:sz="4" w:space="0" w:color="0072BC" w:themeColor="background1"/>
        </w:tcBorders>
      </w:tcPr>
    </w:tblStylePr>
    <w:tblStylePr w:type="band1Horz">
      <w:tblPr/>
      <w:tcPr>
        <w:tcBorders>
          <w:top w:val="single" w:sz="4" w:space="0" w:color="0072BC" w:themeColor="background1"/>
          <w:bottom w:val="single" w:sz="4" w:space="0" w:color="0072BC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Tabelalisty6kolorowa">
    <w:name w:val="List Table 6 Colorful"/>
    <w:basedOn w:val="Standardowy"/>
    <w:uiPriority w:val="51"/>
    <w:semiHidden/>
    <w:rsid w:val="0096441B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listy6kolorowaakcent1">
    <w:name w:val="List Table 6 Colorful Accent 1"/>
    <w:basedOn w:val="Standardowy"/>
    <w:uiPriority w:val="51"/>
    <w:semiHidden/>
    <w:rsid w:val="0096441B"/>
    <w:rPr>
      <w:color w:val="00548C" w:themeColor="accent1" w:themeShade="BF"/>
    </w:rPr>
    <w:tblPr>
      <w:tblStyleRowBandSize w:val="1"/>
      <w:tblStyleColBandSize w:val="1"/>
      <w:tblBorders>
        <w:top w:val="single" w:sz="4" w:space="0" w:color="0072BC" w:themeColor="accent1"/>
        <w:bottom w:val="single" w:sz="4" w:space="0" w:color="0072BC" w:themeColor="accent1"/>
      </w:tblBorders>
    </w:tblPr>
    <w:tblStylePr w:type="firstRow">
      <w:rPr>
        <w:b/>
        <w:bCs/>
      </w:rPr>
      <w:tblPr/>
      <w:tcPr>
        <w:tcBorders>
          <w:bottom w:val="single" w:sz="4" w:space="0" w:color="0072BC" w:themeColor="accen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72BC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</w:style>
  <w:style w:type="table" w:styleId="Tabelalisty6kolorowaakcent2">
    <w:name w:val="List Table 6 Colorful Accent 2"/>
    <w:basedOn w:val="Standardowy"/>
    <w:uiPriority w:val="51"/>
    <w:semiHidden/>
    <w:rsid w:val="0096441B"/>
    <w:rPr>
      <w:color w:val="8F0000" w:themeColor="accent2" w:themeShade="BF"/>
    </w:rPr>
    <w:tblPr>
      <w:tblStyleRowBandSize w:val="1"/>
      <w:tblStyleColBandSize w:val="1"/>
      <w:tblBorders>
        <w:top w:val="single" w:sz="4" w:space="0" w:color="C00000" w:themeColor="accent2"/>
        <w:bottom w:val="single" w:sz="4" w:space="0" w:color="C00000" w:themeColor="accent2"/>
      </w:tblBorders>
    </w:tblPr>
    <w:tblStylePr w:type="firstRow">
      <w:rPr>
        <w:b/>
        <w:bCs/>
      </w:rPr>
      <w:tblPr/>
      <w:tcPr>
        <w:tcBorders>
          <w:bottom w:val="single" w:sz="4" w:space="0" w:color="C00000" w:themeColor="accent2"/>
        </w:tcBorders>
      </w:tcPr>
    </w:tblStylePr>
    <w:tblStylePr w:type="lastRow">
      <w:rPr>
        <w:b/>
        <w:bCs/>
      </w:rPr>
      <w:tblPr/>
      <w:tcPr>
        <w:tcBorders>
          <w:top w:val="double" w:sz="4" w:space="0" w:color="C00000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</w:style>
  <w:style w:type="table" w:styleId="Tabelalisty6kolorowaakcent3">
    <w:name w:val="List Table 6 Colorful Accent 3"/>
    <w:basedOn w:val="Standardowy"/>
    <w:uiPriority w:val="51"/>
    <w:semiHidden/>
    <w:rsid w:val="0096441B"/>
    <w:rPr>
      <w:color w:val="474747" w:themeColor="accent3" w:themeShade="BF"/>
    </w:rPr>
    <w:tblPr>
      <w:tblStyleRowBandSize w:val="1"/>
      <w:tblStyleColBandSize w:val="1"/>
      <w:tblBorders>
        <w:top w:val="single" w:sz="4" w:space="0" w:color="5F5F5F" w:themeColor="accent3"/>
        <w:bottom w:val="single" w:sz="4" w:space="0" w:color="5F5F5F" w:themeColor="accent3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3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</w:style>
  <w:style w:type="table" w:styleId="Tabelalisty6kolorowaakcent4">
    <w:name w:val="List Table 6 Colorful Accent 4"/>
    <w:basedOn w:val="Standardowy"/>
    <w:uiPriority w:val="51"/>
    <w:semiHidden/>
    <w:rsid w:val="0096441B"/>
    <w:rPr>
      <w:color w:val="707070" w:themeColor="accent4" w:themeShade="BF"/>
    </w:rPr>
    <w:tblPr>
      <w:tblStyleRowBandSize w:val="1"/>
      <w:tblStyleColBandSize w:val="1"/>
      <w:tblBorders>
        <w:top w:val="single" w:sz="4" w:space="0" w:color="969696" w:themeColor="accent4"/>
        <w:bottom w:val="single" w:sz="4" w:space="0" w:color="969696" w:themeColor="accent4"/>
      </w:tblBorders>
    </w:tblPr>
    <w:tblStylePr w:type="firstRow">
      <w:rPr>
        <w:b/>
        <w:bCs/>
      </w:rPr>
      <w:tblPr/>
      <w:tcPr>
        <w:tcBorders>
          <w:bottom w:val="single" w:sz="4" w:space="0" w:color="969696" w:themeColor="accent4"/>
        </w:tcBorders>
      </w:tcPr>
    </w:tblStylePr>
    <w:tblStylePr w:type="lastRow">
      <w:rPr>
        <w:b/>
        <w:bCs/>
      </w:rPr>
      <w:tblPr/>
      <w:tcPr>
        <w:tcBorders>
          <w:top w:val="double" w:sz="4" w:space="0" w:color="969696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</w:style>
  <w:style w:type="table" w:styleId="Tabelalisty6kolorowaakcent5">
    <w:name w:val="List Table 6 Colorful Accent 5"/>
    <w:basedOn w:val="Standardowy"/>
    <w:uiPriority w:val="51"/>
    <w:semiHidden/>
    <w:rsid w:val="0096441B"/>
    <w:rPr>
      <w:color w:val="474747" w:themeColor="accent5" w:themeShade="BF"/>
    </w:rPr>
    <w:tblPr>
      <w:tblStyleRowBandSize w:val="1"/>
      <w:tblStyleColBandSize w:val="1"/>
      <w:tblBorders>
        <w:top w:val="single" w:sz="4" w:space="0" w:color="5F5F5F" w:themeColor="accent5"/>
        <w:bottom w:val="single" w:sz="4" w:space="0" w:color="5F5F5F" w:themeColor="accent5"/>
      </w:tblBorders>
    </w:tblPr>
    <w:tblStylePr w:type="firstRow">
      <w:rPr>
        <w:b/>
        <w:bCs/>
      </w:rPr>
      <w:tblPr/>
      <w:tcPr>
        <w:tcBorders>
          <w:bottom w:val="single" w:sz="4" w:space="0" w:color="5F5F5F" w:themeColor="accent5"/>
        </w:tcBorders>
      </w:tcPr>
    </w:tblStylePr>
    <w:tblStylePr w:type="lastRow">
      <w:rPr>
        <w:b/>
        <w:bCs/>
      </w:rPr>
      <w:tblPr/>
      <w:tcPr>
        <w:tcBorders>
          <w:top w:val="double" w:sz="4" w:space="0" w:color="5F5F5F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</w:style>
  <w:style w:type="table" w:styleId="Tabelalisty6kolorowaakcent6">
    <w:name w:val="List Table 6 Colorful Accent 6"/>
    <w:basedOn w:val="Standardowy"/>
    <w:uiPriority w:val="51"/>
    <w:semiHidden/>
    <w:rsid w:val="0096441B"/>
    <w:rPr>
      <w:color w:val="393939" w:themeColor="accent6" w:themeShade="BF"/>
    </w:rPr>
    <w:tblPr>
      <w:tblStyleRowBandSize w:val="1"/>
      <w:tblStyleColBandSize w:val="1"/>
      <w:tblBorders>
        <w:top w:val="single" w:sz="4" w:space="0" w:color="4D4D4D" w:themeColor="accent6"/>
        <w:bottom w:val="single" w:sz="4" w:space="0" w:color="4D4D4D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4D4D4D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4D4D4D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</w:style>
  <w:style w:type="table" w:styleId="Tabelalisty7kolorowa">
    <w:name w:val="List Table 7 Colorful"/>
    <w:basedOn w:val="Standardowy"/>
    <w:uiPriority w:val="52"/>
    <w:semiHidden/>
    <w:rsid w:val="0096441B"/>
    <w:rPr>
      <w:color w:val="000000" w:themeColor="text1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0000" w:themeColor="tex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0000" w:themeColor="tex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0000" w:themeColor="tex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0000" w:themeColor="text1"/>
        </w:tcBorders>
        <w:shd w:val="clear" w:color="auto" w:fill="0072BC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1">
    <w:name w:val="List Table 7 Colorful Accent 1"/>
    <w:basedOn w:val="Standardowy"/>
    <w:uiPriority w:val="52"/>
    <w:semiHidden/>
    <w:rsid w:val="0096441B"/>
    <w:rPr>
      <w:color w:val="00548C" w:themeColor="accent1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0072BC" w:themeColor="accent1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0072BC" w:themeColor="accent1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0072BC" w:themeColor="accent1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0072BC" w:themeColor="accent1"/>
        </w:tcBorders>
        <w:shd w:val="clear" w:color="auto" w:fill="0072BC" w:themeFill="background1"/>
      </w:tcPr>
    </w:tblStylePr>
    <w:tblStylePr w:type="band1Vert">
      <w:tblPr/>
      <w:tcPr>
        <w:shd w:val="clear" w:color="auto" w:fill="BEE5FF" w:themeFill="accent1" w:themeFillTint="33"/>
      </w:tcPr>
    </w:tblStylePr>
    <w:tblStylePr w:type="band1Horz">
      <w:tblPr/>
      <w:tcPr>
        <w:shd w:val="clear" w:color="auto" w:fill="BEE5FF" w:themeFill="accent1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2">
    <w:name w:val="List Table 7 Colorful Accent 2"/>
    <w:basedOn w:val="Standardowy"/>
    <w:uiPriority w:val="52"/>
    <w:semiHidden/>
    <w:rsid w:val="0096441B"/>
    <w:rPr>
      <w:color w:val="8F0000" w:themeColor="accent2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C00000" w:themeColor="accent2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C00000" w:themeColor="accent2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C00000" w:themeColor="accent2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C00000" w:themeColor="accent2"/>
        </w:tcBorders>
        <w:shd w:val="clear" w:color="auto" w:fill="0072BC" w:themeFill="background1"/>
      </w:tcPr>
    </w:tblStylePr>
    <w:tblStylePr w:type="band1Vert">
      <w:tblPr/>
      <w:tcPr>
        <w:shd w:val="clear" w:color="auto" w:fill="FFBFBF" w:themeFill="accent2" w:themeFillTint="33"/>
      </w:tcPr>
    </w:tblStylePr>
    <w:tblStylePr w:type="band1Horz">
      <w:tblPr/>
      <w:tcPr>
        <w:shd w:val="clear" w:color="auto" w:fill="FFBFBF" w:themeFill="accent2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3">
    <w:name w:val="List Table 7 Colorful Accent 3"/>
    <w:basedOn w:val="Standardowy"/>
    <w:uiPriority w:val="52"/>
    <w:semiHidden/>
    <w:rsid w:val="0096441B"/>
    <w:rPr>
      <w:color w:val="474747" w:themeColor="accent3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3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3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3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3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3" w:themeFillTint="33"/>
      </w:tcPr>
    </w:tblStylePr>
    <w:tblStylePr w:type="band1Horz">
      <w:tblPr/>
      <w:tcPr>
        <w:shd w:val="clear" w:color="auto" w:fill="DFDFDF" w:themeFill="accent3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4">
    <w:name w:val="List Table 7 Colorful Accent 4"/>
    <w:basedOn w:val="Standardowy"/>
    <w:uiPriority w:val="52"/>
    <w:semiHidden/>
    <w:rsid w:val="0096441B"/>
    <w:rPr>
      <w:color w:val="707070" w:themeColor="accent4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969696" w:themeColor="accent4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969696" w:themeColor="accent4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969696" w:themeColor="accent4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969696" w:themeColor="accent4"/>
        </w:tcBorders>
        <w:shd w:val="clear" w:color="auto" w:fill="0072BC" w:themeFill="background1"/>
      </w:tcPr>
    </w:tblStylePr>
    <w:tblStylePr w:type="band1Vert">
      <w:tblPr/>
      <w:tcPr>
        <w:shd w:val="clear" w:color="auto" w:fill="EAEAEA" w:themeFill="accent4" w:themeFillTint="33"/>
      </w:tcPr>
    </w:tblStylePr>
    <w:tblStylePr w:type="band1Horz">
      <w:tblPr/>
      <w:tcPr>
        <w:shd w:val="clear" w:color="auto" w:fill="EAEAEA" w:themeFill="accent4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5">
    <w:name w:val="List Table 7 Colorful Accent 5"/>
    <w:basedOn w:val="Standardowy"/>
    <w:uiPriority w:val="52"/>
    <w:semiHidden/>
    <w:rsid w:val="0096441B"/>
    <w:rPr>
      <w:color w:val="474747" w:themeColor="accent5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5F5F5F" w:themeColor="accent5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5F5F5F" w:themeColor="accent5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5F5F5F" w:themeColor="accent5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5F5F5F" w:themeColor="accent5"/>
        </w:tcBorders>
        <w:shd w:val="clear" w:color="auto" w:fill="0072BC" w:themeFill="background1"/>
      </w:tcPr>
    </w:tblStylePr>
    <w:tblStylePr w:type="band1Vert">
      <w:tblPr/>
      <w:tcPr>
        <w:shd w:val="clear" w:color="auto" w:fill="DFDFDF" w:themeFill="accent5" w:themeFillTint="33"/>
      </w:tcPr>
    </w:tblStylePr>
    <w:tblStylePr w:type="band1Horz">
      <w:tblPr/>
      <w:tcPr>
        <w:shd w:val="clear" w:color="auto" w:fill="DFDFDF" w:themeFill="accent5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Tabelalisty7kolorowaakcent6">
    <w:name w:val="List Table 7 Colorful Accent 6"/>
    <w:basedOn w:val="Standardowy"/>
    <w:uiPriority w:val="52"/>
    <w:semiHidden/>
    <w:rsid w:val="0096441B"/>
    <w:rPr>
      <w:color w:val="393939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4D4D4D" w:themeColor="accent6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4D4D4D" w:themeColor="accent6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4D4D4D" w:themeColor="accent6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4D4D4D" w:themeColor="accent6"/>
        </w:tcBorders>
        <w:shd w:val="clear" w:color="auto" w:fill="0072BC" w:themeFill="background1"/>
      </w:tcPr>
    </w:tblStylePr>
    <w:tblStylePr w:type="band1Vert">
      <w:tblPr/>
      <w:tcPr>
        <w:shd w:val="clear" w:color="auto" w:fill="DBDBDB" w:themeFill="accent6" w:themeFillTint="33"/>
      </w:tcPr>
    </w:tblStylePr>
    <w:tblStylePr w:type="band1Horz">
      <w:tblPr/>
      <w:tcPr>
        <w:shd w:val="clear" w:color="auto" w:fill="DBDBDB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Wzmianka1">
    <w:name w:val="Wzmianka1"/>
    <w:basedOn w:val="Domylnaczcionkaakapitu"/>
    <w:uiPriority w:val="99"/>
    <w:semiHidden/>
    <w:unhideWhenUsed/>
    <w:rsid w:val="0096441B"/>
    <w:rPr>
      <w:color w:val="2B579A"/>
      <w:shd w:val="clear" w:color="auto" w:fill="E1DFDD"/>
    </w:rPr>
  </w:style>
  <w:style w:type="table" w:styleId="Zwykatabela1">
    <w:name w:val="Plain Table 1"/>
    <w:basedOn w:val="Standardowy"/>
    <w:uiPriority w:val="41"/>
    <w:semiHidden/>
    <w:rsid w:val="0096441B"/>
    <w:tblPr>
      <w:tblStyleRowBandSize w:val="1"/>
      <w:tblStyleColBandSize w:val="1"/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00548C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2">
    <w:name w:val="Plain Table 2"/>
    <w:basedOn w:val="Standardowy"/>
    <w:uiPriority w:val="42"/>
    <w:semiHidden/>
    <w:rsid w:val="0096441B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Zwykatabela3">
    <w:name w:val="Plain Table 3"/>
    <w:basedOn w:val="Standardowy"/>
    <w:uiPriority w:val="43"/>
    <w:semiHidden/>
    <w:rsid w:val="0096441B"/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Zwykatabela4">
    <w:name w:val="Plain Table 4"/>
    <w:basedOn w:val="Standardowy"/>
    <w:uiPriority w:val="44"/>
    <w:semiHidden/>
    <w:rsid w:val="0096441B"/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</w:style>
  <w:style w:type="table" w:styleId="Zwykatabela5">
    <w:name w:val="Plain Table 5"/>
    <w:basedOn w:val="Standardowy"/>
    <w:uiPriority w:val="45"/>
    <w:semiHidden/>
    <w:rsid w:val="0096441B"/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0072BC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0072BC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0072BC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0072BC" w:themeFill="background1"/>
      </w:tcPr>
    </w:tblStylePr>
    <w:tblStylePr w:type="band1Vert">
      <w:tblPr/>
      <w:tcPr>
        <w:shd w:val="clear" w:color="auto" w:fill="006BB2" w:themeFill="background1" w:themeFillShade="F2"/>
      </w:tcPr>
    </w:tblStylePr>
    <w:tblStylePr w:type="band1Horz">
      <w:tblPr/>
      <w:tcPr>
        <w:shd w:val="clear" w:color="auto" w:fill="006BB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character" w:customStyle="1" w:styleId="Inteligentnyhiperlink1">
    <w:name w:val="Inteligentny hiperlink1"/>
    <w:basedOn w:val="Domylnaczcionkaakapitu"/>
    <w:uiPriority w:val="99"/>
    <w:semiHidden/>
    <w:unhideWhenUsed/>
    <w:rsid w:val="0096441B"/>
    <w:rPr>
      <w:u w:val="dotted"/>
    </w:rPr>
  </w:style>
  <w:style w:type="character" w:styleId="Inteligentnylink">
    <w:name w:val="Smart Link"/>
    <w:basedOn w:val="Domylnaczcionkaakapitu"/>
    <w:uiPriority w:val="99"/>
    <w:semiHidden/>
    <w:unhideWhenUsed/>
    <w:rsid w:val="0096441B"/>
    <w:rPr>
      <w:color w:val="0000FF"/>
      <w:u w:val="single"/>
      <w:shd w:val="clear" w:color="auto" w:fill="F3F2F1"/>
    </w:rPr>
  </w:style>
  <w:style w:type="table" w:styleId="Siatkatabelijasna">
    <w:name w:val="Grid Table Light"/>
    <w:basedOn w:val="Standardowy"/>
    <w:uiPriority w:val="40"/>
    <w:semiHidden/>
    <w:rsid w:val="0096441B"/>
    <w:tblPr>
      <w:tblBorders>
        <w:top w:val="single" w:sz="4" w:space="0" w:color="00548C" w:themeColor="background1" w:themeShade="BF"/>
        <w:left w:val="single" w:sz="4" w:space="0" w:color="00548C" w:themeColor="background1" w:themeShade="BF"/>
        <w:bottom w:val="single" w:sz="4" w:space="0" w:color="00548C" w:themeColor="background1" w:themeShade="BF"/>
        <w:right w:val="single" w:sz="4" w:space="0" w:color="00548C" w:themeColor="background1" w:themeShade="BF"/>
        <w:insideH w:val="single" w:sz="4" w:space="0" w:color="00548C" w:themeColor="background1" w:themeShade="BF"/>
        <w:insideV w:val="single" w:sz="4" w:space="0" w:color="00548C" w:themeColor="background1" w:themeShade="BF"/>
      </w:tblBorders>
    </w:tblPr>
  </w:style>
  <w:style w:type="paragraph" w:styleId="Poprawka">
    <w:name w:val="Revision"/>
    <w:hidden/>
    <w:uiPriority w:val="99"/>
    <w:semiHidden/>
    <w:rsid w:val="00337D95"/>
    <w:rPr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ECHR_Theme_Judgments_Decisions_Reports">
  <a:themeElements>
    <a:clrScheme name="ECHR_grey">
      <a:dk1>
        <a:sysClr val="windowText" lastClr="000000"/>
      </a:dk1>
      <a:lt1>
        <a:srgbClr val="0072BC"/>
      </a:lt1>
      <a:dk2>
        <a:srgbClr val="C6C6C6"/>
      </a:dk2>
      <a:lt2>
        <a:srgbClr val="F8F8F8"/>
      </a:lt2>
      <a:accent1>
        <a:srgbClr val="0072BC"/>
      </a:accent1>
      <a:accent2>
        <a:srgbClr val="C00000"/>
      </a:accent2>
      <a:accent3>
        <a:srgbClr val="5F5F5F"/>
      </a:accent3>
      <a:accent4>
        <a:srgbClr val="969696"/>
      </a:accent4>
      <a:accent5>
        <a:srgbClr val="5F5F5F"/>
      </a:accent5>
      <a:accent6>
        <a:srgbClr val="4D4D4D"/>
      </a:accent6>
      <a:hlink>
        <a:srgbClr val="0072BC"/>
      </a:hlink>
      <a:folHlink>
        <a:srgbClr val="7030A0"/>
      </a:folHlink>
    </a:clrScheme>
    <a:fontScheme name="ECHR_Judgments_Reports_Decisions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shade val="50000"/>
                <a:satMod val="155000"/>
              </a:schemeClr>
            </a:gs>
            <a:gs pos="35000">
              <a:schemeClr val="phClr">
                <a:shade val="75000"/>
                <a:satMod val="155000"/>
              </a:schemeClr>
            </a:gs>
            <a:gs pos="100000">
              <a:schemeClr val="phClr">
                <a:tint val="80000"/>
                <a:satMod val="255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100000" t="100000" r="100000" b="10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258DC8-8283-459E-B518-31F9750E73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2709</Words>
  <Characters>16260</Characters>
  <Application>Microsoft Office Word</Application>
  <DocSecurity>0</DocSecurity>
  <Lines>135</Lines>
  <Paragraphs>37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ECHR</vt:lpstr>
      <vt:lpstr>ECHR</vt:lpstr>
    </vt:vector>
  </TitlesOfParts>
  <Company/>
  <LinksUpToDate>false</LinksUpToDate>
  <CharactersWithSpaces>18932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ECHR</dc:title>
  <dc:subject>JUD</dc:subject>
  <cp:lastModifiedBy/>
  <cp:revision>1</cp:revision>
  <dcterms:created xsi:type="dcterms:W3CDTF">2023-10-04T14:19:00Z</dcterms:created>
  <dcterms:modified xsi:type="dcterms:W3CDTF">2023-10-09T13:04:00Z</dcterms:modified>
  <cp:category>ECHR Template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SEID">
    <vt:lpwstr>1603571</vt:lpwstr>
  </property>
  <property fmtid="{D5CDD505-2E9C-101B-9397-08002B2CF9AE}" pid="3" name="cstLanguage">
    <vt:i4>2057</vt:i4>
  </property>
  <property fmtid="{D5CDD505-2E9C-101B-9397-08002B2CF9AE}" pid="4" name="RegisteredNo">
    <vt:lpwstr>4065/21</vt:lpwstr>
  </property>
</Properties>
</file>