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4A513F" w14:textId="4199FC69" w:rsidR="00312828" w:rsidRDefault="00312828" w:rsidP="00312828">
      <w:pPr>
        <w:pStyle w:val="DecHTitle"/>
      </w:pPr>
      <w:r>
        <w:t>EUROPEJSKI TRYBUNAŁ PRAW CZŁOWIEKA</w:t>
      </w:r>
    </w:p>
    <w:p w14:paraId="0BDD1355" w14:textId="02C8B166" w:rsidR="00E93FC7" w:rsidRPr="00D049F4" w:rsidRDefault="00327F12" w:rsidP="00D049F4">
      <w:pPr>
        <w:pStyle w:val="DecHTitle"/>
      </w:pPr>
      <w:r>
        <w:t>SEKCJA PIERWSZA</w:t>
      </w:r>
    </w:p>
    <w:p w14:paraId="3B3B6A16" w14:textId="77777777" w:rsidR="00E93FC7" w:rsidRPr="00D049F4" w:rsidRDefault="006267D3" w:rsidP="00D049F4">
      <w:pPr>
        <w:pStyle w:val="DecHTitle"/>
      </w:pPr>
      <w:r>
        <w:t>DECYZJA</w:t>
      </w:r>
    </w:p>
    <w:p w14:paraId="7161AF65" w14:textId="5D834FDE" w:rsidR="00EE3667" w:rsidRPr="00D049F4" w:rsidRDefault="00327F12" w:rsidP="00D049F4">
      <w:pPr>
        <w:pStyle w:val="DecHCase"/>
        <w:rPr>
          <w:i/>
        </w:rPr>
      </w:pPr>
      <w:r>
        <w:t>Skarga nr 45561/17</w:t>
      </w:r>
      <w:r>
        <w:br/>
        <w:t>Agnieszka LECHOWICZ</w:t>
      </w:r>
      <w:r>
        <w:br/>
        <w:t>przeciwko Polsce</w:t>
      </w:r>
    </w:p>
    <w:p w14:paraId="4B92BAFD" w14:textId="679DCA1F" w:rsidR="00E93FC7" w:rsidRPr="00D049F4" w:rsidRDefault="00B75DB1" w:rsidP="00D049F4">
      <w:pPr>
        <w:rPr>
          <w:sz w:val="2"/>
          <w:szCs w:val="2"/>
        </w:rPr>
      </w:pPr>
    </w:p>
    <w:p w14:paraId="571C5B25" w14:textId="65B5B927" w:rsidR="00327F12" w:rsidRPr="00D049F4" w:rsidRDefault="00327F12" w:rsidP="00D049F4">
      <w:pPr>
        <w:pStyle w:val="JuPara"/>
      </w:pPr>
      <w:r>
        <w:t>Europejski Trybunał Praw Człowieka (Sekcja Pierwsza), zasiadając dnia 8 listopada 2022 r. jako Komitet w składzie:</w:t>
      </w:r>
    </w:p>
    <w:p w14:paraId="75E16F1B" w14:textId="199B2BD2" w:rsidR="00327F12" w:rsidRPr="00D049F4" w:rsidRDefault="003B6AD4" w:rsidP="00D049F4">
      <w:pPr>
        <w:pStyle w:val="JuJudges"/>
        <w:rPr>
          <w:iCs/>
        </w:rPr>
      </w:pPr>
      <w:r>
        <w:tab/>
      </w:r>
      <w:proofErr w:type="spellStart"/>
      <w:r>
        <w:t>Lətif</w:t>
      </w:r>
      <w:proofErr w:type="spellEnd"/>
      <w:r>
        <w:t xml:space="preserve"> </w:t>
      </w:r>
      <w:proofErr w:type="spellStart"/>
      <w:r>
        <w:t>Hüseynov</w:t>
      </w:r>
      <w:proofErr w:type="spellEnd"/>
      <w:r>
        <w:rPr>
          <w:i/>
        </w:rPr>
        <w:t>, Przewodniczący</w:t>
      </w:r>
      <w:r>
        <w:t>,</w:t>
      </w:r>
      <w:r>
        <w:br/>
      </w:r>
      <w:r>
        <w:tab/>
        <w:t>Krzysztof Wojtyczek,</w:t>
      </w:r>
      <w:r>
        <w:br/>
      </w:r>
      <w:r>
        <w:tab/>
        <w:t xml:space="preserve">Erik </w:t>
      </w:r>
      <w:proofErr w:type="spellStart"/>
      <w:r>
        <w:t>Wennerström</w:t>
      </w:r>
      <w:proofErr w:type="spellEnd"/>
      <w:r>
        <w:t xml:space="preserve">, </w:t>
      </w:r>
      <w:r>
        <w:rPr>
          <w:i/>
        </w:rPr>
        <w:t>sędziowie</w:t>
      </w:r>
      <w:r>
        <w:br/>
        <w:t xml:space="preserve">oraz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>
        <w:rPr>
          <w:i/>
        </w:rPr>
        <w:t>Zastępca</w:t>
      </w:r>
      <w:r>
        <w:t xml:space="preserve"> </w:t>
      </w:r>
      <w:r>
        <w:rPr>
          <w:i/>
          <w:iCs/>
        </w:rPr>
        <w:t>Kanclerza Sekcji</w:t>
      </w:r>
      <w:r>
        <w:t>,</w:t>
      </w:r>
    </w:p>
    <w:p w14:paraId="647068C0" w14:textId="77777777" w:rsidR="00327F12" w:rsidRPr="00D049F4" w:rsidRDefault="00327F12" w:rsidP="00D049F4">
      <w:pPr>
        <w:pStyle w:val="JuPara"/>
      </w:pPr>
      <w:r>
        <w:t>uwzględniając:</w:t>
      </w:r>
    </w:p>
    <w:p w14:paraId="476F7706" w14:textId="1EF8C3DE" w:rsidR="00327F12" w:rsidRPr="00D049F4" w:rsidRDefault="00327F12" w:rsidP="00D049F4">
      <w:pPr>
        <w:pStyle w:val="JuPara"/>
      </w:pPr>
      <w:r>
        <w:t>skargę (nr 45561/17) przeciwko Rzeczypospolitej Polskiej wniesioną do</w:t>
      </w:r>
      <w:r w:rsidR="00DB2826">
        <w:t> </w:t>
      </w:r>
      <w:r>
        <w:t xml:space="preserve">Trybunału w dniu 19 czerwca 2017 r. na podstawie art. 34 Konwencji o ochronie praw człowieka i podstawowych wolności („Konwencja”) przez obywatelkę polską, Agnieszkę Lechowicz, urodzoną w 1976 r. i zamieszkałą w Jędrzejowie („skarżąca”), reprezentowaną przez p. </w:t>
      </w:r>
      <w:bookmarkStart w:id="0" w:name="_Hlk120631547"/>
      <w:r>
        <w:t>Recka</w:t>
      </w:r>
      <w:bookmarkEnd w:id="0"/>
      <w:r>
        <w:t xml:space="preserve">, </w:t>
      </w:r>
      <w:r w:rsidR="000D45A8">
        <w:t>adwokata</w:t>
      </w:r>
      <w:r>
        <w:t xml:space="preserve"> praktykującego w Katowicach;</w:t>
      </w:r>
    </w:p>
    <w:p w14:paraId="1A3602E4" w14:textId="3A71383B" w:rsidR="00327F12" w:rsidRPr="00D049F4" w:rsidRDefault="00327F12" w:rsidP="00D049F4">
      <w:pPr>
        <w:pStyle w:val="JuPara"/>
      </w:pPr>
      <w:r>
        <w:t>decyzję o zakomunikowaniu rządowi polskiemu („Rząd”), reprezentowanemu przez swojego pełnomocnika, p. J. Sobczaka z</w:t>
      </w:r>
      <w:r w:rsidR="00271A89">
        <w:t> </w:t>
      </w:r>
      <w:r>
        <w:t>Ministerstwa Spraw Zagranicznych, sprawy na podstawie art. 10 dotyczącej skazania skarżącej za zniesławienie;</w:t>
      </w:r>
    </w:p>
    <w:p w14:paraId="251992E9" w14:textId="2E8A02AE" w:rsidR="00327F12" w:rsidRPr="00D049F4" w:rsidRDefault="00327F12" w:rsidP="00D049F4">
      <w:pPr>
        <w:pStyle w:val="JuPara"/>
      </w:pPr>
      <w:r>
        <w:t>uwagi przedstawione przez strony,</w:t>
      </w:r>
    </w:p>
    <w:p w14:paraId="6125C351" w14:textId="77777777" w:rsidR="00327F12" w:rsidRPr="00D049F4" w:rsidRDefault="00327F12" w:rsidP="00D049F4">
      <w:pPr>
        <w:pStyle w:val="JuPara"/>
      </w:pPr>
      <w:r>
        <w:t>obradując, postanawia, co następuje:</w:t>
      </w:r>
    </w:p>
    <w:p w14:paraId="00C2EFFE" w14:textId="74022D1B" w:rsidR="00327F12" w:rsidRPr="00D049F4" w:rsidRDefault="00327F12" w:rsidP="00D049F4">
      <w:pPr>
        <w:pStyle w:val="JuHHead"/>
        <w:numPr>
          <w:ilvl w:val="0"/>
          <w:numId w:val="0"/>
        </w:numPr>
      </w:pPr>
      <w:r>
        <w:t>PRZEDMIOT SPRAWY</w:t>
      </w:r>
    </w:p>
    <w:p w14:paraId="517D9686" w14:textId="5389098A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</w:t>
        </w:r>
      </w:fldSimple>
      <w:r w:rsidR="00D049F4">
        <w:t>.  Sprawa dotyczy skazania skarżącej za zniesławienie.</w:t>
      </w:r>
    </w:p>
    <w:p w14:paraId="5A0475CF" w14:textId="4B87D14C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2</w:t>
        </w:r>
      </w:fldSimple>
      <w:r w:rsidR="00D049F4">
        <w:t>.  Skarżąca, która jest działaczką na rzecz praw zwierząt, została skazana za zniesławienie w związku z podpisaniem listu otwartego, w którym nazwała autor</w:t>
      </w:r>
      <w:r w:rsidR="000D45A8">
        <w:t>a</w:t>
      </w:r>
      <w:r w:rsidR="00D049F4">
        <w:t xml:space="preserve"> nowelizacji ustawy o ochronie zwierząt oszustem (wyrok Sądu Rejonowego w Gdyni z dnia 15 lipca 2016 r., utrzymany w mocy </w:t>
      </w:r>
      <w:r w:rsidR="00D049F4">
        <w:lastRenderedPageBreak/>
        <w:t>na</w:t>
      </w:r>
      <w:r w:rsidR="00DB2826">
        <w:t> </w:t>
      </w:r>
      <w:r w:rsidR="00D049F4">
        <w:t>skutek apelacji przez Sąd Okręgowy w Gdańsku w dniu 19 grudnia 2016</w:t>
      </w:r>
      <w:r w:rsidR="00DB2826">
        <w:t> </w:t>
      </w:r>
      <w:r w:rsidR="00D049F4">
        <w:t>r.).</w:t>
      </w:r>
    </w:p>
    <w:p w14:paraId="7828776A" w14:textId="0573740C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3</w:t>
        </w:r>
      </w:fldSimple>
      <w:r w:rsidR="00D049F4">
        <w:t xml:space="preserve">.  Skarżącej wymierzono karę grzywny w wysokości 10 000 polskich złotych (PLN) (około 2 500 euro (EUR)) warunkowo zawieszoną na okres dwóch lat oraz orzeczono od niej tytułem nawiązki na rzecz Fundacji </w:t>
      </w:r>
      <w:proofErr w:type="spellStart"/>
      <w:r w:rsidR="00D049F4">
        <w:t>Mondo</w:t>
      </w:r>
      <w:proofErr w:type="spellEnd"/>
      <w:r w:rsidR="00D049F4">
        <w:t xml:space="preserve"> </w:t>
      </w:r>
      <w:proofErr w:type="spellStart"/>
      <w:r w:rsidR="00D049F4">
        <w:t>Cane</w:t>
      </w:r>
      <w:proofErr w:type="spellEnd"/>
      <w:r w:rsidR="00D049F4">
        <w:t xml:space="preserve"> kwotę 5 000 zł (1 250 euro). Skarżącą zobowiązano również do</w:t>
      </w:r>
      <w:r w:rsidR="00DB2826">
        <w:t> </w:t>
      </w:r>
      <w:r w:rsidR="00D049F4">
        <w:t>publicznego przeproszenia osoby, którą zniesławiła. Skarżąca została obciążona kwotą 2 000 zł (500 euro) tytułem kosztów sądowych oraz 420 zł (105 euro) tytułem kosztów postępowania apelacyjnego.</w:t>
      </w:r>
    </w:p>
    <w:p w14:paraId="437A08F5" w14:textId="5984B13A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4</w:t>
        </w:r>
      </w:fldSimple>
      <w:r w:rsidR="00D049F4">
        <w:t>.  Skarżąca nie zapłaciła grzywny, która w konsekwencji została zamieniona na karę 100 dni pozbawienia wolności. W okresie od dnia 23</w:t>
      </w:r>
      <w:r w:rsidR="00271A89">
        <w:t> </w:t>
      </w:r>
      <w:r w:rsidR="00D049F4">
        <w:t>sierpnia do 21 listopada 2018 r. odbyła 88 dni kary.</w:t>
      </w:r>
    </w:p>
    <w:p w14:paraId="3BB664C3" w14:textId="7386A778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5</w:t>
        </w:r>
      </w:fldSimple>
      <w:r w:rsidR="00D049F4">
        <w:t xml:space="preserve">.  W dniu 28 czerwca 2019 r. Prezydent RP ułaskawił skarżącą, w wyniku czego została zwolniona z odbywania pozostałej części kary pozbawienia wolności oraz z obowiązku dokonania wpłaty na rzecz Fundacji </w:t>
      </w:r>
      <w:proofErr w:type="spellStart"/>
      <w:r w:rsidR="00D049F4">
        <w:t>Mondo</w:t>
      </w:r>
      <w:proofErr w:type="spellEnd"/>
      <w:r w:rsidR="00D049F4">
        <w:t xml:space="preserve"> </w:t>
      </w:r>
      <w:proofErr w:type="spellStart"/>
      <w:r w:rsidR="00D049F4">
        <w:t>Cane</w:t>
      </w:r>
      <w:proofErr w:type="spellEnd"/>
      <w:r w:rsidR="00D049F4">
        <w:t>. Jej skazanie zostało również zatarte.</w:t>
      </w:r>
    </w:p>
    <w:p w14:paraId="5F446ACC" w14:textId="683EE467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6</w:t>
        </w:r>
      </w:fldSimple>
      <w:r w:rsidR="00D049F4">
        <w:t>.  Pismem z dnia 20 kwietnia 2018 r. skarżąca została poinformowana o</w:t>
      </w:r>
      <w:r w:rsidR="00271A89">
        <w:t> </w:t>
      </w:r>
      <w:r w:rsidR="00D049F4">
        <w:t xml:space="preserve">decyzji Trybunału o zakomunikowaniu Rządowi na podstawie art. 10 Konwencji </w:t>
      </w:r>
      <w:r w:rsidR="00385989">
        <w:t xml:space="preserve">jej sprawy </w:t>
      </w:r>
      <w:r w:rsidR="00D049F4">
        <w:t>dotyczącej skazania za zniesławienie. W piśmie zawarto następujące informacje:</w:t>
      </w:r>
    </w:p>
    <w:p w14:paraId="5EC20BC5" w14:textId="77F84229" w:rsidR="00327F12" w:rsidRPr="00D049F4" w:rsidRDefault="00327F12" w:rsidP="00D049F4">
      <w:pPr>
        <w:pStyle w:val="JuQuot"/>
      </w:pPr>
      <w:r>
        <w:t>„[</w:t>
      </w:r>
      <w:r>
        <w:rPr>
          <w:i/>
          <w:iCs/>
        </w:rPr>
        <w:t>Trybunał</w:t>
      </w:r>
      <w:r>
        <w:t>] zwrócił się również do Rządu o wskazanie (...) swojego stanowiska w</w:t>
      </w:r>
      <w:r w:rsidR="00DD679E">
        <w:t> </w:t>
      </w:r>
      <w:r>
        <w:t>kwestii polubownego załatwienia niniejszej sprawy oraz o przedstawienie ewentualnych propozycji w tym zakresie (Reguła 62). To samo żądanie zostanie skierowane do Pani, gdy otrzyma Pani uwagi Rządu.”</w:t>
      </w:r>
    </w:p>
    <w:p w14:paraId="554A617A" w14:textId="5C89ECCD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7</w:t>
        </w:r>
      </w:fldSimple>
      <w:r w:rsidR="00D049F4">
        <w:t>.  W dniu 4 października 2018 r. pełnomocnik skarżącej został poinformowany, że w piśmie z dnia 21 września 2018 r. Rząd wyraził zainteresowanie polubownym załatwieniem sprawy skarżącej i wskazał konkretną kwotę na zabezpieczenie ugody.</w:t>
      </w:r>
    </w:p>
    <w:p w14:paraId="218A6827" w14:textId="4AA80A80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8</w:t>
        </w:r>
      </w:fldSimple>
      <w:r w:rsidR="00D049F4">
        <w:t>.  W dniu 29 października 2018 r. pełnomocnik skarżącej poinformował Trybunał, że skarżąca nie wyraziła zgody na zawarcie ugody w sprawie.</w:t>
      </w:r>
    </w:p>
    <w:p w14:paraId="55CA6A0C" w14:textId="49A5489A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9</w:t>
        </w:r>
      </w:fldSimple>
      <w:r w:rsidR="00D049F4">
        <w:t>.  W dniu 12 kwietnia 2019 r. Rząd stwierdził, że skarżąca nie zachowała poufności negocjacji ugodowych, ponieważ w dniu 12 października 2018 r. jej pełnomocnik ujawnił treść propozycji ugody Rządu w prośbie o</w:t>
      </w:r>
      <w:r w:rsidR="00DD679E">
        <w:t> </w:t>
      </w:r>
      <w:r w:rsidR="00D049F4">
        <w:t>zastosowanie ułaskawienia przez Prezydenta. W rezultacie przedmiotowa informacja stała się znana nie tylko Gabinetowi Prezydenta (adresatowi prośby), ale także wszystkim organom publicznym rozpatrującym prośby o</w:t>
      </w:r>
      <w:r w:rsidR="00DD679E">
        <w:t> </w:t>
      </w:r>
      <w:r w:rsidR="00D049F4">
        <w:t>ułaskawienie, w tym Prokuratorowi Generalnemu. W istocie to Prokurator Generalny poinformował pełnomocnika Rządu przed Trybunałem o prośbie skarżącej o ułaskawienie. Rząd załączył kopię zaskarżonej prośby o</w:t>
      </w:r>
      <w:r w:rsidR="00DD679E">
        <w:t> </w:t>
      </w:r>
      <w:r w:rsidR="00D049F4">
        <w:t>ułaskawienie, w której pełnomocnik skarżącej podniósł, że sprawa jest rozpatrywana przez Trybunał, a Rząd Polski „zaproponował odszkodowanie dla jego klien</w:t>
      </w:r>
      <w:r w:rsidR="001D12C1">
        <w:t>tki</w:t>
      </w:r>
      <w:r w:rsidR="00D049F4">
        <w:t xml:space="preserve">, uznając naruszenie art. 10 Konwencji”. W swojej prośbie pełnomocnik zwrócił się też o to, aby Prokurator Generalny </w:t>
      </w:r>
      <w:proofErr w:type="spellStart"/>
      <w:r w:rsidR="001D12C1">
        <w:rPr>
          <w:i/>
          <w:iCs/>
        </w:rPr>
        <w:t>proprio</w:t>
      </w:r>
      <w:proofErr w:type="spellEnd"/>
      <w:r w:rsidR="001D12C1">
        <w:t xml:space="preserve"> </w:t>
      </w:r>
      <w:r w:rsidR="00D049F4">
        <w:rPr>
          <w:i/>
          <w:iCs/>
        </w:rPr>
        <w:t xml:space="preserve">motu </w:t>
      </w:r>
      <w:r w:rsidR="00D049F4">
        <w:t>zażądał umorzen</w:t>
      </w:r>
      <w:r w:rsidR="00385989">
        <w:t>ia</w:t>
      </w:r>
      <w:r w:rsidR="00D049F4">
        <w:t xml:space="preserve"> wykonania kary pozbawienia wolności wobec skarżącej. </w:t>
      </w:r>
      <w:r w:rsidR="00D049F4">
        <w:lastRenderedPageBreak/>
        <w:t>Do prośby o ułaskawienie dołączono kopie pisma Rządu z dnia 21 września 2018 r. oraz pisma Trybunału z dnia 4 października 2018 r.</w:t>
      </w:r>
    </w:p>
    <w:p w14:paraId="51532BF2" w14:textId="59B936B2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10</w:t>
        </w:r>
      </w:fldSimple>
      <w:r w:rsidR="00D049F4">
        <w:t>.  W piśmie z dnia 17 maja 2019 r. pełnomocnik skarżącej przyznał, że</w:t>
      </w:r>
      <w:r w:rsidR="00DB2826">
        <w:t> </w:t>
      </w:r>
      <w:r w:rsidR="00D049F4">
        <w:t xml:space="preserve">w prośbie o ułaskawienie ujawnił </w:t>
      </w:r>
      <w:r w:rsidR="00385989">
        <w:t>poufne</w:t>
      </w:r>
      <w:r w:rsidR="00385989">
        <w:t xml:space="preserve"> </w:t>
      </w:r>
      <w:r w:rsidR="00D049F4">
        <w:t>informacje dotyczące ugody.</w:t>
      </w:r>
    </w:p>
    <w:p w14:paraId="7EC9B7BB" w14:textId="3750C1EC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11</w:t>
        </w:r>
      </w:fldSimple>
      <w:r w:rsidR="00D049F4">
        <w:t xml:space="preserve">.  Skarżąca zarzuciła na podstawie </w:t>
      </w:r>
      <w:r w:rsidR="00385989">
        <w:t>art.</w:t>
      </w:r>
      <w:r w:rsidR="00D049F4">
        <w:t xml:space="preserve"> 10 Konwencji, że skazanie jej za</w:t>
      </w:r>
      <w:r w:rsidR="00DB2826">
        <w:t> </w:t>
      </w:r>
      <w:r w:rsidR="00D049F4">
        <w:t>zniesławienie stanowiło naruszenie jej prawa do wolności wyrażania opinii.</w:t>
      </w:r>
    </w:p>
    <w:p w14:paraId="1B9A7274" w14:textId="78C7FBA7" w:rsidR="00327F12" w:rsidRPr="00D049F4" w:rsidRDefault="00327F12" w:rsidP="00D049F4">
      <w:pPr>
        <w:pStyle w:val="JuHHead"/>
        <w:keepNext w:val="0"/>
        <w:keepLines w:val="0"/>
        <w:numPr>
          <w:ilvl w:val="0"/>
          <w:numId w:val="1"/>
        </w:numPr>
        <w:ind w:left="360" w:hanging="360"/>
      </w:pPr>
      <w:r>
        <w:t>OCENA TRYBUNAŁU</w:t>
      </w:r>
    </w:p>
    <w:p w14:paraId="0F2586D0" w14:textId="1C22FAF8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12</w:t>
        </w:r>
      </w:fldSimple>
      <w:r w:rsidR="00D049F4">
        <w:t xml:space="preserve">.  Rząd argumentował, że poprzez ujawnienie </w:t>
      </w:r>
      <w:r w:rsidR="002A3325">
        <w:t>warunków propozycji</w:t>
      </w:r>
      <w:r w:rsidR="00D049F4">
        <w:t xml:space="preserve"> ugody w</w:t>
      </w:r>
      <w:r w:rsidR="00DD679E">
        <w:t> </w:t>
      </w:r>
      <w:r w:rsidR="00D049F4">
        <w:t xml:space="preserve">prośbie o ułaskawienie pełnomocnik nie zachował poufności negocjacji ugodowych, co stanowiło naruszenie </w:t>
      </w:r>
      <w:r w:rsidR="002A3325">
        <w:t>art.</w:t>
      </w:r>
      <w:r w:rsidR="00D049F4">
        <w:t xml:space="preserve"> 39 ust. 2 Konwencji oraz Reguły 62 § 2 Regulaminu Trybunału, które brzmią:</w:t>
      </w:r>
    </w:p>
    <w:p w14:paraId="2DB195A8" w14:textId="77777777" w:rsidR="00327F12" w:rsidRPr="00D049F4" w:rsidRDefault="00327F12" w:rsidP="00D049F4">
      <w:pPr>
        <w:pStyle w:val="JuHArticle"/>
      </w:pPr>
      <w:r>
        <w:t>Artykuł 39 Konwencji</w:t>
      </w:r>
    </w:p>
    <w:p w14:paraId="10C71B6F" w14:textId="5F0196FA" w:rsidR="00327F12" w:rsidRPr="00D049F4" w:rsidRDefault="00327F12" w:rsidP="00D049F4">
      <w:pPr>
        <w:pStyle w:val="JuQuot"/>
      </w:pPr>
      <w:r>
        <w:t xml:space="preserve">„1. Na każdym etapie postępowania Trybunał może postawić się do dyspozycji zainteresowanych stron celem polubownego załatwienia sprawy na zasadach poszanowania praw człowieka w rozumieniu </w:t>
      </w:r>
      <w:r w:rsidR="002A3325">
        <w:t xml:space="preserve">Konwencji </w:t>
      </w:r>
      <w:r>
        <w:t xml:space="preserve">i jej </w:t>
      </w:r>
      <w:r w:rsidR="002A3325">
        <w:t>Protokołów</w:t>
      </w:r>
      <w:r>
        <w:t>.</w:t>
      </w:r>
    </w:p>
    <w:p w14:paraId="41743D27" w14:textId="77777777" w:rsidR="00327F12" w:rsidRPr="00D049F4" w:rsidRDefault="00327F12" w:rsidP="00D049F4">
      <w:pPr>
        <w:pStyle w:val="JuQuot"/>
      </w:pPr>
      <w:r>
        <w:t>2. Postępowanie prowadzone w trybie ustępu 1 jest poufne.”</w:t>
      </w:r>
    </w:p>
    <w:p w14:paraId="235AD41E" w14:textId="77777777" w:rsidR="00327F12" w:rsidRPr="00D049F4" w:rsidRDefault="00327F12" w:rsidP="00D049F4">
      <w:pPr>
        <w:pStyle w:val="JuHArticle"/>
      </w:pPr>
      <w:r>
        <w:t>Reguła 62 § 2 Regulaminu Trybunału</w:t>
      </w:r>
    </w:p>
    <w:p w14:paraId="6E88394B" w14:textId="77777777" w:rsidR="00327F12" w:rsidRPr="00D049F4" w:rsidRDefault="00327F12" w:rsidP="00D049F4">
      <w:pPr>
        <w:pStyle w:val="JuHArticle"/>
      </w:pPr>
      <w:r>
        <w:t>(Polubowne załatwienie sprawy)</w:t>
      </w:r>
    </w:p>
    <w:p w14:paraId="7B0AED80" w14:textId="3D97FB58" w:rsidR="00327F12" w:rsidRPr="00D049F4" w:rsidRDefault="00327F12" w:rsidP="00D049F4">
      <w:pPr>
        <w:pStyle w:val="JuQuot"/>
      </w:pPr>
      <w:r>
        <w:t xml:space="preserve">„Zgodnie z </w:t>
      </w:r>
      <w:r w:rsidR="002A3325">
        <w:t>artykułem 39 ustęp</w:t>
      </w:r>
      <w:r>
        <w:t xml:space="preserve"> 2 Konwencji, negocjacje ugodowe prowadzone są poufnie i </w:t>
      </w:r>
      <w:r w:rsidR="002A3325">
        <w:t>pozostają bez wpływu na argumentację</w:t>
      </w:r>
      <w:r>
        <w:t xml:space="preserve"> stron w postępowaniu spornym. W</w:t>
      </w:r>
      <w:r w:rsidR="00DD679E">
        <w:t> </w:t>
      </w:r>
      <w:r>
        <w:t>postępowaniu spornym nie można przy</w:t>
      </w:r>
      <w:r w:rsidR="002A3325">
        <w:t>woływać</w:t>
      </w:r>
      <w:r>
        <w:t xml:space="preserve"> lub opierać się na </w:t>
      </w:r>
      <w:r w:rsidR="002A3325">
        <w:t>jakimkolwiek</w:t>
      </w:r>
      <w:r>
        <w:t xml:space="preserve"> pisemnym lub ustnym oświadczeniu ani na żadnej propozycji lub ustępstwie poczynionych w</w:t>
      </w:r>
      <w:r w:rsidR="00DD679E">
        <w:t> </w:t>
      </w:r>
      <w:r>
        <w:t>ramach starań o doprowadzenie do polubownego załatwienia sprawy.”</w:t>
      </w:r>
    </w:p>
    <w:p w14:paraId="6D46400F" w14:textId="334865F4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13</w:t>
        </w:r>
      </w:fldSimple>
      <w:r w:rsidR="00D049F4">
        <w:t>.  Pełnomocnik skarżącej nie zgodził się z tym, jakoby swoim zachowaniem naruszył obowiązek zachowania poufności, ponieważ przedmiotowa informacja nie została ujawniona w ramach żadnego postępowania spornego. Jego zdaniem prośba o ułaskawienie nie miała żadnego związku ze skargą jego klient</w:t>
      </w:r>
      <w:r>
        <w:t>ki</w:t>
      </w:r>
      <w:r w:rsidR="00D049F4">
        <w:t xml:space="preserve"> przed Trybunałem. Ponadto działał on z zawodowego obowiązku sformułowania przekonującej prośby o</w:t>
      </w:r>
      <w:r w:rsidR="00DD679E">
        <w:t> </w:t>
      </w:r>
      <w:r w:rsidR="00D049F4">
        <w:t>ułaskawienie i doprowadzenia do natychmiastowego zwolnienia skarżącej z zakładu karnego. Pełnomocnik argumentował, że ujawnienie propozycji ugody Rządu było uzasadnione w okolicznościach sprawy i nie miało szkodliwego wpływu na postępowanie przed Trybunałem lub na Rząd.</w:t>
      </w:r>
    </w:p>
    <w:p w14:paraId="3B146354" w14:textId="42DB78FD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14</w:t>
        </w:r>
      </w:fldSimple>
      <w:r w:rsidR="00D049F4">
        <w:t>.  </w:t>
      </w:r>
      <w:r w:rsidR="00960955">
        <w:t>Z</w:t>
      </w:r>
      <w:r w:rsidR="00D049F4">
        <w:t xml:space="preserve">asady </w:t>
      </w:r>
      <w:r w:rsidR="00960955">
        <w:t xml:space="preserve">ogólne </w:t>
      </w:r>
      <w:r w:rsidR="00D049F4">
        <w:t xml:space="preserve">dotyczące obowiązku zachowania poufności negocjacji ugodowych zostały określone w sprawie </w:t>
      </w:r>
      <w:r w:rsidR="00D049F4">
        <w:rPr>
          <w:i/>
          <w:iCs/>
        </w:rPr>
        <w:t>Plichta przeciwko Polsce</w:t>
      </w:r>
      <w:r w:rsidR="00D049F4">
        <w:t xml:space="preserve"> ([Komitet] (</w:t>
      </w:r>
      <w:proofErr w:type="spellStart"/>
      <w:r w:rsidR="00D049F4">
        <w:t>dec</w:t>
      </w:r>
      <w:proofErr w:type="spellEnd"/>
      <w:r w:rsidR="00D049F4">
        <w:t>.), skarga nr 54127/16, §§ 20-22, 22 października 2019 r., z</w:t>
      </w:r>
      <w:r w:rsidR="00DD679E">
        <w:t> </w:t>
      </w:r>
      <w:r w:rsidR="00D049F4">
        <w:t>dalszymi odniesieniami).</w:t>
      </w:r>
    </w:p>
    <w:p w14:paraId="18336C4D" w14:textId="27A964B4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15</w:t>
        </w:r>
      </w:fldSimple>
      <w:r w:rsidR="00D049F4">
        <w:t xml:space="preserve">.  Przechodząc do niniejszej sprawy, Trybunał w pierwszej kolejności zauważa, że pełnomocnik skarżącej jest zawodowym prawnikiem, który </w:t>
      </w:r>
      <w:r w:rsidR="00D049F4">
        <w:lastRenderedPageBreak/>
        <w:t>nie</w:t>
      </w:r>
      <w:r w:rsidR="00382ECC">
        <w:t> </w:t>
      </w:r>
      <w:r w:rsidR="00D049F4">
        <w:t xml:space="preserve">zaprzeczył, że był świadomy obowiązku zachowania </w:t>
      </w:r>
      <w:r w:rsidR="00960955">
        <w:t>poufności wynikającego z art.</w:t>
      </w:r>
      <w:r w:rsidR="00D049F4">
        <w:t xml:space="preserve"> 39 ust. 2 Konwencji oraz Reguły 62 § 2 Regulaminu Trybunału. Po drugie przyznał się do ujawnienia </w:t>
      </w:r>
      <w:r w:rsidR="00960955">
        <w:t>poufnych</w:t>
      </w:r>
      <w:r w:rsidR="00960955">
        <w:t xml:space="preserve"> </w:t>
      </w:r>
      <w:r w:rsidR="00D049F4">
        <w:t>informacji, tłumacząc, że działanie to miało na celu wzmocnienie jego prośby o</w:t>
      </w:r>
      <w:r w:rsidR="00DD679E">
        <w:t> </w:t>
      </w:r>
      <w:r w:rsidR="00D049F4">
        <w:t xml:space="preserve">ułaskawienie. W świetle powyższego Trybunał stwierdza, że ujawnienie </w:t>
      </w:r>
      <w:r w:rsidR="00960955">
        <w:t xml:space="preserve">w ramach procedury ułaskawienia </w:t>
      </w:r>
      <w:r w:rsidR="00D049F4">
        <w:t xml:space="preserve">treści propozycji </w:t>
      </w:r>
      <w:r w:rsidR="00960955">
        <w:t xml:space="preserve">Rządu w sprawie </w:t>
      </w:r>
      <w:r w:rsidR="00D049F4">
        <w:t>polubownego załatwienia sprawy było ewidentnie celowe.</w:t>
      </w:r>
    </w:p>
    <w:p w14:paraId="07CE9733" w14:textId="6C850833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16</w:t>
        </w:r>
      </w:fldSimple>
      <w:r w:rsidR="00D049F4">
        <w:t xml:space="preserve">.  Przedmiotowa poufna </w:t>
      </w:r>
      <w:r w:rsidR="00960955">
        <w:t xml:space="preserve">informacja </w:t>
      </w:r>
      <w:r w:rsidR="00D049F4">
        <w:t>została przekazana nie tylko bezpośredniemu adresatowi prośby o ułaskawienie, ale również Prokuratorowi Generalnemu, u którego pełnomocnik skarżącej starał się zapewnić zwolnienie swoj</w:t>
      </w:r>
      <w:r>
        <w:t>ej</w:t>
      </w:r>
      <w:r w:rsidR="00D049F4">
        <w:t xml:space="preserve"> klient</w:t>
      </w:r>
      <w:r>
        <w:t>ki</w:t>
      </w:r>
      <w:r w:rsidR="00D049F4">
        <w:t xml:space="preserve"> z zakładu karnego.</w:t>
      </w:r>
    </w:p>
    <w:p w14:paraId="1B8B2F1C" w14:textId="239DBA2C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17</w:t>
        </w:r>
      </w:fldSimple>
      <w:r w:rsidR="00D049F4">
        <w:t>.  Trybunał wcześniej stwierdzał naruszenie zasady poufności negocjacji ugodowych i nadużycie prawa do skargi w</w:t>
      </w:r>
      <w:r w:rsidR="00DD679E">
        <w:t> </w:t>
      </w:r>
      <w:r w:rsidR="00D049F4">
        <w:t>przypadkach, gdy</w:t>
      </w:r>
      <w:r w:rsidR="00382ECC">
        <w:t> </w:t>
      </w:r>
      <w:r w:rsidR="00D049F4">
        <w:t>zaskarżanego ujawnienia informacji dokonywano wobec mediów (m.in.</w:t>
      </w:r>
      <w:r w:rsidR="00382ECC">
        <w:t> </w:t>
      </w:r>
      <w:r w:rsidR="00D049F4">
        <w:rPr>
          <w:i/>
          <w:iCs/>
        </w:rPr>
        <w:t>Plichta</w:t>
      </w:r>
      <w:r w:rsidR="00D049F4">
        <w:t xml:space="preserve">, cyt. powyżej, §§ 12 i 28), rządu niebędącego stroną postępowania (zob. </w:t>
      </w:r>
      <w:proofErr w:type="spellStart"/>
      <w:r w:rsidR="00D049F4">
        <w:rPr>
          <w:i/>
          <w:iCs/>
        </w:rPr>
        <w:t>Burlakov</w:t>
      </w:r>
      <w:proofErr w:type="spellEnd"/>
      <w:r w:rsidR="00D049F4">
        <w:rPr>
          <w:i/>
          <w:iCs/>
        </w:rPr>
        <w:t xml:space="preserve"> przeciwko Ukrainie</w:t>
      </w:r>
      <w:r w:rsidR="00D049F4">
        <w:t xml:space="preserve"> [Komitet] (</w:t>
      </w:r>
      <w:proofErr w:type="spellStart"/>
      <w:r w:rsidR="00D049F4">
        <w:t>dec</w:t>
      </w:r>
      <w:proofErr w:type="spellEnd"/>
      <w:r w:rsidR="00D049F4">
        <w:t>.), skarga nr</w:t>
      </w:r>
      <w:r w:rsidR="00382ECC">
        <w:t> </w:t>
      </w:r>
      <w:r w:rsidR="00D049F4">
        <w:t xml:space="preserve">16142/08, §§ 12 i 21, 24 maja 2018 r.), Ministerstwa Sprawiedliwości (zob. </w:t>
      </w:r>
      <w:proofErr w:type="spellStart"/>
      <w:r w:rsidR="00D049F4">
        <w:rPr>
          <w:i/>
          <w:iCs/>
        </w:rPr>
        <w:t>Kopytowski</w:t>
      </w:r>
      <w:proofErr w:type="spellEnd"/>
      <w:r w:rsidR="00D049F4">
        <w:rPr>
          <w:i/>
          <w:iCs/>
        </w:rPr>
        <w:t xml:space="preserve"> przeciwko Polsce</w:t>
      </w:r>
      <w:r w:rsidR="00D049F4">
        <w:t xml:space="preserve"> [Komitet] (</w:t>
      </w:r>
      <w:proofErr w:type="spellStart"/>
      <w:r w:rsidR="00D049F4">
        <w:t>dec</w:t>
      </w:r>
      <w:proofErr w:type="spellEnd"/>
      <w:r w:rsidR="00D049F4">
        <w:t>.), skarga nr 59472/11, §§</w:t>
      </w:r>
      <w:r w:rsidR="00382ECC">
        <w:t> </w:t>
      </w:r>
      <w:bookmarkStart w:id="1" w:name="_GoBack"/>
      <w:bookmarkEnd w:id="1"/>
      <w:r w:rsidR="00D049F4">
        <w:t xml:space="preserve">13 i 21, 16 czerwca 2015 r. oraz </w:t>
      </w:r>
      <w:proofErr w:type="spellStart"/>
      <w:r w:rsidR="00D049F4">
        <w:rPr>
          <w:i/>
          <w:iCs/>
        </w:rPr>
        <w:t>Hadrabová</w:t>
      </w:r>
      <w:proofErr w:type="spellEnd"/>
      <w:r w:rsidR="00D049F4">
        <w:rPr>
          <w:i/>
          <w:iCs/>
        </w:rPr>
        <w:t xml:space="preserve"> i </w:t>
      </w:r>
      <w:proofErr w:type="spellStart"/>
      <w:r w:rsidR="00D049F4">
        <w:rPr>
          <w:i/>
          <w:iCs/>
        </w:rPr>
        <w:t>Hadrabová</w:t>
      </w:r>
      <w:proofErr w:type="spellEnd"/>
      <w:r w:rsidR="00D049F4">
        <w:rPr>
          <w:i/>
          <w:iCs/>
        </w:rPr>
        <w:t xml:space="preserve"> przeciwko Republice Czeskiej </w:t>
      </w:r>
      <w:r w:rsidR="00D049F4">
        <w:t>(</w:t>
      </w:r>
      <w:proofErr w:type="spellStart"/>
      <w:r w:rsidR="00D049F4">
        <w:t>dec</w:t>
      </w:r>
      <w:proofErr w:type="spellEnd"/>
      <w:r w:rsidR="00D049F4">
        <w:t xml:space="preserve">.), skarga nr 42165/02, 25 września 2007 r.), różnych instytucji publicznych (zob. </w:t>
      </w:r>
      <w:r w:rsidR="00D049F4">
        <w:rPr>
          <w:i/>
          <w:iCs/>
        </w:rPr>
        <w:t>Y i Inni przeciwko Bułgarii</w:t>
      </w:r>
      <w:r w:rsidR="00D049F4">
        <w:t xml:space="preserve"> [Komitet] (</w:t>
      </w:r>
      <w:proofErr w:type="spellStart"/>
      <w:r w:rsidR="00D049F4">
        <w:t>dec</w:t>
      </w:r>
      <w:proofErr w:type="spellEnd"/>
      <w:r w:rsidR="00D049F4">
        <w:t xml:space="preserve">.), skarga nr 1666/19, §§ 14 i 31, 15 września 2020 r.) lub sądu krajowego i osób trzecich (zob. </w:t>
      </w:r>
      <w:proofErr w:type="spellStart"/>
      <w:r w:rsidR="00D049F4">
        <w:rPr>
          <w:i/>
          <w:iCs/>
        </w:rPr>
        <w:t>Camelia</w:t>
      </w:r>
      <w:proofErr w:type="spellEnd"/>
      <w:r w:rsidR="00D049F4">
        <w:rPr>
          <w:i/>
          <w:iCs/>
        </w:rPr>
        <w:t xml:space="preserve"> Bogdan przeciwko Rumunii</w:t>
      </w:r>
      <w:r w:rsidR="00D049F4">
        <w:t xml:space="preserve"> [Komitet] (</w:t>
      </w:r>
      <w:proofErr w:type="spellStart"/>
      <w:r w:rsidR="00D049F4">
        <w:t>dec</w:t>
      </w:r>
      <w:proofErr w:type="spellEnd"/>
      <w:r w:rsidR="00D049F4">
        <w:t>.), skarga nr 32916/20, § 12, 27 września 2022 r.).</w:t>
      </w:r>
    </w:p>
    <w:p w14:paraId="459B05C3" w14:textId="7D31DB36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18</w:t>
        </w:r>
      </w:fldSimple>
      <w:r w:rsidR="00D049F4">
        <w:t>.  W związku z powyższym Trybunał jest zdania, że zachowanie pełnomocnika skarżącej stanowi naruszenie zasady poufności i musi być uznane za nadużycie prawa do skargi, o którym mowa w art. 34 Konwencji.</w:t>
      </w:r>
    </w:p>
    <w:p w14:paraId="6738D358" w14:textId="55451D42" w:rsidR="00327F12" w:rsidRPr="00D049F4" w:rsidRDefault="00451B4F" w:rsidP="00D049F4">
      <w:pPr>
        <w:pStyle w:val="JuPara"/>
      </w:pPr>
      <w:fldSimple w:instr=" SEQ level0 \*arabic \* MERGEFORMAT ">
        <w:r w:rsidR="00121E9A">
          <w:rPr>
            <w:noProof/>
          </w:rPr>
          <w:t>19</w:t>
        </w:r>
      </w:fldSimple>
      <w:r w:rsidR="00D049F4">
        <w:t>.  Tym samym skargę należy odrzucić jako stanowiącą nadużycie prawa do skargi zgodnie z art. 35 ust. 3 lit. a i ust. 4 Konwencji.</w:t>
      </w:r>
    </w:p>
    <w:p w14:paraId="0A10B814" w14:textId="77777777" w:rsidR="00327F12" w:rsidRPr="00D049F4" w:rsidRDefault="00327F12" w:rsidP="00D049F4">
      <w:pPr>
        <w:pStyle w:val="JuParaLast"/>
      </w:pPr>
      <w:r>
        <w:t>Z tych przyczyn Trybunał jednogłośnie</w:t>
      </w:r>
    </w:p>
    <w:p w14:paraId="3E729A54" w14:textId="77777777" w:rsidR="00327F12" w:rsidRPr="00D049F4" w:rsidRDefault="00327F12" w:rsidP="00D049F4">
      <w:pPr>
        <w:pStyle w:val="DecList"/>
      </w:pPr>
      <w:r>
        <w:rPr>
          <w:i/>
          <w:iCs/>
        </w:rPr>
        <w:t>uznaje</w:t>
      </w:r>
      <w:r>
        <w:t xml:space="preserve"> skargę za niedopuszczalną.</w:t>
      </w:r>
    </w:p>
    <w:p w14:paraId="4D9751CC" w14:textId="5AC55307" w:rsidR="00BD1692" w:rsidRPr="00D049F4" w:rsidRDefault="006267D3" w:rsidP="00D049F4">
      <w:pPr>
        <w:pStyle w:val="JuParaLast"/>
        <w:rPr>
          <w:sz w:val="14"/>
        </w:rPr>
      </w:pPr>
      <w:r>
        <w:t>Sporządzono w języku angielskim i obwieszczono</w:t>
      </w:r>
      <w:r w:rsidR="00DB2826">
        <w:t xml:space="preserve"> pisemnie</w:t>
      </w:r>
      <w:r>
        <w:t xml:space="preserve"> w dniu 1</w:t>
      </w:r>
      <w:r w:rsidR="00DB2826">
        <w:t> </w:t>
      </w:r>
      <w:r>
        <w:t>grudnia 2022 r.</w:t>
      </w:r>
    </w:p>
    <w:p w14:paraId="4129CB50" w14:textId="2967E3B9" w:rsidR="00BD1692" w:rsidRPr="00D049F4" w:rsidRDefault="00C8038F" w:rsidP="00D049F4">
      <w:pPr>
        <w:pStyle w:val="ECHRPlaceholder"/>
      </w:pPr>
      <w:r>
        <w:tab/>
      </w:r>
    </w:p>
    <w:p w14:paraId="0A2F4168" w14:textId="54EB6F5B" w:rsidR="00CB3BD9" w:rsidRPr="00D049F4" w:rsidRDefault="007907C0" w:rsidP="00D049F4">
      <w:pPr>
        <w:pStyle w:val="JuSigned"/>
      </w:pPr>
      <w:r>
        <w:tab/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ab/>
      </w:r>
      <w:proofErr w:type="spellStart"/>
      <w:r>
        <w:t>Lətif</w:t>
      </w:r>
      <w:proofErr w:type="spellEnd"/>
      <w:r>
        <w:t xml:space="preserve"> </w:t>
      </w:r>
      <w:proofErr w:type="spellStart"/>
      <w:r>
        <w:t>Hüseynov</w:t>
      </w:r>
      <w:proofErr w:type="spellEnd"/>
      <w:r>
        <w:br/>
      </w:r>
      <w:r>
        <w:tab/>
        <w:t>Zastępca Kanclerza</w:t>
      </w:r>
      <w:r>
        <w:tab/>
        <w:t>Przewodniczący</w:t>
      </w:r>
    </w:p>
    <w:sectPr w:rsidR="00CB3BD9" w:rsidRPr="00D049F4" w:rsidSect="0076040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D5580" w14:textId="77777777" w:rsidR="00B75DB1" w:rsidRPr="00327F12" w:rsidRDefault="00B75DB1">
      <w:r w:rsidRPr="00327F12">
        <w:separator/>
      </w:r>
    </w:p>
  </w:endnote>
  <w:endnote w:type="continuationSeparator" w:id="0">
    <w:p w14:paraId="7EF9F490" w14:textId="77777777" w:rsidR="00B75DB1" w:rsidRPr="00327F12" w:rsidRDefault="00B75DB1">
      <w:r w:rsidRPr="00327F1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1A464" w14:textId="43F0D7E0" w:rsidR="001818B5" w:rsidRPr="00327F12" w:rsidRDefault="00327F12" w:rsidP="000D61E7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82EC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F97B8" w14:textId="5597D4B3" w:rsidR="001818B5" w:rsidRPr="00327F12" w:rsidRDefault="00327F12" w:rsidP="000D61E7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82EC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F8A7D" w14:textId="4C42FCAE" w:rsidR="00327F12" w:rsidRPr="00150BFA" w:rsidRDefault="00327F12" w:rsidP="0020718E">
    <w:pPr>
      <w:jc w:val="center"/>
    </w:pPr>
    <w:r>
      <w:rPr>
        <w:noProof/>
        <w:lang w:eastAsia="pl-PL"/>
      </w:rPr>
      <w:drawing>
        <wp:inline distT="0" distB="0" distL="0" distR="0" wp14:anchorId="75A6298A" wp14:editId="02948494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161503" w14:textId="16AED58B" w:rsidR="00F05C7B" w:rsidRPr="00327F12" w:rsidRDefault="00B75DB1" w:rsidP="002E2C77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B1B8B" w14:textId="77777777" w:rsidR="00B75DB1" w:rsidRPr="00327F12" w:rsidRDefault="00B75DB1">
      <w:r w:rsidRPr="00327F12">
        <w:separator/>
      </w:r>
    </w:p>
  </w:footnote>
  <w:footnote w:type="continuationSeparator" w:id="0">
    <w:p w14:paraId="2672CADD" w14:textId="77777777" w:rsidR="00B75DB1" w:rsidRPr="00327F12" w:rsidRDefault="00B75DB1">
      <w:r w:rsidRPr="00327F1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048DE" w14:textId="3B983190" w:rsidR="00F05C7B" w:rsidRPr="00327F12" w:rsidRDefault="00312828" w:rsidP="0076040F">
    <w:pPr>
      <w:pStyle w:val="JuHeader"/>
    </w:pPr>
    <w:r>
      <w:t xml:space="preserve">DECYZJA W SPRAWIE </w:t>
    </w:r>
    <w:r w:rsidR="00327F12">
      <w:t xml:space="preserve">LECHOWICZ PRZECIWKO </w:t>
    </w:r>
    <w:r>
      <w:t>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1797A" w14:textId="51353919" w:rsidR="00F05C7B" w:rsidRPr="00327F12" w:rsidRDefault="00312828" w:rsidP="000D61E7">
    <w:pPr>
      <w:pStyle w:val="JuHeader"/>
    </w:pPr>
    <w:r>
      <w:t xml:space="preserve">DECYZJA W SPRAWIE </w:t>
    </w:r>
    <w:r w:rsidR="00327F12">
      <w:t>LECHOWICZ PRZECIWKO POLSCE</w:t>
    </w:r>
    <w:r w:rsidR="00327F12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774EE" w14:textId="01280F37" w:rsidR="00327F12" w:rsidRPr="00A45145" w:rsidRDefault="00327F12" w:rsidP="00A45145">
    <w:pPr>
      <w:jc w:val="center"/>
    </w:pPr>
    <w:r>
      <w:rPr>
        <w:noProof/>
        <w:lang w:eastAsia="pl-PL"/>
      </w:rPr>
      <w:drawing>
        <wp:inline distT="0" distB="0" distL="0" distR="0" wp14:anchorId="6F6FD8C7" wp14:editId="30DC494C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B69E8D" w14:textId="0DF4BDF5" w:rsidR="00F05C7B" w:rsidRPr="00327F12" w:rsidRDefault="00B75DB1" w:rsidP="00EA100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56B9429C"/>
    <w:multiLevelType w:val="multilevel"/>
    <w:tmpl w:val="B7886602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2"/>
  </w:num>
  <w:num w:numId="4">
    <w:abstractNumId w:val="11"/>
  </w:num>
  <w:num w:numId="5">
    <w:abstractNumId w:val="1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5"/>
  </w:num>
  <w:num w:numId="16">
    <w:abstractNumId w:val="13"/>
  </w:num>
  <w:num w:numId="17">
    <w:abstractNumId w:val="16"/>
  </w:num>
  <w:num w:numId="18">
    <w:abstractNumId w:val="15"/>
  </w:num>
  <w:num w:numId="19">
    <w:abstractNumId w:val="16"/>
  </w:num>
  <w:num w:numId="20">
    <w:abstractNumId w:val="10"/>
  </w:num>
  <w:num w:numId="21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LW_DocType" w:val="NORMAL"/>
    <w:docVar w:name="NBEMMDOC" w:val="0"/>
    <w:docVar w:name="Plural" w:val="0"/>
    <w:docVar w:name="SignForeName" w:val="0"/>
    <w:docVar w:name="SndCaseNumber" w:val="Error!Nodocumentvariablesupplied."/>
  </w:docVars>
  <w:rsids>
    <w:rsidRoot w:val="00327F12"/>
    <w:rsid w:val="000942CC"/>
    <w:rsid w:val="00095FD8"/>
    <w:rsid w:val="000B1FA9"/>
    <w:rsid w:val="000D45A8"/>
    <w:rsid w:val="000D61E7"/>
    <w:rsid w:val="000E3A89"/>
    <w:rsid w:val="00121E9A"/>
    <w:rsid w:val="00132029"/>
    <w:rsid w:val="00144EBC"/>
    <w:rsid w:val="001D1233"/>
    <w:rsid w:val="001D12C1"/>
    <w:rsid w:val="00223591"/>
    <w:rsid w:val="00271A89"/>
    <w:rsid w:val="002A3325"/>
    <w:rsid w:val="002A7443"/>
    <w:rsid w:val="00312828"/>
    <w:rsid w:val="00327F12"/>
    <w:rsid w:val="00382ECC"/>
    <w:rsid w:val="00385989"/>
    <w:rsid w:val="003B50D7"/>
    <w:rsid w:val="003B6AD4"/>
    <w:rsid w:val="003E3C60"/>
    <w:rsid w:val="003F6536"/>
    <w:rsid w:val="00451B4F"/>
    <w:rsid w:val="00452087"/>
    <w:rsid w:val="00464268"/>
    <w:rsid w:val="00467930"/>
    <w:rsid w:val="004A2962"/>
    <w:rsid w:val="004A4C71"/>
    <w:rsid w:val="004B4E73"/>
    <w:rsid w:val="004E2C1D"/>
    <w:rsid w:val="005E56C2"/>
    <w:rsid w:val="005F11CB"/>
    <w:rsid w:val="006262FA"/>
    <w:rsid w:val="006267D3"/>
    <w:rsid w:val="006300E9"/>
    <w:rsid w:val="00653EF4"/>
    <w:rsid w:val="00656B81"/>
    <w:rsid w:val="006D4D63"/>
    <w:rsid w:val="006E123B"/>
    <w:rsid w:val="007907C0"/>
    <w:rsid w:val="007A74FC"/>
    <w:rsid w:val="007B2364"/>
    <w:rsid w:val="007B4566"/>
    <w:rsid w:val="00812D10"/>
    <w:rsid w:val="00834755"/>
    <w:rsid w:val="008A2CEF"/>
    <w:rsid w:val="008D10E4"/>
    <w:rsid w:val="008F0A92"/>
    <w:rsid w:val="008F7189"/>
    <w:rsid w:val="00956B2A"/>
    <w:rsid w:val="00960955"/>
    <w:rsid w:val="0096293E"/>
    <w:rsid w:val="009656DE"/>
    <w:rsid w:val="009B6F49"/>
    <w:rsid w:val="009C21E8"/>
    <w:rsid w:val="009E01FB"/>
    <w:rsid w:val="00AA5AEE"/>
    <w:rsid w:val="00AC58E5"/>
    <w:rsid w:val="00B140D3"/>
    <w:rsid w:val="00B75DB1"/>
    <w:rsid w:val="00BD1692"/>
    <w:rsid w:val="00C42C12"/>
    <w:rsid w:val="00C7479B"/>
    <w:rsid w:val="00C8038F"/>
    <w:rsid w:val="00CB3BD9"/>
    <w:rsid w:val="00D049F4"/>
    <w:rsid w:val="00D415D6"/>
    <w:rsid w:val="00DB2826"/>
    <w:rsid w:val="00DB6354"/>
    <w:rsid w:val="00DD679E"/>
    <w:rsid w:val="00DE6A3D"/>
    <w:rsid w:val="00E5464B"/>
    <w:rsid w:val="00E91FDB"/>
    <w:rsid w:val="00EE38CA"/>
    <w:rsid w:val="00EE6F8A"/>
    <w:rsid w:val="00F0534F"/>
    <w:rsid w:val="00F24AB9"/>
    <w:rsid w:val="00FC2655"/>
    <w:rsid w:val="00FD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8C0F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D049F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D049F4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D049F4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D049F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D049F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D049F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D049F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D049F4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D049F4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D049F4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D049F4"/>
    <w:pPr>
      <w:tabs>
        <w:tab w:val="center" w:pos="1418"/>
        <w:tab w:val="center" w:pos="5954"/>
      </w:tabs>
      <w:spacing w:before="720"/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D049F4"/>
    <w:pPr>
      <w:ind w:firstLine="284"/>
    </w:pPr>
  </w:style>
  <w:style w:type="character" w:styleId="Numerstrony">
    <w:name w:val="page number"/>
    <w:uiPriority w:val="98"/>
    <w:semiHidden/>
    <w:rsid w:val="00D049F4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D049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D049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D049F4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D049F4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D049F4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D049F4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JuHeader">
    <w:name w:val="Ju_Header"/>
    <w:aliases w:val="_Header"/>
    <w:basedOn w:val="Nagwek"/>
    <w:uiPriority w:val="29"/>
    <w:qFormat/>
    <w:rsid w:val="00D049F4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Nagwek">
    <w:name w:val="header"/>
    <w:basedOn w:val="Normalny"/>
    <w:link w:val="NagwekZnak"/>
    <w:uiPriority w:val="98"/>
    <w:semiHidden/>
    <w:rsid w:val="00D049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D049F4"/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8"/>
    <w:semiHidden/>
    <w:rsid w:val="00D049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D049F4"/>
    <w:rPr>
      <w:rFonts w:ascii="Tahoma" w:hAnsi="Tahoma" w:cs="Tahoma"/>
      <w:sz w:val="16"/>
      <w:szCs w:val="16"/>
      <w:lang w:val="pl-PL"/>
    </w:rPr>
  </w:style>
  <w:style w:type="table" w:styleId="Tabelasiatki1jasna">
    <w:name w:val="Grid Table 1 Light"/>
    <w:basedOn w:val="Standardowy"/>
    <w:uiPriority w:val="46"/>
    <w:semiHidden/>
    <w:rsid w:val="004A296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Justified">
    <w:name w:val="Normal_Justified"/>
    <w:basedOn w:val="Normalny"/>
    <w:semiHidden/>
    <w:rsid w:val="00D049F4"/>
    <w:pPr>
      <w:jc w:val="both"/>
    </w:pPr>
  </w:style>
  <w:style w:type="paragraph" w:customStyle="1" w:styleId="JuQuot">
    <w:name w:val="Ju_Quot"/>
    <w:aliases w:val="_Quote"/>
    <w:basedOn w:val="NormalJustified"/>
    <w:uiPriority w:val="20"/>
    <w:qFormat/>
    <w:rsid w:val="00D049F4"/>
    <w:pPr>
      <w:spacing w:before="120" w:after="120"/>
      <w:ind w:left="425" w:firstLine="142"/>
    </w:pPr>
    <w:rPr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D049F4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D049F4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Bezlisty"/>
    <w:rsid w:val="00D049F4"/>
    <w:pPr>
      <w:numPr>
        <w:numId w:val="15"/>
      </w:numPr>
    </w:pPr>
  </w:style>
  <w:style w:type="numbering" w:customStyle="1" w:styleId="ECHRA1StyleList">
    <w:name w:val="ECHR_A1_Style_List"/>
    <w:basedOn w:val="Bezlisty"/>
    <w:uiPriority w:val="99"/>
    <w:rsid w:val="00D049F4"/>
    <w:pPr>
      <w:numPr>
        <w:numId w:val="16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D049F4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NumberedList">
    <w:name w:val="ECHR_A1_Style_Numbered_List"/>
    <w:basedOn w:val="Bezlisty"/>
    <w:rsid w:val="00D049F4"/>
    <w:pPr>
      <w:numPr>
        <w:numId w:val="17"/>
      </w:numPr>
    </w:pPr>
  </w:style>
  <w:style w:type="table" w:customStyle="1" w:styleId="ECHRHeaderTable">
    <w:name w:val="ECHR_Header_Table"/>
    <w:basedOn w:val="Standardowy"/>
    <w:uiPriority w:val="99"/>
    <w:rsid w:val="00D049F4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D049F4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paragraph" w:customStyle="1" w:styleId="JuInitialled">
    <w:name w:val="Ju_Initialled"/>
    <w:aliases w:val="_Right"/>
    <w:basedOn w:val="Normalny"/>
    <w:uiPriority w:val="30"/>
    <w:qFormat/>
    <w:rsid w:val="00D049F4"/>
    <w:pPr>
      <w:tabs>
        <w:tab w:val="center" w:pos="6407"/>
      </w:tabs>
      <w:spacing w:before="720"/>
      <w:jc w:val="right"/>
    </w:pPr>
  </w:style>
  <w:style w:type="table" w:customStyle="1" w:styleId="ECHRHeaderTableReduced">
    <w:name w:val="ECHR_Header_Table_Reduced"/>
    <w:basedOn w:val="Standardowy"/>
    <w:uiPriority w:val="99"/>
    <w:rsid w:val="00D049F4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">
    <w:name w:val="JU_NAMES"/>
    <w:aliases w:val="_Ju_Names"/>
    <w:uiPriority w:val="33"/>
    <w:qFormat/>
    <w:rsid w:val="00D049F4"/>
    <w:rPr>
      <w:caps w:val="0"/>
      <w:smallCaps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D049F4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table" w:customStyle="1" w:styleId="ECHRTable2019">
    <w:name w:val="ECHR_Table_2019"/>
    <w:basedOn w:val="Standardowy"/>
    <w:uiPriority w:val="99"/>
    <w:rsid w:val="00D049F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D049F4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D049F4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D049F4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D049F4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D049F4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1">
    <w:name w:val="Ju_H_1."/>
    <w:aliases w:val="_Head_4"/>
    <w:basedOn w:val="Nagwek4"/>
    <w:next w:val="JuPara"/>
    <w:uiPriority w:val="17"/>
    <w:rsid w:val="00D049F4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D049F4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D049F4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D049F4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D049F4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D049F4"/>
    <w:rPr>
      <w:rFonts w:asciiTheme="majorHAnsi" w:eastAsiaTheme="majorEastAsia" w:hAnsiTheme="majorHAnsi" w:cstheme="majorBidi"/>
      <w:b/>
      <w:bCs/>
      <w:color w:val="808080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D049F4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D049F4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D049F4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D049F4"/>
    <w:rPr>
      <w:rFonts w:asciiTheme="majorHAnsi" w:eastAsiaTheme="majorEastAsia" w:hAnsiTheme="majorHAnsi" w:cstheme="majorBidi"/>
      <w:i/>
      <w:iCs/>
      <w:lang w:val="pl-PL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D049F4"/>
    <w:pPr>
      <w:keepNext/>
      <w:keepLines/>
      <w:spacing w:before="240" w:after="240"/>
      <w:ind w:firstLine="284"/>
    </w:pPr>
  </w:style>
  <w:style w:type="table" w:customStyle="1" w:styleId="ECHRTableBoxHeader">
    <w:name w:val="ECHR_Table_Box_Header"/>
    <w:basedOn w:val="Standardowy"/>
    <w:rsid w:val="00D049F4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Judges">
    <w:name w:val="Ju_Judges"/>
    <w:aliases w:val="_Judges"/>
    <w:basedOn w:val="Normalny"/>
    <w:uiPriority w:val="32"/>
    <w:qFormat/>
    <w:rsid w:val="00D049F4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23"/>
    <w:qFormat/>
    <w:rsid w:val="00D049F4"/>
    <w:pPr>
      <w:numPr>
        <w:numId w:val="21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D049F4"/>
    <w:pPr>
      <w:numPr>
        <w:ilvl w:val="1"/>
        <w:numId w:val="21"/>
      </w:numPr>
    </w:pPr>
  </w:style>
  <w:style w:type="paragraph" w:customStyle="1" w:styleId="JuListi">
    <w:name w:val="Ju_List_i"/>
    <w:aliases w:val="_List_3"/>
    <w:basedOn w:val="NormalJustified"/>
    <w:uiPriority w:val="23"/>
    <w:rsid w:val="00D049F4"/>
    <w:pPr>
      <w:numPr>
        <w:ilvl w:val="2"/>
        <w:numId w:val="21"/>
      </w:numPr>
    </w:pPr>
  </w:style>
  <w:style w:type="table" w:customStyle="1" w:styleId="ECHRTableFax">
    <w:name w:val="ECHR_Table_Fax"/>
    <w:basedOn w:val="Standardowy"/>
    <w:uiPriority w:val="99"/>
    <w:rsid w:val="00D049F4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Standardowy"/>
    <w:uiPriority w:val="99"/>
    <w:rsid w:val="00D049F4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Standardowy"/>
    <w:uiPriority w:val="99"/>
    <w:rsid w:val="00D049F4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D049F4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D049F4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D049F4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D049F4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D049F4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D049F4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character" w:styleId="Pogrubienie">
    <w:name w:val="Strong"/>
    <w:uiPriority w:val="98"/>
    <w:semiHidden/>
    <w:qFormat/>
    <w:rsid w:val="00D049F4"/>
    <w:rPr>
      <w:b/>
      <w:bCs/>
    </w:rPr>
  </w:style>
  <w:style w:type="character" w:styleId="Uwydatnienie">
    <w:name w:val="Emphasis"/>
    <w:uiPriority w:val="98"/>
    <w:semiHidden/>
    <w:qFormat/>
    <w:rsid w:val="00D049F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D049F4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D049F4"/>
    <w:rPr>
      <w:sz w:val="24"/>
      <w:szCs w:val="24"/>
      <w:lang w:val="pl-PL"/>
    </w:rPr>
  </w:style>
  <w:style w:type="paragraph" w:styleId="Akapitzlist">
    <w:name w:val="List Paragraph"/>
    <w:basedOn w:val="Normalny"/>
    <w:uiPriority w:val="98"/>
    <w:semiHidden/>
    <w:qFormat/>
    <w:rsid w:val="00D049F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D049F4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D049F4"/>
    <w:rPr>
      <w:i/>
      <w:iCs/>
      <w:sz w:val="24"/>
      <w:szCs w:val="24"/>
      <w:lang w:val="pl-PL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D049F4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D049F4"/>
    <w:rPr>
      <w:b/>
      <w:bCs/>
      <w:i/>
      <w:iCs/>
      <w:sz w:val="24"/>
      <w:szCs w:val="24"/>
      <w:lang w:val="pl-PL" w:bidi="en-US"/>
    </w:rPr>
  </w:style>
  <w:style w:type="character" w:styleId="Wyrnieniedelikatne">
    <w:name w:val="Subtle Emphasis"/>
    <w:uiPriority w:val="98"/>
    <w:semiHidden/>
    <w:qFormat/>
    <w:rsid w:val="00D049F4"/>
    <w:rPr>
      <w:i/>
      <w:iCs/>
    </w:rPr>
  </w:style>
  <w:style w:type="character" w:styleId="Wyrnienieintensywne">
    <w:name w:val="Intense Emphasis"/>
    <w:uiPriority w:val="98"/>
    <w:semiHidden/>
    <w:qFormat/>
    <w:rsid w:val="00D049F4"/>
    <w:rPr>
      <w:b/>
      <w:bCs/>
    </w:rPr>
  </w:style>
  <w:style w:type="character" w:styleId="Odwoaniedelikatne">
    <w:name w:val="Subtle Reference"/>
    <w:uiPriority w:val="98"/>
    <w:semiHidden/>
    <w:qFormat/>
    <w:rsid w:val="00D049F4"/>
    <w:rPr>
      <w:smallCaps/>
    </w:rPr>
  </w:style>
  <w:style w:type="character" w:styleId="Odwoanieintensywne">
    <w:name w:val="Intense Reference"/>
    <w:uiPriority w:val="98"/>
    <w:semiHidden/>
    <w:qFormat/>
    <w:rsid w:val="00D049F4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D049F4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D049F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D049F4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unhideWhenUsed/>
    <w:rsid w:val="00D049F4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unhideWhenUsed/>
    <w:rsid w:val="00D049F4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8"/>
    <w:semiHidden/>
    <w:rsid w:val="00D049F4"/>
  </w:style>
  <w:style w:type="paragraph" w:styleId="Tekstblokowy">
    <w:name w:val="Block Text"/>
    <w:basedOn w:val="Normalny"/>
    <w:uiPriority w:val="98"/>
    <w:semiHidden/>
    <w:rsid w:val="00D049F4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D049F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D049F4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D049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D049F4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D049F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D049F4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D049F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D049F4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D049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D049F4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D049F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D049F4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D049F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D049F4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D049F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D049F4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D049F4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D049F4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D049F4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D049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D049F4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D049F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D049F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D049F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D049F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D049F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D049F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D049F4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D049F4"/>
  </w:style>
  <w:style w:type="character" w:customStyle="1" w:styleId="DataZnak">
    <w:name w:val="Data Znak"/>
    <w:basedOn w:val="Domylnaczcionkaakapitu"/>
    <w:link w:val="Data"/>
    <w:uiPriority w:val="98"/>
    <w:semiHidden/>
    <w:rsid w:val="00D049F4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D049F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D049F4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D049F4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D049F4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D049F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D049F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D049F4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D049F4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D049F4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D049F4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D049F4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D049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D049F4"/>
    <w:rPr>
      <w:sz w:val="20"/>
      <w:szCs w:val="20"/>
      <w:lang w:val="pl-PL"/>
    </w:rPr>
  </w:style>
  <w:style w:type="character" w:styleId="HTML-akronim">
    <w:name w:val="HTML Acronym"/>
    <w:basedOn w:val="Domylnaczcionkaakapitu"/>
    <w:uiPriority w:val="98"/>
    <w:semiHidden/>
    <w:rsid w:val="00D049F4"/>
  </w:style>
  <w:style w:type="paragraph" w:styleId="HTML-adres">
    <w:name w:val="HTML Address"/>
    <w:basedOn w:val="Normalny"/>
    <w:link w:val="HTML-adresZnak"/>
    <w:uiPriority w:val="98"/>
    <w:semiHidden/>
    <w:rsid w:val="00D049F4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D049F4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D049F4"/>
    <w:rPr>
      <w:i/>
      <w:iCs/>
    </w:rPr>
  </w:style>
  <w:style w:type="character" w:styleId="HTML-kod">
    <w:name w:val="HTML Code"/>
    <w:basedOn w:val="Domylnaczcionkaakapitu"/>
    <w:uiPriority w:val="98"/>
    <w:semiHidden/>
    <w:rsid w:val="00D049F4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D049F4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D049F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D049F4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D049F4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D049F4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D049F4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D049F4"/>
    <w:rPr>
      <w:i/>
      <w:iCs/>
    </w:rPr>
  </w:style>
  <w:style w:type="character" w:styleId="Hipercze">
    <w:name w:val="Hyperlink"/>
    <w:basedOn w:val="Domylnaczcionkaakapitu"/>
    <w:uiPriority w:val="98"/>
    <w:semiHidden/>
    <w:rsid w:val="00D049F4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D049F4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D049F4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D049F4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D049F4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D049F4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D049F4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D049F4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D049F4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D049F4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D049F4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D049F4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D049F4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D049F4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D049F4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D049F4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D049F4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D049F4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D049F4"/>
  </w:style>
  <w:style w:type="paragraph" w:styleId="Lista">
    <w:name w:val="List"/>
    <w:basedOn w:val="Normalny"/>
    <w:uiPriority w:val="98"/>
    <w:semiHidden/>
    <w:rsid w:val="00D049F4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D049F4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D049F4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D049F4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D049F4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D049F4"/>
    <w:pPr>
      <w:numPr>
        <w:numId w:val="5"/>
      </w:numPr>
    </w:pPr>
  </w:style>
  <w:style w:type="paragraph" w:styleId="Listapunktowana2">
    <w:name w:val="List Bullet 2"/>
    <w:basedOn w:val="Normalny"/>
    <w:uiPriority w:val="98"/>
    <w:semiHidden/>
    <w:rsid w:val="00D049F4"/>
    <w:pPr>
      <w:numPr>
        <w:numId w:val="6"/>
      </w:numPr>
      <w:contextualSpacing/>
    </w:pPr>
  </w:style>
  <w:style w:type="paragraph" w:styleId="Listapunktowana3">
    <w:name w:val="List Bullet 3"/>
    <w:basedOn w:val="Normalny"/>
    <w:uiPriority w:val="98"/>
    <w:semiHidden/>
    <w:rsid w:val="00D049F4"/>
    <w:pPr>
      <w:numPr>
        <w:numId w:val="7"/>
      </w:numPr>
      <w:contextualSpacing/>
    </w:pPr>
  </w:style>
  <w:style w:type="paragraph" w:styleId="Listapunktowana4">
    <w:name w:val="List Bullet 4"/>
    <w:basedOn w:val="Normalny"/>
    <w:uiPriority w:val="98"/>
    <w:semiHidden/>
    <w:rsid w:val="00D049F4"/>
    <w:pPr>
      <w:numPr>
        <w:numId w:val="8"/>
      </w:numPr>
      <w:contextualSpacing/>
    </w:pPr>
  </w:style>
  <w:style w:type="paragraph" w:styleId="Listapunktowana5">
    <w:name w:val="List Bullet 5"/>
    <w:basedOn w:val="Normalny"/>
    <w:uiPriority w:val="98"/>
    <w:semiHidden/>
    <w:rsid w:val="00D049F4"/>
    <w:pPr>
      <w:numPr>
        <w:numId w:val="9"/>
      </w:numPr>
      <w:contextualSpacing/>
    </w:pPr>
  </w:style>
  <w:style w:type="paragraph" w:styleId="Lista-kontynuacja">
    <w:name w:val="List Continue"/>
    <w:basedOn w:val="Normalny"/>
    <w:uiPriority w:val="98"/>
    <w:semiHidden/>
    <w:rsid w:val="00D049F4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D049F4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D049F4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D049F4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D049F4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D049F4"/>
    <w:pPr>
      <w:numPr>
        <w:numId w:val="10"/>
      </w:numPr>
      <w:contextualSpacing/>
    </w:pPr>
  </w:style>
  <w:style w:type="paragraph" w:styleId="Listanumerowana2">
    <w:name w:val="List Number 2"/>
    <w:basedOn w:val="Normalny"/>
    <w:uiPriority w:val="98"/>
    <w:semiHidden/>
    <w:rsid w:val="00D049F4"/>
    <w:pPr>
      <w:numPr>
        <w:numId w:val="11"/>
      </w:numPr>
      <w:contextualSpacing/>
    </w:pPr>
  </w:style>
  <w:style w:type="paragraph" w:styleId="Listanumerowana3">
    <w:name w:val="List Number 3"/>
    <w:basedOn w:val="Normalny"/>
    <w:uiPriority w:val="98"/>
    <w:semiHidden/>
    <w:rsid w:val="00D049F4"/>
    <w:pPr>
      <w:numPr>
        <w:numId w:val="12"/>
      </w:numPr>
      <w:contextualSpacing/>
    </w:pPr>
  </w:style>
  <w:style w:type="paragraph" w:styleId="Listanumerowana4">
    <w:name w:val="List Number 4"/>
    <w:basedOn w:val="Normalny"/>
    <w:uiPriority w:val="98"/>
    <w:semiHidden/>
    <w:rsid w:val="00D049F4"/>
    <w:pPr>
      <w:numPr>
        <w:numId w:val="13"/>
      </w:numPr>
      <w:contextualSpacing/>
    </w:pPr>
  </w:style>
  <w:style w:type="paragraph" w:styleId="Listanumerowana5">
    <w:name w:val="List Number 5"/>
    <w:basedOn w:val="Normalny"/>
    <w:uiPriority w:val="98"/>
    <w:semiHidden/>
    <w:rsid w:val="00D049F4"/>
    <w:pPr>
      <w:numPr>
        <w:numId w:val="14"/>
      </w:numPr>
      <w:contextualSpacing/>
    </w:pPr>
  </w:style>
  <w:style w:type="paragraph" w:styleId="Tekstmakra">
    <w:name w:val="macro"/>
    <w:link w:val="TekstmakraZnak"/>
    <w:uiPriority w:val="98"/>
    <w:semiHidden/>
    <w:rsid w:val="00D049F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D049F4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D049F4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D049F4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D049F4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D049F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D049F4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D049F4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D049F4"/>
    <w:pPr>
      <w:ind w:left="720"/>
    </w:pPr>
  </w:style>
  <w:style w:type="table" w:customStyle="1" w:styleId="ECHRTableNoLines">
    <w:name w:val="ECHR_Table_No_Lines"/>
    <w:basedOn w:val="Standardowy"/>
    <w:uiPriority w:val="99"/>
    <w:rsid w:val="00D049F4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D049F4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character" w:styleId="Tekstzastpczy">
    <w:name w:val="Placeholder Text"/>
    <w:basedOn w:val="Domylnaczcionkaakapitu"/>
    <w:uiPriority w:val="98"/>
    <w:semiHidden/>
    <w:rsid w:val="00D049F4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D049F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D049F4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D049F4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D049F4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D049F4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D049F4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D049F4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D049F4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D049F4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D049F4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D049F4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D049F4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D049F4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D049F4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D049F4"/>
  </w:style>
  <w:style w:type="table" w:styleId="Tabela-Profesjonalny">
    <w:name w:val="Table Professional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D049F4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D049F4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D049F4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D049F4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D049F4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D049F4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D049F4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D049F4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D049F4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D049F4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D049F4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rPr>
      <w:sz w:val="8"/>
    </w:rPr>
  </w:style>
  <w:style w:type="paragraph" w:customStyle="1" w:styleId="Footer">
    <w:name w:val="_Footer"/>
    <w:aliases w:val="Footer_"/>
    <w:basedOn w:val="Stopka"/>
    <w:uiPriority w:val="57"/>
    <w:semiHidden/>
    <w:rsid w:val="000D61E7"/>
    <w:rPr>
      <w:sz w:val="8"/>
    </w:rPr>
  </w:style>
  <w:style w:type="paragraph" w:styleId="Stopka">
    <w:name w:val="footer"/>
    <w:basedOn w:val="Normalny"/>
    <w:link w:val="StopkaZnak"/>
    <w:uiPriority w:val="98"/>
    <w:semiHidden/>
    <w:rsid w:val="00D049F4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D049F4"/>
    <w:rPr>
      <w:sz w:val="24"/>
      <w:szCs w:val="24"/>
      <w:lang w:val="pl-PL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D049F4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D049F4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D049F4"/>
    <w:pPr>
      <w:ind w:firstLine="284"/>
    </w:pPr>
    <w:rPr>
      <w:b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D049F4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D049F4"/>
    <w:rPr>
      <w:sz w:val="24"/>
      <w:szCs w:val="24"/>
      <w:lang w:val="pl-PL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D049F4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D049F4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D049F4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D049F4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D049F4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D049F4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D049F4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D049F4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D049F4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D049F4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D049F4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D049F4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D049F4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D049F4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D049F4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D049F4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D049F4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D049F4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D049F4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D049F4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D049F4"/>
    <w:pPr>
      <w:numPr>
        <w:numId w:val="0"/>
      </w:numPr>
      <w:ind w:left="284"/>
    </w:pPr>
  </w:style>
  <w:style w:type="table" w:customStyle="1" w:styleId="ECHRTable">
    <w:name w:val="ECHR_Table"/>
    <w:basedOn w:val="Standardowy"/>
    <w:rsid w:val="00D049F4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2">
    <w:name w:val="ECHR_Table_2"/>
    <w:basedOn w:val="Standardowy"/>
    <w:uiPriority w:val="99"/>
    <w:rsid w:val="00D049F4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D049F4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D049F4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D049F4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D049F4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D049F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D049F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D049F4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D049F4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D049F4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D049F4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D049F4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UGTable">
    <w:name w:val="UG_Table"/>
    <w:aliases w:val="ECHR_UG_Table"/>
    <w:basedOn w:val="Standardowy"/>
    <w:uiPriority w:val="99"/>
    <w:rsid w:val="00D049F4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D049F4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customStyle="1" w:styleId="ECHRPlaceholder">
    <w:name w:val="ECHR_Placeholder"/>
    <w:aliases w:val="_Placeholder"/>
    <w:basedOn w:val="JuSigned"/>
    <w:uiPriority w:val="31"/>
    <w:rsid w:val="00D049F4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D049F4"/>
    <w:rPr>
      <w:sz w:val="4"/>
    </w:rPr>
  </w:style>
  <w:style w:type="table" w:customStyle="1" w:styleId="ECHRTableGrey">
    <w:name w:val="ECHR_Table_Grey"/>
    <w:basedOn w:val="Standardowy"/>
    <w:uiPriority w:val="99"/>
    <w:rsid w:val="00D049F4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D049F4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049F4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327F12"/>
    <w:rPr>
      <w:sz w:val="24"/>
      <w:szCs w:val="24"/>
      <w:lang w:val="pl-PL"/>
    </w:rPr>
  </w:style>
  <w:style w:type="table" w:styleId="Tabelasiatki1jasnaakcent1">
    <w:name w:val="Grid Table 1 Light Accent 1"/>
    <w:basedOn w:val="Standardowy"/>
    <w:uiPriority w:val="46"/>
    <w:semiHidden/>
    <w:rsid w:val="004A2962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4A2962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4A2962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4A2962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4A2962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4A2962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4A296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4A2962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4A2962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4A2962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4A2962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4A2962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4A2962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4A2962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4A2962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4A2962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4A2962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4A2962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4A2962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4A2962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4A296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4A296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4A296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4A2962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4A296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4A296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4A296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4A296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4A296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4A296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4A2962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4A296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4A296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4A296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4A2962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4A29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4A29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4A29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4A29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4A29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4A29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4A296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4A296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4A2962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4A2962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4A2962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4A2962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4A2962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4A2962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4A2962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4A2962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4A2962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4A2962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4A2962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4A2962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4A2962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4A2962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4A2962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4A296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4A2962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4A2962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4A2962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4A2962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4A2962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4A2962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4A296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4A2962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4A2962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4A2962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4A2962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4A2962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4A2962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4A2962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4A2962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4A296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4A296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4A296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4A2962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4A2962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4A2962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4A2962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customStyle="1" w:styleId="DummyStyle">
    <w:name w:val="Dummy_Style"/>
    <w:aliases w:val="_Dummy"/>
    <w:basedOn w:val="Normalny"/>
    <w:semiHidden/>
    <w:qFormat/>
    <w:rsid w:val="00D049F4"/>
    <w:rPr>
      <w:color w:val="00B050"/>
      <w:sz w:val="22"/>
    </w:rPr>
  </w:style>
  <w:style w:type="paragraph" w:styleId="Poprawka">
    <w:name w:val="Revision"/>
    <w:hidden/>
    <w:uiPriority w:val="99"/>
    <w:semiHidden/>
    <w:rsid w:val="00271A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3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41326-163D-42B9-A767-4938A5EF44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835B24-2EAB-4B5C-9F82-1954264C40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5677DF-EFF3-431B-9681-7DAFFA14D1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3DBCF2-C3BC-4DB9-8D0D-F0FCBED11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1378</Words>
  <Characters>8271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Decision</vt:lpstr>
    </vt:vector>
  </TitlesOfParts>
  <Manager/>
  <Company/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DC</dc:subject>
  <dc:creator/>
  <cp:lastModifiedBy/>
  <cp:revision>1</cp:revision>
  <dcterms:created xsi:type="dcterms:W3CDTF">2022-12-09T13:27:00Z</dcterms:created>
  <dcterms:modified xsi:type="dcterms:W3CDTF">2023-04-06T10:56:00Z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45561/17</vt:lpwstr>
  </property>
  <property fmtid="{D5CDD505-2E9C-101B-9397-08002B2CF9AE}" pid="4" name="CASEID">
    <vt:lpwstr>1318818</vt:lpwstr>
  </property>
  <property fmtid="{D5CDD505-2E9C-101B-9397-08002B2CF9AE}" pid="5" name="ContentTypeId">
    <vt:lpwstr>0x010100558EB02BDB9E204AB350EDD385B68E10</vt:lpwstr>
  </property>
</Properties>
</file>