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68914" w14:textId="77777777" w:rsidR="00751336" w:rsidRPr="00605CD1" w:rsidRDefault="00751336" w:rsidP="00301EC9">
      <w:pPr>
        <w:jc w:val="center"/>
        <w:rPr>
          <w:lang w:val="pl-PL"/>
        </w:rPr>
      </w:pPr>
    </w:p>
    <w:p w14:paraId="5D85B7E1" w14:textId="77777777" w:rsidR="00751336" w:rsidRPr="00605CD1" w:rsidRDefault="00751336" w:rsidP="00301EC9">
      <w:pPr>
        <w:jc w:val="center"/>
        <w:rPr>
          <w:sz w:val="4"/>
          <w:szCs w:val="4"/>
          <w:lang w:val="pl-PL"/>
        </w:rPr>
      </w:pPr>
    </w:p>
    <w:p w14:paraId="6DEC1711" w14:textId="77777777" w:rsidR="00751336" w:rsidRPr="00605CD1" w:rsidRDefault="00701E76" w:rsidP="00301EC9">
      <w:pPr>
        <w:pStyle w:val="DecHTitle"/>
        <w:rPr>
          <w:lang w:val="pl-PL"/>
        </w:rPr>
      </w:pPr>
      <w:r w:rsidRPr="00605CD1">
        <w:rPr>
          <w:szCs w:val="24"/>
          <w:lang w:val="pl-PL"/>
        </w:rPr>
        <w:t>SEKCJA PIERWSZA</w:t>
      </w:r>
    </w:p>
    <w:p w14:paraId="153DC956" w14:textId="77777777" w:rsidR="00751336" w:rsidRPr="00605CD1" w:rsidRDefault="006267D3" w:rsidP="00301EC9">
      <w:pPr>
        <w:pStyle w:val="DecHTitle"/>
        <w:rPr>
          <w:lang w:val="pl-PL"/>
        </w:rPr>
      </w:pPr>
      <w:r w:rsidRPr="00605CD1">
        <w:rPr>
          <w:lang w:val="pl-PL"/>
        </w:rPr>
        <w:t>DECYZJA</w:t>
      </w:r>
    </w:p>
    <w:p w14:paraId="7E6199EB" w14:textId="77777777" w:rsidR="00751336" w:rsidRPr="00605CD1" w:rsidRDefault="00701E76" w:rsidP="00301EC9">
      <w:pPr>
        <w:pStyle w:val="ECHRTitleCentre2"/>
        <w:rPr>
          <w:i w:val="0"/>
          <w:lang w:val="pl-PL"/>
        </w:rPr>
      </w:pPr>
      <w:r w:rsidRPr="00605CD1">
        <w:rPr>
          <w:i w:val="0"/>
          <w:lang w:val="pl-PL"/>
        </w:rPr>
        <w:t>Skarga nr 1694/14</w:t>
      </w:r>
      <w:r w:rsidRPr="00605CD1">
        <w:rPr>
          <w:i w:val="0"/>
          <w:lang w:val="pl-PL"/>
        </w:rPr>
        <w:br/>
        <w:t>Łukasz Maksymilian BRYSKE</w:t>
      </w:r>
      <w:r w:rsidRPr="00605CD1">
        <w:rPr>
          <w:i w:val="0"/>
          <w:lang w:val="pl-PL"/>
        </w:rPr>
        <w:br/>
        <w:t>przeciwko Polsce</w:t>
      </w:r>
    </w:p>
    <w:p w14:paraId="015AB6A0" w14:textId="77777777" w:rsidR="00751336" w:rsidRPr="00605CD1" w:rsidRDefault="00751336" w:rsidP="00301EC9">
      <w:pPr>
        <w:pStyle w:val="ECHRPara"/>
        <w:rPr>
          <w:sz w:val="2"/>
          <w:szCs w:val="2"/>
          <w:lang w:val="pl-PL"/>
        </w:rPr>
      </w:pPr>
    </w:p>
    <w:p w14:paraId="101CBB1F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Europejski Trybunał Praw Człowieka (sekcja pierwsza), zasiadając w dniu 15 maja 2018 r. jako Komitet w składzie:</w:t>
      </w:r>
    </w:p>
    <w:p w14:paraId="39434112" w14:textId="3AFDF196" w:rsidR="00701E76" w:rsidRPr="00605CD1" w:rsidRDefault="00701E76" w:rsidP="00301EC9">
      <w:pPr>
        <w:pStyle w:val="ECHRDecisionBody"/>
        <w:rPr>
          <w:lang w:val="pl-PL"/>
        </w:rPr>
      </w:pPr>
      <w:r w:rsidRPr="00605CD1">
        <w:rPr>
          <w:lang w:val="pl-PL"/>
        </w:rPr>
        <w:tab/>
      </w:r>
      <w:proofErr w:type="spellStart"/>
      <w:r w:rsidRPr="00605CD1">
        <w:rPr>
          <w:lang w:val="pl-PL"/>
        </w:rPr>
        <w:t>Aleš</w:t>
      </w:r>
      <w:proofErr w:type="spellEnd"/>
      <w:r w:rsidRPr="00605CD1">
        <w:rPr>
          <w:lang w:val="pl-PL"/>
        </w:rPr>
        <w:t xml:space="preserve"> </w:t>
      </w:r>
      <w:proofErr w:type="spellStart"/>
      <w:r w:rsidRPr="00605CD1">
        <w:rPr>
          <w:lang w:val="pl-PL"/>
        </w:rPr>
        <w:t>Pejchal</w:t>
      </w:r>
      <w:proofErr w:type="spellEnd"/>
      <w:r w:rsidRPr="00605CD1">
        <w:rPr>
          <w:lang w:val="pl-PL"/>
        </w:rPr>
        <w:t>,</w:t>
      </w:r>
      <w:r w:rsidRPr="00605CD1">
        <w:rPr>
          <w:i/>
          <w:iCs/>
          <w:lang w:val="pl-PL"/>
        </w:rPr>
        <w:t xml:space="preserve"> </w:t>
      </w:r>
      <w:r w:rsidR="00134F31">
        <w:rPr>
          <w:i/>
          <w:iCs/>
          <w:lang w:val="pl-PL"/>
        </w:rPr>
        <w:t>P</w:t>
      </w:r>
      <w:r w:rsidRPr="00605CD1">
        <w:rPr>
          <w:i/>
          <w:iCs/>
          <w:lang w:val="pl-PL"/>
        </w:rPr>
        <w:t>rzewodniczący,</w:t>
      </w:r>
      <w:r w:rsidRPr="00605CD1">
        <w:rPr>
          <w:lang w:val="pl-PL"/>
        </w:rPr>
        <w:br/>
      </w:r>
      <w:r w:rsidRPr="00605CD1">
        <w:rPr>
          <w:lang w:val="pl-PL"/>
        </w:rPr>
        <w:tab/>
        <w:t xml:space="preserve">Krzysztof </w:t>
      </w:r>
      <w:proofErr w:type="spellStart"/>
      <w:r w:rsidRPr="00605CD1">
        <w:rPr>
          <w:lang w:val="pl-PL"/>
        </w:rPr>
        <w:t>Wojtyczek</w:t>
      </w:r>
      <w:proofErr w:type="spellEnd"/>
      <w:r w:rsidRPr="00605CD1">
        <w:rPr>
          <w:lang w:val="pl-PL"/>
        </w:rPr>
        <w:t>,</w:t>
      </w:r>
      <w:r w:rsidRPr="00605CD1">
        <w:rPr>
          <w:lang w:val="pl-PL"/>
        </w:rPr>
        <w:br/>
      </w:r>
      <w:r w:rsidRPr="00605CD1">
        <w:rPr>
          <w:lang w:val="pl-PL"/>
        </w:rPr>
        <w:tab/>
      </w:r>
      <w:proofErr w:type="spellStart"/>
      <w:r w:rsidRPr="00605CD1">
        <w:rPr>
          <w:lang w:val="pl-PL"/>
        </w:rPr>
        <w:t>Jovan</w:t>
      </w:r>
      <w:proofErr w:type="spellEnd"/>
      <w:r w:rsidRPr="00605CD1">
        <w:rPr>
          <w:lang w:val="pl-PL"/>
        </w:rPr>
        <w:t xml:space="preserve"> </w:t>
      </w:r>
      <w:proofErr w:type="spellStart"/>
      <w:r w:rsidRPr="00605CD1">
        <w:rPr>
          <w:lang w:val="pl-PL"/>
        </w:rPr>
        <w:t>Ilievski</w:t>
      </w:r>
      <w:proofErr w:type="spellEnd"/>
      <w:r w:rsidRPr="00605CD1">
        <w:rPr>
          <w:lang w:val="pl-PL"/>
        </w:rPr>
        <w:t>,</w:t>
      </w:r>
      <w:r w:rsidRPr="00605CD1">
        <w:rPr>
          <w:i/>
          <w:iCs/>
          <w:lang w:val="pl-PL"/>
        </w:rPr>
        <w:t xml:space="preserve"> </w:t>
      </w:r>
      <w:r w:rsidR="00134F31">
        <w:rPr>
          <w:i/>
          <w:iCs/>
          <w:lang w:val="pl-PL"/>
        </w:rPr>
        <w:t>S</w:t>
      </w:r>
      <w:r w:rsidRPr="00605CD1">
        <w:rPr>
          <w:i/>
          <w:iCs/>
          <w:lang w:val="pl-PL"/>
        </w:rPr>
        <w:t>ędziowie,</w:t>
      </w:r>
    </w:p>
    <w:p w14:paraId="64242657" w14:textId="0AA783D0" w:rsidR="00701E76" w:rsidRPr="00605CD1" w:rsidRDefault="00701E76" w:rsidP="00301EC9">
      <w:pPr>
        <w:pStyle w:val="ECHRDecisionBody"/>
        <w:rPr>
          <w:lang w:val="pl-PL"/>
        </w:rPr>
      </w:pPr>
      <w:r w:rsidRPr="00605CD1">
        <w:rPr>
          <w:lang w:val="pl-PL"/>
        </w:rPr>
        <w:t xml:space="preserve">i Renata </w:t>
      </w:r>
      <w:proofErr w:type="spellStart"/>
      <w:r w:rsidRPr="00605CD1">
        <w:rPr>
          <w:lang w:val="pl-PL"/>
        </w:rPr>
        <w:t>Degener</w:t>
      </w:r>
      <w:proofErr w:type="spellEnd"/>
      <w:r w:rsidRPr="00605CD1">
        <w:rPr>
          <w:lang w:val="pl-PL"/>
        </w:rPr>
        <w:t xml:space="preserve">, </w:t>
      </w:r>
      <w:r w:rsidR="00134F31">
        <w:rPr>
          <w:i/>
          <w:iCs/>
          <w:lang w:val="pl-PL"/>
        </w:rPr>
        <w:t>Z</w:t>
      </w:r>
      <w:r w:rsidRPr="00605CD1">
        <w:rPr>
          <w:i/>
          <w:iCs/>
          <w:lang w:val="pl-PL"/>
        </w:rPr>
        <w:t xml:space="preserve">astępca </w:t>
      </w:r>
      <w:r w:rsidR="00134F31">
        <w:rPr>
          <w:i/>
          <w:iCs/>
          <w:lang w:val="pl-PL"/>
        </w:rPr>
        <w:t>K</w:t>
      </w:r>
      <w:r w:rsidRPr="00605CD1">
        <w:rPr>
          <w:i/>
          <w:iCs/>
          <w:lang w:val="pl-PL"/>
        </w:rPr>
        <w:t>anclerza Sekcji,</w:t>
      </w:r>
    </w:p>
    <w:p w14:paraId="59DFD52F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uwzględniając powyższą skargę wniesioną w dniu 28 grudnia 2013 r.,</w:t>
      </w:r>
    </w:p>
    <w:p w14:paraId="7B025665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mając na uwadze złożoną w dniu 12 lutego 2018 r. przez pozwany Rząd deklarację, w której wezwano Trybunał do skreślenia skargi z listy spraw, oraz odpowiedź skarżącego na tę deklarację,</w:t>
      </w:r>
    </w:p>
    <w:p w14:paraId="23B9573B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po obradach wydaje następującą decyzję:</w:t>
      </w:r>
    </w:p>
    <w:p w14:paraId="185433B3" w14:textId="77777777" w:rsidR="00701E76" w:rsidRPr="00605CD1" w:rsidRDefault="00701E76" w:rsidP="00301EC9">
      <w:pPr>
        <w:pStyle w:val="ECHRTitle1"/>
        <w:rPr>
          <w:lang w:val="pl-PL"/>
        </w:rPr>
      </w:pPr>
      <w:r w:rsidRPr="00605CD1">
        <w:rPr>
          <w:lang w:val="pl-PL"/>
        </w:rPr>
        <w:t>FAKTY I PRZEBIEG POSTĘPOWANIA</w:t>
      </w:r>
    </w:p>
    <w:p w14:paraId="71501585" w14:textId="4A53E99D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 xml:space="preserve">1.  Skarżący, pan Łukasz Maksymilian </w:t>
      </w:r>
      <w:proofErr w:type="spellStart"/>
      <w:r w:rsidRPr="00605CD1">
        <w:rPr>
          <w:lang w:val="pl-PL"/>
        </w:rPr>
        <w:t>Bryske</w:t>
      </w:r>
      <w:proofErr w:type="spellEnd"/>
      <w:r w:rsidRPr="00605CD1">
        <w:rPr>
          <w:lang w:val="pl-PL"/>
        </w:rPr>
        <w:t xml:space="preserve">, jest obywatelem </w:t>
      </w:r>
      <w:r w:rsidR="00134F31">
        <w:rPr>
          <w:lang w:val="pl-PL"/>
        </w:rPr>
        <w:t>polskim</w:t>
      </w:r>
      <w:r w:rsidRPr="00605CD1">
        <w:rPr>
          <w:lang w:val="pl-PL"/>
        </w:rPr>
        <w:t>, który urodził się w 1983 r. i mieszka w Bydgoszczy. Skarżący był reprezentowany przed Trybunałem przez pana I. Wilczka, prawnika z</w:t>
      </w:r>
      <w:r w:rsidR="004B4608">
        <w:rPr>
          <w:lang w:val="pl-PL"/>
        </w:rPr>
        <w:t> </w:t>
      </w:r>
      <w:r w:rsidRPr="00605CD1">
        <w:rPr>
          <w:lang w:val="pl-PL"/>
        </w:rPr>
        <w:t>Bydgoszczy.</w:t>
      </w:r>
    </w:p>
    <w:p w14:paraId="285671B3" w14:textId="5E279C92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 xml:space="preserve">2.  Rząd </w:t>
      </w:r>
      <w:r w:rsidR="007C1E3C">
        <w:rPr>
          <w:lang w:val="pl-PL"/>
        </w:rPr>
        <w:t>RP</w:t>
      </w:r>
      <w:r w:rsidRPr="00605CD1">
        <w:rPr>
          <w:lang w:val="pl-PL"/>
        </w:rPr>
        <w:t xml:space="preserve"> („Rząd”) był reprezentowany przez swoją pełnomocnik, panią J. Chrzanowską z Ministerstwa Spraw Zagranicznych.</w:t>
      </w:r>
    </w:p>
    <w:p w14:paraId="1754A68A" w14:textId="19138B3E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 xml:space="preserve">3.  Córka skarżącego urodziła się w 2009 r. Po rozpadzie związku z matką córki w 2010 r. skarżącemu przyznano prawo do kontaktu z dzieckiem. Sposób utrzymywania kontaktów zmieniono w roku 2012 i 2013. Mimo </w:t>
      </w:r>
      <w:r w:rsidR="00134F31">
        <w:rPr>
          <w:lang w:val="pl-PL"/>
        </w:rPr>
        <w:t>nakładania grzywien</w:t>
      </w:r>
      <w:r w:rsidRPr="00605CD1">
        <w:rPr>
          <w:lang w:val="pl-PL"/>
        </w:rPr>
        <w:t xml:space="preserve"> na matkę dziecka, postanowienia w sprawie kontaktów wielokrotnie nie były </w:t>
      </w:r>
      <w:r w:rsidR="00134F31">
        <w:rPr>
          <w:lang w:val="pl-PL"/>
        </w:rPr>
        <w:t>wykonywane</w:t>
      </w:r>
      <w:r w:rsidRPr="00605CD1">
        <w:rPr>
          <w:lang w:val="pl-PL"/>
        </w:rPr>
        <w:t>.</w:t>
      </w:r>
    </w:p>
    <w:p w14:paraId="2585ACB0" w14:textId="3794352C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 xml:space="preserve">4.  Na podstawie art. 8 Konwencji skarżący złożył skargę na opóźnienia w postępowaniu o </w:t>
      </w:r>
      <w:r w:rsidR="00134F31">
        <w:rPr>
          <w:lang w:val="pl-PL"/>
        </w:rPr>
        <w:t>wykonywanie</w:t>
      </w:r>
      <w:r w:rsidRPr="00605CD1">
        <w:rPr>
          <w:lang w:val="pl-PL"/>
        </w:rPr>
        <w:t xml:space="preserve"> postanowień w sprawie kontaktów </w:t>
      </w:r>
      <w:r w:rsidRPr="00605CD1">
        <w:rPr>
          <w:lang w:val="pl-PL"/>
        </w:rPr>
        <w:lastRenderedPageBreak/>
        <w:t>i</w:t>
      </w:r>
      <w:r w:rsidR="004B4608">
        <w:rPr>
          <w:lang w:val="pl-PL"/>
        </w:rPr>
        <w:t> </w:t>
      </w:r>
      <w:r w:rsidRPr="00605CD1">
        <w:rPr>
          <w:lang w:val="pl-PL"/>
        </w:rPr>
        <w:t xml:space="preserve">zarzucił organom, że nie podjęły środków niezbędnych do zapewnienia, aby </w:t>
      </w:r>
      <w:r w:rsidR="00134F31">
        <w:rPr>
          <w:lang w:val="pl-PL"/>
        </w:rPr>
        <w:t>poszanowane zostało jego prawo do życia rodzinnego.</w:t>
      </w:r>
    </w:p>
    <w:p w14:paraId="143EAA64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5.  W dniu 12 maja 2017 r. sprawa została zakomunikowana Rządowi.</w:t>
      </w:r>
    </w:p>
    <w:p w14:paraId="431B789F" w14:textId="77777777" w:rsidR="00701E76" w:rsidRPr="00605CD1" w:rsidRDefault="00701E76" w:rsidP="00301EC9">
      <w:pPr>
        <w:pStyle w:val="ECHRTitle1"/>
        <w:rPr>
          <w:lang w:val="pl-PL"/>
        </w:rPr>
      </w:pPr>
      <w:r w:rsidRPr="00605CD1">
        <w:rPr>
          <w:lang w:val="pl-PL"/>
        </w:rPr>
        <w:t>PRAWO</w:t>
      </w:r>
    </w:p>
    <w:p w14:paraId="0FEF51BE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6.  Po nieudanych próbach zawarcia ugody, w piśmie z dnia 12 lutego 2018 r. Rząd poinformował Trybunał, że proponuje złożenie deklaracji jednostronnej w celu rozwiązania kwestii będących przedmiotem skargi. Ponadto zwrócił się do Trybunału o skreślenie skargi zgodnie z art. 37 Konwencji.</w:t>
      </w:r>
    </w:p>
    <w:p w14:paraId="6B1FA1AA" w14:textId="77777777" w:rsidR="00701E76" w:rsidRPr="00605CD1" w:rsidRDefault="00701E76" w:rsidP="00301EC9">
      <w:pPr>
        <w:pStyle w:val="ECHRPara"/>
        <w:rPr>
          <w:szCs w:val="24"/>
          <w:lang w:val="pl-PL"/>
        </w:rPr>
      </w:pPr>
      <w:r w:rsidRPr="00605CD1">
        <w:rPr>
          <w:lang w:val="pl-PL"/>
        </w:rPr>
        <w:t>7.  Deklaracja brzmiała następująco:</w:t>
      </w:r>
    </w:p>
    <w:p w14:paraId="3789E713" w14:textId="77777777" w:rsidR="00701E76" w:rsidRPr="00605CD1" w:rsidRDefault="00701E76" w:rsidP="00301EC9">
      <w:pPr>
        <w:pStyle w:val="ECHRParaQuote"/>
        <w:rPr>
          <w:lang w:val="pl-PL"/>
        </w:rPr>
      </w:pPr>
      <w:r w:rsidRPr="00605CD1">
        <w:rPr>
          <w:lang w:val="pl-PL"/>
        </w:rPr>
        <w:t xml:space="preserve">„Rząd niniejszym pragnie wyrazić, w drodze deklaracji jednostronnej, uznanie naruszenia przysługującego skarżącemu prawa do poszanowania jego życia rodzinnego, o którym mowa w art. 8 Konwencji. Jednocześnie Rząd oświadcza, że jest gotów uiścić na rzecz skarżącego kwotę 15 000 PLN (piętnaście tysięcy złotych), którą uważa za stosowną w świetle okoliczności niniejszej sprawy, jak i orzecznictwa Trybunału w podobnych sprawach (zob. </w:t>
      </w:r>
      <w:proofErr w:type="spellStart"/>
      <w:r w:rsidRPr="00605CD1">
        <w:rPr>
          <w:i/>
          <w:iCs/>
          <w:lang w:val="pl-PL"/>
        </w:rPr>
        <w:t>Jączek</w:t>
      </w:r>
      <w:proofErr w:type="spellEnd"/>
      <w:r w:rsidRPr="00605CD1">
        <w:rPr>
          <w:i/>
          <w:iCs/>
          <w:lang w:val="pl-PL"/>
        </w:rPr>
        <w:t xml:space="preserve"> przeciwko Polsce </w:t>
      </w:r>
      <w:r w:rsidRPr="00605CD1">
        <w:rPr>
          <w:lang w:val="pl-PL"/>
        </w:rPr>
        <w:t>(</w:t>
      </w:r>
      <w:proofErr w:type="spellStart"/>
      <w:r w:rsidRPr="00605CD1">
        <w:rPr>
          <w:lang w:val="pl-PL"/>
        </w:rPr>
        <w:t>dec</w:t>
      </w:r>
      <w:proofErr w:type="spellEnd"/>
      <w:r w:rsidRPr="00605CD1">
        <w:rPr>
          <w:lang w:val="pl-PL"/>
        </w:rPr>
        <w:t>.), skarga nr 13603/13, 27 września 2016 r.). Kwota, o której mowa powyżej i która ma pokryć wszelkie szkody majątkowe i niemajątkowe, jak również koszty i wydatki, zostanie wypłacona bez naliczania ewentualnych podatków. Kwota ta będzie płatna w terminie trzech miesięcy od daty zawiadomienia o decyzji podjętej przez Trybunał zgodnie z art. 37 ust. 1 Europejskiej Konwencji Praw Człowieka. W przypadku nieuregulowania należności w terminie trzech miesięcy Rząd zobowiązuje się do zapłaty odsetek zwykłych, naliczanych od momentu upływu tego terminu do chwili rozliczenia, według stopy równej marginalnej stopie procentowej Europejskiego Banku Centralnego obowiązującej w okresie po upływie terminu, powiększonej o trzy punkty procentowe.</w:t>
      </w:r>
    </w:p>
    <w:p w14:paraId="4072A888" w14:textId="77777777" w:rsidR="00701E76" w:rsidRPr="00605CD1" w:rsidRDefault="00701E76" w:rsidP="00301EC9">
      <w:pPr>
        <w:pStyle w:val="ECHRParaQuote"/>
        <w:rPr>
          <w:lang w:val="pl-PL"/>
        </w:rPr>
      </w:pPr>
      <w:r w:rsidRPr="00605CD1">
        <w:rPr>
          <w:lang w:val="pl-PL"/>
        </w:rPr>
        <w:t>8.  Rząd z całym szacunkiem pragnie zasugerować, że Trybunał może przyjąć powyższą deklarację jako „jakąkolwiek inną przyczynę” uzasadniającą skreślenie skargi z listy spraw Trybunału, o czym mowa w art. 37 ust. 1 lit. c) Konwencji.”</w:t>
      </w:r>
    </w:p>
    <w:p w14:paraId="09B84113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9.  W piśmie z dnia 21 marca 2018 r. skarżący wskazał, że nie satysfakcjonują go warunki przedstawione w deklaracji jednostronnej, jako że zaproponowana przez Rząd kwota z tytułu słusznego zadośćuczynienia była zbyt niska.</w:t>
      </w:r>
    </w:p>
    <w:p w14:paraId="7CA53D4E" w14:textId="77777777" w:rsidR="00701E76" w:rsidRPr="00605CD1" w:rsidRDefault="00701E76" w:rsidP="00301EC9">
      <w:pPr>
        <w:pStyle w:val="ECHRPara"/>
        <w:rPr>
          <w:szCs w:val="24"/>
          <w:lang w:val="pl-PL"/>
        </w:rPr>
      </w:pPr>
      <w:r w:rsidRPr="00605CD1">
        <w:rPr>
          <w:lang w:val="pl-PL"/>
        </w:rPr>
        <w:t xml:space="preserve">10.  Trybunał </w:t>
      </w:r>
      <w:r w:rsidRPr="00605CD1">
        <w:rPr>
          <w:color w:val="000000"/>
          <w:lang w:val="pl-PL"/>
        </w:rPr>
        <w:t>przypomina</w:t>
      </w:r>
      <w:r w:rsidRPr="00605CD1">
        <w:rPr>
          <w:lang w:val="pl-PL"/>
        </w:rPr>
        <w:t>, że art. 37 Konwencji stanowi, iż Trybunał może w każdej fazie postępowania zdecydować o skreśleniu skargi z listy spraw, jeżeli okoliczności prowadzą do jednego z wniosków określonych w ust. 1 lit. a), b) lub c) tego artykułu. Artykuł 37 ust. 1 lit. c) umożliwia Trybunałowi w szczególności skreślenie skargi z listy, jeżeli „z jakiejkolwiek innej przyczyny ustalonej przez Trybunał nie jest uzasadnione dalsze rozpatrywanie skargi”.</w:t>
      </w:r>
    </w:p>
    <w:p w14:paraId="6A2DDD82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 xml:space="preserve">11.  Trybunał powtarza również, że w pewnych okolicznościach może skreślić skargę zgodnie z art. 37 ust. 1 lit. c) na podstawie jednostronnej </w:t>
      </w:r>
      <w:r w:rsidRPr="00605CD1">
        <w:rPr>
          <w:lang w:val="pl-PL"/>
        </w:rPr>
        <w:lastRenderedPageBreak/>
        <w:t>deklaracji pozwanego Rządu, nawet jeżeli skarżący wyraża wolę dalszego prowadzenia sprawy.</w:t>
      </w:r>
    </w:p>
    <w:p w14:paraId="7C97ADF2" w14:textId="77777777" w:rsidR="00701E76" w:rsidRPr="004B4608" w:rsidRDefault="00701E76" w:rsidP="00301EC9">
      <w:pPr>
        <w:pStyle w:val="ECHRPara"/>
        <w:rPr>
          <w:szCs w:val="24"/>
          <w:lang w:val="pl-PL"/>
        </w:rPr>
      </w:pPr>
      <w:r w:rsidRPr="00605CD1">
        <w:rPr>
          <w:lang w:val="pl-PL"/>
        </w:rPr>
        <w:t xml:space="preserve">12.  W tym celu Trybunał przeanalizował treść deklaracji w świetle zasad wynikających z jego orzecznictwa, a w szczególności z wyroku w sprawie </w:t>
      </w:r>
      <w:proofErr w:type="spellStart"/>
      <w:r w:rsidRPr="00605CD1">
        <w:rPr>
          <w:i/>
          <w:iCs/>
          <w:lang w:val="pl-PL"/>
        </w:rPr>
        <w:t>Tahsin</w:t>
      </w:r>
      <w:proofErr w:type="spellEnd"/>
      <w:r w:rsidRPr="00605CD1">
        <w:rPr>
          <w:i/>
          <w:iCs/>
          <w:lang w:val="pl-PL"/>
        </w:rPr>
        <w:t xml:space="preserve"> </w:t>
      </w:r>
      <w:proofErr w:type="spellStart"/>
      <w:r w:rsidRPr="00605CD1">
        <w:rPr>
          <w:i/>
          <w:iCs/>
          <w:lang w:val="pl-PL"/>
        </w:rPr>
        <w:t>Acar</w:t>
      </w:r>
      <w:proofErr w:type="spellEnd"/>
      <w:r w:rsidRPr="00605CD1">
        <w:rPr>
          <w:i/>
          <w:iCs/>
          <w:lang w:val="pl-PL"/>
        </w:rPr>
        <w:t xml:space="preserve"> </w:t>
      </w:r>
      <w:r w:rsidRPr="00605CD1">
        <w:rPr>
          <w:lang w:val="pl-PL"/>
        </w:rPr>
        <w:t xml:space="preserve">(zob. </w:t>
      </w:r>
      <w:proofErr w:type="spellStart"/>
      <w:r w:rsidRPr="00605CD1">
        <w:rPr>
          <w:i/>
          <w:iCs/>
          <w:lang w:val="pl-PL"/>
        </w:rPr>
        <w:t>Tahsin</w:t>
      </w:r>
      <w:proofErr w:type="spellEnd"/>
      <w:r w:rsidRPr="00605CD1">
        <w:rPr>
          <w:i/>
          <w:iCs/>
          <w:lang w:val="pl-PL"/>
        </w:rPr>
        <w:t xml:space="preserve"> </w:t>
      </w:r>
      <w:proofErr w:type="spellStart"/>
      <w:r w:rsidRPr="00605CD1">
        <w:rPr>
          <w:i/>
          <w:iCs/>
          <w:lang w:val="pl-PL"/>
        </w:rPr>
        <w:t>Acar</w:t>
      </w:r>
      <w:proofErr w:type="spellEnd"/>
      <w:r w:rsidRPr="00605CD1">
        <w:rPr>
          <w:i/>
          <w:iCs/>
          <w:lang w:val="pl-PL"/>
        </w:rPr>
        <w:t xml:space="preserve"> przeciwko Turcji</w:t>
      </w:r>
      <w:r w:rsidRPr="00605CD1">
        <w:rPr>
          <w:lang w:val="pl-PL"/>
        </w:rPr>
        <w:t xml:space="preserve"> (</w:t>
      </w:r>
      <w:r w:rsidRPr="004B4608">
        <w:rPr>
          <w:lang w:val="pl-PL"/>
        </w:rPr>
        <w:t xml:space="preserve">zastrzeżenia wstępne) [WI], skarga nr 26307/95, §§ 75-77, </w:t>
      </w:r>
      <w:proofErr w:type="spellStart"/>
      <w:r w:rsidRPr="004B4608">
        <w:rPr>
          <w:lang w:val="pl-PL"/>
        </w:rPr>
        <w:t>ETPCz</w:t>
      </w:r>
      <w:proofErr w:type="spellEnd"/>
      <w:r w:rsidRPr="004B4608">
        <w:rPr>
          <w:lang w:val="pl-PL"/>
        </w:rPr>
        <w:t xml:space="preserve"> 2003-VI; </w:t>
      </w:r>
      <w:r w:rsidRPr="004B4608">
        <w:rPr>
          <w:i/>
          <w:iCs/>
          <w:lang w:val="pl-PL"/>
        </w:rPr>
        <w:t>WAZA Sp. z o.o. przeciwko Polsce</w:t>
      </w:r>
      <w:r w:rsidRPr="004B4608">
        <w:rPr>
          <w:lang w:val="pl-PL"/>
        </w:rPr>
        <w:t xml:space="preserve"> (</w:t>
      </w:r>
      <w:proofErr w:type="spellStart"/>
      <w:r w:rsidRPr="004B4608">
        <w:rPr>
          <w:lang w:val="pl-PL"/>
        </w:rPr>
        <w:t>dec</w:t>
      </w:r>
      <w:proofErr w:type="spellEnd"/>
      <w:r w:rsidRPr="004B4608">
        <w:rPr>
          <w:lang w:val="pl-PL"/>
        </w:rPr>
        <w:t xml:space="preserve">.), skarga nr 11602/02, 26 czerwca 2007 r.; oraz </w:t>
      </w:r>
      <w:proofErr w:type="spellStart"/>
      <w:r w:rsidRPr="004B4608">
        <w:rPr>
          <w:i/>
          <w:iCs/>
          <w:lang w:val="pl-PL"/>
        </w:rPr>
        <w:t>Sulwińska</w:t>
      </w:r>
      <w:proofErr w:type="spellEnd"/>
      <w:r w:rsidRPr="004B4608">
        <w:rPr>
          <w:i/>
          <w:iCs/>
          <w:lang w:val="pl-PL"/>
        </w:rPr>
        <w:t xml:space="preserve"> przeciwko Polsce</w:t>
      </w:r>
      <w:r w:rsidRPr="004B4608">
        <w:rPr>
          <w:lang w:val="pl-PL"/>
        </w:rPr>
        <w:t xml:space="preserve"> (</w:t>
      </w:r>
      <w:proofErr w:type="spellStart"/>
      <w:r w:rsidRPr="004B4608">
        <w:rPr>
          <w:lang w:val="pl-PL"/>
        </w:rPr>
        <w:t>dec</w:t>
      </w:r>
      <w:proofErr w:type="spellEnd"/>
      <w:r w:rsidRPr="004B4608">
        <w:rPr>
          <w:lang w:val="pl-PL"/>
        </w:rPr>
        <w:t>.), skarga nr 28953/03, 18 września 2007 r.).</w:t>
      </w:r>
    </w:p>
    <w:p w14:paraId="61F9286E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szCs w:val="24"/>
          <w:lang w:val="pl-PL"/>
        </w:rPr>
        <w:t xml:space="preserve">13.  W licznych sprawach, w tym przeciwko Polsce, Trybunał ustalił praktykę rozpatrywania zarzutów naruszenia art. 8 Konwencji (zob. między innymi wyroki w sprawach </w:t>
      </w:r>
      <w:proofErr w:type="spellStart"/>
      <w:r w:rsidRPr="00605CD1">
        <w:rPr>
          <w:i/>
          <w:iCs/>
          <w:szCs w:val="24"/>
          <w:lang w:val="pl-PL"/>
        </w:rPr>
        <w:t>Jączek</w:t>
      </w:r>
      <w:proofErr w:type="spellEnd"/>
      <w:r w:rsidRPr="00605CD1">
        <w:rPr>
          <w:i/>
          <w:iCs/>
          <w:szCs w:val="24"/>
          <w:lang w:val="pl-PL"/>
        </w:rPr>
        <w:t xml:space="preserve"> przeciwko Polsce</w:t>
      </w:r>
      <w:r w:rsidRPr="00605CD1">
        <w:rPr>
          <w:szCs w:val="24"/>
          <w:lang w:val="pl-PL"/>
        </w:rPr>
        <w:t xml:space="preserve"> cyt. powyżej i </w:t>
      </w:r>
      <w:r w:rsidRPr="00605CD1">
        <w:rPr>
          <w:i/>
          <w:iCs/>
          <w:szCs w:val="24"/>
          <w:lang w:val="pl-PL"/>
        </w:rPr>
        <w:t>Stasik przeciwko Polsce</w:t>
      </w:r>
      <w:r w:rsidRPr="00605CD1">
        <w:rPr>
          <w:szCs w:val="24"/>
          <w:lang w:val="pl-PL"/>
        </w:rPr>
        <w:t>, skarga nr 21823/12</w:t>
      </w:r>
      <w:r w:rsidRPr="00605CD1">
        <w:rPr>
          <w:snapToGrid w:val="0"/>
          <w:lang w:val="pl-PL"/>
        </w:rPr>
        <w:t>, 6 października 2015 r.).</w:t>
      </w:r>
    </w:p>
    <w:p w14:paraId="2E90E631" w14:textId="338A9466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 xml:space="preserve">14.  Mając na uwadze charakter stwierdzeń w deklaracji Rządu oraz wysokość zaproponowanego </w:t>
      </w:r>
      <w:r w:rsidR="00134F31">
        <w:rPr>
          <w:lang w:val="pl-PL"/>
        </w:rPr>
        <w:t>zadośćuczynienia</w:t>
      </w:r>
      <w:r w:rsidRPr="00605CD1">
        <w:rPr>
          <w:lang w:val="pl-PL"/>
        </w:rPr>
        <w:t xml:space="preserve"> – która jest zbliżona do kwot przyznawanych w podobnych sprawach – Trybunał uważa, że dalsze rozpatrywanie skargi nie jest już uzasadnione (art. 37 ust. 1 lit. c)).</w:t>
      </w:r>
    </w:p>
    <w:p w14:paraId="07DBC4AA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15.  Ponadto w świetle powyższych rozważań, a w szczególności biorąc pod uwagę jasne i obszerne orzecznictwo w tym zakresie, Trybunał stwierdza, że poszanowanie praw człowieka w rozumieniu Konwencji i jej protokołów nie wymaga od Trybunału kontynuowania rozpatrywania skargi (art. 37 ust. 1</w:t>
      </w:r>
      <w:r w:rsidRPr="00605CD1">
        <w:rPr>
          <w:i/>
          <w:iCs/>
          <w:lang w:val="pl-PL"/>
        </w:rPr>
        <w:t xml:space="preserve"> in fine</w:t>
      </w:r>
      <w:r w:rsidRPr="00605CD1">
        <w:rPr>
          <w:lang w:val="pl-PL"/>
        </w:rPr>
        <w:t>).</w:t>
      </w:r>
    </w:p>
    <w:p w14:paraId="15145F97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 xml:space="preserve">16.  Trybunał wreszcie podkreśla, że jeśli Rząd nie zastosuje się do warunków deklaracji jednostronnej, skarga może zostać ponownie wpisana na listę spraw zgodnie z art. 37 ust. 2 Konwencji (zob. </w:t>
      </w:r>
      <w:proofErr w:type="spellStart"/>
      <w:r w:rsidRPr="00605CD1">
        <w:rPr>
          <w:i/>
          <w:iCs/>
          <w:lang w:val="pl-PL"/>
        </w:rPr>
        <w:t>Josipović</w:t>
      </w:r>
      <w:proofErr w:type="spellEnd"/>
      <w:r w:rsidRPr="00605CD1">
        <w:rPr>
          <w:i/>
          <w:iCs/>
          <w:lang w:val="pl-PL"/>
        </w:rPr>
        <w:t xml:space="preserve"> przeciwko Serbii</w:t>
      </w:r>
      <w:r w:rsidRPr="00605CD1">
        <w:rPr>
          <w:lang w:val="pl-PL"/>
        </w:rPr>
        <w:t xml:space="preserve"> (</w:t>
      </w:r>
      <w:proofErr w:type="spellStart"/>
      <w:r w:rsidRPr="00605CD1">
        <w:rPr>
          <w:lang w:val="pl-PL"/>
        </w:rPr>
        <w:t>dec</w:t>
      </w:r>
      <w:proofErr w:type="spellEnd"/>
      <w:r w:rsidRPr="00605CD1">
        <w:rPr>
          <w:lang w:val="pl-PL"/>
        </w:rPr>
        <w:t>.), skarga nr 18369/07, 4 marca 2008 r.).</w:t>
      </w:r>
    </w:p>
    <w:p w14:paraId="49A3CF50" w14:textId="77777777" w:rsidR="00701E76" w:rsidRPr="00605CD1" w:rsidRDefault="00701E76" w:rsidP="00301EC9">
      <w:pPr>
        <w:pStyle w:val="ECHRPara"/>
        <w:rPr>
          <w:lang w:val="pl-PL"/>
        </w:rPr>
      </w:pPr>
      <w:r w:rsidRPr="00605CD1">
        <w:rPr>
          <w:lang w:val="pl-PL"/>
        </w:rPr>
        <w:t>17.  W związku z powyższym należy skreślić skargę z listy.</w:t>
      </w:r>
    </w:p>
    <w:p w14:paraId="2C551764" w14:textId="77777777" w:rsidR="00701E76" w:rsidRPr="00605CD1" w:rsidRDefault="00701E76" w:rsidP="00301EC9">
      <w:pPr>
        <w:pStyle w:val="JuParaLast"/>
        <w:outlineLvl w:val="0"/>
        <w:rPr>
          <w:lang w:val="pl-PL"/>
        </w:rPr>
      </w:pPr>
      <w:r w:rsidRPr="00605CD1">
        <w:rPr>
          <w:lang w:val="pl-PL"/>
        </w:rPr>
        <w:t>Z tych przyczyn trybunał jednogłośnie</w:t>
      </w:r>
    </w:p>
    <w:p w14:paraId="576F1D4F" w14:textId="77777777" w:rsidR="00701E76" w:rsidRPr="00605CD1" w:rsidRDefault="00701E76" w:rsidP="00301EC9">
      <w:pPr>
        <w:pStyle w:val="DecList"/>
        <w:rPr>
          <w:lang w:val="pl-PL"/>
        </w:rPr>
      </w:pPr>
      <w:r w:rsidRPr="00605CD1">
        <w:rPr>
          <w:i/>
          <w:iCs/>
          <w:lang w:val="pl-PL"/>
        </w:rPr>
        <w:t>przyjmuje do wiadomości</w:t>
      </w:r>
      <w:r w:rsidRPr="00605CD1">
        <w:rPr>
          <w:lang w:val="pl-PL"/>
        </w:rPr>
        <w:t xml:space="preserve"> warunki deklaracji pozwanego Rządu dotyczącej art. 8 Konwencji oraz sposoby zapewnienia zgodności z zobowiązaniami, o których w niej mowa;</w:t>
      </w:r>
    </w:p>
    <w:p w14:paraId="5CC45290" w14:textId="77777777" w:rsidR="00701E76" w:rsidRPr="00605CD1" w:rsidRDefault="00701E76" w:rsidP="00301EC9">
      <w:pPr>
        <w:pStyle w:val="DecList"/>
        <w:rPr>
          <w:lang w:val="pl-PL"/>
        </w:rPr>
      </w:pPr>
      <w:r w:rsidRPr="00605CD1">
        <w:rPr>
          <w:i/>
          <w:iCs/>
          <w:lang w:val="pl-PL"/>
        </w:rPr>
        <w:t>postanawia</w:t>
      </w:r>
      <w:r w:rsidRPr="00605CD1">
        <w:rPr>
          <w:lang w:val="pl-PL"/>
        </w:rPr>
        <w:t xml:space="preserve"> skreślić skargę z listy spraw zgodnie z art. 37 ust. 1 lit. c) Konwencji.</w:t>
      </w:r>
    </w:p>
    <w:p w14:paraId="72A0499B" w14:textId="77777777" w:rsidR="00751336" w:rsidRPr="00605CD1" w:rsidRDefault="006267D3" w:rsidP="00301EC9">
      <w:pPr>
        <w:pStyle w:val="DecList"/>
        <w:rPr>
          <w:lang w:val="pl-PL"/>
        </w:rPr>
      </w:pPr>
      <w:r w:rsidRPr="00605CD1">
        <w:rPr>
          <w:lang w:val="pl-PL"/>
        </w:rPr>
        <w:t>Sporządzono w języku angielskim i obwieszczono pisemnie w dniu 7 czerwca 2018 r.</w:t>
      </w:r>
    </w:p>
    <w:p w14:paraId="0A34C3B6" w14:textId="545F81DF" w:rsidR="00751336" w:rsidRPr="00605CD1" w:rsidRDefault="006267D3" w:rsidP="00301EC9">
      <w:pPr>
        <w:pStyle w:val="JuSigned"/>
        <w:rPr>
          <w:lang w:val="pl-PL"/>
        </w:rPr>
      </w:pPr>
      <w:r w:rsidRPr="00605CD1">
        <w:rPr>
          <w:lang w:val="pl-PL"/>
        </w:rPr>
        <w:tab/>
        <w:t xml:space="preserve">Renata </w:t>
      </w:r>
      <w:proofErr w:type="spellStart"/>
      <w:r w:rsidRPr="00605CD1">
        <w:rPr>
          <w:lang w:val="pl-PL"/>
        </w:rPr>
        <w:t>Degener</w:t>
      </w:r>
      <w:proofErr w:type="spellEnd"/>
      <w:r w:rsidRPr="00605CD1">
        <w:rPr>
          <w:lang w:val="pl-PL"/>
        </w:rPr>
        <w:tab/>
      </w:r>
      <w:proofErr w:type="spellStart"/>
      <w:r w:rsidRPr="00605CD1">
        <w:rPr>
          <w:lang w:val="pl-PL"/>
        </w:rPr>
        <w:t>Aleš</w:t>
      </w:r>
      <w:proofErr w:type="spellEnd"/>
      <w:r w:rsidRPr="00605CD1">
        <w:rPr>
          <w:lang w:val="pl-PL"/>
        </w:rPr>
        <w:t xml:space="preserve"> </w:t>
      </w:r>
      <w:proofErr w:type="spellStart"/>
      <w:r w:rsidRPr="00605CD1">
        <w:rPr>
          <w:lang w:val="pl-PL"/>
        </w:rPr>
        <w:t>Pejchal</w:t>
      </w:r>
      <w:proofErr w:type="spellEnd"/>
      <w:r w:rsidRPr="00605CD1">
        <w:rPr>
          <w:lang w:val="pl-PL"/>
        </w:rPr>
        <w:br/>
      </w:r>
      <w:r w:rsidRPr="00605CD1">
        <w:rPr>
          <w:lang w:val="pl-PL"/>
        </w:rPr>
        <w:tab/>
        <w:t xml:space="preserve">Zastępca </w:t>
      </w:r>
      <w:r w:rsidR="004B4608">
        <w:rPr>
          <w:lang w:val="pl-PL"/>
        </w:rPr>
        <w:t>k</w:t>
      </w:r>
      <w:r w:rsidRPr="00605CD1">
        <w:rPr>
          <w:lang w:val="pl-PL"/>
        </w:rPr>
        <w:t>anclerza</w:t>
      </w:r>
      <w:r w:rsidRPr="00605CD1">
        <w:rPr>
          <w:lang w:val="pl-PL"/>
        </w:rPr>
        <w:tab/>
        <w:t>Przewodniczący</w:t>
      </w:r>
    </w:p>
    <w:sectPr w:rsidR="00751336" w:rsidRPr="00605CD1" w:rsidSect="0076040F">
      <w:headerReference w:type="even" r:id="rId10"/>
      <w:headerReference w:type="default" r:id="rId11"/>
      <w:headerReference w:type="first" r:id="rId12"/>
      <w:footerReference w:type="first" r:id="rId13"/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72683" w14:textId="77777777" w:rsidR="004505F3" w:rsidRDefault="004505F3">
      <w:r>
        <w:separator/>
      </w:r>
    </w:p>
  </w:endnote>
  <w:endnote w:type="continuationSeparator" w:id="0">
    <w:p w14:paraId="295AFE08" w14:textId="77777777" w:rsidR="004505F3" w:rsidRDefault="00450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C758" w14:textId="77777777" w:rsidR="00701E76" w:rsidRPr="00701E76" w:rsidRDefault="00701E76" w:rsidP="0020718E">
    <w:pPr>
      <w:jc w:val="center"/>
    </w:pPr>
    <w:r>
      <w:rPr>
        <w:noProof/>
        <w:lang w:val="pl"/>
      </w:rPr>
      <w:drawing>
        <wp:inline distT="0" distB="0" distL="0" distR="0" wp14:anchorId="19191924" wp14:editId="72E64561">
          <wp:extent cx="771525" cy="619125"/>
          <wp:effectExtent l="0" t="0" r="9525" b="9525"/>
          <wp:docPr id="15" name="Picture 1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7261EC" w14:textId="77777777" w:rsidR="00751336" w:rsidRPr="00700638" w:rsidRDefault="00751336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A8D4" w14:textId="77777777" w:rsidR="004505F3" w:rsidRDefault="004505F3">
      <w:r>
        <w:separator/>
      </w:r>
    </w:p>
  </w:footnote>
  <w:footnote w:type="continuationSeparator" w:id="0">
    <w:p w14:paraId="24BA605E" w14:textId="77777777" w:rsidR="004505F3" w:rsidRDefault="00450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8400F" w14:textId="77777777" w:rsidR="00751336" w:rsidRPr="00605CD1" w:rsidRDefault="00701E76" w:rsidP="0076040F">
    <w:pPr>
      <w:pStyle w:val="ECHRHeader"/>
      <w:rPr>
        <w:lang w:val="pl-PL"/>
      </w:rPr>
    </w:pP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 PAGE </w:instrText>
    </w:r>
    <w:r>
      <w:rPr>
        <w:rStyle w:val="Numerstrony"/>
        <w:lang w:val="pl"/>
      </w:rPr>
      <w:fldChar w:fldCharType="separate"/>
    </w:r>
    <w:r>
      <w:rPr>
        <w:rStyle w:val="Numerstrony"/>
        <w:noProof/>
        <w:lang w:val="pl"/>
      </w:rPr>
      <w:t>2</w:t>
    </w:r>
    <w:r>
      <w:rPr>
        <w:rStyle w:val="Numerstrony"/>
        <w:lang w:val="pl"/>
      </w:rPr>
      <w:fldChar w:fldCharType="end"/>
    </w:r>
    <w:r>
      <w:rPr>
        <w:lang w:val="pl"/>
      </w:rPr>
      <w:tab/>
      <w:t>DECYZJA W SPRAWIE BRYSKE przeciwko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D0D00" w14:textId="77777777" w:rsidR="00751336" w:rsidRPr="00605CD1" w:rsidRDefault="006267D3" w:rsidP="0076040F">
    <w:pPr>
      <w:pStyle w:val="ECHRHeader"/>
      <w:rPr>
        <w:lang w:val="pl-PL"/>
      </w:rPr>
    </w:pPr>
    <w:r>
      <w:rPr>
        <w:lang w:val="pl"/>
      </w:rPr>
      <w:tab/>
      <w:t>DECYZJA W SPRAWIE BRYSKE przeciwko POLSCE</w:t>
    </w:r>
    <w:r>
      <w:rPr>
        <w:lang w:val="pl"/>
      </w:rPr>
      <w:tab/>
    </w: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 PAGE </w:instrText>
    </w:r>
    <w:r>
      <w:rPr>
        <w:rStyle w:val="Numerstrony"/>
        <w:lang w:val="pl"/>
      </w:rPr>
      <w:fldChar w:fldCharType="separate"/>
    </w:r>
    <w:r>
      <w:rPr>
        <w:rStyle w:val="Numerstrony"/>
        <w:noProof/>
        <w:lang w:val="pl"/>
      </w:rPr>
      <w:t>3</w:t>
    </w:r>
    <w:r>
      <w:rPr>
        <w:rStyle w:val="Numerstrony"/>
        <w:lang w:val="p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002D" w14:textId="77777777" w:rsidR="00701E76" w:rsidRPr="00A45145" w:rsidRDefault="00701E76" w:rsidP="00A45145">
    <w:pPr>
      <w:jc w:val="center"/>
    </w:pPr>
    <w:r>
      <w:rPr>
        <w:noProof/>
        <w:lang w:val="pl"/>
      </w:rPr>
      <w:drawing>
        <wp:inline distT="0" distB="0" distL="0" distR="0" wp14:anchorId="60726F20" wp14:editId="211E0E58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A09D22" w14:textId="77777777" w:rsidR="00751336" w:rsidRPr="00700638" w:rsidRDefault="00751336" w:rsidP="00EA100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87C151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A25970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AE02580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8C010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BCB4B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BE6B428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A124C6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38ADC3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C40F8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9247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920C1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75C4D5D"/>
    <w:multiLevelType w:val="multilevel"/>
    <w:tmpl w:val="0409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3BB25E0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010182013">
    <w:abstractNumId w:val="13"/>
  </w:num>
  <w:num w:numId="2" w16cid:durableId="1814444198">
    <w:abstractNumId w:val="13"/>
  </w:num>
  <w:num w:numId="3" w16cid:durableId="4402339">
    <w:abstractNumId w:val="12"/>
  </w:num>
  <w:num w:numId="4" w16cid:durableId="750810880">
    <w:abstractNumId w:val="10"/>
  </w:num>
  <w:num w:numId="5" w16cid:durableId="1821579310">
    <w:abstractNumId w:val="11"/>
  </w:num>
  <w:num w:numId="6" w16cid:durableId="674262829">
    <w:abstractNumId w:val="9"/>
  </w:num>
  <w:num w:numId="7" w16cid:durableId="971013175">
    <w:abstractNumId w:val="7"/>
  </w:num>
  <w:num w:numId="8" w16cid:durableId="275331537">
    <w:abstractNumId w:val="6"/>
  </w:num>
  <w:num w:numId="9" w16cid:durableId="25643172">
    <w:abstractNumId w:val="5"/>
  </w:num>
  <w:num w:numId="10" w16cid:durableId="1727803021">
    <w:abstractNumId w:val="4"/>
  </w:num>
  <w:num w:numId="11" w16cid:durableId="842208251">
    <w:abstractNumId w:val="8"/>
  </w:num>
  <w:num w:numId="12" w16cid:durableId="1414208468">
    <w:abstractNumId w:val="3"/>
  </w:num>
  <w:num w:numId="13" w16cid:durableId="22291654">
    <w:abstractNumId w:val="2"/>
  </w:num>
  <w:num w:numId="14" w16cid:durableId="711615216">
    <w:abstractNumId w:val="1"/>
  </w:num>
  <w:num w:numId="15" w16cid:durableId="1921020034">
    <w:abstractNumId w:val="0"/>
  </w:num>
  <w:num w:numId="16" w16cid:durableId="10928202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removePersonalInformation/>
  <w:proofState w:spelling="clean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</w:docVars>
  <w:rsids>
    <w:rsidRoot w:val="00701E76"/>
    <w:rsid w:val="00080EEC"/>
    <w:rsid w:val="000B0B79"/>
    <w:rsid w:val="00134F31"/>
    <w:rsid w:val="00175DA2"/>
    <w:rsid w:val="00301EC9"/>
    <w:rsid w:val="00397620"/>
    <w:rsid w:val="003F4D48"/>
    <w:rsid w:val="004505F3"/>
    <w:rsid w:val="004B4608"/>
    <w:rsid w:val="00605CD1"/>
    <w:rsid w:val="006267D3"/>
    <w:rsid w:val="00701E76"/>
    <w:rsid w:val="00751336"/>
    <w:rsid w:val="007C1E3C"/>
    <w:rsid w:val="009C2962"/>
    <w:rsid w:val="00B00D4A"/>
    <w:rsid w:val="00B36F4C"/>
    <w:rsid w:val="00B51D7A"/>
    <w:rsid w:val="00B6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99B0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semiHidden/>
    <w:rsid w:val="00987A64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87A6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87A6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87A6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87A6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87A6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87A6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87A64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87A64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87A64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basedOn w:val="Normalny"/>
    <w:next w:val="JuParaLast"/>
    <w:uiPriority w:val="32"/>
    <w:qFormat/>
    <w:rsid w:val="00987A64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"/>
    <w:basedOn w:val="Normalny"/>
    <w:link w:val="JuParaCar"/>
    <w:uiPriority w:val="12"/>
    <w:qFormat/>
    <w:rsid w:val="00987A64"/>
    <w:pPr>
      <w:ind w:firstLine="284"/>
    </w:pPr>
  </w:style>
  <w:style w:type="character" w:styleId="Numerstrony">
    <w:name w:val="page number"/>
    <w:uiPriority w:val="99"/>
    <w:semiHidden/>
    <w:rsid w:val="00E93FC7"/>
    <w:rPr>
      <w:sz w:val="18"/>
    </w:rPr>
  </w:style>
  <w:style w:type="character" w:styleId="Odwoaniedokomentarza">
    <w:name w:val="annotation reference"/>
    <w:uiPriority w:val="99"/>
    <w:semiHidden/>
    <w:rsid w:val="00E93FC7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93FC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987A64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87A64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3"/>
    <w:qFormat/>
    <w:rsid w:val="00987A64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Nagwek"/>
    <w:uiPriority w:val="4"/>
    <w:qFormat/>
    <w:rsid w:val="00987A64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styleId="Nagwek">
    <w:name w:val="header"/>
    <w:basedOn w:val="Normalny"/>
    <w:link w:val="NagwekZnak"/>
    <w:uiPriority w:val="57"/>
    <w:semiHidden/>
    <w:rsid w:val="00987A64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87A64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87A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A64"/>
    <w:rPr>
      <w:rFonts w:ascii="Tahoma" w:eastAsiaTheme="minorEastAsia" w:hAnsi="Tahoma" w:cs="Tahoma"/>
      <w:sz w:val="16"/>
      <w:szCs w:val="16"/>
    </w:rPr>
  </w:style>
  <w:style w:type="paragraph" w:customStyle="1" w:styleId="JuAppQuestion">
    <w:name w:val="Ju_App_Question"/>
    <w:basedOn w:val="Normalny"/>
    <w:uiPriority w:val="5"/>
    <w:qFormat/>
    <w:rsid w:val="00987A64"/>
    <w:pPr>
      <w:numPr>
        <w:numId w:val="16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987A64"/>
  </w:style>
  <w:style w:type="paragraph" w:customStyle="1" w:styleId="ECHRParaQuote">
    <w:name w:val="ECHR_Para_Quote"/>
    <w:aliases w:val="Ju_Quot"/>
    <w:basedOn w:val="Normalny"/>
    <w:uiPriority w:val="14"/>
    <w:qFormat/>
    <w:rsid w:val="00987A64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987A64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987A64"/>
  </w:style>
  <w:style w:type="paragraph" w:customStyle="1" w:styleId="OpiQuot">
    <w:name w:val="Opi_Quot"/>
    <w:basedOn w:val="ECHRParaQuote"/>
    <w:uiPriority w:val="48"/>
    <w:qFormat/>
    <w:rsid w:val="00987A64"/>
  </w:style>
  <w:style w:type="paragraph" w:customStyle="1" w:styleId="OpiQuotSub">
    <w:name w:val="Opi_Quot_Sub"/>
    <w:basedOn w:val="JuQuotSub"/>
    <w:uiPriority w:val="49"/>
    <w:qFormat/>
    <w:rsid w:val="00987A64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87A64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87A64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987A64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87A64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ny"/>
    <w:uiPriority w:val="31"/>
    <w:qFormat/>
    <w:rsid w:val="00987A64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987A64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987A64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987A64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987A64"/>
    <w:pPr>
      <w:jc w:val="center"/>
      <w:outlineLvl w:val="0"/>
    </w:pPr>
    <w:rPr>
      <w:i/>
    </w:rPr>
  </w:style>
  <w:style w:type="paragraph" w:customStyle="1" w:styleId="JuCourt">
    <w:name w:val="Ju_Court"/>
    <w:basedOn w:val="Normalny"/>
    <w:next w:val="Normalny"/>
    <w:uiPriority w:val="16"/>
    <w:qFormat/>
    <w:rsid w:val="00987A64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87A64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87A64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87A64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7A64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87A64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7A64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87A64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7A64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87A64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7A64"/>
    <w:rPr>
      <w:rFonts w:asciiTheme="majorHAnsi" w:eastAsiaTheme="majorEastAsia" w:hAnsiTheme="majorHAnsi" w:cstheme="majorBidi"/>
      <w:b/>
      <w:bCs/>
      <w:color w:val="808080"/>
      <w:sz w:val="24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87A64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7A64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87A64"/>
    <w:pPr>
      <w:keepNext/>
      <w:keepLines/>
      <w:spacing w:before="240" w:after="120"/>
      <w:ind w:left="1236"/>
    </w:pPr>
    <w:rPr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7A64"/>
    <w:rPr>
      <w:rFonts w:asciiTheme="majorHAnsi" w:eastAsiaTheme="majorEastAsia" w:hAnsiTheme="majorHAnsi" w:cstheme="majorBidi"/>
      <w:i/>
      <w:iCs/>
      <w:sz w:val="24"/>
      <w:lang w:bidi="en-US"/>
    </w:rPr>
  </w:style>
  <w:style w:type="paragraph" w:customStyle="1" w:styleId="JuParaLast">
    <w:name w:val="Ju_Para_Last"/>
    <w:basedOn w:val="Normalny"/>
    <w:next w:val="ECHRPara"/>
    <w:uiPriority w:val="30"/>
    <w:qFormat/>
    <w:rsid w:val="00987A64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"/>
    <w:qFormat/>
    <w:rsid w:val="00987A64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987A64"/>
    <w:pPr>
      <w:tabs>
        <w:tab w:val="left" w:pos="567"/>
        <w:tab w:val="left" w:pos="1134"/>
      </w:tabs>
      <w:jc w:val="left"/>
    </w:pPr>
  </w:style>
  <w:style w:type="paragraph" w:customStyle="1" w:styleId="JuList">
    <w:name w:val="Ju_List"/>
    <w:basedOn w:val="Normalny"/>
    <w:uiPriority w:val="28"/>
    <w:qFormat/>
    <w:rsid w:val="00987A64"/>
    <w:pPr>
      <w:ind w:left="340" w:hanging="340"/>
    </w:pPr>
  </w:style>
  <w:style w:type="paragraph" w:customStyle="1" w:styleId="JuLista">
    <w:name w:val="Ju_List_a"/>
    <w:basedOn w:val="JuList"/>
    <w:uiPriority w:val="28"/>
    <w:qFormat/>
    <w:rsid w:val="00987A64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987A64"/>
    <w:pPr>
      <w:ind w:left="794"/>
    </w:pPr>
  </w:style>
  <w:style w:type="paragraph" w:customStyle="1" w:styleId="OpiH1">
    <w:name w:val="Opi_H_1"/>
    <w:basedOn w:val="ECHRHeading2"/>
    <w:uiPriority w:val="42"/>
    <w:qFormat/>
    <w:rsid w:val="00987A64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987A64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987A64"/>
    <w:pPr>
      <w:ind w:left="1037" w:hanging="357"/>
      <w:outlineLvl w:val="4"/>
    </w:pPr>
    <w:rPr>
      <w:b w:val="0"/>
      <w:i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7A64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7A64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987A64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87A64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87A64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87A64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uiPriority w:val="99"/>
    <w:semiHidden/>
    <w:qFormat/>
    <w:rsid w:val="00987A64"/>
    <w:rPr>
      <w:b/>
      <w:bCs/>
    </w:rPr>
  </w:style>
  <w:style w:type="character" w:styleId="Uwydatnienie">
    <w:name w:val="Emphasis"/>
    <w:uiPriority w:val="99"/>
    <w:semiHidden/>
    <w:qFormat/>
    <w:rsid w:val="00987A6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987A64"/>
  </w:style>
  <w:style w:type="character" w:customStyle="1" w:styleId="BezodstpwZnak">
    <w:name w:val="Bez odstępów Znak"/>
    <w:basedOn w:val="Domylnaczcionkaakapitu"/>
    <w:link w:val="Bezodstpw"/>
    <w:semiHidden/>
    <w:rsid w:val="00987A64"/>
    <w:rPr>
      <w:rFonts w:eastAsiaTheme="minorEastAsia"/>
      <w:sz w:val="24"/>
    </w:rPr>
  </w:style>
  <w:style w:type="paragraph" w:styleId="Akapitzlist">
    <w:name w:val="List Paragraph"/>
    <w:basedOn w:val="Normalny"/>
    <w:uiPriority w:val="99"/>
    <w:semiHidden/>
    <w:qFormat/>
    <w:rsid w:val="00987A6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87A64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87A64"/>
    <w:rPr>
      <w:rFonts w:eastAsiaTheme="minorEastAsia"/>
      <w:i/>
      <w:iCs/>
      <w:sz w:val="24"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87A6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87A64"/>
    <w:rPr>
      <w:rFonts w:eastAsiaTheme="minorEastAsia"/>
      <w:b/>
      <w:bCs/>
      <w:i/>
      <w:iCs/>
      <w:sz w:val="24"/>
      <w:lang w:bidi="en-US"/>
    </w:rPr>
  </w:style>
  <w:style w:type="character" w:styleId="Wyrnieniedelikatne">
    <w:name w:val="Subtle Emphasis"/>
    <w:uiPriority w:val="99"/>
    <w:semiHidden/>
    <w:qFormat/>
    <w:rsid w:val="00987A64"/>
    <w:rPr>
      <w:i/>
      <w:iCs/>
    </w:rPr>
  </w:style>
  <w:style w:type="character" w:styleId="Wyrnienieintensywne">
    <w:name w:val="Intense Emphasis"/>
    <w:uiPriority w:val="99"/>
    <w:semiHidden/>
    <w:qFormat/>
    <w:rsid w:val="00987A64"/>
    <w:rPr>
      <w:b/>
      <w:bCs/>
    </w:rPr>
  </w:style>
  <w:style w:type="character" w:styleId="Odwoaniedelikatne">
    <w:name w:val="Subtle Reference"/>
    <w:uiPriority w:val="99"/>
    <w:semiHidden/>
    <w:qFormat/>
    <w:rsid w:val="00987A64"/>
    <w:rPr>
      <w:smallCaps/>
    </w:rPr>
  </w:style>
  <w:style w:type="character" w:styleId="Odwoanieintensywne">
    <w:name w:val="Intense Reference"/>
    <w:uiPriority w:val="99"/>
    <w:semiHidden/>
    <w:qFormat/>
    <w:rsid w:val="00987A64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987A64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9"/>
    <w:semiHidden/>
    <w:qFormat/>
    <w:rsid w:val="00987A64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E93FC7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E93FC7"/>
    <w:pPr>
      <w:numPr>
        <w:numId w:val="4"/>
      </w:numPr>
    </w:pPr>
  </w:style>
  <w:style w:type="numbering" w:styleId="Artykusekcja">
    <w:name w:val="Outline List 3"/>
    <w:basedOn w:val="Bezlisty"/>
    <w:uiPriority w:val="99"/>
    <w:semiHidden/>
    <w:unhideWhenUsed/>
    <w:rsid w:val="00E93FC7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37"/>
    <w:semiHidden/>
    <w:unhideWhenUsed/>
    <w:rsid w:val="00E93FC7"/>
  </w:style>
  <w:style w:type="paragraph" w:styleId="Tekstblokowy">
    <w:name w:val="Block Text"/>
    <w:basedOn w:val="Normalny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93F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3FC7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3FC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3FC7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3FC7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E93FC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93FC7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93FC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93FC7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93FC7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3FC7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93FC7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93FC7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unhideWhenUsed/>
    <w:rsid w:val="00E93FC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93FC7"/>
    <w:rPr>
      <w:rFonts w:eastAsiaTheme="minorEastAsia"/>
      <w:sz w:val="24"/>
    </w:rPr>
  </w:style>
  <w:style w:type="table" w:styleId="Kolorowasiatka">
    <w:name w:val="Colorful Grid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FC7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FC7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E93FC7"/>
  </w:style>
  <w:style w:type="character" w:customStyle="1" w:styleId="DataZnak">
    <w:name w:val="Data Znak"/>
    <w:basedOn w:val="Domylnaczcionkaakapitu"/>
    <w:link w:val="Data"/>
    <w:uiPriority w:val="99"/>
    <w:semiHidden/>
    <w:rsid w:val="00E93FC7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unhideWhenUsed/>
    <w:rsid w:val="00E93FC7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93FC7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3FC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F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FC7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E93FC7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rsid w:val="00987A6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87A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7A64"/>
    <w:rPr>
      <w:rFonts w:eastAsiaTheme="minorEastAsia"/>
      <w:sz w:val="20"/>
      <w:szCs w:val="20"/>
    </w:rPr>
  </w:style>
  <w:style w:type="character" w:styleId="HTML-akronim">
    <w:name w:val="HTML Acronym"/>
    <w:basedOn w:val="Domylnaczcionkaakapitu"/>
    <w:uiPriority w:val="99"/>
    <w:semiHidden/>
    <w:unhideWhenUsed/>
    <w:rsid w:val="00E93FC7"/>
  </w:style>
  <w:style w:type="paragraph" w:styleId="HTML-adres">
    <w:name w:val="HTML Address"/>
    <w:basedOn w:val="Normalny"/>
    <w:link w:val="HTML-adresZnak"/>
    <w:uiPriority w:val="99"/>
    <w:semiHidden/>
    <w:unhideWhenUsed/>
    <w:rsid w:val="00E93FC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93FC7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unhideWhenUsed/>
    <w:rsid w:val="00E93FC7"/>
    <w:rPr>
      <w:i/>
      <w:iCs/>
    </w:rPr>
  </w:style>
  <w:style w:type="character" w:styleId="HTML-kod">
    <w:name w:val="HTML Code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unhideWhenUsed/>
    <w:rsid w:val="00E93FC7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unhideWhenUsed/>
    <w:rsid w:val="00E93FC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unhideWhenUsed/>
    <w:rsid w:val="00E93FC7"/>
    <w:rPr>
      <w:i/>
      <w:iCs/>
    </w:rPr>
  </w:style>
  <w:style w:type="character" w:styleId="Hipercze">
    <w:name w:val="Hyperlink"/>
    <w:basedOn w:val="Domylnaczcionkaakapitu"/>
    <w:uiPriority w:val="99"/>
    <w:rsid w:val="00987A64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E93FC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E93FC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unhideWhenUsed/>
    <w:rsid w:val="00E93FC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unhideWhenUsed/>
    <w:rsid w:val="00E93FC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unhideWhenUsed/>
    <w:rsid w:val="00E93FC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unhideWhenUsed/>
    <w:rsid w:val="00E93FC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unhideWhenUsed/>
    <w:rsid w:val="00E93FC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unhideWhenUsed/>
    <w:rsid w:val="00E93FC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E93FC7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unhideWhenUsed/>
    <w:rsid w:val="00E93FC7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E93FC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E93FC7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E93FC7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E93FC7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E93FC7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E93FC7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E93FC7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unhideWhenUsed/>
    <w:rsid w:val="00E93FC7"/>
  </w:style>
  <w:style w:type="paragraph" w:styleId="Lista">
    <w:name w:val="List"/>
    <w:basedOn w:val="Normalny"/>
    <w:uiPriority w:val="99"/>
    <w:semiHidden/>
    <w:unhideWhenUsed/>
    <w:rsid w:val="00E93FC7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unhideWhenUsed/>
    <w:rsid w:val="00E93FC7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E93FC7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E93FC7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E93FC7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E93FC7"/>
    <w:pPr>
      <w:numPr>
        <w:numId w:val="14"/>
      </w:numPr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E93FC7"/>
    <w:pPr>
      <w:numPr>
        <w:numId w:val="15"/>
      </w:numPr>
      <w:contextualSpacing/>
    </w:pPr>
  </w:style>
  <w:style w:type="paragraph" w:styleId="Tekstmakra">
    <w:name w:val="macro"/>
    <w:link w:val="TekstmakraZnak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93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E93FC7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unhideWhenUsed/>
    <w:rsid w:val="00E93FC7"/>
    <w:pPr>
      <w:ind w:left="720"/>
    </w:pPr>
  </w:style>
  <w:style w:type="paragraph" w:customStyle="1" w:styleId="NoteHeading1">
    <w:name w:val="Note Heading1"/>
    <w:basedOn w:val="Normalny"/>
    <w:next w:val="Normalny"/>
    <w:link w:val="NoteHeadingChar"/>
    <w:uiPriority w:val="99"/>
    <w:semiHidden/>
    <w:unhideWhenUsed/>
    <w:rsid w:val="00E93FC7"/>
  </w:style>
  <w:style w:type="character" w:customStyle="1" w:styleId="NoteHeadingChar">
    <w:name w:val="Note Heading Char"/>
    <w:basedOn w:val="Domylnaczcionkaakapitu"/>
    <w:link w:val="NoteHeading1"/>
    <w:uiPriority w:val="99"/>
    <w:semiHidden/>
    <w:rsid w:val="00E93FC7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87A64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FC7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E93FC7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93FC7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unhideWhenUsed/>
    <w:rsid w:val="00E93FC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93FC7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unhideWhenUsed/>
    <w:rsid w:val="00E93FC7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E93FC7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E93FC7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93FC7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E93FC7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E93FC7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E93FC7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93FC7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93FC7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93FC7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rsid w:val="00987A64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93FC7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93FC7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93FC7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93FC7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unhideWhenUsed/>
    <w:rsid w:val="00E93FC7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unhideWhenUsed/>
    <w:rsid w:val="00E93FC7"/>
  </w:style>
  <w:style w:type="table" w:styleId="Tabela-Profesjonalny">
    <w:name w:val="Table Professional"/>
    <w:basedOn w:val="Standardowy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93FC7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93FC7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93FC7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93FC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93FC7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87A64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987A6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87A6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87A6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87A64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87A6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9"/>
    <w:semiHidden/>
    <w:rsid w:val="00987A6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87A6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E93FC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pPr>
      <w:jc w:val="left"/>
    </w:pPr>
    <w:rPr>
      <w:sz w:val="8"/>
    </w:rPr>
  </w:style>
  <w:style w:type="paragraph" w:customStyle="1" w:styleId="DummyStyle">
    <w:name w:val="Dummy_Style"/>
    <w:basedOn w:val="Normalny"/>
    <w:semiHidden/>
    <w:qFormat/>
    <w:rsid w:val="00987A64"/>
    <w:rPr>
      <w:color w:val="00B050"/>
    </w:rPr>
  </w:style>
  <w:style w:type="paragraph" w:styleId="Stopka">
    <w:name w:val="footer"/>
    <w:basedOn w:val="Normalny"/>
    <w:link w:val="StopkaZnak"/>
    <w:uiPriority w:val="57"/>
    <w:semiHidden/>
    <w:rsid w:val="00987A64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87A64"/>
    <w:rPr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87A64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987A64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basedOn w:val="Normalny"/>
    <w:next w:val="ECHRPara"/>
    <w:uiPriority w:val="10"/>
    <w:rsid w:val="00987A64"/>
    <w:pPr>
      <w:ind w:firstLine="284"/>
    </w:pPr>
    <w:rPr>
      <w:b/>
    </w:rPr>
  </w:style>
  <w:style w:type="paragraph" w:customStyle="1" w:styleId="JuHeaderLandscape">
    <w:name w:val="Ju_Header_Landscape"/>
    <w:basedOn w:val="ECHRHeader"/>
    <w:uiPriority w:val="4"/>
    <w:qFormat/>
    <w:rsid w:val="00987A64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JuParaCar">
    <w:name w:val="Ju_Para Car"/>
    <w:link w:val="ECHRPara"/>
    <w:uiPriority w:val="12"/>
    <w:rsid w:val="00701E76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4C0847-CC58-4310-A600-12A091BE33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24D91E-754F-40D4-8AA5-D833D3011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FAFD19-B8FA-4CAD-8312-B7E6FBB15C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Decision</vt:lpstr>
    </vt:vector>
  </TitlesOfParts>
  <Manager/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DC</dc:subject>
  <dc:creator/>
  <cp:lastModifiedBy/>
  <cp:revision>1</cp:revision>
  <dcterms:created xsi:type="dcterms:W3CDTF">2023-09-19T08:39:00Z</dcterms:created>
  <dcterms:modified xsi:type="dcterms:W3CDTF">2023-09-19T08:39:00Z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1694/14</vt:lpwstr>
  </property>
  <property fmtid="{D5CDD505-2E9C-101B-9397-08002B2CF9AE}" pid="4" name="CASEID">
    <vt:lpwstr>963429</vt:lpwstr>
  </property>
  <property fmtid="{D5CDD505-2E9C-101B-9397-08002B2CF9AE}" pid="5" name="ContentTypeId">
    <vt:lpwstr>0x010100558EB02BDB9E204AB350EDD385B68E10</vt:lpwstr>
  </property>
</Properties>
</file>