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7C5C4F" w:rsidR="005E3D7B" w:rsidP="007C5C4F" w14:paraId="31F985E6" w14:textId="77777777">
      <w:pPr>
        <w:jc w:val="center"/>
      </w:pPr>
    </w:p>
    <w:p w:rsidRPr="007C5C4F" w:rsidR="005E3D7B" w:rsidP="007C5C4F" w14:paraId="4C92A2B1" w14:textId="37C94CE7">
      <w:pPr>
        <w:pStyle w:val="DecHCase"/>
      </w:pPr>
      <w:r w:rsidRPr="007C5C4F">
        <w:t>FOURTH SECTION</w:t>
      </w:r>
      <w:r w:rsidR="008D0942">
        <w:t xml:space="preserve">  </w:t>
      </w:r>
    </w:p>
    <w:p w:rsidRPr="007C5C4F" w:rsidR="005E3D7B" w:rsidP="007C5C4F" w14:paraId="30784DD9" w14:textId="77777777">
      <w:pPr>
        <w:pStyle w:val="JuTitle"/>
        <w:spacing w:before="960"/>
      </w:pPr>
      <w:bookmarkStart w:name="To" w:id="0"/>
      <w:r w:rsidRPr="007C5C4F">
        <w:rPr>
          <w:color w:val="000000" w:themeColor="text1"/>
        </w:rPr>
        <w:t xml:space="preserve">CASE OF </w:t>
      </w:r>
      <w:bookmarkEnd w:id="0"/>
      <w:r w:rsidRPr="007C5C4F">
        <w:t>V.C.L. AND A.N. v. THE UNITED KINGDOM</w:t>
      </w:r>
    </w:p>
    <w:p w:rsidRPr="007C5C4F" w:rsidR="005E3D7B" w:rsidP="007C5C4F" w14:paraId="124F46BE" w14:textId="77777777">
      <w:pPr>
        <w:pStyle w:val="ECHRCoverTitle4"/>
      </w:pPr>
      <w:r w:rsidRPr="007C5C4F">
        <w:t>(Applications nos. 77587/12 and 74603/12)</w:t>
      </w:r>
    </w:p>
    <w:p w:rsidRPr="007C5C4F" w:rsidR="005E3D7B" w:rsidP="007C5C4F" w14:paraId="06599063" w14:textId="77777777">
      <w:pPr>
        <w:pStyle w:val="JuPara"/>
        <w:jc w:val="center"/>
      </w:pPr>
    </w:p>
    <w:p w:rsidRPr="007C5C4F" w:rsidR="005E3D7B" w:rsidP="007C5C4F" w14:paraId="3504E3A2" w14:textId="77777777">
      <w:pPr>
        <w:pStyle w:val="JuPara"/>
        <w:jc w:val="center"/>
      </w:pPr>
    </w:p>
    <w:p w:rsidRPr="007C5C4F" w:rsidR="005E3D7B" w:rsidP="007C5C4F" w14:paraId="179D8423" w14:textId="77777777">
      <w:pPr>
        <w:pStyle w:val="DecHCase"/>
      </w:pPr>
      <w:r w:rsidRPr="007C5C4F">
        <w:t>JUDGMENT</w:t>
      </w:r>
      <w:r w:rsidRPr="007C5C4F">
        <w:br/>
      </w:r>
    </w:p>
    <w:p w:rsidRPr="007C5C4F" w:rsidR="005E3D7B" w:rsidP="007C5C4F" w14:paraId="10E2F4BB" w14:textId="54F03A31">
      <w:pPr>
        <w:pBdr>
          <w:top w:val="single" w:color="auto" w:sz="4" w:space="1"/>
          <w:left w:val="single" w:color="auto" w:sz="4" w:space="4"/>
          <w:bottom w:val="single" w:color="auto" w:sz="4" w:space="1"/>
          <w:right w:val="single" w:color="auto" w:sz="4" w:space="4"/>
        </w:pBdr>
        <w:jc w:val="both"/>
      </w:pPr>
      <w:r w:rsidRPr="007C5C4F">
        <w:t>Art 4 • Positive obligations • Domestic authorities</w:t>
      </w:r>
      <w:r w:rsidRPr="007C5C4F" w:rsidR="007C5C4F">
        <w:t>’</w:t>
      </w:r>
      <w:r w:rsidRPr="007C5C4F">
        <w:t xml:space="preserve"> failure to take operational measures in line with international standards to protect minors prosecuted despite credible suspicion they were trafficking victims • No</w:t>
      </w:r>
      <w:r w:rsidR="007C5C4F">
        <w:t> </w:t>
      </w:r>
      <w:r w:rsidRPr="007C5C4F">
        <w:t>initial, prompt assessment of trafficking status • Inadequate reasons provided for continuing prosecution, despite competent authority finding applicants were trafficked</w:t>
      </w:r>
    </w:p>
    <w:p w:rsidRPr="007C5C4F" w:rsidR="005E3D7B" w:rsidP="007C5C4F" w14:paraId="6DD35E62" w14:textId="567820B4">
      <w:pPr>
        <w:pStyle w:val="JuPara"/>
        <w:pBdr>
          <w:top w:val="single" w:color="auto" w:sz="4" w:space="1"/>
          <w:left w:val="single" w:color="auto" w:sz="4" w:space="4"/>
          <w:bottom w:val="single" w:color="auto" w:sz="4" w:space="1"/>
          <w:right w:val="single" w:color="auto" w:sz="4" w:space="4"/>
        </w:pBdr>
        <w:ind w:firstLine="0"/>
      </w:pPr>
      <w:r w:rsidRPr="007C5C4F">
        <w:t>Art 6 § 1 (criminal) • Failure to investigate applicants</w:t>
      </w:r>
      <w:r w:rsidRPr="007C5C4F" w:rsidR="007C5C4F">
        <w:t>’</w:t>
      </w:r>
      <w:r w:rsidRPr="007C5C4F">
        <w:t xml:space="preserve"> status as potential trafficking victims affecting overall fairness of criminal proceedings • Evidence constituting fundamental aspect of their defence not secured • No</w:t>
      </w:r>
      <w:r w:rsidR="007C5C4F">
        <w:t> </w:t>
      </w:r>
      <w:r w:rsidRPr="007C5C4F">
        <w:t>waiver through plea bargains accepted without full awareness of facts • Defect not cured by subsequent reviews by domestic authorities relying on inadequate reasons</w:t>
      </w:r>
    </w:p>
    <w:p w:rsidRPr="007C5C4F" w:rsidR="005E3D7B" w:rsidP="007C5C4F" w14:paraId="60D8B522" w14:textId="77777777">
      <w:pPr>
        <w:pStyle w:val="DecHCase"/>
        <w:spacing w:after="120"/>
      </w:pPr>
    </w:p>
    <w:p w:rsidRPr="007C5C4F" w:rsidR="005E3D7B" w:rsidP="007C5C4F" w14:paraId="74A9C9F7" w14:textId="77777777">
      <w:pPr>
        <w:pStyle w:val="DecHCase"/>
      </w:pPr>
      <w:r w:rsidRPr="007C5C4F">
        <w:t>STRASBOURG</w:t>
      </w:r>
    </w:p>
    <w:p w:rsidRPr="007C5C4F" w:rsidR="005E3D7B" w:rsidP="007C5C4F" w14:paraId="30B60929" w14:textId="77777777">
      <w:pPr>
        <w:pStyle w:val="DecHCase"/>
      </w:pPr>
      <w:r w:rsidRPr="007C5C4F">
        <w:rPr>
          <w:rFonts w:ascii="Times New Roman" w:hAnsi="Times New Roman" w:cs="Times New Roman"/>
        </w:rPr>
        <w:t>16 February 2021</w:t>
      </w:r>
    </w:p>
    <w:p w:rsidRPr="007C5C4F" w:rsidR="005E3D7B" w:rsidP="007C5C4F" w14:paraId="528A2A42" w14:textId="77777777">
      <w:pPr>
        <w:pStyle w:val="JuPara"/>
      </w:pPr>
    </w:p>
    <w:p w:rsidRPr="007C5C4F" w:rsidR="005E3D7B" w:rsidP="007C5C4F" w14:paraId="198400F1" w14:textId="77777777">
      <w:pPr>
        <w:pStyle w:val="jucase0"/>
        <w:ind w:firstLine="0"/>
        <w:jc w:val="center"/>
        <w:rPr>
          <w:color w:val="FF0000"/>
          <w:sz w:val="28"/>
          <w:szCs w:val="28"/>
          <w:u w:val="single"/>
        </w:rPr>
      </w:pPr>
      <w:r w:rsidRPr="007C5C4F">
        <w:rPr>
          <w:color w:val="FF0000"/>
          <w:sz w:val="28"/>
          <w:szCs w:val="28"/>
          <w:u w:val="single"/>
        </w:rPr>
        <w:t>FINAL</w:t>
      </w:r>
    </w:p>
    <w:p w:rsidRPr="007C5C4F" w:rsidR="005E3D7B" w:rsidP="007C5C4F" w14:paraId="7824E4A8" w14:textId="77777777">
      <w:pPr>
        <w:pStyle w:val="jucase0"/>
        <w:ind w:firstLine="0"/>
        <w:jc w:val="center"/>
        <w:rPr>
          <w:b w:val="0"/>
          <w:bCs w:val="0"/>
          <w:color w:val="FF0000"/>
          <w:u w:val="single"/>
        </w:rPr>
      </w:pPr>
    </w:p>
    <w:p w:rsidRPr="007C5C4F" w:rsidR="005E3D7B" w:rsidP="007C5C4F" w14:paraId="3A64E955" w14:textId="77777777">
      <w:pPr>
        <w:pStyle w:val="jucase0"/>
        <w:ind w:firstLine="0"/>
        <w:jc w:val="center"/>
        <w:rPr>
          <w:b w:val="0"/>
          <w:color w:val="FF0000"/>
          <w:sz w:val="28"/>
          <w:szCs w:val="28"/>
        </w:rPr>
      </w:pPr>
      <w:r w:rsidRPr="007C5C4F">
        <w:rPr>
          <w:b w:val="0"/>
          <w:color w:val="FF0000"/>
          <w:sz w:val="28"/>
          <w:szCs w:val="28"/>
        </w:rPr>
        <w:t>05/07/2021</w:t>
      </w:r>
    </w:p>
    <w:p w:rsidRPr="007C5C4F" w:rsidR="005E3D7B" w:rsidP="007C5C4F" w14:paraId="4C5835B9" w14:textId="77777777">
      <w:pPr>
        <w:pStyle w:val="jupara0"/>
        <w:ind w:firstLine="0"/>
        <w:jc w:val="center"/>
      </w:pPr>
    </w:p>
    <w:p w:rsidRPr="007C5C4F" w:rsidR="005E3D7B" w:rsidP="007C5C4F" w14:paraId="6F11DDDC" w14:textId="77777777">
      <w:pPr>
        <w:jc w:val="center"/>
      </w:pPr>
      <w:r w:rsidRPr="007C5C4F">
        <w:rPr>
          <w:i/>
          <w:iCs/>
          <w:sz w:val="22"/>
          <w:szCs w:val="22"/>
        </w:rPr>
        <w:t xml:space="preserve">This judgment has become final under Article 44 § 2 of the Convention. </w:t>
      </w:r>
      <w:r w:rsidRPr="007C5C4F">
        <w:rPr>
          <w:i/>
          <w:iCs/>
          <w:sz w:val="22"/>
          <w:szCs w:val="22"/>
        </w:rPr>
        <w:br/>
        <w:t>It may be subject to editorial revision.</w:t>
      </w:r>
    </w:p>
    <w:p w:rsidRPr="007C5C4F" w:rsidR="005E3D7B" w:rsidP="007C5C4F" w14:paraId="1B793118" w14:textId="77777777">
      <w:pPr>
        <w:sectPr w:rsidSect="00D66471">
          <w:headerReference w:type="default" r:id="rId5"/>
          <w:footerReference w:type="even" r:id="rId6"/>
          <w:footerReference w:type="default" r:id="rId7"/>
          <w:headerReference w:type="first" r:id="rId8"/>
          <w:footerReference w:type="first" r:id="rId9"/>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7C5C4F" w:rsidR="005E3D7B" w:rsidP="007C5C4F" w14:paraId="135D160D" w14:textId="77777777">
      <w:pPr>
        <w:pStyle w:val="JuCase"/>
      </w:pPr>
      <w:r w:rsidRPr="007C5C4F">
        <w:t>In the case of V.C.L. and A.N. v. the United Kingdom,</w:t>
      </w:r>
    </w:p>
    <w:p w:rsidRPr="007C5C4F" w:rsidR="005E3D7B" w:rsidP="007C5C4F" w14:paraId="7523AA44" w14:textId="77777777">
      <w:pPr>
        <w:pStyle w:val="JuPara"/>
      </w:pPr>
      <w:r w:rsidRPr="007C5C4F">
        <w:t>The European Court of Human Rights (Fourth Section), sitting as a Chamber composed of:</w:t>
      </w:r>
    </w:p>
    <w:p w:rsidRPr="007C5C4F" w:rsidR="005E3D7B" w:rsidP="007C5C4F" w14:paraId="7447DFB9" w14:textId="77777777">
      <w:pPr>
        <w:pStyle w:val="JuJudges"/>
        <w:rPr>
          <w:iCs/>
        </w:rPr>
      </w:pPr>
      <w:r w:rsidRPr="007C5C4F">
        <w:tab/>
        <w:t>Yonko Grozev,</w:t>
      </w:r>
      <w:r w:rsidRPr="007C5C4F">
        <w:rPr>
          <w:i/>
        </w:rPr>
        <w:t xml:space="preserve"> President</w:t>
      </w:r>
      <w:r w:rsidRPr="007C5C4F">
        <w:rPr>
          <w:iCs/>
        </w:rPr>
        <w:t>,</w:t>
      </w:r>
      <w:r w:rsidRPr="007C5C4F">
        <w:rPr>
          <w:i/>
        </w:rPr>
        <w:br/>
      </w:r>
      <w:r w:rsidRPr="007C5C4F">
        <w:tab/>
        <w:t>Tim Eicke,</w:t>
      </w:r>
      <w:r w:rsidRPr="007C5C4F">
        <w:rPr>
          <w:i/>
        </w:rPr>
        <w:br/>
      </w:r>
      <w:r w:rsidRPr="007C5C4F">
        <w:tab/>
        <w:t>Faris Vehabović,</w:t>
      </w:r>
      <w:r w:rsidRPr="007C5C4F">
        <w:rPr>
          <w:i/>
        </w:rPr>
        <w:br/>
      </w:r>
      <w:r w:rsidRPr="007C5C4F">
        <w:tab/>
        <w:t>Iulia Antoanella Motoc,</w:t>
      </w:r>
      <w:r w:rsidRPr="007C5C4F">
        <w:rPr>
          <w:i/>
        </w:rPr>
        <w:br/>
      </w:r>
      <w:r w:rsidRPr="007C5C4F">
        <w:tab/>
        <w:t>Armen Harutyunyan,</w:t>
      </w:r>
      <w:r w:rsidRPr="007C5C4F">
        <w:rPr>
          <w:i/>
        </w:rPr>
        <w:br/>
      </w:r>
      <w:r w:rsidRPr="007C5C4F">
        <w:tab/>
        <w:t>Pere Pastor Vilanova,</w:t>
      </w:r>
      <w:r w:rsidRPr="007C5C4F">
        <w:rPr>
          <w:i/>
        </w:rPr>
        <w:br/>
      </w:r>
      <w:r w:rsidRPr="007C5C4F">
        <w:tab/>
        <w:t>Jolien Schukking,</w:t>
      </w:r>
      <w:r w:rsidRPr="007C5C4F">
        <w:rPr>
          <w:i/>
        </w:rPr>
        <w:t xml:space="preserve"> judges</w:t>
      </w:r>
      <w:r w:rsidRPr="007C5C4F">
        <w:rPr>
          <w:iCs/>
        </w:rPr>
        <w:t>,</w:t>
      </w:r>
      <w:r w:rsidRPr="007C5C4F">
        <w:rPr>
          <w:iCs/>
        </w:rPr>
        <w:br/>
      </w:r>
      <w:r w:rsidRPr="007C5C4F">
        <w:t xml:space="preserve">and Andrea Tamietti, </w:t>
      </w:r>
      <w:r w:rsidRPr="007C5C4F">
        <w:rPr>
          <w:i/>
        </w:rPr>
        <w:t xml:space="preserve">Section </w:t>
      </w:r>
      <w:r w:rsidRPr="007C5C4F">
        <w:rPr>
          <w:i/>
          <w:iCs/>
        </w:rPr>
        <w:t>Registrar</w:t>
      </w:r>
      <w:r w:rsidRPr="007C5C4F">
        <w:rPr>
          <w:iCs/>
        </w:rPr>
        <w:t>,</w:t>
      </w:r>
    </w:p>
    <w:p w:rsidRPr="007C5C4F" w:rsidR="005E3D7B" w:rsidP="007C5C4F" w14:paraId="045EA124" w14:textId="77777777">
      <w:pPr>
        <w:pStyle w:val="JuPara"/>
      </w:pPr>
      <w:bookmarkStart w:name="ITMARKHavingStart" w:id="1"/>
      <w:bookmarkEnd w:id="1"/>
      <w:r w:rsidRPr="007C5C4F">
        <w:t>Having regard to:</w:t>
      </w:r>
    </w:p>
    <w:p w:rsidRPr="007C5C4F" w:rsidR="005E3D7B" w:rsidP="007C5C4F" w14:paraId="3D5888F7" w14:textId="77777777">
      <w:pPr>
        <w:pStyle w:val="JuPara"/>
      </w:pPr>
      <w:r w:rsidRPr="007C5C4F">
        <w:t>the applications (nos. 77587/12 and 74603/12) against the United Kingdom of Great Britain and Northern Ireland lodged with the Court under Article 34 of the Convention for the Protection of Human Rights and Fundamental Freedoms (“the Convention”) by two Vietnamese nationals, Mr V.C.L. and Mr A.N. (“the applicants”), on 20 November 2012 and 21 November 2012 respectively;</w:t>
      </w:r>
    </w:p>
    <w:p w:rsidRPr="007C5C4F" w:rsidR="005E3D7B" w:rsidP="007C5C4F" w14:paraId="088B4FFD" w14:textId="77777777">
      <w:pPr>
        <w:pStyle w:val="JuPara"/>
      </w:pPr>
      <w:r w:rsidRPr="007C5C4F">
        <w:t xml:space="preserve">the decision to give notice to the United Kingdom Government (“the Government”) of the complaints concerning Articles 4 and 6 </w:t>
      </w:r>
      <w:r w:rsidRPr="007C5C4F">
        <w:rPr>
          <w:rFonts w:cstheme="minorHAnsi"/>
        </w:rPr>
        <w:t>§</w:t>
      </w:r>
      <w:r w:rsidRPr="007C5C4F">
        <w:t xml:space="preserve"> 1 of the Convention;</w:t>
      </w:r>
    </w:p>
    <w:p w:rsidRPr="007C5C4F" w:rsidR="005E3D7B" w:rsidP="007C5C4F" w14:paraId="638851BC" w14:textId="77777777">
      <w:pPr>
        <w:pStyle w:val="JuPara"/>
      </w:pPr>
      <w:r w:rsidRPr="007C5C4F">
        <w:t>the decision to grant the applicants anonymity under Rule 47 § 4 of the Rules of Court;</w:t>
      </w:r>
    </w:p>
    <w:p w:rsidRPr="007C5C4F" w:rsidR="005E3D7B" w:rsidP="007C5C4F" w14:paraId="7FB4754E" w14:textId="77777777">
      <w:pPr>
        <w:pStyle w:val="JuPara"/>
      </w:pPr>
      <w:r w:rsidRPr="007C5C4F">
        <w:t>the observations submitted by the respondent Government and the observations in reply submitted by the applicants;</w:t>
      </w:r>
    </w:p>
    <w:p w:rsidRPr="007C5C4F" w:rsidR="005E3D7B" w:rsidP="007C5C4F" w14:paraId="490533A3" w14:textId="77777777">
      <w:pPr>
        <w:pStyle w:val="JuPara"/>
      </w:pPr>
      <w:r w:rsidRPr="007C5C4F">
        <w:t xml:space="preserve">the comments submitted by Liberty, which was granted leave to intervene in both cases by the President of the Section, and GRETA and Anti-Slavery International, who were granted leave to intervene in the case of </w:t>
      </w:r>
      <w:r w:rsidRPr="007C5C4F">
        <w:rPr>
          <w:i/>
        </w:rPr>
        <w:t>A.N. v. the United Kingdom</w:t>
      </w:r>
      <w:r w:rsidRPr="007C5C4F">
        <w:t xml:space="preserve"> (no. 74603/12) by the President of the Section;</w:t>
      </w:r>
    </w:p>
    <w:p w:rsidRPr="007C5C4F" w:rsidR="005E3D7B" w:rsidP="007C5C4F" w14:paraId="679AC942" w14:textId="77777777">
      <w:pPr>
        <w:pStyle w:val="JuPara"/>
      </w:pPr>
      <w:r w:rsidRPr="007C5C4F">
        <w:t>Having deliberated in private on 12 January 2021,</w:t>
      </w:r>
    </w:p>
    <w:p w:rsidRPr="007C5C4F" w:rsidR="005E3D7B" w:rsidP="007C5C4F" w14:paraId="3827C909" w14:textId="77777777">
      <w:pPr>
        <w:pStyle w:val="JuPara"/>
      </w:pPr>
      <w:r w:rsidRPr="007C5C4F">
        <w:t>Delivers the following judgment, which was adopted on that date:</w:t>
      </w:r>
    </w:p>
    <w:p w:rsidRPr="007C5C4F" w:rsidR="005E3D7B" w:rsidP="007C5C4F" w14:paraId="695832DD" w14:textId="77777777">
      <w:pPr>
        <w:pStyle w:val="JuHHead"/>
        <w:numPr>
          <w:ilvl w:val="0"/>
          <w:numId w:val="0"/>
        </w:numPr>
      </w:pPr>
      <w:r w:rsidRPr="007C5C4F">
        <w:t>INTRODUCTION</w:t>
      </w:r>
    </w:p>
    <w:p w:rsidRPr="007C5C4F" w:rsidR="005E3D7B" w:rsidP="007C5C4F" w14:paraId="77A424E5" w14:textId="4D04335C">
      <w:pPr>
        <w:pStyle w:val="JuPara"/>
      </w:pPr>
      <w:r w:rsidRPr="007C5C4F">
        <w:fldChar w:fldCharType="begin"/>
      </w:r>
      <w:r w:rsidRPr="007C5C4F">
        <w:instrText xml:space="preserve"> SEQ level0 \*arabic </w:instrText>
      </w:r>
      <w:r w:rsidRPr="007C5C4F">
        <w:fldChar w:fldCharType="separate"/>
      </w:r>
      <w:r w:rsidRPr="007C5C4F" w:rsidR="007C5C4F">
        <w:rPr>
          <w:noProof/>
        </w:rPr>
        <w:t>1</w:t>
      </w:r>
      <w:r w:rsidRPr="007C5C4F">
        <w:fldChar w:fldCharType="end"/>
      </w:r>
      <w:r w:rsidRPr="007C5C4F">
        <w:t>.  The present applications concern the prosecution of the (then) minor applicants, both of whom were recognised as victims of trafficking by the designated Competent Authority, for criminal offences connected to their work as gardeners in cannabis factories.</w:t>
      </w:r>
    </w:p>
    <w:p w:rsidRPr="007C5C4F" w:rsidR="005E3D7B" w:rsidP="007C5C4F" w14:paraId="6F285282" w14:textId="77777777">
      <w:pPr>
        <w:pStyle w:val="JuHHead"/>
        <w:jc w:val="left"/>
      </w:pPr>
      <w:r w:rsidRPr="007C5C4F">
        <w:t>THE FACTS</w:t>
      </w:r>
    </w:p>
    <w:p w:rsidRPr="007C5C4F" w:rsidR="005E3D7B" w:rsidP="007C5C4F" w14:paraId="78F24606" w14:textId="7FF691D6">
      <w:pPr>
        <w:pStyle w:val="JuPara"/>
      </w:pPr>
      <w:r w:rsidRPr="007C5C4F">
        <w:fldChar w:fldCharType="begin"/>
      </w:r>
      <w:r w:rsidRPr="007C5C4F">
        <w:instrText xml:space="preserve"> SEQ level0 \*arabic </w:instrText>
      </w:r>
      <w:r w:rsidRPr="007C5C4F">
        <w:fldChar w:fldCharType="separate"/>
      </w:r>
      <w:r w:rsidRPr="007C5C4F" w:rsidR="007C5C4F">
        <w:rPr>
          <w:noProof/>
        </w:rPr>
        <w:t>2</w:t>
      </w:r>
      <w:r w:rsidRPr="007C5C4F">
        <w:fldChar w:fldCharType="end"/>
      </w:r>
      <w:r w:rsidRPr="007C5C4F">
        <w:t xml:space="preserve">.  The applicants were born in 1994 and 1992 respectively and live in Middlesex and London. The applicant in application no. 77587/12 </w:t>
      </w:r>
      <w:r w:rsidRPr="007C5C4F">
        <w:t>(hereinafter “the first applicant”), who had been granted legal aid, was represented by Ms Philippa Southwell of Birds Solicitors, a law firm based in London. The applicant in application no. 74603/12 (hereinafter “the second applicant”) was represented by the AIRE Centre, a legal charity based in London, and by Professor P. Chandran, a barrister based in London at 1 Pump Court Chambers.</w:t>
      </w:r>
    </w:p>
    <w:p w:rsidRPr="007C5C4F" w:rsidR="005E3D7B" w:rsidP="007C5C4F" w14:paraId="01755DAD" w14:textId="7AB828EA">
      <w:pPr>
        <w:pStyle w:val="JuPara"/>
      </w:pPr>
      <w:r w:rsidRPr="007C5C4F">
        <w:fldChar w:fldCharType="begin"/>
      </w:r>
      <w:r w:rsidRPr="007C5C4F">
        <w:instrText xml:space="preserve"> SEQ level0 \*arabic </w:instrText>
      </w:r>
      <w:r w:rsidRPr="007C5C4F">
        <w:fldChar w:fldCharType="separate"/>
      </w:r>
      <w:r w:rsidRPr="007C5C4F" w:rsidR="007C5C4F">
        <w:rPr>
          <w:noProof/>
        </w:rPr>
        <w:t>3</w:t>
      </w:r>
      <w:r w:rsidRPr="007C5C4F">
        <w:fldChar w:fldCharType="end"/>
      </w:r>
      <w:r w:rsidRPr="007C5C4F">
        <w:t>.  The Government were represented by their Agent, Mr J. Gaughan of the Foreign and Commonwealth Office.</w:t>
      </w:r>
    </w:p>
    <w:p w:rsidRPr="007C5C4F" w:rsidR="005E3D7B" w:rsidP="007C5C4F" w14:paraId="0E977551" w14:textId="1275F42F">
      <w:pPr>
        <w:pStyle w:val="JuPara"/>
      </w:pPr>
      <w:r w:rsidRPr="007C5C4F">
        <w:fldChar w:fldCharType="begin"/>
      </w:r>
      <w:r w:rsidRPr="007C5C4F">
        <w:instrText xml:space="preserve"> SEQ level0 \*arabic </w:instrText>
      </w:r>
      <w:r w:rsidRPr="007C5C4F">
        <w:fldChar w:fldCharType="separate"/>
      </w:r>
      <w:r w:rsidRPr="007C5C4F" w:rsidR="007C5C4F">
        <w:rPr>
          <w:noProof/>
        </w:rPr>
        <w:t>4</w:t>
      </w:r>
      <w:r w:rsidRPr="007C5C4F">
        <w:fldChar w:fldCharType="end"/>
      </w:r>
      <w:r w:rsidRPr="007C5C4F">
        <w:t>.  The facts of the cases, as submitted by the parties, may be summarised as follows.</w:t>
      </w:r>
    </w:p>
    <w:p w:rsidRPr="007C5C4F" w:rsidR="005E3D7B" w:rsidP="007C5C4F" w14:paraId="637C5222" w14:textId="205501D3">
      <w:pPr>
        <w:pStyle w:val="JuHIRoman"/>
        <w:tabs>
          <w:tab w:val="clear" w:pos="454"/>
          <w:tab w:val="clear" w:pos="567"/>
          <w:tab w:val="clear" w:pos="680"/>
        </w:tabs>
        <w:ind w:left="357" w:hanging="357"/>
        <w:jc w:val="left"/>
      </w:pPr>
      <w:r w:rsidRPr="007C5C4F">
        <w:t>The first applicant</w:t>
      </w:r>
      <w:r w:rsidRPr="007C5C4F" w:rsidR="007C5C4F">
        <w:t>’</w:t>
      </w:r>
      <w:r w:rsidRPr="007C5C4F">
        <w:t>s Conviction and sentencing</w:t>
      </w:r>
    </w:p>
    <w:bookmarkStart w:name="DiscA1" w:id="2"/>
    <w:p w:rsidRPr="007C5C4F" w:rsidR="005E3D7B" w:rsidP="007C5C4F" w14:paraId="3367C00D" w14:textId="381B2C10">
      <w:pPr>
        <w:pStyle w:val="JuPara"/>
        <w:rPr>
          <w:rFonts w:eastAsiaTheme="minorEastAsia"/>
        </w:rPr>
      </w:pPr>
      <w:r w:rsidRPr="007C5C4F">
        <w:rPr>
          <w:rFonts w:eastAsiaTheme="minorEastAsia"/>
        </w:rPr>
        <w:fldChar w:fldCharType="begin"/>
      </w:r>
      <w:r w:rsidRPr="007C5C4F">
        <w:rPr>
          <w:rFonts w:eastAsiaTheme="minorEastAsia"/>
        </w:rPr>
        <w:instrText xml:space="preserve"> SEQ level0 \*arabic </w:instrText>
      </w:r>
      <w:r w:rsidRPr="007C5C4F">
        <w:rPr>
          <w:rFonts w:eastAsiaTheme="minorEastAsia"/>
        </w:rPr>
        <w:fldChar w:fldCharType="separate"/>
      </w:r>
      <w:r w:rsidRPr="007C5C4F" w:rsidR="007C5C4F">
        <w:rPr>
          <w:rFonts w:eastAsiaTheme="minorEastAsia"/>
          <w:noProof/>
        </w:rPr>
        <w:t>5</w:t>
      </w:r>
      <w:r w:rsidRPr="007C5C4F">
        <w:rPr>
          <w:rFonts w:eastAsiaTheme="minorEastAsia"/>
        </w:rPr>
        <w:fldChar w:fldCharType="end"/>
      </w:r>
      <w:bookmarkEnd w:id="2"/>
      <w:r w:rsidRPr="007C5C4F">
        <w:rPr>
          <w:rFonts w:eastAsiaTheme="minorEastAsia"/>
        </w:rPr>
        <w:t>.  On 6 May 2009 the first applicant was discovered by police at an address in Cambridge during the execution of a drug warrant. The address was a four</w:t>
      </w:r>
      <w:r w:rsidRPr="007C5C4F">
        <w:rPr>
          <w:rFonts w:eastAsiaTheme="minorEastAsia"/>
        </w:rPr>
        <w:noBreakHyphen/>
        <w:t>bedroomed house which had been converted into a sophisticated cannabis factory containing 420 cannabis plants with a street value in excess of 130,000 pounds sterling (GBP). The first applicant was found alone in the property, in possession of a mobile telephone, with credit, and GBP 100 in cash.</w:t>
      </w:r>
    </w:p>
    <w:bookmarkStart w:name="A1Age" w:id="3"/>
    <w:p w:rsidRPr="007C5C4F" w:rsidR="005E3D7B" w:rsidP="007C5C4F" w14:paraId="2E3F7EDA" w14:textId="6125BF5A">
      <w:pPr>
        <w:pStyle w:val="JuPara"/>
        <w:rPr>
          <w:rFonts w:eastAsiaTheme="minorEastAsia"/>
        </w:rPr>
      </w:pPr>
      <w:r w:rsidRPr="007C5C4F">
        <w:rPr>
          <w:rFonts w:eastAsiaTheme="minorEastAsia"/>
        </w:rPr>
        <w:fldChar w:fldCharType="begin"/>
      </w:r>
      <w:r w:rsidRPr="007C5C4F">
        <w:rPr>
          <w:rFonts w:eastAsiaTheme="minorEastAsia"/>
        </w:rPr>
        <w:instrText xml:space="preserve"> SEQ level0 \*arabic </w:instrText>
      </w:r>
      <w:r w:rsidRPr="007C5C4F">
        <w:rPr>
          <w:rFonts w:eastAsiaTheme="minorEastAsia"/>
        </w:rPr>
        <w:fldChar w:fldCharType="separate"/>
      </w:r>
      <w:r w:rsidRPr="007C5C4F" w:rsidR="007C5C4F">
        <w:rPr>
          <w:rFonts w:eastAsiaTheme="minorEastAsia"/>
          <w:noProof/>
        </w:rPr>
        <w:t>6</w:t>
      </w:r>
      <w:r w:rsidRPr="007C5C4F">
        <w:rPr>
          <w:rFonts w:eastAsiaTheme="minorEastAsia"/>
        </w:rPr>
        <w:fldChar w:fldCharType="end"/>
      </w:r>
      <w:bookmarkEnd w:id="3"/>
      <w:r w:rsidRPr="007C5C4F">
        <w:rPr>
          <w:rFonts w:eastAsiaTheme="minorEastAsia"/>
        </w:rPr>
        <w:t>.  Following his discovery, the first applicant was interviewed in the company of a legal representative and appropriate adult. He claimed that he was fifteen years old (a fact which the Government now accept to be correct), that he had been smuggled into the United Kingdom by his adoptive father, that upon arrival he had encountered two Vietnamese nationals who took him to the address in Cambridge, and that while he realised cannabis was being grown there, he had not known that it was illegal. He was charged with being concerned in the production of a controlled drug.</w:t>
      </w:r>
    </w:p>
    <w:bookmarkStart w:name="A1SSAge" w:id="4"/>
    <w:p w:rsidRPr="007C5C4F" w:rsidR="005E3D7B" w:rsidP="007C5C4F" w14:paraId="54F239A6" w14:textId="045E6EE2">
      <w:pPr>
        <w:pStyle w:val="JuPara"/>
        <w:rPr>
          <w:rFonts w:eastAsiaTheme="minorEastAsia"/>
        </w:rPr>
      </w:pPr>
      <w:r w:rsidRPr="007C5C4F">
        <w:rPr>
          <w:rFonts w:eastAsiaTheme="minorEastAsia"/>
        </w:rPr>
        <w:fldChar w:fldCharType="begin"/>
      </w:r>
      <w:r w:rsidRPr="007C5C4F">
        <w:rPr>
          <w:rFonts w:eastAsiaTheme="minorEastAsia"/>
        </w:rPr>
        <w:instrText xml:space="preserve"> SEQ level0 \*arabic </w:instrText>
      </w:r>
      <w:r w:rsidRPr="007C5C4F">
        <w:rPr>
          <w:rFonts w:eastAsiaTheme="minorEastAsia"/>
        </w:rPr>
        <w:fldChar w:fldCharType="separate"/>
      </w:r>
      <w:r w:rsidRPr="007C5C4F" w:rsidR="007C5C4F">
        <w:rPr>
          <w:rFonts w:eastAsiaTheme="minorEastAsia"/>
          <w:noProof/>
        </w:rPr>
        <w:t>7</w:t>
      </w:r>
      <w:r w:rsidRPr="007C5C4F">
        <w:rPr>
          <w:rFonts w:eastAsiaTheme="minorEastAsia"/>
        </w:rPr>
        <w:fldChar w:fldCharType="end"/>
      </w:r>
      <w:bookmarkEnd w:id="4"/>
      <w:r w:rsidRPr="007C5C4F">
        <w:rPr>
          <w:rFonts w:eastAsiaTheme="minorEastAsia"/>
        </w:rPr>
        <w:t>.  Social services assessed the first applicant</w:t>
      </w:r>
      <w:r w:rsidRPr="007C5C4F" w:rsidR="007C5C4F">
        <w:rPr>
          <w:rFonts w:eastAsiaTheme="minorEastAsia"/>
        </w:rPr>
        <w:t>’</w:t>
      </w:r>
      <w:r w:rsidRPr="007C5C4F">
        <w:rPr>
          <w:rFonts w:eastAsiaTheme="minorEastAsia"/>
        </w:rPr>
        <w:t>s age and concluded that he would turn eighteen in January 2010. A district judge in the Magistrates</w:t>
      </w:r>
      <w:r w:rsidRPr="007C5C4F" w:rsidR="007C5C4F">
        <w:rPr>
          <w:rFonts w:eastAsiaTheme="minorEastAsia"/>
        </w:rPr>
        <w:t>’</w:t>
      </w:r>
      <w:r w:rsidRPr="007C5C4F">
        <w:rPr>
          <w:rFonts w:eastAsiaTheme="minorEastAsia"/>
        </w:rPr>
        <w:t xml:space="preserve"> Court subsequently found as a matter of fact that he was at least seventeen years old.</w:t>
      </w:r>
    </w:p>
    <w:bookmarkStart w:name="A1RMJ" w:id="5"/>
    <w:p w:rsidRPr="007C5C4F" w:rsidR="005E3D7B" w:rsidP="007C5C4F" w14:paraId="6B9A87F1" w14:textId="19D1A2C1">
      <w:pPr>
        <w:pStyle w:val="JuPara"/>
        <w:rPr>
          <w:rFonts w:eastAsiaTheme="minorEastAsia"/>
        </w:rPr>
      </w:pPr>
      <w:r w:rsidRPr="007C5C4F">
        <w:rPr>
          <w:rFonts w:eastAsiaTheme="minorEastAsia"/>
        </w:rPr>
        <w:fldChar w:fldCharType="begin"/>
      </w:r>
      <w:r w:rsidRPr="007C5C4F">
        <w:rPr>
          <w:rFonts w:eastAsiaTheme="minorEastAsia"/>
        </w:rPr>
        <w:instrText xml:space="preserve"> SEQ level0 \*arabic </w:instrText>
      </w:r>
      <w:r w:rsidRPr="007C5C4F">
        <w:rPr>
          <w:rFonts w:eastAsiaTheme="minorEastAsia"/>
        </w:rPr>
        <w:fldChar w:fldCharType="separate"/>
      </w:r>
      <w:r w:rsidRPr="007C5C4F" w:rsidR="007C5C4F">
        <w:rPr>
          <w:rFonts w:eastAsiaTheme="minorEastAsia"/>
          <w:noProof/>
        </w:rPr>
        <w:t>8</w:t>
      </w:r>
      <w:r w:rsidRPr="007C5C4F">
        <w:rPr>
          <w:rFonts w:eastAsiaTheme="minorEastAsia"/>
        </w:rPr>
        <w:fldChar w:fldCharType="end"/>
      </w:r>
      <w:bookmarkEnd w:id="5"/>
      <w:r w:rsidRPr="007C5C4F">
        <w:rPr>
          <w:rFonts w:eastAsiaTheme="minorEastAsia"/>
        </w:rPr>
        <w:t>.  At a preliminary hearing before the Crown Court on 21 May 2009, the case was adjourned for a plea and case management hearing. A few days later Refugee and Migrant Justice, a legal advice and representation charity, informed the first applicant</w:t>
      </w:r>
      <w:r w:rsidRPr="007C5C4F" w:rsidR="007C5C4F">
        <w:rPr>
          <w:rFonts w:eastAsiaTheme="minorEastAsia"/>
        </w:rPr>
        <w:t>’</w:t>
      </w:r>
      <w:r w:rsidRPr="007C5C4F">
        <w:rPr>
          <w:rFonts w:eastAsiaTheme="minorEastAsia"/>
        </w:rPr>
        <w:t>s then representative of concerns that he may have been the victim of human trafficking, and that the point had been “flagged up” by social services. They further indicated that social services might raise discontinuance with the Crown Prosecution Service (the CPS) but if not the matter ought to be taken up at court.</w:t>
      </w:r>
    </w:p>
    <w:bookmarkStart w:name="A19" w:id="6"/>
    <w:p w:rsidRPr="007C5C4F" w:rsidR="005E3D7B" w:rsidP="007C5C4F" w14:paraId="225E254F" w14:textId="101C9B60">
      <w:pPr>
        <w:pStyle w:val="JuPara"/>
        <w:rPr>
          <w:rFonts w:eastAsiaTheme="minorEastAsia"/>
        </w:rPr>
      </w:pPr>
      <w:r w:rsidRPr="007C5C4F">
        <w:rPr>
          <w:rFonts w:eastAsiaTheme="minorEastAsia"/>
        </w:rPr>
        <w:fldChar w:fldCharType="begin"/>
      </w:r>
      <w:r w:rsidRPr="007C5C4F">
        <w:rPr>
          <w:rFonts w:eastAsiaTheme="minorEastAsia"/>
        </w:rPr>
        <w:instrText xml:space="preserve"> SEQ level0 \*arabic </w:instrText>
      </w:r>
      <w:r w:rsidRPr="007C5C4F">
        <w:rPr>
          <w:rFonts w:eastAsiaTheme="minorEastAsia"/>
        </w:rPr>
        <w:fldChar w:fldCharType="separate"/>
      </w:r>
      <w:r w:rsidRPr="007C5C4F" w:rsidR="007C5C4F">
        <w:rPr>
          <w:rFonts w:eastAsiaTheme="minorEastAsia"/>
          <w:noProof/>
        </w:rPr>
        <w:t>9</w:t>
      </w:r>
      <w:r w:rsidRPr="007C5C4F">
        <w:rPr>
          <w:rFonts w:eastAsiaTheme="minorEastAsia"/>
        </w:rPr>
        <w:fldChar w:fldCharType="end"/>
      </w:r>
      <w:bookmarkEnd w:id="6"/>
      <w:r w:rsidRPr="007C5C4F">
        <w:rPr>
          <w:rFonts w:eastAsiaTheme="minorEastAsia"/>
        </w:rPr>
        <w:t xml:space="preserve">.  On 13 August 2009 the first applicant had a conference with counsel. There was no record of any exploration of the trafficking issue. The first applicant initially gave “not guilty” instructions and indicated that he was </w:t>
      </w:r>
      <w:r w:rsidRPr="007C5C4F">
        <w:rPr>
          <w:rFonts w:eastAsiaTheme="minorEastAsia"/>
        </w:rPr>
        <w:t>scared, but on receiving counsel</w:t>
      </w:r>
      <w:r w:rsidRPr="007C5C4F" w:rsidR="007C5C4F">
        <w:rPr>
          <w:rFonts w:eastAsiaTheme="minorEastAsia"/>
        </w:rPr>
        <w:t>’</w:t>
      </w:r>
      <w:r w:rsidRPr="007C5C4F">
        <w:rPr>
          <w:rFonts w:eastAsiaTheme="minorEastAsia"/>
        </w:rPr>
        <w:t>s advice he confirmed that he intended to plead “guilty”.</w:t>
      </w:r>
    </w:p>
    <w:bookmarkStart w:name="A110" w:id="7"/>
    <w:p w:rsidRPr="007C5C4F" w:rsidR="005E3D7B" w:rsidP="007C5C4F" w14:paraId="10CA0BD0" w14:textId="4CAA3E16">
      <w:pPr>
        <w:pStyle w:val="JuPara"/>
        <w:rPr>
          <w:rFonts w:eastAsiaTheme="minorEastAsia"/>
        </w:rPr>
      </w:pPr>
      <w:r w:rsidRPr="007C5C4F">
        <w:rPr>
          <w:rFonts w:eastAsiaTheme="minorEastAsia"/>
        </w:rPr>
        <w:fldChar w:fldCharType="begin"/>
      </w:r>
      <w:r w:rsidRPr="007C5C4F">
        <w:rPr>
          <w:rFonts w:eastAsiaTheme="minorEastAsia"/>
        </w:rPr>
        <w:instrText xml:space="preserve"> SEQ level0 \*arabic </w:instrText>
      </w:r>
      <w:r w:rsidRPr="007C5C4F">
        <w:rPr>
          <w:rFonts w:eastAsiaTheme="minorEastAsia"/>
        </w:rPr>
        <w:fldChar w:fldCharType="separate"/>
      </w:r>
      <w:r w:rsidRPr="007C5C4F" w:rsidR="007C5C4F">
        <w:rPr>
          <w:rFonts w:eastAsiaTheme="minorEastAsia"/>
          <w:noProof/>
        </w:rPr>
        <w:t>10</w:t>
      </w:r>
      <w:r w:rsidRPr="007C5C4F">
        <w:rPr>
          <w:rFonts w:eastAsiaTheme="minorEastAsia"/>
        </w:rPr>
        <w:fldChar w:fldCharType="end"/>
      </w:r>
      <w:bookmarkEnd w:id="7"/>
      <w:r w:rsidRPr="007C5C4F">
        <w:rPr>
          <w:rFonts w:eastAsiaTheme="minorEastAsia"/>
        </w:rPr>
        <w:t>.  On 20 August 2009, following the conference with counsel, the first applicant pleaded guilty to the production of a Class B drug.</w:t>
      </w:r>
    </w:p>
    <w:bookmarkStart w:name="A111" w:id="8"/>
    <w:p w:rsidRPr="007C5C4F" w:rsidR="005E3D7B" w:rsidP="007C5C4F" w14:paraId="3233E24F" w14:textId="4E8B164B">
      <w:pPr>
        <w:pStyle w:val="JuPara"/>
        <w:rPr>
          <w:rFonts w:eastAsiaTheme="minorEastAsia"/>
        </w:rPr>
      </w:pPr>
      <w:r w:rsidRPr="007C5C4F">
        <w:rPr>
          <w:rFonts w:eastAsiaTheme="minorEastAsia"/>
        </w:rPr>
        <w:fldChar w:fldCharType="begin"/>
      </w:r>
      <w:r w:rsidRPr="007C5C4F">
        <w:rPr>
          <w:rFonts w:eastAsiaTheme="minorEastAsia"/>
        </w:rPr>
        <w:instrText xml:space="preserve"> SEQ level0 \*arabic </w:instrText>
      </w:r>
      <w:r w:rsidRPr="007C5C4F">
        <w:rPr>
          <w:rFonts w:eastAsiaTheme="minorEastAsia"/>
        </w:rPr>
        <w:fldChar w:fldCharType="separate"/>
      </w:r>
      <w:r w:rsidRPr="007C5C4F" w:rsidR="007C5C4F">
        <w:rPr>
          <w:rFonts w:eastAsiaTheme="minorEastAsia"/>
          <w:noProof/>
        </w:rPr>
        <w:t>11</w:t>
      </w:r>
      <w:r w:rsidRPr="007C5C4F">
        <w:rPr>
          <w:rFonts w:eastAsiaTheme="minorEastAsia"/>
        </w:rPr>
        <w:fldChar w:fldCharType="end"/>
      </w:r>
      <w:bookmarkEnd w:id="8"/>
      <w:r w:rsidRPr="007C5C4F">
        <w:rPr>
          <w:rFonts w:eastAsiaTheme="minorEastAsia"/>
        </w:rPr>
        <w:t>.  On 4 September 2009, at a conference at which the first applicant was not assisted by an appropriate adult, different counsel advised him that he could apply for leave to vacate his guilty plea on the ground that he had been trafficked and subjected to forced labour. However, the first applicant instructed counsel that he was not in fear of the alleged traffickers. Nevertheless, sentencing was adjourned to await receipt of a report from social services on whether he was deemed to be the victim of trafficking.</w:t>
      </w:r>
    </w:p>
    <w:bookmarkStart w:name="A112" w:id="9"/>
    <w:p w:rsidRPr="007C5C4F" w:rsidR="005E3D7B" w:rsidP="007C5C4F" w14:paraId="0B7DCFF0" w14:textId="6279069C">
      <w:pPr>
        <w:pStyle w:val="JuPara"/>
        <w:rPr>
          <w:rFonts w:eastAsiaTheme="minorEastAsia"/>
        </w:rPr>
      </w:pPr>
      <w:r w:rsidRPr="007C5C4F">
        <w:rPr>
          <w:rFonts w:eastAsiaTheme="minorEastAsia"/>
        </w:rPr>
        <w:fldChar w:fldCharType="begin"/>
      </w:r>
      <w:r w:rsidRPr="007C5C4F">
        <w:rPr>
          <w:rFonts w:eastAsiaTheme="minorEastAsia"/>
        </w:rPr>
        <w:instrText xml:space="preserve"> SEQ level0 \*arabic </w:instrText>
      </w:r>
      <w:r w:rsidRPr="007C5C4F">
        <w:rPr>
          <w:rFonts w:eastAsiaTheme="minorEastAsia"/>
        </w:rPr>
        <w:fldChar w:fldCharType="separate"/>
      </w:r>
      <w:r w:rsidRPr="007C5C4F" w:rsidR="007C5C4F">
        <w:rPr>
          <w:rFonts w:eastAsiaTheme="minorEastAsia"/>
          <w:noProof/>
        </w:rPr>
        <w:t>12</w:t>
      </w:r>
      <w:r w:rsidRPr="007C5C4F">
        <w:rPr>
          <w:rFonts w:eastAsiaTheme="minorEastAsia"/>
        </w:rPr>
        <w:fldChar w:fldCharType="end"/>
      </w:r>
      <w:bookmarkEnd w:id="9"/>
      <w:r w:rsidRPr="007C5C4F">
        <w:rPr>
          <w:rFonts w:eastAsiaTheme="minorEastAsia"/>
        </w:rPr>
        <w:t>.  On 14 October 2009 the CPS reviewed their decision to prosecute and concluded that there was no credible evidence that the first applicant had been trafficked. The following day, however, the CPS received a letter from the United Kingdom Border Agency (hereinafter “UKBA”) indicating that the circumstances of the first applicant</w:t>
      </w:r>
      <w:r w:rsidRPr="007C5C4F" w:rsidR="007C5C4F">
        <w:rPr>
          <w:rFonts w:eastAsiaTheme="minorEastAsia"/>
        </w:rPr>
        <w:t>’</w:t>
      </w:r>
      <w:r w:rsidRPr="007C5C4F">
        <w:rPr>
          <w:rFonts w:eastAsiaTheme="minorEastAsia"/>
        </w:rPr>
        <w:t>s case had been considered by one of the two Competent Authorities (see paragraph</w:t>
      </w:r>
      <w:r w:rsidRPr="007C5C4F" w:rsidR="006C36B8">
        <w:rPr>
          <w:rFonts w:eastAsiaTheme="minorEastAsia"/>
        </w:rPr>
        <w:t>s</w:t>
      </w:r>
      <w:r w:rsidRPr="007C5C4F">
        <w:rPr>
          <w:rFonts w:eastAsiaTheme="minorEastAsia"/>
        </w:rPr>
        <w:t xml:space="preserve"> </w:t>
      </w:r>
      <w:r w:rsidRPr="007C5C4F">
        <w:rPr>
          <w:rFonts w:eastAsiaTheme="minorEastAsia"/>
        </w:rPr>
        <w:fldChar w:fldCharType="begin"/>
      </w:r>
      <w:r w:rsidRPr="007C5C4F">
        <w:rPr>
          <w:rFonts w:eastAsiaTheme="minorEastAsia"/>
        </w:rPr>
        <w:instrText xml:space="preserve"> REF NRMCA \h </w:instrText>
      </w:r>
      <w:r w:rsidRPr="007C5C4F">
        <w:rPr>
          <w:rFonts w:eastAsiaTheme="minorEastAsia"/>
        </w:rPr>
        <w:fldChar w:fldCharType="separate"/>
      </w:r>
      <w:r w:rsidRPr="007C5C4F" w:rsidR="007C5C4F">
        <w:rPr>
          <w:rFonts w:eastAsiaTheme="minorEastAsia"/>
          <w:noProof/>
        </w:rPr>
        <w:t>75</w:t>
      </w:r>
      <w:r w:rsidRPr="007C5C4F">
        <w:rPr>
          <w:rFonts w:eastAsiaTheme="minorEastAsia"/>
        </w:rPr>
        <w:fldChar w:fldCharType="end"/>
      </w:r>
      <w:r w:rsidRPr="007C5C4F">
        <w:rPr>
          <w:rFonts w:eastAsiaTheme="minorEastAsia"/>
        </w:rPr>
        <w:t>-</w:t>
      </w:r>
      <w:r w:rsidRPr="007C5C4F">
        <w:rPr>
          <w:rFonts w:eastAsiaTheme="minorEastAsia"/>
        </w:rPr>
        <w:fldChar w:fldCharType="begin"/>
      </w:r>
      <w:r w:rsidRPr="007C5C4F">
        <w:rPr>
          <w:rFonts w:eastAsiaTheme="minorEastAsia"/>
        </w:rPr>
        <w:instrText xml:space="preserve"> REF NRMCA2 \h </w:instrText>
      </w:r>
      <w:r w:rsidRPr="007C5C4F">
        <w:rPr>
          <w:rFonts w:eastAsiaTheme="minorEastAsia"/>
        </w:rPr>
        <w:fldChar w:fldCharType="separate"/>
      </w:r>
      <w:r w:rsidRPr="007C5C4F" w:rsidR="007C5C4F">
        <w:rPr>
          <w:rFonts w:eastAsiaTheme="minorEastAsia"/>
          <w:noProof/>
        </w:rPr>
        <w:t>76</w:t>
      </w:r>
      <w:r w:rsidRPr="007C5C4F">
        <w:rPr>
          <w:rFonts w:eastAsiaTheme="minorEastAsia"/>
        </w:rPr>
        <w:fldChar w:fldCharType="end"/>
      </w:r>
      <w:r w:rsidRPr="007C5C4F">
        <w:rPr>
          <w:rFonts w:eastAsiaTheme="minorEastAsia"/>
        </w:rPr>
        <w:t xml:space="preserve"> below) which concluded that there were reasonable grounds for believing that he had been trafficked. He was therefore granted a forty-five-day “reflection period” and his case was adjourned on the basis that this was in his best interests.</w:t>
      </w:r>
    </w:p>
    <w:bookmarkStart w:name="A113" w:id="10"/>
    <w:p w:rsidRPr="007C5C4F" w:rsidR="005E3D7B" w:rsidP="007C5C4F" w14:paraId="749ED87E" w14:textId="66623EA3">
      <w:pPr>
        <w:pStyle w:val="JuPara"/>
        <w:rPr>
          <w:rFonts w:eastAsiaTheme="minorEastAsia"/>
        </w:rPr>
      </w:pPr>
      <w:r w:rsidRPr="007C5C4F">
        <w:rPr>
          <w:rFonts w:eastAsiaTheme="minorEastAsia"/>
        </w:rPr>
        <w:fldChar w:fldCharType="begin"/>
      </w:r>
      <w:r w:rsidRPr="007C5C4F">
        <w:rPr>
          <w:rFonts w:eastAsiaTheme="minorEastAsia"/>
        </w:rPr>
        <w:instrText xml:space="preserve"> SEQ level0 \*arabic </w:instrText>
      </w:r>
      <w:r w:rsidRPr="007C5C4F">
        <w:rPr>
          <w:rFonts w:eastAsiaTheme="minorEastAsia"/>
        </w:rPr>
        <w:fldChar w:fldCharType="separate"/>
      </w:r>
      <w:r w:rsidRPr="007C5C4F" w:rsidR="007C5C4F">
        <w:rPr>
          <w:rFonts w:eastAsiaTheme="minorEastAsia"/>
          <w:noProof/>
        </w:rPr>
        <w:t>13</w:t>
      </w:r>
      <w:r w:rsidRPr="007C5C4F">
        <w:rPr>
          <w:rFonts w:eastAsiaTheme="minorEastAsia"/>
        </w:rPr>
        <w:fldChar w:fldCharType="end"/>
      </w:r>
      <w:bookmarkEnd w:id="10"/>
      <w:r w:rsidRPr="007C5C4F">
        <w:rPr>
          <w:rFonts w:eastAsiaTheme="minorEastAsia"/>
        </w:rPr>
        <w:t>.  On 27 November 2009 UKBA sent a letter to the first applicant</w:t>
      </w:r>
      <w:r w:rsidRPr="007C5C4F" w:rsidR="007C5C4F">
        <w:rPr>
          <w:rFonts w:eastAsiaTheme="minorEastAsia"/>
        </w:rPr>
        <w:t>’</w:t>
      </w:r>
      <w:r w:rsidRPr="007C5C4F">
        <w:rPr>
          <w:rFonts w:eastAsiaTheme="minorEastAsia"/>
        </w:rPr>
        <w:t>s representative. It noted that the trafficking-related criminal investigation was still on-going but found that the first applicant</w:t>
      </w:r>
      <w:r w:rsidRPr="007C5C4F" w:rsidR="007C5C4F">
        <w:rPr>
          <w:rFonts w:eastAsiaTheme="minorEastAsia"/>
        </w:rPr>
        <w:t>’</w:t>
      </w:r>
      <w:r w:rsidRPr="007C5C4F">
        <w:rPr>
          <w:rFonts w:eastAsiaTheme="minorEastAsia"/>
        </w:rPr>
        <w:t>s circumstances raised the following trafficking indicators: he had been found at a cannabis factory highlighting criminality involving adults; he was not enrolled in school; and he was not allowed to leave the property. It further stated that in the light of his “credible account” – which had remained consistent in the various meetings he had had with social services – it was considered that he had been trafficked to the United Kingdom.</w:t>
      </w:r>
    </w:p>
    <w:bookmarkStart w:name="A114" w:id="11"/>
    <w:p w:rsidRPr="007C5C4F" w:rsidR="005E3D7B" w:rsidP="007C5C4F" w14:paraId="0CE43D5B" w14:textId="263CAEDD">
      <w:pPr>
        <w:pStyle w:val="JuPara"/>
        <w:rPr>
          <w:rFonts w:eastAsiaTheme="minorEastAsia"/>
        </w:rPr>
      </w:pPr>
      <w:r w:rsidRPr="007C5C4F">
        <w:rPr>
          <w:rFonts w:eastAsiaTheme="minorEastAsia"/>
        </w:rPr>
        <w:fldChar w:fldCharType="begin"/>
      </w:r>
      <w:r w:rsidRPr="007C5C4F">
        <w:rPr>
          <w:rFonts w:eastAsiaTheme="minorEastAsia"/>
        </w:rPr>
        <w:instrText xml:space="preserve"> SEQ level0 \*arabic </w:instrText>
      </w:r>
      <w:r w:rsidRPr="007C5C4F">
        <w:rPr>
          <w:rFonts w:eastAsiaTheme="minorEastAsia"/>
        </w:rPr>
        <w:fldChar w:fldCharType="separate"/>
      </w:r>
      <w:r w:rsidRPr="007C5C4F" w:rsidR="007C5C4F">
        <w:rPr>
          <w:rFonts w:eastAsiaTheme="minorEastAsia"/>
          <w:noProof/>
        </w:rPr>
        <w:t>14</w:t>
      </w:r>
      <w:r w:rsidRPr="007C5C4F">
        <w:rPr>
          <w:rFonts w:eastAsiaTheme="minorEastAsia"/>
        </w:rPr>
        <w:fldChar w:fldCharType="end"/>
      </w:r>
      <w:bookmarkEnd w:id="11"/>
      <w:r w:rsidRPr="007C5C4F">
        <w:rPr>
          <w:rFonts w:eastAsiaTheme="minorEastAsia"/>
        </w:rPr>
        <w:t>.  On 8 December 2009 the case was reviewed by the CPS lawyer but the Chief Crown Prosecutor subsequently confirmed that it should be prosecuted. Although no official reasons were given for this decision, in a letter to a Member of Parliament of 10 December the then Director of Public Prosecutions explained that the prosecution had not been discontinued because the offences were extremely serious, there was no defence of duress and no clear evidence of trafficking.</w:t>
      </w:r>
    </w:p>
    <w:bookmarkStart w:name="A115" w:id="12"/>
    <w:p w:rsidRPr="007C5C4F" w:rsidR="005E3D7B" w:rsidP="007C5C4F" w14:paraId="2B128EF9" w14:textId="2BD82DD7">
      <w:pPr>
        <w:pStyle w:val="JuPara"/>
        <w:rPr>
          <w:rFonts w:eastAsiaTheme="minorEastAsia"/>
        </w:rPr>
      </w:pPr>
      <w:r w:rsidRPr="007C5C4F">
        <w:rPr>
          <w:rFonts w:eastAsiaTheme="minorEastAsia"/>
        </w:rPr>
        <w:fldChar w:fldCharType="begin"/>
      </w:r>
      <w:r w:rsidRPr="007C5C4F">
        <w:rPr>
          <w:rFonts w:eastAsiaTheme="minorEastAsia"/>
        </w:rPr>
        <w:instrText xml:space="preserve"> SEQ level0 \*arabic </w:instrText>
      </w:r>
      <w:r w:rsidRPr="007C5C4F">
        <w:rPr>
          <w:rFonts w:eastAsiaTheme="minorEastAsia"/>
        </w:rPr>
        <w:fldChar w:fldCharType="separate"/>
      </w:r>
      <w:r w:rsidRPr="007C5C4F" w:rsidR="007C5C4F">
        <w:rPr>
          <w:rFonts w:eastAsiaTheme="minorEastAsia"/>
          <w:noProof/>
        </w:rPr>
        <w:t>15</w:t>
      </w:r>
      <w:r w:rsidRPr="007C5C4F">
        <w:rPr>
          <w:rFonts w:eastAsiaTheme="minorEastAsia"/>
        </w:rPr>
        <w:fldChar w:fldCharType="end"/>
      </w:r>
      <w:bookmarkEnd w:id="12"/>
      <w:r w:rsidRPr="007C5C4F">
        <w:rPr>
          <w:rFonts w:eastAsiaTheme="minorEastAsia"/>
        </w:rPr>
        <w:t>.  At a hearing on 14 December 2009 the CPS argued that to be a victim of trafficking was not a defence; rather, the decision to prosecute was taken in the light of information in their possession and had to be kept under review. To apply to vacate would be pointless as duress was not a viable defence. The judge, however, indicated that an application to vacate was well-founded and set a timetable for listing in early 2010 if the application was to be made. In the cells afterwards the first applicant indicated that he wished to change his plea.</w:t>
      </w:r>
    </w:p>
    <w:bookmarkStart w:name="A116" w:id="13"/>
    <w:p w:rsidRPr="007C5C4F" w:rsidR="005E3D7B" w:rsidP="007C5C4F" w14:paraId="0203A1CE" w14:textId="30ACD9FD">
      <w:pPr>
        <w:pStyle w:val="JuPara"/>
        <w:rPr>
          <w:rFonts w:eastAsiaTheme="minorEastAsia"/>
        </w:rPr>
      </w:pPr>
      <w:r w:rsidRPr="007C5C4F">
        <w:rPr>
          <w:rFonts w:eastAsiaTheme="minorEastAsia"/>
        </w:rPr>
        <w:fldChar w:fldCharType="begin"/>
      </w:r>
      <w:r w:rsidRPr="007C5C4F">
        <w:rPr>
          <w:rFonts w:eastAsiaTheme="minorEastAsia"/>
        </w:rPr>
        <w:instrText xml:space="preserve"> SEQ level0 \*arabic </w:instrText>
      </w:r>
      <w:r w:rsidRPr="007C5C4F">
        <w:rPr>
          <w:rFonts w:eastAsiaTheme="minorEastAsia"/>
        </w:rPr>
        <w:fldChar w:fldCharType="separate"/>
      </w:r>
      <w:r w:rsidRPr="007C5C4F" w:rsidR="007C5C4F">
        <w:rPr>
          <w:rFonts w:eastAsiaTheme="minorEastAsia"/>
          <w:noProof/>
        </w:rPr>
        <w:t>16</w:t>
      </w:r>
      <w:r w:rsidRPr="007C5C4F">
        <w:rPr>
          <w:rFonts w:eastAsiaTheme="minorEastAsia"/>
        </w:rPr>
        <w:fldChar w:fldCharType="end"/>
      </w:r>
      <w:bookmarkEnd w:id="13"/>
      <w:r w:rsidRPr="007C5C4F">
        <w:rPr>
          <w:rFonts w:eastAsiaTheme="minorEastAsia"/>
        </w:rPr>
        <w:t>.  On 16 December 2009 defence counsel indicated to the first applicant</w:t>
      </w:r>
      <w:r w:rsidRPr="007C5C4F" w:rsidR="007C5C4F">
        <w:rPr>
          <w:rFonts w:eastAsiaTheme="minorEastAsia"/>
        </w:rPr>
        <w:t>’</w:t>
      </w:r>
      <w:r w:rsidRPr="007C5C4F">
        <w:rPr>
          <w:rFonts w:eastAsiaTheme="minorEastAsia"/>
        </w:rPr>
        <w:t>s solicitors that social services were “outrageous” in advocating a change of plea. He reiterated his view that the fact that the first applicant was not frightened and was looking after the plants in return for help in finding his family made the issue irrelevant.</w:t>
      </w:r>
    </w:p>
    <w:bookmarkStart w:name="A117" w:id="14"/>
    <w:p w:rsidRPr="007C5C4F" w:rsidR="005E3D7B" w:rsidP="007C5C4F" w14:paraId="606309EA" w14:textId="19925D9F">
      <w:pPr>
        <w:pStyle w:val="JuPara"/>
        <w:rPr>
          <w:rFonts w:eastAsiaTheme="minorEastAsia"/>
        </w:rPr>
      </w:pPr>
      <w:r w:rsidRPr="007C5C4F">
        <w:rPr>
          <w:rFonts w:eastAsiaTheme="minorEastAsia"/>
        </w:rPr>
        <w:fldChar w:fldCharType="begin"/>
      </w:r>
      <w:r w:rsidRPr="007C5C4F">
        <w:rPr>
          <w:rFonts w:eastAsiaTheme="minorEastAsia"/>
        </w:rPr>
        <w:instrText xml:space="preserve"> SEQ level0 \*arabic </w:instrText>
      </w:r>
      <w:r w:rsidRPr="007C5C4F">
        <w:rPr>
          <w:rFonts w:eastAsiaTheme="minorEastAsia"/>
        </w:rPr>
        <w:fldChar w:fldCharType="separate"/>
      </w:r>
      <w:r w:rsidRPr="007C5C4F" w:rsidR="007C5C4F">
        <w:rPr>
          <w:rFonts w:eastAsiaTheme="minorEastAsia"/>
          <w:noProof/>
        </w:rPr>
        <w:t>17</w:t>
      </w:r>
      <w:r w:rsidRPr="007C5C4F">
        <w:rPr>
          <w:rFonts w:eastAsiaTheme="minorEastAsia"/>
        </w:rPr>
        <w:fldChar w:fldCharType="end"/>
      </w:r>
      <w:bookmarkEnd w:id="14"/>
      <w:r w:rsidRPr="007C5C4F">
        <w:rPr>
          <w:rFonts w:eastAsiaTheme="minorEastAsia"/>
        </w:rPr>
        <w:t>.  At a hearing on 19 January 2010 the first applicant maintained his plea. It appears that this decision followed a meeting with his solicitors in which he was advised that the finding that he had been trafficked had not been definitively confirmed; that in any case the CPS were not required – and did not intend – to withdraw the prosecution; and that although the decision to prosecute could be challenged in the High Court, it was a lengthy process which had little prospect of success. In the Crown</w:t>
      </w:r>
      <w:r w:rsidRPr="007C5C4F" w:rsidR="007C5C4F">
        <w:rPr>
          <w:rFonts w:eastAsiaTheme="minorEastAsia"/>
        </w:rPr>
        <w:t>’</w:t>
      </w:r>
      <w:r w:rsidRPr="007C5C4F">
        <w:rPr>
          <w:rFonts w:eastAsiaTheme="minorEastAsia"/>
        </w:rPr>
        <w:t>s submission, the evidence suggested that the first applicant was not a trafficked person. Counsel for the Crown went through the facts in detail, noting in particular that he had been found in an ordinary house with a mobile phone, credit and money; in the trafficking assessment he had indicated that his family in Vietnam were not under threat; there were no debts owed to anyone in Vietnam; and he had not been abused prior to his arrest. They therefore found “no reason whatever” to revise their initial assessment that the first applicant should be prosecuted in the public interest. The first applicant was sentenced to twenty months detention in a young offenders</w:t>
      </w:r>
      <w:r w:rsidRPr="007C5C4F" w:rsidR="007C5C4F">
        <w:rPr>
          <w:rFonts w:eastAsiaTheme="minorEastAsia"/>
        </w:rPr>
        <w:t>’</w:t>
      </w:r>
      <w:r w:rsidRPr="007C5C4F">
        <w:rPr>
          <w:rFonts w:eastAsiaTheme="minorEastAsia"/>
        </w:rPr>
        <w:t xml:space="preserve"> institution.</w:t>
      </w:r>
    </w:p>
    <w:p w:rsidRPr="007C5C4F" w:rsidR="005E3D7B" w:rsidP="007C5C4F" w14:paraId="52804B0C" w14:textId="681E8FA9">
      <w:pPr>
        <w:pStyle w:val="JuHIRoman"/>
        <w:tabs>
          <w:tab w:val="clear" w:pos="454"/>
          <w:tab w:val="clear" w:pos="567"/>
          <w:tab w:val="clear" w:pos="680"/>
        </w:tabs>
        <w:ind w:left="357" w:hanging="357"/>
        <w:jc w:val="left"/>
      </w:pPr>
      <w:r w:rsidRPr="007C5C4F">
        <w:t>The second applicant</w:t>
      </w:r>
      <w:r w:rsidRPr="007C5C4F" w:rsidR="007C5C4F">
        <w:t>’</w:t>
      </w:r>
      <w:r w:rsidRPr="007C5C4F">
        <w:t>s conviction and sentencing</w:t>
      </w:r>
    </w:p>
    <w:bookmarkStart w:name="DiscA2" w:id="15"/>
    <w:p w:rsidRPr="007C5C4F" w:rsidR="005E3D7B" w:rsidP="007C5C4F" w14:paraId="1ECBF190" w14:textId="6549F647">
      <w:pPr>
        <w:pStyle w:val="JuPara"/>
      </w:pPr>
      <w:r w:rsidRPr="007C5C4F">
        <w:fldChar w:fldCharType="begin"/>
      </w:r>
      <w:r w:rsidRPr="007C5C4F">
        <w:instrText xml:space="preserve"> SEQ level0 \*arabic </w:instrText>
      </w:r>
      <w:r w:rsidRPr="007C5C4F">
        <w:fldChar w:fldCharType="separate"/>
      </w:r>
      <w:r w:rsidRPr="007C5C4F" w:rsidR="007C5C4F">
        <w:rPr>
          <w:noProof/>
        </w:rPr>
        <w:t>18</w:t>
      </w:r>
      <w:r w:rsidRPr="007C5C4F">
        <w:fldChar w:fldCharType="end"/>
      </w:r>
      <w:bookmarkEnd w:id="15"/>
      <w:r w:rsidRPr="007C5C4F">
        <w:t>.  On 21 April 2009 police officers attended a residential premises in London following reports of a suspected burglary. They had been informed that a large body of men had been seen in the gardens to the rear of the premises, forcing their way in. When they got there, they discovered a very sophisticated cannabis factory. The second applicant, together with a number of other Vietnamese nationals, was found close to the premises, hiding from the marauders. They were all arrested.</w:t>
      </w:r>
    </w:p>
    <w:bookmarkStart w:name="A2Age1" w:id="16"/>
    <w:p w:rsidRPr="007C5C4F" w:rsidR="005E3D7B" w:rsidP="007C5C4F" w14:paraId="10FEF1DD" w14:textId="2DA3AE2C">
      <w:pPr>
        <w:pStyle w:val="JuPara"/>
      </w:pPr>
      <w:r w:rsidRPr="007C5C4F">
        <w:fldChar w:fldCharType="begin"/>
      </w:r>
      <w:r w:rsidRPr="007C5C4F">
        <w:instrText xml:space="preserve"> SEQ level0 \*arabic </w:instrText>
      </w:r>
      <w:r w:rsidRPr="007C5C4F">
        <w:fldChar w:fldCharType="separate"/>
      </w:r>
      <w:r w:rsidRPr="007C5C4F" w:rsidR="007C5C4F">
        <w:rPr>
          <w:noProof/>
        </w:rPr>
        <w:t>19</w:t>
      </w:r>
      <w:r w:rsidRPr="007C5C4F">
        <w:fldChar w:fldCharType="end"/>
      </w:r>
      <w:bookmarkEnd w:id="16"/>
      <w:r w:rsidRPr="007C5C4F">
        <w:t>.  Upon his arrest, GBP 70 was found on the second applicant. With the assistance of an interpreter, he was interviewed at a police station. As he initially gave his year of birth as 1972, he was treated as an adult (it was later accepted that his actual year of birth was 1992).</w:t>
      </w:r>
    </w:p>
    <w:bookmarkStart w:name="A220" w:id="17"/>
    <w:p w:rsidRPr="007C5C4F" w:rsidR="005E3D7B" w:rsidP="007C5C4F" w14:paraId="1F9168E1" w14:textId="0D6E71EA">
      <w:pPr>
        <w:pStyle w:val="JuPara"/>
      </w:pPr>
      <w:r w:rsidRPr="007C5C4F">
        <w:fldChar w:fldCharType="begin"/>
      </w:r>
      <w:r w:rsidRPr="007C5C4F">
        <w:instrText xml:space="preserve"> SEQ level0 \*arabic </w:instrText>
      </w:r>
      <w:r w:rsidRPr="007C5C4F">
        <w:fldChar w:fldCharType="separate"/>
      </w:r>
      <w:r w:rsidRPr="007C5C4F" w:rsidR="007C5C4F">
        <w:rPr>
          <w:noProof/>
        </w:rPr>
        <w:t>20</w:t>
      </w:r>
      <w:r w:rsidRPr="007C5C4F">
        <w:fldChar w:fldCharType="end"/>
      </w:r>
      <w:bookmarkEnd w:id="17"/>
      <w:r w:rsidRPr="007C5C4F">
        <w:t xml:space="preserve">.  During the police interview he indicated that upon leaving Vietnam he had travelled to the United Kingdom via the Czech Republic. Soon after his arrival, he had met some Vietnamese people, including a man (“H”) who had given him accommodation, clothes and food for a week. While he was staying at the house he was told that it was “best for him not to go out”; however, when asked if he was held there against his will, he said no. After a week, he was taken to the cannabis factory in a vehicle which was “covered up”. According to the second applicant, the windows of the </w:t>
      </w:r>
      <w:r w:rsidRPr="007C5C4F">
        <w:t>factory were bricked up, the only door was locked from the outside and he believed that the factory was guarded. His work included watering the plants and cooking. He slept, ate and worked in the factory, and he was not paid for his work.</w:t>
      </w:r>
    </w:p>
    <w:bookmarkStart w:name="A221" w:id="18"/>
    <w:p w:rsidRPr="007C5C4F" w:rsidR="005E3D7B" w:rsidP="007C5C4F" w14:paraId="28713F0E" w14:textId="00767BFC">
      <w:pPr>
        <w:pStyle w:val="JuPara"/>
      </w:pPr>
      <w:r w:rsidRPr="007C5C4F">
        <w:fldChar w:fldCharType="begin"/>
      </w:r>
      <w:r w:rsidRPr="007C5C4F">
        <w:instrText xml:space="preserve"> SEQ level0 \*arabic </w:instrText>
      </w:r>
      <w:r w:rsidRPr="007C5C4F">
        <w:fldChar w:fldCharType="separate"/>
      </w:r>
      <w:r w:rsidRPr="007C5C4F" w:rsidR="007C5C4F">
        <w:rPr>
          <w:noProof/>
        </w:rPr>
        <w:t>21</w:t>
      </w:r>
      <w:r w:rsidRPr="007C5C4F">
        <w:fldChar w:fldCharType="end"/>
      </w:r>
      <w:bookmarkEnd w:id="18"/>
      <w:r w:rsidRPr="007C5C4F">
        <w:t>.  The second applicant claimed that in the beginning he did not know that the plants in the factory were illegal. However, he became suspicious and wished to leave as he was frightened. In or around this time H allowed him to leave the factory with some others for a few days, but when he told H, in the course of a telephone call, that he did not wish to return, H told him that he might be killed if he stopped working. He and the others were then picked up and returned to the factory.</w:t>
      </w:r>
    </w:p>
    <w:bookmarkStart w:name="A222" w:id="19"/>
    <w:p w:rsidRPr="007C5C4F" w:rsidR="005E3D7B" w:rsidP="007C5C4F" w14:paraId="1B8CC239" w14:textId="72A842EC">
      <w:pPr>
        <w:pStyle w:val="JuPara"/>
      </w:pPr>
      <w:r w:rsidRPr="007C5C4F">
        <w:fldChar w:fldCharType="begin"/>
      </w:r>
      <w:r w:rsidRPr="007C5C4F">
        <w:instrText xml:space="preserve"> SEQ level0 \*arabic </w:instrText>
      </w:r>
      <w:r w:rsidRPr="007C5C4F">
        <w:fldChar w:fldCharType="separate"/>
      </w:r>
      <w:r w:rsidRPr="007C5C4F" w:rsidR="007C5C4F">
        <w:rPr>
          <w:noProof/>
        </w:rPr>
        <w:t>22</w:t>
      </w:r>
      <w:r w:rsidRPr="007C5C4F">
        <w:fldChar w:fldCharType="end"/>
      </w:r>
      <w:bookmarkEnd w:id="19"/>
      <w:r w:rsidRPr="007C5C4F">
        <w:t>.  Following the interview the applicant was charged with being concerned in the production of a controlled drug of Class B, namely cannabis.</w:t>
      </w:r>
    </w:p>
    <w:bookmarkStart w:name="A2Age2" w:id="20"/>
    <w:p w:rsidRPr="007C5C4F" w:rsidR="005E3D7B" w:rsidP="007C5C4F" w14:paraId="0203B8C9" w14:textId="2413A562">
      <w:pPr>
        <w:pStyle w:val="JuPara"/>
      </w:pPr>
      <w:r w:rsidRPr="007C5C4F">
        <w:fldChar w:fldCharType="begin"/>
      </w:r>
      <w:r w:rsidRPr="007C5C4F">
        <w:instrText xml:space="preserve"> SEQ level0 \*arabic </w:instrText>
      </w:r>
      <w:r w:rsidRPr="007C5C4F">
        <w:fldChar w:fldCharType="separate"/>
      </w:r>
      <w:r w:rsidRPr="007C5C4F" w:rsidR="007C5C4F">
        <w:rPr>
          <w:noProof/>
        </w:rPr>
        <w:t>23</w:t>
      </w:r>
      <w:r w:rsidRPr="007C5C4F">
        <w:fldChar w:fldCharType="end"/>
      </w:r>
      <w:bookmarkEnd w:id="20"/>
      <w:r w:rsidRPr="007C5C4F">
        <w:t>.  At a hearing before the Magistrates</w:t>
      </w:r>
      <w:r w:rsidRPr="007C5C4F" w:rsidR="007C5C4F">
        <w:t>’</w:t>
      </w:r>
      <w:r w:rsidRPr="007C5C4F">
        <w:t xml:space="preserve"> Court on 30 April 2009 the second applicant gave his year of birth as 1992. The case was thereafter approached on the basis that he was seventeen years old.</w:t>
      </w:r>
    </w:p>
    <w:bookmarkStart w:name="A224" w:id="21"/>
    <w:bookmarkStart w:name="para41" w:id="22"/>
    <w:p w:rsidRPr="007C5C4F" w:rsidR="005E3D7B" w:rsidP="007C5C4F" w14:paraId="63D4B3B6" w14:textId="78AF9C7B">
      <w:pPr>
        <w:pStyle w:val="JuPara"/>
      </w:pPr>
      <w:r w:rsidRPr="007C5C4F">
        <w:fldChar w:fldCharType="begin"/>
      </w:r>
      <w:r w:rsidRPr="007C5C4F">
        <w:instrText xml:space="preserve"> SEQ level0 \*arabic </w:instrText>
      </w:r>
      <w:r w:rsidRPr="007C5C4F">
        <w:fldChar w:fldCharType="separate"/>
      </w:r>
      <w:r w:rsidRPr="007C5C4F" w:rsidR="007C5C4F">
        <w:rPr>
          <w:noProof/>
        </w:rPr>
        <w:t>24</w:t>
      </w:r>
      <w:r w:rsidRPr="007C5C4F">
        <w:fldChar w:fldCharType="end"/>
      </w:r>
      <w:bookmarkEnd w:id="21"/>
      <w:r w:rsidRPr="007C5C4F">
        <w:t>.  The prosecution conducted a file review on 1 June 2009. They appear to have considered that the second applicant had been smuggled into the United Kingdom, since his parents had funded his journey to what was hoped would be a life with better prospects.</w:t>
      </w:r>
      <w:bookmarkEnd w:id="22"/>
    </w:p>
    <w:bookmarkStart w:name="A225" w:id="23"/>
    <w:p w:rsidRPr="007C5C4F" w:rsidR="005E3D7B" w:rsidP="007C5C4F" w14:paraId="71FF2BE7" w14:textId="60FFD1A3">
      <w:pPr>
        <w:pStyle w:val="JuPara"/>
      </w:pPr>
      <w:r w:rsidRPr="007C5C4F">
        <w:fldChar w:fldCharType="begin"/>
      </w:r>
      <w:r w:rsidRPr="007C5C4F">
        <w:instrText xml:space="preserve"> SEQ level0 \*arabic </w:instrText>
      </w:r>
      <w:r w:rsidRPr="007C5C4F">
        <w:fldChar w:fldCharType="separate"/>
      </w:r>
      <w:r w:rsidRPr="007C5C4F" w:rsidR="007C5C4F">
        <w:rPr>
          <w:noProof/>
        </w:rPr>
        <w:t>25</w:t>
      </w:r>
      <w:r w:rsidRPr="007C5C4F">
        <w:fldChar w:fldCharType="end"/>
      </w:r>
      <w:bookmarkEnd w:id="23"/>
      <w:r w:rsidRPr="007C5C4F">
        <w:t>.  The second applicant was granted legal aid. There is a note in the instructions to his counsel indicating that he had been “trafficked into the UK”, although the source of that entry was not traced and the applicant later accepted that he had not used that term.</w:t>
      </w:r>
    </w:p>
    <w:bookmarkStart w:name="A226" w:id="24"/>
    <w:p w:rsidRPr="007C5C4F" w:rsidR="005E3D7B" w:rsidP="007C5C4F" w14:paraId="65442524" w14:textId="2532AA67">
      <w:pPr>
        <w:pStyle w:val="JuPara"/>
      </w:pPr>
      <w:r w:rsidRPr="007C5C4F">
        <w:fldChar w:fldCharType="begin"/>
      </w:r>
      <w:r w:rsidRPr="007C5C4F">
        <w:instrText xml:space="preserve"> SEQ level0 \*arabic </w:instrText>
      </w:r>
      <w:r w:rsidRPr="007C5C4F">
        <w:fldChar w:fldCharType="separate"/>
      </w:r>
      <w:r w:rsidRPr="007C5C4F" w:rsidR="007C5C4F">
        <w:rPr>
          <w:noProof/>
        </w:rPr>
        <w:t>26</w:t>
      </w:r>
      <w:r w:rsidRPr="007C5C4F">
        <w:fldChar w:fldCharType="end"/>
      </w:r>
      <w:bookmarkEnd w:id="24"/>
      <w:r w:rsidRPr="007C5C4F">
        <w:t>.  Counsel saw the second applicant in conference on 1 July 2009, taking instructions directly from him with the assistance of an interpreter. He told counsel that he had fled his home in Vietnam and had travelled to the United Kingdom illegally via</w:t>
      </w:r>
      <w:r w:rsidRPr="007C5C4F">
        <w:rPr>
          <w:iCs/>
        </w:rPr>
        <w:t xml:space="preserve"> </w:t>
      </w:r>
      <w:r w:rsidRPr="007C5C4F">
        <w:t>the Czech Republic. Upon arrival he had contacted a cousin in London. While looking for work, some Vietnamese people had introduced him to H, who had provided him with accommodation, food and money. He had then been taken to work in the factory, which he initially thought was producing herbal medicine. He was mainly locked in the factory and was unable to go out. After approximately ten days he had discovered that the plants were cannabis and had asked to leave. He had been threatened that if he left he could or would be killed. Although on one occasion he had gone with some co-workers to the home of one of their relatives, H had contacted them there and as a result of further threats they had returned to the factory.</w:t>
      </w:r>
    </w:p>
    <w:bookmarkStart w:name="A227" w:id="25"/>
    <w:p w:rsidRPr="007C5C4F" w:rsidR="005E3D7B" w:rsidP="007C5C4F" w14:paraId="0251C966" w14:textId="77732C96">
      <w:pPr>
        <w:pStyle w:val="JuPara"/>
      </w:pPr>
      <w:r w:rsidRPr="007C5C4F">
        <w:fldChar w:fldCharType="begin"/>
      </w:r>
      <w:r w:rsidRPr="007C5C4F">
        <w:instrText xml:space="preserve"> SEQ level0 \*arabic </w:instrText>
      </w:r>
      <w:r w:rsidRPr="007C5C4F">
        <w:fldChar w:fldCharType="separate"/>
      </w:r>
      <w:r w:rsidRPr="007C5C4F" w:rsidR="007C5C4F">
        <w:rPr>
          <w:noProof/>
        </w:rPr>
        <w:t>27</w:t>
      </w:r>
      <w:r w:rsidRPr="007C5C4F">
        <w:fldChar w:fldCharType="end"/>
      </w:r>
      <w:bookmarkEnd w:id="25"/>
      <w:r w:rsidRPr="007C5C4F">
        <w:t>.  As the second applicant accepted that he could have run away from the house of his co-worker</w:t>
      </w:r>
      <w:r w:rsidRPr="007C5C4F" w:rsidR="007C5C4F">
        <w:t>’</w:t>
      </w:r>
      <w:r w:rsidRPr="007C5C4F">
        <w:t>s relative, counsel did not believe that a plea of duress would be likely to succeed. The second applicant pleaded guilty in July 2009.</w:t>
      </w:r>
    </w:p>
    <w:bookmarkStart w:name="A228" w:id="26"/>
    <w:p w:rsidRPr="007C5C4F" w:rsidR="005E3D7B" w:rsidP="007C5C4F" w14:paraId="16A7F013" w14:textId="19499F34">
      <w:pPr>
        <w:pStyle w:val="JuPara"/>
      </w:pPr>
      <w:r w:rsidRPr="007C5C4F">
        <w:fldChar w:fldCharType="begin"/>
      </w:r>
      <w:r w:rsidRPr="007C5C4F">
        <w:instrText xml:space="preserve"> SEQ level0 \*arabic </w:instrText>
      </w:r>
      <w:r w:rsidRPr="007C5C4F">
        <w:fldChar w:fldCharType="separate"/>
      </w:r>
      <w:r w:rsidRPr="007C5C4F" w:rsidR="007C5C4F">
        <w:rPr>
          <w:noProof/>
        </w:rPr>
        <w:t>28</w:t>
      </w:r>
      <w:r w:rsidRPr="007C5C4F">
        <w:fldChar w:fldCharType="end"/>
      </w:r>
      <w:bookmarkEnd w:id="26"/>
      <w:r w:rsidRPr="007C5C4F">
        <w:t>.  Following his “guilty” plea, a pre-sentence report was prepared by a member of the Youth Offending Team. The report indicated that the second applicant regretted his decision to accept the offer to work in the factory. He accepted that his motivation had been “financial gain”, which was neither acceptable nor justifiable. He accepted responsibility for his decision to act and displayed a level of remorse.</w:t>
      </w:r>
    </w:p>
    <w:bookmarkStart w:name="A229" w:id="27"/>
    <w:p w:rsidRPr="007C5C4F" w:rsidR="005E3D7B" w:rsidP="007C5C4F" w14:paraId="43B1CE37" w14:textId="372BBB6F">
      <w:pPr>
        <w:pStyle w:val="JuPara"/>
      </w:pPr>
      <w:r w:rsidRPr="007C5C4F">
        <w:fldChar w:fldCharType="begin"/>
      </w:r>
      <w:r w:rsidRPr="007C5C4F">
        <w:instrText xml:space="preserve"> SEQ level0 \*arabic </w:instrText>
      </w:r>
      <w:r w:rsidRPr="007C5C4F">
        <w:fldChar w:fldCharType="separate"/>
      </w:r>
      <w:r w:rsidRPr="007C5C4F" w:rsidR="007C5C4F">
        <w:rPr>
          <w:noProof/>
        </w:rPr>
        <w:t>29</w:t>
      </w:r>
      <w:r w:rsidRPr="007C5C4F">
        <w:fldChar w:fldCharType="end"/>
      </w:r>
      <w:bookmarkEnd w:id="27"/>
      <w:r w:rsidRPr="007C5C4F">
        <w:t>.  On 25 September 2009 the second applicant was sentenced to an eighteen-month detention and training order. He was given credit for his guilty plea, and account was taken of his young age, the fact that he left Vietnam to make a better life for himself and his “excellent progress” in custody.</w:t>
      </w:r>
    </w:p>
    <w:p w:rsidRPr="007C5C4F" w:rsidR="005E3D7B" w:rsidP="007C5C4F" w14:paraId="1740DF23" w14:textId="5D083F54">
      <w:pPr>
        <w:pStyle w:val="JuHIRoman"/>
        <w:tabs>
          <w:tab w:val="clear" w:pos="454"/>
          <w:tab w:val="clear" w:pos="567"/>
          <w:tab w:val="clear" w:pos="680"/>
        </w:tabs>
        <w:ind w:left="357" w:hanging="357"/>
      </w:pPr>
      <w:r w:rsidRPr="007C5C4F">
        <w:t>Subsequent findings regarding the second applicant</w:t>
      </w:r>
      <w:r w:rsidRPr="007C5C4F" w:rsidR="007C5C4F">
        <w:t>’</w:t>
      </w:r>
      <w:r w:rsidRPr="007C5C4F">
        <w:t>s status as a victim of trafficking</w:t>
      </w:r>
    </w:p>
    <w:bookmarkStart w:name="A230" w:id="28"/>
    <w:p w:rsidRPr="007C5C4F" w:rsidR="005E3D7B" w:rsidP="007C5C4F" w14:paraId="2EBCFC4F" w14:textId="5DF47038">
      <w:pPr>
        <w:pStyle w:val="JuPara"/>
      </w:pPr>
      <w:r w:rsidRPr="007C5C4F">
        <w:fldChar w:fldCharType="begin"/>
      </w:r>
      <w:r w:rsidRPr="007C5C4F">
        <w:instrText xml:space="preserve"> SEQ level0 \*arabic </w:instrText>
      </w:r>
      <w:r w:rsidRPr="007C5C4F">
        <w:fldChar w:fldCharType="separate"/>
      </w:r>
      <w:r w:rsidRPr="007C5C4F" w:rsidR="007C5C4F">
        <w:rPr>
          <w:noProof/>
        </w:rPr>
        <w:t>30</w:t>
      </w:r>
      <w:r w:rsidRPr="007C5C4F">
        <w:fldChar w:fldCharType="end"/>
      </w:r>
      <w:bookmarkEnd w:id="28"/>
      <w:r w:rsidRPr="007C5C4F">
        <w:t>.  In April 2010 the second applicant</w:t>
      </w:r>
      <w:r w:rsidRPr="007C5C4F" w:rsidR="007C5C4F">
        <w:t>’</w:t>
      </w:r>
      <w:r w:rsidRPr="007C5C4F">
        <w:t>s new solicitor referred his case to the National Society for the Prevention of Cruelty to Children National Child Trafficking Advice and Information Line (hereinafter “NSPCC NCTAIL”).</w:t>
      </w:r>
    </w:p>
    <w:bookmarkStart w:name="A231" w:id="29"/>
    <w:p w:rsidRPr="007C5C4F" w:rsidR="005E3D7B" w:rsidP="007C5C4F" w14:paraId="23283E30" w14:textId="4AD136EC">
      <w:pPr>
        <w:pStyle w:val="JuPara"/>
      </w:pPr>
      <w:r w:rsidRPr="007C5C4F">
        <w:fldChar w:fldCharType="begin"/>
      </w:r>
      <w:r w:rsidRPr="007C5C4F">
        <w:instrText xml:space="preserve"> SEQ level0 \*arabic </w:instrText>
      </w:r>
      <w:r w:rsidRPr="007C5C4F">
        <w:fldChar w:fldCharType="separate"/>
      </w:r>
      <w:r w:rsidRPr="007C5C4F" w:rsidR="007C5C4F">
        <w:rPr>
          <w:noProof/>
        </w:rPr>
        <w:t>31</w:t>
      </w:r>
      <w:r w:rsidRPr="007C5C4F">
        <w:fldChar w:fldCharType="end"/>
      </w:r>
      <w:bookmarkEnd w:id="29"/>
      <w:r w:rsidRPr="007C5C4F">
        <w:t>.  In an interview with a social worker from NSPCC NCTAIL, the second applicant indicated that his family had paid for him to travel to the Czech Republic after he was assaulted by police and almost arrested during an anti-government protest in Hanoi. He flew alone to the Czech Republic, where he was met by a man who took his passport from him. He stayed in the man</w:t>
      </w:r>
      <w:r w:rsidRPr="007C5C4F" w:rsidR="007C5C4F">
        <w:t>’</w:t>
      </w:r>
      <w:r w:rsidRPr="007C5C4F">
        <w:t>s house for around two weeks, during which time he had to stay in his room unless he was washing or cleaning. Together with two women, he was then transported to London by lorry. Upon arrival a man picked the three passengers up and drove them to the women</w:t>
      </w:r>
      <w:r w:rsidRPr="007C5C4F" w:rsidR="007C5C4F">
        <w:t>’</w:t>
      </w:r>
      <w:r w:rsidRPr="007C5C4F">
        <w:t>s house. From there he called his mother to obtain the contact details of his cousin in London. He then contacted his cousin and the women he travelled with took him to meet her at a market. They told him to return to the meeting point the next day and they would arrange work for him. The second applicant stayed with his cousin for one night but as he did not know her well – and did not know her husband at all – he did not want to intrude any further. He therefore went back to the meeting point, where he met H.</w:t>
      </w:r>
    </w:p>
    <w:bookmarkStart w:name="A232" w:id="30"/>
    <w:p w:rsidRPr="007C5C4F" w:rsidR="005E3D7B" w:rsidP="007C5C4F" w14:paraId="59E688F5" w14:textId="189709C2">
      <w:pPr>
        <w:pStyle w:val="JuPara"/>
      </w:pPr>
      <w:r w:rsidRPr="007C5C4F">
        <w:fldChar w:fldCharType="begin"/>
      </w:r>
      <w:r w:rsidRPr="007C5C4F">
        <w:instrText xml:space="preserve"> SEQ level0 \*arabic </w:instrText>
      </w:r>
      <w:r w:rsidRPr="007C5C4F">
        <w:fldChar w:fldCharType="separate"/>
      </w:r>
      <w:r w:rsidRPr="007C5C4F" w:rsidR="007C5C4F">
        <w:rPr>
          <w:noProof/>
        </w:rPr>
        <w:t>32</w:t>
      </w:r>
      <w:r w:rsidRPr="007C5C4F">
        <w:fldChar w:fldCharType="end"/>
      </w:r>
      <w:bookmarkEnd w:id="30"/>
      <w:r w:rsidRPr="007C5C4F">
        <w:t xml:space="preserve">.  Based on the interview, the social worker concluded that there were reasonable grounds for considering the second applicant to be a victim of child trafficking from Vietnam to the United Kingdom. In particular, she noted that: there appeared to be clear links between the people who arranged his travel out of Vietnam, those who held him in the Czech Republic and moved him to the United Kingdom, and those who exploited him for work in the cannabis factory; he was either not allowed out of or was locked in the premises where he was harboured or exploited by agents; he was not informed of the criminal nature of the work in the cannabis factory; he was </w:t>
      </w:r>
      <w:r w:rsidRPr="007C5C4F">
        <w:t>locked into the cannabis factory and told he would be killed if he left; and he was forced to live in unhealthy conditions at the factory, without payment.</w:t>
      </w:r>
    </w:p>
    <w:bookmarkStart w:name="A233" w:id="31"/>
    <w:p w:rsidRPr="007C5C4F" w:rsidR="005E3D7B" w:rsidP="007C5C4F" w14:paraId="7C2110D1" w14:textId="074875BE">
      <w:pPr>
        <w:pStyle w:val="JuPara"/>
      </w:pPr>
      <w:r w:rsidRPr="007C5C4F">
        <w:fldChar w:fldCharType="begin"/>
      </w:r>
      <w:r w:rsidRPr="007C5C4F">
        <w:instrText xml:space="preserve"> SEQ level0 \*arabic </w:instrText>
      </w:r>
      <w:r w:rsidRPr="007C5C4F">
        <w:fldChar w:fldCharType="separate"/>
      </w:r>
      <w:r w:rsidRPr="007C5C4F" w:rsidR="007C5C4F">
        <w:rPr>
          <w:noProof/>
        </w:rPr>
        <w:t>33</w:t>
      </w:r>
      <w:r w:rsidRPr="007C5C4F">
        <w:fldChar w:fldCharType="end"/>
      </w:r>
      <w:bookmarkEnd w:id="31"/>
      <w:r w:rsidRPr="007C5C4F">
        <w:t>.  The second applicant</w:t>
      </w:r>
      <w:r w:rsidRPr="007C5C4F" w:rsidR="007C5C4F">
        <w:t>’</w:t>
      </w:r>
      <w:r w:rsidRPr="007C5C4F">
        <w:t xml:space="preserve">s case was subsequently considered by </w:t>
      </w:r>
      <w:r w:rsidRPr="007C5C4F">
        <w:rPr>
          <w:rFonts w:eastAsiaTheme="minorEastAsia"/>
        </w:rPr>
        <w:t xml:space="preserve">one of the two Competent Authorities (see paragraphs </w:t>
      </w:r>
      <w:r w:rsidRPr="007C5C4F">
        <w:rPr>
          <w:rFonts w:eastAsiaTheme="minorEastAsia"/>
        </w:rPr>
        <w:fldChar w:fldCharType="begin"/>
      </w:r>
      <w:r w:rsidRPr="007C5C4F">
        <w:rPr>
          <w:rFonts w:eastAsiaTheme="minorEastAsia"/>
        </w:rPr>
        <w:instrText xml:space="preserve"> REF NRMCA \h </w:instrText>
      </w:r>
      <w:r w:rsidRPr="007C5C4F">
        <w:rPr>
          <w:rFonts w:eastAsiaTheme="minorEastAsia"/>
        </w:rPr>
        <w:fldChar w:fldCharType="separate"/>
      </w:r>
      <w:r w:rsidRPr="007C5C4F" w:rsidR="007C5C4F">
        <w:rPr>
          <w:rFonts w:eastAsiaTheme="minorEastAsia"/>
          <w:noProof/>
        </w:rPr>
        <w:t>75</w:t>
      </w:r>
      <w:r w:rsidRPr="007C5C4F">
        <w:rPr>
          <w:rFonts w:eastAsiaTheme="minorEastAsia"/>
        </w:rPr>
        <w:fldChar w:fldCharType="end"/>
      </w:r>
      <w:r w:rsidRPr="007C5C4F">
        <w:rPr>
          <w:rFonts w:eastAsiaTheme="minorEastAsia"/>
        </w:rPr>
        <w:t>-</w:t>
      </w:r>
      <w:r w:rsidRPr="007C5C4F">
        <w:rPr>
          <w:rFonts w:eastAsiaTheme="minorEastAsia"/>
        </w:rPr>
        <w:fldChar w:fldCharType="begin"/>
      </w:r>
      <w:r w:rsidRPr="007C5C4F">
        <w:rPr>
          <w:rFonts w:eastAsiaTheme="minorEastAsia"/>
        </w:rPr>
        <w:instrText xml:space="preserve"> REF NRMCA2 \h </w:instrText>
      </w:r>
      <w:r w:rsidRPr="007C5C4F">
        <w:rPr>
          <w:rFonts w:eastAsiaTheme="minorEastAsia"/>
        </w:rPr>
        <w:fldChar w:fldCharType="separate"/>
      </w:r>
      <w:r w:rsidRPr="007C5C4F" w:rsidR="007C5C4F">
        <w:rPr>
          <w:rFonts w:eastAsiaTheme="minorEastAsia"/>
          <w:noProof/>
        </w:rPr>
        <w:t>76</w:t>
      </w:r>
      <w:r w:rsidRPr="007C5C4F">
        <w:rPr>
          <w:rFonts w:eastAsiaTheme="minorEastAsia"/>
        </w:rPr>
        <w:fldChar w:fldCharType="end"/>
      </w:r>
      <w:r w:rsidRPr="007C5C4F">
        <w:rPr>
          <w:rFonts w:eastAsiaTheme="minorEastAsia"/>
        </w:rPr>
        <w:t xml:space="preserve"> below)</w:t>
      </w:r>
      <w:r w:rsidRPr="007C5C4F">
        <w:t>. On 16 November 2010 UKBA notified him that the Competent Authority had concluded that he had been trafficked. While it considered that certain aspects of his claim to have been trafficked undermined his credibility – the fact that he was allowed to leave the agents</w:t>
      </w:r>
      <w:r w:rsidRPr="007C5C4F" w:rsidR="007C5C4F">
        <w:t>’</w:t>
      </w:r>
      <w:r w:rsidRPr="007C5C4F">
        <w:t xml:space="preserve"> supervision and stay with his cousin for one night, the fact that he had not been consistent regarding the existence of telephones in the cannabis factory, and the fact that he was allowed out of the cannabis factory – it was accepted that on the balance of probabilities there were grounds to believe that he had been trafficked into the United Kingdom. In its view, the account of the second applicant</w:t>
      </w:r>
      <w:r w:rsidRPr="007C5C4F" w:rsidR="007C5C4F">
        <w:t>’</w:t>
      </w:r>
      <w:r w:rsidRPr="007C5C4F">
        <w:t>s recruitment and movement from Vietnam to the United Kingdom satisfied the definition of trafficking under the Anti-Trafficking Convention for the purposes of labour exploitation. It also considered there to be a link between those who arranged his travel out of Vietnam, those who held him in the Czech Republic and brought him to the United Kingdom, and those who put him to work in the cannabis factory, and that he was in a position of dependency and vulnerability, which could go some way to explaining why he was allowed out of the factory and why he returned. As for the work he was doing, he was found in a place of exploitation, which was guarded and locked from the outside and the living and working conditions were consistent with those found in exploitative situations.</w:t>
      </w:r>
    </w:p>
    <w:bookmarkStart w:name="A234" w:id="32"/>
    <w:p w:rsidRPr="007C5C4F" w:rsidR="005E3D7B" w:rsidP="007C5C4F" w14:paraId="1B8F1EC2" w14:textId="4807086D">
      <w:pPr>
        <w:pStyle w:val="JuPara"/>
      </w:pPr>
      <w:r w:rsidRPr="007C5C4F">
        <w:fldChar w:fldCharType="begin"/>
      </w:r>
      <w:r w:rsidRPr="007C5C4F">
        <w:instrText xml:space="preserve"> SEQ level0 \*arabic </w:instrText>
      </w:r>
      <w:r w:rsidRPr="007C5C4F">
        <w:fldChar w:fldCharType="separate"/>
      </w:r>
      <w:r w:rsidRPr="007C5C4F" w:rsidR="007C5C4F">
        <w:rPr>
          <w:noProof/>
        </w:rPr>
        <w:t>34</w:t>
      </w:r>
      <w:r w:rsidRPr="007C5C4F">
        <w:fldChar w:fldCharType="end"/>
      </w:r>
      <w:bookmarkEnd w:id="32"/>
      <w:r w:rsidRPr="007C5C4F">
        <w:t>.  However, as he had turned eighteen and was not receiving any counselling, it was not accepted that he was a person “in need”. As such, he was no longer considered to be a victim of human trafficking and was not eligible for a residence permit.</w:t>
      </w:r>
    </w:p>
    <w:bookmarkStart w:name="A235" w:id="33"/>
    <w:p w:rsidRPr="007C5C4F" w:rsidR="005E3D7B" w:rsidP="007C5C4F" w14:paraId="5C9BC3A1" w14:textId="2DF8714B">
      <w:pPr>
        <w:pStyle w:val="JuPara"/>
      </w:pPr>
      <w:r w:rsidRPr="007C5C4F">
        <w:fldChar w:fldCharType="begin"/>
      </w:r>
      <w:r w:rsidRPr="007C5C4F">
        <w:instrText xml:space="preserve"> SEQ level0 \*arabic </w:instrText>
      </w:r>
      <w:r w:rsidRPr="007C5C4F">
        <w:fldChar w:fldCharType="separate"/>
      </w:r>
      <w:r w:rsidRPr="007C5C4F" w:rsidR="007C5C4F">
        <w:rPr>
          <w:noProof/>
        </w:rPr>
        <w:t>35</w:t>
      </w:r>
      <w:r w:rsidRPr="007C5C4F">
        <w:fldChar w:fldCharType="end"/>
      </w:r>
      <w:bookmarkEnd w:id="33"/>
      <w:r w:rsidRPr="007C5C4F">
        <w:t>.  The second applicant</w:t>
      </w:r>
      <w:r w:rsidRPr="007C5C4F" w:rsidR="007C5C4F">
        <w:t>’</w:t>
      </w:r>
      <w:r w:rsidRPr="007C5C4F">
        <w:t>s solicitor also instructed a psychologist, who prepared a report in March 2011. The report was based on the account that the applicant provided to the NSPCC NCTAIL interviewer. The psychologist concluded that he was suffering psychological distress as a result of multiple traumatic experiences as a minor, including an assault by the police in Vietnam and being trafficked to the United Kingdom. His symptoms met the criteria for a diagnosis of post-traumatic stress disorder (PTSD) and a major depressive disorder. In the psychologist</w:t>
      </w:r>
      <w:r w:rsidRPr="007C5C4F" w:rsidR="007C5C4F">
        <w:t>’</w:t>
      </w:r>
      <w:r w:rsidRPr="007C5C4F">
        <w:t xml:space="preserve">s opinion, his symptoms were consistent with his account of his history. Furthermore, the psychologist considered that the account given by the second applicant to the NSPCC interviewer was “broadly consistent” with the account given to the police, and the minor inconsistencies could be explained by his PTSD. In view of his history with the police in Vietnam, he would have been scared, angry and confused following his arrest. In contrast, the NSPCC </w:t>
      </w:r>
      <w:r w:rsidRPr="007C5C4F">
        <w:t>NCTAIL interview was carried out in a less distressing context, by a professional experienced in dealing with child victims of human trafficking.</w:t>
      </w:r>
    </w:p>
    <w:bookmarkStart w:name="A236" w:id="34"/>
    <w:p w:rsidRPr="007C5C4F" w:rsidR="005E3D7B" w:rsidP="007C5C4F" w14:paraId="5EACD872" w14:textId="54430FCF">
      <w:pPr>
        <w:pStyle w:val="JuPara"/>
      </w:pPr>
      <w:r w:rsidRPr="007C5C4F">
        <w:fldChar w:fldCharType="begin"/>
      </w:r>
      <w:r w:rsidRPr="007C5C4F">
        <w:instrText xml:space="preserve"> SEQ level0 \*arabic </w:instrText>
      </w:r>
      <w:r w:rsidRPr="007C5C4F">
        <w:fldChar w:fldCharType="separate"/>
      </w:r>
      <w:r w:rsidRPr="007C5C4F" w:rsidR="007C5C4F">
        <w:rPr>
          <w:noProof/>
        </w:rPr>
        <w:t>36</w:t>
      </w:r>
      <w:r w:rsidRPr="007C5C4F">
        <w:fldChar w:fldCharType="end"/>
      </w:r>
      <w:bookmarkEnd w:id="34"/>
      <w:r w:rsidRPr="007C5C4F">
        <w:t>.  On 28 June 2011 a Special Casework Lawyer from the CPS reviewed the second applicant</w:t>
      </w:r>
      <w:r w:rsidRPr="007C5C4F" w:rsidR="007C5C4F">
        <w:t>’</w:t>
      </w:r>
      <w:r w:rsidRPr="007C5C4F">
        <w:t>s case in the light of updated guidance from the CPS and the conclusions of NSPCC NCTAIL and UKBA. Having particular regard to the fact that the second applicant was a child of mature years, the inconsistencies in the accounts he had given, the fact that he had a mobile phone and could have summoned help, the fact that he was allowed to see his cousin and was not held on the factory against his will, the absence of physical injury to him or any of the other “gardeners”, the fact that he had a sum of money on him when he was recovered, and the possibility that he could have escaped from the cannabis factory, she remained firmly of the view that he was not a victim of trafficking and the public interest would require a prosecution. In reaching this conclusion she considered that the second applicant</w:t>
      </w:r>
      <w:r w:rsidRPr="007C5C4F" w:rsidR="007C5C4F">
        <w:t>’</w:t>
      </w:r>
      <w:r w:rsidRPr="007C5C4F">
        <w:t xml:space="preserve">s initial accounts (see paragraphs </w:t>
      </w:r>
      <w:r w:rsidRPr="007C5C4F">
        <w:fldChar w:fldCharType="begin"/>
      </w:r>
      <w:r w:rsidRPr="007C5C4F">
        <w:instrText xml:space="preserve"> REF A220 \h </w:instrText>
      </w:r>
      <w:r w:rsidRPr="007C5C4F">
        <w:fldChar w:fldCharType="separate"/>
      </w:r>
      <w:r w:rsidRPr="007C5C4F" w:rsidR="007C5C4F">
        <w:rPr>
          <w:noProof/>
        </w:rPr>
        <w:t>20</w:t>
      </w:r>
      <w:r w:rsidRPr="007C5C4F">
        <w:fldChar w:fldCharType="end"/>
      </w:r>
      <w:r w:rsidRPr="007C5C4F">
        <w:t xml:space="preserve"> and </w:t>
      </w:r>
      <w:r w:rsidRPr="007C5C4F">
        <w:fldChar w:fldCharType="begin"/>
      </w:r>
      <w:r w:rsidRPr="007C5C4F">
        <w:instrText xml:space="preserve"> REF A221 \h </w:instrText>
      </w:r>
      <w:r w:rsidRPr="007C5C4F">
        <w:fldChar w:fldCharType="separate"/>
      </w:r>
      <w:r w:rsidRPr="007C5C4F" w:rsidR="007C5C4F">
        <w:rPr>
          <w:noProof/>
        </w:rPr>
        <w:t>21</w:t>
      </w:r>
      <w:r w:rsidRPr="007C5C4F">
        <w:fldChar w:fldCharType="end"/>
      </w:r>
      <w:r w:rsidRPr="007C5C4F">
        <w:t xml:space="preserve"> above) were probably nearest to the truth.</w:t>
      </w:r>
    </w:p>
    <w:bookmarkStart w:name="A237" w:id="35"/>
    <w:p w:rsidRPr="007C5C4F" w:rsidR="005E3D7B" w:rsidP="007C5C4F" w14:paraId="27F868E7" w14:textId="1804C75A">
      <w:pPr>
        <w:pStyle w:val="JuPara"/>
      </w:pPr>
      <w:r w:rsidRPr="007C5C4F">
        <w:fldChar w:fldCharType="begin"/>
      </w:r>
      <w:r w:rsidRPr="007C5C4F">
        <w:instrText xml:space="preserve"> SEQ level0 \*arabic </w:instrText>
      </w:r>
      <w:r w:rsidRPr="007C5C4F">
        <w:fldChar w:fldCharType="separate"/>
      </w:r>
      <w:r w:rsidRPr="007C5C4F" w:rsidR="007C5C4F">
        <w:rPr>
          <w:noProof/>
        </w:rPr>
        <w:t>37</w:t>
      </w:r>
      <w:r w:rsidRPr="007C5C4F">
        <w:fldChar w:fldCharType="end"/>
      </w:r>
      <w:bookmarkEnd w:id="35"/>
      <w:r w:rsidRPr="007C5C4F">
        <w:t xml:space="preserve">.  On 7 November 2011 NSPCC NCTAIL produced a supplemental report. In it, the social worker who prepared the previous report had regard to further documentation primarily related to the criminal proceedings and considered whether it was necessary to change the opinion set out in the earlier report (see paragraphs </w:t>
      </w:r>
      <w:r w:rsidRPr="007C5C4F">
        <w:fldChar w:fldCharType="begin"/>
      </w:r>
      <w:r w:rsidRPr="007C5C4F">
        <w:instrText xml:space="preserve"> REF A231 \h </w:instrText>
      </w:r>
      <w:r w:rsidRPr="007C5C4F">
        <w:fldChar w:fldCharType="separate"/>
      </w:r>
      <w:r w:rsidRPr="007C5C4F" w:rsidR="007C5C4F">
        <w:rPr>
          <w:noProof/>
        </w:rPr>
        <w:t>31</w:t>
      </w:r>
      <w:r w:rsidRPr="007C5C4F">
        <w:fldChar w:fldCharType="end"/>
      </w:r>
      <w:r w:rsidRPr="007C5C4F">
        <w:t>-</w:t>
      </w:r>
      <w:r w:rsidRPr="007C5C4F">
        <w:fldChar w:fldCharType="begin"/>
      </w:r>
      <w:r w:rsidRPr="007C5C4F">
        <w:instrText xml:space="preserve"> REF A232 \h </w:instrText>
      </w:r>
      <w:r w:rsidRPr="007C5C4F">
        <w:fldChar w:fldCharType="separate"/>
      </w:r>
      <w:r w:rsidRPr="007C5C4F" w:rsidR="007C5C4F">
        <w:rPr>
          <w:noProof/>
        </w:rPr>
        <w:t>32</w:t>
      </w:r>
      <w:r w:rsidRPr="007C5C4F">
        <w:fldChar w:fldCharType="end"/>
      </w:r>
      <w:r w:rsidRPr="007C5C4F">
        <w:t xml:space="preserve"> above). She concluded that there was no new material in these documents which would cause her to change her professional opinion. In fact, she considered that the material in some of the documents combined with her increased experience in the area of child trafficking strengthened her conclusion that the second applicant was a victim of trafficking at the time of his arrest. In this regard, she pointed out that accounts given by potential child victims of trafficking to different professionals, in different contexts, were rarely entirely consistent with each other.</w:t>
      </w:r>
    </w:p>
    <w:p w:rsidRPr="007C5C4F" w:rsidR="005E3D7B" w:rsidP="007C5C4F" w14:paraId="7FDD3770" w14:textId="58AF9CDB">
      <w:pPr>
        <w:pStyle w:val="JuHIRoman"/>
        <w:tabs>
          <w:tab w:val="clear" w:pos="454"/>
          <w:tab w:val="clear" w:pos="567"/>
          <w:tab w:val="clear" w:pos="680"/>
        </w:tabs>
        <w:ind w:left="357" w:hanging="357"/>
      </w:pPr>
      <w:r w:rsidRPr="007C5C4F">
        <w:t>The applicants</w:t>
      </w:r>
      <w:r w:rsidRPr="007C5C4F" w:rsidR="007C5C4F">
        <w:t>’</w:t>
      </w:r>
      <w:r w:rsidRPr="007C5C4F">
        <w:t xml:space="preserve"> appeal against conviction and sentence</w:t>
      </w:r>
    </w:p>
    <w:bookmarkStart w:name="PTAA11" w:id="36"/>
    <w:p w:rsidRPr="007C5C4F" w:rsidR="005E3D7B" w:rsidP="007C5C4F" w14:paraId="64A4B580" w14:textId="49D256FB">
      <w:pPr>
        <w:pStyle w:val="JuPara"/>
        <w:rPr>
          <w:rFonts w:eastAsiaTheme="minorEastAsia"/>
        </w:rPr>
      </w:pPr>
      <w:r w:rsidRPr="007C5C4F">
        <w:fldChar w:fldCharType="begin"/>
      </w:r>
      <w:r w:rsidRPr="007C5C4F">
        <w:instrText xml:space="preserve"> SEQ level0 \*arabic </w:instrText>
      </w:r>
      <w:r w:rsidRPr="007C5C4F">
        <w:fldChar w:fldCharType="separate"/>
      </w:r>
      <w:r w:rsidRPr="007C5C4F" w:rsidR="007C5C4F">
        <w:rPr>
          <w:noProof/>
        </w:rPr>
        <w:t>38</w:t>
      </w:r>
      <w:r w:rsidRPr="007C5C4F">
        <w:fldChar w:fldCharType="end"/>
      </w:r>
      <w:bookmarkEnd w:id="36"/>
      <w:r w:rsidRPr="007C5C4F">
        <w:t>.  </w:t>
      </w:r>
      <w:r w:rsidRPr="007C5C4F">
        <w:rPr>
          <w:rFonts w:eastAsiaTheme="minorEastAsia"/>
        </w:rPr>
        <w:t>The</w:t>
      </w:r>
      <w:r w:rsidRPr="007C5C4F">
        <w:t xml:space="preserve"> </w:t>
      </w:r>
      <w:r w:rsidRPr="007C5C4F">
        <w:rPr>
          <w:rFonts w:eastAsiaTheme="minorEastAsia"/>
        </w:rPr>
        <w:t>first applicant sought permission to appeal – out of time – against conviction and sentencing. He argued that he should have been advised to vacate his plea and an application to stay the proceedings should have been made because he was a credible victim of trafficking and, as such, should not have been prosecuted. He also complained that there was no appropriate adult present when he decided not to change his plea, and that the CPS failed to confirm why it was in the public interest to prosecute.</w:t>
      </w:r>
    </w:p>
    <w:bookmarkStart w:name="PTAA12" w:id="37"/>
    <w:p w:rsidRPr="007C5C4F" w:rsidR="005E3D7B" w:rsidP="007C5C4F" w14:paraId="1DD3EC68" w14:textId="3F40CB69">
      <w:pPr>
        <w:pStyle w:val="JuPara"/>
        <w:rPr>
          <w:rFonts w:eastAsiaTheme="minorEastAsia"/>
        </w:rPr>
      </w:pPr>
      <w:r w:rsidRPr="007C5C4F">
        <w:rPr>
          <w:rFonts w:eastAsiaTheme="minorEastAsia"/>
        </w:rPr>
        <w:fldChar w:fldCharType="begin"/>
      </w:r>
      <w:r w:rsidRPr="007C5C4F">
        <w:rPr>
          <w:rFonts w:eastAsiaTheme="minorEastAsia"/>
        </w:rPr>
        <w:instrText xml:space="preserve"> SEQ level0 \*arabic </w:instrText>
      </w:r>
      <w:r w:rsidRPr="007C5C4F">
        <w:rPr>
          <w:rFonts w:eastAsiaTheme="minorEastAsia"/>
        </w:rPr>
        <w:fldChar w:fldCharType="separate"/>
      </w:r>
      <w:r w:rsidRPr="007C5C4F" w:rsidR="007C5C4F">
        <w:rPr>
          <w:rFonts w:eastAsiaTheme="minorEastAsia"/>
          <w:noProof/>
        </w:rPr>
        <w:t>39</w:t>
      </w:r>
      <w:r w:rsidRPr="007C5C4F">
        <w:rPr>
          <w:rFonts w:eastAsiaTheme="minorEastAsia"/>
        </w:rPr>
        <w:fldChar w:fldCharType="end"/>
      </w:r>
      <w:bookmarkEnd w:id="37"/>
      <w:r w:rsidRPr="007C5C4F">
        <w:rPr>
          <w:rFonts w:eastAsiaTheme="minorEastAsia"/>
        </w:rPr>
        <w:t>.  As it was one of the first cases in which the problem of child trafficking for labour exploitation was raised following the coming into force of the Council of Europe Convention on Action Against Trafficking in Human Beings (“the Anti-Trafficking Convention”), permission was granted. The court commented</w:t>
      </w:r>
    </w:p>
    <w:p w:rsidRPr="007C5C4F" w:rsidR="005E3D7B" w:rsidP="007C5C4F" w14:paraId="662123C0" w14:textId="77777777">
      <w:pPr>
        <w:pStyle w:val="JuQuot"/>
        <w:rPr>
          <w:rFonts w:eastAsiaTheme="minorEastAsia"/>
        </w:rPr>
      </w:pPr>
      <w:r w:rsidRPr="007C5C4F">
        <w:rPr>
          <w:rFonts w:eastAsiaTheme="minorEastAsia"/>
        </w:rPr>
        <w:t>“... it does appear to the court that there are two matters of potential concern. First, there is an appearance that something has gone wrong when one arm of the State (the Home Office) has accepted that a person has been trafficked, but another arm of the State (CPS) has reached the opposite conclusion seemingly without knowledge of the former. It is arguable that as a matter of public law once the government, through the Home Office, has accepted that a person has been trafficked, the CPS ought to proceed on the same basis unless there is some strong reason to do otherwise. Secondly, the applicant appears not to have been given adequate advice about his position, which was an unusual one.”</w:t>
      </w:r>
    </w:p>
    <w:bookmarkStart w:name="A2CA1" w:id="38"/>
    <w:p w:rsidRPr="007C5C4F" w:rsidR="005E3D7B" w:rsidP="007C5C4F" w14:paraId="20657204" w14:textId="7E8A4F76">
      <w:pPr>
        <w:pStyle w:val="JuPara"/>
      </w:pPr>
      <w:r w:rsidRPr="007C5C4F">
        <w:fldChar w:fldCharType="begin"/>
      </w:r>
      <w:r w:rsidRPr="007C5C4F">
        <w:instrText xml:space="preserve"> SEQ level0 \*arabic </w:instrText>
      </w:r>
      <w:r w:rsidRPr="007C5C4F">
        <w:fldChar w:fldCharType="separate"/>
      </w:r>
      <w:r w:rsidRPr="007C5C4F" w:rsidR="007C5C4F">
        <w:rPr>
          <w:noProof/>
        </w:rPr>
        <w:t>40</w:t>
      </w:r>
      <w:r w:rsidRPr="007C5C4F">
        <w:fldChar w:fldCharType="end"/>
      </w:r>
      <w:bookmarkEnd w:id="38"/>
      <w:r w:rsidRPr="007C5C4F">
        <w:t xml:space="preserve">.  The second applicant also sought permission to appeal out of time against his conviction and sentence. In his perfected grounds of appeal against conviction he argued, </w:t>
      </w:r>
      <w:r w:rsidRPr="007C5C4F">
        <w:rPr>
          <w:i/>
        </w:rPr>
        <w:t>inter alia</w:t>
      </w:r>
      <w:r w:rsidRPr="007C5C4F">
        <w:t>, that his conviction was unsafe because as a minor and victim of trafficking and forced labour contrary to Article 4 of the Convention he had been entitled to protection rather than prosecution. In particular, he argued that the CPS should have carried out a much greater investigation into whether he had been trafficked into the United Kingdom and exploited in a cannabis factory. He relied in part on the evidence of a Children</w:t>
      </w:r>
      <w:r w:rsidRPr="007C5C4F" w:rsidR="007C5C4F">
        <w:t>’</w:t>
      </w:r>
      <w:r w:rsidRPr="007C5C4F">
        <w:t xml:space="preserve">s Services Practitioner at NSPCC NCTAIL who, referring to guidance published by the CPS and the Association of Chief Police Officers (ACPO – see paragraph </w:t>
      </w:r>
      <w:r w:rsidRPr="007C5C4F">
        <w:fldChar w:fldCharType="begin"/>
      </w:r>
      <w:r w:rsidRPr="007C5C4F">
        <w:instrText xml:space="preserve"> REF ACPO \h </w:instrText>
      </w:r>
      <w:r w:rsidRPr="007C5C4F">
        <w:fldChar w:fldCharType="separate"/>
      </w:r>
      <w:r w:rsidRPr="007C5C4F" w:rsidR="007C5C4F">
        <w:rPr>
          <w:rFonts w:eastAsiaTheme="minorEastAsia"/>
          <w:noProof/>
        </w:rPr>
        <w:t>74</w:t>
      </w:r>
      <w:r w:rsidRPr="007C5C4F">
        <w:fldChar w:fldCharType="end"/>
      </w:r>
      <w:r w:rsidRPr="007C5C4F">
        <w:t xml:space="preserve"> below), argued that the appropriate response in the second applicant</w:t>
      </w:r>
      <w:r w:rsidRPr="007C5C4F" w:rsidR="007C5C4F">
        <w:t>’</w:t>
      </w:r>
      <w:r w:rsidRPr="007C5C4F">
        <w:t>s case would have been for the police to have made a referral to the local authority children</w:t>
      </w:r>
      <w:r w:rsidRPr="007C5C4F" w:rsidR="007C5C4F">
        <w:t>’</w:t>
      </w:r>
      <w:r w:rsidRPr="007C5C4F">
        <w:t>s services as soon as he was recovered from the cannabis factory. The police should then have shared as much information as possible to help children</w:t>
      </w:r>
      <w:r w:rsidRPr="007C5C4F" w:rsidR="007C5C4F">
        <w:t>’</w:t>
      </w:r>
      <w:r w:rsidRPr="007C5C4F">
        <w:t xml:space="preserve">s services undertake the appropriate trafficking assessment and other welfare needs should have been identified and responded to within a safeguarding and child protection context. The grounds of appeal also referred to a report by the Child Exploitation and Online Protection Command (CEOP, a </w:t>
      </w:r>
      <w:r w:rsidRPr="007C5C4F" w:rsidR="00AC5774">
        <w:t xml:space="preserve">command of the </w:t>
      </w:r>
      <w:r w:rsidRPr="007C5C4F">
        <w:t xml:space="preserve">National Crime Agency – see paragraphs </w:t>
      </w:r>
      <w:r w:rsidRPr="007C5C4F">
        <w:fldChar w:fldCharType="begin"/>
      </w:r>
      <w:r w:rsidRPr="007C5C4F">
        <w:instrText xml:space="preserve"> REF CEOP1Start \h </w:instrText>
      </w:r>
      <w:r w:rsidRPr="007C5C4F">
        <w:fldChar w:fldCharType="separate"/>
      </w:r>
      <w:r w:rsidRPr="007C5C4F" w:rsidR="007C5C4F">
        <w:rPr>
          <w:noProof/>
        </w:rPr>
        <w:t>81</w:t>
      </w:r>
      <w:r w:rsidRPr="007C5C4F">
        <w:fldChar w:fldCharType="end"/>
      </w:r>
      <w:r w:rsidRPr="007C5C4F">
        <w:t>-</w:t>
      </w:r>
      <w:r w:rsidRPr="007C5C4F">
        <w:fldChar w:fldCharType="begin"/>
      </w:r>
      <w:r w:rsidRPr="007C5C4F">
        <w:instrText xml:space="preserve"> REF CEOP2 \h </w:instrText>
      </w:r>
      <w:r w:rsidRPr="007C5C4F">
        <w:fldChar w:fldCharType="separate"/>
      </w:r>
      <w:r w:rsidRPr="007C5C4F" w:rsidR="007C5C4F">
        <w:rPr>
          <w:noProof/>
        </w:rPr>
        <w:t>83</w:t>
      </w:r>
      <w:r w:rsidRPr="007C5C4F">
        <w:fldChar w:fldCharType="end"/>
      </w:r>
      <w:r w:rsidRPr="007C5C4F">
        <w:t xml:space="preserve"> below) which indicated that in spite of the fact that any child identified in a cannabis factory was likely to be a victim of trafficking, there had been a trend towards prosecution rather than protection of Vietnamese children found on these factories.</w:t>
      </w:r>
    </w:p>
    <w:bookmarkStart w:name="A2CA2" w:id="39"/>
    <w:p w:rsidRPr="007C5C4F" w:rsidR="005E3D7B" w:rsidP="007C5C4F" w14:paraId="6ED3C131" w14:textId="488F5B6D">
      <w:pPr>
        <w:pStyle w:val="JuPara"/>
      </w:pPr>
      <w:r w:rsidRPr="007C5C4F">
        <w:fldChar w:fldCharType="begin"/>
      </w:r>
      <w:r w:rsidRPr="007C5C4F">
        <w:instrText xml:space="preserve"> SEQ level0 \*arabic </w:instrText>
      </w:r>
      <w:r w:rsidRPr="007C5C4F">
        <w:fldChar w:fldCharType="separate"/>
      </w:r>
      <w:r w:rsidRPr="007C5C4F" w:rsidR="007C5C4F">
        <w:rPr>
          <w:noProof/>
        </w:rPr>
        <w:t>41</w:t>
      </w:r>
      <w:r w:rsidRPr="007C5C4F">
        <w:fldChar w:fldCharType="end"/>
      </w:r>
      <w:bookmarkEnd w:id="39"/>
      <w:r w:rsidRPr="007C5C4F">
        <w:t>.  The second applicant further argued that the common law defence of duress was unsuitable to cases concerning child trafficking victims, since a trafficked child could not in law consent to his or her own trafficking.</w:t>
      </w:r>
    </w:p>
    <w:bookmarkStart w:name="A2CA3" w:id="40"/>
    <w:p w:rsidRPr="007C5C4F" w:rsidR="005E3D7B" w:rsidP="007C5C4F" w14:paraId="4CA7686A" w14:textId="04CA66ED">
      <w:pPr>
        <w:pStyle w:val="JuPara"/>
      </w:pPr>
      <w:r w:rsidRPr="007C5C4F">
        <w:fldChar w:fldCharType="begin"/>
      </w:r>
      <w:r w:rsidRPr="007C5C4F">
        <w:instrText xml:space="preserve"> SEQ level0 \*arabic </w:instrText>
      </w:r>
      <w:r w:rsidRPr="007C5C4F">
        <w:fldChar w:fldCharType="separate"/>
      </w:r>
      <w:r w:rsidRPr="007C5C4F" w:rsidR="007C5C4F">
        <w:rPr>
          <w:noProof/>
        </w:rPr>
        <w:t>42</w:t>
      </w:r>
      <w:r w:rsidRPr="007C5C4F">
        <w:fldChar w:fldCharType="end"/>
      </w:r>
      <w:bookmarkEnd w:id="40"/>
      <w:r w:rsidRPr="007C5C4F">
        <w:t>.  Permission was granted and his appeal was joined to that of the first applicant.</w:t>
      </w:r>
    </w:p>
    <w:bookmarkStart w:name="A2CA4" w:id="41"/>
    <w:p w:rsidRPr="007C5C4F" w:rsidR="005E3D7B" w:rsidP="007C5C4F" w14:paraId="4D5D8ED6" w14:textId="6CC38B25">
      <w:pPr>
        <w:pStyle w:val="JuPara"/>
      </w:pPr>
      <w:r w:rsidRPr="007C5C4F">
        <w:fldChar w:fldCharType="begin"/>
      </w:r>
      <w:r w:rsidRPr="007C5C4F">
        <w:instrText xml:space="preserve"> SEQ level0 \*arabic </w:instrText>
      </w:r>
      <w:r w:rsidRPr="007C5C4F">
        <w:fldChar w:fldCharType="separate"/>
      </w:r>
      <w:r w:rsidRPr="007C5C4F" w:rsidR="007C5C4F">
        <w:rPr>
          <w:noProof/>
        </w:rPr>
        <w:t>43</w:t>
      </w:r>
      <w:r w:rsidRPr="007C5C4F">
        <w:fldChar w:fldCharType="end"/>
      </w:r>
      <w:bookmarkEnd w:id="41"/>
      <w:r w:rsidRPr="007C5C4F">
        <w:t>.  In a judgment handed down on 20 February 2012, the Court of Appeal found that Article 26 of the Anti-Trafficking Convention (the so</w:t>
      </w:r>
      <w:r w:rsidRPr="007C5C4F">
        <w:noBreakHyphen/>
        <w:t xml:space="preserve">called “non-punishment provision” – see paragraph </w:t>
      </w:r>
      <w:r w:rsidRPr="007C5C4F">
        <w:fldChar w:fldCharType="begin"/>
      </w:r>
      <w:r w:rsidRPr="007C5C4F">
        <w:instrText xml:space="preserve"> REF Art26 \h </w:instrText>
      </w:r>
      <w:r w:rsidRPr="007C5C4F">
        <w:fldChar w:fldCharType="separate"/>
      </w:r>
      <w:r w:rsidRPr="007C5C4F" w:rsidR="007C5C4F">
        <w:rPr>
          <w:rStyle w:val="JuParaChar"/>
          <w:noProof/>
        </w:rPr>
        <w:t>103</w:t>
      </w:r>
      <w:r w:rsidRPr="007C5C4F">
        <w:fldChar w:fldCharType="end"/>
      </w:r>
      <w:r w:rsidRPr="007C5C4F">
        <w:t xml:space="preserve"> below) was directed at sentencing decisions as opposed to prosecutorial decisions and could not, therefore, be interpreted as creating immunity for victims of trafficking who had become involved in criminal activities; nor could it extend the defence of duress by removing the limitations inherent in it. Summarising the essential principles derived from recent case-law, it noted that the implementation of the United Kingdom</w:t>
      </w:r>
      <w:r w:rsidRPr="007C5C4F" w:rsidR="007C5C4F">
        <w:t>’</w:t>
      </w:r>
      <w:r w:rsidRPr="007C5C4F">
        <w:t>s obligations under the Anti-Trafficking Convention was</w:t>
      </w:r>
    </w:p>
    <w:p w:rsidRPr="007C5C4F" w:rsidR="005E3D7B" w:rsidP="007C5C4F" w14:paraId="193D89E7" w14:textId="22880E44">
      <w:pPr>
        <w:pStyle w:val="JuQuot"/>
      </w:pPr>
      <w:r w:rsidRPr="007C5C4F">
        <w:t xml:space="preserve">“normally achieved by the proper exercise of the long established prosecutorial discretion which enables the Crown Prosecution Service, however strong the evidence may be, to decide that it would be inappropriate to proceed or to continue with the prosecution of a defendant who is unable to advance duress as a defence but who falls within the protective ambit of Article 26. This requires a judgment to be made by the CPS in the individual case in the light of all the available evidence. That responsibility is vested not in the court but in the prosecuting authority. The court may intervene in an individual case if its process is abused by using the </w:t>
      </w:r>
      <w:r w:rsidRPr="007C5C4F" w:rsidR="007C5C4F">
        <w:t>‘</w:t>
      </w:r>
      <w:r w:rsidRPr="007C5C4F">
        <w:t>ultimate sanction</w:t>
      </w:r>
      <w:r w:rsidRPr="007C5C4F" w:rsidR="007C5C4F">
        <w:t>’</w:t>
      </w:r>
      <w:r w:rsidRPr="007C5C4F">
        <w:t xml:space="preserve"> of a stay of the proceedings. The burden of showing that the process is being or has been abused on the basis of the improper exercise of the prosecutorial discretion rests on the defendant. ... The fact that it arises for consideration in the context of the proper implementation of the United Kingdom</w:t>
      </w:r>
      <w:r w:rsidRPr="007C5C4F" w:rsidR="007C5C4F">
        <w:t>’</w:t>
      </w:r>
      <w:r w:rsidRPr="007C5C4F">
        <w:t>s Convention obligation does not involve the creation of new principles. Rather, well established principles apply in the specific context of the Article 26 obligation, no more, and no less. Apart from the specific jurisdiction to stay proceedings where the process is abused, the court may also, if it thinks appropriate in the exercise of its sentencing responsibilities implement the Article 26 obligation in the language of the article itself, by dealing with the defendant in a way which does not constitute punishment, by ordering an absolute or a conditional discharge.”</w:t>
      </w:r>
    </w:p>
    <w:p w:rsidRPr="007C5C4F" w:rsidR="005E3D7B" w:rsidP="007C5C4F" w14:paraId="68E01472" w14:textId="5DEED422">
      <w:pPr>
        <w:pStyle w:val="JuPara"/>
      </w:pPr>
      <w:r w:rsidRPr="007C5C4F">
        <w:fldChar w:fldCharType="begin"/>
      </w:r>
      <w:r w:rsidRPr="007C5C4F">
        <w:instrText xml:space="preserve"> SEQ level0 \*arabic </w:instrText>
      </w:r>
      <w:r w:rsidRPr="007C5C4F">
        <w:fldChar w:fldCharType="separate"/>
      </w:r>
      <w:r w:rsidRPr="007C5C4F" w:rsidR="007C5C4F">
        <w:rPr>
          <w:noProof/>
        </w:rPr>
        <w:t>44</w:t>
      </w:r>
      <w:r w:rsidRPr="007C5C4F">
        <w:fldChar w:fldCharType="end"/>
      </w:r>
      <w:r w:rsidRPr="007C5C4F">
        <w:t>.  The court identified the principal issue in the appeals to be whether the process of the court was abused by the decision of the prosecuting authority to prosecute. However, having fully considered the facts of the applicants</w:t>
      </w:r>
      <w:r w:rsidRPr="007C5C4F" w:rsidR="007C5C4F">
        <w:t>’</w:t>
      </w:r>
      <w:r w:rsidRPr="007C5C4F">
        <w:t xml:space="preserve"> cases, the court dismissed their appeal against conviction.</w:t>
      </w:r>
    </w:p>
    <w:bookmarkStart w:name="CAA11" w:id="42"/>
    <w:p w:rsidRPr="007C5C4F" w:rsidR="005E3D7B" w:rsidP="007C5C4F" w14:paraId="777D35B9" w14:textId="23C1D36D">
      <w:pPr>
        <w:pStyle w:val="JuPara"/>
      </w:pPr>
      <w:r w:rsidRPr="007C5C4F">
        <w:fldChar w:fldCharType="begin"/>
      </w:r>
      <w:r w:rsidRPr="007C5C4F">
        <w:instrText xml:space="preserve"> SEQ level0 \*arabic </w:instrText>
      </w:r>
      <w:r w:rsidRPr="007C5C4F">
        <w:fldChar w:fldCharType="separate"/>
      </w:r>
      <w:r w:rsidRPr="007C5C4F" w:rsidR="007C5C4F">
        <w:rPr>
          <w:noProof/>
        </w:rPr>
        <w:t>45</w:t>
      </w:r>
      <w:r w:rsidRPr="007C5C4F">
        <w:fldChar w:fldCharType="end"/>
      </w:r>
      <w:bookmarkEnd w:id="42"/>
      <w:r w:rsidRPr="007C5C4F">
        <w:t>.  In respect of the first applicant, the court stated that:</w:t>
      </w:r>
    </w:p>
    <w:p w:rsidRPr="007C5C4F" w:rsidR="005E3D7B" w:rsidP="007C5C4F" w14:paraId="1982F205" w14:textId="527DE718">
      <w:pPr>
        <w:pStyle w:val="JuQuot"/>
      </w:pPr>
      <w:r w:rsidRPr="007C5C4F">
        <w:t xml:space="preserve">“Opening the case for the Crown, counsel focused on the evidence which suggested that the appellant could not be described as a trafficked person. He was found with cash on him. He was provided with a mobile phone and credit for use with that phone. The house was an ordinary house, far from a make-shift prison, where the defendant said he had been left and provided with groceries at weekly intervals. The account given by the appellant in interview in which he said that he arrived seeking an adoptive father was contrasted with what he said in the Trafficking Assessment. When asked questions to identify who this adoptive father might be, he was unable to provide any comprehensible explanation. His movements about the country after his arrival, and his allegedly accidental presence in Cambridge, when he had simply bumped into two further co-nationals who offered him the opportunity of going to Cambridge was inconsistent with having been the victim of trafficking. Over the months the account had developed of some </w:t>
      </w:r>
      <w:r w:rsidRPr="007C5C4F" w:rsidR="007C5C4F">
        <w:t>‘</w:t>
      </w:r>
      <w:r w:rsidRPr="007C5C4F">
        <w:t>mild pressure or threats</w:t>
      </w:r>
      <w:r w:rsidRPr="007C5C4F" w:rsidR="007C5C4F">
        <w:t>’</w:t>
      </w:r>
      <w:r w:rsidRPr="007C5C4F">
        <w:t xml:space="preserve"> being put to the defendant but the Trafficking Assessment itself provided information that the appellant was clear that his family in Vietnam was not under threat, that there were no debts owed to anyone in Vietnam, and that he had not been abused prior to his arrest. The Crown examined the facts in detail and had come to the conclusion that there was no </w:t>
      </w:r>
      <w:r w:rsidRPr="007C5C4F" w:rsidR="007C5C4F">
        <w:t>‘</w:t>
      </w:r>
      <w:r w:rsidRPr="007C5C4F">
        <w:t>reason whatever to revise their initial assessment of the public interest that the appellant</w:t>
      </w:r>
      <w:r w:rsidRPr="007C5C4F" w:rsidR="007C5C4F">
        <w:t>’</w:t>
      </w:r>
      <w:r w:rsidRPr="007C5C4F">
        <w:t xml:space="preserve"> was someone who should be prosecuted.</w:t>
      </w:r>
    </w:p>
    <w:p w:rsidRPr="007C5C4F" w:rsidR="005E3D7B" w:rsidP="007C5C4F" w14:paraId="4F8B6E60" w14:textId="77777777">
      <w:pPr>
        <w:pStyle w:val="JuQuot"/>
      </w:pPr>
      <w:r w:rsidRPr="007C5C4F">
        <w:t>Given the meticulous care and detailed examination of all the relevant evidence made both by counsel for the Prosecution and the Crown Prosecution Service, and the fair and balanced approach taken by Judge [C] throughout these protracted proceedings, the prospects for this appeal were unpromising.</w:t>
      </w:r>
    </w:p>
    <w:p w:rsidRPr="007C5C4F" w:rsidR="005E3D7B" w:rsidP="007C5C4F" w14:paraId="33163A6F" w14:textId="71A6B18B">
      <w:pPr>
        <w:pStyle w:val="JuQuot"/>
      </w:pPr>
      <w:r w:rsidRPr="007C5C4F">
        <w:t>In essence, the argument advanced by [counsel] proceeds on the basis that given the information available to the defence at the time when the case proceeded to sentence, an application should have been made to vacate the guilty plea. However, as he accepts, there was nothing to suggest that the plea could be considered a nullity, or that the theoretical defence of duress would have had any realistic prospect of success. Nevertheless if the application to vacate the plea had been made, and then granted, on the basis of the appellant</w:t>
      </w:r>
      <w:r w:rsidRPr="007C5C4F" w:rsidR="007C5C4F">
        <w:t>’</w:t>
      </w:r>
      <w:r w:rsidRPr="007C5C4F">
        <w:t>s youth and the findings in his favour in relation to trafficking, the judge would then have been invited to consider an application to stay the prosecution, and presumably, that [sic.] if such an application had been made, the judge would have granted it. This is all entirely speculative, and does not address the reality. Even if the judge might have been persuaded to allow the appellant to vacate his plea for the argument in support of an order for the stay of proceedings to be mounted, the inevitable outcome of any such hearing would have been that the decision to continue the prosecution was fully justified. On the facts, the decision to prosecute was amply justified. That would have been the view formed by Judge [C], and it is the unhesitating conclusion which we have reached.”</w:t>
      </w:r>
    </w:p>
    <w:p w:rsidRPr="007C5C4F" w:rsidR="005E3D7B" w:rsidP="007C5C4F" w14:paraId="76CC7AD4" w14:textId="54052967">
      <w:pPr>
        <w:pStyle w:val="JuPara"/>
      </w:pPr>
      <w:r w:rsidRPr="007C5C4F">
        <w:fldChar w:fldCharType="begin"/>
      </w:r>
      <w:r w:rsidRPr="007C5C4F">
        <w:instrText xml:space="preserve"> SEQ level0 \*arabic </w:instrText>
      </w:r>
      <w:r w:rsidRPr="007C5C4F">
        <w:fldChar w:fldCharType="separate"/>
      </w:r>
      <w:r w:rsidRPr="007C5C4F" w:rsidR="007C5C4F">
        <w:rPr>
          <w:noProof/>
        </w:rPr>
        <w:t>46</w:t>
      </w:r>
      <w:r w:rsidRPr="007C5C4F">
        <w:fldChar w:fldCharType="end"/>
      </w:r>
      <w:r w:rsidRPr="007C5C4F">
        <w:t xml:space="preserve">.  The </w:t>
      </w:r>
      <w:r w:rsidRPr="007C5C4F" w:rsidR="006A0CCC">
        <w:t>c</w:t>
      </w:r>
      <w:r w:rsidRPr="007C5C4F">
        <w:t>ourt did, however, allow the first applicant</w:t>
      </w:r>
      <w:r w:rsidRPr="007C5C4F" w:rsidR="007C5C4F">
        <w:t>’</w:t>
      </w:r>
      <w:r w:rsidRPr="007C5C4F">
        <w:t>s appeal against sentencing as it found that, given his age and guilty plea, a twelve-month custodial sentence would have been sufficient.</w:t>
      </w:r>
    </w:p>
    <w:bookmarkStart w:name="A2CA47" w:id="43"/>
    <w:p w:rsidRPr="007C5C4F" w:rsidR="005E3D7B" w:rsidP="007C5C4F" w14:paraId="1D91144C" w14:textId="05548DDA">
      <w:pPr>
        <w:pStyle w:val="JuPara"/>
      </w:pPr>
      <w:r w:rsidRPr="007C5C4F">
        <w:fldChar w:fldCharType="begin"/>
      </w:r>
      <w:r w:rsidRPr="007C5C4F">
        <w:instrText xml:space="preserve"> SEQ level0 \*arabic </w:instrText>
      </w:r>
      <w:r w:rsidRPr="007C5C4F">
        <w:fldChar w:fldCharType="separate"/>
      </w:r>
      <w:r w:rsidRPr="007C5C4F" w:rsidR="007C5C4F">
        <w:rPr>
          <w:noProof/>
        </w:rPr>
        <w:t>47</w:t>
      </w:r>
      <w:r w:rsidRPr="007C5C4F">
        <w:fldChar w:fldCharType="end"/>
      </w:r>
      <w:bookmarkEnd w:id="43"/>
      <w:r w:rsidRPr="007C5C4F">
        <w:t>.  With regard to the second applicant, it noted that in taking the decision to prosecute him, the CPS did not have the advantage of UKBA</w:t>
      </w:r>
      <w:r w:rsidRPr="007C5C4F" w:rsidR="007C5C4F">
        <w:t>’</w:t>
      </w:r>
      <w:r w:rsidRPr="007C5C4F">
        <w:t>s finding that he was a child victim of human trafficking. However, even if that report had been available, UKBA and the CPS exercised different responsibilities and neither could bind the other. The court made the following remarks:</w:t>
      </w:r>
    </w:p>
    <w:p w:rsidRPr="007C5C4F" w:rsidR="005E3D7B" w:rsidP="007C5C4F" w14:paraId="61C4760F" w14:textId="77777777">
      <w:pPr>
        <w:pStyle w:val="JuQuot"/>
      </w:pPr>
      <w:r w:rsidRPr="007C5C4F">
        <w:t>“In essence, the argument in support of the contention that the conviction is unsafe was, at any rate to begin with, based on the stark proposition that everyone involved in the case missed the real point, that the appellant fell squarely within the provisions of Article 26 of the Convention, and that he had been trafficked into the country. [Counsel] argued that the Crown Prosecution Service should have carried out a much greater investigation into the question whether the appellant had been trafficked into this country and exploited in the cannabis factory; that those who acted for the appellant should have alerted the Crown Prosecution Service to the same problem and invited them to conduct further investigations; and indeed at one stage that the judge herself had been remiss in failing to recognise the problem and requiring its further investigation.</w:t>
      </w:r>
    </w:p>
    <w:p w:rsidRPr="007C5C4F" w:rsidR="005E3D7B" w:rsidP="007C5C4F" w14:paraId="48F1FE1B" w14:textId="0DB612CD">
      <w:pPr>
        <w:pStyle w:val="JuQuot"/>
      </w:pPr>
      <w:r w:rsidRPr="007C5C4F">
        <w:t xml:space="preserve">[Counsel] advanced sustained submissions critical of the process of which the sentence was the culmination. In part he relied on the contemporaneous Guidance and Codes of Practice which form part of the publications noted earlier in the judgment. On close analysis his submissions appeared to mean the many thousands of individuals who might, in the course of their duties, become involved in the investigation and prosecution of offences should be deemed to know and fully appreciate the ambit and potential impact of every single publication offering guidance or advice whenever an individual who may possibly fall within the Convention is arrested. This is somewhat unrealistic. Although there must, inevitably, be broad understanding of the way in which different bodies vested with these responsibilities are operating, the CPS, or ACPO, or indeed each other responsible body, cannot immediately appreciate every item of guidance or advice issued by every other body. In this particular case, for example, the Child Exploitation and On Line Protection Centre representing ACPO issued its report on the very day on which [the applicant] himself was interviewed after his arrest. In any event, it appears to us that in the initial stages after the implementation of the Convention the primary focus of attention was the distinction between those who were </w:t>
      </w:r>
      <w:r w:rsidRPr="007C5C4F" w:rsidR="007C5C4F">
        <w:t>‘</w:t>
      </w:r>
      <w:r w:rsidRPr="007C5C4F">
        <w:t>smuggled</w:t>
      </w:r>
      <w:r w:rsidRPr="007C5C4F" w:rsidR="007C5C4F">
        <w:t>’</w:t>
      </w:r>
      <w:r w:rsidRPr="007C5C4F">
        <w:t xml:space="preserve"> into the country and those who were </w:t>
      </w:r>
      <w:r w:rsidRPr="007C5C4F" w:rsidR="007C5C4F">
        <w:t>‘</w:t>
      </w:r>
      <w:r w:rsidRPr="007C5C4F">
        <w:t>trafficked</w:t>
      </w:r>
      <w:r w:rsidRPr="007C5C4F" w:rsidR="007C5C4F">
        <w:t>’</w:t>
      </w:r>
      <w:r w:rsidRPr="007C5C4F">
        <w:t xml:space="preserve"> into it. But, more important, the criticisms ignore the facts, and in particular the impact of the appellant</w:t>
      </w:r>
      <w:r w:rsidRPr="007C5C4F" w:rsidR="007C5C4F">
        <w:t>’</w:t>
      </w:r>
      <w:r w:rsidRPr="007C5C4F">
        <w:t xml:space="preserve">s accounts in interview, to his lawyers, and the writer of the Pre-sentence Report about the circumstances in which he became an immigrant into this country and worked in the cannabis factory. These accounts were, it must be emphasised, the instructions and the explanations provided by the appellant himself. The evidence available to those who were acting for him, that he had been </w:t>
      </w:r>
      <w:r w:rsidRPr="007C5C4F" w:rsidR="007C5C4F">
        <w:t>‘</w:t>
      </w:r>
      <w:r w:rsidRPr="007C5C4F">
        <w:t>smuggled</w:t>
      </w:r>
      <w:r w:rsidRPr="007C5C4F" w:rsidR="007C5C4F">
        <w:t>’</w:t>
      </w:r>
      <w:r w:rsidRPr="007C5C4F">
        <w:t xml:space="preserve"> as a volunteer, was unanswerable. Moreover it appeared that he made the choice to start working with [H] rather than find work at or near the safe home provided by his cousin, and that he chose to work, at first without apparent difficulty. Thereafter the appellant</w:t>
      </w:r>
      <w:r w:rsidRPr="007C5C4F" w:rsidR="007C5C4F">
        <w:t>’</w:t>
      </w:r>
      <w:r w:rsidRPr="007C5C4F">
        <w:t>s period of work in the cannabis factory before his arrest was very short lived. It had been interrupted by a not insignificant break. He was in possession of cash. After his arrest he had continued in communication with his family in Vietnam and his cousin in England, without suggesting that he had made any complaint or expressed any concern.</w:t>
      </w:r>
    </w:p>
    <w:p w:rsidRPr="007C5C4F" w:rsidR="005E3D7B" w:rsidP="007C5C4F" w14:paraId="06AE37CA" w14:textId="2E2B5F58">
      <w:pPr>
        <w:pStyle w:val="JuQuot"/>
      </w:pPr>
      <w:r w:rsidRPr="007C5C4F">
        <w:t>Despite [counsel</w:t>
      </w:r>
      <w:r w:rsidRPr="007C5C4F" w:rsidR="007C5C4F">
        <w:t>’</w:t>
      </w:r>
      <w:r w:rsidRPr="007C5C4F">
        <w:t xml:space="preserve">s] efforts to persuade us to the contrary view, at this date there was no evidence before the Crown Court, or for that matter the CPS or indeed the defence, which suggested that the appellant had been trafficked into this country, or that he fell within the protective ambit of Article 26. Rather the effect of the evidence was that he was a volunteer, </w:t>
      </w:r>
      <w:r w:rsidRPr="007C5C4F" w:rsidR="007C5C4F">
        <w:t>‘</w:t>
      </w:r>
      <w:r w:rsidRPr="007C5C4F">
        <w:t>smuggled</w:t>
      </w:r>
      <w:r w:rsidRPr="007C5C4F" w:rsidR="007C5C4F">
        <w:t>’</w:t>
      </w:r>
      <w:r w:rsidRPr="007C5C4F">
        <w:t xml:space="preserve"> into this country to make a better life for himself and that he had a home with a family member to which he could have gone and where he would have been welcome. The essential point in mitigation, correctly taken on the basis of the appellant</w:t>
      </w:r>
      <w:r w:rsidRPr="007C5C4F" w:rsidR="007C5C4F">
        <w:t>’</w:t>
      </w:r>
      <w:r w:rsidRPr="007C5C4F">
        <w:t>s instructions, was that he was very young, and in a vulnerable position as an illegal immigrant, and that in his short time working in the cannabis factory, like his co-defendants, he had been exploited by others. That provided real mitigation, but in the light of the facts as they appeared to be, and on the basis of the Guidance to Prosecutors then current, the decision to prosecute rather than to conduct further investigations did not involve any misapplication of the prosecutorial discretion sufficient to justify the conclusion that this prosecution constituted an abuse of process on the basis of a breach of Article 26 of the Convention.”</w:t>
      </w:r>
    </w:p>
    <w:bookmarkStart w:name="A2CA48" w:id="44"/>
    <w:p w:rsidRPr="007C5C4F" w:rsidR="005E3D7B" w:rsidP="007C5C4F" w14:paraId="649EFC06" w14:textId="6A00A2BD">
      <w:pPr>
        <w:pStyle w:val="JuPara"/>
      </w:pPr>
      <w:r w:rsidRPr="007C5C4F">
        <w:fldChar w:fldCharType="begin"/>
      </w:r>
      <w:r w:rsidRPr="007C5C4F">
        <w:instrText xml:space="preserve"> SEQ level0 \*arabic </w:instrText>
      </w:r>
      <w:r w:rsidRPr="007C5C4F">
        <w:fldChar w:fldCharType="separate"/>
      </w:r>
      <w:r w:rsidRPr="007C5C4F" w:rsidR="007C5C4F">
        <w:rPr>
          <w:noProof/>
        </w:rPr>
        <w:t>48</w:t>
      </w:r>
      <w:r w:rsidRPr="007C5C4F">
        <w:fldChar w:fldCharType="end"/>
      </w:r>
      <w:bookmarkEnd w:id="44"/>
      <w:r w:rsidRPr="007C5C4F">
        <w:t>.  The court also expressed doubts about the value of the expert evidence which came to light following the second applicant</w:t>
      </w:r>
      <w:r w:rsidRPr="007C5C4F" w:rsidR="007C5C4F">
        <w:t>’</w:t>
      </w:r>
      <w:r w:rsidRPr="007C5C4F">
        <w:t xml:space="preserve">s conviction and sentence (see paragraphs </w:t>
      </w:r>
      <w:r w:rsidRPr="007C5C4F">
        <w:fldChar w:fldCharType="begin"/>
      </w:r>
      <w:r w:rsidRPr="007C5C4F">
        <w:instrText xml:space="preserve"> REF A230 \h </w:instrText>
      </w:r>
      <w:r w:rsidRPr="007C5C4F">
        <w:fldChar w:fldCharType="separate"/>
      </w:r>
      <w:r w:rsidRPr="007C5C4F" w:rsidR="007C5C4F">
        <w:rPr>
          <w:noProof/>
        </w:rPr>
        <w:t>30</w:t>
      </w:r>
      <w:r w:rsidRPr="007C5C4F">
        <w:fldChar w:fldCharType="end"/>
      </w:r>
      <w:r w:rsidRPr="007C5C4F">
        <w:t>-</w:t>
      </w:r>
      <w:r w:rsidRPr="007C5C4F">
        <w:fldChar w:fldCharType="begin"/>
      </w:r>
      <w:r w:rsidRPr="007C5C4F">
        <w:instrText xml:space="preserve"> REF A237 \h </w:instrText>
      </w:r>
      <w:r w:rsidRPr="007C5C4F">
        <w:fldChar w:fldCharType="separate"/>
      </w:r>
      <w:r w:rsidRPr="007C5C4F" w:rsidR="007C5C4F">
        <w:rPr>
          <w:noProof/>
        </w:rPr>
        <w:t>37</w:t>
      </w:r>
      <w:r w:rsidRPr="007C5C4F">
        <w:fldChar w:fldCharType="end"/>
      </w:r>
      <w:r w:rsidRPr="007C5C4F">
        <w:t xml:space="preserve"> above). This was not to impugn the good faith of the experts, but rather an acknowledgment of the fact that their conclusions were dependent on the second applicant</w:t>
      </w:r>
      <w:r w:rsidRPr="007C5C4F" w:rsidR="007C5C4F">
        <w:t>’</w:t>
      </w:r>
      <w:r w:rsidRPr="007C5C4F">
        <w:t>s account of events. In addition, the new material did not support the contention that he was a victim of forced labour. On the contrary, it suggested that he chose to work in the cannabis factory when he had available to him a safe home with a family member, and the evidence suggesting that he was “compelled” to work in those conditions was at best “nebulous”. Consequently, his conviction could not be said to be unsafe.</w:t>
      </w:r>
    </w:p>
    <w:p w:rsidRPr="007C5C4F" w:rsidR="005E3D7B" w:rsidP="007C5C4F" w14:paraId="4237627F" w14:textId="2B398EAD">
      <w:pPr>
        <w:pStyle w:val="JuPara"/>
      </w:pPr>
      <w:r w:rsidRPr="007C5C4F">
        <w:fldChar w:fldCharType="begin"/>
      </w:r>
      <w:r w:rsidRPr="007C5C4F">
        <w:instrText xml:space="preserve"> SEQ level0 \*arabic </w:instrText>
      </w:r>
      <w:r w:rsidRPr="007C5C4F">
        <w:fldChar w:fldCharType="separate"/>
      </w:r>
      <w:r w:rsidRPr="007C5C4F" w:rsidR="007C5C4F">
        <w:rPr>
          <w:noProof/>
        </w:rPr>
        <w:t>49</w:t>
      </w:r>
      <w:r w:rsidRPr="007C5C4F">
        <w:fldChar w:fldCharType="end"/>
      </w:r>
      <w:r w:rsidRPr="007C5C4F">
        <w:t>.  However, in view of the second applicant</w:t>
      </w:r>
      <w:r w:rsidRPr="007C5C4F" w:rsidR="007C5C4F">
        <w:t>’</w:t>
      </w:r>
      <w:r w:rsidRPr="007C5C4F">
        <w:t>s young age, his guilty plea and the extremely short period he was working in the cannabis factory, the court indicated that it should have reduced his sentence to a four-month detention and training order.</w:t>
      </w:r>
    </w:p>
    <w:bookmarkStart w:name="para50" w:id="45"/>
    <w:p w:rsidRPr="007C5C4F" w:rsidR="005E3D7B" w:rsidP="007C5C4F" w14:paraId="61CA86B0" w14:textId="22B64A52">
      <w:pPr>
        <w:pStyle w:val="JuPara"/>
      </w:pPr>
      <w:r w:rsidRPr="007C5C4F">
        <w:fldChar w:fldCharType="begin"/>
      </w:r>
      <w:r w:rsidRPr="007C5C4F">
        <w:instrText xml:space="preserve"> SEQ level0 \*arabic </w:instrText>
      </w:r>
      <w:r w:rsidRPr="007C5C4F">
        <w:fldChar w:fldCharType="separate"/>
      </w:r>
      <w:r w:rsidRPr="007C5C4F" w:rsidR="007C5C4F">
        <w:rPr>
          <w:noProof/>
        </w:rPr>
        <w:t>50</w:t>
      </w:r>
      <w:r w:rsidRPr="007C5C4F">
        <w:fldChar w:fldCharType="end"/>
      </w:r>
      <w:bookmarkEnd w:id="45"/>
      <w:r w:rsidRPr="007C5C4F">
        <w:t xml:space="preserve">.  In conclusion, the </w:t>
      </w:r>
      <w:r w:rsidRPr="007C5C4F" w:rsidR="006A0CCC">
        <w:t>c</w:t>
      </w:r>
      <w:r w:rsidRPr="007C5C4F">
        <w:t>ourt stated that:</w:t>
      </w:r>
    </w:p>
    <w:p w:rsidRPr="007C5C4F" w:rsidR="005E3D7B" w:rsidP="007C5C4F" w14:paraId="319E0500" w14:textId="77777777">
      <w:pPr>
        <w:pStyle w:val="JuQuot"/>
      </w:pPr>
      <w:r w:rsidRPr="007C5C4F">
        <w:t>“Just because the issues in cases which involve Article 26 of the Convention are often extremely sensitive, we have examined a vast bundle of post-conviction evidence, much of which is, on analysis, repetitive. We have also examined numerous publications and considered all the expert evidence. In the context of fresh evidence we shall identify a series of considerations of broad general effect.</w:t>
      </w:r>
    </w:p>
    <w:p w:rsidRPr="007C5C4F" w:rsidR="005E3D7B" w:rsidP="007C5C4F" w14:paraId="16329C88" w14:textId="77777777">
      <w:pPr>
        <w:pStyle w:val="JuQuot"/>
      </w:pPr>
      <w:r w:rsidRPr="007C5C4F">
        <w:t>...</w:t>
      </w:r>
    </w:p>
    <w:p w:rsidRPr="007C5C4F" w:rsidR="005E3D7B" w:rsidP="007C5C4F" w14:paraId="2EABC47B" w14:textId="77777777">
      <w:pPr>
        <w:pStyle w:val="JuQuot"/>
      </w:pPr>
      <w:r w:rsidRPr="007C5C4F">
        <w:t>d)  It has been made plain in numerous decisions of this court, that a defendant is provided with one opportunity to give his or her instructions to his legal advisors. His defence is then considered and advanced and he is advised about his plea in the light of those instructions. It is only in the most exceptional cases that the court would consider it appropriate to allow a defendant to advance what in effect would amount to fresh instructions about the facts for the purposes of an appeal against conviction. There is no special category of exceptionality which arises in the context of Article 26.”</w:t>
      </w:r>
    </w:p>
    <w:p w:rsidRPr="007C5C4F" w:rsidR="005E3D7B" w:rsidP="007C5C4F" w14:paraId="0E9D6992" w14:textId="154F2FA9">
      <w:pPr>
        <w:pStyle w:val="JuPara"/>
      </w:pPr>
      <w:r w:rsidRPr="007C5C4F">
        <w:fldChar w:fldCharType="begin"/>
      </w:r>
      <w:r w:rsidRPr="007C5C4F">
        <w:instrText xml:space="preserve"> SEQ level0 \*arabic </w:instrText>
      </w:r>
      <w:r w:rsidRPr="007C5C4F">
        <w:fldChar w:fldCharType="separate"/>
      </w:r>
      <w:r w:rsidRPr="007C5C4F" w:rsidR="007C5C4F">
        <w:rPr>
          <w:noProof/>
        </w:rPr>
        <w:t>51</w:t>
      </w:r>
      <w:r w:rsidRPr="007C5C4F">
        <w:fldChar w:fldCharType="end"/>
      </w:r>
      <w:r w:rsidRPr="007C5C4F">
        <w:t>.  Both applicants applied for leave to appeal to the Supreme Court. The first applicant asked that the following points of law be certified: whether the exercise of discretion by the CPS as to whether to prosecute a child found by the Competent Authority to be the victim of trafficking exhausted the United Kingdom</w:t>
      </w:r>
      <w:r w:rsidRPr="007C5C4F" w:rsidR="007C5C4F">
        <w:t>’</w:t>
      </w:r>
      <w:r w:rsidRPr="007C5C4F">
        <w:t>s obligations under domestic and international law for that child; and on what standard of proof the CPS had to find the child a credible victim of trafficking for the child not to be prosecuted. The second applicant invoked Article 4 of the Convention and submitted that the facts of the case raised a question concerning the extent to which the CPS should give weight to the positive findings of those given the responsibility for determining the status of a child who may have been trafficked.</w:t>
      </w:r>
    </w:p>
    <w:p w:rsidRPr="007C5C4F" w:rsidR="005E3D7B" w:rsidP="007C5C4F" w14:paraId="47E7B312" w14:textId="799CEB37">
      <w:pPr>
        <w:pStyle w:val="JuPara"/>
      </w:pPr>
      <w:r w:rsidRPr="007C5C4F">
        <w:fldChar w:fldCharType="begin"/>
      </w:r>
      <w:r w:rsidRPr="007C5C4F">
        <w:instrText xml:space="preserve"> SEQ level0 \*arabic </w:instrText>
      </w:r>
      <w:r w:rsidRPr="007C5C4F">
        <w:fldChar w:fldCharType="separate"/>
      </w:r>
      <w:r w:rsidRPr="007C5C4F" w:rsidR="007C5C4F">
        <w:rPr>
          <w:noProof/>
        </w:rPr>
        <w:t>52</w:t>
      </w:r>
      <w:r w:rsidRPr="007C5C4F">
        <w:fldChar w:fldCharType="end"/>
      </w:r>
      <w:r w:rsidRPr="007C5C4F">
        <w:t>.  The applications for permission to appeal to the Supreme Court were refused.</w:t>
      </w:r>
    </w:p>
    <w:p w:rsidRPr="007C5C4F" w:rsidR="005E3D7B" w:rsidP="007C5C4F" w14:paraId="1ECD99C0" w14:textId="77777777">
      <w:pPr>
        <w:pStyle w:val="JuHIRoman"/>
        <w:tabs>
          <w:tab w:val="clear" w:pos="454"/>
          <w:tab w:val="clear" w:pos="567"/>
          <w:tab w:val="clear" w:pos="680"/>
        </w:tabs>
        <w:ind w:left="357" w:hanging="357"/>
        <w:jc w:val="left"/>
      </w:pPr>
      <w:r w:rsidRPr="007C5C4F">
        <w:t>Subsequent proceedings</w:t>
      </w:r>
    </w:p>
    <w:p w:rsidRPr="007C5C4F" w:rsidR="005E3D7B" w:rsidP="007C5C4F" w14:paraId="509016EB" w14:textId="61FA4C91">
      <w:pPr>
        <w:pStyle w:val="JuHA"/>
        <w:ind w:left="584" w:hanging="352"/>
        <w:jc w:val="left"/>
      </w:pPr>
      <w:r w:rsidRPr="007C5C4F">
        <w:t>Reconsideration of the first applicant</w:t>
      </w:r>
      <w:r w:rsidRPr="007C5C4F" w:rsidR="007C5C4F">
        <w:t>’</w:t>
      </w:r>
      <w:r w:rsidRPr="007C5C4F">
        <w:t>s Conclusive Decision</w:t>
      </w:r>
    </w:p>
    <w:bookmarkStart w:name="A1Recon" w:id="46"/>
    <w:p w:rsidRPr="007C5C4F" w:rsidR="005E3D7B" w:rsidP="007C5C4F" w14:paraId="42CC09BE" w14:textId="37BEAE9A">
      <w:pPr>
        <w:pStyle w:val="JuPara"/>
      </w:pPr>
      <w:r w:rsidRPr="007C5C4F">
        <w:fldChar w:fldCharType="begin"/>
      </w:r>
      <w:r w:rsidRPr="007C5C4F">
        <w:instrText xml:space="preserve"> SEQ level0 \*arabic </w:instrText>
      </w:r>
      <w:r w:rsidRPr="007C5C4F">
        <w:fldChar w:fldCharType="separate"/>
      </w:r>
      <w:r w:rsidRPr="007C5C4F" w:rsidR="007C5C4F">
        <w:rPr>
          <w:noProof/>
        </w:rPr>
        <w:t>53</w:t>
      </w:r>
      <w:r w:rsidRPr="007C5C4F">
        <w:fldChar w:fldCharType="end"/>
      </w:r>
      <w:bookmarkEnd w:id="46"/>
      <w:r w:rsidRPr="007C5C4F">
        <w:t>.  On 22 January 2014 the Treasury Solicitor</w:t>
      </w:r>
      <w:r w:rsidRPr="007C5C4F" w:rsidR="007C5C4F">
        <w:t>’</w:t>
      </w:r>
      <w:r w:rsidRPr="007C5C4F">
        <w:t>s</w:t>
      </w:r>
      <w:r w:rsidRPr="007C5C4F" w:rsidR="009D0F2F">
        <w:t xml:space="preserve"> Department</w:t>
      </w:r>
      <w:r w:rsidRPr="007C5C4F">
        <w:t xml:space="preserve"> asked that the first applicant</w:t>
      </w:r>
      <w:r w:rsidRPr="007C5C4F" w:rsidR="007C5C4F">
        <w:t>’</w:t>
      </w:r>
      <w:r w:rsidRPr="007C5C4F">
        <w:t xml:space="preserve">s Conclusive Decision (see paragraph </w:t>
      </w:r>
      <w:r w:rsidRPr="007C5C4F">
        <w:fldChar w:fldCharType="begin"/>
      </w:r>
      <w:r w:rsidRPr="007C5C4F">
        <w:instrText xml:space="preserve"> REF A113 \h </w:instrText>
      </w:r>
      <w:r w:rsidRPr="007C5C4F">
        <w:fldChar w:fldCharType="separate"/>
      </w:r>
      <w:r w:rsidRPr="007C5C4F" w:rsidR="007C5C4F">
        <w:rPr>
          <w:rFonts w:eastAsiaTheme="minorEastAsia"/>
          <w:noProof/>
        </w:rPr>
        <w:t>13</w:t>
      </w:r>
      <w:r w:rsidRPr="007C5C4F">
        <w:fldChar w:fldCharType="end"/>
      </w:r>
      <w:r w:rsidRPr="007C5C4F">
        <w:t xml:space="preserve"> above) be reconsidered based on the information contained in the CPS file and the comments made by the judge in sentencing him.</w:t>
      </w:r>
    </w:p>
    <w:bookmarkStart w:name="A1Recon2" w:id="47"/>
    <w:p w:rsidRPr="007C5C4F" w:rsidR="005E3D7B" w:rsidP="007C5C4F" w14:paraId="289E85BB" w14:textId="2AB4FAA2">
      <w:pPr>
        <w:pStyle w:val="JuPara"/>
      </w:pPr>
      <w:r w:rsidRPr="007C5C4F">
        <w:fldChar w:fldCharType="begin"/>
      </w:r>
      <w:r w:rsidRPr="007C5C4F">
        <w:instrText xml:space="preserve"> SEQ level0 \*arabic </w:instrText>
      </w:r>
      <w:r w:rsidRPr="007C5C4F">
        <w:fldChar w:fldCharType="separate"/>
      </w:r>
      <w:r w:rsidRPr="007C5C4F" w:rsidR="007C5C4F">
        <w:rPr>
          <w:noProof/>
        </w:rPr>
        <w:t>54</w:t>
      </w:r>
      <w:r w:rsidRPr="007C5C4F">
        <w:fldChar w:fldCharType="end"/>
      </w:r>
      <w:bookmarkEnd w:id="47"/>
      <w:r w:rsidRPr="007C5C4F">
        <w:t xml:space="preserve">.  In a decision dated 31 July 2014 the Competent Authority indicated that the Conclusive Decision would be maintained. In its opinion, the information provided did not change the key points of the case which were that the first applicant was found inside a cannabis factory when he was a minor. According to the Palermo Protocol and the Anti-Trafficking Convention, in order to be considered a victim of human trafficking three constituent elements usually had to be present: the person had to be subject to the act of recruitment, transportation, transfer, harbouring or receipt (action); by means of threat of force or other form of coercion (means); for the purpose of exploitation, including, </w:t>
      </w:r>
      <w:r w:rsidRPr="007C5C4F">
        <w:rPr>
          <w:i/>
          <w:iCs/>
        </w:rPr>
        <w:t>inter alia</w:t>
      </w:r>
      <w:r w:rsidRPr="007C5C4F">
        <w:t>, forced labour or services (purpose). However, the “means” element was not required where the individual was a child as they could not give informed consent. In the first applicant</w:t>
      </w:r>
      <w:r w:rsidRPr="007C5C4F" w:rsidR="007C5C4F">
        <w:t>’</w:t>
      </w:r>
      <w:r w:rsidRPr="007C5C4F">
        <w:t>s case, he worked for other people as a gardener so he was recruited. In addition, he was locked in the property which was considered to constitute harbouring. Lastly, the work that he did was illegal, therefore the benefits that he received for doing it were not proportionate to the work that he was required to do. Therefore, in the view of the Competent Authority it was very clear that the first applicant had been trafficked. In so far as the judge at his criminal trial had doubted that he was trafficked, his findings relating to credibility related to peripheral issues that did not go to the core of the elements that made up the definition of trafficking.</w:t>
      </w:r>
    </w:p>
    <w:p w:rsidRPr="007C5C4F" w:rsidR="005E3D7B" w:rsidP="007C5C4F" w14:paraId="647D2A41" w14:textId="201A9B02">
      <w:pPr>
        <w:pStyle w:val="JuHA"/>
        <w:ind w:left="584" w:hanging="352"/>
        <w:jc w:val="left"/>
      </w:pPr>
      <w:r w:rsidRPr="007C5C4F">
        <w:t>The first applicant</w:t>
      </w:r>
      <w:r w:rsidRPr="007C5C4F" w:rsidR="007C5C4F">
        <w:t>’</w:t>
      </w:r>
      <w:r w:rsidRPr="007C5C4F">
        <w:t>s further appeal</w:t>
      </w:r>
    </w:p>
    <w:bookmarkStart w:name="A1CA2Start" w:id="48"/>
    <w:p w:rsidRPr="007C5C4F" w:rsidR="005E3D7B" w:rsidP="007C5C4F" w14:paraId="30CAD8DB" w14:textId="4FFAAD54">
      <w:pPr>
        <w:pStyle w:val="JuPara"/>
        <w:rPr>
          <w:rFonts w:eastAsiaTheme="minorEastAsia"/>
        </w:rPr>
      </w:pPr>
      <w:r w:rsidRPr="007C5C4F">
        <w:rPr>
          <w:rFonts w:eastAsiaTheme="minorEastAsia"/>
        </w:rPr>
        <w:fldChar w:fldCharType="begin"/>
      </w:r>
      <w:r w:rsidRPr="007C5C4F">
        <w:rPr>
          <w:rFonts w:eastAsiaTheme="minorEastAsia"/>
        </w:rPr>
        <w:instrText xml:space="preserve"> SEQ level0 \*arabic </w:instrText>
      </w:r>
      <w:r w:rsidRPr="007C5C4F">
        <w:rPr>
          <w:rFonts w:eastAsiaTheme="minorEastAsia"/>
        </w:rPr>
        <w:fldChar w:fldCharType="separate"/>
      </w:r>
      <w:r w:rsidRPr="007C5C4F" w:rsidR="007C5C4F">
        <w:rPr>
          <w:rFonts w:eastAsiaTheme="minorEastAsia"/>
          <w:noProof/>
        </w:rPr>
        <w:t>55</w:t>
      </w:r>
      <w:r w:rsidRPr="007C5C4F">
        <w:rPr>
          <w:rFonts w:eastAsiaTheme="minorEastAsia"/>
        </w:rPr>
        <w:fldChar w:fldCharType="end"/>
      </w:r>
      <w:bookmarkEnd w:id="48"/>
      <w:r w:rsidRPr="007C5C4F">
        <w:rPr>
          <w:rFonts w:eastAsiaTheme="minorEastAsia"/>
        </w:rPr>
        <w:t>.  On 13 December 2013 the first applicant sought a review of his conviction based on new evidence and new legal arguments. The former constituted fresh medical evidence indicating that the first applicant had, on the balance of probabilities, Asperger</w:t>
      </w:r>
      <w:r w:rsidRPr="007C5C4F" w:rsidR="007C5C4F">
        <w:rPr>
          <w:rFonts w:eastAsiaTheme="minorEastAsia"/>
        </w:rPr>
        <w:t>’</w:t>
      </w:r>
      <w:r w:rsidRPr="007C5C4F">
        <w:rPr>
          <w:rFonts w:eastAsiaTheme="minorEastAsia"/>
        </w:rPr>
        <w:t>s Syndrome together with symptoms of PTSD and, as a consequence, was likely to have been socially naïve and vulnerable to exploitation. In respect of the latter, the first applicant argued that the Prosecution</w:t>
      </w:r>
      <w:r w:rsidRPr="007C5C4F" w:rsidR="007C5C4F">
        <w:rPr>
          <w:rFonts w:eastAsiaTheme="minorEastAsia"/>
        </w:rPr>
        <w:t>’</w:t>
      </w:r>
      <w:r w:rsidRPr="007C5C4F">
        <w:rPr>
          <w:rFonts w:eastAsiaTheme="minorEastAsia"/>
        </w:rPr>
        <w:t>s failure to conduct a trafficking investigation was in breach of Article 4 of the Convention and rendered the decision to prosecute unlawful. Furthermore, the Prosecution had failed to give any proper consideration to the fact that the first applicant was a minor who had been assessed by both UKBA and social services as having been trafficked.</w:t>
      </w:r>
    </w:p>
    <w:p w:rsidRPr="007C5C4F" w:rsidR="005E3D7B" w:rsidP="007C5C4F" w14:paraId="70EE09D8" w14:textId="12F85C5F">
      <w:pPr>
        <w:pStyle w:val="JuPara"/>
        <w:rPr>
          <w:rFonts w:eastAsiaTheme="minorEastAsia"/>
        </w:rPr>
      </w:pPr>
      <w:r w:rsidRPr="007C5C4F">
        <w:rPr>
          <w:rFonts w:eastAsiaTheme="minorEastAsia"/>
        </w:rPr>
        <w:fldChar w:fldCharType="begin"/>
      </w:r>
      <w:r w:rsidRPr="007C5C4F">
        <w:rPr>
          <w:rFonts w:eastAsiaTheme="minorEastAsia"/>
        </w:rPr>
        <w:instrText xml:space="preserve"> SEQ level0 \*arabic </w:instrText>
      </w:r>
      <w:r w:rsidRPr="007C5C4F">
        <w:rPr>
          <w:rFonts w:eastAsiaTheme="minorEastAsia"/>
        </w:rPr>
        <w:fldChar w:fldCharType="separate"/>
      </w:r>
      <w:r w:rsidRPr="007C5C4F" w:rsidR="007C5C4F">
        <w:rPr>
          <w:rFonts w:eastAsiaTheme="minorEastAsia"/>
          <w:noProof/>
        </w:rPr>
        <w:t>56</w:t>
      </w:r>
      <w:r w:rsidRPr="007C5C4F">
        <w:rPr>
          <w:rFonts w:eastAsiaTheme="minorEastAsia"/>
        </w:rPr>
        <w:fldChar w:fldCharType="end"/>
      </w:r>
      <w:r w:rsidRPr="007C5C4F">
        <w:rPr>
          <w:rFonts w:eastAsiaTheme="minorEastAsia"/>
        </w:rPr>
        <w:t>.  On 14 April 2016 the Criminal Cases Review Commission decided to refer the first applicant</w:t>
      </w:r>
      <w:r w:rsidRPr="007C5C4F" w:rsidR="007C5C4F">
        <w:rPr>
          <w:rFonts w:eastAsiaTheme="minorEastAsia"/>
        </w:rPr>
        <w:t>’</w:t>
      </w:r>
      <w:r w:rsidRPr="007C5C4F">
        <w:rPr>
          <w:rFonts w:eastAsiaTheme="minorEastAsia"/>
        </w:rPr>
        <w:t>s case back to the Court of Appeal on the following grounds: there was new evidence available to show that he should have been recognised by the CPS as a credible child victim of trafficking and was compelled to commit a criminal offence as a direct consequence of his trafficked situation; that there was a real possibility that the Court of Appeal would vacate his guilty plea and find that it was an abuse of process to prosecute him without due regard to the United Kingdom</w:t>
      </w:r>
      <w:r w:rsidRPr="007C5C4F" w:rsidR="007C5C4F">
        <w:rPr>
          <w:rFonts w:eastAsiaTheme="minorEastAsia"/>
        </w:rPr>
        <w:t>’</w:t>
      </w:r>
      <w:r w:rsidRPr="007C5C4F">
        <w:rPr>
          <w:rFonts w:eastAsiaTheme="minorEastAsia"/>
        </w:rPr>
        <w:t>s obligations under Article 26 of the Anti-Trafficking Convention; and that there was therefore a real possibility that his conviction would be quashed. It noted, in addition, that the 2009 CPS guidance appeared to be defective; while it made reference to the degree of duress or coercion to which child victims may be subject, it failed to underline that compulsion to commit an offence was not required.</w:t>
      </w:r>
    </w:p>
    <w:p w:rsidRPr="007C5C4F" w:rsidR="005E3D7B" w:rsidP="007C5C4F" w14:paraId="76FC9DD3" w14:textId="5A8F717E">
      <w:pPr>
        <w:pStyle w:val="JuPara"/>
        <w:rPr>
          <w:rFonts w:eastAsiaTheme="minorEastAsia"/>
        </w:rPr>
      </w:pPr>
      <w:r w:rsidRPr="007C5C4F">
        <w:rPr>
          <w:rFonts w:eastAsiaTheme="minorEastAsia"/>
        </w:rPr>
        <w:fldChar w:fldCharType="begin"/>
      </w:r>
      <w:r w:rsidRPr="007C5C4F">
        <w:rPr>
          <w:rFonts w:eastAsiaTheme="minorEastAsia"/>
        </w:rPr>
        <w:instrText xml:space="preserve"> SEQ level0 \*arabic </w:instrText>
      </w:r>
      <w:r w:rsidRPr="007C5C4F">
        <w:rPr>
          <w:rFonts w:eastAsiaTheme="minorEastAsia"/>
        </w:rPr>
        <w:fldChar w:fldCharType="separate"/>
      </w:r>
      <w:r w:rsidRPr="007C5C4F" w:rsidR="007C5C4F">
        <w:rPr>
          <w:rFonts w:eastAsiaTheme="minorEastAsia"/>
          <w:noProof/>
        </w:rPr>
        <w:t>57</w:t>
      </w:r>
      <w:r w:rsidRPr="007C5C4F">
        <w:rPr>
          <w:rFonts w:eastAsiaTheme="minorEastAsia"/>
        </w:rPr>
        <w:fldChar w:fldCharType="end"/>
      </w:r>
      <w:r w:rsidRPr="007C5C4F">
        <w:rPr>
          <w:rFonts w:eastAsiaTheme="minorEastAsia"/>
        </w:rPr>
        <w:t>.  The first applicant</w:t>
      </w:r>
      <w:r w:rsidRPr="007C5C4F" w:rsidR="007C5C4F">
        <w:rPr>
          <w:rFonts w:eastAsiaTheme="minorEastAsia"/>
        </w:rPr>
        <w:t>’</w:t>
      </w:r>
      <w:r w:rsidRPr="007C5C4F">
        <w:rPr>
          <w:rFonts w:eastAsiaTheme="minorEastAsia"/>
        </w:rPr>
        <w:t>s appeal was heard together with five other appeals in which convicted defendants argued that they should not have been prosecuted as there was a nexus between their crimes and their status as victims of trafficking.</w:t>
      </w:r>
    </w:p>
    <w:p w:rsidRPr="007C5C4F" w:rsidR="005E3D7B" w:rsidP="007C5C4F" w14:paraId="543F9951" w14:textId="7C5476E0">
      <w:pPr>
        <w:pStyle w:val="JuPara"/>
        <w:rPr>
          <w:rFonts w:eastAsiaTheme="minorEastAsia"/>
        </w:rPr>
      </w:pPr>
      <w:r w:rsidRPr="007C5C4F">
        <w:rPr>
          <w:rFonts w:eastAsiaTheme="minorEastAsia"/>
        </w:rPr>
        <w:fldChar w:fldCharType="begin"/>
      </w:r>
      <w:r w:rsidRPr="007C5C4F">
        <w:rPr>
          <w:rFonts w:eastAsiaTheme="minorEastAsia"/>
        </w:rPr>
        <w:instrText xml:space="preserve"> SEQ level0 \*arabic </w:instrText>
      </w:r>
      <w:r w:rsidRPr="007C5C4F">
        <w:rPr>
          <w:rFonts w:eastAsiaTheme="minorEastAsia"/>
        </w:rPr>
        <w:fldChar w:fldCharType="separate"/>
      </w:r>
      <w:r w:rsidRPr="007C5C4F" w:rsidR="007C5C4F">
        <w:rPr>
          <w:rFonts w:eastAsiaTheme="minorEastAsia"/>
          <w:noProof/>
        </w:rPr>
        <w:t>58</w:t>
      </w:r>
      <w:r w:rsidRPr="007C5C4F">
        <w:rPr>
          <w:rFonts w:eastAsiaTheme="minorEastAsia"/>
        </w:rPr>
        <w:fldChar w:fldCharType="end"/>
      </w:r>
      <w:r w:rsidRPr="007C5C4F">
        <w:rPr>
          <w:rFonts w:eastAsiaTheme="minorEastAsia"/>
        </w:rPr>
        <w:t>.  The first applicant</w:t>
      </w:r>
      <w:r w:rsidRPr="007C5C4F" w:rsidR="007C5C4F">
        <w:rPr>
          <w:rFonts w:eastAsiaTheme="minorEastAsia"/>
        </w:rPr>
        <w:t>’</w:t>
      </w:r>
      <w:r w:rsidRPr="007C5C4F">
        <w:rPr>
          <w:rFonts w:eastAsiaTheme="minorEastAsia"/>
        </w:rPr>
        <w:t>s grounds of appeal were (i) that if the information which subsequently came to light had been known by the CPS prior to the decision to prosecute, and had the Article 26 guidance been applied to those facts, the CPS and/or the Court of Appeal would not have concluded that it was in the public interest to prosecute him; (ii) that the Crown misdirected itself by importing the requirement of force/coercion into the question of whether he was a trafficked child within the meaning of Article 26; (iii) that the Crown, in assessing whether he was an exploited child, took into account immaterial considerations and failed to take into account material considerations; (iv) that the Crown failed to grasp the central relevance of whether he had been trafficked to the public interest in his prosecution; and (v) that the decision to prosecute him and to preclude the application of Article 26 was rendered unlawful by the failure to prompt a criminal investigation into whether he was trafficked or not – as required by Article 4 of the Convention – which would have informed the public interest decision.</w:t>
      </w:r>
    </w:p>
    <w:p w:rsidRPr="007C5C4F" w:rsidR="005E3D7B" w:rsidP="007C5C4F" w14:paraId="26E9A765" w14:textId="2EAE4122">
      <w:pPr>
        <w:pStyle w:val="JuPara"/>
        <w:rPr>
          <w:rFonts w:eastAsiaTheme="minorEastAsia"/>
        </w:rPr>
      </w:pPr>
      <w:r w:rsidRPr="007C5C4F">
        <w:rPr>
          <w:rFonts w:eastAsiaTheme="minorEastAsia"/>
        </w:rPr>
        <w:fldChar w:fldCharType="begin"/>
      </w:r>
      <w:r w:rsidRPr="007C5C4F">
        <w:rPr>
          <w:rFonts w:eastAsiaTheme="minorEastAsia"/>
        </w:rPr>
        <w:instrText xml:space="preserve"> SEQ level0 \*arabic </w:instrText>
      </w:r>
      <w:r w:rsidRPr="007C5C4F">
        <w:rPr>
          <w:rFonts w:eastAsiaTheme="minorEastAsia"/>
        </w:rPr>
        <w:fldChar w:fldCharType="separate"/>
      </w:r>
      <w:r w:rsidRPr="007C5C4F" w:rsidR="007C5C4F">
        <w:rPr>
          <w:rFonts w:eastAsiaTheme="minorEastAsia"/>
          <w:noProof/>
        </w:rPr>
        <w:t>59</w:t>
      </w:r>
      <w:r w:rsidRPr="007C5C4F">
        <w:rPr>
          <w:rFonts w:eastAsiaTheme="minorEastAsia"/>
        </w:rPr>
        <w:fldChar w:fldCharType="end"/>
      </w:r>
      <w:r w:rsidRPr="007C5C4F">
        <w:rPr>
          <w:rFonts w:eastAsiaTheme="minorEastAsia"/>
        </w:rPr>
        <w:t>.  Prior to the hearing the first applicant</w:t>
      </w:r>
      <w:r w:rsidRPr="007C5C4F" w:rsidR="007C5C4F">
        <w:rPr>
          <w:rFonts w:eastAsiaTheme="minorEastAsia"/>
        </w:rPr>
        <w:t>’</w:t>
      </w:r>
      <w:r w:rsidRPr="007C5C4F">
        <w:rPr>
          <w:rFonts w:eastAsiaTheme="minorEastAsia"/>
        </w:rPr>
        <w:t>s representatives prepared a note on Competent Authorities to assist the Court of Appeal in considering the interplay between the Competent Authority</w:t>
      </w:r>
      <w:r w:rsidRPr="007C5C4F" w:rsidR="007C5C4F">
        <w:rPr>
          <w:rFonts w:eastAsiaTheme="minorEastAsia"/>
        </w:rPr>
        <w:t>’</w:t>
      </w:r>
      <w:r w:rsidRPr="007C5C4F">
        <w:rPr>
          <w:rFonts w:eastAsiaTheme="minorEastAsia"/>
        </w:rPr>
        <w:t>s identification of a potential victim under the National Referral Mechanism and how this fitted within the criminal justice framework. It noted that there was a procedural obligation on the State – which constituted a procedural obligation under Article 4 of the Convention – to investigate situations of potential trafficking. Both the Competent Authority and the Local Authority had assessed and identified the first applicant as a trafficked child. This information had triggered a positive obligation on the police and the Crown to conduct an Article 4-compliant investigation into the allegation of child trafficking. They both had a number of opportunities to discharge that obligation but failed to do so. Both the Competent Authority and the Local Authority had, however, acted in accordance with their responsibilities. The Crown should not, as a result, be able to pray in aid their Article 4 failings, and those of the police, to undermine the assessments of the Competent Authority and the Local Authority.</w:t>
      </w:r>
    </w:p>
    <w:p w:rsidRPr="007C5C4F" w:rsidR="005E3D7B" w:rsidP="007C5C4F" w14:paraId="6CC7A7E7" w14:textId="50AF678D">
      <w:pPr>
        <w:pStyle w:val="JuPara"/>
        <w:rPr>
          <w:rFonts w:eastAsiaTheme="minorEastAsia"/>
        </w:rPr>
      </w:pPr>
      <w:r w:rsidRPr="007C5C4F">
        <w:rPr>
          <w:rFonts w:eastAsiaTheme="minorEastAsia"/>
        </w:rPr>
        <w:fldChar w:fldCharType="begin"/>
      </w:r>
      <w:r w:rsidRPr="007C5C4F">
        <w:rPr>
          <w:rFonts w:eastAsiaTheme="minorEastAsia"/>
        </w:rPr>
        <w:instrText xml:space="preserve"> SEQ level0 \*arabic </w:instrText>
      </w:r>
      <w:r w:rsidRPr="007C5C4F">
        <w:rPr>
          <w:rFonts w:eastAsiaTheme="minorEastAsia"/>
        </w:rPr>
        <w:fldChar w:fldCharType="separate"/>
      </w:r>
      <w:r w:rsidRPr="007C5C4F" w:rsidR="007C5C4F">
        <w:rPr>
          <w:rFonts w:eastAsiaTheme="minorEastAsia"/>
          <w:noProof/>
        </w:rPr>
        <w:t>60</w:t>
      </w:r>
      <w:r w:rsidRPr="007C5C4F">
        <w:rPr>
          <w:rFonts w:eastAsiaTheme="minorEastAsia"/>
        </w:rPr>
        <w:fldChar w:fldCharType="end"/>
      </w:r>
      <w:r w:rsidRPr="007C5C4F">
        <w:rPr>
          <w:rFonts w:eastAsiaTheme="minorEastAsia"/>
        </w:rPr>
        <w:t xml:space="preserve">.  Before the Court of Appeal Anti-Slavery International submitted, as interveners, that in order to comply with international conventions the court should develop the law of duress so that persons who could not avail themselves of section 45 of the Modern Slavery Act 2015 (which reflected the “non-punishment provision” in the Anti-Trafficking Convention – see paragraph </w:t>
      </w:r>
      <w:r w:rsidRPr="007C5C4F">
        <w:rPr>
          <w:rFonts w:eastAsiaTheme="minorEastAsia"/>
        </w:rPr>
        <w:fldChar w:fldCharType="begin"/>
      </w:r>
      <w:r w:rsidRPr="007C5C4F">
        <w:rPr>
          <w:rFonts w:eastAsiaTheme="minorEastAsia"/>
        </w:rPr>
        <w:instrText xml:space="preserve"> REF Art26 \h </w:instrText>
      </w:r>
      <w:r w:rsidRPr="007C5C4F">
        <w:rPr>
          <w:rFonts w:eastAsiaTheme="minorEastAsia"/>
        </w:rPr>
        <w:fldChar w:fldCharType="separate"/>
      </w:r>
      <w:r w:rsidRPr="007C5C4F" w:rsidR="007C5C4F">
        <w:rPr>
          <w:rStyle w:val="JuParaChar"/>
          <w:noProof/>
        </w:rPr>
        <w:t>103</w:t>
      </w:r>
      <w:r w:rsidRPr="007C5C4F">
        <w:rPr>
          <w:rFonts w:eastAsiaTheme="minorEastAsia"/>
        </w:rPr>
        <w:fldChar w:fldCharType="end"/>
      </w:r>
      <w:r w:rsidRPr="007C5C4F">
        <w:rPr>
          <w:rFonts w:eastAsiaTheme="minorEastAsia"/>
        </w:rPr>
        <w:t xml:space="preserve"> below) because it was not in force at the relevant time would be in the same position as those who could rely on it.</w:t>
      </w:r>
    </w:p>
    <w:p w:rsidRPr="007C5C4F" w:rsidR="005E3D7B" w:rsidP="007C5C4F" w14:paraId="42813D6E" w14:textId="65C922AE">
      <w:pPr>
        <w:pStyle w:val="JuPara"/>
        <w:rPr>
          <w:rFonts w:eastAsiaTheme="minorEastAsia"/>
        </w:rPr>
      </w:pPr>
      <w:r w:rsidRPr="007C5C4F">
        <w:rPr>
          <w:rFonts w:eastAsiaTheme="minorEastAsia"/>
        </w:rPr>
        <w:fldChar w:fldCharType="begin"/>
      </w:r>
      <w:r w:rsidRPr="007C5C4F">
        <w:rPr>
          <w:rFonts w:eastAsiaTheme="minorEastAsia"/>
        </w:rPr>
        <w:instrText xml:space="preserve"> SEQ level0 \*arabic </w:instrText>
      </w:r>
      <w:r w:rsidRPr="007C5C4F">
        <w:rPr>
          <w:rFonts w:eastAsiaTheme="minorEastAsia"/>
        </w:rPr>
        <w:fldChar w:fldCharType="separate"/>
      </w:r>
      <w:r w:rsidRPr="007C5C4F" w:rsidR="007C5C4F">
        <w:rPr>
          <w:rFonts w:eastAsiaTheme="minorEastAsia"/>
          <w:noProof/>
        </w:rPr>
        <w:t>61</w:t>
      </w:r>
      <w:r w:rsidRPr="007C5C4F">
        <w:rPr>
          <w:rFonts w:eastAsiaTheme="minorEastAsia"/>
        </w:rPr>
        <w:fldChar w:fldCharType="end"/>
      </w:r>
      <w:r w:rsidRPr="007C5C4F">
        <w:rPr>
          <w:rFonts w:eastAsiaTheme="minorEastAsia"/>
        </w:rPr>
        <w:t>.  Judgment was handed down on 9 February 2017. The Court of Appeal took the view that even prior to the coming into force of the Modern Slavery Act 2015 the law operated in practice in a way entirely consistent with the United Kingdom</w:t>
      </w:r>
      <w:r w:rsidRPr="007C5C4F" w:rsidR="007C5C4F">
        <w:rPr>
          <w:rFonts w:eastAsiaTheme="minorEastAsia"/>
        </w:rPr>
        <w:t>’</w:t>
      </w:r>
      <w:r w:rsidRPr="007C5C4F">
        <w:rPr>
          <w:rFonts w:eastAsiaTheme="minorEastAsia"/>
        </w:rPr>
        <w:t>s international obligations. It therefore rejected any suggestion that the current approach – particularly in respect of the defence of duress – should be revised for cases not covered by the 2015 Act. In the case of minors, the court reiterated that once it was established that a child was the victim of trafficking for the purposes of exploitation, the relevant question was whether there was a sufficient nexus between the trafficking and the offence; it was not necessary to show there was compulsion to commit the offence (as would be required in the case of an adult). Although the court accepted that this was not clear from the 2009 CPS guidance, both the 2011 and the 2015 guidance were more explicit.</w:t>
      </w:r>
    </w:p>
    <w:p w:rsidRPr="007C5C4F" w:rsidR="005E3D7B" w:rsidP="007C5C4F" w14:paraId="731E902E" w14:textId="1E869840">
      <w:pPr>
        <w:pStyle w:val="JuPara"/>
        <w:rPr>
          <w:rFonts w:eastAsiaTheme="minorEastAsia"/>
        </w:rPr>
      </w:pPr>
      <w:r w:rsidRPr="007C5C4F">
        <w:rPr>
          <w:rFonts w:eastAsiaTheme="minorEastAsia"/>
        </w:rPr>
        <w:fldChar w:fldCharType="begin"/>
      </w:r>
      <w:r w:rsidRPr="007C5C4F">
        <w:rPr>
          <w:rFonts w:eastAsiaTheme="minorEastAsia"/>
        </w:rPr>
        <w:instrText xml:space="preserve"> SEQ level0 \*arabic </w:instrText>
      </w:r>
      <w:r w:rsidRPr="007C5C4F">
        <w:rPr>
          <w:rFonts w:eastAsiaTheme="minorEastAsia"/>
        </w:rPr>
        <w:fldChar w:fldCharType="separate"/>
      </w:r>
      <w:r w:rsidRPr="007C5C4F" w:rsidR="007C5C4F">
        <w:rPr>
          <w:rFonts w:eastAsiaTheme="minorEastAsia"/>
          <w:noProof/>
        </w:rPr>
        <w:t>62</w:t>
      </w:r>
      <w:r w:rsidRPr="007C5C4F">
        <w:rPr>
          <w:rFonts w:eastAsiaTheme="minorEastAsia"/>
        </w:rPr>
        <w:fldChar w:fldCharType="end"/>
      </w:r>
      <w:r w:rsidRPr="007C5C4F">
        <w:rPr>
          <w:rFonts w:eastAsiaTheme="minorEastAsia"/>
        </w:rPr>
        <w:t xml:space="preserve">.  With regard to the relationship between the Competent Authority (see paragraphs </w:t>
      </w:r>
      <w:r w:rsidRPr="007C5C4F">
        <w:rPr>
          <w:rFonts w:eastAsiaTheme="minorEastAsia"/>
        </w:rPr>
        <w:fldChar w:fldCharType="begin"/>
      </w:r>
      <w:r w:rsidRPr="007C5C4F">
        <w:rPr>
          <w:rFonts w:eastAsiaTheme="minorEastAsia"/>
        </w:rPr>
        <w:instrText xml:space="preserve"> REF NRMCA \h </w:instrText>
      </w:r>
      <w:r w:rsidRPr="007C5C4F">
        <w:rPr>
          <w:rFonts w:eastAsiaTheme="minorEastAsia"/>
        </w:rPr>
        <w:fldChar w:fldCharType="separate"/>
      </w:r>
      <w:r w:rsidRPr="007C5C4F" w:rsidR="007C5C4F">
        <w:rPr>
          <w:rFonts w:eastAsiaTheme="minorEastAsia"/>
          <w:noProof/>
        </w:rPr>
        <w:t>75</w:t>
      </w:r>
      <w:r w:rsidRPr="007C5C4F">
        <w:rPr>
          <w:rFonts w:eastAsiaTheme="minorEastAsia"/>
        </w:rPr>
        <w:fldChar w:fldCharType="end"/>
      </w:r>
      <w:r w:rsidRPr="007C5C4F">
        <w:rPr>
          <w:rFonts w:eastAsiaTheme="minorEastAsia"/>
        </w:rPr>
        <w:t>-</w:t>
      </w:r>
      <w:r w:rsidRPr="007C5C4F">
        <w:rPr>
          <w:rFonts w:eastAsiaTheme="minorEastAsia"/>
        </w:rPr>
        <w:fldChar w:fldCharType="begin"/>
      </w:r>
      <w:r w:rsidRPr="007C5C4F">
        <w:rPr>
          <w:rFonts w:eastAsiaTheme="minorEastAsia"/>
        </w:rPr>
        <w:instrText xml:space="preserve"> REF NRMCA2 \h </w:instrText>
      </w:r>
      <w:r w:rsidRPr="007C5C4F">
        <w:rPr>
          <w:rFonts w:eastAsiaTheme="minorEastAsia"/>
        </w:rPr>
        <w:fldChar w:fldCharType="separate"/>
      </w:r>
      <w:r w:rsidRPr="007C5C4F" w:rsidR="007C5C4F">
        <w:rPr>
          <w:rFonts w:eastAsiaTheme="minorEastAsia"/>
          <w:noProof/>
        </w:rPr>
        <w:t>76</w:t>
      </w:r>
      <w:r w:rsidRPr="007C5C4F">
        <w:rPr>
          <w:rFonts w:eastAsiaTheme="minorEastAsia"/>
        </w:rPr>
        <w:fldChar w:fldCharType="end"/>
      </w:r>
      <w:r w:rsidRPr="007C5C4F">
        <w:rPr>
          <w:rFonts w:eastAsiaTheme="minorEastAsia"/>
        </w:rPr>
        <w:t xml:space="preserve"> below) and the CPS, the court noted that the latter was not bound by a decision of the former. It continued:</w:t>
      </w:r>
    </w:p>
    <w:p w:rsidRPr="007C5C4F" w:rsidR="005E3D7B" w:rsidP="007C5C4F" w14:paraId="768E3223" w14:textId="77777777">
      <w:pPr>
        <w:pStyle w:val="JuQuot"/>
        <w:rPr>
          <w:rFonts w:eastAsiaTheme="minorEastAsia"/>
        </w:rPr>
      </w:pPr>
      <w:r w:rsidRPr="007C5C4F">
        <w:rPr>
          <w:rFonts w:eastAsiaTheme="minorEastAsia"/>
        </w:rPr>
        <w:t>“Where there is an issue as to whether a person is a victim of trafficking for the purposes of exploitation whilst a prosecution is being considered or is in progress, the CPS and police are able to refer to the Competent Authority the case of a person in respect of whom there may be evidence of that person being a victim of trafficking. Provision is made in the Guidance to the Competent Authority for cooperation with the police and CPS in all cases before the conclusion of the prosecution. We were told that the cooperation has been developed so that during the procedures for considering prosecution every effort is made to reach a common view on whether the evidence points to the person being a victim of trafficking. That is plainly of the greatest importance, as the cogency of the evidence which may be relied on by the Competent Authority must be subject to thorough forensic examination when the CPS is considering the question of nexus and whether it is in the public interest to prosecute.</w:t>
      </w:r>
    </w:p>
    <w:p w:rsidRPr="007C5C4F" w:rsidR="005E3D7B" w:rsidP="007C5C4F" w14:paraId="48266B9D" w14:textId="166AE072">
      <w:pPr>
        <w:pStyle w:val="JuQuot"/>
        <w:rPr>
          <w:rFonts w:eastAsiaTheme="minorEastAsia"/>
        </w:rPr>
      </w:pPr>
      <w:r w:rsidRPr="007C5C4F">
        <w:rPr>
          <w:rFonts w:eastAsiaTheme="minorEastAsia"/>
        </w:rPr>
        <w:t>However, in respect of a person claiming after conviction to be a victim of trafficking, there is no clear guidance on or process in respect of co-operation with the CPS or in obtaining court documents. These appeals have shown that it would [be] desirable for much clearer guidance and processes to be developed between the CPS and the Competent Authorities in cases where the claim to be a victim of trafficking is made after conviction. It is important to appreciate a court will bear the Competent Authority</w:t>
      </w:r>
      <w:r w:rsidRPr="007C5C4F" w:rsidR="007C5C4F">
        <w:rPr>
          <w:rFonts w:eastAsiaTheme="minorEastAsia"/>
        </w:rPr>
        <w:t>’</w:t>
      </w:r>
      <w:r w:rsidRPr="007C5C4F">
        <w:rPr>
          <w:rFonts w:eastAsiaTheme="minorEastAsia"/>
        </w:rPr>
        <w:t xml:space="preserve">s conclusion very much in mind but will examine the question of the cogency of the evidence on which the Competent Authority relied and subject the evidence to thorough forensic examination. It does not follow from the fact than an individual </w:t>
      </w:r>
      <w:r w:rsidRPr="007C5C4F" w:rsidR="007C5C4F">
        <w:rPr>
          <w:rFonts w:eastAsiaTheme="minorEastAsia"/>
        </w:rPr>
        <w:t>‘</w:t>
      </w:r>
      <w:r w:rsidRPr="007C5C4F">
        <w:rPr>
          <w:rFonts w:eastAsiaTheme="minorEastAsia"/>
        </w:rPr>
        <w:t>fits the profile</w:t>
      </w:r>
      <w:r w:rsidRPr="007C5C4F" w:rsidR="007C5C4F">
        <w:rPr>
          <w:rFonts w:eastAsiaTheme="minorEastAsia"/>
        </w:rPr>
        <w:t>’</w:t>
      </w:r>
      <w:r w:rsidRPr="007C5C4F">
        <w:rPr>
          <w:rFonts w:eastAsiaTheme="minorEastAsia"/>
        </w:rPr>
        <w:t xml:space="preserve"> of a victim of trafficking that they are necessarily the victim of trafficking. A careful analysis of the facts is required including close examination of the individual</w:t>
      </w:r>
      <w:r w:rsidRPr="007C5C4F" w:rsidR="007C5C4F">
        <w:rPr>
          <w:rFonts w:eastAsiaTheme="minorEastAsia"/>
        </w:rPr>
        <w:t>’</w:t>
      </w:r>
      <w:r w:rsidRPr="007C5C4F">
        <w:rPr>
          <w:rFonts w:eastAsiaTheme="minorEastAsia"/>
        </w:rPr>
        <w:t>s account and proper focus on the evidence on the nexus between the trafficking and the offence with which they are charged.”</w:t>
      </w:r>
    </w:p>
    <w:bookmarkStart w:name="A1CA2End" w:id="49"/>
    <w:p w:rsidRPr="007C5C4F" w:rsidR="005E3D7B" w:rsidP="007C5C4F" w14:paraId="04FB4C77" w14:textId="01598BBF">
      <w:pPr>
        <w:pStyle w:val="JuPara"/>
        <w:rPr>
          <w:rFonts w:eastAsiaTheme="minorEastAsia"/>
        </w:rPr>
      </w:pPr>
      <w:r w:rsidRPr="007C5C4F">
        <w:rPr>
          <w:rFonts w:eastAsiaTheme="minorEastAsia"/>
        </w:rPr>
        <w:fldChar w:fldCharType="begin"/>
      </w:r>
      <w:r w:rsidRPr="007C5C4F">
        <w:rPr>
          <w:rFonts w:eastAsiaTheme="minorEastAsia"/>
        </w:rPr>
        <w:instrText xml:space="preserve"> SEQ level0 \*arabic </w:instrText>
      </w:r>
      <w:r w:rsidRPr="007C5C4F">
        <w:rPr>
          <w:rFonts w:eastAsiaTheme="minorEastAsia"/>
        </w:rPr>
        <w:fldChar w:fldCharType="separate"/>
      </w:r>
      <w:r w:rsidRPr="007C5C4F" w:rsidR="007C5C4F">
        <w:rPr>
          <w:rFonts w:eastAsiaTheme="minorEastAsia"/>
          <w:noProof/>
        </w:rPr>
        <w:t>63</w:t>
      </w:r>
      <w:r w:rsidRPr="007C5C4F">
        <w:rPr>
          <w:rFonts w:eastAsiaTheme="minorEastAsia"/>
        </w:rPr>
        <w:fldChar w:fldCharType="end"/>
      </w:r>
      <w:bookmarkEnd w:id="49"/>
      <w:r w:rsidRPr="007C5C4F">
        <w:rPr>
          <w:rFonts w:eastAsiaTheme="minorEastAsia"/>
        </w:rPr>
        <w:t>.  In the first applicant</w:t>
      </w:r>
      <w:r w:rsidRPr="007C5C4F" w:rsidR="007C5C4F">
        <w:rPr>
          <w:rFonts w:eastAsiaTheme="minorEastAsia"/>
        </w:rPr>
        <w:t>’</w:t>
      </w:r>
      <w:r w:rsidRPr="007C5C4F">
        <w:rPr>
          <w:rFonts w:eastAsiaTheme="minorEastAsia"/>
        </w:rPr>
        <w:t>s case, the Court of Appeal was satisfied that his criminality or culpability had not been extinguished or significantly reduced to such a level that he should not have been prosecuted in the public interest. It said:</w:t>
      </w:r>
    </w:p>
    <w:p w:rsidRPr="007C5C4F" w:rsidR="005E3D7B" w:rsidP="007C5C4F" w14:paraId="37B13052" w14:textId="58376989">
      <w:pPr>
        <w:pStyle w:val="JuQuot"/>
        <w:rPr>
          <w:rFonts w:eastAsiaTheme="minorEastAsia"/>
        </w:rPr>
      </w:pPr>
      <w:r w:rsidRPr="007C5C4F">
        <w:rPr>
          <w:rFonts w:eastAsiaTheme="minorEastAsia"/>
        </w:rPr>
        <w:t>“This same ground of appeal albeit differently expressed was at the heart of the appeal on the last occasion in 2012. As we have set out, the court held that the decision to prosecute was amply justified. This is not a case therefore where the court or a defendant</w:t>
      </w:r>
      <w:r w:rsidRPr="007C5C4F" w:rsidR="007C5C4F">
        <w:rPr>
          <w:rFonts w:eastAsiaTheme="minorEastAsia"/>
        </w:rPr>
        <w:t>’</w:t>
      </w:r>
      <w:r w:rsidRPr="007C5C4F">
        <w:rPr>
          <w:rFonts w:eastAsiaTheme="minorEastAsia"/>
        </w:rPr>
        <w:t>s lawyers have missed the opportunity to review an offender</w:t>
      </w:r>
      <w:r w:rsidRPr="007C5C4F" w:rsidR="007C5C4F">
        <w:rPr>
          <w:rFonts w:eastAsiaTheme="minorEastAsia"/>
        </w:rPr>
        <w:t>’</w:t>
      </w:r>
      <w:r w:rsidRPr="007C5C4F">
        <w:rPr>
          <w:rFonts w:eastAsiaTheme="minorEastAsia"/>
        </w:rPr>
        <w:t>s status as a possible victim of trafficking and the nexus with the offence. This was an issue explored with great care and in great detail at the Crown Court and by this court.</w:t>
      </w:r>
    </w:p>
    <w:p w:rsidRPr="007C5C4F" w:rsidR="005E3D7B" w:rsidP="007C5C4F" w14:paraId="23979162" w14:textId="3D3BEE11">
      <w:pPr>
        <w:pStyle w:val="JuQuot"/>
        <w:rPr>
          <w:rFonts w:eastAsiaTheme="minorEastAsia"/>
        </w:rPr>
      </w:pPr>
      <w:r w:rsidRPr="007C5C4F">
        <w:rPr>
          <w:rFonts w:eastAsiaTheme="minorEastAsia"/>
        </w:rPr>
        <w:t>It would require a compelling piece of fresh evidence or line of argument to persuade us to re-tread well-trodden ground. In the appellant</w:t>
      </w:r>
      <w:r w:rsidRPr="007C5C4F" w:rsidR="007C5C4F">
        <w:rPr>
          <w:rFonts w:eastAsiaTheme="minorEastAsia"/>
        </w:rPr>
        <w:t>’</w:t>
      </w:r>
      <w:r w:rsidRPr="007C5C4F">
        <w:rPr>
          <w:rFonts w:eastAsiaTheme="minorEastAsia"/>
        </w:rPr>
        <w:t>s case, there is in truth very little by the way of fresh evidence or fresh argument. The Home Office</w:t>
      </w:r>
      <w:r w:rsidRPr="007C5C4F" w:rsidR="007C5C4F">
        <w:rPr>
          <w:rFonts w:eastAsiaTheme="minorEastAsia"/>
        </w:rPr>
        <w:t>’</w:t>
      </w:r>
      <w:r w:rsidRPr="007C5C4F">
        <w:rPr>
          <w:rFonts w:eastAsiaTheme="minorEastAsia"/>
        </w:rPr>
        <w:t>s determination that the appellant has been trafficked was before the Crown Court and the Court of Appeal.</w:t>
      </w:r>
    </w:p>
    <w:p w:rsidRPr="007C5C4F" w:rsidR="005E3D7B" w:rsidP="007C5C4F" w14:paraId="08B11D0B" w14:textId="60D60463">
      <w:pPr>
        <w:pStyle w:val="JuQuot"/>
        <w:rPr>
          <w:rFonts w:eastAsiaTheme="minorEastAsia"/>
        </w:rPr>
      </w:pPr>
      <w:r w:rsidRPr="007C5C4F">
        <w:rPr>
          <w:rFonts w:eastAsiaTheme="minorEastAsia"/>
        </w:rPr>
        <w:t xml:space="preserve">The only </w:t>
      </w:r>
      <w:r w:rsidRPr="007C5C4F" w:rsidR="007C5C4F">
        <w:rPr>
          <w:rFonts w:eastAsiaTheme="minorEastAsia"/>
        </w:rPr>
        <w:t>‘</w:t>
      </w:r>
      <w:r w:rsidRPr="007C5C4F">
        <w:rPr>
          <w:rFonts w:eastAsiaTheme="minorEastAsia"/>
        </w:rPr>
        <w:t>fresh evidence</w:t>
      </w:r>
      <w:r w:rsidRPr="007C5C4F" w:rsidR="007C5C4F">
        <w:rPr>
          <w:rFonts w:eastAsiaTheme="minorEastAsia"/>
        </w:rPr>
        <w:t>’</w:t>
      </w:r>
      <w:r w:rsidRPr="007C5C4F">
        <w:rPr>
          <w:rFonts w:eastAsiaTheme="minorEastAsia"/>
        </w:rPr>
        <w:t xml:space="preserve"> is the medical report that the appellant is on the Asperger</w:t>
      </w:r>
      <w:r w:rsidRPr="007C5C4F" w:rsidR="007C5C4F">
        <w:rPr>
          <w:rFonts w:eastAsiaTheme="minorEastAsia"/>
        </w:rPr>
        <w:t>’</w:t>
      </w:r>
      <w:r w:rsidRPr="007C5C4F">
        <w:rPr>
          <w:rFonts w:eastAsiaTheme="minorEastAsia"/>
        </w:rPr>
        <w:t>s spectrum and is socially naïve. The submissions to us have made what can be made of that evidence, but we bear in mind the observations of this court in the earlier appeal ... as to the limited assistance given by expert reports that rely so heavily on the account given by the applicant where it differed from earlier accounts. In our judgement, neither the medical report nor its support for the Home Office</w:t>
      </w:r>
      <w:r w:rsidRPr="007C5C4F" w:rsidR="007C5C4F">
        <w:rPr>
          <w:rFonts w:eastAsiaTheme="minorEastAsia"/>
        </w:rPr>
        <w:t>’</w:t>
      </w:r>
      <w:r w:rsidRPr="007C5C4F">
        <w:rPr>
          <w:rFonts w:eastAsiaTheme="minorEastAsia"/>
        </w:rPr>
        <w:t>s conclusion is enough to undermine the appellant</w:t>
      </w:r>
      <w:r w:rsidRPr="007C5C4F" w:rsidR="007C5C4F">
        <w:rPr>
          <w:rFonts w:eastAsiaTheme="minorEastAsia"/>
        </w:rPr>
        <w:t>’</w:t>
      </w:r>
      <w:r w:rsidRPr="007C5C4F">
        <w:rPr>
          <w:rFonts w:eastAsiaTheme="minorEastAsia"/>
        </w:rPr>
        <w:t>s plea of guilty or the court</w:t>
      </w:r>
      <w:r w:rsidRPr="007C5C4F" w:rsidR="007C5C4F">
        <w:rPr>
          <w:rFonts w:eastAsiaTheme="minorEastAsia"/>
        </w:rPr>
        <w:t>’</w:t>
      </w:r>
      <w:r w:rsidRPr="007C5C4F">
        <w:rPr>
          <w:rFonts w:eastAsiaTheme="minorEastAsia"/>
        </w:rPr>
        <w:t>s conclusions on the last occasion that the decision to prosecute in the public interest was amply justified.</w:t>
      </w:r>
    </w:p>
    <w:p w:rsidRPr="007C5C4F" w:rsidR="005E3D7B" w:rsidP="007C5C4F" w14:paraId="0DB3EA91" w14:textId="77777777">
      <w:pPr>
        <w:pStyle w:val="JuQuot"/>
        <w:rPr>
          <w:rFonts w:eastAsiaTheme="minorEastAsia"/>
        </w:rPr>
      </w:pPr>
      <w:r w:rsidRPr="007C5C4F">
        <w:rPr>
          <w:rFonts w:eastAsiaTheme="minorEastAsia"/>
        </w:rPr>
        <w:t>The appellant, who was very nearly an adult, stayed in a house as a gardener of cannabis plants. He was not a prisoner, he had a significant quantity of cash (for no obvious reason) and he had access to a telephone. His explanation of his presence at the house was unsatisfactory and his account of how he got there far from consistent. On those facts, it was open to the Crown to decide that the prosecution should continue as the relevant nexus in the case of a child victim of trafficking had not been established.</w:t>
      </w:r>
    </w:p>
    <w:p w:rsidRPr="007C5C4F" w:rsidR="005E3D7B" w:rsidP="007C5C4F" w14:paraId="4A3A7FA9" w14:textId="77777777">
      <w:pPr>
        <w:pStyle w:val="JuQuot"/>
        <w:rPr>
          <w:rFonts w:eastAsiaTheme="minorEastAsia"/>
        </w:rPr>
      </w:pPr>
      <w:r w:rsidRPr="007C5C4F">
        <w:rPr>
          <w:rFonts w:eastAsiaTheme="minorEastAsia"/>
        </w:rPr>
        <w:t>We reject the assertion that the Court on the last occasion applied the wrong test as to the compulsion required in the case of a child. The judgment begins with a clear statement of all the relevant principles in relation to trafficking including the relevant principles as far as child victims are concerned. The court did not proceed on the basis the appellant had to establish compulsion before his plea could be vacated. ... [T]he paragraph in which reference is made to compulsion and which is the subject of criticism did not relate to this appellant. In paragraph 90 of its judgment on the earlier appeal the court was addressing a particular issue in relation to the co-accused as we have explained. The Crown and this court on the last appeal considered the nexus between the trafficking and the offence on the correct basis; it did not suggest that there had to be evidence of compulsion.”</w:t>
      </w:r>
    </w:p>
    <w:p w:rsidRPr="007C5C4F" w:rsidR="005E3D7B" w:rsidP="007C5C4F" w14:paraId="41405F12" w14:textId="2199858A">
      <w:pPr>
        <w:pStyle w:val="JuPara"/>
        <w:rPr>
          <w:rFonts w:eastAsiaTheme="minorEastAsia"/>
        </w:rPr>
      </w:pPr>
      <w:r w:rsidRPr="007C5C4F">
        <w:rPr>
          <w:rFonts w:eastAsiaTheme="minorEastAsia"/>
        </w:rPr>
        <w:fldChar w:fldCharType="begin"/>
      </w:r>
      <w:r w:rsidRPr="007C5C4F">
        <w:rPr>
          <w:rFonts w:eastAsiaTheme="minorEastAsia"/>
        </w:rPr>
        <w:instrText xml:space="preserve"> SEQ level0 \*arabic </w:instrText>
      </w:r>
      <w:r w:rsidRPr="007C5C4F">
        <w:rPr>
          <w:rFonts w:eastAsiaTheme="minorEastAsia"/>
        </w:rPr>
        <w:fldChar w:fldCharType="separate"/>
      </w:r>
      <w:r w:rsidRPr="007C5C4F" w:rsidR="007C5C4F">
        <w:rPr>
          <w:rFonts w:eastAsiaTheme="minorEastAsia"/>
          <w:noProof/>
        </w:rPr>
        <w:t>64</w:t>
      </w:r>
      <w:r w:rsidRPr="007C5C4F">
        <w:rPr>
          <w:rFonts w:eastAsiaTheme="minorEastAsia"/>
        </w:rPr>
        <w:fldChar w:fldCharType="end"/>
      </w:r>
      <w:r w:rsidRPr="007C5C4F">
        <w:rPr>
          <w:rFonts w:eastAsiaTheme="minorEastAsia"/>
        </w:rPr>
        <w:t>.  The first applicant applied to the Court of Appeal for a certificate that points of law of general public importance were involved in the decision of 9 February 2017 which ought to be considered by the Supreme Court. Those points concerned how the prosecuting authorities and the courts should approach the decision as to whether it is in the public interest for a prosecution to proceed where it is alleged that the suspect is a victim of trafficking; whether the CPS and the criminal court should be bound by a finding of the Competent Authority unless it would be unreasonable on the facts for them to be so bound; and whether the requirement of “compulsion” should be omitted in the case of child victims of trafficking.</w:t>
      </w:r>
    </w:p>
    <w:p w:rsidRPr="007C5C4F" w:rsidR="005E3D7B" w:rsidP="007C5C4F" w14:paraId="5D8C05DC" w14:textId="2F1FB1D9">
      <w:pPr>
        <w:pStyle w:val="JuPara"/>
      </w:pPr>
      <w:r w:rsidRPr="007C5C4F">
        <w:fldChar w:fldCharType="begin"/>
      </w:r>
      <w:r w:rsidRPr="007C5C4F">
        <w:instrText xml:space="preserve"> SEQ level0 \*arabic </w:instrText>
      </w:r>
      <w:r w:rsidRPr="007C5C4F">
        <w:fldChar w:fldCharType="separate"/>
      </w:r>
      <w:r w:rsidRPr="007C5C4F" w:rsidR="007C5C4F">
        <w:rPr>
          <w:noProof/>
        </w:rPr>
        <w:t>65</w:t>
      </w:r>
      <w:r w:rsidRPr="007C5C4F">
        <w:fldChar w:fldCharType="end"/>
      </w:r>
      <w:r w:rsidRPr="007C5C4F">
        <w:t>.  That application was refused on 21 March 2017.</w:t>
      </w:r>
    </w:p>
    <w:p w:rsidRPr="007C5C4F" w:rsidR="005E3D7B" w:rsidP="007C5C4F" w14:paraId="5FC9BE55" w14:textId="77777777">
      <w:pPr>
        <w:pStyle w:val="JuHHead"/>
        <w:jc w:val="left"/>
      </w:pPr>
      <w:r w:rsidRPr="007C5C4F">
        <w:t>RELEVANT LEGAL FRAMEWORK AND PRACTICE</w:t>
      </w:r>
    </w:p>
    <w:p w:rsidRPr="007C5C4F" w:rsidR="005E3D7B" w:rsidP="007C5C4F" w14:paraId="5997B4EB" w14:textId="77777777">
      <w:pPr>
        <w:pStyle w:val="JuHIRoman"/>
        <w:tabs>
          <w:tab w:val="clear" w:pos="454"/>
          <w:tab w:val="clear" w:pos="567"/>
          <w:tab w:val="clear" w:pos="680"/>
        </w:tabs>
        <w:ind w:left="357" w:hanging="357"/>
        <w:jc w:val="left"/>
      </w:pPr>
      <w:r w:rsidRPr="007C5C4F">
        <w:t>Domestic law and practice</w:t>
      </w:r>
    </w:p>
    <w:p w:rsidRPr="007C5C4F" w:rsidR="005E3D7B" w:rsidP="007C5C4F" w14:paraId="2C0486BF" w14:textId="77777777">
      <w:pPr>
        <w:pStyle w:val="JuHA"/>
        <w:ind w:left="584" w:hanging="352"/>
        <w:jc w:val="left"/>
      </w:pPr>
      <w:r w:rsidRPr="007C5C4F">
        <w:t>Modern Slavery Act 2015</w:t>
      </w:r>
    </w:p>
    <w:p w:rsidRPr="007C5C4F" w:rsidR="005E3D7B" w:rsidP="007C5C4F" w14:paraId="44B20C07" w14:textId="6AAEB150">
      <w:pPr>
        <w:pStyle w:val="JuPara"/>
        <w:rPr>
          <w:rFonts w:eastAsiaTheme="minorEastAsia"/>
        </w:rPr>
      </w:pPr>
      <w:r w:rsidRPr="007C5C4F">
        <w:rPr>
          <w:rFonts w:eastAsiaTheme="minorEastAsia"/>
        </w:rPr>
        <w:fldChar w:fldCharType="begin"/>
      </w:r>
      <w:r w:rsidRPr="007C5C4F">
        <w:rPr>
          <w:rFonts w:eastAsiaTheme="minorEastAsia"/>
        </w:rPr>
        <w:instrText xml:space="preserve"> SEQ level0 \*arabic </w:instrText>
      </w:r>
      <w:r w:rsidRPr="007C5C4F">
        <w:rPr>
          <w:rFonts w:eastAsiaTheme="minorEastAsia"/>
        </w:rPr>
        <w:fldChar w:fldCharType="separate"/>
      </w:r>
      <w:r w:rsidRPr="007C5C4F" w:rsidR="007C5C4F">
        <w:rPr>
          <w:rFonts w:eastAsiaTheme="minorEastAsia"/>
          <w:noProof/>
        </w:rPr>
        <w:t>66</w:t>
      </w:r>
      <w:r w:rsidRPr="007C5C4F">
        <w:rPr>
          <w:rFonts w:eastAsiaTheme="minorEastAsia"/>
        </w:rPr>
        <w:fldChar w:fldCharType="end"/>
      </w:r>
      <w:r w:rsidRPr="007C5C4F">
        <w:rPr>
          <w:rFonts w:eastAsiaTheme="minorEastAsia"/>
        </w:rPr>
        <w:t>.  The Modern Slavery Act 2015 (“the 2015 Act”), which came into force on 31 July 2015, made comprehensive provision in respect of human trafficking.</w:t>
      </w:r>
    </w:p>
    <w:p w:rsidRPr="007C5C4F" w:rsidR="005E3D7B" w:rsidP="007C5C4F" w14:paraId="7D843CAF" w14:textId="37B0A66A">
      <w:pPr>
        <w:pStyle w:val="JuPara"/>
        <w:rPr>
          <w:rFonts w:eastAsiaTheme="minorEastAsia"/>
        </w:rPr>
      </w:pPr>
      <w:r w:rsidRPr="007C5C4F">
        <w:rPr>
          <w:rFonts w:eastAsiaTheme="minorEastAsia"/>
        </w:rPr>
        <w:fldChar w:fldCharType="begin"/>
      </w:r>
      <w:r w:rsidRPr="007C5C4F">
        <w:rPr>
          <w:rFonts w:eastAsiaTheme="minorEastAsia"/>
        </w:rPr>
        <w:instrText xml:space="preserve"> SEQ level0 \*arabic </w:instrText>
      </w:r>
      <w:r w:rsidRPr="007C5C4F">
        <w:rPr>
          <w:rFonts w:eastAsiaTheme="minorEastAsia"/>
        </w:rPr>
        <w:fldChar w:fldCharType="separate"/>
      </w:r>
      <w:r w:rsidRPr="007C5C4F" w:rsidR="007C5C4F">
        <w:rPr>
          <w:rFonts w:eastAsiaTheme="minorEastAsia"/>
          <w:noProof/>
        </w:rPr>
        <w:t>67</w:t>
      </w:r>
      <w:r w:rsidRPr="007C5C4F">
        <w:rPr>
          <w:rFonts w:eastAsiaTheme="minorEastAsia"/>
        </w:rPr>
        <w:fldChar w:fldCharType="end"/>
      </w:r>
      <w:r w:rsidRPr="007C5C4F">
        <w:rPr>
          <w:rFonts w:eastAsiaTheme="minorEastAsia"/>
        </w:rPr>
        <w:t>.  Section 45 sets out the conditions which have to be satisfied for a defence to arise where there is a nexus between trafficking and a crime committed:</w:t>
      </w:r>
    </w:p>
    <w:p w:rsidRPr="007C5C4F" w:rsidR="005E3D7B" w:rsidP="007C5C4F" w14:paraId="5519051A" w14:textId="77777777">
      <w:pPr>
        <w:pStyle w:val="JuHArticle"/>
        <w:rPr>
          <w:rFonts w:eastAsiaTheme="minorEastAsia"/>
        </w:rPr>
      </w:pPr>
      <w:r w:rsidRPr="007C5C4F">
        <w:rPr>
          <w:rFonts w:eastAsiaTheme="minorEastAsia"/>
        </w:rPr>
        <w:t>45.  Defence for slavery or trafficking victims who commit an offence</w:t>
      </w:r>
    </w:p>
    <w:p w:rsidRPr="007C5C4F" w:rsidR="005E3D7B" w:rsidP="007C5C4F" w14:paraId="3BE59647" w14:textId="77777777">
      <w:pPr>
        <w:pStyle w:val="JuQuot"/>
        <w:rPr>
          <w:rFonts w:eastAsiaTheme="minorEastAsia"/>
        </w:rPr>
      </w:pPr>
      <w:r w:rsidRPr="007C5C4F">
        <w:rPr>
          <w:rFonts w:eastAsiaTheme="minorEastAsia"/>
        </w:rPr>
        <w:t>“(1)  A person is not guilty of an offence if—</w:t>
      </w:r>
    </w:p>
    <w:p w:rsidRPr="007C5C4F" w:rsidR="005E3D7B" w:rsidP="007C5C4F" w14:paraId="71C307D8" w14:textId="77777777">
      <w:pPr>
        <w:pStyle w:val="JuQuot"/>
        <w:rPr>
          <w:rFonts w:eastAsiaTheme="minorEastAsia"/>
        </w:rPr>
      </w:pPr>
      <w:r w:rsidRPr="007C5C4F">
        <w:rPr>
          <w:rFonts w:eastAsiaTheme="minorEastAsia"/>
        </w:rPr>
        <w:t>(a)  the person is aged 18 or over when the person does the act which constitutes the offence,</w:t>
      </w:r>
    </w:p>
    <w:p w:rsidRPr="007C5C4F" w:rsidR="005E3D7B" w:rsidP="007C5C4F" w14:paraId="6210D271" w14:textId="77777777">
      <w:pPr>
        <w:pStyle w:val="JuQuot"/>
        <w:rPr>
          <w:rFonts w:eastAsiaTheme="minorEastAsia"/>
        </w:rPr>
      </w:pPr>
      <w:r w:rsidRPr="007C5C4F">
        <w:rPr>
          <w:rFonts w:eastAsiaTheme="minorEastAsia"/>
        </w:rPr>
        <w:t>(b)  the person does that act because the person is compelled to do it,</w:t>
      </w:r>
    </w:p>
    <w:p w:rsidRPr="007C5C4F" w:rsidR="005E3D7B" w:rsidP="007C5C4F" w14:paraId="3A662553" w14:textId="77777777">
      <w:pPr>
        <w:pStyle w:val="JuQuot"/>
        <w:rPr>
          <w:rFonts w:eastAsiaTheme="minorEastAsia"/>
        </w:rPr>
      </w:pPr>
      <w:r w:rsidRPr="007C5C4F">
        <w:rPr>
          <w:rFonts w:eastAsiaTheme="minorEastAsia"/>
        </w:rPr>
        <w:t>(c)  the compulsion is attributable to slavery or to relevant exploitation, and</w:t>
      </w:r>
    </w:p>
    <w:p w:rsidRPr="007C5C4F" w:rsidR="005E3D7B" w:rsidP="007C5C4F" w14:paraId="7BB2A6AF" w14:textId="1916DAA2">
      <w:pPr>
        <w:pStyle w:val="JuQuot"/>
        <w:rPr>
          <w:rFonts w:eastAsiaTheme="minorEastAsia"/>
        </w:rPr>
      </w:pPr>
      <w:r w:rsidRPr="007C5C4F">
        <w:rPr>
          <w:rFonts w:eastAsiaTheme="minorEastAsia"/>
        </w:rPr>
        <w:t>(d)  a reasonable person in the same situation as the person and having the person</w:t>
      </w:r>
      <w:r w:rsidRPr="007C5C4F" w:rsidR="007C5C4F">
        <w:rPr>
          <w:rFonts w:eastAsiaTheme="minorEastAsia"/>
        </w:rPr>
        <w:t>’</w:t>
      </w:r>
      <w:r w:rsidRPr="007C5C4F">
        <w:rPr>
          <w:rFonts w:eastAsiaTheme="minorEastAsia"/>
        </w:rPr>
        <w:t>s relevant characteristics would have no realistic alternative to doing that act.</w:t>
      </w:r>
    </w:p>
    <w:p w:rsidRPr="007C5C4F" w:rsidR="005E3D7B" w:rsidP="007C5C4F" w14:paraId="0FB176FF" w14:textId="30A094FC">
      <w:pPr>
        <w:pStyle w:val="JuQuot"/>
        <w:rPr>
          <w:rFonts w:eastAsiaTheme="minorEastAsia"/>
        </w:rPr>
      </w:pPr>
      <w:r w:rsidRPr="007C5C4F">
        <w:rPr>
          <w:rFonts w:eastAsiaTheme="minorEastAsia"/>
        </w:rPr>
        <w:t>(2)  A person may be compelled to do something by another person or by the person</w:t>
      </w:r>
      <w:r w:rsidRPr="007C5C4F" w:rsidR="007C5C4F">
        <w:rPr>
          <w:rFonts w:eastAsiaTheme="minorEastAsia"/>
        </w:rPr>
        <w:t>’</w:t>
      </w:r>
      <w:r w:rsidRPr="007C5C4F">
        <w:rPr>
          <w:rFonts w:eastAsiaTheme="minorEastAsia"/>
        </w:rPr>
        <w:t>s circumstances.</w:t>
      </w:r>
    </w:p>
    <w:p w:rsidRPr="007C5C4F" w:rsidR="005E3D7B" w:rsidP="007C5C4F" w14:paraId="262ECC03" w14:textId="77777777">
      <w:pPr>
        <w:pStyle w:val="JuQuot"/>
        <w:rPr>
          <w:rFonts w:eastAsiaTheme="minorEastAsia"/>
        </w:rPr>
      </w:pPr>
      <w:r w:rsidRPr="007C5C4F">
        <w:rPr>
          <w:rFonts w:eastAsiaTheme="minorEastAsia"/>
        </w:rPr>
        <w:t>(3)  Compulsion is attributable to slavery or to relevant exploitation only if—</w:t>
      </w:r>
    </w:p>
    <w:p w:rsidRPr="007C5C4F" w:rsidR="005E3D7B" w:rsidP="007C5C4F" w14:paraId="6C554B7B" w14:textId="77777777">
      <w:pPr>
        <w:pStyle w:val="JuQuot"/>
        <w:rPr>
          <w:rFonts w:eastAsiaTheme="minorEastAsia"/>
        </w:rPr>
      </w:pPr>
      <w:r w:rsidRPr="007C5C4F">
        <w:rPr>
          <w:rFonts w:eastAsiaTheme="minorEastAsia"/>
        </w:rPr>
        <w:t>(a)  it is, or is part of, conduct which constitutes an offence under section 1 or conduct which constitutes relevant exploitation, or</w:t>
      </w:r>
    </w:p>
    <w:p w:rsidRPr="007C5C4F" w:rsidR="005E3D7B" w:rsidP="007C5C4F" w14:paraId="1F3D96F6" w14:textId="77777777">
      <w:pPr>
        <w:pStyle w:val="JuQuot"/>
        <w:rPr>
          <w:rFonts w:eastAsiaTheme="minorEastAsia"/>
        </w:rPr>
      </w:pPr>
      <w:r w:rsidRPr="007C5C4F">
        <w:rPr>
          <w:rFonts w:eastAsiaTheme="minorEastAsia"/>
        </w:rPr>
        <w:t>(b)  it is a direct consequence of a person being, or having been, a victim of slavery or a victim of relevant exploitation.</w:t>
      </w:r>
    </w:p>
    <w:p w:rsidRPr="007C5C4F" w:rsidR="005E3D7B" w:rsidP="007C5C4F" w14:paraId="18D516CA" w14:textId="77777777">
      <w:pPr>
        <w:pStyle w:val="JuQuot"/>
        <w:rPr>
          <w:rFonts w:eastAsiaTheme="minorEastAsia"/>
        </w:rPr>
      </w:pPr>
      <w:r w:rsidRPr="007C5C4F">
        <w:rPr>
          <w:rFonts w:eastAsiaTheme="minorEastAsia"/>
        </w:rPr>
        <w:t>(4)  A person is not guilty of an offence if—</w:t>
      </w:r>
    </w:p>
    <w:p w:rsidRPr="007C5C4F" w:rsidR="005E3D7B" w:rsidP="007C5C4F" w14:paraId="41D7F86F" w14:textId="77777777">
      <w:pPr>
        <w:pStyle w:val="JuQuot"/>
        <w:rPr>
          <w:rFonts w:eastAsiaTheme="minorEastAsia"/>
        </w:rPr>
      </w:pPr>
      <w:r w:rsidRPr="007C5C4F">
        <w:rPr>
          <w:rFonts w:eastAsiaTheme="minorEastAsia"/>
        </w:rPr>
        <w:t>(a)  the person is under the age of 18 when the person does the act which constitutes the offence,</w:t>
      </w:r>
    </w:p>
    <w:p w:rsidRPr="007C5C4F" w:rsidR="005E3D7B" w:rsidP="007C5C4F" w14:paraId="156284E1" w14:textId="77777777">
      <w:pPr>
        <w:pStyle w:val="JuQuot"/>
        <w:rPr>
          <w:rFonts w:eastAsiaTheme="minorEastAsia"/>
        </w:rPr>
      </w:pPr>
      <w:r w:rsidRPr="007C5C4F">
        <w:rPr>
          <w:rFonts w:eastAsiaTheme="minorEastAsia"/>
        </w:rPr>
        <w:t>(b)  the person does that act as a direct consequence of the person being, or having been, a victim of slavery or a victim of relevant exploitation, and</w:t>
      </w:r>
    </w:p>
    <w:p w:rsidRPr="007C5C4F" w:rsidR="005E3D7B" w:rsidP="007C5C4F" w14:paraId="7F907B4F" w14:textId="25E01341">
      <w:pPr>
        <w:pStyle w:val="JuQuot"/>
        <w:rPr>
          <w:rFonts w:eastAsiaTheme="minorEastAsia"/>
        </w:rPr>
      </w:pPr>
      <w:r w:rsidRPr="007C5C4F">
        <w:rPr>
          <w:rFonts w:eastAsiaTheme="minorEastAsia"/>
        </w:rPr>
        <w:t>(c)  a reasonable person in the same situation as the person and having the person</w:t>
      </w:r>
      <w:r w:rsidRPr="007C5C4F" w:rsidR="007C5C4F">
        <w:rPr>
          <w:rFonts w:eastAsiaTheme="minorEastAsia"/>
        </w:rPr>
        <w:t>’</w:t>
      </w:r>
      <w:r w:rsidRPr="007C5C4F">
        <w:rPr>
          <w:rFonts w:eastAsiaTheme="minorEastAsia"/>
        </w:rPr>
        <w:t>s relevant characteristics would do that act.</w:t>
      </w:r>
    </w:p>
    <w:p w:rsidRPr="007C5C4F" w:rsidR="005E3D7B" w:rsidP="007C5C4F" w14:paraId="64D78227" w14:textId="77777777">
      <w:pPr>
        <w:pStyle w:val="JuQuot"/>
        <w:rPr>
          <w:rFonts w:eastAsiaTheme="minorEastAsia"/>
        </w:rPr>
      </w:pPr>
      <w:r w:rsidRPr="007C5C4F">
        <w:rPr>
          <w:rFonts w:eastAsiaTheme="minorEastAsia"/>
        </w:rPr>
        <w:t>(5)  For the purposes of this section—</w:t>
      </w:r>
    </w:p>
    <w:p w:rsidRPr="007C5C4F" w:rsidR="005E3D7B" w:rsidP="007C5C4F" w14:paraId="3AA90722" w14:textId="79E1493A">
      <w:pPr>
        <w:pStyle w:val="JuQuot"/>
        <w:rPr>
          <w:rFonts w:eastAsiaTheme="minorEastAsia"/>
        </w:rPr>
      </w:pPr>
      <w:r w:rsidRPr="007C5C4F">
        <w:rPr>
          <w:rFonts w:eastAsiaTheme="minorEastAsia"/>
        </w:rPr>
        <w:t>‘</w:t>
      </w:r>
      <w:r w:rsidRPr="007C5C4F">
        <w:rPr>
          <w:rFonts w:eastAsiaTheme="minorEastAsia"/>
        </w:rPr>
        <w:t>relevant characteristics</w:t>
      </w:r>
      <w:r w:rsidRPr="007C5C4F">
        <w:rPr>
          <w:rFonts w:eastAsiaTheme="minorEastAsia"/>
        </w:rPr>
        <w:t>’</w:t>
      </w:r>
      <w:r w:rsidRPr="007C5C4F">
        <w:rPr>
          <w:rFonts w:eastAsiaTheme="minorEastAsia"/>
        </w:rPr>
        <w:t xml:space="preserve"> means age, sex and any physical or mental illness or disability;</w:t>
      </w:r>
    </w:p>
    <w:p w:rsidRPr="007C5C4F" w:rsidR="005E3D7B" w:rsidP="007C5C4F" w14:paraId="01836B96" w14:textId="37AF2263">
      <w:pPr>
        <w:pStyle w:val="JuQuot"/>
        <w:rPr>
          <w:rFonts w:eastAsiaTheme="minorEastAsia"/>
        </w:rPr>
      </w:pPr>
      <w:r w:rsidRPr="007C5C4F">
        <w:rPr>
          <w:rFonts w:eastAsiaTheme="minorEastAsia"/>
        </w:rPr>
        <w:t>‘</w:t>
      </w:r>
      <w:r w:rsidRPr="007C5C4F">
        <w:rPr>
          <w:rFonts w:eastAsiaTheme="minorEastAsia"/>
        </w:rPr>
        <w:t>relevant exploitation</w:t>
      </w:r>
      <w:r w:rsidRPr="007C5C4F">
        <w:rPr>
          <w:rFonts w:eastAsiaTheme="minorEastAsia"/>
        </w:rPr>
        <w:t>’</w:t>
      </w:r>
      <w:r w:rsidRPr="007C5C4F">
        <w:rPr>
          <w:rFonts w:eastAsiaTheme="minorEastAsia"/>
        </w:rPr>
        <w:t xml:space="preserve"> is exploitation (within the meaning of section 3) that is attributable to the exploited person being, or having been, a victim of human trafficking.</w:t>
      </w:r>
    </w:p>
    <w:p w:rsidRPr="007C5C4F" w:rsidR="005E3D7B" w:rsidP="007C5C4F" w14:paraId="29C310DE" w14:textId="77777777">
      <w:pPr>
        <w:pStyle w:val="JuQuot"/>
        <w:rPr>
          <w:rFonts w:eastAsiaTheme="minorEastAsia"/>
        </w:rPr>
      </w:pPr>
      <w:r w:rsidRPr="007C5C4F">
        <w:rPr>
          <w:rFonts w:eastAsiaTheme="minorEastAsia"/>
        </w:rPr>
        <w:t>...”</w:t>
      </w:r>
    </w:p>
    <w:p w:rsidRPr="007C5C4F" w:rsidR="005E3D7B" w:rsidP="007C5C4F" w14:paraId="3B6AD10B" w14:textId="5D5F2660">
      <w:pPr>
        <w:pStyle w:val="JuPara"/>
        <w:rPr>
          <w:rFonts w:eastAsiaTheme="minorEastAsia"/>
        </w:rPr>
      </w:pPr>
      <w:r w:rsidRPr="007C5C4F">
        <w:rPr>
          <w:rFonts w:eastAsiaTheme="minorEastAsia"/>
        </w:rPr>
        <w:fldChar w:fldCharType="begin"/>
      </w:r>
      <w:r w:rsidRPr="007C5C4F">
        <w:rPr>
          <w:rFonts w:eastAsiaTheme="minorEastAsia"/>
        </w:rPr>
        <w:instrText xml:space="preserve"> SEQ level0 \*arabic </w:instrText>
      </w:r>
      <w:r w:rsidRPr="007C5C4F">
        <w:rPr>
          <w:rFonts w:eastAsiaTheme="minorEastAsia"/>
        </w:rPr>
        <w:fldChar w:fldCharType="separate"/>
      </w:r>
      <w:r w:rsidRPr="007C5C4F" w:rsidR="007C5C4F">
        <w:rPr>
          <w:rFonts w:eastAsiaTheme="minorEastAsia"/>
          <w:noProof/>
        </w:rPr>
        <w:t>68</w:t>
      </w:r>
      <w:r w:rsidRPr="007C5C4F">
        <w:rPr>
          <w:rFonts w:eastAsiaTheme="minorEastAsia"/>
        </w:rPr>
        <w:fldChar w:fldCharType="end"/>
      </w:r>
      <w:r w:rsidRPr="007C5C4F">
        <w:rPr>
          <w:rFonts w:eastAsiaTheme="minorEastAsia"/>
        </w:rPr>
        <w:t>.  Prior to the coming into force of the relevant provisions of the 2015 Act, there was no statutory provision in the United Kingdom which transposed into domestic law the State</w:t>
      </w:r>
      <w:r w:rsidRPr="007C5C4F" w:rsidR="007C5C4F">
        <w:rPr>
          <w:rFonts w:eastAsiaTheme="minorEastAsia"/>
        </w:rPr>
        <w:t>’</w:t>
      </w:r>
      <w:r w:rsidRPr="007C5C4F">
        <w:rPr>
          <w:rFonts w:eastAsiaTheme="minorEastAsia"/>
        </w:rPr>
        <w:t>s obligations under international conventions towards those victims of human trafficking who committed crimes where there was a nexus between the crime and the trafficking. Therefore, in cases where the defence of duress was not likely to be applicable, it was left to the judiciary and to the Crown/CPS to develop a legal regime in which the State</w:t>
      </w:r>
      <w:r w:rsidRPr="007C5C4F" w:rsidR="007C5C4F">
        <w:rPr>
          <w:rFonts w:eastAsiaTheme="minorEastAsia"/>
        </w:rPr>
        <w:t>’</w:t>
      </w:r>
      <w:r w:rsidRPr="007C5C4F">
        <w:rPr>
          <w:rFonts w:eastAsiaTheme="minorEastAsia"/>
        </w:rPr>
        <w:t>s international obligations were given effect.</w:t>
      </w:r>
    </w:p>
    <w:p w:rsidRPr="007C5C4F" w:rsidR="005E3D7B" w:rsidP="007C5C4F" w14:paraId="0BE26169" w14:textId="77777777">
      <w:pPr>
        <w:pStyle w:val="JuHA"/>
        <w:ind w:left="584" w:hanging="352"/>
        <w:jc w:val="left"/>
      </w:pPr>
      <w:r w:rsidRPr="007C5C4F">
        <w:t>Relevant guidance</w:t>
      </w:r>
    </w:p>
    <w:p w:rsidRPr="007C5C4F" w:rsidR="005E3D7B" w:rsidP="007C5C4F" w14:paraId="06BFC32D" w14:textId="77777777">
      <w:pPr>
        <w:pStyle w:val="JuH1"/>
        <w:ind w:left="731" w:hanging="300"/>
        <w:jc w:val="left"/>
      </w:pPr>
      <w:r w:rsidRPr="007C5C4F">
        <w:t>The Government</w:t>
      </w:r>
    </w:p>
    <w:p w:rsidRPr="007C5C4F" w:rsidR="005E3D7B" w:rsidP="007C5C4F" w14:paraId="05AF5A83" w14:textId="49455999">
      <w:pPr>
        <w:pStyle w:val="JuPara"/>
        <w:rPr>
          <w:rFonts w:eastAsiaTheme="minorEastAsia"/>
        </w:rPr>
      </w:pPr>
      <w:r w:rsidRPr="007C5C4F">
        <w:rPr>
          <w:rFonts w:eastAsiaTheme="minorEastAsia"/>
        </w:rPr>
        <w:fldChar w:fldCharType="begin"/>
      </w:r>
      <w:r w:rsidRPr="007C5C4F">
        <w:rPr>
          <w:rFonts w:eastAsiaTheme="minorEastAsia"/>
        </w:rPr>
        <w:instrText xml:space="preserve"> SEQ level0 \*arabic </w:instrText>
      </w:r>
      <w:r w:rsidRPr="007C5C4F">
        <w:rPr>
          <w:rFonts w:eastAsiaTheme="minorEastAsia"/>
        </w:rPr>
        <w:fldChar w:fldCharType="separate"/>
      </w:r>
      <w:r w:rsidRPr="007C5C4F" w:rsidR="007C5C4F">
        <w:rPr>
          <w:rFonts w:eastAsiaTheme="minorEastAsia"/>
          <w:noProof/>
        </w:rPr>
        <w:t>69</w:t>
      </w:r>
      <w:r w:rsidRPr="007C5C4F">
        <w:rPr>
          <w:rFonts w:eastAsiaTheme="minorEastAsia"/>
        </w:rPr>
        <w:fldChar w:fldCharType="end"/>
      </w:r>
      <w:r w:rsidRPr="007C5C4F">
        <w:rPr>
          <w:rFonts w:eastAsiaTheme="minorEastAsia"/>
        </w:rPr>
        <w:t>.  In 2007 the Government published “Safeguarding Children who may have been Trafficked”. The publication provided the following definitions:</w:t>
      </w:r>
    </w:p>
    <w:p w:rsidRPr="007C5C4F" w:rsidR="005E3D7B" w:rsidP="007C5C4F" w14:paraId="332FF9CE" w14:textId="0FD00FA0">
      <w:pPr>
        <w:pStyle w:val="JuQuot"/>
        <w:rPr>
          <w:rFonts w:eastAsiaTheme="minorEastAsia"/>
        </w:rPr>
      </w:pPr>
      <w:r w:rsidRPr="007C5C4F">
        <w:rPr>
          <w:rFonts w:eastAsiaTheme="minorEastAsia"/>
        </w:rPr>
        <w:t xml:space="preserve">“The most common terms used for the illegal movement of people – </w:t>
      </w:r>
      <w:r w:rsidRPr="007C5C4F" w:rsidR="007C5C4F">
        <w:rPr>
          <w:rFonts w:eastAsiaTheme="minorEastAsia"/>
        </w:rPr>
        <w:t>‘</w:t>
      </w:r>
      <w:r w:rsidRPr="007C5C4F">
        <w:rPr>
          <w:rFonts w:eastAsiaTheme="minorEastAsia"/>
        </w:rPr>
        <w:t>smuggling</w:t>
      </w:r>
      <w:r w:rsidRPr="007C5C4F" w:rsidR="007C5C4F">
        <w:rPr>
          <w:rFonts w:eastAsiaTheme="minorEastAsia"/>
        </w:rPr>
        <w:t>’</w:t>
      </w:r>
      <w:r w:rsidRPr="007C5C4F">
        <w:rPr>
          <w:rFonts w:eastAsiaTheme="minorEastAsia"/>
        </w:rPr>
        <w:t xml:space="preserve"> and </w:t>
      </w:r>
      <w:r w:rsidRPr="007C5C4F" w:rsidR="007C5C4F">
        <w:rPr>
          <w:rFonts w:eastAsiaTheme="minorEastAsia"/>
        </w:rPr>
        <w:t>‘</w:t>
      </w:r>
      <w:r w:rsidRPr="007C5C4F">
        <w:rPr>
          <w:rFonts w:eastAsiaTheme="minorEastAsia"/>
        </w:rPr>
        <w:t>trafficking</w:t>
      </w:r>
      <w:r w:rsidRPr="007C5C4F" w:rsidR="007C5C4F">
        <w:rPr>
          <w:rFonts w:eastAsiaTheme="minorEastAsia"/>
        </w:rPr>
        <w:t>’</w:t>
      </w:r>
      <w:r w:rsidRPr="007C5C4F">
        <w:rPr>
          <w:rFonts w:eastAsiaTheme="minorEastAsia"/>
        </w:rPr>
        <w:t xml:space="preserve"> – had very different meanings. In human smuggling, immigrants and asylum seekers pay people to help them enter the country illegally, after which there is no longer a relationship. Trafficked victims are coerced or deceived by the person arranging their relocation. On arrival in the country of destination, the trafficked victim is forced into exploitation by the trafficker or the person into whose control they are delivered or sold.”</w:t>
      </w:r>
    </w:p>
    <w:p w:rsidRPr="007C5C4F" w:rsidR="005E3D7B" w:rsidP="007C5C4F" w14:paraId="528F1FBD" w14:textId="06FF60CB">
      <w:pPr>
        <w:pStyle w:val="JuPara"/>
        <w:rPr>
          <w:rFonts w:eastAsiaTheme="minorEastAsia"/>
        </w:rPr>
      </w:pPr>
      <w:r w:rsidRPr="007C5C4F">
        <w:rPr>
          <w:rFonts w:eastAsiaTheme="minorEastAsia"/>
        </w:rPr>
        <w:fldChar w:fldCharType="begin"/>
      </w:r>
      <w:r w:rsidRPr="007C5C4F">
        <w:rPr>
          <w:rFonts w:eastAsiaTheme="minorEastAsia"/>
        </w:rPr>
        <w:instrText xml:space="preserve"> SEQ level0 \*arabic </w:instrText>
      </w:r>
      <w:r w:rsidRPr="007C5C4F">
        <w:rPr>
          <w:rFonts w:eastAsiaTheme="minorEastAsia"/>
        </w:rPr>
        <w:fldChar w:fldCharType="separate"/>
      </w:r>
      <w:r w:rsidRPr="007C5C4F" w:rsidR="007C5C4F">
        <w:rPr>
          <w:rFonts w:eastAsiaTheme="minorEastAsia"/>
          <w:noProof/>
        </w:rPr>
        <w:t>70</w:t>
      </w:r>
      <w:r w:rsidRPr="007C5C4F">
        <w:rPr>
          <w:rFonts w:eastAsiaTheme="minorEastAsia"/>
        </w:rPr>
        <w:fldChar w:fldCharType="end"/>
      </w:r>
      <w:r w:rsidRPr="007C5C4F">
        <w:rPr>
          <w:rFonts w:eastAsiaTheme="minorEastAsia"/>
        </w:rPr>
        <w:t>.  The publication also drew attention to the (then current) Code for Crown Prosecutors, which provided that children coerced into criminal activity were victims of abuse and should not be criminalised. Even when the defence of duress would not be available, the decision whether it was in the public interest for the child to be prosecuted was directly engaged.</w:t>
      </w:r>
    </w:p>
    <w:p w:rsidRPr="007C5C4F" w:rsidR="005E3D7B" w:rsidP="007C5C4F" w14:paraId="57C16F93" w14:textId="426D1DA6">
      <w:pPr>
        <w:pStyle w:val="JuPara"/>
        <w:rPr>
          <w:rFonts w:eastAsiaTheme="minorEastAsia"/>
        </w:rPr>
      </w:pPr>
      <w:r w:rsidRPr="007C5C4F">
        <w:rPr>
          <w:rFonts w:eastAsiaTheme="minorEastAsia"/>
        </w:rPr>
        <w:fldChar w:fldCharType="begin"/>
      </w:r>
      <w:r w:rsidRPr="007C5C4F">
        <w:rPr>
          <w:rFonts w:eastAsiaTheme="minorEastAsia"/>
        </w:rPr>
        <w:instrText xml:space="preserve"> SEQ level0 \*arabic </w:instrText>
      </w:r>
      <w:r w:rsidRPr="007C5C4F">
        <w:rPr>
          <w:rFonts w:eastAsiaTheme="minorEastAsia"/>
        </w:rPr>
        <w:fldChar w:fldCharType="separate"/>
      </w:r>
      <w:r w:rsidRPr="007C5C4F" w:rsidR="007C5C4F">
        <w:rPr>
          <w:rFonts w:eastAsiaTheme="minorEastAsia"/>
          <w:noProof/>
        </w:rPr>
        <w:t>71</w:t>
      </w:r>
      <w:r w:rsidRPr="007C5C4F">
        <w:rPr>
          <w:rFonts w:eastAsiaTheme="minorEastAsia"/>
        </w:rPr>
        <w:fldChar w:fldCharType="end"/>
      </w:r>
      <w:r w:rsidRPr="007C5C4F">
        <w:rPr>
          <w:rFonts w:eastAsiaTheme="minorEastAsia"/>
        </w:rPr>
        <w:t>.  The United Kingdom Government “Trafficking Toolkit” was published in October 2009. Referring to the definition of trafficking found in Article 4 of the Anti-Trafficking Convention, it underlined the difference between trafficking and smuggling, both by reference to the nature of the crime and the relationship between the person organising the entry of the migrant and the migrant himself. Specific attention was drawn to the Anti-Trafficking Convention and the measures designed to protect victims of trafficking, including “the possibility of not imposing penalties on victims for their involvement in unlawful activities, if they were compelled to do so by their situation”.</w:t>
      </w:r>
    </w:p>
    <w:p w:rsidRPr="007C5C4F" w:rsidR="005E3D7B" w:rsidP="007C5C4F" w14:paraId="32E2330B" w14:textId="77777777">
      <w:pPr>
        <w:pStyle w:val="JuH1"/>
        <w:ind w:left="731" w:hanging="300"/>
        <w:jc w:val="left"/>
        <w:rPr>
          <w:rFonts w:eastAsiaTheme="minorEastAsia"/>
        </w:rPr>
      </w:pPr>
      <w:r w:rsidRPr="007C5C4F">
        <w:rPr>
          <w:rFonts w:eastAsiaTheme="minorEastAsia"/>
        </w:rPr>
        <w:t>The CPS</w:t>
      </w:r>
    </w:p>
    <w:bookmarkStart w:name="CPS1" w:id="50"/>
    <w:p w:rsidRPr="007C5C4F" w:rsidR="005E3D7B" w:rsidP="007C5C4F" w14:paraId="2ACD0244" w14:textId="1DF3F8D2">
      <w:pPr>
        <w:pStyle w:val="JuPara"/>
        <w:rPr>
          <w:rFonts w:eastAsiaTheme="minorEastAsia"/>
        </w:rPr>
      </w:pPr>
      <w:r w:rsidRPr="007C5C4F">
        <w:rPr>
          <w:rFonts w:eastAsiaTheme="minorEastAsia"/>
        </w:rPr>
        <w:fldChar w:fldCharType="begin"/>
      </w:r>
      <w:r w:rsidRPr="007C5C4F">
        <w:rPr>
          <w:rFonts w:eastAsiaTheme="minorEastAsia"/>
        </w:rPr>
        <w:instrText xml:space="preserve"> SEQ level0 \*arabic </w:instrText>
      </w:r>
      <w:r w:rsidRPr="007C5C4F">
        <w:rPr>
          <w:rFonts w:eastAsiaTheme="minorEastAsia"/>
        </w:rPr>
        <w:fldChar w:fldCharType="separate"/>
      </w:r>
      <w:r w:rsidRPr="007C5C4F" w:rsidR="007C5C4F">
        <w:rPr>
          <w:rFonts w:eastAsiaTheme="minorEastAsia"/>
          <w:noProof/>
        </w:rPr>
        <w:t>72</w:t>
      </w:r>
      <w:r w:rsidRPr="007C5C4F">
        <w:rPr>
          <w:rFonts w:eastAsiaTheme="minorEastAsia"/>
        </w:rPr>
        <w:fldChar w:fldCharType="end"/>
      </w:r>
      <w:bookmarkEnd w:id="50"/>
      <w:r w:rsidRPr="007C5C4F">
        <w:rPr>
          <w:rFonts w:eastAsiaTheme="minorEastAsia"/>
        </w:rPr>
        <w:t>.  In December 2007 the CPS published guidance on the “Prosecution of young defendants charged with offences who might be trafficked victims”. It highlighted the cultivation of cannabis plants as an offence likely to be committed by child victims of trafficking. According to the guidance, prosecutors should be alert to the possibility that in such circumstances a young offender could actually be a victim of trafficking and have committed the offences under coercion. Where there was clear evidence that a youth had a credible defence of duress, the case should be discontinued. Where the information concerning coercion was less certain, further details should be sought from the police and youth offender teams so that the public interest in continuing a prosecution could be considered carefully. Any youth who might have been trafficked should be afforded the protection of child care legislation if there were concerns that he or she had been working under duress or if his or her wellbeing was threatened.</w:t>
      </w:r>
    </w:p>
    <w:bookmarkStart w:name="CPS2" w:id="51"/>
    <w:p w:rsidRPr="007C5C4F" w:rsidR="005E3D7B" w:rsidP="007C5C4F" w14:paraId="15DCB94E" w14:textId="1DEA18C3">
      <w:pPr>
        <w:pStyle w:val="JuPara"/>
        <w:rPr>
          <w:rFonts w:eastAsiaTheme="minorEastAsia"/>
        </w:rPr>
      </w:pPr>
      <w:r w:rsidRPr="007C5C4F">
        <w:rPr>
          <w:rFonts w:eastAsiaTheme="minorEastAsia"/>
        </w:rPr>
        <w:fldChar w:fldCharType="begin"/>
      </w:r>
      <w:r w:rsidRPr="007C5C4F">
        <w:rPr>
          <w:rFonts w:eastAsiaTheme="minorEastAsia"/>
        </w:rPr>
        <w:instrText xml:space="preserve"> SEQ level0 \*arabic </w:instrText>
      </w:r>
      <w:r w:rsidRPr="007C5C4F">
        <w:rPr>
          <w:rFonts w:eastAsiaTheme="minorEastAsia"/>
        </w:rPr>
        <w:fldChar w:fldCharType="separate"/>
      </w:r>
      <w:r w:rsidRPr="007C5C4F" w:rsidR="007C5C4F">
        <w:rPr>
          <w:rFonts w:eastAsiaTheme="minorEastAsia"/>
          <w:noProof/>
        </w:rPr>
        <w:t>73</w:t>
      </w:r>
      <w:r w:rsidRPr="007C5C4F">
        <w:rPr>
          <w:rFonts w:eastAsiaTheme="minorEastAsia"/>
        </w:rPr>
        <w:fldChar w:fldCharType="end"/>
      </w:r>
      <w:bookmarkEnd w:id="51"/>
      <w:r w:rsidRPr="007C5C4F">
        <w:rPr>
          <w:rFonts w:eastAsiaTheme="minorEastAsia"/>
        </w:rPr>
        <w:t>.  The CPS Guidance on Human Trafficking and Smuggling (which was last updated, prior to the applicants</w:t>
      </w:r>
      <w:r w:rsidRPr="007C5C4F" w:rsidR="007C5C4F">
        <w:rPr>
          <w:rFonts w:eastAsiaTheme="minorEastAsia"/>
        </w:rPr>
        <w:t>’</w:t>
      </w:r>
      <w:r w:rsidRPr="007C5C4F">
        <w:rPr>
          <w:rFonts w:eastAsiaTheme="minorEastAsia"/>
        </w:rPr>
        <w:t xml:space="preserve"> arrest, on 4 February 2009) identified two offences highlighted by recent cases as likely to have been committed by child trafficking victims, one of which was the “cultivation of cannabis plants”. It continued:</w:t>
      </w:r>
    </w:p>
    <w:p w:rsidRPr="007C5C4F" w:rsidR="005E3D7B" w:rsidP="007C5C4F" w14:paraId="4FBDAD91" w14:textId="77777777">
      <w:pPr>
        <w:pStyle w:val="JuQuot"/>
        <w:rPr>
          <w:rFonts w:eastAsiaTheme="minorEastAsia"/>
        </w:rPr>
      </w:pPr>
      <w:r w:rsidRPr="007C5C4F">
        <w:rPr>
          <w:rFonts w:eastAsiaTheme="minorEastAsia"/>
        </w:rPr>
        <w:t>“Prosecutors should be alert to the possibility that in such circumstances a young offender may actually be a victim of trafficking and have committed the offences under coercion.</w:t>
      </w:r>
    </w:p>
    <w:p w:rsidRPr="007C5C4F" w:rsidR="005E3D7B" w:rsidP="007C5C4F" w14:paraId="3AB87169" w14:textId="77777777">
      <w:pPr>
        <w:pStyle w:val="JuQuot"/>
        <w:rPr>
          <w:rFonts w:eastAsiaTheme="minorEastAsia"/>
        </w:rPr>
      </w:pPr>
      <w:r w:rsidRPr="007C5C4F">
        <w:rPr>
          <w:rFonts w:eastAsiaTheme="minorEastAsia"/>
        </w:rPr>
        <w:t>Children who have been trafficked may be reluctant to disclose the circumstances of their exploitation on arrival into the UK for fear of reprisals by the trafficker or owner, or out of misplaced loyalty to them. This reluctance to disclose the real circumstances in which they have arrived into the country may have implications for a number of youth criminal justice processes.</w:t>
      </w:r>
    </w:p>
    <w:p w:rsidRPr="007C5C4F" w:rsidR="005E3D7B" w:rsidP="007C5C4F" w14:paraId="50E3ABE6" w14:textId="77777777">
      <w:pPr>
        <w:pStyle w:val="JuQuot"/>
        <w:rPr>
          <w:rFonts w:eastAsiaTheme="minorEastAsia"/>
        </w:rPr>
      </w:pPr>
      <w:r w:rsidRPr="007C5C4F">
        <w:rPr>
          <w:rFonts w:eastAsiaTheme="minorEastAsia"/>
        </w:rPr>
        <w:t>The child may have been coached by their trafficker to not disclose their true identity or circumstances to the authorities. In some cases, they may have been coached with a false version of events and warned not to disclose any detail beyond this as it will lead to their deportation.</w:t>
      </w:r>
    </w:p>
    <w:p w:rsidRPr="007C5C4F" w:rsidR="005E3D7B" w:rsidP="007C5C4F" w14:paraId="49467FD4" w14:textId="6A39D099">
      <w:pPr>
        <w:pStyle w:val="JuQuot"/>
        <w:rPr>
          <w:rFonts w:eastAsiaTheme="minorEastAsia"/>
        </w:rPr>
      </w:pPr>
      <w:r w:rsidRPr="007C5C4F">
        <w:rPr>
          <w:rFonts w:eastAsiaTheme="minorEastAsia"/>
        </w:rPr>
        <w:t>In a similar way to adults, children may have been subject to more psychological coercion or threats, such as threatening to report them to the authorities; threats of violence towards members of the child</w:t>
      </w:r>
      <w:r w:rsidRPr="007C5C4F" w:rsidR="007C5C4F">
        <w:rPr>
          <w:rFonts w:eastAsiaTheme="minorEastAsia"/>
        </w:rPr>
        <w:t>’</w:t>
      </w:r>
      <w:r w:rsidRPr="007C5C4F">
        <w:rPr>
          <w:rFonts w:eastAsiaTheme="minorEastAsia"/>
        </w:rPr>
        <w:t>s family; keeping them socially isolated; telling them that they/their family owes large sums of money and that they must work to pay this of; or through juju or witchcraft practices.</w:t>
      </w:r>
    </w:p>
    <w:p w:rsidRPr="007C5C4F" w:rsidR="005E3D7B" w:rsidP="007C5C4F" w14:paraId="30A2C9B9" w14:textId="77777777">
      <w:pPr>
        <w:pStyle w:val="JuQuot"/>
        <w:rPr>
          <w:rFonts w:eastAsiaTheme="minorEastAsia"/>
        </w:rPr>
      </w:pPr>
      <w:r w:rsidRPr="007C5C4F">
        <w:rPr>
          <w:rFonts w:eastAsiaTheme="minorEastAsia"/>
        </w:rPr>
        <w:t>Where there is clear evidence that the youth has a credible defence of duress, the case should be discontinued on evidential grounds. Where the information concerning coercion is less certain, further details should be sought from the police and youth offender teams, so that the public interest in continuing a prosecution can be considered carefully. Prosecutors should also be alert to the fact that an appropriate adult in interview could be the trafficker or a person allied to the trafficker.</w:t>
      </w:r>
    </w:p>
    <w:p w:rsidRPr="007C5C4F" w:rsidR="005E3D7B" w:rsidP="007C5C4F" w14:paraId="702192A6" w14:textId="77777777">
      <w:pPr>
        <w:pStyle w:val="JuQuot"/>
        <w:rPr>
          <w:rFonts w:eastAsiaTheme="minorEastAsia"/>
          <w:u w:val="single"/>
        </w:rPr>
      </w:pPr>
      <w:r w:rsidRPr="007C5C4F">
        <w:rPr>
          <w:rFonts w:eastAsiaTheme="minorEastAsia"/>
        </w:rPr>
        <w:t xml:space="preserve">Any youth who might be a trafficked victim should be afforded the protection of our childcare legislation if there are concerns that they have been working under duress or if their wellbeing has been threatened. Prosecutors are also alerted to the DCSF and Home Office Guidance </w:t>
      </w:r>
      <w:r w:rsidRPr="007C5C4F">
        <w:rPr>
          <w:rFonts w:eastAsiaTheme="minorEastAsia"/>
          <w:u w:val="single"/>
        </w:rPr>
        <w:t>Safeguarding children who may have been trafficked.</w:t>
      </w:r>
    </w:p>
    <w:p w:rsidRPr="007C5C4F" w:rsidR="005E3D7B" w:rsidP="007C5C4F" w14:paraId="5303DF58" w14:textId="77777777">
      <w:pPr>
        <w:pStyle w:val="JuQuot"/>
        <w:rPr>
          <w:rFonts w:eastAsiaTheme="minorEastAsia"/>
        </w:rPr>
      </w:pPr>
      <w:r w:rsidRPr="007C5C4F">
        <w:rPr>
          <w:rFonts w:eastAsiaTheme="minorEastAsia"/>
        </w:rPr>
        <w:t>...</w:t>
      </w:r>
    </w:p>
    <w:p w:rsidRPr="007C5C4F" w:rsidR="005E3D7B" w:rsidP="007C5C4F" w14:paraId="569C0251" w14:textId="77777777">
      <w:pPr>
        <w:pStyle w:val="JuQuot"/>
        <w:rPr>
          <w:rFonts w:eastAsiaTheme="minorEastAsia"/>
        </w:rPr>
      </w:pPr>
      <w:r w:rsidRPr="007C5C4F">
        <w:rPr>
          <w:rFonts w:eastAsiaTheme="minorEastAsia"/>
          <w:u w:val="single"/>
        </w:rPr>
        <w:t>The UK Human Trafficking Centre</w:t>
      </w:r>
      <w:r w:rsidRPr="007C5C4F">
        <w:rPr>
          <w:rFonts w:eastAsiaTheme="minorEastAsia"/>
        </w:rPr>
        <w:t xml:space="preserve"> (UKHTC) will make relevant enquiries to establish whether they may be a potential trafficking victim. When information reveals the possibility that they may be trafficked the prosecutor and officer in charge of the case will be contacted to ensure that policy guidance has been followed and the evidence re-reviewed in the light of new information. This guidance reflects the judgment in </w:t>
      </w:r>
      <w:r w:rsidRPr="007C5C4F">
        <w:rPr>
          <w:rFonts w:eastAsiaTheme="minorEastAsia"/>
          <w:i/>
        </w:rPr>
        <w:t>R v. O [2008] EWCA Crim 2835</w:t>
      </w:r>
      <w:r w:rsidRPr="007C5C4F">
        <w:rPr>
          <w:rFonts w:eastAsiaTheme="minorEastAsia"/>
        </w:rPr>
        <w:t>.”</w:t>
      </w:r>
    </w:p>
    <w:p w:rsidRPr="007C5C4F" w:rsidR="005E3D7B" w:rsidP="007C5C4F" w14:paraId="3A11C4FA" w14:textId="77777777">
      <w:pPr>
        <w:pStyle w:val="JuH1"/>
        <w:ind w:left="731" w:hanging="300"/>
        <w:jc w:val="left"/>
        <w:rPr>
          <w:rFonts w:eastAsiaTheme="minorEastAsia"/>
        </w:rPr>
      </w:pPr>
      <w:r w:rsidRPr="007C5C4F">
        <w:rPr>
          <w:rFonts w:eastAsiaTheme="minorEastAsia"/>
        </w:rPr>
        <w:t>The Association of Chief Police Officers (ACPO)</w:t>
      </w:r>
    </w:p>
    <w:bookmarkStart w:name="ACPO" w:id="52"/>
    <w:p w:rsidRPr="007C5C4F" w:rsidR="005E3D7B" w:rsidP="007C5C4F" w14:paraId="56BE85B5" w14:textId="0DDC8D6D">
      <w:pPr>
        <w:pStyle w:val="JuPara"/>
        <w:rPr>
          <w:rFonts w:eastAsiaTheme="minorEastAsia"/>
        </w:rPr>
      </w:pPr>
      <w:r w:rsidRPr="007C5C4F">
        <w:rPr>
          <w:rFonts w:eastAsiaTheme="minorEastAsia"/>
        </w:rPr>
        <w:fldChar w:fldCharType="begin"/>
      </w:r>
      <w:r w:rsidRPr="007C5C4F">
        <w:rPr>
          <w:rFonts w:eastAsiaTheme="minorEastAsia"/>
        </w:rPr>
        <w:instrText xml:space="preserve"> SEQ level0 \*arabic </w:instrText>
      </w:r>
      <w:r w:rsidRPr="007C5C4F">
        <w:rPr>
          <w:rFonts w:eastAsiaTheme="minorEastAsia"/>
        </w:rPr>
        <w:fldChar w:fldCharType="separate"/>
      </w:r>
      <w:r w:rsidRPr="007C5C4F" w:rsidR="007C5C4F">
        <w:rPr>
          <w:rFonts w:eastAsiaTheme="minorEastAsia"/>
          <w:noProof/>
        </w:rPr>
        <w:t>74</w:t>
      </w:r>
      <w:r w:rsidRPr="007C5C4F">
        <w:rPr>
          <w:rFonts w:eastAsiaTheme="minorEastAsia"/>
        </w:rPr>
        <w:fldChar w:fldCharType="end"/>
      </w:r>
      <w:bookmarkEnd w:id="52"/>
      <w:r w:rsidRPr="007C5C4F">
        <w:rPr>
          <w:rFonts w:eastAsiaTheme="minorEastAsia"/>
        </w:rPr>
        <w:t>.  On 16 August 2010 the ACPO Child Protection and Abuse Investigation Group issued a document entitled “Position from ACPO Lead</w:t>
      </w:r>
      <w:r w:rsidRPr="007C5C4F" w:rsidR="007C5C4F">
        <w:rPr>
          <w:rFonts w:eastAsiaTheme="minorEastAsia"/>
        </w:rPr>
        <w:t>’</w:t>
      </w:r>
      <w:r w:rsidRPr="007C5C4F">
        <w:rPr>
          <w:rFonts w:eastAsiaTheme="minorEastAsia"/>
        </w:rPr>
        <w:t>s on Child Protection and Cannabis Cultivation on Children and Young People Recovered in Cannabis Farms”. It provided, in so far as relevant:</w:t>
      </w:r>
    </w:p>
    <w:p w:rsidRPr="007C5C4F" w:rsidR="005E3D7B" w:rsidP="007C5C4F" w14:paraId="661C5741" w14:textId="2CF6676C">
      <w:pPr>
        <w:pStyle w:val="JuQuot"/>
        <w:rPr>
          <w:rFonts w:eastAsiaTheme="minorEastAsia"/>
        </w:rPr>
      </w:pPr>
      <w:r w:rsidRPr="007C5C4F">
        <w:rPr>
          <w:rFonts w:eastAsiaTheme="minorEastAsia"/>
        </w:rPr>
        <w:t>“1.  Police should be alert to the possibility that any person, adult or child, identified in a cannabis farm could be a victim of trafficking. CEOP strategic assessments, made up of intelligence submitted by the police, UKBA, children</w:t>
      </w:r>
      <w:r w:rsidRPr="007C5C4F" w:rsidR="007C5C4F">
        <w:rPr>
          <w:rFonts w:eastAsiaTheme="minorEastAsia"/>
        </w:rPr>
        <w:t>’</w:t>
      </w:r>
      <w:r w:rsidRPr="007C5C4F">
        <w:rPr>
          <w:rFonts w:eastAsiaTheme="minorEastAsia"/>
        </w:rPr>
        <w:t xml:space="preserve">s services and NGOs, highlight cases of children and young people being trafficked into the UK and exploited in cannabis farms. The intelligence indicates that sometimes, as a consequence of the need for more awareness of the problem, young persons are not identified as victims, statutory defences are not recognised and the individuals end up being charged, prosecuted and convicted of offences committed whilst being exploited. This is contrary to police protection obligations where the young person has been a victim of crime. It is also contrary to responsibilities in respect of child trafficking as enumerated under the Council of Europe (COE) Convention on Action Against </w:t>
      </w:r>
      <w:r w:rsidRPr="007C5C4F" w:rsidR="002B303A">
        <w:rPr>
          <w:rFonts w:eastAsiaTheme="minorEastAsia"/>
        </w:rPr>
        <w:t xml:space="preserve">Trafficking in </w:t>
      </w:r>
      <w:r w:rsidRPr="007C5C4F">
        <w:rPr>
          <w:rFonts w:eastAsiaTheme="minorEastAsia"/>
        </w:rPr>
        <w:t>Human Beings, which indicates that any person under the age of 18 years cannot consent to their own trafficking. The ACPO Lead on Child Protection and Abuse investigation, and the ACPO Lead on Cannabis Cultivation have endorsed the following approach.</w:t>
      </w:r>
    </w:p>
    <w:p w:rsidRPr="007C5C4F" w:rsidR="005E3D7B" w:rsidP="007C5C4F" w14:paraId="684C4508" w14:textId="7DF299A7">
      <w:pPr>
        <w:pStyle w:val="JuQuot"/>
        <w:rPr>
          <w:rFonts w:eastAsiaTheme="minorEastAsia"/>
        </w:rPr>
      </w:pPr>
      <w:r w:rsidRPr="007C5C4F">
        <w:rPr>
          <w:rFonts w:eastAsiaTheme="minorEastAsia"/>
        </w:rPr>
        <w:t xml:space="preserve">2.  In line with the </w:t>
      </w:r>
      <w:r w:rsidRPr="007C5C4F" w:rsidR="007C5C4F">
        <w:rPr>
          <w:rFonts w:eastAsiaTheme="minorEastAsia"/>
        </w:rPr>
        <w:t>‘</w:t>
      </w:r>
      <w:r w:rsidRPr="007C5C4F">
        <w:rPr>
          <w:rFonts w:eastAsiaTheme="minorEastAsia"/>
        </w:rPr>
        <w:t>Safeguarding Children Who May Have Been Trafficked</w:t>
      </w:r>
      <w:r w:rsidRPr="007C5C4F" w:rsidR="007C5C4F">
        <w:rPr>
          <w:rFonts w:eastAsiaTheme="minorEastAsia"/>
        </w:rPr>
        <w:t>’</w:t>
      </w:r>
      <w:r w:rsidRPr="007C5C4F">
        <w:rPr>
          <w:rFonts w:eastAsiaTheme="minorEastAsia"/>
        </w:rPr>
        <w:t xml:space="preserve"> guidance, police should work with local authorities to ensure early identification of trafficked victims before entering any suspected cannabis farm. In the planning stage of any proactive operations or other police interventions on cannabis farms, dual operational planning should focus not only on the recovery of illegal drugs and the arrest of members of criminal enterprises, but also on the safeguarding of any children who are being exploited on the premises. Inter-agency strategies and protocols for early identification and notification should be set in place to advance in collaboration with local children</w:t>
      </w:r>
      <w:r w:rsidRPr="007C5C4F" w:rsidR="007C5C4F">
        <w:rPr>
          <w:rFonts w:eastAsiaTheme="minorEastAsia"/>
        </w:rPr>
        <w:t>’</w:t>
      </w:r>
      <w:r w:rsidRPr="007C5C4F">
        <w:rPr>
          <w:rFonts w:eastAsiaTheme="minorEastAsia"/>
        </w:rPr>
        <w:t>s services and UKBA representatives. The police team leading on the preparation of the proactive operation should consult with the force Child Protection team and, where it is anticipated that child victims of trafficking may be present, utilise Child Protection officers in the operation to ensure that safeguarding actions take place.</w:t>
      </w:r>
    </w:p>
    <w:p w:rsidRPr="007C5C4F" w:rsidR="005E3D7B" w:rsidP="007C5C4F" w14:paraId="51013DBD" w14:textId="77777777">
      <w:pPr>
        <w:pStyle w:val="JuQuot"/>
        <w:rPr>
          <w:rFonts w:eastAsiaTheme="minorEastAsia"/>
        </w:rPr>
      </w:pPr>
      <w:r w:rsidRPr="007C5C4F">
        <w:rPr>
          <w:rFonts w:eastAsiaTheme="minorEastAsia"/>
        </w:rPr>
        <w:t>3.  Every individual identified as, or claiming to be, a child or young person in a cannabis farm should be assessed on a case by case basis to ascertain whether they may have been trafficked. Where circumstances give rise to reasonable suspicion that they are being exploited or abused, a child welfare response should be taken.</w:t>
      </w:r>
    </w:p>
    <w:p w:rsidRPr="007C5C4F" w:rsidR="005E3D7B" w:rsidP="007C5C4F" w14:paraId="37AA62D6" w14:textId="77777777">
      <w:pPr>
        <w:pStyle w:val="JuQuot"/>
        <w:rPr>
          <w:rFonts w:eastAsiaTheme="minorEastAsia"/>
        </w:rPr>
      </w:pPr>
      <w:r w:rsidRPr="007C5C4F">
        <w:rPr>
          <w:rFonts w:eastAsiaTheme="minorEastAsia"/>
        </w:rPr>
        <w:t>4.  No decision to progress charges against such individuals should be made until all relevant assessments have been undertaken. Prosecutors and Duty Solicitors have a duty to make full and proper enquiries in criminal prosecutions involving individuals who may be victims of trafficking and to be proactive in establishing if a suspect is a potential victim of trafficking. Therefore, information about concerns of trafficking should be fully shared with the CPS. Cases of individuals claiming to be under 18 when they are not for tactical purposes are common. However, in cases of doubt, the young person should be given the benefit of that doubt in accordance with the COE Convention until information to the contrary is available. Where official records, or other reliable evidence, are not available to confirm age, a Merton compliant age assessment should be carried out by the local authority.</w:t>
      </w:r>
    </w:p>
    <w:p w:rsidRPr="007C5C4F" w:rsidR="005E3D7B" w:rsidP="007C5C4F" w14:paraId="1E9E8A27" w14:textId="77777777">
      <w:pPr>
        <w:pStyle w:val="JuQuot"/>
        <w:rPr>
          <w:rFonts w:eastAsiaTheme="minorEastAsia"/>
        </w:rPr>
      </w:pPr>
      <w:r w:rsidRPr="007C5C4F">
        <w:rPr>
          <w:rFonts w:eastAsiaTheme="minorEastAsia"/>
        </w:rPr>
        <w:t>5.  On recovery of any young person in a cannabis farm s/he should be taken to a place of safety immediately. A check on PNC or UKBA CID (central Intelligence Database) should be undertaken to ensure that police use all available resources to find information about the young person.</w:t>
      </w:r>
    </w:p>
    <w:p w:rsidRPr="007C5C4F" w:rsidR="005E3D7B" w:rsidP="007C5C4F" w14:paraId="4326CEE9" w14:textId="2E383549">
      <w:pPr>
        <w:pStyle w:val="JuQuot"/>
        <w:rPr>
          <w:rFonts w:eastAsiaTheme="minorEastAsia"/>
        </w:rPr>
      </w:pPr>
      <w:r w:rsidRPr="007C5C4F">
        <w:rPr>
          <w:rFonts w:eastAsiaTheme="minorEastAsia"/>
        </w:rPr>
        <w:t>6.  A referral should be made to the local authority children</w:t>
      </w:r>
      <w:r w:rsidRPr="007C5C4F" w:rsidR="007C5C4F">
        <w:rPr>
          <w:rFonts w:eastAsiaTheme="minorEastAsia"/>
        </w:rPr>
        <w:t>’</w:t>
      </w:r>
      <w:r w:rsidRPr="007C5C4F">
        <w:rPr>
          <w:rFonts w:eastAsiaTheme="minorEastAsia"/>
        </w:rPr>
        <w:t>s services for the appropriate assessments. Children</w:t>
      </w:r>
      <w:r w:rsidRPr="007C5C4F" w:rsidR="007C5C4F">
        <w:rPr>
          <w:rFonts w:eastAsiaTheme="minorEastAsia"/>
        </w:rPr>
        <w:t>’</w:t>
      </w:r>
      <w:r w:rsidRPr="007C5C4F">
        <w:rPr>
          <w:rFonts w:eastAsiaTheme="minorEastAsia"/>
        </w:rPr>
        <w:t>s services should be prepared for this referral, having been involved in the planning stages before entry into the premises. The local authority representative should be informed of the circumstances in which the young person was identified and the concerns around trafficking. The police should share as much information as possible to help children</w:t>
      </w:r>
      <w:r w:rsidRPr="007C5C4F" w:rsidR="007C5C4F">
        <w:rPr>
          <w:rFonts w:eastAsiaTheme="minorEastAsia"/>
        </w:rPr>
        <w:t>’</w:t>
      </w:r>
      <w:r w:rsidRPr="007C5C4F">
        <w:rPr>
          <w:rFonts w:eastAsiaTheme="minorEastAsia"/>
        </w:rPr>
        <w:t>s services undertake the appropriate assessments. A local authority representative should attend the police station (or other place of safety where the young person is taken) within an hour of notification to undertake a joint assessment and to produce a protection plan designed to keep the young person safe. This would require an interpreter who is able to safely communicate with the young person in their own language.</w:t>
      </w:r>
    </w:p>
    <w:p w:rsidRPr="007C5C4F" w:rsidR="005E3D7B" w:rsidP="007C5C4F" w14:paraId="42DCAB31" w14:textId="77777777">
      <w:pPr>
        <w:pStyle w:val="JuQuot"/>
        <w:rPr>
          <w:rFonts w:eastAsiaTheme="minorEastAsia"/>
        </w:rPr>
      </w:pPr>
      <w:r w:rsidRPr="007C5C4F">
        <w:rPr>
          <w:rFonts w:eastAsiaTheme="minorEastAsia"/>
        </w:rPr>
        <w:t>7.  The overall aim of the local authority and police should be to assure the young person that they are safe ...</w:t>
      </w:r>
    </w:p>
    <w:p w:rsidRPr="007C5C4F" w:rsidR="005E3D7B" w:rsidP="007C5C4F" w14:paraId="26A05BE2" w14:textId="77777777">
      <w:pPr>
        <w:pStyle w:val="JuQuot"/>
        <w:rPr>
          <w:rFonts w:eastAsiaTheme="minorEastAsia"/>
        </w:rPr>
      </w:pPr>
      <w:r w:rsidRPr="007C5C4F">
        <w:rPr>
          <w:rFonts w:eastAsiaTheme="minorEastAsia"/>
        </w:rPr>
        <w:t>8.  Any other welfare needs should be identified and responded to within a safeguarding and child protection context.</w:t>
      </w:r>
    </w:p>
    <w:p w:rsidRPr="007C5C4F" w:rsidR="005E3D7B" w:rsidP="007C5C4F" w14:paraId="70F1A1D9" w14:textId="14EE3E72">
      <w:pPr>
        <w:pStyle w:val="JuQuot"/>
        <w:rPr>
          <w:rFonts w:eastAsiaTheme="minorEastAsia"/>
        </w:rPr>
      </w:pPr>
      <w:r w:rsidRPr="007C5C4F">
        <w:rPr>
          <w:rFonts w:eastAsiaTheme="minorEastAsia"/>
        </w:rPr>
        <w:t xml:space="preserve">9.  All assessments undertaken are to be decided between the local authority and the local police. The assessments used should be in accordance with existing child protection standards and use the multi-agency framework which is set out in the </w:t>
      </w:r>
      <w:r w:rsidRPr="007C5C4F" w:rsidR="007C5C4F">
        <w:rPr>
          <w:rFonts w:eastAsiaTheme="minorEastAsia"/>
        </w:rPr>
        <w:t>‘</w:t>
      </w:r>
      <w:r w:rsidRPr="007C5C4F">
        <w:rPr>
          <w:rFonts w:eastAsiaTheme="minorEastAsia"/>
        </w:rPr>
        <w:t>Working Together to Safeguard Children</w:t>
      </w:r>
      <w:r w:rsidRPr="007C5C4F" w:rsidR="007C5C4F">
        <w:rPr>
          <w:rFonts w:eastAsiaTheme="minorEastAsia"/>
        </w:rPr>
        <w:t>’</w:t>
      </w:r>
      <w:r w:rsidRPr="007C5C4F">
        <w:rPr>
          <w:rFonts w:eastAsiaTheme="minorEastAsia"/>
        </w:rPr>
        <w:t xml:space="preserve"> guidance (2010). The assessments will be carried out by the appropriate child protection trained person in the relevant authority and should be carried out on an ongoing basis. Local authority, police and UKBA leads should meet within five days of initial joint assessment to discuss debrief of the young person, ongoing strategy and their protection plan.</w:t>
      </w:r>
    </w:p>
    <w:p w:rsidRPr="007C5C4F" w:rsidR="005E3D7B" w:rsidP="007C5C4F" w14:paraId="00DAFD3E" w14:textId="1747757C">
      <w:pPr>
        <w:pStyle w:val="JuQuot"/>
        <w:rPr>
          <w:rFonts w:eastAsiaTheme="minorEastAsia"/>
        </w:rPr>
      </w:pPr>
      <w:r w:rsidRPr="007C5C4F">
        <w:rPr>
          <w:rFonts w:eastAsiaTheme="minorEastAsia"/>
        </w:rPr>
        <w:t>10.  Once the young person is safe and within a more stable environment, the local authority children</w:t>
      </w:r>
      <w:r w:rsidRPr="007C5C4F" w:rsidR="007C5C4F">
        <w:rPr>
          <w:rFonts w:eastAsiaTheme="minorEastAsia"/>
        </w:rPr>
        <w:t>’</w:t>
      </w:r>
      <w:r w:rsidRPr="007C5C4F">
        <w:rPr>
          <w:rFonts w:eastAsiaTheme="minorEastAsia"/>
        </w:rPr>
        <w:t>s services should conduct a trafficking assessment. ... Where a concern of trafficking is confirmed by the assessment, a referral should be made to the relevant competent authorities within the National Referral Mechanism. ... Safeguarding and child protection processes should be put into place in accordance with the young person</w:t>
      </w:r>
      <w:r w:rsidRPr="007C5C4F" w:rsidR="007C5C4F">
        <w:rPr>
          <w:rFonts w:eastAsiaTheme="minorEastAsia"/>
        </w:rPr>
        <w:t>’</w:t>
      </w:r>
      <w:r w:rsidRPr="007C5C4F">
        <w:rPr>
          <w:rFonts w:eastAsiaTheme="minorEastAsia"/>
        </w:rPr>
        <w:t>s needs.</w:t>
      </w:r>
    </w:p>
    <w:p w:rsidRPr="007C5C4F" w:rsidR="005E3D7B" w:rsidP="007C5C4F" w14:paraId="1FD0E37B" w14:textId="77777777">
      <w:pPr>
        <w:pStyle w:val="JuQuot"/>
        <w:rPr>
          <w:rFonts w:eastAsiaTheme="minorEastAsia"/>
        </w:rPr>
      </w:pPr>
      <w:r w:rsidRPr="007C5C4F">
        <w:rPr>
          <w:rFonts w:eastAsiaTheme="minorEastAsia"/>
        </w:rPr>
        <w:t>...</w:t>
      </w:r>
    </w:p>
    <w:p w:rsidRPr="007C5C4F" w:rsidR="005E3D7B" w:rsidP="007C5C4F" w14:paraId="526931CF" w14:textId="6FFCF094">
      <w:pPr>
        <w:pStyle w:val="JuQuot"/>
        <w:rPr>
          <w:rFonts w:eastAsiaTheme="minorEastAsia"/>
        </w:rPr>
      </w:pPr>
      <w:r w:rsidRPr="007C5C4F">
        <w:rPr>
          <w:rFonts w:eastAsiaTheme="minorEastAsia"/>
        </w:rPr>
        <w:t>12.  If it is suspected that the young person is a potential victim of trafficking, it is the duty of the police, with assistance from local authorities, to investigate the trafficking allegations according to section 47 of the Children</w:t>
      </w:r>
      <w:r w:rsidRPr="007C5C4F" w:rsidR="007C5C4F">
        <w:rPr>
          <w:rFonts w:eastAsiaTheme="minorEastAsia"/>
        </w:rPr>
        <w:t>’</w:t>
      </w:r>
      <w:r w:rsidRPr="007C5C4F">
        <w:rPr>
          <w:rFonts w:eastAsiaTheme="minorEastAsia"/>
        </w:rPr>
        <w:t>s Act. It is important that offenders are prosecuted for trafficking crimes in order to protect future children from exploitation, and to act as a deterrent to others.”</w:t>
      </w:r>
    </w:p>
    <w:p w:rsidRPr="007C5C4F" w:rsidR="005E3D7B" w:rsidP="007C5C4F" w14:paraId="28A8B63B" w14:textId="77777777">
      <w:pPr>
        <w:pStyle w:val="JuHA"/>
        <w:ind w:left="584" w:hanging="352"/>
        <w:jc w:val="left"/>
      </w:pPr>
      <w:r w:rsidRPr="007C5C4F">
        <w:t>National Referral Mechanism and Competent Authorities</w:t>
      </w:r>
    </w:p>
    <w:bookmarkStart w:name="NRMCA" w:id="53"/>
    <w:p w:rsidRPr="007C5C4F" w:rsidR="005E3D7B" w:rsidP="007C5C4F" w14:paraId="6B63BBB7" w14:textId="6902B530">
      <w:pPr>
        <w:pStyle w:val="JuPara"/>
        <w:rPr>
          <w:rFonts w:eastAsiaTheme="minorEastAsia"/>
        </w:rPr>
      </w:pPr>
      <w:r w:rsidRPr="007C5C4F">
        <w:rPr>
          <w:rFonts w:eastAsiaTheme="minorEastAsia"/>
        </w:rPr>
        <w:fldChar w:fldCharType="begin"/>
      </w:r>
      <w:r w:rsidRPr="007C5C4F">
        <w:rPr>
          <w:rFonts w:eastAsiaTheme="minorEastAsia"/>
        </w:rPr>
        <w:instrText xml:space="preserve"> SEQ level0 \*arabic </w:instrText>
      </w:r>
      <w:r w:rsidRPr="007C5C4F">
        <w:rPr>
          <w:rFonts w:eastAsiaTheme="minorEastAsia"/>
        </w:rPr>
        <w:fldChar w:fldCharType="separate"/>
      </w:r>
      <w:r w:rsidRPr="007C5C4F" w:rsidR="007C5C4F">
        <w:rPr>
          <w:rFonts w:eastAsiaTheme="minorEastAsia"/>
          <w:noProof/>
        </w:rPr>
        <w:t>75</w:t>
      </w:r>
      <w:r w:rsidRPr="007C5C4F">
        <w:rPr>
          <w:rFonts w:eastAsiaTheme="minorEastAsia"/>
        </w:rPr>
        <w:fldChar w:fldCharType="end"/>
      </w:r>
      <w:bookmarkEnd w:id="53"/>
      <w:r w:rsidRPr="007C5C4F">
        <w:rPr>
          <w:rFonts w:eastAsiaTheme="minorEastAsia"/>
        </w:rPr>
        <w:t>.  On 1 April 2009, to coincide with the coming into force of the Anti</w:t>
      </w:r>
      <w:r w:rsidRPr="007C5C4F">
        <w:rPr>
          <w:rFonts w:eastAsiaTheme="minorEastAsia"/>
        </w:rPr>
        <w:noBreakHyphen/>
        <w:t xml:space="preserve">Trafficking Convention (see paragraph </w:t>
      </w:r>
      <w:r w:rsidRPr="007C5C4F">
        <w:rPr>
          <w:rFonts w:eastAsiaTheme="minorEastAsia"/>
        </w:rPr>
        <w:fldChar w:fldCharType="begin"/>
      </w:r>
      <w:r w:rsidRPr="007C5C4F">
        <w:rPr>
          <w:rFonts w:eastAsiaTheme="minorEastAsia"/>
        </w:rPr>
        <w:instrText xml:space="preserve"> REF ATC3and10 \h </w:instrText>
      </w:r>
      <w:r w:rsidRPr="007C5C4F">
        <w:rPr>
          <w:rFonts w:eastAsiaTheme="minorEastAsia"/>
        </w:rPr>
        <w:fldChar w:fldCharType="separate"/>
      </w:r>
      <w:r w:rsidRPr="007C5C4F" w:rsidR="007C5C4F">
        <w:rPr>
          <w:rFonts w:eastAsiaTheme="minorEastAsia"/>
          <w:noProof/>
        </w:rPr>
        <w:t>102</w:t>
      </w:r>
      <w:r w:rsidRPr="007C5C4F">
        <w:rPr>
          <w:rFonts w:eastAsiaTheme="minorEastAsia"/>
        </w:rPr>
        <w:fldChar w:fldCharType="end"/>
      </w:r>
      <w:r w:rsidRPr="007C5C4F">
        <w:rPr>
          <w:rStyle w:val="JuParaChar"/>
        </w:rPr>
        <w:t xml:space="preserve"> </w:t>
      </w:r>
      <w:r w:rsidRPr="007C5C4F">
        <w:rPr>
          <w:rFonts w:eastAsiaTheme="minorEastAsia"/>
        </w:rPr>
        <w:t>below) the Government created the National Referral Mechanism (hereinafter “the NRM”) to provide the framework for identifying and referring potential victims of modern slavery and ensuring they receive the appropriate support. To be referred to the NRM, potential victims of trafficking must first be referred to one of the United Kingdom</w:t>
      </w:r>
      <w:r w:rsidRPr="007C5C4F" w:rsidR="007C5C4F">
        <w:rPr>
          <w:rFonts w:eastAsiaTheme="minorEastAsia"/>
        </w:rPr>
        <w:t>’</w:t>
      </w:r>
      <w:r w:rsidRPr="007C5C4F">
        <w:rPr>
          <w:rFonts w:eastAsiaTheme="minorEastAsia"/>
        </w:rPr>
        <w:t>s two Competent Authorities which are responsible for making conclusive decisions on whether a person has been trafficked for the purpose of exploitation. The Competent Authorities are the United Kingdom Human Trafficking Centre, within the National Crime Agency, and the Home Office.</w:t>
      </w:r>
    </w:p>
    <w:bookmarkStart w:name="NRMCA2" w:id="54"/>
    <w:p w:rsidRPr="007C5C4F" w:rsidR="005E3D7B" w:rsidP="007C5C4F" w14:paraId="6C2543DA" w14:textId="0C715992">
      <w:pPr>
        <w:pStyle w:val="JuPara"/>
        <w:rPr>
          <w:rFonts w:eastAsiaTheme="minorEastAsia"/>
        </w:rPr>
      </w:pPr>
      <w:r w:rsidRPr="007C5C4F">
        <w:rPr>
          <w:rFonts w:eastAsiaTheme="minorEastAsia"/>
        </w:rPr>
        <w:fldChar w:fldCharType="begin"/>
      </w:r>
      <w:r w:rsidRPr="007C5C4F">
        <w:rPr>
          <w:rFonts w:eastAsiaTheme="minorEastAsia"/>
        </w:rPr>
        <w:instrText xml:space="preserve"> SEQ level0 \*arabic </w:instrText>
      </w:r>
      <w:r w:rsidRPr="007C5C4F">
        <w:rPr>
          <w:rFonts w:eastAsiaTheme="minorEastAsia"/>
        </w:rPr>
        <w:fldChar w:fldCharType="separate"/>
      </w:r>
      <w:r w:rsidRPr="007C5C4F" w:rsidR="007C5C4F">
        <w:rPr>
          <w:rFonts w:eastAsiaTheme="minorEastAsia"/>
          <w:noProof/>
        </w:rPr>
        <w:t>76</w:t>
      </w:r>
      <w:r w:rsidRPr="007C5C4F">
        <w:rPr>
          <w:rFonts w:eastAsiaTheme="minorEastAsia"/>
        </w:rPr>
        <w:fldChar w:fldCharType="end"/>
      </w:r>
      <w:bookmarkEnd w:id="54"/>
      <w:r w:rsidRPr="007C5C4F">
        <w:rPr>
          <w:rFonts w:eastAsiaTheme="minorEastAsia"/>
        </w:rPr>
        <w:t>.  The Competent Authorities first make a “reasonable grounds” decision. The threshold for this decision is “I suspect but cannot prove”, and a positive decision triggers a forty-five-day recovery and reflection period. Following this period, the same Competent Authority should make a “conclusive grounds” decision for which the threshold is a “balance of probabilities”, that is, that “it is more likely than not” that the person was trafficked.</w:t>
      </w:r>
    </w:p>
    <w:p w:rsidRPr="007C5C4F" w:rsidR="005E3D7B" w:rsidP="007C5C4F" w14:paraId="6CA90372" w14:textId="77777777">
      <w:pPr>
        <w:pStyle w:val="JuHA"/>
        <w:ind w:left="584" w:hanging="352"/>
        <w:jc w:val="left"/>
      </w:pPr>
      <w:r w:rsidRPr="007C5C4F">
        <w:t>Relevant case-law</w:t>
      </w:r>
    </w:p>
    <w:p w:rsidRPr="007C5C4F" w:rsidR="005E3D7B" w:rsidP="007C5C4F" w14:paraId="2AF612FE" w14:textId="77777777">
      <w:pPr>
        <w:pStyle w:val="JuH1"/>
        <w:ind w:left="731" w:hanging="300"/>
        <w:jc w:val="left"/>
        <w:rPr>
          <w:lang w:val="pt-PT"/>
        </w:rPr>
      </w:pPr>
      <w:r w:rsidRPr="007C5C4F">
        <w:rPr>
          <w:i w:val="0"/>
          <w:iCs w:val="0"/>
          <w:lang w:val="pt-PT"/>
        </w:rPr>
        <w:t>R v. O</w:t>
      </w:r>
      <w:r w:rsidRPr="007C5C4F">
        <w:rPr>
          <w:lang w:val="pt-PT"/>
        </w:rPr>
        <w:t xml:space="preserve"> [2008] EWCA Crim 2835</w:t>
      </w:r>
    </w:p>
    <w:bookmarkStart w:name="RO1" w:id="55"/>
    <w:p w:rsidRPr="007C5C4F" w:rsidR="005E3D7B" w:rsidP="007C5C4F" w14:paraId="3D436760" w14:textId="6C6307B1">
      <w:pPr>
        <w:pStyle w:val="JuPara"/>
      </w:pPr>
      <w:r w:rsidRPr="007C5C4F">
        <w:fldChar w:fldCharType="begin"/>
      </w:r>
      <w:r w:rsidRPr="007C5C4F">
        <w:instrText xml:space="preserve"> SEQ level0 \*arabic </w:instrText>
      </w:r>
      <w:r w:rsidRPr="007C5C4F">
        <w:fldChar w:fldCharType="separate"/>
      </w:r>
      <w:r w:rsidRPr="007C5C4F" w:rsidR="007C5C4F">
        <w:rPr>
          <w:noProof/>
        </w:rPr>
        <w:t>77</w:t>
      </w:r>
      <w:r w:rsidRPr="007C5C4F">
        <w:fldChar w:fldCharType="end"/>
      </w:r>
      <w:bookmarkEnd w:id="55"/>
      <w:r w:rsidRPr="007C5C4F">
        <w:t>.  The minor appellant in this case had pleaded guilty to an offence of possessing a false identity card with the intention of using it as her own and was sentenced to eight months</w:t>
      </w:r>
      <w:r w:rsidRPr="007C5C4F" w:rsidR="007C5C4F">
        <w:t>’</w:t>
      </w:r>
      <w:r w:rsidRPr="007C5C4F">
        <w:t xml:space="preserve"> imprisonment less sixteen days spent on remand. Although The Poppy Project (an organisation which supports vulnerable women who have been trafficked into England and forced into prostitution) alleged that she was a victim of a sex trafficking organisation, her legal representatives proceeded on the basis of her instructions without regard to the information provided by The Poppy Project. They did not consider whether she might have been the victim of trafficking or what the consequences of her true age might be. Her representatives were also unfamiliar with two protocols on the prosecution of young offenders and defendants charged with immigration offences who might be trafficked victims; and on prosecution of young offenders charged with offences who might be trafficked victims (see paragraphs </w:t>
      </w:r>
      <w:r w:rsidRPr="007C5C4F">
        <w:fldChar w:fldCharType="begin"/>
      </w:r>
      <w:r w:rsidRPr="007C5C4F">
        <w:instrText xml:space="preserve"> REF CPS1 \h </w:instrText>
      </w:r>
      <w:r w:rsidRPr="007C5C4F">
        <w:fldChar w:fldCharType="separate"/>
      </w:r>
      <w:r w:rsidRPr="007C5C4F" w:rsidR="007C5C4F">
        <w:rPr>
          <w:rFonts w:eastAsiaTheme="minorEastAsia"/>
          <w:noProof/>
        </w:rPr>
        <w:t>72</w:t>
      </w:r>
      <w:r w:rsidRPr="007C5C4F">
        <w:fldChar w:fldCharType="end"/>
      </w:r>
      <w:r w:rsidRPr="007C5C4F">
        <w:t>-</w:t>
      </w:r>
      <w:r w:rsidRPr="007C5C4F">
        <w:fldChar w:fldCharType="begin"/>
      </w:r>
      <w:r w:rsidRPr="007C5C4F">
        <w:instrText xml:space="preserve"> REF CPS2 \h </w:instrText>
      </w:r>
      <w:r w:rsidRPr="007C5C4F">
        <w:fldChar w:fldCharType="separate"/>
      </w:r>
      <w:r w:rsidRPr="007C5C4F" w:rsidR="007C5C4F">
        <w:rPr>
          <w:rFonts w:eastAsiaTheme="minorEastAsia"/>
          <w:noProof/>
        </w:rPr>
        <w:t>73</w:t>
      </w:r>
      <w:r w:rsidRPr="007C5C4F">
        <w:fldChar w:fldCharType="end"/>
      </w:r>
      <w:r w:rsidRPr="007C5C4F">
        <w:t xml:space="preserve"> above), even though both protocols were incorporated into the Code for Crown Prosecutors.</w:t>
      </w:r>
    </w:p>
    <w:bookmarkStart w:name="RO2" w:id="56"/>
    <w:p w:rsidRPr="007C5C4F" w:rsidR="005E3D7B" w:rsidP="007C5C4F" w14:paraId="5DE1A431" w14:textId="418A71DC">
      <w:pPr>
        <w:pStyle w:val="JuPara"/>
      </w:pPr>
      <w:r w:rsidRPr="007C5C4F">
        <w:fldChar w:fldCharType="begin"/>
      </w:r>
      <w:r w:rsidRPr="007C5C4F">
        <w:instrText xml:space="preserve"> SEQ level0 \*arabic </w:instrText>
      </w:r>
      <w:r w:rsidRPr="007C5C4F">
        <w:fldChar w:fldCharType="separate"/>
      </w:r>
      <w:r w:rsidRPr="007C5C4F" w:rsidR="007C5C4F">
        <w:rPr>
          <w:noProof/>
        </w:rPr>
        <w:t>78</w:t>
      </w:r>
      <w:r w:rsidRPr="007C5C4F">
        <w:fldChar w:fldCharType="end"/>
      </w:r>
      <w:bookmarkEnd w:id="56"/>
      <w:r w:rsidRPr="007C5C4F">
        <w:t>.  The appellant appealed against conviction and her appeal was unopposed. In allowing the appeal the court said:</w:t>
      </w:r>
    </w:p>
    <w:p w:rsidRPr="007C5C4F" w:rsidR="005E3D7B" w:rsidP="007C5C4F" w14:paraId="3464CF3B" w14:textId="77777777">
      <w:pPr>
        <w:pStyle w:val="JuQuot"/>
      </w:pPr>
      <w:r w:rsidRPr="007C5C4F">
        <w:t>“There was in this case material before the defence which should plainly have raised at least the apprehension that this appellant had been trafficked to the United Kingdom for the purposes of prostitution. The defence had information from her suggesting that she was at most 17, as counsel indeed submitted to the court, and perhaps only 16. From the custody record the Crown should have appreciated that she might have been a very young person.</w:t>
      </w:r>
    </w:p>
    <w:p w:rsidRPr="007C5C4F" w:rsidR="005E3D7B" w:rsidP="007C5C4F" w14:paraId="1A6EE5B3" w14:textId="0D2A8818">
      <w:pPr>
        <w:pStyle w:val="JuQuot"/>
      </w:pPr>
      <w:r w:rsidRPr="007C5C4F">
        <w:t>No steps were taken by the defence to investigate the history. No consideration was given by the defence as to whether she might have a defence of duress. The possibility that she might have been trafficked was ignored. There is nothing in the transcript to suggest that any thought had been given to the State</w:t>
      </w:r>
      <w:r w:rsidRPr="007C5C4F" w:rsidR="007C5C4F">
        <w:t>’</w:t>
      </w:r>
      <w:r w:rsidRPr="007C5C4F">
        <w:t xml:space="preserve">s possible duty to protect her as a young victim. Nobody considered that if she was 17 or less, she should not have been in the Crown Court at all. Counsel for the defence thought it right to refer to </w:t>
      </w:r>
      <w:r w:rsidRPr="007C5C4F" w:rsidR="007C5C4F">
        <w:t>‘</w:t>
      </w:r>
      <w:r w:rsidRPr="007C5C4F">
        <w:t>an inevitable prison sentence</w:t>
      </w:r>
      <w:r w:rsidRPr="007C5C4F" w:rsidR="007C5C4F">
        <w:t>’</w:t>
      </w:r>
      <w:r w:rsidRPr="007C5C4F">
        <w:t xml:space="preserve">. The judge passed what she described as an </w:t>
      </w:r>
      <w:r w:rsidRPr="007C5C4F" w:rsidR="007C5C4F">
        <w:t>‘</w:t>
      </w:r>
      <w:r w:rsidRPr="007C5C4F">
        <w:t>inevitable prison sentence</w:t>
      </w:r>
      <w:r w:rsidRPr="007C5C4F" w:rsidR="007C5C4F">
        <w:t>’</w:t>
      </w:r>
      <w:r w:rsidRPr="007C5C4F">
        <w:t xml:space="preserve"> of 8 months. If the appellant was 17 or less, a sentence of imprisonment as such was unlawful. For good measure the judge sentenced her without a report.</w:t>
      </w:r>
    </w:p>
    <w:p w:rsidRPr="007C5C4F" w:rsidR="005E3D7B" w:rsidP="007C5C4F" w14:paraId="2B6EC0A5" w14:textId="77777777">
      <w:pPr>
        <w:pStyle w:val="JuQuot"/>
      </w:pPr>
      <w:r w:rsidRPr="007C5C4F">
        <w:t>This appeal against conviction must obviously be allowed. We would put it most simply on the footing that the common law and Article 6 of the European Convention on Human Rights alike require far higher standards of procedural protection than were given here. There was no fair trial. We hope that such a shameful set of circumstances never occurs again. Prosecutors must be aware of the protocols which, although not in the text books are enshrined in their Code. Defence lawyers must respond by making enquiries, if there is before them credible material showing that they have a client who might have been the victim of trafficking, especially a young client. Where there is doubt about the age of a defendant who is a possible victim of trafficking, proper inquiries must be made, indeed statute so required.”</w:t>
      </w:r>
    </w:p>
    <w:p w:rsidRPr="007C5C4F" w:rsidR="005E3D7B" w:rsidP="007C5C4F" w14:paraId="52E151C2" w14:textId="77777777">
      <w:pPr>
        <w:pStyle w:val="JuH1"/>
        <w:ind w:left="731" w:hanging="300"/>
        <w:jc w:val="left"/>
        <w:rPr>
          <w:lang w:val="pt-PT"/>
        </w:rPr>
      </w:pPr>
      <w:r w:rsidRPr="007C5C4F">
        <w:rPr>
          <w:i w:val="0"/>
          <w:iCs w:val="0"/>
          <w:lang w:val="pt-PT"/>
        </w:rPr>
        <w:t>R v. M(L)</w:t>
      </w:r>
      <w:r w:rsidRPr="007C5C4F">
        <w:rPr>
          <w:lang w:val="pt-PT"/>
        </w:rPr>
        <w:t xml:space="preserve"> [2010] EWCA Crim 2327</w:t>
      </w:r>
    </w:p>
    <w:p w:rsidRPr="007C5C4F" w:rsidR="005E3D7B" w:rsidP="007C5C4F" w14:paraId="290A54D2" w14:textId="26D499AC">
      <w:pPr>
        <w:pStyle w:val="JuPara"/>
        <w:rPr>
          <w:rFonts w:eastAsiaTheme="minorEastAsia"/>
        </w:rPr>
      </w:pPr>
      <w:r w:rsidRPr="007C5C4F">
        <w:rPr>
          <w:rFonts w:eastAsiaTheme="minorEastAsia"/>
        </w:rPr>
        <w:fldChar w:fldCharType="begin"/>
      </w:r>
      <w:r w:rsidRPr="007C5C4F">
        <w:rPr>
          <w:rFonts w:eastAsiaTheme="minorEastAsia"/>
        </w:rPr>
        <w:instrText xml:space="preserve"> SEQ level0 \*arabic </w:instrText>
      </w:r>
      <w:r w:rsidRPr="007C5C4F">
        <w:rPr>
          <w:rFonts w:eastAsiaTheme="minorEastAsia"/>
        </w:rPr>
        <w:fldChar w:fldCharType="separate"/>
      </w:r>
      <w:r w:rsidRPr="007C5C4F" w:rsidR="007C5C4F">
        <w:rPr>
          <w:rFonts w:eastAsiaTheme="minorEastAsia"/>
          <w:noProof/>
        </w:rPr>
        <w:t>79</w:t>
      </w:r>
      <w:r w:rsidRPr="007C5C4F">
        <w:rPr>
          <w:rFonts w:eastAsiaTheme="minorEastAsia"/>
        </w:rPr>
        <w:fldChar w:fldCharType="end"/>
      </w:r>
      <w:r w:rsidRPr="007C5C4F">
        <w:rPr>
          <w:rFonts w:eastAsiaTheme="minorEastAsia"/>
        </w:rPr>
        <w:t xml:space="preserve">.  In this case, which pre-dated the Modern Slavery Act 2015, the Court of Appeal considered three distinct appeals concerned with alleged failures to implement Article 26 of the Anti-Trafficking Convention (being the “non-punishment provision” – see paragraph </w:t>
      </w:r>
      <w:r w:rsidRPr="007C5C4F">
        <w:rPr>
          <w:rFonts w:eastAsiaTheme="minorEastAsia"/>
        </w:rPr>
        <w:fldChar w:fldCharType="begin"/>
      </w:r>
      <w:r w:rsidRPr="007C5C4F">
        <w:rPr>
          <w:rFonts w:eastAsiaTheme="minorEastAsia"/>
        </w:rPr>
        <w:instrText xml:space="preserve"> REF Art26 \h </w:instrText>
      </w:r>
      <w:r w:rsidRPr="007C5C4F">
        <w:rPr>
          <w:rFonts w:eastAsiaTheme="minorEastAsia"/>
        </w:rPr>
        <w:fldChar w:fldCharType="separate"/>
      </w:r>
      <w:r w:rsidRPr="007C5C4F" w:rsidR="007C5C4F">
        <w:rPr>
          <w:rStyle w:val="JuParaChar"/>
          <w:noProof/>
        </w:rPr>
        <w:t>103</w:t>
      </w:r>
      <w:r w:rsidRPr="007C5C4F">
        <w:rPr>
          <w:rFonts w:eastAsiaTheme="minorEastAsia"/>
        </w:rPr>
        <w:fldChar w:fldCharType="end"/>
      </w:r>
      <w:r w:rsidRPr="007C5C4F">
        <w:rPr>
          <w:rFonts w:eastAsiaTheme="minorEastAsia"/>
        </w:rPr>
        <w:t xml:space="preserve"> below). The court made the following comments:</w:t>
      </w:r>
    </w:p>
    <w:p w:rsidRPr="007C5C4F" w:rsidR="005E3D7B" w:rsidP="007C5C4F" w14:paraId="0C64D1DC" w14:textId="0436D712">
      <w:pPr>
        <w:pStyle w:val="JuQuot"/>
        <w:rPr>
          <w:rFonts w:eastAsiaTheme="minorEastAsia"/>
        </w:rPr>
      </w:pPr>
      <w:r w:rsidRPr="007C5C4F">
        <w:rPr>
          <w:rFonts w:eastAsiaTheme="minorEastAsia"/>
        </w:rPr>
        <w:t>“The United Kingdom has taken extensive steps to discharge its obligations under this convention. There are in existence criminal offences of trafficking. So far as Article 10 is concerned, a number of bodies, whose purpose is the identification and assistance of victims, have been established. The United Kingdom Human Trafficking Centre (UKHTC) is a multi-agency centre, one of whose functions is the identification of those who are or may be trafficked victims. A National Referral Mechanism (NRM) also exists as a mechanism through which public bodies, including criminal justice bodies, can refer individual</w:t>
      </w:r>
      <w:r w:rsidRPr="007C5C4F" w:rsidR="007C5C4F">
        <w:rPr>
          <w:rFonts w:eastAsiaTheme="minorEastAsia"/>
        </w:rPr>
        <w:t>’</w:t>
      </w:r>
      <w:r w:rsidRPr="007C5C4F">
        <w:rPr>
          <w:rFonts w:eastAsiaTheme="minorEastAsia"/>
        </w:rPr>
        <w:t>s cases for consideration. In addition there are a number of third sector organisations whose object is the identification of those who are or may be victims of trafficking. One such is the Poppy Project, a charity largely funded by the government substantially for this purpose. There now exist also the Gangmaster</w:t>
      </w:r>
      <w:r w:rsidRPr="007C5C4F" w:rsidR="007C5C4F">
        <w:rPr>
          <w:rFonts w:eastAsiaTheme="minorEastAsia"/>
        </w:rPr>
        <w:t>’</w:t>
      </w:r>
      <w:r w:rsidRPr="007C5C4F">
        <w:rPr>
          <w:rFonts w:eastAsiaTheme="minorEastAsia"/>
        </w:rPr>
        <w:t>s Licensing Authority and a number of other bodies.</w:t>
      </w:r>
    </w:p>
    <w:p w:rsidRPr="007C5C4F" w:rsidR="005E3D7B" w:rsidP="007C5C4F" w14:paraId="12D3A909" w14:textId="093F0120">
      <w:pPr>
        <w:pStyle w:val="JuQuot"/>
        <w:rPr>
          <w:rFonts w:eastAsiaTheme="minorEastAsia"/>
        </w:rPr>
      </w:pPr>
      <w:r w:rsidRPr="007C5C4F">
        <w:rPr>
          <w:rFonts w:eastAsiaTheme="minorEastAsia"/>
        </w:rPr>
        <w:t xml:space="preserve">These agencies are charged with the identification of persons who have </w:t>
      </w:r>
      <w:r w:rsidRPr="007C5C4F" w:rsidR="007C5C4F">
        <w:rPr>
          <w:rFonts w:eastAsiaTheme="minorEastAsia"/>
        </w:rPr>
        <w:t>‘</w:t>
      </w:r>
      <w:r w:rsidRPr="007C5C4F">
        <w:rPr>
          <w:rFonts w:eastAsiaTheme="minorEastAsia"/>
        </w:rPr>
        <w:t>reasonable grounds for being treated as a victim of trafficking</w:t>
      </w:r>
      <w:r w:rsidRPr="007C5C4F" w:rsidR="007C5C4F">
        <w:rPr>
          <w:rFonts w:eastAsiaTheme="minorEastAsia"/>
        </w:rPr>
        <w:t>’</w:t>
      </w:r>
      <w:r w:rsidRPr="007C5C4F">
        <w:rPr>
          <w:rFonts w:eastAsiaTheme="minorEastAsia"/>
        </w:rPr>
        <w:t>. That test is derived directly from Article 10. When a person is identified as meeting that threshold test, he or she will be eligible for a number of forms of assistance, including a period of not less than 30 days for recovery and reflection during which no steps may be taken to repatriate or remove him. Because it is the trigger for the assistance to victim provisions, the test of reasonable grounds establishes a comparatively low threshold. If it is met, that does not mean that it has been determined that the person concerned actually is a victim of trafficking, but rather that there are reasonable grounds to believe that they may be.</w:t>
      </w:r>
    </w:p>
    <w:p w:rsidRPr="007C5C4F" w:rsidR="005E3D7B" w:rsidP="007C5C4F" w14:paraId="5D087604" w14:textId="77777777">
      <w:pPr>
        <w:pStyle w:val="JuQuot"/>
        <w:keepNext/>
        <w:keepLines/>
        <w:rPr>
          <w:rFonts w:eastAsiaTheme="minorEastAsia"/>
          <w:b/>
        </w:rPr>
      </w:pPr>
      <w:r w:rsidRPr="007C5C4F">
        <w:rPr>
          <w:rFonts w:eastAsiaTheme="minorEastAsia"/>
          <w:b/>
        </w:rPr>
        <w:t>The application of Article 26</w:t>
      </w:r>
    </w:p>
    <w:p w:rsidRPr="007C5C4F" w:rsidR="005E3D7B" w:rsidP="007C5C4F" w14:paraId="28A456B0" w14:textId="3D4CBD1B">
      <w:pPr>
        <w:pStyle w:val="JuQuot"/>
        <w:rPr>
          <w:rFonts w:eastAsiaTheme="minorEastAsia"/>
        </w:rPr>
      </w:pPr>
      <w:r w:rsidRPr="007C5C4F">
        <w:rPr>
          <w:rFonts w:eastAsiaTheme="minorEastAsia"/>
        </w:rPr>
        <w:t>In England and Wales the implementation of Article 26 is achieved through three mechanisms. First, English law recognises the common law defences of duress and necessity (</w:t>
      </w:r>
      <w:r w:rsidRPr="007C5C4F" w:rsidR="007C5C4F">
        <w:rPr>
          <w:rFonts w:eastAsiaTheme="minorEastAsia"/>
        </w:rPr>
        <w:t>‘</w:t>
      </w:r>
      <w:r w:rsidRPr="007C5C4F">
        <w:rPr>
          <w:rFonts w:eastAsiaTheme="minorEastAsia"/>
        </w:rPr>
        <w:t>duress of circumstances</w:t>
      </w:r>
      <w:r w:rsidRPr="007C5C4F" w:rsidR="007C5C4F">
        <w:rPr>
          <w:rFonts w:eastAsiaTheme="minorEastAsia"/>
        </w:rPr>
        <w:t>’</w:t>
      </w:r>
      <w:r w:rsidRPr="007C5C4F">
        <w:rPr>
          <w:rFonts w:eastAsiaTheme="minorEastAsia"/>
        </w:rPr>
        <w:t xml:space="preserve">). Second, specific rules have been made for the guidance of prosecutors in considering whether charges should be brought against those who are or may have been victims of trafficking. Thirdly, in the event that the duty laid on the prosecutor to exercise judgment is not properly discharged, the ultimate sanction is the power of the court to stay the prosecution for what is conveniently, if not very accurately, termed </w:t>
      </w:r>
      <w:r w:rsidRPr="007C5C4F" w:rsidR="007C5C4F">
        <w:rPr>
          <w:rFonts w:eastAsiaTheme="minorEastAsia"/>
        </w:rPr>
        <w:t>‘</w:t>
      </w:r>
      <w:r w:rsidRPr="007C5C4F">
        <w:rPr>
          <w:rFonts w:eastAsiaTheme="minorEastAsia"/>
        </w:rPr>
        <w:t>abuse of process</w:t>
      </w:r>
      <w:r w:rsidRPr="007C5C4F" w:rsidR="007C5C4F">
        <w:rPr>
          <w:rFonts w:eastAsiaTheme="minorEastAsia"/>
        </w:rPr>
        <w:t>’</w:t>
      </w:r>
      <w:r w:rsidRPr="007C5C4F">
        <w:rPr>
          <w:rFonts w:eastAsiaTheme="minorEastAsia"/>
        </w:rPr>
        <w:t>.</w:t>
      </w:r>
    </w:p>
    <w:p w:rsidRPr="007C5C4F" w:rsidR="005E3D7B" w:rsidP="007C5C4F" w14:paraId="439E729B" w14:textId="3C3B0DE2">
      <w:pPr>
        <w:pStyle w:val="JuQuot"/>
        <w:rPr>
          <w:rFonts w:eastAsiaTheme="minorEastAsia"/>
        </w:rPr>
      </w:pPr>
      <w:r w:rsidRPr="007C5C4F">
        <w:rPr>
          <w:rFonts w:eastAsiaTheme="minorEastAsia"/>
        </w:rPr>
        <w:t>The defences of duress and/or necessity (</w:t>
      </w:r>
      <w:r w:rsidRPr="007C5C4F" w:rsidR="007C5C4F">
        <w:rPr>
          <w:rFonts w:eastAsiaTheme="minorEastAsia"/>
        </w:rPr>
        <w:t>‘</w:t>
      </w:r>
      <w:r w:rsidRPr="007C5C4F">
        <w:rPr>
          <w:rFonts w:eastAsiaTheme="minorEastAsia"/>
        </w:rPr>
        <w:t>duress of circumstances</w:t>
      </w:r>
      <w:r w:rsidRPr="007C5C4F" w:rsidR="007C5C4F">
        <w:rPr>
          <w:rFonts w:eastAsiaTheme="minorEastAsia"/>
        </w:rPr>
        <w:t>’</w:t>
      </w:r>
      <w:r w:rsidRPr="007C5C4F">
        <w:rPr>
          <w:rFonts w:eastAsiaTheme="minorEastAsia"/>
        </w:rPr>
        <w:t xml:space="preserve">) may be in question where an offence has been committed by a trafficked victim whose case is that she was coerced into committing it. There is no special modification of the general law relating to these defences. There are important limitations to both defences. Duress is a defence (except to murder and attempted murder) if the offence has been committed as the direct (not indirect) result of a threat of death or serious injury aimed at the defendant or someone sufficiently close to him. But the defence is not established if there was evasive action which the defendant could reasonably be expected to take, including report to the authorities, and nor can it be established if the defendant has voluntarily associated with people in circumstances which amount to laying himself open to the compulsion to commit offences. For these broad propositions see </w:t>
      </w:r>
      <w:r w:rsidRPr="007C5C4F">
        <w:rPr>
          <w:rFonts w:eastAsiaTheme="minorEastAsia"/>
          <w:i/>
        </w:rPr>
        <w:t>R v Z</w:t>
      </w:r>
      <w:r w:rsidRPr="007C5C4F">
        <w:rPr>
          <w:rFonts w:eastAsiaTheme="minorEastAsia"/>
        </w:rPr>
        <w:t xml:space="preserve"> [2005] 2 AC 467. The separate but allied defence of necessity or </w:t>
      </w:r>
      <w:r w:rsidRPr="007C5C4F" w:rsidR="007C5C4F">
        <w:rPr>
          <w:rFonts w:eastAsiaTheme="minorEastAsia"/>
        </w:rPr>
        <w:t>‘</w:t>
      </w:r>
      <w:r w:rsidRPr="007C5C4F">
        <w:rPr>
          <w:rFonts w:eastAsiaTheme="minorEastAsia"/>
        </w:rPr>
        <w:t>duress of circumstances</w:t>
      </w:r>
      <w:r w:rsidRPr="007C5C4F" w:rsidR="007C5C4F">
        <w:rPr>
          <w:rFonts w:eastAsiaTheme="minorEastAsia"/>
        </w:rPr>
        <w:t>’</w:t>
      </w:r>
      <w:r w:rsidRPr="007C5C4F">
        <w:rPr>
          <w:rFonts w:eastAsiaTheme="minorEastAsia"/>
        </w:rPr>
        <w:t xml:space="preserve"> is available only where the commission of a crime was necessary or was reasonably believed to be necessary to avoid or prevent death or serious injury where, objectively viewed, commission of the crime was reasonable and proportionate having regard to the evil to be avoided or prevented and the crime would not have been committed without that necessity ...</w:t>
      </w:r>
    </w:p>
    <w:p w:rsidRPr="007C5C4F" w:rsidR="005E3D7B" w:rsidP="007C5C4F" w14:paraId="309F87E4" w14:textId="77777777">
      <w:pPr>
        <w:pStyle w:val="JuQuot"/>
        <w:rPr>
          <w:rFonts w:eastAsiaTheme="minorEastAsia"/>
        </w:rPr>
      </w:pPr>
      <w:r w:rsidRPr="007C5C4F">
        <w:rPr>
          <w:rFonts w:eastAsiaTheme="minorEastAsia"/>
        </w:rPr>
        <w:t>The special guidance to prosecutors issued by the CPS in order to comply with the convention imposes on them a duty which includes but is wider than consideration of these common law defences.</w:t>
      </w:r>
    </w:p>
    <w:p w:rsidRPr="007C5C4F" w:rsidR="005E3D7B" w:rsidP="007C5C4F" w14:paraId="732CF8A9" w14:textId="77777777">
      <w:pPr>
        <w:pStyle w:val="JuQuot"/>
        <w:rPr>
          <w:rFonts w:eastAsiaTheme="minorEastAsia"/>
        </w:rPr>
      </w:pPr>
      <w:r w:rsidRPr="007C5C4F">
        <w:rPr>
          <w:rFonts w:eastAsiaTheme="minorEastAsia"/>
        </w:rPr>
        <w:t>...</w:t>
      </w:r>
    </w:p>
    <w:p w:rsidRPr="007C5C4F" w:rsidR="005E3D7B" w:rsidP="007C5C4F" w14:paraId="1F4C6C80" w14:textId="77777777">
      <w:pPr>
        <w:pStyle w:val="JuQuot"/>
        <w:rPr>
          <w:rFonts w:eastAsiaTheme="minorEastAsia"/>
        </w:rPr>
      </w:pPr>
      <w:r w:rsidRPr="007C5C4F">
        <w:rPr>
          <w:rFonts w:eastAsiaTheme="minorEastAsia"/>
        </w:rPr>
        <w:t>The effect of that [guidance] is to require of prosecutors a three-stage exercise of judgment. The first is: (1) is there a reason to believe that the person has been trafficked? If so, then (2) if there is clear evidence of a credible common law defence the case will be discontinued in the ordinary way on evidential grounds, but, importantly, (3) even where there is not, but the offence may have been committed as a result of compulsion arising from the trafficking, prosecutors should consider whether the public interest lies in proceeding to prosecute or not.</w:t>
      </w:r>
    </w:p>
    <w:p w:rsidRPr="007C5C4F" w:rsidR="005E3D7B" w:rsidP="007C5C4F" w14:paraId="51EB1CC7" w14:textId="3D68BECC">
      <w:pPr>
        <w:pStyle w:val="JuQuot"/>
        <w:rPr>
          <w:rFonts w:eastAsiaTheme="minorEastAsia"/>
        </w:rPr>
      </w:pPr>
      <w:r w:rsidRPr="007C5C4F">
        <w:rPr>
          <w:rFonts w:eastAsiaTheme="minorEastAsia"/>
        </w:rPr>
        <w:t xml:space="preserve">The first step is not limited to reacting to any assertion of trafficking. Article 10 makes clear that States must take active steps to consider the question whenever it is a realistic possibility. For obvious reasons, one of the consequences of trafficking, especially far from home, may be to inhibit the victim from complaining. The vital additional third obligation is consistent with the requirements of Article 26, which, it is clear, uses the word </w:t>
      </w:r>
      <w:r w:rsidRPr="007C5C4F" w:rsidR="007C5C4F">
        <w:rPr>
          <w:rFonts w:eastAsiaTheme="minorEastAsia"/>
        </w:rPr>
        <w:t>‘</w:t>
      </w:r>
      <w:r w:rsidRPr="007C5C4F">
        <w:rPr>
          <w:rFonts w:eastAsiaTheme="minorEastAsia"/>
        </w:rPr>
        <w:t>compelled</w:t>
      </w:r>
      <w:r w:rsidRPr="007C5C4F" w:rsidR="007C5C4F">
        <w:rPr>
          <w:rFonts w:eastAsiaTheme="minorEastAsia"/>
        </w:rPr>
        <w:t>’</w:t>
      </w:r>
      <w:r w:rsidRPr="007C5C4F">
        <w:rPr>
          <w:rFonts w:eastAsiaTheme="minorEastAsia"/>
        </w:rPr>
        <w:t xml:space="preserve"> in a general sense appropriate to an international instrument, and is not limited to circumstances in which the English common law defences would be established.</w:t>
      </w:r>
    </w:p>
    <w:p w:rsidRPr="007C5C4F" w:rsidR="005E3D7B" w:rsidP="007C5C4F" w14:paraId="43BBD390" w14:textId="77777777">
      <w:pPr>
        <w:pStyle w:val="JuQuot"/>
        <w:rPr>
          <w:rFonts w:eastAsiaTheme="minorEastAsia"/>
        </w:rPr>
      </w:pPr>
      <w:r w:rsidRPr="007C5C4F">
        <w:rPr>
          <w:rFonts w:eastAsiaTheme="minorEastAsia"/>
        </w:rPr>
        <w:t>...</w:t>
      </w:r>
    </w:p>
    <w:p w:rsidRPr="007C5C4F" w:rsidR="005E3D7B" w:rsidP="007C5C4F" w14:paraId="17B009EA" w14:textId="77777777">
      <w:pPr>
        <w:pStyle w:val="JuQuot"/>
        <w:rPr>
          <w:rFonts w:eastAsiaTheme="minorEastAsia"/>
        </w:rPr>
      </w:pPr>
      <w:r w:rsidRPr="007C5C4F">
        <w:rPr>
          <w:rFonts w:eastAsiaTheme="minorEastAsia"/>
        </w:rPr>
        <w:t>It is necessary to focus upon what Article 26 does and does not say. It does not say that no trafficked victim should be prosecuted, whatever offence has been committed. It does not say that no trafficked victim should be prosecuted when the offence is in some way connected with or arises out of trafficking. It does not provide a defence which may be advanced before a jury. What it says is no more, but no less, than that careful consideration must be given to whether public policy calls for a prosecution and punishment when the defendant is a trafficked victim and the crime has been committed when he or she was in some manner compelled (in the broad sense) to commit it. Article 26 does not require a blanket immunity from prosecution for trafficked victims.</w:t>
      </w:r>
    </w:p>
    <w:p w:rsidRPr="007C5C4F" w:rsidR="005E3D7B" w:rsidP="007C5C4F" w14:paraId="57791E3D" w14:textId="77777777">
      <w:pPr>
        <w:pStyle w:val="JuQuot"/>
        <w:rPr>
          <w:rFonts w:eastAsiaTheme="minorEastAsia"/>
        </w:rPr>
      </w:pPr>
      <w:r w:rsidRPr="007C5C4F">
        <w:rPr>
          <w:rFonts w:eastAsiaTheme="minorEastAsia"/>
        </w:rPr>
        <w:t>It follows that the application of Article 26 is fact-sensitive in every case. We attempt no exhaustive analysis of the factual scenarios which may arise in future. Some general propositions can perhaps be ventured.</w:t>
      </w:r>
    </w:p>
    <w:p w:rsidRPr="007C5C4F" w:rsidR="005E3D7B" w:rsidP="007C5C4F" w14:paraId="5C89E7E5" w14:textId="77777777">
      <w:pPr>
        <w:pStyle w:val="JuQuot"/>
        <w:rPr>
          <w:rFonts w:eastAsiaTheme="minorEastAsia"/>
        </w:rPr>
      </w:pPr>
      <w:r w:rsidRPr="007C5C4F">
        <w:rPr>
          <w:rFonts w:eastAsiaTheme="minorEastAsia"/>
        </w:rPr>
        <w:t>i)  If there is evidence on which a common law defence of duress or necessity is likely to succeed, the case will no doubt not be proceeded with on ordinary evidential grounds independent of the convention, but additionally there are likely to be public policy grounds under the convention leading to the same conclusion.</w:t>
      </w:r>
    </w:p>
    <w:p w:rsidRPr="007C5C4F" w:rsidR="005E3D7B" w:rsidP="007C5C4F" w14:paraId="31921EF3" w14:textId="77777777">
      <w:pPr>
        <w:pStyle w:val="JuQuot"/>
        <w:rPr>
          <w:rFonts w:eastAsiaTheme="minorEastAsia"/>
        </w:rPr>
      </w:pPr>
      <w:r w:rsidRPr="007C5C4F">
        <w:rPr>
          <w:rFonts w:eastAsiaTheme="minorEastAsia"/>
        </w:rPr>
        <w:t>ii)  But cases in which it is not in the public interest to prosecute are not limited to these: see above.</w:t>
      </w:r>
    </w:p>
    <w:p w:rsidRPr="007C5C4F" w:rsidR="005E3D7B" w:rsidP="007C5C4F" w14:paraId="4DBA1330" w14:textId="39568935">
      <w:pPr>
        <w:pStyle w:val="JuQuot"/>
        <w:rPr>
          <w:rFonts w:eastAsiaTheme="minorEastAsia"/>
        </w:rPr>
      </w:pPr>
      <w:r w:rsidRPr="007C5C4F">
        <w:rPr>
          <w:rFonts w:eastAsiaTheme="minorEastAsia"/>
        </w:rPr>
        <w:t>iii)  It may be reasonable to prosecute if the defendant</w:t>
      </w:r>
      <w:r w:rsidRPr="007C5C4F" w:rsidR="007C5C4F">
        <w:rPr>
          <w:rFonts w:eastAsiaTheme="minorEastAsia"/>
        </w:rPr>
        <w:t>’</w:t>
      </w:r>
      <w:r w:rsidRPr="007C5C4F">
        <w:rPr>
          <w:rFonts w:eastAsiaTheme="minorEastAsia"/>
        </w:rPr>
        <w:t>s assertion that she was trafficked meets the reasonable grounds test, but has been properly considered and rejected by the Crown for good evidential reason. The fact that a person passes the threshold test as a person of whom there are reasonable grounds to believe she has been trafficked is not conclusive that she has. Conversely, it may well be that in other cases that [sic] the real possibility of trafficking and a nexus of compulsion (in the broad sense) means that public policy points against prosecution.</w:t>
      </w:r>
    </w:p>
    <w:p w:rsidRPr="007C5C4F" w:rsidR="005E3D7B" w:rsidP="007C5C4F" w14:paraId="767EFA24" w14:textId="77777777">
      <w:pPr>
        <w:pStyle w:val="JuQuot"/>
        <w:rPr>
          <w:rFonts w:eastAsiaTheme="minorEastAsia"/>
        </w:rPr>
      </w:pPr>
      <w:r w:rsidRPr="007C5C4F">
        <w:rPr>
          <w:rFonts w:eastAsiaTheme="minorEastAsia"/>
        </w:rPr>
        <w:t>iv)  There is normally no reason not to prosecute, even if the defendant has previously been a trafficked victim, if the offence appears to have been committed outwith any reasonable nexus of compulsion (in the broad sense) occasioned by the trafficking, and hence is outside Article 26.</w:t>
      </w:r>
    </w:p>
    <w:p w:rsidRPr="007C5C4F" w:rsidR="005E3D7B" w:rsidP="007C5C4F" w14:paraId="004F31E4" w14:textId="77777777">
      <w:pPr>
        <w:pStyle w:val="JuQuot"/>
        <w:rPr>
          <w:rFonts w:eastAsiaTheme="minorEastAsia"/>
        </w:rPr>
      </w:pPr>
      <w:r w:rsidRPr="007C5C4F">
        <w:rPr>
          <w:rFonts w:eastAsiaTheme="minorEastAsia"/>
        </w:rPr>
        <w:t>v)  A more difficult judgment is involved if the victim has been a trafficked victim and retains some nexus with the trafficking, but has committed an offence which arguably calls, in the public interest, for prosecution in court. Some of these may be cases of a cycle of abuse. It is well known that one tool of those in charge of trafficking operations is to turn those who were trafficked and exploited in the past into assistants in the exploitation of others. Such a cycle of abuse is not uncommon in this field, as in other fields, for example that of abuse of children. In such a case, the question which must be actively confronted by the prosecutor is whether or not the offence committed is serious enough, despite any nexus with trafficking, to call for prosecution. That will depend on all the circumstances of the case, and normally no doubt particularly on the gravity of the offence alleged, the degree of continuing compulsion, and the alternatives reasonably available to the defendant.”</w:t>
      </w:r>
    </w:p>
    <w:p w:rsidRPr="007C5C4F" w:rsidR="005E3D7B" w:rsidP="007C5C4F" w14:paraId="7939A036" w14:textId="77777777">
      <w:pPr>
        <w:pStyle w:val="JuH1"/>
        <w:ind w:left="731" w:hanging="300"/>
        <w:jc w:val="left"/>
        <w:rPr>
          <w:lang w:val="pt-PT"/>
        </w:rPr>
      </w:pPr>
      <w:r w:rsidRPr="007C5C4F">
        <w:rPr>
          <w:i w:val="0"/>
          <w:iCs w:val="0"/>
          <w:lang w:val="pt-PT"/>
        </w:rPr>
        <w:t>R v. L(C)</w:t>
      </w:r>
      <w:r w:rsidRPr="007C5C4F">
        <w:rPr>
          <w:lang w:val="pt-PT"/>
        </w:rPr>
        <w:t xml:space="preserve"> [2013] EWCA Crim 991</w:t>
      </w:r>
    </w:p>
    <w:p w:rsidRPr="007C5C4F" w:rsidR="005E3D7B" w:rsidP="007C5C4F" w14:paraId="32C43427" w14:textId="3058BB4F">
      <w:pPr>
        <w:pStyle w:val="JuPara"/>
        <w:rPr>
          <w:rFonts w:eastAsiaTheme="minorEastAsia"/>
        </w:rPr>
      </w:pPr>
      <w:r w:rsidRPr="007C5C4F">
        <w:rPr>
          <w:rFonts w:eastAsiaTheme="minorEastAsia"/>
        </w:rPr>
        <w:fldChar w:fldCharType="begin"/>
      </w:r>
      <w:r w:rsidRPr="007C5C4F">
        <w:rPr>
          <w:rFonts w:eastAsiaTheme="minorEastAsia"/>
        </w:rPr>
        <w:instrText xml:space="preserve"> SEQ level0 \*arabic </w:instrText>
      </w:r>
      <w:r w:rsidRPr="007C5C4F">
        <w:rPr>
          <w:rFonts w:eastAsiaTheme="minorEastAsia"/>
        </w:rPr>
        <w:fldChar w:fldCharType="separate"/>
      </w:r>
      <w:r w:rsidRPr="007C5C4F" w:rsidR="007C5C4F">
        <w:rPr>
          <w:rFonts w:eastAsiaTheme="minorEastAsia"/>
          <w:noProof/>
        </w:rPr>
        <w:t>80</w:t>
      </w:r>
      <w:r w:rsidRPr="007C5C4F">
        <w:rPr>
          <w:rFonts w:eastAsiaTheme="minorEastAsia"/>
        </w:rPr>
        <w:fldChar w:fldCharType="end"/>
      </w:r>
      <w:r w:rsidRPr="007C5C4F">
        <w:rPr>
          <w:rFonts w:eastAsiaTheme="minorEastAsia"/>
        </w:rPr>
        <w:t>.  In this appeal, brought by three children and one adult who were trafficked by criminals and themselves prosecuted and convicted, the Court of Appeal indicated that</w:t>
      </w:r>
    </w:p>
    <w:p w:rsidRPr="007C5C4F" w:rsidR="005E3D7B" w:rsidP="007C5C4F" w14:paraId="2C1179B0" w14:textId="77777777">
      <w:pPr>
        <w:pStyle w:val="JuQuot"/>
        <w:rPr>
          <w:rFonts w:eastAsiaTheme="minorEastAsia"/>
        </w:rPr>
      </w:pPr>
      <w:r w:rsidRPr="007C5C4F">
        <w:rPr>
          <w:rFonts w:eastAsiaTheme="minorEastAsia"/>
        </w:rPr>
        <w:t>“the distinct question for decision once it is found that the defendant is a victim of trafficking is the extent to which the offences with which he is charged, or of which he has been found guilty are integral to or consequent on the exploitation of which he was the victim. We cannot be prescriptive. In some cases the facts will indeed show that he was under levels of compulsion which mean that in reality culpability was extinguished. If so when such cases are prosecuted, an abuse of process submission is likely to succeed. That is the test we have applied in these appeals. In other cases, more likely in the case of a defendant who is no longer a child, culpability may be diminished but nevertheless be significant. For these individuals prosecution may well be appropriate, with due allowance to be made in the sentencing decision for their diminished culpability. In yet other cases, the fact that the defendant was a victim of trafficking will provide no more than a colourable excuse for criminality which is unconnected to and does not arise from their victimisation. In such cases an abuse of process submission would fail.”</w:t>
      </w:r>
    </w:p>
    <w:p w:rsidRPr="007C5C4F" w:rsidR="005E3D7B" w:rsidP="007C5C4F" w14:paraId="35760D49" w14:textId="77777777">
      <w:pPr>
        <w:pStyle w:val="JuHA"/>
        <w:ind w:left="584" w:hanging="352"/>
        <w:jc w:val="left"/>
        <w:rPr>
          <w:rFonts w:eastAsiaTheme="minorEastAsia"/>
        </w:rPr>
      </w:pPr>
      <w:r w:rsidRPr="007C5C4F">
        <w:rPr>
          <w:rFonts w:eastAsiaTheme="minorEastAsia"/>
        </w:rPr>
        <w:t>Relevant reports</w:t>
      </w:r>
    </w:p>
    <w:p w:rsidRPr="007C5C4F" w:rsidR="005E3D7B" w:rsidP="007C5C4F" w14:paraId="0CE873C7" w14:textId="77777777">
      <w:pPr>
        <w:pStyle w:val="JuH1"/>
        <w:ind w:left="731" w:hanging="300"/>
      </w:pPr>
      <w:r w:rsidRPr="007C5C4F">
        <w:t>The Child Exploitation and Online Protection Command (CEOP): First “scoping report”</w:t>
      </w:r>
    </w:p>
    <w:bookmarkStart w:name="CEOP1Start" w:id="57"/>
    <w:p w:rsidRPr="007C5C4F" w:rsidR="005E3D7B" w:rsidP="007C5C4F" w14:paraId="4CAE4CFE" w14:textId="38CD6128">
      <w:pPr>
        <w:pStyle w:val="JuPara"/>
      </w:pPr>
      <w:r w:rsidRPr="007C5C4F">
        <w:fldChar w:fldCharType="begin"/>
      </w:r>
      <w:r w:rsidRPr="007C5C4F">
        <w:instrText xml:space="preserve"> SEQ level0 \*arabic </w:instrText>
      </w:r>
      <w:r w:rsidRPr="007C5C4F">
        <w:fldChar w:fldCharType="separate"/>
      </w:r>
      <w:r w:rsidRPr="007C5C4F" w:rsidR="007C5C4F">
        <w:rPr>
          <w:noProof/>
        </w:rPr>
        <w:t>81</w:t>
      </w:r>
      <w:r w:rsidRPr="007C5C4F">
        <w:fldChar w:fldCharType="end"/>
      </w:r>
      <w:bookmarkEnd w:id="57"/>
      <w:r w:rsidRPr="007C5C4F">
        <w:t>.  CEOP Command is a command of the United Kingdom</w:t>
      </w:r>
      <w:r w:rsidRPr="007C5C4F" w:rsidR="007C5C4F">
        <w:t>’</w:t>
      </w:r>
      <w:r w:rsidRPr="007C5C4F">
        <w:t>s National Crime Agency (the United Kingdom</w:t>
      </w:r>
      <w:r w:rsidRPr="007C5C4F" w:rsidR="007C5C4F">
        <w:t>’</w:t>
      </w:r>
      <w:r w:rsidRPr="007C5C4F">
        <w:t>s lead agency against organised crime) which works both nationally and internationally to bring online child sex offenders before the national courts.</w:t>
      </w:r>
    </w:p>
    <w:bookmarkStart w:name="CEOP1End" w:id="58"/>
    <w:p w:rsidRPr="007C5C4F" w:rsidR="005E3D7B" w:rsidP="007C5C4F" w14:paraId="55CC92D9" w14:textId="2FAC4197">
      <w:pPr>
        <w:pStyle w:val="JuPara"/>
      </w:pPr>
      <w:r w:rsidRPr="007C5C4F">
        <w:fldChar w:fldCharType="begin"/>
      </w:r>
      <w:r w:rsidRPr="007C5C4F">
        <w:instrText xml:space="preserve"> SEQ level0 \*arabic </w:instrText>
      </w:r>
      <w:r w:rsidRPr="007C5C4F">
        <w:fldChar w:fldCharType="separate"/>
      </w:r>
      <w:r w:rsidRPr="007C5C4F" w:rsidR="007C5C4F">
        <w:rPr>
          <w:noProof/>
        </w:rPr>
        <w:t>82</w:t>
      </w:r>
      <w:r w:rsidRPr="007C5C4F">
        <w:fldChar w:fldCharType="end"/>
      </w:r>
      <w:bookmarkEnd w:id="58"/>
      <w:r w:rsidRPr="007C5C4F">
        <w:t>.  Its first “scoping report” published in June 2007 identified Vietnamese boys and girls as a specific vulnerable group. It noted that some of these children had been found being exploited in cannabis factories while others were suspected to have been trafficked for the purposes of sexual exploitation. It noted that at least four children registered in the data set appeared to have been exploited in cannabis factories but were not identified as victims of trafficking and were arrested for cannabis cultivation. According to the report, if these children had in fact been trafficked then “this unfortunate consequence” could be attributed to the lack of awareness and capacity in some forces and CPS areas to recognise the indicators of child trafficking</w:t>
      </w:r>
    </w:p>
    <w:p w:rsidRPr="007C5C4F" w:rsidR="005E3D7B" w:rsidP="007C5C4F" w14:paraId="242A8239" w14:textId="77777777">
      <w:pPr>
        <w:pStyle w:val="JuH1"/>
        <w:ind w:left="731" w:hanging="300"/>
      </w:pPr>
      <w:r w:rsidRPr="007C5C4F">
        <w:t>CEOP: Child Trafficking in the United Kingdom Strategic Threat Assessment (2009)</w:t>
      </w:r>
    </w:p>
    <w:bookmarkStart w:name="CEOP2" w:id="59"/>
    <w:p w:rsidRPr="007C5C4F" w:rsidR="005E3D7B" w:rsidP="007C5C4F" w14:paraId="0DD2940F" w14:textId="40C2E456">
      <w:pPr>
        <w:pStyle w:val="JuPara"/>
      </w:pPr>
      <w:r w:rsidRPr="007C5C4F">
        <w:fldChar w:fldCharType="begin"/>
      </w:r>
      <w:r w:rsidRPr="007C5C4F">
        <w:instrText xml:space="preserve"> SEQ level0 \*arabic </w:instrText>
      </w:r>
      <w:r w:rsidRPr="007C5C4F">
        <w:fldChar w:fldCharType="separate"/>
      </w:r>
      <w:r w:rsidRPr="007C5C4F" w:rsidR="007C5C4F">
        <w:rPr>
          <w:noProof/>
        </w:rPr>
        <w:t>83</w:t>
      </w:r>
      <w:r w:rsidRPr="007C5C4F">
        <w:fldChar w:fldCharType="end"/>
      </w:r>
      <w:bookmarkEnd w:id="59"/>
      <w:r w:rsidRPr="007C5C4F">
        <w:t>.  According to this threat assessment which was published in April 2009, Vietnamese children had the highest probability of being trafficked than any other profile encountered in the study. The Vietnamese children identified by CEOP were primarily involved in the cultivation of cannabis. Many were arrested in police raids on cannabis factories and some were charged, prosecuted and convicted for offences relating to the cultivation of cannabis and illegally obtaining an electricity supply. Although CEOP noted that both ACPO and the CPS had issued guidance on the treatment of children found in such criminal enterprises to ensure that no child was brought before the courts where the crime committed was a direct result of trafficking, there remained concerns by NGOs that children were being prosecuted when it was neither appropriate nor in the public interest. It continued:</w:t>
      </w:r>
    </w:p>
    <w:p w:rsidRPr="007C5C4F" w:rsidR="005E3D7B" w:rsidP="007C5C4F" w14:paraId="6286C4A3" w14:textId="77777777">
      <w:pPr>
        <w:pStyle w:val="JuQuot"/>
      </w:pPr>
      <w:r w:rsidRPr="007C5C4F">
        <w:t>“[l]ow awareness amongst law enforcement conducting raids could be a factor in the lack of screening for child trafficking within these situations. ... A more targeted focus by police and prosecuting authorities needs to be placed on those who use children to work in these factories, rather than the children themselves; and forces should avail themselves of the guidance and tools already available to identify child trafficking when investigating such cases.”</w:t>
      </w:r>
    </w:p>
    <w:p w:rsidRPr="007C5C4F" w:rsidR="005E3D7B" w:rsidP="007C5C4F" w14:paraId="67327C1A" w14:textId="77777777">
      <w:pPr>
        <w:pStyle w:val="JuH1"/>
        <w:ind w:left="731" w:hanging="300"/>
        <w:jc w:val="left"/>
      </w:pPr>
      <w:r w:rsidRPr="007C5C4F">
        <w:t>CEOP: Strategic Overview 2009-10</w:t>
      </w:r>
    </w:p>
    <w:p w:rsidRPr="007C5C4F" w:rsidR="005E3D7B" w:rsidP="007C5C4F" w14:paraId="16CFD7F3" w14:textId="34B32EA6">
      <w:pPr>
        <w:pStyle w:val="JuPara"/>
      </w:pPr>
      <w:r w:rsidRPr="007C5C4F">
        <w:fldChar w:fldCharType="begin"/>
      </w:r>
      <w:r w:rsidRPr="007C5C4F">
        <w:instrText xml:space="preserve"> SEQ level0 \*arabic </w:instrText>
      </w:r>
      <w:r w:rsidRPr="007C5C4F">
        <w:fldChar w:fldCharType="separate"/>
      </w:r>
      <w:r w:rsidRPr="007C5C4F" w:rsidR="007C5C4F">
        <w:rPr>
          <w:noProof/>
        </w:rPr>
        <w:t>84</w:t>
      </w:r>
      <w:r w:rsidRPr="007C5C4F">
        <w:fldChar w:fldCharType="end"/>
      </w:r>
      <w:r w:rsidRPr="007C5C4F">
        <w:t>.  In this overview CEOP identified the trafficking of Vietnamese children into and within the United Kingdom as one of the most significant trends during the relevant period. Most of these children were boys aged between thirteen and seventeen who were exploited as “gardeners” in cannabis factories. According to CEOP, many Vietnamese minors had been charged, prosecuted and sentenced for the production and supply of cannabis but there had been no convictions of Vietnamese criminals who trafficked the children into the United Kingdom.</w:t>
      </w:r>
    </w:p>
    <w:p w:rsidRPr="007C5C4F" w:rsidR="005E3D7B" w:rsidP="007C5C4F" w14:paraId="3E9C4B56" w14:textId="77777777">
      <w:pPr>
        <w:pStyle w:val="JuH1"/>
        <w:ind w:left="731" w:hanging="300"/>
      </w:pPr>
      <w:r w:rsidRPr="007C5C4F">
        <w:t>CEOP: Child Trafficking in the United Kingdom Strategic Threat Assessment (2010)</w:t>
      </w:r>
    </w:p>
    <w:bookmarkStart w:name="para85" w:id="60"/>
    <w:p w:rsidRPr="007C5C4F" w:rsidR="005E3D7B" w:rsidP="007C5C4F" w14:paraId="0D02F5B7" w14:textId="7AAEEE3D">
      <w:pPr>
        <w:pStyle w:val="JuPara"/>
      </w:pPr>
      <w:r w:rsidRPr="007C5C4F">
        <w:fldChar w:fldCharType="begin"/>
      </w:r>
      <w:r w:rsidRPr="007C5C4F">
        <w:instrText xml:space="preserve"> SEQ level0 \*arabic </w:instrText>
      </w:r>
      <w:r w:rsidRPr="007C5C4F">
        <w:fldChar w:fldCharType="separate"/>
      </w:r>
      <w:r w:rsidRPr="007C5C4F" w:rsidR="007C5C4F">
        <w:rPr>
          <w:noProof/>
        </w:rPr>
        <w:t>85</w:t>
      </w:r>
      <w:r w:rsidRPr="007C5C4F">
        <w:fldChar w:fldCharType="end"/>
      </w:r>
      <w:bookmarkEnd w:id="60"/>
      <w:r w:rsidRPr="007C5C4F">
        <w:t>.  In this report CEOP noted:</w:t>
      </w:r>
    </w:p>
    <w:p w:rsidRPr="007C5C4F" w:rsidR="005E3D7B" w:rsidP="007C5C4F" w14:paraId="45992E4B" w14:textId="77777777">
      <w:pPr>
        <w:pStyle w:val="JuQuot"/>
      </w:pPr>
      <w:r w:rsidRPr="007C5C4F">
        <w:t>“In many cultures, children are expected to work at a young age, often foregoing education. Parents and children alike may therefore gladly take an opportunity to work abroad in order to earn more money for their family. The child may even be aware of the conditions, pay and risks involved. The child is unlikely to know about child protection and human rights legislation in the destination country. It is important for statutory agencies to recognise that any child working in illegal conditions, no matter how trivial, may potentially be in a situation of exploitation.”</w:t>
      </w:r>
    </w:p>
    <w:p w:rsidRPr="007C5C4F" w:rsidR="005E3D7B" w:rsidP="007C5C4F" w14:paraId="2091D1A8" w14:textId="5660297E">
      <w:pPr>
        <w:pStyle w:val="JuPara"/>
      </w:pPr>
      <w:r w:rsidRPr="007C5C4F">
        <w:fldChar w:fldCharType="begin"/>
      </w:r>
      <w:r w:rsidRPr="007C5C4F">
        <w:instrText xml:space="preserve"> SEQ level0 \*arabic </w:instrText>
      </w:r>
      <w:r w:rsidRPr="007C5C4F">
        <w:fldChar w:fldCharType="separate"/>
      </w:r>
      <w:r w:rsidRPr="007C5C4F" w:rsidR="007C5C4F">
        <w:rPr>
          <w:noProof/>
        </w:rPr>
        <w:t>86</w:t>
      </w:r>
      <w:r w:rsidRPr="007C5C4F">
        <w:fldChar w:fldCharType="end"/>
      </w:r>
      <w:r w:rsidRPr="007C5C4F">
        <w:t>.  COEP further noted the existence of regional differences between the profiles of trafficking victims. In its experience, some Vietnamese children were told upfront that they would be working in cannabis factories, and some stated that they did not know that cannabis was illegal, instead believing that they were entering legitimate work. It also observed from the dataset many similarities between victim background accounts, which could be an indication of coaching. In this regard, victims were often coached to provide a vague background story to the authorities, who would then assume he or she was an economic migrant and thus discount the possibility of trafficking. This was in itself a measure of control, as the intent was to stall the authorities long enough to return the victim to the trafficker. The information concerning payment also varied; while some victims stated that they were not paid, others were able to wire money home to their families. For example, one boy stated that he was paid GBP 100 for one or two months</w:t>
      </w:r>
      <w:r w:rsidRPr="007C5C4F" w:rsidR="007C5C4F">
        <w:t>’</w:t>
      </w:r>
      <w:r w:rsidRPr="007C5C4F">
        <w:t xml:space="preserve"> work at a cannabis factory.</w:t>
      </w:r>
    </w:p>
    <w:p w:rsidRPr="007C5C4F" w:rsidR="005E3D7B" w:rsidP="007C5C4F" w14:paraId="1524EEC7" w14:textId="64283055">
      <w:pPr>
        <w:pStyle w:val="JuPara"/>
      </w:pPr>
      <w:r w:rsidRPr="007C5C4F">
        <w:fldChar w:fldCharType="begin"/>
      </w:r>
      <w:r w:rsidRPr="007C5C4F">
        <w:instrText xml:space="preserve"> SEQ level0 \*arabic </w:instrText>
      </w:r>
      <w:r w:rsidRPr="007C5C4F">
        <w:fldChar w:fldCharType="separate"/>
      </w:r>
      <w:r w:rsidRPr="007C5C4F" w:rsidR="007C5C4F">
        <w:rPr>
          <w:noProof/>
        </w:rPr>
        <w:t>87</w:t>
      </w:r>
      <w:r w:rsidRPr="007C5C4F">
        <w:fldChar w:fldCharType="end"/>
      </w:r>
      <w:r w:rsidRPr="007C5C4F">
        <w:t>.  The report further stated that there had been</w:t>
      </w:r>
    </w:p>
    <w:p w:rsidRPr="007C5C4F" w:rsidR="005E3D7B" w:rsidP="007C5C4F" w14:paraId="44E90C7A" w14:textId="77777777">
      <w:pPr>
        <w:pStyle w:val="JuQuot"/>
      </w:pPr>
      <w:r w:rsidRPr="007C5C4F">
        <w:t>“an increased concern that children are being prosecuted and sentenced for the production and supply of cannabis, but to date, there have been no convictions (for trafficking offences) of criminals who have trafficked or exploited these children.”</w:t>
      </w:r>
    </w:p>
    <w:p w:rsidRPr="007C5C4F" w:rsidR="005E3D7B" w:rsidP="007C5C4F" w14:paraId="3B908966" w14:textId="380A350C">
      <w:pPr>
        <w:pStyle w:val="JuPara"/>
      </w:pPr>
      <w:r w:rsidRPr="007C5C4F">
        <w:fldChar w:fldCharType="begin"/>
      </w:r>
      <w:r w:rsidRPr="007C5C4F">
        <w:instrText xml:space="preserve"> SEQ level0 \*arabic </w:instrText>
      </w:r>
      <w:r w:rsidRPr="007C5C4F">
        <w:fldChar w:fldCharType="separate"/>
      </w:r>
      <w:r w:rsidRPr="007C5C4F" w:rsidR="007C5C4F">
        <w:rPr>
          <w:noProof/>
        </w:rPr>
        <w:t>88</w:t>
      </w:r>
      <w:r w:rsidRPr="007C5C4F">
        <w:fldChar w:fldCharType="end"/>
      </w:r>
      <w:r w:rsidRPr="007C5C4F">
        <w:t>.  The testimonies of Vietnamese victims suggested similarities in the route taken to the United Kingdom. Many flew with an agent to Russia and were then transported via lorry to Ukraine, Poland, the Czech Republic, Germany and France.</w:t>
      </w:r>
    </w:p>
    <w:p w:rsidRPr="007C5C4F" w:rsidR="005E3D7B" w:rsidP="007C5C4F" w14:paraId="32F3E92B" w14:textId="417B50D9">
      <w:pPr>
        <w:pStyle w:val="JuPara"/>
      </w:pPr>
      <w:r w:rsidRPr="007C5C4F">
        <w:fldChar w:fldCharType="begin"/>
      </w:r>
      <w:r w:rsidRPr="007C5C4F">
        <w:instrText xml:space="preserve"> SEQ level0 \*arabic </w:instrText>
      </w:r>
      <w:r w:rsidRPr="007C5C4F">
        <w:fldChar w:fldCharType="separate"/>
      </w:r>
      <w:r w:rsidRPr="007C5C4F" w:rsidR="007C5C4F">
        <w:rPr>
          <w:noProof/>
        </w:rPr>
        <w:t>89</w:t>
      </w:r>
      <w:r w:rsidRPr="007C5C4F">
        <w:fldChar w:fldCharType="end"/>
      </w:r>
      <w:r w:rsidRPr="007C5C4F">
        <w:t>.  Within the United Kingdom the most frequently identified destinations were the West Midlands, East Midlands and Greater London.</w:t>
      </w:r>
    </w:p>
    <w:p w:rsidRPr="007C5C4F" w:rsidR="005E3D7B" w:rsidP="007C5C4F" w14:paraId="5244EBAA" w14:textId="52E7C9DD">
      <w:pPr>
        <w:pStyle w:val="JuPara"/>
      </w:pPr>
      <w:r w:rsidRPr="007C5C4F">
        <w:fldChar w:fldCharType="begin"/>
      </w:r>
      <w:r w:rsidRPr="007C5C4F">
        <w:instrText xml:space="preserve"> SEQ level0 \*arabic </w:instrText>
      </w:r>
      <w:r w:rsidRPr="007C5C4F">
        <w:fldChar w:fldCharType="separate"/>
      </w:r>
      <w:r w:rsidRPr="007C5C4F" w:rsidR="007C5C4F">
        <w:rPr>
          <w:noProof/>
        </w:rPr>
        <w:t>90</w:t>
      </w:r>
      <w:r w:rsidRPr="007C5C4F">
        <w:fldChar w:fldCharType="end"/>
      </w:r>
      <w:r w:rsidRPr="007C5C4F">
        <w:t>.  All of the children identified in cannabis factories worked as “gardeners”, tending and watering the cannabis plants. They were often locked in the premises alone and even slept there. Many said that they remained in the premises for the entirety of their exploitation while those who did venture outside stated that they would be accompanied by a member of the criminal network.</w:t>
      </w:r>
    </w:p>
    <w:p w:rsidRPr="007C5C4F" w:rsidR="005E3D7B" w:rsidP="007C5C4F" w14:paraId="3911B8D1" w14:textId="5E124598">
      <w:pPr>
        <w:pStyle w:val="JuPara"/>
      </w:pPr>
      <w:r w:rsidRPr="007C5C4F">
        <w:fldChar w:fldCharType="begin"/>
      </w:r>
      <w:r w:rsidRPr="007C5C4F">
        <w:instrText xml:space="preserve"> SEQ level0 \*arabic </w:instrText>
      </w:r>
      <w:r w:rsidRPr="007C5C4F">
        <w:fldChar w:fldCharType="separate"/>
      </w:r>
      <w:r w:rsidRPr="007C5C4F" w:rsidR="007C5C4F">
        <w:rPr>
          <w:noProof/>
        </w:rPr>
        <w:t>91</w:t>
      </w:r>
      <w:r w:rsidRPr="007C5C4F">
        <w:fldChar w:fldCharType="end"/>
      </w:r>
      <w:r w:rsidRPr="007C5C4F">
        <w:t>.  The report further noted that Vietnamese victims tended to be extremely wary of the authorities and communicated very little about their experiences or their captors. This could have been because they were fearful for family members or distrustful of the authorities, based either on their experiences in Vietnam or on what their captors told them.</w:t>
      </w:r>
    </w:p>
    <w:p w:rsidRPr="007C5C4F" w:rsidR="005E3D7B" w:rsidP="007C5C4F" w14:paraId="77EBFE84" w14:textId="6CF4DD31">
      <w:pPr>
        <w:pStyle w:val="JuPara"/>
      </w:pPr>
      <w:r w:rsidRPr="007C5C4F">
        <w:fldChar w:fldCharType="begin"/>
      </w:r>
      <w:r w:rsidRPr="007C5C4F">
        <w:instrText xml:space="preserve"> SEQ level0 \*arabic </w:instrText>
      </w:r>
      <w:r w:rsidRPr="007C5C4F">
        <w:fldChar w:fldCharType="separate"/>
      </w:r>
      <w:r w:rsidRPr="007C5C4F" w:rsidR="007C5C4F">
        <w:rPr>
          <w:noProof/>
        </w:rPr>
        <w:t>92</w:t>
      </w:r>
      <w:r w:rsidRPr="007C5C4F">
        <w:fldChar w:fldCharType="end"/>
      </w:r>
      <w:r w:rsidRPr="007C5C4F">
        <w:t>.  In respect of the prosecution of Vietnamese trafficking victims, CEOP made the following comments:</w:t>
      </w:r>
    </w:p>
    <w:p w:rsidRPr="007C5C4F" w:rsidR="005E3D7B" w:rsidP="007C5C4F" w14:paraId="339010EE" w14:textId="13B3A761">
      <w:pPr>
        <w:pStyle w:val="JuQuot"/>
      </w:pPr>
      <w:r w:rsidRPr="007C5C4F">
        <w:t>“Despite the increased awareness raising by CEOP, various children</w:t>
      </w:r>
      <w:r w:rsidRPr="007C5C4F" w:rsidR="007C5C4F">
        <w:t>’</w:t>
      </w:r>
      <w:r w:rsidRPr="007C5C4F">
        <w:t>s services, NGOs and other lobbying groups, children found in cannabis farms are still being treated as offenders rather than victims. The ACPO Child Protection and Abuse Investigation, in conjunction with CEOP, has produced guidance for procedures to be taken when a child is found in such a farm, along with age assessment guidance which puts the protection of the child at the front. Trafficking and age assessments where necessary need to be carried out as a priority, yet CEOP has evidenced that this does not always occur. Despite having ACPO approval, the guidance is not mandatory – it is up to individual police forces to adhere to the recommended procedures.”</w:t>
      </w:r>
    </w:p>
    <w:p w:rsidRPr="007C5C4F" w:rsidR="005E3D7B" w:rsidP="007C5C4F" w14:paraId="38E6416B" w14:textId="77777777">
      <w:pPr>
        <w:pStyle w:val="JuH1"/>
        <w:ind w:left="731" w:hanging="300"/>
      </w:pPr>
      <w:r w:rsidRPr="007C5C4F">
        <w:t>CEOP: “Police response to recovering a child or young person from a cannabis farm” (2010)</w:t>
      </w:r>
    </w:p>
    <w:p w:rsidRPr="007C5C4F" w:rsidR="005E3D7B" w:rsidP="007C5C4F" w14:paraId="7468803B" w14:textId="35B801D7">
      <w:pPr>
        <w:pStyle w:val="JuPara"/>
      </w:pPr>
      <w:r w:rsidRPr="007C5C4F">
        <w:fldChar w:fldCharType="begin"/>
      </w:r>
      <w:r w:rsidRPr="007C5C4F">
        <w:instrText xml:space="preserve"> SEQ level0 \*arabic </w:instrText>
      </w:r>
      <w:r w:rsidRPr="007C5C4F">
        <w:fldChar w:fldCharType="separate"/>
      </w:r>
      <w:r w:rsidRPr="007C5C4F" w:rsidR="007C5C4F">
        <w:rPr>
          <w:noProof/>
        </w:rPr>
        <w:t>93</w:t>
      </w:r>
      <w:r w:rsidRPr="007C5C4F">
        <w:fldChar w:fldCharType="end"/>
      </w:r>
      <w:r w:rsidRPr="007C5C4F">
        <w:t>.  In this report, which was also published in December 2010, CEOP indicated that any child identified in a cannabis factory was likely to be a victim of trafficking. However, it noted that in spite of this recognition the trend towards prosecution and not protection of such children had been continuing. Between March 2009 and February 2010 it had identified thirty</w:t>
      </w:r>
      <w:r w:rsidRPr="007C5C4F">
        <w:noBreakHyphen/>
        <w:t>seven Vietnamese children and two Chinese children who were trafficked to the United Kingdom for the purposes of cannabis cultivation. At least twenty-six had been charged directly for production, cultivation or supply of cannabis. The cases against thirteen were discontinued but eight of the remaining children were found guilty of at least one offence. Six were sentenced to between eighteen months and two years in young offenders</w:t>
      </w:r>
      <w:r w:rsidRPr="007C5C4F" w:rsidR="007C5C4F">
        <w:t>’</w:t>
      </w:r>
      <w:r w:rsidRPr="007C5C4F">
        <w:t xml:space="preserve"> institutions.</w:t>
      </w:r>
    </w:p>
    <w:p w:rsidRPr="007C5C4F" w:rsidR="005E3D7B" w:rsidP="007C5C4F" w14:paraId="680C59E2" w14:textId="77777777">
      <w:pPr>
        <w:pStyle w:val="JuHIRoman"/>
        <w:tabs>
          <w:tab w:val="clear" w:pos="454"/>
          <w:tab w:val="clear" w:pos="567"/>
          <w:tab w:val="clear" w:pos="680"/>
        </w:tabs>
        <w:ind w:left="357" w:hanging="357"/>
        <w:jc w:val="left"/>
      </w:pPr>
      <w:r w:rsidRPr="007C5C4F">
        <w:t>Relevant international law and practice</w:t>
      </w:r>
    </w:p>
    <w:p w:rsidRPr="007C5C4F" w:rsidR="005E3D7B" w:rsidP="007C5C4F" w14:paraId="3CE11615" w14:textId="755FF916">
      <w:pPr>
        <w:pStyle w:val="JuHA"/>
        <w:ind w:left="584" w:hanging="352"/>
      </w:pPr>
      <w:r w:rsidRPr="007C5C4F">
        <w:t>The Protocol to Prevent, Suppress and Punish Trafficking in Persons, Especially Women and Children</w:t>
      </w:r>
      <w:r w:rsidRPr="007C5C4F" w:rsidR="006118AD">
        <w:t xml:space="preserve"> (2000)</w:t>
      </w:r>
      <w:r w:rsidRPr="007C5C4F">
        <w:t xml:space="preserve">, supplementing the United Nations Convention against Transnational Organized Crime </w:t>
      </w:r>
      <w:r w:rsidRPr="007C5C4F" w:rsidR="006118AD">
        <w:t xml:space="preserve">(2000) </w:t>
      </w:r>
      <w:r w:rsidRPr="007C5C4F">
        <w:t>(“the Palermo Protocol”</w:t>
      </w:r>
      <w:r w:rsidRPr="007C5C4F">
        <w:t>)</w:t>
      </w:r>
    </w:p>
    <w:bookmarkStart w:name="PP3" w:id="61"/>
    <w:p w:rsidRPr="007C5C4F" w:rsidR="005E3D7B" w:rsidP="007C5C4F" w14:paraId="2218FB72" w14:textId="65C44553">
      <w:pPr>
        <w:pStyle w:val="JuPara"/>
        <w:rPr>
          <w:rFonts w:eastAsiaTheme="minorEastAsia"/>
        </w:rPr>
      </w:pPr>
      <w:r w:rsidRPr="007C5C4F">
        <w:rPr>
          <w:rFonts w:eastAsiaTheme="minorEastAsia"/>
        </w:rPr>
        <w:fldChar w:fldCharType="begin"/>
      </w:r>
      <w:r w:rsidRPr="007C5C4F">
        <w:rPr>
          <w:rFonts w:eastAsiaTheme="minorEastAsia"/>
        </w:rPr>
        <w:instrText xml:space="preserve"> SEQ level0 \*arabic </w:instrText>
      </w:r>
      <w:r w:rsidRPr="007C5C4F">
        <w:rPr>
          <w:rFonts w:eastAsiaTheme="minorEastAsia"/>
        </w:rPr>
        <w:fldChar w:fldCharType="separate"/>
      </w:r>
      <w:r w:rsidRPr="007C5C4F" w:rsidR="007C5C4F">
        <w:rPr>
          <w:rFonts w:eastAsiaTheme="minorEastAsia"/>
          <w:noProof/>
        </w:rPr>
        <w:t>94</w:t>
      </w:r>
      <w:r w:rsidRPr="007C5C4F">
        <w:rPr>
          <w:rFonts w:eastAsiaTheme="minorEastAsia"/>
        </w:rPr>
        <w:fldChar w:fldCharType="end"/>
      </w:r>
      <w:bookmarkEnd w:id="61"/>
      <w:r w:rsidRPr="007C5C4F">
        <w:rPr>
          <w:rFonts w:eastAsiaTheme="minorEastAsia"/>
        </w:rPr>
        <w:t>.  Article 3 of the Palermo Protocol, ratified by the United Kingdom on 9 February 2006, provides that:</w:t>
      </w:r>
    </w:p>
    <w:p w:rsidRPr="007C5C4F" w:rsidR="005E3D7B" w:rsidP="007C5C4F" w14:paraId="337319C2" w14:textId="77777777">
      <w:pPr>
        <w:pStyle w:val="JuQuot"/>
        <w:rPr>
          <w:rFonts w:eastAsiaTheme="minorEastAsia"/>
        </w:rPr>
      </w:pPr>
      <w:r w:rsidRPr="007C5C4F">
        <w:rPr>
          <w:rFonts w:eastAsiaTheme="minorEastAsia"/>
        </w:rPr>
        <w:t>“For the purposes of this Protocol:</w:t>
      </w:r>
    </w:p>
    <w:p w:rsidRPr="007C5C4F" w:rsidR="005E3D7B" w:rsidP="007C5C4F" w14:paraId="61AFFD0B" w14:textId="58D4B134">
      <w:pPr>
        <w:pStyle w:val="JuQuot"/>
        <w:rPr>
          <w:rFonts w:eastAsiaTheme="minorEastAsia"/>
        </w:rPr>
      </w:pPr>
      <w:r w:rsidRPr="007C5C4F">
        <w:rPr>
          <w:rFonts w:eastAsiaTheme="minorEastAsia"/>
        </w:rPr>
        <w:t>(a)  </w:t>
      </w:r>
      <w:r w:rsidRPr="007C5C4F" w:rsidR="007C5C4F">
        <w:rPr>
          <w:rFonts w:eastAsiaTheme="minorEastAsia"/>
        </w:rPr>
        <w:t>’</w:t>
      </w:r>
      <w:r w:rsidRPr="007C5C4F">
        <w:rPr>
          <w:rFonts w:eastAsiaTheme="minorEastAsia"/>
        </w:rPr>
        <w:t>Trafficking in persons</w:t>
      </w:r>
      <w:r w:rsidRPr="007C5C4F" w:rsidR="007C5C4F">
        <w:rPr>
          <w:rFonts w:eastAsiaTheme="minorEastAsia"/>
        </w:rPr>
        <w:t>’</w:t>
      </w:r>
      <w:r w:rsidRPr="007C5C4F">
        <w:rPr>
          <w:rFonts w:eastAsiaTheme="minorEastAsia"/>
        </w:rPr>
        <w:t xml:space="preserve"> shall mean the recruitment, transportation, transfer, harbouring or receipt of persons, by means of the threat or use of force or other forms of coercion, of abduction, of fraud, of deception, of the abuse of power or of a position of vulnerability or of the giving or receiving of payments or benefits to achieve the consent of a person having control over another person, for the purpose of exploitation. Exploitation shall include, at a minimum, the exploitation of the prostitution of others or other forms of sexual exploitation, forced labour or services, slavery or practices similar to slavery, servitude or the removal of organs;</w:t>
      </w:r>
    </w:p>
    <w:p w:rsidRPr="007C5C4F" w:rsidR="005E3D7B" w:rsidP="007C5C4F" w14:paraId="378B7978" w14:textId="77777777">
      <w:pPr>
        <w:pStyle w:val="JuQuot"/>
        <w:rPr>
          <w:rFonts w:eastAsiaTheme="minorEastAsia"/>
        </w:rPr>
      </w:pPr>
      <w:r w:rsidRPr="007C5C4F">
        <w:rPr>
          <w:rFonts w:eastAsiaTheme="minorEastAsia"/>
        </w:rPr>
        <w:t>(b)  The consent of a victim of trafficking in persons to the intended exploitation set forth in subparagraph (a) of this article shall be irrelevant where any of the means set forth in subparagraph (a) have been used;</w:t>
      </w:r>
    </w:p>
    <w:p w:rsidRPr="007C5C4F" w:rsidR="005E3D7B" w:rsidP="007C5C4F" w14:paraId="7CBFCEB3" w14:textId="015B8875">
      <w:pPr>
        <w:pStyle w:val="JuQuot"/>
        <w:rPr>
          <w:rFonts w:eastAsiaTheme="minorEastAsia"/>
        </w:rPr>
      </w:pPr>
      <w:r w:rsidRPr="007C5C4F">
        <w:rPr>
          <w:rFonts w:eastAsiaTheme="minorEastAsia"/>
        </w:rPr>
        <w:t xml:space="preserve">(c)  The recruitment, transportation, transfer, harbouring or receipt of a child for the purpose of exploitation shall be considered </w:t>
      </w:r>
      <w:r w:rsidRPr="007C5C4F" w:rsidR="007C5C4F">
        <w:rPr>
          <w:rFonts w:eastAsiaTheme="minorEastAsia"/>
        </w:rPr>
        <w:t>‘</w:t>
      </w:r>
      <w:r w:rsidRPr="007C5C4F">
        <w:rPr>
          <w:rFonts w:eastAsiaTheme="minorEastAsia"/>
        </w:rPr>
        <w:t>trafficking in persons</w:t>
      </w:r>
      <w:r w:rsidRPr="007C5C4F" w:rsidR="007C5C4F">
        <w:rPr>
          <w:rFonts w:eastAsiaTheme="minorEastAsia"/>
        </w:rPr>
        <w:t>’</w:t>
      </w:r>
      <w:r w:rsidRPr="007C5C4F">
        <w:rPr>
          <w:rFonts w:eastAsiaTheme="minorEastAsia"/>
        </w:rPr>
        <w:t xml:space="preserve"> even if this does not involve any of the means set forth in subparagraph (a) of this article;</w:t>
      </w:r>
    </w:p>
    <w:p w:rsidRPr="007C5C4F" w:rsidR="005E3D7B" w:rsidP="007C5C4F" w14:paraId="6569AE9F" w14:textId="7741B042">
      <w:pPr>
        <w:pStyle w:val="JuQuot"/>
        <w:rPr>
          <w:rFonts w:eastAsiaTheme="minorEastAsia"/>
        </w:rPr>
      </w:pPr>
      <w:r w:rsidRPr="007C5C4F">
        <w:rPr>
          <w:rFonts w:eastAsiaTheme="minorEastAsia"/>
        </w:rPr>
        <w:t>(d)  </w:t>
      </w:r>
      <w:r w:rsidRPr="007C5C4F" w:rsidR="007C5C4F">
        <w:rPr>
          <w:rFonts w:eastAsiaTheme="minorEastAsia"/>
        </w:rPr>
        <w:t>’</w:t>
      </w:r>
      <w:r w:rsidRPr="007C5C4F">
        <w:rPr>
          <w:rFonts w:eastAsiaTheme="minorEastAsia"/>
        </w:rPr>
        <w:t>Child</w:t>
      </w:r>
      <w:r w:rsidRPr="007C5C4F" w:rsidR="007C5C4F">
        <w:rPr>
          <w:rFonts w:eastAsiaTheme="minorEastAsia"/>
        </w:rPr>
        <w:t>’</w:t>
      </w:r>
      <w:r w:rsidRPr="007C5C4F">
        <w:rPr>
          <w:rFonts w:eastAsiaTheme="minorEastAsia"/>
        </w:rPr>
        <w:t xml:space="preserve"> shall mean any person under eighteen years of age.”</w:t>
      </w:r>
    </w:p>
    <w:p w:rsidRPr="007C5C4F" w:rsidR="005E3D7B" w:rsidP="007C5C4F" w14:paraId="225D04DF" w14:textId="77777777">
      <w:pPr>
        <w:pStyle w:val="JuHA"/>
        <w:ind w:left="584" w:hanging="352"/>
        <w:jc w:val="left"/>
      </w:pPr>
      <w:r w:rsidRPr="007C5C4F">
        <w:t>United Nations Convention on the Rights of the Child 1989</w:t>
      </w:r>
    </w:p>
    <w:p w:rsidRPr="007C5C4F" w:rsidR="005E3D7B" w:rsidP="007C5C4F" w14:paraId="6590A332" w14:textId="32B41A70">
      <w:pPr>
        <w:pStyle w:val="JuPara"/>
      </w:pPr>
      <w:r w:rsidRPr="007C5C4F">
        <w:fldChar w:fldCharType="begin"/>
      </w:r>
      <w:r w:rsidRPr="007C5C4F">
        <w:instrText xml:space="preserve"> SEQ level0 \*arabic </w:instrText>
      </w:r>
      <w:r w:rsidRPr="007C5C4F">
        <w:fldChar w:fldCharType="separate"/>
      </w:r>
      <w:r w:rsidRPr="007C5C4F" w:rsidR="007C5C4F">
        <w:rPr>
          <w:noProof/>
        </w:rPr>
        <w:t>95</w:t>
      </w:r>
      <w:r w:rsidRPr="007C5C4F">
        <w:fldChar w:fldCharType="end"/>
      </w:r>
      <w:r w:rsidRPr="007C5C4F">
        <w:t>.  This Convention, which was ratified by the United Kingdom in 1991, provides as relevant:</w:t>
      </w:r>
    </w:p>
    <w:p w:rsidRPr="007C5C4F" w:rsidR="005E3D7B" w:rsidP="007C5C4F" w14:paraId="78D19A3D" w14:textId="77777777">
      <w:pPr>
        <w:pStyle w:val="JuHArticle"/>
      </w:pPr>
      <w:r w:rsidRPr="007C5C4F">
        <w:t>Article 3</w:t>
      </w:r>
    </w:p>
    <w:p w:rsidRPr="007C5C4F" w:rsidR="005E3D7B" w:rsidP="007C5C4F" w14:paraId="1C1717A4" w14:textId="77777777">
      <w:pPr>
        <w:pStyle w:val="JuQuot"/>
      </w:pPr>
      <w:r w:rsidRPr="007C5C4F">
        <w:t>“1.  In all actions concerning children, whether undertaken by public or private social welfare institutions, courts of law, administrative authorities or legislative bodies, the best interests of the child shall be a primary consideration.</w:t>
      </w:r>
    </w:p>
    <w:p w:rsidRPr="007C5C4F" w:rsidR="005E3D7B" w:rsidP="007C5C4F" w14:paraId="3CF29D42" w14:textId="77777777">
      <w:pPr>
        <w:pStyle w:val="JuQuot"/>
      </w:pPr>
      <w:r w:rsidRPr="007C5C4F">
        <w:t>...”</w:t>
      </w:r>
    </w:p>
    <w:p w:rsidRPr="007C5C4F" w:rsidR="005E3D7B" w:rsidP="007C5C4F" w14:paraId="4287CD09" w14:textId="77777777">
      <w:pPr>
        <w:pStyle w:val="JuHArticle"/>
      </w:pPr>
      <w:r w:rsidRPr="007C5C4F">
        <w:t>Article 32</w:t>
      </w:r>
    </w:p>
    <w:p w:rsidRPr="007C5C4F" w:rsidR="005E3D7B" w:rsidP="007C5C4F" w14:paraId="6ED1A6DC" w14:textId="10746136">
      <w:pPr>
        <w:pStyle w:val="JuQuot"/>
      </w:pPr>
      <w:r w:rsidRPr="007C5C4F">
        <w:t>“1.  States Parties recognize the right of the child to be protected from economic exploitation and from performing any work that is likely to be hazardous or to interfere with the child</w:t>
      </w:r>
      <w:r w:rsidRPr="007C5C4F" w:rsidR="007C5C4F">
        <w:t>’</w:t>
      </w:r>
      <w:r w:rsidRPr="007C5C4F">
        <w:t>s education, or to be harmful to the child</w:t>
      </w:r>
      <w:r w:rsidRPr="007C5C4F" w:rsidR="007C5C4F">
        <w:t>’</w:t>
      </w:r>
      <w:r w:rsidRPr="007C5C4F">
        <w:t>s health or physical, mental, spiritual, moral or social development.</w:t>
      </w:r>
    </w:p>
    <w:p w:rsidRPr="007C5C4F" w:rsidR="005E3D7B" w:rsidP="007C5C4F" w14:paraId="7BFB48E5" w14:textId="77777777">
      <w:pPr>
        <w:pStyle w:val="JuQuot"/>
      </w:pPr>
      <w:r w:rsidRPr="007C5C4F">
        <w:t>2.  States Parties shall take legislative, administrative, social and educational measures to ensure the implementation of the present article. To this end and having regard to the relevant provisions of other international instruments, States Parties shall in particular:</w:t>
      </w:r>
    </w:p>
    <w:p w:rsidRPr="007C5C4F" w:rsidR="005E3D7B" w:rsidP="007C5C4F" w14:paraId="72286682" w14:textId="77777777">
      <w:pPr>
        <w:pStyle w:val="JuQuot"/>
      </w:pPr>
      <w:r w:rsidRPr="007C5C4F">
        <w:t>(a)  Provide for a minimum age or minimum ages for admission to employment;</w:t>
      </w:r>
    </w:p>
    <w:p w:rsidRPr="007C5C4F" w:rsidR="005E3D7B" w:rsidP="007C5C4F" w14:paraId="12F18A08" w14:textId="77777777">
      <w:pPr>
        <w:pStyle w:val="JuQuot"/>
      </w:pPr>
      <w:r w:rsidRPr="007C5C4F">
        <w:t>(b)  Provide for appropriate regulation of the hours and conditions of employment;</w:t>
      </w:r>
    </w:p>
    <w:p w:rsidRPr="007C5C4F" w:rsidR="005E3D7B" w:rsidP="007C5C4F" w14:paraId="574911AC" w14:textId="77777777">
      <w:pPr>
        <w:pStyle w:val="JuQuot"/>
      </w:pPr>
      <w:r w:rsidRPr="007C5C4F">
        <w:t>(c)  Provide for appropriate penalties or other sanctions to ensure the effective enforcement of the present article.”</w:t>
      </w:r>
    </w:p>
    <w:p w:rsidRPr="007C5C4F" w:rsidR="005E3D7B" w:rsidP="007C5C4F" w14:paraId="2937D93D" w14:textId="77777777">
      <w:pPr>
        <w:pStyle w:val="JuHArticle"/>
      </w:pPr>
      <w:r w:rsidRPr="007C5C4F">
        <w:t>Article 33</w:t>
      </w:r>
    </w:p>
    <w:p w:rsidRPr="007C5C4F" w:rsidR="005E3D7B" w:rsidP="007C5C4F" w14:paraId="5E95C643" w14:textId="77777777">
      <w:pPr>
        <w:pStyle w:val="JuQuot"/>
      </w:pPr>
      <w:r w:rsidRPr="007C5C4F">
        <w:t>“States Parties shall take all appropriate measures, including legislative, administrative, social and educational measures, to protect children from the illicit use of narcotic drugs and psychotropic substances as defined in the relevant international treaties and to prevent the use of children in the illicit production and trafficking of such substances.</w:t>
      </w:r>
    </w:p>
    <w:p w:rsidRPr="007C5C4F" w:rsidR="005E3D7B" w:rsidP="007C5C4F" w14:paraId="32E3CEA9" w14:textId="77777777">
      <w:pPr>
        <w:pStyle w:val="JuQuot"/>
      </w:pPr>
      <w:r w:rsidRPr="007C5C4F">
        <w:t>...”</w:t>
      </w:r>
    </w:p>
    <w:p w:rsidRPr="007C5C4F" w:rsidR="005E3D7B" w:rsidP="007C5C4F" w14:paraId="687BE675" w14:textId="77777777">
      <w:pPr>
        <w:pStyle w:val="JuHArticle"/>
      </w:pPr>
      <w:r w:rsidRPr="007C5C4F">
        <w:t>Article 35</w:t>
      </w:r>
    </w:p>
    <w:p w:rsidRPr="007C5C4F" w:rsidR="005E3D7B" w:rsidP="007C5C4F" w14:paraId="74451821" w14:textId="77777777">
      <w:pPr>
        <w:pStyle w:val="JuQuot"/>
      </w:pPr>
      <w:r w:rsidRPr="007C5C4F">
        <w:t>“States Parties shall take all appropriate national, bilateral and multilateral measures to prevent the abduction of, the sale of or traffic in children for any purpose or in any form.”</w:t>
      </w:r>
    </w:p>
    <w:p w:rsidRPr="007C5C4F" w:rsidR="005E3D7B" w:rsidP="007C5C4F" w14:paraId="19BB8CF9" w14:textId="77777777">
      <w:pPr>
        <w:pStyle w:val="JuHArticle"/>
      </w:pPr>
      <w:r w:rsidRPr="007C5C4F">
        <w:t>Article 36</w:t>
      </w:r>
    </w:p>
    <w:p w:rsidRPr="007C5C4F" w:rsidR="005E3D7B" w:rsidP="007C5C4F" w14:paraId="4B1BDDFC" w14:textId="40C84F58">
      <w:pPr>
        <w:pStyle w:val="JuQuot"/>
      </w:pPr>
      <w:r w:rsidRPr="007C5C4F">
        <w:t>“States Parties shall protect the child against all other forms of exploitation prejudicial to any aspects of the child</w:t>
      </w:r>
      <w:r w:rsidRPr="007C5C4F" w:rsidR="007C5C4F">
        <w:t>’</w:t>
      </w:r>
      <w:r w:rsidRPr="007C5C4F">
        <w:t>s welfare.”</w:t>
      </w:r>
    </w:p>
    <w:p w:rsidRPr="007C5C4F" w:rsidR="005E3D7B" w:rsidP="007C5C4F" w14:paraId="071FE8DD" w14:textId="00EBBCFD">
      <w:pPr>
        <w:pStyle w:val="JuPara"/>
      </w:pPr>
      <w:r w:rsidRPr="007C5C4F">
        <w:fldChar w:fldCharType="begin"/>
      </w:r>
      <w:r w:rsidRPr="007C5C4F">
        <w:instrText xml:space="preserve"> SEQ level0 \*arabic </w:instrText>
      </w:r>
      <w:r w:rsidRPr="007C5C4F">
        <w:fldChar w:fldCharType="separate"/>
      </w:r>
      <w:r w:rsidRPr="007C5C4F" w:rsidR="007C5C4F">
        <w:rPr>
          <w:noProof/>
        </w:rPr>
        <w:t>96</w:t>
      </w:r>
      <w:r w:rsidRPr="007C5C4F">
        <w:fldChar w:fldCharType="end"/>
      </w:r>
      <w:r w:rsidRPr="007C5C4F">
        <w:t>.  Article 3 of the Optional Protocol to the Convention on the Rights of the Child on the sale of children, child prostitution and child pornography, which was ratified by the United Kingdom in February 2009, provides that:</w:t>
      </w:r>
    </w:p>
    <w:p w:rsidRPr="007C5C4F" w:rsidR="005E3D7B" w:rsidP="007C5C4F" w14:paraId="6E35115E" w14:textId="77777777">
      <w:pPr>
        <w:pStyle w:val="JuQuot"/>
      </w:pPr>
      <w:r w:rsidRPr="007C5C4F">
        <w:t>“1.  Each State Party shall ensure that, as a minimum, the following acts and activities are fully covered under its criminal or penal law, whether such offences are committed domestically or transnationally or on an individual or organized basis:</w:t>
      </w:r>
    </w:p>
    <w:p w:rsidRPr="007C5C4F" w:rsidR="005E3D7B" w:rsidP="007C5C4F" w14:paraId="04E82E00" w14:textId="77777777">
      <w:pPr>
        <w:pStyle w:val="JuQuot"/>
      </w:pPr>
      <w:r w:rsidRPr="007C5C4F">
        <w:t>(a)  In the context of sale of children as defined in article 2:</w:t>
      </w:r>
    </w:p>
    <w:p w:rsidRPr="007C5C4F" w:rsidR="005E3D7B" w:rsidP="007C5C4F" w14:paraId="5A396A60" w14:textId="77777777">
      <w:pPr>
        <w:pStyle w:val="JuQuot"/>
      </w:pPr>
      <w:r w:rsidRPr="007C5C4F">
        <w:t>(i)  Offering, delivering or accepting, by whatever means, a child for the purpose of:</w:t>
      </w:r>
    </w:p>
    <w:p w:rsidRPr="007C5C4F" w:rsidR="005E3D7B" w:rsidP="007C5C4F" w14:paraId="67B2BD70" w14:textId="77777777">
      <w:pPr>
        <w:pStyle w:val="JuQuot"/>
      </w:pPr>
      <w:r w:rsidRPr="007C5C4F">
        <w:t>...</w:t>
      </w:r>
    </w:p>
    <w:p w:rsidRPr="007C5C4F" w:rsidR="005E3D7B" w:rsidP="007C5C4F" w14:paraId="4F1A665A" w14:textId="77777777">
      <w:pPr>
        <w:pStyle w:val="JuQuot"/>
      </w:pPr>
      <w:r w:rsidRPr="007C5C4F">
        <w:t>c.  Engagement of the child in forced labour;</w:t>
      </w:r>
    </w:p>
    <w:p w:rsidRPr="007C5C4F" w:rsidR="005E3D7B" w:rsidP="007C5C4F" w14:paraId="42D55D6B" w14:textId="77777777">
      <w:pPr>
        <w:pStyle w:val="JuQuot"/>
      </w:pPr>
      <w:r w:rsidRPr="007C5C4F">
        <w:t>...</w:t>
      </w:r>
    </w:p>
    <w:p w:rsidRPr="007C5C4F" w:rsidR="005E3D7B" w:rsidP="007C5C4F" w14:paraId="0E6D99BB" w14:textId="77777777">
      <w:pPr>
        <w:pStyle w:val="JuQuot"/>
      </w:pPr>
      <w:r w:rsidRPr="007C5C4F">
        <w:t>3.  Each State Party shall make such offences punishable by appropriate penalties that take into account their grave nature.</w:t>
      </w:r>
    </w:p>
    <w:p w:rsidRPr="007C5C4F" w:rsidR="005E3D7B" w:rsidP="007C5C4F" w14:paraId="1DAF55D4" w14:textId="77777777">
      <w:pPr>
        <w:pStyle w:val="JuQuot"/>
      </w:pPr>
      <w:r w:rsidRPr="007C5C4F">
        <w:t>4.  Subject to the provisions of its national law, each State Party shall take measures, where appropriate, to establish the liability of legal persons for offences established in paragraph 1 of the present article. Subject to the legal principles of the State Party, such liability of legal persons may be criminal, civil or administrative.”</w:t>
      </w:r>
    </w:p>
    <w:p w:rsidRPr="007C5C4F" w:rsidR="005E3D7B" w:rsidP="007C5C4F" w14:paraId="6A7C7703" w14:textId="77777777">
      <w:pPr>
        <w:pStyle w:val="JuHA"/>
        <w:ind w:left="584" w:hanging="352"/>
      </w:pPr>
      <w:r w:rsidRPr="007C5C4F">
        <w:t>International Labour Organization (ILO) Forced Labour Convention, 1930 (No. 29)</w:t>
      </w:r>
    </w:p>
    <w:p w:rsidRPr="007C5C4F" w:rsidR="005E3D7B" w:rsidP="007C5C4F" w14:paraId="43EE957E" w14:textId="77777777">
      <w:pPr>
        <w:pStyle w:val="JuH1"/>
        <w:ind w:left="731" w:hanging="300"/>
        <w:jc w:val="left"/>
      </w:pPr>
      <w:r w:rsidRPr="007C5C4F">
        <w:t>ILO Forced Labour Convention</w:t>
      </w:r>
    </w:p>
    <w:p w:rsidRPr="007C5C4F" w:rsidR="005E3D7B" w:rsidP="007C5C4F" w14:paraId="32E9CFBA" w14:textId="3E25041C">
      <w:pPr>
        <w:pStyle w:val="JuPara"/>
      </w:pPr>
      <w:r w:rsidRPr="007C5C4F">
        <w:fldChar w:fldCharType="begin"/>
      </w:r>
      <w:r w:rsidRPr="007C5C4F">
        <w:instrText xml:space="preserve"> SEQ level0 \*arabic </w:instrText>
      </w:r>
      <w:r w:rsidRPr="007C5C4F">
        <w:fldChar w:fldCharType="separate"/>
      </w:r>
      <w:r w:rsidRPr="007C5C4F" w:rsidR="007C5C4F">
        <w:rPr>
          <w:noProof/>
        </w:rPr>
        <w:t>97</w:t>
      </w:r>
      <w:r w:rsidRPr="007C5C4F">
        <w:fldChar w:fldCharType="end"/>
      </w:r>
      <w:r w:rsidRPr="007C5C4F">
        <w:t>.  The ILO Convention was ratified by the United Kingdom in 1931. It provides, in so far as relevant:</w:t>
      </w:r>
    </w:p>
    <w:p w:rsidRPr="007C5C4F" w:rsidR="005E3D7B" w:rsidP="007C5C4F" w14:paraId="4ED2DAF3" w14:textId="77777777">
      <w:pPr>
        <w:pStyle w:val="JuQuot"/>
        <w:ind w:left="0" w:firstLine="0"/>
        <w:jc w:val="center"/>
      </w:pPr>
      <w:r w:rsidRPr="007C5C4F">
        <w:rPr>
          <w:b/>
          <w:bCs/>
        </w:rPr>
        <w:t>Article 1</w:t>
      </w:r>
    </w:p>
    <w:p w:rsidRPr="007C5C4F" w:rsidR="005E3D7B" w:rsidP="007C5C4F" w14:paraId="0A2687F4" w14:textId="77777777">
      <w:pPr>
        <w:pStyle w:val="JuQuot"/>
      </w:pPr>
      <w:r w:rsidRPr="007C5C4F">
        <w:t>“Each Member of the International Labour Organisation which ratifies this Convention undertakes to suppress the use of forced or compulsory labour in all its forms within the shortest possible period.”</w:t>
      </w:r>
    </w:p>
    <w:p w:rsidRPr="007C5C4F" w:rsidR="005E3D7B" w:rsidP="007C5C4F" w14:paraId="033A4FCB" w14:textId="77777777">
      <w:pPr>
        <w:pStyle w:val="JuQuot"/>
        <w:ind w:left="0" w:firstLine="0"/>
        <w:jc w:val="center"/>
        <w:rPr>
          <w:b/>
          <w:bCs/>
        </w:rPr>
      </w:pPr>
      <w:r w:rsidRPr="007C5C4F">
        <w:rPr>
          <w:b/>
          <w:bCs/>
        </w:rPr>
        <w:t>Article 2</w:t>
      </w:r>
    </w:p>
    <w:p w:rsidRPr="007C5C4F" w:rsidR="005E3D7B" w:rsidP="007C5C4F" w14:paraId="6F13E267" w14:textId="77777777">
      <w:pPr>
        <w:pStyle w:val="JuQuot"/>
      </w:pPr>
      <w:r w:rsidRPr="007C5C4F">
        <w:t>“1.  For the purposes of this Convention the term forced or compulsory labour shall mean all work or service which is exacted from any person under the menace of any penalty and for which the said person has not offered himself voluntarily.</w:t>
      </w:r>
    </w:p>
    <w:p w:rsidRPr="007C5C4F" w:rsidR="005E3D7B" w:rsidP="007C5C4F" w14:paraId="68E18A72" w14:textId="77777777">
      <w:pPr>
        <w:pStyle w:val="JuQuot"/>
      </w:pPr>
      <w:r w:rsidRPr="007C5C4F">
        <w:t>...”</w:t>
      </w:r>
    </w:p>
    <w:p w:rsidRPr="007C5C4F" w:rsidR="005E3D7B" w:rsidP="007C5C4F" w14:paraId="2F892017" w14:textId="77777777">
      <w:pPr>
        <w:pStyle w:val="JuQuot"/>
        <w:ind w:left="0" w:firstLine="0"/>
        <w:jc w:val="center"/>
        <w:rPr>
          <w:b/>
          <w:bCs/>
        </w:rPr>
      </w:pPr>
      <w:r w:rsidRPr="007C5C4F">
        <w:rPr>
          <w:b/>
          <w:bCs/>
        </w:rPr>
        <w:t>Article 25</w:t>
      </w:r>
    </w:p>
    <w:p w:rsidRPr="007C5C4F" w:rsidR="005E3D7B" w:rsidP="007C5C4F" w14:paraId="3AA0E2AE" w14:textId="77777777">
      <w:pPr>
        <w:pStyle w:val="JuQuot"/>
      </w:pPr>
      <w:r w:rsidRPr="007C5C4F">
        <w:t>“The illegal exaction of forced or compulsory labour shall be punishable as a penal offence, and it shall be an obligation on any Member ratifying this Convention to ensure that the penalties imposed by law are really adequate and are strictly enforced.”</w:t>
      </w:r>
    </w:p>
    <w:p w:rsidRPr="007C5C4F" w:rsidR="005E3D7B" w:rsidP="007C5C4F" w14:paraId="4924FC43" w14:textId="77777777">
      <w:pPr>
        <w:pStyle w:val="JuH1"/>
        <w:ind w:left="731" w:hanging="300"/>
      </w:pPr>
      <w:r w:rsidRPr="007C5C4F">
        <w:t>Protocol of 2014 to the ILO Forced Labour Convention, 1930 (P029)</w:t>
      </w:r>
    </w:p>
    <w:bookmarkStart w:name="ILO4" w:id="62"/>
    <w:p w:rsidRPr="007C5C4F" w:rsidR="005E3D7B" w:rsidP="007C5C4F" w14:paraId="2AEE6205" w14:textId="390BB8F8">
      <w:pPr>
        <w:pStyle w:val="JuPara"/>
      </w:pPr>
      <w:r w:rsidRPr="007C5C4F">
        <w:fldChar w:fldCharType="begin"/>
      </w:r>
      <w:r w:rsidRPr="007C5C4F">
        <w:instrText xml:space="preserve"> SEQ level0 \*arabic </w:instrText>
      </w:r>
      <w:r w:rsidRPr="007C5C4F">
        <w:fldChar w:fldCharType="separate"/>
      </w:r>
      <w:r w:rsidRPr="007C5C4F" w:rsidR="007C5C4F">
        <w:rPr>
          <w:noProof/>
        </w:rPr>
        <w:t>98</w:t>
      </w:r>
      <w:r w:rsidRPr="007C5C4F">
        <w:fldChar w:fldCharType="end"/>
      </w:r>
      <w:bookmarkEnd w:id="62"/>
      <w:r w:rsidRPr="007C5C4F">
        <w:t>.  Article 4 of the Protocol provides that:</w:t>
      </w:r>
    </w:p>
    <w:p w:rsidRPr="007C5C4F" w:rsidR="005E3D7B" w:rsidP="007C5C4F" w14:paraId="16331ED4" w14:textId="77777777">
      <w:pPr>
        <w:pStyle w:val="JuQuot"/>
      </w:pPr>
      <w:r w:rsidRPr="007C5C4F">
        <w:t>“1.  Each Member shall ensure that all victims of forced or compulsory labour, irrespective of their presence or legal status in the national territory, have access to appropriate and effective remedies, such as compensation.</w:t>
      </w:r>
    </w:p>
    <w:p w:rsidRPr="007C5C4F" w:rsidR="005E3D7B" w:rsidP="007C5C4F" w14:paraId="423269A8" w14:textId="77777777">
      <w:pPr>
        <w:pStyle w:val="JuQuot"/>
      </w:pPr>
      <w:r w:rsidRPr="007C5C4F">
        <w:t>2.  Each Member shall, in accordance with the basic principles of its legal system, take the necessary measures to ensure that competent authorities are entitled not to prosecute or impose penalties on victims of forced or compulsory labour for their involvement in unlawful activities which they have been compelled to commit as a direct consequence of being subjected to forced or compulsory labour.”</w:t>
      </w:r>
    </w:p>
    <w:p w:rsidRPr="007C5C4F" w:rsidR="005E3D7B" w:rsidP="007C5C4F" w14:paraId="230C262E" w14:textId="77777777">
      <w:pPr>
        <w:pStyle w:val="JuH1"/>
        <w:ind w:left="731" w:hanging="300"/>
        <w:jc w:val="left"/>
      </w:pPr>
      <w:r w:rsidRPr="007C5C4F">
        <w:t>The ILO indicators of forced labour</w:t>
      </w:r>
    </w:p>
    <w:p w:rsidRPr="007C5C4F" w:rsidR="005E3D7B" w:rsidP="007C5C4F" w14:paraId="24216584" w14:textId="00DB0B06">
      <w:pPr>
        <w:pStyle w:val="JuPara"/>
        <w:rPr>
          <w:rFonts w:eastAsiaTheme="majorEastAsia"/>
        </w:rPr>
      </w:pPr>
      <w:r w:rsidRPr="007C5C4F">
        <w:rPr>
          <w:rFonts w:eastAsiaTheme="majorEastAsia"/>
        </w:rPr>
        <w:fldChar w:fldCharType="begin"/>
      </w:r>
      <w:r w:rsidRPr="007C5C4F">
        <w:rPr>
          <w:rFonts w:eastAsiaTheme="majorEastAsia"/>
        </w:rPr>
        <w:instrText xml:space="preserve"> SEQ level0 \*arabic </w:instrText>
      </w:r>
      <w:r w:rsidRPr="007C5C4F">
        <w:rPr>
          <w:rFonts w:eastAsiaTheme="majorEastAsia"/>
        </w:rPr>
        <w:fldChar w:fldCharType="separate"/>
      </w:r>
      <w:r w:rsidRPr="007C5C4F" w:rsidR="007C5C4F">
        <w:rPr>
          <w:rFonts w:eastAsiaTheme="majorEastAsia"/>
          <w:noProof/>
        </w:rPr>
        <w:t>99</w:t>
      </w:r>
      <w:r w:rsidRPr="007C5C4F">
        <w:rPr>
          <w:rFonts w:eastAsiaTheme="majorEastAsia"/>
        </w:rPr>
        <w:fldChar w:fldCharType="end"/>
      </w:r>
      <w:r w:rsidRPr="007C5C4F">
        <w:rPr>
          <w:rFonts w:eastAsiaTheme="majorEastAsia"/>
        </w:rPr>
        <w:t>.  The ILO has developed indicators of forced labour which are derived from the theoretical and practical experience of the ILO</w:t>
      </w:r>
      <w:r w:rsidRPr="007C5C4F" w:rsidR="007C5C4F">
        <w:rPr>
          <w:rFonts w:eastAsiaTheme="majorEastAsia"/>
        </w:rPr>
        <w:t>’</w:t>
      </w:r>
      <w:r w:rsidRPr="007C5C4F">
        <w:rPr>
          <w:rFonts w:eastAsiaTheme="majorEastAsia"/>
        </w:rPr>
        <w:t>s Special Action Programme to Combat Forced Labour. These indicators are based upon the definition of forced labour specified in the ILO Forced Labour Convention and provide a valuable benchmark in the identification of forced labour. They are:</w:t>
      </w:r>
    </w:p>
    <w:p w:rsidRPr="007C5C4F" w:rsidR="005E3D7B" w:rsidP="007C5C4F" w14:paraId="30403246" w14:textId="77777777">
      <w:pPr>
        <w:pStyle w:val="JuQuot"/>
        <w:rPr>
          <w:rFonts w:eastAsiaTheme="majorEastAsia"/>
        </w:rPr>
      </w:pPr>
      <w:r w:rsidRPr="007C5C4F">
        <w:rPr>
          <w:rFonts w:eastAsiaTheme="majorEastAsia"/>
        </w:rPr>
        <w:t>“1.  Threats or actual physical harm to the worker.</w:t>
      </w:r>
    </w:p>
    <w:p w:rsidRPr="007C5C4F" w:rsidR="005E3D7B" w:rsidP="007C5C4F" w14:paraId="29D57F8C" w14:textId="77777777">
      <w:pPr>
        <w:pStyle w:val="JuQuot"/>
        <w:rPr>
          <w:rFonts w:eastAsiaTheme="majorEastAsia"/>
        </w:rPr>
      </w:pPr>
      <w:r w:rsidRPr="007C5C4F">
        <w:rPr>
          <w:rFonts w:eastAsiaTheme="majorEastAsia"/>
        </w:rPr>
        <w:t xml:space="preserve">2.  Restriction of movement and </w:t>
      </w:r>
      <w:r w:rsidRPr="007C5C4F">
        <w:t>confinement</w:t>
      </w:r>
      <w:r w:rsidRPr="007C5C4F">
        <w:rPr>
          <w:rFonts w:eastAsiaTheme="majorEastAsia"/>
        </w:rPr>
        <w:t xml:space="preserve"> to the work place or to a limited area.</w:t>
      </w:r>
    </w:p>
    <w:p w:rsidRPr="007C5C4F" w:rsidR="005E3D7B" w:rsidP="007C5C4F" w14:paraId="7E8AE8B6" w14:textId="77777777">
      <w:pPr>
        <w:pStyle w:val="JuQuot"/>
      </w:pPr>
      <w:r w:rsidRPr="007C5C4F">
        <w:t>3.  Debt bondage: where the worker works to pay off a debt or loan, and is not paid for his or her services. The employer may provide food and accommodation at such inflated prices that the worker cannot escape the debt.</w:t>
      </w:r>
    </w:p>
    <w:p w:rsidRPr="007C5C4F" w:rsidR="005E3D7B" w:rsidP="007C5C4F" w14:paraId="320E7991" w14:textId="77777777">
      <w:pPr>
        <w:pStyle w:val="JuQuot"/>
      </w:pPr>
      <w:r w:rsidRPr="007C5C4F">
        <w:t>4.  Withholding of wages or excessive wage reductions, that violate previously made agreements.</w:t>
      </w:r>
    </w:p>
    <w:p w:rsidRPr="007C5C4F" w:rsidR="005E3D7B" w:rsidP="007C5C4F" w14:paraId="705A756E" w14:textId="77777777">
      <w:pPr>
        <w:pStyle w:val="JuQuot"/>
      </w:pPr>
      <w:r w:rsidRPr="007C5C4F">
        <w:t>5.  Retention of passports and identity documents, so that the worker cannot leave, or prove his/her identity and status.</w:t>
      </w:r>
    </w:p>
    <w:p w:rsidRPr="007C5C4F" w:rsidR="005E3D7B" w:rsidP="007C5C4F" w14:paraId="59580148" w14:textId="77777777">
      <w:pPr>
        <w:pStyle w:val="JuQuot"/>
      </w:pPr>
      <w:r w:rsidRPr="007C5C4F">
        <w:t>6.  Threat of denunciation to the authorities, where the worker is in an irregular immigration status.”</w:t>
      </w:r>
    </w:p>
    <w:p w:rsidRPr="007C5C4F" w:rsidR="005E3D7B" w:rsidP="007C5C4F" w14:paraId="20361EF8" w14:textId="77777777">
      <w:pPr>
        <w:pStyle w:val="JuHA"/>
        <w:ind w:left="584" w:hanging="352"/>
        <w:jc w:val="left"/>
      </w:pPr>
      <w:r w:rsidRPr="007C5C4F">
        <w:t>ILO: Worst Forms of Child Labour Convention, 1999 (No. 182)</w:t>
      </w:r>
    </w:p>
    <w:p w:rsidRPr="007C5C4F" w:rsidR="005E3D7B" w:rsidP="007C5C4F" w14:paraId="574ED494" w14:textId="38913934">
      <w:pPr>
        <w:pStyle w:val="JuPara"/>
      </w:pPr>
      <w:r w:rsidRPr="007C5C4F">
        <w:fldChar w:fldCharType="begin"/>
      </w:r>
      <w:r w:rsidRPr="007C5C4F">
        <w:instrText xml:space="preserve"> SEQ level0 \*arabic </w:instrText>
      </w:r>
      <w:r w:rsidRPr="007C5C4F">
        <w:fldChar w:fldCharType="separate"/>
      </w:r>
      <w:r w:rsidRPr="007C5C4F" w:rsidR="007C5C4F">
        <w:rPr>
          <w:noProof/>
        </w:rPr>
        <w:t>100</w:t>
      </w:r>
      <w:r w:rsidRPr="007C5C4F">
        <w:fldChar w:fldCharType="end"/>
      </w:r>
      <w:r w:rsidRPr="007C5C4F">
        <w:t>.  This Convention, which was ratified by the United Kingdom on 22 March 2000, provides in its relevant parts as follows:</w:t>
      </w:r>
    </w:p>
    <w:p w:rsidRPr="007C5C4F" w:rsidR="005E3D7B" w:rsidP="007C5C4F" w14:paraId="063E0C5C" w14:textId="77777777">
      <w:pPr>
        <w:pStyle w:val="JuQuot"/>
        <w:ind w:left="0" w:firstLine="0"/>
        <w:jc w:val="center"/>
      </w:pPr>
      <w:r w:rsidRPr="007C5C4F">
        <w:rPr>
          <w:b/>
          <w:bCs/>
        </w:rPr>
        <w:t>Article 1</w:t>
      </w:r>
    </w:p>
    <w:p w:rsidRPr="007C5C4F" w:rsidR="005E3D7B" w:rsidP="007C5C4F" w14:paraId="156CC9B1" w14:textId="77777777">
      <w:pPr>
        <w:pStyle w:val="JuQuot"/>
      </w:pPr>
      <w:r w:rsidRPr="007C5C4F">
        <w:t>“Each Member which ratifies this Convention shall take immediate and effective measures to secure the prohibition and elimination of the worst forms of child labour as a matter of urgency.”</w:t>
      </w:r>
    </w:p>
    <w:p w:rsidRPr="007C5C4F" w:rsidR="005E3D7B" w:rsidP="007C5C4F" w14:paraId="09823B7C" w14:textId="77777777">
      <w:pPr>
        <w:pStyle w:val="JuQuot"/>
        <w:ind w:left="0" w:firstLine="0"/>
        <w:jc w:val="center"/>
        <w:rPr>
          <w:b/>
          <w:bCs/>
        </w:rPr>
      </w:pPr>
      <w:r w:rsidRPr="007C5C4F">
        <w:rPr>
          <w:b/>
          <w:bCs/>
        </w:rPr>
        <w:t>Article 2</w:t>
      </w:r>
    </w:p>
    <w:p w:rsidRPr="007C5C4F" w:rsidR="005E3D7B" w:rsidP="007C5C4F" w14:paraId="6430AFA7" w14:textId="77777777">
      <w:pPr>
        <w:pStyle w:val="JuQuot"/>
      </w:pPr>
      <w:r w:rsidRPr="007C5C4F">
        <w:t>“For the purposes of this Convention, the term child shall apply to all persons under the age of 18.”</w:t>
      </w:r>
    </w:p>
    <w:p w:rsidRPr="007C5C4F" w:rsidR="005E3D7B" w:rsidP="007C5C4F" w14:paraId="3ACF8EEE" w14:textId="77777777">
      <w:pPr>
        <w:pStyle w:val="JuQuot"/>
        <w:ind w:left="0" w:firstLine="0"/>
        <w:jc w:val="center"/>
        <w:rPr>
          <w:b/>
          <w:bCs/>
        </w:rPr>
      </w:pPr>
      <w:r w:rsidRPr="007C5C4F">
        <w:rPr>
          <w:b/>
          <w:bCs/>
        </w:rPr>
        <w:t>Article 3</w:t>
      </w:r>
    </w:p>
    <w:p w:rsidRPr="007C5C4F" w:rsidR="005E3D7B" w:rsidP="007C5C4F" w14:paraId="47AB2491" w14:textId="77777777">
      <w:pPr>
        <w:pStyle w:val="JuQuot"/>
      </w:pPr>
      <w:r w:rsidRPr="007C5C4F">
        <w:t>“For the purposes of this Convention, the term the worst forms of child labour comprises:</w:t>
      </w:r>
    </w:p>
    <w:p w:rsidRPr="007C5C4F" w:rsidR="005E3D7B" w:rsidP="007C5C4F" w14:paraId="0BA69BEE" w14:textId="77777777">
      <w:pPr>
        <w:pStyle w:val="JuQuot"/>
      </w:pPr>
      <w:r w:rsidRPr="007C5C4F">
        <w:t>(a)  all forms of slavery or practices similar to slavery, such as the sale and trafficking of children, debt bondage and serfdom and forced or compulsory labour, including forced or compulsory recruitment of children for use in armed conflict;</w:t>
      </w:r>
    </w:p>
    <w:p w:rsidRPr="007C5C4F" w:rsidR="005E3D7B" w:rsidP="007C5C4F" w14:paraId="11B8B75B" w14:textId="77777777">
      <w:pPr>
        <w:pStyle w:val="JuQuot"/>
      </w:pPr>
      <w:r w:rsidRPr="007C5C4F">
        <w:t>(b)  the use, procuring or offering of a child for prostitution, for the production of pornography or for pornographic performances;</w:t>
      </w:r>
    </w:p>
    <w:p w:rsidRPr="007C5C4F" w:rsidR="005E3D7B" w:rsidP="007C5C4F" w14:paraId="765ED2E1" w14:textId="77777777">
      <w:pPr>
        <w:pStyle w:val="JuQuot"/>
      </w:pPr>
      <w:r w:rsidRPr="007C5C4F">
        <w:t>(c)  the use, procuring or offering of a child for illicit activities, in particular for the production and trafficking of drugs as defined in the relevant international treaties;</w:t>
      </w:r>
    </w:p>
    <w:p w:rsidRPr="007C5C4F" w:rsidR="005E3D7B" w:rsidP="007C5C4F" w14:paraId="2ECD041D" w14:textId="77777777">
      <w:pPr>
        <w:pStyle w:val="JuQuot"/>
      </w:pPr>
      <w:r w:rsidRPr="007C5C4F">
        <w:t>(d)  work which, by its nature or the circumstances in which it is carried out, is likely to harm the health, safety or morals of children.</w:t>
      </w:r>
    </w:p>
    <w:p w:rsidRPr="007C5C4F" w:rsidR="005E3D7B" w:rsidP="007C5C4F" w14:paraId="0A23A87A" w14:textId="77777777">
      <w:pPr>
        <w:pStyle w:val="JuQuot"/>
      </w:pPr>
      <w:r w:rsidRPr="007C5C4F">
        <w:t>...”</w:t>
      </w:r>
    </w:p>
    <w:p w:rsidRPr="007C5C4F" w:rsidR="005E3D7B" w:rsidP="007C5C4F" w14:paraId="1502FEEE" w14:textId="77777777">
      <w:pPr>
        <w:pStyle w:val="JuQuot"/>
        <w:ind w:left="0" w:firstLine="0"/>
        <w:jc w:val="center"/>
        <w:rPr>
          <w:b/>
          <w:bCs/>
        </w:rPr>
      </w:pPr>
      <w:r w:rsidRPr="007C5C4F">
        <w:rPr>
          <w:b/>
          <w:bCs/>
        </w:rPr>
        <w:t>Article 6</w:t>
      </w:r>
    </w:p>
    <w:p w:rsidRPr="007C5C4F" w:rsidR="005E3D7B" w:rsidP="007C5C4F" w14:paraId="2EFAA330" w14:textId="77777777">
      <w:pPr>
        <w:pStyle w:val="JuQuot"/>
      </w:pPr>
      <w:r w:rsidRPr="007C5C4F">
        <w:t>“1.  Each Member shall design and implement programmes of action to eliminate as a priority the worst forms of child labour.</w:t>
      </w:r>
    </w:p>
    <w:p w:rsidRPr="007C5C4F" w:rsidR="005E3D7B" w:rsidP="007C5C4F" w14:paraId="60534127" w14:textId="1CAFD97E">
      <w:pPr>
        <w:pStyle w:val="JuQuot"/>
      </w:pPr>
      <w:r w:rsidRPr="007C5C4F">
        <w:t>2.  Such programmes of action shall be designed and implemented in consultation with relevant government institutions and employers</w:t>
      </w:r>
      <w:r w:rsidRPr="007C5C4F" w:rsidR="007C5C4F">
        <w:t>’</w:t>
      </w:r>
      <w:r w:rsidRPr="007C5C4F">
        <w:t xml:space="preserve"> and workers</w:t>
      </w:r>
      <w:r w:rsidRPr="007C5C4F" w:rsidR="007C5C4F">
        <w:t>’</w:t>
      </w:r>
      <w:r w:rsidRPr="007C5C4F">
        <w:t xml:space="preserve"> organizations, taking into consideration the views of other concerned groups as appropriate.”</w:t>
      </w:r>
    </w:p>
    <w:p w:rsidRPr="007C5C4F" w:rsidR="005E3D7B" w:rsidP="007C5C4F" w14:paraId="74F75167" w14:textId="77777777">
      <w:pPr>
        <w:pStyle w:val="JuQuot"/>
        <w:keepNext/>
        <w:keepLines/>
        <w:ind w:left="0" w:firstLine="0"/>
        <w:jc w:val="center"/>
        <w:rPr>
          <w:b/>
          <w:bCs/>
        </w:rPr>
      </w:pPr>
      <w:r w:rsidRPr="007C5C4F">
        <w:rPr>
          <w:b/>
          <w:bCs/>
        </w:rPr>
        <w:t>Article 7</w:t>
      </w:r>
    </w:p>
    <w:p w:rsidRPr="007C5C4F" w:rsidR="005E3D7B" w:rsidP="007C5C4F" w14:paraId="4EFACD42" w14:textId="77777777">
      <w:pPr>
        <w:pStyle w:val="JuQuot"/>
        <w:keepNext/>
        <w:keepLines/>
      </w:pPr>
      <w:r w:rsidRPr="007C5C4F">
        <w:t>“1.  Each Member shall take all necessary measures to ensure the effective implementation and enforcement of the provisions giving effect to this Convention including the provision and application of penal sanctions or, as appropriate, other sanctions.</w:t>
      </w:r>
    </w:p>
    <w:p w:rsidRPr="007C5C4F" w:rsidR="005E3D7B" w:rsidP="007C5C4F" w14:paraId="06A14C19" w14:textId="77777777">
      <w:pPr>
        <w:pStyle w:val="JuQuot"/>
      </w:pPr>
      <w:r w:rsidRPr="007C5C4F">
        <w:t>2.  Each Member shall, taking into account the importance of education in eliminating child labour, take effective and time-bound measures to: (a) prevent the engagement of children in the worst forms of child labour;</w:t>
      </w:r>
    </w:p>
    <w:p w:rsidRPr="007C5C4F" w:rsidR="005E3D7B" w:rsidP="007C5C4F" w14:paraId="74F11CDE" w14:textId="77777777">
      <w:pPr>
        <w:pStyle w:val="JuQuot"/>
      </w:pPr>
      <w:r w:rsidRPr="007C5C4F">
        <w:t>(b)  provide the necessary and appropriate direct assistance for the removal of children from the worst forms of child labour and for their rehabilitation and social integration;</w:t>
      </w:r>
    </w:p>
    <w:p w:rsidRPr="007C5C4F" w:rsidR="005E3D7B" w:rsidP="007C5C4F" w14:paraId="60ED5CEB" w14:textId="77777777">
      <w:pPr>
        <w:pStyle w:val="JuQuot"/>
      </w:pPr>
      <w:r w:rsidRPr="007C5C4F">
        <w:t>(c)  ensure access to free basic education, and, wherever possible and appropriate, vocational training, for all children removed from the worst forms of child labour;</w:t>
      </w:r>
    </w:p>
    <w:p w:rsidRPr="007C5C4F" w:rsidR="005E3D7B" w:rsidP="007C5C4F" w14:paraId="0D128F59" w14:textId="77777777">
      <w:pPr>
        <w:pStyle w:val="JuQuot"/>
      </w:pPr>
      <w:r w:rsidRPr="007C5C4F">
        <w:t>(d)  identify and reach out to children at special risk; and</w:t>
      </w:r>
    </w:p>
    <w:p w:rsidRPr="007C5C4F" w:rsidR="005E3D7B" w:rsidP="007C5C4F" w14:paraId="1C11F2FF" w14:textId="77777777">
      <w:pPr>
        <w:pStyle w:val="JuQuot"/>
      </w:pPr>
      <w:r w:rsidRPr="007C5C4F">
        <w:t>(e)  take account of the special situation of girls.</w:t>
      </w:r>
    </w:p>
    <w:p w:rsidRPr="007C5C4F" w:rsidR="005E3D7B" w:rsidP="007C5C4F" w14:paraId="77A3D3CF" w14:textId="77777777">
      <w:pPr>
        <w:pStyle w:val="JuQuot"/>
      </w:pPr>
      <w:r w:rsidRPr="007C5C4F">
        <w:t>3.  Each Member shall designate the competent authority responsible for the implementation of the provisions giving effect to this Convention.”</w:t>
      </w:r>
    </w:p>
    <w:p w:rsidRPr="007C5C4F" w:rsidR="005E3D7B" w:rsidP="007C5C4F" w14:paraId="6301AEB9" w14:textId="77777777">
      <w:pPr>
        <w:pStyle w:val="JuHA"/>
        <w:ind w:left="584" w:hanging="352"/>
      </w:pPr>
      <w:r w:rsidRPr="007C5C4F">
        <w:t>ILO: Worst Forms of Child Labour Recommendation, 1999 (No. 190)</w:t>
      </w:r>
    </w:p>
    <w:p w:rsidRPr="007C5C4F" w:rsidR="005E3D7B" w:rsidP="007C5C4F" w14:paraId="5298D93B" w14:textId="28A2EAE9">
      <w:pPr>
        <w:pStyle w:val="JuPara"/>
      </w:pPr>
      <w:r w:rsidRPr="007C5C4F">
        <w:fldChar w:fldCharType="begin"/>
      </w:r>
      <w:r w:rsidRPr="007C5C4F">
        <w:instrText xml:space="preserve"> SEQ level0 \*arabic </w:instrText>
      </w:r>
      <w:r w:rsidRPr="007C5C4F">
        <w:fldChar w:fldCharType="separate"/>
      </w:r>
      <w:r w:rsidRPr="007C5C4F" w:rsidR="007C5C4F">
        <w:rPr>
          <w:noProof/>
        </w:rPr>
        <w:t>101</w:t>
      </w:r>
      <w:r w:rsidRPr="007C5C4F">
        <w:fldChar w:fldCharType="end"/>
      </w:r>
      <w:r w:rsidRPr="007C5C4F">
        <w:t>.  The provisions of this Recommendation supplement the 1999 Convention and should be applied in conjunction with them. It provides, in so far as relevant, as follows:</w:t>
      </w:r>
    </w:p>
    <w:p w:rsidRPr="007C5C4F" w:rsidR="005E3D7B" w:rsidP="007C5C4F" w14:paraId="4CD28719" w14:textId="5DC59E4C">
      <w:pPr>
        <w:pStyle w:val="JuQuot"/>
      </w:pPr>
      <w:r w:rsidRPr="007C5C4F">
        <w:t>“2.  The programmes of action referred to in Article 6 of the Convention should be designed and implemented as a matter of urgency, in consultation with relevant government institutions and employers</w:t>
      </w:r>
      <w:r w:rsidRPr="007C5C4F" w:rsidR="007C5C4F">
        <w:t>’</w:t>
      </w:r>
      <w:r w:rsidRPr="007C5C4F">
        <w:t xml:space="preserve"> and workers</w:t>
      </w:r>
      <w:r w:rsidRPr="007C5C4F" w:rsidR="007C5C4F">
        <w:t>’</w:t>
      </w:r>
      <w:r w:rsidRPr="007C5C4F">
        <w:t xml:space="preserve"> organisations, taking into consideration the views of the children directly affected by the worst forms of child labour, their families and, as appropriate, other concerned groups committed to the aims of the Convention and this Recommendation. Such programmes should aim at, inter alia:</w:t>
      </w:r>
    </w:p>
    <w:p w:rsidRPr="007C5C4F" w:rsidR="005E3D7B" w:rsidP="007C5C4F" w14:paraId="43959BAE" w14:textId="77777777">
      <w:pPr>
        <w:pStyle w:val="JuQuot"/>
      </w:pPr>
      <w:r w:rsidRPr="007C5C4F">
        <w:t>(a)  identifying and denouncing the worst forms of child labour;</w:t>
      </w:r>
    </w:p>
    <w:p w:rsidRPr="007C5C4F" w:rsidR="005E3D7B" w:rsidP="007C5C4F" w14:paraId="5D8234A1" w14:textId="77777777">
      <w:pPr>
        <w:pStyle w:val="JuQuot"/>
      </w:pPr>
      <w:r w:rsidRPr="007C5C4F">
        <w:t>(b)  preventing the engagement of children in or removing them from the worst forms of child labour, protecting them from reprisals and providing for their rehabilitation and social integration through measures which address their educational, physical and psychological needs;</w:t>
      </w:r>
    </w:p>
    <w:p w:rsidRPr="007C5C4F" w:rsidR="005E3D7B" w:rsidP="007C5C4F" w14:paraId="6729FD32" w14:textId="77777777">
      <w:pPr>
        <w:pStyle w:val="JuQuot"/>
      </w:pPr>
      <w:r w:rsidRPr="007C5C4F">
        <w:t>(c)  giving special attention to:</w:t>
      </w:r>
    </w:p>
    <w:p w:rsidRPr="007C5C4F" w:rsidR="005E3D7B" w:rsidP="007C5C4F" w14:paraId="50E358E8" w14:textId="77777777">
      <w:pPr>
        <w:pStyle w:val="JuQuot"/>
      </w:pPr>
      <w:r w:rsidRPr="007C5C4F">
        <w:t>(i)  younger children;</w:t>
      </w:r>
    </w:p>
    <w:p w:rsidRPr="007C5C4F" w:rsidR="005E3D7B" w:rsidP="007C5C4F" w14:paraId="3CD68BC8" w14:textId="77777777">
      <w:pPr>
        <w:pStyle w:val="JuQuot"/>
      </w:pPr>
      <w:r w:rsidRPr="007C5C4F">
        <w:t>(ii)  the girl child;</w:t>
      </w:r>
    </w:p>
    <w:p w:rsidRPr="007C5C4F" w:rsidR="005E3D7B" w:rsidP="007C5C4F" w14:paraId="0DBD46C9" w14:textId="77777777">
      <w:pPr>
        <w:pStyle w:val="JuQuot"/>
      </w:pPr>
      <w:r w:rsidRPr="007C5C4F">
        <w:t>(iii)  the problem of hidden work situations, in which girls are at special risk;</w:t>
      </w:r>
    </w:p>
    <w:p w:rsidRPr="007C5C4F" w:rsidR="005E3D7B" w:rsidP="007C5C4F" w14:paraId="3151394E" w14:textId="77777777">
      <w:pPr>
        <w:pStyle w:val="JuQuot"/>
      </w:pPr>
      <w:r w:rsidRPr="007C5C4F">
        <w:t>(iv)  other groups of children with special vulnerabilities or needs;</w:t>
      </w:r>
    </w:p>
    <w:p w:rsidRPr="007C5C4F" w:rsidR="005E3D7B" w:rsidP="007C5C4F" w14:paraId="1410263A" w14:textId="77777777">
      <w:pPr>
        <w:pStyle w:val="JuQuot"/>
      </w:pPr>
      <w:r w:rsidRPr="007C5C4F">
        <w:t>(d)  identifying, reaching out to and working with communities where children are at special risk;</w:t>
      </w:r>
    </w:p>
    <w:p w:rsidRPr="007C5C4F" w:rsidR="005E3D7B" w:rsidP="007C5C4F" w14:paraId="4A973E16" w14:textId="77777777">
      <w:pPr>
        <w:pStyle w:val="JuQuot"/>
      </w:pPr>
      <w:r w:rsidRPr="007C5C4F">
        <w:t>(e)  informing, sensitizing and mobilizing public opinion and concerned groups, including children and their families....</w:t>
      </w:r>
    </w:p>
    <w:p w:rsidRPr="007C5C4F" w:rsidR="005E3D7B" w:rsidP="007C5C4F" w14:paraId="2735A29E" w14:textId="77777777">
      <w:pPr>
        <w:pStyle w:val="JuQuot"/>
      </w:pPr>
      <w:r w:rsidRPr="007C5C4F">
        <w:t>9.  Members should ensure that the competent authorities which have responsibilities for implementing national provisions for the prohibition and elimination of the worst forms of child labour cooperate with each other and coordinate their activities.</w:t>
      </w:r>
    </w:p>
    <w:p w:rsidRPr="007C5C4F" w:rsidR="005E3D7B" w:rsidP="007C5C4F" w14:paraId="4FAC4BF5" w14:textId="77777777">
      <w:pPr>
        <w:pStyle w:val="JuQuot"/>
      </w:pPr>
      <w:r w:rsidRPr="007C5C4F">
        <w:t>...</w:t>
      </w:r>
    </w:p>
    <w:p w:rsidRPr="007C5C4F" w:rsidR="005E3D7B" w:rsidP="007C5C4F" w14:paraId="1FEAD790" w14:textId="77777777">
      <w:pPr>
        <w:pStyle w:val="JuQuot"/>
      </w:pPr>
      <w:r w:rsidRPr="007C5C4F">
        <w:t>12.  Members should provide that the following worst forms of child labour are criminal offences:</w:t>
      </w:r>
    </w:p>
    <w:p w:rsidRPr="007C5C4F" w:rsidR="005E3D7B" w:rsidP="007C5C4F" w14:paraId="0F5C75D3" w14:textId="77777777">
      <w:pPr>
        <w:pStyle w:val="JuQuot"/>
      </w:pPr>
      <w:r w:rsidRPr="007C5C4F">
        <w:t>(a)  all forms of slavery or practices similar to slavery, such as the sale and trafficking of children, debt bondage and serfdom and forced or compulsory labour, including forced or compulsory recruitment of children for use in armed conflict;</w:t>
      </w:r>
    </w:p>
    <w:p w:rsidRPr="007C5C4F" w:rsidR="005E3D7B" w:rsidP="007C5C4F" w14:paraId="6920D034" w14:textId="77777777">
      <w:pPr>
        <w:pStyle w:val="JuQuot"/>
      </w:pPr>
      <w:r w:rsidRPr="007C5C4F">
        <w:t>(b)  the use, procuring or offering of a child for prostitution, for the production of pornography or for pornographic performances; and</w:t>
      </w:r>
    </w:p>
    <w:p w:rsidRPr="007C5C4F" w:rsidR="005E3D7B" w:rsidP="007C5C4F" w14:paraId="2AE04FB5" w14:textId="77777777">
      <w:pPr>
        <w:pStyle w:val="JuQuot"/>
      </w:pPr>
      <w:r w:rsidRPr="007C5C4F">
        <w:t>(c)  the use, procuring or offering of a child for illicit activities, in particular for the production and trafficking of drugs as defined in the relevant international treaties, or for activities which involve the unlawful carrying or use of firearms or other weapons.”</w:t>
      </w:r>
    </w:p>
    <w:p w:rsidRPr="007C5C4F" w:rsidR="005E3D7B" w:rsidP="007C5C4F" w14:paraId="7A5E8D0B" w14:textId="77777777">
      <w:pPr>
        <w:pStyle w:val="JuHA"/>
        <w:ind w:left="584" w:hanging="352"/>
      </w:pPr>
      <w:r w:rsidRPr="007C5C4F">
        <w:t>Council of Europe Convention on Action against Trafficking in Human Beings, 2005 (“the Anti-Trafficking Convention”)</w:t>
      </w:r>
    </w:p>
    <w:bookmarkStart w:name="ATC3and10" w:id="63"/>
    <w:p w:rsidRPr="007C5C4F" w:rsidR="005E3D7B" w:rsidP="007C5C4F" w14:paraId="1855EB57" w14:textId="26382E1D">
      <w:pPr>
        <w:pStyle w:val="JuPara"/>
        <w:rPr>
          <w:rFonts w:eastAsiaTheme="minorEastAsia"/>
        </w:rPr>
      </w:pPr>
      <w:r w:rsidRPr="007C5C4F">
        <w:rPr>
          <w:rFonts w:eastAsiaTheme="minorEastAsia"/>
        </w:rPr>
        <w:fldChar w:fldCharType="begin"/>
      </w:r>
      <w:r w:rsidRPr="007C5C4F">
        <w:rPr>
          <w:rFonts w:eastAsiaTheme="minorEastAsia"/>
        </w:rPr>
        <w:instrText xml:space="preserve"> SEQ level0 \*arabic </w:instrText>
      </w:r>
      <w:r w:rsidRPr="007C5C4F">
        <w:rPr>
          <w:rFonts w:eastAsiaTheme="minorEastAsia"/>
        </w:rPr>
        <w:fldChar w:fldCharType="separate"/>
      </w:r>
      <w:r w:rsidRPr="007C5C4F" w:rsidR="007C5C4F">
        <w:rPr>
          <w:rFonts w:eastAsiaTheme="minorEastAsia"/>
          <w:noProof/>
        </w:rPr>
        <w:t>102</w:t>
      </w:r>
      <w:r w:rsidRPr="007C5C4F">
        <w:rPr>
          <w:rFonts w:eastAsiaTheme="minorEastAsia"/>
        </w:rPr>
        <w:fldChar w:fldCharType="end"/>
      </w:r>
      <w:bookmarkEnd w:id="63"/>
      <w:r w:rsidRPr="007C5C4F">
        <w:rPr>
          <w:rFonts w:eastAsiaTheme="minorEastAsia"/>
        </w:rPr>
        <w:t>.  In addition to adopting the same definition of trafficking in human beings as the Palermo Protocol (see Article 4), Article 10 of the Anti-Trafficking Convention, which came into force in respect of the United Kingdom on 1 April 2009, provided as follows:</w:t>
      </w:r>
    </w:p>
    <w:p w:rsidRPr="007C5C4F" w:rsidR="005E3D7B" w:rsidP="007C5C4F" w14:paraId="33322453" w14:textId="77777777">
      <w:pPr>
        <w:pStyle w:val="JuQuot"/>
        <w:rPr>
          <w:rFonts w:eastAsiaTheme="minorEastAsia"/>
        </w:rPr>
      </w:pPr>
      <w:r w:rsidRPr="007C5C4F">
        <w:rPr>
          <w:rFonts w:eastAsiaTheme="minorEastAsia"/>
        </w:rPr>
        <w:t>“1  Each Party shall provide its competent authorities with persons who are trained and qualified in preventing and combating trafficking in human beings, in identifying and helping victims, including children, and shall ensure that the different authorities collaborate with each other as well as with relevant support organisations, so that victims can be identified in a procedure duly taking into account the special situation of women and child victims and, in appropriate cases, issued with residence permits under the conditions provided for in Article 14 of the present Convention.</w:t>
      </w:r>
    </w:p>
    <w:p w:rsidRPr="007C5C4F" w:rsidR="005E3D7B" w:rsidP="007C5C4F" w14:paraId="25A85514" w14:textId="77777777">
      <w:pPr>
        <w:pStyle w:val="JuQuot"/>
        <w:rPr>
          <w:rFonts w:eastAsiaTheme="minorEastAsia"/>
        </w:rPr>
      </w:pPr>
      <w:r w:rsidRPr="007C5C4F">
        <w:rPr>
          <w:rFonts w:eastAsiaTheme="minorEastAsia"/>
        </w:rPr>
        <w:t>2  Each Party shall adopt such legislative or other measures as may be necessary to identify victims as appropriate in collaboration with other Parties and relevant support organisations. Each Party shall ensure that, if the competent authorities have reasonable grounds to believe that a person has been victim of trafficking in human beings, that person shall not be removed from its territory until the identification process as victim of an offence provided for in Article 18 of this Convention has been completed by the competent authorities and shall likewise ensure that that person receives the assistance provided for in Article 12, paragraphs 1 and 2.</w:t>
      </w:r>
    </w:p>
    <w:p w:rsidRPr="007C5C4F" w:rsidR="005E3D7B" w:rsidP="007C5C4F" w14:paraId="45D49A56" w14:textId="77777777">
      <w:pPr>
        <w:pStyle w:val="JuQuot"/>
        <w:rPr>
          <w:rFonts w:eastAsiaTheme="minorEastAsia"/>
        </w:rPr>
      </w:pPr>
      <w:r w:rsidRPr="007C5C4F">
        <w:rPr>
          <w:rFonts w:eastAsiaTheme="minorEastAsia"/>
        </w:rPr>
        <w:t>3  When the age of the victim is uncertain and there are reasons to believe that the victim is a child, he or she shall be presumed to be a child and shall be accorded special protection measures pending verification of his/her age.</w:t>
      </w:r>
    </w:p>
    <w:p w:rsidRPr="007C5C4F" w:rsidR="005E3D7B" w:rsidP="007C5C4F" w14:paraId="0831A651" w14:textId="77777777">
      <w:pPr>
        <w:pStyle w:val="JuQuot"/>
        <w:keepNext/>
        <w:keepLines/>
        <w:rPr>
          <w:rFonts w:eastAsiaTheme="minorEastAsia"/>
        </w:rPr>
      </w:pPr>
      <w:r w:rsidRPr="007C5C4F">
        <w:rPr>
          <w:rFonts w:eastAsiaTheme="minorEastAsia"/>
        </w:rPr>
        <w:t>4  As soon as an unaccompanied child is identified as a victim, each Party shall:</w:t>
      </w:r>
    </w:p>
    <w:p w:rsidRPr="007C5C4F" w:rsidR="005E3D7B" w:rsidP="007C5C4F" w14:paraId="73C6396E" w14:textId="77777777">
      <w:pPr>
        <w:pStyle w:val="JuQuot"/>
        <w:keepNext/>
        <w:keepLines/>
        <w:rPr>
          <w:rFonts w:eastAsiaTheme="minorEastAsia"/>
        </w:rPr>
      </w:pPr>
      <w:r w:rsidRPr="007C5C4F">
        <w:rPr>
          <w:rFonts w:eastAsiaTheme="minorEastAsia"/>
        </w:rPr>
        <w:t>a  provide for representation of the child by a legal guardian, organisation or authority which shall act in the best interests of that child;</w:t>
      </w:r>
    </w:p>
    <w:p w:rsidRPr="007C5C4F" w:rsidR="005E3D7B" w:rsidP="007C5C4F" w14:paraId="16962028" w14:textId="77777777">
      <w:pPr>
        <w:pStyle w:val="JuQuot"/>
        <w:rPr>
          <w:rFonts w:eastAsiaTheme="minorEastAsia"/>
        </w:rPr>
      </w:pPr>
      <w:r w:rsidRPr="007C5C4F">
        <w:rPr>
          <w:rFonts w:eastAsiaTheme="minorEastAsia"/>
        </w:rPr>
        <w:t>b  take the necessary steps to establish his/her identity and nationality;</w:t>
      </w:r>
    </w:p>
    <w:p w:rsidRPr="007C5C4F" w:rsidR="005E3D7B" w:rsidP="007C5C4F" w14:paraId="185C674A" w14:textId="77777777">
      <w:pPr>
        <w:pStyle w:val="JuQuot"/>
        <w:rPr>
          <w:rFonts w:eastAsiaTheme="minorEastAsia"/>
        </w:rPr>
      </w:pPr>
      <w:r w:rsidRPr="007C5C4F">
        <w:rPr>
          <w:rFonts w:eastAsiaTheme="minorEastAsia"/>
        </w:rPr>
        <w:t>c  make every effort to locate his/her family when this is in the best interests of the child.”</w:t>
      </w:r>
    </w:p>
    <w:bookmarkStart w:name="Art26" w:id="64"/>
    <w:p w:rsidRPr="007C5C4F" w:rsidR="005E3D7B" w:rsidP="007C5C4F" w14:paraId="2BF343AC" w14:textId="00432D8A">
      <w:pPr>
        <w:pStyle w:val="JuParaLast"/>
        <w:rPr>
          <w:rFonts w:eastAsiaTheme="minorEastAsia"/>
        </w:rPr>
      </w:pPr>
      <w:r w:rsidRPr="007C5C4F">
        <w:rPr>
          <w:rStyle w:val="JuParaChar"/>
        </w:rPr>
        <w:fldChar w:fldCharType="begin"/>
      </w:r>
      <w:r w:rsidRPr="007C5C4F">
        <w:rPr>
          <w:rStyle w:val="JuParaChar"/>
        </w:rPr>
        <w:instrText xml:space="preserve"> SEQ level0 \*arabic </w:instrText>
      </w:r>
      <w:r w:rsidRPr="007C5C4F">
        <w:rPr>
          <w:rStyle w:val="JuParaChar"/>
        </w:rPr>
        <w:fldChar w:fldCharType="separate"/>
      </w:r>
      <w:r w:rsidRPr="007C5C4F" w:rsidR="007C5C4F">
        <w:rPr>
          <w:rStyle w:val="JuParaChar"/>
          <w:noProof/>
        </w:rPr>
        <w:t>103</w:t>
      </w:r>
      <w:r w:rsidRPr="007C5C4F">
        <w:rPr>
          <w:rStyle w:val="JuParaChar"/>
        </w:rPr>
        <w:fldChar w:fldCharType="end"/>
      </w:r>
      <w:bookmarkEnd w:id="64"/>
      <w:r w:rsidRPr="007C5C4F">
        <w:rPr>
          <w:rFonts w:eastAsiaTheme="minorEastAsia"/>
        </w:rPr>
        <w:t>.  Article 26 contained the following “non-punishment provision”:</w:t>
      </w:r>
    </w:p>
    <w:p w:rsidRPr="007C5C4F" w:rsidR="005E3D7B" w:rsidP="007C5C4F" w14:paraId="2E77E365" w14:textId="77777777">
      <w:pPr>
        <w:pStyle w:val="JuQuot"/>
        <w:rPr>
          <w:rFonts w:eastAsiaTheme="minorEastAsia"/>
        </w:rPr>
      </w:pPr>
      <w:r w:rsidRPr="007C5C4F">
        <w:rPr>
          <w:rFonts w:eastAsiaTheme="minorEastAsia"/>
        </w:rPr>
        <w:t>“Each Party shall, in accordance with the basic principles of its legal system, provide for the possibility of not imposing penalties on victims for their involvement in unlawful activities, to the extent that they have been compelled to do so.”</w:t>
      </w:r>
    </w:p>
    <w:p w:rsidRPr="007C5C4F" w:rsidR="005E3D7B" w:rsidP="007C5C4F" w14:paraId="485B5F3A" w14:textId="38E668B1">
      <w:pPr>
        <w:pStyle w:val="JuPara"/>
        <w:rPr>
          <w:rFonts w:eastAsiaTheme="minorEastAsia"/>
        </w:rPr>
      </w:pPr>
      <w:r w:rsidRPr="007C5C4F">
        <w:rPr>
          <w:rFonts w:eastAsiaTheme="minorEastAsia"/>
        </w:rPr>
        <w:fldChar w:fldCharType="begin"/>
      </w:r>
      <w:r w:rsidRPr="007C5C4F">
        <w:rPr>
          <w:rFonts w:eastAsiaTheme="minorEastAsia"/>
        </w:rPr>
        <w:instrText xml:space="preserve"> SEQ level0 \*arabic </w:instrText>
      </w:r>
      <w:r w:rsidRPr="007C5C4F">
        <w:rPr>
          <w:rFonts w:eastAsiaTheme="minorEastAsia"/>
        </w:rPr>
        <w:fldChar w:fldCharType="separate"/>
      </w:r>
      <w:r w:rsidRPr="007C5C4F" w:rsidR="007C5C4F">
        <w:rPr>
          <w:rFonts w:eastAsiaTheme="minorEastAsia"/>
          <w:noProof/>
        </w:rPr>
        <w:t>104</w:t>
      </w:r>
      <w:r w:rsidRPr="007C5C4F">
        <w:rPr>
          <w:rFonts w:eastAsiaTheme="minorEastAsia"/>
        </w:rPr>
        <w:fldChar w:fldCharType="end"/>
      </w:r>
      <w:r w:rsidRPr="007C5C4F">
        <w:rPr>
          <w:rFonts w:eastAsiaTheme="minorEastAsia"/>
        </w:rPr>
        <w:t>.  Article 35 provides that:</w:t>
      </w:r>
    </w:p>
    <w:p w:rsidRPr="007C5C4F" w:rsidR="005E3D7B" w:rsidP="007C5C4F" w14:paraId="7460FD1F" w14:textId="77777777">
      <w:pPr>
        <w:pStyle w:val="JuQuot"/>
        <w:rPr>
          <w:rFonts w:eastAsiaTheme="minorEastAsia"/>
        </w:rPr>
      </w:pPr>
      <w:r w:rsidRPr="007C5C4F">
        <w:rPr>
          <w:rFonts w:eastAsiaTheme="minorEastAsia"/>
        </w:rPr>
        <w:t>“Each Party shall encourage state authorities and public officials, to co-operate with nongovernmental organisations, other relevant organisations and members of civil society, in establishing strategic partnerships with the aim of achieving the purpose of this Convention.”</w:t>
      </w:r>
    </w:p>
    <w:p w:rsidRPr="007C5C4F" w:rsidR="005E3D7B" w:rsidP="007C5C4F" w14:paraId="47DB9249" w14:textId="77777777">
      <w:pPr>
        <w:pStyle w:val="JuHA"/>
        <w:ind w:left="584" w:hanging="352"/>
        <w:rPr>
          <w:rFonts w:eastAsiaTheme="minorEastAsia"/>
        </w:rPr>
      </w:pPr>
      <w:r w:rsidRPr="007C5C4F">
        <w:rPr>
          <w:rFonts w:eastAsiaTheme="minorEastAsia"/>
        </w:rPr>
        <w:t>Organization for Security and Co-operation in Europe (OSCE): Ministerial Declaration on Combating All Forms of Human Trafficking (Vilnius, 6</w:t>
      </w:r>
      <w:r w:rsidRPr="007C5C4F">
        <w:rPr>
          <w:rFonts w:eastAsiaTheme="minorEastAsia"/>
        </w:rPr>
        <w:noBreakHyphen/>
        <w:t>7 December 2011)</w:t>
      </w:r>
    </w:p>
    <w:p w:rsidRPr="007C5C4F" w:rsidR="005E3D7B" w:rsidP="007C5C4F" w14:paraId="4D87D675" w14:textId="0FBC79A7">
      <w:pPr>
        <w:pStyle w:val="JuPara"/>
      </w:pPr>
      <w:r w:rsidRPr="007C5C4F">
        <w:fldChar w:fldCharType="begin"/>
      </w:r>
      <w:r w:rsidRPr="007C5C4F">
        <w:instrText xml:space="preserve"> SEQ level0 \*arabic </w:instrText>
      </w:r>
      <w:r w:rsidRPr="007C5C4F">
        <w:fldChar w:fldCharType="separate"/>
      </w:r>
      <w:r w:rsidRPr="007C5C4F" w:rsidR="007C5C4F">
        <w:rPr>
          <w:noProof/>
        </w:rPr>
        <w:t>105</w:t>
      </w:r>
      <w:r w:rsidRPr="007C5C4F">
        <w:fldChar w:fldCharType="end"/>
      </w:r>
      <w:r w:rsidRPr="007C5C4F">
        <w:t>.  The Declaration provides, in so far as relevant, as follows:</w:t>
      </w:r>
    </w:p>
    <w:p w:rsidRPr="007C5C4F" w:rsidR="005E3D7B" w:rsidP="007C5C4F" w14:paraId="6F3B1B78" w14:textId="77777777">
      <w:pPr>
        <w:pStyle w:val="JuQuot"/>
      </w:pPr>
      <w:r w:rsidRPr="007C5C4F">
        <w:t>“8.  We promote and support multidisciplinary co-operation, cross-sectoral training and multilateral partnerships. We commend the initiatives taken by the OSCE Special Representative under the auspices of the Alliance against Trafficking in Persons and take note of the 2010 Alliance against Trafficking in Persons Conference on Unprotected Work, Invisible Exploitation: Trafficking for the Purpose of Domestic Servitude; as well as the 2011 Alliance against Trafficking in Persons Conference on Preventing Trafficking in Human Beings for Labour Exploitation: Decent Work and Social Justice; and Joint OSCE/UNODC Expert Seminar on Leveraging Anti-Money Laundering Regimes to Combat Human Trafficking.</w:t>
      </w:r>
    </w:p>
    <w:p w:rsidRPr="007C5C4F" w:rsidR="005E3D7B" w:rsidP="007C5C4F" w14:paraId="4999CA0C" w14:textId="77777777">
      <w:pPr>
        <w:pStyle w:val="JuQuot"/>
      </w:pPr>
      <w:r w:rsidRPr="007C5C4F">
        <w:t>9.  We recognize the need to enhance the criminal justice responses to human trafficking, including the prosecution of traffickers and their accomplices, while ensuring that victims are treated in a manner that respects their human rights and that they are provided with access to justice, to legal assistance, and to effective remedies and other services as applicable. We will explore investigative techniques such as financial investigations, improve information sharing relating to organized crime groups, and promote cross-border law-enforcement and judicial collaboration to identify effectively both traffickers and potential victims of human trafficking.</w:t>
      </w:r>
    </w:p>
    <w:p w:rsidRPr="007C5C4F" w:rsidR="005E3D7B" w:rsidP="007C5C4F" w14:paraId="2BE90727" w14:textId="77777777">
      <w:pPr>
        <w:pStyle w:val="JuQuot"/>
      </w:pPr>
      <w:r w:rsidRPr="007C5C4F">
        <w:t>10.  We recognize that adequate measures should be taken to ensure that, where appropriate, identified victims of human trafficking are not penalized for their involvement in unlawful activities to the extent that they have been compelled to do so. We urge participating States to implement comprehensive and appropriate measures on assistance to victims of trafficking in persons.”</w:t>
      </w:r>
    </w:p>
    <w:p w:rsidRPr="007C5C4F" w:rsidR="005E3D7B" w:rsidP="007C5C4F" w14:paraId="25C42003" w14:textId="77777777">
      <w:pPr>
        <w:pStyle w:val="JuHIRoman"/>
        <w:tabs>
          <w:tab w:val="clear" w:pos="454"/>
          <w:tab w:val="clear" w:pos="567"/>
          <w:tab w:val="clear" w:pos="680"/>
        </w:tabs>
        <w:ind w:left="357" w:hanging="357"/>
        <w:jc w:val="left"/>
        <w:rPr>
          <w:rFonts w:eastAsiaTheme="minorEastAsia"/>
        </w:rPr>
      </w:pPr>
      <w:r w:rsidRPr="007C5C4F">
        <w:rPr>
          <w:rFonts w:eastAsiaTheme="minorEastAsia"/>
        </w:rPr>
        <w:t>Relevant european union law</w:t>
      </w:r>
    </w:p>
    <w:bookmarkStart w:name="EUDir" w:id="65"/>
    <w:p w:rsidRPr="007C5C4F" w:rsidR="005E3D7B" w:rsidP="007C5C4F" w14:paraId="700CD972" w14:textId="1C8B1431">
      <w:pPr>
        <w:spacing w:after="75"/>
        <w:jc w:val="both"/>
      </w:pPr>
      <w:r w:rsidRPr="007C5C4F">
        <w:fldChar w:fldCharType="begin"/>
      </w:r>
      <w:r w:rsidRPr="007C5C4F">
        <w:instrText xml:space="preserve"> SEQ level0 \*arabic </w:instrText>
      </w:r>
      <w:r w:rsidRPr="007C5C4F">
        <w:fldChar w:fldCharType="separate"/>
      </w:r>
      <w:r w:rsidRPr="007C5C4F" w:rsidR="007C5C4F">
        <w:rPr>
          <w:noProof/>
        </w:rPr>
        <w:t>106</w:t>
      </w:r>
      <w:r w:rsidRPr="007C5C4F">
        <w:fldChar w:fldCharType="end"/>
      </w:r>
      <w:bookmarkEnd w:id="65"/>
      <w:r w:rsidRPr="007C5C4F">
        <w:t xml:space="preserve">.  Directive 2011/36/EU </w:t>
      </w:r>
      <w:r w:rsidRPr="007C5C4F">
        <w:rPr>
          <w:rFonts w:ascii="Times New Roman" w:hAnsi="Times New Roman" w:eastAsia="Times New Roman" w:cs="Times New Roman"/>
          <w:color w:val="333333"/>
          <w:lang w:eastAsia="fr-FR"/>
        </w:rPr>
        <w:t xml:space="preserve">of the European Parliament and of the Council of 5 April 2011 </w:t>
      </w:r>
      <w:r w:rsidRPr="007C5C4F">
        <w:t xml:space="preserve">on preventing and combating trafficking in human beings and protecting its victims, and replacing Council Framework Decision 2002/629/JHA, OJ 2011 L 101, p. 1 (“the Anti-Trafficking Directive”), </w:t>
      </w:r>
      <w:r w:rsidRPr="007C5C4F">
        <w:rPr>
          <w:rFonts w:eastAsiaTheme="minorEastAsia"/>
          <w:szCs w:val="22"/>
        </w:rPr>
        <w:t>provides in its relevant parts as follows:</w:t>
      </w:r>
    </w:p>
    <w:p w:rsidRPr="007C5C4F" w:rsidR="005E3D7B" w:rsidP="007C5C4F" w14:paraId="37FED9C2" w14:textId="77777777">
      <w:pPr>
        <w:pStyle w:val="JuQuot"/>
      </w:pPr>
      <w:r w:rsidRPr="007C5C4F">
        <w:t>“Recital (14)  Victims of trafficking in human beings should, in accordance with the basic principles of the legal systems of the relevant Member States, be protected from prosecution or punishment for criminal activities such as the use of false documents, or offences under legislation on prostitution or immigration, that they have been compelled to commit as a direct consequence of being subject to trafficking. The aim of such protection is to safeguard the human rights of victims, to avoid further victimisation and to encourage them to act as witnesses in criminal proceedings against the perpetrators. This safeguard should not exclude prosecution or punishment for offences that a person has voluntarily committed or participated in.”</w:t>
      </w:r>
    </w:p>
    <w:p w:rsidRPr="007C5C4F" w:rsidR="005E3D7B" w:rsidP="007C5C4F" w14:paraId="46F4BE51" w14:textId="77777777">
      <w:pPr>
        <w:pStyle w:val="JuQuot"/>
        <w:keepNext/>
        <w:keepLines/>
        <w:ind w:left="0" w:firstLine="0"/>
        <w:jc w:val="center"/>
        <w:rPr>
          <w:rFonts w:eastAsiaTheme="minorEastAsia"/>
          <w:b/>
          <w:bCs/>
        </w:rPr>
      </w:pPr>
      <w:r w:rsidRPr="007C5C4F">
        <w:rPr>
          <w:rFonts w:eastAsiaTheme="minorEastAsia"/>
          <w:b/>
          <w:bCs/>
        </w:rPr>
        <w:t>Article 2</w:t>
      </w:r>
    </w:p>
    <w:p w:rsidRPr="007C5C4F" w:rsidR="005E3D7B" w:rsidP="007C5C4F" w14:paraId="36361746" w14:textId="77777777">
      <w:pPr>
        <w:pStyle w:val="JuQuot"/>
        <w:keepNext/>
        <w:keepLines/>
        <w:ind w:left="0" w:firstLine="0"/>
        <w:jc w:val="center"/>
        <w:rPr>
          <w:rFonts w:eastAsiaTheme="minorEastAsia"/>
          <w:b/>
          <w:bCs/>
        </w:rPr>
      </w:pPr>
      <w:r w:rsidRPr="007C5C4F">
        <w:rPr>
          <w:rFonts w:eastAsiaTheme="minorEastAsia"/>
          <w:b/>
          <w:bCs/>
        </w:rPr>
        <w:t>Offences concerning trafficking in human beings</w:t>
      </w:r>
    </w:p>
    <w:p w:rsidRPr="007C5C4F" w:rsidR="005E3D7B" w:rsidP="007C5C4F" w14:paraId="542796D8" w14:textId="77777777">
      <w:pPr>
        <w:pStyle w:val="JuQuot"/>
        <w:rPr>
          <w:rFonts w:eastAsiaTheme="minorEastAsia"/>
        </w:rPr>
      </w:pPr>
      <w:r w:rsidRPr="007C5C4F">
        <w:rPr>
          <w:rFonts w:eastAsiaTheme="minorEastAsia"/>
        </w:rPr>
        <w:t>“1.  Member States shall take the necessary measures to ensure that the following intentional acts are punishable:</w:t>
      </w:r>
    </w:p>
    <w:p w:rsidRPr="007C5C4F" w:rsidR="005E3D7B" w:rsidP="007C5C4F" w14:paraId="0DD2C213" w14:textId="77777777">
      <w:pPr>
        <w:pStyle w:val="JuQuot"/>
        <w:rPr>
          <w:rFonts w:eastAsiaTheme="minorEastAsia"/>
        </w:rPr>
      </w:pPr>
      <w:r w:rsidRPr="007C5C4F">
        <w:rPr>
          <w:rFonts w:eastAsiaTheme="minorEastAsia"/>
        </w:rPr>
        <w:t>The recruitment, transportation, transfer, harbouring or reception of persons, including the exchange or transfer of control over those persons, by means of the threat or use of force or other forms of coercion, of abduction, of fraud, of deception, of the abuse of power or of a position of vulnerability or of the giving or receiving of payments or benefits to achieve the consent of a person having control over another person, for the purpose of exploitation.</w:t>
      </w:r>
    </w:p>
    <w:p w:rsidRPr="007C5C4F" w:rsidR="005E3D7B" w:rsidP="007C5C4F" w14:paraId="696C1211" w14:textId="77777777">
      <w:pPr>
        <w:pStyle w:val="JuQuot"/>
        <w:rPr>
          <w:rFonts w:eastAsiaTheme="minorEastAsia"/>
        </w:rPr>
      </w:pPr>
      <w:r w:rsidRPr="007C5C4F">
        <w:rPr>
          <w:rFonts w:eastAsiaTheme="minorEastAsia"/>
        </w:rPr>
        <w:t>2.  A position of vulnerability means a situation in which the person concerned has no real or acceptable alternative but to submit to the abuse involved.</w:t>
      </w:r>
    </w:p>
    <w:p w:rsidRPr="007C5C4F" w:rsidR="005E3D7B" w:rsidP="007C5C4F" w14:paraId="71FDF4BC" w14:textId="77777777">
      <w:pPr>
        <w:pStyle w:val="JuQuot"/>
        <w:rPr>
          <w:rFonts w:eastAsiaTheme="minorEastAsia"/>
        </w:rPr>
      </w:pPr>
      <w:r w:rsidRPr="007C5C4F">
        <w:rPr>
          <w:rFonts w:eastAsiaTheme="minorEastAsia"/>
        </w:rPr>
        <w:t>3.  Exploitation shall include, as a minimum, the exploitation of the prostitution of others or other forms of sexual exploitation, forced labour or services, including begging, slavery or practices similar to slavery, servitude, or the exploitation of criminal activities, or the removal of organs.</w:t>
      </w:r>
    </w:p>
    <w:p w:rsidRPr="007C5C4F" w:rsidR="005E3D7B" w:rsidP="007C5C4F" w14:paraId="36A2B2FA" w14:textId="77777777">
      <w:pPr>
        <w:pStyle w:val="JuQuot"/>
        <w:rPr>
          <w:rFonts w:eastAsiaTheme="minorEastAsia"/>
        </w:rPr>
      </w:pPr>
      <w:r w:rsidRPr="007C5C4F">
        <w:rPr>
          <w:rFonts w:eastAsiaTheme="minorEastAsia"/>
        </w:rPr>
        <w:t>4.  The consent of a victim of trafficking in human beings to the exploitation, whether intended or actual, shall be irrelevant where any of the means set forth in paragraph 1 has been used.</w:t>
      </w:r>
    </w:p>
    <w:p w:rsidRPr="007C5C4F" w:rsidR="005E3D7B" w:rsidP="007C5C4F" w14:paraId="1AB90334" w14:textId="77777777">
      <w:pPr>
        <w:pStyle w:val="JuQuot"/>
        <w:rPr>
          <w:rFonts w:eastAsiaTheme="minorEastAsia"/>
        </w:rPr>
      </w:pPr>
      <w:r w:rsidRPr="007C5C4F">
        <w:rPr>
          <w:rFonts w:eastAsiaTheme="minorEastAsia"/>
        </w:rPr>
        <w:t>5.  When the conduct referred to in paragraph 1 involves a child, it shall be a punishable offence of trafficking in human beings even if none of the means set forth in paragraph 1 has been used.</w:t>
      </w:r>
    </w:p>
    <w:p w:rsidRPr="007C5C4F" w:rsidR="005E3D7B" w:rsidP="007C5C4F" w14:paraId="46BCA853" w14:textId="2999C047">
      <w:pPr>
        <w:pStyle w:val="JuQuot"/>
        <w:rPr>
          <w:rFonts w:eastAsiaTheme="minorEastAsia"/>
        </w:rPr>
      </w:pPr>
      <w:r w:rsidRPr="007C5C4F">
        <w:rPr>
          <w:rFonts w:eastAsiaTheme="minorEastAsia"/>
        </w:rPr>
        <w:t xml:space="preserve">6.  For the purpose of this Directive, </w:t>
      </w:r>
      <w:r w:rsidRPr="007C5C4F" w:rsidR="007C5C4F">
        <w:rPr>
          <w:rFonts w:eastAsiaTheme="minorEastAsia"/>
        </w:rPr>
        <w:t>‘</w:t>
      </w:r>
      <w:r w:rsidRPr="007C5C4F">
        <w:rPr>
          <w:rFonts w:eastAsiaTheme="minorEastAsia"/>
        </w:rPr>
        <w:t>child</w:t>
      </w:r>
      <w:r w:rsidRPr="007C5C4F" w:rsidR="007C5C4F">
        <w:rPr>
          <w:rFonts w:eastAsiaTheme="minorEastAsia"/>
        </w:rPr>
        <w:t>’</w:t>
      </w:r>
      <w:r w:rsidRPr="007C5C4F">
        <w:rPr>
          <w:rFonts w:eastAsiaTheme="minorEastAsia"/>
        </w:rPr>
        <w:t xml:space="preserve"> shall mean any person below 18 years of age.”</w:t>
      </w:r>
    </w:p>
    <w:p w:rsidRPr="007C5C4F" w:rsidR="005E3D7B" w:rsidP="007C5C4F" w14:paraId="4E92481A" w14:textId="77777777">
      <w:pPr>
        <w:pStyle w:val="JuQuot"/>
        <w:ind w:left="0" w:firstLine="0"/>
        <w:jc w:val="center"/>
        <w:rPr>
          <w:rFonts w:eastAsiaTheme="minorEastAsia"/>
          <w:b/>
          <w:bCs/>
          <w:iCs/>
        </w:rPr>
      </w:pPr>
      <w:r w:rsidRPr="007C5C4F">
        <w:rPr>
          <w:rFonts w:eastAsiaTheme="minorEastAsia"/>
          <w:b/>
          <w:bCs/>
          <w:iCs/>
        </w:rPr>
        <w:t>Article 8</w:t>
      </w:r>
    </w:p>
    <w:p w:rsidRPr="007C5C4F" w:rsidR="005E3D7B" w:rsidP="007C5C4F" w14:paraId="5CE4E004" w14:textId="77777777">
      <w:pPr>
        <w:pStyle w:val="JuQuot"/>
        <w:ind w:left="0" w:firstLine="0"/>
        <w:jc w:val="center"/>
        <w:rPr>
          <w:rFonts w:eastAsiaTheme="minorEastAsia"/>
          <w:b/>
          <w:bCs/>
          <w:iCs/>
        </w:rPr>
      </w:pPr>
      <w:r w:rsidRPr="007C5C4F">
        <w:rPr>
          <w:rFonts w:eastAsiaTheme="minorEastAsia"/>
          <w:b/>
          <w:bCs/>
          <w:iCs/>
        </w:rPr>
        <w:t>Non-prosecution or non-application of penalties to the victim</w:t>
      </w:r>
    </w:p>
    <w:p w:rsidRPr="007C5C4F" w:rsidR="005E3D7B" w:rsidP="007C5C4F" w14:paraId="5372D9BC" w14:textId="77777777">
      <w:pPr>
        <w:pStyle w:val="JuQuot"/>
        <w:rPr>
          <w:rFonts w:eastAsiaTheme="minorEastAsia"/>
        </w:rPr>
      </w:pPr>
      <w:r w:rsidRPr="007C5C4F">
        <w:rPr>
          <w:rFonts w:eastAsiaTheme="minorEastAsia"/>
        </w:rPr>
        <w:t>“Member States shall, in accordance with the basic principles of their legal systems, take the necessary measures to ensure that competent national authorities are entitled not to prosecute or impose penalties on victims of trafficking in human beings for their involvement in criminal activities which they have been compelled to commit as a direct consequence of being subjected to any of the acts referred to in Article 2.”</w:t>
      </w:r>
    </w:p>
    <w:p w:rsidRPr="007C5C4F" w:rsidR="005E3D7B" w:rsidP="007C5C4F" w14:paraId="7817EACB" w14:textId="77777777">
      <w:pPr>
        <w:pStyle w:val="JuQuot"/>
        <w:ind w:left="0" w:firstLine="0"/>
        <w:jc w:val="center"/>
        <w:rPr>
          <w:rFonts w:eastAsiaTheme="minorEastAsia"/>
          <w:b/>
          <w:bCs/>
          <w:iCs/>
        </w:rPr>
      </w:pPr>
      <w:r w:rsidRPr="007C5C4F">
        <w:rPr>
          <w:rFonts w:eastAsiaTheme="minorEastAsia"/>
          <w:b/>
          <w:bCs/>
          <w:iCs/>
        </w:rPr>
        <w:t>Article 9</w:t>
      </w:r>
    </w:p>
    <w:p w:rsidRPr="007C5C4F" w:rsidR="005E3D7B" w:rsidP="007C5C4F" w14:paraId="4897645B" w14:textId="77777777">
      <w:pPr>
        <w:pStyle w:val="JuQuot"/>
        <w:ind w:left="0" w:firstLine="0"/>
        <w:jc w:val="center"/>
        <w:rPr>
          <w:rFonts w:eastAsiaTheme="minorEastAsia"/>
          <w:b/>
          <w:bCs/>
          <w:iCs/>
        </w:rPr>
      </w:pPr>
      <w:r w:rsidRPr="007C5C4F">
        <w:rPr>
          <w:rFonts w:eastAsiaTheme="minorEastAsia"/>
          <w:b/>
          <w:bCs/>
          <w:iCs/>
        </w:rPr>
        <w:t>Investigation and prosecution</w:t>
      </w:r>
    </w:p>
    <w:p w:rsidRPr="007C5C4F" w:rsidR="005E3D7B" w:rsidP="007C5C4F" w14:paraId="72F1E593" w14:textId="77777777">
      <w:pPr>
        <w:pStyle w:val="JuQuot"/>
        <w:rPr>
          <w:rFonts w:eastAsiaTheme="minorEastAsia"/>
        </w:rPr>
      </w:pPr>
      <w:r w:rsidRPr="007C5C4F">
        <w:rPr>
          <w:rFonts w:eastAsiaTheme="minorEastAsia"/>
        </w:rPr>
        <w:t>“1.  Member States shall ensure that investigation into or prosecution of offences referred to in Articles 2 and 3 is not dependent on reporting or accusation by a victim and that criminal proceedings may continue even if the victim has withdrawn his or her statement.</w:t>
      </w:r>
    </w:p>
    <w:p w:rsidRPr="007C5C4F" w:rsidR="005E3D7B" w:rsidP="007C5C4F" w14:paraId="45013588" w14:textId="77777777">
      <w:pPr>
        <w:pStyle w:val="JuQuot"/>
        <w:rPr>
          <w:rFonts w:eastAsiaTheme="minorEastAsia"/>
        </w:rPr>
      </w:pPr>
      <w:r w:rsidRPr="007C5C4F">
        <w:rPr>
          <w:rFonts w:eastAsiaTheme="minorEastAsia"/>
        </w:rPr>
        <w:t>2.  Member States shall take the necessary measures to enable, where the nature of the act calls for it, the prosecution of an offence referred to in Articles 2 and 3 for a sufficient period of time after the victim has reached the age of majority.</w:t>
      </w:r>
    </w:p>
    <w:p w:rsidRPr="007C5C4F" w:rsidR="005E3D7B" w:rsidP="007C5C4F" w14:paraId="5A6F896E" w14:textId="77777777">
      <w:pPr>
        <w:pStyle w:val="JuQuot"/>
        <w:rPr>
          <w:rFonts w:eastAsiaTheme="minorEastAsia"/>
        </w:rPr>
      </w:pPr>
      <w:r w:rsidRPr="007C5C4F">
        <w:rPr>
          <w:rFonts w:eastAsiaTheme="minorEastAsia"/>
        </w:rPr>
        <w:t>3.  Member States shall take the necessary measures to ensure that persons, units or services responsible for investigating or prosecuting the offences referred to in Articles 2 and 3 are trained accordingly.</w:t>
      </w:r>
    </w:p>
    <w:p w:rsidRPr="007C5C4F" w:rsidR="005E3D7B" w:rsidP="007C5C4F" w14:paraId="03F837CD" w14:textId="77777777">
      <w:pPr>
        <w:pStyle w:val="JuQuot"/>
        <w:rPr>
          <w:rFonts w:eastAsiaTheme="minorEastAsia"/>
        </w:rPr>
      </w:pPr>
      <w:r w:rsidRPr="007C5C4F">
        <w:rPr>
          <w:rFonts w:eastAsiaTheme="minorEastAsia"/>
        </w:rPr>
        <w:t>4.  Member States shall take the necessary measures to ensure that effective investigative tools, such as those which are used in organised crime or other serious crime cases are available to persons, units or services responsible for investigating or prosecuting the offences referred to in Articles 2 and 3.”</w:t>
      </w:r>
    </w:p>
    <w:p w:rsidRPr="007C5C4F" w:rsidR="005E3D7B" w:rsidP="007C5C4F" w14:paraId="64816A18" w14:textId="0D0109AF">
      <w:pPr>
        <w:pStyle w:val="JuPara"/>
        <w:rPr>
          <w:rFonts w:eastAsiaTheme="minorEastAsia"/>
        </w:rPr>
      </w:pPr>
      <w:r w:rsidRPr="007C5C4F">
        <w:rPr>
          <w:rFonts w:eastAsiaTheme="minorEastAsia"/>
        </w:rPr>
        <w:fldChar w:fldCharType="begin"/>
      </w:r>
      <w:r w:rsidRPr="007C5C4F">
        <w:rPr>
          <w:rFonts w:eastAsiaTheme="minorEastAsia"/>
        </w:rPr>
        <w:instrText xml:space="preserve"> SEQ level0 \*arabic </w:instrText>
      </w:r>
      <w:r w:rsidRPr="007C5C4F">
        <w:rPr>
          <w:rFonts w:eastAsiaTheme="minorEastAsia"/>
        </w:rPr>
        <w:fldChar w:fldCharType="separate"/>
      </w:r>
      <w:r w:rsidRPr="007C5C4F" w:rsidR="007C5C4F">
        <w:rPr>
          <w:rFonts w:eastAsiaTheme="minorEastAsia"/>
          <w:noProof/>
        </w:rPr>
        <w:t>107</w:t>
      </w:r>
      <w:r w:rsidRPr="007C5C4F">
        <w:rPr>
          <w:rFonts w:eastAsiaTheme="minorEastAsia"/>
        </w:rPr>
        <w:fldChar w:fldCharType="end"/>
      </w:r>
      <w:r w:rsidRPr="007C5C4F">
        <w:rPr>
          <w:rFonts w:eastAsiaTheme="minorEastAsia"/>
        </w:rPr>
        <w:t>.  Member States were required to bring into force the laws, regulations and administrative provisions necessary to comply with the Directive by 6 April 2013.</w:t>
      </w:r>
    </w:p>
    <w:p w:rsidRPr="007C5C4F" w:rsidR="005E3D7B" w:rsidP="007C5C4F" w14:paraId="53D00484" w14:textId="77777777">
      <w:pPr>
        <w:pStyle w:val="JuHHead"/>
        <w:numPr>
          <w:ilvl w:val="0"/>
          <w:numId w:val="1"/>
        </w:numPr>
        <w:jc w:val="left"/>
      </w:pPr>
      <w:r w:rsidRPr="007C5C4F">
        <w:t>THE LAW</w:t>
      </w:r>
    </w:p>
    <w:p w:rsidRPr="007C5C4F" w:rsidR="005E3D7B" w:rsidP="007C5C4F" w14:paraId="6E4A2812" w14:textId="77777777">
      <w:pPr>
        <w:pStyle w:val="JuHIRoman"/>
        <w:numPr>
          <w:ilvl w:val="1"/>
          <w:numId w:val="4"/>
        </w:numPr>
        <w:tabs>
          <w:tab w:val="clear" w:pos="454"/>
          <w:tab w:val="clear" w:pos="567"/>
          <w:tab w:val="clear" w:pos="680"/>
        </w:tabs>
        <w:ind w:left="357" w:hanging="357"/>
        <w:jc w:val="left"/>
      </w:pPr>
      <w:r w:rsidRPr="007C5C4F">
        <w:t>JOINDER OF THE APPLICATIONS</w:t>
      </w:r>
    </w:p>
    <w:p w:rsidRPr="007C5C4F" w:rsidR="005E3D7B" w:rsidP="007C5C4F" w14:paraId="2DF03EDD" w14:textId="71B4C527">
      <w:pPr>
        <w:pStyle w:val="JuPara"/>
      </w:pPr>
      <w:r w:rsidRPr="007C5C4F">
        <w:fldChar w:fldCharType="begin"/>
      </w:r>
      <w:r w:rsidRPr="007C5C4F">
        <w:instrText xml:space="preserve"> SEQ level0 \*arabic </w:instrText>
      </w:r>
      <w:r w:rsidRPr="007C5C4F">
        <w:fldChar w:fldCharType="separate"/>
      </w:r>
      <w:r w:rsidRPr="007C5C4F" w:rsidR="007C5C4F">
        <w:rPr>
          <w:noProof/>
        </w:rPr>
        <w:t>108</w:t>
      </w:r>
      <w:r w:rsidRPr="007C5C4F">
        <w:fldChar w:fldCharType="end"/>
      </w:r>
      <w:r w:rsidRPr="007C5C4F">
        <w:t>.  Having regard to the similar subject matter of the applications, the Court finds it appropriate to examine them jointly in a single judgment.</w:t>
      </w:r>
    </w:p>
    <w:p w:rsidRPr="007C5C4F" w:rsidR="005E3D7B" w:rsidP="007C5C4F" w14:paraId="74A875BB" w14:textId="77777777">
      <w:pPr>
        <w:pStyle w:val="JuHIRoman"/>
        <w:tabs>
          <w:tab w:val="clear" w:pos="454"/>
          <w:tab w:val="clear" w:pos="567"/>
          <w:tab w:val="clear" w:pos="680"/>
        </w:tabs>
        <w:ind w:left="357" w:hanging="357"/>
      </w:pPr>
      <w:r w:rsidRPr="007C5C4F">
        <w:t>ALLEGED VIOLATION OF ARTICLE 4 OF THE CONVENTION</w:t>
      </w:r>
    </w:p>
    <w:p w:rsidRPr="007C5C4F" w:rsidR="005E3D7B" w:rsidP="007C5C4F" w14:paraId="7DB971C7" w14:textId="1852A1B0">
      <w:pPr>
        <w:pStyle w:val="JuPara"/>
      </w:pPr>
      <w:r w:rsidRPr="007C5C4F">
        <w:fldChar w:fldCharType="begin"/>
      </w:r>
      <w:r w:rsidRPr="007C5C4F">
        <w:instrText xml:space="preserve"> SEQ level0 \*arabic </w:instrText>
      </w:r>
      <w:r w:rsidRPr="007C5C4F">
        <w:fldChar w:fldCharType="separate"/>
      </w:r>
      <w:r w:rsidRPr="007C5C4F" w:rsidR="007C5C4F">
        <w:rPr>
          <w:noProof/>
        </w:rPr>
        <w:t>109</w:t>
      </w:r>
      <w:r w:rsidRPr="007C5C4F">
        <w:fldChar w:fldCharType="end"/>
      </w:r>
      <w:r w:rsidRPr="007C5C4F">
        <w:t>.  The first applicant complained under Article 4 of the Convention that the Crown Prosecution Service (the CPS) had failed adequately to protect him in the aftermath of the trafficking, and that there was a failure properly to implement Article 26 of the Anti-Trafficking Convention. He later revised his complaints to argue that during the criminal proceedings the police and the CPS had failed to conduct an Article 4-compliant investigation into whether he had been trafficked; and that there had been a failure to adopt operational measures to protect him.</w:t>
      </w:r>
    </w:p>
    <w:p w:rsidRPr="007C5C4F" w:rsidR="005E3D7B" w:rsidP="007C5C4F" w14:paraId="4E4EE065" w14:textId="40FF0F2A">
      <w:pPr>
        <w:pStyle w:val="JuPara"/>
      </w:pPr>
      <w:r w:rsidRPr="007C5C4F">
        <w:fldChar w:fldCharType="begin"/>
      </w:r>
      <w:r w:rsidRPr="007C5C4F">
        <w:instrText xml:space="preserve"> SEQ level0 \*arabic </w:instrText>
      </w:r>
      <w:r w:rsidRPr="007C5C4F">
        <w:fldChar w:fldCharType="separate"/>
      </w:r>
      <w:r w:rsidRPr="007C5C4F" w:rsidR="007C5C4F">
        <w:rPr>
          <w:noProof/>
        </w:rPr>
        <w:t>110</w:t>
      </w:r>
      <w:r w:rsidRPr="007C5C4F">
        <w:fldChar w:fldCharType="end"/>
      </w:r>
      <w:r w:rsidRPr="007C5C4F">
        <w:t>.  The second applicant complained that his prosecution had violated Article 4 of the Convention because there had been a failure by the police, prosecutors and judiciary to identify him as a victim of trafficking prior to his criminal conviction, this having prevented the authorities from providing him with the protection he required; that the legal framework in place at the time coupled with the limited availability of judicial intervention had deprived him of the protection he was entitled to as a victim of trafficking; and that his prosecution, conviction and incarceration meant that until he was identified as a victim of trafficking after his conviction, he had been deprived of the protection to which he was entitled and of the possibility of seeing his traffickers investigated and brought to justice. He later revised his submissions to further argue that the United Kingdom had failed to comply with its duty to investigate his traffickers; that it had failed in its duty to identify him as a victim of trafficking when he first came to the attention of the authorities; that it had failed to apply the appropriate test to identify a child victim of trafficking, and that the Court of Appeal had applied a test of compulsion which was prohibited by law; and that it had failed to honour the non-criminalisation of victims of trafficking for status-related offences.</w:t>
      </w:r>
    </w:p>
    <w:p w:rsidRPr="007C5C4F" w:rsidR="005E3D7B" w:rsidP="007C5C4F" w14:paraId="43035B55" w14:textId="02ED79B2">
      <w:pPr>
        <w:pStyle w:val="JuPara"/>
      </w:pPr>
      <w:r w:rsidRPr="007C5C4F">
        <w:fldChar w:fldCharType="begin"/>
      </w:r>
      <w:r w:rsidRPr="007C5C4F">
        <w:instrText xml:space="preserve"> SEQ level0 \*arabic </w:instrText>
      </w:r>
      <w:r w:rsidRPr="007C5C4F">
        <w:fldChar w:fldCharType="separate"/>
      </w:r>
      <w:r w:rsidRPr="007C5C4F" w:rsidR="007C5C4F">
        <w:rPr>
          <w:noProof/>
        </w:rPr>
        <w:t>111</w:t>
      </w:r>
      <w:r w:rsidRPr="007C5C4F">
        <w:fldChar w:fldCharType="end"/>
      </w:r>
      <w:r w:rsidRPr="007C5C4F">
        <w:t>.  The relevant parts of Article 4 of the Convention read as follows:</w:t>
      </w:r>
    </w:p>
    <w:p w:rsidRPr="007C5C4F" w:rsidR="005E3D7B" w:rsidP="007C5C4F" w14:paraId="72D3A125" w14:textId="77777777">
      <w:pPr>
        <w:pStyle w:val="JuQuot"/>
      </w:pPr>
      <w:r w:rsidRPr="007C5C4F">
        <w:t>“1.  No one shall be held in slavery or servitude.</w:t>
      </w:r>
    </w:p>
    <w:p w:rsidRPr="007C5C4F" w:rsidR="005E3D7B" w:rsidP="007C5C4F" w14:paraId="3BD9FD68" w14:textId="77777777">
      <w:pPr>
        <w:pStyle w:val="JuQuot"/>
      </w:pPr>
      <w:r w:rsidRPr="007C5C4F">
        <w:t>2.  No one shall be required to perform forced or compulsory labour.”</w:t>
      </w:r>
    </w:p>
    <w:p w:rsidRPr="007C5C4F" w:rsidR="005E3D7B" w:rsidP="007C5C4F" w14:paraId="34DB4717" w14:textId="77777777">
      <w:pPr>
        <w:pStyle w:val="JuHA"/>
      </w:pPr>
      <w:r w:rsidRPr="007C5C4F">
        <w:t>The scope of the present complaints</w:t>
      </w:r>
    </w:p>
    <w:p w:rsidRPr="007C5C4F" w:rsidR="005E3D7B" w:rsidP="007C5C4F" w14:paraId="5B42FBB2" w14:textId="598E3A39">
      <w:pPr>
        <w:pStyle w:val="JuPara"/>
      </w:pPr>
      <w:r w:rsidRPr="007C5C4F">
        <w:fldChar w:fldCharType="begin"/>
      </w:r>
      <w:r w:rsidRPr="007C5C4F">
        <w:instrText xml:space="preserve"> SEQ level0 \*arabic </w:instrText>
      </w:r>
      <w:r w:rsidRPr="007C5C4F">
        <w:fldChar w:fldCharType="separate"/>
      </w:r>
      <w:r w:rsidRPr="007C5C4F" w:rsidR="007C5C4F">
        <w:rPr>
          <w:noProof/>
        </w:rPr>
        <w:t>112</w:t>
      </w:r>
      <w:r w:rsidRPr="007C5C4F">
        <w:fldChar w:fldCharType="end"/>
      </w:r>
      <w:r w:rsidRPr="007C5C4F">
        <w:t>.  It is important at the outset to clarify the scope of the Article 4 complaint before the Court. The applicants</w:t>
      </w:r>
      <w:r w:rsidRPr="007C5C4F" w:rsidR="007C5C4F">
        <w:t>’</w:t>
      </w:r>
      <w:r w:rsidRPr="007C5C4F">
        <w:t xml:space="preserve"> principal complaint is that by prosecuting them for criminal offences connected to their work in the cannabis factories, the State failed in its duty to protect them as victims of trafficking. They did not contend that the State had failed to prohibit or punish trafficking, and while they suggested that the measures taken to investigate and punish their traffickers had themselves been inadequate, no such complaint was ventilated by either applicant before the domestic courts and as such it cannot now be considered by the Court.</w:t>
      </w:r>
    </w:p>
    <w:p w:rsidRPr="007C5C4F" w:rsidR="005E3D7B" w:rsidP="007C5C4F" w14:paraId="33BEBA4D" w14:textId="703210D9">
      <w:pPr>
        <w:pStyle w:val="JuPara"/>
      </w:pPr>
      <w:r w:rsidRPr="007C5C4F">
        <w:fldChar w:fldCharType="begin"/>
      </w:r>
      <w:r w:rsidRPr="007C5C4F">
        <w:instrText xml:space="preserve"> SEQ level0 \*arabic </w:instrText>
      </w:r>
      <w:r w:rsidRPr="007C5C4F">
        <w:fldChar w:fldCharType="separate"/>
      </w:r>
      <w:r w:rsidRPr="007C5C4F" w:rsidR="007C5C4F">
        <w:rPr>
          <w:noProof/>
        </w:rPr>
        <w:t>113</w:t>
      </w:r>
      <w:r w:rsidRPr="007C5C4F">
        <w:fldChar w:fldCharType="end"/>
      </w:r>
      <w:r w:rsidRPr="007C5C4F">
        <w:t xml:space="preserve">.  In support of their claims the applicants have relied heavily on Article 26 of the Anti-Trafficking Convention, which requires Contracting States to provide for the possibility of not imposing penalties on victims of trafficking for their involvement in unlawful activities to the extent that they have been compelled to act as they did (see paragraph </w:t>
      </w:r>
      <w:r w:rsidRPr="007C5C4F">
        <w:fldChar w:fldCharType="begin"/>
      </w:r>
      <w:r w:rsidRPr="007C5C4F">
        <w:instrText xml:space="preserve"> REF Art26 \h  \* MERGEFORMAT </w:instrText>
      </w:r>
      <w:r w:rsidRPr="007C5C4F">
        <w:fldChar w:fldCharType="separate"/>
      </w:r>
      <w:r w:rsidRPr="007C5C4F" w:rsidR="007C5C4F">
        <w:rPr>
          <w:rStyle w:val="JuParaChar"/>
          <w:noProof/>
        </w:rPr>
        <w:t>103</w:t>
      </w:r>
      <w:r w:rsidRPr="007C5C4F">
        <w:fldChar w:fldCharType="end"/>
      </w:r>
      <w:r w:rsidRPr="007C5C4F">
        <w:t xml:space="preserve"> above). In particular, they argued that the respondent State had failed to comply with that duty and that the CPS and the domestic courts had wrongly looked for evidence that the applicants had been compelled to commit the criminal offences, even though both the Anti-Trafficking Convention and the Anti-Trafficking Directive clearly stated that children might be recognised as victims of trafficking in the absence of any means of compulsion. For the Court, however, the issue in the present case is not that the State did not make provision for not punishing victims of trafficking, or that, having accepted that the applicants were victims of trafficking, the authorities did not consider that the applicants had been compelled to commit the criminal offences. Rather, the issue is that the CPS, in its original decisions to prosecute and/or in subsequent reviews of those decisions, disagreed with the conclusions of the Competent Authority and found that the applicants were not in fact victims of trafficking, and this conclusion was held by the Court of Appeal to have been amply justified. Therefore, in the Court</w:t>
      </w:r>
      <w:r w:rsidRPr="007C5C4F" w:rsidR="007C5C4F">
        <w:t>’</w:t>
      </w:r>
      <w:r w:rsidRPr="007C5C4F">
        <w:t>s view the above-mentioned issues do not, in fact, arise on the facts of the case at hand. In any case, the Court</w:t>
      </w:r>
      <w:r w:rsidRPr="007C5C4F" w:rsidR="007C5C4F">
        <w:t>’</w:t>
      </w:r>
      <w:r w:rsidRPr="007C5C4F">
        <w:t xml:space="preserve">s jurisdiction is limited to the European Convention on Human Rights. It has no competence to interpret the provisions of the Anti-Trafficking Convention or to assess the compliance of the respondent State with the standards contained therein (see, </w:t>
      </w:r>
      <w:r w:rsidRPr="007C5C4F">
        <w:rPr>
          <w:i/>
          <w:iCs/>
        </w:rPr>
        <w:t>mutatis mutandis</w:t>
      </w:r>
      <w:r w:rsidRPr="007C5C4F">
        <w:t xml:space="preserve">, </w:t>
      </w:r>
      <w:r w:rsidRPr="007C5C4F">
        <w:rPr>
          <w:i/>
          <w:iCs/>
        </w:rPr>
        <w:t>National Union of Rail, Maritime and Transport Workers v. the United Kingdom</w:t>
      </w:r>
      <w:r w:rsidRPr="007C5C4F">
        <w:t>, no. 31045/10, § 106, ECHR 2014).</w:t>
      </w:r>
    </w:p>
    <w:p w:rsidRPr="007C5C4F" w:rsidR="005E3D7B" w:rsidP="007C5C4F" w14:paraId="36FDDF42" w14:textId="109BE499">
      <w:pPr>
        <w:pStyle w:val="JuPara"/>
      </w:pPr>
      <w:r w:rsidRPr="007C5C4F">
        <w:fldChar w:fldCharType="begin"/>
      </w:r>
      <w:r w:rsidRPr="007C5C4F">
        <w:instrText xml:space="preserve"> SEQ level0 \*arabic </w:instrText>
      </w:r>
      <w:r w:rsidRPr="007C5C4F">
        <w:fldChar w:fldCharType="separate"/>
      </w:r>
      <w:r w:rsidRPr="007C5C4F" w:rsidR="007C5C4F">
        <w:rPr>
          <w:noProof/>
        </w:rPr>
        <w:t>114</w:t>
      </w:r>
      <w:r w:rsidRPr="007C5C4F">
        <w:fldChar w:fldCharType="end"/>
      </w:r>
      <w:r w:rsidRPr="007C5C4F">
        <w:t>.  The Court will therefore confine itself to considering whether, on the facts of the case at hand, the respondent State complied with its positive obligations under Article 4 of the Convention.</w:t>
      </w:r>
    </w:p>
    <w:p w:rsidRPr="007C5C4F" w:rsidR="005E3D7B" w:rsidP="007C5C4F" w14:paraId="446AC529" w14:textId="77777777">
      <w:pPr>
        <w:pStyle w:val="JuHA"/>
      </w:pPr>
      <w:r w:rsidRPr="007C5C4F">
        <w:t>Admissibility</w:t>
      </w:r>
    </w:p>
    <w:p w:rsidRPr="007C5C4F" w:rsidR="005E3D7B" w:rsidP="007C5C4F" w14:paraId="4F1A9C19" w14:textId="77777777">
      <w:pPr>
        <w:pStyle w:val="JuH1"/>
        <w:ind w:left="731" w:hanging="300"/>
        <w:jc w:val="left"/>
      </w:pPr>
      <w:r w:rsidRPr="007C5C4F">
        <w:t>Victim status</w:t>
      </w:r>
    </w:p>
    <w:p w:rsidRPr="007C5C4F" w:rsidR="005E3D7B" w:rsidP="007C5C4F" w14:paraId="4AE33BA1" w14:textId="38A23588">
      <w:pPr>
        <w:pStyle w:val="JuHa0"/>
        <w:ind w:left="975" w:hanging="340"/>
        <w:jc w:val="left"/>
      </w:pPr>
      <w:r w:rsidRPr="007C5C4F">
        <w:t>The parties</w:t>
      </w:r>
      <w:r w:rsidRPr="007C5C4F" w:rsidR="007C5C4F">
        <w:t>’</w:t>
      </w:r>
      <w:r w:rsidRPr="007C5C4F">
        <w:t xml:space="preserve"> submissions</w:t>
      </w:r>
    </w:p>
    <w:p w:rsidRPr="007C5C4F" w:rsidR="005E3D7B" w:rsidP="007C5C4F" w14:paraId="0A737372" w14:textId="7F8ECE0E">
      <w:pPr>
        <w:pStyle w:val="JuPara"/>
      </w:pPr>
      <w:r w:rsidRPr="007C5C4F">
        <w:fldChar w:fldCharType="begin"/>
      </w:r>
      <w:r w:rsidRPr="007C5C4F">
        <w:instrText xml:space="preserve"> SEQ level0 \*arabic </w:instrText>
      </w:r>
      <w:r w:rsidRPr="007C5C4F">
        <w:fldChar w:fldCharType="separate"/>
      </w:r>
      <w:r w:rsidRPr="007C5C4F" w:rsidR="007C5C4F">
        <w:rPr>
          <w:noProof/>
        </w:rPr>
        <w:t>115</w:t>
      </w:r>
      <w:r w:rsidRPr="007C5C4F">
        <w:fldChar w:fldCharType="end"/>
      </w:r>
      <w:r w:rsidRPr="007C5C4F">
        <w:t>.  The Government argued that the applicants could not claim to be “victims” of the alleged violation since the domestic courts had supported the finding of the CPS that they were not credible victims of trafficking or, in the case of the second applicant, a credible victim of forced labour.</w:t>
      </w:r>
    </w:p>
    <w:p w:rsidRPr="007C5C4F" w:rsidR="005E3D7B" w:rsidP="007C5C4F" w14:paraId="0A209BBB" w14:textId="2983E1C2">
      <w:pPr>
        <w:pStyle w:val="JuPara"/>
      </w:pPr>
      <w:r w:rsidRPr="007C5C4F">
        <w:fldChar w:fldCharType="begin"/>
      </w:r>
      <w:r w:rsidRPr="007C5C4F">
        <w:instrText xml:space="preserve"> SEQ level0 \*arabic </w:instrText>
      </w:r>
      <w:r w:rsidRPr="007C5C4F">
        <w:fldChar w:fldCharType="separate"/>
      </w:r>
      <w:r w:rsidRPr="007C5C4F" w:rsidR="007C5C4F">
        <w:rPr>
          <w:noProof/>
        </w:rPr>
        <w:t>116</w:t>
      </w:r>
      <w:r w:rsidRPr="007C5C4F">
        <w:fldChar w:fldCharType="end"/>
      </w:r>
      <w:r w:rsidRPr="007C5C4F">
        <w:t>.  The applicants, on the other hand, pointed out that they had been recognised as credible victims of trafficking by the Competent Authority. Moreover, this finding had not deprived them of their victim status because the State</w:t>
      </w:r>
      <w:r w:rsidRPr="007C5C4F" w:rsidR="007C5C4F">
        <w:t>’</w:t>
      </w:r>
      <w:r w:rsidRPr="007C5C4F">
        <w:t>s positive obligation went beyond a duty to recognise them as victims of trafficking.</w:t>
      </w:r>
    </w:p>
    <w:p w:rsidRPr="007C5C4F" w:rsidR="005E3D7B" w:rsidP="007C5C4F" w14:paraId="20031B12" w14:textId="034CE4E9">
      <w:pPr>
        <w:pStyle w:val="JuHa0"/>
        <w:ind w:left="975" w:hanging="340"/>
        <w:jc w:val="left"/>
      </w:pPr>
      <w:r w:rsidRPr="007C5C4F">
        <w:t>The Court</w:t>
      </w:r>
      <w:r w:rsidRPr="007C5C4F" w:rsidR="007C5C4F">
        <w:t>’</w:t>
      </w:r>
      <w:r w:rsidRPr="007C5C4F">
        <w:t>s assessment</w:t>
      </w:r>
    </w:p>
    <w:p w:rsidRPr="007C5C4F" w:rsidR="005E3D7B" w:rsidP="007C5C4F" w14:paraId="3232359E" w14:textId="01E71F13">
      <w:pPr>
        <w:pStyle w:val="JuPara"/>
      </w:pPr>
      <w:r w:rsidRPr="007C5C4F">
        <w:fldChar w:fldCharType="begin"/>
      </w:r>
      <w:r w:rsidRPr="007C5C4F">
        <w:instrText xml:space="preserve"> SEQ level0 \*arabic </w:instrText>
      </w:r>
      <w:r w:rsidRPr="007C5C4F">
        <w:fldChar w:fldCharType="separate"/>
      </w:r>
      <w:r w:rsidRPr="007C5C4F" w:rsidR="007C5C4F">
        <w:rPr>
          <w:noProof/>
        </w:rPr>
        <w:t>117</w:t>
      </w:r>
      <w:r w:rsidRPr="007C5C4F">
        <w:fldChar w:fldCharType="end"/>
      </w:r>
      <w:r w:rsidRPr="007C5C4F">
        <w:t>.  </w:t>
      </w:r>
      <w:r w:rsidRPr="007C5C4F">
        <w:rPr>
          <w:lang w:bidi="en-US"/>
        </w:rPr>
        <w:t xml:space="preserve">The applicants were both discovered on or near cannabis factories in April/May 2009. The first applicant was discovered during the execution of a drug warrant (see paragraph </w:t>
      </w:r>
      <w:r w:rsidRPr="007C5C4F">
        <w:rPr>
          <w:lang w:bidi="en-US"/>
        </w:rPr>
        <w:fldChar w:fldCharType="begin"/>
      </w:r>
      <w:r w:rsidRPr="007C5C4F">
        <w:rPr>
          <w:lang w:bidi="en-US"/>
        </w:rPr>
        <w:instrText xml:space="preserve"> REF DiscA1 \h  \* MERGEFORMAT </w:instrText>
      </w:r>
      <w:r w:rsidRPr="007C5C4F">
        <w:rPr>
          <w:lang w:bidi="en-US"/>
        </w:rPr>
        <w:fldChar w:fldCharType="separate"/>
      </w:r>
      <w:r w:rsidRPr="007C5C4F" w:rsidR="007C5C4F">
        <w:rPr>
          <w:rFonts w:eastAsiaTheme="minorEastAsia"/>
          <w:noProof/>
        </w:rPr>
        <w:t>5</w:t>
      </w:r>
      <w:r w:rsidRPr="007C5C4F">
        <w:rPr>
          <w:lang w:bidi="en-US"/>
        </w:rPr>
        <w:fldChar w:fldCharType="end"/>
      </w:r>
      <w:r w:rsidRPr="007C5C4F">
        <w:rPr>
          <w:lang w:bidi="en-US"/>
        </w:rPr>
        <w:t xml:space="preserve"> above), while the second applicant was discovered after police were called to the property (see paragraph </w:t>
      </w:r>
      <w:r w:rsidRPr="007C5C4F">
        <w:rPr>
          <w:lang w:bidi="en-US"/>
        </w:rPr>
        <w:fldChar w:fldCharType="begin"/>
      </w:r>
      <w:r w:rsidRPr="007C5C4F">
        <w:rPr>
          <w:lang w:bidi="en-US"/>
        </w:rPr>
        <w:instrText xml:space="preserve"> REF DiscA2 \h  \* MERGEFORMAT </w:instrText>
      </w:r>
      <w:r w:rsidRPr="007C5C4F">
        <w:rPr>
          <w:lang w:bidi="en-US"/>
        </w:rPr>
        <w:fldChar w:fldCharType="separate"/>
      </w:r>
      <w:r w:rsidRPr="007C5C4F" w:rsidR="007C5C4F">
        <w:rPr>
          <w:noProof/>
        </w:rPr>
        <w:t>18</w:t>
      </w:r>
      <w:r w:rsidRPr="007C5C4F">
        <w:rPr>
          <w:lang w:bidi="en-US"/>
        </w:rPr>
        <w:fldChar w:fldCharType="end"/>
      </w:r>
      <w:r w:rsidRPr="007C5C4F">
        <w:rPr>
          <w:lang w:bidi="en-US"/>
        </w:rPr>
        <w:t xml:space="preserve"> above). At the time, there appears to have been clear evidence to indicate that the cultivation of cannabis plants was an activity commonly carried out by child trafficking victims. Both the guidance published by the CPS in December 2007 and its Guidance on Human Trafficking and Smuggling (which was last updated, prior to the applicants</w:t>
      </w:r>
      <w:r w:rsidRPr="007C5C4F" w:rsidR="007C5C4F">
        <w:rPr>
          <w:lang w:bidi="en-US"/>
        </w:rPr>
        <w:t>’</w:t>
      </w:r>
      <w:r w:rsidRPr="007C5C4F">
        <w:rPr>
          <w:lang w:bidi="en-US"/>
        </w:rPr>
        <w:t xml:space="preserve"> arrest, on 4 February 2009) highlighted the “cultivation of cannabis plants” as an offence likely to be carried out by child victims of trafficking (see paragraphs </w:t>
      </w:r>
      <w:r w:rsidRPr="007C5C4F">
        <w:rPr>
          <w:lang w:bidi="en-US"/>
        </w:rPr>
        <w:fldChar w:fldCharType="begin"/>
      </w:r>
      <w:r w:rsidRPr="007C5C4F">
        <w:rPr>
          <w:lang w:bidi="en-US"/>
        </w:rPr>
        <w:instrText xml:space="preserve"> REF CPS1 \h  \* MERGEFORMAT </w:instrText>
      </w:r>
      <w:r w:rsidRPr="007C5C4F">
        <w:rPr>
          <w:lang w:bidi="en-US"/>
        </w:rPr>
        <w:fldChar w:fldCharType="separate"/>
      </w:r>
      <w:r w:rsidRPr="007C5C4F" w:rsidR="007C5C4F">
        <w:rPr>
          <w:rFonts w:eastAsiaTheme="minorEastAsia"/>
          <w:noProof/>
        </w:rPr>
        <w:t>72</w:t>
      </w:r>
      <w:r w:rsidRPr="007C5C4F">
        <w:rPr>
          <w:lang w:bidi="en-US"/>
        </w:rPr>
        <w:fldChar w:fldCharType="end"/>
      </w:r>
      <w:r w:rsidRPr="007C5C4F">
        <w:rPr>
          <w:lang w:bidi="en-US"/>
        </w:rPr>
        <w:t>-</w:t>
      </w:r>
      <w:r w:rsidRPr="007C5C4F">
        <w:rPr>
          <w:lang w:bidi="en-US"/>
        </w:rPr>
        <w:fldChar w:fldCharType="begin"/>
      </w:r>
      <w:r w:rsidRPr="007C5C4F">
        <w:rPr>
          <w:lang w:bidi="en-US"/>
        </w:rPr>
        <w:instrText xml:space="preserve"> REF CPS2 \h  \* MERGEFORMAT </w:instrText>
      </w:r>
      <w:r w:rsidRPr="007C5C4F">
        <w:rPr>
          <w:lang w:bidi="en-US"/>
        </w:rPr>
        <w:fldChar w:fldCharType="separate"/>
      </w:r>
      <w:r w:rsidRPr="007C5C4F" w:rsidR="007C5C4F">
        <w:rPr>
          <w:rFonts w:eastAsiaTheme="minorEastAsia"/>
          <w:noProof/>
        </w:rPr>
        <w:t>73</w:t>
      </w:r>
      <w:r w:rsidRPr="007C5C4F">
        <w:rPr>
          <w:lang w:bidi="en-US"/>
        </w:rPr>
        <w:fldChar w:fldCharType="end"/>
      </w:r>
      <w:r w:rsidRPr="007C5C4F">
        <w:rPr>
          <w:lang w:bidi="en-US"/>
        </w:rPr>
        <w:t xml:space="preserve"> above). Moreover, the first “scoping report” of the Child Exploitation and Online Protection Command (CEOP), which was published in June 2007, identified Vietnamese boys and girls as a specific vulnerable group. It noted that some of these children had been found being exploited in cannabis factories while others were suspected to have been trafficked for the purposes of sexual exploitation (see paragraphs </w:t>
      </w:r>
      <w:r w:rsidRPr="007C5C4F">
        <w:rPr>
          <w:lang w:bidi="en-US"/>
        </w:rPr>
        <w:fldChar w:fldCharType="begin"/>
      </w:r>
      <w:r w:rsidRPr="007C5C4F">
        <w:rPr>
          <w:lang w:bidi="en-US"/>
        </w:rPr>
        <w:instrText xml:space="preserve"> REF CEOP1Start \h  \* MERGEFORMAT </w:instrText>
      </w:r>
      <w:r w:rsidRPr="007C5C4F">
        <w:rPr>
          <w:lang w:bidi="en-US"/>
        </w:rPr>
        <w:fldChar w:fldCharType="separate"/>
      </w:r>
      <w:r w:rsidRPr="007C5C4F" w:rsidR="007C5C4F">
        <w:rPr>
          <w:noProof/>
        </w:rPr>
        <w:t>81</w:t>
      </w:r>
      <w:r w:rsidRPr="007C5C4F">
        <w:rPr>
          <w:lang w:bidi="en-US"/>
        </w:rPr>
        <w:fldChar w:fldCharType="end"/>
      </w:r>
      <w:r w:rsidRPr="007C5C4F">
        <w:rPr>
          <w:lang w:bidi="en-US"/>
        </w:rPr>
        <w:t>-</w:t>
      </w:r>
      <w:r w:rsidRPr="007C5C4F">
        <w:rPr>
          <w:lang w:bidi="en-US"/>
        </w:rPr>
        <w:fldChar w:fldCharType="begin"/>
      </w:r>
      <w:r w:rsidRPr="007C5C4F">
        <w:rPr>
          <w:lang w:bidi="en-US"/>
        </w:rPr>
        <w:instrText xml:space="preserve"> REF CEOP1End \h  \* MERGEFORMAT </w:instrText>
      </w:r>
      <w:r w:rsidRPr="007C5C4F">
        <w:rPr>
          <w:lang w:bidi="en-US"/>
        </w:rPr>
        <w:fldChar w:fldCharType="separate"/>
      </w:r>
      <w:r w:rsidRPr="007C5C4F" w:rsidR="007C5C4F">
        <w:rPr>
          <w:noProof/>
        </w:rPr>
        <w:t>82</w:t>
      </w:r>
      <w:r w:rsidRPr="007C5C4F">
        <w:rPr>
          <w:lang w:bidi="en-US"/>
        </w:rPr>
        <w:fldChar w:fldCharType="end"/>
      </w:r>
      <w:r w:rsidRPr="007C5C4F">
        <w:rPr>
          <w:lang w:bidi="en-US"/>
        </w:rPr>
        <w:t xml:space="preserve"> above). In a further threat assessment published in April 2009, CEOP indicated that Vietnamese children had a higher probability of being trafficked than any other profile encountered in the study. The Vietnamese children identified by CEOP were primarily involved in the cultivation of cannabis and many were arrested in police raids on cannabis factories. Significantly, CEOP noted in the report that both the Association of Chief Police Officers (ACPO) and the CPS had issued guidance on the treatment of children found in such criminal enterprises to ensure that no child was brought before the courts where the crime committed was a direct result of trafficking (see paragraph </w:t>
      </w:r>
      <w:r w:rsidRPr="007C5C4F">
        <w:rPr>
          <w:lang w:bidi="en-US"/>
        </w:rPr>
        <w:fldChar w:fldCharType="begin"/>
      </w:r>
      <w:r w:rsidRPr="007C5C4F">
        <w:rPr>
          <w:lang w:bidi="en-US"/>
        </w:rPr>
        <w:instrText xml:space="preserve"> REF CEOP2 \h  \* MERGEFORMAT </w:instrText>
      </w:r>
      <w:r w:rsidRPr="007C5C4F">
        <w:rPr>
          <w:lang w:bidi="en-US"/>
        </w:rPr>
        <w:fldChar w:fldCharType="separate"/>
      </w:r>
      <w:r w:rsidRPr="007C5C4F" w:rsidR="007C5C4F">
        <w:rPr>
          <w:noProof/>
        </w:rPr>
        <w:t>83</w:t>
      </w:r>
      <w:r w:rsidRPr="007C5C4F">
        <w:rPr>
          <w:lang w:bidi="en-US"/>
        </w:rPr>
        <w:fldChar w:fldCharType="end"/>
      </w:r>
      <w:r w:rsidRPr="007C5C4F">
        <w:rPr>
          <w:lang w:bidi="en-US"/>
        </w:rPr>
        <w:t xml:space="preserve"> above).</w:t>
      </w:r>
    </w:p>
    <w:p w:rsidRPr="007C5C4F" w:rsidR="005E3D7B" w:rsidP="007C5C4F" w14:paraId="4B3FAB17" w14:textId="418768E3">
      <w:pPr>
        <w:pStyle w:val="JuPara"/>
        <w:rPr>
          <w:lang w:bidi="en-US"/>
        </w:rPr>
      </w:pPr>
      <w:r w:rsidRPr="007C5C4F">
        <w:rPr>
          <w:lang w:bidi="en-US"/>
        </w:rPr>
        <w:fldChar w:fldCharType="begin"/>
      </w:r>
      <w:r w:rsidRPr="007C5C4F">
        <w:rPr>
          <w:lang w:bidi="en-US"/>
        </w:rPr>
        <w:instrText xml:space="preserve"> SEQ level0 \*arabic </w:instrText>
      </w:r>
      <w:r w:rsidRPr="007C5C4F">
        <w:rPr>
          <w:lang w:bidi="en-US"/>
        </w:rPr>
        <w:fldChar w:fldCharType="separate"/>
      </w:r>
      <w:r w:rsidRPr="007C5C4F" w:rsidR="007C5C4F">
        <w:rPr>
          <w:noProof/>
          <w:lang w:bidi="en-US"/>
        </w:rPr>
        <w:t>118</w:t>
      </w:r>
      <w:r w:rsidRPr="007C5C4F">
        <w:rPr>
          <w:lang w:bidi="en-US"/>
        </w:rPr>
        <w:fldChar w:fldCharType="end"/>
      </w:r>
      <w:r w:rsidRPr="007C5C4F">
        <w:rPr>
          <w:lang w:bidi="en-US"/>
        </w:rPr>
        <w:t xml:space="preserve">.  There does not appear to have been any doubt that the first applicant was a minor; on the contrary, the only dispute over his age concerned whether he was fifteen or seventeen years old when he was discovered (see paragraphs </w:t>
      </w:r>
      <w:r w:rsidRPr="007C5C4F">
        <w:rPr>
          <w:lang w:bidi="en-US"/>
        </w:rPr>
        <w:fldChar w:fldCharType="begin"/>
      </w:r>
      <w:r w:rsidRPr="007C5C4F">
        <w:rPr>
          <w:lang w:bidi="en-US"/>
        </w:rPr>
        <w:instrText xml:space="preserve"> REF A1Age \h  \* MERGEFORMAT </w:instrText>
      </w:r>
      <w:r w:rsidRPr="007C5C4F">
        <w:rPr>
          <w:lang w:bidi="en-US"/>
        </w:rPr>
        <w:fldChar w:fldCharType="separate"/>
      </w:r>
      <w:r w:rsidRPr="007C5C4F" w:rsidR="007C5C4F">
        <w:rPr>
          <w:rFonts w:eastAsiaTheme="minorEastAsia"/>
          <w:noProof/>
        </w:rPr>
        <w:t>6</w:t>
      </w:r>
      <w:r w:rsidRPr="007C5C4F">
        <w:rPr>
          <w:lang w:bidi="en-US"/>
        </w:rPr>
        <w:fldChar w:fldCharType="end"/>
      </w:r>
      <w:r w:rsidRPr="007C5C4F">
        <w:rPr>
          <w:lang w:bidi="en-US"/>
        </w:rPr>
        <w:t xml:space="preserve"> and </w:t>
      </w:r>
      <w:r w:rsidRPr="007C5C4F">
        <w:rPr>
          <w:lang w:bidi="en-US"/>
        </w:rPr>
        <w:fldChar w:fldCharType="begin"/>
      </w:r>
      <w:r w:rsidRPr="007C5C4F">
        <w:rPr>
          <w:lang w:bidi="en-US"/>
        </w:rPr>
        <w:instrText xml:space="preserve"> REF A1SSAge \h  \* MERGEFORMAT </w:instrText>
      </w:r>
      <w:r w:rsidRPr="007C5C4F">
        <w:rPr>
          <w:lang w:bidi="en-US"/>
        </w:rPr>
        <w:fldChar w:fldCharType="separate"/>
      </w:r>
      <w:r w:rsidRPr="007C5C4F" w:rsidR="007C5C4F">
        <w:rPr>
          <w:rFonts w:eastAsiaTheme="minorEastAsia"/>
          <w:noProof/>
        </w:rPr>
        <w:t>7</w:t>
      </w:r>
      <w:r w:rsidRPr="007C5C4F">
        <w:rPr>
          <w:lang w:bidi="en-US"/>
        </w:rPr>
        <w:fldChar w:fldCharType="end"/>
      </w:r>
      <w:r w:rsidRPr="007C5C4F">
        <w:rPr>
          <w:lang w:bidi="en-US"/>
        </w:rPr>
        <w:t xml:space="preserve"> above). In view of the fact that he was a minor discovered during a planned raid on a cannabis factory, the Court considers that from the very outset the police and subsequently the CPS should have been aware of the existence of circumstances giving rise to a credible suspicion that he had been trafficked.</w:t>
      </w:r>
    </w:p>
    <w:bookmarkStart w:name="A2V" w:id="66"/>
    <w:p w:rsidRPr="007C5C4F" w:rsidR="005E3D7B" w:rsidP="007C5C4F" w14:paraId="64937023" w14:textId="7DB02742">
      <w:pPr>
        <w:pStyle w:val="JuPara"/>
        <w:rPr>
          <w:lang w:bidi="en-US"/>
        </w:rPr>
      </w:pPr>
      <w:r w:rsidRPr="007C5C4F">
        <w:rPr>
          <w:lang w:bidi="en-US"/>
        </w:rPr>
        <w:fldChar w:fldCharType="begin"/>
      </w:r>
      <w:r w:rsidRPr="007C5C4F">
        <w:rPr>
          <w:lang w:bidi="en-US"/>
        </w:rPr>
        <w:instrText xml:space="preserve"> SEQ level0 \*arabic </w:instrText>
      </w:r>
      <w:r w:rsidRPr="007C5C4F">
        <w:rPr>
          <w:lang w:bidi="en-US"/>
        </w:rPr>
        <w:fldChar w:fldCharType="separate"/>
      </w:r>
      <w:r w:rsidRPr="007C5C4F" w:rsidR="007C5C4F">
        <w:rPr>
          <w:noProof/>
          <w:lang w:bidi="en-US"/>
        </w:rPr>
        <w:t>119</w:t>
      </w:r>
      <w:r w:rsidRPr="007C5C4F">
        <w:rPr>
          <w:lang w:bidi="en-US"/>
        </w:rPr>
        <w:fldChar w:fldCharType="end"/>
      </w:r>
      <w:bookmarkEnd w:id="66"/>
      <w:r w:rsidRPr="007C5C4F">
        <w:rPr>
          <w:lang w:bidi="en-US"/>
        </w:rPr>
        <w:t xml:space="preserve">.  Upon discovery near the cannabis factory, the second applicant gave his year of birth as 1972 (see paragraph </w:t>
      </w:r>
      <w:r w:rsidRPr="007C5C4F">
        <w:rPr>
          <w:lang w:bidi="en-US"/>
        </w:rPr>
        <w:fldChar w:fldCharType="begin"/>
      </w:r>
      <w:r w:rsidRPr="007C5C4F">
        <w:rPr>
          <w:lang w:bidi="en-US"/>
        </w:rPr>
        <w:instrText xml:space="preserve"> REF A2Age1 \h  \* MERGEFORMAT </w:instrText>
      </w:r>
      <w:r w:rsidRPr="007C5C4F">
        <w:rPr>
          <w:lang w:bidi="en-US"/>
        </w:rPr>
        <w:fldChar w:fldCharType="separate"/>
      </w:r>
      <w:r w:rsidRPr="007C5C4F" w:rsidR="007C5C4F">
        <w:rPr>
          <w:noProof/>
        </w:rPr>
        <w:t>19</w:t>
      </w:r>
      <w:r w:rsidRPr="007C5C4F">
        <w:rPr>
          <w:lang w:bidi="en-US"/>
        </w:rPr>
        <w:fldChar w:fldCharType="end"/>
      </w:r>
      <w:r w:rsidRPr="007C5C4F">
        <w:rPr>
          <w:lang w:bidi="en-US"/>
        </w:rPr>
        <w:t xml:space="preserve"> above). However, nine days later, after he had already been charged with being concerned in the production of a controlled drug of Class B, he gave his year of birth as 1992 at a hearing before the Magistrates</w:t>
      </w:r>
      <w:r w:rsidRPr="007C5C4F" w:rsidR="007C5C4F">
        <w:rPr>
          <w:lang w:bidi="en-US"/>
        </w:rPr>
        <w:t>’</w:t>
      </w:r>
      <w:r w:rsidRPr="007C5C4F">
        <w:rPr>
          <w:lang w:bidi="en-US"/>
        </w:rPr>
        <w:t xml:space="preserve"> Court. The case was thereafter approached on the basis that he was seventeen years old (see paragraph </w:t>
      </w:r>
      <w:r w:rsidRPr="007C5C4F">
        <w:rPr>
          <w:lang w:bidi="en-US"/>
        </w:rPr>
        <w:fldChar w:fldCharType="begin"/>
      </w:r>
      <w:r w:rsidRPr="007C5C4F">
        <w:rPr>
          <w:lang w:bidi="en-US"/>
        </w:rPr>
        <w:instrText xml:space="preserve"> REF A2Age2 \h  \* MERGEFORMAT </w:instrText>
      </w:r>
      <w:r w:rsidRPr="007C5C4F">
        <w:rPr>
          <w:lang w:bidi="en-US"/>
        </w:rPr>
        <w:fldChar w:fldCharType="separate"/>
      </w:r>
      <w:r w:rsidRPr="007C5C4F" w:rsidR="007C5C4F">
        <w:rPr>
          <w:noProof/>
        </w:rPr>
        <w:t>23</w:t>
      </w:r>
      <w:r w:rsidRPr="007C5C4F">
        <w:rPr>
          <w:lang w:bidi="en-US"/>
        </w:rPr>
        <w:fldChar w:fldCharType="end"/>
      </w:r>
      <w:r w:rsidRPr="007C5C4F">
        <w:rPr>
          <w:lang w:bidi="en-US"/>
        </w:rPr>
        <w:t xml:space="preserve"> above). From this point, at the very latest, the CPS should have been aware of the existence of circumstances giving rise to a credible suspicion that he had been trafficked.</w:t>
      </w:r>
    </w:p>
    <w:p w:rsidRPr="007C5C4F" w:rsidR="005E3D7B" w:rsidP="007C5C4F" w14:paraId="0741E64E" w14:textId="1DF1F95D">
      <w:pPr>
        <w:pStyle w:val="JuPara"/>
        <w:rPr>
          <w:lang w:bidi="en-US"/>
        </w:rPr>
      </w:pPr>
      <w:r w:rsidRPr="007C5C4F">
        <w:rPr>
          <w:lang w:bidi="en-US"/>
        </w:rPr>
        <w:fldChar w:fldCharType="begin"/>
      </w:r>
      <w:r w:rsidRPr="007C5C4F">
        <w:rPr>
          <w:lang w:bidi="en-US"/>
        </w:rPr>
        <w:instrText xml:space="preserve"> SEQ level0 \*arabic </w:instrText>
      </w:r>
      <w:r w:rsidRPr="007C5C4F">
        <w:rPr>
          <w:lang w:bidi="en-US"/>
        </w:rPr>
        <w:fldChar w:fldCharType="separate"/>
      </w:r>
      <w:r w:rsidRPr="007C5C4F" w:rsidR="007C5C4F">
        <w:rPr>
          <w:noProof/>
          <w:lang w:bidi="en-US"/>
        </w:rPr>
        <w:t>120</w:t>
      </w:r>
      <w:r w:rsidRPr="007C5C4F">
        <w:rPr>
          <w:lang w:bidi="en-US"/>
        </w:rPr>
        <w:fldChar w:fldCharType="end"/>
      </w:r>
      <w:r w:rsidRPr="007C5C4F">
        <w:rPr>
          <w:lang w:bidi="en-US"/>
        </w:rPr>
        <w:t xml:space="preserve">.  Therefore, in both cases a positive obligation to take operational measures to protect the applicants as potential victims of trafficking arose shortly after they had been discovered. Furthermore, in view of the fact that the potential scope of this obligation extends beyond their identification as victims of trafficking (see paragraph </w:t>
      </w:r>
      <w:r w:rsidRPr="007C5C4F">
        <w:rPr>
          <w:lang w:bidi="en-US"/>
        </w:rPr>
        <w:fldChar w:fldCharType="begin"/>
      </w:r>
      <w:r w:rsidRPr="007C5C4F">
        <w:rPr>
          <w:lang w:bidi="en-US"/>
        </w:rPr>
        <w:instrText xml:space="preserve"> REF OMs \h  \* MERGEFORMAT </w:instrText>
      </w:r>
      <w:r w:rsidRPr="007C5C4F">
        <w:rPr>
          <w:lang w:bidi="en-US"/>
        </w:rPr>
        <w:fldChar w:fldCharType="separate"/>
      </w:r>
      <w:r w:rsidRPr="007C5C4F" w:rsidR="007C5C4F">
        <w:rPr>
          <w:noProof/>
        </w:rPr>
        <w:t>153</w:t>
      </w:r>
      <w:r w:rsidRPr="007C5C4F">
        <w:rPr>
          <w:lang w:bidi="en-US"/>
        </w:rPr>
        <w:fldChar w:fldCharType="end"/>
      </w:r>
      <w:r w:rsidRPr="007C5C4F">
        <w:rPr>
          <w:lang w:bidi="en-US"/>
        </w:rPr>
        <w:t xml:space="preserve"> below), neither applicant was deprived of his “victim status” within the meaning of Article 34 of the Convention by the decision of the Competent Authority.</w:t>
      </w:r>
    </w:p>
    <w:p w:rsidRPr="007C5C4F" w:rsidR="005E3D7B" w:rsidP="007C5C4F" w14:paraId="062CEDEB" w14:textId="675E757A">
      <w:pPr>
        <w:pStyle w:val="JuPara"/>
        <w:rPr>
          <w:lang w:bidi="en-US"/>
        </w:rPr>
      </w:pPr>
      <w:r w:rsidRPr="007C5C4F">
        <w:rPr>
          <w:lang w:bidi="en-US"/>
        </w:rPr>
        <w:fldChar w:fldCharType="begin"/>
      </w:r>
      <w:r w:rsidRPr="007C5C4F">
        <w:rPr>
          <w:lang w:bidi="en-US"/>
        </w:rPr>
        <w:instrText xml:space="preserve"> SEQ level0 \*arabic </w:instrText>
      </w:r>
      <w:r w:rsidRPr="007C5C4F">
        <w:rPr>
          <w:lang w:bidi="en-US"/>
        </w:rPr>
        <w:fldChar w:fldCharType="separate"/>
      </w:r>
      <w:r w:rsidRPr="007C5C4F" w:rsidR="007C5C4F">
        <w:rPr>
          <w:noProof/>
          <w:lang w:bidi="en-US"/>
        </w:rPr>
        <w:t>121</w:t>
      </w:r>
      <w:r w:rsidRPr="007C5C4F">
        <w:rPr>
          <w:lang w:bidi="en-US"/>
        </w:rPr>
        <w:fldChar w:fldCharType="end"/>
      </w:r>
      <w:r w:rsidRPr="007C5C4F">
        <w:rPr>
          <w:lang w:bidi="en-US"/>
        </w:rPr>
        <w:t>.  Therefore, the Court will now consider whether, in all the circumstances of each case, the State fulfilled its duty under Article 4 of the Convention to take operational measures to protect the applicant.</w:t>
      </w:r>
    </w:p>
    <w:p w:rsidRPr="007C5C4F" w:rsidR="005E3D7B" w:rsidP="007C5C4F" w14:paraId="04B010F7" w14:textId="77777777">
      <w:pPr>
        <w:pStyle w:val="JuH1"/>
        <w:ind w:left="731" w:hanging="300"/>
        <w:jc w:val="left"/>
      </w:pPr>
      <w:r w:rsidRPr="007C5C4F">
        <w:t>Other grounds for inadmissibility</w:t>
      </w:r>
    </w:p>
    <w:p w:rsidRPr="007C5C4F" w:rsidR="005E3D7B" w:rsidP="007C5C4F" w14:paraId="718776DF" w14:textId="2B48210D">
      <w:pPr>
        <w:pStyle w:val="JuPara"/>
      </w:pPr>
      <w:r w:rsidRPr="007C5C4F">
        <w:fldChar w:fldCharType="begin"/>
      </w:r>
      <w:r w:rsidRPr="007C5C4F">
        <w:instrText xml:space="preserve"> SEQ level0 \*arabic </w:instrText>
      </w:r>
      <w:r w:rsidRPr="007C5C4F">
        <w:fldChar w:fldCharType="separate"/>
      </w:r>
      <w:r w:rsidRPr="007C5C4F" w:rsidR="007C5C4F">
        <w:rPr>
          <w:noProof/>
        </w:rPr>
        <w:t>122</w:t>
      </w:r>
      <w:r w:rsidRPr="007C5C4F">
        <w:fldChar w:fldCharType="end"/>
      </w:r>
      <w:r w:rsidRPr="007C5C4F">
        <w:t>.  The Government further contended that the applicants</w:t>
      </w:r>
      <w:r w:rsidRPr="007C5C4F" w:rsidR="007C5C4F">
        <w:t>’</w:t>
      </w:r>
      <w:r w:rsidRPr="007C5C4F">
        <w:t xml:space="preserve"> complaints were manifestly ill-founded, since they turned entirely on factual issues which had been resolved fairly by the domestic courts.</w:t>
      </w:r>
    </w:p>
    <w:p w:rsidRPr="007C5C4F" w:rsidR="005E3D7B" w:rsidP="007C5C4F" w14:paraId="74E82A1E" w14:textId="7AC12264">
      <w:pPr>
        <w:pStyle w:val="JuPara"/>
      </w:pPr>
      <w:r w:rsidRPr="007C5C4F">
        <w:fldChar w:fldCharType="begin"/>
      </w:r>
      <w:r w:rsidRPr="007C5C4F">
        <w:instrText xml:space="preserve"> SEQ level0 \*arabic </w:instrText>
      </w:r>
      <w:r w:rsidRPr="007C5C4F">
        <w:fldChar w:fldCharType="separate"/>
      </w:r>
      <w:r w:rsidRPr="007C5C4F" w:rsidR="007C5C4F">
        <w:rPr>
          <w:noProof/>
        </w:rPr>
        <w:t>123</w:t>
      </w:r>
      <w:r w:rsidRPr="007C5C4F">
        <w:fldChar w:fldCharType="end"/>
      </w:r>
      <w:r w:rsidRPr="007C5C4F">
        <w:t>.  However, the Court is of the opinion that the applicants</w:t>
      </w:r>
      <w:r w:rsidRPr="007C5C4F" w:rsidR="007C5C4F">
        <w:t>’</w:t>
      </w:r>
      <w:r w:rsidRPr="007C5C4F">
        <w:t xml:space="preserve"> Article 4 complaints raise sufficiently complex issues of fact and law that they cannot be rejected as manifestly ill-founded within the meaning of Article 35 § 3 (a) of the Convention. It is further satisfied that they are not inadmissible on any other ground. They must therefore be declared admissible.</w:t>
      </w:r>
    </w:p>
    <w:p w:rsidRPr="007C5C4F" w:rsidR="005E3D7B" w:rsidP="007C5C4F" w14:paraId="09A4AA54" w14:textId="77777777">
      <w:pPr>
        <w:pStyle w:val="JuHA"/>
      </w:pPr>
      <w:r w:rsidRPr="007C5C4F">
        <w:t>Merits</w:t>
      </w:r>
    </w:p>
    <w:p w:rsidRPr="007C5C4F" w:rsidR="005E3D7B" w:rsidP="007C5C4F" w14:paraId="0D26FB83" w14:textId="6E2CF6B6">
      <w:pPr>
        <w:pStyle w:val="JuH1"/>
        <w:numPr>
          <w:ilvl w:val="3"/>
          <w:numId w:val="4"/>
        </w:numPr>
        <w:ind w:left="731" w:hanging="300"/>
        <w:jc w:val="left"/>
      </w:pPr>
      <w:r w:rsidRPr="007C5C4F">
        <w:t>The parties</w:t>
      </w:r>
      <w:r w:rsidRPr="007C5C4F" w:rsidR="007C5C4F">
        <w:t>’</w:t>
      </w:r>
      <w:r w:rsidRPr="007C5C4F">
        <w:t xml:space="preserve"> submissions</w:t>
      </w:r>
    </w:p>
    <w:p w:rsidRPr="007C5C4F" w:rsidR="005E3D7B" w:rsidP="007C5C4F" w14:paraId="2B8B7D66" w14:textId="77777777">
      <w:pPr>
        <w:pStyle w:val="JuHa0"/>
        <w:ind w:left="975" w:hanging="340"/>
        <w:jc w:val="left"/>
      </w:pPr>
      <w:r w:rsidRPr="007C5C4F">
        <w:t>The first applicant</w:t>
      </w:r>
    </w:p>
    <w:p w:rsidRPr="007C5C4F" w:rsidR="005E3D7B" w:rsidP="007C5C4F" w14:paraId="21567D5C" w14:textId="76C05CAD">
      <w:pPr>
        <w:pStyle w:val="JuPara"/>
      </w:pPr>
      <w:r w:rsidRPr="007C5C4F">
        <w:fldChar w:fldCharType="begin"/>
      </w:r>
      <w:r w:rsidRPr="007C5C4F">
        <w:instrText xml:space="preserve"> SEQ level0 \*arabic </w:instrText>
      </w:r>
      <w:r w:rsidRPr="007C5C4F">
        <w:fldChar w:fldCharType="separate"/>
      </w:r>
      <w:r w:rsidRPr="007C5C4F" w:rsidR="007C5C4F">
        <w:rPr>
          <w:noProof/>
        </w:rPr>
        <w:t>124</w:t>
      </w:r>
      <w:r w:rsidRPr="007C5C4F">
        <w:fldChar w:fldCharType="end"/>
      </w:r>
      <w:r w:rsidRPr="007C5C4F">
        <w:t>.  The first applicant submitted that the CPS</w:t>
      </w:r>
      <w:r w:rsidRPr="007C5C4F" w:rsidR="007C5C4F">
        <w:t>’</w:t>
      </w:r>
      <w:r w:rsidRPr="007C5C4F">
        <w:t>s stance had been in direct conflict with the Competent Authority</w:t>
      </w:r>
      <w:r w:rsidRPr="007C5C4F" w:rsidR="007C5C4F">
        <w:t>’</w:t>
      </w:r>
      <w:r w:rsidRPr="007C5C4F">
        <w:t>s identification of him as a child victim of trafficking for criminal exploitation and the separate and distinct trafficking assessment undertaken by the Local Authority, which had also found that he had been trafficked for criminal exploitation. The Competent Authority was the body designated by the Government to meet its obligations to identify victims of trafficking and in the first applicant</w:t>
      </w:r>
      <w:r w:rsidRPr="007C5C4F" w:rsidR="007C5C4F">
        <w:t>’</w:t>
      </w:r>
      <w:r w:rsidRPr="007C5C4F">
        <w:t>s view in the light of its findings any assertion that he was not a victim of trafficking had been wholly misconceived. Although the CPS had supposedly considered the reports from the local authority and the Competent Authority which had found that he had been trafficked, it came to a contrary view without any significant evidence capable of displacing the conclusion of the Competent Authority. There were no contemporaneous written records of these reviews and no witness statements had been filed by the reviewing lawyers in the appellate proceedings.</w:t>
      </w:r>
    </w:p>
    <w:p w:rsidRPr="007C5C4F" w:rsidR="005E3D7B" w:rsidP="007C5C4F" w14:paraId="0E13FAF5" w14:textId="205E6733">
      <w:pPr>
        <w:pStyle w:val="JuPara"/>
      </w:pPr>
      <w:r w:rsidRPr="007C5C4F">
        <w:fldChar w:fldCharType="begin"/>
      </w:r>
      <w:r w:rsidRPr="007C5C4F">
        <w:instrText xml:space="preserve"> SEQ level0 \*arabic </w:instrText>
      </w:r>
      <w:r w:rsidRPr="007C5C4F">
        <w:fldChar w:fldCharType="separate"/>
      </w:r>
      <w:r w:rsidRPr="007C5C4F" w:rsidR="007C5C4F">
        <w:rPr>
          <w:noProof/>
        </w:rPr>
        <w:t>125</w:t>
      </w:r>
      <w:r w:rsidRPr="007C5C4F">
        <w:fldChar w:fldCharType="end"/>
      </w:r>
      <w:r w:rsidRPr="007C5C4F">
        <w:t>.  He further contended that the CPS and police had failed to undertake any Article 4-compliant investigation or review which would have justified the departure from the Competent Authority</w:t>
      </w:r>
      <w:r w:rsidRPr="007C5C4F" w:rsidR="007C5C4F">
        <w:t>’</w:t>
      </w:r>
      <w:r w:rsidRPr="007C5C4F">
        <w:t>s decision. In particular, despite there having been a high expectation that victims of trafficking would be encountered at the cannabis factory, there had been a failure to anticipate the need to include child protection experts and social services in order to receive and protect any children recovered; a failure to route the first applicant into a safeguarding-led process which would have enabled him to assist and engage with a criminal investigation into the circumstances of his trafficking; and a failure to analyse the evidence gathered in the light of known trafficking methods of control.</w:t>
      </w:r>
    </w:p>
    <w:p w:rsidRPr="007C5C4F" w:rsidR="005E3D7B" w:rsidP="007C5C4F" w14:paraId="2F8F35E3" w14:textId="6D3A5D0E">
      <w:pPr>
        <w:pStyle w:val="JuPara"/>
      </w:pPr>
      <w:r w:rsidRPr="007C5C4F">
        <w:fldChar w:fldCharType="begin"/>
      </w:r>
      <w:r w:rsidRPr="007C5C4F">
        <w:instrText xml:space="preserve"> SEQ level0 \*arabic </w:instrText>
      </w:r>
      <w:r w:rsidRPr="007C5C4F">
        <w:fldChar w:fldCharType="separate"/>
      </w:r>
      <w:r w:rsidRPr="007C5C4F" w:rsidR="007C5C4F">
        <w:rPr>
          <w:noProof/>
        </w:rPr>
        <w:t>126</w:t>
      </w:r>
      <w:r w:rsidRPr="007C5C4F">
        <w:fldChar w:fldCharType="end"/>
      </w:r>
      <w:r w:rsidRPr="007C5C4F">
        <w:t>.  In the first applicant</w:t>
      </w:r>
      <w:r w:rsidRPr="007C5C4F" w:rsidR="007C5C4F">
        <w:t>’</w:t>
      </w:r>
      <w:r w:rsidRPr="007C5C4F">
        <w:t>s submission, the facts of the case were indicative of a much larger problem, namely the poor identification process adopted by the criminal justice authorities resulting in the continued punishment of victims for crimes committed as a direct consequence of trafficking. In his view, the Government had not adopted specific legislation or measures to implement Article 26 of the Anti-Trafficking Convention so as to give effect to the non-punishment principle and the domestic measures in place were insufficient to protect trafficking victims.</w:t>
      </w:r>
    </w:p>
    <w:p w:rsidRPr="007C5C4F" w:rsidR="005E3D7B" w:rsidP="007C5C4F" w14:paraId="241317BD" w14:textId="3B25096B">
      <w:pPr>
        <w:pStyle w:val="JuPara"/>
      </w:pPr>
      <w:r w:rsidRPr="007C5C4F">
        <w:fldChar w:fldCharType="begin"/>
      </w:r>
      <w:r w:rsidRPr="007C5C4F">
        <w:instrText xml:space="preserve"> SEQ level0 \*arabic </w:instrText>
      </w:r>
      <w:r w:rsidRPr="007C5C4F">
        <w:fldChar w:fldCharType="separate"/>
      </w:r>
      <w:r w:rsidRPr="007C5C4F" w:rsidR="007C5C4F">
        <w:rPr>
          <w:noProof/>
        </w:rPr>
        <w:t>127</w:t>
      </w:r>
      <w:r w:rsidRPr="007C5C4F">
        <w:fldChar w:fldCharType="end"/>
      </w:r>
      <w:r w:rsidRPr="007C5C4F">
        <w:t>.  According to the first applicant, it was incumbent on the responsible bodies within the criminal justice system and the prosecutorial decision-making process to ensure that an effective investigation took place which was capable both of prosecuting the responsible individuals and identifying genuine victims of trafficking; that protective measures were put in place when a suspected or actual victim of trafficking was encountered in order to safeguard his or her welfare; that State agents were appropriately and adequately trained to identify and respond to instances of trafficking without relying on the victim self-identifying; and that a framework of laws, policies and procedures was in place to ensure that the principle of non-prosecution of victims of trafficking was made real and effective rather than theoretical and illusory.</w:t>
      </w:r>
    </w:p>
    <w:p w:rsidRPr="007C5C4F" w:rsidR="005E3D7B" w:rsidP="007C5C4F" w14:paraId="0B827213" w14:textId="77777777">
      <w:pPr>
        <w:pStyle w:val="JuHa0"/>
        <w:ind w:left="975" w:hanging="340"/>
        <w:jc w:val="left"/>
      </w:pPr>
      <w:r w:rsidRPr="007C5C4F">
        <w:t>The second applicant</w:t>
      </w:r>
    </w:p>
    <w:p w:rsidRPr="007C5C4F" w:rsidR="005E3D7B" w:rsidP="007C5C4F" w14:paraId="265EF029" w14:textId="20F16CCC">
      <w:pPr>
        <w:pStyle w:val="JuPara"/>
      </w:pPr>
      <w:r w:rsidRPr="007C5C4F">
        <w:fldChar w:fldCharType="begin"/>
      </w:r>
      <w:r w:rsidRPr="007C5C4F">
        <w:instrText xml:space="preserve"> SEQ level0 \*arabic </w:instrText>
      </w:r>
      <w:r w:rsidRPr="007C5C4F">
        <w:fldChar w:fldCharType="separate"/>
      </w:r>
      <w:r w:rsidRPr="007C5C4F" w:rsidR="007C5C4F">
        <w:rPr>
          <w:noProof/>
        </w:rPr>
        <w:t>128</w:t>
      </w:r>
      <w:r w:rsidRPr="007C5C4F">
        <w:fldChar w:fldCharType="end"/>
      </w:r>
      <w:r w:rsidRPr="007C5C4F">
        <w:t>.  The second applicant argued that there was an implicit duty under Article 4 of the Convention to identify victims of trafficking, since failure to identify a trafficking victim correctly would probably result in the victim being denied his or her fundamental rights, and the prosecution being denied a necessary witness in the prosecution of the perpetrator. It was the second applicant</w:t>
      </w:r>
      <w:r w:rsidRPr="007C5C4F" w:rsidR="007C5C4F">
        <w:t>’</w:t>
      </w:r>
      <w:r w:rsidRPr="007C5C4F">
        <w:t>s contention that he had been deprived of the protection to which he was entitled as a victim of trafficking on account of the failure by the police, prosecutors and judiciary to identify him as such prior to his criminal conviction, despite the fact that at the date of his arrest police and prosecutors were well aware that many Vietnamese children had been trafficked to and within the United Kingdom for the purposes of exploitation in the production of cannabis. In the second applicant</w:t>
      </w:r>
      <w:r w:rsidRPr="007C5C4F" w:rsidR="007C5C4F">
        <w:t>’</w:t>
      </w:r>
      <w:r w:rsidRPr="007C5C4F">
        <w:t>s view, based on the available evidence, including the statements he himself had made following his arrest, the police and prosecutors involved in his case ought to have been aware of circumstances giving rise to a credible suspicion that he had been trafficked. The fact that the second applicant did not himself claim to be a victim of trafficking was irrelevant as victims of trafficking could not be expected to self-identify.</w:t>
      </w:r>
    </w:p>
    <w:p w:rsidRPr="007C5C4F" w:rsidR="005E3D7B" w:rsidP="007C5C4F" w14:paraId="233023A5" w14:textId="227645A7">
      <w:pPr>
        <w:pStyle w:val="JuPara"/>
      </w:pPr>
      <w:r w:rsidRPr="007C5C4F">
        <w:fldChar w:fldCharType="begin"/>
      </w:r>
      <w:r w:rsidRPr="007C5C4F">
        <w:instrText xml:space="preserve"> SEQ level0 \*arabic </w:instrText>
      </w:r>
      <w:r w:rsidRPr="007C5C4F">
        <w:fldChar w:fldCharType="separate"/>
      </w:r>
      <w:r w:rsidRPr="007C5C4F" w:rsidR="007C5C4F">
        <w:rPr>
          <w:noProof/>
        </w:rPr>
        <w:t>129</w:t>
      </w:r>
      <w:r w:rsidRPr="007C5C4F">
        <w:fldChar w:fldCharType="end"/>
      </w:r>
      <w:r w:rsidRPr="007C5C4F">
        <w:t>.  As he was a minor, he argued that the obligation to identify was particularly crucial as police, prosecutors and judges could not respect the principle of the best interests of the child if they had not properly identified the child as a victim of trafficking.</w:t>
      </w:r>
    </w:p>
    <w:p w:rsidRPr="007C5C4F" w:rsidR="005E3D7B" w:rsidP="007C5C4F" w14:paraId="08D4471D" w14:textId="1959B001">
      <w:pPr>
        <w:pStyle w:val="JuPara"/>
      </w:pPr>
      <w:r w:rsidRPr="007C5C4F">
        <w:fldChar w:fldCharType="begin"/>
      </w:r>
      <w:r w:rsidRPr="007C5C4F">
        <w:instrText xml:space="preserve"> SEQ level0 \*arabic </w:instrText>
      </w:r>
      <w:r w:rsidRPr="007C5C4F">
        <w:fldChar w:fldCharType="separate"/>
      </w:r>
      <w:r w:rsidRPr="007C5C4F" w:rsidR="007C5C4F">
        <w:rPr>
          <w:noProof/>
        </w:rPr>
        <w:t>130</w:t>
      </w:r>
      <w:r w:rsidRPr="007C5C4F">
        <w:fldChar w:fldCharType="end"/>
      </w:r>
      <w:r w:rsidRPr="007C5C4F">
        <w:t>.  The second applicant contended that the legal framework in place at the time for protecting potentially trafficked children was inadequate. First of all, the guidance on the use of prosecutorial discretion was not sufficiently robust to ensure the identification of trafficking victims accused of offences, with a view to ceasing prosecution in circumstances where prosecution was inconsistent with the accused</w:t>
      </w:r>
      <w:r w:rsidRPr="007C5C4F" w:rsidR="007C5C4F">
        <w:t>’</w:t>
      </w:r>
      <w:r w:rsidRPr="007C5C4F">
        <w:t xml:space="preserve">s human rights; and the restrictive review applied by the Court of Appeal when examining challenges to the exercise of that discretion was too limited adequately to protect victims of trafficking. Secondly, domestic law did not criminalise internal trafficking within the United Kingdom, with the result that prosecutors wrongly focused only on whether he had been smuggled or trafficked into the United Kingdom, whilst failing to pay any regard to whether he was a victim of internal trafficking for the purposes of exploitation in the cannabis factory or a victim of forced labour or slavery </w:t>
      </w:r>
      <w:r w:rsidRPr="007C5C4F">
        <w:rPr>
          <w:i/>
        </w:rPr>
        <w:t>per se</w:t>
      </w:r>
      <w:r w:rsidRPr="007C5C4F">
        <w:t>.</w:t>
      </w:r>
    </w:p>
    <w:p w:rsidRPr="007C5C4F" w:rsidR="005E3D7B" w:rsidP="007C5C4F" w14:paraId="52B8D2AA" w14:textId="1744126F">
      <w:pPr>
        <w:pStyle w:val="JuPara"/>
      </w:pPr>
      <w:r w:rsidRPr="007C5C4F">
        <w:fldChar w:fldCharType="begin"/>
      </w:r>
      <w:r w:rsidRPr="007C5C4F">
        <w:instrText xml:space="preserve"> SEQ level0 \*arabic </w:instrText>
      </w:r>
      <w:r w:rsidRPr="007C5C4F">
        <w:fldChar w:fldCharType="separate"/>
      </w:r>
      <w:r w:rsidRPr="007C5C4F" w:rsidR="007C5C4F">
        <w:rPr>
          <w:noProof/>
        </w:rPr>
        <w:t>131</w:t>
      </w:r>
      <w:r w:rsidRPr="007C5C4F">
        <w:fldChar w:fldCharType="end"/>
      </w:r>
      <w:r w:rsidRPr="007C5C4F">
        <w:t>.  On the facts of his case, he contended that as there had been clear indicators of trafficking on his arrest the police and prosecutor should have referred him to the NRM (see paragraph 75 above), and that the trial judge should not have convicted or sentenced him. Their failure to do so had important consequences for him, since his conviction would likely prevent him from accessing lawful employment and otherwise enjoying a safe and secure existence in the respondent State.</w:t>
      </w:r>
    </w:p>
    <w:p w:rsidRPr="007C5C4F" w:rsidR="005E3D7B" w:rsidP="007C5C4F" w14:paraId="1776A744" w14:textId="77777777">
      <w:pPr>
        <w:pStyle w:val="JuHa0"/>
        <w:ind w:left="975" w:hanging="340"/>
        <w:jc w:val="left"/>
      </w:pPr>
      <w:r w:rsidRPr="007C5C4F">
        <w:t>The Government</w:t>
      </w:r>
    </w:p>
    <w:p w:rsidRPr="007C5C4F" w:rsidR="005E3D7B" w:rsidP="007C5C4F" w14:paraId="3DFB9792" w14:textId="77777777">
      <w:pPr>
        <w:pStyle w:val="JuHi"/>
        <w:tabs>
          <w:tab w:val="clear" w:pos="1077"/>
          <w:tab w:val="clear" w:pos="1134"/>
          <w:tab w:val="clear" w:pos="1191"/>
          <w:tab w:val="clear" w:pos="1247"/>
        </w:tabs>
        <w:ind w:left="1191" w:hanging="358"/>
        <w:jc w:val="left"/>
      </w:pPr>
      <w:r w:rsidRPr="007C5C4F">
        <w:t>As regards the first applicant</w:t>
      </w:r>
    </w:p>
    <w:p w:rsidRPr="007C5C4F" w:rsidR="005E3D7B" w:rsidP="007C5C4F" w14:paraId="77F29AE5" w14:textId="092A8775">
      <w:pPr>
        <w:pStyle w:val="JuPara"/>
      </w:pPr>
      <w:r w:rsidRPr="007C5C4F">
        <w:fldChar w:fldCharType="begin"/>
      </w:r>
      <w:r w:rsidRPr="007C5C4F">
        <w:instrText xml:space="preserve"> SEQ level0 \*arabic </w:instrText>
      </w:r>
      <w:r w:rsidRPr="007C5C4F">
        <w:fldChar w:fldCharType="separate"/>
      </w:r>
      <w:r w:rsidRPr="007C5C4F" w:rsidR="007C5C4F">
        <w:rPr>
          <w:noProof/>
        </w:rPr>
        <w:t>132</w:t>
      </w:r>
      <w:r w:rsidRPr="007C5C4F">
        <w:fldChar w:fldCharType="end"/>
      </w:r>
      <w:r w:rsidRPr="007C5C4F">
        <w:t>.  The Government submitted that the case turned entirely on factual issues which had been resolved fairly by the domestic courts. The CPS had taken the view that the first applicant was not a victim of trafficking and the relevant nexus was not established between the offence and any trafficking. The appeal courts had endorsed that view. The first applicant had not sought to persuade the Crown Court that he was a victim of trafficking or that there was a nexus between trafficking and the offence, but even if he had the Court of Appeal had reached the “unhesitating conclusion” that the argument would have been rejected on the facts.</w:t>
      </w:r>
    </w:p>
    <w:p w:rsidRPr="007C5C4F" w:rsidR="005E3D7B" w:rsidP="007C5C4F" w14:paraId="312D41BF" w14:textId="295C9985">
      <w:pPr>
        <w:pStyle w:val="JuPara"/>
      </w:pPr>
      <w:r w:rsidRPr="007C5C4F">
        <w:fldChar w:fldCharType="begin"/>
      </w:r>
      <w:r w:rsidRPr="007C5C4F">
        <w:instrText xml:space="preserve"> SEQ level0 \*arabic </w:instrText>
      </w:r>
      <w:r w:rsidRPr="007C5C4F">
        <w:fldChar w:fldCharType="separate"/>
      </w:r>
      <w:r w:rsidRPr="007C5C4F" w:rsidR="007C5C4F">
        <w:rPr>
          <w:noProof/>
        </w:rPr>
        <w:t>133</w:t>
      </w:r>
      <w:r w:rsidRPr="007C5C4F">
        <w:fldChar w:fldCharType="end"/>
      </w:r>
      <w:r w:rsidRPr="007C5C4F">
        <w:t>.  In fact, it was the Government</w:t>
      </w:r>
      <w:r w:rsidRPr="007C5C4F" w:rsidR="007C5C4F">
        <w:t>’</w:t>
      </w:r>
      <w:r w:rsidRPr="007C5C4F">
        <w:t>s contention that the starting-point in the case was that the Court of Appeal, on two successive occasions, had carefully considered the first applicant</w:t>
      </w:r>
      <w:r w:rsidRPr="007C5C4F" w:rsidR="007C5C4F">
        <w:t>’</w:t>
      </w:r>
      <w:r w:rsidRPr="007C5C4F">
        <w:t>s case and decided that the CPS had been entitled to reach the view that it had, which was that he was not a victim of trafficking and that the relevant nexus between the offence and his possible status as a child victim of trafficking had not been established. This conclusion was not reached by interpreting the law to his disadvantage but because of the factual circumstances of his case.</w:t>
      </w:r>
    </w:p>
    <w:bookmarkStart w:name="para125" w:id="67"/>
    <w:p w:rsidRPr="007C5C4F" w:rsidR="005E3D7B" w:rsidP="007C5C4F" w14:paraId="30400E49" w14:textId="4FFBA8B9">
      <w:pPr>
        <w:pStyle w:val="JuPara"/>
      </w:pPr>
      <w:r w:rsidRPr="007C5C4F">
        <w:fldChar w:fldCharType="begin"/>
      </w:r>
      <w:r w:rsidRPr="007C5C4F">
        <w:instrText xml:space="preserve"> SEQ level0 \*arabic </w:instrText>
      </w:r>
      <w:r w:rsidRPr="007C5C4F">
        <w:fldChar w:fldCharType="separate"/>
      </w:r>
      <w:r w:rsidRPr="007C5C4F" w:rsidR="007C5C4F">
        <w:rPr>
          <w:noProof/>
        </w:rPr>
        <w:t>134</w:t>
      </w:r>
      <w:r w:rsidRPr="007C5C4F">
        <w:fldChar w:fldCharType="end"/>
      </w:r>
      <w:bookmarkEnd w:id="67"/>
      <w:r w:rsidRPr="007C5C4F">
        <w:t>.  In the Government</w:t>
      </w:r>
      <w:r w:rsidRPr="007C5C4F" w:rsidR="007C5C4F">
        <w:t>’</w:t>
      </w:r>
      <w:r w:rsidRPr="007C5C4F">
        <w:t>s view, the approach taken by the domestic authorities had complied with both the domestic and international legal framework. The first applicant had been flagged as a potential victim of trafficking notwithstanding that neither he nor the lawyers representing him in the criminal proceedings had asserted that this had been the case. He had then been given the benefit of a forty-five-day reflection period during which no action was taken in his prosecution. The reports in which the Competent Authority concluded that he had been a victim of trafficking were considered by the CPS. The decision to prosecute had regard to specific CPS guidance which recognised the vulnerability of victims – and especially child victims – of trafficking and recognised that if a person had been trafficked, it might affect both whether there was sufficient evidence to prosecute and whether it was in the public interest to do so. After the initial charging decision, the case had been reviewed by a lawyer and counsel following receipt of the trafficking assessment; it was further reviewed by the principal reviewing lawyer assigned to the case after receipt of the reasonable grounds decision; and her decision was subsequently approved by the Chief Crown Prosecutor for Cambridgeshire. The procedures followed in the Crown Court had afforded the first applicant and his lawyers ample time and the express opportunity to raise arguments based on his identification as a victim of trafficking, both before and after he had entered his plea. Lastly, the case had been considered twice by the Court of Appeal on the basis that a child should not be prosecuted for an offence where there was a sufficient nexus between trafficking for the purposes of exploitation and the offence, and that it was not necessary to go so far as to show there was compulsion to commit the offence.</w:t>
      </w:r>
    </w:p>
    <w:p w:rsidRPr="007C5C4F" w:rsidR="005E3D7B" w:rsidP="007C5C4F" w14:paraId="2470CE74" w14:textId="3E3396EB">
      <w:pPr>
        <w:pStyle w:val="JuPara"/>
      </w:pPr>
      <w:r w:rsidRPr="007C5C4F">
        <w:fldChar w:fldCharType="begin"/>
      </w:r>
      <w:r w:rsidRPr="007C5C4F">
        <w:instrText xml:space="preserve"> SEQ level0 \*arabic </w:instrText>
      </w:r>
      <w:r w:rsidRPr="007C5C4F">
        <w:fldChar w:fldCharType="separate"/>
      </w:r>
      <w:r w:rsidRPr="007C5C4F" w:rsidR="007C5C4F">
        <w:rPr>
          <w:noProof/>
        </w:rPr>
        <w:t>135</w:t>
      </w:r>
      <w:r w:rsidRPr="007C5C4F">
        <w:fldChar w:fldCharType="end"/>
      </w:r>
      <w:r w:rsidRPr="007C5C4F">
        <w:t xml:space="preserve">.  In so far as the first applicant sought to frame his argument on the basis of a failure by the domestic authorities to investigate, the Government submitted that the domestic authorities had in fact taken all the appropriate investigative steps. He had been assessed by </w:t>
      </w:r>
      <w:r w:rsidRPr="007C5C4F" w:rsidR="00273907">
        <w:t>UKBA</w:t>
      </w:r>
      <w:r w:rsidRPr="007C5C4F">
        <w:t xml:space="preserve"> and recognised by them as a victim of trafficking; on this basis and as a vulnerable unaccompanied child he had been given support; operational measures had been put in place to arrange accommodation, education, immigration help and to protect him from exploitation in the event that he was released from prison; the police and prosecution had liaised with other Government agencies; and the position had been kept under review. However, the prosecution had not been bound by the determination of the Border Agency.</w:t>
      </w:r>
    </w:p>
    <w:p w:rsidRPr="007C5C4F" w:rsidR="005E3D7B" w:rsidP="007C5C4F" w14:paraId="16ACFA01" w14:textId="09C30A50">
      <w:pPr>
        <w:pStyle w:val="JuPara"/>
      </w:pPr>
      <w:r w:rsidRPr="007C5C4F">
        <w:fldChar w:fldCharType="begin"/>
      </w:r>
      <w:r w:rsidRPr="007C5C4F">
        <w:instrText xml:space="preserve"> SEQ level0 \*arabic </w:instrText>
      </w:r>
      <w:r w:rsidRPr="007C5C4F">
        <w:fldChar w:fldCharType="separate"/>
      </w:r>
      <w:r w:rsidRPr="007C5C4F" w:rsidR="007C5C4F">
        <w:rPr>
          <w:noProof/>
        </w:rPr>
        <w:t>136</w:t>
      </w:r>
      <w:r w:rsidRPr="007C5C4F">
        <w:fldChar w:fldCharType="end"/>
      </w:r>
      <w:r w:rsidRPr="007C5C4F">
        <w:t>.  Lastly, the Government argued that it would be wrong for the Court to import Article 26 of the Anti-Trafficking Convention wholesale into Article 4 of the Convention, or to interfere with the conclusions of the courts as to which body had ultimate power, in domestic law, to consider the factual position in order to give effect to the rights protected under the Convention. Such interference would be particularly prohibited where the courts had given detailed consideration to the issue, aware that in doing so they were departing from a decision of the Competent Authority that a defendant was a victim of trafficking.</w:t>
      </w:r>
    </w:p>
    <w:p w:rsidRPr="007C5C4F" w:rsidR="005E3D7B" w:rsidP="007C5C4F" w14:paraId="04FFC53E" w14:textId="77777777">
      <w:pPr>
        <w:pStyle w:val="JuHi"/>
        <w:tabs>
          <w:tab w:val="clear" w:pos="1077"/>
          <w:tab w:val="clear" w:pos="1134"/>
          <w:tab w:val="clear" w:pos="1191"/>
          <w:tab w:val="clear" w:pos="1247"/>
        </w:tabs>
        <w:ind w:left="1191" w:hanging="358"/>
        <w:jc w:val="left"/>
      </w:pPr>
      <w:r w:rsidRPr="007C5C4F">
        <w:t>As regards the second applicant</w:t>
      </w:r>
    </w:p>
    <w:p w:rsidRPr="007C5C4F" w:rsidR="005E3D7B" w:rsidP="007C5C4F" w14:paraId="633E9CEF" w14:textId="6D8AB50C">
      <w:pPr>
        <w:pStyle w:val="JuPara"/>
      </w:pPr>
      <w:r w:rsidRPr="007C5C4F">
        <w:fldChar w:fldCharType="begin"/>
      </w:r>
      <w:r w:rsidRPr="007C5C4F">
        <w:instrText xml:space="preserve"> SEQ level0 \*arabic </w:instrText>
      </w:r>
      <w:r w:rsidRPr="007C5C4F">
        <w:fldChar w:fldCharType="separate"/>
      </w:r>
      <w:r w:rsidRPr="007C5C4F" w:rsidR="007C5C4F">
        <w:rPr>
          <w:noProof/>
        </w:rPr>
        <w:t>137</w:t>
      </w:r>
      <w:r w:rsidRPr="007C5C4F">
        <w:fldChar w:fldCharType="end"/>
      </w:r>
      <w:r w:rsidRPr="007C5C4F">
        <w:t>.  The Government submitted, at the outset, that as the second applicant had only complained before the domestic courts that his conviction was unsafe because he should not have been prosecuted as a victim of trafficking, the Court</w:t>
      </w:r>
      <w:r w:rsidRPr="007C5C4F" w:rsidR="007C5C4F">
        <w:t>’</w:t>
      </w:r>
      <w:r w:rsidRPr="007C5C4F">
        <w:t>s consideration of his complaint should be so limited. He had not complained domestically about any failure to conduct an adequate criminal investigation into the circumstances of his alleged trafficking; nor had he contended that either the substantive criminal law or applicable procedure was incompatible with Article 4 of the Convention.</w:t>
      </w:r>
    </w:p>
    <w:p w:rsidRPr="007C5C4F" w:rsidR="005E3D7B" w:rsidP="007C5C4F" w14:paraId="74176C9D" w14:textId="555BE6E2">
      <w:pPr>
        <w:pStyle w:val="JuPara"/>
      </w:pPr>
      <w:r w:rsidRPr="007C5C4F">
        <w:fldChar w:fldCharType="begin"/>
      </w:r>
      <w:r w:rsidRPr="007C5C4F">
        <w:instrText xml:space="preserve"> SEQ level0 \*arabic </w:instrText>
      </w:r>
      <w:r w:rsidRPr="007C5C4F">
        <w:fldChar w:fldCharType="separate"/>
      </w:r>
      <w:r w:rsidRPr="007C5C4F" w:rsidR="007C5C4F">
        <w:rPr>
          <w:noProof/>
        </w:rPr>
        <w:t>138</w:t>
      </w:r>
      <w:r w:rsidRPr="007C5C4F">
        <w:fldChar w:fldCharType="end"/>
      </w:r>
      <w:r w:rsidRPr="007C5C4F">
        <w:t>.  As with the first applicant, the Government further argued that the CPS had been entitled to reach an independent view from that of the Border Agency regarding whether or not an individual was a victim of trafficking, and to form the view that in an individual case, taking into account the seriousness of the offending and all of the surrounding circumstances, it was in the public interest to prosecute. Consequently, the decision taken by the Border Agency had not undermined the factual determination of the domestic courts, either at first instance or on appeal, and it followed that the second applicant had not been prosecuted for any offence committed in circumstances protected by Article 4 of the Convention.</w:t>
      </w:r>
    </w:p>
    <w:p w:rsidRPr="007C5C4F" w:rsidR="005E3D7B" w:rsidP="007C5C4F" w14:paraId="41AEC38A" w14:textId="144E3657">
      <w:pPr>
        <w:pStyle w:val="JuPara"/>
      </w:pPr>
      <w:r w:rsidRPr="007C5C4F">
        <w:fldChar w:fldCharType="begin"/>
      </w:r>
      <w:r w:rsidRPr="007C5C4F">
        <w:instrText xml:space="preserve"> SEQ level0 \*arabic </w:instrText>
      </w:r>
      <w:r w:rsidRPr="007C5C4F">
        <w:fldChar w:fldCharType="separate"/>
      </w:r>
      <w:r w:rsidRPr="007C5C4F" w:rsidR="007C5C4F">
        <w:rPr>
          <w:noProof/>
        </w:rPr>
        <w:t>139</w:t>
      </w:r>
      <w:r w:rsidRPr="007C5C4F">
        <w:fldChar w:fldCharType="end"/>
      </w:r>
      <w:r w:rsidRPr="007C5C4F">
        <w:t>.  In this regard, the Government submitted that the CPS, on two successive occasions, and thereafter the Court of Appeal, which had before it the explanation given by NSPCC NCTAIL for the pattern of inconsistencies in the second applicant</w:t>
      </w:r>
      <w:r w:rsidRPr="007C5C4F" w:rsidR="007C5C4F">
        <w:t>’</w:t>
      </w:r>
      <w:r w:rsidRPr="007C5C4F">
        <w:t>s account, had carefully considered his case and had been entitled to take the view that he was not a victim of trafficking and that it was in the public interest to prosecute him.</w:t>
      </w:r>
    </w:p>
    <w:p w:rsidRPr="007C5C4F" w:rsidR="005E3D7B" w:rsidP="007C5C4F" w14:paraId="68904C63" w14:textId="51B0A732">
      <w:pPr>
        <w:pStyle w:val="JuPara"/>
      </w:pPr>
      <w:r w:rsidRPr="007C5C4F">
        <w:fldChar w:fldCharType="begin"/>
      </w:r>
      <w:r w:rsidRPr="007C5C4F">
        <w:instrText xml:space="preserve"> SEQ level0 \*arabic </w:instrText>
      </w:r>
      <w:r w:rsidRPr="007C5C4F">
        <w:fldChar w:fldCharType="separate"/>
      </w:r>
      <w:r w:rsidRPr="007C5C4F" w:rsidR="007C5C4F">
        <w:rPr>
          <w:noProof/>
        </w:rPr>
        <w:t>140</w:t>
      </w:r>
      <w:r w:rsidRPr="007C5C4F">
        <w:fldChar w:fldCharType="end"/>
      </w:r>
      <w:r w:rsidRPr="007C5C4F">
        <w:t>.  In the Government</w:t>
      </w:r>
      <w:r w:rsidRPr="007C5C4F" w:rsidR="007C5C4F">
        <w:t>’</w:t>
      </w:r>
      <w:r w:rsidRPr="007C5C4F">
        <w:t>s view, while Article 4 did not operate in a vacuum, and regard could be had to the definitions in the Anti-Trafficking Convention and the Palermo Protocol, it did not follow that specific procedural commitments in other international instruments, such as the non-prosecution clause in Article 26 of the Anti-Trafficking Convention, should be understood as forming part of the Convention itself. On the contrary, all that was required under the Convention was that any investigation and prosecution should be approached on a basis which demonstrates respect for the freedoms guaranteed by Article 4. According to the Government, in the second applicant</w:t>
      </w:r>
      <w:r w:rsidRPr="007C5C4F" w:rsidR="007C5C4F">
        <w:t>’</w:t>
      </w:r>
      <w:r w:rsidRPr="007C5C4F">
        <w:t>s case the authorities</w:t>
      </w:r>
      <w:r w:rsidRPr="007C5C4F" w:rsidR="007C5C4F">
        <w:t>’</w:t>
      </w:r>
      <w:r w:rsidRPr="007C5C4F">
        <w:t xml:space="preserve"> manifestly did so. First of all, the CPS had a discretion whether or not to prosecute him and this decision was based not only on the evidence against him but also on consideration of whether, in the light of the surrounding factual circumstances, it was in the public interest to proceed against him. Secondly, it was open to the second applicant to challenge the decision to prosecute him, either by making representations to the CPS, by arguing that the proceedings were an abuse of process, or by seeking to judicially review the decision. Thirdly, upon the determination by the Border Agency being communicated to the CPS, it commissioned an </w:t>
      </w:r>
      <w:r w:rsidRPr="007C5C4F">
        <w:rPr>
          <w:i/>
          <w:iCs/>
        </w:rPr>
        <w:t>ex post facto</w:t>
      </w:r>
      <w:r w:rsidRPr="007C5C4F">
        <w:t xml:space="preserve"> review by a Special Casework Lawyer who considered both the evidence that had been available at the time of the prosecution and that which had been obtained subsequently and reached a reasoned decision that the initial accounts given by the second applicant were nearest to the truth and that there was no credible suspicion that he was a victim of trafficking. Lastly, the Court of Appeal considered his case with care before concluding that the CPS had been entitled to reach the decision that it did.</w:t>
      </w:r>
    </w:p>
    <w:p w:rsidRPr="007C5C4F" w:rsidR="005E3D7B" w:rsidP="007C5C4F" w14:paraId="02CF6835" w14:textId="55C195B0">
      <w:pPr>
        <w:pStyle w:val="JuPara"/>
      </w:pPr>
      <w:r w:rsidRPr="007C5C4F">
        <w:fldChar w:fldCharType="begin"/>
      </w:r>
      <w:r w:rsidRPr="007C5C4F">
        <w:instrText xml:space="preserve"> SEQ level0 \*arabic </w:instrText>
      </w:r>
      <w:r w:rsidRPr="007C5C4F">
        <w:fldChar w:fldCharType="separate"/>
      </w:r>
      <w:r w:rsidRPr="007C5C4F" w:rsidR="007C5C4F">
        <w:rPr>
          <w:noProof/>
        </w:rPr>
        <w:t>141</w:t>
      </w:r>
      <w:r w:rsidRPr="007C5C4F">
        <w:fldChar w:fldCharType="end"/>
      </w:r>
      <w:r w:rsidRPr="007C5C4F">
        <w:t>.  In so far as the second applicant complained of a failure to investigate, his situation as a potential victim of trafficking had been scrutinised by the Competent Authority, his legal representatives, the expert witnesses such as the NSPCC witness and the psychiatrist, the CPS and the domestic courts.</w:t>
      </w:r>
    </w:p>
    <w:p w:rsidRPr="007C5C4F" w:rsidR="005E3D7B" w:rsidP="007C5C4F" w14:paraId="69DD5E7E" w14:textId="1EDB0AE6">
      <w:pPr>
        <w:pStyle w:val="JuH1"/>
        <w:ind w:left="731" w:hanging="300"/>
        <w:jc w:val="left"/>
      </w:pPr>
      <w:r w:rsidRPr="007C5C4F">
        <w:t>The third-party interveners</w:t>
      </w:r>
      <w:r w:rsidRPr="007C5C4F" w:rsidR="007C5C4F">
        <w:t>’</w:t>
      </w:r>
      <w:r w:rsidRPr="007C5C4F">
        <w:t xml:space="preserve"> submissions</w:t>
      </w:r>
    </w:p>
    <w:p w:rsidRPr="007C5C4F" w:rsidR="005E3D7B" w:rsidP="007C5C4F" w14:paraId="6C7EEC2D" w14:textId="77777777">
      <w:pPr>
        <w:pStyle w:val="JuHa0"/>
        <w:ind w:left="975" w:hanging="340"/>
        <w:jc w:val="left"/>
      </w:pPr>
      <w:r w:rsidRPr="007C5C4F">
        <w:t>Group of Experts on Trafficking in Human Beings (GRETA)</w:t>
      </w:r>
    </w:p>
    <w:p w:rsidRPr="007C5C4F" w:rsidR="005E3D7B" w:rsidP="007C5C4F" w14:paraId="5C377A79" w14:textId="651A249C">
      <w:pPr>
        <w:pStyle w:val="JuPara"/>
      </w:pPr>
      <w:r w:rsidRPr="007C5C4F">
        <w:fldChar w:fldCharType="begin"/>
      </w:r>
      <w:r w:rsidRPr="007C5C4F">
        <w:instrText xml:space="preserve"> SEQ level0 \*arabic </w:instrText>
      </w:r>
      <w:r w:rsidRPr="007C5C4F">
        <w:fldChar w:fldCharType="separate"/>
      </w:r>
      <w:r w:rsidRPr="007C5C4F" w:rsidR="007C5C4F">
        <w:rPr>
          <w:noProof/>
        </w:rPr>
        <w:t>142</w:t>
      </w:r>
      <w:r w:rsidRPr="007C5C4F">
        <w:fldChar w:fldCharType="end"/>
      </w:r>
      <w:r w:rsidRPr="007C5C4F">
        <w:t>.  GRETA stressed that in order to protect and assist trafficking victims, it was of the utmost importance to identify them correctly. Nevertheless, despite the guidance provided by the Association of Chief Police Officers (ACPO) on how to safeguard children found on cannabis factories, there had been cases in the United Kingdom of victims of trafficking being arrested, prosecuted and convicted in relation to cannabis cultivation. In GRETA</w:t>
      </w:r>
      <w:r w:rsidRPr="007C5C4F" w:rsidR="007C5C4F">
        <w:t>’</w:t>
      </w:r>
      <w:r w:rsidRPr="007C5C4F">
        <w:t>s view this hinged on the fact that they had not been identified as possible victims by the relevant professionals with whom they had been in contact. In particular, it appeared that duty solicitors often advised children involved in cannabis cultivation to plead guilty as a way of spending less time in detention. In its first report on the United Kingdom, GRETA had called on the State to ensure that the ACPO guidance was fully applied in order to avoid the imposition of penalties on identified victims of trafficking for their involvement – where so compelled – in unlawful activities.</w:t>
      </w:r>
    </w:p>
    <w:p w:rsidRPr="007C5C4F" w:rsidR="005E3D7B" w:rsidP="007C5C4F" w14:paraId="5762652C" w14:textId="626FE437">
      <w:pPr>
        <w:pStyle w:val="JuPara"/>
      </w:pPr>
      <w:r w:rsidRPr="007C5C4F">
        <w:fldChar w:fldCharType="begin"/>
      </w:r>
      <w:r w:rsidRPr="007C5C4F">
        <w:instrText xml:space="preserve"> SEQ level0 \*arabic </w:instrText>
      </w:r>
      <w:r w:rsidRPr="007C5C4F">
        <w:fldChar w:fldCharType="separate"/>
      </w:r>
      <w:r w:rsidRPr="007C5C4F" w:rsidR="007C5C4F">
        <w:rPr>
          <w:noProof/>
        </w:rPr>
        <w:t>143</w:t>
      </w:r>
      <w:r w:rsidRPr="007C5C4F">
        <w:fldChar w:fldCharType="end"/>
      </w:r>
      <w:r w:rsidRPr="007C5C4F">
        <w:t>.  GRETA further indicated that the aim of Article 26 of the Anti-Trafficking Convention was to safeguard the human rights of victims and avoid further victimisation. Criminalisation of victims contravened the State</w:t>
      </w:r>
      <w:r w:rsidRPr="007C5C4F" w:rsidR="007C5C4F">
        <w:t>’</w:t>
      </w:r>
      <w:r w:rsidRPr="007C5C4F">
        <w:t>s obligation to provide services and assistance to them, and discouraged them from coming forward and cooperating with the investigation into those responsible for their trafficking.</w:t>
      </w:r>
    </w:p>
    <w:p w:rsidRPr="007C5C4F" w:rsidR="005E3D7B" w:rsidP="007C5C4F" w14:paraId="74D0346E" w14:textId="77777777">
      <w:pPr>
        <w:pStyle w:val="JuHa0"/>
        <w:ind w:left="975" w:hanging="340"/>
        <w:jc w:val="left"/>
      </w:pPr>
      <w:r w:rsidRPr="007C5C4F">
        <w:t>Anti-Slavery International</w:t>
      </w:r>
    </w:p>
    <w:p w:rsidRPr="007C5C4F" w:rsidR="005E3D7B" w:rsidP="007C5C4F" w14:paraId="72784BEE" w14:textId="19055412">
      <w:pPr>
        <w:pStyle w:val="JuPara"/>
      </w:pPr>
      <w:r w:rsidRPr="007C5C4F">
        <w:fldChar w:fldCharType="begin"/>
      </w:r>
      <w:r w:rsidRPr="007C5C4F">
        <w:instrText xml:space="preserve"> SEQ level0 \*arabic </w:instrText>
      </w:r>
      <w:r w:rsidRPr="007C5C4F">
        <w:fldChar w:fldCharType="separate"/>
      </w:r>
      <w:r w:rsidRPr="007C5C4F" w:rsidR="007C5C4F">
        <w:rPr>
          <w:noProof/>
        </w:rPr>
        <w:t>144</w:t>
      </w:r>
      <w:r w:rsidRPr="007C5C4F">
        <w:fldChar w:fldCharType="end"/>
      </w:r>
      <w:r w:rsidRPr="007C5C4F">
        <w:t>.  Anti-Slavery International argued that Article 4 of the Convention had to be interpreted in the light of the respondent State</w:t>
      </w:r>
      <w:r w:rsidRPr="007C5C4F" w:rsidR="007C5C4F">
        <w:t>’</w:t>
      </w:r>
      <w:r w:rsidRPr="007C5C4F">
        <w:t>s obligations under international treaties such as the Council of Europe Anti-Trafficking Convention, the EU Anti-Trafficking Directive and the Convention on the Rights of the Child. This meant that there were special and enhanced obligations towards trafficked children, whose best interests should be determinative in any decision-making procedure. In this regard, child trafficking victims should be given enhanced protection against punishment, since it was difficult to conceive of a case where it would be in the best interests of a trafficked child to be punished.</w:t>
      </w:r>
    </w:p>
    <w:p w:rsidRPr="007C5C4F" w:rsidR="005E3D7B" w:rsidP="007C5C4F" w14:paraId="0C05DFED" w14:textId="71FB9493">
      <w:pPr>
        <w:ind w:firstLine="284"/>
        <w:jc w:val="both"/>
      </w:pPr>
      <w:r w:rsidRPr="007C5C4F">
        <w:fldChar w:fldCharType="begin"/>
      </w:r>
      <w:r w:rsidRPr="007C5C4F">
        <w:instrText xml:space="preserve"> SEQ level0 \*arabic </w:instrText>
      </w:r>
      <w:r w:rsidRPr="007C5C4F">
        <w:fldChar w:fldCharType="separate"/>
      </w:r>
      <w:r w:rsidRPr="007C5C4F" w:rsidR="007C5C4F">
        <w:rPr>
          <w:noProof/>
        </w:rPr>
        <w:t>145</w:t>
      </w:r>
      <w:r w:rsidRPr="007C5C4F">
        <w:fldChar w:fldCharType="end"/>
      </w:r>
      <w:r w:rsidRPr="007C5C4F">
        <w:t>.  Moreover, when assessing whether a person is a victim of trafficking, credibility must be viewed through the trafficking perspective; so-called “traditional” adverse credibility factors may not be relevant and may even operate to the opposite effect. For example, it was a widely discredited “myth” that a person is not coerced if he or she did not take an opportunity to escape. There were multiple reasons why a person may not have escaped, as the Home Office Guidance on trafficking itself recognised.</w:t>
      </w:r>
    </w:p>
    <w:p w:rsidRPr="007C5C4F" w:rsidR="005E3D7B" w:rsidP="007C5C4F" w14:paraId="586C4151" w14:textId="77777777">
      <w:pPr>
        <w:pStyle w:val="JuHa0"/>
        <w:ind w:left="975" w:hanging="340"/>
        <w:jc w:val="left"/>
      </w:pPr>
      <w:r w:rsidRPr="007C5C4F">
        <w:t>Liberty</w:t>
      </w:r>
    </w:p>
    <w:p w:rsidRPr="007C5C4F" w:rsidR="005E3D7B" w:rsidP="007C5C4F" w14:paraId="4C129F6F" w14:textId="7743D7E2">
      <w:pPr>
        <w:pStyle w:val="JuPara"/>
      </w:pPr>
      <w:r w:rsidRPr="007C5C4F">
        <w:fldChar w:fldCharType="begin"/>
      </w:r>
      <w:r w:rsidRPr="007C5C4F">
        <w:instrText xml:space="preserve"> SEQ level0 \*arabic </w:instrText>
      </w:r>
      <w:r w:rsidRPr="007C5C4F">
        <w:fldChar w:fldCharType="separate"/>
      </w:r>
      <w:r w:rsidRPr="007C5C4F" w:rsidR="007C5C4F">
        <w:rPr>
          <w:noProof/>
        </w:rPr>
        <w:t>146</w:t>
      </w:r>
      <w:r w:rsidRPr="007C5C4F">
        <w:fldChar w:fldCharType="end"/>
      </w:r>
      <w:r w:rsidRPr="007C5C4F">
        <w:t>.  Liberty submitted that the positive obligation under Article 4 should be construed in the light of Article 26 of the Anti-Trafficking Convention and the EU Anti-Trafficking Directive to include a positive duty on the State to introduce legislative and other measures that specifically and effectively protect trafficked individuals against unlawful punishment for trafficking-related crimes. These measures should be capable of dealing with the whole criminal law chain, including the police, the prosecution and the courts. In the absence of such measures all State actors should remain under a positive obligation under Article 4 of the Convention to act having regard to the need to prevent trafficked individuals from unlawful punishment for trafficking-related crimes. This was necessary to protect trafficking victims from further harm.</w:t>
      </w:r>
    </w:p>
    <w:p w:rsidRPr="007C5C4F" w:rsidR="005E3D7B" w:rsidP="007C5C4F" w14:paraId="017B4B75" w14:textId="350CE2C4">
      <w:pPr>
        <w:pStyle w:val="JuPara"/>
      </w:pPr>
      <w:r w:rsidRPr="007C5C4F">
        <w:fldChar w:fldCharType="begin"/>
      </w:r>
      <w:r w:rsidRPr="007C5C4F">
        <w:instrText xml:space="preserve"> SEQ level0 \*arabic </w:instrText>
      </w:r>
      <w:r w:rsidRPr="007C5C4F">
        <w:fldChar w:fldCharType="separate"/>
      </w:r>
      <w:r w:rsidRPr="007C5C4F" w:rsidR="007C5C4F">
        <w:rPr>
          <w:noProof/>
        </w:rPr>
        <w:t>147</w:t>
      </w:r>
      <w:r w:rsidRPr="007C5C4F">
        <w:fldChar w:fldCharType="end"/>
      </w:r>
      <w:r w:rsidRPr="007C5C4F">
        <w:t>.  In Liberty</w:t>
      </w:r>
      <w:r w:rsidRPr="007C5C4F" w:rsidR="007C5C4F">
        <w:t>’</w:t>
      </w:r>
      <w:r w:rsidRPr="007C5C4F">
        <w:t>s view, there were significant lacunae in the procedural safeguards in the United Kingdom</w:t>
      </w:r>
      <w:r w:rsidRPr="007C5C4F" w:rsidR="007C5C4F">
        <w:t>’</w:t>
      </w:r>
      <w:r w:rsidRPr="007C5C4F">
        <w:t>s criminal justice system. The United Kingdom had not implemented any specific measure directed at the non-punishment of victims of trafficking, and while there was comprehensive guidance for prosecutors, no comparable measures were directed at the police, who were likely to be the first to encounter potential victims of trafficking. Identification at an early stage could, however, ensure that a trafficked individual never enters the criminal justice system. Similarly, there was no explicit duty on the courts to make enquiries into defendants</w:t>
      </w:r>
      <w:r w:rsidRPr="007C5C4F" w:rsidR="007C5C4F">
        <w:t>’</w:t>
      </w:r>
      <w:r w:rsidRPr="007C5C4F">
        <w:t xml:space="preserve"> potential victim status when they were first brought before them on a criminal charge or thereafter. Moreover, the abuse of power jurisdiction was inadequate as it was heavily dependent on an application being made on the defendant</w:t>
      </w:r>
      <w:r w:rsidRPr="007C5C4F" w:rsidR="007C5C4F">
        <w:t>’</w:t>
      </w:r>
      <w:r w:rsidRPr="007C5C4F">
        <w:t>s behalf and in cases where the defendant had pleaded guilty it was no longer possible for the court to stay the proceedings. While a procedure existed for vacating a guilty plea, it was also dependent on the defendant making the application.</w:t>
      </w:r>
    </w:p>
    <w:p w:rsidRPr="007C5C4F" w:rsidR="005E3D7B" w:rsidP="007C5C4F" w14:paraId="720A6AB8" w14:textId="018B6FF2">
      <w:pPr>
        <w:pStyle w:val="JuH1"/>
        <w:ind w:left="731" w:hanging="300"/>
        <w:jc w:val="left"/>
      </w:pPr>
      <w:r w:rsidRPr="007C5C4F">
        <w:t>The Court</w:t>
      </w:r>
      <w:r w:rsidRPr="007C5C4F" w:rsidR="007C5C4F">
        <w:t>’</w:t>
      </w:r>
      <w:r w:rsidRPr="007C5C4F">
        <w:t>s assessment</w:t>
      </w:r>
    </w:p>
    <w:p w:rsidRPr="007C5C4F" w:rsidR="005E3D7B" w:rsidP="007C5C4F" w14:paraId="14ACFCEC" w14:textId="77777777">
      <w:pPr>
        <w:pStyle w:val="JuHa0"/>
        <w:ind w:left="975" w:hanging="340"/>
        <w:jc w:val="left"/>
      </w:pPr>
      <w:r w:rsidRPr="007C5C4F">
        <w:t>General principles</w:t>
      </w:r>
    </w:p>
    <w:p w:rsidRPr="007C5C4F" w:rsidR="005E3D7B" w:rsidP="007C5C4F" w14:paraId="4B6FB44A" w14:textId="77777777">
      <w:pPr>
        <w:pStyle w:val="JuHi"/>
        <w:tabs>
          <w:tab w:val="clear" w:pos="1077"/>
          <w:tab w:val="clear" w:pos="1134"/>
          <w:tab w:val="clear" w:pos="1191"/>
          <w:tab w:val="clear" w:pos="1247"/>
        </w:tabs>
        <w:ind w:left="1191" w:hanging="358"/>
        <w:jc w:val="left"/>
      </w:pPr>
      <w:r w:rsidRPr="007C5C4F">
        <w:t>Scope of Article 4 of the Convention</w:t>
      </w:r>
    </w:p>
    <w:p w:rsidRPr="007C5C4F" w:rsidR="005E3D7B" w:rsidP="007C5C4F" w14:paraId="17644A76" w14:textId="15BD7058">
      <w:pPr>
        <w:pStyle w:val="JuPara"/>
      </w:pPr>
      <w:r w:rsidRPr="007C5C4F">
        <w:fldChar w:fldCharType="begin"/>
      </w:r>
      <w:r w:rsidRPr="007C5C4F">
        <w:instrText xml:space="preserve"> SEQ level0 \*arabic </w:instrText>
      </w:r>
      <w:r w:rsidRPr="007C5C4F">
        <w:fldChar w:fldCharType="separate"/>
      </w:r>
      <w:r w:rsidRPr="007C5C4F" w:rsidR="007C5C4F">
        <w:rPr>
          <w:noProof/>
        </w:rPr>
        <w:t>148</w:t>
      </w:r>
      <w:r w:rsidRPr="007C5C4F">
        <w:fldChar w:fldCharType="end"/>
      </w:r>
      <w:r w:rsidRPr="007C5C4F">
        <w:t xml:space="preserve">.  It is now well established that both national and transnational trafficking in human beings, irrespective of whether or not it is connected with organised crime, falls within the scope of Article 4 of the Convention (see </w:t>
      </w:r>
      <w:r w:rsidRPr="007C5C4F">
        <w:rPr>
          <w:i/>
          <w:iCs/>
        </w:rPr>
        <w:t>S.M. v. Croatia</w:t>
      </w:r>
      <w:r w:rsidRPr="007C5C4F">
        <w:t xml:space="preserve"> </w:t>
      </w:r>
      <w:r w:rsidRPr="007C5C4F">
        <w:rPr>
          <w:iCs/>
        </w:rPr>
        <w:t>[GC], no. 60561/14, § 296, 25 June 2020</w:t>
      </w:r>
      <w:r w:rsidRPr="007C5C4F">
        <w:t xml:space="preserve">). As such, it is not necessary to identify whether the treatment of which the applicant complains constitutes “slavery”, “servitude” or “forced [or] compulsory labour” (see </w:t>
      </w:r>
      <w:r w:rsidRPr="007C5C4F">
        <w:rPr>
          <w:i/>
        </w:rPr>
        <w:t>Rantsev v. Cyprus and Russia</w:t>
      </w:r>
      <w:r w:rsidRPr="007C5C4F">
        <w:t>, no. 25965/04, § 282, ECHR 2010).</w:t>
      </w:r>
    </w:p>
    <w:p w:rsidRPr="007C5C4F" w:rsidR="005E3D7B" w:rsidP="007C5C4F" w14:paraId="7D894098" w14:textId="5A6E174F">
      <w:pPr>
        <w:pStyle w:val="JuPara"/>
      </w:pPr>
      <w:r w:rsidRPr="007C5C4F">
        <w:fldChar w:fldCharType="begin"/>
      </w:r>
      <w:r w:rsidRPr="007C5C4F">
        <w:instrText xml:space="preserve"> SEQ level0 \*arabic </w:instrText>
      </w:r>
      <w:r w:rsidRPr="007C5C4F">
        <w:fldChar w:fldCharType="separate"/>
      </w:r>
      <w:r w:rsidRPr="007C5C4F" w:rsidR="007C5C4F">
        <w:rPr>
          <w:noProof/>
        </w:rPr>
        <w:t>149</w:t>
      </w:r>
      <w:r w:rsidRPr="007C5C4F">
        <w:fldChar w:fldCharType="end"/>
      </w:r>
      <w:r w:rsidRPr="007C5C4F">
        <w:t xml:space="preserve">.  Impugned conduct may give rise to an issue under Article 4 of the Convention only if all the constituent elements of the definition of trafficking contained in Article 3(a) of the Palermo Protocol and Article 4(a) of the Anti-Trafficking Convention (often described as “action”, “means” and “purpose”, although it is not necessary to show “means” in the case of a child) are present (see paragraphs </w:t>
      </w:r>
      <w:r w:rsidRPr="007C5C4F">
        <w:fldChar w:fldCharType="begin"/>
      </w:r>
      <w:r w:rsidRPr="007C5C4F">
        <w:instrText xml:space="preserve"> REF PP3 \h  \* MERGEFORMAT </w:instrText>
      </w:r>
      <w:r w:rsidRPr="007C5C4F">
        <w:fldChar w:fldCharType="separate"/>
      </w:r>
      <w:r w:rsidRPr="007C5C4F" w:rsidR="007C5C4F">
        <w:rPr>
          <w:rFonts w:eastAsiaTheme="minorEastAsia"/>
          <w:noProof/>
        </w:rPr>
        <w:t>94</w:t>
      </w:r>
      <w:r w:rsidRPr="007C5C4F">
        <w:fldChar w:fldCharType="end"/>
      </w:r>
      <w:r w:rsidRPr="007C5C4F">
        <w:t xml:space="preserve"> and </w:t>
      </w:r>
      <w:r w:rsidRPr="007C5C4F">
        <w:fldChar w:fldCharType="begin"/>
      </w:r>
      <w:r w:rsidRPr="007C5C4F">
        <w:instrText xml:space="preserve"> REF ATC3and10 \h  \* MERGEFORMAT </w:instrText>
      </w:r>
      <w:r w:rsidRPr="007C5C4F">
        <w:fldChar w:fldCharType="separate"/>
      </w:r>
      <w:r w:rsidRPr="007C5C4F" w:rsidR="007C5C4F">
        <w:rPr>
          <w:rFonts w:eastAsiaTheme="minorEastAsia"/>
          <w:noProof/>
        </w:rPr>
        <w:t>102</w:t>
      </w:r>
      <w:r w:rsidRPr="007C5C4F">
        <w:fldChar w:fldCharType="end"/>
      </w:r>
      <w:r w:rsidRPr="007C5C4F">
        <w:t xml:space="preserve"> above). The question whether a particular situation involves all the constituent elements of human trafficking is a factual question which must be examined in the light of all the relevant circumstances of a case (see </w:t>
      </w:r>
      <w:r w:rsidRPr="007C5C4F">
        <w:rPr>
          <w:i/>
          <w:iCs/>
        </w:rPr>
        <w:t>S.M. v. Croatia</w:t>
      </w:r>
      <w:r w:rsidRPr="007C5C4F">
        <w:t xml:space="preserve">, cited above, § 302). Similarly, the question whether an individual offers himself for work voluntarily is a factual question which must be examined in the light of all the relevant circumstances. However, the Court has made it clear that where an employer abuses his power or takes advantage of the vulnerability of his workers in order to exploit them, they do not offer themselves for work voluntarily. In this regard, the prior consent of the victim is not sufficient to exclude the characterisation of work as forced labour (see </w:t>
      </w:r>
      <w:r w:rsidRPr="007C5C4F">
        <w:rPr>
          <w:i/>
        </w:rPr>
        <w:t>Chowdury and Others v. Greece</w:t>
      </w:r>
      <w:r w:rsidRPr="007C5C4F">
        <w:t>, no. 21884/15, § 96, 30 March 2017).</w:t>
      </w:r>
    </w:p>
    <w:p w:rsidRPr="007C5C4F" w:rsidR="005E3D7B" w:rsidP="007C5C4F" w14:paraId="157FFC1C" w14:textId="38811590">
      <w:pPr>
        <w:pStyle w:val="JuHi"/>
        <w:tabs>
          <w:tab w:val="clear" w:pos="1077"/>
          <w:tab w:val="clear" w:pos="1134"/>
          <w:tab w:val="clear" w:pos="1191"/>
          <w:tab w:val="clear" w:pos="1247"/>
        </w:tabs>
        <w:ind w:left="1191" w:hanging="358"/>
        <w:jc w:val="left"/>
      </w:pPr>
      <w:r w:rsidRPr="007C5C4F">
        <w:t>The State</w:t>
      </w:r>
      <w:r w:rsidRPr="007C5C4F" w:rsidR="007C5C4F">
        <w:t>’</w:t>
      </w:r>
      <w:r w:rsidRPr="007C5C4F">
        <w:t>s positive obligations under Article 4</w:t>
      </w:r>
    </w:p>
    <w:bookmarkStart w:name="Light" w:id="68"/>
    <w:p w:rsidRPr="007C5C4F" w:rsidR="005E3D7B" w:rsidP="007C5C4F" w14:paraId="69F77F6F" w14:textId="7492F5A0">
      <w:pPr>
        <w:pStyle w:val="JuPara"/>
      </w:pPr>
      <w:r w:rsidRPr="007C5C4F">
        <w:fldChar w:fldCharType="begin"/>
      </w:r>
      <w:r w:rsidRPr="007C5C4F">
        <w:instrText xml:space="preserve"> SEQ level0 \*arabic </w:instrText>
      </w:r>
      <w:r w:rsidRPr="007C5C4F">
        <w:fldChar w:fldCharType="separate"/>
      </w:r>
      <w:r w:rsidRPr="007C5C4F" w:rsidR="007C5C4F">
        <w:rPr>
          <w:noProof/>
        </w:rPr>
        <w:t>150</w:t>
      </w:r>
      <w:r w:rsidRPr="007C5C4F">
        <w:fldChar w:fldCharType="end"/>
      </w:r>
      <w:bookmarkEnd w:id="68"/>
      <w:r w:rsidRPr="007C5C4F">
        <w:t>.  The member States</w:t>
      </w:r>
      <w:r w:rsidRPr="007C5C4F" w:rsidR="007C5C4F">
        <w:t>’</w:t>
      </w:r>
      <w:r w:rsidRPr="007C5C4F">
        <w:t xml:space="preserve"> positive obligations under Article 4 of the Convention must be construed in the light of the Council of Europe</w:t>
      </w:r>
      <w:r w:rsidRPr="007C5C4F" w:rsidR="007C5C4F">
        <w:t>’</w:t>
      </w:r>
      <w:r w:rsidRPr="007C5C4F">
        <w:t xml:space="preserve">s Anti-Trafficking Convention and be seen as requiring not only prevention but also victim protection and investigation. The Court is guided by the Anti-Trafficking Convention and the manner in which it has been interpreted by GRETA (see </w:t>
      </w:r>
      <w:r w:rsidRPr="007C5C4F">
        <w:rPr>
          <w:i/>
        </w:rPr>
        <w:t>Chowdury and Others</w:t>
      </w:r>
      <w:r w:rsidRPr="007C5C4F">
        <w:t>, cited above, § 104).</w:t>
      </w:r>
    </w:p>
    <w:p w:rsidRPr="007C5C4F" w:rsidR="005E3D7B" w:rsidP="007C5C4F" w14:paraId="56E0A72E" w14:textId="680BEAA8">
      <w:pPr>
        <w:pStyle w:val="JuPara"/>
      </w:pPr>
      <w:r w:rsidRPr="007C5C4F">
        <w:fldChar w:fldCharType="begin"/>
      </w:r>
      <w:r w:rsidRPr="007C5C4F">
        <w:instrText xml:space="preserve"> SEQ level0 \*arabic </w:instrText>
      </w:r>
      <w:r w:rsidRPr="007C5C4F">
        <w:fldChar w:fldCharType="separate"/>
      </w:r>
      <w:r w:rsidRPr="007C5C4F" w:rsidR="007C5C4F">
        <w:rPr>
          <w:noProof/>
        </w:rPr>
        <w:t>151</w:t>
      </w:r>
      <w:r w:rsidRPr="007C5C4F">
        <w:fldChar w:fldCharType="end"/>
      </w:r>
      <w:r w:rsidRPr="007C5C4F">
        <w:t xml:space="preserve">.  Article 4 entails a specific positive obligation on member States to penalise and prosecute effectively any act aimed at maintaining a person in a situation of slavery, servitude or forced or compulsory labour (see </w:t>
      </w:r>
      <w:r w:rsidRPr="007C5C4F">
        <w:rPr>
          <w:i/>
        </w:rPr>
        <w:t>Siliadin v. France</w:t>
      </w:r>
      <w:r w:rsidRPr="007C5C4F">
        <w:t>, no. 73316/01, §§ 89 and 112, ECHR 2005</w:t>
      </w:r>
      <w:r w:rsidRPr="007C5C4F">
        <w:noBreakHyphen/>
        <w:t xml:space="preserve">VII). In order to comply with this obligation, member States are required to put in place a legislative and administrative framework to prevent and punish trafficking and to protect victims (see </w:t>
      </w:r>
      <w:r w:rsidRPr="007C5C4F">
        <w:rPr>
          <w:i/>
          <w:iCs/>
        </w:rPr>
        <w:t>Rantsev</w:t>
      </w:r>
      <w:r w:rsidRPr="007C5C4F">
        <w:t>, cited above, § 285).</w:t>
      </w:r>
    </w:p>
    <w:bookmarkStart w:name="para146" w:id="69"/>
    <w:p w:rsidRPr="007C5C4F" w:rsidR="005E3D7B" w:rsidP="007C5C4F" w14:paraId="037A7219" w14:textId="555F29B9">
      <w:pPr>
        <w:pStyle w:val="JuPara"/>
      </w:pPr>
      <w:r w:rsidRPr="007C5C4F">
        <w:fldChar w:fldCharType="begin"/>
      </w:r>
      <w:r w:rsidRPr="007C5C4F">
        <w:instrText xml:space="preserve"> SEQ level0 \*arabic </w:instrText>
      </w:r>
      <w:r w:rsidRPr="007C5C4F">
        <w:fldChar w:fldCharType="separate"/>
      </w:r>
      <w:r w:rsidRPr="007C5C4F" w:rsidR="007C5C4F">
        <w:rPr>
          <w:noProof/>
        </w:rPr>
        <w:t>152</w:t>
      </w:r>
      <w:r w:rsidRPr="007C5C4F">
        <w:fldChar w:fldCharType="end"/>
      </w:r>
      <w:bookmarkEnd w:id="69"/>
      <w:r w:rsidRPr="007C5C4F">
        <w:t xml:space="preserve">.  As with Articles 2 and 3 of the Convention, Article 4 may, in certain circumstances, require a State to take operational measures to protect victims, or potential victims, of trafficking. In order for a positive obligation to take operational measures to arise in the circumstances of a particular case, it must be demonstrated that the State authorities were aware, or ought to have been aware, of circumstances giving rise to a credible suspicion that an identified individual had been, or was at real and immediate risk of being, trafficked or exploited within the meaning of Article 3(a) of the Palermo Protocol and Article 4(a) of the Anti-Trafficking Convention. When this is the case, there will be a violation of Article 4 of the Convention where the authorities fail to take appropriate measures within the scope of their powers to remove the individual from that situation or risk (see </w:t>
      </w:r>
      <w:r w:rsidRPr="007C5C4F">
        <w:rPr>
          <w:i/>
          <w:iCs/>
        </w:rPr>
        <w:t>Rantsev</w:t>
      </w:r>
      <w:r w:rsidRPr="007C5C4F">
        <w:t>, cited above, § 286, with further references).</w:t>
      </w:r>
    </w:p>
    <w:bookmarkStart w:name="OMs" w:id="70"/>
    <w:p w:rsidRPr="007C5C4F" w:rsidR="005E3D7B" w:rsidP="007C5C4F" w14:paraId="0B77C928" w14:textId="2ADA3575">
      <w:pPr>
        <w:pStyle w:val="JuPara"/>
      </w:pPr>
      <w:r w:rsidRPr="007C5C4F">
        <w:fldChar w:fldCharType="begin"/>
      </w:r>
      <w:r w:rsidRPr="007C5C4F">
        <w:instrText xml:space="preserve"> SEQ level0 \*arabic </w:instrText>
      </w:r>
      <w:r w:rsidRPr="007C5C4F">
        <w:fldChar w:fldCharType="separate"/>
      </w:r>
      <w:r w:rsidRPr="007C5C4F" w:rsidR="007C5C4F">
        <w:rPr>
          <w:noProof/>
        </w:rPr>
        <w:t>153</w:t>
      </w:r>
      <w:r w:rsidRPr="007C5C4F">
        <w:fldChar w:fldCharType="end"/>
      </w:r>
      <w:bookmarkEnd w:id="70"/>
      <w:r w:rsidRPr="007C5C4F">
        <w:t xml:space="preserve">.  As for the type of operational measures which might be required by Article 4 of the Convention, the Court has considered it relevant that the Anti-Trafficking Convention calls on the member States to adopt a range of measures to prevent trafficking and to protect the rights of victims. The preventive measures include measures to strengthen coordination at national level between the various anti-trafficking bodies and to discourage the demand for all forms of exploitation of persons. Protection measures include facilitating the identification of victims by qualified persons and assisting victims in their physical, psychological and social recovery (see </w:t>
      </w:r>
      <w:r w:rsidRPr="007C5C4F">
        <w:rPr>
          <w:i/>
          <w:iCs/>
        </w:rPr>
        <w:t>Chowdury and Others</w:t>
      </w:r>
      <w:r w:rsidRPr="007C5C4F">
        <w:t>, cited above, § 110).</w:t>
      </w:r>
    </w:p>
    <w:p w:rsidRPr="007C5C4F" w:rsidR="005E3D7B" w:rsidP="007C5C4F" w14:paraId="0D6CAD1F" w14:textId="3AE0852C">
      <w:pPr>
        <w:pStyle w:val="JuPara"/>
      </w:pPr>
      <w:r w:rsidRPr="007C5C4F">
        <w:fldChar w:fldCharType="begin"/>
      </w:r>
      <w:r w:rsidRPr="007C5C4F">
        <w:instrText xml:space="preserve"> SEQ level0 \*arabic </w:instrText>
      </w:r>
      <w:r w:rsidRPr="007C5C4F">
        <w:fldChar w:fldCharType="separate"/>
      </w:r>
      <w:r w:rsidRPr="007C5C4F" w:rsidR="007C5C4F">
        <w:rPr>
          <w:noProof/>
        </w:rPr>
        <w:t>154</w:t>
      </w:r>
      <w:r w:rsidRPr="007C5C4F">
        <w:fldChar w:fldCharType="end"/>
      </w:r>
      <w:r w:rsidRPr="007C5C4F">
        <w:t xml:space="preserve">.  However, bearing in mind the difficulties involved in policing modern societies and the operational choices which must be made in terms of priorities and resources, the obligation to take operational measures must be interpreted in a way which does not impose an impossible or disproportionate burden on the authorities (see </w:t>
      </w:r>
      <w:r w:rsidRPr="007C5C4F">
        <w:rPr>
          <w:i/>
          <w:iCs/>
        </w:rPr>
        <w:t>Rantsev</w:t>
      </w:r>
      <w:r w:rsidRPr="007C5C4F">
        <w:t>, cited above, § 287).</w:t>
      </w:r>
    </w:p>
    <w:bookmarkStart w:name="para149" w:id="71"/>
    <w:p w:rsidRPr="007C5C4F" w:rsidR="005E3D7B" w:rsidP="007C5C4F" w14:paraId="1D3A2A79" w14:textId="4D0B32AE">
      <w:pPr>
        <w:pStyle w:val="JuPara"/>
      </w:pPr>
      <w:r w:rsidRPr="007C5C4F">
        <w:fldChar w:fldCharType="begin"/>
      </w:r>
      <w:r w:rsidRPr="007C5C4F">
        <w:instrText xml:space="preserve"> SEQ level0 \*arabic </w:instrText>
      </w:r>
      <w:r w:rsidRPr="007C5C4F">
        <w:fldChar w:fldCharType="separate"/>
      </w:r>
      <w:r w:rsidRPr="007C5C4F" w:rsidR="007C5C4F">
        <w:rPr>
          <w:noProof/>
        </w:rPr>
        <w:t>155</w:t>
      </w:r>
      <w:r w:rsidRPr="007C5C4F">
        <w:fldChar w:fldCharType="end"/>
      </w:r>
      <w:bookmarkEnd w:id="71"/>
      <w:r w:rsidRPr="007C5C4F">
        <w:t>.  Like Articles 2 and 3, Article 4 also entails a procedural obligation to investigate situations of potential trafficking. The requirement to investigate does not depend on a complaint from the victim or next of kin: once the matter has come to the attention of the authorities they must act of their own motion (ibid., § 288).</w:t>
      </w:r>
    </w:p>
    <w:p w:rsidRPr="007C5C4F" w:rsidR="005E3D7B" w:rsidP="007C5C4F" w14:paraId="5B7C1DE0" w14:textId="462114AD">
      <w:pPr>
        <w:pStyle w:val="JuPara"/>
      </w:pPr>
      <w:r w:rsidRPr="007C5C4F">
        <w:fldChar w:fldCharType="begin"/>
      </w:r>
      <w:r w:rsidRPr="007C5C4F">
        <w:instrText xml:space="preserve"> SEQ level0 \*arabic </w:instrText>
      </w:r>
      <w:r w:rsidRPr="007C5C4F">
        <w:fldChar w:fldCharType="separate"/>
      </w:r>
      <w:r w:rsidRPr="007C5C4F" w:rsidR="007C5C4F">
        <w:rPr>
          <w:noProof/>
        </w:rPr>
        <w:t>156</w:t>
      </w:r>
      <w:r w:rsidRPr="007C5C4F">
        <w:fldChar w:fldCharType="end"/>
      </w:r>
      <w:r w:rsidRPr="007C5C4F">
        <w:t>.  It follows from the above that the general framework of positive obligations under Article 4 includes: (i) the duty to put in place a legislative and administrative framework to prohibit and punish trafficking; (ii) the duty, in certain circumstances, to take operational measures to protect victims, or potential victims, of trafficking; and (iii) a procedural obligation to investigate situations of potential trafficking. In general, the first two aspects of the positive obligations can be denoted as substantive, whereas the third aspect designates the States</w:t>
      </w:r>
      <w:r w:rsidRPr="007C5C4F" w:rsidR="007C5C4F">
        <w:t>’</w:t>
      </w:r>
      <w:r w:rsidRPr="007C5C4F">
        <w:t xml:space="preserve"> (positive) procedural obligation (see </w:t>
      </w:r>
      <w:r w:rsidRPr="007C5C4F">
        <w:rPr>
          <w:i/>
          <w:iCs/>
        </w:rPr>
        <w:t>S.M. v. Croatia</w:t>
      </w:r>
      <w:r w:rsidRPr="007C5C4F">
        <w:rPr>
          <w:iCs/>
        </w:rPr>
        <w:t>, cited above, § 306)</w:t>
      </w:r>
      <w:r w:rsidRPr="007C5C4F">
        <w:t>.</w:t>
      </w:r>
    </w:p>
    <w:p w:rsidRPr="007C5C4F" w:rsidR="005E3D7B" w:rsidP="007C5C4F" w14:paraId="439303E0" w14:textId="77777777">
      <w:pPr>
        <w:pStyle w:val="JuHi"/>
        <w:tabs>
          <w:tab w:val="clear" w:pos="1077"/>
          <w:tab w:val="clear" w:pos="1134"/>
          <w:tab w:val="clear" w:pos="1191"/>
          <w:tab w:val="clear" w:pos="1247"/>
        </w:tabs>
        <w:ind w:left="1191" w:hanging="358"/>
        <w:jc w:val="left"/>
      </w:pPr>
      <w:r w:rsidRPr="007C5C4F">
        <w:t>Prosecution of victims and potential victims of trafficking</w:t>
      </w:r>
    </w:p>
    <w:p w:rsidRPr="007C5C4F" w:rsidR="005E3D7B" w:rsidP="007C5C4F" w14:paraId="7A08789F" w14:textId="5BC10A70">
      <w:pPr>
        <w:pStyle w:val="JuPara"/>
      </w:pPr>
      <w:r w:rsidRPr="007C5C4F">
        <w:fldChar w:fldCharType="begin"/>
      </w:r>
      <w:r w:rsidRPr="007C5C4F">
        <w:instrText xml:space="preserve"> SEQ level0 \*arabic </w:instrText>
      </w:r>
      <w:r w:rsidRPr="007C5C4F">
        <w:fldChar w:fldCharType="separate"/>
      </w:r>
      <w:r w:rsidRPr="007C5C4F" w:rsidR="007C5C4F">
        <w:rPr>
          <w:noProof/>
        </w:rPr>
        <w:t>157</w:t>
      </w:r>
      <w:r w:rsidRPr="007C5C4F">
        <w:fldChar w:fldCharType="end"/>
      </w:r>
      <w:r w:rsidRPr="007C5C4F">
        <w:t>.  To date, the Court has not had the opportunity to consider a case concerning the prosecution of a victim, or potential victim, of trafficking. Consequently, this is the first occasion on which it has been called upon to consider if and when such a prosecution may raise an issue under Article 4 of the Convention.</w:t>
      </w:r>
    </w:p>
    <w:p w:rsidRPr="007C5C4F" w:rsidR="005E3D7B" w:rsidP="007C5C4F" w14:paraId="32085A35" w14:textId="4A027BFE">
      <w:pPr>
        <w:pStyle w:val="JuPara"/>
      </w:pPr>
      <w:r w:rsidRPr="007C5C4F">
        <w:fldChar w:fldCharType="begin"/>
      </w:r>
      <w:r w:rsidRPr="007C5C4F">
        <w:instrText xml:space="preserve"> SEQ level0 \*arabic </w:instrText>
      </w:r>
      <w:r w:rsidRPr="007C5C4F">
        <w:fldChar w:fldCharType="separate"/>
      </w:r>
      <w:r w:rsidRPr="007C5C4F" w:rsidR="007C5C4F">
        <w:rPr>
          <w:noProof/>
        </w:rPr>
        <w:t>158</w:t>
      </w:r>
      <w:r w:rsidRPr="007C5C4F">
        <w:fldChar w:fldCharType="end"/>
      </w:r>
      <w:r w:rsidRPr="007C5C4F">
        <w:t xml:space="preserve">.  It is clear that no general prohibition on the prosecution of victims of trafficking can be construed from the Anti-Trafficking Convention or any other international instrument. Indeed, the “non-punishment” provisions in Article 26 of the Anti-Trafficking Convention, Article 8 of the Anti-Trafficking Directive and Article 4 </w:t>
      </w:r>
      <w:r w:rsidRPr="007C5C4F">
        <w:rPr>
          <w:rFonts w:cstheme="minorHAnsi"/>
        </w:rPr>
        <w:t>§</w:t>
      </w:r>
      <w:r w:rsidRPr="007C5C4F">
        <w:t xml:space="preserve"> 2 of the 2014 Protocol to the ILO Forced Labour Convention (see, respectively, paragraphs </w:t>
      </w:r>
      <w:r w:rsidRPr="007C5C4F">
        <w:fldChar w:fldCharType="begin"/>
      </w:r>
      <w:r w:rsidRPr="007C5C4F">
        <w:instrText xml:space="preserve"> REF Art26 \h  \* MERGEFORMAT </w:instrText>
      </w:r>
      <w:r w:rsidRPr="007C5C4F">
        <w:fldChar w:fldCharType="separate"/>
      </w:r>
      <w:r w:rsidRPr="007C5C4F" w:rsidR="007C5C4F">
        <w:rPr>
          <w:rStyle w:val="JuParaChar"/>
          <w:noProof/>
        </w:rPr>
        <w:t>103</w:t>
      </w:r>
      <w:r w:rsidRPr="007C5C4F">
        <w:fldChar w:fldCharType="end"/>
      </w:r>
      <w:r w:rsidRPr="007C5C4F">
        <w:t xml:space="preserve">, </w:t>
      </w:r>
      <w:r w:rsidRPr="007C5C4F">
        <w:fldChar w:fldCharType="begin"/>
      </w:r>
      <w:r w:rsidRPr="007C5C4F">
        <w:instrText xml:space="preserve"> REF EUDir \h  \* MERGEFORMAT </w:instrText>
      </w:r>
      <w:r w:rsidRPr="007C5C4F">
        <w:fldChar w:fldCharType="separate"/>
      </w:r>
      <w:r w:rsidRPr="007C5C4F" w:rsidR="007C5C4F">
        <w:rPr>
          <w:noProof/>
        </w:rPr>
        <w:t>106</w:t>
      </w:r>
      <w:r w:rsidRPr="007C5C4F">
        <w:fldChar w:fldCharType="end"/>
      </w:r>
      <w:r w:rsidRPr="007C5C4F">
        <w:t xml:space="preserve"> and </w:t>
      </w:r>
      <w:r w:rsidRPr="007C5C4F">
        <w:fldChar w:fldCharType="begin"/>
      </w:r>
      <w:r w:rsidRPr="007C5C4F">
        <w:instrText xml:space="preserve"> REF ILO4 \h  \* MERGEFORMAT </w:instrText>
      </w:r>
      <w:r w:rsidRPr="007C5C4F">
        <w:fldChar w:fldCharType="separate"/>
      </w:r>
      <w:r w:rsidRPr="007C5C4F" w:rsidR="007C5C4F">
        <w:rPr>
          <w:noProof/>
        </w:rPr>
        <w:t>98</w:t>
      </w:r>
      <w:r w:rsidRPr="007C5C4F">
        <w:fldChar w:fldCharType="end"/>
      </w:r>
      <w:r w:rsidRPr="007C5C4F">
        <w:t xml:space="preserve"> above) all contain two important qualifications: the victim of trafficking must have been compelled to commit the criminal activity; and, where that is the case, the national authorities should be entitled, but are not obliged, to decide not to prosecute. While compulsion does not appear to be necessary to bring a child within the scope of either Article 26 of the Anti-Trafficking Convention or Article 8 of the Anti-Trafficking Directive, there is nothing in either instrument which could be interpreted as precluding the prosecution of child trafficking victims in all circumstances.</w:t>
      </w:r>
    </w:p>
    <w:p w:rsidRPr="007C5C4F" w:rsidR="005E3D7B" w:rsidP="007C5C4F" w14:paraId="05797335" w14:textId="60904323">
      <w:pPr>
        <w:pStyle w:val="JuPara"/>
      </w:pPr>
      <w:r w:rsidRPr="007C5C4F">
        <w:fldChar w:fldCharType="begin"/>
      </w:r>
      <w:r w:rsidRPr="007C5C4F">
        <w:instrText xml:space="preserve"> SEQ level0 \*arabic </w:instrText>
      </w:r>
      <w:r w:rsidRPr="007C5C4F">
        <w:fldChar w:fldCharType="separate"/>
      </w:r>
      <w:r w:rsidRPr="007C5C4F" w:rsidR="007C5C4F">
        <w:rPr>
          <w:noProof/>
        </w:rPr>
        <w:t>159</w:t>
      </w:r>
      <w:r w:rsidRPr="007C5C4F">
        <w:fldChar w:fldCharType="end"/>
      </w:r>
      <w:r w:rsidRPr="007C5C4F">
        <w:t>.  Nevertheless, the Court considers that the prosecution of victims, or potential victims, of trafficking may, in certain circumstances, be at odds with the State</w:t>
      </w:r>
      <w:r w:rsidRPr="007C5C4F" w:rsidR="007C5C4F">
        <w:t>’</w:t>
      </w:r>
      <w:r w:rsidRPr="007C5C4F">
        <w:t>s duty to take operational measures to protect them where they are aware, or ought to be aware, of circumstances giving rise to a credible suspicion that an individual has been trafficked. In the Court</w:t>
      </w:r>
      <w:r w:rsidRPr="007C5C4F" w:rsidR="007C5C4F">
        <w:t>’</w:t>
      </w:r>
      <w:r w:rsidRPr="007C5C4F">
        <w:t>s view, the duty to take operational measures under Article 4 of the Convention has two principal aims: to protect the victim of trafficking from further harm; and to facilitate his or her recovery. It is axiomatic that the prosecution of victims of trafficking would be injurious to their physical, psychological and social recovery and could potentially leave them vulnerable to being re-trafficked in future. Not only would they have to go through the ordeal of a criminal prosecution, but a criminal conviction could create an obstacle to their subsequent integration into society. In addition, incarceration may impede their access to the support and services that were envisaged by the Anti-Trafficking Convention.</w:t>
      </w:r>
    </w:p>
    <w:p w:rsidRPr="007C5C4F" w:rsidR="005E3D7B" w:rsidP="007C5C4F" w14:paraId="1F456477" w14:textId="5DE7CF9F">
      <w:pPr>
        <w:pStyle w:val="JuPara"/>
        <w:rPr>
          <w:rFonts w:eastAsia="Times New Roman"/>
        </w:rPr>
      </w:pPr>
      <w:r w:rsidRPr="007C5C4F">
        <w:fldChar w:fldCharType="begin"/>
      </w:r>
      <w:r w:rsidRPr="007C5C4F">
        <w:instrText xml:space="preserve"> SEQ level0 \*arabic </w:instrText>
      </w:r>
      <w:r w:rsidRPr="007C5C4F">
        <w:fldChar w:fldCharType="separate"/>
      </w:r>
      <w:r w:rsidRPr="007C5C4F" w:rsidR="007C5C4F">
        <w:rPr>
          <w:noProof/>
        </w:rPr>
        <w:t>160</w:t>
      </w:r>
      <w:r w:rsidRPr="007C5C4F">
        <w:fldChar w:fldCharType="end"/>
      </w:r>
      <w:r w:rsidRPr="007C5C4F">
        <w:t>.  </w:t>
      </w:r>
      <w:r w:rsidRPr="007C5C4F">
        <w:rPr>
          <w:rFonts w:eastAsia="Times New Roman"/>
        </w:rPr>
        <w:t xml:space="preserve">In order for the prosecution of a victim or potential victim of trafficking to demonstrate respect for the freedoms guaranteed by Article 4, his or her early identification is of paramount importance. It follows that, as soon as the authorities are aware, or ought to be aware, of circumstances giving rise to a credible suspicion that an individual suspected of having committed a criminal offence may have been trafficked or exploited, he or she should be assessed promptly by individuals trained and qualified to deal with victims of trafficking. That assessment should be based on the criteria identified in the Palermo Protocol and the Anti-Trafficking Convention (namely that the person was subject to the act of recruitment, transportation, transfer, harbouring or receipt, by means of threat of force or other form of coercion, for the purpose of exploitation) having specific regard to the fact that the threat of force and/or coercion is not required where the individual is a child (see paragraphs </w:t>
      </w:r>
      <w:r w:rsidRPr="007C5C4F">
        <w:rPr>
          <w:rFonts w:eastAsia="Times New Roman"/>
        </w:rPr>
        <w:fldChar w:fldCharType="begin"/>
      </w:r>
      <w:r w:rsidRPr="007C5C4F">
        <w:rPr>
          <w:rFonts w:eastAsia="Times New Roman"/>
        </w:rPr>
        <w:instrText xml:space="preserve"> REF PP3 \h  \* MERGEFORMAT </w:instrText>
      </w:r>
      <w:r w:rsidRPr="007C5C4F">
        <w:rPr>
          <w:rFonts w:eastAsia="Times New Roman"/>
        </w:rPr>
        <w:fldChar w:fldCharType="separate"/>
      </w:r>
      <w:r w:rsidRPr="007C5C4F" w:rsidR="007C5C4F">
        <w:rPr>
          <w:rFonts w:eastAsiaTheme="minorEastAsia"/>
          <w:noProof/>
        </w:rPr>
        <w:t>94</w:t>
      </w:r>
      <w:r w:rsidRPr="007C5C4F">
        <w:rPr>
          <w:rFonts w:eastAsia="Times New Roman"/>
        </w:rPr>
        <w:fldChar w:fldCharType="end"/>
      </w:r>
      <w:r w:rsidRPr="007C5C4F">
        <w:rPr>
          <w:rFonts w:eastAsia="Times New Roman"/>
        </w:rPr>
        <w:t xml:space="preserve"> and </w:t>
      </w:r>
      <w:r w:rsidRPr="007C5C4F">
        <w:rPr>
          <w:rFonts w:eastAsia="Times New Roman"/>
        </w:rPr>
        <w:fldChar w:fldCharType="begin"/>
      </w:r>
      <w:r w:rsidRPr="007C5C4F">
        <w:rPr>
          <w:rFonts w:eastAsia="Times New Roman"/>
        </w:rPr>
        <w:instrText xml:space="preserve"> REF ATC3and10 \h  \* MERGEFORMAT </w:instrText>
      </w:r>
      <w:r w:rsidRPr="007C5C4F">
        <w:rPr>
          <w:rFonts w:eastAsia="Times New Roman"/>
        </w:rPr>
        <w:fldChar w:fldCharType="separate"/>
      </w:r>
      <w:r w:rsidRPr="007C5C4F" w:rsidR="007C5C4F">
        <w:rPr>
          <w:rFonts w:eastAsiaTheme="minorEastAsia"/>
          <w:noProof/>
        </w:rPr>
        <w:t>102</w:t>
      </w:r>
      <w:r w:rsidRPr="007C5C4F">
        <w:rPr>
          <w:rFonts w:eastAsia="Times New Roman"/>
        </w:rPr>
        <w:fldChar w:fldCharType="end"/>
      </w:r>
      <w:r w:rsidRPr="007C5C4F">
        <w:rPr>
          <w:rFonts w:eastAsia="Times New Roman"/>
        </w:rPr>
        <w:t xml:space="preserve"> above).</w:t>
      </w:r>
    </w:p>
    <w:bookmarkStart w:name="para161" w:id="72"/>
    <w:p w:rsidRPr="007C5C4F" w:rsidR="005E3D7B" w:rsidP="007C5C4F" w14:paraId="442BE326" w14:textId="72F74A1D">
      <w:pPr>
        <w:pStyle w:val="JuPara"/>
        <w:rPr>
          <w:rFonts w:eastAsia="Times New Roman"/>
        </w:rPr>
      </w:pPr>
      <w:r w:rsidRPr="007C5C4F">
        <w:fldChar w:fldCharType="begin"/>
      </w:r>
      <w:r w:rsidRPr="007C5C4F">
        <w:rPr>
          <w:rFonts w:eastAsia="Times New Roman"/>
        </w:rPr>
        <w:instrText xml:space="preserve"> SEQ level0 \*arabic </w:instrText>
      </w:r>
      <w:r w:rsidRPr="007C5C4F">
        <w:fldChar w:fldCharType="separate"/>
      </w:r>
      <w:r w:rsidRPr="007C5C4F" w:rsidR="007C5C4F">
        <w:rPr>
          <w:rFonts w:eastAsia="Times New Roman"/>
          <w:noProof/>
        </w:rPr>
        <w:t>161</w:t>
      </w:r>
      <w:r w:rsidRPr="007C5C4F">
        <w:fldChar w:fldCharType="end"/>
      </w:r>
      <w:bookmarkEnd w:id="72"/>
      <w:r w:rsidRPr="007C5C4F">
        <w:rPr>
          <w:rFonts w:eastAsia="Times New Roman"/>
        </w:rPr>
        <w:t>.  Moreover, given that an individual</w:t>
      </w:r>
      <w:r w:rsidRPr="007C5C4F" w:rsidR="007C5C4F">
        <w:rPr>
          <w:rFonts w:eastAsia="Times New Roman"/>
        </w:rPr>
        <w:t>’</w:t>
      </w:r>
      <w:r w:rsidRPr="007C5C4F">
        <w:rPr>
          <w:rFonts w:eastAsia="Times New Roman"/>
        </w:rPr>
        <w:t xml:space="preserve">s status as a victim of trafficking may affect whether there is sufficient evidence to prosecute and whether it is in the public interest to do so, any decision on whether or not to prosecute a potential victim of trafficking should – in so far as possible – only be taken once a trafficking assessment has been made by a qualified person. This is particularly important where children are concerned. The Court has acknowledged that as children are particularly vulnerable, the measures applied by the State to protect them against acts of violence falling within the scope of Articles 3 and 8 should be effective and include both reasonable steps to prevent ill-treatment of which the authorities had, or ought to have had, knowledge, and effective deterrence against such serious breaches of personal integrity (see, for example, </w:t>
      </w:r>
      <w:r w:rsidRPr="007C5C4F">
        <w:rPr>
          <w:rFonts w:eastAsia="Times New Roman"/>
          <w:i/>
        </w:rPr>
        <w:t>Söderman v. Sweden</w:t>
      </w:r>
      <w:r w:rsidRPr="007C5C4F">
        <w:rPr>
          <w:rFonts w:eastAsia="Times New Roman"/>
        </w:rPr>
        <w:t xml:space="preserve"> [GC], no. 5786/08, § 81, ECHR 2013; </w:t>
      </w:r>
      <w:r w:rsidRPr="007C5C4F">
        <w:rPr>
          <w:rFonts w:eastAsia="Times New Roman"/>
          <w:i/>
          <w:iCs/>
        </w:rPr>
        <w:t>M.P. and Others v. Bulgaria</w:t>
      </w:r>
      <w:r w:rsidRPr="007C5C4F">
        <w:rPr>
          <w:rFonts w:eastAsia="Times New Roman"/>
        </w:rPr>
        <w:t xml:space="preserve">, no. 22457/08, § 108, 15 November 2011; and </w:t>
      </w:r>
      <w:r w:rsidRPr="007C5C4F">
        <w:rPr>
          <w:rFonts w:eastAsia="Times New Roman"/>
          <w:i/>
          <w:iCs/>
        </w:rPr>
        <w:t>Z and Others v. the United Kingdom</w:t>
      </w:r>
      <w:r w:rsidRPr="007C5C4F">
        <w:rPr>
          <w:rFonts w:eastAsia="Times New Roman"/>
        </w:rPr>
        <w:t xml:space="preserve"> [GC], no. 29392/95, § 73, ECHR 2001</w:t>
      </w:r>
      <w:r w:rsidRPr="007C5C4F">
        <w:rPr>
          <w:rFonts w:eastAsia="Times New Roman"/>
        </w:rPr>
        <w:noBreakHyphen/>
        <w:t xml:space="preserve">V). Such measures must be aimed at ensuring respect for human dignity and protecting the best interests of the child (see </w:t>
      </w:r>
      <w:r w:rsidRPr="007C5C4F">
        <w:rPr>
          <w:rFonts w:eastAsia="Times New Roman"/>
          <w:i/>
        </w:rPr>
        <w:t>Söderman</w:t>
      </w:r>
      <w:r w:rsidRPr="007C5C4F">
        <w:rPr>
          <w:rFonts w:eastAsia="Times New Roman"/>
          <w:iCs/>
        </w:rPr>
        <w:t>, cited above, § 81</w:t>
      </w:r>
      <w:r w:rsidRPr="007C5C4F">
        <w:rPr>
          <w:rFonts w:eastAsia="Times New Roman"/>
        </w:rPr>
        <w:t xml:space="preserve">). Since trafficking threatens the human dignity and fundamental freedoms of its victims (see </w:t>
      </w:r>
      <w:r w:rsidRPr="007C5C4F">
        <w:rPr>
          <w:rFonts w:eastAsia="Times New Roman"/>
          <w:i/>
          <w:iCs/>
        </w:rPr>
        <w:t>Rantsev</w:t>
      </w:r>
      <w:r w:rsidRPr="007C5C4F">
        <w:rPr>
          <w:rFonts w:eastAsia="Times New Roman"/>
        </w:rPr>
        <w:t>, cited above, § 282), the same is also true of measures to protect against acts falling within the scope of Article 4 of the Convention.</w:t>
      </w:r>
    </w:p>
    <w:p w:rsidRPr="007C5C4F" w:rsidR="005E3D7B" w:rsidP="007C5C4F" w14:paraId="62B6124D" w14:textId="5E3DBB30">
      <w:pPr>
        <w:pStyle w:val="JuPara"/>
        <w:rPr>
          <w:rFonts w:ascii="Times New Roman" w:hAnsi="Times New Roman" w:eastAsia="Times New Roman" w:cs="Times New Roman"/>
        </w:rPr>
      </w:pPr>
      <w:r w:rsidRPr="007C5C4F">
        <w:rPr>
          <w:rFonts w:ascii="Times New Roman" w:hAnsi="Times New Roman" w:eastAsia="Times New Roman" w:cs="Times New Roman"/>
        </w:rPr>
        <w:fldChar w:fldCharType="begin"/>
      </w:r>
      <w:r w:rsidRPr="007C5C4F">
        <w:rPr>
          <w:rFonts w:ascii="Times New Roman" w:hAnsi="Times New Roman" w:eastAsia="Times New Roman" w:cs="Times New Roman"/>
        </w:rPr>
        <w:instrText xml:space="preserve"> SEQ level0 \*arabic </w:instrText>
      </w:r>
      <w:r w:rsidRPr="007C5C4F">
        <w:rPr>
          <w:rFonts w:ascii="Times New Roman" w:hAnsi="Times New Roman" w:eastAsia="Times New Roman" w:cs="Times New Roman"/>
        </w:rPr>
        <w:fldChar w:fldCharType="separate"/>
      </w:r>
      <w:r w:rsidRPr="007C5C4F" w:rsidR="007C5C4F">
        <w:rPr>
          <w:rFonts w:ascii="Times New Roman" w:hAnsi="Times New Roman" w:eastAsia="Times New Roman" w:cs="Times New Roman"/>
          <w:noProof/>
        </w:rPr>
        <w:t>162</w:t>
      </w:r>
      <w:r w:rsidRPr="007C5C4F">
        <w:rPr>
          <w:rFonts w:ascii="Times New Roman" w:hAnsi="Times New Roman" w:eastAsia="Times New Roman" w:cs="Times New Roman"/>
        </w:rPr>
        <w:fldChar w:fldCharType="end"/>
      </w:r>
      <w:r w:rsidRPr="007C5C4F">
        <w:rPr>
          <w:rFonts w:ascii="Times New Roman" w:hAnsi="Times New Roman" w:eastAsia="Times New Roman" w:cs="Times New Roman"/>
        </w:rPr>
        <w:t>.  Once a trafficking assessment has been made by a qualified person, any subsequent prosecutorial decision would have to take that assessment into account. While the prosecutor might not be bound by the findings made in the course of such a trafficking assessment, the prosecutor would need to have clear reasons which are consistent with the definition of trafficking contained in the Palermo Protocol and the Anti-Trafficking Convention for disagreeing with it.</w:t>
      </w:r>
    </w:p>
    <w:p w:rsidRPr="007C5C4F" w:rsidR="005E3D7B" w:rsidP="007C5C4F" w14:paraId="7DE90A95" w14:textId="77777777">
      <w:pPr>
        <w:pStyle w:val="JuHa0"/>
        <w:ind w:left="975" w:hanging="340"/>
        <w:jc w:val="left"/>
      </w:pPr>
      <w:r w:rsidRPr="007C5C4F">
        <w:t>Application of these principles to the present cases</w:t>
      </w:r>
    </w:p>
    <w:p w:rsidRPr="007C5C4F" w:rsidR="005E3D7B" w:rsidP="007C5C4F" w14:paraId="7047E492" w14:textId="77777777">
      <w:pPr>
        <w:pStyle w:val="JuHi"/>
        <w:tabs>
          <w:tab w:val="clear" w:pos="1077"/>
          <w:tab w:val="clear" w:pos="1134"/>
          <w:tab w:val="clear" w:pos="1191"/>
          <w:tab w:val="clear" w:pos="1247"/>
        </w:tabs>
        <w:ind w:left="1191" w:hanging="358"/>
        <w:jc w:val="left"/>
      </w:pPr>
      <w:r w:rsidRPr="007C5C4F">
        <w:t>The first applicant</w:t>
      </w:r>
    </w:p>
    <w:p w:rsidRPr="007C5C4F" w:rsidR="005E3D7B" w:rsidP="007C5C4F" w14:paraId="1118AB5B" w14:textId="0D2F0EFB">
      <w:pPr>
        <w:pStyle w:val="JuPara"/>
        <w:rPr>
          <w:lang w:bidi="en-US"/>
        </w:rPr>
      </w:pPr>
      <w:r w:rsidRPr="007C5C4F">
        <w:rPr>
          <w:lang w:bidi="en-US"/>
        </w:rPr>
        <w:fldChar w:fldCharType="begin"/>
      </w:r>
      <w:r w:rsidRPr="007C5C4F">
        <w:rPr>
          <w:lang w:bidi="en-US"/>
        </w:rPr>
        <w:instrText xml:space="preserve"> SEQ level0 \*arabic </w:instrText>
      </w:r>
      <w:r w:rsidRPr="007C5C4F">
        <w:rPr>
          <w:lang w:bidi="en-US"/>
        </w:rPr>
        <w:fldChar w:fldCharType="separate"/>
      </w:r>
      <w:r w:rsidRPr="007C5C4F" w:rsidR="007C5C4F">
        <w:rPr>
          <w:noProof/>
          <w:lang w:bidi="en-US"/>
        </w:rPr>
        <w:t>163</w:t>
      </w:r>
      <w:r w:rsidRPr="007C5C4F">
        <w:rPr>
          <w:lang w:bidi="en-US"/>
        </w:rPr>
        <w:fldChar w:fldCharType="end"/>
      </w:r>
      <w:r w:rsidRPr="007C5C4F">
        <w:rPr>
          <w:lang w:bidi="en-US"/>
        </w:rPr>
        <w:t xml:space="preserve">.  The Court has already noted that as the first applicant was discovered by police at a cannabis factory during the execution of a drug warrant, the authorities should have been alert to the possibility that he – and any other young persons discovered there – could be a victim of trafficking. Nevertheless, despite there not being any apparent doubt that he was a minor (see paragraphs </w:t>
      </w:r>
      <w:r w:rsidRPr="007C5C4F">
        <w:rPr>
          <w:lang w:bidi="en-US"/>
        </w:rPr>
        <w:fldChar w:fldCharType="begin"/>
      </w:r>
      <w:r w:rsidRPr="007C5C4F">
        <w:rPr>
          <w:lang w:bidi="en-US"/>
        </w:rPr>
        <w:instrText xml:space="preserve"> REF A1Age \h  \* MERGEFORMAT </w:instrText>
      </w:r>
      <w:r w:rsidRPr="007C5C4F">
        <w:rPr>
          <w:lang w:bidi="en-US"/>
        </w:rPr>
        <w:fldChar w:fldCharType="separate"/>
      </w:r>
      <w:r w:rsidRPr="007C5C4F" w:rsidR="007C5C4F">
        <w:rPr>
          <w:rFonts w:eastAsiaTheme="minorEastAsia"/>
          <w:noProof/>
        </w:rPr>
        <w:t>6</w:t>
      </w:r>
      <w:r w:rsidRPr="007C5C4F">
        <w:rPr>
          <w:lang w:bidi="en-US"/>
        </w:rPr>
        <w:fldChar w:fldCharType="end"/>
      </w:r>
      <w:r w:rsidRPr="007C5C4F">
        <w:rPr>
          <w:lang w:bidi="en-US"/>
        </w:rPr>
        <w:t xml:space="preserve"> and </w:t>
      </w:r>
      <w:r w:rsidRPr="007C5C4F">
        <w:rPr>
          <w:lang w:bidi="en-US"/>
        </w:rPr>
        <w:fldChar w:fldCharType="begin"/>
      </w:r>
      <w:r w:rsidRPr="007C5C4F">
        <w:rPr>
          <w:lang w:bidi="en-US"/>
        </w:rPr>
        <w:instrText xml:space="preserve"> REF A1SSAge \h  \* MERGEFORMAT </w:instrText>
      </w:r>
      <w:r w:rsidRPr="007C5C4F">
        <w:rPr>
          <w:lang w:bidi="en-US"/>
        </w:rPr>
        <w:fldChar w:fldCharType="separate"/>
      </w:r>
      <w:r w:rsidRPr="007C5C4F" w:rsidR="007C5C4F">
        <w:rPr>
          <w:rFonts w:eastAsiaTheme="minorEastAsia"/>
          <w:noProof/>
        </w:rPr>
        <w:t>7</w:t>
      </w:r>
      <w:r w:rsidRPr="007C5C4F">
        <w:rPr>
          <w:lang w:bidi="en-US"/>
        </w:rPr>
        <w:fldChar w:fldCharType="end"/>
      </w:r>
      <w:r w:rsidRPr="007C5C4F">
        <w:rPr>
          <w:lang w:bidi="en-US"/>
        </w:rPr>
        <w:t xml:space="preserve"> above), neither the police nor the CPS referred him to one of the United Kingdom</w:t>
      </w:r>
      <w:r w:rsidRPr="007C5C4F" w:rsidR="007C5C4F">
        <w:rPr>
          <w:lang w:bidi="en-US"/>
        </w:rPr>
        <w:t>’</w:t>
      </w:r>
      <w:r w:rsidRPr="007C5C4F">
        <w:rPr>
          <w:lang w:bidi="en-US"/>
        </w:rPr>
        <w:t xml:space="preserve">s Competent Authorities for an assessment. Instead, he was charged with being concerned in the production of a controlled drug (see paragraph </w:t>
      </w:r>
      <w:r w:rsidRPr="007C5C4F">
        <w:rPr>
          <w:lang w:bidi="en-US"/>
        </w:rPr>
        <w:fldChar w:fldCharType="begin"/>
      </w:r>
      <w:r w:rsidRPr="007C5C4F">
        <w:rPr>
          <w:lang w:bidi="en-US"/>
        </w:rPr>
        <w:instrText xml:space="preserve"> REF A1Age \h  \* MERGEFORMAT </w:instrText>
      </w:r>
      <w:r w:rsidRPr="007C5C4F">
        <w:rPr>
          <w:lang w:bidi="en-US"/>
        </w:rPr>
        <w:fldChar w:fldCharType="separate"/>
      </w:r>
      <w:r w:rsidRPr="007C5C4F" w:rsidR="007C5C4F">
        <w:rPr>
          <w:rFonts w:eastAsiaTheme="minorEastAsia"/>
          <w:noProof/>
        </w:rPr>
        <w:t>6</w:t>
      </w:r>
      <w:r w:rsidRPr="007C5C4F">
        <w:rPr>
          <w:lang w:bidi="en-US"/>
        </w:rPr>
        <w:fldChar w:fldCharType="end"/>
      </w:r>
      <w:r w:rsidRPr="007C5C4F">
        <w:rPr>
          <w:lang w:bidi="en-US"/>
        </w:rPr>
        <w:t xml:space="preserve"> above).</w:t>
      </w:r>
    </w:p>
    <w:p w:rsidRPr="007C5C4F" w:rsidR="005E3D7B" w:rsidP="007C5C4F" w14:paraId="7A726E57" w14:textId="718E6D7A">
      <w:pPr>
        <w:pStyle w:val="JuPara"/>
        <w:rPr>
          <w:lang w:bidi="en-US"/>
        </w:rPr>
      </w:pPr>
      <w:r w:rsidRPr="007C5C4F">
        <w:rPr>
          <w:lang w:bidi="en-US"/>
        </w:rPr>
        <w:fldChar w:fldCharType="begin"/>
      </w:r>
      <w:r w:rsidRPr="007C5C4F">
        <w:rPr>
          <w:lang w:bidi="en-US"/>
        </w:rPr>
        <w:instrText xml:space="preserve"> SEQ level0 \*arabic </w:instrText>
      </w:r>
      <w:r w:rsidRPr="007C5C4F">
        <w:rPr>
          <w:lang w:bidi="en-US"/>
        </w:rPr>
        <w:fldChar w:fldCharType="separate"/>
      </w:r>
      <w:r w:rsidRPr="007C5C4F" w:rsidR="007C5C4F">
        <w:rPr>
          <w:noProof/>
          <w:lang w:bidi="en-US"/>
        </w:rPr>
        <w:t>164</w:t>
      </w:r>
      <w:r w:rsidRPr="007C5C4F">
        <w:rPr>
          <w:lang w:bidi="en-US"/>
        </w:rPr>
        <w:fldChar w:fldCharType="end"/>
      </w:r>
      <w:r w:rsidRPr="007C5C4F">
        <w:rPr>
          <w:lang w:bidi="en-US"/>
        </w:rPr>
        <w:t xml:space="preserve">.  Social Services, having conducted an age assessment, appear to have “flagged up” concerns that he might be a victim of trafficking, and some three weeks after his discovery Refugee and Migrant Justice informed his legal representative of these concerns (see paragraphs </w:t>
      </w:r>
      <w:r w:rsidRPr="007C5C4F">
        <w:rPr>
          <w:lang w:bidi="en-US"/>
        </w:rPr>
        <w:fldChar w:fldCharType="begin"/>
      </w:r>
      <w:r w:rsidRPr="007C5C4F">
        <w:rPr>
          <w:lang w:bidi="en-US"/>
        </w:rPr>
        <w:instrText xml:space="preserve"> REF A1SSAge \h  \* MERGEFORMAT </w:instrText>
      </w:r>
      <w:r w:rsidRPr="007C5C4F">
        <w:rPr>
          <w:lang w:bidi="en-US"/>
        </w:rPr>
        <w:fldChar w:fldCharType="separate"/>
      </w:r>
      <w:r w:rsidRPr="007C5C4F" w:rsidR="007C5C4F">
        <w:rPr>
          <w:rFonts w:eastAsiaTheme="minorEastAsia"/>
          <w:noProof/>
        </w:rPr>
        <w:t>7</w:t>
      </w:r>
      <w:r w:rsidRPr="007C5C4F">
        <w:rPr>
          <w:lang w:bidi="en-US"/>
        </w:rPr>
        <w:fldChar w:fldCharType="end"/>
      </w:r>
      <w:r w:rsidRPr="007C5C4F">
        <w:rPr>
          <w:lang w:bidi="en-US"/>
        </w:rPr>
        <w:t>-</w:t>
      </w:r>
      <w:r w:rsidRPr="007C5C4F">
        <w:rPr>
          <w:lang w:bidi="en-US"/>
        </w:rPr>
        <w:fldChar w:fldCharType="begin"/>
      </w:r>
      <w:r w:rsidRPr="007C5C4F">
        <w:rPr>
          <w:lang w:bidi="en-US"/>
        </w:rPr>
        <w:instrText xml:space="preserve"> REF A1RMJ \h  \* MERGEFORMAT </w:instrText>
      </w:r>
      <w:r w:rsidRPr="007C5C4F">
        <w:rPr>
          <w:lang w:bidi="en-US"/>
        </w:rPr>
        <w:fldChar w:fldCharType="separate"/>
      </w:r>
      <w:r w:rsidRPr="007C5C4F" w:rsidR="007C5C4F">
        <w:rPr>
          <w:rFonts w:eastAsiaTheme="minorEastAsia"/>
          <w:noProof/>
        </w:rPr>
        <w:t>8</w:t>
      </w:r>
      <w:r w:rsidRPr="007C5C4F">
        <w:rPr>
          <w:lang w:bidi="en-US"/>
        </w:rPr>
        <w:fldChar w:fldCharType="end"/>
      </w:r>
      <w:r w:rsidRPr="007C5C4F">
        <w:rPr>
          <w:lang w:bidi="en-US"/>
        </w:rPr>
        <w:t xml:space="preserve"> above). Nevertheless, without any assessment by the Competent Authority having taken place, in August 2009 he pleaded guilty to the offence charged on the advice of his legal representative (see paragraph </w:t>
      </w:r>
      <w:r w:rsidRPr="007C5C4F">
        <w:rPr>
          <w:lang w:bidi="en-US"/>
        </w:rPr>
        <w:fldChar w:fldCharType="begin"/>
      </w:r>
      <w:r w:rsidRPr="007C5C4F">
        <w:rPr>
          <w:lang w:bidi="en-US"/>
        </w:rPr>
        <w:instrText xml:space="preserve"> REF A110 \h  \* MERGEFORMAT </w:instrText>
      </w:r>
      <w:r w:rsidRPr="007C5C4F">
        <w:rPr>
          <w:lang w:bidi="en-US"/>
        </w:rPr>
        <w:fldChar w:fldCharType="separate"/>
      </w:r>
      <w:r w:rsidRPr="007C5C4F" w:rsidR="007C5C4F">
        <w:rPr>
          <w:rFonts w:eastAsiaTheme="minorEastAsia"/>
          <w:noProof/>
        </w:rPr>
        <w:t>10</w:t>
      </w:r>
      <w:r w:rsidRPr="007C5C4F">
        <w:rPr>
          <w:lang w:bidi="en-US"/>
        </w:rPr>
        <w:fldChar w:fldCharType="end"/>
      </w:r>
      <w:r w:rsidRPr="007C5C4F">
        <w:rPr>
          <w:lang w:bidi="en-US"/>
        </w:rPr>
        <w:t xml:space="preserve"> above). However, sentencing was adjourned to await a trafficking assessment (see paragraph </w:t>
      </w:r>
      <w:r w:rsidRPr="007C5C4F">
        <w:rPr>
          <w:lang w:bidi="en-US"/>
        </w:rPr>
        <w:fldChar w:fldCharType="begin"/>
      </w:r>
      <w:r w:rsidRPr="007C5C4F">
        <w:rPr>
          <w:lang w:bidi="en-US"/>
        </w:rPr>
        <w:instrText xml:space="preserve"> REF A111 \h  \* MERGEFORMAT </w:instrText>
      </w:r>
      <w:r w:rsidRPr="007C5C4F">
        <w:rPr>
          <w:lang w:bidi="en-US"/>
        </w:rPr>
        <w:fldChar w:fldCharType="separate"/>
      </w:r>
      <w:r w:rsidRPr="007C5C4F" w:rsidR="007C5C4F">
        <w:rPr>
          <w:rFonts w:eastAsiaTheme="minorEastAsia"/>
          <w:noProof/>
        </w:rPr>
        <w:t>11</w:t>
      </w:r>
      <w:r w:rsidRPr="007C5C4F">
        <w:rPr>
          <w:lang w:bidi="en-US"/>
        </w:rPr>
        <w:fldChar w:fldCharType="end"/>
      </w:r>
      <w:r w:rsidRPr="007C5C4F">
        <w:rPr>
          <w:lang w:bidi="en-US"/>
        </w:rPr>
        <w:t xml:space="preserve"> above).</w:t>
      </w:r>
    </w:p>
    <w:p w:rsidRPr="007C5C4F" w:rsidR="005E3D7B" w:rsidP="007C5C4F" w14:paraId="12FFE6DC" w14:textId="6E642EF8">
      <w:pPr>
        <w:pStyle w:val="JuPara"/>
        <w:rPr>
          <w:lang w:bidi="en-US"/>
        </w:rPr>
      </w:pPr>
      <w:r w:rsidRPr="007C5C4F">
        <w:rPr>
          <w:lang w:bidi="en-US"/>
        </w:rPr>
        <w:fldChar w:fldCharType="begin"/>
      </w:r>
      <w:r w:rsidRPr="007C5C4F">
        <w:rPr>
          <w:lang w:bidi="en-US"/>
        </w:rPr>
        <w:instrText xml:space="preserve"> SEQ level0 \*arabic </w:instrText>
      </w:r>
      <w:r w:rsidRPr="007C5C4F">
        <w:rPr>
          <w:lang w:bidi="en-US"/>
        </w:rPr>
        <w:fldChar w:fldCharType="separate"/>
      </w:r>
      <w:r w:rsidRPr="007C5C4F" w:rsidR="007C5C4F">
        <w:rPr>
          <w:noProof/>
          <w:lang w:bidi="en-US"/>
        </w:rPr>
        <w:t>165</w:t>
      </w:r>
      <w:r w:rsidRPr="007C5C4F">
        <w:rPr>
          <w:lang w:bidi="en-US"/>
        </w:rPr>
        <w:fldChar w:fldCharType="end"/>
      </w:r>
      <w:r w:rsidRPr="007C5C4F">
        <w:rPr>
          <w:lang w:bidi="en-US"/>
        </w:rPr>
        <w:t xml:space="preserve">.  At this point, the CPS reviewed the decision to prosecute but concluded that there was no credible evidence that the first applicant had been trafficked (see paragraph </w:t>
      </w:r>
      <w:r w:rsidRPr="007C5C4F">
        <w:rPr>
          <w:lang w:bidi="en-US"/>
        </w:rPr>
        <w:fldChar w:fldCharType="begin"/>
      </w:r>
      <w:r w:rsidRPr="007C5C4F">
        <w:rPr>
          <w:lang w:bidi="en-US"/>
        </w:rPr>
        <w:instrText xml:space="preserve"> REF A112 \h  \* MERGEFORMAT </w:instrText>
      </w:r>
      <w:r w:rsidRPr="007C5C4F">
        <w:rPr>
          <w:lang w:bidi="en-US"/>
        </w:rPr>
        <w:fldChar w:fldCharType="separate"/>
      </w:r>
      <w:r w:rsidRPr="007C5C4F" w:rsidR="007C5C4F">
        <w:rPr>
          <w:rFonts w:eastAsiaTheme="minorEastAsia"/>
          <w:noProof/>
        </w:rPr>
        <w:t>12</w:t>
      </w:r>
      <w:r w:rsidRPr="007C5C4F">
        <w:rPr>
          <w:lang w:bidi="en-US"/>
        </w:rPr>
        <w:fldChar w:fldCharType="end"/>
      </w:r>
      <w:r w:rsidRPr="007C5C4F">
        <w:rPr>
          <w:lang w:bidi="en-US"/>
        </w:rPr>
        <w:t xml:space="preserve"> above). No further reasons for that decision have been shared with the Court.</w:t>
      </w:r>
    </w:p>
    <w:p w:rsidRPr="007C5C4F" w:rsidR="005E3D7B" w:rsidP="007C5C4F" w14:paraId="7E484515" w14:textId="5A0D511F">
      <w:pPr>
        <w:pStyle w:val="JuPara"/>
        <w:rPr>
          <w:lang w:bidi="en-US"/>
        </w:rPr>
      </w:pPr>
      <w:r w:rsidRPr="007C5C4F">
        <w:rPr>
          <w:lang w:bidi="en-US"/>
        </w:rPr>
        <w:fldChar w:fldCharType="begin"/>
      </w:r>
      <w:r w:rsidRPr="007C5C4F">
        <w:rPr>
          <w:lang w:bidi="en-US"/>
        </w:rPr>
        <w:instrText xml:space="preserve"> SEQ level0 \*arabic </w:instrText>
      </w:r>
      <w:r w:rsidRPr="007C5C4F">
        <w:rPr>
          <w:lang w:bidi="en-US"/>
        </w:rPr>
        <w:fldChar w:fldCharType="separate"/>
      </w:r>
      <w:r w:rsidRPr="007C5C4F" w:rsidR="007C5C4F">
        <w:rPr>
          <w:noProof/>
          <w:lang w:bidi="en-US"/>
        </w:rPr>
        <w:t>166</w:t>
      </w:r>
      <w:r w:rsidRPr="007C5C4F">
        <w:rPr>
          <w:lang w:bidi="en-US"/>
        </w:rPr>
        <w:fldChar w:fldCharType="end"/>
      </w:r>
      <w:r w:rsidRPr="007C5C4F">
        <w:rPr>
          <w:lang w:bidi="en-US"/>
        </w:rPr>
        <w:t>.  Following the Competent Authority</w:t>
      </w:r>
      <w:r w:rsidRPr="007C5C4F" w:rsidR="007C5C4F">
        <w:rPr>
          <w:lang w:bidi="en-US"/>
        </w:rPr>
        <w:t>’</w:t>
      </w:r>
      <w:r w:rsidRPr="007C5C4F">
        <w:rPr>
          <w:lang w:bidi="en-US"/>
        </w:rPr>
        <w:t xml:space="preserve">s “Conclusive Decision”, in which it found that the first applicant had been trafficked (see paragraph </w:t>
      </w:r>
      <w:r w:rsidRPr="007C5C4F">
        <w:rPr>
          <w:lang w:bidi="en-US"/>
        </w:rPr>
        <w:fldChar w:fldCharType="begin"/>
      </w:r>
      <w:r w:rsidRPr="007C5C4F">
        <w:rPr>
          <w:lang w:bidi="en-US"/>
        </w:rPr>
        <w:instrText xml:space="preserve"> REF A113 \h  \* MERGEFORMAT </w:instrText>
      </w:r>
      <w:r w:rsidRPr="007C5C4F">
        <w:rPr>
          <w:lang w:bidi="en-US"/>
        </w:rPr>
        <w:fldChar w:fldCharType="separate"/>
      </w:r>
      <w:r w:rsidRPr="007C5C4F" w:rsidR="007C5C4F">
        <w:rPr>
          <w:rFonts w:eastAsiaTheme="minorEastAsia"/>
          <w:noProof/>
        </w:rPr>
        <w:t>13</w:t>
      </w:r>
      <w:r w:rsidRPr="007C5C4F">
        <w:rPr>
          <w:lang w:bidi="en-US"/>
        </w:rPr>
        <w:fldChar w:fldCharType="end"/>
      </w:r>
      <w:r w:rsidRPr="007C5C4F">
        <w:rPr>
          <w:lang w:bidi="en-US"/>
        </w:rPr>
        <w:t xml:space="preserve"> above), the CPS again reviewed the case and once again confirmed the decision to prosecute (see paragraph </w:t>
      </w:r>
      <w:r w:rsidRPr="007C5C4F">
        <w:rPr>
          <w:lang w:bidi="en-US"/>
        </w:rPr>
        <w:fldChar w:fldCharType="begin"/>
      </w:r>
      <w:r w:rsidRPr="007C5C4F">
        <w:rPr>
          <w:lang w:bidi="en-US"/>
        </w:rPr>
        <w:instrText xml:space="preserve"> REF A114 \h  \* MERGEFORMAT </w:instrText>
      </w:r>
      <w:r w:rsidRPr="007C5C4F">
        <w:rPr>
          <w:lang w:bidi="en-US"/>
        </w:rPr>
        <w:fldChar w:fldCharType="separate"/>
      </w:r>
      <w:r w:rsidRPr="007C5C4F" w:rsidR="007C5C4F">
        <w:rPr>
          <w:rFonts w:eastAsiaTheme="minorEastAsia"/>
          <w:noProof/>
        </w:rPr>
        <w:t>14</w:t>
      </w:r>
      <w:r w:rsidRPr="007C5C4F">
        <w:rPr>
          <w:lang w:bidi="en-US"/>
        </w:rPr>
        <w:fldChar w:fldCharType="end"/>
      </w:r>
      <w:r w:rsidRPr="007C5C4F">
        <w:rPr>
          <w:lang w:bidi="en-US"/>
        </w:rPr>
        <w:t xml:space="preserve"> above). No official reasons were given for this decision but in a letter to a member of parliament, the CPS explained that the prosecution had not been discontinued because the offences were very serious, there was no defence of duress and there was no clear evidence of trafficking (see paragraph </w:t>
      </w:r>
      <w:r w:rsidRPr="007C5C4F">
        <w:rPr>
          <w:lang w:bidi="en-US"/>
        </w:rPr>
        <w:fldChar w:fldCharType="begin"/>
      </w:r>
      <w:r w:rsidRPr="007C5C4F">
        <w:rPr>
          <w:lang w:bidi="en-US"/>
        </w:rPr>
        <w:instrText xml:space="preserve"> REF A114 \h  \* MERGEFORMAT </w:instrText>
      </w:r>
      <w:r w:rsidRPr="007C5C4F">
        <w:rPr>
          <w:lang w:bidi="en-US"/>
        </w:rPr>
        <w:fldChar w:fldCharType="separate"/>
      </w:r>
      <w:r w:rsidRPr="007C5C4F" w:rsidR="007C5C4F">
        <w:rPr>
          <w:rFonts w:eastAsiaTheme="minorEastAsia"/>
          <w:noProof/>
        </w:rPr>
        <w:t>14</w:t>
      </w:r>
      <w:r w:rsidRPr="007C5C4F">
        <w:rPr>
          <w:lang w:bidi="en-US"/>
        </w:rPr>
        <w:fldChar w:fldCharType="end"/>
      </w:r>
      <w:r w:rsidRPr="007C5C4F">
        <w:rPr>
          <w:lang w:bidi="en-US"/>
        </w:rPr>
        <w:t xml:space="preserve"> above). In spite of the CPS</w:t>
      </w:r>
      <w:r w:rsidRPr="007C5C4F" w:rsidR="007C5C4F">
        <w:rPr>
          <w:lang w:bidi="en-US"/>
        </w:rPr>
        <w:t>’</w:t>
      </w:r>
      <w:r w:rsidRPr="007C5C4F">
        <w:rPr>
          <w:lang w:bidi="en-US"/>
        </w:rPr>
        <w:t xml:space="preserve">s objections, the trial judge gave the first applicant the opportunity to make an application to vacate his guilty plea (see paragraph </w:t>
      </w:r>
      <w:r w:rsidRPr="007C5C4F">
        <w:rPr>
          <w:lang w:bidi="en-US"/>
        </w:rPr>
        <w:fldChar w:fldCharType="begin"/>
      </w:r>
      <w:r w:rsidRPr="007C5C4F">
        <w:rPr>
          <w:lang w:bidi="en-US"/>
        </w:rPr>
        <w:instrText xml:space="preserve"> REF A115 \h  \* MERGEFORMAT </w:instrText>
      </w:r>
      <w:r w:rsidRPr="007C5C4F">
        <w:rPr>
          <w:lang w:bidi="en-US"/>
        </w:rPr>
        <w:fldChar w:fldCharType="separate"/>
      </w:r>
      <w:r w:rsidRPr="007C5C4F" w:rsidR="007C5C4F">
        <w:rPr>
          <w:rFonts w:eastAsiaTheme="minorEastAsia"/>
          <w:noProof/>
        </w:rPr>
        <w:t>15</w:t>
      </w:r>
      <w:r w:rsidRPr="007C5C4F">
        <w:rPr>
          <w:lang w:bidi="en-US"/>
        </w:rPr>
        <w:fldChar w:fldCharType="end"/>
      </w:r>
      <w:r w:rsidRPr="007C5C4F">
        <w:rPr>
          <w:lang w:bidi="en-US"/>
        </w:rPr>
        <w:t xml:space="preserve"> above). However, again apparently on the advice of counsel, who considered the suggestion “outrageous”, he decided to maintain his “guilty” plea (see paragraph </w:t>
      </w:r>
      <w:r w:rsidRPr="007C5C4F">
        <w:rPr>
          <w:lang w:bidi="en-US"/>
        </w:rPr>
        <w:fldChar w:fldCharType="begin"/>
      </w:r>
      <w:r w:rsidRPr="007C5C4F">
        <w:rPr>
          <w:lang w:bidi="en-US"/>
        </w:rPr>
        <w:instrText xml:space="preserve"> REF A116 \h  \* MERGEFORMAT </w:instrText>
      </w:r>
      <w:r w:rsidRPr="007C5C4F">
        <w:rPr>
          <w:lang w:bidi="en-US"/>
        </w:rPr>
        <w:fldChar w:fldCharType="separate"/>
      </w:r>
      <w:r w:rsidRPr="007C5C4F" w:rsidR="007C5C4F">
        <w:rPr>
          <w:rFonts w:eastAsiaTheme="minorEastAsia"/>
          <w:noProof/>
        </w:rPr>
        <w:t>16</w:t>
      </w:r>
      <w:r w:rsidRPr="007C5C4F">
        <w:rPr>
          <w:lang w:bidi="en-US"/>
        </w:rPr>
        <w:fldChar w:fldCharType="end"/>
      </w:r>
      <w:r w:rsidRPr="007C5C4F">
        <w:rPr>
          <w:lang w:bidi="en-US"/>
        </w:rPr>
        <w:t xml:space="preserve"> above). That advice was based at least in part by the fact that the CPS did not intend to withdraw the prosecution (see paragraph </w:t>
      </w:r>
      <w:r w:rsidRPr="007C5C4F">
        <w:rPr>
          <w:lang w:bidi="en-US"/>
        </w:rPr>
        <w:fldChar w:fldCharType="begin"/>
      </w:r>
      <w:r w:rsidRPr="007C5C4F">
        <w:rPr>
          <w:lang w:bidi="en-US"/>
        </w:rPr>
        <w:instrText xml:space="preserve"> REF A117 \h  \* MERGEFORMAT </w:instrText>
      </w:r>
      <w:r w:rsidRPr="007C5C4F">
        <w:rPr>
          <w:lang w:bidi="en-US"/>
        </w:rPr>
        <w:fldChar w:fldCharType="separate"/>
      </w:r>
      <w:r w:rsidRPr="007C5C4F" w:rsidR="007C5C4F">
        <w:rPr>
          <w:rFonts w:eastAsiaTheme="minorEastAsia"/>
          <w:noProof/>
        </w:rPr>
        <w:t>17</w:t>
      </w:r>
      <w:r w:rsidRPr="007C5C4F">
        <w:rPr>
          <w:lang w:bidi="en-US"/>
        </w:rPr>
        <w:fldChar w:fldCharType="end"/>
      </w:r>
      <w:r w:rsidRPr="007C5C4F">
        <w:rPr>
          <w:lang w:bidi="en-US"/>
        </w:rPr>
        <w:t xml:space="preserve"> above).</w:t>
      </w:r>
    </w:p>
    <w:p w:rsidRPr="007C5C4F" w:rsidR="005E3D7B" w:rsidP="007C5C4F" w14:paraId="358F3B8D" w14:textId="557364A1">
      <w:pPr>
        <w:pStyle w:val="JuPara"/>
        <w:rPr>
          <w:lang w:bidi="en-US"/>
        </w:rPr>
      </w:pPr>
      <w:r w:rsidRPr="007C5C4F">
        <w:rPr>
          <w:lang w:bidi="en-US"/>
        </w:rPr>
        <w:fldChar w:fldCharType="begin"/>
      </w:r>
      <w:r w:rsidRPr="007C5C4F">
        <w:rPr>
          <w:lang w:bidi="en-US"/>
        </w:rPr>
        <w:instrText xml:space="preserve"> SEQ level0 \*arabic </w:instrText>
      </w:r>
      <w:r w:rsidRPr="007C5C4F">
        <w:rPr>
          <w:lang w:bidi="en-US"/>
        </w:rPr>
        <w:fldChar w:fldCharType="separate"/>
      </w:r>
      <w:r w:rsidRPr="007C5C4F" w:rsidR="007C5C4F">
        <w:rPr>
          <w:noProof/>
          <w:lang w:bidi="en-US"/>
        </w:rPr>
        <w:t>167</w:t>
      </w:r>
      <w:r w:rsidRPr="007C5C4F">
        <w:rPr>
          <w:lang w:bidi="en-US"/>
        </w:rPr>
        <w:fldChar w:fldCharType="end"/>
      </w:r>
      <w:r w:rsidRPr="007C5C4F">
        <w:rPr>
          <w:lang w:bidi="en-US"/>
        </w:rPr>
        <w:t xml:space="preserve">.  Although the first applicant was later granted permission to appeal out of time against conviction and sentence (see paragraphs </w:t>
      </w:r>
      <w:r w:rsidRPr="007C5C4F">
        <w:rPr>
          <w:lang w:bidi="en-US"/>
        </w:rPr>
        <w:fldChar w:fldCharType="begin"/>
      </w:r>
      <w:r w:rsidRPr="007C5C4F">
        <w:rPr>
          <w:lang w:bidi="en-US"/>
        </w:rPr>
        <w:instrText xml:space="preserve"> REF PTAA11 \h  \* MERGEFORMAT </w:instrText>
      </w:r>
      <w:r w:rsidRPr="007C5C4F">
        <w:rPr>
          <w:lang w:bidi="en-US"/>
        </w:rPr>
        <w:fldChar w:fldCharType="separate"/>
      </w:r>
      <w:r w:rsidRPr="007C5C4F" w:rsidR="007C5C4F">
        <w:rPr>
          <w:noProof/>
        </w:rPr>
        <w:t>38</w:t>
      </w:r>
      <w:r w:rsidRPr="007C5C4F">
        <w:rPr>
          <w:lang w:bidi="en-US"/>
        </w:rPr>
        <w:fldChar w:fldCharType="end"/>
      </w:r>
      <w:r w:rsidRPr="007C5C4F">
        <w:rPr>
          <w:lang w:bidi="en-US"/>
        </w:rPr>
        <w:t>-</w:t>
      </w:r>
      <w:r w:rsidRPr="007C5C4F">
        <w:rPr>
          <w:lang w:bidi="en-US"/>
        </w:rPr>
        <w:fldChar w:fldCharType="begin"/>
      </w:r>
      <w:r w:rsidRPr="007C5C4F">
        <w:rPr>
          <w:lang w:bidi="en-US"/>
        </w:rPr>
        <w:instrText xml:space="preserve"> REF PTAA12 \h  \* MERGEFORMAT </w:instrText>
      </w:r>
      <w:r w:rsidRPr="007C5C4F">
        <w:rPr>
          <w:lang w:bidi="en-US"/>
        </w:rPr>
        <w:fldChar w:fldCharType="separate"/>
      </w:r>
      <w:r w:rsidRPr="007C5C4F" w:rsidR="007C5C4F">
        <w:rPr>
          <w:rFonts w:eastAsiaTheme="minorEastAsia"/>
          <w:noProof/>
        </w:rPr>
        <w:t>39</w:t>
      </w:r>
      <w:r w:rsidRPr="007C5C4F">
        <w:rPr>
          <w:lang w:bidi="en-US"/>
        </w:rPr>
        <w:fldChar w:fldCharType="end"/>
      </w:r>
      <w:r w:rsidRPr="007C5C4F">
        <w:rPr>
          <w:lang w:bidi="en-US"/>
        </w:rPr>
        <w:t xml:space="preserve"> above), in February 2012 his appeal was dismissed, as the Court of Appeal concluded that the decision to prosecute was amply justified. In those proceedings, the Crown focused on evidence which in its view suggested that the first applicant was not a victim of trafficking, including the fact that he was found with cash and had a mobile telephone, the factory was in a house and not a “makeshift prison”, the first applicant was provided with weekly groceries, and there were some inconsistencies in his account (see paragraph </w:t>
      </w:r>
      <w:r w:rsidRPr="007C5C4F">
        <w:rPr>
          <w:lang w:bidi="en-US"/>
        </w:rPr>
        <w:fldChar w:fldCharType="begin"/>
      </w:r>
      <w:r w:rsidRPr="007C5C4F">
        <w:rPr>
          <w:lang w:bidi="en-US"/>
        </w:rPr>
        <w:instrText xml:space="preserve"> REF CAA11 \h  \* MERGEFORMAT </w:instrText>
      </w:r>
      <w:r w:rsidRPr="007C5C4F">
        <w:rPr>
          <w:lang w:bidi="en-US"/>
        </w:rPr>
        <w:fldChar w:fldCharType="separate"/>
      </w:r>
      <w:r w:rsidRPr="007C5C4F" w:rsidR="007C5C4F">
        <w:rPr>
          <w:noProof/>
        </w:rPr>
        <w:t>45</w:t>
      </w:r>
      <w:r w:rsidRPr="007C5C4F">
        <w:rPr>
          <w:lang w:bidi="en-US"/>
        </w:rPr>
        <w:fldChar w:fldCharType="end"/>
      </w:r>
      <w:r w:rsidRPr="007C5C4F">
        <w:rPr>
          <w:lang w:bidi="en-US"/>
        </w:rPr>
        <w:t xml:space="preserve"> above).</w:t>
      </w:r>
    </w:p>
    <w:p w:rsidRPr="007C5C4F" w:rsidR="005E3D7B" w:rsidP="007C5C4F" w14:paraId="52EC730D" w14:textId="171FECA3">
      <w:pPr>
        <w:pStyle w:val="JuPara"/>
        <w:rPr>
          <w:lang w:bidi="en-US"/>
        </w:rPr>
      </w:pPr>
      <w:r w:rsidRPr="007C5C4F">
        <w:rPr>
          <w:lang w:bidi="en-US"/>
        </w:rPr>
        <w:fldChar w:fldCharType="begin"/>
      </w:r>
      <w:r w:rsidRPr="007C5C4F">
        <w:rPr>
          <w:lang w:bidi="en-US"/>
        </w:rPr>
        <w:instrText xml:space="preserve"> SEQ level0 \*arabic </w:instrText>
      </w:r>
      <w:r w:rsidRPr="007C5C4F">
        <w:rPr>
          <w:lang w:bidi="en-US"/>
        </w:rPr>
        <w:fldChar w:fldCharType="separate"/>
      </w:r>
      <w:r w:rsidRPr="007C5C4F" w:rsidR="007C5C4F">
        <w:rPr>
          <w:noProof/>
          <w:lang w:bidi="en-US"/>
        </w:rPr>
        <w:t>168</w:t>
      </w:r>
      <w:r w:rsidRPr="007C5C4F">
        <w:rPr>
          <w:lang w:bidi="en-US"/>
        </w:rPr>
        <w:fldChar w:fldCharType="end"/>
      </w:r>
      <w:r w:rsidRPr="007C5C4F">
        <w:rPr>
          <w:lang w:bidi="en-US"/>
        </w:rPr>
        <w:t xml:space="preserve">.  However, almost two years later the Competent Authority reconsidered its decision in the light of the material in the CPS file but concluded that that information did not change its Conclusive Decision. In particular, it found that the information provided by the CPS did not change the fact that the two key elements of the definition of “trafficking” which were required in the case of a minor (being “action” and “purpose”) were present. In its view, the first applicant had been recruited and harboured in the property (action) for the purpose of exploitation (purpose). Coercion (means) was not required in the case of a minor as he could not give informed consent. According to the Competent Authority, the factors relied on by the judge in the criminal trial related merely to peripheral issues and did not go to the core of the elements that made up the definition of trafficking (see paragraphs </w:t>
      </w:r>
      <w:r w:rsidRPr="007C5C4F">
        <w:rPr>
          <w:lang w:bidi="en-US"/>
        </w:rPr>
        <w:fldChar w:fldCharType="begin"/>
      </w:r>
      <w:r w:rsidRPr="007C5C4F">
        <w:rPr>
          <w:lang w:bidi="en-US"/>
        </w:rPr>
        <w:instrText xml:space="preserve"> REF A1Recon \h  \* MERGEFORMAT </w:instrText>
      </w:r>
      <w:r w:rsidRPr="007C5C4F">
        <w:rPr>
          <w:lang w:bidi="en-US"/>
        </w:rPr>
        <w:fldChar w:fldCharType="separate"/>
      </w:r>
      <w:r w:rsidRPr="007C5C4F" w:rsidR="007C5C4F">
        <w:rPr>
          <w:noProof/>
        </w:rPr>
        <w:t>53</w:t>
      </w:r>
      <w:r w:rsidRPr="007C5C4F">
        <w:rPr>
          <w:lang w:bidi="en-US"/>
        </w:rPr>
        <w:fldChar w:fldCharType="end"/>
      </w:r>
      <w:r w:rsidRPr="007C5C4F">
        <w:rPr>
          <w:lang w:bidi="en-US"/>
        </w:rPr>
        <w:t>-</w:t>
      </w:r>
      <w:r w:rsidRPr="007C5C4F">
        <w:rPr>
          <w:lang w:bidi="en-US"/>
        </w:rPr>
        <w:fldChar w:fldCharType="begin"/>
      </w:r>
      <w:r w:rsidRPr="007C5C4F">
        <w:rPr>
          <w:lang w:bidi="en-US"/>
        </w:rPr>
        <w:instrText xml:space="preserve"> REF A1Recon2 \h  \* MERGEFORMAT </w:instrText>
      </w:r>
      <w:r w:rsidRPr="007C5C4F">
        <w:rPr>
          <w:lang w:bidi="en-US"/>
        </w:rPr>
        <w:fldChar w:fldCharType="separate"/>
      </w:r>
      <w:r w:rsidRPr="007C5C4F" w:rsidR="007C5C4F">
        <w:rPr>
          <w:noProof/>
        </w:rPr>
        <w:t>54</w:t>
      </w:r>
      <w:r w:rsidRPr="007C5C4F">
        <w:rPr>
          <w:lang w:bidi="en-US"/>
        </w:rPr>
        <w:fldChar w:fldCharType="end"/>
      </w:r>
      <w:r w:rsidRPr="007C5C4F">
        <w:rPr>
          <w:lang w:bidi="en-US"/>
        </w:rPr>
        <w:t xml:space="preserve"> above).</w:t>
      </w:r>
    </w:p>
    <w:p w:rsidRPr="007C5C4F" w:rsidR="005E3D7B" w:rsidP="007C5C4F" w14:paraId="5406A9F7" w14:textId="6BA84D74">
      <w:pPr>
        <w:pStyle w:val="JuPara"/>
        <w:rPr>
          <w:lang w:bidi="en-US"/>
        </w:rPr>
      </w:pPr>
      <w:r w:rsidRPr="007C5C4F">
        <w:rPr>
          <w:lang w:bidi="en-US"/>
        </w:rPr>
        <w:fldChar w:fldCharType="begin"/>
      </w:r>
      <w:r w:rsidRPr="007C5C4F">
        <w:rPr>
          <w:lang w:bidi="en-US"/>
        </w:rPr>
        <w:instrText xml:space="preserve"> SEQ level0 \*arabic </w:instrText>
      </w:r>
      <w:r w:rsidRPr="007C5C4F">
        <w:rPr>
          <w:lang w:bidi="en-US"/>
        </w:rPr>
        <w:fldChar w:fldCharType="separate"/>
      </w:r>
      <w:r w:rsidRPr="007C5C4F" w:rsidR="007C5C4F">
        <w:rPr>
          <w:noProof/>
          <w:lang w:bidi="en-US"/>
        </w:rPr>
        <w:t>169</w:t>
      </w:r>
      <w:r w:rsidRPr="007C5C4F">
        <w:rPr>
          <w:lang w:bidi="en-US"/>
        </w:rPr>
        <w:fldChar w:fldCharType="end"/>
      </w:r>
      <w:r w:rsidRPr="007C5C4F">
        <w:rPr>
          <w:lang w:bidi="en-US"/>
        </w:rPr>
        <w:t>.  The first applicant</w:t>
      </w:r>
      <w:r w:rsidRPr="007C5C4F" w:rsidR="007C5C4F">
        <w:rPr>
          <w:lang w:bidi="en-US"/>
        </w:rPr>
        <w:t>’</w:t>
      </w:r>
      <w:r w:rsidRPr="007C5C4F">
        <w:rPr>
          <w:lang w:bidi="en-US"/>
        </w:rPr>
        <w:t>s case was subsequently referred back to the Court of Appeal but again his appeal was dismissed. On that occasion the court found that in view of the applicant</w:t>
      </w:r>
      <w:r w:rsidRPr="007C5C4F" w:rsidR="007C5C4F">
        <w:rPr>
          <w:lang w:bidi="en-US"/>
        </w:rPr>
        <w:t>’</w:t>
      </w:r>
      <w:r w:rsidRPr="007C5C4F">
        <w:rPr>
          <w:lang w:bidi="en-US"/>
        </w:rPr>
        <w:t xml:space="preserve">s age, the fact that he was not a prisoner and had a significant quantity of cash and a telephone, and the existence of some inconsistencies in his account, it had been open to the Crown to decide that the prosecution should continue, as the relevant nexus had not been established between the trafficking and the offence (see paragraphs </w:t>
      </w:r>
      <w:r w:rsidRPr="007C5C4F">
        <w:rPr>
          <w:lang w:bidi="en-US"/>
        </w:rPr>
        <w:fldChar w:fldCharType="begin"/>
      </w:r>
      <w:r w:rsidRPr="007C5C4F">
        <w:rPr>
          <w:lang w:bidi="en-US"/>
        </w:rPr>
        <w:instrText xml:space="preserve"> REF A1CA2Start \h  \* MERGEFORMAT </w:instrText>
      </w:r>
      <w:r w:rsidRPr="007C5C4F">
        <w:rPr>
          <w:lang w:bidi="en-US"/>
        </w:rPr>
        <w:fldChar w:fldCharType="separate"/>
      </w:r>
      <w:r w:rsidRPr="007C5C4F" w:rsidR="007C5C4F">
        <w:rPr>
          <w:rFonts w:eastAsiaTheme="minorEastAsia"/>
          <w:noProof/>
        </w:rPr>
        <w:t>55</w:t>
      </w:r>
      <w:r w:rsidRPr="007C5C4F">
        <w:rPr>
          <w:lang w:bidi="en-US"/>
        </w:rPr>
        <w:fldChar w:fldCharType="end"/>
      </w:r>
      <w:r w:rsidRPr="007C5C4F">
        <w:rPr>
          <w:lang w:bidi="en-US"/>
        </w:rPr>
        <w:t>-</w:t>
      </w:r>
      <w:r w:rsidRPr="007C5C4F">
        <w:rPr>
          <w:lang w:bidi="en-US"/>
        </w:rPr>
        <w:fldChar w:fldCharType="begin"/>
      </w:r>
      <w:r w:rsidRPr="007C5C4F">
        <w:rPr>
          <w:lang w:bidi="en-US"/>
        </w:rPr>
        <w:instrText xml:space="preserve"> REF A1CA2End \h  \* MERGEFORMAT </w:instrText>
      </w:r>
      <w:r w:rsidRPr="007C5C4F">
        <w:rPr>
          <w:lang w:bidi="en-US"/>
        </w:rPr>
        <w:fldChar w:fldCharType="separate"/>
      </w:r>
      <w:r w:rsidRPr="007C5C4F" w:rsidR="007C5C4F">
        <w:rPr>
          <w:rFonts w:eastAsiaTheme="minorEastAsia"/>
          <w:noProof/>
        </w:rPr>
        <w:t>63</w:t>
      </w:r>
      <w:r w:rsidRPr="007C5C4F">
        <w:rPr>
          <w:lang w:bidi="en-US"/>
        </w:rPr>
        <w:fldChar w:fldCharType="end"/>
      </w:r>
      <w:r w:rsidRPr="007C5C4F">
        <w:rPr>
          <w:lang w:bidi="en-US"/>
        </w:rPr>
        <w:t xml:space="preserve"> above).</w:t>
      </w:r>
    </w:p>
    <w:bookmarkStart w:name="para169" w:id="73"/>
    <w:p w:rsidRPr="007C5C4F" w:rsidR="005E3D7B" w:rsidP="007C5C4F" w14:paraId="1EB34651" w14:textId="2E4C0327">
      <w:pPr>
        <w:pStyle w:val="JuPara"/>
        <w:rPr>
          <w:lang w:bidi="en-US"/>
        </w:rPr>
      </w:pPr>
      <w:r w:rsidRPr="007C5C4F">
        <w:rPr>
          <w:lang w:bidi="en-US"/>
        </w:rPr>
        <w:fldChar w:fldCharType="begin"/>
      </w:r>
      <w:r w:rsidRPr="007C5C4F">
        <w:rPr>
          <w:lang w:bidi="en-US"/>
        </w:rPr>
        <w:instrText xml:space="preserve"> SEQ level0 \*arabic </w:instrText>
      </w:r>
      <w:r w:rsidRPr="007C5C4F">
        <w:rPr>
          <w:lang w:bidi="en-US"/>
        </w:rPr>
        <w:fldChar w:fldCharType="separate"/>
      </w:r>
      <w:r w:rsidRPr="007C5C4F" w:rsidR="007C5C4F">
        <w:rPr>
          <w:noProof/>
          <w:lang w:bidi="en-US"/>
        </w:rPr>
        <w:t>170</w:t>
      </w:r>
      <w:r w:rsidRPr="007C5C4F">
        <w:rPr>
          <w:lang w:bidi="en-US"/>
        </w:rPr>
        <w:fldChar w:fldCharType="end"/>
      </w:r>
      <w:bookmarkEnd w:id="73"/>
      <w:r w:rsidRPr="007C5C4F">
        <w:rPr>
          <w:lang w:bidi="en-US"/>
        </w:rPr>
        <w:t xml:space="preserve">.  However, the Crown did not consider that the relevant nexus had not been established between the trafficking and the criminal offence; rather, it repeatedly found that there was no clear evidence that the first applicant had been trafficked (see paragraphs </w:t>
      </w:r>
      <w:r w:rsidRPr="007C5C4F">
        <w:rPr>
          <w:lang w:bidi="en-US"/>
        </w:rPr>
        <w:fldChar w:fldCharType="begin"/>
      </w:r>
      <w:r w:rsidRPr="007C5C4F">
        <w:rPr>
          <w:lang w:bidi="en-US"/>
        </w:rPr>
        <w:instrText xml:space="preserve"> REF A112 \h  \* MERGEFORMAT </w:instrText>
      </w:r>
      <w:r w:rsidRPr="007C5C4F">
        <w:rPr>
          <w:lang w:bidi="en-US"/>
        </w:rPr>
        <w:fldChar w:fldCharType="separate"/>
      </w:r>
      <w:r w:rsidRPr="007C5C4F" w:rsidR="007C5C4F">
        <w:rPr>
          <w:rFonts w:eastAsiaTheme="minorEastAsia"/>
          <w:noProof/>
        </w:rPr>
        <w:t>12</w:t>
      </w:r>
      <w:r w:rsidRPr="007C5C4F">
        <w:rPr>
          <w:lang w:bidi="en-US"/>
        </w:rPr>
        <w:fldChar w:fldCharType="end"/>
      </w:r>
      <w:r w:rsidRPr="007C5C4F">
        <w:rPr>
          <w:lang w:bidi="en-US"/>
        </w:rPr>
        <w:t xml:space="preserve">, </w:t>
      </w:r>
      <w:r w:rsidRPr="007C5C4F">
        <w:rPr>
          <w:lang w:bidi="en-US"/>
        </w:rPr>
        <w:fldChar w:fldCharType="begin"/>
      </w:r>
      <w:r w:rsidRPr="007C5C4F">
        <w:rPr>
          <w:lang w:bidi="en-US"/>
        </w:rPr>
        <w:instrText xml:space="preserve"> REF A114 \h  \* MERGEFORMAT </w:instrText>
      </w:r>
      <w:r w:rsidRPr="007C5C4F">
        <w:rPr>
          <w:lang w:bidi="en-US"/>
        </w:rPr>
        <w:fldChar w:fldCharType="separate"/>
      </w:r>
      <w:r w:rsidRPr="007C5C4F" w:rsidR="007C5C4F">
        <w:rPr>
          <w:rFonts w:eastAsiaTheme="minorEastAsia"/>
          <w:noProof/>
        </w:rPr>
        <w:t>14</w:t>
      </w:r>
      <w:r w:rsidRPr="007C5C4F">
        <w:rPr>
          <w:lang w:bidi="en-US"/>
        </w:rPr>
        <w:fldChar w:fldCharType="end"/>
      </w:r>
      <w:r w:rsidRPr="007C5C4F">
        <w:rPr>
          <w:lang w:bidi="en-US"/>
        </w:rPr>
        <w:t xml:space="preserve"> and </w:t>
      </w:r>
      <w:r w:rsidRPr="007C5C4F">
        <w:rPr>
          <w:lang w:bidi="en-US"/>
        </w:rPr>
        <w:fldChar w:fldCharType="begin"/>
      </w:r>
      <w:r w:rsidRPr="007C5C4F">
        <w:rPr>
          <w:lang w:bidi="en-US"/>
        </w:rPr>
        <w:instrText xml:space="preserve"> REF CAA11 \h  \* MERGEFORMAT </w:instrText>
      </w:r>
      <w:r w:rsidRPr="007C5C4F">
        <w:rPr>
          <w:lang w:bidi="en-US"/>
        </w:rPr>
        <w:fldChar w:fldCharType="separate"/>
      </w:r>
      <w:r w:rsidRPr="007C5C4F" w:rsidR="007C5C4F">
        <w:rPr>
          <w:noProof/>
        </w:rPr>
        <w:t>45</w:t>
      </w:r>
      <w:r w:rsidRPr="007C5C4F">
        <w:rPr>
          <w:lang w:bidi="en-US"/>
        </w:rPr>
        <w:fldChar w:fldCharType="end"/>
      </w:r>
      <w:r w:rsidRPr="007C5C4F">
        <w:rPr>
          <w:lang w:bidi="en-US"/>
        </w:rPr>
        <w:t xml:space="preserve"> above). Moreover, at no stage did it put forward any clear reasons for reaching a different conclusion from that of the Competent Authority, and in so far as any reasons can be gleaned from the information provided to the member of parliament (see paragraph </w:t>
      </w:r>
      <w:r w:rsidRPr="007C5C4F">
        <w:rPr>
          <w:lang w:bidi="en-US"/>
        </w:rPr>
        <w:fldChar w:fldCharType="begin"/>
      </w:r>
      <w:r w:rsidRPr="007C5C4F">
        <w:rPr>
          <w:lang w:bidi="en-US"/>
        </w:rPr>
        <w:instrText xml:space="preserve"> REF A114 \h  \* MERGEFORMAT </w:instrText>
      </w:r>
      <w:r w:rsidRPr="007C5C4F">
        <w:rPr>
          <w:lang w:bidi="en-US"/>
        </w:rPr>
        <w:fldChar w:fldCharType="separate"/>
      </w:r>
      <w:r w:rsidRPr="007C5C4F" w:rsidR="007C5C4F">
        <w:rPr>
          <w:rFonts w:eastAsiaTheme="minorEastAsia"/>
          <w:noProof/>
        </w:rPr>
        <w:t>14</w:t>
      </w:r>
      <w:r w:rsidRPr="007C5C4F">
        <w:rPr>
          <w:lang w:bidi="en-US"/>
        </w:rPr>
        <w:fldChar w:fldCharType="end"/>
      </w:r>
      <w:r w:rsidRPr="007C5C4F">
        <w:rPr>
          <w:lang w:bidi="en-US"/>
        </w:rPr>
        <w:t xml:space="preserve"> above) and to the Court of Appeal (see paragraph </w:t>
      </w:r>
      <w:r w:rsidRPr="007C5C4F">
        <w:rPr>
          <w:lang w:bidi="en-US"/>
        </w:rPr>
        <w:fldChar w:fldCharType="begin"/>
      </w:r>
      <w:r w:rsidRPr="007C5C4F">
        <w:rPr>
          <w:lang w:bidi="en-US"/>
        </w:rPr>
        <w:instrText xml:space="preserve"> REF CAA11 \h  \* MERGEFORMAT </w:instrText>
      </w:r>
      <w:r w:rsidRPr="007C5C4F">
        <w:rPr>
          <w:lang w:bidi="en-US"/>
        </w:rPr>
        <w:fldChar w:fldCharType="separate"/>
      </w:r>
      <w:r w:rsidRPr="007C5C4F" w:rsidR="007C5C4F">
        <w:rPr>
          <w:noProof/>
        </w:rPr>
        <w:t>45</w:t>
      </w:r>
      <w:r w:rsidRPr="007C5C4F">
        <w:rPr>
          <w:lang w:bidi="en-US"/>
        </w:rPr>
        <w:fldChar w:fldCharType="end"/>
      </w:r>
      <w:r w:rsidRPr="007C5C4F">
        <w:rPr>
          <w:lang w:bidi="en-US"/>
        </w:rPr>
        <w:t xml:space="preserve"> above), as the Competent Authority itself pointed out they related to peripheral issues and did not go to the core of the elements necessary to establish “trafficking” (see paragraphs </w:t>
      </w:r>
      <w:r w:rsidRPr="007C5C4F">
        <w:rPr>
          <w:lang w:bidi="en-US"/>
        </w:rPr>
        <w:fldChar w:fldCharType="begin"/>
      </w:r>
      <w:r w:rsidRPr="007C5C4F">
        <w:rPr>
          <w:lang w:bidi="en-US"/>
        </w:rPr>
        <w:instrText xml:space="preserve"> REF A1Recon \h  \* MERGEFORMAT </w:instrText>
      </w:r>
      <w:r w:rsidRPr="007C5C4F">
        <w:rPr>
          <w:lang w:bidi="en-US"/>
        </w:rPr>
        <w:fldChar w:fldCharType="separate"/>
      </w:r>
      <w:r w:rsidRPr="007C5C4F" w:rsidR="007C5C4F">
        <w:rPr>
          <w:noProof/>
        </w:rPr>
        <w:t>53</w:t>
      </w:r>
      <w:r w:rsidRPr="007C5C4F">
        <w:rPr>
          <w:lang w:bidi="en-US"/>
        </w:rPr>
        <w:fldChar w:fldCharType="end"/>
      </w:r>
      <w:r w:rsidRPr="007C5C4F">
        <w:rPr>
          <w:lang w:bidi="en-US"/>
        </w:rPr>
        <w:t>-</w:t>
      </w:r>
      <w:r w:rsidRPr="007C5C4F">
        <w:rPr>
          <w:lang w:bidi="en-US"/>
        </w:rPr>
        <w:fldChar w:fldCharType="begin"/>
      </w:r>
      <w:r w:rsidRPr="007C5C4F">
        <w:rPr>
          <w:lang w:bidi="en-US"/>
        </w:rPr>
        <w:instrText xml:space="preserve"> REF A1Recon2 \h  \* MERGEFORMAT </w:instrText>
      </w:r>
      <w:r w:rsidRPr="007C5C4F">
        <w:rPr>
          <w:lang w:bidi="en-US"/>
        </w:rPr>
        <w:fldChar w:fldCharType="separate"/>
      </w:r>
      <w:r w:rsidRPr="007C5C4F" w:rsidR="007C5C4F">
        <w:rPr>
          <w:noProof/>
        </w:rPr>
        <w:t>54</w:t>
      </w:r>
      <w:r w:rsidRPr="007C5C4F">
        <w:rPr>
          <w:lang w:bidi="en-US"/>
        </w:rPr>
        <w:fldChar w:fldCharType="end"/>
      </w:r>
      <w:r w:rsidRPr="007C5C4F">
        <w:rPr>
          <w:lang w:bidi="en-US"/>
        </w:rPr>
        <w:t xml:space="preserve"> above). The Court of Appeal, in twice dismissing the first applicant</w:t>
      </w:r>
      <w:r w:rsidRPr="007C5C4F" w:rsidR="007C5C4F">
        <w:rPr>
          <w:lang w:bidi="en-US"/>
        </w:rPr>
        <w:t>’</w:t>
      </w:r>
      <w:r w:rsidRPr="007C5C4F">
        <w:rPr>
          <w:lang w:bidi="en-US"/>
        </w:rPr>
        <w:t xml:space="preserve">s appeal, appears to have relied on the same reasons (see paragraphs </w:t>
      </w:r>
      <w:r w:rsidRPr="007C5C4F">
        <w:rPr>
          <w:lang w:bidi="en-US"/>
        </w:rPr>
        <w:fldChar w:fldCharType="begin"/>
      </w:r>
      <w:r w:rsidRPr="007C5C4F">
        <w:rPr>
          <w:lang w:bidi="en-US"/>
        </w:rPr>
        <w:instrText xml:space="preserve"> REF CAA11 \h  \* MERGEFORMAT </w:instrText>
      </w:r>
      <w:r w:rsidRPr="007C5C4F">
        <w:rPr>
          <w:lang w:bidi="en-US"/>
        </w:rPr>
        <w:fldChar w:fldCharType="separate"/>
      </w:r>
      <w:r w:rsidRPr="007C5C4F" w:rsidR="007C5C4F">
        <w:rPr>
          <w:noProof/>
        </w:rPr>
        <w:t>45</w:t>
      </w:r>
      <w:r w:rsidRPr="007C5C4F">
        <w:rPr>
          <w:lang w:bidi="en-US"/>
        </w:rPr>
        <w:fldChar w:fldCharType="end"/>
      </w:r>
      <w:r w:rsidRPr="007C5C4F">
        <w:rPr>
          <w:lang w:bidi="en-US"/>
        </w:rPr>
        <w:t xml:space="preserve"> and </w:t>
      </w:r>
      <w:r w:rsidRPr="007C5C4F">
        <w:rPr>
          <w:lang w:bidi="en-US"/>
        </w:rPr>
        <w:fldChar w:fldCharType="begin"/>
      </w:r>
      <w:r w:rsidRPr="007C5C4F">
        <w:rPr>
          <w:lang w:bidi="en-US"/>
        </w:rPr>
        <w:instrText xml:space="preserve"> REF A1CA2Start \h  \* MERGEFORMAT </w:instrText>
      </w:r>
      <w:r w:rsidRPr="007C5C4F">
        <w:rPr>
          <w:lang w:bidi="en-US"/>
        </w:rPr>
        <w:fldChar w:fldCharType="separate"/>
      </w:r>
      <w:r w:rsidRPr="007C5C4F" w:rsidR="007C5C4F">
        <w:rPr>
          <w:rFonts w:eastAsiaTheme="minorEastAsia"/>
          <w:noProof/>
        </w:rPr>
        <w:t>55</w:t>
      </w:r>
      <w:r w:rsidRPr="007C5C4F">
        <w:rPr>
          <w:lang w:bidi="en-US"/>
        </w:rPr>
        <w:fldChar w:fldCharType="end"/>
      </w:r>
      <w:r w:rsidRPr="007C5C4F">
        <w:rPr>
          <w:lang w:bidi="en-US"/>
        </w:rPr>
        <w:t>-</w:t>
      </w:r>
      <w:r w:rsidRPr="007C5C4F">
        <w:rPr>
          <w:lang w:bidi="en-US"/>
        </w:rPr>
        <w:fldChar w:fldCharType="begin"/>
      </w:r>
      <w:r w:rsidRPr="007C5C4F">
        <w:rPr>
          <w:lang w:bidi="en-US"/>
        </w:rPr>
        <w:instrText xml:space="preserve"> REF A1CA2End \h  \* MERGEFORMAT </w:instrText>
      </w:r>
      <w:r w:rsidRPr="007C5C4F">
        <w:rPr>
          <w:lang w:bidi="en-US"/>
        </w:rPr>
        <w:fldChar w:fldCharType="separate"/>
      </w:r>
      <w:r w:rsidRPr="007C5C4F" w:rsidR="007C5C4F">
        <w:rPr>
          <w:rFonts w:eastAsiaTheme="minorEastAsia"/>
          <w:noProof/>
        </w:rPr>
        <w:t>63</w:t>
      </w:r>
      <w:r w:rsidRPr="007C5C4F">
        <w:rPr>
          <w:lang w:bidi="en-US"/>
        </w:rPr>
        <w:fldChar w:fldCharType="end"/>
      </w:r>
      <w:r w:rsidRPr="007C5C4F">
        <w:rPr>
          <w:lang w:bidi="en-US"/>
        </w:rPr>
        <w:t xml:space="preserve"> above).</w:t>
      </w:r>
    </w:p>
    <w:p w:rsidRPr="007C5C4F" w:rsidR="005E3D7B" w:rsidP="007C5C4F" w14:paraId="5E9D663E" w14:textId="3057F7B4">
      <w:pPr>
        <w:pStyle w:val="JuPara"/>
      </w:pPr>
      <w:r w:rsidRPr="007C5C4F">
        <w:rPr>
          <w:lang w:bidi="en-US"/>
        </w:rPr>
        <w:fldChar w:fldCharType="begin"/>
      </w:r>
      <w:r w:rsidRPr="007C5C4F">
        <w:rPr>
          <w:lang w:bidi="en-US"/>
        </w:rPr>
        <w:instrText xml:space="preserve"> SEQ level0 \*arabic </w:instrText>
      </w:r>
      <w:r w:rsidRPr="007C5C4F">
        <w:rPr>
          <w:lang w:bidi="en-US"/>
        </w:rPr>
        <w:fldChar w:fldCharType="separate"/>
      </w:r>
      <w:r w:rsidRPr="007C5C4F" w:rsidR="007C5C4F">
        <w:rPr>
          <w:noProof/>
          <w:lang w:bidi="en-US"/>
        </w:rPr>
        <w:t>171</w:t>
      </w:r>
      <w:r w:rsidRPr="007C5C4F">
        <w:rPr>
          <w:lang w:bidi="en-US"/>
        </w:rPr>
        <w:fldChar w:fldCharType="end"/>
      </w:r>
      <w:r w:rsidRPr="007C5C4F">
        <w:rPr>
          <w:lang w:bidi="en-US"/>
        </w:rPr>
        <w:t>.  At the time of the first applicant</w:t>
      </w:r>
      <w:r w:rsidRPr="007C5C4F" w:rsidR="007C5C4F">
        <w:rPr>
          <w:lang w:bidi="en-US"/>
        </w:rPr>
        <w:t>’</w:t>
      </w:r>
      <w:r w:rsidRPr="007C5C4F">
        <w:rPr>
          <w:lang w:bidi="en-US"/>
        </w:rPr>
        <w:t xml:space="preserve">s arrest, Vietnamese minors had already been identified as a specific vulnerable group (see the guidance published by the CPS in December 2007 and on 4 February 2009, set out at paragraphs </w:t>
      </w:r>
      <w:r w:rsidRPr="007C5C4F">
        <w:rPr>
          <w:lang w:bidi="en-US"/>
        </w:rPr>
        <w:fldChar w:fldCharType="begin"/>
      </w:r>
      <w:r w:rsidRPr="007C5C4F">
        <w:rPr>
          <w:lang w:bidi="en-US"/>
        </w:rPr>
        <w:instrText xml:space="preserve"> REF CPS1 \h  \* MERGEFORMAT </w:instrText>
      </w:r>
      <w:r w:rsidRPr="007C5C4F">
        <w:rPr>
          <w:lang w:bidi="en-US"/>
        </w:rPr>
        <w:fldChar w:fldCharType="separate"/>
      </w:r>
      <w:r w:rsidRPr="007C5C4F" w:rsidR="007C5C4F">
        <w:rPr>
          <w:rFonts w:eastAsiaTheme="minorEastAsia"/>
          <w:noProof/>
        </w:rPr>
        <w:t>72</w:t>
      </w:r>
      <w:r w:rsidRPr="007C5C4F">
        <w:rPr>
          <w:lang w:bidi="en-US"/>
        </w:rPr>
        <w:fldChar w:fldCharType="end"/>
      </w:r>
      <w:r w:rsidRPr="007C5C4F">
        <w:rPr>
          <w:lang w:bidi="en-US"/>
        </w:rPr>
        <w:t>-</w:t>
      </w:r>
      <w:r w:rsidRPr="007C5C4F">
        <w:rPr>
          <w:lang w:bidi="en-US"/>
        </w:rPr>
        <w:fldChar w:fldCharType="begin"/>
      </w:r>
      <w:r w:rsidRPr="007C5C4F">
        <w:rPr>
          <w:lang w:bidi="en-US"/>
        </w:rPr>
        <w:instrText xml:space="preserve"> REF CPS2 \h  \* MERGEFORMAT </w:instrText>
      </w:r>
      <w:r w:rsidRPr="007C5C4F">
        <w:rPr>
          <w:lang w:bidi="en-US"/>
        </w:rPr>
        <w:fldChar w:fldCharType="separate"/>
      </w:r>
      <w:r w:rsidRPr="007C5C4F" w:rsidR="007C5C4F">
        <w:rPr>
          <w:rFonts w:eastAsiaTheme="minorEastAsia"/>
          <w:noProof/>
        </w:rPr>
        <w:t>73</w:t>
      </w:r>
      <w:r w:rsidRPr="007C5C4F">
        <w:rPr>
          <w:lang w:bidi="en-US"/>
        </w:rPr>
        <w:fldChar w:fldCharType="end"/>
      </w:r>
      <w:r w:rsidRPr="007C5C4F">
        <w:rPr>
          <w:lang w:bidi="en-US"/>
        </w:rPr>
        <w:t xml:space="preserve"> above; CEOP</w:t>
      </w:r>
      <w:r w:rsidRPr="007C5C4F" w:rsidR="007C5C4F">
        <w:rPr>
          <w:lang w:bidi="en-US"/>
        </w:rPr>
        <w:t>’</w:t>
      </w:r>
      <w:r w:rsidRPr="007C5C4F">
        <w:rPr>
          <w:lang w:bidi="en-US"/>
        </w:rPr>
        <w:t xml:space="preserve">s first “scoping report” published in June 2007, set out at paragraphs </w:t>
      </w:r>
      <w:r w:rsidRPr="007C5C4F">
        <w:rPr>
          <w:lang w:bidi="en-US"/>
        </w:rPr>
        <w:fldChar w:fldCharType="begin"/>
      </w:r>
      <w:r w:rsidRPr="007C5C4F">
        <w:rPr>
          <w:lang w:bidi="en-US"/>
        </w:rPr>
        <w:instrText xml:space="preserve"> REF CEOP1Start \h  \* MERGEFORMAT </w:instrText>
      </w:r>
      <w:r w:rsidRPr="007C5C4F">
        <w:rPr>
          <w:lang w:bidi="en-US"/>
        </w:rPr>
        <w:fldChar w:fldCharType="separate"/>
      </w:r>
      <w:r w:rsidRPr="007C5C4F" w:rsidR="007C5C4F">
        <w:rPr>
          <w:noProof/>
        </w:rPr>
        <w:t>81</w:t>
      </w:r>
      <w:r w:rsidRPr="007C5C4F">
        <w:rPr>
          <w:lang w:bidi="en-US"/>
        </w:rPr>
        <w:fldChar w:fldCharType="end"/>
      </w:r>
      <w:r w:rsidRPr="007C5C4F">
        <w:rPr>
          <w:lang w:bidi="en-US"/>
        </w:rPr>
        <w:t>-</w:t>
      </w:r>
      <w:r w:rsidRPr="007C5C4F">
        <w:rPr>
          <w:lang w:bidi="en-US"/>
        </w:rPr>
        <w:fldChar w:fldCharType="begin"/>
      </w:r>
      <w:r w:rsidRPr="007C5C4F">
        <w:rPr>
          <w:lang w:bidi="en-US"/>
        </w:rPr>
        <w:instrText xml:space="preserve"> REF CEOP1End \h  \* MERGEFORMAT </w:instrText>
      </w:r>
      <w:r w:rsidRPr="007C5C4F">
        <w:rPr>
          <w:lang w:bidi="en-US"/>
        </w:rPr>
        <w:fldChar w:fldCharType="separate"/>
      </w:r>
      <w:r w:rsidRPr="007C5C4F" w:rsidR="007C5C4F">
        <w:rPr>
          <w:noProof/>
        </w:rPr>
        <w:t>82</w:t>
      </w:r>
      <w:r w:rsidRPr="007C5C4F">
        <w:rPr>
          <w:lang w:bidi="en-US"/>
        </w:rPr>
        <w:fldChar w:fldCharType="end"/>
      </w:r>
      <w:r w:rsidRPr="007C5C4F">
        <w:rPr>
          <w:lang w:bidi="en-US"/>
        </w:rPr>
        <w:t xml:space="preserve"> above; and CEOP</w:t>
      </w:r>
      <w:r w:rsidRPr="007C5C4F" w:rsidR="007C5C4F">
        <w:rPr>
          <w:lang w:bidi="en-US"/>
        </w:rPr>
        <w:t>’</w:t>
      </w:r>
      <w:r w:rsidRPr="007C5C4F">
        <w:rPr>
          <w:lang w:bidi="en-US"/>
        </w:rPr>
        <w:t xml:space="preserve">s threat assessment of April 2009 set out at paragraph </w:t>
      </w:r>
      <w:r w:rsidRPr="007C5C4F">
        <w:rPr>
          <w:lang w:bidi="en-US"/>
        </w:rPr>
        <w:fldChar w:fldCharType="begin"/>
      </w:r>
      <w:r w:rsidRPr="007C5C4F">
        <w:rPr>
          <w:lang w:bidi="en-US"/>
        </w:rPr>
        <w:instrText xml:space="preserve"> REF CEOP2 \h  \* MERGEFORMAT </w:instrText>
      </w:r>
      <w:r w:rsidRPr="007C5C4F">
        <w:rPr>
          <w:lang w:bidi="en-US"/>
        </w:rPr>
        <w:fldChar w:fldCharType="separate"/>
      </w:r>
      <w:r w:rsidRPr="007C5C4F" w:rsidR="007C5C4F">
        <w:rPr>
          <w:noProof/>
        </w:rPr>
        <w:t>83</w:t>
      </w:r>
      <w:r w:rsidRPr="007C5C4F">
        <w:rPr>
          <w:lang w:bidi="en-US"/>
        </w:rPr>
        <w:fldChar w:fldCharType="end"/>
      </w:r>
      <w:r w:rsidRPr="007C5C4F">
        <w:rPr>
          <w:lang w:bidi="en-US"/>
        </w:rPr>
        <w:t xml:space="preserve"> above).</w:t>
      </w:r>
      <w:r w:rsidRPr="007C5C4F">
        <w:t xml:space="preserve"> </w:t>
      </w:r>
      <w:r w:rsidRPr="007C5C4F">
        <w:rPr>
          <w:lang w:bidi="en-US"/>
        </w:rPr>
        <w:t xml:space="preserve">Moreover, as the CPS indicated in its guidance published in February 2009, trafficked children could be reluctant to disclose the circumstances of their exploitation either for fear of reprisals, out of misplaced loyalty to their traffickers, or because they had been coached. They could also be subject to more psychological coercion or threats, such as threatening to report them to the authorities, threatening their families, or by keeping them socially isolated (see paragraph </w:t>
      </w:r>
      <w:r w:rsidRPr="007C5C4F">
        <w:rPr>
          <w:lang w:bidi="en-US"/>
        </w:rPr>
        <w:fldChar w:fldCharType="begin"/>
      </w:r>
      <w:r w:rsidRPr="007C5C4F">
        <w:rPr>
          <w:lang w:bidi="en-US"/>
        </w:rPr>
        <w:instrText xml:space="preserve"> REF CPS2 \h  \* MERGEFORMAT </w:instrText>
      </w:r>
      <w:r w:rsidRPr="007C5C4F">
        <w:rPr>
          <w:lang w:bidi="en-US"/>
        </w:rPr>
        <w:fldChar w:fldCharType="separate"/>
      </w:r>
      <w:r w:rsidRPr="007C5C4F" w:rsidR="007C5C4F">
        <w:rPr>
          <w:rFonts w:eastAsiaTheme="minorEastAsia"/>
          <w:noProof/>
        </w:rPr>
        <w:t>73</w:t>
      </w:r>
      <w:r w:rsidRPr="007C5C4F">
        <w:rPr>
          <w:lang w:bidi="en-US"/>
        </w:rPr>
        <w:fldChar w:fldCharType="end"/>
      </w:r>
      <w:r w:rsidRPr="007C5C4F">
        <w:rPr>
          <w:lang w:bidi="en-US"/>
        </w:rPr>
        <w:t xml:space="preserve"> above). Consequently, the fact that the first applicant had cash and a mobile telephone, that the factory was not itself a prison, that he had been provided with groceries and that his account was at times inconsistent could not, without more, negate the conclusion that he had been trafficked.</w:t>
      </w:r>
    </w:p>
    <w:bookmarkStart w:name="para171" w:id="74"/>
    <w:p w:rsidRPr="007C5C4F" w:rsidR="005E3D7B" w:rsidP="007C5C4F" w14:paraId="57684A0A" w14:textId="015B76B4">
      <w:pPr>
        <w:pStyle w:val="JuPara"/>
        <w:rPr>
          <w:lang w:bidi="en-US"/>
        </w:rPr>
      </w:pPr>
      <w:r w:rsidRPr="007C5C4F">
        <w:rPr>
          <w:lang w:bidi="en-US"/>
        </w:rPr>
        <w:fldChar w:fldCharType="begin"/>
      </w:r>
      <w:r w:rsidRPr="007C5C4F">
        <w:rPr>
          <w:lang w:bidi="en-US"/>
        </w:rPr>
        <w:instrText xml:space="preserve"> SEQ level0 \*arabic </w:instrText>
      </w:r>
      <w:r w:rsidRPr="007C5C4F">
        <w:rPr>
          <w:lang w:bidi="en-US"/>
        </w:rPr>
        <w:fldChar w:fldCharType="separate"/>
      </w:r>
      <w:r w:rsidRPr="007C5C4F" w:rsidR="007C5C4F">
        <w:rPr>
          <w:noProof/>
          <w:lang w:bidi="en-US"/>
        </w:rPr>
        <w:t>172</w:t>
      </w:r>
      <w:r w:rsidRPr="007C5C4F">
        <w:rPr>
          <w:lang w:bidi="en-US"/>
        </w:rPr>
        <w:fldChar w:fldCharType="end"/>
      </w:r>
      <w:bookmarkEnd w:id="74"/>
      <w:r w:rsidRPr="007C5C4F">
        <w:rPr>
          <w:lang w:bidi="en-US"/>
        </w:rPr>
        <w:t xml:space="preserve">.  It would have been open to the CPS – on the basis of clear reasons which were consistent with the definition of trafficking contained in the Palermo Protocol and the Anti-Trafficking Convention – to have disagreed with the Conclusive Decision. Had it accepted that the first applicant was a child victim of trafficking, it may also have been open to it to prosecute him if it considered – in the language used by the Court of Appeal – that there was no nexus between the offence and the trafficking. However, neither of those two things happened here. Instead, despite the first applicant being discovered in circumstances which themselves gave rise to a credible suspicion that he was a victim of trafficking, his case was not referred to the NRM </w:t>
      </w:r>
      <w:r w:rsidRPr="007C5C4F">
        <w:t>(see paragraph 75 above)</w:t>
      </w:r>
      <w:r w:rsidRPr="007C5C4F">
        <w:rPr>
          <w:lang w:bidi="en-US"/>
        </w:rPr>
        <w:t>. Instead, he was charged with a criminal offence to which he pleaded guilty on the advice of his legal representative. Even though he was subsequently recognised by the Competent Authority as a victim of trafficking, the CPS, without providing adequate reasons for its decision, disagreed with that assessment and the Court of Appeal, relying on the same inadequate reasons, twice found that the decision to prosecute him was justified.</w:t>
      </w:r>
    </w:p>
    <w:p w:rsidRPr="007C5C4F" w:rsidR="005E3D7B" w:rsidP="007C5C4F" w14:paraId="56ED4297" w14:textId="00EBD4F3">
      <w:pPr>
        <w:pStyle w:val="JuPara"/>
        <w:rPr>
          <w:lang w:bidi="en-US"/>
        </w:rPr>
      </w:pPr>
      <w:r w:rsidRPr="007C5C4F">
        <w:rPr>
          <w:lang w:bidi="en-US"/>
        </w:rPr>
        <w:fldChar w:fldCharType="begin"/>
      </w:r>
      <w:r w:rsidRPr="007C5C4F">
        <w:rPr>
          <w:lang w:bidi="en-US"/>
        </w:rPr>
        <w:instrText xml:space="preserve"> SEQ level0 \*arabic </w:instrText>
      </w:r>
      <w:r w:rsidRPr="007C5C4F">
        <w:rPr>
          <w:lang w:bidi="en-US"/>
        </w:rPr>
        <w:fldChar w:fldCharType="separate"/>
      </w:r>
      <w:r w:rsidRPr="007C5C4F" w:rsidR="007C5C4F">
        <w:rPr>
          <w:noProof/>
          <w:lang w:bidi="en-US"/>
        </w:rPr>
        <w:t>173</w:t>
      </w:r>
      <w:r w:rsidRPr="007C5C4F">
        <w:rPr>
          <w:lang w:bidi="en-US"/>
        </w:rPr>
        <w:fldChar w:fldCharType="end"/>
      </w:r>
      <w:r w:rsidRPr="007C5C4F">
        <w:rPr>
          <w:lang w:bidi="en-US"/>
        </w:rPr>
        <w:t>.  In the light of the foregoing, the Court considers that the State cannot be said to have fulfilled its duty under Article 4 of the Convention to take operational measures to protect the first applicant, either initially, as a potential victim of trafficking, and subsequently, as a person recognised by the Competent Authority to be the victim of trafficking.</w:t>
      </w:r>
    </w:p>
    <w:bookmarkStart w:name="ConcA1" w:id="75"/>
    <w:p w:rsidRPr="007C5C4F" w:rsidR="005E3D7B" w:rsidP="007C5C4F" w14:paraId="67207657" w14:textId="7FF42972">
      <w:pPr>
        <w:pStyle w:val="JuPara"/>
        <w:rPr>
          <w:lang w:bidi="en-US"/>
        </w:rPr>
      </w:pPr>
      <w:r w:rsidRPr="007C5C4F">
        <w:rPr>
          <w:lang w:bidi="en-US"/>
        </w:rPr>
        <w:fldChar w:fldCharType="begin"/>
      </w:r>
      <w:r w:rsidRPr="007C5C4F">
        <w:rPr>
          <w:lang w:bidi="en-US"/>
        </w:rPr>
        <w:instrText xml:space="preserve"> SEQ level0 \*arabic </w:instrText>
      </w:r>
      <w:r w:rsidRPr="007C5C4F">
        <w:rPr>
          <w:lang w:bidi="en-US"/>
        </w:rPr>
        <w:fldChar w:fldCharType="separate"/>
      </w:r>
      <w:r w:rsidRPr="007C5C4F" w:rsidR="007C5C4F">
        <w:rPr>
          <w:noProof/>
          <w:lang w:bidi="en-US"/>
        </w:rPr>
        <w:t>174</w:t>
      </w:r>
      <w:r w:rsidRPr="007C5C4F">
        <w:rPr>
          <w:lang w:bidi="en-US"/>
        </w:rPr>
        <w:fldChar w:fldCharType="end"/>
      </w:r>
      <w:bookmarkEnd w:id="75"/>
      <w:r w:rsidRPr="007C5C4F">
        <w:rPr>
          <w:lang w:bidi="en-US"/>
        </w:rPr>
        <w:t>.  Accordingly, it finds that there has been a violation of Article 4 of the Convention.</w:t>
      </w:r>
    </w:p>
    <w:p w:rsidRPr="007C5C4F" w:rsidR="005E3D7B" w:rsidP="007C5C4F" w14:paraId="6368DF7D" w14:textId="77777777">
      <w:pPr>
        <w:pStyle w:val="JuHi"/>
        <w:tabs>
          <w:tab w:val="clear" w:pos="1077"/>
          <w:tab w:val="clear" w:pos="1134"/>
          <w:tab w:val="clear" w:pos="1191"/>
          <w:tab w:val="clear" w:pos="1247"/>
        </w:tabs>
        <w:ind w:left="1191" w:hanging="358"/>
        <w:jc w:val="left"/>
      </w:pPr>
      <w:r w:rsidRPr="007C5C4F">
        <w:t>The second applicant</w:t>
      </w:r>
    </w:p>
    <w:bookmarkStart w:name="para174" w:id="76"/>
    <w:p w:rsidRPr="007C5C4F" w:rsidR="005E3D7B" w:rsidP="007C5C4F" w14:paraId="4952B03A" w14:textId="0A182D0A">
      <w:pPr>
        <w:pStyle w:val="JuPara"/>
        <w:rPr>
          <w:lang w:bidi="en-US"/>
        </w:rPr>
      </w:pPr>
      <w:r w:rsidRPr="007C5C4F">
        <w:rPr>
          <w:lang w:bidi="en-US"/>
        </w:rPr>
        <w:fldChar w:fldCharType="begin"/>
      </w:r>
      <w:r w:rsidRPr="007C5C4F">
        <w:rPr>
          <w:lang w:bidi="en-US"/>
        </w:rPr>
        <w:instrText xml:space="preserve"> SEQ level0 \*arabic </w:instrText>
      </w:r>
      <w:r w:rsidRPr="007C5C4F">
        <w:rPr>
          <w:lang w:bidi="en-US"/>
        </w:rPr>
        <w:fldChar w:fldCharType="separate"/>
      </w:r>
      <w:r w:rsidRPr="007C5C4F" w:rsidR="007C5C4F">
        <w:rPr>
          <w:noProof/>
          <w:lang w:bidi="en-US"/>
        </w:rPr>
        <w:t>175</w:t>
      </w:r>
      <w:r w:rsidRPr="007C5C4F">
        <w:rPr>
          <w:lang w:bidi="en-US"/>
        </w:rPr>
        <w:fldChar w:fldCharType="end"/>
      </w:r>
      <w:bookmarkEnd w:id="76"/>
      <w:r w:rsidRPr="007C5C4F">
        <w:rPr>
          <w:lang w:bidi="en-US"/>
        </w:rPr>
        <w:t xml:space="preserve">.  On 21 April 2009 the second applicant was discovered by police close to a cannabis factory (see paragraph </w:t>
      </w:r>
      <w:r w:rsidRPr="007C5C4F">
        <w:rPr>
          <w:lang w:bidi="en-US"/>
        </w:rPr>
        <w:fldChar w:fldCharType="begin"/>
      </w:r>
      <w:r w:rsidRPr="007C5C4F">
        <w:rPr>
          <w:lang w:bidi="en-US"/>
        </w:rPr>
        <w:instrText xml:space="preserve"> REF DiscA2 \h  \* MERGEFORMAT </w:instrText>
      </w:r>
      <w:r w:rsidRPr="007C5C4F">
        <w:rPr>
          <w:lang w:bidi="en-US"/>
        </w:rPr>
        <w:fldChar w:fldCharType="separate"/>
      </w:r>
      <w:r w:rsidRPr="007C5C4F" w:rsidR="007C5C4F">
        <w:rPr>
          <w:noProof/>
        </w:rPr>
        <w:t>18</w:t>
      </w:r>
      <w:r w:rsidRPr="007C5C4F">
        <w:rPr>
          <w:lang w:bidi="en-US"/>
        </w:rPr>
        <w:fldChar w:fldCharType="end"/>
      </w:r>
      <w:r w:rsidRPr="007C5C4F">
        <w:rPr>
          <w:lang w:bidi="en-US"/>
        </w:rPr>
        <w:t xml:space="preserve"> above). He was treated as an adult because he initially gave his year of birth as 1972, which would have made him thirty-seven years old (see paragraph </w:t>
      </w:r>
      <w:r w:rsidRPr="007C5C4F">
        <w:rPr>
          <w:lang w:bidi="en-US"/>
        </w:rPr>
        <w:fldChar w:fldCharType="begin"/>
      </w:r>
      <w:r w:rsidRPr="007C5C4F">
        <w:rPr>
          <w:lang w:bidi="en-US"/>
        </w:rPr>
        <w:instrText xml:space="preserve"> REF A2Age1 \h  \* MERGEFORMAT </w:instrText>
      </w:r>
      <w:r w:rsidRPr="007C5C4F">
        <w:rPr>
          <w:lang w:bidi="en-US"/>
        </w:rPr>
        <w:fldChar w:fldCharType="separate"/>
      </w:r>
      <w:r w:rsidRPr="007C5C4F" w:rsidR="007C5C4F">
        <w:rPr>
          <w:noProof/>
        </w:rPr>
        <w:t>19</w:t>
      </w:r>
      <w:r w:rsidRPr="007C5C4F">
        <w:rPr>
          <w:lang w:bidi="en-US"/>
        </w:rPr>
        <w:fldChar w:fldCharType="end"/>
      </w:r>
      <w:r w:rsidRPr="007C5C4F">
        <w:rPr>
          <w:lang w:bidi="en-US"/>
        </w:rPr>
        <w:t xml:space="preserve"> above). Given that he was in fact seventeen years old, it is not clear how credible his claim to be thirty-seven actually was. In any event, even if the police had no reason to doubt that he was an adult, the account that he provided in his first police interview should have given rise to some cause for concern. In particular, he claimed that the door was locked from the outside and he believed the factory was guarded; that he was not paid for his work; and that he might be killed if he stopped working (see paragraphs </w:t>
      </w:r>
      <w:r w:rsidRPr="007C5C4F">
        <w:rPr>
          <w:lang w:bidi="en-US"/>
        </w:rPr>
        <w:fldChar w:fldCharType="begin"/>
      </w:r>
      <w:r w:rsidRPr="007C5C4F">
        <w:rPr>
          <w:lang w:bidi="en-US"/>
        </w:rPr>
        <w:instrText xml:space="preserve"> REF A220 \h  \* MERGEFORMAT </w:instrText>
      </w:r>
      <w:r w:rsidRPr="007C5C4F">
        <w:rPr>
          <w:lang w:bidi="en-US"/>
        </w:rPr>
        <w:fldChar w:fldCharType="separate"/>
      </w:r>
      <w:r w:rsidRPr="007C5C4F" w:rsidR="007C5C4F">
        <w:rPr>
          <w:noProof/>
        </w:rPr>
        <w:t>20</w:t>
      </w:r>
      <w:r w:rsidRPr="007C5C4F">
        <w:rPr>
          <w:lang w:bidi="en-US"/>
        </w:rPr>
        <w:fldChar w:fldCharType="end"/>
      </w:r>
      <w:r w:rsidRPr="007C5C4F">
        <w:rPr>
          <w:lang w:bidi="en-US"/>
        </w:rPr>
        <w:t xml:space="preserve"> and </w:t>
      </w:r>
      <w:r w:rsidRPr="007C5C4F">
        <w:rPr>
          <w:lang w:bidi="en-US"/>
        </w:rPr>
        <w:fldChar w:fldCharType="begin"/>
      </w:r>
      <w:r w:rsidRPr="007C5C4F">
        <w:rPr>
          <w:lang w:bidi="en-US"/>
        </w:rPr>
        <w:instrText xml:space="preserve"> REF A221 \h  \* MERGEFORMAT </w:instrText>
      </w:r>
      <w:r w:rsidRPr="007C5C4F">
        <w:rPr>
          <w:lang w:bidi="en-US"/>
        </w:rPr>
        <w:fldChar w:fldCharType="separate"/>
      </w:r>
      <w:r w:rsidRPr="007C5C4F" w:rsidR="007C5C4F">
        <w:rPr>
          <w:noProof/>
        </w:rPr>
        <w:t>21</w:t>
      </w:r>
      <w:r w:rsidRPr="007C5C4F">
        <w:rPr>
          <w:lang w:bidi="en-US"/>
        </w:rPr>
        <w:fldChar w:fldCharType="end"/>
      </w:r>
      <w:r w:rsidRPr="007C5C4F">
        <w:rPr>
          <w:lang w:bidi="en-US"/>
        </w:rPr>
        <w:t xml:space="preserve"> above). Nevertheless, no referral was made to a Competent Authority. Instead, he was charged with being concerned in the production of a Class B drug (see paragraph </w:t>
      </w:r>
      <w:r w:rsidRPr="007C5C4F">
        <w:rPr>
          <w:lang w:bidi="en-US"/>
        </w:rPr>
        <w:fldChar w:fldCharType="begin"/>
      </w:r>
      <w:r w:rsidRPr="007C5C4F">
        <w:rPr>
          <w:lang w:bidi="en-US"/>
        </w:rPr>
        <w:instrText xml:space="preserve"> REF A222 \h  \* MERGEFORMAT </w:instrText>
      </w:r>
      <w:r w:rsidRPr="007C5C4F">
        <w:rPr>
          <w:lang w:bidi="en-US"/>
        </w:rPr>
        <w:fldChar w:fldCharType="separate"/>
      </w:r>
      <w:r w:rsidRPr="007C5C4F" w:rsidR="007C5C4F">
        <w:rPr>
          <w:noProof/>
        </w:rPr>
        <w:t>22</w:t>
      </w:r>
      <w:r w:rsidRPr="007C5C4F">
        <w:rPr>
          <w:lang w:bidi="en-US"/>
        </w:rPr>
        <w:fldChar w:fldCharType="end"/>
      </w:r>
      <w:r w:rsidRPr="007C5C4F">
        <w:rPr>
          <w:lang w:bidi="en-US"/>
        </w:rPr>
        <w:t xml:space="preserve"> above).</w:t>
      </w:r>
    </w:p>
    <w:bookmarkStart w:name="para175" w:id="77"/>
    <w:p w:rsidRPr="007C5C4F" w:rsidR="005E3D7B" w:rsidP="007C5C4F" w14:paraId="043F778B" w14:textId="0C91158E">
      <w:pPr>
        <w:pStyle w:val="JuPara"/>
        <w:rPr>
          <w:lang w:bidi="en-US"/>
        </w:rPr>
      </w:pPr>
      <w:r w:rsidRPr="007C5C4F">
        <w:rPr>
          <w:lang w:bidi="en-US"/>
        </w:rPr>
        <w:fldChar w:fldCharType="begin"/>
      </w:r>
      <w:r w:rsidRPr="007C5C4F">
        <w:rPr>
          <w:lang w:bidi="en-US"/>
        </w:rPr>
        <w:instrText xml:space="preserve"> SEQ level0 \*arabic </w:instrText>
      </w:r>
      <w:r w:rsidRPr="007C5C4F">
        <w:rPr>
          <w:lang w:bidi="en-US"/>
        </w:rPr>
        <w:fldChar w:fldCharType="separate"/>
      </w:r>
      <w:r w:rsidRPr="007C5C4F" w:rsidR="007C5C4F">
        <w:rPr>
          <w:noProof/>
          <w:lang w:bidi="en-US"/>
        </w:rPr>
        <w:t>176</w:t>
      </w:r>
      <w:r w:rsidRPr="007C5C4F">
        <w:rPr>
          <w:lang w:bidi="en-US"/>
        </w:rPr>
        <w:fldChar w:fldCharType="end"/>
      </w:r>
      <w:bookmarkEnd w:id="77"/>
      <w:r w:rsidRPr="007C5C4F">
        <w:rPr>
          <w:lang w:bidi="en-US"/>
        </w:rPr>
        <w:t>.  On 30 April 2009, at a hearing before the Magistrates</w:t>
      </w:r>
      <w:r w:rsidRPr="007C5C4F" w:rsidR="007C5C4F">
        <w:rPr>
          <w:lang w:bidi="en-US"/>
        </w:rPr>
        <w:t>’</w:t>
      </w:r>
      <w:r w:rsidRPr="007C5C4F">
        <w:rPr>
          <w:lang w:bidi="en-US"/>
        </w:rPr>
        <w:t xml:space="preserve"> Court, he gave his year of birth as 1992. From this point on it was accepted that he was seventeen years old (see paragraph </w:t>
      </w:r>
      <w:r w:rsidRPr="007C5C4F">
        <w:rPr>
          <w:lang w:bidi="en-US"/>
        </w:rPr>
        <w:fldChar w:fldCharType="begin"/>
      </w:r>
      <w:r w:rsidRPr="007C5C4F">
        <w:rPr>
          <w:lang w:bidi="en-US"/>
        </w:rPr>
        <w:instrText xml:space="preserve"> REF A2Age2 \h  \* MERGEFORMAT </w:instrText>
      </w:r>
      <w:r w:rsidRPr="007C5C4F">
        <w:rPr>
          <w:lang w:bidi="en-US"/>
        </w:rPr>
        <w:fldChar w:fldCharType="separate"/>
      </w:r>
      <w:r w:rsidRPr="007C5C4F" w:rsidR="007C5C4F">
        <w:rPr>
          <w:noProof/>
        </w:rPr>
        <w:t>23</w:t>
      </w:r>
      <w:r w:rsidRPr="007C5C4F">
        <w:rPr>
          <w:lang w:bidi="en-US"/>
        </w:rPr>
        <w:fldChar w:fldCharType="end"/>
      </w:r>
      <w:r w:rsidRPr="007C5C4F">
        <w:rPr>
          <w:lang w:bidi="en-US"/>
        </w:rPr>
        <w:t xml:space="preserve"> above). In view of what was known about the situation of Vietnamese youths working as gardeners in cannabis factories (see paragraphs </w:t>
      </w:r>
      <w:r w:rsidRPr="007C5C4F">
        <w:rPr>
          <w:lang w:bidi="en-US"/>
        </w:rPr>
        <w:fldChar w:fldCharType="begin"/>
      </w:r>
      <w:r w:rsidRPr="007C5C4F">
        <w:rPr>
          <w:lang w:bidi="en-US"/>
        </w:rPr>
        <w:instrText xml:space="preserve"> REF CPS1 \h  \* MERGEFORMAT </w:instrText>
      </w:r>
      <w:r w:rsidRPr="007C5C4F">
        <w:rPr>
          <w:lang w:bidi="en-US"/>
        </w:rPr>
        <w:fldChar w:fldCharType="separate"/>
      </w:r>
      <w:r w:rsidRPr="007C5C4F" w:rsidR="007C5C4F">
        <w:rPr>
          <w:rFonts w:eastAsiaTheme="minorEastAsia"/>
          <w:noProof/>
        </w:rPr>
        <w:t>72</w:t>
      </w:r>
      <w:r w:rsidRPr="007C5C4F">
        <w:rPr>
          <w:lang w:bidi="en-US"/>
        </w:rPr>
        <w:fldChar w:fldCharType="end"/>
      </w:r>
      <w:r w:rsidRPr="007C5C4F">
        <w:rPr>
          <w:lang w:bidi="en-US"/>
        </w:rPr>
        <w:t>-</w:t>
      </w:r>
      <w:r w:rsidRPr="007C5C4F">
        <w:rPr>
          <w:lang w:bidi="en-US"/>
        </w:rPr>
        <w:fldChar w:fldCharType="begin"/>
      </w:r>
      <w:r w:rsidRPr="007C5C4F">
        <w:rPr>
          <w:lang w:bidi="en-US"/>
        </w:rPr>
        <w:instrText xml:space="preserve"> REF CPS2 \h  \* MERGEFORMAT </w:instrText>
      </w:r>
      <w:r w:rsidRPr="007C5C4F">
        <w:rPr>
          <w:lang w:bidi="en-US"/>
        </w:rPr>
        <w:fldChar w:fldCharType="separate"/>
      </w:r>
      <w:r w:rsidRPr="007C5C4F" w:rsidR="007C5C4F">
        <w:rPr>
          <w:rFonts w:eastAsiaTheme="minorEastAsia"/>
          <w:noProof/>
        </w:rPr>
        <w:t>73</w:t>
      </w:r>
      <w:r w:rsidRPr="007C5C4F">
        <w:rPr>
          <w:lang w:bidi="en-US"/>
        </w:rPr>
        <w:fldChar w:fldCharType="end"/>
      </w:r>
      <w:r w:rsidRPr="007C5C4F">
        <w:rPr>
          <w:lang w:bidi="en-US"/>
        </w:rPr>
        <w:t xml:space="preserve"> and </w:t>
      </w:r>
      <w:r w:rsidRPr="007C5C4F">
        <w:rPr>
          <w:lang w:bidi="en-US"/>
        </w:rPr>
        <w:fldChar w:fldCharType="begin"/>
      </w:r>
      <w:r w:rsidRPr="007C5C4F">
        <w:rPr>
          <w:lang w:bidi="en-US"/>
        </w:rPr>
        <w:instrText xml:space="preserve"> REF CEOP1Start \h  \* MERGEFORMAT </w:instrText>
      </w:r>
      <w:r w:rsidRPr="007C5C4F">
        <w:rPr>
          <w:lang w:bidi="en-US"/>
        </w:rPr>
        <w:fldChar w:fldCharType="separate"/>
      </w:r>
      <w:r w:rsidRPr="007C5C4F" w:rsidR="007C5C4F">
        <w:rPr>
          <w:noProof/>
        </w:rPr>
        <w:t>81</w:t>
      </w:r>
      <w:r w:rsidRPr="007C5C4F">
        <w:rPr>
          <w:lang w:bidi="en-US"/>
        </w:rPr>
        <w:fldChar w:fldCharType="end"/>
      </w:r>
      <w:r w:rsidRPr="007C5C4F">
        <w:rPr>
          <w:lang w:bidi="en-US"/>
        </w:rPr>
        <w:t>-</w:t>
      </w:r>
      <w:r w:rsidRPr="007C5C4F">
        <w:rPr>
          <w:lang w:bidi="en-US"/>
        </w:rPr>
        <w:fldChar w:fldCharType="begin"/>
      </w:r>
      <w:r w:rsidRPr="007C5C4F">
        <w:rPr>
          <w:lang w:bidi="en-US"/>
        </w:rPr>
        <w:instrText xml:space="preserve"> REF CEOP2 \h  \* MERGEFORMAT </w:instrText>
      </w:r>
      <w:r w:rsidRPr="007C5C4F">
        <w:rPr>
          <w:lang w:bidi="en-US"/>
        </w:rPr>
        <w:fldChar w:fldCharType="separate"/>
      </w:r>
      <w:r w:rsidRPr="007C5C4F" w:rsidR="007C5C4F">
        <w:rPr>
          <w:noProof/>
        </w:rPr>
        <w:t>83</w:t>
      </w:r>
      <w:r w:rsidRPr="007C5C4F">
        <w:rPr>
          <w:lang w:bidi="en-US"/>
        </w:rPr>
        <w:fldChar w:fldCharType="end"/>
      </w:r>
      <w:r w:rsidRPr="007C5C4F">
        <w:rPr>
          <w:lang w:bidi="en-US"/>
        </w:rPr>
        <w:t xml:space="preserve"> above), the Court considers that from this point, at the very latest, the CPS should have been aware of the existence of circumstances giving rise to a credible suspicion that he had been trafficked (see paragraph </w:t>
      </w:r>
      <w:r w:rsidRPr="007C5C4F">
        <w:rPr>
          <w:lang w:bidi="en-US"/>
        </w:rPr>
        <w:fldChar w:fldCharType="begin"/>
      </w:r>
      <w:r w:rsidRPr="007C5C4F">
        <w:rPr>
          <w:lang w:bidi="en-US"/>
        </w:rPr>
        <w:instrText xml:space="preserve"> REF A2V \h  \* MERGEFORMAT </w:instrText>
      </w:r>
      <w:r w:rsidRPr="007C5C4F">
        <w:rPr>
          <w:lang w:bidi="en-US"/>
        </w:rPr>
        <w:fldChar w:fldCharType="separate"/>
      </w:r>
      <w:r w:rsidRPr="007C5C4F" w:rsidR="007C5C4F">
        <w:rPr>
          <w:noProof/>
          <w:lang w:bidi="en-US"/>
        </w:rPr>
        <w:t>119</w:t>
      </w:r>
      <w:r w:rsidRPr="007C5C4F">
        <w:rPr>
          <w:lang w:bidi="en-US"/>
        </w:rPr>
        <w:fldChar w:fldCharType="end"/>
      </w:r>
      <w:r w:rsidRPr="007C5C4F">
        <w:rPr>
          <w:lang w:bidi="en-US"/>
        </w:rPr>
        <w:t xml:space="preserve"> above). However, although the CPS conducted a file review on 1 June 2009, in which it concluded that the second applicant had been smuggled into the United Kingdom as his parents had funded his journey (see paragraph </w:t>
      </w:r>
      <w:r w:rsidRPr="007C5C4F">
        <w:rPr>
          <w:lang w:bidi="en-US"/>
        </w:rPr>
        <w:fldChar w:fldCharType="begin"/>
      </w:r>
      <w:r w:rsidRPr="007C5C4F">
        <w:rPr>
          <w:lang w:bidi="en-US"/>
        </w:rPr>
        <w:instrText xml:space="preserve"> REF A224 \h  \* MERGEFORMAT </w:instrText>
      </w:r>
      <w:r w:rsidRPr="007C5C4F">
        <w:rPr>
          <w:lang w:bidi="en-US"/>
        </w:rPr>
        <w:fldChar w:fldCharType="separate"/>
      </w:r>
      <w:r w:rsidRPr="007C5C4F" w:rsidR="007C5C4F">
        <w:rPr>
          <w:noProof/>
        </w:rPr>
        <w:t>24</w:t>
      </w:r>
      <w:r w:rsidRPr="007C5C4F">
        <w:rPr>
          <w:lang w:bidi="en-US"/>
        </w:rPr>
        <w:fldChar w:fldCharType="end"/>
      </w:r>
      <w:r w:rsidRPr="007C5C4F">
        <w:rPr>
          <w:lang w:bidi="en-US"/>
        </w:rPr>
        <w:t xml:space="preserve"> above), he was only referred to the National Society for the Prevention of Cruelty to Children National Child Trafficking Advice and Information Line (NSPCC NCTAIL) in April 2010 (see paragraph </w:t>
      </w:r>
      <w:r w:rsidRPr="007C5C4F">
        <w:rPr>
          <w:lang w:bidi="en-US"/>
        </w:rPr>
        <w:fldChar w:fldCharType="begin"/>
      </w:r>
      <w:r w:rsidRPr="007C5C4F">
        <w:rPr>
          <w:lang w:bidi="en-US"/>
        </w:rPr>
        <w:instrText xml:space="preserve"> REF A230 \h  \* MERGEFORMAT </w:instrText>
      </w:r>
      <w:r w:rsidRPr="007C5C4F">
        <w:rPr>
          <w:lang w:bidi="en-US"/>
        </w:rPr>
        <w:fldChar w:fldCharType="separate"/>
      </w:r>
      <w:r w:rsidRPr="007C5C4F" w:rsidR="007C5C4F">
        <w:rPr>
          <w:noProof/>
        </w:rPr>
        <w:t>30</w:t>
      </w:r>
      <w:r w:rsidRPr="007C5C4F">
        <w:rPr>
          <w:lang w:bidi="en-US"/>
        </w:rPr>
        <w:fldChar w:fldCharType="end"/>
      </w:r>
      <w:r w:rsidRPr="007C5C4F">
        <w:rPr>
          <w:lang w:bidi="en-US"/>
        </w:rPr>
        <w:t xml:space="preserve"> above); and he was only assessed by the Competent Authority in November that same year (see paragraph </w:t>
      </w:r>
      <w:r w:rsidRPr="007C5C4F">
        <w:rPr>
          <w:lang w:bidi="en-US"/>
        </w:rPr>
        <w:fldChar w:fldCharType="begin"/>
      </w:r>
      <w:r w:rsidRPr="007C5C4F">
        <w:rPr>
          <w:lang w:bidi="en-US"/>
        </w:rPr>
        <w:instrText xml:space="preserve"> REF A233 \h  \* MERGEFORMAT </w:instrText>
      </w:r>
      <w:r w:rsidRPr="007C5C4F">
        <w:rPr>
          <w:lang w:bidi="en-US"/>
        </w:rPr>
        <w:fldChar w:fldCharType="separate"/>
      </w:r>
      <w:r w:rsidRPr="007C5C4F" w:rsidR="007C5C4F">
        <w:rPr>
          <w:noProof/>
        </w:rPr>
        <w:t>33</w:t>
      </w:r>
      <w:r w:rsidRPr="007C5C4F">
        <w:rPr>
          <w:lang w:bidi="en-US"/>
        </w:rPr>
        <w:fldChar w:fldCharType="end"/>
      </w:r>
      <w:r w:rsidRPr="007C5C4F">
        <w:rPr>
          <w:lang w:bidi="en-US"/>
        </w:rPr>
        <w:t xml:space="preserve"> above).</w:t>
      </w:r>
    </w:p>
    <w:bookmarkStart w:name="para176" w:id="78"/>
    <w:p w:rsidRPr="007C5C4F" w:rsidR="005E3D7B" w:rsidP="007C5C4F" w14:paraId="11D9B424" w14:textId="5A9C6750">
      <w:pPr>
        <w:pStyle w:val="JuPara"/>
        <w:rPr>
          <w:lang w:bidi="en-US"/>
        </w:rPr>
      </w:pPr>
      <w:r w:rsidRPr="007C5C4F">
        <w:rPr>
          <w:lang w:bidi="en-US"/>
        </w:rPr>
        <w:fldChar w:fldCharType="begin"/>
      </w:r>
      <w:r w:rsidRPr="007C5C4F">
        <w:rPr>
          <w:lang w:bidi="en-US"/>
        </w:rPr>
        <w:instrText xml:space="preserve"> SEQ level0 \*arabic </w:instrText>
      </w:r>
      <w:r w:rsidRPr="007C5C4F">
        <w:rPr>
          <w:lang w:bidi="en-US"/>
        </w:rPr>
        <w:fldChar w:fldCharType="separate"/>
      </w:r>
      <w:r w:rsidRPr="007C5C4F" w:rsidR="007C5C4F">
        <w:rPr>
          <w:noProof/>
          <w:lang w:bidi="en-US"/>
        </w:rPr>
        <w:t>177</w:t>
      </w:r>
      <w:r w:rsidRPr="007C5C4F">
        <w:rPr>
          <w:lang w:bidi="en-US"/>
        </w:rPr>
        <w:fldChar w:fldCharType="end"/>
      </w:r>
      <w:bookmarkEnd w:id="78"/>
      <w:r w:rsidRPr="007C5C4F">
        <w:rPr>
          <w:lang w:bidi="en-US"/>
        </w:rPr>
        <w:t xml:space="preserve">.  In the meantime the second applicant pleaded guilty to the offence with which he had been charged (see paragraph </w:t>
      </w:r>
      <w:r w:rsidRPr="007C5C4F">
        <w:rPr>
          <w:lang w:bidi="en-US"/>
        </w:rPr>
        <w:fldChar w:fldCharType="begin"/>
      </w:r>
      <w:r w:rsidRPr="007C5C4F">
        <w:rPr>
          <w:lang w:bidi="en-US"/>
        </w:rPr>
        <w:instrText xml:space="preserve"> REF A227 \h  \* MERGEFORMAT </w:instrText>
      </w:r>
      <w:r w:rsidRPr="007C5C4F">
        <w:rPr>
          <w:lang w:bidi="en-US"/>
        </w:rPr>
        <w:fldChar w:fldCharType="separate"/>
      </w:r>
      <w:r w:rsidRPr="007C5C4F" w:rsidR="007C5C4F">
        <w:rPr>
          <w:noProof/>
        </w:rPr>
        <w:t>27</w:t>
      </w:r>
      <w:r w:rsidRPr="007C5C4F">
        <w:rPr>
          <w:lang w:bidi="en-US"/>
        </w:rPr>
        <w:fldChar w:fldCharType="end"/>
      </w:r>
      <w:r w:rsidRPr="007C5C4F">
        <w:rPr>
          <w:lang w:bidi="en-US"/>
        </w:rPr>
        <w:t xml:space="preserve"> above). Although he also informed counsel that he had been locked in the factory and had been threatened that he would be killed if he left, counsel did not believe that a defence of duress would be successful as he had had the opportunity to run away and had not taken it – a factor which the Competent Authority subsequently considered could be explained by the fact that he was in a position of dependency and vulnerability (see paragraphs </w:t>
      </w:r>
      <w:r w:rsidRPr="007C5C4F">
        <w:rPr>
          <w:lang w:bidi="en-US"/>
        </w:rPr>
        <w:fldChar w:fldCharType="begin"/>
      </w:r>
      <w:r w:rsidRPr="007C5C4F">
        <w:rPr>
          <w:lang w:bidi="en-US"/>
        </w:rPr>
        <w:instrText xml:space="preserve"> REF A227 \h  \* MERGEFORMAT </w:instrText>
      </w:r>
      <w:r w:rsidRPr="007C5C4F">
        <w:rPr>
          <w:lang w:bidi="en-US"/>
        </w:rPr>
        <w:fldChar w:fldCharType="separate"/>
      </w:r>
      <w:r w:rsidRPr="007C5C4F" w:rsidR="007C5C4F">
        <w:rPr>
          <w:noProof/>
        </w:rPr>
        <w:t>27</w:t>
      </w:r>
      <w:r w:rsidRPr="007C5C4F">
        <w:rPr>
          <w:lang w:bidi="en-US"/>
        </w:rPr>
        <w:fldChar w:fldCharType="end"/>
      </w:r>
      <w:r w:rsidRPr="007C5C4F">
        <w:rPr>
          <w:lang w:bidi="en-US"/>
        </w:rPr>
        <w:t xml:space="preserve"> and </w:t>
      </w:r>
      <w:r w:rsidRPr="007C5C4F">
        <w:rPr>
          <w:lang w:bidi="en-US"/>
        </w:rPr>
        <w:fldChar w:fldCharType="begin"/>
      </w:r>
      <w:r w:rsidRPr="007C5C4F">
        <w:rPr>
          <w:lang w:bidi="en-US"/>
        </w:rPr>
        <w:instrText xml:space="preserve"> REF A233 \h  \* MERGEFORMAT </w:instrText>
      </w:r>
      <w:r w:rsidRPr="007C5C4F">
        <w:rPr>
          <w:lang w:bidi="en-US"/>
        </w:rPr>
        <w:fldChar w:fldCharType="separate"/>
      </w:r>
      <w:r w:rsidRPr="007C5C4F" w:rsidR="007C5C4F">
        <w:rPr>
          <w:noProof/>
        </w:rPr>
        <w:t>33</w:t>
      </w:r>
      <w:r w:rsidRPr="007C5C4F">
        <w:rPr>
          <w:lang w:bidi="en-US"/>
        </w:rPr>
        <w:fldChar w:fldCharType="end"/>
      </w:r>
      <w:r w:rsidRPr="007C5C4F">
        <w:rPr>
          <w:lang w:bidi="en-US"/>
        </w:rPr>
        <w:t xml:space="preserve"> above).</w:t>
      </w:r>
    </w:p>
    <w:p w:rsidRPr="007C5C4F" w:rsidR="005E3D7B" w:rsidP="007C5C4F" w14:paraId="67E075BC" w14:textId="284D3564">
      <w:pPr>
        <w:pStyle w:val="JuPara"/>
        <w:rPr>
          <w:lang w:bidi="en-US"/>
        </w:rPr>
      </w:pPr>
      <w:r w:rsidRPr="007C5C4F">
        <w:rPr>
          <w:lang w:bidi="en-US"/>
        </w:rPr>
        <w:fldChar w:fldCharType="begin"/>
      </w:r>
      <w:r w:rsidRPr="007C5C4F">
        <w:rPr>
          <w:lang w:bidi="en-US"/>
        </w:rPr>
        <w:instrText xml:space="preserve"> SEQ level0 \*arabic </w:instrText>
      </w:r>
      <w:r w:rsidRPr="007C5C4F">
        <w:rPr>
          <w:lang w:bidi="en-US"/>
        </w:rPr>
        <w:fldChar w:fldCharType="separate"/>
      </w:r>
      <w:r w:rsidRPr="007C5C4F" w:rsidR="007C5C4F">
        <w:rPr>
          <w:noProof/>
          <w:lang w:bidi="en-US"/>
        </w:rPr>
        <w:t>178</w:t>
      </w:r>
      <w:r w:rsidRPr="007C5C4F">
        <w:rPr>
          <w:lang w:bidi="en-US"/>
        </w:rPr>
        <w:fldChar w:fldCharType="end"/>
      </w:r>
      <w:r w:rsidRPr="007C5C4F">
        <w:rPr>
          <w:lang w:bidi="en-US"/>
        </w:rPr>
        <w:t>.  On 28 June 2011 a Special Casework Lawyer from the CPS reviewed the second applicant</w:t>
      </w:r>
      <w:r w:rsidRPr="007C5C4F" w:rsidR="007C5C4F">
        <w:rPr>
          <w:lang w:bidi="en-US"/>
        </w:rPr>
        <w:t>’</w:t>
      </w:r>
      <w:r w:rsidRPr="007C5C4F">
        <w:rPr>
          <w:lang w:bidi="en-US"/>
        </w:rPr>
        <w:t xml:space="preserve">s case in the light of the conclusions of NSPCC NCTAIL and the Competent Authority. Having particular regard to certain inconsistencies in his account, the fact that he could have escaped, the fact that he was found with some money and the fact that he had not been physically injured, she concluded that he was not a victim of trafficking (see paragraph </w:t>
      </w:r>
      <w:r w:rsidRPr="007C5C4F">
        <w:rPr>
          <w:lang w:bidi="en-US"/>
        </w:rPr>
        <w:fldChar w:fldCharType="begin"/>
      </w:r>
      <w:r w:rsidRPr="007C5C4F">
        <w:rPr>
          <w:lang w:bidi="en-US"/>
        </w:rPr>
        <w:instrText xml:space="preserve"> REF A236 \h  \* MERGEFORMAT </w:instrText>
      </w:r>
      <w:r w:rsidRPr="007C5C4F">
        <w:rPr>
          <w:lang w:bidi="en-US"/>
        </w:rPr>
        <w:fldChar w:fldCharType="separate"/>
      </w:r>
      <w:r w:rsidRPr="007C5C4F" w:rsidR="007C5C4F">
        <w:rPr>
          <w:noProof/>
        </w:rPr>
        <w:t>36</w:t>
      </w:r>
      <w:r w:rsidRPr="007C5C4F">
        <w:rPr>
          <w:lang w:bidi="en-US"/>
        </w:rPr>
        <w:fldChar w:fldCharType="end"/>
      </w:r>
      <w:r w:rsidRPr="007C5C4F">
        <w:rPr>
          <w:lang w:bidi="en-US"/>
        </w:rPr>
        <w:t xml:space="preserve"> above). However, nearly all of these factors were addressed by the Competent Authority when it accepted, on the balance of probabilities, that the second applicant was a victim of trafficking (see paragraph </w:t>
      </w:r>
      <w:r w:rsidRPr="007C5C4F">
        <w:rPr>
          <w:lang w:bidi="en-US"/>
        </w:rPr>
        <w:fldChar w:fldCharType="begin"/>
      </w:r>
      <w:r w:rsidRPr="007C5C4F">
        <w:rPr>
          <w:lang w:bidi="en-US"/>
        </w:rPr>
        <w:instrText xml:space="preserve"> REF A233 \h  \* MERGEFORMAT </w:instrText>
      </w:r>
      <w:r w:rsidRPr="007C5C4F">
        <w:rPr>
          <w:lang w:bidi="en-US"/>
        </w:rPr>
        <w:fldChar w:fldCharType="separate"/>
      </w:r>
      <w:r w:rsidRPr="007C5C4F" w:rsidR="007C5C4F">
        <w:rPr>
          <w:noProof/>
        </w:rPr>
        <w:t>33</w:t>
      </w:r>
      <w:r w:rsidRPr="007C5C4F">
        <w:rPr>
          <w:lang w:bidi="en-US"/>
        </w:rPr>
        <w:fldChar w:fldCharType="end"/>
      </w:r>
      <w:r w:rsidRPr="007C5C4F">
        <w:rPr>
          <w:lang w:bidi="en-US"/>
        </w:rPr>
        <w:t xml:space="preserve"> above) and the CPS lawyer does not appear to have explained why she believed that they justified reaching the opposite conclusion. Moreover, on 7 November 2011 NSPCC NCTAIL produced a supplemental report in which the social worker had regard to the documentation produced in the criminal proceedings. If anything, she stated that her conclusion that the second applicant had been a victim of trafficking at the time of his arrest had been “strengthened”. In doing so, she pointed out that accounts given by potential child victims of trafficking to different professionals in different contexts were rarely consistent (see paragraph </w:t>
      </w:r>
      <w:r w:rsidRPr="007C5C4F">
        <w:rPr>
          <w:lang w:bidi="en-US"/>
        </w:rPr>
        <w:fldChar w:fldCharType="begin"/>
      </w:r>
      <w:r w:rsidRPr="007C5C4F">
        <w:rPr>
          <w:lang w:bidi="en-US"/>
        </w:rPr>
        <w:instrText xml:space="preserve"> REF A237 \h  \* MERGEFORMAT </w:instrText>
      </w:r>
      <w:r w:rsidRPr="007C5C4F">
        <w:rPr>
          <w:lang w:bidi="en-US"/>
        </w:rPr>
        <w:fldChar w:fldCharType="separate"/>
      </w:r>
      <w:r w:rsidRPr="007C5C4F" w:rsidR="007C5C4F">
        <w:rPr>
          <w:noProof/>
        </w:rPr>
        <w:t>37</w:t>
      </w:r>
      <w:r w:rsidRPr="007C5C4F">
        <w:rPr>
          <w:lang w:bidi="en-US"/>
        </w:rPr>
        <w:fldChar w:fldCharType="end"/>
      </w:r>
      <w:r w:rsidRPr="007C5C4F">
        <w:rPr>
          <w:lang w:bidi="en-US"/>
        </w:rPr>
        <w:t xml:space="preserve"> above).</w:t>
      </w:r>
    </w:p>
    <w:p w:rsidRPr="007C5C4F" w:rsidR="005E3D7B" w:rsidP="007C5C4F" w14:paraId="29119107" w14:textId="484D2678">
      <w:pPr>
        <w:pStyle w:val="JuPara"/>
        <w:rPr>
          <w:lang w:bidi="en-US"/>
        </w:rPr>
      </w:pPr>
      <w:r w:rsidRPr="007C5C4F">
        <w:rPr>
          <w:lang w:bidi="en-US"/>
        </w:rPr>
        <w:fldChar w:fldCharType="begin"/>
      </w:r>
      <w:r w:rsidRPr="007C5C4F">
        <w:rPr>
          <w:lang w:bidi="en-US"/>
        </w:rPr>
        <w:instrText xml:space="preserve"> SEQ level0 \*arabic </w:instrText>
      </w:r>
      <w:r w:rsidRPr="007C5C4F">
        <w:rPr>
          <w:lang w:bidi="en-US"/>
        </w:rPr>
        <w:fldChar w:fldCharType="separate"/>
      </w:r>
      <w:r w:rsidRPr="007C5C4F" w:rsidR="007C5C4F">
        <w:rPr>
          <w:noProof/>
          <w:lang w:bidi="en-US"/>
        </w:rPr>
        <w:t>179</w:t>
      </w:r>
      <w:r w:rsidRPr="007C5C4F">
        <w:rPr>
          <w:lang w:bidi="en-US"/>
        </w:rPr>
        <w:fldChar w:fldCharType="end"/>
      </w:r>
      <w:r w:rsidRPr="007C5C4F">
        <w:rPr>
          <w:lang w:bidi="en-US"/>
        </w:rPr>
        <w:t xml:space="preserve">.  In dismissing his appeal, the Court of Appeal held that criticism of the process which culminated in the second applicant being sentenced ignored the fact that he himself had provided accounts suggesting that he had been “smuggled” into the United Kingdom. It therefore considered that there was no evidence before the Crown Court, the CPS or the defence which would have suggested that he had been trafficked into the United Kingdom (see paragraphs </w:t>
      </w:r>
      <w:r w:rsidRPr="007C5C4F">
        <w:rPr>
          <w:lang w:bidi="en-US"/>
        </w:rPr>
        <w:fldChar w:fldCharType="begin"/>
      </w:r>
      <w:r w:rsidRPr="007C5C4F">
        <w:rPr>
          <w:lang w:bidi="en-US"/>
        </w:rPr>
        <w:instrText xml:space="preserve"> REF A2CA47 \h  \* MERGEFORMAT </w:instrText>
      </w:r>
      <w:r w:rsidRPr="007C5C4F">
        <w:rPr>
          <w:lang w:bidi="en-US"/>
        </w:rPr>
        <w:fldChar w:fldCharType="separate"/>
      </w:r>
      <w:r w:rsidRPr="007C5C4F" w:rsidR="007C5C4F">
        <w:rPr>
          <w:noProof/>
        </w:rPr>
        <w:t>47</w:t>
      </w:r>
      <w:r w:rsidRPr="007C5C4F">
        <w:rPr>
          <w:lang w:bidi="en-US"/>
        </w:rPr>
        <w:fldChar w:fldCharType="end"/>
      </w:r>
      <w:r w:rsidRPr="007C5C4F">
        <w:rPr>
          <w:lang w:bidi="en-US"/>
        </w:rPr>
        <w:t>-</w:t>
      </w:r>
      <w:r w:rsidRPr="007C5C4F">
        <w:rPr>
          <w:lang w:bidi="en-US"/>
        </w:rPr>
        <w:fldChar w:fldCharType="begin"/>
      </w:r>
      <w:r w:rsidRPr="007C5C4F">
        <w:rPr>
          <w:lang w:bidi="en-US"/>
        </w:rPr>
        <w:instrText xml:space="preserve"> REF A2CA48 \h  \* MERGEFORMAT </w:instrText>
      </w:r>
      <w:r w:rsidRPr="007C5C4F">
        <w:rPr>
          <w:lang w:bidi="en-US"/>
        </w:rPr>
        <w:fldChar w:fldCharType="separate"/>
      </w:r>
      <w:r w:rsidRPr="007C5C4F" w:rsidR="007C5C4F">
        <w:rPr>
          <w:noProof/>
        </w:rPr>
        <w:t>48</w:t>
      </w:r>
      <w:r w:rsidRPr="007C5C4F">
        <w:rPr>
          <w:lang w:bidi="en-US"/>
        </w:rPr>
        <w:fldChar w:fldCharType="end"/>
      </w:r>
      <w:r w:rsidRPr="007C5C4F">
        <w:rPr>
          <w:lang w:bidi="en-US"/>
        </w:rPr>
        <w:t xml:space="preserve"> above).</w:t>
      </w:r>
    </w:p>
    <w:p w:rsidRPr="007C5C4F" w:rsidR="005E3D7B" w:rsidP="007C5C4F" w14:paraId="21F58A51" w14:textId="418EEE04">
      <w:pPr>
        <w:pStyle w:val="JuPara"/>
        <w:rPr>
          <w:lang w:bidi="en-US"/>
        </w:rPr>
      </w:pPr>
      <w:r w:rsidRPr="007C5C4F">
        <w:rPr>
          <w:lang w:bidi="en-US"/>
        </w:rPr>
        <w:fldChar w:fldCharType="begin"/>
      </w:r>
      <w:r w:rsidRPr="007C5C4F">
        <w:rPr>
          <w:lang w:bidi="en-US"/>
        </w:rPr>
        <w:instrText xml:space="preserve"> SEQ level0 \*arabic </w:instrText>
      </w:r>
      <w:r w:rsidRPr="007C5C4F">
        <w:rPr>
          <w:lang w:bidi="en-US"/>
        </w:rPr>
        <w:fldChar w:fldCharType="separate"/>
      </w:r>
      <w:r w:rsidRPr="007C5C4F" w:rsidR="007C5C4F">
        <w:rPr>
          <w:noProof/>
          <w:lang w:bidi="en-US"/>
        </w:rPr>
        <w:t>180</w:t>
      </w:r>
      <w:r w:rsidRPr="007C5C4F">
        <w:rPr>
          <w:lang w:bidi="en-US"/>
        </w:rPr>
        <w:fldChar w:fldCharType="end"/>
      </w:r>
      <w:r w:rsidRPr="007C5C4F">
        <w:rPr>
          <w:lang w:bidi="en-US"/>
        </w:rPr>
        <w:t>.  With all due respect to the Court of Appeal, this finding is difficult to reconcile with the CPS</w:t>
      </w:r>
      <w:r w:rsidRPr="007C5C4F" w:rsidR="007C5C4F">
        <w:rPr>
          <w:lang w:bidi="en-US"/>
        </w:rPr>
        <w:t>’</w:t>
      </w:r>
      <w:r w:rsidRPr="007C5C4F">
        <w:rPr>
          <w:lang w:bidi="en-US"/>
        </w:rPr>
        <w:t xml:space="preserve">s own guidance published in February 2009, which indicated that trafficked children might be reluctant to disclose the circumstances of their exploitation and as a consequence prosecutors should themselves be alert to the possibility (see paragraph </w:t>
      </w:r>
      <w:r w:rsidRPr="007C5C4F">
        <w:rPr>
          <w:lang w:bidi="en-US"/>
        </w:rPr>
        <w:fldChar w:fldCharType="begin"/>
      </w:r>
      <w:r w:rsidRPr="007C5C4F">
        <w:rPr>
          <w:lang w:bidi="en-US"/>
        </w:rPr>
        <w:instrText xml:space="preserve"> REF CPS2 \h  \* MERGEFORMAT </w:instrText>
      </w:r>
      <w:r w:rsidRPr="007C5C4F">
        <w:rPr>
          <w:lang w:bidi="en-US"/>
        </w:rPr>
        <w:fldChar w:fldCharType="separate"/>
      </w:r>
      <w:r w:rsidRPr="007C5C4F" w:rsidR="007C5C4F">
        <w:rPr>
          <w:rFonts w:eastAsiaTheme="minorEastAsia"/>
          <w:noProof/>
        </w:rPr>
        <w:t>73</w:t>
      </w:r>
      <w:r w:rsidRPr="007C5C4F">
        <w:rPr>
          <w:lang w:bidi="en-US"/>
        </w:rPr>
        <w:fldChar w:fldCharType="end"/>
      </w:r>
      <w:r w:rsidRPr="007C5C4F">
        <w:rPr>
          <w:lang w:bidi="en-US"/>
        </w:rPr>
        <w:t xml:space="preserve"> above). Similar guidance was set out by the Court of Appeal itself in the case of </w:t>
      </w:r>
      <w:r w:rsidRPr="007C5C4F">
        <w:rPr>
          <w:i/>
          <w:iCs/>
          <w:lang w:bidi="en-US"/>
        </w:rPr>
        <w:t>R v. O</w:t>
      </w:r>
      <w:r w:rsidRPr="007C5C4F">
        <w:rPr>
          <w:lang w:bidi="en-US"/>
        </w:rPr>
        <w:t xml:space="preserve">, in which it clearly stated that prosecutors must be aware of the protocols and defence lawyers should make enquiries if there is credible material showing that their client may have been a victim of trafficking (see paragraphs </w:t>
      </w:r>
      <w:r w:rsidRPr="007C5C4F">
        <w:rPr>
          <w:lang w:bidi="en-US"/>
        </w:rPr>
        <w:fldChar w:fldCharType="begin"/>
      </w:r>
      <w:r w:rsidRPr="007C5C4F">
        <w:rPr>
          <w:lang w:bidi="en-US"/>
        </w:rPr>
        <w:instrText xml:space="preserve"> REF RO1 \h  \* MERGEFORMAT </w:instrText>
      </w:r>
      <w:r w:rsidRPr="007C5C4F">
        <w:rPr>
          <w:lang w:bidi="en-US"/>
        </w:rPr>
        <w:fldChar w:fldCharType="separate"/>
      </w:r>
      <w:r w:rsidRPr="007C5C4F" w:rsidR="007C5C4F">
        <w:rPr>
          <w:noProof/>
        </w:rPr>
        <w:t>77</w:t>
      </w:r>
      <w:r w:rsidRPr="007C5C4F">
        <w:rPr>
          <w:lang w:bidi="en-US"/>
        </w:rPr>
        <w:fldChar w:fldCharType="end"/>
      </w:r>
      <w:r w:rsidRPr="007C5C4F">
        <w:rPr>
          <w:lang w:bidi="en-US"/>
        </w:rPr>
        <w:t>-</w:t>
      </w:r>
      <w:r w:rsidRPr="007C5C4F">
        <w:rPr>
          <w:lang w:bidi="en-US"/>
        </w:rPr>
        <w:fldChar w:fldCharType="begin"/>
      </w:r>
      <w:r w:rsidRPr="007C5C4F">
        <w:rPr>
          <w:lang w:bidi="en-US"/>
        </w:rPr>
        <w:instrText xml:space="preserve"> REF RO2 \h  \* MERGEFORMAT </w:instrText>
      </w:r>
      <w:r w:rsidRPr="007C5C4F">
        <w:rPr>
          <w:lang w:bidi="en-US"/>
        </w:rPr>
        <w:fldChar w:fldCharType="separate"/>
      </w:r>
      <w:r w:rsidRPr="007C5C4F" w:rsidR="007C5C4F">
        <w:rPr>
          <w:noProof/>
        </w:rPr>
        <w:t>78</w:t>
      </w:r>
      <w:r w:rsidRPr="007C5C4F">
        <w:rPr>
          <w:lang w:bidi="en-US"/>
        </w:rPr>
        <w:fldChar w:fldCharType="end"/>
      </w:r>
      <w:r w:rsidRPr="007C5C4F">
        <w:rPr>
          <w:lang w:bidi="en-US"/>
        </w:rPr>
        <w:t xml:space="preserve"> above). It is also difficult to reconcile with the finding by both NSPCC NCTAIL and the Competent Authority that the second applicant had in fact been trafficked into the United Kingdom (see paragraphs </w:t>
      </w:r>
      <w:r w:rsidRPr="007C5C4F">
        <w:rPr>
          <w:lang w:bidi="en-US"/>
        </w:rPr>
        <w:fldChar w:fldCharType="begin"/>
      </w:r>
      <w:r w:rsidRPr="007C5C4F">
        <w:rPr>
          <w:lang w:bidi="en-US"/>
        </w:rPr>
        <w:instrText xml:space="preserve"> REF A232 \h  \* MERGEFORMAT </w:instrText>
      </w:r>
      <w:r w:rsidRPr="007C5C4F">
        <w:rPr>
          <w:lang w:bidi="en-US"/>
        </w:rPr>
        <w:fldChar w:fldCharType="separate"/>
      </w:r>
      <w:r w:rsidRPr="007C5C4F" w:rsidR="007C5C4F">
        <w:rPr>
          <w:noProof/>
        </w:rPr>
        <w:t>32</w:t>
      </w:r>
      <w:r w:rsidRPr="007C5C4F">
        <w:rPr>
          <w:lang w:bidi="en-US"/>
        </w:rPr>
        <w:fldChar w:fldCharType="end"/>
      </w:r>
      <w:r w:rsidRPr="007C5C4F">
        <w:rPr>
          <w:lang w:bidi="en-US"/>
        </w:rPr>
        <w:t xml:space="preserve">, </w:t>
      </w:r>
      <w:r w:rsidRPr="007C5C4F">
        <w:rPr>
          <w:lang w:bidi="en-US"/>
        </w:rPr>
        <w:fldChar w:fldCharType="begin"/>
      </w:r>
      <w:r w:rsidRPr="007C5C4F">
        <w:rPr>
          <w:lang w:bidi="en-US"/>
        </w:rPr>
        <w:instrText xml:space="preserve"> REF A233 \h  \* MERGEFORMAT </w:instrText>
      </w:r>
      <w:r w:rsidRPr="007C5C4F">
        <w:rPr>
          <w:lang w:bidi="en-US"/>
        </w:rPr>
        <w:fldChar w:fldCharType="separate"/>
      </w:r>
      <w:r w:rsidRPr="007C5C4F" w:rsidR="007C5C4F">
        <w:rPr>
          <w:noProof/>
        </w:rPr>
        <w:t>33</w:t>
      </w:r>
      <w:r w:rsidRPr="007C5C4F">
        <w:rPr>
          <w:lang w:bidi="en-US"/>
        </w:rPr>
        <w:fldChar w:fldCharType="end"/>
      </w:r>
      <w:r w:rsidRPr="007C5C4F">
        <w:rPr>
          <w:lang w:bidi="en-US"/>
        </w:rPr>
        <w:t xml:space="preserve"> and </w:t>
      </w:r>
      <w:r w:rsidRPr="007C5C4F">
        <w:rPr>
          <w:lang w:bidi="en-US"/>
        </w:rPr>
        <w:fldChar w:fldCharType="begin"/>
      </w:r>
      <w:r w:rsidRPr="007C5C4F">
        <w:rPr>
          <w:lang w:bidi="en-US"/>
        </w:rPr>
        <w:instrText xml:space="preserve"> REF A237 \h  \* MERGEFORMAT </w:instrText>
      </w:r>
      <w:r w:rsidRPr="007C5C4F">
        <w:rPr>
          <w:lang w:bidi="en-US"/>
        </w:rPr>
        <w:fldChar w:fldCharType="separate"/>
      </w:r>
      <w:r w:rsidRPr="007C5C4F" w:rsidR="007C5C4F">
        <w:rPr>
          <w:noProof/>
        </w:rPr>
        <w:t>37</w:t>
      </w:r>
      <w:r w:rsidRPr="007C5C4F">
        <w:rPr>
          <w:lang w:bidi="en-US"/>
        </w:rPr>
        <w:fldChar w:fldCharType="end"/>
      </w:r>
      <w:r w:rsidRPr="007C5C4F">
        <w:rPr>
          <w:lang w:bidi="en-US"/>
        </w:rPr>
        <w:t xml:space="preserve"> above).</w:t>
      </w:r>
    </w:p>
    <w:bookmarkStart w:name="para180" w:id="79"/>
    <w:p w:rsidRPr="007C5C4F" w:rsidR="005E3D7B" w:rsidP="007C5C4F" w14:paraId="63C817EC" w14:textId="67A2FE20">
      <w:pPr>
        <w:pStyle w:val="JuPara"/>
        <w:rPr>
          <w:lang w:bidi="en-US"/>
        </w:rPr>
      </w:pPr>
      <w:r w:rsidRPr="007C5C4F">
        <w:rPr>
          <w:lang w:bidi="en-US"/>
        </w:rPr>
        <w:fldChar w:fldCharType="begin"/>
      </w:r>
      <w:r w:rsidRPr="007C5C4F">
        <w:rPr>
          <w:lang w:bidi="en-US"/>
        </w:rPr>
        <w:instrText xml:space="preserve"> SEQ level0 \*arabic </w:instrText>
      </w:r>
      <w:r w:rsidRPr="007C5C4F">
        <w:rPr>
          <w:lang w:bidi="en-US"/>
        </w:rPr>
        <w:fldChar w:fldCharType="separate"/>
      </w:r>
      <w:r w:rsidRPr="007C5C4F" w:rsidR="007C5C4F">
        <w:rPr>
          <w:noProof/>
          <w:lang w:bidi="en-US"/>
        </w:rPr>
        <w:t>181</w:t>
      </w:r>
      <w:r w:rsidRPr="007C5C4F">
        <w:rPr>
          <w:lang w:bidi="en-US"/>
        </w:rPr>
        <w:fldChar w:fldCharType="end"/>
      </w:r>
      <w:bookmarkEnd w:id="79"/>
      <w:r w:rsidRPr="007C5C4F">
        <w:rPr>
          <w:lang w:bidi="en-US"/>
        </w:rPr>
        <w:t xml:space="preserve">.  In this regard, the Court has already held that from the point when the second applicant was discovered, certain aspects of his account should have raised concerns that he might have been a victim of trafficking (see paragraph </w:t>
      </w:r>
      <w:r w:rsidRPr="007C5C4F">
        <w:rPr>
          <w:lang w:bidi="en-US"/>
        </w:rPr>
        <w:fldChar w:fldCharType="begin"/>
      </w:r>
      <w:r w:rsidRPr="007C5C4F">
        <w:rPr>
          <w:lang w:bidi="en-US"/>
        </w:rPr>
        <w:instrText xml:space="preserve"> REF para174 \h  \* MERGEFORMAT </w:instrText>
      </w:r>
      <w:r w:rsidRPr="007C5C4F">
        <w:rPr>
          <w:lang w:bidi="en-US"/>
        </w:rPr>
        <w:fldChar w:fldCharType="separate"/>
      </w:r>
      <w:r w:rsidRPr="007C5C4F" w:rsidR="007C5C4F">
        <w:rPr>
          <w:noProof/>
          <w:lang w:bidi="en-US"/>
        </w:rPr>
        <w:t>175</w:t>
      </w:r>
      <w:r w:rsidRPr="007C5C4F">
        <w:rPr>
          <w:lang w:bidi="en-US"/>
        </w:rPr>
        <w:fldChar w:fldCharType="end"/>
      </w:r>
      <w:r w:rsidRPr="007C5C4F">
        <w:rPr>
          <w:lang w:bidi="en-US"/>
        </w:rPr>
        <w:t xml:space="preserve"> above). These concerns should only have intensified when it became apparent that he was a minor (see paragraph </w:t>
      </w:r>
      <w:r w:rsidRPr="007C5C4F">
        <w:rPr>
          <w:lang w:bidi="en-US"/>
        </w:rPr>
        <w:fldChar w:fldCharType="begin"/>
      </w:r>
      <w:r w:rsidRPr="007C5C4F">
        <w:rPr>
          <w:lang w:bidi="en-US"/>
        </w:rPr>
        <w:instrText xml:space="preserve"> REF para175 \h  \* MERGEFORMAT </w:instrText>
      </w:r>
      <w:r w:rsidRPr="007C5C4F">
        <w:rPr>
          <w:lang w:bidi="en-US"/>
        </w:rPr>
        <w:fldChar w:fldCharType="separate"/>
      </w:r>
      <w:r w:rsidRPr="007C5C4F" w:rsidR="007C5C4F">
        <w:rPr>
          <w:noProof/>
          <w:lang w:bidi="en-US"/>
        </w:rPr>
        <w:t>176</w:t>
      </w:r>
      <w:r w:rsidRPr="007C5C4F">
        <w:rPr>
          <w:lang w:bidi="en-US"/>
        </w:rPr>
        <w:fldChar w:fldCharType="end"/>
      </w:r>
      <w:r w:rsidRPr="007C5C4F">
        <w:rPr>
          <w:lang w:bidi="en-US"/>
        </w:rPr>
        <w:t xml:space="preserve"> above). From this point on, the State had a positive obligation to take operational measures to protect him.</w:t>
      </w:r>
      <w:r w:rsidRPr="007C5C4F">
        <w:t xml:space="preserve"> </w:t>
      </w:r>
      <w:r w:rsidRPr="007C5C4F">
        <w:rPr>
          <w:lang w:bidi="en-US"/>
        </w:rPr>
        <w:t>Instead, the criminal proceedings were allowed to proceed, with the second applicant entering a guilty plea on the advice of his legal representative. Even though he was subsequently recognised both by NSPCC NCTAIL and the Competent Authority as a victim of trafficking, the CPS disagreed with that assessment without providing clear reasons for its decision which went to the core of the elements necessary to establish “trafficking”, and the Court of Appeal, relying on the same reasons, found that the decision to prosecute was not an abuse of process.</w:t>
      </w:r>
    </w:p>
    <w:p w:rsidRPr="007C5C4F" w:rsidR="005E3D7B" w:rsidP="007C5C4F" w14:paraId="0E4A920D" w14:textId="4BE4D7CD">
      <w:pPr>
        <w:pStyle w:val="JuPara"/>
      </w:pPr>
      <w:r w:rsidRPr="007C5C4F">
        <w:rPr>
          <w:lang w:bidi="en-US"/>
        </w:rPr>
        <w:fldChar w:fldCharType="begin"/>
      </w:r>
      <w:r w:rsidRPr="007C5C4F">
        <w:rPr>
          <w:lang w:bidi="en-US"/>
        </w:rPr>
        <w:instrText xml:space="preserve"> SEQ level0 \*arabic </w:instrText>
      </w:r>
      <w:r w:rsidRPr="007C5C4F">
        <w:rPr>
          <w:lang w:bidi="en-US"/>
        </w:rPr>
        <w:fldChar w:fldCharType="separate"/>
      </w:r>
      <w:r w:rsidRPr="007C5C4F" w:rsidR="007C5C4F">
        <w:rPr>
          <w:noProof/>
          <w:lang w:bidi="en-US"/>
        </w:rPr>
        <w:t>182</w:t>
      </w:r>
      <w:r w:rsidRPr="007C5C4F">
        <w:rPr>
          <w:lang w:bidi="en-US"/>
        </w:rPr>
        <w:fldChar w:fldCharType="end"/>
      </w:r>
      <w:r w:rsidRPr="007C5C4F">
        <w:rPr>
          <w:lang w:bidi="en-US"/>
        </w:rPr>
        <w:t>.  In the light of the foregoing, the Court considers that the State cannot be said to have fulfilled its duty under Article 4 of the Convention to take operational measures to protect the second applicant, either initially, as a potential victim of trafficking, and subsequently, as a person recognised by the Competent Authority to be a victim of trafficking.</w:t>
      </w:r>
    </w:p>
    <w:bookmarkStart w:name="ConcA2" w:id="80"/>
    <w:p w:rsidRPr="007C5C4F" w:rsidR="005E3D7B" w:rsidP="007C5C4F" w14:paraId="5DD1C3FA" w14:textId="6BFC0AB2">
      <w:pPr>
        <w:pStyle w:val="JuPara"/>
        <w:rPr>
          <w:lang w:bidi="en-US"/>
        </w:rPr>
      </w:pPr>
      <w:r w:rsidRPr="007C5C4F">
        <w:rPr>
          <w:lang w:bidi="en-US"/>
        </w:rPr>
        <w:fldChar w:fldCharType="begin"/>
      </w:r>
      <w:r w:rsidRPr="007C5C4F">
        <w:rPr>
          <w:lang w:bidi="en-US"/>
        </w:rPr>
        <w:instrText xml:space="preserve"> SEQ level0 \*arabic </w:instrText>
      </w:r>
      <w:r w:rsidRPr="007C5C4F">
        <w:rPr>
          <w:lang w:bidi="en-US"/>
        </w:rPr>
        <w:fldChar w:fldCharType="separate"/>
      </w:r>
      <w:r w:rsidRPr="007C5C4F" w:rsidR="007C5C4F">
        <w:rPr>
          <w:noProof/>
          <w:lang w:bidi="en-US"/>
        </w:rPr>
        <w:t>183</w:t>
      </w:r>
      <w:r w:rsidRPr="007C5C4F">
        <w:rPr>
          <w:lang w:bidi="en-US"/>
        </w:rPr>
        <w:fldChar w:fldCharType="end"/>
      </w:r>
      <w:bookmarkEnd w:id="80"/>
      <w:r w:rsidRPr="007C5C4F">
        <w:rPr>
          <w:lang w:bidi="en-US"/>
        </w:rPr>
        <w:t>.  Accordingly, it finds that there has been a violation of Article 4 of the Convention.</w:t>
      </w:r>
    </w:p>
    <w:p w:rsidRPr="007C5C4F" w:rsidR="005E3D7B" w:rsidP="007C5C4F" w14:paraId="5358440E" w14:textId="77777777">
      <w:pPr>
        <w:pStyle w:val="JuHIRoman"/>
        <w:tabs>
          <w:tab w:val="clear" w:pos="454"/>
          <w:tab w:val="clear" w:pos="567"/>
          <w:tab w:val="clear" w:pos="680"/>
        </w:tabs>
        <w:ind w:left="357" w:hanging="357"/>
      </w:pPr>
      <w:r w:rsidRPr="007C5C4F">
        <w:t xml:space="preserve">ALLEGED VIOLATION OF ARTICLE 6 </w:t>
      </w:r>
      <w:r w:rsidRPr="007C5C4F">
        <w:rPr>
          <w:rFonts w:cstheme="majorHAnsi"/>
        </w:rPr>
        <w:t>§</w:t>
      </w:r>
      <w:r w:rsidRPr="007C5C4F">
        <w:t xml:space="preserve"> 1 OF THE CONVENTION</w:t>
      </w:r>
    </w:p>
    <w:p w:rsidRPr="007C5C4F" w:rsidR="005E3D7B" w:rsidP="007C5C4F" w14:paraId="7C37BF0C" w14:textId="7CD6AC9E">
      <w:pPr>
        <w:pStyle w:val="JuPara"/>
      </w:pPr>
      <w:r w:rsidRPr="007C5C4F">
        <w:fldChar w:fldCharType="begin"/>
      </w:r>
      <w:r w:rsidRPr="007C5C4F">
        <w:instrText xml:space="preserve"> SEQ level0 \*arabic </w:instrText>
      </w:r>
      <w:r w:rsidRPr="007C5C4F">
        <w:fldChar w:fldCharType="separate"/>
      </w:r>
      <w:r w:rsidRPr="007C5C4F" w:rsidR="007C5C4F">
        <w:rPr>
          <w:noProof/>
        </w:rPr>
        <w:t>184</w:t>
      </w:r>
      <w:r w:rsidRPr="007C5C4F">
        <w:fldChar w:fldCharType="end"/>
      </w:r>
      <w:r w:rsidRPr="007C5C4F">
        <w:t>.  The applicants complained that as a result of the State</w:t>
      </w:r>
      <w:r w:rsidRPr="007C5C4F" w:rsidR="007C5C4F">
        <w:t>’</w:t>
      </w:r>
      <w:r w:rsidRPr="007C5C4F">
        <w:t>s breach of its positive obligation under Article 4, they had been denied a fair trial within the meaning of Article 6 of the Convention.</w:t>
      </w:r>
    </w:p>
    <w:p w:rsidRPr="007C5C4F" w:rsidR="005E3D7B" w:rsidP="007C5C4F" w14:paraId="01A93A21" w14:textId="725E34A1">
      <w:pPr>
        <w:pStyle w:val="JuPara"/>
      </w:pPr>
      <w:r w:rsidRPr="007C5C4F">
        <w:fldChar w:fldCharType="begin"/>
      </w:r>
      <w:r w:rsidRPr="007C5C4F">
        <w:instrText xml:space="preserve"> SEQ level0 \*arabic </w:instrText>
      </w:r>
      <w:r w:rsidRPr="007C5C4F">
        <w:fldChar w:fldCharType="separate"/>
      </w:r>
      <w:r w:rsidRPr="007C5C4F" w:rsidR="007C5C4F">
        <w:rPr>
          <w:noProof/>
        </w:rPr>
        <w:t>185</w:t>
      </w:r>
      <w:r w:rsidRPr="007C5C4F">
        <w:fldChar w:fldCharType="end"/>
      </w:r>
      <w:r w:rsidRPr="007C5C4F">
        <w:t xml:space="preserve">.  The relevant parts of Article 6 </w:t>
      </w:r>
      <w:r w:rsidRPr="007C5C4F">
        <w:rPr>
          <w:rFonts w:cstheme="minorHAnsi"/>
        </w:rPr>
        <w:t>§</w:t>
      </w:r>
      <w:r w:rsidRPr="007C5C4F">
        <w:t xml:space="preserve"> 1 of the Convention provide as follows:</w:t>
      </w:r>
    </w:p>
    <w:p w:rsidRPr="007C5C4F" w:rsidR="005E3D7B" w:rsidP="007C5C4F" w14:paraId="5427C6C0" w14:textId="77777777">
      <w:pPr>
        <w:pStyle w:val="JuQuot"/>
      </w:pPr>
      <w:r w:rsidRPr="007C5C4F">
        <w:t>“In the determination of ... any criminal charge against him, everyone is entitled to a fair ... hearing ... by [a] ... tribunal ...”</w:t>
      </w:r>
    </w:p>
    <w:p w:rsidRPr="007C5C4F" w:rsidR="005E3D7B" w:rsidP="007C5C4F" w14:paraId="15008786" w14:textId="77777777">
      <w:pPr>
        <w:pStyle w:val="JuHA"/>
        <w:ind w:left="584" w:hanging="352"/>
        <w:jc w:val="left"/>
      </w:pPr>
      <w:r w:rsidRPr="007C5C4F">
        <w:t>Admissibility</w:t>
      </w:r>
    </w:p>
    <w:p w:rsidRPr="007C5C4F" w:rsidR="005E3D7B" w:rsidP="007C5C4F" w14:paraId="505BE177" w14:textId="3BD68B7D">
      <w:pPr>
        <w:pStyle w:val="JuPara"/>
      </w:pPr>
      <w:r w:rsidRPr="007C5C4F">
        <w:fldChar w:fldCharType="begin"/>
      </w:r>
      <w:r w:rsidRPr="007C5C4F">
        <w:instrText xml:space="preserve"> SEQ level0 \*arabic </w:instrText>
      </w:r>
      <w:r w:rsidRPr="007C5C4F">
        <w:fldChar w:fldCharType="separate"/>
      </w:r>
      <w:r w:rsidRPr="007C5C4F" w:rsidR="007C5C4F">
        <w:rPr>
          <w:noProof/>
        </w:rPr>
        <w:t>186</w:t>
      </w:r>
      <w:r w:rsidRPr="007C5C4F">
        <w:fldChar w:fldCharType="end"/>
      </w:r>
      <w:r w:rsidRPr="007C5C4F">
        <w:t>.  The Court notes that the applicants</w:t>
      </w:r>
      <w:r w:rsidRPr="007C5C4F" w:rsidR="007C5C4F">
        <w:t>’</w:t>
      </w:r>
      <w:r w:rsidRPr="007C5C4F">
        <w:t xml:space="preserve"> Article 6 complaints are neither manifestly ill-founded nor inadmissible on any other grounds listed in Article 35 of the Convention. They must therefore be declared admissible.</w:t>
      </w:r>
    </w:p>
    <w:p w:rsidRPr="007C5C4F" w:rsidR="005E3D7B" w:rsidP="007C5C4F" w14:paraId="6FE57E80" w14:textId="77777777">
      <w:pPr>
        <w:pStyle w:val="JuHA"/>
        <w:ind w:left="584" w:hanging="352"/>
        <w:jc w:val="left"/>
      </w:pPr>
      <w:r w:rsidRPr="007C5C4F">
        <w:t>Merits</w:t>
      </w:r>
    </w:p>
    <w:p w:rsidRPr="007C5C4F" w:rsidR="005E3D7B" w:rsidP="007C5C4F" w14:paraId="5232E065" w14:textId="380AEC17">
      <w:pPr>
        <w:pStyle w:val="JuH1"/>
        <w:ind w:left="731" w:hanging="300"/>
        <w:jc w:val="left"/>
      </w:pPr>
      <w:r w:rsidRPr="007C5C4F">
        <w:t>The parties</w:t>
      </w:r>
      <w:r w:rsidRPr="007C5C4F" w:rsidR="007C5C4F">
        <w:t>’</w:t>
      </w:r>
      <w:r w:rsidRPr="007C5C4F">
        <w:t xml:space="preserve"> submissions</w:t>
      </w:r>
    </w:p>
    <w:p w:rsidRPr="007C5C4F" w:rsidR="005E3D7B" w:rsidP="007C5C4F" w14:paraId="04D7721D" w14:textId="77777777">
      <w:pPr>
        <w:pStyle w:val="JuHa0"/>
        <w:ind w:left="975" w:hanging="340"/>
        <w:jc w:val="left"/>
      </w:pPr>
      <w:r w:rsidRPr="007C5C4F">
        <w:t>The first applicant</w:t>
      </w:r>
    </w:p>
    <w:p w:rsidRPr="007C5C4F" w:rsidR="005E3D7B" w:rsidP="007C5C4F" w14:paraId="584179D5" w14:textId="7F621FFB">
      <w:pPr>
        <w:pStyle w:val="JuPara"/>
      </w:pPr>
      <w:r w:rsidRPr="007C5C4F">
        <w:fldChar w:fldCharType="begin"/>
      </w:r>
      <w:r w:rsidRPr="007C5C4F">
        <w:instrText xml:space="preserve"> SEQ level0 \*arabic </w:instrText>
      </w:r>
      <w:r w:rsidRPr="007C5C4F">
        <w:fldChar w:fldCharType="separate"/>
      </w:r>
      <w:r w:rsidRPr="007C5C4F" w:rsidR="007C5C4F">
        <w:rPr>
          <w:noProof/>
        </w:rPr>
        <w:t>187</w:t>
      </w:r>
      <w:r w:rsidRPr="007C5C4F">
        <w:fldChar w:fldCharType="end"/>
      </w:r>
      <w:r w:rsidRPr="007C5C4F">
        <w:t>.  The first applicant argued that his guilty plea had not in and of itself extinguished his fair-trial rights. In his view, it was not tenable to suggest that a trafficking victim</w:t>
      </w:r>
      <w:r w:rsidRPr="007C5C4F" w:rsidR="007C5C4F">
        <w:t>’</w:t>
      </w:r>
      <w:r w:rsidRPr="007C5C4F">
        <w:t>s fair-trial rights could be waived simply by a guilty plea. This appears to have been recognised by the CPS, which in updated guidance cautioned against early guilty pleas in potential trafficking cases.</w:t>
      </w:r>
    </w:p>
    <w:p w:rsidRPr="007C5C4F" w:rsidR="005E3D7B" w:rsidP="007C5C4F" w14:paraId="62EBBC2A" w14:textId="1452B7F5">
      <w:pPr>
        <w:pStyle w:val="JuPara"/>
      </w:pPr>
      <w:r w:rsidRPr="007C5C4F">
        <w:fldChar w:fldCharType="begin"/>
      </w:r>
      <w:r w:rsidRPr="007C5C4F">
        <w:instrText xml:space="preserve"> SEQ level0 \*arabic </w:instrText>
      </w:r>
      <w:r w:rsidRPr="007C5C4F">
        <w:fldChar w:fldCharType="separate"/>
      </w:r>
      <w:r w:rsidRPr="007C5C4F" w:rsidR="007C5C4F">
        <w:rPr>
          <w:noProof/>
        </w:rPr>
        <w:t>188</w:t>
      </w:r>
      <w:r w:rsidRPr="007C5C4F">
        <w:fldChar w:fldCharType="end"/>
      </w:r>
      <w:r w:rsidRPr="007C5C4F">
        <w:t>.  On the facts of the case the first applicant argued that he had been deprived of a fair trial because the police had failed to carry out an investigation capable of providing him with exculpatory evidence, even though there was a credible suspicion that he had been trafficked; and the CPS</w:t>
      </w:r>
      <w:r w:rsidRPr="007C5C4F" w:rsidR="007C5C4F">
        <w:t>’</w:t>
      </w:r>
      <w:r w:rsidRPr="007C5C4F">
        <w:t>s assessment of the case was fundamentally flawed because it had conducted its first review before the Competent Authority had concluded its assessment, it had subsequently attached too little weight to that assessment and throughout the process it had ignored the indicators of trafficking which were present. In the light of these failings, it was no answer to say that the first applicant should have applied to vacate his plea or initiate an abuse of process.</w:t>
      </w:r>
    </w:p>
    <w:p w:rsidRPr="007C5C4F" w:rsidR="005E3D7B" w:rsidP="007C5C4F" w14:paraId="089E84A8" w14:textId="77777777">
      <w:pPr>
        <w:pStyle w:val="JuHa0"/>
        <w:ind w:left="975" w:hanging="340"/>
        <w:jc w:val="left"/>
      </w:pPr>
      <w:r w:rsidRPr="007C5C4F">
        <w:t>The second applicant</w:t>
      </w:r>
    </w:p>
    <w:p w:rsidRPr="007C5C4F" w:rsidR="005E3D7B" w:rsidP="007C5C4F" w14:paraId="4453DC00" w14:textId="10223118">
      <w:pPr>
        <w:pStyle w:val="JuPara"/>
      </w:pPr>
      <w:r w:rsidRPr="007C5C4F">
        <w:fldChar w:fldCharType="begin"/>
      </w:r>
      <w:r w:rsidRPr="007C5C4F">
        <w:instrText xml:space="preserve"> SEQ level0 \*arabic </w:instrText>
      </w:r>
      <w:r w:rsidRPr="007C5C4F">
        <w:fldChar w:fldCharType="separate"/>
      </w:r>
      <w:r w:rsidRPr="007C5C4F" w:rsidR="007C5C4F">
        <w:rPr>
          <w:noProof/>
        </w:rPr>
        <w:t>189</w:t>
      </w:r>
      <w:r w:rsidRPr="007C5C4F">
        <w:fldChar w:fldCharType="end"/>
      </w:r>
      <w:r w:rsidRPr="007C5C4F">
        <w:t>.  The second applicant argued that he had pleaded guilty on the provision of bad legal advice from his original lawyers. He had never been advised that he might be a victim of trafficking and no steps had been taken by his own lawyers or by the CPS to investigate his case, even in the face of the findings of NSPCC NCTAIL and the Competent Authority. As he was a child, his case should have been referred automatically to the NRM (see paragraph 75 above) as a child-safeguarding response. However, there was no process in place for such a referral to be made and as a consequence he could not be said to have waived his right to a fair trial. Although there was a wealth of objective evidence that pointed to the likelihood that he might be a victim of trafficking, there was no recognition of this by any State actor prior to the date of his criminal conviction.</w:t>
      </w:r>
    </w:p>
    <w:p w:rsidRPr="007C5C4F" w:rsidR="005E3D7B" w:rsidP="007C5C4F" w14:paraId="602BC3F7" w14:textId="77777777">
      <w:pPr>
        <w:pStyle w:val="JuHa0"/>
        <w:ind w:left="975" w:hanging="340"/>
        <w:jc w:val="left"/>
      </w:pPr>
      <w:r w:rsidRPr="007C5C4F">
        <w:t>The Government</w:t>
      </w:r>
    </w:p>
    <w:p w:rsidRPr="007C5C4F" w:rsidR="005E3D7B" w:rsidP="007C5C4F" w14:paraId="0A09BE04" w14:textId="72A51B70">
      <w:pPr>
        <w:pStyle w:val="JuPara"/>
      </w:pPr>
      <w:r w:rsidRPr="007C5C4F">
        <w:fldChar w:fldCharType="begin"/>
      </w:r>
      <w:r w:rsidRPr="007C5C4F">
        <w:instrText xml:space="preserve"> SEQ level0 \*arabic </w:instrText>
      </w:r>
      <w:r w:rsidRPr="007C5C4F">
        <w:fldChar w:fldCharType="separate"/>
      </w:r>
      <w:r w:rsidRPr="007C5C4F" w:rsidR="007C5C4F">
        <w:rPr>
          <w:noProof/>
        </w:rPr>
        <w:t>190</w:t>
      </w:r>
      <w:r w:rsidRPr="007C5C4F">
        <w:fldChar w:fldCharType="end"/>
      </w:r>
      <w:r w:rsidRPr="007C5C4F">
        <w:t>.  The Government argued that the first applicant had waived his right to argue that he should not have been prosecuted by virtue of the combination of (i) his failure to raise any argument that he should not have been prosecuted, by way of abuse of process or judicial review, notwithstanding that he had been advised of the possibility; (ii) his plea of guilty; and (iii) his subsequent decision not to take advantage of the opportunity, expressly offered by the domestic court, to argue that he should be permitted to withdraw his guilty plea in order to raise any matter arising from his identification by the Competent Authority as a victim of trafficking.</w:t>
      </w:r>
    </w:p>
    <w:p w:rsidRPr="007C5C4F" w:rsidR="005E3D7B" w:rsidP="007C5C4F" w14:paraId="32CB466B" w14:textId="10694E73">
      <w:pPr>
        <w:pStyle w:val="JuPara"/>
      </w:pPr>
      <w:r w:rsidRPr="007C5C4F">
        <w:fldChar w:fldCharType="begin"/>
      </w:r>
      <w:r w:rsidRPr="007C5C4F">
        <w:instrText xml:space="preserve"> SEQ level0 \*arabic </w:instrText>
      </w:r>
      <w:r w:rsidRPr="007C5C4F">
        <w:fldChar w:fldCharType="separate"/>
      </w:r>
      <w:r w:rsidRPr="007C5C4F" w:rsidR="007C5C4F">
        <w:rPr>
          <w:noProof/>
        </w:rPr>
        <w:t>191</w:t>
      </w:r>
      <w:r w:rsidRPr="007C5C4F">
        <w:fldChar w:fldCharType="end"/>
      </w:r>
      <w:r w:rsidRPr="007C5C4F">
        <w:t>.  In addition, the Government argued that the process as a whole had been fair. The first applicant had had the benefit of two separate appeals, each of which had been heard before the Lord Chief Justice of the day. His arguments had been examined thoroughly, including arguments about abuse of process and the adequacy of his legal representation. However, the Court of Appeal had held that even if he had raised abuse of process in the court below, it would not have been successful. His hearing had therefore been entirely fair under Article 6 § 1 of the Convention.</w:t>
      </w:r>
    </w:p>
    <w:p w:rsidRPr="007C5C4F" w:rsidR="005E3D7B" w:rsidP="007C5C4F" w14:paraId="3B593BBB" w14:textId="4F4B59DF">
      <w:pPr>
        <w:pStyle w:val="JuPara"/>
      </w:pPr>
      <w:r w:rsidRPr="007C5C4F">
        <w:fldChar w:fldCharType="begin"/>
      </w:r>
      <w:r w:rsidRPr="007C5C4F">
        <w:instrText xml:space="preserve"> SEQ level0 \*arabic </w:instrText>
      </w:r>
      <w:r w:rsidRPr="007C5C4F">
        <w:fldChar w:fldCharType="separate"/>
      </w:r>
      <w:r w:rsidRPr="007C5C4F" w:rsidR="007C5C4F">
        <w:rPr>
          <w:noProof/>
        </w:rPr>
        <w:t>192</w:t>
      </w:r>
      <w:r w:rsidRPr="007C5C4F">
        <w:fldChar w:fldCharType="end"/>
      </w:r>
      <w:r w:rsidRPr="007C5C4F">
        <w:t>.  The Government also argued that the second applicant, by virtue of his guilty plea, had waived his right to a determination of guilt or innocence by the domestic courts.</w:t>
      </w:r>
    </w:p>
    <w:p w:rsidRPr="007C5C4F" w:rsidR="005E3D7B" w:rsidP="007C5C4F" w14:paraId="69554C00" w14:textId="440D7F0D">
      <w:pPr>
        <w:pStyle w:val="JuPara"/>
      </w:pPr>
      <w:r w:rsidRPr="007C5C4F">
        <w:fldChar w:fldCharType="begin"/>
      </w:r>
      <w:r w:rsidRPr="007C5C4F">
        <w:instrText xml:space="preserve"> SEQ level0 \*arabic </w:instrText>
      </w:r>
      <w:r w:rsidRPr="007C5C4F">
        <w:fldChar w:fldCharType="separate"/>
      </w:r>
      <w:r w:rsidRPr="007C5C4F" w:rsidR="007C5C4F">
        <w:rPr>
          <w:noProof/>
        </w:rPr>
        <w:t>193</w:t>
      </w:r>
      <w:r w:rsidRPr="007C5C4F">
        <w:fldChar w:fldCharType="end"/>
      </w:r>
      <w:r w:rsidRPr="007C5C4F">
        <w:t>.  In any event, the Government submitted that he had had the benefit of free and independent legal advice together with an interpreter; and he had had the benefit of a significant period of time, between his arrest on 21 April 2009 and his plea in early July 2009, in which to reflect on the position. However, at this stage the detailed account which he had given to his lawyers was factually incompatible with trafficking and forced labour. Nonetheless, in an appeal before the Lord Chief Justice he had been allowed to argue that his plea had not been fairly entered and to introduce a substantial quantity of material based on a new factual account.</w:t>
      </w:r>
    </w:p>
    <w:p w:rsidRPr="007C5C4F" w:rsidR="005E3D7B" w:rsidP="007C5C4F" w14:paraId="08517864" w14:textId="5F997FD7">
      <w:pPr>
        <w:pStyle w:val="JuH1"/>
        <w:ind w:left="731" w:hanging="300"/>
        <w:jc w:val="left"/>
      </w:pPr>
      <w:r w:rsidRPr="007C5C4F">
        <w:t>The Court</w:t>
      </w:r>
      <w:r w:rsidRPr="007C5C4F" w:rsidR="007C5C4F">
        <w:t>’</w:t>
      </w:r>
      <w:r w:rsidRPr="007C5C4F">
        <w:t>s assessment</w:t>
      </w:r>
    </w:p>
    <w:p w:rsidRPr="007C5C4F" w:rsidR="005E3D7B" w:rsidP="007C5C4F" w14:paraId="38844662" w14:textId="7B75C697">
      <w:pPr>
        <w:pStyle w:val="JuPara"/>
      </w:pPr>
      <w:r w:rsidRPr="007C5C4F">
        <w:fldChar w:fldCharType="begin"/>
      </w:r>
      <w:r w:rsidRPr="007C5C4F">
        <w:instrText xml:space="preserve"> SEQ level0 \*arabic </w:instrText>
      </w:r>
      <w:r w:rsidRPr="007C5C4F">
        <w:fldChar w:fldCharType="separate"/>
      </w:r>
      <w:r w:rsidRPr="007C5C4F" w:rsidR="007C5C4F">
        <w:rPr>
          <w:noProof/>
        </w:rPr>
        <w:t>194</w:t>
      </w:r>
      <w:r w:rsidRPr="007C5C4F">
        <w:fldChar w:fldCharType="end"/>
      </w:r>
      <w:r w:rsidRPr="007C5C4F">
        <w:t>.  In determining whether there has been a violation of Article 6 § 1 of the Convention, the Court must answer the following questions: first of all, did the failure to assess whether the applicants were the victims of trafficking before they were charged and convicted of drugs-related offences raise any issue under Article 6 § 1 of the Convention; secondly, did the applicants waive their rights under that Article by pleading guilty; and lastly, were the proceedings as a whole fair?</w:t>
      </w:r>
    </w:p>
    <w:p w:rsidRPr="007C5C4F" w:rsidR="005E3D7B" w:rsidP="007C5C4F" w14:paraId="458CDDF7" w14:textId="77777777">
      <w:pPr>
        <w:pStyle w:val="JuHa0"/>
        <w:ind w:left="975" w:hanging="340"/>
      </w:pPr>
      <w:r w:rsidRPr="007C5C4F">
        <w:t>Did the failure to investigate whether the applicants were the victims of trafficking before they were charged and convicted of drugs-related offences raise any issue under Article 6?</w:t>
      </w:r>
    </w:p>
    <w:p w:rsidRPr="007C5C4F" w:rsidR="005E3D7B" w:rsidP="007C5C4F" w14:paraId="482C27B1" w14:textId="4E7AB84B">
      <w:pPr>
        <w:pStyle w:val="JuPara"/>
      </w:pPr>
      <w:r w:rsidRPr="007C5C4F">
        <w:fldChar w:fldCharType="begin"/>
      </w:r>
      <w:r w:rsidRPr="007C5C4F">
        <w:instrText xml:space="preserve"> SEQ level0 \*arabic </w:instrText>
      </w:r>
      <w:r w:rsidRPr="007C5C4F">
        <w:fldChar w:fldCharType="separate"/>
      </w:r>
      <w:r w:rsidRPr="007C5C4F" w:rsidR="007C5C4F">
        <w:rPr>
          <w:noProof/>
        </w:rPr>
        <w:t>195</w:t>
      </w:r>
      <w:r w:rsidRPr="007C5C4F">
        <w:fldChar w:fldCharType="end"/>
      </w:r>
      <w:r w:rsidRPr="007C5C4F">
        <w:t xml:space="preserve">.  The Court has repeatedly emphasised the importance of the investigation stage for the preparation of the criminal proceedings, as the evidence obtained during this stage determines the framework in which the offence charged will be considered at the trial (see </w:t>
      </w:r>
      <w:r w:rsidRPr="007C5C4F">
        <w:rPr>
          <w:i/>
        </w:rPr>
        <w:t>Salduz v. Turkey</w:t>
      </w:r>
      <w:r w:rsidRPr="007C5C4F">
        <w:t xml:space="preserve"> [GC], no. 36391/02, § 54, ECHR 2008, and </w:t>
      </w:r>
      <w:r w:rsidRPr="007C5C4F">
        <w:rPr>
          <w:i/>
        </w:rPr>
        <w:t>Dvorski v. Croatia</w:t>
      </w:r>
      <w:r w:rsidRPr="007C5C4F">
        <w:t xml:space="preserve"> [GC], no. 25703/11, § 108, ECHR 2015). It has also recognised that an accused often finds himself in a particularly vulnerable position at that stage of the proceedings, the effect of which is amplified by the fact that legislation on criminal procedure tends to become increasingly complex, notably with respect to the rules governing the gathering and use of evidence. In most cases, this particular vulnerability can only properly be compensated for by the assistance of a lawyer (see </w:t>
      </w:r>
      <w:r w:rsidRPr="007C5C4F">
        <w:rPr>
          <w:i/>
          <w:iCs/>
        </w:rPr>
        <w:t>Salduz</w:t>
      </w:r>
      <w:r w:rsidRPr="007C5C4F">
        <w:t xml:space="preserve">, cited above, </w:t>
      </w:r>
      <w:r w:rsidRPr="007C5C4F">
        <w:rPr>
          <w:rFonts w:cstheme="minorHAnsi"/>
        </w:rPr>
        <w:t>§</w:t>
      </w:r>
      <w:r w:rsidRPr="007C5C4F">
        <w:t> 54). The fairness of proceedings requires that an accused should be able to obtain the whole range of services specifically associated with legal assistance. In this regard, counsel has to be able to secure without restriction the fundamental aspects of that person</w:t>
      </w:r>
      <w:r w:rsidRPr="007C5C4F" w:rsidR="007C5C4F">
        <w:t>’</w:t>
      </w:r>
      <w:r w:rsidRPr="007C5C4F">
        <w:t xml:space="preserve">s defence: discussion of the case, organisation of the defence, collection of evidence favourable to the accused, preparation for questioning, support for an accused in distress and checking of the conditions of detention (see </w:t>
      </w:r>
      <w:r w:rsidRPr="007C5C4F">
        <w:rPr>
          <w:i/>
          <w:iCs/>
        </w:rPr>
        <w:t>Dvorski</w:t>
      </w:r>
      <w:r w:rsidRPr="007C5C4F">
        <w:t>, cited above, § 108).</w:t>
      </w:r>
    </w:p>
    <w:p w:rsidRPr="007C5C4F" w:rsidR="005E3D7B" w:rsidP="007C5C4F" w14:paraId="60FB9EC5" w14:textId="1FEB4E1C">
      <w:pPr>
        <w:pStyle w:val="JuPara"/>
      </w:pPr>
      <w:r w:rsidRPr="007C5C4F">
        <w:fldChar w:fldCharType="begin"/>
      </w:r>
      <w:r w:rsidRPr="007C5C4F">
        <w:instrText xml:space="preserve"> SEQ level0 \*arabic </w:instrText>
      </w:r>
      <w:r w:rsidRPr="007C5C4F">
        <w:fldChar w:fldCharType="separate"/>
      </w:r>
      <w:r w:rsidRPr="007C5C4F" w:rsidR="007C5C4F">
        <w:rPr>
          <w:noProof/>
        </w:rPr>
        <w:t>196</w:t>
      </w:r>
      <w:r w:rsidRPr="007C5C4F">
        <w:fldChar w:fldCharType="end"/>
      </w:r>
      <w:r w:rsidRPr="007C5C4F">
        <w:t>.  Although victims of trafficking are not immune from prosecution, an individual</w:t>
      </w:r>
      <w:r w:rsidRPr="007C5C4F" w:rsidR="007C5C4F">
        <w:t>’</w:t>
      </w:r>
      <w:r w:rsidRPr="007C5C4F">
        <w:t xml:space="preserve">s status as a victim of trafficking may affect whether there is sufficient evidence to prosecute and whether it is in the public interest to do so (see paragraph </w:t>
      </w:r>
      <w:r w:rsidRPr="007C5C4F">
        <w:fldChar w:fldCharType="begin"/>
      </w:r>
      <w:r w:rsidRPr="007C5C4F">
        <w:instrText xml:space="preserve"> REF para161 \h  \* MERGEFORMAT </w:instrText>
      </w:r>
      <w:r w:rsidRPr="007C5C4F">
        <w:fldChar w:fldCharType="separate"/>
      </w:r>
      <w:r w:rsidRPr="007C5C4F" w:rsidR="007C5C4F">
        <w:rPr>
          <w:rFonts w:eastAsia="Times New Roman"/>
          <w:noProof/>
        </w:rPr>
        <w:t>161</w:t>
      </w:r>
      <w:r w:rsidRPr="007C5C4F">
        <w:fldChar w:fldCharType="end"/>
      </w:r>
      <w:r w:rsidRPr="007C5C4F">
        <w:t xml:space="preserve"> above). Evidence concerning an accused</w:t>
      </w:r>
      <w:r w:rsidRPr="007C5C4F" w:rsidR="007C5C4F">
        <w:t>’</w:t>
      </w:r>
      <w:r w:rsidRPr="007C5C4F">
        <w:t>s status as a victim of trafficking is therefore a “fundamental aspect” of the defence which he or she should be able to secure without restriction.</w:t>
      </w:r>
    </w:p>
    <w:p w:rsidRPr="007C5C4F" w:rsidR="005E3D7B" w:rsidP="007C5C4F" w14:paraId="3006D3DE" w14:textId="50AE80F0">
      <w:pPr>
        <w:pStyle w:val="JuPara"/>
      </w:pPr>
      <w:r w:rsidRPr="007C5C4F">
        <w:fldChar w:fldCharType="begin"/>
      </w:r>
      <w:r w:rsidRPr="007C5C4F">
        <w:instrText xml:space="preserve"> SEQ level0 \*arabic </w:instrText>
      </w:r>
      <w:r w:rsidRPr="007C5C4F">
        <w:fldChar w:fldCharType="separate"/>
      </w:r>
      <w:r w:rsidRPr="007C5C4F" w:rsidR="007C5C4F">
        <w:rPr>
          <w:noProof/>
        </w:rPr>
        <w:t>197</w:t>
      </w:r>
      <w:r w:rsidRPr="007C5C4F">
        <w:fldChar w:fldCharType="end"/>
      </w:r>
      <w:r w:rsidRPr="007C5C4F">
        <w:t>.  In the present cases, it is true that the applicants</w:t>
      </w:r>
      <w:r w:rsidRPr="007C5C4F" w:rsidR="007C5C4F">
        <w:t>’</w:t>
      </w:r>
      <w:r w:rsidRPr="007C5C4F">
        <w:t xml:space="preserve"> representatives could themselves have referred the applicants to the NRM. Both applicants were legally represented from the outset, a factor generally considered by the Court to be an important safeguard against any unfairness in the proceedings. The second applicant was publicly funded (see paragraph </w:t>
      </w:r>
      <w:r w:rsidRPr="007C5C4F">
        <w:fldChar w:fldCharType="begin"/>
      </w:r>
      <w:r w:rsidRPr="007C5C4F">
        <w:instrText xml:space="preserve"> REF A225 \h  \* MERGEFORMAT </w:instrText>
      </w:r>
      <w:r w:rsidRPr="007C5C4F">
        <w:fldChar w:fldCharType="separate"/>
      </w:r>
      <w:r w:rsidRPr="007C5C4F" w:rsidR="007C5C4F">
        <w:rPr>
          <w:noProof/>
        </w:rPr>
        <w:t>25</w:t>
      </w:r>
      <w:r w:rsidRPr="007C5C4F">
        <w:fldChar w:fldCharType="end"/>
      </w:r>
      <w:r w:rsidRPr="007C5C4F">
        <w:t xml:space="preserve"> above) and although there is no evidence to this effect before the Court, it is likely that – at least initially – the first applicant also had the benefit of legal aid. Even so, in both cases the applicants</w:t>
      </w:r>
      <w:r w:rsidRPr="007C5C4F" w:rsidR="007C5C4F">
        <w:t>’</w:t>
      </w:r>
      <w:r w:rsidRPr="007C5C4F">
        <w:t xml:space="preserve"> representatives appear to have dismissed out of hand the possibility that they were victims of trafficking. In the case of the first applicant, the possibility that he was a victim of trafficking was raised both by Social Services and by Refugee and Migrant Justice (see paragraph </w:t>
      </w:r>
      <w:r w:rsidRPr="007C5C4F">
        <w:fldChar w:fldCharType="begin"/>
      </w:r>
      <w:r w:rsidRPr="007C5C4F">
        <w:instrText xml:space="preserve"> REF A1RMJ \h  \* MERGEFORMAT </w:instrText>
      </w:r>
      <w:r w:rsidRPr="007C5C4F">
        <w:fldChar w:fldCharType="separate"/>
      </w:r>
      <w:r w:rsidRPr="007C5C4F" w:rsidR="007C5C4F">
        <w:rPr>
          <w:rFonts w:eastAsiaTheme="minorEastAsia"/>
          <w:noProof/>
        </w:rPr>
        <w:t>8</w:t>
      </w:r>
      <w:r w:rsidRPr="007C5C4F">
        <w:fldChar w:fldCharType="end"/>
      </w:r>
      <w:r w:rsidRPr="007C5C4F">
        <w:t xml:space="preserve"> above); however, even after he had received the Competent Authority</w:t>
      </w:r>
      <w:r w:rsidRPr="007C5C4F" w:rsidR="007C5C4F">
        <w:t>’</w:t>
      </w:r>
      <w:r w:rsidRPr="007C5C4F">
        <w:t xml:space="preserve">s Conclusive Decision, his lawyer considered the suggestion that he change his plea to be “outrageous” since in his view the first applicant had not been trafficked (see paragraph </w:t>
      </w:r>
      <w:r w:rsidRPr="007C5C4F">
        <w:fldChar w:fldCharType="begin"/>
      </w:r>
      <w:r w:rsidRPr="007C5C4F">
        <w:instrText xml:space="preserve"> REF A116 \h  \* MERGEFORMAT </w:instrText>
      </w:r>
      <w:r w:rsidRPr="007C5C4F">
        <w:fldChar w:fldCharType="separate"/>
      </w:r>
      <w:r w:rsidRPr="007C5C4F" w:rsidR="007C5C4F">
        <w:rPr>
          <w:rFonts w:eastAsiaTheme="minorEastAsia"/>
          <w:noProof/>
        </w:rPr>
        <w:t>16</w:t>
      </w:r>
      <w:r w:rsidRPr="007C5C4F">
        <w:fldChar w:fldCharType="end"/>
      </w:r>
      <w:r w:rsidRPr="007C5C4F">
        <w:t xml:space="preserve"> above). While the second applicant</w:t>
      </w:r>
      <w:r w:rsidRPr="007C5C4F" w:rsidR="007C5C4F">
        <w:t>’</w:t>
      </w:r>
      <w:r w:rsidRPr="007C5C4F">
        <w:t xml:space="preserve">s lawyer appears also to have been alerted to the possibility that he was trafficked (see paragraph </w:t>
      </w:r>
      <w:r w:rsidRPr="007C5C4F">
        <w:fldChar w:fldCharType="begin"/>
      </w:r>
      <w:r w:rsidRPr="007C5C4F">
        <w:instrText xml:space="preserve"> REF A225 \h  \* MERGEFORMAT </w:instrText>
      </w:r>
      <w:r w:rsidRPr="007C5C4F">
        <w:fldChar w:fldCharType="separate"/>
      </w:r>
      <w:r w:rsidRPr="007C5C4F" w:rsidR="007C5C4F">
        <w:rPr>
          <w:noProof/>
        </w:rPr>
        <w:t>25</w:t>
      </w:r>
      <w:r w:rsidRPr="007C5C4F">
        <w:fldChar w:fldCharType="end"/>
      </w:r>
      <w:r w:rsidRPr="007C5C4F">
        <w:t xml:space="preserve"> above), this does not seem to have resulted in any further action by the lawyer.</w:t>
      </w:r>
    </w:p>
    <w:p w:rsidRPr="007C5C4F" w:rsidR="005E3D7B" w:rsidP="007C5C4F" w14:paraId="10FABF7F" w14:textId="6C0C546F">
      <w:pPr>
        <w:pStyle w:val="JuPara"/>
      </w:pPr>
      <w:r w:rsidRPr="007C5C4F">
        <w:fldChar w:fldCharType="begin"/>
      </w:r>
      <w:r w:rsidRPr="007C5C4F">
        <w:instrText xml:space="preserve"> SEQ level0 \*arabic </w:instrText>
      </w:r>
      <w:r w:rsidRPr="007C5C4F">
        <w:fldChar w:fldCharType="separate"/>
      </w:r>
      <w:r w:rsidRPr="007C5C4F" w:rsidR="007C5C4F">
        <w:rPr>
          <w:noProof/>
        </w:rPr>
        <w:t>198</w:t>
      </w:r>
      <w:r w:rsidRPr="007C5C4F">
        <w:fldChar w:fldCharType="end"/>
      </w:r>
      <w:r w:rsidRPr="007C5C4F">
        <w:t xml:space="preserve">.  Nevertheless, while criminal defence lawyers should undoubtedly be alert to indicators of trafficking, their failure to recognise or act upon such indicators cannot by itself absolve the State and its agents of their responsibility to do so. As already noted, at least one of the applicants was publicly funded and the Court has held, albeit in the context of Article 6 § 3 (c) of the Convention, that the competent national authorities are required to intervene in the event of a manifest failure by legal aid counsel to provide effective representation (see </w:t>
      </w:r>
      <w:r w:rsidRPr="007C5C4F">
        <w:rPr>
          <w:i/>
        </w:rPr>
        <w:t>Daud v. Portugal</w:t>
      </w:r>
      <w:r w:rsidRPr="007C5C4F">
        <w:t xml:space="preserve">, 21 April 1998, § 38, </w:t>
      </w:r>
      <w:r w:rsidRPr="007C5C4F">
        <w:rPr>
          <w:i/>
        </w:rPr>
        <w:t>Reports of Judgments and Decisions</w:t>
      </w:r>
      <w:r w:rsidRPr="007C5C4F">
        <w:t xml:space="preserve"> 1998</w:t>
      </w:r>
      <w:r w:rsidRPr="007C5C4F">
        <w:noBreakHyphen/>
        <w:t>II). Although neither applicant has relied on that Article, it is clear from this line of case-law that the State cannot hide behind the shortcomings of legal aid counsel where those shortcomings amount to a “manifest failure to provide effective representation”.</w:t>
      </w:r>
    </w:p>
    <w:p w:rsidRPr="007C5C4F" w:rsidR="005E3D7B" w:rsidP="007C5C4F" w14:paraId="7E91286D" w14:textId="6B57886D">
      <w:pPr>
        <w:pStyle w:val="JuPara"/>
      </w:pPr>
      <w:r w:rsidRPr="007C5C4F">
        <w:fldChar w:fldCharType="begin"/>
      </w:r>
      <w:r w:rsidRPr="007C5C4F">
        <w:instrText xml:space="preserve"> SEQ level0 \*arabic </w:instrText>
      </w:r>
      <w:r w:rsidRPr="007C5C4F">
        <w:fldChar w:fldCharType="separate"/>
      </w:r>
      <w:r w:rsidRPr="007C5C4F" w:rsidR="007C5C4F">
        <w:rPr>
          <w:noProof/>
        </w:rPr>
        <w:t>199</w:t>
      </w:r>
      <w:r w:rsidRPr="007C5C4F">
        <w:fldChar w:fldCharType="end"/>
      </w:r>
      <w:r w:rsidRPr="007C5C4F">
        <w:t>.  In the cases at hand, it is not necessary to determine whether the above-mentioned shortcomings of the applicants</w:t>
      </w:r>
      <w:r w:rsidRPr="007C5C4F" w:rsidR="007C5C4F">
        <w:t>’</w:t>
      </w:r>
      <w:r w:rsidRPr="007C5C4F">
        <w:t xml:space="preserve"> legal representatives reached this high threshold. In the context of Article 4 of the Convention, it is the State which is under a positive obligation both to protect victims of trafficking and to investigate situations of potential trafficking, and that positive obligation is triggered by the existence of circumstances giving rise to a credible suspicion that an individual has been trafficked and not by a complaint made by or on behalf of the potential victim (see paragraphs </w:t>
      </w:r>
      <w:r w:rsidRPr="007C5C4F">
        <w:fldChar w:fldCharType="begin"/>
      </w:r>
      <w:r w:rsidRPr="007C5C4F">
        <w:instrText xml:space="preserve"> REF para146 \h  \* MERGEFORMAT </w:instrText>
      </w:r>
      <w:r w:rsidRPr="007C5C4F">
        <w:fldChar w:fldCharType="separate"/>
      </w:r>
      <w:r w:rsidRPr="007C5C4F" w:rsidR="007C5C4F">
        <w:rPr>
          <w:noProof/>
        </w:rPr>
        <w:t>152</w:t>
      </w:r>
      <w:r w:rsidRPr="007C5C4F">
        <w:fldChar w:fldCharType="end"/>
      </w:r>
      <w:r w:rsidRPr="007C5C4F">
        <w:t xml:space="preserve"> and </w:t>
      </w:r>
      <w:r w:rsidRPr="007C5C4F">
        <w:fldChar w:fldCharType="begin"/>
      </w:r>
      <w:r w:rsidRPr="007C5C4F">
        <w:instrText xml:space="preserve"> REF para149 \h  \* MERGEFORMAT </w:instrText>
      </w:r>
      <w:r w:rsidRPr="007C5C4F">
        <w:fldChar w:fldCharType="separate"/>
      </w:r>
      <w:r w:rsidRPr="007C5C4F" w:rsidR="007C5C4F">
        <w:rPr>
          <w:noProof/>
        </w:rPr>
        <w:t>155</w:t>
      </w:r>
      <w:r w:rsidRPr="007C5C4F">
        <w:fldChar w:fldCharType="end"/>
      </w:r>
      <w:r w:rsidRPr="007C5C4F">
        <w:t xml:space="preserve"> above). The State cannot, therefore, rely on any failings by a legal representative or indeed by the failure of a defendant – especially a minor defendant – to tell the police or his legal representative that he was a victim of trafficking. As the 2009 CPS guidance itself states, child victims of trafficking are a particularly vulnerable group who may not be aware that they have been trafficked, or who may be too afraid to disclose this information to the authorities (see paragraph </w:t>
      </w:r>
      <w:r w:rsidRPr="007C5C4F">
        <w:fldChar w:fldCharType="begin"/>
      </w:r>
      <w:r w:rsidRPr="007C5C4F">
        <w:instrText xml:space="preserve"> REF CPS2 \h  \* MERGEFORMAT </w:instrText>
      </w:r>
      <w:r w:rsidRPr="007C5C4F">
        <w:fldChar w:fldCharType="separate"/>
      </w:r>
      <w:r w:rsidRPr="007C5C4F" w:rsidR="007C5C4F">
        <w:rPr>
          <w:rFonts w:eastAsiaTheme="minorEastAsia"/>
          <w:noProof/>
        </w:rPr>
        <w:t>73</w:t>
      </w:r>
      <w:r w:rsidRPr="007C5C4F">
        <w:fldChar w:fldCharType="end"/>
      </w:r>
      <w:r w:rsidRPr="007C5C4F">
        <w:t xml:space="preserve"> above). Consequently, they cannot be required to self-identify or be penalised for failing to do so.</w:t>
      </w:r>
    </w:p>
    <w:p w:rsidRPr="007C5C4F" w:rsidR="005E3D7B" w:rsidP="007C5C4F" w14:paraId="21C8CDC4" w14:textId="295A8F6F">
      <w:pPr>
        <w:pStyle w:val="JuPara"/>
      </w:pPr>
      <w:r w:rsidRPr="007C5C4F">
        <w:fldChar w:fldCharType="begin"/>
      </w:r>
      <w:r w:rsidRPr="007C5C4F">
        <w:instrText xml:space="preserve"> SEQ level0 \*arabic </w:instrText>
      </w:r>
      <w:r w:rsidRPr="007C5C4F">
        <w:fldChar w:fldCharType="separate"/>
      </w:r>
      <w:r w:rsidRPr="007C5C4F" w:rsidR="007C5C4F">
        <w:rPr>
          <w:noProof/>
        </w:rPr>
        <w:t>200</w:t>
      </w:r>
      <w:r w:rsidRPr="007C5C4F">
        <w:fldChar w:fldCharType="end"/>
      </w:r>
      <w:r w:rsidRPr="007C5C4F">
        <w:t>.  The Court has already found that the authorities</w:t>
      </w:r>
      <w:r w:rsidRPr="007C5C4F" w:rsidR="007C5C4F">
        <w:t>’</w:t>
      </w:r>
      <w:r w:rsidRPr="007C5C4F">
        <w:t xml:space="preserve"> failure to conduct a timely assessment of whether the applicants had in fact been trafficked amounted to a breach of their positive obligations under Article 4 of the Convention (see paragraphs </w:t>
      </w:r>
      <w:r w:rsidRPr="007C5C4F">
        <w:fldChar w:fldCharType="begin"/>
      </w:r>
      <w:r w:rsidRPr="007C5C4F">
        <w:instrText xml:space="preserve"> REF ConcA1 \h  \* MERGEFORMAT </w:instrText>
      </w:r>
      <w:r w:rsidRPr="007C5C4F">
        <w:fldChar w:fldCharType="separate"/>
      </w:r>
      <w:r w:rsidRPr="007C5C4F" w:rsidR="007C5C4F">
        <w:rPr>
          <w:noProof/>
          <w:lang w:bidi="en-US"/>
        </w:rPr>
        <w:t>174</w:t>
      </w:r>
      <w:r w:rsidRPr="007C5C4F">
        <w:fldChar w:fldCharType="end"/>
      </w:r>
      <w:r w:rsidRPr="007C5C4F">
        <w:t xml:space="preserve"> and </w:t>
      </w:r>
      <w:r w:rsidRPr="007C5C4F">
        <w:fldChar w:fldCharType="begin"/>
      </w:r>
      <w:r w:rsidRPr="007C5C4F">
        <w:instrText xml:space="preserve"> REF ConcA2 \h  \* MERGEFORMAT </w:instrText>
      </w:r>
      <w:r w:rsidRPr="007C5C4F">
        <w:fldChar w:fldCharType="separate"/>
      </w:r>
      <w:r w:rsidRPr="007C5C4F" w:rsidR="007C5C4F">
        <w:rPr>
          <w:noProof/>
          <w:lang w:bidi="en-US"/>
        </w:rPr>
        <w:t>183</w:t>
      </w:r>
      <w:r w:rsidRPr="007C5C4F">
        <w:fldChar w:fldCharType="end"/>
      </w:r>
      <w:r w:rsidRPr="007C5C4F">
        <w:t xml:space="preserve"> above). In the context of Article 6 of the Convention, it considers that the lack of such an assessment prevented them from securing evidence which may have constituted a fundamental aspect of their defence.</w:t>
      </w:r>
    </w:p>
    <w:p w:rsidRPr="007C5C4F" w:rsidR="005E3D7B" w:rsidP="007C5C4F" w14:paraId="2F8AAEE6" w14:textId="77777777">
      <w:pPr>
        <w:pStyle w:val="JuHa0"/>
        <w:ind w:left="975" w:hanging="340"/>
        <w:jc w:val="left"/>
      </w:pPr>
      <w:r w:rsidRPr="007C5C4F">
        <w:t>Did the applicants waive their rights under Article 6 of the Convention?</w:t>
      </w:r>
    </w:p>
    <w:p w:rsidRPr="007C5C4F" w:rsidR="005E3D7B" w:rsidP="007C5C4F" w14:paraId="76646719" w14:textId="6BC6D669">
      <w:pPr>
        <w:pStyle w:val="JuPara"/>
      </w:pPr>
      <w:r w:rsidRPr="007C5C4F">
        <w:fldChar w:fldCharType="begin"/>
      </w:r>
      <w:r w:rsidRPr="007C5C4F">
        <w:instrText xml:space="preserve"> SEQ level0 \*arabic </w:instrText>
      </w:r>
      <w:r w:rsidRPr="007C5C4F">
        <w:fldChar w:fldCharType="separate"/>
      </w:r>
      <w:r w:rsidRPr="007C5C4F" w:rsidR="007C5C4F">
        <w:rPr>
          <w:noProof/>
        </w:rPr>
        <w:t>201</w:t>
      </w:r>
      <w:r w:rsidRPr="007C5C4F">
        <w:fldChar w:fldCharType="end"/>
      </w:r>
      <w:r w:rsidRPr="007C5C4F">
        <w:t xml:space="preserve">.  It is true that neither the letter nor the spirit of Article 6 of the Convention prevents a person from waiving of his own free will, either expressly or tacitly, the entitlement to the guarantees of a fair trial. However, such a waiver must, if it is to be effective for Convention purposes, be established in an unequivocal manner; it must not run counter to any important public interest; and it must be attended by minimum safeguards commensurate with its importance (see </w:t>
      </w:r>
      <w:r w:rsidRPr="007C5C4F">
        <w:rPr>
          <w:i/>
          <w:iCs/>
        </w:rPr>
        <w:t>Poitrimol v. France</w:t>
      </w:r>
      <w:r w:rsidRPr="007C5C4F">
        <w:t xml:space="preserve">, 23 November 1993, § 31, Series A no. 277-A; </w:t>
      </w:r>
      <w:r w:rsidRPr="007C5C4F">
        <w:rPr>
          <w:i/>
        </w:rPr>
        <w:t>Hermi v. Italy</w:t>
      </w:r>
      <w:r w:rsidRPr="007C5C4F">
        <w:t xml:space="preserve"> [GC], no. 18114/02, § 73, ECHR 2006</w:t>
      </w:r>
      <w:r w:rsidRPr="007C5C4F">
        <w:noBreakHyphen/>
        <w:t xml:space="preserve">XII; </w:t>
      </w:r>
      <w:r w:rsidRPr="007C5C4F">
        <w:rPr>
          <w:i/>
        </w:rPr>
        <w:t>Sejdovic v. Italy</w:t>
      </w:r>
      <w:r w:rsidRPr="007C5C4F">
        <w:t xml:space="preserve"> [GC], no. 56581/00, § 86, ECHR 2006</w:t>
      </w:r>
      <w:r w:rsidRPr="007C5C4F">
        <w:noBreakHyphen/>
        <w:t xml:space="preserve">II; and </w:t>
      </w:r>
      <w:r w:rsidRPr="007C5C4F">
        <w:rPr>
          <w:i/>
        </w:rPr>
        <w:t>Dvorski</w:t>
      </w:r>
      <w:r w:rsidRPr="007C5C4F">
        <w:t xml:space="preserve">, cited above, § 100). In addition, it must not be tainted by constraint (see </w:t>
      </w:r>
      <w:r w:rsidRPr="007C5C4F">
        <w:rPr>
          <w:i/>
        </w:rPr>
        <w:t>Deweer v. Belgium</w:t>
      </w:r>
      <w:r w:rsidRPr="007C5C4F">
        <w:t xml:space="preserve">, 27 February 1980, §§ 52-54, Series A no. 35). In the context of plea bargains, the Court has held that by not contesting a criminal charge, an applicant may waive his right to have the criminal case against him examined on the merits. However, a decision to accept a plea bargain should be accompanied by the following conditions: (a) the bargain must be accepted in full awareness of the facts of the case and the legal consequences and in a genuinely voluntary manner; and (b) the content of the bargain and the fairness of the manner in which it had been reached between the parties must be subject to sufficient judicial review (see </w:t>
      </w:r>
      <w:r w:rsidRPr="007C5C4F">
        <w:rPr>
          <w:i/>
        </w:rPr>
        <w:t>Natsvlishvili and Togonidze</w:t>
      </w:r>
      <w:r w:rsidRPr="007C5C4F">
        <w:rPr>
          <w:i/>
          <w:iCs/>
        </w:rPr>
        <w:t xml:space="preserve"> </w:t>
      </w:r>
      <w:r w:rsidRPr="007C5C4F">
        <w:rPr>
          <w:i/>
        </w:rPr>
        <w:t>v. Georgia</w:t>
      </w:r>
      <w:r w:rsidRPr="007C5C4F">
        <w:t>, no. 9043/05, § 92, ECHR 2014).</w:t>
      </w:r>
    </w:p>
    <w:p w:rsidRPr="007C5C4F" w:rsidR="005E3D7B" w:rsidP="007C5C4F" w14:paraId="04D4171B" w14:textId="55DC3E19">
      <w:pPr>
        <w:pStyle w:val="JuPara"/>
      </w:pPr>
      <w:r w:rsidRPr="007C5C4F">
        <w:fldChar w:fldCharType="begin"/>
      </w:r>
      <w:r w:rsidRPr="007C5C4F">
        <w:instrText xml:space="preserve"> SEQ level0 \*arabic </w:instrText>
      </w:r>
      <w:r w:rsidRPr="007C5C4F">
        <w:fldChar w:fldCharType="separate"/>
      </w:r>
      <w:r w:rsidRPr="007C5C4F" w:rsidR="007C5C4F">
        <w:rPr>
          <w:noProof/>
        </w:rPr>
        <w:t>202</w:t>
      </w:r>
      <w:r w:rsidRPr="007C5C4F">
        <w:fldChar w:fldCharType="end"/>
      </w:r>
      <w:r w:rsidRPr="007C5C4F">
        <w:t>.  In the cases at hand, the applicants</w:t>
      </w:r>
      <w:r w:rsidRPr="007C5C4F" w:rsidR="007C5C4F">
        <w:t>’</w:t>
      </w:r>
      <w:r w:rsidRPr="007C5C4F">
        <w:t xml:space="preserve"> guilty pleas were undoubtedly “unequivocal” and as they were legally represented they were almost certainly made aware that there would be no examination of the merits of their cases if they pleaded guilty. However, in the absence of any assessment of whether they were trafficked and, if so, whether that fact could have any impact on their criminal liability, those pleas were not made “in full awareness of the facts”. Furthermore, given that trafficking threatens the human dignity and fundamental freedoms of its victims and is not compatible with a democratic society and the values expounded in the Convention (see </w:t>
      </w:r>
      <w:r w:rsidRPr="007C5C4F">
        <w:rPr>
          <w:i/>
          <w:iCs/>
        </w:rPr>
        <w:t>Rantsev</w:t>
      </w:r>
      <w:r w:rsidRPr="007C5C4F">
        <w:t>, cited above, § 282), in the absence of any such assessment any waiver of rights by the applicants would have run counter to the important public interest in combating trafficking and protecting its victims.</w:t>
      </w:r>
    </w:p>
    <w:p w:rsidRPr="007C5C4F" w:rsidR="005E3D7B" w:rsidP="007C5C4F" w14:paraId="5787255F" w14:textId="2E6B5F09">
      <w:pPr>
        <w:pStyle w:val="JuPara"/>
      </w:pPr>
      <w:r w:rsidRPr="007C5C4F">
        <w:fldChar w:fldCharType="begin"/>
      </w:r>
      <w:r w:rsidRPr="007C5C4F">
        <w:instrText xml:space="preserve"> SEQ level0 \*arabic </w:instrText>
      </w:r>
      <w:r w:rsidRPr="007C5C4F">
        <w:fldChar w:fldCharType="separate"/>
      </w:r>
      <w:r w:rsidRPr="007C5C4F" w:rsidR="007C5C4F">
        <w:rPr>
          <w:noProof/>
        </w:rPr>
        <w:t>203</w:t>
      </w:r>
      <w:r w:rsidRPr="007C5C4F">
        <w:fldChar w:fldCharType="end"/>
      </w:r>
      <w:r w:rsidRPr="007C5C4F">
        <w:t xml:space="preserve">.  It is true that following receipt of the Conclusive Decision the trial judge gave the first applicant an opportunity to apply to vacate his plea (see paragraph </w:t>
      </w:r>
      <w:r w:rsidRPr="007C5C4F">
        <w:fldChar w:fldCharType="begin"/>
      </w:r>
      <w:r w:rsidRPr="007C5C4F">
        <w:instrText xml:space="preserve"> REF A115 \h  \* MERGEFORMAT </w:instrText>
      </w:r>
      <w:r w:rsidRPr="007C5C4F">
        <w:fldChar w:fldCharType="separate"/>
      </w:r>
      <w:r w:rsidRPr="007C5C4F" w:rsidR="007C5C4F">
        <w:rPr>
          <w:rFonts w:eastAsiaTheme="minorEastAsia"/>
          <w:noProof/>
        </w:rPr>
        <w:t>15</w:t>
      </w:r>
      <w:r w:rsidRPr="007C5C4F">
        <w:fldChar w:fldCharType="end"/>
      </w:r>
      <w:r w:rsidRPr="007C5C4F">
        <w:t xml:space="preserve"> above), and that the first applicant decided not to do so. This decision was taken on the advice of his legal representative, who told him that even if such an application were successful the CPS would not withdraw the prosecution. He was also told that any judicial review of the decision to prosecute would have little prospect of success (see paragraph </w:t>
      </w:r>
      <w:r w:rsidRPr="007C5C4F">
        <w:fldChar w:fldCharType="begin"/>
      </w:r>
      <w:r w:rsidRPr="007C5C4F">
        <w:instrText xml:space="preserve"> REF A117 \h  \* MERGEFORMAT </w:instrText>
      </w:r>
      <w:r w:rsidRPr="007C5C4F">
        <w:fldChar w:fldCharType="separate"/>
      </w:r>
      <w:r w:rsidRPr="007C5C4F" w:rsidR="007C5C4F">
        <w:rPr>
          <w:rFonts w:eastAsiaTheme="minorEastAsia"/>
          <w:noProof/>
        </w:rPr>
        <w:t>17</w:t>
      </w:r>
      <w:r w:rsidRPr="007C5C4F">
        <w:fldChar w:fldCharType="end"/>
      </w:r>
      <w:r w:rsidRPr="007C5C4F">
        <w:t xml:space="preserve"> above). In the Court</w:t>
      </w:r>
      <w:r w:rsidRPr="007C5C4F" w:rsidR="007C5C4F">
        <w:t>’</w:t>
      </w:r>
      <w:r w:rsidRPr="007C5C4F">
        <w:t>s view, the first applicant, being a minor who was arrested and prosecuted within a foreign criminal justice system, and who had already pleaded guilty to a criminal offence in circumstances which did not amount to a waiver of his Article 6 rights, cannot be said to have subsequently waived those rights by deciding not to pursue applications against the robust advice of his legal representative.</w:t>
      </w:r>
    </w:p>
    <w:p w:rsidRPr="007C5C4F" w:rsidR="005E3D7B" w:rsidP="007C5C4F" w14:paraId="76B1A10C" w14:textId="2F8224C0">
      <w:pPr>
        <w:pStyle w:val="JuPara"/>
      </w:pPr>
      <w:r w:rsidRPr="007C5C4F">
        <w:fldChar w:fldCharType="begin"/>
      </w:r>
      <w:r w:rsidRPr="007C5C4F">
        <w:instrText xml:space="preserve"> SEQ level0 \*arabic </w:instrText>
      </w:r>
      <w:r w:rsidRPr="007C5C4F">
        <w:fldChar w:fldCharType="separate"/>
      </w:r>
      <w:r w:rsidRPr="007C5C4F" w:rsidR="007C5C4F">
        <w:rPr>
          <w:noProof/>
        </w:rPr>
        <w:t>204</w:t>
      </w:r>
      <w:r w:rsidRPr="007C5C4F">
        <w:fldChar w:fldCharType="end"/>
      </w:r>
      <w:r w:rsidRPr="007C5C4F">
        <w:t>.  The Court does not, therefore, consider that the applicants waived their rights under Article 6 § 1 of the Convention.</w:t>
      </w:r>
    </w:p>
    <w:p w:rsidRPr="007C5C4F" w:rsidR="005E3D7B" w:rsidP="007C5C4F" w14:paraId="177C4D03" w14:textId="77777777">
      <w:pPr>
        <w:pStyle w:val="JuHa0"/>
        <w:ind w:left="975" w:hanging="340"/>
        <w:jc w:val="left"/>
      </w:pPr>
      <w:r w:rsidRPr="007C5C4F">
        <w:t>Whether the fairness of the proceedings as a whole was prejudiced</w:t>
      </w:r>
    </w:p>
    <w:p w:rsidRPr="007C5C4F" w:rsidR="005E3D7B" w:rsidP="007C5C4F" w14:paraId="16A3251D" w14:textId="7BC7137B">
      <w:pPr>
        <w:pStyle w:val="JuPara"/>
      </w:pPr>
      <w:r w:rsidRPr="007C5C4F">
        <w:fldChar w:fldCharType="begin"/>
      </w:r>
      <w:r w:rsidRPr="007C5C4F">
        <w:instrText xml:space="preserve"> SEQ level0 \*arabic </w:instrText>
      </w:r>
      <w:r w:rsidRPr="007C5C4F">
        <w:fldChar w:fldCharType="separate"/>
      </w:r>
      <w:r w:rsidRPr="007C5C4F" w:rsidR="007C5C4F">
        <w:rPr>
          <w:noProof/>
        </w:rPr>
        <w:t>205</w:t>
      </w:r>
      <w:r w:rsidRPr="007C5C4F">
        <w:fldChar w:fldCharType="end"/>
      </w:r>
      <w:r w:rsidRPr="007C5C4F">
        <w:t xml:space="preserve">.  As the Court has found on numerous occasions, compliance with the requirements of a fair trial must be examined in each case having regard to the development of the proceedings as a whole and not on the basis of an isolated consideration of one particular aspect or one particular incident, although it cannot be ruled out that a specific factor may be so decisive as to enable the fairness of the trial to be assessed at an earlier stage in the proceedings (see, for example, </w:t>
      </w:r>
      <w:r w:rsidRPr="007C5C4F">
        <w:rPr>
          <w:i/>
        </w:rPr>
        <w:t>Beuze v. Belgium</w:t>
      </w:r>
      <w:r w:rsidRPr="007C5C4F">
        <w:t xml:space="preserve"> [GC], no. 71409/10, § 121, 9 November 2018).</w:t>
      </w:r>
    </w:p>
    <w:p w:rsidRPr="007C5C4F" w:rsidR="005E3D7B" w:rsidP="007C5C4F" w14:paraId="0BD385C8" w14:textId="1FD24929">
      <w:pPr>
        <w:pStyle w:val="JuPara"/>
      </w:pPr>
      <w:r w:rsidRPr="007C5C4F">
        <w:fldChar w:fldCharType="begin"/>
      </w:r>
      <w:r w:rsidRPr="007C5C4F">
        <w:instrText xml:space="preserve"> SEQ level0 \*arabic </w:instrText>
      </w:r>
      <w:r w:rsidRPr="007C5C4F">
        <w:fldChar w:fldCharType="separate"/>
      </w:r>
      <w:r w:rsidRPr="007C5C4F" w:rsidR="007C5C4F">
        <w:rPr>
          <w:noProof/>
        </w:rPr>
        <w:t>206</w:t>
      </w:r>
      <w:r w:rsidRPr="007C5C4F">
        <w:fldChar w:fldCharType="end"/>
      </w:r>
      <w:r w:rsidRPr="007C5C4F">
        <w:t>.  In this regard, the Court observes that even though the applicants had pleaded guilty to the offences charged, the CPS nevertheless reviewed its decision to prosecute them after the Competent Authority had recognised them as victims of trafficking. In addition, they were both subsequently granted permission to appeal out of time and the first applicant</w:t>
      </w:r>
      <w:r w:rsidRPr="007C5C4F" w:rsidR="007C5C4F">
        <w:t>’</w:t>
      </w:r>
      <w:r w:rsidRPr="007C5C4F">
        <w:t xml:space="preserve">s case was referred back to the Court of Appeal by the </w:t>
      </w:r>
      <w:r w:rsidRPr="007C5C4F">
        <w:rPr>
          <w:rFonts w:eastAsiaTheme="minorEastAsia"/>
        </w:rPr>
        <w:t>Criminal Cases Review Commission</w:t>
      </w:r>
      <w:r w:rsidRPr="007C5C4F">
        <w:t xml:space="preserve"> for a further appeal.</w:t>
      </w:r>
    </w:p>
    <w:p w:rsidRPr="007C5C4F" w:rsidR="005E3D7B" w:rsidP="007C5C4F" w14:paraId="4CBFFEA1" w14:textId="23D778EA">
      <w:pPr>
        <w:pStyle w:val="JuPara"/>
      </w:pPr>
      <w:r w:rsidRPr="007C5C4F">
        <w:fldChar w:fldCharType="begin"/>
      </w:r>
      <w:r w:rsidRPr="007C5C4F">
        <w:instrText xml:space="preserve"> SEQ level0 \*arabic </w:instrText>
      </w:r>
      <w:r w:rsidRPr="007C5C4F">
        <w:fldChar w:fldCharType="separate"/>
      </w:r>
      <w:r w:rsidRPr="007C5C4F" w:rsidR="007C5C4F">
        <w:rPr>
          <w:noProof/>
        </w:rPr>
        <w:t>207</w:t>
      </w:r>
      <w:r w:rsidRPr="007C5C4F">
        <w:fldChar w:fldCharType="end"/>
      </w:r>
      <w:r w:rsidRPr="007C5C4F">
        <w:t xml:space="preserve">.  However, as the Court has already noted, in respect of both applicants the reasons given by the CPS for disagreeing with the Competent Authority were wholly inadequate. In so far as any reasons were given, they were not consistent with the definition of trafficking contained in the Palermo Protocol and the Anti-Trafficking Convention (see paragraphs </w:t>
      </w:r>
      <w:r w:rsidRPr="007C5C4F">
        <w:fldChar w:fldCharType="begin"/>
      </w:r>
      <w:r w:rsidRPr="007C5C4F">
        <w:instrText xml:space="preserve"> REF para169 \h  \* MERGEFORMAT </w:instrText>
      </w:r>
      <w:r w:rsidRPr="007C5C4F">
        <w:fldChar w:fldCharType="separate"/>
      </w:r>
      <w:r w:rsidRPr="007C5C4F" w:rsidR="007C5C4F">
        <w:rPr>
          <w:noProof/>
          <w:lang w:bidi="en-US"/>
        </w:rPr>
        <w:t>170</w:t>
      </w:r>
      <w:r w:rsidRPr="007C5C4F">
        <w:fldChar w:fldCharType="end"/>
      </w:r>
      <w:r w:rsidRPr="007C5C4F">
        <w:t xml:space="preserve">, </w:t>
      </w:r>
      <w:r w:rsidRPr="007C5C4F">
        <w:fldChar w:fldCharType="begin"/>
      </w:r>
      <w:r w:rsidRPr="007C5C4F">
        <w:instrText xml:space="preserve"> REF para171 \h  \* MERGEFORMAT </w:instrText>
      </w:r>
      <w:r w:rsidRPr="007C5C4F">
        <w:fldChar w:fldCharType="separate"/>
      </w:r>
      <w:r w:rsidRPr="007C5C4F" w:rsidR="007C5C4F">
        <w:rPr>
          <w:noProof/>
          <w:lang w:bidi="en-US"/>
        </w:rPr>
        <w:t>172</w:t>
      </w:r>
      <w:r w:rsidRPr="007C5C4F">
        <w:fldChar w:fldCharType="end"/>
      </w:r>
      <w:r w:rsidRPr="007C5C4F">
        <w:t xml:space="preserve"> and </w:t>
      </w:r>
      <w:r w:rsidRPr="007C5C4F">
        <w:fldChar w:fldCharType="begin"/>
      </w:r>
      <w:r w:rsidRPr="007C5C4F">
        <w:instrText xml:space="preserve"> REF para176 \h  \* MERGEFORMAT </w:instrText>
      </w:r>
      <w:r w:rsidRPr="007C5C4F">
        <w:fldChar w:fldCharType="separate"/>
      </w:r>
      <w:r w:rsidRPr="007C5C4F" w:rsidR="007C5C4F">
        <w:rPr>
          <w:noProof/>
          <w:lang w:bidi="en-US"/>
        </w:rPr>
        <w:t>177</w:t>
      </w:r>
      <w:r w:rsidRPr="007C5C4F">
        <w:fldChar w:fldCharType="end"/>
      </w:r>
      <w:r w:rsidRPr="007C5C4F">
        <w:t>-</w:t>
      </w:r>
      <w:r w:rsidRPr="007C5C4F">
        <w:fldChar w:fldCharType="begin"/>
      </w:r>
      <w:r w:rsidRPr="007C5C4F">
        <w:instrText xml:space="preserve"> REF para180 \h  \* MERGEFORMAT </w:instrText>
      </w:r>
      <w:r w:rsidRPr="007C5C4F">
        <w:fldChar w:fldCharType="separate"/>
      </w:r>
      <w:r w:rsidRPr="007C5C4F" w:rsidR="007C5C4F">
        <w:rPr>
          <w:noProof/>
          <w:lang w:bidi="en-US"/>
        </w:rPr>
        <w:t>181</w:t>
      </w:r>
      <w:r w:rsidRPr="007C5C4F">
        <w:fldChar w:fldCharType="end"/>
      </w:r>
      <w:r w:rsidRPr="007C5C4F">
        <w:t xml:space="preserve"> above).</w:t>
      </w:r>
    </w:p>
    <w:p w:rsidRPr="007C5C4F" w:rsidR="005E3D7B" w:rsidP="007C5C4F" w14:paraId="7C98506F" w14:textId="6471C710">
      <w:pPr>
        <w:pStyle w:val="JuPara"/>
      </w:pPr>
      <w:r w:rsidRPr="007C5C4F">
        <w:fldChar w:fldCharType="begin"/>
      </w:r>
      <w:r w:rsidRPr="007C5C4F">
        <w:instrText xml:space="preserve"> SEQ level0 \*arabic </w:instrText>
      </w:r>
      <w:r w:rsidRPr="007C5C4F">
        <w:fldChar w:fldCharType="separate"/>
      </w:r>
      <w:r w:rsidRPr="007C5C4F" w:rsidR="007C5C4F">
        <w:rPr>
          <w:noProof/>
        </w:rPr>
        <w:t>208</w:t>
      </w:r>
      <w:r w:rsidRPr="007C5C4F">
        <w:fldChar w:fldCharType="end"/>
      </w:r>
      <w:r w:rsidRPr="007C5C4F">
        <w:t>.  Moreover, on both occasions the Court of Appeal was primarily concerned with whether there had been a misapplication of prosecutorial discretion sufficient for the decision to prosecute to have been an abuse of process, and in dismissing the applicants</w:t>
      </w:r>
      <w:r w:rsidRPr="007C5C4F" w:rsidR="007C5C4F">
        <w:t>’</w:t>
      </w:r>
      <w:r w:rsidRPr="007C5C4F">
        <w:t xml:space="preserve"> appeals it relied on the same reasons which had been advanced by the CPS, and which the Court has already found to be inconsistent with the definition of trafficking in international law (see paragraphs </w:t>
      </w:r>
      <w:r w:rsidRPr="007C5C4F">
        <w:fldChar w:fldCharType="begin"/>
      </w:r>
      <w:r w:rsidRPr="007C5C4F">
        <w:instrText xml:space="preserve"> REF para169 \h  \* MERGEFORMAT </w:instrText>
      </w:r>
      <w:r w:rsidRPr="007C5C4F">
        <w:fldChar w:fldCharType="separate"/>
      </w:r>
      <w:r w:rsidRPr="007C5C4F" w:rsidR="007C5C4F">
        <w:rPr>
          <w:noProof/>
          <w:lang w:bidi="en-US"/>
        </w:rPr>
        <w:t>170</w:t>
      </w:r>
      <w:r w:rsidRPr="007C5C4F">
        <w:fldChar w:fldCharType="end"/>
      </w:r>
      <w:r w:rsidRPr="007C5C4F">
        <w:t xml:space="preserve">, </w:t>
      </w:r>
      <w:r w:rsidRPr="007C5C4F">
        <w:fldChar w:fldCharType="begin"/>
      </w:r>
      <w:r w:rsidRPr="007C5C4F">
        <w:instrText xml:space="preserve"> REF para171 \h  \* MERGEFORMAT </w:instrText>
      </w:r>
      <w:r w:rsidRPr="007C5C4F">
        <w:fldChar w:fldCharType="separate"/>
      </w:r>
      <w:r w:rsidRPr="007C5C4F" w:rsidR="007C5C4F">
        <w:rPr>
          <w:noProof/>
          <w:lang w:bidi="en-US"/>
        </w:rPr>
        <w:t>172</w:t>
      </w:r>
      <w:r w:rsidRPr="007C5C4F">
        <w:fldChar w:fldCharType="end"/>
      </w:r>
      <w:r w:rsidRPr="007C5C4F">
        <w:t xml:space="preserve"> and </w:t>
      </w:r>
      <w:r w:rsidRPr="007C5C4F">
        <w:fldChar w:fldCharType="begin"/>
      </w:r>
      <w:r w:rsidRPr="007C5C4F">
        <w:instrText xml:space="preserve"> REF para176 \h  \* MERGEFORMAT </w:instrText>
      </w:r>
      <w:r w:rsidRPr="007C5C4F">
        <w:fldChar w:fldCharType="separate"/>
      </w:r>
      <w:r w:rsidRPr="007C5C4F" w:rsidR="007C5C4F">
        <w:rPr>
          <w:noProof/>
          <w:lang w:bidi="en-US"/>
        </w:rPr>
        <w:t>177</w:t>
      </w:r>
      <w:r w:rsidRPr="007C5C4F">
        <w:fldChar w:fldCharType="end"/>
      </w:r>
      <w:r w:rsidRPr="007C5C4F">
        <w:t>-</w:t>
      </w:r>
      <w:r w:rsidRPr="007C5C4F">
        <w:fldChar w:fldCharType="begin"/>
      </w:r>
      <w:r w:rsidRPr="007C5C4F">
        <w:instrText xml:space="preserve"> REF para180 \h  \* MERGEFORMAT </w:instrText>
      </w:r>
      <w:r w:rsidRPr="007C5C4F">
        <w:fldChar w:fldCharType="separate"/>
      </w:r>
      <w:r w:rsidRPr="007C5C4F" w:rsidR="007C5C4F">
        <w:rPr>
          <w:noProof/>
          <w:lang w:bidi="en-US"/>
        </w:rPr>
        <w:t>181</w:t>
      </w:r>
      <w:r w:rsidRPr="007C5C4F">
        <w:fldChar w:fldCharType="end"/>
      </w:r>
      <w:r w:rsidRPr="007C5C4F">
        <w:t xml:space="preserve"> above). Although the applicants had relied on Article 4 of the Convention it did not consider their cases through the prism of the State</w:t>
      </w:r>
      <w:r w:rsidRPr="007C5C4F" w:rsidR="007C5C4F">
        <w:t>’</w:t>
      </w:r>
      <w:r w:rsidRPr="007C5C4F">
        <w:t xml:space="preserve">s positive obligations under that Article. On the contrary, it restricted itself to a relatively narrow review; in dismissing the appeals by both applicants the Court of Appeal made it clear that a defendant was provided with one opportunity to give instructions to his or her legal advisers and that it would only be “in the most exceptional cases” that the court would consider it appropriate to allow the defendant to advance fresh instructions about the facts for the purposes of an appeal against conviction (see paragraph </w:t>
      </w:r>
      <w:r w:rsidRPr="007C5C4F">
        <w:fldChar w:fldCharType="begin"/>
      </w:r>
      <w:r w:rsidRPr="007C5C4F">
        <w:instrText xml:space="preserve"> REF para50 \h  \* MERGEFORMAT </w:instrText>
      </w:r>
      <w:r w:rsidRPr="007C5C4F">
        <w:fldChar w:fldCharType="separate"/>
      </w:r>
      <w:r w:rsidRPr="007C5C4F" w:rsidR="007C5C4F">
        <w:rPr>
          <w:noProof/>
        </w:rPr>
        <w:t>50</w:t>
      </w:r>
      <w:r w:rsidRPr="007C5C4F">
        <w:fldChar w:fldCharType="end"/>
      </w:r>
      <w:r w:rsidRPr="007C5C4F">
        <w:t xml:space="preserve"> above). In the Court</w:t>
      </w:r>
      <w:r w:rsidRPr="007C5C4F" w:rsidR="007C5C4F">
        <w:t>’</w:t>
      </w:r>
      <w:r w:rsidRPr="007C5C4F">
        <w:t>s view, such an approach would in effect penalise victims of trafficking for not initially identifying themselves as such and allow the authorities to rely on their own failure to fulfil their duty under Article 4 of the Convention to take operational measures to protect them. Consequently, the Court does not consider that the appeal proceedings cured the defects in the proceedings which led to the applicants</w:t>
      </w:r>
      <w:r w:rsidRPr="007C5C4F" w:rsidR="007C5C4F">
        <w:t>’</w:t>
      </w:r>
      <w:r w:rsidRPr="007C5C4F">
        <w:t xml:space="preserve"> charging and eventual conviction.</w:t>
      </w:r>
    </w:p>
    <w:p w:rsidRPr="007C5C4F" w:rsidR="005E3D7B" w:rsidP="007C5C4F" w14:paraId="7A52AC61" w14:textId="299D9429">
      <w:pPr>
        <w:pStyle w:val="JuPara"/>
      </w:pPr>
      <w:r w:rsidRPr="007C5C4F">
        <w:fldChar w:fldCharType="begin"/>
      </w:r>
      <w:r w:rsidRPr="007C5C4F">
        <w:instrText xml:space="preserve"> SEQ level0 \*arabic </w:instrText>
      </w:r>
      <w:r w:rsidRPr="007C5C4F">
        <w:fldChar w:fldCharType="separate"/>
      </w:r>
      <w:r w:rsidRPr="007C5C4F" w:rsidR="007C5C4F">
        <w:rPr>
          <w:noProof/>
        </w:rPr>
        <w:t>209</w:t>
      </w:r>
      <w:r w:rsidRPr="007C5C4F">
        <w:fldChar w:fldCharType="end"/>
      </w:r>
      <w:r w:rsidRPr="007C5C4F">
        <w:t>.  The foregoing considerations are sufficient to enable the Court to conclude that in respect of both applicants the proceedings as a whole could not be considered “fair”.</w:t>
      </w:r>
    </w:p>
    <w:p w:rsidRPr="007C5C4F" w:rsidR="005E3D7B" w:rsidP="007C5C4F" w14:paraId="50AC0165" w14:textId="561ED27D">
      <w:pPr>
        <w:pStyle w:val="JuPara"/>
      </w:pPr>
      <w:r w:rsidRPr="007C5C4F">
        <w:fldChar w:fldCharType="begin"/>
      </w:r>
      <w:r w:rsidRPr="007C5C4F">
        <w:instrText xml:space="preserve"> SEQ level0 \*arabic </w:instrText>
      </w:r>
      <w:r w:rsidRPr="007C5C4F">
        <w:fldChar w:fldCharType="separate"/>
      </w:r>
      <w:r w:rsidRPr="007C5C4F" w:rsidR="007C5C4F">
        <w:rPr>
          <w:noProof/>
        </w:rPr>
        <w:t>210</w:t>
      </w:r>
      <w:r w:rsidRPr="007C5C4F">
        <w:fldChar w:fldCharType="end"/>
      </w:r>
      <w:r w:rsidRPr="007C5C4F">
        <w:t xml:space="preserve">.  There has accordingly been a violation of Article 6 </w:t>
      </w:r>
      <w:r w:rsidRPr="007C5C4F">
        <w:rPr>
          <w:rFonts w:cstheme="minorHAnsi"/>
        </w:rPr>
        <w:t xml:space="preserve">§ </w:t>
      </w:r>
      <w:r w:rsidRPr="007C5C4F">
        <w:t>1 of the Convention.</w:t>
      </w:r>
    </w:p>
    <w:p w:rsidRPr="007C5C4F" w:rsidR="005E3D7B" w:rsidP="007C5C4F" w14:paraId="71BE58C7" w14:textId="77777777">
      <w:pPr>
        <w:pStyle w:val="JuHIRoman"/>
        <w:tabs>
          <w:tab w:val="clear" w:pos="454"/>
          <w:tab w:val="clear" w:pos="567"/>
          <w:tab w:val="clear" w:pos="680"/>
        </w:tabs>
        <w:ind w:left="357" w:hanging="357"/>
      </w:pPr>
      <w:r w:rsidRPr="007C5C4F">
        <w:t>alleged violation of article 14 READ TOGETHER WITH ARTICLE 6 OF THE CONVENTION</w:t>
      </w:r>
    </w:p>
    <w:p w:rsidRPr="007C5C4F" w:rsidR="005E3D7B" w:rsidP="007C5C4F" w14:paraId="2E60C95F" w14:textId="7FE5CF7A">
      <w:pPr>
        <w:pStyle w:val="JuPara"/>
      </w:pPr>
      <w:r w:rsidRPr="007C5C4F">
        <w:fldChar w:fldCharType="begin"/>
      </w:r>
      <w:r w:rsidRPr="007C5C4F">
        <w:instrText xml:space="preserve"> SEQ level0 \*arabic </w:instrText>
      </w:r>
      <w:r w:rsidRPr="007C5C4F">
        <w:fldChar w:fldCharType="separate"/>
      </w:r>
      <w:r w:rsidRPr="007C5C4F" w:rsidR="007C5C4F">
        <w:rPr>
          <w:noProof/>
        </w:rPr>
        <w:t>211</w:t>
      </w:r>
      <w:r w:rsidRPr="007C5C4F">
        <w:fldChar w:fldCharType="end"/>
      </w:r>
      <w:r w:rsidRPr="007C5C4F">
        <w:t>.  The second applicant also complained that there had been a breach of Article 14 read together with Article 6 of the Convention. In this regard he contended that as a victim of trafficking exploited for the purposes of producing illegal drugs, he had been treated differently from victims of trafficking exploited for other criminal purposes.</w:t>
      </w:r>
    </w:p>
    <w:p w:rsidRPr="007C5C4F" w:rsidR="005E3D7B" w:rsidP="007C5C4F" w14:paraId="521A1DBF" w14:textId="23C82870">
      <w:pPr>
        <w:pStyle w:val="JuPara"/>
      </w:pPr>
      <w:r w:rsidRPr="007C5C4F">
        <w:fldChar w:fldCharType="begin"/>
      </w:r>
      <w:r w:rsidRPr="007C5C4F">
        <w:instrText xml:space="preserve"> SEQ level0 \*arabic </w:instrText>
      </w:r>
      <w:r w:rsidRPr="007C5C4F">
        <w:fldChar w:fldCharType="separate"/>
      </w:r>
      <w:r w:rsidRPr="007C5C4F" w:rsidR="007C5C4F">
        <w:rPr>
          <w:noProof/>
        </w:rPr>
        <w:t>212</w:t>
      </w:r>
      <w:r w:rsidRPr="007C5C4F">
        <w:fldChar w:fldCharType="end"/>
      </w:r>
      <w:r w:rsidRPr="007C5C4F">
        <w:t>.  However, this complaint had not been raised either expressly or in substance before the domestic courts and as such, domestic remedies cannot be said to have been exhausted.</w:t>
      </w:r>
    </w:p>
    <w:p w:rsidRPr="007C5C4F" w:rsidR="005E3D7B" w:rsidP="007C5C4F" w14:paraId="4EF4193A" w14:textId="3C43CC38">
      <w:pPr>
        <w:pStyle w:val="JuPara"/>
      </w:pPr>
      <w:r w:rsidRPr="007C5C4F">
        <w:fldChar w:fldCharType="begin"/>
      </w:r>
      <w:r w:rsidRPr="007C5C4F">
        <w:instrText xml:space="preserve"> SEQ level0 \*arabic </w:instrText>
      </w:r>
      <w:r w:rsidRPr="007C5C4F">
        <w:fldChar w:fldCharType="separate"/>
      </w:r>
      <w:r w:rsidRPr="007C5C4F" w:rsidR="007C5C4F">
        <w:rPr>
          <w:noProof/>
        </w:rPr>
        <w:t>213</w:t>
      </w:r>
      <w:r w:rsidRPr="007C5C4F">
        <w:fldChar w:fldCharType="end"/>
      </w:r>
      <w:r w:rsidRPr="007C5C4F">
        <w:t xml:space="preserve">.  This complaint must therefore be declared inadmissible pursuant to Article 35 </w:t>
      </w:r>
      <w:r w:rsidRPr="007C5C4F">
        <w:rPr>
          <w:rFonts w:cstheme="minorHAnsi"/>
        </w:rPr>
        <w:t xml:space="preserve">§§ </w:t>
      </w:r>
      <w:r w:rsidRPr="007C5C4F">
        <w:t>1 and 4 of the Convention.</w:t>
      </w:r>
    </w:p>
    <w:p w:rsidRPr="007C5C4F" w:rsidR="005E3D7B" w:rsidP="007C5C4F" w14:paraId="0578B50B" w14:textId="77777777">
      <w:pPr>
        <w:pStyle w:val="JuHIRoman"/>
        <w:tabs>
          <w:tab w:val="clear" w:pos="454"/>
          <w:tab w:val="clear" w:pos="567"/>
          <w:tab w:val="clear" w:pos="680"/>
        </w:tabs>
        <w:ind w:left="357" w:hanging="357"/>
        <w:jc w:val="left"/>
      </w:pPr>
      <w:r w:rsidRPr="007C5C4F">
        <w:t>APPLICATION OF ARTICLE 41 OF THE CONVENTION</w:t>
      </w:r>
    </w:p>
    <w:p w:rsidRPr="007C5C4F" w:rsidR="005E3D7B" w:rsidP="007C5C4F" w14:paraId="02C61ADA" w14:textId="1B87623E">
      <w:pPr>
        <w:pStyle w:val="JuPara"/>
        <w:keepNext/>
        <w:keepLines/>
      </w:pPr>
      <w:r w:rsidRPr="007C5C4F">
        <w:fldChar w:fldCharType="begin"/>
      </w:r>
      <w:r w:rsidRPr="007C5C4F">
        <w:instrText xml:space="preserve"> SEQ level0 \*arabic </w:instrText>
      </w:r>
      <w:r w:rsidRPr="007C5C4F">
        <w:fldChar w:fldCharType="separate"/>
      </w:r>
      <w:r w:rsidRPr="007C5C4F" w:rsidR="007C5C4F">
        <w:rPr>
          <w:noProof/>
        </w:rPr>
        <w:t>214</w:t>
      </w:r>
      <w:r w:rsidRPr="007C5C4F">
        <w:fldChar w:fldCharType="end"/>
      </w:r>
      <w:r w:rsidRPr="007C5C4F">
        <w:t>.  Article 41 of the Convention provides:</w:t>
      </w:r>
    </w:p>
    <w:p w:rsidRPr="007C5C4F" w:rsidR="005E3D7B" w:rsidP="007C5C4F" w14:paraId="0500C4FC" w14:textId="77777777">
      <w:pPr>
        <w:pStyle w:val="JuQuot"/>
      </w:pPr>
      <w:r w:rsidRPr="007C5C4F">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7C5C4F" w:rsidR="005E3D7B" w:rsidP="007C5C4F" w14:paraId="0991BC56" w14:textId="77777777">
      <w:pPr>
        <w:pStyle w:val="JuHA"/>
        <w:numPr>
          <w:ilvl w:val="2"/>
          <w:numId w:val="2"/>
        </w:numPr>
        <w:jc w:val="left"/>
      </w:pPr>
      <w:r w:rsidRPr="007C5C4F">
        <w:t>Damage</w:t>
      </w:r>
    </w:p>
    <w:p w:rsidRPr="007C5C4F" w:rsidR="005E3D7B" w:rsidP="007C5C4F" w14:paraId="36F2EFF9" w14:textId="740287F3">
      <w:pPr>
        <w:pStyle w:val="JuPara"/>
      </w:pPr>
      <w:r w:rsidRPr="007C5C4F">
        <w:fldChar w:fldCharType="begin"/>
      </w:r>
      <w:r w:rsidRPr="007C5C4F">
        <w:instrText xml:space="preserve"> SEQ level0 \*arabic </w:instrText>
      </w:r>
      <w:r w:rsidRPr="007C5C4F">
        <w:fldChar w:fldCharType="separate"/>
      </w:r>
      <w:r w:rsidRPr="007C5C4F" w:rsidR="007C5C4F">
        <w:rPr>
          <w:noProof/>
        </w:rPr>
        <w:t>215</w:t>
      </w:r>
      <w:r w:rsidRPr="007C5C4F">
        <w:fldChar w:fldCharType="end"/>
      </w:r>
      <w:r w:rsidRPr="007C5C4F">
        <w:t>.  The first applicant claimed compensation for non-pecuniary damage in the form of loss of liberty, mental anguish and distress.</w:t>
      </w:r>
    </w:p>
    <w:p w:rsidRPr="007C5C4F" w:rsidR="005E3D7B" w:rsidP="007C5C4F" w14:paraId="20ECEBA5" w14:textId="60B40F75">
      <w:pPr>
        <w:pStyle w:val="JuPara"/>
      </w:pPr>
      <w:r w:rsidRPr="007C5C4F">
        <w:fldChar w:fldCharType="begin"/>
      </w:r>
      <w:r w:rsidRPr="007C5C4F">
        <w:instrText xml:space="preserve"> SEQ level0 \*arabic </w:instrText>
      </w:r>
      <w:r w:rsidRPr="007C5C4F">
        <w:fldChar w:fldCharType="separate"/>
      </w:r>
      <w:r w:rsidRPr="007C5C4F" w:rsidR="007C5C4F">
        <w:rPr>
          <w:noProof/>
        </w:rPr>
        <w:t>216</w:t>
      </w:r>
      <w:r w:rsidRPr="007C5C4F">
        <w:fldChar w:fldCharType="end"/>
      </w:r>
      <w:r w:rsidRPr="007C5C4F">
        <w:t>.  The second applicant claimed the sum of 75,000 euros (EUR) for non-pecuniary damage, in particular the distress and practical issues connected with having a past criminal conviction and the prolonged uncertainty with regard to his status as a child victim of trafficking.</w:t>
      </w:r>
    </w:p>
    <w:p w:rsidRPr="007C5C4F" w:rsidR="005E3D7B" w:rsidP="007C5C4F" w14:paraId="3C18D0C3" w14:textId="0ECE3E1A">
      <w:pPr>
        <w:pStyle w:val="JuPara"/>
      </w:pPr>
      <w:r w:rsidRPr="007C5C4F">
        <w:fldChar w:fldCharType="begin"/>
      </w:r>
      <w:r w:rsidRPr="007C5C4F">
        <w:instrText xml:space="preserve"> SEQ level0 \*arabic </w:instrText>
      </w:r>
      <w:r w:rsidRPr="007C5C4F">
        <w:fldChar w:fldCharType="separate"/>
      </w:r>
      <w:r w:rsidRPr="007C5C4F" w:rsidR="007C5C4F">
        <w:rPr>
          <w:noProof/>
        </w:rPr>
        <w:t>217</w:t>
      </w:r>
      <w:r w:rsidRPr="007C5C4F">
        <w:fldChar w:fldCharType="end"/>
      </w:r>
      <w:r w:rsidRPr="007C5C4F">
        <w:t>.  In respect of both applicants the Government argued that the finding of a violation of Articles 4 and/or 6 of the Convention should constitute sufficient just satisfaction in the case.</w:t>
      </w:r>
    </w:p>
    <w:p w:rsidRPr="007C5C4F" w:rsidR="005E3D7B" w:rsidP="007C5C4F" w14:paraId="1F0DAF0B" w14:textId="5435AA39">
      <w:pPr>
        <w:pStyle w:val="JuPara"/>
      </w:pPr>
      <w:r w:rsidRPr="007C5C4F">
        <w:fldChar w:fldCharType="begin"/>
      </w:r>
      <w:r w:rsidRPr="007C5C4F">
        <w:instrText xml:space="preserve"> SEQ level0 \*arabic </w:instrText>
      </w:r>
      <w:r w:rsidRPr="007C5C4F">
        <w:fldChar w:fldCharType="separate"/>
      </w:r>
      <w:r w:rsidRPr="007C5C4F" w:rsidR="007C5C4F">
        <w:rPr>
          <w:noProof/>
        </w:rPr>
        <w:t>218</w:t>
      </w:r>
      <w:r w:rsidRPr="007C5C4F">
        <w:fldChar w:fldCharType="end"/>
      </w:r>
      <w:r w:rsidRPr="007C5C4F">
        <w:t>.  The Court notes at the outset that the first applicant has not quantified his claim for non-pecuniary damage. Although Article 41 does not itself impose on applicants or their representatives before the Court any procedural requirements, on the basis of the Rules of Court and the Practice Direction on Just Satisfaction Claims (issued by the President of the Court in accordance with Rule 32 of the Rules of Court on 28 March 2007) it is the Court</w:t>
      </w:r>
      <w:r w:rsidRPr="007C5C4F" w:rsidR="007C5C4F">
        <w:t>’</w:t>
      </w:r>
      <w:r w:rsidRPr="007C5C4F">
        <w:t>s prevailing practice that applicants should articulate a “claim” for just satisfaction during the “communication” stage of the proceedings. Nevertheless, the Court has applied a degree of flexibility in respect of non-pecuniary damage and has in practice agreed to examine claims for which applicants did not quantify the amount, “leaving it to the Court</w:t>
      </w:r>
      <w:r w:rsidRPr="007C5C4F" w:rsidR="007C5C4F">
        <w:t>’</w:t>
      </w:r>
      <w:r w:rsidRPr="007C5C4F">
        <w:t xml:space="preserve">s discretion” (see </w:t>
      </w:r>
      <w:r w:rsidRPr="007C5C4F">
        <w:rPr>
          <w:i/>
        </w:rPr>
        <w:t>Nagmetov v. Russia</w:t>
      </w:r>
      <w:r w:rsidRPr="007C5C4F">
        <w:t xml:space="preserve"> [GC], no. 35589/08, § 72, 30 March 2017 and the cases cited therein). It therefore considers that it can make an award in respect of non-pecuniary damage even though the first applicant has not quantified his claim.</w:t>
      </w:r>
    </w:p>
    <w:p w:rsidRPr="007C5C4F" w:rsidR="005E3D7B" w:rsidP="007C5C4F" w14:paraId="6B01098B" w14:textId="1FCBA0EC">
      <w:pPr>
        <w:pStyle w:val="JuPara"/>
      </w:pPr>
      <w:r w:rsidRPr="007C5C4F">
        <w:fldChar w:fldCharType="begin"/>
      </w:r>
      <w:r w:rsidRPr="007C5C4F">
        <w:instrText xml:space="preserve"> SEQ level0 \*arabic </w:instrText>
      </w:r>
      <w:r w:rsidRPr="007C5C4F">
        <w:fldChar w:fldCharType="separate"/>
      </w:r>
      <w:r w:rsidRPr="007C5C4F" w:rsidR="007C5C4F">
        <w:rPr>
          <w:noProof/>
        </w:rPr>
        <w:t>219</w:t>
      </w:r>
      <w:r w:rsidRPr="007C5C4F">
        <w:fldChar w:fldCharType="end"/>
      </w:r>
      <w:r w:rsidRPr="007C5C4F">
        <w:t>.  In respect of both applicants the Court refers to its finding that there has been a violation of Articles 4 and 6 of the Convention on account of the failure of the respondent State to fulfil its positive obligations under Article 4 to take operational measures to protect the victims of trafficking. The Court has no doubt that the applicants suffered distress on account of the criminal proceedings and have faced certain obstacles on account of their criminal records. However, it must also bear in mind that the above-mentioned violations were essentially procedural in nature and as such the Court has not had to consider the merits of the decisions to prosecute the applicants. The Court therefore considers it appropriate to grant to each of the applicants the sum of EUR 25,000 in respect of non-pecuniary damage, plus any tax that may be chargeable.</w:t>
      </w:r>
    </w:p>
    <w:p w:rsidRPr="007C5C4F" w:rsidR="005E3D7B" w:rsidP="007C5C4F" w14:paraId="21D7FD74" w14:textId="77777777">
      <w:pPr>
        <w:pStyle w:val="JuHA"/>
        <w:numPr>
          <w:ilvl w:val="2"/>
          <w:numId w:val="2"/>
        </w:numPr>
        <w:jc w:val="left"/>
      </w:pPr>
      <w:r w:rsidRPr="007C5C4F">
        <w:t>Costs and expenses</w:t>
      </w:r>
    </w:p>
    <w:p w:rsidRPr="007C5C4F" w:rsidR="005E3D7B" w:rsidP="007C5C4F" w14:paraId="76230A9A" w14:textId="16CD2A94">
      <w:pPr>
        <w:pStyle w:val="JuPara"/>
      </w:pPr>
      <w:r w:rsidRPr="007C5C4F">
        <w:fldChar w:fldCharType="begin"/>
      </w:r>
      <w:r w:rsidRPr="007C5C4F">
        <w:instrText xml:space="preserve"> SEQ level0 \*arabic </w:instrText>
      </w:r>
      <w:r w:rsidRPr="007C5C4F">
        <w:fldChar w:fldCharType="separate"/>
      </w:r>
      <w:r w:rsidRPr="007C5C4F" w:rsidR="007C5C4F">
        <w:rPr>
          <w:noProof/>
        </w:rPr>
        <w:t>220</w:t>
      </w:r>
      <w:r w:rsidRPr="007C5C4F">
        <w:fldChar w:fldCharType="end"/>
      </w:r>
      <w:r w:rsidRPr="007C5C4F">
        <w:t>.  The first applicant claimed 39,660.62 British pounds (GBP) for the costs and expenses incurred before the Court, a figure which included the fees of four counsel and one solicitor.</w:t>
      </w:r>
    </w:p>
    <w:p w:rsidRPr="007C5C4F" w:rsidR="005E3D7B" w:rsidP="007C5C4F" w14:paraId="395AB061" w14:textId="7FF29973">
      <w:pPr>
        <w:pStyle w:val="JuPara"/>
      </w:pPr>
      <w:r w:rsidRPr="007C5C4F">
        <w:fldChar w:fldCharType="begin"/>
      </w:r>
      <w:r w:rsidRPr="007C5C4F">
        <w:instrText xml:space="preserve"> SEQ level0 \*arabic </w:instrText>
      </w:r>
      <w:r w:rsidRPr="007C5C4F">
        <w:fldChar w:fldCharType="separate"/>
      </w:r>
      <w:r w:rsidRPr="007C5C4F" w:rsidR="007C5C4F">
        <w:rPr>
          <w:noProof/>
        </w:rPr>
        <w:t>221</w:t>
      </w:r>
      <w:r w:rsidRPr="007C5C4F">
        <w:fldChar w:fldCharType="end"/>
      </w:r>
      <w:r w:rsidRPr="007C5C4F">
        <w:t>.  The second applicant claimed GBP 19,810.00 for the costs and expenses incurred before the Court.</w:t>
      </w:r>
    </w:p>
    <w:p w:rsidRPr="007C5C4F" w:rsidR="005E3D7B" w:rsidP="007C5C4F" w14:paraId="672D4B95" w14:textId="3551AD45">
      <w:pPr>
        <w:pStyle w:val="JuPara"/>
      </w:pPr>
      <w:r w:rsidRPr="007C5C4F">
        <w:fldChar w:fldCharType="begin"/>
      </w:r>
      <w:r w:rsidRPr="007C5C4F">
        <w:instrText xml:space="preserve"> SEQ level0 \*arabic </w:instrText>
      </w:r>
      <w:r w:rsidRPr="007C5C4F">
        <w:fldChar w:fldCharType="separate"/>
      </w:r>
      <w:r w:rsidRPr="007C5C4F" w:rsidR="007C5C4F">
        <w:rPr>
          <w:noProof/>
        </w:rPr>
        <w:t>222</w:t>
      </w:r>
      <w:r w:rsidRPr="007C5C4F">
        <w:fldChar w:fldCharType="end"/>
      </w:r>
      <w:r w:rsidRPr="007C5C4F">
        <w:t>.  The Government argued that the number of hours claimed by the first applicant</w:t>
      </w:r>
      <w:r w:rsidRPr="007C5C4F" w:rsidR="007C5C4F">
        <w:t>’</w:t>
      </w:r>
      <w:r w:rsidRPr="007C5C4F">
        <w:t>s solicitor were excessive, as were the professional costs of counsel.</w:t>
      </w:r>
    </w:p>
    <w:p w:rsidRPr="007C5C4F" w:rsidR="005E3D7B" w:rsidP="007C5C4F" w14:paraId="4FB984DF" w14:textId="1D15034E">
      <w:pPr>
        <w:pStyle w:val="JuPara"/>
      </w:pPr>
      <w:r w:rsidRPr="007C5C4F">
        <w:fldChar w:fldCharType="begin"/>
      </w:r>
      <w:r w:rsidRPr="007C5C4F">
        <w:instrText xml:space="preserve"> SEQ level0 \*arabic </w:instrText>
      </w:r>
      <w:r w:rsidRPr="007C5C4F">
        <w:fldChar w:fldCharType="separate"/>
      </w:r>
      <w:r w:rsidRPr="007C5C4F" w:rsidR="007C5C4F">
        <w:rPr>
          <w:noProof/>
        </w:rPr>
        <w:t>223</w:t>
      </w:r>
      <w:r w:rsidRPr="007C5C4F">
        <w:fldChar w:fldCharType="end"/>
      </w:r>
      <w:r w:rsidRPr="007C5C4F">
        <w:t>.  According to the Court</w:t>
      </w:r>
      <w:r w:rsidRPr="007C5C4F" w:rsidR="007C5C4F">
        <w:t>’</w:t>
      </w:r>
      <w:r w:rsidRPr="007C5C4F">
        <w:t>s case-law, an applicant is entitled to the reimbursement of costs and expenses only in so far as it has been shown that these were actually and necessarily incurred and are reasonable as to quantum. In the present case, regard being had to the documents in its possession and the above criteria, the Court considers it reasonable to award, for the proceedings before it, EUR 20,000 to each applicant, plus any tax that may be chargeable to them.</w:t>
      </w:r>
    </w:p>
    <w:p w:rsidRPr="007C5C4F" w:rsidR="005E3D7B" w:rsidP="007C5C4F" w14:paraId="1B2B2E83" w14:textId="77777777">
      <w:pPr>
        <w:pStyle w:val="JuHA"/>
        <w:numPr>
          <w:ilvl w:val="2"/>
          <w:numId w:val="2"/>
        </w:numPr>
        <w:jc w:val="left"/>
      </w:pPr>
      <w:r w:rsidRPr="007C5C4F">
        <w:t>Default interest</w:t>
      </w:r>
    </w:p>
    <w:p w:rsidRPr="007C5C4F" w:rsidR="005E3D7B" w:rsidP="007C5C4F" w14:paraId="62A426B6" w14:textId="0396C5BC">
      <w:pPr>
        <w:pStyle w:val="JuPara"/>
      </w:pPr>
      <w:r w:rsidRPr="007C5C4F">
        <w:fldChar w:fldCharType="begin"/>
      </w:r>
      <w:r w:rsidRPr="007C5C4F">
        <w:instrText xml:space="preserve"> SEQ level0 \*arabic </w:instrText>
      </w:r>
      <w:r w:rsidRPr="007C5C4F">
        <w:fldChar w:fldCharType="separate"/>
      </w:r>
      <w:r w:rsidRPr="007C5C4F" w:rsidR="007C5C4F">
        <w:rPr>
          <w:noProof/>
        </w:rPr>
        <w:t>224</w:t>
      </w:r>
      <w:r w:rsidRPr="007C5C4F">
        <w:fldChar w:fldCharType="end"/>
      </w:r>
      <w:r w:rsidRPr="007C5C4F">
        <w:t>.  The Court considers it appropriate that the default interest rate should be based on the marginal lending rate of the European Central Bank, to which should be added three percentage points.</w:t>
      </w:r>
    </w:p>
    <w:p w:rsidRPr="007C5C4F" w:rsidR="005E3D7B" w:rsidP="007C5C4F" w14:paraId="4E6E0D20" w14:textId="77777777">
      <w:pPr>
        <w:pStyle w:val="JuHHead"/>
        <w:numPr>
          <w:ilvl w:val="0"/>
          <w:numId w:val="2"/>
        </w:numPr>
        <w:jc w:val="left"/>
      </w:pPr>
      <w:r w:rsidRPr="007C5C4F">
        <w:t>FOR THESE REASONS, THE COURT</w:t>
      </w:r>
    </w:p>
    <w:p w:rsidRPr="007C5C4F" w:rsidR="005E3D7B" w:rsidP="007C5C4F" w14:paraId="6EFA6BE0" w14:textId="77777777">
      <w:pPr>
        <w:pStyle w:val="JuList"/>
        <w:ind w:left="0" w:firstLine="0"/>
      </w:pPr>
      <w:r w:rsidRPr="007C5C4F">
        <w:rPr>
          <w:i/>
        </w:rPr>
        <w:t>Decides</w:t>
      </w:r>
      <w:r w:rsidRPr="007C5C4F">
        <w:rPr>
          <w:iCs/>
        </w:rPr>
        <w:t xml:space="preserve">, </w:t>
      </w:r>
      <w:r w:rsidRPr="007C5C4F">
        <w:t>unanimously, to join the applications;</w:t>
      </w:r>
    </w:p>
    <w:p w:rsidRPr="007C5C4F" w:rsidR="005E3D7B" w:rsidP="007C5C4F" w14:paraId="180955C1" w14:textId="2A55EDDF">
      <w:pPr>
        <w:pStyle w:val="JuList"/>
      </w:pPr>
      <w:r w:rsidRPr="007C5C4F">
        <w:rPr>
          <w:i/>
        </w:rPr>
        <w:t>Declares</w:t>
      </w:r>
      <w:r w:rsidRPr="007C5C4F">
        <w:t>, unanimously, the applicants</w:t>
      </w:r>
      <w:r w:rsidRPr="007C5C4F" w:rsidR="007C5C4F">
        <w:t>’</w:t>
      </w:r>
      <w:r w:rsidRPr="007C5C4F">
        <w:t xml:space="preserve"> complaints concerning Article 4 and Article 6 § 1 of the Convention admissible and the remainder of the applications inadmissible;</w:t>
      </w:r>
    </w:p>
    <w:p w:rsidRPr="007C5C4F" w:rsidR="005E3D7B" w:rsidP="007C5C4F" w14:paraId="392B9DD0" w14:textId="77777777">
      <w:pPr>
        <w:pStyle w:val="JuList"/>
      </w:pPr>
      <w:r w:rsidRPr="007C5C4F">
        <w:rPr>
          <w:i/>
        </w:rPr>
        <w:t>Holds</w:t>
      </w:r>
      <w:r w:rsidRPr="007C5C4F">
        <w:t>, unanimously, that there has been a violation of Article 4 of the Convention;</w:t>
      </w:r>
    </w:p>
    <w:p w:rsidRPr="007C5C4F" w:rsidR="005E3D7B" w:rsidP="007C5C4F" w14:paraId="59520017" w14:textId="77777777">
      <w:pPr>
        <w:pStyle w:val="JuList"/>
      </w:pPr>
      <w:r w:rsidRPr="007C5C4F">
        <w:rPr>
          <w:i/>
        </w:rPr>
        <w:t>Holds</w:t>
      </w:r>
      <w:r w:rsidRPr="007C5C4F">
        <w:t>, unanimously,</w:t>
      </w:r>
      <w:r w:rsidRPr="007C5C4F">
        <w:rPr>
          <w:color w:val="000000"/>
        </w:rPr>
        <w:t xml:space="preserve"> </w:t>
      </w:r>
      <w:r w:rsidRPr="007C5C4F">
        <w:t xml:space="preserve">that there has been a violation of Article 6 </w:t>
      </w:r>
      <w:r w:rsidRPr="007C5C4F">
        <w:rPr>
          <w:rFonts w:cstheme="minorHAnsi"/>
        </w:rPr>
        <w:t xml:space="preserve">§ </w:t>
      </w:r>
      <w:r w:rsidRPr="007C5C4F">
        <w:t>1 of the Convention;</w:t>
      </w:r>
    </w:p>
    <w:p w:rsidRPr="007C5C4F" w:rsidR="005E3D7B" w:rsidP="007C5C4F" w14:paraId="39DA4FCB" w14:textId="77777777">
      <w:pPr>
        <w:pStyle w:val="JuList"/>
      </w:pPr>
      <w:r w:rsidRPr="007C5C4F">
        <w:rPr>
          <w:i/>
        </w:rPr>
        <w:t>Holds</w:t>
      </w:r>
      <w:r w:rsidRPr="007C5C4F">
        <w:t>,</w:t>
      </w:r>
    </w:p>
    <w:p w:rsidRPr="007C5C4F" w:rsidR="005E3D7B" w:rsidP="007C5C4F" w14:paraId="0733E5A2" w14:textId="77777777">
      <w:pPr>
        <w:pStyle w:val="JuLista"/>
      </w:pPr>
      <w:r w:rsidRPr="007C5C4F">
        <w:t>by five votes to two, that the respondent State is to pay, within three months from the date on which the judgment becomes final in accordance with Article 44 § 2 of the Convention, EUR 25,000 (twenty-five thousand euros) to each applicant, plus any tax that may be chargeable, in respect of non-pecuniary damage</w:t>
      </w:r>
      <w:r w:rsidRPr="007C5C4F">
        <w:rPr>
          <w:bCs/>
        </w:rPr>
        <w:t xml:space="preserve">, to be converted into </w:t>
      </w:r>
      <w:r w:rsidRPr="007C5C4F">
        <w:rPr>
          <w:bCs/>
          <w:color w:val="000000"/>
        </w:rPr>
        <w:t>the currency of the respondent State</w:t>
      </w:r>
      <w:r w:rsidRPr="007C5C4F">
        <w:t xml:space="preserve"> at the rate applicable at the date of settlement;</w:t>
      </w:r>
    </w:p>
    <w:p w:rsidRPr="007C5C4F" w:rsidR="005E3D7B" w:rsidP="007C5C4F" w14:paraId="6CFD24E2" w14:textId="77777777">
      <w:pPr>
        <w:pStyle w:val="JuLista"/>
      </w:pPr>
      <w:r w:rsidRPr="007C5C4F">
        <w:t>unanimously, that the respondent State is to pay, within three months from the date on which the judgment becomes final in accordance with Article 44 § 2 of the Convention, EUR 20,000 (twenty thousand euros) to each applicant, plus any tax that may be chargeable to the applicants, in respect of costs and expenses;</w:t>
      </w:r>
    </w:p>
    <w:p w:rsidRPr="007C5C4F" w:rsidR="005E3D7B" w:rsidP="007C5C4F" w14:paraId="467CD24F" w14:textId="77777777">
      <w:pPr>
        <w:pStyle w:val="JuLista"/>
      </w:pPr>
      <w:r w:rsidRPr="007C5C4F">
        <w:t>unanimously, that from the expiry of the above-mentioned three months until settlement simple interest shall be payable on the above amounts at a rate equal to the marginal lending rate of the European Central Bank during the default period plus three percentage points;</w:t>
      </w:r>
    </w:p>
    <w:p w:rsidRPr="007C5C4F" w:rsidR="005E3D7B" w:rsidP="007C5C4F" w14:paraId="3D9D033B" w14:textId="5556F5FA">
      <w:pPr>
        <w:pStyle w:val="JuList"/>
      </w:pPr>
      <w:r w:rsidRPr="007C5C4F">
        <w:rPr>
          <w:i/>
        </w:rPr>
        <w:t>Dismisses</w:t>
      </w:r>
      <w:r w:rsidRPr="007C5C4F">
        <w:t>, unanimously, the remainder of the applicants</w:t>
      </w:r>
      <w:r w:rsidRPr="007C5C4F" w:rsidR="007C5C4F">
        <w:t>’</w:t>
      </w:r>
      <w:r w:rsidRPr="007C5C4F">
        <w:t xml:space="preserve"> claim for just satisfaction.</w:t>
      </w:r>
    </w:p>
    <w:p w:rsidRPr="007C5C4F" w:rsidR="005E3D7B" w:rsidP="007C5C4F" w14:paraId="4B91C2CD" w14:textId="77777777">
      <w:pPr>
        <w:pStyle w:val="JuParaLast"/>
      </w:pPr>
      <w:r w:rsidRPr="007C5C4F">
        <w:t>Done in English, and notified in writing on 16 February 2021, pursuant to Rule 77 §§ 2 and 3 of the Rules of Court.</w:t>
      </w:r>
    </w:p>
    <w:p w:rsidRPr="007C5C4F" w:rsidR="005E3D7B" w:rsidP="007C5C4F" w14:paraId="31EB208B" w14:textId="77777777">
      <w:pPr>
        <w:pStyle w:val="JuSigned"/>
        <w:spacing w:before="840"/>
        <w:rPr>
          <w:lang w:val="it-IT"/>
        </w:rPr>
      </w:pPr>
      <w:r w:rsidRPr="007C5C4F">
        <w:rPr>
          <w:lang w:val="it-IT"/>
        </w:rPr>
        <w:t xml:space="preserve">Andrea Tamietti </w:t>
      </w:r>
      <w:r w:rsidRPr="007C5C4F">
        <w:rPr>
          <w:lang w:val="it-IT"/>
        </w:rPr>
        <w:tab/>
        <w:t>Yonko Grozev</w:t>
      </w:r>
      <w:r w:rsidRPr="007C5C4F">
        <w:rPr>
          <w:lang w:val="it-IT"/>
        </w:rPr>
        <w:br/>
      </w:r>
      <w:r w:rsidRPr="007C5C4F">
        <w:rPr>
          <w:lang w:val="it-IT"/>
        </w:rPr>
        <w:tab/>
      </w:r>
      <w:r w:rsidRPr="007C5C4F">
        <w:rPr>
          <w:iCs/>
          <w:lang w:val="it-IT"/>
        </w:rPr>
        <w:t>Registrar</w:t>
      </w:r>
      <w:r w:rsidRPr="007C5C4F">
        <w:rPr>
          <w:lang w:val="it-IT"/>
        </w:rPr>
        <w:tab/>
        <w:t>President</w:t>
      </w:r>
    </w:p>
    <w:p w:rsidRPr="007C5C4F" w:rsidR="005E3D7B" w:rsidP="007C5C4F" w14:paraId="244C47D2" w14:textId="77777777">
      <w:pPr>
        <w:pStyle w:val="JuPara"/>
        <w:rPr>
          <w:lang w:val="it-IT"/>
        </w:rPr>
      </w:pPr>
    </w:p>
    <w:p w:rsidRPr="007C5C4F" w:rsidR="007231AD" w:rsidP="007C5C4F" w14:paraId="71B7EF6F" w14:textId="77777777">
      <w:pPr>
        <w:rPr>
          <w:lang w:val="it-IT"/>
        </w:rPr>
      </w:pPr>
    </w:p>
    <w:sectPr w:rsidSect="00723E62">
      <w:headerReference w:type="even" r:id="rId10"/>
      <w:headerReference w:type="default" r:id="rId11"/>
      <w:footerReference w:type="even" r:id="rId12"/>
      <w:footerReference w:type="default" r:id="rId13"/>
      <w:footnotePr>
        <w:numRestart w:val="eachSect"/>
      </w:footnotePr>
      <w:pgSz w:w="11906" w:h="16838" w:code="9"/>
      <w:pgMar w:top="2274" w:right="2274" w:bottom="2274" w:left="2274" w:header="1701" w:footer="720"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rPr>
        <w:noProof/>
      </w:rPr>
      <w:id w:val="141089595"/>
      <w:docPartObj>
        <w:docPartGallery w:val="Page Numbers (Bottom of Page)"/>
        <w:docPartUnique/>
      </w:docPartObj>
    </w:sdtPr>
    <w:sdtContent>
      <w:p w:rsidR="005E3D7B" w:rsidP="00723E62" w14:paraId="3B3BABCF" w14:textId="77777777">
        <w:pPr>
          <w:pStyle w:val="JuHeader"/>
          <w:rPr>
            <w:noProof/>
          </w:rPr>
        </w:pPr>
        <w:r>
          <w:rPr>
            <w:noProof/>
          </w:rPr>
          <w:fldChar w:fldCharType="begin"/>
        </w:r>
        <w:r>
          <w:rPr>
            <w:noProof/>
          </w:rPr>
          <w:instrText xml:space="preserve"> PAGE   \* MERGEFORMAT </w:instrText>
        </w:r>
        <w:r>
          <w:rPr>
            <w:noProof/>
          </w:rPr>
          <w:fldChar w:fldCharType="separate"/>
        </w:r>
        <w:r>
          <w:rPr>
            <w:noProof/>
          </w:rPr>
          <w:t>2</w:t>
        </w:r>
        <w:r>
          <w:rPr>
            <w:noProof/>
          </w:rPr>
          <w:fldChar w:fldCharType="end"/>
        </w:r>
      </w:p>
    </w:sdtContent>
  </w:sdt>
  <w:p w:rsidR="005E3D7B" w14:paraId="7B3AE5C2" w14:textId="77777777">
    <w:pPr>
      <w:pStyle w:val="Footer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E3D7B" w:rsidRPr="00150BFA" w:rsidP="000A0FA5" w14:paraId="4F0B604D" w14:textId="77777777">
    <w:pPr>
      <w:jc w:val="center"/>
    </w:pPr>
    <w:r>
      <w:rPr>
        <w:noProof/>
        <w:lang w:val="en-US"/>
      </w:rPr>
      <w:drawing>
        <wp:inline distT="0" distB="0" distL="0" distR="0">
          <wp:extent cx="771525" cy="619125"/>
          <wp:effectExtent l="0" t="0" r="9525" b="9525"/>
          <wp:docPr id="34" name="Picture 34"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5E3D7B" w:rsidRPr="009A1BAA" w:rsidP="000A0FA5" w14:paraId="027A3FD8" w14:textId="77777777">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E3D7B" w:rsidRPr="00150BFA" w:rsidP="000A0FA5" w14:paraId="1AFE9EF6" w14:textId="77777777">
    <w:pPr>
      <w:jc w:val="center"/>
    </w:pPr>
    <w:r>
      <w:rPr>
        <w:noProof/>
        <w:lang w:val="en-US"/>
      </w:rPr>
      <w:drawing>
        <wp:inline distT="0" distB="0" distL="0" distR="0">
          <wp:extent cx="771525" cy="619125"/>
          <wp:effectExtent l="0" t="0" r="9525" b="9525"/>
          <wp:docPr id="36" name="Picture 3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5E3D7B" w:rsidRPr="009A1BAA" w:rsidP="009E7A6F" w14:paraId="35250D9F" w14:textId="77777777">
    <w:pPr>
      <w:pStyle w:val="Footer1"/>
      <w:jc w:val="center"/>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rPr>
        <w:noProof/>
      </w:rPr>
      <w:id w:val="1299879998"/>
      <w:docPartObj>
        <w:docPartGallery w:val="Page Numbers (Bottom of Page)"/>
        <w:docPartUnique/>
      </w:docPartObj>
    </w:sdtPr>
    <w:sdtContent>
      <w:p w:rsidR="008402EA" w:rsidP="00723E62" w14:paraId="44F4BAA1" w14:textId="77777777">
        <w:pPr>
          <w:pStyle w:val="JuHeader"/>
          <w:rPr>
            <w:noProof/>
          </w:rPr>
        </w:pPr>
        <w:r>
          <w:rPr>
            <w:noProof/>
          </w:rPr>
          <w:fldChar w:fldCharType="begin"/>
        </w:r>
        <w:r>
          <w:rPr>
            <w:noProof/>
          </w:rPr>
          <w:instrText xml:space="preserve"> PAGE   \* MERGEFORMAT </w:instrText>
        </w:r>
        <w:r>
          <w:rPr>
            <w:noProof/>
          </w:rPr>
          <w:fldChar w:fldCharType="separate"/>
        </w:r>
        <w:r>
          <w:rPr>
            <w:noProof/>
          </w:rPr>
          <w:t>2</w:t>
        </w:r>
        <w:r>
          <w:rPr>
            <w:noProof/>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402EA" w:rsidRPr="000B7195" w:rsidP="007D3701" w14:paraId="09564422" w14:textId="77777777">
    <w:pPr>
      <w:pStyle w:val="JuHeader"/>
    </w:pPr>
    <w:r>
      <w:fldChar w:fldCharType="begin"/>
    </w:r>
    <w:r>
      <w:instrText xml:space="preserve"> PAGE </w:instrText>
    </w:r>
    <w:r>
      <w:fldChar w:fldCharType="separate"/>
    </w:r>
    <w:r>
      <w:rPr>
        <w:noProof/>
      </w:rPr>
      <w:t>3</w:t>
    </w:r>
    <w: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E3D7B" w:rsidRPr="00A45145" w:rsidP="000A0FA5" w14:paraId="1D6BF62B" w14:textId="77777777">
    <w:pPr>
      <w:jc w:val="center"/>
    </w:pPr>
    <w:r>
      <w:rPr>
        <w:noProof/>
        <w:lang w:val="en-US"/>
      </w:rPr>
      <w:drawing>
        <wp:inline distT="0" distB="0" distL="0" distR="0">
          <wp:extent cx="2962275" cy="1219200"/>
          <wp:effectExtent l="0" t="0" r="9525" b="0"/>
          <wp:docPr id="33" name="Picture 33"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5E3D7B" w:rsidRPr="009A1BAA" w:rsidP="000A0FA5" w14:paraId="51CF8FE9" w14:textId="77777777">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E3D7B" w:rsidRPr="00A45145" w:rsidP="000A0FA5" w14:paraId="5F806EFB" w14:textId="77777777">
    <w:pPr>
      <w:jc w:val="center"/>
    </w:pPr>
    <w:r>
      <w:rPr>
        <w:noProof/>
        <w:lang w:val="en-US"/>
      </w:rPr>
      <w:drawing>
        <wp:inline distT="0" distB="0" distL="0" distR="0">
          <wp:extent cx="2962275" cy="1219200"/>
          <wp:effectExtent l="0" t="0" r="9525" b="0"/>
          <wp:docPr id="35" name="Picture 3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5E3D7B" w:rsidRPr="009A1BAA" w14:paraId="5D2E8AEB" w14:textId="77777777"/>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402EA" w:rsidRPr="000A7FF8" w:rsidP="000A7FF8" w14:paraId="7609F070" w14:textId="77777777">
    <w:pPr>
      <w:pStyle w:val="JuHeader"/>
    </w:pPr>
    <w:r>
      <w:t xml:space="preserve">V.C.L. AND A.N. v. THE UNITED KINGDOM </w:t>
    </w:r>
    <w:r w:rsidRPr="00882CD5">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402EA" w:rsidRPr="00882CD5" w:rsidP="007D3701" w14:paraId="760CC4CB" w14:textId="77777777">
    <w:pPr>
      <w:pStyle w:val="JuHeader"/>
    </w:pPr>
    <w:r>
      <w:t>V.C.L. AND A.N. v. THE UNITED KINGDOM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C0F5BFC"/>
    <w:multiLevelType w:val="multilevel"/>
    <w:tmpl w:val="79FEA660"/>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97" w:hanging="397"/>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0">
    <w:nsid w:val="17764A4F"/>
    <w:multiLevelType w:val="hybridMultilevel"/>
    <w:tmpl w:val="F4248EB2"/>
    <w:lvl w:ilvl="0">
      <w:start w:val="1"/>
      <w:numFmt w:val="decimal"/>
      <w:lvlText w:val="%1."/>
      <w:lvlJc w:val="left"/>
      <w:pPr>
        <w:ind w:left="1287" w:hanging="360"/>
      </w:pPr>
    </w:lvl>
    <w:lvl w:ilvl="1" w:tentative="1">
      <w:start w:val="1"/>
      <w:numFmt w:val="lowerLetter"/>
      <w:lvlText w:val="%2."/>
      <w:lvlJc w:val="left"/>
      <w:pPr>
        <w:ind w:left="2007" w:hanging="360"/>
      </w:pPr>
    </w:lvl>
    <w:lvl w:ilvl="2" w:tentative="1">
      <w:start w:val="1"/>
      <w:numFmt w:val="lowerRoman"/>
      <w:lvlText w:val="%3."/>
      <w:lvlJc w:val="right"/>
      <w:pPr>
        <w:ind w:left="2727" w:hanging="180"/>
      </w:pPr>
    </w:lvl>
    <w:lvl w:ilvl="3" w:tentative="1">
      <w:start w:val="1"/>
      <w:numFmt w:val="decimal"/>
      <w:lvlText w:val="%4."/>
      <w:lvlJc w:val="left"/>
      <w:pPr>
        <w:ind w:left="3447" w:hanging="360"/>
      </w:pPr>
    </w:lvl>
    <w:lvl w:ilvl="4" w:tentative="1">
      <w:start w:val="1"/>
      <w:numFmt w:val="lowerLetter"/>
      <w:lvlText w:val="%5."/>
      <w:lvlJc w:val="left"/>
      <w:pPr>
        <w:ind w:left="4167" w:hanging="360"/>
      </w:pPr>
    </w:lvl>
    <w:lvl w:ilvl="5" w:tentative="1">
      <w:start w:val="1"/>
      <w:numFmt w:val="lowerRoman"/>
      <w:lvlText w:val="%6."/>
      <w:lvlJc w:val="right"/>
      <w:pPr>
        <w:ind w:left="4887" w:hanging="180"/>
      </w:pPr>
    </w:lvl>
    <w:lvl w:ilvl="6" w:tentative="1">
      <w:start w:val="1"/>
      <w:numFmt w:val="decimal"/>
      <w:lvlText w:val="%7."/>
      <w:lvlJc w:val="left"/>
      <w:pPr>
        <w:ind w:left="5607" w:hanging="360"/>
      </w:pPr>
    </w:lvl>
    <w:lvl w:ilvl="7" w:tentative="1">
      <w:start w:val="1"/>
      <w:numFmt w:val="lowerLetter"/>
      <w:lvlText w:val="%8."/>
      <w:lvlJc w:val="left"/>
      <w:pPr>
        <w:ind w:left="6327" w:hanging="360"/>
      </w:pPr>
    </w:lvl>
    <w:lvl w:ilvl="8" w:tentative="1">
      <w:start w:val="1"/>
      <w:numFmt w:val="lowerRoman"/>
      <w:lvlText w:val="%9."/>
      <w:lvlJc w:val="right"/>
      <w:pPr>
        <w:ind w:left="7047" w:hanging="180"/>
      </w:p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56B9429C"/>
    <w:multiLevelType w:val="multilevel"/>
    <w:tmpl w:val="EAA66700"/>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8">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19">
    <w:nsid w:val="7D35409C"/>
    <w:multiLevelType w:val="multilevel"/>
    <w:tmpl w:val="EAA66700"/>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17"/>
  </w:num>
  <w:num w:numId="2">
    <w:abstractNumId w:val="19"/>
  </w:num>
  <w:num w:numId="3">
    <w:abstractNumId w:val="10"/>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num>
  <w:num w:numId="7">
    <w:abstractNumId w:val="14"/>
  </w:num>
  <w:num w:numId="8">
    <w:abstractNumId w:val="12"/>
  </w:num>
  <w:num w:numId="9">
    <w:abstractNumId w:val="11"/>
  </w:num>
  <w:num w:numId="10">
    <w:abstractNumId w:val="15"/>
  </w:num>
  <w:num w:numId="11">
    <w:abstractNumId w:val="13"/>
  </w:num>
  <w:num w:numId="12">
    <w:abstractNumId w:val="16"/>
  </w:num>
  <w:num w:numId="13">
    <w:abstractNumId w:val="18"/>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removePersonalInformatio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Pr>
  <w:endnotePr>
    <w:numFmt w:val="decimal"/>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Setting w:name="differentiateMultirowTableHeaders" w:uri="http://schemas.microsoft.com/office/word" w:val="1"/>
  </w:compat>
  <w:rsids>
    <w:rsidRoot w:val="009A1BAA"/>
    <w:rsid w:val="000041F8"/>
    <w:rsid w:val="000042A8"/>
    <w:rsid w:val="00004308"/>
    <w:rsid w:val="00005BF0"/>
    <w:rsid w:val="0000617D"/>
    <w:rsid w:val="00007154"/>
    <w:rsid w:val="000103AE"/>
    <w:rsid w:val="00011D69"/>
    <w:rsid w:val="00012AD3"/>
    <w:rsid w:val="00015C2D"/>
    <w:rsid w:val="00015F00"/>
    <w:rsid w:val="00022C1D"/>
    <w:rsid w:val="00031428"/>
    <w:rsid w:val="00034987"/>
    <w:rsid w:val="00041560"/>
    <w:rsid w:val="00053E79"/>
    <w:rsid w:val="000602DF"/>
    <w:rsid w:val="00061B05"/>
    <w:rsid w:val="000632D5"/>
    <w:rsid w:val="000644EE"/>
    <w:rsid w:val="0007041C"/>
    <w:rsid w:val="0007780A"/>
    <w:rsid w:val="00084E36"/>
    <w:rsid w:val="00085457"/>
    <w:rsid w:val="000925AD"/>
    <w:rsid w:val="00096FE1"/>
    <w:rsid w:val="00097A62"/>
    <w:rsid w:val="000A0FA5"/>
    <w:rsid w:val="000A24EB"/>
    <w:rsid w:val="000A7FF8"/>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20D6C"/>
    <w:rsid w:val="001257EC"/>
    <w:rsid w:val="00133D33"/>
    <w:rsid w:val="00134B6A"/>
    <w:rsid w:val="00134D64"/>
    <w:rsid w:val="00135A30"/>
    <w:rsid w:val="0013612C"/>
    <w:rsid w:val="00137FF6"/>
    <w:rsid w:val="001405DE"/>
    <w:rsid w:val="00141650"/>
    <w:rsid w:val="00150BFA"/>
    <w:rsid w:val="001561B6"/>
    <w:rsid w:val="00162A12"/>
    <w:rsid w:val="00166530"/>
    <w:rsid w:val="00170027"/>
    <w:rsid w:val="0017262E"/>
    <w:rsid w:val="001832BD"/>
    <w:rsid w:val="001943B5"/>
    <w:rsid w:val="00195134"/>
    <w:rsid w:val="001A145B"/>
    <w:rsid w:val="001A3E09"/>
    <w:rsid w:val="001A4305"/>
    <w:rsid w:val="001A674C"/>
    <w:rsid w:val="001B3B24"/>
    <w:rsid w:val="001B5125"/>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10338"/>
    <w:rsid w:val="002115FC"/>
    <w:rsid w:val="0021423C"/>
    <w:rsid w:val="00230D00"/>
    <w:rsid w:val="00231DF7"/>
    <w:rsid w:val="00231FD1"/>
    <w:rsid w:val="002339E0"/>
    <w:rsid w:val="00233CF8"/>
    <w:rsid w:val="00234A56"/>
    <w:rsid w:val="0023575D"/>
    <w:rsid w:val="00237148"/>
    <w:rsid w:val="0024222D"/>
    <w:rsid w:val="002422B6"/>
    <w:rsid w:val="00244765"/>
    <w:rsid w:val="00244B0E"/>
    <w:rsid w:val="00244F6C"/>
    <w:rsid w:val="00246B89"/>
    <w:rsid w:val="00252C4E"/>
    <w:rsid w:val="002532C5"/>
    <w:rsid w:val="00254DF2"/>
    <w:rsid w:val="00260C03"/>
    <w:rsid w:val="0026540E"/>
    <w:rsid w:val="00273907"/>
    <w:rsid w:val="00275123"/>
    <w:rsid w:val="00282240"/>
    <w:rsid w:val="00287AD5"/>
    <w:rsid w:val="002906FC"/>
    <w:rsid w:val="002934D0"/>
    <w:rsid w:val="00293676"/>
    <w:rsid w:val="00293BD9"/>
    <w:rsid w:val="002948AD"/>
    <w:rsid w:val="002A01CC"/>
    <w:rsid w:val="002A613A"/>
    <w:rsid w:val="002A61B1"/>
    <w:rsid w:val="002A663C"/>
    <w:rsid w:val="002B303A"/>
    <w:rsid w:val="002B444B"/>
    <w:rsid w:val="002B5887"/>
    <w:rsid w:val="002C0E27"/>
    <w:rsid w:val="002C3040"/>
    <w:rsid w:val="002C4433"/>
    <w:rsid w:val="002C7826"/>
    <w:rsid w:val="002D022D"/>
    <w:rsid w:val="002D24BB"/>
    <w:rsid w:val="002D2FA7"/>
    <w:rsid w:val="002D47BA"/>
    <w:rsid w:val="002D77B9"/>
    <w:rsid w:val="002E46DA"/>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3A19"/>
    <w:rsid w:val="00355877"/>
    <w:rsid w:val="00356AC7"/>
    <w:rsid w:val="003609FA"/>
    <w:rsid w:val="0036250C"/>
    <w:rsid w:val="003710C8"/>
    <w:rsid w:val="003750BE"/>
    <w:rsid w:val="00385A36"/>
    <w:rsid w:val="00385F14"/>
    <w:rsid w:val="00385F3D"/>
    <w:rsid w:val="00387B9D"/>
    <w:rsid w:val="00387C70"/>
    <w:rsid w:val="00390294"/>
    <w:rsid w:val="0039364F"/>
    <w:rsid w:val="00396686"/>
    <w:rsid w:val="0039778E"/>
    <w:rsid w:val="003B1786"/>
    <w:rsid w:val="003B4941"/>
    <w:rsid w:val="003C5714"/>
    <w:rsid w:val="003C6B9F"/>
    <w:rsid w:val="003C6E2A"/>
    <w:rsid w:val="003D0299"/>
    <w:rsid w:val="003E6D80"/>
    <w:rsid w:val="003F05FA"/>
    <w:rsid w:val="003F244A"/>
    <w:rsid w:val="003F2517"/>
    <w:rsid w:val="003F30B8"/>
    <w:rsid w:val="003F4C45"/>
    <w:rsid w:val="003F5F7B"/>
    <w:rsid w:val="003F7D64"/>
    <w:rsid w:val="00401668"/>
    <w:rsid w:val="0040433A"/>
    <w:rsid w:val="00414300"/>
    <w:rsid w:val="00414F27"/>
    <w:rsid w:val="004170AE"/>
    <w:rsid w:val="00420703"/>
    <w:rsid w:val="00425C67"/>
    <w:rsid w:val="00427E7A"/>
    <w:rsid w:val="004355AC"/>
    <w:rsid w:val="00436C49"/>
    <w:rsid w:val="00443D98"/>
    <w:rsid w:val="00445366"/>
    <w:rsid w:val="00447F5B"/>
    <w:rsid w:val="00461DB0"/>
    <w:rsid w:val="00463926"/>
    <w:rsid w:val="00464C9A"/>
    <w:rsid w:val="00474F3D"/>
    <w:rsid w:val="00477E3A"/>
    <w:rsid w:val="00483E5F"/>
    <w:rsid w:val="00485FF9"/>
    <w:rsid w:val="004907F0"/>
    <w:rsid w:val="0049140B"/>
    <w:rsid w:val="004923A5"/>
    <w:rsid w:val="0049310E"/>
    <w:rsid w:val="004950E2"/>
    <w:rsid w:val="00496BFB"/>
    <w:rsid w:val="004A15C7"/>
    <w:rsid w:val="004A3201"/>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10A97"/>
    <w:rsid w:val="00511C07"/>
    <w:rsid w:val="005125CB"/>
    <w:rsid w:val="00512EC4"/>
    <w:rsid w:val="0051725A"/>
    <w:rsid w:val="005173A6"/>
    <w:rsid w:val="00520354"/>
    <w:rsid w:val="00520BAA"/>
    <w:rsid w:val="005217D8"/>
    <w:rsid w:val="00525208"/>
    <w:rsid w:val="005257A5"/>
    <w:rsid w:val="00526399"/>
    <w:rsid w:val="005264C0"/>
    <w:rsid w:val="00526A8A"/>
    <w:rsid w:val="00527FB1"/>
    <w:rsid w:val="00530FE6"/>
    <w:rsid w:val="00531DF2"/>
    <w:rsid w:val="0053315C"/>
    <w:rsid w:val="005364C7"/>
    <w:rsid w:val="00537476"/>
    <w:rsid w:val="005442EE"/>
    <w:rsid w:val="00545DA6"/>
    <w:rsid w:val="00546C4D"/>
    <w:rsid w:val="00547353"/>
    <w:rsid w:val="005474E7"/>
    <w:rsid w:val="005512A3"/>
    <w:rsid w:val="005578CE"/>
    <w:rsid w:val="00562781"/>
    <w:rsid w:val="00562B6C"/>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C3EE8"/>
    <w:rsid w:val="005D2F2A"/>
    <w:rsid w:val="005D34F9"/>
    <w:rsid w:val="005D4190"/>
    <w:rsid w:val="005D5DB3"/>
    <w:rsid w:val="005D67A3"/>
    <w:rsid w:val="005E2988"/>
    <w:rsid w:val="005E3085"/>
    <w:rsid w:val="005E3D7B"/>
    <w:rsid w:val="005F0EB3"/>
    <w:rsid w:val="005F51E1"/>
    <w:rsid w:val="00604622"/>
    <w:rsid w:val="006118AD"/>
    <w:rsid w:val="00611C80"/>
    <w:rsid w:val="00620692"/>
    <w:rsid w:val="006242CA"/>
    <w:rsid w:val="00627507"/>
    <w:rsid w:val="00633717"/>
    <w:rsid w:val="006344E1"/>
    <w:rsid w:val="00643524"/>
    <w:rsid w:val="0064393B"/>
    <w:rsid w:val="006545C4"/>
    <w:rsid w:val="00661971"/>
    <w:rsid w:val="00661CE8"/>
    <w:rsid w:val="006623D9"/>
    <w:rsid w:val="006642A5"/>
    <w:rsid w:val="0066550C"/>
    <w:rsid w:val="00665BD2"/>
    <w:rsid w:val="006716F2"/>
    <w:rsid w:val="00682BF2"/>
    <w:rsid w:val="0068573E"/>
    <w:rsid w:val="00685885"/>
    <w:rsid w:val="006859CE"/>
    <w:rsid w:val="00691270"/>
    <w:rsid w:val="00694BA8"/>
    <w:rsid w:val="006A037C"/>
    <w:rsid w:val="006A0CCC"/>
    <w:rsid w:val="006A36F4"/>
    <w:rsid w:val="006A406F"/>
    <w:rsid w:val="006A5D3A"/>
    <w:rsid w:val="006C23D4"/>
    <w:rsid w:val="006C36B8"/>
    <w:rsid w:val="006C7BB0"/>
    <w:rsid w:val="006D00C9"/>
    <w:rsid w:val="006D3237"/>
    <w:rsid w:val="006E2E37"/>
    <w:rsid w:val="006E3CF1"/>
    <w:rsid w:val="006E68A3"/>
    <w:rsid w:val="006E7E80"/>
    <w:rsid w:val="006F1C2D"/>
    <w:rsid w:val="006F48CA"/>
    <w:rsid w:val="006F64DD"/>
    <w:rsid w:val="006F712D"/>
    <w:rsid w:val="00715127"/>
    <w:rsid w:val="00715E8E"/>
    <w:rsid w:val="007231AD"/>
    <w:rsid w:val="00723580"/>
    <w:rsid w:val="00723755"/>
    <w:rsid w:val="00723E62"/>
    <w:rsid w:val="0073136C"/>
    <w:rsid w:val="00731F0F"/>
    <w:rsid w:val="00733250"/>
    <w:rsid w:val="00741404"/>
    <w:rsid w:val="007449E5"/>
    <w:rsid w:val="0074750E"/>
    <w:rsid w:val="00747FF0"/>
    <w:rsid w:val="0075566E"/>
    <w:rsid w:val="00763602"/>
    <w:rsid w:val="00764D4E"/>
    <w:rsid w:val="00765A1F"/>
    <w:rsid w:val="00775B6D"/>
    <w:rsid w:val="00776D68"/>
    <w:rsid w:val="0078323E"/>
    <w:rsid w:val="007850EE"/>
    <w:rsid w:val="00785B95"/>
    <w:rsid w:val="0078621B"/>
    <w:rsid w:val="00790E96"/>
    <w:rsid w:val="00793366"/>
    <w:rsid w:val="007A716F"/>
    <w:rsid w:val="007B270A"/>
    <w:rsid w:val="007B4182"/>
    <w:rsid w:val="007C0695"/>
    <w:rsid w:val="007C419A"/>
    <w:rsid w:val="007C4CC8"/>
    <w:rsid w:val="007C5426"/>
    <w:rsid w:val="007C5798"/>
    <w:rsid w:val="007C5C4F"/>
    <w:rsid w:val="007D1ECD"/>
    <w:rsid w:val="007D3701"/>
    <w:rsid w:val="007D4832"/>
    <w:rsid w:val="007E21B2"/>
    <w:rsid w:val="007E2C4E"/>
    <w:rsid w:val="007E2C8C"/>
    <w:rsid w:val="007E51BA"/>
    <w:rsid w:val="007E73D7"/>
    <w:rsid w:val="007F1905"/>
    <w:rsid w:val="007F27E4"/>
    <w:rsid w:val="007F3437"/>
    <w:rsid w:val="00802C64"/>
    <w:rsid w:val="00805E52"/>
    <w:rsid w:val="008061D0"/>
    <w:rsid w:val="00810B38"/>
    <w:rsid w:val="00814750"/>
    <w:rsid w:val="008204C7"/>
    <w:rsid w:val="00820992"/>
    <w:rsid w:val="00823602"/>
    <w:rsid w:val="008255F5"/>
    <w:rsid w:val="0083014E"/>
    <w:rsid w:val="0083214A"/>
    <w:rsid w:val="00834220"/>
    <w:rsid w:val="008402EA"/>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B02DC"/>
    <w:rsid w:val="008B092C"/>
    <w:rsid w:val="008B57CE"/>
    <w:rsid w:val="008C26DE"/>
    <w:rsid w:val="008D0942"/>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747"/>
    <w:rsid w:val="00941EFB"/>
    <w:rsid w:val="0094282F"/>
    <w:rsid w:val="00947AFB"/>
    <w:rsid w:val="00951AA3"/>
    <w:rsid w:val="00951D7D"/>
    <w:rsid w:val="00956D0C"/>
    <w:rsid w:val="009630C7"/>
    <w:rsid w:val="00972B55"/>
    <w:rsid w:val="009743B7"/>
    <w:rsid w:val="0098228B"/>
    <w:rsid w:val="009828DA"/>
    <w:rsid w:val="0098410D"/>
    <w:rsid w:val="00985BAB"/>
    <w:rsid w:val="00986B3C"/>
    <w:rsid w:val="009A115C"/>
    <w:rsid w:val="009A1BAA"/>
    <w:rsid w:val="009B1606"/>
    <w:rsid w:val="009B1B5F"/>
    <w:rsid w:val="009B6673"/>
    <w:rsid w:val="009C11D4"/>
    <w:rsid w:val="009C191B"/>
    <w:rsid w:val="009C2BD6"/>
    <w:rsid w:val="009C559D"/>
    <w:rsid w:val="009D0F2F"/>
    <w:rsid w:val="009E1F32"/>
    <w:rsid w:val="009E2CC2"/>
    <w:rsid w:val="009E47A2"/>
    <w:rsid w:val="009E776C"/>
    <w:rsid w:val="009E7A6F"/>
    <w:rsid w:val="009F4C8F"/>
    <w:rsid w:val="00A05588"/>
    <w:rsid w:val="00A14A58"/>
    <w:rsid w:val="00A15601"/>
    <w:rsid w:val="00A1726E"/>
    <w:rsid w:val="00A204CF"/>
    <w:rsid w:val="00A21D2B"/>
    <w:rsid w:val="00A22745"/>
    <w:rsid w:val="00A23D49"/>
    <w:rsid w:val="00A27004"/>
    <w:rsid w:val="00A308CE"/>
    <w:rsid w:val="00A30C29"/>
    <w:rsid w:val="00A34DD6"/>
    <w:rsid w:val="00A35683"/>
    <w:rsid w:val="00A36819"/>
    <w:rsid w:val="00A36989"/>
    <w:rsid w:val="00A43628"/>
    <w:rsid w:val="00A45145"/>
    <w:rsid w:val="00A51D0F"/>
    <w:rsid w:val="00A54192"/>
    <w:rsid w:val="00A57147"/>
    <w:rsid w:val="00A6035E"/>
    <w:rsid w:val="00A6144C"/>
    <w:rsid w:val="00A66617"/>
    <w:rsid w:val="00A671F8"/>
    <w:rsid w:val="00A673A4"/>
    <w:rsid w:val="00A724AE"/>
    <w:rsid w:val="00A73329"/>
    <w:rsid w:val="00A82359"/>
    <w:rsid w:val="00A83139"/>
    <w:rsid w:val="00A865D2"/>
    <w:rsid w:val="00A90BCD"/>
    <w:rsid w:val="00A94C20"/>
    <w:rsid w:val="00A94FC4"/>
    <w:rsid w:val="00AA1B09"/>
    <w:rsid w:val="00AA227F"/>
    <w:rsid w:val="00AA3BC7"/>
    <w:rsid w:val="00AA754A"/>
    <w:rsid w:val="00AB099E"/>
    <w:rsid w:val="00AB4328"/>
    <w:rsid w:val="00AC20BD"/>
    <w:rsid w:val="00AC3CF4"/>
    <w:rsid w:val="00AC4CD4"/>
    <w:rsid w:val="00AC5774"/>
    <w:rsid w:val="00AD7B17"/>
    <w:rsid w:val="00AE0A2E"/>
    <w:rsid w:val="00AE354C"/>
    <w:rsid w:val="00AE54CC"/>
    <w:rsid w:val="00AF4B07"/>
    <w:rsid w:val="00AF6186"/>
    <w:rsid w:val="00AF7A3A"/>
    <w:rsid w:val="00B02587"/>
    <w:rsid w:val="00B160DB"/>
    <w:rsid w:val="00B20836"/>
    <w:rsid w:val="00B235BB"/>
    <w:rsid w:val="00B27A44"/>
    <w:rsid w:val="00B30BBF"/>
    <w:rsid w:val="00B33C03"/>
    <w:rsid w:val="00B4421F"/>
    <w:rsid w:val="00B44E56"/>
    <w:rsid w:val="00B45917"/>
    <w:rsid w:val="00B46543"/>
    <w:rsid w:val="00B47D33"/>
    <w:rsid w:val="00B52BE0"/>
    <w:rsid w:val="00B54133"/>
    <w:rsid w:val="00B701ED"/>
    <w:rsid w:val="00B748F7"/>
    <w:rsid w:val="00B77867"/>
    <w:rsid w:val="00B8086C"/>
    <w:rsid w:val="00B81C58"/>
    <w:rsid w:val="00B861B4"/>
    <w:rsid w:val="00B86DFE"/>
    <w:rsid w:val="00B90990"/>
    <w:rsid w:val="00B922FF"/>
    <w:rsid w:val="00B9281E"/>
    <w:rsid w:val="00B93925"/>
    <w:rsid w:val="00B95187"/>
    <w:rsid w:val="00BA2D55"/>
    <w:rsid w:val="00BA71B1"/>
    <w:rsid w:val="00BA7AA5"/>
    <w:rsid w:val="00BB00BF"/>
    <w:rsid w:val="00BB0637"/>
    <w:rsid w:val="00BB345F"/>
    <w:rsid w:val="00BB68EA"/>
    <w:rsid w:val="00BC0B99"/>
    <w:rsid w:val="00BC1C27"/>
    <w:rsid w:val="00BC6BBF"/>
    <w:rsid w:val="00BD1572"/>
    <w:rsid w:val="00BE14E3"/>
    <w:rsid w:val="00BE3774"/>
    <w:rsid w:val="00BE41E5"/>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55D77"/>
    <w:rsid w:val="00C6098E"/>
    <w:rsid w:val="00C6152C"/>
    <w:rsid w:val="00C74810"/>
    <w:rsid w:val="00C74AD6"/>
    <w:rsid w:val="00C86FA4"/>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66BD"/>
    <w:rsid w:val="00D57A4D"/>
    <w:rsid w:val="00D60AA7"/>
    <w:rsid w:val="00D6435F"/>
    <w:rsid w:val="00D66471"/>
    <w:rsid w:val="00D70641"/>
    <w:rsid w:val="00D74888"/>
    <w:rsid w:val="00D75E28"/>
    <w:rsid w:val="00D772C2"/>
    <w:rsid w:val="00D8008E"/>
    <w:rsid w:val="00D82C45"/>
    <w:rsid w:val="00D908A8"/>
    <w:rsid w:val="00D977B6"/>
    <w:rsid w:val="00DA1223"/>
    <w:rsid w:val="00DA4A31"/>
    <w:rsid w:val="00DA7B04"/>
    <w:rsid w:val="00DB060B"/>
    <w:rsid w:val="00DB36C2"/>
    <w:rsid w:val="00DC169B"/>
    <w:rsid w:val="00DC2AB9"/>
    <w:rsid w:val="00DC63F0"/>
    <w:rsid w:val="00DD37EA"/>
    <w:rsid w:val="00DD6EE5"/>
    <w:rsid w:val="00DE386C"/>
    <w:rsid w:val="00DE41C9"/>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375AA"/>
    <w:rsid w:val="00E40404"/>
    <w:rsid w:val="00E4126A"/>
    <w:rsid w:val="00E42A06"/>
    <w:rsid w:val="00E459C6"/>
    <w:rsid w:val="00E47589"/>
    <w:rsid w:val="00E47645"/>
    <w:rsid w:val="00E63EC7"/>
    <w:rsid w:val="00E64915"/>
    <w:rsid w:val="00E64D3A"/>
    <w:rsid w:val="00E661D4"/>
    <w:rsid w:val="00E70091"/>
    <w:rsid w:val="00E70D2E"/>
    <w:rsid w:val="00E720F5"/>
    <w:rsid w:val="00E76D47"/>
    <w:rsid w:val="00E827BC"/>
    <w:rsid w:val="00E849F7"/>
    <w:rsid w:val="00E90302"/>
    <w:rsid w:val="00E91D05"/>
    <w:rsid w:val="00E95C1E"/>
    <w:rsid w:val="00E97396"/>
    <w:rsid w:val="00EA185E"/>
    <w:rsid w:val="00EA592A"/>
    <w:rsid w:val="00EB14E4"/>
    <w:rsid w:val="00EB32A5"/>
    <w:rsid w:val="00EB34ED"/>
    <w:rsid w:val="00EB447C"/>
    <w:rsid w:val="00EB7BE0"/>
    <w:rsid w:val="00EC315E"/>
    <w:rsid w:val="00ED077C"/>
    <w:rsid w:val="00ED10A9"/>
    <w:rsid w:val="00ED1190"/>
    <w:rsid w:val="00ED2A43"/>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2FA"/>
    <w:rsid w:val="00F56A6F"/>
    <w:rsid w:val="00F5709C"/>
    <w:rsid w:val="00F60B85"/>
    <w:rsid w:val="00F6163E"/>
    <w:rsid w:val="00F64EF1"/>
    <w:rsid w:val="00F72B14"/>
    <w:rsid w:val="00F7349B"/>
    <w:rsid w:val="00F8765F"/>
    <w:rsid w:val="00F90767"/>
    <w:rsid w:val="00F9263C"/>
    <w:rsid w:val="00F96C53"/>
    <w:rsid w:val="00FA1637"/>
    <w:rsid w:val="00FA685B"/>
    <w:rsid w:val="00FB0C01"/>
    <w:rsid w:val="00FB5934"/>
    <w:rsid w:val="00FC18F2"/>
    <w:rsid w:val="00FC2A17"/>
    <w:rsid w:val="00FC38CF"/>
    <w:rsid w:val="00FC39E5"/>
    <w:rsid w:val="00FC3A78"/>
    <w:rsid w:val="00FD0FB8"/>
    <w:rsid w:val="00FD1005"/>
    <w:rsid w:val="00FD1F7F"/>
    <w:rsid w:val="00FD6C75"/>
    <w:rsid w:val="00FD7972"/>
    <w:rsid w:val="00FE0401"/>
    <w:rsid w:val="00FE71B3"/>
    <w:rsid w:val="00FF42C5"/>
    <w:rsid w:val="00FF7FF0"/>
  </w:rsids>
  <w:docVars>
    <w:docVar w:name="ApplicationsApp" w:val="2"/>
    <w:docVar w:name="EMM" w:val="0"/>
    <w:docVar w:name="NBEMMDOC" w:val="0"/>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14:docId w14:val="5FCB59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99"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A94FC4"/>
    <w:rPr>
      <w:sz w:val="24"/>
      <w:szCs w:val="24"/>
      <w:lang w:val="en-GB"/>
    </w:rPr>
  </w:style>
  <w:style w:type="paragraph" w:styleId="Heading1">
    <w:name w:val="heading 1"/>
    <w:basedOn w:val="Normal"/>
    <w:next w:val="Normal"/>
    <w:link w:val="Heading1Char"/>
    <w:uiPriority w:val="98"/>
    <w:semiHidden/>
    <w:rsid w:val="00A94FC4"/>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A94FC4"/>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A94FC4"/>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A94FC4"/>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A94FC4"/>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A94FC4"/>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A94FC4"/>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A94FC4"/>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A94FC4"/>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A94FC4"/>
    <w:rPr>
      <w:rFonts w:ascii="Tahoma" w:hAnsi="Tahoma" w:cs="Tahoma"/>
      <w:sz w:val="16"/>
      <w:szCs w:val="16"/>
    </w:rPr>
  </w:style>
  <w:style w:type="character" w:customStyle="1" w:styleId="BalloonTextChar">
    <w:name w:val="Balloon Text Char"/>
    <w:basedOn w:val="DefaultParagraphFont"/>
    <w:link w:val="BalloonText"/>
    <w:uiPriority w:val="98"/>
    <w:semiHidden/>
    <w:rsid w:val="00A94FC4"/>
    <w:rPr>
      <w:rFonts w:ascii="Tahoma" w:hAnsi="Tahoma" w:cs="Tahoma"/>
      <w:sz w:val="16"/>
      <w:szCs w:val="16"/>
      <w:lang w:val="en-GB"/>
    </w:rPr>
  </w:style>
  <w:style w:type="character" w:styleId="BookTitle">
    <w:name w:val="Book Title"/>
    <w:uiPriority w:val="98"/>
    <w:semiHidden/>
    <w:qFormat/>
    <w:rsid w:val="00A94FC4"/>
    <w:rPr>
      <w:i/>
      <w:iCs/>
      <w:smallCaps/>
      <w:spacing w:val="5"/>
    </w:rPr>
  </w:style>
  <w:style w:type="paragraph" w:customStyle="1" w:styleId="JuHeader">
    <w:name w:val="Ju_Header"/>
    <w:aliases w:val="_Header"/>
    <w:basedOn w:val="Header0"/>
    <w:uiPriority w:val="29"/>
    <w:qFormat/>
    <w:rsid w:val="00A94FC4"/>
    <w:pPr>
      <w:tabs>
        <w:tab w:val="clear" w:pos="4536"/>
        <w:tab w:val="clear" w:pos="9072"/>
      </w:tabs>
      <w:jc w:val="center"/>
    </w:pPr>
    <w:rPr>
      <w:sz w:val="18"/>
    </w:rPr>
  </w:style>
  <w:style w:type="paragraph" w:customStyle="1" w:styleId="NormalJustified">
    <w:name w:val="Normal_Justified"/>
    <w:basedOn w:val="Normal"/>
    <w:semiHidden/>
    <w:rsid w:val="00A94FC4"/>
    <w:pPr>
      <w:jc w:val="both"/>
    </w:pPr>
  </w:style>
  <w:style w:type="character" w:styleId="Strong">
    <w:name w:val="Strong"/>
    <w:uiPriority w:val="98"/>
    <w:semiHidden/>
    <w:qFormat/>
    <w:rsid w:val="00A94FC4"/>
    <w:rPr>
      <w:b/>
      <w:bCs/>
    </w:rPr>
  </w:style>
  <w:style w:type="paragraph" w:styleId="NoSpacing">
    <w:name w:val="No Spacing"/>
    <w:basedOn w:val="Normal"/>
    <w:link w:val="NoSpacingChar"/>
    <w:uiPriority w:val="98"/>
    <w:semiHidden/>
    <w:qFormat/>
    <w:rsid w:val="00A94FC4"/>
  </w:style>
  <w:style w:type="character" w:customStyle="1" w:styleId="NoSpacingChar">
    <w:name w:val="No Spacing Char"/>
    <w:basedOn w:val="DefaultParagraphFont"/>
    <w:link w:val="NoSpacing"/>
    <w:uiPriority w:val="98"/>
    <w:semiHidden/>
    <w:rsid w:val="00A94FC4"/>
    <w:rPr>
      <w:sz w:val="24"/>
      <w:szCs w:val="24"/>
      <w:lang w:val="en-GB"/>
    </w:rPr>
  </w:style>
  <w:style w:type="paragraph" w:customStyle="1" w:styleId="JuQuot">
    <w:name w:val="Ju_Quot"/>
    <w:aliases w:val="_Quote"/>
    <w:basedOn w:val="NormalJustified"/>
    <w:uiPriority w:val="20"/>
    <w:qFormat/>
    <w:rsid w:val="00A94FC4"/>
    <w:pPr>
      <w:spacing w:before="120" w:after="120"/>
      <w:ind w:left="425" w:firstLine="142"/>
    </w:pPr>
    <w:rPr>
      <w:sz w:val="20"/>
    </w:rPr>
  </w:style>
  <w:style w:type="paragraph" w:customStyle="1" w:styleId="DummyStyle">
    <w:name w:val="Dummy_Style"/>
    <w:aliases w:val="_Dummy"/>
    <w:basedOn w:val="Normal"/>
    <w:semiHidden/>
    <w:qFormat/>
    <w:rsid w:val="00A94FC4"/>
    <w:rPr>
      <w:color w:val="00B050"/>
      <w:sz w:val="22"/>
    </w:rPr>
  </w:style>
  <w:style w:type="paragraph" w:customStyle="1" w:styleId="JuList">
    <w:name w:val="Ju_List"/>
    <w:aliases w:val="_List_1"/>
    <w:basedOn w:val="NormalJustified"/>
    <w:uiPriority w:val="23"/>
    <w:qFormat/>
    <w:rsid w:val="00A94FC4"/>
    <w:pPr>
      <w:numPr>
        <w:numId w:val="11"/>
      </w:numPr>
      <w:spacing w:before="280" w:after="60"/>
    </w:pPr>
  </w:style>
  <w:style w:type="paragraph" w:customStyle="1" w:styleId="JuLista">
    <w:name w:val="Ju_List_a"/>
    <w:aliases w:val="_List_2"/>
    <w:basedOn w:val="NormalJustified"/>
    <w:uiPriority w:val="23"/>
    <w:rsid w:val="00A94FC4"/>
    <w:pPr>
      <w:numPr>
        <w:ilvl w:val="1"/>
        <w:numId w:val="11"/>
      </w:numPr>
    </w:pPr>
  </w:style>
  <w:style w:type="paragraph" w:customStyle="1" w:styleId="JuListi">
    <w:name w:val="Ju_List_i"/>
    <w:aliases w:val="_List_3"/>
    <w:basedOn w:val="NormalJustified"/>
    <w:uiPriority w:val="23"/>
    <w:rsid w:val="00A94FC4"/>
    <w:pPr>
      <w:numPr>
        <w:ilvl w:val="2"/>
        <w:numId w:val="11"/>
      </w:numPr>
    </w:pPr>
  </w:style>
  <w:style w:type="paragraph" w:customStyle="1" w:styleId="JuHArticle">
    <w:name w:val="Ju_H_Article"/>
    <w:aliases w:val="_Title_Quote"/>
    <w:basedOn w:val="Normal"/>
    <w:next w:val="JuQuot"/>
    <w:uiPriority w:val="19"/>
    <w:qFormat/>
    <w:rsid w:val="00A94FC4"/>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A94FC4"/>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A94FC4"/>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A94FC4"/>
    <w:pPr>
      <w:keepNext/>
      <w:keepLines/>
      <w:numPr>
        <w:numId w:val="6"/>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A94FC4"/>
    <w:pPr>
      <w:numPr>
        <w:numId w:val="10"/>
      </w:numPr>
    </w:pPr>
  </w:style>
  <w:style w:type="paragraph" w:customStyle="1" w:styleId="JuSigned">
    <w:name w:val="Ju_Signed"/>
    <w:aliases w:val="_Signature"/>
    <w:basedOn w:val="Normal"/>
    <w:next w:val="JuPara"/>
    <w:uiPriority w:val="31"/>
    <w:qFormat/>
    <w:rsid w:val="00A94FC4"/>
    <w:pPr>
      <w:tabs>
        <w:tab w:val="center" w:pos="851"/>
        <w:tab w:val="center" w:pos="6407"/>
      </w:tabs>
      <w:spacing w:before="720"/>
    </w:pPr>
  </w:style>
  <w:style w:type="paragraph" w:styleId="Title">
    <w:name w:val="Title"/>
    <w:basedOn w:val="Normal"/>
    <w:next w:val="Normal"/>
    <w:link w:val="TitleChar"/>
    <w:uiPriority w:val="98"/>
    <w:semiHidden/>
    <w:qFormat/>
    <w:rsid w:val="00A94FC4"/>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A94FC4"/>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A94FC4"/>
    <w:pPr>
      <w:numPr>
        <w:numId w:val="11"/>
      </w:numPr>
    </w:pPr>
  </w:style>
  <w:style w:type="numbering" w:customStyle="1" w:styleId="ECHRA1StyleNumberedList">
    <w:name w:val="ECHR_A1_Style_Numbered_List"/>
    <w:basedOn w:val="NoList"/>
    <w:rsid w:val="00A94FC4"/>
    <w:pPr>
      <w:numPr>
        <w:numId w:val="12"/>
      </w:numPr>
    </w:pPr>
  </w:style>
  <w:style w:type="table" w:customStyle="1" w:styleId="ECHRTable2019">
    <w:name w:val="ECHR_Table_2019"/>
    <w:basedOn w:val="TableNormal"/>
    <w:uiPriority w:val="99"/>
    <w:rsid w:val="00A94FC4"/>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1"/>
    <w:uiPriority w:val="57"/>
    <w:semiHidden/>
    <w:rsid w:val="007D3701"/>
    <w:rPr>
      <w:sz w:val="8"/>
    </w:rPr>
  </w:style>
  <w:style w:type="paragraph" w:customStyle="1" w:styleId="JuCourt">
    <w:name w:val="Ju_Court"/>
    <w:aliases w:val="_Court_Names"/>
    <w:basedOn w:val="Normal"/>
    <w:next w:val="Normal"/>
    <w:uiPriority w:val="32"/>
    <w:qFormat/>
    <w:rsid w:val="00A94FC4"/>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A94FC4"/>
    <w:pPr>
      <w:keepNext/>
      <w:keepLines/>
      <w:numPr>
        <w:ilvl w:val="1"/>
        <w:numId w:val="6"/>
      </w:numPr>
      <w:tabs>
        <w:tab w:val="left" w:pos="454"/>
        <w:tab w:val="left" w:pos="567"/>
        <w:tab w:val="left" w:pos="680"/>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A94FC4"/>
    <w:pPr>
      <w:keepNext/>
      <w:keepLines/>
      <w:numPr>
        <w:ilvl w:val="2"/>
        <w:numId w:val="6"/>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A94FC4"/>
    <w:pPr>
      <w:keepNext/>
      <w:keepLines/>
      <w:numPr>
        <w:ilvl w:val="3"/>
        <w:numId w:val="6"/>
      </w:numPr>
      <w:spacing w:before="100" w:beforeAutospacing="1" w:after="120"/>
      <w:jc w:val="both"/>
    </w:pPr>
    <w:rPr>
      <w:b w:val="0"/>
      <w:color w:val="auto"/>
      <w:sz w:val="24"/>
    </w:rPr>
  </w:style>
  <w:style w:type="paragraph" w:styleId="Header0">
    <w:name w:val="header"/>
    <w:basedOn w:val="Normal"/>
    <w:link w:val="HeaderChar"/>
    <w:uiPriority w:val="98"/>
    <w:semiHidden/>
    <w:rsid w:val="00A94FC4"/>
    <w:pPr>
      <w:tabs>
        <w:tab w:val="center" w:pos="4536"/>
        <w:tab w:val="right" w:pos="9072"/>
      </w:tabs>
    </w:pPr>
  </w:style>
  <w:style w:type="character" w:customStyle="1" w:styleId="HeaderChar">
    <w:name w:val="Header Char"/>
    <w:basedOn w:val="DefaultParagraphFont"/>
    <w:link w:val="Header0"/>
    <w:uiPriority w:val="98"/>
    <w:semiHidden/>
    <w:rsid w:val="00A94FC4"/>
    <w:rPr>
      <w:sz w:val="24"/>
      <w:szCs w:val="24"/>
      <w:lang w:val="en-GB"/>
    </w:rPr>
  </w:style>
  <w:style w:type="character" w:customStyle="1" w:styleId="Heading1Char">
    <w:name w:val="Heading 1 Char"/>
    <w:basedOn w:val="DefaultParagraphFont"/>
    <w:link w:val="Heading1"/>
    <w:uiPriority w:val="98"/>
    <w:semiHidden/>
    <w:rsid w:val="00A94FC4"/>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A94FC4"/>
    <w:pPr>
      <w:keepNext/>
      <w:keepLines/>
      <w:numPr>
        <w:ilvl w:val="4"/>
        <w:numId w:val="6"/>
      </w:numPr>
      <w:spacing w:before="100" w:beforeAutospacing="1" w:after="120"/>
      <w:jc w:val="both"/>
    </w:pPr>
    <w:rPr>
      <w:color w:val="auto"/>
      <w:sz w:val="20"/>
    </w:rPr>
  </w:style>
  <w:style w:type="paragraph" w:customStyle="1" w:styleId="JuHi">
    <w:name w:val="Ju_H_i"/>
    <w:aliases w:val="_Head_6"/>
    <w:basedOn w:val="Heading6"/>
    <w:next w:val="JuPara"/>
    <w:uiPriority w:val="17"/>
    <w:rsid w:val="00A94FC4"/>
    <w:pPr>
      <w:keepNext/>
      <w:keepLines/>
      <w:numPr>
        <w:ilvl w:val="5"/>
        <w:numId w:val="6"/>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A94FC4"/>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A94FC4"/>
    <w:pPr>
      <w:keepNext/>
      <w:keepLines/>
      <w:numPr>
        <w:ilvl w:val="6"/>
        <w:numId w:val="6"/>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A94FC4"/>
    <w:pPr>
      <w:keepNext/>
      <w:keepLines/>
      <w:numPr>
        <w:ilvl w:val="7"/>
        <w:numId w:val="6"/>
      </w:numPr>
      <w:spacing w:before="100" w:beforeAutospacing="1" w:after="120"/>
      <w:jc w:val="both"/>
    </w:pPr>
    <w:rPr>
      <w:i/>
    </w:rPr>
  </w:style>
  <w:style w:type="character" w:customStyle="1" w:styleId="Heading3Char">
    <w:name w:val="Heading 3 Char"/>
    <w:basedOn w:val="DefaultParagraphFont"/>
    <w:link w:val="Heading3"/>
    <w:uiPriority w:val="98"/>
    <w:semiHidden/>
    <w:rsid w:val="00A94FC4"/>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A94FC4"/>
    <w:pPr>
      <w:keepNext/>
      <w:keepLines/>
      <w:spacing w:before="240" w:after="240"/>
      <w:ind w:firstLine="284"/>
    </w:pPr>
  </w:style>
  <w:style w:type="paragraph" w:customStyle="1" w:styleId="JuJudges">
    <w:name w:val="Ju_Judges"/>
    <w:aliases w:val="_Judges"/>
    <w:basedOn w:val="Normal"/>
    <w:uiPriority w:val="32"/>
    <w:qFormat/>
    <w:rsid w:val="00A94FC4"/>
    <w:pPr>
      <w:tabs>
        <w:tab w:val="left" w:pos="567"/>
        <w:tab w:val="left" w:pos="1134"/>
      </w:tabs>
    </w:pPr>
  </w:style>
  <w:style w:type="character" w:customStyle="1" w:styleId="Heading4Char">
    <w:name w:val="Heading 4 Char"/>
    <w:basedOn w:val="DefaultParagraphFont"/>
    <w:link w:val="Heading4"/>
    <w:uiPriority w:val="98"/>
    <w:semiHidden/>
    <w:rsid w:val="00A94FC4"/>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A94FC4"/>
    <w:pPr>
      <w:tabs>
        <w:tab w:val="center" w:pos="6407"/>
      </w:tabs>
      <w:spacing w:before="720"/>
      <w:jc w:val="right"/>
    </w:pPr>
  </w:style>
  <w:style w:type="character" w:customStyle="1" w:styleId="Heading5Char">
    <w:name w:val="Heading 5 Char"/>
    <w:basedOn w:val="DefaultParagraphFont"/>
    <w:link w:val="Heading5"/>
    <w:uiPriority w:val="98"/>
    <w:semiHidden/>
    <w:rsid w:val="00A94FC4"/>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A94FC4"/>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A94FC4"/>
    <w:rPr>
      <w:caps w:val="0"/>
      <w:smallCaps/>
    </w:rPr>
  </w:style>
  <w:style w:type="character" w:styleId="SubtleEmphasis">
    <w:name w:val="Subtle Emphasis"/>
    <w:uiPriority w:val="98"/>
    <w:semiHidden/>
    <w:qFormat/>
    <w:rsid w:val="00A94FC4"/>
    <w:rPr>
      <w:i/>
      <w:iCs/>
    </w:rPr>
  </w:style>
  <w:style w:type="table" w:customStyle="1" w:styleId="ECHRTable">
    <w:name w:val="ECHR_Table"/>
    <w:basedOn w:val="TableNormal"/>
    <w:rsid w:val="00A94FC4"/>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A94FC4"/>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20"/>
    <w:qFormat/>
    <w:rsid w:val="00A94FC4"/>
    <w:rPr>
      <w:b/>
      <w:bCs/>
      <w:i/>
      <w:iCs/>
      <w:spacing w:val="10"/>
      <w:bdr w:val="none" w:sz="0" w:space="0" w:color="auto"/>
      <w:shd w:val="clear" w:color="auto" w:fill="auto"/>
    </w:rPr>
  </w:style>
  <w:style w:type="paragraph" w:styleId="Footer1">
    <w:name w:val="footer"/>
    <w:basedOn w:val="Normal"/>
    <w:link w:val="FooterChar"/>
    <w:uiPriority w:val="99"/>
    <w:rsid w:val="00A94FC4"/>
    <w:pPr>
      <w:tabs>
        <w:tab w:val="center" w:pos="3686"/>
        <w:tab w:val="right" w:pos="7371"/>
      </w:tabs>
    </w:pPr>
  </w:style>
  <w:style w:type="character" w:customStyle="1" w:styleId="FooterChar">
    <w:name w:val="Footer Char"/>
    <w:basedOn w:val="DefaultParagraphFont"/>
    <w:link w:val="Footer1"/>
    <w:uiPriority w:val="99"/>
    <w:rsid w:val="00A94FC4"/>
    <w:rPr>
      <w:sz w:val="24"/>
      <w:szCs w:val="24"/>
      <w:lang w:val="en-GB"/>
    </w:rPr>
  </w:style>
  <w:style w:type="character" w:styleId="FootnoteReference">
    <w:name w:val="footnote reference"/>
    <w:basedOn w:val="DefaultParagraphFont"/>
    <w:uiPriority w:val="98"/>
    <w:semiHidden/>
    <w:rsid w:val="00A94FC4"/>
    <w:rPr>
      <w:vertAlign w:val="superscript"/>
    </w:rPr>
  </w:style>
  <w:style w:type="paragraph" w:styleId="FootnoteText">
    <w:name w:val="footnote text"/>
    <w:basedOn w:val="Normal"/>
    <w:link w:val="FootnoteTextChar"/>
    <w:uiPriority w:val="98"/>
    <w:semiHidden/>
    <w:rsid w:val="00A94FC4"/>
    <w:rPr>
      <w:sz w:val="20"/>
      <w:szCs w:val="20"/>
    </w:rPr>
  </w:style>
  <w:style w:type="character" w:customStyle="1" w:styleId="FootnoteTextChar">
    <w:name w:val="Footnote Text Char"/>
    <w:basedOn w:val="DefaultParagraphFont"/>
    <w:link w:val="FootnoteText"/>
    <w:uiPriority w:val="98"/>
    <w:semiHidden/>
    <w:rsid w:val="00A94FC4"/>
    <w:rPr>
      <w:sz w:val="20"/>
      <w:szCs w:val="20"/>
      <w:lang w:val="en-GB"/>
    </w:rPr>
  </w:style>
  <w:style w:type="character" w:customStyle="1" w:styleId="Heading6Char">
    <w:name w:val="Heading 6 Char"/>
    <w:basedOn w:val="DefaultParagraphFont"/>
    <w:link w:val="Heading6"/>
    <w:uiPriority w:val="98"/>
    <w:semiHidden/>
    <w:rsid w:val="00A94FC4"/>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A94FC4"/>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A94FC4"/>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A94FC4"/>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A94FC4"/>
    <w:rPr>
      <w:color w:val="0072BC" w:themeColor="hyperlink"/>
      <w:u w:val="single"/>
    </w:rPr>
  </w:style>
  <w:style w:type="character" w:styleId="IntenseEmphasis">
    <w:name w:val="Intense Emphasis"/>
    <w:uiPriority w:val="98"/>
    <w:semiHidden/>
    <w:qFormat/>
    <w:rsid w:val="00A94FC4"/>
    <w:rPr>
      <w:b/>
      <w:bCs/>
    </w:rPr>
  </w:style>
  <w:style w:type="paragraph" w:styleId="IntenseQuote">
    <w:name w:val="Intense Quote"/>
    <w:basedOn w:val="Normal"/>
    <w:next w:val="Normal"/>
    <w:link w:val="IntenseQuoteChar"/>
    <w:uiPriority w:val="98"/>
    <w:semiHidden/>
    <w:qFormat/>
    <w:rsid w:val="00A94FC4"/>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A94FC4"/>
    <w:rPr>
      <w:b/>
      <w:bCs/>
      <w:i/>
      <w:iCs/>
      <w:sz w:val="24"/>
      <w:szCs w:val="24"/>
      <w:lang w:val="en-GB" w:bidi="en-US"/>
    </w:rPr>
  </w:style>
  <w:style w:type="character" w:styleId="IntenseReference">
    <w:name w:val="Intense Reference"/>
    <w:uiPriority w:val="98"/>
    <w:semiHidden/>
    <w:qFormat/>
    <w:rsid w:val="00A94FC4"/>
    <w:rPr>
      <w:smallCaps/>
      <w:spacing w:val="5"/>
      <w:u w:val="single"/>
    </w:rPr>
  </w:style>
  <w:style w:type="paragraph" w:styleId="ListParagraph">
    <w:name w:val="List Paragraph"/>
    <w:basedOn w:val="Normal"/>
    <w:uiPriority w:val="98"/>
    <w:semiHidden/>
    <w:qFormat/>
    <w:rsid w:val="00A94FC4"/>
    <w:pPr>
      <w:ind w:left="720"/>
      <w:contextualSpacing/>
    </w:pPr>
  </w:style>
  <w:style w:type="table" w:customStyle="1" w:styleId="LtrTableAddress">
    <w:name w:val="Ltr_Table_Address"/>
    <w:aliases w:val="ECHR_Ltr_Table_Address"/>
    <w:basedOn w:val="TableNormal"/>
    <w:uiPriority w:val="99"/>
    <w:rsid w:val="00A94FC4"/>
    <w:rPr>
      <w:sz w:val="24"/>
      <w:szCs w:val="24"/>
    </w:rPr>
    <w:tblPr>
      <w:tblInd w:w="5103" w:type="dxa"/>
    </w:tblPr>
  </w:style>
  <w:style w:type="paragraph" w:styleId="Quote0">
    <w:name w:val="Quote"/>
    <w:basedOn w:val="Normal"/>
    <w:next w:val="Normal"/>
    <w:link w:val="QuoteChar"/>
    <w:uiPriority w:val="99"/>
    <w:qFormat/>
    <w:rsid w:val="00A94FC4"/>
    <w:pPr>
      <w:spacing w:before="200"/>
      <w:ind w:left="360" w:right="360"/>
    </w:pPr>
    <w:rPr>
      <w:i/>
      <w:iCs/>
      <w:lang w:bidi="en-US"/>
    </w:rPr>
  </w:style>
  <w:style w:type="character" w:customStyle="1" w:styleId="QuoteChar">
    <w:name w:val="Quote Char"/>
    <w:basedOn w:val="DefaultParagraphFont"/>
    <w:link w:val="Quote0"/>
    <w:uiPriority w:val="99"/>
    <w:rsid w:val="00A94FC4"/>
    <w:rPr>
      <w:i/>
      <w:iCs/>
      <w:sz w:val="24"/>
      <w:szCs w:val="24"/>
      <w:lang w:val="en-GB" w:bidi="en-US"/>
    </w:rPr>
  </w:style>
  <w:style w:type="character" w:styleId="SubtleReference">
    <w:name w:val="Subtle Reference"/>
    <w:uiPriority w:val="98"/>
    <w:semiHidden/>
    <w:qFormat/>
    <w:rsid w:val="00A94FC4"/>
    <w:rPr>
      <w:smallCaps/>
    </w:rPr>
  </w:style>
  <w:style w:type="table" w:styleId="TableGrid">
    <w:name w:val="Table Grid"/>
    <w:basedOn w:val="TableNormal"/>
    <w:uiPriority w:val="59"/>
    <w:semiHidden/>
    <w:rsid w:val="00A94FC4"/>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A94FC4"/>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A94FC4"/>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A94FC4"/>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A94FC4"/>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A94FC4"/>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A94FC4"/>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A94FC4"/>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A94FC4"/>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A94FC4"/>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A94FC4"/>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A94FC4"/>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A94FC4"/>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A94FC4"/>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A94FC4"/>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A94FC4"/>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A94FC4"/>
    <w:pPr>
      <w:numPr>
        <w:numId w:val="7"/>
      </w:numPr>
    </w:pPr>
  </w:style>
  <w:style w:type="paragraph" w:customStyle="1" w:styleId="JuPara">
    <w:name w:val="Ju_Para"/>
    <w:aliases w:val="_Para"/>
    <w:basedOn w:val="NormalJustified"/>
    <w:link w:val="JuParaChar"/>
    <w:uiPriority w:val="4"/>
    <w:qFormat/>
    <w:rsid w:val="00A94FC4"/>
    <w:pPr>
      <w:ind w:firstLine="284"/>
    </w:pPr>
  </w:style>
  <w:style w:type="numbering" w:styleId="1ai">
    <w:name w:val="Outline List 1"/>
    <w:basedOn w:val="NoList"/>
    <w:uiPriority w:val="99"/>
    <w:semiHidden/>
    <w:unhideWhenUsed/>
    <w:rsid w:val="00A94FC4"/>
    <w:pPr>
      <w:numPr>
        <w:numId w:val="8"/>
      </w:numPr>
    </w:pPr>
  </w:style>
  <w:style w:type="table" w:customStyle="1" w:styleId="ECHRTableSimpleBox">
    <w:name w:val="ECHR_Table_Simple_Box"/>
    <w:basedOn w:val="TableNormal"/>
    <w:uiPriority w:val="99"/>
    <w:rsid w:val="00A94FC4"/>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A94FC4"/>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A94FC4"/>
    <w:pPr>
      <w:numPr>
        <w:numId w:val="9"/>
      </w:numPr>
    </w:pPr>
  </w:style>
  <w:style w:type="table" w:customStyle="1" w:styleId="ECHRTableForInternalUse">
    <w:name w:val="ECHR_Table_For_Internal_Use"/>
    <w:basedOn w:val="TableNormal"/>
    <w:uiPriority w:val="99"/>
    <w:rsid w:val="00A94FC4"/>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A94FC4"/>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A94FC4"/>
  </w:style>
  <w:style w:type="paragraph" w:styleId="BlockText">
    <w:name w:val="Block Text"/>
    <w:basedOn w:val="Normal"/>
    <w:uiPriority w:val="98"/>
    <w:semiHidden/>
    <w:rsid w:val="00A94FC4"/>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A94FC4"/>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A94FC4"/>
    <w:pPr>
      <w:spacing w:after="120"/>
    </w:pPr>
  </w:style>
  <w:style w:type="character" w:customStyle="1" w:styleId="BodyTextChar">
    <w:name w:val="Body Text Char"/>
    <w:basedOn w:val="DefaultParagraphFont"/>
    <w:link w:val="BodyText"/>
    <w:uiPriority w:val="98"/>
    <w:semiHidden/>
    <w:rsid w:val="00A94FC4"/>
    <w:rPr>
      <w:sz w:val="24"/>
      <w:szCs w:val="24"/>
      <w:lang w:val="en-GB"/>
    </w:rPr>
  </w:style>
  <w:style w:type="table" w:customStyle="1" w:styleId="ECHRTableOddBanded">
    <w:name w:val="ECHR_Table_Odd_Banded"/>
    <w:basedOn w:val="TableNormal"/>
    <w:uiPriority w:val="99"/>
    <w:rsid w:val="00A94FC4"/>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A94FC4"/>
    <w:pPr>
      <w:spacing w:after="120" w:line="480" w:lineRule="auto"/>
    </w:pPr>
  </w:style>
  <w:style w:type="table" w:customStyle="1" w:styleId="ECHRHeaderTableReduced">
    <w:name w:val="ECHR_Header_Table_Reduced"/>
    <w:basedOn w:val="TableNormal"/>
    <w:uiPriority w:val="99"/>
    <w:rsid w:val="00A94FC4"/>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A94FC4"/>
    <w:pPr>
      <w:ind w:firstLine="284"/>
    </w:pPr>
    <w:rPr>
      <w:b/>
    </w:rPr>
  </w:style>
  <w:style w:type="character" w:styleId="PageNumber">
    <w:name w:val="page number"/>
    <w:uiPriority w:val="98"/>
    <w:semiHidden/>
    <w:rsid w:val="00A94FC4"/>
    <w:rPr>
      <w:sz w:val="18"/>
    </w:rPr>
  </w:style>
  <w:style w:type="paragraph" w:styleId="ListBullet">
    <w:name w:val="List Bullet"/>
    <w:basedOn w:val="Normal"/>
    <w:uiPriority w:val="98"/>
    <w:semiHidden/>
    <w:rsid w:val="00A94FC4"/>
    <w:pPr>
      <w:numPr>
        <w:numId w:val="13"/>
      </w:numPr>
    </w:pPr>
  </w:style>
  <w:style w:type="paragraph" w:styleId="ListBullet3">
    <w:name w:val="List Bullet 3"/>
    <w:basedOn w:val="Normal"/>
    <w:uiPriority w:val="98"/>
    <w:semiHidden/>
    <w:rsid w:val="00A94FC4"/>
    <w:pPr>
      <w:numPr>
        <w:numId w:val="15"/>
      </w:numPr>
      <w:contextualSpacing/>
    </w:pPr>
  </w:style>
  <w:style w:type="character" w:customStyle="1" w:styleId="BodyText2Char">
    <w:name w:val="Body Text 2 Char"/>
    <w:basedOn w:val="DefaultParagraphFont"/>
    <w:link w:val="BodyText2"/>
    <w:uiPriority w:val="98"/>
    <w:semiHidden/>
    <w:rsid w:val="00A94FC4"/>
    <w:rPr>
      <w:sz w:val="24"/>
      <w:szCs w:val="24"/>
      <w:lang w:val="en-GB"/>
    </w:rPr>
  </w:style>
  <w:style w:type="paragraph" w:styleId="BodyText3">
    <w:name w:val="Body Text 3"/>
    <w:basedOn w:val="Normal"/>
    <w:link w:val="BodyText3Char"/>
    <w:uiPriority w:val="98"/>
    <w:semiHidden/>
    <w:rsid w:val="00A94FC4"/>
    <w:pPr>
      <w:spacing w:after="120"/>
    </w:pPr>
    <w:rPr>
      <w:sz w:val="16"/>
      <w:szCs w:val="16"/>
    </w:rPr>
  </w:style>
  <w:style w:type="character" w:customStyle="1" w:styleId="BodyText3Char">
    <w:name w:val="Body Text 3 Char"/>
    <w:basedOn w:val="DefaultParagraphFont"/>
    <w:link w:val="BodyText3"/>
    <w:uiPriority w:val="98"/>
    <w:semiHidden/>
    <w:rsid w:val="00A94FC4"/>
    <w:rPr>
      <w:sz w:val="16"/>
      <w:szCs w:val="16"/>
      <w:lang w:val="en-GB"/>
    </w:rPr>
  </w:style>
  <w:style w:type="paragraph" w:styleId="BodyTextFirstIndent">
    <w:name w:val="Body Text First Indent"/>
    <w:basedOn w:val="BodyText"/>
    <w:link w:val="BodyTextFirstIndentChar"/>
    <w:uiPriority w:val="98"/>
    <w:semiHidden/>
    <w:rsid w:val="00A94FC4"/>
    <w:pPr>
      <w:spacing w:after="0"/>
      <w:ind w:firstLine="360"/>
    </w:pPr>
  </w:style>
  <w:style w:type="character" w:customStyle="1" w:styleId="BodyTextFirstIndentChar">
    <w:name w:val="Body Text First Indent Char"/>
    <w:basedOn w:val="BodyTextChar"/>
    <w:link w:val="BodyTextFirstIndent"/>
    <w:uiPriority w:val="98"/>
    <w:semiHidden/>
    <w:rsid w:val="00A94FC4"/>
    <w:rPr>
      <w:sz w:val="24"/>
      <w:szCs w:val="24"/>
      <w:lang w:val="en-GB"/>
    </w:rPr>
  </w:style>
  <w:style w:type="paragraph" w:styleId="BodyTextIndent">
    <w:name w:val="Body Text Indent"/>
    <w:basedOn w:val="Normal"/>
    <w:link w:val="BodyTextIndentChar"/>
    <w:uiPriority w:val="98"/>
    <w:semiHidden/>
    <w:rsid w:val="00A94FC4"/>
    <w:pPr>
      <w:spacing w:after="120"/>
      <w:ind w:left="283"/>
    </w:pPr>
  </w:style>
  <w:style w:type="character" w:customStyle="1" w:styleId="BodyTextIndentChar">
    <w:name w:val="Body Text Indent Char"/>
    <w:basedOn w:val="DefaultParagraphFont"/>
    <w:link w:val="BodyTextIndent"/>
    <w:uiPriority w:val="98"/>
    <w:semiHidden/>
    <w:rsid w:val="00A94FC4"/>
    <w:rPr>
      <w:sz w:val="24"/>
      <w:szCs w:val="24"/>
      <w:lang w:val="en-GB"/>
    </w:rPr>
  </w:style>
  <w:style w:type="paragraph" w:styleId="BodyTextFirstIndent2">
    <w:name w:val="Body Text First Indent 2"/>
    <w:basedOn w:val="BodyTextIndent"/>
    <w:link w:val="BodyTextFirstIndent2Char"/>
    <w:uiPriority w:val="98"/>
    <w:semiHidden/>
    <w:rsid w:val="00A94FC4"/>
    <w:pPr>
      <w:spacing w:after="0"/>
      <w:ind w:left="360" w:firstLine="360"/>
    </w:pPr>
  </w:style>
  <w:style w:type="character" w:customStyle="1" w:styleId="BodyTextFirstIndent2Char">
    <w:name w:val="Body Text First Indent 2 Char"/>
    <w:basedOn w:val="BodyTextIndentChar"/>
    <w:link w:val="BodyTextFirstIndent2"/>
    <w:uiPriority w:val="98"/>
    <w:semiHidden/>
    <w:rsid w:val="00A94FC4"/>
    <w:rPr>
      <w:sz w:val="24"/>
      <w:szCs w:val="24"/>
      <w:lang w:val="en-GB"/>
    </w:rPr>
  </w:style>
  <w:style w:type="paragraph" w:styleId="BodyTextIndent2">
    <w:name w:val="Body Text Indent 2"/>
    <w:basedOn w:val="Normal"/>
    <w:link w:val="BodyTextIndent2Char"/>
    <w:uiPriority w:val="98"/>
    <w:semiHidden/>
    <w:rsid w:val="00A94FC4"/>
    <w:pPr>
      <w:spacing w:after="120" w:line="480" w:lineRule="auto"/>
      <w:ind w:left="283"/>
    </w:pPr>
  </w:style>
  <w:style w:type="character" w:customStyle="1" w:styleId="BodyTextIndent2Char">
    <w:name w:val="Body Text Indent 2 Char"/>
    <w:basedOn w:val="DefaultParagraphFont"/>
    <w:link w:val="BodyTextIndent2"/>
    <w:uiPriority w:val="98"/>
    <w:semiHidden/>
    <w:rsid w:val="00A94FC4"/>
    <w:rPr>
      <w:sz w:val="24"/>
      <w:szCs w:val="24"/>
      <w:lang w:val="en-GB"/>
    </w:rPr>
  </w:style>
  <w:style w:type="paragraph" w:styleId="BodyTextIndent3">
    <w:name w:val="Body Text Indent 3"/>
    <w:basedOn w:val="Normal"/>
    <w:link w:val="BodyTextIndent3Char"/>
    <w:uiPriority w:val="98"/>
    <w:semiHidden/>
    <w:rsid w:val="00A94FC4"/>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A94FC4"/>
    <w:rPr>
      <w:sz w:val="16"/>
      <w:szCs w:val="16"/>
      <w:lang w:val="en-GB"/>
    </w:rPr>
  </w:style>
  <w:style w:type="paragraph" w:styleId="Caption">
    <w:name w:val="caption"/>
    <w:basedOn w:val="Normal"/>
    <w:next w:val="Normal"/>
    <w:uiPriority w:val="98"/>
    <w:semiHidden/>
    <w:qFormat/>
    <w:rsid w:val="00A94FC4"/>
    <w:pPr>
      <w:spacing w:after="200"/>
    </w:pPr>
    <w:rPr>
      <w:b/>
      <w:bCs/>
      <w:color w:val="0072BC" w:themeColor="accent1"/>
      <w:sz w:val="18"/>
      <w:szCs w:val="18"/>
    </w:rPr>
  </w:style>
  <w:style w:type="paragraph" w:styleId="Closing">
    <w:name w:val="Closing"/>
    <w:basedOn w:val="Normal"/>
    <w:link w:val="ClosingChar"/>
    <w:uiPriority w:val="98"/>
    <w:semiHidden/>
    <w:rsid w:val="00A94FC4"/>
    <w:pPr>
      <w:ind w:left="4252"/>
    </w:pPr>
  </w:style>
  <w:style w:type="character" w:customStyle="1" w:styleId="ClosingChar">
    <w:name w:val="Closing Char"/>
    <w:basedOn w:val="DefaultParagraphFont"/>
    <w:link w:val="Closing"/>
    <w:uiPriority w:val="98"/>
    <w:semiHidden/>
    <w:rsid w:val="00A94FC4"/>
    <w:rPr>
      <w:sz w:val="24"/>
      <w:szCs w:val="24"/>
      <w:lang w:val="en-GB"/>
    </w:rPr>
  </w:style>
  <w:style w:type="table" w:styleId="ColorfulGrid">
    <w:name w:val="Colorful Grid"/>
    <w:basedOn w:val="TableNormal"/>
    <w:uiPriority w:val="73"/>
    <w:semiHidden/>
    <w:rsid w:val="00A94FC4"/>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A94FC4"/>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A94FC4"/>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A94FC4"/>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A94FC4"/>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A94FC4"/>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A94FC4"/>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A94FC4"/>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A94FC4"/>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A94FC4"/>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A94FC4"/>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A94FC4"/>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A94FC4"/>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A94FC4"/>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A94FC4"/>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A94FC4"/>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A94FC4"/>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A94FC4"/>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A94FC4"/>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A94FC4"/>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A94FC4"/>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A94FC4"/>
    <w:rPr>
      <w:sz w:val="16"/>
      <w:szCs w:val="16"/>
    </w:rPr>
  </w:style>
  <w:style w:type="paragraph" w:styleId="CommentText">
    <w:name w:val="annotation text"/>
    <w:basedOn w:val="Normal"/>
    <w:link w:val="CommentTextChar"/>
    <w:uiPriority w:val="98"/>
    <w:semiHidden/>
    <w:rsid w:val="00A94FC4"/>
    <w:rPr>
      <w:sz w:val="20"/>
      <w:szCs w:val="20"/>
    </w:rPr>
  </w:style>
  <w:style w:type="character" w:customStyle="1" w:styleId="CommentTextChar">
    <w:name w:val="Comment Text Char"/>
    <w:basedOn w:val="DefaultParagraphFont"/>
    <w:link w:val="CommentText"/>
    <w:uiPriority w:val="98"/>
    <w:semiHidden/>
    <w:rsid w:val="00A94FC4"/>
    <w:rPr>
      <w:sz w:val="20"/>
      <w:szCs w:val="20"/>
      <w:lang w:val="en-GB"/>
    </w:rPr>
  </w:style>
  <w:style w:type="paragraph" w:styleId="CommentSubject">
    <w:name w:val="annotation subject"/>
    <w:basedOn w:val="CommentText"/>
    <w:next w:val="CommentText"/>
    <w:link w:val="CommentSubjectChar"/>
    <w:uiPriority w:val="98"/>
    <w:semiHidden/>
    <w:rsid w:val="00A94FC4"/>
    <w:rPr>
      <w:b/>
      <w:bCs/>
    </w:rPr>
  </w:style>
  <w:style w:type="character" w:customStyle="1" w:styleId="CommentSubjectChar">
    <w:name w:val="Comment Subject Char"/>
    <w:basedOn w:val="CommentTextChar"/>
    <w:link w:val="CommentSubject"/>
    <w:uiPriority w:val="98"/>
    <w:semiHidden/>
    <w:rsid w:val="00A94FC4"/>
    <w:rPr>
      <w:b/>
      <w:bCs/>
      <w:sz w:val="20"/>
      <w:szCs w:val="20"/>
      <w:lang w:val="en-GB"/>
    </w:rPr>
  </w:style>
  <w:style w:type="table" w:styleId="DarkList">
    <w:name w:val="Dark List"/>
    <w:basedOn w:val="TableNormal"/>
    <w:uiPriority w:val="70"/>
    <w:semiHidden/>
    <w:rsid w:val="00A94FC4"/>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A94FC4"/>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A94FC4"/>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A94FC4"/>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A94FC4"/>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A94FC4"/>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A94FC4"/>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A94FC4"/>
  </w:style>
  <w:style w:type="character" w:customStyle="1" w:styleId="DateChar">
    <w:name w:val="Date Char"/>
    <w:basedOn w:val="DefaultParagraphFont"/>
    <w:link w:val="Date"/>
    <w:uiPriority w:val="98"/>
    <w:semiHidden/>
    <w:rsid w:val="00A94FC4"/>
    <w:rPr>
      <w:sz w:val="24"/>
      <w:szCs w:val="24"/>
      <w:lang w:val="en-GB"/>
    </w:rPr>
  </w:style>
  <w:style w:type="paragraph" w:styleId="DocumentMap">
    <w:name w:val="Document Map"/>
    <w:basedOn w:val="Normal"/>
    <w:link w:val="DocumentMapChar"/>
    <w:uiPriority w:val="98"/>
    <w:semiHidden/>
    <w:rsid w:val="00A94FC4"/>
    <w:rPr>
      <w:rFonts w:ascii="Tahoma" w:hAnsi="Tahoma" w:cs="Tahoma"/>
      <w:sz w:val="16"/>
      <w:szCs w:val="16"/>
    </w:rPr>
  </w:style>
  <w:style w:type="character" w:customStyle="1" w:styleId="DocumentMapChar">
    <w:name w:val="Document Map Char"/>
    <w:basedOn w:val="DefaultParagraphFont"/>
    <w:link w:val="DocumentMap"/>
    <w:uiPriority w:val="98"/>
    <w:semiHidden/>
    <w:rsid w:val="00A94FC4"/>
    <w:rPr>
      <w:rFonts w:ascii="Tahoma" w:hAnsi="Tahoma" w:cs="Tahoma"/>
      <w:sz w:val="16"/>
      <w:szCs w:val="16"/>
      <w:lang w:val="en-GB"/>
    </w:rPr>
  </w:style>
  <w:style w:type="paragraph" w:styleId="E-mailSignature">
    <w:name w:val="E-mail Signature"/>
    <w:basedOn w:val="Normal"/>
    <w:link w:val="E-mailSignatureChar"/>
    <w:uiPriority w:val="98"/>
    <w:semiHidden/>
    <w:rsid w:val="00A94FC4"/>
  </w:style>
  <w:style w:type="character" w:customStyle="1" w:styleId="E-mailSignatureChar">
    <w:name w:val="E-mail Signature Char"/>
    <w:basedOn w:val="DefaultParagraphFont"/>
    <w:link w:val="E-mailSignature"/>
    <w:uiPriority w:val="98"/>
    <w:semiHidden/>
    <w:rsid w:val="00A94FC4"/>
    <w:rPr>
      <w:sz w:val="24"/>
      <w:szCs w:val="24"/>
      <w:lang w:val="en-GB"/>
    </w:rPr>
  </w:style>
  <w:style w:type="character" w:styleId="EndnoteReference">
    <w:name w:val="endnote reference"/>
    <w:basedOn w:val="DefaultParagraphFont"/>
    <w:uiPriority w:val="98"/>
    <w:semiHidden/>
    <w:rsid w:val="00A94FC4"/>
    <w:rPr>
      <w:vertAlign w:val="superscript"/>
    </w:rPr>
  </w:style>
  <w:style w:type="paragraph" w:styleId="EndnoteText">
    <w:name w:val="endnote text"/>
    <w:basedOn w:val="Normal"/>
    <w:link w:val="EndnoteTextChar"/>
    <w:uiPriority w:val="98"/>
    <w:semiHidden/>
    <w:rsid w:val="00A94FC4"/>
    <w:rPr>
      <w:sz w:val="20"/>
      <w:szCs w:val="20"/>
    </w:rPr>
  </w:style>
  <w:style w:type="character" w:customStyle="1" w:styleId="EndnoteTextChar">
    <w:name w:val="Endnote Text Char"/>
    <w:basedOn w:val="DefaultParagraphFont"/>
    <w:link w:val="EndnoteText"/>
    <w:uiPriority w:val="98"/>
    <w:semiHidden/>
    <w:rsid w:val="00A94FC4"/>
    <w:rPr>
      <w:sz w:val="20"/>
      <w:szCs w:val="20"/>
      <w:lang w:val="en-GB"/>
    </w:rPr>
  </w:style>
  <w:style w:type="paragraph" w:styleId="EnvelopeAddress">
    <w:name w:val="envelope address"/>
    <w:basedOn w:val="Normal"/>
    <w:uiPriority w:val="98"/>
    <w:semiHidden/>
    <w:rsid w:val="00A94FC4"/>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A94FC4"/>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A94FC4"/>
    <w:rPr>
      <w:color w:val="7030A0" w:themeColor="followedHyperlink"/>
      <w:u w:val="single"/>
    </w:rPr>
  </w:style>
  <w:style w:type="character" w:styleId="HTMLAcronym">
    <w:name w:val="HTML Acronym"/>
    <w:basedOn w:val="DefaultParagraphFont"/>
    <w:uiPriority w:val="98"/>
    <w:semiHidden/>
    <w:rsid w:val="00A94FC4"/>
  </w:style>
  <w:style w:type="paragraph" w:styleId="HTMLAddress">
    <w:name w:val="HTML Address"/>
    <w:basedOn w:val="Normal"/>
    <w:link w:val="HTMLAddressChar"/>
    <w:uiPriority w:val="98"/>
    <w:semiHidden/>
    <w:rsid w:val="00A94FC4"/>
    <w:rPr>
      <w:i/>
      <w:iCs/>
    </w:rPr>
  </w:style>
  <w:style w:type="character" w:customStyle="1" w:styleId="HTMLAddressChar">
    <w:name w:val="HTML Address Char"/>
    <w:basedOn w:val="DefaultParagraphFont"/>
    <w:link w:val="HTMLAddress"/>
    <w:uiPriority w:val="98"/>
    <w:semiHidden/>
    <w:rsid w:val="00A94FC4"/>
    <w:rPr>
      <w:i/>
      <w:iCs/>
      <w:sz w:val="24"/>
      <w:szCs w:val="24"/>
      <w:lang w:val="en-GB"/>
    </w:rPr>
  </w:style>
  <w:style w:type="character" w:styleId="HTMLCite">
    <w:name w:val="HTML Cite"/>
    <w:basedOn w:val="DefaultParagraphFont"/>
    <w:uiPriority w:val="98"/>
    <w:semiHidden/>
    <w:rsid w:val="00A94FC4"/>
    <w:rPr>
      <w:i/>
      <w:iCs/>
    </w:rPr>
  </w:style>
  <w:style w:type="character" w:styleId="HTMLCode">
    <w:name w:val="HTML Code"/>
    <w:basedOn w:val="DefaultParagraphFont"/>
    <w:uiPriority w:val="98"/>
    <w:semiHidden/>
    <w:rsid w:val="00A94FC4"/>
    <w:rPr>
      <w:rFonts w:ascii="Consolas" w:hAnsi="Consolas" w:cs="Consolas"/>
      <w:sz w:val="20"/>
      <w:szCs w:val="20"/>
    </w:rPr>
  </w:style>
  <w:style w:type="character" w:styleId="HTMLDefinition">
    <w:name w:val="HTML Definition"/>
    <w:basedOn w:val="DefaultParagraphFont"/>
    <w:uiPriority w:val="98"/>
    <w:semiHidden/>
    <w:rsid w:val="00A94FC4"/>
    <w:rPr>
      <w:i/>
      <w:iCs/>
    </w:rPr>
  </w:style>
  <w:style w:type="character" w:styleId="HTMLKeyboard">
    <w:name w:val="HTML Keyboard"/>
    <w:basedOn w:val="DefaultParagraphFont"/>
    <w:uiPriority w:val="98"/>
    <w:semiHidden/>
    <w:rsid w:val="00A94FC4"/>
    <w:rPr>
      <w:rFonts w:ascii="Consolas" w:hAnsi="Consolas" w:cs="Consolas"/>
      <w:sz w:val="20"/>
      <w:szCs w:val="20"/>
    </w:rPr>
  </w:style>
  <w:style w:type="paragraph" w:styleId="HTMLPreformatted">
    <w:name w:val="HTML Preformatted"/>
    <w:basedOn w:val="Normal"/>
    <w:link w:val="HTMLPreformattedChar"/>
    <w:uiPriority w:val="98"/>
    <w:semiHidden/>
    <w:rsid w:val="00A94FC4"/>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A94FC4"/>
    <w:rPr>
      <w:rFonts w:ascii="Consolas" w:hAnsi="Consolas" w:cs="Consolas"/>
      <w:sz w:val="20"/>
      <w:szCs w:val="20"/>
      <w:lang w:val="en-GB"/>
    </w:rPr>
  </w:style>
  <w:style w:type="character" w:styleId="HTMLSample">
    <w:name w:val="HTML Sample"/>
    <w:basedOn w:val="DefaultParagraphFont"/>
    <w:uiPriority w:val="98"/>
    <w:semiHidden/>
    <w:rsid w:val="00A94FC4"/>
    <w:rPr>
      <w:rFonts w:ascii="Consolas" w:hAnsi="Consolas" w:cs="Consolas"/>
      <w:sz w:val="24"/>
      <w:szCs w:val="24"/>
    </w:rPr>
  </w:style>
  <w:style w:type="character" w:styleId="HTMLTypewriter">
    <w:name w:val="HTML Typewriter"/>
    <w:basedOn w:val="DefaultParagraphFont"/>
    <w:uiPriority w:val="98"/>
    <w:semiHidden/>
    <w:rsid w:val="00A94FC4"/>
    <w:rPr>
      <w:rFonts w:ascii="Consolas" w:hAnsi="Consolas" w:cs="Consolas"/>
      <w:sz w:val="20"/>
      <w:szCs w:val="20"/>
    </w:rPr>
  </w:style>
  <w:style w:type="character" w:styleId="HTMLVariable">
    <w:name w:val="HTML Variable"/>
    <w:basedOn w:val="DefaultParagraphFont"/>
    <w:uiPriority w:val="98"/>
    <w:semiHidden/>
    <w:rsid w:val="00A94FC4"/>
    <w:rPr>
      <w:i/>
      <w:iCs/>
    </w:rPr>
  </w:style>
  <w:style w:type="paragraph" w:styleId="Index1">
    <w:name w:val="index 1"/>
    <w:basedOn w:val="Normal"/>
    <w:next w:val="Normal"/>
    <w:autoRedefine/>
    <w:uiPriority w:val="98"/>
    <w:semiHidden/>
    <w:rsid w:val="00A94FC4"/>
    <w:pPr>
      <w:ind w:left="240" w:hanging="240"/>
    </w:pPr>
  </w:style>
  <w:style w:type="paragraph" w:styleId="Index2">
    <w:name w:val="index 2"/>
    <w:basedOn w:val="Normal"/>
    <w:next w:val="Normal"/>
    <w:autoRedefine/>
    <w:uiPriority w:val="98"/>
    <w:semiHidden/>
    <w:rsid w:val="00A94FC4"/>
    <w:pPr>
      <w:ind w:left="480" w:hanging="240"/>
    </w:pPr>
  </w:style>
  <w:style w:type="paragraph" w:styleId="Index3">
    <w:name w:val="index 3"/>
    <w:basedOn w:val="Normal"/>
    <w:next w:val="Normal"/>
    <w:autoRedefine/>
    <w:uiPriority w:val="98"/>
    <w:semiHidden/>
    <w:rsid w:val="00A94FC4"/>
    <w:pPr>
      <w:ind w:left="720" w:hanging="240"/>
    </w:pPr>
  </w:style>
  <w:style w:type="paragraph" w:styleId="Index4">
    <w:name w:val="index 4"/>
    <w:basedOn w:val="Normal"/>
    <w:next w:val="Normal"/>
    <w:autoRedefine/>
    <w:uiPriority w:val="98"/>
    <w:semiHidden/>
    <w:rsid w:val="00A94FC4"/>
    <w:pPr>
      <w:ind w:left="960" w:hanging="240"/>
    </w:pPr>
  </w:style>
  <w:style w:type="paragraph" w:styleId="Index5">
    <w:name w:val="index 5"/>
    <w:basedOn w:val="Normal"/>
    <w:next w:val="Normal"/>
    <w:autoRedefine/>
    <w:uiPriority w:val="98"/>
    <w:semiHidden/>
    <w:rsid w:val="00A94FC4"/>
    <w:pPr>
      <w:ind w:left="1200" w:hanging="240"/>
    </w:pPr>
  </w:style>
  <w:style w:type="paragraph" w:styleId="Index6">
    <w:name w:val="index 6"/>
    <w:basedOn w:val="Normal"/>
    <w:next w:val="Normal"/>
    <w:autoRedefine/>
    <w:uiPriority w:val="98"/>
    <w:semiHidden/>
    <w:rsid w:val="00A94FC4"/>
    <w:pPr>
      <w:ind w:left="1440" w:hanging="240"/>
    </w:pPr>
  </w:style>
  <w:style w:type="paragraph" w:styleId="Index7">
    <w:name w:val="index 7"/>
    <w:basedOn w:val="Normal"/>
    <w:next w:val="Normal"/>
    <w:autoRedefine/>
    <w:uiPriority w:val="98"/>
    <w:semiHidden/>
    <w:rsid w:val="00A94FC4"/>
    <w:pPr>
      <w:ind w:left="1680" w:hanging="240"/>
    </w:pPr>
  </w:style>
  <w:style w:type="paragraph" w:styleId="Index8">
    <w:name w:val="index 8"/>
    <w:basedOn w:val="Normal"/>
    <w:next w:val="Normal"/>
    <w:autoRedefine/>
    <w:uiPriority w:val="98"/>
    <w:semiHidden/>
    <w:rsid w:val="00A94FC4"/>
    <w:pPr>
      <w:ind w:left="1920" w:hanging="240"/>
    </w:pPr>
  </w:style>
  <w:style w:type="paragraph" w:styleId="Index9">
    <w:name w:val="index 9"/>
    <w:basedOn w:val="Normal"/>
    <w:next w:val="Normal"/>
    <w:autoRedefine/>
    <w:uiPriority w:val="98"/>
    <w:semiHidden/>
    <w:rsid w:val="00A94FC4"/>
    <w:pPr>
      <w:ind w:left="2160" w:hanging="240"/>
    </w:pPr>
  </w:style>
  <w:style w:type="paragraph" w:styleId="IndexHeading">
    <w:name w:val="index heading"/>
    <w:basedOn w:val="Normal"/>
    <w:next w:val="Index1"/>
    <w:uiPriority w:val="98"/>
    <w:semiHidden/>
    <w:rsid w:val="00A94FC4"/>
    <w:rPr>
      <w:rFonts w:asciiTheme="majorHAnsi" w:eastAsiaTheme="majorEastAsia" w:hAnsiTheme="majorHAnsi" w:cstheme="majorBidi"/>
      <w:b/>
      <w:bCs/>
    </w:rPr>
  </w:style>
  <w:style w:type="table" w:styleId="LightGrid">
    <w:name w:val="Light Grid"/>
    <w:basedOn w:val="TableNormal"/>
    <w:uiPriority w:val="62"/>
    <w:semiHidden/>
    <w:rsid w:val="00A94FC4"/>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A94FC4"/>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A94FC4"/>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A94FC4"/>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A94FC4"/>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A94FC4"/>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A94FC4"/>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A94FC4"/>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A94FC4"/>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A94FC4"/>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A94FC4"/>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A94FC4"/>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A94FC4"/>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A94FC4"/>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A94FC4"/>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A94FC4"/>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A94FC4"/>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A94FC4"/>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A94FC4"/>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A94FC4"/>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A94FC4"/>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A94FC4"/>
  </w:style>
  <w:style w:type="paragraph" w:styleId="List">
    <w:name w:val="List"/>
    <w:basedOn w:val="Normal"/>
    <w:uiPriority w:val="98"/>
    <w:semiHidden/>
    <w:rsid w:val="00A94FC4"/>
    <w:pPr>
      <w:ind w:left="283" w:hanging="283"/>
      <w:contextualSpacing/>
    </w:pPr>
  </w:style>
  <w:style w:type="paragraph" w:styleId="List20">
    <w:name w:val="List 2"/>
    <w:basedOn w:val="Normal"/>
    <w:uiPriority w:val="98"/>
    <w:semiHidden/>
    <w:rsid w:val="00A94FC4"/>
    <w:pPr>
      <w:ind w:left="566" w:hanging="283"/>
      <w:contextualSpacing/>
    </w:pPr>
  </w:style>
  <w:style w:type="paragraph" w:styleId="List30">
    <w:name w:val="List 3"/>
    <w:basedOn w:val="Normal"/>
    <w:uiPriority w:val="98"/>
    <w:semiHidden/>
    <w:rsid w:val="00A94FC4"/>
    <w:pPr>
      <w:ind w:left="849" w:hanging="283"/>
      <w:contextualSpacing/>
    </w:pPr>
  </w:style>
  <w:style w:type="paragraph" w:styleId="List4">
    <w:name w:val="List 4"/>
    <w:basedOn w:val="Normal"/>
    <w:uiPriority w:val="98"/>
    <w:semiHidden/>
    <w:rsid w:val="00A94FC4"/>
    <w:pPr>
      <w:ind w:left="1132" w:hanging="283"/>
      <w:contextualSpacing/>
    </w:pPr>
  </w:style>
  <w:style w:type="paragraph" w:styleId="List5">
    <w:name w:val="List 5"/>
    <w:basedOn w:val="Normal"/>
    <w:uiPriority w:val="98"/>
    <w:semiHidden/>
    <w:rsid w:val="00A94FC4"/>
    <w:pPr>
      <w:ind w:left="1415" w:hanging="283"/>
      <w:contextualSpacing/>
    </w:pPr>
  </w:style>
  <w:style w:type="paragraph" w:styleId="ListBullet2">
    <w:name w:val="List Bullet 2"/>
    <w:basedOn w:val="Normal"/>
    <w:uiPriority w:val="98"/>
    <w:semiHidden/>
    <w:rsid w:val="00A94FC4"/>
    <w:pPr>
      <w:numPr>
        <w:numId w:val="14"/>
      </w:numPr>
      <w:contextualSpacing/>
    </w:pPr>
  </w:style>
  <w:style w:type="paragraph" w:styleId="ListBullet4">
    <w:name w:val="List Bullet 4"/>
    <w:basedOn w:val="Normal"/>
    <w:uiPriority w:val="98"/>
    <w:semiHidden/>
    <w:rsid w:val="00A94FC4"/>
    <w:pPr>
      <w:numPr>
        <w:numId w:val="16"/>
      </w:numPr>
      <w:contextualSpacing/>
    </w:pPr>
  </w:style>
  <w:style w:type="paragraph" w:styleId="ListBullet5">
    <w:name w:val="List Bullet 5"/>
    <w:basedOn w:val="Normal"/>
    <w:uiPriority w:val="98"/>
    <w:semiHidden/>
    <w:rsid w:val="00A94FC4"/>
    <w:pPr>
      <w:numPr>
        <w:numId w:val="17"/>
      </w:numPr>
      <w:contextualSpacing/>
    </w:pPr>
  </w:style>
  <w:style w:type="paragraph" w:styleId="ListContinue">
    <w:name w:val="List Continue"/>
    <w:basedOn w:val="Normal"/>
    <w:uiPriority w:val="98"/>
    <w:semiHidden/>
    <w:rsid w:val="00A94FC4"/>
    <w:pPr>
      <w:spacing w:after="120"/>
      <w:ind w:left="283"/>
      <w:contextualSpacing/>
    </w:pPr>
  </w:style>
  <w:style w:type="paragraph" w:styleId="ListContinue2">
    <w:name w:val="List Continue 2"/>
    <w:basedOn w:val="Normal"/>
    <w:uiPriority w:val="98"/>
    <w:semiHidden/>
    <w:rsid w:val="00A94FC4"/>
    <w:pPr>
      <w:spacing w:after="120"/>
      <w:ind w:left="566"/>
      <w:contextualSpacing/>
    </w:pPr>
  </w:style>
  <w:style w:type="paragraph" w:styleId="ListContinue3">
    <w:name w:val="List Continue 3"/>
    <w:basedOn w:val="Normal"/>
    <w:uiPriority w:val="98"/>
    <w:semiHidden/>
    <w:rsid w:val="00A94FC4"/>
    <w:pPr>
      <w:spacing w:after="120"/>
      <w:ind w:left="849"/>
      <w:contextualSpacing/>
    </w:pPr>
  </w:style>
  <w:style w:type="paragraph" w:styleId="ListContinue4">
    <w:name w:val="List Continue 4"/>
    <w:basedOn w:val="Normal"/>
    <w:uiPriority w:val="98"/>
    <w:semiHidden/>
    <w:rsid w:val="00A94FC4"/>
    <w:pPr>
      <w:spacing w:after="120"/>
      <w:ind w:left="1132"/>
      <w:contextualSpacing/>
    </w:pPr>
  </w:style>
  <w:style w:type="paragraph" w:styleId="ListContinue5">
    <w:name w:val="List Continue 5"/>
    <w:basedOn w:val="Normal"/>
    <w:uiPriority w:val="98"/>
    <w:semiHidden/>
    <w:rsid w:val="00A94FC4"/>
    <w:pPr>
      <w:spacing w:after="120"/>
      <w:ind w:left="1415"/>
      <w:contextualSpacing/>
    </w:pPr>
  </w:style>
  <w:style w:type="paragraph" w:styleId="ListNumber">
    <w:name w:val="List Number"/>
    <w:basedOn w:val="Normal"/>
    <w:uiPriority w:val="98"/>
    <w:semiHidden/>
    <w:rsid w:val="00A94FC4"/>
    <w:pPr>
      <w:numPr>
        <w:numId w:val="18"/>
      </w:numPr>
      <w:contextualSpacing/>
    </w:pPr>
  </w:style>
  <w:style w:type="paragraph" w:styleId="ListNumber2">
    <w:name w:val="List Number 2"/>
    <w:basedOn w:val="Normal"/>
    <w:uiPriority w:val="98"/>
    <w:semiHidden/>
    <w:rsid w:val="00A94FC4"/>
    <w:pPr>
      <w:numPr>
        <w:numId w:val="19"/>
      </w:numPr>
      <w:contextualSpacing/>
    </w:pPr>
  </w:style>
  <w:style w:type="paragraph" w:styleId="ListNumber3">
    <w:name w:val="List Number 3"/>
    <w:basedOn w:val="Normal"/>
    <w:uiPriority w:val="98"/>
    <w:semiHidden/>
    <w:rsid w:val="00A94FC4"/>
    <w:pPr>
      <w:numPr>
        <w:numId w:val="20"/>
      </w:numPr>
      <w:contextualSpacing/>
    </w:pPr>
  </w:style>
  <w:style w:type="paragraph" w:styleId="ListNumber4">
    <w:name w:val="List Number 4"/>
    <w:basedOn w:val="Normal"/>
    <w:uiPriority w:val="98"/>
    <w:semiHidden/>
    <w:rsid w:val="00A94FC4"/>
    <w:pPr>
      <w:numPr>
        <w:numId w:val="21"/>
      </w:numPr>
      <w:contextualSpacing/>
    </w:pPr>
  </w:style>
  <w:style w:type="paragraph" w:styleId="ListNumber5">
    <w:name w:val="List Number 5"/>
    <w:basedOn w:val="Normal"/>
    <w:uiPriority w:val="98"/>
    <w:semiHidden/>
    <w:rsid w:val="00A94FC4"/>
    <w:pPr>
      <w:numPr>
        <w:numId w:val="22"/>
      </w:numPr>
      <w:contextualSpacing/>
    </w:pPr>
  </w:style>
  <w:style w:type="paragraph" w:styleId="Macro">
    <w:name w:val="macro"/>
    <w:link w:val="MacroTextChar"/>
    <w:uiPriority w:val="98"/>
    <w:semiHidden/>
    <w:rsid w:val="00A94FC4"/>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A94FC4"/>
    <w:rPr>
      <w:rFonts w:ascii="Consolas" w:hAnsi="Consolas" w:eastAsiaTheme="minorEastAsia" w:cs="Consolas"/>
      <w:sz w:val="20"/>
      <w:szCs w:val="20"/>
    </w:rPr>
  </w:style>
  <w:style w:type="table" w:styleId="MediumGrid1">
    <w:name w:val="Medium Grid 1"/>
    <w:basedOn w:val="TableNormal"/>
    <w:uiPriority w:val="67"/>
    <w:semiHidden/>
    <w:rsid w:val="00A94FC4"/>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A94FC4"/>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A94FC4"/>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A94FC4"/>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A94FC4"/>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A94FC4"/>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A94FC4"/>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A94FC4"/>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A94FC4"/>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A94FC4"/>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A94FC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A94FC4"/>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A94FC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A94FC4"/>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A94FC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A94FC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A94FC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A94FC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A94FC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A94FC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A94FC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A94FC4"/>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A94FC4"/>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A94FC4"/>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A94FC4"/>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A94FC4"/>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A94FC4"/>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A94FC4"/>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A94FC4"/>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A94FC4"/>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A94FC4"/>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A94FC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A94FC4"/>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A94FC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A94FC4"/>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A94FC4"/>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A94FC4"/>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A94FC4"/>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A94FC4"/>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A94FC4"/>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A94FC4"/>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A94FC4"/>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A94FC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A94FC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A94FC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A94FC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A94FC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A94FC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A94FC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A94FC4"/>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A94FC4"/>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9"/>
    <w:semiHidden/>
    <w:rsid w:val="00A94FC4"/>
    <w:rPr>
      <w:rFonts w:ascii="Times New Roman" w:hAnsi="Times New Roman" w:cs="Times New Roman"/>
    </w:rPr>
  </w:style>
  <w:style w:type="paragraph" w:styleId="NormalIndent">
    <w:name w:val="Normal Indent"/>
    <w:basedOn w:val="Normal"/>
    <w:uiPriority w:val="98"/>
    <w:semiHidden/>
    <w:rsid w:val="00A94FC4"/>
    <w:pPr>
      <w:ind w:left="720"/>
    </w:pPr>
  </w:style>
  <w:style w:type="paragraph" w:styleId="NoteHeading">
    <w:name w:val="Note Heading"/>
    <w:basedOn w:val="Normal"/>
    <w:next w:val="Normal"/>
    <w:link w:val="NoteHeadingChar"/>
    <w:uiPriority w:val="98"/>
    <w:semiHidden/>
    <w:rsid w:val="00A94FC4"/>
  </w:style>
  <w:style w:type="character" w:customStyle="1" w:styleId="NoteHeadingChar">
    <w:name w:val="Note Heading Char"/>
    <w:basedOn w:val="DefaultParagraphFont"/>
    <w:link w:val="NoteHeading"/>
    <w:uiPriority w:val="98"/>
    <w:semiHidden/>
    <w:rsid w:val="00A94FC4"/>
    <w:rPr>
      <w:sz w:val="24"/>
      <w:szCs w:val="24"/>
      <w:lang w:val="en-GB"/>
    </w:rPr>
  </w:style>
  <w:style w:type="character" w:styleId="PlaceholderText">
    <w:name w:val="Placeholder Text"/>
    <w:basedOn w:val="DefaultParagraphFont"/>
    <w:uiPriority w:val="98"/>
    <w:semiHidden/>
    <w:rsid w:val="00A94FC4"/>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A94FC4"/>
    <w:rPr>
      <w:rFonts w:ascii="Consolas" w:hAnsi="Consolas" w:cs="Consolas"/>
      <w:sz w:val="21"/>
      <w:szCs w:val="21"/>
    </w:rPr>
  </w:style>
  <w:style w:type="character" w:customStyle="1" w:styleId="PlainTextChar">
    <w:name w:val="Plain Text Char"/>
    <w:basedOn w:val="DefaultParagraphFont"/>
    <w:link w:val="PlainText"/>
    <w:uiPriority w:val="98"/>
    <w:semiHidden/>
    <w:rsid w:val="00A94FC4"/>
    <w:rPr>
      <w:rFonts w:ascii="Consolas" w:hAnsi="Consolas" w:cs="Consolas"/>
      <w:sz w:val="21"/>
      <w:szCs w:val="21"/>
      <w:lang w:val="en-GB"/>
    </w:rPr>
  </w:style>
  <w:style w:type="paragraph" w:styleId="Salutation">
    <w:name w:val="Salutation"/>
    <w:basedOn w:val="Normal"/>
    <w:next w:val="Normal"/>
    <w:link w:val="SalutationChar"/>
    <w:uiPriority w:val="98"/>
    <w:semiHidden/>
    <w:rsid w:val="00A94FC4"/>
  </w:style>
  <w:style w:type="character" w:customStyle="1" w:styleId="SalutationChar">
    <w:name w:val="Salutation Char"/>
    <w:basedOn w:val="DefaultParagraphFont"/>
    <w:link w:val="Salutation"/>
    <w:uiPriority w:val="98"/>
    <w:semiHidden/>
    <w:rsid w:val="00A94FC4"/>
    <w:rPr>
      <w:sz w:val="24"/>
      <w:szCs w:val="24"/>
      <w:lang w:val="en-GB"/>
    </w:rPr>
  </w:style>
  <w:style w:type="paragraph" w:styleId="Signature0">
    <w:name w:val="Signature"/>
    <w:basedOn w:val="Normal"/>
    <w:link w:val="SignatureChar"/>
    <w:uiPriority w:val="98"/>
    <w:semiHidden/>
    <w:rsid w:val="00A94FC4"/>
    <w:pPr>
      <w:ind w:left="4252"/>
    </w:pPr>
  </w:style>
  <w:style w:type="character" w:customStyle="1" w:styleId="SignatureChar">
    <w:name w:val="Signature Char"/>
    <w:basedOn w:val="DefaultParagraphFont"/>
    <w:link w:val="Signature0"/>
    <w:uiPriority w:val="98"/>
    <w:semiHidden/>
    <w:rsid w:val="00A94FC4"/>
    <w:rPr>
      <w:sz w:val="24"/>
      <w:szCs w:val="24"/>
      <w:lang w:val="en-GB"/>
    </w:rPr>
  </w:style>
  <w:style w:type="table" w:styleId="Table3Deffects1">
    <w:name w:val="Table 3D effects 1"/>
    <w:basedOn w:val="TableNormal"/>
    <w:uiPriority w:val="99"/>
    <w:semiHidden/>
    <w:unhideWhenUsed/>
    <w:rsid w:val="00A94FC4"/>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A94FC4"/>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A94FC4"/>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A94FC4"/>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A94FC4"/>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A94FC4"/>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A94FC4"/>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A94FC4"/>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A94FC4"/>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A94FC4"/>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A94FC4"/>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A94FC4"/>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A94FC4"/>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A94FC4"/>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A94FC4"/>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A94FC4"/>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A94FC4"/>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A94FC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A94FC4"/>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A94FC4"/>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A94FC4"/>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A94FC4"/>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A94FC4"/>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A94FC4"/>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A94FC4"/>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A94FC4"/>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A94FC4"/>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A94FC4"/>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A94FC4"/>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A94FC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A94FC4"/>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A94FC4"/>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A94FC4"/>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A94FC4"/>
    <w:pPr>
      <w:ind w:left="240" w:hanging="240"/>
    </w:pPr>
  </w:style>
  <w:style w:type="paragraph" w:styleId="TableofFigures">
    <w:name w:val="table of figures"/>
    <w:basedOn w:val="Normal"/>
    <w:next w:val="Normal"/>
    <w:uiPriority w:val="98"/>
    <w:semiHidden/>
    <w:rsid w:val="00A94FC4"/>
  </w:style>
  <w:style w:type="table" w:styleId="TableProfessional">
    <w:name w:val="Table Professional"/>
    <w:basedOn w:val="TableNormal"/>
    <w:uiPriority w:val="99"/>
    <w:semiHidden/>
    <w:unhideWhenUsed/>
    <w:rsid w:val="00A94FC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A94FC4"/>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A94FC4"/>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A94FC4"/>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A94FC4"/>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A94FC4"/>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A94FC4"/>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A94FC4"/>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A94FC4"/>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A94FC4"/>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A94FC4"/>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A94FC4"/>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A94FC4"/>
    <w:pPr>
      <w:spacing w:after="100"/>
      <w:ind w:left="1680"/>
    </w:pPr>
  </w:style>
  <w:style w:type="paragraph" w:styleId="TOC9">
    <w:name w:val="toc 9"/>
    <w:basedOn w:val="Normal"/>
    <w:next w:val="Normal"/>
    <w:autoRedefine/>
    <w:uiPriority w:val="98"/>
    <w:semiHidden/>
    <w:rsid w:val="00A94FC4"/>
    <w:pPr>
      <w:spacing w:after="100"/>
      <w:ind w:left="1920"/>
    </w:pPr>
  </w:style>
  <w:style w:type="paragraph" w:customStyle="1" w:styleId="ECHRFooter">
    <w:name w:val="ECHR_Footer"/>
    <w:aliases w:val="Footer_ECHR"/>
    <w:basedOn w:val="Footer1"/>
    <w:uiPriority w:val="57"/>
    <w:semiHidden/>
    <w:rsid w:val="0064393B"/>
    <w:rPr>
      <w:sz w:val="8"/>
    </w:rPr>
  </w:style>
  <w:style w:type="paragraph" w:customStyle="1" w:styleId="ECHRFooterLine">
    <w:name w:val="ECHR_Footer_Line"/>
    <w:aliases w:val="_Footer_Line"/>
    <w:basedOn w:val="Normal"/>
    <w:next w:val="Normal"/>
    <w:uiPriority w:val="30"/>
    <w:semiHidden/>
    <w:rsid w:val="00A94FC4"/>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A94FC4"/>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A94FC4"/>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A94FC4"/>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A94FC4"/>
    <w:pPr>
      <w:numPr>
        <w:numId w:val="10"/>
      </w:numPr>
      <w:spacing w:before="60" w:after="60"/>
    </w:pPr>
  </w:style>
  <w:style w:type="paragraph" w:customStyle="1" w:styleId="ECHRBullet2">
    <w:name w:val="ECHR_Bullet_2"/>
    <w:aliases w:val="_Bul_2"/>
    <w:basedOn w:val="ECHRBullet1"/>
    <w:uiPriority w:val="23"/>
    <w:semiHidden/>
    <w:rsid w:val="00A94FC4"/>
    <w:pPr>
      <w:numPr>
        <w:ilvl w:val="1"/>
      </w:numPr>
    </w:pPr>
  </w:style>
  <w:style w:type="paragraph" w:customStyle="1" w:styleId="ECHRBullet3">
    <w:name w:val="ECHR_Bullet_3"/>
    <w:aliases w:val="_Bul_3"/>
    <w:basedOn w:val="ECHRBullet2"/>
    <w:uiPriority w:val="23"/>
    <w:semiHidden/>
    <w:rsid w:val="00A94FC4"/>
    <w:pPr>
      <w:numPr>
        <w:ilvl w:val="2"/>
      </w:numPr>
    </w:pPr>
  </w:style>
  <w:style w:type="paragraph" w:customStyle="1" w:styleId="ECHRBullet4">
    <w:name w:val="ECHR_Bullet_4"/>
    <w:aliases w:val="_Bul_4"/>
    <w:basedOn w:val="ECHRBullet3"/>
    <w:uiPriority w:val="23"/>
    <w:semiHidden/>
    <w:rsid w:val="00A94FC4"/>
    <w:pPr>
      <w:numPr>
        <w:ilvl w:val="3"/>
      </w:numPr>
    </w:pPr>
  </w:style>
  <w:style w:type="paragraph" w:customStyle="1" w:styleId="ECHRConfidential">
    <w:name w:val="ECHR_Confidential"/>
    <w:aliases w:val="_Confidential"/>
    <w:basedOn w:val="Normal"/>
    <w:next w:val="Normal"/>
    <w:uiPriority w:val="42"/>
    <w:semiHidden/>
    <w:qFormat/>
    <w:rsid w:val="00A94FC4"/>
    <w:pPr>
      <w:jc w:val="right"/>
    </w:pPr>
    <w:rPr>
      <w:color w:val="C00000"/>
      <w:sz w:val="20"/>
    </w:rPr>
  </w:style>
  <w:style w:type="paragraph" w:customStyle="1" w:styleId="ECHRDecisionBody">
    <w:name w:val="ECHR_Decision_Body"/>
    <w:aliases w:val="_Decision_Body"/>
    <w:basedOn w:val="NormalJustified"/>
    <w:uiPriority w:val="54"/>
    <w:semiHidden/>
    <w:rsid w:val="00A94FC4"/>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A94FC4"/>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A94FC4"/>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A94FC4"/>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A94FC4"/>
    <w:pPr>
      <w:jc w:val="right"/>
    </w:pPr>
    <w:rPr>
      <w:sz w:val="20"/>
    </w:rPr>
  </w:style>
  <w:style w:type="paragraph" w:customStyle="1" w:styleId="ECHRHeaderRefIt">
    <w:name w:val="ECHR_Header_Ref_It"/>
    <w:aliases w:val="_Ref_Ital"/>
    <w:basedOn w:val="Normal"/>
    <w:next w:val="ECHRHeaderDate"/>
    <w:uiPriority w:val="43"/>
    <w:qFormat/>
    <w:rsid w:val="00A94FC4"/>
    <w:pPr>
      <w:jc w:val="right"/>
    </w:pPr>
    <w:rPr>
      <w:i/>
      <w:sz w:val="20"/>
    </w:rPr>
  </w:style>
  <w:style w:type="paragraph" w:customStyle="1" w:styleId="ECHRHeading9">
    <w:name w:val="ECHR_Heading_9"/>
    <w:aliases w:val="_Head_9"/>
    <w:basedOn w:val="Heading9"/>
    <w:uiPriority w:val="17"/>
    <w:semiHidden/>
    <w:rsid w:val="00A94FC4"/>
    <w:pPr>
      <w:keepNext/>
      <w:keepLines/>
      <w:numPr>
        <w:ilvl w:val="8"/>
        <w:numId w:val="6"/>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A94FC4"/>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A94FC4"/>
    <w:pPr>
      <w:numPr>
        <w:numId w:val="12"/>
      </w:numPr>
      <w:spacing w:before="60" w:after="60"/>
    </w:pPr>
  </w:style>
  <w:style w:type="paragraph" w:customStyle="1" w:styleId="ECHRNumberedList2">
    <w:name w:val="ECHR_Numbered_List_2"/>
    <w:aliases w:val="_Num_2"/>
    <w:basedOn w:val="ECHRNumberedList1"/>
    <w:uiPriority w:val="23"/>
    <w:semiHidden/>
    <w:rsid w:val="00A94FC4"/>
    <w:pPr>
      <w:numPr>
        <w:ilvl w:val="1"/>
      </w:numPr>
    </w:pPr>
  </w:style>
  <w:style w:type="paragraph" w:customStyle="1" w:styleId="ECHRNumberedList3">
    <w:name w:val="ECHR_Numbered_List_3"/>
    <w:aliases w:val="_Num_3"/>
    <w:basedOn w:val="ECHRNumberedList2"/>
    <w:uiPriority w:val="23"/>
    <w:semiHidden/>
    <w:rsid w:val="00A94FC4"/>
    <w:pPr>
      <w:numPr>
        <w:ilvl w:val="2"/>
      </w:numPr>
    </w:pPr>
  </w:style>
  <w:style w:type="paragraph" w:customStyle="1" w:styleId="ECHRParaHanging">
    <w:name w:val="ECHR_Para_Hanging"/>
    <w:aliases w:val="_Hanging"/>
    <w:basedOn w:val="Normal"/>
    <w:uiPriority w:val="8"/>
    <w:semiHidden/>
    <w:qFormat/>
    <w:rsid w:val="00A94FC4"/>
    <w:pPr>
      <w:ind w:left="567" w:hanging="567"/>
      <w:jc w:val="both"/>
    </w:pPr>
  </w:style>
  <w:style w:type="paragraph" w:customStyle="1" w:styleId="ECHRParaIndent">
    <w:name w:val="ECHR_Para_Indent"/>
    <w:aliases w:val="_Indent"/>
    <w:basedOn w:val="Normal"/>
    <w:uiPriority w:val="7"/>
    <w:semiHidden/>
    <w:qFormat/>
    <w:rsid w:val="00A94FC4"/>
    <w:pPr>
      <w:spacing w:before="120" w:after="120"/>
      <w:ind w:left="284"/>
      <w:jc w:val="both"/>
    </w:pPr>
  </w:style>
  <w:style w:type="character" w:customStyle="1" w:styleId="ECHRRed">
    <w:name w:val="ECHR_Red"/>
    <w:aliases w:val="_Red"/>
    <w:basedOn w:val="DefaultParagraphFont"/>
    <w:uiPriority w:val="15"/>
    <w:semiHidden/>
    <w:qFormat/>
    <w:rsid w:val="00A94FC4"/>
    <w:rPr>
      <w:color w:val="C00000" w:themeColor="accent2"/>
    </w:rPr>
  </w:style>
  <w:style w:type="paragraph" w:customStyle="1" w:styleId="DecList">
    <w:name w:val="Dec_List"/>
    <w:aliases w:val="_List"/>
    <w:basedOn w:val="JuList"/>
    <w:uiPriority w:val="22"/>
    <w:rsid w:val="00A94FC4"/>
    <w:pPr>
      <w:numPr>
        <w:numId w:val="0"/>
      </w:numPr>
      <w:ind w:left="284"/>
    </w:pPr>
  </w:style>
  <w:style w:type="table" w:customStyle="1" w:styleId="ECHRTable2">
    <w:name w:val="ECHR_Table_2"/>
    <w:basedOn w:val="TableNormal"/>
    <w:uiPriority w:val="99"/>
    <w:rsid w:val="00A94FC4"/>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A94FC4"/>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A94FC4"/>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A94FC4"/>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A94FC4"/>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A94FC4"/>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A94FC4"/>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A94FC4"/>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A94FC4"/>
    <w:pPr>
      <w:outlineLvl w:val="0"/>
    </w:pPr>
  </w:style>
  <w:style w:type="paragraph" w:customStyle="1" w:styleId="ECHRTitleTOC1">
    <w:name w:val="ECHR_Title_TOC_1"/>
    <w:aliases w:val="_Title_L_TOC"/>
    <w:basedOn w:val="ECHRTitle1"/>
    <w:next w:val="Normal"/>
    <w:uiPriority w:val="27"/>
    <w:semiHidden/>
    <w:qFormat/>
    <w:rsid w:val="00A94FC4"/>
    <w:pPr>
      <w:outlineLvl w:val="0"/>
    </w:pPr>
  </w:style>
  <w:style w:type="paragraph" w:customStyle="1" w:styleId="ECHRPlaceholder">
    <w:name w:val="ECHR_Placeholder"/>
    <w:aliases w:val="_Placeholder"/>
    <w:basedOn w:val="JuSigned"/>
    <w:uiPriority w:val="31"/>
    <w:rsid w:val="00A94FC4"/>
    <w:rPr>
      <w:color w:val="FFFFFF"/>
    </w:rPr>
  </w:style>
  <w:style w:type="paragraph" w:customStyle="1" w:styleId="ECHRSpacer">
    <w:name w:val="ECHR_Spacer"/>
    <w:aliases w:val="_Spacer"/>
    <w:basedOn w:val="Normal"/>
    <w:uiPriority w:val="45"/>
    <w:semiHidden/>
    <w:rsid w:val="00A94FC4"/>
    <w:rPr>
      <w:sz w:val="4"/>
    </w:rPr>
  </w:style>
  <w:style w:type="table" w:customStyle="1" w:styleId="ECHRTableGrey">
    <w:name w:val="ECHR_Table_Grey"/>
    <w:basedOn w:val="TableNormal"/>
    <w:uiPriority w:val="99"/>
    <w:rsid w:val="00A94FC4"/>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JuParaChar">
    <w:name w:val="Ju_Para Char"/>
    <w:aliases w:val="ECHR_Para Char,_Para Char"/>
    <w:link w:val="JuPara"/>
    <w:uiPriority w:val="4"/>
    <w:rsid w:val="009A1BAA"/>
    <w:rPr>
      <w:sz w:val="24"/>
      <w:szCs w:val="24"/>
      <w:lang w:val="en-GB"/>
    </w:rPr>
  </w:style>
  <w:style w:type="character" w:customStyle="1" w:styleId="JuNames1">
    <w:name w:val="Ju_Names"/>
    <w:rsid w:val="009A1BAA"/>
    <w:rPr>
      <w:smallCaps/>
    </w:rPr>
  </w:style>
  <w:style w:type="paragraph" w:customStyle="1" w:styleId="JuList4">
    <w:name w:val="Ju_List_4"/>
    <w:aliases w:val="N_Bul_4"/>
    <w:basedOn w:val="JuListi"/>
    <w:uiPriority w:val="19"/>
    <w:rsid w:val="009A1BAA"/>
    <w:pPr>
      <w:numPr>
        <w:ilvl w:val="0"/>
        <w:numId w:val="0"/>
      </w:numPr>
      <w:tabs>
        <w:tab w:val="num" w:pos="1701"/>
      </w:tabs>
      <w:spacing w:before="60" w:after="60" w:line="240" w:lineRule="exact"/>
      <w:ind w:left="1703" w:hanging="284"/>
      <w:contextualSpacing/>
    </w:pPr>
    <w:rPr>
      <w:sz w:val="22"/>
      <w:lang w:val="fr-FR" w:eastAsia="fr-FR"/>
    </w:rPr>
  </w:style>
  <w:style w:type="table" w:styleId="GridTable1Light">
    <w:name w:val="Grid Table 1 Light"/>
    <w:basedOn w:val="TableNormal"/>
    <w:uiPriority w:val="46"/>
    <w:semiHidden/>
    <w:rsid w:val="009A1BAA"/>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UnresolvedMention">
    <w:name w:val="Unresolved Mention"/>
    <w:basedOn w:val="DefaultParagraphFont"/>
    <w:uiPriority w:val="99"/>
    <w:semiHidden/>
    <w:unhideWhenUsed/>
    <w:rsid w:val="009A1BAA"/>
    <w:rPr>
      <w:color w:val="605E5C"/>
      <w:shd w:val="clear" w:color="auto" w:fill="E1DFDD"/>
    </w:rPr>
  </w:style>
  <w:style w:type="table" w:styleId="GridTable1LightAccent1">
    <w:name w:val="Grid Table 1 Light Accent 1"/>
    <w:basedOn w:val="TableNormal"/>
    <w:uiPriority w:val="46"/>
    <w:semiHidden/>
    <w:rsid w:val="009A1BAA"/>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9A1BAA"/>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9A1BAA"/>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9A1BAA"/>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9A1BAA"/>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9A1BAA"/>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9A1BAA"/>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9A1BAA"/>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9A1BAA"/>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9A1BAA"/>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semiHidden/>
    <w:rsid w:val="009A1BAA"/>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9A1BAA"/>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9A1BAA"/>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9A1BAA"/>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9A1BAA"/>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9A1BAA"/>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9A1BAA"/>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semiHidden/>
    <w:rsid w:val="009A1BAA"/>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9A1BAA"/>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9A1BAA"/>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9A1BAA"/>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9A1BAA"/>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9A1BAA"/>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9A1BAA"/>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semiHidden/>
    <w:rsid w:val="009A1BAA"/>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9A1BAA"/>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9A1BAA"/>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9A1BAA"/>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9A1BAA"/>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9A1BAA"/>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9A1BAA"/>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semiHidden/>
    <w:rsid w:val="009A1BAA"/>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9A1BAA"/>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9A1BAA"/>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9A1BA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9A1BAA"/>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9A1BAA"/>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9A1BAA"/>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semiHidden/>
    <w:rsid w:val="009A1BAA"/>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9A1BAA"/>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9A1BAA"/>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9A1BA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9A1BAA"/>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9A1BAA"/>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9A1BAA"/>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semiHidden/>
    <w:rsid w:val="009A1BAA"/>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9A1BAA"/>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9A1BAA"/>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9A1BAA"/>
    <w:rPr>
      <w:color w:val="2B579A"/>
      <w:shd w:val="clear" w:color="auto" w:fill="E1DFDD"/>
    </w:rPr>
  </w:style>
  <w:style w:type="table" w:styleId="ListTable1Light">
    <w:name w:val="List Table 1 Light"/>
    <w:basedOn w:val="TableNormal"/>
    <w:uiPriority w:val="46"/>
    <w:semiHidden/>
    <w:rsid w:val="009A1BAA"/>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9A1BAA"/>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9A1BAA"/>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9A1BAA"/>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semiHidden/>
    <w:rsid w:val="009A1BAA"/>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9A1BAA"/>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9A1BAA"/>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9A1BAA"/>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9A1BAA"/>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9A1BAA"/>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9A1BAA"/>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semiHidden/>
    <w:rsid w:val="009A1BAA"/>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9A1BAA"/>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9A1BAA"/>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9A1BAA"/>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9A1BAA"/>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9A1BAA"/>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9A1BAA"/>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semiHidden/>
    <w:rsid w:val="009A1BAA"/>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9A1BAA"/>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9A1BAA"/>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9A1BAA"/>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9A1BAA"/>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9A1BAA"/>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9A1BAA"/>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semiHidden/>
    <w:rsid w:val="009A1BAA"/>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9A1BAA"/>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9A1BAA"/>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9A1BAA"/>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9A1BAA"/>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9A1BAA"/>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9A1BAA"/>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9A1BAA"/>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9A1BAA"/>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9A1BAA"/>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9A1BAA"/>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9A1BAA"/>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9A1BAA"/>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9A1BAA"/>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semiHidden/>
    <w:rsid w:val="009A1BAA"/>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9A1BAA"/>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9A1BAA"/>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9A1BAA"/>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9A1BAA"/>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9A1BAA"/>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9A1BAA"/>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9A1BAA"/>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9A1BAA"/>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9A1BAA"/>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9A1BAA"/>
    <w:rPr>
      <w:color w:val="2B579A"/>
      <w:shd w:val="clear" w:color="auto" w:fill="E1DFDD"/>
    </w:rPr>
  </w:style>
  <w:style w:type="table" w:styleId="PlainTable1">
    <w:name w:val="Plain Table 1"/>
    <w:basedOn w:val="TableNormal"/>
    <w:uiPriority w:val="41"/>
    <w:semiHidden/>
    <w:rsid w:val="009A1BAA"/>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semiHidden/>
    <w:rsid w:val="009A1BA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9A1BAA"/>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9A1BAA"/>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semiHidden/>
    <w:rsid w:val="009A1BAA"/>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9A1BAA"/>
    <w:rPr>
      <w:u w:val="dotted"/>
    </w:rPr>
  </w:style>
  <w:style w:type="character" w:customStyle="1" w:styleId="SmartLink1">
    <w:name w:val="SmartLink1"/>
    <w:basedOn w:val="DefaultParagraphFont"/>
    <w:uiPriority w:val="99"/>
    <w:semiHidden/>
    <w:unhideWhenUsed/>
    <w:rsid w:val="005D5DB3"/>
    <w:rPr>
      <w:color w:val="0000FF"/>
      <w:u w:val="single"/>
      <w:shd w:val="clear" w:color="auto" w:fill="F3F2F1"/>
    </w:rPr>
  </w:style>
  <w:style w:type="table" w:styleId="GridTableLight">
    <w:name w:val="Grid Table Light"/>
    <w:basedOn w:val="TableNormal"/>
    <w:uiPriority w:val="40"/>
    <w:semiHidden/>
    <w:rsid w:val="009A1BAA"/>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paragraph" w:customStyle="1" w:styleId="jupara0">
    <w:name w:val="jupara"/>
    <w:basedOn w:val="Normal"/>
    <w:rsid w:val="00AC20BD"/>
    <w:pPr>
      <w:ind w:firstLine="284"/>
      <w:jc w:val="both"/>
    </w:pPr>
    <w:rPr>
      <w:rFonts w:ascii="Times New Roman" w:eastAsia="Times New Roman" w:hAnsi="Times New Roman" w:cs="Times New Roman"/>
      <w:lang w:eastAsia="en-GB"/>
    </w:rPr>
  </w:style>
  <w:style w:type="paragraph" w:customStyle="1" w:styleId="jucase0">
    <w:name w:val="jucase"/>
    <w:basedOn w:val="Normal"/>
    <w:rsid w:val="00AC20BD"/>
    <w:pPr>
      <w:ind w:firstLine="284"/>
      <w:jc w:val="both"/>
    </w:pPr>
    <w:rPr>
      <w:rFonts w:ascii="Times New Roman" w:eastAsia="Times New Roman" w:hAnsi="Times New Roman" w:cs="Times New Roman"/>
      <w:b/>
      <w:bCs/>
      <w:lang w:eastAsia="en-GB"/>
    </w:rPr>
  </w:style>
  <w:style w:type="paragraph" w:customStyle="1" w:styleId="title-bold">
    <w:name w:val="title-bold"/>
    <w:basedOn w:val="Normal"/>
    <w:rsid w:val="005E3D7B"/>
    <w:pPr>
      <w:spacing w:before="100" w:beforeAutospacing="1" w:after="100" w:afterAutospacing="1"/>
    </w:pPr>
    <w:rPr>
      <w:rFonts w:ascii="Times New Roman" w:eastAsia="Times New Roman" w:hAnsi="Times New Roman" w:cs="Times New Roman"/>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theme" Target="theme/theme1.xml" /><Relationship Id="rId15" Type="http://schemas.openxmlformats.org/officeDocument/2006/relationships/numbering" Target="numbering.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footer" Target="footer2.xml" /><Relationship Id="rId8" Type="http://schemas.openxmlformats.org/officeDocument/2006/relationships/header" Target="header2.xml" /><Relationship Id="rId9" Type="http://schemas.openxmlformats.org/officeDocument/2006/relationships/footer" Target="footer3.xml"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9420C0-566E-4386-B02E-786A5BE24E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33416</Words>
  <Characters>171093</Characters>
  <Application>Microsoft Office Word</Application>
  <DocSecurity>0</DocSecurity>
  <Lines>3001</Lines>
  <Paragraphs>674</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203835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2023-03-21T14:15:00Z</dcterms:created>
  <dcterms:modified xsi:type="dcterms:W3CDTF">2023-03-21T14:17:00Z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846236</vt:lpwstr>
  </property>
  <property fmtid="{D5CDD505-2E9C-101B-9397-08002B2CF9AE}" pid="3" name="cstLanguage">
    <vt:i4>2057</vt:i4>
  </property>
  <property fmtid="{D5CDD505-2E9C-101B-9397-08002B2CF9AE}" pid="4" name="RegisteredNo">
    <vt:lpwstr>77587/12</vt:lpwstr>
  </property>
</Properties>
</file>