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6E098" w14:textId="0DDAE25A" w:rsidR="006C37AB" w:rsidRDefault="006C37AB">
      <w:pPr>
        <w:pStyle w:val="DecHTitle"/>
        <w:rPr>
          <w:lang w:val="pl-PL"/>
        </w:rPr>
      </w:pPr>
      <w:r>
        <w:rPr>
          <w:lang w:val="pl-PL"/>
        </w:rPr>
        <w:t>EUROPEJSKI TRYBUNAŁ PRAW CZŁOWIEKA</w:t>
      </w:r>
    </w:p>
    <w:p w14:paraId="20866B29" w14:textId="00BCE557" w:rsidR="00B01774" w:rsidRDefault="004575C9">
      <w:pPr>
        <w:pStyle w:val="DecHTitle"/>
        <w:rPr>
          <w:sz w:val="4"/>
          <w:szCs w:val="4"/>
          <w:lang w:val="pl-PL"/>
        </w:rPr>
      </w:pPr>
      <w:r>
        <w:rPr>
          <w:lang w:val="pl-PL"/>
        </w:rPr>
        <w:t>PIERWSZA SEKCJA</w:t>
      </w:r>
    </w:p>
    <w:p w14:paraId="5FC9CF59" w14:textId="77777777" w:rsidR="00B01774" w:rsidRDefault="004575C9">
      <w:pPr>
        <w:pStyle w:val="DecHTitle"/>
        <w:rPr>
          <w:caps/>
          <w:sz w:val="32"/>
          <w:lang w:val="pl-PL"/>
        </w:rPr>
      </w:pPr>
      <w:r>
        <w:rPr>
          <w:lang w:val="pl-PL"/>
        </w:rPr>
        <w:t>DECYZJA</w:t>
      </w:r>
    </w:p>
    <w:p w14:paraId="5C245FCC" w14:textId="77777777" w:rsidR="00B01774" w:rsidRDefault="004575C9">
      <w:pPr>
        <w:pStyle w:val="DecHCase"/>
        <w:rPr>
          <w:lang w:val="pl-PL"/>
        </w:rPr>
      </w:pPr>
      <w:r>
        <w:rPr>
          <w:lang w:val="pl-PL"/>
        </w:rPr>
        <w:t>Skarga nr 32362/12</w:t>
      </w:r>
      <w:r>
        <w:rPr>
          <w:lang w:val="pl-PL"/>
        </w:rPr>
        <w:br/>
      </w:r>
      <w:r>
        <w:rPr>
          <w:noProof/>
          <w:lang w:val="pl-PL"/>
        </w:rPr>
        <w:t>Krzysztof Andrzej WRZESIEŃ</w:t>
      </w:r>
      <w:r>
        <w:rPr>
          <w:noProof/>
          <w:lang w:val="pl-PL"/>
        </w:rPr>
        <w:br/>
      </w:r>
      <w:r>
        <w:rPr>
          <w:lang w:val="pl-PL"/>
        </w:rPr>
        <w:t xml:space="preserve">przeciwko </w:t>
      </w:r>
      <w:r>
        <w:rPr>
          <w:noProof/>
          <w:lang w:val="pl-PL"/>
        </w:rPr>
        <w:t>Polsce</w:t>
      </w:r>
    </w:p>
    <w:p w14:paraId="7A7C0679" w14:textId="77777777" w:rsidR="00B01774" w:rsidRDefault="00B01774">
      <w:pPr>
        <w:pStyle w:val="JuParaLast"/>
        <w:rPr>
          <w:rStyle w:val="JuITMark"/>
          <w:shd w:val="clear" w:color="auto" w:fill="auto"/>
          <w:lang w:val="pl-PL"/>
        </w:rPr>
      </w:pPr>
    </w:p>
    <w:p w14:paraId="03114958" w14:textId="77777777" w:rsidR="00B01774" w:rsidRDefault="004575C9">
      <w:pPr>
        <w:pStyle w:val="JuPara"/>
        <w:rPr>
          <w:lang w:val="pl-PL"/>
        </w:rPr>
      </w:pPr>
      <w:r>
        <w:rPr>
          <w:lang w:val="pl-PL"/>
        </w:rPr>
        <w:t>Europejski Trybunał Praw Człowieka (Pierwsza Sekcja), zasiadając w dniu 8 lutego 2022 r. jako Izba złożona z następujących sędziów:</w:t>
      </w:r>
    </w:p>
    <w:p w14:paraId="49377256" w14:textId="176207B4" w:rsidR="00B01774" w:rsidRDefault="004575C9">
      <w:pPr>
        <w:pStyle w:val="JuJudges"/>
        <w:rPr>
          <w:lang w:val="pl-PL"/>
        </w:rPr>
      </w:pPr>
      <w:r>
        <w:rPr>
          <w:lang w:val="pl-PL"/>
        </w:rPr>
        <w:tab/>
        <w:t xml:space="preserve">Erik </w:t>
      </w:r>
      <w:proofErr w:type="spellStart"/>
      <w:r>
        <w:rPr>
          <w:lang w:val="pl-PL"/>
        </w:rPr>
        <w:t>Wennerström</w:t>
      </w:r>
      <w:proofErr w:type="spellEnd"/>
      <w:r>
        <w:rPr>
          <w:lang w:val="pl-PL"/>
        </w:rPr>
        <w:t>,</w:t>
      </w:r>
      <w:r>
        <w:rPr>
          <w:i/>
          <w:iCs/>
          <w:lang w:val="pl-PL"/>
        </w:rPr>
        <w:t xml:space="preserve"> </w:t>
      </w:r>
      <w:r w:rsidR="00032D83">
        <w:rPr>
          <w:i/>
          <w:iCs/>
          <w:lang w:val="pl-PL"/>
        </w:rPr>
        <w:t>Przewodniczący</w:t>
      </w:r>
      <w:r>
        <w:rPr>
          <w:i/>
          <w:iCs/>
          <w:lang w:val="pl-PL"/>
        </w:rPr>
        <w:t>,</w:t>
      </w:r>
      <w:r>
        <w:rPr>
          <w:lang w:val="pl-PL"/>
        </w:rPr>
        <w:br/>
      </w:r>
      <w:r>
        <w:rPr>
          <w:lang w:val="pl-PL"/>
        </w:rPr>
        <w:tab/>
        <w:t xml:space="preserve">Krzysztof </w:t>
      </w:r>
      <w:proofErr w:type="spellStart"/>
      <w:r>
        <w:rPr>
          <w:lang w:val="pl-PL"/>
        </w:rPr>
        <w:t>Wojtyczek</w:t>
      </w:r>
      <w:proofErr w:type="spellEnd"/>
      <w:r>
        <w:rPr>
          <w:lang w:val="pl-PL"/>
        </w:rPr>
        <w:t>,</w:t>
      </w:r>
      <w:r>
        <w:rPr>
          <w:lang w:val="pl-PL"/>
        </w:rPr>
        <w:br/>
      </w:r>
      <w:r>
        <w:rPr>
          <w:lang w:val="pl-PL"/>
        </w:rPr>
        <w:tab/>
      </w:r>
      <w:proofErr w:type="spellStart"/>
      <w:r>
        <w:rPr>
          <w:lang w:val="pl-PL"/>
        </w:rPr>
        <w:t>Ioannis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Ktistakis</w:t>
      </w:r>
      <w:proofErr w:type="spellEnd"/>
      <w:r>
        <w:rPr>
          <w:lang w:val="pl-PL"/>
        </w:rPr>
        <w:t>,</w:t>
      </w:r>
      <w:r>
        <w:rPr>
          <w:i/>
          <w:iCs/>
          <w:lang w:val="pl-PL"/>
        </w:rPr>
        <w:t xml:space="preserve"> sędziowie,</w:t>
      </w:r>
      <w:r>
        <w:rPr>
          <w:lang w:val="pl-PL"/>
        </w:rPr>
        <w:br/>
        <w:t xml:space="preserve">oraz </w:t>
      </w:r>
      <w:proofErr w:type="spellStart"/>
      <w:r>
        <w:rPr>
          <w:lang w:val="pl-PL"/>
        </w:rPr>
        <w:t>Liv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Tigerstedt</w:t>
      </w:r>
      <w:proofErr w:type="spellEnd"/>
      <w:r>
        <w:rPr>
          <w:lang w:val="pl-PL"/>
        </w:rPr>
        <w:t xml:space="preserve">, </w:t>
      </w:r>
      <w:r w:rsidR="00032D83">
        <w:rPr>
          <w:i/>
          <w:iCs/>
          <w:lang w:val="pl-PL"/>
        </w:rPr>
        <w:t xml:space="preserve">Zastępca </w:t>
      </w:r>
      <w:r w:rsidR="00F44F57">
        <w:rPr>
          <w:i/>
          <w:iCs/>
          <w:lang w:val="pl-PL"/>
        </w:rPr>
        <w:t>Ka</w:t>
      </w:r>
      <w:bookmarkStart w:id="0" w:name="_GoBack"/>
      <w:bookmarkEnd w:id="0"/>
      <w:r w:rsidR="00F44F57">
        <w:rPr>
          <w:i/>
          <w:iCs/>
          <w:lang w:val="pl-PL"/>
        </w:rPr>
        <w:t xml:space="preserve">nclerza </w:t>
      </w:r>
      <w:r w:rsidR="00032D83">
        <w:rPr>
          <w:i/>
          <w:iCs/>
          <w:lang w:val="pl-PL"/>
        </w:rPr>
        <w:t>Sekcji</w:t>
      </w:r>
      <w:r>
        <w:rPr>
          <w:lang w:val="pl-PL"/>
        </w:rPr>
        <w:t>,</w:t>
      </w:r>
    </w:p>
    <w:p w14:paraId="6F2A1E04" w14:textId="77777777" w:rsidR="00B01774" w:rsidRDefault="004575C9">
      <w:pPr>
        <w:pStyle w:val="JuPara"/>
        <w:rPr>
          <w:lang w:val="pl-PL"/>
        </w:rPr>
      </w:pPr>
      <w:r>
        <w:rPr>
          <w:lang w:val="pl-PL"/>
        </w:rPr>
        <w:t>uwzględniając:</w:t>
      </w:r>
    </w:p>
    <w:p w14:paraId="3DCE68F4" w14:textId="2E650E43" w:rsidR="00B01774" w:rsidRDefault="004575C9">
      <w:pPr>
        <w:pStyle w:val="JuPara"/>
        <w:rPr>
          <w:lang w:val="pl-PL"/>
        </w:rPr>
      </w:pPr>
      <w:r>
        <w:rPr>
          <w:lang w:val="pl-PL"/>
        </w:rPr>
        <w:t>skargę nr 32362/12 przeciwko Polsce, wniesioną do Trybunału w dniu 22 maja 2012 r</w:t>
      </w:r>
      <w:r w:rsidR="006C37AB">
        <w:rPr>
          <w:lang w:val="pl-PL"/>
        </w:rPr>
        <w:t>.</w:t>
      </w:r>
      <w:r>
        <w:rPr>
          <w:lang w:val="pl-PL"/>
        </w:rPr>
        <w:t xml:space="preserve"> przez obywatela tego </w:t>
      </w:r>
      <w:r w:rsidR="00E67059">
        <w:rPr>
          <w:lang w:val="pl-PL"/>
        </w:rPr>
        <w:t>P</w:t>
      </w:r>
      <w:r>
        <w:rPr>
          <w:lang w:val="pl-PL"/>
        </w:rPr>
        <w:t>aństwa pana Krzysztofa Andrzeja Września („skarżący”), urodzonego w 1960 r</w:t>
      </w:r>
      <w:r w:rsidR="006C37AB">
        <w:rPr>
          <w:lang w:val="pl-PL"/>
        </w:rPr>
        <w:t>.</w:t>
      </w:r>
      <w:r>
        <w:rPr>
          <w:lang w:val="pl-PL"/>
        </w:rPr>
        <w:t xml:space="preserve"> i zamieszkałego w Lęborku, reprezentowanego przez</w:t>
      </w:r>
      <w:bookmarkStart w:id="1" w:name="_Hlk97109134"/>
      <w:r>
        <w:rPr>
          <w:lang w:val="pl-PL"/>
        </w:rPr>
        <w:t xml:space="preserve"> mec. Mościckiego</w:t>
      </w:r>
      <w:bookmarkEnd w:id="1"/>
      <w:r>
        <w:rPr>
          <w:lang w:val="pl-PL"/>
        </w:rPr>
        <w:t>, adwokata z Koszalina</w:t>
      </w:r>
      <w:r>
        <w:rPr>
          <w:color w:val="0072BC" w:themeColor="background1"/>
          <w:lang w:val="pl-PL"/>
        </w:rPr>
        <w:t xml:space="preserve">, </w:t>
      </w:r>
      <w:r>
        <w:rPr>
          <w:lang w:val="pl-PL"/>
        </w:rPr>
        <w:t>na</w:t>
      </w:r>
      <w:r w:rsidR="00AD3D39">
        <w:rPr>
          <w:lang w:val="pl-PL"/>
        </w:rPr>
        <w:t> </w:t>
      </w:r>
      <w:r>
        <w:rPr>
          <w:lang w:val="pl-PL"/>
        </w:rPr>
        <w:t xml:space="preserve">podstawie art. 34 Konwencji o </w:t>
      </w:r>
      <w:r w:rsidR="006C37AB">
        <w:rPr>
          <w:lang w:val="pl-PL"/>
        </w:rPr>
        <w:t xml:space="preserve">ochronie praw człowieka i podstawowych wolności </w:t>
      </w:r>
      <w:r>
        <w:rPr>
          <w:lang w:val="pl-PL"/>
        </w:rPr>
        <w:t>(„Konwencja”),</w:t>
      </w:r>
    </w:p>
    <w:p w14:paraId="329D28E4" w14:textId="18A8F944" w:rsidR="00B01774" w:rsidRDefault="004575C9">
      <w:pPr>
        <w:pStyle w:val="JuPara"/>
        <w:rPr>
          <w:lang w:val="pl-PL"/>
        </w:rPr>
      </w:pPr>
      <w:r>
        <w:rPr>
          <w:lang w:val="pl-PL"/>
        </w:rPr>
        <w:t xml:space="preserve">decyzję o </w:t>
      </w:r>
      <w:r w:rsidR="006C37AB">
        <w:rPr>
          <w:lang w:val="pl-PL"/>
        </w:rPr>
        <w:t>zakomunikowaniu skargi rządowi polskiemu („Rząd”), reprezentowanemu</w:t>
      </w:r>
      <w:r>
        <w:rPr>
          <w:lang w:val="pl-PL"/>
        </w:rPr>
        <w:t xml:space="preserve"> przez pełnomocnika, panią J. Chrzanowską, a następnie pana J. Sobczaka, oboje z Ministerstwa Spraw Zagranicznych,</w:t>
      </w:r>
    </w:p>
    <w:p w14:paraId="52367AE9" w14:textId="77777777" w:rsidR="00B01774" w:rsidRDefault="004575C9">
      <w:pPr>
        <w:pStyle w:val="JuPara"/>
        <w:rPr>
          <w:lang w:val="pl-PL"/>
        </w:rPr>
      </w:pPr>
      <w:r>
        <w:rPr>
          <w:lang w:val="pl-PL"/>
        </w:rPr>
        <w:t>uwagi stron,</w:t>
      </w:r>
    </w:p>
    <w:p w14:paraId="0F160C72" w14:textId="77777777" w:rsidR="00B01774" w:rsidRDefault="004575C9">
      <w:pPr>
        <w:pStyle w:val="JuPara"/>
        <w:rPr>
          <w:lang w:val="pl-PL"/>
        </w:rPr>
      </w:pPr>
      <w:r>
        <w:rPr>
          <w:lang w:val="pl-PL"/>
        </w:rPr>
        <w:t>po odbyciu narady wydaje następującą decyzję:</w:t>
      </w:r>
    </w:p>
    <w:p w14:paraId="5BE8360C" w14:textId="77777777" w:rsidR="00B01774" w:rsidRDefault="004575C9">
      <w:pPr>
        <w:pStyle w:val="JuHHead"/>
        <w:rPr>
          <w:lang w:val="pl-PL"/>
        </w:rPr>
      </w:pPr>
      <w:r>
        <w:rPr>
          <w:bCs w:val="0"/>
          <w:lang w:val="pl-PL"/>
        </w:rPr>
        <w:t>PRZEDMIOT SPRAWY</w:t>
      </w:r>
    </w:p>
    <w:p w14:paraId="766E52E2" w14:textId="256F5536" w:rsidR="00B01774" w:rsidRDefault="004575C9">
      <w:pPr>
        <w:pStyle w:val="JuPara"/>
        <w:rPr>
          <w:lang w:val="pl-PL"/>
        </w:rPr>
      </w:pPr>
      <w:r>
        <w:rPr>
          <w:lang w:val="pl-PL"/>
        </w:rPr>
        <w:fldChar w:fldCharType="begin"/>
      </w:r>
      <w:r>
        <w:rPr>
          <w:lang w:val="pl-PL"/>
        </w:rPr>
        <w:instrText xml:space="preserve"> SEQ level0 \*arabic </w:instrText>
      </w:r>
      <w:r>
        <w:rPr>
          <w:lang w:val="pl-PL"/>
        </w:rPr>
        <w:fldChar w:fldCharType="separate"/>
      </w:r>
      <w:r>
        <w:rPr>
          <w:noProof/>
          <w:lang w:val="pl-PL"/>
        </w:rPr>
        <w:t>1</w:t>
      </w:r>
      <w:r>
        <w:rPr>
          <w:lang w:val="pl-PL"/>
        </w:rPr>
        <w:fldChar w:fldCharType="end"/>
      </w:r>
      <w:r>
        <w:rPr>
          <w:lang w:val="pl-PL"/>
        </w:rPr>
        <w:t xml:space="preserve">. Sprawa dotyczy braku </w:t>
      </w:r>
      <w:r w:rsidR="006C37AB">
        <w:rPr>
          <w:lang w:val="pl-PL"/>
        </w:rPr>
        <w:t xml:space="preserve">pomocy </w:t>
      </w:r>
      <w:r>
        <w:rPr>
          <w:lang w:val="pl-PL"/>
        </w:rPr>
        <w:t xml:space="preserve">adwokata przed sądem </w:t>
      </w:r>
      <w:bookmarkStart w:id="2" w:name="_Hlk94176329"/>
      <w:r>
        <w:rPr>
          <w:lang w:val="pl-PL"/>
        </w:rPr>
        <w:t xml:space="preserve">pierwszej </w:t>
      </w:r>
      <w:bookmarkEnd w:id="2"/>
      <w:r>
        <w:rPr>
          <w:lang w:val="pl-PL"/>
        </w:rPr>
        <w:t>instancji, który wszczął postępowanie karne przeciwko skarżącemu.</w:t>
      </w:r>
    </w:p>
    <w:p w14:paraId="016E90DB" w14:textId="3B24B23D" w:rsidR="00B01774" w:rsidRDefault="004575C9">
      <w:pPr>
        <w:pStyle w:val="JuPara"/>
        <w:rPr>
          <w:lang w:val="pl-PL"/>
        </w:rPr>
      </w:pPr>
      <w:r>
        <w:rPr>
          <w:lang w:val="pl-PL"/>
        </w:rPr>
        <w:fldChar w:fldCharType="begin"/>
      </w:r>
      <w:r>
        <w:rPr>
          <w:lang w:val="pl-PL"/>
        </w:rPr>
        <w:instrText xml:space="preserve"> SEQ level0 \*arabic \* MERGEFORMAT </w:instrText>
      </w:r>
      <w:r>
        <w:rPr>
          <w:lang w:val="pl-PL"/>
        </w:rPr>
        <w:fldChar w:fldCharType="separate"/>
      </w:r>
      <w:r>
        <w:rPr>
          <w:noProof/>
          <w:lang w:val="pl-PL"/>
        </w:rPr>
        <w:t>2</w:t>
      </w:r>
      <w:r>
        <w:rPr>
          <w:noProof/>
          <w:lang w:val="pl-PL"/>
        </w:rPr>
        <w:fldChar w:fldCharType="end"/>
      </w:r>
      <w:r>
        <w:rPr>
          <w:lang w:val="pl-PL"/>
        </w:rPr>
        <w:t xml:space="preserve">. W marcu 2007 r. sąd pierwszej instancji, orzekający jako </w:t>
      </w:r>
      <w:r w:rsidRPr="00AD3D39">
        <w:rPr>
          <w:lang w:val="pl-PL"/>
        </w:rPr>
        <w:t>sąd krajowy,</w:t>
      </w:r>
      <w:r>
        <w:rPr>
          <w:lang w:val="pl-PL"/>
        </w:rPr>
        <w:t xml:space="preserve"> uznał skarżącego za winnego serii oszustw i wymierzył mu z tego tytułu karę czterech lat pozbawienia wolności oraz karę grzywny. W chwili wszczęcia postępowania przed przedmiotowym sądem adwokat skarżącego </w:t>
      </w:r>
      <w:r>
        <w:rPr>
          <w:lang w:val="pl-PL"/>
        </w:rPr>
        <w:lastRenderedPageBreak/>
        <w:t xml:space="preserve">poinformował sąd o wygaśnięciu </w:t>
      </w:r>
      <w:r w:rsidR="003C5744">
        <w:rPr>
          <w:lang w:val="pl-PL"/>
        </w:rPr>
        <w:t xml:space="preserve">swojego </w:t>
      </w:r>
      <w:r>
        <w:rPr>
          <w:lang w:val="pl-PL"/>
        </w:rPr>
        <w:t>pełnomocnictwa w wyniku braku jego przedłużenia przez skarżącego. Wniosek o przyznanie zwolnienia z</w:t>
      </w:r>
      <w:r w:rsidR="00AD3D39">
        <w:rPr>
          <w:lang w:val="pl-PL"/>
        </w:rPr>
        <w:t> </w:t>
      </w:r>
      <w:r>
        <w:rPr>
          <w:lang w:val="pl-PL"/>
        </w:rPr>
        <w:t>kosztów sądowych złożony w tym samym czasie przez zainteresowanego został oddalony z powodu nieprzedłożenia sądowi pierwszej instancji przez skarżącego dowodów niezbędnych do jego rozpatrzenia.</w:t>
      </w:r>
    </w:p>
    <w:p w14:paraId="09B7D2A4" w14:textId="09234EC1" w:rsidR="00B01774" w:rsidRDefault="004575C9">
      <w:pPr>
        <w:pStyle w:val="JuPara"/>
        <w:rPr>
          <w:lang w:val="pl-PL"/>
        </w:rPr>
      </w:pPr>
      <w:r>
        <w:rPr>
          <w:lang w:val="pl-PL"/>
        </w:rPr>
        <w:fldChar w:fldCharType="begin"/>
      </w:r>
      <w:r>
        <w:rPr>
          <w:lang w:val="pl-PL"/>
        </w:rPr>
        <w:instrText xml:space="preserve"> SEQ level0 \*arabic \* MERGEFORMAT </w:instrText>
      </w:r>
      <w:r>
        <w:rPr>
          <w:lang w:val="pl-PL"/>
        </w:rPr>
        <w:fldChar w:fldCharType="separate"/>
      </w:r>
      <w:r>
        <w:rPr>
          <w:noProof/>
          <w:lang w:val="pl-PL"/>
        </w:rPr>
        <w:t>3</w:t>
      </w:r>
      <w:r>
        <w:rPr>
          <w:noProof/>
          <w:lang w:val="pl-PL"/>
        </w:rPr>
        <w:fldChar w:fldCharType="end"/>
      </w:r>
      <w:r>
        <w:rPr>
          <w:lang w:val="pl-PL"/>
        </w:rPr>
        <w:t xml:space="preserve">. Po zakończeniu postępowania w pierwszej instancji zainteresowany wyznaczył adwokata, który złożył apelację w imieniu i na rzecz skarżącego. </w:t>
      </w:r>
      <w:bookmarkStart w:id="3" w:name="_Hlk94018641"/>
      <w:r>
        <w:rPr>
          <w:lang w:val="pl-PL"/>
        </w:rPr>
        <w:t>Na</w:t>
      </w:r>
      <w:bookmarkEnd w:id="3"/>
      <w:r>
        <w:rPr>
          <w:lang w:val="pl-PL"/>
        </w:rPr>
        <w:t xml:space="preserve"> rozprawie, na której ogłoszono wyrok </w:t>
      </w:r>
      <w:r w:rsidR="00AD410C">
        <w:rPr>
          <w:lang w:val="pl-PL"/>
        </w:rPr>
        <w:t>Sądu Apelacyjnego</w:t>
      </w:r>
      <w:r>
        <w:rPr>
          <w:lang w:val="pl-PL"/>
        </w:rPr>
        <w:t>, adwokat skarżącego przedstawił zaświadczenie lekarskie wskazujące, że w czasie trwania postępowania w pierwszej instancji zainteresowany leczył się psychiatrycznie m.in. z powodu zaburzeń zachowania, depresji i stanów lękowych. Opierając się na powyższym zaświadczeniu lekarskim, adwokat stwierdził, że brak obecności adwokata w danym okresie spowodował naruszenie prawa skarżącego do obrony.</w:t>
      </w:r>
    </w:p>
    <w:p w14:paraId="6C189014" w14:textId="21B1E4D7" w:rsidR="00B01774" w:rsidRDefault="004575C9">
      <w:pPr>
        <w:pStyle w:val="JuPara"/>
        <w:rPr>
          <w:lang w:val="pl-PL"/>
        </w:rPr>
      </w:pPr>
      <w:r>
        <w:rPr>
          <w:lang w:val="pl-PL"/>
        </w:rPr>
        <w:fldChar w:fldCharType="begin"/>
      </w:r>
      <w:r>
        <w:rPr>
          <w:lang w:val="pl-PL"/>
        </w:rPr>
        <w:instrText xml:space="preserve"> SEQ level0 \*arabic \* MERGEFORMAT </w:instrText>
      </w:r>
      <w:r>
        <w:rPr>
          <w:lang w:val="pl-PL"/>
        </w:rPr>
        <w:fldChar w:fldCharType="separate"/>
      </w:r>
      <w:r>
        <w:rPr>
          <w:noProof/>
          <w:lang w:val="pl-PL"/>
        </w:rPr>
        <w:t>4</w:t>
      </w:r>
      <w:r>
        <w:rPr>
          <w:noProof/>
          <w:lang w:val="pl-PL"/>
        </w:rPr>
        <w:fldChar w:fldCharType="end"/>
      </w:r>
      <w:r>
        <w:rPr>
          <w:lang w:val="pl-PL"/>
        </w:rPr>
        <w:t xml:space="preserve">. W związku z późniejszym wyrokiem </w:t>
      </w:r>
      <w:r w:rsidR="00AD410C">
        <w:rPr>
          <w:lang w:val="pl-PL"/>
        </w:rPr>
        <w:t xml:space="preserve">Sądu Apelacyjnego </w:t>
      </w:r>
      <w:r>
        <w:rPr>
          <w:lang w:val="pl-PL"/>
        </w:rPr>
        <w:t>niekorzystnym dla zainteresowanego złożył on skargę kasacyjną do Sądu Najwyższego, podnosząc między innymi, że zaburzenia opisane w zaświadczeniu lekarskim ograniczyły jego zdolność do obrony, że</w:t>
      </w:r>
      <w:r w:rsidR="00AD3D39">
        <w:rPr>
          <w:lang w:val="pl-PL"/>
        </w:rPr>
        <w:t> </w:t>
      </w:r>
      <w:r>
        <w:rPr>
          <w:lang w:val="pl-PL"/>
        </w:rPr>
        <w:t xml:space="preserve">odrzucenie jego wniosku o zwolnienie z kosztów sądowych było przedwczesne oraz że jego zarzuty dotyczące powyższych punktów nie zostały rozpatrzone przez Sąd Apelacyjny. Sąd Najwyższy uchylił zaskarżony wyrok i przekazał sprawę skarżącego do ponownego rozpatrzenia przez Sąd Apelacyjny, wskazując w motywach, że wyżej wymienione zarzuty zainteresowanego powinny zostać poddane głębszej analizie, w razie potrzeby poprzez zlecenie opinii biegłego. </w:t>
      </w:r>
      <w:r w:rsidR="00AD410C">
        <w:rPr>
          <w:lang w:val="pl-PL"/>
        </w:rPr>
        <w:t xml:space="preserve">Biegli </w:t>
      </w:r>
      <w:r>
        <w:rPr>
          <w:lang w:val="pl-PL"/>
        </w:rPr>
        <w:t xml:space="preserve">powołani przez sąd krajowy </w:t>
      </w:r>
      <w:r w:rsidR="00AD410C">
        <w:rPr>
          <w:lang w:val="pl-PL"/>
        </w:rPr>
        <w:t xml:space="preserve">zgodnie z wytycznymi Sądu Najwyższego </w:t>
      </w:r>
      <w:r>
        <w:rPr>
          <w:lang w:val="pl-PL"/>
        </w:rPr>
        <w:t>stwierdzili, że nie doszło do</w:t>
      </w:r>
      <w:r w:rsidR="00AD3D39">
        <w:rPr>
          <w:lang w:val="pl-PL"/>
        </w:rPr>
        <w:t> </w:t>
      </w:r>
      <w:r>
        <w:rPr>
          <w:lang w:val="pl-PL"/>
        </w:rPr>
        <w:t xml:space="preserve">jakiegokolwiek </w:t>
      </w:r>
      <w:r w:rsidR="00AD410C">
        <w:rPr>
          <w:lang w:val="pl-PL"/>
        </w:rPr>
        <w:t>ograniczenia</w:t>
      </w:r>
      <w:r>
        <w:rPr>
          <w:lang w:val="pl-PL"/>
        </w:rPr>
        <w:t xml:space="preserve"> poczytalnoś</w:t>
      </w:r>
      <w:r w:rsidR="00AD410C">
        <w:rPr>
          <w:lang w:val="pl-PL"/>
        </w:rPr>
        <w:t xml:space="preserve">ci skarżącego </w:t>
      </w:r>
      <w:r>
        <w:rPr>
          <w:lang w:val="pl-PL"/>
        </w:rPr>
        <w:t>i jego zdolności do</w:t>
      </w:r>
      <w:r w:rsidR="00AD3D39">
        <w:rPr>
          <w:lang w:val="pl-PL"/>
        </w:rPr>
        <w:t> </w:t>
      </w:r>
      <w:r>
        <w:rPr>
          <w:lang w:val="pl-PL"/>
        </w:rPr>
        <w:t>obrony. W wyniku tych ustaleń biegłych wyrokiem z dnia 3 sierpnia 2011</w:t>
      </w:r>
      <w:r w:rsidR="00AD3D39">
        <w:rPr>
          <w:lang w:val="pl-PL"/>
        </w:rPr>
        <w:t> </w:t>
      </w:r>
      <w:r>
        <w:rPr>
          <w:lang w:val="pl-PL"/>
        </w:rPr>
        <w:t>r. Sąd Najwyższy oddalił skargę kasacyjną, którą skarżący wniósł od</w:t>
      </w:r>
      <w:r w:rsidR="00AD3D39">
        <w:rPr>
          <w:lang w:val="pl-PL"/>
        </w:rPr>
        <w:t> </w:t>
      </w:r>
      <w:r>
        <w:rPr>
          <w:lang w:val="pl-PL"/>
        </w:rPr>
        <w:t>niekorzystnego dla niego wyroku sądu krajowego, uznając tę skargę za</w:t>
      </w:r>
      <w:r w:rsidR="00AD3D39">
        <w:rPr>
          <w:lang w:val="pl-PL"/>
        </w:rPr>
        <w:t> </w:t>
      </w:r>
      <w:r>
        <w:rPr>
          <w:lang w:val="pl-PL"/>
        </w:rPr>
        <w:t>oczywiście bezzasadną.</w:t>
      </w:r>
    </w:p>
    <w:p w14:paraId="055C44F2" w14:textId="40A4DAB5" w:rsidR="00B01774" w:rsidRDefault="004575C9">
      <w:pPr>
        <w:pStyle w:val="JuPara"/>
        <w:rPr>
          <w:lang w:val="pl-PL"/>
        </w:rPr>
      </w:pPr>
      <w:r>
        <w:rPr>
          <w:lang w:val="pl-PL"/>
        </w:rPr>
        <w:fldChar w:fldCharType="begin"/>
      </w:r>
      <w:r>
        <w:rPr>
          <w:lang w:val="pl-PL"/>
        </w:rPr>
        <w:instrText xml:space="preserve"> SEQ level0 \*arabic \* MERGEFORMAT </w:instrText>
      </w:r>
      <w:r>
        <w:rPr>
          <w:lang w:val="pl-PL"/>
        </w:rPr>
        <w:fldChar w:fldCharType="separate"/>
      </w:r>
      <w:r>
        <w:rPr>
          <w:noProof/>
          <w:lang w:val="pl-PL"/>
        </w:rPr>
        <w:t>5</w:t>
      </w:r>
      <w:r>
        <w:rPr>
          <w:noProof/>
          <w:lang w:val="pl-PL"/>
        </w:rPr>
        <w:fldChar w:fldCharType="end"/>
      </w:r>
      <w:r>
        <w:rPr>
          <w:lang w:val="pl-PL"/>
        </w:rPr>
        <w:t>. Skarżący zarzucił naruszenie w</w:t>
      </w:r>
      <w:r w:rsidR="00AD410C">
        <w:rPr>
          <w:lang w:val="pl-PL"/>
        </w:rPr>
        <w:t>obec niego art. 6 ust. 3 lit. c</w:t>
      </w:r>
      <w:r>
        <w:rPr>
          <w:lang w:val="pl-PL"/>
        </w:rPr>
        <w:t xml:space="preserve"> Konwencji.</w:t>
      </w:r>
    </w:p>
    <w:p w14:paraId="3FCDA28C" w14:textId="77777777" w:rsidR="00B01774" w:rsidRDefault="004575C9">
      <w:pPr>
        <w:pStyle w:val="JuHHead"/>
        <w:keepNext w:val="0"/>
        <w:keepLines w:val="0"/>
        <w:numPr>
          <w:ilvl w:val="0"/>
          <w:numId w:val="2"/>
        </w:numPr>
        <w:ind w:left="360" w:hanging="360"/>
        <w:rPr>
          <w:lang w:val="pl-PL"/>
        </w:rPr>
      </w:pPr>
      <w:r>
        <w:rPr>
          <w:bCs w:val="0"/>
          <w:caps w:val="0"/>
          <w:lang w:val="pl-PL"/>
        </w:rPr>
        <w:t>OCENA TRYBUNAŁU</w:t>
      </w:r>
    </w:p>
    <w:p w14:paraId="4EE1BC43" w14:textId="5CC9CAE9" w:rsidR="00B01774" w:rsidRDefault="004575C9">
      <w:pPr>
        <w:pStyle w:val="JuPara"/>
        <w:rPr>
          <w:lang w:val="pl-PL"/>
        </w:rPr>
      </w:pPr>
      <w:r>
        <w:rPr>
          <w:lang w:val="pl-PL"/>
        </w:rPr>
        <w:fldChar w:fldCharType="begin"/>
      </w:r>
      <w:r>
        <w:rPr>
          <w:lang w:val="pl-PL"/>
        </w:rPr>
        <w:instrText xml:space="preserve"> SEQ level0 \*arabic </w:instrText>
      </w:r>
      <w:r>
        <w:rPr>
          <w:lang w:val="pl-PL"/>
        </w:rPr>
        <w:fldChar w:fldCharType="separate"/>
      </w:r>
      <w:r>
        <w:rPr>
          <w:noProof/>
          <w:lang w:val="pl-PL"/>
        </w:rPr>
        <w:t>6</w:t>
      </w:r>
      <w:r>
        <w:rPr>
          <w:lang w:val="pl-PL"/>
        </w:rPr>
        <w:fldChar w:fldCharType="end"/>
      </w:r>
      <w:r>
        <w:rPr>
          <w:lang w:val="pl-PL"/>
        </w:rPr>
        <w:t xml:space="preserve">. </w:t>
      </w:r>
      <w:r w:rsidR="00AD410C">
        <w:rPr>
          <w:lang w:val="pl-PL"/>
        </w:rPr>
        <w:t>Z</w:t>
      </w:r>
      <w:r>
        <w:rPr>
          <w:lang w:val="pl-PL"/>
        </w:rPr>
        <w:t xml:space="preserve">asady </w:t>
      </w:r>
      <w:r w:rsidR="00AD410C">
        <w:rPr>
          <w:lang w:val="pl-PL"/>
        </w:rPr>
        <w:t xml:space="preserve">ogólne </w:t>
      </w:r>
      <w:r>
        <w:rPr>
          <w:lang w:val="pl-PL"/>
        </w:rPr>
        <w:t xml:space="preserve">mające zastosowanie do prawa do obrony wskazano w wielu wyrokach (zob. m.in. </w:t>
      </w:r>
      <w:proofErr w:type="spellStart"/>
      <w:r>
        <w:rPr>
          <w:i/>
          <w:iCs/>
          <w:lang w:val="pl-PL"/>
        </w:rPr>
        <w:t>Beuze</w:t>
      </w:r>
      <w:proofErr w:type="spellEnd"/>
      <w:r>
        <w:rPr>
          <w:i/>
          <w:iCs/>
          <w:lang w:val="pl-PL"/>
        </w:rPr>
        <w:t xml:space="preserve"> przeciwko Belgii </w:t>
      </w:r>
      <w:r>
        <w:rPr>
          <w:lang w:val="pl-PL"/>
        </w:rPr>
        <w:t xml:space="preserve">[Wielka Izba] nr 71409/10, </w:t>
      </w:r>
      <w:r w:rsidR="00AD410C">
        <w:rPr>
          <w:rFonts w:cstheme="minorHAnsi"/>
          <w:lang w:val="pl-PL"/>
        </w:rPr>
        <w:t xml:space="preserve">§§ </w:t>
      </w:r>
      <w:r>
        <w:rPr>
          <w:lang w:val="pl-PL"/>
        </w:rPr>
        <w:t>120–136, 9 listopada 2018 r., i przytoczone tam orzecznictwo).</w:t>
      </w:r>
    </w:p>
    <w:p w14:paraId="4500234B" w14:textId="5C939BC6" w:rsidR="00B01774" w:rsidRDefault="004575C9">
      <w:pPr>
        <w:pStyle w:val="JuPara"/>
        <w:rPr>
          <w:lang w:val="pl-PL"/>
        </w:rPr>
      </w:pPr>
      <w:r>
        <w:rPr>
          <w:lang w:val="pl-PL"/>
        </w:rPr>
        <w:fldChar w:fldCharType="begin"/>
      </w:r>
      <w:r>
        <w:rPr>
          <w:lang w:val="pl-PL"/>
        </w:rPr>
        <w:instrText xml:space="preserve"> SEQ level0 \*arabic </w:instrText>
      </w:r>
      <w:r>
        <w:rPr>
          <w:lang w:val="pl-PL"/>
        </w:rPr>
        <w:fldChar w:fldCharType="separate"/>
      </w:r>
      <w:r>
        <w:rPr>
          <w:noProof/>
          <w:lang w:val="pl-PL"/>
        </w:rPr>
        <w:t>7</w:t>
      </w:r>
      <w:r>
        <w:rPr>
          <w:lang w:val="pl-PL"/>
        </w:rPr>
        <w:fldChar w:fldCharType="end"/>
      </w:r>
      <w:r>
        <w:rPr>
          <w:lang w:val="pl-PL"/>
        </w:rPr>
        <w:t>. W niniejszej sprawie, po dokonaniu dokładnej analizy uwag stron oraz odpowiedniego orzecznictwa, Trybunał stwierdz</w:t>
      </w:r>
      <w:r w:rsidR="00AD410C">
        <w:rPr>
          <w:lang w:val="pl-PL"/>
        </w:rPr>
        <w:t>a</w:t>
      </w:r>
      <w:r>
        <w:rPr>
          <w:lang w:val="pl-PL"/>
        </w:rPr>
        <w:t xml:space="preserve">, że brak </w:t>
      </w:r>
      <w:r w:rsidR="00AD410C">
        <w:rPr>
          <w:lang w:val="pl-PL"/>
        </w:rPr>
        <w:t xml:space="preserve">pomocy </w:t>
      </w:r>
      <w:r>
        <w:rPr>
          <w:lang w:val="pl-PL"/>
        </w:rPr>
        <w:t>adwokata, na który powołuje się skarżący, nie jest sprzeczny z wyżej wskazanym postanowien</w:t>
      </w:r>
      <w:r w:rsidR="00077335">
        <w:rPr>
          <w:lang w:val="pl-PL"/>
        </w:rPr>
        <w:t>iem Konwencji. Trybunał zauważa</w:t>
      </w:r>
      <w:r>
        <w:rPr>
          <w:lang w:val="pl-PL"/>
        </w:rPr>
        <w:t xml:space="preserve">, że w trakcie postępowania przeciwko zainteresowanemu, z wyjątkiem pierwszej instancji, </w:t>
      </w:r>
      <w:r>
        <w:rPr>
          <w:lang w:val="pl-PL"/>
        </w:rPr>
        <w:lastRenderedPageBreak/>
        <w:t>był on reprezentowany przez właściwego p</w:t>
      </w:r>
      <w:r w:rsidR="00077335">
        <w:rPr>
          <w:lang w:val="pl-PL"/>
        </w:rPr>
        <w:t>ełnomocnika. Trybunał stwierdza</w:t>
      </w:r>
      <w:r>
        <w:rPr>
          <w:lang w:val="pl-PL"/>
        </w:rPr>
        <w:t xml:space="preserve"> ponadto, że z powodów, których skarżący nie przedstawił, </w:t>
      </w:r>
      <w:r w:rsidR="00077335">
        <w:rPr>
          <w:lang w:val="pl-PL"/>
        </w:rPr>
        <w:t xml:space="preserve">z jednej strony </w:t>
      </w:r>
      <w:r>
        <w:rPr>
          <w:lang w:val="pl-PL"/>
        </w:rPr>
        <w:t xml:space="preserve">nie przedłużył </w:t>
      </w:r>
      <w:r w:rsidR="00077335">
        <w:rPr>
          <w:lang w:val="pl-PL"/>
        </w:rPr>
        <w:t xml:space="preserve">on </w:t>
      </w:r>
      <w:r>
        <w:rPr>
          <w:lang w:val="pl-PL"/>
        </w:rPr>
        <w:t>pełnomocnictwa adwokata w chwili wszczęcia postępowania w pierwszej instancji</w:t>
      </w:r>
      <w:r w:rsidR="00077335">
        <w:rPr>
          <w:lang w:val="pl-PL"/>
        </w:rPr>
        <w:t>, a z drugiej strony</w:t>
      </w:r>
      <w:r>
        <w:rPr>
          <w:lang w:val="pl-PL"/>
        </w:rPr>
        <w:t xml:space="preserve"> nie przedstawił sądowi żadnych dowodów niezbędnych do rozpatrzenia jego wniosku o zwolnienie z kosztów sądowych. Trybunał zauważ</w:t>
      </w:r>
      <w:r w:rsidR="00077335">
        <w:rPr>
          <w:lang w:val="pl-PL"/>
        </w:rPr>
        <w:t>a</w:t>
      </w:r>
      <w:r>
        <w:rPr>
          <w:lang w:val="pl-PL"/>
        </w:rPr>
        <w:t xml:space="preserve"> ponadto, że twierdzenia zainteresowanego, jakoby jego stan poczytalności w przedmiotowym okresie wymagał</w:t>
      </w:r>
      <w:r w:rsidR="00077335">
        <w:rPr>
          <w:lang w:val="pl-PL"/>
        </w:rPr>
        <w:t>, by był on reprezentowany</w:t>
      </w:r>
      <w:r>
        <w:rPr>
          <w:lang w:val="pl-PL"/>
        </w:rPr>
        <w:t xml:space="preserve"> przez właściwego pełnomocnika, </w:t>
      </w:r>
      <w:r w:rsidR="00077335">
        <w:rPr>
          <w:lang w:val="pl-PL"/>
        </w:rPr>
        <w:t>zostały rozpatrzone</w:t>
      </w:r>
      <w:r>
        <w:rPr>
          <w:lang w:val="pl-PL"/>
        </w:rPr>
        <w:t xml:space="preserve"> przez Sąd Najwyższy, który stwierdził, że twierdzenia te wymagają bardziej szczegółowej analizy. Na koniec Trybunał stwierdz</w:t>
      </w:r>
      <w:r w:rsidR="00077335">
        <w:rPr>
          <w:lang w:val="pl-PL"/>
        </w:rPr>
        <w:t>a</w:t>
      </w:r>
      <w:r>
        <w:rPr>
          <w:lang w:val="pl-PL"/>
        </w:rPr>
        <w:t>, że wnioski z </w:t>
      </w:r>
      <w:r w:rsidR="00077335">
        <w:rPr>
          <w:lang w:val="pl-PL"/>
        </w:rPr>
        <w:t>opinii biegłego</w:t>
      </w:r>
      <w:r>
        <w:rPr>
          <w:lang w:val="pl-PL"/>
        </w:rPr>
        <w:t xml:space="preserve"> przeprowadzonej na zlecenie najwyższego sądu krajowego wskazują, że przedstawione zarzuty zainteresowanego zostały oddalone.</w:t>
      </w:r>
    </w:p>
    <w:p w14:paraId="3156BCA1" w14:textId="36417F9D" w:rsidR="00B01774" w:rsidRDefault="004575C9">
      <w:pPr>
        <w:pStyle w:val="JuPara"/>
        <w:rPr>
          <w:rFonts w:ascii="Times New Roman" w:eastAsia="Times New Roman" w:hAnsi="Times New Roman" w:cs="Times New Roman"/>
          <w:snapToGrid w:val="0"/>
          <w:lang w:val="pl-PL"/>
        </w:rPr>
      </w:pPr>
      <w:r>
        <w:rPr>
          <w:rFonts w:ascii="Times New Roman" w:eastAsia="Times New Roman" w:hAnsi="Times New Roman" w:cs="Times New Roman"/>
          <w:snapToGrid w:val="0"/>
          <w:lang w:val="pl-PL"/>
        </w:rPr>
        <w:fldChar w:fldCharType="begin"/>
      </w:r>
      <w:r>
        <w:rPr>
          <w:rFonts w:ascii="Times New Roman" w:eastAsia="Times New Roman" w:hAnsi="Times New Roman" w:cs="Times New Roman"/>
          <w:snapToGrid w:val="0"/>
          <w:lang w:val="pl-PL"/>
        </w:rPr>
        <w:instrText xml:space="preserve"> SEQ level0 \*arabic \* MERGEFORMAT </w:instrText>
      </w:r>
      <w:r>
        <w:rPr>
          <w:rFonts w:ascii="Times New Roman" w:eastAsia="Times New Roman" w:hAnsi="Times New Roman" w:cs="Times New Roman"/>
          <w:snapToGrid w:val="0"/>
          <w:lang w:val="pl-PL"/>
        </w:rPr>
        <w:fldChar w:fldCharType="separate"/>
      </w:r>
      <w:r>
        <w:rPr>
          <w:rFonts w:ascii="Times New Roman" w:eastAsia="Times New Roman" w:hAnsi="Times New Roman" w:cs="Times New Roman"/>
          <w:noProof/>
          <w:snapToGrid w:val="0"/>
          <w:lang w:val="pl-PL"/>
        </w:rPr>
        <w:t>8</w:t>
      </w:r>
      <w:r>
        <w:rPr>
          <w:rFonts w:ascii="Times New Roman" w:eastAsia="Times New Roman" w:hAnsi="Times New Roman" w:cs="Times New Roman"/>
          <w:snapToGrid w:val="0"/>
          <w:lang w:val="pl-PL"/>
        </w:rPr>
        <w:fldChar w:fldCharType="end"/>
      </w:r>
      <w:r>
        <w:rPr>
          <w:rFonts w:ascii="Times New Roman" w:eastAsia="Times New Roman" w:hAnsi="Times New Roman" w:cs="Times New Roman"/>
          <w:snapToGrid w:val="0"/>
          <w:lang w:val="pl-PL"/>
        </w:rPr>
        <w:t>. Na podstawie wszystkich przedstawionych mu dowodów Trybunał stwierdz</w:t>
      </w:r>
      <w:r w:rsidR="00077335">
        <w:rPr>
          <w:rFonts w:ascii="Times New Roman" w:eastAsia="Times New Roman" w:hAnsi="Times New Roman" w:cs="Times New Roman"/>
          <w:snapToGrid w:val="0"/>
          <w:lang w:val="pl-PL"/>
        </w:rPr>
        <w:t>a</w:t>
      </w:r>
      <w:r>
        <w:rPr>
          <w:rFonts w:ascii="Times New Roman" w:eastAsia="Times New Roman" w:hAnsi="Times New Roman" w:cs="Times New Roman"/>
          <w:snapToGrid w:val="0"/>
          <w:lang w:val="pl-PL"/>
        </w:rPr>
        <w:t xml:space="preserve">, że skarga jest w sposób oczywisty </w:t>
      </w:r>
      <w:r w:rsidR="00077335">
        <w:rPr>
          <w:rFonts w:ascii="Times New Roman" w:eastAsia="Times New Roman" w:hAnsi="Times New Roman" w:cs="Times New Roman"/>
          <w:snapToGrid w:val="0"/>
          <w:lang w:val="pl-PL"/>
        </w:rPr>
        <w:t>nieuzasadniona, i oddala</w:t>
      </w:r>
      <w:r>
        <w:rPr>
          <w:rFonts w:ascii="Times New Roman" w:eastAsia="Times New Roman" w:hAnsi="Times New Roman" w:cs="Times New Roman"/>
          <w:snapToGrid w:val="0"/>
          <w:lang w:val="pl-PL"/>
        </w:rPr>
        <w:t xml:space="preserve"> ją na</w:t>
      </w:r>
      <w:r w:rsidR="00AD3D39">
        <w:rPr>
          <w:rFonts w:ascii="Times New Roman" w:eastAsia="Times New Roman" w:hAnsi="Times New Roman" w:cs="Times New Roman"/>
          <w:snapToGrid w:val="0"/>
          <w:lang w:val="pl-PL"/>
        </w:rPr>
        <w:t> </w:t>
      </w:r>
      <w:r>
        <w:rPr>
          <w:rFonts w:ascii="Times New Roman" w:eastAsia="Times New Roman" w:hAnsi="Times New Roman" w:cs="Times New Roman"/>
          <w:snapToGrid w:val="0"/>
          <w:lang w:val="pl-PL"/>
        </w:rPr>
        <w:t>podstawie art. 35 ust. 3 lit. a i art. 35 ust. 4 Konwencji.</w:t>
      </w:r>
    </w:p>
    <w:p w14:paraId="678F31CB" w14:textId="77777777" w:rsidR="00B01774" w:rsidRDefault="00B01774">
      <w:pPr>
        <w:pStyle w:val="JuPara"/>
        <w:rPr>
          <w:lang w:val="pl-PL"/>
        </w:rPr>
      </w:pPr>
    </w:p>
    <w:p w14:paraId="7B76399F" w14:textId="09C969CE" w:rsidR="00B01774" w:rsidRDefault="004575C9">
      <w:pPr>
        <w:pStyle w:val="JuPara"/>
        <w:rPr>
          <w:lang w:val="pl-PL"/>
        </w:rPr>
      </w:pPr>
      <w:r>
        <w:rPr>
          <w:lang w:val="pl-PL"/>
        </w:rPr>
        <w:t xml:space="preserve">Z tych przyczyn </w:t>
      </w:r>
      <w:r w:rsidR="00F90EF3">
        <w:rPr>
          <w:lang w:val="pl-PL"/>
        </w:rPr>
        <w:t xml:space="preserve">Trybunał </w:t>
      </w:r>
      <w:r>
        <w:rPr>
          <w:lang w:val="pl-PL"/>
        </w:rPr>
        <w:t>jednogłośnie</w:t>
      </w:r>
    </w:p>
    <w:p w14:paraId="018D72CA" w14:textId="77777777" w:rsidR="00B01774" w:rsidRDefault="004575C9">
      <w:pPr>
        <w:pStyle w:val="DecList"/>
        <w:keepNext/>
        <w:keepLines/>
        <w:numPr>
          <w:ilvl w:val="0"/>
          <w:numId w:val="1"/>
        </w:numPr>
        <w:ind w:left="284"/>
        <w:rPr>
          <w:lang w:val="pl-PL"/>
        </w:rPr>
      </w:pPr>
      <w:r>
        <w:rPr>
          <w:lang w:val="pl-PL"/>
        </w:rPr>
        <w:t>uznaje skargę za niedopuszczalną.</w:t>
      </w:r>
    </w:p>
    <w:p w14:paraId="2A7963C2" w14:textId="77777777" w:rsidR="00B01774" w:rsidRDefault="004575C9">
      <w:pPr>
        <w:pStyle w:val="JuParaLast"/>
        <w:rPr>
          <w:sz w:val="14"/>
          <w:lang w:val="pl-PL"/>
        </w:rPr>
      </w:pPr>
      <w:r>
        <w:rPr>
          <w:lang w:val="pl-PL"/>
        </w:rPr>
        <w:t>Sporządzono w języku francuskim, a następnie obwieszczono pisemnie w dniu 3 marca 2022 r.</w:t>
      </w:r>
    </w:p>
    <w:p w14:paraId="0DF4E20C" w14:textId="77777777" w:rsidR="00B01774" w:rsidRDefault="004575C9">
      <w:pPr>
        <w:pStyle w:val="ECHRPlaceholder"/>
        <w:rPr>
          <w:lang w:val="pl-PL"/>
        </w:rPr>
      </w:pPr>
      <w:r>
        <w:rPr>
          <w:lang w:val="pl-PL"/>
        </w:rPr>
        <w:tab/>
      </w:r>
    </w:p>
    <w:p w14:paraId="069099CD" w14:textId="0EECA70E" w:rsidR="00B01774" w:rsidRDefault="004575C9">
      <w:pPr>
        <w:pStyle w:val="JuSigned"/>
        <w:rPr>
          <w:lang w:val="pl-PL"/>
        </w:rPr>
      </w:pPr>
      <w:r>
        <w:rPr>
          <w:lang w:val="pl-PL"/>
        </w:rPr>
        <w:tab/>
      </w:r>
      <w:r>
        <w:rPr>
          <w:noProof/>
          <w:lang w:val="pl-PL"/>
        </w:rPr>
        <w:t>Liv Tigerstedt</w:t>
      </w:r>
      <w:r>
        <w:rPr>
          <w:lang w:val="pl-PL"/>
        </w:rPr>
        <w:tab/>
      </w:r>
      <w:r>
        <w:rPr>
          <w:noProof/>
          <w:lang w:val="pl-PL"/>
        </w:rPr>
        <w:t>Erik Wennerström</w:t>
      </w:r>
      <w:r>
        <w:rPr>
          <w:lang w:val="pl-PL"/>
        </w:rPr>
        <w:br/>
      </w:r>
      <w:r>
        <w:rPr>
          <w:lang w:val="pl-PL"/>
        </w:rPr>
        <w:tab/>
      </w:r>
      <w:r>
        <w:rPr>
          <w:noProof/>
          <w:lang w:val="pl-PL"/>
        </w:rPr>
        <w:t>Zastępca</w:t>
      </w:r>
      <w:r w:rsidR="00F90EF3">
        <w:rPr>
          <w:noProof/>
          <w:lang w:val="pl-PL"/>
        </w:rPr>
        <w:t xml:space="preserve"> Kanclerza</w:t>
      </w:r>
      <w:r>
        <w:rPr>
          <w:lang w:val="pl-PL"/>
        </w:rPr>
        <w:tab/>
      </w:r>
      <w:r>
        <w:rPr>
          <w:noProof/>
          <w:lang w:val="pl-PL"/>
        </w:rPr>
        <w:t>Przewodniczący</w:t>
      </w:r>
    </w:p>
    <w:p w14:paraId="7469087A" w14:textId="77777777" w:rsidR="00B01774" w:rsidRDefault="00B01774">
      <w:pPr>
        <w:pStyle w:val="DecHTitle"/>
        <w:rPr>
          <w:lang w:val="pl-PL"/>
        </w:rPr>
      </w:pPr>
    </w:p>
    <w:sectPr w:rsidR="00B017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8CF1B" w14:textId="77777777" w:rsidR="00A5675E" w:rsidRDefault="00A5675E">
      <w:r>
        <w:separator/>
      </w:r>
    </w:p>
  </w:endnote>
  <w:endnote w:type="continuationSeparator" w:id="0">
    <w:p w14:paraId="0253C67E" w14:textId="77777777" w:rsidR="00A5675E" w:rsidRDefault="00A5675E">
      <w:r>
        <w:continuationSeparator/>
      </w:r>
    </w:p>
  </w:endnote>
  <w:endnote w:type="continuationNotice" w:id="1">
    <w:p w14:paraId="0D9C14AD" w14:textId="77777777" w:rsidR="00A5675E" w:rsidRDefault="00A567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FEC15" w14:textId="2045D6A3" w:rsidR="00B01774" w:rsidRDefault="004575C9">
    <w:pPr>
      <w:pStyle w:val="JuHeader"/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 PAGE </w:instrText>
    </w:r>
    <w:r>
      <w:rPr>
        <w:rStyle w:val="Numerstrony"/>
        <w:lang w:val="pl"/>
      </w:rPr>
      <w:fldChar w:fldCharType="separate"/>
    </w:r>
    <w:r w:rsidR="00F44F57">
      <w:rPr>
        <w:rStyle w:val="Numerstrony"/>
        <w:noProof/>
        <w:lang w:val="pl"/>
      </w:rPr>
      <w:t>2</w:t>
    </w:r>
    <w:r>
      <w:rPr>
        <w:rStyle w:val="Numerstrony"/>
        <w:lang w:val="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6ADC8" w14:textId="0C4AC60D" w:rsidR="00B01774" w:rsidRDefault="004575C9">
    <w:pPr>
      <w:pStyle w:val="JuHeader"/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 PAGE </w:instrText>
    </w:r>
    <w:r>
      <w:rPr>
        <w:rStyle w:val="Numerstrony"/>
        <w:lang w:val="pl"/>
      </w:rPr>
      <w:fldChar w:fldCharType="separate"/>
    </w:r>
    <w:r w:rsidR="00F44F57">
      <w:rPr>
        <w:rStyle w:val="Numerstrony"/>
        <w:noProof/>
        <w:lang w:val="pl"/>
      </w:rPr>
      <w:t>3</w:t>
    </w:r>
    <w:r>
      <w:rPr>
        <w:rStyle w:val="Numerstrony"/>
        <w:lang w:val="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49701" w14:textId="77777777" w:rsidR="00B01774" w:rsidRDefault="004575C9">
    <w:pPr>
      <w:jc w:val="center"/>
    </w:pPr>
    <w:r>
      <w:rPr>
        <w:noProof/>
        <w:lang w:val="pl-PL" w:eastAsia="pl-PL"/>
      </w:rPr>
      <w:drawing>
        <wp:inline distT="0" distB="0" distL="0" distR="0" wp14:anchorId="1E7B7DB6" wp14:editId="02927F85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91C387" w14:textId="77777777" w:rsidR="00B01774" w:rsidRDefault="00B01774">
    <w:pPr>
      <w:jc w:val="cen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DA206" w14:textId="77777777" w:rsidR="00A5675E" w:rsidRDefault="00A5675E">
      <w:r>
        <w:separator/>
      </w:r>
    </w:p>
  </w:footnote>
  <w:footnote w:type="continuationSeparator" w:id="0">
    <w:p w14:paraId="4706D65F" w14:textId="77777777" w:rsidR="00A5675E" w:rsidRDefault="00A5675E">
      <w:r>
        <w:continuationSeparator/>
      </w:r>
    </w:p>
  </w:footnote>
  <w:footnote w:type="continuationNotice" w:id="1">
    <w:p w14:paraId="71AE6817" w14:textId="77777777" w:rsidR="00A5675E" w:rsidRDefault="00A567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4CAEE" w14:textId="61EAF507" w:rsidR="00B01774" w:rsidRPr="00AD3D39" w:rsidRDefault="004575C9">
    <w:pPr>
      <w:pStyle w:val="JuHeader"/>
      <w:rPr>
        <w:lang w:val="pl-PL"/>
      </w:rPr>
    </w:pPr>
    <w:r>
      <w:rPr>
        <w:lang w:val="pl"/>
      </w:rPr>
      <w:t xml:space="preserve">DECYZJA </w:t>
    </w:r>
    <w:r w:rsidR="00AD3D39">
      <w:rPr>
        <w:lang w:val="pl"/>
      </w:rPr>
      <w:t xml:space="preserve">w sprawie </w:t>
    </w:r>
    <w:r>
      <w:rPr>
        <w:lang w:val="pl"/>
      </w:rPr>
      <w:t>WRZESIEŃ przeciwko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3F709" w14:textId="0AE3AD38" w:rsidR="00B01774" w:rsidRPr="00AD3D39" w:rsidRDefault="004575C9">
    <w:pPr>
      <w:pStyle w:val="JuHeader"/>
      <w:rPr>
        <w:lang w:val="pl-PL"/>
      </w:rPr>
    </w:pPr>
    <w:r>
      <w:rPr>
        <w:lang w:val="pl"/>
      </w:rPr>
      <w:t xml:space="preserve">DECYZJA </w:t>
    </w:r>
    <w:r w:rsidR="00AD3D39">
      <w:rPr>
        <w:lang w:val="pl"/>
      </w:rPr>
      <w:t xml:space="preserve">w sprawie </w:t>
    </w:r>
    <w:r>
      <w:rPr>
        <w:lang w:val="pl"/>
      </w:rPr>
      <w:t>WRZESIEŃ przeciwko POLSCE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77B65" w14:textId="77777777" w:rsidR="00B01774" w:rsidRDefault="004575C9">
    <w:pPr>
      <w:jc w:val="center"/>
    </w:pPr>
    <w:r>
      <w:rPr>
        <w:noProof/>
        <w:lang w:val="pl-PL" w:eastAsia="pl-PL"/>
      </w:rPr>
      <w:drawing>
        <wp:inline distT="0" distB="0" distL="0" distR="0" wp14:anchorId="4FF0238A" wp14:editId="4A90578C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5B0C7" w14:textId="77777777" w:rsidR="00B01774" w:rsidRDefault="00B0177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EE20E2DE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%6.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22064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%3."/>
      <w:lvlJc w:val="left"/>
      <w:pPr>
        <w:ind w:left="907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B7886602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9"/>
  </w:num>
  <w:num w:numId="4">
    <w:abstractNumId w:val="13"/>
  </w:num>
  <w:num w:numId="5">
    <w:abstractNumId w:val="11"/>
  </w:num>
  <w:num w:numId="6">
    <w:abstractNumId w:val="10"/>
  </w:num>
  <w:num w:numId="7">
    <w:abstractNumId w:val="14"/>
  </w:num>
  <w:num w:numId="8">
    <w:abstractNumId w:val="12"/>
  </w:num>
  <w:num w:numId="9">
    <w:abstractNumId w:val="15"/>
  </w:num>
  <w:num w:numId="10">
    <w:abstractNumId w:val="17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PAR VOIE ÈLECTRONIQUE UNIQUEMENT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B01774"/>
    <w:rsid w:val="00032D83"/>
    <w:rsid w:val="00053965"/>
    <w:rsid w:val="00077335"/>
    <w:rsid w:val="000E4387"/>
    <w:rsid w:val="00237E29"/>
    <w:rsid w:val="00303D7F"/>
    <w:rsid w:val="003B12D0"/>
    <w:rsid w:val="003C5744"/>
    <w:rsid w:val="004575C9"/>
    <w:rsid w:val="005143FD"/>
    <w:rsid w:val="006B4172"/>
    <w:rsid w:val="006C37AB"/>
    <w:rsid w:val="006D5585"/>
    <w:rsid w:val="00742574"/>
    <w:rsid w:val="00A5675E"/>
    <w:rsid w:val="00AD3D39"/>
    <w:rsid w:val="00AD410C"/>
    <w:rsid w:val="00B01774"/>
    <w:rsid w:val="00B53471"/>
    <w:rsid w:val="00D85B9E"/>
    <w:rsid w:val="00DE0B5F"/>
    <w:rsid w:val="00E67059"/>
    <w:rsid w:val="00EB473C"/>
    <w:rsid w:val="00F44F57"/>
    <w:rsid w:val="00F9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21D8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uiPriority w:val="98"/>
    <w:semiHidden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Pr>
      <w:rFonts w:ascii="Tahoma" w:hAnsi="Tahoma" w:cs="Tahoma"/>
      <w:sz w:val="16"/>
      <w:szCs w:val="16"/>
      <w:lang w:val="fr-FR"/>
    </w:rPr>
  </w:style>
  <w:style w:type="character" w:styleId="Tytuksiki">
    <w:name w:val="Book Title"/>
    <w:uiPriority w:val="98"/>
    <w:semiHidden/>
    <w:qFormat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pPr>
      <w:jc w:val="both"/>
    </w:pPr>
  </w:style>
  <w:style w:type="character" w:styleId="Pogrubienie">
    <w:name w:val="Strong"/>
    <w:uiPriority w:val="98"/>
    <w:semiHidden/>
    <w:qFormat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</w:style>
  <w:style w:type="character" w:customStyle="1" w:styleId="BezodstpwZnak">
    <w:name w:val="Bez odstępów Znak"/>
    <w:basedOn w:val="Domylnaczcionkaakapitu"/>
    <w:link w:val="Bezodstpw"/>
    <w:uiPriority w:val="98"/>
    <w:semiHidden/>
    <w:rPr>
      <w:sz w:val="24"/>
      <w:szCs w:val="24"/>
      <w:lang w:val="fr-FR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pPr>
      <w:numPr>
        <w:numId w:val="7"/>
      </w:numPr>
      <w:spacing w:before="60" w:after="60"/>
    </w:pPr>
  </w:style>
  <w:style w:type="paragraph" w:customStyle="1" w:styleId="JuQuot">
    <w:name w:val="Ju_Quot"/>
    <w:aliases w:val="_Quote"/>
    <w:basedOn w:val="NormalJustified"/>
    <w:uiPriority w:val="20"/>
    <w:qFormat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pPr>
      <w:numPr>
        <w:numId w:val="8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pPr>
      <w:numPr>
        <w:ilvl w:val="1"/>
        <w:numId w:val="8"/>
      </w:numPr>
    </w:pPr>
  </w:style>
  <w:style w:type="paragraph" w:customStyle="1" w:styleId="JuListi">
    <w:name w:val="Ju_List_i"/>
    <w:aliases w:val="_List_3"/>
    <w:basedOn w:val="NormalJustified"/>
    <w:uiPriority w:val="23"/>
    <w:pPr>
      <w:numPr>
        <w:ilvl w:val="2"/>
        <w:numId w:val="8"/>
      </w:numPr>
    </w:p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pPr>
      <w:numPr>
        <w:numId w:val="7"/>
      </w:numPr>
    </w:pPr>
  </w:style>
  <w:style w:type="numbering" w:customStyle="1" w:styleId="ECHRA1StyleList">
    <w:name w:val="ECHR_A1_Style_List"/>
    <w:basedOn w:val="Bezlisty"/>
    <w:uiPriority w:val="99"/>
    <w:pPr>
      <w:numPr>
        <w:numId w:val="8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pPr>
      <w:keepNext/>
      <w:keepLines/>
      <w:numPr>
        <w:numId w:val="3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pPr>
      <w:numPr>
        <w:numId w:val="9"/>
      </w:numPr>
    </w:pPr>
  </w:style>
  <w:style w:type="paragraph" w:styleId="Tytu">
    <w:name w:val="Title"/>
    <w:basedOn w:val="Normalny"/>
    <w:next w:val="Normalny"/>
    <w:link w:val="TytuZnak"/>
    <w:uiPriority w:val="98"/>
    <w:semiHidden/>
    <w:qFormat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Pr>
      <w:rFonts w:asciiTheme="majorHAnsi" w:eastAsiaTheme="majorEastAsia" w:hAnsiTheme="majorHAnsi" w:cstheme="majorBidi"/>
      <w:spacing w:val="5"/>
      <w:sz w:val="52"/>
      <w:szCs w:val="52"/>
      <w:lang w:val="fr-FR" w:bidi="en-US"/>
    </w:rPr>
  </w:style>
  <w:style w:type="table" w:customStyle="1" w:styleId="ECHRTable2019">
    <w:name w:val="ECHR_Table_2019"/>
    <w:basedOn w:val="Standardowy"/>
    <w:uiPriority w:val="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Pr>
      <w:sz w:val="8"/>
    </w:rPr>
  </w:style>
  <w:style w:type="paragraph" w:customStyle="1" w:styleId="JuCase">
    <w:name w:val="Ju_Case"/>
    <w:aliases w:val="_Case_Name"/>
    <w:basedOn w:val="NormalJustified"/>
    <w:next w:val="JuPara"/>
    <w:uiPriority w:val="32"/>
    <w:pPr>
      <w:ind w:firstLine="284"/>
    </w:pPr>
    <w:rPr>
      <w:b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pPr>
      <w:tabs>
        <w:tab w:val="center" w:pos="6407"/>
      </w:tabs>
      <w:spacing w:before="720"/>
      <w:jc w:val="right"/>
    </w:pPr>
  </w:style>
  <w:style w:type="paragraph" w:customStyle="1" w:styleId="JuHIRoman">
    <w:name w:val="Ju_H_I_Roman"/>
    <w:aliases w:val="_Head_2"/>
    <w:basedOn w:val="Nagwek2"/>
    <w:next w:val="JuPara"/>
    <w:uiPriority w:val="17"/>
    <w:qFormat/>
    <w:pPr>
      <w:keepNext/>
      <w:keepLines/>
      <w:numPr>
        <w:ilvl w:val="1"/>
        <w:numId w:val="3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pPr>
      <w:keepNext/>
      <w:keepLines/>
      <w:numPr>
        <w:ilvl w:val="2"/>
        <w:numId w:val="3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pPr>
      <w:keepNext/>
      <w:keepLines/>
      <w:numPr>
        <w:ilvl w:val="3"/>
        <w:numId w:val="3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Pr>
      <w:sz w:val="24"/>
      <w:szCs w:val="24"/>
      <w:lang w:val="fr-FR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Pr>
      <w:rFonts w:asciiTheme="majorHAnsi" w:eastAsiaTheme="majorEastAsia" w:hAnsiTheme="majorHAnsi" w:cstheme="majorBidi"/>
      <w:b/>
      <w:bCs/>
      <w:color w:val="333333"/>
      <w:sz w:val="28"/>
      <w:szCs w:val="28"/>
      <w:lang w:val="fr-FR"/>
    </w:rPr>
  </w:style>
  <w:style w:type="paragraph" w:customStyle="1" w:styleId="JuHa0">
    <w:name w:val="Ju_H_a"/>
    <w:aliases w:val="_Head_5"/>
    <w:basedOn w:val="Nagwek5"/>
    <w:next w:val="JuPara"/>
    <w:uiPriority w:val="17"/>
    <w:pPr>
      <w:keepNext/>
      <w:keepLines/>
      <w:numPr>
        <w:ilvl w:val="4"/>
        <w:numId w:val="3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pPr>
      <w:keepNext/>
      <w:keepLines/>
      <w:numPr>
        <w:ilvl w:val="5"/>
        <w:numId w:val="3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Pr>
      <w:rFonts w:asciiTheme="majorHAnsi" w:eastAsiaTheme="majorEastAsia" w:hAnsiTheme="majorHAnsi" w:cstheme="majorBidi"/>
      <w:b/>
      <w:bCs/>
      <w:color w:val="4D4D4D"/>
      <w:sz w:val="26"/>
      <w:szCs w:val="26"/>
      <w:lang w:val="fr-FR"/>
    </w:rPr>
  </w:style>
  <w:style w:type="paragraph" w:customStyle="1" w:styleId="JuHalpha">
    <w:name w:val="Ju_H_alpha"/>
    <w:aliases w:val="_Head_7"/>
    <w:basedOn w:val="Nagwek7"/>
    <w:next w:val="JuPara"/>
    <w:uiPriority w:val="17"/>
    <w:pPr>
      <w:keepNext/>
      <w:keepLines/>
      <w:numPr>
        <w:ilvl w:val="6"/>
        <w:numId w:val="3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pPr>
      <w:keepNext/>
      <w:keepLines/>
      <w:numPr>
        <w:ilvl w:val="7"/>
        <w:numId w:val="3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Pr>
      <w:rFonts w:asciiTheme="majorHAnsi" w:eastAsiaTheme="majorEastAsia" w:hAnsiTheme="majorHAnsi" w:cstheme="majorBidi"/>
      <w:b/>
      <w:bCs/>
      <w:color w:val="5F5F5F"/>
      <w:lang w:val="fr-FR"/>
    </w:rPr>
  </w:style>
  <w:style w:type="paragraph" w:customStyle="1" w:styleId="JuParaLast">
    <w:name w:val="Ju_Para_Last"/>
    <w:aliases w:val="_Para_Spaced"/>
    <w:basedOn w:val="NormalJustified"/>
    <w:uiPriority w:val="5"/>
    <w:qFormat/>
    <w:pPr>
      <w:keepNext/>
      <w:keepLines/>
      <w:spacing w:before="240" w:after="240"/>
      <w:ind w:firstLine="284"/>
    </w:pPr>
  </w:style>
  <w:style w:type="character" w:customStyle="1" w:styleId="JuITMark">
    <w:name w:val="Ju_ITMark"/>
    <w:aliases w:val="_ITMark"/>
    <w:basedOn w:val="Domylnaczcionkaakapitu"/>
    <w:uiPriority w:val="54"/>
    <w:qFormat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Pr>
      <w:rFonts w:asciiTheme="majorHAnsi" w:eastAsiaTheme="majorEastAsia" w:hAnsiTheme="majorHAnsi" w:cstheme="majorBidi"/>
      <w:b/>
      <w:bCs/>
      <w:i/>
      <w:iCs/>
      <w:color w:val="777777"/>
      <w:lang w:val="fr-FR"/>
    </w:rPr>
  </w:style>
  <w:style w:type="paragraph" w:customStyle="1" w:styleId="JuJudges">
    <w:name w:val="Ju_Judges"/>
    <w:aliases w:val="_Judges"/>
    <w:basedOn w:val="Normalny"/>
    <w:uiPriority w:val="32"/>
    <w:qFormat/>
    <w:pPr>
      <w:tabs>
        <w:tab w:val="left" w:pos="567"/>
        <w:tab w:val="left" w:pos="1134"/>
      </w:tabs>
    </w:pPr>
  </w:style>
  <w:style w:type="character" w:customStyle="1" w:styleId="Nagwek5Znak">
    <w:name w:val="Nagłówek 5 Znak"/>
    <w:basedOn w:val="Domylnaczcionkaakapitu"/>
    <w:link w:val="Nagwek5"/>
    <w:uiPriority w:val="98"/>
    <w:semiHidden/>
    <w:rPr>
      <w:rFonts w:asciiTheme="majorHAnsi" w:eastAsiaTheme="majorEastAsia" w:hAnsiTheme="majorHAnsi" w:cstheme="majorBidi"/>
      <w:b/>
      <w:bCs/>
      <w:color w:val="808080"/>
      <w:lang w:val="fr-FR"/>
    </w:rPr>
  </w:style>
  <w:style w:type="character" w:customStyle="1" w:styleId="JUNAMES">
    <w:name w:val="JU_NAMES"/>
    <w:aliases w:val="_Ju_Names"/>
    <w:uiPriority w:val="33"/>
    <w:qFormat/>
    <w:rPr>
      <w:caps w:val="0"/>
      <w:smallCaps/>
    </w:rPr>
  </w:style>
  <w:style w:type="character" w:styleId="Wyrnieniedelikatne">
    <w:name w:val="Subtle Emphasis"/>
    <w:uiPriority w:val="98"/>
    <w:semiHidden/>
    <w:qFormat/>
    <w:rPr>
      <w:i/>
      <w:iCs/>
    </w:rPr>
  </w:style>
  <w:style w:type="table" w:customStyle="1" w:styleId="ECHRTable">
    <w:name w:val="ECHR_Table"/>
    <w:basedOn w:val="Standardowy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DecHCase">
    <w:name w:val="Dec_H_Case"/>
    <w:aliases w:val="_Title_3"/>
    <w:basedOn w:val="JuPara"/>
    <w:next w:val="JuPara"/>
    <w:uiPriority w:val="38"/>
    <w:qFormat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Pr>
      <w:sz w:val="24"/>
      <w:szCs w:val="24"/>
      <w:lang w:val="fr-FR"/>
    </w:rPr>
  </w:style>
  <w:style w:type="character" w:styleId="Odwoanieprzypisudolnego">
    <w:name w:val="footnote reference"/>
    <w:basedOn w:val="Domylnaczcionkaakapitu"/>
    <w:uiPriority w:val="98"/>
    <w:semiHidden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Pr>
      <w:sz w:val="20"/>
      <w:szCs w:val="20"/>
      <w:lang w:val="fr-FR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fr-FR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Pr>
      <w:rFonts w:asciiTheme="majorHAnsi" w:eastAsiaTheme="majorEastAsia" w:hAnsiTheme="majorHAnsi" w:cstheme="majorBidi"/>
      <w:i/>
      <w:iCs/>
      <w:lang w:val="fr-FR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Pr>
      <w:rFonts w:asciiTheme="majorHAnsi" w:eastAsiaTheme="majorEastAsia" w:hAnsiTheme="majorHAnsi" w:cstheme="majorBidi"/>
      <w:sz w:val="20"/>
      <w:szCs w:val="20"/>
      <w:lang w:val="fr-FR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Pr>
      <w:rFonts w:asciiTheme="majorHAnsi" w:eastAsiaTheme="majorEastAsia" w:hAnsiTheme="majorHAnsi" w:cstheme="majorBidi"/>
      <w:i/>
      <w:iCs/>
      <w:spacing w:val="5"/>
      <w:sz w:val="20"/>
      <w:szCs w:val="20"/>
      <w:lang w:val="fr-FR" w:bidi="en-US"/>
    </w:rPr>
  </w:style>
  <w:style w:type="character" w:styleId="Hipercze">
    <w:name w:val="Hyperlink"/>
    <w:basedOn w:val="Domylnaczcionkaakapitu"/>
    <w:uiPriority w:val="98"/>
    <w:semiHidden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Pr>
      <w:b/>
      <w:bCs/>
      <w:i/>
      <w:iCs/>
      <w:sz w:val="24"/>
      <w:szCs w:val="24"/>
      <w:lang w:val="fr-FR" w:bidi="en-US"/>
    </w:rPr>
  </w:style>
  <w:style w:type="character" w:styleId="Odwoanieintensywne">
    <w:name w:val="Intense Reference"/>
    <w:uiPriority w:val="98"/>
    <w:semiHidden/>
    <w:qFormat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Pr>
      <w:i/>
      <w:iCs/>
      <w:sz w:val="24"/>
      <w:szCs w:val="24"/>
      <w:lang w:val="fr-FR" w:bidi="en-US"/>
    </w:rPr>
  </w:style>
  <w:style w:type="character" w:styleId="Odwoaniedelikatne">
    <w:name w:val="Subtle Reference"/>
    <w:uiPriority w:val="98"/>
    <w:semiHidden/>
    <w:qFormat/>
    <w:rPr>
      <w:smallCaps/>
    </w:rPr>
  </w:style>
  <w:style w:type="table" w:styleId="Tabela-Siatka">
    <w:name w:val="Table Grid"/>
    <w:basedOn w:val="Standardowy"/>
    <w:uiPriority w:val="59"/>
    <w:semiHidden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paragraph" w:customStyle="1" w:styleId="JuPara">
    <w:name w:val="Ju_Para"/>
    <w:aliases w:val="_Para"/>
    <w:basedOn w:val="NormalJustified"/>
    <w:link w:val="JuParaChar"/>
    <w:uiPriority w:val="4"/>
    <w:qFormat/>
    <w:pPr>
      <w:ind w:firstLine="284"/>
    </w:pPr>
  </w:style>
  <w:style w:type="character" w:customStyle="1" w:styleId="PodtytuZnak">
    <w:name w:val="Podtytuł Znak"/>
    <w:basedOn w:val="Domylnaczcionkaakapitu"/>
    <w:link w:val="Podtytu"/>
    <w:uiPriority w:val="98"/>
    <w:semiHidden/>
    <w:rPr>
      <w:rFonts w:asciiTheme="majorHAnsi" w:eastAsiaTheme="majorEastAsia" w:hAnsiTheme="majorHAnsi" w:cstheme="majorBidi"/>
      <w:i/>
      <w:iCs/>
      <w:spacing w:val="13"/>
      <w:sz w:val="24"/>
      <w:szCs w:val="24"/>
      <w:lang w:val="fr-FR" w:bidi="en-US"/>
    </w:rPr>
  </w:style>
  <w:style w:type="table" w:customStyle="1" w:styleId="ECHRTableSimpleBox">
    <w:name w:val="ECHR_Table_Simple_Box"/>
    <w:basedOn w:val="Standardowy"/>
    <w:uiPriority w:val="99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111111">
    <w:name w:val="Outline List 2"/>
    <w:basedOn w:val="Bezlisty"/>
    <w:uiPriority w:val="99"/>
    <w:semiHidden/>
    <w:unhideWhenUsed/>
    <w:pPr>
      <w:numPr>
        <w:numId w:val="4"/>
      </w:numPr>
    </w:pPr>
  </w:style>
  <w:style w:type="table" w:customStyle="1" w:styleId="ECHRTableForInternalUse">
    <w:name w:val="ECHR_Table_For_Internal_Use"/>
    <w:basedOn w:val="Standardowy"/>
    <w:uiPriority w:val="99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numbering" w:styleId="1ai">
    <w:name w:val="Outline List 1"/>
    <w:basedOn w:val="Bezlisty"/>
    <w:uiPriority w:val="99"/>
    <w:semiHidden/>
    <w:unhideWhenUsed/>
    <w:pPr>
      <w:numPr>
        <w:numId w:val="5"/>
      </w:numPr>
    </w:pPr>
  </w:style>
  <w:style w:type="numbering" w:styleId="Artykusekcja">
    <w:name w:val="Outline List 3"/>
    <w:basedOn w:val="Bezlisty"/>
    <w:uiPriority w:val="99"/>
    <w:semiHidden/>
    <w:unhideWhenUsed/>
    <w:pPr>
      <w:numPr>
        <w:numId w:val="6"/>
      </w:numPr>
    </w:pPr>
  </w:style>
  <w:style w:type="table" w:customStyle="1" w:styleId="ECHRHeaderTable">
    <w:name w:val="ECHR_Header_Table"/>
    <w:basedOn w:val="Standardowy"/>
    <w:uiPriority w:val="99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ibliografia">
    <w:name w:val="Bibliography"/>
    <w:basedOn w:val="Normalny"/>
    <w:next w:val="Normalny"/>
    <w:uiPriority w:val="98"/>
    <w:semiHidden/>
  </w:style>
  <w:style w:type="paragraph" w:styleId="Tekstblokowy">
    <w:name w:val="Block Text"/>
    <w:basedOn w:val="Normalny"/>
    <w:uiPriority w:val="98"/>
    <w:semiHidden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OddBanded">
    <w:name w:val="ECHR_Table_Odd_Banded"/>
    <w:basedOn w:val="Standardowy"/>
    <w:uiPriority w:val="99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">
    <w:name w:val="Body Text"/>
    <w:basedOn w:val="Normalny"/>
    <w:link w:val="TekstpodstawowyZnak"/>
    <w:uiPriority w:val="98"/>
    <w:semiHidden/>
    <w:pPr>
      <w:spacing w:after="120"/>
    </w:pPr>
  </w:style>
  <w:style w:type="table" w:customStyle="1" w:styleId="ECHRHeaderTableReduced">
    <w:name w:val="ECHR_Header_Table_Reduced"/>
    <w:basedOn w:val="Standardowy"/>
    <w:uiPriority w:val="9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Numerstrony">
    <w:name w:val="page number"/>
    <w:uiPriority w:val="98"/>
    <w:semiHidden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Pr>
      <w:sz w:val="20"/>
      <w:szCs w:val="20"/>
      <w:lang w:val="fr-FR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pPr>
      <w:tabs>
        <w:tab w:val="center" w:pos="1418"/>
        <w:tab w:val="center" w:pos="5954"/>
      </w:tabs>
      <w:spacing w:before="720"/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styleId="Listapunktowana2">
    <w:name w:val="List Bullet 2"/>
    <w:basedOn w:val="Normalny"/>
    <w:uiPriority w:val="98"/>
    <w:semiHidden/>
    <w:pPr>
      <w:numPr>
        <w:numId w:val="11"/>
      </w:numPr>
      <w:contextualSpacing/>
    </w:pPr>
  </w:style>
  <w:style w:type="paragraph" w:styleId="Listapunktowana3">
    <w:name w:val="List Bullet 3"/>
    <w:basedOn w:val="Normalny"/>
    <w:uiPriority w:val="98"/>
    <w:semiHidden/>
    <w:pPr>
      <w:numPr>
        <w:numId w:val="12"/>
      </w:numPr>
      <w:contextualSpacing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Pr>
      <w:sz w:val="24"/>
      <w:szCs w:val="24"/>
      <w:lang w:val="fr-FR"/>
    </w:rPr>
  </w:style>
  <w:style w:type="paragraph" w:styleId="Tekstpodstawowy2">
    <w:name w:val="Body Text 2"/>
    <w:basedOn w:val="Normalny"/>
    <w:link w:val="Tekstpodstawowy2Znak"/>
    <w:uiPriority w:val="98"/>
    <w:semiHidden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Pr>
      <w:sz w:val="24"/>
      <w:szCs w:val="24"/>
      <w:lang w:val="fr-FR"/>
    </w:rPr>
  </w:style>
  <w:style w:type="paragraph" w:styleId="Tekstpodstawowy3">
    <w:name w:val="Body Text 3"/>
    <w:basedOn w:val="Normalny"/>
    <w:link w:val="Tekstpodstawowy3Znak"/>
    <w:uiPriority w:val="98"/>
    <w:semiHidden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Pr>
      <w:sz w:val="16"/>
      <w:szCs w:val="16"/>
      <w:lang w:val="fr-FR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Pr>
      <w:sz w:val="24"/>
      <w:szCs w:val="24"/>
      <w:lang w:val="fr-FR"/>
    </w:rPr>
  </w:style>
  <w:style w:type="paragraph" w:styleId="Tekstpodstawowywcity">
    <w:name w:val="Body Text Indent"/>
    <w:basedOn w:val="Normalny"/>
    <w:link w:val="TekstpodstawowywcityZnak"/>
    <w:uiPriority w:val="98"/>
    <w:semiHidden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Pr>
      <w:sz w:val="24"/>
      <w:szCs w:val="24"/>
      <w:lang w:val="fr-FR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Pr>
      <w:sz w:val="24"/>
      <w:szCs w:val="24"/>
      <w:lang w:val="fr-FR"/>
    </w:rPr>
  </w:style>
  <w:style w:type="paragraph" w:styleId="Tekstpodstawowywcity2">
    <w:name w:val="Body Text Indent 2"/>
    <w:basedOn w:val="Normalny"/>
    <w:link w:val="Tekstpodstawowywcity2Znak"/>
    <w:uiPriority w:val="98"/>
    <w:semiHidden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Pr>
      <w:sz w:val="24"/>
      <w:szCs w:val="24"/>
      <w:lang w:val="fr-FR"/>
    </w:rPr>
  </w:style>
  <w:style w:type="paragraph" w:styleId="Tekstpodstawowywcity3">
    <w:name w:val="Body Text Indent 3"/>
    <w:basedOn w:val="Normalny"/>
    <w:link w:val="Tekstpodstawowywcity3Znak"/>
    <w:uiPriority w:val="98"/>
    <w:semiHidden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Pr>
      <w:sz w:val="16"/>
      <w:szCs w:val="16"/>
      <w:lang w:val="fr-FR"/>
    </w:rPr>
  </w:style>
  <w:style w:type="paragraph" w:styleId="Legenda">
    <w:name w:val="caption"/>
    <w:basedOn w:val="Normalny"/>
    <w:next w:val="Normalny"/>
    <w:uiPriority w:val="98"/>
    <w:semiHidden/>
    <w:qFormat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Pr>
      <w:sz w:val="24"/>
      <w:szCs w:val="24"/>
      <w:lang w:val="fr-FR"/>
    </w:rPr>
  </w:style>
  <w:style w:type="table" w:styleId="Kolorowasiatka">
    <w:name w:val="Colorful Grid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Pr>
      <w:b/>
      <w:bCs/>
      <w:sz w:val="20"/>
      <w:szCs w:val="20"/>
      <w:lang w:val="fr-FR"/>
    </w:rPr>
  </w:style>
  <w:style w:type="table" w:styleId="Ciemnalista">
    <w:name w:val="Dark List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</w:style>
  <w:style w:type="character" w:customStyle="1" w:styleId="DataZnak">
    <w:name w:val="Data Znak"/>
    <w:basedOn w:val="Domylnaczcionkaakapitu"/>
    <w:link w:val="Data"/>
    <w:uiPriority w:val="98"/>
    <w:semiHidden/>
    <w:rPr>
      <w:sz w:val="24"/>
      <w:szCs w:val="24"/>
      <w:lang w:val="fr-FR"/>
    </w:rPr>
  </w:style>
  <w:style w:type="paragraph" w:styleId="Mapadokumentu">
    <w:name w:val="Document Map"/>
    <w:basedOn w:val="Normalny"/>
    <w:link w:val="MapadokumentuZnak"/>
    <w:uiPriority w:val="98"/>
    <w:semiHidden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Pr>
      <w:rFonts w:ascii="Tahoma" w:hAnsi="Tahoma" w:cs="Tahoma"/>
      <w:sz w:val="16"/>
      <w:szCs w:val="16"/>
      <w:lang w:val="fr-FR"/>
    </w:rPr>
  </w:style>
  <w:style w:type="paragraph" w:styleId="Podpise-mail">
    <w:name w:val="E-mail Signature"/>
    <w:basedOn w:val="Normalny"/>
    <w:link w:val="Podpise-mailZnak"/>
    <w:uiPriority w:val="98"/>
    <w:semiHidden/>
  </w:style>
  <w:style w:type="character" w:customStyle="1" w:styleId="Podpise-mailZnak">
    <w:name w:val="Podpis e-mail Znak"/>
    <w:basedOn w:val="Domylnaczcionkaakapitu"/>
    <w:link w:val="Podpise-mail"/>
    <w:uiPriority w:val="98"/>
    <w:semiHidden/>
    <w:rPr>
      <w:sz w:val="24"/>
      <w:szCs w:val="24"/>
      <w:lang w:val="fr-FR"/>
    </w:rPr>
  </w:style>
  <w:style w:type="character" w:styleId="Odwoanieprzypisukocowego">
    <w:name w:val="endnote reference"/>
    <w:basedOn w:val="Domylnaczcionkaakapitu"/>
    <w:uiPriority w:val="98"/>
    <w:semiHidden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Pr>
      <w:sz w:val="20"/>
      <w:szCs w:val="20"/>
      <w:lang w:val="fr-FR"/>
    </w:rPr>
  </w:style>
  <w:style w:type="paragraph" w:styleId="Adresnakopercie">
    <w:name w:val="envelope address"/>
    <w:basedOn w:val="Normalny"/>
    <w:uiPriority w:val="98"/>
    <w:semiHidden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</w:style>
  <w:style w:type="paragraph" w:styleId="HTML-adres">
    <w:name w:val="HTML Address"/>
    <w:basedOn w:val="Normalny"/>
    <w:link w:val="HTML-adresZnak"/>
    <w:uiPriority w:val="98"/>
    <w:semiHidden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Pr>
      <w:i/>
      <w:iCs/>
      <w:sz w:val="24"/>
      <w:szCs w:val="24"/>
      <w:lang w:val="fr-FR"/>
    </w:rPr>
  </w:style>
  <w:style w:type="character" w:styleId="HTML-cytat">
    <w:name w:val="HTML Cite"/>
    <w:basedOn w:val="Domylnaczcionkaakapitu"/>
    <w:uiPriority w:val="98"/>
    <w:semiHidden/>
    <w:rPr>
      <w:i/>
      <w:iCs/>
    </w:rPr>
  </w:style>
  <w:style w:type="character" w:styleId="HTML-kod">
    <w:name w:val="HTML Code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Pr>
      <w:i/>
      <w:iCs/>
    </w:rPr>
  </w:style>
  <w:style w:type="character" w:styleId="HTML-klawiatura">
    <w:name w:val="HTML Keyboard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Pr>
      <w:rFonts w:ascii="Consolas" w:hAnsi="Consolas" w:cs="Consolas"/>
      <w:sz w:val="20"/>
      <w:szCs w:val="20"/>
      <w:lang w:val="fr-FR"/>
    </w:rPr>
  </w:style>
  <w:style w:type="character" w:styleId="HTML-przykad">
    <w:name w:val="HTML Sample"/>
    <w:basedOn w:val="Domylnaczcionkaakapitu"/>
    <w:uiPriority w:val="98"/>
    <w:semiHidden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</w:style>
  <w:style w:type="paragraph" w:styleId="Lista">
    <w:name w:val="List"/>
    <w:basedOn w:val="Normalny"/>
    <w:uiPriority w:val="98"/>
    <w:semiHidden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pPr>
      <w:numPr>
        <w:numId w:val="10"/>
      </w:numPr>
    </w:pPr>
  </w:style>
  <w:style w:type="paragraph" w:styleId="Listapunktowana4">
    <w:name w:val="List Bullet 4"/>
    <w:basedOn w:val="Normalny"/>
    <w:uiPriority w:val="98"/>
    <w:semiHidden/>
    <w:pPr>
      <w:numPr>
        <w:numId w:val="13"/>
      </w:numPr>
      <w:contextualSpacing/>
    </w:pPr>
  </w:style>
  <w:style w:type="paragraph" w:styleId="Listapunktowana5">
    <w:name w:val="List Bullet 5"/>
    <w:basedOn w:val="Normalny"/>
    <w:uiPriority w:val="98"/>
    <w:semiHidden/>
    <w:pPr>
      <w:numPr>
        <w:numId w:val="14"/>
      </w:numPr>
      <w:contextualSpacing/>
    </w:pPr>
  </w:style>
  <w:style w:type="paragraph" w:styleId="Lista-kontynuacja">
    <w:name w:val="List Continue"/>
    <w:basedOn w:val="Normalny"/>
    <w:uiPriority w:val="98"/>
    <w:semiHidden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pPr>
      <w:numPr>
        <w:numId w:val="15"/>
      </w:numPr>
      <w:contextualSpacing/>
    </w:pPr>
  </w:style>
  <w:style w:type="paragraph" w:styleId="Listanumerowana2">
    <w:name w:val="List Number 2"/>
    <w:basedOn w:val="Normalny"/>
    <w:uiPriority w:val="98"/>
    <w:semiHidden/>
    <w:pPr>
      <w:numPr>
        <w:numId w:val="16"/>
      </w:numPr>
      <w:contextualSpacing/>
    </w:pPr>
  </w:style>
  <w:style w:type="paragraph" w:styleId="Listanumerowana3">
    <w:name w:val="List Number 3"/>
    <w:basedOn w:val="Normalny"/>
    <w:uiPriority w:val="98"/>
    <w:semiHidden/>
    <w:pPr>
      <w:numPr>
        <w:numId w:val="17"/>
      </w:numPr>
      <w:contextualSpacing/>
    </w:pPr>
  </w:style>
  <w:style w:type="paragraph" w:styleId="Listanumerowana4">
    <w:name w:val="List Number 4"/>
    <w:basedOn w:val="Normalny"/>
    <w:uiPriority w:val="98"/>
    <w:semiHidden/>
    <w:pPr>
      <w:numPr>
        <w:numId w:val="18"/>
      </w:numPr>
      <w:contextualSpacing/>
    </w:pPr>
  </w:style>
  <w:style w:type="paragraph" w:styleId="Listanumerowana5">
    <w:name w:val="List Number 5"/>
    <w:basedOn w:val="Normalny"/>
    <w:uiPriority w:val="98"/>
    <w:semiHidden/>
    <w:pPr>
      <w:numPr>
        <w:numId w:val="19"/>
      </w:numPr>
      <w:contextualSpacing/>
    </w:pPr>
  </w:style>
  <w:style w:type="paragraph" w:styleId="Tekstmakra">
    <w:name w:val="macro"/>
    <w:link w:val="TekstmakraZnak"/>
    <w:uiPriority w:val="98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Pr>
      <w:rFonts w:asciiTheme="majorHAnsi" w:eastAsiaTheme="majorEastAsia" w:hAnsiTheme="majorHAnsi" w:cstheme="majorBidi"/>
      <w:sz w:val="24"/>
      <w:szCs w:val="24"/>
      <w:shd w:val="pct20" w:color="auto" w:fill="auto"/>
      <w:lang w:val="fr-FR"/>
    </w:rPr>
  </w:style>
  <w:style w:type="paragraph" w:styleId="NormalnyWeb">
    <w:name w:val="Normal (Web)"/>
    <w:basedOn w:val="Normalny"/>
    <w:uiPriority w:val="98"/>
    <w:semiHidden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Pr>
      <w:sz w:val="24"/>
      <w:szCs w:val="24"/>
      <w:lang w:val="fr-FR"/>
    </w:rPr>
  </w:style>
  <w:style w:type="character" w:styleId="Tekstzastpczy">
    <w:name w:val="Placeholder Text"/>
    <w:basedOn w:val="Domylnaczcionkaakapitu"/>
    <w:uiPriority w:val="98"/>
    <w:semiHidden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Pr>
      <w:rFonts w:ascii="Consolas" w:hAnsi="Consolas" w:cs="Consolas"/>
      <w:sz w:val="21"/>
      <w:szCs w:val="21"/>
      <w:lang w:val="fr-FR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Pr>
      <w:sz w:val="24"/>
      <w:szCs w:val="24"/>
      <w:lang w:val="fr-FR"/>
    </w:rPr>
  </w:style>
  <w:style w:type="paragraph" w:styleId="Podpis">
    <w:name w:val="Signature"/>
    <w:basedOn w:val="Normalny"/>
    <w:link w:val="PodpisZnak"/>
    <w:uiPriority w:val="98"/>
    <w:semiHidden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Pr>
      <w:sz w:val="24"/>
      <w:szCs w:val="24"/>
      <w:lang w:val="fr-FR"/>
    </w:rPr>
  </w:style>
  <w:style w:type="table" w:styleId="Tabela-Efekty3W1">
    <w:name w:val="Table 3D effects 1"/>
    <w:basedOn w:val="Standardowy"/>
    <w:uiPriority w:val="99"/>
    <w:semiHidden/>
    <w:unhideWhenUsed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</w:style>
  <w:style w:type="table" w:styleId="Tabela-Profesjonalny">
    <w:name w:val="Table Professional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29"/>
    <w:semiHidden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ECHRBullet2">
    <w:name w:val="ECHR_Bullet_2"/>
    <w:aliases w:val="_Bul_2"/>
    <w:basedOn w:val="ECHRBullet1"/>
    <w:uiPriority w:val="23"/>
    <w:semiHidden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Pr>
      <w:rFonts w:ascii="Arial" w:hAnsi="Arial"/>
      <w:i/>
      <w:color w:val="002856"/>
      <w:sz w:val="32"/>
      <w:szCs w:val="24"/>
      <w:lang w:val="fr-FR"/>
    </w:rPr>
  </w:style>
  <w:style w:type="table" w:styleId="Tabelasiatki1jasna">
    <w:name w:val="Grid Table 1 Light"/>
    <w:basedOn w:val="Standardowy"/>
    <w:uiPriority w:val="46"/>
    <w:semiHidden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ECHRFooterLineLandscape">
    <w:name w:val="ECHR_Footer_Line_Landscape"/>
    <w:aliases w:val="_Footer_Line_Landscape"/>
    <w:basedOn w:val="Normalny"/>
    <w:uiPriority w:val="29"/>
    <w:semiHidden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pPr>
      <w:ind w:left="567" w:hanging="567"/>
    </w:pPr>
  </w:style>
  <w:style w:type="paragraph" w:customStyle="1" w:styleId="ECHRHeading9">
    <w:name w:val="ECHR_Heading_9"/>
    <w:aliases w:val="_Head_9"/>
    <w:basedOn w:val="Nagwek9"/>
    <w:uiPriority w:val="17"/>
    <w:semiHidden/>
    <w:pPr>
      <w:keepNext/>
      <w:keepLines/>
      <w:numPr>
        <w:ilvl w:val="8"/>
        <w:numId w:val="3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pPr>
      <w:tabs>
        <w:tab w:val="center" w:pos="6146"/>
        <w:tab w:val="right" w:pos="13778"/>
      </w:tabs>
      <w:ind w:left="-1474" w:right="-1474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pPr>
      <w:spacing w:before="120" w:after="120"/>
      <w:ind w:left="567"/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DecList">
    <w:name w:val="Dec_List"/>
    <w:aliases w:val="_List"/>
    <w:basedOn w:val="JuList"/>
    <w:uiPriority w:val="22"/>
    <w:pPr>
      <w:numPr>
        <w:numId w:val="0"/>
      </w:numPr>
      <w:ind w:left="284"/>
    </w:p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pPr>
      <w:numPr>
        <w:numId w:val="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pPr>
      <w:numPr>
        <w:ilvl w:val="2"/>
      </w:numPr>
    </w:pPr>
  </w:style>
  <w:style w:type="paragraph" w:customStyle="1" w:styleId="ECHRPlaceholder">
    <w:name w:val="ECHR_Placeholder"/>
    <w:aliases w:val="_Placeholder"/>
    <w:basedOn w:val="JuSigned"/>
    <w:uiPriority w:val="31"/>
    <w:rPr>
      <w:color w:val="FFFFFF"/>
    </w:rPr>
  </w:style>
  <w:style w:type="character" w:customStyle="1" w:styleId="ECHRRed">
    <w:name w:val="ECHR_Red"/>
    <w:aliases w:val="_Red"/>
    <w:basedOn w:val="Domylnaczcionkaakapitu"/>
    <w:uiPriority w:val="15"/>
    <w:semiHidden/>
    <w:qFormat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pPr>
      <w:jc w:val="right"/>
    </w:pPr>
    <w:rPr>
      <w:i/>
      <w:sz w:val="20"/>
    </w:rPr>
  </w:style>
  <w:style w:type="paragraph" w:customStyle="1" w:styleId="ECHRSpacer">
    <w:name w:val="ECHR_Spacer"/>
    <w:aliases w:val="_Spacer"/>
    <w:basedOn w:val="Normalny"/>
    <w:uiPriority w:val="45"/>
    <w:semiHidden/>
    <w:rPr>
      <w:sz w:val="4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pPr>
      <w:outlineLvl w:val="0"/>
    </w:pPr>
  </w:style>
  <w:style w:type="table" w:customStyle="1" w:styleId="ECHRTable2">
    <w:name w:val="ECHR_Table_2"/>
    <w:basedOn w:val="Standardowy"/>
    <w:uiPriority w:val="9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Grey">
    <w:name w:val="ECHR_Table_Grey"/>
    <w:basedOn w:val="Standardowy"/>
    <w:uiPriority w:val="9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JuParaChar">
    <w:name w:val="Ju_Para Char"/>
    <w:aliases w:val="_Para Char"/>
    <w:link w:val="JuPara"/>
    <w:uiPriority w:val="4"/>
    <w:rPr>
      <w:sz w:val="24"/>
      <w:szCs w:val="24"/>
      <w:lang w:val="fr-FR"/>
    </w:rPr>
  </w:style>
  <w:style w:type="table" w:styleId="Tabelasiatki1jasnaakcent1">
    <w:name w:val="Grid Table 1 Light Accent 1"/>
    <w:basedOn w:val="Standardowy"/>
    <w:uiPriority w:val="46"/>
    <w:semiHidden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customStyle="1" w:styleId="DummyStyle">
    <w:name w:val="Dummy_Style"/>
    <w:aliases w:val="_Dummy"/>
    <w:basedOn w:val="Normalny"/>
    <w:semiHidden/>
    <w:qFormat/>
    <w:rPr>
      <w:color w:val="00B050"/>
      <w:sz w:val="22"/>
    </w:rPr>
  </w:style>
  <w:style w:type="paragraph" w:styleId="Poprawka">
    <w:name w:val="Revision"/>
    <w:hidden/>
    <w:uiPriority w:val="99"/>
    <w:semiHidden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BDA5E-7DBD-4DDE-842B-CFA874E69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2022-03-15T13:24:00Z</dcterms:created>
  <dcterms:modified xsi:type="dcterms:W3CDTF">2023-04-06T09:27:00Z</dcterms:modified>
  <cp:category/>
</cp:coreProperties>
</file>