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4799E" w14:textId="77777777" w:rsidR="00D968F7" w:rsidRPr="008065CD" w:rsidRDefault="00D968F7" w:rsidP="00197933">
      <w:pPr>
        <w:jc w:val="center"/>
        <w:rPr>
          <w:rFonts w:cstheme="minorHAnsi"/>
        </w:rPr>
      </w:pPr>
    </w:p>
    <w:p w14:paraId="07CC5C3B" w14:textId="45E3B7C3" w:rsidR="0098410D" w:rsidRPr="008065CD" w:rsidRDefault="004D28EF" w:rsidP="004D28EF">
      <w:pPr>
        <w:pStyle w:val="DecHTitle"/>
        <w:rPr>
          <w:rFonts w:asciiTheme="minorHAnsi" w:hAnsiTheme="minorHAnsi" w:cstheme="minorHAnsi"/>
        </w:rPr>
      </w:pPr>
      <w:r w:rsidRPr="008065CD">
        <w:rPr>
          <w:rFonts w:asciiTheme="minorHAnsi" w:hAnsiTheme="minorHAnsi" w:cstheme="minorHAnsi"/>
        </w:rPr>
        <w:t>EUROPEJSKI TRYBUNAŁ PRAW CZŁOWIEKA</w:t>
      </w:r>
    </w:p>
    <w:p w14:paraId="45FAF08A" w14:textId="74FD96B3" w:rsidR="0098410D" w:rsidRPr="008065CD" w:rsidRDefault="00D968F7" w:rsidP="00197933">
      <w:pPr>
        <w:pStyle w:val="DecHTitle"/>
        <w:rPr>
          <w:rFonts w:asciiTheme="minorHAnsi" w:hAnsiTheme="minorHAnsi" w:cstheme="minorHAnsi"/>
        </w:rPr>
      </w:pPr>
      <w:r w:rsidRPr="008065CD">
        <w:rPr>
          <w:rFonts w:asciiTheme="minorHAnsi" w:hAnsiTheme="minorHAnsi" w:cstheme="minorHAnsi"/>
        </w:rPr>
        <w:t>SEKCJA PIERWSZA</w:t>
      </w:r>
    </w:p>
    <w:p w14:paraId="46EAC54F" w14:textId="5D4DE679" w:rsidR="008E6217" w:rsidRPr="008065CD" w:rsidRDefault="008E6217" w:rsidP="00E14505">
      <w:pPr>
        <w:pStyle w:val="JuTitle"/>
        <w:spacing w:before="1080"/>
        <w:rPr>
          <w:rFonts w:cstheme="minorHAnsi"/>
        </w:rPr>
      </w:pPr>
      <w:bookmarkStart w:id="0" w:name="To"/>
      <w:r w:rsidRPr="008065CD">
        <w:rPr>
          <w:rFonts w:cstheme="minorHAnsi"/>
        </w:rPr>
        <w:t xml:space="preserve">SPRAWA </w:t>
      </w:r>
      <w:bookmarkEnd w:id="0"/>
      <w:r w:rsidRPr="008065CD">
        <w:rPr>
          <w:rFonts w:cstheme="minorHAnsi"/>
        </w:rPr>
        <w:t>BIELIŃSKI PRZECIWKO POLSCE</w:t>
      </w:r>
    </w:p>
    <w:p w14:paraId="37A0461C" w14:textId="3E8F7D98" w:rsidR="00D74888" w:rsidRPr="008065CD" w:rsidRDefault="008E6217" w:rsidP="00197933">
      <w:pPr>
        <w:pStyle w:val="ECHRCoverTitle4"/>
        <w:rPr>
          <w:rFonts w:cstheme="minorHAnsi"/>
        </w:rPr>
      </w:pPr>
      <w:r w:rsidRPr="008065CD">
        <w:rPr>
          <w:rFonts w:cstheme="minorHAnsi"/>
        </w:rPr>
        <w:t>(Skarga nr 48762/19)</w:t>
      </w:r>
    </w:p>
    <w:p w14:paraId="7F1BA7DE" w14:textId="77777777" w:rsidR="0098410D" w:rsidRPr="008065CD" w:rsidRDefault="0098410D" w:rsidP="00617A08">
      <w:pPr>
        <w:pStyle w:val="DecHCase"/>
        <w:jc w:val="left"/>
        <w:rPr>
          <w:rFonts w:asciiTheme="minorHAnsi" w:hAnsiTheme="minorHAnsi" w:cstheme="minorHAnsi"/>
        </w:rPr>
      </w:pPr>
    </w:p>
    <w:p w14:paraId="6303EB0E" w14:textId="386CACA0" w:rsidR="0098410D" w:rsidRPr="008065CD" w:rsidRDefault="0098410D" w:rsidP="00197933">
      <w:pPr>
        <w:pStyle w:val="DecHCase"/>
        <w:spacing w:after="120"/>
        <w:rPr>
          <w:rFonts w:asciiTheme="minorHAnsi" w:hAnsiTheme="minorHAnsi" w:cstheme="minorHAnsi"/>
        </w:rPr>
      </w:pPr>
      <w:r w:rsidRPr="008065CD">
        <w:rPr>
          <w:rFonts w:asciiTheme="minorHAnsi" w:hAnsiTheme="minorHAnsi" w:cstheme="minorHAnsi"/>
        </w:rPr>
        <w:t>WYROK</w:t>
      </w:r>
    </w:p>
    <w:p w14:paraId="75E1C250" w14:textId="46F151EE" w:rsidR="00626F13" w:rsidRPr="008065CD" w:rsidRDefault="00626F13" w:rsidP="00197933">
      <w:pPr>
        <w:pStyle w:val="DecHCase"/>
        <w:rPr>
          <w:rFonts w:asciiTheme="minorHAnsi" w:hAnsiTheme="minorHAnsi" w:cstheme="minorHAnsi"/>
        </w:rPr>
      </w:pPr>
    </w:p>
    <w:p w14:paraId="3BE3D93D" w14:textId="47B5D2A0" w:rsidR="00197933" w:rsidRPr="008065CD" w:rsidRDefault="00197933" w:rsidP="00197933">
      <w:pPr>
        <w:pBdr>
          <w:top w:val="single" w:sz="4" w:space="1" w:color="auto"/>
          <w:left w:val="single" w:sz="4" w:space="4" w:color="auto"/>
          <w:bottom w:val="single" w:sz="4" w:space="1" w:color="auto"/>
          <w:right w:val="single" w:sz="4" w:space="4" w:color="auto"/>
        </w:pBdr>
        <w:jc w:val="both"/>
        <w:rPr>
          <w:rFonts w:cstheme="minorHAnsi"/>
        </w:rPr>
      </w:pPr>
      <w:r w:rsidRPr="008065CD">
        <w:rPr>
          <w:rFonts w:cstheme="minorHAnsi"/>
        </w:rPr>
        <w:t xml:space="preserve">Art. 6 ust. 1 (aspekt cywilny) – Rozsądny termin – Przewlekłość postępowania odwoławczego </w:t>
      </w:r>
      <w:r w:rsidR="009D6CA0" w:rsidRPr="008065CD">
        <w:rPr>
          <w:rFonts w:cstheme="minorHAnsi"/>
        </w:rPr>
        <w:t>od decyzji obniżającej wysokość świadczeń</w:t>
      </w:r>
      <w:r w:rsidRPr="008065CD">
        <w:rPr>
          <w:rFonts w:cstheme="minorHAnsi"/>
        </w:rPr>
        <w:t xml:space="preserve"> skarżącego, </w:t>
      </w:r>
      <w:r w:rsidR="009D6CA0" w:rsidRPr="008065CD">
        <w:rPr>
          <w:rFonts w:cstheme="minorHAnsi"/>
        </w:rPr>
        <w:t>które trwało</w:t>
      </w:r>
      <w:r w:rsidRPr="008065CD">
        <w:rPr>
          <w:rFonts w:cstheme="minorHAnsi"/>
        </w:rPr>
        <w:t xml:space="preserve"> ponad cztery lata w dwóch instancjach – Postępowanie w</w:t>
      </w:r>
      <w:r w:rsidR="00617A08" w:rsidRPr="008065CD">
        <w:rPr>
          <w:rFonts w:cstheme="minorHAnsi"/>
        </w:rPr>
        <w:t> </w:t>
      </w:r>
      <w:r w:rsidRPr="008065CD">
        <w:rPr>
          <w:rFonts w:cstheme="minorHAnsi"/>
        </w:rPr>
        <w:t>przedmiocie środków utrzymania skarżącego, a więc wymagające szczególnej staranności</w:t>
      </w:r>
    </w:p>
    <w:p w14:paraId="32E0F247" w14:textId="7E828AFA" w:rsidR="00197933" w:rsidRPr="008065CD" w:rsidRDefault="00197933" w:rsidP="00197933">
      <w:pPr>
        <w:pStyle w:val="JuPara"/>
        <w:pBdr>
          <w:top w:val="single" w:sz="4" w:space="1" w:color="auto"/>
          <w:left w:val="single" w:sz="4" w:space="4" w:color="auto"/>
          <w:bottom w:val="single" w:sz="4" w:space="1" w:color="auto"/>
          <w:right w:val="single" w:sz="4" w:space="4" w:color="auto"/>
        </w:pBdr>
        <w:ind w:firstLine="0"/>
        <w:rPr>
          <w:rFonts w:cstheme="minorHAnsi"/>
        </w:rPr>
      </w:pPr>
      <w:r w:rsidRPr="008065CD">
        <w:rPr>
          <w:rFonts w:cstheme="minorHAnsi"/>
        </w:rPr>
        <w:t xml:space="preserve">Art. 13 (+ art. 6 ust. 1) – Brak w systemie krajowym skutecznego środka odwoławczego służącego zakwestionowaniu długości </w:t>
      </w:r>
      <w:r w:rsidR="00E8229B" w:rsidRPr="008065CD">
        <w:rPr>
          <w:rFonts w:cstheme="minorHAnsi"/>
        </w:rPr>
        <w:t>czasu</w:t>
      </w:r>
      <w:r w:rsidRPr="008065CD">
        <w:rPr>
          <w:rFonts w:cstheme="minorHAnsi"/>
        </w:rPr>
        <w:t xml:space="preserve"> rozpoznania sprawy, w której postępowanie sądowe zostało zawieszone do czasu rozpoznania pytania prawnego przez Trybunał Konstytucyjny</w:t>
      </w:r>
    </w:p>
    <w:p w14:paraId="1EE41818" w14:textId="77777777" w:rsidR="00626F13" w:rsidRPr="008065CD" w:rsidRDefault="00626F13" w:rsidP="00197933">
      <w:pPr>
        <w:pStyle w:val="DecHCase"/>
        <w:rPr>
          <w:rFonts w:asciiTheme="minorHAnsi" w:hAnsiTheme="minorHAnsi" w:cstheme="minorHAnsi"/>
        </w:rPr>
      </w:pPr>
    </w:p>
    <w:p w14:paraId="285D5839" w14:textId="70E867D4" w:rsidR="0098410D" w:rsidRPr="008065CD" w:rsidRDefault="0098410D" w:rsidP="00197933">
      <w:pPr>
        <w:pStyle w:val="DecHCase"/>
        <w:rPr>
          <w:rFonts w:asciiTheme="minorHAnsi" w:hAnsiTheme="minorHAnsi" w:cstheme="minorHAnsi"/>
        </w:rPr>
      </w:pPr>
      <w:r w:rsidRPr="008065CD">
        <w:rPr>
          <w:rFonts w:asciiTheme="minorHAnsi" w:hAnsiTheme="minorHAnsi" w:cstheme="minorHAnsi"/>
        </w:rPr>
        <w:t>STRASBURG</w:t>
      </w:r>
    </w:p>
    <w:p w14:paraId="200E37E9" w14:textId="0A3F3D78" w:rsidR="0098410D" w:rsidRDefault="00D968F7" w:rsidP="006777BB">
      <w:pPr>
        <w:pStyle w:val="DecHCase"/>
        <w:spacing w:after="360"/>
        <w:rPr>
          <w:rFonts w:asciiTheme="minorHAnsi" w:hAnsiTheme="minorHAnsi" w:cstheme="minorHAnsi"/>
        </w:rPr>
      </w:pPr>
      <w:r w:rsidRPr="008065CD">
        <w:rPr>
          <w:rFonts w:asciiTheme="minorHAnsi" w:hAnsiTheme="minorHAnsi" w:cstheme="minorHAnsi"/>
        </w:rPr>
        <w:t>21 lipca 2022 r.</w:t>
      </w:r>
    </w:p>
    <w:p w14:paraId="66D3A75D" w14:textId="0256296C" w:rsidR="004756C6" w:rsidRPr="00E14505" w:rsidRDefault="004756C6" w:rsidP="004756C6">
      <w:pPr>
        <w:pStyle w:val="jucase0"/>
        <w:ind w:firstLine="0"/>
        <w:jc w:val="center"/>
        <w:rPr>
          <w:color w:val="FF0000"/>
          <w:sz w:val="28"/>
          <w:szCs w:val="28"/>
          <w:u w:val="single"/>
          <w:lang w:val="pl-PL"/>
        </w:rPr>
      </w:pPr>
      <w:r w:rsidRPr="00E14505">
        <w:rPr>
          <w:color w:val="FF0000"/>
          <w:sz w:val="28"/>
          <w:szCs w:val="28"/>
          <w:u w:val="single"/>
          <w:lang w:val="pl-PL"/>
        </w:rPr>
        <w:t>OSTATECZNY</w:t>
      </w:r>
    </w:p>
    <w:p w14:paraId="60C899C9" w14:textId="77777777" w:rsidR="004756C6" w:rsidRPr="00E14505" w:rsidRDefault="004756C6" w:rsidP="004756C6">
      <w:pPr>
        <w:pStyle w:val="jucase0"/>
        <w:ind w:firstLine="0"/>
        <w:jc w:val="center"/>
        <w:rPr>
          <w:b w:val="0"/>
          <w:bCs w:val="0"/>
          <w:color w:val="FF0000"/>
          <w:u w:val="single"/>
          <w:lang w:val="pl-PL"/>
        </w:rPr>
      </w:pPr>
    </w:p>
    <w:p w14:paraId="0AC0AFA8" w14:textId="77777777" w:rsidR="004756C6" w:rsidRPr="00E14505" w:rsidRDefault="004756C6" w:rsidP="006777BB">
      <w:pPr>
        <w:pStyle w:val="jucase0"/>
        <w:spacing w:after="240"/>
        <w:ind w:firstLine="0"/>
        <w:jc w:val="center"/>
        <w:rPr>
          <w:b w:val="0"/>
          <w:color w:val="FF0000"/>
          <w:sz w:val="28"/>
          <w:szCs w:val="28"/>
          <w:lang w:val="pl-PL"/>
        </w:rPr>
      </w:pPr>
      <w:r w:rsidRPr="00E14505">
        <w:rPr>
          <w:b w:val="0"/>
          <w:color w:val="FF0000"/>
          <w:sz w:val="28"/>
          <w:szCs w:val="28"/>
          <w:lang w:val="pl-PL"/>
        </w:rPr>
        <w:t>14/11/2022</w:t>
      </w:r>
    </w:p>
    <w:p w14:paraId="3F624E43" w14:textId="51632F7D" w:rsidR="002422B6" w:rsidRPr="008065CD" w:rsidRDefault="0098410D" w:rsidP="00E14505">
      <w:pPr>
        <w:jc w:val="center"/>
        <w:rPr>
          <w:rFonts w:cstheme="minorHAnsi"/>
          <w:i/>
          <w:sz w:val="22"/>
        </w:rPr>
      </w:pPr>
      <w:r w:rsidRPr="008065CD">
        <w:rPr>
          <w:rFonts w:cstheme="minorHAnsi"/>
          <w:i/>
          <w:sz w:val="22"/>
        </w:rPr>
        <w:t>Wyrok ten sta</w:t>
      </w:r>
      <w:r w:rsidR="004756C6">
        <w:rPr>
          <w:rFonts w:cstheme="minorHAnsi"/>
          <w:i/>
          <w:sz w:val="22"/>
        </w:rPr>
        <w:t>ł</w:t>
      </w:r>
      <w:r w:rsidRPr="008065CD">
        <w:rPr>
          <w:rFonts w:cstheme="minorHAnsi"/>
          <w:i/>
          <w:sz w:val="22"/>
        </w:rPr>
        <w:t xml:space="preserve"> się ostateczny na zasadach określonych w art. 44 ust. 2 Konwencji. Wyrok może podlegać korekcie wydawniczej.</w:t>
      </w:r>
    </w:p>
    <w:p w14:paraId="3961372F" w14:textId="0D9BEDF4" w:rsidR="00197933" w:rsidRPr="008065CD" w:rsidRDefault="00197933" w:rsidP="00197933">
      <w:pPr>
        <w:rPr>
          <w:rFonts w:cstheme="minorHAnsi"/>
        </w:rPr>
        <w:sectPr w:rsidR="00197933" w:rsidRPr="008065CD"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18ECD8E" w14:textId="3D1F1106" w:rsidR="0098410D" w:rsidRPr="008065CD" w:rsidRDefault="0098410D" w:rsidP="00197933">
      <w:pPr>
        <w:pStyle w:val="JuCase"/>
        <w:rPr>
          <w:rFonts w:cstheme="minorHAnsi"/>
        </w:rPr>
      </w:pPr>
      <w:r w:rsidRPr="008065CD">
        <w:rPr>
          <w:rFonts w:cstheme="minorHAnsi"/>
        </w:rPr>
        <w:lastRenderedPageBreak/>
        <w:t>W sprawie Bieliński przeciwko Polsce</w:t>
      </w:r>
    </w:p>
    <w:p w14:paraId="3E70A55D" w14:textId="3C7F633F" w:rsidR="009F4C8F" w:rsidRPr="008065CD" w:rsidRDefault="009F4C8F" w:rsidP="00197933">
      <w:pPr>
        <w:pStyle w:val="JuPara"/>
        <w:rPr>
          <w:rFonts w:cstheme="minorHAnsi"/>
        </w:rPr>
      </w:pPr>
      <w:r w:rsidRPr="008065CD">
        <w:rPr>
          <w:rFonts w:cstheme="minorHAnsi"/>
        </w:rPr>
        <w:t>Europejski Trybunał Praw Człowieka (</w:t>
      </w:r>
      <w:r w:rsidR="00874E19" w:rsidRPr="008065CD">
        <w:rPr>
          <w:rFonts w:cstheme="minorHAnsi"/>
        </w:rPr>
        <w:t>Sekcja Pierwsza</w:t>
      </w:r>
      <w:r w:rsidRPr="008065CD">
        <w:rPr>
          <w:rFonts w:cstheme="minorHAnsi"/>
        </w:rPr>
        <w:t>), zasiadając jako Izba w składzie:</w:t>
      </w:r>
    </w:p>
    <w:p w14:paraId="0284C664" w14:textId="7E0F2D44" w:rsidR="009F4C8F" w:rsidRPr="008065CD" w:rsidRDefault="00F56545" w:rsidP="00197933">
      <w:pPr>
        <w:pStyle w:val="JuJudges"/>
        <w:rPr>
          <w:rFonts w:cstheme="minorHAnsi"/>
        </w:rPr>
      </w:pPr>
      <w:r w:rsidRPr="008065CD">
        <w:rPr>
          <w:rFonts w:cstheme="minorHAnsi"/>
        </w:rPr>
        <w:tab/>
        <w:t xml:space="preserve">Marko </w:t>
      </w:r>
      <w:proofErr w:type="spellStart"/>
      <w:r w:rsidRPr="008065CD">
        <w:rPr>
          <w:rFonts w:cstheme="minorHAnsi"/>
        </w:rPr>
        <w:t>Bošnjak</w:t>
      </w:r>
      <w:proofErr w:type="spellEnd"/>
      <w:r w:rsidRPr="008065CD">
        <w:rPr>
          <w:rFonts w:cstheme="minorHAnsi"/>
          <w:bCs/>
          <w:i/>
        </w:rPr>
        <w:t>, Przewodniczący</w:t>
      </w:r>
      <w:r w:rsidR="00EE62FA" w:rsidRPr="008065CD">
        <w:rPr>
          <w:rFonts w:cstheme="minorHAnsi"/>
          <w:bCs/>
          <w:i/>
        </w:rPr>
        <w:t>,</w:t>
      </w:r>
      <w:r w:rsidRPr="008065CD">
        <w:rPr>
          <w:rFonts w:cstheme="minorHAnsi"/>
          <w:bCs/>
          <w:i/>
        </w:rPr>
        <w:br/>
      </w:r>
      <w:r w:rsidRPr="008065CD">
        <w:rPr>
          <w:rFonts w:cstheme="minorHAnsi"/>
        </w:rPr>
        <w:tab/>
      </w:r>
      <w:proofErr w:type="spellStart"/>
      <w:r w:rsidRPr="008065CD">
        <w:rPr>
          <w:rFonts w:cstheme="minorHAnsi"/>
        </w:rPr>
        <w:t>Péter</w:t>
      </w:r>
      <w:proofErr w:type="spellEnd"/>
      <w:r w:rsidRPr="008065CD">
        <w:rPr>
          <w:rFonts w:cstheme="minorHAnsi"/>
        </w:rPr>
        <w:t xml:space="preserve"> </w:t>
      </w:r>
      <w:proofErr w:type="spellStart"/>
      <w:r w:rsidRPr="008065CD">
        <w:rPr>
          <w:rFonts w:cstheme="minorHAnsi"/>
        </w:rPr>
        <w:t>Paczolay</w:t>
      </w:r>
      <w:proofErr w:type="spellEnd"/>
      <w:r w:rsidRPr="008065CD">
        <w:rPr>
          <w:rFonts w:cstheme="minorHAnsi"/>
        </w:rPr>
        <w:t>,</w:t>
      </w:r>
      <w:r w:rsidRPr="008065CD">
        <w:rPr>
          <w:rFonts w:cstheme="minorHAnsi"/>
          <w:bCs/>
          <w:i/>
        </w:rPr>
        <w:br/>
      </w:r>
      <w:r w:rsidRPr="008065CD">
        <w:rPr>
          <w:rFonts w:cstheme="minorHAnsi"/>
        </w:rPr>
        <w:tab/>
        <w:t xml:space="preserve">Krzysztof </w:t>
      </w:r>
      <w:proofErr w:type="spellStart"/>
      <w:r w:rsidRPr="008065CD">
        <w:rPr>
          <w:rFonts w:cstheme="minorHAnsi"/>
        </w:rPr>
        <w:t>Wojtyczek</w:t>
      </w:r>
      <w:proofErr w:type="spellEnd"/>
      <w:r w:rsidRPr="008065CD">
        <w:rPr>
          <w:rFonts w:cstheme="minorHAnsi"/>
        </w:rPr>
        <w:t>,</w:t>
      </w:r>
      <w:r w:rsidRPr="008065CD">
        <w:rPr>
          <w:rFonts w:cstheme="minorHAnsi"/>
          <w:bCs/>
          <w:i/>
        </w:rPr>
        <w:br/>
      </w:r>
      <w:r w:rsidRPr="008065CD">
        <w:rPr>
          <w:rFonts w:cstheme="minorHAnsi"/>
        </w:rPr>
        <w:tab/>
        <w:t xml:space="preserve">Alena </w:t>
      </w:r>
      <w:proofErr w:type="spellStart"/>
      <w:r w:rsidRPr="008065CD">
        <w:rPr>
          <w:rFonts w:cstheme="minorHAnsi"/>
        </w:rPr>
        <w:t>Poláčková</w:t>
      </w:r>
      <w:proofErr w:type="spellEnd"/>
      <w:r w:rsidRPr="008065CD">
        <w:rPr>
          <w:rFonts w:cstheme="minorHAnsi"/>
        </w:rPr>
        <w:t>,</w:t>
      </w:r>
      <w:r w:rsidRPr="008065CD">
        <w:rPr>
          <w:rFonts w:cstheme="minorHAnsi"/>
          <w:bCs/>
          <w:i/>
        </w:rPr>
        <w:br/>
      </w:r>
      <w:r w:rsidRPr="008065CD">
        <w:rPr>
          <w:rFonts w:cstheme="minorHAnsi"/>
        </w:rPr>
        <w:tab/>
        <w:t xml:space="preserve">Erik </w:t>
      </w:r>
      <w:proofErr w:type="spellStart"/>
      <w:r w:rsidRPr="008065CD">
        <w:rPr>
          <w:rFonts w:cstheme="minorHAnsi"/>
        </w:rPr>
        <w:t>Wennerström</w:t>
      </w:r>
      <w:proofErr w:type="spellEnd"/>
      <w:r w:rsidRPr="008065CD">
        <w:rPr>
          <w:rFonts w:cstheme="minorHAnsi"/>
        </w:rPr>
        <w:t>,</w:t>
      </w:r>
      <w:r w:rsidRPr="008065CD">
        <w:rPr>
          <w:rFonts w:cstheme="minorHAnsi"/>
          <w:bCs/>
          <w:i/>
        </w:rPr>
        <w:br/>
      </w:r>
      <w:r w:rsidRPr="008065CD">
        <w:rPr>
          <w:rFonts w:cstheme="minorHAnsi"/>
        </w:rPr>
        <w:tab/>
      </w:r>
      <w:proofErr w:type="spellStart"/>
      <w:r w:rsidRPr="008065CD">
        <w:rPr>
          <w:rFonts w:cstheme="minorHAnsi"/>
        </w:rPr>
        <w:t>Raffaele</w:t>
      </w:r>
      <w:proofErr w:type="spellEnd"/>
      <w:r w:rsidRPr="008065CD">
        <w:rPr>
          <w:rFonts w:cstheme="minorHAnsi"/>
        </w:rPr>
        <w:t xml:space="preserve"> </w:t>
      </w:r>
      <w:proofErr w:type="spellStart"/>
      <w:r w:rsidRPr="008065CD">
        <w:rPr>
          <w:rFonts w:cstheme="minorHAnsi"/>
        </w:rPr>
        <w:t>Sabato</w:t>
      </w:r>
      <w:proofErr w:type="spellEnd"/>
      <w:r w:rsidRPr="008065CD">
        <w:rPr>
          <w:rFonts w:cstheme="minorHAnsi"/>
        </w:rPr>
        <w:t>,</w:t>
      </w:r>
      <w:r w:rsidRPr="008065CD">
        <w:rPr>
          <w:rFonts w:cstheme="minorHAnsi"/>
          <w:bCs/>
          <w:i/>
        </w:rPr>
        <w:br/>
      </w:r>
      <w:r w:rsidRPr="008065CD">
        <w:rPr>
          <w:rFonts w:cstheme="minorHAnsi"/>
        </w:rPr>
        <w:tab/>
      </w:r>
      <w:proofErr w:type="spellStart"/>
      <w:r w:rsidRPr="008065CD">
        <w:rPr>
          <w:rFonts w:cstheme="minorHAnsi"/>
        </w:rPr>
        <w:t>Davor</w:t>
      </w:r>
      <w:proofErr w:type="spellEnd"/>
      <w:r w:rsidRPr="008065CD">
        <w:rPr>
          <w:rFonts w:cstheme="minorHAnsi"/>
        </w:rPr>
        <w:t xml:space="preserve"> </w:t>
      </w:r>
      <w:proofErr w:type="spellStart"/>
      <w:r w:rsidRPr="008065CD">
        <w:rPr>
          <w:rFonts w:cstheme="minorHAnsi"/>
        </w:rPr>
        <w:t>Derenčinović</w:t>
      </w:r>
      <w:proofErr w:type="spellEnd"/>
      <w:r w:rsidRPr="008065CD">
        <w:rPr>
          <w:rFonts w:cstheme="minorHAnsi"/>
        </w:rPr>
        <w:t>,</w:t>
      </w:r>
      <w:r w:rsidRPr="008065CD">
        <w:rPr>
          <w:rFonts w:cstheme="minorHAnsi"/>
          <w:bCs/>
          <w:i/>
        </w:rPr>
        <w:t xml:space="preserve"> sędziowie</w:t>
      </w:r>
      <w:r w:rsidR="00EE62FA" w:rsidRPr="008065CD">
        <w:rPr>
          <w:rFonts w:cstheme="minorHAnsi"/>
          <w:bCs/>
          <w:i/>
        </w:rPr>
        <w:t>,</w:t>
      </w:r>
      <w:r w:rsidRPr="008065CD">
        <w:rPr>
          <w:rFonts w:cstheme="minorHAnsi"/>
          <w:bCs/>
          <w:i/>
        </w:rPr>
        <w:br/>
      </w:r>
      <w:r w:rsidRPr="008065CD">
        <w:rPr>
          <w:rFonts w:cstheme="minorHAnsi"/>
        </w:rPr>
        <w:t xml:space="preserve">oraz </w:t>
      </w:r>
      <w:proofErr w:type="spellStart"/>
      <w:r w:rsidRPr="008065CD">
        <w:rPr>
          <w:rFonts w:cstheme="minorHAnsi"/>
        </w:rPr>
        <w:t>Liv</w:t>
      </w:r>
      <w:proofErr w:type="spellEnd"/>
      <w:r w:rsidRPr="008065CD">
        <w:rPr>
          <w:rFonts w:cstheme="minorHAnsi"/>
        </w:rPr>
        <w:t xml:space="preserve"> </w:t>
      </w:r>
      <w:proofErr w:type="spellStart"/>
      <w:r w:rsidRPr="008065CD">
        <w:rPr>
          <w:rFonts w:cstheme="minorHAnsi"/>
        </w:rPr>
        <w:t>Tigerstedt</w:t>
      </w:r>
      <w:proofErr w:type="spellEnd"/>
      <w:r w:rsidRPr="008065CD">
        <w:rPr>
          <w:rFonts w:cstheme="minorHAnsi"/>
        </w:rPr>
        <w:t xml:space="preserve">, </w:t>
      </w:r>
      <w:r w:rsidRPr="008065CD">
        <w:rPr>
          <w:rFonts w:cstheme="minorHAnsi"/>
          <w:i/>
        </w:rPr>
        <w:t xml:space="preserve">Zastępca </w:t>
      </w:r>
      <w:r w:rsidRPr="008065CD">
        <w:rPr>
          <w:rFonts w:cstheme="minorHAnsi"/>
          <w:bCs/>
          <w:i/>
        </w:rPr>
        <w:t xml:space="preserve">Kanclerza </w:t>
      </w:r>
      <w:r w:rsidRPr="008065CD">
        <w:rPr>
          <w:rFonts w:cstheme="minorHAnsi"/>
          <w:i/>
          <w:iCs/>
        </w:rPr>
        <w:t>Sekcji</w:t>
      </w:r>
      <w:r w:rsidRPr="008065CD">
        <w:rPr>
          <w:rFonts w:cstheme="minorHAnsi"/>
        </w:rPr>
        <w:t>,</w:t>
      </w:r>
    </w:p>
    <w:p w14:paraId="3ABBA97E" w14:textId="77777777" w:rsidR="00D968F7" w:rsidRPr="008065CD" w:rsidRDefault="00D968F7" w:rsidP="00197933">
      <w:pPr>
        <w:pStyle w:val="JuPara"/>
        <w:rPr>
          <w:rFonts w:cstheme="minorHAnsi"/>
        </w:rPr>
      </w:pPr>
      <w:r w:rsidRPr="008065CD">
        <w:rPr>
          <w:rFonts w:cstheme="minorHAnsi"/>
        </w:rPr>
        <w:t>Mając na uwadze:</w:t>
      </w:r>
    </w:p>
    <w:p w14:paraId="4C622556" w14:textId="03E6B22E" w:rsidR="00D968F7" w:rsidRPr="008065CD" w:rsidRDefault="00D968F7" w:rsidP="00197933">
      <w:pPr>
        <w:pStyle w:val="JuPara"/>
        <w:rPr>
          <w:rFonts w:cstheme="minorHAnsi"/>
        </w:rPr>
      </w:pPr>
      <w:r w:rsidRPr="008065CD">
        <w:rPr>
          <w:rFonts w:cstheme="minorHAnsi"/>
        </w:rPr>
        <w:t>skargę (nr 48762/19) przeciwko Rzeczypospolitej Polskiej wniesioną do</w:t>
      </w:r>
      <w:r w:rsidR="00AF7E7E">
        <w:rPr>
          <w:rFonts w:cstheme="minorHAnsi"/>
        </w:rPr>
        <w:t> </w:t>
      </w:r>
      <w:r w:rsidRPr="008065CD">
        <w:rPr>
          <w:rFonts w:cstheme="minorHAnsi"/>
        </w:rPr>
        <w:t>Trybunału w dniu 11 września 2019 r. na podstawie art. 34 Konwencji o</w:t>
      </w:r>
      <w:r w:rsidR="00EE62FA" w:rsidRPr="008065CD">
        <w:rPr>
          <w:rFonts w:cstheme="minorHAnsi"/>
        </w:rPr>
        <w:t> </w:t>
      </w:r>
      <w:r w:rsidRPr="008065CD">
        <w:rPr>
          <w:rFonts w:cstheme="minorHAnsi"/>
        </w:rPr>
        <w:t>ochronie praw człowieka i podstawowych wolności („Konwencj</w:t>
      </w:r>
      <w:r w:rsidR="003D48BB">
        <w:rPr>
          <w:rFonts w:cstheme="minorHAnsi"/>
        </w:rPr>
        <w:t>a</w:t>
      </w:r>
      <w:r w:rsidRPr="008065CD">
        <w:rPr>
          <w:rFonts w:cstheme="minorHAnsi"/>
        </w:rPr>
        <w:t xml:space="preserve">”) przez obywatela polskiego </w:t>
      </w:r>
      <w:r w:rsidR="00874E19">
        <w:rPr>
          <w:rFonts w:cstheme="minorHAnsi"/>
        </w:rPr>
        <w:t xml:space="preserve">p. </w:t>
      </w:r>
      <w:r w:rsidRPr="008065CD">
        <w:rPr>
          <w:rFonts w:cstheme="minorHAnsi"/>
        </w:rPr>
        <w:t>Janusza Leszka Bielińskiego („skarżąc</w:t>
      </w:r>
      <w:r w:rsidR="00F93029">
        <w:rPr>
          <w:rFonts w:cstheme="minorHAnsi"/>
        </w:rPr>
        <w:t>y</w:t>
      </w:r>
      <w:r w:rsidRPr="008065CD">
        <w:rPr>
          <w:rFonts w:cstheme="minorHAnsi"/>
        </w:rPr>
        <w:t>”);</w:t>
      </w:r>
    </w:p>
    <w:p w14:paraId="6C3F278F" w14:textId="26048DD7" w:rsidR="00D968F7" w:rsidRPr="008065CD" w:rsidRDefault="00D968F7" w:rsidP="00197933">
      <w:pPr>
        <w:pStyle w:val="JuPara"/>
        <w:rPr>
          <w:rFonts w:cstheme="minorHAnsi"/>
        </w:rPr>
      </w:pPr>
      <w:r w:rsidRPr="008065CD">
        <w:rPr>
          <w:rFonts w:cstheme="minorHAnsi"/>
        </w:rPr>
        <w:t xml:space="preserve">decyzję o </w:t>
      </w:r>
      <w:r w:rsidR="009D6CA0" w:rsidRPr="008065CD">
        <w:rPr>
          <w:rFonts w:cstheme="minorHAnsi"/>
        </w:rPr>
        <w:t xml:space="preserve">zakomunikowaniu </w:t>
      </w:r>
      <w:r w:rsidR="0083778B" w:rsidRPr="008065CD">
        <w:rPr>
          <w:rFonts w:cstheme="minorHAnsi"/>
        </w:rPr>
        <w:t xml:space="preserve">Rządowi </w:t>
      </w:r>
      <w:r w:rsidR="009D6CA0" w:rsidRPr="008065CD">
        <w:rPr>
          <w:rFonts w:cstheme="minorHAnsi"/>
        </w:rPr>
        <w:t>polskiemu</w:t>
      </w:r>
      <w:r w:rsidRPr="008065CD">
        <w:rPr>
          <w:rFonts w:cstheme="minorHAnsi"/>
        </w:rPr>
        <w:t xml:space="preserve"> („Rząd”) </w:t>
      </w:r>
      <w:r w:rsidR="009D6CA0" w:rsidRPr="008065CD">
        <w:rPr>
          <w:rFonts w:cstheme="minorHAnsi"/>
        </w:rPr>
        <w:t>zarzutów</w:t>
      </w:r>
      <w:r w:rsidRPr="008065CD">
        <w:rPr>
          <w:rFonts w:cstheme="minorHAnsi"/>
        </w:rPr>
        <w:t xml:space="preserve"> dotyczących przewlekłości postępowania, braku skutecznego środka odwoławczego i braku dostępu do sądu oraz o uznaniu za niedopuszczalną pozostałej części skargi;</w:t>
      </w:r>
    </w:p>
    <w:p w14:paraId="4DDD988D" w14:textId="77777777" w:rsidR="00D968F7" w:rsidRPr="008065CD" w:rsidRDefault="00D968F7" w:rsidP="00197933">
      <w:pPr>
        <w:pStyle w:val="JuPara"/>
        <w:rPr>
          <w:rFonts w:cstheme="minorHAnsi"/>
        </w:rPr>
      </w:pPr>
      <w:r w:rsidRPr="008065CD">
        <w:rPr>
          <w:rFonts w:cstheme="minorHAnsi"/>
        </w:rPr>
        <w:t>uwagi przedstawione przez Rząd oraz uwagi przedłożone w odpowiedzi przez skarżącego,</w:t>
      </w:r>
    </w:p>
    <w:p w14:paraId="49323FF3" w14:textId="77777777" w:rsidR="00D968F7" w:rsidRPr="008065CD" w:rsidRDefault="00D968F7" w:rsidP="00197933">
      <w:pPr>
        <w:pStyle w:val="JuPara"/>
        <w:rPr>
          <w:rFonts w:cstheme="minorHAnsi"/>
        </w:rPr>
      </w:pPr>
      <w:r w:rsidRPr="008065CD">
        <w:rPr>
          <w:rFonts w:cstheme="minorHAnsi"/>
        </w:rPr>
        <w:t>uwagi przedłożone przez Helsińską Fundację Praw Człowieka oraz Federację Stowarzyszeń Służb Mundurowych RP, którym Przewodniczący Sekcji udzielił zgody na przystąpienie do postępowania w charakterze interweniujących stron trzecich;</w:t>
      </w:r>
    </w:p>
    <w:p w14:paraId="27CC283E" w14:textId="0E8EC668" w:rsidR="009F4C8F" w:rsidRPr="008065CD" w:rsidRDefault="009F4C8F" w:rsidP="00197933">
      <w:pPr>
        <w:pStyle w:val="JuPara"/>
        <w:rPr>
          <w:rFonts w:cstheme="minorHAnsi"/>
        </w:rPr>
      </w:pPr>
      <w:r w:rsidRPr="008065CD">
        <w:rPr>
          <w:rFonts w:cstheme="minorHAnsi"/>
        </w:rPr>
        <w:t>obradując na posiedzeniu niejawnym w dniu 21 czerwca 2022 r.,</w:t>
      </w:r>
    </w:p>
    <w:p w14:paraId="5E3099A1" w14:textId="77777777" w:rsidR="009F4C8F" w:rsidRPr="008065CD" w:rsidRDefault="009F4C8F" w:rsidP="00197933">
      <w:pPr>
        <w:pStyle w:val="JuPara"/>
        <w:rPr>
          <w:rFonts w:cstheme="minorHAnsi"/>
        </w:rPr>
      </w:pPr>
      <w:r w:rsidRPr="008065CD">
        <w:rPr>
          <w:rFonts w:cstheme="minorHAnsi"/>
        </w:rPr>
        <w:t>wydaje następujący wyrok, który został przyjęty w tym dniu:</w:t>
      </w:r>
    </w:p>
    <w:p w14:paraId="09829DCB" w14:textId="77777777" w:rsidR="00D968F7" w:rsidRPr="008065CD" w:rsidRDefault="00D968F7" w:rsidP="00197933">
      <w:pPr>
        <w:pStyle w:val="JuHHead"/>
        <w:rPr>
          <w:rFonts w:asciiTheme="minorHAnsi" w:hAnsiTheme="minorHAnsi" w:cstheme="minorHAnsi"/>
        </w:rPr>
      </w:pPr>
      <w:r w:rsidRPr="008065CD">
        <w:rPr>
          <w:rFonts w:asciiTheme="minorHAnsi" w:hAnsiTheme="minorHAnsi" w:cstheme="minorHAnsi"/>
        </w:rPr>
        <w:t>WPROWADZENIE</w:t>
      </w:r>
    </w:p>
    <w:p w14:paraId="70BCD4A2" w14:textId="0F3B8BB5" w:rsidR="00F6554C" w:rsidRPr="008065CD" w:rsidRDefault="003A445E" w:rsidP="00197933">
      <w:pPr>
        <w:pStyle w:val="JuPara"/>
        <w:rPr>
          <w:rFonts w:cstheme="minorHAnsi"/>
        </w:rPr>
      </w:pPr>
      <w:r w:rsidRPr="008065CD">
        <w:rPr>
          <w:rFonts w:cstheme="minorHAnsi"/>
          <w:noProof/>
        </w:rPr>
        <w:t>1</w:t>
      </w:r>
      <w:r w:rsidR="00027305" w:rsidRPr="008065CD">
        <w:rPr>
          <w:rFonts w:cstheme="minorHAnsi"/>
        </w:rPr>
        <w:t>.</w:t>
      </w:r>
      <w:r w:rsidR="008A6748">
        <w:rPr>
          <w:rFonts w:cstheme="minorHAnsi"/>
        </w:rPr>
        <w:t xml:space="preserve"> </w:t>
      </w:r>
      <w:r w:rsidR="00027305" w:rsidRPr="008065CD">
        <w:rPr>
          <w:rFonts w:cstheme="minorHAnsi"/>
        </w:rPr>
        <w:t>Niniejsza skarga dotyczy obniżenia świadczenia emerytalnego skarżącego.</w:t>
      </w:r>
    </w:p>
    <w:p w14:paraId="5F5E3C3B" w14:textId="2F4A3F5D" w:rsidR="00D968F7" w:rsidRPr="008065CD" w:rsidRDefault="00D968F7" w:rsidP="00197933">
      <w:pPr>
        <w:pStyle w:val="JuHHead"/>
        <w:rPr>
          <w:rFonts w:asciiTheme="minorHAnsi" w:hAnsiTheme="minorHAnsi" w:cstheme="minorHAnsi"/>
        </w:rPr>
      </w:pPr>
      <w:r w:rsidRPr="008065CD">
        <w:rPr>
          <w:rFonts w:asciiTheme="minorHAnsi" w:hAnsiTheme="minorHAnsi" w:cstheme="minorHAnsi"/>
        </w:rPr>
        <w:t>FAKTY</w:t>
      </w:r>
    </w:p>
    <w:p w14:paraId="605369FE" w14:textId="03D9809E" w:rsidR="00F6554C" w:rsidRPr="008065CD" w:rsidRDefault="003A445E" w:rsidP="00197933">
      <w:pPr>
        <w:pStyle w:val="JuPara"/>
        <w:rPr>
          <w:rFonts w:cstheme="minorHAnsi"/>
        </w:rPr>
      </w:pPr>
      <w:r w:rsidRPr="008065CD">
        <w:rPr>
          <w:rFonts w:cstheme="minorHAnsi"/>
          <w:noProof/>
        </w:rPr>
        <w:t>2</w:t>
      </w:r>
      <w:r w:rsidR="00E47394" w:rsidRPr="008065CD">
        <w:rPr>
          <w:rFonts w:cstheme="minorHAnsi"/>
        </w:rPr>
        <w:t>.</w:t>
      </w:r>
      <w:r w:rsidR="008A6748">
        <w:rPr>
          <w:rFonts w:cstheme="minorHAnsi"/>
        </w:rPr>
        <w:t xml:space="preserve"> </w:t>
      </w:r>
      <w:r w:rsidR="00E47394" w:rsidRPr="008065CD">
        <w:rPr>
          <w:rFonts w:cstheme="minorHAnsi"/>
        </w:rPr>
        <w:t>Skarżący urodził się w 1957 r. i mieszka w Radziejowicach. Skarżącego reprezentowała p. D. Gulińska-</w:t>
      </w:r>
      <w:proofErr w:type="spellStart"/>
      <w:r w:rsidR="00E47394" w:rsidRPr="008065CD">
        <w:rPr>
          <w:rFonts w:cstheme="minorHAnsi"/>
        </w:rPr>
        <w:t>Aleksiejuk</w:t>
      </w:r>
      <w:proofErr w:type="spellEnd"/>
      <w:r w:rsidR="00E47394" w:rsidRPr="008065CD">
        <w:rPr>
          <w:rFonts w:cstheme="minorHAnsi"/>
        </w:rPr>
        <w:t>, prawnik prowadzący praktykę w Warszawie.</w:t>
      </w:r>
    </w:p>
    <w:p w14:paraId="7B162E5B" w14:textId="74C89B9E" w:rsidR="00F6554C" w:rsidRPr="008065CD" w:rsidRDefault="003A445E" w:rsidP="00197933">
      <w:pPr>
        <w:pStyle w:val="JuPara"/>
        <w:rPr>
          <w:rFonts w:cstheme="minorHAnsi"/>
        </w:rPr>
      </w:pPr>
      <w:r w:rsidRPr="008065CD">
        <w:rPr>
          <w:rFonts w:cstheme="minorHAnsi"/>
          <w:noProof/>
        </w:rPr>
        <w:t>3</w:t>
      </w:r>
      <w:r w:rsidR="00027305" w:rsidRPr="008065CD">
        <w:rPr>
          <w:rFonts w:cstheme="minorHAnsi"/>
        </w:rPr>
        <w:t>.</w:t>
      </w:r>
      <w:r w:rsidR="008A6748">
        <w:rPr>
          <w:rFonts w:cstheme="minorHAnsi"/>
        </w:rPr>
        <w:t xml:space="preserve"> </w:t>
      </w:r>
      <w:r w:rsidR="00027305" w:rsidRPr="008065CD">
        <w:rPr>
          <w:rFonts w:cstheme="minorHAnsi"/>
        </w:rPr>
        <w:t>Rząd reprezentowany był przez swojego pełnomocnika p. J. Sobczaka z</w:t>
      </w:r>
      <w:r w:rsidR="00D810F2" w:rsidRPr="008065CD">
        <w:rPr>
          <w:rFonts w:cstheme="minorHAnsi"/>
        </w:rPr>
        <w:t> </w:t>
      </w:r>
      <w:r w:rsidR="00027305" w:rsidRPr="008065CD">
        <w:rPr>
          <w:rFonts w:cstheme="minorHAnsi"/>
        </w:rPr>
        <w:t>Ministerstwa Spraw Zagranicznych.</w:t>
      </w:r>
    </w:p>
    <w:p w14:paraId="1CFD4748" w14:textId="56A01986" w:rsidR="00F6554C" w:rsidRPr="008065CD" w:rsidRDefault="003A445E" w:rsidP="00197933">
      <w:pPr>
        <w:pStyle w:val="JuPara"/>
        <w:rPr>
          <w:rFonts w:cstheme="minorHAnsi"/>
        </w:rPr>
      </w:pPr>
      <w:r w:rsidRPr="008065CD">
        <w:rPr>
          <w:rFonts w:cstheme="minorHAnsi"/>
          <w:noProof/>
        </w:rPr>
        <w:t>4</w:t>
      </w:r>
      <w:r w:rsidR="00F6554C" w:rsidRPr="008065CD">
        <w:rPr>
          <w:rFonts w:cstheme="minorHAnsi"/>
        </w:rPr>
        <w:t>.</w:t>
      </w:r>
      <w:r w:rsidR="008A6748">
        <w:rPr>
          <w:rFonts w:cstheme="minorHAnsi"/>
        </w:rPr>
        <w:t xml:space="preserve"> </w:t>
      </w:r>
      <w:r w:rsidR="00F6554C" w:rsidRPr="008065CD">
        <w:rPr>
          <w:rFonts w:cstheme="minorHAnsi"/>
        </w:rPr>
        <w:t>Okoliczności faktyczne sprawy można streścić w następujący sposób.</w:t>
      </w:r>
    </w:p>
    <w:p w14:paraId="3D399A7F" w14:textId="1D3D6D5E"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lastRenderedPageBreak/>
        <w:t>PRZEBIEG KARIERY ZAWODOWEJ SKARŻĄCEGO</w:t>
      </w:r>
    </w:p>
    <w:p w14:paraId="65E8C5AA" w14:textId="7966C477" w:rsidR="00D968F7" w:rsidRPr="008065CD" w:rsidRDefault="003A445E" w:rsidP="00197933">
      <w:pPr>
        <w:pStyle w:val="JuPara"/>
        <w:rPr>
          <w:rFonts w:cstheme="minorHAnsi"/>
        </w:rPr>
      </w:pPr>
      <w:r w:rsidRPr="008065CD">
        <w:rPr>
          <w:rFonts w:cstheme="minorHAnsi"/>
          <w:noProof/>
        </w:rPr>
        <w:t>5</w:t>
      </w:r>
      <w:r w:rsidR="00027305" w:rsidRPr="008065CD">
        <w:rPr>
          <w:rFonts w:cstheme="minorHAnsi"/>
        </w:rPr>
        <w:t>.</w:t>
      </w:r>
      <w:r w:rsidR="008A6748">
        <w:rPr>
          <w:rFonts w:cstheme="minorHAnsi"/>
        </w:rPr>
        <w:t xml:space="preserve"> </w:t>
      </w:r>
      <w:r w:rsidR="00027305" w:rsidRPr="008065CD">
        <w:rPr>
          <w:rFonts w:cstheme="minorHAnsi"/>
        </w:rPr>
        <w:t>W 1977 r. skarżący był zatrudniony w Milicji Obywatelskiej. W</w:t>
      </w:r>
      <w:r w:rsidR="00CB3F6A" w:rsidRPr="008065CD">
        <w:rPr>
          <w:rFonts w:cstheme="minorHAnsi"/>
        </w:rPr>
        <w:t> </w:t>
      </w:r>
      <w:r w:rsidR="00027305" w:rsidRPr="008065CD">
        <w:rPr>
          <w:rFonts w:cstheme="minorHAnsi"/>
        </w:rPr>
        <w:t>1982</w:t>
      </w:r>
      <w:r w:rsidR="00CB3F6A" w:rsidRPr="008065CD">
        <w:rPr>
          <w:rFonts w:cstheme="minorHAnsi"/>
        </w:rPr>
        <w:t> </w:t>
      </w:r>
      <w:r w:rsidR="00027305" w:rsidRPr="008065CD">
        <w:rPr>
          <w:rFonts w:cstheme="minorHAnsi"/>
        </w:rPr>
        <w:t>r. rozpoczął pracę w Ministerstwie Spraw Wewnętrznych, a</w:t>
      </w:r>
      <w:r w:rsidR="00DE478F" w:rsidRPr="008065CD">
        <w:rPr>
          <w:rFonts w:cstheme="minorHAnsi"/>
        </w:rPr>
        <w:t> </w:t>
      </w:r>
      <w:r w:rsidR="00027305" w:rsidRPr="008065CD">
        <w:rPr>
          <w:rFonts w:cstheme="minorHAnsi"/>
        </w:rPr>
        <w:t>następnie w</w:t>
      </w:r>
      <w:bookmarkStart w:id="1" w:name="_Hlk99098528"/>
      <w:r w:rsidR="00AF7E7E">
        <w:rPr>
          <w:rFonts w:cstheme="minorHAnsi"/>
        </w:rPr>
        <w:t> </w:t>
      </w:r>
      <w:r w:rsidR="00027305" w:rsidRPr="008065CD">
        <w:rPr>
          <w:rFonts w:cstheme="minorHAnsi"/>
        </w:rPr>
        <w:t>Urzędzie Ochrony Państwa</w:t>
      </w:r>
      <w:bookmarkEnd w:id="1"/>
      <w:r w:rsidR="00027305" w:rsidRPr="008065CD">
        <w:rPr>
          <w:rFonts w:cstheme="minorHAnsi"/>
        </w:rPr>
        <w:t>. W dniu 29 maja 2000 r. skarżący uzyskał prawo do emerytury dla byłych funkcjonariuszy służb mundurowych. W dniu 10 sierpnia 2000 r. przyznano mu również prawo do renty inwalidzkiej dla</w:t>
      </w:r>
      <w:r w:rsidR="00AF7E7E">
        <w:rPr>
          <w:rFonts w:cstheme="minorHAnsi"/>
        </w:rPr>
        <w:t> </w:t>
      </w:r>
      <w:r w:rsidR="00027305" w:rsidRPr="008065CD">
        <w:rPr>
          <w:rFonts w:cstheme="minorHAnsi"/>
        </w:rPr>
        <w:t>byłych funkcjonariuszy.</w:t>
      </w:r>
    </w:p>
    <w:p w14:paraId="2DF3E832" w14:textId="13FB682B"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t>PIERWSZE OBNIŻENIE ŚWIADCZEŃ SKARŻĄCEGO</w:t>
      </w:r>
    </w:p>
    <w:p w14:paraId="011F8D0D" w14:textId="18470B9F" w:rsidR="00D968F7" w:rsidRPr="008065CD" w:rsidRDefault="003A445E" w:rsidP="00197933">
      <w:pPr>
        <w:pStyle w:val="JuPara"/>
        <w:rPr>
          <w:rFonts w:cstheme="minorHAnsi"/>
        </w:rPr>
      </w:pPr>
      <w:r w:rsidRPr="008065CD">
        <w:rPr>
          <w:rFonts w:cstheme="minorHAnsi"/>
          <w:noProof/>
        </w:rPr>
        <w:t>6</w:t>
      </w:r>
      <w:r w:rsidR="00D968F7" w:rsidRPr="008065CD">
        <w:rPr>
          <w:rFonts w:cstheme="minorHAnsi"/>
        </w:rPr>
        <w:t>.</w:t>
      </w:r>
      <w:r w:rsidR="008A6748">
        <w:rPr>
          <w:rFonts w:cstheme="minorHAnsi"/>
        </w:rPr>
        <w:t xml:space="preserve"> </w:t>
      </w:r>
      <w:r w:rsidR="00D968F7" w:rsidRPr="008065CD">
        <w:rPr>
          <w:rFonts w:cstheme="minorHAnsi"/>
        </w:rPr>
        <w:t>W dniu 21 października 2009 r. Dyrektor Zakładu Emerytalno-Rentowego Ministerstwa Spraw Wewnętrznych i Administracji wydał decyzję obniżającą emeryturę skarżącego na podstawie ustawy z dnia 23</w:t>
      </w:r>
      <w:r w:rsidR="004D51B2" w:rsidRPr="008065CD">
        <w:rPr>
          <w:rFonts w:cstheme="minorHAnsi"/>
        </w:rPr>
        <w:t> </w:t>
      </w:r>
      <w:r w:rsidR="00D968F7" w:rsidRPr="008065CD">
        <w:rPr>
          <w:rFonts w:cstheme="minorHAnsi"/>
        </w:rPr>
        <w:t xml:space="preserve">stycznia 2009 r. o zmianie ustawy o zaopatrzeniu emerytalnym żołnierzy zawodowych oraz ich rodzin oraz ustawy o zaopatrzeniu emerytalnym funkcjonariuszy Policji, Agencji Bezpieczeństwa Wewnętrznego, Agencji Wywiadu, Służby Kontrwywiadu Wojskowego, Służby Wywiadu Wojskowego, Centralnego Biura Antykorupcyjnego, Straży Granicznej, </w:t>
      </w:r>
      <w:bookmarkStart w:id="2" w:name="_Hlk99098556"/>
      <w:r w:rsidR="00D968F7" w:rsidRPr="008065CD">
        <w:rPr>
          <w:rFonts w:cstheme="minorHAnsi"/>
        </w:rPr>
        <w:t>Biura Ochrony Rządu</w:t>
      </w:r>
      <w:bookmarkEnd w:id="2"/>
      <w:r w:rsidR="00D968F7" w:rsidRPr="008065CD">
        <w:rPr>
          <w:rFonts w:cstheme="minorHAnsi"/>
        </w:rPr>
        <w:t xml:space="preserve">, Państwowej Straży Pożarnej, Służby Więziennej oraz ich rodzin </w:t>
      </w:r>
      <w:r w:rsidR="00D276C7" w:rsidRPr="008065CD">
        <w:rPr>
          <w:rFonts w:cstheme="minorHAnsi"/>
        </w:rPr>
        <w:t>–</w:t>
      </w:r>
      <w:r w:rsidR="00D968F7" w:rsidRPr="008065CD">
        <w:rPr>
          <w:rFonts w:cstheme="minorHAnsi"/>
        </w:rPr>
        <w:t xml:space="preserve"> zwanej dalej „</w:t>
      </w:r>
      <w:r w:rsidR="008065CD" w:rsidRPr="008065CD">
        <w:rPr>
          <w:rFonts w:cstheme="minorHAnsi"/>
        </w:rPr>
        <w:t xml:space="preserve">ustawą </w:t>
      </w:r>
      <w:r w:rsidR="00D968F7" w:rsidRPr="008065CD">
        <w:rPr>
          <w:rFonts w:cstheme="minorHAnsi"/>
        </w:rPr>
        <w:t xml:space="preserve">z 2009 r.”). Ustawa z 2009 r., która weszła w życie 16 marca 2009 r., wprowadziła nowe zasady obliczania emerytur byłych funkcjonariuszy Służby Bezpieczeństwa Państwa </w:t>
      </w:r>
      <w:r w:rsidR="00B05E19" w:rsidRPr="008065CD">
        <w:rPr>
          <w:rFonts w:cstheme="minorHAnsi"/>
        </w:rPr>
        <w:t xml:space="preserve">w stosunku </w:t>
      </w:r>
      <w:r w:rsidR="00D968F7" w:rsidRPr="008065CD">
        <w:rPr>
          <w:rFonts w:cstheme="minorHAnsi"/>
        </w:rPr>
        <w:t>do</w:t>
      </w:r>
      <w:r w:rsidR="00AF7E7E">
        <w:rPr>
          <w:rFonts w:cstheme="minorHAnsi"/>
        </w:rPr>
        <w:t> </w:t>
      </w:r>
      <w:r w:rsidR="00D968F7" w:rsidRPr="008065CD">
        <w:rPr>
          <w:rFonts w:cstheme="minorHAnsi"/>
        </w:rPr>
        <w:t>ustawy z dnia 18</w:t>
      </w:r>
      <w:r w:rsidR="00D276C7" w:rsidRPr="008065CD">
        <w:rPr>
          <w:rFonts w:cstheme="minorHAnsi"/>
        </w:rPr>
        <w:t> </w:t>
      </w:r>
      <w:r w:rsidR="00D968F7" w:rsidRPr="008065CD">
        <w:rPr>
          <w:rFonts w:cstheme="minorHAnsi"/>
        </w:rPr>
        <w:t xml:space="preserve">lutego 1994 r. o zaopatrzeniu emerytalnym funkcjonariuszy Policji, Agencji Bezpieczeństwa Wewnętrznego, Agencji Wywiadu, Służby Kontrwywiadu Wojskowego, Służby Wywiadu Wojskowego, Centralnego Biura Antykorupcyjnego, Straży Granicznej, Biura Ochrony Rządu, Państwowej Straży Pożarnej, Służby Więziennej oraz ich rodzin </w:t>
      </w:r>
      <w:r w:rsidR="00DF6041" w:rsidRPr="008065CD">
        <w:rPr>
          <w:rFonts w:cstheme="minorHAnsi"/>
        </w:rPr>
        <w:t>–</w:t>
      </w:r>
      <w:r w:rsidR="00D968F7" w:rsidRPr="008065CD">
        <w:rPr>
          <w:rFonts w:cstheme="minorHAnsi"/>
        </w:rPr>
        <w:t xml:space="preserve"> zwanej dalej „</w:t>
      </w:r>
      <w:r w:rsidR="008065CD" w:rsidRPr="008065CD">
        <w:rPr>
          <w:rFonts w:cstheme="minorHAnsi"/>
        </w:rPr>
        <w:t xml:space="preserve">ustawą </w:t>
      </w:r>
      <w:r w:rsidR="00D968F7" w:rsidRPr="008065CD">
        <w:rPr>
          <w:rFonts w:cstheme="minorHAnsi"/>
        </w:rPr>
        <w:t>z 1994 r.”). W szczególności jeden ze</w:t>
      </w:r>
      <w:r w:rsidR="00AF7E7E">
        <w:rPr>
          <w:rFonts w:cstheme="minorHAnsi"/>
        </w:rPr>
        <w:t> </w:t>
      </w:r>
      <w:r w:rsidR="00D968F7" w:rsidRPr="008065CD">
        <w:rPr>
          <w:rFonts w:cstheme="minorHAnsi"/>
        </w:rPr>
        <w:t>współczynników istotnych dla obliczenia emerytur byłych funkcjonariuszy został obniżony z</w:t>
      </w:r>
      <w:r w:rsidR="00DF6041" w:rsidRPr="008065CD">
        <w:rPr>
          <w:rFonts w:cstheme="minorHAnsi"/>
        </w:rPr>
        <w:t> </w:t>
      </w:r>
      <w:r w:rsidR="00D968F7" w:rsidRPr="008065CD">
        <w:rPr>
          <w:rFonts w:cstheme="minorHAnsi"/>
        </w:rPr>
        <w:t>2,6% do 0,7% za każdy rok służby w</w:t>
      </w:r>
      <w:r w:rsidR="00AF7E7E">
        <w:rPr>
          <w:rFonts w:cstheme="minorHAnsi"/>
        </w:rPr>
        <w:t> </w:t>
      </w:r>
      <w:r w:rsidR="00D968F7" w:rsidRPr="008065CD">
        <w:rPr>
          <w:rFonts w:cstheme="minorHAnsi"/>
        </w:rPr>
        <w:t>byłych komunistycznych organach bezpieczeństwa państwa w okresie od</w:t>
      </w:r>
      <w:r w:rsidR="00AF7E7E">
        <w:rPr>
          <w:rFonts w:cstheme="minorHAnsi"/>
        </w:rPr>
        <w:t> </w:t>
      </w:r>
      <w:r w:rsidR="00D968F7" w:rsidRPr="008065CD">
        <w:rPr>
          <w:rFonts w:cstheme="minorHAnsi"/>
        </w:rPr>
        <w:t xml:space="preserve">1944 do 1990 r. (zob. </w:t>
      </w:r>
      <w:proofErr w:type="spellStart"/>
      <w:r w:rsidR="00D968F7" w:rsidRPr="008065CD">
        <w:rPr>
          <w:rFonts w:cstheme="minorHAnsi"/>
          <w:i/>
          <w:iCs/>
        </w:rPr>
        <w:t>Cichopek</w:t>
      </w:r>
      <w:proofErr w:type="spellEnd"/>
      <w:r w:rsidR="00D968F7" w:rsidRPr="008065CD">
        <w:rPr>
          <w:rFonts w:cstheme="minorHAnsi"/>
          <w:i/>
          <w:iCs/>
        </w:rPr>
        <w:t xml:space="preserve"> i Inni przeciwko Polsce</w:t>
      </w:r>
      <w:r w:rsidR="00D968F7" w:rsidRPr="008065CD">
        <w:rPr>
          <w:rFonts w:cstheme="minorHAnsi"/>
        </w:rPr>
        <w:t xml:space="preserve"> (</w:t>
      </w:r>
      <w:proofErr w:type="spellStart"/>
      <w:r w:rsidR="00D968F7" w:rsidRPr="008065CD">
        <w:rPr>
          <w:rFonts w:cstheme="minorHAnsi"/>
        </w:rPr>
        <w:t>dec</w:t>
      </w:r>
      <w:proofErr w:type="spellEnd"/>
      <w:r w:rsidR="00D968F7" w:rsidRPr="008065CD">
        <w:rPr>
          <w:rFonts w:cstheme="minorHAnsi"/>
        </w:rPr>
        <w:t xml:space="preserve">.), </w:t>
      </w:r>
      <w:bookmarkStart w:id="3" w:name="_Hlk99100571"/>
      <w:r w:rsidR="00D968F7" w:rsidRPr="008065CD">
        <w:rPr>
          <w:rFonts w:cstheme="minorHAnsi"/>
        </w:rPr>
        <w:t>nr</w:t>
      </w:r>
      <w:r w:rsidR="00AF7E7E">
        <w:rPr>
          <w:rFonts w:cstheme="minorHAnsi"/>
        </w:rPr>
        <w:t> </w:t>
      </w:r>
      <w:r w:rsidR="00D968F7" w:rsidRPr="008065CD">
        <w:rPr>
          <w:rFonts w:cstheme="minorHAnsi"/>
        </w:rPr>
        <w:t>15189/10 i 1627 inn</w:t>
      </w:r>
      <w:bookmarkEnd w:id="3"/>
      <w:r w:rsidR="00AF7E7E">
        <w:rPr>
          <w:rFonts w:cstheme="minorHAnsi"/>
        </w:rPr>
        <w:t>ych skarg</w:t>
      </w:r>
      <w:r w:rsidR="00D968F7" w:rsidRPr="008065CD">
        <w:rPr>
          <w:rFonts w:cstheme="minorHAnsi"/>
        </w:rPr>
        <w:t>, §§ 68</w:t>
      </w:r>
      <w:r w:rsidR="00D968F7" w:rsidRPr="008065CD">
        <w:rPr>
          <w:rFonts w:cstheme="minorHAnsi"/>
        </w:rPr>
        <w:noBreakHyphen/>
        <w:t>72, 14 maja 2013 r.).</w:t>
      </w:r>
    </w:p>
    <w:p w14:paraId="3272D8C1" w14:textId="25D674D6"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t>DRUGIE OBNIŻENIE ŚWIADCZEŃ SKARŻĄCEGO I</w:t>
      </w:r>
      <w:r w:rsidR="008667CA" w:rsidRPr="008065CD">
        <w:rPr>
          <w:rFonts w:asciiTheme="minorHAnsi" w:hAnsiTheme="minorHAnsi" w:cstheme="minorHAnsi"/>
        </w:rPr>
        <w:t> </w:t>
      </w:r>
      <w:r w:rsidRPr="008065CD">
        <w:rPr>
          <w:rFonts w:asciiTheme="minorHAnsi" w:hAnsiTheme="minorHAnsi" w:cstheme="minorHAnsi"/>
        </w:rPr>
        <w:t>POSTĘPOWANIE SĄDOWE</w:t>
      </w:r>
    </w:p>
    <w:p w14:paraId="7AF24452" w14:textId="64FA7943" w:rsidR="00D968F7" w:rsidRPr="008065CD" w:rsidRDefault="003A445E" w:rsidP="00197933">
      <w:pPr>
        <w:pStyle w:val="JuPara"/>
        <w:rPr>
          <w:rFonts w:cstheme="minorHAnsi"/>
        </w:rPr>
      </w:pPr>
      <w:r w:rsidRPr="008065CD">
        <w:rPr>
          <w:rFonts w:cstheme="minorHAnsi"/>
          <w:noProof/>
        </w:rPr>
        <w:t>7</w:t>
      </w:r>
      <w:r w:rsidR="00D968F7" w:rsidRPr="008065CD">
        <w:rPr>
          <w:rFonts w:cstheme="minorHAnsi"/>
        </w:rPr>
        <w:t>.</w:t>
      </w:r>
      <w:r w:rsidR="008A6748">
        <w:rPr>
          <w:rFonts w:cstheme="minorHAnsi"/>
        </w:rPr>
        <w:t xml:space="preserve"> </w:t>
      </w:r>
      <w:r w:rsidR="00D968F7" w:rsidRPr="008065CD">
        <w:rPr>
          <w:rFonts w:cstheme="minorHAnsi"/>
        </w:rPr>
        <w:t>W dniu 4 sierpnia 2017 r. Dyrektor Zakładu Emerytalno-Rentowego, na</w:t>
      </w:r>
      <w:r w:rsidR="00AF7E7E">
        <w:rPr>
          <w:rFonts w:cstheme="minorHAnsi"/>
        </w:rPr>
        <w:t> </w:t>
      </w:r>
      <w:r w:rsidR="00D968F7" w:rsidRPr="008065CD">
        <w:rPr>
          <w:rFonts w:cstheme="minorHAnsi"/>
        </w:rPr>
        <w:t xml:space="preserve">podstawie znowelizowanych art. 15c i 22a w związku z art. 32 ust. 1 </w:t>
      </w:r>
      <w:r w:rsidR="008065CD" w:rsidRPr="008065CD">
        <w:rPr>
          <w:rFonts w:cstheme="minorHAnsi"/>
        </w:rPr>
        <w:t xml:space="preserve">ustawy </w:t>
      </w:r>
      <w:r w:rsidR="00D968F7" w:rsidRPr="008065CD">
        <w:rPr>
          <w:rFonts w:cstheme="minorHAnsi"/>
        </w:rPr>
        <w:t xml:space="preserve">z 1994 r. oraz na podstawie informacji otrzymanych od Instytutu Pamięci Narodowej, wydał dwie decyzje o ponownym ustaleniu wysokości miesięcznej emerytury i renty skarżącego, na mocy których pierwsze świadczenie zostało ponownie obniżone, z kwoty 4086,49 złotych (PLN) </w:t>
      </w:r>
      <w:r w:rsidR="00D968F7" w:rsidRPr="008065CD">
        <w:rPr>
          <w:rFonts w:cstheme="minorHAnsi"/>
        </w:rPr>
        <w:lastRenderedPageBreak/>
        <w:t>(około 908 euro (EUR)) do kwoty 2069,02 złotych (około 458 euro), a drugie do kwoty 1000 złotych (około 222 euro). Skarżący miał otrzymywać jedynie emeryturę, która była korzystniejszym z dwóch świadczeń. Po</w:t>
      </w:r>
      <w:r w:rsidR="00AF7E7E">
        <w:rPr>
          <w:rFonts w:cstheme="minorHAnsi"/>
        </w:rPr>
        <w:t> </w:t>
      </w:r>
      <w:r w:rsidR="00D968F7" w:rsidRPr="008065CD">
        <w:rPr>
          <w:rFonts w:cstheme="minorHAnsi"/>
        </w:rPr>
        <w:t>opodatkowaniu kwota netto jego emerytury wyniosła 1716,81 zł (około 381 euro).</w:t>
      </w:r>
    </w:p>
    <w:p w14:paraId="3B33EBD2" w14:textId="57A7186D" w:rsidR="00D968F7" w:rsidRPr="008065CD" w:rsidRDefault="003A445E" w:rsidP="00197933">
      <w:pPr>
        <w:pStyle w:val="JuPara"/>
        <w:rPr>
          <w:rFonts w:cstheme="minorHAnsi"/>
        </w:rPr>
      </w:pPr>
      <w:bookmarkStart w:id="4" w:name="start_proceedings"/>
      <w:bookmarkStart w:id="5" w:name="transfer_to_court"/>
      <w:r w:rsidRPr="008065CD">
        <w:rPr>
          <w:rFonts w:cstheme="minorHAnsi"/>
          <w:noProof/>
        </w:rPr>
        <w:t>8</w:t>
      </w:r>
      <w:bookmarkEnd w:id="4"/>
      <w:bookmarkEnd w:id="5"/>
      <w:r w:rsidR="00D968F7" w:rsidRPr="008065CD">
        <w:rPr>
          <w:rFonts w:cstheme="minorHAnsi"/>
        </w:rPr>
        <w:t>.</w:t>
      </w:r>
      <w:r w:rsidR="008A6748">
        <w:rPr>
          <w:rFonts w:cstheme="minorHAnsi"/>
        </w:rPr>
        <w:t xml:space="preserve"> </w:t>
      </w:r>
      <w:r w:rsidR="00D968F7" w:rsidRPr="008065CD">
        <w:rPr>
          <w:rFonts w:cstheme="minorHAnsi"/>
        </w:rPr>
        <w:t xml:space="preserve">W dniu </w:t>
      </w:r>
      <w:bookmarkStart w:id="6" w:name="_Hlk97721003"/>
      <w:r w:rsidR="00D968F7" w:rsidRPr="008065CD">
        <w:rPr>
          <w:rFonts w:cstheme="minorHAnsi"/>
        </w:rPr>
        <w:t xml:space="preserve">28 sierpnia 2017 r. </w:t>
      </w:r>
      <w:bookmarkEnd w:id="6"/>
      <w:r w:rsidR="00D968F7" w:rsidRPr="008065CD">
        <w:rPr>
          <w:rFonts w:cstheme="minorHAnsi"/>
        </w:rPr>
        <w:t xml:space="preserve">skarżący wniósł odwołania od tych decyzji do Zakładu Emerytalno-Rentowego. W dniu 30 stycznia 2018 r. jego odwołania wpłynęły do Sądu Okręgowego w Warszawie </w:t>
      </w:r>
      <w:r w:rsidR="00DF6041" w:rsidRPr="008065CD">
        <w:rPr>
          <w:rFonts w:cstheme="minorHAnsi"/>
        </w:rPr>
        <w:t>–</w:t>
      </w:r>
      <w:r w:rsidR="00D968F7" w:rsidRPr="008065CD">
        <w:rPr>
          <w:rFonts w:cstheme="minorHAnsi"/>
        </w:rPr>
        <w:t xml:space="preserve"> Wydziału Ubezpieczeń Społecznych.</w:t>
      </w:r>
    </w:p>
    <w:p w14:paraId="51EABA6B" w14:textId="202D5A99" w:rsidR="00D968F7" w:rsidRPr="008065CD" w:rsidRDefault="003A445E" w:rsidP="00197933">
      <w:pPr>
        <w:pStyle w:val="JuPara"/>
        <w:rPr>
          <w:rFonts w:cstheme="minorHAnsi"/>
        </w:rPr>
      </w:pPr>
      <w:bookmarkStart w:id="7" w:name="order_evidence"/>
      <w:r w:rsidRPr="008065CD">
        <w:rPr>
          <w:rFonts w:cstheme="minorHAnsi"/>
          <w:noProof/>
        </w:rPr>
        <w:t>9</w:t>
      </w:r>
      <w:bookmarkEnd w:id="7"/>
      <w:r w:rsidR="00D968F7" w:rsidRPr="008065CD">
        <w:rPr>
          <w:rFonts w:cstheme="minorHAnsi"/>
        </w:rPr>
        <w:t>.</w:t>
      </w:r>
      <w:r w:rsidR="008A6748">
        <w:rPr>
          <w:rFonts w:cstheme="minorHAnsi"/>
        </w:rPr>
        <w:t xml:space="preserve"> </w:t>
      </w:r>
      <w:r w:rsidR="00D968F7" w:rsidRPr="008065CD">
        <w:rPr>
          <w:rFonts w:cstheme="minorHAnsi"/>
        </w:rPr>
        <w:t>W dniu 8 lutego 2018 r. Sąd Okręgowy w Warszawie wydał postanowienie zobowiązujące skarżącego do złożenia wszystkich wniosków dowodowych. W tym samym dniu sąd ten zwrócił się również do Instytutu Pamięci Narodowej o akta osobowe skarżącego oraz historię przebiegu jego służby.</w:t>
      </w:r>
    </w:p>
    <w:p w14:paraId="34FE80A0" w14:textId="3C956801" w:rsidR="00D968F7" w:rsidRPr="008065CD" w:rsidRDefault="003A445E" w:rsidP="00197933">
      <w:pPr>
        <w:pStyle w:val="JuPara"/>
        <w:rPr>
          <w:rFonts w:cstheme="minorHAnsi"/>
        </w:rPr>
      </w:pPr>
      <w:bookmarkStart w:id="8" w:name="proc_stayed"/>
      <w:r w:rsidRPr="008065CD">
        <w:rPr>
          <w:rFonts w:cstheme="minorHAnsi"/>
          <w:noProof/>
        </w:rPr>
        <w:t>10</w:t>
      </w:r>
      <w:bookmarkEnd w:id="8"/>
      <w:r w:rsidR="00D968F7" w:rsidRPr="008065CD">
        <w:rPr>
          <w:rFonts w:cstheme="minorHAnsi"/>
        </w:rPr>
        <w:t>.</w:t>
      </w:r>
      <w:r w:rsidR="008A6748">
        <w:rPr>
          <w:rFonts w:cstheme="minorHAnsi"/>
        </w:rPr>
        <w:t xml:space="preserve"> </w:t>
      </w:r>
      <w:r w:rsidR="00D968F7" w:rsidRPr="008065CD">
        <w:rPr>
          <w:rFonts w:cstheme="minorHAnsi"/>
        </w:rPr>
        <w:t>W dniu 18 czerwca 2018 r. Sąd Okręgowy w Warszawie zawiesił postępowanie. Sąd powołał się na fakt, że w dniu 24 stycznia 2018 r. w</w:t>
      </w:r>
      <w:r w:rsidR="00602203" w:rsidRPr="008065CD">
        <w:rPr>
          <w:rFonts w:cstheme="minorHAnsi"/>
        </w:rPr>
        <w:t> </w:t>
      </w:r>
      <w:r w:rsidR="00D968F7" w:rsidRPr="008065CD">
        <w:rPr>
          <w:rFonts w:cstheme="minorHAnsi"/>
        </w:rPr>
        <w:t>podobnej sprawie toczącej się przed tym samym sądem do Trybunału Konstytucyjnego skierowano pytania prawne w zakresie konstytucyjności przepisów wprowadzających nowe sposoby obliczania wysokości zaopatrzenia emerytalnego.</w:t>
      </w:r>
    </w:p>
    <w:p w14:paraId="2299473A" w14:textId="5D83943A" w:rsidR="00D968F7" w:rsidRPr="008065CD" w:rsidRDefault="003A445E" w:rsidP="00197933">
      <w:pPr>
        <w:pStyle w:val="JuPara"/>
        <w:rPr>
          <w:rFonts w:cstheme="minorHAnsi"/>
        </w:rPr>
      </w:pPr>
      <w:r w:rsidRPr="008065CD">
        <w:rPr>
          <w:rFonts w:cstheme="minorHAnsi"/>
          <w:noProof/>
        </w:rPr>
        <w:t>11</w:t>
      </w:r>
      <w:r w:rsidR="00027305" w:rsidRPr="008065CD">
        <w:rPr>
          <w:rFonts w:cstheme="minorHAnsi"/>
        </w:rPr>
        <w:t>.</w:t>
      </w:r>
      <w:r w:rsidR="008A6748">
        <w:rPr>
          <w:rFonts w:cstheme="minorHAnsi"/>
        </w:rPr>
        <w:t xml:space="preserve"> </w:t>
      </w:r>
      <w:r w:rsidR="00027305" w:rsidRPr="008065CD">
        <w:rPr>
          <w:rFonts w:cstheme="minorHAnsi"/>
        </w:rPr>
        <w:t>Skarżący wniósł zażalenie na to postanowienie.</w:t>
      </w:r>
    </w:p>
    <w:p w14:paraId="6D4E5263" w14:textId="25731FE2" w:rsidR="00D968F7" w:rsidRPr="008065CD" w:rsidRDefault="003A445E" w:rsidP="00197933">
      <w:pPr>
        <w:pStyle w:val="JuPara"/>
        <w:rPr>
          <w:rFonts w:cstheme="minorHAnsi"/>
        </w:rPr>
      </w:pPr>
      <w:r w:rsidRPr="008065CD">
        <w:rPr>
          <w:rFonts w:cstheme="minorHAnsi"/>
          <w:noProof/>
        </w:rPr>
        <w:t>12</w:t>
      </w:r>
      <w:r w:rsidR="00027305" w:rsidRPr="008065CD">
        <w:rPr>
          <w:rFonts w:cstheme="minorHAnsi"/>
        </w:rPr>
        <w:t>.</w:t>
      </w:r>
      <w:r w:rsidR="008A6748">
        <w:rPr>
          <w:rFonts w:cstheme="minorHAnsi"/>
        </w:rPr>
        <w:t xml:space="preserve"> </w:t>
      </w:r>
      <w:r w:rsidR="00027305" w:rsidRPr="008065CD">
        <w:rPr>
          <w:rFonts w:cstheme="minorHAnsi"/>
        </w:rPr>
        <w:t>W dniu 18 grudnia 2018 r. Sąd Apelacyjny w Warszawie oddalił zażalenie skarżącego.</w:t>
      </w:r>
    </w:p>
    <w:p w14:paraId="70BB8364" w14:textId="75F693D3" w:rsidR="00D968F7" w:rsidRPr="008065CD" w:rsidRDefault="003A445E" w:rsidP="00197933">
      <w:pPr>
        <w:pStyle w:val="JuPara"/>
        <w:rPr>
          <w:rFonts w:cstheme="minorHAnsi"/>
        </w:rPr>
      </w:pPr>
      <w:r w:rsidRPr="008065CD">
        <w:rPr>
          <w:rFonts w:cstheme="minorHAnsi"/>
          <w:noProof/>
        </w:rPr>
        <w:t>13</w:t>
      </w:r>
      <w:r w:rsidR="00027305" w:rsidRPr="008065CD">
        <w:rPr>
          <w:rFonts w:cstheme="minorHAnsi"/>
        </w:rPr>
        <w:t>.</w:t>
      </w:r>
      <w:r w:rsidR="008A6748">
        <w:rPr>
          <w:rFonts w:cstheme="minorHAnsi"/>
        </w:rPr>
        <w:t xml:space="preserve"> </w:t>
      </w:r>
      <w:r w:rsidR="00027305" w:rsidRPr="008065CD">
        <w:rPr>
          <w:rFonts w:cstheme="minorHAnsi"/>
        </w:rPr>
        <w:t xml:space="preserve">Skarżący złożył kilka skarg na przewlekłość trwania postępowania przed Sądem Okręgowym w sprawie jego odwołania od decyzji ponownie ustalającej wysokość jego emerytury. Domagał się stwierdzenia przewlekłości przedmiotowego postępowania oraz słusznego zadośćuczynienia w wysokości 20 000 zł (około 4956 </w:t>
      </w:r>
      <w:r w:rsidR="002A70CF" w:rsidRPr="008065CD">
        <w:rPr>
          <w:rFonts w:cstheme="minorHAnsi"/>
        </w:rPr>
        <w:t>eur</w:t>
      </w:r>
      <w:r w:rsidR="002A70CF">
        <w:rPr>
          <w:rFonts w:cstheme="minorHAnsi"/>
        </w:rPr>
        <w:t>o</w:t>
      </w:r>
      <w:r w:rsidR="00027305" w:rsidRPr="008065CD">
        <w:rPr>
          <w:rFonts w:cstheme="minorHAnsi"/>
        </w:rPr>
        <w:t>).</w:t>
      </w:r>
    </w:p>
    <w:p w14:paraId="64AC9507" w14:textId="70EEA92E" w:rsidR="00D968F7" w:rsidRPr="008065CD" w:rsidRDefault="003A445E" w:rsidP="00197933">
      <w:pPr>
        <w:pStyle w:val="JuPara"/>
        <w:rPr>
          <w:rFonts w:cstheme="minorHAnsi"/>
        </w:rPr>
      </w:pPr>
      <w:r w:rsidRPr="008065CD">
        <w:rPr>
          <w:rFonts w:cstheme="minorHAnsi"/>
          <w:noProof/>
        </w:rPr>
        <w:t>14</w:t>
      </w:r>
      <w:r w:rsidR="00027305" w:rsidRPr="008065CD">
        <w:rPr>
          <w:rFonts w:cstheme="minorHAnsi"/>
        </w:rPr>
        <w:t>.</w:t>
      </w:r>
      <w:r w:rsidR="008A6748">
        <w:rPr>
          <w:rFonts w:cstheme="minorHAnsi"/>
        </w:rPr>
        <w:t xml:space="preserve"> </w:t>
      </w:r>
      <w:r w:rsidR="00027305" w:rsidRPr="008065CD">
        <w:rPr>
          <w:rFonts w:cstheme="minorHAnsi"/>
        </w:rPr>
        <w:t>W dniu 11 lipca 2018 r. Sąd Apelacyjny w Warszawie oddalił skargę skarżącego na przewlekłość postępowania, uznając, że od zarejestrowania sprawy w Sądzie Okręgowym upłynęło zaledwie cztery i pół miesiąca, a</w:t>
      </w:r>
      <w:r w:rsidR="00147B09" w:rsidRPr="008065CD">
        <w:rPr>
          <w:rFonts w:cstheme="minorHAnsi"/>
        </w:rPr>
        <w:t> </w:t>
      </w:r>
      <w:r w:rsidR="00027305" w:rsidRPr="008065CD">
        <w:rPr>
          <w:rFonts w:cstheme="minorHAnsi"/>
        </w:rPr>
        <w:t>okresu tego nie można uznać za nadmierny.</w:t>
      </w:r>
    </w:p>
    <w:p w14:paraId="4BDE1791" w14:textId="639214E9" w:rsidR="00D968F7" w:rsidRPr="008065CD" w:rsidRDefault="003A445E" w:rsidP="00197933">
      <w:pPr>
        <w:pStyle w:val="JuPara"/>
        <w:rPr>
          <w:rFonts w:cstheme="minorHAnsi"/>
        </w:rPr>
      </w:pPr>
      <w:bookmarkStart w:id="9" w:name="further_LOP_complaint"/>
      <w:r w:rsidRPr="008065CD">
        <w:rPr>
          <w:rFonts w:cstheme="minorHAnsi"/>
          <w:noProof/>
        </w:rPr>
        <w:t>15</w:t>
      </w:r>
      <w:bookmarkEnd w:id="9"/>
      <w:r w:rsidR="00D968F7" w:rsidRPr="008065CD">
        <w:rPr>
          <w:rFonts w:cstheme="minorHAnsi"/>
        </w:rPr>
        <w:t>.</w:t>
      </w:r>
      <w:r w:rsidR="008A6748">
        <w:rPr>
          <w:rFonts w:cstheme="minorHAnsi"/>
        </w:rPr>
        <w:t xml:space="preserve"> </w:t>
      </w:r>
      <w:r w:rsidR="00D968F7" w:rsidRPr="008065CD">
        <w:rPr>
          <w:rFonts w:cstheme="minorHAnsi"/>
        </w:rPr>
        <w:t xml:space="preserve">W dniu 23 sierpnia 2019 r. Sąd Apelacyjny w Warszawie oddalił kolejną skargę skarżącego na przewlekłość postępowania, uznając, że jego długość nie może być przypisana Sądowi Okręgowemu, ponieważ zostało ono zawieszone do czasu rozpoznania pytań prawnych skierowanych do Trybunału Konstytucyjnego. </w:t>
      </w:r>
      <w:r w:rsidR="00C32000" w:rsidRPr="008065CD">
        <w:rPr>
          <w:rFonts w:cstheme="minorHAnsi"/>
        </w:rPr>
        <w:t>W odniesieniu do</w:t>
      </w:r>
      <w:r w:rsidR="00D968F7" w:rsidRPr="008065CD">
        <w:rPr>
          <w:rFonts w:cstheme="minorHAnsi"/>
        </w:rPr>
        <w:t xml:space="preserve"> okres</w:t>
      </w:r>
      <w:r w:rsidR="00C32000" w:rsidRPr="008065CD">
        <w:rPr>
          <w:rFonts w:cstheme="minorHAnsi"/>
        </w:rPr>
        <w:t>u</w:t>
      </w:r>
      <w:r w:rsidR="00D968F7" w:rsidRPr="008065CD">
        <w:rPr>
          <w:rFonts w:cstheme="minorHAnsi"/>
        </w:rPr>
        <w:t xml:space="preserve"> po </w:t>
      </w:r>
      <w:r w:rsidR="002A70CF">
        <w:rPr>
          <w:rFonts w:cstheme="minorHAnsi"/>
        </w:rPr>
        <w:t>podjęciu</w:t>
      </w:r>
      <w:r w:rsidR="00D968F7" w:rsidRPr="008065CD">
        <w:rPr>
          <w:rFonts w:cstheme="minorHAnsi"/>
        </w:rPr>
        <w:t xml:space="preserve"> postępowania, Sąd Apelacyjny uznał, że Sąd Okręgowy działał bez zbędnej zwłoki.</w:t>
      </w:r>
    </w:p>
    <w:p w14:paraId="223AF057" w14:textId="313A45BE" w:rsidR="00D968F7" w:rsidRPr="008065CD" w:rsidRDefault="003A445E" w:rsidP="00197933">
      <w:pPr>
        <w:pStyle w:val="JuPara"/>
        <w:rPr>
          <w:rFonts w:cstheme="minorHAnsi"/>
        </w:rPr>
      </w:pPr>
      <w:r w:rsidRPr="008065CD">
        <w:rPr>
          <w:rFonts w:cstheme="minorHAnsi"/>
          <w:noProof/>
        </w:rPr>
        <w:t>16</w:t>
      </w:r>
      <w:r w:rsidR="00027305" w:rsidRPr="008065CD">
        <w:rPr>
          <w:rFonts w:cstheme="minorHAnsi"/>
        </w:rPr>
        <w:t>.</w:t>
      </w:r>
      <w:r w:rsidR="008A6748">
        <w:rPr>
          <w:rFonts w:cstheme="minorHAnsi"/>
        </w:rPr>
        <w:t xml:space="preserve"> </w:t>
      </w:r>
      <w:r w:rsidR="00027305" w:rsidRPr="008065CD">
        <w:rPr>
          <w:rFonts w:cstheme="minorHAnsi"/>
        </w:rPr>
        <w:t xml:space="preserve">Wygląda na to, że skarżący kilkakrotnie wnosił o </w:t>
      </w:r>
      <w:r w:rsidR="002A70CF">
        <w:rPr>
          <w:rFonts w:cstheme="minorHAnsi"/>
        </w:rPr>
        <w:t xml:space="preserve">podjęcie </w:t>
      </w:r>
      <w:r w:rsidR="00027305" w:rsidRPr="008065CD">
        <w:rPr>
          <w:rFonts w:cstheme="minorHAnsi"/>
        </w:rPr>
        <w:t>zawieszonego postępowania.</w:t>
      </w:r>
    </w:p>
    <w:p w14:paraId="4A230B34" w14:textId="2F09B245" w:rsidR="00D968F7" w:rsidRPr="008065CD" w:rsidRDefault="003A445E" w:rsidP="00197933">
      <w:pPr>
        <w:pStyle w:val="JuPara"/>
        <w:rPr>
          <w:rFonts w:cstheme="minorHAnsi"/>
        </w:rPr>
      </w:pPr>
      <w:r w:rsidRPr="008065CD">
        <w:rPr>
          <w:rFonts w:cstheme="minorHAnsi"/>
          <w:noProof/>
        </w:rPr>
        <w:t>17</w:t>
      </w:r>
      <w:r w:rsidR="00027305" w:rsidRPr="008065CD">
        <w:rPr>
          <w:rFonts w:cstheme="minorHAnsi"/>
        </w:rPr>
        <w:t>.</w:t>
      </w:r>
      <w:r w:rsidR="008A6748">
        <w:rPr>
          <w:rFonts w:cstheme="minorHAnsi"/>
        </w:rPr>
        <w:t xml:space="preserve"> </w:t>
      </w:r>
      <w:r w:rsidR="00027305" w:rsidRPr="008065CD">
        <w:rPr>
          <w:rFonts w:cstheme="minorHAnsi"/>
        </w:rPr>
        <w:t xml:space="preserve">W dniu 19 listopada 2018 r. Sąd Okręgowy w Warszawie oddalił jeden z jego wniosków o </w:t>
      </w:r>
      <w:r w:rsidR="002A70CF">
        <w:rPr>
          <w:rFonts w:cstheme="minorHAnsi"/>
        </w:rPr>
        <w:t>podjęcie</w:t>
      </w:r>
      <w:r w:rsidR="00027305" w:rsidRPr="008065CD">
        <w:rPr>
          <w:rFonts w:cstheme="minorHAnsi"/>
        </w:rPr>
        <w:t xml:space="preserve"> postępowania. Skarżący wniósł zażalenie.</w:t>
      </w:r>
    </w:p>
    <w:p w14:paraId="3D719C50" w14:textId="48838ACC" w:rsidR="00D968F7" w:rsidRPr="008065CD" w:rsidRDefault="003A445E" w:rsidP="00197933">
      <w:pPr>
        <w:pStyle w:val="JuPara"/>
        <w:rPr>
          <w:rFonts w:cstheme="minorHAnsi"/>
        </w:rPr>
      </w:pPr>
      <w:r w:rsidRPr="008065CD">
        <w:rPr>
          <w:rFonts w:cstheme="minorHAnsi"/>
          <w:noProof/>
        </w:rPr>
        <w:lastRenderedPageBreak/>
        <w:t>18</w:t>
      </w:r>
      <w:r w:rsidR="00027305" w:rsidRPr="008065CD">
        <w:rPr>
          <w:rFonts w:cstheme="minorHAnsi"/>
        </w:rPr>
        <w:t>.</w:t>
      </w:r>
      <w:r w:rsidR="008A6748">
        <w:rPr>
          <w:rFonts w:cstheme="minorHAnsi"/>
        </w:rPr>
        <w:t xml:space="preserve"> </w:t>
      </w:r>
      <w:r w:rsidR="00027305" w:rsidRPr="008065CD">
        <w:rPr>
          <w:rFonts w:cstheme="minorHAnsi"/>
        </w:rPr>
        <w:t>W dniu 5 czerwca 2019 r. Sąd Apelacyjny w Warszawie oddalił zażalenie skarżącego.</w:t>
      </w:r>
    </w:p>
    <w:p w14:paraId="4A867B69" w14:textId="78CFDC22" w:rsidR="00D968F7" w:rsidRPr="008065CD" w:rsidRDefault="003A445E" w:rsidP="00197933">
      <w:pPr>
        <w:pStyle w:val="JuPara"/>
        <w:rPr>
          <w:rFonts w:cstheme="minorHAnsi"/>
        </w:rPr>
      </w:pPr>
      <w:r w:rsidRPr="008065CD">
        <w:rPr>
          <w:rFonts w:cstheme="minorHAnsi"/>
          <w:noProof/>
        </w:rPr>
        <w:t>19</w:t>
      </w:r>
      <w:r w:rsidR="00027305" w:rsidRPr="008065CD">
        <w:rPr>
          <w:rFonts w:cstheme="minorHAnsi"/>
        </w:rPr>
        <w:t>.</w:t>
      </w:r>
      <w:r w:rsidR="008A6748">
        <w:rPr>
          <w:rFonts w:cstheme="minorHAnsi"/>
        </w:rPr>
        <w:t xml:space="preserve"> </w:t>
      </w:r>
      <w:r w:rsidR="00027305" w:rsidRPr="008065CD">
        <w:rPr>
          <w:rFonts w:cstheme="minorHAnsi"/>
        </w:rPr>
        <w:t>W dniu 17 lipca 2019 r. Sąd Okręgowy w Warszawie oddalił jeden z</w:t>
      </w:r>
      <w:r w:rsidR="00D636AF" w:rsidRPr="008065CD">
        <w:rPr>
          <w:rFonts w:cstheme="minorHAnsi"/>
        </w:rPr>
        <w:t> </w:t>
      </w:r>
      <w:r w:rsidR="00027305" w:rsidRPr="008065CD">
        <w:rPr>
          <w:rFonts w:cstheme="minorHAnsi"/>
        </w:rPr>
        <w:t xml:space="preserve">jego wniosków o </w:t>
      </w:r>
      <w:r w:rsidR="00DE260C">
        <w:rPr>
          <w:rFonts w:cstheme="minorHAnsi"/>
        </w:rPr>
        <w:t>podjęcie</w:t>
      </w:r>
      <w:r w:rsidR="00027305" w:rsidRPr="008065CD">
        <w:rPr>
          <w:rFonts w:cstheme="minorHAnsi"/>
        </w:rPr>
        <w:t xml:space="preserve"> postępowania.</w:t>
      </w:r>
    </w:p>
    <w:p w14:paraId="24393686" w14:textId="13DC193C" w:rsidR="00D968F7" w:rsidRPr="008065CD" w:rsidRDefault="003A445E" w:rsidP="00197933">
      <w:pPr>
        <w:pStyle w:val="JuPara"/>
        <w:rPr>
          <w:rFonts w:cstheme="minorHAnsi"/>
        </w:rPr>
      </w:pPr>
      <w:bookmarkStart w:id="10" w:name="interlocutory_appeal"/>
      <w:r w:rsidRPr="008065CD">
        <w:rPr>
          <w:rFonts w:cstheme="minorHAnsi"/>
          <w:noProof/>
        </w:rPr>
        <w:t>20</w:t>
      </w:r>
      <w:bookmarkEnd w:id="10"/>
      <w:r w:rsidR="00D968F7" w:rsidRPr="008065CD">
        <w:rPr>
          <w:rFonts w:cstheme="minorHAnsi"/>
        </w:rPr>
        <w:t>.</w:t>
      </w:r>
      <w:r w:rsidR="008A6748">
        <w:rPr>
          <w:rFonts w:cstheme="minorHAnsi"/>
        </w:rPr>
        <w:t xml:space="preserve"> </w:t>
      </w:r>
      <w:r w:rsidR="00D968F7" w:rsidRPr="008065CD">
        <w:rPr>
          <w:rFonts w:cstheme="minorHAnsi"/>
        </w:rPr>
        <w:t>Skarżący zaskarżył postanowienie z dnia 17 lipca 2019 r., podnosząc między innymi, że zawieszenie postępowania stanowiło nieuzasadnione ograniczenie jego prawa dostępu do sądu.</w:t>
      </w:r>
    </w:p>
    <w:p w14:paraId="41ED822E" w14:textId="037EEBF3" w:rsidR="00D968F7" w:rsidRPr="008065CD" w:rsidRDefault="003A445E" w:rsidP="00197933">
      <w:pPr>
        <w:pStyle w:val="JuPara"/>
        <w:rPr>
          <w:rFonts w:cstheme="minorHAnsi"/>
        </w:rPr>
      </w:pPr>
      <w:bookmarkStart w:id="11" w:name="proc_resumed"/>
      <w:r w:rsidRPr="008065CD">
        <w:rPr>
          <w:rFonts w:cstheme="minorHAnsi"/>
          <w:noProof/>
        </w:rPr>
        <w:t>21</w:t>
      </w:r>
      <w:bookmarkEnd w:id="11"/>
      <w:r w:rsidR="00D968F7" w:rsidRPr="008065CD">
        <w:rPr>
          <w:rFonts w:cstheme="minorHAnsi"/>
        </w:rPr>
        <w:t>.</w:t>
      </w:r>
      <w:r w:rsidR="008A6748">
        <w:rPr>
          <w:rFonts w:cstheme="minorHAnsi"/>
        </w:rPr>
        <w:t xml:space="preserve"> </w:t>
      </w:r>
      <w:r w:rsidR="00D968F7" w:rsidRPr="008065CD">
        <w:rPr>
          <w:rFonts w:cstheme="minorHAnsi"/>
        </w:rPr>
        <w:t>W dniu 20 grudnia 2019 r. Sąd Apelacyjny w Warszawie uchylił zaskarżone postanowienie. Zauważył, że mimo upływu znacznego czasu od</w:t>
      </w:r>
      <w:r w:rsidR="00AF7E7E">
        <w:rPr>
          <w:rFonts w:cstheme="minorHAnsi"/>
        </w:rPr>
        <w:t> </w:t>
      </w:r>
      <w:r w:rsidR="00D968F7" w:rsidRPr="008065CD">
        <w:rPr>
          <w:rFonts w:cstheme="minorHAnsi"/>
        </w:rPr>
        <w:t>skierowania pytań prawnych do Trybunału Konstytucyjnego, nie</w:t>
      </w:r>
      <w:r w:rsidR="00AF7E7E">
        <w:rPr>
          <w:rFonts w:cstheme="minorHAnsi"/>
        </w:rPr>
        <w:t> </w:t>
      </w:r>
      <w:r w:rsidR="00D968F7" w:rsidRPr="008065CD">
        <w:rPr>
          <w:rFonts w:cstheme="minorHAnsi"/>
        </w:rPr>
        <w:t>wiadomo</w:t>
      </w:r>
      <w:r w:rsidR="002026BA" w:rsidRPr="008065CD">
        <w:rPr>
          <w:rFonts w:cstheme="minorHAnsi"/>
        </w:rPr>
        <w:t>,</w:t>
      </w:r>
      <w:r w:rsidR="00D968F7" w:rsidRPr="008065CD">
        <w:rPr>
          <w:rFonts w:cstheme="minorHAnsi"/>
        </w:rPr>
        <w:t xml:space="preserve"> kiedy sąd ten rozpozna sprawę co do istoty. Sąd Apelacyjny uznał ponadto, że postępowanie, które toczyło się przed Sądem Okręgowym od dnia 2 lutego 2018 r., miało istotne znaczenie dla skarżącego, ponieważ dotyczyło wysokości jego emerytury, która została obniżona na podstawie zaskarżonej nieostatecznej decyzji. Zauważył również, że długość postępowania należy oceniać na podstawie szczególnych okoliczności każdej sprawy oraz że w</w:t>
      </w:r>
      <w:r w:rsidR="002026BA" w:rsidRPr="008065CD">
        <w:rPr>
          <w:rFonts w:cstheme="minorHAnsi"/>
        </w:rPr>
        <w:t> </w:t>
      </w:r>
      <w:r w:rsidR="00D968F7" w:rsidRPr="008065CD">
        <w:rPr>
          <w:rFonts w:cstheme="minorHAnsi"/>
        </w:rPr>
        <w:t>świetle art. 6 Konwencji</w:t>
      </w:r>
      <w:r w:rsidR="003D48BB">
        <w:rPr>
          <w:rFonts w:cstheme="minorHAnsi"/>
        </w:rPr>
        <w:t xml:space="preserve"> </w:t>
      </w:r>
      <w:r w:rsidR="00D968F7" w:rsidRPr="008065CD">
        <w:rPr>
          <w:rFonts w:cstheme="minorHAnsi"/>
        </w:rPr>
        <w:t>państwa powinny zorganizować swoje systemy sądownicze w taki sposób, aby zapewnić rozpatrywanie spraw w rozsądnym czasie. Sąd uznał, że „stan zawieszenia” postępowania w istocie pozbawił skarżącego konstytucyjnego prawa dostępu do sądu i zasugerował, aby Sąd Okręgowy rozpoznał sprawę merytorycznie stosując bezpośrednio przepisy Konstytucji RP.</w:t>
      </w:r>
    </w:p>
    <w:p w14:paraId="4FA7EDD6" w14:textId="03CE8B5B" w:rsidR="00D968F7" w:rsidRPr="008065CD" w:rsidRDefault="003A445E" w:rsidP="00197933">
      <w:pPr>
        <w:pStyle w:val="JuPara"/>
        <w:rPr>
          <w:rFonts w:cstheme="minorHAnsi"/>
        </w:rPr>
      </w:pPr>
      <w:bookmarkStart w:id="12" w:name="hearing"/>
      <w:r w:rsidRPr="008065CD">
        <w:rPr>
          <w:rFonts w:cstheme="minorHAnsi"/>
          <w:noProof/>
        </w:rPr>
        <w:t>22</w:t>
      </w:r>
      <w:bookmarkEnd w:id="12"/>
      <w:r w:rsidR="00D968F7" w:rsidRPr="008065CD">
        <w:rPr>
          <w:rFonts w:cstheme="minorHAnsi"/>
        </w:rPr>
        <w:t>.</w:t>
      </w:r>
      <w:r w:rsidR="008A6748">
        <w:rPr>
          <w:rFonts w:cstheme="minorHAnsi"/>
        </w:rPr>
        <w:t xml:space="preserve"> </w:t>
      </w:r>
      <w:r w:rsidR="00D968F7" w:rsidRPr="008065CD">
        <w:rPr>
          <w:rFonts w:cstheme="minorHAnsi"/>
        </w:rPr>
        <w:t>W dniu 18 listopada 2020 r. odbyła się rozprawa, podczas której skarżący złożył zeznania. Rozprawę odroczono, a pełnomocnika Zakładu Emerytalno-Rentowego zobowiązano do przedstawienia stanowiska co</w:t>
      </w:r>
      <w:r w:rsidR="00AF7E7E">
        <w:rPr>
          <w:rFonts w:cstheme="minorHAnsi"/>
        </w:rPr>
        <w:t> </w:t>
      </w:r>
      <w:r w:rsidR="00D968F7" w:rsidRPr="008065CD">
        <w:rPr>
          <w:rFonts w:cstheme="minorHAnsi"/>
        </w:rPr>
        <w:t>do</w:t>
      </w:r>
      <w:r w:rsidR="00AF7E7E">
        <w:rPr>
          <w:rFonts w:cstheme="minorHAnsi"/>
        </w:rPr>
        <w:t> </w:t>
      </w:r>
      <w:r w:rsidR="00D968F7" w:rsidRPr="008065CD">
        <w:rPr>
          <w:rFonts w:cstheme="minorHAnsi"/>
        </w:rPr>
        <w:t>wniosków dowodowych skarżącego w terminie dwudziestu jeden dni.</w:t>
      </w:r>
    </w:p>
    <w:p w14:paraId="785BFD63" w14:textId="0C492E8C"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t xml:space="preserve">ROZWÓJ SYTUACJI PO </w:t>
      </w:r>
      <w:r w:rsidR="00FC3F39">
        <w:rPr>
          <w:rFonts w:asciiTheme="minorHAnsi" w:hAnsiTheme="minorHAnsi" w:cstheme="minorHAnsi"/>
        </w:rPr>
        <w:t>ZAKOMUNIKOWA</w:t>
      </w:r>
      <w:r w:rsidRPr="008065CD">
        <w:rPr>
          <w:rFonts w:asciiTheme="minorHAnsi" w:hAnsiTheme="minorHAnsi" w:cstheme="minorHAnsi"/>
        </w:rPr>
        <w:t>NIU SKARGI RZĄDOWI</w:t>
      </w:r>
    </w:p>
    <w:p w14:paraId="7C14A636" w14:textId="753041ED" w:rsidR="00D968F7" w:rsidRPr="008065CD" w:rsidRDefault="003A445E" w:rsidP="00197933">
      <w:pPr>
        <w:pStyle w:val="JuPara"/>
        <w:rPr>
          <w:rFonts w:cstheme="minorHAnsi"/>
        </w:rPr>
      </w:pPr>
      <w:r w:rsidRPr="008065CD">
        <w:rPr>
          <w:rFonts w:cstheme="minorHAnsi"/>
          <w:noProof/>
        </w:rPr>
        <w:t>23</w:t>
      </w:r>
      <w:r w:rsidR="00027305" w:rsidRPr="008065CD">
        <w:rPr>
          <w:rFonts w:cstheme="minorHAnsi"/>
        </w:rPr>
        <w:t>.</w:t>
      </w:r>
      <w:r w:rsidR="008A6748">
        <w:rPr>
          <w:rFonts w:cstheme="minorHAnsi"/>
        </w:rPr>
        <w:t xml:space="preserve"> </w:t>
      </w:r>
      <w:r w:rsidR="00027305" w:rsidRPr="008065CD">
        <w:rPr>
          <w:rFonts w:cstheme="minorHAnsi"/>
        </w:rPr>
        <w:t>W dniu 7 maja 2021 r. Sąd Okręgowy w Warszawie wydał wyrok, w</w:t>
      </w:r>
      <w:r w:rsidR="00952164" w:rsidRPr="008065CD">
        <w:rPr>
          <w:rFonts w:cstheme="minorHAnsi"/>
        </w:rPr>
        <w:t> </w:t>
      </w:r>
      <w:r w:rsidR="00027305" w:rsidRPr="008065CD">
        <w:rPr>
          <w:rFonts w:cstheme="minorHAnsi"/>
        </w:rPr>
        <w:t xml:space="preserve">którym zmienił zaskarżone decyzje i ustalił, że wysokość świadczeń skarżącego powinna być równa kwocie która </w:t>
      </w:r>
      <w:r w:rsidR="00A736B3" w:rsidRPr="008065CD">
        <w:rPr>
          <w:rFonts w:cstheme="minorHAnsi"/>
        </w:rPr>
        <w:t xml:space="preserve">była </w:t>
      </w:r>
      <w:r w:rsidR="00027305" w:rsidRPr="008065CD">
        <w:rPr>
          <w:rFonts w:cstheme="minorHAnsi"/>
        </w:rPr>
        <w:t>mu wypłac</w:t>
      </w:r>
      <w:r w:rsidR="00A736B3" w:rsidRPr="008065CD">
        <w:rPr>
          <w:rFonts w:cstheme="minorHAnsi"/>
        </w:rPr>
        <w:t>a</w:t>
      </w:r>
      <w:r w:rsidR="00027305" w:rsidRPr="008065CD">
        <w:rPr>
          <w:rFonts w:cstheme="minorHAnsi"/>
        </w:rPr>
        <w:t>na przed dniem 1 października 2017 r.</w:t>
      </w:r>
    </w:p>
    <w:p w14:paraId="3F397182" w14:textId="52444C4E" w:rsidR="00D968F7" w:rsidRPr="008065CD" w:rsidRDefault="003A445E" w:rsidP="00197933">
      <w:pPr>
        <w:pStyle w:val="JuPara"/>
        <w:rPr>
          <w:rFonts w:cstheme="minorHAnsi"/>
        </w:rPr>
      </w:pPr>
      <w:bookmarkStart w:id="13" w:name="end_proceedings"/>
      <w:r w:rsidRPr="008065CD">
        <w:rPr>
          <w:rFonts w:cstheme="minorHAnsi"/>
          <w:noProof/>
        </w:rPr>
        <w:t>24</w:t>
      </w:r>
      <w:bookmarkEnd w:id="13"/>
      <w:r w:rsidR="00D968F7" w:rsidRPr="008065CD">
        <w:rPr>
          <w:rFonts w:cstheme="minorHAnsi"/>
        </w:rPr>
        <w:t>.</w:t>
      </w:r>
      <w:r w:rsidR="008A6748">
        <w:rPr>
          <w:rFonts w:cstheme="minorHAnsi"/>
        </w:rPr>
        <w:t xml:space="preserve"> </w:t>
      </w:r>
      <w:r w:rsidR="00D968F7" w:rsidRPr="008065CD">
        <w:rPr>
          <w:rFonts w:cstheme="minorHAnsi"/>
        </w:rPr>
        <w:t xml:space="preserve">W dniu 21 września 2021 r. Sąd Apelacyjny w Warszawie oddalił apelację wniesioną przez Zakład Emerytalno-Rentowy. Wyrok </w:t>
      </w:r>
      <w:r w:rsidR="00B05E19" w:rsidRPr="008065CD">
        <w:rPr>
          <w:rFonts w:cstheme="minorHAnsi"/>
        </w:rPr>
        <w:t xml:space="preserve">sądu </w:t>
      </w:r>
      <w:r w:rsidR="00D968F7" w:rsidRPr="008065CD">
        <w:rPr>
          <w:rFonts w:cstheme="minorHAnsi"/>
        </w:rPr>
        <w:t>pierwszej instancji uprawomocnił się.</w:t>
      </w:r>
    </w:p>
    <w:p w14:paraId="19C466DD" w14:textId="48422A80" w:rsidR="00D968F7" w:rsidRPr="008065CD" w:rsidRDefault="003A445E" w:rsidP="00197933">
      <w:pPr>
        <w:pStyle w:val="JuPara"/>
        <w:rPr>
          <w:rFonts w:cstheme="minorHAnsi"/>
        </w:rPr>
      </w:pPr>
      <w:bookmarkStart w:id="14" w:name="compensation"/>
      <w:r w:rsidRPr="008065CD">
        <w:rPr>
          <w:rFonts w:cstheme="minorHAnsi"/>
          <w:noProof/>
        </w:rPr>
        <w:t>25</w:t>
      </w:r>
      <w:bookmarkEnd w:id="14"/>
      <w:r w:rsidR="00D968F7" w:rsidRPr="008065CD">
        <w:rPr>
          <w:rFonts w:cstheme="minorHAnsi"/>
        </w:rPr>
        <w:t>.</w:t>
      </w:r>
      <w:r w:rsidR="008A6748">
        <w:rPr>
          <w:rFonts w:cstheme="minorHAnsi"/>
        </w:rPr>
        <w:t xml:space="preserve"> </w:t>
      </w:r>
      <w:r w:rsidR="00D968F7" w:rsidRPr="008065CD">
        <w:rPr>
          <w:rFonts w:cstheme="minorHAnsi"/>
        </w:rPr>
        <w:t>W dniu 8 października 2021 r. Dyrektor Zakładu Emerytalno-Rentowego wydał dwie decyzje o ponownym ustaleniu wysokości emerytury i renty skarżącego zgodnie z prawomocnym wyrokiem Sądu Okręgowego w</w:t>
      </w:r>
      <w:r w:rsidR="000B17D7" w:rsidRPr="008065CD">
        <w:rPr>
          <w:rFonts w:cstheme="minorHAnsi"/>
        </w:rPr>
        <w:t> </w:t>
      </w:r>
      <w:r w:rsidR="00D968F7" w:rsidRPr="008065CD">
        <w:rPr>
          <w:rFonts w:cstheme="minorHAnsi"/>
        </w:rPr>
        <w:t>Warszawie. Wypłata renty inwalidzkiej została wstrzymana, gdyż emerytura była świadczeniem korzystniejszym. Skarżący otrzymał również wyrównanie za cały okres, w którym pobierał obniżoną emeryturę.</w:t>
      </w:r>
    </w:p>
    <w:p w14:paraId="1EAAEF93" w14:textId="77777777" w:rsidR="00D968F7" w:rsidRPr="008065CD" w:rsidRDefault="00D968F7" w:rsidP="00197933">
      <w:pPr>
        <w:pStyle w:val="JuHHead"/>
        <w:rPr>
          <w:rFonts w:asciiTheme="minorHAnsi" w:hAnsiTheme="minorHAnsi" w:cstheme="minorHAnsi"/>
        </w:rPr>
      </w:pPr>
      <w:r w:rsidRPr="008065CD">
        <w:rPr>
          <w:rFonts w:asciiTheme="minorHAnsi" w:hAnsiTheme="minorHAnsi" w:cstheme="minorHAnsi"/>
        </w:rPr>
        <w:lastRenderedPageBreak/>
        <w:t>WŁAŚCIWE RAMY PRAWNE I PRAKTYKA</w:t>
      </w:r>
    </w:p>
    <w:p w14:paraId="1EB5923A" w14:textId="77777777"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t>ISTOTNE PRZEPISY PRAWA KRAJOWEGO</w:t>
      </w:r>
    </w:p>
    <w:p w14:paraId="36B77AE9" w14:textId="55B348D8" w:rsidR="00D968F7" w:rsidRPr="008065CD" w:rsidRDefault="003A445E" w:rsidP="00197933">
      <w:pPr>
        <w:pStyle w:val="JuPara"/>
        <w:rPr>
          <w:rFonts w:cstheme="minorHAnsi"/>
        </w:rPr>
      </w:pPr>
      <w:r w:rsidRPr="008065CD">
        <w:rPr>
          <w:rFonts w:cstheme="minorHAnsi"/>
          <w:noProof/>
        </w:rPr>
        <w:t>26</w:t>
      </w:r>
      <w:r w:rsidR="00D968F7" w:rsidRPr="008065CD">
        <w:rPr>
          <w:rFonts w:cstheme="minorHAnsi"/>
        </w:rPr>
        <w:t>.</w:t>
      </w:r>
      <w:r w:rsidR="008A6748">
        <w:rPr>
          <w:rFonts w:cstheme="minorHAnsi"/>
        </w:rPr>
        <w:t xml:space="preserve"> </w:t>
      </w:r>
      <w:r w:rsidR="00D968F7" w:rsidRPr="008065CD">
        <w:rPr>
          <w:rFonts w:cstheme="minorHAnsi"/>
        </w:rPr>
        <w:t>Właściwe prawo krajowe i praktyka dotycząca uprawnień emerytalnych byłych funkcjonariuszy służb mundurowych zostały opisane w</w:t>
      </w:r>
      <w:r w:rsidR="00CB7E1D" w:rsidRPr="008065CD">
        <w:rPr>
          <w:rFonts w:cstheme="minorHAnsi"/>
        </w:rPr>
        <w:t> </w:t>
      </w:r>
      <w:r w:rsidR="00D968F7" w:rsidRPr="008065CD">
        <w:rPr>
          <w:rFonts w:cstheme="minorHAnsi"/>
        </w:rPr>
        <w:t xml:space="preserve">sprawie </w:t>
      </w:r>
      <w:proofErr w:type="spellStart"/>
      <w:r w:rsidR="00D968F7" w:rsidRPr="008065CD">
        <w:rPr>
          <w:rFonts w:cstheme="minorHAnsi"/>
          <w:i/>
          <w:iCs/>
        </w:rPr>
        <w:t>Cichopek</w:t>
      </w:r>
      <w:proofErr w:type="spellEnd"/>
      <w:r w:rsidR="00D968F7" w:rsidRPr="008065CD">
        <w:rPr>
          <w:rFonts w:cstheme="minorHAnsi"/>
        </w:rPr>
        <w:t xml:space="preserve"> </w:t>
      </w:r>
      <w:r w:rsidR="00D968F7" w:rsidRPr="008065CD">
        <w:rPr>
          <w:rFonts w:cstheme="minorHAnsi"/>
          <w:i/>
          <w:iCs/>
        </w:rPr>
        <w:t xml:space="preserve">i Inni przeciwko Polsce </w:t>
      </w:r>
      <w:r w:rsidR="00D968F7" w:rsidRPr="008065CD">
        <w:rPr>
          <w:rFonts w:cstheme="minorHAnsi"/>
        </w:rPr>
        <w:t>(</w:t>
      </w:r>
      <w:proofErr w:type="spellStart"/>
      <w:r w:rsidR="00D968F7" w:rsidRPr="008065CD">
        <w:rPr>
          <w:rFonts w:cstheme="minorHAnsi"/>
        </w:rPr>
        <w:t>dec</w:t>
      </w:r>
      <w:proofErr w:type="spellEnd"/>
      <w:r w:rsidR="00D968F7" w:rsidRPr="008065CD">
        <w:rPr>
          <w:rFonts w:cstheme="minorHAnsi"/>
        </w:rPr>
        <w:t>.), nr 15189/10 i 1627 innych</w:t>
      </w:r>
      <w:r w:rsidR="00AF7E7E">
        <w:rPr>
          <w:rFonts w:cstheme="minorHAnsi"/>
        </w:rPr>
        <w:t xml:space="preserve"> skarg</w:t>
      </w:r>
      <w:r w:rsidR="00D968F7" w:rsidRPr="008065CD">
        <w:rPr>
          <w:rFonts w:cstheme="minorHAnsi"/>
        </w:rPr>
        <w:t xml:space="preserve">, § 63-87, 14 maja 2013 r.). W sprawie odpowiednich przepisów prawa krajowego dotyczących skarg na przewlekłość postępowania cywilnego zob. </w:t>
      </w:r>
      <w:r w:rsidR="00D968F7" w:rsidRPr="008065CD">
        <w:rPr>
          <w:rFonts w:cstheme="minorHAnsi"/>
          <w:i/>
          <w:iCs/>
        </w:rPr>
        <w:t>Rutkowski i Inni przeciwko Polsce</w:t>
      </w:r>
      <w:r w:rsidR="00D968F7" w:rsidRPr="008065CD">
        <w:rPr>
          <w:rFonts w:cstheme="minorHAnsi"/>
        </w:rPr>
        <w:t>, nr 72287/10 i 2 inne, §</w:t>
      </w:r>
      <w:r w:rsidR="00AF7E7E">
        <w:rPr>
          <w:rFonts w:cstheme="minorHAnsi"/>
        </w:rPr>
        <w:t> </w:t>
      </w:r>
      <w:r w:rsidR="00D968F7" w:rsidRPr="008065CD">
        <w:rPr>
          <w:rFonts w:cstheme="minorHAnsi"/>
        </w:rPr>
        <w:t>75-92, 7 lipca 2015</w:t>
      </w:r>
      <w:r w:rsidR="00AB1A06" w:rsidRPr="008065CD">
        <w:rPr>
          <w:rFonts w:cstheme="minorHAnsi"/>
        </w:rPr>
        <w:t> </w:t>
      </w:r>
      <w:r w:rsidR="00D968F7" w:rsidRPr="008065CD">
        <w:rPr>
          <w:rFonts w:cstheme="minorHAnsi"/>
        </w:rPr>
        <w:t>r.).</w:t>
      </w:r>
    </w:p>
    <w:p w14:paraId="37F30D31" w14:textId="03C23F0C" w:rsidR="00D968F7" w:rsidRPr="008065CD" w:rsidRDefault="003A445E" w:rsidP="00197933">
      <w:pPr>
        <w:pStyle w:val="JuPara"/>
        <w:rPr>
          <w:rFonts w:cstheme="minorHAnsi"/>
        </w:rPr>
      </w:pPr>
      <w:r w:rsidRPr="008065CD">
        <w:rPr>
          <w:rFonts w:cstheme="minorHAnsi"/>
          <w:noProof/>
        </w:rPr>
        <w:t>27</w:t>
      </w:r>
      <w:r w:rsidR="00027305" w:rsidRPr="008065CD">
        <w:rPr>
          <w:rFonts w:cstheme="minorHAnsi"/>
        </w:rPr>
        <w:t>.</w:t>
      </w:r>
      <w:r w:rsidR="008A6748">
        <w:rPr>
          <w:rFonts w:cstheme="minorHAnsi"/>
        </w:rPr>
        <w:t xml:space="preserve"> </w:t>
      </w:r>
      <w:r w:rsidR="00027305" w:rsidRPr="008065CD">
        <w:rPr>
          <w:rFonts w:cstheme="minorHAnsi"/>
        </w:rPr>
        <w:t>W dniu 1 stycznia 2017 r. weszła w życie nowelizacja z dnia 16</w:t>
      </w:r>
      <w:r w:rsidR="00CB7E1D" w:rsidRPr="008065CD">
        <w:rPr>
          <w:rFonts w:cstheme="minorHAnsi"/>
        </w:rPr>
        <w:t> </w:t>
      </w:r>
      <w:r w:rsidR="00027305" w:rsidRPr="008065CD">
        <w:rPr>
          <w:rFonts w:cstheme="minorHAnsi"/>
        </w:rPr>
        <w:t>grudnia 2016 r. („</w:t>
      </w:r>
      <w:r w:rsidR="008065CD" w:rsidRPr="008065CD">
        <w:rPr>
          <w:rFonts w:cstheme="minorHAnsi"/>
        </w:rPr>
        <w:t xml:space="preserve">ustawa </w:t>
      </w:r>
      <w:r w:rsidR="00027305" w:rsidRPr="008065CD">
        <w:rPr>
          <w:rFonts w:cstheme="minorHAnsi"/>
        </w:rPr>
        <w:t xml:space="preserve">z 2016 r.”) </w:t>
      </w:r>
      <w:r w:rsidR="00FC3F39">
        <w:rPr>
          <w:rFonts w:cstheme="minorHAnsi"/>
        </w:rPr>
        <w:t>u</w:t>
      </w:r>
      <w:r w:rsidR="00B85D3A" w:rsidRPr="008065CD">
        <w:rPr>
          <w:rFonts w:cstheme="minorHAnsi"/>
        </w:rPr>
        <w:t>stawy</w:t>
      </w:r>
      <w:r w:rsidR="00027305" w:rsidRPr="008065CD">
        <w:rPr>
          <w:rFonts w:cstheme="minorHAnsi"/>
        </w:rPr>
        <w:t xml:space="preserve"> z 1994 r. W</w:t>
      </w:r>
      <w:r w:rsidR="00BF225A" w:rsidRPr="008065CD">
        <w:rPr>
          <w:rFonts w:cstheme="minorHAnsi"/>
        </w:rPr>
        <w:t> </w:t>
      </w:r>
      <w:r w:rsidR="00027305" w:rsidRPr="008065CD">
        <w:rPr>
          <w:rFonts w:cstheme="minorHAnsi"/>
        </w:rPr>
        <w:t>szczególności dodano art. 15c, który przewidywał obniżenie jednego ze współczynników mających znaczenie przy obliczaniu wysokości emerytur byłych funkcjonariuszy z 0,7% do 0% za każdy rok służby w byłych komunistycznych organach bezpieczeństwa państwa w okresie od 1944 do</w:t>
      </w:r>
      <w:r w:rsidR="00AF7E7E">
        <w:rPr>
          <w:rFonts w:cstheme="minorHAnsi"/>
        </w:rPr>
        <w:t> </w:t>
      </w:r>
      <w:r w:rsidR="00027305" w:rsidRPr="008065CD">
        <w:rPr>
          <w:rFonts w:cstheme="minorHAnsi"/>
        </w:rPr>
        <w:t>1990 r.</w:t>
      </w:r>
    </w:p>
    <w:p w14:paraId="024DF4C2" w14:textId="7A6B574A" w:rsidR="00D968F7" w:rsidRPr="008065CD" w:rsidRDefault="003A445E" w:rsidP="00197933">
      <w:pPr>
        <w:pStyle w:val="JuPara"/>
        <w:rPr>
          <w:rFonts w:cstheme="minorHAnsi"/>
        </w:rPr>
      </w:pPr>
      <w:r w:rsidRPr="008065CD">
        <w:rPr>
          <w:rFonts w:cstheme="minorHAnsi"/>
          <w:noProof/>
        </w:rPr>
        <w:t>28</w:t>
      </w:r>
      <w:r w:rsidR="00027305" w:rsidRPr="008065CD">
        <w:rPr>
          <w:rFonts w:cstheme="minorHAnsi"/>
        </w:rPr>
        <w:t>.</w:t>
      </w:r>
      <w:r w:rsidR="008A6748">
        <w:rPr>
          <w:rFonts w:cstheme="minorHAnsi"/>
        </w:rPr>
        <w:t xml:space="preserve"> </w:t>
      </w:r>
      <w:r w:rsidR="00027305" w:rsidRPr="008065CD">
        <w:rPr>
          <w:rFonts w:cstheme="minorHAnsi"/>
        </w:rPr>
        <w:t xml:space="preserve">Artykuł 15c ust. 3 znowelizowanej </w:t>
      </w:r>
      <w:r w:rsidR="008065CD" w:rsidRPr="008065CD">
        <w:rPr>
          <w:rFonts w:cstheme="minorHAnsi"/>
        </w:rPr>
        <w:t xml:space="preserve">ustawy </w:t>
      </w:r>
      <w:r w:rsidR="00027305" w:rsidRPr="008065CD">
        <w:rPr>
          <w:rFonts w:cstheme="minorHAnsi"/>
        </w:rPr>
        <w:t>z 1994 r. stanowił, że</w:t>
      </w:r>
      <w:r w:rsidR="00AF7E7E">
        <w:rPr>
          <w:rFonts w:cstheme="minorHAnsi"/>
        </w:rPr>
        <w:t> </w:t>
      </w:r>
      <w:r w:rsidR="00027305" w:rsidRPr="008065CD">
        <w:rPr>
          <w:rFonts w:cstheme="minorHAnsi"/>
        </w:rPr>
        <w:t>wysokość emerytury ustalonej na nowo wprowadzonych zasadach nie mogła być wyższa niż kwota przeciętnej miesięcznej emerytury wypłaconej przez Zakład Ubezpieczeń Społecznych, ogłoszonej przez Prezesa Zakładu.</w:t>
      </w:r>
    </w:p>
    <w:p w14:paraId="03B375CC" w14:textId="1380686E" w:rsidR="00D968F7" w:rsidRPr="008065CD" w:rsidRDefault="003A445E" w:rsidP="00197933">
      <w:pPr>
        <w:pStyle w:val="JuPara"/>
        <w:rPr>
          <w:rFonts w:cstheme="minorHAnsi"/>
        </w:rPr>
      </w:pPr>
      <w:r w:rsidRPr="008065CD">
        <w:rPr>
          <w:rFonts w:cstheme="minorHAnsi"/>
          <w:noProof/>
        </w:rPr>
        <w:t>29</w:t>
      </w:r>
      <w:r w:rsidR="00027305" w:rsidRPr="008065CD">
        <w:rPr>
          <w:rFonts w:cstheme="minorHAnsi"/>
        </w:rPr>
        <w:t>.</w:t>
      </w:r>
      <w:r w:rsidR="008A6748">
        <w:rPr>
          <w:rFonts w:cstheme="minorHAnsi"/>
        </w:rPr>
        <w:t xml:space="preserve"> </w:t>
      </w:r>
      <w:r w:rsidR="00027305" w:rsidRPr="008065CD">
        <w:rPr>
          <w:rFonts w:cstheme="minorHAnsi"/>
        </w:rPr>
        <w:t xml:space="preserve">Artykuł 22a znowelizowanej </w:t>
      </w:r>
      <w:r w:rsidR="008065CD" w:rsidRPr="008065CD">
        <w:rPr>
          <w:rFonts w:cstheme="minorHAnsi"/>
        </w:rPr>
        <w:t xml:space="preserve">ustawy </w:t>
      </w:r>
      <w:r w:rsidR="00027305" w:rsidRPr="008065CD">
        <w:rPr>
          <w:rFonts w:cstheme="minorHAnsi"/>
        </w:rPr>
        <w:t>z 1994 r. przewidywał zmniejszenie renty inwalidzkiej osoby, która pełniła służbę na rzecz totalitarnego państwa, o 10% za każdy rok służby na rzecz totalitarnego państwa.</w:t>
      </w:r>
    </w:p>
    <w:p w14:paraId="16BAB2E2" w14:textId="77777777"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t>POSTĘPOWANIE PRZED TRYBUNAŁEM KONSTYTUCYJNYM</w:t>
      </w:r>
    </w:p>
    <w:p w14:paraId="136D532C" w14:textId="1E2D1825" w:rsidR="00D968F7" w:rsidRPr="008065CD" w:rsidRDefault="003A445E" w:rsidP="00197933">
      <w:pPr>
        <w:pStyle w:val="JuPara"/>
        <w:rPr>
          <w:rFonts w:cstheme="minorHAnsi"/>
        </w:rPr>
      </w:pPr>
      <w:r w:rsidRPr="008065CD">
        <w:rPr>
          <w:rFonts w:cstheme="minorHAnsi"/>
          <w:noProof/>
        </w:rPr>
        <w:t>30</w:t>
      </w:r>
      <w:r w:rsidR="00027305" w:rsidRPr="008065CD">
        <w:rPr>
          <w:rFonts w:cstheme="minorHAnsi"/>
        </w:rPr>
        <w:t>.</w:t>
      </w:r>
      <w:r w:rsidR="008A6748">
        <w:rPr>
          <w:rFonts w:cstheme="minorHAnsi"/>
        </w:rPr>
        <w:t xml:space="preserve"> </w:t>
      </w:r>
      <w:r w:rsidR="00027305" w:rsidRPr="008065CD">
        <w:rPr>
          <w:rFonts w:cstheme="minorHAnsi"/>
        </w:rPr>
        <w:t>W dniu 27 lutego 2018 r. Sąd Okręgowy w Warszawie zwrócił się z</w:t>
      </w:r>
      <w:r w:rsidR="00CB7E1D" w:rsidRPr="008065CD">
        <w:rPr>
          <w:rFonts w:cstheme="minorHAnsi"/>
        </w:rPr>
        <w:t> </w:t>
      </w:r>
      <w:r w:rsidR="00027305" w:rsidRPr="008065CD">
        <w:rPr>
          <w:rFonts w:cstheme="minorHAnsi"/>
        </w:rPr>
        <w:t xml:space="preserve">pytaniem prawnym do Trybunału Konstytucyjnego. Zostało ono zarejestrowane pod </w:t>
      </w:r>
      <w:r w:rsidR="00B85D3A" w:rsidRPr="008065CD">
        <w:rPr>
          <w:rFonts w:cstheme="minorHAnsi"/>
        </w:rPr>
        <w:t>sygnaturą</w:t>
      </w:r>
      <w:r w:rsidR="00027305" w:rsidRPr="008065CD">
        <w:rPr>
          <w:rFonts w:cstheme="minorHAnsi"/>
        </w:rPr>
        <w:t xml:space="preserve"> P 4/18. Pierwsza rozprawa przed Trybunałem Konstytucyjnym miała się odbyć w dniu 17 marca 2020 r., po czym została </w:t>
      </w:r>
      <w:r w:rsidR="00B85D3A" w:rsidRPr="008065CD">
        <w:rPr>
          <w:rFonts w:cstheme="minorHAnsi"/>
        </w:rPr>
        <w:t>odroczona</w:t>
      </w:r>
      <w:r w:rsidR="00027305" w:rsidRPr="008065CD">
        <w:rPr>
          <w:rFonts w:cstheme="minorHAnsi"/>
        </w:rPr>
        <w:t xml:space="preserve"> na dzień 21 kwietnia 2020 r. W tym dniu rozprawa została odroczona do dnia 19 maja 2020 r., a następnie do dnia 2 czerwca 2020 r. W</w:t>
      </w:r>
      <w:r w:rsidR="00CB7E1D" w:rsidRPr="008065CD">
        <w:rPr>
          <w:rFonts w:cstheme="minorHAnsi"/>
        </w:rPr>
        <w:t> </w:t>
      </w:r>
      <w:r w:rsidR="00027305" w:rsidRPr="008065CD">
        <w:rPr>
          <w:rFonts w:cstheme="minorHAnsi"/>
        </w:rPr>
        <w:t xml:space="preserve">dniu 15 czerwca 2020 r. Trybunał Konstytucyjny </w:t>
      </w:r>
      <w:r w:rsidR="00027305" w:rsidRPr="008065CD">
        <w:rPr>
          <w:rFonts w:cstheme="minorHAnsi"/>
          <w:color w:val="2D2D2D"/>
        </w:rPr>
        <w:t xml:space="preserve">ponownie </w:t>
      </w:r>
      <w:r w:rsidR="00027305" w:rsidRPr="008065CD">
        <w:rPr>
          <w:rFonts w:cstheme="minorHAnsi"/>
        </w:rPr>
        <w:t>odroczył rozprawę do dnia 18 sierpnia 2020 r. W dniu 18 sierpnia 2020 r. Trybunał Konstytucyjny zapoznał się ze stanowiskami Prokuratora Generalnego oraz</w:t>
      </w:r>
      <w:r w:rsidR="00C370EA">
        <w:rPr>
          <w:rFonts w:cstheme="minorHAnsi"/>
        </w:rPr>
        <w:t xml:space="preserve"> przedstawiciel</w:t>
      </w:r>
      <w:r w:rsidR="00027305" w:rsidRPr="008065CD">
        <w:rPr>
          <w:rFonts w:cstheme="minorHAnsi"/>
        </w:rPr>
        <w:t>i Sejmu</w:t>
      </w:r>
      <w:r w:rsidR="00C370EA">
        <w:rPr>
          <w:rFonts w:cstheme="minorHAnsi"/>
        </w:rPr>
        <w:t xml:space="preserve"> (niższej izby Parlamentu)</w:t>
      </w:r>
      <w:r w:rsidR="00027305" w:rsidRPr="008065CD">
        <w:rPr>
          <w:rFonts w:cstheme="minorHAnsi"/>
        </w:rPr>
        <w:t>. Następnie odroczył rozprawę do dnia 11 września 2020 r. W tym dniu rozprawa została odwołana i odroczona do dnia 6</w:t>
      </w:r>
      <w:r w:rsidR="00193A07" w:rsidRPr="008065CD">
        <w:rPr>
          <w:rFonts w:cstheme="minorHAnsi"/>
        </w:rPr>
        <w:t> </w:t>
      </w:r>
      <w:r w:rsidR="00027305" w:rsidRPr="008065CD">
        <w:rPr>
          <w:rFonts w:cstheme="minorHAnsi"/>
        </w:rPr>
        <w:t xml:space="preserve">października 2020 r. W dniu 20 października 2020 r. </w:t>
      </w:r>
      <w:r w:rsidR="00B85D3A" w:rsidRPr="008065CD">
        <w:rPr>
          <w:rFonts w:cstheme="minorHAnsi"/>
        </w:rPr>
        <w:t>ogłoszenie</w:t>
      </w:r>
      <w:r w:rsidR="00027305" w:rsidRPr="008065CD">
        <w:rPr>
          <w:rFonts w:cstheme="minorHAnsi"/>
        </w:rPr>
        <w:t xml:space="preserve"> wyroku zostało </w:t>
      </w:r>
      <w:r w:rsidR="00B85D3A" w:rsidRPr="008065CD">
        <w:rPr>
          <w:rFonts w:cstheme="minorHAnsi"/>
        </w:rPr>
        <w:t>odwołane</w:t>
      </w:r>
      <w:r w:rsidR="00027305" w:rsidRPr="008065CD">
        <w:rPr>
          <w:rFonts w:cstheme="minorHAnsi"/>
        </w:rPr>
        <w:t>. Od tego czasu Trybunał Konstytucyjny nie wydał żadnego rozstrzygnięcia.</w:t>
      </w:r>
    </w:p>
    <w:p w14:paraId="641C89B9" w14:textId="77777777"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lastRenderedPageBreak/>
        <w:t>UCHWAŁA SĄDU NAJWYŻSZEGO</w:t>
      </w:r>
    </w:p>
    <w:p w14:paraId="35DC7262" w14:textId="503E659F" w:rsidR="00D968F7" w:rsidRPr="008065CD" w:rsidRDefault="003A445E" w:rsidP="00197933">
      <w:pPr>
        <w:pStyle w:val="JuPara"/>
        <w:rPr>
          <w:rFonts w:cstheme="minorHAnsi"/>
        </w:rPr>
      </w:pPr>
      <w:r w:rsidRPr="008065CD">
        <w:rPr>
          <w:rFonts w:cstheme="minorHAnsi"/>
          <w:noProof/>
        </w:rPr>
        <w:t>31</w:t>
      </w:r>
      <w:r w:rsidR="00D968F7" w:rsidRPr="008065CD">
        <w:rPr>
          <w:rFonts w:cstheme="minorHAnsi"/>
        </w:rPr>
        <w:t>.</w:t>
      </w:r>
      <w:r w:rsidR="008A6748">
        <w:rPr>
          <w:rFonts w:cstheme="minorHAnsi"/>
        </w:rPr>
        <w:t xml:space="preserve"> </w:t>
      </w:r>
      <w:r w:rsidR="00D968F7" w:rsidRPr="008065CD">
        <w:rPr>
          <w:rFonts w:cstheme="minorHAnsi"/>
        </w:rPr>
        <w:t xml:space="preserve">W dniu 16 września 2020 r. Sąd Najwyższy w składzie siedmiu sędziów wydał uchwałę </w:t>
      </w:r>
      <w:r w:rsidR="00B85D3A" w:rsidRPr="008065CD">
        <w:rPr>
          <w:rFonts w:cstheme="minorHAnsi"/>
        </w:rPr>
        <w:t>pod sygnaturą</w:t>
      </w:r>
      <w:r w:rsidR="00D968F7" w:rsidRPr="008065CD">
        <w:rPr>
          <w:rFonts w:cstheme="minorHAnsi"/>
        </w:rPr>
        <w:t xml:space="preserve"> </w:t>
      </w:r>
      <w:r w:rsidR="00D968F7" w:rsidRPr="008065CD">
        <w:rPr>
          <w:rFonts w:cstheme="minorHAnsi"/>
          <w:caps/>
        </w:rPr>
        <w:t xml:space="preserve">III UZP 1/20 </w:t>
      </w:r>
      <w:r w:rsidR="00D968F7" w:rsidRPr="008065CD">
        <w:rPr>
          <w:rFonts w:cstheme="minorHAnsi"/>
        </w:rPr>
        <w:t xml:space="preserve">w sprawie wykładni </w:t>
      </w:r>
      <w:r w:rsidR="008065CD" w:rsidRPr="008065CD">
        <w:rPr>
          <w:rFonts w:cstheme="minorHAnsi"/>
        </w:rPr>
        <w:t xml:space="preserve">ustawy </w:t>
      </w:r>
      <w:r w:rsidR="00D968F7" w:rsidRPr="008065CD">
        <w:rPr>
          <w:rFonts w:cstheme="minorHAnsi"/>
        </w:rPr>
        <w:t>z</w:t>
      </w:r>
      <w:r w:rsidR="00993397" w:rsidRPr="008065CD">
        <w:rPr>
          <w:rFonts w:cstheme="minorHAnsi"/>
        </w:rPr>
        <w:t> </w:t>
      </w:r>
      <w:r w:rsidR="00D968F7" w:rsidRPr="008065CD">
        <w:rPr>
          <w:rFonts w:cstheme="minorHAnsi"/>
        </w:rPr>
        <w:t>1994</w:t>
      </w:r>
      <w:r w:rsidR="00955798" w:rsidRPr="008065CD">
        <w:rPr>
          <w:rFonts w:cstheme="minorHAnsi"/>
        </w:rPr>
        <w:t> </w:t>
      </w:r>
      <w:r w:rsidR="00D968F7" w:rsidRPr="008065CD">
        <w:rPr>
          <w:rFonts w:cstheme="minorHAnsi"/>
        </w:rPr>
        <w:t xml:space="preserve">r., podjętą w odpowiedzi na </w:t>
      </w:r>
      <w:r w:rsidR="00B85D3A" w:rsidRPr="008065CD">
        <w:rPr>
          <w:rFonts w:cstheme="minorHAnsi"/>
        </w:rPr>
        <w:t>zagadnienie</w:t>
      </w:r>
      <w:r w:rsidR="00D968F7" w:rsidRPr="008065CD">
        <w:rPr>
          <w:rFonts w:cstheme="minorHAnsi"/>
        </w:rPr>
        <w:t xml:space="preserve"> prawne przedstawione przez trzyosobowy skład Sądu Najwyższego. Uchwała brzmiała następująco:</w:t>
      </w:r>
    </w:p>
    <w:p w14:paraId="195212C3" w14:textId="4837137F" w:rsidR="00E355F4" w:rsidRPr="00E355F4" w:rsidRDefault="00D968F7" w:rsidP="00197933">
      <w:pPr>
        <w:pStyle w:val="JuQuot"/>
        <w:rPr>
          <w:rFonts w:cstheme="minorHAnsi"/>
        </w:rPr>
      </w:pPr>
      <w:r w:rsidRPr="008065CD">
        <w:rPr>
          <w:rFonts w:cstheme="minorHAnsi"/>
        </w:rPr>
        <w:t>„</w:t>
      </w:r>
      <w:r w:rsidR="00E355F4" w:rsidRPr="00E355F4">
        <w:rPr>
          <w:rFonts w:cstheme="minorHAnsi"/>
        </w:rPr>
        <w:t>Kryterium „służby na rzecz totalitarnego państwa” określone w art. 13b ust. 1 ustawy z dnia 18 lutego 1994 r. o zaopatrzeniu emerytalnym funkcjonariuszy Policji, Agencji Bezpieczeństwa Wewnętrznego, Agencji Wywiadu, Służby Kontrwywiadu Wojskowego, Służby Wywiadu Wojskowego, Centralnego Biura Antykorupcyjnego, Straży Granicznej, Straży Marszałkowskiej, Służby Ochrony Państwa, Państwowej Straży Pożarnej, Służby Celno-Skarbowej i Służby Więziennej oraz ich rodzin (</w:t>
      </w:r>
      <w:proofErr w:type="spellStart"/>
      <w:r w:rsidR="00E355F4" w:rsidRPr="00E355F4">
        <w:rPr>
          <w:rFonts w:cstheme="minorHAnsi"/>
        </w:rPr>
        <w:t>t.j</w:t>
      </w:r>
      <w:proofErr w:type="spellEnd"/>
      <w:r w:rsidR="00E355F4" w:rsidRPr="00E355F4">
        <w:rPr>
          <w:rFonts w:cstheme="minorHAnsi"/>
        </w:rPr>
        <w:t>.</w:t>
      </w:r>
      <w:r w:rsidR="00AF7E7E">
        <w:rPr>
          <w:rFonts w:cstheme="minorHAnsi"/>
        </w:rPr>
        <w:t> </w:t>
      </w:r>
      <w:r w:rsidR="00E355F4" w:rsidRPr="00E355F4">
        <w:rPr>
          <w:rFonts w:cstheme="minorHAnsi"/>
        </w:rPr>
        <w:t>Dz.U. z 2020 r. poz. 723) powinno być oceniane na podstawie wszystkich okoliczności sprawy, w tym także na podstawie indywidualnych czynów i ich weryfikacji pod kątem naruszenia podstawowych praw i wolności człowieka</w:t>
      </w:r>
      <w:r w:rsidR="00E355F4">
        <w:rPr>
          <w:rFonts w:cstheme="minorHAnsi"/>
        </w:rPr>
        <w:t>”</w:t>
      </w:r>
      <w:r w:rsidR="00E355F4" w:rsidRPr="00E355F4">
        <w:rPr>
          <w:rFonts w:cstheme="minorHAnsi"/>
        </w:rPr>
        <w:t>.</w:t>
      </w:r>
    </w:p>
    <w:p w14:paraId="237A5ECD" w14:textId="77777777" w:rsidR="00D968F7" w:rsidRPr="008065CD" w:rsidRDefault="00D968F7" w:rsidP="00197933">
      <w:pPr>
        <w:pStyle w:val="JuHHead"/>
        <w:rPr>
          <w:rFonts w:asciiTheme="minorHAnsi" w:hAnsiTheme="minorHAnsi" w:cstheme="minorHAnsi"/>
        </w:rPr>
      </w:pPr>
      <w:r w:rsidRPr="008065CD">
        <w:rPr>
          <w:rFonts w:asciiTheme="minorHAnsi" w:hAnsiTheme="minorHAnsi" w:cstheme="minorHAnsi"/>
        </w:rPr>
        <w:t>PRAWO</w:t>
      </w:r>
    </w:p>
    <w:p w14:paraId="2893A80E" w14:textId="77777777" w:rsidR="00D968F7" w:rsidRPr="008065CD" w:rsidRDefault="00D968F7" w:rsidP="00197933">
      <w:pPr>
        <w:pStyle w:val="JuHIRoman"/>
        <w:rPr>
          <w:rFonts w:asciiTheme="minorHAnsi" w:hAnsiTheme="minorHAnsi" w:cstheme="minorHAnsi"/>
        </w:rPr>
      </w:pPr>
      <w:bookmarkStart w:id="15" w:name="_Hlk97739229"/>
      <w:r w:rsidRPr="008065CD">
        <w:rPr>
          <w:rFonts w:asciiTheme="minorHAnsi" w:hAnsiTheme="minorHAnsi" w:cstheme="minorHAnsi"/>
        </w:rPr>
        <w:t>ZARZUCANE NARUSZENIE ART. 6 UST. 1 KONWENCJI ZE WZGLĘDU NA PRZEWLEKŁOŚĆ POSTĘPOWANIA</w:t>
      </w:r>
    </w:p>
    <w:bookmarkEnd w:id="15"/>
    <w:p w14:paraId="43A2E2CC" w14:textId="39891AF8" w:rsidR="00D968F7" w:rsidRPr="008065CD" w:rsidRDefault="003A445E" w:rsidP="00197933">
      <w:pPr>
        <w:pStyle w:val="JuPara"/>
        <w:rPr>
          <w:rFonts w:cstheme="minorHAnsi"/>
        </w:rPr>
      </w:pPr>
      <w:r w:rsidRPr="008065CD">
        <w:rPr>
          <w:rFonts w:cstheme="minorHAnsi"/>
          <w:noProof/>
        </w:rPr>
        <w:t>32</w:t>
      </w:r>
      <w:r w:rsidR="00D968F7" w:rsidRPr="008065CD">
        <w:rPr>
          <w:rFonts w:cstheme="minorHAnsi"/>
        </w:rPr>
        <w:t>.</w:t>
      </w:r>
      <w:r w:rsidR="008A6748">
        <w:rPr>
          <w:rFonts w:cstheme="minorHAnsi"/>
        </w:rPr>
        <w:t xml:space="preserve"> </w:t>
      </w:r>
      <w:r w:rsidR="00D968F7" w:rsidRPr="008065CD">
        <w:rPr>
          <w:rFonts w:cstheme="minorHAnsi"/>
        </w:rPr>
        <w:t>Skarżący zarzucił, że długość postępowania w jego sprawie była nadmierna, co stanowiło naruszenie art. 6 ust. 1 Konwencji, którego odpowiednia część brzmi następująco:</w:t>
      </w:r>
    </w:p>
    <w:p w14:paraId="5AE39169" w14:textId="77777777" w:rsidR="00D968F7" w:rsidRPr="008065CD" w:rsidRDefault="00D968F7" w:rsidP="00197933">
      <w:pPr>
        <w:pStyle w:val="JuQuot"/>
        <w:rPr>
          <w:rFonts w:cstheme="minorHAnsi"/>
        </w:rPr>
      </w:pPr>
      <w:bookmarkStart w:id="16" w:name="_Hlk34206479"/>
      <w:r w:rsidRPr="008065CD">
        <w:rPr>
          <w:rFonts w:cstheme="minorHAnsi"/>
        </w:rPr>
        <w:t>„Każdy ma prawo do [...] rozpatrzenia jego sprawy w rozsądnym terminie przez [...] sąd [...] przy rozstrzyganiu o jego prawach i obowiązkach o charakterze cywilnym albo o zasadności każdego oskarżenia w wytoczonej przeciwko niemu sprawie karnej.”</w:t>
      </w:r>
    </w:p>
    <w:p w14:paraId="674E5929" w14:textId="77777777" w:rsidR="00D968F7" w:rsidRPr="008065CD" w:rsidRDefault="00D968F7" w:rsidP="00197933">
      <w:pPr>
        <w:pStyle w:val="JuHA"/>
        <w:rPr>
          <w:rFonts w:asciiTheme="minorHAnsi" w:hAnsiTheme="minorHAnsi" w:cstheme="minorHAnsi"/>
        </w:rPr>
      </w:pPr>
      <w:bookmarkStart w:id="17" w:name="_Hlk99034406"/>
      <w:bookmarkEnd w:id="16"/>
      <w:r w:rsidRPr="008065CD">
        <w:rPr>
          <w:rFonts w:asciiTheme="minorHAnsi" w:hAnsiTheme="minorHAnsi" w:cstheme="minorHAnsi"/>
        </w:rPr>
        <w:t>Dopuszczalność</w:t>
      </w:r>
    </w:p>
    <w:bookmarkEnd w:id="17"/>
    <w:p w14:paraId="43BF68F0" w14:textId="39357107" w:rsidR="00D968F7" w:rsidRPr="008065CD" w:rsidRDefault="003A445E" w:rsidP="00197933">
      <w:pPr>
        <w:pStyle w:val="JuPara"/>
        <w:rPr>
          <w:rFonts w:cstheme="minorHAnsi"/>
        </w:rPr>
      </w:pPr>
      <w:r w:rsidRPr="008065CD">
        <w:rPr>
          <w:rFonts w:cstheme="minorHAnsi"/>
          <w:noProof/>
        </w:rPr>
        <w:t>33</w:t>
      </w:r>
      <w:r w:rsidR="00D968F7" w:rsidRPr="008065CD">
        <w:rPr>
          <w:rFonts w:cstheme="minorHAnsi"/>
        </w:rPr>
        <w:t>.</w:t>
      </w:r>
      <w:r w:rsidR="008A6748">
        <w:rPr>
          <w:rFonts w:cstheme="minorHAnsi"/>
        </w:rPr>
        <w:t xml:space="preserve"> </w:t>
      </w:r>
      <w:r w:rsidR="00D968F7" w:rsidRPr="008065CD">
        <w:rPr>
          <w:rFonts w:cstheme="minorHAnsi"/>
        </w:rPr>
        <w:t>Trybunał zauważa, że niniejsza skarga nie jest w sposób oczywisty nieuzasadniona ani niedopuszczalna z jakichkolwiek innych powodów wymienionych w art. 35 Konwencji. Tym samym należ</w:t>
      </w:r>
      <w:r w:rsidR="00C1184F">
        <w:rPr>
          <w:rFonts w:cstheme="minorHAnsi"/>
        </w:rPr>
        <w:t>y</w:t>
      </w:r>
      <w:r w:rsidR="00D968F7" w:rsidRPr="008065CD">
        <w:rPr>
          <w:rFonts w:cstheme="minorHAnsi"/>
        </w:rPr>
        <w:t xml:space="preserve"> uznać ją za</w:t>
      </w:r>
      <w:r w:rsidR="00AF7E7E">
        <w:rPr>
          <w:rFonts w:cstheme="minorHAnsi"/>
        </w:rPr>
        <w:t> </w:t>
      </w:r>
      <w:r w:rsidR="00D968F7" w:rsidRPr="008065CD">
        <w:rPr>
          <w:rFonts w:cstheme="minorHAnsi"/>
        </w:rPr>
        <w:t>dopuszczalną.</w:t>
      </w:r>
    </w:p>
    <w:p w14:paraId="2129A05F" w14:textId="77777777" w:rsidR="00D968F7" w:rsidRPr="008065CD" w:rsidRDefault="00D968F7" w:rsidP="00197933">
      <w:pPr>
        <w:pStyle w:val="JuHA"/>
        <w:rPr>
          <w:rFonts w:asciiTheme="minorHAnsi" w:hAnsiTheme="minorHAnsi" w:cstheme="minorHAnsi"/>
        </w:rPr>
      </w:pPr>
      <w:r w:rsidRPr="008065CD">
        <w:rPr>
          <w:rFonts w:asciiTheme="minorHAnsi" w:hAnsiTheme="minorHAnsi" w:cstheme="minorHAnsi"/>
        </w:rPr>
        <w:t>Przedmiot skargi</w:t>
      </w:r>
    </w:p>
    <w:p w14:paraId="54FA268A" w14:textId="0B746408" w:rsidR="00D968F7" w:rsidRPr="008065CD" w:rsidRDefault="00E91A2E" w:rsidP="00197933">
      <w:pPr>
        <w:pStyle w:val="JuH1"/>
        <w:rPr>
          <w:rFonts w:asciiTheme="minorHAnsi" w:eastAsia="Times New Roman" w:hAnsiTheme="minorHAnsi" w:cstheme="minorHAnsi"/>
        </w:rPr>
      </w:pPr>
      <w:bookmarkStart w:id="18" w:name="_Toc423943880"/>
      <w:r>
        <w:rPr>
          <w:rFonts w:asciiTheme="minorHAnsi" w:hAnsiTheme="minorHAnsi" w:cstheme="minorHAnsi"/>
        </w:rPr>
        <w:t>O</w:t>
      </w:r>
      <w:r w:rsidR="00D968F7" w:rsidRPr="008065CD">
        <w:rPr>
          <w:rFonts w:asciiTheme="minorHAnsi" w:hAnsiTheme="minorHAnsi" w:cstheme="minorHAnsi"/>
        </w:rPr>
        <w:t>kres</w:t>
      </w:r>
      <w:r>
        <w:rPr>
          <w:rFonts w:asciiTheme="minorHAnsi" w:hAnsiTheme="minorHAnsi" w:cstheme="minorHAnsi"/>
        </w:rPr>
        <w:t>, który należy uwzględnić</w:t>
      </w:r>
    </w:p>
    <w:p w14:paraId="1BA567A8" w14:textId="0696DDE2" w:rsidR="00D968F7" w:rsidRPr="008065CD" w:rsidRDefault="003A445E" w:rsidP="00197933">
      <w:pPr>
        <w:pStyle w:val="JuPara"/>
        <w:rPr>
          <w:rFonts w:cstheme="minorHAnsi"/>
        </w:rPr>
      </w:pPr>
      <w:r w:rsidRPr="008065CD">
        <w:rPr>
          <w:rFonts w:cstheme="minorHAnsi"/>
          <w:noProof/>
        </w:rPr>
        <w:t>34</w:t>
      </w:r>
      <w:r w:rsidR="00027305" w:rsidRPr="008065CD">
        <w:rPr>
          <w:rFonts w:cstheme="minorHAnsi"/>
        </w:rPr>
        <w:t>.</w:t>
      </w:r>
      <w:r w:rsidR="008A6748">
        <w:rPr>
          <w:rFonts w:cstheme="minorHAnsi"/>
        </w:rPr>
        <w:t xml:space="preserve"> </w:t>
      </w:r>
      <w:r w:rsidR="00027305" w:rsidRPr="008065CD">
        <w:rPr>
          <w:rFonts w:cstheme="minorHAnsi"/>
        </w:rPr>
        <w:t xml:space="preserve">Okres, który należy rozpatrywać na podstawie art. 6 ust. 1, rozpoczął się w dniu 28 sierpnia 2017 r., kiedy skarżący odwołał się od decyzji obniżających jego świadczenia, i zakończył się w dniu 21 września 2021 r., w którym Sąd Apelacyjny wydał prawomocny wyrok w sprawie skarżącego (zob. paragrafy </w:t>
      </w:r>
      <w:r w:rsidRPr="008065CD">
        <w:rPr>
          <w:rFonts w:cstheme="minorHAnsi"/>
          <w:noProof/>
        </w:rPr>
        <w:t>8</w:t>
      </w:r>
      <w:r w:rsidR="00027305" w:rsidRPr="008065CD">
        <w:rPr>
          <w:rFonts w:cstheme="minorHAnsi"/>
        </w:rPr>
        <w:t xml:space="preserve"> i </w:t>
      </w:r>
      <w:r w:rsidRPr="008065CD">
        <w:rPr>
          <w:rFonts w:cstheme="minorHAnsi"/>
          <w:noProof/>
        </w:rPr>
        <w:t>24</w:t>
      </w:r>
      <w:r w:rsidR="00027305" w:rsidRPr="008065CD">
        <w:rPr>
          <w:rFonts w:cstheme="minorHAnsi"/>
        </w:rPr>
        <w:t xml:space="preserve"> powyżej). Tym samym trwał on cztery lata i</w:t>
      </w:r>
      <w:r w:rsidR="00404DE3" w:rsidRPr="008065CD">
        <w:rPr>
          <w:rFonts w:cstheme="minorHAnsi"/>
        </w:rPr>
        <w:t> </w:t>
      </w:r>
      <w:r w:rsidR="00027305" w:rsidRPr="008065CD">
        <w:rPr>
          <w:rFonts w:cstheme="minorHAnsi"/>
        </w:rPr>
        <w:t>dwadzieścia pięć dni w dwóch instancjach.</w:t>
      </w:r>
    </w:p>
    <w:p w14:paraId="3386649C" w14:textId="5EE36AB8" w:rsidR="00D968F7" w:rsidRPr="008065CD" w:rsidRDefault="00E91A2E" w:rsidP="00197933">
      <w:pPr>
        <w:pStyle w:val="JuH1"/>
        <w:rPr>
          <w:rFonts w:asciiTheme="minorHAnsi" w:eastAsia="Times New Roman" w:hAnsiTheme="minorHAnsi" w:cstheme="minorHAnsi"/>
          <w:b/>
          <w:color w:val="000000"/>
        </w:rPr>
      </w:pPr>
      <w:r>
        <w:rPr>
          <w:rFonts w:asciiTheme="minorHAnsi" w:hAnsiTheme="minorHAnsi" w:cstheme="minorHAnsi"/>
        </w:rPr>
        <w:lastRenderedPageBreak/>
        <w:t>Kwestia, czy okres ten był rozsądny</w:t>
      </w:r>
    </w:p>
    <w:p w14:paraId="45CE8093" w14:textId="643AC5D0" w:rsidR="00D968F7" w:rsidRPr="008065CD" w:rsidRDefault="00D968F7" w:rsidP="00197933">
      <w:pPr>
        <w:pStyle w:val="JuHa0"/>
        <w:rPr>
          <w:rFonts w:asciiTheme="minorHAnsi" w:hAnsiTheme="minorHAnsi" w:cstheme="minorHAnsi"/>
        </w:rPr>
      </w:pPr>
      <w:r w:rsidRPr="008065CD">
        <w:rPr>
          <w:rFonts w:asciiTheme="minorHAnsi" w:hAnsiTheme="minorHAnsi" w:cstheme="minorHAnsi"/>
        </w:rPr>
        <w:t>Stanowiska stron</w:t>
      </w:r>
    </w:p>
    <w:p w14:paraId="1E276152" w14:textId="684A6A72" w:rsidR="00D968F7" w:rsidRPr="008065CD" w:rsidRDefault="003A445E" w:rsidP="00197933">
      <w:pPr>
        <w:pStyle w:val="JuPara"/>
        <w:rPr>
          <w:rFonts w:cstheme="minorHAnsi"/>
        </w:rPr>
      </w:pPr>
      <w:r w:rsidRPr="008065CD">
        <w:rPr>
          <w:rFonts w:cstheme="minorHAnsi"/>
          <w:noProof/>
        </w:rPr>
        <w:t>35</w:t>
      </w:r>
      <w:r w:rsidR="00027305" w:rsidRPr="008065CD">
        <w:rPr>
          <w:rFonts w:cstheme="minorHAnsi"/>
        </w:rPr>
        <w:t>.</w:t>
      </w:r>
      <w:r w:rsidR="008A6748">
        <w:rPr>
          <w:rFonts w:cstheme="minorHAnsi"/>
        </w:rPr>
        <w:t xml:space="preserve"> </w:t>
      </w:r>
      <w:r w:rsidR="00027305" w:rsidRPr="008065CD">
        <w:rPr>
          <w:rFonts w:cstheme="minorHAnsi"/>
        </w:rPr>
        <w:t>Skarżący podniósł, że postępowanie w jego sprawie przekroczyło wymóg „rozsądnego terminu”. Podkreślił, że postępowanie dotyczyło jego środków utrzymania, które uległy drastycznemu obniżeniu ze skutkiem natychmiastowym.</w:t>
      </w:r>
    </w:p>
    <w:p w14:paraId="67CD3910" w14:textId="530ACF26" w:rsidR="00D968F7" w:rsidRPr="008065CD" w:rsidRDefault="003A445E" w:rsidP="00197933">
      <w:pPr>
        <w:pStyle w:val="JuPara"/>
        <w:rPr>
          <w:rFonts w:cstheme="minorHAnsi"/>
        </w:rPr>
      </w:pPr>
      <w:r w:rsidRPr="008065CD">
        <w:rPr>
          <w:rFonts w:cstheme="minorHAnsi"/>
          <w:noProof/>
        </w:rPr>
        <w:t>36</w:t>
      </w:r>
      <w:r w:rsidR="00D968F7" w:rsidRPr="008065CD">
        <w:rPr>
          <w:rFonts w:cstheme="minorHAnsi"/>
        </w:rPr>
        <w:t>.</w:t>
      </w:r>
      <w:r w:rsidR="008A6748">
        <w:rPr>
          <w:rFonts w:cstheme="minorHAnsi"/>
        </w:rPr>
        <w:t xml:space="preserve"> </w:t>
      </w:r>
      <w:r w:rsidR="00D968F7" w:rsidRPr="008065CD">
        <w:rPr>
          <w:rFonts w:cstheme="minorHAnsi"/>
        </w:rPr>
        <w:t>Rząd postanowił powstrzymać się od zajęcia jakiegokolwiek stanowiska w sprawie tego zarzutu.</w:t>
      </w:r>
    </w:p>
    <w:p w14:paraId="47131672" w14:textId="77777777" w:rsidR="00D968F7" w:rsidRPr="008065CD" w:rsidRDefault="00D968F7" w:rsidP="00197933">
      <w:pPr>
        <w:pStyle w:val="JuHa0"/>
        <w:rPr>
          <w:rFonts w:asciiTheme="minorHAnsi" w:hAnsiTheme="minorHAnsi" w:cstheme="minorHAnsi"/>
        </w:rPr>
      </w:pPr>
      <w:r w:rsidRPr="008065CD">
        <w:rPr>
          <w:rFonts w:asciiTheme="minorHAnsi" w:hAnsiTheme="minorHAnsi" w:cstheme="minorHAnsi"/>
        </w:rPr>
        <w:t>Interweniujące strony trzecie</w:t>
      </w:r>
    </w:p>
    <w:p w14:paraId="4250E204" w14:textId="77777777" w:rsidR="00D968F7" w:rsidRPr="008065CD" w:rsidRDefault="00D968F7" w:rsidP="00197933">
      <w:pPr>
        <w:pStyle w:val="JuHi"/>
        <w:rPr>
          <w:rFonts w:asciiTheme="minorHAnsi" w:hAnsiTheme="minorHAnsi" w:cstheme="minorHAnsi"/>
        </w:rPr>
      </w:pPr>
      <w:r w:rsidRPr="008065CD">
        <w:rPr>
          <w:rFonts w:asciiTheme="minorHAnsi" w:hAnsiTheme="minorHAnsi" w:cstheme="minorHAnsi"/>
        </w:rPr>
        <w:t>Helsińska Fundacja Praw Człowieka</w:t>
      </w:r>
    </w:p>
    <w:p w14:paraId="33FB7BAF" w14:textId="2A46DD7D" w:rsidR="00D968F7" w:rsidRPr="008065CD" w:rsidRDefault="003A445E" w:rsidP="00197933">
      <w:pPr>
        <w:pStyle w:val="JuPara"/>
        <w:rPr>
          <w:rFonts w:cstheme="minorHAnsi"/>
        </w:rPr>
      </w:pPr>
      <w:bookmarkStart w:id="19" w:name="helsinki_submissions"/>
      <w:r w:rsidRPr="008065CD">
        <w:rPr>
          <w:rFonts w:cstheme="minorHAnsi"/>
          <w:noProof/>
        </w:rPr>
        <w:t>37</w:t>
      </w:r>
      <w:bookmarkEnd w:id="19"/>
      <w:r w:rsidR="00D968F7" w:rsidRPr="008065CD">
        <w:rPr>
          <w:rFonts w:cstheme="minorHAnsi"/>
        </w:rPr>
        <w:t>.</w:t>
      </w:r>
      <w:r w:rsidR="008A6748">
        <w:rPr>
          <w:rFonts w:cstheme="minorHAnsi"/>
        </w:rPr>
        <w:t xml:space="preserve"> </w:t>
      </w:r>
      <w:bookmarkStart w:id="20" w:name="_Hlk95923514"/>
      <w:r w:rsidR="00D968F7" w:rsidRPr="008065CD">
        <w:rPr>
          <w:rFonts w:cstheme="minorHAnsi"/>
        </w:rPr>
        <w:t xml:space="preserve">Helsińska Fundacja Praw Człowieka („Fundacja”) </w:t>
      </w:r>
      <w:bookmarkEnd w:id="20"/>
      <w:r w:rsidR="00D968F7" w:rsidRPr="008065CD">
        <w:rPr>
          <w:rFonts w:cstheme="minorHAnsi"/>
        </w:rPr>
        <w:t>podniosła, że</w:t>
      </w:r>
      <w:r w:rsidR="00AF7E7E">
        <w:rPr>
          <w:rFonts w:cstheme="minorHAnsi"/>
        </w:rPr>
        <w:t> </w:t>
      </w:r>
      <w:r w:rsidR="00D968F7" w:rsidRPr="008065CD">
        <w:rPr>
          <w:rFonts w:cstheme="minorHAnsi"/>
        </w:rPr>
        <w:t>do</w:t>
      </w:r>
      <w:r w:rsidR="00AF7E7E">
        <w:rPr>
          <w:rFonts w:cstheme="minorHAnsi"/>
        </w:rPr>
        <w:t> </w:t>
      </w:r>
      <w:r w:rsidR="00D968F7" w:rsidRPr="008065CD">
        <w:rPr>
          <w:rFonts w:cstheme="minorHAnsi"/>
        </w:rPr>
        <w:t>14</w:t>
      </w:r>
      <w:r w:rsidR="00AF7E7E">
        <w:rPr>
          <w:rFonts w:cstheme="minorHAnsi"/>
        </w:rPr>
        <w:t> </w:t>
      </w:r>
      <w:r w:rsidR="00D968F7" w:rsidRPr="008065CD">
        <w:rPr>
          <w:rFonts w:cstheme="minorHAnsi"/>
        </w:rPr>
        <w:t>kwietnia 2021 r. Dyrektor Zakładu Emerytalno-Rentowego wydał ponad 56</w:t>
      </w:r>
      <w:r w:rsidR="00A034EF" w:rsidRPr="008065CD">
        <w:rPr>
          <w:rFonts w:cstheme="minorHAnsi"/>
        </w:rPr>
        <w:t> </w:t>
      </w:r>
      <w:r w:rsidR="00D968F7" w:rsidRPr="008065CD">
        <w:rPr>
          <w:rFonts w:cstheme="minorHAnsi"/>
        </w:rPr>
        <w:t xml:space="preserve">500 decyzji obniżających emerytury na podstawie </w:t>
      </w:r>
      <w:r w:rsidR="008065CD" w:rsidRPr="008065CD">
        <w:rPr>
          <w:rFonts w:cstheme="minorHAnsi"/>
        </w:rPr>
        <w:t xml:space="preserve">ustawy </w:t>
      </w:r>
      <w:r w:rsidR="00D968F7" w:rsidRPr="008065CD">
        <w:rPr>
          <w:rFonts w:cstheme="minorHAnsi"/>
        </w:rPr>
        <w:t>z 2016 r. Od tych decyzji złożono około 25 900 odwołań. Co do zasady odwołania te były rozpatrywane przez Sąd Okręgowy w Warszawie. Sąd ten mógł jednak wyjątkowo przekazać sprawę innym sądom równorzędnym. Około 7000 spraw zostało przekazanych do rozpoznania innym sądom okręgowym w</w:t>
      </w:r>
      <w:r w:rsidR="003D16D1" w:rsidRPr="008065CD">
        <w:rPr>
          <w:rFonts w:cstheme="minorHAnsi"/>
        </w:rPr>
        <w:t> </w:t>
      </w:r>
      <w:r w:rsidR="00D968F7" w:rsidRPr="008065CD">
        <w:rPr>
          <w:rFonts w:cstheme="minorHAnsi"/>
        </w:rPr>
        <w:t>Polsce z uwagi na fakt, że Sąd Okręgowy w Warszawie nie był w stanie rozpoznać ogromnej liczby odwołań od decyzji wydanych przez Dyrektora Zakładu Emerytalno-Rentowego. Fundacja podniosła ponadto, że spośród prawie 26 000 odwołań złożonych od decyzji obniżających emerytury, tylko</w:t>
      </w:r>
      <w:r w:rsidR="00AF7E7E">
        <w:rPr>
          <w:rFonts w:cstheme="minorHAnsi"/>
        </w:rPr>
        <w:t> </w:t>
      </w:r>
      <w:r w:rsidR="00D968F7" w:rsidRPr="008065CD">
        <w:rPr>
          <w:rFonts w:cstheme="minorHAnsi"/>
        </w:rPr>
        <w:t xml:space="preserve">około 2100 </w:t>
      </w:r>
      <w:proofErr w:type="spellStart"/>
      <w:r w:rsidR="00D968F7" w:rsidRPr="008065CD">
        <w:rPr>
          <w:rFonts w:cstheme="minorHAnsi"/>
        </w:rPr>
        <w:t>odwołań</w:t>
      </w:r>
      <w:proofErr w:type="spellEnd"/>
      <w:r w:rsidR="00D968F7" w:rsidRPr="008065CD">
        <w:rPr>
          <w:rFonts w:cstheme="minorHAnsi"/>
        </w:rPr>
        <w:t xml:space="preserve"> zostało rozpoznanych i rozstrzygniętych przez różne sądy okręgowe w Polsce.</w:t>
      </w:r>
    </w:p>
    <w:p w14:paraId="51C4C64F" w14:textId="0935690D" w:rsidR="00D968F7" w:rsidRPr="008065CD" w:rsidRDefault="003A445E" w:rsidP="00197933">
      <w:pPr>
        <w:pStyle w:val="JuPara"/>
        <w:rPr>
          <w:rFonts w:cstheme="minorHAnsi"/>
        </w:rPr>
      </w:pPr>
      <w:r w:rsidRPr="008065CD">
        <w:rPr>
          <w:rFonts w:cstheme="minorHAnsi"/>
          <w:noProof/>
        </w:rPr>
        <w:t>38</w:t>
      </w:r>
      <w:r w:rsidR="00D968F7" w:rsidRPr="008065CD">
        <w:rPr>
          <w:rFonts w:cstheme="minorHAnsi"/>
        </w:rPr>
        <w:t>.</w:t>
      </w:r>
      <w:r w:rsidR="008A6748">
        <w:rPr>
          <w:rFonts w:cstheme="minorHAnsi"/>
        </w:rPr>
        <w:t xml:space="preserve"> </w:t>
      </w:r>
      <w:r w:rsidR="00D968F7" w:rsidRPr="008065CD">
        <w:rPr>
          <w:rFonts w:cstheme="minorHAnsi"/>
        </w:rPr>
        <w:t>Fundacja stwierdziła, że biorąc pod uwagę liczbę toczących się postępowań wskutek odwołań od decyzji obniżających emerytury (około 13</w:t>
      </w:r>
      <w:r w:rsidR="0083633A" w:rsidRPr="008065CD">
        <w:rPr>
          <w:rFonts w:cstheme="minorHAnsi"/>
        </w:rPr>
        <w:t> </w:t>
      </w:r>
      <w:r w:rsidR="00D968F7" w:rsidRPr="008065CD">
        <w:rPr>
          <w:rFonts w:cstheme="minorHAnsi"/>
        </w:rPr>
        <w:t>000 postępowań toczących się w pierwszej połowie 2021 r.), długość poszczególnych postępowań w połączeniu z brakiem skutecznego środka odwoławczego stanowi problem systemowy.</w:t>
      </w:r>
    </w:p>
    <w:p w14:paraId="04F8A775" w14:textId="77777777" w:rsidR="00D968F7" w:rsidRPr="008065CD" w:rsidRDefault="00D968F7" w:rsidP="00197933">
      <w:pPr>
        <w:pStyle w:val="JuHi"/>
        <w:rPr>
          <w:rFonts w:asciiTheme="minorHAnsi" w:hAnsiTheme="minorHAnsi" w:cstheme="minorHAnsi"/>
        </w:rPr>
      </w:pPr>
      <w:r w:rsidRPr="008065CD">
        <w:rPr>
          <w:rFonts w:asciiTheme="minorHAnsi" w:hAnsiTheme="minorHAnsi" w:cstheme="minorHAnsi"/>
        </w:rPr>
        <w:t>Federacja Stowarzyszeń Służb Mundurowych Rzeczpospolitej Polskiej</w:t>
      </w:r>
    </w:p>
    <w:p w14:paraId="523CF66A" w14:textId="6B269069" w:rsidR="00D968F7" w:rsidRPr="008065CD" w:rsidRDefault="003A445E" w:rsidP="00197933">
      <w:pPr>
        <w:pStyle w:val="JuPara"/>
        <w:rPr>
          <w:rFonts w:cstheme="minorHAnsi"/>
        </w:rPr>
      </w:pPr>
      <w:r w:rsidRPr="008065CD">
        <w:rPr>
          <w:rFonts w:cstheme="minorHAnsi"/>
          <w:noProof/>
        </w:rPr>
        <w:t>39</w:t>
      </w:r>
      <w:r w:rsidR="00027305" w:rsidRPr="008065CD">
        <w:rPr>
          <w:rFonts w:cstheme="minorHAnsi"/>
        </w:rPr>
        <w:t>.</w:t>
      </w:r>
      <w:r w:rsidR="008A6748">
        <w:rPr>
          <w:rFonts w:cstheme="minorHAnsi"/>
        </w:rPr>
        <w:t xml:space="preserve"> </w:t>
      </w:r>
      <w:r w:rsidR="00027305" w:rsidRPr="008065CD">
        <w:rPr>
          <w:rFonts w:cstheme="minorHAnsi"/>
        </w:rPr>
        <w:t xml:space="preserve">Federacja Stowarzyszeń Służb Mundurowych RP („Federacja”), która jest organizacją pozarządową reprezentującą interesy służb mundurowych, przedstawiła </w:t>
      </w:r>
      <w:r w:rsidR="00CE5D33">
        <w:rPr>
          <w:rFonts w:cstheme="minorHAnsi"/>
        </w:rPr>
        <w:t>pewne</w:t>
      </w:r>
      <w:r w:rsidR="00027305" w:rsidRPr="008065CD">
        <w:rPr>
          <w:rFonts w:cstheme="minorHAnsi"/>
        </w:rPr>
        <w:t xml:space="preserve"> informacje statystyczne podobne do tych, które opracowała Fundacja. Wskazała ponadto na orzecznictwo Trybunału określające czynniki, które należy brać pod uwagę przy ocenie długości postępowania. W tym względzie podniosła, że przedmiotowe sprawy nie były szczególnie skomplikowane, a skarżący, którym obniżono świadczenia, w</w:t>
      </w:r>
      <w:r w:rsidR="004D2D2F" w:rsidRPr="008065CD">
        <w:rPr>
          <w:rFonts w:cstheme="minorHAnsi"/>
        </w:rPr>
        <w:t> </w:t>
      </w:r>
      <w:r w:rsidR="00027305" w:rsidRPr="008065CD">
        <w:rPr>
          <w:rFonts w:cstheme="minorHAnsi"/>
        </w:rPr>
        <w:t>żaden sposób nie przyczynili się do długości poszczególnych postępowań, ponieważ został</w:t>
      </w:r>
      <w:r w:rsidR="00954EA0" w:rsidRPr="008065CD">
        <w:rPr>
          <w:rFonts w:cstheme="minorHAnsi"/>
        </w:rPr>
        <w:t>y</w:t>
      </w:r>
      <w:r w:rsidR="00027305" w:rsidRPr="008065CD">
        <w:rPr>
          <w:rFonts w:cstheme="minorHAnsi"/>
        </w:rPr>
        <w:t xml:space="preserve"> on</w:t>
      </w:r>
      <w:r w:rsidR="00954EA0" w:rsidRPr="008065CD">
        <w:rPr>
          <w:rFonts w:cstheme="minorHAnsi"/>
        </w:rPr>
        <w:t>e</w:t>
      </w:r>
      <w:r w:rsidR="00027305" w:rsidRPr="008065CD">
        <w:rPr>
          <w:rFonts w:cstheme="minorHAnsi"/>
        </w:rPr>
        <w:t xml:space="preserve"> zawieszone do czasu rozpoznania sprawy przez Trybunał Konstytucyjny. Wskazała też na przedmiot sporów, który miał istotne znaczenie dla zainteresowanych; sprawy dotyczyły ich środków </w:t>
      </w:r>
      <w:r w:rsidR="00027305" w:rsidRPr="008065CD">
        <w:rPr>
          <w:rFonts w:cstheme="minorHAnsi"/>
        </w:rPr>
        <w:lastRenderedPageBreak/>
        <w:t>utrzymania, decyzje obniżające emerytury były natychmiast wykonalne, a</w:t>
      </w:r>
      <w:r w:rsidR="00987FA7" w:rsidRPr="008065CD">
        <w:rPr>
          <w:rFonts w:cstheme="minorHAnsi"/>
        </w:rPr>
        <w:t> </w:t>
      </w:r>
      <w:r w:rsidR="00027305" w:rsidRPr="008065CD">
        <w:rPr>
          <w:rFonts w:cstheme="minorHAnsi"/>
        </w:rPr>
        <w:t>wniesienie odwołań od tych decyzji nie wstrzymywało ich wykonania.</w:t>
      </w:r>
    </w:p>
    <w:p w14:paraId="07C62238" w14:textId="3D101D4C" w:rsidR="00D968F7" w:rsidRPr="008065CD" w:rsidRDefault="003A445E" w:rsidP="00197933">
      <w:pPr>
        <w:pStyle w:val="JuPara"/>
        <w:rPr>
          <w:rFonts w:cstheme="minorHAnsi"/>
        </w:rPr>
      </w:pPr>
      <w:r w:rsidRPr="008065CD">
        <w:rPr>
          <w:rFonts w:cstheme="minorHAnsi"/>
          <w:noProof/>
        </w:rPr>
        <w:t>40</w:t>
      </w:r>
      <w:r w:rsidR="00027305" w:rsidRPr="008065CD">
        <w:rPr>
          <w:rFonts w:cstheme="minorHAnsi"/>
        </w:rPr>
        <w:t>.</w:t>
      </w:r>
      <w:r w:rsidR="008A6748">
        <w:rPr>
          <w:rFonts w:cstheme="minorHAnsi"/>
        </w:rPr>
        <w:t xml:space="preserve"> </w:t>
      </w:r>
      <w:r w:rsidR="00CE5D33">
        <w:rPr>
          <w:rFonts w:cstheme="minorHAnsi"/>
        </w:rPr>
        <w:t>Federacja p</w:t>
      </w:r>
      <w:r w:rsidR="00027305" w:rsidRPr="008065CD">
        <w:rPr>
          <w:rFonts w:cstheme="minorHAnsi"/>
        </w:rPr>
        <w:t>odniosła wreszcie, że jest świadoma obciążenia pracą nałożon</w:t>
      </w:r>
      <w:r w:rsidR="00954EA0" w:rsidRPr="008065CD">
        <w:rPr>
          <w:rFonts w:cstheme="minorHAnsi"/>
        </w:rPr>
        <w:t>ą</w:t>
      </w:r>
      <w:r w:rsidR="00027305" w:rsidRPr="008065CD">
        <w:rPr>
          <w:rFonts w:cstheme="minorHAnsi"/>
        </w:rPr>
        <w:t xml:space="preserve"> na Sąd Okręgowy w Warszawie. Jednakże jedynym środkiem organizacyjnym podjętym przez władze było utworzenie w tym sądzie specjalnego wydziału zajmującego się wyłącznie </w:t>
      </w:r>
      <w:proofErr w:type="spellStart"/>
      <w:r w:rsidR="00027305" w:rsidRPr="008065CD">
        <w:rPr>
          <w:rFonts w:cstheme="minorHAnsi"/>
        </w:rPr>
        <w:t>odwołaniami</w:t>
      </w:r>
      <w:proofErr w:type="spellEnd"/>
      <w:r w:rsidR="00027305" w:rsidRPr="008065CD">
        <w:rPr>
          <w:rFonts w:cstheme="minorHAnsi"/>
        </w:rPr>
        <w:t xml:space="preserve"> od decyzji obniżających emerytury. W wydziale tym zatrudniono ośmioro sędziów.</w:t>
      </w:r>
    </w:p>
    <w:p w14:paraId="571B6C6C" w14:textId="039A3784" w:rsidR="00D968F7" w:rsidRPr="008065CD" w:rsidRDefault="003A445E" w:rsidP="00197933">
      <w:pPr>
        <w:pStyle w:val="JuPara"/>
        <w:rPr>
          <w:rFonts w:cstheme="minorHAnsi"/>
        </w:rPr>
      </w:pPr>
      <w:r w:rsidRPr="008065CD">
        <w:rPr>
          <w:rFonts w:cstheme="minorHAnsi"/>
          <w:noProof/>
        </w:rPr>
        <w:t>41</w:t>
      </w:r>
      <w:r w:rsidR="00027305" w:rsidRPr="008065CD">
        <w:rPr>
          <w:rFonts w:cstheme="minorHAnsi"/>
        </w:rPr>
        <w:t>.</w:t>
      </w:r>
      <w:r w:rsidR="008A6748">
        <w:rPr>
          <w:rFonts w:cstheme="minorHAnsi"/>
        </w:rPr>
        <w:t xml:space="preserve"> </w:t>
      </w:r>
      <w:r w:rsidR="00027305" w:rsidRPr="008065CD">
        <w:rPr>
          <w:rFonts w:cstheme="minorHAnsi"/>
        </w:rPr>
        <w:t>Federacja stwierdziła, że szacuje się, iż około dwóch tysięcy zainteresowanych osób zmarło podczas rozpoznawania ich odwołań przez sądy.</w:t>
      </w:r>
    </w:p>
    <w:p w14:paraId="521B6046" w14:textId="74419789" w:rsidR="00D968F7" w:rsidRPr="008065CD" w:rsidRDefault="00D968F7" w:rsidP="00197933">
      <w:pPr>
        <w:pStyle w:val="JuHa0"/>
        <w:rPr>
          <w:rFonts w:asciiTheme="minorHAnsi" w:hAnsiTheme="minorHAnsi" w:cstheme="minorHAnsi"/>
        </w:rPr>
      </w:pPr>
      <w:r w:rsidRPr="008065CD">
        <w:rPr>
          <w:rFonts w:asciiTheme="minorHAnsi" w:hAnsiTheme="minorHAnsi" w:cstheme="minorHAnsi"/>
        </w:rPr>
        <w:t>Ocena Trybunału</w:t>
      </w:r>
    </w:p>
    <w:bookmarkEnd w:id="18"/>
    <w:p w14:paraId="7F492CA0" w14:textId="0FAEBEC6" w:rsidR="00D968F7" w:rsidRPr="008065CD" w:rsidRDefault="003A445E" w:rsidP="00197933">
      <w:pPr>
        <w:pStyle w:val="JuPara"/>
        <w:rPr>
          <w:rFonts w:eastAsia="Times New Roman" w:cstheme="minorHAnsi"/>
          <w:sz w:val="17"/>
          <w:szCs w:val="17"/>
        </w:rPr>
      </w:pPr>
      <w:r w:rsidRPr="008065CD">
        <w:rPr>
          <w:rFonts w:eastAsia="Times New Roman" w:cstheme="minorHAnsi"/>
          <w:noProof/>
        </w:rPr>
        <w:t>42</w:t>
      </w:r>
      <w:r w:rsidR="00D968F7" w:rsidRPr="008065CD">
        <w:rPr>
          <w:rFonts w:cstheme="minorHAnsi"/>
        </w:rPr>
        <w:t>.</w:t>
      </w:r>
      <w:r w:rsidR="008A6748">
        <w:rPr>
          <w:rFonts w:cstheme="minorHAnsi"/>
        </w:rPr>
        <w:t xml:space="preserve"> </w:t>
      </w:r>
      <w:r w:rsidR="00CE5D33">
        <w:rPr>
          <w:rFonts w:cstheme="minorHAnsi"/>
        </w:rPr>
        <w:t xml:space="preserve">Kwestię, czy </w:t>
      </w:r>
      <w:r w:rsidR="00D968F7" w:rsidRPr="008065CD">
        <w:rPr>
          <w:rFonts w:cstheme="minorHAnsi"/>
        </w:rPr>
        <w:t xml:space="preserve">czas trwania postępowania </w:t>
      </w:r>
      <w:r w:rsidR="00CE5D33">
        <w:rPr>
          <w:rFonts w:cstheme="minorHAnsi"/>
        </w:rPr>
        <w:t xml:space="preserve">jest rozsądny, </w:t>
      </w:r>
      <w:r w:rsidR="00D968F7" w:rsidRPr="008065CD">
        <w:rPr>
          <w:rFonts w:cstheme="minorHAnsi"/>
        </w:rPr>
        <w:t>należy oceniać w</w:t>
      </w:r>
      <w:r w:rsidR="00987FA7" w:rsidRPr="008065CD">
        <w:rPr>
          <w:rFonts w:cstheme="minorHAnsi"/>
        </w:rPr>
        <w:t> </w:t>
      </w:r>
      <w:r w:rsidR="00D968F7" w:rsidRPr="008065CD">
        <w:rPr>
          <w:rFonts w:cstheme="minorHAnsi"/>
        </w:rPr>
        <w:t xml:space="preserve">świetle szczególnych okoliczności sprawy i z uwzględnieniem kryteriów przyjętych w orzecznictwie Trybunału, w szczególności złożoności sprawy oraz </w:t>
      </w:r>
      <w:r w:rsidR="007932AD">
        <w:rPr>
          <w:rFonts w:cstheme="minorHAnsi"/>
        </w:rPr>
        <w:t xml:space="preserve">postępowania </w:t>
      </w:r>
      <w:r w:rsidR="00D968F7" w:rsidRPr="008065CD">
        <w:rPr>
          <w:rFonts w:cstheme="minorHAnsi"/>
        </w:rPr>
        <w:t xml:space="preserve">skarżącego i właściwych organów. W tej ostatniej kwestii należy również wziąć pod uwagę </w:t>
      </w:r>
      <w:r w:rsidR="007932AD">
        <w:rPr>
          <w:rFonts w:cstheme="minorHAnsi"/>
        </w:rPr>
        <w:t xml:space="preserve">znaczenie sprawy </w:t>
      </w:r>
      <w:r w:rsidR="00D968F7" w:rsidRPr="008065CD">
        <w:rPr>
          <w:rFonts w:cstheme="minorHAnsi"/>
        </w:rPr>
        <w:t>dla skarżącego (zob. </w:t>
      </w:r>
      <w:r w:rsidR="00D968F7" w:rsidRPr="008065CD">
        <w:rPr>
          <w:rFonts w:cstheme="minorHAnsi"/>
          <w:i/>
          <w:iCs/>
        </w:rPr>
        <w:t>Kudła przeciwko Polsce </w:t>
      </w:r>
      <w:r w:rsidR="00D968F7" w:rsidRPr="008065CD">
        <w:rPr>
          <w:rFonts w:cstheme="minorHAnsi"/>
        </w:rPr>
        <w:t>[WI], nr 30210/96, § 124, ETPC 2000</w:t>
      </w:r>
      <w:r w:rsidR="00D968F7" w:rsidRPr="008065CD">
        <w:rPr>
          <w:rFonts w:cstheme="minorHAnsi"/>
        </w:rPr>
        <w:noBreakHyphen/>
        <w:t>XI).</w:t>
      </w:r>
    </w:p>
    <w:p w14:paraId="3541F61A" w14:textId="606D4D1A" w:rsidR="00D968F7" w:rsidRPr="008065CD" w:rsidRDefault="003A445E" w:rsidP="00197933">
      <w:pPr>
        <w:pStyle w:val="JuPara"/>
        <w:rPr>
          <w:rFonts w:eastAsia="Times New Roman" w:cstheme="minorHAnsi"/>
          <w:sz w:val="17"/>
          <w:szCs w:val="17"/>
        </w:rPr>
      </w:pPr>
      <w:r w:rsidRPr="008065CD">
        <w:rPr>
          <w:rFonts w:eastAsia="Times New Roman" w:cstheme="minorHAnsi"/>
          <w:noProof/>
        </w:rPr>
        <w:t>43</w:t>
      </w:r>
      <w:r w:rsidR="00D968F7" w:rsidRPr="008065CD">
        <w:rPr>
          <w:rFonts w:cstheme="minorHAnsi"/>
        </w:rPr>
        <w:t>.</w:t>
      </w:r>
      <w:r w:rsidR="008A6748">
        <w:rPr>
          <w:rFonts w:cstheme="minorHAnsi"/>
        </w:rPr>
        <w:t xml:space="preserve"> </w:t>
      </w:r>
      <w:r w:rsidR="00D968F7" w:rsidRPr="008065CD">
        <w:rPr>
          <w:rFonts w:cstheme="minorHAnsi"/>
        </w:rPr>
        <w:t>Artykuł 6 ust. 1 Konwencji nakłada na U</w:t>
      </w:r>
      <w:r w:rsidR="0083778B" w:rsidRPr="008065CD">
        <w:rPr>
          <w:rFonts w:cstheme="minorHAnsi"/>
        </w:rPr>
        <w:t>kładające</w:t>
      </w:r>
      <w:r w:rsidR="00D968F7" w:rsidRPr="008065CD">
        <w:rPr>
          <w:rFonts w:cstheme="minorHAnsi"/>
        </w:rPr>
        <w:t xml:space="preserve"> się Państwa obowiązek zorganizowania swoich systemów sądowniczych w taki sposób, aby ich sądy mogły spełnić każdy z wymogów tego postanowienia, w</w:t>
      </w:r>
      <w:r w:rsidR="00AF7E7E">
        <w:rPr>
          <w:rFonts w:cstheme="minorHAnsi"/>
        </w:rPr>
        <w:t> </w:t>
      </w:r>
      <w:r w:rsidR="00D968F7" w:rsidRPr="008065CD">
        <w:rPr>
          <w:rFonts w:cstheme="minorHAnsi"/>
        </w:rPr>
        <w:t>tym</w:t>
      </w:r>
      <w:r w:rsidR="00AF7E7E">
        <w:rPr>
          <w:rFonts w:cstheme="minorHAnsi"/>
        </w:rPr>
        <w:t> </w:t>
      </w:r>
      <w:r w:rsidR="00D968F7" w:rsidRPr="008065CD">
        <w:rPr>
          <w:rFonts w:cstheme="minorHAnsi"/>
        </w:rPr>
        <w:t>obowiązek rozp</w:t>
      </w:r>
      <w:r w:rsidR="007932AD">
        <w:rPr>
          <w:rFonts w:cstheme="minorHAnsi"/>
        </w:rPr>
        <w:t>atrzenia</w:t>
      </w:r>
      <w:r w:rsidR="00D968F7" w:rsidRPr="008065CD">
        <w:rPr>
          <w:rFonts w:cstheme="minorHAnsi"/>
        </w:rPr>
        <w:t xml:space="preserve"> spraw w rozsądnym terminie (zob. m.in. </w:t>
      </w:r>
      <w:r w:rsidR="00D968F7" w:rsidRPr="008065CD">
        <w:rPr>
          <w:rFonts w:cstheme="minorHAnsi"/>
          <w:i/>
          <w:iCs/>
        </w:rPr>
        <w:t>Rutkowski i</w:t>
      </w:r>
      <w:r w:rsidR="00AF7E7E">
        <w:rPr>
          <w:rFonts w:cstheme="minorHAnsi"/>
          <w:i/>
          <w:iCs/>
        </w:rPr>
        <w:t> </w:t>
      </w:r>
      <w:r w:rsidR="00D968F7" w:rsidRPr="008065CD">
        <w:rPr>
          <w:rFonts w:cstheme="minorHAnsi"/>
          <w:i/>
          <w:iCs/>
        </w:rPr>
        <w:t>Inni</w:t>
      </w:r>
      <w:r w:rsidR="00D968F7" w:rsidRPr="008065CD">
        <w:rPr>
          <w:rFonts w:cstheme="minorHAnsi"/>
        </w:rPr>
        <w:t>,</w:t>
      </w:r>
      <w:r w:rsidR="00D968F7" w:rsidRPr="008065CD">
        <w:rPr>
          <w:rFonts w:cstheme="minorHAnsi"/>
          <w:i/>
        </w:rPr>
        <w:t xml:space="preserve"> </w:t>
      </w:r>
      <w:r w:rsidR="00D968F7" w:rsidRPr="008065CD">
        <w:rPr>
          <w:rFonts w:cstheme="minorHAnsi"/>
          <w:i/>
          <w:iCs/>
        </w:rPr>
        <w:t>op. cit</w:t>
      </w:r>
      <w:r w:rsidR="00D968F7" w:rsidRPr="008065CD">
        <w:rPr>
          <w:rFonts w:cstheme="minorHAnsi"/>
        </w:rPr>
        <w:t xml:space="preserve">., § 128; </w:t>
      </w:r>
      <w:proofErr w:type="spellStart"/>
      <w:r w:rsidR="00D968F7" w:rsidRPr="008065CD">
        <w:rPr>
          <w:rFonts w:cstheme="minorHAnsi"/>
          <w:i/>
          <w:iCs/>
        </w:rPr>
        <w:t>Bottazzi</w:t>
      </w:r>
      <w:proofErr w:type="spellEnd"/>
      <w:r w:rsidR="00D968F7" w:rsidRPr="008065CD">
        <w:rPr>
          <w:rFonts w:cstheme="minorHAnsi"/>
          <w:i/>
          <w:iCs/>
        </w:rPr>
        <w:t xml:space="preserve"> przeciwko Włochom </w:t>
      </w:r>
      <w:r w:rsidR="00D968F7" w:rsidRPr="008065CD">
        <w:rPr>
          <w:rFonts w:cstheme="minorHAnsi"/>
        </w:rPr>
        <w:t>[WI], nr</w:t>
      </w:r>
      <w:r w:rsidR="00E83035" w:rsidRPr="008065CD">
        <w:rPr>
          <w:rFonts w:cstheme="minorHAnsi"/>
        </w:rPr>
        <w:t> </w:t>
      </w:r>
      <w:r w:rsidR="00D968F7" w:rsidRPr="008065CD">
        <w:rPr>
          <w:rFonts w:cstheme="minorHAnsi"/>
        </w:rPr>
        <w:t>34884/97, § 22, ETPC 1999</w:t>
      </w:r>
      <w:r w:rsidR="00D968F7" w:rsidRPr="008065CD">
        <w:rPr>
          <w:rFonts w:cstheme="minorHAnsi"/>
        </w:rPr>
        <w:noBreakHyphen/>
        <w:t xml:space="preserve">V; oraz </w:t>
      </w:r>
      <w:proofErr w:type="spellStart"/>
      <w:r w:rsidR="00D968F7" w:rsidRPr="008065CD">
        <w:rPr>
          <w:rFonts w:cstheme="minorHAnsi"/>
          <w:i/>
          <w:iCs/>
        </w:rPr>
        <w:t>Scordino</w:t>
      </w:r>
      <w:proofErr w:type="spellEnd"/>
      <w:r w:rsidR="00D968F7" w:rsidRPr="008065CD">
        <w:rPr>
          <w:rFonts w:cstheme="minorHAnsi"/>
          <w:i/>
          <w:iCs/>
        </w:rPr>
        <w:t xml:space="preserve"> przeciwko Włochom (nr 1)</w:t>
      </w:r>
      <w:r w:rsidR="00D968F7" w:rsidRPr="008065CD">
        <w:rPr>
          <w:rFonts w:cstheme="minorHAnsi"/>
        </w:rPr>
        <w:t>, nr 36813/97, § 183, ETPC 2006-V).</w:t>
      </w:r>
    </w:p>
    <w:p w14:paraId="3E8B2693" w14:textId="2F3DBB97" w:rsidR="00D968F7" w:rsidRPr="008065CD" w:rsidRDefault="003A445E" w:rsidP="00197933">
      <w:pPr>
        <w:pStyle w:val="JuPara"/>
        <w:rPr>
          <w:rFonts w:eastAsia="Times New Roman" w:cstheme="minorHAnsi"/>
        </w:rPr>
      </w:pPr>
      <w:r w:rsidRPr="008065CD">
        <w:rPr>
          <w:rFonts w:eastAsia="Times New Roman" w:cstheme="minorHAnsi"/>
          <w:noProof/>
        </w:rPr>
        <w:t>44</w:t>
      </w:r>
      <w:r w:rsidR="00D968F7" w:rsidRPr="008065CD">
        <w:rPr>
          <w:rFonts w:cstheme="minorHAnsi"/>
        </w:rPr>
        <w:t>.</w:t>
      </w:r>
      <w:r w:rsidR="008A6748">
        <w:rPr>
          <w:rFonts w:cstheme="minorHAnsi"/>
        </w:rPr>
        <w:t xml:space="preserve"> </w:t>
      </w:r>
      <w:r w:rsidR="00D968F7" w:rsidRPr="008065CD">
        <w:rPr>
          <w:rFonts w:cstheme="minorHAnsi"/>
        </w:rPr>
        <w:t>Państwa odpowiadają za opóźnienia powstałe wskutek postępowania ich organów sądowych lub innych władz. Odpowiadają one również za</w:t>
      </w:r>
      <w:r w:rsidR="00AF7E7E">
        <w:rPr>
          <w:rFonts w:cstheme="minorHAnsi"/>
        </w:rPr>
        <w:t> </w:t>
      </w:r>
      <w:r w:rsidR="00D968F7" w:rsidRPr="008065CD">
        <w:rPr>
          <w:rFonts w:cstheme="minorHAnsi"/>
        </w:rPr>
        <w:t>opóźnienia w przedstawianiu sprawozdań i opinii biegłych sądowych. Państwo może być uznane za odpowiedzialne nie tylko za opóźnienia w</w:t>
      </w:r>
      <w:r w:rsidR="00457D12" w:rsidRPr="008065CD">
        <w:rPr>
          <w:rFonts w:cstheme="minorHAnsi"/>
        </w:rPr>
        <w:t> </w:t>
      </w:r>
      <w:r w:rsidR="00D968F7" w:rsidRPr="008065CD">
        <w:rPr>
          <w:rFonts w:cstheme="minorHAnsi"/>
        </w:rPr>
        <w:t>rozpatrywaniu konkretnej sprawy, ale także za brak zwiększenia środków w</w:t>
      </w:r>
      <w:r w:rsidR="00457D12" w:rsidRPr="008065CD">
        <w:rPr>
          <w:rFonts w:cstheme="minorHAnsi"/>
        </w:rPr>
        <w:t> </w:t>
      </w:r>
      <w:r w:rsidR="00D968F7" w:rsidRPr="008065CD">
        <w:rPr>
          <w:rFonts w:cstheme="minorHAnsi"/>
        </w:rPr>
        <w:t xml:space="preserve">odpowiedzi na zaległości w rozpatrywaniu spraw lub za braki strukturalne w systemach sądowniczych, które powodują opóźnienia. Rozwiązanie problemu nieuzasadnionej zwłoki w postępowaniu sądowym może zatem wymagać od Państwa podjęcia szeregu środków legislacyjnych, organizacyjnych, finansowych lub innych środków (zob. </w:t>
      </w:r>
      <w:proofErr w:type="spellStart"/>
      <w:r w:rsidR="00D968F7" w:rsidRPr="008065CD">
        <w:rPr>
          <w:rFonts w:cstheme="minorHAnsi"/>
          <w:i/>
          <w:iCs/>
        </w:rPr>
        <w:t>Finger</w:t>
      </w:r>
      <w:proofErr w:type="spellEnd"/>
      <w:r w:rsidR="00D968F7" w:rsidRPr="008065CD">
        <w:rPr>
          <w:rFonts w:cstheme="minorHAnsi"/>
          <w:i/>
          <w:iCs/>
        </w:rPr>
        <w:t xml:space="preserve"> przeciwko Bułgarii</w:t>
      </w:r>
      <w:r w:rsidR="00D968F7" w:rsidRPr="008065CD">
        <w:rPr>
          <w:rFonts w:cstheme="minorHAnsi"/>
        </w:rPr>
        <w:t>, nr 37346/05, § 95, 10 maja 2011 r., z dalszymi odniesieniami).</w:t>
      </w:r>
    </w:p>
    <w:p w14:paraId="7B53BB27" w14:textId="58E940DC" w:rsidR="00D968F7" w:rsidRPr="008065CD" w:rsidRDefault="003A445E" w:rsidP="00197933">
      <w:pPr>
        <w:pStyle w:val="JuPara"/>
        <w:rPr>
          <w:rFonts w:eastAsia="Times New Roman" w:cstheme="minorHAnsi"/>
        </w:rPr>
      </w:pPr>
      <w:r w:rsidRPr="008065CD">
        <w:rPr>
          <w:rFonts w:eastAsia="Times New Roman" w:cstheme="minorHAnsi"/>
          <w:noProof/>
        </w:rPr>
        <w:t>45</w:t>
      </w:r>
      <w:r w:rsidR="00D968F7" w:rsidRPr="008065CD">
        <w:rPr>
          <w:rFonts w:cstheme="minorHAnsi"/>
        </w:rPr>
        <w:t>.</w:t>
      </w:r>
      <w:r w:rsidR="008A6748">
        <w:rPr>
          <w:rFonts w:cstheme="minorHAnsi"/>
        </w:rPr>
        <w:t xml:space="preserve"> </w:t>
      </w:r>
      <w:r w:rsidR="00D968F7" w:rsidRPr="008065CD">
        <w:rPr>
          <w:rFonts w:cstheme="minorHAnsi"/>
        </w:rPr>
        <w:t>Przechodząc do okoliczności niniejszej sprawy, Trybunał zauważa, że</w:t>
      </w:r>
      <w:r w:rsidR="00AF7E7E">
        <w:rPr>
          <w:rFonts w:cstheme="minorHAnsi"/>
        </w:rPr>
        <w:t> </w:t>
      </w:r>
      <w:r w:rsidR="00D968F7" w:rsidRPr="008065CD">
        <w:rPr>
          <w:rFonts w:cstheme="minorHAnsi"/>
        </w:rPr>
        <w:t xml:space="preserve">przekazanie </w:t>
      </w:r>
      <w:proofErr w:type="spellStart"/>
      <w:r w:rsidR="00D968F7" w:rsidRPr="008065CD">
        <w:rPr>
          <w:rFonts w:cstheme="minorHAnsi"/>
        </w:rPr>
        <w:t>odwołań</w:t>
      </w:r>
      <w:proofErr w:type="spellEnd"/>
      <w:r w:rsidR="00D968F7" w:rsidRPr="008065CD">
        <w:rPr>
          <w:rFonts w:cstheme="minorHAnsi"/>
        </w:rPr>
        <w:t xml:space="preserve"> skarżącego z Zakładu Emerytalno-Rentowego do</w:t>
      </w:r>
      <w:r w:rsidR="00AF7E7E">
        <w:rPr>
          <w:rFonts w:cstheme="minorHAnsi"/>
        </w:rPr>
        <w:t> </w:t>
      </w:r>
      <w:r w:rsidR="00D968F7" w:rsidRPr="008065CD">
        <w:rPr>
          <w:rFonts w:cstheme="minorHAnsi"/>
        </w:rPr>
        <w:t xml:space="preserve">Sądu Okręgowego w Warszawie zajęło pięć miesięcy (zob. paragraf </w:t>
      </w:r>
      <w:r w:rsidRPr="008065CD">
        <w:rPr>
          <w:rFonts w:cstheme="minorHAnsi"/>
          <w:noProof/>
        </w:rPr>
        <w:t>8</w:t>
      </w:r>
      <w:r w:rsidR="00D968F7" w:rsidRPr="008065CD">
        <w:rPr>
          <w:rFonts w:cstheme="minorHAnsi"/>
        </w:rPr>
        <w:t xml:space="preserve"> powyżej). Następnie, po upływie kolejnych pięciu miesięcy, postępowanie zostało zawieszone. Taki stan rzeczy utrzymywał się do 20 grudnia 2019 r., czyli przez osiemnaście miesięcy. Pierwsza rozprawa odbyła się w dniu 18</w:t>
      </w:r>
      <w:r w:rsidR="008D4E9A" w:rsidRPr="008065CD">
        <w:rPr>
          <w:rFonts w:cstheme="minorHAnsi"/>
        </w:rPr>
        <w:t> </w:t>
      </w:r>
      <w:r w:rsidR="00D968F7" w:rsidRPr="008065CD">
        <w:rPr>
          <w:rFonts w:cstheme="minorHAnsi"/>
        </w:rPr>
        <w:t xml:space="preserve">listopada 2020 r., czyli prawie jedenaście miesięcy po </w:t>
      </w:r>
      <w:r w:rsidR="0058779A">
        <w:rPr>
          <w:rFonts w:cstheme="minorHAnsi"/>
        </w:rPr>
        <w:t>podjęciu</w:t>
      </w:r>
      <w:r w:rsidR="00D968F7" w:rsidRPr="008065CD">
        <w:rPr>
          <w:rFonts w:cstheme="minorHAnsi"/>
        </w:rPr>
        <w:t xml:space="preserve"> postępowania (zob. paragraf </w:t>
      </w:r>
      <w:r w:rsidRPr="008065CD">
        <w:rPr>
          <w:rFonts w:cstheme="minorHAnsi"/>
          <w:noProof/>
        </w:rPr>
        <w:t>22</w:t>
      </w:r>
      <w:r w:rsidR="00D968F7" w:rsidRPr="008065CD">
        <w:rPr>
          <w:rFonts w:cstheme="minorHAnsi"/>
        </w:rPr>
        <w:t xml:space="preserve"> powyżej), a wyrok pierwszej instancji został </w:t>
      </w:r>
      <w:r w:rsidR="00D968F7" w:rsidRPr="008065CD">
        <w:rPr>
          <w:rFonts w:cstheme="minorHAnsi"/>
        </w:rPr>
        <w:lastRenderedPageBreak/>
        <w:t xml:space="preserve">wydany sześć miesięcy po rozprawie. Sprawa nie wydaje się szczególnie skomplikowana, nie wymagała też uzyskania jakichkolwiek opinii biegłych. Nic nie wskazuje również na to, by skarżący w jakikolwiek sposób przyczynił się do </w:t>
      </w:r>
      <w:r w:rsidR="006A0855" w:rsidRPr="008065CD">
        <w:rPr>
          <w:rFonts w:cstheme="minorHAnsi"/>
        </w:rPr>
        <w:t>przedłużenia</w:t>
      </w:r>
      <w:r w:rsidR="00D968F7" w:rsidRPr="008065CD">
        <w:rPr>
          <w:rFonts w:cstheme="minorHAnsi"/>
        </w:rPr>
        <w:t xml:space="preserve"> postępowania.</w:t>
      </w:r>
    </w:p>
    <w:p w14:paraId="563FBAA2" w14:textId="1170928D" w:rsidR="00D968F7" w:rsidRPr="008065CD" w:rsidRDefault="003A445E" w:rsidP="00197933">
      <w:pPr>
        <w:pStyle w:val="JuPara"/>
        <w:rPr>
          <w:rFonts w:eastAsia="Times New Roman" w:cstheme="minorHAnsi"/>
        </w:rPr>
      </w:pPr>
      <w:r w:rsidRPr="008065CD">
        <w:rPr>
          <w:rFonts w:eastAsia="Times New Roman" w:cstheme="minorHAnsi"/>
          <w:noProof/>
        </w:rPr>
        <w:t>46</w:t>
      </w:r>
      <w:r w:rsidR="00D968F7" w:rsidRPr="008065CD">
        <w:rPr>
          <w:rFonts w:cstheme="minorHAnsi"/>
        </w:rPr>
        <w:t>.</w:t>
      </w:r>
      <w:r w:rsidR="008A6748">
        <w:rPr>
          <w:rFonts w:cstheme="minorHAnsi"/>
        </w:rPr>
        <w:t xml:space="preserve"> </w:t>
      </w:r>
      <w:r w:rsidR="00D968F7" w:rsidRPr="008065CD">
        <w:rPr>
          <w:rFonts w:cstheme="minorHAnsi"/>
        </w:rPr>
        <w:t>Prawdą jest, że Sąd Okręgowy w Warszawie miał do czynienia z</w:t>
      </w:r>
      <w:r w:rsidR="00CA63AB" w:rsidRPr="008065CD">
        <w:rPr>
          <w:rFonts w:cstheme="minorHAnsi"/>
        </w:rPr>
        <w:t> </w:t>
      </w:r>
      <w:r w:rsidR="00D968F7" w:rsidRPr="008065CD">
        <w:rPr>
          <w:rFonts w:cstheme="minorHAnsi"/>
        </w:rPr>
        <w:t xml:space="preserve">wyjątkowo dużym obciążeniem pracą po obniżeniu świadczeń dla tysięcy byłych funkcjonariuszy służb mundurowych. Jednakże, jak zauważono powyżej, obowiązkiem </w:t>
      </w:r>
      <w:r w:rsidR="0083778B" w:rsidRPr="008065CD">
        <w:rPr>
          <w:rFonts w:cstheme="minorHAnsi"/>
        </w:rPr>
        <w:t xml:space="preserve">Państwa </w:t>
      </w:r>
      <w:r w:rsidR="00D968F7" w:rsidRPr="008065CD">
        <w:rPr>
          <w:rFonts w:cstheme="minorHAnsi"/>
        </w:rPr>
        <w:t>jest zorganizowanie swojego systemu sądownictwa w taki sposób, aby jego sądy mogły wywiązywać się z</w:t>
      </w:r>
      <w:r w:rsidR="00CA63AB" w:rsidRPr="008065CD">
        <w:rPr>
          <w:rFonts w:cstheme="minorHAnsi"/>
        </w:rPr>
        <w:t> </w:t>
      </w:r>
      <w:r w:rsidR="00D968F7" w:rsidRPr="008065CD">
        <w:rPr>
          <w:rFonts w:cstheme="minorHAnsi"/>
        </w:rPr>
        <w:t>obowiązku rozpatrywania spraw w rozsądnym terminie.</w:t>
      </w:r>
    </w:p>
    <w:p w14:paraId="65E7AF3E" w14:textId="34EDDF36" w:rsidR="00D968F7" w:rsidRPr="008065CD" w:rsidRDefault="003A445E" w:rsidP="00197933">
      <w:pPr>
        <w:pStyle w:val="JuPara"/>
        <w:rPr>
          <w:rFonts w:cstheme="minorHAnsi"/>
        </w:rPr>
      </w:pPr>
      <w:r w:rsidRPr="008065CD">
        <w:rPr>
          <w:rFonts w:eastAsia="Times New Roman" w:cstheme="minorHAnsi"/>
          <w:noProof/>
        </w:rPr>
        <w:t>47</w:t>
      </w:r>
      <w:r w:rsidR="00D968F7" w:rsidRPr="008065CD">
        <w:rPr>
          <w:rFonts w:cstheme="minorHAnsi"/>
        </w:rPr>
        <w:t>.</w:t>
      </w:r>
      <w:r w:rsidR="008A6748">
        <w:rPr>
          <w:rFonts w:cstheme="minorHAnsi"/>
        </w:rPr>
        <w:t xml:space="preserve"> </w:t>
      </w:r>
      <w:r w:rsidR="00D968F7" w:rsidRPr="008065CD">
        <w:rPr>
          <w:rFonts w:cstheme="minorHAnsi"/>
        </w:rPr>
        <w:t xml:space="preserve">W tym kontekście Trybunał zauważa, że ogólny czas trwania postępowania można tylko częściowo przypisać opóźnieniom przed Sądem Okręgowym. Jego czas trwania wynika w dużej mierze z długotrwałości postępowania przed Trybunałem Konstytucyjnym, którego wynik może mieć decydujące znaczenie dla rozpoznania takich odwołań jak to, które wniósł skarżący. Trybunał powtarza, że postępowanie przed Trybunałem Konstytucyjnym jest brane pod uwagę, gdy – mimo że </w:t>
      </w:r>
      <w:r w:rsidR="006A0855" w:rsidRPr="008065CD">
        <w:rPr>
          <w:rFonts w:cstheme="minorHAnsi"/>
        </w:rPr>
        <w:t>T</w:t>
      </w:r>
      <w:r w:rsidR="00D968F7" w:rsidRPr="008065CD">
        <w:rPr>
          <w:rFonts w:cstheme="minorHAnsi"/>
        </w:rPr>
        <w:t>rybunał ten nie jest władny do orzekania co do istoty</w:t>
      </w:r>
      <w:r w:rsidR="006A0855" w:rsidRPr="008065CD">
        <w:rPr>
          <w:rFonts w:cstheme="minorHAnsi"/>
        </w:rPr>
        <w:t xml:space="preserve"> sprawy</w:t>
      </w:r>
      <w:r w:rsidR="001A6A2C">
        <w:rPr>
          <w:rFonts w:cstheme="minorHAnsi"/>
        </w:rPr>
        <w:t xml:space="preserve"> – </w:t>
      </w:r>
      <w:r w:rsidR="00D968F7" w:rsidRPr="008065CD">
        <w:rPr>
          <w:rFonts w:cstheme="minorHAnsi"/>
        </w:rPr>
        <w:t xml:space="preserve">jego decyzja może wpłynąć na wynik </w:t>
      </w:r>
      <w:r w:rsidR="006A0855" w:rsidRPr="008065CD">
        <w:rPr>
          <w:rFonts w:cstheme="minorHAnsi"/>
        </w:rPr>
        <w:t>roz</w:t>
      </w:r>
      <w:r w:rsidR="001A6A2C">
        <w:rPr>
          <w:rFonts w:cstheme="minorHAnsi"/>
        </w:rPr>
        <w:t>patrzenia</w:t>
      </w:r>
      <w:r w:rsidR="006A0855" w:rsidRPr="008065CD">
        <w:rPr>
          <w:rFonts w:cstheme="minorHAnsi"/>
        </w:rPr>
        <w:t xml:space="preserve"> sprawy przez sądy powszechne</w:t>
      </w:r>
      <w:r w:rsidR="00D968F7" w:rsidRPr="008065CD">
        <w:rPr>
          <w:rFonts w:cstheme="minorHAnsi"/>
        </w:rPr>
        <w:t xml:space="preserve"> (zob. </w:t>
      </w:r>
      <w:proofErr w:type="spellStart"/>
      <w:r w:rsidR="00D968F7" w:rsidRPr="008065CD">
        <w:rPr>
          <w:rFonts w:cstheme="minorHAnsi"/>
          <w:i/>
          <w:iCs/>
        </w:rPr>
        <w:t>Deumeland</w:t>
      </w:r>
      <w:proofErr w:type="spellEnd"/>
      <w:r w:rsidR="00D968F7" w:rsidRPr="008065CD">
        <w:rPr>
          <w:rFonts w:cstheme="minorHAnsi"/>
          <w:i/>
          <w:iCs/>
        </w:rPr>
        <w:t xml:space="preserve"> przeciwko Niemcom</w:t>
      </w:r>
      <w:r w:rsidR="00D968F7" w:rsidRPr="008065CD">
        <w:rPr>
          <w:rFonts w:cstheme="minorHAnsi"/>
        </w:rPr>
        <w:t xml:space="preserve">, 29 maja 1986 r., § 77, Seria A nr 100; </w:t>
      </w:r>
      <w:proofErr w:type="spellStart"/>
      <w:r w:rsidR="00D968F7" w:rsidRPr="008065CD">
        <w:rPr>
          <w:rFonts w:cstheme="minorHAnsi"/>
          <w:i/>
          <w:iCs/>
        </w:rPr>
        <w:t>Pammel</w:t>
      </w:r>
      <w:proofErr w:type="spellEnd"/>
      <w:r w:rsidR="00D968F7" w:rsidRPr="008065CD">
        <w:rPr>
          <w:rFonts w:cstheme="minorHAnsi"/>
          <w:i/>
          <w:iCs/>
        </w:rPr>
        <w:t xml:space="preserve"> przeciwko</w:t>
      </w:r>
      <w:r w:rsidRPr="008065CD">
        <w:rPr>
          <w:rFonts w:cstheme="minorHAnsi"/>
          <w:i/>
          <w:iCs/>
        </w:rPr>
        <w:t xml:space="preserve"> </w:t>
      </w:r>
      <w:r w:rsidR="00D968F7" w:rsidRPr="008065CD">
        <w:rPr>
          <w:rFonts w:cstheme="minorHAnsi"/>
          <w:i/>
          <w:iCs/>
        </w:rPr>
        <w:t>Niemcom</w:t>
      </w:r>
      <w:r w:rsidR="00D968F7" w:rsidRPr="008065CD">
        <w:rPr>
          <w:rFonts w:cstheme="minorHAnsi"/>
        </w:rPr>
        <w:t xml:space="preserve">, 1 lipca 1997 r., §§ 51-57, </w:t>
      </w:r>
      <w:r w:rsidR="00D968F7" w:rsidRPr="008065CD">
        <w:rPr>
          <w:rFonts w:cstheme="minorHAnsi"/>
          <w:i/>
          <w:iCs/>
        </w:rPr>
        <w:t xml:space="preserve">Zbiór wyroków i decyzji </w:t>
      </w:r>
      <w:r w:rsidR="00D968F7" w:rsidRPr="008065CD">
        <w:rPr>
          <w:rFonts w:cstheme="minorHAnsi"/>
        </w:rPr>
        <w:t xml:space="preserve">1997-IV; oraz </w:t>
      </w:r>
      <w:proofErr w:type="spellStart"/>
      <w:r w:rsidR="00D968F7" w:rsidRPr="008065CD">
        <w:rPr>
          <w:rFonts w:cstheme="minorHAnsi"/>
          <w:i/>
          <w:iCs/>
        </w:rPr>
        <w:t>Süßmann</w:t>
      </w:r>
      <w:proofErr w:type="spellEnd"/>
      <w:r w:rsidR="00D968F7" w:rsidRPr="008065CD">
        <w:rPr>
          <w:rFonts w:cstheme="minorHAnsi"/>
          <w:i/>
          <w:iCs/>
        </w:rPr>
        <w:t xml:space="preserve"> przeciwko Niem</w:t>
      </w:r>
      <w:r w:rsidR="00D968F7" w:rsidRPr="008065CD">
        <w:rPr>
          <w:rFonts w:cstheme="minorHAnsi"/>
        </w:rPr>
        <w:t>com, 16 września 1996 r</w:t>
      </w:r>
      <w:r w:rsidR="00D968F7" w:rsidRPr="008065CD">
        <w:rPr>
          <w:rFonts w:cstheme="minorHAnsi"/>
          <w:sz w:val="22"/>
          <w:szCs w:val="22"/>
        </w:rPr>
        <w:t>.</w:t>
      </w:r>
      <w:r w:rsidR="00D968F7" w:rsidRPr="008065CD">
        <w:rPr>
          <w:rFonts w:cstheme="minorHAnsi"/>
        </w:rPr>
        <w:t xml:space="preserve">, § 39, </w:t>
      </w:r>
      <w:r w:rsidR="00D968F7" w:rsidRPr="008065CD">
        <w:rPr>
          <w:rFonts w:cstheme="minorHAnsi"/>
          <w:i/>
          <w:iCs/>
        </w:rPr>
        <w:t>Zbiór</w:t>
      </w:r>
      <w:r w:rsidR="00D968F7" w:rsidRPr="008065CD">
        <w:rPr>
          <w:rFonts w:cstheme="minorHAnsi"/>
        </w:rPr>
        <w:t xml:space="preserve"> 1996</w:t>
      </w:r>
      <w:r w:rsidR="00D968F7" w:rsidRPr="008065CD">
        <w:rPr>
          <w:rFonts w:cstheme="minorHAnsi"/>
        </w:rPr>
        <w:noBreakHyphen/>
        <w:t>IV). Trybunał zauważa, że postępowanie przed Trybunałem Konstytucyjnym toczy się od 27 lutego 2018 r., czyli od ponad czterech lat, i</w:t>
      </w:r>
      <w:r w:rsidR="00AF7E7E">
        <w:rPr>
          <w:rFonts w:cstheme="minorHAnsi"/>
        </w:rPr>
        <w:t> </w:t>
      </w:r>
      <w:r w:rsidR="00D968F7" w:rsidRPr="008065CD">
        <w:rPr>
          <w:rFonts w:cstheme="minorHAnsi"/>
        </w:rPr>
        <w:t xml:space="preserve">że nie został wydany wyrok. Jak stwierdziła Helsińska Fundacja Praw Człowieka (zob. paragraf </w:t>
      </w:r>
      <w:r w:rsidRPr="008065CD">
        <w:rPr>
          <w:rFonts w:cstheme="minorHAnsi"/>
          <w:noProof/>
        </w:rPr>
        <w:t>37</w:t>
      </w:r>
      <w:r w:rsidR="00D968F7" w:rsidRPr="008065CD">
        <w:rPr>
          <w:rFonts w:cstheme="minorHAnsi"/>
        </w:rPr>
        <w:t xml:space="preserve"> powyżej), spośród prawie 26</w:t>
      </w:r>
      <w:r w:rsidR="003636AF" w:rsidRPr="008065CD">
        <w:rPr>
          <w:rFonts w:cstheme="minorHAnsi"/>
        </w:rPr>
        <w:t> </w:t>
      </w:r>
      <w:r w:rsidR="00D968F7" w:rsidRPr="008065CD">
        <w:rPr>
          <w:rFonts w:cstheme="minorHAnsi"/>
        </w:rPr>
        <w:t>000 odwołań złożonych od decyzji obniżających emerytury, tylko około 2100 odwołań zostało rozpoznanych i</w:t>
      </w:r>
      <w:r w:rsidR="00CA63AB" w:rsidRPr="008065CD">
        <w:rPr>
          <w:rFonts w:cstheme="minorHAnsi"/>
        </w:rPr>
        <w:t> </w:t>
      </w:r>
      <w:r w:rsidR="00D968F7" w:rsidRPr="008065CD">
        <w:rPr>
          <w:rFonts w:cstheme="minorHAnsi"/>
        </w:rPr>
        <w:t>rozstrzygniętych przez różne sądy okręgowe w</w:t>
      </w:r>
      <w:r w:rsidR="00AF7E7E">
        <w:rPr>
          <w:rFonts w:cstheme="minorHAnsi"/>
        </w:rPr>
        <w:t> </w:t>
      </w:r>
      <w:r w:rsidR="00D968F7" w:rsidRPr="008065CD">
        <w:rPr>
          <w:rFonts w:cstheme="minorHAnsi"/>
        </w:rPr>
        <w:t>Polsce. Wynika z tego, że pozostałe odwołania nadal czekają na</w:t>
      </w:r>
      <w:r w:rsidR="00AF7E7E">
        <w:rPr>
          <w:rFonts w:cstheme="minorHAnsi"/>
        </w:rPr>
        <w:t> </w:t>
      </w:r>
      <w:r w:rsidR="00D968F7" w:rsidRPr="008065CD">
        <w:rPr>
          <w:rFonts w:cstheme="minorHAnsi"/>
        </w:rPr>
        <w:t xml:space="preserve">rozpoznanie sprawy przez Trybunał Konstytucyjny i tylko w niektórych sytuacjach sądy zdecydowały się na </w:t>
      </w:r>
      <w:r w:rsidR="001A6A2C">
        <w:rPr>
          <w:rFonts w:cstheme="minorHAnsi"/>
        </w:rPr>
        <w:t xml:space="preserve">podjęcie </w:t>
      </w:r>
      <w:r w:rsidR="00D968F7" w:rsidRPr="008065CD">
        <w:rPr>
          <w:rFonts w:cstheme="minorHAnsi"/>
        </w:rPr>
        <w:t xml:space="preserve">postępowania bez oczekiwania na wydanie wyroku przez ten </w:t>
      </w:r>
      <w:r w:rsidR="00E67AC6" w:rsidRPr="008065CD">
        <w:rPr>
          <w:rFonts w:cstheme="minorHAnsi"/>
        </w:rPr>
        <w:t>T</w:t>
      </w:r>
      <w:r w:rsidR="00D968F7" w:rsidRPr="008065CD">
        <w:rPr>
          <w:rFonts w:cstheme="minorHAnsi"/>
        </w:rPr>
        <w:t>rybunał.</w:t>
      </w:r>
    </w:p>
    <w:p w14:paraId="043AC7ED" w14:textId="190CB384" w:rsidR="00D968F7" w:rsidRPr="008065CD" w:rsidRDefault="003A445E" w:rsidP="00197933">
      <w:pPr>
        <w:pStyle w:val="JuPara"/>
        <w:rPr>
          <w:rFonts w:eastAsia="Times New Roman" w:cstheme="minorHAnsi"/>
          <w:color w:val="000000"/>
        </w:rPr>
      </w:pPr>
      <w:bookmarkStart w:id="21" w:name="at_stake_for_app"/>
      <w:r w:rsidRPr="008065CD">
        <w:rPr>
          <w:rFonts w:eastAsia="Times New Roman" w:cstheme="minorHAnsi"/>
          <w:noProof/>
          <w:color w:val="000000"/>
        </w:rPr>
        <w:t>48</w:t>
      </w:r>
      <w:bookmarkEnd w:id="21"/>
      <w:r w:rsidR="00D968F7" w:rsidRPr="008065CD">
        <w:rPr>
          <w:rFonts w:cstheme="minorHAnsi"/>
          <w:color w:val="000000"/>
        </w:rPr>
        <w:t>.</w:t>
      </w:r>
      <w:r w:rsidR="008A6748">
        <w:rPr>
          <w:rFonts w:cstheme="minorHAnsi"/>
          <w:color w:val="000000"/>
        </w:rPr>
        <w:t xml:space="preserve"> </w:t>
      </w:r>
      <w:r w:rsidR="00D968F7" w:rsidRPr="008065CD">
        <w:rPr>
          <w:rFonts w:cstheme="minorHAnsi"/>
          <w:color w:val="000000"/>
        </w:rPr>
        <w:t>Trybunał zauważa ponadto, że przedmiotowe postępowanie dotyczyło środków utrzymania skarżącego. Przez cały czas trwania postępowania skarżący otrzymywał świadczenia w obniżonej wysokości. W</w:t>
      </w:r>
      <w:r w:rsidR="00EB7AD2" w:rsidRPr="008065CD">
        <w:rPr>
          <w:rFonts w:cstheme="minorHAnsi"/>
          <w:color w:val="000000"/>
        </w:rPr>
        <w:t> </w:t>
      </w:r>
      <w:r w:rsidR="00D968F7" w:rsidRPr="008065CD">
        <w:rPr>
          <w:rFonts w:cstheme="minorHAnsi"/>
          <w:color w:val="000000"/>
        </w:rPr>
        <w:t xml:space="preserve">tym kontekście Trybunał powtarza, że spory emerytalne należą do szczególnej kategorii spraw, które wymagają szczególnej staranności w ich rozpatrywaniu przez władze krajowe (zob. </w:t>
      </w:r>
      <w:proofErr w:type="spellStart"/>
      <w:r w:rsidR="00D968F7" w:rsidRPr="008065CD">
        <w:rPr>
          <w:rFonts w:cstheme="minorHAnsi"/>
          <w:i/>
        </w:rPr>
        <w:t>Borgese</w:t>
      </w:r>
      <w:proofErr w:type="spellEnd"/>
      <w:r w:rsidR="00D968F7" w:rsidRPr="008065CD">
        <w:rPr>
          <w:rFonts w:cstheme="minorHAnsi"/>
          <w:i/>
        </w:rPr>
        <w:t xml:space="preserve"> przeciwko Włochom</w:t>
      </w:r>
      <w:r w:rsidR="00D968F7" w:rsidRPr="008065CD">
        <w:rPr>
          <w:rFonts w:cstheme="minorHAnsi"/>
        </w:rPr>
        <w:t>, 26</w:t>
      </w:r>
      <w:r w:rsidR="00715E6E" w:rsidRPr="008065CD">
        <w:rPr>
          <w:rFonts w:cstheme="minorHAnsi"/>
        </w:rPr>
        <w:t> </w:t>
      </w:r>
      <w:r w:rsidR="00D968F7" w:rsidRPr="008065CD">
        <w:rPr>
          <w:rFonts w:cstheme="minorHAnsi"/>
        </w:rPr>
        <w:t>lutego 1992 r., § 18, Seria A nr 228</w:t>
      </w:r>
      <w:r w:rsidR="00D968F7" w:rsidRPr="008065CD">
        <w:rPr>
          <w:rFonts w:cstheme="minorHAnsi"/>
        </w:rPr>
        <w:noBreakHyphen/>
        <w:t>B</w:t>
      </w:r>
      <w:r w:rsidR="00D968F7" w:rsidRPr="008065CD">
        <w:rPr>
          <w:rFonts w:cstheme="minorHAnsi"/>
          <w:color w:val="000000"/>
        </w:rPr>
        <w:t>)</w:t>
      </w:r>
      <w:r w:rsidR="00D968F7" w:rsidRPr="008065CD">
        <w:rPr>
          <w:rFonts w:cstheme="minorHAnsi"/>
        </w:rPr>
        <w:t>.</w:t>
      </w:r>
    </w:p>
    <w:p w14:paraId="5E147FE0" w14:textId="0210A9DB" w:rsidR="00D968F7" w:rsidRPr="008065CD" w:rsidRDefault="003A445E" w:rsidP="00197933">
      <w:pPr>
        <w:pStyle w:val="JuPara"/>
        <w:rPr>
          <w:rFonts w:cstheme="minorHAnsi"/>
        </w:rPr>
      </w:pPr>
      <w:bookmarkStart w:id="22" w:name="violation_6_length"/>
      <w:r w:rsidRPr="008065CD">
        <w:rPr>
          <w:rFonts w:cstheme="minorHAnsi"/>
          <w:noProof/>
        </w:rPr>
        <w:t>49</w:t>
      </w:r>
      <w:bookmarkEnd w:id="22"/>
      <w:r w:rsidR="00D968F7" w:rsidRPr="008065CD">
        <w:rPr>
          <w:rFonts w:cstheme="minorHAnsi"/>
        </w:rPr>
        <w:t>.</w:t>
      </w:r>
      <w:r w:rsidR="008A6748">
        <w:rPr>
          <w:rFonts w:cstheme="minorHAnsi"/>
        </w:rPr>
        <w:t xml:space="preserve"> </w:t>
      </w:r>
      <w:r w:rsidR="00D968F7" w:rsidRPr="008065CD">
        <w:rPr>
          <w:rFonts w:cstheme="minorHAnsi"/>
        </w:rPr>
        <w:t>Biorąc pod uwagę całokształt powyższych okoliczności, Trybunał nie</w:t>
      </w:r>
      <w:r w:rsidR="00AF7E7E">
        <w:rPr>
          <w:rFonts w:cstheme="minorHAnsi"/>
        </w:rPr>
        <w:t> </w:t>
      </w:r>
      <w:r w:rsidR="00D968F7" w:rsidRPr="008065CD">
        <w:rPr>
          <w:rFonts w:cstheme="minorHAnsi"/>
        </w:rPr>
        <w:t>znajduje wystarczającego uzasadnienia dla opóźnienia w rozpoznaniu sprawy skarżącego.</w:t>
      </w:r>
    </w:p>
    <w:p w14:paraId="537A97BB" w14:textId="77777777" w:rsidR="00D968F7" w:rsidRPr="008065CD" w:rsidRDefault="00D968F7" w:rsidP="00197933">
      <w:pPr>
        <w:pStyle w:val="JuPara"/>
        <w:rPr>
          <w:rFonts w:eastAsia="Times New Roman" w:cstheme="minorHAnsi"/>
          <w:color w:val="000000"/>
        </w:rPr>
      </w:pPr>
      <w:r w:rsidRPr="008065CD">
        <w:rPr>
          <w:rFonts w:cstheme="minorHAnsi"/>
        </w:rPr>
        <w:t>W związku z powyższym doszło do naruszenia art. 6 ust. 1 Konwencji.</w:t>
      </w:r>
    </w:p>
    <w:p w14:paraId="211BB53B" w14:textId="77777777"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lastRenderedPageBreak/>
        <w:t>ZARZUCANE NARUSZENIE ART. 13 KONWENCJI</w:t>
      </w:r>
    </w:p>
    <w:p w14:paraId="3F04592C" w14:textId="3FC1C659" w:rsidR="00D968F7" w:rsidRPr="008065CD" w:rsidRDefault="003A445E" w:rsidP="00197933">
      <w:pPr>
        <w:pStyle w:val="JuPara"/>
        <w:rPr>
          <w:rFonts w:cstheme="minorHAnsi"/>
        </w:rPr>
      </w:pPr>
      <w:r w:rsidRPr="008065CD">
        <w:rPr>
          <w:rFonts w:cstheme="minorHAnsi"/>
          <w:noProof/>
        </w:rPr>
        <w:t>50</w:t>
      </w:r>
      <w:r w:rsidR="00D968F7" w:rsidRPr="008065CD">
        <w:rPr>
          <w:rFonts w:cstheme="minorHAnsi"/>
        </w:rPr>
        <w:t>.</w:t>
      </w:r>
      <w:r w:rsidR="008A6748">
        <w:rPr>
          <w:rFonts w:cstheme="minorHAnsi"/>
        </w:rPr>
        <w:t xml:space="preserve"> </w:t>
      </w:r>
      <w:r w:rsidR="00D968F7" w:rsidRPr="008065CD">
        <w:rPr>
          <w:rFonts w:cstheme="minorHAnsi"/>
        </w:rPr>
        <w:t>Skarżący zarzucił, że nie dysponował skutecznym środkiem odwoławczym przewidzianym w art. 13 Konwencji, który brzmi następująco:</w:t>
      </w:r>
    </w:p>
    <w:p w14:paraId="24DDC46D" w14:textId="2FAA486A" w:rsidR="00D968F7" w:rsidRPr="008065CD" w:rsidRDefault="00D968F7" w:rsidP="00197933">
      <w:pPr>
        <w:pStyle w:val="JuQuot"/>
        <w:rPr>
          <w:rFonts w:cstheme="minorHAnsi"/>
        </w:rPr>
      </w:pPr>
      <w:r w:rsidRPr="008065CD">
        <w:rPr>
          <w:rFonts w:cstheme="minorHAnsi"/>
        </w:rPr>
        <w:t>„</w:t>
      </w:r>
      <w:r w:rsidR="00336217" w:rsidRPr="008065CD">
        <w:rPr>
          <w:rFonts w:cstheme="minorHAnsi"/>
        </w:rPr>
        <w:t>Każdy, czyje prawa i wolności zawarte w niniejszej konwencji zostały naruszone, ma prawo do skutecznego środka odwoławczego do właściwego organu państwowego także wówczas, gdy naruszenia dokonały osoby wykonujące swoje funkcje urzędowe</w:t>
      </w:r>
      <w:r w:rsidRPr="008065CD">
        <w:rPr>
          <w:rFonts w:cstheme="minorHAnsi"/>
        </w:rPr>
        <w:t>”.</w:t>
      </w:r>
    </w:p>
    <w:p w14:paraId="6AC56276" w14:textId="1424BDD1" w:rsidR="00D968F7" w:rsidRPr="008065CD" w:rsidRDefault="003A445E" w:rsidP="00197933">
      <w:pPr>
        <w:pStyle w:val="JuPara"/>
        <w:rPr>
          <w:rFonts w:cstheme="minorHAnsi"/>
        </w:rPr>
      </w:pPr>
      <w:r w:rsidRPr="008065CD">
        <w:rPr>
          <w:rFonts w:cstheme="minorHAnsi"/>
          <w:noProof/>
        </w:rPr>
        <w:t>51</w:t>
      </w:r>
      <w:r w:rsidR="00027305" w:rsidRPr="008065CD">
        <w:rPr>
          <w:rFonts w:cstheme="minorHAnsi"/>
        </w:rPr>
        <w:t>.</w:t>
      </w:r>
      <w:r w:rsidR="008A6748">
        <w:rPr>
          <w:rFonts w:cstheme="minorHAnsi"/>
        </w:rPr>
        <w:t xml:space="preserve"> </w:t>
      </w:r>
      <w:r w:rsidR="00027305" w:rsidRPr="008065CD">
        <w:rPr>
          <w:rFonts w:cstheme="minorHAnsi"/>
        </w:rPr>
        <w:t>Rząd stwierdził, że w niniejszej sprawie nie doszło do naruszenia art. 13 Konwencji.</w:t>
      </w:r>
    </w:p>
    <w:p w14:paraId="315F330B" w14:textId="77777777" w:rsidR="00D968F7" w:rsidRPr="008065CD" w:rsidRDefault="00D968F7" w:rsidP="00197933">
      <w:pPr>
        <w:pStyle w:val="JuHA"/>
        <w:rPr>
          <w:rFonts w:asciiTheme="minorHAnsi" w:hAnsiTheme="minorHAnsi" w:cstheme="minorHAnsi"/>
        </w:rPr>
      </w:pPr>
      <w:r w:rsidRPr="008065CD">
        <w:rPr>
          <w:rFonts w:asciiTheme="minorHAnsi" w:hAnsiTheme="minorHAnsi" w:cstheme="minorHAnsi"/>
        </w:rPr>
        <w:t>Dopuszczalność</w:t>
      </w:r>
    </w:p>
    <w:p w14:paraId="2C35EF4F" w14:textId="234F0EC9" w:rsidR="00D968F7" w:rsidRPr="008065CD" w:rsidRDefault="003A445E" w:rsidP="00197933">
      <w:pPr>
        <w:pStyle w:val="JuPara"/>
        <w:rPr>
          <w:rFonts w:cstheme="minorHAnsi"/>
        </w:rPr>
      </w:pPr>
      <w:r w:rsidRPr="008065CD">
        <w:rPr>
          <w:rFonts w:cstheme="minorHAnsi"/>
          <w:noProof/>
        </w:rPr>
        <w:t>52</w:t>
      </w:r>
      <w:r w:rsidR="00027305" w:rsidRPr="008065CD">
        <w:rPr>
          <w:rFonts w:cstheme="minorHAnsi"/>
        </w:rPr>
        <w:t>.</w:t>
      </w:r>
      <w:r w:rsidR="008A6748">
        <w:rPr>
          <w:rFonts w:cstheme="minorHAnsi"/>
        </w:rPr>
        <w:t xml:space="preserve"> </w:t>
      </w:r>
      <w:r w:rsidR="00027305" w:rsidRPr="008065CD">
        <w:rPr>
          <w:rFonts w:cstheme="minorHAnsi"/>
        </w:rPr>
        <w:t>Trybunał zauważa, że niniejsza skarga nie jest w sposób oczywisty nieuzasadniona ani niedopuszczalna z jakichkolwiek innych powodów wymienionych w art. 35 Konwencji. Tym samym należ</w:t>
      </w:r>
      <w:r w:rsidR="00157CF5">
        <w:rPr>
          <w:rFonts w:cstheme="minorHAnsi"/>
        </w:rPr>
        <w:t>y</w:t>
      </w:r>
      <w:r w:rsidR="00027305" w:rsidRPr="008065CD">
        <w:rPr>
          <w:rFonts w:cstheme="minorHAnsi"/>
        </w:rPr>
        <w:t xml:space="preserve"> uznać ją za</w:t>
      </w:r>
      <w:r w:rsidR="00AF7E7E">
        <w:rPr>
          <w:rFonts w:cstheme="minorHAnsi"/>
        </w:rPr>
        <w:t> </w:t>
      </w:r>
      <w:r w:rsidR="00027305" w:rsidRPr="008065CD">
        <w:rPr>
          <w:rFonts w:cstheme="minorHAnsi"/>
        </w:rPr>
        <w:t>dopuszczalną.</w:t>
      </w:r>
    </w:p>
    <w:p w14:paraId="2C2A7A06" w14:textId="77777777" w:rsidR="00D968F7" w:rsidRPr="008065CD" w:rsidRDefault="00D968F7" w:rsidP="00197933">
      <w:pPr>
        <w:pStyle w:val="JuHA"/>
        <w:rPr>
          <w:rFonts w:asciiTheme="minorHAnsi" w:hAnsiTheme="minorHAnsi" w:cstheme="minorHAnsi"/>
        </w:rPr>
      </w:pPr>
      <w:r w:rsidRPr="008065CD">
        <w:rPr>
          <w:rFonts w:asciiTheme="minorHAnsi" w:hAnsiTheme="minorHAnsi" w:cstheme="minorHAnsi"/>
        </w:rPr>
        <w:t>Przedmiot skargi</w:t>
      </w:r>
    </w:p>
    <w:p w14:paraId="7498073A" w14:textId="49C60F6E" w:rsidR="00D968F7" w:rsidRPr="008065CD" w:rsidRDefault="00D968F7" w:rsidP="00197933">
      <w:pPr>
        <w:pStyle w:val="JuH1"/>
        <w:numPr>
          <w:ilvl w:val="3"/>
          <w:numId w:val="24"/>
        </w:numPr>
        <w:rPr>
          <w:rFonts w:asciiTheme="minorHAnsi" w:hAnsiTheme="minorHAnsi" w:cstheme="minorHAnsi"/>
        </w:rPr>
      </w:pPr>
      <w:r w:rsidRPr="008065CD">
        <w:rPr>
          <w:rFonts w:asciiTheme="minorHAnsi" w:hAnsiTheme="minorHAnsi" w:cstheme="minorHAnsi"/>
        </w:rPr>
        <w:t>Stanowiska stron</w:t>
      </w:r>
    </w:p>
    <w:p w14:paraId="075A2E1D" w14:textId="6F69ACED" w:rsidR="00D968F7" w:rsidRPr="008065CD" w:rsidRDefault="003A445E" w:rsidP="00197933">
      <w:pPr>
        <w:pStyle w:val="JuPara"/>
        <w:rPr>
          <w:rFonts w:cstheme="minorHAnsi"/>
        </w:rPr>
      </w:pPr>
      <w:r w:rsidRPr="008065CD">
        <w:rPr>
          <w:rFonts w:cstheme="minorHAnsi"/>
          <w:noProof/>
        </w:rPr>
        <w:t>53</w:t>
      </w:r>
      <w:r w:rsidR="00027305" w:rsidRPr="008065CD">
        <w:rPr>
          <w:rFonts w:cstheme="minorHAnsi"/>
        </w:rPr>
        <w:t>.</w:t>
      </w:r>
      <w:r w:rsidR="008A6748">
        <w:rPr>
          <w:rFonts w:cstheme="minorHAnsi"/>
        </w:rPr>
        <w:t xml:space="preserve"> </w:t>
      </w:r>
      <w:r w:rsidR="00027305" w:rsidRPr="008065CD">
        <w:rPr>
          <w:rFonts w:cstheme="minorHAnsi"/>
        </w:rPr>
        <w:t>Skarżący podniósł, że jak wynika z okoliczności sprawy, skargi na</w:t>
      </w:r>
      <w:r w:rsidR="00AF7E7E">
        <w:rPr>
          <w:rFonts w:cstheme="minorHAnsi"/>
        </w:rPr>
        <w:t> </w:t>
      </w:r>
      <w:r w:rsidR="00027305" w:rsidRPr="008065CD">
        <w:rPr>
          <w:rFonts w:cstheme="minorHAnsi"/>
        </w:rPr>
        <w:t xml:space="preserve">podstawie </w:t>
      </w:r>
      <w:r w:rsidR="008065CD" w:rsidRPr="008065CD">
        <w:rPr>
          <w:rFonts w:cstheme="minorHAnsi"/>
        </w:rPr>
        <w:t xml:space="preserve">ustawy </w:t>
      </w:r>
      <w:r w:rsidR="00027305" w:rsidRPr="008065CD">
        <w:rPr>
          <w:rFonts w:cstheme="minorHAnsi"/>
        </w:rPr>
        <w:t>z 2004 r. nie można uznać za „skuteczny środek odwoławczy” w rozumieniu art. 13, ponieważ nie zapewniła mu</w:t>
      </w:r>
      <w:r w:rsidR="00AF7E7E">
        <w:rPr>
          <w:rFonts w:cstheme="minorHAnsi"/>
        </w:rPr>
        <w:t> </w:t>
      </w:r>
      <w:r w:rsidR="00027305" w:rsidRPr="008065CD">
        <w:rPr>
          <w:rFonts w:cstheme="minorHAnsi"/>
        </w:rPr>
        <w:t xml:space="preserve">wymaganego zadośćuczynienia za naruszenie prawa do rozpatrzenia jego sprawy w rozsądnym terminie. Sąd rozpatrujący jego skargę na przewlekłość postępowania odmówił uznania nadmiernej długości postępowania, </w:t>
      </w:r>
      <w:r w:rsidR="00157CF5">
        <w:rPr>
          <w:rFonts w:cstheme="minorHAnsi"/>
        </w:rPr>
        <w:t>stwierdzając</w:t>
      </w:r>
      <w:r w:rsidR="00027305" w:rsidRPr="008065CD">
        <w:rPr>
          <w:rFonts w:cstheme="minorHAnsi"/>
        </w:rPr>
        <w:t>, że jego długość wynikała z konieczności zawieszenia postępowania z</w:t>
      </w:r>
      <w:r w:rsidR="004D6265" w:rsidRPr="008065CD">
        <w:rPr>
          <w:rFonts w:cstheme="minorHAnsi"/>
        </w:rPr>
        <w:t> </w:t>
      </w:r>
      <w:r w:rsidR="00027305" w:rsidRPr="008065CD">
        <w:rPr>
          <w:rFonts w:cstheme="minorHAnsi"/>
        </w:rPr>
        <w:t>powodu toczącego się postępowania przed Trybunałem Konstytucyjnym, a</w:t>
      </w:r>
      <w:r w:rsidR="004D6265" w:rsidRPr="008065CD">
        <w:rPr>
          <w:rFonts w:cstheme="minorHAnsi"/>
        </w:rPr>
        <w:t> </w:t>
      </w:r>
      <w:r w:rsidR="00027305" w:rsidRPr="008065CD">
        <w:rPr>
          <w:rFonts w:cstheme="minorHAnsi"/>
        </w:rPr>
        <w:t>nie z postępowania Sądu Okręgowego, który zajmował się przedmiotem sprawy skarżącego.</w:t>
      </w:r>
    </w:p>
    <w:p w14:paraId="29A7D3B2" w14:textId="77777777" w:rsidR="00D968F7" w:rsidRPr="008065CD" w:rsidRDefault="00D968F7" w:rsidP="00197933">
      <w:pPr>
        <w:pStyle w:val="JuPara"/>
        <w:rPr>
          <w:rFonts w:cstheme="minorHAnsi"/>
        </w:rPr>
      </w:pPr>
      <w:r w:rsidRPr="008065CD">
        <w:rPr>
          <w:rFonts w:cstheme="minorHAnsi"/>
        </w:rPr>
        <w:t>Skarżący zwrócił się do Trybunału o stwierdzenie naruszenia art. 13 Konwencji.</w:t>
      </w:r>
    </w:p>
    <w:p w14:paraId="2671203E" w14:textId="4F05C8AA" w:rsidR="00D968F7" w:rsidRPr="008065CD" w:rsidRDefault="003A445E" w:rsidP="00197933">
      <w:pPr>
        <w:pStyle w:val="JuPara"/>
        <w:rPr>
          <w:rFonts w:cstheme="minorHAnsi"/>
        </w:rPr>
      </w:pPr>
      <w:r w:rsidRPr="008065CD">
        <w:rPr>
          <w:rFonts w:cstheme="minorHAnsi"/>
          <w:noProof/>
        </w:rPr>
        <w:t>54</w:t>
      </w:r>
      <w:r w:rsidR="00027305" w:rsidRPr="008065CD">
        <w:rPr>
          <w:rFonts w:cstheme="minorHAnsi"/>
        </w:rPr>
        <w:t>.</w:t>
      </w:r>
      <w:r w:rsidR="008A6748">
        <w:rPr>
          <w:rFonts w:cstheme="minorHAnsi"/>
        </w:rPr>
        <w:t xml:space="preserve"> </w:t>
      </w:r>
      <w:r w:rsidR="00027305" w:rsidRPr="008065CD">
        <w:rPr>
          <w:rFonts w:cstheme="minorHAnsi"/>
        </w:rPr>
        <w:t xml:space="preserve">Rząd nie odniósł się do </w:t>
      </w:r>
      <w:r w:rsidR="008065CD" w:rsidRPr="008065CD">
        <w:rPr>
          <w:rFonts w:cstheme="minorHAnsi"/>
        </w:rPr>
        <w:t xml:space="preserve">ustawy </w:t>
      </w:r>
      <w:r w:rsidR="00027305" w:rsidRPr="008065CD">
        <w:rPr>
          <w:rFonts w:cstheme="minorHAnsi"/>
        </w:rPr>
        <w:t>z 2004 r. i jej skuteczności w</w:t>
      </w:r>
      <w:r w:rsidR="0084181D" w:rsidRPr="008065CD">
        <w:rPr>
          <w:rFonts w:cstheme="minorHAnsi"/>
        </w:rPr>
        <w:t> </w:t>
      </w:r>
      <w:r w:rsidR="00027305" w:rsidRPr="008065CD">
        <w:rPr>
          <w:rFonts w:cstheme="minorHAnsi"/>
        </w:rPr>
        <w:t>niniejszej sprawie. Skupił się raczej na tym, że sądy miały swobodę w</w:t>
      </w:r>
      <w:r w:rsidR="0084181D" w:rsidRPr="008065CD">
        <w:rPr>
          <w:rFonts w:cstheme="minorHAnsi"/>
        </w:rPr>
        <w:t> </w:t>
      </w:r>
      <w:r w:rsidR="00027305" w:rsidRPr="008065CD">
        <w:rPr>
          <w:rFonts w:cstheme="minorHAnsi"/>
        </w:rPr>
        <w:t>kierowaniu pytań prawnych do Trybunału Konstytucyjnego i że w takim przypadku sądy krajowe mogły z własnej inicjatywy zawiesić postępowanie, jeśli wynik sprawy zależał od toczącego się postępowania przed Trybunałem Konstytucyjnym. Jednocześnie odniósł się do niektórych spraw, w których sądy krajowe wydały wyroki co do istoty, nie czekając na rozstrzygnięcie Trybunału Konstytucyjnego. Zauważył również, że chociaż sprawa skarżącego rzeczywiście została na jakiś czas zawieszona, nie miało to</w:t>
      </w:r>
      <w:r w:rsidR="00AF7E7E">
        <w:rPr>
          <w:rFonts w:cstheme="minorHAnsi"/>
        </w:rPr>
        <w:t> </w:t>
      </w:r>
      <w:r w:rsidR="00027305" w:rsidRPr="008065CD">
        <w:rPr>
          <w:rFonts w:cstheme="minorHAnsi"/>
        </w:rPr>
        <w:t xml:space="preserve">wpływu na prawo skarżącego wynikające z art. 13 Konwencji. Miał </w:t>
      </w:r>
      <w:r w:rsidR="00027305" w:rsidRPr="008065CD">
        <w:rPr>
          <w:rFonts w:cstheme="minorHAnsi"/>
        </w:rPr>
        <w:lastRenderedPageBreak/>
        <w:t>on</w:t>
      </w:r>
      <w:r w:rsidR="00AF7E7E">
        <w:rPr>
          <w:rFonts w:cstheme="minorHAnsi"/>
        </w:rPr>
        <w:t> </w:t>
      </w:r>
      <w:r w:rsidR="00027305" w:rsidRPr="008065CD">
        <w:rPr>
          <w:rFonts w:cstheme="minorHAnsi"/>
        </w:rPr>
        <w:t xml:space="preserve">możliwość zaskarżenia postanowienia o zawieszeniu postępowania i był uprawniony do żądania </w:t>
      </w:r>
      <w:r w:rsidR="003C38BD">
        <w:rPr>
          <w:rFonts w:cstheme="minorHAnsi"/>
        </w:rPr>
        <w:t xml:space="preserve">podjęcia </w:t>
      </w:r>
      <w:r w:rsidR="00027305" w:rsidRPr="008065CD">
        <w:rPr>
          <w:rFonts w:cstheme="minorHAnsi"/>
        </w:rPr>
        <w:t>postępowania w każdym czasie.</w:t>
      </w:r>
    </w:p>
    <w:p w14:paraId="5CEEB66D" w14:textId="2BEFFB4C" w:rsidR="00D968F7" w:rsidRPr="008065CD" w:rsidRDefault="00D968F7" w:rsidP="00197933">
      <w:pPr>
        <w:pStyle w:val="JuPara"/>
        <w:rPr>
          <w:rFonts w:cstheme="minorHAnsi"/>
        </w:rPr>
      </w:pPr>
      <w:r w:rsidRPr="008065CD">
        <w:rPr>
          <w:rFonts w:cstheme="minorHAnsi"/>
        </w:rPr>
        <w:t>Podsumowując, Rząd zwrócił się do Trybunału o od</w:t>
      </w:r>
      <w:r w:rsidR="003C38BD">
        <w:rPr>
          <w:rFonts w:cstheme="minorHAnsi"/>
        </w:rPr>
        <w:t>dalenie</w:t>
      </w:r>
      <w:r w:rsidRPr="008065CD">
        <w:rPr>
          <w:rFonts w:cstheme="minorHAnsi"/>
        </w:rPr>
        <w:t xml:space="preserve"> argumentów skarżącego i stwierdzenie braku naruszenia art. 13.</w:t>
      </w:r>
    </w:p>
    <w:p w14:paraId="4CD94D83" w14:textId="3F51E6FB" w:rsidR="00D968F7" w:rsidRPr="008065CD" w:rsidRDefault="00D968F7" w:rsidP="00197933">
      <w:pPr>
        <w:pStyle w:val="JuH1"/>
        <w:rPr>
          <w:rFonts w:asciiTheme="minorHAnsi" w:hAnsiTheme="minorHAnsi" w:cstheme="minorHAnsi"/>
        </w:rPr>
      </w:pPr>
      <w:r w:rsidRPr="008065CD">
        <w:rPr>
          <w:rFonts w:asciiTheme="minorHAnsi" w:hAnsiTheme="minorHAnsi" w:cstheme="minorHAnsi"/>
        </w:rPr>
        <w:t>Interweniująca strona trzecia</w:t>
      </w:r>
    </w:p>
    <w:p w14:paraId="477F733B" w14:textId="00B13207" w:rsidR="00D968F7" w:rsidRPr="008065CD" w:rsidRDefault="003A445E" w:rsidP="00197933">
      <w:pPr>
        <w:pStyle w:val="JuPara"/>
        <w:rPr>
          <w:rFonts w:cstheme="minorHAnsi"/>
        </w:rPr>
      </w:pPr>
      <w:r w:rsidRPr="008065CD">
        <w:rPr>
          <w:rFonts w:cstheme="minorHAnsi"/>
          <w:noProof/>
        </w:rPr>
        <w:t>55</w:t>
      </w:r>
      <w:r w:rsidR="00027305" w:rsidRPr="008065CD">
        <w:rPr>
          <w:rFonts w:cstheme="minorHAnsi"/>
        </w:rPr>
        <w:t>.</w:t>
      </w:r>
      <w:r w:rsidR="008A6748">
        <w:rPr>
          <w:rFonts w:cstheme="minorHAnsi"/>
        </w:rPr>
        <w:t xml:space="preserve"> </w:t>
      </w:r>
      <w:r w:rsidR="00027305" w:rsidRPr="008065CD">
        <w:rPr>
          <w:rFonts w:cstheme="minorHAnsi"/>
        </w:rPr>
        <w:t xml:space="preserve">Fundacja podniosła, że osoby, których emerytury zostały obniżone, nie były stronami postępowania przed Trybunałem Konstytucyjnym, a skarga przewidziana w </w:t>
      </w:r>
      <w:r w:rsidR="008065CD" w:rsidRPr="008065CD">
        <w:rPr>
          <w:rFonts w:cstheme="minorHAnsi"/>
        </w:rPr>
        <w:t xml:space="preserve">ustawie </w:t>
      </w:r>
      <w:r w:rsidR="00027305" w:rsidRPr="008065CD">
        <w:rPr>
          <w:rFonts w:cstheme="minorHAnsi"/>
        </w:rPr>
        <w:t xml:space="preserve">z 2004 r. nie miała zastosowania do postępowania przed tym </w:t>
      </w:r>
      <w:r w:rsidR="00186A9A" w:rsidRPr="008065CD">
        <w:rPr>
          <w:rFonts w:cstheme="minorHAnsi"/>
        </w:rPr>
        <w:t>T</w:t>
      </w:r>
      <w:r w:rsidR="00027305" w:rsidRPr="008065CD">
        <w:rPr>
          <w:rFonts w:cstheme="minorHAnsi"/>
        </w:rPr>
        <w:t xml:space="preserve">rybunałem. Osoby zainteresowane mogły złożyć </w:t>
      </w:r>
      <w:r w:rsidR="003C38BD" w:rsidRPr="008065CD">
        <w:rPr>
          <w:rFonts w:cstheme="minorHAnsi"/>
        </w:rPr>
        <w:t>do</w:t>
      </w:r>
      <w:r w:rsidR="00AF7E7E">
        <w:rPr>
          <w:rFonts w:cstheme="minorHAnsi"/>
        </w:rPr>
        <w:t> </w:t>
      </w:r>
      <w:r w:rsidR="003C38BD" w:rsidRPr="008065CD">
        <w:rPr>
          <w:rFonts w:cstheme="minorHAnsi"/>
        </w:rPr>
        <w:t xml:space="preserve">odpowiednich sądów apelacyjnych </w:t>
      </w:r>
      <w:r w:rsidR="00027305" w:rsidRPr="008065CD">
        <w:rPr>
          <w:rFonts w:cstheme="minorHAnsi"/>
        </w:rPr>
        <w:t>skargę na nadmierną długość postępowania toczącego się przed sądami okręgowymi. Skargi te jednak rzadko były uwzględniane, biorąc pod uwagę fakt, że długość postępowania, zawieszonego z powodu innych postępowań toczących się przed Trybunałem Konstytucyjnym, nie mogła być przypisana sądom rozpoznającym sprawy co</w:t>
      </w:r>
      <w:r w:rsidR="00AF7E7E">
        <w:rPr>
          <w:rFonts w:cstheme="minorHAnsi"/>
        </w:rPr>
        <w:t> </w:t>
      </w:r>
      <w:r w:rsidR="00027305" w:rsidRPr="008065CD">
        <w:rPr>
          <w:rFonts w:cstheme="minorHAnsi"/>
        </w:rPr>
        <w:t xml:space="preserve">do istoty. W tym zakresie Fundacja powołała się na art. 179 § 3 </w:t>
      </w:r>
      <w:proofErr w:type="spellStart"/>
      <w:r w:rsidR="00027305" w:rsidRPr="008065CD">
        <w:rPr>
          <w:rFonts w:cstheme="minorHAnsi"/>
        </w:rPr>
        <w:t>kpc</w:t>
      </w:r>
      <w:proofErr w:type="spellEnd"/>
      <w:r w:rsidR="00027305" w:rsidRPr="008065CD">
        <w:rPr>
          <w:rFonts w:cstheme="minorHAnsi"/>
        </w:rPr>
        <w:t>, zgodnie z którym podczas zawieszenia [postępowania] sąd nie podejmuje żadnych czynności z wyjątkiem tych, które mają na celu podjęcie postępowania albo zabezpieczenie powództwa lub dowodu.</w:t>
      </w:r>
    </w:p>
    <w:p w14:paraId="7F7473B3" w14:textId="254C10A2" w:rsidR="00D968F7" w:rsidRPr="008065CD" w:rsidRDefault="003A445E" w:rsidP="00197933">
      <w:pPr>
        <w:pStyle w:val="JuPara"/>
        <w:rPr>
          <w:rFonts w:cstheme="minorHAnsi"/>
        </w:rPr>
      </w:pPr>
      <w:r w:rsidRPr="008065CD">
        <w:rPr>
          <w:rFonts w:cstheme="minorHAnsi"/>
          <w:noProof/>
        </w:rPr>
        <w:t>56</w:t>
      </w:r>
      <w:r w:rsidR="00D968F7" w:rsidRPr="008065CD">
        <w:rPr>
          <w:rFonts w:cstheme="minorHAnsi"/>
        </w:rPr>
        <w:t>.</w:t>
      </w:r>
      <w:r w:rsidR="008A6748">
        <w:rPr>
          <w:rFonts w:cstheme="minorHAnsi"/>
        </w:rPr>
        <w:t xml:space="preserve"> </w:t>
      </w:r>
      <w:r w:rsidR="00D968F7" w:rsidRPr="008065CD">
        <w:rPr>
          <w:rFonts w:cstheme="minorHAnsi"/>
        </w:rPr>
        <w:t>Zainteresowani mogli również składać zażalenia na postanowienia o</w:t>
      </w:r>
      <w:r w:rsidR="004416D0" w:rsidRPr="008065CD">
        <w:rPr>
          <w:rFonts w:cstheme="minorHAnsi"/>
        </w:rPr>
        <w:t> </w:t>
      </w:r>
      <w:r w:rsidR="00D968F7" w:rsidRPr="008065CD">
        <w:rPr>
          <w:rFonts w:cstheme="minorHAnsi"/>
        </w:rPr>
        <w:t>zawieszeniu postępowania. Zażalenia te rzadko jednak były uwzględniane. Przykładowo, Sąd Apelacyjny w Warszawie rozpoznał 3203 zażalenia na</w:t>
      </w:r>
      <w:r w:rsidR="00AF7E7E">
        <w:rPr>
          <w:rFonts w:cstheme="minorHAnsi"/>
        </w:rPr>
        <w:t> </w:t>
      </w:r>
      <w:r w:rsidR="00D968F7" w:rsidRPr="008065CD">
        <w:rPr>
          <w:rFonts w:cstheme="minorHAnsi"/>
        </w:rPr>
        <w:t>postanowienia o zawieszeniu postępowania, z czego uwzględniono 281 zażaleń (niecałe 9%). Fundacja wskazała jednak na jedno postanowienie Sądu Apelacyjnego w Warszawie z 20 stycznia 2020 r. w sprawie o sygn. III</w:t>
      </w:r>
      <w:r w:rsidR="00AF7E7E">
        <w:rPr>
          <w:rFonts w:cstheme="minorHAnsi"/>
        </w:rPr>
        <w:t> </w:t>
      </w:r>
      <w:proofErr w:type="spellStart"/>
      <w:r w:rsidR="00D968F7" w:rsidRPr="008065CD">
        <w:rPr>
          <w:rFonts w:cstheme="minorHAnsi"/>
        </w:rPr>
        <w:t>AUz</w:t>
      </w:r>
      <w:proofErr w:type="spellEnd"/>
      <w:r w:rsidR="00D968F7" w:rsidRPr="008065CD">
        <w:rPr>
          <w:rFonts w:cstheme="minorHAnsi"/>
        </w:rPr>
        <w:t xml:space="preserve"> 947/17, w którym sąd ten uchylił postanowienie o zawieszeniu postępowania, uznając, że „stan zawieszenia skutecznie [pozbawił] skarżącego, być może na czas nieokreślony, konstytucyjnie gwarantowanego prawa do sądu”.</w:t>
      </w:r>
    </w:p>
    <w:p w14:paraId="31878EFE" w14:textId="5C7304E3" w:rsidR="00D968F7" w:rsidRPr="008065CD" w:rsidRDefault="00D968F7" w:rsidP="00197933">
      <w:pPr>
        <w:pStyle w:val="JuH1"/>
        <w:rPr>
          <w:rFonts w:asciiTheme="minorHAnsi" w:hAnsiTheme="minorHAnsi" w:cstheme="minorHAnsi"/>
        </w:rPr>
      </w:pPr>
      <w:bookmarkStart w:id="23" w:name="_Toc423943894"/>
      <w:r w:rsidRPr="008065CD">
        <w:rPr>
          <w:rFonts w:asciiTheme="minorHAnsi" w:hAnsiTheme="minorHAnsi" w:cstheme="minorHAnsi"/>
        </w:rPr>
        <w:t>Ocena Trybunału</w:t>
      </w:r>
      <w:bookmarkEnd w:id="23"/>
    </w:p>
    <w:p w14:paraId="38856E94" w14:textId="0EB394FD" w:rsidR="00D968F7" w:rsidRPr="008065CD" w:rsidRDefault="003A445E" w:rsidP="00197933">
      <w:pPr>
        <w:pStyle w:val="JuPara"/>
        <w:rPr>
          <w:rFonts w:cstheme="minorHAnsi"/>
        </w:rPr>
      </w:pPr>
      <w:r w:rsidRPr="008065CD">
        <w:rPr>
          <w:rFonts w:cstheme="minorHAnsi"/>
          <w:noProof/>
        </w:rPr>
        <w:t>57</w:t>
      </w:r>
      <w:r w:rsidR="00027305" w:rsidRPr="008065CD">
        <w:rPr>
          <w:rFonts w:cstheme="minorHAnsi"/>
        </w:rPr>
        <w:t>.</w:t>
      </w:r>
      <w:r w:rsidR="008A6748">
        <w:rPr>
          <w:rFonts w:cstheme="minorHAnsi"/>
        </w:rPr>
        <w:t xml:space="preserve"> </w:t>
      </w:r>
      <w:r w:rsidR="00027305" w:rsidRPr="008065CD">
        <w:rPr>
          <w:rFonts w:cstheme="minorHAnsi"/>
        </w:rPr>
        <w:t>Odpowiednie zasady dotyczące skuteczności środka odwoławczego w</w:t>
      </w:r>
      <w:r w:rsidR="00AF7E7E">
        <w:rPr>
          <w:rFonts w:cstheme="minorHAnsi"/>
        </w:rPr>
        <w:t> </w:t>
      </w:r>
      <w:r w:rsidR="00027305" w:rsidRPr="008065CD">
        <w:rPr>
          <w:rFonts w:cstheme="minorHAnsi"/>
        </w:rPr>
        <w:t>kontekście nadmiernej długości postępowania zostały podsumowane w</w:t>
      </w:r>
      <w:r w:rsidR="004416D0" w:rsidRPr="008065CD">
        <w:rPr>
          <w:rFonts w:cstheme="minorHAnsi"/>
        </w:rPr>
        <w:t> </w:t>
      </w:r>
      <w:r w:rsidR="00027305" w:rsidRPr="008065CD">
        <w:rPr>
          <w:rFonts w:cstheme="minorHAnsi"/>
        </w:rPr>
        <w:t xml:space="preserve">sprawie </w:t>
      </w:r>
      <w:r w:rsidR="00027305" w:rsidRPr="008065CD">
        <w:rPr>
          <w:rFonts w:cstheme="minorHAnsi"/>
          <w:i/>
        </w:rPr>
        <w:t>Rutkowski i Inni</w:t>
      </w:r>
      <w:r w:rsidR="00027305" w:rsidRPr="008065CD">
        <w:rPr>
          <w:rFonts w:cstheme="minorHAnsi"/>
        </w:rPr>
        <w:t xml:space="preserve"> (</w:t>
      </w:r>
      <w:r w:rsidR="00027305" w:rsidRPr="008065CD">
        <w:rPr>
          <w:rFonts w:cstheme="minorHAnsi"/>
          <w:i/>
          <w:iCs/>
        </w:rPr>
        <w:t>op. cit</w:t>
      </w:r>
      <w:r w:rsidR="00027305" w:rsidRPr="008065CD">
        <w:rPr>
          <w:rFonts w:cstheme="minorHAnsi"/>
        </w:rPr>
        <w:t xml:space="preserve">., </w:t>
      </w:r>
      <w:bookmarkStart w:id="24" w:name="_Hlk97737963"/>
      <w:r w:rsidR="00027305" w:rsidRPr="008065CD">
        <w:rPr>
          <w:rFonts w:cstheme="minorHAnsi"/>
        </w:rPr>
        <w:t>§§ 172-75</w:t>
      </w:r>
      <w:bookmarkEnd w:id="24"/>
      <w:r w:rsidR="00027305" w:rsidRPr="008065CD">
        <w:rPr>
          <w:rFonts w:cstheme="minorHAnsi"/>
        </w:rPr>
        <w:t>).</w:t>
      </w:r>
    </w:p>
    <w:p w14:paraId="71F00877" w14:textId="5E598999" w:rsidR="00D968F7" w:rsidRPr="008065CD" w:rsidRDefault="003A445E" w:rsidP="00197933">
      <w:pPr>
        <w:pStyle w:val="JuPara"/>
        <w:rPr>
          <w:rFonts w:cstheme="minorHAnsi"/>
        </w:rPr>
      </w:pPr>
      <w:r w:rsidRPr="008065CD">
        <w:rPr>
          <w:rFonts w:cstheme="minorHAnsi"/>
          <w:noProof/>
        </w:rPr>
        <w:t>58</w:t>
      </w:r>
      <w:r w:rsidR="00027305" w:rsidRPr="008065CD">
        <w:rPr>
          <w:rFonts w:cstheme="minorHAnsi"/>
        </w:rPr>
        <w:t>.</w:t>
      </w:r>
      <w:r w:rsidR="008A6748">
        <w:rPr>
          <w:rFonts w:cstheme="minorHAnsi"/>
        </w:rPr>
        <w:t xml:space="preserve"> </w:t>
      </w:r>
      <w:r w:rsidR="00027305" w:rsidRPr="008065CD">
        <w:rPr>
          <w:rFonts w:cstheme="minorHAnsi"/>
        </w:rPr>
        <w:t xml:space="preserve">Trybunał już wcześniej stwierdził, że nie przestrzegano prawa skarżącego do rozpatrzenia jego sprawy w rozsądnym terminie zagwarantowanym w art. 6 ust. 1 Konwencji (zob. paragraf </w:t>
      </w:r>
      <w:r w:rsidRPr="008065CD">
        <w:rPr>
          <w:rFonts w:cstheme="minorHAnsi"/>
          <w:noProof/>
        </w:rPr>
        <w:t>49</w:t>
      </w:r>
      <w:r w:rsidR="008A6748">
        <w:rPr>
          <w:rFonts w:cstheme="minorHAnsi"/>
        </w:rPr>
        <w:t xml:space="preserve"> </w:t>
      </w:r>
      <w:r w:rsidR="00027305" w:rsidRPr="008065CD">
        <w:rPr>
          <w:rFonts w:cstheme="minorHAnsi"/>
        </w:rPr>
        <w:t>powyżej). Nie</w:t>
      </w:r>
      <w:r w:rsidR="00AF7E7E">
        <w:rPr>
          <w:rFonts w:cstheme="minorHAnsi"/>
        </w:rPr>
        <w:t> </w:t>
      </w:r>
      <w:r w:rsidR="00027305" w:rsidRPr="008065CD">
        <w:rPr>
          <w:rFonts w:cstheme="minorHAnsi"/>
        </w:rPr>
        <w:t>ma zatem wątpliwości, że jego skarga „daje się uzasadnić” w rozumieniu art.</w:t>
      </w:r>
      <w:r w:rsidR="00F550BD" w:rsidRPr="008065CD">
        <w:rPr>
          <w:rFonts w:cstheme="minorHAnsi"/>
        </w:rPr>
        <w:t> </w:t>
      </w:r>
      <w:r w:rsidR="00027305" w:rsidRPr="008065CD">
        <w:rPr>
          <w:rFonts w:cstheme="minorHAnsi"/>
        </w:rPr>
        <w:t xml:space="preserve">13 oraz że skarżącemu przysługiwał środek odwoławczy, który pozwoliłby mu uzyskać odpowiednie zadośćuczynienie z tytułu naruszenia Konwencji przed organem krajowym, w tym zadośćuczynienie za szkodę niemajątkową poniesioną wskutek opóźnień, które miały miejsce w jego sprawie (zob. </w:t>
      </w:r>
      <w:r w:rsidR="00027305" w:rsidRPr="008065CD">
        <w:rPr>
          <w:rFonts w:cstheme="minorHAnsi"/>
          <w:i/>
          <w:iCs/>
        </w:rPr>
        <w:t>Kudła</w:t>
      </w:r>
      <w:r w:rsidR="00027305" w:rsidRPr="008065CD">
        <w:rPr>
          <w:rFonts w:cstheme="minorHAnsi"/>
        </w:rPr>
        <w:t xml:space="preserve">, </w:t>
      </w:r>
      <w:r w:rsidR="00027305" w:rsidRPr="008065CD">
        <w:rPr>
          <w:rFonts w:cstheme="minorHAnsi"/>
          <w:i/>
          <w:iCs/>
        </w:rPr>
        <w:t>op. cit.</w:t>
      </w:r>
      <w:r w:rsidR="00027305" w:rsidRPr="008065CD">
        <w:rPr>
          <w:rFonts w:cstheme="minorHAnsi"/>
        </w:rPr>
        <w:t>, § 157).</w:t>
      </w:r>
    </w:p>
    <w:p w14:paraId="2081C23B" w14:textId="6E828EDA" w:rsidR="00D968F7" w:rsidRPr="008065CD" w:rsidRDefault="003A445E" w:rsidP="00197933">
      <w:pPr>
        <w:pStyle w:val="JuPara"/>
        <w:rPr>
          <w:rFonts w:cstheme="minorHAnsi"/>
        </w:rPr>
      </w:pPr>
      <w:r w:rsidRPr="008065CD">
        <w:rPr>
          <w:rFonts w:cstheme="minorHAnsi"/>
          <w:noProof/>
        </w:rPr>
        <w:lastRenderedPageBreak/>
        <w:t>59</w:t>
      </w:r>
      <w:r w:rsidR="00027305" w:rsidRPr="008065CD">
        <w:rPr>
          <w:rFonts w:cstheme="minorHAnsi"/>
        </w:rPr>
        <w:t>.</w:t>
      </w:r>
      <w:r w:rsidR="008A6748">
        <w:rPr>
          <w:rFonts w:cstheme="minorHAnsi"/>
        </w:rPr>
        <w:t xml:space="preserve"> </w:t>
      </w:r>
      <w:r w:rsidR="00027305" w:rsidRPr="008065CD">
        <w:rPr>
          <w:rFonts w:cstheme="minorHAnsi"/>
        </w:rPr>
        <w:t xml:space="preserve">Skarżący złożył co najmniej dwie skargi w trybie </w:t>
      </w:r>
      <w:r w:rsidR="008065CD" w:rsidRPr="008065CD">
        <w:rPr>
          <w:rFonts w:cstheme="minorHAnsi"/>
        </w:rPr>
        <w:t xml:space="preserve">ustawy </w:t>
      </w:r>
      <w:r w:rsidR="00027305" w:rsidRPr="008065CD">
        <w:rPr>
          <w:rFonts w:cstheme="minorHAnsi"/>
        </w:rPr>
        <w:t>z 2004 r. Jego</w:t>
      </w:r>
      <w:r w:rsidR="00AF7E7E">
        <w:rPr>
          <w:rFonts w:cstheme="minorHAnsi"/>
        </w:rPr>
        <w:t> </w:t>
      </w:r>
      <w:r w:rsidR="00027305" w:rsidRPr="008065CD">
        <w:rPr>
          <w:rFonts w:cstheme="minorHAnsi"/>
        </w:rPr>
        <w:t>pierwsza skarga zostało oddalona w dniu 11 lipca 2018 r., a więc miesiąc po zawieszeniu postępowania. Jednakże druga skarga na przewlekłość postępowania została rozpoznana w dniu 23 sierpnia 2019 r. i oddalona przez Sąd Apelacyjny w Warszawie, który uzasadnił, że długość postępowania nie</w:t>
      </w:r>
      <w:r w:rsidR="00AF7E7E">
        <w:rPr>
          <w:rFonts w:cstheme="minorHAnsi"/>
        </w:rPr>
        <w:t> </w:t>
      </w:r>
      <w:r w:rsidR="00027305" w:rsidRPr="008065CD">
        <w:rPr>
          <w:rFonts w:cstheme="minorHAnsi"/>
        </w:rPr>
        <w:t>może być przypisana Sądowi Okręgowemu, ponieważ zostało ono zawieszone do czasu analizy pytań prawnych przez Trybunał Konstytucyjny (zob. paragraf </w:t>
      </w:r>
      <w:r w:rsidRPr="008065CD">
        <w:rPr>
          <w:rFonts w:cstheme="minorHAnsi"/>
          <w:noProof/>
        </w:rPr>
        <w:t>15</w:t>
      </w:r>
      <w:r w:rsidR="00027305" w:rsidRPr="008065CD">
        <w:rPr>
          <w:rFonts w:cstheme="minorHAnsi"/>
        </w:rPr>
        <w:t xml:space="preserve"> powyżej).</w:t>
      </w:r>
    </w:p>
    <w:p w14:paraId="2D0514CC" w14:textId="424F6C08" w:rsidR="00D968F7" w:rsidRPr="008065CD" w:rsidRDefault="003A445E" w:rsidP="00197933">
      <w:pPr>
        <w:pStyle w:val="JuPara"/>
        <w:rPr>
          <w:rFonts w:cstheme="minorHAnsi"/>
        </w:rPr>
      </w:pPr>
      <w:r w:rsidRPr="008065CD">
        <w:rPr>
          <w:rFonts w:cstheme="minorHAnsi"/>
          <w:noProof/>
        </w:rPr>
        <w:t>60</w:t>
      </w:r>
      <w:r w:rsidR="00027305" w:rsidRPr="008065CD">
        <w:rPr>
          <w:rFonts w:cstheme="minorHAnsi"/>
        </w:rPr>
        <w:t>.</w:t>
      </w:r>
      <w:r w:rsidR="008A6748">
        <w:rPr>
          <w:rFonts w:cstheme="minorHAnsi"/>
        </w:rPr>
        <w:t xml:space="preserve"> </w:t>
      </w:r>
      <w:r w:rsidR="00027305" w:rsidRPr="008065CD">
        <w:rPr>
          <w:rFonts w:cstheme="minorHAnsi"/>
        </w:rPr>
        <w:t xml:space="preserve">Trybunał wcześniej rozpatrywał </w:t>
      </w:r>
      <w:r w:rsidR="008065CD" w:rsidRPr="008065CD">
        <w:rPr>
          <w:rFonts w:cstheme="minorHAnsi"/>
        </w:rPr>
        <w:t xml:space="preserve">ustawę </w:t>
      </w:r>
      <w:r w:rsidR="00027305" w:rsidRPr="008065CD">
        <w:rPr>
          <w:rFonts w:cstheme="minorHAnsi"/>
        </w:rPr>
        <w:t>z 2004 r. pod kątem art. 35 ust. 1 i art. 13 Konwencji i stwierdził, że</w:t>
      </w:r>
      <w:r w:rsidR="00F33543">
        <w:rPr>
          <w:rFonts w:cstheme="minorHAnsi"/>
        </w:rPr>
        <w:t xml:space="preserve"> była</w:t>
      </w:r>
      <w:r w:rsidR="00027305" w:rsidRPr="008065CD">
        <w:rPr>
          <w:rFonts w:cstheme="minorHAnsi"/>
        </w:rPr>
        <w:t xml:space="preserve"> ona „skuteczna” w rozumieniu tych postanowień (zob. </w:t>
      </w:r>
      <w:r w:rsidR="00027305" w:rsidRPr="008065CD">
        <w:rPr>
          <w:rFonts w:cstheme="minorHAnsi"/>
          <w:i/>
          <w:iCs/>
        </w:rPr>
        <w:t>Charzyński przeciwko Polsce</w:t>
      </w:r>
      <w:r w:rsidR="00027305" w:rsidRPr="008065CD">
        <w:rPr>
          <w:rFonts w:cstheme="minorHAnsi"/>
        </w:rPr>
        <w:t xml:space="preserve"> (</w:t>
      </w:r>
      <w:proofErr w:type="spellStart"/>
      <w:r w:rsidR="00027305" w:rsidRPr="008065CD">
        <w:rPr>
          <w:rFonts w:cstheme="minorHAnsi"/>
        </w:rPr>
        <w:t>dec</w:t>
      </w:r>
      <w:proofErr w:type="spellEnd"/>
      <w:r w:rsidR="00027305" w:rsidRPr="008065CD">
        <w:rPr>
          <w:rFonts w:cstheme="minorHAnsi"/>
        </w:rPr>
        <w:t>.), nr 15212/03, §§</w:t>
      </w:r>
      <w:r w:rsidR="00AF7E7E">
        <w:rPr>
          <w:rFonts w:cstheme="minorHAnsi"/>
        </w:rPr>
        <w:t> </w:t>
      </w:r>
      <w:r w:rsidR="00027305" w:rsidRPr="008065CD">
        <w:rPr>
          <w:rFonts w:cstheme="minorHAnsi"/>
        </w:rPr>
        <w:t xml:space="preserve">36-43, ETPC 2005-V). Jednakże, po kilku latach kształtowania się polskiej praktyki sądowej, Trybunał postanowił ponownie rozważyć swoje wcześniejsze stanowisko w sprawie skuteczności skargi na podstawie </w:t>
      </w:r>
      <w:r w:rsidR="008065CD" w:rsidRPr="008065CD">
        <w:rPr>
          <w:rFonts w:cstheme="minorHAnsi"/>
        </w:rPr>
        <w:t xml:space="preserve">ustawy </w:t>
      </w:r>
      <w:r w:rsidR="00027305" w:rsidRPr="008065CD">
        <w:rPr>
          <w:rFonts w:cstheme="minorHAnsi"/>
        </w:rPr>
        <w:t>z</w:t>
      </w:r>
      <w:r w:rsidR="00803A3D" w:rsidRPr="008065CD">
        <w:rPr>
          <w:rFonts w:cstheme="minorHAnsi"/>
        </w:rPr>
        <w:t> </w:t>
      </w:r>
      <w:r w:rsidR="00027305" w:rsidRPr="008065CD">
        <w:rPr>
          <w:rFonts w:cstheme="minorHAnsi"/>
        </w:rPr>
        <w:t xml:space="preserve">2004 r. w odniesieniu do jej aspektu kompensacyjnego i stwierdził naruszenie art. 13 Konwencji </w:t>
      </w:r>
      <w:bookmarkStart w:id="25" w:name="_Hlk97738197"/>
      <w:r w:rsidR="00027305" w:rsidRPr="008065CD">
        <w:rPr>
          <w:rFonts w:cstheme="minorHAnsi"/>
        </w:rPr>
        <w:t xml:space="preserve">(zob. </w:t>
      </w:r>
      <w:r w:rsidR="00027305" w:rsidRPr="008065CD">
        <w:rPr>
          <w:rFonts w:cstheme="minorHAnsi"/>
          <w:i/>
          <w:iCs/>
        </w:rPr>
        <w:t>Rutkowski i Inni</w:t>
      </w:r>
      <w:bookmarkEnd w:id="25"/>
      <w:r w:rsidR="00027305" w:rsidRPr="008065CD">
        <w:rPr>
          <w:rFonts w:cstheme="minorHAnsi"/>
        </w:rPr>
        <w:t xml:space="preserve">, </w:t>
      </w:r>
      <w:r w:rsidR="00027305" w:rsidRPr="008065CD">
        <w:rPr>
          <w:rFonts w:cstheme="minorHAnsi"/>
          <w:i/>
          <w:iCs/>
        </w:rPr>
        <w:t>op. cit</w:t>
      </w:r>
      <w:r w:rsidR="00027305" w:rsidRPr="008065CD">
        <w:rPr>
          <w:rFonts w:cstheme="minorHAnsi"/>
        </w:rPr>
        <w:t>., §§ 176-86).</w:t>
      </w:r>
    </w:p>
    <w:p w14:paraId="36FB94E6" w14:textId="4C6A7601" w:rsidR="00D968F7" w:rsidRPr="008065CD" w:rsidRDefault="003A445E" w:rsidP="00197933">
      <w:pPr>
        <w:pStyle w:val="JuPara"/>
        <w:rPr>
          <w:rFonts w:cstheme="minorHAnsi"/>
        </w:rPr>
      </w:pPr>
      <w:r w:rsidRPr="008065CD">
        <w:rPr>
          <w:rFonts w:cstheme="minorHAnsi"/>
          <w:noProof/>
        </w:rPr>
        <w:t>61</w:t>
      </w:r>
      <w:r w:rsidR="00027305" w:rsidRPr="008065CD">
        <w:rPr>
          <w:rFonts w:cstheme="minorHAnsi"/>
        </w:rPr>
        <w:t>.</w:t>
      </w:r>
      <w:r w:rsidR="008A6748">
        <w:rPr>
          <w:rFonts w:cstheme="minorHAnsi"/>
        </w:rPr>
        <w:t xml:space="preserve"> </w:t>
      </w:r>
      <w:r w:rsidR="00027305" w:rsidRPr="008065CD">
        <w:rPr>
          <w:rFonts w:cstheme="minorHAnsi"/>
        </w:rPr>
        <w:t xml:space="preserve">W tej sprawie Trybunał zauważył również, że na mocy art. 2 ust. 2 </w:t>
      </w:r>
      <w:r w:rsidR="008065CD" w:rsidRPr="008065CD">
        <w:rPr>
          <w:rFonts w:cstheme="minorHAnsi"/>
        </w:rPr>
        <w:t xml:space="preserve">ustawy </w:t>
      </w:r>
      <w:r w:rsidR="00027305" w:rsidRPr="008065CD">
        <w:rPr>
          <w:rFonts w:cstheme="minorHAnsi"/>
        </w:rPr>
        <w:t xml:space="preserve">z 2004 r. rozpatrywanie takich skarg przez sąd krajowy sprowadzało się do kwestii, czy sąd rozpatrujący konkretną sprawę wykazał się należytą starannością (ibid.). Ponadto stwierdził, że </w:t>
      </w:r>
      <w:r w:rsidR="00295A8C" w:rsidRPr="008065CD">
        <w:rPr>
          <w:rFonts w:cstheme="minorHAnsi"/>
        </w:rPr>
        <w:t xml:space="preserve">nierozpatrzenie </w:t>
      </w:r>
      <w:r w:rsidR="00027305" w:rsidRPr="008065CD">
        <w:rPr>
          <w:rFonts w:cstheme="minorHAnsi"/>
        </w:rPr>
        <w:t>sprawy w</w:t>
      </w:r>
      <w:r w:rsidR="00295A8C" w:rsidRPr="008065CD">
        <w:rPr>
          <w:rFonts w:cstheme="minorHAnsi"/>
        </w:rPr>
        <w:t> </w:t>
      </w:r>
      <w:r w:rsidR="00027305" w:rsidRPr="008065CD">
        <w:rPr>
          <w:rFonts w:cstheme="minorHAnsi"/>
        </w:rPr>
        <w:t>rozsądnym terminie nie musi być wynikiem winy lub zaniechania ze strony poszczególnych sędziów lub prokuratorów. Zdarzały się przypadki, w</w:t>
      </w:r>
      <w:r w:rsidR="00AF7E7E">
        <w:rPr>
          <w:rFonts w:cstheme="minorHAnsi"/>
        </w:rPr>
        <w:t> </w:t>
      </w:r>
      <w:r w:rsidR="00027305" w:rsidRPr="008065CD">
        <w:rPr>
          <w:rFonts w:cstheme="minorHAnsi"/>
        </w:rPr>
        <w:t xml:space="preserve">których opóźnienia wynikały z braku przekazania przez </w:t>
      </w:r>
      <w:r w:rsidR="00547AF7" w:rsidRPr="008065CD">
        <w:rPr>
          <w:rFonts w:cstheme="minorHAnsi"/>
        </w:rPr>
        <w:t xml:space="preserve">państwo </w:t>
      </w:r>
      <w:r w:rsidR="00027305" w:rsidRPr="008065CD">
        <w:rPr>
          <w:rFonts w:cstheme="minorHAnsi"/>
        </w:rPr>
        <w:t>wystarczających środków do dyspozycji sądownictwa lub z braków w</w:t>
      </w:r>
      <w:r w:rsidR="00433833" w:rsidRPr="008065CD">
        <w:rPr>
          <w:rFonts w:cstheme="minorHAnsi"/>
        </w:rPr>
        <w:t> </w:t>
      </w:r>
      <w:r w:rsidR="00027305" w:rsidRPr="008065CD">
        <w:rPr>
          <w:rFonts w:cstheme="minorHAnsi"/>
        </w:rPr>
        <w:t>ustawodawstwie krajowym dotyczącym organizacji systemu sądowniczego lub przebiegu postępowania sądowego (ibid., § 184).</w:t>
      </w:r>
    </w:p>
    <w:p w14:paraId="6C8C1DA2" w14:textId="10DFEDF6" w:rsidR="00D968F7" w:rsidRPr="008065CD" w:rsidRDefault="003A445E" w:rsidP="00197933">
      <w:pPr>
        <w:pStyle w:val="JuPara"/>
        <w:rPr>
          <w:rFonts w:cstheme="minorHAnsi"/>
        </w:rPr>
      </w:pPr>
      <w:r w:rsidRPr="008065CD">
        <w:rPr>
          <w:rFonts w:cstheme="minorHAnsi"/>
          <w:noProof/>
        </w:rPr>
        <w:t>62</w:t>
      </w:r>
      <w:r w:rsidR="00027305" w:rsidRPr="008065CD">
        <w:rPr>
          <w:rFonts w:cstheme="minorHAnsi"/>
        </w:rPr>
        <w:t>.</w:t>
      </w:r>
      <w:r w:rsidR="008A6748">
        <w:rPr>
          <w:rFonts w:cstheme="minorHAnsi"/>
        </w:rPr>
        <w:t xml:space="preserve"> </w:t>
      </w:r>
      <w:r w:rsidR="00027305" w:rsidRPr="008065CD">
        <w:rPr>
          <w:rFonts w:cstheme="minorHAnsi"/>
        </w:rPr>
        <w:t>Podobnie w niniejszej sprawie ogólna długość postępowania nie</w:t>
      </w:r>
      <w:r w:rsidR="00AF7E7E">
        <w:rPr>
          <w:rFonts w:cstheme="minorHAnsi"/>
        </w:rPr>
        <w:t> </w:t>
      </w:r>
      <w:r w:rsidR="00027305" w:rsidRPr="008065CD">
        <w:rPr>
          <w:rFonts w:cstheme="minorHAnsi"/>
        </w:rPr>
        <w:t>wynikała całkowicie z zaniechań poszczególnych sądów, lecz raczej jego długość wynikała w dużej mierze z okresu zawieszenia postępowania do</w:t>
      </w:r>
      <w:r w:rsidR="00AF7E7E">
        <w:rPr>
          <w:rFonts w:cstheme="minorHAnsi"/>
        </w:rPr>
        <w:t> </w:t>
      </w:r>
      <w:r w:rsidR="00027305" w:rsidRPr="008065CD">
        <w:rPr>
          <w:rFonts w:cstheme="minorHAnsi"/>
        </w:rPr>
        <w:t>czasu rozstrzygnięcia sprawy przed Trybunałem Konstytucyjnym. Powyższe znalazło potwierdzenie w oczach Sądu Apelacyjnego, który rozpatrywał skargę skarżącego na przewlekłość postępowania (zob.</w:t>
      </w:r>
      <w:r w:rsidR="00AF7E7E">
        <w:rPr>
          <w:rFonts w:cstheme="minorHAnsi"/>
        </w:rPr>
        <w:t> </w:t>
      </w:r>
      <w:r w:rsidR="00027305" w:rsidRPr="008065CD">
        <w:rPr>
          <w:rFonts w:cstheme="minorHAnsi"/>
        </w:rPr>
        <w:t>paragraf </w:t>
      </w:r>
      <w:r w:rsidRPr="008065CD">
        <w:rPr>
          <w:rFonts w:cstheme="minorHAnsi"/>
          <w:noProof/>
        </w:rPr>
        <w:t>15</w:t>
      </w:r>
      <w:r w:rsidR="00027305" w:rsidRPr="008065CD">
        <w:rPr>
          <w:rFonts w:cstheme="minorHAnsi"/>
        </w:rPr>
        <w:t xml:space="preserve"> powyżej). Z drugiej strony, w polskim systemie krajowym brak jest skutecznego środka odwoławczego służącego zakwestionowaniu długości czasu rozpatrywania sprawy, w której postępowanie sądowe zostało zawieszone do czasu rozpoznania pytania prawnego przez Trybunał Konstytucyjny.</w:t>
      </w:r>
    </w:p>
    <w:p w14:paraId="5659C723" w14:textId="3FAE4EBB" w:rsidR="00D968F7" w:rsidRPr="008065CD" w:rsidRDefault="00D968F7" w:rsidP="00197933">
      <w:pPr>
        <w:pStyle w:val="JuPara"/>
        <w:rPr>
          <w:rFonts w:cstheme="minorHAnsi"/>
        </w:rPr>
      </w:pPr>
      <w:r w:rsidRPr="008065CD">
        <w:rPr>
          <w:rFonts w:cstheme="minorHAnsi"/>
        </w:rPr>
        <w:t>Wynika z tego, że w szczególnych okolicznościach proceduralnych niniejszej sprawy, gdzie długość postępowania zależała w dużej mierze od</w:t>
      </w:r>
      <w:r w:rsidR="00AF7E7E">
        <w:rPr>
          <w:rFonts w:cstheme="minorHAnsi"/>
        </w:rPr>
        <w:t> </w:t>
      </w:r>
      <w:r w:rsidRPr="008065CD">
        <w:rPr>
          <w:rFonts w:cstheme="minorHAnsi"/>
        </w:rPr>
        <w:t>rozpatrzenia sprawy przez Trybunał Konstytucyjny, skarżący nie miał do</w:t>
      </w:r>
      <w:r w:rsidR="00AF7E7E">
        <w:rPr>
          <w:rFonts w:cstheme="minorHAnsi"/>
        </w:rPr>
        <w:t> </w:t>
      </w:r>
      <w:r w:rsidRPr="008065CD">
        <w:rPr>
          <w:rFonts w:cstheme="minorHAnsi"/>
        </w:rPr>
        <w:t>dyspozycji skutecznego środka odwoławczego, za pomocą którego mógłby uzyskać odpowiednie zadośćuczynienie za naruszenie Konwencji przed władzami krajowymi.</w:t>
      </w:r>
    </w:p>
    <w:p w14:paraId="4D396A26" w14:textId="6C0D38E9" w:rsidR="00D968F7" w:rsidRPr="008065CD" w:rsidRDefault="003A445E" w:rsidP="00197933">
      <w:pPr>
        <w:pStyle w:val="JuPara"/>
        <w:rPr>
          <w:rFonts w:cstheme="minorHAnsi"/>
        </w:rPr>
      </w:pPr>
      <w:r w:rsidRPr="008065CD">
        <w:rPr>
          <w:rFonts w:cstheme="minorHAnsi"/>
          <w:noProof/>
        </w:rPr>
        <w:t>63</w:t>
      </w:r>
      <w:r w:rsidR="00027305" w:rsidRPr="008065CD">
        <w:rPr>
          <w:rFonts w:cstheme="minorHAnsi"/>
        </w:rPr>
        <w:t>.</w:t>
      </w:r>
      <w:r w:rsidR="008A6748">
        <w:rPr>
          <w:rFonts w:cstheme="minorHAnsi"/>
        </w:rPr>
        <w:t xml:space="preserve"> </w:t>
      </w:r>
      <w:r w:rsidR="00027305" w:rsidRPr="008065CD">
        <w:rPr>
          <w:rFonts w:cstheme="minorHAnsi"/>
        </w:rPr>
        <w:t>W związku z powyższym doszło do naruszenia art. 13 Konwencji.</w:t>
      </w:r>
    </w:p>
    <w:p w14:paraId="2EAA04E1" w14:textId="524D2686"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lastRenderedPageBreak/>
        <w:t>ZARZUCANE NARUSZENIE ART. 6 UST. 1 KONWENCJI ZE</w:t>
      </w:r>
      <w:r w:rsidR="00AF7E7E">
        <w:rPr>
          <w:rFonts w:asciiTheme="minorHAnsi" w:hAnsiTheme="minorHAnsi" w:cstheme="minorHAnsi"/>
        </w:rPr>
        <w:t> </w:t>
      </w:r>
      <w:r w:rsidRPr="008065CD">
        <w:rPr>
          <w:rFonts w:asciiTheme="minorHAnsi" w:hAnsiTheme="minorHAnsi" w:cstheme="minorHAnsi"/>
        </w:rPr>
        <w:t>WZGLĘDU NA BRAK DOSTĘPU SKARŻĄCEGO DO SĄDU</w:t>
      </w:r>
    </w:p>
    <w:p w14:paraId="4B89F3BE" w14:textId="225C0F16" w:rsidR="00D968F7" w:rsidRPr="008065CD" w:rsidRDefault="003A445E" w:rsidP="00197933">
      <w:pPr>
        <w:pStyle w:val="JuPara"/>
        <w:rPr>
          <w:rFonts w:cstheme="minorHAnsi"/>
        </w:rPr>
      </w:pPr>
      <w:r w:rsidRPr="008065CD">
        <w:rPr>
          <w:rFonts w:cstheme="minorHAnsi"/>
          <w:noProof/>
        </w:rPr>
        <w:t>64</w:t>
      </w:r>
      <w:r w:rsidR="00027305" w:rsidRPr="008065CD">
        <w:rPr>
          <w:rFonts w:cstheme="minorHAnsi"/>
        </w:rPr>
        <w:t>.</w:t>
      </w:r>
      <w:r w:rsidR="008A6748">
        <w:rPr>
          <w:rFonts w:cstheme="minorHAnsi"/>
        </w:rPr>
        <w:t xml:space="preserve"> </w:t>
      </w:r>
      <w:r w:rsidR="00027305" w:rsidRPr="008065CD">
        <w:rPr>
          <w:rFonts w:cstheme="minorHAnsi"/>
        </w:rPr>
        <w:t>Skarżący zarzucił również na podstawie art. 6 ust. 1 Konwencji, że</w:t>
      </w:r>
      <w:r w:rsidR="00AF7E7E">
        <w:rPr>
          <w:rFonts w:cstheme="minorHAnsi"/>
        </w:rPr>
        <w:t> </w:t>
      </w:r>
      <w:r w:rsidR="00027305" w:rsidRPr="008065CD">
        <w:rPr>
          <w:rFonts w:cstheme="minorHAnsi"/>
        </w:rPr>
        <w:t>został pozbawiony prawa dostępu do sądu. Odpowiednia część tego postanowienia stanowi, co następuje:</w:t>
      </w:r>
    </w:p>
    <w:p w14:paraId="0658AF39" w14:textId="77777777" w:rsidR="00D968F7" w:rsidRPr="008065CD" w:rsidRDefault="00D968F7" w:rsidP="00197933">
      <w:pPr>
        <w:pStyle w:val="JuQuot"/>
        <w:rPr>
          <w:rFonts w:cstheme="minorHAnsi"/>
        </w:rPr>
      </w:pPr>
      <w:r w:rsidRPr="008065CD">
        <w:rPr>
          <w:rFonts w:cstheme="minorHAnsi"/>
        </w:rPr>
        <w:t>„Każdy ma prawo do sprawiedliwego […] rozpatrzenia jego sprawy […] przez […] sąd […] przy rozstrzyganiu o jego prawach i obowiązkach o charakterze cywilnym […]”</w:t>
      </w:r>
    </w:p>
    <w:p w14:paraId="1346C01A" w14:textId="3E65372E" w:rsidR="00D968F7" w:rsidRPr="008065CD" w:rsidRDefault="00D968F7" w:rsidP="00197933">
      <w:pPr>
        <w:pStyle w:val="JuHA"/>
        <w:numPr>
          <w:ilvl w:val="2"/>
          <w:numId w:val="23"/>
        </w:numPr>
        <w:rPr>
          <w:rFonts w:asciiTheme="minorHAnsi" w:hAnsiTheme="minorHAnsi" w:cstheme="minorHAnsi"/>
        </w:rPr>
      </w:pPr>
      <w:r w:rsidRPr="008065CD">
        <w:rPr>
          <w:rFonts w:asciiTheme="minorHAnsi" w:hAnsiTheme="minorHAnsi" w:cstheme="minorHAnsi"/>
        </w:rPr>
        <w:t>Stanowiska stron</w:t>
      </w:r>
    </w:p>
    <w:p w14:paraId="1C44673C" w14:textId="741A40A1" w:rsidR="00D968F7" w:rsidRPr="008065CD" w:rsidRDefault="003A445E" w:rsidP="00197933">
      <w:pPr>
        <w:pStyle w:val="JuPara"/>
        <w:rPr>
          <w:rFonts w:cstheme="minorHAnsi"/>
        </w:rPr>
      </w:pPr>
      <w:r w:rsidRPr="008065CD">
        <w:rPr>
          <w:rFonts w:cstheme="minorHAnsi"/>
          <w:noProof/>
        </w:rPr>
        <w:t>65</w:t>
      </w:r>
      <w:r w:rsidR="00027305" w:rsidRPr="008065CD">
        <w:rPr>
          <w:rFonts w:cstheme="minorHAnsi"/>
        </w:rPr>
        <w:t>.</w:t>
      </w:r>
      <w:r w:rsidR="008A6748">
        <w:rPr>
          <w:rFonts w:cstheme="minorHAnsi"/>
        </w:rPr>
        <w:t xml:space="preserve"> </w:t>
      </w:r>
      <w:r w:rsidR="00027305" w:rsidRPr="008065CD">
        <w:rPr>
          <w:rFonts w:cstheme="minorHAnsi"/>
        </w:rPr>
        <w:t>Skarżący podniósł, że przedłużające się rozpatrywanie jego odwołań przez sądy krajowe skutecznie pozbawiło go prawa dostępu do sądu, które stało się iluzoryczne.</w:t>
      </w:r>
    </w:p>
    <w:p w14:paraId="07392EB5" w14:textId="366CCABA" w:rsidR="00D968F7" w:rsidRPr="008065CD" w:rsidRDefault="003A445E" w:rsidP="00197933">
      <w:pPr>
        <w:pStyle w:val="JuPara"/>
        <w:rPr>
          <w:rFonts w:cstheme="minorHAnsi"/>
        </w:rPr>
      </w:pPr>
      <w:r w:rsidRPr="008065CD">
        <w:rPr>
          <w:rFonts w:cstheme="minorHAnsi"/>
          <w:noProof/>
        </w:rPr>
        <w:t>66</w:t>
      </w:r>
      <w:r w:rsidR="00027305" w:rsidRPr="008065CD">
        <w:rPr>
          <w:rFonts w:cstheme="minorHAnsi"/>
        </w:rPr>
        <w:t>.</w:t>
      </w:r>
      <w:r w:rsidR="008A6748">
        <w:rPr>
          <w:rFonts w:cstheme="minorHAnsi"/>
        </w:rPr>
        <w:t xml:space="preserve"> </w:t>
      </w:r>
      <w:r w:rsidR="00027305" w:rsidRPr="008065CD">
        <w:rPr>
          <w:rFonts w:cstheme="minorHAnsi"/>
        </w:rPr>
        <w:t>Rząd twierdził, że skarżący miał prawo do odwołania się od decyzji obniżających jego świadczenia i że jego odwołania zostały skutecznie złożone do właściwego sądu. Przyznał, że postępowanie zostało zawieszone na pewien czas. Skarżący skorzystał jednak z zażalenia i zdołał doprowadzić do podjęcia postępowania. Z tego też względu, zdaniem Rządu, skarżący zachował prawo do sądu i w niniejszej sprawie nie doszło do naruszenia art.</w:t>
      </w:r>
      <w:r w:rsidR="00AF7E7E">
        <w:rPr>
          <w:rFonts w:cstheme="minorHAnsi"/>
        </w:rPr>
        <w:t> </w:t>
      </w:r>
      <w:r w:rsidR="00027305" w:rsidRPr="008065CD">
        <w:rPr>
          <w:rFonts w:cstheme="minorHAnsi"/>
        </w:rPr>
        <w:t>6 ust. 1 z tego tytułu.</w:t>
      </w:r>
    </w:p>
    <w:p w14:paraId="37C19B4A" w14:textId="455ACECB" w:rsidR="00D968F7" w:rsidRPr="008065CD" w:rsidRDefault="003A445E" w:rsidP="00197933">
      <w:pPr>
        <w:pStyle w:val="JuPara"/>
        <w:rPr>
          <w:rFonts w:cstheme="minorHAnsi"/>
        </w:rPr>
      </w:pPr>
      <w:r w:rsidRPr="008065CD">
        <w:rPr>
          <w:rFonts w:cstheme="minorHAnsi"/>
          <w:noProof/>
        </w:rPr>
        <w:t>67</w:t>
      </w:r>
      <w:r w:rsidR="00027305" w:rsidRPr="008065CD">
        <w:rPr>
          <w:rFonts w:cstheme="minorHAnsi"/>
        </w:rPr>
        <w:t>.</w:t>
      </w:r>
      <w:r w:rsidR="008A6748">
        <w:rPr>
          <w:rFonts w:cstheme="minorHAnsi"/>
        </w:rPr>
        <w:t xml:space="preserve"> </w:t>
      </w:r>
      <w:r w:rsidR="00027305" w:rsidRPr="008065CD">
        <w:rPr>
          <w:rFonts w:cstheme="minorHAnsi"/>
        </w:rPr>
        <w:t>Trybunał zauważa, że pisma zawierające stanowiska stron wpłynęły przed wydaniem wyroku pierwszej instancji w sprawie skarżącego.</w:t>
      </w:r>
    </w:p>
    <w:p w14:paraId="196F2EF1" w14:textId="16054078" w:rsidR="00D968F7" w:rsidRPr="008065CD" w:rsidRDefault="003A445E" w:rsidP="00197933">
      <w:pPr>
        <w:pStyle w:val="JuPara"/>
        <w:rPr>
          <w:rFonts w:cstheme="minorHAnsi"/>
        </w:rPr>
      </w:pPr>
      <w:r w:rsidRPr="008065CD">
        <w:rPr>
          <w:rFonts w:cstheme="minorHAnsi"/>
          <w:noProof/>
        </w:rPr>
        <w:t>68</w:t>
      </w:r>
      <w:r w:rsidR="00027305" w:rsidRPr="008065CD">
        <w:rPr>
          <w:rFonts w:cstheme="minorHAnsi"/>
        </w:rPr>
        <w:t>.</w:t>
      </w:r>
      <w:r w:rsidR="008A6748">
        <w:rPr>
          <w:rFonts w:cstheme="minorHAnsi"/>
        </w:rPr>
        <w:t xml:space="preserve"> </w:t>
      </w:r>
      <w:r w:rsidR="00027305" w:rsidRPr="008065CD">
        <w:rPr>
          <w:rFonts w:cstheme="minorHAnsi"/>
        </w:rPr>
        <w:t>W dniu 10 listopada 2021 r. Rząd przesłał uwagi dotyczące roszczeń skarżącego o słuszne zadośćuczynienie, w których podniósł, że w następstwie wyroku drugiej instancji, w dniu 8 października 2021 r. Dyrektor Zakładu Emerytalno-Rentowego wydał decyzję o ponownym ustaleniu wysokości emerytury skarżącego zgodnie z wyrokami sądów i skarżący otrzymał wyrównanie za okres od 1 października 2017 r. do 31 października 2021 r.</w:t>
      </w:r>
    </w:p>
    <w:p w14:paraId="59688AD9" w14:textId="0F37929A" w:rsidR="00D968F7" w:rsidRPr="008065CD" w:rsidRDefault="00D968F7" w:rsidP="00197933">
      <w:pPr>
        <w:pStyle w:val="JuHA"/>
        <w:rPr>
          <w:rFonts w:asciiTheme="minorHAnsi" w:hAnsiTheme="minorHAnsi" w:cstheme="minorHAnsi"/>
        </w:rPr>
      </w:pPr>
      <w:r w:rsidRPr="008065CD">
        <w:rPr>
          <w:rFonts w:asciiTheme="minorHAnsi" w:hAnsiTheme="minorHAnsi" w:cstheme="minorHAnsi"/>
        </w:rPr>
        <w:t>Ocena Trybunału</w:t>
      </w:r>
    </w:p>
    <w:p w14:paraId="1AA3829F" w14:textId="2A3C934E" w:rsidR="00D968F7" w:rsidRPr="008065CD" w:rsidRDefault="003A445E" w:rsidP="00197933">
      <w:pPr>
        <w:pStyle w:val="JuPara"/>
        <w:rPr>
          <w:rFonts w:cstheme="minorHAnsi"/>
        </w:rPr>
      </w:pPr>
      <w:r w:rsidRPr="008065CD">
        <w:rPr>
          <w:rFonts w:eastAsia="Times New Roman" w:cstheme="minorHAnsi"/>
          <w:noProof/>
        </w:rPr>
        <w:t>69</w:t>
      </w:r>
      <w:r w:rsidR="00D968F7" w:rsidRPr="008065CD">
        <w:rPr>
          <w:rFonts w:cstheme="minorHAnsi"/>
        </w:rPr>
        <w:t>.</w:t>
      </w:r>
      <w:r w:rsidR="008A6748">
        <w:rPr>
          <w:rFonts w:cstheme="minorHAnsi"/>
        </w:rPr>
        <w:t xml:space="preserve"> </w:t>
      </w:r>
      <w:r w:rsidR="00D968F7" w:rsidRPr="008065CD">
        <w:rPr>
          <w:rFonts w:cstheme="minorHAnsi"/>
        </w:rPr>
        <w:t xml:space="preserve">Jeśli chodzi o prawo dostępu do sądu, w sprawie </w:t>
      </w:r>
      <w:proofErr w:type="spellStart"/>
      <w:r w:rsidR="00D968F7" w:rsidRPr="008065CD">
        <w:rPr>
          <w:rFonts w:cstheme="minorHAnsi"/>
          <w:i/>
          <w:iCs/>
        </w:rPr>
        <w:t>Stanev</w:t>
      </w:r>
      <w:proofErr w:type="spellEnd"/>
      <w:r w:rsidR="00D968F7" w:rsidRPr="008065CD">
        <w:rPr>
          <w:rFonts w:cstheme="minorHAnsi"/>
          <w:i/>
          <w:iCs/>
        </w:rPr>
        <w:t xml:space="preserve"> przeciwko Bułgarii</w:t>
      </w:r>
      <w:r w:rsidR="00D968F7" w:rsidRPr="008065CD">
        <w:rPr>
          <w:rFonts w:cstheme="minorHAnsi"/>
        </w:rPr>
        <w:t xml:space="preserve"> [WI], nr 36760/06, §§ 229-31, ETPC 2012, Trybunał orzekł:</w:t>
      </w:r>
    </w:p>
    <w:p w14:paraId="0DD6D4CC" w14:textId="237C8075" w:rsidR="00D968F7" w:rsidRPr="008065CD" w:rsidRDefault="00D968F7" w:rsidP="00197933">
      <w:pPr>
        <w:pStyle w:val="JuQuot"/>
        <w:rPr>
          <w:rFonts w:eastAsia="Times New Roman" w:cstheme="minorHAnsi"/>
        </w:rPr>
      </w:pPr>
      <w:r w:rsidRPr="008065CD">
        <w:rPr>
          <w:rFonts w:cstheme="minorHAnsi"/>
        </w:rPr>
        <w:t>„229.</w:t>
      </w:r>
      <w:r w:rsidR="008A6748">
        <w:rPr>
          <w:rFonts w:cstheme="minorHAnsi"/>
        </w:rPr>
        <w:t xml:space="preserve"> </w:t>
      </w:r>
      <w:r w:rsidRPr="008065CD">
        <w:rPr>
          <w:rFonts w:cstheme="minorHAnsi"/>
        </w:rPr>
        <w:t>Trybunał przypomina, że art. 6 ust. 1 zapewnia każdemu prawo do dochodzenia przed sądem lub trybunałem wszelkich roszczeń dotyczących jego praw i</w:t>
      </w:r>
      <w:r w:rsidR="00B460E3" w:rsidRPr="008065CD">
        <w:rPr>
          <w:rFonts w:cstheme="minorHAnsi"/>
        </w:rPr>
        <w:t> </w:t>
      </w:r>
      <w:r w:rsidRPr="008065CD">
        <w:rPr>
          <w:rFonts w:cstheme="minorHAnsi"/>
        </w:rPr>
        <w:t xml:space="preserve">obowiązków o charakterze cywilnym (zob. </w:t>
      </w:r>
      <w:proofErr w:type="spellStart"/>
      <w:r w:rsidRPr="008065CD">
        <w:rPr>
          <w:rFonts w:cstheme="minorHAnsi"/>
          <w:i/>
          <w:iCs/>
        </w:rPr>
        <w:t>Golder</w:t>
      </w:r>
      <w:proofErr w:type="spellEnd"/>
      <w:r w:rsidRPr="008065CD">
        <w:rPr>
          <w:rFonts w:cstheme="minorHAnsi"/>
          <w:i/>
          <w:iCs/>
        </w:rPr>
        <w:t xml:space="preserve"> przeciwko Zjednoczonemu Królestwu</w:t>
      </w:r>
      <w:r w:rsidRPr="008065CD">
        <w:rPr>
          <w:rFonts w:cstheme="minorHAnsi"/>
        </w:rPr>
        <w:t xml:space="preserve">, 21 lutego 1975 r., § 36, Seria A nr 18). Na to „prawo do sądu”, którego aspektem jest prawo dostępu, może powołać się każdy, kto na </w:t>
      </w:r>
      <w:r w:rsidR="0048617C">
        <w:rPr>
          <w:rFonts w:cstheme="minorHAnsi"/>
        </w:rPr>
        <w:t xml:space="preserve">możliwych do </w:t>
      </w:r>
      <w:r w:rsidRPr="008065CD">
        <w:rPr>
          <w:rFonts w:cstheme="minorHAnsi"/>
        </w:rPr>
        <w:t>uzasadni</w:t>
      </w:r>
      <w:r w:rsidR="0048617C">
        <w:rPr>
          <w:rFonts w:cstheme="minorHAnsi"/>
        </w:rPr>
        <w:t>enia</w:t>
      </w:r>
      <w:r w:rsidRPr="008065CD">
        <w:rPr>
          <w:rFonts w:cstheme="minorHAnsi"/>
        </w:rPr>
        <w:t xml:space="preserve"> podstawach </w:t>
      </w:r>
      <w:r w:rsidR="0048617C">
        <w:rPr>
          <w:rFonts w:cstheme="minorHAnsi"/>
        </w:rPr>
        <w:t>(</w:t>
      </w:r>
      <w:proofErr w:type="spellStart"/>
      <w:r w:rsidR="0048617C" w:rsidRPr="0048617C">
        <w:rPr>
          <w:rFonts w:cstheme="minorHAnsi"/>
          <w:i/>
        </w:rPr>
        <w:t>arguable</w:t>
      </w:r>
      <w:proofErr w:type="spellEnd"/>
      <w:r w:rsidR="0048617C" w:rsidRPr="0048617C">
        <w:rPr>
          <w:rFonts w:cstheme="minorHAnsi"/>
          <w:i/>
        </w:rPr>
        <w:t xml:space="preserve"> </w:t>
      </w:r>
      <w:proofErr w:type="spellStart"/>
      <w:r w:rsidR="0048617C" w:rsidRPr="0048617C">
        <w:rPr>
          <w:rFonts w:cstheme="minorHAnsi"/>
          <w:i/>
        </w:rPr>
        <w:t>grounds</w:t>
      </w:r>
      <w:proofErr w:type="spellEnd"/>
      <w:r w:rsidR="0048617C">
        <w:rPr>
          <w:rFonts w:cstheme="minorHAnsi"/>
        </w:rPr>
        <w:t xml:space="preserve">) </w:t>
      </w:r>
      <w:r w:rsidRPr="008065CD">
        <w:rPr>
          <w:rFonts w:cstheme="minorHAnsi"/>
        </w:rPr>
        <w:t>uważa, że ingerencja w korzystanie z jego praw obywatelskich jest bezprawna i skarży się, że nie zapewniono mu możliwości przedstawienia tego roszczenia sądowi spełniającemu wymogi z art. 6 ust. 1 (zob. m</w:t>
      </w:r>
      <w:r w:rsidRPr="008065CD">
        <w:rPr>
          <w:rFonts w:cstheme="minorHAnsi"/>
          <w:i/>
          <w:iCs/>
        </w:rPr>
        <w:t>.</w:t>
      </w:r>
      <w:r w:rsidRPr="008065CD">
        <w:rPr>
          <w:rFonts w:cstheme="minorHAnsi"/>
        </w:rPr>
        <w:t xml:space="preserve">in. </w:t>
      </w:r>
      <w:r w:rsidRPr="008065CD">
        <w:rPr>
          <w:rFonts w:cstheme="minorHAnsi"/>
          <w:i/>
          <w:iCs/>
        </w:rPr>
        <w:t>Roche przeciwko Zjednoczonemu Królestwu</w:t>
      </w:r>
      <w:r w:rsidRPr="008065CD">
        <w:rPr>
          <w:rFonts w:cstheme="minorHAnsi"/>
        </w:rPr>
        <w:t xml:space="preserve"> [WI], nr 32555/96, § 117, ETPC 2005</w:t>
      </w:r>
      <w:r w:rsidRPr="008065CD">
        <w:rPr>
          <w:rFonts w:cstheme="minorHAnsi"/>
        </w:rPr>
        <w:noBreakHyphen/>
        <w:t xml:space="preserve">X, oraz </w:t>
      </w:r>
      <w:proofErr w:type="spellStart"/>
      <w:r w:rsidRPr="008065CD">
        <w:rPr>
          <w:rFonts w:cstheme="minorHAnsi"/>
          <w:i/>
          <w:iCs/>
        </w:rPr>
        <w:t>Salontaji-Drobnjak</w:t>
      </w:r>
      <w:proofErr w:type="spellEnd"/>
      <w:r w:rsidRPr="008065CD">
        <w:rPr>
          <w:rFonts w:cstheme="minorHAnsi"/>
          <w:i/>
          <w:iCs/>
        </w:rPr>
        <w:t xml:space="preserve"> przeciwko Serbii</w:t>
      </w:r>
      <w:r w:rsidRPr="008065CD">
        <w:rPr>
          <w:rFonts w:cstheme="minorHAnsi"/>
        </w:rPr>
        <w:t>, nr 36500/05, § 132, 13 października 2009 r.).</w:t>
      </w:r>
    </w:p>
    <w:p w14:paraId="05AE5115" w14:textId="024329EC" w:rsidR="00D968F7" w:rsidRPr="008065CD" w:rsidRDefault="00D968F7" w:rsidP="00197933">
      <w:pPr>
        <w:pStyle w:val="JuQuot"/>
        <w:rPr>
          <w:rFonts w:cstheme="minorHAnsi"/>
        </w:rPr>
      </w:pPr>
      <w:r w:rsidRPr="008065CD">
        <w:rPr>
          <w:rFonts w:cstheme="minorHAnsi"/>
        </w:rPr>
        <w:lastRenderedPageBreak/>
        <w:t>230.</w:t>
      </w:r>
      <w:r w:rsidR="008A6748">
        <w:rPr>
          <w:rFonts w:cstheme="minorHAnsi"/>
        </w:rPr>
        <w:t xml:space="preserve"> </w:t>
      </w:r>
      <w:r w:rsidRPr="008065CD">
        <w:rPr>
          <w:rFonts w:cstheme="minorHAnsi"/>
        </w:rPr>
        <w:t>Prawo dostępu do sądów nie ma charakteru bezwzględnego, ale może podlegać ograniczeniom; są one dozwolone w sposób dorozumiany, ponieważ prawo dostępu z</w:t>
      </w:r>
      <w:r w:rsidR="009F56A8" w:rsidRPr="008065CD">
        <w:rPr>
          <w:rFonts w:cstheme="minorHAnsi"/>
        </w:rPr>
        <w:t> </w:t>
      </w:r>
      <w:r w:rsidRPr="008065CD">
        <w:rPr>
          <w:rFonts w:cstheme="minorHAnsi"/>
        </w:rPr>
        <w:t xml:space="preserve">natury rzeczy wymaga uregulowania przez </w:t>
      </w:r>
      <w:r w:rsidR="0083778B" w:rsidRPr="008065CD">
        <w:rPr>
          <w:rFonts w:cstheme="minorHAnsi"/>
        </w:rPr>
        <w:t>Państwo</w:t>
      </w:r>
      <w:r w:rsidRPr="008065CD">
        <w:rPr>
          <w:rFonts w:cstheme="minorHAnsi"/>
        </w:rPr>
        <w:t xml:space="preserve">, a proces ten może różnić się pod względem czasu i miejsca, w zależności od potrzeb i zasobów społeczności i jednostek (zob. </w:t>
      </w:r>
      <w:proofErr w:type="spellStart"/>
      <w:r w:rsidRPr="0048617C">
        <w:rPr>
          <w:rFonts w:cstheme="minorHAnsi"/>
          <w:i/>
        </w:rPr>
        <w:t>Ashingdane</w:t>
      </w:r>
      <w:proofErr w:type="spellEnd"/>
      <w:r w:rsidRPr="0048617C">
        <w:rPr>
          <w:rFonts w:cstheme="minorHAnsi"/>
          <w:i/>
        </w:rPr>
        <w:t xml:space="preserve"> [przeciwko Zjednoczonemu Królestwu</w:t>
      </w:r>
      <w:r w:rsidRPr="008065CD">
        <w:rPr>
          <w:rFonts w:cstheme="minorHAnsi"/>
        </w:rPr>
        <w:t>, 28 maja 1985 r.], § 57 [Seria</w:t>
      </w:r>
      <w:r w:rsidR="00AF7E7E">
        <w:rPr>
          <w:rFonts w:cstheme="minorHAnsi"/>
        </w:rPr>
        <w:t> </w:t>
      </w:r>
      <w:r w:rsidRPr="008065CD">
        <w:rPr>
          <w:rFonts w:cstheme="minorHAnsi"/>
        </w:rPr>
        <w:t xml:space="preserve">A nr 93]). Przy ustanawianiu takich regulacji Układające się Państwa dysponują pewnym marginesem oceny. O ile ostateczna decyzja co do przestrzegania wymogów Konwencji pozostaje w gestii Trybunału, o tyle nie jest </w:t>
      </w:r>
      <w:r w:rsidR="0048617C" w:rsidRPr="008065CD">
        <w:rPr>
          <w:rFonts w:cstheme="minorHAnsi"/>
        </w:rPr>
        <w:t xml:space="preserve">jego rolą </w:t>
      </w:r>
      <w:r w:rsidRPr="008065CD">
        <w:rPr>
          <w:rFonts w:cstheme="minorHAnsi"/>
        </w:rPr>
        <w:t xml:space="preserve">zastępowanie oceny władz krajowych jakąkolwiek inną oceną tego, co może być najlepszą polityką w tej dziedzinie. </w:t>
      </w:r>
      <w:r w:rsidR="00DF6BFF" w:rsidRPr="008065CD">
        <w:rPr>
          <w:rFonts w:cstheme="minorHAnsi"/>
        </w:rPr>
        <w:t xml:space="preserve">Niemniej </w:t>
      </w:r>
      <w:r w:rsidR="00DF6BFF">
        <w:rPr>
          <w:rFonts w:cstheme="minorHAnsi"/>
        </w:rPr>
        <w:t xml:space="preserve">jednak </w:t>
      </w:r>
      <w:r w:rsidRPr="008065CD">
        <w:rPr>
          <w:rFonts w:cstheme="minorHAnsi"/>
        </w:rPr>
        <w:t>ograniczenia nie mogą ograniczać dostępu danej jednostki w</w:t>
      </w:r>
      <w:r w:rsidR="009F56A8" w:rsidRPr="008065CD">
        <w:rPr>
          <w:rFonts w:cstheme="minorHAnsi"/>
        </w:rPr>
        <w:t> </w:t>
      </w:r>
      <w:r w:rsidRPr="008065CD">
        <w:rPr>
          <w:rFonts w:cstheme="minorHAnsi"/>
        </w:rPr>
        <w:t xml:space="preserve">taki sposób lub w takim zakresie, </w:t>
      </w:r>
      <w:r w:rsidR="00DF6BFF">
        <w:rPr>
          <w:rFonts w:cstheme="minorHAnsi"/>
        </w:rPr>
        <w:t>że dochodzi do naruszenia</w:t>
      </w:r>
      <w:r w:rsidRPr="008065CD">
        <w:rPr>
          <w:rFonts w:cstheme="minorHAnsi"/>
        </w:rPr>
        <w:t xml:space="preserve"> samej istoty owego prawa. Co więcej, ograniczeni</w:t>
      </w:r>
      <w:r w:rsidR="00281C40" w:rsidRPr="008065CD">
        <w:rPr>
          <w:rFonts w:cstheme="minorHAnsi"/>
        </w:rPr>
        <w:t>e</w:t>
      </w:r>
      <w:r w:rsidRPr="008065CD">
        <w:rPr>
          <w:rFonts w:cstheme="minorHAnsi"/>
        </w:rPr>
        <w:t xml:space="preserve"> nie będ</w:t>
      </w:r>
      <w:r w:rsidR="00281C40" w:rsidRPr="008065CD">
        <w:rPr>
          <w:rFonts w:cstheme="minorHAnsi"/>
        </w:rPr>
        <w:t>zie</w:t>
      </w:r>
      <w:r w:rsidRPr="008065CD">
        <w:rPr>
          <w:rFonts w:cstheme="minorHAnsi"/>
        </w:rPr>
        <w:t xml:space="preserve"> </w:t>
      </w:r>
      <w:r w:rsidR="00DF6BFF">
        <w:rPr>
          <w:rFonts w:cstheme="minorHAnsi"/>
        </w:rPr>
        <w:t xml:space="preserve">zgodne </w:t>
      </w:r>
      <w:r w:rsidRPr="008065CD">
        <w:rPr>
          <w:rFonts w:cstheme="minorHAnsi"/>
        </w:rPr>
        <w:t>z art. 6 ust. 1, jeżeli nie służ</w:t>
      </w:r>
      <w:r w:rsidR="00281C40" w:rsidRPr="008065CD">
        <w:rPr>
          <w:rFonts w:cstheme="minorHAnsi"/>
        </w:rPr>
        <w:t>y</w:t>
      </w:r>
      <w:r w:rsidRPr="008065CD">
        <w:rPr>
          <w:rFonts w:cstheme="minorHAnsi"/>
        </w:rPr>
        <w:t xml:space="preserve"> realizacji uprawnionego celu i jeżeli nie ma zasadnego stosunku proporcjonalności między zastosowanymi środkami a celem, który ma zostać osiągnięty (</w:t>
      </w:r>
      <w:r w:rsidRPr="008065CD">
        <w:rPr>
          <w:rFonts w:cstheme="minorHAnsi"/>
          <w:i/>
          <w:iCs/>
        </w:rPr>
        <w:t>ibid.</w:t>
      </w:r>
      <w:r w:rsidRPr="008065CD">
        <w:rPr>
          <w:rFonts w:cstheme="minorHAnsi"/>
        </w:rPr>
        <w:t xml:space="preserve">; zob. także m.in. </w:t>
      </w:r>
      <w:proofErr w:type="spellStart"/>
      <w:r w:rsidRPr="008065CD">
        <w:rPr>
          <w:rFonts w:cstheme="minorHAnsi"/>
          <w:i/>
          <w:iCs/>
        </w:rPr>
        <w:t>Cordova</w:t>
      </w:r>
      <w:proofErr w:type="spellEnd"/>
      <w:r w:rsidRPr="008065CD">
        <w:rPr>
          <w:rFonts w:cstheme="minorHAnsi"/>
          <w:i/>
          <w:iCs/>
        </w:rPr>
        <w:t xml:space="preserve"> przeciwko Włochom (nr 1)</w:t>
      </w:r>
      <w:r w:rsidRPr="008065CD">
        <w:rPr>
          <w:rFonts w:cstheme="minorHAnsi"/>
        </w:rPr>
        <w:t>, nr 40877/98, § 54, ETPC 2003-I, jak</w:t>
      </w:r>
      <w:r w:rsidR="00AF7E7E">
        <w:rPr>
          <w:rFonts w:cstheme="minorHAnsi"/>
        </w:rPr>
        <w:t> </w:t>
      </w:r>
      <w:r w:rsidRPr="008065CD">
        <w:rPr>
          <w:rFonts w:cstheme="minorHAnsi"/>
        </w:rPr>
        <w:t xml:space="preserve">również podsumowanie istotnych zasad w sprawie </w:t>
      </w:r>
      <w:proofErr w:type="spellStart"/>
      <w:r w:rsidRPr="008065CD">
        <w:rPr>
          <w:rFonts w:cstheme="minorHAnsi"/>
          <w:i/>
          <w:iCs/>
        </w:rPr>
        <w:t>Fayed</w:t>
      </w:r>
      <w:proofErr w:type="spellEnd"/>
      <w:r w:rsidRPr="008065CD">
        <w:rPr>
          <w:rFonts w:cstheme="minorHAnsi"/>
          <w:i/>
          <w:iCs/>
        </w:rPr>
        <w:t xml:space="preserve"> przeciwko Zjednoczonemu Królestwu, </w:t>
      </w:r>
      <w:r w:rsidRPr="008065CD">
        <w:rPr>
          <w:rFonts w:cstheme="minorHAnsi"/>
        </w:rPr>
        <w:t>21 września 1994, § 65, Seria A nr 294-B</w:t>
      </w:r>
      <w:r w:rsidRPr="008065CD">
        <w:rPr>
          <w:rFonts w:cstheme="minorHAnsi"/>
          <w:i/>
          <w:iCs/>
        </w:rPr>
        <w:t>).</w:t>
      </w:r>
    </w:p>
    <w:p w14:paraId="0B69443C" w14:textId="138C8AB7" w:rsidR="00D968F7" w:rsidRPr="008065CD" w:rsidRDefault="00D968F7" w:rsidP="00197933">
      <w:pPr>
        <w:pStyle w:val="JuQuot"/>
        <w:rPr>
          <w:rFonts w:eastAsia="Times New Roman" w:cstheme="minorHAnsi"/>
        </w:rPr>
      </w:pPr>
      <w:r w:rsidRPr="008065CD">
        <w:rPr>
          <w:rFonts w:cstheme="minorHAnsi"/>
        </w:rPr>
        <w:t>231.</w:t>
      </w:r>
      <w:r w:rsidR="008A6748">
        <w:rPr>
          <w:rFonts w:cstheme="minorHAnsi"/>
        </w:rPr>
        <w:t xml:space="preserve"> </w:t>
      </w:r>
      <w:r w:rsidRPr="008065CD">
        <w:rPr>
          <w:rFonts w:cstheme="minorHAnsi"/>
        </w:rPr>
        <w:t>Ponadto Konwencja ma na celu zagwarantowanie nie tyle praw teoretycznych czy iluzorycznych, ile praktycznych i skutecznych. Dotyczy to w szczególności gwarancji przewidzianych w art. 6, z uwagi na poczesne miejsce, jakie w</w:t>
      </w:r>
      <w:r w:rsidR="009F56A8" w:rsidRPr="008065CD">
        <w:rPr>
          <w:rFonts w:cstheme="minorHAnsi"/>
        </w:rPr>
        <w:t> </w:t>
      </w:r>
      <w:r w:rsidRPr="008065CD">
        <w:rPr>
          <w:rFonts w:cstheme="minorHAnsi"/>
        </w:rPr>
        <w:t>demokratycznym społeczeństwie zajmuje prawo do rzetelnego procesu sądowego wraz ze wszystkimi gwarancjami wynikającymi z tego artykułu (zob. </w:t>
      </w:r>
      <w:r w:rsidRPr="008065CD">
        <w:rPr>
          <w:rFonts w:cstheme="minorHAnsi"/>
          <w:i/>
          <w:iCs/>
        </w:rPr>
        <w:t>Książę Liechtensteinu Hans-Adam II przeciwko Niemcom</w:t>
      </w:r>
      <w:r w:rsidRPr="008065CD">
        <w:rPr>
          <w:rFonts w:cstheme="minorHAnsi"/>
        </w:rPr>
        <w:t xml:space="preserve"> [WI], nr 42527/98, § 45 ETPC 2001-VIII)”.</w:t>
      </w:r>
    </w:p>
    <w:p w14:paraId="606B6EB6" w14:textId="7DB8EFC2" w:rsidR="00D968F7" w:rsidRPr="008065CD" w:rsidRDefault="003A445E" w:rsidP="00197933">
      <w:pPr>
        <w:pStyle w:val="JuPara"/>
        <w:rPr>
          <w:rFonts w:cstheme="minorHAnsi"/>
        </w:rPr>
      </w:pPr>
      <w:r w:rsidRPr="008065CD">
        <w:rPr>
          <w:rFonts w:cstheme="minorHAnsi"/>
          <w:noProof/>
        </w:rPr>
        <w:t>70</w:t>
      </w:r>
      <w:r w:rsidR="00027305" w:rsidRPr="008065CD">
        <w:rPr>
          <w:rFonts w:cstheme="minorHAnsi"/>
        </w:rPr>
        <w:t>.</w:t>
      </w:r>
      <w:r w:rsidR="008A6748">
        <w:rPr>
          <w:rFonts w:cstheme="minorHAnsi"/>
        </w:rPr>
        <w:t xml:space="preserve"> </w:t>
      </w:r>
      <w:r w:rsidR="00027305" w:rsidRPr="008065CD">
        <w:rPr>
          <w:rFonts w:cstheme="minorHAnsi"/>
        </w:rPr>
        <w:t>Trybunał stwierdził ponadto, że nadmierne opóźnienia w</w:t>
      </w:r>
      <w:r w:rsidR="009F56A8" w:rsidRPr="008065CD">
        <w:rPr>
          <w:rFonts w:cstheme="minorHAnsi"/>
        </w:rPr>
        <w:t> </w:t>
      </w:r>
      <w:r w:rsidR="00027305" w:rsidRPr="008065CD">
        <w:rPr>
          <w:rFonts w:cstheme="minorHAnsi"/>
        </w:rPr>
        <w:t xml:space="preserve">rozpatrywaniu roszczenia mogą również uczynić prawo dostępu do sądu bezprzedmiotowym i iluzorycznym (zob. </w:t>
      </w:r>
      <w:r w:rsidR="00027305" w:rsidRPr="008065CD">
        <w:rPr>
          <w:rFonts w:cstheme="minorHAnsi"/>
          <w:i/>
        </w:rPr>
        <w:t xml:space="preserve">Kristiansen i </w:t>
      </w:r>
      <w:proofErr w:type="spellStart"/>
      <w:r w:rsidR="00027305" w:rsidRPr="008065CD">
        <w:rPr>
          <w:rFonts w:cstheme="minorHAnsi"/>
          <w:i/>
        </w:rPr>
        <w:t>Tyvik</w:t>
      </w:r>
      <w:proofErr w:type="spellEnd"/>
      <w:r w:rsidR="00027305" w:rsidRPr="008065CD">
        <w:rPr>
          <w:rFonts w:cstheme="minorHAnsi"/>
          <w:i/>
        </w:rPr>
        <w:t xml:space="preserve"> As przeciwko Norwegii</w:t>
      </w:r>
      <w:r w:rsidR="00027305" w:rsidRPr="008065CD">
        <w:rPr>
          <w:rFonts w:cstheme="minorHAnsi"/>
        </w:rPr>
        <w:t>, nr 25498/08, § 57, 2 maja 2013 r.).</w:t>
      </w:r>
    </w:p>
    <w:p w14:paraId="14832FCF" w14:textId="37545EAE" w:rsidR="00D968F7" w:rsidRPr="008065CD" w:rsidRDefault="003A445E" w:rsidP="00197933">
      <w:pPr>
        <w:pStyle w:val="JuPara"/>
        <w:rPr>
          <w:rFonts w:cstheme="minorHAnsi"/>
        </w:rPr>
      </w:pPr>
      <w:r w:rsidRPr="008065CD">
        <w:rPr>
          <w:rFonts w:cstheme="minorHAnsi"/>
          <w:noProof/>
        </w:rPr>
        <w:t>71</w:t>
      </w:r>
      <w:r w:rsidR="00027305" w:rsidRPr="008065CD">
        <w:rPr>
          <w:rFonts w:cstheme="minorHAnsi"/>
        </w:rPr>
        <w:t>.</w:t>
      </w:r>
      <w:r w:rsidR="008A6748">
        <w:rPr>
          <w:rFonts w:cstheme="minorHAnsi"/>
        </w:rPr>
        <w:t xml:space="preserve"> </w:t>
      </w:r>
      <w:r w:rsidR="00027305" w:rsidRPr="008065CD">
        <w:rPr>
          <w:rFonts w:cstheme="minorHAnsi"/>
        </w:rPr>
        <w:t>Przechodząc do okoliczności niniejszej sprawy, Trybunał zauważ</w:t>
      </w:r>
      <w:r w:rsidR="00DF6BFF">
        <w:rPr>
          <w:rFonts w:cstheme="minorHAnsi"/>
        </w:rPr>
        <w:t>a</w:t>
      </w:r>
      <w:r w:rsidR="00027305" w:rsidRPr="008065CD">
        <w:rPr>
          <w:rFonts w:cstheme="minorHAnsi"/>
        </w:rPr>
        <w:t>, że</w:t>
      </w:r>
      <w:r w:rsidR="00AF7E7E">
        <w:rPr>
          <w:rFonts w:cstheme="minorHAnsi"/>
        </w:rPr>
        <w:t> </w:t>
      </w:r>
      <w:r w:rsidR="00027305" w:rsidRPr="008065CD">
        <w:rPr>
          <w:rFonts w:cstheme="minorHAnsi"/>
        </w:rPr>
        <w:t xml:space="preserve">skarżący rzeczywiście miał prawo do odwołania się od decyzji obniżających jego świadczenia i że jego odwołania, z pewnym opóźnieniem, zostały przekazane do właściwego sądu. Postępowanie przed Sądem Okręgowym zostało zawieszone na długi czas (zob. paragrafy </w:t>
      </w:r>
      <w:r w:rsidRPr="008065CD">
        <w:rPr>
          <w:rFonts w:cstheme="minorHAnsi"/>
          <w:noProof/>
        </w:rPr>
        <w:t>10</w:t>
      </w:r>
      <w:r w:rsidR="00027305" w:rsidRPr="008065CD">
        <w:rPr>
          <w:rFonts w:cstheme="minorHAnsi"/>
        </w:rPr>
        <w:t xml:space="preserve"> i </w:t>
      </w:r>
      <w:r w:rsidRPr="008065CD">
        <w:rPr>
          <w:rFonts w:cstheme="minorHAnsi"/>
          <w:noProof/>
        </w:rPr>
        <w:t>21</w:t>
      </w:r>
      <w:r w:rsidR="00027305" w:rsidRPr="008065CD">
        <w:rPr>
          <w:rFonts w:cstheme="minorHAnsi"/>
        </w:rPr>
        <w:t xml:space="preserve"> powyżej); skarżący zdołał jednak doprowadzić do jego podjęcia w</w:t>
      </w:r>
      <w:r w:rsidR="009F56A8" w:rsidRPr="008065CD">
        <w:rPr>
          <w:rFonts w:cstheme="minorHAnsi"/>
        </w:rPr>
        <w:t> </w:t>
      </w:r>
      <w:r w:rsidR="00027305" w:rsidRPr="008065CD">
        <w:rPr>
          <w:rFonts w:cstheme="minorHAnsi"/>
        </w:rPr>
        <w:t xml:space="preserve">następstwie złożenia przez niego wniosku w tym zakresie oraz </w:t>
      </w:r>
      <w:r w:rsidR="000035A3" w:rsidRPr="008065CD">
        <w:rPr>
          <w:rFonts w:cstheme="minorHAnsi"/>
        </w:rPr>
        <w:t xml:space="preserve">złożonego </w:t>
      </w:r>
      <w:r w:rsidR="00027305" w:rsidRPr="008065CD">
        <w:rPr>
          <w:rFonts w:cstheme="minorHAnsi"/>
        </w:rPr>
        <w:t>przez niego zażalenia na postanowienie oddalające przedmiotowy wniosek. W swoim zażaleniu skarżący argumentował, że zawieszenie postępowania stanowiło nieuzasadnione ograniczenie jego prawa dostępu do sądu (zob.</w:t>
      </w:r>
      <w:r w:rsidR="00AF7E7E">
        <w:rPr>
          <w:rFonts w:cstheme="minorHAnsi"/>
        </w:rPr>
        <w:t> </w:t>
      </w:r>
      <w:r w:rsidR="00027305" w:rsidRPr="008065CD">
        <w:rPr>
          <w:rFonts w:cstheme="minorHAnsi"/>
        </w:rPr>
        <w:t xml:space="preserve">paragraf </w:t>
      </w:r>
      <w:r w:rsidRPr="008065CD">
        <w:rPr>
          <w:rFonts w:cstheme="minorHAnsi"/>
          <w:noProof/>
        </w:rPr>
        <w:t>20</w:t>
      </w:r>
      <w:r w:rsidR="00027305" w:rsidRPr="008065CD">
        <w:rPr>
          <w:rFonts w:cstheme="minorHAnsi"/>
        </w:rPr>
        <w:t xml:space="preserve"> powyżej). Wyrok pierwszej instancji co do istoty sprawy został wydany pięć miesięcy po podjęciu postępowania, w dniu 7 maja 2021</w:t>
      </w:r>
      <w:r w:rsidR="00AF7E7E">
        <w:rPr>
          <w:rFonts w:cstheme="minorHAnsi"/>
        </w:rPr>
        <w:t> </w:t>
      </w:r>
      <w:r w:rsidR="00027305" w:rsidRPr="008065CD">
        <w:rPr>
          <w:rFonts w:cstheme="minorHAnsi"/>
        </w:rPr>
        <w:t>r., a</w:t>
      </w:r>
      <w:r w:rsidR="000035A3" w:rsidRPr="008065CD">
        <w:rPr>
          <w:rFonts w:cstheme="minorHAnsi"/>
        </w:rPr>
        <w:t> </w:t>
      </w:r>
      <w:r w:rsidR="00027305" w:rsidRPr="008065CD">
        <w:rPr>
          <w:rFonts w:cstheme="minorHAnsi"/>
        </w:rPr>
        <w:t>wyrok drugiej instancji został wydany we wrześniu 2021 r. Wyroki zostały wykonane; w dniu 8 października 2021 r. wydano decyzję o</w:t>
      </w:r>
      <w:r w:rsidR="00AF7E7E">
        <w:rPr>
          <w:rFonts w:cstheme="minorHAnsi"/>
        </w:rPr>
        <w:t> </w:t>
      </w:r>
      <w:r w:rsidR="00027305" w:rsidRPr="008065CD">
        <w:rPr>
          <w:rFonts w:cstheme="minorHAnsi"/>
        </w:rPr>
        <w:t>ponownym ustaleniu wysokości emerytury skarżącego. Otrzymał on</w:t>
      </w:r>
      <w:r w:rsidR="00AF7E7E">
        <w:rPr>
          <w:rFonts w:cstheme="minorHAnsi"/>
        </w:rPr>
        <w:t> </w:t>
      </w:r>
      <w:r w:rsidR="00027305" w:rsidRPr="008065CD">
        <w:rPr>
          <w:rFonts w:cstheme="minorHAnsi"/>
        </w:rPr>
        <w:t xml:space="preserve">również wyrównanie za cały okres, w którym pobierał obniżoną emeryturę (zob. paragraf </w:t>
      </w:r>
      <w:r w:rsidRPr="008065CD">
        <w:rPr>
          <w:rFonts w:cstheme="minorHAnsi"/>
          <w:noProof/>
        </w:rPr>
        <w:t>25</w:t>
      </w:r>
      <w:r w:rsidR="00027305" w:rsidRPr="008065CD">
        <w:rPr>
          <w:rFonts w:cstheme="minorHAnsi"/>
        </w:rPr>
        <w:t xml:space="preserve"> powyżej). Trybunał stwierdził już, że</w:t>
      </w:r>
      <w:r w:rsidR="00AF7E7E">
        <w:rPr>
          <w:rFonts w:cstheme="minorHAnsi"/>
        </w:rPr>
        <w:t> </w:t>
      </w:r>
      <w:r w:rsidR="00027305" w:rsidRPr="008065CD">
        <w:rPr>
          <w:rFonts w:cstheme="minorHAnsi"/>
        </w:rPr>
        <w:t xml:space="preserve">postępowanie w sprawie skarżącego było długotrwałe, w szczególności biorąc pod uwagę </w:t>
      </w:r>
      <w:r w:rsidR="00043589">
        <w:rPr>
          <w:rFonts w:cstheme="minorHAnsi"/>
        </w:rPr>
        <w:t xml:space="preserve">znaczenie sprawy dla niego </w:t>
      </w:r>
      <w:r w:rsidR="00027305" w:rsidRPr="008065CD">
        <w:rPr>
          <w:rFonts w:cstheme="minorHAnsi"/>
        </w:rPr>
        <w:t xml:space="preserve">(zob. paragraf </w:t>
      </w:r>
      <w:r w:rsidRPr="008065CD">
        <w:rPr>
          <w:rFonts w:eastAsia="Times New Roman" w:cstheme="minorHAnsi"/>
          <w:noProof/>
          <w:color w:val="000000"/>
        </w:rPr>
        <w:t>48</w:t>
      </w:r>
      <w:r w:rsidR="00027305" w:rsidRPr="008065CD">
        <w:rPr>
          <w:rFonts w:cstheme="minorHAnsi"/>
        </w:rPr>
        <w:t xml:space="preserve"> powyżej). </w:t>
      </w:r>
      <w:r w:rsidR="00027305" w:rsidRPr="008065CD">
        <w:rPr>
          <w:rFonts w:cstheme="minorHAnsi"/>
        </w:rPr>
        <w:lastRenderedPageBreak/>
        <w:t xml:space="preserve">Trybunał nie uważa jednak, że długość postępowania była nadmierna do tego stopnia, że pozbawiła skarżącego samej istoty jego prawa (por. </w:t>
      </w:r>
      <w:r w:rsidR="00027305" w:rsidRPr="008065CD">
        <w:rPr>
          <w:rFonts w:cstheme="minorHAnsi"/>
          <w:i/>
        </w:rPr>
        <w:t>Kristiansen i</w:t>
      </w:r>
      <w:r w:rsidR="00AF7E7E">
        <w:rPr>
          <w:rFonts w:cstheme="minorHAnsi"/>
          <w:i/>
        </w:rPr>
        <w:t> </w:t>
      </w:r>
      <w:proofErr w:type="spellStart"/>
      <w:r w:rsidR="00027305" w:rsidRPr="008065CD">
        <w:rPr>
          <w:rFonts w:cstheme="minorHAnsi"/>
          <w:i/>
        </w:rPr>
        <w:t>Tyvik</w:t>
      </w:r>
      <w:proofErr w:type="spellEnd"/>
      <w:r w:rsidR="00027305" w:rsidRPr="008065CD">
        <w:rPr>
          <w:rFonts w:cstheme="minorHAnsi"/>
          <w:i/>
        </w:rPr>
        <w:t xml:space="preserve"> As</w:t>
      </w:r>
      <w:r w:rsidR="00027305" w:rsidRPr="008065CD">
        <w:rPr>
          <w:rFonts w:cstheme="minorHAnsi"/>
        </w:rPr>
        <w:t>,</w:t>
      </w:r>
      <w:r w:rsidR="00027305" w:rsidRPr="008065CD">
        <w:rPr>
          <w:rFonts w:cstheme="minorHAnsi"/>
          <w:i/>
          <w:iCs/>
        </w:rPr>
        <w:t xml:space="preserve"> op. cit</w:t>
      </w:r>
      <w:r w:rsidR="00027305" w:rsidRPr="008065CD">
        <w:rPr>
          <w:rFonts w:cstheme="minorHAnsi"/>
        </w:rPr>
        <w:t>., § 57).</w:t>
      </w:r>
    </w:p>
    <w:p w14:paraId="07CDDD10" w14:textId="1D075FC2" w:rsidR="00D968F7" w:rsidRPr="008065CD" w:rsidRDefault="003A445E" w:rsidP="00197933">
      <w:pPr>
        <w:pStyle w:val="JuPara"/>
        <w:rPr>
          <w:rFonts w:cstheme="minorHAnsi"/>
        </w:rPr>
      </w:pPr>
      <w:r w:rsidRPr="008065CD">
        <w:rPr>
          <w:rFonts w:cstheme="minorHAnsi"/>
          <w:noProof/>
        </w:rPr>
        <w:t>72</w:t>
      </w:r>
      <w:r w:rsidR="00027305" w:rsidRPr="008065CD">
        <w:rPr>
          <w:rFonts w:cstheme="minorHAnsi"/>
        </w:rPr>
        <w:t>.</w:t>
      </w:r>
      <w:r w:rsidR="008A6748">
        <w:rPr>
          <w:rFonts w:cstheme="minorHAnsi"/>
        </w:rPr>
        <w:t xml:space="preserve"> </w:t>
      </w:r>
      <w:r w:rsidR="00027305" w:rsidRPr="008065CD">
        <w:rPr>
          <w:rFonts w:cstheme="minorHAnsi"/>
        </w:rPr>
        <w:t xml:space="preserve">Z powyższego wynika, że skarga na podstawie art. 6 ust. 1 Konwencji dotycząca prawa skarżącego do dostępu do sądu jest w sposób oczywisty nieuzasadniona w rozumieniu art. 35 ust. 3 i musi zostać </w:t>
      </w:r>
      <w:r w:rsidR="001C4945" w:rsidRPr="008065CD">
        <w:rPr>
          <w:rFonts w:cstheme="minorHAnsi"/>
        </w:rPr>
        <w:t>odrzucona</w:t>
      </w:r>
      <w:r w:rsidR="00027305" w:rsidRPr="008065CD">
        <w:rPr>
          <w:rFonts w:cstheme="minorHAnsi"/>
        </w:rPr>
        <w:t xml:space="preserve"> zgodnie z</w:t>
      </w:r>
      <w:r w:rsidR="000035A3" w:rsidRPr="008065CD">
        <w:rPr>
          <w:rFonts w:cstheme="minorHAnsi"/>
        </w:rPr>
        <w:t> </w:t>
      </w:r>
      <w:r w:rsidR="00027305" w:rsidRPr="008065CD">
        <w:rPr>
          <w:rFonts w:cstheme="minorHAnsi"/>
        </w:rPr>
        <w:t xml:space="preserve">art. 35 ust. </w:t>
      </w:r>
      <w:r w:rsidR="00027305" w:rsidRPr="008E1E81">
        <w:rPr>
          <w:rFonts w:cstheme="minorHAnsi"/>
        </w:rPr>
        <w:t>4 Konwencji</w:t>
      </w:r>
      <w:r w:rsidR="00027305" w:rsidRPr="008065CD">
        <w:rPr>
          <w:rFonts w:cstheme="minorHAnsi"/>
        </w:rPr>
        <w:t>.</w:t>
      </w:r>
    </w:p>
    <w:p w14:paraId="7FA65F83" w14:textId="2712783D" w:rsidR="00D968F7" w:rsidRPr="008065CD" w:rsidRDefault="00D968F7" w:rsidP="00197933">
      <w:pPr>
        <w:pStyle w:val="JuHIRoman"/>
        <w:rPr>
          <w:rFonts w:asciiTheme="minorHAnsi" w:hAnsiTheme="minorHAnsi" w:cstheme="minorHAnsi"/>
        </w:rPr>
      </w:pPr>
      <w:r w:rsidRPr="008065CD">
        <w:rPr>
          <w:rFonts w:asciiTheme="minorHAnsi" w:hAnsiTheme="minorHAnsi" w:cstheme="minorHAnsi"/>
        </w:rPr>
        <w:t>ZASTOSOWANIE ART. 41 KONWENCJI</w:t>
      </w:r>
    </w:p>
    <w:p w14:paraId="2CAB2757" w14:textId="4B5FF51A" w:rsidR="00D968F7" w:rsidRPr="008065CD" w:rsidRDefault="003A445E" w:rsidP="00197933">
      <w:pPr>
        <w:pStyle w:val="JuPara"/>
        <w:keepNext/>
        <w:keepLines/>
        <w:rPr>
          <w:rFonts w:cstheme="minorHAnsi"/>
        </w:rPr>
      </w:pPr>
      <w:r w:rsidRPr="008065CD">
        <w:rPr>
          <w:rFonts w:cstheme="minorHAnsi"/>
          <w:noProof/>
        </w:rPr>
        <w:t>73</w:t>
      </w:r>
      <w:r w:rsidR="00D968F7" w:rsidRPr="008065CD">
        <w:rPr>
          <w:rFonts w:cstheme="minorHAnsi"/>
        </w:rPr>
        <w:t>.</w:t>
      </w:r>
      <w:r w:rsidR="008A6748">
        <w:rPr>
          <w:rFonts w:cstheme="minorHAnsi"/>
        </w:rPr>
        <w:t xml:space="preserve"> </w:t>
      </w:r>
      <w:r w:rsidR="00D968F7" w:rsidRPr="008065CD">
        <w:rPr>
          <w:rFonts w:cstheme="minorHAnsi"/>
        </w:rPr>
        <w:t>Artykuł 41 Konwencji stanowi:</w:t>
      </w:r>
    </w:p>
    <w:p w14:paraId="3D110D19" w14:textId="1D493CD0" w:rsidR="00D968F7" w:rsidRPr="008065CD" w:rsidRDefault="00D968F7" w:rsidP="00197933">
      <w:pPr>
        <w:pStyle w:val="JuQuot"/>
        <w:rPr>
          <w:rFonts w:cstheme="minorHAnsi"/>
        </w:rPr>
      </w:pPr>
      <w:r w:rsidRPr="008065CD">
        <w:rPr>
          <w:rFonts w:cstheme="minorHAnsi"/>
        </w:rPr>
        <w:t>„</w:t>
      </w:r>
      <w:r w:rsidR="00336217" w:rsidRPr="008065CD">
        <w:rPr>
          <w:rFonts w:cstheme="minorHAnsi"/>
        </w:rPr>
        <w:t xml:space="preserve">Jeśli Trybunał stwierdzi, że nastąpiło naruszenie Konwencji lub jej </w:t>
      </w:r>
      <w:r w:rsidR="00824A0A" w:rsidRPr="008065CD">
        <w:rPr>
          <w:rFonts w:cstheme="minorHAnsi"/>
        </w:rPr>
        <w:t>Protokołów</w:t>
      </w:r>
      <w:r w:rsidR="00336217" w:rsidRPr="008065CD">
        <w:rPr>
          <w:rFonts w:cstheme="minorHAnsi"/>
        </w:rPr>
        <w:t>, oraz</w:t>
      </w:r>
      <w:r w:rsidR="00AF7E7E">
        <w:rPr>
          <w:rFonts w:cstheme="minorHAnsi"/>
        </w:rPr>
        <w:t> </w:t>
      </w:r>
      <w:r w:rsidR="00336217" w:rsidRPr="008065CD">
        <w:rPr>
          <w:rFonts w:cstheme="minorHAnsi"/>
        </w:rPr>
        <w:t>jeśli prawo wewnętrzne zainteresowanej Wysokiej Układającej się Strony pozwala tylko na częściowe usunięcie konsekwencji tego naruszenia, Trybunał orzeka, gdy</w:t>
      </w:r>
      <w:r w:rsidR="00AF7E7E">
        <w:rPr>
          <w:rFonts w:cstheme="minorHAnsi"/>
        </w:rPr>
        <w:t> </w:t>
      </w:r>
      <w:r w:rsidR="00336217" w:rsidRPr="008065CD">
        <w:rPr>
          <w:rFonts w:cstheme="minorHAnsi"/>
        </w:rPr>
        <w:t>zachodzi potrzeba, słuszne zadośću</w:t>
      </w:r>
      <w:r w:rsidR="002C013E" w:rsidRPr="008065CD">
        <w:rPr>
          <w:rFonts w:cstheme="minorHAnsi"/>
        </w:rPr>
        <w:t>czynienie pokrzywdzonej stronie</w:t>
      </w:r>
      <w:r w:rsidRPr="008065CD">
        <w:rPr>
          <w:rFonts w:cstheme="minorHAnsi"/>
        </w:rPr>
        <w:t>”.</w:t>
      </w:r>
    </w:p>
    <w:p w14:paraId="52303F6A" w14:textId="77777777" w:rsidR="00D968F7" w:rsidRPr="008065CD" w:rsidRDefault="00D968F7" w:rsidP="00197933">
      <w:pPr>
        <w:pStyle w:val="JuHA"/>
        <w:rPr>
          <w:rFonts w:asciiTheme="minorHAnsi" w:hAnsiTheme="minorHAnsi" w:cstheme="minorHAnsi"/>
        </w:rPr>
      </w:pPr>
      <w:r w:rsidRPr="008065CD">
        <w:rPr>
          <w:rFonts w:asciiTheme="minorHAnsi" w:hAnsiTheme="minorHAnsi" w:cstheme="minorHAnsi"/>
        </w:rPr>
        <w:t>Szkoda</w:t>
      </w:r>
    </w:p>
    <w:p w14:paraId="1FFD9C5A" w14:textId="0F9ED7ED" w:rsidR="00D968F7" w:rsidRPr="008065CD" w:rsidRDefault="003A445E" w:rsidP="00197933">
      <w:pPr>
        <w:pStyle w:val="JuPara"/>
        <w:rPr>
          <w:rFonts w:cstheme="minorHAnsi"/>
        </w:rPr>
      </w:pPr>
      <w:r w:rsidRPr="008065CD">
        <w:rPr>
          <w:rFonts w:cstheme="minorHAnsi"/>
          <w:noProof/>
        </w:rPr>
        <w:t>74</w:t>
      </w:r>
      <w:r w:rsidR="00D968F7" w:rsidRPr="008065CD">
        <w:rPr>
          <w:rFonts w:cstheme="minorHAnsi"/>
        </w:rPr>
        <w:t>.</w:t>
      </w:r>
      <w:r w:rsidR="008A6748">
        <w:rPr>
          <w:rFonts w:cstheme="minorHAnsi"/>
        </w:rPr>
        <w:t xml:space="preserve"> </w:t>
      </w:r>
      <w:r w:rsidR="00D968F7" w:rsidRPr="008065CD">
        <w:rPr>
          <w:rFonts w:cstheme="minorHAnsi"/>
        </w:rPr>
        <w:t xml:space="preserve">Skarżący domagał się kwoty 100 000 euro (EUR) tytułem zadośćuczynienia za szkodę niemajątkową i kwoty 7805,44 </w:t>
      </w:r>
      <w:r w:rsidR="00043589">
        <w:rPr>
          <w:rFonts w:cstheme="minorHAnsi"/>
        </w:rPr>
        <w:t>euro</w:t>
      </w:r>
      <w:r w:rsidR="00D968F7" w:rsidRPr="008065CD">
        <w:rPr>
          <w:rFonts w:cstheme="minorHAnsi"/>
        </w:rPr>
        <w:t xml:space="preserve"> tytułem odszkodowania za szkodę majątkową.</w:t>
      </w:r>
    </w:p>
    <w:p w14:paraId="5F63F02D" w14:textId="154582F3" w:rsidR="00D968F7" w:rsidRPr="008065CD" w:rsidRDefault="003A445E" w:rsidP="00197933">
      <w:pPr>
        <w:pStyle w:val="JuPara"/>
        <w:rPr>
          <w:rFonts w:cstheme="minorHAnsi"/>
        </w:rPr>
      </w:pPr>
      <w:r w:rsidRPr="008065CD">
        <w:rPr>
          <w:rFonts w:cstheme="minorHAnsi"/>
          <w:noProof/>
        </w:rPr>
        <w:t>75</w:t>
      </w:r>
      <w:r w:rsidR="00D968F7" w:rsidRPr="008065CD">
        <w:rPr>
          <w:rFonts w:cstheme="minorHAnsi"/>
        </w:rPr>
        <w:t>.</w:t>
      </w:r>
      <w:r w:rsidR="008A6748">
        <w:rPr>
          <w:rFonts w:cstheme="minorHAnsi"/>
        </w:rPr>
        <w:t xml:space="preserve"> </w:t>
      </w:r>
      <w:r w:rsidR="00D968F7" w:rsidRPr="008065CD">
        <w:rPr>
          <w:rFonts w:cstheme="minorHAnsi"/>
        </w:rPr>
        <w:t>Rząd uznał żądania skarżącego za wygórowane i bezzasadne.</w:t>
      </w:r>
    </w:p>
    <w:p w14:paraId="1801D321" w14:textId="1B529E01" w:rsidR="00D968F7" w:rsidRPr="008065CD" w:rsidRDefault="003A445E" w:rsidP="00197933">
      <w:pPr>
        <w:pStyle w:val="JuPara"/>
        <w:rPr>
          <w:rFonts w:cstheme="minorHAnsi"/>
        </w:rPr>
      </w:pPr>
      <w:r w:rsidRPr="008065CD">
        <w:rPr>
          <w:rFonts w:cstheme="minorHAnsi"/>
          <w:noProof/>
        </w:rPr>
        <w:t>76</w:t>
      </w:r>
      <w:r w:rsidR="00D968F7" w:rsidRPr="008065CD">
        <w:rPr>
          <w:rFonts w:cstheme="minorHAnsi"/>
        </w:rPr>
        <w:t>.</w:t>
      </w:r>
      <w:r w:rsidR="008A6748">
        <w:rPr>
          <w:rFonts w:cstheme="minorHAnsi"/>
        </w:rPr>
        <w:t xml:space="preserve"> </w:t>
      </w:r>
      <w:r w:rsidR="00D968F7" w:rsidRPr="008065CD">
        <w:rPr>
          <w:rFonts w:cstheme="minorHAnsi"/>
        </w:rPr>
        <w:t xml:space="preserve">Trybunał nie dostrzega żadnego związku </w:t>
      </w:r>
      <w:proofErr w:type="spellStart"/>
      <w:r w:rsidR="00D968F7" w:rsidRPr="008065CD">
        <w:rPr>
          <w:rFonts w:cstheme="minorHAnsi"/>
        </w:rPr>
        <w:t>przyczynowo-skutkowego</w:t>
      </w:r>
      <w:proofErr w:type="spellEnd"/>
      <w:r w:rsidR="00D968F7" w:rsidRPr="008065CD">
        <w:rPr>
          <w:rFonts w:cstheme="minorHAnsi"/>
        </w:rPr>
        <w:t xml:space="preserve"> między stwierdzonym naruszeniem a zarzucaną szkodą majątkową, w</w:t>
      </w:r>
      <w:r w:rsidR="007B68D9" w:rsidRPr="008065CD">
        <w:rPr>
          <w:rFonts w:cstheme="minorHAnsi"/>
        </w:rPr>
        <w:t> </w:t>
      </w:r>
      <w:r w:rsidR="00D968F7" w:rsidRPr="008065CD">
        <w:rPr>
          <w:rFonts w:cstheme="minorHAnsi"/>
        </w:rPr>
        <w:t>związku z czym nie uwzględnia tego żądania. Niemniej przyznaje skarżącemu kwotę 2100 </w:t>
      </w:r>
      <w:r w:rsidR="00405A4A">
        <w:rPr>
          <w:rFonts w:cstheme="minorHAnsi"/>
        </w:rPr>
        <w:t>euro</w:t>
      </w:r>
      <w:r w:rsidR="00D968F7" w:rsidRPr="008065CD">
        <w:rPr>
          <w:rFonts w:cstheme="minorHAnsi"/>
        </w:rPr>
        <w:t xml:space="preserve"> tytułem zadośćuczynienia za szkodę niemajątkową</w:t>
      </w:r>
      <w:r w:rsidR="008E1E81">
        <w:rPr>
          <w:rFonts w:cstheme="minorHAnsi"/>
        </w:rPr>
        <w:t>, powiększoną</w:t>
      </w:r>
      <w:r w:rsidR="00D968F7" w:rsidRPr="008065CD">
        <w:rPr>
          <w:rFonts w:cstheme="minorHAnsi"/>
        </w:rPr>
        <w:t xml:space="preserve"> o podatek należny od tej kwoty.</w:t>
      </w:r>
    </w:p>
    <w:p w14:paraId="190D583B" w14:textId="77777777" w:rsidR="00D968F7" w:rsidRPr="008065CD" w:rsidRDefault="00D968F7" w:rsidP="00197933">
      <w:pPr>
        <w:pStyle w:val="JuHA"/>
        <w:rPr>
          <w:rFonts w:asciiTheme="minorHAnsi" w:hAnsiTheme="minorHAnsi" w:cstheme="minorHAnsi"/>
        </w:rPr>
      </w:pPr>
      <w:r w:rsidRPr="008065CD">
        <w:rPr>
          <w:rFonts w:asciiTheme="minorHAnsi" w:hAnsiTheme="minorHAnsi" w:cstheme="minorHAnsi"/>
        </w:rPr>
        <w:t>Koszty i wydatki</w:t>
      </w:r>
    </w:p>
    <w:p w14:paraId="2FFE8E99" w14:textId="5CA9DCDB" w:rsidR="00D968F7" w:rsidRPr="008065CD" w:rsidRDefault="003A445E" w:rsidP="00197933">
      <w:pPr>
        <w:pStyle w:val="JuPara"/>
        <w:rPr>
          <w:rFonts w:cstheme="minorHAnsi"/>
        </w:rPr>
      </w:pPr>
      <w:r w:rsidRPr="008065CD">
        <w:rPr>
          <w:rFonts w:cstheme="minorHAnsi"/>
          <w:noProof/>
        </w:rPr>
        <w:t>77</w:t>
      </w:r>
      <w:r w:rsidR="00D968F7" w:rsidRPr="008065CD">
        <w:rPr>
          <w:rFonts w:cstheme="minorHAnsi"/>
        </w:rPr>
        <w:t>.</w:t>
      </w:r>
      <w:r w:rsidR="008A6748">
        <w:rPr>
          <w:rFonts w:cstheme="minorHAnsi"/>
        </w:rPr>
        <w:t xml:space="preserve"> </w:t>
      </w:r>
      <w:r w:rsidR="00D968F7" w:rsidRPr="008065CD">
        <w:rPr>
          <w:rFonts w:cstheme="minorHAnsi"/>
        </w:rPr>
        <w:t xml:space="preserve">Skarżący domagał się również kwoty 763,05 </w:t>
      </w:r>
      <w:r w:rsidR="008E1E81">
        <w:rPr>
          <w:rFonts w:cstheme="minorHAnsi"/>
        </w:rPr>
        <w:t>euro</w:t>
      </w:r>
      <w:r w:rsidR="00D968F7" w:rsidRPr="008065CD">
        <w:rPr>
          <w:rFonts w:cstheme="minorHAnsi"/>
        </w:rPr>
        <w:t xml:space="preserve"> tytułem zwrotu kosztów i wydatków poniesionych przed sądami krajowymi oraz przed Trybunałem.</w:t>
      </w:r>
    </w:p>
    <w:p w14:paraId="53B16224" w14:textId="11855735" w:rsidR="00D968F7" w:rsidRPr="008065CD" w:rsidRDefault="003A445E" w:rsidP="00197933">
      <w:pPr>
        <w:pStyle w:val="JuPara"/>
        <w:rPr>
          <w:rFonts w:cstheme="minorHAnsi"/>
        </w:rPr>
      </w:pPr>
      <w:r w:rsidRPr="008065CD">
        <w:rPr>
          <w:rFonts w:cstheme="minorHAnsi"/>
          <w:noProof/>
        </w:rPr>
        <w:t>78</w:t>
      </w:r>
      <w:r w:rsidR="00D968F7" w:rsidRPr="008065CD">
        <w:rPr>
          <w:rFonts w:cstheme="minorHAnsi"/>
        </w:rPr>
        <w:t>.</w:t>
      </w:r>
      <w:r w:rsidR="008A6748">
        <w:rPr>
          <w:rFonts w:cstheme="minorHAnsi"/>
        </w:rPr>
        <w:t xml:space="preserve"> </w:t>
      </w:r>
      <w:r w:rsidR="00D968F7" w:rsidRPr="008065CD">
        <w:rPr>
          <w:rFonts w:cstheme="minorHAnsi"/>
        </w:rPr>
        <w:t>Rząd uznał żądanie skarżącego za wygórowane i bezzasadne.</w:t>
      </w:r>
    </w:p>
    <w:p w14:paraId="570EE1C2" w14:textId="0D470271" w:rsidR="00D968F7" w:rsidRPr="008065CD" w:rsidRDefault="003A445E" w:rsidP="00197933">
      <w:pPr>
        <w:pStyle w:val="JuPara"/>
        <w:rPr>
          <w:rFonts w:cstheme="minorHAnsi"/>
        </w:rPr>
      </w:pPr>
      <w:r w:rsidRPr="008065CD">
        <w:rPr>
          <w:rFonts w:cstheme="minorHAnsi"/>
          <w:noProof/>
        </w:rPr>
        <w:t>79</w:t>
      </w:r>
      <w:r w:rsidR="00D968F7" w:rsidRPr="008065CD">
        <w:rPr>
          <w:rFonts w:cstheme="minorHAnsi"/>
        </w:rPr>
        <w:t>.</w:t>
      </w:r>
      <w:r w:rsidR="008A6748">
        <w:rPr>
          <w:rFonts w:cstheme="minorHAnsi"/>
        </w:rPr>
        <w:t xml:space="preserve"> </w:t>
      </w:r>
      <w:r w:rsidR="00D968F7" w:rsidRPr="008065CD">
        <w:rPr>
          <w:rFonts w:cstheme="minorHAnsi"/>
        </w:rPr>
        <w:t xml:space="preserve">Zgodnie z orzecznictwem Trybunału skarżącemu przysługuje prawo do zwrotu poniesionych kosztów i wydatków </w:t>
      </w:r>
      <w:r w:rsidR="008E1E81">
        <w:rPr>
          <w:rFonts w:cstheme="minorHAnsi"/>
        </w:rPr>
        <w:t xml:space="preserve">tylko </w:t>
      </w:r>
      <w:r w:rsidR="00D968F7" w:rsidRPr="008065CD">
        <w:rPr>
          <w:rFonts w:cstheme="minorHAnsi"/>
        </w:rPr>
        <w:t>wówczas, gdy wykazał, że były one rzeczywiście poniesione</w:t>
      </w:r>
      <w:r w:rsidR="00F40939">
        <w:rPr>
          <w:rFonts w:cstheme="minorHAnsi"/>
        </w:rPr>
        <w:t xml:space="preserve"> oraz </w:t>
      </w:r>
      <w:r w:rsidR="00CC62C4">
        <w:rPr>
          <w:rFonts w:cstheme="minorHAnsi"/>
        </w:rPr>
        <w:t xml:space="preserve">że </w:t>
      </w:r>
      <w:r w:rsidR="00F40939">
        <w:rPr>
          <w:rFonts w:cstheme="minorHAnsi"/>
        </w:rPr>
        <w:t xml:space="preserve">były konieczne i </w:t>
      </w:r>
      <w:r w:rsidR="00D968F7" w:rsidRPr="008065CD">
        <w:rPr>
          <w:rFonts w:cstheme="minorHAnsi"/>
        </w:rPr>
        <w:t xml:space="preserve">uzasadnione </w:t>
      </w:r>
      <w:r w:rsidR="004543DD">
        <w:rPr>
          <w:rFonts w:cstheme="minorHAnsi"/>
        </w:rPr>
        <w:t>pod względem</w:t>
      </w:r>
      <w:r w:rsidR="00AF7E7E">
        <w:rPr>
          <w:rFonts w:cstheme="minorHAnsi"/>
        </w:rPr>
        <w:t> </w:t>
      </w:r>
      <w:r w:rsidR="00D968F7" w:rsidRPr="008065CD">
        <w:rPr>
          <w:rFonts w:cstheme="minorHAnsi"/>
        </w:rPr>
        <w:t>wysokości. W niniejszej sprawie, mając na uwadze posiadane dokumenty oraz powyższe kryteria, Trybunał uznaje za uzasadnione zasądzić pełną kwotę na pokrycie kosztów w</w:t>
      </w:r>
      <w:r w:rsidR="00F40939">
        <w:rPr>
          <w:rFonts w:cstheme="minorHAnsi"/>
        </w:rPr>
        <w:t>szelkiego rodzaju, powiększoną</w:t>
      </w:r>
      <w:r w:rsidR="00D968F7" w:rsidRPr="008065CD">
        <w:rPr>
          <w:rFonts w:cstheme="minorHAnsi"/>
        </w:rPr>
        <w:t xml:space="preserve"> o należne podatki.</w:t>
      </w:r>
    </w:p>
    <w:p w14:paraId="70F7B1C8" w14:textId="6FAF5FDD" w:rsidR="00D968F7" w:rsidRPr="008065CD" w:rsidRDefault="00D968F7" w:rsidP="003B35DD">
      <w:pPr>
        <w:pStyle w:val="JuHHead"/>
        <w:numPr>
          <w:ilvl w:val="0"/>
          <w:numId w:val="21"/>
        </w:numPr>
        <w:ind w:hanging="76"/>
        <w:rPr>
          <w:rFonts w:asciiTheme="minorHAnsi" w:hAnsiTheme="minorHAnsi" w:cstheme="minorHAnsi"/>
        </w:rPr>
      </w:pPr>
      <w:r w:rsidRPr="008065CD">
        <w:rPr>
          <w:rFonts w:asciiTheme="minorHAnsi" w:hAnsiTheme="minorHAnsi" w:cstheme="minorHAnsi"/>
        </w:rPr>
        <w:lastRenderedPageBreak/>
        <w:t>Z POWYŻSZYCH WZGLĘDÓW TRYBUNAŁ</w:t>
      </w:r>
      <w:r w:rsidR="003B35DD" w:rsidRPr="008065CD">
        <w:rPr>
          <w:rFonts w:asciiTheme="minorHAnsi" w:hAnsiTheme="minorHAnsi" w:cstheme="minorHAnsi"/>
        </w:rPr>
        <w:t xml:space="preserve"> </w:t>
      </w:r>
      <w:r w:rsidRPr="008065CD">
        <w:rPr>
          <w:rFonts w:asciiTheme="minorHAnsi" w:hAnsiTheme="minorHAnsi" w:cstheme="minorHAnsi"/>
        </w:rPr>
        <w:t>JEDNOGŁOŚNIE</w:t>
      </w:r>
    </w:p>
    <w:p w14:paraId="696C2B7B" w14:textId="7835642B" w:rsidR="00D968F7" w:rsidRPr="008065CD" w:rsidRDefault="00D968F7" w:rsidP="00197933">
      <w:pPr>
        <w:pStyle w:val="JuList"/>
        <w:rPr>
          <w:rFonts w:cstheme="minorHAnsi"/>
        </w:rPr>
      </w:pPr>
      <w:r w:rsidRPr="008065CD">
        <w:rPr>
          <w:rFonts w:cstheme="minorHAnsi"/>
          <w:i/>
          <w:iCs/>
        </w:rPr>
        <w:t>uznaje</w:t>
      </w:r>
      <w:r w:rsidRPr="008065CD">
        <w:rPr>
          <w:rFonts w:cstheme="minorHAnsi"/>
        </w:rPr>
        <w:t xml:space="preserve"> zarzuty w zakresie dotyczącym przewlekłości postępowania i</w:t>
      </w:r>
      <w:r w:rsidR="003B35DD" w:rsidRPr="008065CD">
        <w:rPr>
          <w:rFonts w:cstheme="minorHAnsi"/>
        </w:rPr>
        <w:t> </w:t>
      </w:r>
      <w:r w:rsidRPr="008065CD">
        <w:rPr>
          <w:rFonts w:cstheme="minorHAnsi"/>
        </w:rPr>
        <w:t>braku</w:t>
      </w:r>
      <w:r w:rsidR="003A445E" w:rsidRPr="008065CD">
        <w:rPr>
          <w:rFonts w:cstheme="minorHAnsi"/>
        </w:rPr>
        <w:t xml:space="preserve"> </w:t>
      </w:r>
      <w:r w:rsidRPr="008065CD">
        <w:rPr>
          <w:rFonts w:cstheme="minorHAnsi"/>
        </w:rPr>
        <w:t>skutecznego środka odwoławczego za dopuszczalne, w</w:t>
      </w:r>
      <w:r w:rsidR="005C1A41" w:rsidRPr="008065CD">
        <w:rPr>
          <w:rFonts w:cstheme="minorHAnsi"/>
        </w:rPr>
        <w:t> </w:t>
      </w:r>
      <w:r w:rsidRPr="008065CD">
        <w:rPr>
          <w:rFonts w:cstheme="minorHAnsi"/>
        </w:rPr>
        <w:t xml:space="preserve">pozostałej </w:t>
      </w:r>
      <w:r w:rsidR="00F40939" w:rsidRPr="008065CD">
        <w:rPr>
          <w:rFonts w:cstheme="minorHAnsi"/>
        </w:rPr>
        <w:t xml:space="preserve">zaś </w:t>
      </w:r>
      <w:r w:rsidRPr="008065CD">
        <w:rPr>
          <w:rFonts w:cstheme="minorHAnsi"/>
        </w:rPr>
        <w:t>części uznaje skargę za niedopuszczalną;</w:t>
      </w:r>
    </w:p>
    <w:p w14:paraId="75CD0830" w14:textId="3350AB86" w:rsidR="00D968F7" w:rsidRPr="008065CD" w:rsidRDefault="00D968F7" w:rsidP="00197933">
      <w:pPr>
        <w:pStyle w:val="JuList"/>
        <w:rPr>
          <w:rFonts w:cstheme="minorHAnsi"/>
        </w:rPr>
      </w:pPr>
      <w:r w:rsidRPr="008065CD">
        <w:rPr>
          <w:rFonts w:cstheme="minorHAnsi"/>
          <w:i/>
          <w:iCs/>
        </w:rPr>
        <w:t>orzeka</w:t>
      </w:r>
      <w:r w:rsidRPr="008065CD">
        <w:rPr>
          <w:rFonts w:cstheme="minorHAnsi"/>
        </w:rPr>
        <w:t>, że nastąpiło naruszenie art. 6 ust. 1 Konwencji ze względu na</w:t>
      </w:r>
      <w:r w:rsidR="00AF7E7E">
        <w:rPr>
          <w:rFonts w:cstheme="minorHAnsi"/>
        </w:rPr>
        <w:t> </w:t>
      </w:r>
      <w:r w:rsidRPr="008065CD">
        <w:rPr>
          <w:rFonts w:cstheme="minorHAnsi"/>
        </w:rPr>
        <w:t>nadmiernie długi czas trwania postępowania;</w:t>
      </w:r>
    </w:p>
    <w:p w14:paraId="55C018F7" w14:textId="67D55054" w:rsidR="00D968F7" w:rsidRPr="008065CD" w:rsidRDefault="00D968F7" w:rsidP="00197933">
      <w:pPr>
        <w:pStyle w:val="JuList"/>
        <w:rPr>
          <w:rFonts w:cstheme="minorHAnsi"/>
        </w:rPr>
      </w:pPr>
      <w:r w:rsidRPr="008065CD">
        <w:rPr>
          <w:rFonts w:cstheme="minorHAnsi"/>
          <w:i/>
          <w:iCs/>
        </w:rPr>
        <w:t>stwierdza</w:t>
      </w:r>
      <w:r w:rsidRPr="008065CD">
        <w:rPr>
          <w:rFonts w:cstheme="minorHAnsi"/>
        </w:rPr>
        <w:t xml:space="preserve">, że doszło do naruszenia </w:t>
      </w:r>
      <w:bookmarkStart w:id="26" w:name="_Hlk99098637"/>
      <w:r w:rsidRPr="008065CD">
        <w:rPr>
          <w:rFonts w:cstheme="minorHAnsi"/>
        </w:rPr>
        <w:t>art. 13</w:t>
      </w:r>
      <w:bookmarkEnd w:id="26"/>
      <w:r w:rsidRPr="008065CD">
        <w:rPr>
          <w:rFonts w:cstheme="minorHAnsi"/>
        </w:rPr>
        <w:t xml:space="preserve"> Konwencji;</w:t>
      </w:r>
    </w:p>
    <w:p w14:paraId="3FD24C78" w14:textId="38D10EB8" w:rsidR="002A2836" w:rsidRPr="008065CD" w:rsidRDefault="00131426" w:rsidP="00197933">
      <w:pPr>
        <w:pStyle w:val="JuList"/>
        <w:rPr>
          <w:rFonts w:cstheme="minorHAnsi"/>
        </w:rPr>
      </w:pPr>
      <w:r>
        <w:rPr>
          <w:rFonts w:cstheme="minorHAnsi"/>
          <w:i/>
          <w:iCs/>
        </w:rPr>
        <w:t>u</w:t>
      </w:r>
      <w:r w:rsidR="00D968F7" w:rsidRPr="008065CD">
        <w:rPr>
          <w:rFonts w:cstheme="minorHAnsi"/>
          <w:i/>
          <w:iCs/>
        </w:rPr>
        <w:t>znaje</w:t>
      </w:r>
      <w:r w:rsidR="00D968F7" w:rsidRPr="008065CD">
        <w:rPr>
          <w:rFonts w:cstheme="minorHAnsi"/>
        </w:rPr>
        <w:t>,</w:t>
      </w:r>
    </w:p>
    <w:p w14:paraId="717EC95D" w14:textId="5C94F98C" w:rsidR="00D968F7" w:rsidRPr="008065CD" w:rsidRDefault="00D968F7" w:rsidP="00197933">
      <w:pPr>
        <w:pStyle w:val="JuLista"/>
        <w:rPr>
          <w:rFonts w:cstheme="minorHAnsi"/>
        </w:rPr>
      </w:pPr>
      <w:r w:rsidRPr="008065CD">
        <w:rPr>
          <w:rFonts w:cstheme="minorHAnsi"/>
        </w:rPr>
        <w:t xml:space="preserve">że pozwane </w:t>
      </w:r>
      <w:r w:rsidR="0083778B" w:rsidRPr="008065CD">
        <w:rPr>
          <w:rFonts w:cstheme="minorHAnsi"/>
        </w:rPr>
        <w:t xml:space="preserve">Państwo </w:t>
      </w:r>
      <w:r w:rsidRPr="008065CD">
        <w:rPr>
          <w:rFonts w:cstheme="minorHAnsi"/>
        </w:rPr>
        <w:t>winno, w terminie trzech miesięcy od daty, w</w:t>
      </w:r>
      <w:r w:rsidR="005C1A41" w:rsidRPr="008065CD">
        <w:rPr>
          <w:rFonts w:cstheme="minorHAnsi"/>
        </w:rPr>
        <w:t> </w:t>
      </w:r>
      <w:r w:rsidRPr="008065CD">
        <w:rPr>
          <w:rFonts w:cstheme="minorHAnsi"/>
        </w:rPr>
        <w:t xml:space="preserve">której niniejszy wyrok stanie się ostateczny zgodnie z art. 44 ust. 2 Konwencji, uiścić na rzecz skarżącego następujące kwoty, przeliczone na walutę pozwanego </w:t>
      </w:r>
      <w:r w:rsidR="0083778B" w:rsidRPr="008065CD">
        <w:rPr>
          <w:rFonts w:cstheme="minorHAnsi"/>
        </w:rPr>
        <w:t xml:space="preserve">Państwa </w:t>
      </w:r>
      <w:r w:rsidRPr="008065CD">
        <w:rPr>
          <w:rFonts w:cstheme="minorHAnsi"/>
        </w:rPr>
        <w:t>według kursu obowiązującego w dniu płatności</w:t>
      </w:r>
      <w:r w:rsidR="0083778B" w:rsidRPr="008065CD">
        <w:rPr>
          <w:rFonts w:cstheme="minorHAnsi"/>
        </w:rPr>
        <w:t>:</w:t>
      </w:r>
    </w:p>
    <w:p w14:paraId="27FFDDC3" w14:textId="77777777" w:rsidR="00D968F7" w:rsidRPr="008065CD" w:rsidRDefault="00D968F7" w:rsidP="00197933">
      <w:pPr>
        <w:pStyle w:val="JuListi"/>
        <w:rPr>
          <w:rFonts w:cstheme="minorHAnsi"/>
        </w:rPr>
      </w:pPr>
      <w:r w:rsidRPr="008065CD">
        <w:rPr>
          <w:rFonts w:cstheme="minorHAnsi"/>
        </w:rPr>
        <w:t>2100 EUR (dwa tysiące sto euro), plus wszelkie należne podatki, tytułem zadośćuczynienia za szkodę niemajątkową;</w:t>
      </w:r>
    </w:p>
    <w:p w14:paraId="1DEB47C0" w14:textId="749E512E" w:rsidR="00D968F7" w:rsidRPr="008065CD" w:rsidRDefault="00D968F7" w:rsidP="00197933">
      <w:pPr>
        <w:pStyle w:val="JuListi"/>
        <w:rPr>
          <w:rFonts w:cstheme="minorHAnsi"/>
        </w:rPr>
      </w:pPr>
      <w:r w:rsidRPr="008065CD">
        <w:rPr>
          <w:rFonts w:cstheme="minorHAnsi"/>
        </w:rPr>
        <w:t>763,05 EUR (siedemset sześćdziesiąt trzy euro</w:t>
      </w:r>
      <w:r w:rsidR="00131426">
        <w:rPr>
          <w:rFonts w:cstheme="minorHAnsi"/>
        </w:rPr>
        <w:t xml:space="preserve"> i pięć centów</w:t>
      </w:r>
      <w:r w:rsidRPr="008065CD">
        <w:rPr>
          <w:rFonts w:cstheme="minorHAnsi"/>
        </w:rPr>
        <w:t>), plus</w:t>
      </w:r>
      <w:r w:rsidR="004543DD">
        <w:rPr>
          <w:rFonts w:cstheme="minorHAnsi"/>
        </w:rPr>
        <w:t> </w:t>
      </w:r>
      <w:r w:rsidRPr="008065CD">
        <w:rPr>
          <w:rFonts w:cstheme="minorHAnsi"/>
        </w:rPr>
        <w:t>wszelkie należne podatki, tytułem zwrotu poniesionych kosztów i</w:t>
      </w:r>
      <w:r w:rsidR="00E30A59" w:rsidRPr="008065CD">
        <w:rPr>
          <w:rFonts w:cstheme="minorHAnsi"/>
        </w:rPr>
        <w:t> </w:t>
      </w:r>
      <w:r w:rsidRPr="008065CD">
        <w:rPr>
          <w:rFonts w:cstheme="minorHAnsi"/>
        </w:rPr>
        <w:t>wydatków;</w:t>
      </w:r>
    </w:p>
    <w:p w14:paraId="662C5648" w14:textId="789D53A2" w:rsidR="00D968F7" w:rsidRPr="008065CD" w:rsidRDefault="00D968F7" w:rsidP="00197933">
      <w:pPr>
        <w:pStyle w:val="JuLista"/>
        <w:rPr>
          <w:rFonts w:cstheme="minorHAnsi"/>
        </w:rPr>
      </w:pPr>
      <w:r w:rsidRPr="008065CD">
        <w:rPr>
          <w:rFonts w:cstheme="minorHAnsi"/>
        </w:rPr>
        <w:t>że od upływu wyżej wskazanego terminu trzech miesięcy aż do momentu uregulowania należności, należne będą odsetki zwykłe od</w:t>
      </w:r>
      <w:r w:rsidR="004543DD">
        <w:rPr>
          <w:rFonts w:cstheme="minorHAnsi"/>
        </w:rPr>
        <w:t> </w:t>
      </w:r>
      <w:r w:rsidRPr="008065CD">
        <w:rPr>
          <w:rFonts w:cstheme="minorHAnsi"/>
        </w:rPr>
        <w:t>określonych powyżej kwot, naliczone według stopy równej marginalnej stopie procentowej Europejskiego Banku Centralnego obowiązującej w tym okresie, powiększonej o trzy punkty procentowe;</w:t>
      </w:r>
    </w:p>
    <w:p w14:paraId="4DF6F793" w14:textId="04040E68" w:rsidR="004D0EC7" w:rsidRPr="008065CD" w:rsidRDefault="00D968F7" w:rsidP="00197933">
      <w:pPr>
        <w:pStyle w:val="JuList"/>
        <w:rPr>
          <w:rFonts w:cstheme="minorHAnsi"/>
        </w:rPr>
      </w:pPr>
      <w:r w:rsidRPr="008065CD">
        <w:rPr>
          <w:rFonts w:cstheme="minorHAnsi"/>
          <w:i/>
        </w:rPr>
        <w:t xml:space="preserve">oddala </w:t>
      </w:r>
      <w:r w:rsidRPr="008065CD">
        <w:rPr>
          <w:rFonts w:cstheme="minorHAnsi"/>
        </w:rPr>
        <w:t>pozostałą część roszczenia skarżącego o słuszne zadośćuczynienie.</w:t>
      </w:r>
    </w:p>
    <w:p w14:paraId="1684A011" w14:textId="18ADAFAC" w:rsidR="008E3A08" w:rsidRPr="008065CD" w:rsidRDefault="007E2C8C" w:rsidP="00197933">
      <w:pPr>
        <w:pStyle w:val="JuParaLast"/>
        <w:rPr>
          <w:rFonts w:cstheme="minorHAnsi"/>
        </w:rPr>
      </w:pPr>
      <w:r w:rsidRPr="008065CD">
        <w:rPr>
          <w:rFonts w:cstheme="minorHAnsi"/>
        </w:rPr>
        <w:t>Sporządzono w języku angielskim i obwieszczono pisemnie w dniu 21</w:t>
      </w:r>
      <w:r w:rsidR="00787B7D" w:rsidRPr="008065CD">
        <w:rPr>
          <w:rFonts w:cstheme="minorHAnsi"/>
        </w:rPr>
        <w:t> </w:t>
      </w:r>
      <w:r w:rsidRPr="008065CD">
        <w:rPr>
          <w:rFonts w:cstheme="minorHAnsi"/>
        </w:rPr>
        <w:t>lipca 2022 r., zgodnie z Regułą 77 § 2 i 3 Regulaminu Trybunału.</w:t>
      </w:r>
    </w:p>
    <w:p w14:paraId="2B32A3D9" w14:textId="469E6CDB" w:rsidR="00131426" w:rsidRPr="00197933" w:rsidRDefault="002E7764" w:rsidP="00131426">
      <w:pPr>
        <w:pStyle w:val="JuSigned"/>
        <w:rPr>
          <w:lang w:val="it-IT"/>
        </w:rPr>
      </w:pPr>
      <w:r w:rsidRPr="008065CD">
        <w:rPr>
          <w:rFonts w:cstheme="minorHAnsi"/>
        </w:rPr>
        <w:tab/>
      </w:r>
      <w:r w:rsidR="00131426" w:rsidRPr="00197933">
        <w:rPr>
          <w:lang w:val="it-IT"/>
        </w:rPr>
        <w:t xml:space="preserve">Liv Tigerstedt </w:t>
      </w:r>
      <w:r w:rsidR="00131426" w:rsidRPr="00197933">
        <w:rPr>
          <w:lang w:val="it-IT"/>
        </w:rPr>
        <w:tab/>
        <w:t>Marko Bošnjak</w:t>
      </w:r>
      <w:r w:rsidR="00131426" w:rsidRPr="00197933">
        <w:rPr>
          <w:lang w:val="it-IT"/>
        </w:rPr>
        <w:br/>
      </w:r>
      <w:r w:rsidR="00131426" w:rsidRPr="00197933">
        <w:rPr>
          <w:lang w:val="it-IT"/>
        </w:rPr>
        <w:tab/>
      </w:r>
      <w:r w:rsidR="001337D6">
        <w:rPr>
          <w:lang w:val="it-IT"/>
        </w:rPr>
        <w:t>Zastępca Kanclerza</w:t>
      </w:r>
      <w:r w:rsidR="00131426" w:rsidRPr="00197933">
        <w:rPr>
          <w:lang w:val="it-IT"/>
        </w:rPr>
        <w:tab/>
        <w:t>Pr</w:t>
      </w:r>
      <w:r w:rsidR="001337D6">
        <w:rPr>
          <w:lang w:val="it-IT"/>
        </w:rPr>
        <w:t>zewodniczący</w:t>
      </w:r>
    </w:p>
    <w:p w14:paraId="2B9617FB" w14:textId="1736C510" w:rsidR="001C055B" w:rsidRPr="00131426" w:rsidRDefault="001C055B" w:rsidP="00131426">
      <w:pPr>
        <w:pStyle w:val="JuSigned"/>
        <w:rPr>
          <w:rFonts w:cstheme="minorHAnsi"/>
          <w:lang w:val="it-IT"/>
        </w:rPr>
      </w:pPr>
    </w:p>
    <w:sectPr w:rsidR="001C055B" w:rsidRPr="00131426"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C1D75" w14:textId="77777777" w:rsidR="00BD166C" w:rsidRPr="00E67565" w:rsidRDefault="00BD166C" w:rsidP="0098410D">
      <w:r w:rsidRPr="00E67565">
        <w:separator/>
      </w:r>
    </w:p>
  </w:endnote>
  <w:endnote w:type="continuationSeparator" w:id="0">
    <w:p w14:paraId="641FAB3E" w14:textId="77777777" w:rsidR="00BD166C" w:rsidRPr="00E67565" w:rsidRDefault="00BD166C" w:rsidP="0098410D">
      <w:r w:rsidRPr="00E67565">
        <w:continuationSeparator/>
      </w:r>
    </w:p>
  </w:endnote>
  <w:endnote w:type="continuationNotice" w:id="1">
    <w:p w14:paraId="532EE3B1" w14:textId="77777777" w:rsidR="00BD166C" w:rsidRDefault="00BD16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EC8E" w14:textId="77777777" w:rsidR="00AF7E7E" w:rsidRDefault="00AF7E7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F01B8" w14:textId="0C8457D7" w:rsidR="00AF7E7E" w:rsidRPr="00150BFA" w:rsidRDefault="00AF7E7E" w:rsidP="00AF7E7E">
    <w:pPr>
      <w:jc w:val="center"/>
    </w:pPr>
    <w:r>
      <w:rPr>
        <w:noProof/>
        <w:lang w:eastAsia="pl-PL"/>
      </w:rPr>
      <w:drawing>
        <wp:inline distT="0" distB="0" distL="0" distR="0" wp14:anchorId="4D85632F" wp14:editId="113AE13D">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EE85330" w14:textId="1ADF8880" w:rsidR="00AF7E7E" w:rsidRPr="00E67565" w:rsidRDefault="00AF7E7E" w:rsidP="00AF7E7E">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B112E" w14:textId="71F64973" w:rsidR="00AF7E7E" w:rsidRPr="00150BFA" w:rsidRDefault="00AF7E7E" w:rsidP="00AF7E7E">
    <w:pPr>
      <w:jc w:val="center"/>
    </w:pPr>
    <w:r>
      <w:rPr>
        <w:noProof/>
        <w:lang w:eastAsia="pl-PL"/>
      </w:rPr>
      <w:drawing>
        <wp:inline distT="0" distB="0" distL="0" distR="0" wp14:anchorId="26503C00" wp14:editId="6F1A943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9250673" w14:textId="69B5792B" w:rsidR="00AF7E7E" w:rsidRPr="00E67565" w:rsidRDefault="00AF7E7E"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4801D" w14:textId="47416093" w:rsidR="00AF7E7E" w:rsidRDefault="00AF7E7E" w:rsidP="009A115C">
    <w:pPr>
      <w:pStyle w:val="JuHeader"/>
    </w:pPr>
    <w:r>
      <w:rPr>
        <w:rStyle w:val="Numerstrony"/>
      </w:rPr>
      <w:fldChar w:fldCharType="begin"/>
    </w:r>
    <w:r>
      <w:rPr>
        <w:rStyle w:val="Numerstrony"/>
      </w:rPr>
      <w:instrText xml:space="preserve"> PAGE </w:instrText>
    </w:r>
    <w:r>
      <w:rPr>
        <w:rStyle w:val="Numerstrony"/>
      </w:rPr>
      <w:fldChar w:fldCharType="separate"/>
    </w:r>
    <w:r w:rsidR="00976A04">
      <w:rPr>
        <w:rStyle w:val="Numerstrony"/>
        <w:noProof/>
      </w:rPr>
      <w:t>16</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16D8D" w14:textId="7C8CBFF9" w:rsidR="00AF7E7E" w:rsidRPr="000B7195" w:rsidRDefault="00AF7E7E" w:rsidP="007D3701">
    <w:pPr>
      <w:pStyle w:val="JuHeader"/>
    </w:pPr>
    <w:r>
      <w:fldChar w:fldCharType="begin"/>
    </w:r>
    <w:r>
      <w:instrText xml:space="preserve"> PAGE </w:instrText>
    </w:r>
    <w:r>
      <w:fldChar w:fldCharType="separate"/>
    </w:r>
    <w:r w:rsidR="00976A04">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BC63D" w14:textId="77777777" w:rsidR="00BD166C" w:rsidRPr="00E67565" w:rsidRDefault="00BD166C" w:rsidP="0098410D">
      <w:r w:rsidRPr="00E67565">
        <w:separator/>
      </w:r>
    </w:p>
  </w:footnote>
  <w:footnote w:type="continuationSeparator" w:id="0">
    <w:p w14:paraId="49841FF7" w14:textId="77777777" w:rsidR="00BD166C" w:rsidRPr="00E67565" w:rsidRDefault="00BD166C" w:rsidP="0098410D">
      <w:r w:rsidRPr="00E67565">
        <w:continuationSeparator/>
      </w:r>
    </w:p>
  </w:footnote>
  <w:footnote w:type="continuationNotice" w:id="1">
    <w:p w14:paraId="48820924" w14:textId="77777777" w:rsidR="00BD166C" w:rsidRDefault="00BD16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7F6F" w14:textId="77777777" w:rsidR="00AF7E7E" w:rsidRDefault="00AF7E7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03C35" w14:textId="4E26C701" w:rsidR="00AF7E7E" w:rsidRPr="00A45145" w:rsidRDefault="00AF7E7E" w:rsidP="00AF7E7E">
    <w:pPr>
      <w:jc w:val="center"/>
    </w:pPr>
    <w:r>
      <w:rPr>
        <w:noProof/>
        <w:lang w:eastAsia="pl-PL"/>
      </w:rPr>
      <w:drawing>
        <wp:inline distT="0" distB="0" distL="0" distR="0" wp14:anchorId="136BAB38" wp14:editId="2494333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9C590F4" w14:textId="647DEE2B" w:rsidR="00AF7E7E" w:rsidRPr="00E67565" w:rsidRDefault="00AF7E7E" w:rsidP="00AF7E7E">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41EEC" w14:textId="7EBCAB6B" w:rsidR="00AF7E7E" w:rsidRPr="00A45145" w:rsidRDefault="00AF7E7E" w:rsidP="00AF7E7E">
    <w:pPr>
      <w:jc w:val="center"/>
    </w:pPr>
    <w:r>
      <w:rPr>
        <w:noProof/>
        <w:lang w:eastAsia="pl-PL"/>
      </w:rPr>
      <w:drawing>
        <wp:inline distT="0" distB="0" distL="0" distR="0" wp14:anchorId="3EE7D719" wp14:editId="5F33B51E">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C7C2C22" w14:textId="5DB83456" w:rsidR="00AF7E7E" w:rsidRPr="00E67565" w:rsidRDefault="00AF7E7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A4CF1" w14:textId="79EEAFCE" w:rsidR="00AF7E7E" w:rsidRPr="004D0EC7" w:rsidRDefault="00AF7E7E" w:rsidP="004D0EC7">
    <w:pPr>
      <w:pStyle w:val="JuHeader"/>
    </w:pPr>
    <w:r>
      <w:t>WYROK W SPRAWIE BIELIŃSKI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2C0D9" w14:textId="17D5CD99" w:rsidR="00AF7E7E" w:rsidRPr="00882CD5" w:rsidRDefault="00AF7E7E" w:rsidP="007D3701">
    <w:pPr>
      <w:pStyle w:val="JuHeader"/>
    </w:pPr>
    <w:r>
      <w:t>WYROK W SPRAWIE BIELIŃSKI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59854776">
    <w:abstractNumId w:val="14"/>
  </w:num>
  <w:num w:numId="2" w16cid:durableId="149249579">
    <w:abstractNumId w:val="12"/>
  </w:num>
  <w:num w:numId="3" w16cid:durableId="956370556">
    <w:abstractNumId w:val="11"/>
  </w:num>
  <w:num w:numId="4" w16cid:durableId="1322805811">
    <w:abstractNumId w:val="15"/>
  </w:num>
  <w:num w:numId="5" w16cid:durableId="581255989">
    <w:abstractNumId w:val="13"/>
  </w:num>
  <w:num w:numId="6" w16cid:durableId="797257684">
    <w:abstractNumId w:val="16"/>
  </w:num>
  <w:num w:numId="7" w16cid:durableId="801113194">
    <w:abstractNumId w:val="15"/>
  </w:num>
  <w:num w:numId="8" w16cid:durableId="460266557">
    <w:abstractNumId w:val="16"/>
  </w:num>
  <w:num w:numId="9" w16cid:durableId="2126999528">
    <w:abstractNumId w:val="10"/>
  </w:num>
  <w:num w:numId="10" w16cid:durableId="191116889">
    <w:abstractNumId w:val="9"/>
  </w:num>
  <w:num w:numId="11" w16cid:durableId="394622243">
    <w:abstractNumId w:val="18"/>
  </w:num>
  <w:num w:numId="12" w16cid:durableId="933123137">
    <w:abstractNumId w:val="7"/>
  </w:num>
  <w:num w:numId="13" w16cid:durableId="1795824162">
    <w:abstractNumId w:val="6"/>
  </w:num>
  <w:num w:numId="14" w16cid:durableId="2023701893">
    <w:abstractNumId w:val="5"/>
  </w:num>
  <w:num w:numId="15" w16cid:durableId="29307272">
    <w:abstractNumId w:val="4"/>
  </w:num>
  <w:num w:numId="16" w16cid:durableId="1244602237">
    <w:abstractNumId w:val="8"/>
  </w:num>
  <w:num w:numId="17" w16cid:durableId="2032761463">
    <w:abstractNumId w:val="3"/>
  </w:num>
  <w:num w:numId="18" w16cid:durableId="1406730894">
    <w:abstractNumId w:val="2"/>
  </w:num>
  <w:num w:numId="19" w16cid:durableId="1348022476">
    <w:abstractNumId w:val="1"/>
  </w:num>
  <w:num w:numId="20" w16cid:durableId="1415667724">
    <w:abstractNumId w:val="0"/>
  </w:num>
  <w:num w:numId="21" w16cid:durableId="1705326067">
    <w:abstractNumId w:val="19"/>
  </w:num>
  <w:num w:numId="22" w16cid:durableId="1479806378">
    <w:abstractNumId w:val="17"/>
  </w:num>
  <w:num w:numId="23" w16cid:durableId="7270692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36729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D968F7"/>
    <w:rsid w:val="000035A3"/>
    <w:rsid w:val="000041F8"/>
    <w:rsid w:val="000042A8"/>
    <w:rsid w:val="00004308"/>
    <w:rsid w:val="00005BF0"/>
    <w:rsid w:val="0000617D"/>
    <w:rsid w:val="00007154"/>
    <w:rsid w:val="000103AE"/>
    <w:rsid w:val="00010E71"/>
    <w:rsid w:val="00011D69"/>
    <w:rsid w:val="00012AD3"/>
    <w:rsid w:val="00015C2D"/>
    <w:rsid w:val="00015F00"/>
    <w:rsid w:val="00022C1D"/>
    <w:rsid w:val="00027305"/>
    <w:rsid w:val="00031428"/>
    <w:rsid w:val="00034987"/>
    <w:rsid w:val="00041560"/>
    <w:rsid w:val="00043589"/>
    <w:rsid w:val="000602DF"/>
    <w:rsid w:val="00061B05"/>
    <w:rsid w:val="000632D5"/>
    <w:rsid w:val="000644EE"/>
    <w:rsid w:val="000675C7"/>
    <w:rsid w:val="0007780A"/>
    <w:rsid w:val="00085457"/>
    <w:rsid w:val="00091925"/>
    <w:rsid w:val="000925AD"/>
    <w:rsid w:val="00096FE1"/>
    <w:rsid w:val="00097A62"/>
    <w:rsid w:val="000A24EB"/>
    <w:rsid w:val="000B17D7"/>
    <w:rsid w:val="000B686A"/>
    <w:rsid w:val="000B6923"/>
    <w:rsid w:val="000B7195"/>
    <w:rsid w:val="000C5F3C"/>
    <w:rsid w:val="000C6DCC"/>
    <w:rsid w:val="000D47AA"/>
    <w:rsid w:val="000D721F"/>
    <w:rsid w:val="000E069B"/>
    <w:rsid w:val="000E0E82"/>
    <w:rsid w:val="000E1DC5"/>
    <w:rsid w:val="000E223F"/>
    <w:rsid w:val="000E46B8"/>
    <w:rsid w:val="000E583B"/>
    <w:rsid w:val="000E7D45"/>
    <w:rsid w:val="000F7851"/>
    <w:rsid w:val="00101505"/>
    <w:rsid w:val="00104E23"/>
    <w:rsid w:val="00110DA8"/>
    <w:rsid w:val="00111B0C"/>
    <w:rsid w:val="00120D6C"/>
    <w:rsid w:val="001257EC"/>
    <w:rsid w:val="00131426"/>
    <w:rsid w:val="001337D6"/>
    <w:rsid w:val="00133D33"/>
    <w:rsid w:val="00134B6A"/>
    <w:rsid w:val="00134D64"/>
    <w:rsid w:val="00135A30"/>
    <w:rsid w:val="0013612C"/>
    <w:rsid w:val="00137FF6"/>
    <w:rsid w:val="00141650"/>
    <w:rsid w:val="001470BB"/>
    <w:rsid w:val="00147B09"/>
    <w:rsid w:val="001561B6"/>
    <w:rsid w:val="00157CF5"/>
    <w:rsid w:val="00162A12"/>
    <w:rsid w:val="00166530"/>
    <w:rsid w:val="00170027"/>
    <w:rsid w:val="0017378D"/>
    <w:rsid w:val="00182EBA"/>
    <w:rsid w:val="001832BD"/>
    <w:rsid w:val="00186A9A"/>
    <w:rsid w:val="00193A07"/>
    <w:rsid w:val="001943B5"/>
    <w:rsid w:val="00195134"/>
    <w:rsid w:val="00197933"/>
    <w:rsid w:val="001A020C"/>
    <w:rsid w:val="001A145B"/>
    <w:rsid w:val="001A3B06"/>
    <w:rsid w:val="001A3E09"/>
    <w:rsid w:val="001A674C"/>
    <w:rsid w:val="001A6A2C"/>
    <w:rsid w:val="001B3B24"/>
    <w:rsid w:val="001C055B"/>
    <w:rsid w:val="001C0F98"/>
    <w:rsid w:val="001C2A42"/>
    <w:rsid w:val="001C4945"/>
    <w:rsid w:val="001D38D4"/>
    <w:rsid w:val="001D63ED"/>
    <w:rsid w:val="001D6E13"/>
    <w:rsid w:val="001D7348"/>
    <w:rsid w:val="001E035B"/>
    <w:rsid w:val="001E0961"/>
    <w:rsid w:val="001E3EAE"/>
    <w:rsid w:val="001E6857"/>
    <w:rsid w:val="001E6F32"/>
    <w:rsid w:val="001F1755"/>
    <w:rsid w:val="001F2145"/>
    <w:rsid w:val="001F6262"/>
    <w:rsid w:val="001F67B0"/>
    <w:rsid w:val="001F7B3D"/>
    <w:rsid w:val="002026BA"/>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0945"/>
    <w:rsid w:val="00252C4E"/>
    <w:rsid w:val="002532C5"/>
    <w:rsid w:val="00254DF2"/>
    <w:rsid w:val="00254F2D"/>
    <w:rsid w:val="00260C03"/>
    <w:rsid w:val="0026439A"/>
    <w:rsid w:val="0026540E"/>
    <w:rsid w:val="00275123"/>
    <w:rsid w:val="00281B7C"/>
    <w:rsid w:val="00281C40"/>
    <w:rsid w:val="00282240"/>
    <w:rsid w:val="00282BD8"/>
    <w:rsid w:val="00287AD5"/>
    <w:rsid w:val="002934D0"/>
    <w:rsid w:val="00293676"/>
    <w:rsid w:val="00293BD9"/>
    <w:rsid w:val="002948AD"/>
    <w:rsid w:val="00295A8C"/>
    <w:rsid w:val="002960F7"/>
    <w:rsid w:val="002A01CC"/>
    <w:rsid w:val="002A2836"/>
    <w:rsid w:val="002A613A"/>
    <w:rsid w:val="002A61B1"/>
    <w:rsid w:val="002A663C"/>
    <w:rsid w:val="002A70CF"/>
    <w:rsid w:val="002B444B"/>
    <w:rsid w:val="002B5887"/>
    <w:rsid w:val="002C013E"/>
    <w:rsid w:val="002C0E27"/>
    <w:rsid w:val="002C3040"/>
    <w:rsid w:val="002C4433"/>
    <w:rsid w:val="002C5ADD"/>
    <w:rsid w:val="002C7826"/>
    <w:rsid w:val="002D022D"/>
    <w:rsid w:val="002D24BB"/>
    <w:rsid w:val="002D2FA7"/>
    <w:rsid w:val="002D47BA"/>
    <w:rsid w:val="002D77B9"/>
    <w:rsid w:val="002E0B8B"/>
    <w:rsid w:val="002E46DA"/>
    <w:rsid w:val="002E7764"/>
    <w:rsid w:val="002F2AF7"/>
    <w:rsid w:val="002F69C4"/>
    <w:rsid w:val="002F7D9E"/>
    <w:rsid w:val="002F7E1C"/>
    <w:rsid w:val="003015D3"/>
    <w:rsid w:val="00301A75"/>
    <w:rsid w:val="00302F70"/>
    <w:rsid w:val="0030336F"/>
    <w:rsid w:val="0030375E"/>
    <w:rsid w:val="003038AC"/>
    <w:rsid w:val="00312A30"/>
    <w:rsid w:val="003201D8"/>
    <w:rsid w:val="00320F72"/>
    <w:rsid w:val="0032463E"/>
    <w:rsid w:val="00326224"/>
    <w:rsid w:val="00336217"/>
    <w:rsid w:val="00337EE4"/>
    <w:rsid w:val="00340FFD"/>
    <w:rsid w:val="00345C41"/>
    <w:rsid w:val="003506B1"/>
    <w:rsid w:val="00355877"/>
    <w:rsid w:val="00356AC7"/>
    <w:rsid w:val="003609FA"/>
    <w:rsid w:val="003636AF"/>
    <w:rsid w:val="003710C8"/>
    <w:rsid w:val="00374DCA"/>
    <w:rsid w:val="003750BE"/>
    <w:rsid w:val="00385A36"/>
    <w:rsid w:val="00385F3D"/>
    <w:rsid w:val="0038740C"/>
    <w:rsid w:val="00387B9D"/>
    <w:rsid w:val="00387C70"/>
    <w:rsid w:val="00390294"/>
    <w:rsid w:val="0039364F"/>
    <w:rsid w:val="00396686"/>
    <w:rsid w:val="0039778E"/>
    <w:rsid w:val="003A445E"/>
    <w:rsid w:val="003B35DD"/>
    <w:rsid w:val="003B4941"/>
    <w:rsid w:val="003C38BD"/>
    <w:rsid w:val="003C5714"/>
    <w:rsid w:val="003C6B9F"/>
    <w:rsid w:val="003C6E2A"/>
    <w:rsid w:val="003D0299"/>
    <w:rsid w:val="003D16D1"/>
    <w:rsid w:val="003D48BB"/>
    <w:rsid w:val="003E6D80"/>
    <w:rsid w:val="003F05FA"/>
    <w:rsid w:val="003F244A"/>
    <w:rsid w:val="003F2517"/>
    <w:rsid w:val="003F30B8"/>
    <w:rsid w:val="003F4C45"/>
    <w:rsid w:val="003F5F7B"/>
    <w:rsid w:val="003F7D64"/>
    <w:rsid w:val="0040433A"/>
    <w:rsid w:val="00404DE3"/>
    <w:rsid w:val="00405A4A"/>
    <w:rsid w:val="00414300"/>
    <w:rsid w:val="00414F27"/>
    <w:rsid w:val="00420703"/>
    <w:rsid w:val="00425C67"/>
    <w:rsid w:val="00427E7A"/>
    <w:rsid w:val="00432669"/>
    <w:rsid w:val="00433833"/>
    <w:rsid w:val="004355AC"/>
    <w:rsid w:val="00436C49"/>
    <w:rsid w:val="004416D0"/>
    <w:rsid w:val="00443D98"/>
    <w:rsid w:val="00445366"/>
    <w:rsid w:val="00447F5B"/>
    <w:rsid w:val="00450F50"/>
    <w:rsid w:val="004543DD"/>
    <w:rsid w:val="00457D12"/>
    <w:rsid w:val="00461DB0"/>
    <w:rsid w:val="00463926"/>
    <w:rsid w:val="00464AB7"/>
    <w:rsid w:val="00464C9A"/>
    <w:rsid w:val="00474F3D"/>
    <w:rsid w:val="004756C6"/>
    <w:rsid w:val="00477E3A"/>
    <w:rsid w:val="00480614"/>
    <w:rsid w:val="00483E5F"/>
    <w:rsid w:val="00485FF9"/>
    <w:rsid w:val="0048617C"/>
    <w:rsid w:val="0049049B"/>
    <w:rsid w:val="004907F0"/>
    <w:rsid w:val="0049140B"/>
    <w:rsid w:val="004923A5"/>
    <w:rsid w:val="0049310E"/>
    <w:rsid w:val="004950E2"/>
    <w:rsid w:val="00496BFB"/>
    <w:rsid w:val="004A12F0"/>
    <w:rsid w:val="004A15C7"/>
    <w:rsid w:val="004A3201"/>
    <w:rsid w:val="004A4EAB"/>
    <w:rsid w:val="004A7044"/>
    <w:rsid w:val="004B013B"/>
    <w:rsid w:val="004B112B"/>
    <w:rsid w:val="004B444E"/>
    <w:rsid w:val="004C01E4"/>
    <w:rsid w:val="004C086C"/>
    <w:rsid w:val="004C1F56"/>
    <w:rsid w:val="004C27BC"/>
    <w:rsid w:val="004C4B7B"/>
    <w:rsid w:val="004C6621"/>
    <w:rsid w:val="004D0EC7"/>
    <w:rsid w:val="004D15F3"/>
    <w:rsid w:val="004D28EF"/>
    <w:rsid w:val="004D2D2F"/>
    <w:rsid w:val="004D3B3D"/>
    <w:rsid w:val="004D4EF1"/>
    <w:rsid w:val="004D51B2"/>
    <w:rsid w:val="004D5311"/>
    <w:rsid w:val="004D5DCC"/>
    <w:rsid w:val="004D6265"/>
    <w:rsid w:val="004D7E45"/>
    <w:rsid w:val="004F10AF"/>
    <w:rsid w:val="004F11A4"/>
    <w:rsid w:val="004F2389"/>
    <w:rsid w:val="004F304D"/>
    <w:rsid w:val="004F4290"/>
    <w:rsid w:val="004F61BE"/>
    <w:rsid w:val="004F66B1"/>
    <w:rsid w:val="00511C07"/>
    <w:rsid w:val="005125CB"/>
    <w:rsid w:val="00512EC4"/>
    <w:rsid w:val="0051725A"/>
    <w:rsid w:val="005173A6"/>
    <w:rsid w:val="00517D23"/>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47AF7"/>
    <w:rsid w:val="00550A22"/>
    <w:rsid w:val="005512A3"/>
    <w:rsid w:val="005578CE"/>
    <w:rsid w:val="00562781"/>
    <w:rsid w:val="00562B6C"/>
    <w:rsid w:val="0057271C"/>
    <w:rsid w:val="00572845"/>
    <w:rsid w:val="0058779A"/>
    <w:rsid w:val="005879A2"/>
    <w:rsid w:val="00592772"/>
    <w:rsid w:val="0059574A"/>
    <w:rsid w:val="005A1B9B"/>
    <w:rsid w:val="005A2E79"/>
    <w:rsid w:val="005A6751"/>
    <w:rsid w:val="005B092E"/>
    <w:rsid w:val="005B152C"/>
    <w:rsid w:val="005B1EE0"/>
    <w:rsid w:val="005B2B24"/>
    <w:rsid w:val="005B4425"/>
    <w:rsid w:val="005B4B94"/>
    <w:rsid w:val="005C1A41"/>
    <w:rsid w:val="005C3EE8"/>
    <w:rsid w:val="005D2F2A"/>
    <w:rsid w:val="005D34F9"/>
    <w:rsid w:val="005D4190"/>
    <w:rsid w:val="005D67A3"/>
    <w:rsid w:val="005E2988"/>
    <w:rsid w:val="005E3085"/>
    <w:rsid w:val="005F0EB3"/>
    <w:rsid w:val="005F51E1"/>
    <w:rsid w:val="00602203"/>
    <w:rsid w:val="00611C80"/>
    <w:rsid w:val="00617A08"/>
    <w:rsid w:val="00620692"/>
    <w:rsid w:val="006242CA"/>
    <w:rsid w:val="00626F13"/>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777BB"/>
    <w:rsid w:val="00682BF2"/>
    <w:rsid w:val="0068573E"/>
    <w:rsid w:val="006859CE"/>
    <w:rsid w:val="00691270"/>
    <w:rsid w:val="00694BA8"/>
    <w:rsid w:val="006A037C"/>
    <w:rsid w:val="006A0855"/>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1CFC"/>
    <w:rsid w:val="00715127"/>
    <w:rsid w:val="00715E6E"/>
    <w:rsid w:val="00715E8E"/>
    <w:rsid w:val="00723580"/>
    <w:rsid w:val="00723755"/>
    <w:rsid w:val="0073136C"/>
    <w:rsid w:val="00731F0F"/>
    <w:rsid w:val="00733250"/>
    <w:rsid w:val="00741404"/>
    <w:rsid w:val="007449E5"/>
    <w:rsid w:val="0074750E"/>
    <w:rsid w:val="00747FF0"/>
    <w:rsid w:val="0075566E"/>
    <w:rsid w:val="007617E3"/>
    <w:rsid w:val="00763602"/>
    <w:rsid w:val="00764D4E"/>
    <w:rsid w:val="00765A1F"/>
    <w:rsid w:val="00775B6D"/>
    <w:rsid w:val="00776D68"/>
    <w:rsid w:val="0078323E"/>
    <w:rsid w:val="007850EE"/>
    <w:rsid w:val="00785B95"/>
    <w:rsid w:val="00787B7D"/>
    <w:rsid w:val="00790E96"/>
    <w:rsid w:val="007926FD"/>
    <w:rsid w:val="007932AD"/>
    <w:rsid w:val="00793366"/>
    <w:rsid w:val="0079666C"/>
    <w:rsid w:val="007A716F"/>
    <w:rsid w:val="007B270A"/>
    <w:rsid w:val="007B321A"/>
    <w:rsid w:val="007B4182"/>
    <w:rsid w:val="007B68D9"/>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3A3D"/>
    <w:rsid w:val="00805E52"/>
    <w:rsid w:val="008061D0"/>
    <w:rsid w:val="008065CD"/>
    <w:rsid w:val="00810B38"/>
    <w:rsid w:val="008204C7"/>
    <w:rsid w:val="00820992"/>
    <w:rsid w:val="00823602"/>
    <w:rsid w:val="00824A0A"/>
    <w:rsid w:val="008255F5"/>
    <w:rsid w:val="00826890"/>
    <w:rsid w:val="0083014E"/>
    <w:rsid w:val="0083214A"/>
    <w:rsid w:val="008325D9"/>
    <w:rsid w:val="00834220"/>
    <w:rsid w:val="0083633A"/>
    <w:rsid w:val="0083778B"/>
    <w:rsid w:val="0084181D"/>
    <w:rsid w:val="00845723"/>
    <w:rsid w:val="008519E7"/>
    <w:rsid w:val="00851EF9"/>
    <w:rsid w:val="008577FD"/>
    <w:rsid w:val="00860B03"/>
    <w:rsid w:val="0086497A"/>
    <w:rsid w:val="008667CA"/>
    <w:rsid w:val="00867066"/>
    <w:rsid w:val="008713A1"/>
    <w:rsid w:val="00872584"/>
    <w:rsid w:val="00874E19"/>
    <w:rsid w:val="008754AB"/>
    <w:rsid w:val="0088060C"/>
    <w:rsid w:val="00882CD5"/>
    <w:rsid w:val="00883151"/>
    <w:rsid w:val="00893576"/>
    <w:rsid w:val="00893E73"/>
    <w:rsid w:val="008A6748"/>
    <w:rsid w:val="008B02DC"/>
    <w:rsid w:val="008B092C"/>
    <w:rsid w:val="008B57CE"/>
    <w:rsid w:val="008B79A1"/>
    <w:rsid w:val="008C26DE"/>
    <w:rsid w:val="008D2225"/>
    <w:rsid w:val="008D4752"/>
    <w:rsid w:val="008D4E9A"/>
    <w:rsid w:val="008D5A13"/>
    <w:rsid w:val="008E1E81"/>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2164"/>
    <w:rsid w:val="00954EA0"/>
    <w:rsid w:val="00955798"/>
    <w:rsid w:val="00956D0C"/>
    <w:rsid w:val="009630C7"/>
    <w:rsid w:val="00972B55"/>
    <w:rsid w:val="009743B7"/>
    <w:rsid w:val="00976A04"/>
    <w:rsid w:val="0098228B"/>
    <w:rsid w:val="009828DA"/>
    <w:rsid w:val="0098410D"/>
    <w:rsid w:val="00985BAB"/>
    <w:rsid w:val="00986B3C"/>
    <w:rsid w:val="00987FA7"/>
    <w:rsid w:val="00993397"/>
    <w:rsid w:val="009A115C"/>
    <w:rsid w:val="009A7FC1"/>
    <w:rsid w:val="009B1606"/>
    <w:rsid w:val="009B1B5F"/>
    <w:rsid w:val="009B6673"/>
    <w:rsid w:val="009C191B"/>
    <w:rsid w:val="009C2BD6"/>
    <w:rsid w:val="009D57AA"/>
    <w:rsid w:val="009D6CA0"/>
    <w:rsid w:val="009E1F32"/>
    <w:rsid w:val="009E2CC2"/>
    <w:rsid w:val="009E47A2"/>
    <w:rsid w:val="009E6151"/>
    <w:rsid w:val="009E776C"/>
    <w:rsid w:val="009E7A6F"/>
    <w:rsid w:val="009F4C8F"/>
    <w:rsid w:val="009F56A8"/>
    <w:rsid w:val="00A02972"/>
    <w:rsid w:val="00A034E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736B3"/>
    <w:rsid w:val="00A82359"/>
    <w:rsid w:val="00A865D2"/>
    <w:rsid w:val="00A90BCD"/>
    <w:rsid w:val="00A94C20"/>
    <w:rsid w:val="00AA1B09"/>
    <w:rsid w:val="00AA227F"/>
    <w:rsid w:val="00AA3BC7"/>
    <w:rsid w:val="00AA754A"/>
    <w:rsid w:val="00AB099E"/>
    <w:rsid w:val="00AB1A06"/>
    <w:rsid w:val="00AB4328"/>
    <w:rsid w:val="00AC4CD4"/>
    <w:rsid w:val="00AE0A2E"/>
    <w:rsid w:val="00AE354C"/>
    <w:rsid w:val="00AF4B07"/>
    <w:rsid w:val="00AF6186"/>
    <w:rsid w:val="00AF7A3A"/>
    <w:rsid w:val="00AF7E7E"/>
    <w:rsid w:val="00B02587"/>
    <w:rsid w:val="00B049D1"/>
    <w:rsid w:val="00B05E19"/>
    <w:rsid w:val="00B160DB"/>
    <w:rsid w:val="00B20836"/>
    <w:rsid w:val="00B235BB"/>
    <w:rsid w:val="00B27A44"/>
    <w:rsid w:val="00B30BBF"/>
    <w:rsid w:val="00B33C03"/>
    <w:rsid w:val="00B4421F"/>
    <w:rsid w:val="00B44E56"/>
    <w:rsid w:val="00B45917"/>
    <w:rsid w:val="00B460E3"/>
    <w:rsid w:val="00B46543"/>
    <w:rsid w:val="00B47D33"/>
    <w:rsid w:val="00B518FB"/>
    <w:rsid w:val="00B52BE0"/>
    <w:rsid w:val="00B54133"/>
    <w:rsid w:val="00B701ED"/>
    <w:rsid w:val="00B748F7"/>
    <w:rsid w:val="00B8086C"/>
    <w:rsid w:val="00B81C58"/>
    <w:rsid w:val="00B85D3A"/>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166C"/>
    <w:rsid w:val="00BE14E3"/>
    <w:rsid w:val="00BE3774"/>
    <w:rsid w:val="00BE41E5"/>
    <w:rsid w:val="00BF118F"/>
    <w:rsid w:val="00BF225A"/>
    <w:rsid w:val="00BF4109"/>
    <w:rsid w:val="00BF4CC3"/>
    <w:rsid w:val="00BF5F51"/>
    <w:rsid w:val="00C054C7"/>
    <w:rsid w:val="00C057B5"/>
    <w:rsid w:val="00C07D0E"/>
    <w:rsid w:val="00C115C3"/>
    <w:rsid w:val="00C1184F"/>
    <w:rsid w:val="00C15547"/>
    <w:rsid w:val="00C1672D"/>
    <w:rsid w:val="00C22687"/>
    <w:rsid w:val="00C26A92"/>
    <w:rsid w:val="00C26B1C"/>
    <w:rsid w:val="00C32000"/>
    <w:rsid w:val="00C32A90"/>
    <w:rsid w:val="00C32E4D"/>
    <w:rsid w:val="00C333A0"/>
    <w:rsid w:val="00C36A81"/>
    <w:rsid w:val="00C370EA"/>
    <w:rsid w:val="00C41974"/>
    <w:rsid w:val="00C44A2C"/>
    <w:rsid w:val="00C44F09"/>
    <w:rsid w:val="00C477F7"/>
    <w:rsid w:val="00C509A6"/>
    <w:rsid w:val="00C53F4A"/>
    <w:rsid w:val="00C54125"/>
    <w:rsid w:val="00C55B54"/>
    <w:rsid w:val="00C6098E"/>
    <w:rsid w:val="00C6152C"/>
    <w:rsid w:val="00C70027"/>
    <w:rsid w:val="00C74810"/>
    <w:rsid w:val="00C90D68"/>
    <w:rsid w:val="00C9249A"/>
    <w:rsid w:val="00C939FE"/>
    <w:rsid w:val="00C94CED"/>
    <w:rsid w:val="00CA4BDA"/>
    <w:rsid w:val="00CA63AB"/>
    <w:rsid w:val="00CB13E3"/>
    <w:rsid w:val="00CB1F66"/>
    <w:rsid w:val="00CB232C"/>
    <w:rsid w:val="00CB2951"/>
    <w:rsid w:val="00CB3F6A"/>
    <w:rsid w:val="00CB4277"/>
    <w:rsid w:val="00CB7CFE"/>
    <w:rsid w:val="00CB7E1D"/>
    <w:rsid w:val="00CC5067"/>
    <w:rsid w:val="00CC62C4"/>
    <w:rsid w:val="00CD11D3"/>
    <w:rsid w:val="00CD282B"/>
    <w:rsid w:val="00CD447B"/>
    <w:rsid w:val="00CD4C35"/>
    <w:rsid w:val="00CD7369"/>
    <w:rsid w:val="00CE0B0E"/>
    <w:rsid w:val="00CE3831"/>
    <w:rsid w:val="00CE5D33"/>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276C7"/>
    <w:rsid w:val="00D343E2"/>
    <w:rsid w:val="00D361A2"/>
    <w:rsid w:val="00D37272"/>
    <w:rsid w:val="00D44C2E"/>
    <w:rsid w:val="00D45414"/>
    <w:rsid w:val="00D50A0A"/>
    <w:rsid w:val="00D53548"/>
    <w:rsid w:val="00D5576B"/>
    <w:rsid w:val="00D566BD"/>
    <w:rsid w:val="00D57A4D"/>
    <w:rsid w:val="00D60AA7"/>
    <w:rsid w:val="00D636AF"/>
    <w:rsid w:val="00D6435F"/>
    <w:rsid w:val="00D66471"/>
    <w:rsid w:val="00D70641"/>
    <w:rsid w:val="00D74888"/>
    <w:rsid w:val="00D7488B"/>
    <w:rsid w:val="00D75E28"/>
    <w:rsid w:val="00D772C2"/>
    <w:rsid w:val="00D8008E"/>
    <w:rsid w:val="00D80F32"/>
    <w:rsid w:val="00D810F2"/>
    <w:rsid w:val="00D82C45"/>
    <w:rsid w:val="00D908A8"/>
    <w:rsid w:val="00D968F7"/>
    <w:rsid w:val="00D977B6"/>
    <w:rsid w:val="00DA1223"/>
    <w:rsid w:val="00DA4A31"/>
    <w:rsid w:val="00DA7B04"/>
    <w:rsid w:val="00DB36C2"/>
    <w:rsid w:val="00DC169B"/>
    <w:rsid w:val="00DC2AB9"/>
    <w:rsid w:val="00DC63F0"/>
    <w:rsid w:val="00DC70DE"/>
    <w:rsid w:val="00DD37EA"/>
    <w:rsid w:val="00DD6EE5"/>
    <w:rsid w:val="00DE260C"/>
    <w:rsid w:val="00DE386C"/>
    <w:rsid w:val="00DE3D40"/>
    <w:rsid w:val="00DE478F"/>
    <w:rsid w:val="00DE4D35"/>
    <w:rsid w:val="00DF098B"/>
    <w:rsid w:val="00DF11C4"/>
    <w:rsid w:val="00DF210C"/>
    <w:rsid w:val="00DF4B6A"/>
    <w:rsid w:val="00DF6041"/>
    <w:rsid w:val="00DF6BFF"/>
    <w:rsid w:val="00E004C0"/>
    <w:rsid w:val="00E02C09"/>
    <w:rsid w:val="00E04D59"/>
    <w:rsid w:val="00E07DA1"/>
    <w:rsid w:val="00E123CB"/>
    <w:rsid w:val="00E13B09"/>
    <w:rsid w:val="00E14505"/>
    <w:rsid w:val="00E20E13"/>
    <w:rsid w:val="00E21DBC"/>
    <w:rsid w:val="00E275D7"/>
    <w:rsid w:val="00E27DBE"/>
    <w:rsid w:val="00E30A59"/>
    <w:rsid w:val="00E32AB1"/>
    <w:rsid w:val="00E355F4"/>
    <w:rsid w:val="00E36C71"/>
    <w:rsid w:val="00E40404"/>
    <w:rsid w:val="00E4126A"/>
    <w:rsid w:val="00E418A6"/>
    <w:rsid w:val="00E42A06"/>
    <w:rsid w:val="00E459C6"/>
    <w:rsid w:val="00E47394"/>
    <w:rsid w:val="00E47589"/>
    <w:rsid w:val="00E63EC7"/>
    <w:rsid w:val="00E64915"/>
    <w:rsid w:val="00E64D3A"/>
    <w:rsid w:val="00E661D4"/>
    <w:rsid w:val="00E67565"/>
    <w:rsid w:val="00E67AC6"/>
    <w:rsid w:val="00E70091"/>
    <w:rsid w:val="00E70D2E"/>
    <w:rsid w:val="00E720F5"/>
    <w:rsid w:val="00E76D47"/>
    <w:rsid w:val="00E81DEE"/>
    <w:rsid w:val="00E8229B"/>
    <w:rsid w:val="00E827BC"/>
    <w:rsid w:val="00E83035"/>
    <w:rsid w:val="00E849F7"/>
    <w:rsid w:val="00E90302"/>
    <w:rsid w:val="00E91A2E"/>
    <w:rsid w:val="00E91D05"/>
    <w:rsid w:val="00E9262D"/>
    <w:rsid w:val="00E95C1E"/>
    <w:rsid w:val="00E97396"/>
    <w:rsid w:val="00EA185E"/>
    <w:rsid w:val="00EA592A"/>
    <w:rsid w:val="00EB14E4"/>
    <w:rsid w:val="00EB32A5"/>
    <w:rsid w:val="00EB34ED"/>
    <w:rsid w:val="00EB447C"/>
    <w:rsid w:val="00EB7AD2"/>
    <w:rsid w:val="00EB7BE0"/>
    <w:rsid w:val="00EC315E"/>
    <w:rsid w:val="00ED077C"/>
    <w:rsid w:val="00ED10A9"/>
    <w:rsid w:val="00ED1190"/>
    <w:rsid w:val="00ED34AC"/>
    <w:rsid w:val="00ED6544"/>
    <w:rsid w:val="00EE0277"/>
    <w:rsid w:val="00EE2899"/>
    <w:rsid w:val="00EE3E00"/>
    <w:rsid w:val="00EE5DD2"/>
    <w:rsid w:val="00EE62FA"/>
    <w:rsid w:val="00EF36C5"/>
    <w:rsid w:val="00EF3DB4"/>
    <w:rsid w:val="00F00A79"/>
    <w:rsid w:val="00F00D13"/>
    <w:rsid w:val="00F00E86"/>
    <w:rsid w:val="00F07B37"/>
    <w:rsid w:val="00F07C1E"/>
    <w:rsid w:val="00F105DB"/>
    <w:rsid w:val="00F132BC"/>
    <w:rsid w:val="00F13D80"/>
    <w:rsid w:val="00F15B4D"/>
    <w:rsid w:val="00F16A7C"/>
    <w:rsid w:val="00F16AAA"/>
    <w:rsid w:val="00F1709C"/>
    <w:rsid w:val="00F21161"/>
    <w:rsid w:val="00F218EF"/>
    <w:rsid w:val="00F21BC7"/>
    <w:rsid w:val="00F25EAD"/>
    <w:rsid w:val="00F266A2"/>
    <w:rsid w:val="00F32269"/>
    <w:rsid w:val="00F33543"/>
    <w:rsid w:val="00F35B7A"/>
    <w:rsid w:val="00F40939"/>
    <w:rsid w:val="00F550BD"/>
    <w:rsid w:val="00F56545"/>
    <w:rsid w:val="00F56A6F"/>
    <w:rsid w:val="00F5709C"/>
    <w:rsid w:val="00F57E11"/>
    <w:rsid w:val="00F60B85"/>
    <w:rsid w:val="00F64EF1"/>
    <w:rsid w:val="00F6554C"/>
    <w:rsid w:val="00F72B14"/>
    <w:rsid w:val="00F7349B"/>
    <w:rsid w:val="00F8765F"/>
    <w:rsid w:val="00F90767"/>
    <w:rsid w:val="00F9263C"/>
    <w:rsid w:val="00F93029"/>
    <w:rsid w:val="00FA1637"/>
    <w:rsid w:val="00FA685B"/>
    <w:rsid w:val="00FB0C01"/>
    <w:rsid w:val="00FB5934"/>
    <w:rsid w:val="00FC18F2"/>
    <w:rsid w:val="00FC2A17"/>
    <w:rsid w:val="00FC38CF"/>
    <w:rsid w:val="00FC39E5"/>
    <w:rsid w:val="00FC3A78"/>
    <w:rsid w:val="00FC3F39"/>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2A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6439A"/>
    <w:rPr>
      <w:sz w:val="24"/>
      <w:szCs w:val="24"/>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6439A"/>
    <w:rPr>
      <w:rFonts w:ascii="Tahoma" w:hAnsi="Tahoma" w:cs="Tahoma"/>
      <w:sz w:val="16"/>
      <w:szCs w:val="16"/>
    </w:rPr>
  </w:style>
  <w:style w:type="character" w:customStyle="1" w:styleId="TekstdymkaZnak">
    <w:name w:val="Tekst dymka Znak"/>
    <w:basedOn w:val="Domylnaczcionkaakapitu"/>
    <w:link w:val="Tekstdymka"/>
    <w:uiPriority w:val="98"/>
    <w:semiHidden/>
    <w:rsid w:val="0026439A"/>
    <w:rPr>
      <w:rFonts w:ascii="Tahoma" w:hAnsi="Tahoma" w:cs="Tahoma"/>
      <w:sz w:val="16"/>
      <w:szCs w:val="16"/>
      <w:lang w:val="pl-PL"/>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semiHidden/>
    <w:rsid w:val="0026439A"/>
    <w:rPr>
      <w:sz w:val="24"/>
      <w:szCs w:val="24"/>
      <w:lang w:val="pl-PL"/>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6439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pl-PL"/>
    </w:rPr>
  </w:style>
  <w:style w:type="character" w:customStyle="1" w:styleId="Nagwek1Znak">
    <w:name w:val="Nagłówek 1 Znak"/>
    <w:basedOn w:val="Domylnaczcionkaakapitu"/>
    <w:link w:val="Nagwek1"/>
    <w:uiPriority w:val="98"/>
    <w:semiHidden/>
    <w:rsid w:val="0026439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pl-PL"/>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basedOn w:val="Normalny"/>
    <w:link w:val="TekstprzypisudolnegoZnak"/>
    <w:uiPriority w:val="98"/>
    <w:semiHidden/>
    <w:rsid w:val="0026439A"/>
    <w:rPr>
      <w:sz w:val="20"/>
      <w:szCs w:val="20"/>
    </w:rPr>
  </w:style>
  <w:style w:type="character" w:customStyle="1" w:styleId="TekstprzypisudolnegoZnak">
    <w:name w:val="Tekst przypisu dolnego Znak"/>
    <w:basedOn w:val="Domylnaczcionkaakapitu"/>
    <w:link w:val="Tekstprzypisudolnego"/>
    <w:uiPriority w:val="98"/>
    <w:semiHidden/>
    <w:rsid w:val="0026439A"/>
    <w:rPr>
      <w:sz w:val="20"/>
      <w:szCs w:val="20"/>
      <w:lang w:val="pl-PL"/>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6439A"/>
    <w:rPr>
      <w:b/>
      <w:bCs/>
      <w:i/>
      <w:iCs/>
      <w:sz w:val="24"/>
      <w:szCs w:val="24"/>
      <w:lang w:val="pl-PL"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98"/>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semiHidden/>
    <w:rsid w:val="0026439A"/>
    <w:rPr>
      <w:i/>
      <w:iCs/>
      <w:sz w:val="24"/>
      <w:szCs w:val="24"/>
      <w:lang w:val="pl-PL"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6439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pl-PL"/>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pl-PL"/>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pl-PL"/>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pl-PL"/>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pl-PL"/>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pl-PL"/>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pl-PL"/>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pl-PL"/>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pl-PL"/>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6439A"/>
    <w:rPr>
      <w:sz w:val="16"/>
      <w:szCs w:val="16"/>
    </w:rPr>
  </w:style>
  <w:style w:type="paragraph" w:styleId="Tekstkomentarza">
    <w:name w:val="annotation text"/>
    <w:basedOn w:val="Normalny"/>
    <w:link w:val="TekstkomentarzaZnak"/>
    <w:uiPriority w:val="98"/>
    <w:semiHidden/>
    <w:rsid w:val="0026439A"/>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pl-PL"/>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pl-PL"/>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pl-PL"/>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pl-PL"/>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pl-PL"/>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pl-PL"/>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pl-PL"/>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pl-PL"/>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pl-PL"/>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pl-PL"/>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pl-PL"/>
    </w:rPr>
  </w:style>
  <w:style w:type="table" w:styleId="Tabela-Efekty3D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ny"/>
    <w:next w:val="Normalny"/>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qFormat/>
    <w:rsid w:val="0026439A"/>
    <w:pPr>
      <w:jc w:val="right"/>
    </w:pPr>
    <w:rPr>
      <w:i/>
      <w:sz w:val="20"/>
    </w:rPr>
  </w:style>
  <w:style w:type="paragraph" w:customStyle="1" w:styleId="ECHRHeading9">
    <w:name w:val="ECHR_Heading_9"/>
    <w:aliases w:val="_Head_9"/>
    <w:basedOn w:val="Nagwek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D968F7"/>
    <w:rPr>
      <w:sz w:val="24"/>
      <w:szCs w:val="24"/>
      <w:lang w:val="pl-PL"/>
    </w:rPr>
  </w:style>
  <w:style w:type="table" w:styleId="Tabelasiatki1jasna">
    <w:name w:val="Grid Table 1 Light"/>
    <w:basedOn w:val="Standardowy"/>
    <w:uiPriority w:val="46"/>
    <w:semiHidden/>
    <w:rsid w:val="00D968F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D968F7"/>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D968F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D968F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D968F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D968F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D968F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D968F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D968F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D968F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D968F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D968F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D968F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D968F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D968F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D96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D96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D96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D96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D96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D96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D96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D96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D96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D96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D96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D96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D96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D96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D96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D968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D968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D968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D968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D968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D968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D968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D968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D968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D968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D968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D968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D968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D968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D968F7"/>
    <w:rPr>
      <w:color w:val="2B579A"/>
      <w:shd w:val="clear" w:color="auto" w:fill="E1DFDD"/>
    </w:rPr>
  </w:style>
  <w:style w:type="table" w:styleId="Tabelalisty1jasna">
    <w:name w:val="List Table 1 Light"/>
    <w:basedOn w:val="Standardowy"/>
    <w:uiPriority w:val="46"/>
    <w:semiHidden/>
    <w:rsid w:val="00D968F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D968F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D968F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D968F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D968F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D968F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D968F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D968F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D968F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D968F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D968F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D968F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D968F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D968F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D968F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D968F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D968F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D968F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D968F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D968F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D968F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D96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D96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D96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D96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D96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D96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D96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D968F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D968F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D968F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D968F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D968F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D968F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D968F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D968F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D968F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D968F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D968F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D968F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D968F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D968F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D968F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D968F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D968F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D968F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D968F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D968F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D968F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D968F7"/>
    <w:rPr>
      <w:color w:val="2B579A"/>
      <w:shd w:val="clear" w:color="auto" w:fill="E1DFDD"/>
    </w:rPr>
  </w:style>
  <w:style w:type="table" w:styleId="Zwykatabela1">
    <w:name w:val="Plain Table 1"/>
    <w:basedOn w:val="Standardowy"/>
    <w:uiPriority w:val="41"/>
    <w:semiHidden/>
    <w:rsid w:val="00D968F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D968F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D968F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D968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D968F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D968F7"/>
    <w:rPr>
      <w:u w:val="dotted"/>
    </w:rPr>
  </w:style>
  <w:style w:type="character" w:customStyle="1" w:styleId="SmartLink1">
    <w:name w:val="SmartLink1"/>
    <w:basedOn w:val="Domylnaczcionkaakapitu"/>
    <w:uiPriority w:val="99"/>
    <w:semiHidden/>
    <w:unhideWhenUsed/>
    <w:rsid w:val="00D968F7"/>
    <w:rPr>
      <w:color w:val="0000FF"/>
      <w:u w:val="single"/>
      <w:shd w:val="clear" w:color="auto" w:fill="F3F2F1"/>
    </w:rPr>
  </w:style>
  <w:style w:type="table" w:styleId="Siatkatabelijasna">
    <w:name w:val="Grid Table Light"/>
    <w:basedOn w:val="Standardowy"/>
    <w:uiPriority w:val="40"/>
    <w:semiHidden/>
    <w:rsid w:val="00D968F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617A08"/>
    <w:rPr>
      <w:sz w:val="24"/>
      <w:szCs w:val="24"/>
    </w:rPr>
  </w:style>
  <w:style w:type="paragraph" w:customStyle="1" w:styleId="jucase0">
    <w:name w:val="jucase"/>
    <w:basedOn w:val="Normalny"/>
    <w:rsid w:val="004756C6"/>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A6D9D1-DD97-45A1-A51A-F3BE2EAC45B9}">
  <ds:schemaRefs>
    <ds:schemaRef ds:uri="http://schemas.openxmlformats.org/officeDocument/2006/bibliography"/>
  </ds:schemaRefs>
</ds:datastoreItem>
</file>

<file path=customXml/itemProps2.xml><?xml version="1.0" encoding="utf-8"?>
<ds:datastoreItem xmlns:ds="http://schemas.openxmlformats.org/officeDocument/2006/customXml" ds:itemID="{6A4BEA29-665B-4043-AE55-FFA2AA7D9D73}">
  <ds:schemaRefs>
    <ds:schemaRef ds:uri="http://schemas.microsoft.com/sharepoint/v3/contenttype/forms"/>
  </ds:schemaRefs>
</ds:datastoreItem>
</file>

<file path=customXml/itemProps3.xml><?xml version="1.0" encoding="utf-8"?>
<ds:datastoreItem xmlns:ds="http://schemas.openxmlformats.org/officeDocument/2006/customXml" ds:itemID="{A95DAFD2-3C42-429F-825F-F92E33BAC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9FC6CC2-A58A-4B73-AD86-E27940357A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5667</Words>
  <Characters>34006</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39594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2023-09-06T10:45:00Z</dcterms:created>
  <dcterms:modified xsi:type="dcterms:W3CDTF">2023-09-06T10:45:00Z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48762/19</vt:lpwstr>
  </property>
  <property fmtid="{D5CDD505-2E9C-101B-9397-08002B2CF9AE}" pid="4" name="CASEID">
    <vt:lpwstr>1476788</vt:lpwstr>
  </property>
  <property fmtid="{D5CDD505-2E9C-101B-9397-08002B2CF9AE}" pid="5" name="ContentTypeId">
    <vt:lpwstr>0x010100558EB02BDB9E204AB350EDD385B68E10</vt:lpwstr>
  </property>
</Properties>
</file>