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D6312" w14:textId="77777777" w:rsidR="00C65CB4" w:rsidRDefault="00C65CB4">
      <w:pPr>
        <w:jc w:val="center"/>
      </w:pPr>
    </w:p>
    <w:p w14:paraId="03273F1D" w14:textId="7FE29DD1" w:rsidR="005C30DA" w:rsidRDefault="00C65CB4">
      <w:pPr>
        <w:jc w:val="center"/>
      </w:pPr>
      <w:r>
        <w:t>EUROPEJSKI TRYBUNAŁ PRAW CZŁOWIEKA</w:t>
      </w:r>
    </w:p>
    <w:p w14:paraId="1B14D84A" w14:textId="77777777" w:rsidR="005C30DA" w:rsidRDefault="005C30DA">
      <w:pPr>
        <w:jc w:val="center"/>
      </w:pPr>
    </w:p>
    <w:p w14:paraId="699137D6" w14:textId="20CD94F2" w:rsidR="005C30DA" w:rsidRDefault="004866E3">
      <w:pPr>
        <w:pStyle w:val="DecHCase"/>
      </w:pPr>
      <w:r>
        <w:t>PIERWSZA SEKCJA</w:t>
      </w:r>
    </w:p>
    <w:p w14:paraId="0317EF5A" w14:textId="38DA27D9" w:rsidR="005C30DA" w:rsidRDefault="004866E3">
      <w:pPr>
        <w:pStyle w:val="JuTitle"/>
        <w:spacing w:before="1440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rPr>
          <w:color w:val="000000" w:themeColor="text1"/>
        </w:rPr>
        <w:t>ŁACIAK</w:t>
      </w:r>
      <w:r>
        <w:t xml:space="preserve"> przeciwko POLSCE</w:t>
      </w:r>
    </w:p>
    <w:p w14:paraId="412DFE13" w14:textId="4DF48D16" w:rsidR="005C30DA" w:rsidRDefault="004866E3">
      <w:pPr>
        <w:pStyle w:val="ECHRCoverTitle4"/>
      </w:pPr>
      <w:r>
        <w:t>(Skarga nr 18592/19)</w:t>
      </w:r>
    </w:p>
    <w:p w14:paraId="1C78E33D" w14:textId="77777777" w:rsidR="005C30DA" w:rsidRDefault="005C30DA">
      <w:pPr>
        <w:pStyle w:val="DecHCase"/>
      </w:pPr>
    </w:p>
    <w:p w14:paraId="64B267CF" w14:textId="77777777" w:rsidR="005C30DA" w:rsidRDefault="005C30DA">
      <w:pPr>
        <w:pStyle w:val="DecHCase"/>
      </w:pPr>
    </w:p>
    <w:p w14:paraId="2B45696F" w14:textId="77777777" w:rsidR="005C30DA" w:rsidRDefault="005C30DA">
      <w:pPr>
        <w:pStyle w:val="DecHCase"/>
      </w:pPr>
    </w:p>
    <w:p w14:paraId="20EA9D1F" w14:textId="77777777" w:rsidR="005C30DA" w:rsidRDefault="005C30DA">
      <w:pPr>
        <w:pStyle w:val="DecHCase"/>
      </w:pPr>
    </w:p>
    <w:p w14:paraId="639A60E9" w14:textId="77777777" w:rsidR="005C30DA" w:rsidRDefault="005C30DA">
      <w:pPr>
        <w:pStyle w:val="DecHCase"/>
      </w:pPr>
    </w:p>
    <w:p w14:paraId="3484C2C1" w14:textId="77777777" w:rsidR="005C30DA" w:rsidRDefault="005C30DA">
      <w:pPr>
        <w:pStyle w:val="DecHCase"/>
      </w:pPr>
    </w:p>
    <w:p w14:paraId="64304678" w14:textId="77777777" w:rsidR="005C30DA" w:rsidRDefault="004866E3">
      <w:pPr>
        <w:pStyle w:val="DecHCase"/>
      </w:pPr>
      <w:r>
        <w:t>WYROK</w:t>
      </w:r>
    </w:p>
    <w:p w14:paraId="2B0C5A10" w14:textId="77777777" w:rsidR="005C30DA" w:rsidRDefault="005C30DA">
      <w:pPr>
        <w:jc w:val="center"/>
        <w:rPr>
          <w:i/>
        </w:rPr>
      </w:pPr>
    </w:p>
    <w:p w14:paraId="13E7E3F1" w14:textId="77777777" w:rsidR="005C30DA" w:rsidRDefault="004866E3">
      <w:pPr>
        <w:pStyle w:val="DecHCase"/>
      </w:pPr>
      <w:r>
        <w:t>STRASBURG</w:t>
      </w:r>
    </w:p>
    <w:p w14:paraId="42205D02" w14:textId="03DDD0C9" w:rsidR="005C30DA" w:rsidRDefault="004866E3">
      <w:pPr>
        <w:pStyle w:val="DecHCase"/>
      </w:pPr>
      <w:r>
        <w:t>15 grudnia 2022 r.</w:t>
      </w:r>
    </w:p>
    <w:p w14:paraId="6E9CE200" w14:textId="6FFC9E5B" w:rsidR="005C30DA" w:rsidRDefault="005C30DA">
      <w:pPr>
        <w:jc w:val="center"/>
      </w:pPr>
    </w:p>
    <w:p w14:paraId="49540D62" w14:textId="38923A0D" w:rsidR="005C30DA" w:rsidRDefault="005C30DA">
      <w:pPr>
        <w:jc w:val="center"/>
      </w:pPr>
    </w:p>
    <w:p w14:paraId="5CC9C935" w14:textId="77777777" w:rsidR="005C30DA" w:rsidRDefault="005C30DA">
      <w:pPr>
        <w:jc w:val="center"/>
      </w:pPr>
    </w:p>
    <w:p w14:paraId="139716C2" w14:textId="77777777" w:rsidR="005C30DA" w:rsidRDefault="004866E3">
      <w:pPr>
        <w:pStyle w:val="P68B1DB1-Normal1"/>
      </w:pPr>
      <w:r>
        <w:t>Niniejszy wyrok jest ostateczny, ale może podlegać korekcie wydawniczej.</w:t>
      </w:r>
    </w:p>
    <w:p w14:paraId="24E13D62" w14:textId="77777777" w:rsidR="005C30DA" w:rsidRDefault="005C30DA">
      <w:pPr>
        <w:pStyle w:val="JuCase"/>
      </w:pPr>
    </w:p>
    <w:p w14:paraId="2650D497" w14:textId="79509E99" w:rsidR="005C30DA" w:rsidRDefault="005C30DA">
      <w:pPr>
        <w:pStyle w:val="JuPara"/>
        <w:sectPr w:rsidR="005C30DA" w:rsidSect="00B91668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05F85C9B" w14:textId="64A806B3" w:rsidR="005C30DA" w:rsidRDefault="004866E3">
      <w:pPr>
        <w:pStyle w:val="JuCase"/>
      </w:pPr>
      <w:r>
        <w:lastRenderedPageBreak/>
        <w:t>W sprawie Łaciak przeciwko Polsce,</w:t>
      </w:r>
    </w:p>
    <w:p w14:paraId="24055F2E" w14:textId="380AA0AD" w:rsidR="005C30DA" w:rsidRDefault="004866E3">
      <w:pPr>
        <w:pStyle w:val="JuPara"/>
      </w:pPr>
      <w:r>
        <w:t>Europejski Trybunał Praw Człowieka (</w:t>
      </w:r>
      <w:r w:rsidR="004A50C9">
        <w:t>Pierwsza Sekcja</w:t>
      </w:r>
      <w:r>
        <w:t>), zasiadając jako Komitet w składzie:</w:t>
      </w:r>
    </w:p>
    <w:p w14:paraId="7D213C60" w14:textId="4D22BF5E" w:rsidR="005C30DA" w:rsidRDefault="004866E3">
      <w:pPr>
        <w:pStyle w:val="JuJudges"/>
      </w:pPr>
      <w:r>
        <w:tab/>
        <w:t>Ivana Jelić</w:t>
      </w:r>
      <w:r>
        <w:rPr>
          <w:i/>
        </w:rPr>
        <w:t>, Przewodnicząca</w:t>
      </w:r>
      <w:r>
        <w:t>,</w:t>
      </w:r>
      <w:r>
        <w:br/>
      </w:r>
      <w:r>
        <w:tab/>
        <w:t>Krzysztof Wojtyczek,</w:t>
      </w:r>
      <w:r>
        <w:br/>
      </w:r>
      <w:r>
        <w:tab/>
        <w:t>Erik Wennerström</w:t>
      </w:r>
      <w:r>
        <w:rPr>
          <w:i/>
        </w:rPr>
        <w:t>, Sędziowie</w:t>
      </w:r>
      <w:r>
        <w:t>,</w:t>
      </w:r>
      <w:r>
        <w:br/>
        <w:t xml:space="preserve">oraz Viktoriya Maradudina, </w:t>
      </w:r>
      <w:r>
        <w:rPr>
          <w:i/>
        </w:rPr>
        <w:t>p.o.</w:t>
      </w:r>
      <w:r>
        <w:t xml:space="preserve"> </w:t>
      </w:r>
      <w:r>
        <w:rPr>
          <w:rFonts w:cstheme="minorHAnsi"/>
          <w:i/>
        </w:rPr>
        <w:t>Zastępc</w:t>
      </w:r>
      <w:r w:rsidR="004A50C9">
        <w:rPr>
          <w:rFonts w:cstheme="minorHAnsi"/>
          <w:i/>
        </w:rPr>
        <w:t>a</w:t>
      </w:r>
      <w:r>
        <w:rPr>
          <w:rFonts w:cstheme="minorHAnsi"/>
          <w:i/>
        </w:rPr>
        <w:t xml:space="preserve"> Kanclerza Sekcji</w:t>
      </w:r>
      <w:r>
        <w:rPr>
          <w:i/>
        </w:rPr>
        <w:t>,</w:t>
      </w:r>
    </w:p>
    <w:p w14:paraId="7F1638D1" w14:textId="7C03EA20" w:rsidR="005C30DA" w:rsidRDefault="004866E3">
      <w:pPr>
        <w:pStyle w:val="JuPara"/>
      </w:pPr>
      <w:r>
        <w:t>obradując na posiedzeniu niejawnym w dniu 24 listopada 2022 r.,</w:t>
      </w:r>
    </w:p>
    <w:p w14:paraId="128E9334" w14:textId="77777777" w:rsidR="005C30DA" w:rsidRDefault="004866E3">
      <w:pPr>
        <w:pStyle w:val="JuPara"/>
      </w:pPr>
      <w:r>
        <w:t>wydaje następujący wyrok, który został przyjęty w tym dniu:</w:t>
      </w:r>
    </w:p>
    <w:p w14:paraId="02B1ED50" w14:textId="77777777" w:rsidR="005C30DA" w:rsidRDefault="004866E3">
      <w:pPr>
        <w:pStyle w:val="JuHHead"/>
      </w:pPr>
      <w:bookmarkStart w:id="1" w:name="ITMARKStartJudgment"/>
      <w:bookmarkEnd w:id="1"/>
      <w:r>
        <w:t>POSTĘPOWANIE</w:t>
      </w:r>
    </w:p>
    <w:p w14:paraId="7EE9CB1C" w14:textId="73DF622D" w:rsidR="005C30DA" w:rsidRDefault="004866E3">
      <w:pPr>
        <w:pStyle w:val="JuPara"/>
      </w:pPr>
      <w:r>
        <w:t>1.  Sprawa wywodzi się ze skargi przeciwko Polsce wniesionej do</w:t>
      </w:r>
      <w:r w:rsidR="00054120">
        <w:t> </w:t>
      </w:r>
      <w:r>
        <w:t>Trybunału na podstawie art. 34 Konwen</w:t>
      </w:r>
      <w:r w:rsidR="006F611F">
        <w:t>cji o ochronie praw człowieka i </w:t>
      </w:r>
      <w:r>
        <w:t>podstawowych wolności („Konwencja”) w dniu 4 marca 2019 r.</w:t>
      </w:r>
    </w:p>
    <w:p w14:paraId="6A21E217" w14:textId="4E1B546A" w:rsidR="005C30DA" w:rsidRDefault="004866E3">
      <w:pPr>
        <w:pStyle w:val="JuPara"/>
      </w:pPr>
      <w:r>
        <w:t>2.  Skarga została zakomunikowana Rządowi polskiemu („Rząd”).</w:t>
      </w:r>
    </w:p>
    <w:p w14:paraId="30EB72EF" w14:textId="77777777" w:rsidR="005C30DA" w:rsidRDefault="004866E3">
      <w:pPr>
        <w:pStyle w:val="JuHHead"/>
      </w:pPr>
      <w:r>
        <w:t>FAKTY</w:t>
      </w:r>
    </w:p>
    <w:p w14:paraId="53A507DA" w14:textId="6190B1DD" w:rsidR="005C30DA" w:rsidRDefault="004866E3">
      <w:pPr>
        <w:pStyle w:val="JuPara"/>
      </w:pPr>
      <w:r>
        <w:t>3.  Dane skarżącego oraz istotne informacje dotyczące skargi przedstawiono w załączonej tabeli.</w:t>
      </w:r>
    </w:p>
    <w:p w14:paraId="7D2B058A" w14:textId="31FE3EC1" w:rsidR="005C30DA" w:rsidRDefault="004866E3">
      <w:pPr>
        <w:pStyle w:val="JuPara"/>
      </w:pPr>
      <w:r>
        <w:t>4.  </w:t>
      </w:r>
      <w:r>
        <w:rPr>
          <w:color w:val="000000"/>
        </w:rPr>
        <w:t xml:space="preserve">Skarżący zarzucił </w:t>
      </w:r>
      <w:r>
        <w:rPr>
          <w:rFonts w:eastAsia="Times New Roman" w:cstheme="minorHAnsi"/>
          <w:color w:val="000000"/>
        </w:rPr>
        <w:t>przewlekłość postępowania karnego</w:t>
      </w:r>
      <w:r>
        <w:rPr>
          <w:rFonts w:cstheme="minorHAnsi"/>
        </w:rPr>
        <w:t xml:space="preserve"> oraz brak skutecznego środka odwoławczego w prawie krajowym</w:t>
      </w:r>
      <w:r>
        <w:rPr>
          <w:rFonts w:cstheme="minorHAnsi"/>
          <w:color w:val="000000"/>
        </w:rPr>
        <w:t>.</w:t>
      </w:r>
    </w:p>
    <w:p w14:paraId="76808D0B" w14:textId="77777777" w:rsidR="005C30DA" w:rsidRDefault="004866E3">
      <w:pPr>
        <w:pStyle w:val="JuHHead"/>
      </w:pPr>
      <w:r>
        <w:t>PRAWO</w:t>
      </w:r>
    </w:p>
    <w:p w14:paraId="3CAFE066" w14:textId="114BE316" w:rsidR="005C30DA" w:rsidRDefault="004866E3">
      <w:pPr>
        <w:pStyle w:val="JuHIRoman"/>
        <w:rPr>
          <w:rFonts w:eastAsia="PMingLiU"/>
        </w:rPr>
      </w:pPr>
      <w:r>
        <w:t>ZARZUCANE NARUSZENIE ART.</w:t>
      </w:r>
      <w:r w:rsidR="006F611F">
        <w:rPr>
          <w:rFonts w:eastAsia="PMingLiU"/>
        </w:rPr>
        <w:t> 6 UST. 1 I ART. </w:t>
      </w:r>
      <w:r>
        <w:rPr>
          <w:rFonts w:eastAsia="PMingLiU"/>
        </w:rPr>
        <w:t xml:space="preserve">13 </w:t>
      </w:r>
      <w:r>
        <w:t>KONWENCJI</w:t>
      </w:r>
    </w:p>
    <w:p w14:paraId="42407735" w14:textId="0A0A6AD2" w:rsidR="005C30DA" w:rsidRDefault="004866E3">
      <w:pPr>
        <w:pStyle w:val="JuPara"/>
      </w:pPr>
      <w:r>
        <w:t>5.  Skarżący zarzucił, że czas trwania przedmiotowego postępowania karnego był niezgodny z wymogiem rozpatrzenia sprawy w „rozsądnym terminie” i że nie przysługiwał mu w związku z tym skuteczny środek odwoławczy. Powołał się na art. </w:t>
      </w:r>
      <w:r w:rsidR="006F611F">
        <w:rPr>
          <w:rFonts w:eastAsia="PMingLiU"/>
        </w:rPr>
        <w:t>6 ust. </w:t>
      </w:r>
      <w:r>
        <w:rPr>
          <w:rFonts w:eastAsia="PMingLiU"/>
        </w:rPr>
        <w:t>1</w:t>
      </w:r>
      <w:r w:rsidR="006F611F">
        <w:t xml:space="preserve"> i art. </w:t>
      </w:r>
      <w:r>
        <w:t>13 Konwencji, które stanowią, że:</w:t>
      </w:r>
    </w:p>
    <w:p w14:paraId="3E29F10A" w14:textId="77777777" w:rsidR="005C30DA" w:rsidRDefault="004866E3">
      <w:pPr>
        <w:pStyle w:val="P68B1DB1-JuHArticle2"/>
      </w:pPr>
      <w:r>
        <w:t>Art. 6 ust. 1</w:t>
      </w:r>
    </w:p>
    <w:p w14:paraId="6A10DCBB" w14:textId="77777777" w:rsidR="005C30DA" w:rsidRDefault="004866E3">
      <w:pPr>
        <w:pStyle w:val="JuQuot"/>
      </w:pPr>
      <w:r>
        <w:t>„Każdy ma prawo do [...] rozpatrzenia jego sprawy w rozsądnym terminie przez [...] sąd [...] przy rozstrzyganiu [...] o zasadności każdego oskarżenia w wytoczonej przeciwko niemu sprawie karnej”.</w:t>
      </w:r>
    </w:p>
    <w:p w14:paraId="23F0D271" w14:textId="77777777" w:rsidR="005C30DA" w:rsidRDefault="004866E3">
      <w:pPr>
        <w:pStyle w:val="JuHArticle"/>
      </w:pPr>
      <w:r>
        <w:t>Art. 13</w:t>
      </w:r>
    </w:p>
    <w:p w14:paraId="68C61117" w14:textId="540F46B2" w:rsidR="005C30DA" w:rsidRDefault="004866E3">
      <w:pPr>
        <w:pStyle w:val="JuQuot"/>
      </w:pPr>
      <w:r>
        <w:t>„</w:t>
      </w:r>
      <w:r w:rsidR="004A50C9" w:rsidRPr="004A50C9">
        <w:t>Każdy, czyje prawa i wolności zawarte w niniejszej Konwencji zostały naruszone, ma prawo do skutecznego środka odwoławczego do właściwego organu państwowego także wówczas, gdy naruszenia dokonały osoby wykonujące swoje funkcje urzędowe</w:t>
      </w:r>
      <w:r>
        <w:t>”.</w:t>
      </w:r>
    </w:p>
    <w:p w14:paraId="7EF23BBA" w14:textId="11CE62F7" w:rsidR="005C30DA" w:rsidRDefault="004866E3">
      <w:pPr>
        <w:pStyle w:val="JuPara"/>
      </w:pPr>
      <w:r>
        <w:lastRenderedPageBreak/>
        <w:t>6.  Rząd podniósł zastrzeżenie wstępne,</w:t>
      </w:r>
      <w:r w:rsidR="00A41A09">
        <w:t xml:space="preserve"> </w:t>
      </w:r>
      <w:r>
        <w:t>że skarga w niniejszej sprawie dotyczy tego samego postępowania i był</w:t>
      </w:r>
      <w:r w:rsidR="006F611F">
        <w:t>a już przedmiotem rozpoznania w </w:t>
      </w:r>
      <w:r>
        <w:t>ramach skargi nr 23090/15 wniesionej przez tego samego skarżącego. Skarżący kwestionował twierdzenie Rządu i podniósł, że obydwa postępowania przeciwko niemu, dotyczące różnych zarzutów, toczyły się jednocześnie przed różnymi sądami.</w:t>
      </w:r>
    </w:p>
    <w:p w14:paraId="0ACDC884" w14:textId="4421E48A" w:rsidR="005C30DA" w:rsidRDefault="004866E3">
      <w:pPr>
        <w:pStyle w:val="JuPara"/>
      </w:pPr>
      <w:r>
        <w:t>7.  Z informacji przedstawionych przez Rząd wynika, że postępowanie, którego dotyczy skarga w niniejszej sprawie, znacznie różni się od</w:t>
      </w:r>
      <w:r w:rsidR="00054120">
        <w:t> </w:t>
      </w:r>
      <w:r>
        <w:t>postępowania, które było przedmiotem zarzutów podniesionych przez skarżącego w skardze nr 23090/15. Przede wszystkim toczyły się one przed różnymi sądami, wyroki były wydawane w różnych terminach, sprawy miały różne sygnatury, a skarżący został oskarżony w różnych terminach. Trybunał nie ma zatem podstaw, by stwierdzić, że skarżący złożył już skargę dotyczącą postępowania karnego w sprawie włamania</w:t>
      </w:r>
      <w:r w:rsidR="006F611F">
        <w:t>, będącego przedmiotem skargi w </w:t>
      </w:r>
      <w:r>
        <w:t>niniejszej sprawie. Zastrzeżenie wstępne Rządu podlega zatem oddaleniu.</w:t>
      </w:r>
    </w:p>
    <w:p w14:paraId="13923531" w14:textId="205669F6" w:rsidR="005C30DA" w:rsidRDefault="004866E3">
      <w:pPr>
        <w:pStyle w:val="JuPara"/>
      </w:pPr>
      <w:r>
        <w:t xml:space="preserve">8.  Ponadto Rząd podniósł zastrzeżenie wstępne, że skarżący nie może być dłużej uznawany, w rozumieniu art. 34 Konwencji, za „ofiarę” naruszenia prawa do rozpatrzenia jego sprawy w rozsądnym terminie, ponieważ przyznano mu zadośćuczynienie w kwocie 8 800 zł (PLN). Trybunał zauważa, że kwestia ta wymaga rozstrzygnięcia w świetle zasad ustanowionych w orzecznictwie Trybunału (zob. </w:t>
      </w:r>
      <w:r w:rsidR="006F611F">
        <w:rPr>
          <w:i/>
        </w:rPr>
        <w:t xml:space="preserve">Cocchiarella przeciwko </w:t>
      </w:r>
      <w:r>
        <w:rPr>
          <w:i/>
        </w:rPr>
        <w:t xml:space="preserve">Włochom </w:t>
      </w:r>
      <w:r>
        <w:t>[WI], skarga nr 64886/01, §§ 69–107, ETPC 2006–V; oraz </w:t>
      </w:r>
      <w:r w:rsidR="006F611F">
        <w:rPr>
          <w:i/>
        </w:rPr>
        <w:t xml:space="preserve">Scordino przeciwko </w:t>
      </w:r>
      <w:r>
        <w:rPr>
          <w:i/>
        </w:rPr>
        <w:t>Włochom (nr 1)</w:t>
      </w:r>
      <w:r>
        <w:t xml:space="preserve"> [WI], skarga nr 36813/97, §§ 178–213, ETPC 2006–V). Skarżący nie zgodził się z tym zastrzeżeniem i uznał, że suma pieniężna, która została mu przyznana przez organy krajowe, nie</w:t>
      </w:r>
      <w:r w:rsidR="00054120">
        <w:t> </w:t>
      </w:r>
      <w:r>
        <w:t>była zadowalająca.</w:t>
      </w:r>
    </w:p>
    <w:p w14:paraId="6B0F45FB" w14:textId="168AC73E" w:rsidR="005C30DA" w:rsidRDefault="004866E3">
      <w:pPr>
        <w:pStyle w:val="JuPara"/>
      </w:pPr>
      <w:r>
        <w:t>9.  Trybunał zauważa, że Sąd Apelacyjny w Katowicach przeanalizował przebieg kwestionowanego postępowania w świetle kryteriów, które stosuje sam Trybunał. W dwóch przypadkach stwierdził, że doszło do opóźnień, za</w:t>
      </w:r>
      <w:r w:rsidR="00054120">
        <w:t> </w:t>
      </w:r>
      <w:r>
        <w:t xml:space="preserve">które władze krajowe powinny ponosić odpowiedzialność, oraz że prawo skarżącego do rozpoznania sprawy bez nieuzasadnionej zwłoki zostało naruszone, i przyznał skarżącemu zadośćuczynienie stanowiące równowartość 2 000 euro (EUR) z uwagi na przewlekłość postępowania. Trybunał </w:t>
      </w:r>
      <w:r w:rsidR="00A41A09">
        <w:t>uznaje</w:t>
      </w:r>
      <w:r>
        <w:t xml:space="preserve">, że </w:t>
      </w:r>
      <w:r w:rsidR="00A41A09">
        <w:t>uwzględni</w:t>
      </w:r>
      <w:r w:rsidR="00A41A09">
        <w:t>ając</w:t>
      </w:r>
      <w:r w:rsidR="00A41A09">
        <w:t xml:space="preserve"> ok</w:t>
      </w:r>
      <w:r w:rsidR="00A41A09">
        <w:t>oliczności faktyczne będące</w:t>
      </w:r>
      <w:r w:rsidR="00A41A09">
        <w:t xml:space="preserve"> przedmiotem skargi do Trybunału</w:t>
      </w:r>
      <w:r w:rsidR="00A41A09">
        <w:t xml:space="preserve">, </w:t>
      </w:r>
      <w:r>
        <w:t>suma pieniężna przyznana skarżącemu na poziomie krajowym</w:t>
      </w:r>
      <w:r w:rsidR="00A41A09">
        <w:t xml:space="preserve"> </w:t>
      </w:r>
      <w:r>
        <w:t xml:space="preserve">była niewystarczająca (zob. </w:t>
      </w:r>
      <w:r w:rsidR="006F611F">
        <w:rPr>
          <w:i/>
        </w:rPr>
        <w:t xml:space="preserve">Janulis przeciwko </w:t>
      </w:r>
      <w:r>
        <w:rPr>
          <w:i/>
        </w:rPr>
        <w:t>Polsce</w:t>
      </w:r>
      <w:r>
        <w:t>, skarga nr 31792/15, § 2</w:t>
      </w:r>
      <w:r w:rsidR="00F64FAA">
        <w:t>1</w:t>
      </w:r>
      <w:r w:rsidR="006F611F">
        <w:t>, 16 stycznia 2020 r. z </w:t>
      </w:r>
      <w:r>
        <w:t>dalszymi przykładami). W</w:t>
      </w:r>
      <w:r w:rsidR="00054120">
        <w:t> </w:t>
      </w:r>
      <w:r>
        <w:t>tych okolicznościach argument, że skarżący utracił status ofiary, nie</w:t>
      </w:r>
      <w:r w:rsidR="00054120">
        <w:t> </w:t>
      </w:r>
      <w:r>
        <w:t>zasługuje na uwzględnienie.</w:t>
      </w:r>
    </w:p>
    <w:p w14:paraId="43FC9C54" w14:textId="0BEA6238" w:rsidR="005C30DA" w:rsidRDefault="004866E3">
      <w:pPr>
        <w:pStyle w:val="JuPara"/>
        <w:rPr>
          <w:strike/>
        </w:rPr>
      </w:pPr>
      <w:r>
        <w:t>10.  Trybunał przypomina, że zasadność czasu trwania postępowania należy oceniać w świetle okoliczności sprawy i w odniesieniu do</w:t>
      </w:r>
      <w:r w:rsidR="00054120">
        <w:t> </w:t>
      </w:r>
      <w:r>
        <w:t>następujących kryteriów: złożoności sp</w:t>
      </w:r>
      <w:r w:rsidR="006F611F">
        <w:t>rawy, postępowania skarżącego i </w:t>
      </w:r>
      <w:r>
        <w:t>właściwych organów oraz tego, jakie znaczenie miał przedmiot sporu dla</w:t>
      </w:r>
      <w:r w:rsidR="00054120">
        <w:t> </w:t>
      </w:r>
      <w:r>
        <w:t xml:space="preserve">skarżącego (zob. m.in. wyroki: </w:t>
      </w:r>
      <w:r w:rsidR="00552DB4">
        <w:rPr>
          <w:i/>
        </w:rPr>
        <w:t xml:space="preserve">Pélissier i Sassi przeciwko </w:t>
      </w:r>
      <w:r>
        <w:rPr>
          <w:i/>
        </w:rPr>
        <w:t>Francji</w:t>
      </w:r>
      <w:r>
        <w:t xml:space="preserve"> [WI], </w:t>
      </w:r>
      <w:r>
        <w:lastRenderedPageBreak/>
        <w:t xml:space="preserve">skarga nr 25444/94, § 67, ETPC 1999-II; </w:t>
      </w:r>
      <w:r>
        <w:rPr>
          <w:i/>
        </w:rPr>
        <w:t>Frydlender przeciwko Francji</w:t>
      </w:r>
      <w:r>
        <w:t xml:space="preserve"> [WI], skarga nr 30979/96, § 43, ETPC 2000-VII).</w:t>
      </w:r>
    </w:p>
    <w:p w14:paraId="4D061CF4" w14:textId="3AE9BABD" w:rsidR="005C30DA" w:rsidRDefault="004866E3">
      <w:pPr>
        <w:pStyle w:val="JuPara"/>
      </w:pPr>
      <w:r>
        <w:t xml:space="preserve">11.  W precedensowej sprawie </w:t>
      </w:r>
      <w:r>
        <w:rPr>
          <w:i/>
        </w:rPr>
        <w:t xml:space="preserve">Rutkowski i Inni przeciwko Polsce </w:t>
      </w:r>
      <w:r>
        <w:t>, skarga nr 72287/10 i dwie inne, w wyroku z dnia 7 lipc</w:t>
      </w:r>
      <w:r w:rsidR="00552DB4">
        <w:t>a 2015 </w:t>
      </w:r>
      <w:r>
        <w:t>r. Trybunał stwierdził już naruszenie w odniesieniu do kwestii podobnych do tych, które są przedmiotem niniejszej sprawy.</w:t>
      </w:r>
    </w:p>
    <w:p w14:paraId="7E919FB1" w14:textId="79AB7FEE" w:rsidR="005C30DA" w:rsidRDefault="004866E3">
      <w:pPr>
        <w:pStyle w:val="JuPara"/>
      </w:pPr>
      <w:r>
        <w:t>12.  Po zapoznaniu się z całością przedstawionego mu materiału Trybunał nie znalazł żadnych okoliczności faktycznych ani argumentów</w:t>
      </w:r>
      <w:r w:rsidR="00F64FAA">
        <w:t>,</w:t>
      </w:r>
      <w:r>
        <w:t xml:space="preserve"> mogących uzasadnić łączny czas trwania postępowania na poziomie krajowym. Uwzględniając swoje orzecznictwo w tym</w:t>
      </w:r>
      <w:r w:rsidR="00552DB4">
        <w:t xml:space="preserve"> zakresie, Trybunał uzna</w:t>
      </w:r>
      <w:r w:rsidR="00244FBD">
        <w:t>je</w:t>
      </w:r>
      <w:r w:rsidR="00552DB4">
        <w:t>, że</w:t>
      </w:r>
      <w:r w:rsidR="00054120">
        <w:t> </w:t>
      </w:r>
      <w:r w:rsidR="00552DB4">
        <w:t>w </w:t>
      </w:r>
      <w:r>
        <w:t>niniejszej sprawie doszło do przewlekłości postępowania i nie został spełniony wymóg rozpatrzenia sprawy w „rozsądnym terminie”.</w:t>
      </w:r>
    </w:p>
    <w:p w14:paraId="33A84E73" w14:textId="5DB558FE" w:rsidR="005C30DA" w:rsidRDefault="004866E3">
      <w:pPr>
        <w:pStyle w:val="JuPara"/>
      </w:pPr>
      <w:r>
        <w:t>13.  Trybunał zauważa ponadto, że skarżący nie miał do dyspozycji skutecznego środka odwoławczego</w:t>
      </w:r>
      <w:r w:rsidR="00552DB4">
        <w:t>, z którego mógłby skorzystać w </w:t>
      </w:r>
      <w:r>
        <w:t>odniesieniu do tych zarzutów.</w:t>
      </w:r>
    </w:p>
    <w:p w14:paraId="5AD66313" w14:textId="2EDB0B67" w:rsidR="005C30DA" w:rsidRDefault="004866E3">
      <w:pPr>
        <w:pStyle w:val="JuPara"/>
      </w:pPr>
      <w:r>
        <w:t xml:space="preserve">14.  Zarzuty te są zatem dopuszczalne i świadczą o naruszeniu </w:t>
      </w:r>
      <w:r w:rsidR="00552DB4">
        <w:rPr>
          <w:rFonts w:eastAsia="PMingLiU"/>
        </w:rPr>
        <w:t>art. 6 ust. </w:t>
      </w:r>
      <w:r>
        <w:rPr>
          <w:rFonts w:eastAsia="PMingLiU"/>
        </w:rPr>
        <w:t>1</w:t>
      </w:r>
      <w:r w:rsidR="00552DB4">
        <w:t xml:space="preserve"> oraz art. </w:t>
      </w:r>
      <w:r>
        <w:t>13 Konwencji.</w:t>
      </w:r>
    </w:p>
    <w:p w14:paraId="6DA3ACD0" w14:textId="1AB9A337" w:rsidR="005C30DA" w:rsidRDefault="00552DB4">
      <w:pPr>
        <w:pStyle w:val="JuHIRoman"/>
      </w:pPr>
      <w:r>
        <w:t>ZASTOSOWANIE ART. </w:t>
      </w:r>
      <w:r w:rsidR="004866E3">
        <w:t>41 KONWENCJI</w:t>
      </w:r>
    </w:p>
    <w:p w14:paraId="3B298A65" w14:textId="754F3F8F" w:rsidR="005C30DA" w:rsidRDefault="004866E3">
      <w:pPr>
        <w:pStyle w:val="JuPara"/>
      </w:pPr>
      <w:r>
        <w:t>15.  Artykuł 41 Konwencji stanowi:</w:t>
      </w:r>
    </w:p>
    <w:p w14:paraId="43AF0EA5" w14:textId="370B53BE" w:rsidR="005C30DA" w:rsidRDefault="004866E3">
      <w:pPr>
        <w:pStyle w:val="JuQuot"/>
        <w:keepNext/>
        <w:keepLines/>
      </w:pPr>
      <w:r>
        <w:t>„</w:t>
      </w:r>
      <w:r w:rsidR="004A50C9" w:rsidRPr="004A50C9">
        <w:t>Jeśli Trybunał stwierdzi, że nastąpiło naruszenie Konwencji lub jej protokołów, oraz jeśli prawo wewnętrzne zainteresowanej Wysokiej Układającej się Strony pozwala tylko na częściowe usunięcie konsekwencji tego naruszenia, Trybunał orzeka, gdy</w:t>
      </w:r>
      <w:r w:rsidR="00054120">
        <w:t> </w:t>
      </w:r>
      <w:r w:rsidR="004A50C9" w:rsidRPr="004A50C9">
        <w:t>zachodzi potrzeba, słuszne zadośćuczynienie pokrzywdzonej stronie</w:t>
      </w:r>
      <w:r>
        <w:t>”.</w:t>
      </w:r>
    </w:p>
    <w:p w14:paraId="2DD1B47F" w14:textId="4F469C46" w:rsidR="005C30DA" w:rsidRDefault="004866E3">
      <w:pPr>
        <w:pStyle w:val="JuPara"/>
      </w:pPr>
      <w:r>
        <w:t>16.  </w:t>
      </w:r>
      <w:r w:rsidR="00552DB4" w:rsidRPr="00552DB4">
        <w:t>Uwzględniając posiadaną dokumentację oraz swoje orzecz</w:t>
      </w:r>
      <w:r w:rsidR="00552DB4">
        <w:t xml:space="preserve">nictwo (zob. w szczególności </w:t>
      </w:r>
      <w:r w:rsidR="00552DB4" w:rsidRPr="00552DB4">
        <w:rPr>
          <w:i/>
        </w:rPr>
        <w:t>Rutkowski i Inni</w:t>
      </w:r>
      <w:r w:rsidR="00552DB4">
        <w:t xml:space="preserve">, </w:t>
      </w:r>
      <w:r w:rsidR="00552DB4" w:rsidRPr="00552DB4">
        <w:rPr>
          <w:i/>
        </w:rPr>
        <w:t>op. cit.</w:t>
      </w:r>
      <w:r w:rsidR="00552DB4" w:rsidRPr="00552DB4">
        <w:t>), Trybunał uznaje, że</w:t>
      </w:r>
      <w:r w:rsidR="00054120">
        <w:t> </w:t>
      </w:r>
      <w:r w:rsidR="00552DB4" w:rsidRPr="00552DB4">
        <w:t>uzasadnione będzie przyznanie kwoty wskazanej w załączonej tabeli.</w:t>
      </w:r>
    </w:p>
    <w:p w14:paraId="61063CD5" w14:textId="7743FB8F" w:rsidR="005C30DA" w:rsidRDefault="004866E3">
      <w:pPr>
        <w:pStyle w:val="JuPara"/>
      </w:pPr>
      <w:r>
        <w:t xml:space="preserve">17.  Trybunał </w:t>
      </w:r>
      <w:r w:rsidR="001A1A14">
        <w:t xml:space="preserve">uznaje </w:t>
      </w:r>
      <w:r>
        <w:t>za słuszne wyznaczenie wysokości odsetek za</w:t>
      </w:r>
      <w:r w:rsidR="00054120">
        <w:t> </w:t>
      </w:r>
      <w:r>
        <w:t>zwłokę na podstawie marginalnej stopy procentowej Europejskiego Banku Centralnego powiększonej o trzy punkty procentowe.</w:t>
      </w:r>
    </w:p>
    <w:p w14:paraId="4758A945" w14:textId="79087B1D" w:rsidR="005C30DA" w:rsidRDefault="004866E3">
      <w:pPr>
        <w:pStyle w:val="JuHHead"/>
      </w:pPr>
      <w:r>
        <w:t>Z TYCH PRZYCZYN TRYBUNAŁ</w:t>
      </w:r>
      <w:r w:rsidR="00944767">
        <w:t xml:space="preserve"> </w:t>
      </w:r>
      <w:r>
        <w:t>JEDNOGŁOŚNIE</w:t>
      </w:r>
    </w:p>
    <w:p w14:paraId="2F629981" w14:textId="77777777" w:rsidR="005C30DA" w:rsidRDefault="004866E3">
      <w:pPr>
        <w:pStyle w:val="JuList"/>
      </w:pPr>
      <w:r>
        <w:rPr>
          <w:i/>
        </w:rPr>
        <w:t xml:space="preserve">uznaje </w:t>
      </w:r>
      <w:r>
        <w:t>skargę za dopuszczalną;</w:t>
      </w:r>
    </w:p>
    <w:p w14:paraId="74A7B0BE" w14:textId="7422C4C8" w:rsidR="005C30DA" w:rsidRDefault="004866E3">
      <w:pPr>
        <w:pStyle w:val="JuList"/>
      </w:pPr>
      <w:r>
        <w:rPr>
          <w:i/>
        </w:rPr>
        <w:t>orzeka</w:t>
      </w:r>
      <w:r>
        <w:t>, że zarzuty niniejszej skargi świadczą o naruszeniu </w:t>
      </w:r>
      <w:r w:rsidR="00944767">
        <w:rPr>
          <w:rFonts w:eastAsia="PMingLiU"/>
        </w:rPr>
        <w:t>art. 6 ust. 1 i </w:t>
      </w:r>
      <w:r>
        <w:rPr>
          <w:rFonts w:eastAsia="PMingLiU"/>
        </w:rPr>
        <w:t>art. 13 Konwencji</w:t>
      </w:r>
      <w:r>
        <w:t xml:space="preserve"> polegającym na przewlekłości postępowania karnego i braku skutecznego krajowego środka odwoławczego w tym zakresie</w:t>
      </w:r>
      <w:r>
        <w:rPr>
          <w:rFonts w:eastAsia="PMingLiU"/>
        </w:rPr>
        <w:t>;</w:t>
      </w:r>
    </w:p>
    <w:p w14:paraId="603462C8" w14:textId="77777777" w:rsidR="005C30DA" w:rsidRDefault="004866E3">
      <w:pPr>
        <w:pStyle w:val="P68B1DB1-JuList3"/>
      </w:pPr>
      <w:r>
        <w:t>orzeka</w:t>
      </w:r>
    </w:p>
    <w:p w14:paraId="54BE72F0" w14:textId="77777777" w:rsidR="005C30DA" w:rsidRDefault="004866E3">
      <w:pPr>
        <w:pStyle w:val="JuLista"/>
      </w:pPr>
      <w:r>
        <w:t xml:space="preserve">że pozwane Państwo ma wypłacić skarżącemu, w ciągu trzech miesięcy, kwotę wskazaną w załączonej tabeli, która to kwota ma </w:t>
      </w:r>
      <w:r>
        <w:lastRenderedPageBreak/>
        <w:t xml:space="preserve">zostać przeliczona na </w:t>
      </w:r>
      <w:r>
        <w:rPr>
          <w:color w:val="000000"/>
        </w:rPr>
        <w:t>walutę pozwanego Państwa</w:t>
      </w:r>
      <w:r>
        <w:t xml:space="preserve"> po kursie obowiązującym w dniu rozliczenia;</w:t>
      </w:r>
    </w:p>
    <w:p w14:paraId="294C4AB0" w14:textId="77777777" w:rsidR="005C30DA" w:rsidRDefault="004866E3">
      <w:pPr>
        <w:pStyle w:val="JuLista"/>
        <w:rPr>
          <w:specVanish/>
        </w:rPr>
      </w:pPr>
      <w:r>
        <w:t>że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procentowe.</w:t>
      </w:r>
    </w:p>
    <w:p w14:paraId="3EF88385" w14:textId="718CA0F2" w:rsidR="005C30DA" w:rsidRDefault="004866E3">
      <w:pPr>
        <w:pStyle w:val="JuParaLast"/>
      </w:pPr>
      <w:r>
        <w:t>Sporządzono w języku angielskim i obwieszczono pisemnie dnia 15 grudnia 2022 r., zgodnie z Regułą 77 §§ 2 i 3 Regulaminu Trybunału.</w:t>
      </w:r>
    </w:p>
    <w:p w14:paraId="5EDA5543" w14:textId="18C2489F" w:rsidR="005C30DA" w:rsidRDefault="004866E3">
      <w:pPr>
        <w:pStyle w:val="P68B1DB1-ECHRPlaceholder4"/>
      </w:pPr>
      <w:r>
        <w:tab/>
      </w:r>
    </w:p>
    <w:p w14:paraId="7905E445" w14:textId="3BDB5043" w:rsidR="005C30DA" w:rsidRDefault="004866E3">
      <w:pPr>
        <w:pStyle w:val="P68B1DB1-JuSigned5"/>
      </w:pPr>
      <w:r>
        <w:tab/>
        <w:t>Viktoriya Maradudina</w:t>
      </w:r>
      <w:r>
        <w:tab/>
        <w:t>Ivana Jelić</w:t>
      </w:r>
    </w:p>
    <w:p w14:paraId="721331B6" w14:textId="68316DA3" w:rsidR="005C30DA" w:rsidRDefault="004866E3">
      <w:pPr>
        <w:pStyle w:val="P68B1DB1-JuSigned5"/>
        <w:contextualSpacing/>
      </w:pPr>
      <w:r>
        <w:tab/>
        <w:t>p.o. Zastępc</w:t>
      </w:r>
      <w:r w:rsidR="004A50C9">
        <w:t>a</w:t>
      </w:r>
      <w:r>
        <w:t xml:space="preserve"> Kanclerza</w:t>
      </w:r>
      <w:r>
        <w:tab/>
        <w:t>Przewodnicząca</w:t>
      </w:r>
    </w:p>
    <w:p w14:paraId="7F72D6A6" w14:textId="77777777" w:rsidR="005C30DA" w:rsidRDefault="005C30DA">
      <w:pPr>
        <w:pStyle w:val="JuParaLast"/>
      </w:pPr>
    </w:p>
    <w:p w14:paraId="656659F6" w14:textId="77777777" w:rsidR="005C30DA" w:rsidRDefault="005C30DA">
      <w:pPr>
        <w:pStyle w:val="JuParaLast"/>
      </w:pPr>
    </w:p>
    <w:p w14:paraId="271E78DC" w14:textId="174C4E59" w:rsidR="005C30DA" w:rsidRDefault="005C30DA">
      <w:pPr>
        <w:pStyle w:val="JuParaLast"/>
        <w:sectPr w:rsidR="005C30DA" w:rsidSect="007A72B4">
          <w:headerReference w:type="even" r:id="rId16"/>
          <w:headerReference w:type="default" r:id="rId17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570F517C" w14:textId="77777777" w:rsidR="005C30DA" w:rsidRDefault="004866E3">
      <w:pPr>
        <w:pStyle w:val="DecHTitle"/>
      </w:pPr>
      <w:r>
        <w:lastRenderedPageBreak/>
        <w:t>ZAŁĄCZNIK</w:t>
      </w:r>
    </w:p>
    <w:p w14:paraId="01B5D96B" w14:textId="1D07A5D9" w:rsidR="005C30DA" w:rsidRDefault="004866E3">
      <w:pPr>
        <w:pStyle w:val="P68B1DB1-DecHCase6"/>
        <w:contextualSpacing/>
        <w:rPr>
          <w:b/>
          <w:i/>
        </w:rPr>
      </w:pPr>
      <w:r>
        <w:t>Skarga, w której podniesiono zarzuty na</w:t>
      </w:r>
      <w:r w:rsidR="00944767">
        <w:t xml:space="preserve"> podstawie art. 6 ust. 1 i art. </w:t>
      </w:r>
      <w:r>
        <w:t>13 Konwencji</w:t>
      </w:r>
    </w:p>
    <w:p w14:paraId="38628968" w14:textId="1D5389E2" w:rsidR="005C30DA" w:rsidRDefault="004866E3">
      <w:pPr>
        <w:pStyle w:val="P68B1DB1-DecHCase6"/>
        <w:contextualSpacing/>
        <w:rPr>
          <w:b/>
          <w:i/>
        </w:rPr>
      </w:pPr>
      <w:r>
        <w:t>(przewlekłość postępowania karnego i brak skutecznego środka odwoławczego w prawie krajowym)</w:t>
      </w:r>
    </w:p>
    <w:tbl>
      <w:tblPr>
        <w:tblStyle w:val="ECHRListTable"/>
        <w:tblW w:w="0" w:type="auto"/>
        <w:jc w:val="center"/>
        <w:tblLook w:val="0420" w:firstRow="1" w:lastRow="0" w:firstColumn="0" w:lastColumn="0" w:noHBand="0" w:noVBand="1"/>
      </w:tblPr>
      <w:tblGrid>
        <w:gridCol w:w="1155"/>
        <w:gridCol w:w="1265"/>
        <w:gridCol w:w="1344"/>
        <w:gridCol w:w="1389"/>
        <w:gridCol w:w="1584"/>
        <w:gridCol w:w="1894"/>
        <w:gridCol w:w="3649"/>
      </w:tblGrid>
      <w:tr w:rsidR="005C30DA" w14:paraId="00374341" w14:textId="77777777" w:rsidTr="005C30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107FBCFC" w14:textId="25AA594E" w:rsidR="005C30DA" w:rsidRDefault="00244FBD">
            <w:pPr>
              <w:pStyle w:val="P68B1DB1-Normal7"/>
              <w:jc w:val="center"/>
            </w:pPr>
            <w:bookmarkStart w:id="2" w:name="WECLListStart"/>
            <w:bookmarkEnd w:id="2"/>
            <w:r>
              <w:t>Numer skargi</w:t>
            </w:r>
          </w:p>
          <w:p w14:paraId="0F81C220" w14:textId="77777777" w:rsidR="005C30DA" w:rsidRDefault="004866E3">
            <w:pPr>
              <w:pStyle w:val="P68B1DB1-Normal7"/>
              <w:jc w:val="center"/>
            </w:pPr>
            <w:r>
              <w:t>Data wniesienia skargi</w:t>
            </w:r>
          </w:p>
        </w:tc>
        <w:tc>
          <w:tcPr>
            <w:tcW w:w="0" w:type="auto"/>
          </w:tcPr>
          <w:p w14:paraId="00011068" w14:textId="659C7C41" w:rsidR="005C30DA" w:rsidRDefault="004866E3">
            <w:pPr>
              <w:pStyle w:val="P68B1DB1-Normal7"/>
              <w:jc w:val="center"/>
            </w:pPr>
            <w:r>
              <w:t>Imię i nazwisko skarżącego</w:t>
            </w:r>
          </w:p>
          <w:p w14:paraId="43DF23E6" w14:textId="77777777" w:rsidR="005C30DA" w:rsidRDefault="004866E3">
            <w:pPr>
              <w:pStyle w:val="P68B1DB1-Normal7"/>
              <w:jc w:val="center"/>
            </w:pPr>
            <w:r>
              <w:t>Rok urodzenia</w:t>
            </w:r>
          </w:p>
          <w:p w14:paraId="6270F849" w14:textId="77777777" w:rsidR="005C30DA" w:rsidRDefault="005C30DA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2F1E608" w14:textId="77777777" w:rsidR="005C30DA" w:rsidRDefault="004866E3">
            <w:pPr>
              <w:pStyle w:val="P68B1DB1-Normal7"/>
              <w:jc w:val="center"/>
            </w:pPr>
            <w:r>
              <w:t>Wszczęcie postępowania</w:t>
            </w:r>
          </w:p>
        </w:tc>
        <w:tc>
          <w:tcPr>
            <w:tcW w:w="0" w:type="auto"/>
          </w:tcPr>
          <w:p w14:paraId="35128EC2" w14:textId="77777777" w:rsidR="005C30DA" w:rsidRDefault="004866E3">
            <w:pPr>
              <w:pStyle w:val="P68B1DB1-Normal7"/>
              <w:jc w:val="center"/>
            </w:pPr>
            <w:r>
              <w:t>Zakończenie postępowania</w:t>
            </w:r>
          </w:p>
        </w:tc>
        <w:tc>
          <w:tcPr>
            <w:tcW w:w="0" w:type="auto"/>
          </w:tcPr>
          <w:p w14:paraId="23FB77C1" w14:textId="77777777" w:rsidR="005C30DA" w:rsidRDefault="004866E3">
            <w:pPr>
              <w:pStyle w:val="P68B1DB1-Normal7"/>
              <w:jc w:val="center"/>
            </w:pPr>
            <w:r>
              <w:t>Całkowity czas trwania postępowania</w:t>
            </w:r>
          </w:p>
          <w:p w14:paraId="012DE156" w14:textId="77777777" w:rsidR="005C30DA" w:rsidRDefault="004866E3">
            <w:pPr>
              <w:pStyle w:val="P68B1DB1-Normal7"/>
              <w:jc w:val="center"/>
            </w:pPr>
            <w:r>
              <w:t>Instancje sądowe</w:t>
            </w:r>
          </w:p>
        </w:tc>
        <w:tc>
          <w:tcPr>
            <w:tcW w:w="0" w:type="auto"/>
          </w:tcPr>
          <w:p w14:paraId="582A58E3" w14:textId="1A14EBA3" w:rsidR="005C30DA" w:rsidRDefault="004866E3">
            <w:pPr>
              <w:pStyle w:val="P68B1DB1-Normal7"/>
              <w:jc w:val="center"/>
            </w:pPr>
            <w:r>
              <w:t>Orzeczenie krajowe w sprawie sk</w:t>
            </w:r>
            <w:r w:rsidR="00944767">
              <w:t>argi na podstawie</w:t>
            </w:r>
            <w:r w:rsidR="00944767">
              <w:br/>
              <w:t>ustawy z 2004 </w:t>
            </w:r>
            <w:r>
              <w:t>r.</w:t>
            </w:r>
            <w:r w:rsidR="00086A54">
              <w:rPr>
                <w:rStyle w:val="Odwoanieprzypisudolnego"/>
              </w:rPr>
              <w:footnoteReference w:id="1"/>
            </w:r>
          </w:p>
          <w:p w14:paraId="6BA0E297" w14:textId="19BD39D9" w:rsidR="005C30DA" w:rsidRDefault="004866E3">
            <w:pPr>
              <w:pStyle w:val="P68B1DB1-Normal7"/>
              <w:jc w:val="center"/>
            </w:pPr>
            <w:r>
              <w:t>Suma pieniężna przyznana w postępowaniu krajowym</w:t>
            </w:r>
            <w:r>
              <w:br/>
              <w:t>(w złotych</w:t>
            </w:r>
            <w:r w:rsidR="00A31825">
              <w:t xml:space="preserve"> polskich</w:t>
            </w:r>
            <w:r>
              <w:t>)</w:t>
            </w:r>
          </w:p>
        </w:tc>
        <w:tc>
          <w:tcPr>
            <w:tcW w:w="0" w:type="auto"/>
          </w:tcPr>
          <w:p w14:paraId="1D4E852A" w14:textId="603A6D38" w:rsidR="005C30DA" w:rsidRDefault="004866E3">
            <w:pPr>
              <w:pStyle w:val="P68B1DB1-Normal7"/>
              <w:jc w:val="center"/>
            </w:pPr>
            <w:r>
              <w:t>Kwota przyznana tytułem zadośćuczynienia za</w:t>
            </w:r>
            <w:r w:rsidR="00054120">
              <w:t> </w:t>
            </w:r>
            <w:r>
              <w:t>szkodę niemajątkową oraz tytułem zwrotu kosztów i wydatków przypadających na</w:t>
            </w:r>
            <w:r w:rsidR="00054120">
              <w:t> </w:t>
            </w:r>
            <w:r>
              <w:t>skarżącego</w:t>
            </w:r>
          </w:p>
          <w:p w14:paraId="6703E584" w14:textId="66BE8264" w:rsidR="005C30DA" w:rsidRDefault="004866E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 euro)</w:t>
            </w:r>
            <w:r>
              <w:rPr>
                <w:rStyle w:val="Odwoanieprzypisudolnego"/>
                <w:sz w:val="16"/>
              </w:rPr>
              <w:footnoteReference w:id="2"/>
            </w:r>
          </w:p>
        </w:tc>
      </w:tr>
      <w:tr w:rsidR="005C30DA" w14:paraId="6158C175" w14:textId="77777777" w:rsidTr="005C30DA">
        <w:trPr>
          <w:jc w:val="center"/>
        </w:trPr>
        <w:tc>
          <w:tcPr>
            <w:tcW w:w="0" w:type="auto"/>
          </w:tcPr>
          <w:p w14:paraId="631BB5CE" w14:textId="77777777" w:rsidR="005C30DA" w:rsidRDefault="004866E3">
            <w:pPr>
              <w:pStyle w:val="P68B1DB1-Normal7"/>
              <w:jc w:val="center"/>
            </w:pPr>
            <w:r>
              <w:t>18592/19</w:t>
            </w:r>
          </w:p>
          <w:p w14:paraId="391A8B96" w14:textId="77777777" w:rsidR="005C30DA" w:rsidRDefault="004866E3">
            <w:pPr>
              <w:pStyle w:val="P68B1DB1-Normal7"/>
              <w:jc w:val="center"/>
            </w:pPr>
            <w:r>
              <w:t>04.03.2019 r.</w:t>
            </w:r>
          </w:p>
        </w:tc>
        <w:tc>
          <w:tcPr>
            <w:tcW w:w="0" w:type="auto"/>
          </w:tcPr>
          <w:p w14:paraId="4A69C2FF" w14:textId="77777777" w:rsidR="005C30DA" w:rsidRDefault="004866E3">
            <w:pPr>
              <w:pStyle w:val="P68B1DB1-Normal8"/>
              <w:jc w:val="center"/>
            </w:pPr>
            <w:r>
              <w:t>Szczepan Łaciak</w:t>
            </w:r>
          </w:p>
          <w:p w14:paraId="566A91BE" w14:textId="1FDB5685" w:rsidR="005C30DA" w:rsidRDefault="004866E3">
            <w:pPr>
              <w:pStyle w:val="P68B1DB1-Normal7"/>
              <w:jc w:val="center"/>
            </w:pPr>
            <w:r>
              <w:t xml:space="preserve">1973 </w:t>
            </w:r>
          </w:p>
        </w:tc>
        <w:tc>
          <w:tcPr>
            <w:tcW w:w="0" w:type="auto"/>
          </w:tcPr>
          <w:p w14:paraId="51660F72" w14:textId="77777777" w:rsidR="005C30DA" w:rsidRDefault="004866E3">
            <w:pPr>
              <w:pStyle w:val="P68B1DB1-Normal7"/>
              <w:jc w:val="center"/>
            </w:pPr>
            <w:r>
              <w:t>31.05.2006 r.</w:t>
            </w:r>
          </w:p>
          <w:p w14:paraId="536B780E" w14:textId="77777777" w:rsidR="005C30DA" w:rsidRDefault="005C30DA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CE9A3A6" w14:textId="77777777" w:rsidR="005C30DA" w:rsidRDefault="004866E3">
            <w:pPr>
              <w:pStyle w:val="P68B1DB1-Normal7"/>
              <w:jc w:val="center"/>
            </w:pPr>
            <w:r>
              <w:t>Sprawa zawisła</w:t>
            </w:r>
          </w:p>
          <w:p w14:paraId="0A380D18" w14:textId="77777777" w:rsidR="005C30DA" w:rsidRDefault="005C30DA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7B1034A5" w14:textId="0816AD54" w:rsidR="005C30DA" w:rsidRDefault="004866E3">
            <w:pPr>
              <w:pStyle w:val="P68B1DB1-Normal7"/>
              <w:jc w:val="center"/>
            </w:pPr>
            <w:r>
              <w:t>Ponad 16 lat, 4 miesiące i 21 dni</w:t>
            </w:r>
          </w:p>
          <w:p w14:paraId="78FC7D24" w14:textId="68576024" w:rsidR="005C30DA" w:rsidRDefault="004866E3">
            <w:pPr>
              <w:pStyle w:val="P68B1DB1-Normal7"/>
              <w:jc w:val="center"/>
            </w:pPr>
            <w:r>
              <w:t>2 instancje</w:t>
            </w:r>
          </w:p>
          <w:p w14:paraId="0959B4F5" w14:textId="77777777" w:rsidR="005C30DA" w:rsidRDefault="005C30DA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706946AD" w14:textId="77777777" w:rsidR="005C30DA" w:rsidRDefault="004866E3">
            <w:pPr>
              <w:pStyle w:val="P68B1DB1-Normal7"/>
              <w:jc w:val="center"/>
            </w:pPr>
            <w:r>
              <w:t>Sąd Apelacyjny w Katowicach,</w:t>
            </w:r>
          </w:p>
          <w:p w14:paraId="3165BC3C" w14:textId="37C0898A" w:rsidR="005C30DA" w:rsidRDefault="004866E3">
            <w:pPr>
              <w:pStyle w:val="P68B1DB1-Normal7"/>
              <w:jc w:val="center"/>
            </w:pPr>
            <w:r>
              <w:t>06.02.2013 r., II S 81/12, 4 000 zł</w:t>
            </w:r>
          </w:p>
          <w:p w14:paraId="26F3085D" w14:textId="77777777" w:rsidR="005C30DA" w:rsidRDefault="004866E3">
            <w:pPr>
              <w:pStyle w:val="P68B1DB1-Normal7"/>
              <w:jc w:val="center"/>
            </w:pPr>
            <w:r>
              <w:t>22.01.2019 r., II S 55/18, 4 800 zł</w:t>
            </w:r>
          </w:p>
        </w:tc>
        <w:tc>
          <w:tcPr>
            <w:tcW w:w="0" w:type="auto"/>
          </w:tcPr>
          <w:p w14:paraId="5494A4F6" w14:textId="77777777" w:rsidR="005C30DA" w:rsidRDefault="004866E3">
            <w:pPr>
              <w:pStyle w:val="P68B1DB1-Normal7"/>
              <w:jc w:val="center"/>
            </w:pPr>
            <w:r>
              <w:t>12 200</w:t>
            </w:r>
          </w:p>
        </w:tc>
      </w:tr>
    </w:tbl>
    <w:p w14:paraId="373E22B7" w14:textId="77777777" w:rsidR="005C30DA" w:rsidRDefault="005C30DA"/>
    <w:p w14:paraId="65C69F58" w14:textId="77777777" w:rsidR="005C30DA" w:rsidRDefault="005C30DA"/>
    <w:sectPr w:rsidR="005C30DA">
      <w:headerReference w:type="even" r:id="rId18"/>
      <w:headerReference w:type="default" r:id="rId19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5CCFA" w14:textId="77777777" w:rsidR="00332F03" w:rsidRDefault="00332F03">
      <w:r>
        <w:separator/>
      </w:r>
    </w:p>
  </w:endnote>
  <w:endnote w:type="continuationSeparator" w:id="0">
    <w:p w14:paraId="47ECE3A7" w14:textId="77777777" w:rsidR="00332F03" w:rsidRDefault="00332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F77ED" w14:textId="29C34CF9" w:rsidR="005C30DA" w:rsidRDefault="004866E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DB5B2D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EF18C" w14:textId="14316341" w:rsidR="005C30DA" w:rsidRDefault="004866E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DB5B2D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8D2A8" w14:textId="0C63E16B" w:rsidR="005C30DA" w:rsidRDefault="004866E3">
    <w:pPr>
      <w:jc w:val="center"/>
    </w:pPr>
    <w:r>
      <w:rPr>
        <w:noProof/>
      </w:rPr>
      <w:drawing>
        <wp:inline distT="0" distB="0" distL="0" distR="0" wp14:anchorId="77080D75" wp14:editId="0AF933A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4F7317" w14:textId="153E26D1" w:rsidR="005C30DA" w:rsidRDefault="005C30DA">
    <w:pPr>
      <w:pStyle w:val="Stopka"/>
      <w:jc w:val="center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63441" w14:textId="77777777" w:rsidR="00332F03" w:rsidRDefault="00332F03">
      <w:r>
        <w:separator/>
      </w:r>
    </w:p>
  </w:footnote>
  <w:footnote w:type="continuationSeparator" w:id="0">
    <w:p w14:paraId="2232DDA4" w14:textId="77777777" w:rsidR="00332F03" w:rsidRDefault="00332F03">
      <w:r>
        <w:continuationSeparator/>
      </w:r>
    </w:p>
  </w:footnote>
  <w:footnote w:id="1">
    <w:p w14:paraId="2FA0913A" w14:textId="12107D90" w:rsidR="00086A54" w:rsidRDefault="00086A5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Ustawa z dnia 17 czerwca 2004 r. o skardze na naruszenie prawa strony do rozpoznania sprawy w postępowaniu przygotowawczym prowadzonym lub</w:t>
      </w:r>
      <w:r w:rsidR="00DB5B2D">
        <w:t> </w:t>
      </w:r>
      <w:bookmarkStart w:id="3" w:name="_GoBack"/>
      <w:bookmarkEnd w:id="3"/>
      <w:r>
        <w:t>nadzorowanym przez prokuratora i postępowaniu sądowym bez nieuzasadnionej zwłoki [przyp. tłum.]</w:t>
      </w:r>
    </w:p>
  </w:footnote>
  <w:footnote w:id="2">
    <w:p w14:paraId="250284F7" w14:textId="77777777" w:rsidR="005C30DA" w:rsidRDefault="004866E3">
      <w:pPr>
        <w:pStyle w:val="Tekstprzypisudolnego"/>
      </w:pPr>
      <w:r>
        <w:rPr>
          <w:rStyle w:val="Odwoanieprzypisudolnego"/>
        </w:rPr>
        <w:footnoteRef/>
      </w:r>
      <w:r>
        <w:t xml:space="preserve"> Plus wszelkie podatki, którymi może zostać obciążony skarżący.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28C07" w14:textId="698BD7AF" w:rsidR="005C30DA" w:rsidRDefault="004866E3">
    <w:pPr>
      <w:jc w:val="center"/>
    </w:pPr>
    <w:r>
      <w:rPr>
        <w:noProof/>
      </w:rPr>
      <w:drawing>
        <wp:inline distT="0" distB="0" distL="0" distR="0" wp14:anchorId="7E459DEE" wp14:editId="4FC8AB1F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60A6E5" w14:textId="6059A13F" w:rsidR="005C30DA" w:rsidRDefault="005C30DA">
    <w:pPr>
      <w:jc w:val="center"/>
      <w:rPr>
        <w:sz w:val="4"/>
      </w:rPr>
    </w:pPr>
  </w:p>
  <w:p w14:paraId="74EF974C" w14:textId="77777777" w:rsidR="005C30DA" w:rsidRDefault="005C3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0A7F3" w14:textId="2F340691" w:rsidR="005C30DA" w:rsidRDefault="004866E3">
    <w:pPr>
      <w:jc w:val="center"/>
    </w:pPr>
    <w:r>
      <w:rPr>
        <w:noProof/>
      </w:rPr>
      <w:drawing>
        <wp:inline distT="0" distB="0" distL="0" distR="0" wp14:anchorId="2CD0B5BC" wp14:editId="5DD8B3CE">
          <wp:extent cx="2962275" cy="1219200"/>
          <wp:effectExtent l="0" t="0" r="9525" b="0"/>
          <wp:docPr id="24" name="Picture 2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05855A" w14:textId="5D76BCC0" w:rsidR="005C30DA" w:rsidRDefault="005C30DA">
    <w:pPr>
      <w:jc w:val="center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31CDB" w14:textId="2EC63C2B" w:rsidR="005C30DA" w:rsidRDefault="004866E3">
    <w:pPr>
      <w:pStyle w:val="JuHeader"/>
    </w:pPr>
    <w:r>
      <w:t xml:space="preserve">WYROK </w:t>
    </w:r>
    <w:r w:rsidR="006F611F">
      <w:t xml:space="preserve">w sprawie </w:t>
    </w:r>
    <w:r>
      <w:t>ŁACIAK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98FF7" w14:textId="69F7FF4A" w:rsidR="005C30DA" w:rsidRDefault="004866E3">
    <w:pPr>
      <w:pStyle w:val="JuHeader"/>
    </w:pPr>
    <w:r>
      <w:t xml:space="preserve">WYROK </w:t>
    </w:r>
    <w:r w:rsidR="006F611F">
      <w:t xml:space="preserve">w sprawie </w:t>
    </w:r>
    <w:r>
      <w:t>ŁACIAK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A5B8C" w14:textId="6C876C2B" w:rsidR="005C30DA" w:rsidRDefault="004866E3">
    <w:pPr>
      <w:pStyle w:val="JuHeader"/>
    </w:pPr>
    <w:r>
      <w:t>WYROK W SPRAWIE ŁACIAK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13786" w14:textId="7B00A6B8" w:rsidR="005C30DA" w:rsidRDefault="004866E3">
    <w:pPr>
      <w:pStyle w:val="JuHeader"/>
    </w:pPr>
    <w:r>
      <w:t xml:space="preserve">WYROK </w:t>
    </w:r>
    <w:r w:rsidR="00944767">
      <w:t xml:space="preserve">w sprawie </w:t>
    </w:r>
    <w:r>
      <w:t>ŁACIAK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266A02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BDAD7E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C22649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EE6C6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A9660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8B637C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71CD07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28E35F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CA2DDE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986AEC"/>
    <w:rsid w:val="00054120"/>
    <w:rsid w:val="00086A54"/>
    <w:rsid w:val="00123E2E"/>
    <w:rsid w:val="00135384"/>
    <w:rsid w:val="001A15B6"/>
    <w:rsid w:val="001A1A14"/>
    <w:rsid w:val="001A3C4A"/>
    <w:rsid w:val="001D7CD3"/>
    <w:rsid w:val="001F3812"/>
    <w:rsid w:val="00231A81"/>
    <w:rsid w:val="0023364D"/>
    <w:rsid w:val="00244FBD"/>
    <w:rsid w:val="002A698A"/>
    <w:rsid w:val="002F296C"/>
    <w:rsid w:val="00332F03"/>
    <w:rsid w:val="00337785"/>
    <w:rsid w:val="003E479B"/>
    <w:rsid w:val="003F6010"/>
    <w:rsid w:val="0048584C"/>
    <w:rsid w:val="004866E3"/>
    <w:rsid w:val="00497FF8"/>
    <w:rsid w:val="004A50C9"/>
    <w:rsid w:val="00552DB4"/>
    <w:rsid w:val="00555A1D"/>
    <w:rsid w:val="00573202"/>
    <w:rsid w:val="005A1FB3"/>
    <w:rsid w:val="005B102C"/>
    <w:rsid w:val="005B16C1"/>
    <w:rsid w:val="005C30DA"/>
    <w:rsid w:val="005F60F9"/>
    <w:rsid w:val="00656431"/>
    <w:rsid w:val="006C4ECD"/>
    <w:rsid w:val="006D324D"/>
    <w:rsid w:val="006E496F"/>
    <w:rsid w:val="006F611F"/>
    <w:rsid w:val="00743B2A"/>
    <w:rsid w:val="007A72B4"/>
    <w:rsid w:val="007C4BDC"/>
    <w:rsid w:val="007F018A"/>
    <w:rsid w:val="008522DD"/>
    <w:rsid w:val="00860732"/>
    <w:rsid w:val="008A0E2E"/>
    <w:rsid w:val="00922FCF"/>
    <w:rsid w:val="00944767"/>
    <w:rsid w:val="009522DD"/>
    <w:rsid w:val="00986AEC"/>
    <w:rsid w:val="009C0BCE"/>
    <w:rsid w:val="009E5318"/>
    <w:rsid w:val="00A31825"/>
    <w:rsid w:val="00A329E0"/>
    <w:rsid w:val="00A34A54"/>
    <w:rsid w:val="00A41A09"/>
    <w:rsid w:val="00A44415"/>
    <w:rsid w:val="00A6104A"/>
    <w:rsid w:val="00A94CA7"/>
    <w:rsid w:val="00AC03BB"/>
    <w:rsid w:val="00B0170A"/>
    <w:rsid w:val="00B216C1"/>
    <w:rsid w:val="00B8198B"/>
    <w:rsid w:val="00B91668"/>
    <w:rsid w:val="00BD3CC6"/>
    <w:rsid w:val="00BD554D"/>
    <w:rsid w:val="00BE2415"/>
    <w:rsid w:val="00C65CB4"/>
    <w:rsid w:val="00C877A3"/>
    <w:rsid w:val="00D141D5"/>
    <w:rsid w:val="00D442F8"/>
    <w:rsid w:val="00DB5B2D"/>
    <w:rsid w:val="00E150DF"/>
    <w:rsid w:val="00F64FAA"/>
    <w:rsid w:val="00FA7D45"/>
    <w:rsid w:val="00FB16F8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E83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pl-PL" w:eastAsia="pl-PL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743B2A"/>
    <w:rPr>
      <w:sz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color w:val="333333"/>
      <w:sz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color w:val="4D4D4D"/>
      <w:sz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color w:val="5F5F5F"/>
      <w:sz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i/>
      <w:color w:val="777777"/>
      <w:sz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i/>
      <w:color w:val="7F7F7F" w:themeColor="text1" w:themeTint="80"/>
      <w:sz w:val="22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sz w:val="22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</w:rPr>
  </w:style>
  <w:style w:type="character" w:styleId="Tytuksiki">
    <w:name w:val="Book Title"/>
    <w:uiPriority w:val="98"/>
    <w:semiHidden/>
    <w:qFormat/>
    <w:rsid w:val="00743B2A"/>
    <w:rPr>
      <w:i/>
      <w:smallCaps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z w:val="52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z w:val="52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color w:val="333333"/>
      <w:sz w:val="28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color w:val="4D4D4D"/>
      <w:sz w:val="26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color w:val="5F5F5F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i/>
      <w:color w:val="777777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color w:val="808080"/>
    </w:rPr>
  </w:style>
  <w:style w:type="character" w:styleId="Wyrnieniedelikatne">
    <w:name w:val="Subtle Emphasis"/>
    <w:uiPriority w:val="98"/>
    <w:semiHidden/>
    <w:qFormat/>
    <w:rsid w:val="00743B2A"/>
    <w:rPr>
      <w:i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sz w:val="24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i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i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sz w:val="20"/>
    </w:rPr>
  </w:style>
  <w:style w:type="character" w:styleId="Wyrnienieintensywne">
    <w:name w:val="Intense Emphasis"/>
    <w:uiPriority w:val="98"/>
    <w:semiHidden/>
    <w:qFormat/>
    <w:rsid w:val="00743B2A"/>
    <w:rPr>
      <w:b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i/>
      <w:sz w:val="24"/>
    </w:rPr>
  </w:style>
  <w:style w:type="character" w:styleId="Odwoanieintensywne">
    <w:name w:val="Intense Reference"/>
    <w:uiPriority w:val="98"/>
    <w:semiHidden/>
    <w:qFormat/>
    <w:rsid w:val="00743B2A"/>
    <w:rPr>
      <w:smallCaps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sz w:val="24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color w:val="0072BC" w:themeColor="accent1"/>
      <w:sz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sz w:val="20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sz w:val="24"/>
    </w:rPr>
  </w:style>
  <w:style w:type="character" w:styleId="HTML-cytat">
    <w:name w:val="HTML Cite"/>
    <w:basedOn w:val="Domylnaczcionkaakapitu"/>
    <w:uiPriority w:val="98"/>
    <w:semiHidden/>
    <w:rsid w:val="00743B2A"/>
    <w:rPr>
      <w:i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</w:rPr>
  </w:style>
  <w:style w:type="table" w:styleId="Jasnasiatka">
    <w:name w:val="Light Grid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sz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sz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customStyle="1" w:styleId="P68B1DB1-Normal1">
    <w:name w:val="P68B1DB1-Normal1"/>
    <w:basedOn w:val="Normalny"/>
    <w:rPr>
      <w:i/>
      <w:sz w:val="22"/>
    </w:rPr>
  </w:style>
  <w:style w:type="paragraph" w:customStyle="1" w:styleId="P68B1DB1-JuHArticle2">
    <w:name w:val="P68B1DB1-JuHArticle2"/>
    <w:basedOn w:val="JuHArticle"/>
  </w:style>
  <w:style w:type="paragraph" w:customStyle="1" w:styleId="P68B1DB1-JuList3">
    <w:name w:val="P68B1DB1-JuList3"/>
    <w:basedOn w:val="JuList"/>
    <w:rPr>
      <w:i/>
    </w:rPr>
  </w:style>
  <w:style w:type="paragraph" w:customStyle="1" w:styleId="P68B1DB1-ECHRPlaceholder4">
    <w:name w:val="P68B1DB1-ECHRPlaceholder4"/>
    <w:basedOn w:val="ECHRPlaceholder"/>
    <w:rPr>
      <w:rFonts w:eastAsia="PMingLiU"/>
    </w:rPr>
  </w:style>
  <w:style w:type="paragraph" w:customStyle="1" w:styleId="P68B1DB1-JuSigned5">
    <w:name w:val="P68B1DB1-JuSigned5"/>
    <w:basedOn w:val="JuSigned"/>
    <w:rPr>
      <w:rFonts w:eastAsia="PMingLiU"/>
    </w:rPr>
  </w:style>
  <w:style w:type="paragraph" w:customStyle="1" w:styleId="P68B1DB1-DecHCase6">
    <w:name w:val="P68B1DB1-DecHCase6"/>
    <w:basedOn w:val="DecHCase"/>
    <w:rPr>
      <w:color w:val="3E3E3E" w:themeColor="background2" w:themeShade="40"/>
    </w:rPr>
  </w:style>
  <w:style w:type="paragraph" w:customStyle="1" w:styleId="P68B1DB1-Normal7">
    <w:name w:val="P68B1DB1-Normal7"/>
    <w:basedOn w:val="Normalny"/>
    <w:rPr>
      <w:sz w:val="16"/>
    </w:rPr>
  </w:style>
  <w:style w:type="paragraph" w:customStyle="1" w:styleId="P68B1DB1-Normal8">
    <w:name w:val="P68B1DB1-Normal8"/>
    <w:basedOn w:val="Normalny"/>
    <w:rPr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B57FC-F6E0-49C6-8EFB-E240D9971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A142B7-0573-426E-A5BE-8EAFB21637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60105E-C81F-453B-8AD5-6ADF43EE2B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4D117E-97CD-4237-8981-90C99B1A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1217</Words>
  <Characters>7302</Characters>
  <Application>Microsoft Office Word</Application>
  <DocSecurity>0</DocSecurity>
  <Lines>60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2023-04-12T13:49:00Z</dcterms:created>
  <dcterms:modified xsi:type="dcterms:W3CDTF">2023-09-01T13:22:00Z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18592/19</vt:lpwstr>
  </property>
  <property fmtid="{D5CDD505-2E9C-101B-9397-08002B2CF9AE}" pid="4" name="CASEID">
    <vt:lpwstr>1446617</vt:lpwstr>
  </property>
  <property fmtid="{D5CDD505-2E9C-101B-9397-08002B2CF9AE}" pid="5" name="ContentTypeId">
    <vt:lpwstr>0x010100558EB02BDB9E204AB350EDD385B68E10</vt:lpwstr>
  </property>
</Properties>
</file>