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44D" w:rsidRDefault="00AA744D" w:rsidP="005F14CA">
      <w:pPr>
        <w:jc w:val="center"/>
        <w:rPr>
          <w:lang w:val="fr-FR"/>
        </w:rPr>
      </w:pPr>
    </w:p>
    <w:p w:rsidR="000B4A60" w:rsidRDefault="000B4A60" w:rsidP="005F14CA">
      <w:pPr>
        <w:jc w:val="center"/>
        <w:rPr>
          <w:lang w:val="fr-FR"/>
        </w:rPr>
      </w:pPr>
    </w:p>
    <w:p w:rsidR="000B4A60" w:rsidRPr="00AA5814" w:rsidRDefault="000B4A60" w:rsidP="005F14CA">
      <w:pPr>
        <w:jc w:val="center"/>
        <w:rPr>
          <w:lang w:val="fr-FR"/>
        </w:rPr>
      </w:pPr>
    </w:p>
    <w:p w:rsidR="00AA744D" w:rsidRPr="00AA5814" w:rsidRDefault="00146F62" w:rsidP="005F14CA">
      <w:pPr>
        <w:jc w:val="center"/>
        <w:rPr>
          <w:lang w:val="fr-FR"/>
        </w:rPr>
      </w:pPr>
      <w:r>
        <w:rPr>
          <w:lang w:val="fr-FR"/>
        </w:rPr>
        <w:t>QUATRIÈME SECTION</w:t>
      </w:r>
    </w:p>
    <w:p w:rsidR="00AA744D" w:rsidRDefault="00AA744D" w:rsidP="005F14CA">
      <w:pPr>
        <w:jc w:val="center"/>
        <w:rPr>
          <w:lang w:val="fr-FR"/>
        </w:rPr>
      </w:pPr>
    </w:p>
    <w:p w:rsidR="000B4A60" w:rsidRDefault="000B4A60" w:rsidP="005F14CA">
      <w:pPr>
        <w:jc w:val="center"/>
        <w:rPr>
          <w:lang w:val="fr-FR"/>
        </w:rPr>
      </w:pPr>
    </w:p>
    <w:p w:rsidR="000B4A60" w:rsidRDefault="000B4A60" w:rsidP="005F14CA">
      <w:pPr>
        <w:jc w:val="center"/>
        <w:rPr>
          <w:lang w:val="fr-FR"/>
        </w:rPr>
      </w:pPr>
    </w:p>
    <w:p w:rsidR="000B4A60" w:rsidRDefault="000B4A60" w:rsidP="005F14CA">
      <w:pPr>
        <w:jc w:val="center"/>
        <w:rPr>
          <w:lang w:val="fr-FR"/>
        </w:rPr>
      </w:pPr>
    </w:p>
    <w:p w:rsidR="000B4A60" w:rsidRDefault="000B4A60" w:rsidP="005F14CA">
      <w:pPr>
        <w:jc w:val="center"/>
        <w:rPr>
          <w:lang w:val="fr-FR"/>
        </w:rPr>
      </w:pPr>
    </w:p>
    <w:p w:rsidR="000B4A60" w:rsidRPr="00AA5814" w:rsidRDefault="000B4A60" w:rsidP="005F14CA">
      <w:pPr>
        <w:jc w:val="center"/>
        <w:rPr>
          <w:lang w:val="fr-FR"/>
        </w:rPr>
      </w:pPr>
    </w:p>
    <w:p w:rsidR="00AA744D" w:rsidRPr="00AA5814" w:rsidRDefault="00AA744D" w:rsidP="005F14CA">
      <w:pPr>
        <w:jc w:val="center"/>
        <w:rPr>
          <w:b/>
          <w:lang w:val="fr-FR"/>
        </w:rPr>
      </w:pPr>
      <w:bookmarkStart w:id="0" w:name="To"/>
      <w:r w:rsidRPr="00AA5814">
        <w:rPr>
          <w:b/>
          <w:lang w:val="fr-FR"/>
        </w:rPr>
        <w:t xml:space="preserve">AFFAIRE </w:t>
      </w:r>
      <w:bookmarkEnd w:id="0"/>
      <w:r w:rsidR="00146F62">
        <w:rPr>
          <w:b/>
          <w:lang w:val="fr-FR"/>
        </w:rPr>
        <w:t>PLECHANOW c. POLOGNE</w:t>
      </w:r>
    </w:p>
    <w:p w:rsidR="00AA744D" w:rsidRPr="00AA5814" w:rsidRDefault="00AA744D" w:rsidP="005F14CA">
      <w:pPr>
        <w:jc w:val="center"/>
        <w:rPr>
          <w:lang w:val="fr-FR"/>
        </w:rPr>
      </w:pPr>
    </w:p>
    <w:p w:rsidR="000B4A60" w:rsidRDefault="00AA744D" w:rsidP="005F14CA">
      <w:pPr>
        <w:jc w:val="center"/>
        <w:rPr>
          <w:szCs w:val="24"/>
          <w:u w:val="single"/>
          <w:lang w:val="fr-FR"/>
        </w:rPr>
      </w:pPr>
      <w:r w:rsidRPr="00AA5814">
        <w:rPr>
          <w:i/>
          <w:lang w:val="fr-FR"/>
        </w:rPr>
        <w:t>(</w:t>
      </w:r>
      <w:r w:rsidR="00146F62" w:rsidRPr="00AA5814">
        <w:rPr>
          <w:i/>
          <w:noProof/>
          <w:lang w:val="fr-FR"/>
        </w:rPr>
        <w:t>Requête n</w:t>
      </w:r>
      <w:r w:rsidR="00146F62" w:rsidRPr="00AA5814">
        <w:rPr>
          <w:i/>
          <w:noProof/>
          <w:vertAlign w:val="superscript"/>
          <w:lang w:val="fr-FR"/>
        </w:rPr>
        <w:t>o</w:t>
      </w:r>
      <w:r w:rsidR="00146F62" w:rsidRPr="00AA5814">
        <w:rPr>
          <w:i/>
          <w:noProof/>
          <w:lang w:val="fr-FR"/>
        </w:rPr>
        <w:t xml:space="preserve"> </w:t>
      </w:r>
      <w:r w:rsidR="00146F62">
        <w:rPr>
          <w:i/>
          <w:noProof/>
          <w:lang w:val="fr-FR"/>
        </w:rPr>
        <w:t>22279/04</w:t>
      </w:r>
      <w:r w:rsidRPr="00AA5814">
        <w:rPr>
          <w:i/>
          <w:lang w:val="fr-FR"/>
        </w:rPr>
        <w:t>)</w:t>
      </w: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Default="000B4A60" w:rsidP="005F14CA">
      <w:pPr>
        <w:jc w:val="center"/>
        <w:rPr>
          <w:szCs w:val="24"/>
          <w:lang w:val="fr-FR"/>
        </w:rPr>
      </w:pPr>
    </w:p>
    <w:p w:rsidR="000B4A60" w:rsidRPr="000B4A60" w:rsidRDefault="000B4A60" w:rsidP="000B4A60">
      <w:pPr>
        <w:jc w:val="center"/>
        <w:rPr>
          <w:szCs w:val="24"/>
          <w:lang w:val="fr-FR"/>
        </w:rPr>
      </w:pPr>
      <w:r>
        <w:rPr>
          <w:szCs w:val="24"/>
          <w:lang w:val="fr-FR"/>
        </w:rPr>
        <w:t>ARRÊT</w:t>
      </w:r>
    </w:p>
    <w:p w:rsidR="00AA744D" w:rsidRPr="00AA5814" w:rsidRDefault="00872A75" w:rsidP="005F14CA">
      <w:pPr>
        <w:jc w:val="center"/>
        <w:rPr>
          <w:szCs w:val="24"/>
          <w:lang w:val="fr-FR"/>
        </w:rPr>
      </w:pPr>
      <w:r w:rsidRPr="00AA5814">
        <w:rPr>
          <w:szCs w:val="24"/>
          <w:lang w:val="fr-FR"/>
        </w:rPr>
        <w:t>(Satisfaction équitable</w:t>
      </w:r>
      <w:r w:rsidR="00ED2324">
        <w:rPr>
          <w:szCs w:val="24"/>
          <w:lang w:val="fr-FR"/>
        </w:rPr>
        <w:t xml:space="preserve"> – Radiation</w:t>
      </w:r>
      <w:r w:rsidRPr="00AA5814">
        <w:rPr>
          <w:szCs w:val="24"/>
          <w:lang w:val="fr-FR"/>
        </w:rPr>
        <w:t>)</w:t>
      </w:r>
    </w:p>
    <w:p w:rsidR="000B4A60" w:rsidRDefault="000B4A60" w:rsidP="006400C7">
      <w:pPr>
        <w:rPr>
          <w:lang w:val="fr-FR"/>
        </w:rPr>
      </w:pPr>
    </w:p>
    <w:p w:rsidR="000B4A60" w:rsidRDefault="000B4A60" w:rsidP="000B4A60">
      <w:pPr>
        <w:jc w:val="center"/>
      </w:pPr>
    </w:p>
    <w:p w:rsidR="000B4A60" w:rsidRDefault="000B4A60" w:rsidP="000B4A60">
      <w:pPr>
        <w:jc w:val="center"/>
      </w:pPr>
    </w:p>
    <w:p w:rsidR="000B4A60" w:rsidRDefault="000B4A60" w:rsidP="000B4A60">
      <w:pPr>
        <w:jc w:val="center"/>
      </w:pPr>
    </w:p>
    <w:p w:rsidR="000B4A60" w:rsidRPr="00225D7D" w:rsidRDefault="000B4A60" w:rsidP="000B4A60">
      <w:pPr>
        <w:jc w:val="center"/>
        <w:rPr>
          <w:lang w:val="fr-FR"/>
        </w:rPr>
      </w:pPr>
      <w:r w:rsidRPr="00225D7D">
        <w:rPr>
          <w:lang w:val="fr-FR"/>
        </w:rPr>
        <w:t>STRASBOURG</w:t>
      </w:r>
    </w:p>
    <w:p w:rsidR="000B4A60" w:rsidRPr="00225D7D" w:rsidRDefault="000B4A60" w:rsidP="000B4A60">
      <w:pPr>
        <w:jc w:val="center"/>
        <w:rPr>
          <w:lang w:val="fr-FR"/>
        </w:rPr>
      </w:pPr>
    </w:p>
    <w:p w:rsidR="000B4A60" w:rsidRPr="00225D7D" w:rsidRDefault="000B4A60" w:rsidP="000B4A60">
      <w:pPr>
        <w:jc w:val="center"/>
        <w:rPr>
          <w:lang w:val="fr-FR"/>
        </w:rPr>
      </w:pPr>
      <w:r w:rsidRPr="00225D7D">
        <w:rPr>
          <w:lang w:val="fr-FR"/>
        </w:rPr>
        <w:t>15 octobre 2013</w:t>
      </w:r>
    </w:p>
    <w:p w:rsidR="000B4A60" w:rsidRPr="00225D7D" w:rsidRDefault="000B4A60" w:rsidP="000B4A60">
      <w:pPr>
        <w:jc w:val="center"/>
        <w:rPr>
          <w:lang w:val="fr-FR"/>
        </w:rPr>
      </w:pPr>
    </w:p>
    <w:p w:rsidR="000B4A60" w:rsidRPr="00225D7D" w:rsidRDefault="000B4A60" w:rsidP="000B4A60">
      <w:pPr>
        <w:jc w:val="center"/>
        <w:rPr>
          <w:lang w:val="fr-FR"/>
        </w:rPr>
      </w:pPr>
    </w:p>
    <w:p w:rsidR="000B4A60" w:rsidRDefault="000B4A60" w:rsidP="000B4A60">
      <w:pPr>
        <w:pStyle w:val="ECHRPara"/>
        <w:ind w:firstLine="0"/>
        <w:rPr>
          <w:i/>
          <w:sz w:val="22"/>
          <w:lang w:eastAsia="en-US"/>
        </w:rPr>
      </w:pPr>
      <w:r>
        <w:rPr>
          <w:i/>
          <w:sz w:val="22"/>
          <w:lang w:eastAsia="en-US"/>
        </w:rPr>
        <w:t>Cet arrêt deviendra définitif dans les conditions définies à l</w:t>
      </w:r>
      <w:r w:rsidR="00225D7D">
        <w:rPr>
          <w:i/>
          <w:sz w:val="22"/>
          <w:lang w:eastAsia="en-US"/>
        </w:rPr>
        <w:t>’</w:t>
      </w:r>
      <w:r>
        <w:rPr>
          <w:i/>
          <w:sz w:val="22"/>
          <w:lang w:eastAsia="en-US"/>
        </w:rPr>
        <w:t>article 44 § 2 de la Convention. Il peut subir des retouches de forme.</w:t>
      </w:r>
    </w:p>
    <w:p w:rsidR="000B4A60" w:rsidRPr="000B4A60" w:rsidRDefault="000B4A60" w:rsidP="000B4A60">
      <w:pPr>
        <w:pStyle w:val="ECHRPara"/>
        <w:ind w:firstLine="0"/>
        <w:rPr>
          <w:lang w:eastAsia="en-US"/>
        </w:rPr>
        <w:sectPr w:rsidR="000B4A60" w:rsidRPr="000B4A60" w:rsidSect="000B4A60">
          <w:headerReference w:type="default" r:id="rId9"/>
          <w:headerReference w:type="first" r:id="rId10"/>
          <w:footerReference w:type="first" r:id="rId11"/>
          <w:pgSz w:w="11906" w:h="16838" w:code="9"/>
          <w:pgMar w:top="2274" w:right="2274" w:bottom="2274" w:left="2274" w:header="1701" w:footer="720" w:gutter="0"/>
          <w:pgNumType w:start="1"/>
          <w:cols w:space="720"/>
          <w:titlePg/>
          <w:docGrid w:linePitch="326"/>
        </w:sectPr>
      </w:pPr>
    </w:p>
    <w:p w:rsidR="00AA744D" w:rsidRPr="00AA5814" w:rsidRDefault="00AA744D" w:rsidP="006400C7">
      <w:pPr>
        <w:pStyle w:val="JuCase"/>
        <w:rPr>
          <w:lang w:val="fr-FR"/>
        </w:rPr>
      </w:pPr>
      <w:r w:rsidRPr="00AA5814">
        <w:rPr>
          <w:lang w:val="fr-FR"/>
        </w:rPr>
        <w:t>En l</w:t>
      </w:r>
      <w:r w:rsidR="00225D7D">
        <w:rPr>
          <w:lang w:val="fr-FR"/>
        </w:rPr>
        <w:t>’</w:t>
      </w:r>
      <w:r w:rsidRPr="00AA5814">
        <w:rPr>
          <w:lang w:val="fr-FR"/>
        </w:rPr>
        <w:t xml:space="preserve">affaire </w:t>
      </w:r>
      <w:r w:rsidR="00146F62">
        <w:rPr>
          <w:lang w:val="fr-FR"/>
        </w:rPr>
        <w:t>Plechanow c. Pologne</w:t>
      </w:r>
      <w:r w:rsidRPr="00AA5814">
        <w:rPr>
          <w:lang w:val="fr-FR"/>
        </w:rPr>
        <w:t>,</w:t>
      </w:r>
    </w:p>
    <w:p w:rsidR="00DC65E1" w:rsidRPr="00AA5814" w:rsidRDefault="00AA744D" w:rsidP="00DC65E1">
      <w:pPr>
        <w:pStyle w:val="ECHRPara"/>
      </w:pPr>
      <w:r w:rsidRPr="00AA5814">
        <w:t xml:space="preserve">La Cour européenne des </w:t>
      </w:r>
      <w:r w:rsidR="00BD6580" w:rsidRPr="00AA5814">
        <w:t>d</w:t>
      </w:r>
      <w:r w:rsidRPr="00AA5814">
        <w:t>roits de l</w:t>
      </w:r>
      <w:r w:rsidR="00225D7D">
        <w:t>’</w:t>
      </w:r>
      <w:r w:rsidR="00BD6580" w:rsidRPr="00AA5814">
        <w:t>h</w:t>
      </w:r>
      <w:r w:rsidRPr="00AA5814">
        <w:t>omme</w:t>
      </w:r>
      <w:r w:rsidR="00146F62" w:rsidRPr="00AA5814">
        <w:rPr>
          <w:noProof/>
        </w:rPr>
        <w:t xml:space="preserve"> (</w:t>
      </w:r>
      <w:r w:rsidR="00146F62">
        <w:rPr>
          <w:noProof/>
        </w:rPr>
        <w:t>quatrième section</w:t>
      </w:r>
      <w:r w:rsidR="00146F62" w:rsidRPr="00AA5814">
        <w:rPr>
          <w:noProof/>
        </w:rPr>
        <w:t>)</w:t>
      </w:r>
      <w:r w:rsidR="00DC65E1" w:rsidRPr="00AA5814">
        <w:t xml:space="preserve">, siégeant </w:t>
      </w:r>
      <w:r w:rsidR="00146F62" w:rsidRPr="00AA5814">
        <w:rPr>
          <w:noProof/>
        </w:rPr>
        <w:t xml:space="preserve">une </w:t>
      </w:r>
      <w:r w:rsidR="00146F62">
        <w:rPr>
          <w:noProof/>
        </w:rPr>
        <w:t>chambre</w:t>
      </w:r>
      <w:r w:rsidR="00146F62" w:rsidRPr="00AA5814">
        <w:rPr>
          <w:noProof/>
        </w:rPr>
        <w:t xml:space="preserve"> composée</w:t>
      </w:r>
      <w:r w:rsidR="00DC65E1" w:rsidRPr="00AA5814">
        <w:t xml:space="preserve"> de :</w:t>
      </w:r>
    </w:p>
    <w:p w:rsidR="0090718C" w:rsidRPr="00AA5814" w:rsidRDefault="000B4A60" w:rsidP="0090718C">
      <w:pPr>
        <w:pStyle w:val="ECHRDecisionBody"/>
      </w:pPr>
      <w:r w:rsidRPr="000B4A60">
        <w:tab/>
        <w:t>Ineta</w:t>
      </w:r>
      <w:r>
        <w:t xml:space="preserve"> </w:t>
      </w:r>
      <w:r w:rsidRPr="000B4A60">
        <w:t>Ziemele</w:t>
      </w:r>
      <w:r>
        <w:t>,</w:t>
      </w:r>
      <w:r w:rsidRPr="000B4A60">
        <w:rPr>
          <w:i/>
        </w:rPr>
        <w:t xml:space="preserve"> présidente,</w:t>
      </w:r>
      <w:r>
        <w:rPr>
          <w:i/>
        </w:rPr>
        <w:br/>
      </w:r>
      <w:r w:rsidRPr="000B4A60">
        <w:tab/>
        <w:t>David Thór</w:t>
      </w:r>
      <w:r>
        <w:t xml:space="preserve"> </w:t>
      </w:r>
      <w:r w:rsidRPr="000B4A60">
        <w:t>Björgvinsson</w:t>
      </w:r>
      <w:r>
        <w:t>,</w:t>
      </w:r>
      <w:r>
        <w:rPr>
          <w:i/>
        </w:rPr>
        <w:br/>
      </w:r>
      <w:r w:rsidRPr="000B4A60">
        <w:tab/>
        <w:t>Päivi</w:t>
      </w:r>
      <w:r>
        <w:t xml:space="preserve"> </w:t>
      </w:r>
      <w:r w:rsidRPr="000B4A60">
        <w:t>Hirvelä</w:t>
      </w:r>
      <w:r>
        <w:t>,</w:t>
      </w:r>
      <w:r>
        <w:rPr>
          <w:i/>
        </w:rPr>
        <w:br/>
      </w:r>
      <w:r w:rsidRPr="000B4A60">
        <w:tab/>
        <w:t>Ledi</w:t>
      </w:r>
      <w:r>
        <w:t xml:space="preserve"> </w:t>
      </w:r>
      <w:r w:rsidRPr="000B4A60">
        <w:t>Bianku</w:t>
      </w:r>
      <w:r>
        <w:t>,</w:t>
      </w:r>
      <w:r>
        <w:rPr>
          <w:i/>
        </w:rPr>
        <w:br/>
      </w:r>
      <w:r w:rsidRPr="000B4A60">
        <w:tab/>
        <w:t>Zdravka</w:t>
      </w:r>
      <w:r>
        <w:t xml:space="preserve"> </w:t>
      </w:r>
      <w:r w:rsidRPr="000B4A60">
        <w:t>Kalaydjieva</w:t>
      </w:r>
      <w:r>
        <w:t>,</w:t>
      </w:r>
      <w:r>
        <w:rPr>
          <w:i/>
        </w:rPr>
        <w:br/>
      </w:r>
      <w:r w:rsidRPr="000B4A60">
        <w:tab/>
        <w:t>Vincent A.</w:t>
      </w:r>
      <w:r>
        <w:t xml:space="preserve"> </w:t>
      </w:r>
      <w:r w:rsidR="009A62A6">
        <w:t>D</w:t>
      </w:r>
      <w:r w:rsidRPr="000B4A60">
        <w:t>e Gaetano</w:t>
      </w:r>
      <w:r>
        <w:t>,</w:t>
      </w:r>
      <w:r>
        <w:rPr>
          <w:i/>
        </w:rPr>
        <w:br/>
      </w:r>
      <w:r w:rsidRPr="000B4A60">
        <w:tab/>
        <w:t>Krzysztof</w:t>
      </w:r>
      <w:r>
        <w:t xml:space="preserve"> </w:t>
      </w:r>
      <w:r w:rsidRPr="000B4A60">
        <w:t>Wojtyczek</w:t>
      </w:r>
      <w:r>
        <w:t>,</w:t>
      </w:r>
      <w:r w:rsidRPr="000B4A60">
        <w:rPr>
          <w:i/>
        </w:rPr>
        <w:t xml:space="preserve"> juges,</w:t>
      </w:r>
      <w:r>
        <w:rPr>
          <w:i/>
        </w:rPr>
        <w:br/>
      </w:r>
      <w:r w:rsidR="0090718C" w:rsidRPr="00AA5814">
        <w:t xml:space="preserve">et de </w:t>
      </w:r>
      <w:r w:rsidR="00146F62">
        <w:rPr>
          <w:noProof/>
        </w:rPr>
        <w:t>Françoise</w:t>
      </w:r>
      <w:r w:rsidR="00146F62" w:rsidRPr="00AA5814">
        <w:rPr>
          <w:noProof/>
        </w:rPr>
        <w:t xml:space="preserve"> </w:t>
      </w:r>
      <w:r w:rsidR="00146F62">
        <w:rPr>
          <w:noProof/>
        </w:rPr>
        <w:t>Elens-Passos</w:t>
      </w:r>
      <w:r w:rsidR="007A08E4" w:rsidRPr="00AA5814">
        <w:t xml:space="preserve">, </w:t>
      </w:r>
      <w:r w:rsidR="00146F62" w:rsidRPr="00AA5814">
        <w:rPr>
          <w:i/>
          <w:noProof/>
        </w:rPr>
        <w:t>greffière</w:t>
      </w:r>
      <w:r w:rsidR="00146F62" w:rsidRPr="00AA5814">
        <w:rPr>
          <w:iCs/>
          <w:noProof/>
        </w:rPr>
        <w:t xml:space="preserve"> </w:t>
      </w:r>
      <w:r w:rsidR="00146F62" w:rsidRPr="00AA5814">
        <w:rPr>
          <w:i/>
          <w:iCs/>
          <w:noProof/>
        </w:rPr>
        <w:t>d</w:t>
      </w:r>
      <w:r w:rsidR="00146F62" w:rsidRPr="00AA5814">
        <w:rPr>
          <w:i/>
          <w:noProof/>
        </w:rPr>
        <w:t>e section</w:t>
      </w:r>
      <w:r w:rsidR="0090718C" w:rsidRPr="00AA5814">
        <w:rPr>
          <w:i/>
        </w:rPr>
        <w:t>,</w:t>
      </w:r>
    </w:p>
    <w:p w:rsidR="00AA744D" w:rsidRPr="00AA5814" w:rsidRDefault="00AA744D">
      <w:pPr>
        <w:pStyle w:val="ECHRPara"/>
      </w:pPr>
      <w:r w:rsidRPr="00AA5814">
        <w:t xml:space="preserve">Après en avoir délibéré en chambre du conseil le </w:t>
      </w:r>
      <w:r w:rsidR="000B4A60">
        <w:t>24 septembre 2013</w:t>
      </w:r>
      <w:r w:rsidRPr="00AA5814">
        <w:t>,</w:t>
      </w:r>
    </w:p>
    <w:p w:rsidR="00AA744D" w:rsidRPr="00AA5814" w:rsidRDefault="00AA744D">
      <w:pPr>
        <w:pStyle w:val="ECHRPara"/>
      </w:pPr>
      <w:r w:rsidRPr="00AA5814">
        <w:t>Rend l</w:t>
      </w:r>
      <w:r w:rsidR="00225D7D">
        <w:t>’</w:t>
      </w:r>
      <w:r w:rsidRPr="00AA5814">
        <w:t>arrêt que voici, adopté à cette date :</w:t>
      </w:r>
    </w:p>
    <w:p w:rsidR="00AA744D" w:rsidRPr="00AA5814" w:rsidRDefault="00AA744D" w:rsidP="005F14CA">
      <w:pPr>
        <w:pStyle w:val="ECHRTitle1"/>
      </w:pPr>
      <w:r w:rsidRPr="00AA5814">
        <w:t>PROCÉDURE</w:t>
      </w:r>
    </w:p>
    <w:p w:rsidR="000B4A60" w:rsidRPr="002A20C2" w:rsidRDefault="00225D7D" w:rsidP="000B4A60">
      <w:pPr>
        <w:pStyle w:val="ECHRPara"/>
      </w:pPr>
      <w:fldSimple w:instr=" SEQ level0 \*arabic ">
        <w:r w:rsidR="00954903">
          <w:rPr>
            <w:noProof/>
          </w:rPr>
          <w:t>1</w:t>
        </w:r>
      </w:fldSimple>
      <w:r w:rsidR="000B4A60" w:rsidRPr="002A20C2">
        <w:t>.  A l</w:t>
      </w:r>
      <w:r>
        <w:t>’</w:t>
      </w:r>
      <w:r w:rsidR="000B4A60" w:rsidRPr="002A20C2">
        <w:t>origine de l</w:t>
      </w:r>
      <w:r>
        <w:t>’</w:t>
      </w:r>
      <w:r w:rsidR="000B4A60" w:rsidRPr="002A20C2">
        <w:t>affaire se trouve une requête (n</w:t>
      </w:r>
      <w:r w:rsidR="000B4A60" w:rsidRPr="00F46819">
        <w:rPr>
          <w:vertAlign w:val="superscript"/>
        </w:rPr>
        <w:t>o</w:t>
      </w:r>
      <w:r w:rsidR="000B4A60">
        <w:t> </w:t>
      </w:r>
      <w:r w:rsidR="000B4A60" w:rsidRPr="002A20C2">
        <w:t xml:space="preserve">22279/04) dirigée contre la République de Pologne et dont </w:t>
      </w:r>
      <w:r w:rsidR="000B4A60">
        <w:t>trois</w:t>
      </w:r>
      <w:r w:rsidR="000B4A60" w:rsidRPr="002A20C2">
        <w:t xml:space="preserve"> ressortissants de cet Etat, M.</w:t>
      </w:r>
      <w:r w:rsidR="000B4A60">
        <w:t> </w:t>
      </w:r>
      <w:r w:rsidR="000B4A60" w:rsidRPr="002A20C2">
        <w:t>Jerzy Plechanow</w:t>
      </w:r>
      <w:r w:rsidR="000B4A60">
        <w:t>,</w:t>
      </w:r>
      <w:r w:rsidR="000B4A60" w:rsidRPr="002A20C2">
        <w:t xml:space="preserve"> </w:t>
      </w:r>
      <w:r w:rsidR="000B4A60">
        <w:t>Mme </w:t>
      </w:r>
      <w:r w:rsidR="000B4A60" w:rsidRPr="00B33D32">
        <w:t xml:space="preserve">Ariadna Plechanow </w:t>
      </w:r>
      <w:r w:rsidR="000B4A60" w:rsidRPr="008D6F4A">
        <w:t>et M.</w:t>
      </w:r>
      <w:r w:rsidR="000B4A60" w:rsidRPr="00B33D32">
        <w:t> Andrzej</w:t>
      </w:r>
      <w:r w:rsidR="000B4A60" w:rsidRPr="008D6F4A">
        <w:t xml:space="preserve"> </w:t>
      </w:r>
      <w:r w:rsidR="000B4A60" w:rsidRPr="00B33D32">
        <w:t>Plechanow,</w:t>
      </w:r>
      <w:r w:rsidR="000B4A60" w:rsidRPr="002A20C2">
        <w:t xml:space="preserve"> (« les requérants »), ont saisi la Cour le 3</w:t>
      </w:r>
      <w:r w:rsidR="000B4A60">
        <w:t> </w:t>
      </w:r>
      <w:r w:rsidR="000B4A60" w:rsidRPr="002A20C2">
        <w:t>juin 2004 en vertu de l</w:t>
      </w:r>
      <w:r>
        <w:t>’</w:t>
      </w:r>
      <w:r w:rsidR="000B4A60" w:rsidRPr="002A20C2">
        <w:t>article</w:t>
      </w:r>
      <w:r w:rsidR="000B4A60">
        <w:t> </w:t>
      </w:r>
      <w:r w:rsidR="000B4A60" w:rsidRPr="002A20C2">
        <w:t>34</w:t>
      </w:r>
      <w:r w:rsidR="000B4A60">
        <w:t> </w:t>
      </w:r>
      <w:r w:rsidR="000B4A60" w:rsidRPr="002A20C2">
        <w:t>de la Convention de sauvegarde des droits de l</w:t>
      </w:r>
      <w:r>
        <w:t>’</w:t>
      </w:r>
      <w:r w:rsidR="000B4A60" w:rsidRPr="002A20C2">
        <w:t>homme et des libertés fondamentales (« la Convention »).</w:t>
      </w:r>
    </w:p>
    <w:p w:rsidR="000B4A60" w:rsidRDefault="00225D7D" w:rsidP="000B4A60">
      <w:pPr>
        <w:pStyle w:val="ECHRPara"/>
      </w:pPr>
      <w:fldSimple w:instr=" SEQ level0 \*arabic ">
        <w:r w:rsidR="00954903">
          <w:rPr>
            <w:noProof/>
          </w:rPr>
          <w:t>2</w:t>
        </w:r>
      </w:fldSimple>
      <w:r w:rsidR="000B4A60" w:rsidRPr="002A20C2">
        <w:t>.  Les requérants ont été représentés par M</w:t>
      </w:r>
      <w:r w:rsidR="000B4A60">
        <w:t>me</w:t>
      </w:r>
      <w:r w:rsidR="000B4A60" w:rsidRPr="002A20C2">
        <w:t> </w:t>
      </w:r>
      <w:r w:rsidR="000B4A60">
        <w:t>Ma</w:t>
      </w:r>
      <w:r w:rsidR="000B4A60" w:rsidRPr="00231930">
        <w:t>ł</w:t>
      </w:r>
      <w:r w:rsidR="000B4A60">
        <w:t xml:space="preserve">gorzata </w:t>
      </w:r>
      <w:r w:rsidR="000B4A60" w:rsidRPr="002A20C2">
        <w:t>Lechna</w:t>
      </w:r>
      <w:r w:rsidR="000B4A60">
        <w:noBreakHyphen/>
      </w:r>
      <w:r w:rsidR="000B4A60" w:rsidRPr="002A20C2">
        <w:t xml:space="preserve">Piotrowska, </w:t>
      </w:r>
      <w:r w:rsidR="000B4A60">
        <w:t xml:space="preserve">conseillère juridique </w:t>
      </w:r>
      <w:r w:rsidR="000B4A60" w:rsidRPr="002A20C2">
        <w:t xml:space="preserve">à </w:t>
      </w:r>
      <w:r w:rsidR="000B4A60">
        <w:t>Varsovie</w:t>
      </w:r>
      <w:r w:rsidR="000B4A60" w:rsidRPr="002A20C2">
        <w:t xml:space="preserve">. Le gouvernement polonais (« le Gouvernement ») a été représenté par son agent, </w:t>
      </w:r>
      <w:r w:rsidR="000B4A60">
        <w:t xml:space="preserve">M. Jakub </w:t>
      </w:r>
      <w:r w:rsidR="000B4A60" w:rsidRPr="00231930">
        <w:t>Wołąsiewicz</w:t>
      </w:r>
      <w:r w:rsidR="000B4A60">
        <w:t xml:space="preserve"> auquel a succédé Mme Justyna Chrzanowska, du Ministère des affaires Étrangères</w:t>
      </w:r>
      <w:r w:rsidR="000B4A60" w:rsidRPr="002A20C2">
        <w:t>.</w:t>
      </w:r>
    </w:p>
    <w:p w:rsidR="000B4A60" w:rsidRDefault="000B4A60" w:rsidP="000B4A60">
      <w:pPr>
        <w:pStyle w:val="ECHRPara"/>
      </w:pPr>
      <w:r w:rsidRPr="002A20C2">
        <w:rPr>
          <w:szCs w:val="24"/>
        </w:rPr>
        <w:fldChar w:fldCharType="begin"/>
      </w:r>
      <w:r w:rsidRPr="002A20C2">
        <w:rPr>
          <w:szCs w:val="24"/>
        </w:rPr>
        <w:instrText xml:space="preserve"> SEQ level0 \*arabic </w:instrText>
      </w:r>
      <w:r w:rsidRPr="002A20C2">
        <w:rPr>
          <w:szCs w:val="24"/>
        </w:rPr>
        <w:fldChar w:fldCharType="separate"/>
      </w:r>
      <w:r w:rsidR="00954903">
        <w:rPr>
          <w:noProof/>
          <w:szCs w:val="24"/>
        </w:rPr>
        <w:t>3</w:t>
      </w:r>
      <w:r w:rsidRPr="002A20C2">
        <w:rPr>
          <w:szCs w:val="24"/>
        </w:rPr>
        <w:fldChar w:fldCharType="end"/>
      </w:r>
      <w:r w:rsidRPr="002A20C2">
        <w:rPr>
          <w:szCs w:val="24"/>
        </w:rPr>
        <w:t>.  </w:t>
      </w:r>
      <w:r w:rsidRPr="002A20C2">
        <w:t>Les requérants alléguaient</w:t>
      </w:r>
      <w:r w:rsidRPr="002A20C2">
        <w:rPr>
          <w:szCs w:val="24"/>
        </w:rPr>
        <w:t xml:space="preserve">, </w:t>
      </w:r>
      <w:r>
        <w:rPr>
          <w:szCs w:val="24"/>
        </w:rPr>
        <w:t xml:space="preserve">essentiellement </w:t>
      </w:r>
      <w:r w:rsidRPr="002A20C2">
        <w:t>qu</w:t>
      </w:r>
      <w:r w:rsidR="00225D7D">
        <w:t>’</w:t>
      </w:r>
      <w:r w:rsidRPr="002A20C2">
        <w:t>ils ont été victimes d</w:t>
      </w:r>
      <w:r w:rsidR="00225D7D">
        <w:t>’</w:t>
      </w:r>
      <w:r w:rsidRPr="002A20C2">
        <w:t>une violation de</w:t>
      </w:r>
      <w:r>
        <w:t xml:space="preserve"> l</w:t>
      </w:r>
      <w:r w:rsidR="00225D7D">
        <w:t>’</w:t>
      </w:r>
      <w:r>
        <w:t>article 1 du Protocole n</w:t>
      </w:r>
      <w:r w:rsidRPr="00727D1B">
        <w:rPr>
          <w:vertAlign w:val="superscript"/>
          <w:lang w:eastAsia="en-GB"/>
        </w:rPr>
        <w:t>o</w:t>
      </w:r>
      <w:r>
        <w:t> 1</w:t>
      </w:r>
      <w:r w:rsidRPr="002A20C2">
        <w:t xml:space="preserve"> </w:t>
      </w:r>
      <w:r>
        <w:t>à</w:t>
      </w:r>
      <w:r w:rsidRPr="002A20C2">
        <w:t xml:space="preserve"> la Convention</w:t>
      </w:r>
      <w:r>
        <w:t>.</w:t>
      </w:r>
    </w:p>
    <w:p w:rsidR="000B4A60" w:rsidRDefault="00225D7D" w:rsidP="000B4A60">
      <w:pPr>
        <w:pStyle w:val="ECHRPara"/>
      </w:pPr>
      <w:fldSimple w:instr=" SEQ level0 \*arabic ">
        <w:r w:rsidR="00954903">
          <w:rPr>
            <w:noProof/>
          </w:rPr>
          <w:t>4</w:t>
        </w:r>
      </w:fldSimple>
      <w:r w:rsidR="000B4A60">
        <w:t>.  </w:t>
      </w:r>
      <w:r w:rsidR="000B4A60" w:rsidRPr="000F3B3B">
        <w:t xml:space="preserve">Par un arrêt du </w:t>
      </w:r>
      <w:r w:rsidR="000B4A60">
        <w:t>7 juillet 2009</w:t>
      </w:r>
      <w:r w:rsidR="000B4A60" w:rsidRPr="000F3B3B">
        <w:t xml:space="preserve"> (« l</w:t>
      </w:r>
      <w:r>
        <w:t>’</w:t>
      </w:r>
      <w:r w:rsidR="000B4A60" w:rsidRPr="000F3B3B">
        <w:t xml:space="preserve">arrêt au principal »), la Cour a </w:t>
      </w:r>
      <w:r w:rsidR="000B4A60">
        <w:t>conclu à la violation de l</w:t>
      </w:r>
      <w:r>
        <w:t>’</w:t>
      </w:r>
      <w:r w:rsidR="000B4A60">
        <w:t>article 1 du Protocole n</w:t>
      </w:r>
      <w:r w:rsidR="000B4A60" w:rsidRPr="00727D1B">
        <w:rPr>
          <w:vertAlign w:val="superscript"/>
          <w:lang w:eastAsia="en-GB"/>
        </w:rPr>
        <w:t>o</w:t>
      </w:r>
      <w:r w:rsidR="000B4A60">
        <w:t> 1 à la Convention.</w:t>
      </w:r>
    </w:p>
    <w:p w:rsidR="000B4A60" w:rsidRPr="000F3B3B" w:rsidRDefault="00225D7D" w:rsidP="000B4A60">
      <w:pPr>
        <w:pStyle w:val="ECHRPara"/>
      </w:pPr>
      <w:fldSimple w:instr=" SEQ level0 \*arabic ">
        <w:r w:rsidR="00954903">
          <w:rPr>
            <w:noProof/>
          </w:rPr>
          <w:t>5</w:t>
        </w:r>
      </w:fldSimple>
      <w:r w:rsidR="000B4A60" w:rsidRPr="000F3B3B">
        <w:t>.  En s</w:t>
      </w:r>
      <w:r>
        <w:t>’</w:t>
      </w:r>
      <w:r w:rsidR="000B4A60" w:rsidRPr="000F3B3B">
        <w:t>appuyant sur l</w:t>
      </w:r>
      <w:r>
        <w:t>’</w:t>
      </w:r>
      <w:r w:rsidR="000B4A60" w:rsidRPr="000F3B3B">
        <w:t>article</w:t>
      </w:r>
      <w:r w:rsidR="000B4A60">
        <w:t> </w:t>
      </w:r>
      <w:r w:rsidR="000B4A60" w:rsidRPr="000F3B3B">
        <w:t>41 de la Convention, les requérants réclamaient une satisfaction équitable de</w:t>
      </w:r>
      <w:r w:rsidR="000B4A60">
        <w:t xml:space="preserve"> 1 025 970 </w:t>
      </w:r>
      <w:r w:rsidR="009A62A6">
        <w:t>zlotys polonais (</w:t>
      </w:r>
      <w:r w:rsidR="000B4A60">
        <w:t>PLN</w:t>
      </w:r>
      <w:r w:rsidR="009A62A6">
        <w:t>)</w:t>
      </w:r>
      <w:r w:rsidR="000B4A60" w:rsidRPr="000F3B3B">
        <w:t>.</w:t>
      </w:r>
    </w:p>
    <w:p w:rsidR="000B4A60" w:rsidRPr="000F3B3B" w:rsidRDefault="00225D7D" w:rsidP="000B4A60">
      <w:pPr>
        <w:pStyle w:val="ECHRPara"/>
      </w:pPr>
      <w:fldSimple w:instr=" SEQ level0 \*arabic ">
        <w:r w:rsidR="00954903">
          <w:rPr>
            <w:noProof/>
          </w:rPr>
          <w:t>6</w:t>
        </w:r>
      </w:fldSimple>
      <w:r w:rsidR="000B4A60" w:rsidRPr="000F3B3B">
        <w:t>.  La question de l</w:t>
      </w:r>
      <w:r>
        <w:t>’</w:t>
      </w:r>
      <w:r w:rsidR="000B4A60" w:rsidRPr="000F3B3B">
        <w:t>application de l</w:t>
      </w:r>
      <w:r>
        <w:t>’</w:t>
      </w:r>
      <w:r w:rsidR="000B4A60" w:rsidRPr="000F3B3B">
        <w:t>article</w:t>
      </w:r>
      <w:r w:rsidR="000B4A60">
        <w:t> </w:t>
      </w:r>
      <w:r w:rsidR="000B4A60" w:rsidRPr="000F3B3B">
        <w:t>41 de la Convention ne se trouvant pas en état, la Cour l</w:t>
      </w:r>
      <w:r>
        <w:t>’</w:t>
      </w:r>
      <w:r w:rsidR="000B4A60" w:rsidRPr="000F3B3B">
        <w:t xml:space="preserve">a réservée et a invité le Gouvernement et les requérants à lui soumettre par écrit, dans les </w:t>
      </w:r>
      <w:r w:rsidR="000B4A60">
        <w:t>six</w:t>
      </w:r>
      <w:r w:rsidR="000B4A60" w:rsidRPr="000F3B3B">
        <w:t xml:space="preserve"> mois, leurs observations sur ladite question et notamment à lui donner connaissance de tout accord auquel ils pourraient aboutir (</w:t>
      </w:r>
      <w:r w:rsidR="000B4A60" w:rsidRPr="000F3B3B">
        <w:rPr>
          <w:i/>
        </w:rPr>
        <w:t>ibidem</w:t>
      </w:r>
      <w:r w:rsidR="000B4A60" w:rsidRPr="000F3B3B">
        <w:t>, p.</w:t>
      </w:r>
      <w:r w:rsidR="000B4A60">
        <w:t xml:space="preserve"> 20</w:t>
      </w:r>
      <w:r w:rsidR="000B4A60" w:rsidRPr="000F3B3B">
        <w:t xml:space="preserve">, et point </w:t>
      </w:r>
      <w:r w:rsidR="000B4A60">
        <w:t>4</w:t>
      </w:r>
      <w:r w:rsidR="000B4A60" w:rsidRPr="000F3B3B">
        <w:t xml:space="preserve"> du dispositif).</w:t>
      </w:r>
    </w:p>
    <w:p w:rsidR="000B4A60" w:rsidRPr="000F3B3B" w:rsidRDefault="00225D7D" w:rsidP="000B4A60">
      <w:pPr>
        <w:pStyle w:val="ECHRPara"/>
      </w:pPr>
      <w:fldSimple w:instr=" SEQ level0 \*arabic ">
        <w:r w:rsidR="00954903">
          <w:rPr>
            <w:noProof/>
          </w:rPr>
          <w:t>7</w:t>
        </w:r>
      </w:fldSimple>
      <w:r w:rsidR="000B4A60" w:rsidRPr="000F3B3B">
        <w:t>.  Tant les requérants que le Gouvernement ont déposé des observations.</w:t>
      </w:r>
    </w:p>
    <w:p w:rsidR="000B4A60" w:rsidRDefault="000B4A60" w:rsidP="000B4A60">
      <w:pPr>
        <w:pStyle w:val="ECHRTitle1"/>
      </w:pPr>
      <w:r w:rsidRPr="002A20C2">
        <w:t>EN FAIT</w:t>
      </w:r>
    </w:p>
    <w:p w:rsidR="000B4A60" w:rsidRDefault="000B4A60" w:rsidP="000B4A60">
      <w:pPr>
        <w:pStyle w:val="ECHRHeading1"/>
      </w:pPr>
      <w:r>
        <w:t>I.   LES CIRCONSTANCES DE L</w:t>
      </w:r>
      <w:r w:rsidR="00225D7D">
        <w:t>’</w:t>
      </w:r>
      <w:r>
        <w:t>ESPECE</w:t>
      </w:r>
    </w:p>
    <w:p w:rsidR="000B4A60" w:rsidRDefault="00225D7D" w:rsidP="000B4A60">
      <w:pPr>
        <w:pStyle w:val="ECHRPara"/>
      </w:pPr>
      <w:fldSimple w:instr=" SEQ level0 \*arabic ">
        <w:r w:rsidR="00954903">
          <w:rPr>
            <w:noProof/>
          </w:rPr>
          <w:t>8</w:t>
        </w:r>
      </w:fldSimple>
      <w:r w:rsidR="000B4A60" w:rsidRPr="002A20C2">
        <w:t>.  </w:t>
      </w:r>
      <w:r w:rsidR="000B4A60" w:rsidRPr="008D6F4A">
        <w:t>Les requérants, Jerzy Plechanow, Ariadna Plechanow et Andrzej Plechanow, sont des ressortissants polonais nés respectivement en 1953, 1924 et 1955 et résidant</w:t>
      </w:r>
      <w:r w:rsidR="000B4A60">
        <w:t>s</w:t>
      </w:r>
      <w:r w:rsidR="000B4A60" w:rsidRPr="008D6F4A">
        <w:t xml:space="preserve"> à Varsovie.</w:t>
      </w:r>
    </w:p>
    <w:p w:rsidR="000B4A60" w:rsidRDefault="00225D7D" w:rsidP="000B4A60">
      <w:pPr>
        <w:pStyle w:val="ECHRPara"/>
      </w:pPr>
      <w:fldSimple w:instr=" SEQ level0 \*arabic ">
        <w:r w:rsidR="00954903">
          <w:rPr>
            <w:noProof/>
          </w:rPr>
          <w:t>9</w:t>
        </w:r>
      </w:fldSimple>
      <w:r w:rsidR="000B4A60">
        <w:t>.  </w:t>
      </w:r>
      <w:r w:rsidR="000B4A60" w:rsidRPr="006121E6">
        <w:t>Les requérants sont les ayants droit du propriétaire de résidences à Varsovie qui avaient été transférées à la ville en application d</w:t>
      </w:r>
      <w:r>
        <w:t>’</w:t>
      </w:r>
      <w:r w:rsidR="000B4A60" w:rsidRPr="006121E6">
        <w:t>un décret de 1945. Sur le fondement de l</w:t>
      </w:r>
      <w:r>
        <w:t>’</w:t>
      </w:r>
      <w:r w:rsidR="000B4A60" w:rsidRPr="006121E6">
        <w:t>article 160 du code de</w:t>
      </w:r>
      <w:r w:rsidR="000B4A60">
        <w:t xml:space="preserve"> procédure </w:t>
      </w:r>
      <w:r w:rsidR="000B4A60" w:rsidRPr="006121E6">
        <w:t>administrati</w:t>
      </w:r>
      <w:r w:rsidR="000B4A60">
        <w:t xml:space="preserve">ve </w:t>
      </w:r>
      <w:r w:rsidR="000B4A60" w:rsidRPr="006121E6">
        <w:t>qui accorde un droit d</w:t>
      </w:r>
      <w:r>
        <w:t>’</w:t>
      </w:r>
      <w:r w:rsidR="000B4A60" w:rsidRPr="006121E6">
        <w:t>indemnisation pour les dommages réels causés par certaines décisions administratives illicites, ils prièrent la commune de Varsovie de les dédommager à la suite d</w:t>
      </w:r>
      <w:r>
        <w:t>’</w:t>
      </w:r>
      <w:r w:rsidR="000B4A60" w:rsidRPr="006121E6">
        <w:t>une décision de la commission locale de recours, rendue en 1999, déclarant illégal le refus opposé par les autorités en 1964 d</w:t>
      </w:r>
      <w:r>
        <w:t>’</w:t>
      </w:r>
      <w:r w:rsidR="000B4A60" w:rsidRPr="006121E6">
        <w:t>accorder à l</w:t>
      </w:r>
      <w:r>
        <w:t>’</w:t>
      </w:r>
      <w:r w:rsidR="000B4A60" w:rsidRPr="006121E6">
        <w:t>ancien propriétaire la propriété provisoire des lieux. Cependant, leurs demandes furent rejetées au motif que c</w:t>
      </w:r>
      <w:r>
        <w:t>’</w:t>
      </w:r>
      <w:r w:rsidR="000B4A60" w:rsidRPr="006121E6">
        <w:t>était le trésor public, et non la commune, qu</w:t>
      </w:r>
      <w:r>
        <w:t>’</w:t>
      </w:r>
      <w:r w:rsidR="000B4A60" w:rsidRPr="006121E6">
        <w:t>il fallait assigner en justice. Cette décision fut confirmée en appel.</w:t>
      </w:r>
    </w:p>
    <w:p w:rsidR="000B4A60" w:rsidRPr="008D6F4A" w:rsidRDefault="000B4A60" w:rsidP="000B4A60">
      <w:pPr>
        <w:pStyle w:val="ECHRPara"/>
      </w:pPr>
      <w:r w:rsidRPr="006121E6">
        <w:t>La question de la bonne partie défenderesse dans ces affaires</w:t>
      </w:r>
      <w:r>
        <w:t xml:space="preserve"> </w:t>
      </w:r>
      <w:r w:rsidRPr="006121E6">
        <w:t>fit l</w:t>
      </w:r>
      <w:r w:rsidR="00225D7D">
        <w:t>’</w:t>
      </w:r>
      <w:r w:rsidRPr="006121E6">
        <w:t>objet d</w:t>
      </w:r>
      <w:r w:rsidR="00225D7D">
        <w:t>’</w:t>
      </w:r>
      <w:r w:rsidRPr="006121E6">
        <w:t>interprétations divergentes au sein des tribunaux nationaux, y compris de la Cour administrative suprême, tant avant qu</w:t>
      </w:r>
      <w:r w:rsidR="00225D7D">
        <w:t>’</w:t>
      </w:r>
      <w:r w:rsidRPr="006121E6">
        <w:t>après le dépôt par les intéressés de leur demande d</w:t>
      </w:r>
      <w:r w:rsidR="00225D7D">
        <w:t>’</w:t>
      </w:r>
      <w:r w:rsidRPr="006121E6">
        <w:t>indemnisation.</w:t>
      </w:r>
    </w:p>
    <w:p w:rsidR="000B4A60" w:rsidRDefault="00954903" w:rsidP="000B4A60">
      <w:pPr>
        <w:pStyle w:val="ECHRPara"/>
      </w:pPr>
      <w:r>
        <w:fldChar w:fldCharType="begin"/>
      </w:r>
      <w:r>
        <w:instrText xml:space="preserve"> SEQ level0 \*arabic </w:instrText>
      </w:r>
      <w:r>
        <w:fldChar w:fldCharType="separate"/>
      </w:r>
      <w:r>
        <w:rPr>
          <w:noProof/>
        </w:rPr>
        <w:t>10</w:t>
      </w:r>
      <w:r>
        <w:rPr>
          <w:noProof/>
        </w:rPr>
        <w:fldChar w:fldCharType="end"/>
      </w:r>
      <w:r w:rsidR="000B4A60" w:rsidRPr="00EE3659">
        <w:t>.  </w:t>
      </w:r>
      <w:r w:rsidR="000B4A60" w:rsidRPr="008D6F4A">
        <w:t>Invoquant</w:t>
      </w:r>
      <w:r w:rsidR="000B4A60">
        <w:t xml:space="preserve"> essentiellement </w:t>
      </w:r>
      <w:r w:rsidR="000B4A60" w:rsidRPr="008D6F4A">
        <w:t>l</w:t>
      </w:r>
      <w:r w:rsidR="00225D7D">
        <w:t>’</w:t>
      </w:r>
      <w:r w:rsidR="000B4A60" w:rsidRPr="008D6F4A">
        <w:t>article 1 du Protocole n</w:t>
      </w:r>
      <w:r w:rsidR="000B4A60" w:rsidRPr="00727D1B">
        <w:rPr>
          <w:vertAlign w:val="superscript"/>
          <w:lang w:eastAsia="en-GB"/>
        </w:rPr>
        <w:t>o</w:t>
      </w:r>
      <w:r w:rsidR="000B4A60" w:rsidRPr="008D6F4A">
        <w:t xml:space="preserve"> 1 </w:t>
      </w:r>
      <w:r w:rsidR="000B4A60">
        <w:t xml:space="preserve">à la </w:t>
      </w:r>
      <w:r w:rsidR="000B4A60" w:rsidRPr="008D6F4A">
        <w:t>Convention, ils estimaient inéquitables les rejets des demandes d</w:t>
      </w:r>
      <w:r w:rsidR="00225D7D">
        <w:t>’</w:t>
      </w:r>
      <w:r w:rsidR="000B4A60" w:rsidRPr="008D6F4A">
        <w:t>indemnisation qu</w:t>
      </w:r>
      <w:r w:rsidR="00225D7D">
        <w:t>’</w:t>
      </w:r>
      <w:r w:rsidR="000B4A60" w:rsidRPr="008D6F4A">
        <w:t>ils avaient formées relativement à l</w:t>
      </w:r>
      <w:r w:rsidR="00225D7D">
        <w:t>’</w:t>
      </w:r>
      <w:r w:rsidR="000B4A60" w:rsidRPr="008D6F4A">
        <w:t>expropriation de leurs biens.</w:t>
      </w:r>
    </w:p>
    <w:p w:rsidR="000B4A60" w:rsidRDefault="000B4A60" w:rsidP="000B4A60">
      <w:pPr>
        <w:pStyle w:val="ECHRPara"/>
      </w:pPr>
      <w:r w:rsidRPr="00EE3659">
        <w:fldChar w:fldCharType="begin"/>
      </w:r>
      <w:r w:rsidRPr="00045A16">
        <w:instrText xml:space="preserve"> SEQ level0 \*arabic </w:instrText>
      </w:r>
      <w:r w:rsidRPr="00EE3659">
        <w:fldChar w:fldCharType="separate"/>
      </w:r>
      <w:r w:rsidR="00954903">
        <w:rPr>
          <w:noProof/>
        </w:rPr>
        <w:t>11</w:t>
      </w:r>
      <w:r w:rsidRPr="00EE3659">
        <w:fldChar w:fldCharType="end"/>
      </w:r>
      <w:r w:rsidRPr="00045A16">
        <w:t>.  Le 7 juillet 2009, la Cour</w:t>
      </w:r>
      <w:r>
        <w:t xml:space="preserve"> conclut à la violation de l</w:t>
      </w:r>
      <w:r w:rsidR="00225D7D">
        <w:t>’</w:t>
      </w:r>
      <w:r>
        <w:t>article 1 du Protocole n</w:t>
      </w:r>
      <w:r w:rsidRPr="00F46819">
        <w:rPr>
          <w:vertAlign w:val="superscript"/>
        </w:rPr>
        <w:t>o</w:t>
      </w:r>
      <w:r>
        <w:t xml:space="preserve"> 1. Elle </w:t>
      </w:r>
      <w:r w:rsidRPr="00045A16">
        <w:t xml:space="preserve">estima que </w:t>
      </w:r>
      <w:r w:rsidRPr="006121E6">
        <w:t>l</w:t>
      </w:r>
      <w:r w:rsidR="00225D7D">
        <w:t>’</w:t>
      </w:r>
      <w:r w:rsidRPr="006121E6">
        <w:t>Etat a</w:t>
      </w:r>
      <w:r>
        <w:t>vait</w:t>
      </w:r>
      <w:r w:rsidRPr="006121E6">
        <w:t xml:space="preserve"> manqué à son obligation positive de prendre des mesures pour préserver le droit</w:t>
      </w:r>
      <w:r>
        <w:t xml:space="preserve"> des requérants</w:t>
      </w:r>
      <w:r w:rsidRPr="006121E6">
        <w:t xml:space="preserve"> à la jouissance effective de leurs biens et n</w:t>
      </w:r>
      <w:r w:rsidR="00225D7D">
        <w:t>’</w:t>
      </w:r>
      <w:r w:rsidRPr="006121E6">
        <w:t>a</w:t>
      </w:r>
      <w:r w:rsidR="00A60D70">
        <w:t>vait</w:t>
      </w:r>
      <w:r w:rsidRPr="006121E6">
        <w:t xml:space="preserve"> pas respecté le « juste équilibre » entre les impératifs d</w:t>
      </w:r>
      <w:r w:rsidR="00225D7D">
        <w:t>’</w:t>
      </w:r>
      <w:r w:rsidRPr="006121E6">
        <w:t>intérêt général et la nécessité de protéger le droit de</w:t>
      </w:r>
      <w:r>
        <w:t>s intéressés.</w:t>
      </w:r>
    </w:p>
    <w:p w:rsidR="000B4A60" w:rsidRDefault="000B4A60" w:rsidP="000B4A60">
      <w:pPr>
        <w:pStyle w:val="ECHRPara"/>
      </w:pPr>
      <w:r>
        <w:t>La Cour releva que l</w:t>
      </w:r>
      <w:r w:rsidRPr="006121E6">
        <w:t xml:space="preserve">a demande des requérants </w:t>
      </w:r>
      <w:r>
        <w:t xml:space="preserve">avait été </w:t>
      </w:r>
      <w:r w:rsidRPr="006121E6">
        <w:t>rejetée au motif que, en application de la jurisprudence constante sur laquelle les juridictions sont ultérieurement revenues, ils n</w:t>
      </w:r>
      <w:r w:rsidR="00225D7D">
        <w:t>’</w:t>
      </w:r>
      <w:r w:rsidRPr="006121E6">
        <w:t>avaient pas assigné en justice la bonne partie défenderesse.</w:t>
      </w:r>
    </w:p>
    <w:p w:rsidR="000B4A60" w:rsidRDefault="000B4A60" w:rsidP="000B4A60">
      <w:pPr>
        <w:pStyle w:val="ECHRPara"/>
      </w:pPr>
      <w:r>
        <w:t>Elle constata que l</w:t>
      </w:r>
      <w:r w:rsidRPr="006121E6">
        <w:t xml:space="preserve">es amples réformes administratives entreprises en Pologne depuis les cinquante dernières années </w:t>
      </w:r>
      <w:r>
        <w:t xml:space="preserve">avaient </w:t>
      </w:r>
      <w:r w:rsidRPr="006121E6">
        <w:t xml:space="preserve">amené les tribunaux à déterminer quelles autorités </w:t>
      </w:r>
      <w:r>
        <w:t xml:space="preserve">devaient </w:t>
      </w:r>
      <w:r w:rsidRPr="006121E6">
        <w:t>assum</w:t>
      </w:r>
      <w:r>
        <w:t>er</w:t>
      </w:r>
      <w:r w:rsidRPr="006121E6">
        <w:t xml:space="preserve"> la responsabilité d</w:t>
      </w:r>
      <w:r w:rsidR="00225D7D">
        <w:t>’</w:t>
      </w:r>
      <w:r w:rsidRPr="006121E6">
        <w:t>organes aujourd</w:t>
      </w:r>
      <w:r w:rsidR="00225D7D">
        <w:t>’</w:t>
      </w:r>
      <w:r w:rsidRPr="006121E6">
        <w:t xml:space="preserve">hui </w:t>
      </w:r>
      <w:r>
        <w:t>inexistants</w:t>
      </w:r>
      <w:r w:rsidRPr="006121E6">
        <w:t xml:space="preserve">. </w:t>
      </w:r>
      <w:r>
        <w:t>L</w:t>
      </w:r>
      <w:r w:rsidRPr="006121E6">
        <w:t xml:space="preserve">es interprétations sans cesse fluctuantes des lois de réforme </w:t>
      </w:r>
      <w:r>
        <w:t xml:space="preserve">avaient </w:t>
      </w:r>
      <w:r w:rsidRPr="006121E6">
        <w:t>souvent donné lieu à des divergences de jurisprudence, même au niveau de la Cour suprême. A l</w:t>
      </w:r>
      <w:r w:rsidR="00225D7D">
        <w:t>’</w:t>
      </w:r>
      <w:r w:rsidRPr="006121E6">
        <w:t>époque où la demande des intéressés a</w:t>
      </w:r>
      <w:r>
        <w:t>vait</w:t>
      </w:r>
      <w:r w:rsidRPr="006121E6">
        <w:t xml:space="preserve"> été examinée ou au cours des années suivantes, la question de la responsabilité du fait des dommages causés par les décisions administratives irrégulières était </w:t>
      </w:r>
      <w:r>
        <w:t xml:space="preserve">selon la Cour </w:t>
      </w:r>
      <w:r w:rsidRPr="006121E6">
        <w:t>tout sauf claire.</w:t>
      </w:r>
    </w:p>
    <w:p w:rsidR="000B4A60" w:rsidRDefault="000B4A60" w:rsidP="000B4A60">
      <w:pPr>
        <w:pStyle w:val="ECHRPara"/>
      </w:pPr>
      <w:r>
        <w:t>La Cour souligna que l</w:t>
      </w:r>
      <w:r w:rsidRPr="006121E6">
        <w:t xml:space="preserve">es divergences de jurisprudence </w:t>
      </w:r>
      <w:r>
        <w:t xml:space="preserve">étaient </w:t>
      </w:r>
      <w:r w:rsidRPr="006121E6">
        <w:t>certes la conséquence inhérente à tout système judiciaire qui repose sur un ensemble de juridictions, mais une juridiction suprême a</w:t>
      </w:r>
      <w:r>
        <w:t>vait</w:t>
      </w:r>
      <w:r w:rsidRPr="006121E6">
        <w:t xml:space="preserve"> pour rôle de régler ces contradictions. Or, en l</w:t>
      </w:r>
      <w:r w:rsidR="00225D7D">
        <w:t>’</w:t>
      </w:r>
      <w:r w:rsidRPr="006121E6">
        <w:t>espèce, même la jurisprudence de la Cour suprême sur les points de droit en question n</w:t>
      </w:r>
      <w:r w:rsidR="00225D7D">
        <w:t>’</w:t>
      </w:r>
      <w:r w:rsidRPr="006121E6">
        <w:t xml:space="preserve">était pas uniforme. Si les problèmes auxquels les tribunaux </w:t>
      </w:r>
      <w:r>
        <w:t xml:space="preserve">avaient </w:t>
      </w:r>
      <w:r w:rsidRPr="006121E6">
        <w:t>été confrontés en raison des réformes étaient sans doute complexes, il était néanmoins disproportionné</w:t>
      </w:r>
      <w:r>
        <w:t xml:space="preserve"> selon la Cour</w:t>
      </w:r>
      <w:r w:rsidRPr="006121E6">
        <w:t xml:space="preserve"> de faire peser sur les requérants l</w:t>
      </w:r>
      <w:r w:rsidR="00225D7D">
        <w:t>’</w:t>
      </w:r>
      <w:r w:rsidRPr="006121E6">
        <w:t>obligation de trouver l</w:t>
      </w:r>
      <w:r w:rsidR="00225D7D">
        <w:t>’</w:t>
      </w:r>
      <w:r w:rsidRPr="006121E6">
        <w:t>autorité compétente à attaquer et, faute pour eux d</w:t>
      </w:r>
      <w:r w:rsidR="00225D7D">
        <w:t>’</w:t>
      </w:r>
      <w:r w:rsidRPr="006121E6">
        <w:t>y parvenir, de les priver d</w:t>
      </w:r>
      <w:r w:rsidR="00225D7D">
        <w:t>’</w:t>
      </w:r>
      <w:r w:rsidRPr="006121E6">
        <w:t>indemnisation.</w:t>
      </w:r>
    </w:p>
    <w:p w:rsidR="000B4A60" w:rsidRDefault="00954903" w:rsidP="000B4A60">
      <w:pPr>
        <w:pStyle w:val="ECHRPara"/>
      </w:pPr>
      <w:r>
        <w:fldChar w:fldCharType="begin"/>
      </w:r>
      <w:r>
        <w:instrText xml:space="preserve"> SEQ level0 \*arabic </w:instrText>
      </w:r>
      <w:r>
        <w:fldChar w:fldCharType="separate"/>
      </w:r>
      <w:r>
        <w:rPr>
          <w:noProof/>
        </w:rPr>
        <w:t>12</w:t>
      </w:r>
      <w:r>
        <w:rPr>
          <w:noProof/>
        </w:rPr>
        <w:fldChar w:fldCharType="end"/>
      </w:r>
      <w:r w:rsidR="000B4A60">
        <w:t>.  La Cour conclut que l</w:t>
      </w:r>
      <w:r w:rsidR="000B4A60" w:rsidRPr="006121E6">
        <w:t xml:space="preserve">es intéressés </w:t>
      </w:r>
      <w:r w:rsidR="000B4A60">
        <w:t xml:space="preserve">avaient été </w:t>
      </w:r>
      <w:r w:rsidR="000B4A60" w:rsidRPr="00045A16">
        <w:t>victimes de réformes administratives nationales, de l</w:t>
      </w:r>
      <w:r w:rsidR="00225D7D">
        <w:t>’</w:t>
      </w:r>
      <w:r w:rsidR="000B4A60" w:rsidRPr="00045A16">
        <w:t>incohérence de la jurisprudence et du droit internes et de l</w:t>
      </w:r>
      <w:r w:rsidR="00225D7D">
        <w:t>’</w:t>
      </w:r>
      <w:r w:rsidR="000B4A60" w:rsidRPr="00045A16">
        <w:t xml:space="preserve">absence de sécurité juridique en la matière. </w:t>
      </w:r>
      <w:r w:rsidR="000B4A60" w:rsidRPr="00EE3659">
        <w:t>De ce fait, ils n</w:t>
      </w:r>
      <w:r w:rsidR="00225D7D">
        <w:t>’</w:t>
      </w:r>
      <w:r w:rsidR="000B4A60">
        <w:t xml:space="preserve">avaient </w:t>
      </w:r>
      <w:r w:rsidR="000B4A60" w:rsidRPr="00EE3659">
        <w:t>pas pu obtenir une réparation suffisante pour le préjudice qu</w:t>
      </w:r>
      <w:r w:rsidR="00225D7D">
        <w:t>’</w:t>
      </w:r>
      <w:r w:rsidR="000B4A60" w:rsidRPr="00EE3659">
        <w:t>ils ont subi, en violation de l</w:t>
      </w:r>
      <w:r w:rsidR="00225D7D">
        <w:t>’</w:t>
      </w:r>
      <w:r w:rsidR="000B4A60" w:rsidRPr="00EE3659">
        <w:t>article 1 du Protocole n</w:t>
      </w:r>
      <w:r w:rsidR="000B4A60" w:rsidRPr="00727D1B">
        <w:rPr>
          <w:vertAlign w:val="superscript"/>
        </w:rPr>
        <w:t>o</w:t>
      </w:r>
      <w:r w:rsidR="000B4A60" w:rsidRPr="00EE3659">
        <w:t> 1.</w:t>
      </w:r>
    </w:p>
    <w:p w:rsidR="000B4A60" w:rsidRDefault="00225D7D" w:rsidP="000B4A60">
      <w:pPr>
        <w:pStyle w:val="ECHRPara"/>
      </w:pPr>
      <w:fldSimple w:instr=" SEQ level0 \*arabic ">
        <w:r w:rsidR="00954903">
          <w:rPr>
            <w:noProof/>
          </w:rPr>
          <w:t>13</w:t>
        </w:r>
      </w:fldSimple>
      <w:r w:rsidR="000B4A60">
        <w:t>.  </w:t>
      </w:r>
      <w:r w:rsidR="000B4A60" w:rsidRPr="00EE3659">
        <w:t xml:space="preserve">La Cour </w:t>
      </w:r>
      <w:r w:rsidR="000B4A60">
        <w:t xml:space="preserve">considéra également </w:t>
      </w:r>
      <w:r w:rsidR="000B4A60" w:rsidRPr="00EE3659">
        <w:t>que la question de l</w:t>
      </w:r>
      <w:r>
        <w:t>’</w:t>
      </w:r>
      <w:r w:rsidR="000B4A60" w:rsidRPr="00EE3659">
        <w:t>application de l</w:t>
      </w:r>
      <w:r>
        <w:t>’</w:t>
      </w:r>
      <w:r w:rsidR="000B4A60" w:rsidRPr="00EE3659">
        <w:t>article 41 n</w:t>
      </w:r>
      <w:r>
        <w:t>’</w:t>
      </w:r>
      <w:r w:rsidR="000B4A60" w:rsidRPr="00EE3659">
        <w:t>était pas en l</w:t>
      </w:r>
      <w:r>
        <w:t>’</w:t>
      </w:r>
      <w:r w:rsidR="000B4A60" w:rsidRPr="00EE3659">
        <w:t>état.</w:t>
      </w:r>
    </w:p>
    <w:p w:rsidR="000B4A60" w:rsidRDefault="00954903" w:rsidP="000B4A60">
      <w:pPr>
        <w:pStyle w:val="ECHRPara"/>
      </w:pPr>
      <w:r>
        <w:fldChar w:fldCharType="begin"/>
      </w:r>
      <w:r>
        <w:instrText xml:space="preserve"> SEQ level0 \*arabic </w:instrText>
      </w:r>
      <w:r>
        <w:fldChar w:fldCharType="separate"/>
      </w:r>
      <w:r>
        <w:rPr>
          <w:noProof/>
        </w:rPr>
        <w:t>14</w:t>
      </w:r>
      <w:r>
        <w:rPr>
          <w:noProof/>
        </w:rPr>
        <w:fldChar w:fldCharType="end"/>
      </w:r>
      <w:r w:rsidR="000B4A60">
        <w:t>.  Le 27 mai 2011, la représentante des requérants informa la Cour que postérieurement à l</w:t>
      </w:r>
      <w:r w:rsidR="00225D7D">
        <w:t>’</w:t>
      </w:r>
      <w:r w:rsidR="000B4A60">
        <w:t>arrêt de celle-ci les intéressés avaient engagé des actions administratives tendant à annuler les décisions de vente par l</w:t>
      </w:r>
      <w:r w:rsidR="00225D7D">
        <w:t>’</w:t>
      </w:r>
      <w:r w:rsidR="000B4A60">
        <w:t>Etat des appartements composant l</w:t>
      </w:r>
      <w:r w:rsidR="00225D7D">
        <w:t>’</w:t>
      </w:r>
      <w:r w:rsidR="000B4A60">
        <w:t>ensemble immobilier objet du litige, rendues dans les années 1970</w:t>
      </w:r>
      <w:r w:rsidR="000B4A60">
        <w:noBreakHyphen/>
        <w:t>1990 (</w:t>
      </w:r>
      <w:r w:rsidR="000B4A60">
        <w:rPr>
          <w:i/>
        </w:rPr>
        <w:t>Plechanow c. Pologne</w:t>
      </w:r>
      <w:r w:rsidR="000B4A60">
        <w:t>, 22279/04, § 11, 7 juillet 2009). A l</w:t>
      </w:r>
      <w:r w:rsidR="00225D7D">
        <w:t>’</w:t>
      </w:r>
      <w:r w:rsidR="000B4A60">
        <w:t>issue de 10</w:t>
      </w:r>
      <w:r w:rsidR="000B4A60">
        <w:rPr>
          <w:b/>
        </w:rPr>
        <w:t> </w:t>
      </w:r>
      <w:r w:rsidR="000B4A60" w:rsidRPr="009D7E0C">
        <w:t>procédures</w:t>
      </w:r>
      <w:r w:rsidR="000B4A60">
        <w:t xml:space="preserve"> concernant 10 appartements</w:t>
      </w:r>
      <w:r w:rsidR="000B4A60" w:rsidRPr="009D7E0C">
        <w:t xml:space="preserve"> (sur les</w:t>
      </w:r>
      <w:r w:rsidR="000B4A60">
        <w:t> </w:t>
      </w:r>
      <w:r w:rsidR="000B4A60" w:rsidRPr="009D7E0C">
        <w:t>19 au total),</w:t>
      </w:r>
      <w:r w:rsidR="000B4A60">
        <w:rPr>
          <w:b/>
        </w:rPr>
        <w:t xml:space="preserve"> </w:t>
      </w:r>
      <w:r w:rsidR="000B4A60">
        <w:t>l</w:t>
      </w:r>
      <w:r w:rsidR="00225D7D">
        <w:t>’</w:t>
      </w:r>
      <w:r w:rsidR="000B4A60">
        <w:t>autorité administrative compétente avait conclu que les décisions de vente avaient été rendues en violation de la loi, mais dans la mesure où elles avaient produit des effets sur des tiers (acquéreurs de bonne foi des biens en question) leur annulation n</w:t>
      </w:r>
      <w:r w:rsidR="00225D7D">
        <w:t>’</w:t>
      </w:r>
      <w:r w:rsidR="000B4A60">
        <w:t>était pas possible.</w:t>
      </w:r>
    </w:p>
    <w:p w:rsidR="000B4A60" w:rsidRDefault="00225D7D" w:rsidP="000B4A60">
      <w:pPr>
        <w:pStyle w:val="ECHRPara"/>
      </w:pPr>
      <w:fldSimple w:instr=" SEQ level0 \*arabic ">
        <w:r w:rsidR="00954903">
          <w:rPr>
            <w:noProof/>
          </w:rPr>
          <w:t>15</w:t>
        </w:r>
      </w:fldSimple>
      <w:r w:rsidR="000B4A60">
        <w:t xml:space="preserve">.  Le 13 avril 2012, la Cour suprême rendit le premier </w:t>
      </w:r>
      <w:r w:rsidR="000B4A60">
        <w:rPr>
          <w:lang w:eastAsia="en-GB"/>
        </w:rPr>
        <w:t>(</w:t>
      </w:r>
      <w:r w:rsidR="000B4A60" w:rsidRPr="00FF6240">
        <w:rPr>
          <w:i/>
          <w:lang w:eastAsia="en-GB"/>
        </w:rPr>
        <w:t>I CSK 402/11</w:t>
      </w:r>
      <w:r w:rsidR="000B4A60">
        <w:rPr>
          <w:lang w:eastAsia="en-GB"/>
        </w:rPr>
        <w:t>)</w:t>
      </w:r>
      <w:r w:rsidR="000B4A60" w:rsidRPr="00E92F1A">
        <w:rPr>
          <w:lang w:eastAsia="en-GB"/>
        </w:rPr>
        <w:t>, d</w:t>
      </w:r>
      <w:r>
        <w:rPr>
          <w:lang w:eastAsia="en-GB"/>
        </w:rPr>
        <w:t>’</w:t>
      </w:r>
      <w:r w:rsidR="000B4A60" w:rsidRPr="00E92F1A">
        <w:rPr>
          <w:lang w:eastAsia="en-GB"/>
        </w:rPr>
        <w:t>une série</w:t>
      </w:r>
      <w:r w:rsidR="000B4A60">
        <w:rPr>
          <w:lang w:eastAsia="en-GB"/>
        </w:rPr>
        <w:t xml:space="preserve"> (</w:t>
      </w:r>
      <w:r w:rsidR="000B4A60" w:rsidRPr="00FF6240">
        <w:rPr>
          <w:i/>
          <w:lang w:eastAsia="en-GB"/>
        </w:rPr>
        <w:t>III CZP 28/12 du 21 juin 2012; I CSK 665/11 et I CSK 632/11 du 4 octobre 2012</w:t>
      </w:r>
      <w:r w:rsidR="000B4A60">
        <w:rPr>
          <w:lang w:eastAsia="en-GB"/>
        </w:rPr>
        <w:t>)</w:t>
      </w:r>
      <w:r w:rsidR="000B4A60" w:rsidRPr="00E92F1A">
        <w:rPr>
          <w:lang w:eastAsia="en-GB"/>
        </w:rPr>
        <w:t xml:space="preserve"> </w:t>
      </w:r>
      <w:r w:rsidR="000B4A60">
        <w:t>d</w:t>
      </w:r>
      <w:r>
        <w:t>’</w:t>
      </w:r>
      <w:r w:rsidR="000B4A60">
        <w:t>arrêts</w:t>
      </w:r>
      <w:r>
        <w:t xml:space="preserve"> </w:t>
      </w:r>
      <w:r w:rsidR="000B4A60">
        <w:t>dans le cadre de litiges soulevant des questions de droit concernant le droit à l</w:t>
      </w:r>
      <w:r>
        <w:t>’</w:t>
      </w:r>
      <w:r w:rsidR="000B4A60">
        <w:t>indemnisation, sur le fondement de l</w:t>
      </w:r>
      <w:r>
        <w:t>’</w:t>
      </w:r>
      <w:r w:rsidR="000B4A60">
        <w:t>article 160 du code de procédure administrative pour les dommages causés par l</w:t>
      </w:r>
      <w:r>
        <w:t>’</w:t>
      </w:r>
      <w:r w:rsidR="000B4A60">
        <w:t>administration publique. La Cour suprême donna une nouvelle interprétation de l</w:t>
      </w:r>
      <w:r>
        <w:t>’</w:t>
      </w:r>
      <w:r w:rsidR="000B4A60">
        <w:t>article précité et confirma l</w:t>
      </w:r>
      <w:r>
        <w:t>’</w:t>
      </w:r>
      <w:r w:rsidR="000B4A60">
        <w:t>efficacité de l</w:t>
      </w:r>
      <w:r>
        <w:t>’</w:t>
      </w:r>
      <w:r w:rsidR="000B4A60">
        <w:t>action en dommages et intérêts à l</w:t>
      </w:r>
      <w:r>
        <w:t>’</w:t>
      </w:r>
      <w:r w:rsidR="000B4A60">
        <w:t>encontre du trésor public.</w:t>
      </w:r>
    </w:p>
    <w:p w:rsidR="000B4A60" w:rsidRDefault="00225D7D" w:rsidP="000B4A60">
      <w:pPr>
        <w:pStyle w:val="ECHRPara"/>
      </w:pPr>
      <w:fldSimple w:instr=" SEQ level0 \*arabic ">
        <w:r w:rsidR="00954903">
          <w:rPr>
            <w:noProof/>
          </w:rPr>
          <w:t>16</w:t>
        </w:r>
      </w:fldSimple>
      <w:r w:rsidR="000B4A60">
        <w:t>.  Le 10 juillet 2012, les requérants présentèrent à la Cour une copie de la demande datée du 27 avril 2012, introduite auprès du tribunal régional de Varsovie tendant à obtenir la somme de 3 218 616 PLN de dommages et intérêts dirigée contre le trésor public et fondée sur l</w:t>
      </w:r>
      <w:r>
        <w:t>’</w:t>
      </w:r>
      <w:r w:rsidR="000B4A60">
        <w:t>article 160 du code de procédure administrative.</w:t>
      </w:r>
    </w:p>
    <w:p w:rsidR="000B4A60" w:rsidRDefault="000B4A60" w:rsidP="000B4A60">
      <w:pPr>
        <w:pStyle w:val="ECHRPara"/>
      </w:pPr>
      <w:r>
        <w:t>La procédure en question est en cours devant le tribunal régional de Varsovie.</w:t>
      </w:r>
    </w:p>
    <w:p w:rsidR="000B4A60" w:rsidRDefault="000B4A60" w:rsidP="000B4A60">
      <w:pPr>
        <w:pStyle w:val="ECHRHeading1"/>
      </w:pPr>
      <w:r>
        <w:t>II.  LE DROIT ET LA PRATIQUE INTERNES PERTINENTS</w:t>
      </w:r>
    </w:p>
    <w:p w:rsidR="000B4A60" w:rsidRDefault="000B4A60" w:rsidP="000B4A60">
      <w:pPr>
        <w:pStyle w:val="ECHRPara"/>
      </w:pPr>
      <w:r>
        <w:t>Le droit et la pratiques internes pertinents ont été détaillés dans l</w:t>
      </w:r>
      <w:r w:rsidR="00225D7D">
        <w:t>’</w:t>
      </w:r>
      <w:r>
        <w:t xml:space="preserve">arrêt au principal </w:t>
      </w:r>
      <w:r>
        <w:rPr>
          <w:i/>
        </w:rPr>
        <w:t>Plechanow c. Pologne</w:t>
      </w:r>
      <w:r>
        <w:t>, n</w:t>
      </w:r>
      <w:r w:rsidRPr="00F46819">
        <w:rPr>
          <w:vertAlign w:val="superscript"/>
        </w:rPr>
        <w:t>o</w:t>
      </w:r>
      <w:r>
        <w:t xml:space="preserve"> 22279/04, §§ 33-72, 7 juillet 2009.</w:t>
      </w:r>
    </w:p>
    <w:p w:rsidR="000B4A60" w:rsidRPr="002A20C2" w:rsidRDefault="000B4A60" w:rsidP="000B4A60">
      <w:pPr>
        <w:pStyle w:val="ECHRTitle1"/>
      </w:pPr>
      <w:r w:rsidRPr="002A20C2">
        <w:t>EN DROIT</w:t>
      </w:r>
    </w:p>
    <w:p w:rsidR="000B4A60" w:rsidRPr="0052545F" w:rsidRDefault="000B4A60" w:rsidP="000B4A60">
      <w:pPr>
        <w:pStyle w:val="ECHRHeading1"/>
      </w:pPr>
      <w:r>
        <w:t>I</w:t>
      </w:r>
      <w:r w:rsidRPr="0052545F">
        <w:t>.</w:t>
      </w:r>
      <w:r>
        <w:t>  </w:t>
      </w:r>
      <w:r w:rsidRPr="0052545F">
        <w:t>L</w:t>
      </w:r>
      <w:r>
        <w:t>ES ARGUMENTS DES PARTIES</w:t>
      </w:r>
    </w:p>
    <w:p w:rsidR="000B4A60" w:rsidRDefault="00225D7D" w:rsidP="000B4A60">
      <w:pPr>
        <w:pStyle w:val="ECHRPara"/>
      </w:pPr>
      <w:fldSimple w:instr=" SEQ level0 \*arabic ">
        <w:r w:rsidR="00954903">
          <w:rPr>
            <w:noProof/>
          </w:rPr>
          <w:t>17</w:t>
        </w:r>
      </w:fldSimple>
      <w:r w:rsidR="000B4A60">
        <w:t>.  Le 11 octobre 2012, le Gouvernement a demandé à la Cour de rayer la requête du rôle dans la mesure où une voie de recours était désormais disponible en droit polonais. Il a invité la Cour à appliquer le principe de subsidiarité et d</w:t>
      </w:r>
      <w:r>
        <w:t>’</w:t>
      </w:r>
      <w:r w:rsidR="000B4A60">
        <w:t>accorder aux tribunaux nationaux la possibilité de réparer les erreurs commises dans l</w:t>
      </w:r>
      <w:r>
        <w:t>’</w:t>
      </w:r>
      <w:r w:rsidR="000B4A60">
        <w:t>ordre juridique interne. Le gouvernement défendeur a également souligné que compte tenu de la complexité du différend, les tribunaux internes étaient les mieux placés pour évaluer le dommage subi et résoudre le litige en question. Il a conclu en précisant qu</w:t>
      </w:r>
      <w:r>
        <w:t>’</w:t>
      </w:r>
      <w:r w:rsidR="000B4A60">
        <w:t>en cas d</w:t>
      </w:r>
      <w:r>
        <w:t>’</w:t>
      </w:r>
      <w:r w:rsidR="000B4A60">
        <w:t>échec de la procédure interne</w:t>
      </w:r>
      <w:r w:rsidR="00A60D70">
        <w:t>,</w:t>
      </w:r>
      <w:r w:rsidR="000B4A60">
        <w:t xml:space="preserve"> la Cour avait toute liberté de réinscrire la requête au rôle.</w:t>
      </w:r>
    </w:p>
    <w:p w:rsidR="000B4A60" w:rsidRPr="00BD0A4D" w:rsidRDefault="00225D7D" w:rsidP="000B4A60">
      <w:pPr>
        <w:pStyle w:val="ECHRPara"/>
        <w:rPr>
          <w:szCs w:val="24"/>
        </w:rPr>
      </w:pPr>
      <w:fldSimple w:instr=" SEQ level0 \*arabic ">
        <w:r w:rsidR="00954903">
          <w:rPr>
            <w:noProof/>
          </w:rPr>
          <w:t>18</w:t>
        </w:r>
      </w:fldSimple>
      <w:r w:rsidR="000B4A60">
        <w:t>.  Le 12 novembre 2012, les requérants ont rejeté les arguments du Gouvernement. Ils ont souligné, sans citer d</w:t>
      </w:r>
      <w:r>
        <w:t>’</w:t>
      </w:r>
      <w:r w:rsidR="000B4A60">
        <w:t xml:space="preserve">exemples, que certes la jurisprudence désormais établie des tribunaux internes en la matière tendait à octroyer des dommages et intérêts à des personnes placées dans la même situation, mais que des décisions contraires avaient également été </w:t>
      </w:r>
      <w:r w:rsidR="000B4A60" w:rsidRPr="00BD0A4D">
        <w:rPr>
          <w:szCs w:val="24"/>
        </w:rPr>
        <w:t xml:space="preserve">rendues. Les requérants ont demandé le maintien de leur requête estimant que </w:t>
      </w:r>
      <w:r w:rsidR="000B4A60" w:rsidRPr="00BD0A4D">
        <w:rPr>
          <w:szCs w:val="24"/>
          <w:lang w:eastAsia="en-GB"/>
        </w:rPr>
        <w:t>le respect des droits de l</w:t>
      </w:r>
      <w:r>
        <w:rPr>
          <w:szCs w:val="24"/>
          <w:lang w:eastAsia="en-GB"/>
        </w:rPr>
        <w:t>’</w:t>
      </w:r>
      <w:r w:rsidR="000B4A60" w:rsidRPr="00BD0A4D">
        <w:rPr>
          <w:szCs w:val="24"/>
          <w:lang w:eastAsia="en-GB"/>
        </w:rPr>
        <w:t>homme garantis par la Convention et ses Protocoles l</w:t>
      </w:r>
      <w:r>
        <w:rPr>
          <w:szCs w:val="24"/>
          <w:lang w:eastAsia="en-GB"/>
        </w:rPr>
        <w:t>’</w:t>
      </w:r>
      <w:r w:rsidR="000B4A60" w:rsidRPr="00BD0A4D">
        <w:rPr>
          <w:szCs w:val="24"/>
          <w:lang w:eastAsia="en-GB"/>
        </w:rPr>
        <w:t>exigeait.</w:t>
      </w:r>
    </w:p>
    <w:p w:rsidR="000B4A60" w:rsidRPr="0052545F" w:rsidRDefault="000B4A60" w:rsidP="000B4A60">
      <w:pPr>
        <w:pStyle w:val="ECHRHeading1"/>
      </w:pPr>
      <w:r>
        <w:t>II.  LA DECISION DE LA COUR</w:t>
      </w:r>
    </w:p>
    <w:p w:rsidR="000B4A60" w:rsidRDefault="00225D7D" w:rsidP="000B4A60">
      <w:pPr>
        <w:pStyle w:val="ECHRPara"/>
        <w:rPr>
          <w:lang w:eastAsia="en-GB"/>
        </w:rPr>
      </w:pPr>
      <w:fldSimple w:instr=" SEQ level0 \*arabic ">
        <w:r w:rsidR="00954903">
          <w:rPr>
            <w:noProof/>
          </w:rPr>
          <w:t>19</w:t>
        </w:r>
      </w:fldSimple>
      <w:r w:rsidR="000B4A60">
        <w:t>.  </w:t>
      </w:r>
      <w:r w:rsidR="000B4A60">
        <w:rPr>
          <w:lang w:eastAsia="en-GB"/>
        </w:rPr>
        <w:t>De nouveaux éléments factuels ont été portés à la connaissance de la Cour après son arrêt constatant la violation. La Cour recherchera donc, si les faits en question permettent de conclure que, pour tout autre motif, il ne se justifie plus de poursuivre l</w:t>
      </w:r>
      <w:r>
        <w:rPr>
          <w:lang w:eastAsia="en-GB"/>
        </w:rPr>
        <w:t>’</w:t>
      </w:r>
      <w:r w:rsidR="000B4A60">
        <w:rPr>
          <w:lang w:eastAsia="en-GB"/>
        </w:rPr>
        <w:t>examen de l</w:t>
      </w:r>
      <w:r>
        <w:rPr>
          <w:lang w:eastAsia="en-GB"/>
        </w:rPr>
        <w:t>’</w:t>
      </w:r>
      <w:r w:rsidR="000B4A60">
        <w:rPr>
          <w:lang w:eastAsia="en-GB"/>
        </w:rPr>
        <w:t xml:space="preserve">affaire (article 37 § 1 c) de la Convention) (voir </w:t>
      </w:r>
      <w:r w:rsidR="000B4A60" w:rsidRPr="0052545F">
        <w:rPr>
          <w:i/>
          <w:lang w:eastAsia="en-GB"/>
        </w:rPr>
        <w:t>Association SOS Attentats et Béatrix de Boëry c.</w:t>
      </w:r>
      <w:r w:rsidR="000B4A60">
        <w:rPr>
          <w:i/>
          <w:lang w:eastAsia="en-GB"/>
        </w:rPr>
        <w:t> </w:t>
      </w:r>
      <w:r w:rsidR="000B4A60" w:rsidRPr="0052545F">
        <w:rPr>
          <w:i/>
          <w:lang w:eastAsia="en-GB"/>
        </w:rPr>
        <w:t>France</w:t>
      </w:r>
      <w:r w:rsidR="000B4A60">
        <w:rPr>
          <w:lang w:eastAsia="en-GB"/>
        </w:rPr>
        <w:t xml:space="preserve"> [GC] (radiation), n</w:t>
      </w:r>
      <w:r w:rsidR="000B4A60" w:rsidRPr="00727D1B">
        <w:rPr>
          <w:vertAlign w:val="superscript"/>
          <w:lang w:eastAsia="en-GB"/>
        </w:rPr>
        <w:t>o</w:t>
      </w:r>
      <w:r w:rsidR="000B4A60">
        <w:rPr>
          <w:lang w:eastAsia="en-GB"/>
        </w:rPr>
        <w:t> 76642/01, § 37, 4 octobre 2006).</w:t>
      </w:r>
    </w:p>
    <w:p w:rsidR="000B4A60" w:rsidRDefault="000B4A60" w:rsidP="000B4A60">
      <w:pPr>
        <w:pStyle w:val="ECHRPara"/>
        <w:rPr>
          <w:lang w:eastAsia="en-GB"/>
        </w:rPr>
      </w:pPr>
      <w:r>
        <w:rPr>
          <w:lang w:eastAsia="en-GB"/>
        </w:rPr>
        <w:fldChar w:fldCharType="begin"/>
      </w:r>
      <w:r>
        <w:rPr>
          <w:lang w:eastAsia="en-GB"/>
        </w:rPr>
        <w:instrText xml:space="preserve"> SEQ level0 \*arabic </w:instrText>
      </w:r>
      <w:r>
        <w:rPr>
          <w:lang w:eastAsia="en-GB"/>
        </w:rPr>
        <w:fldChar w:fldCharType="separate"/>
      </w:r>
      <w:r w:rsidR="00954903">
        <w:rPr>
          <w:noProof/>
          <w:lang w:eastAsia="en-GB"/>
        </w:rPr>
        <w:t>20</w:t>
      </w:r>
      <w:r>
        <w:rPr>
          <w:lang w:eastAsia="en-GB"/>
        </w:rPr>
        <w:fldChar w:fldCharType="end"/>
      </w:r>
      <w:r>
        <w:rPr>
          <w:lang w:eastAsia="en-GB"/>
        </w:rPr>
        <w:t>.  L</w:t>
      </w:r>
      <w:r w:rsidR="00225D7D">
        <w:rPr>
          <w:lang w:eastAsia="en-GB"/>
        </w:rPr>
        <w:t>’</w:t>
      </w:r>
      <w:r>
        <w:rPr>
          <w:lang w:eastAsia="en-GB"/>
        </w:rPr>
        <w:t>article 37 § 1 de la Convention est ainsi libellé :</w:t>
      </w:r>
    </w:p>
    <w:p w:rsidR="000B4A60" w:rsidRPr="0052545F" w:rsidRDefault="000B4A60" w:rsidP="000B4A60">
      <w:pPr>
        <w:pStyle w:val="ECHRParaQuote"/>
        <w:rPr>
          <w:lang w:eastAsia="en-GB"/>
        </w:rPr>
      </w:pPr>
      <w:r w:rsidRPr="0052545F">
        <w:rPr>
          <w:lang w:eastAsia="en-GB"/>
        </w:rPr>
        <w:t>«</w:t>
      </w:r>
      <w:r>
        <w:rPr>
          <w:lang w:eastAsia="en-GB"/>
        </w:rPr>
        <w:t> </w:t>
      </w:r>
      <w:r w:rsidRPr="0052545F">
        <w:rPr>
          <w:lang w:eastAsia="en-GB"/>
        </w:rPr>
        <w:t>1. A tout moment de la procédure, la Cour peut décider de rayer une requête du rôle lorsque les circonstances permettent de conclure</w:t>
      </w:r>
    </w:p>
    <w:p w:rsidR="000B4A60" w:rsidRPr="0052545F" w:rsidRDefault="000B4A60" w:rsidP="000B4A60">
      <w:pPr>
        <w:pStyle w:val="ECHRParaQuote"/>
        <w:rPr>
          <w:lang w:eastAsia="en-GB"/>
        </w:rPr>
      </w:pPr>
      <w:r w:rsidRPr="0052545F">
        <w:rPr>
          <w:lang w:eastAsia="en-GB"/>
        </w:rPr>
        <w:t>(...)</w:t>
      </w:r>
    </w:p>
    <w:p w:rsidR="000B4A60" w:rsidRPr="0052545F" w:rsidRDefault="000B4A60" w:rsidP="000B4A60">
      <w:pPr>
        <w:pStyle w:val="ECHRParaQuote"/>
        <w:rPr>
          <w:lang w:eastAsia="en-GB"/>
        </w:rPr>
      </w:pPr>
      <w:r w:rsidRPr="0052545F">
        <w:rPr>
          <w:lang w:eastAsia="en-GB"/>
        </w:rPr>
        <w:t>c)</w:t>
      </w:r>
      <w:r>
        <w:rPr>
          <w:lang w:eastAsia="en-GB"/>
        </w:rPr>
        <w:t> </w:t>
      </w:r>
      <w:r w:rsidRPr="0052545F">
        <w:rPr>
          <w:lang w:eastAsia="en-GB"/>
        </w:rPr>
        <w:t>que, pour tout autre motif dont la Cour constate l</w:t>
      </w:r>
      <w:r w:rsidR="00225D7D">
        <w:rPr>
          <w:lang w:eastAsia="en-GB"/>
        </w:rPr>
        <w:t>’</w:t>
      </w:r>
      <w:r w:rsidRPr="0052545F">
        <w:rPr>
          <w:lang w:eastAsia="en-GB"/>
        </w:rPr>
        <w:t>existence, il ne se justifie plus de poursuivre l</w:t>
      </w:r>
      <w:r w:rsidR="00225D7D">
        <w:rPr>
          <w:lang w:eastAsia="en-GB"/>
        </w:rPr>
        <w:t>’</w:t>
      </w:r>
      <w:r w:rsidRPr="0052545F">
        <w:rPr>
          <w:lang w:eastAsia="en-GB"/>
        </w:rPr>
        <w:t>examen de la requête.</w:t>
      </w:r>
    </w:p>
    <w:p w:rsidR="000B4A60" w:rsidRDefault="000B4A60" w:rsidP="000B4A60">
      <w:pPr>
        <w:pStyle w:val="ECHRParaQuote"/>
        <w:rPr>
          <w:lang w:eastAsia="en-GB"/>
        </w:rPr>
      </w:pPr>
      <w:r w:rsidRPr="0052545F">
        <w:rPr>
          <w:lang w:eastAsia="en-GB"/>
        </w:rPr>
        <w:t>Toutefois, la Cour poursuit l</w:t>
      </w:r>
      <w:r w:rsidR="00225D7D">
        <w:rPr>
          <w:lang w:eastAsia="en-GB"/>
        </w:rPr>
        <w:t>’</w:t>
      </w:r>
      <w:r w:rsidRPr="0052545F">
        <w:rPr>
          <w:lang w:eastAsia="en-GB"/>
        </w:rPr>
        <w:t>examen de la requête si le respect des droits de l</w:t>
      </w:r>
      <w:r w:rsidR="00225D7D">
        <w:rPr>
          <w:lang w:eastAsia="en-GB"/>
        </w:rPr>
        <w:t>’</w:t>
      </w:r>
      <w:r w:rsidRPr="0052545F">
        <w:rPr>
          <w:lang w:eastAsia="en-GB"/>
        </w:rPr>
        <w:t>homme garantis par la Convention et ses Protocoles l</w:t>
      </w:r>
      <w:r w:rsidR="00225D7D">
        <w:rPr>
          <w:lang w:eastAsia="en-GB"/>
        </w:rPr>
        <w:t>’</w:t>
      </w:r>
      <w:r w:rsidRPr="0052545F">
        <w:rPr>
          <w:lang w:eastAsia="en-GB"/>
        </w:rPr>
        <w:t>exige</w:t>
      </w:r>
      <w:r>
        <w:rPr>
          <w:lang w:eastAsia="en-GB"/>
        </w:rPr>
        <w:t>.</w:t>
      </w:r>
    </w:p>
    <w:p w:rsidR="000B4A60" w:rsidRPr="0052545F" w:rsidRDefault="000B4A60" w:rsidP="000B4A60">
      <w:pPr>
        <w:pStyle w:val="ECHRParaQuote"/>
        <w:rPr>
          <w:lang w:eastAsia="en-GB"/>
        </w:rPr>
      </w:pPr>
      <w:r w:rsidRPr="0052545F">
        <w:rPr>
          <w:lang w:eastAsia="en-GB"/>
        </w:rPr>
        <w:t>(...)</w:t>
      </w:r>
      <w:r>
        <w:rPr>
          <w:lang w:eastAsia="en-GB"/>
        </w:rPr>
        <w:t> </w:t>
      </w:r>
      <w:r w:rsidRPr="0052545F">
        <w:rPr>
          <w:lang w:eastAsia="en-GB"/>
        </w:rPr>
        <w:t>»</w:t>
      </w:r>
    </w:p>
    <w:p w:rsidR="000B4A60" w:rsidRDefault="00954903" w:rsidP="00225D7D">
      <w:pPr>
        <w:pStyle w:val="ECHRPara"/>
      </w:pPr>
      <w:r>
        <w:fldChar w:fldCharType="begin"/>
      </w:r>
      <w:r>
        <w:instrText xml:space="preserve"> SEQ level0 \*ar</w:instrText>
      </w:r>
      <w:r>
        <w:instrText xml:space="preserve">abic </w:instrText>
      </w:r>
      <w:r>
        <w:fldChar w:fldCharType="separate"/>
      </w:r>
      <w:r>
        <w:rPr>
          <w:noProof/>
        </w:rPr>
        <w:t>21</w:t>
      </w:r>
      <w:r>
        <w:rPr>
          <w:noProof/>
        </w:rPr>
        <w:fldChar w:fldCharType="end"/>
      </w:r>
      <w:r w:rsidR="000B4A60">
        <w:t>.  Les parties ont confirmé à la Cour que les requérants avaient engagé une série de procédures administratives tendant à annuler les ventes successives par l</w:t>
      </w:r>
      <w:r w:rsidR="00225D7D">
        <w:t>’</w:t>
      </w:r>
      <w:r w:rsidR="000B4A60">
        <w:t>Etat dans les années 1970</w:t>
      </w:r>
      <w:r w:rsidR="000B4A60">
        <w:noBreakHyphen/>
        <w:t>1990 des appartements constituant l</w:t>
      </w:r>
      <w:r w:rsidR="00225D7D">
        <w:t>’</w:t>
      </w:r>
      <w:r w:rsidR="000B4A60">
        <w:t>ensemble immobilier l</w:t>
      </w:r>
      <w:r w:rsidR="00225D7D">
        <w:t>’</w:t>
      </w:r>
      <w:r w:rsidR="000B4A60">
        <w:t>objet du litige. A l</w:t>
      </w:r>
      <w:r w:rsidR="00225D7D">
        <w:t>’</w:t>
      </w:r>
      <w:r w:rsidR="000B4A60">
        <w:t>issue de certaines procédures une décision d</w:t>
      </w:r>
      <w:r w:rsidR="00225D7D">
        <w:t>’</w:t>
      </w:r>
      <w:r w:rsidR="000B4A60">
        <w:t>annulation de la décision de vente comme contraire à la loi a été rendue et d</w:t>
      </w:r>
      <w:r w:rsidR="00225D7D">
        <w:t>’</w:t>
      </w:r>
      <w:r w:rsidR="000B4A60">
        <w:t>autres seraient en cours.</w:t>
      </w:r>
    </w:p>
    <w:p w:rsidR="000B4A60" w:rsidRDefault="00954903" w:rsidP="00225D7D">
      <w:pPr>
        <w:pStyle w:val="ECHRPara"/>
      </w:pPr>
      <w:r>
        <w:fldChar w:fldCharType="begin"/>
      </w:r>
      <w:r>
        <w:instrText xml:space="preserve"> SEQ level0 \*arabic </w:instrText>
      </w:r>
      <w:r>
        <w:fldChar w:fldCharType="separate"/>
      </w:r>
      <w:r>
        <w:rPr>
          <w:noProof/>
        </w:rPr>
        <w:t>22</w:t>
      </w:r>
      <w:r>
        <w:rPr>
          <w:noProof/>
        </w:rPr>
        <w:fldChar w:fldCharType="end"/>
      </w:r>
      <w:r w:rsidR="000B4A60">
        <w:t>.  Il demeure également indiscutable que l</w:t>
      </w:r>
      <w:r w:rsidR="00225D7D">
        <w:t>’</w:t>
      </w:r>
      <w:r w:rsidR="000B4A60">
        <w:t>annulation en question ne donnait pas droit à la restitution du bien dans la mesure où il avait été cédé entre temps à des tiers, acquéreurs de bonne foi.</w:t>
      </w:r>
    </w:p>
    <w:p w:rsidR="000B4A60" w:rsidRDefault="000B4A60" w:rsidP="00225D7D">
      <w:pPr>
        <w:pStyle w:val="ECHRPara"/>
      </w:pPr>
      <w:r>
        <w:t>Dès lors, la seule question qui restait ouverte et avait été soumise à la Cour était celle de savoir si les requérants disposaient d</w:t>
      </w:r>
      <w:r w:rsidR="00225D7D">
        <w:t>’</w:t>
      </w:r>
      <w:r>
        <w:t xml:space="preserve">une voie de recours pour </w:t>
      </w:r>
      <w:r w:rsidRPr="00EE3659">
        <w:t>obtenir une réparation suffisante pour le préjudice qu</w:t>
      </w:r>
      <w:r w:rsidR="00225D7D">
        <w:t>’</w:t>
      </w:r>
      <w:r w:rsidRPr="00EE3659">
        <w:t>ils ont subi, en violation de l</w:t>
      </w:r>
      <w:r w:rsidR="00225D7D">
        <w:t>’</w:t>
      </w:r>
      <w:r w:rsidRPr="00EE3659">
        <w:t>article 1 du Protocole n</w:t>
      </w:r>
      <w:r w:rsidRPr="00727D1B">
        <w:rPr>
          <w:vertAlign w:val="superscript"/>
        </w:rPr>
        <w:t>o</w:t>
      </w:r>
      <w:r w:rsidRPr="00EE3659">
        <w:t> 1.</w:t>
      </w:r>
    </w:p>
    <w:p w:rsidR="000B4A60" w:rsidRDefault="00954903" w:rsidP="00225D7D">
      <w:pPr>
        <w:pStyle w:val="ECHRPara"/>
      </w:pPr>
      <w:r>
        <w:fldChar w:fldCharType="begin"/>
      </w:r>
      <w:r>
        <w:instrText xml:space="preserve"> SEQ level0 \*arabic </w:instrText>
      </w:r>
      <w:r>
        <w:fldChar w:fldCharType="separate"/>
      </w:r>
      <w:r>
        <w:rPr>
          <w:noProof/>
        </w:rPr>
        <w:t>23</w:t>
      </w:r>
      <w:r>
        <w:rPr>
          <w:noProof/>
        </w:rPr>
        <w:fldChar w:fldCharType="end"/>
      </w:r>
      <w:r w:rsidR="000B4A60">
        <w:t>.  Dans son arrêt au principal</w:t>
      </w:r>
      <w:r w:rsidR="00A60D70">
        <w:t>,</w:t>
      </w:r>
      <w:r w:rsidR="000B4A60">
        <w:t xml:space="preserve"> la Cour a conclu que </w:t>
      </w:r>
      <w:r w:rsidR="000B4A60" w:rsidRPr="00E92F1A">
        <w:t>le</w:t>
      </w:r>
      <w:r w:rsidR="000B4A60">
        <w:t>s requérants n</w:t>
      </w:r>
      <w:r w:rsidR="00225D7D">
        <w:t>’</w:t>
      </w:r>
      <w:r w:rsidR="000B4A60">
        <w:t>ont pas pu obtenir d</w:t>
      </w:r>
      <w:r w:rsidR="00225D7D">
        <w:t>’</w:t>
      </w:r>
      <w:r w:rsidR="000B4A60">
        <w:t>indemnisation pour les dommages subis</w:t>
      </w:r>
      <w:r w:rsidR="000B4A60" w:rsidRPr="00E92F1A">
        <w:t xml:space="preserve">. </w:t>
      </w:r>
      <w:r w:rsidR="000B4A60">
        <w:t xml:space="preserve">Elle a </w:t>
      </w:r>
      <w:r w:rsidR="000B4A60" w:rsidRPr="00E92F1A">
        <w:t>également rappelé qu</w:t>
      </w:r>
      <w:r w:rsidR="00225D7D">
        <w:t>’</w:t>
      </w:r>
      <w:r w:rsidR="000B4A60" w:rsidRPr="00E92F1A">
        <w:t>il incombait aux juridictions suprêmes de régler les divergences de jurisprudences existantes.</w:t>
      </w:r>
    </w:p>
    <w:p w:rsidR="00225D7D" w:rsidRDefault="000B4A60" w:rsidP="00225D7D">
      <w:pPr>
        <w:pStyle w:val="ECHRPara"/>
      </w:pPr>
      <w:r w:rsidRPr="00686AE0">
        <w:fldChar w:fldCharType="begin"/>
      </w:r>
      <w:r w:rsidRPr="000B4A60">
        <w:instrText xml:space="preserve"> SEQ level0 \*arabic </w:instrText>
      </w:r>
      <w:r w:rsidRPr="00686AE0">
        <w:fldChar w:fldCharType="separate"/>
      </w:r>
      <w:r w:rsidR="00954903">
        <w:rPr>
          <w:noProof/>
        </w:rPr>
        <w:t>24</w:t>
      </w:r>
      <w:r w:rsidRPr="00686AE0">
        <w:fldChar w:fldCharType="end"/>
      </w:r>
      <w:r w:rsidRPr="000B4A60">
        <w:t>.  La Cour rappelle qu</w:t>
      </w:r>
      <w:r w:rsidR="00225D7D">
        <w:t>’</w:t>
      </w:r>
      <w:r w:rsidRPr="000B4A60">
        <w:t>un arrêt constatant une violation entraîne pour l</w:t>
      </w:r>
      <w:r w:rsidR="00225D7D">
        <w:t>’</w:t>
      </w:r>
      <w:r w:rsidRPr="000B4A60">
        <w:t>Etat défendeur l</w:t>
      </w:r>
      <w:r w:rsidR="00225D7D">
        <w:t>’</w:t>
      </w:r>
      <w:r w:rsidRPr="000B4A60">
        <w:t>obligation juridique au regard de la Convention de mettre un terme à la violation et d</w:t>
      </w:r>
      <w:r w:rsidR="00225D7D">
        <w:t>’</w:t>
      </w:r>
      <w:r w:rsidRPr="000B4A60">
        <w:t>en effacer les conséquences de manière à rétablir autant que faire se peut la situation antérieure à celle-ci. Elle souligne aussi que, conformément aux principes dégagés par sa jurisprudence constante, la forme et le montant de la satisfaction équitable tendant à la réparation d</w:t>
      </w:r>
      <w:r w:rsidR="00225D7D">
        <w:t>’</w:t>
      </w:r>
      <w:r w:rsidRPr="000B4A60">
        <w:t>un préjudice diffèrent selon les cas et dépendent directement de la nature de la violation constatée (</w:t>
      </w:r>
      <w:r w:rsidRPr="000B4A60">
        <w:rPr>
          <w:i/>
        </w:rPr>
        <w:t>Sovtransavto Holding c. Ukraine</w:t>
      </w:r>
      <w:r w:rsidRPr="000B4A60">
        <w:t xml:space="preserve"> (satisfaction équitable), n</w:t>
      </w:r>
      <w:r w:rsidRPr="000B4A60">
        <w:rPr>
          <w:vertAlign w:val="superscript"/>
        </w:rPr>
        <w:t>o</w:t>
      </w:r>
      <w:r w:rsidRPr="000B4A60">
        <w:t xml:space="preserve"> 48553/99 §§ 52- 55, 2 octobre 2003 ; </w:t>
      </w:r>
      <w:r>
        <w:rPr>
          <w:i/>
        </w:rPr>
        <w:t>Todorova et autres c. </w:t>
      </w:r>
      <w:r w:rsidRPr="000B4A60">
        <w:rPr>
          <w:i/>
        </w:rPr>
        <w:t>Bulgarie</w:t>
      </w:r>
      <w:r w:rsidRPr="000B4A60">
        <w:t xml:space="preserve"> (satisfaction équitable), n</w:t>
      </w:r>
      <w:r w:rsidRPr="000B4A60">
        <w:rPr>
          <w:vertAlign w:val="superscript"/>
        </w:rPr>
        <w:t>o</w:t>
      </w:r>
      <w:r w:rsidRPr="000B4A60">
        <w:t xml:space="preserve"> 48380/99, 51362/99, 60036/00 et 73465/01, §§ 8 et suivants, 24 avril 2008).</w:t>
      </w:r>
    </w:p>
    <w:p w:rsidR="000B4A60" w:rsidRDefault="00954903" w:rsidP="00225D7D">
      <w:pPr>
        <w:pStyle w:val="ECHRPara"/>
      </w:pPr>
      <w:r>
        <w:fldChar w:fldCharType="begin"/>
      </w:r>
      <w:r>
        <w:instrText xml:space="preserve"> SEQ level0 \*arabic </w:instrText>
      </w:r>
      <w:r>
        <w:fldChar w:fldCharType="separate"/>
      </w:r>
      <w:r>
        <w:rPr>
          <w:noProof/>
        </w:rPr>
        <w:t>25</w:t>
      </w:r>
      <w:r>
        <w:rPr>
          <w:noProof/>
        </w:rPr>
        <w:fldChar w:fldCharType="end"/>
      </w:r>
      <w:r w:rsidR="000B4A60" w:rsidRPr="00E92F1A">
        <w:t>.  </w:t>
      </w:r>
      <w:r w:rsidR="000B4A60">
        <w:t xml:space="preserve">La Cour constate </w:t>
      </w:r>
      <w:r w:rsidR="000B4A60" w:rsidRPr="00E92F1A">
        <w:t xml:space="preserve">que </w:t>
      </w:r>
      <w:r w:rsidR="000B4A60">
        <w:t>les exemples de jurisprudence interne cités par le Gouvernement confirment l</w:t>
      </w:r>
      <w:r w:rsidR="00225D7D">
        <w:t>’</w:t>
      </w:r>
      <w:r w:rsidR="000B4A60">
        <w:t>efficacité des actions en dommages et intérêts engagées contre le trésor public dans différents types de litiges en général et dans celui concernant les requérants en particulier.</w:t>
      </w:r>
    </w:p>
    <w:p w:rsidR="000B4A60" w:rsidRDefault="00954903" w:rsidP="00225D7D">
      <w:pPr>
        <w:pStyle w:val="ECHRPara"/>
      </w:pPr>
      <w:r>
        <w:fldChar w:fldCharType="begin"/>
      </w:r>
      <w:r>
        <w:instrText xml:space="preserve"> SEQ level0 \*arabic </w:instrText>
      </w:r>
      <w:r>
        <w:fldChar w:fldCharType="separate"/>
      </w:r>
      <w:r>
        <w:rPr>
          <w:noProof/>
        </w:rPr>
        <w:t>26</w:t>
      </w:r>
      <w:r>
        <w:rPr>
          <w:noProof/>
        </w:rPr>
        <w:fldChar w:fldCharType="end"/>
      </w:r>
      <w:r w:rsidR="000B4A60">
        <w:t>.  L</w:t>
      </w:r>
      <w:r w:rsidR="000B4A60" w:rsidRPr="00E92F1A">
        <w:t>es intéressés disposent dès lors, d</w:t>
      </w:r>
      <w:r w:rsidR="00225D7D">
        <w:t>’</w:t>
      </w:r>
      <w:r w:rsidR="000B4A60" w:rsidRPr="00E92F1A">
        <w:t>une voie de recours de nature à redresser la violation de l</w:t>
      </w:r>
      <w:r w:rsidR="00225D7D">
        <w:t>’</w:t>
      </w:r>
      <w:r w:rsidR="000B4A60" w:rsidRPr="00E92F1A">
        <w:t>article 1 du Protocole n</w:t>
      </w:r>
      <w:r w:rsidR="000B4A60" w:rsidRPr="00E92F1A">
        <w:rPr>
          <w:vertAlign w:val="superscript"/>
        </w:rPr>
        <w:t>o</w:t>
      </w:r>
      <w:r w:rsidR="000B4A60" w:rsidRPr="00E92F1A">
        <w:t> 1 à la Convention constatée par la Cour</w:t>
      </w:r>
      <w:r w:rsidR="000B4A60">
        <w:t>, voie dans laquelle ils se sont engagés (§ 16 ci</w:t>
      </w:r>
      <w:r w:rsidR="000B4A60">
        <w:noBreakHyphen/>
        <w:t> dessus).</w:t>
      </w:r>
    </w:p>
    <w:p w:rsidR="000B4A60" w:rsidRPr="00E92F1A" w:rsidRDefault="00954903" w:rsidP="00225D7D">
      <w:pPr>
        <w:pStyle w:val="ECHRPara"/>
      </w:pPr>
      <w:r>
        <w:fldChar w:fldCharType="begin"/>
      </w:r>
      <w:r>
        <w:instrText xml:space="preserve"> SEQ level0 \*arabic </w:instrText>
      </w:r>
      <w:r>
        <w:fldChar w:fldCharType="separate"/>
      </w:r>
      <w:r>
        <w:rPr>
          <w:noProof/>
        </w:rPr>
        <w:t>27</w:t>
      </w:r>
      <w:r>
        <w:rPr>
          <w:noProof/>
        </w:rPr>
        <w:fldChar w:fldCharType="end"/>
      </w:r>
      <w:r w:rsidR="000B4A60" w:rsidRPr="00E92F1A">
        <w:t>.  </w:t>
      </w:r>
      <w:r w:rsidR="000B4A60">
        <w:t>Après ce constat, l</w:t>
      </w:r>
      <w:r w:rsidR="000B4A60" w:rsidRPr="00E92F1A">
        <w:t xml:space="preserve">a Cour </w:t>
      </w:r>
      <w:r w:rsidR="000B4A60">
        <w:t xml:space="preserve">rappelle </w:t>
      </w:r>
      <w:r w:rsidR="000B4A60" w:rsidRPr="00E92F1A">
        <w:t>qu</w:t>
      </w:r>
      <w:r w:rsidR="00225D7D">
        <w:t>’</w:t>
      </w:r>
      <w:r w:rsidR="000B4A60" w:rsidRPr="00E92F1A">
        <w:t>elle peut</w:t>
      </w:r>
      <w:r w:rsidR="000B4A60">
        <w:t xml:space="preserve"> </w:t>
      </w:r>
      <w:r w:rsidR="000B4A60" w:rsidRPr="00E92F1A">
        <w:t>rechercher, même à un stade avancé de la procédure, si la requête se prête à l</w:t>
      </w:r>
      <w:r w:rsidR="00225D7D">
        <w:t>’</w:t>
      </w:r>
      <w:r w:rsidR="000B4A60" w:rsidRPr="00E92F1A">
        <w:t>application de l</w:t>
      </w:r>
      <w:r w:rsidR="00225D7D">
        <w:t>’</w:t>
      </w:r>
      <w:r w:rsidR="000B4A60" w:rsidRPr="00E92F1A">
        <w:t>article 37 de la Convention. Pour conclure que le maintien de la requête par le requérant ne se justifie plus objectivement au sens de l</w:t>
      </w:r>
      <w:r w:rsidR="00225D7D">
        <w:t>’</w:t>
      </w:r>
      <w:r w:rsidR="000B4A60">
        <w:t>article 37 § 1 </w:t>
      </w:r>
      <w:r w:rsidR="000B4A60" w:rsidRPr="00E92F1A">
        <w:t>c), la Cour doit examiner, d</w:t>
      </w:r>
      <w:r w:rsidR="00225D7D">
        <w:t>’</w:t>
      </w:r>
      <w:r w:rsidR="000B4A60" w:rsidRPr="00E92F1A">
        <w:t>une part, la question de savoir si les faits dont le</w:t>
      </w:r>
      <w:r w:rsidR="000B4A60">
        <w:t>s</w:t>
      </w:r>
      <w:r w:rsidR="000B4A60" w:rsidRPr="00E92F1A">
        <w:t xml:space="preserve"> requérant</w:t>
      </w:r>
      <w:r w:rsidR="000B4A60">
        <w:t>s</w:t>
      </w:r>
      <w:r w:rsidR="000B4A60" w:rsidRPr="00E92F1A">
        <w:t xml:space="preserve"> tire</w:t>
      </w:r>
      <w:r w:rsidR="000B4A60">
        <w:t>nt</w:t>
      </w:r>
      <w:r w:rsidR="000B4A60" w:rsidRPr="00E92F1A">
        <w:t xml:space="preserve"> directement grief persistent ou non et, d</w:t>
      </w:r>
      <w:r w:rsidR="00225D7D">
        <w:t>’</w:t>
      </w:r>
      <w:r w:rsidR="000B4A60" w:rsidRPr="00E92F1A">
        <w:t>autre part, si les conséquences qui pourraient résulter d</w:t>
      </w:r>
      <w:r w:rsidR="00225D7D">
        <w:t>’</w:t>
      </w:r>
      <w:r w:rsidR="000B4A60" w:rsidRPr="00E92F1A">
        <w:t xml:space="preserve">une éventuelle violation de la Convention à raison de ces faits ont également été effacées </w:t>
      </w:r>
      <w:r w:rsidR="000B4A60" w:rsidRPr="00E92F1A">
        <w:rPr>
          <w:i/>
        </w:rPr>
        <w:t>(Pisano c. Italie</w:t>
      </w:r>
      <w:r w:rsidR="000B4A60" w:rsidRPr="00E92F1A">
        <w:t xml:space="preserve"> [GC] (radiation), n</w:t>
      </w:r>
      <w:r w:rsidR="000B4A60" w:rsidRPr="00E92F1A">
        <w:rPr>
          <w:vertAlign w:val="superscript"/>
        </w:rPr>
        <w:t>o</w:t>
      </w:r>
      <w:r w:rsidR="000B4A60" w:rsidRPr="00E92F1A">
        <w:t> 36732/97, § 42, 24 octobre 2002).</w:t>
      </w:r>
    </w:p>
    <w:p w:rsidR="000B4A60" w:rsidRDefault="00954903" w:rsidP="00225D7D">
      <w:pPr>
        <w:pStyle w:val="ECHRPara"/>
      </w:pPr>
      <w:r>
        <w:fldChar w:fldCharType="begin"/>
      </w:r>
      <w:r>
        <w:instrText xml:space="preserve"> SEQ level0 \*arabic </w:instrText>
      </w:r>
      <w:r>
        <w:fldChar w:fldCharType="separate"/>
      </w:r>
      <w:r>
        <w:rPr>
          <w:noProof/>
        </w:rPr>
        <w:t>28</w:t>
      </w:r>
      <w:r>
        <w:rPr>
          <w:noProof/>
        </w:rPr>
        <w:fldChar w:fldCharType="end"/>
      </w:r>
      <w:r w:rsidR="000B4A60">
        <w:t>.  En l</w:t>
      </w:r>
      <w:r w:rsidR="00225D7D">
        <w:t>’</w:t>
      </w:r>
      <w:r w:rsidR="000B4A60">
        <w:t>espèce, la Cour avait conclu dans son arrêt sur le fond que les requérants n</w:t>
      </w:r>
      <w:r w:rsidR="00225D7D">
        <w:t>’</w:t>
      </w:r>
      <w:r w:rsidR="000B4A60">
        <w:t xml:space="preserve">avaient </w:t>
      </w:r>
      <w:r w:rsidR="000B4A60" w:rsidRPr="00EC3DCD">
        <w:t xml:space="preserve">pas pu obtenir </w:t>
      </w:r>
      <w:r w:rsidR="000B4A60">
        <w:t xml:space="preserve">de </w:t>
      </w:r>
      <w:r w:rsidR="000B4A60" w:rsidRPr="00EC3DCD">
        <w:t>réparation suffisante pour le préjudice qu</w:t>
      </w:r>
      <w:r w:rsidR="00225D7D">
        <w:t>’</w:t>
      </w:r>
      <w:r w:rsidR="000B4A60" w:rsidRPr="00EC3DCD">
        <w:t>ils ont subi en violation de l</w:t>
      </w:r>
      <w:r w:rsidR="00225D7D">
        <w:t>’</w:t>
      </w:r>
      <w:r w:rsidR="000B4A60" w:rsidRPr="00EC3DCD">
        <w:t>article</w:t>
      </w:r>
      <w:r w:rsidR="000B4A60">
        <w:t> </w:t>
      </w:r>
      <w:r w:rsidR="000B4A60" w:rsidRPr="00EC3DCD">
        <w:t>1 du Protocole n</w:t>
      </w:r>
      <w:r w:rsidR="000B4A60" w:rsidRPr="00727D1B">
        <w:rPr>
          <w:vertAlign w:val="superscript"/>
        </w:rPr>
        <w:t>o</w:t>
      </w:r>
      <w:r w:rsidR="000B4A60">
        <w:t> </w:t>
      </w:r>
      <w:r w:rsidR="000B4A60" w:rsidRPr="00EC3DCD">
        <w:t>1</w:t>
      </w:r>
      <w:r w:rsidR="000B4A60">
        <w:t xml:space="preserve"> du fait d</w:t>
      </w:r>
      <w:r w:rsidR="00225D7D">
        <w:t>’</w:t>
      </w:r>
      <w:r w:rsidR="000B4A60">
        <w:t>une incohérence de la jurisprudence</w:t>
      </w:r>
      <w:r w:rsidR="000B4A60" w:rsidRPr="00EC3DCD">
        <w:t>.</w:t>
      </w:r>
      <w:r w:rsidR="000B4A60">
        <w:t xml:space="preserve"> Or, depuis l</w:t>
      </w:r>
      <w:r w:rsidR="00225D7D">
        <w:t>’</w:t>
      </w:r>
      <w:r w:rsidR="000B4A60">
        <w:t>adoption de son arrêt, l</w:t>
      </w:r>
      <w:r w:rsidR="00225D7D">
        <w:t>’</w:t>
      </w:r>
      <w:r w:rsidR="000B4A60">
        <w:t>incohérence en question a été réglée et les voies de recours existantes se sont avérées efficaces dans des situations similaires (§ 15 ci-dessus). La Cour rappelle par ailleurs que les requérants ont choisi de s</w:t>
      </w:r>
      <w:r w:rsidR="00225D7D">
        <w:t>’</w:t>
      </w:r>
      <w:r w:rsidR="000B4A60">
        <w:t>engager dans cette voie et que la procédure est pendante devant le tribunal régional de Varsovie.</w:t>
      </w:r>
    </w:p>
    <w:p w:rsidR="000B4A60" w:rsidRDefault="00954903" w:rsidP="00225D7D">
      <w:pPr>
        <w:pStyle w:val="ECHRPara"/>
      </w:pPr>
      <w:r>
        <w:fldChar w:fldCharType="begin"/>
      </w:r>
      <w:r>
        <w:instrText xml:space="preserve"> SEQ level0 \*arabic </w:instrText>
      </w:r>
      <w:r>
        <w:fldChar w:fldCharType="separate"/>
      </w:r>
      <w:r>
        <w:rPr>
          <w:noProof/>
        </w:rPr>
        <w:t>29</w:t>
      </w:r>
      <w:r>
        <w:rPr>
          <w:noProof/>
        </w:rPr>
        <w:fldChar w:fldCharType="end"/>
      </w:r>
      <w:r w:rsidR="000B4A60">
        <w:t>.  La Cour estime alors qu</w:t>
      </w:r>
      <w:r w:rsidR="00225D7D">
        <w:t>’</w:t>
      </w:r>
      <w:r w:rsidR="000B4A60">
        <w:t>en vertu du principe de subsidiarité il ne se justifie pas pour elle de poursuivre l</w:t>
      </w:r>
      <w:r w:rsidR="00225D7D">
        <w:t>’</w:t>
      </w:r>
      <w:r w:rsidR="000B4A60">
        <w:t>examen d</w:t>
      </w:r>
      <w:r w:rsidR="00225D7D">
        <w:t>’</w:t>
      </w:r>
      <w:r w:rsidR="000B4A60">
        <w:t>une requête ayant exactement le même objet que celle menée devant les juridictions internes (article 37 § 1 c).</w:t>
      </w:r>
    </w:p>
    <w:p w:rsidR="000B4A60" w:rsidRPr="000B4A60" w:rsidRDefault="000B4A60" w:rsidP="00225D7D">
      <w:pPr>
        <w:pStyle w:val="ECHRPara"/>
      </w:pPr>
      <w:r w:rsidRPr="00686AE0">
        <w:fldChar w:fldCharType="begin"/>
      </w:r>
      <w:r w:rsidRPr="000B4A60">
        <w:instrText xml:space="preserve"> SEQ level0 \*arabic </w:instrText>
      </w:r>
      <w:r w:rsidRPr="00686AE0">
        <w:fldChar w:fldCharType="separate"/>
      </w:r>
      <w:r w:rsidR="00954903">
        <w:rPr>
          <w:noProof/>
        </w:rPr>
        <w:t>30</w:t>
      </w:r>
      <w:r w:rsidRPr="00686AE0">
        <w:fldChar w:fldCharType="end"/>
      </w:r>
      <w:r w:rsidRPr="000B4A60">
        <w:t>.  La Cour observe également que les juridictions nationales sont sans conteste les mieux placées pour évaluer le préjudice subi et disposent de moyens juridiques adéquats pour mettre un terme à une violation de la Convention et d</w:t>
      </w:r>
      <w:r w:rsidR="00225D7D">
        <w:t>’</w:t>
      </w:r>
      <w:r w:rsidRPr="000B4A60">
        <w:t>en effacer les conséquences.</w:t>
      </w:r>
    </w:p>
    <w:p w:rsidR="000B4A60" w:rsidRDefault="00954903" w:rsidP="00225D7D">
      <w:pPr>
        <w:pStyle w:val="ECHRPara"/>
      </w:pPr>
      <w:r>
        <w:fldChar w:fldCharType="begin"/>
      </w:r>
      <w:r>
        <w:instrText xml:space="preserve"> SEQ level0 \*arabic </w:instrText>
      </w:r>
      <w:r>
        <w:fldChar w:fldCharType="separate"/>
      </w:r>
      <w:r>
        <w:rPr>
          <w:noProof/>
        </w:rPr>
        <w:t>31</w:t>
      </w:r>
      <w:r>
        <w:rPr>
          <w:noProof/>
        </w:rPr>
        <w:fldChar w:fldCharType="end"/>
      </w:r>
      <w:r w:rsidR="000B4A60">
        <w:t>.  Par ailleurs, la Cour est convaincue que le respect des droits de l</w:t>
      </w:r>
      <w:r w:rsidR="00225D7D">
        <w:t>’</w:t>
      </w:r>
      <w:r w:rsidR="000B4A60">
        <w:t>homme garantis par la Convention et ses Protocoles n</w:t>
      </w:r>
      <w:r w:rsidR="00225D7D">
        <w:t>’</w:t>
      </w:r>
      <w:r w:rsidR="000B4A60">
        <w:t>exige pas qu</w:t>
      </w:r>
      <w:r w:rsidR="00225D7D">
        <w:t>’</w:t>
      </w:r>
      <w:r w:rsidR="000B4A60">
        <w:t>elle poursuive l</w:t>
      </w:r>
      <w:r w:rsidR="00225D7D">
        <w:t>’</w:t>
      </w:r>
      <w:r w:rsidR="000B4A60">
        <w:t>examen des requêtes (article 37 § 1 in fine).</w:t>
      </w:r>
    </w:p>
    <w:p w:rsidR="000B4A60" w:rsidRPr="00E92F1A" w:rsidRDefault="000B4A60" w:rsidP="00225D7D">
      <w:pPr>
        <w:pStyle w:val="ECHRPara"/>
      </w:pPr>
      <w:r>
        <w:t xml:space="preserve">En conséquence, il y a lieu de rayer du rôle </w:t>
      </w:r>
      <w:r w:rsidRPr="00E92F1A">
        <w:t>la partie de l</w:t>
      </w:r>
      <w:r w:rsidR="00225D7D">
        <w:t>’</w:t>
      </w:r>
      <w:r w:rsidRPr="00E92F1A">
        <w:t>affaire relative à la question de l</w:t>
      </w:r>
      <w:r w:rsidR="00225D7D">
        <w:t>’</w:t>
      </w:r>
      <w:r w:rsidRPr="00E92F1A">
        <w:t>article 41 de la Convention.</w:t>
      </w:r>
    </w:p>
    <w:p w:rsidR="000B4A60" w:rsidRPr="002A20C2" w:rsidRDefault="000B4A60" w:rsidP="000B4A60">
      <w:pPr>
        <w:pStyle w:val="ECHRTitle1"/>
      </w:pPr>
      <w:r>
        <w:t>PAR CES MOTIFS, LA COUR</w:t>
      </w:r>
      <w:r w:rsidRPr="002A20C2">
        <w:t>, À L</w:t>
      </w:r>
      <w:r w:rsidR="00225D7D">
        <w:t>’</w:t>
      </w:r>
      <w:r w:rsidRPr="002A20C2">
        <w:t>UNANIMITÉ,</w:t>
      </w:r>
    </w:p>
    <w:p w:rsidR="000B4A60" w:rsidRPr="002A20C2" w:rsidRDefault="000B4A60" w:rsidP="009A62A6">
      <w:pPr>
        <w:pStyle w:val="JuList"/>
        <w:keepNext/>
        <w:keepLines/>
        <w:ind w:left="0" w:firstLine="284"/>
      </w:pPr>
      <w:r w:rsidRPr="002A20C2">
        <w:rPr>
          <w:i/>
        </w:rPr>
        <w:t>Décide</w:t>
      </w:r>
      <w:r w:rsidRPr="002A20C2">
        <w:t xml:space="preserve"> de rayer </w:t>
      </w:r>
      <w:r>
        <w:t xml:space="preserve">du rôle </w:t>
      </w:r>
      <w:r w:rsidRPr="00E92F1A">
        <w:t>la partie de l</w:t>
      </w:r>
      <w:r w:rsidR="00225D7D">
        <w:t>’</w:t>
      </w:r>
      <w:r w:rsidRPr="00E92F1A">
        <w:t>affaire relative à la question de l</w:t>
      </w:r>
      <w:r w:rsidR="00225D7D">
        <w:t>’</w:t>
      </w:r>
      <w:r w:rsidRPr="00E92F1A">
        <w:t>article 41 de la Convention</w:t>
      </w:r>
      <w:r>
        <w:t>.</w:t>
      </w:r>
    </w:p>
    <w:p w:rsidR="000B4A60" w:rsidRDefault="000B4A60" w:rsidP="000B4A60">
      <w:pPr>
        <w:pStyle w:val="JuParaLast"/>
      </w:pPr>
      <w:r w:rsidRPr="002A20C2">
        <w:t xml:space="preserve">Fait en français, puis communiqué par écrit le </w:t>
      </w:r>
      <w:r>
        <w:t>15 octobre 2013</w:t>
      </w:r>
      <w:r w:rsidRPr="002A20C2">
        <w:t>, en application de l</w:t>
      </w:r>
      <w:r w:rsidR="00225D7D">
        <w:t>’</w:t>
      </w:r>
      <w:r w:rsidRPr="002A20C2">
        <w:t>article 77 §§ 2 et 3 du règlement.</w:t>
      </w:r>
    </w:p>
    <w:p w:rsidR="000B4A60" w:rsidRDefault="000B4A60" w:rsidP="000B4A60">
      <w:pPr>
        <w:pStyle w:val="JuSigned"/>
        <w:keepNext/>
        <w:keepLines/>
      </w:pPr>
      <w:r w:rsidRPr="002A20C2">
        <w:tab/>
      </w:r>
      <w:r>
        <w:t>Françoise Elens-Passos</w:t>
      </w:r>
      <w:r w:rsidRPr="002A20C2">
        <w:tab/>
      </w:r>
      <w:r>
        <w:t>Ineta Ziemele</w:t>
      </w:r>
      <w:r w:rsidRPr="002A20C2">
        <w:br/>
      </w:r>
      <w:r w:rsidRPr="002A20C2">
        <w:tab/>
      </w:r>
      <w:r>
        <w:t>Greffiè</w:t>
      </w:r>
      <w:r w:rsidRPr="002A20C2">
        <w:t>r</w:t>
      </w:r>
      <w:r>
        <w:t>e</w:t>
      </w:r>
      <w:r w:rsidRPr="002A20C2">
        <w:tab/>
        <w:t>Président</w:t>
      </w:r>
      <w:r>
        <w:t>e</w:t>
      </w:r>
    </w:p>
    <w:sectPr w:rsidR="000B4A60" w:rsidSect="000B4A60">
      <w:headerReference w:type="even" r:id="rId12"/>
      <w:headerReference w:type="default" r:id="rId13"/>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F62" w:rsidRDefault="00146F62">
      <w:r>
        <w:separator/>
      </w:r>
    </w:p>
  </w:endnote>
  <w:endnote w:type="continuationSeparator" w:id="0">
    <w:p w:rsidR="00146F62" w:rsidRDefault="0014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A60" w:rsidRPr="00150BFA" w:rsidRDefault="000B4A60" w:rsidP="00150BFA">
    <w:pPr>
      <w:jc w:val="center"/>
      <w:rPr>
        <w:sz w:val="4"/>
        <w:szCs w:val="4"/>
      </w:rPr>
    </w:pPr>
    <w:r>
      <w:rPr>
        <w:noProof/>
        <w:sz w:val="4"/>
        <w:szCs w:val="4"/>
        <w:lang w:eastAsia="ja-JP"/>
      </w:rPr>
      <w:drawing>
        <wp:inline distT="0" distB="0" distL="0" distR="0" wp14:anchorId="3C7507B6" wp14:editId="70B59F44">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0B4A60" w:rsidRDefault="000B4A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F62" w:rsidRDefault="00146F62">
      <w:r>
        <w:separator/>
      </w:r>
    </w:p>
  </w:footnote>
  <w:footnote w:type="continuationSeparator" w:id="0">
    <w:p w:rsidR="00146F62" w:rsidRDefault="00146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803" w:rsidRPr="000B4A60" w:rsidRDefault="00355803" w:rsidP="000B4A6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A60" w:rsidRPr="00C00F0F" w:rsidRDefault="000B4A60">
    <w:pPr>
      <w:pStyle w:val="Header"/>
      <w:jc w:val="center"/>
      <w:rPr>
        <w:sz w:val="4"/>
        <w:szCs w:val="4"/>
      </w:rPr>
    </w:pPr>
    <w:r>
      <w:rPr>
        <w:noProof/>
        <w:sz w:val="4"/>
        <w:szCs w:val="4"/>
        <w:lang w:eastAsia="ja-JP"/>
      </w:rPr>
      <w:drawing>
        <wp:inline distT="0" distB="0" distL="0" distR="0" wp14:anchorId="72E24B4A" wp14:editId="6E6F3C9B">
          <wp:extent cx="2943225" cy="1219200"/>
          <wp:effectExtent l="0" t="0" r="9525" b="0"/>
          <wp:docPr id="3"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BE38C7" w:rsidRDefault="00BE38C7" w:rsidP="00BE38C7">
    <w:pPr>
      <w:pStyle w:val="ECHR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A60" w:rsidRPr="003E2171" w:rsidRDefault="000B4A60" w:rsidP="00BE38C7">
    <w:pPr>
      <w:pStyle w:val="ECHRHeader"/>
    </w:pPr>
    <w:r>
      <w:rPr>
        <w:rStyle w:val="PageNumber"/>
        <w:lang w:val="en-GB"/>
      </w:rPr>
      <w:fldChar w:fldCharType="begin"/>
    </w:r>
    <w:r w:rsidRPr="00146F62">
      <w:rPr>
        <w:rStyle w:val="PageNumber"/>
      </w:rPr>
      <w:instrText xml:space="preserve"> PAGE </w:instrText>
    </w:r>
    <w:r>
      <w:rPr>
        <w:rStyle w:val="PageNumber"/>
        <w:lang w:val="en-GB"/>
      </w:rPr>
      <w:fldChar w:fldCharType="separate"/>
    </w:r>
    <w:r w:rsidR="00954903">
      <w:rPr>
        <w:rStyle w:val="PageNumber"/>
        <w:noProof/>
      </w:rPr>
      <w:t>3</w:t>
    </w:r>
    <w:r>
      <w:rPr>
        <w:rStyle w:val="PageNumber"/>
        <w:lang w:val="en-GB"/>
      </w:rPr>
      <w:fldChar w:fldCharType="end"/>
    </w:r>
    <w:r w:rsidRPr="008C1908">
      <w:tab/>
    </w:r>
    <w:r>
      <w:t>ARRÊT</w:t>
    </w:r>
    <w:r w:rsidRPr="008C1908">
      <w:t xml:space="preserve"> </w:t>
    </w:r>
    <w:r>
      <w:t>PLECHANOW c. POLOGNE</w:t>
    </w:r>
    <w:r w:rsidRPr="008C1908">
      <w:t xml:space="preserve"> </w:t>
    </w:r>
    <w:r w:rsidRPr="003E2171">
      <w:t>(SATISFACTION ÉQUITABLE</w:t>
    </w:r>
    <w:r w:rsidR="008273BF">
      <w:t xml:space="preserve"> - RADIATION</w:t>
    </w:r>
    <w:r w:rsidRPr="003E2171">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A60" w:rsidRDefault="000B4A60" w:rsidP="00BE38C7">
    <w:pPr>
      <w:pStyle w:val="ECHRHeader"/>
    </w:pPr>
    <w:r>
      <w:tab/>
      <w:t>ARRÊT</w:t>
    </w:r>
    <w:r w:rsidRPr="00146F62">
      <w:t xml:space="preserve"> PLECHANOW c. POLOGNE </w:t>
    </w:r>
    <w:r>
      <w:t>(SATISFACTION ÉQUITABLE</w:t>
    </w:r>
    <w:r w:rsidR="008273BF">
      <w:t xml:space="preserve"> - RADIATION</w:t>
    </w:r>
    <w:r>
      <w:t>)</w:t>
    </w:r>
    <w:r>
      <w:tab/>
    </w:r>
    <w:r>
      <w:rPr>
        <w:rStyle w:val="PageNumber"/>
      </w:rPr>
      <w:fldChar w:fldCharType="begin"/>
    </w:r>
    <w:r>
      <w:rPr>
        <w:rStyle w:val="PageNumber"/>
      </w:rPr>
      <w:instrText xml:space="preserve"> PAGE </w:instrText>
    </w:r>
    <w:r>
      <w:rPr>
        <w:rStyle w:val="PageNumber"/>
      </w:rPr>
      <w:fldChar w:fldCharType="separate"/>
    </w:r>
    <w:r w:rsidR="00954903">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406D0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21E275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38B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FB56AA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9CD4228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E1888E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44CA62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BD6FE5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7DA5D7C"/>
    <w:lvl w:ilvl="0">
      <w:start w:val="1"/>
      <w:numFmt w:val="decimal"/>
      <w:pStyle w:val="ListNumber"/>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C6578C8"/>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27500B3"/>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1">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2196CD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5"/>
  </w:num>
  <w:num w:numId="12">
    <w:abstractNumId w:val="31"/>
  </w:num>
  <w:num w:numId="13">
    <w:abstractNumId w:val="43"/>
  </w:num>
  <w:num w:numId="14">
    <w:abstractNumId w:val="40"/>
  </w:num>
  <w:num w:numId="15">
    <w:abstractNumId w:val="20"/>
  </w:num>
  <w:num w:numId="16">
    <w:abstractNumId w:val="24"/>
  </w:num>
  <w:num w:numId="17">
    <w:abstractNumId w:val="39"/>
  </w:num>
  <w:num w:numId="18">
    <w:abstractNumId w:val="34"/>
  </w:num>
  <w:num w:numId="19">
    <w:abstractNumId w:val="35"/>
  </w:num>
  <w:num w:numId="20">
    <w:abstractNumId w:val="23"/>
  </w:num>
  <w:num w:numId="21">
    <w:abstractNumId w:val="14"/>
  </w:num>
  <w:num w:numId="22">
    <w:abstractNumId w:val="18"/>
  </w:num>
  <w:num w:numId="23">
    <w:abstractNumId w:val="37"/>
  </w:num>
  <w:num w:numId="24">
    <w:abstractNumId w:val="33"/>
  </w:num>
  <w:num w:numId="25">
    <w:abstractNumId w:val="36"/>
  </w:num>
  <w:num w:numId="26">
    <w:abstractNumId w:val="42"/>
  </w:num>
  <w:num w:numId="27">
    <w:abstractNumId w:val="21"/>
  </w:num>
  <w:num w:numId="28">
    <w:abstractNumId w:val="10"/>
  </w:num>
  <w:num w:numId="29">
    <w:abstractNumId w:val="29"/>
  </w:num>
  <w:num w:numId="30">
    <w:abstractNumId w:val="15"/>
  </w:num>
  <w:num w:numId="31">
    <w:abstractNumId w:val="3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1"/>
  </w:num>
  <w:num w:numId="35">
    <w:abstractNumId w:val="30"/>
  </w:num>
  <w:num w:numId="36">
    <w:abstractNumId w:val="26"/>
  </w:num>
  <w:num w:numId="37">
    <w:abstractNumId w:val="27"/>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12"/>
  </w:num>
  <w:num w:numId="42">
    <w:abstractNumId w:val="22"/>
  </w:num>
  <w:num w:numId="43">
    <w:abstractNumId w:val="32"/>
  </w:num>
  <w:num w:numId="44">
    <w:abstractNumId w:val="28"/>
  </w:num>
  <w:num w:numId="45">
    <w:abstractNumId w:val="25"/>
  </w:num>
  <w:num w:numId="46">
    <w:abstractNumId w:val="41"/>
  </w:num>
  <w:num w:numId="47">
    <w:abstractNumId w:val="19"/>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grammar="clea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46F62"/>
    <w:rsid w:val="000034D9"/>
    <w:rsid w:val="00033F96"/>
    <w:rsid w:val="000413BA"/>
    <w:rsid w:val="00060EA3"/>
    <w:rsid w:val="00076BE4"/>
    <w:rsid w:val="00085BED"/>
    <w:rsid w:val="0009636E"/>
    <w:rsid w:val="000A5BE2"/>
    <w:rsid w:val="000B4A60"/>
    <w:rsid w:val="000B6F2B"/>
    <w:rsid w:val="000C1B5E"/>
    <w:rsid w:val="000C21B5"/>
    <w:rsid w:val="000D7003"/>
    <w:rsid w:val="00116CFB"/>
    <w:rsid w:val="00146F62"/>
    <w:rsid w:val="00152979"/>
    <w:rsid w:val="00153722"/>
    <w:rsid w:val="001757FE"/>
    <w:rsid w:val="001874AA"/>
    <w:rsid w:val="001A2F42"/>
    <w:rsid w:val="001A6829"/>
    <w:rsid w:val="001A72B9"/>
    <w:rsid w:val="001C2341"/>
    <w:rsid w:val="001D2626"/>
    <w:rsid w:val="001E4A48"/>
    <w:rsid w:val="001F72A9"/>
    <w:rsid w:val="002153D0"/>
    <w:rsid w:val="002223FC"/>
    <w:rsid w:val="00223EE4"/>
    <w:rsid w:val="002252E2"/>
    <w:rsid w:val="00225D7D"/>
    <w:rsid w:val="00232872"/>
    <w:rsid w:val="0024011E"/>
    <w:rsid w:val="00255E01"/>
    <w:rsid w:val="00277FBF"/>
    <w:rsid w:val="00280B12"/>
    <w:rsid w:val="002B2325"/>
    <w:rsid w:val="002B530D"/>
    <w:rsid w:val="002D7D40"/>
    <w:rsid w:val="002E022D"/>
    <w:rsid w:val="00300BB3"/>
    <w:rsid w:val="00303EFB"/>
    <w:rsid w:val="00305C4F"/>
    <w:rsid w:val="00323337"/>
    <w:rsid w:val="00341DDC"/>
    <w:rsid w:val="00345BD8"/>
    <w:rsid w:val="00347356"/>
    <w:rsid w:val="00355803"/>
    <w:rsid w:val="0035701F"/>
    <w:rsid w:val="0037585C"/>
    <w:rsid w:val="00377524"/>
    <w:rsid w:val="00383501"/>
    <w:rsid w:val="003A5B21"/>
    <w:rsid w:val="003E2171"/>
    <w:rsid w:val="004210C7"/>
    <w:rsid w:val="00442360"/>
    <w:rsid w:val="00454668"/>
    <w:rsid w:val="00464B00"/>
    <w:rsid w:val="00471C2F"/>
    <w:rsid w:val="004D1AA7"/>
    <w:rsid w:val="004F0677"/>
    <w:rsid w:val="004F11C6"/>
    <w:rsid w:val="00500E22"/>
    <w:rsid w:val="0050431C"/>
    <w:rsid w:val="00510990"/>
    <w:rsid w:val="0051763F"/>
    <w:rsid w:val="00524AD7"/>
    <w:rsid w:val="005259A7"/>
    <w:rsid w:val="00562503"/>
    <w:rsid w:val="005752ED"/>
    <w:rsid w:val="005B22DB"/>
    <w:rsid w:val="005D325E"/>
    <w:rsid w:val="005F054E"/>
    <w:rsid w:val="005F14CA"/>
    <w:rsid w:val="006305FA"/>
    <w:rsid w:val="006400C7"/>
    <w:rsid w:val="006433BA"/>
    <w:rsid w:val="00662377"/>
    <w:rsid w:val="006B0C58"/>
    <w:rsid w:val="006B6CBE"/>
    <w:rsid w:val="00714F5C"/>
    <w:rsid w:val="00721979"/>
    <w:rsid w:val="00744E0A"/>
    <w:rsid w:val="00765F42"/>
    <w:rsid w:val="007A08E4"/>
    <w:rsid w:val="007A6D34"/>
    <w:rsid w:val="007B1240"/>
    <w:rsid w:val="007B7740"/>
    <w:rsid w:val="007C7FCE"/>
    <w:rsid w:val="007D0A3B"/>
    <w:rsid w:val="00815591"/>
    <w:rsid w:val="00826436"/>
    <w:rsid w:val="008273BF"/>
    <w:rsid w:val="00832478"/>
    <w:rsid w:val="00855248"/>
    <w:rsid w:val="008623B1"/>
    <w:rsid w:val="00872291"/>
    <w:rsid w:val="00872A75"/>
    <w:rsid w:val="00881887"/>
    <w:rsid w:val="00881C94"/>
    <w:rsid w:val="00887CF4"/>
    <w:rsid w:val="00896B34"/>
    <w:rsid w:val="008A7801"/>
    <w:rsid w:val="008C1908"/>
    <w:rsid w:val="008C3BF6"/>
    <w:rsid w:val="008C413B"/>
    <w:rsid w:val="008F7588"/>
    <w:rsid w:val="0090718C"/>
    <w:rsid w:val="00915891"/>
    <w:rsid w:val="009231BC"/>
    <w:rsid w:val="009301A9"/>
    <w:rsid w:val="0093152C"/>
    <w:rsid w:val="00936DCC"/>
    <w:rsid w:val="00941460"/>
    <w:rsid w:val="00954903"/>
    <w:rsid w:val="00956740"/>
    <w:rsid w:val="00963B04"/>
    <w:rsid w:val="009646F5"/>
    <w:rsid w:val="00971AD1"/>
    <w:rsid w:val="00971DA4"/>
    <w:rsid w:val="009A62A6"/>
    <w:rsid w:val="009A7E51"/>
    <w:rsid w:val="009C4B38"/>
    <w:rsid w:val="009E066B"/>
    <w:rsid w:val="009F4337"/>
    <w:rsid w:val="00A04D95"/>
    <w:rsid w:val="00A0698F"/>
    <w:rsid w:val="00A126E4"/>
    <w:rsid w:val="00A302F4"/>
    <w:rsid w:val="00A503D5"/>
    <w:rsid w:val="00A60D70"/>
    <w:rsid w:val="00A71354"/>
    <w:rsid w:val="00A77347"/>
    <w:rsid w:val="00A86D24"/>
    <w:rsid w:val="00A9107C"/>
    <w:rsid w:val="00A92BA8"/>
    <w:rsid w:val="00AA3189"/>
    <w:rsid w:val="00AA5814"/>
    <w:rsid w:val="00AA744D"/>
    <w:rsid w:val="00AB2C2E"/>
    <w:rsid w:val="00AE43AF"/>
    <w:rsid w:val="00B27CC6"/>
    <w:rsid w:val="00B322E6"/>
    <w:rsid w:val="00B4486D"/>
    <w:rsid w:val="00B5230B"/>
    <w:rsid w:val="00B725D1"/>
    <w:rsid w:val="00B73847"/>
    <w:rsid w:val="00BD3220"/>
    <w:rsid w:val="00BD6580"/>
    <w:rsid w:val="00BE19BD"/>
    <w:rsid w:val="00BE38C7"/>
    <w:rsid w:val="00C02CA6"/>
    <w:rsid w:val="00C0478E"/>
    <w:rsid w:val="00C10D67"/>
    <w:rsid w:val="00C42FBF"/>
    <w:rsid w:val="00C53888"/>
    <w:rsid w:val="00C57311"/>
    <w:rsid w:val="00C94EBE"/>
    <w:rsid w:val="00CB0AFC"/>
    <w:rsid w:val="00CC3CBB"/>
    <w:rsid w:val="00CE49D5"/>
    <w:rsid w:val="00CF4300"/>
    <w:rsid w:val="00D06DD7"/>
    <w:rsid w:val="00D248D9"/>
    <w:rsid w:val="00D31E3F"/>
    <w:rsid w:val="00D647FC"/>
    <w:rsid w:val="00DC65E1"/>
    <w:rsid w:val="00DE359D"/>
    <w:rsid w:val="00E063C3"/>
    <w:rsid w:val="00E2664F"/>
    <w:rsid w:val="00E3000C"/>
    <w:rsid w:val="00E64FC7"/>
    <w:rsid w:val="00E660EE"/>
    <w:rsid w:val="00E75B56"/>
    <w:rsid w:val="00E85802"/>
    <w:rsid w:val="00E947CC"/>
    <w:rsid w:val="00EA1391"/>
    <w:rsid w:val="00ED2324"/>
    <w:rsid w:val="00EE24E9"/>
    <w:rsid w:val="00EF3E97"/>
    <w:rsid w:val="00F2573D"/>
    <w:rsid w:val="00F278F5"/>
    <w:rsid w:val="00F40238"/>
    <w:rsid w:val="00F52574"/>
    <w:rsid w:val="00F81604"/>
    <w:rsid w:val="00F85767"/>
    <w:rsid w:val="00F973DB"/>
    <w:rsid w:val="00FB2AA4"/>
    <w:rsid w:val="00FC1ABF"/>
    <w:rsid w:val="00FD6004"/>
    <w:rsid w:val="00FF38D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225D7D"/>
    <w:pPr>
      <w:jc w:val="both"/>
    </w:pPr>
    <w:rPr>
      <w:rFonts w:eastAsiaTheme="minorEastAsia"/>
      <w:sz w:val="24"/>
      <w:lang w:val="en-US" w:eastAsia="en-US"/>
    </w:rPr>
  </w:style>
  <w:style w:type="paragraph" w:styleId="Heading1">
    <w:name w:val="heading 1"/>
    <w:basedOn w:val="Normal"/>
    <w:next w:val="Normal"/>
    <w:link w:val="Heading1Char"/>
    <w:uiPriority w:val="99"/>
    <w:semiHidden/>
    <w:rsid w:val="00D248D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48D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48D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48D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248D9"/>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D248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248D9"/>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D248D9"/>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D248D9"/>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Title1">
    <w:name w:val="ECHR_Title_1"/>
    <w:aliases w:val="Ju_H_Head"/>
    <w:basedOn w:val="Normal"/>
    <w:next w:val="ECHRPara"/>
    <w:qFormat/>
    <w:rsid w:val="00D248D9"/>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ar"/>
    <w:qFormat/>
    <w:rsid w:val="00D248D9"/>
    <w:pPr>
      <w:ind w:firstLine="284"/>
    </w:pPr>
    <w:rPr>
      <w:lang w:val="fr-FR" w:eastAsia="fr-FR"/>
    </w:rPr>
  </w:style>
  <w:style w:type="character" w:customStyle="1" w:styleId="JuParaCar">
    <w:name w:val="Ju_Para Car"/>
    <w:link w:val="ECHRPara"/>
    <w:rsid w:val="00CB0AFC"/>
    <w:rPr>
      <w:rFonts w:eastAsiaTheme="minorEastAsia"/>
      <w:sz w:val="24"/>
    </w:rPr>
  </w:style>
  <w:style w:type="paragraph" w:styleId="Footer">
    <w:name w:val="footer"/>
    <w:basedOn w:val="Normal"/>
    <w:link w:val="FooterChar"/>
    <w:uiPriority w:val="99"/>
    <w:semiHidden/>
    <w:rsid w:val="00D248D9"/>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D248D9"/>
    <w:pPr>
      <w:tabs>
        <w:tab w:val="left" w:pos="567"/>
        <w:tab w:val="left" w:pos="1134"/>
      </w:tabs>
      <w:jc w:val="left"/>
    </w:pPr>
    <w:rPr>
      <w:lang w:val="fr-FR" w:eastAsia="fr-FR"/>
    </w:rPr>
  </w:style>
  <w:style w:type="character" w:customStyle="1" w:styleId="JuJudgesChar">
    <w:name w:val="Ju_Judges Char"/>
    <w:link w:val="ECHRDecisionBody"/>
    <w:uiPriority w:val="11"/>
    <w:rsid w:val="000413BA"/>
    <w:rPr>
      <w:rFonts w:eastAsiaTheme="minorEastAsia"/>
      <w:sz w:val="24"/>
    </w:rPr>
  </w:style>
  <w:style w:type="paragraph" w:customStyle="1" w:styleId="ECHRHeading2">
    <w:name w:val="ECHR_Heading_2"/>
    <w:aliases w:val="Ju_H_A"/>
    <w:basedOn w:val="Heading2"/>
    <w:next w:val="ECHRPara"/>
    <w:uiPriority w:val="20"/>
    <w:qFormat/>
    <w:rsid w:val="00D248D9"/>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D248D9"/>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D248D9"/>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D248D9"/>
    <w:pPr>
      <w:keepNext/>
      <w:keepLines/>
      <w:spacing w:before="240"/>
      <w:ind w:firstLine="284"/>
    </w:pPr>
    <w:rPr>
      <w:lang w:val="fr-FR" w:eastAsia="fr-FR"/>
    </w:rPr>
  </w:style>
  <w:style w:type="paragraph" w:customStyle="1" w:styleId="JuCase">
    <w:name w:val="Ju_Case"/>
    <w:basedOn w:val="Normal"/>
    <w:next w:val="ECHRPara"/>
    <w:uiPriority w:val="10"/>
    <w:rsid w:val="00D248D9"/>
    <w:pPr>
      <w:ind w:firstLine="284"/>
    </w:pPr>
    <w:rPr>
      <w:b/>
    </w:rPr>
  </w:style>
  <w:style w:type="paragraph" w:customStyle="1" w:styleId="JuList">
    <w:name w:val="Ju_List"/>
    <w:basedOn w:val="Normal"/>
    <w:qFormat/>
    <w:rsid w:val="00D248D9"/>
    <w:pPr>
      <w:ind w:left="340" w:hanging="340"/>
    </w:pPr>
    <w:rPr>
      <w:lang w:val="fr-FR" w:eastAsia="fr-FR"/>
    </w:rPr>
  </w:style>
  <w:style w:type="paragraph" w:styleId="FootnoteText">
    <w:name w:val="footnote text"/>
    <w:basedOn w:val="Normal"/>
    <w:link w:val="FootnoteTextChar"/>
    <w:uiPriority w:val="99"/>
    <w:semiHidden/>
    <w:rsid w:val="00D248D9"/>
    <w:rPr>
      <w:sz w:val="20"/>
      <w:szCs w:val="20"/>
    </w:rPr>
  </w:style>
  <w:style w:type="character" w:styleId="FootnoteReference">
    <w:name w:val="footnote reference"/>
    <w:basedOn w:val="DefaultParagraphFont"/>
    <w:uiPriority w:val="99"/>
    <w:semiHidden/>
    <w:rsid w:val="00D248D9"/>
    <w:rPr>
      <w:vertAlign w:val="superscript"/>
    </w:rPr>
  </w:style>
  <w:style w:type="paragraph" w:styleId="Header">
    <w:name w:val="header"/>
    <w:basedOn w:val="Normal"/>
    <w:link w:val="HeaderChar"/>
    <w:uiPriority w:val="48"/>
    <w:rsid w:val="00D248D9"/>
    <w:pPr>
      <w:tabs>
        <w:tab w:val="center" w:pos="4536"/>
        <w:tab w:val="right" w:pos="9072"/>
      </w:tabs>
    </w:pPr>
    <w:rPr>
      <w:rFonts w:eastAsiaTheme="minorHAnsi"/>
    </w:rPr>
  </w:style>
  <w:style w:type="character" w:styleId="PageNumber">
    <w:name w:val="page number"/>
    <w:uiPriority w:val="99"/>
    <w:semiHidden/>
    <w:rsid w:val="00562503"/>
    <w:rPr>
      <w:rFonts w:ascii="Times New Roman" w:hAnsi="Times New Roman" w:cs="Times New Roman"/>
      <w:sz w:val="18"/>
    </w:rPr>
  </w:style>
  <w:style w:type="paragraph" w:customStyle="1" w:styleId="JuLista">
    <w:name w:val="Ju_List_a"/>
    <w:basedOn w:val="JuList"/>
    <w:uiPriority w:val="28"/>
    <w:qFormat/>
    <w:rsid w:val="00D248D9"/>
    <w:pPr>
      <w:ind w:left="346" w:firstLine="0"/>
    </w:pPr>
  </w:style>
  <w:style w:type="paragraph" w:customStyle="1" w:styleId="JuListi">
    <w:name w:val="Ju_List_i"/>
    <w:basedOn w:val="Normal"/>
    <w:next w:val="JuLista"/>
    <w:uiPriority w:val="28"/>
    <w:qFormat/>
    <w:rsid w:val="00D248D9"/>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D248D9"/>
    <w:rPr>
      <w:rFonts w:ascii="Tahoma" w:hAnsi="Tahoma" w:cs="Tahoma"/>
      <w:sz w:val="16"/>
      <w:szCs w:val="16"/>
    </w:rPr>
  </w:style>
  <w:style w:type="character" w:styleId="EndnoteReference">
    <w:name w:val="endnote reference"/>
    <w:uiPriority w:val="99"/>
    <w:semiHidden/>
    <w:rsid w:val="00562503"/>
    <w:rPr>
      <w:rFonts w:ascii="Times New Roman" w:hAnsi="Times New Roman" w:cs="Times New Roman"/>
      <w:vertAlign w:val="superscript"/>
    </w:rPr>
  </w:style>
  <w:style w:type="paragraph" w:styleId="EndnoteText">
    <w:name w:val="endnote text"/>
    <w:basedOn w:val="Normal"/>
    <w:uiPriority w:val="99"/>
    <w:semiHidden/>
    <w:rsid w:val="00562503"/>
    <w:rPr>
      <w:sz w:val="20"/>
    </w:rPr>
  </w:style>
  <w:style w:type="character" w:styleId="FollowedHyperlink">
    <w:name w:val="FollowedHyperlink"/>
    <w:uiPriority w:val="99"/>
    <w:semiHidden/>
    <w:rsid w:val="00562503"/>
    <w:rPr>
      <w:rFonts w:ascii="Times New Roman" w:hAnsi="Times New Roman" w:cs="Times New Roman"/>
      <w:color w:val="800080"/>
      <w:u w:val="single"/>
    </w:rPr>
  </w:style>
  <w:style w:type="character" w:styleId="Hyperlink">
    <w:name w:val="Hyperlink"/>
    <w:basedOn w:val="DefaultParagraphFont"/>
    <w:uiPriority w:val="99"/>
    <w:semiHidden/>
    <w:rsid w:val="00D248D9"/>
    <w:rPr>
      <w:color w:val="0072BC" w:themeColor="hyperlink"/>
      <w:u w:val="single"/>
    </w:rPr>
  </w:style>
  <w:style w:type="paragraph" w:styleId="CommentSubject">
    <w:name w:val="annotation subject"/>
    <w:basedOn w:val="CommentText"/>
    <w:next w:val="CommentText"/>
    <w:uiPriority w:val="99"/>
    <w:semiHidden/>
    <w:rsid w:val="00B27CC6"/>
    <w:rPr>
      <w:b/>
      <w:bCs/>
    </w:rPr>
  </w:style>
  <w:style w:type="character" w:styleId="Strong">
    <w:name w:val="Strong"/>
    <w:uiPriority w:val="99"/>
    <w:semiHidden/>
    <w:qFormat/>
    <w:rsid w:val="00D248D9"/>
    <w:rPr>
      <w:b/>
      <w:bCs/>
    </w:rPr>
  </w:style>
  <w:style w:type="paragraph" w:styleId="DocumentMap">
    <w:name w:val="Document Map"/>
    <w:basedOn w:val="Normal"/>
    <w:uiPriority w:val="99"/>
    <w:semiHidden/>
    <w:rsid w:val="005F14CA"/>
    <w:pPr>
      <w:shd w:val="clear" w:color="auto" w:fill="000080"/>
    </w:pPr>
    <w:rPr>
      <w:rFonts w:ascii="Tahoma" w:hAnsi="Tahoma" w:cs="Tahoma"/>
      <w:sz w:val="20"/>
    </w:rPr>
  </w:style>
  <w:style w:type="paragraph" w:styleId="ListBullet">
    <w:name w:val="List Bullet"/>
    <w:basedOn w:val="Normal"/>
    <w:uiPriority w:val="99"/>
    <w:semiHidden/>
    <w:rsid w:val="005F14CA"/>
    <w:pPr>
      <w:numPr>
        <w:numId w:val="1"/>
      </w:numPr>
    </w:pPr>
  </w:style>
  <w:style w:type="character" w:customStyle="1" w:styleId="Heading1Char">
    <w:name w:val="Heading 1 Char"/>
    <w:basedOn w:val="DefaultParagraphFont"/>
    <w:link w:val="Heading1"/>
    <w:uiPriority w:val="99"/>
    <w:semiHidden/>
    <w:rsid w:val="00D248D9"/>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D248D9"/>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D248D9"/>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D248D9"/>
    <w:rPr>
      <w:rFonts w:asciiTheme="majorHAnsi" w:eastAsiaTheme="majorEastAsia" w:hAnsiTheme="majorHAnsi" w:cstheme="majorBidi"/>
      <w:b/>
      <w:bCs/>
      <w:i/>
      <w:iCs/>
      <w:color w:val="777777"/>
      <w:sz w:val="24"/>
      <w:lang w:val="en-US" w:eastAsia="en-US"/>
    </w:rPr>
  </w:style>
  <w:style w:type="character" w:customStyle="1" w:styleId="Heading5Char">
    <w:name w:val="Heading 5 Char"/>
    <w:basedOn w:val="DefaultParagraphFont"/>
    <w:link w:val="Heading5"/>
    <w:uiPriority w:val="99"/>
    <w:semiHidden/>
    <w:rsid w:val="00D248D9"/>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semiHidden/>
    <w:rsid w:val="00D248D9"/>
    <w:rPr>
      <w:rFonts w:asciiTheme="majorHAnsi" w:eastAsiaTheme="majorEastAsia" w:hAnsiTheme="majorHAnsi" w:cstheme="majorBidi"/>
      <w:b/>
      <w:bCs/>
      <w:i/>
      <w:iCs/>
      <w:color w:val="7F7F7F" w:themeColor="text1" w:themeTint="80"/>
      <w:sz w:val="24"/>
      <w:lang w:val="en-US" w:eastAsia="en-US" w:bidi="en-US"/>
    </w:rPr>
  </w:style>
  <w:style w:type="character" w:customStyle="1" w:styleId="Heading7Char">
    <w:name w:val="Heading 7 Char"/>
    <w:basedOn w:val="DefaultParagraphFont"/>
    <w:link w:val="Heading7"/>
    <w:uiPriority w:val="99"/>
    <w:semiHidden/>
    <w:rsid w:val="00D248D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248D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248D9"/>
    <w:rPr>
      <w:rFonts w:asciiTheme="majorHAnsi" w:eastAsiaTheme="majorEastAsia" w:hAnsiTheme="majorHAnsi" w:cstheme="majorBidi"/>
      <w:i/>
      <w:iCs/>
      <w:spacing w:val="5"/>
      <w:sz w:val="20"/>
      <w:szCs w:val="20"/>
      <w:lang w:bidi="en-US"/>
    </w:rPr>
  </w:style>
  <w:style w:type="character" w:customStyle="1" w:styleId="BalloonTextChar">
    <w:name w:val="Balloon Text Char"/>
    <w:basedOn w:val="DefaultParagraphFont"/>
    <w:link w:val="BalloonText"/>
    <w:uiPriority w:val="99"/>
    <w:semiHidden/>
    <w:rsid w:val="00D248D9"/>
    <w:rPr>
      <w:rFonts w:ascii="Tahoma" w:eastAsiaTheme="minorEastAsia" w:hAnsi="Tahoma" w:cs="Tahoma"/>
      <w:sz w:val="16"/>
      <w:szCs w:val="16"/>
      <w:lang w:val="en-US" w:eastAsia="en-US"/>
    </w:rPr>
  </w:style>
  <w:style w:type="character" w:styleId="BookTitle">
    <w:name w:val="Book Title"/>
    <w:uiPriority w:val="99"/>
    <w:semiHidden/>
    <w:qFormat/>
    <w:rsid w:val="00D248D9"/>
    <w:rPr>
      <w:i/>
      <w:iCs/>
      <w:smallCaps/>
      <w:spacing w:val="5"/>
    </w:rPr>
  </w:style>
  <w:style w:type="paragraph" w:styleId="NoSpacing">
    <w:name w:val="No Spacing"/>
    <w:basedOn w:val="Normal"/>
    <w:link w:val="NoSpacingChar"/>
    <w:uiPriority w:val="99"/>
    <w:semiHidden/>
    <w:qFormat/>
    <w:rsid w:val="00D248D9"/>
    <w:rPr>
      <w:sz w:val="22"/>
      <w:lang w:val="fr-FR" w:eastAsia="fr-FR"/>
    </w:rPr>
  </w:style>
  <w:style w:type="character" w:customStyle="1" w:styleId="NoSpacingChar">
    <w:name w:val="No Spacing Char"/>
    <w:basedOn w:val="DefaultParagraphFont"/>
    <w:link w:val="NoSpacing"/>
    <w:semiHidden/>
    <w:rsid w:val="00D248D9"/>
    <w:rPr>
      <w:rFonts w:eastAsiaTheme="minorEastAsia"/>
    </w:rPr>
  </w:style>
  <w:style w:type="paragraph" w:styleId="Title">
    <w:name w:val="Title"/>
    <w:basedOn w:val="Normal"/>
    <w:next w:val="Normal"/>
    <w:link w:val="TitleChar"/>
    <w:uiPriority w:val="99"/>
    <w:semiHidden/>
    <w:qFormat/>
    <w:rsid w:val="00D248D9"/>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D248D9"/>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D248D9"/>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D248D9"/>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Footer"/>
    <w:uiPriority w:val="57"/>
    <w:semiHidden/>
    <w:rsid w:val="00D248D9"/>
    <w:pPr>
      <w:jc w:val="left"/>
    </w:pPr>
    <w:rPr>
      <w:sz w:val="8"/>
    </w:rPr>
  </w:style>
  <w:style w:type="paragraph" w:customStyle="1" w:styleId="ECHRFooterLine">
    <w:name w:val="ECHR_Footer_Line"/>
    <w:aliases w:val="Footer_Line"/>
    <w:basedOn w:val="Normal"/>
    <w:next w:val="ECHRFooter"/>
    <w:uiPriority w:val="57"/>
    <w:semiHidden/>
    <w:rsid w:val="00D248D9"/>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48"/>
    <w:rsid w:val="00D248D9"/>
    <w:rPr>
      <w:sz w:val="24"/>
      <w:lang w:val="en-US" w:eastAsia="en-US"/>
    </w:rPr>
  </w:style>
  <w:style w:type="paragraph" w:customStyle="1" w:styleId="ECHRHeader">
    <w:name w:val="ECHR_Header"/>
    <w:aliases w:val="Ju_Header"/>
    <w:basedOn w:val="Header"/>
    <w:uiPriority w:val="4"/>
    <w:qFormat/>
    <w:rsid w:val="00D248D9"/>
    <w:pPr>
      <w:tabs>
        <w:tab w:val="clear" w:pos="4536"/>
        <w:tab w:val="clear" w:pos="9072"/>
        <w:tab w:val="center" w:pos="3686"/>
        <w:tab w:val="right" w:pos="7371"/>
      </w:tabs>
      <w:jc w:val="left"/>
    </w:pPr>
    <w:rPr>
      <w:sz w:val="18"/>
      <w:lang w:val="fr-FR" w:eastAsia="fr-FR"/>
    </w:rPr>
  </w:style>
  <w:style w:type="character" w:styleId="SubtleEmphasis">
    <w:name w:val="Subtle Emphasis"/>
    <w:uiPriority w:val="99"/>
    <w:semiHidden/>
    <w:qFormat/>
    <w:rsid w:val="00D248D9"/>
    <w:rPr>
      <w:i/>
      <w:iCs/>
    </w:rPr>
  </w:style>
  <w:style w:type="character" w:styleId="Emphasis">
    <w:name w:val="Emphasis"/>
    <w:uiPriority w:val="99"/>
    <w:semiHidden/>
    <w:qFormat/>
    <w:rsid w:val="00D248D9"/>
    <w:rPr>
      <w:b/>
      <w:bCs/>
      <w:i/>
      <w:iCs/>
      <w:spacing w:val="10"/>
      <w:bdr w:val="none" w:sz="0" w:space="0" w:color="auto"/>
      <w:shd w:val="clear" w:color="auto" w:fill="auto"/>
    </w:rPr>
  </w:style>
  <w:style w:type="character" w:customStyle="1" w:styleId="FooterChar">
    <w:name w:val="Footer Char"/>
    <w:basedOn w:val="DefaultParagraphFont"/>
    <w:link w:val="Footer"/>
    <w:uiPriority w:val="57"/>
    <w:semiHidden/>
    <w:rsid w:val="00D248D9"/>
    <w:rPr>
      <w:sz w:val="24"/>
      <w:lang w:val="en-US" w:eastAsia="en-US"/>
    </w:rPr>
  </w:style>
  <w:style w:type="character" w:customStyle="1" w:styleId="FootnoteTextChar">
    <w:name w:val="Footnote Text Char"/>
    <w:basedOn w:val="DefaultParagraphFont"/>
    <w:link w:val="FootnoteText"/>
    <w:uiPriority w:val="99"/>
    <w:semiHidden/>
    <w:rsid w:val="00D248D9"/>
    <w:rPr>
      <w:rFonts w:eastAsiaTheme="minorEastAsia"/>
      <w:sz w:val="20"/>
      <w:szCs w:val="20"/>
      <w:lang w:val="en-US" w:eastAsia="en-US"/>
    </w:rPr>
  </w:style>
  <w:style w:type="character" w:styleId="IntenseEmphasis">
    <w:name w:val="Intense Emphasis"/>
    <w:uiPriority w:val="99"/>
    <w:semiHidden/>
    <w:qFormat/>
    <w:rsid w:val="00D248D9"/>
    <w:rPr>
      <w:b/>
      <w:bCs/>
    </w:rPr>
  </w:style>
  <w:style w:type="paragraph" w:styleId="IntenseQuote">
    <w:name w:val="Intense Quote"/>
    <w:basedOn w:val="Normal"/>
    <w:next w:val="Normal"/>
    <w:link w:val="IntenseQuoteChar"/>
    <w:uiPriority w:val="99"/>
    <w:semiHidden/>
    <w:qFormat/>
    <w:rsid w:val="00D248D9"/>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D248D9"/>
    <w:rPr>
      <w:rFonts w:eastAsiaTheme="minorEastAsia"/>
      <w:b/>
      <w:bCs/>
      <w:i/>
      <w:iCs/>
      <w:lang w:bidi="en-US"/>
    </w:rPr>
  </w:style>
  <w:style w:type="character" w:styleId="IntenseReference">
    <w:name w:val="Intense Reference"/>
    <w:uiPriority w:val="99"/>
    <w:semiHidden/>
    <w:qFormat/>
    <w:rsid w:val="00D248D9"/>
    <w:rPr>
      <w:smallCaps/>
      <w:spacing w:val="5"/>
      <w:u w:val="single"/>
    </w:rPr>
  </w:style>
  <w:style w:type="paragraph" w:customStyle="1" w:styleId="JuAppQuestion">
    <w:name w:val="Ju_App_Question"/>
    <w:basedOn w:val="Normal"/>
    <w:uiPriority w:val="5"/>
    <w:semiHidden/>
    <w:rsid w:val="00D248D9"/>
    <w:pPr>
      <w:numPr>
        <w:numId w:val="11"/>
      </w:numPr>
      <w:jc w:val="left"/>
    </w:pPr>
    <w:rPr>
      <w:b/>
    </w:rPr>
  </w:style>
  <w:style w:type="paragraph" w:customStyle="1" w:styleId="OpiPara">
    <w:name w:val="Opi_Para"/>
    <w:basedOn w:val="ECHRPara"/>
    <w:uiPriority w:val="46"/>
    <w:qFormat/>
    <w:rsid w:val="00D248D9"/>
  </w:style>
  <w:style w:type="paragraph" w:customStyle="1" w:styleId="JuParaSub">
    <w:name w:val="Ju_Para_Sub"/>
    <w:basedOn w:val="ECHRPara"/>
    <w:uiPriority w:val="13"/>
    <w:qFormat/>
    <w:rsid w:val="00D248D9"/>
    <w:pPr>
      <w:ind w:left="284"/>
    </w:pPr>
  </w:style>
  <w:style w:type="paragraph" w:customStyle="1" w:styleId="OpiParaSub">
    <w:name w:val="Opi_Para_Sub"/>
    <w:basedOn w:val="JuParaSub"/>
    <w:uiPriority w:val="47"/>
    <w:qFormat/>
    <w:rsid w:val="00D248D9"/>
  </w:style>
  <w:style w:type="paragraph" w:customStyle="1" w:styleId="OpiQuot">
    <w:name w:val="Opi_Quot"/>
    <w:basedOn w:val="ECHRParaQuote"/>
    <w:uiPriority w:val="48"/>
    <w:qFormat/>
    <w:rsid w:val="00D248D9"/>
  </w:style>
  <w:style w:type="paragraph" w:customStyle="1" w:styleId="OpiQuotSub">
    <w:name w:val="Opi_Quot_Sub"/>
    <w:basedOn w:val="JuQuotSub"/>
    <w:uiPriority w:val="49"/>
    <w:qFormat/>
    <w:rsid w:val="00D248D9"/>
  </w:style>
  <w:style w:type="paragraph" w:styleId="ListParagraph">
    <w:name w:val="List Paragraph"/>
    <w:basedOn w:val="Normal"/>
    <w:uiPriority w:val="99"/>
    <w:semiHidden/>
    <w:qFormat/>
    <w:rsid w:val="00D248D9"/>
    <w:pPr>
      <w:ind w:left="720"/>
      <w:contextualSpacing/>
    </w:pPr>
    <w:rPr>
      <w:lang w:val="fr-FR" w:eastAsia="fr-FR"/>
    </w:rPr>
  </w:style>
  <w:style w:type="paragraph" w:styleId="Quote">
    <w:name w:val="Quote"/>
    <w:basedOn w:val="Normal"/>
    <w:next w:val="Normal"/>
    <w:link w:val="QuoteChar"/>
    <w:uiPriority w:val="99"/>
    <w:semiHidden/>
    <w:qFormat/>
    <w:rsid w:val="00D248D9"/>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D248D9"/>
    <w:rPr>
      <w:rFonts w:eastAsiaTheme="minorEastAsia"/>
      <w:i/>
      <w:iCs/>
      <w:lang w:bidi="en-US"/>
    </w:rPr>
  </w:style>
  <w:style w:type="character" w:styleId="SubtleReference">
    <w:name w:val="Subtle Reference"/>
    <w:uiPriority w:val="99"/>
    <w:semiHidden/>
    <w:qFormat/>
    <w:rsid w:val="00D248D9"/>
    <w:rPr>
      <w:smallCaps/>
    </w:rPr>
  </w:style>
  <w:style w:type="table" w:styleId="TableGrid">
    <w:name w:val="Table Grid"/>
    <w:basedOn w:val="TableNormal"/>
    <w:uiPriority w:val="99"/>
    <w:semiHidden/>
    <w:rsid w:val="00D248D9"/>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D248D9"/>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D248D9"/>
    <w:pPr>
      <w:spacing w:after="60"/>
      <w:ind w:left="680" w:right="340" w:hanging="340"/>
    </w:pPr>
  </w:style>
  <w:style w:type="paragraph" w:styleId="TOC3">
    <w:name w:val="toc 3"/>
    <w:basedOn w:val="Normal"/>
    <w:next w:val="Normal"/>
    <w:autoRedefine/>
    <w:uiPriority w:val="99"/>
    <w:semiHidden/>
    <w:rsid w:val="00D248D9"/>
    <w:pPr>
      <w:spacing w:after="60"/>
      <w:ind w:left="1020" w:right="340" w:hanging="340"/>
    </w:pPr>
  </w:style>
  <w:style w:type="paragraph" w:styleId="TOC4">
    <w:name w:val="toc 4"/>
    <w:basedOn w:val="Normal"/>
    <w:next w:val="Normal"/>
    <w:autoRedefine/>
    <w:uiPriority w:val="99"/>
    <w:semiHidden/>
    <w:rsid w:val="00D248D9"/>
    <w:pPr>
      <w:tabs>
        <w:tab w:val="right" w:leader="dot" w:pos="9017"/>
      </w:tabs>
      <w:spacing w:after="60"/>
      <w:ind w:left="1361" w:right="340" w:hanging="340"/>
    </w:pPr>
  </w:style>
  <w:style w:type="paragraph" w:styleId="TOC5">
    <w:name w:val="toc 5"/>
    <w:basedOn w:val="Normal"/>
    <w:next w:val="Normal"/>
    <w:autoRedefine/>
    <w:uiPriority w:val="99"/>
    <w:semiHidden/>
    <w:rsid w:val="00D248D9"/>
    <w:pPr>
      <w:spacing w:after="60"/>
      <w:ind w:left="1701" w:right="340" w:hanging="340"/>
    </w:pPr>
  </w:style>
  <w:style w:type="paragraph" w:styleId="TOCHeading">
    <w:name w:val="TOC Heading"/>
    <w:basedOn w:val="Heading1"/>
    <w:next w:val="Normal"/>
    <w:uiPriority w:val="99"/>
    <w:semiHidden/>
    <w:qFormat/>
    <w:rsid w:val="00D248D9"/>
    <w:pPr>
      <w:outlineLvl w:val="9"/>
    </w:pPr>
    <w:rPr>
      <w:color w:val="474747" w:themeColor="accent3" w:themeShade="BF"/>
      <w:lang w:val="fr-FR" w:eastAsia="fr-FR"/>
    </w:rPr>
  </w:style>
  <w:style w:type="paragraph" w:customStyle="1" w:styleId="ECHRTitleCentre3">
    <w:name w:val="ECHR_Title_Centre_3"/>
    <w:aliases w:val="Ju_H_Article"/>
    <w:basedOn w:val="Normal"/>
    <w:next w:val="ECHRParaQuote"/>
    <w:uiPriority w:val="27"/>
    <w:qFormat/>
    <w:rsid w:val="00D248D9"/>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D248D9"/>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D248D9"/>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D248D9"/>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D248D9"/>
    <w:pPr>
      <w:ind w:left="567"/>
    </w:pPr>
  </w:style>
  <w:style w:type="paragraph" w:customStyle="1" w:styleId="JuInitialled">
    <w:name w:val="Ju_Initialled"/>
    <w:basedOn w:val="Normal"/>
    <w:uiPriority w:val="31"/>
    <w:qFormat/>
    <w:rsid w:val="00D248D9"/>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D248D9"/>
    <w:pPr>
      <w:tabs>
        <w:tab w:val="clear" w:pos="357"/>
      </w:tabs>
      <w:outlineLvl w:val="1"/>
    </w:pPr>
    <w:rPr>
      <w:b/>
    </w:rPr>
  </w:style>
  <w:style w:type="character" w:customStyle="1" w:styleId="JUNAMES">
    <w:name w:val="JU_NAMES"/>
    <w:uiPriority w:val="17"/>
    <w:qFormat/>
    <w:rsid w:val="00D248D9"/>
    <w:rPr>
      <w:caps w:val="0"/>
      <w:smallCaps/>
    </w:rPr>
  </w:style>
  <w:style w:type="character" w:customStyle="1" w:styleId="JuITMark">
    <w:name w:val="Ju_ITMark"/>
    <w:basedOn w:val="DefaultParagraphFont"/>
    <w:uiPriority w:val="38"/>
    <w:qFormat/>
    <w:rsid w:val="00D248D9"/>
    <w:rPr>
      <w:vanish/>
      <w:color w:val="339966"/>
      <w:sz w:val="14"/>
    </w:rPr>
  </w:style>
  <w:style w:type="paragraph" w:customStyle="1" w:styleId="OpiTranslation">
    <w:name w:val="Opi_Translation"/>
    <w:basedOn w:val="Normal"/>
    <w:next w:val="OpiPara"/>
    <w:uiPriority w:val="40"/>
    <w:qFormat/>
    <w:rsid w:val="00D248D9"/>
    <w:pPr>
      <w:jc w:val="center"/>
      <w:outlineLvl w:val="0"/>
    </w:pPr>
    <w:rPr>
      <w:i/>
      <w:lang w:val="fr-FR" w:eastAsia="fr-FR"/>
    </w:rPr>
  </w:style>
  <w:style w:type="paragraph" w:customStyle="1" w:styleId="DecHTitle">
    <w:name w:val="Dec_H_Title"/>
    <w:basedOn w:val="ECHRTitleCentre1"/>
    <w:uiPriority w:val="7"/>
    <w:semiHidden/>
    <w:rsid w:val="00D248D9"/>
  </w:style>
  <w:style w:type="paragraph" w:styleId="TOAHeading">
    <w:name w:val="toa heading"/>
    <w:basedOn w:val="Normal"/>
    <w:next w:val="Normal"/>
    <w:uiPriority w:val="99"/>
    <w:semiHidden/>
    <w:rsid w:val="00D248D9"/>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D248D9"/>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qFormat/>
    <w:rsid w:val="00D248D9"/>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3">
    <w:name w:val="ECHR_Heading_3"/>
    <w:aliases w:val="Ju_H_1."/>
    <w:basedOn w:val="Heading3"/>
    <w:next w:val="ECHRPara"/>
    <w:uiPriority w:val="21"/>
    <w:qFormat/>
    <w:rsid w:val="00D248D9"/>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D248D9"/>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D248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D248D9"/>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D248D9"/>
    <w:pPr>
      <w:keepNext/>
      <w:keepLines/>
      <w:spacing w:before="240" w:after="120"/>
      <w:ind w:left="1236"/>
    </w:pPr>
    <w:rPr>
      <w:sz w:val="20"/>
    </w:rPr>
  </w:style>
  <w:style w:type="paragraph" w:customStyle="1" w:styleId="DecList">
    <w:name w:val="Dec_List"/>
    <w:basedOn w:val="Normal"/>
    <w:uiPriority w:val="9"/>
    <w:semiHidden/>
    <w:rsid w:val="00D248D9"/>
    <w:pPr>
      <w:spacing w:before="240"/>
      <w:ind w:left="284"/>
    </w:pPr>
  </w:style>
  <w:style w:type="paragraph" w:customStyle="1" w:styleId="OpiH1">
    <w:name w:val="Opi_H_1"/>
    <w:basedOn w:val="ECHRHeading2"/>
    <w:uiPriority w:val="42"/>
    <w:qFormat/>
    <w:rsid w:val="00D248D9"/>
    <w:pPr>
      <w:ind w:left="635" w:hanging="357"/>
      <w:outlineLvl w:val="2"/>
    </w:pPr>
  </w:style>
  <w:style w:type="paragraph" w:customStyle="1" w:styleId="OpiHa0">
    <w:name w:val="Opi_H_a"/>
    <w:basedOn w:val="ECHRHeading3"/>
    <w:uiPriority w:val="43"/>
    <w:qFormat/>
    <w:rsid w:val="00D248D9"/>
    <w:pPr>
      <w:ind w:left="833" w:hanging="357"/>
      <w:outlineLvl w:val="3"/>
    </w:pPr>
    <w:rPr>
      <w:b/>
      <w:i w:val="0"/>
      <w:sz w:val="20"/>
    </w:rPr>
  </w:style>
  <w:style w:type="paragraph" w:customStyle="1" w:styleId="OpiHi">
    <w:name w:val="Opi_H_i"/>
    <w:basedOn w:val="ECHRHeading4"/>
    <w:uiPriority w:val="44"/>
    <w:qFormat/>
    <w:rsid w:val="00D248D9"/>
    <w:pPr>
      <w:ind w:left="1037" w:hanging="357"/>
      <w:outlineLvl w:val="4"/>
    </w:pPr>
    <w:rPr>
      <w:b w:val="0"/>
      <w:i/>
    </w:rPr>
  </w:style>
  <w:style w:type="numbering" w:styleId="111111">
    <w:name w:val="Outline List 2"/>
    <w:basedOn w:val="NoList"/>
    <w:uiPriority w:val="99"/>
    <w:semiHidden/>
    <w:rsid w:val="00471C2F"/>
    <w:pPr>
      <w:numPr>
        <w:numId w:val="12"/>
      </w:numPr>
    </w:pPr>
  </w:style>
  <w:style w:type="numbering" w:styleId="1ai">
    <w:name w:val="Outline List 1"/>
    <w:basedOn w:val="NoList"/>
    <w:uiPriority w:val="99"/>
    <w:semiHidden/>
    <w:rsid w:val="00471C2F"/>
    <w:pPr>
      <w:numPr>
        <w:numId w:val="13"/>
      </w:numPr>
    </w:pPr>
  </w:style>
  <w:style w:type="numbering" w:styleId="ArticleSection">
    <w:name w:val="Outline List 3"/>
    <w:basedOn w:val="NoList"/>
    <w:uiPriority w:val="99"/>
    <w:semiHidden/>
    <w:rsid w:val="00471C2F"/>
    <w:pPr>
      <w:numPr>
        <w:numId w:val="14"/>
      </w:numPr>
    </w:pPr>
  </w:style>
  <w:style w:type="paragraph" w:styleId="Bibliography">
    <w:name w:val="Bibliography"/>
    <w:basedOn w:val="Normal"/>
    <w:next w:val="Normal"/>
    <w:uiPriority w:val="99"/>
    <w:semiHidden/>
    <w:unhideWhenUsed/>
    <w:rsid w:val="00471C2F"/>
  </w:style>
  <w:style w:type="paragraph" w:styleId="BlockText">
    <w:name w:val="Block Text"/>
    <w:basedOn w:val="Normal"/>
    <w:uiPriority w:val="99"/>
    <w:semiHidden/>
    <w:rsid w:val="00471C2F"/>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471C2F"/>
    <w:pPr>
      <w:spacing w:after="120"/>
    </w:pPr>
  </w:style>
  <w:style w:type="character" w:customStyle="1" w:styleId="BodyTextChar">
    <w:name w:val="Body Text Char"/>
    <w:basedOn w:val="DefaultParagraphFont"/>
    <w:link w:val="BodyText"/>
    <w:rsid w:val="00471C2F"/>
    <w:rPr>
      <w:rFonts w:eastAsiaTheme="minorEastAsia"/>
      <w:sz w:val="24"/>
      <w:lang w:val="en-US" w:eastAsia="en-US"/>
    </w:rPr>
  </w:style>
  <w:style w:type="paragraph" w:styleId="BodyText2">
    <w:name w:val="Body Text 2"/>
    <w:basedOn w:val="Normal"/>
    <w:link w:val="BodyText2Char"/>
    <w:uiPriority w:val="99"/>
    <w:semiHidden/>
    <w:rsid w:val="00471C2F"/>
    <w:pPr>
      <w:spacing w:after="120" w:line="480" w:lineRule="auto"/>
    </w:pPr>
  </w:style>
  <w:style w:type="character" w:customStyle="1" w:styleId="BodyText2Char">
    <w:name w:val="Body Text 2 Char"/>
    <w:basedOn w:val="DefaultParagraphFont"/>
    <w:link w:val="BodyText2"/>
    <w:rsid w:val="00471C2F"/>
    <w:rPr>
      <w:rFonts w:eastAsiaTheme="minorEastAsia"/>
      <w:sz w:val="24"/>
      <w:lang w:val="en-US" w:eastAsia="en-US"/>
    </w:rPr>
  </w:style>
  <w:style w:type="paragraph" w:styleId="BodyText3">
    <w:name w:val="Body Text 3"/>
    <w:basedOn w:val="Normal"/>
    <w:link w:val="BodyText3Char"/>
    <w:uiPriority w:val="99"/>
    <w:semiHidden/>
    <w:rsid w:val="00471C2F"/>
    <w:pPr>
      <w:spacing w:after="120"/>
    </w:pPr>
    <w:rPr>
      <w:sz w:val="16"/>
      <w:szCs w:val="16"/>
    </w:rPr>
  </w:style>
  <w:style w:type="character" w:customStyle="1" w:styleId="BodyText3Char">
    <w:name w:val="Body Text 3 Char"/>
    <w:basedOn w:val="DefaultParagraphFont"/>
    <w:link w:val="BodyText3"/>
    <w:rsid w:val="00471C2F"/>
    <w:rPr>
      <w:rFonts w:eastAsiaTheme="minorEastAsia"/>
      <w:sz w:val="16"/>
      <w:szCs w:val="16"/>
      <w:lang w:val="en-US" w:eastAsia="en-US"/>
    </w:rPr>
  </w:style>
  <w:style w:type="paragraph" w:styleId="BodyTextFirstIndent">
    <w:name w:val="Body Text First Indent"/>
    <w:basedOn w:val="BodyText"/>
    <w:link w:val="BodyTextFirstIndentChar"/>
    <w:uiPriority w:val="99"/>
    <w:semiHidden/>
    <w:rsid w:val="00471C2F"/>
    <w:pPr>
      <w:spacing w:after="0"/>
      <w:ind w:firstLine="360"/>
    </w:pPr>
  </w:style>
  <w:style w:type="character" w:customStyle="1" w:styleId="BodyTextFirstIndentChar">
    <w:name w:val="Body Text First Indent Char"/>
    <w:basedOn w:val="BodyTextChar"/>
    <w:link w:val="BodyTextFirstIndent"/>
    <w:rsid w:val="00471C2F"/>
    <w:rPr>
      <w:rFonts w:eastAsiaTheme="minorEastAsia"/>
      <w:sz w:val="24"/>
      <w:lang w:val="en-US" w:eastAsia="en-US"/>
    </w:rPr>
  </w:style>
  <w:style w:type="paragraph" w:styleId="BodyTextIndent">
    <w:name w:val="Body Text Indent"/>
    <w:basedOn w:val="Normal"/>
    <w:link w:val="BodyTextIndentChar"/>
    <w:uiPriority w:val="99"/>
    <w:semiHidden/>
    <w:rsid w:val="00471C2F"/>
    <w:pPr>
      <w:spacing w:after="120"/>
      <w:ind w:left="283"/>
    </w:pPr>
  </w:style>
  <w:style w:type="character" w:customStyle="1" w:styleId="BodyTextIndentChar">
    <w:name w:val="Body Text Indent Char"/>
    <w:basedOn w:val="DefaultParagraphFont"/>
    <w:link w:val="BodyTextIndent"/>
    <w:rsid w:val="00471C2F"/>
    <w:rPr>
      <w:rFonts w:eastAsiaTheme="minorEastAsia"/>
      <w:sz w:val="24"/>
      <w:lang w:val="en-US" w:eastAsia="en-US"/>
    </w:rPr>
  </w:style>
  <w:style w:type="paragraph" w:styleId="BodyTextFirstIndent2">
    <w:name w:val="Body Text First Indent 2"/>
    <w:basedOn w:val="BodyTextIndent"/>
    <w:link w:val="BodyTextFirstIndent2Char"/>
    <w:uiPriority w:val="99"/>
    <w:semiHidden/>
    <w:rsid w:val="00471C2F"/>
    <w:pPr>
      <w:spacing w:after="0"/>
      <w:ind w:left="360" w:firstLine="360"/>
    </w:pPr>
  </w:style>
  <w:style w:type="character" w:customStyle="1" w:styleId="BodyTextFirstIndent2Char">
    <w:name w:val="Body Text First Indent 2 Char"/>
    <w:basedOn w:val="BodyTextIndentChar"/>
    <w:link w:val="BodyTextFirstIndent2"/>
    <w:rsid w:val="00471C2F"/>
    <w:rPr>
      <w:rFonts w:eastAsiaTheme="minorEastAsia"/>
      <w:sz w:val="24"/>
      <w:lang w:val="en-US" w:eastAsia="en-US"/>
    </w:rPr>
  </w:style>
  <w:style w:type="paragraph" w:styleId="BodyTextIndent2">
    <w:name w:val="Body Text Indent 2"/>
    <w:basedOn w:val="Normal"/>
    <w:link w:val="BodyTextIndent2Char"/>
    <w:uiPriority w:val="99"/>
    <w:semiHidden/>
    <w:rsid w:val="00471C2F"/>
    <w:pPr>
      <w:spacing w:after="120" w:line="480" w:lineRule="auto"/>
      <w:ind w:left="283"/>
    </w:pPr>
  </w:style>
  <w:style w:type="character" w:customStyle="1" w:styleId="BodyTextIndent2Char">
    <w:name w:val="Body Text Indent 2 Char"/>
    <w:basedOn w:val="DefaultParagraphFont"/>
    <w:link w:val="BodyTextIndent2"/>
    <w:rsid w:val="00471C2F"/>
    <w:rPr>
      <w:rFonts w:eastAsiaTheme="minorEastAsia"/>
      <w:sz w:val="24"/>
      <w:lang w:val="en-US" w:eastAsia="en-US"/>
    </w:rPr>
  </w:style>
  <w:style w:type="paragraph" w:styleId="BodyTextIndent3">
    <w:name w:val="Body Text Indent 3"/>
    <w:basedOn w:val="Normal"/>
    <w:link w:val="BodyTextIndent3Char"/>
    <w:uiPriority w:val="99"/>
    <w:semiHidden/>
    <w:rsid w:val="00471C2F"/>
    <w:pPr>
      <w:spacing w:after="120"/>
      <w:ind w:left="283"/>
    </w:pPr>
    <w:rPr>
      <w:sz w:val="16"/>
      <w:szCs w:val="16"/>
    </w:rPr>
  </w:style>
  <w:style w:type="character" w:customStyle="1" w:styleId="BodyTextIndent3Char">
    <w:name w:val="Body Text Indent 3 Char"/>
    <w:basedOn w:val="DefaultParagraphFont"/>
    <w:link w:val="BodyTextIndent3"/>
    <w:rsid w:val="00471C2F"/>
    <w:rPr>
      <w:rFonts w:eastAsiaTheme="minorEastAsia"/>
      <w:sz w:val="16"/>
      <w:szCs w:val="16"/>
      <w:lang w:val="en-US" w:eastAsia="en-US"/>
    </w:rPr>
  </w:style>
  <w:style w:type="paragraph" w:styleId="Caption">
    <w:name w:val="caption"/>
    <w:basedOn w:val="Normal"/>
    <w:next w:val="Normal"/>
    <w:uiPriority w:val="99"/>
    <w:semiHidden/>
    <w:qFormat/>
    <w:rsid w:val="00471C2F"/>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471C2F"/>
    <w:pPr>
      <w:ind w:left="4252"/>
    </w:pPr>
  </w:style>
  <w:style w:type="character" w:customStyle="1" w:styleId="ClosingChar">
    <w:name w:val="Closing Char"/>
    <w:basedOn w:val="DefaultParagraphFont"/>
    <w:link w:val="Closing"/>
    <w:rsid w:val="00471C2F"/>
    <w:rPr>
      <w:rFonts w:eastAsiaTheme="minorEastAsia"/>
      <w:sz w:val="24"/>
      <w:lang w:val="en-US" w:eastAsia="en-US"/>
    </w:rPr>
  </w:style>
  <w:style w:type="table" w:styleId="ColorfulGrid">
    <w:name w:val="Colorful Grid"/>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471C2F"/>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471C2F"/>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471C2F"/>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471C2F"/>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471C2F"/>
  </w:style>
  <w:style w:type="character" w:customStyle="1" w:styleId="DateChar">
    <w:name w:val="Date Char"/>
    <w:basedOn w:val="DefaultParagraphFont"/>
    <w:link w:val="Date"/>
    <w:rsid w:val="00471C2F"/>
    <w:rPr>
      <w:rFonts w:eastAsiaTheme="minorEastAsia"/>
      <w:sz w:val="24"/>
      <w:lang w:val="en-US" w:eastAsia="en-US"/>
    </w:rPr>
  </w:style>
  <w:style w:type="paragraph" w:styleId="E-mailSignature">
    <w:name w:val="E-mail Signature"/>
    <w:basedOn w:val="Normal"/>
    <w:link w:val="E-mailSignatureChar"/>
    <w:uiPriority w:val="99"/>
    <w:semiHidden/>
    <w:rsid w:val="00471C2F"/>
  </w:style>
  <w:style w:type="character" w:customStyle="1" w:styleId="E-mailSignatureChar">
    <w:name w:val="E-mail Signature Char"/>
    <w:basedOn w:val="DefaultParagraphFont"/>
    <w:link w:val="E-mailSignature"/>
    <w:rsid w:val="00471C2F"/>
    <w:rPr>
      <w:rFonts w:eastAsiaTheme="minorEastAsia"/>
      <w:sz w:val="24"/>
      <w:lang w:val="en-US" w:eastAsia="en-US"/>
    </w:rPr>
  </w:style>
  <w:style w:type="paragraph" w:styleId="EnvelopeAddress">
    <w:name w:val="envelope address"/>
    <w:basedOn w:val="Normal"/>
    <w:uiPriority w:val="99"/>
    <w:semiHidden/>
    <w:rsid w:val="00471C2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471C2F"/>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471C2F"/>
  </w:style>
  <w:style w:type="paragraph" w:styleId="HTMLAddress">
    <w:name w:val="HTML Address"/>
    <w:basedOn w:val="Normal"/>
    <w:link w:val="HTMLAddressChar"/>
    <w:uiPriority w:val="99"/>
    <w:semiHidden/>
    <w:rsid w:val="00471C2F"/>
    <w:rPr>
      <w:i/>
      <w:iCs/>
    </w:rPr>
  </w:style>
  <w:style w:type="character" w:customStyle="1" w:styleId="HTMLAddressChar">
    <w:name w:val="HTML Address Char"/>
    <w:basedOn w:val="DefaultParagraphFont"/>
    <w:link w:val="HTMLAddress"/>
    <w:rsid w:val="00471C2F"/>
    <w:rPr>
      <w:rFonts w:eastAsiaTheme="minorEastAsia"/>
      <w:i/>
      <w:iCs/>
      <w:sz w:val="24"/>
      <w:lang w:val="en-US" w:eastAsia="en-US"/>
    </w:rPr>
  </w:style>
  <w:style w:type="character" w:styleId="HTMLCite">
    <w:name w:val="HTML Cite"/>
    <w:basedOn w:val="DefaultParagraphFont"/>
    <w:uiPriority w:val="99"/>
    <w:semiHidden/>
    <w:rsid w:val="00471C2F"/>
    <w:rPr>
      <w:i/>
      <w:iCs/>
    </w:rPr>
  </w:style>
  <w:style w:type="character" w:styleId="HTMLCode">
    <w:name w:val="HTML Code"/>
    <w:basedOn w:val="DefaultParagraphFont"/>
    <w:uiPriority w:val="99"/>
    <w:semiHidden/>
    <w:rsid w:val="00471C2F"/>
    <w:rPr>
      <w:rFonts w:ascii="Consolas" w:hAnsi="Consolas" w:cs="Consolas"/>
      <w:sz w:val="20"/>
      <w:szCs w:val="20"/>
    </w:rPr>
  </w:style>
  <w:style w:type="character" w:styleId="HTMLDefinition">
    <w:name w:val="HTML Definition"/>
    <w:basedOn w:val="DefaultParagraphFont"/>
    <w:uiPriority w:val="99"/>
    <w:semiHidden/>
    <w:rsid w:val="00471C2F"/>
    <w:rPr>
      <w:i/>
      <w:iCs/>
    </w:rPr>
  </w:style>
  <w:style w:type="character" w:styleId="HTMLKeyboard">
    <w:name w:val="HTML Keyboard"/>
    <w:basedOn w:val="DefaultParagraphFont"/>
    <w:uiPriority w:val="99"/>
    <w:semiHidden/>
    <w:rsid w:val="00471C2F"/>
    <w:rPr>
      <w:rFonts w:ascii="Consolas" w:hAnsi="Consolas" w:cs="Consolas"/>
      <w:sz w:val="20"/>
      <w:szCs w:val="20"/>
    </w:rPr>
  </w:style>
  <w:style w:type="paragraph" w:styleId="HTMLPreformatted">
    <w:name w:val="HTML Preformatted"/>
    <w:basedOn w:val="Normal"/>
    <w:link w:val="HTMLPreformattedChar"/>
    <w:uiPriority w:val="99"/>
    <w:semiHidden/>
    <w:rsid w:val="00471C2F"/>
    <w:rPr>
      <w:rFonts w:ascii="Consolas" w:hAnsi="Consolas" w:cs="Consolas"/>
      <w:sz w:val="20"/>
      <w:szCs w:val="20"/>
    </w:rPr>
  </w:style>
  <w:style w:type="character" w:customStyle="1" w:styleId="HTMLPreformattedChar">
    <w:name w:val="HTML Preformatted Char"/>
    <w:basedOn w:val="DefaultParagraphFont"/>
    <w:link w:val="HTMLPreformatted"/>
    <w:rsid w:val="00471C2F"/>
    <w:rPr>
      <w:rFonts w:ascii="Consolas" w:eastAsiaTheme="minorEastAsia" w:hAnsi="Consolas" w:cs="Consolas"/>
      <w:sz w:val="20"/>
      <w:szCs w:val="20"/>
      <w:lang w:val="en-US" w:eastAsia="en-US"/>
    </w:rPr>
  </w:style>
  <w:style w:type="character" w:styleId="HTMLSample">
    <w:name w:val="HTML Sample"/>
    <w:basedOn w:val="DefaultParagraphFont"/>
    <w:uiPriority w:val="99"/>
    <w:semiHidden/>
    <w:rsid w:val="00471C2F"/>
    <w:rPr>
      <w:rFonts w:ascii="Consolas" w:hAnsi="Consolas" w:cs="Consolas"/>
      <w:sz w:val="24"/>
      <w:szCs w:val="24"/>
    </w:rPr>
  </w:style>
  <w:style w:type="character" w:styleId="HTMLTypewriter">
    <w:name w:val="HTML Typewriter"/>
    <w:basedOn w:val="DefaultParagraphFont"/>
    <w:uiPriority w:val="99"/>
    <w:semiHidden/>
    <w:rsid w:val="00471C2F"/>
    <w:rPr>
      <w:rFonts w:ascii="Consolas" w:hAnsi="Consolas" w:cs="Consolas"/>
      <w:sz w:val="20"/>
      <w:szCs w:val="20"/>
    </w:rPr>
  </w:style>
  <w:style w:type="character" w:styleId="HTMLVariable">
    <w:name w:val="HTML Variable"/>
    <w:basedOn w:val="DefaultParagraphFont"/>
    <w:uiPriority w:val="99"/>
    <w:semiHidden/>
    <w:rsid w:val="00471C2F"/>
    <w:rPr>
      <w:i/>
      <w:iCs/>
    </w:rPr>
  </w:style>
  <w:style w:type="paragraph" w:styleId="Index1">
    <w:name w:val="index 1"/>
    <w:basedOn w:val="Normal"/>
    <w:next w:val="Normal"/>
    <w:autoRedefine/>
    <w:uiPriority w:val="99"/>
    <w:semiHidden/>
    <w:rsid w:val="00471C2F"/>
    <w:pPr>
      <w:ind w:left="240" w:hanging="240"/>
    </w:pPr>
  </w:style>
  <w:style w:type="paragraph" w:styleId="Index2">
    <w:name w:val="index 2"/>
    <w:basedOn w:val="Normal"/>
    <w:next w:val="Normal"/>
    <w:autoRedefine/>
    <w:uiPriority w:val="99"/>
    <w:semiHidden/>
    <w:rsid w:val="00471C2F"/>
    <w:pPr>
      <w:ind w:left="480" w:hanging="240"/>
    </w:pPr>
  </w:style>
  <w:style w:type="paragraph" w:styleId="Index3">
    <w:name w:val="index 3"/>
    <w:basedOn w:val="Normal"/>
    <w:next w:val="Normal"/>
    <w:autoRedefine/>
    <w:uiPriority w:val="99"/>
    <w:semiHidden/>
    <w:rsid w:val="00471C2F"/>
    <w:pPr>
      <w:ind w:left="720" w:hanging="240"/>
    </w:pPr>
  </w:style>
  <w:style w:type="paragraph" w:styleId="Index4">
    <w:name w:val="index 4"/>
    <w:basedOn w:val="Normal"/>
    <w:next w:val="Normal"/>
    <w:autoRedefine/>
    <w:uiPriority w:val="99"/>
    <w:semiHidden/>
    <w:rsid w:val="00471C2F"/>
    <w:pPr>
      <w:ind w:left="960" w:hanging="240"/>
    </w:pPr>
  </w:style>
  <w:style w:type="paragraph" w:styleId="Index5">
    <w:name w:val="index 5"/>
    <w:basedOn w:val="Normal"/>
    <w:next w:val="Normal"/>
    <w:autoRedefine/>
    <w:uiPriority w:val="99"/>
    <w:semiHidden/>
    <w:rsid w:val="00471C2F"/>
    <w:pPr>
      <w:ind w:left="1200" w:hanging="240"/>
    </w:pPr>
  </w:style>
  <w:style w:type="paragraph" w:styleId="Index6">
    <w:name w:val="index 6"/>
    <w:basedOn w:val="Normal"/>
    <w:next w:val="Normal"/>
    <w:autoRedefine/>
    <w:uiPriority w:val="99"/>
    <w:semiHidden/>
    <w:rsid w:val="00471C2F"/>
    <w:pPr>
      <w:ind w:left="1440" w:hanging="240"/>
    </w:pPr>
  </w:style>
  <w:style w:type="paragraph" w:styleId="Index7">
    <w:name w:val="index 7"/>
    <w:basedOn w:val="Normal"/>
    <w:next w:val="Normal"/>
    <w:autoRedefine/>
    <w:uiPriority w:val="99"/>
    <w:semiHidden/>
    <w:rsid w:val="00471C2F"/>
    <w:pPr>
      <w:ind w:left="1680" w:hanging="240"/>
    </w:pPr>
  </w:style>
  <w:style w:type="paragraph" w:styleId="Index8">
    <w:name w:val="index 8"/>
    <w:basedOn w:val="Normal"/>
    <w:next w:val="Normal"/>
    <w:autoRedefine/>
    <w:uiPriority w:val="99"/>
    <w:semiHidden/>
    <w:rsid w:val="00471C2F"/>
    <w:pPr>
      <w:ind w:left="1920" w:hanging="240"/>
    </w:pPr>
  </w:style>
  <w:style w:type="paragraph" w:styleId="Index9">
    <w:name w:val="index 9"/>
    <w:basedOn w:val="Normal"/>
    <w:next w:val="Normal"/>
    <w:autoRedefine/>
    <w:uiPriority w:val="99"/>
    <w:semiHidden/>
    <w:rsid w:val="00471C2F"/>
    <w:pPr>
      <w:ind w:left="2160" w:hanging="240"/>
    </w:pPr>
  </w:style>
  <w:style w:type="paragraph" w:styleId="IndexHeading">
    <w:name w:val="index heading"/>
    <w:basedOn w:val="Normal"/>
    <w:next w:val="Index1"/>
    <w:uiPriority w:val="99"/>
    <w:semiHidden/>
    <w:rsid w:val="00471C2F"/>
    <w:rPr>
      <w:rFonts w:asciiTheme="majorHAnsi" w:eastAsiaTheme="majorEastAsia" w:hAnsiTheme="majorHAnsi" w:cstheme="majorBidi"/>
      <w:b/>
      <w:bCs/>
    </w:rPr>
  </w:style>
  <w:style w:type="table" w:styleId="LightGrid">
    <w:name w:val="Light Grid"/>
    <w:basedOn w:val="TableNormal"/>
    <w:uiPriority w:val="99"/>
    <w:semiHidden/>
    <w:rsid w:val="00471C2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471C2F"/>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471C2F"/>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471C2F"/>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471C2F"/>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471C2F"/>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471C2F"/>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471C2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471C2F"/>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471C2F"/>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471C2F"/>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471C2F"/>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471C2F"/>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471C2F"/>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471C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471C2F"/>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471C2F"/>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471C2F"/>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471C2F"/>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471C2F"/>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471C2F"/>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471C2F"/>
  </w:style>
  <w:style w:type="paragraph" w:styleId="List">
    <w:name w:val="List"/>
    <w:basedOn w:val="Normal"/>
    <w:uiPriority w:val="99"/>
    <w:semiHidden/>
    <w:rsid w:val="00471C2F"/>
    <w:pPr>
      <w:ind w:left="283" w:hanging="283"/>
      <w:contextualSpacing/>
    </w:pPr>
  </w:style>
  <w:style w:type="paragraph" w:styleId="List2">
    <w:name w:val="List 2"/>
    <w:basedOn w:val="Normal"/>
    <w:uiPriority w:val="99"/>
    <w:semiHidden/>
    <w:rsid w:val="00471C2F"/>
    <w:pPr>
      <w:ind w:left="566" w:hanging="283"/>
      <w:contextualSpacing/>
    </w:pPr>
  </w:style>
  <w:style w:type="paragraph" w:styleId="List3">
    <w:name w:val="List 3"/>
    <w:basedOn w:val="Normal"/>
    <w:uiPriority w:val="99"/>
    <w:semiHidden/>
    <w:rsid w:val="00471C2F"/>
    <w:pPr>
      <w:ind w:left="849" w:hanging="283"/>
      <w:contextualSpacing/>
    </w:pPr>
  </w:style>
  <w:style w:type="paragraph" w:styleId="List4">
    <w:name w:val="List 4"/>
    <w:basedOn w:val="Normal"/>
    <w:uiPriority w:val="99"/>
    <w:semiHidden/>
    <w:rsid w:val="00471C2F"/>
    <w:pPr>
      <w:ind w:left="1132" w:hanging="283"/>
      <w:contextualSpacing/>
    </w:pPr>
  </w:style>
  <w:style w:type="paragraph" w:styleId="List5">
    <w:name w:val="List 5"/>
    <w:basedOn w:val="Normal"/>
    <w:uiPriority w:val="99"/>
    <w:semiHidden/>
    <w:rsid w:val="00471C2F"/>
    <w:pPr>
      <w:ind w:left="1415" w:hanging="283"/>
      <w:contextualSpacing/>
    </w:pPr>
  </w:style>
  <w:style w:type="paragraph" w:styleId="ListBullet2">
    <w:name w:val="List Bullet 2"/>
    <w:basedOn w:val="Normal"/>
    <w:uiPriority w:val="99"/>
    <w:semiHidden/>
    <w:rsid w:val="00471C2F"/>
    <w:pPr>
      <w:numPr>
        <w:numId w:val="2"/>
      </w:numPr>
      <w:contextualSpacing/>
    </w:pPr>
  </w:style>
  <w:style w:type="paragraph" w:styleId="ListBullet3">
    <w:name w:val="List Bullet 3"/>
    <w:basedOn w:val="Normal"/>
    <w:uiPriority w:val="99"/>
    <w:semiHidden/>
    <w:rsid w:val="00471C2F"/>
    <w:pPr>
      <w:numPr>
        <w:numId w:val="3"/>
      </w:numPr>
      <w:contextualSpacing/>
    </w:pPr>
  </w:style>
  <w:style w:type="paragraph" w:styleId="ListBullet4">
    <w:name w:val="List Bullet 4"/>
    <w:basedOn w:val="Normal"/>
    <w:uiPriority w:val="99"/>
    <w:semiHidden/>
    <w:rsid w:val="00471C2F"/>
    <w:pPr>
      <w:numPr>
        <w:numId w:val="4"/>
      </w:numPr>
      <w:contextualSpacing/>
    </w:pPr>
  </w:style>
  <w:style w:type="paragraph" w:styleId="ListBullet5">
    <w:name w:val="List Bullet 5"/>
    <w:basedOn w:val="Normal"/>
    <w:uiPriority w:val="99"/>
    <w:semiHidden/>
    <w:rsid w:val="00471C2F"/>
    <w:pPr>
      <w:numPr>
        <w:numId w:val="5"/>
      </w:numPr>
      <w:contextualSpacing/>
    </w:pPr>
  </w:style>
  <w:style w:type="paragraph" w:styleId="ListContinue">
    <w:name w:val="List Continue"/>
    <w:basedOn w:val="Normal"/>
    <w:uiPriority w:val="99"/>
    <w:semiHidden/>
    <w:rsid w:val="00471C2F"/>
    <w:pPr>
      <w:spacing w:after="120"/>
      <w:ind w:left="283"/>
      <w:contextualSpacing/>
    </w:pPr>
  </w:style>
  <w:style w:type="paragraph" w:styleId="ListContinue2">
    <w:name w:val="List Continue 2"/>
    <w:basedOn w:val="Normal"/>
    <w:uiPriority w:val="99"/>
    <w:semiHidden/>
    <w:rsid w:val="00471C2F"/>
    <w:pPr>
      <w:spacing w:after="120"/>
      <w:ind w:left="566"/>
      <w:contextualSpacing/>
    </w:pPr>
  </w:style>
  <w:style w:type="paragraph" w:styleId="ListContinue3">
    <w:name w:val="List Continue 3"/>
    <w:basedOn w:val="Normal"/>
    <w:uiPriority w:val="99"/>
    <w:semiHidden/>
    <w:rsid w:val="00471C2F"/>
    <w:pPr>
      <w:spacing w:after="120"/>
      <w:ind w:left="849"/>
      <w:contextualSpacing/>
    </w:pPr>
  </w:style>
  <w:style w:type="paragraph" w:styleId="ListContinue4">
    <w:name w:val="List Continue 4"/>
    <w:basedOn w:val="Normal"/>
    <w:uiPriority w:val="99"/>
    <w:semiHidden/>
    <w:rsid w:val="00471C2F"/>
    <w:pPr>
      <w:spacing w:after="120"/>
      <w:ind w:left="1132"/>
      <w:contextualSpacing/>
    </w:pPr>
  </w:style>
  <w:style w:type="paragraph" w:styleId="ListContinue5">
    <w:name w:val="List Continue 5"/>
    <w:basedOn w:val="Normal"/>
    <w:uiPriority w:val="99"/>
    <w:semiHidden/>
    <w:rsid w:val="00471C2F"/>
    <w:pPr>
      <w:spacing w:after="120"/>
      <w:ind w:left="1415"/>
      <w:contextualSpacing/>
    </w:pPr>
  </w:style>
  <w:style w:type="paragraph" w:styleId="ListNumber">
    <w:name w:val="List Number"/>
    <w:basedOn w:val="Normal"/>
    <w:uiPriority w:val="99"/>
    <w:semiHidden/>
    <w:rsid w:val="00471C2F"/>
    <w:pPr>
      <w:numPr>
        <w:numId w:val="6"/>
      </w:numPr>
      <w:contextualSpacing/>
    </w:pPr>
  </w:style>
  <w:style w:type="paragraph" w:styleId="ListNumber2">
    <w:name w:val="List Number 2"/>
    <w:basedOn w:val="Normal"/>
    <w:uiPriority w:val="99"/>
    <w:semiHidden/>
    <w:rsid w:val="00471C2F"/>
    <w:pPr>
      <w:numPr>
        <w:numId w:val="7"/>
      </w:numPr>
      <w:contextualSpacing/>
    </w:pPr>
  </w:style>
  <w:style w:type="paragraph" w:styleId="ListNumber3">
    <w:name w:val="List Number 3"/>
    <w:basedOn w:val="Normal"/>
    <w:uiPriority w:val="99"/>
    <w:semiHidden/>
    <w:rsid w:val="00471C2F"/>
    <w:pPr>
      <w:numPr>
        <w:numId w:val="8"/>
      </w:numPr>
      <w:contextualSpacing/>
    </w:pPr>
  </w:style>
  <w:style w:type="paragraph" w:styleId="ListNumber4">
    <w:name w:val="List Number 4"/>
    <w:basedOn w:val="Normal"/>
    <w:uiPriority w:val="99"/>
    <w:semiHidden/>
    <w:rsid w:val="00471C2F"/>
    <w:pPr>
      <w:numPr>
        <w:numId w:val="9"/>
      </w:numPr>
      <w:contextualSpacing/>
    </w:pPr>
  </w:style>
  <w:style w:type="paragraph" w:styleId="ListNumber5">
    <w:name w:val="List Number 5"/>
    <w:basedOn w:val="Normal"/>
    <w:uiPriority w:val="99"/>
    <w:semiHidden/>
    <w:rsid w:val="00471C2F"/>
    <w:pPr>
      <w:numPr>
        <w:numId w:val="10"/>
      </w:numPr>
      <w:contextualSpacing/>
    </w:pPr>
  </w:style>
  <w:style w:type="paragraph" w:styleId="MacroText">
    <w:name w:val="macro"/>
    <w:link w:val="MacroTextChar"/>
    <w:uiPriority w:val="99"/>
    <w:semiHidden/>
    <w:rsid w:val="00471C2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471C2F"/>
    <w:rPr>
      <w:rFonts w:ascii="Consolas" w:eastAsiaTheme="minorEastAsia" w:hAnsi="Consolas" w:cs="Consolas"/>
      <w:sz w:val="20"/>
      <w:szCs w:val="20"/>
      <w:lang w:val="en-US" w:eastAsia="en-US"/>
    </w:rPr>
  </w:style>
  <w:style w:type="table" w:styleId="MediumGrid1">
    <w:name w:val="Medium Grid 1"/>
    <w:basedOn w:val="TableNormal"/>
    <w:uiPriority w:val="99"/>
    <w:semiHidden/>
    <w:rsid w:val="00471C2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471C2F"/>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471C2F"/>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471C2F"/>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471C2F"/>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471C2F"/>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471C2F"/>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471C2F"/>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471C2F"/>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471C2F"/>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471C2F"/>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471C2F"/>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471C2F"/>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471C2F"/>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471C2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471C2F"/>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471C2F"/>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471C2F"/>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471C2F"/>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471C2F"/>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471C2F"/>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471C2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471C2F"/>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rsid w:val="00471C2F"/>
    <w:rPr>
      <w:rFonts w:ascii="Times New Roman" w:hAnsi="Times New Roman" w:cs="Times New Roman"/>
      <w:szCs w:val="24"/>
    </w:rPr>
  </w:style>
  <w:style w:type="paragraph" w:styleId="NormalIndent">
    <w:name w:val="Normal Indent"/>
    <w:basedOn w:val="Normal"/>
    <w:uiPriority w:val="99"/>
    <w:semiHidden/>
    <w:rsid w:val="00471C2F"/>
    <w:pPr>
      <w:ind w:left="720"/>
    </w:pPr>
  </w:style>
  <w:style w:type="paragraph" w:styleId="NoteHeading">
    <w:name w:val="Note Heading"/>
    <w:basedOn w:val="Normal"/>
    <w:next w:val="Normal"/>
    <w:link w:val="NoteHeadingChar"/>
    <w:uiPriority w:val="99"/>
    <w:semiHidden/>
    <w:rsid w:val="00471C2F"/>
  </w:style>
  <w:style w:type="character" w:customStyle="1" w:styleId="NoteHeadingChar">
    <w:name w:val="Note Heading Char"/>
    <w:basedOn w:val="DefaultParagraphFont"/>
    <w:link w:val="NoteHeading"/>
    <w:rsid w:val="00471C2F"/>
    <w:rPr>
      <w:rFonts w:eastAsiaTheme="minorEastAsia"/>
      <w:sz w:val="24"/>
      <w:lang w:val="en-US" w:eastAsia="en-US"/>
    </w:rPr>
  </w:style>
  <w:style w:type="character" w:styleId="PlaceholderText">
    <w:name w:val="Placeholder Text"/>
    <w:basedOn w:val="DefaultParagraphFont"/>
    <w:uiPriority w:val="99"/>
    <w:semiHidden/>
    <w:rsid w:val="00471C2F"/>
    <w:rPr>
      <w:color w:val="808080"/>
    </w:rPr>
  </w:style>
  <w:style w:type="paragraph" w:styleId="PlainText">
    <w:name w:val="Plain Text"/>
    <w:basedOn w:val="Normal"/>
    <w:link w:val="PlainTextChar"/>
    <w:uiPriority w:val="99"/>
    <w:semiHidden/>
    <w:rsid w:val="00471C2F"/>
    <w:rPr>
      <w:rFonts w:ascii="Consolas" w:hAnsi="Consolas" w:cs="Consolas"/>
      <w:sz w:val="21"/>
      <w:szCs w:val="21"/>
    </w:rPr>
  </w:style>
  <w:style w:type="character" w:customStyle="1" w:styleId="PlainTextChar">
    <w:name w:val="Plain Text Char"/>
    <w:basedOn w:val="DefaultParagraphFont"/>
    <w:link w:val="PlainText"/>
    <w:rsid w:val="00471C2F"/>
    <w:rPr>
      <w:rFonts w:ascii="Consolas" w:eastAsiaTheme="minorEastAsia" w:hAnsi="Consolas" w:cs="Consolas"/>
      <w:sz w:val="21"/>
      <w:szCs w:val="21"/>
      <w:lang w:val="en-US" w:eastAsia="en-US"/>
    </w:rPr>
  </w:style>
  <w:style w:type="paragraph" w:styleId="Salutation">
    <w:name w:val="Salutation"/>
    <w:basedOn w:val="Normal"/>
    <w:next w:val="Normal"/>
    <w:link w:val="SalutationChar"/>
    <w:uiPriority w:val="99"/>
    <w:semiHidden/>
    <w:rsid w:val="00471C2F"/>
  </w:style>
  <w:style w:type="character" w:customStyle="1" w:styleId="SalutationChar">
    <w:name w:val="Salutation Char"/>
    <w:basedOn w:val="DefaultParagraphFont"/>
    <w:link w:val="Salutation"/>
    <w:rsid w:val="00471C2F"/>
    <w:rPr>
      <w:rFonts w:eastAsiaTheme="minorEastAsia"/>
      <w:sz w:val="24"/>
      <w:lang w:val="en-US" w:eastAsia="en-US"/>
    </w:rPr>
  </w:style>
  <w:style w:type="paragraph" w:styleId="Signature">
    <w:name w:val="Signature"/>
    <w:basedOn w:val="Normal"/>
    <w:link w:val="SignatureChar"/>
    <w:uiPriority w:val="99"/>
    <w:semiHidden/>
    <w:rsid w:val="00471C2F"/>
    <w:pPr>
      <w:ind w:left="4252"/>
    </w:pPr>
  </w:style>
  <w:style w:type="character" w:customStyle="1" w:styleId="SignatureChar">
    <w:name w:val="Signature Char"/>
    <w:basedOn w:val="DefaultParagraphFont"/>
    <w:link w:val="Signature"/>
    <w:rsid w:val="00471C2F"/>
    <w:rPr>
      <w:rFonts w:eastAsiaTheme="minorEastAsia"/>
      <w:sz w:val="24"/>
      <w:lang w:val="en-US" w:eastAsia="en-US"/>
    </w:rPr>
  </w:style>
  <w:style w:type="table" w:styleId="Table3Deffects1">
    <w:name w:val="Table 3D effects 1"/>
    <w:basedOn w:val="TableNormal"/>
    <w:uiPriority w:val="99"/>
    <w:semiHidden/>
    <w:rsid w:val="00471C2F"/>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71C2F"/>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71C2F"/>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71C2F"/>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71C2F"/>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71C2F"/>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71C2F"/>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71C2F"/>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71C2F"/>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71C2F"/>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71C2F"/>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71C2F"/>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71C2F"/>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71C2F"/>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471C2F"/>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471C2F"/>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71C2F"/>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71C2F"/>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71C2F"/>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71C2F"/>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471C2F"/>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471C2F"/>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71C2F"/>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71C2F"/>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71C2F"/>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71C2F"/>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71C2F"/>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71C2F"/>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71C2F"/>
    <w:pPr>
      <w:ind w:left="240" w:hanging="240"/>
    </w:pPr>
  </w:style>
  <w:style w:type="paragraph" w:styleId="TableofFigures">
    <w:name w:val="table of figures"/>
    <w:basedOn w:val="Normal"/>
    <w:next w:val="Normal"/>
    <w:uiPriority w:val="99"/>
    <w:semiHidden/>
    <w:rsid w:val="00471C2F"/>
  </w:style>
  <w:style w:type="table" w:styleId="TableProfessional">
    <w:name w:val="Table Professional"/>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71C2F"/>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71C2F"/>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71C2F"/>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71C2F"/>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71C2F"/>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471C2F"/>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71C2F"/>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71C2F"/>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71C2F"/>
    <w:pPr>
      <w:spacing w:after="100"/>
      <w:ind w:left="1200"/>
    </w:pPr>
  </w:style>
  <w:style w:type="paragraph" w:styleId="TOC7">
    <w:name w:val="toc 7"/>
    <w:basedOn w:val="Normal"/>
    <w:next w:val="Normal"/>
    <w:autoRedefine/>
    <w:uiPriority w:val="99"/>
    <w:semiHidden/>
    <w:rsid w:val="00471C2F"/>
    <w:pPr>
      <w:spacing w:after="100"/>
      <w:ind w:left="1440"/>
    </w:pPr>
  </w:style>
  <w:style w:type="paragraph" w:styleId="TOC8">
    <w:name w:val="toc 8"/>
    <w:basedOn w:val="Normal"/>
    <w:next w:val="Normal"/>
    <w:autoRedefine/>
    <w:uiPriority w:val="99"/>
    <w:semiHidden/>
    <w:rsid w:val="00471C2F"/>
    <w:pPr>
      <w:spacing w:after="100"/>
      <w:ind w:left="1680"/>
    </w:pPr>
  </w:style>
  <w:style w:type="paragraph" w:styleId="TOC9">
    <w:name w:val="toc 9"/>
    <w:basedOn w:val="Normal"/>
    <w:next w:val="Normal"/>
    <w:autoRedefine/>
    <w:uiPriority w:val="99"/>
    <w:semiHidden/>
    <w:rsid w:val="00471C2F"/>
    <w:pPr>
      <w:spacing w:after="100"/>
      <w:ind w:left="1920"/>
    </w:pPr>
  </w:style>
  <w:style w:type="character" w:customStyle="1" w:styleId="JuParaChar">
    <w:name w:val="Ju_Para Char"/>
    <w:rsid w:val="000B4A60"/>
    <w:rPr>
      <w:sz w:val="24"/>
      <w:lang w:val="fr-FR" w:eastAsia="fr-FR" w:bidi="ar-SA"/>
    </w:rPr>
  </w:style>
  <w:style w:type="character" w:customStyle="1" w:styleId="sb8d990e2">
    <w:name w:val="sb8d990e2"/>
    <w:basedOn w:val="DefaultParagraphFont"/>
    <w:rsid w:val="000B4A60"/>
  </w:style>
  <w:style w:type="character" w:customStyle="1" w:styleId="sea881cdfhasverticalalignsuper">
    <w:name w:val="sea881cdf hasverticalalignsuper"/>
    <w:basedOn w:val="DefaultParagraphFont"/>
    <w:rsid w:val="000B4A60"/>
  </w:style>
  <w:style w:type="character" w:customStyle="1" w:styleId="JuSignedChar">
    <w:name w:val="Ju_Signed Char"/>
    <w:basedOn w:val="DefaultParagraphFont"/>
    <w:link w:val="JuSigned"/>
    <w:rsid w:val="000B4A60"/>
    <w:rPr>
      <w:rFonts w:eastAsiaTheme="minorEastAsia"/>
      <w:sz w:val="24"/>
    </w:rPr>
  </w:style>
  <w:style w:type="character" w:customStyle="1" w:styleId="sfbbfee58">
    <w:name w:val="sfbbfee58"/>
    <w:basedOn w:val="DefaultParagraphFont"/>
    <w:rsid w:val="000B4A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semiHidden="1" w:qFormat="1"/>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225D7D"/>
    <w:pPr>
      <w:jc w:val="both"/>
    </w:pPr>
    <w:rPr>
      <w:rFonts w:eastAsiaTheme="minorEastAsia"/>
      <w:sz w:val="24"/>
      <w:lang w:val="en-US" w:eastAsia="en-US"/>
    </w:rPr>
  </w:style>
  <w:style w:type="paragraph" w:styleId="Heading1">
    <w:name w:val="heading 1"/>
    <w:basedOn w:val="Normal"/>
    <w:next w:val="Normal"/>
    <w:link w:val="Heading1Char"/>
    <w:uiPriority w:val="99"/>
    <w:semiHidden/>
    <w:rsid w:val="00D248D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48D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48D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48D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248D9"/>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D248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248D9"/>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D248D9"/>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D248D9"/>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Title1">
    <w:name w:val="ECHR_Title_1"/>
    <w:aliases w:val="Ju_H_Head"/>
    <w:basedOn w:val="Normal"/>
    <w:next w:val="ECHRPara"/>
    <w:qFormat/>
    <w:rsid w:val="00D248D9"/>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ar"/>
    <w:qFormat/>
    <w:rsid w:val="00D248D9"/>
    <w:pPr>
      <w:ind w:firstLine="284"/>
    </w:pPr>
    <w:rPr>
      <w:lang w:val="fr-FR" w:eastAsia="fr-FR"/>
    </w:rPr>
  </w:style>
  <w:style w:type="character" w:customStyle="1" w:styleId="JuParaCar">
    <w:name w:val="Ju_Para Car"/>
    <w:link w:val="ECHRPara"/>
    <w:rsid w:val="00CB0AFC"/>
    <w:rPr>
      <w:rFonts w:eastAsiaTheme="minorEastAsia"/>
      <w:sz w:val="24"/>
    </w:rPr>
  </w:style>
  <w:style w:type="paragraph" w:styleId="Footer">
    <w:name w:val="footer"/>
    <w:basedOn w:val="Normal"/>
    <w:link w:val="FooterChar"/>
    <w:uiPriority w:val="99"/>
    <w:semiHidden/>
    <w:rsid w:val="00D248D9"/>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D248D9"/>
    <w:pPr>
      <w:tabs>
        <w:tab w:val="left" w:pos="567"/>
        <w:tab w:val="left" w:pos="1134"/>
      </w:tabs>
      <w:jc w:val="left"/>
    </w:pPr>
    <w:rPr>
      <w:lang w:val="fr-FR" w:eastAsia="fr-FR"/>
    </w:rPr>
  </w:style>
  <w:style w:type="character" w:customStyle="1" w:styleId="JuJudgesChar">
    <w:name w:val="Ju_Judges Char"/>
    <w:link w:val="ECHRDecisionBody"/>
    <w:uiPriority w:val="11"/>
    <w:rsid w:val="000413BA"/>
    <w:rPr>
      <w:rFonts w:eastAsiaTheme="minorEastAsia"/>
      <w:sz w:val="24"/>
    </w:rPr>
  </w:style>
  <w:style w:type="paragraph" w:customStyle="1" w:styleId="ECHRHeading2">
    <w:name w:val="ECHR_Heading_2"/>
    <w:aliases w:val="Ju_H_A"/>
    <w:basedOn w:val="Heading2"/>
    <w:next w:val="ECHRPara"/>
    <w:uiPriority w:val="20"/>
    <w:qFormat/>
    <w:rsid w:val="00D248D9"/>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D248D9"/>
    <w:pPr>
      <w:spacing w:before="120" w:after="120"/>
      <w:ind w:left="425" w:firstLine="142"/>
    </w:pPr>
    <w:rPr>
      <w:sz w:val="20"/>
      <w:lang w:val="fr-FR" w:eastAsia="fr-FR"/>
    </w:rPr>
  </w:style>
  <w:style w:type="paragraph" w:customStyle="1" w:styleId="JuSigned">
    <w:name w:val="Ju_Signed"/>
    <w:basedOn w:val="Normal"/>
    <w:next w:val="JuParaLast"/>
    <w:link w:val="JuSignedChar"/>
    <w:qFormat/>
    <w:rsid w:val="00D248D9"/>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D248D9"/>
    <w:pPr>
      <w:keepNext/>
      <w:keepLines/>
      <w:spacing w:before="240"/>
      <w:ind w:firstLine="284"/>
    </w:pPr>
    <w:rPr>
      <w:lang w:val="fr-FR" w:eastAsia="fr-FR"/>
    </w:rPr>
  </w:style>
  <w:style w:type="paragraph" w:customStyle="1" w:styleId="JuCase">
    <w:name w:val="Ju_Case"/>
    <w:basedOn w:val="Normal"/>
    <w:next w:val="ECHRPara"/>
    <w:uiPriority w:val="10"/>
    <w:rsid w:val="00D248D9"/>
    <w:pPr>
      <w:ind w:firstLine="284"/>
    </w:pPr>
    <w:rPr>
      <w:b/>
    </w:rPr>
  </w:style>
  <w:style w:type="paragraph" w:customStyle="1" w:styleId="JuList">
    <w:name w:val="Ju_List"/>
    <w:basedOn w:val="Normal"/>
    <w:qFormat/>
    <w:rsid w:val="00D248D9"/>
    <w:pPr>
      <w:ind w:left="340" w:hanging="340"/>
    </w:pPr>
    <w:rPr>
      <w:lang w:val="fr-FR" w:eastAsia="fr-FR"/>
    </w:rPr>
  </w:style>
  <w:style w:type="paragraph" w:styleId="FootnoteText">
    <w:name w:val="footnote text"/>
    <w:basedOn w:val="Normal"/>
    <w:link w:val="FootnoteTextChar"/>
    <w:uiPriority w:val="99"/>
    <w:semiHidden/>
    <w:rsid w:val="00D248D9"/>
    <w:rPr>
      <w:sz w:val="20"/>
      <w:szCs w:val="20"/>
    </w:rPr>
  </w:style>
  <w:style w:type="character" w:styleId="FootnoteReference">
    <w:name w:val="footnote reference"/>
    <w:basedOn w:val="DefaultParagraphFont"/>
    <w:uiPriority w:val="99"/>
    <w:semiHidden/>
    <w:rsid w:val="00D248D9"/>
    <w:rPr>
      <w:vertAlign w:val="superscript"/>
    </w:rPr>
  </w:style>
  <w:style w:type="paragraph" w:styleId="Header">
    <w:name w:val="header"/>
    <w:basedOn w:val="Normal"/>
    <w:link w:val="HeaderChar"/>
    <w:uiPriority w:val="48"/>
    <w:rsid w:val="00D248D9"/>
    <w:pPr>
      <w:tabs>
        <w:tab w:val="center" w:pos="4536"/>
        <w:tab w:val="right" w:pos="9072"/>
      </w:tabs>
    </w:pPr>
    <w:rPr>
      <w:rFonts w:eastAsiaTheme="minorHAnsi"/>
    </w:rPr>
  </w:style>
  <w:style w:type="character" w:styleId="PageNumber">
    <w:name w:val="page number"/>
    <w:uiPriority w:val="99"/>
    <w:semiHidden/>
    <w:rsid w:val="00562503"/>
    <w:rPr>
      <w:rFonts w:ascii="Times New Roman" w:hAnsi="Times New Roman" w:cs="Times New Roman"/>
      <w:sz w:val="18"/>
    </w:rPr>
  </w:style>
  <w:style w:type="paragraph" w:customStyle="1" w:styleId="JuLista">
    <w:name w:val="Ju_List_a"/>
    <w:basedOn w:val="JuList"/>
    <w:uiPriority w:val="28"/>
    <w:qFormat/>
    <w:rsid w:val="00D248D9"/>
    <w:pPr>
      <w:ind w:left="346" w:firstLine="0"/>
    </w:pPr>
  </w:style>
  <w:style w:type="paragraph" w:customStyle="1" w:styleId="JuListi">
    <w:name w:val="Ju_List_i"/>
    <w:basedOn w:val="Normal"/>
    <w:next w:val="JuLista"/>
    <w:uiPriority w:val="28"/>
    <w:qFormat/>
    <w:rsid w:val="00D248D9"/>
    <w:pPr>
      <w:ind w:left="794"/>
    </w:pPr>
    <w:rPr>
      <w:lang w:val="fr-FR" w:eastAsia="fr-FR"/>
    </w:rPr>
  </w:style>
  <w:style w:type="character" w:styleId="CommentReference">
    <w:name w:val="annotation reference"/>
    <w:uiPriority w:val="99"/>
    <w:semiHidden/>
    <w:rPr>
      <w:sz w:val="16"/>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D248D9"/>
    <w:rPr>
      <w:rFonts w:ascii="Tahoma" w:hAnsi="Tahoma" w:cs="Tahoma"/>
      <w:sz w:val="16"/>
      <w:szCs w:val="16"/>
    </w:rPr>
  </w:style>
  <w:style w:type="character" w:styleId="EndnoteReference">
    <w:name w:val="endnote reference"/>
    <w:uiPriority w:val="99"/>
    <w:semiHidden/>
    <w:rsid w:val="00562503"/>
    <w:rPr>
      <w:rFonts w:ascii="Times New Roman" w:hAnsi="Times New Roman" w:cs="Times New Roman"/>
      <w:vertAlign w:val="superscript"/>
    </w:rPr>
  </w:style>
  <w:style w:type="paragraph" w:styleId="EndnoteText">
    <w:name w:val="endnote text"/>
    <w:basedOn w:val="Normal"/>
    <w:uiPriority w:val="99"/>
    <w:semiHidden/>
    <w:rsid w:val="00562503"/>
    <w:rPr>
      <w:sz w:val="20"/>
    </w:rPr>
  </w:style>
  <w:style w:type="character" w:styleId="FollowedHyperlink">
    <w:name w:val="FollowedHyperlink"/>
    <w:uiPriority w:val="99"/>
    <w:semiHidden/>
    <w:rsid w:val="00562503"/>
    <w:rPr>
      <w:rFonts w:ascii="Times New Roman" w:hAnsi="Times New Roman" w:cs="Times New Roman"/>
      <w:color w:val="800080"/>
      <w:u w:val="single"/>
    </w:rPr>
  </w:style>
  <w:style w:type="character" w:styleId="Hyperlink">
    <w:name w:val="Hyperlink"/>
    <w:basedOn w:val="DefaultParagraphFont"/>
    <w:uiPriority w:val="99"/>
    <w:semiHidden/>
    <w:rsid w:val="00D248D9"/>
    <w:rPr>
      <w:color w:val="0072BC" w:themeColor="hyperlink"/>
      <w:u w:val="single"/>
    </w:rPr>
  </w:style>
  <w:style w:type="paragraph" w:styleId="CommentSubject">
    <w:name w:val="annotation subject"/>
    <w:basedOn w:val="CommentText"/>
    <w:next w:val="CommentText"/>
    <w:uiPriority w:val="99"/>
    <w:semiHidden/>
    <w:rsid w:val="00B27CC6"/>
    <w:rPr>
      <w:b/>
      <w:bCs/>
    </w:rPr>
  </w:style>
  <w:style w:type="character" w:styleId="Strong">
    <w:name w:val="Strong"/>
    <w:uiPriority w:val="99"/>
    <w:semiHidden/>
    <w:qFormat/>
    <w:rsid w:val="00D248D9"/>
    <w:rPr>
      <w:b/>
      <w:bCs/>
    </w:rPr>
  </w:style>
  <w:style w:type="paragraph" w:styleId="DocumentMap">
    <w:name w:val="Document Map"/>
    <w:basedOn w:val="Normal"/>
    <w:uiPriority w:val="99"/>
    <w:semiHidden/>
    <w:rsid w:val="005F14CA"/>
    <w:pPr>
      <w:shd w:val="clear" w:color="auto" w:fill="000080"/>
    </w:pPr>
    <w:rPr>
      <w:rFonts w:ascii="Tahoma" w:hAnsi="Tahoma" w:cs="Tahoma"/>
      <w:sz w:val="20"/>
    </w:rPr>
  </w:style>
  <w:style w:type="paragraph" w:styleId="ListBullet">
    <w:name w:val="List Bullet"/>
    <w:basedOn w:val="Normal"/>
    <w:uiPriority w:val="99"/>
    <w:semiHidden/>
    <w:rsid w:val="005F14CA"/>
    <w:pPr>
      <w:numPr>
        <w:numId w:val="1"/>
      </w:numPr>
    </w:pPr>
  </w:style>
  <w:style w:type="character" w:customStyle="1" w:styleId="Heading1Char">
    <w:name w:val="Heading 1 Char"/>
    <w:basedOn w:val="DefaultParagraphFont"/>
    <w:link w:val="Heading1"/>
    <w:uiPriority w:val="99"/>
    <w:semiHidden/>
    <w:rsid w:val="00D248D9"/>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D248D9"/>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D248D9"/>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D248D9"/>
    <w:rPr>
      <w:rFonts w:asciiTheme="majorHAnsi" w:eastAsiaTheme="majorEastAsia" w:hAnsiTheme="majorHAnsi" w:cstheme="majorBidi"/>
      <w:b/>
      <w:bCs/>
      <w:i/>
      <w:iCs/>
      <w:color w:val="777777"/>
      <w:sz w:val="24"/>
      <w:lang w:val="en-US" w:eastAsia="en-US"/>
    </w:rPr>
  </w:style>
  <w:style w:type="character" w:customStyle="1" w:styleId="Heading5Char">
    <w:name w:val="Heading 5 Char"/>
    <w:basedOn w:val="DefaultParagraphFont"/>
    <w:link w:val="Heading5"/>
    <w:uiPriority w:val="99"/>
    <w:semiHidden/>
    <w:rsid w:val="00D248D9"/>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semiHidden/>
    <w:rsid w:val="00D248D9"/>
    <w:rPr>
      <w:rFonts w:asciiTheme="majorHAnsi" w:eastAsiaTheme="majorEastAsia" w:hAnsiTheme="majorHAnsi" w:cstheme="majorBidi"/>
      <w:b/>
      <w:bCs/>
      <w:i/>
      <w:iCs/>
      <w:color w:val="7F7F7F" w:themeColor="text1" w:themeTint="80"/>
      <w:sz w:val="24"/>
      <w:lang w:val="en-US" w:eastAsia="en-US" w:bidi="en-US"/>
    </w:rPr>
  </w:style>
  <w:style w:type="character" w:customStyle="1" w:styleId="Heading7Char">
    <w:name w:val="Heading 7 Char"/>
    <w:basedOn w:val="DefaultParagraphFont"/>
    <w:link w:val="Heading7"/>
    <w:uiPriority w:val="99"/>
    <w:semiHidden/>
    <w:rsid w:val="00D248D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248D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248D9"/>
    <w:rPr>
      <w:rFonts w:asciiTheme="majorHAnsi" w:eastAsiaTheme="majorEastAsia" w:hAnsiTheme="majorHAnsi" w:cstheme="majorBidi"/>
      <w:i/>
      <w:iCs/>
      <w:spacing w:val="5"/>
      <w:sz w:val="20"/>
      <w:szCs w:val="20"/>
      <w:lang w:bidi="en-US"/>
    </w:rPr>
  </w:style>
  <w:style w:type="character" w:customStyle="1" w:styleId="BalloonTextChar">
    <w:name w:val="Balloon Text Char"/>
    <w:basedOn w:val="DefaultParagraphFont"/>
    <w:link w:val="BalloonText"/>
    <w:uiPriority w:val="99"/>
    <w:semiHidden/>
    <w:rsid w:val="00D248D9"/>
    <w:rPr>
      <w:rFonts w:ascii="Tahoma" w:eastAsiaTheme="minorEastAsia" w:hAnsi="Tahoma" w:cs="Tahoma"/>
      <w:sz w:val="16"/>
      <w:szCs w:val="16"/>
      <w:lang w:val="en-US" w:eastAsia="en-US"/>
    </w:rPr>
  </w:style>
  <w:style w:type="character" w:styleId="BookTitle">
    <w:name w:val="Book Title"/>
    <w:uiPriority w:val="99"/>
    <w:semiHidden/>
    <w:qFormat/>
    <w:rsid w:val="00D248D9"/>
    <w:rPr>
      <w:i/>
      <w:iCs/>
      <w:smallCaps/>
      <w:spacing w:val="5"/>
    </w:rPr>
  </w:style>
  <w:style w:type="paragraph" w:styleId="NoSpacing">
    <w:name w:val="No Spacing"/>
    <w:basedOn w:val="Normal"/>
    <w:link w:val="NoSpacingChar"/>
    <w:uiPriority w:val="99"/>
    <w:semiHidden/>
    <w:qFormat/>
    <w:rsid w:val="00D248D9"/>
    <w:rPr>
      <w:sz w:val="22"/>
      <w:lang w:val="fr-FR" w:eastAsia="fr-FR"/>
    </w:rPr>
  </w:style>
  <w:style w:type="character" w:customStyle="1" w:styleId="NoSpacingChar">
    <w:name w:val="No Spacing Char"/>
    <w:basedOn w:val="DefaultParagraphFont"/>
    <w:link w:val="NoSpacing"/>
    <w:semiHidden/>
    <w:rsid w:val="00D248D9"/>
    <w:rPr>
      <w:rFonts w:eastAsiaTheme="minorEastAsia"/>
    </w:rPr>
  </w:style>
  <w:style w:type="paragraph" w:styleId="Title">
    <w:name w:val="Title"/>
    <w:basedOn w:val="Normal"/>
    <w:next w:val="Normal"/>
    <w:link w:val="TitleChar"/>
    <w:uiPriority w:val="99"/>
    <w:semiHidden/>
    <w:qFormat/>
    <w:rsid w:val="00D248D9"/>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D248D9"/>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D248D9"/>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D248D9"/>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Footer"/>
    <w:uiPriority w:val="57"/>
    <w:semiHidden/>
    <w:rsid w:val="00D248D9"/>
    <w:pPr>
      <w:jc w:val="left"/>
    </w:pPr>
    <w:rPr>
      <w:sz w:val="8"/>
    </w:rPr>
  </w:style>
  <w:style w:type="paragraph" w:customStyle="1" w:styleId="ECHRFooterLine">
    <w:name w:val="ECHR_Footer_Line"/>
    <w:aliases w:val="Footer_Line"/>
    <w:basedOn w:val="Normal"/>
    <w:next w:val="ECHRFooter"/>
    <w:uiPriority w:val="57"/>
    <w:semiHidden/>
    <w:rsid w:val="00D248D9"/>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48"/>
    <w:rsid w:val="00D248D9"/>
    <w:rPr>
      <w:sz w:val="24"/>
      <w:lang w:val="en-US" w:eastAsia="en-US"/>
    </w:rPr>
  </w:style>
  <w:style w:type="paragraph" w:customStyle="1" w:styleId="ECHRHeader">
    <w:name w:val="ECHR_Header"/>
    <w:aliases w:val="Ju_Header"/>
    <w:basedOn w:val="Header"/>
    <w:uiPriority w:val="4"/>
    <w:qFormat/>
    <w:rsid w:val="00D248D9"/>
    <w:pPr>
      <w:tabs>
        <w:tab w:val="clear" w:pos="4536"/>
        <w:tab w:val="clear" w:pos="9072"/>
        <w:tab w:val="center" w:pos="3686"/>
        <w:tab w:val="right" w:pos="7371"/>
      </w:tabs>
      <w:jc w:val="left"/>
    </w:pPr>
    <w:rPr>
      <w:sz w:val="18"/>
      <w:lang w:val="fr-FR" w:eastAsia="fr-FR"/>
    </w:rPr>
  </w:style>
  <w:style w:type="character" w:styleId="SubtleEmphasis">
    <w:name w:val="Subtle Emphasis"/>
    <w:uiPriority w:val="99"/>
    <w:semiHidden/>
    <w:qFormat/>
    <w:rsid w:val="00D248D9"/>
    <w:rPr>
      <w:i/>
      <w:iCs/>
    </w:rPr>
  </w:style>
  <w:style w:type="character" w:styleId="Emphasis">
    <w:name w:val="Emphasis"/>
    <w:uiPriority w:val="99"/>
    <w:semiHidden/>
    <w:qFormat/>
    <w:rsid w:val="00D248D9"/>
    <w:rPr>
      <w:b/>
      <w:bCs/>
      <w:i/>
      <w:iCs/>
      <w:spacing w:val="10"/>
      <w:bdr w:val="none" w:sz="0" w:space="0" w:color="auto"/>
      <w:shd w:val="clear" w:color="auto" w:fill="auto"/>
    </w:rPr>
  </w:style>
  <w:style w:type="character" w:customStyle="1" w:styleId="FooterChar">
    <w:name w:val="Footer Char"/>
    <w:basedOn w:val="DefaultParagraphFont"/>
    <w:link w:val="Footer"/>
    <w:uiPriority w:val="57"/>
    <w:semiHidden/>
    <w:rsid w:val="00D248D9"/>
    <w:rPr>
      <w:sz w:val="24"/>
      <w:lang w:val="en-US" w:eastAsia="en-US"/>
    </w:rPr>
  </w:style>
  <w:style w:type="character" w:customStyle="1" w:styleId="FootnoteTextChar">
    <w:name w:val="Footnote Text Char"/>
    <w:basedOn w:val="DefaultParagraphFont"/>
    <w:link w:val="FootnoteText"/>
    <w:uiPriority w:val="99"/>
    <w:semiHidden/>
    <w:rsid w:val="00D248D9"/>
    <w:rPr>
      <w:rFonts w:eastAsiaTheme="minorEastAsia"/>
      <w:sz w:val="20"/>
      <w:szCs w:val="20"/>
      <w:lang w:val="en-US" w:eastAsia="en-US"/>
    </w:rPr>
  </w:style>
  <w:style w:type="character" w:styleId="IntenseEmphasis">
    <w:name w:val="Intense Emphasis"/>
    <w:uiPriority w:val="99"/>
    <w:semiHidden/>
    <w:qFormat/>
    <w:rsid w:val="00D248D9"/>
    <w:rPr>
      <w:b/>
      <w:bCs/>
    </w:rPr>
  </w:style>
  <w:style w:type="paragraph" w:styleId="IntenseQuote">
    <w:name w:val="Intense Quote"/>
    <w:basedOn w:val="Normal"/>
    <w:next w:val="Normal"/>
    <w:link w:val="IntenseQuoteChar"/>
    <w:uiPriority w:val="99"/>
    <w:semiHidden/>
    <w:qFormat/>
    <w:rsid w:val="00D248D9"/>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D248D9"/>
    <w:rPr>
      <w:rFonts w:eastAsiaTheme="minorEastAsia"/>
      <w:b/>
      <w:bCs/>
      <w:i/>
      <w:iCs/>
      <w:lang w:bidi="en-US"/>
    </w:rPr>
  </w:style>
  <w:style w:type="character" w:styleId="IntenseReference">
    <w:name w:val="Intense Reference"/>
    <w:uiPriority w:val="99"/>
    <w:semiHidden/>
    <w:qFormat/>
    <w:rsid w:val="00D248D9"/>
    <w:rPr>
      <w:smallCaps/>
      <w:spacing w:val="5"/>
      <w:u w:val="single"/>
    </w:rPr>
  </w:style>
  <w:style w:type="paragraph" w:customStyle="1" w:styleId="JuAppQuestion">
    <w:name w:val="Ju_App_Question"/>
    <w:basedOn w:val="Normal"/>
    <w:uiPriority w:val="5"/>
    <w:semiHidden/>
    <w:rsid w:val="00D248D9"/>
    <w:pPr>
      <w:numPr>
        <w:numId w:val="11"/>
      </w:numPr>
      <w:jc w:val="left"/>
    </w:pPr>
    <w:rPr>
      <w:b/>
    </w:rPr>
  </w:style>
  <w:style w:type="paragraph" w:customStyle="1" w:styleId="OpiPara">
    <w:name w:val="Opi_Para"/>
    <w:basedOn w:val="ECHRPara"/>
    <w:uiPriority w:val="46"/>
    <w:qFormat/>
    <w:rsid w:val="00D248D9"/>
  </w:style>
  <w:style w:type="paragraph" w:customStyle="1" w:styleId="JuParaSub">
    <w:name w:val="Ju_Para_Sub"/>
    <w:basedOn w:val="ECHRPara"/>
    <w:uiPriority w:val="13"/>
    <w:qFormat/>
    <w:rsid w:val="00D248D9"/>
    <w:pPr>
      <w:ind w:left="284"/>
    </w:pPr>
  </w:style>
  <w:style w:type="paragraph" w:customStyle="1" w:styleId="OpiParaSub">
    <w:name w:val="Opi_Para_Sub"/>
    <w:basedOn w:val="JuParaSub"/>
    <w:uiPriority w:val="47"/>
    <w:qFormat/>
    <w:rsid w:val="00D248D9"/>
  </w:style>
  <w:style w:type="paragraph" w:customStyle="1" w:styleId="OpiQuot">
    <w:name w:val="Opi_Quot"/>
    <w:basedOn w:val="ECHRParaQuote"/>
    <w:uiPriority w:val="48"/>
    <w:qFormat/>
    <w:rsid w:val="00D248D9"/>
  </w:style>
  <w:style w:type="paragraph" w:customStyle="1" w:styleId="OpiQuotSub">
    <w:name w:val="Opi_Quot_Sub"/>
    <w:basedOn w:val="JuQuotSub"/>
    <w:uiPriority w:val="49"/>
    <w:qFormat/>
    <w:rsid w:val="00D248D9"/>
  </w:style>
  <w:style w:type="paragraph" w:styleId="ListParagraph">
    <w:name w:val="List Paragraph"/>
    <w:basedOn w:val="Normal"/>
    <w:uiPriority w:val="99"/>
    <w:semiHidden/>
    <w:qFormat/>
    <w:rsid w:val="00D248D9"/>
    <w:pPr>
      <w:ind w:left="720"/>
      <w:contextualSpacing/>
    </w:pPr>
    <w:rPr>
      <w:lang w:val="fr-FR" w:eastAsia="fr-FR"/>
    </w:rPr>
  </w:style>
  <w:style w:type="paragraph" w:styleId="Quote">
    <w:name w:val="Quote"/>
    <w:basedOn w:val="Normal"/>
    <w:next w:val="Normal"/>
    <w:link w:val="QuoteChar"/>
    <w:uiPriority w:val="99"/>
    <w:semiHidden/>
    <w:qFormat/>
    <w:rsid w:val="00D248D9"/>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D248D9"/>
    <w:rPr>
      <w:rFonts w:eastAsiaTheme="minorEastAsia"/>
      <w:i/>
      <w:iCs/>
      <w:lang w:bidi="en-US"/>
    </w:rPr>
  </w:style>
  <w:style w:type="character" w:styleId="SubtleReference">
    <w:name w:val="Subtle Reference"/>
    <w:uiPriority w:val="99"/>
    <w:semiHidden/>
    <w:qFormat/>
    <w:rsid w:val="00D248D9"/>
    <w:rPr>
      <w:smallCaps/>
    </w:rPr>
  </w:style>
  <w:style w:type="table" w:styleId="TableGrid">
    <w:name w:val="Table Grid"/>
    <w:basedOn w:val="TableNormal"/>
    <w:uiPriority w:val="99"/>
    <w:semiHidden/>
    <w:rsid w:val="00D248D9"/>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D248D9"/>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D248D9"/>
    <w:pPr>
      <w:spacing w:after="60"/>
      <w:ind w:left="680" w:right="340" w:hanging="340"/>
    </w:pPr>
  </w:style>
  <w:style w:type="paragraph" w:styleId="TOC3">
    <w:name w:val="toc 3"/>
    <w:basedOn w:val="Normal"/>
    <w:next w:val="Normal"/>
    <w:autoRedefine/>
    <w:uiPriority w:val="99"/>
    <w:semiHidden/>
    <w:rsid w:val="00D248D9"/>
    <w:pPr>
      <w:spacing w:after="60"/>
      <w:ind w:left="1020" w:right="340" w:hanging="340"/>
    </w:pPr>
  </w:style>
  <w:style w:type="paragraph" w:styleId="TOC4">
    <w:name w:val="toc 4"/>
    <w:basedOn w:val="Normal"/>
    <w:next w:val="Normal"/>
    <w:autoRedefine/>
    <w:uiPriority w:val="99"/>
    <w:semiHidden/>
    <w:rsid w:val="00D248D9"/>
    <w:pPr>
      <w:tabs>
        <w:tab w:val="right" w:leader="dot" w:pos="9017"/>
      </w:tabs>
      <w:spacing w:after="60"/>
      <w:ind w:left="1361" w:right="340" w:hanging="340"/>
    </w:pPr>
  </w:style>
  <w:style w:type="paragraph" w:styleId="TOC5">
    <w:name w:val="toc 5"/>
    <w:basedOn w:val="Normal"/>
    <w:next w:val="Normal"/>
    <w:autoRedefine/>
    <w:uiPriority w:val="99"/>
    <w:semiHidden/>
    <w:rsid w:val="00D248D9"/>
    <w:pPr>
      <w:spacing w:after="60"/>
      <w:ind w:left="1701" w:right="340" w:hanging="340"/>
    </w:pPr>
  </w:style>
  <w:style w:type="paragraph" w:styleId="TOCHeading">
    <w:name w:val="TOC Heading"/>
    <w:basedOn w:val="Heading1"/>
    <w:next w:val="Normal"/>
    <w:uiPriority w:val="99"/>
    <w:semiHidden/>
    <w:qFormat/>
    <w:rsid w:val="00D248D9"/>
    <w:pPr>
      <w:outlineLvl w:val="9"/>
    </w:pPr>
    <w:rPr>
      <w:color w:val="474747" w:themeColor="accent3" w:themeShade="BF"/>
      <w:lang w:val="fr-FR" w:eastAsia="fr-FR"/>
    </w:rPr>
  </w:style>
  <w:style w:type="paragraph" w:customStyle="1" w:styleId="ECHRTitleCentre3">
    <w:name w:val="ECHR_Title_Centre_3"/>
    <w:aliases w:val="Ju_H_Article"/>
    <w:basedOn w:val="Normal"/>
    <w:next w:val="ECHRParaQuote"/>
    <w:uiPriority w:val="27"/>
    <w:qFormat/>
    <w:rsid w:val="00D248D9"/>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D248D9"/>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D248D9"/>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D248D9"/>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D248D9"/>
    <w:pPr>
      <w:ind w:left="567"/>
    </w:pPr>
  </w:style>
  <w:style w:type="paragraph" w:customStyle="1" w:styleId="JuInitialled">
    <w:name w:val="Ju_Initialled"/>
    <w:basedOn w:val="Normal"/>
    <w:uiPriority w:val="31"/>
    <w:qFormat/>
    <w:rsid w:val="00D248D9"/>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D248D9"/>
    <w:pPr>
      <w:tabs>
        <w:tab w:val="clear" w:pos="357"/>
      </w:tabs>
      <w:outlineLvl w:val="1"/>
    </w:pPr>
    <w:rPr>
      <w:b/>
    </w:rPr>
  </w:style>
  <w:style w:type="character" w:customStyle="1" w:styleId="JUNAMES">
    <w:name w:val="JU_NAMES"/>
    <w:uiPriority w:val="17"/>
    <w:qFormat/>
    <w:rsid w:val="00D248D9"/>
    <w:rPr>
      <w:caps w:val="0"/>
      <w:smallCaps/>
    </w:rPr>
  </w:style>
  <w:style w:type="character" w:customStyle="1" w:styleId="JuITMark">
    <w:name w:val="Ju_ITMark"/>
    <w:basedOn w:val="DefaultParagraphFont"/>
    <w:uiPriority w:val="38"/>
    <w:qFormat/>
    <w:rsid w:val="00D248D9"/>
    <w:rPr>
      <w:vanish/>
      <w:color w:val="339966"/>
      <w:sz w:val="14"/>
    </w:rPr>
  </w:style>
  <w:style w:type="paragraph" w:customStyle="1" w:styleId="OpiTranslation">
    <w:name w:val="Opi_Translation"/>
    <w:basedOn w:val="Normal"/>
    <w:next w:val="OpiPara"/>
    <w:uiPriority w:val="40"/>
    <w:qFormat/>
    <w:rsid w:val="00D248D9"/>
    <w:pPr>
      <w:jc w:val="center"/>
      <w:outlineLvl w:val="0"/>
    </w:pPr>
    <w:rPr>
      <w:i/>
      <w:lang w:val="fr-FR" w:eastAsia="fr-FR"/>
    </w:rPr>
  </w:style>
  <w:style w:type="paragraph" w:customStyle="1" w:styleId="DecHTitle">
    <w:name w:val="Dec_H_Title"/>
    <w:basedOn w:val="ECHRTitleCentre1"/>
    <w:uiPriority w:val="7"/>
    <w:semiHidden/>
    <w:rsid w:val="00D248D9"/>
  </w:style>
  <w:style w:type="paragraph" w:styleId="TOAHeading">
    <w:name w:val="toa heading"/>
    <w:basedOn w:val="Normal"/>
    <w:next w:val="Normal"/>
    <w:uiPriority w:val="99"/>
    <w:semiHidden/>
    <w:rsid w:val="00D248D9"/>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D248D9"/>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Heading1"/>
    <w:next w:val="ECHRPara"/>
    <w:qFormat/>
    <w:rsid w:val="00D248D9"/>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3">
    <w:name w:val="ECHR_Heading_3"/>
    <w:aliases w:val="Ju_H_1."/>
    <w:basedOn w:val="Heading3"/>
    <w:next w:val="ECHRPara"/>
    <w:uiPriority w:val="21"/>
    <w:qFormat/>
    <w:rsid w:val="00D248D9"/>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D248D9"/>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D248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D248D9"/>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D248D9"/>
    <w:pPr>
      <w:keepNext/>
      <w:keepLines/>
      <w:spacing w:before="240" w:after="120"/>
      <w:ind w:left="1236"/>
    </w:pPr>
    <w:rPr>
      <w:sz w:val="20"/>
    </w:rPr>
  </w:style>
  <w:style w:type="paragraph" w:customStyle="1" w:styleId="DecList">
    <w:name w:val="Dec_List"/>
    <w:basedOn w:val="Normal"/>
    <w:uiPriority w:val="9"/>
    <w:semiHidden/>
    <w:rsid w:val="00D248D9"/>
    <w:pPr>
      <w:spacing w:before="240"/>
      <w:ind w:left="284"/>
    </w:pPr>
  </w:style>
  <w:style w:type="paragraph" w:customStyle="1" w:styleId="OpiH1">
    <w:name w:val="Opi_H_1"/>
    <w:basedOn w:val="ECHRHeading2"/>
    <w:uiPriority w:val="42"/>
    <w:qFormat/>
    <w:rsid w:val="00D248D9"/>
    <w:pPr>
      <w:ind w:left="635" w:hanging="357"/>
      <w:outlineLvl w:val="2"/>
    </w:pPr>
  </w:style>
  <w:style w:type="paragraph" w:customStyle="1" w:styleId="OpiHa0">
    <w:name w:val="Opi_H_a"/>
    <w:basedOn w:val="ECHRHeading3"/>
    <w:uiPriority w:val="43"/>
    <w:qFormat/>
    <w:rsid w:val="00D248D9"/>
    <w:pPr>
      <w:ind w:left="833" w:hanging="357"/>
      <w:outlineLvl w:val="3"/>
    </w:pPr>
    <w:rPr>
      <w:b/>
      <w:i w:val="0"/>
      <w:sz w:val="20"/>
    </w:rPr>
  </w:style>
  <w:style w:type="paragraph" w:customStyle="1" w:styleId="OpiHi">
    <w:name w:val="Opi_H_i"/>
    <w:basedOn w:val="ECHRHeading4"/>
    <w:uiPriority w:val="44"/>
    <w:qFormat/>
    <w:rsid w:val="00D248D9"/>
    <w:pPr>
      <w:ind w:left="1037" w:hanging="357"/>
      <w:outlineLvl w:val="4"/>
    </w:pPr>
    <w:rPr>
      <w:b w:val="0"/>
      <w:i/>
    </w:rPr>
  </w:style>
  <w:style w:type="numbering" w:styleId="111111">
    <w:name w:val="Outline List 2"/>
    <w:basedOn w:val="NoList"/>
    <w:uiPriority w:val="99"/>
    <w:semiHidden/>
    <w:rsid w:val="00471C2F"/>
    <w:pPr>
      <w:numPr>
        <w:numId w:val="12"/>
      </w:numPr>
    </w:pPr>
  </w:style>
  <w:style w:type="numbering" w:styleId="1ai">
    <w:name w:val="Outline List 1"/>
    <w:basedOn w:val="NoList"/>
    <w:uiPriority w:val="99"/>
    <w:semiHidden/>
    <w:rsid w:val="00471C2F"/>
    <w:pPr>
      <w:numPr>
        <w:numId w:val="13"/>
      </w:numPr>
    </w:pPr>
  </w:style>
  <w:style w:type="numbering" w:styleId="ArticleSection">
    <w:name w:val="Outline List 3"/>
    <w:basedOn w:val="NoList"/>
    <w:uiPriority w:val="99"/>
    <w:semiHidden/>
    <w:rsid w:val="00471C2F"/>
    <w:pPr>
      <w:numPr>
        <w:numId w:val="14"/>
      </w:numPr>
    </w:pPr>
  </w:style>
  <w:style w:type="paragraph" w:styleId="Bibliography">
    <w:name w:val="Bibliography"/>
    <w:basedOn w:val="Normal"/>
    <w:next w:val="Normal"/>
    <w:uiPriority w:val="99"/>
    <w:semiHidden/>
    <w:unhideWhenUsed/>
    <w:rsid w:val="00471C2F"/>
  </w:style>
  <w:style w:type="paragraph" w:styleId="BlockText">
    <w:name w:val="Block Text"/>
    <w:basedOn w:val="Normal"/>
    <w:uiPriority w:val="99"/>
    <w:semiHidden/>
    <w:rsid w:val="00471C2F"/>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471C2F"/>
    <w:pPr>
      <w:spacing w:after="120"/>
    </w:pPr>
  </w:style>
  <w:style w:type="character" w:customStyle="1" w:styleId="BodyTextChar">
    <w:name w:val="Body Text Char"/>
    <w:basedOn w:val="DefaultParagraphFont"/>
    <w:link w:val="BodyText"/>
    <w:rsid w:val="00471C2F"/>
    <w:rPr>
      <w:rFonts w:eastAsiaTheme="minorEastAsia"/>
      <w:sz w:val="24"/>
      <w:lang w:val="en-US" w:eastAsia="en-US"/>
    </w:rPr>
  </w:style>
  <w:style w:type="paragraph" w:styleId="BodyText2">
    <w:name w:val="Body Text 2"/>
    <w:basedOn w:val="Normal"/>
    <w:link w:val="BodyText2Char"/>
    <w:uiPriority w:val="99"/>
    <w:semiHidden/>
    <w:rsid w:val="00471C2F"/>
    <w:pPr>
      <w:spacing w:after="120" w:line="480" w:lineRule="auto"/>
    </w:pPr>
  </w:style>
  <w:style w:type="character" w:customStyle="1" w:styleId="BodyText2Char">
    <w:name w:val="Body Text 2 Char"/>
    <w:basedOn w:val="DefaultParagraphFont"/>
    <w:link w:val="BodyText2"/>
    <w:rsid w:val="00471C2F"/>
    <w:rPr>
      <w:rFonts w:eastAsiaTheme="minorEastAsia"/>
      <w:sz w:val="24"/>
      <w:lang w:val="en-US" w:eastAsia="en-US"/>
    </w:rPr>
  </w:style>
  <w:style w:type="paragraph" w:styleId="BodyText3">
    <w:name w:val="Body Text 3"/>
    <w:basedOn w:val="Normal"/>
    <w:link w:val="BodyText3Char"/>
    <w:uiPriority w:val="99"/>
    <w:semiHidden/>
    <w:rsid w:val="00471C2F"/>
    <w:pPr>
      <w:spacing w:after="120"/>
    </w:pPr>
    <w:rPr>
      <w:sz w:val="16"/>
      <w:szCs w:val="16"/>
    </w:rPr>
  </w:style>
  <w:style w:type="character" w:customStyle="1" w:styleId="BodyText3Char">
    <w:name w:val="Body Text 3 Char"/>
    <w:basedOn w:val="DefaultParagraphFont"/>
    <w:link w:val="BodyText3"/>
    <w:rsid w:val="00471C2F"/>
    <w:rPr>
      <w:rFonts w:eastAsiaTheme="minorEastAsia"/>
      <w:sz w:val="16"/>
      <w:szCs w:val="16"/>
      <w:lang w:val="en-US" w:eastAsia="en-US"/>
    </w:rPr>
  </w:style>
  <w:style w:type="paragraph" w:styleId="BodyTextFirstIndent">
    <w:name w:val="Body Text First Indent"/>
    <w:basedOn w:val="BodyText"/>
    <w:link w:val="BodyTextFirstIndentChar"/>
    <w:uiPriority w:val="99"/>
    <w:semiHidden/>
    <w:rsid w:val="00471C2F"/>
    <w:pPr>
      <w:spacing w:after="0"/>
      <w:ind w:firstLine="360"/>
    </w:pPr>
  </w:style>
  <w:style w:type="character" w:customStyle="1" w:styleId="BodyTextFirstIndentChar">
    <w:name w:val="Body Text First Indent Char"/>
    <w:basedOn w:val="BodyTextChar"/>
    <w:link w:val="BodyTextFirstIndent"/>
    <w:rsid w:val="00471C2F"/>
    <w:rPr>
      <w:rFonts w:eastAsiaTheme="minorEastAsia"/>
      <w:sz w:val="24"/>
      <w:lang w:val="en-US" w:eastAsia="en-US"/>
    </w:rPr>
  </w:style>
  <w:style w:type="paragraph" w:styleId="BodyTextIndent">
    <w:name w:val="Body Text Indent"/>
    <w:basedOn w:val="Normal"/>
    <w:link w:val="BodyTextIndentChar"/>
    <w:uiPriority w:val="99"/>
    <w:semiHidden/>
    <w:rsid w:val="00471C2F"/>
    <w:pPr>
      <w:spacing w:after="120"/>
      <w:ind w:left="283"/>
    </w:pPr>
  </w:style>
  <w:style w:type="character" w:customStyle="1" w:styleId="BodyTextIndentChar">
    <w:name w:val="Body Text Indent Char"/>
    <w:basedOn w:val="DefaultParagraphFont"/>
    <w:link w:val="BodyTextIndent"/>
    <w:rsid w:val="00471C2F"/>
    <w:rPr>
      <w:rFonts w:eastAsiaTheme="minorEastAsia"/>
      <w:sz w:val="24"/>
      <w:lang w:val="en-US" w:eastAsia="en-US"/>
    </w:rPr>
  </w:style>
  <w:style w:type="paragraph" w:styleId="BodyTextFirstIndent2">
    <w:name w:val="Body Text First Indent 2"/>
    <w:basedOn w:val="BodyTextIndent"/>
    <w:link w:val="BodyTextFirstIndent2Char"/>
    <w:uiPriority w:val="99"/>
    <w:semiHidden/>
    <w:rsid w:val="00471C2F"/>
    <w:pPr>
      <w:spacing w:after="0"/>
      <w:ind w:left="360" w:firstLine="360"/>
    </w:pPr>
  </w:style>
  <w:style w:type="character" w:customStyle="1" w:styleId="BodyTextFirstIndent2Char">
    <w:name w:val="Body Text First Indent 2 Char"/>
    <w:basedOn w:val="BodyTextIndentChar"/>
    <w:link w:val="BodyTextFirstIndent2"/>
    <w:rsid w:val="00471C2F"/>
    <w:rPr>
      <w:rFonts w:eastAsiaTheme="minorEastAsia"/>
      <w:sz w:val="24"/>
      <w:lang w:val="en-US" w:eastAsia="en-US"/>
    </w:rPr>
  </w:style>
  <w:style w:type="paragraph" w:styleId="BodyTextIndent2">
    <w:name w:val="Body Text Indent 2"/>
    <w:basedOn w:val="Normal"/>
    <w:link w:val="BodyTextIndent2Char"/>
    <w:uiPriority w:val="99"/>
    <w:semiHidden/>
    <w:rsid w:val="00471C2F"/>
    <w:pPr>
      <w:spacing w:after="120" w:line="480" w:lineRule="auto"/>
      <w:ind w:left="283"/>
    </w:pPr>
  </w:style>
  <w:style w:type="character" w:customStyle="1" w:styleId="BodyTextIndent2Char">
    <w:name w:val="Body Text Indent 2 Char"/>
    <w:basedOn w:val="DefaultParagraphFont"/>
    <w:link w:val="BodyTextIndent2"/>
    <w:rsid w:val="00471C2F"/>
    <w:rPr>
      <w:rFonts w:eastAsiaTheme="minorEastAsia"/>
      <w:sz w:val="24"/>
      <w:lang w:val="en-US" w:eastAsia="en-US"/>
    </w:rPr>
  </w:style>
  <w:style w:type="paragraph" w:styleId="BodyTextIndent3">
    <w:name w:val="Body Text Indent 3"/>
    <w:basedOn w:val="Normal"/>
    <w:link w:val="BodyTextIndent3Char"/>
    <w:uiPriority w:val="99"/>
    <w:semiHidden/>
    <w:rsid w:val="00471C2F"/>
    <w:pPr>
      <w:spacing w:after="120"/>
      <w:ind w:left="283"/>
    </w:pPr>
    <w:rPr>
      <w:sz w:val="16"/>
      <w:szCs w:val="16"/>
    </w:rPr>
  </w:style>
  <w:style w:type="character" w:customStyle="1" w:styleId="BodyTextIndent3Char">
    <w:name w:val="Body Text Indent 3 Char"/>
    <w:basedOn w:val="DefaultParagraphFont"/>
    <w:link w:val="BodyTextIndent3"/>
    <w:rsid w:val="00471C2F"/>
    <w:rPr>
      <w:rFonts w:eastAsiaTheme="minorEastAsia"/>
      <w:sz w:val="16"/>
      <w:szCs w:val="16"/>
      <w:lang w:val="en-US" w:eastAsia="en-US"/>
    </w:rPr>
  </w:style>
  <w:style w:type="paragraph" w:styleId="Caption">
    <w:name w:val="caption"/>
    <w:basedOn w:val="Normal"/>
    <w:next w:val="Normal"/>
    <w:uiPriority w:val="99"/>
    <w:semiHidden/>
    <w:qFormat/>
    <w:rsid w:val="00471C2F"/>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471C2F"/>
    <w:pPr>
      <w:ind w:left="4252"/>
    </w:pPr>
  </w:style>
  <w:style w:type="character" w:customStyle="1" w:styleId="ClosingChar">
    <w:name w:val="Closing Char"/>
    <w:basedOn w:val="DefaultParagraphFont"/>
    <w:link w:val="Closing"/>
    <w:rsid w:val="00471C2F"/>
    <w:rPr>
      <w:rFonts w:eastAsiaTheme="minorEastAsia"/>
      <w:sz w:val="24"/>
      <w:lang w:val="en-US" w:eastAsia="en-US"/>
    </w:rPr>
  </w:style>
  <w:style w:type="table" w:styleId="ColorfulGrid">
    <w:name w:val="Colorful Grid"/>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471C2F"/>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471C2F"/>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471C2F"/>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471C2F"/>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471C2F"/>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471C2F"/>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471C2F"/>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471C2F"/>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471C2F"/>
  </w:style>
  <w:style w:type="character" w:customStyle="1" w:styleId="DateChar">
    <w:name w:val="Date Char"/>
    <w:basedOn w:val="DefaultParagraphFont"/>
    <w:link w:val="Date"/>
    <w:rsid w:val="00471C2F"/>
    <w:rPr>
      <w:rFonts w:eastAsiaTheme="minorEastAsia"/>
      <w:sz w:val="24"/>
      <w:lang w:val="en-US" w:eastAsia="en-US"/>
    </w:rPr>
  </w:style>
  <w:style w:type="paragraph" w:styleId="E-mailSignature">
    <w:name w:val="E-mail Signature"/>
    <w:basedOn w:val="Normal"/>
    <w:link w:val="E-mailSignatureChar"/>
    <w:uiPriority w:val="99"/>
    <w:semiHidden/>
    <w:rsid w:val="00471C2F"/>
  </w:style>
  <w:style w:type="character" w:customStyle="1" w:styleId="E-mailSignatureChar">
    <w:name w:val="E-mail Signature Char"/>
    <w:basedOn w:val="DefaultParagraphFont"/>
    <w:link w:val="E-mailSignature"/>
    <w:rsid w:val="00471C2F"/>
    <w:rPr>
      <w:rFonts w:eastAsiaTheme="minorEastAsia"/>
      <w:sz w:val="24"/>
      <w:lang w:val="en-US" w:eastAsia="en-US"/>
    </w:rPr>
  </w:style>
  <w:style w:type="paragraph" w:styleId="EnvelopeAddress">
    <w:name w:val="envelope address"/>
    <w:basedOn w:val="Normal"/>
    <w:uiPriority w:val="99"/>
    <w:semiHidden/>
    <w:rsid w:val="00471C2F"/>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471C2F"/>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471C2F"/>
  </w:style>
  <w:style w:type="paragraph" w:styleId="HTMLAddress">
    <w:name w:val="HTML Address"/>
    <w:basedOn w:val="Normal"/>
    <w:link w:val="HTMLAddressChar"/>
    <w:uiPriority w:val="99"/>
    <w:semiHidden/>
    <w:rsid w:val="00471C2F"/>
    <w:rPr>
      <w:i/>
      <w:iCs/>
    </w:rPr>
  </w:style>
  <w:style w:type="character" w:customStyle="1" w:styleId="HTMLAddressChar">
    <w:name w:val="HTML Address Char"/>
    <w:basedOn w:val="DefaultParagraphFont"/>
    <w:link w:val="HTMLAddress"/>
    <w:rsid w:val="00471C2F"/>
    <w:rPr>
      <w:rFonts w:eastAsiaTheme="minorEastAsia"/>
      <w:i/>
      <w:iCs/>
      <w:sz w:val="24"/>
      <w:lang w:val="en-US" w:eastAsia="en-US"/>
    </w:rPr>
  </w:style>
  <w:style w:type="character" w:styleId="HTMLCite">
    <w:name w:val="HTML Cite"/>
    <w:basedOn w:val="DefaultParagraphFont"/>
    <w:uiPriority w:val="99"/>
    <w:semiHidden/>
    <w:rsid w:val="00471C2F"/>
    <w:rPr>
      <w:i/>
      <w:iCs/>
    </w:rPr>
  </w:style>
  <w:style w:type="character" w:styleId="HTMLCode">
    <w:name w:val="HTML Code"/>
    <w:basedOn w:val="DefaultParagraphFont"/>
    <w:uiPriority w:val="99"/>
    <w:semiHidden/>
    <w:rsid w:val="00471C2F"/>
    <w:rPr>
      <w:rFonts w:ascii="Consolas" w:hAnsi="Consolas" w:cs="Consolas"/>
      <w:sz w:val="20"/>
      <w:szCs w:val="20"/>
    </w:rPr>
  </w:style>
  <w:style w:type="character" w:styleId="HTMLDefinition">
    <w:name w:val="HTML Definition"/>
    <w:basedOn w:val="DefaultParagraphFont"/>
    <w:uiPriority w:val="99"/>
    <w:semiHidden/>
    <w:rsid w:val="00471C2F"/>
    <w:rPr>
      <w:i/>
      <w:iCs/>
    </w:rPr>
  </w:style>
  <w:style w:type="character" w:styleId="HTMLKeyboard">
    <w:name w:val="HTML Keyboard"/>
    <w:basedOn w:val="DefaultParagraphFont"/>
    <w:uiPriority w:val="99"/>
    <w:semiHidden/>
    <w:rsid w:val="00471C2F"/>
    <w:rPr>
      <w:rFonts w:ascii="Consolas" w:hAnsi="Consolas" w:cs="Consolas"/>
      <w:sz w:val="20"/>
      <w:szCs w:val="20"/>
    </w:rPr>
  </w:style>
  <w:style w:type="paragraph" w:styleId="HTMLPreformatted">
    <w:name w:val="HTML Preformatted"/>
    <w:basedOn w:val="Normal"/>
    <w:link w:val="HTMLPreformattedChar"/>
    <w:uiPriority w:val="99"/>
    <w:semiHidden/>
    <w:rsid w:val="00471C2F"/>
    <w:rPr>
      <w:rFonts w:ascii="Consolas" w:hAnsi="Consolas" w:cs="Consolas"/>
      <w:sz w:val="20"/>
      <w:szCs w:val="20"/>
    </w:rPr>
  </w:style>
  <w:style w:type="character" w:customStyle="1" w:styleId="HTMLPreformattedChar">
    <w:name w:val="HTML Preformatted Char"/>
    <w:basedOn w:val="DefaultParagraphFont"/>
    <w:link w:val="HTMLPreformatted"/>
    <w:rsid w:val="00471C2F"/>
    <w:rPr>
      <w:rFonts w:ascii="Consolas" w:eastAsiaTheme="minorEastAsia" w:hAnsi="Consolas" w:cs="Consolas"/>
      <w:sz w:val="20"/>
      <w:szCs w:val="20"/>
      <w:lang w:val="en-US" w:eastAsia="en-US"/>
    </w:rPr>
  </w:style>
  <w:style w:type="character" w:styleId="HTMLSample">
    <w:name w:val="HTML Sample"/>
    <w:basedOn w:val="DefaultParagraphFont"/>
    <w:uiPriority w:val="99"/>
    <w:semiHidden/>
    <w:rsid w:val="00471C2F"/>
    <w:rPr>
      <w:rFonts w:ascii="Consolas" w:hAnsi="Consolas" w:cs="Consolas"/>
      <w:sz w:val="24"/>
      <w:szCs w:val="24"/>
    </w:rPr>
  </w:style>
  <w:style w:type="character" w:styleId="HTMLTypewriter">
    <w:name w:val="HTML Typewriter"/>
    <w:basedOn w:val="DefaultParagraphFont"/>
    <w:uiPriority w:val="99"/>
    <w:semiHidden/>
    <w:rsid w:val="00471C2F"/>
    <w:rPr>
      <w:rFonts w:ascii="Consolas" w:hAnsi="Consolas" w:cs="Consolas"/>
      <w:sz w:val="20"/>
      <w:szCs w:val="20"/>
    </w:rPr>
  </w:style>
  <w:style w:type="character" w:styleId="HTMLVariable">
    <w:name w:val="HTML Variable"/>
    <w:basedOn w:val="DefaultParagraphFont"/>
    <w:uiPriority w:val="99"/>
    <w:semiHidden/>
    <w:rsid w:val="00471C2F"/>
    <w:rPr>
      <w:i/>
      <w:iCs/>
    </w:rPr>
  </w:style>
  <w:style w:type="paragraph" w:styleId="Index1">
    <w:name w:val="index 1"/>
    <w:basedOn w:val="Normal"/>
    <w:next w:val="Normal"/>
    <w:autoRedefine/>
    <w:uiPriority w:val="99"/>
    <w:semiHidden/>
    <w:rsid w:val="00471C2F"/>
    <w:pPr>
      <w:ind w:left="240" w:hanging="240"/>
    </w:pPr>
  </w:style>
  <w:style w:type="paragraph" w:styleId="Index2">
    <w:name w:val="index 2"/>
    <w:basedOn w:val="Normal"/>
    <w:next w:val="Normal"/>
    <w:autoRedefine/>
    <w:uiPriority w:val="99"/>
    <w:semiHidden/>
    <w:rsid w:val="00471C2F"/>
    <w:pPr>
      <w:ind w:left="480" w:hanging="240"/>
    </w:pPr>
  </w:style>
  <w:style w:type="paragraph" w:styleId="Index3">
    <w:name w:val="index 3"/>
    <w:basedOn w:val="Normal"/>
    <w:next w:val="Normal"/>
    <w:autoRedefine/>
    <w:uiPriority w:val="99"/>
    <w:semiHidden/>
    <w:rsid w:val="00471C2F"/>
    <w:pPr>
      <w:ind w:left="720" w:hanging="240"/>
    </w:pPr>
  </w:style>
  <w:style w:type="paragraph" w:styleId="Index4">
    <w:name w:val="index 4"/>
    <w:basedOn w:val="Normal"/>
    <w:next w:val="Normal"/>
    <w:autoRedefine/>
    <w:uiPriority w:val="99"/>
    <w:semiHidden/>
    <w:rsid w:val="00471C2F"/>
    <w:pPr>
      <w:ind w:left="960" w:hanging="240"/>
    </w:pPr>
  </w:style>
  <w:style w:type="paragraph" w:styleId="Index5">
    <w:name w:val="index 5"/>
    <w:basedOn w:val="Normal"/>
    <w:next w:val="Normal"/>
    <w:autoRedefine/>
    <w:uiPriority w:val="99"/>
    <w:semiHidden/>
    <w:rsid w:val="00471C2F"/>
    <w:pPr>
      <w:ind w:left="1200" w:hanging="240"/>
    </w:pPr>
  </w:style>
  <w:style w:type="paragraph" w:styleId="Index6">
    <w:name w:val="index 6"/>
    <w:basedOn w:val="Normal"/>
    <w:next w:val="Normal"/>
    <w:autoRedefine/>
    <w:uiPriority w:val="99"/>
    <w:semiHidden/>
    <w:rsid w:val="00471C2F"/>
    <w:pPr>
      <w:ind w:left="1440" w:hanging="240"/>
    </w:pPr>
  </w:style>
  <w:style w:type="paragraph" w:styleId="Index7">
    <w:name w:val="index 7"/>
    <w:basedOn w:val="Normal"/>
    <w:next w:val="Normal"/>
    <w:autoRedefine/>
    <w:uiPriority w:val="99"/>
    <w:semiHidden/>
    <w:rsid w:val="00471C2F"/>
    <w:pPr>
      <w:ind w:left="1680" w:hanging="240"/>
    </w:pPr>
  </w:style>
  <w:style w:type="paragraph" w:styleId="Index8">
    <w:name w:val="index 8"/>
    <w:basedOn w:val="Normal"/>
    <w:next w:val="Normal"/>
    <w:autoRedefine/>
    <w:uiPriority w:val="99"/>
    <w:semiHidden/>
    <w:rsid w:val="00471C2F"/>
    <w:pPr>
      <w:ind w:left="1920" w:hanging="240"/>
    </w:pPr>
  </w:style>
  <w:style w:type="paragraph" w:styleId="Index9">
    <w:name w:val="index 9"/>
    <w:basedOn w:val="Normal"/>
    <w:next w:val="Normal"/>
    <w:autoRedefine/>
    <w:uiPriority w:val="99"/>
    <w:semiHidden/>
    <w:rsid w:val="00471C2F"/>
    <w:pPr>
      <w:ind w:left="2160" w:hanging="240"/>
    </w:pPr>
  </w:style>
  <w:style w:type="paragraph" w:styleId="IndexHeading">
    <w:name w:val="index heading"/>
    <w:basedOn w:val="Normal"/>
    <w:next w:val="Index1"/>
    <w:uiPriority w:val="99"/>
    <w:semiHidden/>
    <w:rsid w:val="00471C2F"/>
    <w:rPr>
      <w:rFonts w:asciiTheme="majorHAnsi" w:eastAsiaTheme="majorEastAsia" w:hAnsiTheme="majorHAnsi" w:cstheme="majorBidi"/>
      <w:b/>
      <w:bCs/>
    </w:rPr>
  </w:style>
  <w:style w:type="table" w:styleId="LightGrid">
    <w:name w:val="Light Grid"/>
    <w:basedOn w:val="TableNormal"/>
    <w:uiPriority w:val="99"/>
    <w:semiHidden/>
    <w:rsid w:val="00471C2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471C2F"/>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471C2F"/>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471C2F"/>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471C2F"/>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471C2F"/>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471C2F"/>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471C2F"/>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471C2F"/>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471C2F"/>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471C2F"/>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471C2F"/>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471C2F"/>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471C2F"/>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471C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471C2F"/>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471C2F"/>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471C2F"/>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471C2F"/>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471C2F"/>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471C2F"/>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471C2F"/>
  </w:style>
  <w:style w:type="paragraph" w:styleId="List">
    <w:name w:val="List"/>
    <w:basedOn w:val="Normal"/>
    <w:uiPriority w:val="99"/>
    <w:semiHidden/>
    <w:rsid w:val="00471C2F"/>
    <w:pPr>
      <w:ind w:left="283" w:hanging="283"/>
      <w:contextualSpacing/>
    </w:pPr>
  </w:style>
  <w:style w:type="paragraph" w:styleId="List2">
    <w:name w:val="List 2"/>
    <w:basedOn w:val="Normal"/>
    <w:uiPriority w:val="99"/>
    <w:semiHidden/>
    <w:rsid w:val="00471C2F"/>
    <w:pPr>
      <w:ind w:left="566" w:hanging="283"/>
      <w:contextualSpacing/>
    </w:pPr>
  </w:style>
  <w:style w:type="paragraph" w:styleId="List3">
    <w:name w:val="List 3"/>
    <w:basedOn w:val="Normal"/>
    <w:uiPriority w:val="99"/>
    <w:semiHidden/>
    <w:rsid w:val="00471C2F"/>
    <w:pPr>
      <w:ind w:left="849" w:hanging="283"/>
      <w:contextualSpacing/>
    </w:pPr>
  </w:style>
  <w:style w:type="paragraph" w:styleId="List4">
    <w:name w:val="List 4"/>
    <w:basedOn w:val="Normal"/>
    <w:uiPriority w:val="99"/>
    <w:semiHidden/>
    <w:rsid w:val="00471C2F"/>
    <w:pPr>
      <w:ind w:left="1132" w:hanging="283"/>
      <w:contextualSpacing/>
    </w:pPr>
  </w:style>
  <w:style w:type="paragraph" w:styleId="List5">
    <w:name w:val="List 5"/>
    <w:basedOn w:val="Normal"/>
    <w:uiPriority w:val="99"/>
    <w:semiHidden/>
    <w:rsid w:val="00471C2F"/>
    <w:pPr>
      <w:ind w:left="1415" w:hanging="283"/>
      <w:contextualSpacing/>
    </w:pPr>
  </w:style>
  <w:style w:type="paragraph" w:styleId="ListBullet2">
    <w:name w:val="List Bullet 2"/>
    <w:basedOn w:val="Normal"/>
    <w:uiPriority w:val="99"/>
    <w:semiHidden/>
    <w:rsid w:val="00471C2F"/>
    <w:pPr>
      <w:numPr>
        <w:numId w:val="2"/>
      </w:numPr>
      <w:contextualSpacing/>
    </w:pPr>
  </w:style>
  <w:style w:type="paragraph" w:styleId="ListBullet3">
    <w:name w:val="List Bullet 3"/>
    <w:basedOn w:val="Normal"/>
    <w:uiPriority w:val="99"/>
    <w:semiHidden/>
    <w:rsid w:val="00471C2F"/>
    <w:pPr>
      <w:numPr>
        <w:numId w:val="3"/>
      </w:numPr>
      <w:contextualSpacing/>
    </w:pPr>
  </w:style>
  <w:style w:type="paragraph" w:styleId="ListBullet4">
    <w:name w:val="List Bullet 4"/>
    <w:basedOn w:val="Normal"/>
    <w:uiPriority w:val="99"/>
    <w:semiHidden/>
    <w:rsid w:val="00471C2F"/>
    <w:pPr>
      <w:numPr>
        <w:numId w:val="4"/>
      </w:numPr>
      <w:contextualSpacing/>
    </w:pPr>
  </w:style>
  <w:style w:type="paragraph" w:styleId="ListBullet5">
    <w:name w:val="List Bullet 5"/>
    <w:basedOn w:val="Normal"/>
    <w:uiPriority w:val="99"/>
    <w:semiHidden/>
    <w:rsid w:val="00471C2F"/>
    <w:pPr>
      <w:numPr>
        <w:numId w:val="5"/>
      </w:numPr>
      <w:contextualSpacing/>
    </w:pPr>
  </w:style>
  <w:style w:type="paragraph" w:styleId="ListContinue">
    <w:name w:val="List Continue"/>
    <w:basedOn w:val="Normal"/>
    <w:uiPriority w:val="99"/>
    <w:semiHidden/>
    <w:rsid w:val="00471C2F"/>
    <w:pPr>
      <w:spacing w:after="120"/>
      <w:ind w:left="283"/>
      <w:contextualSpacing/>
    </w:pPr>
  </w:style>
  <w:style w:type="paragraph" w:styleId="ListContinue2">
    <w:name w:val="List Continue 2"/>
    <w:basedOn w:val="Normal"/>
    <w:uiPriority w:val="99"/>
    <w:semiHidden/>
    <w:rsid w:val="00471C2F"/>
    <w:pPr>
      <w:spacing w:after="120"/>
      <w:ind w:left="566"/>
      <w:contextualSpacing/>
    </w:pPr>
  </w:style>
  <w:style w:type="paragraph" w:styleId="ListContinue3">
    <w:name w:val="List Continue 3"/>
    <w:basedOn w:val="Normal"/>
    <w:uiPriority w:val="99"/>
    <w:semiHidden/>
    <w:rsid w:val="00471C2F"/>
    <w:pPr>
      <w:spacing w:after="120"/>
      <w:ind w:left="849"/>
      <w:contextualSpacing/>
    </w:pPr>
  </w:style>
  <w:style w:type="paragraph" w:styleId="ListContinue4">
    <w:name w:val="List Continue 4"/>
    <w:basedOn w:val="Normal"/>
    <w:uiPriority w:val="99"/>
    <w:semiHidden/>
    <w:rsid w:val="00471C2F"/>
    <w:pPr>
      <w:spacing w:after="120"/>
      <w:ind w:left="1132"/>
      <w:contextualSpacing/>
    </w:pPr>
  </w:style>
  <w:style w:type="paragraph" w:styleId="ListContinue5">
    <w:name w:val="List Continue 5"/>
    <w:basedOn w:val="Normal"/>
    <w:uiPriority w:val="99"/>
    <w:semiHidden/>
    <w:rsid w:val="00471C2F"/>
    <w:pPr>
      <w:spacing w:after="120"/>
      <w:ind w:left="1415"/>
      <w:contextualSpacing/>
    </w:pPr>
  </w:style>
  <w:style w:type="paragraph" w:styleId="ListNumber">
    <w:name w:val="List Number"/>
    <w:basedOn w:val="Normal"/>
    <w:uiPriority w:val="99"/>
    <w:semiHidden/>
    <w:rsid w:val="00471C2F"/>
    <w:pPr>
      <w:numPr>
        <w:numId w:val="6"/>
      </w:numPr>
      <w:contextualSpacing/>
    </w:pPr>
  </w:style>
  <w:style w:type="paragraph" w:styleId="ListNumber2">
    <w:name w:val="List Number 2"/>
    <w:basedOn w:val="Normal"/>
    <w:uiPriority w:val="99"/>
    <w:semiHidden/>
    <w:rsid w:val="00471C2F"/>
    <w:pPr>
      <w:numPr>
        <w:numId w:val="7"/>
      </w:numPr>
      <w:contextualSpacing/>
    </w:pPr>
  </w:style>
  <w:style w:type="paragraph" w:styleId="ListNumber3">
    <w:name w:val="List Number 3"/>
    <w:basedOn w:val="Normal"/>
    <w:uiPriority w:val="99"/>
    <w:semiHidden/>
    <w:rsid w:val="00471C2F"/>
    <w:pPr>
      <w:numPr>
        <w:numId w:val="8"/>
      </w:numPr>
      <w:contextualSpacing/>
    </w:pPr>
  </w:style>
  <w:style w:type="paragraph" w:styleId="ListNumber4">
    <w:name w:val="List Number 4"/>
    <w:basedOn w:val="Normal"/>
    <w:uiPriority w:val="99"/>
    <w:semiHidden/>
    <w:rsid w:val="00471C2F"/>
    <w:pPr>
      <w:numPr>
        <w:numId w:val="9"/>
      </w:numPr>
      <w:contextualSpacing/>
    </w:pPr>
  </w:style>
  <w:style w:type="paragraph" w:styleId="ListNumber5">
    <w:name w:val="List Number 5"/>
    <w:basedOn w:val="Normal"/>
    <w:uiPriority w:val="99"/>
    <w:semiHidden/>
    <w:rsid w:val="00471C2F"/>
    <w:pPr>
      <w:numPr>
        <w:numId w:val="10"/>
      </w:numPr>
      <w:contextualSpacing/>
    </w:pPr>
  </w:style>
  <w:style w:type="paragraph" w:styleId="MacroText">
    <w:name w:val="macro"/>
    <w:link w:val="MacroTextChar"/>
    <w:uiPriority w:val="99"/>
    <w:semiHidden/>
    <w:rsid w:val="00471C2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val="en-US" w:eastAsia="en-US"/>
    </w:rPr>
  </w:style>
  <w:style w:type="character" w:customStyle="1" w:styleId="MacroTextChar">
    <w:name w:val="Macro Text Char"/>
    <w:basedOn w:val="DefaultParagraphFont"/>
    <w:link w:val="MacroText"/>
    <w:rsid w:val="00471C2F"/>
    <w:rPr>
      <w:rFonts w:ascii="Consolas" w:eastAsiaTheme="minorEastAsia" w:hAnsi="Consolas" w:cs="Consolas"/>
      <w:sz w:val="20"/>
      <w:szCs w:val="20"/>
      <w:lang w:val="en-US" w:eastAsia="en-US"/>
    </w:rPr>
  </w:style>
  <w:style w:type="table" w:styleId="MediumGrid1">
    <w:name w:val="Medium Grid 1"/>
    <w:basedOn w:val="TableNormal"/>
    <w:uiPriority w:val="99"/>
    <w:semiHidden/>
    <w:rsid w:val="00471C2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471C2F"/>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471C2F"/>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471C2F"/>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471C2F"/>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471C2F"/>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471C2F"/>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471C2F"/>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471C2F"/>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471C2F"/>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471C2F"/>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471C2F"/>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471C2F"/>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471C2F"/>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471C2F"/>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471C2F"/>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471C2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471C2F"/>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471C2F"/>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471C2F"/>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471C2F"/>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471C2F"/>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471C2F"/>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471C2F"/>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471C2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471C2F"/>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rsid w:val="00471C2F"/>
    <w:rPr>
      <w:rFonts w:ascii="Times New Roman" w:hAnsi="Times New Roman" w:cs="Times New Roman"/>
      <w:szCs w:val="24"/>
    </w:rPr>
  </w:style>
  <w:style w:type="paragraph" w:styleId="NormalIndent">
    <w:name w:val="Normal Indent"/>
    <w:basedOn w:val="Normal"/>
    <w:uiPriority w:val="99"/>
    <w:semiHidden/>
    <w:rsid w:val="00471C2F"/>
    <w:pPr>
      <w:ind w:left="720"/>
    </w:pPr>
  </w:style>
  <w:style w:type="paragraph" w:styleId="NoteHeading">
    <w:name w:val="Note Heading"/>
    <w:basedOn w:val="Normal"/>
    <w:next w:val="Normal"/>
    <w:link w:val="NoteHeadingChar"/>
    <w:uiPriority w:val="99"/>
    <w:semiHidden/>
    <w:rsid w:val="00471C2F"/>
  </w:style>
  <w:style w:type="character" w:customStyle="1" w:styleId="NoteHeadingChar">
    <w:name w:val="Note Heading Char"/>
    <w:basedOn w:val="DefaultParagraphFont"/>
    <w:link w:val="NoteHeading"/>
    <w:rsid w:val="00471C2F"/>
    <w:rPr>
      <w:rFonts w:eastAsiaTheme="minorEastAsia"/>
      <w:sz w:val="24"/>
      <w:lang w:val="en-US" w:eastAsia="en-US"/>
    </w:rPr>
  </w:style>
  <w:style w:type="character" w:styleId="PlaceholderText">
    <w:name w:val="Placeholder Text"/>
    <w:basedOn w:val="DefaultParagraphFont"/>
    <w:uiPriority w:val="99"/>
    <w:semiHidden/>
    <w:rsid w:val="00471C2F"/>
    <w:rPr>
      <w:color w:val="808080"/>
    </w:rPr>
  </w:style>
  <w:style w:type="paragraph" w:styleId="PlainText">
    <w:name w:val="Plain Text"/>
    <w:basedOn w:val="Normal"/>
    <w:link w:val="PlainTextChar"/>
    <w:uiPriority w:val="99"/>
    <w:semiHidden/>
    <w:rsid w:val="00471C2F"/>
    <w:rPr>
      <w:rFonts w:ascii="Consolas" w:hAnsi="Consolas" w:cs="Consolas"/>
      <w:sz w:val="21"/>
      <w:szCs w:val="21"/>
    </w:rPr>
  </w:style>
  <w:style w:type="character" w:customStyle="1" w:styleId="PlainTextChar">
    <w:name w:val="Plain Text Char"/>
    <w:basedOn w:val="DefaultParagraphFont"/>
    <w:link w:val="PlainText"/>
    <w:rsid w:val="00471C2F"/>
    <w:rPr>
      <w:rFonts w:ascii="Consolas" w:eastAsiaTheme="minorEastAsia" w:hAnsi="Consolas" w:cs="Consolas"/>
      <w:sz w:val="21"/>
      <w:szCs w:val="21"/>
      <w:lang w:val="en-US" w:eastAsia="en-US"/>
    </w:rPr>
  </w:style>
  <w:style w:type="paragraph" w:styleId="Salutation">
    <w:name w:val="Salutation"/>
    <w:basedOn w:val="Normal"/>
    <w:next w:val="Normal"/>
    <w:link w:val="SalutationChar"/>
    <w:uiPriority w:val="99"/>
    <w:semiHidden/>
    <w:rsid w:val="00471C2F"/>
  </w:style>
  <w:style w:type="character" w:customStyle="1" w:styleId="SalutationChar">
    <w:name w:val="Salutation Char"/>
    <w:basedOn w:val="DefaultParagraphFont"/>
    <w:link w:val="Salutation"/>
    <w:rsid w:val="00471C2F"/>
    <w:rPr>
      <w:rFonts w:eastAsiaTheme="minorEastAsia"/>
      <w:sz w:val="24"/>
      <w:lang w:val="en-US" w:eastAsia="en-US"/>
    </w:rPr>
  </w:style>
  <w:style w:type="paragraph" w:styleId="Signature">
    <w:name w:val="Signature"/>
    <w:basedOn w:val="Normal"/>
    <w:link w:val="SignatureChar"/>
    <w:uiPriority w:val="99"/>
    <w:semiHidden/>
    <w:rsid w:val="00471C2F"/>
    <w:pPr>
      <w:ind w:left="4252"/>
    </w:pPr>
  </w:style>
  <w:style w:type="character" w:customStyle="1" w:styleId="SignatureChar">
    <w:name w:val="Signature Char"/>
    <w:basedOn w:val="DefaultParagraphFont"/>
    <w:link w:val="Signature"/>
    <w:rsid w:val="00471C2F"/>
    <w:rPr>
      <w:rFonts w:eastAsiaTheme="minorEastAsia"/>
      <w:sz w:val="24"/>
      <w:lang w:val="en-US" w:eastAsia="en-US"/>
    </w:rPr>
  </w:style>
  <w:style w:type="table" w:styleId="Table3Deffects1">
    <w:name w:val="Table 3D effects 1"/>
    <w:basedOn w:val="TableNormal"/>
    <w:uiPriority w:val="99"/>
    <w:semiHidden/>
    <w:rsid w:val="00471C2F"/>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71C2F"/>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71C2F"/>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71C2F"/>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71C2F"/>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71C2F"/>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71C2F"/>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71C2F"/>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71C2F"/>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71C2F"/>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71C2F"/>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71C2F"/>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71C2F"/>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71C2F"/>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471C2F"/>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471C2F"/>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71C2F"/>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71C2F"/>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71C2F"/>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71C2F"/>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471C2F"/>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471C2F"/>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71C2F"/>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71C2F"/>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71C2F"/>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71C2F"/>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71C2F"/>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71C2F"/>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71C2F"/>
    <w:pPr>
      <w:ind w:left="240" w:hanging="240"/>
    </w:pPr>
  </w:style>
  <w:style w:type="paragraph" w:styleId="TableofFigures">
    <w:name w:val="table of figures"/>
    <w:basedOn w:val="Normal"/>
    <w:next w:val="Normal"/>
    <w:uiPriority w:val="99"/>
    <w:semiHidden/>
    <w:rsid w:val="00471C2F"/>
  </w:style>
  <w:style w:type="table" w:styleId="TableProfessional">
    <w:name w:val="Table Professional"/>
    <w:basedOn w:val="TableNormal"/>
    <w:uiPriority w:val="99"/>
    <w:semiHidden/>
    <w:rsid w:val="00471C2F"/>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71C2F"/>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71C2F"/>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71C2F"/>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71C2F"/>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71C2F"/>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71C2F"/>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471C2F"/>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71C2F"/>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71C2F"/>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71C2F"/>
    <w:pPr>
      <w:spacing w:after="100"/>
      <w:ind w:left="1200"/>
    </w:pPr>
  </w:style>
  <w:style w:type="paragraph" w:styleId="TOC7">
    <w:name w:val="toc 7"/>
    <w:basedOn w:val="Normal"/>
    <w:next w:val="Normal"/>
    <w:autoRedefine/>
    <w:uiPriority w:val="99"/>
    <w:semiHidden/>
    <w:rsid w:val="00471C2F"/>
    <w:pPr>
      <w:spacing w:after="100"/>
      <w:ind w:left="1440"/>
    </w:pPr>
  </w:style>
  <w:style w:type="paragraph" w:styleId="TOC8">
    <w:name w:val="toc 8"/>
    <w:basedOn w:val="Normal"/>
    <w:next w:val="Normal"/>
    <w:autoRedefine/>
    <w:uiPriority w:val="99"/>
    <w:semiHidden/>
    <w:rsid w:val="00471C2F"/>
    <w:pPr>
      <w:spacing w:after="100"/>
      <w:ind w:left="1680"/>
    </w:pPr>
  </w:style>
  <w:style w:type="paragraph" w:styleId="TOC9">
    <w:name w:val="toc 9"/>
    <w:basedOn w:val="Normal"/>
    <w:next w:val="Normal"/>
    <w:autoRedefine/>
    <w:uiPriority w:val="99"/>
    <w:semiHidden/>
    <w:rsid w:val="00471C2F"/>
    <w:pPr>
      <w:spacing w:after="100"/>
      <w:ind w:left="1920"/>
    </w:pPr>
  </w:style>
  <w:style w:type="character" w:customStyle="1" w:styleId="JuParaChar">
    <w:name w:val="Ju_Para Char"/>
    <w:rsid w:val="000B4A60"/>
    <w:rPr>
      <w:sz w:val="24"/>
      <w:lang w:val="fr-FR" w:eastAsia="fr-FR" w:bidi="ar-SA"/>
    </w:rPr>
  </w:style>
  <w:style w:type="character" w:customStyle="1" w:styleId="sb8d990e2">
    <w:name w:val="sb8d990e2"/>
    <w:basedOn w:val="DefaultParagraphFont"/>
    <w:rsid w:val="000B4A60"/>
  </w:style>
  <w:style w:type="character" w:customStyle="1" w:styleId="sea881cdfhasverticalalignsuper">
    <w:name w:val="sea881cdf hasverticalalignsuper"/>
    <w:basedOn w:val="DefaultParagraphFont"/>
    <w:rsid w:val="000B4A60"/>
  </w:style>
  <w:style w:type="character" w:customStyle="1" w:styleId="JuSignedChar">
    <w:name w:val="Ju_Signed Char"/>
    <w:basedOn w:val="DefaultParagraphFont"/>
    <w:link w:val="JuSigned"/>
    <w:rsid w:val="000B4A60"/>
    <w:rPr>
      <w:rFonts w:eastAsiaTheme="minorEastAsia"/>
      <w:sz w:val="24"/>
    </w:rPr>
  </w:style>
  <w:style w:type="character" w:customStyle="1" w:styleId="sfbbfee58">
    <w:name w:val="sfbbfee58"/>
    <w:basedOn w:val="DefaultParagraphFont"/>
    <w:rsid w:val="000B4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17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406B8-AAA8-4321-A0DB-6DAFCD75CF0D}"/>
</file>

<file path=customXml/itemProps2.xml><?xml version="1.0" encoding="utf-8"?>
<ds:datastoreItem xmlns:ds="http://schemas.openxmlformats.org/officeDocument/2006/customXml" ds:itemID="{F48BD36B-47EA-48EC-952E-7D8E333285CE}"/>
</file>

<file path=customXml/itemProps3.xml><?xml version="1.0" encoding="utf-8"?>
<ds:datastoreItem xmlns:ds="http://schemas.openxmlformats.org/officeDocument/2006/customXml" ds:itemID="{4E5DCF81-7F2C-46BD-8E9A-FB6AB01BE344}"/>
</file>

<file path=customXml/itemProps4.xml><?xml version="1.0" encoding="utf-8"?>
<ds:datastoreItem xmlns:ds="http://schemas.openxmlformats.org/officeDocument/2006/customXml" ds:itemID="{593EF32D-2823-405B-9642-2A8E9335EAB6}"/>
</file>

<file path=docProps/app.xml><?xml version="1.0" encoding="utf-8"?>
<Properties xmlns="http://schemas.openxmlformats.org/officeDocument/2006/extended-properties" xmlns:vt="http://schemas.openxmlformats.org/officeDocument/2006/docPropsVTypes">
  <Template>Normal.dotm</Template>
  <TotalTime>0</TotalTime>
  <Pages>1</Pages>
  <Words>2377</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2</cp:revision>
  <cp:lastPrinted>2013-09-27T06:42:00Z</cp:lastPrinted>
  <dcterms:created xsi:type="dcterms:W3CDTF">2013-10-15T08:02:00Z</dcterms:created>
  <dcterms:modified xsi:type="dcterms:W3CDTF">2013-10-15T08:02:00Z</dcterms:modified>
  <cp:category>ECHR Template</cp:category>
</cp:coreProperties>
</file>