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A62B6" w14:textId="12FEBE61" w:rsidR="000359A3" w:rsidRDefault="001E6136" w:rsidP="001E6136">
      <w:pPr>
        <w:pStyle w:val="DecHTitle"/>
      </w:pPr>
      <w:r>
        <w:t>EUROPEJSKI TRYBUNAŁ PRAW CZŁOWIEKA</w:t>
      </w:r>
    </w:p>
    <w:p w14:paraId="0E69C0B4" w14:textId="77777777" w:rsidR="000359A3" w:rsidRDefault="000359A3">
      <w:pPr>
        <w:jc w:val="center"/>
        <w:rPr>
          <w:sz w:val="4"/>
        </w:rPr>
      </w:pPr>
    </w:p>
    <w:p w14:paraId="0A12720A" w14:textId="77777777" w:rsidR="000359A3" w:rsidRDefault="006E0BDF">
      <w:pPr>
        <w:pStyle w:val="DecHTitle"/>
      </w:pPr>
      <w:r>
        <w:t>SEKCJA DRUGA</w:t>
      </w:r>
    </w:p>
    <w:p w14:paraId="00ADA967" w14:textId="77777777" w:rsidR="000359A3" w:rsidRDefault="006E0BDF">
      <w:pPr>
        <w:pStyle w:val="DecHTitle"/>
      </w:pPr>
      <w:r>
        <w:t>DECYZJA</w:t>
      </w:r>
    </w:p>
    <w:p w14:paraId="214877A3" w14:textId="77777777" w:rsidR="000359A3" w:rsidRDefault="006E0BDF">
      <w:pPr>
        <w:pStyle w:val="ECHRTitleCentre2"/>
      </w:pPr>
      <w:r>
        <w:t>Skarga nr 18357/11</w:t>
      </w:r>
      <w:r>
        <w:br/>
        <w:t xml:space="preserve"> Gülseren KUTLU i Inni</w:t>
      </w:r>
      <w:r>
        <w:br/>
        <w:t xml:space="preserve"> przeciwko Turcji</w:t>
      </w:r>
    </w:p>
    <w:p w14:paraId="742269ED" w14:textId="77777777" w:rsidR="000359A3" w:rsidRDefault="000359A3">
      <w:pPr>
        <w:pStyle w:val="ECHRPara"/>
        <w:rPr>
          <w:sz w:val="2"/>
        </w:rPr>
      </w:pPr>
    </w:p>
    <w:p w14:paraId="674699E6" w14:textId="77777777" w:rsidR="000359A3" w:rsidRDefault="006E0BDF">
      <w:pPr>
        <w:pStyle w:val="ECHRPara"/>
      </w:pPr>
      <w:r>
        <w:t>Europejski Trybunał Praw Człowieka (Sekcja Druga), zasiadając w dniu 12 marca 2019 r. jako Izba w składzie:</w:t>
      </w:r>
    </w:p>
    <w:p w14:paraId="1A8B0B43" w14:textId="3295A54C" w:rsidR="000359A3" w:rsidRDefault="008304A1">
      <w:pPr>
        <w:pStyle w:val="ECHRDecisionBody"/>
      </w:pPr>
      <w:r>
        <w:tab/>
      </w:r>
      <w:r w:rsidR="006E0BDF">
        <w:t>Robert Spano,</w:t>
      </w:r>
      <w:r w:rsidR="006E0BDF">
        <w:rPr>
          <w:i/>
        </w:rPr>
        <w:t xml:space="preserve"> Przewodniczący,</w:t>
      </w:r>
      <w:r w:rsidR="006E0BDF">
        <w:rPr>
          <w:i/>
        </w:rPr>
        <w:br/>
      </w:r>
      <w:r w:rsidR="006E0BDF">
        <w:tab/>
        <w:t>Paul Lemmens,</w:t>
      </w:r>
      <w:r w:rsidR="006E0BDF">
        <w:rPr>
          <w:i/>
        </w:rPr>
        <w:br/>
      </w:r>
      <w:r w:rsidR="006E0BDF">
        <w:tab/>
        <w:t>Işil Karakaş,</w:t>
      </w:r>
    </w:p>
    <w:p w14:paraId="633BC2BC" w14:textId="35EA8846" w:rsidR="000359A3" w:rsidRDefault="00C81FD3">
      <w:pPr>
        <w:pStyle w:val="ECHRDecisionBody"/>
      </w:pPr>
      <w:r>
        <w:tab/>
      </w:r>
      <w:r w:rsidR="006E0BDF">
        <w:t>Julia Laffranque,</w:t>
      </w:r>
      <w:r w:rsidR="006E0BDF">
        <w:rPr>
          <w:i/>
        </w:rPr>
        <w:br/>
      </w:r>
      <w:r w:rsidR="006E0BDF">
        <w:tab/>
        <w:t>Valeriu Griţco,</w:t>
      </w:r>
      <w:r w:rsidR="006E0BDF">
        <w:rPr>
          <w:i/>
        </w:rPr>
        <w:br/>
      </w:r>
      <w:r w:rsidR="006E0BDF">
        <w:tab/>
        <w:t>Jon Fridrik Kjølbro,</w:t>
      </w:r>
      <w:r w:rsidR="006E0BDF">
        <w:rPr>
          <w:i/>
        </w:rPr>
        <w:br/>
      </w:r>
      <w:r w:rsidR="006E0BDF">
        <w:tab/>
        <w:t>Stéphanie Mourou-Vikström,</w:t>
      </w:r>
      <w:r w:rsidR="006E0BDF">
        <w:rPr>
          <w:i/>
        </w:rPr>
        <w:t xml:space="preserve"> sędziowie,</w:t>
      </w:r>
    </w:p>
    <w:p w14:paraId="06AA8562" w14:textId="77777777" w:rsidR="000359A3" w:rsidRDefault="006E0BDF">
      <w:pPr>
        <w:pStyle w:val="ECHRDecisionBody"/>
      </w:pPr>
      <w:r>
        <w:t xml:space="preserve">oraz Stanley Naismith, </w:t>
      </w:r>
      <w:r>
        <w:rPr>
          <w:i/>
        </w:rPr>
        <w:t>Kanclerz Sekcji,</w:t>
      </w:r>
    </w:p>
    <w:p w14:paraId="56CBC755" w14:textId="77777777" w:rsidR="000359A3" w:rsidRDefault="006E0BDF">
      <w:pPr>
        <w:pStyle w:val="ECHRPara"/>
      </w:pPr>
      <w:r>
        <w:t>Mając na uwadze powyższą skargę złożoną w dniu 6 grudnia 2010 r.,</w:t>
      </w:r>
    </w:p>
    <w:p w14:paraId="62AAF3B3" w14:textId="1B251FBA" w:rsidR="000359A3" w:rsidRDefault="006E0BDF">
      <w:pPr>
        <w:pStyle w:val="ECHRPara"/>
      </w:pPr>
      <w:r>
        <w:t>Mając na uwadze złożoną przez pozwany Rząd w dniu 30 stycznia 2018</w:t>
      </w:r>
      <w:r w:rsidR="004811BC">
        <w:t> </w:t>
      </w:r>
      <w:r>
        <w:t>r. deklarację, w której wezwał Trybunał do skreślenia skargi z listy spraw, oraz odpowiedź skarżących na tę deklarację,</w:t>
      </w:r>
    </w:p>
    <w:p w14:paraId="5354027A" w14:textId="77777777" w:rsidR="000359A3" w:rsidRDefault="006E0BDF">
      <w:pPr>
        <w:pStyle w:val="ECHRPara"/>
      </w:pPr>
      <w:r>
        <w:t>Po naradzie postanawia, co następuje:</w:t>
      </w:r>
    </w:p>
    <w:p w14:paraId="58EFE41A" w14:textId="77777777" w:rsidR="000359A3" w:rsidRDefault="006E0BDF">
      <w:pPr>
        <w:pStyle w:val="ECHRTitle1"/>
      </w:pPr>
      <w:r>
        <w:t>FAKTY I PRZEBIEG POSTĘPOWANIA</w:t>
      </w:r>
    </w:p>
    <w:p w14:paraId="060E94DD" w14:textId="39D168C8" w:rsidR="000359A3" w:rsidRDefault="006E0BDF">
      <w:pPr>
        <w:pStyle w:val="ECHRPara"/>
      </w:pPr>
      <w:r>
        <w:t>1.</w:t>
      </w:r>
      <w:r w:rsidR="00181D1C">
        <w:tab/>
      </w:r>
      <w:r>
        <w:t xml:space="preserve"> Lista skarżących znajduje się w załączniku.</w:t>
      </w:r>
    </w:p>
    <w:p w14:paraId="78718679" w14:textId="77777777" w:rsidR="000359A3" w:rsidRDefault="006E0BDF">
      <w:pPr>
        <w:pStyle w:val="ECHRPara"/>
      </w:pPr>
      <w:r>
        <w:t>2. Rząd turecki („Rząd”) był reprezentowany przez swojego pełnomocnika.</w:t>
      </w:r>
    </w:p>
    <w:p w14:paraId="3640C5E5" w14:textId="39E7E8E2" w:rsidR="000359A3" w:rsidRDefault="006E0BDF">
      <w:pPr>
        <w:pStyle w:val="ECHRPara"/>
      </w:pPr>
      <w:r>
        <w:t xml:space="preserve">3. Mikdat Kutlu, mąż pierwszej skarżącej i ojciec pozostałych trzech skarżących, został </w:t>
      </w:r>
      <w:r w:rsidR="00C81FD3">
        <w:t>zatrzymany</w:t>
      </w:r>
      <w:r>
        <w:t xml:space="preserve"> i umieszczony w policyjnej izbie zatrzymań w</w:t>
      </w:r>
      <w:r w:rsidR="004811BC">
        <w:t> </w:t>
      </w:r>
      <w:r>
        <w:t>dniu 18 kwietnia 1992 r. Następnego dnia został przewieziony na oddział ratunkowy Szpitala Państwowego w Diyarbakır. Mimo podejmowanych przez lekarzy prób udzielenia mu pomocy zmarł w szpitalu tego samego dnia. Zgodnie z protokołem z sekcji zwłok śmierć Mikdata Kutlu nastąpiła w</w:t>
      </w:r>
      <w:r w:rsidR="004811BC">
        <w:t> </w:t>
      </w:r>
      <w:r>
        <w:t>wyniku krwawienia śródczaszkowego spowodowanego urazem głowy; jego czaszka była pęknięta, a na jego ciele widoczne były obrażenia i siniaki.</w:t>
      </w:r>
    </w:p>
    <w:p w14:paraId="6DF4B86E" w14:textId="6D15ABB5" w:rsidR="000359A3" w:rsidRDefault="006E0BDF">
      <w:pPr>
        <w:pStyle w:val="ECHRPara"/>
      </w:pPr>
      <w:r>
        <w:lastRenderedPageBreak/>
        <w:t>4. Kilku policjantów postawionych przed sądem w związku z zabójstwem zostało uniewinnionych w dniu 4 października 2011 r. przez sąd przysięgłych w Diyarbakır, ze względu na brak pewności co do tożsamości sprawców i</w:t>
      </w:r>
      <w:r w:rsidR="004811BC">
        <w:t> </w:t>
      </w:r>
      <w:r>
        <w:t>okoliczności, w jakich doszło do urazu głowy. Apelacja wniesiona przez skarżących od wyroku uniewinniającego została odrzucona przez Sąd Kasacyjny w dniu 8 maja 2013 r.</w:t>
      </w:r>
    </w:p>
    <w:p w14:paraId="605456C9" w14:textId="052F96BB" w:rsidR="000359A3" w:rsidRDefault="006E0BDF">
      <w:pPr>
        <w:pStyle w:val="ECHRPara"/>
      </w:pPr>
      <w:r>
        <w:t>5. Sąd pierwszej instancji nakazał również w wyroku z dnia 4 października 2011 r. zawiadomienie prokuratora o wyroku uniewinniającym, aby mógł on</w:t>
      </w:r>
      <w:r w:rsidR="004811BC">
        <w:t> </w:t>
      </w:r>
      <w:r>
        <w:t>podjąć działania w celu wykrycia rzeczywistych sprawców. Strony nie</w:t>
      </w:r>
      <w:r w:rsidR="004811BC">
        <w:t> </w:t>
      </w:r>
      <w:r>
        <w:t>poinformowały jednak Trybunału, czy takie postępowanie zostało wszczęte.</w:t>
      </w:r>
    </w:p>
    <w:p w14:paraId="1E923C8E" w14:textId="0615D0E7" w:rsidR="000359A3" w:rsidRDefault="006E0BDF">
      <w:pPr>
        <w:pStyle w:val="ECHRPara"/>
      </w:pPr>
      <w:r>
        <w:t xml:space="preserve">6. </w:t>
      </w:r>
      <w:r w:rsidR="007C3D3E" w:rsidRPr="007C3D3E">
        <w:t>Skarga została zakomunikowana Rządowi</w:t>
      </w:r>
      <w:r>
        <w:rPr>
          <w:color w:val="0000FF"/>
        </w:rPr>
        <w:t>.</w:t>
      </w:r>
    </w:p>
    <w:p w14:paraId="6B29DDC3" w14:textId="77777777" w:rsidR="000359A3" w:rsidRDefault="006E0BDF">
      <w:pPr>
        <w:pStyle w:val="ECHRTitle1"/>
      </w:pPr>
      <w:r>
        <w:t>PRAWO</w:t>
      </w:r>
    </w:p>
    <w:p w14:paraId="402D7B4D" w14:textId="77777777" w:rsidR="000359A3" w:rsidRDefault="006E0BDF">
      <w:pPr>
        <w:pStyle w:val="ECHRPara"/>
      </w:pPr>
      <w:r>
        <w:t>7. Skarżący zarzucili na podstawie art. 2 Konwencji, oprócz innych artykułów, że ich bliski krewny Mikdat Kutlu został zabity w wyniku złego traktowania, któremu był poddany w policyjnej izbie zatrzymań. Zarzucili również, że śledztwo prowadzone w sprawie jego śmierci nie było skuteczne.</w:t>
      </w:r>
    </w:p>
    <w:p w14:paraId="2BDFFD62" w14:textId="77777777" w:rsidR="000359A3" w:rsidRDefault="006E0BDF">
      <w:pPr>
        <w:pStyle w:val="ECHRPara"/>
      </w:pPr>
      <w:r>
        <w:t>8. Po nieudanych próbach zawarcia ugody, Rząd poinformował Trybunał pismem z dnia 30 stycznia 2018 r., że proponuje złożenie deklaracji jednostronnej w celu rozwiązania kwestii podniesionej w skardze. Ponadto zwrócił się do Trybunału o skreślenie skargi zgodnie z art. 37 Konwencji.</w:t>
      </w:r>
    </w:p>
    <w:p w14:paraId="4B086C39" w14:textId="77777777" w:rsidR="000359A3" w:rsidRDefault="006E0BDF">
      <w:pPr>
        <w:pStyle w:val="ECHRPara"/>
      </w:pPr>
      <w:r>
        <w:t>9. Deklaracja brzmiała następująco:</w:t>
      </w:r>
    </w:p>
    <w:p w14:paraId="1D2C9576" w14:textId="14D17C8B" w:rsidR="000359A3" w:rsidRDefault="006E0BDF">
      <w:pPr>
        <w:pStyle w:val="ECHRParaQuote"/>
      </w:pPr>
      <w:r>
        <w:t>„Rząd wyraża ubolewanie z powodu wystąpienia indywidualnych przypadków śmierci w policyjn</w:t>
      </w:r>
      <w:r w:rsidR="00DE6F67">
        <w:t>ych</w:t>
      </w:r>
      <w:r>
        <w:t xml:space="preserve"> izb</w:t>
      </w:r>
      <w:r w:rsidR="00DE6F67">
        <w:t>ach</w:t>
      </w:r>
      <w:r>
        <w:t xml:space="preserve"> zatrzymań, jak w okolicznościach niniejszej sprawy, pomimo istniejącego ustawodawstwa tureckiego i determinacji Rządu w zapobieganiu takim sytuacjom.</w:t>
      </w:r>
    </w:p>
    <w:p w14:paraId="526E7FAC" w14:textId="77777777" w:rsidR="000359A3" w:rsidRDefault="006E0BDF">
      <w:pPr>
        <w:pStyle w:val="ECHRParaQuote"/>
      </w:pPr>
      <w:r>
        <w:t>Rząd przyznaje, że traktowanie, któremu został poddany krewny skarżących i które doprowadziło do jego śmierci oraz śledztwo prowadzone w sprawie okoliczności związanych ze śmiercią, nie spełniało standardów wynikających z art. 2 Konwencji. Rząd zobowiązuje się do podjęcia wszelkich niezbędnych środków w celu zapewnienia w przyszłości poszanowania prawa do życia – w tym obowiązku prowadzenia skutecznych śledztw.</w:t>
      </w:r>
    </w:p>
    <w:p w14:paraId="7424BEFA" w14:textId="3282BA21" w:rsidR="000359A3" w:rsidRDefault="006E0BDF">
      <w:pPr>
        <w:pStyle w:val="ECHRParaQuote"/>
      </w:pPr>
      <w:r>
        <w:t xml:space="preserve">Rząd Turcji oświadcza, że oferuje wypłacenie łącznie skarżącym: Gülseren Kutlu, Berivan Çelik, Fıratowi Kutlu oraz Muhammedowi Kutlu, </w:t>
      </w:r>
      <w:bookmarkStart w:id="0" w:name="SumDetails"/>
      <w:r>
        <w:t xml:space="preserve">w celu zabezpieczenia deklaracji jednostronnej w wyżej wymienionej sprawie zawisłej przed Europejskim Trybunałem Praw Człowieka, kwoty 65.000 euro (sześćdziesiąt pięć tysięcy euro) tytułem zadośćuczynienia za wszelkie szkody niemajątkowe </w:t>
      </w:r>
      <w:bookmarkStart w:id="1" w:name="_Hlk88486564"/>
      <w:r>
        <w:t>oraz tytułem pokrycia kosztów i wydatków</w:t>
      </w:r>
      <w:bookmarkEnd w:id="1"/>
      <w:r>
        <w:t xml:space="preserve">, </w:t>
      </w:r>
      <w:r>
        <w:rPr>
          <w:color w:val="000000"/>
        </w:rPr>
        <w:t xml:space="preserve">plus wszelkie podatki, </w:t>
      </w:r>
      <w:r w:rsidR="00580D08">
        <w:rPr>
          <w:color w:val="000000"/>
        </w:rPr>
        <w:t>jakie</w:t>
      </w:r>
      <w:r>
        <w:rPr>
          <w:color w:val="000000"/>
        </w:rPr>
        <w:t xml:space="preserve"> mogą być naliczone</w:t>
      </w:r>
      <w:bookmarkEnd w:id="0"/>
      <w:r>
        <w:t>.</w:t>
      </w:r>
    </w:p>
    <w:p w14:paraId="40BF6053" w14:textId="77777777" w:rsidR="000359A3" w:rsidRDefault="006E0BDF">
      <w:pPr>
        <w:pStyle w:val="ECHRParaQuote"/>
      </w:pPr>
      <w:r>
        <w:t xml:space="preserve">Kwota ta zostanie przeliczona na liry tureckie po kursie obowiązującym w dniu płatności, a zapłata zostanie dokonana w terminie trzech miesięcy od daty powiadomienia o decyzji Trybunału o skreśleniu sprawy z listy spraw. W przypadku niedokonania zapłaty tej kwoty we wspomnianym trzymiesięcznym terminie, Rząd </w:t>
      </w:r>
      <w:r>
        <w:lastRenderedPageBreak/>
        <w:t>zobowiązuje się zapłacić od tej kwoty odsetki zwykłe, aż do momentu uregulowania należności, naliczone według stopy równej marginalnej stopie procentowej Europejskiego Banku Centralnego obowiązującej w okresie zwłoki w dokonaniu zapłaty, powiększonej o trzy punkty procentowe. Zapłata tej kwoty będzie stanowić ostateczne rozstrzygnięcie sprawy.”</w:t>
      </w:r>
    </w:p>
    <w:p w14:paraId="08DF3263" w14:textId="4886FB9C" w:rsidR="000359A3" w:rsidRDefault="006E0BDF">
      <w:pPr>
        <w:pStyle w:val="ECHRPara"/>
      </w:pPr>
      <w:r>
        <w:t xml:space="preserve">10. Pismem z dnia 13 marca 2018 r. skarżący wskazali, że </w:t>
      </w:r>
      <w:r w:rsidR="00580D08">
        <w:t xml:space="preserve">nie satysfakcjonują ich </w:t>
      </w:r>
      <w:r>
        <w:t>warunki przedstawione w deklaracji jednostronnej.</w:t>
      </w:r>
    </w:p>
    <w:p w14:paraId="759CB875" w14:textId="457EDC57" w:rsidR="000359A3" w:rsidRDefault="006E0BDF">
      <w:pPr>
        <w:pStyle w:val="ECHRPara"/>
      </w:pPr>
      <w:r>
        <w:t xml:space="preserve">11. Trybunał </w:t>
      </w:r>
      <w:r>
        <w:rPr>
          <w:color w:val="000000"/>
        </w:rPr>
        <w:t>przypomina</w:t>
      </w:r>
      <w:r>
        <w:t>, że art. 37 Konwencji stanowi, że może w każdej fazie postępowania zdecydować o skreśleniu skargi z listy spraw, jeżeli okoliczności prowadzą do jednego z wniosków określonych w ust. 1 lit. a, b lub c tego artykułu. Art. 37 ust. 1 lit. c umożliwia Trybunałowi w</w:t>
      </w:r>
      <w:r w:rsidR="004811BC">
        <w:t> </w:t>
      </w:r>
      <w:r>
        <w:t>szczególności skreślenie sprawy z listy, jeżeli:</w:t>
      </w:r>
    </w:p>
    <w:p w14:paraId="185D5F0F" w14:textId="77777777" w:rsidR="000359A3" w:rsidRDefault="006E0BDF">
      <w:pPr>
        <w:pStyle w:val="ECHRParaQuote"/>
      </w:pPr>
      <w:r>
        <w:t>„ (...) z jakiejkolwiek innej przyczyny ustalonej przez Trybunał nie jest uzasadnione dalsze rozpatrywanie skargi”.</w:t>
      </w:r>
    </w:p>
    <w:p w14:paraId="51149458" w14:textId="3096E982" w:rsidR="000359A3" w:rsidRDefault="006E0BDF">
      <w:pPr>
        <w:pStyle w:val="ECHRPara"/>
      </w:pPr>
      <w:r>
        <w:t>12. Trybunał przypomina również, że w pewnych okolicznościach może skreślić skargę na podstawie art. 37 ust. 1 lit. c na podstawie deklaracji jednostronnej pozwanego Rządu, nawet jeżeli skarżący stoi na stanowisku, że sprawa powinna być dalej rozpatrywana.</w:t>
      </w:r>
    </w:p>
    <w:p w14:paraId="1D8BE244" w14:textId="18690503" w:rsidR="000359A3" w:rsidRDefault="006E0BDF">
      <w:pPr>
        <w:pStyle w:val="ECHRPara"/>
      </w:pPr>
      <w:r>
        <w:t xml:space="preserve">13. W tym celu Trybunał </w:t>
      </w:r>
      <w:r>
        <w:rPr>
          <w:color w:val="000000"/>
        </w:rPr>
        <w:t xml:space="preserve">zbadał </w:t>
      </w:r>
      <w:r>
        <w:t>deklarację</w:t>
      </w:r>
      <w:r>
        <w:rPr>
          <w:color w:val="000000"/>
        </w:rPr>
        <w:t xml:space="preserve"> </w:t>
      </w:r>
      <w:r>
        <w:t xml:space="preserve">w świetle zasad wynikających z jego orzecznictwa, w szczególności z wyroku </w:t>
      </w:r>
      <w:r w:rsidR="000423A5">
        <w:t xml:space="preserve">w sprawie </w:t>
      </w:r>
      <w:r>
        <w:rPr>
          <w:i/>
        </w:rPr>
        <w:t xml:space="preserve">Tahsin Acar </w:t>
      </w:r>
      <w:r>
        <w:t>(zob.</w:t>
      </w:r>
      <w:r w:rsidR="004811BC">
        <w:t> </w:t>
      </w:r>
      <w:r>
        <w:rPr>
          <w:i/>
        </w:rPr>
        <w:t xml:space="preserve">Tahsin Acar przeciwko Turcji </w:t>
      </w:r>
      <w:r>
        <w:t>(za</w:t>
      </w:r>
      <w:r w:rsidR="000423A5">
        <w:t>strzeżenia</w:t>
      </w:r>
      <w:r>
        <w:t xml:space="preserve"> wstępne) [WI], skarga nr</w:t>
      </w:r>
      <w:r w:rsidR="004811BC">
        <w:t> </w:t>
      </w:r>
      <w:r>
        <w:t xml:space="preserve">26307/95, §§ 75-77, ETPC 2003-VI; zob. także </w:t>
      </w:r>
      <w:r>
        <w:rPr>
          <w:i/>
        </w:rPr>
        <w:t>Jeronovičs przeciwko Łotwie</w:t>
      </w:r>
      <w:r>
        <w:t xml:space="preserve"> [WI], skarga nr 44898/10, 5 lipca 2016 r.).</w:t>
      </w:r>
    </w:p>
    <w:p w14:paraId="1A740C91" w14:textId="30AB987B" w:rsidR="000359A3" w:rsidRPr="000423A5" w:rsidRDefault="006E0BDF">
      <w:pPr>
        <w:pStyle w:val="ECHRPara"/>
        <w:rPr>
          <w:rFonts w:asciiTheme="majorHAnsi" w:hAnsiTheme="majorHAnsi" w:cstheme="majorHAnsi"/>
        </w:rPr>
      </w:pPr>
      <w:r>
        <w:rPr>
          <w:rFonts w:hint="eastAsia"/>
        </w:rPr>
        <w:t>14. Trybunał zauważa, że przedmiot niniejszej skargi dotyczy, po</w:t>
      </w:r>
      <w:r w:rsidR="004811BC">
        <w:t> </w:t>
      </w:r>
      <w:r>
        <w:rPr>
          <w:rFonts w:hint="eastAsia"/>
        </w:rPr>
        <w:t>pierwsze, zobowiązania Państw będących stronami Konwencji do</w:t>
      </w:r>
      <w:r w:rsidR="004811BC">
        <w:t> </w:t>
      </w:r>
      <w:r>
        <w:rPr>
          <w:rFonts w:hint="eastAsia"/>
        </w:rPr>
        <w:t>ochrony prawa do życia, które obejmuje również, w zakresie, w jakim ma to znaczenie dla okoliczności niniejszej skargi, wymóg ochrony</w:t>
      </w:r>
      <w:r>
        <w:rPr>
          <w:rFonts w:hint="eastAsia"/>
          <w:color w:val="000000"/>
        </w:rPr>
        <w:t xml:space="preserve"> osób przebywających w policyjnej izbie zatrzymań ze względu na ich szczególnie trudną sytuację (zob. </w:t>
      </w:r>
      <w:r>
        <w:rPr>
          <w:rFonts w:hint="eastAsia"/>
          <w:i/>
        </w:rPr>
        <w:t>Salman przeciwko Turcji</w:t>
      </w:r>
      <w:r>
        <w:rPr>
          <w:rFonts w:hint="eastAsia"/>
        </w:rPr>
        <w:t xml:space="preserve"> [WI], skarga nr 21986/93,</w:t>
      </w:r>
      <w:r w:rsidR="00E43FB4">
        <w:rPr>
          <w:rFonts w:hint="eastAsia"/>
        </w:rPr>
        <w:t xml:space="preserve"> </w:t>
      </w:r>
      <w:r w:rsidR="00C81FD3">
        <w:t>§</w:t>
      </w:r>
      <w:r w:rsidR="004811BC">
        <w:t> </w:t>
      </w:r>
      <w:r>
        <w:rPr>
          <w:rFonts w:hint="eastAsia"/>
        </w:rPr>
        <w:t>99, ETPC 2000-VII). Po drugie, sprawa dotyczy wynikającego z art. 2 Konwencji zobowiązania do przeprowadzenia skutecznego śledztwa w</w:t>
      </w:r>
      <w:r w:rsidR="004811BC">
        <w:t> </w:t>
      </w:r>
      <w:r>
        <w:rPr>
          <w:rFonts w:hint="eastAsia"/>
        </w:rPr>
        <w:t xml:space="preserve">przypadku, </w:t>
      </w:r>
      <w:r>
        <w:rPr>
          <w:rFonts w:hint="eastAsia"/>
          <w:color w:val="000000"/>
        </w:rPr>
        <w:t>gdy ofiary zostały zabite w wyniku użycia siły</w:t>
      </w:r>
      <w:r>
        <w:rPr>
          <w:rFonts w:hint="eastAsia"/>
        </w:rPr>
        <w:t xml:space="preserve"> (zob. </w:t>
      </w:r>
      <w:r w:rsidRPr="00A40C11">
        <w:rPr>
          <w:iCs/>
        </w:rPr>
        <w:t>m.in</w:t>
      </w:r>
      <w:r>
        <w:rPr>
          <w:rFonts w:hint="eastAsia"/>
          <w:i/>
        </w:rPr>
        <w:t>.</w:t>
      </w:r>
      <w:r>
        <w:rPr>
          <w:rFonts w:hint="eastAsia"/>
        </w:rPr>
        <w:t xml:space="preserve"> </w:t>
      </w:r>
      <w:r>
        <w:rPr>
          <w:rFonts w:hint="eastAsia"/>
          <w:i/>
        </w:rPr>
        <w:t>Mustafa Tunç i Fecire Tunç</w:t>
      </w:r>
      <w:r>
        <w:rPr>
          <w:rFonts w:hint="eastAsia"/>
        </w:rPr>
        <w:t xml:space="preserve"> </w:t>
      </w:r>
      <w:r>
        <w:rPr>
          <w:rFonts w:hint="eastAsia"/>
          <w:i/>
        </w:rPr>
        <w:t xml:space="preserve">przeciwko Turcji </w:t>
      </w:r>
      <w:r>
        <w:rPr>
          <w:rFonts w:hint="eastAsia"/>
        </w:rPr>
        <w:t>[WI], skarga nr 24014/05,</w:t>
      </w:r>
      <w:r w:rsidR="00C81FD3">
        <w:t xml:space="preserve"> §</w:t>
      </w:r>
      <w:r w:rsidR="004811BC">
        <w:t> </w:t>
      </w:r>
      <w:r>
        <w:rPr>
          <w:rFonts w:hint="eastAsia"/>
        </w:rPr>
        <w:t>169, 14 kwietnia 2015 r., oraz przywołana tam sprawa). W</w:t>
      </w:r>
      <w:r w:rsidR="00E43FB4">
        <w:t xml:space="preserve"> </w:t>
      </w:r>
      <w:r>
        <w:rPr>
          <w:rFonts w:hint="eastAsia"/>
        </w:rPr>
        <w:t>tym zakresie Trybunał zbadał wiele spraw dotyczących zabójstw osób</w:t>
      </w:r>
      <w:r w:rsidR="00C81FD3">
        <w:t xml:space="preserve"> przebywających</w:t>
      </w:r>
      <w:r>
        <w:rPr>
          <w:rFonts w:hint="eastAsia"/>
        </w:rPr>
        <w:t xml:space="preserve"> w</w:t>
      </w:r>
      <w:r w:rsidR="004811BC">
        <w:t> </w:t>
      </w:r>
      <w:r>
        <w:rPr>
          <w:rFonts w:hint="eastAsia"/>
        </w:rPr>
        <w:t>policyjnych izbach zatrzymań i zakładach karnych w</w:t>
      </w:r>
      <w:r w:rsidR="00E43FB4">
        <w:t xml:space="preserve"> </w:t>
      </w:r>
      <w:r>
        <w:rPr>
          <w:rFonts w:hint="eastAsia"/>
        </w:rPr>
        <w:t>Turcji, które miały miejsce w podejrzanych okolicznościach oraz skuteczność śledztw prowadzonych w sprawie tych zabójstw (zob. w</w:t>
      </w:r>
      <w:r w:rsidR="00E43FB4">
        <w:t xml:space="preserve"> </w:t>
      </w:r>
      <w:r>
        <w:rPr>
          <w:rFonts w:hint="eastAsia"/>
        </w:rPr>
        <w:t xml:space="preserve">szczególności </w:t>
      </w:r>
      <w:r>
        <w:rPr>
          <w:rFonts w:hint="eastAsia"/>
          <w:i/>
        </w:rPr>
        <w:t>Salman</w:t>
      </w:r>
      <w:r>
        <w:rPr>
          <w:rFonts w:hint="eastAsia"/>
        </w:rPr>
        <w:t xml:space="preserve">, </w:t>
      </w:r>
      <w:r w:rsidRPr="000423A5">
        <w:rPr>
          <w:rFonts w:asciiTheme="majorHAnsi" w:hAnsiTheme="majorHAnsi" w:cstheme="majorHAnsi"/>
          <w:i/>
          <w:iCs/>
        </w:rPr>
        <w:t>op.</w:t>
      </w:r>
      <w:r w:rsidR="004811BC">
        <w:rPr>
          <w:rFonts w:asciiTheme="majorHAnsi" w:hAnsiTheme="majorHAnsi" w:cstheme="majorHAnsi"/>
          <w:i/>
          <w:iCs/>
        </w:rPr>
        <w:t> </w:t>
      </w:r>
      <w:r w:rsidRPr="000423A5">
        <w:rPr>
          <w:rFonts w:asciiTheme="majorHAnsi" w:hAnsiTheme="majorHAnsi" w:cstheme="majorHAnsi"/>
          <w:i/>
          <w:iCs/>
        </w:rPr>
        <w:t>cit</w:t>
      </w:r>
      <w:r w:rsidRPr="000423A5">
        <w:rPr>
          <w:rFonts w:asciiTheme="majorHAnsi" w:hAnsiTheme="majorHAnsi" w:cstheme="majorHAnsi"/>
        </w:rPr>
        <w:t xml:space="preserve">.; </w:t>
      </w:r>
      <w:r w:rsidRPr="000423A5">
        <w:rPr>
          <w:rFonts w:asciiTheme="majorHAnsi" w:hAnsiTheme="majorHAnsi" w:cstheme="majorHAnsi"/>
          <w:i/>
        </w:rPr>
        <w:t>Abdurrahman Orak przeciwko Turcji</w:t>
      </w:r>
      <w:r w:rsidRPr="000423A5">
        <w:rPr>
          <w:rFonts w:asciiTheme="majorHAnsi" w:hAnsiTheme="majorHAnsi" w:cstheme="majorHAnsi"/>
        </w:rPr>
        <w:t xml:space="preserve">, skarga nr 31889/96, 14 lutego 2002 r.; </w:t>
      </w:r>
      <w:r w:rsidRPr="000423A5">
        <w:rPr>
          <w:rFonts w:asciiTheme="majorHAnsi" w:hAnsiTheme="majorHAnsi" w:cstheme="majorHAnsi"/>
          <w:i/>
        </w:rPr>
        <w:t>Süheyla Aydın</w:t>
      </w:r>
      <w:r w:rsidRPr="000423A5">
        <w:rPr>
          <w:rFonts w:asciiTheme="majorHAnsi" w:hAnsiTheme="majorHAnsi" w:cstheme="majorHAnsi"/>
        </w:rPr>
        <w:t xml:space="preserve"> </w:t>
      </w:r>
      <w:r w:rsidRPr="000423A5">
        <w:rPr>
          <w:rFonts w:asciiTheme="majorHAnsi" w:hAnsiTheme="majorHAnsi" w:cstheme="majorHAnsi"/>
          <w:i/>
        </w:rPr>
        <w:t>przeciwko Turcji</w:t>
      </w:r>
      <w:r w:rsidRPr="000423A5">
        <w:rPr>
          <w:rFonts w:asciiTheme="majorHAnsi" w:hAnsiTheme="majorHAnsi" w:cstheme="majorHAnsi"/>
        </w:rPr>
        <w:t>, skarga nr 25660/94, 24 maja 2005</w:t>
      </w:r>
      <w:r w:rsidR="004811BC">
        <w:rPr>
          <w:rFonts w:asciiTheme="majorHAnsi" w:hAnsiTheme="majorHAnsi" w:cstheme="majorHAnsi"/>
        </w:rPr>
        <w:t> </w:t>
      </w:r>
      <w:r w:rsidRPr="000423A5">
        <w:rPr>
          <w:rFonts w:asciiTheme="majorHAnsi" w:hAnsiTheme="majorHAnsi" w:cstheme="majorHAnsi"/>
        </w:rPr>
        <w:t xml:space="preserve">r.; </w:t>
      </w:r>
      <w:r w:rsidRPr="000423A5">
        <w:rPr>
          <w:rFonts w:asciiTheme="majorHAnsi" w:hAnsiTheme="majorHAnsi" w:cstheme="majorHAnsi"/>
          <w:i/>
        </w:rPr>
        <w:t>Çelikbilek przeciwko Turcji</w:t>
      </w:r>
      <w:r w:rsidRPr="000423A5">
        <w:rPr>
          <w:rFonts w:asciiTheme="majorHAnsi" w:hAnsiTheme="majorHAnsi" w:cstheme="majorHAnsi"/>
        </w:rPr>
        <w:t xml:space="preserve">, skarga nr 27693/95, 31 maja 2005 r .; </w:t>
      </w:r>
      <w:r w:rsidRPr="000423A5">
        <w:rPr>
          <w:rFonts w:asciiTheme="majorHAnsi" w:eastAsia="MS Mincho" w:hAnsiTheme="majorHAnsi" w:cstheme="majorHAnsi"/>
          <w:i/>
        </w:rPr>
        <w:t>Kişmir</w:t>
      </w:r>
      <w:r w:rsidRPr="000423A5">
        <w:rPr>
          <w:rFonts w:asciiTheme="majorHAnsi" w:hAnsiTheme="majorHAnsi" w:cstheme="majorHAnsi"/>
        </w:rPr>
        <w:t xml:space="preserve"> </w:t>
      </w:r>
      <w:r w:rsidRPr="000423A5">
        <w:rPr>
          <w:rFonts w:asciiTheme="majorHAnsi" w:hAnsiTheme="majorHAnsi" w:cstheme="majorHAnsi"/>
          <w:i/>
        </w:rPr>
        <w:t>przeciwko Turcji</w:t>
      </w:r>
      <w:r w:rsidRPr="000423A5">
        <w:rPr>
          <w:rFonts w:asciiTheme="majorHAnsi" w:hAnsiTheme="majorHAnsi" w:cstheme="majorHAnsi"/>
        </w:rPr>
        <w:t xml:space="preserve">, skarga nr 27306/95, 31 maja 2005 r. oraz </w:t>
      </w:r>
      <w:r w:rsidRPr="000423A5">
        <w:rPr>
          <w:rFonts w:asciiTheme="majorHAnsi" w:hAnsiTheme="majorHAnsi" w:cstheme="majorHAnsi"/>
          <w:i/>
        </w:rPr>
        <w:t>Yelden i</w:t>
      </w:r>
      <w:r w:rsidR="004811BC">
        <w:rPr>
          <w:rFonts w:asciiTheme="majorHAnsi" w:hAnsiTheme="majorHAnsi" w:cstheme="majorHAnsi"/>
          <w:i/>
        </w:rPr>
        <w:t> </w:t>
      </w:r>
      <w:r w:rsidRPr="000423A5">
        <w:rPr>
          <w:rFonts w:asciiTheme="majorHAnsi" w:hAnsiTheme="majorHAnsi" w:cstheme="majorHAnsi"/>
          <w:i/>
        </w:rPr>
        <w:t>Inni przeciwko Turcji</w:t>
      </w:r>
      <w:r w:rsidRPr="000423A5">
        <w:rPr>
          <w:rFonts w:asciiTheme="majorHAnsi" w:hAnsiTheme="majorHAnsi" w:cstheme="majorHAnsi"/>
        </w:rPr>
        <w:t>, skarga nr 16850/09, 3 maja 2012</w:t>
      </w:r>
      <w:r w:rsidR="00E43FB4" w:rsidRPr="000423A5">
        <w:rPr>
          <w:rFonts w:asciiTheme="majorHAnsi" w:hAnsiTheme="majorHAnsi" w:cstheme="majorHAnsi"/>
        </w:rPr>
        <w:t xml:space="preserve"> </w:t>
      </w:r>
      <w:r w:rsidRPr="000423A5">
        <w:rPr>
          <w:rFonts w:asciiTheme="majorHAnsi" w:hAnsiTheme="majorHAnsi" w:cstheme="majorHAnsi"/>
        </w:rPr>
        <w:t>r.).</w:t>
      </w:r>
    </w:p>
    <w:p w14:paraId="7112E38D" w14:textId="5E5E2DD3" w:rsidR="000359A3" w:rsidRDefault="006E0BDF">
      <w:pPr>
        <w:pStyle w:val="ECHRPara"/>
      </w:pPr>
      <w:r>
        <w:lastRenderedPageBreak/>
        <w:t xml:space="preserve">15. Mając na uwadze </w:t>
      </w:r>
      <w:r w:rsidR="005D0EE1">
        <w:t xml:space="preserve">zawarte w deklaracji Rządu </w:t>
      </w:r>
      <w:r>
        <w:t>przyznanie określonych okoliczności oraz wysokość zaproponowanego odszkodowania – która jest zbliżona do kwot przyznawanych w podobnych sprawach – Trybunał uważa, że dalsze rozpatrywanie skargi nie jest już uzasadnione (art. 37 ust. 1 lit. c). Trybunał podkreśla, że jego decyzja nie ogranicza możliwości skorzystania przez skarżących z wszelkich innych dostępnych środków w</w:t>
      </w:r>
      <w:r w:rsidR="00E43FB4">
        <w:t xml:space="preserve"> </w:t>
      </w:r>
      <w:r>
        <w:t xml:space="preserve">celu uzyskania zadośćuczynienia (zob. </w:t>
      </w:r>
      <w:r>
        <w:rPr>
          <w:i/>
        </w:rPr>
        <w:t>Jeronovičs przeciwko Łotwie</w:t>
      </w:r>
      <w:r>
        <w:t xml:space="preserve"> (dec.), skarga nr</w:t>
      </w:r>
      <w:r w:rsidR="004811BC">
        <w:t> </w:t>
      </w:r>
      <w:r>
        <w:t xml:space="preserve">547/02, § 54, 10 lutego 2009 r., oraz, </w:t>
      </w:r>
      <w:r>
        <w:rPr>
          <w:i/>
        </w:rPr>
        <w:t>mutatis mutandis</w:t>
      </w:r>
      <w:r>
        <w:t xml:space="preserve">, </w:t>
      </w:r>
      <w:r>
        <w:rPr>
          <w:i/>
        </w:rPr>
        <w:t>Jeronovičs</w:t>
      </w:r>
      <w:r>
        <w:t xml:space="preserve">, </w:t>
      </w:r>
      <w:r w:rsidRPr="00A40C11">
        <w:rPr>
          <w:i/>
          <w:iCs/>
        </w:rPr>
        <w:t>op.cit</w:t>
      </w:r>
      <w:r>
        <w:t>., §§ 116-18).</w:t>
      </w:r>
    </w:p>
    <w:p w14:paraId="7CB07FFF" w14:textId="796CFB37" w:rsidR="000359A3" w:rsidRDefault="006E0BDF">
      <w:pPr>
        <w:pStyle w:val="ECHRPara"/>
      </w:pPr>
      <w:r>
        <w:t>16. W tym</w:t>
      </w:r>
      <w:r w:rsidR="002B0BC1">
        <w:t xml:space="preserve"> zakresie</w:t>
      </w:r>
      <w:r>
        <w:t xml:space="preserve"> Trybunał zauważa, że art. 172 Kodeksu postępowania karnego został zmieniony w lipcu 2018 r. W następstwie nowelizacji skarżący w Turcji mają teraz możliwość zwrócenia się do właściwego prokuratora o wznowienie śledztwa w sprawie śmierci ich bliskich nie tylko w sprawach, w których Trybunał stwierdził naruszenie Konwencji z powodu braku przeprowadzenia skutecznego śledztwa, ale także jeżeli ich skargi zostały skreślone przez Trybunał na podstawie ugody lub na podstawie deklaracji jednostronnej złożonej przez Rząd.</w:t>
      </w:r>
    </w:p>
    <w:p w14:paraId="1A2B4982" w14:textId="343BB4A9" w:rsidR="000359A3" w:rsidRDefault="006E0BDF">
      <w:pPr>
        <w:pStyle w:val="P68B1DB1-ECHRPara1"/>
        <w:rPr>
          <w:rFonts w:cstheme="minorHAnsi"/>
        </w:rPr>
      </w:pPr>
      <w:r>
        <w:t>17. Trybunał zauważa, że, jak wspomniano powyżej (zob. paragraf 5), sąd</w:t>
      </w:r>
      <w:r w:rsidR="004811BC">
        <w:t> </w:t>
      </w:r>
      <w:r>
        <w:t>pierwszej instancji nakazał w swoim wyroku, aby prokurator został zawiadomiony o wyroku uniewinniającym funkcjonariuszy policji, aby mógł on podjąć działania w celu wykrycia rzeczywistych sprawców odpowiedzialnych za zabójstwo krewnego skarżących.</w:t>
      </w:r>
    </w:p>
    <w:p w14:paraId="09AFBB0D" w14:textId="15CD8ADF" w:rsidR="000359A3" w:rsidRDefault="006E0BDF">
      <w:pPr>
        <w:pStyle w:val="ECHRPara"/>
        <w:rPr>
          <w:snapToGrid w:val="0"/>
        </w:rPr>
      </w:pPr>
      <w:r>
        <w:rPr>
          <w:rFonts w:cstheme="minorHAnsi"/>
        </w:rPr>
        <w:t>18. Chociaż strony nie poinformowały Trybunału, czy wszczęto nowe śledztwo w celu wykrycia sprawców, Trybunał uważa, że</w:t>
      </w:r>
      <w:r>
        <w:rPr>
          <w:rFonts w:cstheme="minorHAnsi"/>
          <w:color w:val="000000"/>
        </w:rPr>
        <w:t xml:space="preserve"> skarżący</w:t>
      </w:r>
      <w:r>
        <w:rPr>
          <w:rFonts w:cstheme="minorHAnsi"/>
        </w:rPr>
        <w:t xml:space="preserve">, </w:t>
      </w:r>
      <w:r>
        <w:t>jeśli sobie tego życzą, mogą zwrócić się do prokuratora o wszczęcie nowego śledztwa na podstawie wyżej wymienionych zmian w przepisach (zob.</w:t>
      </w:r>
      <w:r w:rsidR="004811BC">
        <w:t> </w:t>
      </w:r>
      <w:r>
        <w:t>paragraf 16).</w:t>
      </w:r>
    </w:p>
    <w:p w14:paraId="35A78564" w14:textId="77777777" w:rsidR="000359A3" w:rsidRDefault="006E0BDF">
      <w:pPr>
        <w:pStyle w:val="ECHRPara"/>
      </w:pPr>
      <w:r>
        <w:t xml:space="preserve">19. W świetle powyższych rozważań, a w szczególności biorąc pod uwagę jasne i obszerne orzecznictwo dotyczące zagadnienia, o którym mowa powyżej, Trybunał jest przekonany, że zapewnienie przestrzegania praw człowieka w rozumieniu Konwencji i jej Protokołów nie wymaga dalszego rozpatrywania skargi (art. 37 ust. 1 </w:t>
      </w:r>
      <w:r>
        <w:rPr>
          <w:i/>
        </w:rPr>
        <w:t>in fine</w:t>
      </w:r>
      <w:r>
        <w:t>).</w:t>
      </w:r>
    </w:p>
    <w:p w14:paraId="76B5127C" w14:textId="0D8B5157" w:rsidR="000359A3" w:rsidRDefault="006E0BDF">
      <w:pPr>
        <w:pStyle w:val="ECHRPara"/>
      </w:pPr>
      <w:r>
        <w:t>20. Trybunał podkreśla również, że jeśli Rząd nie zastosuje się do</w:t>
      </w:r>
      <w:r w:rsidR="004811BC">
        <w:t> </w:t>
      </w:r>
      <w:r>
        <w:t xml:space="preserve">warunków deklaracji jednostronnej, skarga może zostać ponownie wpisana na listę spraw zgodnie z art. 37 ust. 2 Konwencji (zob. </w:t>
      </w:r>
      <w:r>
        <w:rPr>
          <w:i/>
        </w:rPr>
        <w:t>Josipović przeciwko Serbii</w:t>
      </w:r>
      <w:r>
        <w:t xml:space="preserve"> (dec.), skarga nr 18369/07, 4 marca 2008 r.).</w:t>
      </w:r>
    </w:p>
    <w:p w14:paraId="1B9311FD" w14:textId="77777777" w:rsidR="000359A3" w:rsidRDefault="006E0BDF">
      <w:pPr>
        <w:pStyle w:val="ECHRPara"/>
      </w:pPr>
      <w:r>
        <w:t>21. W związku z powyższym należy skreślić sprawę z listy.</w:t>
      </w:r>
    </w:p>
    <w:p w14:paraId="7425E2F6" w14:textId="77777777" w:rsidR="000359A3" w:rsidRDefault="000359A3">
      <w:pPr>
        <w:pStyle w:val="ECHRPara"/>
      </w:pPr>
    </w:p>
    <w:p w14:paraId="6C80DF37" w14:textId="77777777" w:rsidR="000359A3" w:rsidRDefault="006E0BDF">
      <w:pPr>
        <w:pStyle w:val="JuParaLast"/>
        <w:outlineLvl w:val="0"/>
      </w:pPr>
      <w:r>
        <w:t>Z TYCH PRZYCZYN TRYBUNAŁ JEDNOGŁOŚNIE</w:t>
      </w:r>
    </w:p>
    <w:p w14:paraId="270037E5" w14:textId="76B9A88F" w:rsidR="000359A3" w:rsidRDefault="006E0BDF">
      <w:pPr>
        <w:pStyle w:val="DecList"/>
      </w:pPr>
      <w:r>
        <w:rPr>
          <w:i/>
        </w:rPr>
        <w:t>Przyjmuje do wiadomości</w:t>
      </w:r>
      <w:r>
        <w:t xml:space="preserve"> warunki deklaracji pozwanego Rządu dotyczące art. 2 Konwencji oraz sposoby zapewnienia zgodności z</w:t>
      </w:r>
      <w:r w:rsidR="00E43FB4">
        <w:t xml:space="preserve"> </w:t>
      </w:r>
      <w:r w:rsidR="00181D1C">
        <w:t>zobowiązaniami, o których w niej</w:t>
      </w:r>
      <w:bookmarkStart w:id="2" w:name="_GoBack"/>
      <w:bookmarkEnd w:id="2"/>
      <w:r>
        <w:t xml:space="preserve"> mowa;</w:t>
      </w:r>
    </w:p>
    <w:p w14:paraId="4E6D09DB" w14:textId="7A508BF3" w:rsidR="000359A3" w:rsidRDefault="006E0BDF">
      <w:pPr>
        <w:pStyle w:val="DecList"/>
      </w:pPr>
      <w:r>
        <w:rPr>
          <w:i/>
        </w:rPr>
        <w:lastRenderedPageBreak/>
        <w:t>Postanawia</w:t>
      </w:r>
      <w:r>
        <w:t xml:space="preserve"> skreślić skargę z listy spraw zgodnie z art. 37 ust. 1 lit</w:t>
      </w:r>
      <w:r w:rsidR="001D6803">
        <w:t xml:space="preserve">. </w:t>
      </w:r>
      <w:r>
        <w:t>c Konwencji.</w:t>
      </w:r>
    </w:p>
    <w:p w14:paraId="48200334" w14:textId="655FE343" w:rsidR="000359A3" w:rsidRDefault="006E0BDF">
      <w:pPr>
        <w:pStyle w:val="DecList"/>
      </w:pPr>
      <w:r>
        <w:t>Sporządzono w języku angielskim i obwieszczono pisemnie w dniu 4</w:t>
      </w:r>
      <w:r w:rsidR="004811BC">
        <w:t> </w:t>
      </w:r>
      <w:r>
        <w:t>kwietnia 2019 r.</w:t>
      </w:r>
    </w:p>
    <w:p w14:paraId="0F27CA45" w14:textId="4DEC59A0" w:rsidR="000359A3" w:rsidRDefault="00395ACD">
      <w:pPr>
        <w:pStyle w:val="JuSigned"/>
        <w:tabs>
          <w:tab w:val="clear" w:pos="851"/>
          <w:tab w:val="clear" w:pos="6407"/>
          <w:tab w:val="center" w:pos="1276"/>
          <w:tab w:val="center" w:pos="5812"/>
        </w:tabs>
      </w:pPr>
      <w:r>
        <w:tab/>
      </w:r>
      <w:r w:rsidR="006E0BDF">
        <w:t xml:space="preserve">Stanley Naismith </w:t>
      </w:r>
      <w:r w:rsidR="006E0BDF">
        <w:tab/>
        <w:t>Robert Spano</w:t>
      </w:r>
      <w:r w:rsidR="006E0BDF">
        <w:br/>
      </w:r>
      <w:r w:rsidR="006E0BDF">
        <w:tab/>
        <w:t xml:space="preserve">Kanclerz </w:t>
      </w:r>
      <w:r w:rsidR="006E0BDF">
        <w:tab/>
        <w:t>Przewodniczący</w:t>
      </w:r>
    </w:p>
    <w:p w14:paraId="5A81407C" w14:textId="5ED1349E" w:rsidR="000359A3" w:rsidRDefault="006E0BDF" w:rsidP="001D6803">
      <w:pPr>
        <w:pStyle w:val="ECHRPara"/>
        <w:ind w:firstLine="0"/>
      </w:pPr>
      <w:r>
        <w:br w:type="page"/>
      </w:r>
      <w:r w:rsidR="00395ACD">
        <w:lastRenderedPageBreak/>
        <w:tab/>
      </w:r>
    </w:p>
    <w:p w14:paraId="2B93C597" w14:textId="77777777" w:rsidR="000359A3" w:rsidRDefault="006E0BDF">
      <w:pPr>
        <w:pStyle w:val="JuTitle"/>
      </w:pPr>
      <w:r>
        <w:t>Załącznik</w:t>
      </w:r>
    </w:p>
    <w:p w14:paraId="5F1004F3" w14:textId="77777777" w:rsidR="000359A3" w:rsidRDefault="000359A3"/>
    <w:p w14:paraId="049AC8FB" w14:textId="77777777" w:rsidR="000359A3" w:rsidRDefault="000359A3"/>
    <w:tbl>
      <w:tblPr>
        <w:tblStyle w:val="ECHRListTable"/>
        <w:tblW w:w="5055" w:type="pct"/>
        <w:tblLook w:val="05E0" w:firstRow="1" w:lastRow="1" w:firstColumn="1" w:lastColumn="1" w:noHBand="0" w:noVBand="1"/>
      </w:tblPr>
      <w:tblGrid>
        <w:gridCol w:w="496"/>
        <w:gridCol w:w="1563"/>
        <w:gridCol w:w="1243"/>
        <w:gridCol w:w="1670"/>
        <w:gridCol w:w="1590"/>
        <w:gridCol w:w="1550"/>
      </w:tblGrid>
      <w:tr w:rsidR="000359A3" w14:paraId="4F398590" w14:textId="77777777" w:rsidTr="00035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49" w:type="pct"/>
          </w:tcPr>
          <w:p w14:paraId="411CEB79" w14:textId="77777777" w:rsidR="000359A3" w:rsidRDefault="006E0BDF">
            <w:pPr>
              <w:ind w:right="-107"/>
              <w:jc w:val="left"/>
            </w:pPr>
            <w:r>
              <w:t>Nr</w:t>
            </w:r>
          </w:p>
        </w:tc>
        <w:tc>
          <w:tcPr>
            <w:tcW w:w="1160" w:type="pct"/>
          </w:tcPr>
          <w:p w14:paraId="0D8253D5" w14:textId="77777777" w:rsidR="000359A3" w:rsidRDefault="006E0BDF">
            <w:pPr>
              <w:jc w:val="left"/>
            </w:pPr>
            <w:r>
              <w:t>Imię NAZWISKO</w:t>
            </w:r>
          </w:p>
        </w:tc>
        <w:tc>
          <w:tcPr>
            <w:tcW w:w="598" w:type="pct"/>
          </w:tcPr>
          <w:p w14:paraId="5BD6C1CF" w14:textId="77777777" w:rsidR="000359A3" w:rsidRDefault="006E0BDF">
            <w:pPr>
              <w:jc w:val="left"/>
            </w:pPr>
            <w:r>
              <w:t>Rok urodzenia</w:t>
            </w:r>
          </w:p>
        </w:tc>
        <w:tc>
          <w:tcPr>
            <w:tcW w:w="926" w:type="pct"/>
          </w:tcPr>
          <w:p w14:paraId="58D5FB36" w14:textId="77777777" w:rsidR="000359A3" w:rsidRDefault="006E0BDF">
            <w:pPr>
              <w:jc w:val="left"/>
            </w:pPr>
            <w:r>
              <w:t>Obywatelstwo</w:t>
            </w:r>
          </w:p>
        </w:tc>
        <w:tc>
          <w:tcPr>
            <w:tcW w:w="825" w:type="pct"/>
          </w:tcPr>
          <w:p w14:paraId="24133EBB" w14:textId="77777777" w:rsidR="000359A3" w:rsidRDefault="006E0BDF">
            <w:pPr>
              <w:jc w:val="left"/>
            </w:pPr>
            <w:r>
              <w:t>Miejsce zamieszkania</w:t>
            </w:r>
          </w:p>
        </w:tc>
        <w:tc>
          <w:tcPr>
            <w:tcW w:w="1142" w:type="pct"/>
          </w:tcPr>
          <w:p w14:paraId="115A45EE" w14:textId="77777777" w:rsidR="000359A3" w:rsidRDefault="006E0BDF">
            <w:pPr>
              <w:jc w:val="left"/>
            </w:pPr>
            <w:r>
              <w:t>Pełnomocnik</w:t>
            </w:r>
          </w:p>
        </w:tc>
      </w:tr>
      <w:tr w:rsidR="000359A3" w14:paraId="114D7D72" w14:textId="77777777" w:rsidTr="000359A3">
        <w:tc>
          <w:tcPr>
            <w:tcW w:w="349" w:type="pct"/>
          </w:tcPr>
          <w:p w14:paraId="6CC5D7CD" w14:textId="77777777" w:rsidR="000359A3" w:rsidRDefault="006E0BDF">
            <w:pPr>
              <w:pStyle w:val="P68B1DB1-Normal2"/>
              <w:ind w:right="-107"/>
              <w:jc w:val="center"/>
            </w:pPr>
            <w:r>
              <w:t>1.</w:t>
            </w:r>
          </w:p>
        </w:tc>
        <w:tc>
          <w:tcPr>
            <w:tcW w:w="1160" w:type="pct"/>
          </w:tcPr>
          <w:p w14:paraId="7CF4C24A" w14:textId="77777777" w:rsidR="000359A3" w:rsidRDefault="006E0BDF">
            <w:pPr>
              <w:jc w:val="left"/>
            </w:pPr>
            <w:r>
              <w:t>Gülseren KUTLU</w:t>
            </w:r>
          </w:p>
        </w:tc>
        <w:tc>
          <w:tcPr>
            <w:tcW w:w="598" w:type="pct"/>
          </w:tcPr>
          <w:p w14:paraId="54CE8399" w14:textId="77777777" w:rsidR="000359A3" w:rsidRDefault="006E0BDF">
            <w:pPr>
              <w:jc w:val="center"/>
            </w:pPr>
            <w:r>
              <w:t>1961</w:t>
            </w:r>
          </w:p>
        </w:tc>
        <w:tc>
          <w:tcPr>
            <w:tcW w:w="926" w:type="pct"/>
          </w:tcPr>
          <w:p w14:paraId="119B6205" w14:textId="77777777" w:rsidR="000359A3" w:rsidRDefault="006E0BDF">
            <w:pPr>
              <w:jc w:val="center"/>
            </w:pPr>
            <w:r>
              <w:t>Tureckie</w:t>
            </w:r>
          </w:p>
        </w:tc>
        <w:tc>
          <w:tcPr>
            <w:tcW w:w="825" w:type="pct"/>
          </w:tcPr>
          <w:p w14:paraId="110C20B4" w14:textId="77777777" w:rsidR="000359A3" w:rsidRDefault="006E0BDF">
            <w:pPr>
              <w:jc w:val="center"/>
            </w:pPr>
            <w:r>
              <w:t>Diyarbakır</w:t>
            </w:r>
          </w:p>
        </w:tc>
        <w:tc>
          <w:tcPr>
            <w:tcW w:w="1142" w:type="pct"/>
          </w:tcPr>
          <w:p w14:paraId="194F466D" w14:textId="77777777" w:rsidR="000359A3" w:rsidRDefault="006E0BDF">
            <w:pPr>
              <w:jc w:val="center"/>
            </w:pPr>
            <w:r>
              <w:t>A. Çağer</w:t>
            </w:r>
          </w:p>
        </w:tc>
      </w:tr>
      <w:tr w:rsidR="000359A3" w14:paraId="7C4ED38E" w14:textId="77777777" w:rsidTr="000359A3">
        <w:tc>
          <w:tcPr>
            <w:tcW w:w="349" w:type="pct"/>
          </w:tcPr>
          <w:p w14:paraId="64D23A94" w14:textId="77777777" w:rsidR="000359A3" w:rsidRDefault="006E0BDF">
            <w:pPr>
              <w:pStyle w:val="P68B1DB1-Normal2"/>
              <w:ind w:right="-107"/>
              <w:jc w:val="center"/>
            </w:pPr>
            <w:r>
              <w:t>2.</w:t>
            </w:r>
          </w:p>
          <w:p w14:paraId="701E3A7F" w14:textId="77777777" w:rsidR="000359A3" w:rsidRDefault="000359A3">
            <w:pPr>
              <w:ind w:right="-107"/>
              <w:jc w:val="center"/>
              <w:rPr>
                <w:b/>
              </w:rPr>
            </w:pPr>
          </w:p>
        </w:tc>
        <w:tc>
          <w:tcPr>
            <w:tcW w:w="1160" w:type="pct"/>
          </w:tcPr>
          <w:p w14:paraId="52B70835" w14:textId="77777777" w:rsidR="000359A3" w:rsidRDefault="006E0BDF">
            <w:pPr>
              <w:jc w:val="left"/>
            </w:pPr>
            <w:r>
              <w:t>Berivan ÇELİK</w:t>
            </w:r>
          </w:p>
        </w:tc>
        <w:tc>
          <w:tcPr>
            <w:tcW w:w="598" w:type="pct"/>
          </w:tcPr>
          <w:p w14:paraId="52C2ACA6" w14:textId="77777777" w:rsidR="000359A3" w:rsidRDefault="006E0BDF">
            <w:pPr>
              <w:jc w:val="center"/>
            </w:pPr>
            <w:r>
              <w:t>1981</w:t>
            </w:r>
          </w:p>
        </w:tc>
        <w:tc>
          <w:tcPr>
            <w:tcW w:w="926" w:type="pct"/>
          </w:tcPr>
          <w:p w14:paraId="11663C84" w14:textId="77777777" w:rsidR="000359A3" w:rsidRDefault="006E0BDF">
            <w:pPr>
              <w:jc w:val="center"/>
            </w:pPr>
            <w:r>
              <w:t>Tureckie</w:t>
            </w:r>
          </w:p>
        </w:tc>
        <w:tc>
          <w:tcPr>
            <w:tcW w:w="825" w:type="pct"/>
          </w:tcPr>
          <w:p w14:paraId="1A2C5020" w14:textId="77777777" w:rsidR="000359A3" w:rsidRDefault="006E0BDF">
            <w:pPr>
              <w:jc w:val="center"/>
            </w:pPr>
            <w:r>
              <w:t>Diyarbakır</w:t>
            </w:r>
          </w:p>
        </w:tc>
        <w:tc>
          <w:tcPr>
            <w:tcW w:w="1142" w:type="pct"/>
          </w:tcPr>
          <w:p w14:paraId="310A89A2" w14:textId="77777777" w:rsidR="000359A3" w:rsidRDefault="006E0BDF">
            <w:pPr>
              <w:jc w:val="center"/>
            </w:pPr>
            <w:r>
              <w:t>A. Çağer</w:t>
            </w:r>
          </w:p>
        </w:tc>
      </w:tr>
      <w:tr w:rsidR="000359A3" w14:paraId="379498A6" w14:textId="77777777" w:rsidTr="000359A3">
        <w:tc>
          <w:tcPr>
            <w:tcW w:w="349" w:type="pct"/>
          </w:tcPr>
          <w:p w14:paraId="7716E844" w14:textId="77777777" w:rsidR="000359A3" w:rsidRDefault="006E0BDF">
            <w:pPr>
              <w:pStyle w:val="P68B1DB1-Normal2"/>
              <w:ind w:right="-107"/>
              <w:jc w:val="center"/>
            </w:pPr>
            <w:r>
              <w:t>3.</w:t>
            </w:r>
          </w:p>
          <w:p w14:paraId="44D9784E" w14:textId="77777777" w:rsidR="000359A3" w:rsidRDefault="000359A3">
            <w:pPr>
              <w:ind w:right="-107"/>
              <w:jc w:val="center"/>
              <w:rPr>
                <w:b/>
              </w:rPr>
            </w:pPr>
          </w:p>
        </w:tc>
        <w:tc>
          <w:tcPr>
            <w:tcW w:w="1160" w:type="pct"/>
          </w:tcPr>
          <w:p w14:paraId="65E92F10" w14:textId="77777777" w:rsidR="000359A3" w:rsidRDefault="006E0BDF">
            <w:pPr>
              <w:jc w:val="left"/>
            </w:pPr>
            <w:r>
              <w:t>Fırat KUTLU</w:t>
            </w:r>
          </w:p>
        </w:tc>
        <w:tc>
          <w:tcPr>
            <w:tcW w:w="598" w:type="pct"/>
          </w:tcPr>
          <w:p w14:paraId="3DBF53C7" w14:textId="77777777" w:rsidR="000359A3" w:rsidRDefault="006E0BDF">
            <w:pPr>
              <w:jc w:val="center"/>
            </w:pPr>
            <w:r>
              <w:t>1983</w:t>
            </w:r>
          </w:p>
        </w:tc>
        <w:tc>
          <w:tcPr>
            <w:tcW w:w="926" w:type="pct"/>
          </w:tcPr>
          <w:p w14:paraId="6FFDC066" w14:textId="77777777" w:rsidR="000359A3" w:rsidRDefault="006E0BDF">
            <w:pPr>
              <w:jc w:val="center"/>
            </w:pPr>
            <w:r>
              <w:t>Tureckie</w:t>
            </w:r>
          </w:p>
        </w:tc>
        <w:tc>
          <w:tcPr>
            <w:tcW w:w="825" w:type="pct"/>
          </w:tcPr>
          <w:p w14:paraId="74CAF15A" w14:textId="77777777" w:rsidR="000359A3" w:rsidRDefault="006E0BDF">
            <w:pPr>
              <w:jc w:val="center"/>
            </w:pPr>
            <w:r>
              <w:t>Diyarbakır</w:t>
            </w:r>
          </w:p>
        </w:tc>
        <w:tc>
          <w:tcPr>
            <w:tcW w:w="1142" w:type="pct"/>
          </w:tcPr>
          <w:p w14:paraId="289A03E8" w14:textId="77777777" w:rsidR="000359A3" w:rsidRDefault="006E0BDF">
            <w:pPr>
              <w:jc w:val="center"/>
            </w:pPr>
            <w:r>
              <w:t>A. Çağer</w:t>
            </w:r>
          </w:p>
        </w:tc>
      </w:tr>
      <w:tr w:rsidR="000359A3" w14:paraId="6D9109F2" w14:textId="77777777" w:rsidTr="000359A3">
        <w:tc>
          <w:tcPr>
            <w:tcW w:w="349" w:type="pct"/>
          </w:tcPr>
          <w:p w14:paraId="5AB0E913" w14:textId="77777777" w:rsidR="000359A3" w:rsidRDefault="006E0BDF">
            <w:pPr>
              <w:pStyle w:val="P68B1DB1-Normal2"/>
              <w:ind w:right="-107"/>
              <w:jc w:val="center"/>
            </w:pPr>
            <w:r>
              <w:t>4.</w:t>
            </w:r>
          </w:p>
          <w:p w14:paraId="4FEA76C3" w14:textId="77777777" w:rsidR="000359A3" w:rsidRDefault="000359A3">
            <w:pPr>
              <w:ind w:right="-107"/>
              <w:jc w:val="center"/>
              <w:rPr>
                <w:b/>
              </w:rPr>
            </w:pPr>
          </w:p>
        </w:tc>
        <w:tc>
          <w:tcPr>
            <w:tcW w:w="1160" w:type="pct"/>
          </w:tcPr>
          <w:p w14:paraId="70DAF027" w14:textId="77777777" w:rsidR="000359A3" w:rsidRDefault="006E0BDF">
            <w:pPr>
              <w:jc w:val="left"/>
            </w:pPr>
            <w:r>
              <w:t>Muhammed KUTLU</w:t>
            </w:r>
          </w:p>
        </w:tc>
        <w:tc>
          <w:tcPr>
            <w:tcW w:w="598" w:type="pct"/>
          </w:tcPr>
          <w:p w14:paraId="1A3BF5CA" w14:textId="77777777" w:rsidR="000359A3" w:rsidRDefault="006E0BDF">
            <w:pPr>
              <w:jc w:val="center"/>
            </w:pPr>
            <w:r>
              <w:t>1986</w:t>
            </w:r>
          </w:p>
        </w:tc>
        <w:tc>
          <w:tcPr>
            <w:tcW w:w="926" w:type="pct"/>
          </w:tcPr>
          <w:p w14:paraId="09511656" w14:textId="77777777" w:rsidR="000359A3" w:rsidRDefault="006E0BDF">
            <w:pPr>
              <w:jc w:val="center"/>
            </w:pPr>
            <w:r>
              <w:t>Tureckie</w:t>
            </w:r>
          </w:p>
        </w:tc>
        <w:tc>
          <w:tcPr>
            <w:tcW w:w="825" w:type="pct"/>
          </w:tcPr>
          <w:p w14:paraId="06D28D74" w14:textId="77777777" w:rsidR="000359A3" w:rsidRDefault="006E0BDF">
            <w:pPr>
              <w:jc w:val="center"/>
            </w:pPr>
            <w:r>
              <w:t>Diyarbakır</w:t>
            </w:r>
          </w:p>
        </w:tc>
        <w:tc>
          <w:tcPr>
            <w:tcW w:w="1142" w:type="pct"/>
          </w:tcPr>
          <w:p w14:paraId="5689550F" w14:textId="77777777" w:rsidR="000359A3" w:rsidRDefault="006E0BDF">
            <w:pPr>
              <w:jc w:val="center"/>
            </w:pPr>
            <w:r>
              <w:t>A. Çağer</w:t>
            </w:r>
          </w:p>
        </w:tc>
      </w:tr>
    </w:tbl>
    <w:p w14:paraId="70377F86" w14:textId="77777777" w:rsidR="000359A3" w:rsidRDefault="000359A3"/>
    <w:p w14:paraId="1C242634" w14:textId="77777777" w:rsidR="000359A3" w:rsidRDefault="000359A3"/>
    <w:sectPr w:rsidR="000359A3" w:rsidSect="00395ACD">
      <w:headerReference w:type="even" r:id="rId11"/>
      <w:head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2274" w:right="2274" w:bottom="2274" w:left="2274" w:header="85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2F2A3" w14:textId="77777777" w:rsidR="00786222" w:rsidRDefault="00786222">
      <w:r>
        <w:separator/>
      </w:r>
    </w:p>
  </w:endnote>
  <w:endnote w:type="continuationSeparator" w:id="0">
    <w:p w14:paraId="38DEAA5D" w14:textId="77777777" w:rsidR="00786222" w:rsidRDefault="00786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11D8E" w14:textId="77777777" w:rsidR="000359A3" w:rsidRDefault="006E0BDF">
    <w:pPr>
      <w:jc w:val="center"/>
    </w:pPr>
    <w:r>
      <w:rPr>
        <w:noProof/>
      </w:rPr>
      <w:drawing>
        <wp:inline distT="0" distB="0" distL="0" distR="0" wp14:anchorId="11EC5656" wp14:editId="32B8CF79">
          <wp:extent cx="771525" cy="619125"/>
          <wp:effectExtent l="0" t="0" r="9525" b="9525"/>
          <wp:docPr id="15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57B237" w14:textId="77777777" w:rsidR="000359A3" w:rsidRDefault="000359A3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7BC9F0" w14:textId="77777777" w:rsidR="00786222" w:rsidRDefault="00786222">
      <w:r>
        <w:separator/>
      </w:r>
    </w:p>
  </w:footnote>
  <w:footnote w:type="continuationSeparator" w:id="0">
    <w:p w14:paraId="142178DF" w14:textId="77777777" w:rsidR="00786222" w:rsidRDefault="00786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998F6" w14:textId="77777777" w:rsidR="00E43FB4" w:rsidRDefault="00E43FB4" w:rsidP="00A40C11">
    <w:pPr>
      <w:pStyle w:val="ECHRHeader"/>
      <w:jc w:val="center"/>
    </w:pPr>
    <w:r>
      <w:tab/>
    </w:r>
  </w:p>
  <w:p w14:paraId="3517C6E8" w14:textId="77777777" w:rsidR="00E43FB4" w:rsidRDefault="00E43FB4" w:rsidP="00A40C11">
    <w:pPr>
      <w:pStyle w:val="ECHRHeader"/>
      <w:jc w:val="center"/>
    </w:pPr>
  </w:p>
  <w:p w14:paraId="3A5ED8ED" w14:textId="77777777" w:rsidR="00E43FB4" w:rsidRDefault="00E43FB4" w:rsidP="00A40C11">
    <w:pPr>
      <w:pStyle w:val="ECHRHeader"/>
      <w:jc w:val="center"/>
    </w:pPr>
  </w:p>
  <w:p w14:paraId="4B96CCFD" w14:textId="22652D6F" w:rsidR="00395ACD" w:rsidRDefault="00E43FB4" w:rsidP="00E43FB4">
    <w:pPr>
      <w:pStyle w:val="ECHRHeader"/>
    </w:pPr>
    <w:r>
      <w:tab/>
      <w:t xml:space="preserve">DECYZJA w sprawie </w:t>
    </w:r>
    <w:r w:rsidR="006E0BDF">
      <w:t>KUTLU I INNI przeciwko TURCJI</w:t>
    </w:r>
    <w:r w:rsidR="00A40C11">
      <w:tab/>
    </w:r>
    <w:r w:rsidR="00395ACD">
      <w:rPr>
        <w:rStyle w:val="Numerstrony"/>
      </w:rPr>
      <w:fldChar w:fldCharType="begin"/>
    </w:r>
    <w:r w:rsidR="00395ACD">
      <w:rPr>
        <w:rStyle w:val="Numerstrony"/>
      </w:rPr>
      <w:instrText xml:space="preserve"> PAGE </w:instrText>
    </w:r>
    <w:r w:rsidR="00395ACD">
      <w:rPr>
        <w:rStyle w:val="Numerstrony"/>
      </w:rPr>
      <w:fldChar w:fldCharType="separate"/>
    </w:r>
    <w:r w:rsidR="00181D1C">
      <w:rPr>
        <w:rStyle w:val="Numerstrony"/>
        <w:noProof/>
      </w:rPr>
      <w:t>4</w:t>
    </w:r>
    <w:r w:rsidR="00395ACD">
      <w:rPr>
        <w:rStyle w:val="Numerstrony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2DBB3" w14:textId="77777777" w:rsidR="00E43FB4" w:rsidRDefault="00E43FB4" w:rsidP="00E43FB4">
    <w:pPr>
      <w:pStyle w:val="ECHRHeader"/>
    </w:pPr>
    <w:r>
      <w:tab/>
    </w:r>
  </w:p>
  <w:p w14:paraId="79892D9C" w14:textId="77777777" w:rsidR="00E43FB4" w:rsidRDefault="00E43FB4" w:rsidP="00E43FB4">
    <w:pPr>
      <w:pStyle w:val="ECHRHeader"/>
    </w:pPr>
  </w:p>
  <w:p w14:paraId="225A02C3" w14:textId="77777777" w:rsidR="00E43FB4" w:rsidRDefault="00E43FB4" w:rsidP="00E43FB4">
    <w:pPr>
      <w:pStyle w:val="ECHRHeader"/>
    </w:pPr>
  </w:p>
  <w:p w14:paraId="0355CB55" w14:textId="77777777" w:rsidR="00E43FB4" w:rsidRDefault="00E43FB4" w:rsidP="00E43FB4">
    <w:pPr>
      <w:pStyle w:val="ECHRHeader"/>
    </w:pPr>
  </w:p>
  <w:p w14:paraId="1B8DAC31" w14:textId="187944DC" w:rsidR="00E43FB4" w:rsidRDefault="00E43FB4" w:rsidP="00E43FB4">
    <w:pPr>
      <w:pStyle w:val="ECHRHeader"/>
    </w:pPr>
    <w:r>
      <w:tab/>
      <w:t>DECYZJA w sprawie KUTLU I INNI przeciwko TURCJI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81D1C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E466B91" w14:textId="77777777" w:rsidR="00395ACD" w:rsidRPr="00E43FB4" w:rsidRDefault="00395ACD" w:rsidP="00E43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C42A1" w14:textId="77777777" w:rsidR="000359A3" w:rsidRDefault="006E0BDF">
    <w:pPr>
      <w:jc w:val="center"/>
    </w:pPr>
    <w:r>
      <w:rPr>
        <w:noProof/>
      </w:rPr>
      <w:drawing>
        <wp:inline distT="0" distB="0" distL="0" distR="0" wp14:anchorId="56E60C8F" wp14:editId="527C9EFE">
          <wp:extent cx="2962275" cy="1219200"/>
          <wp:effectExtent l="0" t="0" r="9525" b="0"/>
          <wp:docPr id="14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54E8DD" w14:textId="77777777" w:rsidR="000359A3" w:rsidRDefault="000359A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87C151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A25970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AE02580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8C010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BCB4B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E6B428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124C6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38ADC3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C40F8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9247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920C1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75C4D5D"/>
    <w:multiLevelType w:val="multilevel"/>
    <w:tmpl w:val="0409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3BB25E0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3CC3C05"/>
    <w:multiLevelType w:val="hybridMultilevel"/>
    <w:tmpl w:val="32D0B65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4"/>
  </w:num>
  <w:num w:numId="2">
    <w:abstractNumId w:val="14"/>
  </w:num>
  <w:num w:numId="3">
    <w:abstractNumId w:val="12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3"/>
  </w:num>
  <w:num w:numId="18">
    <w:abstractNumId w:val="1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LW_DocType" w:val="NORMAL"/>
    <w:docVar w:name="NBEMMDOC" w:val="0"/>
  </w:docVars>
  <w:rsids>
    <w:rsidRoot w:val="00CB282C"/>
    <w:rsid w:val="000359A3"/>
    <w:rsid w:val="000423A5"/>
    <w:rsid w:val="000F1B92"/>
    <w:rsid w:val="00104411"/>
    <w:rsid w:val="00121E90"/>
    <w:rsid w:val="00125C26"/>
    <w:rsid w:val="00181D1C"/>
    <w:rsid w:val="001A5CDC"/>
    <w:rsid w:val="001D3FEE"/>
    <w:rsid w:val="001D6803"/>
    <w:rsid w:val="001E1EAE"/>
    <w:rsid w:val="001E6136"/>
    <w:rsid w:val="002B0BC1"/>
    <w:rsid w:val="003720A5"/>
    <w:rsid w:val="00374E91"/>
    <w:rsid w:val="00395ACD"/>
    <w:rsid w:val="003E3C60"/>
    <w:rsid w:val="00407F0E"/>
    <w:rsid w:val="004811BC"/>
    <w:rsid w:val="004C6DFE"/>
    <w:rsid w:val="004D74A2"/>
    <w:rsid w:val="004F4E15"/>
    <w:rsid w:val="00542335"/>
    <w:rsid w:val="00580D08"/>
    <w:rsid w:val="005D0EE1"/>
    <w:rsid w:val="005E56C2"/>
    <w:rsid w:val="006267D3"/>
    <w:rsid w:val="0065534F"/>
    <w:rsid w:val="00662617"/>
    <w:rsid w:val="006E0BDF"/>
    <w:rsid w:val="006E123B"/>
    <w:rsid w:val="006F55FA"/>
    <w:rsid w:val="00765374"/>
    <w:rsid w:val="00786222"/>
    <w:rsid w:val="007C3D3E"/>
    <w:rsid w:val="007E1D42"/>
    <w:rsid w:val="008266F6"/>
    <w:rsid w:val="008304A1"/>
    <w:rsid w:val="008C7EDB"/>
    <w:rsid w:val="009338A4"/>
    <w:rsid w:val="00945837"/>
    <w:rsid w:val="00A40C11"/>
    <w:rsid w:val="00B56013"/>
    <w:rsid w:val="00C42C12"/>
    <w:rsid w:val="00C461B7"/>
    <w:rsid w:val="00C576CF"/>
    <w:rsid w:val="00C81FD3"/>
    <w:rsid w:val="00CB282C"/>
    <w:rsid w:val="00D30740"/>
    <w:rsid w:val="00DD250B"/>
    <w:rsid w:val="00DE6F67"/>
    <w:rsid w:val="00E43FB4"/>
    <w:rsid w:val="00EC603F"/>
    <w:rsid w:val="00EF0ABF"/>
    <w:rsid w:val="00F03026"/>
    <w:rsid w:val="00F3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0674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B5601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5601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color w:val="333333"/>
      <w:sz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56013"/>
    <w:pPr>
      <w:spacing w:before="200"/>
      <w:outlineLvl w:val="1"/>
    </w:pPr>
    <w:rPr>
      <w:rFonts w:asciiTheme="majorHAnsi" w:eastAsiaTheme="majorEastAsia" w:hAnsiTheme="majorHAnsi" w:cstheme="majorBidi"/>
      <w:b/>
      <w:color w:val="4D4D4D"/>
      <w:sz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5601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56013"/>
    <w:pPr>
      <w:spacing w:before="200"/>
      <w:outlineLvl w:val="3"/>
    </w:pPr>
    <w:rPr>
      <w:rFonts w:asciiTheme="majorHAnsi" w:eastAsiaTheme="majorEastAsia" w:hAnsiTheme="majorHAnsi" w:cstheme="majorBidi"/>
      <w:b/>
      <w:i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56013"/>
    <w:pPr>
      <w:spacing w:before="200"/>
      <w:outlineLvl w:val="4"/>
    </w:pPr>
    <w:rPr>
      <w:rFonts w:asciiTheme="majorHAnsi" w:eastAsiaTheme="majorEastAsia" w:hAnsiTheme="majorHAnsi" w:cstheme="majorBidi"/>
      <w:b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56013"/>
    <w:pPr>
      <w:spacing w:line="271" w:lineRule="auto"/>
      <w:outlineLvl w:val="5"/>
    </w:pPr>
    <w:rPr>
      <w:rFonts w:asciiTheme="majorHAnsi" w:eastAsiaTheme="majorEastAsia" w:hAnsiTheme="majorHAnsi" w:cstheme="majorBidi"/>
      <w:b/>
      <w:i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56013"/>
    <w:pPr>
      <w:outlineLvl w:val="6"/>
    </w:pPr>
    <w:rPr>
      <w:rFonts w:asciiTheme="majorHAnsi" w:eastAsiaTheme="majorEastAsia" w:hAnsiTheme="majorHAnsi" w:cstheme="majorBidi"/>
      <w:i/>
      <w:sz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56013"/>
    <w:pPr>
      <w:outlineLvl w:val="7"/>
    </w:pPr>
    <w:rPr>
      <w:rFonts w:asciiTheme="majorHAnsi" w:eastAsiaTheme="majorEastAsia" w:hAnsiTheme="majorHAnsi" w:cstheme="majorBidi"/>
      <w:sz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56013"/>
    <w:pPr>
      <w:outlineLvl w:val="8"/>
    </w:pPr>
    <w:rPr>
      <w:rFonts w:asciiTheme="majorHAnsi" w:eastAsiaTheme="majorEastAsia" w:hAnsiTheme="majorHAnsi" w:cstheme="majorBidi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basedOn w:val="Normalny"/>
    <w:next w:val="JuParaLast"/>
    <w:uiPriority w:val="32"/>
    <w:qFormat/>
    <w:rsid w:val="00B56013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ny"/>
    <w:link w:val="JuParaCar"/>
    <w:uiPriority w:val="12"/>
    <w:qFormat/>
    <w:rsid w:val="00B56013"/>
    <w:pPr>
      <w:ind w:firstLine="284"/>
    </w:pPr>
  </w:style>
  <w:style w:type="character" w:styleId="Numerstrony">
    <w:name w:val="page number"/>
    <w:uiPriority w:val="99"/>
    <w:semiHidden/>
    <w:rsid w:val="00E93FC7"/>
    <w:rPr>
      <w:sz w:val="18"/>
    </w:rPr>
  </w:style>
  <w:style w:type="character" w:styleId="Odwoaniedokomentarza">
    <w:name w:val="annotation reference"/>
    <w:uiPriority w:val="99"/>
    <w:semiHidden/>
    <w:rsid w:val="00E93FC7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93FC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B56013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B56013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B56013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Nagwek"/>
    <w:uiPriority w:val="4"/>
    <w:qFormat/>
    <w:rsid w:val="00B56013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B56013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B56013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B56013"/>
    <w:rPr>
      <w:rFonts w:ascii="Tahoma" w:hAnsi="Tahoma" w:cs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013"/>
    <w:rPr>
      <w:rFonts w:ascii="Tahoma" w:eastAsiaTheme="minorEastAsia" w:hAnsi="Tahoma" w:cs="Tahoma"/>
      <w:sz w:val="16"/>
    </w:rPr>
  </w:style>
  <w:style w:type="paragraph" w:customStyle="1" w:styleId="DummyStyle">
    <w:name w:val="Dummy_Style"/>
    <w:basedOn w:val="Normalny"/>
    <w:semiHidden/>
    <w:qFormat/>
    <w:rsid w:val="00B56013"/>
    <w:rPr>
      <w:color w:val="00B050"/>
    </w:rPr>
  </w:style>
  <w:style w:type="paragraph" w:customStyle="1" w:styleId="JuAppQuestion">
    <w:name w:val="Ju_App_Question"/>
    <w:basedOn w:val="Normalny"/>
    <w:uiPriority w:val="5"/>
    <w:qFormat/>
    <w:rsid w:val="00B56013"/>
    <w:pPr>
      <w:numPr>
        <w:numId w:val="19"/>
      </w:numPr>
      <w:jc w:val="left"/>
    </w:pPr>
    <w:rPr>
      <w:b/>
    </w:rPr>
  </w:style>
  <w:style w:type="paragraph" w:customStyle="1" w:styleId="ECHRParaQuote">
    <w:name w:val="ECHR_Para_Quote"/>
    <w:aliases w:val="Ju_Quot"/>
    <w:basedOn w:val="Normalny"/>
    <w:uiPriority w:val="14"/>
    <w:qFormat/>
    <w:rsid w:val="00B56013"/>
    <w:pPr>
      <w:spacing w:before="120" w:after="120"/>
      <w:ind w:left="425" w:firstLine="142"/>
    </w:pPr>
    <w:rPr>
      <w:sz w:val="20"/>
    </w:rPr>
  </w:style>
  <w:style w:type="paragraph" w:customStyle="1" w:styleId="JuCase">
    <w:name w:val="Ju_Case"/>
    <w:basedOn w:val="Normalny"/>
    <w:next w:val="ECHRPara"/>
    <w:uiPriority w:val="10"/>
    <w:semiHidden/>
    <w:rsid w:val="00B56013"/>
    <w:pPr>
      <w:ind w:firstLine="284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B56013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JuInitialled">
    <w:name w:val="Ju_Initialled"/>
    <w:basedOn w:val="Normalny"/>
    <w:uiPriority w:val="31"/>
    <w:qFormat/>
    <w:rsid w:val="00B56013"/>
    <w:pPr>
      <w:tabs>
        <w:tab w:val="center" w:pos="6407"/>
      </w:tabs>
      <w:spacing w:before="720"/>
      <w:jc w:val="right"/>
    </w:pPr>
  </w:style>
  <w:style w:type="paragraph" w:customStyle="1" w:styleId="JuList">
    <w:name w:val="Ju_List"/>
    <w:basedOn w:val="Normalny"/>
    <w:uiPriority w:val="28"/>
    <w:qFormat/>
    <w:rsid w:val="00B56013"/>
    <w:pPr>
      <w:ind w:left="340" w:hanging="340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56013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56013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Lista">
    <w:name w:val="Ju_List_a"/>
    <w:basedOn w:val="JuList"/>
    <w:uiPriority w:val="28"/>
    <w:qFormat/>
    <w:rsid w:val="00B56013"/>
    <w:pPr>
      <w:ind w:left="346" w:firstLine="0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56013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Listi">
    <w:name w:val="Ju_List_i"/>
    <w:basedOn w:val="Normalny"/>
    <w:next w:val="JuLista"/>
    <w:uiPriority w:val="28"/>
    <w:qFormat/>
    <w:rsid w:val="00B56013"/>
    <w:pPr>
      <w:ind w:left="794"/>
    </w:pPr>
  </w:style>
  <w:style w:type="character" w:customStyle="1" w:styleId="JUNAMES">
    <w:name w:val="JU_NAMES"/>
    <w:uiPriority w:val="17"/>
    <w:qFormat/>
    <w:rsid w:val="00B56013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B56013"/>
    <w:pPr>
      <w:ind w:left="284"/>
    </w:pPr>
  </w:style>
  <w:style w:type="character" w:customStyle="1" w:styleId="JuITMark">
    <w:name w:val="Ju_ITMark"/>
    <w:basedOn w:val="Domylnaczcionkaakapitu"/>
    <w:uiPriority w:val="38"/>
    <w:qFormat/>
    <w:rsid w:val="00B56013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QuotSub">
    <w:name w:val="Ju_Quot_Sub"/>
    <w:basedOn w:val="ECHRParaQuote"/>
    <w:uiPriority w:val="15"/>
    <w:qFormat/>
    <w:rsid w:val="00B56013"/>
    <w:pPr>
      <w:ind w:left="567"/>
    </w:pPr>
  </w:style>
  <w:style w:type="paragraph" w:customStyle="1" w:styleId="OpiH1">
    <w:name w:val="Opi_H_1"/>
    <w:basedOn w:val="ECHRHeading2"/>
    <w:uiPriority w:val="42"/>
    <w:semiHidden/>
    <w:qFormat/>
    <w:rsid w:val="00B56013"/>
    <w:pPr>
      <w:ind w:left="635" w:hanging="357"/>
      <w:outlineLvl w:val="2"/>
    </w:p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56013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B56013"/>
    <w:rPr>
      <w:rFonts w:asciiTheme="majorHAnsi" w:eastAsiaTheme="majorEastAsia" w:hAnsiTheme="majorHAnsi" w:cstheme="majorBidi"/>
      <w:b/>
      <w:color w:val="333333"/>
      <w:sz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56013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56013"/>
    <w:rPr>
      <w:rFonts w:asciiTheme="majorHAnsi" w:eastAsiaTheme="majorEastAsia" w:hAnsiTheme="majorHAnsi" w:cstheme="majorBidi"/>
      <w:b/>
      <w:color w:val="4D4D4D"/>
      <w:sz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56013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56013"/>
    <w:rPr>
      <w:rFonts w:asciiTheme="majorHAnsi" w:eastAsiaTheme="majorEastAsia" w:hAnsiTheme="majorHAnsi" w:cstheme="majorBidi"/>
      <w:b/>
      <w:color w:val="5F5F5F"/>
      <w:sz w:val="24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56013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B56013"/>
    <w:rPr>
      <w:rFonts w:asciiTheme="majorHAnsi" w:eastAsiaTheme="majorEastAsia" w:hAnsiTheme="majorHAnsi" w:cstheme="majorBidi"/>
      <w:b/>
      <w:i/>
      <w:color w:val="777777"/>
      <w:sz w:val="24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56013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B56013"/>
    <w:rPr>
      <w:rFonts w:asciiTheme="majorHAnsi" w:eastAsiaTheme="majorEastAsia" w:hAnsiTheme="majorHAnsi" w:cstheme="majorBidi"/>
      <w:b/>
      <w:color w:val="80808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56013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B56013"/>
    <w:rPr>
      <w:rFonts w:asciiTheme="majorHAnsi" w:eastAsiaTheme="majorEastAsia" w:hAnsiTheme="majorHAnsi" w:cstheme="majorBidi"/>
      <w:b/>
      <w:i/>
      <w:color w:val="7F7F7F" w:themeColor="text1" w:themeTint="80"/>
      <w:sz w:val="24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56013"/>
    <w:pPr>
      <w:keepNext/>
      <w:keepLines/>
      <w:spacing w:before="240" w:after="120"/>
      <w:ind w:left="1236"/>
    </w:pPr>
    <w:rPr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56013"/>
    <w:rPr>
      <w:rFonts w:asciiTheme="majorHAnsi" w:eastAsiaTheme="majorEastAsia" w:hAnsiTheme="majorHAnsi" w:cstheme="majorBidi"/>
      <w:i/>
    </w:rPr>
  </w:style>
  <w:style w:type="paragraph" w:customStyle="1" w:styleId="JuParaLast">
    <w:name w:val="Ju_Para_Last"/>
    <w:basedOn w:val="Normalny"/>
    <w:next w:val="ECHRPara"/>
    <w:uiPriority w:val="30"/>
    <w:qFormat/>
    <w:rsid w:val="00B56013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B56013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B56013"/>
    <w:pPr>
      <w:tabs>
        <w:tab w:val="left" w:pos="567"/>
        <w:tab w:val="left" w:pos="1134"/>
      </w:tabs>
      <w:jc w:val="left"/>
    </w:pPr>
  </w:style>
  <w:style w:type="paragraph" w:customStyle="1" w:styleId="OpiHa">
    <w:name w:val="Opi_H_a"/>
    <w:basedOn w:val="ECHRHeading3"/>
    <w:uiPriority w:val="43"/>
    <w:semiHidden/>
    <w:qFormat/>
    <w:rsid w:val="00B56013"/>
    <w:pPr>
      <w:ind w:left="833" w:hanging="357"/>
      <w:outlineLvl w:val="3"/>
    </w:pPr>
    <w:rPr>
      <w:b/>
      <w:i w:val="0"/>
      <w:sz w:val="20"/>
    </w:rPr>
  </w:style>
  <w:style w:type="paragraph" w:customStyle="1" w:styleId="OpiHA0">
    <w:name w:val="Opi_H_A"/>
    <w:basedOn w:val="ECHRHeading1"/>
    <w:next w:val="OpiPara"/>
    <w:uiPriority w:val="41"/>
    <w:semiHidden/>
    <w:qFormat/>
    <w:rsid w:val="00B56013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semiHidden/>
    <w:qFormat/>
    <w:rsid w:val="00B56013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semiHidden/>
    <w:qFormat/>
    <w:rsid w:val="00B56013"/>
  </w:style>
  <w:style w:type="paragraph" w:customStyle="1" w:styleId="OpiParaSub">
    <w:name w:val="Opi_Para_Sub"/>
    <w:basedOn w:val="JuParaSub"/>
    <w:uiPriority w:val="47"/>
    <w:semiHidden/>
    <w:qFormat/>
    <w:rsid w:val="00B56013"/>
  </w:style>
  <w:style w:type="paragraph" w:customStyle="1" w:styleId="OpiQuot">
    <w:name w:val="Opi_Quot"/>
    <w:basedOn w:val="ECHRParaQuote"/>
    <w:uiPriority w:val="48"/>
    <w:semiHidden/>
    <w:qFormat/>
    <w:rsid w:val="00B56013"/>
  </w:style>
  <w:style w:type="character" w:customStyle="1" w:styleId="Nagwek8Znak">
    <w:name w:val="Nagłówek 8 Znak"/>
    <w:basedOn w:val="Domylnaczcionkaakapitu"/>
    <w:link w:val="Nagwek8"/>
    <w:uiPriority w:val="99"/>
    <w:semiHidden/>
    <w:rsid w:val="00B56013"/>
    <w:rPr>
      <w:rFonts w:asciiTheme="majorHAnsi" w:eastAsiaTheme="majorEastAsia" w:hAnsiTheme="majorHAnsi" w:cstheme="majorBidi"/>
      <w:sz w:val="20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B56013"/>
    <w:rPr>
      <w:rFonts w:asciiTheme="majorHAnsi" w:eastAsiaTheme="majorEastAsia" w:hAnsiTheme="majorHAnsi" w:cstheme="majorBidi"/>
      <w:i/>
      <w:sz w:val="20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B5601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z w:val="52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B56013"/>
    <w:rPr>
      <w:rFonts w:asciiTheme="majorHAnsi" w:eastAsiaTheme="majorEastAsia" w:hAnsiTheme="majorHAnsi" w:cstheme="majorBidi"/>
      <w:sz w:val="52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56013"/>
    <w:pPr>
      <w:spacing w:after="600"/>
    </w:pPr>
    <w:rPr>
      <w:rFonts w:asciiTheme="majorHAnsi" w:eastAsiaTheme="majorEastAsia" w:hAnsiTheme="majorHAnsi" w:cstheme="majorBidi"/>
      <w:i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B56013"/>
    <w:rPr>
      <w:rFonts w:asciiTheme="majorHAnsi" w:eastAsiaTheme="majorEastAsia" w:hAnsiTheme="majorHAnsi" w:cstheme="majorBidi"/>
      <w:i/>
      <w:sz w:val="24"/>
    </w:rPr>
  </w:style>
  <w:style w:type="character" w:styleId="Pogrubienie">
    <w:name w:val="Strong"/>
    <w:uiPriority w:val="99"/>
    <w:semiHidden/>
    <w:qFormat/>
    <w:rsid w:val="00B56013"/>
    <w:rPr>
      <w:b/>
    </w:rPr>
  </w:style>
  <w:style w:type="character" w:styleId="Uwydatnienie">
    <w:name w:val="Emphasis"/>
    <w:uiPriority w:val="99"/>
    <w:semiHidden/>
    <w:qFormat/>
    <w:rsid w:val="00B56013"/>
    <w:rPr>
      <w:b/>
      <w:i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B56013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B56013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B5601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56013"/>
    <w:pPr>
      <w:spacing w:before="200"/>
      <w:ind w:left="360" w:right="360"/>
    </w:pPr>
    <w:rPr>
      <w:i/>
      <w:sz w:val="22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B56013"/>
    <w:rPr>
      <w:rFonts w:eastAsiaTheme="minorEastAsia"/>
      <w:i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56013"/>
    <w:pPr>
      <w:pBdr>
        <w:bottom w:val="single" w:sz="4" w:space="1" w:color="auto"/>
      </w:pBdr>
      <w:spacing w:before="200" w:after="280"/>
      <w:ind w:left="1008" w:right="1152"/>
    </w:pPr>
    <w:rPr>
      <w:b/>
      <w:i/>
      <w:sz w:val="22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B56013"/>
    <w:rPr>
      <w:rFonts w:eastAsiaTheme="minorEastAsia"/>
      <w:b/>
      <w:i/>
    </w:rPr>
  </w:style>
  <w:style w:type="character" w:styleId="Wyrnieniedelikatne">
    <w:name w:val="Subtle Emphasis"/>
    <w:uiPriority w:val="99"/>
    <w:semiHidden/>
    <w:qFormat/>
    <w:rsid w:val="00B56013"/>
    <w:rPr>
      <w:i/>
    </w:rPr>
  </w:style>
  <w:style w:type="character" w:styleId="Wyrnienieintensywne">
    <w:name w:val="Intense Emphasis"/>
    <w:uiPriority w:val="99"/>
    <w:semiHidden/>
    <w:qFormat/>
    <w:rsid w:val="00B56013"/>
    <w:rPr>
      <w:b/>
    </w:rPr>
  </w:style>
  <w:style w:type="character" w:styleId="Odwoaniedelikatne">
    <w:name w:val="Subtle Reference"/>
    <w:uiPriority w:val="99"/>
    <w:semiHidden/>
    <w:qFormat/>
    <w:rsid w:val="00B56013"/>
    <w:rPr>
      <w:smallCaps/>
    </w:rPr>
  </w:style>
  <w:style w:type="character" w:styleId="Odwoanieintensywne">
    <w:name w:val="Intense Reference"/>
    <w:uiPriority w:val="99"/>
    <w:semiHidden/>
    <w:qFormat/>
    <w:rsid w:val="00B56013"/>
    <w:rPr>
      <w:smallCaps/>
      <w:u w:val="single"/>
    </w:rPr>
  </w:style>
  <w:style w:type="character" w:styleId="Tytuksiki">
    <w:name w:val="Book Title"/>
    <w:uiPriority w:val="99"/>
    <w:semiHidden/>
    <w:qFormat/>
    <w:rsid w:val="00B56013"/>
    <w:rPr>
      <w:i/>
      <w:smallCaps/>
    </w:rPr>
  </w:style>
  <w:style w:type="paragraph" w:styleId="Nagwekspisutreci">
    <w:name w:val="TOC Heading"/>
    <w:basedOn w:val="Normalny"/>
    <w:next w:val="Normalny"/>
    <w:uiPriority w:val="99"/>
    <w:semiHidden/>
    <w:qFormat/>
    <w:rsid w:val="00B56013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E93FC7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E93FC7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E93FC7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37"/>
    <w:semiHidden/>
    <w:unhideWhenUsed/>
    <w:rsid w:val="00E93FC7"/>
  </w:style>
  <w:style w:type="paragraph" w:styleId="Tekstblokowy">
    <w:name w:val="Block Text"/>
    <w:basedOn w:val="Normalny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3F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3FC7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3FC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3FC7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3FC7"/>
    <w:pPr>
      <w:spacing w:after="120"/>
    </w:pPr>
    <w:rPr>
      <w:sz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3FC7"/>
    <w:rPr>
      <w:rFonts w:eastAsiaTheme="minorEastAsia"/>
      <w:sz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E93FC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93FC7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93FC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93FC7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93FC7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3FC7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93FC7"/>
    <w:pPr>
      <w:spacing w:after="120"/>
      <w:ind w:left="283"/>
    </w:pPr>
    <w:rPr>
      <w:sz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93FC7"/>
    <w:rPr>
      <w:rFonts w:eastAsiaTheme="minorEastAsia"/>
      <w:sz w:val="16"/>
    </w:rPr>
  </w:style>
  <w:style w:type="paragraph" w:styleId="Legenda">
    <w:name w:val="caption"/>
    <w:basedOn w:val="Normalny"/>
    <w:next w:val="Normalny"/>
    <w:uiPriority w:val="99"/>
    <w:semiHidden/>
    <w:qFormat/>
    <w:rsid w:val="00E93FC7"/>
    <w:pPr>
      <w:spacing w:after="200"/>
    </w:pPr>
    <w:rPr>
      <w:b/>
      <w:color w:val="0072BC" w:themeColor="accent1"/>
      <w:sz w:val="18"/>
    </w:rPr>
  </w:style>
  <w:style w:type="paragraph" w:styleId="Zwrotpoegnalny">
    <w:name w:val="Closing"/>
    <w:basedOn w:val="Normalny"/>
    <w:link w:val="ZwrotpoegnalnyZnak"/>
    <w:uiPriority w:val="99"/>
    <w:semiHidden/>
    <w:unhideWhenUsed/>
    <w:rsid w:val="00E93FC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93FC7"/>
    <w:rPr>
      <w:rFonts w:eastAsiaTheme="minorEastAsia"/>
      <w:sz w:val="24"/>
    </w:rPr>
  </w:style>
  <w:style w:type="table" w:styleId="Kolorowasiatka">
    <w:name w:val="Colorful Grid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FC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FC7"/>
    <w:rPr>
      <w:rFonts w:eastAsiaTheme="minorEastAsia"/>
      <w:b/>
      <w:sz w:val="20"/>
    </w:rPr>
  </w:style>
  <w:style w:type="table" w:styleId="Ciemnalista">
    <w:name w:val="Dark List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E93FC7"/>
  </w:style>
  <w:style w:type="character" w:customStyle="1" w:styleId="DataZnak">
    <w:name w:val="Data Znak"/>
    <w:basedOn w:val="Domylnaczcionkaakapitu"/>
    <w:link w:val="Data"/>
    <w:uiPriority w:val="99"/>
    <w:semiHidden/>
    <w:rsid w:val="00E93FC7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93FC7"/>
    <w:rPr>
      <w:rFonts w:ascii="Tahoma" w:hAnsi="Tahoma" w:cs="Tahoma"/>
      <w:sz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93FC7"/>
    <w:rPr>
      <w:rFonts w:ascii="Tahoma" w:eastAsiaTheme="minorEastAsia" w:hAnsi="Tahoma" w:cs="Tahoma"/>
      <w:sz w:val="16"/>
    </w:rPr>
  </w:style>
  <w:style w:type="paragraph" w:styleId="Podpise-mail">
    <w:name w:val="E-mail Signature"/>
    <w:basedOn w:val="Normalny"/>
    <w:link w:val="Podpise-mailZnak"/>
    <w:uiPriority w:val="99"/>
    <w:semiHidden/>
    <w:unhideWhenUsed/>
    <w:rsid w:val="00E93FC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93FC7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3F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FC7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FC7"/>
    <w:rPr>
      <w:rFonts w:eastAsiaTheme="minorEastAsia"/>
      <w:sz w:val="20"/>
    </w:rPr>
  </w:style>
  <w:style w:type="paragraph" w:styleId="Adresnakopercie">
    <w:name w:val="envelope address"/>
    <w:basedOn w:val="Normalny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9"/>
    <w:semiHidden/>
    <w:unhideWhenUsed/>
    <w:rsid w:val="00E93FC7"/>
    <w:rPr>
      <w:rFonts w:asciiTheme="majorHAnsi" w:eastAsiaTheme="majorEastAsia" w:hAnsiTheme="majorHAnsi" w:cstheme="majorBidi"/>
      <w:sz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B5601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5601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56013"/>
    <w:rPr>
      <w:rFonts w:eastAsiaTheme="minorEastAsia"/>
      <w:sz w:val="20"/>
    </w:rPr>
  </w:style>
  <w:style w:type="character" w:styleId="HTML-akronim">
    <w:name w:val="HTML Acronym"/>
    <w:basedOn w:val="Domylnaczcionkaakapitu"/>
    <w:uiPriority w:val="99"/>
    <w:semiHidden/>
    <w:unhideWhenUsed/>
    <w:rsid w:val="00E93FC7"/>
  </w:style>
  <w:style w:type="paragraph" w:styleId="HTML-adres">
    <w:name w:val="HTML Address"/>
    <w:basedOn w:val="Normalny"/>
    <w:link w:val="HTML-adresZnak"/>
    <w:uiPriority w:val="99"/>
    <w:semiHidden/>
    <w:unhideWhenUsed/>
    <w:rsid w:val="00E93FC7"/>
    <w:rPr>
      <w:i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93FC7"/>
    <w:rPr>
      <w:rFonts w:eastAsiaTheme="minorEastAsia"/>
      <w:i/>
      <w:sz w:val="24"/>
    </w:rPr>
  </w:style>
  <w:style w:type="character" w:styleId="HTML-cytat">
    <w:name w:val="HTML Cite"/>
    <w:basedOn w:val="Domylnaczcionkaakapitu"/>
    <w:uiPriority w:val="99"/>
    <w:semiHidden/>
    <w:unhideWhenUsed/>
    <w:rsid w:val="00E93FC7"/>
    <w:rPr>
      <w:i/>
    </w:rPr>
  </w:style>
  <w:style w:type="character" w:styleId="HTML-kod">
    <w:name w:val="HTML Code"/>
    <w:basedOn w:val="Domylnaczcionkaakapitu"/>
    <w:uiPriority w:val="99"/>
    <w:semiHidden/>
    <w:unhideWhenUsed/>
    <w:rsid w:val="00E93FC7"/>
    <w:rPr>
      <w:rFonts w:ascii="Consolas" w:hAnsi="Consolas" w:cs="Consolas"/>
      <w:sz w:val="20"/>
    </w:rPr>
  </w:style>
  <w:style w:type="character" w:styleId="HTML-definicja">
    <w:name w:val="HTML Definition"/>
    <w:basedOn w:val="Domylnaczcionkaakapitu"/>
    <w:uiPriority w:val="99"/>
    <w:semiHidden/>
    <w:unhideWhenUsed/>
    <w:rsid w:val="00E93FC7"/>
    <w:rPr>
      <w:i/>
    </w:rPr>
  </w:style>
  <w:style w:type="character" w:styleId="HTML-klawiatura">
    <w:name w:val="HTML Keyboard"/>
    <w:basedOn w:val="Domylnaczcionkaakapitu"/>
    <w:uiPriority w:val="99"/>
    <w:semiHidden/>
    <w:unhideWhenUsed/>
    <w:rsid w:val="00E93FC7"/>
    <w:rPr>
      <w:rFonts w:ascii="Consolas" w:hAnsi="Consolas" w:cs="Consolas"/>
      <w:sz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93FC7"/>
    <w:rPr>
      <w:rFonts w:ascii="Consolas" w:hAnsi="Consolas" w:cs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93FC7"/>
    <w:rPr>
      <w:rFonts w:ascii="Consolas" w:eastAsiaTheme="minorEastAsia" w:hAnsi="Consolas" w:cs="Consolas"/>
      <w:sz w:val="20"/>
    </w:rPr>
  </w:style>
  <w:style w:type="character" w:styleId="HTML-przykad">
    <w:name w:val="HTML Sample"/>
    <w:basedOn w:val="Domylnaczcionkaakapitu"/>
    <w:uiPriority w:val="99"/>
    <w:semiHidden/>
    <w:unhideWhenUsed/>
    <w:rsid w:val="00E93FC7"/>
    <w:rPr>
      <w:rFonts w:ascii="Consolas" w:hAnsi="Consolas" w:cs="Consolas"/>
      <w:sz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E93FC7"/>
    <w:rPr>
      <w:rFonts w:ascii="Consolas" w:hAnsi="Consolas" w:cs="Consolas"/>
      <w:sz w:val="20"/>
    </w:rPr>
  </w:style>
  <w:style w:type="character" w:styleId="HTML-zmienna">
    <w:name w:val="HTML Variable"/>
    <w:basedOn w:val="Domylnaczcionkaakapitu"/>
    <w:uiPriority w:val="99"/>
    <w:semiHidden/>
    <w:unhideWhenUsed/>
    <w:rsid w:val="00E93FC7"/>
    <w:rPr>
      <w:i/>
    </w:rPr>
  </w:style>
  <w:style w:type="character" w:styleId="Hipercze">
    <w:name w:val="Hyperlink"/>
    <w:basedOn w:val="Domylnaczcionkaakapitu"/>
    <w:uiPriority w:val="99"/>
    <w:semiHidden/>
    <w:rsid w:val="00B56013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93FC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E93FC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E93FC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E93FC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E93FC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E93FC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E93FC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E93FC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E93FC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unhideWhenUsed/>
    <w:rsid w:val="00E93FC7"/>
    <w:rPr>
      <w:rFonts w:asciiTheme="majorHAnsi" w:eastAsiaTheme="majorEastAsia" w:hAnsiTheme="majorHAnsi" w:cstheme="majorBidi"/>
      <w:b/>
    </w:rPr>
  </w:style>
  <w:style w:type="table" w:styleId="Jasnasiatka">
    <w:name w:val="Light Grid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E93FC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E93FC7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E93FC7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E93FC7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E93FC7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E93FC7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E93FC7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unhideWhenUsed/>
    <w:rsid w:val="00E93FC7"/>
  </w:style>
  <w:style w:type="paragraph" w:styleId="Lista">
    <w:name w:val="List"/>
    <w:basedOn w:val="Normalny"/>
    <w:uiPriority w:val="99"/>
    <w:semiHidden/>
    <w:unhideWhenUsed/>
    <w:rsid w:val="00E93FC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E93FC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E93FC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E93FC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E93FC7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E93FC7"/>
    <w:pPr>
      <w:numPr>
        <w:numId w:val="14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E93FC7"/>
    <w:pPr>
      <w:numPr>
        <w:numId w:val="15"/>
      </w:numPr>
      <w:contextualSpacing/>
    </w:pPr>
  </w:style>
  <w:style w:type="paragraph" w:styleId="Tekstmakra">
    <w:name w:val="macro"/>
    <w:link w:val="TekstmakraZnak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93FC7"/>
    <w:rPr>
      <w:rFonts w:ascii="Consolas" w:eastAsiaTheme="minorEastAsia" w:hAnsi="Consolas" w:cs="Consolas"/>
      <w:sz w:val="20"/>
    </w:rPr>
  </w:style>
  <w:style w:type="table" w:styleId="redniasiatka1">
    <w:name w:val="Medium Grid 1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93FC7"/>
    <w:rPr>
      <w:rFonts w:asciiTheme="majorHAnsi" w:eastAsiaTheme="majorEastAsia" w:hAnsiTheme="majorHAnsi" w:cstheme="majorBidi"/>
      <w:sz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E93FC7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9"/>
    <w:semiHidden/>
    <w:unhideWhenUsed/>
    <w:rsid w:val="00E93FC7"/>
    <w:pPr>
      <w:ind w:left="720"/>
    </w:pPr>
  </w:style>
  <w:style w:type="paragraph" w:customStyle="1" w:styleId="OpiQuotSub">
    <w:name w:val="Opi_Quot_Sub"/>
    <w:basedOn w:val="JuQuotSub"/>
    <w:uiPriority w:val="49"/>
    <w:semiHidden/>
    <w:qFormat/>
    <w:rsid w:val="00B56013"/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B56013"/>
    <w:pPr>
      <w:jc w:val="center"/>
      <w:outlineLvl w:val="0"/>
    </w:pPr>
    <w:rPr>
      <w:i/>
    </w:rPr>
  </w:style>
  <w:style w:type="character" w:styleId="Tekstzastpczy">
    <w:name w:val="Placeholder Text"/>
    <w:basedOn w:val="Domylnaczcionkaakapitu"/>
    <w:uiPriority w:val="99"/>
    <w:semiHidden/>
    <w:rsid w:val="00B56013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FC7"/>
    <w:rPr>
      <w:rFonts w:ascii="Consolas" w:hAnsi="Consolas" w:cs="Consolas"/>
      <w:sz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FC7"/>
    <w:rPr>
      <w:rFonts w:ascii="Consolas" w:eastAsiaTheme="minorEastAsia" w:hAnsi="Consolas" w:cs="Consolas"/>
      <w:sz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E93FC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93FC7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unhideWhenUsed/>
    <w:rsid w:val="00E93FC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93FC7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E93FC7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E93FC7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E93FC7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93FC7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93FC7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93FC7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93FC7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93FC7"/>
    <w:pPr>
      <w:jc w:val="both"/>
    </w:pPr>
    <w:rPr>
      <w:b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93FC7"/>
    <w:pPr>
      <w:jc w:val="both"/>
    </w:pPr>
    <w:rPr>
      <w:b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93FC7"/>
    <w:pPr>
      <w:jc w:val="both"/>
    </w:pPr>
    <w:rPr>
      <w:b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93FC7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93FC7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93FC7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B56013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93FC7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93FC7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93FC7"/>
    <w:pPr>
      <w:jc w:val="both"/>
    </w:pPr>
    <w:rPr>
      <w:b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93FC7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unhideWhenUsed/>
    <w:rsid w:val="00E93FC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unhideWhenUsed/>
    <w:rsid w:val="00E93FC7"/>
  </w:style>
  <w:style w:type="table" w:styleId="Tabela-Profesjonalny">
    <w:name w:val="Table Professional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93FC7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93FC7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93FC7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93FC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93FC7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B56013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color w:val="474747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9"/>
    <w:semiHidden/>
    <w:rsid w:val="00B56013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B56013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B56013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B56013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B56013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9"/>
    <w:semiHidden/>
    <w:rsid w:val="00B56013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B56013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E93FC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B56013"/>
    <w:pPr>
      <w:jc w:val="left"/>
    </w:pPr>
    <w:rPr>
      <w:sz w:val="8"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B56013"/>
  </w:style>
  <w:style w:type="paragraph" w:styleId="Stopka">
    <w:name w:val="footer"/>
    <w:basedOn w:val="Normalny"/>
    <w:link w:val="StopkaZnak"/>
    <w:uiPriority w:val="57"/>
    <w:semiHidden/>
    <w:rsid w:val="00B56013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B56013"/>
    <w:rPr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56013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B56013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B56013"/>
    <w:rPr>
      <w:rFonts w:eastAsiaTheme="minorEastAsia"/>
      <w:sz w:val="24"/>
    </w:rPr>
  </w:style>
  <w:style w:type="paragraph" w:customStyle="1" w:styleId="JuHeaderLandscape">
    <w:name w:val="Ju_Header_Landscape"/>
    <w:basedOn w:val="ECHRHeader"/>
    <w:uiPriority w:val="4"/>
    <w:qFormat/>
    <w:rsid w:val="00B56013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JuParaCar">
    <w:name w:val="Ju_Para Car"/>
    <w:link w:val="ECHRPara"/>
    <w:uiPriority w:val="12"/>
    <w:rsid w:val="00CB282C"/>
    <w:rPr>
      <w:rFonts w:eastAsiaTheme="minorEastAsia"/>
      <w:sz w:val="24"/>
    </w:rPr>
  </w:style>
  <w:style w:type="paragraph" w:customStyle="1" w:styleId="P68B1DB1-ECHRPara1">
    <w:name w:val="P68B1DB1-ECHRPara1"/>
    <w:basedOn w:val="ECHRPara"/>
  </w:style>
  <w:style w:type="paragraph" w:customStyle="1" w:styleId="P68B1DB1-Normal2">
    <w:name w:val="P68B1DB1-Normal2"/>
    <w:basedOn w:val="Normalny"/>
    <w:rPr>
      <w:b/>
    </w:rPr>
  </w:style>
  <w:style w:type="paragraph" w:styleId="Poprawka">
    <w:name w:val="Revision"/>
    <w:hidden/>
    <w:uiPriority w:val="99"/>
    <w:semiHidden/>
    <w:rsid w:val="00407F0E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922DD-885B-4C63-BB25-7193599EC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C6353D-A7AB-4625-BECA-58CEE86D2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CD4159-4665-49CD-AB31-AE69592C1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18F546-14FC-480B-80A7-4F39B5533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1418</Words>
  <Characters>8798</Characters>
  <Application>Microsoft Office Word</Application>
  <DocSecurity>0</DocSecurity>
  <Lines>204</Lines>
  <Paragraphs>71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10145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DC</dc:subject>
  <dc:creator/>
  <cp:lastModifiedBy/>
  <cp:revision>1</cp:revision>
  <dcterms:created xsi:type="dcterms:W3CDTF">2023-04-11T09:12:00Z</dcterms:created>
  <dcterms:modified xsi:type="dcterms:W3CDTF">2023-04-11T09:46:00Z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18357/11</vt:lpwstr>
  </property>
  <property fmtid="{D5CDD505-2E9C-101B-9397-08002B2CF9AE}" pid="4" name="CASEID">
    <vt:lpwstr>707921</vt:lpwstr>
  </property>
  <property fmtid="{D5CDD505-2E9C-101B-9397-08002B2CF9AE}" pid="5" name="ContentTypeId">
    <vt:lpwstr>0x010100558EB02BDB9E204AB350EDD385B68E10</vt:lpwstr>
  </property>
</Properties>
</file>