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576CF" w:rsidR="00C576CF" w:rsidP="00C576CF" w:rsidRDefault="00C576CF">
      <w:pPr>
        <w:jc w:val="center"/>
      </w:pPr>
      <w:bookmarkStart w:name="_GoBack" w:id="0"/>
      <w:bookmarkEnd w:id="0"/>
    </w:p>
    <w:p w:rsidRPr="00C576CF" w:rsidR="00C576CF" w:rsidP="00C576CF" w:rsidRDefault="00C576CF">
      <w:pPr>
        <w:jc w:val="center"/>
        <w:rPr>
          <w:sz w:val="4"/>
          <w:szCs w:val="4"/>
        </w:rPr>
      </w:pPr>
    </w:p>
    <w:p w:rsidRPr="00C576CF" w:rsidR="00C576CF" w:rsidP="00C576CF" w:rsidRDefault="00C576CF">
      <w:pPr>
        <w:pStyle w:val="DecHTitle"/>
      </w:pPr>
      <w:r w:rsidRPr="00C576CF">
        <w:rPr>
          <w:szCs w:val="24"/>
        </w:rPr>
        <w:t>SECOND SECTION</w:t>
      </w:r>
    </w:p>
    <w:p w:rsidRPr="00C576CF" w:rsidR="00C576CF" w:rsidP="00C576CF" w:rsidRDefault="00C576CF">
      <w:pPr>
        <w:pStyle w:val="DecHTitle"/>
      </w:pPr>
      <w:r w:rsidRPr="00C576CF">
        <w:t>DECISION</w:t>
      </w:r>
    </w:p>
    <w:p w:rsidRPr="00C576CF" w:rsidR="00C576CF" w:rsidP="00C576CF" w:rsidRDefault="00C576CF">
      <w:pPr>
        <w:pStyle w:val="ECHRTitleCentre2"/>
      </w:pPr>
      <w:r w:rsidRPr="00C576CF">
        <w:t>Application no. 18357/11</w:t>
      </w:r>
      <w:r w:rsidRPr="00C576CF">
        <w:br/>
      </w:r>
      <w:proofErr w:type="spellStart"/>
      <w:r w:rsidRPr="00C576CF">
        <w:t>Gülseren</w:t>
      </w:r>
      <w:proofErr w:type="spellEnd"/>
      <w:r w:rsidRPr="00C576CF">
        <w:t xml:space="preserve"> KUTLU and others</w:t>
      </w:r>
      <w:r w:rsidRPr="00C576CF">
        <w:br/>
        <w:t>against Turkey</w:t>
      </w:r>
    </w:p>
    <w:p w:rsidRPr="00C576CF" w:rsidR="00C576CF" w:rsidP="00C576CF" w:rsidRDefault="00C576CF">
      <w:pPr>
        <w:pStyle w:val="ECHRPara"/>
        <w:rPr>
          <w:sz w:val="2"/>
          <w:szCs w:val="2"/>
        </w:rPr>
      </w:pPr>
    </w:p>
    <w:p w:rsidRPr="00C576CF" w:rsidR="00C576CF" w:rsidP="00C576CF" w:rsidRDefault="00C576CF">
      <w:pPr>
        <w:pStyle w:val="ECHRPara"/>
      </w:pPr>
      <w:r w:rsidRPr="00C576CF">
        <w:t>The European Court of Human Rights (Second Section), sitting on 12 March 2019 as a Chamber composed of:</w:t>
      </w:r>
    </w:p>
    <w:p w:rsidRPr="00C576CF" w:rsidR="00C576CF" w:rsidP="00C576CF" w:rsidRDefault="00C576CF">
      <w:pPr>
        <w:pStyle w:val="ECHRDecisionBody"/>
      </w:pPr>
      <w:r w:rsidRPr="00C576CF">
        <w:tab/>
        <w:t>Robert Spano,</w:t>
      </w:r>
      <w:r w:rsidRPr="00C576CF">
        <w:rPr>
          <w:i/>
        </w:rPr>
        <w:t xml:space="preserve"> President,</w:t>
      </w:r>
      <w:r w:rsidRPr="00C576CF">
        <w:rPr>
          <w:i/>
        </w:rPr>
        <w:br/>
      </w:r>
      <w:r w:rsidRPr="00C576CF">
        <w:tab/>
        <w:t>Paul Lemmens,</w:t>
      </w:r>
      <w:r w:rsidRPr="00C576CF">
        <w:rPr>
          <w:i/>
        </w:rPr>
        <w:br/>
      </w:r>
      <w:r w:rsidRPr="00C576CF">
        <w:tab/>
      </w:r>
      <w:proofErr w:type="spellStart"/>
      <w:r w:rsidRPr="00C576CF">
        <w:t>Işıl</w:t>
      </w:r>
      <w:proofErr w:type="spellEnd"/>
      <w:r w:rsidRPr="00C576CF">
        <w:t xml:space="preserve"> </w:t>
      </w:r>
      <w:proofErr w:type="spellStart"/>
      <w:r w:rsidRPr="00C576CF">
        <w:t>Karakaş</w:t>
      </w:r>
      <w:proofErr w:type="spellEnd"/>
      <w:r w:rsidRPr="00C576CF">
        <w:t>,</w:t>
      </w:r>
    </w:p>
    <w:p w:rsidRPr="00C576CF" w:rsidR="00C576CF" w:rsidP="00C576CF" w:rsidRDefault="00C576CF">
      <w:pPr>
        <w:pStyle w:val="ECHRDecisionBody"/>
      </w:pPr>
      <w:r w:rsidRPr="00C576CF">
        <w:tab/>
        <w:t>Julia Laffranque,</w:t>
      </w:r>
      <w:r w:rsidRPr="00C576CF">
        <w:rPr>
          <w:i/>
        </w:rPr>
        <w:br/>
      </w:r>
      <w:r w:rsidRPr="00C576CF">
        <w:tab/>
      </w:r>
      <w:proofErr w:type="spellStart"/>
      <w:r w:rsidRPr="00C576CF">
        <w:t>Valeriu</w:t>
      </w:r>
      <w:proofErr w:type="spellEnd"/>
      <w:r w:rsidRPr="00C576CF">
        <w:t xml:space="preserve"> </w:t>
      </w:r>
      <w:proofErr w:type="spellStart"/>
      <w:r w:rsidRPr="00C576CF">
        <w:t>Griţco</w:t>
      </w:r>
      <w:proofErr w:type="spellEnd"/>
      <w:r w:rsidRPr="00C576CF">
        <w:t>,</w:t>
      </w:r>
      <w:r w:rsidRPr="00C576CF">
        <w:rPr>
          <w:i/>
        </w:rPr>
        <w:br/>
      </w:r>
      <w:r w:rsidRPr="00C576CF">
        <w:tab/>
        <w:t xml:space="preserve">Jon </w:t>
      </w:r>
      <w:proofErr w:type="spellStart"/>
      <w:r w:rsidRPr="00C576CF">
        <w:t>Fridrik</w:t>
      </w:r>
      <w:proofErr w:type="spellEnd"/>
      <w:r w:rsidRPr="00C576CF">
        <w:t xml:space="preserve"> </w:t>
      </w:r>
      <w:proofErr w:type="spellStart"/>
      <w:r w:rsidRPr="00C576CF">
        <w:t>Kjølbro</w:t>
      </w:r>
      <w:proofErr w:type="spellEnd"/>
      <w:r w:rsidRPr="00C576CF">
        <w:t>,</w:t>
      </w:r>
      <w:r w:rsidRPr="00C576CF">
        <w:rPr>
          <w:i/>
        </w:rPr>
        <w:br/>
      </w:r>
      <w:r w:rsidRPr="00C576CF">
        <w:tab/>
        <w:t xml:space="preserve">Stéphanie </w:t>
      </w:r>
      <w:proofErr w:type="spellStart"/>
      <w:r w:rsidRPr="00C576CF">
        <w:t>Mourou-Vikström</w:t>
      </w:r>
      <w:proofErr w:type="spellEnd"/>
      <w:r w:rsidRPr="00C576CF">
        <w:t>,</w:t>
      </w:r>
      <w:r w:rsidRPr="00C576CF">
        <w:rPr>
          <w:i/>
        </w:rPr>
        <w:t xml:space="preserve"> judges,</w:t>
      </w:r>
    </w:p>
    <w:p w:rsidRPr="00C576CF" w:rsidR="00C576CF" w:rsidP="00C576CF" w:rsidRDefault="00C576CF">
      <w:pPr>
        <w:pStyle w:val="ECHRDecisionBody"/>
      </w:pPr>
      <w:proofErr w:type="gramStart"/>
      <w:r w:rsidRPr="00C576CF">
        <w:t>and</w:t>
      </w:r>
      <w:proofErr w:type="gramEnd"/>
      <w:r w:rsidRPr="00C576CF">
        <w:t xml:space="preserve"> Stanley Naismith, </w:t>
      </w:r>
      <w:r w:rsidRPr="00C576CF">
        <w:rPr>
          <w:i/>
          <w:iCs/>
        </w:rPr>
        <w:t>Section Registrar</w:t>
      </w:r>
      <w:r w:rsidRPr="00C576CF">
        <w:rPr>
          <w:i/>
        </w:rPr>
        <w:t>,</w:t>
      </w:r>
    </w:p>
    <w:p w:rsidRPr="00C576CF" w:rsidR="00C576CF" w:rsidP="00C576CF" w:rsidRDefault="00C576CF">
      <w:pPr>
        <w:pStyle w:val="ECHRPara"/>
      </w:pPr>
      <w:r w:rsidRPr="00C576CF">
        <w:t>Having regard to the above application lodged on 6 December 2010,</w:t>
      </w:r>
    </w:p>
    <w:p w:rsidRPr="00C576CF" w:rsidR="00C576CF" w:rsidP="00C576CF" w:rsidRDefault="00C576CF">
      <w:pPr>
        <w:pStyle w:val="ECHRPara"/>
      </w:pPr>
      <w:r w:rsidRPr="00C576CF">
        <w:t>Having regard to the declaration submitted by the respondent Government on 30 January 2018 requesting the Court to strike the application out of the list of cases, and the applicants’ reply to that declaration,</w:t>
      </w:r>
    </w:p>
    <w:p w:rsidRPr="00C576CF" w:rsidR="00C576CF" w:rsidP="00C576CF" w:rsidRDefault="00C576CF">
      <w:pPr>
        <w:pStyle w:val="ECHRPara"/>
      </w:pPr>
      <w:r w:rsidRPr="00C576CF">
        <w:t>Having deliberated, decides as follows:</w:t>
      </w:r>
    </w:p>
    <w:p w:rsidRPr="00C576CF" w:rsidR="00C576CF" w:rsidP="00C576CF" w:rsidRDefault="00C576CF">
      <w:pPr>
        <w:pStyle w:val="ECHRTitle1"/>
      </w:pPr>
      <w:r w:rsidRPr="00C576CF">
        <w:t>FACTS AND PROCEDURE</w:t>
      </w:r>
    </w:p>
    <w:p w:rsidRPr="00C576CF" w:rsidR="00C576CF" w:rsidP="00C576CF" w:rsidRDefault="00C576CF">
      <w:pPr>
        <w:pStyle w:val="ECHRPara"/>
      </w:pPr>
      <w:r w:rsidRPr="00C576CF">
        <w:t>1.  A list of the applicants is set out in the appendix.</w:t>
      </w:r>
    </w:p>
    <w:p w:rsidRPr="00C576CF" w:rsidR="00C576CF" w:rsidP="00C576CF" w:rsidRDefault="00C576CF">
      <w:pPr>
        <w:pStyle w:val="ECHRPara"/>
      </w:pPr>
      <w:r w:rsidRPr="00C576CF">
        <w:t>2.  The Turkish Government (“the Government”) were represented by their Agent.</w:t>
      </w:r>
    </w:p>
    <w:p w:rsidRPr="00C576CF" w:rsidR="00C576CF" w:rsidP="00C576CF" w:rsidRDefault="00C576CF">
      <w:pPr>
        <w:pStyle w:val="ECHRPara"/>
      </w:pPr>
      <w:r w:rsidRPr="00C576CF">
        <w:t>3.  </w:t>
      </w:r>
      <w:proofErr w:type="spellStart"/>
      <w:r w:rsidRPr="00C576CF">
        <w:t>Mikdat</w:t>
      </w:r>
      <w:proofErr w:type="spellEnd"/>
      <w:r w:rsidRPr="00C576CF">
        <w:t xml:space="preserve"> </w:t>
      </w:r>
      <w:proofErr w:type="spellStart"/>
      <w:r w:rsidRPr="00C576CF">
        <w:t>Kutlu</w:t>
      </w:r>
      <w:proofErr w:type="spellEnd"/>
      <w:r w:rsidRPr="00C576CF">
        <w:t xml:space="preserve">, the first applicant’s husband and the remaining three applicants’ father, was arrested and placed in police custody on 18 April 1992. The following day he was taken to the accident and emergency department of Diyarbakır State Hospital. Despite the doctors’ attempts, he died in the hospital the same day. According to the autopsy report, </w:t>
      </w:r>
      <w:proofErr w:type="spellStart"/>
      <w:r w:rsidRPr="00C576CF">
        <w:t>Mikdat</w:t>
      </w:r>
      <w:proofErr w:type="spellEnd"/>
      <w:r w:rsidRPr="00C576CF">
        <w:t xml:space="preserve"> </w:t>
      </w:r>
      <w:proofErr w:type="spellStart"/>
      <w:r w:rsidRPr="00C576CF">
        <w:t>Kutlu’s</w:t>
      </w:r>
      <w:proofErr w:type="spellEnd"/>
      <w:r w:rsidRPr="00C576CF">
        <w:t xml:space="preserve"> death resulted from intracranial bleeding caused by head trauma; his skull had been fractured and there were lesions and areas of bruising on his body.</w:t>
      </w:r>
    </w:p>
    <w:p w:rsidRPr="00C576CF" w:rsidR="00C576CF" w:rsidP="00C576CF" w:rsidRDefault="00C576CF">
      <w:pPr>
        <w:pStyle w:val="ECHRPara"/>
      </w:pPr>
      <w:r w:rsidRPr="00C576CF">
        <w:t>4.  A number of police officers put on trial in connection with the killing were acquitted on 4 October 2011 by the Diyarbakır Assize Court, on the grounds that there were uncertainties about the identities of the perpetrators and the circumstances in which the head trauma had been caused. An appeal lodged by the applicants against the acquittals was rejected by the Court of Cassation on 8 May 2013.</w:t>
      </w:r>
    </w:p>
    <w:p w:rsidRPr="00C576CF" w:rsidR="00C576CF" w:rsidP="00C576CF" w:rsidRDefault="00C576CF">
      <w:pPr>
        <w:pStyle w:val="ECHRPara"/>
      </w:pPr>
      <w:r w:rsidRPr="00C576CF">
        <w:t>5.  The trial court also ordered in its judgment of 4 October 2011 that the prosecutor should be informed of the acquittal so that he or she could take action to find the real perpetrators. However, the parties have not informed the Court whether such an investigation has been opened.</w:t>
      </w:r>
    </w:p>
    <w:p w:rsidRPr="00C576CF" w:rsidR="00C576CF" w:rsidP="00C576CF" w:rsidRDefault="00C576CF">
      <w:pPr>
        <w:pStyle w:val="ECHRPara"/>
      </w:pPr>
      <w:r w:rsidRPr="00C576CF">
        <w:t>6.  The Government were given notice of the application</w:t>
      </w:r>
      <w:r w:rsidRPr="00C576CF">
        <w:rPr>
          <w:color w:val="0000FF"/>
        </w:rPr>
        <w:t>.</w:t>
      </w:r>
    </w:p>
    <w:p w:rsidRPr="00C576CF" w:rsidR="00C576CF" w:rsidP="00C576CF" w:rsidRDefault="00C576CF">
      <w:pPr>
        <w:pStyle w:val="ECHRTitle1"/>
      </w:pPr>
      <w:r w:rsidRPr="00C576CF">
        <w:t>THE LAW</w:t>
      </w:r>
    </w:p>
    <w:p w:rsidRPr="00C576CF" w:rsidR="00C576CF" w:rsidP="00C576CF" w:rsidRDefault="00C576CF">
      <w:pPr>
        <w:pStyle w:val="ECHRPara"/>
      </w:pPr>
      <w:r w:rsidRPr="00C576CF">
        <w:t xml:space="preserve">7.  The applicants alleged under Article 2 of the Convention, among other Articles, that their close relative </w:t>
      </w:r>
      <w:proofErr w:type="spellStart"/>
      <w:r w:rsidRPr="00C576CF">
        <w:t>Mikdat</w:t>
      </w:r>
      <w:proofErr w:type="spellEnd"/>
      <w:r w:rsidRPr="00C576CF">
        <w:t xml:space="preserve"> </w:t>
      </w:r>
      <w:proofErr w:type="spellStart"/>
      <w:r w:rsidRPr="00C576CF">
        <w:t>Kutlu</w:t>
      </w:r>
      <w:proofErr w:type="spellEnd"/>
      <w:r w:rsidRPr="00C576CF">
        <w:t xml:space="preserve"> had been killed as a result of the ill-treatment to which he had been subjected in police custody. They also complained that the investigation into the death had not been effective.</w:t>
      </w:r>
    </w:p>
    <w:p w:rsidRPr="00C576CF" w:rsidR="00C576CF" w:rsidP="00C576CF" w:rsidRDefault="00C576CF">
      <w:pPr>
        <w:pStyle w:val="ECHRPara"/>
      </w:pPr>
      <w:r w:rsidRPr="00C576CF">
        <w:t>8.  After the failure of attempts to reach a friendly settlement, the Government informed the Court by a letter of 30 January 2018 that they proposed to make a unilateral declaration with a view to resolving the issue raised by the application. They further requested the Court to strike out the application in accordance with Article 37 of the Convention.</w:t>
      </w:r>
    </w:p>
    <w:p w:rsidRPr="00C576CF" w:rsidR="00C576CF" w:rsidP="00C576CF" w:rsidRDefault="00C576CF">
      <w:pPr>
        <w:pStyle w:val="ECHRPara"/>
        <w:rPr>
          <w:szCs w:val="24"/>
        </w:rPr>
      </w:pPr>
      <w:r w:rsidRPr="00C576CF">
        <w:rPr>
          <w:szCs w:val="24"/>
        </w:rPr>
        <w:t>9.  The declaration read as follows:</w:t>
      </w:r>
    </w:p>
    <w:p w:rsidRPr="00C576CF" w:rsidR="00C576CF" w:rsidP="00C576CF" w:rsidRDefault="00C576CF">
      <w:pPr>
        <w:pStyle w:val="ECHRParaQuote"/>
      </w:pPr>
      <w:r w:rsidRPr="00C576CF">
        <w:t>“The Government regret the occurrence of individual cases of death in in police custody, as in the circumstances of the present case, notwithstanding existing Turkish legislation and the resolve of the Government to prevent such actions.</w:t>
      </w:r>
    </w:p>
    <w:p w:rsidRPr="00C576CF" w:rsidR="00C576CF" w:rsidP="00C576CF" w:rsidRDefault="00C576CF">
      <w:pPr>
        <w:pStyle w:val="ECHRParaQuote"/>
      </w:pPr>
      <w:r w:rsidRPr="00C576CF">
        <w:rPr>
          <w:szCs w:val="24"/>
        </w:rPr>
        <w:t xml:space="preserve">The Government admit that the treatment to which the applicants’ relative was subjected and which </w:t>
      </w:r>
      <w:r w:rsidRPr="00C576CF">
        <w:t>resulted in his death and the investigation conducted into the circumstances surrounding the death, did not meet the standards enshrined in Article 2 of the Convention. The Government undertake to adopt all necessary measures to ensure that the right to life – including the obligation to carry out effective investigations – is respected in the future.</w:t>
      </w:r>
    </w:p>
    <w:p w:rsidRPr="00C576CF" w:rsidR="00C576CF" w:rsidP="00C576CF" w:rsidRDefault="00C576CF">
      <w:pPr>
        <w:pStyle w:val="ECHRParaQuote"/>
      </w:pPr>
      <w:r w:rsidRPr="00C576CF">
        <w:t xml:space="preserve">The Government of Turkey declare that they offer to pay jointly to the applicants </w:t>
      </w:r>
      <w:proofErr w:type="spellStart"/>
      <w:r w:rsidRPr="00C576CF">
        <w:t>Gülseren</w:t>
      </w:r>
      <w:proofErr w:type="spellEnd"/>
      <w:r w:rsidRPr="00C576CF">
        <w:t xml:space="preserve"> </w:t>
      </w:r>
      <w:proofErr w:type="spellStart"/>
      <w:r w:rsidRPr="00C576CF">
        <w:t>Kutlu</w:t>
      </w:r>
      <w:proofErr w:type="spellEnd"/>
      <w:r w:rsidRPr="00C576CF">
        <w:t xml:space="preserve">, </w:t>
      </w:r>
      <w:proofErr w:type="spellStart"/>
      <w:r w:rsidRPr="00C576CF">
        <w:t>Berivan</w:t>
      </w:r>
      <w:proofErr w:type="spellEnd"/>
      <w:r w:rsidRPr="00C576CF">
        <w:t xml:space="preserve"> </w:t>
      </w:r>
      <w:proofErr w:type="spellStart"/>
      <w:r w:rsidRPr="00C576CF">
        <w:t>Çelik</w:t>
      </w:r>
      <w:proofErr w:type="spellEnd"/>
      <w:r w:rsidRPr="00C576CF">
        <w:t xml:space="preserve">, </w:t>
      </w:r>
      <w:proofErr w:type="spellStart"/>
      <w:r w:rsidRPr="00C576CF">
        <w:t>Fırat</w:t>
      </w:r>
      <w:proofErr w:type="spellEnd"/>
      <w:r w:rsidRPr="00C576CF">
        <w:t xml:space="preserve"> </w:t>
      </w:r>
      <w:proofErr w:type="spellStart"/>
      <w:r w:rsidRPr="00C576CF">
        <w:t>Kutlu</w:t>
      </w:r>
      <w:proofErr w:type="spellEnd"/>
      <w:r w:rsidRPr="00C576CF">
        <w:t xml:space="preserve"> and Muhammed </w:t>
      </w:r>
      <w:proofErr w:type="spellStart"/>
      <w:r w:rsidRPr="00C576CF">
        <w:t>Kutlu</w:t>
      </w:r>
      <w:proofErr w:type="spellEnd"/>
      <w:r w:rsidRPr="00C576CF">
        <w:t xml:space="preserve">, </w:t>
      </w:r>
      <w:bookmarkStart w:name="SumDetails" w:id="1"/>
      <w:r w:rsidRPr="00C576CF">
        <w:t xml:space="preserve">with a view to securing an unilateral declaration of the above-mentioned case pending before the European Court of Human Rights, EUR 65,000 (sixty five thousand euros) to cover any and all non-pecuniary damage and costs and expenses, </w:t>
      </w:r>
      <w:r w:rsidRPr="00C576CF">
        <w:rPr>
          <w:color w:val="000000"/>
        </w:rPr>
        <w:t>plus any tax that may be chargeable</w:t>
      </w:r>
      <w:r w:rsidRPr="00C576CF">
        <w:t xml:space="preserve"> to</w:t>
      </w:r>
      <w:bookmarkEnd w:id="1"/>
      <w:r w:rsidRPr="00C576CF">
        <w:t xml:space="preserve"> the applicants.</w:t>
      </w:r>
    </w:p>
    <w:p w:rsidRPr="00C576CF" w:rsidR="00C576CF" w:rsidP="00C576CF" w:rsidRDefault="00C576CF">
      <w:pPr>
        <w:pStyle w:val="ECHRParaQuote"/>
      </w:pPr>
      <w:r w:rsidRPr="00C576CF">
        <w:t>These sums will be converted into Turkish liras at the rate applicable on the date of payment, and will be payable within three months from the date of notification of the decision taken by the Court to strike the case out of its list of cases. In the event of failure to pay these sums within the said three-month period, the Government undertake to pay simple interest on them, from expiry of that period until settlement, at a rate equal to the marginal lending rate of the European Central Bank during the default period plus three percentage points. The payment will constitute the final resolution of the case.”</w:t>
      </w:r>
    </w:p>
    <w:p w:rsidRPr="00C576CF" w:rsidR="00C576CF" w:rsidP="00C576CF" w:rsidRDefault="00C576CF">
      <w:pPr>
        <w:pStyle w:val="ECHRPara"/>
      </w:pPr>
      <w:r w:rsidRPr="00C576CF">
        <w:t>10.  By a letter of 13 March 2018 the applicants indicated that they were not satisfied with the terms of the unilateral declaration.</w:t>
      </w:r>
    </w:p>
    <w:p w:rsidRPr="00C576CF" w:rsidR="00C576CF" w:rsidP="00C576CF" w:rsidRDefault="00C576CF">
      <w:pPr>
        <w:pStyle w:val="ECHRPara"/>
      </w:pPr>
      <w:r w:rsidRPr="00C576CF">
        <w:t>11.  The Court re</w:t>
      </w:r>
      <w:r w:rsidRPr="00C576CF">
        <w:rPr>
          <w:color w:val="000000"/>
        </w:rPr>
        <w:t>iterates</w:t>
      </w:r>
      <w:r w:rsidRPr="00C576CF">
        <w:t xml:space="preserve"> that Article 37 of the Convention provides that it may at any stage of the proceedings decide to strike an application out of its list of cases where the circumstances lead to one of the conclusions specified under paragraph 1 (a), (b) or (c) of that Article. Article 37 § 1 (c) enables the Court in particular to strike a case out of its list if:</w:t>
      </w:r>
    </w:p>
    <w:p w:rsidRPr="00C576CF" w:rsidR="00C576CF" w:rsidP="00C576CF" w:rsidRDefault="00C576CF">
      <w:pPr>
        <w:pStyle w:val="ECHRParaQuote"/>
        <w:rPr>
          <w:szCs w:val="24"/>
        </w:rPr>
      </w:pPr>
      <w:r w:rsidRPr="00C576CF">
        <w:t>“... for any other reason established by the Court, it is no longer justified to continue the examination of the application”.</w:t>
      </w:r>
    </w:p>
    <w:p w:rsidRPr="00C576CF" w:rsidR="00C576CF" w:rsidP="00C576CF" w:rsidRDefault="00C576CF">
      <w:pPr>
        <w:pStyle w:val="ECHRPara"/>
      </w:pPr>
      <w:r w:rsidRPr="00C576CF">
        <w:t>12.  The Court also reiterates that in certain circumstances it may strike out an application under Article 37 § 1 (c) on the basis of a unilateral declaration by a respondent Government even if the applicant wishes the examination of the case to be continued.</w:t>
      </w:r>
    </w:p>
    <w:p w:rsidRPr="00C576CF" w:rsidR="00C576CF" w:rsidP="00C576CF" w:rsidRDefault="00C576CF">
      <w:pPr>
        <w:pStyle w:val="ECHRPara"/>
        <w:rPr>
          <w:szCs w:val="24"/>
        </w:rPr>
      </w:pPr>
      <w:r w:rsidRPr="00C576CF">
        <w:t xml:space="preserve">13.  To this end, the Court </w:t>
      </w:r>
      <w:r w:rsidRPr="00C576CF">
        <w:rPr>
          <w:color w:val="000000"/>
        </w:rPr>
        <w:t xml:space="preserve">has examined </w:t>
      </w:r>
      <w:r w:rsidRPr="00C576CF">
        <w:t>the declaration</w:t>
      </w:r>
      <w:r w:rsidRPr="00C576CF">
        <w:rPr>
          <w:color w:val="000000"/>
        </w:rPr>
        <w:t xml:space="preserve"> </w:t>
      </w:r>
      <w:r w:rsidRPr="00C576CF">
        <w:t xml:space="preserve">in the light of the principles emerging from its case-law, and in particular from the </w:t>
      </w:r>
      <w:proofErr w:type="spellStart"/>
      <w:r w:rsidRPr="00C576CF">
        <w:rPr>
          <w:bCs/>
          <w:i/>
          <w:iCs/>
        </w:rPr>
        <w:t>Tahsin</w:t>
      </w:r>
      <w:proofErr w:type="spellEnd"/>
      <w:r w:rsidRPr="00C576CF">
        <w:rPr>
          <w:i/>
          <w:iCs/>
        </w:rPr>
        <w:t xml:space="preserve"> </w:t>
      </w:r>
      <w:proofErr w:type="spellStart"/>
      <w:r w:rsidRPr="00C576CF">
        <w:rPr>
          <w:i/>
          <w:iCs/>
        </w:rPr>
        <w:t>Acar</w:t>
      </w:r>
      <w:proofErr w:type="spellEnd"/>
      <w:r w:rsidRPr="00C576CF">
        <w:rPr>
          <w:iCs/>
        </w:rPr>
        <w:t xml:space="preserve"> judgment (see </w:t>
      </w:r>
      <w:proofErr w:type="spellStart"/>
      <w:r w:rsidRPr="00C576CF">
        <w:rPr>
          <w:i/>
        </w:rPr>
        <w:t>Tahsin</w:t>
      </w:r>
      <w:proofErr w:type="spellEnd"/>
      <w:r w:rsidRPr="00C576CF">
        <w:rPr>
          <w:i/>
        </w:rPr>
        <w:t xml:space="preserve"> </w:t>
      </w:r>
      <w:proofErr w:type="spellStart"/>
      <w:r w:rsidRPr="00C576CF">
        <w:rPr>
          <w:i/>
        </w:rPr>
        <w:t>Acar</w:t>
      </w:r>
      <w:proofErr w:type="spellEnd"/>
      <w:r w:rsidRPr="00C576CF">
        <w:rPr>
          <w:i/>
        </w:rPr>
        <w:t xml:space="preserve"> v. Turkey </w:t>
      </w:r>
      <w:r w:rsidRPr="00C576CF">
        <w:rPr>
          <w:iCs/>
        </w:rPr>
        <w:t xml:space="preserve">(preliminary objections) </w:t>
      </w:r>
      <w:r w:rsidRPr="00C576CF">
        <w:t xml:space="preserve">[GC], no. 26307/95, §§ 75-77, ECHR </w:t>
      </w:r>
      <w:r w:rsidRPr="00C576CF">
        <w:rPr>
          <w:szCs w:val="24"/>
        </w:rPr>
        <w:t xml:space="preserve">2003-VI; see also </w:t>
      </w:r>
      <w:proofErr w:type="spellStart"/>
      <w:r w:rsidRPr="00C576CF">
        <w:rPr>
          <w:i/>
          <w:lang w:val="es-ES_tradnl"/>
        </w:rPr>
        <w:t>Jeronovičs</w:t>
      </w:r>
      <w:proofErr w:type="spellEnd"/>
      <w:r w:rsidRPr="00C576CF">
        <w:rPr>
          <w:i/>
          <w:lang w:val="es-ES_tradnl"/>
        </w:rPr>
        <w:t xml:space="preserve"> v. </w:t>
      </w:r>
      <w:proofErr w:type="spellStart"/>
      <w:r w:rsidRPr="00C576CF">
        <w:rPr>
          <w:i/>
          <w:lang w:val="es-ES_tradnl"/>
        </w:rPr>
        <w:t>Latvia</w:t>
      </w:r>
      <w:proofErr w:type="spellEnd"/>
      <w:r w:rsidRPr="00C576CF">
        <w:rPr>
          <w:lang w:val="es-ES_tradnl"/>
        </w:rPr>
        <w:t xml:space="preserve"> [GC], no. 44898/10</w:t>
      </w:r>
      <w:r w:rsidRPr="00C576CF">
        <w:rPr>
          <w:snapToGrid w:val="0"/>
          <w:lang w:val="es-ES_tradnl"/>
        </w:rPr>
        <w:t xml:space="preserve">, 5 </w:t>
      </w:r>
      <w:proofErr w:type="spellStart"/>
      <w:r w:rsidRPr="00C576CF">
        <w:rPr>
          <w:snapToGrid w:val="0"/>
          <w:lang w:val="es-ES_tradnl"/>
        </w:rPr>
        <w:t>July</w:t>
      </w:r>
      <w:proofErr w:type="spellEnd"/>
      <w:r w:rsidRPr="00C576CF">
        <w:rPr>
          <w:snapToGrid w:val="0"/>
          <w:lang w:val="es-ES_tradnl"/>
        </w:rPr>
        <w:t xml:space="preserve"> 2016</w:t>
      </w:r>
      <w:r w:rsidRPr="00C576CF">
        <w:rPr>
          <w:szCs w:val="24"/>
        </w:rPr>
        <w:t>).</w:t>
      </w:r>
    </w:p>
    <w:p w:rsidRPr="00C576CF" w:rsidR="00C576CF" w:rsidP="00C576CF" w:rsidRDefault="00C576CF">
      <w:pPr>
        <w:pStyle w:val="ECHRPara"/>
      </w:pPr>
      <w:r w:rsidRPr="00C576CF">
        <w:t>14.  </w:t>
      </w:r>
      <w:r w:rsidRPr="00C576CF">
        <w:rPr>
          <w:rFonts w:hint="eastAsia"/>
        </w:rPr>
        <w:t xml:space="preserve">The Court notes that the subject matter of the present application concerns, firstly, the </w:t>
      </w:r>
      <w:r w:rsidRPr="00C576CF">
        <w:t>m</w:t>
      </w:r>
      <w:r w:rsidRPr="00C576CF">
        <w:rPr>
          <w:rFonts w:hint="eastAsia"/>
        </w:rPr>
        <w:t>ember States</w:t>
      </w:r>
      <w:r w:rsidRPr="00C576CF">
        <w:t>’</w:t>
      </w:r>
      <w:r w:rsidRPr="00C576CF">
        <w:rPr>
          <w:rFonts w:hint="eastAsia"/>
        </w:rPr>
        <w:t xml:space="preserve"> obligation to protect the right to life</w:t>
      </w:r>
      <w:r w:rsidRPr="00C576CF">
        <w:t>,</w:t>
      </w:r>
      <w:r w:rsidRPr="00C576CF">
        <w:rPr>
          <w:rFonts w:hint="eastAsia"/>
        </w:rPr>
        <w:t xml:space="preserve"> which also includes, in</w:t>
      </w:r>
      <w:r w:rsidRPr="00C576CF">
        <w:t xml:space="preserve"> </w:t>
      </w:r>
      <w:r w:rsidRPr="00C576CF">
        <w:rPr>
          <w:rFonts w:hint="eastAsia"/>
        </w:rPr>
        <w:t>so</w:t>
      </w:r>
      <w:r w:rsidRPr="00C576CF">
        <w:t xml:space="preserve"> </w:t>
      </w:r>
      <w:r w:rsidRPr="00C576CF">
        <w:rPr>
          <w:rFonts w:hint="eastAsia"/>
        </w:rPr>
        <w:t>far as relevant to the circumstances of the present application, the requirement to protect p</w:t>
      </w:r>
      <w:r w:rsidRPr="00C576CF">
        <w:rPr>
          <w:rFonts w:hint="eastAsia"/>
          <w:color w:val="000000"/>
        </w:rPr>
        <w:t>ersons in custody</w:t>
      </w:r>
      <w:r w:rsidRPr="00C576CF">
        <w:rPr>
          <w:color w:val="000000"/>
        </w:rPr>
        <w:t>,</w:t>
      </w:r>
      <w:r w:rsidRPr="00C576CF">
        <w:rPr>
          <w:rFonts w:hint="eastAsia"/>
          <w:color w:val="000000"/>
        </w:rPr>
        <w:t xml:space="preserve"> </w:t>
      </w:r>
      <w:r w:rsidRPr="00C576CF">
        <w:rPr>
          <w:color w:val="000000"/>
        </w:rPr>
        <w:t>owing</w:t>
      </w:r>
      <w:r w:rsidRPr="00C576CF">
        <w:rPr>
          <w:rFonts w:hint="eastAsia"/>
          <w:color w:val="000000"/>
        </w:rPr>
        <w:t xml:space="preserve"> to their vulnerable position (</w:t>
      </w:r>
      <w:r w:rsidRPr="00C576CF">
        <w:rPr>
          <w:color w:val="000000"/>
        </w:rPr>
        <w:t xml:space="preserve">see </w:t>
      </w:r>
      <w:r w:rsidRPr="00C576CF">
        <w:rPr>
          <w:rFonts w:hint="eastAsia"/>
          <w:i/>
          <w:iCs/>
        </w:rPr>
        <w:t>Salman v. Turkey</w:t>
      </w:r>
      <w:r w:rsidRPr="00C576CF">
        <w:rPr>
          <w:rFonts w:hint="eastAsia"/>
        </w:rPr>
        <w:t xml:space="preserve"> [GC], no. 21986/93, </w:t>
      </w:r>
      <w:r w:rsidRPr="00C576CF">
        <w:rPr>
          <w:rFonts w:hint="eastAsia"/>
        </w:rPr>
        <w:t>§</w:t>
      </w:r>
      <w:r w:rsidRPr="00C576CF">
        <w:rPr>
          <w:rFonts w:hint="eastAsia"/>
        </w:rPr>
        <w:t xml:space="preserve"> 99, ECHR 2000</w:t>
      </w:r>
      <w:r w:rsidRPr="00C576CF">
        <w:rPr>
          <w:rFonts w:hint="eastAsia"/>
        </w:rPr>
        <w:noBreakHyphen/>
        <w:t xml:space="preserve">VII). Secondly, the case concerns the obligation under Article 2 of the Convention to carry out an effective investigation </w:t>
      </w:r>
      <w:r w:rsidRPr="00C576CF">
        <w:rPr>
          <w:rFonts w:hint="eastAsia"/>
          <w:color w:val="000000"/>
        </w:rPr>
        <w:t>when individuals have been killed as a result of the use of force</w:t>
      </w:r>
      <w:r w:rsidRPr="00C576CF">
        <w:rPr>
          <w:rFonts w:hint="eastAsia"/>
        </w:rPr>
        <w:t xml:space="preserve"> (see, </w:t>
      </w:r>
      <w:r w:rsidRPr="00C576CF">
        <w:rPr>
          <w:rFonts w:hint="eastAsia"/>
          <w:i/>
          <w:iCs/>
        </w:rPr>
        <w:t>inter alia</w:t>
      </w:r>
      <w:r w:rsidRPr="00C576CF">
        <w:rPr>
          <w:rFonts w:hint="eastAsia"/>
        </w:rPr>
        <w:t xml:space="preserve">, </w:t>
      </w:r>
      <w:r w:rsidRPr="00C576CF">
        <w:rPr>
          <w:rFonts w:hint="eastAsia"/>
          <w:i/>
          <w:iCs/>
        </w:rPr>
        <w:t xml:space="preserve">Mustafa </w:t>
      </w:r>
      <w:proofErr w:type="spellStart"/>
      <w:r w:rsidRPr="00C576CF">
        <w:rPr>
          <w:rFonts w:hint="eastAsia"/>
          <w:i/>
          <w:iCs/>
        </w:rPr>
        <w:t>Tunç</w:t>
      </w:r>
      <w:proofErr w:type="spellEnd"/>
      <w:r w:rsidRPr="00C576CF">
        <w:rPr>
          <w:rFonts w:hint="eastAsia"/>
          <w:i/>
          <w:iCs/>
        </w:rPr>
        <w:t xml:space="preserve"> and </w:t>
      </w:r>
      <w:proofErr w:type="spellStart"/>
      <w:r w:rsidRPr="00C576CF">
        <w:rPr>
          <w:rFonts w:hint="eastAsia"/>
          <w:i/>
          <w:iCs/>
        </w:rPr>
        <w:t>Fecire</w:t>
      </w:r>
      <w:proofErr w:type="spellEnd"/>
      <w:r w:rsidRPr="00C576CF">
        <w:rPr>
          <w:rFonts w:hint="eastAsia"/>
          <w:i/>
          <w:iCs/>
        </w:rPr>
        <w:t xml:space="preserve"> </w:t>
      </w:r>
      <w:proofErr w:type="spellStart"/>
      <w:r w:rsidRPr="00C576CF">
        <w:rPr>
          <w:rFonts w:hint="eastAsia"/>
          <w:i/>
          <w:iCs/>
        </w:rPr>
        <w:t>Tunç</w:t>
      </w:r>
      <w:proofErr w:type="spellEnd"/>
      <w:r w:rsidRPr="00C576CF">
        <w:rPr>
          <w:rFonts w:hint="eastAsia"/>
        </w:rPr>
        <w:t xml:space="preserve"> </w:t>
      </w:r>
      <w:r w:rsidRPr="00C576CF">
        <w:rPr>
          <w:rFonts w:hint="eastAsia"/>
          <w:i/>
          <w:iCs/>
        </w:rPr>
        <w:t xml:space="preserve">v. Turkey </w:t>
      </w:r>
      <w:r w:rsidRPr="00C576CF">
        <w:rPr>
          <w:rFonts w:hint="eastAsia"/>
        </w:rPr>
        <w:t>[GC], no. 24014/05</w:t>
      </w:r>
      <w:r w:rsidRPr="00C576CF">
        <w:rPr>
          <w:rFonts w:hint="eastAsia"/>
          <w:snapToGrid w:val="0"/>
        </w:rPr>
        <w:t xml:space="preserve">, </w:t>
      </w:r>
      <w:r w:rsidRPr="00C576CF">
        <w:rPr>
          <w:rFonts w:hint="eastAsia"/>
          <w:snapToGrid w:val="0"/>
        </w:rPr>
        <w:t>§</w:t>
      </w:r>
      <w:r w:rsidRPr="00C576CF">
        <w:rPr>
          <w:rFonts w:hint="eastAsia"/>
          <w:snapToGrid w:val="0"/>
        </w:rPr>
        <w:t xml:space="preserve"> 169, </w:t>
      </w:r>
      <w:r w:rsidRPr="00C576CF">
        <w:rPr>
          <w:rFonts w:hint="eastAsia"/>
        </w:rPr>
        <w:t>14</w:t>
      </w:r>
      <w:r w:rsidRPr="00C576CF">
        <w:rPr>
          <w:rFonts w:hint="eastAsia"/>
          <w:snapToGrid w:val="0"/>
        </w:rPr>
        <w:t xml:space="preserve"> April 2015</w:t>
      </w:r>
      <w:r w:rsidRPr="00C576CF">
        <w:rPr>
          <w:snapToGrid w:val="0"/>
        </w:rPr>
        <w:t>,</w:t>
      </w:r>
      <w:r w:rsidRPr="00C576CF">
        <w:rPr>
          <w:rFonts w:hint="eastAsia"/>
          <w:snapToGrid w:val="0"/>
        </w:rPr>
        <w:t xml:space="preserve"> and the case cited therein). In this connection the Court has examined a large number of cases concerning the killing of individuals in police custod</w:t>
      </w:r>
      <w:r w:rsidRPr="00C576CF">
        <w:rPr>
          <w:snapToGrid w:val="0"/>
        </w:rPr>
        <w:t>y</w:t>
      </w:r>
      <w:r w:rsidRPr="00C576CF">
        <w:rPr>
          <w:rFonts w:hint="eastAsia"/>
          <w:snapToGrid w:val="0"/>
        </w:rPr>
        <w:t xml:space="preserve"> and in prison in Turkey in suspicious circumstances</w:t>
      </w:r>
      <w:r w:rsidRPr="00C576CF">
        <w:rPr>
          <w:snapToGrid w:val="0"/>
        </w:rPr>
        <w:t>,</w:t>
      </w:r>
      <w:r w:rsidRPr="00C576CF">
        <w:rPr>
          <w:rFonts w:hint="eastAsia"/>
          <w:snapToGrid w:val="0"/>
        </w:rPr>
        <w:t xml:space="preserve"> and the effectiveness of the investigations conducted into those killings (see, in particular, </w:t>
      </w:r>
      <w:r w:rsidRPr="00C576CF">
        <w:rPr>
          <w:rFonts w:hint="eastAsia"/>
          <w:i/>
          <w:iCs/>
          <w:snapToGrid w:val="0"/>
        </w:rPr>
        <w:t>Salman</w:t>
      </w:r>
      <w:r w:rsidRPr="00C576CF">
        <w:rPr>
          <w:rFonts w:hint="eastAsia"/>
          <w:snapToGrid w:val="0"/>
        </w:rPr>
        <w:t xml:space="preserve">, cited above; </w:t>
      </w:r>
      <w:r w:rsidRPr="00C576CF">
        <w:rPr>
          <w:rFonts w:hint="eastAsia"/>
          <w:i/>
          <w:iCs/>
        </w:rPr>
        <w:t xml:space="preserve">Abdurrahman </w:t>
      </w:r>
      <w:proofErr w:type="spellStart"/>
      <w:r w:rsidRPr="00C576CF">
        <w:rPr>
          <w:rFonts w:hint="eastAsia"/>
          <w:i/>
          <w:iCs/>
        </w:rPr>
        <w:t>Orak</w:t>
      </w:r>
      <w:proofErr w:type="spellEnd"/>
      <w:r w:rsidRPr="00C576CF">
        <w:rPr>
          <w:rFonts w:hint="eastAsia"/>
          <w:i/>
          <w:iCs/>
        </w:rPr>
        <w:t xml:space="preserve"> v.</w:t>
      </w:r>
      <w:r w:rsidRPr="00C576CF">
        <w:rPr>
          <w:i/>
          <w:iCs/>
        </w:rPr>
        <w:t> </w:t>
      </w:r>
      <w:r w:rsidRPr="00C576CF">
        <w:rPr>
          <w:rFonts w:hint="eastAsia"/>
          <w:i/>
          <w:iCs/>
        </w:rPr>
        <w:t>Turkey</w:t>
      </w:r>
      <w:r w:rsidRPr="00C576CF">
        <w:rPr>
          <w:rFonts w:hint="eastAsia"/>
        </w:rPr>
        <w:t>, no. 31889/96, 14</w:t>
      </w:r>
      <w:r w:rsidRPr="00C576CF">
        <w:t> </w:t>
      </w:r>
      <w:r w:rsidRPr="00C576CF">
        <w:rPr>
          <w:rFonts w:hint="eastAsia"/>
        </w:rPr>
        <w:t xml:space="preserve">February 2002; </w:t>
      </w:r>
      <w:proofErr w:type="spellStart"/>
      <w:r w:rsidRPr="00C576CF">
        <w:rPr>
          <w:rFonts w:hint="eastAsia"/>
          <w:i/>
          <w:iCs/>
        </w:rPr>
        <w:t>Süheyla</w:t>
      </w:r>
      <w:proofErr w:type="spellEnd"/>
      <w:r w:rsidRPr="00C576CF">
        <w:rPr>
          <w:rFonts w:hint="eastAsia"/>
          <w:i/>
          <w:iCs/>
        </w:rPr>
        <w:t xml:space="preserve"> Ayd</w:t>
      </w:r>
      <w:r w:rsidRPr="00C576CF">
        <w:rPr>
          <w:rFonts w:hint="eastAsia" w:ascii="MS Mincho" w:hAnsi="MS Mincho" w:eastAsia="MS Mincho"/>
          <w:i/>
          <w:iCs/>
        </w:rPr>
        <w:t>ı</w:t>
      </w:r>
      <w:r w:rsidRPr="00C576CF">
        <w:rPr>
          <w:rFonts w:hint="eastAsia"/>
          <w:i/>
          <w:iCs/>
        </w:rPr>
        <w:t>n v. Turkey</w:t>
      </w:r>
      <w:r w:rsidRPr="00C576CF">
        <w:rPr>
          <w:rFonts w:hint="eastAsia"/>
        </w:rPr>
        <w:t>, no. 25660/94, 24</w:t>
      </w:r>
      <w:r w:rsidRPr="00C576CF">
        <w:t> </w:t>
      </w:r>
      <w:r w:rsidRPr="00C576CF">
        <w:rPr>
          <w:rFonts w:hint="eastAsia"/>
        </w:rPr>
        <w:t xml:space="preserve">May 2005; </w:t>
      </w:r>
      <w:proofErr w:type="spellStart"/>
      <w:r w:rsidRPr="00C576CF">
        <w:rPr>
          <w:rFonts w:hint="eastAsia"/>
          <w:i/>
          <w:iCs/>
        </w:rPr>
        <w:t>Çelikbilek</w:t>
      </w:r>
      <w:proofErr w:type="spellEnd"/>
      <w:r w:rsidRPr="00C576CF">
        <w:rPr>
          <w:rFonts w:hint="eastAsia"/>
          <w:i/>
          <w:iCs/>
        </w:rPr>
        <w:t xml:space="preserve"> v. Turkey</w:t>
      </w:r>
      <w:r w:rsidRPr="00C576CF">
        <w:rPr>
          <w:rFonts w:hint="eastAsia"/>
        </w:rPr>
        <w:t xml:space="preserve">, no. 27693/95, 31 May 2005; </w:t>
      </w:r>
      <w:proofErr w:type="spellStart"/>
      <w:r w:rsidRPr="00C576CF">
        <w:rPr>
          <w:rFonts w:hint="eastAsia"/>
          <w:i/>
          <w:iCs/>
        </w:rPr>
        <w:t>Ki</w:t>
      </w:r>
      <w:r w:rsidRPr="00C576CF">
        <w:rPr>
          <w:rFonts w:hint="cs" w:ascii="MS Mincho" w:hAnsi="MS Mincho" w:eastAsia="MS Mincho" w:cs="MS Mincho"/>
          <w:i/>
          <w:iCs/>
        </w:rPr>
        <w:t>ş</w:t>
      </w:r>
      <w:r w:rsidRPr="00C576CF">
        <w:rPr>
          <w:rFonts w:hint="eastAsia"/>
          <w:i/>
          <w:iCs/>
        </w:rPr>
        <w:t>mir</w:t>
      </w:r>
      <w:proofErr w:type="spellEnd"/>
      <w:r w:rsidRPr="00C576CF">
        <w:rPr>
          <w:rFonts w:hint="eastAsia"/>
          <w:i/>
          <w:iCs/>
        </w:rPr>
        <w:t xml:space="preserve"> v. Turkey</w:t>
      </w:r>
      <w:r w:rsidRPr="00C576CF">
        <w:rPr>
          <w:rFonts w:hint="eastAsia"/>
        </w:rPr>
        <w:t>, no.</w:t>
      </w:r>
      <w:r w:rsidRPr="00C576CF">
        <w:t> </w:t>
      </w:r>
      <w:r w:rsidRPr="00C576CF">
        <w:rPr>
          <w:rFonts w:hint="eastAsia"/>
        </w:rPr>
        <w:t>27306/95, 31 May 2005</w:t>
      </w:r>
      <w:r w:rsidRPr="00C576CF">
        <w:t>;</w:t>
      </w:r>
      <w:r w:rsidRPr="00C576CF">
        <w:rPr>
          <w:rFonts w:hint="eastAsia"/>
        </w:rPr>
        <w:t xml:space="preserve"> and </w:t>
      </w:r>
      <w:proofErr w:type="spellStart"/>
      <w:r w:rsidRPr="00C576CF">
        <w:rPr>
          <w:rFonts w:hint="eastAsia"/>
          <w:i/>
          <w:iCs/>
        </w:rPr>
        <w:t>Yelden</w:t>
      </w:r>
      <w:proofErr w:type="spellEnd"/>
      <w:r w:rsidRPr="00C576CF">
        <w:rPr>
          <w:rFonts w:hint="eastAsia"/>
          <w:i/>
          <w:iCs/>
        </w:rPr>
        <w:t xml:space="preserve"> and Others v. Turkey</w:t>
      </w:r>
      <w:r w:rsidRPr="00C576CF">
        <w:rPr>
          <w:rFonts w:hint="eastAsia"/>
        </w:rPr>
        <w:t>, no. 16850/09, 3</w:t>
      </w:r>
      <w:r w:rsidRPr="00C576CF">
        <w:t> </w:t>
      </w:r>
      <w:r w:rsidRPr="00C576CF">
        <w:rPr>
          <w:rFonts w:hint="eastAsia"/>
        </w:rPr>
        <w:t>May 2012).</w:t>
      </w:r>
    </w:p>
    <w:p w:rsidRPr="00C576CF" w:rsidR="00C576CF" w:rsidP="00C576CF" w:rsidRDefault="00C576CF">
      <w:pPr>
        <w:pStyle w:val="ECHRPara"/>
        <w:rPr>
          <w:szCs w:val="24"/>
        </w:rPr>
      </w:pPr>
      <w:r w:rsidRPr="00C576CF">
        <w:t>15.  Having regard to the nature of the admissions contained in the Government’s declaration, as well as the amount of compensation proposed – which is consistent with the amounts awarded in similar cases – the Court considers that it is no longer justified to continue the examination of the application (Article 37 § 1 (c)).</w:t>
      </w:r>
      <w:r w:rsidRPr="00C576CF">
        <w:rPr>
          <w:szCs w:val="24"/>
        </w:rPr>
        <w:t xml:space="preserve"> The Court stresses that its decision is without prejudice to the possibility for the applicants to exercise any other available remedies in order to obtain redress (see </w:t>
      </w:r>
      <w:proofErr w:type="spellStart"/>
      <w:r w:rsidRPr="00C576CF">
        <w:rPr>
          <w:i/>
          <w:lang w:val="es-ES_tradnl"/>
        </w:rPr>
        <w:t>Jeronovičs</w:t>
      </w:r>
      <w:proofErr w:type="spellEnd"/>
      <w:r w:rsidRPr="00C576CF">
        <w:rPr>
          <w:i/>
          <w:lang w:val="es-ES_tradnl"/>
        </w:rPr>
        <w:t xml:space="preserve"> v. </w:t>
      </w:r>
      <w:proofErr w:type="spellStart"/>
      <w:r w:rsidRPr="00C576CF">
        <w:rPr>
          <w:i/>
          <w:lang w:val="es-ES_tradnl"/>
        </w:rPr>
        <w:t>Latvia</w:t>
      </w:r>
      <w:proofErr w:type="spellEnd"/>
      <w:r w:rsidRPr="00C576CF">
        <w:rPr>
          <w:lang w:val="es-ES_tradnl"/>
        </w:rPr>
        <w:t xml:space="preserve"> (</w:t>
      </w:r>
      <w:proofErr w:type="spellStart"/>
      <w:r w:rsidRPr="00C576CF">
        <w:rPr>
          <w:lang w:val="es-ES_tradnl"/>
        </w:rPr>
        <w:t>dec</w:t>
      </w:r>
      <w:proofErr w:type="spellEnd"/>
      <w:r w:rsidRPr="00C576CF">
        <w:rPr>
          <w:lang w:val="es-ES_tradnl"/>
        </w:rPr>
        <w:t>.), no. 547/02</w:t>
      </w:r>
      <w:r w:rsidRPr="00C576CF">
        <w:rPr>
          <w:snapToGrid w:val="0"/>
          <w:lang w:val="es-ES_tradnl"/>
        </w:rPr>
        <w:t xml:space="preserve">, § 54, 10 </w:t>
      </w:r>
      <w:proofErr w:type="spellStart"/>
      <w:r w:rsidRPr="00C576CF">
        <w:rPr>
          <w:snapToGrid w:val="0"/>
          <w:lang w:val="es-ES_tradnl"/>
        </w:rPr>
        <w:t>February</w:t>
      </w:r>
      <w:proofErr w:type="spellEnd"/>
      <w:r w:rsidRPr="00C576CF">
        <w:rPr>
          <w:snapToGrid w:val="0"/>
          <w:lang w:val="es-ES_tradnl"/>
        </w:rPr>
        <w:t xml:space="preserve"> 2009, and, </w:t>
      </w:r>
      <w:r w:rsidRPr="00C576CF">
        <w:rPr>
          <w:i/>
          <w:snapToGrid w:val="0"/>
          <w:lang w:val="es-ES_tradnl"/>
        </w:rPr>
        <w:t>mutatis mutandis</w:t>
      </w:r>
      <w:r w:rsidRPr="00C576CF">
        <w:rPr>
          <w:snapToGrid w:val="0"/>
          <w:lang w:val="es-ES_tradnl"/>
        </w:rPr>
        <w:t xml:space="preserve">, </w:t>
      </w:r>
      <w:proofErr w:type="spellStart"/>
      <w:r w:rsidRPr="00C576CF">
        <w:rPr>
          <w:i/>
          <w:lang w:val="es-ES_tradnl"/>
        </w:rPr>
        <w:t>Jeronovičs</w:t>
      </w:r>
      <w:proofErr w:type="spellEnd"/>
      <w:r w:rsidRPr="00C576CF">
        <w:rPr>
          <w:lang w:val="es-ES_tradnl"/>
        </w:rPr>
        <w:t xml:space="preserve">, </w:t>
      </w:r>
      <w:proofErr w:type="spellStart"/>
      <w:r w:rsidRPr="00C576CF">
        <w:rPr>
          <w:lang w:val="es-ES_tradnl"/>
        </w:rPr>
        <w:t>cited</w:t>
      </w:r>
      <w:proofErr w:type="spellEnd"/>
      <w:r w:rsidRPr="00C576CF">
        <w:rPr>
          <w:lang w:val="es-ES_tradnl"/>
        </w:rPr>
        <w:t xml:space="preserve"> </w:t>
      </w:r>
      <w:proofErr w:type="spellStart"/>
      <w:r w:rsidRPr="00C576CF">
        <w:rPr>
          <w:lang w:val="es-ES_tradnl"/>
        </w:rPr>
        <w:t>above</w:t>
      </w:r>
      <w:proofErr w:type="spellEnd"/>
      <w:r w:rsidRPr="00C576CF">
        <w:rPr>
          <w:snapToGrid w:val="0"/>
          <w:lang w:val="es-ES_tradnl"/>
        </w:rPr>
        <w:t>, §§ 116-18</w:t>
      </w:r>
      <w:r w:rsidRPr="00C576CF">
        <w:rPr>
          <w:szCs w:val="24"/>
        </w:rPr>
        <w:t>).</w:t>
      </w:r>
    </w:p>
    <w:p w:rsidRPr="00C576CF" w:rsidR="00C576CF" w:rsidP="00C576CF" w:rsidRDefault="00C576CF">
      <w:pPr>
        <w:pStyle w:val="ECHRPara"/>
        <w:rPr>
          <w:szCs w:val="24"/>
        </w:rPr>
      </w:pPr>
      <w:r w:rsidRPr="00C576CF">
        <w:rPr>
          <w:szCs w:val="24"/>
        </w:rPr>
        <w:t>16.  In this connection the Court notes that Article 172 of the Code of Criminal Procedure was amended in July 2018. Following the amendment, applicants in Turkey now have the opportunity to ask the relevant prosecutor to reopen the investigation into the death of their relatives not only in cases in which the Court has found a violation of the Convention on account of a failure to carry out an effective investigation, but also if their applications have been struck out by the Court on the basis of a friendly settlement or on the basis of a unilateral declaration submitted by the Government.</w:t>
      </w:r>
    </w:p>
    <w:p w:rsidRPr="00C576CF" w:rsidR="00C576CF" w:rsidP="00C576CF" w:rsidRDefault="00C576CF">
      <w:pPr>
        <w:pStyle w:val="ECHRPara"/>
        <w:rPr>
          <w:rFonts w:cstheme="minorHAnsi"/>
        </w:rPr>
      </w:pPr>
      <w:r w:rsidRPr="00C576CF">
        <w:rPr>
          <w:szCs w:val="24"/>
        </w:rPr>
        <w:t>17.  The Court notes that, a</w:t>
      </w:r>
      <w:r w:rsidRPr="00C576CF">
        <w:t xml:space="preserve">s mentioned above (see paragraph 5), the trial court ordered in its judgment that the prosecutor should be informed of the police officers’ acquittal so that he or she could take action to find the real perpetrators responsible for the killing of </w:t>
      </w:r>
      <w:r w:rsidRPr="00C576CF">
        <w:rPr>
          <w:rFonts w:cstheme="minorHAnsi"/>
        </w:rPr>
        <w:t>the applicants’ relative.</w:t>
      </w:r>
    </w:p>
    <w:p w:rsidRPr="00C576CF" w:rsidR="00C576CF" w:rsidP="00C576CF" w:rsidRDefault="00C576CF">
      <w:pPr>
        <w:pStyle w:val="ECHRPara"/>
        <w:rPr>
          <w:snapToGrid w:val="0"/>
        </w:rPr>
      </w:pPr>
      <w:r w:rsidRPr="00C576CF">
        <w:rPr>
          <w:rFonts w:cstheme="minorHAnsi"/>
        </w:rPr>
        <w:t>18.  Although the parties have not informed the Court whether a new investigation has been opened with a view to finding the perpetrators, the Court considers that i</w:t>
      </w:r>
      <w:r w:rsidRPr="00C576CF">
        <w:rPr>
          <w:rFonts w:cstheme="minorHAnsi"/>
          <w:color w:val="000000"/>
        </w:rPr>
        <w:t>t is possible for the applicants</w:t>
      </w:r>
      <w:r w:rsidRPr="00C576CF">
        <w:rPr>
          <w:rFonts w:cstheme="minorHAnsi"/>
        </w:rPr>
        <w:t>, if they so wish, to request the prosecutor to open a new investigation on the basis of the above</w:t>
      </w:r>
      <w:r w:rsidRPr="00C576CF">
        <w:rPr>
          <w:rFonts w:cstheme="minorHAnsi"/>
        </w:rPr>
        <w:noBreakHyphen/>
        <w:t>mentioned legislative amendment (see</w:t>
      </w:r>
      <w:r w:rsidRPr="00C576CF">
        <w:t xml:space="preserve"> paragraph 16).</w:t>
      </w:r>
    </w:p>
    <w:p w:rsidRPr="00C576CF" w:rsidR="00C576CF" w:rsidP="00C576CF" w:rsidRDefault="00C576CF">
      <w:pPr>
        <w:pStyle w:val="ECHRPara"/>
      </w:pPr>
      <w:r w:rsidRPr="00C576CF">
        <w:t xml:space="preserve">19.  In the light of the above considerations, and in particular given the clear and extensive case-law on the topic, referred to above, the Court is satisfied that respect for human rights as defined in the Convention and the Protocols thereto does not require it to continue the examination of the application (Article 37 § 1 </w:t>
      </w:r>
      <w:r w:rsidRPr="00C576CF">
        <w:rPr>
          <w:i/>
          <w:iCs/>
        </w:rPr>
        <w:t>in fine</w:t>
      </w:r>
      <w:r w:rsidRPr="00C576CF">
        <w:t>).</w:t>
      </w:r>
    </w:p>
    <w:p w:rsidRPr="00C576CF" w:rsidR="00C576CF" w:rsidP="00C576CF" w:rsidRDefault="00C576CF">
      <w:pPr>
        <w:pStyle w:val="ECHRPara"/>
      </w:pPr>
      <w:r w:rsidRPr="00C576CF">
        <w:t xml:space="preserve">20.  Finally, the Court emphasises that, should the Government fail to comply with the terms of their unilateral declaration, the application could be restored to the list in accordance with Article 37 § 2 of the Convention (see </w:t>
      </w:r>
      <w:proofErr w:type="spellStart"/>
      <w:r w:rsidRPr="00C576CF">
        <w:rPr>
          <w:i/>
        </w:rPr>
        <w:t>Josipović</w:t>
      </w:r>
      <w:proofErr w:type="spellEnd"/>
      <w:r w:rsidRPr="00C576CF">
        <w:rPr>
          <w:i/>
        </w:rPr>
        <w:t xml:space="preserve"> v. Serbia</w:t>
      </w:r>
      <w:r w:rsidRPr="00C576CF">
        <w:t xml:space="preserve"> (</w:t>
      </w:r>
      <w:proofErr w:type="spellStart"/>
      <w:r w:rsidRPr="00C576CF">
        <w:t>dec.</w:t>
      </w:r>
      <w:proofErr w:type="spellEnd"/>
      <w:r w:rsidRPr="00C576CF">
        <w:t>), no. 18369/07, 4 March 2008).</w:t>
      </w:r>
    </w:p>
    <w:p w:rsidRPr="00C576CF" w:rsidR="00C576CF" w:rsidP="00C576CF" w:rsidRDefault="00C576CF">
      <w:pPr>
        <w:pStyle w:val="ECHRPara"/>
      </w:pPr>
      <w:r w:rsidRPr="00C576CF">
        <w:t xml:space="preserve">21.  In </w:t>
      </w:r>
      <w:r w:rsidRPr="00C576CF">
        <w:rPr>
          <w:lang w:eastAsia="en-GB"/>
        </w:rPr>
        <w:t>view of the above, it is appropriate to strike the case out of the list</w:t>
      </w:r>
      <w:r w:rsidRPr="00C576CF">
        <w:t>.</w:t>
      </w:r>
    </w:p>
    <w:p w:rsidRPr="00C576CF" w:rsidR="00C576CF" w:rsidP="00C576CF" w:rsidRDefault="00C576CF">
      <w:pPr>
        <w:pStyle w:val="ECHRPara"/>
        <w:rPr>
          <w:lang w:eastAsia="en-GB"/>
        </w:rPr>
      </w:pPr>
    </w:p>
    <w:p w:rsidRPr="00C576CF" w:rsidR="00C576CF" w:rsidP="00C576CF" w:rsidRDefault="00C576CF">
      <w:pPr>
        <w:pStyle w:val="JuParaLast"/>
        <w:outlineLvl w:val="0"/>
      </w:pPr>
      <w:r w:rsidRPr="00C576CF">
        <w:t>For these reasons, the Court, unanimously,</w:t>
      </w:r>
    </w:p>
    <w:p w:rsidRPr="00C576CF" w:rsidR="00C576CF" w:rsidP="00C576CF" w:rsidRDefault="00C576CF">
      <w:pPr>
        <w:pStyle w:val="DecList"/>
      </w:pPr>
      <w:r w:rsidRPr="00C576CF">
        <w:rPr>
          <w:i/>
        </w:rPr>
        <w:t>Takes note</w:t>
      </w:r>
      <w:r w:rsidRPr="00C576CF">
        <w:t xml:space="preserve"> of the terms of the respondent Government’s declaration under Article 2 of the Convention and of the modalities for ensuring compliance with the undertakings referred to therein;</w:t>
      </w:r>
    </w:p>
    <w:p w:rsidRPr="00C576CF" w:rsidR="00C576CF" w:rsidP="00C576CF" w:rsidRDefault="00C576CF">
      <w:pPr>
        <w:pStyle w:val="DecList"/>
      </w:pPr>
      <w:r w:rsidRPr="00C576CF">
        <w:rPr>
          <w:i/>
        </w:rPr>
        <w:t>Decides</w:t>
      </w:r>
      <w:r w:rsidRPr="00C576CF">
        <w:t xml:space="preserve"> to strike the application out of its list of cases in accordance with Article 37 § 1 (c) of the Convention.</w:t>
      </w:r>
    </w:p>
    <w:p w:rsidRPr="00C576CF" w:rsidR="00C576CF" w:rsidP="00C576CF" w:rsidRDefault="00C576CF">
      <w:pPr>
        <w:pStyle w:val="DecList"/>
      </w:pPr>
      <w:r w:rsidRPr="00C576CF">
        <w:t xml:space="preserve">Done in English and notified in writing on </w:t>
      </w:r>
      <w:r w:rsidRPr="00C576CF">
        <w:rPr>
          <w:szCs w:val="24"/>
        </w:rPr>
        <w:t>4 April 2019</w:t>
      </w:r>
      <w:r w:rsidRPr="00C576CF">
        <w:t>.</w:t>
      </w:r>
    </w:p>
    <w:p w:rsidRPr="00C576CF" w:rsidR="00C576CF" w:rsidP="00C576CF" w:rsidRDefault="00C576CF">
      <w:pPr>
        <w:pStyle w:val="JuSigned"/>
        <w:tabs>
          <w:tab w:val="clear" w:pos="851"/>
          <w:tab w:val="clear" w:pos="6407"/>
          <w:tab w:val="center" w:pos="1276"/>
          <w:tab w:val="center" w:pos="5812"/>
        </w:tabs>
      </w:pPr>
      <w:r w:rsidRPr="00C576CF">
        <w:tab/>
        <w:t>Stanley Naismith</w:t>
      </w:r>
      <w:r w:rsidRPr="00C576CF">
        <w:tab/>
        <w:t>Robert Spano</w:t>
      </w:r>
      <w:r w:rsidRPr="00C576CF">
        <w:br/>
      </w:r>
      <w:r w:rsidRPr="00C576CF">
        <w:tab/>
        <w:t>Registrar</w:t>
      </w:r>
      <w:r w:rsidRPr="00C576CF">
        <w:tab/>
        <w:t>President</w:t>
      </w:r>
    </w:p>
    <w:p w:rsidRPr="00C576CF" w:rsidR="00C576CF" w:rsidP="00C576CF" w:rsidRDefault="00C576CF">
      <w:pPr>
        <w:pStyle w:val="ECHRPara"/>
      </w:pPr>
      <w:r w:rsidRPr="00C576CF">
        <w:br w:type="page"/>
      </w:r>
    </w:p>
    <w:p w:rsidRPr="00C576CF" w:rsidR="00C576CF" w:rsidP="00C576CF" w:rsidRDefault="00C576CF">
      <w:pPr>
        <w:pStyle w:val="JuTitle"/>
      </w:pPr>
    </w:p>
    <w:p w:rsidRPr="00C576CF" w:rsidR="00C576CF" w:rsidP="00C576CF" w:rsidRDefault="00C576CF">
      <w:pPr>
        <w:pStyle w:val="JuTitle"/>
      </w:pPr>
      <w:r w:rsidRPr="00C576CF">
        <w:t>Appendix</w:t>
      </w:r>
    </w:p>
    <w:p w:rsidRPr="00C576CF" w:rsidR="00C576CF" w:rsidP="00C576CF" w:rsidRDefault="00C576CF">
      <w:pPr>
        <w:rPr>
          <w:bCs/>
        </w:rPr>
      </w:pPr>
    </w:p>
    <w:p w:rsidRPr="00C576CF" w:rsidR="00C576CF" w:rsidP="00C576CF" w:rsidRDefault="00C576CF"/>
    <w:tbl>
      <w:tblPr>
        <w:tblStyle w:val="ECHRListTable"/>
        <w:tblW w:w="5055" w:type="pct"/>
        <w:tblLook w:val="05E0" w:firstRow="1" w:lastRow="1" w:firstColumn="1" w:lastColumn="1" w:noHBand="0" w:noVBand="1"/>
      </w:tblPr>
      <w:tblGrid>
        <w:gridCol w:w="535"/>
        <w:gridCol w:w="1776"/>
        <w:gridCol w:w="916"/>
        <w:gridCol w:w="1418"/>
        <w:gridCol w:w="1263"/>
        <w:gridCol w:w="1749"/>
      </w:tblGrid>
      <w:tr w:rsidRPr="00C576CF" w:rsidR="00C576CF" w:rsidTr="002C5529">
        <w:trPr>
          <w:cnfStyle w:val="100000000000" w:firstRow="1" w:lastRow="0" w:firstColumn="0" w:lastColumn="0" w:oddVBand="0" w:evenVBand="0" w:oddHBand="0" w:evenHBand="0" w:firstRowFirstColumn="0" w:firstRowLastColumn="0" w:lastRowFirstColumn="0" w:lastRowLastColumn="0"/>
        </w:trPr>
        <w:tc>
          <w:tcPr>
            <w:tcW w:w="349" w:type="pct"/>
          </w:tcPr>
          <w:p w:rsidRPr="00C576CF" w:rsidR="00C576CF" w:rsidP="00C576CF" w:rsidRDefault="00C576CF">
            <w:pPr>
              <w:ind w:right="-107"/>
              <w:jc w:val="left"/>
            </w:pPr>
            <w:r w:rsidRPr="00C576CF">
              <w:t>No.</w:t>
            </w:r>
          </w:p>
        </w:tc>
        <w:tc>
          <w:tcPr>
            <w:tcW w:w="1160" w:type="pct"/>
          </w:tcPr>
          <w:p w:rsidRPr="00C576CF" w:rsidR="00C576CF" w:rsidP="00C576CF" w:rsidRDefault="00C576CF">
            <w:pPr>
              <w:jc w:val="left"/>
            </w:pPr>
            <w:proofErr w:type="spellStart"/>
            <w:r w:rsidRPr="00C576CF">
              <w:t>Firstname</w:t>
            </w:r>
            <w:proofErr w:type="spellEnd"/>
            <w:r w:rsidRPr="00C576CF">
              <w:t xml:space="preserve"> LASTNAME</w:t>
            </w:r>
          </w:p>
        </w:tc>
        <w:tc>
          <w:tcPr>
            <w:tcW w:w="598" w:type="pct"/>
          </w:tcPr>
          <w:p w:rsidRPr="00C576CF" w:rsidR="00C576CF" w:rsidP="00C576CF" w:rsidRDefault="00C576CF">
            <w:pPr>
              <w:jc w:val="left"/>
            </w:pPr>
            <w:r w:rsidRPr="00C576CF">
              <w:t>Birth year</w:t>
            </w:r>
          </w:p>
        </w:tc>
        <w:tc>
          <w:tcPr>
            <w:tcW w:w="926" w:type="pct"/>
          </w:tcPr>
          <w:p w:rsidRPr="00C576CF" w:rsidR="00C576CF" w:rsidP="00C576CF" w:rsidRDefault="00C576CF">
            <w:pPr>
              <w:jc w:val="left"/>
            </w:pPr>
            <w:r w:rsidRPr="00C576CF">
              <w:t>Nationality</w:t>
            </w:r>
          </w:p>
        </w:tc>
        <w:tc>
          <w:tcPr>
            <w:tcW w:w="825" w:type="pct"/>
          </w:tcPr>
          <w:p w:rsidRPr="00C576CF" w:rsidR="00C576CF" w:rsidP="00C576CF" w:rsidRDefault="00C576CF">
            <w:pPr>
              <w:jc w:val="left"/>
            </w:pPr>
            <w:r w:rsidRPr="00C576CF">
              <w:t>Place of residence</w:t>
            </w:r>
          </w:p>
        </w:tc>
        <w:tc>
          <w:tcPr>
            <w:tcW w:w="1142" w:type="pct"/>
          </w:tcPr>
          <w:p w:rsidRPr="00C576CF" w:rsidR="00C576CF" w:rsidP="00C576CF" w:rsidRDefault="00C576CF">
            <w:pPr>
              <w:jc w:val="left"/>
            </w:pPr>
            <w:r w:rsidRPr="00C576CF">
              <w:t>Representative</w:t>
            </w:r>
          </w:p>
        </w:tc>
      </w:tr>
      <w:tr w:rsidRPr="00C576CF" w:rsidR="00C576CF" w:rsidTr="002C5529">
        <w:tc>
          <w:tcPr>
            <w:tcW w:w="349" w:type="pct"/>
          </w:tcPr>
          <w:p w:rsidRPr="00C576CF" w:rsidR="00C576CF" w:rsidP="00C576CF" w:rsidRDefault="00C576CF">
            <w:pPr>
              <w:ind w:right="-107"/>
              <w:jc w:val="center"/>
              <w:rPr>
                <w:b/>
              </w:rPr>
            </w:pPr>
            <w:r w:rsidRPr="00C576CF">
              <w:rPr>
                <w:b/>
              </w:rPr>
              <w:t>1.</w:t>
            </w:r>
          </w:p>
        </w:tc>
        <w:tc>
          <w:tcPr>
            <w:tcW w:w="1160" w:type="pct"/>
          </w:tcPr>
          <w:p w:rsidRPr="00C576CF" w:rsidR="00C576CF" w:rsidP="00C576CF" w:rsidRDefault="00C576CF">
            <w:pPr>
              <w:jc w:val="left"/>
            </w:pPr>
            <w:proofErr w:type="spellStart"/>
            <w:r w:rsidRPr="00C576CF">
              <w:t>Gülseren</w:t>
            </w:r>
            <w:proofErr w:type="spellEnd"/>
            <w:r w:rsidRPr="00C576CF">
              <w:t xml:space="preserve"> KUTLU</w:t>
            </w:r>
          </w:p>
        </w:tc>
        <w:tc>
          <w:tcPr>
            <w:tcW w:w="598" w:type="pct"/>
          </w:tcPr>
          <w:p w:rsidRPr="00C576CF" w:rsidR="00C576CF" w:rsidP="00C576CF" w:rsidRDefault="00C576CF">
            <w:pPr>
              <w:jc w:val="center"/>
            </w:pPr>
            <w:r w:rsidRPr="00C576CF">
              <w:t>1961</w:t>
            </w:r>
          </w:p>
        </w:tc>
        <w:tc>
          <w:tcPr>
            <w:tcW w:w="926" w:type="pct"/>
          </w:tcPr>
          <w:p w:rsidRPr="00C576CF" w:rsidR="00C576CF" w:rsidP="00C576CF" w:rsidRDefault="00C576CF">
            <w:pPr>
              <w:jc w:val="center"/>
            </w:pPr>
            <w:r w:rsidRPr="00C576CF">
              <w:t>Turkish</w:t>
            </w:r>
          </w:p>
        </w:tc>
        <w:tc>
          <w:tcPr>
            <w:tcW w:w="825" w:type="pct"/>
          </w:tcPr>
          <w:p w:rsidRPr="00C576CF" w:rsidR="00C576CF" w:rsidP="00C576CF" w:rsidRDefault="00C576CF">
            <w:pPr>
              <w:jc w:val="center"/>
            </w:pPr>
            <w:r w:rsidRPr="00C576CF">
              <w:t>Diyarbakır</w:t>
            </w:r>
          </w:p>
        </w:tc>
        <w:tc>
          <w:tcPr>
            <w:tcW w:w="1142" w:type="pct"/>
          </w:tcPr>
          <w:p w:rsidRPr="00C576CF" w:rsidR="00C576CF" w:rsidP="00C576CF" w:rsidRDefault="00C576CF">
            <w:pPr>
              <w:jc w:val="center"/>
            </w:pPr>
            <w:r w:rsidRPr="00C576CF">
              <w:t xml:space="preserve">A. </w:t>
            </w:r>
            <w:proofErr w:type="spellStart"/>
            <w:r w:rsidRPr="00C576CF">
              <w:t>Çağer</w:t>
            </w:r>
            <w:proofErr w:type="spellEnd"/>
          </w:p>
        </w:tc>
      </w:tr>
      <w:tr w:rsidRPr="00C576CF" w:rsidR="00C576CF" w:rsidTr="002C5529">
        <w:tc>
          <w:tcPr>
            <w:tcW w:w="349" w:type="pct"/>
          </w:tcPr>
          <w:p w:rsidRPr="00C576CF" w:rsidR="00C576CF" w:rsidP="00C576CF" w:rsidRDefault="00C576CF">
            <w:pPr>
              <w:ind w:right="-107"/>
              <w:jc w:val="center"/>
              <w:rPr>
                <w:b/>
              </w:rPr>
            </w:pPr>
            <w:r w:rsidRPr="00C576CF">
              <w:rPr>
                <w:b/>
              </w:rPr>
              <w:t>2.</w:t>
            </w:r>
          </w:p>
          <w:p w:rsidRPr="00C576CF" w:rsidR="00C576CF" w:rsidP="00C576CF" w:rsidRDefault="00C576CF">
            <w:pPr>
              <w:ind w:right="-107"/>
              <w:jc w:val="center"/>
              <w:rPr>
                <w:b/>
              </w:rPr>
            </w:pPr>
          </w:p>
        </w:tc>
        <w:tc>
          <w:tcPr>
            <w:tcW w:w="1160" w:type="pct"/>
          </w:tcPr>
          <w:p w:rsidRPr="00C576CF" w:rsidR="00C576CF" w:rsidP="00C576CF" w:rsidRDefault="00C576CF">
            <w:pPr>
              <w:jc w:val="left"/>
            </w:pPr>
            <w:proofErr w:type="spellStart"/>
            <w:r w:rsidRPr="00C576CF">
              <w:t>Berivan</w:t>
            </w:r>
            <w:proofErr w:type="spellEnd"/>
            <w:r w:rsidRPr="00C576CF">
              <w:t xml:space="preserve"> ÇELİK</w:t>
            </w:r>
          </w:p>
        </w:tc>
        <w:tc>
          <w:tcPr>
            <w:tcW w:w="598" w:type="pct"/>
          </w:tcPr>
          <w:p w:rsidRPr="00C576CF" w:rsidR="00C576CF" w:rsidP="00C576CF" w:rsidRDefault="00C576CF">
            <w:pPr>
              <w:jc w:val="center"/>
            </w:pPr>
            <w:r w:rsidRPr="00C576CF">
              <w:t>1981</w:t>
            </w:r>
          </w:p>
        </w:tc>
        <w:tc>
          <w:tcPr>
            <w:tcW w:w="926" w:type="pct"/>
          </w:tcPr>
          <w:p w:rsidRPr="00C576CF" w:rsidR="00C576CF" w:rsidP="00C576CF" w:rsidRDefault="00C576CF">
            <w:pPr>
              <w:jc w:val="center"/>
            </w:pPr>
            <w:r w:rsidRPr="00C576CF">
              <w:t>Turkish</w:t>
            </w:r>
          </w:p>
        </w:tc>
        <w:tc>
          <w:tcPr>
            <w:tcW w:w="825" w:type="pct"/>
          </w:tcPr>
          <w:p w:rsidRPr="00C576CF" w:rsidR="00C576CF" w:rsidP="00C576CF" w:rsidRDefault="00C576CF">
            <w:pPr>
              <w:jc w:val="center"/>
            </w:pPr>
            <w:r w:rsidRPr="00C576CF">
              <w:t>Diyarbakır</w:t>
            </w:r>
          </w:p>
        </w:tc>
        <w:tc>
          <w:tcPr>
            <w:tcW w:w="1142" w:type="pct"/>
          </w:tcPr>
          <w:p w:rsidRPr="00C576CF" w:rsidR="00C576CF" w:rsidP="00C576CF" w:rsidRDefault="00C576CF">
            <w:pPr>
              <w:jc w:val="center"/>
            </w:pPr>
            <w:r w:rsidRPr="00C576CF">
              <w:t xml:space="preserve">A. </w:t>
            </w:r>
            <w:proofErr w:type="spellStart"/>
            <w:r w:rsidRPr="00C576CF">
              <w:t>Çağer</w:t>
            </w:r>
            <w:proofErr w:type="spellEnd"/>
          </w:p>
        </w:tc>
      </w:tr>
      <w:tr w:rsidRPr="00C576CF" w:rsidR="00C576CF" w:rsidTr="002C5529">
        <w:tc>
          <w:tcPr>
            <w:tcW w:w="349" w:type="pct"/>
          </w:tcPr>
          <w:p w:rsidRPr="00C576CF" w:rsidR="00C576CF" w:rsidP="00C576CF" w:rsidRDefault="00C576CF">
            <w:pPr>
              <w:ind w:right="-107"/>
              <w:jc w:val="center"/>
              <w:rPr>
                <w:b/>
              </w:rPr>
            </w:pPr>
            <w:r w:rsidRPr="00C576CF">
              <w:rPr>
                <w:b/>
              </w:rPr>
              <w:t>3.</w:t>
            </w:r>
          </w:p>
          <w:p w:rsidRPr="00C576CF" w:rsidR="00C576CF" w:rsidP="00C576CF" w:rsidRDefault="00C576CF">
            <w:pPr>
              <w:ind w:right="-107"/>
              <w:jc w:val="center"/>
              <w:rPr>
                <w:b/>
              </w:rPr>
            </w:pPr>
          </w:p>
        </w:tc>
        <w:tc>
          <w:tcPr>
            <w:tcW w:w="1160" w:type="pct"/>
          </w:tcPr>
          <w:p w:rsidRPr="00C576CF" w:rsidR="00C576CF" w:rsidP="00C576CF" w:rsidRDefault="00C576CF">
            <w:pPr>
              <w:jc w:val="left"/>
            </w:pPr>
            <w:proofErr w:type="spellStart"/>
            <w:r w:rsidRPr="00C576CF">
              <w:t>Fırat</w:t>
            </w:r>
            <w:proofErr w:type="spellEnd"/>
            <w:r w:rsidRPr="00C576CF">
              <w:t xml:space="preserve"> KUTLU</w:t>
            </w:r>
          </w:p>
        </w:tc>
        <w:tc>
          <w:tcPr>
            <w:tcW w:w="598" w:type="pct"/>
          </w:tcPr>
          <w:p w:rsidRPr="00C576CF" w:rsidR="00C576CF" w:rsidP="00C576CF" w:rsidRDefault="00C576CF">
            <w:pPr>
              <w:jc w:val="center"/>
            </w:pPr>
            <w:r w:rsidRPr="00C576CF">
              <w:t>1983</w:t>
            </w:r>
          </w:p>
        </w:tc>
        <w:tc>
          <w:tcPr>
            <w:tcW w:w="926" w:type="pct"/>
          </w:tcPr>
          <w:p w:rsidRPr="00C576CF" w:rsidR="00C576CF" w:rsidP="00C576CF" w:rsidRDefault="00C576CF">
            <w:pPr>
              <w:jc w:val="center"/>
            </w:pPr>
            <w:r w:rsidRPr="00C576CF">
              <w:t>Turkish</w:t>
            </w:r>
          </w:p>
        </w:tc>
        <w:tc>
          <w:tcPr>
            <w:tcW w:w="825" w:type="pct"/>
          </w:tcPr>
          <w:p w:rsidRPr="00C576CF" w:rsidR="00C576CF" w:rsidP="00C576CF" w:rsidRDefault="00C576CF">
            <w:pPr>
              <w:jc w:val="center"/>
            </w:pPr>
            <w:r w:rsidRPr="00C576CF">
              <w:t>Diyarbakır</w:t>
            </w:r>
          </w:p>
        </w:tc>
        <w:tc>
          <w:tcPr>
            <w:tcW w:w="1142" w:type="pct"/>
          </w:tcPr>
          <w:p w:rsidRPr="00C576CF" w:rsidR="00C576CF" w:rsidP="00C576CF" w:rsidRDefault="00C576CF">
            <w:pPr>
              <w:jc w:val="center"/>
            </w:pPr>
            <w:r w:rsidRPr="00C576CF">
              <w:t xml:space="preserve">A. </w:t>
            </w:r>
            <w:proofErr w:type="spellStart"/>
            <w:r w:rsidRPr="00C576CF">
              <w:t>Çağer</w:t>
            </w:r>
            <w:proofErr w:type="spellEnd"/>
          </w:p>
        </w:tc>
      </w:tr>
      <w:tr w:rsidRPr="00C576CF" w:rsidR="00C576CF" w:rsidTr="002C5529">
        <w:tc>
          <w:tcPr>
            <w:tcW w:w="349" w:type="pct"/>
          </w:tcPr>
          <w:p w:rsidRPr="00C576CF" w:rsidR="00C576CF" w:rsidP="00C576CF" w:rsidRDefault="00C576CF">
            <w:pPr>
              <w:ind w:right="-107"/>
              <w:jc w:val="center"/>
              <w:rPr>
                <w:b/>
              </w:rPr>
            </w:pPr>
            <w:r w:rsidRPr="00C576CF">
              <w:rPr>
                <w:b/>
              </w:rPr>
              <w:t>4.</w:t>
            </w:r>
          </w:p>
          <w:p w:rsidRPr="00C576CF" w:rsidR="00C576CF" w:rsidP="00C576CF" w:rsidRDefault="00C576CF">
            <w:pPr>
              <w:ind w:right="-107"/>
              <w:jc w:val="center"/>
              <w:rPr>
                <w:b/>
              </w:rPr>
            </w:pPr>
          </w:p>
        </w:tc>
        <w:tc>
          <w:tcPr>
            <w:tcW w:w="1160" w:type="pct"/>
          </w:tcPr>
          <w:p w:rsidRPr="00C576CF" w:rsidR="00C576CF" w:rsidP="00C576CF" w:rsidRDefault="00C576CF">
            <w:pPr>
              <w:jc w:val="left"/>
            </w:pPr>
            <w:r w:rsidRPr="00C576CF">
              <w:t>Muhammed KUTLU</w:t>
            </w:r>
          </w:p>
        </w:tc>
        <w:tc>
          <w:tcPr>
            <w:tcW w:w="598" w:type="pct"/>
          </w:tcPr>
          <w:p w:rsidRPr="00C576CF" w:rsidR="00C576CF" w:rsidP="00C576CF" w:rsidRDefault="00C576CF">
            <w:pPr>
              <w:jc w:val="center"/>
            </w:pPr>
            <w:r w:rsidRPr="00C576CF">
              <w:t>1986</w:t>
            </w:r>
          </w:p>
        </w:tc>
        <w:tc>
          <w:tcPr>
            <w:tcW w:w="926" w:type="pct"/>
          </w:tcPr>
          <w:p w:rsidRPr="00C576CF" w:rsidR="00C576CF" w:rsidP="00C576CF" w:rsidRDefault="00C576CF">
            <w:pPr>
              <w:jc w:val="center"/>
            </w:pPr>
            <w:r w:rsidRPr="00C576CF">
              <w:t>Turkish</w:t>
            </w:r>
          </w:p>
        </w:tc>
        <w:tc>
          <w:tcPr>
            <w:tcW w:w="825" w:type="pct"/>
          </w:tcPr>
          <w:p w:rsidRPr="00C576CF" w:rsidR="00C576CF" w:rsidP="00C576CF" w:rsidRDefault="00C576CF">
            <w:pPr>
              <w:jc w:val="center"/>
            </w:pPr>
            <w:r w:rsidRPr="00C576CF">
              <w:t>Diyarbakır</w:t>
            </w:r>
          </w:p>
        </w:tc>
        <w:tc>
          <w:tcPr>
            <w:tcW w:w="1142" w:type="pct"/>
          </w:tcPr>
          <w:p w:rsidRPr="00C576CF" w:rsidR="00C576CF" w:rsidP="00C576CF" w:rsidRDefault="00C576CF">
            <w:pPr>
              <w:jc w:val="center"/>
            </w:pPr>
            <w:r w:rsidRPr="00C576CF">
              <w:t xml:space="preserve">A. </w:t>
            </w:r>
            <w:proofErr w:type="spellStart"/>
            <w:r w:rsidRPr="00C576CF">
              <w:t>Çağer</w:t>
            </w:r>
            <w:proofErr w:type="spellEnd"/>
          </w:p>
        </w:tc>
      </w:tr>
    </w:tbl>
    <w:p w:rsidRPr="00C576CF" w:rsidR="00C576CF" w:rsidP="00C576CF" w:rsidRDefault="00C576CF"/>
    <w:p w:rsidRPr="00C576CF" w:rsidR="00C576CF" w:rsidP="00C576CF" w:rsidRDefault="00C576CF"/>
    <w:sectPr w:rsidRPr="00C576CF" w:rsidR="00C576CF" w:rsidSect="0076040F">
      <w:headerReference w:type="even" r:id="rId8"/>
      <w:headerReference w:type="default" r:id="rId9"/>
      <w:headerReference w:type="first" r:id="rId10"/>
      <w:footerReference w:type="first" r:id="rId11"/>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282C" w:rsidRDefault="00CB282C">
      <w:r>
        <w:separator/>
      </w:r>
    </w:p>
  </w:endnote>
  <w:endnote w:type="continuationSeparator" w:id="0">
    <w:p w:rsidR="00CB282C" w:rsidRDefault="00CB2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82C" w:rsidRPr="00CB282C" w:rsidRDefault="00CB282C" w:rsidP="0020718E">
    <w:pPr>
      <w:jc w:val="center"/>
    </w:pPr>
    <w:r>
      <w:rPr>
        <w:noProof/>
        <w:lang w:val="en-US" w:eastAsia="ja-JP"/>
      </w:rPr>
      <w:drawing>
        <wp:inline distT="0" distB="0" distL="0" distR="0" wp14:anchorId="14DC7BDA" wp14:editId="69881A8E">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5C7B" w:rsidRPr="00700638" w:rsidRDefault="004F3B10" w:rsidP="002E2C7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282C" w:rsidRDefault="00CB282C">
      <w:r>
        <w:separator/>
      </w:r>
    </w:p>
  </w:footnote>
  <w:footnote w:type="continuationSeparator" w:id="0">
    <w:p w:rsidR="00CB282C" w:rsidRDefault="00CB28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D30740" w:rsidP="0076040F">
    <w:pPr>
      <w:pStyle w:val="ECHRHeader"/>
    </w:pPr>
    <w:r>
      <w:rPr>
        <w:rStyle w:val="PageNumber"/>
      </w:rPr>
      <w:fldChar w:fldCharType="begin"/>
    </w:r>
    <w:r>
      <w:rPr>
        <w:rStyle w:val="PageNumber"/>
      </w:rPr>
      <w:instrText xml:space="preserve"> PAGE </w:instrText>
    </w:r>
    <w:r>
      <w:rPr>
        <w:rStyle w:val="PageNumber"/>
      </w:rPr>
      <w:fldChar w:fldCharType="separate"/>
    </w:r>
    <w:r w:rsidR="00C576CF">
      <w:rPr>
        <w:rStyle w:val="PageNumber"/>
        <w:noProof/>
      </w:rPr>
      <w:t>6</w:t>
    </w:r>
    <w:r>
      <w:rPr>
        <w:rStyle w:val="PageNumber"/>
      </w:rPr>
      <w:fldChar w:fldCharType="end"/>
    </w:r>
    <w:r w:rsidR="006267D3" w:rsidRPr="00700638">
      <w:tab/>
    </w:r>
    <w:r>
      <w:t xml:space="preserve">KUTLU AND </w:t>
    </w:r>
    <w:r w:rsidR="000F1B92">
      <w:t>OTHERS</w:t>
    </w:r>
    <w:r>
      <w:t xml:space="preserve"> v. TURKEY</w:t>
    </w:r>
    <w:r w:rsidR="006267D3" w:rsidRPr="00700638">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C7B" w:rsidRPr="00700638" w:rsidRDefault="006267D3" w:rsidP="0076040F">
    <w:pPr>
      <w:pStyle w:val="ECHRHeader"/>
    </w:pPr>
    <w:r w:rsidRPr="00700638">
      <w:tab/>
    </w:r>
    <w:r w:rsidR="00D30740">
      <w:t xml:space="preserve">KUTLU AND </w:t>
    </w:r>
    <w:r w:rsidR="000F1B92">
      <w:t xml:space="preserve">OTHERS </w:t>
    </w:r>
    <w:r w:rsidR="00D30740">
      <w:t>v. TURKEY</w:t>
    </w:r>
    <w:r w:rsidRPr="00700638">
      <w:t xml:space="preserve"> DECISION</w:t>
    </w:r>
    <w:r w:rsidRPr="00700638">
      <w:tab/>
    </w:r>
    <w:r w:rsidR="00D30740">
      <w:rPr>
        <w:rStyle w:val="PageNumber"/>
      </w:rPr>
      <w:fldChar w:fldCharType="begin"/>
    </w:r>
    <w:r w:rsidR="00D30740">
      <w:rPr>
        <w:rStyle w:val="PageNumber"/>
      </w:rPr>
      <w:instrText xml:space="preserve"> PAGE </w:instrText>
    </w:r>
    <w:r w:rsidR="00D30740">
      <w:rPr>
        <w:rStyle w:val="PageNumber"/>
      </w:rPr>
      <w:fldChar w:fldCharType="separate"/>
    </w:r>
    <w:r w:rsidR="00C576CF">
      <w:rPr>
        <w:rStyle w:val="PageNumber"/>
        <w:noProof/>
      </w:rPr>
      <w:t>5</w:t>
    </w:r>
    <w:r w:rsidR="00D30740">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82C" w:rsidRPr="00A45145" w:rsidRDefault="00CB282C" w:rsidP="00A45145">
    <w:pPr>
      <w:jc w:val="center"/>
    </w:pPr>
    <w:r>
      <w:rPr>
        <w:noProof/>
        <w:lang w:val="en-US" w:eastAsia="ja-JP"/>
      </w:rPr>
      <w:drawing>
        <wp:inline distT="0" distB="0" distL="0" distR="0" wp14:anchorId="45C9925B" wp14:editId="61007A6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5C7B" w:rsidRPr="00700638" w:rsidRDefault="004F3B10" w:rsidP="00EA100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87C151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CC3C05"/>
    <w:multiLevelType w:val="hybridMultilevel"/>
    <w:tmpl w:val="32D0B65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4"/>
  </w:num>
  <w:num w:numId="2">
    <w:abstractNumId w:val="14"/>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3"/>
  </w:num>
  <w:num w:numId="18">
    <w:abstractNumId w:val="14"/>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CB282C"/>
    <w:rsid w:val="000F1B92"/>
    <w:rsid w:val="00374E91"/>
    <w:rsid w:val="003E3C60"/>
    <w:rsid w:val="00542335"/>
    <w:rsid w:val="005E56C2"/>
    <w:rsid w:val="006267D3"/>
    <w:rsid w:val="0065534F"/>
    <w:rsid w:val="00662617"/>
    <w:rsid w:val="006E123B"/>
    <w:rsid w:val="006F55FA"/>
    <w:rsid w:val="007E1D42"/>
    <w:rsid w:val="009338A4"/>
    <w:rsid w:val="00945837"/>
    <w:rsid w:val="00B56013"/>
    <w:rsid w:val="00C42C12"/>
    <w:rsid w:val="00C576CF"/>
    <w:rsid w:val="00CB282C"/>
    <w:rsid w:val="00D30740"/>
    <w:rsid w:val="00DD250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56013"/>
    <w:pPr>
      <w:jc w:val="both"/>
    </w:pPr>
    <w:rPr>
      <w:rFonts w:eastAsiaTheme="minorEastAsia"/>
      <w:sz w:val="24"/>
      <w:lang w:val="en-GB"/>
    </w:rPr>
  </w:style>
  <w:style w:type="paragraph" w:styleId="Heading1">
    <w:name w:val="heading 1"/>
    <w:basedOn w:val="Normal"/>
    <w:next w:val="Normal"/>
    <w:link w:val="Heading1Char"/>
    <w:uiPriority w:val="99"/>
    <w:semiHidden/>
    <w:rsid w:val="00B5601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B5601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B56013"/>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B56013"/>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B56013"/>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B5601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B56013"/>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B56013"/>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B56013"/>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basedOn w:val="Normal"/>
    <w:next w:val="JuParaLast"/>
    <w:uiPriority w:val="32"/>
    <w:qFormat/>
    <w:rsid w:val="00B56013"/>
    <w:pPr>
      <w:tabs>
        <w:tab w:val="center" w:pos="851"/>
        <w:tab w:val="center" w:pos="6407"/>
      </w:tabs>
      <w:spacing w:before="720"/>
      <w:jc w:val="left"/>
    </w:pPr>
  </w:style>
  <w:style w:type="paragraph" w:customStyle="1" w:styleId="ECHRPara">
    <w:name w:val="ECHR_Para"/>
    <w:aliases w:val="Ju_Para"/>
    <w:basedOn w:val="Normal"/>
    <w:link w:val="JuParaCar"/>
    <w:uiPriority w:val="12"/>
    <w:qFormat/>
    <w:rsid w:val="00B56013"/>
    <w:pPr>
      <w:ind w:firstLine="284"/>
    </w:pPr>
  </w:style>
  <w:style w:type="character" w:styleId="PageNumber">
    <w:name w:val="page number"/>
    <w:uiPriority w:val="99"/>
    <w:semiHidden/>
    <w:rsid w:val="00E93FC7"/>
    <w:rPr>
      <w:sz w:val="18"/>
    </w:rPr>
  </w:style>
  <w:style w:type="character" w:styleId="CommentReference">
    <w:name w:val="annotation reference"/>
    <w:uiPriority w:val="99"/>
    <w:semiHidden/>
    <w:rsid w:val="00E93FC7"/>
    <w:rPr>
      <w:sz w:val="16"/>
    </w:rPr>
  </w:style>
  <w:style w:type="paragraph" w:styleId="CommentText">
    <w:name w:val="annotation text"/>
    <w:basedOn w:val="Normal"/>
    <w:link w:val="CommentTextChar"/>
    <w:semiHidden/>
    <w:rsid w:val="00E93FC7"/>
    <w:rPr>
      <w:sz w:val="20"/>
    </w:rPr>
  </w:style>
  <w:style w:type="character" w:customStyle="1" w:styleId="CommentTextChar">
    <w:name w:val="Comment Text Char"/>
    <w:basedOn w:val="DefaultParagraphFont"/>
    <w:link w:val="CommentText"/>
    <w:semiHidden/>
    <w:rsid w:val="00E93FC7"/>
    <w:rPr>
      <w:rFonts w:eastAsiaTheme="minorEastAsia"/>
      <w:sz w:val="20"/>
    </w:rPr>
  </w:style>
  <w:style w:type="paragraph" w:customStyle="1" w:styleId="DecHTitle">
    <w:name w:val="Dec_H_Title"/>
    <w:basedOn w:val="ECHRTitleCentre1"/>
    <w:uiPriority w:val="7"/>
    <w:qFormat/>
    <w:rsid w:val="00B56013"/>
  </w:style>
  <w:style w:type="paragraph" w:customStyle="1" w:styleId="ECHRTitleCentre2">
    <w:name w:val="ECHR_Title_Centre_2"/>
    <w:aliases w:val="Dec_H_Case"/>
    <w:basedOn w:val="Normal"/>
    <w:next w:val="ECHRPara"/>
    <w:uiPriority w:val="8"/>
    <w:qFormat/>
    <w:rsid w:val="00B56013"/>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B56013"/>
    <w:pPr>
      <w:spacing w:before="720" w:after="240"/>
      <w:jc w:val="center"/>
      <w:outlineLvl w:val="0"/>
    </w:pPr>
    <w:rPr>
      <w:rFonts w:asciiTheme="majorHAnsi" w:hAnsiTheme="majorHAnsi"/>
      <w:b/>
      <w:caps/>
    </w:rPr>
  </w:style>
  <w:style w:type="paragraph" w:customStyle="1" w:styleId="ECHRHeader">
    <w:name w:val="ECHR_Header"/>
    <w:aliases w:val="Ju_Header"/>
    <w:basedOn w:val="Header"/>
    <w:uiPriority w:val="4"/>
    <w:qFormat/>
    <w:rsid w:val="00B56013"/>
    <w:pPr>
      <w:tabs>
        <w:tab w:val="clear" w:pos="4536"/>
        <w:tab w:val="clear" w:pos="9072"/>
        <w:tab w:val="center" w:pos="3686"/>
        <w:tab w:val="right" w:pos="7371"/>
      </w:tabs>
      <w:jc w:val="left"/>
    </w:pPr>
    <w:rPr>
      <w:sz w:val="18"/>
    </w:rPr>
  </w:style>
  <w:style w:type="paragraph" w:styleId="Header">
    <w:name w:val="header"/>
    <w:basedOn w:val="Normal"/>
    <w:link w:val="HeaderChar"/>
    <w:uiPriority w:val="57"/>
    <w:semiHidden/>
    <w:rsid w:val="00B56013"/>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B56013"/>
    <w:rPr>
      <w:sz w:val="24"/>
      <w:lang w:val="en-GB"/>
    </w:rPr>
  </w:style>
  <w:style w:type="paragraph" w:styleId="BalloonText">
    <w:name w:val="Balloon Text"/>
    <w:basedOn w:val="Normal"/>
    <w:link w:val="BalloonTextChar"/>
    <w:uiPriority w:val="99"/>
    <w:semiHidden/>
    <w:rsid w:val="00B56013"/>
    <w:rPr>
      <w:rFonts w:ascii="Tahoma" w:hAnsi="Tahoma" w:cs="Tahoma"/>
      <w:sz w:val="16"/>
      <w:szCs w:val="16"/>
    </w:rPr>
  </w:style>
  <w:style w:type="character" w:customStyle="1" w:styleId="BalloonTextChar">
    <w:name w:val="Balloon Text Char"/>
    <w:basedOn w:val="DefaultParagraphFont"/>
    <w:link w:val="BalloonText"/>
    <w:uiPriority w:val="99"/>
    <w:semiHidden/>
    <w:rsid w:val="00B56013"/>
    <w:rPr>
      <w:rFonts w:ascii="Tahoma" w:eastAsiaTheme="minorEastAsia" w:hAnsi="Tahoma" w:cs="Tahoma"/>
      <w:sz w:val="16"/>
      <w:szCs w:val="16"/>
      <w:lang w:val="en-GB"/>
    </w:rPr>
  </w:style>
  <w:style w:type="paragraph" w:customStyle="1" w:styleId="DummyStyle">
    <w:name w:val="Dummy_Style"/>
    <w:basedOn w:val="Normal"/>
    <w:semiHidden/>
    <w:qFormat/>
    <w:rsid w:val="00B56013"/>
    <w:rPr>
      <w:color w:val="00B050"/>
    </w:rPr>
  </w:style>
  <w:style w:type="paragraph" w:customStyle="1" w:styleId="JuAppQuestion">
    <w:name w:val="Ju_App_Question"/>
    <w:basedOn w:val="Normal"/>
    <w:uiPriority w:val="5"/>
    <w:qFormat/>
    <w:rsid w:val="00B56013"/>
    <w:pPr>
      <w:numPr>
        <w:numId w:val="19"/>
      </w:numPr>
      <w:jc w:val="left"/>
    </w:pPr>
    <w:rPr>
      <w:b/>
    </w:rPr>
  </w:style>
  <w:style w:type="paragraph" w:customStyle="1" w:styleId="ECHRParaQuote">
    <w:name w:val="ECHR_Para_Quote"/>
    <w:aliases w:val="Ju_Quot"/>
    <w:basedOn w:val="Normal"/>
    <w:uiPriority w:val="14"/>
    <w:qFormat/>
    <w:rsid w:val="00B56013"/>
    <w:pPr>
      <w:spacing w:before="120" w:after="120"/>
      <w:ind w:left="425" w:firstLine="142"/>
    </w:pPr>
    <w:rPr>
      <w:sz w:val="20"/>
    </w:rPr>
  </w:style>
  <w:style w:type="paragraph" w:customStyle="1" w:styleId="JuCase">
    <w:name w:val="Ju_Case"/>
    <w:basedOn w:val="Normal"/>
    <w:next w:val="ECHRPara"/>
    <w:uiPriority w:val="10"/>
    <w:semiHidden/>
    <w:rsid w:val="00B56013"/>
    <w:pPr>
      <w:ind w:firstLine="284"/>
    </w:pPr>
    <w:rPr>
      <w:b/>
    </w:rPr>
  </w:style>
  <w:style w:type="paragraph" w:customStyle="1" w:styleId="JuCourt">
    <w:name w:val="Ju_Court"/>
    <w:basedOn w:val="Normal"/>
    <w:next w:val="Normal"/>
    <w:uiPriority w:val="16"/>
    <w:qFormat/>
    <w:rsid w:val="00B56013"/>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B56013"/>
    <w:pPr>
      <w:tabs>
        <w:tab w:val="center" w:pos="6407"/>
      </w:tabs>
      <w:spacing w:before="720"/>
      <w:jc w:val="right"/>
    </w:pPr>
  </w:style>
  <w:style w:type="paragraph" w:customStyle="1" w:styleId="JuList">
    <w:name w:val="Ju_List"/>
    <w:basedOn w:val="Normal"/>
    <w:uiPriority w:val="28"/>
    <w:qFormat/>
    <w:rsid w:val="00B56013"/>
    <w:pPr>
      <w:ind w:left="340" w:hanging="340"/>
    </w:pPr>
  </w:style>
  <w:style w:type="paragraph" w:customStyle="1" w:styleId="ECHRTitleCentre3">
    <w:name w:val="ECHR_Title_Centre_3"/>
    <w:aliases w:val="Ju_H_Article"/>
    <w:basedOn w:val="Normal"/>
    <w:next w:val="ECHRParaQuote"/>
    <w:uiPriority w:val="27"/>
    <w:qFormat/>
    <w:rsid w:val="00B5601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B56013"/>
    <w:pPr>
      <w:keepNext/>
      <w:keepLines/>
      <w:spacing w:after="240"/>
      <w:jc w:val="center"/>
      <w:outlineLvl w:val="0"/>
    </w:pPr>
    <w:rPr>
      <w:rFonts w:asciiTheme="majorHAnsi" w:hAnsiTheme="majorHAnsi"/>
      <w:sz w:val="28"/>
    </w:rPr>
  </w:style>
  <w:style w:type="paragraph" w:customStyle="1" w:styleId="JuLista">
    <w:name w:val="Ju_List_a"/>
    <w:basedOn w:val="JuList"/>
    <w:uiPriority w:val="28"/>
    <w:qFormat/>
    <w:rsid w:val="00B56013"/>
    <w:pPr>
      <w:ind w:left="346" w:firstLine="0"/>
    </w:pPr>
  </w:style>
  <w:style w:type="paragraph" w:customStyle="1" w:styleId="ECHRTitle1">
    <w:name w:val="ECHR_Title_1"/>
    <w:aliases w:val="Ju_H_Head"/>
    <w:basedOn w:val="Normal"/>
    <w:next w:val="ECHRPara"/>
    <w:uiPriority w:val="18"/>
    <w:qFormat/>
    <w:rsid w:val="00B56013"/>
    <w:pPr>
      <w:keepNext/>
      <w:keepLines/>
      <w:spacing w:before="720" w:after="240"/>
      <w:outlineLvl w:val="0"/>
    </w:pPr>
    <w:rPr>
      <w:rFonts w:asciiTheme="majorHAnsi" w:hAnsiTheme="majorHAnsi"/>
      <w:sz w:val="28"/>
    </w:rPr>
  </w:style>
  <w:style w:type="paragraph" w:customStyle="1" w:styleId="JuListi">
    <w:name w:val="Ju_List_i"/>
    <w:basedOn w:val="Normal"/>
    <w:next w:val="JuLista"/>
    <w:uiPriority w:val="28"/>
    <w:qFormat/>
    <w:rsid w:val="00B56013"/>
    <w:pPr>
      <w:ind w:left="794"/>
    </w:pPr>
  </w:style>
  <w:style w:type="character" w:customStyle="1" w:styleId="JUNAMES">
    <w:name w:val="JU_NAMES"/>
    <w:uiPriority w:val="17"/>
    <w:qFormat/>
    <w:rsid w:val="00B56013"/>
    <w:rPr>
      <w:caps w:val="0"/>
      <w:smallCaps/>
    </w:rPr>
  </w:style>
  <w:style w:type="paragraph" w:customStyle="1" w:styleId="JuParaSub">
    <w:name w:val="Ju_Para_Sub"/>
    <w:basedOn w:val="ECHRPara"/>
    <w:uiPriority w:val="13"/>
    <w:qFormat/>
    <w:rsid w:val="00B56013"/>
    <w:pPr>
      <w:ind w:left="284"/>
    </w:pPr>
  </w:style>
  <w:style w:type="character" w:customStyle="1" w:styleId="JuITMark">
    <w:name w:val="Ju_ITMark"/>
    <w:basedOn w:val="DefaultParagraphFont"/>
    <w:uiPriority w:val="38"/>
    <w:qFormat/>
    <w:rsid w:val="00B56013"/>
    <w:rPr>
      <w:vanish w:val="0"/>
      <w:color w:val="auto"/>
      <w:sz w:val="14"/>
      <w:bdr w:val="none" w:sz="0" w:space="0" w:color="auto"/>
      <w:shd w:val="clear" w:color="auto" w:fill="BEE5FF" w:themeFill="background1" w:themeFillTint="33"/>
    </w:rPr>
  </w:style>
  <w:style w:type="paragraph" w:customStyle="1" w:styleId="JuQuotSub">
    <w:name w:val="Ju_Quot_Sub"/>
    <w:basedOn w:val="ECHRParaQuote"/>
    <w:uiPriority w:val="15"/>
    <w:qFormat/>
    <w:rsid w:val="00B56013"/>
    <w:pPr>
      <w:ind w:left="567"/>
    </w:pPr>
  </w:style>
  <w:style w:type="paragraph" w:customStyle="1" w:styleId="OpiH1">
    <w:name w:val="Opi_H_1"/>
    <w:basedOn w:val="ECHRHeading2"/>
    <w:uiPriority w:val="42"/>
    <w:semiHidden/>
    <w:qFormat/>
    <w:rsid w:val="00B56013"/>
    <w:pPr>
      <w:ind w:left="635" w:hanging="357"/>
      <w:outlineLvl w:val="2"/>
    </w:pPr>
  </w:style>
  <w:style w:type="paragraph" w:customStyle="1" w:styleId="ECHRHeading1">
    <w:name w:val="ECHR_Heading_1"/>
    <w:aliases w:val="Ju_H_I_Roman"/>
    <w:basedOn w:val="Heading1"/>
    <w:next w:val="ECHRPara"/>
    <w:uiPriority w:val="19"/>
    <w:qFormat/>
    <w:rsid w:val="00B56013"/>
    <w:pPr>
      <w:keepNext/>
      <w:keepLines/>
      <w:tabs>
        <w:tab w:val="left" w:pos="357"/>
      </w:tabs>
      <w:spacing w:before="360" w:after="240"/>
      <w:ind w:left="357" w:hanging="357"/>
      <w:contextualSpacing w:val="0"/>
    </w:pPr>
    <w:rPr>
      <w:b w:val="0"/>
      <w:color w:val="auto"/>
      <w:sz w:val="24"/>
    </w:rPr>
  </w:style>
  <w:style w:type="character" w:customStyle="1" w:styleId="Heading1Char">
    <w:name w:val="Heading 1 Char"/>
    <w:basedOn w:val="DefaultParagraphFont"/>
    <w:link w:val="Heading1"/>
    <w:uiPriority w:val="99"/>
    <w:semiHidden/>
    <w:rsid w:val="00B56013"/>
    <w:rPr>
      <w:rFonts w:asciiTheme="majorHAnsi" w:eastAsiaTheme="majorEastAsia" w:hAnsiTheme="majorHAnsi" w:cstheme="majorBidi"/>
      <w:b/>
      <w:bCs/>
      <w:color w:val="333333"/>
      <w:sz w:val="28"/>
      <w:szCs w:val="28"/>
      <w:lang w:val="en-GB"/>
    </w:rPr>
  </w:style>
  <w:style w:type="paragraph" w:customStyle="1" w:styleId="ECHRHeading2">
    <w:name w:val="ECHR_Heading_2"/>
    <w:aliases w:val="Ju_H_A"/>
    <w:basedOn w:val="Heading2"/>
    <w:next w:val="ECHRPara"/>
    <w:uiPriority w:val="20"/>
    <w:qFormat/>
    <w:rsid w:val="00B56013"/>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B56013"/>
    <w:rPr>
      <w:rFonts w:asciiTheme="majorHAnsi" w:eastAsiaTheme="majorEastAsia" w:hAnsiTheme="majorHAnsi" w:cstheme="majorBidi"/>
      <w:b/>
      <w:bCs/>
      <w:color w:val="4D4D4D"/>
      <w:sz w:val="26"/>
      <w:szCs w:val="26"/>
      <w:lang w:val="en-GB"/>
    </w:rPr>
  </w:style>
  <w:style w:type="paragraph" w:customStyle="1" w:styleId="ECHRHeading3">
    <w:name w:val="ECHR_Heading_3"/>
    <w:aliases w:val="Ju_H_1."/>
    <w:basedOn w:val="Heading3"/>
    <w:next w:val="ECHRPara"/>
    <w:uiPriority w:val="21"/>
    <w:qFormat/>
    <w:rsid w:val="00B56013"/>
    <w:pPr>
      <w:keepNext/>
      <w:keepLines/>
      <w:tabs>
        <w:tab w:val="left" w:pos="731"/>
      </w:tabs>
      <w:spacing w:before="240" w:after="120" w:line="240" w:lineRule="auto"/>
      <w:ind w:left="732" w:hanging="301"/>
    </w:pPr>
    <w:rPr>
      <w:b w:val="0"/>
      <w:i/>
      <w:color w:val="auto"/>
    </w:rPr>
  </w:style>
  <w:style w:type="character" w:customStyle="1" w:styleId="Heading3Char">
    <w:name w:val="Heading 3 Char"/>
    <w:basedOn w:val="DefaultParagraphFont"/>
    <w:link w:val="Heading3"/>
    <w:uiPriority w:val="99"/>
    <w:semiHidden/>
    <w:rsid w:val="00B56013"/>
    <w:rPr>
      <w:rFonts w:asciiTheme="majorHAnsi" w:eastAsiaTheme="majorEastAsia" w:hAnsiTheme="majorHAnsi" w:cstheme="majorBidi"/>
      <w:b/>
      <w:bCs/>
      <w:color w:val="5F5F5F"/>
      <w:sz w:val="24"/>
      <w:lang w:val="en-GB"/>
    </w:rPr>
  </w:style>
  <w:style w:type="paragraph" w:customStyle="1" w:styleId="ECHRHeading4">
    <w:name w:val="ECHR_Heading_4"/>
    <w:aliases w:val="Ju_H_a"/>
    <w:basedOn w:val="Heading4"/>
    <w:next w:val="ECHRPara"/>
    <w:uiPriority w:val="22"/>
    <w:qFormat/>
    <w:rsid w:val="00B56013"/>
    <w:pPr>
      <w:keepNext/>
      <w:keepLines/>
      <w:tabs>
        <w:tab w:val="left" w:pos="975"/>
      </w:tabs>
      <w:spacing w:before="240" w:after="120"/>
      <w:ind w:left="975" w:hanging="340"/>
    </w:pPr>
    <w:rPr>
      <w:i w:val="0"/>
      <w:color w:val="auto"/>
      <w:sz w:val="20"/>
    </w:rPr>
  </w:style>
  <w:style w:type="character" w:customStyle="1" w:styleId="Heading4Char">
    <w:name w:val="Heading 4 Char"/>
    <w:basedOn w:val="DefaultParagraphFont"/>
    <w:link w:val="Heading4"/>
    <w:uiPriority w:val="99"/>
    <w:semiHidden/>
    <w:rsid w:val="00B56013"/>
    <w:rPr>
      <w:rFonts w:asciiTheme="majorHAnsi" w:eastAsiaTheme="majorEastAsia" w:hAnsiTheme="majorHAnsi" w:cstheme="majorBidi"/>
      <w:b/>
      <w:bCs/>
      <w:i/>
      <w:iCs/>
      <w:color w:val="777777"/>
      <w:sz w:val="24"/>
      <w:lang w:val="en-GB"/>
    </w:rPr>
  </w:style>
  <w:style w:type="paragraph" w:customStyle="1" w:styleId="ECHRHeading5">
    <w:name w:val="ECHR_Heading_5"/>
    <w:aliases w:val="Ju_H_i"/>
    <w:basedOn w:val="Heading5"/>
    <w:next w:val="ECHRPara"/>
    <w:uiPriority w:val="23"/>
    <w:qFormat/>
    <w:rsid w:val="00B56013"/>
    <w:pPr>
      <w:keepNext/>
      <w:keepLines/>
      <w:tabs>
        <w:tab w:val="left" w:pos="1191"/>
      </w:tabs>
      <w:spacing w:before="240" w:after="120"/>
      <w:ind w:left="1190" w:hanging="357"/>
    </w:pPr>
    <w:rPr>
      <w:b w:val="0"/>
      <w:i/>
      <w:color w:val="auto"/>
      <w:sz w:val="20"/>
      <w:lang w:val="en-GB"/>
    </w:rPr>
  </w:style>
  <w:style w:type="character" w:customStyle="1" w:styleId="Heading5Char">
    <w:name w:val="Heading 5 Char"/>
    <w:basedOn w:val="DefaultParagraphFont"/>
    <w:link w:val="Heading5"/>
    <w:uiPriority w:val="99"/>
    <w:semiHidden/>
    <w:rsid w:val="00B56013"/>
    <w:rPr>
      <w:rFonts w:asciiTheme="majorHAnsi" w:eastAsiaTheme="majorEastAsia" w:hAnsiTheme="majorHAnsi" w:cstheme="majorBidi"/>
      <w:b/>
      <w:bCs/>
      <w:color w:val="808080"/>
    </w:rPr>
  </w:style>
  <w:style w:type="paragraph" w:customStyle="1" w:styleId="ECHRHeading6">
    <w:name w:val="ECHR_Heading_6"/>
    <w:aliases w:val="Ju_H_alpha"/>
    <w:basedOn w:val="Heading6"/>
    <w:next w:val="ECHRPara"/>
    <w:uiPriority w:val="24"/>
    <w:qFormat/>
    <w:rsid w:val="00B56013"/>
    <w:pPr>
      <w:keepNext/>
      <w:keepLines/>
      <w:tabs>
        <w:tab w:val="left" w:pos="1372"/>
      </w:tabs>
      <w:spacing w:before="240" w:after="120" w:line="240" w:lineRule="auto"/>
      <w:ind w:left="1373" w:hanging="335"/>
    </w:pPr>
    <w:rPr>
      <w:b w:val="0"/>
      <w:i w:val="0"/>
      <w:color w:val="auto"/>
      <w:sz w:val="20"/>
    </w:rPr>
  </w:style>
  <w:style w:type="character" w:customStyle="1" w:styleId="Heading6Char">
    <w:name w:val="Heading 6 Char"/>
    <w:basedOn w:val="DefaultParagraphFont"/>
    <w:link w:val="Heading6"/>
    <w:uiPriority w:val="99"/>
    <w:semiHidden/>
    <w:rsid w:val="00B56013"/>
    <w:rPr>
      <w:rFonts w:asciiTheme="majorHAnsi" w:eastAsiaTheme="majorEastAsia" w:hAnsiTheme="majorHAnsi" w:cstheme="majorBidi"/>
      <w:b/>
      <w:bCs/>
      <w:i/>
      <w:iCs/>
      <w:color w:val="7F7F7F" w:themeColor="text1" w:themeTint="80"/>
      <w:sz w:val="24"/>
      <w:lang w:val="en-GB" w:bidi="en-US"/>
    </w:rPr>
  </w:style>
  <w:style w:type="paragraph" w:customStyle="1" w:styleId="ECHRHeading7">
    <w:name w:val="ECHR_Heading_7"/>
    <w:aliases w:val="Ju_H_–"/>
    <w:basedOn w:val="Heading7"/>
    <w:next w:val="ECHRPara"/>
    <w:uiPriority w:val="25"/>
    <w:qFormat/>
    <w:rsid w:val="00B56013"/>
    <w:pPr>
      <w:keepNext/>
      <w:keepLines/>
      <w:spacing w:before="240" w:after="120"/>
      <w:ind w:left="1236"/>
    </w:pPr>
    <w:rPr>
      <w:sz w:val="20"/>
      <w:lang w:val="en-GB"/>
    </w:rPr>
  </w:style>
  <w:style w:type="character" w:customStyle="1" w:styleId="Heading7Char">
    <w:name w:val="Heading 7 Char"/>
    <w:basedOn w:val="DefaultParagraphFont"/>
    <w:link w:val="Heading7"/>
    <w:uiPriority w:val="99"/>
    <w:semiHidden/>
    <w:rsid w:val="00B56013"/>
    <w:rPr>
      <w:rFonts w:asciiTheme="majorHAnsi" w:eastAsiaTheme="majorEastAsia" w:hAnsiTheme="majorHAnsi" w:cstheme="majorBidi"/>
      <w:i/>
      <w:iCs/>
      <w:lang w:bidi="en-US"/>
    </w:rPr>
  </w:style>
  <w:style w:type="paragraph" w:customStyle="1" w:styleId="JuParaLast">
    <w:name w:val="Ju_Para_Last"/>
    <w:basedOn w:val="Normal"/>
    <w:next w:val="ECHRPara"/>
    <w:uiPriority w:val="30"/>
    <w:qFormat/>
    <w:rsid w:val="00B56013"/>
    <w:pPr>
      <w:keepNext/>
      <w:keepLines/>
      <w:spacing w:before="240"/>
      <w:ind w:firstLine="284"/>
    </w:pPr>
  </w:style>
  <w:style w:type="paragraph" w:customStyle="1" w:styleId="DecList">
    <w:name w:val="Dec_List"/>
    <w:basedOn w:val="Normal"/>
    <w:uiPriority w:val="9"/>
    <w:qFormat/>
    <w:rsid w:val="00B56013"/>
    <w:pPr>
      <w:spacing w:before="240"/>
      <w:ind w:left="284"/>
    </w:pPr>
  </w:style>
  <w:style w:type="paragraph" w:customStyle="1" w:styleId="ECHRDecisionBody">
    <w:name w:val="ECHR_Decision_Body"/>
    <w:aliases w:val="Ju_Judges"/>
    <w:basedOn w:val="Normal"/>
    <w:uiPriority w:val="11"/>
    <w:qFormat/>
    <w:rsid w:val="00B56013"/>
    <w:pPr>
      <w:tabs>
        <w:tab w:val="left" w:pos="567"/>
        <w:tab w:val="left" w:pos="1134"/>
      </w:tabs>
      <w:jc w:val="left"/>
    </w:pPr>
  </w:style>
  <w:style w:type="paragraph" w:customStyle="1" w:styleId="OpiHa">
    <w:name w:val="Opi_H_a"/>
    <w:basedOn w:val="ECHRHeading3"/>
    <w:uiPriority w:val="43"/>
    <w:semiHidden/>
    <w:qFormat/>
    <w:rsid w:val="00B56013"/>
    <w:pPr>
      <w:ind w:left="833" w:hanging="357"/>
      <w:outlineLvl w:val="3"/>
    </w:pPr>
    <w:rPr>
      <w:b/>
      <w:i w:val="0"/>
      <w:sz w:val="20"/>
    </w:rPr>
  </w:style>
  <w:style w:type="paragraph" w:customStyle="1" w:styleId="OpiHA0">
    <w:name w:val="Opi_H_A"/>
    <w:basedOn w:val="ECHRHeading1"/>
    <w:next w:val="OpiPara"/>
    <w:uiPriority w:val="41"/>
    <w:semiHidden/>
    <w:qFormat/>
    <w:rsid w:val="00B56013"/>
    <w:pPr>
      <w:tabs>
        <w:tab w:val="clear" w:pos="357"/>
      </w:tabs>
      <w:outlineLvl w:val="1"/>
    </w:pPr>
    <w:rPr>
      <w:b/>
    </w:rPr>
  </w:style>
  <w:style w:type="paragraph" w:customStyle="1" w:styleId="OpiHi">
    <w:name w:val="Opi_H_i"/>
    <w:basedOn w:val="ECHRHeading4"/>
    <w:uiPriority w:val="44"/>
    <w:semiHidden/>
    <w:qFormat/>
    <w:rsid w:val="00B56013"/>
    <w:pPr>
      <w:ind w:left="1037" w:hanging="357"/>
      <w:outlineLvl w:val="4"/>
    </w:pPr>
    <w:rPr>
      <w:b w:val="0"/>
      <w:i/>
    </w:rPr>
  </w:style>
  <w:style w:type="paragraph" w:customStyle="1" w:styleId="OpiPara">
    <w:name w:val="Opi_Para"/>
    <w:basedOn w:val="ECHRPara"/>
    <w:uiPriority w:val="46"/>
    <w:semiHidden/>
    <w:qFormat/>
    <w:rsid w:val="00B56013"/>
  </w:style>
  <w:style w:type="paragraph" w:customStyle="1" w:styleId="OpiParaSub">
    <w:name w:val="Opi_Para_Sub"/>
    <w:basedOn w:val="JuParaSub"/>
    <w:uiPriority w:val="47"/>
    <w:semiHidden/>
    <w:qFormat/>
    <w:rsid w:val="00B56013"/>
  </w:style>
  <w:style w:type="paragraph" w:customStyle="1" w:styleId="OpiQuot">
    <w:name w:val="Opi_Quot"/>
    <w:basedOn w:val="ECHRParaQuote"/>
    <w:uiPriority w:val="48"/>
    <w:semiHidden/>
    <w:qFormat/>
    <w:rsid w:val="00B56013"/>
  </w:style>
  <w:style w:type="character" w:customStyle="1" w:styleId="Heading8Char">
    <w:name w:val="Heading 8 Char"/>
    <w:basedOn w:val="DefaultParagraphFont"/>
    <w:link w:val="Heading8"/>
    <w:uiPriority w:val="99"/>
    <w:semiHidden/>
    <w:rsid w:val="00B56013"/>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B56013"/>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B5601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B56013"/>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B56013"/>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B56013"/>
    <w:rPr>
      <w:rFonts w:asciiTheme="majorHAnsi" w:eastAsiaTheme="majorEastAsia" w:hAnsiTheme="majorHAnsi" w:cstheme="majorBidi"/>
      <w:i/>
      <w:iCs/>
      <w:spacing w:val="13"/>
      <w:sz w:val="24"/>
      <w:szCs w:val="24"/>
      <w:lang w:bidi="en-US"/>
    </w:rPr>
  </w:style>
  <w:style w:type="character" w:styleId="Strong">
    <w:name w:val="Strong"/>
    <w:uiPriority w:val="99"/>
    <w:semiHidden/>
    <w:qFormat/>
    <w:rsid w:val="00B56013"/>
    <w:rPr>
      <w:b/>
      <w:bCs/>
    </w:rPr>
  </w:style>
  <w:style w:type="character" w:styleId="Emphasis">
    <w:name w:val="Emphasis"/>
    <w:uiPriority w:val="99"/>
    <w:semiHidden/>
    <w:qFormat/>
    <w:rsid w:val="00B56013"/>
    <w:rPr>
      <w:b/>
      <w:bCs/>
      <w:i/>
      <w:iCs/>
      <w:spacing w:val="10"/>
      <w:bdr w:val="none" w:sz="0" w:space="0" w:color="auto"/>
      <w:shd w:val="clear" w:color="auto" w:fill="auto"/>
    </w:rPr>
  </w:style>
  <w:style w:type="paragraph" w:styleId="NoSpacing">
    <w:name w:val="No Spacing"/>
    <w:basedOn w:val="Normal"/>
    <w:link w:val="NoSpacingChar"/>
    <w:semiHidden/>
    <w:qFormat/>
    <w:rsid w:val="00B56013"/>
    <w:rPr>
      <w:sz w:val="22"/>
      <w:lang w:val="en-US"/>
    </w:rPr>
  </w:style>
  <w:style w:type="character" w:customStyle="1" w:styleId="NoSpacingChar">
    <w:name w:val="No Spacing Char"/>
    <w:basedOn w:val="DefaultParagraphFont"/>
    <w:link w:val="NoSpacing"/>
    <w:semiHidden/>
    <w:rsid w:val="00B56013"/>
    <w:rPr>
      <w:rFonts w:eastAsiaTheme="minorEastAsia"/>
    </w:rPr>
  </w:style>
  <w:style w:type="paragraph" w:styleId="ListParagraph">
    <w:name w:val="List Paragraph"/>
    <w:basedOn w:val="Normal"/>
    <w:uiPriority w:val="99"/>
    <w:semiHidden/>
    <w:qFormat/>
    <w:rsid w:val="00B56013"/>
    <w:pPr>
      <w:ind w:left="720"/>
      <w:contextualSpacing/>
    </w:pPr>
  </w:style>
  <w:style w:type="paragraph" w:styleId="Quote">
    <w:name w:val="Quote"/>
    <w:basedOn w:val="Normal"/>
    <w:next w:val="Normal"/>
    <w:link w:val="QuoteChar"/>
    <w:uiPriority w:val="99"/>
    <w:semiHidden/>
    <w:qFormat/>
    <w:rsid w:val="00B56013"/>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B56013"/>
    <w:rPr>
      <w:rFonts w:eastAsiaTheme="minorEastAsia"/>
      <w:i/>
      <w:iCs/>
      <w:lang w:bidi="en-US"/>
    </w:rPr>
  </w:style>
  <w:style w:type="paragraph" w:styleId="IntenseQuote">
    <w:name w:val="Intense Quote"/>
    <w:basedOn w:val="Normal"/>
    <w:next w:val="Normal"/>
    <w:link w:val="IntenseQuoteChar"/>
    <w:uiPriority w:val="99"/>
    <w:semiHidden/>
    <w:qFormat/>
    <w:rsid w:val="00B56013"/>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B56013"/>
    <w:rPr>
      <w:rFonts w:eastAsiaTheme="minorEastAsia"/>
      <w:b/>
      <w:bCs/>
      <w:i/>
      <w:iCs/>
      <w:lang w:bidi="en-US"/>
    </w:rPr>
  </w:style>
  <w:style w:type="character" w:styleId="SubtleEmphasis">
    <w:name w:val="Subtle Emphasis"/>
    <w:uiPriority w:val="99"/>
    <w:semiHidden/>
    <w:qFormat/>
    <w:rsid w:val="00B56013"/>
    <w:rPr>
      <w:i/>
      <w:iCs/>
    </w:rPr>
  </w:style>
  <w:style w:type="character" w:styleId="IntenseEmphasis">
    <w:name w:val="Intense Emphasis"/>
    <w:uiPriority w:val="99"/>
    <w:semiHidden/>
    <w:qFormat/>
    <w:rsid w:val="00B56013"/>
    <w:rPr>
      <w:b/>
      <w:bCs/>
    </w:rPr>
  </w:style>
  <w:style w:type="character" w:styleId="SubtleReference">
    <w:name w:val="Subtle Reference"/>
    <w:uiPriority w:val="99"/>
    <w:semiHidden/>
    <w:qFormat/>
    <w:rsid w:val="00B56013"/>
    <w:rPr>
      <w:smallCaps/>
    </w:rPr>
  </w:style>
  <w:style w:type="character" w:styleId="IntenseReference">
    <w:name w:val="Intense Reference"/>
    <w:uiPriority w:val="99"/>
    <w:semiHidden/>
    <w:qFormat/>
    <w:rsid w:val="00B56013"/>
    <w:rPr>
      <w:smallCaps/>
      <w:spacing w:val="5"/>
      <w:u w:val="single"/>
    </w:rPr>
  </w:style>
  <w:style w:type="character" w:styleId="BookTitle">
    <w:name w:val="Book Title"/>
    <w:uiPriority w:val="99"/>
    <w:semiHidden/>
    <w:qFormat/>
    <w:rsid w:val="00B56013"/>
    <w:rPr>
      <w:i/>
      <w:iCs/>
      <w:smallCaps/>
      <w:spacing w:val="5"/>
    </w:rPr>
  </w:style>
  <w:style w:type="paragraph" w:styleId="TOCHeading">
    <w:name w:val="TOC Heading"/>
    <w:basedOn w:val="Normal"/>
    <w:next w:val="Normal"/>
    <w:uiPriority w:val="99"/>
    <w:semiHidden/>
    <w:qFormat/>
    <w:rsid w:val="00B56013"/>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NoList"/>
    <w:uiPriority w:val="99"/>
    <w:semiHidden/>
    <w:unhideWhenUsed/>
    <w:rsid w:val="00E93FC7"/>
    <w:pPr>
      <w:numPr>
        <w:numId w:val="3"/>
      </w:numPr>
    </w:pPr>
  </w:style>
  <w:style w:type="numbering" w:styleId="1ai">
    <w:name w:val="Outline List 1"/>
    <w:basedOn w:val="NoList"/>
    <w:uiPriority w:val="99"/>
    <w:semiHidden/>
    <w:unhideWhenUsed/>
    <w:rsid w:val="00E93FC7"/>
    <w:pPr>
      <w:numPr>
        <w:numId w:val="4"/>
      </w:numPr>
    </w:pPr>
  </w:style>
  <w:style w:type="numbering" w:styleId="ArticleSection">
    <w:name w:val="Outline List 3"/>
    <w:basedOn w:val="NoList"/>
    <w:uiPriority w:val="99"/>
    <w:semiHidden/>
    <w:unhideWhenUsed/>
    <w:rsid w:val="00E93FC7"/>
    <w:pPr>
      <w:numPr>
        <w:numId w:val="5"/>
      </w:numPr>
    </w:pPr>
  </w:style>
  <w:style w:type="paragraph" w:styleId="Bibliography">
    <w:name w:val="Bibliography"/>
    <w:basedOn w:val="Normal"/>
    <w:next w:val="Normal"/>
    <w:uiPriority w:val="37"/>
    <w:semiHidden/>
    <w:unhideWhenUsed/>
    <w:rsid w:val="00E93FC7"/>
  </w:style>
  <w:style w:type="paragraph" w:styleId="BlockText">
    <w:name w:val="Block Text"/>
    <w:basedOn w:val="Normal"/>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unhideWhenUsed/>
    <w:rsid w:val="00E93FC7"/>
    <w:pPr>
      <w:spacing w:after="120"/>
    </w:pPr>
  </w:style>
  <w:style w:type="character" w:customStyle="1" w:styleId="BodyTextChar">
    <w:name w:val="Body Text Char"/>
    <w:basedOn w:val="DefaultParagraphFont"/>
    <w:link w:val="BodyText"/>
    <w:uiPriority w:val="99"/>
    <w:semiHidden/>
    <w:rsid w:val="00E93FC7"/>
    <w:rPr>
      <w:rFonts w:eastAsiaTheme="minorEastAsia"/>
      <w:sz w:val="24"/>
    </w:rPr>
  </w:style>
  <w:style w:type="paragraph" w:styleId="BodyText2">
    <w:name w:val="Body Text 2"/>
    <w:basedOn w:val="Normal"/>
    <w:link w:val="BodyText2Char"/>
    <w:uiPriority w:val="99"/>
    <w:semiHidden/>
    <w:unhideWhenUsed/>
    <w:rsid w:val="00E93FC7"/>
    <w:pPr>
      <w:spacing w:after="120" w:line="480" w:lineRule="auto"/>
    </w:pPr>
  </w:style>
  <w:style w:type="character" w:customStyle="1" w:styleId="BodyText2Char">
    <w:name w:val="Body Text 2 Char"/>
    <w:basedOn w:val="DefaultParagraphFont"/>
    <w:link w:val="BodyText2"/>
    <w:uiPriority w:val="99"/>
    <w:semiHidden/>
    <w:rsid w:val="00E93FC7"/>
    <w:rPr>
      <w:rFonts w:eastAsiaTheme="minorEastAsia"/>
      <w:sz w:val="24"/>
    </w:rPr>
  </w:style>
  <w:style w:type="paragraph" w:styleId="BodyText3">
    <w:name w:val="Body Text 3"/>
    <w:basedOn w:val="Normal"/>
    <w:link w:val="BodyText3Char"/>
    <w:uiPriority w:val="99"/>
    <w:semiHidden/>
    <w:unhideWhenUsed/>
    <w:rsid w:val="00E93FC7"/>
    <w:pPr>
      <w:spacing w:after="120"/>
    </w:pPr>
    <w:rPr>
      <w:sz w:val="16"/>
      <w:szCs w:val="16"/>
    </w:rPr>
  </w:style>
  <w:style w:type="character" w:customStyle="1" w:styleId="BodyText3Char">
    <w:name w:val="Body Text 3 Char"/>
    <w:basedOn w:val="DefaultParagraphFont"/>
    <w:link w:val="BodyText3"/>
    <w:uiPriority w:val="99"/>
    <w:semiHidden/>
    <w:rsid w:val="00E93FC7"/>
    <w:rPr>
      <w:rFonts w:eastAsiaTheme="minorEastAsia"/>
      <w:sz w:val="16"/>
      <w:szCs w:val="16"/>
    </w:rPr>
  </w:style>
  <w:style w:type="paragraph" w:styleId="BodyTextFirstIndent">
    <w:name w:val="Body Text First Indent"/>
    <w:basedOn w:val="BodyText"/>
    <w:link w:val="BodyTextFirstIndentChar"/>
    <w:uiPriority w:val="99"/>
    <w:semiHidden/>
    <w:unhideWhenUsed/>
    <w:rsid w:val="00E93FC7"/>
    <w:pPr>
      <w:spacing w:after="0"/>
      <w:ind w:firstLine="360"/>
    </w:pPr>
  </w:style>
  <w:style w:type="character" w:customStyle="1" w:styleId="BodyTextFirstIndentChar">
    <w:name w:val="Body Text First Indent Char"/>
    <w:basedOn w:val="BodyTextChar"/>
    <w:link w:val="BodyTextFirstIndent"/>
    <w:uiPriority w:val="99"/>
    <w:semiHidden/>
    <w:rsid w:val="00E93FC7"/>
    <w:rPr>
      <w:rFonts w:eastAsiaTheme="minorEastAsia"/>
      <w:sz w:val="24"/>
    </w:rPr>
  </w:style>
  <w:style w:type="paragraph" w:styleId="BodyTextIndent">
    <w:name w:val="Body Text Indent"/>
    <w:basedOn w:val="Normal"/>
    <w:link w:val="BodyTextIndentChar"/>
    <w:uiPriority w:val="99"/>
    <w:semiHidden/>
    <w:unhideWhenUsed/>
    <w:rsid w:val="00E93FC7"/>
    <w:pPr>
      <w:spacing w:after="120"/>
      <w:ind w:left="283"/>
    </w:pPr>
  </w:style>
  <w:style w:type="character" w:customStyle="1" w:styleId="BodyTextIndentChar">
    <w:name w:val="Body Text Indent Char"/>
    <w:basedOn w:val="DefaultParagraphFont"/>
    <w:link w:val="BodyTextIndent"/>
    <w:uiPriority w:val="99"/>
    <w:semiHidden/>
    <w:rsid w:val="00E93FC7"/>
    <w:rPr>
      <w:rFonts w:eastAsiaTheme="minorEastAsia"/>
      <w:sz w:val="24"/>
    </w:rPr>
  </w:style>
  <w:style w:type="paragraph" w:styleId="BodyTextFirstIndent2">
    <w:name w:val="Body Text First Indent 2"/>
    <w:basedOn w:val="BodyTextIndent"/>
    <w:link w:val="BodyTextFirstIndent2Char"/>
    <w:uiPriority w:val="99"/>
    <w:semiHidden/>
    <w:unhideWhenUsed/>
    <w:rsid w:val="00E93FC7"/>
    <w:pPr>
      <w:spacing w:after="0"/>
      <w:ind w:left="360" w:firstLine="360"/>
    </w:pPr>
  </w:style>
  <w:style w:type="character" w:customStyle="1" w:styleId="BodyTextFirstIndent2Char">
    <w:name w:val="Body Text First Indent 2 Char"/>
    <w:basedOn w:val="BodyTextIndentChar"/>
    <w:link w:val="BodyTextFirstIndent2"/>
    <w:uiPriority w:val="99"/>
    <w:semiHidden/>
    <w:rsid w:val="00E93FC7"/>
    <w:rPr>
      <w:rFonts w:eastAsiaTheme="minorEastAsia"/>
      <w:sz w:val="24"/>
    </w:rPr>
  </w:style>
  <w:style w:type="paragraph" w:styleId="BodyTextIndent2">
    <w:name w:val="Body Text Indent 2"/>
    <w:basedOn w:val="Normal"/>
    <w:link w:val="BodyTextIndent2Char"/>
    <w:uiPriority w:val="99"/>
    <w:semiHidden/>
    <w:unhideWhenUsed/>
    <w:rsid w:val="00E93FC7"/>
    <w:pPr>
      <w:spacing w:after="120" w:line="480" w:lineRule="auto"/>
      <w:ind w:left="283"/>
    </w:pPr>
  </w:style>
  <w:style w:type="character" w:customStyle="1" w:styleId="BodyTextIndent2Char">
    <w:name w:val="Body Text Indent 2 Char"/>
    <w:basedOn w:val="DefaultParagraphFont"/>
    <w:link w:val="BodyTextIndent2"/>
    <w:uiPriority w:val="99"/>
    <w:semiHidden/>
    <w:rsid w:val="00E93FC7"/>
    <w:rPr>
      <w:rFonts w:eastAsiaTheme="minorEastAsia"/>
      <w:sz w:val="24"/>
    </w:rPr>
  </w:style>
  <w:style w:type="paragraph" w:styleId="BodyTextIndent3">
    <w:name w:val="Body Text Indent 3"/>
    <w:basedOn w:val="Normal"/>
    <w:link w:val="BodyTextIndent3Char"/>
    <w:uiPriority w:val="99"/>
    <w:semiHidden/>
    <w:unhideWhenUsed/>
    <w:rsid w:val="00E93FC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93FC7"/>
    <w:rPr>
      <w:rFonts w:eastAsiaTheme="minorEastAsia"/>
      <w:sz w:val="16"/>
      <w:szCs w:val="16"/>
    </w:rPr>
  </w:style>
  <w:style w:type="paragraph" w:styleId="Caption">
    <w:name w:val="caption"/>
    <w:basedOn w:val="Normal"/>
    <w:next w:val="Normal"/>
    <w:uiPriority w:val="99"/>
    <w:semiHidden/>
    <w:qFormat/>
    <w:rsid w:val="00E93FC7"/>
    <w:pPr>
      <w:spacing w:after="200"/>
    </w:pPr>
    <w:rPr>
      <w:b/>
      <w:bCs/>
      <w:color w:val="0072BC" w:themeColor="accent1"/>
      <w:sz w:val="18"/>
      <w:szCs w:val="18"/>
    </w:rPr>
  </w:style>
  <w:style w:type="paragraph" w:styleId="Closing">
    <w:name w:val="Closing"/>
    <w:basedOn w:val="Normal"/>
    <w:link w:val="ClosingChar"/>
    <w:uiPriority w:val="99"/>
    <w:semiHidden/>
    <w:unhideWhenUsed/>
    <w:rsid w:val="00E93FC7"/>
    <w:pPr>
      <w:ind w:left="4252"/>
    </w:pPr>
  </w:style>
  <w:style w:type="character" w:customStyle="1" w:styleId="ClosingChar">
    <w:name w:val="Closing Char"/>
    <w:basedOn w:val="DefaultParagraphFont"/>
    <w:link w:val="Closing"/>
    <w:uiPriority w:val="99"/>
    <w:semiHidden/>
    <w:rsid w:val="00E93FC7"/>
    <w:rPr>
      <w:rFonts w:eastAsiaTheme="minorEastAsia"/>
      <w:sz w:val="24"/>
    </w:rPr>
  </w:style>
  <w:style w:type="table" w:styleId="ColorfulGrid">
    <w:name w:val="Colorful Grid"/>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unhideWhenUsed/>
    <w:rsid w:val="00E93FC7"/>
    <w:rPr>
      <w:b/>
      <w:bCs/>
      <w:szCs w:val="20"/>
    </w:rPr>
  </w:style>
  <w:style w:type="character" w:customStyle="1" w:styleId="CommentSubjectChar">
    <w:name w:val="Comment Subject Char"/>
    <w:basedOn w:val="CommentTextChar"/>
    <w:link w:val="CommentSubject"/>
    <w:uiPriority w:val="99"/>
    <w:semiHidden/>
    <w:rsid w:val="00E93FC7"/>
    <w:rPr>
      <w:rFonts w:eastAsiaTheme="minorEastAsia"/>
      <w:b/>
      <w:bCs/>
      <w:sz w:val="20"/>
      <w:szCs w:val="20"/>
    </w:rPr>
  </w:style>
  <w:style w:type="table" w:styleId="DarkList">
    <w:name w:val="Dark List"/>
    <w:basedOn w:val="TableNormal"/>
    <w:uiPriority w:val="70"/>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unhideWhenUsed/>
    <w:rsid w:val="00E93FC7"/>
  </w:style>
  <w:style w:type="character" w:customStyle="1" w:styleId="DateChar">
    <w:name w:val="Date Char"/>
    <w:basedOn w:val="DefaultParagraphFont"/>
    <w:link w:val="Date"/>
    <w:uiPriority w:val="99"/>
    <w:semiHidden/>
    <w:rsid w:val="00E93FC7"/>
    <w:rPr>
      <w:rFonts w:eastAsiaTheme="minorEastAsia"/>
      <w:sz w:val="24"/>
    </w:rPr>
  </w:style>
  <w:style w:type="paragraph" w:styleId="DocumentMap">
    <w:name w:val="Document Map"/>
    <w:basedOn w:val="Normal"/>
    <w:link w:val="DocumentMapChar"/>
    <w:uiPriority w:val="99"/>
    <w:semiHidden/>
    <w:unhideWhenUsed/>
    <w:rsid w:val="00E93FC7"/>
    <w:rPr>
      <w:rFonts w:ascii="Tahoma" w:hAnsi="Tahoma" w:cs="Tahoma"/>
      <w:sz w:val="16"/>
      <w:szCs w:val="16"/>
    </w:rPr>
  </w:style>
  <w:style w:type="character" w:customStyle="1" w:styleId="DocumentMapChar">
    <w:name w:val="Document Map Char"/>
    <w:basedOn w:val="DefaultParagraphFont"/>
    <w:link w:val="DocumentMap"/>
    <w:uiPriority w:val="99"/>
    <w:semiHidden/>
    <w:rsid w:val="00E93FC7"/>
    <w:rPr>
      <w:rFonts w:ascii="Tahoma" w:eastAsiaTheme="minorEastAsia" w:hAnsi="Tahoma" w:cs="Tahoma"/>
      <w:sz w:val="16"/>
      <w:szCs w:val="16"/>
    </w:rPr>
  </w:style>
  <w:style w:type="paragraph" w:styleId="E-mailSignature">
    <w:name w:val="E-mail Signature"/>
    <w:basedOn w:val="Normal"/>
    <w:link w:val="E-mailSignatureChar"/>
    <w:uiPriority w:val="99"/>
    <w:semiHidden/>
    <w:unhideWhenUsed/>
    <w:rsid w:val="00E93FC7"/>
  </w:style>
  <w:style w:type="character" w:customStyle="1" w:styleId="E-mailSignatureChar">
    <w:name w:val="E-mail Signature Char"/>
    <w:basedOn w:val="DefaultParagraphFont"/>
    <w:link w:val="E-mailSignature"/>
    <w:uiPriority w:val="99"/>
    <w:semiHidden/>
    <w:rsid w:val="00E93FC7"/>
    <w:rPr>
      <w:rFonts w:eastAsiaTheme="minorEastAsia"/>
      <w:sz w:val="24"/>
    </w:rPr>
  </w:style>
  <w:style w:type="character" w:styleId="EndnoteReference">
    <w:name w:val="endnote reference"/>
    <w:basedOn w:val="DefaultParagraphFont"/>
    <w:uiPriority w:val="99"/>
    <w:semiHidden/>
    <w:unhideWhenUsed/>
    <w:rsid w:val="00E93FC7"/>
    <w:rPr>
      <w:vertAlign w:val="superscript"/>
    </w:rPr>
  </w:style>
  <w:style w:type="paragraph" w:styleId="EndnoteText">
    <w:name w:val="endnote text"/>
    <w:basedOn w:val="Normal"/>
    <w:link w:val="EndnoteTextChar"/>
    <w:uiPriority w:val="99"/>
    <w:semiHidden/>
    <w:unhideWhenUsed/>
    <w:rsid w:val="00E93FC7"/>
    <w:rPr>
      <w:sz w:val="20"/>
      <w:szCs w:val="20"/>
    </w:rPr>
  </w:style>
  <w:style w:type="character" w:customStyle="1" w:styleId="EndnoteTextChar">
    <w:name w:val="Endnote Text Char"/>
    <w:basedOn w:val="DefaultParagraphFont"/>
    <w:link w:val="EndnoteText"/>
    <w:uiPriority w:val="99"/>
    <w:semiHidden/>
    <w:rsid w:val="00E93FC7"/>
    <w:rPr>
      <w:rFonts w:eastAsiaTheme="minorEastAsia"/>
      <w:sz w:val="20"/>
      <w:szCs w:val="20"/>
    </w:rPr>
  </w:style>
  <w:style w:type="paragraph" w:styleId="EnvelopeAddress">
    <w:name w:val="envelope address"/>
    <w:basedOn w:val="Normal"/>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E93FC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unhideWhenUsed/>
    <w:rsid w:val="00E93FC7"/>
    <w:rPr>
      <w:color w:val="7030A0" w:themeColor="followedHyperlink"/>
      <w:u w:val="single"/>
    </w:rPr>
  </w:style>
  <w:style w:type="character" w:styleId="FootnoteReference">
    <w:name w:val="footnote reference"/>
    <w:basedOn w:val="DefaultParagraphFont"/>
    <w:uiPriority w:val="99"/>
    <w:semiHidden/>
    <w:rsid w:val="00B56013"/>
    <w:rPr>
      <w:vertAlign w:val="superscript"/>
    </w:rPr>
  </w:style>
  <w:style w:type="paragraph" w:styleId="FootnoteText">
    <w:name w:val="footnote text"/>
    <w:basedOn w:val="Normal"/>
    <w:link w:val="FootnoteTextChar"/>
    <w:uiPriority w:val="99"/>
    <w:semiHidden/>
    <w:rsid w:val="00B56013"/>
    <w:rPr>
      <w:sz w:val="20"/>
      <w:szCs w:val="20"/>
    </w:rPr>
  </w:style>
  <w:style w:type="character" w:customStyle="1" w:styleId="FootnoteTextChar">
    <w:name w:val="Footnote Text Char"/>
    <w:basedOn w:val="DefaultParagraphFont"/>
    <w:link w:val="FootnoteText"/>
    <w:uiPriority w:val="99"/>
    <w:semiHidden/>
    <w:rsid w:val="00B56013"/>
    <w:rPr>
      <w:rFonts w:eastAsiaTheme="minorEastAsia"/>
      <w:sz w:val="20"/>
      <w:szCs w:val="20"/>
      <w:lang w:val="en-GB"/>
    </w:rPr>
  </w:style>
  <w:style w:type="character" w:styleId="HTMLAcronym">
    <w:name w:val="HTML Acronym"/>
    <w:basedOn w:val="DefaultParagraphFont"/>
    <w:uiPriority w:val="99"/>
    <w:semiHidden/>
    <w:unhideWhenUsed/>
    <w:rsid w:val="00E93FC7"/>
  </w:style>
  <w:style w:type="paragraph" w:styleId="HTMLAddress">
    <w:name w:val="HTML Address"/>
    <w:basedOn w:val="Normal"/>
    <w:link w:val="HTMLAddressChar"/>
    <w:uiPriority w:val="99"/>
    <w:semiHidden/>
    <w:unhideWhenUsed/>
    <w:rsid w:val="00E93FC7"/>
    <w:rPr>
      <w:i/>
      <w:iCs/>
    </w:rPr>
  </w:style>
  <w:style w:type="character" w:customStyle="1" w:styleId="HTMLAddressChar">
    <w:name w:val="HTML Address Char"/>
    <w:basedOn w:val="DefaultParagraphFont"/>
    <w:link w:val="HTMLAddress"/>
    <w:uiPriority w:val="99"/>
    <w:semiHidden/>
    <w:rsid w:val="00E93FC7"/>
    <w:rPr>
      <w:rFonts w:eastAsiaTheme="minorEastAsia"/>
      <w:i/>
      <w:iCs/>
      <w:sz w:val="24"/>
    </w:rPr>
  </w:style>
  <w:style w:type="character" w:styleId="HTMLCite">
    <w:name w:val="HTML Cite"/>
    <w:basedOn w:val="DefaultParagraphFont"/>
    <w:uiPriority w:val="99"/>
    <w:semiHidden/>
    <w:unhideWhenUsed/>
    <w:rsid w:val="00E93FC7"/>
    <w:rPr>
      <w:i/>
      <w:iCs/>
    </w:rPr>
  </w:style>
  <w:style w:type="character" w:styleId="HTMLCode">
    <w:name w:val="HTML Code"/>
    <w:basedOn w:val="DefaultParagraphFont"/>
    <w:uiPriority w:val="99"/>
    <w:semiHidden/>
    <w:unhideWhenUsed/>
    <w:rsid w:val="00E93FC7"/>
    <w:rPr>
      <w:rFonts w:ascii="Consolas" w:hAnsi="Consolas" w:cs="Consolas"/>
      <w:sz w:val="20"/>
      <w:szCs w:val="20"/>
    </w:rPr>
  </w:style>
  <w:style w:type="character" w:styleId="HTMLDefinition">
    <w:name w:val="HTML Definition"/>
    <w:basedOn w:val="DefaultParagraphFont"/>
    <w:uiPriority w:val="99"/>
    <w:semiHidden/>
    <w:unhideWhenUsed/>
    <w:rsid w:val="00E93FC7"/>
    <w:rPr>
      <w:i/>
      <w:iCs/>
    </w:rPr>
  </w:style>
  <w:style w:type="character" w:styleId="HTMLKeyboard">
    <w:name w:val="HTML Keyboard"/>
    <w:basedOn w:val="DefaultParagraphFont"/>
    <w:uiPriority w:val="99"/>
    <w:semiHidden/>
    <w:unhideWhenUsed/>
    <w:rsid w:val="00E93FC7"/>
    <w:rPr>
      <w:rFonts w:ascii="Consolas" w:hAnsi="Consolas" w:cs="Consolas"/>
      <w:sz w:val="20"/>
      <w:szCs w:val="20"/>
    </w:rPr>
  </w:style>
  <w:style w:type="paragraph" w:styleId="HTMLPreformatted">
    <w:name w:val="HTML Preformatted"/>
    <w:basedOn w:val="Normal"/>
    <w:link w:val="HTMLPreformattedChar"/>
    <w:uiPriority w:val="99"/>
    <w:semiHidden/>
    <w:unhideWhenUsed/>
    <w:rsid w:val="00E93FC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93FC7"/>
    <w:rPr>
      <w:rFonts w:ascii="Consolas" w:eastAsiaTheme="minorEastAsia" w:hAnsi="Consolas" w:cs="Consolas"/>
      <w:sz w:val="20"/>
      <w:szCs w:val="20"/>
    </w:rPr>
  </w:style>
  <w:style w:type="character" w:styleId="HTMLSample">
    <w:name w:val="HTML Sample"/>
    <w:basedOn w:val="DefaultParagraphFont"/>
    <w:uiPriority w:val="99"/>
    <w:semiHidden/>
    <w:unhideWhenUsed/>
    <w:rsid w:val="00E93FC7"/>
    <w:rPr>
      <w:rFonts w:ascii="Consolas" w:hAnsi="Consolas" w:cs="Consolas"/>
      <w:sz w:val="24"/>
      <w:szCs w:val="24"/>
    </w:rPr>
  </w:style>
  <w:style w:type="character" w:styleId="HTMLTypewriter">
    <w:name w:val="HTML Typewriter"/>
    <w:basedOn w:val="DefaultParagraphFont"/>
    <w:uiPriority w:val="99"/>
    <w:semiHidden/>
    <w:unhideWhenUsed/>
    <w:rsid w:val="00E93FC7"/>
    <w:rPr>
      <w:rFonts w:ascii="Consolas" w:hAnsi="Consolas" w:cs="Consolas"/>
      <w:sz w:val="20"/>
      <w:szCs w:val="20"/>
    </w:rPr>
  </w:style>
  <w:style w:type="character" w:styleId="HTMLVariable">
    <w:name w:val="HTML Variable"/>
    <w:basedOn w:val="DefaultParagraphFont"/>
    <w:uiPriority w:val="99"/>
    <w:semiHidden/>
    <w:unhideWhenUsed/>
    <w:rsid w:val="00E93FC7"/>
    <w:rPr>
      <w:i/>
      <w:iCs/>
    </w:rPr>
  </w:style>
  <w:style w:type="character" w:styleId="Hyperlink">
    <w:name w:val="Hyperlink"/>
    <w:basedOn w:val="DefaultParagraphFont"/>
    <w:uiPriority w:val="99"/>
    <w:semiHidden/>
    <w:rsid w:val="00B56013"/>
    <w:rPr>
      <w:color w:val="0072BC" w:themeColor="hyperlink"/>
      <w:u w:val="single"/>
    </w:rPr>
  </w:style>
  <w:style w:type="paragraph" w:styleId="Index1">
    <w:name w:val="index 1"/>
    <w:basedOn w:val="Normal"/>
    <w:next w:val="Normal"/>
    <w:autoRedefine/>
    <w:uiPriority w:val="99"/>
    <w:semiHidden/>
    <w:unhideWhenUsed/>
    <w:rsid w:val="00E93FC7"/>
    <w:pPr>
      <w:ind w:left="240" w:hanging="240"/>
    </w:pPr>
  </w:style>
  <w:style w:type="paragraph" w:styleId="Index2">
    <w:name w:val="index 2"/>
    <w:basedOn w:val="Normal"/>
    <w:next w:val="Normal"/>
    <w:autoRedefine/>
    <w:uiPriority w:val="99"/>
    <w:semiHidden/>
    <w:unhideWhenUsed/>
    <w:rsid w:val="00E93FC7"/>
    <w:pPr>
      <w:ind w:left="480" w:hanging="240"/>
    </w:pPr>
  </w:style>
  <w:style w:type="paragraph" w:styleId="Index3">
    <w:name w:val="index 3"/>
    <w:basedOn w:val="Normal"/>
    <w:next w:val="Normal"/>
    <w:autoRedefine/>
    <w:uiPriority w:val="99"/>
    <w:semiHidden/>
    <w:unhideWhenUsed/>
    <w:rsid w:val="00E93FC7"/>
    <w:pPr>
      <w:ind w:left="720" w:hanging="240"/>
    </w:pPr>
  </w:style>
  <w:style w:type="paragraph" w:styleId="Index4">
    <w:name w:val="index 4"/>
    <w:basedOn w:val="Normal"/>
    <w:next w:val="Normal"/>
    <w:autoRedefine/>
    <w:uiPriority w:val="99"/>
    <w:semiHidden/>
    <w:unhideWhenUsed/>
    <w:rsid w:val="00E93FC7"/>
    <w:pPr>
      <w:ind w:left="960" w:hanging="240"/>
    </w:pPr>
  </w:style>
  <w:style w:type="paragraph" w:styleId="Index5">
    <w:name w:val="index 5"/>
    <w:basedOn w:val="Normal"/>
    <w:next w:val="Normal"/>
    <w:autoRedefine/>
    <w:uiPriority w:val="99"/>
    <w:semiHidden/>
    <w:unhideWhenUsed/>
    <w:rsid w:val="00E93FC7"/>
    <w:pPr>
      <w:ind w:left="1200" w:hanging="240"/>
    </w:pPr>
  </w:style>
  <w:style w:type="paragraph" w:styleId="Index6">
    <w:name w:val="index 6"/>
    <w:basedOn w:val="Normal"/>
    <w:next w:val="Normal"/>
    <w:autoRedefine/>
    <w:uiPriority w:val="99"/>
    <w:semiHidden/>
    <w:unhideWhenUsed/>
    <w:rsid w:val="00E93FC7"/>
    <w:pPr>
      <w:ind w:left="1440" w:hanging="240"/>
    </w:pPr>
  </w:style>
  <w:style w:type="paragraph" w:styleId="Index7">
    <w:name w:val="index 7"/>
    <w:basedOn w:val="Normal"/>
    <w:next w:val="Normal"/>
    <w:autoRedefine/>
    <w:uiPriority w:val="99"/>
    <w:semiHidden/>
    <w:unhideWhenUsed/>
    <w:rsid w:val="00E93FC7"/>
    <w:pPr>
      <w:ind w:left="1680" w:hanging="240"/>
    </w:pPr>
  </w:style>
  <w:style w:type="paragraph" w:styleId="Index8">
    <w:name w:val="index 8"/>
    <w:basedOn w:val="Normal"/>
    <w:next w:val="Normal"/>
    <w:autoRedefine/>
    <w:uiPriority w:val="99"/>
    <w:semiHidden/>
    <w:unhideWhenUsed/>
    <w:rsid w:val="00E93FC7"/>
    <w:pPr>
      <w:ind w:left="1920" w:hanging="240"/>
    </w:pPr>
  </w:style>
  <w:style w:type="paragraph" w:styleId="Index9">
    <w:name w:val="index 9"/>
    <w:basedOn w:val="Normal"/>
    <w:next w:val="Normal"/>
    <w:autoRedefine/>
    <w:uiPriority w:val="99"/>
    <w:semiHidden/>
    <w:unhideWhenUsed/>
    <w:rsid w:val="00E93FC7"/>
    <w:pPr>
      <w:ind w:left="2160" w:hanging="240"/>
    </w:pPr>
  </w:style>
  <w:style w:type="paragraph" w:styleId="IndexHeading">
    <w:name w:val="index heading"/>
    <w:basedOn w:val="Normal"/>
    <w:next w:val="Index1"/>
    <w:uiPriority w:val="99"/>
    <w:semiHidden/>
    <w:unhideWhenUsed/>
    <w:rsid w:val="00E93FC7"/>
    <w:rPr>
      <w:rFonts w:asciiTheme="majorHAnsi" w:eastAsiaTheme="majorEastAsia" w:hAnsiTheme="majorHAnsi" w:cstheme="majorBidi"/>
      <w:b/>
      <w:bCs/>
    </w:rPr>
  </w:style>
  <w:style w:type="table" w:styleId="LightGrid">
    <w:name w:val="Light Grid"/>
    <w:basedOn w:val="TableNormal"/>
    <w:uiPriority w:val="62"/>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unhideWhenUsed/>
    <w:rsid w:val="00E93FC7"/>
  </w:style>
  <w:style w:type="paragraph" w:styleId="List">
    <w:name w:val="List"/>
    <w:basedOn w:val="Normal"/>
    <w:uiPriority w:val="99"/>
    <w:semiHidden/>
    <w:unhideWhenUsed/>
    <w:rsid w:val="00E93FC7"/>
    <w:pPr>
      <w:ind w:left="283" w:hanging="283"/>
      <w:contextualSpacing/>
    </w:pPr>
  </w:style>
  <w:style w:type="paragraph" w:styleId="List2">
    <w:name w:val="List 2"/>
    <w:basedOn w:val="Normal"/>
    <w:uiPriority w:val="99"/>
    <w:semiHidden/>
    <w:unhideWhenUsed/>
    <w:rsid w:val="00E93FC7"/>
    <w:pPr>
      <w:ind w:left="566" w:hanging="283"/>
      <w:contextualSpacing/>
    </w:pPr>
  </w:style>
  <w:style w:type="paragraph" w:styleId="List3">
    <w:name w:val="List 3"/>
    <w:basedOn w:val="Normal"/>
    <w:uiPriority w:val="99"/>
    <w:semiHidden/>
    <w:unhideWhenUsed/>
    <w:rsid w:val="00E93FC7"/>
    <w:pPr>
      <w:ind w:left="849" w:hanging="283"/>
      <w:contextualSpacing/>
    </w:pPr>
  </w:style>
  <w:style w:type="paragraph" w:styleId="List4">
    <w:name w:val="List 4"/>
    <w:basedOn w:val="Normal"/>
    <w:uiPriority w:val="99"/>
    <w:semiHidden/>
    <w:unhideWhenUsed/>
    <w:rsid w:val="00E93FC7"/>
    <w:pPr>
      <w:ind w:left="1132" w:hanging="283"/>
      <w:contextualSpacing/>
    </w:pPr>
  </w:style>
  <w:style w:type="paragraph" w:styleId="List5">
    <w:name w:val="List 5"/>
    <w:basedOn w:val="Normal"/>
    <w:uiPriority w:val="99"/>
    <w:semiHidden/>
    <w:unhideWhenUsed/>
    <w:rsid w:val="00E93FC7"/>
    <w:pPr>
      <w:ind w:left="1415" w:hanging="283"/>
      <w:contextualSpacing/>
    </w:pPr>
  </w:style>
  <w:style w:type="paragraph" w:styleId="ListBullet">
    <w:name w:val="List Bullet"/>
    <w:basedOn w:val="Normal"/>
    <w:uiPriority w:val="99"/>
    <w:semiHidden/>
    <w:unhideWhenUsed/>
    <w:rsid w:val="00E93FC7"/>
    <w:pPr>
      <w:numPr>
        <w:numId w:val="6"/>
      </w:numPr>
      <w:contextualSpacing/>
    </w:pPr>
  </w:style>
  <w:style w:type="paragraph" w:styleId="ListBullet2">
    <w:name w:val="List Bullet 2"/>
    <w:basedOn w:val="Normal"/>
    <w:uiPriority w:val="99"/>
    <w:semiHidden/>
    <w:unhideWhenUsed/>
    <w:rsid w:val="00E93FC7"/>
    <w:pPr>
      <w:numPr>
        <w:numId w:val="7"/>
      </w:numPr>
      <w:contextualSpacing/>
    </w:pPr>
  </w:style>
  <w:style w:type="paragraph" w:styleId="ListBullet3">
    <w:name w:val="List Bullet 3"/>
    <w:basedOn w:val="Normal"/>
    <w:uiPriority w:val="99"/>
    <w:semiHidden/>
    <w:unhideWhenUsed/>
    <w:rsid w:val="00E93FC7"/>
    <w:pPr>
      <w:numPr>
        <w:numId w:val="8"/>
      </w:numPr>
      <w:contextualSpacing/>
    </w:pPr>
  </w:style>
  <w:style w:type="paragraph" w:styleId="ListBullet4">
    <w:name w:val="List Bullet 4"/>
    <w:basedOn w:val="Normal"/>
    <w:uiPriority w:val="99"/>
    <w:semiHidden/>
    <w:unhideWhenUsed/>
    <w:rsid w:val="00E93FC7"/>
    <w:pPr>
      <w:numPr>
        <w:numId w:val="9"/>
      </w:numPr>
      <w:contextualSpacing/>
    </w:pPr>
  </w:style>
  <w:style w:type="paragraph" w:styleId="ListBullet5">
    <w:name w:val="List Bullet 5"/>
    <w:basedOn w:val="Normal"/>
    <w:uiPriority w:val="99"/>
    <w:semiHidden/>
    <w:unhideWhenUsed/>
    <w:rsid w:val="00E93FC7"/>
    <w:pPr>
      <w:numPr>
        <w:numId w:val="10"/>
      </w:numPr>
      <w:contextualSpacing/>
    </w:pPr>
  </w:style>
  <w:style w:type="paragraph" w:styleId="ListContinue">
    <w:name w:val="List Continue"/>
    <w:basedOn w:val="Normal"/>
    <w:uiPriority w:val="99"/>
    <w:semiHidden/>
    <w:unhideWhenUsed/>
    <w:rsid w:val="00E93FC7"/>
    <w:pPr>
      <w:spacing w:after="120"/>
      <w:ind w:left="283"/>
      <w:contextualSpacing/>
    </w:pPr>
  </w:style>
  <w:style w:type="paragraph" w:styleId="ListContinue2">
    <w:name w:val="List Continue 2"/>
    <w:basedOn w:val="Normal"/>
    <w:uiPriority w:val="99"/>
    <w:semiHidden/>
    <w:unhideWhenUsed/>
    <w:rsid w:val="00E93FC7"/>
    <w:pPr>
      <w:spacing w:after="120"/>
      <w:ind w:left="566"/>
      <w:contextualSpacing/>
    </w:pPr>
  </w:style>
  <w:style w:type="paragraph" w:styleId="ListContinue3">
    <w:name w:val="List Continue 3"/>
    <w:basedOn w:val="Normal"/>
    <w:uiPriority w:val="99"/>
    <w:semiHidden/>
    <w:unhideWhenUsed/>
    <w:rsid w:val="00E93FC7"/>
    <w:pPr>
      <w:spacing w:after="120"/>
      <w:ind w:left="849"/>
      <w:contextualSpacing/>
    </w:pPr>
  </w:style>
  <w:style w:type="paragraph" w:styleId="ListContinue4">
    <w:name w:val="List Continue 4"/>
    <w:basedOn w:val="Normal"/>
    <w:uiPriority w:val="99"/>
    <w:semiHidden/>
    <w:unhideWhenUsed/>
    <w:rsid w:val="00E93FC7"/>
    <w:pPr>
      <w:spacing w:after="120"/>
      <w:ind w:left="1132"/>
      <w:contextualSpacing/>
    </w:pPr>
  </w:style>
  <w:style w:type="paragraph" w:styleId="ListContinue5">
    <w:name w:val="List Continue 5"/>
    <w:basedOn w:val="Normal"/>
    <w:uiPriority w:val="99"/>
    <w:semiHidden/>
    <w:unhideWhenUsed/>
    <w:rsid w:val="00E93FC7"/>
    <w:pPr>
      <w:spacing w:after="120"/>
      <w:ind w:left="1415"/>
      <w:contextualSpacing/>
    </w:pPr>
  </w:style>
  <w:style w:type="paragraph" w:styleId="ListNumber">
    <w:name w:val="List Number"/>
    <w:basedOn w:val="Normal"/>
    <w:uiPriority w:val="99"/>
    <w:semiHidden/>
    <w:unhideWhenUsed/>
    <w:rsid w:val="00E93FC7"/>
    <w:pPr>
      <w:numPr>
        <w:numId w:val="11"/>
      </w:numPr>
      <w:contextualSpacing/>
    </w:pPr>
  </w:style>
  <w:style w:type="paragraph" w:styleId="ListNumber2">
    <w:name w:val="List Number 2"/>
    <w:basedOn w:val="Normal"/>
    <w:uiPriority w:val="99"/>
    <w:semiHidden/>
    <w:unhideWhenUsed/>
    <w:rsid w:val="00E93FC7"/>
    <w:pPr>
      <w:numPr>
        <w:numId w:val="12"/>
      </w:numPr>
      <w:contextualSpacing/>
    </w:pPr>
  </w:style>
  <w:style w:type="paragraph" w:styleId="ListNumber3">
    <w:name w:val="List Number 3"/>
    <w:basedOn w:val="Normal"/>
    <w:uiPriority w:val="99"/>
    <w:semiHidden/>
    <w:unhideWhenUsed/>
    <w:rsid w:val="00E93FC7"/>
    <w:pPr>
      <w:numPr>
        <w:numId w:val="13"/>
      </w:numPr>
      <w:contextualSpacing/>
    </w:pPr>
  </w:style>
  <w:style w:type="paragraph" w:styleId="ListNumber4">
    <w:name w:val="List Number 4"/>
    <w:basedOn w:val="Normal"/>
    <w:uiPriority w:val="99"/>
    <w:semiHidden/>
    <w:unhideWhenUsed/>
    <w:rsid w:val="00E93FC7"/>
    <w:pPr>
      <w:numPr>
        <w:numId w:val="14"/>
      </w:numPr>
      <w:contextualSpacing/>
    </w:pPr>
  </w:style>
  <w:style w:type="paragraph" w:styleId="ListNumber5">
    <w:name w:val="List Number 5"/>
    <w:basedOn w:val="Normal"/>
    <w:uiPriority w:val="99"/>
    <w:semiHidden/>
    <w:unhideWhenUsed/>
    <w:rsid w:val="00E93FC7"/>
    <w:pPr>
      <w:numPr>
        <w:numId w:val="15"/>
      </w:numPr>
      <w:contextualSpacing/>
    </w:pPr>
  </w:style>
  <w:style w:type="paragraph" w:styleId="MacroText">
    <w:name w:val="macro"/>
    <w:link w:val="MacroTextChar"/>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93FC7"/>
    <w:rPr>
      <w:rFonts w:ascii="Consolas" w:eastAsiaTheme="minorEastAsia" w:hAnsi="Consolas" w:cs="Consolas"/>
      <w:sz w:val="20"/>
      <w:szCs w:val="20"/>
    </w:rPr>
  </w:style>
  <w:style w:type="table" w:styleId="MediumGrid1">
    <w:name w:val="Medium Grid 1"/>
    <w:basedOn w:val="TableNormal"/>
    <w:uiPriority w:val="67"/>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93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E93FC7"/>
    <w:rPr>
      <w:rFonts w:ascii="Times New Roman" w:hAnsi="Times New Roman" w:cs="Times New Roman"/>
      <w:szCs w:val="24"/>
    </w:rPr>
  </w:style>
  <w:style w:type="paragraph" w:styleId="NormalIndent">
    <w:name w:val="Normal Indent"/>
    <w:basedOn w:val="Normal"/>
    <w:uiPriority w:val="99"/>
    <w:semiHidden/>
    <w:unhideWhenUsed/>
    <w:rsid w:val="00E93FC7"/>
    <w:pPr>
      <w:ind w:left="720"/>
    </w:pPr>
  </w:style>
  <w:style w:type="paragraph" w:customStyle="1" w:styleId="OpiQuotSub">
    <w:name w:val="Opi_Quot_Sub"/>
    <w:basedOn w:val="JuQuotSub"/>
    <w:uiPriority w:val="49"/>
    <w:semiHidden/>
    <w:qFormat/>
    <w:rsid w:val="00B56013"/>
  </w:style>
  <w:style w:type="paragraph" w:customStyle="1" w:styleId="OpiTranslation">
    <w:name w:val="Opi_Translation"/>
    <w:basedOn w:val="Normal"/>
    <w:next w:val="OpiPara"/>
    <w:uiPriority w:val="40"/>
    <w:semiHidden/>
    <w:qFormat/>
    <w:rsid w:val="00B56013"/>
    <w:pPr>
      <w:jc w:val="center"/>
      <w:outlineLvl w:val="0"/>
    </w:pPr>
    <w:rPr>
      <w:i/>
    </w:rPr>
  </w:style>
  <w:style w:type="character" w:styleId="PlaceholderText">
    <w:name w:val="Placeholder Text"/>
    <w:basedOn w:val="DefaultParagraphFont"/>
    <w:uiPriority w:val="99"/>
    <w:semiHidden/>
    <w:rsid w:val="00B56013"/>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unhideWhenUsed/>
    <w:rsid w:val="00E93FC7"/>
    <w:rPr>
      <w:rFonts w:ascii="Consolas" w:hAnsi="Consolas" w:cs="Consolas"/>
      <w:sz w:val="21"/>
      <w:szCs w:val="21"/>
    </w:rPr>
  </w:style>
  <w:style w:type="character" w:customStyle="1" w:styleId="PlainTextChar">
    <w:name w:val="Plain Text Char"/>
    <w:basedOn w:val="DefaultParagraphFont"/>
    <w:link w:val="PlainText"/>
    <w:uiPriority w:val="99"/>
    <w:semiHidden/>
    <w:rsid w:val="00E93FC7"/>
    <w:rPr>
      <w:rFonts w:ascii="Consolas" w:eastAsiaTheme="minorEastAsia" w:hAnsi="Consolas" w:cs="Consolas"/>
      <w:sz w:val="21"/>
      <w:szCs w:val="21"/>
    </w:rPr>
  </w:style>
  <w:style w:type="paragraph" w:styleId="Salutation">
    <w:name w:val="Salutation"/>
    <w:basedOn w:val="Normal"/>
    <w:next w:val="Normal"/>
    <w:link w:val="SalutationChar"/>
    <w:uiPriority w:val="99"/>
    <w:semiHidden/>
    <w:unhideWhenUsed/>
    <w:rsid w:val="00E93FC7"/>
  </w:style>
  <w:style w:type="character" w:customStyle="1" w:styleId="SalutationChar">
    <w:name w:val="Salutation Char"/>
    <w:basedOn w:val="DefaultParagraphFont"/>
    <w:link w:val="Salutation"/>
    <w:uiPriority w:val="99"/>
    <w:semiHidden/>
    <w:rsid w:val="00E93FC7"/>
    <w:rPr>
      <w:rFonts w:eastAsiaTheme="minorEastAsia"/>
      <w:sz w:val="24"/>
    </w:rPr>
  </w:style>
  <w:style w:type="paragraph" w:styleId="Signature">
    <w:name w:val="Signature"/>
    <w:basedOn w:val="Normal"/>
    <w:link w:val="SignatureChar"/>
    <w:uiPriority w:val="99"/>
    <w:semiHidden/>
    <w:unhideWhenUsed/>
    <w:rsid w:val="00E93FC7"/>
    <w:pPr>
      <w:ind w:left="4252"/>
    </w:pPr>
  </w:style>
  <w:style w:type="character" w:customStyle="1" w:styleId="SignatureChar">
    <w:name w:val="Signature Char"/>
    <w:basedOn w:val="DefaultParagraphFont"/>
    <w:link w:val="Signature"/>
    <w:uiPriority w:val="99"/>
    <w:semiHidden/>
    <w:rsid w:val="00E93FC7"/>
    <w:rPr>
      <w:rFonts w:eastAsiaTheme="minorEastAsia"/>
      <w:sz w:val="24"/>
    </w:rPr>
  </w:style>
  <w:style w:type="table" w:styleId="Table3Deffects1">
    <w:name w:val="Table 3D effects 1"/>
    <w:basedOn w:val="TableNormal"/>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B5601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93FC7"/>
    <w:pPr>
      <w:ind w:left="240" w:hanging="240"/>
    </w:pPr>
  </w:style>
  <w:style w:type="paragraph" w:styleId="TableofFigures">
    <w:name w:val="table of figures"/>
    <w:basedOn w:val="Normal"/>
    <w:next w:val="Normal"/>
    <w:uiPriority w:val="99"/>
    <w:semiHidden/>
    <w:unhideWhenUsed/>
    <w:rsid w:val="00E93FC7"/>
  </w:style>
  <w:style w:type="table" w:styleId="TableProfessional">
    <w:name w:val="Table Professional"/>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B5601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TOC1">
    <w:name w:val="toc 1"/>
    <w:basedOn w:val="Normal"/>
    <w:next w:val="Normal"/>
    <w:autoRedefine/>
    <w:uiPriority w:val="99"/>
    <w:semiHidden/>
    <w:rsid w:val="00B5601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B5601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B5601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B56013"/>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B56013"/>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B5601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B5601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39"/>
    <w:semiHidden/>
    <w:unhideWhenUsed/>
    <w:rsid w:val="00E93FC7"/>
    <w:pPr>
      <w:spacing w:after="100"/>
      <w:ind w:left="1680"/>
    </w:pPr>
  </w:style>
  <w:style w:type="paragraph" w:styleId="TOC9">
    <w:name w:val="toc 9"/>
    <w:basedOn w:val="Normal"/>
    <w:next w:val="Normal"/>
    <w:autoRedefine/>
    <w:uiPriority w:val="39"/>
    <w:semiHidden/>
    <w:unhideWhenUsed/>
    <w:rsid w:val="00E93FC7"/>
    <w:pPr>
      <w:spacing w:after="100"/>
      <w:ind w:left="1920"/>
    </w:pPr>
  </w:style>
  <w:style w:type="paragraph" w:customStyle="1" w:styleId="ECHRFooter">
    <w:name w:val="ECHR_Footer"/>
    <w:aliases w:val="Footer_ECHR"/>
    <w:basedOn w:val="Footer"/>
    <w:uiPriority w:val="57"/>
    <w:semiHidden/>
    <w:rsid w:val="00B56013"/>
    <w:pPr>
      <w:jc w:val="left"/>
    </w:pPr>
    <w:rPr>
      <w:sz w:val="8"/>
    </w:rPr>
  </w:style>
  <w:style w:type="paragraph" w:styleId="NoteHeading">
    <w:name w:val="Note Heading"/>
    <w:basedOn w:val="Normal"/>
    <w:next w:val="Normal"/>
    <w:link w:val="NoteHeadingChar"/>
    <w:uiPriority w:val="99"/>
    <w:semiHidden/>
    <w:unhideWhenUsed/>
    <w:rsid w:val="00B56013"/>
  </w:style>
  <w:style w:type="paragraph" w:styleId="Footer">
    <w:name w:val="footer"/>
    <w:basedOn w:val="Normal"/>
    <w:link w:val="FooterChar"/>
    <w:uiPriority w:val="57"/>
    <w:semiHidden/>
    <w:rsid w:val="00B56013"/>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B56013"/>
    <w:rPr>
      <w:sz w:val="24"/>
      <w:lang w:val="en-GB"/>
    </w:rPr>
  </w:style>
  <w:style w:type="paragraph" w:customStyle="1" w:styleId="ECHRFooterLine">
    <w:name w:val="ECHR_Footer_Line"/>
    <w:aliases w:val="Footer_Line"/>
    <w:basedOn w:val="Normal"/>
    <w:next w:val="ECHRFooter"/>
    <w:uiPriority w:val="57"/>
    <w:semiHidden/>
    <w:rsid w:val="00B56013"/>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TableNormal"/>
    <w:uiPriority w:val="99"/>
    <w:rsid w:val="00B5601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NoteHeadingChar">
    <w:name w:val="Note Heading Char"/>
    <w:basedOn w:val="DefaultParagraphFont"/>
    <w:link w:val="NoteHeading"/>
    <w:uiPriority w:val="99"/>
    <w:semiHidden/>
    <w:rsid w:val="00B56013"/>
    <w:rPr>
      <w:rFonts w:eastAsiaTheme="minorEastAsia"/>
      <w:sz w:val="24"/>
      <w:lang w:val="en-GB"/>
    </w:rPr>
  </w:style>
  <w:style w:type="paragraph" w:customStyle="1" w:styleId="JuHeaderLandscape">
    <w:name w:val="Ju_Header_Landscape"/>
    <w:basedOn w:val="ECHRHeader"/>
    <w:uiPriority w:val="4"/>
    <w:qFormat/>
    <w:rsid w:val="00B56013"/>
    <w:pPr>
      <w:tabs>
        <w:tab w:val="clear" w:pos="3686"/>
        <w:tab w:val="clear" w:pos="7371"/>
        <w:tab w:val="center" w:pos="6146"/>
        <w:tab w:val="right" w:pos="12293"/>
      </w:tabs>
    </w:pPr>
  </w:style>
  <w:style w:type="character" w:customStyle="1" w:styleId="JuParaCar">
    <w:name w:val="Ju_Para Car"/>
    <w:link w:val="ECHRPara"/>
    <w:uiPriority w:val="12"/>
    <w:rsid w:val="00CB282C"/>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850E52-C6A0-4FB0-86E4-D0C92D24EDAB}">
  <ds:schemaRefs>
    <ds:schemaRef ds:uri="http://schemas.openxmlformats.org/officeDocument/2006/bibliography"/>
  </ds:schemaRefs>
</ds:datastoreItem>
</file>

<file path=customXml/itemProps2.xml><?xml version="1.0" encoding="utf-8"?>
<ds:datastoreItem xmlns:ds="http://schemas.openxmlformats.org/officeDocument/2006/customXml" ds:itemID="{02C6353D-A7AB-4625-BECA-58CEE86D2DE7}"/>
</file>

<file path=customXml/itemProps3.xml><?xml version="1.0" encoding="utf-8"?>
<ds:datastoreItem xmlns:ds="http://schemas.openxmlformats.org/officeDocument/2006/customXml" ds:itemID="{E72922DD-885B-4C63-BB25-7193599ECA2F}"/>
</file>

<file path=customXml/itemProps4.xml><?xml version="1.0" encoding="utf-8"?>
<ds:datastoreItem xmlns:ds="http://schemas.openxmlformats.org/officeDocument/2006/customXml" ds:itemID="{4BCD4159-4665-49CD-AB31-AE69592C10BE}"/>
</file>

<file path=docProps/app.xml><?xml version="1.0" encoding="utf-8"?>
<Properties xmlns="http://schemas.openxmlformats.org/officeDocument/2006/extended-properties" xmlns:vt="http://schemas.openxmlformats.org/officeDocument/2006/docPropsVTypes">
  <Template>Normal.dotm</Template>
  <TotalTime>0</TotalTime>
  <Pages>1</Pages>
  <Words>1551</Words>
  <Characters>8842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2021-07-06T13:27:00Z</dcterms:created>
  <dcterms:modified xsi:type="dcterms:W3CDTF">2021-07-06T13:27:00Z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18357/11</vt:lpwstr>
  </property>
  <property fmtid="{D5CDD505-2E9C-101B-9397-08002B2CF9AE}" pid="4" name="CASEID">
    <vt:lpwstr>707921</vt:lpwstr>
  </property>
  <property fmtid="{D5CDD505-2E9C-101B-9397-08002B2CF9AE}" pid="5" name="ContentTypeId">
    <vt:lpwstr>0x010100558EB02BDB9E204AB350EDD385B68E10</vt:lpwstr>
  </property>
</Properties>
</file>