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621DC8" w14:textId="0CEC3417" w:rsidR="00A026FD" w:rsidRDefault="00697188" w:rsidP="00697188">
      <w:pPr>
        <w:pStyle w:val="DecHTitle"/>
      </w:pPr>
      <w:r>
        <w:t>EURO</w:t>
      </w:r>
      <w:r>
        <w:t>PEJSKI TRYBUNAŁ PRAW CZŁOWIEKA</w:t>
      </w:r>
    </w:p>
    <w:p w14:paraId="731D7CC3" w14:textId="77777777" w:rsidR="00A026FD" w:rsidRDefault="00A026FD">
      <w:pPr>
        <w:jc w:val="center"/>
        <w:rPr>
          <w:sz w:val="4"/>
        </w:rPr>
      </w:pPr>
    </w:p>
    <w:p w14:paraId="4D482F76" w14:textId="1319F59F" w:rsidR="00A026FD" w:rsidRDefault="0047228E">
      <w:pPr>
        <w:pStyle w:val="DecHTitle"/>
      </w:pPr>
      <w:r>
        <w:t>DRUGA</w:t>
      </w:r>
      <w:r w:rsidR="00B30794">
        <w:t xml:space="preserve"> SEKCJA</w:t>
      </w:r>
    </w:p>
    <w:p w14:paraId="6551ADFD" w14:textId="77777777" w:rsidR="00A026FD" w:rsidRDefault="0047228E">
      <w:pPr>
        <w:pStyle w:val="DecHTitle"/>
      </w:pPr>
      <w:r>
        <w:t>DECYZJA</w:t>
      </w:r>
    </w:p>
    <w:p w14:paraId="098CA0E0" w14:textId="77777777" w:rsidR="00A026FD" w:rsidRDefault="0047228E">
      <w:pPr>
        <w:pStyle w:val="P68B1DB1-ECHRTitleCentre21"/>
      </w:pPr>
      <w:r>
        <w:t>Skarga nr 52538/09</w:t>
      </w:r>
      <w:r>
        <w:br/>
        <w:t xml:space="preserve"> Bayram TAŞDEMİR i Inni</w:t>
      </w:r>
      <w:r>
        <w:br/>
        <w:t xml:space="preserve"> przeciwko Turcji</w:t>
      </w:r>
    </w:p>
    <w:p w14:paraId="73045C4E" w14:textId="77777777" w:rsidR="00A026FD" w:rsidRDefault="00A026FD">
      <w:pPr>
        <w:pStyle w:val="ECHRPara"/>
        <w:rPr>
          <w:sz w:val="2"/>
        </w:rPr>
      </w:pPr>
    </w:p>
    <w:p w14:paraId="09561F9D" w14:textId="330EE8C3" w:rsidR="00A026FD" w:rsidRDefault="0047228E">
      <w:pPr>
        <w:pStyle w:val="ECHRPara"/>
      </w:pPr>
      <w:r>
        <w:t>Europejski Trybunał Praw Człowieka (</w:t>
      </w:r>
      <w:r w:rsidR="00697188">
        <w:t>Druga Sekcja</w:t>
      </w:r>
      <w:r>
        <w:t>), zasiadając w dniu 12 marca 2019 r. jako Izba w składzie:</w:t>
      </w:r>
    </w:p>
    <w:p w14:paraId="48078681" w14:textId="091FC7AF" w:rsidR="00A026FD" w:rsidRDefault="00853505">
      <w:pPr>
        <w:pStyle w:val="ECHRDecisionBody"/>
      </w:pPr>
      <w:r>
        <w:tab/>
      </w:r>
      <w:r w:rsidR="0047228E">
        <w:t>Robert Spano,</w:t>
      </w:r>
      <w:r w:rsidR="0047228E">
        <w:rPr>
          <w:i/>
        </w:rPr>
        <w:t xml:space="preserve"> Przewodniczący,</w:t>
      </w:r>
      <w:r w:rsidR="0047228E">
        <w:rPr>
          <w:i/>
        </w:rPr>
        <w:br/>
      </w:r>
      <w:r w:rsidR="0047228E">
        <w:tab/>
        <w:t>Paul Lemmens,</w:t>
      </w:r>
      <w:r w:rsidR="0047228E">
        <w:rPr>
          <w:i/>
        </w:rPr>
        <w:br/>
      </w:r>
      <w:r w:rsidR="0047228E">
        <w:tab/>
        <w:t>Işil Karakaş,</w:t>
      </w:r>
    </w:p>
    <w:p w14:paraId="63BFCCBE" w14:textId="62B5E511" w:rsidR="00A026FD" w:rsidRDefault="00B25D71">
      <w:pPr>
        <w:pStyle w:val="ECHRDecisionBody"/>
      </w:pPr>
      <w:r>
        <w:tab/>
      </w:r>
      <w:r w:rsidR="0047228E">
        <w:t>Julia Laffranque,</w:t>
      </w:r>
      <w:r w:rsidR="0047228E">
        <w:rPr>
          <w:i/>
        </w:rPr>
        <w:br/>
      </w:r>
      <w:r w:rsidR="0047228E">
        <w:tab/>
        <w:t>Valeriu Griţco,</w:t>
      </w:r>
      <w:r w:rsidR="0047228E">
        <w:rPr>
          <w:i/>
        </w:rPr>
        <w:br/>
      </w:r>
      <w:r w:rsidR="0047228E">
        <w:tab/>
        <w:t>Jon Fridrik Kjølbro,</w:t>
      </w:r>
      <w:r w:rsidR="0047228E">
        <w:rPr>
          <w:i/>
        </w:rPr>
        <w:br/>
      </w:r>
      <w:r w:rsidR="0047228E">
        <w:tab/>
        <w:t>Stéphanie Mourou-Vikström</w:t>
      </w:r>
      <w:r w:rsidR="0047228E">
        <w:rPr>
          <w:i/>
        </w:rPr>
        <w:t xml:space="preserve">, </w:t>
      </w:r>
      <w:r w:rsidR="002A5314">
        <w:rPr>
          <w:i/>
        </w:rPr>
        <w:t>S</w:t>
      </w:r>
      <w:r w:rsidR="0047228E">
        <w:rPr>
          <w:i/>
        </w:rPr>
        <w:t>ędziowie</w:t>
      </w:r>
      <w:r w:rsidR="0047228E">
        <w:rPr>
          <w:i/>
        </w:rPr>
        <w:br/>
      </w:r>
      <w:r w:rsidR="0047228E">
        <w:t xml:space="preserve"> </w:t>
      </w:r>
      <w:r w:rsidR="002A5314">
        <w:t>oraz</w:t>
      </w:r>
      <w:r w:rsidR="0047228E">
        <w:t xml:space="preserve"> Stanley Naismith, </w:t>
      </w:r>
      <w:r w:rsidR="0047228E">
        <w:rPr>
          <w:i/>
        </w:rPr>
        <w:t>Kanclerz Sekcji,</w:t>
      </w:r>
    </w:p>
    <w:p w14:paraId="501E729C" w14:textId="77777777" w:rsidR="00A026FD" w:rsidRDefault="0047228E">
      <w:pPr>
        <w:pStyle w:val="ECHRPara"/>
      </w:pPr>
      <w:r>
        <w:t>Mając na uwadze powyższą skargę złożoną w dniu 18 września 2009 r.,</w:t>
      </w:r>
    </w:p>
    <w:p w14:paraId="3B1F9F7E" w14:textId="66B40CD6" w:rsidR="00A026FD" w:rsidRDefault="0047228E">
      <w:pPr>
        <w:pStyle w:val="ECHRPara"/>
      </w:pPr>
      <w:r>
        <w:t xml:space="preserve">Mając na uwadze złożoną przez pozwany Rząd </w:t>
      </w:r>
      <w:r w:rsidR="007C0105">
        <w:t xml:space="preserve">deklarację </w:t>
      </w:r>
      <w:r>
        <w:t>w dniu 23</w:t>
      </w:r>
      <w:r w:rsidR="004212CB">
        <w:t> </w:t>
      </w:r>
      <w:r>
        <w:t>stycznia 2018 r.</w:t>
      </w:r>
      <w:r w:rsidR="007C0105">
        <w:t xml:space="preserve">, </w:t>
      </w:r>
      <w:r>
        <w:t>w której wezwał Trybunał do skreślenia skargi z listy spraw, oraz odpowiedź skarżących na tę deklarację,</w:t>
      </w:r>
    </w:p>
    <w:p w14:paraId="47366FED" w14:textId="77777777" w:rsidR="00A026FD" w:rsidRDefault="0047228E">
      <w:pPr>
        <w:pStyle w:val="ECHRPara"/>
      </w:pPr>
      <w:r>
        <w:t>Po naradzie postanawia, co następuje:</w:t>
      </w:r>
    </w:p>
    <w:p w14:paraId="0E70B80F" w14:textId="32371435" w:rsidR="00A026FD" w:rsidRDefault="0047228E">
      <w:pPr>
        <w:pStyle w:val="ECHRTitle1"/>
      </w:pPr>
      <w:r>
        <w:t>FAKTY I P</w:t>
      </w:r>
      <w:r w:rsidR="00CA2EF1">
        <w:t>ROCEDURA</w:t>
      </w:r>
    </w:p>
    <w:p w14:paraId="1551CC94" w14:textId="2EF8B8CE" w:rsidR="00A026FD" w:rsidRDefault="0047228E">
      <w:pPr>
        <w:pStyle w:val="ECHRPara"/>
      </w:pPr>
      <w:r>
        <w:t xml:space="preserve">1. </w:t>
      </w:r>
      <w:r w:rsidR="00853505">
        <w:tab/>
      </w:r>
      <w:r>
        <w:t>Lista skarżących znajduje się w załączniku.</w:t>
      </w:r>
    </w:p>
    <w:p w14:paraId="7E21F4EC" w14:textId="094A4E56" w:rsidR="00A026FD" w:rsidRDefault="0047228E">
      <w:pPr>
        <w:pStyle w:val="ECHRPara"/>
      </w:pPr>
      <w:r>
        <w:t xml:space="preserve">2. Rząd turecki („Rząd”) był reprezentowany przez swojego </w:t>
      </w:r>
      <w:r w:rsidR="00D1125F">
        <w:t>P</w:t>
      </w:r>
      <w:r>
        <w:t>ełnomocnika.</w:t>
      </w:r>
    </w:p>
    <w:p w14:paraId="77BDF38C" w14:textId="049A65C5" w:rsidR="00A026FD" w:rsidRDefault="0047228E">
      <w:pPr>
        <w:pStyle w:val="ECHRPara"/>
      </w:pPr>
      <w:r>
        <w:t xml:space="preserve">3. İlkay Taşdemir, syn dwóch </w:t>
      </w:r>
      <w:r w:rsidR="005A4C8B">
        <w:t xml:space="preserve">pierwszych </w:t>
      </w:r>
      <w:r>
        <w:t>skarżących i brat pozostałych skarżących, stracił życie w dniu 6 sierpnia 2002 r. po wypadnięciu z okna na</w:t>
      </w:r>
      <w:r w:rsidR="004212CB">
        <w:t> </w:t>
      </w:r>
      <w:r>
        <w:t xml:space="preserve">czwartym piętrze </w:t>
      </w:r>
      <w:r w:rsidR="00B25D71">
        <w:t>posterunku</w:t>
      </w:r>
      <w:r>
        <w:t xml:space="preserve"> policji w Gayrettepe w Stambule, gdzie został zabrany po zatrzymaniu. Zawiadomienie złożone przez skarżących do</w:t>
      </w:r>
      <w:r w:rsidR="004212CB">
        <w:t> </w:t>
      </w:r>
      <w:r>
        <w:t xml:space="preserve">prokuratury, że ich krewny był źle traktowany i </w:t>
      </w:r>
      <w:r w:rsidR="00B25D71">
        <w:t>był ofiarą zabójstwa</w:t>
      </w:r>
      <w:r>
        <w:t xml:space="preserve">, </w:t>
      </w:r>
      <w:r>
        <w:lastRenderedPageBreak/>
        <w:t>zostało odrzucone przez prokuratora, który uznał, że krewny skarżących sam odebrał sobie życie. Następnie kilku funkcjonariuszy policji zostało postawionych przed sądem za zaniedbanie swoich obowiązków, polegające na niepowstrzymaniu krewnego skarżących przed popełnieniem samobójstwa. Zostali uniewinnieni z powodu braku wystarczających dowodów. Podczas gdy postępowanie apelacyjne dotyczące apelacji wniesionej przez skarżących od wyroku uniewinniającego policjantów było w toku przed Sądem Kasacyjnym, postępowanie karne uległo przedawnieniu i zostało umorzone.</w:t>
      </w:r>
    </w:p>
    <w:p w14:paraId="4D353EC4" w14:textId="77777777" w:rsidR="00A026FD" w:rsidRDefault="0047228E">
      <w:pPr>
        <w:pStyle w:val="ECHRPara"/>
      </w:pPr>
      <w:r>
        <w:t>4.</w:t>
      </w:r>
      <w:r>
        <w:rPr>
          <w:rFonts w:ascii="Times New Roman" w:hAnsi="Times New Roman" w:cs="Times New Roman"/>
        </w:rPr>
        <w:t xml:space="preserve"> W związku z tym zdarzeniem prowadzone było również postępowanie dyscyplinarne wobec właściwych funkcjonariuszy policji. W wyniku śledztwa stwierdzono, że policjanci popełnili, oprócz innych przewinień dyscyplinarnych, karalne zaniedbania w ocenie sytuacji i przy wykonywaniu swoich obowiązków. Zastosowano wobec nich karę krótkotrwałego zawieszenia uprawnień na okres sześciu miesięcy.</w:t>
      </w:r>
    </w:p>
    <w:p w14:paraId="0EB5B741" w14:textId="215C544A" w:rsidR="00A026FD" w:rsidRDefault="0047228E">
      <w:pPr>
        <w:pStyle w:val="ECHRPara"/>
      </w:pPr>
      <w:r>
        <w:t xml:space="preserve">5. </w:t>
      </w:r>
      <w:r w:rsidR="00517FBB" w:rsidRPr="00517FBB">
        <w:t>Skarga została zakomunikowana Rządowi</w:t>
      </w:r>
      <w:r>
        <w:rPr>
          <w:color w:val="0000FF"/>
        </w:rPr>
        <w:t>.</w:t>
      </w:r>
    </w:p>
    <w:p w14:paraId="6C43E81E" w14:textId="77777777" w:rsidR="00A026FD" w:rsidRDefault="0047228E">
      <w:pPr>
        <w:pStyle w:val="ECHRTitle1"/>
      </w:pPr>
      <w:r>
        <w:t>PRAWO</w:t>
      </w:r>
    </w:p>
    <w:p w14:paraId="042CA6E3" w14:textId="4B823C87" w:rsidR="00A026FD" w:rsidRDefault="0047228E">
      <w:pPr>
        <w:pStyle w:val="ECHRPara"/>
      </w:pPr>
      <w:r>
        <w:t xml:space="preserve">6. Skarżący </w:t>
      </w:r>
      <w:r w:rsidR="00201890">
        <w:t xml:space="preserve">zarzucili </w:t>
      </w:r>
      <w:r>
        <w:t>na podstawie art. 2 Konwencji</w:t>
      </w:r>
      <w:r w:rsidR="0075680D">
        <w:t>, oprócz innych artykułów</w:t>
      </w:r>
      <w:r w:rsidR="00201890">
        <w:t>,</w:t>
      </w:r>
      <w:r>
        <w:t xml:space="preserve"> że władze pozwanego Państwa dopuściły się zaniedbania i</w:t>
      </w:r>
      <w:r w:rsidR="004212CB">
        <w:t> </w:t>
      </w:r>
      <w:r>
        <w:t>nie</w:t>
      </w:r>
      <w:r w:rsidR="004212CB">
        <w:t> </w:t>
      </w:r>
      <w:r>
        <w:t>zapewniły ochrony prawa do życia ich krewnego.</w:t>
      </w:r>
    </w:p>
    <w:p w14:paraId="400AF9CD" w14:textId="18FE3C82" w:rsidR="00A026FD" w:rsidRDefault="0047228E">
      <w:pPr>
        <w:pStyle w:val="ECHRPara"/>
      </w:pPr>
      <w:r>
        <w:t xml:space="preserve">7. Po nieudanych próbach zawarcia ugody, </w:t>
      </w:r>
      <w:r w:rsidR="00763A13">
        <w:t xml:space="preserve">pismem z dnia 23 stycznia 2018 r., </w:t>
      </w:r>
      <w:r>
        <w:t>Rząd poinformował Trybunał, że proponuje złożenie deklaracji jednostronnej w celu rozwiązania kwestii podniesionej w skardze. Ponadto zwrócił się do Trybunału o skreślenie skargi zgodnie z art. 37 Konwencji.</w:t>
      </w:r>
    </w:p>
    <w:p w14:paraId="001E152D" w14:textId="77777777" w:rsidR="00A026FD" w:rsidRDefault="0047228E">
      <w:pPr>
        <w:pStyle w:val="ECHRPara"/>
      </w:pPr>
      <w:r>
        <w:t>Deklaracja brzmiała następująco:</w:t>
      </w:r>
    </w:p>
    <w:p w14:paraId="1D1F21D0" w14:textId="565E687B" w:rsidR="00A026FD" w:rsidRDefault="0047228E">
      <w:pPr>
        <w:pStyle w:val="ECHRParaQuote"/>
      </w:pPr>
      <w:r>
        <w:t>„Rząd wyraża ubolewanie z powodu wystąpienia indywidualnych przypadków śmierci w policyjn</w:t>
      </w:r>
      <w:r w:rsidR="00B25D71">
        <w:t>ych</w:t>
      </w:r>
      <w:r>
        <w:t xml:space="preserve"> izb</w:t>
      </w:r>
      <w:r w:rsidR="00B25D71">
        <w:t>ach</w:t>
      </w:r>
      <w:r>
        <w:t xml:space="preserve"> zatrzymań wynikających z niedochowania obowiązku ochrony życia, jak w okolicznościach niniejszej sprawy, pomimo istniejącego ustawodawstwa tureckiego i determinacji Rządu </w:t>
      </w:r>
      <w:r w:rsidR="00E355CA">
        <w:t>do</w:t>
      </w:r>
      <w:r>
        <w:t xml:space="preserve"> zapobiegani</w:t>
      </w:r>
      <w:r w:rsidR="00E355CA">
        <w:t>a</w:t>
      </w:r>
      <w:r>
        <w:t xml:space="preserve"> takim sytuacjom.</w:t>
      </w:r>
    </w:p>
    <w:p w14:paraId="4E60E076" w14:textId="5DB54854" w:rsidR="00A026FD" w:rsidRDefault="0047228E">
      <w:pPr>
        <w:pStyle w:val="ECHRParaQuote"/>
      </w:pPr>
      <w:r>
        <w:t xml:space="preserve">Rząd przyznaje, że śmierć krewnego skarżących wynikająca z braku zapewnienia właściwych środków ochrony oraz postępowanie sądowe </w:t>
      </w:r>
      <w:r w:rsidR="00B25D71">
        <w:t>w sprawie</w:t>
      </w:r>
      <w:r>
        <w:t xml:space="preserve"> tej śmierci nie</w:t>
      </w:r>
      <w:r w:rsidR="004212CB">
        <w:t> </w:t>
      </w:r>
      <w:r>
        <w:t>spełniał</w:t>
      </w:r>
      <w:r w:rsidR="000B4C71">
        <w:t>o</w:t>
      </w:r>
      <w:r>
        <w:t xml:space="preserve"> standardów wynikających z art. 2 Konwencji. Rząd zobowiązuje się do</w:t>
      </w:r>
      <w:r w:rsidR="004212CB">
        <w:t> </w:t>
      </w:r>
      <w:r>
        <w:t>podjęcia wszelkich niezbędnych środków w celu zapewnienia w przyszłości poszanowania prawa do życia – w tym obowiązku prowadzenia takich postępowań w</w:t>
      </w:r>
      <w:r w:rsidR="004212CB">
        <w:t> </w:t>
      </w:r>
      <w:r>
        <w:t>sposób skuteczny.</w:t>
      </w:r>
    </w:p>
    <w:p w14:paraId="758FE40F" w14:textId="7D41CC15" w:rsidR="00A026FD" w:rsidRDefault="0047228E">
      <w:pPr>
        <w:pStyle w:val="ECHRParaQuote"/>
      </w:pPr>
      <w:r>
        <w:t>Rząd Turcji oświadcza, że oferuje wypłacenie łącznie skarżącym: Sevimowi Taşdemirowi, Bayramowi Taşdemirowi, İlknurze Taşdemir</w:t>
      </w:r>
      <w:r w:rsidR="003C0138">
        <w:t>owi</w:t>
      </w:r>
      <w:r>
        <w:t xml:space="preserve">, Turgayowi Taşdemirowi, Tuncayowi Taşdemirowi, Turgutowi Taşdemirowi oraz Umutowi Taşdemirowi, </w:t>
      </w:r>
      <w:bookmarkStart w:id="0" w:name="SumDetails"/>
      <w:r>
        <w:t>w celu zabezpieczenia deklaracji jednostronnej w wyżej wymienionej sprawie zawisłej przed Europejskim Trybunałem Praw Człowieka, kwoty 20.000 euro (dwadzieścia tysięcy euro) tytułem zadośćuczynienia za wszelkie szkody niemajątkowe</w:t>
      </w:r>
      <w:r w:rsidR="00E01043">
        <w:t xml:space="preserve"> </w:t>
      </w:r>
      <w:r w:rsidR="00E01043" w:rsidRPr="00E01043">
        <w:lastRenderedPageBreak/>
        <w:t>oraz tytułem pokrycia kosztów i wydatków</w:t>
      </w:r>
      <w:r>
        <w:t xml:space="preserve">, </w:t>
      </w:r>
      <w:r>
        <w:rPr>
          <w:color w:val="000000"/>
        </w:rPr>
        <w:t>plus wszelki</w:t>
      </w:r>
      <w:r w:rsidR="000444F3">
        <w:rPr>
          <w:color w:val="000000"/>
        </w:rPr>
        <w:t>ch</w:t>
      </w:r>
      <w:r>
        <w:rPr>
          <w:color w:val="000000"/>
        </w:rPr>
        <w:t xml:space="preserve"> podatk</w:t>
      </w:r>
      <w:r w:rsidR="000444F3">
        <w:rPr>
          <w:color w:val="000000"/>
        </w:rPr>
        <w:t>ów</w:t>
      </w:r>
      <w:r>
        <w:rPr>
          <w:color w:val="000000"/>
        </w:rPr>
        <w:t xml:space="preserve">, </w:t>
      </w:r>
      <w:r w:rsidR="00171AD2">
        <w:rPr>
          <w:color w:val="000000"/>
        </w:rPr>
        <w:t>jakie</w:t>
      </w:r>
      <w:r>
        <w:rPr>
          <w:color w:val="000000"/>
        </w:rPr>
        <w:t xml:space="preserve"> mogą być naliczone</w:t>
      </w:r>
      <w:bookmarkEnd w:id="0"/>
      <w:r>
        <w:t>.</w:t>
      </w:r>
    </w:p>
    <w:p w14:paraId="2C2D0172" w14:textId="731EED2E" w:rsidR="00A026FD" w:rsidRDefault="0047228E">
      <w:pPr>
        <w:pStyle w:val="ECHRParaQuote"/>
      </w:pPr>
      <w:r>
        <w:t>Kwota ta zostanie przeliczona na liry tureckie po kursie obowiązującym w dniu płatności, a zapłata zostanie dokonana w terminie trzech miesięcy od daty powiadomienia o decyzji Trybunału o skreśleniu sprawy z listy spraw. W przypadku niedokonania zapłaty tej kwoty we wspomnianym trzymiesięcznym terminie, Rząd zobowiązuje się zapłacić od tej kwoty odsetki zwykłe, aż do momentu uregulowania należności, naliczone według stopy równej m</w:t>
      </w:r>
      <w:r w:rsidR="00AD1FF0">
        <w:t>arginalnej</w:t>
      </w:r>
      <w:r>
        <w:t xml:space="preserve"> stopie procentowej Europejskiego Banku Centralnego obowiązującej w okresie zwłoki w dokonaniu zapłaty, powiększonej o trzy punkty procentowe. Zapłata tej kwoty będzie stanowić ostateczne rozstrzygnięcie sprawy.”</w:t>
      </w:r>
    </w:p>
    <w:p w14:paraId="559D3EC4" w14:textId="632A85B5" w:rsidR="00A026FD" w:rsidRDefault="0047228E">
      <w:pPr>
        <w:pStyle w:val="ECHRPara"/>
      </w:pPr>
      <w:r>
        <w:t>8. Pismem z dnia 7 marca 2018 r. skarżący wskazali, że warunki deklaracji jednostronnej</w:t>
      </w:r>
      <w:r w:rsidR="00B25D71">
        <w:t xml:space="preserve"> nie są dla nich satysfakcjonujące</w:t>
      </w:r>
      <w:r>
        <w:t>, ponieważ podobne naruszenia wciąż mają miejsce na posterunkach policji w Turcji, gdzie przetrzymywani są podejrzani</w:t>
      </w:r>
      <w:r w:rsidR="00402BC5">
        <w:t>,</w:t>
      </w:r>
      <w:r>
        <w:t xml:space="preserve"> i że nie zastosowano żadnych środków, aby im zapobiegać</w:t>
      </w:r>
      <w:r w:rsidR="00171AD2">
        <w:t>,</w:t>
      </w:r>
      <w:r>
        <w:t xml:space="preserve"> oraz że działania sądów i organów administracji podejmowane w odpowiedzi na takie zdarzenia są niezadowalające.</w:t>
      </w:r>
    </w:p>
    <w:p w14:paraId="0C7DC291" w14:textId="3D2288F4" w:rsidR="00A026FD" w:rsidRDefault="0047228E">
      <w:pPr>
        <w:pStyle w:val="ECHRPara"/>
      </w:pPr>
      <w:r>
        <w:t xml:space="preserve">9. Trybunał </w:t>
      </w:r>
      <w:r>
        <w:rPr>
          <w:color w:val="000000"/>
        </w:rPr>
        <w:t>przypomina</w:t>
      </w:r>
      <w:r>
        <w:t>, że art. 37 Konwencji stanowi, że może w każdej fazie postępowania zdecydować o skreśleniu skargi z listy spraw, jeżeli okoliczności prowadzą do jednego z wniosków określonych w ust. 1 lit. a, b lub c tego artykułu. Art. 37 ust. 1 lit. c umożliwia Trybunałowi w</w:t>
      </w:r>
      <w:r w:rsidR="004212CB">
        <w:t> </w:t>
      </w:r>
      <w:r>
        <w:t>szczególności skreślenie sprawy z listy, jeżeli:</w:t>
      </w:r>
    </w:p>
    <w:p w14:paraId="4F9DF497" w14:textId="16824D44" w:rsidR="00A026FD" w:rsidRDefault="0047228E">
      <w:pPr>
        <w:pStyle w:val="ECHRParaQuote"/>
      </w:pPr>
      <w:r>
        <w:t>„(...) z jakiejkolwiek innej przyczyny ustalonej przez Trybunał nie jest uzasadnione dalsze rozpatrywanie skargi”.</w:t>
      </w:r>
    </w:p>
    <w:p w14:paraId="79BD1C5E" w14:textId="1FDADC22" w:rsidR="00A026FD" w:rsidRDefault="0047228E">
      <w:pPr>
        <w:pStyle w:val="ECHRPara"/>
      </w:pPr>
      <w:r>
        <w:t>10. Trybunał przypomina również, że w pewnych okolicznościach może skreślić skargę na podstawie art. 37 ust. 1 lit. c na podstawie deklaracji jednostronnej pozwanego Rządu, nawet jeżeli skarżący stoją na stanowisku, że sprawa powinna być dalej rozpatrywana.</w:t>
      </w:r>
    </w:p>
    <w:p w14:paraId="66F64858" w14:textId="78676133" w:rsidR="00A026FD" w:rsidRDefault="0047228E">
      <w:pPr>
        <w:pStyle w:val="ECHRPara"/>
      </w:pPr>
      <w:r>
        <w:t xml:space="preserve">11. W tym celu Trybunał </w:t>
      </w:r>
      <w:r>
        <w:rPr>
          <w:color w:val="000000"/>
        </w:rPr>
        <w:t xml:space="preserve">zbadał </w:t>
      </w:r>
      <w:r>
        <w:t>deklarację</w:t>
      </w:r>
      <w:r>
        <w:rPr>
          <w:color w:val="000000"/>
        </w:rPr>
        <w:t xml:space="preserve"> </w:t>
      </w:r>
      <w:r>
        <w:t xml:space="preserve">w świetle zasad wynikających z jego orzecznictwa, w szczególności z wyroku </w:t>
      </w:r>
      <w:r w:rsidR="00171AD2">
        <w:t xml:space="preserve">w sprawie </w:t>
      </w:r>
      <w:r>
        <w:rPr>
          <w:i/>
        </w:rPr>
        <w:t>Tahsin Acar</w:t>
      </w:r>
      <w:r>
        <w:t xml:space="preserve"> (zob.</w:t>
      </w:r>
      <w:r w:rsidR="004212CB">
        <w:t> </w:t>
      </w:r>
      <w:r>
        <w:rPr>
          <w:i/>
        </w:rPr>
        <w:t xml:space="preserve">Tahsin Acar przeciwko Turcji </w:t>
      </w:r>
      <w:r>
        <w:t>(zagadnienie wstępne) [WI], skarga nr</w:t>
      </w:r>
      <w:r w:rsidR="004212CB">
        <w:t> </w:t>
      </w:r>
      <w:r>
        <w:t>26307/95, §§</w:t>
      </w:r>
      <w:r w:rsidR="00195AB1">
        <w:t xml:space="preserve"> 75-77, ETPC</w:t>
      </w:r>
      <w:r>
        <w:t xml:space="preserve"> 2003-VI; zob. także </w:t>
      </w:r>
      <w:r>
        <w:rPr>
          <w:i/>
        </w:rPr>
        <w:t>Jeronovičs przeciwko Łotwie</w:t>
      </w:r>
      <w:r>
        <w:t xml:space="preserve"> [WI], skarga nr 44898/10, 5 lipca 2016 r.).</w:t>
      </w:r>
    </w:p>
    <w:p w14:paraId="11423E19" w14:textId="52778C1B" w:rsidR="00A026FD" w:rsidRDefault="0047228E">
      <w:pPr>
        <w:pStyle w:val="ECHRPara"/>
        <w:rPr>
          <w:rFonts w:cstheme="minorHAnsi"/>
          <w:color w:val="000000"/>
        </w:rPr>
      </w:pPr>
      <w:r>
        <w:t xml:space="preserve">12. </w:t>
      </w:r>
      <w:r w:rsidR="00366FAE">
        <w:t xml:space="preserve">Po pierwsze </w:t>
      </w:r>
      <w:r>
        <w:t>Trybunał zauważa, że przedmiot niniejszej skargi dotyczy</w:t>
      </w:r>
      <w:r w:rsidR="00366FAE">
        <w:t xml:space="preserve"> przede wszystkim</w:t>
      </w:r>
      <w:r>
        <w:t xml:space="preserve"> pozytywnego obowiązku Państw będących stronami Konwencji do podjęcia kroków w celu ochrony prawa do życia </w:t>
      </w:r>
      <w:r>
        <w:rPr>
          <w:rFonts w:cstheme="minorHAnsi"/>
          <w:color w:val="000000"/>
        </w:rPr>
        <w:t xml:space="preserve">(zob. </w:t>
      </w:r>
      <w:r>
        <w:rPr>
          <w:i/>
        </w:rPr>
        <w:t>L.C.B. przeciwko Wielkiej Brytani</w:t>
      </w:r>
      <w:r w:rsidR="00804B59">
        <w:rPr>
          <w:i/>
        </w:rPr>
        <w:t>i</w:t>
      </w:r>
      <w:r>
        <w:t>, 9 czerwca 1998</w:t>
      </w:r>
      <w:r w:rsidR="002A20B5">
        <w:t xml:space="preserve"> r.</w:t>
      </w:r>
      <w:r>
        <w:t xml:space="preserve">, § 36, </w:t>
      </w:r>
      <w:r>
        <w:rPr>
          <w:i/>
        </w:rPr>
        <w:t>Zbiór wyroków i decyzji</w:t>
      </w:r>
      <w:r>
        <w:t xml:space="preserve"> 1998-III). W odniesieniu do przedmiotu niniejszej skargi, w szeregu swoich wyroków</w:t>
      </w:r>
      <w:r w:rsidR="00366FAE">
        <w:t xml:space="preserve"> </w:t>
      </w:r>
      <w:r>
        <w:t xml:space="preserve">Trybunał badał zarzuty braku ochrony prawa do życia osób zatrzymanych w Turcji (zob. </w:t>
      </w:r>
      <w:r w:rsidRPr="00366FAE">
        <w:rPr>
          <w:iCs/>
        </w:rPr>
        <w:t>m.in.</w:t>
      </w:r>
      <w:r>
        <w:t xml:space="preserve"> </w:t>
      </w:r>
      <w:r>
        <w:rPr>
          <w:i/>
        </w:rPr>
        <w:t>Kılavuz przeciwko Turcji</w:t>
      </w:r>
      <w:r>
        <w:t>, skarga nr</w:t>
      </w:r>
      <w:r w:rsidR="004212CB">
        <w:t> </w:t>
      </w:r>
      <w:r>
        <w:t xml:space="preserve">8327/03, §§ 87-97, 21 października 2008 r. oraz </w:t>
      </w:r>
      <w:r>
        <w:rPr>
          <w:i/>
        </w:rPr>
        <w:t>Çoşelav przeciwko Turcji</w:t>
      </w:r>
      <w:r>
        <w:t>, skarga nr 1413/07, § 53, 9</w:t>
      </w:r>
      <w:r w:rsidR="00195AB1">
        <w:t xml:space="preserve"> </w:t>
      </w:r>
      <w:r>
        <w:t>października 2012</w:t>
      </w:r>
      <w:r w:rsidR="00195AB1">
        <w:t xml:space="preserve"> </w:t>
      </w:r>
      <w:r>
        <w:t>r.). Po drugie, sprawa dotyczy wynikającego z art. 2 Konwencji zobowiązania do przeprowadzenia skutecznego śledztwa (zob.</w:t>
      </w:r>
      <w:r w:rsidR="002A20B5">
        <w:t xml:space="preserve"> </w:t>
      </w:r>
      <w:r w:rsidRPr="00960FE2">
        <w:rPr>
          <w:rFonts w:cstheme="minorHAnsi"/>
          <w:iCs/>
        </w:rPr>
        <w:t>m.in.</w:t>
      </w:r>
      <w:r>
        <w:rPr>
          <w:rFonts w:cstheme="minorHAnsi"/>
          <w:i/>
        </w:rPr>
        <w:t xml:space="preserve"> Mustafa Tunç i Fecire Tunç przeciwko </w:t>
      </w:r>
      <w:r>
        <w:rPr>
          <w:rFonts w:cstheme="minorHAnsi"/>
          <w:i/>
        </w:rPr>
        <w:lastRenderedPageBreak/>
        <w:t xml:space="preserve">Turcji </w:t>
      </w:r>
      <w:r>
        <w:rPr>
          <w:rFonts w:cstheme="minorHAnsi"/>
        </w:rPr>
        <w:t>[WI], skarga nr</w:t>
      </w:r>
      <w:r w:rsidR="00195AB1">
        <w:rPr>
          <w:rFonts w:cstheme="minorHAnsi"/>
        </w:rPr>
        <w:t xml:space="preserve"> </w:t>
      </w:r>
      <w:r>
        <w:rPr>
          <w:rFonts w:cstheme="minorHAnsi"/>
        </w:rPr>
        <w:t>24014/05, § 169, 14 kwietnia 2015 r., oraz przywołana tam sprawa).</w:t>
      </w:r>
    </w:p>
    <w:p w14:paraId="35550EAA" w14:textId="03A6041C" w:rsidR="00A026FD" w:rsidRDefault="0047228E">
      <w:pPr>
        <w:pStyle w:val="ECHRPara"/>
      </w:pPr>
      <w:r>
        <w:rPr>
          <w:rFonts w:ascii="Times New Roman" w:hAnsi="Times New Roman"/>
        </w:rPr>
        <w:t xml:space="preserve">13. W konsekwencji Trybunał przypomina, że </w:t>
      </w:r>
      <w:r>
        <w:rPr>
          <w:rFonts w:ascii="Times New Roman" w:hAnsi="Times New Roman"/>
          <w:color w:val="262626"/>
        </w:rPr>
        <w:t>w sprawach dotyczących osób, które zaginęły lub zostały zabite przez nieznanych sprawców, a</w:t>
      </w:r>
      <w:r w:rsidR="004212CB">
        <w:rPr>
          <w:rFonts w:ascii="Times New Roman" w:hAnsi="Times New Roman"/>
          <w:color w:val="262626"/>
        </w:rPr>
        <w:t> </w:t>
      </w:r>
      <w:r>
        <w:rPr>
          <w:rFonts w:ascii="Times New Roman" w:hAnsi="Times New Roman"/>
          <w:color w:val="262626"/>
        </w:rPr>
        <w:t>w</w:t>
      </w:r>
      <w:r w:rsidR="004212CB">
        <w:rPr>
          <w:rFonts w:ascii="Times New Roman" w:hAnsi="Times New Roman"/>
          <w:color w:val="262626"/>
        </w:rPr>
        <w:t> </w:t>
      </w:r>
      <w:r>
        <w:rPr>
          <w:rFonts w:ascii="Times New Roman" w:hAnsi="Times New Roman"/>
          <w:color w:val="262626"/>
        </w:rPr>
        <w:t xml:space="preserve">aktach sprawy istnieją dowody </w:t>
      </w:r>
      <w:r w:rsidRPr="00960FE2">
        <w:rPr>
          <w:rFonts w:ascii="Times New Roman" w:hAnsi="Times New Roman"/>
          <w:i/>
          <w:iCs/>
          <w:color w:val="262626"/>
        </w:rPr>
        <w:t>prima facie</w:t>
      </w:r>
      <w:r>
        <w:rPr>
          <w:rFonts w:ascii="Times New Roman" w:hAnsi="Times New Roman"/>
          <w:color w:val="262626"/>
        </w:rPr>
        <w:t xml:space="preserve"> na poparcie zarzutów, że</w:t>
      </w:r>
      <w:r w:rsidR="004212CB">
        <w:rPr>
          <w:rFonts w:ascii="Times New Roman" w:hAnsi="Times New Roman"/>
          <w:color w:val="262626"/>
        </w:rPr>
        <w:t> </w:t>
      </w:r>
      <w:r>
        <w:rPr>
          <w:rFonts w:ascii="Times New Roman" w:hAnsi="Times New Roman"/>
          <w:color w:val="262626"/>
        </w:rPr>
        <w:t xml:space="preserve">krajowe śledztwo nie spełniało wymogów Konwencji, deklaracja jednostronna powinna zawierać przyznanie tej okoliczności, przy jednoczesnym zobowiązaniu się pozwanego Rządu do przeprowadzenia śledztwa, które jest w pełni zgodne z wymogami Konwencji określonymi przez Trybunał w poprzednich podobnych sprawach (zob. </w:t>
      </w:r>
      <w:r>
        <w:rPr>
          <w:i/>
        </w:rPr>
        <w:t>Tahsin Acar</w:t>
      </w:r>
      <w:r>
        <w:t xml:space="preserve">, </w:t>
      </w:r>
      <w:r w:rsidRPr="00960FE2">
        <w:rPr>
          <w:i/>
          <w:iCs/>
        </w:rPr>
        <w:t>op.</w:t>
      </w:r>
      <w:r w:rsidR="004212CB">
        <w:rPr>
          <w:i/>
          <w:iCs/>
        </w:rPr>
        <w:t> </w:t>
      </w:r>
      <w:r w:rsidRPr="00960FE2">
        <w:rPr>
          <w:i/>
          <w:iCs/>
        </w:rPr>
        <w:t>cit</w:t>
      </w:r>
      <w:r>
        <w:t>., § 84</w:t>
      </w:r>
      <w:r>
        <w:rPr>
          <w:rFonts w:ascii="Times New Roman" w:hAnsi="Times New Roman"/>
          <w:i/>
          <w:color w:val="262626"/>
        </w:rPr>
        <w:t xml:space="preserve"> </w:t>
      </w:r>
      <w:r>
        <w:rPr>
          <w:rFonts w:ascii="Times New Roman" w:hAnsi="Times New Roman"/>
          <w:color w:val="262626"/>
        </w:rPr>
        <w:t>i sprawy</w:t>
      </w:r>
      <w:r w:rsidR="00E57814">
        <w:rPr>
          <w:rFonts w:ascii="Times New Roman" w:hAnsi="Times New Roman"/>
          <w:color w:val="262626"/>
        </w:rPr>
        <w:t xml:space="preserve"> tam cytowane</w:t>
      </w:r>
      <w:r>
        <w:rPr>
          <w:rFonts w:ascii="Times New Roman" w:hAnsi="Times New Roman"/>
          <w:color w:val="262626"/>
        </w:rPr>
        <w:t>). Trybunał odrzucał deklaracje jednostronne składane przez pozwane Rządy w sprawach, w których nie było takiego zobowiązania do wznowienia śledztwa, na tej podstawie, że</w:t>
      </w:r>
      <w:r w:rsidR="004212CB">
        <w:rPr>
          <w:rFonts w:ascii="Times New Roman" w:hAnsi="Times New Roman"/>
          <w:color w:val="262626"/>
        </w:rPr>
        <w:t> </w:t>
      </w:r>
      <w:r>
        <w:rPr>
          <w:rFonts w:ascii="Times New Roman" w:hAnsi="Times New Roman"/>
          <w:color w:val="262626"/>
        </w:rPr>
        <w:t xml:space="preserve">poszanowanie praw człowieka wymagało </w:t>
      </w:r>
      <w:r w:rsidR="00366FAE">
        <w:rPr>
          <w:rFonts w:ascii="Times New Roman" w:hAnsi="Times New Roman"/>
          <w:color w:val="262626"/>
        </w:rPr>
        <w:t>dalszego rozpatrywania</w:t>
      </w:r>
      <w:r>
        <w:rPr>
          <w:rFonts w:ascii="Times New Roman" w:hAnsi="Times New Roman"/>
          <w:color w:val="262626"/>
        </w:rPr>
        <w:t xml:space="preserve"> sprawy zgodnie z ostatnim zdaniem art. 37 ust. 1 Konwencji (</w:t>
      </w:r>
      <w:r>
        <w:t xml:space="preserve">zob. </w:t>
      </w:r>
      <w:r>
        <w:rPr>
          <w:i/>
        </w:rPr>
        <w:t>Mishina przeciwko Rosji</w:t>
      </w:r>
      <w:r>
        <w:t>, skarga nr 30204/08, §§ 23-30, 3 października 2017 r., oraz sprawy tam</w:t>
      </w:r>
      <w:r w:rsidR="004212CB">
        <w:t> </w:t>
      </w:r>
      <w:r>
        <w:t xml:space="preserve">cytowane; zob. również, </w:t>
      </w:r>
      <w:r>
        <w:rPr>
          <w:i/>
        </w:rPr>
        <w:t>mutatis mutandis</w:t>
      </w:r>
      <w:r>
        <w:t>,</w:t>
      </w:r>
      <w:r>
        <w:rPr>
          <w:i/>
        </w:rPr>
        <w:t xml:space="preserve"> Toğcu przeciwko Turcji</w:t>
      </w:r>
      <w:r>
        <w:t>, skarga nr 27601/ 95, §§ 10-14, 31 maja 2005 r.)</w:t>
      </w:r>
      <w:r>
        <w:rPr>
          <w:rFonts w:ascii="Times New Roman" w:hAnsi="Times New Roman"/>
          <w:color w:val="262626"/>
        </w:rPr>
        <w:t>.</w:t>
      </w:r>
    </w:p>
    <w:p w14:paraId="1B205179" w14:textId="7DA253AB" w:rsidR="00A026FD" w:rsidRDefault="0047228E">
      <w:pPr>
        <w:pStyle w:val="ECHRPara"/>
      </w:pPr>
      <w:r>
        <w:t xml:space="preserve">14. Trybunał przyznaje, że mogą zaistnieć sytuacje, w których wznowienie śledztwa w sprawie czynów będących podstawą skarg rozpatrywanych przez Trybunał jest </w:t>
      </w:r>
      <w:r>
        <w:rPr>
          <w:i/>
        </w:rPr>
        <w:t>de iure</w:t>
      </w:r>
      <w:r>
        <w:t xml:space="preserve"> lub </w:t>
      </w:r>
      <w:r>
        <w:rPr>
          <w:i/>
        </w:rPr>
        <w:t>de facto</w:t>
      </w:r>
      <w:r>
        <w:t xml:space="preserve"> niemożliwe. Sytuacje takie mogą zaistnieć np. w sprawach, w których domniemani sprawcy zostali uniewinnieni i nie mogą być osądzeni za to samo przestępstwo lub w sprawach, w których nie można wszcząć postępowania karnego z powodu ustania karalności przestępstwa wskutek upływu terminu przedawnienia określonego w przepisach prawa krajowego.</w:t>
      </w:r>
      <w:r w:rsidR="00366FAE">
        <w:t xml:space="preserve"> </w:t>
      </w:r>
      <w:r>
        <w:t xml:space="preserve">Wznowienie postępowania karnego, które zostało zakończone z powodu upływu terminu przedawnienia, może zatem budzić wątpliwości na tle zasady pewności prawa (zob. </w:t>
      </w:r>
      <w:r>
        <w:rPr>
          <w:i/>
        </w:rPr>
        <w:t>Coëme i Inni przeciwko Belgii</w:t>
      </w:r>
      <w:r>
        <w:t xml:space="preserve">, skarga nr 32492/96 i cztery inne, § 145, ETPC 2000-VII) i tym samym może mieć wpływ na prawa oskarżonego przewidziane w art. 7 Konwencji (zob., </w:t>
      </w:r>
      <w:r>
        <w:rPr>
          <w:i/>
        </w:rPr>
        <w:t>mutatis mutandis</w:t>
      </w:r>
      <w:r>
        <w:t xml:space="preserve">, </w:t>
      </w:r>
      <w:r>
        <w:rPr>
          <w:i/>
        </w:rPr>
        <w:t xml:space="preserve">Kononov przeciwko Łotwie </w:t>
      </w:r>
      <w:r>
        <w:t>[WI], skarga nr 36376/04, §§ 228-33, ETPC 2010). Podobnie postawienie tego samego oskarżonego przed sądem za</w:t>
      </w:r>
      <w:r w:rsidR="004212CB">
        <w:t> </w:t>
      </w:r>
      <w:r>
        <w:t xml:space="preserve">przestępstwo, w związku z którym </w:t>
      </w:r>
      <w:r>
        <w:rPr>
          <w:rFonts w:ascii="Times New Roman" w:hAnsi="Times New Roman"/>
          <w:color w:val="262626"/>
        </w:rPr>
        <w:t>został on już prawomocnie uniewinniony lub skazany</w:t>
      </w:r>
      <w:r>
        <w:t xml:space="preserve">, może budzić poważne wątpliwości co do naruszenia </w:t>
      </w:r>
      <w:r>
        <w:rPr>
          <w:rFonts w:ascii="Times New Roman" w:hAnsi="Times New Roman"/>
          <w:color w:val="262626"/>
        </w:rPr>
        <w:t>prawa tego oskarżonego do tego</w:t>
      </w:r>
      <w:r w:rsidR="00C2722F">
        <w:rPr>
          <w:rFonts w:ascii="Times New Roman" w:hAnsi="Times New Roman"/>
          <w:color w:val="262626"/>
        </w:rPr>
        <w:t>,</w:t>
      </w:r>
      <w:r>
        <w:rPr>
          <w:rFonts w:ascii="Times New Roman" w:hAnsi="Times New Roman"/>
          <w:color w:val="262626"/>
        </w:rPr>
        <w:t xml:space="preserve"> by nie być ponownie sądzonym lub </w:t>
      </w:r>
      <w:r w:rsidR="00054167">
        <w:rPr>
          <w:rFonts w:ascii="Times New Roman" w:hAnsi="Times New Roman"/>
          <w:color w:val="262626"/>
        </w:rPr>
        <w:t>u</w:t>
      </w:r>
      <w:r>
        <w:rPr>
          <w:rFonts w:ascii="Times New Roman" w:hAnsi="Times New Roman"/>
          <w:color w:val="262626"/>
        </w:rPr>
        <w:t>karanym w</w:t>
      </w:r>
      <w:r w:rsidR="00195AB1">
        <w:rPr>
          <w:rFonts w:ascii="Times New Roman" w:hAnsi="Times New Roman"/>
          <w:color w:val="262626"/>
        </w:rPr>
        <w:t xml:space="preserve"> </w:t>
      </w:r>
      <w:r>
        <w:rPr>
          <w:rFonts w:ascii="Times New Roman" w:hAnsi="Times New Roman"/>
          <w:color w:val="262626"/>
        </w:rPr>
        <w:t xml:space="preserve">rozumieniu art. 4 Protokołu nr 7 do Konwencji (zob. </w:t>
      </w:r>
      <w:r>
        <w:rPr>
          <w:i/>
        </w:rPr>
        <w:t xml:space="preserve">Marguš przeciwko Chorwacji </w:t>
      </w:r>
      <w:r>
        <w:t>[WI], skarga nr 4455/10, § 114, ETPC 2014 (fragmenty)).</w:t>
      </w:r>
    </w:p>
    <w:p w14:paraId="41E24DE6" w14:textId="6B4DC92D" w:rsidR="00A026FD" w:rsidRDefault="0047228E">
      <w:pPr>
        <w:pStyle w:val="ECHRPara"/>
      </w:pPr>
      <w:r>
        <w:t xml:space="preserve">15. Oprócz przykładów niemożliwości </w:t>
      </w:r>
      <w:r>
        <w:rPr>
          <w:i/>
        </w:rPr>
        <w:t>de iure</w:t>
      </w:r>
      <w:r>
        <w:t xml:space="preserve"> wymienionych w</w:t>
      </w:r>
      <w:r w:rsidR="004212CB">
        <w:t> </w:t>
      </w:r>
      <w:r>
        <w:t xml:space="preserve">poprzednim paragrafie, Trybunał nie może również pominąć możliwości, że jeżeli od zdarzenia upłynęło wiele czasu, dowody mogły zaginąć, zostać zniszczone lub stać się niemożliwe do odnalezienia, a zatem wznowienie </w:t>
      </w:r>
      <w:r>
        <w:lastRenderedPageBreak/>
        <w:t>śledztwa i jego skuteczne przeprowadzenie może nie być już w praktyce możliwe.</w:t>
      </w:r>
    </w:p>
    <w:p w14:paraId="21D33A36" w14:textId="04459B49" w:rsidR="00A026FD" w:rsidRDefault="0047228E">
      <w:pPr>
        <w:pStyle w:val="ECHRPara"/>
      </w:pPr>
      <w:r>
        <w:t>16. Zatem to, czy Państwo będące stroną Konwencji ma obowiązek wznowienia postępowania karnego, a w konsekwencji, czy deklaracja jednostronna powinna zawierać takie zobowiązanie, będzie zależeć od</w:t>
      </w:r>
      <w:r w:rsidR="004212CB">
        <w:t> </w:t>
      </w:r>
      <w:r>
        <w:t>konkretnych okoliczności sprawy, w tym charakteru i wagi zarzucanego naruszenia, tożsamości domniemanego sprawcy, tego czy inne osoby nieuczestniczące w postępowaniu mogły być zamieszane w sprawę, przyczyny zakończenia postępowania karnego, wszelkich uchybień i wad postępowania przed podjęciem decyzji o jego zakończeniu oraz tego, czy</w:t>
      </w:r>
      <w:r w:rsidR="004212CB">
        <w:t> </w:t>
      </w:r>
      <w:r>
        <w:t>domniemany sprawca przyczynił się do wystąpienia uchybień i wad, które doprowadziły do zakończenia postępowania karnego.</w:t>
      </w:r>
    </w:p>
    <w:p w14:paraId="3F6CF24C" w14:textId="6BC49E99" w:rsidR="00A026FD" w:rsidRDefault="0047228E">
      <w:pPr>
        <w:pStyle w:val="ECHRPara"/>
      </w:pPr>
      <w:r>
        <w:rPr>
          <w:rFonts w:ascii="Times New Roman" w:hAnsi="Times New Roman"/>
          <w:color w:val="262626"/>
        </w:rPr>
        <w:t>17. Wracając do okoliczności niniejszej sprawy, Trybunał zauważa, że</w:t>
      </w:r>
      <w:r w:rsidR="004212CB">
        <w:rPr>
          <w:rFonts w:ascii="Times New Roman" w:hAnsi="Times New Roman"/>
          <w:color w:val="262626"/>
        </w:rPr>
        <w:t> </w:t>
      </w:r>
      <w:r>
        <w:rPr>
          <w:rFonts w:ascii="Times New Roman" w:hAnsi="Times New Roman"/>
          <w:color w:val="262626"/>
        </w:rPr>
        <w:t>chociaż deklaracja jednostronna zawiera wyraźne oświadczenie Rządu, że</w:t>
      </w:r>
      <w:r w:rsidR="004212CB">
        <w:t> </w:t>
      </w:r>
      <w:r>
        <w:t>śmierć krewnego skarżących była wynikiem braku podjęcia właściwych środków ochrony oraz że postępowanie sądowe w sprawie jego śmierci nie</w:t>
      </w:r>
      <w:r w:rsidR="004212CB">
        <w:t> </w:t>
      </w:r>
      <w:r>
        <w:t>spełniało standardów wynikających z art. 2 Konwencji</w:t>
      </w:r>
      <w:r>
        <w:rPr>
          <w:rFonts w:ascii="Times New Roman" w:hAnsi="Times New Roman"/>
          <w:color w:val="262626"/>
        </w:rPr>
        <w:t>, to nie zawiera jednak żadnego zobowiązania Rządu do wznowienia śledztwa w sprawie śmierci tej osoby.</w:t>
      </w:r>
      <w:r w:rsidR="00366FAE">
        <w:rPr>
          <w:rFonts w:ascii="Times New Roman" w:hAnsi="Times New Roman"/>
          <w:color w:val="262626"/>
        </w:rPr>
        <w:t xml:space="preserve"> </w:t>
      </w:r>
      <w:r>
        <w:t>Powstaje zatem pytanie, czy w przypadku braku takiego zobowiązania Trybunał może zaakceptować deklarację jednostronną Rządu.</w:t>
      </w:r>
    </w:p>
    <w:p w14:paraId="51982ECA" w14:textId="463A76F1" w:rsidR="00A026FD" w:rsidRDefault="0047228E">
      <w:pPr>
        <w:pStyle w:val="ECHRPara"/>
        <w:rPr>
          <w:rFonts w:ascii="Times New Roman" w:hAnsi="Times New Roman"/>
        </w:rPr>
      </w:pPr>
      <w:r>
        <w:rPr>
          <w:rFonts w:ascii="Times New Roman" w:hAnsi="Times New Roman"/>
          <w:color w:val="262626"/>
        </w:rPr>
        <w:t>18. Trybunał zauważa, że [karalność czynu objętego] postępowaniem karnym wszczętym przeciwko funkcjonariuszom policji w sprawie zaniedbania ich obowiązków polegającego na niepowstrzymaniu krewnego skarżących przed popełnieniem samobójstwa uległa przedawnieniu i</w:t>
      </w:r>
      <w:r w:rsidR="004212CB">
        <w:rPr>
          <w:rFonts w:ascii="Times New Roman" w:hAnsi="Times New Roman"/>
          <w:color w:val="262626"/>
        </w:rPr>
        <w:t> </w:t>
      </w:r>
      <w:r>
        <w:rPr>
          <w:rFonts w:ascii="Times New Roman" w:hAnsi="Times New Roman"/>
          <w:color w:val="262626"/>
        </w:rPr>
        <w:t xml:space="preserve">postępowanie zostało umorzone (zob. paragraf 3 powyżej). Z tego względu, zgodnie z prawem tureckim, wznowienie śledztwa w sprawie śmierci krewnego skarżących jest </w:t>
      </w:r>
      <w:r>
        <w:rPr>
          <w:rFonts w:ascii="Times New Roman" w:hAnsi="Times New Roman"/>
          <w:i/>
          <w:color w:val="262626"/>
        </w:rPr>
        <w:t>de iure</w:t>
      </w:r>
      <w:r>
        <w:rPr>
          <w:rFonts w:ascii="Times New Roman" w:hAnsi="Times New Roman"/>
          <w:color w:val="262626"/>
        </w:rPr>
        <w:t xml:space="preserve"> niemożliwe</w:t>
      </w:r>
      <w:r>
        <w:rPr>
          <w:rFonts w:ascii="Times New Roman" w:hAnsi="Times New Roman"/>
        </w:rPr>
        <w:t>. Co więcej, nie pojawiły się zarzuty wskazujące</w:t>
      </w:r>
      <w:r>
        <w:t>, aby również inne osoby były zamieszane w sprawę śmierci krewnego skarżących.</w:t>
      </w:r>
    </w:p>
    <w:p w14:paraId="5647EBC6" w14:textId="0012C926" w:rsidR="00A026FD" w:rsidRPr="002C250A" w:rsidRDefault="0047228E">
      <w:pPr>
        <w:pStyle w:val="ECHRPara"/>
        <w:rPr>
          <w:rFonts w:ascii="Times New Roman" w:hAnsi="Times New Roman"/>
        </w:rPr>
      </w:pPr>
      <w:r>
        <w:rPr>
          <w:rFonts w:ascii="Times New Roman" w:hAnsi="Times New Roman"/>
          <w:color w:val="262626"/>
        </w:rPr>
        <w:t>19. Trybunał</w:t>
      </w:r>
      <w:r>
        <w:rPr>
          <w:rFonts w:ascii="Times New Roman" w:hAnsi="Times New Roman"/>
        </w:rPr>
        <w:t xml:space="preserve"> zauważa, że fakt, iż wznowienie postępowania w sprawach dotyczących skarg na podstawie art. 2 i 3 Konwencji może być </w:t>
      </w:r>
      <w:r>
        <w:rPr>
          <w:rFonts w:ascii="Times New Roman" w:hAnsi="Times New Roman"/>
          <w:i/>
        </w:rPr>
        <w:t xml:space="preserve">de iure </w:t>
      </w:r>
      <w:r>
        <w:rPr>
          <w:rFonts w:ascii="Times New Roman" w:hAnsi="Times New Roman"/>
        </w:rPr>
        <w:t>niemożliwe, nie stanowi, co do zasady, przeszkody w zakończeniu przez Komitet Ministrów rozpatrywania sprawy na podstawie art. 46 Konwencji. Na przykład, po stwierdzeniu przez Wielką Izbę</w:t>
      </w:r>
      <w:r>
        <w:rPr>
          <w:rFonts w:ascii="Times New Roman" w:hAnsi="Times New Roman"/>
          <w:color w:val="262626"/>
        </w:rPr>
        <w:t xml:space="preserve"> naruszenia aspektu proceduralnego art. 3 Konwencji w sprawie</w:t>
      </w:r>
      <w:r>
        <w:t xml:space="preserve"> </w:t>
      </w:r>
      <w:r>
        <w:rPr>
          <w:i/>
        </w:rPr>
        <w:t xml:space="preserve">Jeronovičs </w:t>
      </w:r>
      <w:r>
        <w:t>(</w:t>
      </w:r>
      <w:r w:rsidRPr="00960FE2">
        <w:rPr>
          <w:i/>
          <w:iCs/>
        </w:rPr>
        <w:t>op. cit</w:t>
      </w:r>
      <w:r>
        <w:t xml:space="preserve">.) skarżący zwrócił się do prokuratora krajowego o wznowienie śledztwa w sprawie jego zarzutów. Jego </w:t>
      </w:r>
      <w:r w:rsidRPr="002C250A">
        <w:t xml:space="preserve">wniosek został odrzucony ze względu na upływ terminu przedawnienia. </w:t>
      </w:r>
      <w:r w:rsidRPr="002C250A">
        <w:rPr>
          <w:rFonts w:ascii="Times New Roman" w:hAnsi="Times New Roman"/>
        </w:rPr>
        <w:t>W swojej Rezolucji dotyczącej wyroku Wielkiej Izby Komitet Ministrów uznał, że wszystkie środki wymagane na mocy art. 46 ust.</w:t>
      </w:r>
      <w:r w:rsidR="004212CB">
        <w:rPr>
          <w:rFonts w:ascii="Times New Roman" w:hAnsi="Times New Roman"/>
        </w:rPr>
        <w:t> </w:t>
      </w:r>
      <w:r w:rsidRPr="002C250A">
        <w:rPr>
          <w:rFonts w:ascii="Times New Roman" w:hAnsi="Times New Roman"/>
        </w:rPr>
        <w:t>1 Konwencji zostały podjęte</w:t>
      </w:r>
      <w:r w:rsidR="00C2722F">
        <w:rPr>
          <w:rFonts w:ascii="Times New Roman" w:hAnsi="Times New Roman"/>
        </w:rPr>
        <w:t>,</w:t>
      </w:r>
      <w:r w:rsidRPr="002C250A">
        <w:rPr>
          <w:rFonts w:ascii="Times New Roman" w:hAnsi="Times New Roman"/>
        </w:rPr>
        <w:t xml:space="preserve"> i postanowił zakończyć rozpatrywanie sprawy (zob. Rezolucja CM/ResDH(2017)312).</w:t>
      </w:r>
    </w:p>
    <w:p w14:paraId="202CF674" w14:textId="4118F552" w:rsidR="00A026FD" w:rsidRDefault="0047228E">
      <w:pPr>
        <w:pStyle w:val="ECHRPara"/>
      </w:pPr>
      <w:r w:rsidRPr="002C250A">
        <w:rPr>
          <w:rFonts w:ascii="Times New Roman" w:hAnsi="Times New Roman" w:cs="Times New Roman"/>
        </w:rPr>
        <w:t xml:space="preserve">20. Mając na uwadze wyżej wspomniane uznanie odpowiedzialności przez Rząd, karę dyscyplinarną nałożoną na policjantów (zob. paragraf 4 powyżej) oraz kwotę odszkodowania </w:t>
      </w:r>
      <w:r w:rsidRPr="002C250A">
        <w:t xml:space="preserve">zaproponowanego przez Rząd w deklaracji </w:t>
      </w:r>
      <w:r w:rsidRPr="002C250A">
        <w:lastRenderedPageBreak/>
        <w:t xml:space="preserve">jednostronnej, tj. 20.000 euro, w połączeniu z jasnym i obszernym orzecznictwem na ten temat, o którym mowa powyżej (zob. paragraf 12), Trybunał uważa, że dalsze rozpatrywanie skargi </w:t>
      </w:r>
      <w:r>
        <w:t>nie jest już uzasadnione</w:t>
      </w:r>
      <w:r w:rsidR="002C250A">
        <w:t xml:space="preserve"> </w:t>
      </w:r>
      <w:r>
        <w:t>(art.</w:t>
      </w:r>
      <w:r w:rsidR="004212CB">
        <w:t> </w:t>
      </w:r>
      <w:r>
        <w:t xml:space="preserve">37 ust. 1 lit. c). Trybunał podkreśla, że jego decyzja nie ogranicza możliwości skorzystania przez skarżących z wszelkich innych dostępnych środków w celu uzyskania zadośćuczynienia (zob. </w:t>
      </w:r>
      <w:r>
        <w:rPr>
          <w:i/>
        </w:rPr>
        <w:t>Jeronovičs przeciwko Łotwie</w:t>
      </w:r>
      <w:r>
        <w:t xml:space="preserve"> (dec.), skarga nr 547/02, § 54, 10 lutego 2009 r., oraz, </w:t>
      </w:r>
      <w:r>
        <w:rPr>
          <w:i/>
        </w:rPr>
        <w:t>mutatis mutandis</w:t>
      </w:r>
      <w:r>
        <w:t xml:space="preserve">, </w:t>
      </w:r>
      <w:r>
        <w:rPr>
          <w:i/>
        </w:rPr>
        <w:t>Jeronovičs</w:t>
      </w:r>
      <w:r>
        <w:t xml:space="preserve">, </w:t>
      </w:r>
      <w:r w:rsidRPr="00960FE2">
        <w:rPr>
          <w:i/>
          <w:iCs/>
        </w:rPr>
        <w:t>op.</w:t>
      </w:r>
      <w:r w:rsidR="00E31269">
        <w:rPr>
          <w:i/>
          <w:iCs/>
        </w:rPr>
        <w:t xml:space="preserve"> </w:t>
      </w:r>
      <w:r w:rsidRPr="00960FE2">
        <w:rPr>
          <w:i/>
          <w:iCs/>
        </w:rPr>
        <w:t>cit</w:t>
      </w:r>
      <w:r>
        <w:t>., §§ 116-18).</w:t>
      </w:r>
    </w:p>
    <w:p w14:paraId="77F78CB7" w14:textId="43452597" w:rsidR="00A026FD" w:rsidRDefault="0047228E">
      <w:pPr>
        <w:pStyle w:val="ECHRPara"/>
      </w:pPr>
      <w:r>
        <w:t xml:space="preserve">21. Podobnie jak w wyżej wymienionym wyroku w sprawie </w:t>
      </w:r>
      <w:r>
        <w:rPr>
          <w:i/>
        </w:rPr>
        <w:t>Jeronovičs</w:t>
      </w:r>
      <w:r>
        <w:t xml:space="preserve"> (</w:t>
      </w:r>
      <w:r w:rsidRPr="00960FE2">
        <w:rPr>
          <w:i/>
          <w:iCs/>
        </w:rPr>
        <w:t>ibid</w:t>
      </w:r>
      <w:r>
        <w:t>., § 117), Trybunał uznaje za ważne, aby podkreślić, że procedura deklaracji jednostronnej stanowi wyjątek. W związku z tym, jeśli chodzi o</w:t>
      </w:r>
      <w:r w:rsidR="004212CB">
        <w:t> </w:t>
      </w:r>
      <w:r>
        <w:t>naruszenia najważniejszych praw podstawowych zawartych w Konwencji, nie ma na celu ani obejścia sprzeciwu skarżącego wobec ugody, ani</w:t>
      </w:r>
      <w:r w:rsidR="004212CB">
        <w:t> </w:t>
      </w:r>
      <w:r>
        <w:t>umożliwienia Rządowi uniknięcia odpowiedzialności za takie naruszenia. W niniejszej sprawie Trybunał zbadał wszystkie okoliczności towarzyszące śmierci krewnego skarżących i następującemu po nim postępowaniu karnemu w sprawie tej śmierci</w:t>
      </w:r>
      <w:r w:rsidR="00366FAE">
        <w:t>,</w:t>
      </w:r>
      <w:r>
        <w:t xml:space="preserve"> w świetle jasnego i obszernego orzecznictwa, które dotyczy tego zagadnienia, a które zostało przytoczone powyżej (zob. paragraf 12).</w:t>
      </w:r>
    </w:p>
    <w:p w14:paraId="6EDE3ABE" w14:textId="77777777" w:rsidR="00A026FD" w:rsidRDefault="0047228E">
      <w:pPr>
        <w:pStyle w:val="ECHRPara"/>
      </w:pPr>
      <w:r>
        <w:t xml:space="preserve">22. W świetle powyższych rozważań, a w szczególności biorąc pod uwagę jasne i obszerne orzecznictwo dotyczące tego zagadnienia, o którym mowa powyżej, Trybunał jest przekonany, że zapewnienie przestrzegania praw człowieka w rozumieniu Konwencji i jej Protokołów nie wymaga dalszego rozpatrywania skargi (art. 37 ust. 1 </w:t>
      </w:r>
      <w:r>
        <w:rPr>
          <w:i/>
        </w:rPr>
        <w:t>in fine</w:t>
      </w:r>
      <w:r>
        <w:t xml:space="preserve">). W szczególności Trybunał uważa, że natura i zakres wynikających z Konwencji obowiązków pozwanego Państwa w przypadkach zarzucanego braku ochrony prawa do życia osób zatrzymanych zostały już określone w szeregu jego wyroków (zob. </w:t>
      </w:r>
      <w:r>
        <w:rPr>
          <w:i/>
        </w:rPr>
        <w:t>mutatis mutandis</w:t>
      </w:r>
      <w:r>
        <w:t xml:space="preserve">, </w:t>
      </w:r>
      <w:r>
        <w:rPr>
          <w:i/>
        </w:rPr>
        <w:t>Tahsin Acar</w:t>
      </w:r>
      <w:r>
        <w:t xml:space="preserve">, </w:t>
      </w:r>
      <w:r w:rsidRPr="00960FE2">
        <w:rPr>
          <w:i/>
          <w:iCs/>
        </w:rPr>
        <w:t>op. cit</w:t>
      </w:r>
      <w:r>
        <w:t>., § 81). Ponadto, wyżej wymienione kwestie dotyczące Turcji zostały w wystarczającym stopniu przedstawione Komitetowi Ministrów, który prowadzi dalsze czynności zgodnie z art. 46 ust. 2 Konwencji.</w:t>
      </w:r>
    </w:p>
    <w:p w14:paraId="5E808B60" w14:textId="52FF83E0" w:rsidR="00A026FD" w:rsidRDefault="0047228E">
      <w:pPr>
        <w:pStyle w:val="ECHRPara"/>
      </w:pPr>
      <w:r>
        <w:t>23. Trybunał podkreśla również, że jeśli Rząd nie zastosuje się do</w:t>
      </w:r>
      <w:r w:rsidR="004212CB">
        <w:t> </w:t>
      </w:r>
      <w:r>
        <w:t xml:space="preserve">warunków deklaracji jednostronnej, skarga może zostać ponownie wpisana na listę spraw zgodnie z art. 37 ust. 2 Konwencji (zob. </w:t>
      </w:r>
      <w:r>
        <w:rPr>
          <w:i/>
        </w:rPr>
        <w:t>Josipović przeciwko Serbii</w:t>
      </w:r>
      <w:r>
        <w:t xml:space="preserve"> (dec.), skarga nr 18369/07, 4 marca 2008 r.).</w:t>
      </w:r>
    </w:p>
    <w:p w14:paraId="046FC190" w14:textId="77777777" w:rsidR="00A026FD" w:rsidRDefault="0047228E">
      <w:pPr>
        <w:pStyle w:val="ECHRPara"/>
      </w:pPr>
      <w:r>
        <w:t>24. W związku z powyższym należy skreślić sprawę z listy.</w:t>
      </w:r>
    </w:p>
    <w:p w14:paraId="4E616310" w14:textId="77777777" w:rsidR="00A026FD" w:rsidRDefault="00A026FD">
      <w:pPr>
        <w:pStyle w:val="ECHRPara"/>
      </w:pPr>
    </w:p>
    <w:p w14:paraId="09224E08" w14:textId="77777777" w:rsidR="00A026FD" w:rsidRDefault="0047228E">
      <w:pPr>
        <w:pStyle w:val="JuParaLast"/>
        <w:outlineLvl w:val="0"/>
      </w:pPr>
      <w:r>
        <w:lastRenderedPageBreak/>
        <w:t>Z TYCH PRZYCZYN TRYBUNAŁ JEDNOGŁOŚNIE</w:t>
      </w:r>
    </w:p>
    <w:p w14:paraId="04184DFE" w14:textId="7844135B" w:rsidR="00A026FD" w:rsidRDefault="0047228E">
      <w:pPr>
        <w:pStyle w:val="DecList"/>
        <w:keepNext/>
        <w:keepLines/>
      </w:pPr>
      <w:r>
        <w:rPr>
          <w:i/>
        </w:rPr>
        <w:t>Przyjmuje do wiadomości</w:t>
      </w:r>
      <w:r>
        <w:t xml:space="preserve"> warunki deklaracji pozwanego Rządu dotyczącej art. 2 Konwencji oraz sposoby zapewnienia zgodności z</w:t>
      </w:r>
      <w:r w:rsidR="004212CB">
        <w:t> </w:t>
      </w:r>
      <w:r>
        <w:t>zobowiązaniami, o których w ni</w:t>
      </w:r>
      <w:r w:rsidR="00E31269">
        <w:t>ej</w:t>
      </w:r>
      <w:r>
        <w:t xml:space="preserve"> mowa;</w:t>
      </w:r>
    </w:p>
    <w:p w14:paraId="3374CEE2" w14:textId="60F49C16" w:rsidR="00A026FD" w:rsidRDefault="0047228E">
      <w:pPr>
        <w:pStyle w:val="DecList"/>
        <w:keepNext/>
        <w:keepLines/>
      </w:pPr>
      <w:r>
        <w:rPr>
          <w:i/>
        </w:rPr>
        <w:t>Postanawia</w:t>
      </w:r>
      <w:r>
        <w:t xml:space="preserve"> skreślić skargę z listy spraw zgodnie z art. 37 ust. 1 lit. c</w:t>
      </w:r>
      <w:r w:rsidR="00C50A28">
        <w:t xml:space="preserve"> </w:t>
      </w:r>
      <w:r>
        <w:t>Konwencji.</w:t>
      </w:r>
    </w:p>
    <w:p w14:paraId="23318421" w14:textId="0B246EAA" w:rsidR="00A026FD" w:rsidRDefault="0047228E">
      <w:pPr>
        <w:pStyle w:val="DecList"/>
        <w:keepNext/>
        <w:keepLines/>
      </w:pPr>
      <w:r>
        <w:t>Sporządzono w języku angielskim i obwieszczono pisemnie w dniu 4</w:t>
      </w:r>
      <w:r w:rsidR="004212CB">
        <w:t> </w:t>
      </w:r>
      <w:bookmarkStart w:id="1" w:name="_GoBack"/>
      <w:bookmarkEnd w:id="1"/>
      <w:r>
        <w:t>kwietnia 2019 r.</w:t>
      </w:r>
    </w:p>
    <w:p w14:paraId="3DA6992A" w14:textId="77777777" w:rsidR="00A026FD" w:rsidRDefault="0047228E">
      <w:pPr>
        <w:pStyle w:val="JuSigned"/>
        <w:keepNext/>
        <w:keepLines/>
        <w:tabs>
          <w:tab w:val="clear" w:pos="851"/>
          <w:tab w:val="clear" w:pos="6407"/>
          <w:tab w:val="center" w:pos="1276"/>
          <w:tab w:val="center" w:pos="5812"/>
        </w:tabs>
      </w:pPr>
      <w:r>
        <w:tab/>
        <w:t xml:space="preserve">Stanley Naismith </w:t>
      </w:r>
      <w:r>
        <w:tab/>
        <w:t>Robert Spano</w:t>
      </w:r>
      <w:r>
        <w:br/>
      </w:r>
      <w:r>
        <w:tab/>
        <w:t xml:space="preserve">Kanclerz </w:t>
      </w:r>
      <w:r>
        <w:tab/>
        <w:t>Przewodniczący</w:t>
      </w:r>
    </w:p>
    <w:p w14:paraId="3B4EBC6C" w14:textId="77777777" w:rsidR="00A026FD" w:rsidRDefault="0047228E">
      <w:pPr>
        <w:pStyle w:val="ECHRPara"/>
      </w:pPr>
      <w:r>
        <w:br w:type="page"/>
      </w:r>
    </w:p>
    <w:p w14:paraId="569F3EBE" w14:textId="77777777" w:rsidR="00A026FD" w:rsidRDefault="00A026FD">
      <w:pPr>
        <w:pStyle w:val="JuTitle"/>
      </w:pPr>
    </w:p>
    <w:p w14:paraId="3636F21D" w14:textId="77777777" w:rsidR="00A026FD" w:rsidRDefault="0047228E">
      <w:pPr>
        <w:pStyle w:val="JuTitle"/>
      </w:pPr>
      <w:r>
        <w:t>Załącznik</w:t>
      </w:r>
    </w:p>
    <w:p w14:paraId="74F31C5F" w14:textId="77777777" w:rsidR="00A026FD" w:rsidRDefault="00A026FD"/>
    <w:p w14:paraId="2D94608C" w14:textId="77777777" w:rsidR="00A026FD" w:rsidRDefault="00A026FD"/>
    <w:tbl>
      <w:tblPr>
        <w:tblStyle w:val="ECHRListTable"/>
        <w:tblW w:w="5197" w:type="pct"/>
        <w:tblInd w:w="-289" w:type="dxa"/>
        <w:tblLook w:val="05E0" w:firstRow="1" w:lastRow="1" w:firstColumn="1" w:lastColumn="1" w:noHBand="0" w:noVBand="1"/>
      </w:tblPr>
      <w:tblGrid>
        <w:gridCol w:w="496"/>
        <w:gridCol w:w="1563"/>
        <w:gridCol w:w="1243"/>
        <w:gridCol w:w="1670"/>
        <w:gridCol w:w="1590"/>
        <w:gridCol w:w="1550"/>
      </w:tblGrid>
      <w:tr w:rsidR="00A026FD" w14:paraId="11B66D50" w14:textId="77777777" w:rsidTr="006C01B5">
        <w:trPr>
          <w:cnfStyle w:val="100000000000" w:firstRow="1" w:lastRow="0" w:firstColumn="0" w:lastColumn="0" w:oddVBand="0" w:evenVBand="0" w:oddHBand="0" w:evenHBand="0" w:firstRowFirstColumn="0" w:firstRowLastColumn="0" w:lastRowFirstColumn="0" w:lastRowLastColumn="0"/>
        </w:trPr>
        <w:tc>
          <w:tcPr>
            <w:tcW w:w="312" w:type="pct"/>
          </w:tcPr>
          <w:p w14:paraId="3048B466" w14:textId="77777777" w:rsidR="00A026FD" w:rsidRDefault="0047228E">
            <w:pPr>
              <w:jc w:val="left"/>
            </w:pPr>
            <w:r>
              <w:t>Nr</w:t>
            </w:r>
          </w:p>
        </w:tc>
        <w:tc>
          <w:tcPr>
            <w:tcW w:w="962" w:type="pct"/>
          </w:tcPr>
          <w:p w14:paraId="703D8937" w14:textId="77777777" w:rsidR="00A026FD" w:rsidRDefault="0047228E">
            <w:pPr>
              <w:jc w:val="left"/>
            </w:pPr>
            <w:r>
              <w:t>Imię NAZWISKO</w:t>
            </w:r>
          </w:p>
        </w:tc>
        <w:tc>
          <w:tcPr>
            <w:tcW w:w="861" w:type="pct"/>
          </w:tcPr>
          <w:p w14:paraId="03C5ECDC" w14:textId="77777777" w:rsidR="00A026FD" w:rsidRDefault="0047228E">
            <w:pPr>
              <w:jc w:val="left"/>
            </w:pPr>
            <w:r>
              <w:t>Rok urodzenia</w:t>
            </w:r>
          </w:p>
        </w:tc>
        <w:tc>
          <w:tcPr>
            <w:tcW w:w="933" w:type="pct"/>
          </w:tcPr>
          <w:p w14:paraId="5B1C5A5C" w14:textId="77777777" w:rsidR="00A026FD" w:rsidRDefault="0047228E">
            <w:pPr>
              <w:jc w:val="left"/>
            </w:pPr>
            <w:r>
              <w:t>Obywatelstwo</w:t>
            </w:r>
          </w:p>
        </w:tc>
        <w:tc>
          <w:tcPr>
            <w:tcW w:w="978" w:type="pct"/>
          </w:tcPr>
          <w:p w14:paraId="69C35C3A" w14:textId="77777777" w:rsidR="00A026FD" w:rsidRDefault="0047228E">
            <w:pPr>
              <w:jc w:val="left"/>
            </w:pPr>
            <w:r>
              <w:t>Miejsce zamieszkania</w:t>
            </w:r>
          </w:p>
        </w:tc>
        <w:tc>
          <w:tcPr>
            <w:tcW w:w="954" w:type="pct"/>
          </w:tcPr>
          <w:p w14:paraId="06B610FD" w14:textId="77777777" w:rsidR="00A026FD" w:rsidRDefault="0047228E">
            <w:pPr>
              <w:jc w:val="left"/>
            </w:pPr>
            <w:r>
              <w:t>Pełnomocnik</w:t>
            </w:r>
          </w:p>
        </w:tc>
      </w:tr>
      <w:tr w:rsidR="00A026FD" w14:paraId="37A5DA89" w14:textId="77777777" w:rsidTr="006C01B5">
        <w:tc>
          <w:tcPr>
            <w:tcW w:w="312" w:type="pct"/>
          </w:tcPr>
          <w:p w14:paraId="1E8C60C5" w14:textId="77777777" w:rsidR="00A026FD" w:rsidRDefault="00A026FD">
            <w:pPr>
              <w:pStyle w:val="Akapitzlist"/>
              <w:numPr>
                <w:ilvl w:val="0"/>
                <w:numId w:val="17"/>
              </w:numPr>
              <w:jc w:val="left"/>
              <w:rPr>
                <w:b/>
              </w:rPr>
            </w:pPr>
          </w:p>
        </w:tc>
        <w:tc>
          <w:tcPr>
            <w:tcW w:w="962" w:type="pct"/>
          </w:tcPr>
          <w:p w14:paraId="0A691CB8" w14:textId="77777777" w:rsidR="00A026FD" w:rsidRDefault="0047228E">
            <w:pPr>
              <w:jc w:val="left"/>
            </w:pPr>
            <w:r>
              <w:t>Bayram TAŞDEMİR</w:t>
            </w:r>
          </w:p>
        </w:tc>
        <w:tc>
          <w:tcPr>
            <w:tcW w:w="861" w:type="pct"/>
          </w:tcPr>
          <w:p w14:paraId="7D7F6654" w14:textId="77777777" w:rsidR="00A026FD" w:rsidRDefault="0047228E">
            <w:pPr>
              <w:jc w:val="left"/>
            </w:pPr>
            <w:r>
              <w:t>1946</w:t>
            </w:r>
          </w:p>
        </w:tc>
        <w:tc>
          <w:tcPr>
            <w:tcW w:w="933" w:type="pct"/>
          </w:tcPr>
          <w:p w14:paraId="1B859A28" w14:textId="77777777" w:rsidR="00A026FD" w:rsidRDefault="0047228E">
            <w:pPr>
              <w:jc w:val="left"/>
            </w:pPr>
            <w:r>
              <w:t>Tureckie</w:t>
            </w:r>
          </w:p>
        </w:tc>
        <w:tc>
          <w:tcPr>
            <w:tcW w:w="978" w:type="pct"/>
          </w:tcPr>
          <w:p w14:paraId="6F77AAE6" w14:textId="77777777" w:rsidR="00A026FD" w:rsidRDefault="0047228E">
            <w:pPr>
              <w:jc w:val="left"/>
            </w:pPr>
            <w:r>
              <w:t>TEKİRDAĞ</w:t>
            </w:r>
          </w:p>
        </w:tc>
        <w:tc>
          <w:tcPr>
            <w:tcW w:w="954" w:type="pct"/>
          </w:tcPr>
          <w:p w14:paraId="5CE42680" w14:textId="77777777" w:rsidR="00A026FD" w:rsidRDefault="0047228E">
            <w:pPr>
              <w:jc w:val="left"/>
            </w:pPr>
            <w:r>
              <w:t>G. Tuncer</w:t>
            </w:r>
          </w:p>
        </w:tc>
      </w:tr>
      <w:tr w:rsidR="00A026FD" w14:paraId="243E469B" w14:textId="77777777" w:rsidTr="006C01B5">
        <w:tc>
          <w:tcPr>
            <w:tcW w:w="312" w:type="pct"/>
          </w:tcPr>
          <w:p w14:paraId="70BD9208" w14:textId="77777777" w:rsidR="00A026FD" w:rsidRDefault="00A026FD">
            <w:pPr>
              <w:pStyle w:val="Akapitzlist"/>
              <w:numPr>
                <w:ilvl w:val="0"/>
                <w:numId w:val="17"/>
              </w:numPr>
              <w:jc w:val="left"/>
              <w:rPr>
                <w:b/>
              </w:rPr>
            </w:pPr>
          </w:p>
        </w:tc>
        <w:tc>
          <w:tcPr>
            <w:tcW w:w="962" w:type="pct"/>
          </w:tcPr>
          <w:p w14:paraId="33983C10" w14:textId="77777777" w:rsidR="00A026FD" w:rsidRDefault="0047228E">
            <w:pPr>
              <w:jc w:val="left"/>
            </w:pPr>
            <w:r>
              <w:t>Sevim TAŞDEMİR</w:t>
            </w:r>
          </w:p>
        </w:tc>
        <w:tc>
          <w:tcPr>
            <w:tcW w:w="861" w:type="pct"/>
          </w:tcPr>
          <w:p w14:paraId="7244EEBA" w14:textId="77777777" w:rsidR="00A026FD" w:rsidRDefault="0047228E">
            <w:pPr>
              <w:jc w:val="left"/>
            </w:pPr>
            <w:r>
              <w:t>1963</w:t>
            </w:r>
          </w:p>
        </w:tc>
        <w:tc>
          <w:tcPr>
            <w:tcW w:w="933" w:type="pct"/>
          </w:tcPr>
          <w:p w14:paraId="59874942" w14:textId="77777777" w:rsidR="00A026FD" w:rsidRDefault="0047228E">
            <w:pPr>
              <w:jc w:val="left"/>
            </w:pPr>
            <w:r>
              <w:t>Tureckie</w:t>
            </w:r>
          </w:p>
        </w:tc>
        <w:tc>
          <w:tcPr>
            <w:tcW w:w="978" w:type="pct"/>
          </w:tcPr>
          <w:p w14:paraId="36125433" w14:textId="77777777" w:rsidR="00A026FD" w:rsidRDefault="0047228E">
            <w:pPr>
              <w:jc w:val="left"/>
            </w:pPr>
            <w:r>
              <w:t>TEKİRDAĞ</w:t>
            </w:r>
          </w:p>
        </w:tc>
        <w:tc>
          <w:tcPr>
            <w:tcW w:w="954" w:type="pct"/>
          </w:tcPr>
          <w:p w14:paraId="7834FF97" w14:textId="77777777" w:rsidR="00A026FD" w:rsidRDefault="0047228E">
            <w:pPr>
              <w:jc w:val="left"/>
            </w:pPr>
            <w:r>
              <w:t>G. Tuncer</w:t>
            </w:r>
          </w:p>
        </w:tc>
      </w:tr>
      <w:tr w:rsidR="00A026FD" w14:paraId="6F026B60" w14:textId="77777777" w:rsidTr="006C01B5">
        <w:tc>
          <w:tcPr>
            <w:tcW w:w="312" w:type="pct"/>
          </w:tcPr>
          <w:p w14:paraId="042780CE" w14:textId="77777777" w:rsidR="00A026FD" w:rsidRDefault="00A026FD">
            <w:pPr>
              <w:pStyle w:val="Akapitzlist"/>
              <w:numPr>
                <w:ilvl w:val="0"/>
                <w:numId w:val="17"/>
              </w:numPr>
              <w:jc w:val="left"/>
              <w:rPr>
                <w:b/>
              </w:rPr>
            </w:pPr>
          </w:p>
        </w:tc>
        <w:tc>
          <w:tcPr>
            <w:tcW w:w="962" w:type="pct"/>
          </w:tcPr>
          <w:p w14:paraId="7A84FFCD" w14:textId="77777777" w:rsidR="00A026FD" w:rsidRDefault="0047228E">
            <w:pPr>
              <w:jc w:val="left"/>
            </w:pPr>
            <w:r>
              <w:t>İlknur TAŞDEMİR</w:t>
            </w:r>
          </w:p>
        </w:tc>
        <w:tc>
          <w:tcPr>
            <w:tcW w:w="861" w:type="pct"/>
          </w:tcPr>
          <w:p w14:paraId="5B5658AD" w14:textId="77777777" w:rsidR="00A026FD" w:rsidRDefault="0047228E">
            <w:pPr>
              <w:jc w:val="left"/>
            </w:pPr>
            <w:r>
              <w:t>1980</w:t>
            </w:r>
          </w:p>
        </w:tc>
        <w:tc>
          <w:tcPr>
            <w:tcW w:w="933" w:type="pct"/>
          </w:tcPr>
          <w:p w14:paraId="1A94D2C5" w14:textId="77777777" w:rsidR="00A026FD" w:rsidRDefault="0047228E">
            <w:pPr>
              <w:jc w:val="left"/>
            </w:pPr>
            <w:r>
              <w:t>Tureckie</w:t>
            </w:r>
          </w:p>
        </w:tc>
        <w:tc>
          <w:tcPr>
            <w:tcW w:w="978" w:type="pct"/>
          </w:tcPr>
          <w:p w14:paraId="5A6694F3" w14:textId="77777777" w:rsidR="00A026FD" w:rsidRDefault="0047228E">
            <w:pPr>
              <w:jc w:val="left"/>
            </w:pPr>
            <w:r>
              <w:t>TEKİRDAĞ</w:t>
            </w:r>
          </w:p>
        </w:tc>
        <w:tc>
          <w:tcPr>
            <w:tcW w:w="954" w:type="pct"/>
          </w:tcPr>
          <w:p w14:paraId="2C6D0FC3" w14:textId="77777777" w:rsidR="00A026FD" w:rsidRDefault="0047228E">
            <w:pPr>
              <w:jc w:val="left"/>
            </w:pPr>
            <w:r>
              <w:t>G. Tuncer</w:t>
            </w:r>
          </w:p>
        </w:tc>
      </w:tr>
      <w:tr w:rsidR="00A026FD" w14:paraId="4F4E0193" w14:textId="77777777" w:rsidTr="006C01B5">
        <w:tc>
          <w:tcPr>
            <w:tcW w:w="312" w:type="pct"/>
          </w:tcPr>
          <w:p w14:paraId="4ADE4347" w14:textId="77777777" w:rsidR="00A026FD" w:rsidRDefault="00A026FD">
            <w:pPr>
              <w:pStyle w:val="Akapitzlist"/>
              <w:numPr>
                <w:ilvl w:val="0"/>
                <w:numId w:val="17"/>
              </w:numPr>
              <w:jc w:val="left"/>
              <w:rPr>
                <w:b/>
              </w:rPr>
            </w:pPr>
          </w:p>
        </w:tc>
        <w:tc>
          <w:tcPr>
            <w:tcW w:w="962" w:type="pct"/>
          </w:tcPr>
          <w:p w14:paraId="4BC7C8F1" w14:textId="77777777" w:rsidR="00A026FD" w:rsidRDefault="0047228E">
            <w:pPr>
              <w:jc w:val="left"/>
            </w:pPr>
            <w:r>
              <w:t>Tuncay TAŞDEMİR</w:t>
            </w:r>
          </w:p>
        </w:tc>
        <w:tc>
          <w:tcPr>
            <w:tcW w:w="861" w:type="pct"/>
          </w:tcPr>
          <w:p w14:paraId="4A74B0B3" w14:textId="77777777" w:rsidR="00A026FD" w:rsidRDefault="0047228E">
            <w:pPr>
              <w:jc w:val="left"/>
            </w:pPr>
            <w:r>
              <w:t>1984</w:t>
            </w:r>
          </w:p>
        </w:tc>
        <w:tc>
          <w:tcPr>
            <w:tcW w:w="933" w:type="pct"/>
          </w:tcPr>
          <w:p w14:paraId="79AB931F" w14:textId="77777777" w:rsidR="00A026FD" w:rsidRDefault="0047228E">
            <w:pPr>
              <w:jc w:val="left"/>
            </w:pPr>
            <w:r>
              <w:t>Tureckie</w:t>
            </w:r>
          </w:p>
        </w:tc>
        <w:tc>
          <w:tcPr>
            <w:tcW w:w="978" w:type="pct"/>
          </w:tcPr>
          <w:p w14:paraId="46381322" w14:textId="77777777" w:rsidR="00A026FD" w:rsidRDefault="0047228E">
            <w:pPr>
              <w:jc w:val="left"/>
            </w:pPr>
            <w:r>
              <w:t>TEKİRDAĞ</w:t>
            </w:r>
          </w:p>
        </w:tc>
        <w:tc>
          <w:tcPr>
            <w:tcW w:w="954" w:type="pct"/>
          </w:tcPr>
          <w:p w14:paraId="7042D764" w14:textId="77777777" w:rsidR="00A026FD" w:rsidRDefault="0047228E">
            <w:pPr>
              <w:jc w:val="left"/>
            </w:pPr>
            <w:r>
              <w:t>G. Tuncer</w:t>
            </w:r>
          </w:p>
        </w:tc>
      </w:tr>
      <w:tr w:rsidR="00A026FD" w14:paraId="1B155824" w14:textId="77777777" w:rsidTr="006C01B5">
        <w:tc>
          <w:tcPr>
            <w:tcW w:w="312" w:type="pct"/>
          </w:tcPr>
          <w:p w14:paraId="7E9F541E" w14:textId="77777777" w:rsidR="00A026FD" w:rsidRDefault="00A026FD">
            <w:pPr>
              <w:pStyle w:val="Akapitzlist"/>
              <w:numPr>
                <w:ilvl w:val="0"/>
                <w:numId w:val="17"/>
              </w:numPr>
              <w:jc w:val="left"/>
              <w:rPr>
                <w:b/>
              </w:rPr>
            </w:pPr>
          </w:p>
        </w:tc>
        <w:tc>
          <w:tcPr>
            <w:tcW w:w="962" w:type="pct"/>
          </w:tcPr>
          <w:p w14:paraId="416AFC6F" w14:textId="77777777" w:rsidR="00A026FD" w:rsidRDefault="0047228E">
            <w:pPr>
              <w:jc w:val="left"/>
            </w:pPr>
            <w:r>
              <w:t>Turgay TAŞDEMİR</w:t>
            </w:r>
          </w:p>
        </w:tc>
        <w:tc>
          <w:tcPr>
            <w:tcW w:w="861" w:type="pct"/>
          </w:tcPr>
          <w:p w14:paraId="4062F9C7" w14:textId="77777777" w:rsidR="00A026FD" w:rsidRDefault="0047228E">
            <w:pPr>
              <w:jc w:val="left"/>
            </w:pPr>
            <w:r>
              <w:t>1986</w:t>
            </w:r>
          </w:p>
        </w:tc>
        <w:tc>
          <w:tcPr>
            <w:tcW w:w="933" w:type="pct"/>
          </w:tcPr>
          <w:p w14:paraId="30151DC3" w14:textId="77777777" w:rsidR="00A026FD" w:rsidRDefault="0047228E">
            <w:pPr>
              <w:jc w:val="left"/>
            </w:pPr>
            <w:r>
              <w:t>Tureckie</w:t>
            </w:r>
          </w:p>
        </w:tc>
        <w:tc>
          <w:tcPr>
            <w:tcW w:w="978" w:type="pct"/>
          </w:tcPr>
          <w:p w14:paraId="35238CD8" w14:textId="77777777" w:rsidR="00A026FD" w:rsidRDefault="0047228E">
            <w:pPr>
              <w:jc w:val="left"/>
            </w:pPr>
            <w:r>
              <w:t>TEKİRDAĞ</w:t>
            </w:r>
          </w:p>
        </w:tc>
        <w:tc>
          <w:tcPr>
            <w:tcW w:w="954" w:type="pct"/>
          </w:tcPr>
          <w:p w14:paraId="2FDF0D7E" w14:textId="77777777" w:rsidR="00A026FD" w:rsidRDefault="0047228E">
            <w:pPr>
              <w:jc w:val="left"/>
            </w:pPr>
            <w:r>
              <w:t>G. Tuncer</w:t>
            </w:r>
          </w:p>
        </w:tc>
      </w:tr>
      <w:tr w:rsidR="00A026FD" w14:paraId="39EA8282" w14:textId="77777777" w:rsidTr="006C01B5">
        <w:tc>
          <w:tcPr>
            <w:tcW w:w="312" w:type="pct"/>
          </w:tcPr>
          <w:p w14:paraId="1CE32DDA" w14:textId="77777777" w:rsidR="00A026FD" w:rsidRDefault="00A026FD">
            <w:pPr>
              <w:pStyle w:val="Akapitzlist"/>
              <w:numPr>
                <w:ilvl w:val="0"/>
                <w:numId w:val="17"/>
              </w:numPr>
              <w:jc w:val="left"/>
              <w:rPr>
                <w:b/>
              </w:rPr>
            </w:pPr>
          </w:p>
        </w:tc>
        <w:tc>
          <w:tcPr>
            <w:tcW w:w="962" w:type="pct"/>
          </w:tcPr>
          <w:p w14:paraId="5262D6B1" w14:textId="77777777" w:rsidR="00A026FD" w:rsidRDefault="0047228E">
            <w:pPr>
              <w:jc w:val="left"/>
            </w:pPr>
            <w:r>
              <w:t>Turgut TAŞDEMİR</w:t>
            </w:r>
          </w:p>
        </w:tc>
        <w:tc>
          <w:tcPr>
            <w:tcW w:w="861" w:type="pct"/>
          </w:tcPr>
          <w:p w14:paraId="34D31D9E" w14:textId="77777777" w:rsidR="00A026FD" w:rsidRDefault="0047228E">
            <w:pPr>
              <w:jc w:val="left"/>
            </w:pPr>
            <w:r>
              <w:t>1991</w:t>
            </w:r>
          </w:p>
        </w:tc>
        <w:tc>
          <w:tcPr>
            <w:tcW w:w="933" w:type="pct"/>
          </w:tcPr>
          <w:p w14:paraId="2223FDA8" w14:textId="77777777" w:rsidR="00A026FD" w:rsidRDefault="0047228E">
            <w:pPr>
              <w:jc w:val="left"/>
            </w:pPr>
            <w:r>
              <w:t>Tureckie</w:t>
            </w:r>
          </w:p>
        </w:tc>
        <w:tc>
          <w:tcPr>
            <w:tcW w:w="978" w:type="pct"/>
          </w:tcPr>
          <w:p w14:paraId="59C6E5E7" w14:textId="77777777" w:rsidR="00A026FD" w:rsidRDefault="0047228E">
            <w:pPr>
              <w:jc w:val="left"/>
            </w:pPr>
            <w:r>
              <w:t>TEKİRDAĞ</w:t>
            </w:r>
          </w:p>
        </w:tc>
        <w:tc>
          <w:tcPr>
            <w:tcW w:w="954" w:type="pct"/>
          </w:tcPr>
          <w:p w14:paraId="3E6EC0E2" w14:textId="77777777" w:rsidR="00A026FD" w:rsidRDefault="0047228E">
            <w:pPr>
              <w:jc w:val="left"/>
            </w:pPr>
            <w:r>
              <w:t>G. Tuncer</w:t>
            </w:r>
          </w:p>
        </w:tc>
      </w:tr>
      <w:tr w:rsidR="00A026FD" w14:paraId="6B962FF0" w14:textId="77777777" w:rsidTr="006C01B5">
        <w:tc>
          <w:tcPr>
            <w:tcW w:w="312" w:type="pct"/>
          </w:tcPr>
          <w:p w14:paraId="749D77FC" w14:textId="77777777" w:rsidR="00A026FD" w:rsidRDefault="00A026FD">
            <w:pPr>
              <w:pStyle w:val="Akapitzlist"/>
              <w:numPr>
                <w:ilvl w:val="0"/>
                <w:numId w:val="17"/>
              </w:numPr>
              <w:jc w:val="left"/>
              <w:rPr>
                <w:b/>
              </w:rPr>
            </w:pPr>
          </w:p>
        </w:tc>
        <w:tc>
          <w:tcPr>
            <w:tcW w:w="962" w:type="pct"/>
          </w:tcPr>
          <w:p w14:paraId="5810F8AE" w14:textId="77777777" w:rsidR="00A026FD" w:rsidRDefault="0047228E">
            <w:pPr>
              <w:jc w:val="left"/>
            </w:pPr>
            <w:r>
              <w:t>Umut TAŞDEMİR</w:t>
            </w:r>
          </w:p>
        </w:tc>
        <w:tc>
          <w:tcPr>
            <w:tcW w:w="861" w:type="pct"/>
          </w:tcPr>
          <w:p w14:paraId="1E21080D" w14:textId="77777777" w:rsidR="00A026FD" w:rsidRDefault="0047228E">
            <w:pPr>
              <w:jc w:val="left"/>
            </w:pPr>
            <w:r>
              <w:t>1996</w:t>
            </w:r>
          </w:p>
        </w:tc>
        <w:tc>
          <w:tcPr>
            <w:tcW w:w="933" w:type="pct"/>
          </w:tcPr>
          <w:p w14:paraId="743E9038" w14:textId="77777777" w:rsidR="00A026FD" w:rsidRDefault="0047228E">
            <w:pPr>
              <w:jc w:val="left"/>
            </w:pPr>
            <w:r>
              <w:t>Tureckie</w:t>
            </w:r>
          </w:p>
        </w:tc>
        <w:tc>
          <w:tcPr>
            <w:tcW w:w="978" w:type="pct"/>
          </w:tcPr>
          <w:p w14:paraId="1F2FA8B6" w14:textId="77777777" w:rsidR="00A026FD" w:rsidRDefault="0047228E">
            <w:pPr>
              <w:jc w:val="left"/>
            </w:pPr>
            <w:r>
              <w:t>TEKİRDAĞ</w:t>
            </w:r>
          </w:p>
        </w:tc>
        <w:tc>
          <w:tcPr>
            <w:tcW w:w="954" w:type="pct"/>
          </w:tcPr>
          <w:p w14:paraId="0268050B" w14:textId="77777777" w:rsidR="00A026FD" w:rsidRDefault="0047228E">
            <w:pPr>
              <w:jc w:val="left"/>
            </w:pPr>
            <w:r>
              <w:t>G. Tuncer</w:t>
            </w:r>
          </w:p>
        </w:tc>
      </w:tr>
    </w:tbl>
    <w:p w14:paraId="7BBA0C30" w14:textId="77777777" w:rsidR="00A026FD" w:rsidRDefault="00A026FD"/>
    <w:sectPr w:rsidR="00A026FD">
      <w:headerReference w:type="even" r:id="rId11"/>
      <w:headerReference w:type="default" r:id="rId12"/>
      <w:headerReference w:type="first" r:id="rId13"/>
      <w:footerReference w:type="first" r:id="rId14"/>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308343" w14:textId="77777777" w:rsidR="00E04671" w:rsidRDefault="00E04671">
      <w:r>
        <w:separator/>
      </w:r>
    </w:p>
  </w:endnote>
  <w:endnote w:type="continuationSeparator" w:id="0">
    <w:p w14:paraId="0160A182" w14:textId="77777777" w:rsidR="00E04671" w:rsidRDefault="00E04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02435" w14:textId="77777777" w:rsidR="00A026FD" w:rsidRDefault="0047228E">
    <w:pPr>
      <w:jc w:val="center"/>
    </w:pPr>
    <w:r>
      <w:rPr>
        <w:noProof/>
      </w:rPr>
      <w:drawing>
        <wp:inline distT="0" distB="0" distL="0" distR="0" wp14:anchorId="5CCAA445" wp14:editId="650CC44E">
          <wp:extent cx="771525" cy="619125"/>
          <wp:effectExtent l="0" t="0" r="9525" b="9525"/>
          <wp:docPr id="21" name="Picture 2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889D8A6" w14:textId="77777777" w:rsidR="00A026FD" w:rsidRDefault="00A026FD">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48429" w14:textId="77777777" w:rsidR="00E04671" w:rsidRDefault="00E04671">
      <w:r>
        <w:separator/>
      </w:r>
    </w:p>
  </w:footnote>
  <w:footnote w:type="continuationSeparator" w:id="0">
    <w:p w14:paraId="4C99F33C" w14:textId="77777777" w:rsidR="00E04671" w:rsidRDefault="00E046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0F9ED" w14:textId="08033CAA" w:rsidR="006C01B5" w:rsidRDefault="00BF1707" w:rsidP="00960FE2">
    <w:pPr>
      <w:pStyle w:val="ECHRHeader"/>
      <w:jc w:val="center"/>
      <w:rPr>
        <w:rStyle w:val="Numerstrony"/>
      </w:rPr>
    </w:pPr>
    <w:r>
      <w:tab/>
    </w:r>
    <w:r w:rsidR="006C01B5">
      <w:t>DECYZJA</w:t>
    </w:r>
    <w:r>
      <w:t xml:space="preserve"> w sprawie</w:t>
    </w:r>
    <w:r w:rsidR="006C01B5">
      <w:t xml:space="preserve"> TAŞDEMİR przeciwko TURCJI</w:t>
    </w:r>
    <w:r w:rsidR="00960FE2">
      <w:rPr>
        <w:rStyle w:val="Numerstrony"/>
      </w:rPr>
      <w:tab/>
    </w:r>
    <w:r w:rsidR="0047228E">
      <w:rPr>
        <w:rStyle w:val="Numerstrony"/>
      </w:rPr>
      <w:fldChar w:fldCharType="begin"/>
    </w:r>
    <w:r w:rsidR="0047228E">
      <w:rPr>
        <w:rStyle w:val="Numerstrony"/>
      </w:rPr>
      <w:instrText xml:space="preserve"> PAGE </w:instrText>
    </w:r>
    <w:r w:rsidR="0047228E">
      <w:rPr>
        <w:rStyle w:val="Numerstrony"/>
      </w:rPr>
      <w:fldChar w:fldCharType="separate"/>
    </w:r>
    <w:r w:rsidR="004212CB">
      <w:rPr>
        <w:rStyle w:val="Numerstrony"/>
        <w:noProof/>
      </w:rPr>
      <w:t>8</w:t>
    </w:r>
    <w:r w:rsidR="0047228E">
      <w:rPr>
        <w:rStyle w:val="Numerstrony"/>
      </w:rPr>
      <w:fldChar w:fldCharType="end"/>
    </w:r>
  </w:p>
  <w:p w14:paraId="6E7F33C5" w14:textId="7BBF130C" w:rsidR="00A026FD" w:rsidRDefault="00A026FD">
    <w:pPr>
      <w:pStyle w:val="ECHR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AA8DA" w14:textId="15867851" w:rsidR="00A026FD" w:rsidRDefault="00BF1707" w:rsidP="00960FE2">
    <w:pPr>
      <w:pStyle w:val="ECHRHeader"/>
      <w:jc w:val="center"/>
    </w:pPr>
    <w:r>
      <w:tab/>
    </w:r>
    <w:r w:rsidR="0047228E">
      <w:t xml:space="preserve">DECYZJA </w:t>
    </w:r>
    <w:r>
      <w:t xml:space="preserve">w sprawie </w:t>
    </w:r>
    <w:r w:rsidR="0047228E">
      <w:t>TAŞDEMİR przeciwko TURCJI</w:t>
    </w:r>
    <w:r w:rsidR="00960FE2">
      <w:tab/>
    </w:r>
    <w:r w:rsidR="0047228E">
      <w:rPr>
        <w:rStyle w:val="Numerstrony"/>
      </w:rPr>
      <w:fldChar w:fldCharType="begin"/>
    </w:r>
    <w:r w:rsidR="0047228E">
      <w:rPr>
        <w:rStyle w:val="Numerstrony"/>
      </w:rPr>
      <w:instrText xml:space="preserve"> PAGE </w:instrText>
    </w:r>
    <w:r w:rsidR="0047228E">
      <w:rPr>
        <w:rStyle w:val="Numerstrony"/>
      </w:rPr>
      <w:fldChar w:fldCharType="separate"/>
    </w:r>
    <w:r w:rsidR="004212CB">
      <w:rPr>
        <w:rStyle w:val="Numerstrony"/>
        <w:noProof/>
      </w:rPr>
      <w:t>7</w:t>
    </w:r>
    <w:r w:rsidR="0047228E">
      <w:rPr>
        <w:rStyle w:val="Numerstrony"/>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D1964" w14:textId="77777777" w:rsidR="00A026FD" w:rsidRDefault="0047228E">
    <w:pPr>
      <w:jc w:val="center"/>
    </w:pPr>
    <w:r>
      <w:rPr>
        <w:noProof/>
      </w:rPr>
      <w:drawing>
        <wp:inline distT="0" distB="0" distL="0" distR="0" wp14:anchorId="0C4E65A2" wp14:editId="369DBF8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764040C" w14:textId="77777777" w:rsidR="00A026FD" w:rsidRDefault="00A026FD">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87C151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5C4D5D"/>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561282B"/>
    <w:multiLevelType w:val="hybridMultilevel"/>
    <w:tmpl w:val="6B4832DE"/>
    <w:lvl w:ilvl="0" w:tplc="E49A9708">
      <w:start w:val="1"/>
      <w:numFmt w:val="decimal"/>
      <w:lvlRestart w:val="0"/>
      <w:lvlText w:val="%1."/>
      <w:lvlJc w:val="left"/>
      <w:pPr>
        <w:tabs>
          <w:tab w:val="num" w:pos="0"/>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4"/>
  </w:num>
  <w:num w:numId="2">
    <w:abstractNumId w:val="14"/>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defaultTabStop w:val="720"/>
  <w:hyphenationZone w:val="425"/>
  <w:evenAndOddHeaders/>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s>
  <w:rsids>
    <w:rsidRoot w:val="00B00469"/>
    <w:rsid w:val="000346BB"/>
    <w:rsid w:val="000444F3"/>
    <w:rsid w:val="00054167"/>
    <w:rsid w:val="000B4C71"/>
    <w:rsid w:val="000F7DE9"/>
    <w:rsid w:val="001152A9"/>
    <w:rsid w:val="001230A1"/>
    <w:rsid w:val="001611A8"/>
    <w:rsid w:val="00171AD2"/>
    <w:rsid w:val="00187AD8"/>
    <w:rsid w:val="001930C4"/>
    <w:rsid w:val="00195AB1"/>
    <w:rsid w:val="001E19A9"/>
    <w:rsid w:val="00201890"/>
    <w:rsid w:val="00222EE1"/>
    <w:rsid w:val="0027323A"/>
    <w:rsid w:val="002A20B5"/>
    <w:rsid w:val="002A5314"/>
    <w:rsid w:val="002C250A"/>
    <w:rsid w:val="002D5E12"/>
    <w:rsid w:val="00366FAE"/>
    <w:rsid w:val="00384D0E"/>
    <w:rsid w:val="003C0138"/>
    <w:rsid w:val="003E3C60"/>
    <w:rsid w:val="00402BC5"/>
    <w:rsid w:val="004212CB"/>
    <w:rsid w:val="00433039"/>
    <w:rsid w:val="0047228E"/>
    <w:rsid w:val="004C1925"/>
    <w:rsid w:val="004E4B82"/>
    <w:rsid w:val="00517FBB"/>
    <w:rsid w:val="005517C3"/>
    <w:rsid w:val="005A4C8B"/>
    <w:rsid w:val="005E3D48"/>
    <w:rsid w:val="005E3FCC"/>
    <w:rsid w:val="005E56C2"/>
    <w:rsid w:val="00600B73"/>
    <w:rsid w:val="006267D3"/>
    <w:rsid w:val="00671EC2"/>
    <w:rsid w:val="00697188"/>
    <w:rsid w:val="006C01B5"/>
    <w:rsid w:val="006C2F6E"/>
    <w:rsid w:val="006E123B"/>
    <w:rsid w:val="0075680D"/>
    <w:rsid w:val="00762069"/>
    <w:rsid w:val="00763A13"/>
    <w:rsid w:val="007C0105"/>
    <w:rsid w:val="00804B59"/>
    <w:rsid w:val="00837D9C"/>
    <w:rsid w:val="00853505"/>
    <w:rsid w:val="00866BDD"/>
    <w:rsid w:val="00905FFD"/>
    <w:rsid w:val="00960FE2"/>
    <w:rsid w:val="00970A48"/>
    <w:rsid w:val="009956A8"/>
    <w:rsid w:val="009E357E"/>
    <w:rsid w:val="009F5AFE"/>
    <w:rsid w:val="00A026FD"/>
    <w:rsid w:val="00AC59DE"/>
    <w:rsid w:val="00AD1FF0"/>
    <w:rsid w:val="00AF3191"/>
    <w:rsid w:val="00B00469"/>
    <w:rsid w:val="00B24A5C"/>
    <w:rsid w:val="00B25D71"/>
    <w:rsid w:val="00B30794"/>
    <w:rsid w:val="00BF1707"/>
    <w:rsid w:val="00C01AC1"/>
    <w:rsid w:val="00C26EDD"/>
    <w:rsid w:val="00C2722F"/>
    <w:rsid w:val="00C42C12"/>
    <w:rsid w:val="00C50A28"/>
    <w:rsid w:val="00C71A6C"/>
    <w:rsid w:val="00CA2EF1"/>
    <w:rsid w:val="00D1125F"/>
    <w:rsid w:val="00D340DD"/>
    <w:rsid w:val="00E01043"/>
    <w:rsid w:val="00E02CA3"/>
    <w:rsid w:val="00E04671"/>
    <w:rsid w:val="00E31269"/>
    <w:rsid w:val="00E355CA"/>
    <w:rsid w:val="00E57814"/>
    <w:rsid w:val="00E73275"/>
    <w:rsid w:val="00E76CF4"/>
    <w:rsid w:val="00EE3F31"/>
    <w:rsid w:val="00EE5464"/>
    <w:rsid w:val="00F32AFE"/>
    <w:rsid w:val="00FE49CD"/>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1F1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pl-PL" w:eastAsia="pl-PL"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987A64"/>
    <w:pPr>
      <w:jc w:val="both"/>
    </w:pPr>
    <w:rPr>
      <w:rFonts w:eastAsiaTheme="minorEastAsia"/>
      <w:sz w:val="24"/>
    </w:rPr>
  </w:style>
  <w:style w:type="paragraph" w:styleId="Nagwek1">
    <w:name w:val="heading 1"/>
    <w:basedOn w:val="Normalny"/>
    <w:next w:val="Normalny"/>
    <w:link w:val="Nagwek1Znak"/>
    <w:uiPriority w:val="99"/>
    <w:semiHidden/>
    <w:rsid w:val="00987A64"/>
    <w:pPr>
      <w:spacing w:before="480"/>
      <w:contextualSpacing/>
      <w:outlineLvl w:val="0"/>
    </w:pPr>
    <w:rPr>
      <w:rFonts w:asciiTheme="majorHAnsi" w:eastAsiaTheme="majorEastAsia" w:hAnsiTheme="majorHAnsi" w:cstheme="majorBidi"/>
      <w:b/>
      <w:color w:val="333333"/>
      <w:sz w:val="28"/>
    </w:rPr>
  </w:style>
  <w:style w:type="paragraph" w:styleId="Nagwek2">
    <w:name w:val="heading 2"/>
    <w:basedOn w:val="Normalny"/>
    <w:next w:val="Normalny"/>
    <w:link w:val="Nagwek2Znak"/>
    <w:uiPriority w:val="99"/>
    <w:semiHidden/>
    <w:rsid w:val="00987A64"/>
    <w:pPr>
      <w:spacing w:before="200"/>
      <w:outlineLvl w:val="1"/>
    </w:pPr>
    <w:rPr>
      <w:rFonts w:asciiTheme="majorHAnsi" w:eastAsiaTheme="majorEastAsia" w:hAnsiTheme="majorHAnsi" w:cstheme="majorBidi"/>
      <w:b/>
      <w:color w:val="4D4D4D"/>
      <w:sz w:val="26"/>
    </w:rPr>
  </w:style>
  <w:style w:type="paragraph" w:styleId="Nagwek3">
    <w:name w:val="heading 3"/>
    <w:basedOn w:val="Normalny"/>
    <w:next w:val="Normalny"/>
    <w:link w:val="Nagwek3Znak"/>
    <w:uiPriority w:val="99"/>
    <w:semiHidden/>
    <w:rsid w:val="00987A64"/>
    <w:pPr>
      <w:spacing w:before="200" w:line="271" w:lineRule="auto"/>
      <w:outlineLvl w:val="2"/>
    </w:pPr>
    <w:rPr>
      <w:rFonts w:asciiTheme="majorHAnsi" w:eastAsiaTheme="majorEastAsia" w:hAnsiTheme="majorHAnsi" w:cstheme="majorBidi"/>
      <w:b/>
      <w:color w:val="5F5F5F"/>
    </w:rPr>
  </w:style>
  <w:style w:type="paragraph" w:styleId="Nagwek4">
    <w:name w:val="heading 4"/>
    <w:basedOn w:val="Normalny"/>
    <w:next w:val="Normalny"/>
    <w:link w:val="Nagwek4Znak"/>
    <w:uiPriority w:val="99"/>
    <w:semiHidden/>
    <w:rsid w:val="00987A64"/>
    <w:pPr>
      <w:spacing w:before="200"/>
      <w:outlineLvl w:val="3"/>
    </w:pPr>
    <w:rPr>
      <w:rFonts w:asciiTheme="majorHAnsi" w:eastAsiaTheme="majorEastAsia" w:hAnsiTheme="majorHAnsi" w:cstheme="majorBidi"/>
      <w:b/>
      <w:i/>
      <w:color w:val="777777"/>
    </w:rPr>
  </w:style>
  <w:style w:type="paragraph" w:styleId="Nagwek5">
    <w:name w:val="heading 5"/>
    <w:basedOn w:val="Normalny"/>
    <w:next w:val="Normalny"/>
    <w:link w:val="Nagwek5Znak"/>
    <w:uiPriority w:val="99"/>
    <w:semiHidden/>
    <w:qFormat/>
    <w:rsid w:val="00987A64"/>
    <w:pPr>
      <w:spacing w:before="200"/>
      <w:outlineLvl w:val="4"/>
    </w:pPr>
    <w:rPr>
      <w:rFonts w:asciiTheme="majorHAnsi" w:eastAsiaTheme="majorEastAsia" w:hAnsiTheme="majorHAnsi" w:cstheme="majorBidi"/>
      <w:b/>
      <w:color w:val="808080"/>
    </w:rPr>
  </w:style>
  <w:style w:type="paragraph" w:styleId="Nagwek6">
    <w:name w:val="heading 6"/>
    <w:basedOn w:val="Normalny"/>
    <w:next w:val="Normalny"/>
    <w:link w:val="Nagwek6Znak"/>
    <w:uiPriority w:val="99"/>
    <w:semiHidden/>
    <w:rsid w:val="00987A64"/>
    <w:pPr>
      <w:spacing w:line="271" w:lineRule="auto"/>
      <w:outlineLvl w:val="5"/>
    </w:pPr>
    <w:rPr>
      <w:rFonts w:asciiTheme="majorHAnsi" w:eastAsiaTheme="majorEastAsia" w:hAnsiTheme="majorHAnsi" w:cstheme="majorBidi"/>
      <w:b/>
      <w:i/>
      <w:color w:val="7F7F7F" w:themeColor="text1" w:themeTint="80"/>
    </w:rPr>
  </w:style>
  <w:style w:type="paragraph" w:styleId="Nagwek7">
    <w:name w:val="heading 7"/>
    <w:basedOn w:val="Normalny"/>
    <w:next w:val="Normalny"/>
    <w:link w:val="Nagwek7Znak"/>
    <w:uiPriority w:val="99"/>
    <w:semiHidden/>
    <w:qFormat/>
    <w:rsid w:val="00987A64"/>
    <w:pPr>
      <w:outlineLvl w:val="6"/>
    </w:pPr>
    <w:rPr>
      <w:rFonts w:asciiTheme="majorHAnsi" w:eastAsiaTheme="majorEastAsia" w:hAnsiTheme="majorHAnsi" w:cstheme="majorBidi"/>
      <w:i/>
    </w:rPr>
  </w:style>
  <w:style w:type="paragraph" w:styleId="Nagwek8">
    <w:name w:val="heading 8"/>
    <w:basedOn w:val="Normalny"/>
    <w:next w:val="Normalny"/>
    <w:link w:val="Nagwek8Znak"/>
    <w:uiPriority w:val="99"/>
    <w:semiHidden/>
    <w:qFormat/>
    <w:rsid w:val="00987A64"/>
    <w:pPr>
      <w:outlineLvl w:val="7"/>
    </w:pPr>
    <w:rPr>
      <w:rFonts w:asciiTheme="majorHAnsi" w:eastAsiaTheme="majorEastAsia" w:hAnsiTheme="majorHAnsi" w:cstheme="majorBidi"/>
      <w:sz w:val="20"/>
    </w:rPr>
  </w:style>
  <w:style w:type="paragraph" w:styleId="Nagwek9">
    <w:name w:val="heading 9"/>
    <w:basedOn w:val="Normalny"/>
    <w:next w:val="Normalny"/>
    <w:link w:val="Nagwek9Znak"/>
    <w:uiPriority w:val="99"/>
    <w:semiHidden/>
    <w:qFormat/>
    <w:rsid w:val="00987A64"/>
    <w:pPr>
      <w:outlineLvl w:val="8"/>
    </w:pPr>
    <w:rPr>
      <w:rFonts w:asciiTheme="majorHAnsi" w:eastAsiaTheme="majorEastAsia" w:hAnsiTheme="majorHAnsi" w:cstheme="majorBidi"/>
      <w:i/>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987A64"/>
    <w:pPr>
      <w:tabs>
        <w:tab w:val="center" w:pos="851"/>
        <w:tab w:val="center" w:pos="6407"/>
      </w:tabs>
      <w:spacing w:before="720"/>
      <w:jc w:val="left"/>
    </w:pPr>
  </w:style>
  <w:style w:type="paragraph" w:customStyle="1" w:styleId="ECHRPara">
    <w:name w:val="ECHR_Para"/>
    <w:aliases w:val="Ju_Para,Left,First line:  0 cm,Para,N_Para"/>
    <w:basedOn w:val="Normalny"/>
    <w:link w:val="JuParaCar"/>
    <w:uiPriority w:val="12"/>
    <w:qFormat/>
    <w:rsid w:val="00987A64"/>
    <w:pPr>
      <w:ind w:firstLine="284"/>
    </w:pPr>
  </w:style>
  <w:style w:type="character" w:styleId="Numerstrony">
    <w:name w:val="page number"/>
    <w:uiPriority w:val="99"/>
    <w:semiHidden/>
    <w:rsid w:val="00E93FC7"/>
    <w:rPr>
      <w:sz w:val="18"/>
    </w:rPr>
  </w:style>
  <w:style w:type="character" w:styleId="Odwoaniedokomentarza">
    <w:name w:val="annotation reference"/>
    <w:uiPriority w:val="99"/>
    <w:semiHidden/>
    <w:rsid w:val="00E93FC7"/>
    <w:rPr>
      <w:sz w:val="16"/>
    </w:rPr>
  </w:style>
  <w:style w:type="paragraph" w:styleId="Tekstkomentarza">
    <w:name w:val="annotation text"/>
    <w:basedOn w:val="Normalny"/>
    <w:link w:val="TekstkomentarzaZnak"/>
    <w:semiHidden/>
    <w:rsid w:val="00E93FC7"/>
    <w:rPr>
      <w:sz w:val="20"/>
    </w:rPr>
  </w:style>
  <w:style w:type="character" w:customStyle="1" w:styleId="TekstkomentarzaZnak">
    <w:name w:val="Tekst komentarza Znak"/>
    <w:basedOn w:val="Domylnaczcionkaakapitu"/>
    <w:link w:val="Tekstkomentarza"/>
    <w:semiHidden/>
    <w:rsid w:val="00E93FC7"/>
    <w:rPr>
      <w:rFonts w:eastAsiaTheme="minorEastAsia"/>
      <w:sz w:val="20"/>
    </w:rPr>
  </w:style>
  <w:style w:type="paragraph" w:customStyle="1" w:styleId="DecHTitle">
    <w:name w:val="Dec_H_Title"/>
    <w:basedOn w:val="ECHRTitleCentre1"/>
    <w:uiPriority w:val="7"/>
    <w:qFormat/>
    <w:rsid w:val="00987A64"/>
  </w:style>
  <w:style w:type="paragraph" w:customStyle="1" w:styleId="ECHRTitleCentre2">
    <w:name w:val="ECHR_Title_Centre_2"/>
    <w:aliases w:val="Dec_H_Case"/>
    <w:basedOn w:val="Normalny"/>
    <w:next w:val="ECHRPara"/>
    <w:uiPriority w:val="8"/>
    <w:qFormat/>
    <w:rsid w:val="00987A64"/>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987A64"/>
    <w:pPr>
      <w:spacing w:before="720" w:after="240"/>
      <w:jc w:val="center"/>
      <w:outlineLvl w:val="0"/>
    </w:pPr>
    <w:rPr>
      <w:rFonts w:asciiTheme="majorHAnsi" w:hAnsiTheme="majorHAnsi"/>
      <w:b/>
      <w:caps/>
    </w:rPr>
  </w:style>
  <w:style w:type="paragraph" w:customStyle="1" w:styleId="ECHRHeader">
    <w:name w:val="ECHR_Header"/>
    <w:aliases w:val="Ju_Header"/>
    <w:basedOn w:val="Nagwek"/>
    <w:uiPriority w:val="4"/>
    <w:qFormat/>
    <w:rsid w:val="00987A64"/>
    <w:pPr>
      <w:tabs>
        <w:tab w:val="clear" w:pos="4536"/>
        <w:tab w:val="clear" w:pos="9072"/>
        <w:tab w:val="center" w:pos="3686"/>
        <w:tab w:val="right" w:pos="7371"/>
      </w:tabs>
      <w:jc w:val="left"/>
    </w:pPr>
    <w:rPr>
      <w:sz w:val="18"/>
    </w:rPr>
  </w:style>
  <w:style w:type="paragraph" w:styleId="Nagwek">
    <w:name w:val="header"/>
    <w:basedOn w:val="Normalny"/>
    <w:link w:val="NagwekZnak"/>
    <w:uiPriority w:val="57"/>
    <w:semiHidden/>
    <w:rsid w:val="00987A6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87A64"/>
    <w:rPr>
      <w:sz w:val="24"/>
    </w:rPr>
  </w:style>
  <w:style w:type="paragraph" w:styleId="Tekstdymka">
    <w:name w:val="Balloon Text"/>
    <w:basedOn w:val="Normalny"/>
    <w:link w:val="TekstdymkaZnak"/>
    <w:uiPriority w:val="99"/>
    <w:semiHidden/>
    <w:rsid w:val="00987A64"/>
    <w:rPr>
      <w:rFonts w:ascii="Tahoma" w:hAnsi="Tahoma" w:cs="Tahoma"/>
      <w:sz w:val="16"/>
    </w:rPr>
  </w:style>
  <w:style w:type="character" w:customStyle="1" w:styleId="TekstdymkaZnak">
    <w:name w:val="Tekst dymka Znak"/>
    <w:basedOn w:val="Domylnaczcionkaakapitu"/>
    <w:link w:val="Tekstdymka"/>
    <w:uiPriority w:val="99"/>
    <w:semiHidden/>
    <w:rsid w:val="00987A64"/>
    <w:rPr>
      <w:rFonts w:ascii="Tahoma" w:eastAsiaTheme="minorEastAsia" w:hAnsi="Tahoma" w:cs="Tahoma"/>
      <w:sz w:val="16"/>
    </w:rPr>
  </w:style>
  <w:style w:type="paragraph" w:customStyle="1" w:styleId="JuAppQuestion">
    <w:name w:val="Ju_App_Question"/>
    <w:basedOn w:val="Normalny"/>
    <w:uiPriority w:val="5"/>
    <w:qFormat/>
    <w:rsid w:val="00987A64"/>
    <w:pPr>
      <w:numPr>
        <w:numId w:val="16"/>
      </w:numPr>
      <w:jc w:val="left"/>
    </w:pPr>
    <w:rPr>
      <w:b/>
    </w:rPr>
  </w:style>
  <w:style w:type="paragraph" w:customStyle="1" w:styleId="OpiPara">
    <w:name w:val="Opi_Para"/>
    <w:basedOn w:val="ECHRPara"/>
    <w:uiPriority w:val="46"/>
    <w:qFormat/>
    <w:rsid w:val="00987A64"/>
  </w:style>
  <w:style w:type="paragraph" w:customStyle="1" w:styleId="ECHRParaQuote">
    <w:name w:val="ECHR_Para_Quote"/>
    <w:aliases w:val="Ju_Quot"/>
    <w:basedOn w:val="Normalny"/>
    <w:uiPriority w:val="14"/>
    <w:qFormat/>
    <w:rsid w:val="00987A64"/>
    <w:pPr>
      <w:spacing w:before="120" w:after="120"/>
      <w:ind w:left="425" w:firstLine="142"/>
    </w:pPr>
    <w:rPr>
      <w:sz w:val="20"/>
    </w:rPr>
  </w:style>
  <w:style w:type="paragraph" w:customStyle="1" w:styleId="JuParaSub">
    <w:name w:val="Ju_Para_Sub"/>
    <w:basedOn w:val="ECHRPara"/>
    <w:uiPriority w:val="13"/>
    <w:qFormat/>
    <w:rsid w:val="00987A64"/>
    <w:pPr>
      <w:ind w:left="284"/>
    </w:pPr>
  </w:style>
  <w:style w:type="paragraph" w:customStyle="1" w:styleId="OpiParaSub">
    <w:name w:val="Opi_Para_Sub"/>
    <w:basedOn w:val="JuParaSub"/>
    <w:uiPriority w:val="47"/>
    <w:qFormat/>
    <w:rsid w:val="00987A64"/>
  </w:style>
  <w:style w:type="paragraph" w:customStyle="1" w:styleId="OpiQuot">
    <w:name w:val="Opi_Quot"/>
    <w:basedOn w:val="ECHRParaQuote"/>
    <w:uiPriority w:val="48"/>
    <w:qFormat/>
    <w:rsid w:val="00987A64"/>
  </w:style>
  <w:style w:type="paragraph" w:customStyle="1" w:styleId="OpiQuotSub">
    <w:name w:val="Opi_Quot_Sub"/>
    <w:basedOn w:val="JuQuotSub"/>
    <w:uiPriority w:val="49"/>
    <w:qFormat/>
    <w:rsid w:val="00987A64"/>
  </w:style>
  <w:style w:type="paragraph" w:customStyle="1" w:styleId="ECHRTitleCentre3">
    <w:name w:val="ECHR_Title_Centre_3"/>
    <w:aliases w:val="Ju_H_Article"/>
    <w:basedOn w:val="Normalny"/>
    <w:next w:val="ECHRParaQuote"/>
    <w:uiPriority w:val="27"/>
    <w:qFormat/>
    <w:rsid w:val="00987A64"/>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ny"/>
    <w:next w:val="OpiPara"/>
    <w:uiPriority w:val="39"/>
    <w:qFormat/>
    <w:rsid w:val="00987A6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7A64"/>
    <w:pPr>
      <w:ind w:left="567"/>
    </w:pPr>
  </w:style>
  <w:style w:type="paragraph" w:customStyle="1" w:styleId="ECHRTitle1">
    <w:name w:val="ECHR_Title_1"/>
    <w:aliases w:val="Ju_H_Head"/>
    <w:basedOn w:val="Normalny"/>
    <w:next w:val="ECHRPara"/>
    <w:uiPriority w:val="18"/>
    <w:qFormat/>
    <w:rsid w:val="00987A64"/>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87A64"/>
    <w:pPr>
      <w:tabs>
        <w:tab w:val="center" w:pos="6407"/>
      </w:tabs>
      <w:spacing w:before="720"/>
      <w:jc w:val="right"/>
    </w:pPr>
  </w:style>
  <w:style w:type="paragraph" w:customStyle="1" w:styleId="OpiHA">
    <w:name w:val="Opi_H_A"/>
    <w:basedOn w:val="ECHRHeading1"/>
    <w:next w:val="OpiPara"/>
    <w:uiPriority w:val="41"/>
    <w:qFormat/>
    <w:rsid w:val="00987A64"/>
    <w:pPr>
      <w:tabs>
        <w:tab w:val="clear" w:pos="357"/>
      </w:tabs>
      <w:outlineLvl w:val="1"/>
    </w:pPr>
    <w:rPr>
      <w:b/>
    </w:rPr>
  </w:style>
  <w:style w:type="character" w:customStyle="1" w:styleId="JUNAMES">
    <w:name w:val="JU_NAMES"/>
    <w:uiPriority w:val="17"/>
    <w:qFormat/>
    <w:rsid w:val="00987A64"/>
    <w:rPr>
      <w:caps w:val="0"/>
      <w:smallCaps/>
    </w:rPr>
  </w:style>
  <w:style w:type="character" w:customStyle="1" w:styleId="JuITMark">
    <w:name w:val="Ju_ITMark"/>
    <w:basedOn w:val="Domylnaczcionkaakapitu"/>
    <w:uiPriority w:val="38"/>
    <w:qFormat/>
    <w:rsid w:val="00987A64"/>
    <w:rPr>
      <w:vanish w:val="0"/>
      <w:color w:val="auto"/>
      <w:sz w:val="14"/>
    </w:rPr>
  </w:style>
  <w:style w:type="paragraph" w:customStyle="1" w:styleId="OpiTranslation">
    <w:name w:val="Opi_Translation"/>
    <w:basedOn w:val="Normalny"/>
    <w:next w:val="OpiPara"/>
    <w:uiPriority w:val="40"/>
    <w:qFormat/>
    <w:rsid w:val="00987A64"/>
    <w:pPr>
      <w:jc w:val="center"/>
      <w:outlineLvl w:val="0"/>
    </w:pPr>
    <w:rPr>
      <w:i/>
    </w:rPr>
  </w:style>
  <w:style w:type="paragraph" w:customStyle="1" w:styleId="JuCourt">
    <w:name w:val="Ju_Court"/>
    <w:basedOn w:val="Normalny"/>
    <w:next w:val="Normalny"/>
    <w:uiPriority w:val="16"/>
    <w:qFormat/>
    <w:rsid w:val="00987A64"/>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uiPriority w:val="19"/>
    <w:qFormat/>
    <w:rsid w:val="00987A64"/>
    <w:pPr>
      <w:keepNext/>
      <w:keepLines/>
      <w:tabs>
        <w:tab w:val="left" w:pos="357"/>
      </w:tabs>
      <w:spacing w:before="360" w:after="240"/>
      <w:ind w:left="357" w:hanging="357"/>
      <w:contextualSpacing w:val="0"/>
    </w:pPr>
    <w:rPr>
      <w:b w:val="0"/>
      <w:color w:val="auto"/>
      <w:sz w:val="24"/>
    </w:rPr>
  </w:style>
  <w:style w:type="character" w:customStyle="1" w:styleId="Nagwek1Znak">
    <w:name w:val="Nagłówek 1 Znak"/>
    <w:basedOn w:val="Domylnaczcionkaakapitu"/>
    <w:link w:val="Nagwek1"/>
    <w:uiPriority w:val="99"/>
    <w:semiHidden/>
    <w:rsid w:val="00987A64"/>
    <w:rPr>
      <w:rFonts w:asciiTheme="majorHAnsi" w:eastAsiaTheme="majorEastAsia" w:hAnsiTheme="majorHAnsi" w:cstheme="majorBidi"/>
      <w:b/>
      <w:color w:val="333333"/>
      <w:sz w:val="28"/>
    </w:rPr>
  </w:style>
  <w:style w:type="paragraph" w:customStyle="1" w:styleId="ECHRHeading2">
    <w:name w:val="ECHR_Heading_2"/>
    <w:aliases w:val="Ju_H_A"/>
    <w:basedOn w:val="Nagwek2"/>
    <w:next w:val="ECHRPara"/>
    <w:uiPriority w:val="20"/>
    <w:qFormat/>
    <w:rsid w:val="00987A6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87A64"/>
    <w:rPr>
      <w:rFonts w:asciiTheme="majorHAnsi" w:eastAsiaTheme="majorEastAsia" w:hAnsiTheme="majorHAnsi" w:cstheme="majorBidi"/>
      <w:b/>
      <w:color w:val="4D4D4D"/>
      <w:sz w:val="26"/>
    </w:rPr>
  </w:style>
  <w:style w:type="paragraph" w:customStyle="1" w:styleId="ECHRHeading3">
    <w:name w:val="ECHR_Heading_3"/>
    <w:aliases w:val="Ju_H_1."/>
    <w:basedOn w:val="Nagwek3"/>
    <w:next w:val="ECHRPara"/>
    <w:uiPriority w:val="21"/>
    <w:qFormat/>
    <w:rsid w:val="00987A64"/>
    <w:pPr>
      <w:keepNext/>
      <w:keepLines/>
      <w:tabs>
        <w:tab w:val="left" w:pos="731"/>
      </w:tabs>
      <w:spacing w:before="240" w:after="120" w:line="240" w:lineRule="auto"/>
      <w:ind w:left="732" w:hanging="301"/>
    </w:pPr>
    <w:rPr>
      <w:b w:val="0"/>
      <w:i/>
      <w:color w:val="auto"/>
    </w:rPr>
  </w:style>
  <w:style w:type="character" w:customStyle="1" w:styleId="Nagwek3Znak">
    <w:name w:val="Nagłówek 3 Znak"/>
    <w:basedOn w:val="Domylnaczcionkaakapitu"/>
    <w:link w:val="Nagwek3"/>
    <w:uiPriority w:val="99"/>
    <w:semiHidden/>
    <w:rsid w:val="00987A64"/>
    <w:rPr>
      <w:rFonts w:asciiTheme="majorHAnsi" w:eastAsiaTheme="majorEastAsia" w:hAnsiTheme="majorHAnsi" w:cstheme="majorBidi"/>
      <w:b/>
      <w:color w:val="5F5F5F"/>
      <w:sz w:val="24"/>
    </w:rPr>
  </w:style>
  <w:style w:type="paragraph" w:customStyle="1" w:styleId="ECHRHeading4">
    <w:name w:val="ECHR_Heading_4"/>
    <w:aliases w:val="Ju_H_a"/>
    <w:basedOn w:val="Nagwek4"/>
    <w:next w:val="ECHRPara"/>
    <w:uiPriority w:val="22"/>
    <w:qFormat/>
    <w:rsid w:val="00987A64"/>
    <w:pPr>
      <w:keepNext/>
      <w:keepLines/>
      <w:tabs>
        <w:tab w:val="left" w:pos="975"/>
      </w:tabs>
      <w:spacing w:before="240" w:after="120"/>
      <w:ind w:left="975" w:hanging="340"/>
    </w:pPr>
    <w:rPr>
      <w:i w:val="0"/>
      <w:color w:val="auto"/>
      <w:sz w:val="20"/>
    </w:rPr>
  </w:style>
  <w:style w:type="character" w:customStyle="1" w:styleId="Nagwek4Znak">
    <w:name w:val="Nagłówek 4 Znak"/>
    <w:basedOn w:val="Domylnaczcionkaakapitu"/>
    <w:link w:val="Nagwek4"/>
    <w:uiPriority w:val="99"/>
    <w:semiHidden/>
    <w:rsid w:val="00987A64"/>
    <w:rPr>
      <w:rFonts w:asciiTheme="majorHAnsi" w:eastAsiaTheme="majorEastAsia" w:hAnsiTheme="majorHAnsi" w:cstheme="majorBidi"/>
      <w:b/>
      <w:i/>
      <w:color w:val="777777"/>
      <w:sz w:val="24"/>
    </w:rPr>
  </w:style>
  <w:style w:type="paragraph" w:customStyle="1" w:styleId="ECHRHeading5">
    <w:name w:val="ECHR_Heading_5"/>
    <w:aliases w:val="Ju_H_i"/>
    <w:basedOn w:val="Nagwek5"/>
    <w:next w:val="ECHRPara"/>
    <w:uiPriority w:val="23"/>
    <w:qFormat/>
    <w:rsid w:val="00987A64"/>
    <w:pPr>
      <w:keepNext/>
      <w:keepLines/>
      <w:tabs>
        <w:tab w:val="left" w:pos="1191"/>
      </w:tabs>
      <w:spacing w:before="240" w:after="120"/>
      <w:ind w:left="1190" w:hanging="357"/>
    </w:pPr>
    <w:rPr>
      <w:b w:val="0"/>
      <w:i/>
      <w:color w:val="auto"/>
      <w:sz w:val="20"/>
    </w:rPr>
  </w:style>
  <w:style w:type="character" w:customStyle="1" w:styleId="Nagwek5Znak">
    <w:name w:val="Nagłówek 5 Znak"/>
    <w:basedOn w:val="Domylnaczcionkaakapitu"/>
    <w:link w:val="Nagwek5"/>
    <w:uiPriority w:val="99"/>
    <w:semiHidden/>
    <w:rsid w:val="00987A64"/>
    <w:rPr>
      <w:rFonts w:asciiTheme="majorHAnsi" w:eastAsiaTheme="majorEastAsia" w:hAnsiTheme="majorHAnsi" w:cstheme="majorBidi"/>
      <w:b/>
      <w:color w:val="808080"/>
      <w:sz w:val="24"/>
    </w:rPr>
  </w:style>
  <w:style w:type="paragraph" w:customStyle="1" w:styleId="ECHRHeading6">
    <w:name w:val="ECHR_Heading_6"/>
    <w:aliases w:val="Ju_H_alpha"/>
    <w:basedOn w:val="Nagwek6"/>
    <w:next w:val="ECHRPara"/>
    <w:uiPriority w:val="24"/>
    <w:qFormat/>
    <w:rsid w:val="00987A64"/>
    <w:pPr>
      <w:keepNext/>
      <w:keepLines/>
      <w:tabs>
        <w:tab w:val="left" w:pos="1372"/>
      </w:tabs>
      <w:spacing w:before="240" w:after="120" w:line="240" w:lineRule="auto"/>
      <w:ind w:left="1373" w:hanging="335"/>
    </w:pPr>
    <w:rPr>
      <w:b w:val="0"/>
      <w:i w:val="0"/>
      <w:color w:val="auto"/>
      <w:sz w:val="20"/>
    </w:rPr>
  </w:style>
  <w:style w:type="character" w:customStyle="1" w:styleId="Nagwek6Znak">
    <w:name w:val="Nagłówek 6 Znak"/>
    <w:basedOn w:val="Domylnaczcionkaakapitu"/>
    <w:link w:val="Nagwek6"/>
    <w:uiPriority w:val="99"/>
    <w:semiHidden/>
    <w:rsid w:val="00987A64"/>
    <w:rPr>
      <w:rFonts w:asciiTheme="majorHAnsi" w:eastAsiaTheme="majorEastAsia" w:hAnsiTheme="majorHAnsi" w:cstheme="majorBidi"/>
      <w:b/>
      <w:i/>
      <w:color w:val="7F7F7F" w:themeColor="text1" w:themeTint="80"/>
      <w:sz w:val="24"/>
    </w:rPr>
  </w:style>
  <w:style w:type="paragraph" w:customStyle="1" w:styleId="ECHRHeading7">
    <w:name w:val="ECHR_Heading_7"/>
    <w:aliases w:val="Ju_H_–"/>
    <w:basedOn w:val="Nagwek7"/>
    <w:next w:val="ECHRPara"/>
    <w:uiPriority w:val="25"/>
    <w:qFormat/>
    <w:rsid w:val="00987A64"/>
    <w:pPr>
      <w:keepNext/>
      <w:keepLines/>
      <w:spacing w:before="240" w:after="120"/>
      <w:ind w:left="1236"/>
    </w:pPr>
    <w:rPr>
      <w:sz w:val="20"/>
    </w:rPr>
  </w:style>
  <w:style w:type="character" w:customStyle="1" w:styleId="Nagwek7Znak">
    <w:name w:val="Nagłówek 7 Znak"/>
    <w:basedOn w:val="Domylnaczcionkaakapitu"/>
    <w:link w:val="Nagwek7"/>
    <w:uiPriority w:val="99"/>
    <w:semiHidden/>
    <w:rsid w:val="00987A64"/>
    <w:rPr>
      <w:rFonts w:asciiTheme="majorHAnsi" w:eastAsiaTheme="majorEastAsia" w:hAnsiTheme="majorHAnsi" w:cstheme="majorBidi"/>
      <w:i/>
      <w:sz w:val="24"/>
    </w:rPr>
  </w:style>
  <w:style w:type="paragraph" w:customStyle="1" w:styleId="JuParaLast">
    <w:name w:val="Ju_Para_Last"/>
    <w:basedOn w:val="Normalny"/>
    <w:next w:val="ECHRPara"/>
    <w:uiPriority w:val="30"/>
    <w:qFormat/>
    <w:rsid w:val="00987A64"/>
    <w:pPr>
      <w:keepNext/>
      <w:keepLines/>
      <w:spacing w:before="240"/>
      <w:ind w:firstLine="284"/>
    </w:pPr>
  </w:style>
  <w:style w:type="paragraph" w:customStyle="1" w:styleId="DecList">
    <w:name w:val="Dec_List"/>
    <w:basedOn w:val="Normalny"/>
    <w:uiPriority w:val="9"/>
    <w:qFormat/>
    <w:rsid w:val="00987A64"/>
    <w:pPr>
      <w:spacing w:before="240"/>
      <w:ind w:left="284"/>
    </w:pPr>
  </w:style>
  <w:style w:type="paragraph" w:customStyle="1" w:styleId="ECHRDecisionBody">
    <w:name w:val="ECHR_Decision_Body"/>
    <w:aliases w:val="Ju_Judges"/>
    <w:basedOn w:val="Normalny"/>
    <w:uiPriority w:val="11"/>
    <w:qFormat/>
    <w:rsid w:val="00987A64"/>
    <w:pPr>
      <w:tabs>
        <w:tab w:val="left" w:pos="567"/>
        <w:tab w:val="left" w:pos="1134"/>
      </w:tabs>
      <w:jc w:val="left"/>
    </w:pPr>
  </w:style>
  <w:style w:type="paragraph" w:customStyle="1" w:styleId="JuList">
    <w:name w:val="Ju_List"/>
    <w:basedOn w:val="Normalny"/>
    <w:uiPriority w:val="28"/>
    <w:qFormat/>
    <w:rsid w:val="00987A64"/>
    <w:pPr>
      <w:ind w:left="340" w:hanging="340"/>
    </w:pPr>
  </w:style>
  <w:style w:type="paragraph" w:customStyle="1" w:styleId="JuLista">
    <w:name w:val="Ju_List_a"/>
    <w:basedOn w:val="JuList"/>
    <w:uiPriority w:val="28"/>
    <w:qFormat/>
    <w:rsid w:val="00987A64"/>
    <w:pPr>
      <w:ind w:left="346" w:firstLine="0"/>
    </w:pPr>
  </w:style>
  <w:style w:type="paragraph" w:customStyle="1" w:styleId="JuListi">
    <w:name w:val="Ju_List_i"/>
    <w:basedOn w:val="Normalny"/>
    <w:next w:val="JuLista"/>
    <w:uiPriority w:val="28"/>
    <w:qFormat/>
    <w:rsid w:val="00987A64"/>
    <w:pPr>
      <w:ind w:left="794"/>
    </w:pPr>
  </w:style>
  <w:style w:type="paragraph" w:customStyle="1" w:styleId="OpiH1">
    <w:name w:val="Opi_H_1"/>
    <w:basedOn w:val="ECHRHeading2"/>
    <w:uiPriority w:val="42"/>
    <w:qFormat/>
    <w:rsid w:val="00987A64"/>
    <w:pPr>
      <w:ind w:left="635" w:hanging="357"/>
      <w:outlineLvl w:val="2"/>
    </w:pPr>
  </w:style>
  <w:style w:type="paragraph" w:customStyle="1" w:styleId="OpiHa0">
    <w:name w:val="Opi_H_a"/>
    <w:basedOn w:val="ECHRHeading3"/>
    <w:uiPriority w:val="43"/>
    <w:qFormat/>
    <w:rsid w:val="00987A64"/>
    <w:pPr>
      <w:ind w:left="833" w:hanging="357"/>
      <w:outlineLvl w:val="3"/>
    </w:pPr>
    <w:rPr>
      <w:b/>
      <w:i w:val="0"/>
      <w:sz w:val="20"/>
    </w:rPr>
  </w:style>
  <w:style w:type="paragraph" w:customStyle="1" w:styleId="OpiHi">
    <w:name w:val="Opi_H_i"/>
    <w:basedOn w:val="ECHRHeading4"/>
    <w:uiPriority w:val="44"/>
    <w:qFormat/>
    <w:rsid w:val="00987A64"/>
    <w:pPr>
      <w:ind w:left="1037" w:hanging="357"/>
      <w:outlineLvl w:val="4"/>
    </w:pPr>
    <w:rPr>
      <w:b w:val="0"/>
      <w:i/>
    </w:rPr>
  </w:style>
  <w:style w:type="character" w:customStyle="1" w:styleId="Nagwek8Znak">
    <w:name w:val="Nagłówek 8 Znak"/>
    <w:basedOn w:val="Domylnaczcionkaakapitu"/>
    <w:link w:val="Nagwek8"/>
    <w:uiPriority w:val="99"/>
    <w:semiHidden/>
    <w:rsid w:val="00987A64"/>
    <w:rPr>
      <w:rFonts w:asciiTheme="majorHAnsi" w:eastAsiaTheme="majorEastAsia" w:hAnsiTheme="majorHAnsi" w:cstheme="majorBidi"/>
      <w:sz w:val="20"/>
    </w:rPr>
  </w:style>
  <w:style w:type="character" w:customStyle="1" w:styleId="Nagwek9Znak">
    <w:name w:val="Nagłówek 9 Znak"/>
    <w:basedOn w:val="Domylnaczcionkaakapitu"/>
    <w:link w:val="Nagwek9"/>
    <w:uiPriority w:val="99"/>
    <w:semiHidden/>
    <w:rsid w:val="00987A64"/>
    <w:rPr>
      <w:rFonts w:asciiTheme="majorHAnsi" w:eastAsiaTheme="majorEastAsia" w:hAnsiTheme="majorHAnsi" w:cstheme="majorBidi"/>
      <w:i/>
      <w:sz w:val="20"/>
    </w:rPr>
  </w:style>
  <w:style w:type="paragraph" w:styleId="Tytu">
    <w:name w:val="Title"/>
    <w:basedOn w:val="Normalny"/>
    <w:next w:val="Normalny"/>
    <w:link w:val="TytuZnak"/>
    <w:uiPriority w:val="99"/>
    <w:semiHidden/>
    <w:qFormat/>
    <w:rsid w:val="00987A64"/>
    <w:pPr>
      <w:pBdr>
        <w:bottom w:val="single" w:sz="4" w:space="1" w:color="auto"/>
      </w:pBdr>
      <w:contextualSpacing/>
    </w:pPr>
    <w:rPr>
      <w:rFonts w:asciiTheme="majorHAnsi" w:eastAsiaTheme="majorEastAsia" w:hAnsiTheme="majorHAnsi" w:cstheme="majorBidi"/>
      <w:sz w:val="52"/>
    </w:rPr>
  </w:style>
  <w:style w:type="character" w:customStyle="1" w:styleId="TytuZnak">
    <w:name w:val="Tytuł Znak"/>
    <w:basedOn w:val="Domylnaczcionkaakapitu"/>
    <w:link w:val="Tytu"/>
    <w:uiPriority w:val="99"/>
    <w:semiHidden/>
    <w:rsid w:val="00987A64"/>
    <w:rPr>
      <w:rFonts w:asciiTheme="majorHAnsi" w:eastAsiaTheme="majorEastAsia" w:hAnsiTheme="majorHAnsi" w:cstheme="majorBidi"/>
      <w:sz w:val="52"/>
    </w:rPr>
  </w:style>
  <w:style w:type="paragraph" w:styleId="Podtytu">
    <w:name w:val="Subtitle"/>
    <w:basedOn w:val="Normalny"/>
    <w:next w:val="Normalny"/>
    <w:link w:val="PodtytuZnak"/>
    <w:uiPriority w:val="99"/>
    <w:semiHidden/>
    <w:qFormat/>
    <w:rsid w:val="00987A64"/>
    <w:pPr>
      <w:spacing w:after="600"/>
    </w:pPr>
    <w:rPr>
      <w:rFonts w:asciiTheme="majorHAnsi" w:eastAsiaTheme="majorEastAsia" w:hAnsiTheme="majorHAnsi" w:cstheme="majorBidi"/>
      <w:i/>
    </w:rPr>
  </w:style>
  <w:style w:type="character" w:customStyle="1" w:styleId="PodtytuZnak">
    <w:name w:val="Podtytuł Znak"/>
    <w:basedOn w:val="Domylnaczcionkaakapitu"/>
    <w:link w:val="Podtytu"/>
    <w:uiPriority w:val="99"/>
    <w:semiHidden/>
    <w:rsid w:val="00987A64"/>
    <w:rPr>
      <w:rFonts w:asciiTheme="majorHAnsi" w:eastAsiaTheme="majorEastAsia" w:hAnsiTheme="majorHAnsi" w:cstheme="majorBidi"/>
      <w:i/>
      <w:sz w:val="24"/>
    </w:rPr>
  </w:style>
  <w:style w:type="character" w:styleId="Pogrubienie">
    <w:name w:val="Strong"/>
    <w:uiPriority w:val="99"/>
    <w:semiHidden/>
    <w:qFormat/>
    <w:rsid w:val="00987A64"/>
    <w:rPr>
      <w:b/>
    </w:rPr>
  </w:style>
  <w:style w:type="character" w:styleId="Uwydatnienie">
    <w:name w:val="Emphasis"/>
    <w:uiPriority w:val="99"/>
    <w:semiHidden/>
    <w:qFormat/>
    <w:rsid w:val="00987A64"/>
    <w:rPr>
      <w:b/>
      <w:i/>
      <w:bdr w:val="none" w:sz="0" w:space="0" w:color="auto"/>
      <w:shd w:val="clear" w:color="auto" w:fill="auto"/>
    </w:rPr>
  </w:style>
  <w:style w:type="paragraph" w:styleId="Bezodstpw">
    <w:name w:val="No Spacing"/>
    <w:basedOn w:val="Normalny"/>
    <w:link w:val="BezodstpwZnak"/>
    <w:semiHidden/>
    <w:qFormat/>
    <w:rsid w:val="00987A64"/>
  </w:style>
  <w:style w:type="character" w:customStyle="1" w:styleId="BezodstpwZnak">
    <w:name w:val="Bez odstępów Znak"/>
    <w:basedOn w:val="Domylnaczcionkaakapitu"/>
    <w:link w:val="Bezodstpw"/>
    <w:semiHidden/>
    <w:rsid w:val="00987A64"/>
    <w:rPr>
      <w:rFonts w:eastAsiaTheme="minorEastAsia"/>
      <w:sz w:val="24"/>
    </w:rPr>
  </w:style>
  <w:style w:type="paragraph" w:styleId="Akapitzlist">
    <w:name w:val="List Paragraph"/>
    <w:basedOn w:val="Normalny"/>
    <w:uiPriority w:val="99"/>
    <w:semiHidden/>
    <w:qFormat/>
    <w:rsid w:val="00987A64"/>
    <w:pPr>
      <w:ind w:left="720"/>
      <w:contextualSpacing/>
    </w:pPr>
  </w:style>
  <w:style w:type="paragraph" w:styleId="Cytat">
    <w:name w:val="Quote"/>
    <w:basedOn w:val="Normalny"/>
    <w:next w:val="Normalny"/>
    <w:link w:val="CytatZnak"/>
    <w:uiPriority w:val="99"/>
    <w:semiHidden/>
    <w:qFormat/>
    <w:rsid w:val="00987A64"/>
    <w:pPr>
      <w:spacing w:before="200"/>
      <w:ind w:left="360" w:right="360"/>
    </w:pPr>
    <w:rPr>
      <w:i/>
    </w:rPr>
  </w:style>
  <w:style w:type="character" w:customStyle="1" w:styleId="CytatZnak">
    <w:name w:val="Cytat Znak"/>
    <w:basedOn w:val="Domylnaczcionkaakapitu"/>
    <w:link w:val="Cytat"/>
    <w:uiPriority w:val="99"/>
    <w:semiHidden/>
    <w:rsid w:val="00987A64"/>
    <w:rPr>
      <w:rFonts w:eastAsiaTheme="minorEastAsia"/>
      <w:i/>
      <w:sz w:val="24"/>
    </w:rPr>
  </w:style>
  <w:style w:type="paragraph" w:styleId="Cytatintensywny">
    <w:name w:val="Intense Quote"/>
    <w:basedOn w:val="Normalny"/>
    <w:next w:val="Normalny"/>
    <w:link w:val="CytatintensywnyZnak"/>
    <w:uiPriority w:val="99"/>
    <w:semiHidden/>
    <w:qFormat/>
    <w:rsid w:val="00987A64"/>
    <w:pPr>
      <w:pBdr>
        <w:bottom w:val="single" w:sz="4" w:space="1" w:color="auto"/>
      </w:pBdr>
      <w:spacing w:before="200" w:after="280"/>
      <w:ind w:left="1008" w:right="1152"/>
    </w:pPr>
    <w:rPr>
      <w:b/>
      <w:i/>
    </w:rPr>
  </w:style>
  <w:style w:type="character" w:customStyle="1" w:styleId="CytatintensywnyZnak">
    <w:name w:val="Cytat intensywny Znak"/>
    <w:basedOn w:val="Domylnaczcionkaakapitu"/>
    <w:link w:val="Cytatintensywny"/>
    <w:uiPriority w:val="99"/>
    <w:semiHidden/>
    <w:rsid w:val="00987A64"/>
    <w:rPr>
      <w:rFonts w:eastAsiaTheme="minorEastAsia"/>
      <w:b/>
      <w:i/>
      <w:sz w:val="24"/>
    </w:rPr>
  </w:style>
  <w:style w:type="character" w:styleId="Wyrnieniedelikatne">
    <w:name w:val="Subtle Emphasis"/>
    <w:uiPriority w:val="99"/>
    <w:semiHidden/>
    <w:qFormat/>
    <w:rsid w:val="00987A64"/>
    <w:rPr>
      <w:i/>
    </w:rPr>
  </w:style>
  <w:style w:type="character" w:styleId="Wyrnienieintensywne">
    <w:name w:val="Intense Emphasis"/>
    <w:uiPriority w:val="99"/>
    <w:semiHidden/>
    <w:qFormat/>
    <w:rsid w:val="00987A64"/>
    <w:rPr>
      <w:b/>
    </w:rPr>
  </w:style>
  <w:style w:type="character" w:styleId="Odwoaniedelikatne">
    <w:name w:val="Subtle Reference"/>
    <w:uiPriority w:val="99"/>
    <w:semiHidden/>
    <w:qFormat/>
    <w:rsid w:val="00987A64"/>
    <w:rPr>
      <w:smallCaps/>
    </w:rPr>
  </w:style>
  <w:style w:type="character" w:styleId="Odwoanieintensywne">
    <w:name w:val="Intense Reference"/>
    <w:uiPriority w:val="99"/>
    <w:semiHidden/>
    <w:qFormat/>
    <w:rsid w:val="00987A64"/>
    <w:rPr>
      <w:smallCaps/>
      <w:u w:val="single"/>
    </w:rPr>
  </w:style>
  <w:style w:type="character" w:styleId="Tytuksiki">
    <w:name w:val="Book Title"/>
    <w:uiPriority w:val="99"/>
    <w:semiHidden/>
    <w:qFormat/>
    <w:rsid w:val="00987A64"/>
    <w:rPr>
      <w:i/>
      <w:smallCaps/>
    </w:rPr>
  </w:style>
  <w:style w:type="paragraph" w:styleId="Nagwekspisutreci">
    <w:name w:val="TOC Heading"/>
    <w:basedOn w:val="Normalny"/>
    <w:next w:val="Normalny"/>
    <w:uiPriority w:val="99"/>
    <w:semiHidden/>
    <w:qFormat/>
    <w:rsid w:val="00987A64"/>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37"/>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rPr>
  </w:style>
  <w:style w:type="paragraph" w:styleId="Legenda">
    <w:name w:val="caption"/>
    <w:basedOn w:val="Normalny"/>
    <w:next w:val="Normalny"/>
    <w:uiPriority w:val="99"/>
    <w:semiHidden/>
    <w:qFormat/>
    <w:rsid w:val="00E93FC7"/>
    <w:pPr>
      <w:spacing w:after="200"/>
    </w:pPr>
    <w:rPr>
      <w:b/>
      <w:color w:val="0072BC" w:themeColor="accent1"/>
      <w:sz w:val="18"/>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rPr>
  </w:style>
  <w:style w:type="character" w:customStyle="1" w:styleId="TematkomentarzaZnak">
    <w:name w:val="Temat komentarza Znak"/>
    <w:basedOn w:val="TekstkomentarzaZnak"/>
    <w:link w:val="Tematkomentarza"/>
    <w:uiPriority w:val="99"/>
    <w:semiHidden/>
    <w:rsid w:val="00E93FC7"/>
    <w:rPr>
      <w:rFonts w:eastAsiaTheme="minorEastAsia"/>
      <w:b/>
      <w:sz w:val="20"/>
    </w:rPr>
  </w:style>
  <w:style w:type="table" w:styleId="Ciemnalista">
    <w:name w:val="Dark List"/>
    <w:basedOn w:val="Standardowy"/>
    <w:uiPriority w:val="70"/>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rsid w:val="00987A64"/>
    <w:rPr>
      <w:vertAlign w:val="superscript"/>
    </w:rPr>
  </w:style>
  <w:style w:type="paragraph" w:styleId="Tekstprzypisudolnego">
    <w:name w:val="footnote text"/>
    <w:basedOn w:val="Normalny"/>
    <w:link w:val="TekstprzypisudolnegoZnak"/>
    <w:uiPriority w:val="99"/>
    <w:semiHidden/>
    <w:rsid w:val="00987A64"/>
    <w:rPr>
      <w:sz w:val="20"/>
    </w:rPr>
  </w:style>
  <w:style w:type="character" w:customStyle="1" w:styleId="TekstprzypisudolnegoZnak">
    <w:name w:val="Tekst przypisu dolnego Znak"/>
    <w:basedOn w:val="Domylnaczcionkaakapitu"/>
    <w:link w:val="Tekstprzypisudolnego"/>
    <w:uiPriority w:val="99"/>
    <w:semiHidden/>
    <w:rsid w:val="00987A64"/>
    <w:rPr>
      <w:rFonts w:eastAsiaTheme="minorEastAsia"/>
      <w:sz w:val="20"/>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rPr>
  </w:style>
  <w:style w:type="character" w:customStyle="1" w:styleId="HTML-adresZnak">
    <w:name w:val="HTML - adres Znak"/>
    <w:basedOn w:val="Domylnaczcionkaakapitu"/>
    <w:link w:val="HTML-adres"/>
    <w:uiPriority w:val="99"/>
    <w:semiHidden/>
    <w:rsid w:val="00E93FC7"/>
    <w:rPr>
      <w:rFonts w:eastAsiaTheme="minorEastAsia"/>
      <w:i/>
      <w:sz w:val="24"/>
    </w:rPr>
  </w:style>
  <w:style w:type="character" w:styleId="HTML-cytat">
    <w:name w:val="HTML Cite"/>
    <w:basedOn w:val="Domylnaczcionkaakapitu"/>
    <w:uiPriority w:val="99"/>
    <w:semiHidden/>
    <w:unhideWhenUsed/>
    <w:rsid w:val="00E93FC7"/>
    <w:rPr>
      <w:i/>
    </w:rPr>
  </w:style>
  <w:style w:type="character" w:styleId="HTML-kod">
    <w:name w:val="HTML Code"/>
    <w:basedOn w:val="Domylnaczcionkaakapitu"/>
    <w:uiPriority w:val="99"/>
    <w:semiHidden/>
    <w:unhideWhenUsed/>
    <w:rsid w:val="00E93FC7"/>
    <w:rPr>
      <w:rFonts w:ascii="Consolas" w:hAnsi="Consolas" w:cs="Consolas"/>
      <w:sz w:val="20"/>
    </w:rPr>
  </w:style>
  <w:style w:type="character" w:styleId="HTML-definicja">
    <w:name w:val="HTML Definition"/>
    <w:basedOn w:val="Domylnaczcionkaakapitu"/>
    <w:uiPriority w:val="99"/>
    <w:semiHidden/>
    <w:unhideWhenUsed/>
    <w:rsid w:val="00E93FC7"/>
    <w:rPr>
      <w:i/>
    </w:rPr>
  </w:style>
  <w:style w:type="character" w:styleId="HTML-klawiatura">
    <w:name w:val="HTML Keyboard"/>
    <w:basedOn w:val="Domylnaczcionkaakapitu"/>
    <w:uiPriority w:val="99"/>
    <w:semiHidden/>
    <w:unhideWhenUsed/>
    <w:rsid w:val="00E93FC7"/>
    <w:rPr>
      <w:rFonts w:ascii="Consolas" w:hAnsi="Consolas" w:cs="Consolas"/>
      <w:sz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rPr>
  </w:style>
  <w:style w:type="character" w:styleId="HTML-przykad">
    <w:name w:val="HTML Sample"/>
    <w:basedOn w:val="Domylnaczcionkaakapitu"/>
    <w:uiPriority w:val="99"/>
    <w:semiHidden/>
    <w:unhideWhenUsed/>
    <w:rsid w:val="00E93FC7"/>
    <w:rPr>
      <w:rFonts w:ascii="Consolas" w:hAnsi="Consolas" w:cs="Consolas"/>
      <w:sz w:val="24"/>
    </w:rPr>
  </w:style>
  <w:style w:type="character" w:styleId="HTML-staaszeroko">
    <w:name w:val="HTML Typewriter"/>
    <w:basedOn w:val="Domylnaczcionkaakapitu"/>
    <w:uiPriority w:val="99"/>
    <w:semiHidden/>
    <w:unhideWhenUsed/>
    <w:rsid w:val="00E93FC7"/>
    <w:rPr>
      <w:rFonts w:ascii="Consolas" w:hAnsi="Consolas" w:cs="Consolas"/>
      <w:sz w:val="20"/>
    </w:rPr>
  </w:style>
  <w:style w:type="character" w:styleId="HTML-zmienna">
    <w:name w:val="HTML Variable"/>
    <w:basedOn w:val="Domylnaczcionkaakapitu"/>
    <w:uiPriority w:val="99"/>
    <w:semiHidden/>
    <w:unhideWhenUsed/>
    <w:rsid w:val="00E93FC7"/>
    <w:rPr>
      <w:i/>
    </w:rPr>
  </w:style>
  <w:style w:type="character" w:styleId="Hipercze">
    <w:name w:val="Hyperlink"/>
    <w:basedOn w:val="Domylnaczcionkaakapitu"/>
    <w:uiPriority w:val="99"/>
    <w:rsid w:val="00987A64"/>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rPr>
  </w:style>
  <w:style w:type="table" w:styleId="Jasnasiatka">
    <w:name w:val="Light Grid"/>
    <w:basedOn w:val="Standardowy"/>
    <w:uiPriority w:val="62"/>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rPr>
  </w:style>
  <w:style w:type="table" w:styleId="redniasiatka1">
    <w:name w:val="Medium Grid 1"/>
    <w:basedOn w:val="Standardowy"/>
    <w:uiPriority w:val="67"/>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hd w:val="pct20" w:color="auto" w:fill="auto"/>
    </w:rPr>
  </w:style>
  <w:style w:type="paragraph" w:styleId="NormalnyWeb">
    <w:name w:val="Normal (Web)"/>
    <w:basedOn w:val="Normalny"/>
    <w:uiPriority w:val="99"/>
    <w:semiHidden/>
    <w:unhideWhenUsed/>
    <w:rsid w:val="00E93FC7"/>
    <w:rPr>
      <w:rFonts w:ascii="Times New Roman" w:hAnsi="Times New Roman" w:cs="Times New Roman"/>
    </w:rPr>
  </w:style>
  <w:style w:type="paragraph" w:styleId="Wcicienormalne">
    <w:name w:val="Normal Indent"/>
    <w:basedOn w:val="Normalny"/>
    <w:uiPriority w:val="99"/>
    <w:semiHidden/>
    <w:unhideWhenUsed/>
    <w:rsid w:val="00E93FC7"/>
    <w:pPr>
      <w:ind w:left="720"/>
    </w:pPr>
  </w:style>
  <w:style w:type="paragraph" w:customStyle="1" w:styleId="NoteHeading1">
    <w:name w:val="Note Heading1"/>
    <w:basedOn w:val="Normalny"/>
    <w:next w:val="Normalny"/>
    <w:link w:val="NoteHeadingChar"/>
    <w:uiPriority w:val="99"/>
    <w:semiHidden/>
    <w:unhideWhenUsed/>
    <w:rsid w:val="00E93FC7"/>
  </w:style>
  <w:style w:type="character" w:customStyle="1" w:styleId="NoteHeadingChar">
    <w:name w:val="Note Heading Char"/>
    <w:basedOn w:val="Domylnaczcionkaakapitu"/>
    <w:link w:val="NoteHeading1"/>
    <w:uiPriority w:val="99"/>
    <w:semiHidden/>
    <w:rsid w:val="00E93FC7"/>
    <w:rPr>
      <w:rFonts w:eastAsiaTheme="minorEastAsia"/>
      <w:sz w:val="24"/>
    </w:rPr>
  </w:style>
  <w:style w:type="character" w:styleId="Tekstzastpczy">
    <w:name w:val="Placeholder Text"/>
    <w:basedOn w:val="Domylnaczcionkaakapitu"/>
    <w:uiPriority w:val="99"/>
    <w:semiHidden/>
    <w:rsid w:val="00987A6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unhideWhenUsed/>
    <w:rsid w:val="00E93FC7"/>
    <w:rPr>
      <w:rFonts w:ascii="Consolas" w:hAnsi="Consolas" w:cs="Consolas"/>
      <w:sz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W1">
    <w:name w:val="Table 3D effects 1"/>
    <w:basedOn w:val="Standardowy"/>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rsid w:val="00987A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987A64"/>
    <w:pPr>
      <w:keepNext/>
      <w:keepLines/>
      <w:spacing w:before="240"/>
      <w:contextualSpacing/>
      <w:jc w:val="center"/>
    </w:pPr>
    <w:rPr>
      <w:rFonts w:asciiTheme="majorHAnsi" w:eastAsiaTheme="majorEastAsia" w:hAnsiTheme="majorHAnsi" w:cstheme="majorBidi"/>
      <w:b/>
      <w:color w:val="474747" w:themeColor="accent3" w:themeShade="BF"/>
      <w:sz w:val="28"/>
    </w:rPr>
  </w:style>
  <w:style w:type="paragraph" w:styleId="Spistreci1">
    <w:name w:val="toc 1"/>
    <w:basedOn w:val="Normalny"/>
    <w:next w:val="Normalny"/>
    <w:autoRedefine/>
    <w:uiPriority w:val="99"/>
    <w:semiHidden/>
    <w:rsid w:val="00987A6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87A6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87A6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87A6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87A64"/>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987A6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87A6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39"/>
    <w:semiHidden/>
    <w:unhideWhenUsed/>
    <w:rsid w:val="00E93FC7"/>
    <w:pPr>
      <w:spacing w:after="100"/>
      <w:ind w:left="1680"/>
    </w:pPr>
  </w:style>
  <w:style w:type="paragraph" w:styleId="Spistreci9">
    <w:name w:val="toc 9"/>
    <w:basedOn w:val="Normalny"/>
    <w:next w:val="Normalny"/>
    <w:autoRedefine/>
    <w:uiPriority w:val="39"/>
    <w:semiHidden/>
    <w:unhideWhenUsed/>
    <w:rsid w:val="00E93FC7"/>
    <w:pPr>
      <w:spacing w:after="100"/>
      <w:ind w:left="1920"/>
    </w:pPr>
  </w:style>
  <w:style w:type="paragraph" w:customStyle="1" w:styleId="ECHRFooter">
    <w:name w:val="ECHR_Footer"/>
    <w:aliases w:val="Footer_ECHR"/>
    <w:basedOn w:val="Stopka"/>
    <w:uiPriority w:val="57"/>
    <w:semiHidden/>
    <w:rsid w:val="00987A64"/>
    <w:pPr>
      <w:jc w:val="left"/>
    </w:pPr>
    <w:rPr>
      <w:sz w:val="8"/>
    </w:rPr>
  </w:style>
  <w:style w:type="paragraph" w:customStyle="1" w:styleId="DummyStyle">
    <w:name w:val="Dummy_Style"/>
    <w:basedOn w:val="Normalny"/>
    <w:semiHidden/>
    <w:qFormat/>
    <w:rsid w:val="00987A64"/>
    <w:rPr>
      <w:color w:val="00B050"/>
    </w:rPr>
  </w:style>
  <w:style w:type="paragraph" w:styleId="Stopka">
    <w:name w:val="footer"/>
    <w:basedOn w:val="Normalny"/>
    <w:link w:val="StopkaZnak"/>
    <w:uiPriority w:val="57"/>
    <w:semiHidden/>
    <w:rsid w:val="00987A6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87A64"/>
    <w:rPr>
      <w:sz w:val="24"/>
    </w:rPr>
  </w:style>
  <w:style w:type="paragraph" w:customStyle="1" w:styleId="ECHRFooterLine">
    <w:name w:val="ECHR_Footer_Line"/>
    <w:aliases w:val="Footer_Line"/>
    <w:basedOn w:val="Normalny"/>
    <w:next w:val="ECHRFooter"/>
    <w:uiPriority w:val="57"/>
    <w:semiHidden/>
    <w:rsid w:val="00987A64"/>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Standardowy"/>
    <w:uiPriority w:val="99"/>
    <w:rsid w:val="00987A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basedOn w:val="Normalny"/>
    <w:next w:val="ECHRPara"/>
    <w:uiPriority w:val="10"/>
    <w:rsid w:val="00987A64"/>
    <w:pPr>
      <w:ind w:firstLine="284"/>
    </w:pPr>
    <w:rPr>
      <w:b/>
    </w:rPr>
  </w:style>
  <w:style w:type="paragraph" w:customStyle="1" w:styleId="JuHeaderLandscape">
    <w:name w:val="Ju_Header_Landscape"/>
    <w:basedOn w:val="ECHRHeader"/>
    <w:uiPriority w:val="4"/>
    <w:qFormat/>
    <w:rsid w:val="00987A64"/>
    <w:pPr>
      <w:tabs>
        <w:tab w:val="clear" w:pos="3686"/>
        <w:tab w:val="clear" w:pos="7371"/>
        <w:tab w:val="center" w:pos="6146"/>
        <w:tab w:val="right" w:pos="12293"/>
      </w:tabs>
    </w:pPr>
  </w:style>
  <w:style w:type="character" w:customStyle="1" w:styleId="JuParaCar">
    <w:name w:val="Ju_Para Car"/>
    <w:link w:val="ECHRPara"/>
    <w:uiPriority w:val="12"/>
    <w:rsid w:val="00B00469"/>
    <w:rPr>
      <w:rFonts w:eastAsiaTheme="minorEastAsia"/>
      <w:sz w:val="24"/>
    </w:rPr>
  </w:style>
  <w:style w:type="paragraph" w:customStyle="1" w:styleId="P68B1DB1-ECHRTitleCentre21">
    <w:name w:val="P68B1DB1-ECHRTitleCentre21"/>
    <w:basedOn w:val="ECHRTitleCentre2"/>
    <w:rPr>
      <w:i w:val="0"/>
    </w:rPr>
  </w:style>
  <w:style w:type="paragraph" w:styleId="Poprawka">
    <w:name w:val="Revision"/>
    <w:hidden/>
    <w:uiPriority w:val="99"/>
    <w:semiHidden/>
    <w:rsid w:val="00E76CF4"/>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C11C7-8C47-4DB4-9201-19A3B7A40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350CA47-EF68-4A30-B596-DF6C2FDD7F9D}">
  <ds:schemaRefs>
    <ds:schemaRef ds:uri="http://schemas.microsoft.com/sharepoint/v3/contenttype/forms"/>
  </ds:schemaRefs>
</ds:datastoreItem>
</file>

<file path=customXml/itemProps3.xml><?xml version="1.0" encoding="utf-8"?>
<ds:datastoreItem xmlns:ds="http://schemas.openxmlformats.org/officeDocument/2006/customXml" ds:itemID="{8F8D7EFE-1ABB-44FF-998A-E7B2A83121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3A0363E-553F-4051-A911-52B1E1244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2190</Words>
  <Characters>13582</Characters>
  <Application>Microsoft Office Word</Application>
  <DocSecurity>0</DocSecurity>
  <Lines>315</Lines>
  <Paragraphs>110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2021-12-14T14:42:00Z</dcterms:created>
  <dcterms:modified xsi:type="dcterms:W3CDTF">2023-04-11T09:49:00Z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52538/09</vt:lpwstr>
  </property>
  <property fmtid="{D5CDD505-2E9C-101B-9397-08002B2CF9AE}" pid="4" name="CASEID">
    <vt:lpwstr>598754</vt:lpwstr>
  </property>
  <property fmtid="{D5CDD505-2E9C-101B-9397-08002B2CF9AE}" pid="5" name="ContentTypeId">
    <vt:lpwstr>0x010100558EB02BDB9E204AB350EDD385B68E10</vt:lpwstr>
  </property>
</Properties>
</file>