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24CD7" w14:textId="67DFF997" w:rsidR="00570311" w:rsidRPr="00F6314C" w:rsidRDefault="00606EF1" w:rsidP="00606EF1">
      <w:pPr>
        <w:pStyle w:val="DecHTitle"/>
      </w:pPr>
      <w:r>
        <w:t>EUROPEJSKI TRYBUNAŁ PRAW CZŁOWIEKA</w:t>
      </w:r>
    </w:p>
    <w:p w14:paraId="082AAEEC" w14:textId="77777777" w:rsidR="00570311" w:rsidRPr="00F6314C" w:rsidRDefault="00570311">
      <w:pPr>
        <w:jc w:val="center"/>
        <w:rPr>
          <w:sz w:val="4"/>
          <w:szCs w:val="4"/>
        </w:rPr>
      </w:pPr>
    </w:p>
    <w:p w14:paraId="68854CE7" w14:textId="77777777" w:rsidR="00570311" w:rsidRPr="00F6314C" w:rsidRDefault="002126AF">
      <w:pPr>
        <w:pStyle w:val="DecHTitle"/>
      </w:pPr>
      <w:r w:rsidRPr="00F6314C">
        <w:t>SEKCJA</w:t>
      </w:r>
      <w:r w:rsidR="00CF7875" w:rsidRPr="00F6314C">
        <w:t xml:space="preserve"> PIERWSZA</w:t>
      </w:r>
    </w:p>
    <w:p w14:paraId="5CE42A75" w14:textId="77777777" w:rsidR="00570311" w:rsidRPr="00F6314C" w:rsidRDefault="002126AF">
      <w:pPr>
        <w:pStyle w:val="DecHTitle"/>
      </w:pPr>
      <w:r w:rsidRPr="00F6314C">
        <w:t>DECYZJA</w:t>
      </w:r>
    </w:p>
    <w:p w14:paraId="383DC3F7" w14:textId="19969ACE" w:rsidR="00570311" w:rsidRPr="00F6314C" w:rsidRDefault="002126AF">
      <w:pPr>
        <w:pStyle w:val="DecHCase"/>
      </w:pPr>
      <w:r w:rsidRPr="00F6314C">
        <w:t>Skarga nr</w:t>
      </w:r>
      <w:r w:rsidR="004C279D">
        <w:t xml:space="preserve"> </w:t>
      </w:r>
      <w:r w:rsidRPr="00F6314C">
        <w:t>60136/13</w:t>
      </w:r>
      <w:r w:rsidRPr="00F6314C">
        <w:br/>
        <w:t>Robert FĄFARA</w:t>
      </w:r>
      <w:r w:rsidRPr="00F6314C">
        <w:br/>
        <w:t>przeciwko Polsce</w:t>
      </w:r>
    </w:p>
    <w:p w14:paraId="34939F11" w14:textId="77777777" w:rsidR="00570311" w:rsidRPr="00F6314C" w:rsidRDefault="00570311">
      <w:pPr>
        <w:rPr>
          <w:sz w:val="2"/>
          <w:szCs w:val="2"/>
        </w:rPr>
      </w:pPr>
    </w:p>
    <w:p w14:paraId="1E4A1BD4" w14:textId="468993F7" w:rsidR="00570311" w:rsidRPr="00F6314C" w:rsidRDefault="002126AF">
      <w:pPr>
        <w:pStyle w:val="JuPara"/>
      </w:pPr>
      <w:r w:rsidRPr="00F6314C">
        <w:t>Europejski Trybunał Praw</w:t>
      </w:r>
      <w:r w:rsidR="004C279D">
        <w:t xml:space="preserve"> </w:t>
      </w:r>
      <w:r w:rsidRPr="00F6314C">
        <w:t>Człowieka (</w:t>
      </w:r>
      <w:r w:rsidR="004C279D" w:rsidRPr="00F6314C">
        <w:t>Sekcja</w:t>
      </w:r>
      <w:r w:rsidR="004C279D">
        <w:t xml:space="preserve"> Pierwsza</w:t>
      </w:r>
      <w:r w:rsidRPr="00F6314C">
        <w:t>), zasiadając w</w:t>
      </w:r>
      <w:r w:rsidR="00ED4FFB">
        <w:t> </w:t>
      </w:r>
      <w:r w:rsidRPr="00F6314C">
        <w:t>dniu 9</w:t>
      </w:r>
      <w:r w:rsidR="004C279D">
        <w:t xml:space="preserve"> </w:t>
      </w:r>
      <w:r w:rsidRPr="00F6314C">
        <w:t>listopada 2021</w:t>
      </w:r>
      <w:r w:rsidR="004C279D">
        <w:t xml:space="preserve"> </w:t>
      </w:r>
      <w:r w:rsidRPr="00F6314C">
        <w:t>r. jako Komitet w</w:t>
      </w:r>
      <w:r w:rsidR="004C279D">
        <w:t xml:space="preserve"> </w:t>
      </w:r>
      <w:r w:rsidRPr="00F6314C">
        <w:t>składzie:</w:t>
      </w:r>
    </w:p>
    <w:p w14:paraId="1C1A66E4" w14:textId="26FE562E" w:rsidR="00570311" w:rsidRPr="00F6314C" w:rsidRDefault="002126AF" w:rsidP="00892B80">
      <w:pPr>
        <w:pStyle w:val="JuJudges"/>
        <w:tabs>
          <w:tab w:val="left" w:pos="5060"/>
        </w:tabs>
      </w:pPr>
      <w:r w:rsidRPr="00F6314C">
        <w:tab/>
        <w:t xml:space="preserve">Erik </w:t>
      </w:r>
      <w:proofErr w:type="spellStart"/>
      <w:r w:rsidRPr="00F6314C">
        <w:t>Wennerström</w:t>
      </w:r>
      <w:proofErr w:type="spellEnd"/>
      <w:r w:rsidRPr="00F6314C">
        <w:t xml:space="preserve">, </w:t>
      </w:r>
      <w:r w:rsidRPr="00F6314C">
        <w:rPr>
          <w:i/>
          <w:iCs/>
        </w:rPr>
        <w:t>Przewodniczący</w:t>
      </w:r>
      <w:r w:rsidRPr="00F6314C">
        <w:t>,</w:t>
      </w:r>
      <w:r w:rsidR="00892B80" w:rsidRPr="00F6314C">
        <w:tab/>
      </w:r>
      <w:r w:rsidRPr="00F6314C">
        <w:br/>
      </w:r>
      <w:r w:rsidRPr="00F6314C">
        <w:tab/>
        <w:t xml:space="preserve">Krzysztof </w:t>
      </w:r>
      <w:proofErr w:type="spellStart"/>
      <w:r w:rsidRPr="00F6314C">
        <w:t>Wojtyczek</w:t>
      </w:r>
      <w:proofErr w:type="spellEnd"/>
      <w:r w:rsidRPr="00F6314C">
        <w:t>,</w:t>
      </w:r>
      <w:r w:rsidRPr="00F6314C">
        <w:br/>
      </w:r>
      <w:r w:rsidRPr="00F6314C">
        <w:tab/>
        <w:t xml:space="preserve">Lorraine </w:t>
      </w:r>
      <w:proofErr w:type="spellStart"/>
      <w:r w:rsidRPr="00F6314C">
        <w:t>Schembri</w:t>
      </w:r>
      <w:proofErr w:type="spellEnd"/>
      <w:r w:rsidRPr="00F6314C">
        <w:t xml:space="preserve"> </w:t>
      </w:r>
      <w:proofErr w:type="spellStart"/>
      <w:r w:rsidRPr="00F6314C">
        <w:t>Orland</w:t>
      </w:r>
      <w:proofErr w:type="spellEnd"/>
      <w:r w:rsidRPr="00F6314C">
        <w:t xml:space="preserve">, </w:t>
      </w:r>
      <w:r w:rsidR="00A470B8" w:rsidRPr="00F6314C">
        <w:rPr>
          <w:i/>
          <w:iCs/>
        </w:rPr>
        <w:t>s</w:t>
      </w:r>
      <w:r w:rsidRPr="00F6314C">
        <w:rPr>
          <w:i/>
          <w:iCs/>
        </w:rPr>
        <w:t>ędziowie</w:t>
      </w:r>
      <w:r w:rsidRPr="00F6314C">
        <w:t>,</w:t>
      </w:r>
      <w:r w:rsidRPr="00F6314C">
        <w:br/>
        <w:t xml:space="preserve">oraz </w:t>
      </w:r>
      <w:proofErr w:type="spellStart"/>
      <w:r w:rsidRPr="00F6314C">
        <w:t>Attila</w:t>
      </w:r>
      <w:proofErr w:type="spellEnd"/>
      <w:r w:rsidRPr="00F6314C">
        <w:t xml:space="preserve"> </w:t>
      </w:r>
      <w:proofErr w:type="spellStart"/>
      <w:r w:rsidRPr="00F6314C">
        <w:t>Teplán</w:t>
      </w:r>
      <w:proofErr w:type="spellEnd"/>
      <w:r w:rsidRPr="00F6314C">
        <w:t xml:space="preserve">, </w:t>
      </w:r>
      <w:r w:rsidRPr="00F6314C">
        <w:rPr>
          <w:i/>
          <w:iCs/>
        </w:rPr>
        <w:t xml:space="preserve">p.o. </w:t>
      </w:r>
      <w:r w:rsidR="004C279D">
        <w:rPr>
          <w:i/>
          <w:iCs/>
        </w:rPr>
        <w:t>Zastępca</w:t>
      </w:r>
      <w:r w:rsidR="004C279D" w:rsidRPr="00F6314C">
        <w:rPr>
          <w:i/>
          <w:iCs/>
        </w:rPr>
        <w:t xml:space="preserve"> </w:t>
      </w:r>
      <w:r w:rsidRPr="00F6314C">
        <w:rPr>
          <w:i/>
          <w:iCs/>
        </w:rPr>
        <w:t>Kanclerza Sekcji</w:t>
      </w:r>
      <w:r w:rsidRPr="00F6314C">
        <w:t>,</w:t>
      </w:r>
    </w:p>
    <w:p w14:paraId="3BE9E842" w14:textId="0A2F8B60" w:rsidR="00570311" w:rsidRPr="00F6314C" w:rsidRDefault="002126AF">
      <w:pPr>
        <w:pStyle w:val="JuPara"/>
      </w:pPr>
      <w:r w:rsidRPr="00F6314C">
        <w:t>mając na uwadze powyższą skargę wniesioną w</w:t>
      </w:r>
      <w:r w:rsidR="004C279D">
        <w:t xml:space="preserve"> </w:t>
      </w:r>
      <w:r w:rsidRPr="00F6314C">
        <w:t>dniu 6</w:t>
      </w:r>
      <w:r w:rsidR="004C279D">
        <w:t xml:space="preserve"> </w:t>
      </w:r>
      <w:r w:rsidRPr="00F6314C">
        <w:t>września 2013</w:t>
      </w:r>
      <w:r w:rsidR="004C279D">
        <w:t xml:space="preserve"> </w:t>
      </w:r>
      <w:r w:rsidRPr="00F6314C">
        <w:t>r.,</w:t>
      </w:r>
    </w:p>
    <w:p w14:paraId="178004FF" w14:textId="5D02AAA1" w:rsidR="00570311" w:rsidRPr="00F6314C" w:rsidRDefault="002126AF">
      <w:pPr>
        <w:pStyle w:val="JuPara"/>
      </w:pPr>
      <w:r w:rsidRPr="00F6314C">
        <w:t>mając na względzie uwagi przedstawione przez pozwany Rząd oraz przekazane w</w:t>
      </w:r>
      <w:r w:rsidR="004C279D">
        <w:t xml:space="preserve"> </w:t>
      </w:r>
      <w:r w:rsidRPr="00F6314C">
        <w:t>odpowiedzi uwagi skarżącego,</w:t>
      </w:r>
    </w:p>
    <w:p w14:paraId="254C5606" w14:textId="77777777" w:rsidR="00570311" w:rsidRPr="00F6314C" w:rsidRDefault="002126AF">
      <w:pPr>
        <w:pStyle w:val="JuPara"/>
      </w:pPr>
      <w:r w:rsidRPr="00F6314C">
        <w:t>po rozpoznaniu postanawia, co następuje:</w:t>
      </w:r>
    </w:p>
    <w:p w14:paraId="7C8CDE2C" w14:textId="25BF6FF2" w:rsidR="00570311" w:rsidRPr="00F6314C" w:rsidRDefault="004C279D">
      <w:pPr>
        <w:pStyle w:val="JuHHead"/>
        <w:numPr>
          <w:ilvl w:val="0"/>
          <w:numId w:val="1"/>
        </w:numPr>
        <w:spacing w:before="280"/>
      </w:pPr>
      <w:r>
        <w:rPr>
          <w:bCs w:val="0"/>
        </w:rPr>
        <w:t>FAKTY</w:t>
      </w:r>
    </w:p>
    <w:p w14:paraId="43342E74" w14:textId="23A109F4" w:rsidR="00570311" w:rsidRPr="00F6314C" w:rsidRDefault="002126AF">
      <w:pPr>
        <w:pStyle w:val="JuPara"/>
      </w:pPr>
      <w:r w:rsidRPr="00F6314C">
        <w:t>1.</w:t>
      </w:r>
      <w:r w:rsidR="004C279D">
        <w:t xml:space="preserve"> </w:t>
      </w:r>
      <w:r w:rsidRPr="00F6314C">
        <w:t xml:space="preserve">Skarżący, Robert </w:t>
      </w:r>
      <w:proofErr w:type="spellStart"/>
      <w:r w:rsidRPr="00F6314C">
        <w:t>Fąfara</w:t>
      </w:r>
      <w:proofErr w:type="spellEnd"/>
      <w:r w:rsidRPr="00F6314C">
        <w:t>, jest obywatelem Polski, który urodził się w</w:t>
      </w:r>
      <w:r w:rsidR="00ED4FFB">
        <w:t> </w:t>
      </w:r>
      <w:r w:rsidRPr="00F6314C">
        <w:t>1968</w:t>
      </w:r>
      <w:r w:rsidR="004C279D">
        <w:t xml:space="preserve"> </w:t>
      </w:r>
      <w:r w:rsidRPr="00F6314C">
        <w:t>r. i</w:t>
      </w:r>
      <w:r w:rsidR="004C279D">
        <w:t xml:space="preserve"> </w:t>
      </w:r>
      <w:r w:rsidRPr="00F6314C">
        <w:t>mieszka w</w:t>
      </w:r>
      <w:r w:rsidR="004C279D">
        <w:t xml:space="preserve"> </w:t>
      </w:r>
      <w:r w:rsidRPr="00F6314C">
        <w:t xml:space="preserve">Oleśnicy. Skarżący był reprezentowany przed Trybunałem przez p. B. </w:t>
      </w:r>
      <w:bookmarkStart w:id="0" w:name="_Hlk89095094"/>
      <w:proofErr w:type="spellStart"/>
      <w:r w:rsidRPr="00F6314C">
        <w:t>Słupską-Uczkiewicz</w:t>
      </w:r>
      <w:bookmarkEnd w:id="0"/>
      <w:proofErr w:type="spellEnd"/>
      <w:r w:rsidRPr="00F6314C">
        <w:t>, prawni</w:t>
      </w:r>
      <w:r w:rsidR="00AF3772">
        <w:t>czkę</w:t>
      </w:r>
      <w:r w:rsidRPr="00F6314C">
        <w:t xml:space="preserve"> praktykującą we</w:t>
      </w:r>
      <w:r w:rsidR="00ED4FFB">
        <w:t> </w:t>
      </w:r>
      <w:r w:rsidRPr="00F6314C">
        <w:t>Wrocławiu.</w:t>
      </w:r>
    </w:p>
    <w:p w14:paraId="43E6E458" w14:textId="179F22FF" w:rsidR="00570311" w:rsidRPr="00F6314C" w:rsidRDefault="002126AF">
      <w:pPr>
        <w:pStyle w:val="JuPara"/>
      </w:pPr>
      <w:r w:rsidRPr="00F6314C">
        <w:t>2.</w:t>
      </w:r>
      <w:r w:rsidR="004C279D">
        <w:t xml:space="preserve"> </w:t>
      </w:r>
      <w:r w:rsidRPr="00F6314C">
        <w:t>Rząd polski („Rząd”) reprezentowany był przez swojego pełnomocnika, p.</w:t>
      </w:r>
      <w:r w:rsidR="004C279D">
        <w:t xml:space="preserve"> </w:t>
      </w:r>
      <w:r w:rsidRPr="00F6314C">
        <w:t>J.</w:t>
      </w:r>
      <w:r w:rsidR="004C279D">
        <w:t xml:space="preserve"> </w:t>
      </w:r>
      <w:r w:rsidRPr="00F6314C">
        <w:t>Chrzanowską, a</w:t>
      </w:r>
      <w:r w:rsidR="004C279D">
        <w:t xml:space="preserve"> </w:t>
      </w:r>
      <w:r w:rsidRPr="00F6314C">
        <w:t>następnie przez p.</w:t>
      </w:r>
      <w:r w:rsidR="004C279D">
        <w:t xml:space="preserve"> </w:t>
      </w:r>
      <w:r w:rsidRPr="00F6314C">
        <w:t>J.</w:t>
      </w:r>
      <w:r w:rsidR="004C279D">
        <w:t xml:space="preserve"> </w:t>
      </w:r>
      <w:r w:rsidRPr="00F6314C">
        <w:t>Sobczaka z</w:t>
      </w:r>
      <w:r w:rsidR="004C279D">
        <w:t xml:space="preserve"> </w:t>
      </w:r>
      <w:r w:rsidRPr="00F6314C">
        <w:t>Ministerstwa Spraw</w:t>
      </w:r>
      <w:r w:rsidR="004C279D">
        <w:t xml:space="preserve"> </w:t>
      </w:r>
      <w:r w:rsidRPr="00F6314C">
        <w:t>Zagranicznych</w:t>
      </w:r>
      <w:r w:rsidR="00322673">
        <w:t>.</w:t>
      </w:r>
    </w:p>
    <w:p w14:paraId="0BD2D365" w14:textId="77777777" w:rsidR="00570311" w:rsidRPr="00F6314C" w:rsidRDefault="002126AF">
      <w:pPr>
        <w:pStyle w:val="JuHA"/>
        <w:numPr>
          <w:ilvl w:val="2"/>
          <w:numId w:val="1"/>
        </w:numPr>
        <w:spacing w:before="280"/>
      </w:pPr>
      <w:r w:rsidRPr="00F6314C">
        <w:t>Okoliczności sprawy</w:t>
      </w:r>
    </w:p>
    <w:p w14:paraId="320491D9" w14:textId="70F062DC" w:rsidR="00570311" w:rsidRPr="004C279D" w:rsidRDefault="002126AF">
      <w:pPr>
        <w:pStyle w:val="JuPara"/>
        <w:rPr>
          <w:caps/>
        </w:rPr>
      </w:pPr>
      <w:r w:rsidRPr="00F6314C">
        <w:t>3.</w:t>
      </w:r>
      <w:r w:rsidR="004C279D">
        <w:t xml:space="preserve"> </w:t>
      </w:r>
      <w:r w:rsidRPr="00F6314C">
        <w:t>Stan faktyczny sprawy, przedstawiony przez strony, można streścić następująco.</w:t>
      </w:r>
    </w:p>
    <w:p w14:paraId="745C0899" w14:textId="43E62BF6" w:rsidR="00570311" w:rsidRPr="00F6314C" w:rsidRDefault="002126AF">
      <w:pPr>
        <w:pStyle w:val="JuH1"/>
        <w:numPr>
          <w:ilvl w:val="3"/>
          <w:numId w:val="1"/>
        </w:numPr>
        <w:spacing w:before="280"/>
      </w:pPr>
      <w:r w:rsidRPr="00F6314C">
        <w:rPr>
          <w:bCs w:val="0"/>
        </w:rPr>
        <w:lastRenderedPageBreak/>
        <w:t>Wydarzenia w</w:t>
      </w:r>
      <w:r w:rsidR="004C279D">
        <w:rPr>
          <w:bCs w:val="0"/>
        </w:rPr>
        <w:t xml:space="preserve"> </w:t>
      </w:r>
      <w:r w:rsidRPr="00F6314C">
        <w:rPr>
          <w:bCs w:val="0"/>
        </w:rPr>
        <w:t>dniach 6–8</w:t>
      </w:r>
      <w:r w:rsidR="004C279D">
        <w:rPr>
          <w:bCs w:val="0"/>
        </w:rPr>
        <w:t xml:space="preserve"> </w:t>
      </w:r>
      <w:r w:rsidRPr="00F6314C">
        <w:rPr>
          <w:bCs w:val="0"/>
        </w:rPr>
        <w:t>lutego 2010</w:t>
      </w:r>
      <w:r w:rsidR="004C279D">
        <w:rPr>
          <w:bCs w:val="0"/>
        </w:rPr>
        <w:t xml:space="preserve"> </w:t>
      </w:r>
      <w:r w:rsidRPr="00F6314C">
        <w:rPr>
          <w:bCs w:val="0"/>
        </w:rPr>
        <w:t>r.</w:t>
      </w:r>
    </w:p>
    <w:p w14:paraId="09C2BC76" w14:textId="0CDD3E4E" w:rsidR="00570311" w:rsidRPr="00F6314C" w:rsidRDefault="002126AF">
      <w:pPr>
        <w:pStyle w:val="JuPara"/>
      </w:pPr>
      <w:r w:rsidRPr="00F6314C">
        <w:t>4</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6</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około godz. 14.15 skarżący został zatrzymany przez policję w</w:t>
      </w:r>
      <w:r w:rsidR="004C279D">
        <w:rPr>
          <w:rFonts w:eastAsiaTheme="minorEastAsia"/>
        </w:rPr>
        <w:t xml:space="preserve"> </w:t>
      </w:r>
      <w:r w:rsidRPr="00F6314C">
        <w:rPr>
          <w:rFonts w:eastAsiaTheme="minorEastAsia"/>
        </w:rPr>
        <w:t>związku ze śmiercią kobiety. O</w:t>
      </w:r>
      <w:r w:rsidR="004C279D">
        <w:rPr>
          <w:rFonts w:eastAsiaTheme="minorEastAsia"/>
        </w:rPr>
        <w:t xml:space="preserve"> </w:t>
      </w:r>
      <w:r w:rsidRPr="00F6314C">
        <w:rPr>
          <w:rFonts w:eastAsiaTheme="minorEastAsia"/>
        </w:rPr>
        <w:t>godz. 15.01 badanie alkomatem wykazało u</w:t>
      </w:r>
      <w:r w:rsidR="004C279D">
        <w:rPr>
          <w:rFonts w:eastAsiaTheme="minorEastAsia"/>
        </w:rPr>
        <w:t xml:space="preserve"> </w:t>
      </w:r>
      <w:r w:rsidRPr="00F6314C">
        <w:rPr>
          <w:rFonts w:eastAsiaTheme="minorEastAsia"/>
        </w:rPr>
        <w:t>niego poziom alkoholu we krwi wynoszący 2,24</w:t>
      </w:r>
      <w:r w:rsidR="004C279D">
        <w:rPr>
          <w:rFonts w:eastAsiaTheme="minorEastAsia"/>
        </w:rPr>
        <w:t xml:space="preserve"> </w:t>
      </w:r>
      <w:r w:rsidRPr="00F6314C">
        <w:rPr>
          <w:rFonts w:eastAsiaTheme="minorEastAsia"/>
        </w:rPr>
        <w:t>grama na litr. Skarżący twierdził, że wieczorem w</w:t>
      </w:r>
      <w:r w:rsidR="004C279D">
        <w:rPr>
          <w:rFonts w:eastAsiaTheme="minorEastAsia"/>
        </w:rPr>
        <w:t xml:space="preserve"> </w:t>
      </w:r>
      <w:r w:rsidRPr="00F6314C">
        <w:rPr>
          <w:rFonts w:eastAsiaTheme="minorEastAsia"/>
        </w:rPr>
        <w:t>dniu 5</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 xml:space="preserve">r. zażył </w:t>
      </w:r>
      <w:proofErr w:type="spellStart"/>
      <w:r w:rsidRPr="00F6314C">
        <w:rPr>
          <w:rFonts w:eastAsiaTheme="minorEastAsia"/>
        </w:rPr>
        <w:t>nitrazepam</w:t>
      </w:r>
      <w:proofErr w:type="spellEnd"/>
      <w:r w:rsidRPr="00F6314C">
        <w:rPr>
          <w:rFonts w:eastAsiaTheme="minorEastAsia"/>
        </w:rPr>
        <w:t xml:space="preserve"> (lek przepisywany w</w:t>
      </w:r>
      <w:r w:rsidR="004C279D">
        <w:rPr>
          <w:rFonts w:eastAsiaTheme="minorEastAsia"/>
        </w:rPr>
        <w:t xml:space="preserve"> </w:t>
      </w:r>
      <w:r w:rsidRPr="00F6314C">
        <w:rPr>
          <w:rFonts w:eastAsiaTheme="minorEastAsia"/>
        </w:rPr>
        <w:t>celu krótkotrwałego złagodzenia silnego lęku i</w:t>
      </w:r>
      <w:r w:rsidR="004C279D">
        <w:rPr>
          <w:rFonts w:eastAsiaTheme="minorEastAsia"/>
        </w:rPr>
        <w:t xml:space="preserve"> </w:t>
      </w:r>
      <w:r w:rsidRPr="00F6314C">
        <w:rPr>
          <w:rFonts w:eastAsiaTheme="minorEastAsia"/>
        </w:rPr>
        <w:t>bezsenności). Następnie o</w:t>
      </w:r>
      <w:r w:rsidR="004C279D">
        <w:rPr>
          <w:rFonts w:eastAsiaTheme="minorEastAsia"/>
        </w:rPr>
        <w:t xml:space="preserve"> </w:t>
      </w:r>
      <w:r w:rsidRPr="00F6314C">
        <w:rPr>
          <w:rFonts w:eastAsiaTheme="minorEastAsia"/>
        </w:rPr>
        <w:t>godz. 18.00 skarżącego aresztowano pod</w:t>
      </w:r>
      <w:r w:rsidR="00ED4FFB">
        <w:rPr>
          <w:rFonts w:eastAsiaTheme="minorEastAsia"/>
        </w:rPr>
        <w:t> </w:t>
      </w:r>
      <w:r w:rsidRPr="00F6314C">
        <w:rPr>
          <w:rFonts w:eastAsiaTheme="minorEastAsia"/>
        </w:rPr>
        <w:t>zarzutem zabójstwa.</w:t>
      </w:r>
    </w:p>
    <w:p w14:paraId="0EC4BD7B" w14:textId="16177096" w:rsidR="00570311" w:rsidRPr="00F6314C" w:rsidRDefault="002126AF">
      <w:pPr>
        <w:pStyle w:val="JuPara"/>
      </w:pPr>
      <w:r w:rsidRPr="00F6314C">
        <w:t>5</w:t>
      </w:r>
      <w:r w:rsidRPr="00F6314C">
        <w:rPr>
          <w:rFonts w:eastAsiaTheme="minorEastAsia"/>
        </w:rPr>
        <w:t>.</w:t>
      </w:r>
      <w:r w:rsidR="004C279D">
        <w:rPr>
          <w:rFonts w:eastAsiaTheme="minorEastAsia"/>
        </w:rPr>
        <w:t xml:space="preserve"> </w:t>
      </w:r>
      <w:r w:rsidRPr="00F6314C">
        <w:rPr>
          <w:rFonts w:eastAsiaTheme="minorEastAsia"/>
        </w:rPr>
        <w:t>Według protokołu zatrzymania sporządzonego tego samego dnia o</w:t>
      </w:r>
      <w:r w:rsidR="00ED4FFB">
        <w:rPr>
          <w:rFonts w:eastAsiaTheme="minorEastAsia"/>
        </w:rPr>
        <w:t> </w:t>
      </w:r>
      <w:r w:rsidRPr="00F6314C">
        <w:rPr>
          <w:rFonts w:eastAsiaTheme="minorEastAsia"/>
        </w:rPr>
        <w:t>godz. 18.35 skarżący został pouczony o</w:t>
      </w:r>
      <w:r w:rsidR="004C279D">
        <w:rPr>
          <w:rFonts w:eastAsiaTheme="minorEastAsia"/>
        </w:rPr>
        <w:t xml:space="preserve"> </w:t>
      </w:r>
      <w:r w:rsidRPr="00F6314C">
        <w:rPr>
          <w:rFonts w:eastAsiaTheme="minorEastAsia"/>
        </w:rPr>
        <w:t>swoich uprawnieniach, potwierdził, że nie złoży zażalenia na zatrzymanie i</w:t>
      </w:r>
      <w:r w:rsidR="004C279D">
        <w:rPr>
          <w:rFonts w:eastAsiaTheme="minorEastAsia"/>
        </w:rPr>
        <w:t xml:space="preserve"> </w:t>
      </w:r>
      <w:r w:rsidRPr="00F6314C">
        <w:rPr>
          <w:rFonts w:eastAsiaTheme="minorEastAsia"/>
        </w:rPr>
        <w:t>nie zażądał dostępu do obrońcy. Skarżący podpisał dokument informujący go o</w:t>
      </w:r>
      <w:r w:rsidR="004C279D">
        <w:rPr>
          <w:rFonts w:eastAsiaTheme="minorEastAsia"/>
        </w:rPr>
        <w:t xml:space="preserve"> </w:t>
      </w:r>
      <w:r w:rsidRPr="00F6314C">
        <w:rPr>
          <w:rFonts w:eastAsiaTheme="minorEastAsia"/>
        </w:rPr>
        <w:t>tych prawach.</w:t>
      </w:r>
    </w:p>
    <w:p w14:paraId="2CA5DD85" w14:textId="0C84A834" w:rsidR="00570311" w:rsidRPr="00F6314C" w:rsidRDefault="002126AF">
      <w:pPr>
        <w:pStyle w:val="JuPara"/>
      </w:pPr>
      <w:r w:rsidRPr="00F6314C">
        <w:t>6</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7</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o</w:t>
      </w:r>
      <w:r w:rsidR="004C279D">
        <w:rPr>
          <w:rFonts w:eastAsiaTheme="minorEastAsia"/>
        </w:rPr>
        <w:t xml:space="preserve"> </w:t>
      </w:r>
      <w:r w:rsidRPr="00F6314C">
        <w:rPr>
          <w:rFonts w:eastAsiaTheme="minorEastAsia"/>
        </w:rPr>
        <w:t>godz. 15.15 skarżący został przesłuchany przez policję. Wcześniej zbadano poziom alkoholu w</w:t>
      </w:r>
      <w:r w:rsidR="004C279D">
        <w:rPr>
          <w:rFonts w:eastAsiaTheme="minorEastAsia"/>
        </w:rPr>
        <w:t xml:space="preserve"> </w:t>
      </w:r>
      <w:r w:rsidRPr="00F6314C">
        <w:rPr>
          <w:rFonts w:eastAsiaTheme="minorEastAsia"/>
        </w:rPr>
        <w:t>jego krwi, a</w:t>
      </w:r>
      <w:r w:rsidR="004C279D">
        <w:rPr>
          <w:rFonts w:eastAsiaTheme="minorEastAsia"/>
        </w:rPr>
        <w:t xml:space="preserve"> </w:t>
      </w:r>
      <w:r w:rsidRPr="00F6314C">
        <w:rPr>
          <w:rFonts w:eastAsiaTheme="minorEastAsia"/>
        </w:rPr>
        <w:t>test alkomatem wykazał poziom alkoholu we krwi wynoszący 0,00</w:t>
      </w:r>
      <w:r w:rsidR="004C279D">
        <w:rPr>
          <w:rFonts w:eastAsiaTheme="minorEastAsia"/>
        </w:rPr>
        <w:t xml:space="preserve"> </w:t>
      </w:r>
      <w:r w:rsidRPr="00F6314C">
        <w:rPr>
          <w:rFonts w:eastAsiaTheme="minorEastAsia"/>
        </w:rPr>
        <w:t>grama na litr. Skarżący podpisał oświadczenie, że przed przesłuchaniem został pouczony o</w:t>
      </w:r>
      <w:r w:rsidR="00ED4FFB">
        <w:rPr>
          <w:rFonts w:eastAsiaTheme="minorEastAsia"/>
        </w:rPr>
        <w:t> </w:t>
      </w:r>
      <w:r w:rsidRPr="00F6314C">
        <w:rPr>
          <w:rFonts w:eastAsiaTheme="minorEastAsia"/>
        </w:rPr>
        <w:t>swoich uprawnieniach i</w:t>
      </w:r>
      <w:r w:rsidR="004C279D">
        <w:rPr>
          <w:rFonts w:eastAsiaTheme="minorEastAsia"/>
        </w:rPr>
        <w:t xml:space="preserve"> </w:t>
      </w:r>
      <w:r w:rsidRPr="00F6314C">
        <w:rPr>
          <w:rFonts w:eastAsiaTheme="minorEastAsia"/>
        </w:rPr>
        <w:t>że otrzymał dokument zawierający informacje na</w:t>
      </w:r>
      <w:r w:rsidR="00ED4FFB">
        <w:rPr>
          <w:rFonts w:eastAsiaTheme="minorEastAsia"/>
        </w:rPr>
        <w:t> </w:t>
      </w:r>
      <w:r w:rsidRPr="00F6314C">
        <w:rPr>
          <w:rFonts w:eastAsiaTheme="minorEastAsia"/>
        </w:rPr>
        <w:t xml:space="preserve">temat </w:t>
      </w:r>
      <w:r w:rsidR="00BE1418">
        <w:rPr>
          <w:rFonts w:eastAsiaTheme="minorEastAsia"/>
        </w:rPr>
        <w:t>swoich</w:t>
      </w:r>
      <w:r w:rsidRPr="00F6314C">
        <w:rPr>
          <w:rFonts w:eastAsiaTheme="minorEastAsia"/>
        </w:rPr>
        <w:t xml:space="preserve"> uprawnień.</w:t>
      </w:r>
    </w:p>
    <w:p w14:paraId="722FF5E1" w14:textId="1A4383A1" w:rsidR="00570311" w:rsidRPr="00F6314C" w:rsidRDefault="002126AF">
      <w:pPr>
        <w:pStyle w:val="JuPara"/>
      </w:pPr>
      <w:r w:rsidRPr="00F6314C">
        <w:t>7</w:t>
      </w:r>
      <w:r w:rsidRPr="00F6314C">
        <w:rPr>
          <w:rFonts w:eastAsiaTheme="minorEastAsia"/>
        </w:rPr>
        <w:t>.</w:t>
      </w:r>
      <w:r w:rsidR="004C279D">
        <w:rPr>
          <w:rFonts w:eastAsiaTheme="minorEastAsia"/>
        </w:rPr>
        <w:t xml:space="preserve"> </w:t>
      </w:r>
      <w:r w:rsidRPr="00F6314C">
        <w:rPr>
          <w:rFonts w:eastAsiaTheme="minorEastAsia"/>
        </w:rPr>
        <w:t>Podczas przesłuchania skarżący przedstawił szczegółowy i</w:t>
      </w:r>
      <w:r w:rsidR="004C279D">
        <w:rPr>
          <w:rFonts w:eastAsiaTheme="minorEastAsia"/>
        </w:rPr>
        <w:t xml:space="preserve"> </w:t>
      </w:r>
      <w:r w:rsidRPr="00F6314C">
        <w:rPr>
          <w:rFonts w:eastAsiaTheme="minorEastAsia"/>
        </w:rPr>
        <w:t>spójny opis wydarzeń z</w:t>
      </w:r>
      <w:r w:rsidR="004C279D">
        <w:rPr>
          <w:rFonts w:eastAsiaTheme="minorEastAsia"/>
        </w:rPr>
        <w:t xml:space="preserve"> </w:t>
      </w:r>
      <w:r w:rsidRPr="00F6314C">
        <w:rPr>
          <w:rFonts w:eastAsiaTheme="minorEastAsia"/>
        </w:rPr>
        <w:t>poprzedniego dnia. Wyznał, że zabił K.K., z</w:t>
      </w:r>
      <w:r w:rsidR="004C279D">
        <w:rPr>
          <w:rFonts w:eastAsiaTheme="minorEastAsia"/>
        </w:rPr>
        <w:t xml:space="preserve"> </w:t>
      </w:r>
      <w:r w:rsidRPr="00F6314C">
        <w:rPr>
          <w:rFonts w:eastAsiaTheme="minorEastAsia"/>
        </w:rPr>
        <w:t>którą był w</w:t>
      </w:r>
      <w:r w:rsidR="004C279D">
        <w:rPr>
          <w:rFonts w:eastAsiaTheme="minorEastAsia"/>
        </w:rPr>
        <w:t xml:space="preserve"> </w:t>
      </w:r>
      <w:r w:rsidRPr="00F6314C">
        <w:rPr>
          <w:rFonts w:eastAsiaTheme="minorEastAsia"/>
        </w:rPr>
        <w:t>związku. Zeznał, że udusił ją, ponieważ był zazdrosny, myśląc, że sypiała ona z</w:t>
      </w:r>
      <w:r w:rsidR="004C279D">
        <w:rPr>
          <w:rFonts w:eastAsiaTheme="minorEastAsia"/>
        </w:rPr>
        <w:t xml:space="preserve"> </w:t>
      </w:r>
      <w:r w:rsidRPr="00F6314C">
        <w:rPr>
          <w:rFonts w:eastAsiaTheme="minorEastAsia"/>
        </w:rPr>
        <w:t>innymi mężczyznami. Skarżący wyjaśnił, że dzielił mieszkanie z</w:t>
      </w:r>
      <w:r w:rsidR="004C279D">
        <w:rPr>
          <w:rFonts w:eastAsiaTheme="minorEastAsia"/>
        </w:rPr>
        <w:t xml:space="preserve"> </w:t>
      </w:r>
      <w:r w:rsidRPr="00F6314C">
        <w:rPr>
          <w:rFonts w:eastAsiaTheme="minorEastAsia"/>
        </w:rPr>
        <w:t>K.K. i</w:t>
      </w:r>
      <w:r w:rsidR="004C279D">
        <w:rPr>
          <w:rFonts w:eastAsiaTheme="minorEastAsia"/>
        </w:rPr>
        <w:t xml:space="preserve"> </w:t>
      </w:r>
      <w:r w:rsidRPr="00F6314C">
        <w:rPr>
          <w:rFonts w:eastAsiaTheme="minorEastAsia"/>
        </w:rPr>
        <w:t>jej partnerem, niejakim J.G. Skarżący podpisał protokół przesłuchania przez policję i</w:t>
      </w:r>
      <w:r w:rsidR="004C279D">
        <w:rPr>
          <w:rFonts w:eastAsiaTheme="minorEastAsia"/>
        </w:rPr>
        <w:t xml:space="preserve"> </w:t>
      </w:r>
      <w:r w:rsidRPr="00F6314C">
        <w:rPr>
          <w:rFonts w:eastAsiaTheme="minorEastAsia"/>
        </w:rPr>
        <w:t>dodał odręczną notatkę, że odzwierciedla on jego zeznania. Podczas przesłuchania nie korzystał z</w:t>
      </w:r>
      <w:r w:rsidR="004C279D">
        <w:rPr>
          <w:rFonts w:eastAsiaTheme="minorEastAsia"/>
        </w:rPr>
        <w:t xml:space="preserve"> </w:t>
      </w:r>
      <w:r w:rsidRPr="00F6314C">
        <w:rPr>
          <w:rFonts w:eastAsiaTheme="minorEastAsia"/>
        </w:rPr>
        <w:t>pomocy obrońcy.</w:t>
      </w:r>
    </w:p>
    <w:p w14:paraId="34F8AC47" w14:textId="0D0B96FD" w:rsidR="00570311" w:rsidRPr="00F6314C" w:rsidRDefault="002126AF">
      <w:pPr>
        <w:pStyle w:val="JuPara"/>
      </w:pPr>
      <w:r w:rsidRPr="00F6314C">
        <w:t>8</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8</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o</w:t>
      </w:r>
      <w:r w:rsidR="004C279D">
        <w:rPr>
          <w:rFonts w:eastAsiaTheme="minorEastAsia"/>
        </w:rPr>
        <w:t xml:space="preserve"> </w:t>
      </w:r>
      <w:r w:rsidRPr="00F6314C">
        <w:rPr>
          <w:rFonts w:eastAsiaTheme="minorEastAsia"/>
        </w:rPr>
        <w:t>godz. 10.00 skarżący został przesłuchany przez prokuratora. Skarżący podpisał oświadczenie, że przed przesłuchaniem został pouczony o</w:t>
      </w:r>
      <w:r w:rsidR="004C279D">
        <w:rPr>
          <w:rFonts w:eastAsiaTheme="minorEastAsia"/>
        </w:rPr>
        <w:t xml:space="preserve"> </w:t>
      </w:r>
      <w:r w:rsidRPr="00F6314C">
        <w:rPr>
          <w:rFonts w:eastAsiaTheme="minorEastAsia"/>
        </w:rPr>
        <w:t>swoich uprawnieniach i</w:t>
      </w:r>
      <w:r w:rsidR="004C279D">
        <w:rPr>
          <w:rFonts w:eastAsiaTheme="minorEastAsia"/>
        </w:rPr>
        <w:t xml:space="preserve"> </w:t>
      </w:r>
      <w:r w:rsidRPr="00F6314C">
        <w:rPr>
          <w:rFonts w:eastAsiaTheme="minorEastAsia"/>
        </w:rPr>
        <w:t>że otrzymał pouczenie o</w:t>
      </w:r>
      <w:r w:rsidR="00ED4FFB">
        <w:rPr>
          <w:rFonts w:eastAsiaTheme="minorEastAsia"/>
        </w:rPr>
        <w:t> </w:t>
      </w:r>
      <w:r w:rsidRPr="00F6314C">
        <w:rPr>
          <w:rFonts w:eastAsiaTheme="minorEastAsia"/>
        </w:rPr>
        <w:t>uprawnieniach. Skarżący podtrzymał zeznania, które złożył na policji, i</w:t>
      </w:r>
      <w:r w:rsidR="00ED4FFB">
        <w:rPr>
          <w:rFonts w:eastAsiaTheme="minorEastAsia"/>
        </w:rPr>
        <w:t> </w:t>
      </w:r>
      <w:r w:rsidRPr="00F6314C">
        <w:rPr>
          <w:rFonts w:eastAsiaTheme="minorEastAsia"/>
        </w:rPr>
        <w:t>przyznał się do zabójstwa K.K. Ponownie opisał okoliczności zdarzenia. Skarżący zeznał również, że w</w:t>
      </w:r>
      <w:r w:rsidR="004C279D">
        <w:rPr>
          <w:rFonts w:eastAsiaTheme="minorEastAsia"/>
        </w:rPr>
        <w:t xml:space="preserve"> </w:t>
      </w:r>
      <w:r w:rsidRPr="00F6314C">
        <w:rPr>
          <w:rFonts w:eastAsiaTheme="minorEastAsia"/>
        </w:rPr>
        <w:t>dniu 23</w:t>
      </w:r>
      <w:r w:rsidR="004C279D">
        <w:rPr>
          <w:rFonts w:eastAsiaTheme="minorEastAsia"/>
        </w:rPr>
        <w:t xml:space="preserve"> </w:t>
      </w:r>
      <w:r w:rsidRPr="00F6314C">
        <w:rPr>
          <w:rFonts w:eastAsiaTheme="minorEastAsia"/>
        </w:rPr>
        <w:t>stycznia 2010</w:t>
      </w:r>
      <w:r w:rsidR="004C279D">
        <w:rPr>
          <w:rFonts w:eastAsiaTheme="minorEastAsia"/>
        </w:rPr>
        <w:t xml:space="preserve"> </w:t>
      </w:r>
      <w:r w:rsidRPr="00F6314C">
        <w:rPr>
          <w:rFonts w:eastAsiaTheme="minorEastAsia"/>
        </w:rPr>
        <w:t>r. opuścił ośrodek terapii uzależnienia od alkoholu, ale dwa dni później powrócił do nałogu i</w:t>
      </w:r>
      <w:r w:rsidR="00ED4FFB">
        <w:rPr>
          <w:rFonts w:eastAsiaTheme="minorEastAsia"/>
        </w:rPr>
        <w:t> </w:t>
      </w:r>
      <w:r w:rsidRPr="00F6314C">
        <w:rPr>
          <w:rFonts w:eastAsiaTheme="minorEastAsia"/>
        </w:rPr>
        <w:t>od</w:t>
      </w:r>
      <w:r w:rsidR="00ED4FFB">
        <w:rPr>
          <w:rFonts w:eastAsiaTheme="minorEastAsia"/>
        </w:rPr>
        <w:t> </w:t>
      </w:r>
      <w:r w:rsidRPr="00F6314C">
        <w:rPr>
          <w:rFonts w:eastAsiaTheme="minorEastAsia"/>
        </w:rPr>
        <w:t>tego czasu spożywał alkohol codziennie. Skarżący podpisał protokół przesłuchania. Podczas przesłuchania nie korzystał z</w:t>
      </w:r>
      <w:r w:rsidR="004C279D">
        <w:rPr>
          <w:rFonts w:eastAsiaTheme="minorEastAsia"/>
        </w:rPr>
        <w:t xml:space="preserve"> </w:t>
      </w:r>
      <w:r w:rsidRPr="00F6314C">
        <w:rPr>
          <w:rFonts w:eastAsiaTheme="minorEastAsia"/>
        </w:rPr>
        <w:t>pomocy obrońcy.</w:t>
      </w:r>
    </w:p>
    <w:p w14:paraId="42F5FD3B" w14:textId="231F5DFB" w:rsidR="00570311" w:rsidRPr="00F6314C" w:rsidRDefault="002126AF">
      <w:pPr>
        <w:pStyle w:val="JuPara"/>
      </w:pPr>
      <w:r w:rsidRPr="00F6314C">
        <w:t>9</w:t>
      </w:r>
      <w:r w:rsidRPr="00F6314C">
        <w:rPr>
          <w:rFonts w:eastAsiaTheme="minorEastAsia"/>
        </w:rPr>
        <w:t>.</w:t>
      </w:r>
      <w:r w:rsidR="004C279D">
        <w:rPr>
          <w:rFonts w:eastAsiaTheme="minorEastAsia"/>
        </w:rPr>
        <w:t xml:space="preserve"> </w:t>
      </w:r>
      <w:r w:rsidRPr="00F6314C">
        <w:rPr>
          <w:rFonts w:eastAsiaTheme="minorEastAsia"/>
        </w:rPr>
        <w:t>Tego samego dnia o</w:t>
      </w:r>
      <w:r w:rsidR="004C279D">
        <w:rPr>
          <w:rFonts w:eastAsiaTheme="minorEastAsia"/>
        </w:rPr>
        <w:t xml:space="preserve"> </w:t>
      </w:r>
      <w:r w:rsidRPr="00F6314C">
        <w:rPr>
          <w:rFonts w:eastAsiaTheme="minorEastAsia"/>
        </w:rPr>
        <w:t>godz. 13.00 podczas rozprawy sądowej dotyczącej tymczasowego aresztowania skarżący podtrzymał swoje wcześniejsze zeznania.</w:t>
      </w:r>
    </w:p>
    <w:p w14:paraId="72008750" w14:textId="77777777" w:rsidR="00570311" w:rsidRPr="00F6314C" w:rsidRDefault="002126AF">
      <w:pPr>
        <w:pStyle w:val="JuH1"/>
        <w:numPr>
          <w:ilvl w:val="3"/>
          <w:numId w:val="1"/>
        </w:numPr>
        <w:spacing w:before="280"/>
      </w:pPr>
      <w:r w:rsidRPr="00F6314C">
        <w:rPr>
          <w:bCs w:val="0"/>
        </w:rPr>
        <w:t>Śledztwo</w:t>
      </w:r>
    </w:p>
    <w:p w14:paraId="195401D3" w14:textId="22033641" w:rsidR="00570311" w:rsidRPr="00F6314C" w:rsidRDefault="002126AF">
      <w:pPr>
        <w:pStyle w:val="JuPara"/>
      </w:pPr>
      <w:r w:rsidRPr="00F6314C">
        <w:t>10</w:t>
      </w:r>
      <w:r w:rsidRPr="00F6314C">
        <w:rPr>
          <w:rFonts w:eastAsiaTheme="minorEastAsia"/>
        </w:rPr>
        <w:t>.</w:t>
      </w:r>
      <w:r w:rsidR="004C279D">
        <w:rPr>
          <w:rFonts w:eastAsiaTheme="minorEastAsia"/>
        </w:rPr>
        <w:t xml:space="preserve"> </w:t>
      </w:r>
      <w:r w:rsidRPr="00F6314C">
        <w:rPr>
          <w:rFonts w:eastAsiaTheme="minorEastAsia"/>
        </w:rPr>
        <w:t>Skarżący podniósł, że w</w:t>
      </w:r>
      <w:r w:rsidR="004C279D">
        <w:rPr>
          <w:rFonts w:eastAsiaTheme="minorEastAsia"/>
        </w:rPr>
        <w:t xml:space="preserve"> </w:t>
      </w:r>
      <w:r w:rsidRPr="00F6314C">
        <w:rPr>
          <w:rFonts w:eastAsiaTheme="minorEastAsia"/>
        </w:rPr>
        <w:t>dniu 29</w:t>
      </w:r>
      <w:r w:rsidR="004C279D">
        <w:rPr>
          <w:rFonts w:eastAsiaTheme="minorEastAsia"/>
        </w:rPr>
        <w:t xml:space="preserve"> </w:t>
      </w:r>
      <w:r w:rsidRPr="00F6314C">
        <w:rPr>
          <w:rFonts w:eastAsiaTheme="minorEastAsia"/>
        </w:rPr>
        <w:t>marca 2010</w:t>
      </w:r>
      <w:r w:rsidR="004C279D">
        <w:rPr>
          <w:rFonts w:eastAsiaTheme="minorEastAsia"/>
        </w:rPr>
        <w:t xml:space="preserve"> </w:t>
      </w:r>
      <w:r w:rsidRPr="00F6314C">
        <w:rPr>
          <w:rFonts w:eastAsiaTheme="minorEastAsia"/>
        </w:rPr>
        <w:t>r. złożył wniosek o</w:t>
      </w:r>
      <w:r w:rsidR="00ED4FFB">
        <w:rPr>
          <w:rFonts w:eastAsiaTheme="minorEastAsia"/>
        </w:rPr>
        <w:t> </w:t>
      </w:r>
      <w:r w:rsidRPr="00F6314C">
        <w:rPr>
          <w:rFonts w:eastAsiaTheme="minorEastAsia"/>
        </w:rPr>
        <w:t>wyznaczenie obrońcy z</w:t>
      </w:r>
      <w:r w:rsidR="004C279D">
        <w:rPr>
          <w:rFonts w:eastAsiaTheme="minorEastAsia"/>
        </w:rPr>
        <w:t xml:space="preserve"> </w:t>
      </w:r>
      <w:r w:rsidRPr="00F6314C">
        <w:rPr>
          <w:rFonts w:eastAsiaTheme="minorEastAsia"/>
        </w:rPr>
        <w:t>urzędu, lecz sąd nie rozpatrzył tego wniosku. Rząd odpowiedział, że w</w:t>
      </w:r>
      <w:r w:rsidR="004C279D">
        <w:rPr>
          <w:rFonts w:eastAsiaTheme="minorEastAsia"/>
        </w:rPr>
        <w:t xml:space="preserve"> </w:t>
      </w:r>
      <w:r w:rsidRPr="00F6314C">
        <w:rPr>
          <w:rFonts w:eastAsiaTheme="minorEastAsia"/>
        </w:rPr>
        <w:t>aktach sprawy nie ma żadnej wzmianki o</w:t>
      </w:r>
      <w:r w:rsidR="004C279D">
        <w:rPr>
          <w:rFonts w:eastAsiaTheme="minorEastAsia"/>
        </w:rPr>
        <w:t xml:space="preserve"> </w:t>
      </w:r>
      <w:r w:rsidRPr="00F6314C">
        <w:rPr>
          <w:rFonts w:eastAsiaTheme="minorEastAsia"/>
        </w:rPr>
        <w:t>tym, iż taki wniosek kiedykolwiek złożono.</w:t>
      </w:r>
    </w:p>
    <w:p w14:paraId="46D6B592" w14:textId="0B9E2662" w:rsidR="00570311" w:rsidRPr="00F6314C" w:rsidRDefault="002126AF">
      <w:pPr>
        <w:pStyle w:val="JuPara"/>
      </w:pPr>
      <w:r w:rsidRPr="00F6314C">
        <w:lastRenderedPageBreak/>
        <w:t>11</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12</w:t>
      </w:r>
      <w:r w:rsidR="004C279D">
        <w:rPr>
          <w:rFonts w:eastAsiaTheme="minorEastAsia"/>
        </w:rPr>
        <w:t xml:space="preserve"> </w:t>
      </w:r>
      <w:r w:rsidRPr="00F6314C">
        <w:rPr>
          <w:rFonts w:eastAsiaTheme="minorEastAsia"/>
        </w:rPr>
        <w:t>kwietnia 2010</w:t>
      </w:r>
      <w:r w:rsidR="004C279D">
        <w:rPr>
          <w:rFonts w:eastAsiaTheme="minorEastAsia"/>
        </w:rPr>
        <w:t xml:space="preserve"> </w:t>
      </w:r>
      <w:r w:rsidRPr="00F6314C">
        <w:rPr>
          <w:rFonts w:eastAsiaTheme="minorEastAsia"/>
        </w:rPr>
        <w:t>r. prokurator zlecił sporządzenie opinii biegłego na temat stanu zdrowia psychicznego skarżącego w</w:t>
      </w:r>
      <w:r w:rsidR="004C279D">
        <w:rPr>
          <w:rFonts w:eastAsiaTheme="minorEastAsia"/>
        </w:rPr>
        <w:t xml:space="preserve"> </w:t>
      </w:r>
      <w:r w:rsidRPr="00F6314C">
        <w:rPr>
          <w:rFonts w:eastAsiaTheme="minorEastAsia"/>
        </w:rPr>
        <w:t>chwili popełnienia przestępstwa. Opinia została sporządzona przez dwóch psychiatrów</w:t>
      </w:r>
      <w:r w:rsidR="004C279D">
        <w:rPr>
          <w:rFonts w:eastAsiaTheme="minorEastAsia"/>
        </w:rPr>
        <w:t xml:space="preserve"> </w:t>
      </w:r>
      <w:r w:rsidRPr="00F6314C">
        <w:rPr>
          <w:rFonts w:eastAsiaTheme="minorEastAsia"/>
        </w:rPr>
        <w:t>i</w:t>
      </w:r>
      <w:r w:rsidR="004C279D">
        <w:rPr>
          <w:rFonts w:eastAsiaTheme="minorEastAsia"/>
        </w:rPr>
        <w:t xml:space="preserve"> </w:t>
      </w:r>
      <w:r w:rsidRPr="00F6314C">
        <w:rPr>
          <w:rFonts w:eastAsiaTheme="minorEastAsia"/>
        </w:rPr>
        <w:t>przedłożona w</w:t>
      </w:r>
      <w:r w:rsidR="004C279D">
        <w:rPr>
          <w:rFonts w:eastAsiaTheme="minorEastAsia"/>
        </w:rPr>
        <w:t xml:space="preserve"> </w:t>
      </w:r>
      <w:r w:rsidRPr="00F6314C">
        <w:rPr>
          <w:rFonts w:eastAsiaTheme="minorEastAsia"/>
        </w:rPr>
        <w:t>dniu 21</w:t>
      </w:r>
      <w:r w:rsidR="004C279D">
        <w:rPr>
          <w:rFonts w:eastAsiaTheme="minorEastAsia"/>
        </w:rPr>
        <w:t xml:space="preserve"> </w:t>
      </w:r>
      <w:r w:rsidRPr="00F6314C">
        <w:rPr>
          <w:rFonts w:eastAsiaTheme="minorEastAsia"/>
        </w:rPr>
        <w:t>kwietnia 2010</w:t>
      </w:r>
      <w:r w:rsidR="004C279D">
        <w:rPr>
          <w:rFonts w:eastAsiaTheme="minorEastAsia"/>
        </w:rPr>
        <w:t xml:space="preserve"> </w:t>
      </w:r>
      <w:r w:rsidRPr="00F6314C">
        <w:rPr>
          <w:rFonts w:eastAsiaTheme="minorEastAsia"/>
        </w:rPr>
        <w:t>r. W</w:t>
      </w:r>
      <w:r w:rsidR="004C279D">
        <w:rPr>
          <w:rFonts w:eastAsiaTheme="minorEastAsia"/>
        </w:rPr>
        <w:t xml:space="preserve"> </w:t>
      </w:r>
      <w:r w:rsidRPr="00F6314C">
        <w:rPr>
          <w:rFonts w:eastAsiaTheme="minorEastAsia"/>
        </w:rPr>
        <w:t xml:space="preserve">opinii tej uznano, że poczytalność skarżącego nie była ograniczona. Jednocześnie biegli potwierdzili, że skarżący był uzależniony od alkoholu, ale </w:t>
      </w:r>
      <w:r w:rsidR="00ED7C6F" w:rsidRPr="00F6314C">
        <w:rPr>
          <w:rFonts w:eastAsiaTheme="minorEastAsia"/>
        </w:rPr>
        <w:t xml:space="preserve">pozostawał </w:t>
      </w:r>
      <w:r w:rsidRPr="00F6314C">
        <w:rPr>
          <w:rFonts w:eastAsiaTheme="minorEastAsia"/>
        </w:rPr>
        <w:t>świadomy swoich reakcji, gdy był pod jego wpływem.</w:t>
      </w:r>
    </w:p>
    <w:p w14:paraId="36008B8A" w14:textId="50269740" w:rsidR="00570311" w:rsidRPr="00F6314C" w:rsidRDefault="002126AF">
      <w:pPr>
        <w:pStyle w:val="JuPara"/>
      </w:pPr>
      <w:r w:rsidRPr="00F6314C">
        <w:t>12</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19</w:t>
      </w:r>
      <w:r w:rsidR="004C279D">
        <w:rPr>
          <w:rFonts w:eastAsiaTheme="minorEastAsia"/>
        </w:rPr>
        <w:t xml:space="preserve"> </w:t>
      </w:r>
      <w:r w:rsidRPr="00F6314C">
        <w:rPr>
          <w:rFonts w:eastAsiaTheme="minorEastAsia"/>
        </w:rPr>
        <w:t>kwietnia 2010</w:t>
      </w:r>
      <w:r w:rsidR="004C279D">
        <w:rPr>
          <w:rFonts w:eastAsiaTheme="minorEastAsia"/>
        </w:rPr>
        <w:t xml:space="preserve"> </w:t>
      </w:r>
      <w:r w:rsidRPr="00F6314C">
        <w:rPr>
          <w:rFonts w:eastAsiaTheme="minorEastAsia"/>
        </w:rPr>
        <w:t>r. skarżący wyznaczył obrońcę z</w:t>
      </w:r>
      <w:r w:rsidR="004C279D">
        <w:rPr>
          <w:rFonts w:eastAsiaTheme="minorEastAsia"/>
        </w:rPr>
        <w:t xml:space="preserve"> </w:t>
      </w:r>
      <w:r w:rsidRPr="00F6314C">
        <w:rPr>
          <w:rFonts w:eastAsiaTheme="minorEastAsia"/>
        </w:rPr>
        <w:t>wyboru.</w:t>
      </w:r>
    </w:p>
    <w:p w14:paraId="4DF5FD61" w14:textId="4A852A48" w:rsidR="00570311" w:rsidRPr="00F6314C" w:rsidRDefault="002126AF">
      <w:pPr>
        <w:pStyle w:val="JuPara"/>
      </w:pPr>
      <w:r w:rsidRPr="00F6314C">
        <w:t>13</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17</w:t>
      </w:r>
      <w:r w:rsidR="004C279D">
        <w:rPr>
          <w:rFonts w:eastAsiaTheme="minorEastAsia"/>
        </w:rPr>
        <w:t xml:space="preserve"> </w:t>
      </w:r>
      <w:r w:rsidRPr="00F6314C">
        <w:rPr>
          <w:rFonts w:eastAsiaTheme="minorEastAsia"/>
        </w:rPr>
        <w:t>czerwca 2010</w:t>
      </w:r>
      <w:r w:rsidR="004C279D">
        <w:rPr>
          <w:rFonts w:eastAsiaTheme="minorEastAsia"/>
        </w:rPr>
        <w:t xml:space="preserve"> </w:t>
      </w:r>
      <w:r w:rsidRPr="00F6314C">
        <w:rPr>
          <w:rFonts w:eastAsiaTheme="minorEastAsia"/>
        </w:rPr>
        <w:t>r. podczas przesłuchania przez Sąd Rejonowy w</w:t>
      </w:r>
      <w:r w:rsidR="004C279D">
        <w:rPr>
          <w:rFonts w:eastAsiaTheme="minorEastAsia"/>
        </w:rPr>
        <w:t xml:space="preserve"> </w:t>
      </w:r>
      <w:r w:rsidRPr="00F6314C">
        <w:rPr>
          <w:rFonts w:eastAsiaTheme="minorEastAsia"/>
        </w:rPr>
        <w:t>Oleśnicy na posiedzeniu dotyczącym przedłużenia stosowania tymczasowego aresztowania skarżący nie przyznał się do zabójstwa. Stwierdził, że jego poprzednie zeznania zostały mu zasugerowane przez funkcjonariuszy policji. Utrzymywał, że nie pamięta, co się wydarzyło, ponieważ pił alkohol i</w:t>
      </w:r>
      <w:r w:rsidR="004C279D">
        <w:rPr>
          <w:rFonts w:eastAsiaTheme="minorEastAsia"/>
        </w:rPr>
        <w:t xml:space="preserve"> </w:t>
      </w:r>
      <w:r w:rsidRPr="00F6314C">
        <w:rPr>
          <w:rFonts w:eastAsiaTheme="minorEastAsia"/>
        </w:rPr>
        <w:t xml:space="preserve">zażył dwadzieścia tabletek </w:t>
      </w:r>
      <w:proofErr w:type="spellStart"/>
      <w:r w:rsidRPr="00F6314C">
        <w:rPr>
          <w:rFonts w:eastAsiaTheme="minorEastAsia"/>
        </w:rPr>
        <w:t>nitrazepamu</w:t>
      </w:r>
      <w:proofErr w:type="spellEnd"/>
      <w:r w:rsidRPr="00F6314C">
        <w:rPr>
          <w:rFonts w:eastAsiaTheme="minorEastAsia"/>
        </w:rPr>
        <w:t>. Dodał, że</w:t>
      </w:r>
      <w:r w:rsidR="00ED4FFB">
        <w:rPr>
          <w:rFonts w:eastAsiaTheme="minorEastAsia"/>
        </w:rPr>
        <w:t> </w:t>
      </w:r>
      <w:r w:rsidRPr="00F6314C">
        <w:rPr>
          <w:rFonts w:eastAsiaTheme="minorEastAsia"/>
        </w:rPr>
        <w:t xml:space="preserve">codziennie zażywał od dwóch do sześciu tabletek </w:t>
      </w:r>
      <w:proofErr w:type="spellStart"/>
      <w:r w:rsidRPr="00F6314C">
        <w:rPr>
          <w:rFonts w:eastAsiaTheme="minorEastAsia"/>
        </w:rPr>
        <w:t>nitrazepamu</w:t>
      </w:r>
      <w:proofErr w:type="spellEnd"/>
      <w:r w:rsidRPr="00F6314C">
        <w:rPr>
          <w:rFonts w:eastAsiaTheme="minorEastAsia"/>
        </w:rPr>
        <w:t>.</w:t>
      </w:r>
    </w:p>
    <w:p w14:paraId="710660AE" w14:textId="2AA80892" w:rsidR="00570311" w:rsidRPr="00F6314C" w:rsidRDefault="002126AF">
      <w:pPr>
        <w:pStyle w:val="JuPara"/>
      </w:pPr>
      <w:r w:rsidRPr="00F6314C">
        <w:t>14</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7</w:t>
      </w:r>
      <w:r w:rsidR="004C279D">
        <w:rPr>
          <w:rFonts w:eastAsiaTheme="minorEastAsia"/>
        </w:rPr>
        <w:t xml:space="preserve"> </w:t>
      </w:r>
      <w:r w:rsidRPr="00F6314C">
        <w:rPr>
          <w:rFonts w:eastAsiaTheme="minorEastAsia"/>
        </w:rPr>
        <w:t>września 2010</w:t>
      </w:r>
      <w:r w:rsidR="004C279D">
        <w:rPr>
          <w:rFonts w:eastAsiaTheme="minorEastAsia"/>
        </w:rPr>
        <w:t xml:space="preserve"> </w:t>
      </w:r>
      <w:r w:rsidRPr="00F6314C">
        <w:rPr>
          <w:rFonts w:eastAsiaTheme="minorEastAsia"/>
        </w:rPr>
        <w:t>r. podczas przesłuchania przez prokuratora skarżący odmówił udzielenia odpowiedzi na jakiekolwiek pytania. Następnie prokurator postanowił uzyskać dodatkowe dowody. W</w:t>
      </w:r>
      <w:r w:rsidR="004C279D">
        <w:rPr>
          <w:rFonts w:eastAsiaTheme="minorEastAsia"/>
        </w:rPr>
        <w:t xml:space="preserve"> </w:t>
      </w:r>
      <w:r w:rsidRPr="00F6314C">
        <w:rPr>
          <w:rFonts w:eastAsiaTheme="minorEastAsia"/>
        </w:rPr>
        <w:t>szczególności zwrócono się do biegłych w</w:t>
      </w:r>
      <w:r w:rsidR="004C279D">
        <w:rPr>
          <w:rFonts w:eastAsiaTheme="minorEastAsia"/>
        </w:rPr>
        <w:t xml:space="preserve"> </w:t>
      </w:r>
      <w:r w:rsidRPr="00F6314C">
        <w:rPr>
          <w:rFonts w:eastAsiaTheme="minorEastAsia"/>
        </w:rPr>
        <w:t>dziedzinie DNA o</w:t>
      </w:r>
      <w:r w:rsidR="004C279D">
        <w:rPr>
          <w:rFonts w:eastAsiaTheme="minorEastAsia"/>
        </w:rPr>
        <w:t xml:space="preserve"> </w:t>
      </w:r>
      <w:r w:rsidRPr="00F6314C">
        <w:rPr>
          <w:rFonts w:eastAsiaTheme="minorEastAsia"/>
        </w:rPr>
        <w:t>przeprowadzenie dodatkowej oceny dowodów</w:t>
      </w:r>
      <w:r w:rsidR="004C279D">
        <w:rPr>
          <w:rFonts w:eastAsiaTheme="minorEastAsia"/>
        </w:rPr>
        <w:t xml:space="preserve"> </w:t>
      </w:r>
      <w:r w:rsidRPr="00F6314C">
        <w:rPr>
          <w:rFonts w:eastAsiaTheme="minorEastAsia"/>
        </w:rPr>
        <w:t>(mianowicie sznura użytego do uduszenia K.K.).</w:t>
      </w:r>
    </w:p>
    <w:p w14:paraId="1CB7E960" w14:textId="77777777" w:rsidR="00570311" w:rsidRPr="00F6314C" w:rsidRDefault="002126AF">
      <w:pPr>
        <w:pStyle w:val="JuH1"/>
        <w:numPr>
          <w:ilvl w:val="3"/>
          <w:numId w:val="1"/>
        </w:numPr>
        <w:spacing w:before="280"/>
      </w:pPr>
      <w:r w:rsidRPr="00F6314C">
        <w:rPr>
          <w:bCs w:val="0"/>
        </w:rPr>
        <w:t>Proces</w:t>
      </w:r>
    </w:p>
    <w:p w14:paraId="5680CC95" w14:textId="0CAD60A1" w:rsidR="00570311" w:rsidRPr="00F6314C" w:rsidRDefault="002126AF">
      <w:pPr>
        <w:pStyle w:val="JuPara"/>
      </w:pPr>
      <w:r w:rsidRPr="00F6314C">
        <w:t>15</w:t>
      </w:r>
      <w:r w:rsidRPr="00F6314C">
        <w:rPr>
          <w:rFonts w:eastAsiaTheme="minorEastAsia"/>
        </w:rPr>
        <w:t>.</w:t>
      </w:r>
      <w:r w:rsidR="004C279D">
        <w:rPr>
          <w:rFonts w:eastAsiaTheme="minorEastAsia"/>
        </w:rPr>
        <w:t xml:space="preserve"> </w:t>
      </w:r>
      <w:r w:rsidRPr="00F6314C">
        <w:rPr>
          <w:rFonts w:eastAsiaTheme="minorEastAsia"/>
        </w:rPr>
        <w:t>Akt oskarżenia wpłynął w</w:t>
      </w:r>
      <w:r w:rsidR="004C279D">
        <w:rPr>
          <w:rFonts w:eastAsiaTheme="minorEastAsia"/>
        </w:rPr>
        <w:t xml:space="preserve"> </w:t>
      </w:r>
      <w:r w:rsidRPr="00F6314C">
        <w:rPr>
          <w:rFonts w:eastAsiaTheme="minorEastAsia"/>
        </w:rPr>
        <w:t>dniu 23</w:t>
      </w:r>
      <w:r w:rsidR="004C279D">
        <w:rPr>
          <w:rFonts w:eastAsiaTheme="minorEastAsia"/>
        </w:rPr>
        <w:t xml:space="preserve"> </w:t>
      </w:r>
      <w:r w:rsidRPr="00F6314C">
        <w:rPr>
          <w:rFonts w:eastAsiaTheme="minorEastAsia"/>
        </w:rPr>
        <w:t>września 2010</w:t>
      </w:r>
      <w:r w:rsidR="004C279D">
        <w:rPr>
          <w:rFonts w:eastAsiaTheme="minorEastAsia"/>
        </w:rPr>
        <w:t xml:space="preserve"> </w:t>
      </w:r>
      <w:r w:rsidRPr="00F6314C">
        <w:rPr>
          <w:rFonts w:eastAsiaTheme="minorEastAsia"/>
        </w:rPr>
        <w:t>r.</w:t>
      </w:r>
    </w:p>
    <w:p w14:paraId="26355FA0" w14:textId="74724358" w:rsidR="00570311" w:rsidRPr="00F6314C" w:rsidRDefault="002126AF">
      <w:pPr>
        <w:pStyle w:val="JuPara"/>
      </w:pPr>
      <w:r w:rsidRPr="00F6314C">
        <w:t>16</w:t>
      </w:r>
      <w:r w:rsidRPr="00F6314C">
        <w:rPr>
          <w:rFonts w:eastAsiaTheme="minorEastAsia"/>
        </w:rPr>
        <w:t>.</w:t>
      </w:r>
      <w:r w:rsidR="004C279D">
        <w:rPr>
          <w:rFonts w:eastAsiaTheme="minorEastAsia"/>
        </w:rPr>
        <w:t xml:space="preserve"> </w:t>
      </w:r>
      <w:r w:rsidRPr="00F6314C">
        <w:rPr>
          <w:rFonts w:eastAsiaTheme="minorEastAsia"/>
        </w:rPr>
        <w:t>Podczas składania zeznań przed sądem w</w:t>
      </w:r>
      <w:r w:rsidR="004C279D">
        <w:rPr>
          <w:rFonts w:eastAsiaTheme="minorEastAsia"/>
        </w:rPr>
        <w:t xml:space="preserve"> </w:t>
      </w:r>
      <w:r w:rsidRPr="00F6314C">
        <w:rPr>
          <w:rFonts w:eastAsiaTheme="minorEastAsia"/>
        </w:rPr>
        <w:t>dniu 3</w:t>
      </w:r>
      <w:r w:rsidR="004C279D">
        <w:rPr>
          <w:rFonts w:eastAsiaTheme="minorEastAsia"/>
        </w:rPr>
        <w:t xml:space="preserve"> </w:t>
      </w:r>
      <w:r w:rsidRPr="00F6314C">
        <w:rPr>
          <w:rFonts w:eastAsiaTheme="minorEastAsia"/>
        </w:rPr>
        <w:t>listopada 2010</w:t>
      </w:r>
      <w:r w:rsidR="004C279D">
        <w:rPr>
          <w:rFonts w:eastAsiaTheme="minorEastAsia"/>
        </w:rPr>
        <w:t xml:space="preserve"> </w:t>
      </w:r>
      <w:r w:rsidRPr="00F6314C">
        <w:rPr>
          <w:rFonts w:eastAsiaTheme="minorEastAsia"/>
        </w:rPr>
        <w:t>r. skarżący oświadczył, że nie pamięta wydarzeń związanych ze śmiercią K.K. oraz że nie podtrzymuje wyjaśnień, które złożył w</w:t>
      </w:r>
      <w:r w:rsidR="004C279D">
        <w:rPr>
          <w:rFonts w:eastAsiaTheme="minorEastAsia"/>
        </w:rPr>
        <w:t xml:space="preserve"> </w:t>
      </w:r>
      <w:r w:rsidRPr="00F6314C">
        <w:rPr>
          <w:rFonts w:eastAsiaTheme="minorEastAsia"/>
        </w:rPr>
        <w:t>dniach 7 i</w:t>
      </w:r>
      <w:r w:rsidR="004C279D">
        <w:rPr>
          <w:rFonts w:eastAsiaTheme="minorEastAsia"/>
        </w:rPr>
        <w:t xml:space="preserve"> </w:t>
      </w:r>
      <w:r w:rsidRPr="00F6314C">
        <w:rPr>
          <w:rFonts w:eastAsiaTheme="minorEastAsia"/>
        </w:rPr>
        <w:t>8</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Skarżący oświadczył również, że za śmierć K.K. odpowiada inna osoba – jej</w:t>
      </w:r>
      <w:r w:rsidR="00ED4FFB">
        <w:rPr>
          <w:rFonts w:eastAsiaTheme="minorEastAsia"/>
        </w:rPr>
        <w:t> </w:t>
      </w:r>
      <w:r w:rsidRPr="00F6314C">
        <w:rPr>
          <w:rFonts w:eastAsiaTheme="minorEastAsia"/>
        </w:rPr>
        <w:t>partner J.G. Sąd wysłuchał zeznań sześciu świadków</w:t>
      </w:r>
      <w:r w:rsidR="004C279D">
        <w:rPr>
          <w:rFonts w:eastAsiaTheme="minorEastAsia"/>
        </w:rPr>
        <w:t xml:space="preserve"> </w:t>
      </w:r>
      <w:r w:rsidRPr="00F6314C">
        <w:rPr>
          <w:rFonts w:eastAsiaTheme="minorEastAsia"/>
        </w:rPr>
        <w:t>oraz biegłych psychiatrów, którzy sporządzili opinię z</w:t>
      </w:r>
      <w:r w:rsidR="004C279D">
        <w:rPr>
          <w:rFonts w:eastAsiaTheme="minorEastAsia"/>
        </w:rPr>
        <w:t xml:space="preserve"> </w:t>
      </w:r>
      <w:r w:rsidRPr="00F6314C">
        <w:rPr>
          <w:rFonts w:eastAsiaTheme="minorEastAsia"/>
        </w:rPr>
        <w:t>dnia 21</w:t>
      </w:r>
      <w:r w:rsidR="004C279D">
        <w:rPr>
          <w:rFonts w:eastAsiaTheme="minorEastAsia"/>
        </w:rPr>
        <w:t xml:space="preserve"> </w:t>
      </w:r>
      <w:r w:rsidRPr="00F6314C">
        <w:rPr>
          <w:rFonts w:eastAsiaTheme="minorEastAsia"/>
        </w:rPr>
        <w:t>kwietnia 2010</w:t>
      </w:r>
      <w:r w:rsidR="004C279D">
        <w:rPr>
          <w:rFonts w:eastAsiaTheme="minorEastAsia"/>
        </w:rPr>
        <w:t xml:space="preserve"> </w:t>
      </w:r>
      <w:r w:rsidRPr="00F6314C">
        <w:rPr>
          <w:rFonts w:eastAsiaTheme="minorEastAsia"/>
        </w:rPr>
        <w:t>r.</w:t>
      </w:r>
    </w:p>
    <w:p w14:paraId="68A23B63" w14:textId="3D99536C" w:rsidR="00570311" w:rsidRPr="00F6314C" w:rsidRDefault="002126AF">
      <w:pPr>
        <w:pStyle w:val="JuPara"/>
      </w:pPr>
      <w:r w:rsidRPr="00F6314C">
        <w:t>17</w:t>
      </w:r>
      <w:r w:rsidRPr="00F6314C">
        <w:rPr>
          <w:rFonts w:eastAsiaTheme="minorEastAsia"/>
        </w:rPr>
        <w:t>.</w:t>
      </w:r>
      <w:r w:rsidR="004C279D">
        <w:rPr>
          <w:rFonts w:eastAsiaTheme="minorEastAsia"/>
        </w:rPr>
        <w:t xml:space="preserve"> </w:t>
      </w:r>
      <w:r w:rsidRPr="00F6314C">
        <w:rPr>
          <w:rFonts w:eastAsiaTheme="minorEastAsia"/>
        </w:rPr>
        <w:t>Podczas kolejnych posiedzeń sąd wysłuchał zeznań licznych świadków, w</w:t>
      </w:r>
      <w:r w:rsidR="004C279D">
        <w:rPr>
          <w:rFonts w:eastAsiaTheme="minorEastAsia"/>
        </w:rPr>
        <w:t xml:space="preserve"> </w:t>
      </w:r>
      <w:r w:rsidRPr="00F6314C">
        <w:rPr>
          <w:rFonts w:eastAsiaTheme="minorEastAsia"/>
        </w:rPr>
        <w:t>szczególności A.K. i</w:t>
      </w:r>
      <w:r w:rsidR="004C279D">
        <w:rPr>
          <w:rFonts w:eastAsiaTheme="minorEastAsia"/>
        </w:rPr>
        <w:t xml:space="preserve"> </w:t>
      </w:r>
      <w:r w:rsidRPr="00F6314C">
        <w:rPr>
          <w:rFonts w:eastAsiaTheme="minorEastAsia"/>
        </w:rPr>
        <w:t>J.G., którzy w</w:t>
      </w:r>
      <w:r w:rsidR="004C279D">
        <w:rPr>
          <w:rFonts w:eastAsiaTheme="minorEastAsia"/>
        </w:rPr>
        <w:t xml:space="preserve"> </w:t>
      </w:r>
      <w:r w:rsidRPr="00F6314C">
        <w:rPr>
          <w:rFonts w:eastAsiaTheme="minorEastAsia"/>
        </w:rPr>
        <w:t>dniu 6</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spożywali alkohol ze skarżącym i</w:t>
      </w:r>
      <w:r w:rsidR="004C279D">
        <w:rPr>
          <w:rFonts w:eastAsiaTheme="minorEastAsia"/>
        </w:rPr>
        <w:t xml:space="preserve"> </w:t>
      </w:r>
      <w:r w:rsidRPr="00F6314C">
        <w:rPr>
          <w:rFonts w:eastAsiaTheme="minorEastAsia"/>
        </w:rPr>
        <w:t>ofiarą. Przesłuchano również innych świadków</w:t>
      </w:r>
      <w:r w:rsidR="004C279D">
        <w:rPr>
          <w:rFonts w:eastAsiaTheme="minorEastAsia"/>
        </w:rPr>
        <w:t xml:space="preserve"> </w:t>
      </w:r>
      <w:r w:rsidRPr="00F6314C">
        <w:rPr>
          <w:rFonts w:eastAsiaTheme="minorEastAsia"/>
        </w:rPr>
        <w:t>(matkę ofiary, siostrę ofiary i</w:t>
      </w:r>
      <w:r w:rsidR="004C279D">
        <w:rPr>
          <w:rFonts w:eastAsiaTheme="minorEastAsia"/>
        </w:rPr>
        <w:t xml:space="preserve"> </w:t>
      </w:r>
      <w:r w:rsidRPr="00F6314C">
        <w:rPr>
          <w:rFonts w:eastAsiaTheme="minorEastAsia"/>
        </w:rPr>
        <w:t>jej męża, sąsiadów</w:t>
      </w:r>
      <w:r w:rsidR="004C279D">
        <w:rPr>
          <w:rFonts w:eastAsiaTheme="minorEastAsia"/>
        </w:rPr>
        <w:t xml:space="preserve"> </w:t>
      </w:r>
      <w:r w:rsidRPr="00F6314C">
        <w:rPr>
          <w:rFonts w:eastAsiaTheme="minorEastAsia"/>
        </w:rPr>
        <w:t>ofiary oraz funkcjonariuszy policji). Ponadto sąd wysłuchał zeznań biegłych psychiatrów</w:t>
      </w:r>
      <w:r w:rsidR="004C279D">
        <w:rPr>
          <w:rFonts w:eastAsiaTheme="minorEastAsia"/>
        </w:rPr>
        <w:t xml:space="preserve"> </w:t>
      </w:r>
      <w:r w:rsidRPr="00F6314C">
        <w:rPr>
          <w:rFonts w:eastAsiaTheme="minorEastAsia"/>
        </w:rPr>
        <w:t>i</w:t>
      </w:r>
      <w:r w:rsidR="004C279D">
        <w:rPr>
          <w:rFonts w:eastAsiaTheme="minorEastAsia"/>
        </w:rPr>
        <w:t xml:space="preserve"> </w:t>
      </w:r>
      <w:r w:rsidRPr="00F6314C">
        <w:rPr>
          <w:rFonts w:eastAsiaTheme="minorEastAsia"/>
        </w:rPr>
        <w:t>psychologów, jak również biegłych z</w:t>
      </w:r>
      <w:r w:rsidR="004C279D">
        <w:rPr>
          <w:rFonts w:eastAsiaTheme="minorEastAsia"/>
        </w:rPr>
        <w:t xml:space="preserve"> </w:t>
      </w:r>
      <w:r w:rsidRPr="00F6314C">
        <w:rPr>
          <w:rFonts w:eastAsiaTheme="minorEastAsia"/>
        </w:rPr>
        <w:t>zakresu medycyny sądowej.</w:t>
      </w:r>
    </w:p>
    <w:p w14:paraId="32CD42FF" w14:textId="66756777" w:rsidR="00570311" w:rsidRPr="00F6314C" w:rsidRDefault="002126AF">
      <w:pPr>
        <w:pStyle w:val="JuPara"/>
      </w:pPr>
      <w:r w:rsidRPr="00F6314C">
        <w:rPr>
          <w:szCs w:val="22"/>
        </w:rPr>
        <w:t>18.</w:t>
      </w:r>
      <w:r w:rsidR="004C279D">
        <w:rPr>
          <w:szCs w:val="22"/>
        </w:rPr>
        <w:t xml:space="preserve"> </w:t>
      </w:r>
      <w:r w:rsidRPr="00F6314C">
        <w:rPr>
          <w:szCs w:val="22"/>
        </w:rPr>
        <w:t>W</w:t>
      </w:r>
      <w:r w:rsidR="004C279D">
        <w:rPr>
          <w:szCs w:val="22"/>
        </w:rPr>
        <w:t xml:space="preserve"> </w:t>
      </w:r>
      <w:r w:rsidRPr="00F6314C">
        <w:rPr>
          <w:szCs w:val="22"/>
        </w:rPr>
        <w:t>dniu 2</w:t>
      </w:r>
      <w:r w:rsidR="004C279D">
        <w:rPr>
          <w:szCs w:val="22"/>
        </w:rPr>
        <w:t xml:space="preserve"> </w:t>
      </w:r>
      <w:r w:rsidRPr="00F6314C">
        <w:rPr>
          <w:szCs w:val="22"/>
        </w:rPr>
        <w:t>grudnia 2011</w:t>
      </w:r>
      <w:r w:rsidR="004C279D">
        <w:rPr>
          <w:szCs w:val="22"/>
        </w:rPr>
        <w:t xml:space="preserve"> </w:t>
      </w:r>
      <w:r w:rsidRPr="00F6314C">
        <w:rPr>
          <w:szCs w:val="22"/>
        </w:rPr>
        <w:t>r. Sąd Okręgowy we Wrocławiu wydał wyrok. Sąd stwierdził, że skarżący był uzależniony od alkoholu i</w:t>
      </w:r>
      <w:r w:rsidR="004C279D">
        <w:rPr>
          <w:szCs w:val="22"/>
        </w:rPr>
        <w:t xml:space="preserve"> </w:t>
      </w:r>
      <w:r w:rsidRPr="00F6314C">
        <w:rPr>
          <w:szCs w:val="22"/>
        </w:rPr>
        <w:t>został poddany leczeniu w</w:t>
      </w:r>
      <w:r w:rsidR="004C279D">
        <w:rPr>
          <w:szCs w:val="22"/>
        </w:rPr>
        <w:t xml:space="preserve"> </w:t>
      </w:r>
      <w:r w:rsidRPr="00F6314C">
        <w:rPr>
          <w:szCs w:val="22"/>
        </w:rPr>
        <w:t>ośrodku terapii uzależnień. Mieszkał z</w:t>
      </w:r>
      <w:r w:rsidR="004C279D">
        <w:rPr>
          <w:szCs w:val="22"/>
        </w:rPr>
        <w:t xml:space="preserve"> </w:t>
      </w:r>
      <w:r w:rsidRPr="00F6314C">
        <w:rPr>
          <w:szCs w:val="22"/>
        </w:rPr>
        <w:t>ofiarą i</w:t>
      </w:r>
      <w:r w:rsidR="004C279D">
        <w:rPr>
          <w:szCs w:val="22"/>
        </w:rPr>
        <w:t xml:space="preserve"> </w:t>
      </w:r>
      <w:r w:rsidRPr="00F6314C">
        <w:rPr>
          <w:szCs w:val="22"/>
        </w:rPr>
        <w:t>J.G. przez około dwa tygodnie przed popełnieniem zabójstwa. Sąd ustalił, że w</w:t>
      </w:r>
      <w:r w:rsidR="004C279D">
        <w:rPr>
          <w:szCs w:val="22"/>
        </w:rPr>
        <w:t xml:space="preserve"> </w:t>
      </w:r>
      <w:r w:rsidRPr="00F6314C">
        <w:rPr>
          <w:szCs w:val="22"/>
        </w:rPr>
        <w:t>dniu 6</w:t>
      </w:r>
      <w:r w:rsidR="004C279D">
        <w:rPr>
          <w:szCs w:val="22"/>
        </w:rPr>
        <w:t xml:space="preserve"> </w:t>
      </w:r>
      <w:r w:rsidRPr="00F6314C">
        <w:rPr>
          <w:szCs w:val="22"/>
        </w:rPr>
        <w:t>lutego 2010</w:t>
      </w:r>
      <w:r w:rsidR="004C279D">
        <w:rPr>
          <w:szCs w:val="22"/>
        </w:rPr>
        <w:t xml:space="preserve"> </w:t>
      </w:r>
      <w:r w:rsidRPr="00F6314C">
        <w:rPr>
          <w:szCs w:val="22"/>
        </w:rPr>
        <w:t>r. skarżący udusił K.K. Uznał skarżącego za winnego zabójstwa i</w:t>
      </w:r>
      <w:r w:rsidR="004C279D">
        <w:rPr>
          <w:szCs w:val="22"/>
        </w:rPr>
        <w:t xml:space="preserve"> </w:t>
      </w:r>
      <w:r w:rsidRPr="00F6314C">
        <w:rPr>
          <w:szCs w:val="22"/>
        </w:rPr>
        <w:t>skazał go na karę pozbawienia wolności w</w:t>
      </w:r>
      <w:r w:rsidR="004C279D">
        <w:rPr>
          <w:szCs w:val="22"/>
        </w:rPr>
        <w:t xml:space="preserve"> </w:t>
      </w:r>
      <w:r w:rsidRPr="00F6314C">
        <w:rPr>
          <w:szCs w:val="22"/>
        </w:rPr>
        <w:t>wymiarze 15</w:t>
      </w:r>
      <w:r w:rsidR="004C279D">
        <w:rPr>
          <w:szCs w:val="22"/>
        </w:rPr>
        <w:t xml:space="preserve"> </w:t>
      </w:r>
      <w:r w:rsidRPr="00F6314C">
        <w:rPr>
          <w:szCs w:val="22"/>
        </w:rPr>
        <w:t>lat. Sąd oparł swoje orzeczenie na zeznaniach skarżącego, zeznaniach licznych świadków, opiniach biegłych i</w:t>
      </w:r>
      <w:r w:rsidR="004C279D">
        <w:rPr>
          <w:szCs w:val="22"/>
        </w:rPr>
        <w:t xml:space="preserve"> </w:t>
      </w:r>
      <w:r w:rsidRPr="00F6314C">
        <w:rPr>
          <w:szCs w:val="22"/>
        </w:rPr>
        <w:t xml:space="preserve">protokole oględzin zwłok ofiary. </w:t>
      </w:r>
      <w:r w:rsidRPr="00F6314C">
        <w:t xml:space="preserve">Zlecono zewnętrzne </w:t>
      </w:r>
      <w:r w:rsidRPr="00F6314C">
        <w:lastRenderedPageBreak/>
        <w:t>oględziny zwłok ofiary, a</w:t>
      </w:r>
      <w:r w:rsidR="004C279D">
        <w:t xml:space="preserve"> </w:t>
      </w:r>
      <w:r w:rsidRPr="00F6314C">
        <w:t>przeprowadzający je biegły złożył zeznania przed sądem. Analiza DNA znajdującego się na sznurze użytym do uduszenia ofiary nie wykazała obecności DNA skarżącego. Biegły stwierdził przed sądem, że w</w:t>
      </w:r>
      <w:r w:rsidR="004C279D">
        <w:t xml:space="preserve"> </w:t>
      </w:r>
      <w:r w:rsidRPr="00F6314C">
        <w:t>przypadku uduszenia sznurem DNA sprawcy nie zawsze pozostaje na sznurze.</w:t>
      </w:r>
    </w:p>
    <w:p w14:paraId="078FF80C" w14:textId="646FB349" w:rsidR="00570311" w:rsidRPr="00F6314C" w:rsidRDefault="002126AF">
      <w:pPr>
        <w:pStyle w:val="JuPara"/>
      </w:pPr>
      <w:r w:rsidRPr="00F6314C">
        <w:t>19.</w:t>
      </w:r>
      <w:r w:rsidR="004C279D">
        <w:t xml:space="preserve"> </w:t>
      </w:r>
      <w:r w:rsidRPr="00F6314C">
        <w:t>Sąd uzyskał również opinię biegłego dotyczącą podpisu skarżącego na</w:t>
      </w:r>
      <w:r w:rsidR="00ED4FFB">
        <w:t> </w:t>
      </w:r>
      <w:r w:rsidRPr="00F6314C">
        <w:t>pouczeniach o</w:t>
      </w:r>
      <w:r w:rsidR="004C279D">
        <w:t xml:space="preserve"> </w:t>
      </w:r>
      <w:r w:rsidRPr="00F6314C">
        <w:t>uprawnieniach. Biegły stwierdził, że podpis skarżącego nie</w:t>
      </w:r>
      <w:r w:rsidR="00ED4FFB">
        <w:t> </w:t>
      </w:r>
      <w:r w:rsidRPr="00F6314C">
        <w:t>zdradzał specyficznych cech osoby w</w:t>
      </w:r>
      <w:r w:rsidR="004C279D">
        <w:t xml:space="preserve"> </w:t>
      </w:r>
      <w:r w:rsidRPr="00F6314C">
        <w:t>stanie upojenia alkoholowego, a</w:t>
      </w:r>
      <w:r w:rsidR="00ED4FFB">
        <w:t> </w:t>
      </w:r>
      <w:r w:rsidRPr="00F6314C">
        <w:t xml:space="preserve">słaba jakość pisma była spowodowana zatruciem alkoholowym, którego skutki </w:t>
      </w:r>
      <w:r w:rsidR="00AF3772">
        <w:t>dały o sobie znać</w:t>
      </w:r>
      <w:r w:rsidRPr="00F6314C">
        <w:t xml:space="preserve"> kilka dni po wytrzeźwieniu skarżącego. Skarżący przedłożył sądowi również opinię prywatną biegłych sporządzoną przez Katedrę i</w:t>
      </w:r>
      <w:r w:rsidR="004C279D">
        <w:t xml:space="preserve"> </w:t>
      </w:r>
      <w:r w:rsidRPr="00F6314C">
        <w:t>Zakład Medycyny Sądowej Śląskiego Uniwersytetu Medycznego, w</w:t>
      </w:r>
      <w:r w:rsidR="004C279D">
        <w:t xml:space="preserve"> </w:t>
      </w:r>
      <w:r w:rsidRPr="00F6314C">
        <w:t>której stwierdzono, że podczas podpisywania pouczenia o</w:t>
      </w:r>
      <w:r w:rsidR="004C279D">
        <w:t xml:space="preserve"> </w:t>
      </w:r>
      <w:r w:rsidRPr="00F6314C">
        <w:t>uprawnieniach skarżący był pod wpływem alkoholu.</w:t>
      </w:r>
    </w:p>
    <w:p w14:paraId="392B9BCF" w14:textId="7A42B33F" w:rsidR="00570311" w:rsidRPr="00F6314C" w:rsidRDefault="002126AF">
      <w:pPr>
        <w:pStyle w:val="JuPara"/>
      </w:pPr>
      <w:r w:rsidRPr="00F6314C">
        <w:t>20.</w:t>
      </w:r>
      <w:r w:rsidR="004C279D">
        <w:t xml:space="preserve"> </w:t>
      </w:r>
      <w:r w:rsidRPr="00F6314C">
        <w:t>Sąd zbadał obie opinie biegłych i</w:t>
      </w:r>
      <w:r w:rsidR="004C279D">
        <w:t xml:space="preserve"> </w:t>
      </w:r>
      <w:r w:rsidRPr="00F6314C">
        <w:t>wysłuchał zeznań wszystkich biegłych. Opinię prywatną uznał jednak za nie</w:t>
      </w:r>
      <w:r w:rsidR="00823171">
        <w:t>wiarygodną</w:t>
      </w:r>
      <w:r w:rsidRPr="00F6314C">
        <w:t>, ponieważ biegli, którzy ją sporządzili, nie mieli dostępu do akt sprawy sądowej, a</w:t>
      </w:r>
      <w:r w:rsidR="00ED4FFB">
        <w:t> </w:t>
      </w:r>
      <w:r w:rsidRPr="00F6314C">
        <w:t>ich</w:t>
      </w:r>
      <w:r w:rsidR="00ED4FFB">
        <w:t> </w:t>
      </w:r>
      <w:r w:rsidRPr="00F6314C">
        <w:t>twierdzenia były sprzeczne z</w:t>
      </w:r>
      <w:r w:rsidR="004C279D">
        <w:t xml:space="preserve"> </w:t>
      </w:r>
      <w:r w:rsidRPr="00F6314C">
        <w:t>wszystkimi innymi opiniami biegłych.</w:t>
      </w:r>
    </w:p>
    <w:p w14:paraId="5905178F" w14:textId="49F2D6FD" w:rsidR="00570311" w:rsidRPr="00F6314C" w:rsidRDefault="002126AF">
      <w:pPr>
        <w:pStyle w:val="JuPara"/>
      </w:pPr>
      <w:r w:rsidRPr="00F6314C">
        <w:t>21.</w:t>
      </w:r>
      <w:r w:rsidR="004C279D">
        <w:t xml:space="preserve"> </w:t>
      </w:r>
      <w:r w:rsidRPr="00F6314C">
        <w:t>Sąd ostatecznie uznał, że w</w:t>
      </w:r>
      <w:r w:rsidR="004C279D">
        <w:t xml:space="preserve"> </w:t>
      </w:r>
      <w:r w:rsidRPr="00F6314C">
        <w:t>dniu 7</w:t>
      </w:r>
      <w:r w:rsidR="004C279D">
        <w:t xml:space="preserve"> </w:t>
      </w:r>
      <w:r w:rsidRPr="00F6314C">
        <w:t>lutego 2010</w:t>
      </w:r>
      <w:r w:rsidR="004C279D">
        <w:t xml:space="preserve"> </w:t>
      </w:r>
      <w:r w:rsidRPr="00F6314C">
        <w:t>r. podczas przesłuchania skarżący był trzeźwy i</w:t>
      </w:r>
      <w:r w:rsidR="004C279D">
        <w:t xml:space="preserve"> </w:t>
      </w:r>
      <w:r w:rsidRPr="00F6314C">
        <w:t>zeznawał z</w:t>
      </w:r>
      <w:r w:rsidR="004C279D">
        <w:t xml:space="preserve"> </w:t>
      </w:r>
      <w:r w:rsidRPr="00F6314C">
        <w:t>pełnym zrozumieniem swoich czynów. Ponadto skarżący był w</w:t>
      </w:r>
      <w:r w:rsidR="004C279D">
        <w:t xml:space="preserve"> </w:t>
      </w:r>
      <w:r w:rsidRPr="00F6314C">
        <w:t>stanie odpowiedzieć na wszystkie pytania i</w:t>
      </w:r>
      <w:r w:rsidR="004C279D">
        <w:t xml:space="preserve"> </w:t>
      </w:r>
      <w:r w:rsidRPr="00F6314C">
        <w:t>nie był podatny na sugestie zewnętrzne.</w:t>
      </w:r>
    </w:p>
    <w:p w14:paraId="3365AE1A" w14:textId="7A5029AE" w:rsidR="00570311" w:rsidRPr="00F6314C" w:rsidRDefault="002126AF">
      <w:pPr>
        <w:pStyle w:val="JuPara"/>
      </w:pPr>
      <w:r w:rsidRPr="00F6314C">
        <w:t>22.</w:t>
      </w:r>
      <w:r w:rsidR="004C279D">
        <w:t xml:space="preserve"> </w:t>
      </w:r>
      <w:r w:rsidRPr="00F6314C">
        <w:t xml:space="preserve">Skarżący odwołał się od tego wyroku, podnosząc zasadniczo, że wyrok skazujący go był oparty na zeznaniach złożonych bez pomocy obrońcy. </w:t>
      </w:r>
      <w:r w:rsidR="00823171">
        <w:t>T</w:t>
      </w:r>
      <w:r w:rsidRPr="00F6314C">
        <w:t>wierdził również, że w</w:t>
      </w:r>
      <w:r w:rsidR="004C279D">
        <w:t xml:space="preserve"> </w:t>
      </w:r>
      <w:r w:rsidRPr="00F6314C">
        <w:t>dniu 7</w:t>
      </w:r>
      <w:r w:rsidR="004C279D">
        <w:t xml:space="preserve"> </w:t>
      </w:r>
      <w:r w:rsidRPr="00F6314C">
        <w:t>lutego 2010</w:t>
      </w:r>
      <w:r w:rsidR="004C279D">
        <w:t xml:space="preserve"> </w:t>
      </w:r>
      <w:r w:rsidRPr="00F6314C">
        <w:t xml:space="preserve">r. </w:t>
      </w:r>
      <w:r w:rsidRPr="00F6314C">
        <w:rPr>
          <w:szCs w:val="22"/>
        </w:rPr>
        <w:t>nadal znajdował się pod</w:t>
      </w:r>
      <w:r w:rsidR="00ED4FFB">
        <w:rPr>
          <w:szCs w:val="22"/>
        </w:rPr>
        <w:t> </w:t>
      </w:r>
      <w:r w:rsidRPr="00F6314C">
        <w:rPr>
          <w:szCs w:val="22"/>
        </w:rPr>
        <w:t>wpływem alkoholu.</w:t>
      </w:r>
    </w:p>
    <w:p w14:paraId="5ED4FD86" w14:textId="10C57CE0" w:rsidR="00570311" w:rsidRPr="00F6314C" w:rsidRDefault="002126AF">
      <w:pPr>
        <w:pStyle w:val="JuPara"/>
      </w:pPr>
      <w:r w:rsidRPr="00F6314C">
        <w:t>23</w:t>
      </w:r>
      <w:r w:rsidRPr="00F6314C">
        <w:rPr>
          <w:rFonts w:eastAsiaTheme="minorEastAsia"/>
        </w:rPr>
        <w:t>.</w:t>
      </w:r>
      <w:r w:rsidR="004C279D">
        <w:rPr>
          <w:rFonts w:eastAsiaTheme="minorEastAsia"/>
        </w:rPr>
        <w:t xml:space="preserve"> </w:t>
      </w:r>
      <w:r w:rsidRPr="00F6314C">
        <w:rPr>
          <w:rFonts w:eastAsiaTheme="minorEastAsia"/>
        </w:rPr>
        <w:t>W</w:t>
      </w:r>
      <w:r w:rsidR="004C279D">
        <w:rPr>
          <w:rFonts w:eastAsiaTheme="minorEastAsia"/>
        </w:rPr>
        <w:t xml:space="preserve"> </w:t>
      </w:r>
      <w:r w:rsidRPr="00F6314C">
        <w:rPr>
          <w:rFonts w:eastAsiaTheme="minorEastAsia"/>
        </w:rPr>
        <w:t>dniu 19</w:t>
      </w:r>
      <w:r w:rsidR="004C279D">
        <w:rPr>
          <w:rFonts w:eastAsiaTheme="minorEastAsia"/>
        </w:rPr>
        <w:t xml:space="preserve"> </w:t>
      </w:r>
      <w:r w:rsidRPr="00F6314C">
        <w:rPr>
          <w:rFonts w:eastAsiaTheme="minorEastAsia"/>
        </w:rPr>
        <w:t>kwietnia 2012</w:t>
      </w:r>
      <w:r w:rsidR="004C279D">
        <w:rPr>
          <w:rFonts w:eastAsiaTheme="minorEastAsia"/>
        </w:rPr>
        <w:t xml:space="preserve"> </w:t>
      </w:r>
      <w:r w:rsidRPr="00F6314C">
        <w:rPr>
          <w:rFonts w:eastAsiaTheme="minorEastAsia"/>
        </w:rPr>
        <w:t>r. Sąd Apelacyjny we Wrocławiu utrzymał w</w:t>
      </w:r>
      <w:r w:rsidR="004C279D">
        <w:rPr>
          <w:rFonts w:eastAsiaTheme="minorEastAsia"/>
        </w:rPr>
        <w:t xml:space="preserve"> </w:t>
      </w:r>
      <w:r w:rsidRPr="00F6314C">
        <w:rPr>
          <w:rFonts w:eastAsiaTheme="minorEastAsia"/>
        </w:rPr>
        <w:t>mocy wyrok sądu pierwszej instancji. Sąd orzekł, że zgodnie z</w:t>
      </w:r>
      <w:r w:rsidR="004C279D">
        <w:rPr>
          <w:rFonts w:eastAsiaTheme="minorEastAsia"/>
        </w:rPr>
        <w:t xml:space="preserve"> </w:t>
      </w:r>
      <w:r w:rsidR="00AF3772">
        <w:rPr>
          <w:rFonts w:eastAsiaTheme="minorEastAsia"/>
        </w:rPr>
        <w:t>Kodeksem postępowania karnego</w:t>
      </w:r>
      <w:r w:rsidRPr="00F6314C">
        <w:rPr>
          <w:rFonts w:eastAsiaTheme="minorEastAsia"/>
        </w:rPr>
        <w:t xml:space="preserve"> obecność obrońcy podczas przesłuchania nie jest obowiązkowa. Skarżący został poinformowany na piśmie o</w:t>
      </w:r>
      <w:r w:rsidR="004C279D">
        <w:rPr>
          <w:rFonts w:eastAsiaTheme="minorEastAsia"/>
        </w:rPr>
        <w:t xml:space="preserve"> </w:t>
      </w:r>
      <w:r w:rsidRPr="00F6314C">
        <w:rPr>
          <w:rFonts w:eastAsiaTheme="minorEastAsia"/>
        </w:rPr>
        <w:t>swoich uprawnieniach, w</w:t>
      </w:r>
      <w:r w:rsidR="004C279D">
        <w:rPr>
          <w:rFonts w:eastAsiaTheme="minorEastAsia"/>
        </w:rPr>
        <w:t xml:space="preserve"> </w:t>
      </w:r>
      <w:r w:rsidRPr="00F6314C">
        <w:rPr>
          <w:rFonts w:eastAsiaTheme="minorEastAsia"/>
        </w:rPr>
        <w:t>tym o</w:t>
      </w:r>
      <w:r w:rsidR="004C279D">
        <w:rPr>
          <w:rFonts w:eastAsiaTheme="minorEastAsia"/>
        </w:rPr>
        <w:t xml:space="preserve"> </w:t>
      </w:r>
      <w:r w:rsidRPr="00F6314C">
        <w:rPr>
          <w:rFonts w:eastAsiaTheme="minorEastAsia"/>
        </w:rPr>
        <w:t>prawie do bycia przesłuchiwanym w</w:t>
      </w:r>
      <w:r w:rsidR="004C279D">
        <w:rPr>
          <w:rFonts w:eastAsiaTheme="minorEastAsia"/>
        </w:rPr>
        <w:t xml:space="preserve"> </w:t>
      </w:r>
      <w:r w:rsidRPr="00F6314C">
        <w:rPr>
          <w:rFonts w:eastAsiaTheme="minorEastAsia"/>
        </w:rPr>
        <w:t>obecności obrońcy, i</w:t>
      </w:r>
      <w:r w:rsidR="004C279D">
        <w:rPr>
          <w:rFonts w:eastAsiaTheme="minorEastAsia"/>
        </w:rPr>
        <w:t xml:space="preserve"> </w:t>
      </w:r>
      <w:r w:rsidRPr="00F6314C">
        <w:rPr>
          <w:rFonts w:eastAsiaTheme="minorEastAsia"/>
        </w:rPr>
        <w:t>podpisał pouczenie o</w:t>
      </w:r>
      <w:r w:rsidR="004C279D">
        <w:rPr>
          <w:rFonts w:eastAsiaTheme="minorEastAsia"/>
        </w:rPr>
        <w:t xml:space="preserve"> </w:t>
      </w:r>
      <w:r w:rsidRPr="00F6314C">
        <w:rPr>
          <w:rFonts w:eastAsiaTheme="minorEastAsia"/>
        </w:rPr>
        <w:t>tych uprawnieniach. Ponadto nie wystąpił o</w:t>
      </w:r>
      <w:r w:rsidR="00ED4FFB">
        <w:rPr>
          <w:rFonts w:eastAsiaTheme="minorEastAsia"/>
        </w:rPr>
        <w:t> </w:t>
      </w:r>
      <w:r w:rsidRPr="00F6314C">
        <w:rPr>
          <w:rFonts w:eastAsiaTheme="minorEastAsia"/>
        </w:rPr>
        <w:t>pomoc obrońcy podczas pierwszego przesłuchania w</w:t>
      </w:r>
      <w:r w:rsidR="004C279D">
        <w:rPr>
          <w:rFonts w:eastAsiaTheme="minorEastAsia"/>
        </w:rPr>
        <w:t xml:space="preserve"> </w:t>
      </w:r>
      <w:r w:rsidRPr="00F6314C">
        <w:rPr>
          <w:rFonts w:eastAsiaTheme="minorEastAsia"/>
        </w:rPr>
        <w:t>dniu 7</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ani następnego dnia podczas przesłuchania przez prokuratora, ani podczas posiedzenia w</w:t>
      </w:r>
      <w:r w:rsidR="004C279D">
        <w:rPr>
          <w:rFonts w:eastAsiaTheme="minorEastAsia"/>
        </w:rPr>
        <w:t xml:space="preserve"> </w:t>
      </w:r>
      <w:r w:rsidRPr="00F6314C">
        <w:rPr>
          <w:rFonts w:eastAsiaTheme="minorEastAsia"/>
        </w:rPr>
        <w:t>sądzie rejonowym.</w:t>
      </w:r>
      <w:r w:rsidR="004C279D">
        <w:rPr>
          <w:rFonts w:eastAsiaTheme="minorEastAsia"/>
        </w:rPr>
        <w:t xml:space="preserve"> </w:t>
      </w:r>
      <w:r w:rsidRPr="00F6314C">
        <w:rPr>
          <w:rFonts w:eastAsiaTheme="minorEastAsia"/>
        </w:rPr>
        <w:t>Ponadto prawdą jest, że w</w:t>
      </w:r>
      <w:r w:rsidR="004C279D">
        <w:rPr>
          <w:rFonts w:eastAsiaTheme="minorEastAsia"/>
        </w:rPr>
        <w:t xml:space="preserve"> </w:t>
      </w:r>
      <w:r w:rsidRPr="00F6314C">
        <w:rPr>
          <w:rFonts w:eastAsiaTheme="minorEastAsia"/>
        </w:rPr>
        <w:t>dniu 6</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 w</w:t>
      </w:r>
      <w:r w:rsidR="004C279D">
        <w:rPr>
          <w:rFonts w:eastAsiaTheme="minorEastAsia"/>
        </w:rPr>
        <w:t xml:space="preserve"> </w:t>
      </w:r>
      <w:r w:rsidRPr="00F6314C">
        <w:rPr>
          <w:rFonts w:eastAsiaTheme="minorEastAsia"/>
        </w:rPr>
        <w:t>chwili zatrzymania skarżący był nietrzeźwy. Pierwsze przesłuchanie odbyło się jednak dwadzieścia cztery godziny później, a</w:t>
      </w:r>
      <w:r w:rsidR="00ED4FFB">
        <w:rPr>
          <w:rFonts w:eastAsiaTheme="minorEastAsia"/>
        </w:rPr>
        <w:t> </w:t>
      </w:r>
      <w:r w:rsidRPr="00F6314C">
        <w:rPr>
          <w:rFonts w:eastAsiaTheme="minorEastAsia"/>
        </w:rPr>
        <w:t>przesłuchanie przez prokuratora – dwa dni później, w</w:t>
      </w:r>
      <w:r w:rsidR="004C279D">
        <w:rPr>
          <w:rFonts w:eastAsiaTheme="minorEastAsia"/>
        </w:rPr>
        <w:t xml:space="preserve"> </w:t>
      </w:r>
      <w:r w:rsidRPr="00F6314C">
        <w:rPr>
          <w:rFonts w:eastAsiaTheme="minorEastAsia"/>
        </w:rPr>
        <w:t>dniu 8</w:t>
      </w:r>
      <w:r w:rsidR="004C279D">
        <w:rPr>
          <w:rFonts w:eastAsiaTheme="minorEastAsia"/>
        </w:rPr>
        <w:t xml:space="preserve"> </w:t>
      </w:r>
      <w:r w:rsidRPr="00F6314C">
        <w:rPr>
          <w:rFonts w:eastAsiaTheme="minorEastAsia"/>
        </w:rPr>
        <w:t>lutego 2010</w:t>
      </w:r>
      <w:r w:rsidR="004C279D">
        <w:rPr>
          <w:rFonts w:eastAsiaTheme="minorEastAsia"/>
        </w:rPr>
        <w:t xml:space="preserve"> </w:t>
      </w:r>
      <w:r w:rsidRPr="00F6314C">
        <w:rPr>
          <w:rFonts w:eastAsiaTheme="minorEastAsia"/>
        </w:rPr>
        <w:t>r.</w:t>
      </w:r>
    </w:p>
    <w:p w14:paraId="2C0EF4F8" w14:textId="5A9F025B" w:rsidR="00570311" w:rsidRPr="00F6314C" w:rsidRDefault="002126AF">
      <w:pPr>
        <w:pStyle w:val="JuPara"/>
      </w:pPr>
      <w:r w:rsidRPr="00F6314C">
        <w:t>24</w:t>
      </w:r>
      <w:r w:rsidRPr="00F6314C">
        <w:rPr>
          <w:rFonts w:eastAsiaTheme="minorEastAsia"/>
        </w:rPr>
        <w:t>.</w:t>
      </w:r>
      <w:r w:rsidR="004C279D">
        <w:rPr>
          <w:rFonts w:eastAsiaTheme="minorEastAsia"/>
        </w:rPr>
        <w:t xml:space="preserve"> </w:t>
      </w:r>
      <w:r w:rsidRPr="00F6314C">
        <w:rPr>
          <w:rFonts w:eastAsiaTheme="minorEastAsia"/>
        </w:rPr>
        <w:t>Sąd apelacyjny podkreślił ponadto, że kwestię tego, czy skarżący nadal znajdował się pod wpływem alkoholu w</w:t>
      </w:r>
      <w:r w:rsidR="004C279D">
        <w:rPr>
          <w:rFonts w:eastAsiaTheme="minorEastAsia"/>
        </w:rPr>
        <w:t xml:space="preserve"> </w:t>
      </w:r>
      <w:r w:rsidRPr="00F6314C">
        <w:rPr>
          <w:rFonts w:eastAsiaTheme="minorEastAsia"/>
        </w:rPr>
        <w:t>momencie podpisywania pouczenia o</w:t>
      </w:r>
      <w:r w:rsidR="004C279D">
        <w:rPr>
          <w:rFonts w:eastAsiaTheme="minorEastAsia"/>
        </w:rPr>
        <w:t xml:space="preserve"> </w:t>
      </w:r>
      <w:r w:rsidRPr="00F6314C">
        <w:rPr>
          <w:rFonts w:eastAsiaTheme="minorEastAsia"/>
        </w:rPr>
        <w:t>uprawnieniach, dokładnie zbadał sąd pierwszej instancji i</w:t>
      </w:r>
      <w:r w:rsidR="004C279D">
        <w:rPr>
          <w:rFonts w:eastAsiaTheme="minorEastAsia"/>
        </w:rPr>
        <w:t xml:space="preserve"> </w:t>
      </w:r>
      <w:r w:rsidRPr="00F6314C">
        <w:rPr>
          <w:rFonts w:eastAsiaTheme="minorEastAsia"/>
        </w:rPr>
        <w:t>nie ma powodu, by podawać w</w:t>
      </w:r>
      <w:r w:rsidR="004C279D">
        <w:rPr>
          <w:rFonts w:eastAsiaTheme="minorEastAsia"/>
        </w:rPr>
        <w:t xml:space="preserve"> </w:t>
      </w:r>
      <w:r w:rsidRPr="00F6314C">
        <w:rPr>
          <w:rFonts w:eastAsiaTheme="minorEastAsia"/>
        </w:rPr>
        <w:t>wątpliwość wnioski tego sądu.</w:t>
      </w:r>
    </w:p>
    <w:p w14:paraId="54D8882A" w14:textId="7273E2DC" w:rsidR="00570311" w:rsidRPr="00F6314C" w:rsidRDefault="002126AF">
      <w:pPr>
        <w:pStyle w:val="JuPara"/>
      </w:pPr>
      <w:r w:rsidRPr="00F6314C">
        <w:lastRenderedPageBreak/>
        <w:t>25</w:t>
      </w:r>
      <w:r w:rsidRPr="00F6314C">
        <w:rPr>
          <w:rFonts w:eastAsiaTheme="minorEastAsia"/>
        </w:rPr>
        <w:t>.</w:t>
      </w:r>
      <w:r w:rsidR="004C279D">
        <w:rPr>
          <w:rFonts w:eastAsiaTheme="minorEastAsia"/>
        </w:rPr>
        <w:t xml:space="preserve"> </w:t>
      </w:r>
      <w:r w:rsidRPr="00F6314C">
        <w:rPr>
          <w:rFonts w:eastAsiaTheme="minorEastAsia"/>
        </w:rPr>
        <w:t>Sąd stwierdził, że zeznania skarżącego zostały potwierdzone zeznaniami innych świadków, opiniami biegłych oraz innymi dowodami zebranymi w</w:t>
      </w:r>
      <w:r w:rsidR="004C279D">
        <w:rPr>
          <w:rFonts w:eastAsiaTheme="minorEastAsia"/>
        </w:rPr>
        <w:t xml:space="preserve"> </w:t>
      </w:r>
      <w:r w:rsidRPr="00F6314C">
        <w:rPr>
          <w:rFonts w:eastAsiaTheme="minorEastAsia"/>
        </w:rPr>
        <w:t>sprawie.</w:t>
      </w:r>
    </w:p>
    <w:p w14:paraId="11EC8455" w14:textId="559950E3" w:rsidR="00570311" w:rsidRPr="00F6314C" w:rsidRDefault="002126AF">
      <w:pPr>
        <w:pStyle w:val="JuPara"/>
      </w:pPr>
      <w:r w:rsidRPr="00F6314C">
        <w:t>26</w:t>
      </w:r>
      <w:r w:rsidRPr="00F6314C">
        <w:rPr>
          <w:rFonts w:eastAsiaTheme="minorEastAsia"/>
        </w:rPr>
        <w:t>.</w:t>
      </w:r>
      <w:r w:rsidR="004C279D">
        <w:rPr>
          <w:rFonts w:eastAsiaTheme="minorEastAsia"/>
        </w:rPr>
        <w:t xml:space="preserve"> </w:t>
      </w:r>
      <w:r w:rsidRPr="00F6314C">
        <w:rPr>
          <w:rFonts w:eastAsiaTheme="minorEastAsia"/>
        </w:rPr>
        <w:t>Skarżący wniósł skargę kasacyjną od tego wyroku. Podniósł w</w:t>
      </w:r>
      <w:r w:rsidR="00ED4FFB">
        <w:rPr>
          <w:rFonts w:eastAsiaTheme="minorEastAsia"/>
        </w:rPr>
        <w:t> </w:t>
      </w:r>
      <w:r w:rsidRPr="00F6314C">
        <w:rPr>
          <w:rFonts w:eastAsiaTheme="minorEastAsia"/>
        </w:rPr>
        <w:t>szczególności, że sąd rozpoznający sprawę błędnie uznał, iż podczas pierwszego przesłuchania skarżący nie znajdował się pod wpływem alkoholu.</w:t>
      </w:r>
    </w:p>
    <w:p w14:paraId="399D78E3" w14:textId="4C816FC6" w:rsidR="00570311" w:rsidRPr="00F6314C" w:rsidRDefault="002126AF">
      <w:pPr>
        <w:pStyle w:val="JuPara"/>
      </w:pPr>
      <w:r w:rsidRPr="00F6314C">
        <w:t>27.</w:t>
      </w:r>
      <w:r w:rsidR="004C279D">
        <w:t xml:space="preserve"> </w:t>
      </w:r>
      <w:r w:rsidRPr="00F6314C">
        <w:t>W</w:t>
      </w:r>
      <w:r w:rsidR="004C279D">
        <w:t xml:space="preserve"> </w:t>
      </w:r>
      <w:r w:rsidRPr="00F6314C">
        <w:t>dniu 6</w:t>
      </w:r>
      <w:r w:rsidR="004C279D">
        <w:t xml:space="preserve"> </w:t>
      </w:r>
      <w:r w:rsidRPr="00F6314C">
        <w:t>lutego 2013</w:t>
      </w:r>
      <w:r w:rsidR="004C279D">
        <w:t xml:space="preserve"> </w:t>
      </w:r>
      <w:r w:rsidRPr="00F6314C">
        <w:t>r. Sąd Najwyższy oddalił skargę kasacyjną skarżącego jako w</w:t>
      </w:r>
      <w:r w:rsidR="004C279D">
        <w:t xml:space="preserve"> </w:t>
      </w:r>
      <w:r w:rsidRPr="00F6314C">
        <w:t>sposób oczywisty nieuzasadnioną. Sąd zgodził się z</w:t>
      </w:r>
      <w:r w:rsidR="00ED4FFB">
        <w:t> </w:t>
      </w:r>
      <w:r w:rsidRPr="00F6314C">
        <w:t>wnioskami sądów</w:t>
      </w:r>
      <w:r w:rsidR="004C279D">
        <w:t xml:space="preserve"> </w:t>
      </w:r>
      <w:r w:rsidRPr="00F6314C">
        <w:t>pierwszej i</w:t>
      </w:r>
      <w:r w:rsidR="004C279D">
        <w:t xml:space="preserve"> </w:t>
      </w:r>
      <w:r w:rsidRPr="00F6314C">
        <w:t>drugiej instancji, że słaba jakość pisma skarżącego była spowodowana zatruciem alkoholowym, którego skutki stały się jasne kilka dni później. Ponadto Sąd Najwyższy uznał, że sądy niższej instancji uzyskały obszerny materiał dowodowy, który potwierdził wersję wydarzeń pierwotnie przedstawioną przez skarżącego. Orzeczenie Sądu Najwyższego doręczono skarżącemu w</w:t>
      </w:r>
      <w:r w:rsidR="004C279D">
        <w:t xml:space="preserve"> </w:t>
      </w:r>
      <w:r w:rsidRPr="00F6314C">
        <w:t>dniu 23</w:t>
      </w:r>
      <w:r w:rsidR="004C279D">
        <w:t xml:space="preserve"> </w:t>
      </w:r>
      <w:r w:rsidRPr="00F6314C">
        <w:t>marca 2013</w:t>
      </w:r>
      <w:r w:rsidR="004C279D">
        <w:t xml:space="preserve"> </w:t>
      </w:r>
      <w:r w:rsidRPr="00F6314C">
        <w:t>r.</w:t>
      </w:r>
    </w:p>
    <w:p w14:paraId="6933654B" w14:textId="1CA9D998" w:rsidR="00570311" w:rsidRPr="00F6314C" w:rsidRDefault="002126AF">
      <w:pPr>
        <w:pStyle w:val="JuHA"/>
        <w:numPr>
          <w:ilvl w:val="2"/>
          <w:numId w:val="1"/>
        </w:numPr>
        <w:spacing w:before="280"/>
      </w:pPr>
      <w:r w:rsidRPr="00F6314C">
        <w:t>Właściwe prawo krajowe i</w:t>
      </w:r>
      <w:r w:rsidR="004C279D">
        <w:t xml:space="preserve"> </w:t>
      </w:r>
      <w:r w:rsidRPr="00F6314C">
        <w:t>praktyka</w:t>
      </w:r>
    </w:p>
    <w:p w14:paraId="73C1DD5D" w14:textId="7E6DBBCE" w:rsidR="00570311" w:rsidRPr="00F6314C" w:rsidRDefault="002126AF">
      <w:pPr>
        <w:pStyle w:val="JuPara"/>
      </w:pPr>
      <w:r w:rsidRPr="00F6314C">
        <w:t>28.</w:t>
      </w:r>
      <w:r w:rsidR="004C279D">
        <w:t xml:space="preserve"> </w:t>
      </w:r>
      <w:r w:rsidRPr="00F6314C">
        <w:t>Zgodnie z</w:t>
      </w:r>
      <w:r w:rsidR="004C279D">
        <w:t xml:space="preserve"> </w:t>
      </w:r>
      <w:r w:rsidRPr="00F6314C">
        <w:t>art.</w:t>
      </w:r>
      <w:r w:rsidR="004C279D">
        <w:t xml:space="preserve"> </w:t>
      </w:r>
      <w:r w:rsidRPr="00F6314C">
        <w:t>78 §</w:t>
      </w:r>
      <w:r w:rsidR="004C279D">
        <w:t xml:space="preserve"> </w:t>
      </w:r>
      <w:r w:rsidRPr="00F6314C">
        <w:t>1 Kodeksu postępowania karnego z</w:t>
      </w:r>
      <w:r w:rsidR="004C279D">
        <w:t xml:space="preserve"> </w:t>
      </w:r>
      <w:r w:rsidRPr="00F6314C">
        <w:t>1998</w:t>
      </w:r>
      <w:r w:rsidR="004C279D">
        <w:t xml:space="preserve"> </w:t>
      </w:r>
      <w:r w:rsidRPr="00F6314C">
        <w:t>r.</w:t>
      </w:r>
      <w:r w:rsidR="00DB775B">
        <w:rPr>
          <w:rStyle w:val="Odwoanieprzypisudolnego"/>
        </w:rPr>
        <w:footnoteReference w:id="2"/>
      </w:r>
      <w:r w:rsidRPr="00F6314C">
        <w:t xml:space="preserve"> („k</w:t>
      </w:r>
      <w:r w:rsidR="001C589B">
        <w:t>.</w:t>
      </w:r>
      <w:r w:rsidRPr="00F6314C">
        <w:t>p</w:t>
      </w:r>
      <w:r w:rsidR="001C589B">
        <w:t>.</w:t>
      </w:r>
      <w:r w:rsidRPr="00F6314C">
        <w:t>k</w:t>
      </w:r>
      <w:r w:rsidR="001C589B">
        <w:t>.</w:t>
      </w:r>
      <w:r w:rsidRPr="00F6314C">
        <w:t>”) oskarżony, który wykaże, że nie stać go na pomoc prawną (tj.</w:t>
      </w:r>
      <w:r w:rsidR="00ED4FFB">
        <w:t> </w:t>
      </w:r>
      <w:r w:rsidRPr="00F6314C">
        <w:t>że</w:t>
      </w:r>
      <w:r w:rsidR="00ED4FFB">
        <w:t> </w:t>
      </w:r>
      <w:r w:rsidRPr="00F6314C">
        <w:t>nie</w:t>
      </w:r>
      <w:r w:rsidR="00ED4FFB">
        <w:t> </w:t>
      </w:r>
      <w:r w:rsidRPr="00F6314C">
        <w:t>jest w</w:t>
      </w:r>
      <w:r w:rsidR="004C279D">
        <w:t xml:space="preserve"> </w:t>
      </w:r>
      <w:r w:rsidRPr="00F6314C">
        <w:t>stanie ponieść kosztów</w:t>
      </w:r>
      <w:r w:rsidR="004C279D">
        <w:t xml:space="preserve"> </w:t>
      </w:r>
      <w:r w:rsidRPr="00F6314C">
        <w:t>takiej pomocy „bez uszczerbku dla</w:t>
      </w:r>
      <w:r w:rsidR="00ED4FFB">
        <w:t> </w:t>
      </w:r>
      <w:r w:rsidRPr="00F6314C">
        <w:t>niezbędnego utrzymania siebie i</w:t>
      </w:r>
      <w:r w:rsidR="004C279D">
        <w:t xml:space="preserve"> </w:t>
      </w:r>
      <w:r w:rsidRPr="00F6314C">
        <w:t>rodziny”), może zwrócić się do sądu rozpoznającego sprawę o</w:t>
      </w:r>
      <w:r w:rsidR="004C279D">
        <w:t xml:space="preserve"> </w:t>
      </w:r>
      <w:r w:rsidRPr="00F6314C">
        <w:t>wyznaczenie mu obrońcy z</w:t>
      </w:r>
      <w:r w:rsidR="004C279D">
        <w:t xml:space="preserve"> </w:t>
      </w:r>
      <w:r w:rsidRPr="00F6314C">
        <w:t>urzędu.</w:t>
      </w:r>
    </w:p>
    <w:p w14:paraId="6F5620EF" w14:textId="0F20CD4F" w:rsidR="00570311" w:rsidRPr="00F6314C" w:rsidRDefault="002126AF">
      <w:pPr>
        <w:pStyle w:val="JuPara"/>
      </w:pPr>
      <w:r w:rsidRPr="00F6314C">
        <w:t>29.</w:t>
      </w:r>
      <w:r w:rsidR="004C279D">
        <w:t xml:space="preserve"> </w:t>
      </w:r>
      <w:r w:rsidRPr="00F6314C">
        <w:t>W</w:t>
      </w:r>
      <w:r w:rsidR="004C279D">
        <w:t xml:space="preserve"> </w:t>
      </w:r>
      <w:r w:rsidRPr="00F6314C">
        <w:t>art.</w:t>
      </w:r>
      <w:r w:rsidR="004C279D">
        <w:t xml:space="preserve"> </w:t>
      </w:r>
      <w:r w:rsidRPr="00F6314C">
        <w:t>80 k</w:t>
      </w:r>
      <w:r w:rsidR="001C589B">
        <w:t>.</w:t>
      </w:r>
      <w:r w:rsidRPr="00F6314C">
        <w:t>p</w:t>
      </w:r>
      <w:r w:rsidR="001C589B">
        <w:t>.</w:t>
      </w:r>
      <w:r w:rsidRPr="00F6314C">
        <w:t>k</w:t>
      </w:r>
      <w:r w:rsidR="001C589B">
        <w:t>.</w:t>
      </w:r>
      <w:r w:rsidRPr="00F6314C">
        <w:t xml:space="preserve"> ustanowiono zasadę znaną jako „przymus adwokacki”. Artykuł ten w</w:t>
      </w:r>
      <w:r w:rsidR="004C279D">
        <w:t xml:space="preserve"> </w:t>
      </w:r>
      <w:r w:rsidRPr="00F6314C">
        <w:t>istotnym zakresie stanowi, że:</w:t>
      </w:r>
    </w:p>
    <w:p w14:paraId="563A5D3F" w14:textId="4CC05E33" w:rsidR="00570311" w:rsidRPr="00F6314C" w:rsidRDefault="002126AF">
      <w:pPr>
        <w:pStyle w:val="JuQuot"/>
      </w:pPr>
      <w:r w:rsidRPr="00F6314C">
        <w:t>„Oskarżony musi mieć obrońcę w</w:t>
      </w:r>
      <w:r w:rsidR="004C279D">
        <w:t xml:space="preserve"> </w:t>
      </w:r>
      <w:r w:rsidRPr="00F6314C">
        <w:t>postępowaniu przed sądem</w:t>
      </w:r>
      <w:r w:rsidR="000A0C1A">
        <w:t xml:space="preserve"> okręgowym</w:t>
      </w:r>
      <w:r w:rsidRPr="00F6314C">
        <w:t xml:space="preserve"> jako sądem pierwszej instancji, jeżeli zarzucono mu zbrodnię lub pozbawiono wolności. W</w:t>
      </w:r>
      <w:r w:rsidR="004C279D">
        <w:t xml:space="preserve"> </w:t>
      </w:r>
      <w:r w:rsidRPr="00F6314C">
        <w:t>takim wypadku udział obrońcy w</w:t>
      </w:r>
      <w:r w:rsidR="004C279D">
        <w:t xml:space="preserve"> </w:t>
      </w:r>
      <w:r w:rsidRPr="00F6314C">
        <w:t>rozprawie głównej jest obowiązkowy, a</w:t>
      </w:r>
      <w:r w:rsidR="004C279D">
        <w:t xml:space="preserve"> </w:t>
      </w:r>
      <w:r w:rsidRPr="00F6314C">
        <w:t>w</w:t>
      </w:r>
      <w:r w:rsidR="004C279D">
        <w:t xml:space="preserve"> </w:t>
      </w:r>
      <w:r w:rsidRPr="00F6314C">
        <w:t>rozprawie apelacyjnej i</w:t>
      </w:r>
      <w:r w:rsidR="004C279D">
        <w:t xml:space="preserve"> </w:t>
      </w:r>
      <w:r w:rsidRPr="00F6314C">
        <w:t>kasacyjnej, jeżeli prezes sądu lub sąd uzna to za konieczne”.</w:t>
      </w:r>
    </w:p>
    <w:p w14:paraId="18180D6F" w14:textId="3557B228" w:rsidR="00570311" w:rsidRPr="00F6314C" w:rsidRDefault="002126AF">
      <w:pPr>
        <w:pStyle w:val="JuPara"/>
      </w:pPr>
      <w:r w:rsidRPr="00F6314C">
        <w:t>Przepis ten nie ma zastosowania do postępowania przygotowawczego, lecz ma zastosowanie dopiero po skierowaniu sprawy do rozpoznania, co</w:t>
      </w:r>
      <w:r w:rsidR="00ED4FFB">
        <w:t> </w:t>
      </w:r>
      <w:r w:rsidRPr="00F6314C">
        <w:t>wyraźnie potwierdził Sąd Najwyższy w</w:t>
      </w:r>
      <w:r w:rsidR="004C279D">
        <w:t xml:space="preserve"> </w:t>
      </w:r>
      <w:r w:rsidRPr="00F6314C">
        <w:t>uchwale z</w:t>
      </w:r>
      <w:r w:rsidR="004C279D">
        <w:t xml:space="preserve"> </w:t>
      </w:r>
      <w:r w:rsidRPr="00F6314C">
        <w:t>dnia 20</w:t>
      </w:r>
      <w:r w:rsidR="004C279D">
        <w:t xml:space="preserve"> </w:t>
      </w:r>
      <w:r w:rsidRPr="00F6314C">
        <w:t>stycznia 2004</w:t>
      </w:r>
      <w:r w:rsidR="004C279D">
        <w:t xml:space="preserve"> </w:t>
      </w:r>
      <w:r w:rsidRPr="00F6314C">
        <w:t>r. (III</w:t>
      </w:r>
      <w:r w:rsidR="004C279D">
        <w:t xml:space="preserve"> </w:t>
      </w:r>
      <w:r w:rsidRPr="00F6314C">
        <w:t>KK 226/03).</w:t>
      </w:r>
    </w:p>
    <w:p w14:paraId="6DC8231A" w14:textId="2AD54D5C" w:rsidR="00570311" w:rsidRPr="00F6314C" w:rsidRDefault="002126AF">
      <w:pPr>
        <w:pStyle w:val="JuPara"/>
      </w:pPr>
      <w:r w:rsidRPr="00F6314C">
        <w:t>30.</w:t>
      </w:r>
      <w:r w:rsidR="004C279D">
        <w:t xml:space="preserve"> </w:t>
      </w:r>
      <w:r w:rsidRPr="00F6314C">
        <w:t>K</w:t>
      </w:r>
      <w:r w:rsidR="001C589B">
        <w:t>.</w:t>
      </w:r>
      <w:r w:rsidRPr="00F6314C">
        <w:t>p</w:t>
      </w:r>
      <w:r w:rsidR="001C589B">
        <w:t>.</w:t>
      </w:r>
      <w:r w:rsidRPr="00F6314C">
        <w:t>k</w:t>
      </w:r>
      <w:r w:rsidR="001C589B">
        <w:t>.</w:t>
      </w:r>
      <w:r w:rsidRPr="00F6314C">
        <w:t xml:space="preserve"> zawiera również następujące przepisy dotyczące pierwszego przesłuchania podejrzanego:</w:t>
      </w:r>
    </w:p>
    <w:p w14:paraId="31F79D19" w14:textId="540580D6" w:rsidR="00570311" w:rsidRPr="00F6314C" w:rsidRDefault="002126AF">
      <w:pPr>
        <w:pStyle w:val="JuHArticle"/>
        <w:spacing w:before="280"/>
      </w:pPr>
      <w:r w:rsidRPr="00F6314C">
        <w:rPr>
          <w:bCs/>
        </w:rPr>
        <w:t>Art.</w:t>
      </w:r>
      <w:r w:rsidR="004C279D">
        <w:rPr>
          <w:bCs/>
        </w:rPr>
        <w:t xml:space="preserve"> </w:t>
      </w:r>
      <w:r w:rsidRPr="00F6314C">
        <w:rPr>
          <w:bCs/>
        </w:rPr>
        <w:t>300</w:t>
      </w:r>
    </w:p>
    <w:p w14:paraId="03529D48" w14:textId="0AEA9B3B" w:rsidR="00570311" w:rsidRPr="00F6314C" w:rsidRDefault="002126AF">
      <w:pPr>
        <w:pStyle w:val="JuQuot"/>
      </w:pPr>
      <w:r w:rsidRPr="00F6314C">
        <w:t>„Przed pierwszym przesłuchaniem należy pouczyć podejrzanego o</w:t>
      </w:r>
      <w:r w:rsidR="004C279D">
        <w:t xml:space="preserve"> </w:t>
      </w:r>
      <w:r w:rsidRPr="00F6314C">
        <w:t>jego uprawnieniach: do składania wyjaśnień, do odmowy składania wyjaśnień lub odmowy odpowiedzi na pytania, do składania wniosków</w:t>
      </w:r>
      <w:r w:rsidR="004C279D">
        <w:t xml:space="preserve"> </w:t>
      </w:r>
      <w:r w:rsidRPr="00F6314C">
        <w:t>o</w:t>
      </w:r>
      <w:r w:rsidR="004C279D">
        <w:t xml:space="preserve"> </w:t>
      </w:r>
      <w:r w:rsidRPr="00F6314C">
        <w:t>dokonanie czynności śledztwa lub</w:t>
      </w:r>
      <w:r w:rsidR="00ED4FFB">
        <w:t> </w:t>
      </w:r>
      <w:r w:rsidRPr="00F6314C">
        <w:t>dochodzenia, do korzystania z</w:t>
      </w:r>
      <w:r w:rsidR="004C279D">
        <w:t xml:space="preserve"> </w:t>
      </w:r>
      <w:r w:rsidRPr="00F6314C">
        <w:t xml:space="preserve">pomocy obrońcy, do końcowego zaznajomienia </w:t>
      </w:r>
      <w:r w:rsidRPr="00F6314C">
        <w:lastRenderedPageBreak/>
        <w:t>z</w:t>
      </w:r>
      <w:r w:rsidR="00ED4FFB">
        <w:t> </w:t>
      </w:r>
      <w:r w:rsidRPr="00F6314C">
        <w:t xml:space="preserve">materiałami postępowania [...]. Pouczenie </w:t>
      </w:r>
      <w:r w:rsidR="000A0C1A">
        <w:t xml:space="preserve">to </w:t>
      </w:r>
      <w:r w:rsidRPr="00F6314C">
        <w:t>należy wręczyć podejrzanemu na piśmie; podejrzany otrzymanie pouczenia potwierdza podpisem”.</w:t>
      </w:r>
    </w:p>
    <w:p w14:paraId="1368746D" w14:textId="77777777" w:rsidR="00570311" w:rsidRPr="00F6314C" w:rsidRDefault="00521081">
      <w:pPr>
        <w:pStyle w:val="JuHArticle"/>
        <w:spacing w:before="280"/>
      </w:pPr>
      <w:r>
        <w:rPr>
          <w:bCs/>
        </w:rPr>
        <w:t>Art.</w:t>
      </w:r>
      <w:r w:rsidR="002126AF" w:rsidRPr="00F6314C">
        <w:rPr>
          <w:bCs/>
        </w:rPr>
        <w:t xml:space="preserve"> 301</w:t>
      </w:r>
    </w:p>
    <w:p w14:paraId="294745F4" w14:textId="0DFC8A05" w:rsidR="00570311" w:rsidRPr="00F6314C" w:rsidRDefault="002126AF">
      <w:pPr>
        <w:pStyle w:val="JuQuot"/>
      </w:pPr>
      <w:r w:rsidRPr="00F6314C">
        <w:t>„Na żądanie podejrzanego należy przesłuchać go z</w:t>
      </w:r>
      <w:r w:rsidR="004C279D">
        <w:t xml:space="preserve"> </w:t>
      </w:r>
      <w:r w:rsidRPr="00F6314C">
        <w:t>udziałem ustanowionego obrońcy. Niestawiennictwo obrońcy nie tamuje przesłuchania”</w:t>
      </w:r>
      <w:r w:rsidR="001A340E">
        <w:t>.</w:t>
      </w:r>
    </w:p>
    <w:p w14:paraId="2E536FA4" w14:textId="70627115" w:rsidR="00570311" w:rsidRPr="00F6314C" w:rsidRDefault="0078489C">
      <w:pPr>
        <w:pStyle w:val="JuHHead"/>
        <w:numPr>
          <w:ilvl w:val="0"/>
          <w:numId w:val="1"/>
        </w:numPr>
        <w:spacing w:before="280"/>
      </w:pPr>
      <w:r>
        <w:rPr>
          <w:bCs w:val="0"/>
        </w:rPr>
        <w:t>ZARZUT SKARGI</w:t>
      </w:r>
    </w:p>
    <w:p w14:paraId="51EEC3CA" w14:textId="4FABAB6B" w:rsidR="00570311" w:rsidRPr="00F6314C" w:rsidRDefault="002126AF">
      <w:pPr>
        <w:pStyle w:val="JuPara"/>
      </w:pPr>
      <w:r w:rsidRPr="00F6314C">
        <w:rPr>
          <w:rFonts w:eastAsia="Times New Roman" w:cs="Times New Roman"/>
        </w:rPr>
        <w:t>31.</w:t>
      </w:r>
      <w:r w:rsidR="004C279D">
        <w:rPr>
          <w:rFonts w:eastAsia="Times New Roman" w:cs="Times New Roman"/>
        </w:rPr>
        <w:t xml:space="preserve"> </w:t>
      </w:r>
      <w:r w:rsidRPr="00F6314C">
        <w:rPr>
          <w:rFonts w:eastAsia="Times New Roman" w:cs="Times New Roman"/>
        </w:rPr>
        <w:t>Powołując się na art.</w:t>
      </w:r>
      <w:r w:rsidR="004C279D">
        <w:rPr>
          <w:rFonts w:eastAsia="Times New Roman" w:cs="Times New Roman"/>
        </w:rPr>
        <w:t xml:space="preserve"> </w:t>
      </w:r>
      <w:r w:rsidRPr="00F6314C">
        <w:rPr>
          <w:rFonts w:eastAsia="Times New Roman" w:cs="Times New Roman"/>
        </w:rPr>
        <w:t>6 ust.</w:t>
      </w:r>
      <w:r w:rsidR="004C279D">
        <w:rPr>
          <w:rFonts w:eastAsia="Times New Roman" w:cs="Times New Roman"/>
        </w:rPr>
        <w:t xml:space="preserve"> </w:t>
      </w:r>
      <w:r w:rsidRPr="00F6314C">
        <w:rPr>
          <w:rFonts w:eastAsia="Times New Roman" w:cs="Times New Roman"/>
        </w:rPr>
        <w:t>1 Konwencji w</w:t>
      </w:r>
      <w:r w:rsidR="004C279D">
        <w:rPr>
          <w:rFonts w:eastAsia="Times New Roman" w:cs="Times New Roman"/>
        </w:rPr>
        <w:t xml:space="preserve"> </w:t>
      </w:r>
      <w:r w:rsidRPr="00F6314C">
        <w:rPr>
          <w:rFonts w:eastAsia="Times New Roman" w:cs="Times New Roman"/>
        </w:rPr>
        <w:t>związku z</w:t>
      </w:r>
      <w:r w:rsidR="004C279D">
        <w:rPr>
          <w:rFonts w:eastAsia="Times New Roman" w:cs="Times New Roman"/>
        </w:rPr>
        <w:t xml:space="preserve"> </w:t>
      </w:r>
      <w:r w:rsidRPr="00F6314C">
        <w:rPr>
          <w:rFonts w:eastAsia="Times New Roman" w:cs="Times New Roman"/>
        </w:rPr>
        <w:t>art.</w:t>
      </w:r>
      <w:r w:rsidR="004C279D">
        <w:rPr>
          <w:rFonts w:eastAsia="Times New Roman" w:cs="Times New Roman"/>
        </w:rPr>
        <w:t xml:space="preserve"> </w:t>
      </w:r>
      <w:r w:rsidRPr="00F6314C">
        <w:rPr>
          <w:rFonts w:eastAsia="Times New Roman" w:cs="Times New Roman"/>
        </w:rPr>
        <w:t>6 ust.</w:t>
      </w:r>
      <w:r w:rsidR="004C279D">
        <w:rPr>
          <w:rFonts w:eastAsia="Times New Roman" w:cs="Times New Roman"/>
        </w:rPr>
        <w:t xml:space="preserve"> </w:t>
      </w:r>
      <w:r w:rsidRPr="00F6314C">
        <w:rPr>
          <w:rFonts w:eastAsia="Times New Roman" w:cs="Times New Roman"/>
        </w:rPr>
        <w:t>3 lit.</w:t>
      </w:r>
      <w:r w:rsidR="004C279D">
        <w:rPr>
          <w:rFonts w:eastAsia="Times New Roman" w:cs="Times New Roman"/>
        </w:rPr>
        <w:t xml:space="preserve"> </w:t>
      </w:r>
      <w:r w:rsidRPr="00F6314C">
        <w:rPr>
          <w:rFonts w:eastAsia="Times New Roman" w:cs="Times New Roman"/>
        </w:rPr>
        <w:t>c Konwencji, skarżący zarzucił naruszenie jego prawa do bronienia się osobiście ze względu na brak pomocy prawnej na początkowym etapie postępowania karnego przeciwko niemu.</w:t>
      </w:r>
    </w:p>
    <w:p w14:paraId="4FD9F4B9" w14:textId="77777777" w:rsidR="00570311" w:rsidRPr="00F6314C" w:rsidRDefault="002126AF">
      <w:pPr>
        <w:pStyle w:val="JuHHead"/>
        <w:numPr>
          <w:ilvl w:val="0"/>
          <w:numId w:val="1"/>
        </w:numPr>
        <w:spacing w:before="280"/>
      </w:pPr>
      <w:r w:rsidRPr="00F6314C">
        <w:rPr>
          <w:bCs w:val="0"/>
        </w:rPr>
        <w:t>PRAWO</w:t>
      </w:r>
    </w:p>
    <w:p w14:paraId="778E3CF6" w14:textId="5D70DD90" w:rsidR="00570311" w:rsidRPr="00F6314C" w:rsidRDefault="002126AF">
      <w:pPr>
        <w:pStyle w:val="JuHA"/>
        <w:numPr>
          <w:ilvl w:val="2"/>
          <w:numId w:val="1"/>
        </w:numPr>
        <w:spacing w:before="280"/>
      </w:pPr>
      <w:r w:rsidRPr="00F6314C">
        <w:t>Zarzucane naruszenie art.</w:t>
      </w:r>
      <w:r w:rsidR="004C279D">
        <w:t xml:space="preserve"> </w:t>
      </w:r>
      <w:r w:rsidRPr="00F6314C">
        <w:t>6 ust.</w:t>
      </w:r>
      <w:r w:rsidR="004C279D">
        <w:t xml:space="preserve"> </w:t>
      </w:r>
      <w:r w:rsidRPr="00F6314C">
        <w:t>1 i</w:t>
      </w:r>
      <w:r w:rsidR="004C279D">
        <w:t xml:space="preserve"> </w:t>
      </w:r>
      <w:r w:rsidRPr="00F6314C">
        <w:t>3 Konwencji</w:t>
      </w:r>
    </w:p>
    <w:p w14:paraId="26C5AED1" w14:textId="7994D609" w:rsidR="00570311" w:rsidRPr="00F6314C" w:rsidRDefault="002126AF">
      <w:pPr>
        <w:pStyle w:val="JuPara"/>
      </w:pPr>
      <w:r w:rsidRPr="00F6314C">
        <w:t>32.</w:t>
      </w:r>
      <w:r w:rsidR="004C279D">
        <w:t xml:space="preserve"> </w:t>
      </w:r>
      <w:r w:rsidRPr="00F6314C">
        <w:t>Skarżący podniósł, że postępowanie, które doprowadziło do jego skazania, było nierzetelne ze względu na brak pomocy prawnej na</w:t>
      </w:r>
      <w:r w:rsidR="00ED4FFB">
        <w:t> </w:t>
      </w:r>
      <w:r w:rsidRPr="00F6314C">
        <w:t>początkowym etapie tego postępowania. Powołał się na art.</w:t>
      </w:r>
      <w:r w:rsidR="004C279D">
        <w:t xml:space="preserve"> </w:t>
      </w:r>
      <w:r w:rsidRPr="00F6314C">
        <w:t>6 ust.</w:t>
      </w:r>
      <w:r w:rsidR="004C279D">
        <w:t xml:space="preserve"> </w:t>
      </w:r>
      <w:r w:rsidRPr="00F6314C">
        <w:t>1 i</w:t>
      </w:r>
      <w:r w:rsidR="004C279D">
        <w:t xml:space="preserve"> </w:t>
      </w:r>
      <w:r w:rsidRPr="00F6314C">
        <w:t>art.</w:t>
      </w:r>
      <w:r w:rsidR="00ED4FFB">
        <w:t> </w:t>
      </w:r>
      <w:r w:rsidRPr="00F6314C">
        <w:t>6 ust.</w:t>
      </w:r>
      <w:r w:rsidR="004C279D">
        <w:t xml:space="preserve"> </w:t>
      </w:r>
      <w:r w:rsidRPr="00F6314C">
        <w:t>3 lit.</w:t>
      </w:r>
      <w:r w:rsidR="004C279D">
        <w:t xml:space="preserve"> </w:t>
      </w:r>
      <w:r w:rsidRPr="00F6314C">
        <w:t>c) Konwencji, które w</w:t>
      </w:r>
      <w:r w:rsidR="004C279D">
        <w:t xml:space="preserve"> </w:t>
      </w:r>
      <w:r w:rsidRPr="00F6314C">
        <w:t>stosownym zakresie stanowią, że:</w:t>
      </w:r>
    </w:p>
    <w:p w14:paraId="08D04EBD" w14:textId="38997E27" w:rsidR="00570311" w:rsidRPr="00F6314C" w:rsidRDefault="002126AF">
      <w:pPr>
        <w:pStyle w:val="JuQuot"/>
      </w:pPr>
      <w:r w:rsidRPr="00F6314C">
        <w:t>„1.</w:t>
      </w:r>
      <w:r w:rsidR="004C279D">
        <w:t xml:space="preserve"> </w:t>
      </w:r>
      <w:r w:rsidRPr="00F6314C">
        <w:t>Każdy ma prawo do sprawiedliwego [...] rozpatrzenia jego sprawy [...] przez [...] sąd [...] przy rozstrzyganiu o</w:t>
      </w:r>
      <w:r w:rsidR="004C279D">
        <w:t xml:space="preserve"> </w:t>
      </w:r>
      <w:r w:rsidRPr="00F6314C">
        <w:t>[...] zasadności każdego oskarżenia w</w:t>
      </w:r>
      <w:r w:rsidR="004C279D">
        <w:t xml:space="preserve"> </w:t>
      </w:r>
      <w:r w:rsidRPr="00F6314C">
        <w:t>wytoczonej przeciwko niemu sprawie karnej. [...]</w:t>
      </w:r>
    </w:p>
    <w:p w14:paraId="3A694EB9" w14:textId="7AB40312" w:rsidR="00570311" w:rsidRPr="00F6314C" w:rsidRDefault="002126AF">
      <w:pPr>
        <w:pStyle w:val="JuQuot"/>
      </w:pPr>
      <w:r w:rsidRPr="00F6314C">
        <w:t>3.</w:t>
      </w:r>
      <w:r w:rsidR="004C279D">
        <w:t xml:space="preserve"> </w:t>
      </w:r>
      <w:r w:rsidRPr="00F6314C">
        <w:t>Każdy oskarżony o</w:t>
      </w:r>
      <w:r w:rsidR="004C279D">
        <w:t xml:space="preserve"> </w:t>
      </w:r>
      <w:r w:rsidRPr="00F6314C">
        <w:t>popełnienie czynu zagrożonego karą ma co najmniej prawo do:</w:t>
      </w:r>
    </w:p>
    <w:p w14:paraId="74FDF388" w14:textId="77777777" w:rsidR="00570311" w:rsidRPr="00F6314C" w:rsidRDefault="002126AF">
      <w:pPr>
        <w:pStyle w:val="JuQuot"/>
      </w:pPr>
      <w:r w:rsidRPr="00F6314C">
        <w:t>[…]</w:t>
      </w:r>
    </w:p>
    <w:p w14:paraId="4D74B0ED" w14:textId="5DE04879" w:rsidR="00570311" w:rsidRPr="00F6314C" w:rsidRDefault="002126AF">
      <w:pPr>
        <w:pStyle w:val="JuQuot"/>
      </w:pPr>
      <w:r w:rsidRPr="00F6314C">
        <w:t>c)</w:t>
      </w:r>
      <w:r w:rsidR="004C279D">
        <w:t xml:space="preserve"> </w:t>
      </w:r>
      <w:r w:rsidRPr="00F6314C">
        <w:t>bronienia się osobiście lub przez ustanowionego przez siebie obrońcę, a</w:t>
      </w:r>
      <w:r w:rsidR="004C279D">
        <w:t xml:space="preserve"> </w:t>
      </w:r>
      <w:r w:rsidRPr="00F6314C">
        <w:t>jeśli nie ma wystarczających środków</w:t>
      </w:r>
      <w:r w:rsidR="004C279D">
        <w:t xml:space="preserve"> </w:t>
      </w:r>
      <w:r w:rsidRPr="00F6314C">
        <w:t>na pokrycie kosztów</w:t>
      </w:r>
      <w:r w:rsidR="004C279D">
        <w:t xml:space="preserve"> </w:t>
      </w:r>
      <w:r w:rsidRPr="00F6314C">
        <w:t>obrony, do bezpłatnego korzystania z</w:t>
      </w:r>
      <w:r w:rsidR="004C279D">
        <w:t xml:space="preserve"> </w:t>
      </w:r>
      <w:r w:rsidRPr="00F6314C">
        <w:t>pomocy obrońcy wyznaczonego z</w:t>
      </w:r>
      <w:r w:rsidR="004C279D">
        <w:t xml:space="preserve"> </w:t>
      </w:r>
      <w:r w:rsidRPr="00F6314C">
        <w:t>urzędu, gdy wymaga tego dobro wymiaru sprawiedliwości;</w:t>
      </w:r>
    </w:p>
    <w:p w14:paraId="10B44C24" w14:textId="77777777" w:rsidR="00570311" w:rsidRPr="00F6314C" w:rsidRDefault="002126AF">
      <w:pPr>
        <w:pStyle w:val="JuQuot"/>
      </w:pPr>
      <w:r w:rsidRPr="00F6314C">
        <w:t>[…]”</w:t>
      </w:r>
      <w:r w:rsidR="00B40159">
        <w:t>.</w:t>
      </w:r>
    </w:p>
    <w:p w14:paraId="6FD9C4F6" w14:textId="77777777" w:rsidR="00570311" w:rsidRPr="00F6314C" w:rsidRDefault="002126AF">
      <w:pPr>
        <w:pStyle w:val="JuH1"/>
        <w:numPr>
          <w:ilvl w:val="3"/>
          <w:numId w:val="1"/>
        </w:numPr>
        <w:spacing w:before="280"/>
      </w:pPr>
      <w:r w:rsidRPr="00F6314C">
        <w:rPr>
          <w:bCs w:val="0"/>
        </w:rPr>
        <w:t>Stanowiska stron</w:t>
      </w:r>
    </w:p>
    <w:p w14:paraId="106600F0" w14:textId="77777777" w:rsidR="00570311" w:rsidRPr="00F6314C" w:rsidRDefault="002126AF">
      <w:pPr>
        <w:pStyle w:val="JuHa0"/>
        <w:numPr>
          <w:ilvl w:val="4"/>
          <w:numId w:val="1"/>
        </w:numPr>
        <w:spacing w:before="280"/>
      </w:pPr>
      <w:r w:rsidRPr="00F6314C">
        <w:t>Rząd</w:t>
      </w:r>
    </w:p>
    <w:p w14:paraId="343EBC7F" w14:textId="46882733" w:rsidR="00570311" w:rsidRPr="00F6314C" w:rsidRDefault="002126AF">
      <w:pPr>
        <w:pStyle w:val="JuPara"/>
      </w:pPr>
      <w:r w:rsidRPr="00F6314C">
        <w:t>33.</w:t>
      </w:r>
      <w:r w:rsidR="004C279D">
        <w:t xml:space="preserve"> </w:t>
      </w:r>
      <w:r w:rsidRPr="00F6314C">
        <w:t>Rząd podniósł, że skarżący od początku śledztwa wiedział, iż jest uprawniony do korzystania z</w:t>
      </w:r>
      <w:r w:rsidR="004C279D">
        <w:t xml:space="preserve"> </w:t>
      </w:r>
      <w:r w:rsidRPr="00F6314C">
        <w:t>pomocy obrońcy. Skarżący został poinformowany na piśmie o</w:t>
      </w:r>
      <w:r w:rsidR="004C279D">
        <w:t xml:space="preserve"> </w:t>
      </w:r>
      <w:r w:rsidRPr="00F6314C">
        <w:t>swoich uprawnieniach i</w:t>
      </w:r>
      <w:r w:rsidR="004C279D">
        <w:t xml:space="preserve"> </w:t>
      </w:r>
      <w:r w:rsidRPr="00F6314C">
        <w:t>podpisał odpowiednie dokumenty w</w:t>
      </w:r>
      <w:r w:rsidR="004C279D">
        <w:t xml:space="preserve"> </w:t>
      </w:r>
      <w:r w:rsidRPr="00F6314C">
        <w:t>dniach 6, 7 i</w:t>
      </w:r>
      <w:r w:rsidR="004C279D">
        <w:t xml:space="preserve"> </w:t>
      </w:r>
      <w:r w:rsidRPr="00F6314C">
        <w:t>8</w:t>
      </w:r>
      <w:r w:rsidR="004C279D">
        <w:t xml:space="preserve"> </w:t>
      </w:r>
      <w:r w:rsidRPr="00F6314C">
        <w:t>lutego 2010</w:t>
      </w:r>
      <w:r w:rsidR="004C279D">
        <w:t xml:space="preserve"> </w:t>
      </w:r>
      <w:r w:rsidRPr="00F6314C">
        <w:t>r. Mimo że został poinformowany o</w:t>
      </w:r>
      <w:r w:rsidR="004C279D">
        <w:t xml:space="preserve"> </w:t>
      </w:r>
      <w:r w:rsidRPr="00F6314C">
        <w:t>swoich uprawnieniach, nie zwrócił się jednak o</w:t>
      </w:r>
      <w:r w:rsidR="004C279D">
        <w:t xml:space="preserve"> </w:t>
      </w:r>
      <w:r w:rsidRPr="00F6314C">
        <w:t>pomoc obrońcy. Był reprezentowany przez obrońcę od dnia 19</w:t>
      </w:r>
      <w:r w:rsidR="004C279D">
        <w:t xml:space="preserve"> </w:t>
      </w:r>
      <w:r w:rsidRPr="00F6314C">
        <w:t>kwietnia 2010</w:t>
      </w:r>
      <w:r w:rsidR="004C279D">
        <w:t xml:space="preserve"> </w:t>
      </w:r>
      <w:r w:rsidRPr="00F6314C">
        <w:t>r., podczas śledztwa, a</w:t>
      </w:r>
      <w:r w:rsidR="004C279D">
        <w:t xml:space="preserve"> </w:t>
      </w:r>
      <w:r w:rsidRPr="00F6314C">
        <w:t>następnie przez cały czas trwania procesu.</w:t>
      </w:r>
    </w:p>
    <w:p w14:paraId="65D22EA6" w14:textId="55797EF6" w:rsidR="00570311" w:rsidRPr="00F6314C" w:rsidRDefault="002126AF">
      <w:pPr>
        <w:pStyle w:val="JuPara"/>
      </w:pPr>
      <w:r w:rsidRPr="00F6314C">
        <w:lastRenderedPageBreak/>
        <w:t>34.</w:t>
      </w:r>
      <w:r w:rsidR="004C279D">
        <w:t xml:space="preserve"> </w:t>
      </w:r>
      <w:r w:rsidRPr="00F6314C">
        <w:t>Rząd podkreślił również, że zeznania skarżącego złożone na początku śledztwa przeanalizowano w</w:t>
      </w:r>
      <w:r w:rsidR="004C279D">
        <w:t xml:space="preserve"> </w:t>
      </w:r>
      <w:r w:rsidRPr="00F6314C">
        <w:t>świetle licznych innych dowodów</w:t>
      </w:r>
      <w:r w:rsidR="004C279D">
        <w:t xml:space="preserve"> </w:t>
      </w:r>
      <w:r w:rsidRPr="00F6314C">
        <w:t>(zeznań świadków, opinii biegłych i</w:t>
      </w:r>
      <w:r w:rsidR="004C279D">
        <w:t xml:space="preserve"> </w:t>
      </w:r>
      <w:r w:rsidRPr="00F6314C">
        <w:t>wyników</w:t>
      </w:r>
      <w:r w:rsidR="004C279D">
        <w:t xml:space="preserve"> </w:t>
      </w:r>
      <w:r w:rsidRPr="00F6314C">
        <w:t>oględzin zwłok). Ponadto okoliczności pierwszego przesłuchania, w</w:t>
      </w:r>
      <w:r w:rsidR="004C279D">
        <w:t xml:space="preserve"> </w:t>
      </w:r>
      <w:r w:rsidRPr="00F6314C">
        <w:t>szczególności zdolność skarżącego do</w:t>
      </w:r>
      <w:r w:rsidR="00ED4FFB">
        <w:t> </w:t>
      </w:r>
      <w:r w:rsidRPr="00F6314C">
        <w:t>zrozumienia konsekwencji zrezygnowania z</w:t>
      </w:r>
      <w:r w:rsidR="004C279D">
        <w:t xml:space="preserve"> </w:t>
      </w:r>
      <w:r w:rsidRPr="00F6314C">
        <w:t>prawa do bycia reprezentowanym przez obrońcę, dokładnie zbadał sąd rozpoznający sprawę.</w:t>
      </w:r>
    </w:p>
    <w:p w14:paraId="4B548054" w14:textId="2549FC8A" w:rsidR="00570311" w:rsidRPr="00F6314C" w:rsidRDefault="002126AF">
      <w:pPr>
        <w:pStyle w:val="JuPara"/>
      </w:pPr>
      <w:r w:rsidRPr="00F6314C">
        <w:t>35.</w:t>
      </w:r>
      <w:r w:rsidR="004C279D">
        <w:t xml:space="preserve"> </w:t>
      </w:r>
      <w:r w:rsidRPr="00F6314C">
        <w:t>Rząd twierdził, że skarżący w</w:t>
      </w:r>
      <w:r w:rsidR="004C279D">
        <w:t xml:space="preserve"> </w:t>
      </w:r>
      <w:r w:rsidRPr="00F6314C">
        <w:t>sposób jasny i</w:t>
      </w:r>
      <w:r w:rsidR="004C279D">
        <w:t xml:space="preserve"> </w:t>
      </w:r>
      <w:r w:rsidRPr="00F6314C">
        <w:t>jednoznaczny zrezygnował z</w:t>
      </w:r>
      <w:r w:rsidR="004C279D">
        <w:t xml:space="preserve"> </w:t>
      </w:r>
      <w:r w:rsidRPr="00F6314C">
        <w:t>prawa do zachowania milczenia lub do pomocy obrońcy. Jak</w:t>
      </w:r>
      <w:r w:rsidR="00ED4FFB">
        <w:t> </w:t>
      </w:r>
      <w:r w:rsidRPr="00F6314C">
        <w:t>potwierdziły sądy krajowe na podstawie opinii biegłych, podczas pierwszego przesłuchania skarżący był trzeźwy i</w:t>
      </w:r>
      <w:r w:rsidR="004C279D">
        <w:t xml:space="preserve"> </w:t>
      </w:r>
      <w:r w:rsidRPr="00F6314C">
        <w:t>zeznawał z</w:t>
      </w:r>
      <w:r w:rsidR="004C279D">
        <w:t xml:space="preserve"> </w:t>
      </w:r>
      <w:r w:rsidRPr="00F6314C">
        <w:t>pełnym zrozumieniem swoich czynów. Wreszcie Rząd podkreślił, że początkowe przyznanie się skarżącego do winy pod nieobecność obrońcy nie było jedyną podstawą do jego skazania. Przebieg wydarzeń przedstawiony przez skarżącego podczas jego pierwszego przesłuchania potwierdziły dowody zebrane w</w:t>
      </w:r>
      <w:r w:rsidR="004C279D">
        <w:t xml:space="preserve"> </w:t>
      </w:r>
      <w:r w:rsidRPr="00F6314C">
        <w:t>trakcie śledztwa.</w:t>
      </w:r>
    </w:p>
    <w:p w14:paraId="03CBF12F" w14:textId="77777777" w:rsidR="00570311" w:rsidRPr="00F6314C" w:rsidRDefault="002126AF">
      <w:pPr>
        <w:pStyle w:val="JuHa0"/>
        <w:numPr>
          <w:ilvl w:val="4"/>
          <w:numId w:val="1"/>
        </w:numPr>
        <w:spacing w:before="280"/>
      </w:pPr>
      <w:r w:rsidRPr="00F6314C">
        <w:t>Skarżący</w:t>
      </w:r>
    </w:p>
    <w:p w14:paraId="41F0434F" w14:textId="570E8F96" w:rsidR="00570311" w:rsidRPr="00F6314C" w:rsidRDefault="002126AF">
      <w:pPr>
        <w:pStyle w:val="JuPara"/>
      </w:pPr>
      <w:r w:rsidRPr="00F6314C">
        <w:t>36.</w:t>
      </w:r>
      <w:r w:rsidR="004C279D">
        <w:t xml:space="preserve"> </w:t>
      </w:r>
      <w:r w:rsidRPr="00F6314C">
        <w:t>Skarżący podniósł, że podczas pierwszego przesłuchania znajdował się w</w:t>
      </w:r>
      <w:r w:rsidR="004C279D">
        <w:t xml:space="preserve"> </w:t>
      </w:r>
      <w:r w:rsidRPr="00F6314C">
        <w:t>szczególnie niekorzystnej sytuacji, ponieważ dzień wcześniej spożył dużą ilość alkoholu. W</w:t>
      </w:r>
      <w:r w:rsidR="004C279D">
        <w:t xml:space="preserve"> </w:t>
      </w:r>
      <w:r w:rsidRPr="00F6314C">
        <w:t>tych okolicznościach, mając ograniczoną zdolność do</w:t>
      </w:r>
      <w:r w:rsidR="00ED4FFB">
        <w:t> </w:t>
      </w:r>
      <w:r w:rsidRPr="00F6314C">
        <w:t>podejmowania przemyślanych decyzji, podpisał dokumenty informujące go o</w:t>
      </w:r>
      <w:r w:rsidR="004C279D">
        <w:t xml:space="preserve"> </w:t>
      </w:r>
      <w:r w:rsidRPr="00F6314C">
        <w:t>jego uprawnieniach. Nie był jednak w</w:t>
      </w:r>
      <w:r w:rsidR="004C279D">
        <w:t xml:space="preserve"> </w:t>
      </w:r>
      <w:r w:rsidRPr="00F6314C">
        <w:t>stanie przewidzieć konsekwencji swojej decyzji dla wyniku postępowania.</w:t>
      </w:r>
    </w:p>
    <w:p w14:paraId="3953001F" w14:textId="2F086814" w:rsidR="00570311" w:rsidRPr="00F6314C" w:rsidRDefault="002126AF">
      <w:pPr>
        <w:pStyle w:val="JuPara"/>
      </w:pPr>
      <w:r w:rsidRPr="00F6314C">
        <w:t>37.</w:t>
      </w:r>
      <w:r w:rsidR="004C279D">
        <w:t xml:space="preserve"> </w:t>
      </w:r>
      <w:r w:rsidRPr="00F6314C">
        <w:t xml:space="preserve">Skarżący powołał się ponadto na opinię prywatną </w:t>
      </w:r>
      <w:r w:rsidR="0022398E" w:rsidRPr="00F6314C">
        <w:t xml:space="preserve">biegłych </w:t>
      </w:r>
      <w:r w:rsidRPr="00F6314C">
        <w:t>z</w:t>
      </w:r>
      <w:r w:rsidR="004C279D">
        <w:t xml:space="preserve"> </w:t>
      </w:r>
      <w:r w:rsidRPr="00F6314C">
        <w:t>dnia 4</w:t>
      </w:r>
      <w:r w:rsidR="00ED4FFB">
        <w:t> </w:t>
      </w:r>
      <w:r w:rsidRPr="00F6314C">
        <w:t>maja 2011</w:t>
      </w:r>
      <w:r w:rsidR="004C279D">
        <w:t xml:space="preserve"> </w:t>
      </w:r>
      <w:r w:rsidRPr="00F6314C">
        <w:t>r. i</w:t>
      </w:r>
      <w:r w:rsidR="004C279D">
        <w:t xml:space="preserve"> </w:t>
      </w:r>
      <w:r w:rsidRPr="00F6314C">
        <w:t>zawarty w</w:t>
      </w:r>
      <w:r w:rsidR="004C279D">
        <w:t xml:space="preserve"> </w:t>
      </w:r>
      <w:r w:rsidRPr="00F6314C">
        <w:t>niej wniosek, że w</w:t>
      </w:r>
      <w:r w:rsidR="004C279D">
        <w:t xml:space="preserve"> </w:t>
      </w:r>
      <w:r w:rsidRPr="00F6314C">
        <w:t>dniu pierwszego przesłuchania przez policję był jeszcze nietrzeźwy. Utrzymywał, że zeznania, które złożył podczas pierwszego przesłuchania, pod nieobecność obrońcy, miały wpływ</w:t>
      </w:r>
      <w:r w:rsidR="004C279D">
        <w:t xml:space="preserve"> </w:t>
      </w:r>
      <w:r w:rsidRPr="00F6314C">
        <w:t>na kierunek śledztwa. Zgodził się co do tego, że jego przyznanie się do winy nie było jedyną podstawą jego skazania, lecz jego zdaniem miało na to istotny wpływ.</w:t>
      </w:r>
    </w:p>
    <w:p w14:paraId="4038779C" w14:textId="77777777" w:rsidR="00570311" w:rsidRPr="00F6314C" w:rsidRDefault="002126AF">
      <w:pPr>
        <w:pStyle w:val="JuH1"/>
        <w:numPr>
          <w:ilvl w:val="3"/>
          <w:numId w:val="1"/>
        </w:numPr>
        <w:spacing w:before="280"/>
      </w:pPr>
      <w:r w:rsidRPr="00F6314C">
        <w:rPr>
          <w:bCs w:val="0"/>
        </w:rPr>
        <w:t>Ocena Trybunału</w:t>
      </w:r>
    </w:p>
    <w:p w14:paraId="5151670D" w14:textId="1A66E1A3" w:rsidR="00570311" w:rsidRPr="00F6314C" w:rsidRDefault="002126AF">
      <w:pPr>
        <w:pStyle w:val="JuPara"/>
      </w:pPr>
      <w:r w:rsidRPr="00F6314C">
        <w:t>38.</w:t>
      </w:r>
      <w:r w:rsidR="004C279D">
        <w:t xml:space="preserve"> </w:t>
      </w:r>
      <w:r w:rsidRPr="00F6314C">
        <w:t>Ogólne zasady w</w:t>
      </w:r>
      <w:r w:rsidR="004C279D">
        <w:t xml:space="preserve"> </w:t>
      </w:r>
      <w:r w:rsidRPr="00F6314C">
        <w:t>odniesieniu do dostępu do obrońcy, prawa do</w:t>
      </w:r>
      <w:r w:rsidR="00ED4FFB">
        <w:t> </w:t>
      </w:r>
      <w:r w:rsidRPr="00F6314C">
        <w:t>zachowania milczenia, wolności od samooskarżenia, zrezygnowania z</w:t>
      </w:r>
      <w:r w:rsidR="00ED4FFB">
        <w:t> </w:t>
      </w:r>
      <w:r w:rsidRPr="00F6314C">
        <w:t>prawa do pomocy prawnej oraz związku tych praw</w:t>
      </w:r>
      <w:r w:rsidR="004C279D">
        <w:t xml:space="preserve"> </w:t>
      </w:r>
      <w:r w:rsidRPr="00F6314C">
        <w:t>z</w:t>
      </w:r>
      <w:r w:rsidR="004C279D">
        <w:t xml:space="preserve"> </w:t>
      </w:r>
      <w:r w:rsidRPr="00F6314C">
        <w:t>ogólną rzetelnością postępowania w</w:t>
      </w:r>
      <w:r w:rsidR="004C279D">
        <w:t xml:space="preserve"> </w:t>
      </w:r>
      <w:r w:rsidRPr="00F6314C">
        <w:t>aspekcie karnym art.</w:t>
      </w:r>
      <w:r w:rsidR="004C279D">
        <w:t xml:space="preserve"> </w:t>
      </w:r>
      <w:r w:rsidRPr="00F6314C">
        <w:t>6 Konwencji można znaleźć w</w:t>
      </w:r>
      <w:r w:rsidR="004C279D">
        <w:t xml:space="preserve"> </w:t>
      </w:r>
      <w:r w:rsidRPr="00F6314C">
        <w:t>wyroku w</w:t>
      </w:r>
      <w:r w:rsidR="004C279D">
        <w:t xml:space="preserve"> </w:t>
      </w:r>
      <w:r w:rsidRPr="00F6314C">
        <w:t xml:space="preserve">sprawie </w:t>
      </w:r>
      <w:proofErr w:type="spellStart"/>
      <w:r w:rsidRPr="00F6314C">
        <w:rPr>
          <w:i/>
          <w:iCs/>
        </w:rPr>
        <w:t>Beuze</w:t>
      </w:r>
      <w:proofErr w:type="spellEnd"/>
      <w:r w:rsidRPr="00F6314C">
        <w:rPr>
          <w:i/>
          <w:iCs/>
        </w:rPr>
        <w:t xml:space="preserve"> przeciwko Belgii</w:t>
      </w:r>
      <w:r w:rsidRPr="00F6314C">
        <w:t xml:space="preserve"> ([WI], nr</w:t>
      </w:r>
      <w:r w:rsidR="004C279D">
        <w:t xml:space="preserve"> </w:t>
      </w:r>
      <w:r w:rsidRPr="00F6314C">
        <w:t>71409/10, §§</w:t>
      </w:r>
      <w:r w:rsidR="004C279D">
        <w:t xml:space="preserve"> </w:t>
      </w:r>
      <w:r w:rsidRPr="00F6314C">
        <w:t>119–150, 9</w:t>
      </w:r>
      <w:r w:rsidR="00ED4FFB">
        <w:t> </w:t>
      </w:r>
      <w:r w:rsidRPr="00F6314C">
        <w:t>listopada 2018</w:t>
      </w:r>
      <w:r w:rsidR="004C279D">
        <w:t xml:space="preserve"> </w:t>
      </w:r>
      <w:r w:rsidRPr="00F6314C">
        <w:t>r.).</w:t>
      </w:r>
    </w:p>
    <w:p w14:paraId="3AEB2D39" w14:textId="22E20C1E" w:rsidR="00570311" w:rsidRPr="00F6314C" w:rsidRDefault="002126AF">
      <w:pPr>
        <w:pStyle w:val="JuPara"/>
      </w:pPr>
      <w:r w:rsidRPr="00F6314C">
        <w:t>39.</w:t>
      </w:r>
      <w:r w:rsidR="004C279D">
        <w:t xml:space="preserve"> </w:t>
      </w:r>
      <w:r w:rsidRPr="00F6314C">
        <w:t>Rozpatrując kwestię, czy skarżący mógł skorzystać z</w:t>
      </w:r>
      <w:r w:rsidR="004C279D">
        <w:t xml:space="preserve"> </w:t>
      </w:r>
      <w:r w:rsidRPr="00F6314C">
        <w:t>prawa do</w:t>
      </w:r>
      <w:r w:rsidR="00ED4FFB">
        <w:t> </w:t>
      </w:r>
      <w:r w:rsidRPr="00F6314C">
        <w:t>pomocy obrońcy, Trybunał bada w</w:t>
      </w:r>
      <w:r w:rsidR="004C279D">
        <w:t xml:space="preserve"> </w:t>
      </w:r>
      <w:r w:rsidRPr="00F6314C">
        <w:t>szczególności, czy skarżący jednoznacznie i</w:t>
      </w:r>
      <w:r w:rsidR="004C279D">
        <w:t xml:space="preserve"> </w:t>
      </w:r>
      <w:r w:rsidRPr="00F6314C">
        <w:t>umyślnie zrezygnował z</w:t>
      </w:r>
      <w:r w:rsidR="004C279D">
        <w:t xml:space="preserve"> </w:t>
      </w:r>
      <w:r w:rsidRPr="00F6314C">
        <w:t>praw</w:t>
      </w:r>
      <w:r w:rsidR="004C279D">
        <w:t xml:space="preserve"> </w:t>
      </w:r>
      <w:r w:rsidRPr="00F6314C">
        <w:t>przysługujących mu na</w:t>
      </w:r>
      <w:r w:rsidR="00ED4FFB">
        <w:t> </w:t>
      </w:r>
      <w:r w:rsidRPr="00F6314C">
        <w:t>gruncie art.</w:t>
      </w:r>
      <w:r w:rsidR="004C279D">
        <w:t xml:space="preserve"> </w:t>
      </w:r>
      <w:r w:rsidRPr="00F6314C">
        <w:t xml:space="preserve">6 (zob. odpowiednio </w:t>
      </w:r>
      <w:r w:rsidRPr="00F6314C">
        <w:rPr>
          <w:i/>
          <w:iCs/>
        </w:rPr>
        <w:t>Płonka przeciwko Polsce</w:t>
      </w:r>
      <w:r w:rsidRPr="00F6314C">
        <w:t>, nr</w:t>
      </w:r>
      <w:r w:rsidR="004C279D">
        <w:t xml:space="preserve"> </w:t>
      </w:r>
      <w:r w:rsidRPr="00F6314C">
        <w:t xml:space="preserve">20310/02, </w:t>
      </w:r>
      <w:r w:rsidRPr="00F6314C">
        <w:lastRenderedPageBreak/>
        <w:t>§</w:t>
      </w:r>
      <w:r w:rsidR="00ED4FFB">
        <w:t> </w:t>
      </w:r>
      <w:r w:rsidRPr="00F6314C">
        <w:t>36–37, 31</w:t>
      </w:r>
      <w:r w:rsidR="004C279D">
        <w:t xml:space="preserve"> </w:t>
      </w:r>
      <w:r w:rsidRPr="00F6314C">
        <w:t>marca 2009</w:t>
      </w:r>
      <w:r w:rsidR="004C279D">
        <w:t xml:space="preserve"> </w:t>
      </w:r>
      <w:r w:rsidRPr="00F6314C">
        <w:t xml:space="preserve">r. oraz </w:t>
      </w:r>
      <w:proofErr w:type="spellStart"/>
      <w:r w:rsidRPr="00F6314C">
        <w:rPr>
          <w:i/>
          <w:iCs/>
        </w:rPr>
        <w:t>Hakan</w:t>
      </w:r>
      <w:proofErr w:type="spellEnd"/>
      <w:r w:rsidRPr="00F6314C">
        <w:rPr>
          <w:i/>
          <w:iCs/>
        </w:rPr>
        <w:t xml:space="preserve"> </w:t>
      </w:r>
      <w:proofErr w:type="spellStart"/>
      <w:r w:rsidRPr="00F6314C">
        <w:rPr>
          <w:i/>
          <w:iCs/>
        </w:rPr>
        <w:t>Duman</w:t>
      </w:r>
      <w:proofErr w:type="spellEnd"/>
      <w:r w:rsidRPr="00F6314C">
        <w:rPr>
          <w:i/>
          <w:iCs/>
        </w:rPr>
        <w:t xml:space="preserve"> przeciwko Turcji</w:t>
      </w:r>
      <w:r w:rsidRPr="00F6314C">
        <w:t>, nr</w:t>
      </w:r>
      <w:r w:rsidR="004C279D">
        <w:t xml:space="preserve"> </w:t>
      </w:r>
      <w:r w:rsidRPr="00F6314C">
        <w:t>28439/03, §</w:t>
      </w:r>
      <w:r w:rsidR="004C279D">
        <w:t xml:space="preserve"> </w:t>
      </w:r>
      <w:r w:rsidRPr="00F6314C">
        <w:t>50, 23</w:t>
      </w:r>
      <w:r w:rsidR="004C279D">
        <w:t xml:space="preserve"> </w:t>
      </w:r>
      <w:r w:rsidRPr="00F6314C">
        <w:t>marca 2010</w:t>
      </w:r>
      <w:r w:rsidR="004C279D">
        <w:t xml:space="preserve"> </w:t>
      </w:r>
      <w:r w:rsidRPr="00F6314C">
        <w:t>r.).</w:t>
      </w:r>
    </w:p>
    <w:p w14:paraId="6B32B2D4" w14:textId="71632F3B" w:rsidR="00570311" w:rsidRPr="00F6314C" w:rsidRDefault="002126AF">
      <w:pPr>
        <w:pStyle w:val="JuPara"/>
      </w:pPr>
      <w:r w:rsidRPr="00F6314C">
        <w:t>40.</w:t>
      </w:r>
      <w:r w:rsidR="004C279D">
        <w:t xml:space="preserve"> </w:t>
      </w:r>
      <w:r w:rsidRPr="00F6314C">
        <w:t>W</w:t>
      </w:r>
      <w:r w:rsidR="004C279D">
        <w:t xml:space="preserve"> </w:t>
      </w:r>
      <w:r w:rsidRPr="00F6314C">
        <w:t>przedmiotowej sprawie Trybunał zauważa, że w</w:t>
      </w:r>
      <w:r w:rsidR="004C279D">
        <w:t xml:space="preserve"> </w:t>
      </w:r>
      <w:r w:rsidRPr="00F6314C">
        <w:t>dniu 7</w:t>
      </w:r>
      <w:r w:rsidR="004C279D">
        <w:t xml:space="preserve"> </w:t>
      </w:r>
      <w:r w:rsidRPr="00F6314C">
        <w:t>lutego 2010</w:t>
      </w:r>
      <w:r w:rsidR="00ED4FFB">
        <w:t> </w:t>
      </w:r>
      <w:r w:rsidRPr="00F6314C">
        <w:t>r., tj. dzień po zatrzymaniu, skarżący podpisał dokument</w:t>
      </w:r>
      <w:r w:rsidRPr="00F6314C">
        <w:rPr>
          <w:szCs w:val="22"/>
        </w:rPr>
        <w:t xml:space="preserve"> zawierający oświadczenie, że przed przesłuchaniem został poinformowany o</w:t>
      </w:r>
      <w:r w:rsidR="004C279D">
        <w:rPr>
          <w:szCs w:val="22"/>
        </w:rPr>
        <w:t xml:space="preserve"> </w:t>
      </w:r>
      <w:r w:rsidRPr="00F6314C">
        <w:rPr>
          <w:szCs w:val="22"/>
        </w:rPr>
        <w:t>swoich uprawnieniach, w</w:t>
      </w:r>
      <w:r w:rsidR="004C279D">
        <w:rPr>
          <w:szCs w:val="22"/>
        </w:rPr>
        <w:t xml:space="preserve"> </w:t>
      </w:r>
      <w:r w:rsidRPr="00F6314C">
        <w:rPr>
          <w:szCs w:val="22"/>
        </w:rPr>
        <w:t>tym o</w:t>
      </w:r>
      <w:r w:rsidR="004C279D">
        <w:rPr>
          <w:szCs w:val="22"/>
        </w:rPr>
        <w:t xml:space="preserve"> </w:t>
      </w:r>
      <w:r w:rsidRPr="00F6314C">
        <w:rPr>
          <w:szCs w:val="22"/>
        </w:rPr>
        <w:t>uprawnieniu do korzystania z</w:t>
      </w:r>
      <w:r w:rsidR="004C279D">
        <w:rPr>
          <w:szCs w:val="22"/>
        </w:rPr>
        <w:t xml:space="preserve"> </w:t>
      </w:r>
      <w:r w:rsidRPr="00F6314C">
        <w:rPr>
          <w:szCs w:val="22"/>
        </w:rPr>
        <w:t>pomocy obrońcy, oraz</w:t>
      </w:r>
      <w:r w:rsidR="00ED4FFB">
        <w:rPr>
          <w:szCs w:val="22"/>
        </w:rPr>
        <w:t> </w:t>
      </w:r>
      <w:r w:rsidRPr="00F6314C">
        <w:rPr>
          <w:szCs w:val="22"/>
        </w:rPr>
        <w:t>że informacji tych udzielono również na piśmie (zob. paragraf</w:t>
      </w:r>
      <w:r w:rsidR="004C279D">
        <w:rPr>
          <w:szCs w:val="22"/>
        </w:rPr>
        <w:t xml:space="preserve"> </w:t>
      </w:r>
      <w:r w:rsidRPr="00F6314C">
        <w:rPr>
          <w:szCs w:val="22"/>
        </w:rPr>
        <w:t xml:space="preserve">6 powyżej). </w:t>
      </w:r>
      <w:r w:rsidRPr="00F6314C">
        <w:t>W</w:t>
      </w:r>
      <w:r w:rsidR="004C279D">
        <w:t xml:space="preserve"> </w:t>
      </w:r>
      <w:r w:rsidRPr="00F6314C">
        <w:t>dniu 8</w:t>
      </w:r>
      <w:r w:rsidR="004C279D">
        <w:t xml:space="preserve"> </w:t>
      </w:r>
      <w:r w:rsidRPr="00F6314C">
        <w:t>lutego 2010</w:t>
      </w:r>
      <w:r w:rsidR="004C279D">
        <w:t xml:space="preserve"> </w:t>
      </w:r>
      <w:r w:rsidRPr="00F6314C">
        <w:t>r. skarżący został ponownie przesłuchany i</w:t>
      </w:r>
      <w:r w:rsidR="00ED4FFB">
        <w:t> </w:t>
      </w:r>
      <w:r w:rsidRPr="00F6314C">
        <w:t>podpisał podobne oświadczenie (zob. paragraf</w:t>
      </w:r>
      <w:r w:rsidR="004C279D">
        <w:t xml:space="preserve"> </w:t>
      </w:r>
      <w:r w:rsidRPr="00F6314C">
        <w:t>8 powyżej). Tego samego dnia ponownie przyznał się do winy podczas rozprawy dotyczącej tymczasowego aresztowania. Przy żadnej z</w:t>
      </w:r>
      <w:r w:rsidR="004C279D">
        <w:t xml:space="preserve"> </w:t>
      </w:r>
      <w:r w:rsidRPr="00F6314C">
        <w:t>tych okazji nie wyraził chęci skontaktowania się z</w:t>
      </w:r>
      <w:r w:rsidR="004C279D">
        <w:t xml:space="preserve"> </w:t>
      </w:r>
      <w:r w:rsidRPr="00F6314C">
        <w:t>obrońcą. Skarżącego poinformowano również o</w:t>
      </w:r>
      <w:r w:rsidR="004C279D">
        <w:t xml:space="preserve"> </w:t>
      </w:r>
      <w:r w:rsidRPr="00F6314C">
        <w:t>jego uprawnieniach w</w:t>
      </w:r>
      <w:r w:rsidR="004C279D">
        <w:t xml:space="preserve"> </w:t>
      </w:r>
      <w:r w:rsidRPr="00F6314C">
        <w:t>dniu aresztowania, tj. 6</w:t>
      </w:r>
      <w:r w:rsidR="004C279D">
        <w:t xml:space="preserve"> </w:t>
      </w:r>
      <w:r w:rsidRPr="00F6314C">
        <w:t>lutego 2012</w:t>
      </w:r>
      <w:r w:rsidR="004C279D">
        <w:t xml:space="preserve"> </w:t>
      </w:r>
      <w:r w:rsidRPr="00F6314C">
        <w:t>r. (zob. paragraf</w:t>
      </w:r>
      <w:r w:rsidR="004C279D">
        <w:t xml:space="preserve"> </w:t>
      </w:r>
      <w:r w:rsidRPr="00F6314C">
        <w:t>5 powyżej).</w:t>
      </w:r>
    </w:p>
    <w:p w14:paraId="13036807" w14:textId="53C368D9" w:rsidR="00570311" w:rsidRPr="00F6314C" w:rsidRDefault="002126AF">
      <w:pPr>
        <w:pStyle w:val="JuPara"/>
      </w:pPr>
      <w:r w:rsidRPr="00F6314C">
        <w:t>41.</w:t>
      </w:r>
      <w:r w:rsidR="004C279D">
        <w:t xml:space="preserve"> </w:t>
      </w:r>
      <w:r w:rsidRPr="00F6314C">
        <w:t>Trybunał zauważa, że stan zdrowia psychicznego skarżącego w</w:t>
      </w:r>
      <w:r w:rsidR="00ED4FFB">
        <w:t> </w:t>
      </w:r>
      <w:r w:rsidRPr="00F6314C">
        <w:t>momencie pierwszego przesłuchania zbadali biegli, którzy wyrazili opinię, że był on w</w:t>
      </w:r>
      <w:r w:rsidR="004C279D">
        <w:t xml:space="preserve"> </w:t>
      </w:r>
      <w:r w:rsidRPr="00F6314C">
        <w:t>stanie zrozumieć przekazane mu informacje (zob. paragraf</w:t>
      </w:r>
      <w:r w:rsidR="004C279D">
        <w:t xml:space="preserve"> </w:t>
      </w:r>
      <w:r w:rsidRPr="00F6314C">
        <w:t xml:space="preserve">11 powyżej). </w:t>
      </w:r>
      <w:r w:rsidR="00C56CEB" w:rsidRPr="00F6314C">
        <w:t>S</w:t>
      </w:r>
      <w:r w:rsidR="00163147" w:rsidRPr="00F6314C">
        <w:rPr>
          <w:rStyle w:val="JuParaChar"/>
        </w:rPr>
        <w:t>ądy krajowe dokładnie zbadały również</w:t>
      </w:r>
      <w:r w:rsidR="00C56CEB" w:rsidRPr="00F6314C">
        <w:rPr>
          <w:rStyle w:val="JuParaChar"/>
        </w:rPr>
        <w:t>, z</w:t>
      </w:r>
      <w:r w:rsidR="004C279D">
        <w:rPr>
          <w:rStyle w:val="JuParaChar"/>
        </w:rPr>
        <w:t xml:space="preserve"> </w:t>
      </w:r>
      <w:r w:rsidR="00C56CEB" w:rsidRPr="00F6314C">
        <w:rPr>
          <w:rStyle w:val="JuParaChar"/>
        </w:rPr>
        <w:t>uwzględnieniem opinii biegłych,</w:t>
      </w:r>
      <w:r w:rsidR="00163147" w:rsidRPr="00F6314C">
        <w:rPr>
          <w:rStyle w:val="JuParaChar"/>
        </w:rPr>
        <w:t xml:space="preserve"> k</w:t>
      </w:r>
      <w:r w:rsidRPr="00F6314C">
        <w:rPr>
          <w:rStyle w:val="JuParaChar"/>
        </w:rPr>
        <w:t>westi</w:t>
      </w:r>
      <w:r w:rsidR="00377983" w:rsidRPr="00F6314C">
        <w:rPr>
          <w:rStyle w:val="JuParaChar"/>
        </w:rPr>
        <w:t>ę</w:t>
      </w:r>
      <w:r w:rsidRPr="00F6314C">
        <w:rPr>
          <w:rStyle w:val="JuParaChar"/>
        </w:rPr>
        <w:t xml:space="preserve"> tego, czy w</w:t>
      </w:r>
      <w:r w:rsidR="004C279D">
        <w:rPr>
          <w:rStyle w:val="JuParaChar"/>
        </w:rPr>
        <w:t xml:space="preserve"> </w:t>
      </w:r>
      <w:r w:rsidRPr="00F6314C">
        <w:rPr>
          <w:rStyle w:val="JuParaChar"/>
        </w:rPr>
        <w:t>momencie podpisywania dokumentu zawierającego rezygnację z</w:t>
      </w:r>
      <w:r w:rsidR="004C279D">
        <w:rPr>
          <w:rStyle w:val="JuParaChar"/>
        </w:rPr>
        <w:t xml:space="preserve"> </w:t>
      </w:r>
      <w:r w:rsidRPr="00F6314C">
        <w:rPr>
          <w:rStyle w:val="JuParaChar"/>
        </w:rPr>
        <w:t>pomocy prawnej skarżący nadal znajdował się pod wpływem alkoholu (zob. paragraf</w:t>
      </w:r>
      <w:r w:rsidR="004C279D">
        <w:rPr>
          <w:rStyle w:val="JuParaChar"/>
        </w:rPr>
        <w:t xml:space="preserve"> </w:t>
      </w:r>
      <w:r w:rsidRPr="00F6314C">
        <w:rPr>
          <w:rStyle w:val="JuParaChar"/>
        </w:rPr>
        <w:t>19 powyżej). Następnie sąd rozpoznający sprawę stwierdził, że podczas pierwszego przesłuchania skarżący złożył zeznania z</w:t>
      </w:r>
      <w:r w:rsidR="004C279D">
        <w:rPr>
          <w:rStyle w:val="JuParaChar"/>
        </w:rPr>
        <w:t xml:space="preserve"> </w:t>
      </w:r>
      <w:r w:rsidRPr="00F6314C">
        <w:rPr>
          <w:rStyle w:val="JuParaChar"/>
        </w:rPr>
        <w:t>pełnym zrozumieniem swoich czynów</w:t>
      </w:r>
      <w:r w:rsidR="004C279D">
        <w:rPr>
          <w:rStyle w:val="JuParaChar"/>
        </w:rPr>
        <w:t xml:space="preserve"> </w:t>
      </w:r>
      <w:r w:rsidRPr="00F6314C">
        <w:rPr>
          <w:rStyle w:val="JuParaChar"/>
        </w:rPr>
        <w:t>(zob.</w:t>
      </w:r>
      <w:r w:rsidR="00ED4FFB">
        <w:rPr>
          <w:rStyle w:val="JuParaChar"/>
        </w:rPr>
        <w:t> </w:t>
      </w:r>
      <w:r w:rsidRPr="00F6314C">
        <w:rPr>
          <w:rStyle w:val="JuParaChar"/>
        </w:rPr>
        <w:t>paragraf</w:t>
      </w:r>
      <w:r w:rsidR="004C279D">
        <w:rPr>
          <w:rStyle w:val="JuParaChar"/>
        </w:rPr>
        <w:t xml:space="preserve"> </w:t>
      </w:r>
      <w:r w:rsidRPr="00F6314C">
        <w:rPr>
          <w:rStyle w:val="JuParaChar"/>
        </w:rPr>
        <w:t>21 powyżej). Zdaniem Trybunału w</w:t>
      </w:r>
      <w:r w:rsidR="004C279D">
        <w:rPr>
          <w:rStyle w:val="JuParaChar"/>
        </w:rPr>
        <w:t xml:space="preserve"> </w:t>
      </w:r>
      <w:r w:rsidRPr="00F6314C">
        <w:rPr>
          <w:rStyle w:val="JuParaChar"/>
        </w:rPr>
        <w:t>okolicznościach przedmiotowej sprawy nie można uznać oceny sądów</w:t>
      </w:r>
      <w:r w:rsidR="004C279D">
        <w:rPr>
          <w:rStyle w:val="JuParaChar"/>
        </w:rPr>
        <w:t xml:space="preserve"> </w:t>
      </w:r>
      <w:r w:rsidRPr="00F6314C">
        <w:rPr>
          <w:rStyle w:val="JuParaChar"/>
        </w:rPr>
        <w:t>krajowych za</w:t>
      </w:r>
      <w:r w:rsidR="00ED4FFB">
        <w:rPr>
          <w:rStyle w:val="JuParaChar"/>
        </w:rPr>
        <w:t> </w:t>
      </w:r>
      <w:r w:rsidRPr="00F6314C">
        <w:rPr>
          <w:rStyle w:val="JuParaChar"/>
        </w:rPr>
        <w:t>arbitralną ani w</w:t>
      </w:r>
      <w:r w:rsidR="004C279D">
        <w:rPr>
          <w:rStyle w:val="JuParaChar"/>
        </w:rPr>
        <w:t xml:space="preserve"> </w:t>
      </w:r>
      <w:r w:rsidRPr="00F6314C">
        <w:rPr>
          <w:rStyle w:val="JuParaChar"/>
        </w:rPr>
        <w:t>sposób oczywisty nieuzasadnioną.</w:t>
      </w:r>
    </w:p>
    <w:p w14:paraId="04BA9582" w14:textId="1C99C9D5" w:rsidR="00570311" w:rsidRPr="00F6314C" w:rsidRDefault="002126AF">
      <w:pPr>
        <w:pStyle w:val="JuPara"/>
      </w:pPr>
      <w:r w:rsidRPr="00F6314C">
        <w:rPr>
          <w:rStyle w:val="JuParaChar"/>
        </w:rPr>
        <w:t>42.</w:t>
      </w:r>
      <w:r w:rsidR="004C279D">
        <w:rPr>
          <w:rStyle w:val="JuParaChar"/>
        </w:rPr>
        <w:t xml:space="preserve"> </w:t>
      </w:r>
      <w:r w:rsidRPr="00F6314C">
        <w:rPr>
          <w:rStyle w:val="JuParaChar"/>
        </w:rPr>
        <w:t>Trybunał zauważa ponadto, że skarżący wycofał przyznanie się do</w:t>
      </w:r>
      <w:r w:rsidR="00ED4FFB">
        <w:rPr>
          <w:rStyle w:val="JuParaChar"/>
        </w:rPr>
        <w:t> </w:t>
      </w:r>
      <w:r w:rsidRPr="00F6314C">
        <w:rPr>
          <w:rStyle w:val="JuParaChar"/>
        </w:rPr>
        <w:t>winy dopiero w</w:t>
      </w:r>
      <w:r w:rsidR="004C279D">
        <w:rPr>
          <w:rStyle w:val="JuParaChar"/>
        </w:rPr>
        <w:t xml:space="preserve"> </w:t>
      </w:r>
      <w:r w:rsidRPr="00F6314C">
        <w:rPr>
          <w:rStyle w:val="JuParaChar"/>
        </w:rPr>
        <w:t>dniu 17</w:t>
      </w:r>
      <w:r w:rsidR="004C279D">
        <w:rPr>
          <w:rStyle w:val="JuParaChar"/>
        </w:rPr>
        <w:t xml:space="preserve"> </w:t>
      </w:r>
      <w:r w:rsidRPr="00F6314C">
        <w:rPr>
          <w:rStyle w:val="JuParaChar"/>
        </w:rPr>
        <w:t>czerwca 2010</w:t>
      </w:r>
      <w:r w:rsidR="004C279D">
        <w:rPr>
          <w:rStyle w:val="JuParaChar"/>
        </w:rPr>
        <w:t xml:space="preserve"> </w:t>
      </w:r>
      <w:r w:rsidRPr="00F6314C">
        <w:rPr>
          <w:rStyle w:val="JuParaChar"/>
        </w:rPr>
        <w:t>r., podczas końcowego etapu postępowania przygotowawczego i</w:t>
      </w:r>
      <w:r w:rsidR="004C279D">
        <w:rPr>
          <w:rStyle w:val="JuParaChar"/>
        </w:rPr>
        <w:t xml:space="preserve"> </w:t>
      </w:r>
      <w:r w:rsidRPr="00F6314C">
        <w:rPr>
          <w:rStyle w:val="JuParaChar"/>
        </w:rPr>
        <w:t>ponad cztery miesiące po pierwszym przesłuchaniu (zob. paragraf</w:t>
      </w:r>
      <w:r w:rsidR="004C279D">
        <w:rPr>
          <w:rStyle w:val="JuParaChar"/>
        </w:rPr>
        <w:t xml:space="preserve"> </w:t>
      </w:r>
      <w:r w:rsidRPr="00F6314C">
        <w:rPr>
          <w:rStyle w:val="JuParaChar"/>
        </w:rPr>
        <w:t>13 powyżej).</w:t>
      </w:r>
    </w:p>
    <w:p w14:paraId="05066237" w14:textId="25733A76" w:rsidR="00570311" w:rsidRPr="00F6314C" w:rsidRDefault="002126AF">
      <w:pPr>
        <w:pStyle w:val="JuPara"/>
      </w:pPr>
      <w:r w:rsidRPr="00F6314C">
        <w:rPr>
          <w:rStyle w:val="JuParaChar"/>
        </w:rPr>
        <w:t>43.</w:t>
      </w:r>
      <w:r w:rsidR="004C279D">
        <w:rPr>
          <w:rStyle w:val="JuParaChar"/>
        </w:rPr>
        <w:t xml:space="preserve"> </w:t>
      </w:r>
      <w:r w:rsidRPr="00F6314C">
        <w:rPr>
          <w:rStyle w:val="JuParaChar"/>
        </w:rPr>
        <w:t>Trybunał uważa, że w</w:t>
      </w:r>
      <w:r w:rsidR="004C279D">
        <w:rPr>
          <w:rStyle w:val="JuParaChar"/>
        </w:rPr>
        <w:t xml:space="preserve"> </w:t>
      </w:r>
      <w:r w:rsidRPr="00F6314C">
        <w:rPr>
          <w:rStyle w:val="JuParaChar"/>
        </w:rPr>
        <w:t>przedmiotowej sprawie nie występują żadne okoliczności, które wskazywałyby na to, że ze względu na stan upojenia alkoholowego lub historię uzależnienia od alkoholu skarżący nie był w</w:t>
      </w:r>
      <w:r w:rsidR="004C279D">
        <w:rPr>
          <w:rStyle w:val="JuParaChar"/>
        </w:rPr>
        <w:t xml:space="preserve"> </w:t>
      </w:r>
      <w:r w:rsidRPr="00F6314C">
        <w:rPr>
          <w:rStyle w:val="JuParaChar"/>
        </w:rPr>
        <w:t>stanie zrozumieć przekazanych mu informacji ani skorzystać z</w:t>
      </w:r>
      <w:r w:rsidR="004C279D">
        <w:rPr>
          <w:rStyle w:val="JuParaChar"/>
        </w:rPr>
        <w:t xml:space="preserve"> </w:t>
      </w:r>
      <w:r w:rsidRPr="00F6314C">
        <w:rPr>
          <w:rStyle w:val="JuParaChar"/>
        </w:rPr>
        <w:t>prawa do zwrócenia się o</w:t>
      </w:r>
      <w:r w:rsidR="004C279D">
        <w:rPr>
          <w:rStyle w:val="JuParaChar"/>
        </w:rPr>
        <w:t xml:space="preserve"> </w:t>
      </w:r>
      <w:r w:rsidRPr="00F6314C">
        <w:rPr>
          <w:rStyle w:val="JuParaChar"/>
        </w:rPr>
        <w:t>pomoc obrońcy.</w:t>
      </w:r>
    </w:p>
    <w:p w14:paraId="60F27E1E" w14:textId="21333AE8" w:rsidR="00570311" w:rsidRPr="00F6314C" w:rsidRDefault="002126AF">
      <w:pPr>
        <w:pStyle w:val="JuPara"/>
      </w:pPr>
      <w:r w:rsidRPr="00F6314C">
        <w:rPr>
          <w:rStyle w:val="JuParaChar"/>
        </w:rPr>
        <w:t>44.</w:t>
      </w:r>
      <w:r w:rsidR="004C279D">
        <w:rPr>
          <w:rStyle w:val="JuParaChar"/>
        </w:rPr>
        <w:t xml:space="preserve"> </w:t>
      </w:r>
      <w:r w:rsidRPr="00F6314C">
        <w:rPr>
          <w:rStyle w:val="JuParaChar"/>
        </w:rPr>
        <w:t>W</w:t>
      </w:r>
      <w:r w:rsidR="004C279D">
        <w:rPr>
          <w:rStyle w:val="JuParaChar"/>
        </w:rPr>
        <w:t xml:space="preserve"> </w:t>
      </w:r>
      <w:r w:rsidRPr="00F6314C">
        <w:rPr>
          <w:rStyle w:val="JuParaChar"/>
        </w:rPr>
        <w:t>świetle powyższego Trybunał nie może stwierdzić, że skarżącemu uniemożliwiono skorzystanie z</w:t>
      </w:r>
      <w:r w:rsidR="004C279D">
        <w:rPr>
          <w:rStyle w:val="JuParaChar"/>
        </w:rPr>
        <w:t xml:space="preserve"> </w:t>
      </w:r>
      <w:r w:rsidRPr="00F6314C">
        <w:rPr>
          <w:rStyle w:val="JuParaChar"/>
        </w:rPr>
        <w:t>prawa do pomocy obrońcy.</w:t>
      </w:r>
    </w:p>
    <w:p w14:paraId="51DD3032" w14:textId="335883E7" w:rsidR="00570311" w:rsidRPr="00F6314C" w:rsidRDefault="002126AF">
      <w:pPr>
        <w:pStyle w:val="JuPara"/>
      </w:pPr>
      <w:r w:rsidRPr="00F6314C">
        <w:rPr>
          <w:rStyle w:val="JuParaChar"/>
        </w:rPr>
        <w:t>45.</w:t>
      </w:r>
      <w:r w:rsidR="004C279D">
        <w:rPr>
          <w:rStyle w:val="JuParaChar"/>
        </w:rPr>
        <w:t xml:space="preserve"> </w:t>
      </w:r>
      <w:r w:rsidRPr="00F6314C">
        <w:rPr>
          <w:rStyle w:val="JuParaChar"/>
        </w:rPr>
        <w:t>Trybunał zbada jednak, czy ogólna rzetelność postępowania karnego przeciwko skarżącemu została naruszona przez brak ważnej rezygnacji z</w:t>
      </w:r>
      <w:r w:rsidR="00ED4FFB">
        <w:rPr>
          <w:rStyle w:val="JuParaChar"/>
        </w:rPr>
        <w:t> </w:t>
      </w:r>
      <w:r w:rsidRPr="00F6314C">
        <w:rPr>
          <w:rStyle w:val="JuParaChar"/>
        </w:rPr>
        <w:t>pomocy prawnej przy składaniu zeznań na policji oraz późniejsze dopuszczenie przez sąd rozpoznający sprawę tych zeznań, które doprowadziły do skazania skarżącego.</w:t>
      </w:r>
    </w:p>
    <w:p w14:paraId="2D8ECC33" w14:textId="3B40BC94" w:rsidR="00570311" w:rsidRPr="00F6314C" w:rsidRDefault="002126AF">
      <w:pPr>
        <w:pStyle w:val="JuPara"/>
      </w:pPr>
      <w:r w:rsidRPr="00F6314C">
        <w:t>46.</w:t>
      </w:r>
      <w:r w:rsidR="004C279D">
        <w:t xml:space="preserve"> </w:t>
      </w:r>
      <w:r w:rsidRPr="00F6314C">
        <w:t>Trybunał zauważa, że skarżący był reprezentowany przez obrońcę od</w:t>
      </w:r>
      <w:r w:rsidR="00ED4FFB">
        <w:t> </w:t>
      </w:r>
      <w:r w:rsidRPr="00F6314C">
        <w:t>dnia 19</w:t>
      </w:r>
      <w:r w:rsidR="004C279D">
        <w:t xml:space="preserve"> </w:t>
      </w:r>
      <w:r w:rsidRPr="00F6314C">
        <w:t>kwietnia 2010</w:t>
      </w:r>
      <w:r w:rsidR="004C279D">
        <w:t xml:space="preserve"> </w:t>
      </w:r>
      <w:r w:rsidRPr="00F6314C">
        <w:t>r. i</w:t>
      </w:r>
      <w:r w:rsidR="004C279D">
        <w:t xml:space="preserve"> </w:t>
      </w:r>
      <w:r w:rsidRPr="00F6314C">
        <w:t xml:space="preserve">przez cały czas trwania postępowania przed </w:t>
      </w:r>
      <w:r w:rsidRPr="00F6314C">
        <w:lastRenderedPageBreak/>
        <w:t>Sądem Okręgowym we Wrocławiu i</w:t>
      </w:r>
      <w:r w:rsidR="004C279D">
        <w:t xml:space="preserve"> </w:t>
      </w:r>
      <w:r w:rsidRPr="00F6314C">
        <w:t>Sądem Apelacyjnym we Wrocławiu (zob. paragraf</w:t>
      </w:r>
      <w:r w:rsidR="004C279D">
        <w:t xml:space="preserve"> </w:t>
      </w:r>
      <w:r w:rsidRPr="00F6314C">
        <w:t>12 powyżej). Podczas postępowania karnego skarżący mógł powoływać świadków</w:t>
      </w:r>
      <w:r w:rsidR="004C279D">
        <w:t xml:space="preserve"> </w:t>
      </w:r>
      <w:r w:rsidRPr="00F6314C">
        <w:t>obrony i</w:t>
      </w:r>
      <w:r w:rsidR="004C279D">
        <w:t xml:space="preserve"> </w:t>
      </w:r>
      <w:r w:rsidRPr="00F6314C">
        <w:t>miał możliwość kwestionowania argumentów</w:t>
      </w:r>
      <w:r w:rsidR="004C279D">
        <w:t xml:space="preserve"> </w:t>
      </w:r>
      <w:r w:rsidRPr="00F6314C">
        <w:t>oskarżenia. Mógł również przedstawić dowody dotyczące okoliczności swojego pierwszego przesłuchania i</w:t>
      </w:r>
      <w:r w:rsidR="004C279D">
        <w:t xml:space="preserve"> </w:t>
      </w:r>
      <w:r w:rsidRPr="00F6314C">
        <w:t>miał możliwość zaprezentowania wszelkich szczegółów, które podają w</w:t>
      </w:r>
      <w:r w:rsidR="004C279D">
        <w:t xml:space="preserve"> </w:t>
      </w:r>
      <w:r w:rsidRPr="00F6314C">
        <w:t>wątpliwość wiarygodność i</w:t>
      </w:r>
      <w:r w:rsidR="004C279D">
        <w:t xml:space="preserve"> </w:t>
      </w:r>
      <w:r w:rsidRPr="00F6314C">
        <w:t xml:space="preserve">szczerość jego pierwszego zeznania (zob. </w:t>
      </w:r>
      <w:r w:rsidRPr="00F6314C">
        <w:rPr>
          <w:i/>
          <w:iCs/>
        </w:rPr>
        <w:t>Ibrahim i</w:t>
      </w:r>
      <w:r w:rsidR="004C279D">
        <w:rPr>
          <w:i/>
          <w:iCs/>
        </w:rPr>
        <w:t xml:space="preserve"> </w:t>
      </w:r>
      <w:r w:rsidR="005043FF" w:rsidRPr="00F6314C">
        <w:rPr>
          <w:i/>
          <w:iCs/>
        </w:rPr>
        <w:t>i</w:t>
      </w:r>
      <w:r w:rsidRPr="00F6314C">
        <w:rPr>
          <w:i/>
          <w:iCs/>
        </w:rPr>
        <w:t>nni przeciwko Zjednoczonemu Królestwu</w:t>
      </w:r>
      <w:r w:rsidRPr="00F6314C">
        <w:t xml:space="preserve"> [WI], nr 50541/08 i</w:t>
      </w:r>
      <w:r w:rsidR="004C279D">
        <w:t xml:space="preserve"> </w:t>
      </w:r>
      <w:r w:rsidRPr="00F6314C">
        <w:t>trzy inne, §</w:t>
      </w:r>
      <w:r w:rsidR="004C279D">
        <w:t xml:space="preserve"> </w:t>
      </w:r>
      <w:r w:rsidRPr="00F6314C">
        <w:t>283, 13</w:t>
      </w:r>
      <w:r w:rsidR="00ED4FFB">
        <w:t> </w:t>
      </w:r>
      <w:r w:rsidRPr="00F6314C">
        <w:t>września 2016</w:t>
      </w:r>
      <w:r w:rsidR="004C279D">
        <w:t xml:space="preserve"> </w:t>
      </w:r>
      <w:r w:rsidRPr="00F6314C">
        <w:t xml:space="preserve">r.). Kwestię tę zbadali dalej powołani przez sąd biegli. Ponadto zeznania złożone przez skarżącego podczas zatrzymania policyjnego oraz jego przyznanie się do winy nie były jedyną podstawą jego skazania. Sąd rozpoznający sprawę uzasadnił skazanie skarżącego zeznaniami </w:t>
      </w:r>
      <w:r w:rsidR="000C1A1E" w:rsidRPr="00F6314C">
        <w:t xml:space="preserve">wielu </w:t>
      </w:r>
      <w:r w:rsidRPr="00F6314C">
        <w:t>świadków</w:t>
      </w:r>
      <w:r w:rsidR="004C279D">
        <w:t xml:space="preserve"> </w:t>
      </w:r>
      <w:r w:rsidRPr="00F6314C">
        <w:t>oraz wnioskami z</w:t>
      </w:r>
      <w:r w:rsidR="004C279D">
        <w:t xml:space="preserve"> </w:t>
      </w:r>
      <w:r w:rsidRPr="00F6314C">
        <w:t>szeregu badań kryminalistycznych, w</w:t>
      </w:r>
      <w:r w:rsidR="004C279D">
        <w:t xml:space="preserve"> </w:t>
      </w:r>
      <w:r w:rsidRPr="00F6314C">
        <w:t>tym z</w:t>
      </w:r>
      <w:r w:rsidR="00ED4FFB">
        <w:t> </w:t>
      </w:r>
      <w:r w:rsidRPr="00F6314C">
        <w:t>oględzin zwłok (zob. paragrafy 16, 18, 19, 25 powyżej). W</w:t>
      </w:r>
      <w:r w:rsidR="004C279D">
        <w:t xml:space="preserve"> </w:t>
      </w:r>
      <w:r w:rsidRPr="00F6314C">
        <w:t>świetle tych rozważań Trybunał nie widzi podstaw, by stwierdzić, iż prawa skarżącego do</w:t>
      </w:r>
      <w:r w:rsidR="00ED4FFB">
        <w:t> </w:t>
      </w:r>
      <w:r w:rsidRPr="00F6314C">
        <w:t>przedstawienia swojego stanowiska w</w:t>
      </w:r>
      <w:r w:rsidR="004C279D">
        <w:t xml:space="preserve"> </w:t>
      </w:r>
      <w:r w:rsidRPr="00F6314C">
        <w:t>sprawie były w</w:t>
      </w:r>
      <w:r w:rsidR="004C279D">
        <w:t xml:space="preserve"> </w:t>
      </w:r>
      <w:r w:rsidRPr="00F6314C">
        <w:t>jakikolwiek sposób ograniczone.</w:t>
      </w:r>
    </w:p>
    <w:p w14:paraId="5A3C98CB" w14:textId="0495E98B" w:rsidR="00570311" w:rsidRPr="00F6314C" w:rsidRDefault="002126AF">
      <w:pPr>
        <w:pStyle w:val="JuPara"/>
      </w:pPr>
      <w:r w:rsidRPr="00F6314C">
        <w:t>47.</w:t>
      </w:r>
      <w:r w:rsidR="004C279D">
        <w:t xml:space="preserve"> </w:t>
      </w:r>
      <w:r w:rsidRPr="00F6314C">
        <w:t>W</w:t>
      </w:r>
      <w:r w:rsidR="004C279D">
        <w:t xml:space="preserve"> </w:t>
      </w:r>
      <w:r w:rsidRPr="00F6314C">
        <w:t>tym kontekście Trybunał stwierdza, że ogólna rzetelność procesu sądowego skarżącego nie została nieodwracalnie naruszona. Z powyższego wynika, że ta część skargi jest w</w:t>
      </w:r>
      <w:r w:rsidR="004C279D">
        <w:t xml:space="preserve"> </w:t>
      </w:r>
      <w:r w:rsidRPr="00F6314C">
        <w:t>sposób oczywisty nieuzasadniona i</w:t>
      </w:r>
      <w:r w:rsidR="004C279D">
        <w:t xml:space="preserve"> </w:t>
      </w:r>
      <w:r w:rsidRPr="00F6314C">
        <w:t>podlega odrzuceniu zgodnie z</w:t>
      </w:r>
      <w:r w:rsidR="004C279D">
        <w:t xml:space="preserve"> </w:t>
      </w:r>
      <w:r w:rsidRPr="00F6314C">
        <w:t>art.</w:t>
      </w:r>
      <w:r w:rsidR="004C279D">
        <w:t xml:space="preserve"> </w:t>
      </w:r>
      <w:r w:rsidRPr="00F6314C">
        <w:t>35 ust.</w:t>
      </w:r>
      <w:r w:rsidR="004C279D">
        <w:t xml:space="preserve"> </w:t>
      </w:r>
      <w:r w:rsidRPr="00F6314C">
        <w:t>3 lit.</w:t>
      </w:r>
      <w:r w:rsidR="004C279D">
        <w:t xml:space="preserve"> </w:t>
      </w:r>
      <w:r w:rsidRPr="00F6314C">
        <w:t>a</w:t>
      </w:r>
      <w:r w:rsidR="004C279D">
        <w:t xml:space="preserve"> </w:t>
      </w:r>
      <w:r w:rsidRPr="00F6314C">
        <w:t>oraz art.</w:t>
      </w:r>
      <w:r w:rsidR="004C279D">
        <w:t xml:space="preserve"> </w:t>
      </w:r>
      <w:r w:rsidRPr="00F6314C">
        <w:t>35 ust.</w:t>
      </w:r>
      <w:r w:rsidR="004C279D">
        <w:t xml:space="preserve"> </w:t>
      </w:r>
      <w:r w:rsidRPr="00F6314C">
        <w:t>4 Konwencji.</w:t>
      </w:r>
    </w:p>
    <w:p w14:paraId="61BE7C89" w14:textId="77777777" w:rsidR="00570311" w:rsidRPr="00F6314C" w:rsidRDefault="002126AF">
      <w:pPr>
        <w:pStyle w:val="JuHA"/>
        <w:numPr>
          <w:ilvl w:val="2"/>
          <w:numId w:val="1"/>
        </w:numPr>
        <w:spacing w:before="280"/>
      </w:pPr>
      <w:r w:rsidRPr="00F6314C">
        <w:t>Inne zarzucane naruszenia Konwencji</w:t>
      </w:r>
    </w:p>
    <w:p w14:paraId="63BC76F9" w14:textId="574727DD" w:rsidR="00570311" w:rsidRPr="00F6314C" w:rsidRDefault="002126AF">
      <w:pPr>
        <w:pStyle w:val="JuPara"/>
      </w:pPr>
      <w:r w:rsidRPr="00F6314C">
        <w:t>48.</w:t>
      </w:r>
      <w:r w:rsidR="004C279D">
        <w:t xml:space="preserve"> </w:t>
      </w:r>
      <w:r w:rsidRPr="00F6314C">
        <w:t>Skarżący podniósł również na gruncie art.</w:t>
      </w:r>
      <w:r w:rsidR="004C279D">
        <w:t xml:space="preserve"> </w:t>
      </w:r>
      <w:r w:rsidRPr="00F6314C">
        <w:t>6 ust.</w:t>
      </w:r>
      <w:r w:rsidR="004C279D">
        <w:t xml:space="preserve"> </w:t>
      </w:r>
      <w:r w:rsidRPr="00F6314C">
        <w:t>2 Konwencji, że</w:t>
      </w:r>
      <w:r w:rsidR="00ED4FFB">
        <w:t> </w:t>
      </w:r>
      <w:r w:rsidRPr="00F6314C">
        <w:t>w</w:t>
      </w:r>
      <w:r w:rsidR="00ED4FFB">
        <w:t> </w:t>
      </w:r>
      <w:r w:rsidRPr="00F6314C">
        <w:t>dniu 10</w:t>
      </w:r>
      <w:r w:rsidR="004C279D">
        <w:t xml:space="preserve"> </w:t>
      </w:r>
      <w:r w:rsidRPr="00F6314C">
        <w:t>lutego 2010</w:t>
      </w:r>
      <w:r w:rsidR="004C279D">
        <w:t xml:space="preserve"> </w:t>
      </w:r>
      <w:r w:rsidRPr="00F6314C">
        <w:t>r. prasa lokalna opublikowała artykuł zawierający stwierdzenie, że zamordował on K.K.</w:t>
      </w:r>
    </w:p>
    <w:p w14:paraId="502D1B2D" w14:textId="38A55D4D" w:rsidR="00570311" w:rsidRPr="00F6314C" w:rsidRDefault="002126AF">
      <w:pPr>
        <w:pStyle w:val="JuPara"/>
      </w:pPr>
      <w:r w:rsidRPr="00F6314C">
        <w:t>49.</w:t>
      </w:r>
      <w:r w:rsidR="004C279D">
        <w:t xml:space="preserve"> </w:t>
      </w:r>
      <w:r w:rsidRPr="00F6314C">
        <w:t xml:space="preserve">Trybunał zbadał te </w:t>
      </w:r>
      <w:r w:rsidR="00A978EA">
        <w:t xml:space="preserve">zarzuty </w:t>
      </w:r>
      <w:r w:rsidRPr="00F6314C">
        <w:t>skargi i</w:t>
      </w:r>
      <w:r w:rsidR="004C279D">
        <w:t xml:space="preserve"> </w:t>
      </w:r>
      <w:r w:rsidRPr="00F6314C">
        <w:t>uznaje, że w</w:t>
      </w:r>
      <w:r w:rsidR="004C279D">
        <w:t xml:space="preserve"> </w:t>
      </w:r>
      <w:r w:rsidRPr="00F6314C">
        <w:t>świetle całokształtu posiadanego przez siebie materiału i</w:t>
      </w:r>
      <w:r w:rsidR="004C279D">
        <w:t xml:space="preserve"> </w:t>
      </w:r>
      <w:r w:rsidRPr="00F6314C">
        <w:t>w</w:t>
      </w:r>
      <w:r w:rsidR="004C279D">
        <w:t xml:space="preserve"> </w:t>
      </w:r>
      <w:r w:rsidRPr="00F6314C">
        <w:t>zakresie, w</w:t>
      </w:r>
      <w:r w:rsidR="004C279D">
        <w:t xml:space="preserve"> </w:t>
      </w:r>
      <w:r w:rsidRPr="00F6314C">
        <w:t>jakim kwestie objęte skargą mieszczą się w</w:t>
      </w:r>
      <w:r w:rsidR="004C279D">
        <w:t xml:space="preserve"> </w:t>
      </w:r>
      <w:r w:rsidRPr="00F6314C">
        <w:t xml:space="preserve">zakresie jego właściwości, </w:t>
      </w:r>
      <w:r w:rsidR="00A978EA">
        <w:t xml:space="preserve">zarzuty </w:t>
      </w:r>
      <w:r w:rsidRPr="00F6314C">
        <w:t>te albo nie spełniają kryteriów</w:t>
      </w:r>
      <w:r w:rsidR="004C279D">
        <w:t xml:space="preserve"> </w:t>
      </w:r>
      <w:r w:rsidRPr="00F6314C">
        <w:t>dopuszczalności określonych w</w:t>
      </w:r>
      <w:r w:rsidR="004C279D">
        <w:t xml:space="preserve"> </w:t>
      </w:r>
      <w:r w:rsidRPr="00F6314C">
        <w:t>art.</w:t>
      </w:r>
      <w:r w:rsidR="004C279D">
        <w:t xml:space="preserve"> </w:t>
      </w:r>
      <w:r w:rsidRPr="00F6314C">
        <w:t>35 ust.</w:t>
      </w:r>
      <w:r w:rsidR="004C279D">
        <w:t xml:space="preserve"> </w:t>
      </w:r>
      <w:r w:rsidRPr="00F6314C">
        <w:t>1 Konwencji, albo</w:t>
      </w:r>
      <w:r w:rsidR="00ED4FFB">
        <w:t> </w:t>
      </w:r>
      <w:r w:rsidRPr="00F6314C">
        <w:t>nie</w:t>
      </w:r>
      <w:r w:rsidR="00ED4FFB">
        <w:t> </w:t>
      </w:r>
      <w:r w:rsidRPr="00F6314C">
        <w:t>wskazują one na wystąpienie jakiegokolwiek naruszenia praw</w:t>
      </w:r>
      <w:r w:rsidR="004C279D">
        <w:t xml:space="preserve"> </w:t>
      </w:r>
      <w:r w:rsidRPr="00F6314C">
        <w:t>i</w:t>
      </w:r>
      <w:r w:rsidR="00ED4FFB">
        <w:t> </w:t>
      </w:r>
      <w:r w:rsidRPr="00F6314C">
        <w:t>wolności zapisanych w</w:t>
      </w:r>
      <w:r w:rsidR="004C279D">
        <w:t xml:space="preserve"> </w:t>
      </w:r>
      <w:r w:rsidRPr="00F6314C">
        <w:t>Konwencji lub jej Protokołach.</w:t>
      </w:r>
    </w:p>
    <w:p w14:paraId="6D787CB0" w14:textId="16FA2CFC" w:rsidR="00570311" w:rsidRPr="00F6314C" w:rsidRDefault="002126AF">
      <w:pPr>
        <w:pStyle w:val="JuPara"/>
      </w:pPr>
      <w:r w:rsidRPr="00F6314C">
        <w:t>50.</w:t>
      </w:r>
      <w:r w:rsidR="004C279D">
        <w:t xml:space="preserve"> </w:t>
      </w:r>
      <w:r w:rsidRPr="00F6314C">
        <w:t>Ta część skargi musi zatem zostać uznana za niedopuszczalną na</w:t>
      </w:r>
      <w:r w:rsidR="00ED4FFB">
        <w:t> </w:t>
      </w:r>
      <w:r w:rsidRPr="00F6314C">
        <w:t>podstawie art.</w:t>
      </w:r>
      <w:r w:rsidR="004C279D">
        <w:t xml:space="preserve"> </w:t>
      </w:r>
      <w:r w:rsidRPr="00F6314C">
        <w:t>35 ust.</w:t>
      </w:r>
      <w:r w:rsidR="004C279D">
        <w:t xml:space="preserve"> </w:t>
      </w:r>
      <w:r w:rsidRPr="00F6314C">
        <w:t>1 i</w:t>
      </w:r>
      <w:r w:rsidR="004C279D">
        <w:t xml:space="preserve"> </w:t>
      </w:r>
      <w:r w:rsidRPr="00F6314C">
        <w:t>4 Konwencji.</w:t>
      </w:r>
    </w:p>
    <w:p w14:paraId="425468FE" w14:textId="0EA17491" w:rsidR="00570311" w:rsidRPr="00F6314C" w:rsidRDefault="002126AF">
      <w:pPr>
        <w:pStyle w:val="JuParaLast"/>
      </w:pPr>
      <w:r w:rsidRPr="00F6314C">
        <w:t>Z</w:t>
      </w:r>
      <w:r w:rsidR="004C279D">
        <w:t xml:space="preserve"> </w:t>
      </w:r>
      <w:r w:rsidRPr="00F6314C">
        <w:t>powyższych względów</w:t>
      </w:r>
      <w:r w:rsidR="004C279D">
        <w:t xml:space="preserve"> </w:t>
      </w:r>
      <w:r w:rsidRPr="00F6314C">
        <w:t>Trybunał jednogłośnie:</w:t>
      </w:r>
    </w:p>
    <w:p w14:paraId="3B4CB842" w14:textId="77777777" w:rsidR="00570311" w:rsidRPr="00F6314C" w:rsidRDefault="002126AF">
      <w:pPr>
        <w:pStyle w:val="DecList"/>
      </w:pPr>
      <w:r w:rsidRPr="00F6314C">
        <w:rPr>
          <w:i/>
          <w:iCs/>
        </w:rPr>
        <w:t>uznaje</w:t>
      </w:r>
      <w:r w:rsidRPr="00F6314C">
        <w:t xml:space="preserve"> skargę za niedopuszczalną.</w:t>
      </w:r>
    </w:p>
    <w:p w14:paraId="0945899B" w14:textId="7388BA41" w:rsidR="00570311" w:rsidRPr="00F6314C" w:rsidRDefault="002126AF">
      <w:pPr>
        <w:pStyle w:val="JuParaLast"/>
      </w:pPr>
      <w:r w:rsidRPr="00F6314C">
        <w:lastRenderedPageBreak/>
        <w:t>Sporządzono w</w:t>
      </w:r>
      <w:r w:rsidR="004C279D">
        <w:t xml:space="preserve"> </w:t>
      </w:r>
      <w:r w:rsidRPr="00F6314C">
        <w:t>języku angielskim i</w:t>
      </w:r>
      <w:r w:rsidR="004C279D">
        <w:t xml:space="preserve"> </w:t>
      </w:r>
      <w:r w:rsidRPr="00F6314C">
        <w:t>obwieszczono pisemnie dnia 2</w:t>
      </w:r>
      <w:r w:rsidR="00ED4FFB">
        <w:t> </w:t>
      </w:r>
      <w:r w:rsidRPr="00F6314C">
        <w:t>grudnia 2021</w:t>
      </w:r>
      <w:r w:rsidR="004C279D">
        <w:t xml:space="preserve"> </w:t>
      </w:r>
      <w:r w:rsidRPr="00F6314C">
        <w:t>r.</w:t>
      </w:r>
    </w:p>
    <w:p w14:paraId="5770EC5B" w14:textId="77777777" w:rsidR="00722351" w:rsidRDefault="00722351">
      <w:pPr>
        <w:pStyle w:val="JuSigned"/>
        <w:tabs>
          <w:tab w:val="clear" w:pos="851"/>
          <w:tab w:val="clear" w:pos="6407"/>
          <w:tab w:val="center" w:pos="1134"/>
          <w:tab w:val="center" w:pos="5812"/>
        </w:tabs>
        <w:rPr>
          <w:color w:val="FF0000"/>
        </w:rPr>
      </w:pPr>
    </w:p>
    <w:p w14:paraId="222C0ECC" w14:textId="402E966A" w:rsidR="00570311" w:rsidRPr="00F6314C" w:rsidRDefault="002126AF">
      <w:pPr>
        <w:pStyle w:val="JuSigned"/>
        <w:tabs>
          <w:tab w:val="clear" w:pos="851"/>
          <w:tab w:val="clear" w:pos="6407"/>
          <w:tab w:val="center" w:pos="1134"/>
          <w:tab w:val="center" w:pos="5812"/>
        </w:tabs>
      </w:pPr>
      <w:r w:rsidRPr="00F6314C">
        <w:tab/>
      </w:r>
      <w:proofErr w:type="spellStart"/>
      <w:r w:rsidRPr="00F6314C">
        <w:t>Attila</w:t>
      </w:r>
      <w:proofErr w:type="spellEnd"/>
      <w:r w:rsidRPr="00F6314C">
        <w:t xml:space="preserve"> </w:t>
      </w:r>
      <w:proofErr w:type="spellStart"/>
      <w:r w:rsidRPr="00F6314C">
        <w:t>Teplán</w:t>
      </w:r>
      <w:proofErr w:type="spellEnd"/>
      <w:r w:rsidRPr="00F6314C">
        <w:tab/>
        <w:t xml:space="preserve">Erik </w:t>
      </w:r>
      <w:proofErr w:type="spellStart"/>
      <w:r w:rsidRPr="00F6314C">
        <w:t>Wennerström</w:t>
      </w:r>
      <w:proofErr w:type="spellEnd"/>
      <w:r w:rsidRPr="00F6314C">
        <w:br/>
      </w:r>
      <w:r w:rsidRPr="00F6314C">
        <w:tab/>
      </w:r>
      <w:r w:rsidR="00A978EA">
        <w:t>p.o. Zastępca</w:t>
      </w:r>
      <w:r w:rsidRPr="00F6314C">
        <w:t xml:space="preserve"> Kanclerza</w:t>
      </w:r>
      <w:r w:rsidRPr="00F6314C">
        <w:tab/>
        <w:t>Przewodniczący</w:t>
      </w:r>
    </w:p>
    <w:p w14:paraId="0F405FA2" w14:textId="77777777" w:rsidR="00570311" w:rsidRPr="00F6314C" w:rsidRDefault="00570311"/>
    <w:sectPr w:rsidR="00570311" w:rsidRPr="00F6314C">
      <w:headerReference w:type="even" r:id="rId11"/>
      <w:headerReference w:type="default" r:id="rId12"/>
      <w:footerReference w:type="even" r:id="rId13"/>
      <w:footerReference w:type="default" r:id="rId14"/>
      <w:headerReference w:type="first" r:id="rId15"/>
      <w:footerReference w:type="first" r:id="rId16"/>
      <w:pgSz w:w="11906" w:h="16838"/>
      <w:pgMar w:top="2274" w:right="2274" w:bottom="2274" w:left="2274" w:header="1701" w:footer="720"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90DE6" w14:textId="77777777" w:rsidR="00A7320F" w:rsidRDefault="00A7320F">
      <w:r>
        <w:separator/>
      </w:r>
    </w:p>
  </w:endnote>
  <w:endnote w:type="continuationSeparator" w:id="0">
    <w:p w14:paraId="0806543A" w14:textId="77777777" w:rsidR="00A7320F" w:rsidRDefault="00A7320F">
      <w:r>
        <w:continuationSeparator/>
      </w:r>
    </w:p>
  </w:endnote>
  <w:endnote w:type="continuationNotice" w:id="1">
    <w:p w14:paraId="44B80927" w14:textId="77777777" w:rsidR="00A7320F" w:rsidRDefault="00A73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Lucida Sans">
    <w:altName w:val="Times New Roman"/>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413A" w14:textId="2C9C61E7" w:rsidR="00BE1418" w:rsidRDefault="00BE1418">
    <w:pPr>
      <w:pStyle w:val="JuHeader"/>
    </w:pPr>
    <w:r>
      <w:rPr>
        <w:rStyle w:val="Numerstrony"/>
      </w:rPr>
      <w:fldChar w:fldCharType="begin"/>
    </w:r>
    <w:r>
      <w:rPr>
        <w:rStyle w:val="Numerstrony"/>
      </w:rPr>
      <w:instrText>PAGE</w:instrText>
    </w:r>
    <w:r>
      <w:rPr>
        <w:rStyle w:val="Numerstrony"/>
      </w:rPr>
      <w:fldChar w:fldCharType="separate"/>
    </w:r>
    <w:r w:rsidR="00A42671">
      <w:rPr>
        <w:rStyle w:val="Numerstrony"/>
        <w:noProof/>
      </w:rPr>
      <w:t>10</w:t>
    </w:r>
    <w:r>
      <w:rPr>
        <w:rStyle w:val="Numerstrony"/>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C7133" w14:textId="4544B06C" w:rsidR="00BE1418" w:rsidRDefault="00BE1418">
    <w:pPr>
      <w:pStyle w:val="JuHeader"/>
    </w:pPr>
    <w:r>
      <w:rPr>
        <w:rStyle w:val="Numerstrony"/>
      </w:rPr>
      <w:fldChar w:fldCharType="begin"/>
    </w:r>
    <w:r>
      <w:rPr>
        <w:rStyle w:val="Numerstrony"/>
      </w:rPr>
      <w:instrText>PAGE</w:instrText>
    </w:r>
    <w:r>
      <w:rPr>
        <w:rStyle w:val="Numerstrony"/>
      </w:rPr>
      <w:fldChar w:fldCharType="separate"/>
    </w:r>
    <w:r w:rsidR="00A42671">
      <w:rPr>
        <w:rStyle w:val="Numerstrony"/>
        <w:noProof/>
      </w:rPr>
      <w:t>9</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987D" w14:textId="77777777" w:rsidR="00BE1418" w:rsidRDefault="00BE1418">
    <w:pPr>
      <w:jc w:val="center"/>
    </w:pPr>
    <w:r>
      <w:rPr>
        <w:noProof/>
        <w:lang w:eastAsia="pl-PL"/>
      </w:rPr>
      <w:drawing>
        <wp:inline distT="0" distB="0" distL="0" distR="0" wp14:anchorId="29CDE867" wp14:editId="5B597096">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stretch>
                    <a:fillRect/>
                  </a:stretch>
                </pic:blipFill>
                <pic:spPr bwMode="auto">
                  <a:xfrm>
                    <a:off x="0" y="0"/>
                    <a:ext cx="771525" cy="619125"/>
                  </a:xfrm>
                  <a:prstGeom prst="rect">
                    <a:avLst/>
                  </a:prstGeom>
                </pic:spPr>
              </pic:pic>
            </a:graphicData>
          </a:graphic>
        </wp:inline>
      </w:drawing>
    </w:r>
  </w:p>
  <w:p w14:paraId="5CC0BC50" w14:textId="77777777" w:rsidR="00BE1418" w:rsidRDefault="00BE1418">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78C68" w14:textId="77777777" w:rsidR="00A7320F" w:rsidRDefault="00A7320F">
      <w:r>
        <w:separator/>
      </w:r>
    </w:p>
  </w:footnote>
  <w:footnote w:type="continuationSeparator" w:id="0">
    <w:p w14:paraId="4D6D2F02" w14:textId="77777777" w:rsidR="00A7320F" w:rsidRDefault="00A7320F">
      <w:r>
        <w:continuationSeparator/>
      </w:r>
    </w:p>
  </w:footnote>
  <w:footnote w:type="continuationNotice" w:id="1">
    <w:p w14:paraId="5D38FBF9" w14:textId="77777777" w:rsidR="00A7320F" w:rsidRDefault="00A7320F"/>
  </w:footnote>
  <w:footnote w:id="2">
    <w:p w14:paraId="7F7678C0" w14:textId="77777777" w:rsidR="00DB775B" w:rsidRDefault="00DB775B" w:rsidP="00CD6A55">
      <w:pPr>
        <w:pStyle w:val="Tekstprzypisudolnego"/>
        <w:jc w:val="both"/>
      </w:pPr>
      <w:r>
        <w:rPr>
          <w:rStyle w:val="Odwoanieprzypisudolnego"/>
        </w:rPr>
        <w:footnoteRef/>
      </w:r>
      <w:r>
        <w:t xml:space="preserve"> Kodeks postępowania karnego, uchwalony ustawą z dnia 6 czerwca 1997 r. (przyp. tłum.).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3E96" w14:textId="77777777" w:rsidR="00BE1418" w:rsidRDefault="00BE1418">
    <w:pPr>
      <w:pStyle w:val="JuHeader"/>
    </w:pPr>
    <w:r>
      <w:t>DECYZJA W SPRAWIE FĄFARA PRZECIWKO POLSCE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3793C" w14:textId="77777777" w:rsidR="00BE1418" w:rsidRDefault="00BE1418">
    <w:pPr>
      <w:pStyle w:val="JuHeader"/>
    </w:pPr>
    <w:r>
      <w:t>DECYZJA W SPRAWIE FĄFARA PRZECIWKO POLSCE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9DD3" w14:textId="77777777" w:rsidR="00BE1418" w:rsidRDefault="00BE1418">
    <w:pPr>
      <w:jc w:val="center"/>
    </w:pPr>
    <w:r>
      <w:rPr>
        <w:noProof/>
        <w:lang w:eastAsia="pl-PL"/>
      </w:rPr>
      <w:drawing>
        <wp:inline distT="0" distB="0" distL="0" distR="0" wp14:anchorId="08AC7007" wp14:editId="5A527E8E">
          <wp:extent cx="2962275" cy="1219200"/>
          <wp:effectExtent l="0" t="0" r="0" b="0"/>
          <wp:docPr id="1"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descr="R:\1_Graphics&amp;Web\Court_Graphic_Charter\2013\ECHR_Stationery\Documents_and_Letters\Cover_Pages_And_Docs\White_600_dpi\ECHR_CoverpageCS61_ECHR_Coverpage_Header_Black.png"/>
                  <pic:cNvPicPr>
                    <a:picLocks noChangeAspect="1" noChangeArrowheads="1"/>
                  </pic:cNvPicPr>
                </pic:nvPicPr>
                <pic:blipFill>
                  <a:blip r:embed="rId1"/>
                  <a:stretch>
                    <a:fillRect/>
                  </a:stretch>
                </pic:blipFill>
                <pic:spPr bwMode="auto">
                  <a:xfrm>
                    <a:off x="0" y="0"/>
                    <a:ext cx="2962275" cy="1219200"/>
                  </a:xfrm>
                  <a:prstGeom prst="rect">
                    <a:avLst/>
                  </a:prstGeom>
                </pic:spPr>
              </pic:pic>
            </a:graphicData>
          </a:graphic>
        </wp:inline>
      </w:drawing>
    </w:r>
  </w:p>
  <w:p w14:paraId="7BE07F04" w14:textId="77777777" w:rsidR="00BE1418" w:rsidRDefault="00BE141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3B64"/>
    <w:multiLevelType w:val="multilevel"/>
    <w:tmpl w:val="3D80B1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E1D10AD"/>
    <w:multiLevelType w:val="multilevel"/>
    <w:tmpl w:val="C576B674"/>
    <w:lvl w:ilvl="0">
      <w:start w:val="1"/>
      <w:numFmt w:val="none"/>
      <w:suff w:val="nothing"/>
      <w:lvlText w:val=""/>
      <w:lvlJc w:val="left"/>
      <w:pPr>
        <w:tabs>
          <w:tab w:val="num" w:pos="0"/>
        </w:tabs>
        <w:ind w:left="0" w:firstLine="0"/>
      </w:pPr>
    </w:lvl>
    <w:lvl w:ilvl="1">
      <w:start w:val="1"/>
      <w:numFmt w:val="upperRoman"/>
      <w:lvlText w:val="%2."/>
      <w:lvlJc w:val="left"/>
      <w:pPr>
        <w:tabs>
          <w:tab w:val="num" w:pos="1080"/>
        </w:tabs>
        <w:ind w:left="397" w:hanging="397"/>
      </w:pPr>
    </w:lvl>
    <w:lvl w:ilvl="2">
      <w:start w:val="1"/>
      <w:numFmt w:val="upperLetter"/>
      <w:lvlText w:val="%3."/>
      <w:lvlJc w:val="left"/>
      <w:pPr>
        <w:tabs>
          <w:tab w:val="num" w:pos="1440"/>
        </w:tabs>
        <w:ind w:left="510" w:hanging="340"/>
      </w:pPr>
    </w:lvl>
    <w:lvl w:ilvl="3">
      <w:start w:val="1"/>
      <w:numFmt w:val="decimal"/>
      <w:lvlText w:val="%4."/>
      <w:lvlJc w:val="left"/>
      <w:pPr>
        <w:tabs>
          <w:tab w:val="num" w:pos="1800"/>
        </w:tabs>
        <w:ind w:left="680" w:hanging="340"/>
      </w:pPr>
    </w:lvl>
    <w:lvl w:ilvl="4">
      <w:start w:val="1"/>
      <w:numFmt w:val="lowerLetter"/>
      <w:lvlText w:val="(%5)"/>
      <w:lvlJc w:val="left"/>
      <w:pPr>
        <w:tabs>
          <w:tab w:val="num" w:pos="2160"/>
        </w:tabs>
        <w:ind w:left="851" w:hanging="341"/>
      </w:pPr>
    </w:lvl>
    <w:lvl w:ilvl="5">
      <w:start w:val="1"/>
      <w:numFmt w:val="lowerRoman"/>
      <w:lvlText w:val="(%6)"/>
      <w:lvlJc w:val="left"/>
      <w:pPr>
        <w:tabs>
          <w:tab w:val="num" w:pos="2520"/>
        </w:tabs>
        <w:ind w:left="1021" w:hanging="341"/>
      </w:pPr>
    </w:lvl>
    <w:lvl w:ilvl="6">
      <w:start w:val="1"/>
      <w:numFmt w:val="decimal"/>
      <w:lvlText w:val="(%7)"/>
      <w:lvlJc w:val="left"/>
      <w:pPr>
        <w:tabs>
          <w:tab w:val="num" w:pos="2880"/>
        </w:tabs>
        <w:ind w:left="1247" w:hanging="396"/>
      </w:pPr>
      <w:rPr>
        <w:b w:val="0"/>
        <w:i w:val="0"/>
      </w:rPr>
    </w:lvl>
    <w:lvl w:ilvl="7">
      <w:start w:val="1"/>
      <w:numFmt w:val="bullet"/>
      <w:lvlText w:val="‒"/>
      <w:lvlJc w:val="left"/>
      <w:pPr>
        <w:tabs>
          <w:tab w:val="num" w:pos="3240"/>
        </w:tabs>
        <w:ind w:left="1247" w:hanging="226"/>
      </w:pPr>
      <w:rPr>
        <w:rFonts w:ascii="Times New Roman" w:hAnsi="Times New Roman" w:cs="Times New Roman" w:hint="default"/>
      </w:rPr>
    </w:lvl>
    <w:lvl w:ilvl="8">
      <w:start w:val="1"/>
      <w:numFmt w:val="bullet"/>
      <w:lvlText w:val="▪"/>
      <w:lvlJc w:val="left"/>
      <w:pPr>
        <w:tabs>
          <w:tab w:val="num" w:pos="3600"/>
        </w:tabs>
        <w:ind w:left="1361" w:hanging="170"/>
      </w:pPr>
      <w:rPr>
        <w:rFonts w:ascii="Times New Roman" w:hAnsi="Times New Roman" w:cs="Times New Roman" w:hint="default"/>
      </w:rPr>
    </w:lvl>
  </w:abstractNum>
  <w:num w:numId="1" w16cid:durableId="1797722691">
    <w:abstractNumId w:val="1"/>
  </w:num>
  <w:num w:numId="2" w16cid:durableId="574978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evenAndOddHeader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311"/>
    <w:rsid w:val="00017A73"/>
    <w:rsid w:val="00026AA0"/>
    <w:rsid w:val="000605CD"/>
    <w:rsid w:val="00064C19"/>
    <w:rsid w:val="000A0C1A"/>
    <w:rsid w:val="000C1A1E"/>
    <w:rsid w:val="00101A76"/>
    <w:rsid w:val="0010438A"/>
    <w:rsid w:val="00147FFD"/>
    <w:rsid w:val="00157446"/>
    <w:rsid w:val="00163147"/>
    <w:rsid w:val="001645E5"/>
    <w:rsid w:val="00172E13"/>
    <w:rsid w:val="001A340E"/>
    <w:rsid w:val="001B4A1C"/>
    <w:rsid w:val="001C589B"/>
    <w:rsid w:val="001E1026"/>
    <w:rsid w:val="001F6CFB"/>
    <w:rsid w:val="002126AF"/>
    <w:rsid w:val="0022398E"/>
    <w:rsid w:val="00232A75"/>
    <w:rsid w:val="00237AD5"/>
    <w:rsid w:val="002424A2"/>
    <w:rsid w:val="00296B49"/>
    <w:rsid w:val="00322673"/>
    <w:rsid w:val="003425DB"/>
    <w:rsid w:val="00377983"/>
    <w:rsid w:val="003B6D3D"/>
    <w:rsid w:val="003E5729"/>
    <w:rsid w:val="00401C7A"/>
    <w:rsid w:val="00474EEF"/>
    <w:rsid w:val="0047541F"/>
    <w:rsid w:val="0049262A"/>
    <w:rsid w:val="004C279D"/>
    <w:rsid w:val="00500BDF"/>
    <w:rsid w:val="005043FF"/>
    <w:rsid w:val="00521081"/>
    <w:rsid w:val="00570311"/>
    <w:rsid w:val="005B26CB"/>
    <w:rsid w:val="005B7E20"/>
    <w:rsid w:val="005D2926"/>
    <w:rsid w:val="005E7FAB"/>
    <w:rsid w:val="006023A8"/>
    <w:rsid w:val="00606EF1"/>
    <w:rsid w:val="00630B37"/>
    <w:rsid w:val="00651DFB"/>
    <w:rsid w:val="006868E3"/>
    <w:rsid w:val="006952FA"/>
    <w:rsid w:val="006F1BA6"/>
    <w:rsid w:val="006F6FAB"/>
    <w:rsid w:val="00722351"/>
    <w:rsid w:val="00771A39"/>
    <w:rsid w:val="0078489C"/>
    <w:rsid w:val="007F1F1C"/>
    <w:rsid w:val="007F5111"/>
    <w:rsid w:val="00823171"/>
    <w:rsid w:val="008279C7"/>
    <w:rsid w:val="00890ACE"/>
    <w:rsid w:val="00892B80"/>
    <w:rsid w:val="008A213E"/>
    <w:rsid w:val="008A4374"/>
    <w:rsid w:val="008E2520"/>
    <w:rsid w:val="008E6587"/>
    <w:rsid w:val="008F2CEF"/>
    <w:rsid w:val="009437C3"/>
    <w:rsid w:val="0098451E"/>
    <w:rsid w:val="009C2227"/>
    <w:rsid w:val="00A00D87"/>
    <w:rsid w:val="00A21F54"/>
    <w:rsid w:val="00A42671"/>
    <w:rsid w:val="00A470B8"/>
    <w:rsid w:val="00A7320F"/>
    <w:rsid w:val="00A747D3"/>
    <w:rsid w:val="00A978EA"/>
    <w:rsid w:val="00AC2C01"/>
    <w:rsid w:val="00AF3772"/>
    <w:rsid w:val="00B1319A"/>
    <w:rsid w:val="00B30D4C"/>
    <w:rsid w:val="00B40159"/>
    <w:rsid w:val="00B647B4"/>
    <w:rsid w:val="00B81C51"/>
    <w:rsid w:val="00BC09FA"/>
    <w:rsid w:val="00BE1418"/>
    <w:rsid w:val="00BF296F"/>
    <w:rsid w:val="00C512DD"/>
    <w:rsid w:val="00C56CEB"/>
    <w:rsid w:val="00CD6A55"/>
    <w:rsid w:val="00CF7875"/>
    <w:rsid w:val="00D25A53"/>
    <w:rsid w:val="00D318E9"/>
    <w:rsid w:val="00DB775B"/>
    <w:rsid w:val="00DE20E9"/>
    <w:rsid w:val="00E12660"/>
    <w:rsid w:val="00E144D4"/>
    <w:rsid w:val="00E173CF"/>
    <w:rsid w:val="00E24957"/>
    <w:rsid w:val="00E63927"/>
    <w:rsid w:val="00E81999"/>
    <w:rsid w:val="00E87EA6"/>
    <w:rsid w:val="00EB2EAB"/>
    <w:rsid w:val="00EB60B4"/>
    <w:rsid w:val="00ED4FFB"/>
    <w:rsid w:val="00ED7C6F"/>
    <w:rsid w:val="00EF6938"/>
    <w:rsid w:val="00F03838"/>
    <w:rsid w:val="00F26A2A"/>
    <w:rsid w:val="00F52BF6"/>
    <w:rsid w:val="00F6314C"/>
    <w:rsid w:val="00FA2C24"/>
    <w:rsid w:val="00FB3E04"/>
    <w:rsid w:val="00FE7F4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FB316"/>
  <w15:docId w15:val="{755A7E04-784D-4BD1-9755-97070D93B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qFormat/>
    <w:rsid w:val="007A74FC"/>
    <w:rPr>
      <w:sz w:val="24"/>
      <w:szCs w:val="24"/>
    </w:rPr>
  </w:style>
  <w:style w:type="paragraph" w:styleId="Nagwek1">
    <w:name w:val="heading 1"/>
    <w:basedOn w:val="Normalny"/>
    <w:next w:val="Normalny"/>
    <w:link w:val="Nagwek1Znak"/>
    <w:uiPriority w:val="98"/>
    <w:semiHidden/>
    <w:qFormat/>
    <w:rsid w:val="007A74F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qFormat/>
    <w:rsid w:val="007A74F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qFormat/>
    <w:rsid w:val="007A74F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qFormat/>
    <w:rsid w:val="007A74F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A74F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qFormat/>
    <w:rsid w:val="007A74F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A74F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A74F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A74F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uiPriority w:val="98"/>
    <w:semiHidden/>
    <w:qFormat/>
    <w:rsid w:val="007A74FC"/>
    <w:rPr>
      <w:sz w:val="18"/>
    </w:rPr>
  </w:style>
  <w:style w:type="character" w:styleId="Odwoaniedokomentarza">
    <w:name w:val="annotation reference"/>
    <w:basedOn w:val="Domylnaczcionkaakapitu"/>
    <w:uiPriority w:val="98"/>
    <w:semiHidden/>
    <w:qFormat/>
    <w:rsid w:val="007A74FC"/>
    <w:rPr>
      <w:sz w:val="16"/>
      <w:szCs w:val="16"/>
    </w:rPr>
  </w:style>
  <w:style w:type="character" w:customStyle="1" w:styleId="TekstkomentarzaZnak">
    <w:name w:val="Tekst komentarza Znak"/>
    <w:basedOn w:val="Domylnaczcionkaakapitu"/>
    <w:link w:val="Tekstkomentarza"/>
    <w:uiPriority w:val="98"/>
    <w:semiHidden/>
    <w:qFormat/>
    <w:rsid w:val="007A74FC"/>
    <w:rPr>
      <w:sz w:val="20"/>
      <w:szCs w:val="20"/>
    </w:rPr>
  </w:style>
  <w:style w:type="character" w:customStyle="1" w:styleId="NagwekZnak">
    <w:name w:val="Nagłówek Znak"/>
    <w:basedOn w:val="Domylnaczcionkaakapitu"/>
    <w:link w:val="Nagwek"/>
    <w:uiPriority w:val="98"/>
    <w:semiHidden/>
    <w:qFormat/>
    <w:rsid w:val="007A74FC"/>
    <w:rPr>
      <w:sz w:val="24"/>
      <w:szCs w:val="24"/>
    </w:rPr>
  </w:style>
  <w:style w:type="character" w:customStyle="1" w:styleId="TekstdymkaZnak">
    <w:name w:val="Tekst dymka Znak"/>
    <w:basedOn w:val="Domylnaczcionkaakapitu"/>
    <w:link w:val="Tekstdymka"/>
    <w:uiPriority w:val="98"/>
    <w:semiHidden/>
    <w:qFormat/>
    <w:rsid w:val="007A74FC"/>
    <w:rPr>
      <w:rFonts w:ascii="Tahoma" w:hAnsi="Tahoma" w:cs="Tahoma"/>
      <w:sz w:val="16"/>
      <w:szCs w:val="16"/>
    </w:rPr>
  </w:style>
  <w:style w:type="character" w:customStyle="1" w:styleId="JUNAMES">
    <w:name w:val="JU_NAMES"/>
    <w:uiPriority w:val="33"/>
    <w:qFormat/>
    <w:rsid w:val="007A74FC"/>
    <w:rPr>
      <w:smallCaps/>
    </w:rPr>
  </w:style>
  <w:style w:type="character" w:customStyle="1" w:styleId="JuITMark">
    <w:name w:val="Ju_ITMark"/>
    <w:basedOn w:val="Domylnaczcionkaakapitu"/>
    <w:uiPriority w:val="54"/>
    <w:qFormat/>
    <w:rsid w:val="007A74FC"/>
    <w:rPr>
      <w:vanish w:val="0"/>
      <w:color w:val="000000"/>
      <w:sz w:val="14"/>
      <w:shd w:val="clear" w:color="auto" w:fill="BEE5FF"/>
    </w:rPr>
  </w:style>
  <w:style w:type="character" w:customStyle="1" w:styleId="Nagwek1Znak">
    <w:name w:val="Nagłówek 1 Znak"/>
    <w:basedOn w:val="Domylnaczcionkaakapitu"/>
    <w:link w:val="Nagwek1"/>
    <w:uiPriority w:val="98"/>
    <w:semiHidden/>
    <w:qFormat/>
    <w:rsid w:val="007A74FC"/>
    <w:rPr>
      <w:rFonts w:asciiTheme="majorHAnsi" w:eastAsiaTheme="majorEastAsia" w:hAnsiTheme="majorHAnsi" w:cstheme="majorBidi"/>
      <w:b/>
      <w:bCs/>
      <w:color w:val="333333"/>
      <w:sz w:val="28"/>
      <w:szCs w:val="28"/>
    </w:rPr>
  </w:style>
  <w:style w:type="character" w:customStyle="1" w:styleId="Nagwek2Znak">
    <w:name w:val="Nagłówek 2 Znak"/>
    <w:basedOn w:val="Domylnaczcionkaakapitu"/>
    <w:link w:val="Nagwek2"/>
    <w:uiPriority w:val="98"/>
    <w:semiHidden/>
    <w:qFormat/>
    <w:rsid w:val="007A74FC"/>
    <w:rPr>
      <w:rFonts w:asciiTheme="majorHAnsi" w:eastAsiaTheme="majorEastAsia" w:hAnsiTheme="majorHAnsi" w:cstheme="majorBidi"/>
      <w:b/>
      <w:bCs/>
      <w:color w:val="4D4D4D"/>
      <w:sz w:val="26"/>
      <w:szCs w:val="26"/>
    </w:rPr>
  </w:style>
  <w:style w:type="character" w:customStyle="1" w:styleId="Nagwek3Znak">
    <w:name w:val="Nagłówek 3 Znak"/>
    <w:basedOn w:val="Domylnaczcionkaakapitu"/>
    <w:link w:val="Nagwek3"/>
    <w:uiPriority w:val="98"/>
    <w:semiHidden/>
    <w:qFormat/>
    <w:rsid w:val="007A74FC"/>
    <w:rPr>
      <w:rFonts w:asciiTheme="majorHAnsi" w:eastAsiaTheme="majorEastAsia" w:hAnsiTheme="majorHAnsi" w:cstheme="majorBidi"/>
      <w:b/>
      <w:bCs/>
      <w:color w:val="5F5F5F"/>
    </w:rPr>
  </w:style>
  <w:style w:type="character" w:customStyle="1" w:styleId="Nagwek4Znak">
    <w:name w:val="Nagłówek 4 Znak"/>
    <w:basedOn w:val="Domylnaczcionkaakapitu"/>
    <w:link w:val="Nagwek4"/>
    <w:uiPriority w:val="98"/>
    <w:semiHidden/>
    <w:qFormat/>
    <w:rsid w:val="007A74FC"/>
    <w:rPr>
      <w:rFonts w:asciiTheme="majorHAnsi" w:eastAsiaTheme="majorEastAsia" w:hAnsiTheme="majorHAnsi" w:cstheme="majorBidi"/>
      <w:b/>
      <w:bCs/>
      <w:i/>
      <w:iCs/>
      <w:color w:val="777777"/>
    </w:rPr>
  </w:style>
  <w:style w:type="character" w:customStyle="1" w:styleId="Nagwek5Znak">
    <w:name w:val="Nagłówek 5 Znak"/>
    <w:basedOn w:val="Domylnaczcionkaakapitu"/>
    <w:link w:val="Nagwek5"/>
    <w:uiPriority w:val="98"/>
    <w:semiHidden/>
    <w:qFormat/>
    <w:rsid w:val="007A74FC"/>
    <w:rPr>
      <w:rFonts w:asciiTheme="majorHAnsi" w:eastAsiaTheme="majorEastAsia" w:hAnsiTheme="majorHAnsi" w:cstheme="majorBidi"/>
      <w:b/>
      <w:bCs/>
      <w:color w:val="808080"/>
    </w:rPr>
  </w:style>
  <w:style w:type="character" w:customStyle="1" w:styleId="Nagwek6Znak">
    <w:name w:val="Nagłówek 6 Znak"/>
    <w:basedOn w:val="Domylnaczcionkaakapitu"/>
    <w:link w:val="Nagwek6"/>
    <w:uiPriority w:val="98"/>
    <w:semiHidden/>
    <w:qFormat/>
    <w:rsid w:val="007A74FC"/>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8"/>
    <w:semiHidden/>
    <w:qFormat/>
    <w:rsid w:val="007A74F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8"/>
    <w:semiHidden/>
    <w:qFormat/>
    <w:rsid w:val="007A74F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8"/>
    <w:semiHidden/>
    <w:qFormat/>
    <w:rsid w:val="007A74FC"/>
    <w:rPr>
      <w:rFonts w:asciiTheme="majorHAnsi" w:eastAsiaTheme="majorEastAsia" w:hAnsiTheme="majorHAnsi" w:cstheme="majorBidi"/>
      <w:i/>
      <w:iCs/>
      <w:spacing w:val="5"/>
      <w:sz w:val="20"/>
      <w:szCs w:val="20"/>
      <w:lang w:bidi="en-US"/>
    </w:rPr>
  </w:style>
  <w:style w:type="character" w:customStyle="1" w:styleId="TytuZnak">
    <w:name w:val="Tytuł Znak"/>
    <w:basedOn w:val="Domylnaczcionkaakapitu"/>
    <w:link w:val="Tytu"/>
    <w:uiPriority w:val="98"/>
    <w:semiHidden/>
    <w:qFormat/>
    <w:rsid w:val="007A74FC"/>
    <w:rPr>
      <w:rFonts w:asciiTheme="majorHAnsi" w:eastAsiaTheme="majorEastAsia" w:hAnsiTheme="majorHAnsi" w:cstheme="majorBidi"/>
      <w:spacing w:val="5"/>
      <w:sz w:val="52"/>
      <w:szCs w:val="52"/>
      <w:lang w:bidi="en-US"/>
    </w:rPr>
  </w:style>
  <w:style w:type="character" w:customStyle="1" w:styleId="PodtytuZnak">
    <w:name w:val="Podtytuł Znak"/>
    <w:basedOn w:val="Domylnaczcionkaakapitu"/>
    <w:link w:val="Podtytu"/>
    <w:uiPriority w:val="98"/>
    <w:semiHidden/>
    <w:qFormat/>
    <w:rsid w:val="007A74FC"/>
    <w:rPr>
      <w:rFonts w:asciiTheme="majorHAnsi" w:eastAsiaTheme="majorEastAsia" w:hAnsiTheme="majorHAnsi" w:cstheme="majorBidi"/>
      <w:i/>
      <w:iCs/>
      <w:spacing w:val="13"/>
      <w:sz w:val="24"/>
      <w:szCs w:val="24"/>
      <w:lang w:bidi="en-US"/>
    </w:rPr>
  </w:style>
  <w:style w:type="character" w:styleId="Pogrubienie">
    <w:name w:val="Strong"/>
    <w:uiPriority w:val="98"/>
    <w:semiHidden/>
    <w:qFormat/>
    <w:rsid w:val="007A74FC"/>
    <w:rPr>
      <w:b/>
      <w:bCs/>
    </w:rPr>
  </w:style>
  <w:style w:type="character" w:customStyle="1" w:styleId="Wyrnienie">
    <w:name w:val="Wyróżnienie"/>
    <w:uiPriority w:val="98"/>
    <w:semiHidden/>
    <w:qFormat/>
    <w:rsid w:val="007A74FC"/>
    <w:rPr>
      <w:b/>
      <w:bCs/>
      <w:i/>
      <w:iCs/>
      <w:spacing w:val="10"/>
      <w:shd w:val="clear" w:color="auto" w:fill="auto"/>
    </w:rPr>
  </w:style>
  <w:style w:type="character" w:customStyle="1" w:styleId="BezodstpwZnak">
    <w:name w:val="Bez odstępów Znak"/>
    <w:basedOn w:val="Domylnaczcionkaakapitu"/>
    <w:link w:val="Bezodstpw"/>
    <w:uiPriority w:val="98"/>
    <w:semiHidden/>
    <w:qFormat/>
    <w:rsid w:val="007A74FC"/>
    <w:rPr>
      <w:sz w:val="24"/>
      <w:szCs w:val="24"/>
    </w:rPr>
  </w:style>
  <w:style w:type="character" w:customStyle="1" w:styleId="CytatZnak">
    <w:name w:val="Cytat Znak"/>
    <w:basedOn w:val="Domylnaczcionkaakapitu"/>
    <w:link w:val="Cytat"/>
    <w:uiPriority w:val="98"/>
    <w:semiHidden/>
    <w:qFormat/>
    <w:rsid w:val="007A74FC"/>
    <w:rPr>
      <w:i/>
      <w:iCs/>
      <w:sz w:val="24"/>
      <w:szCs w:val="24"/>
      <w:lang w:bidi="en-US"/>
    </w:rPr>
  </w:style>
  <w:style w:type="character" w:customStyle="1" w:styleId="CytatintensywnyZnak">
    <w:name w:val="Cytat intensywny Znak"/>
    <w:basedOn w:val="Domylnaczcionkaakapitu"/>
    <w:link w:val="Cytatintensywny"/>
    <w:uiPriority w:val="98"/>
    <w:semiHidden/>
    <w:qFormat/>
    <w:rsid w:val="007A74FC"/>
    <w:rPr>
      <w:b/>
      <w:bCs/>
      <w:i/>
      <w:iCs/>
      <w:sz w:val="24"/>
      <w:szCs w:val="24"/>
      <w:lang w:bidi="en-US"/>
    </w:rPr>
  </w:style>
  <w:style w:type="character" w:styleId="Wyrnieniedelikatne">
    <w:name w:val="Subtle Emphasis"/>
    <w:uiPriority w:val="98"/>
    <w:semiHidden/>
    <w:qFormat/>
    <w:rsid w:val="007A74FC"/>
    <w:rPr>
      <w:i/>
      <w:iCs/>
    </w:rPr>
  </w:style>
  <w:style w:type="character" w:styleId="Wyrnienieintensywne">
    <w:name w:val="Intense Emphasis"/>
    <w:uiPriority w:val="98"/>
    <w:semiHidden/>
    <w:qFormat/>
    <w:rsid w:val="007A74FC"/>
    <w:rPr>
      <w:b/>
      <w:bCs/>
    </w:rPr>
  </w:style>
  <w:style w:type="character" w:styleId="Odwoaniedelikatne">
    <w:name w:val="Subtle Reference"/>
    <w:uiPriority w:val="98"/>
    <w:semiHidden/>
    <w:qFormat/>
    <w:rsid w:val="007A74FC"/>
    <w:rPr>
      <w:smallCaps/>
    </w:rPr>
  </w:style>
  <w:style w:type="character" w:styleId="Odwoanieintensywne">
    <w:name w:val="Intense Reference"/>
    <w:uiPriority w:val="98"/>
    <w:semiHidden/>
    <w:qFormat/>
    <w:rsid w:val="007A74FC"/>
    <w:rPr>
      <w:smallCaps/>
      <w:spacing w:val="5"/>
      <w:u w:val="single"/>
    </w:rPr>
  </w:style>
  <w:style w:type="character" w:styleId="Tytuksiki">
    <w:name w:val="Book Title"/>
    <w:uiPriority w:val="98"/>
    <w:semiHidden/>
    <w:qFormat/>
    <w:rsid w:val="007A74FC"/>
    <w:rPr>
      <w:i/>
      <w:iCs/>
      <w:smallCaps/>
      <w:spacing w:val="5"/>
    </w:rPr>
  </w:style>
  <w:style w:type="character" w:customStyle="1" w:styleId="TekstpodstawowyZnak">
    <w:name w:val="Tekst podstawowy Znak"/>
    <w:basedOn w:val="Domylnaczcionkaakapitu"/>
    <w:link w:val="Tekstpodstawowy"/>
    <w:uiPriority w:val="98"/>
    <w:semiHidden/>
    <w:qFormat/>
    <w:rsid w:val="007A74FC"/>
    <w:rPr>
      <w:sz w:val="24"/>
      <w:szCs w:val="24"/>
    </w:rPr>
  </w:style>
  <w:style w:type="character" w:customStyle="1" w:styleId="Tekstpodstawowy2Znak">
    <w:name w:val="Tekst podstawowy 2 Znak"/>
    <w:basedOn w:val="Domylnaczcionkaakapitu"/>
    <w:link w:val="Tekstpodstawowy2"/>
    <w:uiPriority w:val="98"/>
    <w:semiHidden/>
    <w:qFormat/>
    <w:rsid w:val="007A74FC"/>
    <w:rPr>
      <w:sz w:val="24"/>
      <w:szCs w:val="24"/>
    </w:rPr>
  </w:style>
  <w:style w:type="character" w:customStyle="1" w:styleId="Tekstpodstawowy3Znak">
    <w:name w:val="Tekst podstawowy 3 Znak"/>
    <w:basedOn w:val="Domylnaczcionkaakapitu"/>
    <w:link w:val="Tekstpodstawowy3"/>
    <w:uiPriority w:val="98"/>
    <w:semiHidden/>
    <w:qFormat/>
    <w:rsid w:val="007A74FC"/>
    <w:rPr>
      <w:sz w:val="16"/>
      <w:szCs w:val="16"/>
    </w:rPr>
  </w:style>
  <w:style w:type="character" w:customStyle="1" w:styleId="TekstpodstawowyzwciciemZnak">
    <w:name w:val="Tekst podstawowy z wcięciem Znak"/>
    <w:basedOn w:val="TekstpodstawowyZnak"/>
    <w:uiPriority w:val="98"/>
    <w:semiHidden/>
    <w:qFormat/>
    <w:rsid w:val="007A74FC"/>
    <w:rPr>
      <w:sz w:val="24"/>
      <w:szCs w:val="24"/>
    </w:rPr>
  </w:style>
  <w:style w:type="character" w:customStyle="1" w:styleId="TekstpodstawowywcityZnak">
    <w:name w:val="Tekst podstawowy wcięty Znak"/>
    <w:basedOn w:val="Domylnaczcionkaakapitu"/>
    <w:link w:val="Tekstpodstawowywcity"/>
    <w:uiPriority w:val="98"/>
    <w:semiHidden/>
    <w:qFormat/>
    <w:rsid w:val="007A74FC"/>
    <w:rPr>
      <w:sz w:val="24"/>
      <w:szCs w:val="24"/>
    </w:rPr>
  </w:style>
  <w:style w:type="character" w:customStyle="1" w:styleId="Tekstpodstawowyzwciciem2Znak">
    <w:name w:val="Tekst podstawowy z wcięciem 2 Znak"/>
    <w:basedOn w:val="TekstpodstawowywcityZnak"/>
    <w:link w:val="Tekstpodstawowyzwciciem2"/>
    <w:uiPriority w:val="98"/>
    <w:semiHidden/>
    <w:qFormat/>
    <w:rsid w:val="007A74FC"/>
    <w:rPr>
      <w:sz w:val="24"/>
      <w:szCs w:val="24"/>
    </w:rPr>
  </w:style>
  <w:style w:type="character" w:customStyle="1" w:styleId="Tekstpodstawowywcity2Znak">
    <w:name w:val="Tekst podstawowy wcięty 2 Znak"/>
    <w:basedOn w:val="Domylnaczcionkaakapitu"/>
    <w:link w:val="Tekstpodstawowywcity2"/>
    <w:uiPriority w:val="98"/>
    <w:semiHidden/>
    <w:qFormat/>
    <w:rsid w:val="007A74FC"/>
    <w:rPr>
      <w:sz w:val="24"/>
      <w:szCs w:val="24"/>
    </w:rPr>
  </w:style>
  <w:style w:type="character" w:customStyle="1" w:styleId="Tekstpodstawowywcity3Znak">
    <w:name w:val="Tekst podstawowy wcięty 3 Znak"/>
    <w:basedOn w:val="Domylnaczcionkaakapitu"/>
    <w:link w:val="Tekstpodstawowywcity3"/>
    <w:uiPriority w:val="98"/>
    <w:semiHidden/>
    <w:qFormat/>
    <w:rsid w:val="007A74FC"/>
    <w:rPr>
      <w:sz w:val="16"/>
      <w:szCs w:val="16"/>
    </w:rPr>
  </w:style>
  <w:style w:type="character" w:customStyle="1" w:styleId="ZwrotpoegnalnyZnak">
    <w:name w:val="Zwrot pożegnalny Znak"/>
    <w:basedOn w:val="Domylnaczcionkaakapitu"/>
    <w:link w:val="Zwrotpoegnalny"/>
    <w:uiPriority w:val="98"/>
    <w:semiHidden/>
    <w:qFormat/>
    <w:rsid w:val="007A74FC"/>
    <w:rPr>
      <w:sz w:val="24"/>
      <w:szCs w:val="24"/>
    </w:rPr>
  </w:style>
  <w:style w:type="character" w:customStyle="1" w:styleId="TematkomentarzaZnak">
    <w:name w:val="Temat komentarza Znak"/>
    <w:basedOn w:val="TekstkomentarzaZnak"/>
    <w:link w:val="Tematkomentarza"/>
    <w:uiPriority w:val="98"/>
    <w:semiHidden/>
    <w:qFormat/>
    <w:rsid w:val="007A74FC"/>
    <w:rPr>
      <w:b/>
      <w:bCs/>
      <w:sz w:val="20"/>
      <w:szCs w:val="20"/>
    </w:rPr>
  </w:style>
  <w:style w:type="character" w:customStyle="1" w:styleId="DataZnak">
    <w:name w:val="Data Znak"/>
    <w:basedOn w:val="Domylnaczcionkaakapitu"/>
    <w:link w:val="Data"/>
    <w:uiPriority w:val="98"/>
    <w:semiHidden/>
    <w:qFormat/>
    <w:rsid w:val="007A74FC"/>
    <w:rPr>
      <w:sz w:val="24"/>
      <w:szCs w:val="24"/>
    </w:rPr>
  </w:style>
  <w:style w:type="character" w:customStyle="1" w:styleId="MapadokumentuZnak">
    <w:name w:val="Mapa dokumentu Znak"/>
    <w:basedOn w:val="Domylnaczcionkaakapitu"/>
    <w:link w:val="Mapadokumentu"/>
    <w:uiPriority w:val="98"/>
    <w:semiHidden/>
    <w:qFormat/>
    <w:rsid w:val="007A74FC"/>
    <w:rPr>
      <w:rFonts w:ascii="Tahoma" w:hAnsi="Tahoma" w:cs="Tahoma"/>
      <w:sz w:val="16"/>
      <w:szCs w:val="16"/>
    </w:rPr>
  </w:style>
  <w:style w:type="character" w:customStyle="1" w:styleId="Podpise-mailZnak">
    <w:name w:val="Podpis e-mail Znak"/>
    <w:basedOn w:val="Domylnaczcionkaakapitu"/>
    <w:uiPriority w:val="98"/>
    <w:semiHidden/>
    <w:qFormat/>
    <w:rsid w:val="007A74FC"/>
    <w:rPr>
      <w:sz w:val="24"/>
      <w:szCs w:val="24"/>
    </w:rPr>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uiPriority w:val="98"/>
    <w:semiHidden/>
    <w:qFormat/>
    <w:rsid w:val="007A74FC"/>
    <w:rPr>
      <w:vertAlign w:val="superscript"/>
    </w:rPr>
  </w:style>
  <w:style w:type="character" w:customStyle="1" w:styleId="TekstprzypisukocowegoZnak">
    <w:name w:val="Tekst przypisu końcowego Znak"/>
    <w:basedOn w:val="Domylnaczcionkaakapitu"/>
    <w:link w:val="Tekstprzypisukocowego"/>
    <w:uiPriority w:val="98"/>
    <w:semiHidden/>
    <w:qFormat/>
    <w:rsid w:val="007A74FC"/>
    <w:rPr>
      <w:sz w:val="20"/>
      <w:szCs w:val="20"/>
    </w:rPr>
  </w:style>
  <w:style w:type="character" w:customStyle="1" w:styleId="Odwiedzoneczeinternetowe">
    <w:name w:val="Odwiedzone łącze internetowe"/>
    <w:basedOn w:val="Domylnaczcionkaakapitu"/>
    <w:uiPriority w:val="98"/>
    <w:semiHidden/>
    <w:rsid w:val="007A74FC"/>
    <w:rPr>
      <w:color w:val="7030A0" w:themeColor="followedHyperlink"/>
      <w:u w:val="single"/>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8"/>
    <w:semiHidden/>
    <w:qFormat/>
    <w:rsid w:val="007A74FC"/>
    <w:rPr>
      <w:vertAlign w:val="superscript"/>
    </w:rPr>
  </w:style>
  <w:style w:type="character" w:customStyle="1" w:styleId="TekstprzypisudolnegoZnak">
    <w:name w:val="Tekst przypisu dolnego Znak"/>
    <w:basedOn w:val="Domylnaczcionkaakapitu"/>
    <w:link w:val="Tekstprzypisudolnego"/>
    <w:uiPriority w:val="98"/>
    <w:semiHidden/>
    <w:qFormat/>
    <w:rsid w:val="007A74FC"/>
    <w:rPr>
      <w:sz w:val="20"/>
      <w:szCs w:val="20"/>
    </w:rPr>
  </w:style>
  <w:style w:type="character" w:styleId="HTML-akronim">
    <w:name w:val="HTML Acronym"/>
    <w:basedOn w:val="Domylnaczcionkaakapitu"/>
    <w:uiPriority w:val="98"/>
    <w:semiHidden/>
    <w:qFormat/>
    <w:rsid w:val="007A74FC"/>
  </w:style>
  <w:style w:type="character" w:customStyle="1" w:styleId="HTML-adresZnak">
    <w:name w:val="HTML - adres Znak"/>
    <w:basedOn w:val="Domylnaczcionkaakapitu"/>
    <w:uiPriority w:val="98"/>
    <w:semiHidden/>
    <w:qFormat/>
    <w:rsid w:val="007A74FC"/>
    <w:rPr>
      <w:i/>
      <w:iCs/>
      <w:sz w:val="24"/>
      <w:szCs w:val="24"/>
    </w:rPr>
  </w:style>
  <w:style w:type="character" w:styleId="HTML-cytat">
    <w:name w:val="HTML Cite"/>
    <w:basedOn w:val="Domylnaczcionkaakapitu"/>
    <w:uiPriority w:val="98"/>
    <w:semiHidden/>
    <w:qFormat/>
    <w:rsid w:val="007A74FC"/>
    <w:rPr>
      <w:i/>
      <w:iCs/>
    </w:rPr>
  </w:style>
  <w:style w:type="character" w:styleId="HTML-kod">
    <w:name w:val="HTML Code"/>
    <w:basedOn w:val="Domylnaczcionkaakapitu"/>
    <w:uiPriority w:val="98"/>
    <w:semiHidden/>
    <w:qFormat/>
    <w:rsid w:val="007A74FC"/>
    <w:rPr>
      <w:rFonts w:ascii="Consolas" w:hAnsi="Consolas" w:cs="Consolas"/>
      <w:sz w:val="20"/>
      <w:szCs w:val="20"/>
    </w:rPr>
  </w:style>
  <w:style w:type="character" w:styleId="HTML-definicja">
    <w:name w:val="HTML Definition"/>
    <w:basedOn w:val="Domylnaczcionkaakapitu"/>
    <w:uiPriority w:val="98"/>
    <w:semiHidden/>
    <w:qFormat/>
    <w:rsid w:val="007A74FC"/>
    <w:rPr>
      <w:i/>
      <w:iCs/>
    </w:rPr>
  </w:style>
  <w:style w:type="character" w:styleId="HTML-klawiatura">
    <w:name w:val="HTML Keyboard"/>
    <w:basedOn w:val="Domylnaczcionkaakapitu"/>
    <w:uiPriority w:val="98"/>
    <w:semiHidden/>
    <w:qFormat/>
    <w:rsid w:val="007A74FC"/>
    <w:rPr>
      <w:rFonts w:ascii="Consolas" w:hAnsi="Consolas" w:cs="Consolas"/>
      <w:sz w:val="20"/>
      <w:szCs w:val="20"/>
    </w:rPr>
  </w:style>
  <w:style w:type="character" w:customStyle="1" w:styleId="HTML-wstpniesformatowanyZnak">
    <w:name w:val="HTML - wstępnie sformatowany Znak"/>
    <w:basedOn w:val="Domylnaczcionkaakapitu"/>
    <w:uiPriority w:val="98"/>
    <w:semiHidden/>
    <w:qFormat/>
    <w:rsid w:val="007A74FC"/>
    <w:rPr>
      <w:rFonts w:ascii="Consolas" w:hAnsi="Consolas" w:cs="Consolas"/>
      <w:sz w:val="20"/>
      <w:szCs w:val="20"/>
    </w:rPr>
  </w:style>
  <w:style w:type="character" w:styleId="HTML-przykad">
    <w:name w:val="HTML Sample"/>
    <w:basedOn w:val="Domylnaczcionkaakapitu"/>
    <w:uiPriority w:val="98"/>
    <w:semiHidden/>
    <w:qFormat/>
    <w:rsid w:val="007A74FC"/>
    <w:rPr>
      <w:rFonts w:ascii="Consolas" w:hAnsi="Consolas" w:cs="Consolas"/>
      <w:sz w:val="24"/>
      <w:szCs w:val="24"/>
    </w:rPr>
  </w:style>
  <w:style w:type="character" w:styleId="HTML-staaszeroko">
    <w:name w:val="HTML Typewriter"/>
    <w:basedOn w:val="Domylnaczcionkaakapitu"/>
    <w:uiPriority w:val="98"/>
    <w:semiHidden/>
    <w:qFormat/>
    <w:rsid w:val="007A74FC"/>
    <w:rPr>
      <w:rFonts w:ascii="Consolas" w:hAnsi="Consolas" w:cs="Consolas"/>
      <w:sz w:val="20"/>
      <w:szCs w:val="20"/>
    </w:rPr>
  </w:style>
  <w:style w:type="character" w:styleId="HTML-zmienna">
    <w:name w:val="HTML Variable"/>
    <w:basedOn w:val="Domylnaczcionkaakapitu"/>
    <w:uiPriority w:val="98"/>
    <w:semiHidden/>
    <w:qFormat/>
    <w:rsid w:val="007A74FC"/>
    <w:rPr>
      <w:i/>
      <w:iCs/>
    </w:rPr>
  </w:style>
  <w:style w:type="character" w:customStyle="1" w:styleId="czeinternetowe">
    <w:name w:val="Łącze internetowe"/>
    <w:basedOn w:val="Domylnaczcionkaakapitu"/>
    <w:uiPriority w:val="98"/>
    <w:semiHidden/>
    <w:rsid w:val="007A74FC"/>
    <w:rPr>
      <w:color w:val="0072BC" w:themeColor="hyperlink"/>
      <w:u w:val="single"/>
    </w:rPr>
  </w:style>
  <w:style w:type="character" w:styleId="Numerwiersza">
    <w:name w:val="line number"/>
    <w:basedOn w:val="Domylnaczcionkaakapitu"/>
    <w:uiPriority w:val="98"/>
    <w:semiHidden/>
    <w:qFormat/>
    <w:rsid w:val="007A74FC"/>
  </w:style>
  <w:style w:type="character" w:customStyle="1" w:styleId="TekstmakraZnak">
    <w:name w:val="Tekst makra Znak"/>
    <w:basedOn w:val="Domylnaczcionkaakapitu"/>
    <w:link w:val="Tekstmakra"/>
    <w:uiPriority w:val="98"/>
    <w:semiHidden/>
    <w:qFormat/>
    <w:rsid w:val="007A74FC"/>
    <w:rPr>
      <w:rFonts w:ascii="Consolas" w:eastAsiaTheme="minorEastAsia" w:hAnsi="Consolas" w:cs="Consolas"/>
      <w:sz w:val="20"/>
      <w:szCs w:val="20"/>
    </w:rPr>
  </w:style>
  <w:style w:type="character" w:customStyle="1" w:styleId="NagwekwiadomociZnak">
    <w:name w:val="Nagłówek wiadomości Znak"/>
    <w:basedOn w:val="Domylnaczcionkaakapitu"/>
    <w:link w:val="Nagwekwiadomoci"/>
    <w:uiPriority w:val="98"/>
    <w:semiHidden/>
    <w:qFormat/>
    <w:rsid w:val="007A74FC"/>
    <w:rPr>
      <w:rFonts w:asciiTheme="majorHAnsi" w:eastAsiaTheme="majorEastAsia" w:hAnsiTheme="majorHAnsi" w:cstheme="majorBidi"/>
      <w:sz w:val="24"/>
      <w:szCs w:val="24"/>
      <w:shd w:val="clear" w:color="auto" w:fill="CCCCCC"/>
    </w:rPr>
  </w:style>
  <w:style w:type="character" w:styleId="Tekstzastpczy">
    <w:name w:val="Placeholder Text"/>
    <w:basedOn w:val="Domylnaczcionkaakapitu"/>
    <w:uiPriority w:val="98"/>
    <w:semiHidden/>
    <w:qFormat/>
    <w:rsid w:val="007A74FC"/>
    <w:rPr>
      <w:color w:val="000000"/>
      <w:shd w:val="clear" w:color="auto" w:fill="DFDFDF"/>
    </w:rPr>
  </w:style>
  <w:style w:type="character" w:customStyle="1" w:styleId="ZwykytekstZnak">
    <w:name w:val="Zwykły tekst Znak"/>
    <w:basedOn w:val="Domylnaczcionkaakapitu"/>
    <w:link w:val="Zwykytekst"/>
    <w:uiPriority w:val="98"/>
    <w:semiHidden/>
    <w:qFormat/>
    <w:rsid w:val="007A74FC"/>
    <w:rPr>
      <w:rFonts w:ascii="Consolas" w:hAnsi="Consolas" w:cs="Consolas"/>
      <w:sz w:val="21"/>
      <w:szCs w:val="21"/>
    </w:rPr>
  </w:style>
  <w:style w:type="character" w:customStyle="1" w:styleId="ZwrotgrzecznociowyZnak">
    <w:name w:val="Zwrot grzecznościowy Znak"/>
    <w:basedOn w:val="Domylnaczcionkaakapitu"/>
    <w:link w:val="Zwrotgrzecznociowy"/>
    <w:uiPriority w:val="98"/>
    <w:semiHidden/>
    <w:qFormat/>
    <w:rsid w:val="007A74FC"/>
    <w:rPr>
      <w:sz w:val="24"/>
      <w:szCs w:val="24"/>
    </w:rPr>
  </w:style>
  <w:style w:type="character" w:customStyle="1" w:styleId="LegendaZnak">
    <w:name w:val="Legenda Znak"/>
    <w:basedOn w:val="Domylnaczcionkaakapitu"/>
    <w:link w:val="Legenda"/>
    <w:uiPriority w:val="98"/>
    <w:semiHidden/>
    <w:qFormat/>
    <w:rsid w:val="007A74FC"/>
    <w:rPr>
      <w:sz w:val="24"/>
      <w:szCs w:val="24"/>
    </w:rPr>
  </w:style>
  <w:style w:type="character" w:customStyle="1" w:styleId="StopkaZnak">
    <w:name w:val="Stopka Znak"/>
    <w:basedOn w:val="Domylnaczcionkaakapitu"/>
    <w:link w:val="Stopka"/>
    <w:uiPriority w:val="98"/>
    <w:semiHidden/>
    <w:qFormat/>
    <w:rsid w:val="007A74FC"/>
    <w:rPr>
      <w:sz w:val="24"/>
      <w:szCs w:val="24"/>
    </w:rPr>
  </w:style>
  <w:style w:type="character" w:customStyle="1" w:styleId="NagweknotatkiZnak">
    <w:name w:val="Nagłówek notatki Znak"/>
    <w:basedOn w:val="Domylnaczcionkaakapitu"/>
    <w:link w:val="Nagweknotatki"/>
    <w:uiPriority w:val="98"/>
    <w:semiHidden/>
    <w:qFormat/>
    <w:rsid w:val="007A74FC"/>
    <w:rPr>
      <w:sz w:val="24"/>
      <w:szCs w:val="24"/>
    </w:rPr>
  </w:style>
  <w:style w:type="character" w:customStyle="1" w:styleId="ECHRDivisionNameChar">
    <w:name w:val="ECHR_DivisionName Char"/>
    <w:basedOn w:val="Domylnaczcionkaakapitu"/>
    <w:link w:val="ECHRDivisionName"/>
    <w:uiPriority w:val="41"/>
    <w:semiHidden/>
    <w:qFormat/>
    <w:rsid w:val="007A74FC"/>
    <w:rPr>
      <w:rFonts w:ascii="Arial" w:hAnsi="Arial"/>
      <w:i/>
      <w:color w:val="002856"/>
      <w:sz w:val="32"/>
      <w:szCs w:val="24"/>
    </w:rPr>
  </w:style>
  <w:style w:type="character" w:customStyle="1" w:styleId="ECHRRed">
    <w:name w:val="ECHR_Red"/>
    <w:basedOn w:val="Domylnaczcionkaakapitu"/>
    <w:uiPriority w:val="15"/>
    <w:semiHidden/>
    <w:qFormat/>
    <w:rsid w:val="007A74FC"/>
    <w:rPr>
      <w:color w:val="C00000" w:themeColor="accent2"/>
    </w:rPr>
  </w:style>
  <w:style w:type="character" w:customStyle="1" w:styleId="JuParaChar">
    <w:name w:val="Ju_Para Char"/>
    <w:link w:val="JuPara"/>
    <w:uiPriority w:val="4"/>
    <w:qFormat/>
    <w:rsid w:val="00E3456A"/>
    <w:rPr>
      <w:sz w:val="24"/>
      <w:szCs w:val="24"/>
    </w:rPr>
  </w:style>
  <w:style w:type="character" w:customStyle="1" w:styleId="Hasztag1">
    <w:name w:val="Hasztag1"/>
    <w:basedOn w:val="Domylnaczcionkaakapitu"/>
    <w:uiPriority w:val="99"/>
    <w:semiHidden/>
    <w:unhideWhenUsed/>
    <w:qFormat/>
    <w:rsid w:val="00B765EE"/>
    <w:rPr>
      <w:color w:val="2B579A"/>
      <w:shd w:val="clear" w:color="auto" w:fill="E1DFDD"/>
    </w:rPr>
  </w:style>
  <w:style w:type="character" w:customStyle="1" w:styleId="Wzmianka1">
    <w:name w:val="Wzmianka1"/>
    <w:basedOn w:val="Domylnaczcionkaakapitu"/>
    <w:uiPriority w:val="99"/>
    <w:semiHidden/>
    <w:unhideWhenUsed/>
    <w:qFormat/>
    <w:rsid w:val="00B765EE"/>
    <w:rPr>
      <w:color w:val="2B579A"/>
      <w:shd w:val="clear" w:color="auto" w:fill="E1DFDD"/>
    </w:rPr>
  </w:style>
  <w:style w:type="character" w:customStyle="1" w:styleId="Inteligentnyhiperlink1">
    <w:name w:val="Inteligentny hiperlink1"/>
    <w:basedOn w:val="Domylnaczcionkaakapitu"/>
    <w:uiPriority w:val="99"/>
    <w:semiHidden/>
    <w:unhideWhenUsed/>
    <w:qFormat/>
    <w:rsid w:val="00B765EE"/>
    <w:rPr>
      <w:u w:val="dotted"/>
    </w:rPr>
  </w:style>
  <w:style w:type="character" w:customStyle="1" w:styleId="Inteligentnylink1">
    <w:name w:val="Inteligentny link1"/>
    <w:basedOn w:val="Domylnaczcionkaakapitu"/>
    <w:uiPriority w:val="99"/>
    <w:semiHidden/>
    <w:unhideWhenUsed/>
    <w:qFormat/>
    <w:rsid w:val="00B765EE"/>
    <w:rPr>
      <w:color w:val="0000FF"/>
      <w:u w:val="single"/>
      <w:shd w:val="clear" w:color="auto" w:fill="F3F2F1"/>
    </w:rPr>
  </w:style>
  <w:style w:type="character" w:customStyle="1" w:styleId="Nierozpoznanawzmianka1">
    <w:name w:val="Nierozpoznana wzmianka1"/>
    <w:basedOn w:val="Domylnaczcionkaakapitu"/>
    <w:uiPriority w:val="99"/>
    <w:semiHidden/>
    <w:unhideWhenUsed/>
    <w:qFormat/>
    <w:rsid w:val="00B765EE"/>
    <w:rPr>
      <w:color w:val="605E5C"/>
      <w:shd w:val="clear" w:color="auto" w:fill="E1DFDD"/>
    </w:rPr>
  </w:style>
  <w:style w:type="character" w:customStyle="1" w:styleId="Znakiprzypiswkocowych">
    <w:name w:val="Znaki przypisów końcowych"/>
    <w:qFormat/>
  </w:style>
  <w:style w:type="paragraph" w:styleId="Nagwek">
    <w:name w:val="header"/>
    <w:basedOn w:val="Normalny"/>
    <w:next w:val="Tekstpodstawowy"/>
    <w:link w:val="NagwekZnak"/>
    <w:uiPriority w:val="98"/>
    <w:semiHidden/>
    <w:rsid w:val="007A74FC"/>
    <w:pPr>
      <w:tabs>
        <w:tab w:val="center" w:pos="4536"/>
        <w:tab w:val="right" w:pos="9072"/>
      </w:tabs>
    </w:pPr>
  </w:style>
  <w:style w:type="paragraph" w:styleId="Tekstpodstawowy">
    <w:name w:val="Body Text"/>
    <w:basedOn w:val="Normalny"/>
    <w:link w:val="TekstpodstawowyZnak"/>
    <w:uiPriority w:val="98"/>
    <w:semiHidden/>
    <w:rsid w:val="007A74FC"/>
    <w:pPr>
      <w:spacing w:after="120"/>
    </w:pPr>
  </w:style>
  <w:style w:type="paragraph" w:styleId="Lista">
    <w:name w:val="List"/>
    <w:basedOn w:val="Normalny"/>
    <w:uiPriority w:val="98"/>
    <w:semiHidden/>
    <w:rsid w:val="007A74FC"/>
    <w:pPr>
      <w:ind w:left="283" w:hanging="283"/>
      <w:contextualSpacing/>
    </w:pPr>
  </w:style>
  <w:style w:type="paragraph" w:styleId="Legenda">
    <w:name w:val="caption"/>
    <w:basedOn w:val="Normalny"/>
    <w:next w:val="Normalny"/>
    <w:link w:val="LegendaZnak"/>
    <w:uiPriority w:val="98"/>
    <w:semiHidden/>
    <w:qFormat/>
    <w:rsid w:val="007A74FC"/>
    <w:pPr>
      <w:spacing w:after="200"/>
    </w:pPr>
    <w:rPr>
      <w:b/>
      <w:bCs/>
      <w:color w:val="0072BC" w:themeColor="accent1"/>
      <w:sz w:val="18"/>
      <w:szCs w:val="18"/>
    </w:rPr>
  </w:style>
  <w:style w:type="paragraph" w:customStyle="1" w:styleId="Indeks">
    <w:name w:val="Indeks"/>
    <w:basedOn w:val="Normalny"/>
    <w:qFormat/>
    <w:pPr>
      <w:suppressLineNumbers/>
    </w:pPr>
    <w:rPr>
      <w:rFonts w:cs="Lucida Sans"/>
    </w:rPr>
  </w:style>
  <w:style w:type="paragraph" w:customStyle="1" w:styleId="JuSigned">
    <w:name w:val="Ju_Signed"/>
    <w:basedOn w:val="Normalny"/>
    <w:next w:val="JuPara"/>
    <w:uiPriority w:val="31"/>
    <w:qFormat/>
    <w:rsid w:val="007A74FC"/>
    <w:pPr>
      <w:tabs>
        <w:tab w:val="center" w:pos="851"/>
        <w:tab w:val="center" w:pos="6407"/>
      </w:tabs>
      <w:spacing w:before="720"/>
    </w:pPr>
  </w:style>
  <w:style w:type="paragraph" w:customStyle="1" w:styleId="JuPara">
    <w:name w:val="Ju_Para"/>
    <w:basedOn w:val="NormalJustified"/>
    <w:link w:val="JuParaChar"/>
    <w:uiPriority w:val="4"/>
    <w:qFormat/>
    <w:rsid w:val="007A74FC"/>
    <w:pPr>
      <w:ind w:firstLine="284"/>
    </w:pPr>
  </w:style>
  <w:style w:type="paragraph" w:styleId="Tekstkomentarza">
    <w:name w:val="annotation text"/>
    <w:basedOn w:val="Normalny"/>
    <w:link w:val="TekstkomentarzaZnak"/>
    <w:uiPriority w:val="98"/>
    <w:semiHidden/>
    <w:qFormat/>
    <w:rsid w:val="007A74FC"/>
    <w:rPr>
      <w:sz w:val="20"/>
      <w:szCs w:val="20"/>
    </w:rPr>
  </w:style>
  <w:style w:type="paragraph" w:customStyle="1" w:styleId="DecHTitle">
    <w:name w:val="Dec_H_Title"/>
    <w:basedOn w:val="JuPara"/>
    <w:next w:val="JuPara"/>
    <w:uiPriority w:val="38"/>
    <w:qFormat/>
    <w:rsid w:val="007A74FC"/>
    <w:pPr>
      <w:keepNext/>
      <w:keepLines/>
      <w:spacing w:after="240"/>
      <w:ind w:firstLine="0"/>
      <w:jc w:val="center"/>
      <w:outlineLvl w:val="0"/>
    </w:pPr>
    <w:rPr>
      <w:rFonts w:asciiTheme="majorHAnsi" w:hAnsiTheme="majorHAnsi"/>
      <w:sz w:val="28"/>
    </w:rPr>
  </w:style>
  <w:style w:type="paragraph" w:customStyle="1" w:styleId="DecHCase">
    <w:name w:val="Dec_H_Case"/>
    <w:basedOn w:val="JuPara"/>
    <w:next w:val="JuPara"/>
    <w:uiPriority w:val="38"/>
    <w:qFormat/>
    <w:rsid w:val="007A74FC"/>
    <w:pPr>
      <w:keepNext/>
      <w:keepLines/>
      <w:spacing w:after="280"/>
      <w:ind w:firstLine="0"/>
      <w:jc w:val="center"/>
    </w:pPr>
    <w:rPr>
      <w:rFonts w:asciiTheme="majorHAnsi" w:hAnsiTheme="majorHAnsi"/>
    </w:rPr>
  </w:style>
  <w:style w:type="paragraph" w:customStyle="1" w:styleId="JuTitle">
    <w:name w:val="Ju_Title"/>
    <w:basedOn w:val="Normalny"/>
    <w:next w:val="JuPara"/>
    <w:uiPriority w:val="38"/>
    <w:qFormat/>
    <w:rsid w:val="007A74FC"/>
    <w:pPr>
      <w:keepNext/>
      <w:keepLines/>
      <w:spacing w:before="1320" w:after="280"/>
      <w:contextualSpacing/>
      <w:jc w:val="center"/>
    </w:pPr>
    <w:rPr>
      <w:b/>
    </w:rPr>
  </w:style>
  <w:style w:type="paragraph" w:customStyle="1" w:styleId="JuHeader">
    <w:name w:val="Ju_Header"/>
    <w:basedOn w:val="Nagwek"/>
    <w:uiPriority w:val="29"/>
    <w:qFormat/>
    <w:rsid w:val="007A74FC"/>
    <w:pPr>
      <w:tabs>
        <w:tab w:val="clear" w:pos="4536"/>
        <w:tab w:val="clear" w:pos="9072"/>
      </w:tabs>
      <w:jc w:val="center"/>
    </w:pPr>
    <w:rPr>
      <w:sz w:val="18"/>
    </w:rPr>
  </w:style>
  <w:style w:type="paragraph" w:customStyle="1" w:styleId="Gwkaistopka">
    <w:name w:val="Główka i stopka"/>
    <w:basedOn w:val="Normalny"/>
    <w:qFormat/>
  </w:style>
  <w:style w:type="paragraph" w:styleId="Tekstdymka">
    <w:name w:val="Balloon Text"/>
    <w:basedOn w:val="Normalny"/>
    <w:link w:val="TekstdymkaZnak"/>
    <w:uiPriority w:val="98"/>
    <w:semiHidden/>
    <w:qFormat/>
    <w:rsid w:val="007A74FC"/>
    <w:rPr>
      <w:rFonts w:ascii="Tahoma" w:hAnsi="Tahoma" w:cs="Tahoma"/>
      <w:sz w:val="16"/>
      <w:szCs w:val="16"/>
    </w:rPr>
  </w:style>
  <w:style w:type="paragraph" w:customStyle="1" w:styleId="NormalJustified">
    <w:name w:val="Normal_Justified"/>
    <w:basedOn w:val="Normalny"/>
    <w:semiHidden/>
    <w:qFormat/>
    <w:rsid w:val="007A74FC"/>
    <w:pPr>
      <w:jc w:val="both"/>
    </w:pPr>
  </w:style>
  <w:style w:type="paragraph" w:customStyle="1" w:styleId="JuQuot">
    <w:name w:val="Ju_Quot"/>
    <w:basedOn w:val="NormalJustified"/>
    <w:uiPriority w:val="20"/>
    <w:qFormat/>
    <w:rsid w:val="007A74FC"/>
    <w:pPr>
      <w:spacing w:before="120" w:after="120"/>
      <w:ind w:left="425" w:firstLine="142"/>
    </w:pPr>
    <w:rPr>
      <w:sz w:val="20"/>
    </w:rPr>
  </w:style>
  <w:style w:type="paragraph" w:customStyle="1" w:styleId="ECHRCoverTitle4">
    <w:name w:val="ECHR_Cover_Title_4"/>
    <w:basedOn w:val="JuPara"/>
    <w:next w:val="JuPara"/>
    <w:uiPriority w:val="38"/>
    <w:qFormat/>
    <w:rsid w:val="007A74FC"/>
    <w:pPr>
      <w:keepNext/>
      <w:keepLines/>
      <w:tabs>
        <w:tab w:val="right" w:pos="7938"/>
      </w:tabs>
      <w:ind w:firstLine="0"/>
      <w:jc w:val="center"/>
    </w:pPr>
    <w:rPr>
      <w:i/>
    </w:rPr>
  </w:style>
  <w:style w:type="paragraph" w:customStyle="1" w:styleId="JuHArticle">
    <w:name w:val="Ju_H_Article"/>
    <w:basedOn w:val="Normalny"/>
    <w:next w:val="JuQuot"/>
    <w:uiPriority w:val="19"/>
    <w:qFormat/>
    <w:rsid w:val="007A74FC"/>
    <w:pPr>
      <w:keepNext/>
      <w:spacing w:beforeAutospacing="1" w:after="120"/>
      <w:contextualSpacing/>
      <w:jc w:val="center"/>
    </w:pPr>
    <w:rPr>
      <w:b/>
      <w:sz w:val="20"/>
    </w:rPr>
  </w:style>
  <w:style w:type="paragraph" w:customStyle="1" w:styleId="JuHHead">
    <w:name w:val="Ju_H_Head"/>
    <w:basedOn w:val="Nagwek1"/>
    <w:next w:val="JuPara"/>
    <w:uiPriority w:val="17"/>
    <w:qFormat/>
    <w:rsid w:val="007A74FC"/>
    <w:pPr>
      <w:keepNext/>
      <w:keepLines/>
      <w:spacing w:beforeAutospacing="1" w:after="240"/>
      <w:jc w:val="both"/>
    </w:pPr>
    <w:rPr>
      <w:b w:val="0"/>
      <w:caps/>
      <w:color w:val="auto"/>
    </w:rPr>
  </w:style>
  <w:style w:type="paragraph" w:customStyle="1" w:styleId="JuInitialled">
    <w:name w:val="Ju_Initialled"/>
    <w:basedOn w:val="Normalny"/>
    <w:uiPriority w:val="30"/>
    <w:qFormat/>
    <w:rsid w:val="007A74FC"/>
    <w:pPr>
      <w:tabs>
        <w:tab w:val="center" w:pos="6407"/>
      </w:tabs>
      <w:spacing w:before="720"/>
      <w:jc w:val="right"/>
    </w:pPr>
  </w:style>
  <w:style w:type="paragraph" w:customStyle="1" w:styleId="JuCourt">
    <w:name w:val="Ju_Court"/>
    <w:basedOn w:val="Normalny"/>
    <w:next w:val="Normalny"/>
    <w:uiPriority w:val="32"/>
    <w:qFormat/>
    <w:rsid w:val="007A74FC"/>
    <w:pPr>
      <w:tabs>
        <w:tab w:val="left" w:pos="907"/>
        <w:tab w:val="left" w:pos="1701"/>
        <w:tab w:val="right" w:pos="7371"/>
      </w:tabs>
      <w:spacing w:before="240"/>
      <w:ind w:left="397" w:hanging="397"/>
    </w:pPr>
    <w:rPr>
      <w:lang w:bidi="en-US"/>
    </w:rPr>
  </w:style>
  <w:style w:type="paragraph" w:customStyle="1" w:styleId="JuHIRoman">
    <w:name w:val="Ju_H_I_Roman"/>
    <w:basedOn w:val="Nagwek2"/>
    <w:next w:val="JuPara"/>
    <w:uiPriority w:val="17"/>
    <w:qFormat/>
    <w:rsid w:val="007A74FC"/>
    <w:pPr>
      <w:keepNext/>
      <w:keepLines/>
      <w:tabs>
        <w:tab w:val="left" w:pos="454"/>
        <w:tab w:val="left" w:pos="567"/>
        <w:tab w:val="left" w:pos="680"/>
      </w:tabs>
      <w:spacing w:beforeAutospacing="1" w:after="240"/>
      <w:jc w:val="both"/>
    </w:pPr>
    <w:rPr>
      <w:b w:val="0"/>
      <w:caps/>
      <w:color w:val="auto"/>
      <w:sz w:val="24"/>
    </w:rPr>
  </w:style>
  <w:style w:type="paragraph" w:customStyle="1" w:styleId="JuHA">
    <w:name w:val="Ju_H_A"/>
    <w:basedOn w:val="Nagwek3"/>
    <w:next w:val="JuPara"/>
    <w:uiPriority w:val="17"/>
    <w:qFormat/>
    <w:rsid w:val="007A74FC"/>
    <w:pPr>
      <w:keepNext/>
      <w:keepLines/>
      <w:spacing w:beforeAutospacing="1" w:after="240" w:line="240" w:lineRule="auto"/>
      <w:jc w:val="both"/>
    </w:pPr>
    <w:rPr>
      <w:color w:val="auto"/>
      <w:sz w:val="24"/>
    </w:rPr>
  </w:style>
  <w:style w:type="paragraph" w:customStyle="1" w:styleId="JuH1">
    <w:name w:val="Ju_H_1."/>
    <w:basedOn w:val="Nagwek4"/>
    <w:next w:val="JuPara"/>
    <w:uiPriority w:val="17"/>
    <w:qFormat/>
    <w:rsid w:val="007A74FC"/>
    <w:pPr>
      <w:keepNext/>
      <w:keepLines/>
      <w:spacing w:beforeAutospacing="1" w:after="120"/>
      <w:jc w:val="both"/>
    </w:pPr>
    <w:rPr>
      <w:b w:val="0"/>
      <w:color w:val="auto"/>
      <w:sz w:val="24"/>
    </w:rPr>
  </w:style>
  <w:style w:type="paragraph" w:customStyle="1" w:styleId="JuHa0">
    <w:name w:val="Ju_H_a"/>
    <w:basedOn w:val="Nagwek5"/>
    <w:next w:val="JuPara"/>
    <w:uiPriority w:val="17"/>
    <w:qFormat/>
    <w:rsid w:val="007A74FC"/>
    <w:pPr>
      <w:keepNext/>
      <w:keepLines/>
      <w:spacing w:beforeAutospacing="1" w:after="120"/>
      <w:jc w:val="both"/>
    </w:pPr>
    <w:rPr>
      <w:color w:val="auto"/>
      <w:sz w:val="20"/>
    </w:rPr>
  </w:style>
  <w:style w:type="paragraph" w:customStyle="1" w:styleId="JuHi">
    <w:name w:val="Ju_H_i"/>
    <w:basedOn w:val="Nagwek6"/>
    <w:next w:val="JuPara"/>
    <w:uiPriority w:val="17"/>
    <w:qFormat/>
    <w:rsid w:val="007A74FC"/>
    <w:pPr>
      <w:keepNext/>
      <w:keepLines/>
      <w:tabs>
        <w:tab w:val="left" w:pos="1077"/>
        <w:tab w:val="left" w:pos="1134"/>
        <w:tab w:val="left" w:pos="1191"/>
        <w:tab w:val="left" w:pos="1247"/>
      </w:tabs>
      <w:spacing w:beforeAutospacing="1" w:after="120"/>
      <w:jc w:val="both"/>
    </w:pPr>
    <w:rPr>
      <w:b w:val="0"/>
      <w:color w:val="auto"/>
      <w:sz w:val="20"/>
    </w:rPr>
  </w:style>
  <w:style w:type="paragraph" w:customStyle="1" w:styleId="JuHalpha">
    <w:name w:val="Ju_H_alpha"/>
    <w:basedOn w:val="Nagwek7"/>
    <w:next w:val="JuPara"/>
    <w:uiPriority w:val="17"/>
    <w:qFormat/>
    <w:rsid w:val="007A74FC"/>
    <w:pPr>
      <w:keepNext/>
      <w:keepLines/>
      <w:tabs>
        <w:tab w:val="left" w:pos="1361"/>
      </w:tabs>
      <w:spacing w:beforeAutospacing="1" w:after="120"/>
      <w:jc w:val="both"/>
    </w:pPr>
    <w:rPr>
      <w:i w:val="0"/>
      <w:sz w:val="20"/>
    </w:rPr>
  </w:style>
  <w:style w:type="paragraph" w:customStyle="1" w:styleId="JuH">
    <w:name w:val="Ju_H_–"/>
    <w:basedOn w:val="Nagwek8"/>
    <w:next w:val="JuPara"/>
    <w:uiPriority w:val="17"/>
    <w:qFormat/>
    <w:rsid w:val="007A74FC"/>
    <w:pPr>
      <w:keepNext/>
      <w:keepLines/>
      <w:spacing w:beforeAutospacing="1" w:after="120"/>
      <w:jc w:val="both"/>
    </w:pPr>
    <w:rPr>
      <w:i/>
    </w:rPr>
  </w:style>
  <w:style w:type="paragraph" w:customStyle="1" w:styleId="JuParaLast">
    <w:name w:val="Ju_Para_Last"/>
    <w:basedOn w:val="NormalJustified"/>
    <w:uiPriority w:val="5"/>
    <w:qFormat/>
    <w:rsid w:val="007A74FC"/>
    <w:pPr>
      <w:keepNext/>
      <w:keepLines/>
      <w:spacing w:before="240" w:after="240"/>
      <w:ind w:firstLine="284"/>
    </w:pPr>
  </w:style>
  <w:style w:type="paragraph" w:customStyle="1" w:styleId="JuJudges">
    <w:name w:val="Ju_Judges"/>
    <w:basedOn w:val="Normalny"/>
    <w:uiPriority w:val="32"/>
    <w:qFormat/>
    <w:rsid w:val="007A74FC"/>
    <w:pPr>
      <w:tabs>
        <w:tab w:val="left" w:pos="567"/>
        <w:tab w:val="left" w:pos="1134"/>
      </w:tabs>
    </w:pPr>
  </w:style>
  <w:style w:type="paragraph" w:customStyle="1" w:styleId="JuList">
    <w:name w:val="Ju_List"/>
    <w:basedOn w:val="NormalJustified"/>
    <w:uiPriority w:val="23"/>
    <w:qFormat/>
    <w:rsid w:val="007A74FC"/>
    <w:pPr>
      <w:spacing w:before="280" w:after="60"/>
    </w:pPr>
  </w:style>
  <w:style w:type="paragraph" w:customStyle="1" w:styleId="JuLista">
    <w:name w:val="Ju_List_a"/>
    <w:basedOn w:val="NormalJustified"/>
    <w:uiPriority w:val="23"/>
    <w:qFormat/>
    <w:rsid w:val="007A74FC"/>
  </w:style>
  <w:style w:type="paragraph" w:customStyle="1" w:styleId="JuListi">
    <w:name w:val="Ju_List_i"/>
    <w:basedOn w:val="NormalJustified"/>
    <w:uiPriority w:val="23"/>
    <w:qFormat/>
    <w:rsid w:val="007A74FC"/>
  </w:style>
  <w:style w:type="paragraph" w:styleId="Tytu">
    <w:name w:val="Title"/>
    <w:basedOn w:val="Normalny"/>
    <w:next w:val="Normalny"/>
    <w:link w:val="TytuZnak"/>
    <w:uiPriority w:val="98"/>
    <w:semiHidden/>
    <w:qFormat/>
    <w:rsid w:val="007A74FC"/>
    <w:pPr>
      <w:pBdr>
        <w:bottom w:val="single" w:sz="4" w:space="1" w:color="000000"/>
      </w:pBdr>
      <w:contextualSpacing/>
    </w:pPr>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8"/>
    <w:semiHidden/>
    <w:qFormat/>
    <w:rsid w:val="007A74FC"/>
    <w:pPr>
      <w:spacing w:after="600"/>
    </w:pPr>
    <w:rPr>
      <w:rFonts w:asciiTheme="majorHAnsi" w:eastAsiaTheme="majorEastAsia" w:hAnsiTheme="majorHAnsi" w:cstheme="majorBidi"/>
      <w:i/>
      <w:iCs/>
      <w:spacing w:val="13"/>
      <w:lang w:bidi="en-US"/>
    </w:rPr>
  </w:style>
  <w:style w:type="paragraph" w:styleId="Bezodstpw">
    <w:name w:val="No Spacing"/>
    <w:basedOn w:val="Normalny"/>
    <w:link w:val="BezodstpwZnak"/>
    <w:uiPriority w:val="98"/>
    <w:semiHidden/>
    <w:qFormat/>
    <w:rsid w:val="007A74FC"/>
  </w:style>
  <w:style w:type="paragraph" w:styleId="Akapitzlist">
    <w:name w:val="List Paragraph"/>
    <w:basedOn w:val="Normalny"/>
    <w:uiPriority w:val="98"/>
    <w:semiHidden/>
    <w:qFormat/>
    <w:rsid w:val="007A74FC"/>
    <w:pPr>
      <w:ind w:left="720"/>
      <w:contextualSpacing/>
    </w:pPr>
  </w:style>
  <w:style w:type="paragraph" w:styleId="Cytat">
    <w:name w:val="Quote"/>
    <w:basedOn w:val="Normalny"/>
    <w:next w:val="Normalny"/>
    <w:link w:val="CytatZnak"/>
    <w:uiPriority w:val="98"/>
    <w:semiHidden/>
    <w:qFormat/>
    <w:rsid w:val="007A74FC"/>
    <w:pPr>
      <w:spacing w:before="200"/>
      <w:ind w:left="360" w:right="360"/>
    </w:pPr>
    <w:rPr>
      <w:i/>
      <w:iCs/>
      <w:lang w:bidi="en-US"/>
    </w:rPr>
  </w:style>
  <w:style w:type="paragraph" w:styleId="Cytatintensywny">
    <w:name w:val="Intense Quote"/>
    <w:basedOn w:val="Normalny"/>
    <w:next w:val="Normalny"/>
    <w:link w:val="CytatintensywnyZnak"/>
    <w:uiPriority w:val="98"/>
    <w:semiHidden/>
    <w:qFormat/>
    <w:rsid w:val="007A74FC"/>
    <w:pPr>
      <w:pBdr>
        <w:bottom w:val="single" w:sz="4" w:space="1" w:color="000000"/>
      </w:pBdr>
      <w:spacing w:before="200" w:after="280"/>
      <w:ind w:left="1008" w:right="1152"/>
    </w:pPr>
    <w:rPr>
      <w:b/>
      <w:bCs/>
      <w:i/>
      <w:iCs/>
      <w:lang w:bidi="en-US"/>
    </w:rPr>
  </w:style>
  <w:style w:type="paragraph" w:styleId="Nagwekspisutreci">
    <w:name w:val="TOC Heading"/>
    <w:basedOn w:val="Normalny"/>
    <w:next w:val="Normalny"/>
    <w:uiPriority w:val="98"/>
    <w:semiHidden/>
    <w:qFormat/>
    <w:rsid w:val="007A74FC"/>
    <w:pPr>
      <w:keepNext/>
      <w:keepLines/>
      <w:spacing w:before="240"/>
      <w:contextualSpacing/>
      <w:jc w:val="center"/>
    </w:pPr>
    <w:rPr>
      <w:rFonts w:asciiTheme="majorHAnsi" w:hAnsiTheme="majorHAnsi"/>
      <w:b/>
      <w:color w:val="474747" w:themeColor="accent3" w:themeShade="BF"/>
      <w:sz w:val="28"/>
    </w:rPr>
  </w:style>
  <w:style w:type="paragraph" w:styleId="Bibliografia">
    <w:name w:val="Bibliography"/>
    <w:basedOn w:val="Normalny"/>
    <w:next w:val="Normalny"/>
    <w:uiPriority w:val="98"/>
    <w:semiHidden/>
    <w:qFormat/>
    <w:rsid w:val="007A74FC"/>
  </w:style>
  <w:style w:type="paragraph" w:styleId="Tekstblokowy">
    <w:name w:val="Block Text"/>
    <w:basedOn w:val="Normalny"/>
    <w:uiPriority w:val="98"/>
    <w:semiHidden/>
    <w:qFormat/>
    <w:rsid w:val="007A74FC"/>
    <w:pPr>
      <w:pBdr>
        <w:top w:val="single" w:sz="2" w:space="10" w:color="0072BC" w:shadow="1"/>
        <w:left w:val="single" w:sz="2" w:space="10" w:color="0072BC" w:shadow="1"/>
        <w:bottom w:val="single" w:sz="2" w:space="10" w:color="0072BC" w:shadow="1"/>
        <w:right w:val="single" w:sz="2" w:space="10" w:color="0072BC" w:shadow="1"/>
      </w:pBdr>
      <w:ind w:left="1152" w:right="1152"/>
    </w:pPr>
    <w:rPr>
      <w:i/>
      <w:iCs/>
      <w:color w:val="0072BC" w:themeColor="accent1"/>
    </w:rPr>
  </w:style>
  <w:style w:type="paragraph" w:styleId="Tekstpodstawowy2">
    <w:name w:val="Body Text 2"/>
    <w:basedOn w:val="Normalny"/>
    <w:link w:val="Tekstpodstawowy2Znak"/>
    <w:uiPriority w:val="98"/>
    <w:semiHidden/>
    <w:qFormat/>
    <w:rsid w:val="007A74FC"/>
    <w:pPr>
      <w:spacing w:after="120" w:line="480" w:lineRule="auto"/>
    </w:pPr>
  </w:style>
  <w:style w:type="paragraph" w:styleId="Tekstpodstawowy3">
    <w:name w:val="Body Text 3"/>
    <w:basedOn w:val="Normalny"/>
    <w:link w:val="Tekstpodstawowy3Znak"/>
    <w:uiPriority w:val="98"/>
    <w:semiHidden/>
    <w:qFormat/>
    <w:rsid w:val="007A74FC"/>
    <w:pPr>
      <w:spacing w:after="120"/>
    </w:pPr>
    <w:rPr>
      <w:sz w:val="16"/>
      <w:szCs w:val="16"/>
    </w:rPr>
  </w:style>
  <w:style w:type="paragraph" w:styleId="Tekstpodstawowywcity">
    <w:name w:val="Body Text Indent"/>
    <w:basedOn w:val="Normalny"/>
    <w:link w:val="TekstpodstawowywcityZnak"/>
    <w:uiPriority w:val="98"/>
    <w:semiHidden/>
    <w:rsid w:val="007A74FC"/>
    <w:pPr>
      <w:spacing w:after="120"/>
      <w:ind w:left="283"/>
    </w:pPr>
  </w:style>
  <w:style w:type="paragraph" w:styleId="Tekstpodstawowyzwciciem2">
    <w:name w:val="Body Text First Indent 2"/>
    <w:basedOn w:val="Tekstpodstawowywcity"/>
    <w:link w:val="Tekstpodstawowyzwciciem2Znak"/>
    <w:uiPriority w:val="98"/>
    <w:semiHidden/>
    <w:qFormat/>
    <w:rsid w:val="007A74FC"/>
    <w:pPr>
      <w:spacing w:after="0"/>
      <w:ind w:left="360" w:firstLine="360"/>
    </w:pPr>
  </w:style>
  <w:style w:type="paragraph" w:styleId="Tekstpodstawowywcity2">
    <w:name w:val="Body Text Indent 2"/>
    <w:basedOn w:val="Normalny"/>
    <w:link w:val="Tekstpodstawowywcity2Znak"/>
    <w:uiPriority w:val="98"/>
    <w:semiHidden/>
    <w:qFormat/>
    <w:rsid w:val="007A74FC"/>
    <w:pPr>
      <w:spacing w:after="120" w:line="480" w:lineRule="auto"/>
      <w:ind w:left="283"/>
    </w:pPr>
  </w:style>
  <w:style w:type="paragraph" w:styleId="Tekstpodstawowywcity3">
    <w:name w:val="Body Text Indent 3"/>
    <w:basedOn w:val="Normalny"/>
    <w:link w:val="Tekstpodstawowywcity3Znak"/>
    <w:uiPriority w:val="98"/>
    <w:semiHidden/>
    <w:qFormat/>
    <w:rsid w:val="007A74FC"/>
    <w:pPr>
      <w:spacing w:after="120"/>
      <w:ind w:left="283"/>
    </w:pPr>
    <w:rPr>
      <w:sz w:val="16"/>
      <w:szCs w:val="16"/>
    </w:rPr>
  </w:style>
  <w:style w:type="paragraph" w:styleId="Zwrotpoegnalny">
    <w:name w:val="Closing"/>
    <w:basedOn w:val="Normalny"/>
    <w:link w:val="ZwrotpoegnalnyZnak"/>
    <w:uiPriority w:val="98"/>
    <w:semiHidden/>
    <w:qFormat/>
    <w:rsid w:val="007A74FC"/>
    <w:pPr>
      <w:ind w:left="4252"/>
    </w:pPr>
  </w:style>
  <w:style w:type="paragraph" w:styleId="Tematkomentarza">
    <w:name w:val="annotation subject"/>
    <w:basedOn w:val="Tekstkomentarza"/>
    <w:next w:val="Tekstkomentarza"/>
    <w:link w:val="TematkomentarzaZnak"/>
    <w:uiPriority w:val="98"/>
    <w:semiHidden/>
    <w:qFormat/>
    <w:rsid w:val="007A74FC"/>
    <w:rPr>
      <w:b/>
      <w:bCs/>
    </w:rPr>
  </w:style>
  <w:style w:type="paragraph" w:styleId="Data">
    <w:name w:val="Date"/>
    <w:basedOn w:val="Normalny"/>
    <w:next w:val="Normalny"/>
    <w:link w:val="DataZnak"/>
    <w:uiPriority w:val="98"/>
    <w:semiHidden/>
    <w:qFormat/>
    <w:rsid w:val="007A74FC"/>
  </w:style>
  <w:style w:type="paragraph" w:styleId="Mapadokumentu">
    <w:name w:val="Document Map"/>
    <w:basedOn w:val="Normalny"/>
    <w:link w:val="MapadokumentuZnak"/>
    <w:uiPriority w:val="98"/>
    <w:semiHidden/>
    <w:qFormat/>
    <w:rsid w:val="007A74FC"/>
    <w:rPr>
      <w:rFonts w:ascii="Tahoma" w:hAnsi="Tahoma" w:cs="Tahoma"/>
      <w:sz w:val="16"/>
      <w:szCs w:val="16"/>
    </w:rPr>
  </w:style>
  <w:style w:type="paragraph" w:styleId="Podpise-mail">
    <w:name w:val="E-mail Signature"/>
    <w:basedOn w:val="Normalny"/>
    <w:uiPriority w:val="98"/>
    <w:semiHidden/>
    <w:qFormat/>
    <w:rsid w:val="007A74FC"/>
  </w:style>
  <w:style w:type="paragraph" w:styleId="Tekstprzypisukocowego">
    <w:name w:val="endnote text"/>
    <w:basedOn w:val="Normalny"/>
    <w:link w:val="TekstprzypisukocowegoZnak"/>
    <w:uiPriority w:val="98"/>
    <w:semiHidden/>
    <w:rsid w:val="007A74FC"/>
    <w:rPr>
      <w:sz w:val="20"/>
      <w:szCs w:val="20"/>
    </w:rPr>
  </w:style>
  <w:style w:type="paragraph" w:styleId="Adresnakopercie">
    <w:name w:val="envelope address"/>
    <w:basedOn w:val="Normalny"/>
    <w:uiPriority w:val="98"/>
    <w:semiHidden/>
    <w:qFormat/>
    <w:rsid w:val="007A74FC"/>
    <w:pPr>
      <w:ind w:left="2835"/>
    </w:pPr>
    <w:rPr>
      <w:rFonts w:asciiTheme="majorHAnsi" w:eastAsiaTheme="majorEastAsia" w:hAnsiTheme="majorHAnsi" w:cstheme="majorBidi"/>
    </w:rPr>
  </w:style>
  <w:style w:type="paragraph" w:styleId="Adreszwrotnynakopercie">
    <w:name w:val="envelope return"/>
    <w:basedOn w:val="Normalny"/>
    <w:uiPriority w:val="98"/>
    <w:semiHidden/>
    <w:qFormat/>
    <w:rsid w:val="007A74FC"/>
    <w:rPr>
      <w:rFonts w:asciiTheme="majorHAnsi" w:eastAsiaTheme="majorEastAsia" w:hAnsiTheme="majorHAnsi" w:cstheme="majorBidi"/>
      <w:sz w:val="20"/>
      <w:szCs w:val="20"/>
    </w:rPr>
  </w:style>
  <w:style w:type="paragraph" w:styleId="Tekstprzypisudolnego">
    <w:name w:val="footnote text"/>
    <w:basedOn w:val="Normalny"/>
    <w:link w:val="TekstprzypisudolnegoZnak"/>
    <w:uiPriority w:val="98"/>
    <w:semiHidden/>
    <w:rsid w:val="007A74FC"/>
    <w:rPr>
      <w:sz w:val="20"/>
      <w:szCs w:val="20"/>
    </w:rPr>
  </w:style>
  <w:style w:type="paragraph" w:styleId="HTML-adres">
    <w:name w:val="HTML Address"/>
    <w:basedOn w:val="Normalny"/>
    <w:uiPriority w:val="98"/>
    <w:semiHidden/>
    <w:qFormat/>
    <w:rsid w:val="007A74FC"/>
    <w:rPr>
      <w:i/>
      <w:iCs/>
    </w:rPr>
  </w:style>
  <w:style w:type="paragraph" w:styleId="HTML-wstpniesformatowany">
    <w:name w:val="HTML Preformatted"/>
    <w:basedOn w:val="Normalny"/>
    <w:uiPriority w:val="98"/>
    <w:semiHidden/>
    <w:qFormat/>
    <w:rsid w:val="007A74FC"/>
    <w:rPr>
      <w:rFonts w:ascii="Consolas" w:hAnsi="Consolas" w:cs="Consolas"/>
      <w:sz w:val="20"/>
      <w:szCs w:val="20"/>
    </w:rPr>
  </w:style>
  <w:style w:type="paragraph" w:styleId="Indeks1">
    <w:name w:val="index 1"/>
    <w:basedOn w:val="Normalny"/>
    <w:next w:val="Normalny"/>
    <w:autoRedefine/>
    <w:uiPriority w:val="98"/>
    <w:semiHidden/>
    <w:qFormat/>
    <w:rsid w:val="007A74FC"/>
    <w:pPr>
      <w:ind w:left="240" w:hanging="240"/>
    </w:pPr>
  </w:style>
  <w:style w:type="paragraph" w:styleId="Indeks2">
    <w:name w:val="index 2"/>
    <w:basedOn w:val="Normalny"/>
    <w:next w:val="Normalny"/>
    <w:autoRedefine/>
    <w:uiPriority w:val="98"/>
    <w:semiHidden/>
    <w:qFormat/>
    <w:rsid w:val="007A74FC"/>
    <w:pPr>
      <w:ind w:left="480" w:hanging="240"/>
    </w:pPr>
  </w:style>
  <w:style w:type="paragraph" w:styleId="Indeks3">
    <w:name w:val="index 3"/>
    <w:basedOn w:val="Normalny"/>
    <w:next w:val="Normalny"/>
    <w:autoRedefine/>
    <w:uiPriority w:val="98"/>
    <w:semiHidden/>
    <w:qFormat/>
    <w:rsid w:val="007A74FC"/>
    <w:pPr>
      <w:ind w:left="720" w:hanging="240"/>
    </w:pPr>
  </w:style>
  <w:style w:type="paragraph" w:styleId="Indeks4">
    <w:name w:val="index 4"/>
    <w:basedOn w:val="Normalny"/>
    <w:next w:val="Normalny"/>
    <w:autoRedefine/>
    <w:uiPriority w:val="98"/>
    <w:semiHidden/>
    <w:qFormat/>
    <w:rsid w:val="007A74FC"/>
    <w:pPr>
      <w:ind w:left="960" w:hanging="240"/>
    </w:pPr>
  </w:style>
  <w:style w:type="paragraph" w:styleId="Indeks5">
    <w:name w:val="index 5"/>
    <w:basedOn w:val="Normalny"/>
    <w:next w:val="Normalny"/>
    <w:autoRedefine/>
    <w:uiPriority w:val="98"/>
    <w:semiHidden/>
    <w:qFormat/>
    <w:rsid w:val="007A74FC"/>
    <w:pPr>
      <w:ind w:left="1200" w:hanging="240"/>
    </w:pPr>
  </w:style>
  <w:style w:type="paragraph" w:styleId="Indeks6">
    <w:name w:val="index 6"/>
    <w:basedOn w:val="Normalny"/>
    <w:next w:val="Normalny"/>
    <w:autoRedefine/>
    <w:uiPriority w:val="98"/>
    <w:semiHidden/>
    <w:qFormat/>
    <w:rsid w:val="007A74FC"/>
    <w:pPr>
      <w:ind w:left="1440" w:hanging="240"/>
    </w:pPr>
  </w:style>
  <w:style w:type="paragraph" w:styleId="Indeks7">
    <w:name w:val="index 7"/>
    <w:basedOn w:val="Normalny"/>
    <w:next w:val="Normalny"/>
    <w:autoRedefine/>
    <w:uiPriority w:val="98"/>
    <w:semiHidden/>
    <w:qFormat/>
    <w:rsid w:val="007A74FC"/>
    <w:pPr>
      <w:ind w:left="1680" w:hanging="240"/>
    </w:pPr>
  </w:style>
  <w:style w:type="paragraph" w:styleId="Indeks8">
    <w:name w:val="index 8"/>
    <w:basedOn w:val="Normalny"/>
    <w:next w:val="Normalny"/>
    <w:autoRedefine/>
    <w:uiPriority w:val="98"/>
    <w:semiHidden/>
    <w:qFormat/>
    <w:rsid w:val="007A74FC"/>
    <w:pPr>
      <w:ind w:left="1920" w:hanging="240"/>
    </w:pPr>
  </w:style>
  <w:style w:type="paragraph" w:styleId="Indeks9">
    <w:name w:val="index 9"/>
    <w:basedOn w:val="Normalny"/>
    <w:next w:val="Normalny"/>
    <w:autoRedefine/>
    <w:uiPriority w:val="98"/>
    <w:semiHidden/>
    <w:qFormat/>
    <w:rsid w:val="007A74FC"/>
    <w:pPr>
      <w:ind w:left="2160" w:hanging="240"/>
    </w:pPr>
  </w:style>
  <w:style w:type="paragraph" w:styleId="Nagwekindeksu">
    <w:name w:val="index heading"/>
    <w:basedOn w:val="Normalny"/>
    <w:next w:val="Indeks1"/>
    <w:uiPriority w:val="98"/>
    <w:semiHidden/>
    <w:qFormat/>
    <w:rsid w:val="007A74FC"/>
    <w:rPr>
      <w:rFonts w:asciiTheme="majorHAnsi" w:eastAsiaTheme="majorEastAsia" w:hAnsiTheme="majorHAnsi" w:cstheme="majorBidi"/>
      <w:b/>
      <w:bCs/>
    </w:rPr>
  </w:style>
  <w:style w:type="paragraph" w:styleId="Listapunktowana3">
    <w:name w:val="List Bullet 3"/>
    <w:basedOn w:val="Normalny"/>
    <w:uiPriority w:val="98"/>
    <w:semiHidden/>
    <w:qFormat/>
    <w:rsid w:val="007A74FC"/>
    <w:pPr>
      <w:contextualSpacing/>
    </w:pPr>
  </w:style>
  <w:style w:type="paragraph" w:styleId="Listapunktowana4">
    <w:name w:val="List Bullet 4"/>
    <w:basedOn w:val="Normalny"/>
    <w:uiPriority w:val="98"/>
    <w:semiHidden/>
    <w:qFormat/>
    <w:rsid w:val="007A74FC"/>
    <w:pPr>
      <w:contextualSpacing/>
    </w:pPr>
  </w:style>
  <w:style w:type="paragraph" w:styleId="Listapunktowana5">
    <w:name w:val="List Bullet 5"/>
    <w:basedOn w:val="Normalny"/>
    <w:uiPriority w:val="98"/>
    <w:semiHidden/>
    <w:qFormat/>
    <w:rsid w:val="007A74FC"/>
    <w:pPr>
      <w:contextualSpacing/>
    </w:pPr>
  </w:style>
  <w:style w:type="paragraph" w:styleId="Listanumerowana">
    <w:name w:val="List Number"/>
    <w:basedOn w:val="Normalny"/>
    <w:uiPriority w:val="98"/>
    <w:semiHidden/>
    <w:qFormat/>
    <w:rsid w:val="007A74FC"/>
    <w:pPr>
      <w:contextualSpacing/>
    </w:pPr>
  </w:style>
  <w:style w:type="paragraph" w:styleId="Listapunktowana">
    <w:name w:val="List Bullet"/>
    <w:basedOn w:val="Normalny"/>
    <w:uiPriority w:val="98"/>
    <w:semiHidden/>
    <w:qFormat/>
    <w:rsid w:val="007A74FC"/>
  </w:style>
  <w:style w:type="paragraph" w:styleId="Listapunktowana2">
    <w:name w:val="List Bullet 2"/>
    <w:basedOn w:val="Normalny"/>
    <w:uiPriority w:val="98"/>
    <w:semiHidden/>
    <w:qFormat/>
    <w:rsid w:val="007A74FC"/>
    <w:pPr>
      <w:contextualSpacing/>
    </w:pPr>
  </w:style>
  <w:style w:type="paragraph" w:styleId="Lista-kontynuacja">
    <w:name w:val="List Continue"/>
    <w:basedOn w:val="Normalny"/>
    <w:uiPriority w:val="98"/>
    <w:semiHidden/>
    <w:qFormat/>
    <w:rsid w:val="007A74FC"/>
    <w:pPr>
      <w:spacing w:after="120"/>
      <w:ind w:left="283"/>
      <w:contextualSpacing/>
    </w:pPr>
  </w:style>
  <w:style w:type="paragraph" w:styleId="Lista-kontynuacja2">
    <w:name w:val="List Continue 2"/>
    <w:basedOn w:val="Normalny"/>
    <w:uiPriority w:val="98"/>
    <w:semiHidden/>
    <w:qFormat/>
    <w:rsid w:val="007A74FC"/>
    <w:pPr>
      <w:spacing w:after="120"/>
      <w:ind w:left="566"/>
      <w:contextualSpacing/>
    </w:pPr>
  </w:style>
  <w:style w:type="paragraph" w:styleId="Lista-kontynuacja3">
    <w:name w:val="List Continue 3"/>
    <w:basedOn w:val="Normalny"/>
    <w:uiPriority w:val="98"/>
    <w:semiHidden/>
    <w:qFormat/>
    <w:rsid w:val="007A74FC"/>
    <w:pPr>
      <w:spacing w:after="120"/>
      <w:ind w:left="849"/>
      <w:contextualSpacing/>
    </w:pPr>
  </w:style>
  <w:style w:type="paragraph" w:styleId="Lista-kontynuacja4">
    <w:name w:val="List Continue 4"/>
    <w:basedOn w:val="Normalny"/>
    <w:uiPriority w:val="98"/>
    <w:semiHidden/>
    <w:qFormat/>
    <w:rsid w:val="007A74FC"/>
    <w:pPr>
      <w:spacing w:after="120"/>
      <w:ind w:left="1132"/>
      <w:contextualSpacing/>
    </w:pPr>
  </w:style>
  <w:style w:type="paragraph" w:styleId="Lista-kontynuacja5">
    <w:name w:val="List Continue 5"/>
    <w:basedOn w:val="Normalny"/>
    <w:uiPriority w:val="98"/>
    <w:semiHidden/>
    <w:qFormat/>
    <w:rsid w:val="007A74FC"/>
    <w:pPr>
      <w:spacing w:after="120"/>
      <w:ind w:left="1415"/>
      <w:contextualSpacing/>
    </w:pPr>
  </w:style>
  <w:style w:type="paragraph" w:styleId="Listanumerowana2">
    <w:name w:val="List Number 2"/>
    <w:basedOn w:val="Normalny"/>
    <w:uiPriority w:val="98"/>
    <w:semiHidden/>
    <w:qFormat/>
    <w:rsid w:val="007A74FC"/>
    <w:pPr>
      <w:contextualSpacing/>
    </w:pPr>
  </w:style>
  <w:style w:type="paragraph" w:styleId="Listanumerowana3">
    <w:name w:val="List Number 3"/>
    <w:basedOn w:val="Normalny"/>
    <w:uiPriority w:val="98"/>
    <w:semiHidden/>
    <w:qFormat/>
    <w:rsid w:val="007A74FC"/>
    <w:pPr>
      <w:contextualSpacing/>
    </w:pPr>
  </w:style>
  <w:style w:type="paragraph" w:styleId="Listanumerowana4">
    <w:name w:val="List Number 4"/>
    <w:basedOn w:val="Normalny"/>
    <w:uiPriority w:val="98"/>
    <w:semiHidden/>
    <w:qFormat/>
    <w:rsid w:val="007A74FC"/>
    <w:pPr>
      <w:contextualSpacing/>
    </w:pPr>
  </w:style>
  <w:style w:type="paragraph" w:styleId="Listanumerowana5">
    <w:name w:val="List Number 5"/>
    <w:basedOn w:val="Normalny"/>
    <w:uiPriority w:val="98"/>
    <w:semiHidden/>
    <w:qFormat/>
    <w:rsid w:val="007A74FC"/>
    <w:pPr>
      <w:contextualSpacing/>
    </w:pPr>
  </w:style>
  <w:style w:type="paragraph" w:styleId="Tekstmakra">
    <w:name w:val="macro"/>
    <w:link w:val="TekstmakraZnak"/>
    <w:uiPriority w:val="98"/>
    <w:semiHidden/>
    <w:qFormat/>
    <w:rsid w:val="007A74F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Cs w:val="20"/>
    </w:rPr>
  </w:style>
  <w:style w:type="paragraph" w:styleId="Nagwekwiadomoci">
    <w:name w:val="Message Header"/>
    <w:basedOn w:val="Normalny"/>
    <w:link w:val="NagwekwiadomociZnak"/>
    <w:uiPriority w:val="98"/>
    <w:semiHidden/>
    <w:qFormat/>
    <w:rsid w:val="007A74FC"/>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Theme="majorHAnsi" w:eastAsiaTheme="majorEastAsia" w:hAnsiTheme="majorHAnsi" w:cstheme="majorBidi"/>
    </w:rPr>
  </w:style>
  <w:style w:type="paragraph" w:styleId="NormalnyWeb">
    <w:name w:val="Normal (Web)"/>
    <w:basedOn w:val="Normalny"/>
    <w:uiPriority w:val="98"/>
    <w:semiHidden/>
    <w:qFormat/>
    <w:rsid w:val="007A74FC"/>
    <w:rPr>
      <w:rFonts w:ascii="Times New Roman" w:hAnsi="Times New Roman" w:cs="Times New Roman"/>
    </w:rPr>
  </w:style>
  <w:style w:type="paragraph" w:styleId="Wcicienormalne">
    <w:name w:val="Normal Indent"/>
    <w:basedOn w:val="Normalny"/>
    <w:uiPriority w:val="98"/>
    <w:semiHidden/>
    <w:qFormat/>
    <w:rsid w:val="007A74FC"/>
    <w:pPr>
      <w:ind w:left="720"/>
    </w:pPr>
  </w:style>
  <w:style w:type="paragraph" w:styleId="Zwykytekst">
    <w:name w:val="Plain Text"/>
    <w:basedOn w:val="Normalny"/>
    <w:link w:val="ZwykytekstZnak"/>
    <w:uiPriority w:val="98"/>
    <w:semiHidden/>
    <w:qFormat/>
    <w:rsid w:val="007A74FC"/>
    <w:rPr>
      <w:rFonts w:ascii="Consolas" w:hAnsi="Consolas" w:cs="Consolas"/>
      <w:sz w:val="21"/>
      <w:szCs w:val="21"/>
    </w:rPr>
  </w:style>
  <w:style w:type="paragraph" w:styleId="Zwrotgrzecznociowy">
    <w:name w:val="Salutation"/>
    <w:basedOn w:val="Normalny"/>
    <w:next w:val="Normalny"/>
    <w:link w:val="ZwrotgrzecznociowyZnak"/>
    <w:uiPriority w:val="98"/>
    <w:semiHidden/>
    <w:rsid w:val="007A74FC"/>
  </w:style>
  <w:style w:type="paragraph" w:styleId="Podpis">
    <w:name w:val="Signature"/>
    <w:basedOn w:val="Normalny"/>
    <w:uiPriority w:val="98"/>
    <w:semiHidden/>
    <w:rsid w:val="007A74FC"/>
    <w:pPr>
      <w:ind w:left="4252"/>
    </w:pPr>
  </w:style>
  <w:style w:type="paragraph" w:styleId="Wykazrde">
    <w:name w:val="table of authorities"/>
    <w:basedOn w:val="Normalny"/>
    <w:next w:val="Normalny"/>
    <w:uiPriority w:val="98"/>
    <w:semiHidden/>
    <w:qFormat/>
    <w:rsid w:val="007A74FC"/>
    <w:pPr>
      <w:ind w:left="240" w:hanging="240"/>
    </w:pPr>
  </w:style>
  <w:style w:type="paragraph" w:styleId="Spisilustracji">
    <w:name w:val="table of figures"/>
    <w:basedOn w:val="Normalny"/>
    <w:next w:val="Normalny"/>
    <w:uiPriority w:val="98"/>
    <w:semiHidden/>
    <w:qFormat/>
    <w:rsid w:val="007A74FC"/>
  </w:style>
  <w:style w:type="paragraph" w:styleId="Nagwekwykazurde">
    <w:name w:val="toa heading"/>
    <w:basedOn w:val="Normalny"/>
    <w:next w:val="Normalny"/>
    <w:uiPriority w:val="98"/>
    <w:semiHidden/>
    <w:qFormat/>
    <w:rsid w:val="007A74F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pistreci1">
    <w:name w:val="toc 1"/>
    <w:basedOn w:val="Normalny"/>
    <w:next w:val="Normalny"/>
    <w:autoRedefine/>
    <w:uiPriority w:val="98"/>
    <w:semiHidden/>
    <w:rsid w:val="007A74F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A74F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A74F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A74F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A74FC"/>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8"/>
    <w:semiHidden/>
    <w:rsid w:val="007A74F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A74F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A74FC"/>
    <w:pPr>
      <w:spacing w:after="100"/>
      <w:ind w:left="1680"/>
    </w:pPr>
  </w:style>
  <w:style w:type="paragraph" w:styleId="Spistreci9">
    <w:name w:val="toc 9"/>
    <w:basedOn w:val="Normalny"/>
    <w:next w:val="Normalny"/>
    <w:autoRedefine/>
    <w:uiPriority w:val="98"/>
    <w:semiHidden/>
    <w:rsid w:val="007A74FC"/>
    <w:pPr>
      <w:spacing w:after="100"/>
      <w:ind w:left="1920"/>
    </w:pPr>
  </w:style>
  <w:style w:type="paragraph" w:customStyle="1" w:styleId="ECHRFooter">
    <w:name w:val="ECHR_Footer"/>
    <w:basedOn w:val="Stopka"/>
    <w:uiPriority w:val="57"/>
    <w:semiHidden/>
    <w:qFormat/>
    <w:rsid w:val="00987A64"/>
    <w:rPr>
      <w:sz w:val="8"/>
    </w:rPr>
  </w:style>
  <w:style w:type="paragraph" w:styleId="Stopka">
    <w:name w:val="footer"/>
    <w:basedOn w:val="Normalny"/>
    <w:link w:val="StopkaZnak"/>
    <w:uiPriority w:val="98"/>
    <w:semiHidden/>
    <w:rsid w:val="007A74FC"/>
    <w:pPr>
      <w:tabs>
        <w:tab w:val="center" w:pos="3686"/>
        <w:tab w:val="right" w:pos="7371"/>
      </w:tabs>
    </w:pPr>
  </w:style>
  <w:style w:type="paragraph" w:customStyle="1" w:styleId="Footer">
    <w:name w:val="_Footer"/>
    <w:basedOn w:val="Stopka"/>
    <w:uiPriority w:val="57"/>
    <w:semiHidden/>
    <w:qFormat/>
    <w:rsid w:val="000D61E7"/>
    <w:rPr>
      <w:sz w:val="8"/>
    </w:rPr>
  </w:style>
  <w:style w:type="paragraph" w:customStyle="1" w:styleId="ECHRFooterLine">
    <w:name w:val="ECHR_Footer_Line"/>
    <w:basedOn w:val="Normalny"/>
    <w:next w:val="Normalny"/>
    <w:uiPriority w:val="30"/>
    <w:semiHidden/>
    <w:qFormat/>
    <w:rsid w:val="007A74FC"/>
    <w:pPr>
      <w:pBdr>
        <w:top w:val="single" w:sz="6" w:space="1" w:color="5F5F5F"/>
      </w:pBdr>
      <w:tabs>
        <w:tab w:val="center" w:pos="3686"/>
        <w:tab w:val="right" w:pos="7371"/>
      </w:tabs>
      <w:ind w:left="-1474" w:right="-1474"/>
    </w:pPr>
    <w:rPr>
      <w:color w:val="5F5F5F"/>
    </w:rPr>
  </w:style>
  <w:style w:type="paragraph" w:customStyle="1" w:styleId="JuCase">
    <w:name w:val="Ju_Case"/>
    <w:basedOn w:val="Normalny"/>
    <w:next w:val="JuPara"/>
    <w:uiPriority w:val="32"/>
    <w:qFormat/>
    <w:rsid w:val="007A74FC"/>
    <w:pPr>
      <w:ind w:firstLine="284"/>
    </w:pPr>
    <w:rPr>
      <w:b/>
    </w:rPr>
  </w:style>
  <w:style w:type="paragraph" w:styleId="Nagweknotatki">
    <w:name w:val="Note Heading"/>
    <w:basedOn w:val="Normalny"/>
    <w:next w:val="Normalny"/>
    <w:link w:val="NagweknotatkiZnak"/>
    <w:uiPriority w:val="98"/>
    <w:semiHidden/>
    <w:qFormat/>
    <w:rsid w:val="007A74FC"/>
  </w:style>
  <w:style w:type="paragraph" w:customStyle="1" w:styleId="ECHRHeaderLandscape">
    <w:name w:val="ECHR_Header_Landscape"/>
    <w:basedOn w:val="JuHeader"/>
    <w:uiPriority w:val="29"/>
    <w:semiHidden/>
    <w:qFormat/>
    <w:rsid w:val="007A74FC"/>
    <w:pPr>
      <w:tabs>
        <w:tab w:val="center" w:pos="6146"/>
        <w:tab w:val="right" w:pos="13778"/>
      </w:tabs>
      <w:ind w:left="-1474" w:right="-1474"/>
    </w:pPr>
  </w:style>
  <w:style w:type="paragraph" w:customStyle="1" w:styleId="ECHRBullet1">
    <w:name w:val="ECHR_Bullet_1"/>
    <w:basedOn w:val="NormalJustified"/>
    <w:uiPriority w:val="23"/>
    <w:semiHidden/>
    <w:qFormat/>
    <w:rsid w:val="007A74FC"/>
    <w:pPr>
      <w:spacing w:before="60" w:after="60"/>
    </w:pPr>
  </w:style>
  <w:style w:type="paragraph" w:customStyle="1" w:styleId="ECHRBullet2">
    <w:name w:val="ECHR_Bullet_2"/>
    <w:basedOn w:val="ECHRBullet1"/>
    <w:uiPriority w:val="23"/>
    <w:semiHidden/>
    <w:qFormat/>
    <w:rsid w:val="007A74FC"/>
  </w:style>
  <w:style w:type="paragraph" w:customStyle="1" w:styleId="ECHRBullet3">
    <w:name w:val="ECHR_Bullet_3"/>
    <w:basedOn w:val="ECHRBullet2"/>
    <w:uiPriority w:val="23"/>
    <w:semiHidden/>
    <w:qFormat/>
    <w:rsid w:val="007A74FC"/>
  </w:style>
  <w:style w:type="paragraph" w:customStyle="1" w:styleId="ECHRBullet4">
    <w:name w:val="ECHR_Bullet_4"/>
    <w:basedOn w:val="ECHRBullet3"/>
    <w:uiPriority w:val="23"/>
    <w:semiHidden/>
    <w:qFormat/>
    <w:rsid w:val="007A74FC"/>
  </w:style>
  <w:style w:type="paragraph" w:customStyle="1" w:styleId="ECHRConfidential">
    <w:name w:val="ECHR_Confidential"/>
    <w:basedOn w:val="Normalny"/>
    <w:next w:val="Normalny"/>
    <w:uiPriority w:val="42"/>
    <w:semiHidden/>
    <w:qFormat/>
    <w:rsid w:val="007A74FC"/>
    <w:pPr>
      <w:jc w:val="right"/>
    </w:pPr>
    <w:rPr>
      <w:color w:val="C00000"/>
      <w:sz w:val="20"/>
    </w:rPr>
  </w:style>
  <w:style w:type="paragraph" w:customStyle="1" w:styleId="ECHRDecisionBody">
    <w:name w:val="ECHR_Decision_Body"/>
    <w:basedOn w:val="NormalJustified"/>
    <w:uiPriority w:val="54"/>
    <w:semiHidden/>
    <w:qFormat/>
    <w:rsid w:val="007A74FC"/>
    <w:pPr>
      <w:tabs>
        <w:tab w:val="left" w:pos="567"/>
        <w:tab w:val="left" w:pos="1134"/>
      </w:tabs>
      <w:spacing w:line="240" w:lineRule="exact"/>
      <w:jc w:val="left"/>
    </w:pPr>
  </w:style>
  <w:style w:type="paragraph" w:customStyle="1" w:styleId="ECHRDivisionName">
    <w:name w:val="ECHR_DivisionName"/>
    <w:basedOn w:val="Normalny"/>
    <w:link w:val="ECHRDivisionNameChar"/>
    <w:uiPriority w:val="41"/>
    <w:semiHidden/>
    <w:qFormat/>
    <w:rsid w:val="007A74FC"/>
    <w:pPr>
      <w:contextualSpacing/>
      <w:jc w:val="center"/>
    </w:pPr>
    <w:rPr>
      <w:rFonts w:ascii="Arial" w:hAnsi="Arial"/>
      <w:i/>
      <w:color w:val="002856"/>
      <w:sz w:val="32"/>
    </w:rPr>
  </w:style>
  <w:style w:type="paragraph" w:customStyle="1" w:styleId="ECHRFooterLineLandscape">
    <w:name w:val="ECHR_Footer_Line_Landscape"/>
    <w:basedOn w:val="Normalny"/>
    <w:uiPriority w:val="30"/>
    <w:semiHidden/>
    <w:qFormat/>
    <w:rsid w:val="007A74FC"/>
    <w:pPr>
      <w:pBdr>
        <w:top w:val="single" w:sz="8" w:space="1" w:color="7F7F7F"/>
      </w:pBdr>
      <w:tabs>
        <w:tab w:val="center" w:pos="6146"/>
        <w:tab w:val="right" w:pos="12293"/>
      </w:tabs>
      <w:ind w:left="-1474" w:right="-1474"/>
    </w:pPr>
    <w:rPr>
      <w:color w:val="474747" w:themeColor="accent3" w:themeShade="BF"/>
      <w:sz w:val="22"/>
    </w:rPr>
  </w:style>
  <w:style w:type="paragraph" w:customStyle="1" w:styleId="ECHRHeaderDate">
    <w:name w:val="ECHR_Header_Date"/>
    <w:basedOn w:val="Normalny"/>
    <w:uiPriority w:val="44"/>
    <w:semiHidden/>
    <w:qFormat/>
    <w:rsid w:val="007A74FC"/>
    <w:pPr>
      <w:jc w:val="right"/>
    </w:pPr>
    <w:rPr>
      <w:sz w:val="20"/>
    </w:rPr>
  </w:style>
  <w:style w:type="paragraph" w:customStyle="1" w:styleId="ECHRHeaderRefIt">
    <w:name w:val="ECHR_Header_Ref_It"/>
    <w:basedOn w:val="Normalny"/>
    <w:next w:val="ECHRHeaderDate"/>
    <w:uiPriority w:val="43"/>
    <w:semiHidden/>
    <w:qFormat/>
    <w:rsid w:val="007A74FC"/>
    <w:pPr>
      <w:jc w:val="right"/>
    </w:pPr>
    <w:rPr>
      <w:i/>
      <w:sz w:val="20"/>
    </w:rPr>
  </w:style>
  <w:style w:type="paragraph" w:customStyle="1" w:styleId="ECHRHeading9">
    <w:name w:val="ECHR_Heading_9"/>
    <w:basedOn w:val="Nagwek9"/>
    <w:uiPriority w:val="17"/>
    <w:semiHidden/>
    <w:qFormat/>
    <w:rsid w:val="007A74FC"/>
    <w:pPr>
      <w:keepNext/>
      <w:keepLines/>
      <w:spacing w:beforeAutospacing="1"/>
      <w:contextualSpacing/>
      <w:jc w:val="both"/>
    </w:pPr>
    <w:rPr>
      <w:i w:val="0"/>
      <w:sz w:val="18"/>
    </w:rPr>
  </w:style>
  <w:style w:type="paragraph" w:customStyle="1" w:styleId="ECHRLine">
    <w:name w:val="ECHR_Line"/>
    <w:basedOn w:val="NormalJustified"/>
    <w:next w:val="Normalny"/>
    <w:uiPriority w:val="46"/>
    <w:semiHidden/>
    <w:qFormat/>
    <w:rsid w:val="007A74FC"/>
    <w:pPr>
      <w:pBdr>
        <w:bottom w:val="single" w:sz="12" w:space="1" w:color="949494"/>
      </w:pBdr>
      <w:spacing w:after="120"/>
    </w:pPr>
    <w:rPr>
      <w:sz w:val="12"/>
    </w:rPr>
  </w:style>
  <w:style w:type="paragraph" w:customStyle="1" w:styleId="ECHRNumberedList1">
    <w:name w:val="ECHR_Numbered_List_1"/>
    <w:basedOn w:val="Normalny"/>
    <w:uiPriority w:val="23"/>
    <w:semiHidden/>
    <w:qFormat/>
    <w:rsid w:val="007A74FC"/>
    <w:pPr>
      <w:spacing w:before="60" w:after="60"/>
    </w:pPr>
  </w:style>
  <w:style w:type="paragraph" w:customStyle="1" w:styleId="ECHRNumberedList2">
    <w:name w:val="ECHR_Numbered_List_2"/>
    <w:basedOn w:val="ECHRNumberedList1"/>
    <w:uiPriority w:val="23"/>
    <w:semiHidden/>
    <w:qFormat/>
    <w:rsid w:val="007A74FC"/>
  </w:style>
  <w:style w:type="paragraph" w:customStyle="1" w:styleId="ECHRNumberedList3">
    <w:name w:val="ECHR_Numbered_List_3"/>
    <w:basedOn w:val="ECHRNumberedList2"/>
    <w:uiPriority w:val="23"/>
    <w:semiHidden/>
    <w:qFormat/>
    <w:rsid w:val="007A74FC"/>
  </w:style>
  <w:style w:type="paragraph" w:customStyle="1" w:styleId="ECHRParaHanging">
    <w:name w:val="ECHR_Para_Hanging"/>
    <w:basedOn w:val="Normalny"/>
    <w:uiPriority w:val="8"/>
    <w:semiHidden/>
    <w:qFormat/>
    <w:rsid w:val="007A74FC"/>
    <w:pPr>
      <w:ind w:left="567" w:hanging="567"/>
      <w:jc w:val="both"/>
    </w:pPr>
  </w:style>
  <w:style w:type="paragraph" w:customStyle="1" w:styleId="ECHRParaIndent">
    <w:name w:val="ECHR_Para_Indent"/>
    <w:basedOn w:val="Normalny"/>
    <w:uiPriority w:val="7"/>
    <w:semiHidden/>
    <w:qFormat/>
    <w:rsid w:val="007A74FC"/>
    <w:pPr>
      <w:spacing w:before="120" w:after="120"/>
      <w:ind w:left="284"/>
      <w:jc w:val="both"/>
    </w:pPr>
  </w:style>
  <w:style w:type="paragraph" w:customStyle="1" w:styleId="DecList">
    <w:name w:val="Dec_List"/>
    <w:basedOn w:val="JuList"/>
    <w:uiPriority w:val="22"/>
    <w:qFormat/>
    <w:rsid w:val="007A74FC"/>
    <w:pPr>
      <w:ind w:left="284"/>
    </w:pPr>
  </w:style>
  <w:style w:type="paragraph" w:customStyle="1" w:styleId="ECHRTitle1">
    <w:name w:val="ECHR_Title_1"/>
    <w:basedOn w:val="Normalny"/>
    <w:next w:val="Normalny"/>
    <w:uiPriority w:val="28"/>
    <w:semiHidden/>
    <w:qFormat/>
    <w:rsid w:val="007A74F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basedOn w:val="Normalny"/>
    <w:next w:val="Normalny"/>
    <w:uiPriority w:val="28"/>
    <w:semiHidden/>
    <w:qFormat/>
    <w:rsid w:val="007A74F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basedOn w:val="Normalny"/>
    <w:next w:val="Normalny"/>
    <w:uiPriority w:val="28"/>
    <w:semiHidden/>
    <w:qFormat/>
    <w:rsid w:val="007A74F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basedOn w:val="Normalny"/>
    <w:next w:val="Normalny"/>
    <w:uiPriority w:val="26"/>
    <w:semiHidden/>
    <w:qFormat/>
    <w:rsid w:val="007A74F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basedOn w:val="Normalny"/>
    <w:next w:val="Normalny"/>
    <w:uiPriority w:val="26"/>
    <w:semiHidden/>
    <w:qFormat/>
    <w:rsid w:val="007A74F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basedOn w:val="Normalny"/>
    <w:next w:val="Normalny"/>
    <w:uiPriority w:val="26"/>
    <w:semiHidden/>
    <w:qFormat/>
    <w:rsid w:val="007A74F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basedOn w:val="ECHRTitleCentre1"/>
    <w:next w:val="Normalny"/>
    <w:uiPriority w:val="25"/>
    <w:semiHidden/>
    <w:qFormat/>
    <w:rsid w:val="007A74FC"/>
    <w:pPr>
      <w:outlineLvl w:val="0"/>
    </w:pPr>
  </w:style>
  <w:style w:type="paragraph" w:customStyle="1" w:styleId="ECHRTitleTOC1">
    <w:name w:val="ECHR_Title_TOC_1"/>
    <w:basedOn w:val="ECHRTitle1"/>
    <w:next w:val="Normalny"/>
    <w:uiPriority w:val="27"/>
    <w:semiHidden/>
    <w:qFormat/>
    <w:rsid w:val="007A74FC"/>
    <w:pPr>
      <w:outlineLvl w:val="0"/>
    </w:pPr>
  </w:style>
  <w:style w:type="paragraph" w:customStyle="1" w:styleId="ECHRPlaceholder">
    <w:name w:val="ECHR_Placeholder"/>
    <w:basedOn w:val="JuSigned"/>
    <w:uiPriority w:val="31"/>
    <w:qFormat/>
    <w:rsid w:val="007A74FC"/>
    <w:rPr>
      <w:color w:val="FFFFFF"/>
    </w:rPr>
  </w:style>
  <w:style w:type="paragraph" w:customStyle="1" w:styleId="ECHRSpacer">
    <w:name w:val="ECHR_Spacer"/>
    <w:basedOn w:val="Normalny"/>
    <w:uiPriority w:val="45"/>
    <w:semiHidden/>
    <w:qFormat/>
    <w:rsid w:val="007A74FC"/>
    <w:rPr>
      <w:sz w:val="4"/>
    </w:rPr>
  </w:style>
  <w:style w:type="numbering" w:customStyle="1" w:styleId="ECHRA1StyleBulletedSquare">
    <w:name w:val="ECHR_A1_Style_Bulleted_Square"/>
    <w:qFormat/>
    <w:rsid w:val="007A74FC"/>
  </w:style>
  <w:style w:type="numbering" w:customStyle="1" w:styleId="ECHRA1StyleList">
    <w:name w:val="ECHR_A1_Style_List"/>
    <w:uiPriority w:val="99"/>
    <w:qFormat/>
    <w:rsid w:val="007A74FC"/>
  </w:style>
  <w:style w:type="numbering" w:customStyle="1" w:styleId="ECHRA1StyleNumberedList">
    <w:name w:val="ECHR_A1_Style_Numbered_List"/>
    <w:qFormat/>
    <w:rsid w:val="007A74FC"/>
  </w:style>
  <w:style w:type="numbering" w:styleId="111111">
    <w:name w:val="Outline List 2"/>
    <w:uiPriority w:val="99"/>
    <w:semiHidden/>
    <w:unhideWhenUsed/>
    <w:qFormat/>
    <w:rsid w:val="007A74FC"/>
  </w:style>
  <w:style w:type="numbering" w:styleId="1ai">
    <w:name w:val="Outline List 1"/>
    <w:uiPriority w:val="99"/>
    <w:semiHidden/>
    <w:unhideWhenUsed/>
    <w:qFormat/>
    <w:rsid w:val="007A74FC"/>
  </w:style>
  <w:style w:type="numbering" w:styleId="Artykusekcja">
    <w:name w:val="Outline List 3"/>
    <w:uiPriority w:val="99"/>
    <w:semiHidden/>
    <w:unhideWhenUsed/>
    <w:qFormat/>
    <w:rsid w:val="007A74FC"/>
  </w:style>
  <w:style w:type="table" w:styleId="Tabelasiatki1jasna">
    <w:name w:val="Grid Table 1 Light"/>
    <w:basedOn w:val="Standardowy"/>
    <w:uiPriority w:val="46"/>
    <w:semiHidden/>
    <w:rsid w:val="00B765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customStyle="1" w:styleId="ECHRDNTable">
    <w:name w:val="ECHR_DN_Table"/>
    <w:basedOn w:val="Standardowy"/>
    <w:uiPriority w:val="99"/>
    <w:rsid w:val="007A74FC"/>
    <w:rPr>
      <w:sz w:val="24"/>
      <w:szCs w:val="24"/>
    </w:rPr>
    <w:tblPr>
      <w:tblBorders>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57" w:type="dxa"/>
        <w:bottom w:w="57" w:type="dxa"/>
      </w:tblCellMar>
    </w:tblPr>
    <w:tcPr>
      <w:vAlign w:val="center"/>
    </w:tcPr>
    <w:tblStylePr w:type="firstRow">
      <w:pPr>
        <w:wordWrap/>
        <w:spacing w:beforeLines="0"/>
      </w:pPr>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nil"/>
          <w:right w:val="single" w:sz="4" w:space="0" w:color="C6C6C6" w:themeColor="text2"/>
          <w:insideH w:val="nil"/>
          <w:insideV w:val="nil"/>
          <w:tl2br w:val="nil"/>
          <w:tr2bl w:val="nil"/>
        </w:tcBorders>
        <w:shd w:val="clear" w:color="auto" w:fill="DFDFDF" w:themeFill="background2" w:themeFillShade="E6"/>
      </w:tcPr>
    </w:tblStylePr>
  </w:style>
  <w:style w:type="table" w:customStyle="1" w:styleId="ECHRHeaderTable">
    <w:name w:val="ECHR_Header_Table"/>
    <w:basedOn w:val="Standardowy"/>
    <w:uiPriority w:val="99"/>
    <w:rsid w:val="007A74FC"/>
    <w:rPr>
      <w:sz w:val="24"/>
      <w:szCs w:val="24"/>
    </w:rPr>
    <w:tblPr>
      <w:tblInd w:w="-1474" w:type="dxa"/>
      <w:tblBorders>
        <w:bottom w:val="single" w:sz="6" w:space="0" w:color="C6C6C6" w:themeColor="text2"/>
      </w:tblBorders>
      <w:tblCellMar>
        <w:left w:w="0" w:type="dxa"/>
        <w:bottom w:w="28" w:type="dxa"/>
        <w:right w:w="0" w:type="dxa"/>
      </w:tblCellMar>
    </w:tblPr>
    <w:tcPr>
      <w:vAlign w:val="bottom"/>
    </w:tcPr>
    <w:tblStylePr w:type="lastCol">
      <w:pPr>
        <w:wordWrap/>
        <w:jc w:val="both"/>
      </w:pPr>
    </w:tblStylePr>
  </w:style>
  <w:style w:type="table" w:customStyle="1" w:styleId="ECHRHeaderTableReduced">
    <w:name w:val="ECHR_Header_Table_Reduced"/>
    <w:basedOn w:val="Standardowy"/>
    <w:uiPriority w:val="99"/>
    <w:rsid w:val="007A74F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C6C6C6" w:themeColor="text2"/>
          <w:right w:val="nil"/>
          <w:insideH w:val="nil"/>
          <w:insideV w:val="nil"/>
          <w:tl2br w:val="nil"/>
          <w:tr2bl w:val="nil"/>
        </w:tcBorders>
      </w:tcPr>
    </w:tblStylePr>
    <w:tblStylePr w:type="lastRow">
      <w:pPr>
        <w:jc w:val="right"/>
      </w:pPr>
      <w:tblPr/>
      <w:tcPr>
        <w:tcBorders>
          <w:top w:val="single" w:sz="6" w:space="0" w:color="C6C6C6" w:themeColor="text2"/>
          <w:left w:val="nil"/>
          <w:bottom w:val="nil"/>
          <w:right w:val="nil"/>
          <w:insideH w:val="nil"/>
          <w:insideV w:val="nil"/>
          <w:tl2br w:val="nil"/>
          <w:tr2bl w:val="nil"/>
        </w:tcBorders>
      </w:tcPr>
    </w:tblStylePr>
  </w:style>
  <w:style w:type="table" w:customStyle="1" w:styleId="ECHRTable2019">
    <w:name w:val="ECHR_Table_2019"/>
    <w:basedOn w:val="Standardowy"/>
    <w:uiPriority w:val="99"/>
    <w:rsid w:val="007A74FC"/>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table" w:customStyle="1" w:styleId="ECHRTableBoxHeader">
    <w:name w:val="ECHR_Table_Box_Header"/>
    <w:basedOn w:val="Standardowy"/>
    <w:rsid w:val="007A74FC"/>
    <w:rPr>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ECHRTableFax">
    <w:name w:val="ECHR_Table_Fax"/>
    <w:basedOn w:val="Standardowy"/>
    <w:uiPriority w:val="99"/>
    <w:rsid w:val="007A74F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style>
  <w:style w:type="table" w:customStyle="1" w:styleId="ECHRTableForInternalUse">
    <w:name w:val="ECHR_Table_For_Internal_Use"/>
    <w:basedOn w:val="Standardowy"/>
    <w:uiPriority w:val="99"/>
    <w:rsid w:val="007A74FC"/>
    <w:rPr>
      <w:color w:val="636363" w:themeColor="text2" w:themeShade="80"/>
      <w:sz w:val="18"/>
      <w:szCs w:val="24"/>
    </w:rPr>
    <w:tblPr>
      <w:tblStyleColBandSize w:val="1"/>
      <w:tblCellMar>
        <w:top w:w="113" w:type="dxa"/>
        <w:bottom w:w="28" w:type="dxa"/>
      </w:tblCellMar>
    </w:tblPr>
    <w:tblStylePr w:type="firstRow">
      <w:rPr>
        <w:b/>
      </w:rPr>
    </w:tblStylePr>
    <w:tblStylePr w:type="lastCol">
      <w:pPr>
        <w:jc w:val="right"/>
      </w:p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tblStylePr w:type="band1Vert">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tcPr>
    </w:tblStylePr>
  </w:style>
  <w:style w:type="table" w:customStyle="1" w:styleId="ECHRTableMemo">
    <w:name w:val="ECHR_Table_Memo"/>
    <w:basedOn w:val="Standardowy"/>
    <w:uiPriority w:val="99"/>
    <w:rsid w:val="007A74FC"/>
    <w:rPr>
      <w:sz w:val="24"/>
      <w:szCs w:val="24"/>
    </w:rPr>
    <w:tblPr>
      <w:tblCellMar>
        <w:top w:w="113" w:type="dxa"/>
        <w:left w:w="0" w:type="dxa"/>
        <w:bottom w:w="113" w:type="dxa"/>
        <w:right w:w="0" w:type="dxa"/>
      </w:tblCellMar>
    </w:tblPr>
    <w:tblStylePr w:type="lastRow">
      <w:tblPr/>
      <w:tcPr>
        <w:tcBorders>
          <w:top w:val="nil"/>
          <w:left w:val="nil"/>
          <w:bottom w:val="single" w:sz="4" w:space="0" w:color="C6C6C6" w:themeColor="text2"/>
          <w:right w:val="nil"/>
          <w:insideH w:val="nil"/>
          <w:insideV w:val="nil"/>
          <w:tl2br w:val="nil"/>
          <w:tr2bl w:val="nil"/>
        </w:tcBorders>
      </w:tcPr>
    </w:tblStylePr>
  </w:style>
  <w:style w:type="table" w:styleId="Kolorowasiatka">
    <w:name w:val="Colorful Grid"/>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A74F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A74F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A74F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A74F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A74F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A74F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A74F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A74F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72BC" w:themeColor="accent1"/>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A74F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C00000" w:themeColor="accent2"/>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A74F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5F5F5F" w:themeColor="accent3"/>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A74F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969696" w:themeColor="accent4"/>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A74F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5F5F5F" w:themeColor="accent5"/>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A74F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4D4D4D" w:themeColor="accent6"/>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70"/>
    <w:semiHidden/>
    <w:rsid w:val="007A74F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A74F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A74F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A74F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A74F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A74F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A74F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table" w:styleId="Jasnasiatka">
    <w:name w:val="Light Grid"/>
    <w:basedOn w:val="Standardowy"/>
    <w:uiPriority w:val="62"/>
    <w:semiHidden/>
    <w:rsid w:val="007A74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A74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A74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A74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A74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A74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A74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A74F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A74F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A74F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A74F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A74F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A74F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A74F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A74F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A74F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A74F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A74F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A74F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A74F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A74F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table" w:styleId="redniasiatka1">
    <w:name w:val="Medium Grid 1"/>
    <w:basedOn w:val="Standardowy"/>
    <w:uiPriority w:val="67"/>
    <w:semiHidden/>
    <w:rsid w:val="007A74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A74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072BC" w:themeColor="accent1"/>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A74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C00000" w:themeColor="accent2"/>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A74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5F5F5F" w:themeColor="accent3"/>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A74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969696" w:themeColor="accent4"/>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A74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5F5F5F" w:themeColor="accent5"/>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A74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4D4D4D" w:themeColor="accent6"/>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A74F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A74F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A74F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A74F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A74F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A74F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A74F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A74F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A74F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A74F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A74F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A74F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A74F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A74F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A74F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A74F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A74F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ECHRTableNoLines">
    <w:name w:val="ECHR_Table_No_Lines"/>
    <w:basedOn w:val="Standardowy"/>
    <w:uiPriority w:val="99"/>
    <w:rsid w:val="007A74F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nil"/>
          <w:tl2br w:val="nil"/>
          <w:tr2bl w:val="nil"/>
        </w:tcBorders>
        <w:shd w:val="clear" w:color="auto" w:fill="DFDFDF" w:themeFill="background2" w:themeFillShade="E6"/>
      </w:tcPr>
    </w:tblStylePr>
    <w:tblStylePr w:type="firstCol">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tcPr>
    </w:tblStylePr>
  </w:style>
  <w:style w:type="table" w:customStyle="1" w:styleId="ECHRTableSimpleBox">
    <w:name w:val="ECHR_Table_Simple_Box"/>
    <w:basedOn w:val="Standardowy"/>
    <w:uiPriority w:val="99"/>
    <w:rsid w:val="007A74F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styleId="Tabela-Efekty3D1">
    <w:name w:val="Table 3D effects 1"/>
    <w:basedOn w:val="Standardowy"/>
    <w:uiPriority w:val="99"/>
    <w:semiHidden/>
    <w:unhideWhenUsed/>
    <w:rsid w:val="007A74F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A74F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A74F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A74FC"/>
    <w:pPr>
      <w:jc w:val="both"/>
    </w:pPr>
    <w:rPr>
      <w:sz w:val="24"/>
      <w:szCs w:val="24"/>
    </w:rPr>
    <w:tblPr>
      <w:tblBorders>
        <w:top w:val="single" w:sz="12" w:space="0" w:color="000000"/>
        <w:bottom w:val="single" w:sz="12" w:space="0" w:color="000000"/>
      </w:tblBorders>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A74F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A74F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A74F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A74F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A74FC"/>
    <w:pPr>
      <w:jc w:val="both"/>
    </w:pPr>
    <w:rPr>
      <w:sz w:val="24"/>
      <w:szCs w:val="24"/>
    </w:rPr>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A74F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A74F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A74F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A74F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A74F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A74F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A74F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A74F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7A74F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A74F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A74F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A74F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A74F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A74F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A74F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A74F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A74F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A74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A74F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A74F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a-Profesjonalny">
    <w:name w:val="Table Professional"/>
    <w:basedOn w:val="Standardowy"/>
    <w:uiPriority w:val="99"/>
    <w:semiHidden/>
    <w:unhideWhenUsed/>
    <w:rsid w:val="007A74F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A74F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A74F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A74F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A74F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A74F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A74F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A74FC"/>
    <w:pPr>
      <w:jc w:val="both"/>
    </w:pPr>
    <w:rPr>
      <w:sz w:val="24"/>
      <w:szCs w:val="24"/>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A74FC"/>
    <w:pPr>
      <w:jc w:val="both"/>
    </w:pPr>
    <w:rPr>
      <w:sz w:val="24"/>
      <w:szCs w:val="24"/>
    </w:rPr>
    <w:tblPr>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A74FC"/>
    <w:pPr>
      <w:jc w:val="both"/>
    </w:pPr>
    <w:rPr>
      <w:sz w:val="24"/>
      <w:szCs w:val="24"/>
    </w:rPr>
    <w:tblPr>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CHRListTable">
    <w:name w:val="ECHR_List_Table"/>
    <w:basedOn w:val="Standardowy"/>
    <w:uiPriority w:val="99"/>
    <w:rsid w:val="007A74FC"/>
    <w:rPr>
      <w:sz w:val="24"/>
      <w:szCs w:val="24"/>
    </w:rPr>
    <w:tblPr>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b/>
        <w:color w:val="474747" w:themeColor="accent3" w:themeShade="BF"/>
      </w:rPr>
      <w:tblPr/>
      <w:trPr>
        <w:tblHeader/>
      </w:tr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cBorders>
        <w:shd w:val="clear" w:color="auto" w:fill="DFDFDF" w:themeFill="background2" w:themeFillShade="E6"/>
      </w:tcPr>
    </w:tblStylePr>
  </w:style>
  <w:style w:type="table" w:customStyle="1" w:styleId="ECHRTable">
    <w:name w:val="ECHR_Table"/>
    <w:basedOn w:val="Standardowy"/>
    <w:rsid w:val="007A74FC"/>
    <w:rPr>
      <w:szCs w:val="20"/>
      <w:lang w:val="en-GB"/>
    </w:rPr>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l2br w:val="nil"/>
          <w:tr2bl w:val="nil"/>
        </w:tcBorders>
        <w:shd w:val="clear" w:color="auto" w:fill="DFDFDF" w:themeFill="background2" w:themeFillShade="E6"/>
      </w:tcPr>
    </w:tblStylePr>
  </w:style>
  <w:style w:type="table" w:customStyle="1" w:styleId="ECHRTable2">
    <w:name w:val="ECHR_Table_2"/>
    <w:basedOn w:val="Standardowy"/>
    <w:uiPriority w:val="99"/>
    <w:rsid w:val="007A74FC"/>
    <w:rPr>
      <w:color w:val="262626" w:themeColor="text1" w:themeTint="D9"/>
      <w:sz w:val="24"/>
      <w:szCs w:val="24"/>
    </w:rPr>
    <w:tblPr>
      <w:tblStyleRowBandSize w:val="1"/>
      <w:tblStyleColBandSize w:val="1"/>
      <w:tblInd w:w="-964" w:type="dxa"/>
      <w:tblCellMar>
        <w:top w:w="85" w:type="dxa"/>
        <w:left w:w="113" w:type="dxa"/>
        <w:bottom w:w="85" w:type="dxa"/>
        <w:right w:w="113" w:type="dxa"/>
      </w:tblCellMar>
    </w:tbl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A74FC"/>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LtrTableAddress">
    <w:name w:val="Ltr_Table_Address"/>
    <w:basedOn w:val="Standardowy"/>
    <w:uiPriority w:val="99"/>
    <w:rsid w:val="007A74FC"/>
    <w:rPr>
      <w:sz w:val="24"/>
      <w:szCs w:val="24"/>
    </w:rPr>
    <w:tblPr>
      <w:tblInd w:w="5103" w:type="dxa"/>
    </w:tblPr>
  </w:style>
  <w:style w:type="table" w:customStyle="1" w:styleId="PCFTableStyle">
    <w:name w:val="PCF_Table_Style"/>
    <w:basedOn w:val="Standardowy"/>
    <w:uiPriority w:val="99"/>
    <w:rsid w:val="007A74F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afterLines="0" w:after="120" w:line="240" w:lineRule="auto"/>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basedOn w:val="Standardowy"/>
    <w:uiPriority w:val="99"/>
    <w:rsid w:val="007A74FC"/>
    <w:rPr>
      <w:rFonts w:eastAsiaTheme="minorEastAsia"/>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7A74FC"/>
    <w:rPr>
      <w:rFonts w:eastAsiaTheme="minorEastAsia"/>
      <w:sz w:val="24"/>
      <w:szCs w:val="24"/>
      <w:lang w:val="en-GB" w:eastAsia="en-GB"/>
    </w:rPr>
    <w:tblPr>
      <w:tblBorders>
        <w:top w:val="single" w:sz="4" w:space="0" w:color="F8F8F8" w:themeColor="background2"/>
        <w:left w:val="single" w:sz="4" w:space="0" w:color="F8F8F8" w:themeColor="background2"/>
        <w:bottom w:val="single" w:sz="4" w:space="0" w:color="F8F8F8" w:themeColor="background2"/>
        <w:right w:val="single" w:sz="4" w:space="0" w:color="F8F8F8" w:themeColor="background2"/>
      </w:tblBorders>
      <w:tblCellMar>
        <w:top w:w="113" w:type="dxa"/>
        <w:left w:w="113" w:type="dxa"/>
        <w:bottom w:w="113" w:type="dxa"/>
        <w:right w:w="113" w:type="dxa"/>
      </w:tblCellMar>
    </w:tblPr>
    <w:tcPr>
      <w:shd w:val="clear" w:color="auto" w:fill="FFFFFF"/>
    </w:tcPr>
  </w:style>
  <w:style w:type="table" w:customStyle="1" w:styleId="ECHRTableGrey">
    <w:name w:val="ECHR_Table_Grey"/>
    <w:basedOn w:val="Standardowy"/>
    <w:uiPriority w:val="99"/>
    <w:rsid w:val="007A74FC"/>
    <w:tblPr>
      <w:tblBorders>
        <w:top w:val="single" w:sz="4" w:space="0" w:color="C6C6C6" w:themeColor="text2"/>
        <w:left w:val="single" w:sz="4" w:space="0" w:color="C6C6C6" w:themeColor="text2"/>
        <w:bottom w:val="single" w:sz="4" w:space="0" w:color="C6C6C6" w:themeColor="text2"/>
        <w:right w:val="single" w:sz="4" w:space="0" w:color="C6C6C6" w:themeColor="text2"/>
      </w:tblBorders>
      <w:tblCellMar>
        <w:top w:w="142" w:type="dxa"/>
        <w:bottom w:w="85" w:type="dxa"/>
      </w:tblCellMar>
    </w:tbl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Standardowy"/>
    <w:uiPriority w:val="99"/>
    <w:rsid w:val="007A74FC"/>
    <w:tblPr>
      <w:tblStyleRowBandSize w:val="1"/>
      <w:tblStyleColBandSize w:val="1"/>
      <w:tblBorders>
        <w:top w:val="single" w:sz="4" w:space="0" w:color="C6C6C6" w:themeColor="text2"/>
        <w:left w:val="single" w:sz="4" w:space="0" w:color="C6C6C6" w:themeColor="text2"/>
        <w:bottom w:val="single" w:sz="4" w:space="0" w:color="C6C6C6" w:themeColor="text2"/>
        <w:right w:val="single" w:sz="4" w:space="0" w:color="C6C6C6" w:themeColor="text2"/>
        <w:insideH w:val="single" w:sz="4" w:space="0" w:color="C6C6C6" w:themeColor="text2"/>
        <w:insideV w:val="single" w:sz="4" w:space="0" w:color="C6C6C6" w:themeColor="text2"/>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C6C6C6" w:themeColor="text2"/>
          <w:left w:val="single" w:sz="4" w:space="0" w:color="C6C6C6" w:themeColor="text2"/>
          <w:bottom w:val="single" w:sz="4" w:space="0" w:color="C6C6C6" w:themeColor="text2"/>
          <w:right w:val="single" w:sz="4" w:space="0" w:color="C6C6C6" w:themeColor="text2"/>
          <w:insideH w:val="nil"/>
          <w:insideV w:val="single" w:sz="4" w:space="0" w:color="C6C6C6" w:themeColor="text2"/>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styleId="Tabelasiatki1jasnaakcent1">
    <w:name w:val="Grid Table 1 Light Accent 1"/>
    <w:basedOn w:val="Standardowy"/>
    <w:uiPriority w:val="46"/>
    <w:semiHidden/>
    <w:rsid w:val="00B765E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0072BC" w:themeColor="accent1"/>
        </w:tcBorders>
      </w:tcPr>
    </w:tblStylePr>
    <w:tblStylePr w:type="lastRow">
      <w:rPr>
        <w:b/>
        <w:bCs/>
      </w:rPr>
      <w:tblPr/>
      <w:tcPr>
        <w:tcBorders>
          <w:top w:val="double" w:sz="2" w:space="0" w:color="0072BC" w:themeColor="accent1"/>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B765E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C00000" w:themeColor="accent2"/>
        </w:tcBorders>
      </w:tcPr>
    </w:tblStylePr>
    <w:tblStylePr w:type="lastRow">
      <w:rPr>
        <w:b/>
        <w:bCs/>
      </w:rPr>
      <w:tblPr/>
      <w:tcPr>
        <w:tcBorders>
          <w:top w:val="double" w:sz="2" w:space="0" w:color="C00000" w:themeColor="accent2"/>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B765E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5F5F5F" w:themeColor="accent3"/>
        </w:tcBorders>
      </w:tcPr>
    </w:tblStylePr>
    <w:tblStylePr w:type="lastRow">
      <w:rPr>
        <w:b/>
        <w:bCs/>
      </w:rPr>
      <w:tblPr/>
      <w:tcPr>
        <w:tcBorders>
          <w:top w:val="double" w:sz="2" w:space="0" w:color="5F5F5F" w:themeColor="accent3"/>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B765E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969696" w:themeColor="accent4"/>
        </w:tcBorders>
      </w:tcPr>
    </w:tblStylePr>
    <w:tblStylePr w:type="lastRow">
      <w:rPr>
        <w:b/>
        <w:bCs/>
      </w:rPr>
      <w:tblPr/>
      <w:tcPr>
        <w:tcBorders>
          <w:top w:val="double" w:sz="2" w:space="0" w:color="969696" w:themeColor="accent4"/>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B765E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5F5F5F" w:themeColor="accent5"/>
        </w:tcBorders>
      </w:tcPr>
    </w:tblStylePr>
    <w:tblStylePr w:type="lastRow">
      <w:rPr>
        <w:b/>
        <w:bCs/>
      </w:rPr>
      <w:tblPr/>
      <w:tcPr>
        <w:tcBorders>
          <w:top w:val="double" w:sz="2" w:space="0" w:color="5F5F5F" w:themeColor="accent5"/>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B765E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4D4D4D" w:themeColor="accent6"/>
        </w:tcBorders>
      </w:tcPr>
    </w:tblStylePr>
    <w:tblStylePr w:type="lastRow">
      <w:rPr>
        <w:b/>
        <w:bCs/>
      </w:rPr>
      <w:tblPr/>
      <w:tcPr>
        <w:tcBorders>
          <w:top w:val="double" w:sz="2" w:space="0" w:color="4D4D4D" w:themeColor="accent6"/>
        </w:tcBorders>
      </w:tcPr>
    </w:tblStylePr>
    <w:tblStylePr w:type="firstCol">
      <w:rPr>
        <w:b/>
        <w:bCs/>
      </w:rPr>
    </w:tblStylePr>
    <w:tblStylePr w:type="lastCol">
      <w:rPr>
        <w:b/>
        <w:bCs/>
      </w:rPr>
    </w:tblStylePr>
  </w:style>
  <w:style w:type="table" w:styleId="Tabelasiatki2">
    <w:name w:val="Grid Table 2"/>
    <w:basedOn w:val="Standardowy"/>
    <w:uiPriority w:val="47"/>
    <w:semiHidden/>
    <w:rsid w:val="00B765E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0072BC" w:themeFill="background1"/>
      </w:tcPr>
    </w:tblStylePr>
    <w:tblStylePr w:type="lastRow">
      <w:rPr>
        <w:b/>
        <w:bCs/>
      </w:rPr>
      <w:tblPr/>
      <w:tcPr>
        <w:tcBorders>
          <w:top w:val="double" w:sz="2" w:space="0" w:color="000000" w:themeColor="tex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B765E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0072BC" w:themeColor="accent1"/>
          <w:insideH w:val="nil"/>
          <w:insideV w:val="nil"/>
        </w:tcBorders>
        <w:shd w:val="clear" w:color="auto" w:fill="0072BC" w:themeFill="background1"/>
      </w:tcPr>
    </w:tblStylePr>
    <w:tblStylePr w:type="lastRow">
      <w:rPr>
        <w:b/>
        <w:bCs/>
      </w:rPr>
      <w:tblPr/>
      <w:tcPr>
        <w:tcBorders>
          <w:top w:val="double" w:sz="2" w:space="0" w:color="0072BC" w:themeColor="accent1"/>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B765E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C00000" w:themeColor="accent2"/>
          <w:insideH w:val="nil"/>
          <w:insideV w:val="nil"/>
        </w:tcBorders>
        <w:shd w:val="clear" w:color="auto" w:fill="0072BC" w:themeFill="background1"/>
      </w:tcPr>
    </w:tblStylePr>
    <w:tblStylePr w:type="lastRow">
      <w:rPr>
        <w:b/>
        <w:bCs/>
      </w:rPr>
      <w:tblPr/>
      <w:tcPr>
        <w:tcBorders>
          <w:top w:val="double" w:sz="2" w:space="0" w:color="C00000" w:themeColor="accent2"/>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B765E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5F5F5F" w:themeColor="accent3"/>
          <w:insideH w:val="nil"/>
          <w:insideV w:val="nil"/>
        </w:tcBorders>
        <w:shd w:val="clear" w:color="auto" w:fill="0072BC" w:themeFill="background1"/>
      </w:tcPr>
    </w:tblStylePr>
    <w:tblStylePr w:type="lastRow">
      <w:rPr>
        <w:b/>
        <w:bCs/>
      </w:rPr>
      <w:tblPr/>
      <w:tcPr>
        <w:tcBorders>
          <w:top w:val="double" w:sz="2" w:space="0" w:color="5F5F5F" w:themeColor="accent3"/>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B765E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969696" w:themeColor="accent4"/>
          <w:insideH w:val="nil"/>
          <w:insideV w:val="nil"/>
        </w:tcBorders>
        <w:shd w:val="clear" w:color="auto" w:fill="0072BC" w:themeFill="background1"/>
      </w:tcPr>
    </w:tblStylePr>
    <w:tblStylePr w:type="lastRow">
      <w:rPr>
        <w:b/>
        <w:bCs/>
      </w:rPr>
      <w:tblPr/>
      <w:tcPr>
        <w:tcBorders>
          <w:top w:val="double" w:sz="2" w:space="0" w:color="969696" w:themeColor="accent4"/>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B765E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5F5F5F" w:themeColor="accent5"/>
          <w:insideH w:val="nil"/>
          <w:insideV w:val="nil"/>
        </w:tcBorders>
        <w:shd w:val="clear" w:color="auto" w:fill="0072BC" w:themeFill="background1"/>
      </w:tcPr>
    </w:tblStylePr>
    <w:tblStylePr w:type="lastRow">
      <w:rPr>
        <w:b/>
        <w:bCs/>
      </w:rPr>
      <w:tblPr/>
      <w:tcPr>
        <w:tcBorders>
          <w:top w:val="double" w:sz="2" w:space="0" w:color="5F5F5F" w:themeColor="accent5"/>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B765E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4D4D4D" w:themeColor="accent6"/>
          <w:insideH w:val="nil"/>
          <w:insideV w:val="nil"/>
        </w:tcBorders>
        <w:shd w:val="clear" w:color="auto" w:fill="0072BC" w:themeFill="background1"/>
      </w:tcPr>
    </w:tblStylePr>
    <w:tblStylePr w:type="lastRow">
      <w:rPr>
        <w:b/>
        <w:bCs/>
      </w:rPr>
      <w:tblPr/>
      <w:tcPr>
        <w:tcBorders>
          <w:top w:val="double" w:sz="2" w:space="0" w:color="4D4D4D" w:themeColor="accent6"/>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3akcent1">
    <w:name w:val="Grid Table 3 Accent 1"/>
    <w:basedOn w:val="Standardowy"/>
    <w:uiPriority w:val="48"/>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3akcent2">
    <w:name w:val="Grid Table 3 Accent 2"/>
    <w:basedOn w:val="Standardowy"/>
    <w:uiPriority w:val="48"/>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3akcent3">
    <w:name w:val="Grid Table 3 Accent 3"/>
    <w:basedOn w:val="Standardowy"/>
    <w:uiPriority w:val="48"/>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3akcent4">
    <w:name w:val="Grid Table 3 Accent 4"/>
    <w:basedOn w:val="Standardowy"/>
    <w:uiPriority w:val="48"/>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3akcent5">
    <w:name w:val="Grid Table 3 Accent 5"/>
    <w:basedOn w:val="Standardowy"/>
    <w:uiPriority w:val="48"/>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3akcent6">
    <w:name w:val="Grid Table 3 Accent 6"/>
    <w:basedOn w:val="Standardowy"/>
    <w:uiPriority w:val="48"/>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siatki4">
    <w:name w:val="Grid Table 4"/>
    <w:basedOn w:val="Standardowy"/>
    <w:uiPriority w:val="49"/>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B765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B765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B765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B765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B765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B765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B765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B765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styleId="Tabelasiatki7kolorowaakcent1">
    <w:name w:val="Grid Table 7 Colorful Accent 1"/>
    <w:basedOn w:val="Standardowy"/>
    <w:uiPriority w:val="52"/>
    <w:semiHidden/>
    <w:rsid w:val="00B765E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0072BC" w:themeColor="accent1"/>
        </w:tcBorders>
      </w:tcPr>
    </w:tblStylePr>
    <w:tblStylePr w:type="nwCell">
      <w:tblPr/>
      <w:tcPr>
        <w:tcBorders>
          <w:bottom w:val="single" w:sz="4" w:space="0" w:color="0072BC" w:themeColor="accent1"/>
        </w:tcBorders>
      </w:tcPr>
    </w:tblStylePr>
    <w:tblStylePr w:type="seCell">
      <w:tblPr/>
      <w:tcPr>
        <w:tcBorders>
          <w:top w:val="single" w:sz="4" w:space="0" w:color="0072BC" w:themeColor="accent1"/>
        </w:tcBorders>
      </w:tcPr>
    </w:tblStylePr>
    <w:tblStylePr w:type="swCell">
      <w:tblPr/>
      <w:tcPr>
        <w:tcBorders>
          <w:top w:val="single" w:sz="4" w:space="0" w:color="0072BC" w:themeColor="accent1"/>
        </w:tcBorders>
      </w:tcPr>
    </w:tblStylePr>
  </w:style>
  <w:style w:type="table" w:styleId="Tabelasiatki7kolorowaakcent2">
    <w:name w:val="Grid Table 7 Colorful Accent 2"/>
    <w:basedOn w:val="Standardowy"/>
    <w:uiPriority w:val="52"/>
    <w:semiHidden/>
    <w:rsid w:val="00B765E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C00000" w:themeColor="accent2"/>
        </w:tcBorders>
      </w:tcPr>
    </w:tblStylePr>
    <w:tblStylePr w:type="nwCell">
      <w:tblPr/>
      <w:tcPr>
        <w:tcBorders>
          <w:bottom w:val="single" w:sz="4" w:space="0" w:color="C00000" w:themeColor="accent2"/>
        </w:tcBorders>
      </w:tcPr>
    </w:tblStylePr>
    <w:tblStylePr w:type="seCell">
      <w:tblPr/>
      <w:tcPr>
        <w:tcBorders>
          <w:top w:val="single" w:sz="4" w:space="0" w:color="C00000" w:themeColor="accent2"/>
        </w:tcBorders>
      </w:tcPr>
    </w:tblStylePr>
    <w:tblStylePr w:type="swCell">
      <w:tblPr/>
      <w:tcPr>
        <w:tcBorders>
          <w:top w:val="single" w:sz="4" w:space="0" w:color="C00000" w:themeColor="accent2"/>
        </w:tcBorders>
      </w:tcPr>
    </w:tblStylePr>
  </w:style>
  <w:style w:type="table" w:styleId="Tabelasiatki7kolorowaakcent3">
    <w:name w:val="Grid Table 7 Colorful Accent 3"/>
    <w:basedOn w:val="Standardowy"/>
    <w:uiPriority w:val="52"/>
    <w:semiHidden/>
    <w:rsid w:val="00B765E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5F5F5F" w:themeColor="accent3"/>
        </w:tcBorders>
      </w:tcPr>
    </w:tblStylePr>
    <w:tblStylePr w:type="nwCell">
      <w:tblPr/>
      <w:tcPr>
        <w:tcBorders>
          <w:bottom w:val="single" w:sz="4" w:space="0" w:color="5F5F5F" w:themeColor="accent3"/>
        </w:tcBorders>
      </w:tcPr>
    </w:tblStylePr>
    <w:tblStylePr w:type="seCell">
      <w:tblPr/>
      <w:tcPr>
        <w:tcBorders>
          <w:top w:val="single" w:sz="4" w:space="0" w:color="5F5F5F" w:themeColor="accent3"/>
        </w:tcBorders>
      </w:tcPr>
    </w:tblStylePr>
    <w:tblStylePr w:type="swCell">
      <w:tblPr/>
      <w:tcPr>
        <w:tcBorders>
          <w:top w:val="single" w:sz="4" w:space="0" w:color="5F5F5F" w:themeColor="accent3"/>
        </w:tcBorders>
      </w:tcPr>
    </w:tblStylePr>
  </w:style>
  <w:style w:type="table" w:styleId="Tabelasiatki7kolorowaakcent4">
    <w:name w:val="Grid Table 7 Colorful Accent 4"/>
    <w:basedOn w:val="Standardowy"/>
    <w:uiPriority w:val="52"/>
    <w:semiHidden/>
    <w:rsid w:val="00B765E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969696" w:themeColor="accent4"/>
        </w:tcBorders>
      </w:tcPr>
    </w:tblStylePr>
    <w:tblStylePr w:type="nwCell">
      <w:tblPr/>
      <w:tcPr>
        <w:tcBorders>
          <w:bottom w:val="single" w:sz="4" w:space="0" w:color="969696" w:themeColor="accent4"/>
        </w:tcBorders>
      </w:tcPr>
    </w:tblStylePr>
    <w:tblStylePr w:type="seCell">
      <w:tblPr/>
      <w:tcPr>
        <w:tcBorders>
          <w:top w:val="single" w:sz="4" w:space="0" w:color="969696" w:themeColor="accent4"/>
        </w:tcBorders>
      </w:tcPr>
    </w:tblStylePr>
    <w:tblStylePr w:type="swCell">
      <w:tblPr/>
      <w:tcPr>
        <w:tcBorders>
          <w:top w:val="single" w:sz="4" w:space="0" w:color="969696" w:themeColor="accent4"/>
        </w:tcBorders>
      </w:tcPr>
    </w:tblStylePr>
  </w:style>
  <w:style w:type="table" w:styleId="Tabelasiatki7kolorowaakcent5">
    <w:name w:val="Grid Table 7 Colorful Accent 5"/>
    <w:basedOn w:val="Standardowy"/>
    <w:uiPriority w:val="52"/>
    <w:semiHidden/>
    <w:rsid w:val="00B765E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5F5F5F" w:themeColor="accent5"/>
        </w:tcBorders>
      </w:tcPr>
    </w:tblStylePr>
    <w:tblStylePr w:type="nwCell">
      <w:tblPr/>
      <w:tcPr>
        <w:tcBorders>
          <w:bottom w:val="single" w:sz="4" w:space="0" w:color="5F5F5F" w:themeColor="accent5"/>
        </w:tcBorders>
      </w:tcPr>
    </w:tblStylePr>
    <w:tblStylePr w:type="seCell">
      <w:tblPr/>
      <w:tcPr>
        <w:tcBorders>
          <w:top w:val="single" w:sz="4" w:space="0" w:color="5F5F5F" w:themeColor="accent5"/>
        </w:tcBorders>
      </w:tcPr>
    </w:tblStylePr>
    <w:tblStylePr w:type="swCell">
      <w:tblPr/>
      <w:tcPr>
        <w:tcBorders>
          <w:top w:val="single" w:sz="4" w:space="0" w:color="5F5F5F" w:themeColor="accent5"/>
        </w:tcBorders>
      </w:tcPr>
    </w:tblStylePr>
  </w:style>
  <w:style w:type="table" w:styleId="Tabelasiatki7kolorowaakcent6">
    <w:name w:val="Grid Table 7 Colorful Accent 6"/>
    <w:basedOn w:val="Standardowy"/>
    <w:uiPriority w:val="52"/>
    <w:semiHidden/>
    <w:rsid w:val="00B765E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rPr>
      <w:tblPr/>
      <w:tcPr>
        <w:tcBorders>
          <w:top w:val="nil"/>
          <w:left w:val="nil"/>
          <w:bottom w:val="nil"/>
          <w:insideH w:val="nil"/>
          <w:insideV w:val="nil"/>
        </w:tcBorders>
        <w:shd w:val="clear" w:color="auto" w:fill="0072BC" w:themeFill="background1"/>
      </w:tcPr>
    </w:tblStylePr>
    <w:tblStylePr w:type="lastCol">
      <w:rPr>
        <w:i/>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4D4D4D" w:themeColor="accent6"/>
        </w:tcBorders>
      </w:tcPr>
    </w:tblStylePr>
    <w:tblStylePr w:type="nwCell">
      <w:tblPr/>
      <w:tcPr>
        <w:tcBorders>
          <w:bottom w:val="single" w:sz="4" w:space="0" w:color="4D4D4D" w:themeColor="accent6"/>
        </w:tcBorders>
      </w:tcPr>
    </w:tblStylePr>
    <w:tblStylePr w:type="seCell">
      <w:tblPr/>
      <w:tcPr>
        <w:tcBorders>
          <w:top w:val="single" w:sz="4" w:space="0" w:color="4D4D4D" w:themeColor="accent6"/>
        </w:tcBorders>
      </w:tcPr>
    </w:tblStylePr>
    <w:tblStylePr w:type="swCell">
      <w:tblPr/>
      <w:tcPr>
        <w:tcBorders>
          <w:top w:val="single" w:sz="4" w:space="0" w:color="4D4D4D" w:themeColor="accent6"/>
        </w:tcBorders>
      </w:tcPr>
    </w:tblStylePr>
  </w:style>
  <w:style w:type="table" w:styleId="Tabelalisty1jasna">
    <w:name w:val="List Table 1 Light"/>
    <w:basedOn w:val="Standardowy"/>
    <w:uiPriority w:val="46"/>
    <w:semiHidden/>
    <w:rsid w:val="00B765EE"/>
    <w:tblPr>
      <w:tblStyleRowBandSize w:val="1"/>
      <w:tblStyleColBandSize w:val="1"/>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B765EE"/>
    <w:tblPr>
      <w:tblStyleRowBandSize w:val="1"/>
      <w:tblStyleColBandSize w:val="1"/>
    </w:tblPr>
    <w:tblStylePr w:type="firstRow">
      <w:rPr>
        <w:b/>
        <w:bCs/>
      </w:rPr>
      <w:tblPr/>
      <w:tcPr>
        <w:tcBorders>
          <w:bottom w:val="single" w:sz="4" w:space="0" w:color="0072BC" w:themeColor="accent1"/>
        </w:tcBorders>
      </w:tcPr>
    </w:tblStylePr>
    <w:tblStylePr w:type="lastRow">
      <w:rPr>
        <w:b/>
        <w:bCs/>
      </w:rPr>
      <w:tblPr/>
      <w:tcPr>
        <w:tcBorders>
          <w:top w:val="sing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B765EE"/>
    <w:tblPr>
      <w:tblStyleRowBandSize w:val="1"/>
      <w:tblStyleColBandSize w:val="1"/>
    </w:tblPr>
    <w:tblStylePr w:type="firstRow">
      <w:rPr>
        <w:b/>
        <w:bCs/>
      </w:rPr>
      <w:tblPr/>
      <w:tcPr>
        <w:tcBorders>
          <w:bottom w:val="single" w:sz="4" w:space="0" w:color="C00000" w:themeColor="accent2"/>
        </w:tcBorders>
      </w:tcPr>
    </w:tblStylePr>
    <w:tblStylePr w:type="lastRow">
      <w:rPr>
        <w:b/>
        <w:bCs/>
      </w:rPr>
      <w:tblPr/>
      <w:tcPr>
        <w:tcBorders>
          <w:top w:val="sing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B765EE"/>
    <w:tblPr>
      <w:tblStyleRowBandSize w:val="1"/>
      <w:tblStyleColBandSize w:val="1"/>
    </w:tblPr>
    <w:tblStylePr w:type="firstRow">
      <w:rPr>
        <w:b/>
        <w:bCs/>
      </w:rPr>
      <w:tblPr/>
      <w:tcPr>
        <w:tcBorders>
          <w:bottom w:val="single" w:sz="4" w:space="0" w:color="5F5F5F" w:themeColor="accent3"/>
        </w:tcBorders>
      </w:tcPr>
    </w:tblStylePr>
    <w:tblStylePr w:type="lastRow">
      <w:rPr>
        <w:b/>
        <w:bCs/>
      </w:rPr>
      <w:tblPr/>
      <w:tcPr>
        <w:tcBorders>
          <w:top w:val="sing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B765EE"/>
    <w:tblPr>
      <w:tblStyleRowBandSize w:val="1"/>
      <w:tblStyleColBandSize w:val="1"/>
    </w:tblPr>
    <w:tblStylePr w:type="firstRow">
      <w:rPr>
        <w:b/>
        <w:bCs/>
      </w:rPr>
      <w:tblPr/>
      <w:tcPr>
        <w:tcBorders>
          <w:bottom w:val="single" w:sz="4" w:space="0" w:color="969696" w:themeColor="accent4"/>
        </w:tcBorders>
      </w:tcPr>
    </w:tblStylePr>
    <w:tblStylePr w:type="lastRow">
      <w:rPr>
        <w:b/>
        <w:bCs/>
      </w:rPr>
      <w:tblPr/>
      <w:tcPr>
        <w:tcBorders>
          <w:top w:val="sing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B765EE"/>
    <w:tblPr>
      <w:tblStyleRowBandSize w:val="1"/>
      <w:tblStyleColBandSize w:val="1"/>
    </w:tblPr>
    <w:tblStylePr w:type="firstRow">
      <w:rPr>
        <w:b/>
        <w:bCs/>
      </w:rPr>
      <w:tblPr/>
      <w:tcPr>
        <w:tcBorders>
          <w:bottom w:val="single" w:sz="4" w:space="0" w:color="5F5F5F" w:themeColor="accent5"/>
        </w:tcBorders>
      </w:tcPr>
    </w:tblStylePr>
    <w:tblStylePr w:type="lastRow">
      <w:rPr>
        <w:b/>
        <w:bCs/>
      </w:rPr>
      <w:tblPr/>
      <w:tcPr>
        <w:tcBorders>
          <w:top w:val="sing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B765EE"/>
    <w:tblPr>
      <w:tblStyleRowBandSize w:val="1"/>
      <w:tblStyleColBandSize w:val="1"/>
    </w:tblPr>
    <w:tblStylePr w:type="firstRow">
      <w:rPr>
        <w:b/>
        <w:bCs/>
      </w:rPr>
      <w:tblPr/>
      <w:tcPr>
        <w:tcBorders>
          <w:bottom w:val="single" w:sz="4" w:space="0" w:color="4D4D4D" w:themeColor="accent6"/>
        </w:tcBorders>
      </w:tcPr>
    </w:tblStylePr>
    <w:tblStylePr w:type="lastRow">
      <w:rPr>
        <w:b/>
        <w:bCs/>
      </w:rPr>
      <w:tblPr/>
      <w:tcPr>
        <w:tcBorders>
          <w:top w:val="sing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B765E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B765E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B765E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B765E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B765E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B765E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B765E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B765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B765E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B765E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B765E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B765E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B765E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B765E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B765E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B765E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B765E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B765E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B765E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B765E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B765E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B765E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B765E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B765E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B765E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B765E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B765E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B765E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B765E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B765E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B765E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B765E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B765E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B765E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B765E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B765EE"/>
    <w:rPr>
      <w:color w:val="000000" w:themeColor="text1"/>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B765EE"/>
    <w:rPr>
      <w:color w:val="00548C" w:themeColor="accent1"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B765EE"/>
    <w:rPr>
      <w:color w:val="8F0000" w:themeColor="accent2"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B765EE"/>
    <w:rPr>
      <w:color w:val="474747" w:themeColor="accent3"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B765EE"/>
    <w:rPr>
      <w:color w:val="707070" w:themeColor="accent4"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B765EE"/>
    <w:rPr>
      <w:color w:val="474747" w:themeColor="accent5"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B765EE"/>
    <w:rPr>
      <w:color w:val="393939" w:themeColor="accent6" w:themeShade="BF"/>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Zwykatabela1">
    <w:name w:val="Plain Table 1"/>
    <w:basedOn w:val="Standardowy"/>
    <w:uiPriority w:val="41"/>
    <w:semiHidden/>
    <w:rsid w:val="00B765E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blStylePr w:type="firstRow">
      <w:rPr>
        <w:b/>
        <w:bCs/>
      </w:rPr>
    </w:tblStylePr>
    <w:tblStylePr w:type="lastRow">
      <w:rPr>
        <w:b/>
        <w:bCs/>
      </w:rPr>
      <w:tblPr/>
      <w:tcPr>
        <w:tcBorders>
          <w:top w:val="double" w:sz="4" w:space="0" w:color="0072BC" w:themeColor="background1"/>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B765E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43"/>
    <w:semiHidden/>
    <w:rsid w:val="00B765EE"/>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B765E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B765EE"/>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atkatabelijasna">
    <w:name w:val="Grid Table Light"/>
    <w:basedOn w:val="Standardowy"/>
    <w:uiPriority w:val="40"/>
    <w:semiHidden/>
    <w:rsid w:val="00B765EE"/>
    <w:tblPr>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style>
  <w:style w:type="character" w:styleId="Odwoanieprzypisudolnego">
    <w:name w:val="footnote reference"/>
    <w:basedOn w:val="Domylnaczcionkaakapitu"/>
    <w:uiPriority w:val="98"/>
    <w:semiHidden/>
    <w:unhideWhenUsed/>
    <w:rsid w:val="002424A2"/>
    <w:rPr>
      <w:vertAlign w:val="superscript"/>
    </w:rPr>
  </w:style>
  <w:style w:type="character" w:styleId="Hipercze">
    <w:name w:val="Hyperlink"/>
    <w:basedOn w:val="Domylnaczcionkaakapitu"/>
    <w:uiPriority w:val="99"/>
    <w:semiHidden/>
    <w:unhideWhenUsed/>
    <w:rsid w:val="0078489C"/>
    <w:rPr>
      <w:color w:val="0000FF"/>
      <w:u w:val="single"/>
    </w:rPr>
  </w:style>
  <w:style w:type="paragraph" w:styleId="Poprawka">
    <w:name w:val="Revision"/>
    <w:hidden/>
    <w:uiPriority w:val="99"/>
    <w:semiHidden/>
    <w:rsid w:val="001A340E"/>
    <w:pPr>
      <w:suppressAutoHyphens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E48B8D-5BC1-4C8A-A5A9-EB96B0074B09}">
  <ds:schemaRefs>
    <ds:schemaRef ds:uri="http://schemas.microsoft.com/sharepoint/v3/contenttype/forms"/>
  </ds:schemaRefs>
</ds:datastoreItem>
</file>

<file path=customXml/itemProps2.xml><?xml version="1.0" encoding="utf-8"?>
<ds:datastoreItem xmlns:ds="http://schemas.openxmlformats.org/officeDocument/2006/customXml" ds:itemID="{B221767F-7FBB-4B4B-9ABF-5290D1C35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7F28A7A-74CE-405A-B869-8C135F2A7AFB}">
  <ds:schemaRefs>
    <ds:schemaRef ds:uri="http://schemas.openxmlformats.org/officeDocument/2006/bibliography"/>
  </ds:schemaRefs>
</ds:datastoreItem>
</file>

<file path=customXml/itemProps4.xml><?xml version="1.0" encoding="utf-8"?>
<ds:datastoreItem xmlns:ds="http://schemas.openxmlformats.org/officeDocument/2006/customXml" ds:itemID="{533951A3-44C7-4544-B1A0-89400EC2BDB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3021</Words>
  <Characters>18131</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JM</dc:creator>
  <dc:description/>
  <cp:lastModifiedBy>Podwysocka Wioleta  (DWMPC)</cp:lastModifiedBy>
  <cp:revision>4</cp:revision>
  <dcterms:created xsi:type="dcterms:W3CDTF">2023-09-01T13:10:00Z</dcterms:created>
  <dcterms:modified xsi:type="dcterms:W3CDTF">2023-09-01T13:19:00Z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ASEID">
    <vt:lpwstr>910880</vt:lpwstr>
  </property>
  <property fmtid="{D5CDD505-2E9C-101B-9397-08002B2CF9AE}" pid="4" name="ContentTypeId">
    <vt:lpwstr>0x010100558EB02BDB9E204AB350EDD385B68E10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RegisteredNo">
    <vt:lpwstr>60136/13</vt:lpwstr>
  </property>
  <property fmtid="{D5CDD505-2E9C-101B-9397-08002B2CF9AE}" pid="9" name="ScaleCrop">
    <vt:bool>false</vt:bool>
  </property>
  <property fmtid="{D5CDD505-2E9C-101B-9397-08002B2CF9AE}" pid="10" name="ShareDoc">
    <vt:bool>false</vt:bool>
  </property>
  <property fmtid="{D5CDD505-2E9C-101B-9397-08002B2CF9AE}" pid="11" name="category">
    <vt:lpwstr>ECHR Template</vt:lpwstr>
  </property>
  <property fmtid="{D5CDD505-2E9C-101B-9397-08002B2CF9AE}" pid="12" name="cstLanguage">
    <vt:i4>2057</vt:i4>
  </property>
</Properties>
</file>