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4AB61B" w14:textId="3CC9ED1B" w:rsidR="0013201E" w:rsidRPr="00287E6F" w:rsidRDefault="005F6899" w:rsidP="005F6899">
      <w:pPr>
        <w:jc w:val="cent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EUROPEJSKI TRYBUNAŁ PRAW CZŁOWIEKA</w:t>
      </w:r>
    </w:p>
    <w:p w14:paraId="4D318E73" w14:textId="77777777" w:rsidR="007A4070" w:rsidRPr="00287E6F" w:rsidRDefault="007A4070" w:rsidP="00287E6F"/>
    <w:p w14:paraId="0132A733" w14:textId="7F3B2AA0" w:rsidR="007A4070" w:rsidRPr="00287E6F" w:rsidRDefault="0013201E" w:rsidP="00287E6F">
      <w:pPr>
        <w:pStyle w:val="DecHCase"/>
      </w:pPr>
      <w:r>
        <w:t>SEKCJA PIERWSZA</w:t>
      </w:r>
    </w:p>
    <w:p w14:paraId="0F4505B4" w14:textId="5DA459A3" w:rsidR="007A4070" w:rsidRPr="00287E6F" w:rsidRDefault="007A4070" w:rsidP="00287E6F">
      <w:pPr>
        <w:pStyle w:val="JuTitle"/>
      </w:pPr>
      <w:r>
        <w:t>SPRAWA SZEWCZYKOWIE przeciwko POLSCE</w:t>
      </w:r>
    </w:p>
    <w:p w14:paraId="0AE1953A" w14:textId="0938DE51" w:rsidR="007A4070" w:rsidRPr="00287E6F" w:rsidRDefault="007A4070" w:rsidP="00287E6F">
      <w:pPr>
        <w:pStyle w:val="ECHRCoverTitle4"/>
      </w:pPr>
      <w:r>
        <w:t>(Skarga nr 51832/13)</w:t>
      </w:r>
    </w:p>
    <w:p w14:paraId="0B26961C" w14:textId="77777777" w:rsidR="007A4070" w:rsidRPr="00287E6F" w:rsidRDefault="007A4070" w:rsidP="00287E6F">
      <w:pPr>
        <w:pStyle w:val="DecHCase"/>
      </w:pPr>
    </w:p>
    <w:p w14:paraId="625960F3" w14:textId="77777777" w:rsidR="007A4070" w:rsidRPr="00287E6F" w:rsidRDefault="007A4070" w:rsidP="00287E6F">
      <w:pPr>
        <w:pStyle w:val="DecHCase"/>
      </w:pPr>
    </w:p>
    <w:p w14:paraId="19E92DA3" w14:textId="77777777" w:rsidR="007A4070" w:rsidRPr="00287E6F" w:rsidRDefault="007A4070" w:rsidP="00287E6F">
      <w:pPr>
        <w:pStyle w:val="DecHCase"/>
      </w:pPr>
    </w:p>
    <w:p w14:paraId="21887426" w14:textId="77777777" w:rsidR="007A4070" w:rsidRPr="00287E6F" w:rsidRDefault="007A4070" w:rsidP="00287E6F">
      <w:pPr>
        <w:pStyle w:val="DecHCase"/>
      </w:pPr>
    </w:p>
    <w:p w14:paraId="0ADC968C" w14:textId="77777777" w:rsidR="007A4070" w:rsidRPr="00287E6F" w:rsidRDefault="007A4070" w:rsidP="00287E6F">
      <w:pPr>
        <w:pStyle w:val="DecHCase"/>
      </w:pPr>
    </w:p>
    <w:p w14:paraId="4B8829F0" w14:textId="77777777" w:rsidR="007A4070" w:rsidRPr="00287E6F" w:rsidRDefault="007A4070" w:rsidP="00287E6F">
      <w:pPr>
        <w:pStyle w:val="DecHCase"/>
      </w:pPr>
    </w:p>
    <w:p w14:paraId="41BDB50D" w14:textId="5B09805A" w:rsidR="007A4070" w:rsidRPr="00287E6F" w:rsidRDefault="007A4070" w:rsidP="00287E6F">
      <w:pPr>
        <w:pStyle w:val="DecHCase"/>
      </w:pPr>
      <w:r>
        <w:t>WYROK</w:t>
      </w:r>
      <w:r>
        <w:br/>
      </w:r>
    </w:p>
    <w:p w14:paraId="25D79DE6" w14:textId="77777777" w:rsidR="007A4070" w:rsidRPr="00287E6F" w:rsidRDefault="007A4070" w:rsidP="00287E6F">
      <w:pPr>
        <w:pStyle w:val="DecHCase"/>
      </w:pPr>
      <w:r>
        <w:t>STRASBURG</w:t>
      </w:r>
    </w:p>
    <w:p w14:paraId="5BD142CA" w14:textId="4DD85907" w:rsidR="007A4070" w:rsidRPr="00287E6F" w:rsidRDefault="0013201E" w:rsidP="00287E6F">
      <w:pPr>
        <w:pStyle w:val="DecHCase"/>
      </w:pPr>
      <w:r>
        <w:t>9 czerwca 2022 r.</w:t>
      </w:r>
    </w:p>
    <w:p w14:paraId="05FC2F1B" w14:textId="77777777" w:rsidR="007A4070" w:rsidRPr="00287E6F" w:rsidRDefault="007A4070" w:rsidP="00287E6F">
      <w:pPr>
        <w:pStyle w:val="DecHCase"/>
      </w:pPr>
    </w:p>
    <w:p w14:paraId="36A7CB9E" w14:textId="4F9FDAFB" w:rsidR="00516B59" w:rsidRPr="00287E6F" w:rsidRDefault="007A4070" w:rsidP="00287E6F">
      <w:pPr>
        <w:rPr>
          <w:rFonts w:ascii="Times New Roman" w:hAnsi="Times New Roman" w:cs="Times New Roman"/>
          <w:i/>
          <w:sz w:val="22"/>
        </w:rPr>
      </w:pPr>
      <w:r>
        <w:rPr>
          <w:i/>
          <w:sz w:val="22"/>
        </w:rPr>
        <w:t>Wyrok ten jest ostateczny. Może on podlegać korekcie wydawniczej.</w:t>
      </w:r>
    </w:p>
    <w:p w14:paraId="5E3B37B3" w14:textId="77777777" w:rsidR="00516B59" w:rsidRPr="00287E6F" w:rsidRDefault="00516B59" w:rsidP="00287E6F">
      <w:pPr>
        <w:ind w:left="720"/>
        <w:rPr>
          <w:rFonts w:ascii="Times New Roman" w:hAnsi="Times New Roman" w:cs="Times New Roman"/>
          <w:sz w:val="22"/>
        </w:rPr>
        <w:sectPr w:rsidR="00516B59" w:rsidRPr="00287E6F" w:rsidSect="0090260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20D4BCEC" w14:textId="1B59BC29" w:rsidR="004344E6" w:rsidRPr="00287E6F" w:rsidRDefault="004344E6" w:rsidP="00287E6F">
      <w:pPr>
        <w:pStyle w:val="JuCase"/>
      </w:pPr>
      <w:r>
        <w:rPr>
          <w:bCs/>
        </w:rPr>
        <w:lastRenderedPageBreak/>
        <w:t xml:space="preserve">W sprawie Szewczykowie przeciwko Polsce, </w:t>
      </w:r>
    </w:p>
    <w:p w14:paraId="1C607CFB" w14:textId="21F698C2" w:rsidR="004344E6" w:rsidRPr="00287E6F" w:rsidRDefault="004344E6" w:rsidP="00287E6F">
      <w:pPr>
        <w:pStyle w:val="JuPara"/>
      </w:pPr>
      <w:r>
        <w:t>Europejski Trybunał Praw Człowieka (</w:t>
      </w:r>
      <w:r w:rsidR="005F6899">
        <w:t>Sekcja Pierwsza</w:t>
      </w:r>
      <w:r>
        <w:t xml:space="preserve">), zasiadając jako </w:t>
      </w:r>
      <w:r w:rsidR="005F6899">
        <w:t xml:space="preserve">Komitet </w:t>
      </w:r>
      <w:r>
        <w:t>w składzie:</w:t>
      </w:r>
    </w:p>
    <w:p w14:paraId="47300E21" w14:textId="75A9EB94" w:rsidR="00BB5E42" w:rsidRPr="00287E6F" w:rsidRDefault="00BB5E42" w:rsidP="00287E6F">
      <w:pPr>
        <w:pStyle w:val="JuJudges"/>
        <w:jc w:val="both"/>
        <w:rPr>
          <w:i/>
        </w:rPr>
      </w:pPr>
      <w:r>
        <w:tab/>
        <w:t xml:space="preserve">Erik </w:t>
      </w:r>
      <w:proofErr w:type="spellStart"/>
      <w:r>
        <w:t>Wennerström</w:t>
      </w:r>
      <w:proofErr w:type="spellEnd"/>
      <w:r>
        <w:t>,</w:t>
      </w:r>
      <w:r>
        <w:rPr>
          <w:i/>
        </w:rPr>
        <w:t xml:space="preserve"> </w:t>
      </w:r>
      <w:r w:rsidR="005F6899">
        <w:rPr>
          <w:i/>
        </w:rPr>
        <w:t>Przewodniczący</w:t>
      </w:r>
      <w:r>
        <w:rPr>
          <w:i/>
        </w:rPr>
        <w:t>,</w:t>
      </w:r>
    </w:p>
    <w:p w14:paraId="3CA51126" w14:textId="77777777" w:rsidR="00BB5E42" w:rsidRPr="00287E6F" w:rsidRDefault="00BB5E42" w:rsidP="00287E6F">
      <w:pPr>
        <w:pStyle w:val="JuJudges"/>
        <w:jc w:val="both"/>
      </w:pPr>
      <w:r>
        <w:tab/>
        <w:t xml:space="preserve">Krzysztof </w:t>
      </w:r>
      <w:proofErr w:type="spellStart"/>
      <w:r>
        <w:t>Wojtyczek</w:t>
      </w:r>
      <w:proofErr w:type="spellEnd"/>
      <w:r>
        <w:t>,</w:t>
      </w:r>
    </w:p>
    <w:p w14:paraId="129FF7E5" w14:textId="68674A40" w:rsidR="00BB5E42" w:rsidRPr="00287E6F" w:rsidRDefault="00BB5E42" w:rsidP="00287E6F">
      <w:pPr>
        <w:pStyle w:val="JuJudges"/>
        <w:jc w:val="both"/>
      </w:pPr>
      <w:r>
        <w:tab/>
      </w:r>
      <w:proofErr w:type="spellStart"/>
      <w:r>
        <w:t>Ioannis</w:t>
      </w:r>
      <w:proofErr w:type="spellEnd"/>
      <w:r>
        <w:t xml:space="preserve"> </w:t>
      </w:r>
      <w:proofErr w:type="spellStart"/>
      <w:r>
        <w:t>Ktistakis</w:t>
      </w:r>
      <w:proofErr w:type="spellEnd"/>
      <w:r>
        <w:t xml:space="preserve">, </w:t>
      </w:r>
      <w:r>
        <w:rPr>
          <w:i/>
        </w:rPr>
        <w:t>sędziowie,</w:t>
      </w:r>
    </w:p>
    <w:p w14:paraId="3CA77B75" w14:textId="4523033A" w:rsidR="004344E6" w:rsidRPr="00287E6F" w:rsidRDefault="004344E6" w:rsidP="00287E6F">
      <w:pPr>
        <w:pStyle w:val="JuJudges"/>
        <w:jc w:val="both"/>
      </w:pPr>
      <w:r>
        <w:t xml:space="preserve">oraz </w:t>
      </w:r>
      <w:proofErr w:type="spellStart"/>
      <w:r>
        <w:t>Liv</w:t>
      </w:r>
      <w:proofErr w:type="spellEnd"/>
      <w:r>
        <w:t xml:space="preserve"> </w:t>
      </w:r>
      <w:proofErr w:type="spellStart"/>
      <w:r>
        <w:t>Tigerstedt</w:t>
      </w:r>
      <w:proofErr w:type="spellEnd"/>
      <w:r>
        <w:t xml:space="preserve">, </w:t>
      </w:r>
      <w:r w:rsidR="005F6899">
        <w:rPr>
          <w:i/>
          <w:iCs/>
        </w:rPr>
        <w:t>Zastępca</w:t>
      </w:r>
      <w:r w:rsidR="005F6899">
        <w:t xml:space="preserve"> </w:t>
      </w:r>
      <w:r w:rsidR="005F6899">
        <w:rPr>
          <w:i/>
        </w:rPr>
        <w:t>Kanclerza Sekcji</w:t>
      </w:r>
      <w:r>
        <w:t>,</w:t>
      </w:r>
    </w:p>
    <w:p w14:paraId="0037FBEB" w14:textId="53900CBF" w:rsidR="0013201E" w:rsidRPr="00287E6F" w:rsidRDefault="00185DB5" w:rsidP="00287E6F">
      <w:pPr>
        <w:ind w:firstLine="284"/>
        <w:jc w:val="both"/>
        <w:rPr>
          <w:rStyle w:val="JuParaChar"/>
        </w:rPr>
      </w:pPr>
      <w:r>
        <w:rPr>
          <w:rStyle w:val="JuParaChar"/>
        </w:rPr>
        <w:t>Mając na uwadze</w:t>
      </w:r>
      <w:r w:rsidR="0013201E">
        <w:rPr>
          <w:rStyle w:val="JuParaChar"/>
        </w:rPr>
        <w:t>:</w:t>
      </w:r>
    </w:p>
    <w:p w14:paraId="7EC813A0" w14:textId="57B425E2" w:rsidR="0013201E" w:rsidRPr="00287E6F" w:rsidRDefault="0013201E" w:rsidP="00287E6F">
      <w:pPr>
        <w:pStyle w:val="JuPara"/>
      </w:pPr>
      <w:r>
        <w:rPr>
          <w:rStyle w:val="JuParaChar"/>
        </w:rPr>
        <w:t xml:space="preserve"> </w:t>
      </w:r>
      <w:r>
        <w:t>skargę (nr</w:t>
      </w:r>
      <w:r w:rsidR="005F6899">
        <w:t xml:space="preserve"> </w:t>
      </w:r>
      <w:r>
        <w:t>51832/13) przeciwko Rzeczypospolitej Polskiej złożoną do</w:t>
      </w:r>
      <w:r w:rsidR="007B4474">
        <w:t> </w:t>
      </w:r>
      <w:r>
        <w:t>Trybunału w dniu 6 sierpnia 2013 r.</w:t>
      </w:r>
      <w:r>
        <w:rPr>
          <w:color w:val="0072BC" w:themeColor="background1"/>
        </w:rPr>
        <w:t xml:space="preserve"> </w:t>
      </w:r>
      <w:r>
        <w:t>przez dwoje obywateli pol</w:t>
      </w:r>
      <w:r w:rsidR="008F1369">
        <w:t>s</w:t>
      </w:r>
      <w:r>
        <w:t xml:space="preserve">kich, panią Marię Szewczyk i pana Piotra Szewczyka („skarżący”), urodzonych odpowiednio w 1954 r. i 1959 r., zamieszkałych w Iwierzycach, reprezentowanych przez panią A. </w:t>
      </w:r>
      <w:proofErr w:type="spellStart"/>
      <w:r>
        <w:t>Niżankowską-Horodecką</w:t>
      </w:r>
      <w:proofErr w:type="spellEnd"/>
      <w:r>
        <w:t>, adwokat z</w:t>
      </w:r>
      <w:r w:rsidR="007B4474">
        <w:t> </w:t>
      </w:r>
      <w:r>
        <w:t>Krakowa, na podstawie art. 34 Konwencji o Ochronie Praw Człowieka i</w:t>
      </w:r>
      <w:r w:rsidR="007B4474">
        <w:t> </w:t>
      </w:r>
      <w:r>
        <w:t>Podstawowych Wolności („Konwencja”),</w:t>
      </w:r>
    </w:p>
    <w:p w14:paraId="5C8F6CB1" w14:textId="0DA1BB6A" w:rsidR="0013201E" w:rsidRPr="00287E6F" w:rsidRDefault="0013201E" w:rsidP="00287E6F">
      <w:pPr>
        <w:pStyle w:val="JuPara"/>
      </w:pPr>
      <w:r>
        <w:t xml:space="preserve">decyzję o </w:t>
      </w:r>
      <w:r w:rsidR="005F6899">
        <w:t xml:space="preserve">zakomunikowaniu </w:t>
      </w:r>
      <w:r>
        <w:t xml:space="preserve">skargi na podstawie art. 6 ust. 1 </w:t>
      </w:r>
      <w:r w:rsidR="005F6899">
        <w:t>Rządowi RP („Rząd”), reprezentowanemu</w:t>
      </w:r>
      <w:r>
        <w:t xml:space="preserve"> przez swoich pełnomocników, najpierw panią</w:t>
      </w:r>
      <w:r w:rsidR="005F6899">
        <w:t xml:space="preserve"> </w:t>
      </w:r>
      <w:r>
        <w:t>J. Chrzanowską, a następnie pana J. Sobczaka, oboje z Ministerstwa Spraw Zagranicznych, oraz o uznaniu skargi za niedopuszczalną w pozostałym zakresie,</w:t>
      </w:r>
    </w:p>
    <w:p w14:paraId="6118C6CA" w14:textId="7D0C5114" w:rsidR="0013201E" w:rsidRPr="00287E6F" w:rsidRDefault="0013201E" w:rsidP="00287E6F">
      <w:pPr>
        <w:pStyle w:val="JuPara"/>
      </w:pPr>
      <w:r>
        <w:t>stanowiska stron,</w:t>
      </w:r>
    </w:p>
    <w:p w14:paraId="0E8F0B0D" w14:textId="1A446FFC" w:rsidR="004344E6" w:rsidRPr="00287E6F" w:rsidRDefault="004344E6" w:rsidP="00287E6F">
      <w:pPr>
        <w:pStyle w:val="JuPara"/>
      </w:pPr>
      <w:r>
        <w:t>obradując na posiedzeniu niejawnym w dniu 17 maja 2022 r.,</w:t>
      </w:r>
    </w:p>
    <w:p w14:paraId="20A7B922" w14:textId="033E5927" w:rsidR="00876F03" w:rsidRPr="00287E6F" w:rsidRDefault="004344E6" w:rsidP="00287E6F">
      <w:pPr>
        <w:pStyle w:val="JuPara"/>
      </w:pPr>
      <w:r>
        <w:t>wydaje następujący wyrok, który został przyjęty w tym dniu:</w:t>
      </w:r>
    </w:p>
    <w:p w14:paraId="5D7604CC" w14:textId="2D635DA6" w:rsidR="0013201E" w:rsidRPr="00287E6F" w:rsidRDefault="0013201E" w:rsidP="00287E6F">
      <w:pPr>
        <w:pStyle w:val="JuHHead"/>
      </w:pPr>
      <w:r>
        <w:t>PRZEDMIOT SPRAWY</w:t>
      </w:r>
    </w:p>
    <w:p w14:paraId="13A2EFD6" w14:textId="4BB031F8" w:rsidR="0013201E" w:rsidRPr="00287E6F" w:rsidRDefault="008F1369" w:rsidP="00287E6F">
      <w:pPr>
        <w:pStyle w:val="JuPara"/>
      </w:pPr>
      <w:r>
        <w:rPr>
          <w:noProof/>
        </w:rPr>
        <w:t>1</w:t>
      </w:r>
      <w:r w:rsidR="0013201E">
        <w:t>.</w:t>
      </w:r>
      <w:r w:rsidR="005F6899">
        <w:t xml:space="preserve"> </w:t>
      </w:r>
      <w:r w:rsidR="0013201E">
        <w:t>Niniejsza sprawa dotyczy naruszenia prawa do sądu, którego skarżący mieli doznać w wyniku obowiązku uiszczenia wygórowane</w:t>
      </w:r>
      <w:r w:rsidR="005F6899">
        <w:t>j</w:t>
      </w:r>
      <w:r w:rsidR="0013201E">
        <w:t xml:space="preserve"> – ich zdaniem – </w:t>
      </w:r>
      <w:r w:rsidR="004D657A">
        <w:t>opłat</w:t>
      </w:r>
      <w:r w:rsidR="005F6899">
        <w:t>y</w:t>
      </w:r>
      <w:r w:rsidR="004D657A">
        <w:t xml:space="preserve"> sądow</w:t>
      </w:r>
      <w:r w:rsidR="005F6899">
        <w:t>ej</w:t>
      </w:r>
      <w:r w:rsidR="004D657A">
        <w:t xml:space="preserve"> </w:t>
      </w:r>
      <w:r w:rsidR="0013201E">
        <w:t>od apelacji od wydanego przeciwko nim wyroku.</w:t>
      </w:r>
    </w:p>
    <w:p w14:paraId="0B8B4B42" w14:textId="5957ADC0" w:rsidR="0013201E" w:rsidRPr="00287E6F" w:rsidRDefault="008F1369" w:rsidP="00287E6F">
      <w:pPr>
        <w:pStyle w:val="JuPara"/>
      </w:pPr>
      <w:r>
        <w:rPr>
          <w:noProof/>
        </w:rPr>
        <w:t>2</w:t>
      </w:r>
      <w:r w:rsidR="00C56314">
        <w:t>.</w:t>
      </w:r>
      <w:r w:rsidR="005F6899">
        <w:t xml:space="preserve"> </w:t>
      </w:r>
      <w:r w:rsidR="00C56314">
        <w:t xml:space="preserve">W wyroku, który skarżący zaskarżyli w apelacji, zasądzono od nich solidarnie na rzecz ich przeciwnika kwotę około 634 000 USD oraz koszty sądowe i wynagrodzenie pełnomocnika w wysokości odpowiednio 101 691 (około 25 000 EUR) i 10 000 złotych (PLN). W postępowaniu apelacyjnym </w:t>
      </w:r>
      <w:r w:rsidR="00CD0669">
        <w:t>zainteresowani</w:t>
      </w:r>
      <w:r w:rsidR="00C56314">
        <w:t xml:space="preserve"> wn</w:t>
      </w:r>
      <w:r w:rsidR="00CD0669">
        <w:t>ieśli</w:t>
      </w:r>
      <w:r w:rsidR="00C56314">
        <w:t xml:space="preserve"> o zwolnienie </w:t>
      </w:r>
      <w:r w:rsidR="00CD0669">
        <w:t xml:space="preserve">z </w:t>
      </w:r>
      <w:r w:rsidR="00C56314">
        <w:t>kosztów postępowania apelacyjnego w części przekraczającej 10 000 PLN, wskazując, że kwotę 10 000 PLN mogą uiścić, zaciągając pożyczkę u swoich bliskich. W złożonym przez siebie oświadczeniu o stanie majątkowym wyjaśnili, że wszystkie ich nieruchomości są obciążone hipotekami i kredytami, kilka składników ich majątku jest niezbędnych do kontynuowania działalności gospodarczej, dochody uzyskiwane z działalności nie wystarczają na pokrycie kosztów zarządzania zadłużeniem, ich zdolność kredytowa jest zerowa ze względu na</w:t>
      </w:r>
      <w:r w:rsidR="007B4474">
        <w:t> </w:t>
      </w:r>
      <w:r w:rsidR="00C56314">
        <w:t>wysoki poziom zadłużenia oraz że nie mają możliwości swobodnego rozporządzania środkami znajdującymi się na ich rachunku bankowym w</w:t>
      </w:r>
      <w:r w:rsidR="007B4474">
        <w:t> </w:t>
      </w:r>
      <w:r w:rsidR="00C56314">
        <w:t>wysokości 41 969 PLN.</w:t>
      </w:r>
    </w:p>
    <w:p w14:paraId="27A97A7D" w14:textId="171DC569" w:rsidR="0013201E" w:rsidRPr="00287E6F" w:rsidRDefault="008F1369" w:rsidP="00287E6F">
      <w:pPr>
        <w:pStyle w:val="JuPara"/>
      </w:pPr>
      <w:r>
        <w:rPr>
          <w:noProof/>
        </w:rPr>
        <w:lastRenderedPageBreak/>
        <w:t>3</w:t>
      </w:r>
      <w:r w:rsidR="00C56314">
        <w:t>.</w:t>
      </w:r>
      <w:r w:rsidR="005F6899">
        <w:t xml:space="preserve"> </w:t>
      </w:r>
      <w:r w:rsidR="00C56314">
        <w:t>Sądy krajowe rozpoznające sprawę skarżących postanowiły zwolnić skarżących od kosztów postępowania apelacyjnego w części przekraczającej kwotę 60 000 PLN. Uznając w uzasadnieniu swoich rozstrzygnięć, że</w:t>
      </w:r>
      <w:r w:rsidR="007B4474">
        <w:t> </w:t>
      </w:r>
      <w:r w:rsidR="00C56314">
        <w:t xml:space="preserve">sytuacja finansowa skarżących jest delikatna, uznały, że biorąc pod uwagę wartość majątku skarżących i ich oszczędności, są oni w stanie uiścić </w:t>
      </w:r>
      <w:r w:rsidR="00320C8C">
        <w:t>opłatę sądową</w:t>
      </w:r>
      <w:r w:rsidR="00C56314">
        <w:t xml:space="preserve"> od apelacji. W szczególności zauważyły, że biorąc pod uwagę rodzaj działalności gospodarczej prowadzonej przez skarżących oraz przychody, jakie z niej osiągali, skarżący powinni byli zgromadzić środki na pokrycie kosztów postępowania z wyprzedzeniem. Zauważając, że kwota na rachunku bankowym skarżących nie była przedmiotem zajęcia przez komornika, </w:t>
      </w:r>
      <w:r w:rsidR="00D701D9">
        <w:t>że</w:t>
      </w:r>
      <w:r w:rsidR="007B4474">
        <w:t> </w:t>
      </w:r>
      <w:r w:rsidR="00C56314">
        <w:t xml:space="preserve">przychody skarżących pochodziły z różnych źródeł oraz że sami skarżący stwierdzili, że byli w stanie uzyskać kwotę 10 000 PLN, </w:t>
      </w:r>
      <w:r w:rsidR="00D701D9">
        <w:t xml:space="preserve">sądy </w:t>
      </w:r>
      <w:r w:rsidR="00C56314">
        <w:t>doszły do</w:t>
      </w:r>
      <w:r w:rsidR="007B4474">
        <w:t> </w:t>
      </w:r>
      <w:r w:rsidR="00C56314">
        <w:t>wniosku, że skarżący nie spełniali przesłanek zwolnienia, o które wnioskowali.</w:t>
      </w:r>
    </w:p>
    <w:p w14:paraId="2BCCDE69" w14:textId="5D17F5DA" w:rsidR="0013201E" w:rsidRPr="00287E6F" w:rsidRDefault="008F1369" w:rsidP="00287E6F">
      <w:pPr>
        <w:pStyle w:val="JuPara"/>
      </w:pPr>
      <w:r>
        <w:rPr>
          <w:noProof/>
        </w:rPr>
        <w:t>4</w:t>
      </w:r>
      <w:r w:rsidR="00C56314">
        <w:t>.</w:t>
      </w:r>
      <w:r w:rsidR="005F6899">
        <w:t xml:space="preserve"> </w:t>
      </w:r>
      <w:r w:rsidR="00C56314">
        <w:t>W dniu 18 lutego 2013 r. apelację skarżących odrzucono z powodu nieuiszczenia</w:t>
      </w:r>
      <w:r w:rsidR="00B955E5">
        <w:t xml:space="preserve"> opłaty sądowej</w:t>
      </w:r>
      <w:r w:rsidR="00C56314">
        <w:t>.</w:t>
      </w:r>
    </w:p>
    <w:p w14:paraId="6D7D232E" w14:textId="51D198BD" w:rsidR="0013201E" w:rsidRPr="00287E6F" w:rsidRDefault="008F1369" w:rsidP="00287E6F">
      <w:pPr>
        <w:pStyle w:val="JuPara"/>
      </w:pPr>
      <w:r>
        <w:rPr>
          <w:noProof/>
        </w:rPr>
        <w:t>5</w:t>
      </w:r>
      <w:r w:rsidR="00C56314">
        <w:t>.</w:t>
      </w:r>
      <w:r w:rsidR="005F6899">
        <w:t xml:space="preserve"> </w:t>
      </w:r>
      <w:r w:rsidR="00C56314">
        <w:t xml:space="preserve">Na podstawie art. 6 ust. 1 Konwencji skarżący zarzucili, że ich prawo dostępu do sądu zostało naruszone poprzez zażądanie od nich uiszczenia kwoty 60 000 PLN tytułem </w:t>
      </w:r>
      <w:r w:rsidR="00B955E5">
        <w:t xml:space="preserve">opłaty sądowej </w:t>
      </w:r>
      <w:r w:rsidR="00C56314">
        <w:t>od apelacji.</w:t>
      </w:r>
    </w:p>
    <w:p w14:paraId="74BB8F06" w14:textId="4274B9E4" w:rsidR="0013201E" w:rsidRPr="00287E6F" w:rsidRDefault="0013201E" w:rsidP="00287E6F">
      <w:pPr>
        <w:pStyle w:val="JuHHead"/>
      </w:pPr>
      <w:bookmarkStart w:id="0" w:name="_Hlk36126677"/>
      <w:r>
        <w:t>OCENA TRYBUNAŁU</w:t>
      </w:r>
      <w:bookmarkStart w:id="1" w:name="_Hlk36127606"/>
      <w:bookmarkStart w:id="2" w:name="_Hlk78277719"/>
      <w:bookmarkStart w:id="3" w:name="_Hlk34839031"/>
      <w:bookmarkEnd w:id="0"/>
    </w:p>
    <w:p w14:paraId="289F5022" w14:textId="7602A49A" w:rsidR="0013201E" w:rsidRPr="00287E6F" w:rsidRDefault="008F1369" w:rsidP="00287E6F">
      <w:pPr>
        <w:pStyle w:val="JuPara"/>
      </w:pPr>
      <w:r>
        <w:rPr>
          <w:noProof/>
        </w:rPr>
        <w:t>6</w:t>
      </w:r>
      <w:r w:rsidR="00C56314">
        <w:t>.</w:t>
      </w:r>
      <w:r w:rsidR="005F6899">
        <w:t xml:space="preserve"> </w:t>
      </w:r>
      <w:r w:rsidR="00C56314">
        <w:t>Uznając, że skarga nie jest w sposób oczywisty nieuzasadniona ani niedopuszczalna z innych względów na podstawie art. 35 Konwencji, Trybunał uzna</w:t>
      </w:r>
      <w:r w:rsidR="00D701D9">
        <w:t>je</w:t>
      </w:r>
      <w:r w:rsidR="00C56314">
        <w:t xml:space="preserve"> ją za dopuszczalną.</w:t>
      </w:r>
      <w:bookmarkEnd w:id="1"/>
      <w:bookmarkEnd w:id="2"/>
    </w:p>
    <w:p w14:paraId="4B54FE5F" w14:textId="1808226B" w:rsidR="0013201E" w:rsidRPr="00287E6F" w:rsidRDefault="008F1369" w:rsidP="00287E6F">
      <w:pPr>
        <w:pStyle w:val="JuPara"/>
      </w:pPr>
      <w:r>
        <w:rPr>
          <w:noProof/>
        </w:rPr>
        <w:t>7</w:t>
      </w:r>
      <w:r w:rsidR="00C56314">
        <w:t>.</w:t>
      </w:r>
      <w:r w:rsidR="005F6899">
        <w:t xml:space="preserve"> </w:t>
      </w:r>
      <w:r w:rsidR="00C56314">
        <w:t>Rząd podn</w:t>
      </w:r>
      <w:r w:rsidR="00D701D9">
        <w:t>osi</w:t>
      </w:r>
      <w:r w:rsidR="00C56314">
        <w:t>, że sytuacja finansowa skarżących, przedstawiona przez nich w ich oświadczeniu o stanie majątkowym, została dokładnie zbadana przez sądy krajowe, które – jak twierdzi – wyciągnęły odpowiednie wnioski z analizy tego punktu i należycie uzasadniły swoje rozstrzygnięcia w tym zakresie. Stwierdza ponadto, że sądy krajowe zwolniły skarżących z</w:t>
      </w:r>
      <w:r w:rsidR="007B4474">
        <w:t> </w:t>
      </w:r>
      <w:r w:rsidR="00C56314">
        <w:t>obowiązku uiszczenia spornych kosztów w części wynoszącej 40% ich</w:t>
      </w:r>
      <w:r w:rsidR="00F73A92">
        <w:t> </w:t>
      </w:r>
      <w:r w:rsidR="00C56314">
        <w:t>łącznej kwoty.</w:t>
      </w:r>
    </w:p>
    <w:p w14:paraId="625F7B62" w14:textId="45877259" w:rsidR="0013201E" w:rsidRPr="00287E6F" w:rsidRDefault="008F1369" w:rsidP="00287E6F">
      <w:pPr>
        <w:pStyle w:val="JuPara"/>
      </w:pPr>
      <w:r>
        <w:rPr>
          <w:noProof/>
        </w:rPr>
        <w:t>8</w:t>
      </w:r>
      <w:r w:rsidR="00C56314">
        <w:t>.</w:t>
      </w:r>
      <w:r w:rsidR="005F6899">
        <w:t xml:space="preserve"> </w:t>
      </w:r>
      <w:r w:rsidR="00C56314">
        <w:t>Skarżący kwestionują argumenty Rządu.</w:t>
      </w:r>
    </w:p>
    <w:p w14:paraId="48FBC55D" w14:textId="0FCF20D8" w:rsidR="0013201E" w:rsidRPr="00287E6F" w:rsidRDefault="008F1369" w:rsidP="00287E6F">
      <w:pPr>
        <w:pStyle w:val="JuPara"/>
      </w:pPr>
      <w:r>
        <w:rPr>
          <w:noProof/>
        </w:rPr>
        <w:t>9</w:t>
      </w:r>
      <w:r w:rsidR="00C56314">
        <w:t>.</w:t>
      </w:r>
      <w:r w:rsidR="005F6899">
        <w:t xml:space="preserve"> </w:t>
      </w:r>
      <w:r w:rsidR="00D701D9">
        <w:t>Z</w:t>
      </w:r>
      <w:r w:rsidR="00C56314">
        <w:t xml:space="preserve">asady </w:t>
      </w:r>
      <w:r w:rsidR="00D701D9">
        <w:t xml:space="preserve">ogólne </w:t>
      </w:r>
      <w:r w:rsidR="00C56314">
        <w:t xml:space="preserve">mające zastosowanie w takich przypadkach zostały określone w licznych wyrokach (zob. np. </w:t>
      </w:r>
      <w:proofErr w:type="spellStart"/>
      <w:r w:rsidR="00C56314">
        <w:rPr>
          <w:i/>
          <w:iCs/>
        </w:rPr>
        <w:t>Kreuz</w:t>
      </w:r>
      <w:proofErr w:type="spellEnd"/>
      <w:r w:rsidR="00C56314">
        <w:rPr>
          <w:i/>
          <w:iCs/>
        </w:rPr>
        <w:t xml:space="preserve"> przeciwko Polsce</w:t>
      </w:r>
      <w:r w:rsidR="00C56314">
        <w:t xml:space="preserve"> </w:t>
      </w:r>
      <w:r w:rsidR="00C56314" w:rsidRPr="00D701D9">
        <w:rPr>
          <w:iCs/>
        </w:rPr>
        <w:t>(</w:t>
      </w:r>
      <w:r w:rsidR="00C56314">
        <w:t>nr</w:t>
      </w:r>
      <w:r w:rsidR="005F6899">
        <w:t xml:space="preserve"> </w:t>
      </w:r>
      <w:r w:rsidR="00C56314">
        <w:t>1), skarga nr</w:t>
      </w:r>
      <w:r w:rsidR="005F6899">
        <w:t xml:space="preserve"> </w:t>
      </w:r>
      <w:r w:rsidR="00C56314">
        <w:t xml:space="preserve">28249/95, ETPC 2001-VI, </w:t>
      </w:r>
      <w:proofErr w:type="spellStart"/>
      <w:r w:rsidR="00C56314">
        <w:rPr>
          <w:i/>
          <w:iCs/>
        </w:rPr>
        <w:t>Nieruchomosci</w:t>
      </w:r>
      <w:proofErr w:type="spellEnd"/>
      <w:r w:rsidR="00C56314">
        <w:rPr>
          <w:i/>
          <w:iCs/>
        </w:rPr>
        <w:t xml:space="preserve"> sp. z o.o</w:t>
      </w:r>
      <w:r w:rsidR="00C56314">
        <w:t>. przeciwko Polsce, skarga nr</w:t>
      </w:r>
      <w:r w:rsidR="005F6899">
        <w:t xml:space="preserve"> </w:t>
      </w:r>
      <w:r w:rsidR="00C56314">
        <w:t xml:space="preserve">32740/06, § 29, 2 lutego 2010 r. oraz </w:t>
      </w:r>
      <w:proofErr w:type="spellStart"/>
      <w:r w:rsidR="00C56314">
        <w:rPr>
          <w:i/>
          <w:iCs/>
        </w:rPr>
        <w:t>Elcomp</w:t>
      </w:r>
      <w:proofErr w:type="spellEnd"/>
      <w:r w:rsidR="00C56314">
        <w:rPr>
          <w:i/>
          <w:iCs/>
        </w:rPr>
        <w:t xml:space="preserve"> sp. z o.o. przeciwko Polsce</w:t>
      </w:r>
      <w:r w:rsidR="00C56314">
        <w:t>, skarga nr</w:t>
      </w:r>
      <w:r w:rsidR="005F6899">
        <w:t xml:space="preserve"> </w:t>
      </w:r>
      <w:r w:rsidR="00C56314">
        <w:t>37492/05, § 42, 19 kwietnia 2011 r.).</w:t>
      </w:r>
    </w:p>
    <w:p w14:paraId="0D0C9844" w14:textId="13795583" w:rsidR="0013201E" w:rsidRPr="00287E6F" w:rsidRDefault="008F1369" w:rsidP="005F6899">
      <w:pPr>
        <w:pStyle w:val="JuPara"/>
        <w:tabs>
          <w:tab w:val="left" w:pos="3828"/>
        </w:tabs>
      </w:pPr>
      <w:r>
        <w:rPr>
          <w:noProof/>
        </w:rPr>
        <w:t>10</w:t>
      </w:r>
      <w:r w:rsidR="0013201E">
        <w:t>.</w:t>
      </w:r>
      <w:r w:rsidR="005F6899">
        <w:t xml:space="preserve"> </w:t>
      </w:r>
      <w:r w:rsidR="0013201E">
        <w:t>W niniejszej sprawie, po dokładnej analizie argumentów stron i</w:t>
      </w:r>
      <w:r w:rsidR="007B4474">
        <w:t> </w:t>
      </w:r>
      <w:r w:rsidR="0013201E">
        <w:t xml:space="preserve">odpowiedniego orzecznictwa, Trybunał stwierdza, że wniesiona przez skarżących apelacja od wydanego wobec nich </w:t>
      </w:r>
      <w:r w:rsidR="00D701D9">
        <w:t xml:space="preserve">niekorzystnego </w:t>
      </w:r>
      <w:r w:rsidR="0013201E">
        <w:t xml:space="preserve">wyroku stanowiła dla nich </w:t>
      </w:r>
      <w:r w:rsidR="0013201E" w:rsidRPr="007B4474">
        <w:t>rzeczywisty problem, biorąc p</w:t>
      </w:r>
      <w:r w:rsidR="0013201E">
        <w:t>od uwagę, z jednej strony, znaczną wysokość spornych kwot, a z drugiej strony, sytuację finansową, w</w:t>
      </w:r>
      <w:r w:rsidR="007B4474">
        <w:t> </w:t>
      </w:r>
      <w:r w:rsidR="0013201E">
        <w:t xml:space="preserve">jakiej znajdowali się skarżący w chwili wniesienia apelacji. Trybunał </w:t>
      </w:r>
      <w:r w:rsidR="0013201E">
        <w:lastRenderedPageBreak/>
        <w:t>zauważ</w:t>
      </w:r>
      <w:r w:rsidR="00F30ECC">
        <w:t>a</w:t>
      </w:r>
      <w:r w:rsidR="0013201E">
        <w:t>, że z uzasadnień orzeczeń sądów krajowych nie wynika, aby</w:t>
      </w:r>
      <w:r w:rsidR="007B4474">
        <w:t> </w:t>
      </w:r>
      <w:r w:rsidR="0013201E">
        <w:t>odmowa zwolnienia skarżących z obowiązku uiszczenia spornych kosztów była oparta na okoliczności, że przedmiotowa apelacja w sposób oczywisty nie zasługiwała na uwzględnienie, a zatem jest oczywiste, że celem tej odmowy była jedynie ochrona interesów majątkowych Skarbu Państwa, a</w:t>
      </w:r>
      <w:r w:rsidR="007B4474">
        <w:t> </w:t>
      </w:r>
      <w:r w:rsidR="0013201E">
        <w:t>nie zapobieżenie paraliżowani</w:t>
      </w:r>
      <w:r w:rsidR="00455AD5">
        <w:t>u</w:t>
      </w:r>
      <w:r w:rsidR="0013201E">
        <w:t xml:space="preserve"> sądów żądaniami stanowiącymi nadużycie lub</w:t>
      </w:r>
      <w:r w:rsidR="00F30ECC">
        <w:t xml:space="preserve"> pozbawionymi jakichkolwiek szans powodzenia</w:t>
      </w:r>
      <w:r w:rsidR="0013201E">
        <w:t>. Trybunał uważa ponadto, że z przedmiotowego uzasadnienia nie wynika, iż dowody przedstawione przez skarżących w celu wykazania ich nie</w:t>
      </w:r>
      <w:bookmarkStart w:id="4" w:name="_GoBack"/>
      <w:bookmarkEnd w:id="4"/>
      <w:r w:rsidR="0013201E">
        <w:t>zdolności do</w:t>
      </w:r>
      <w:r w:rsidR="007B4474">
        <w:t> </w:t>
      </w:r>
      <w:r w:rsidR="0013201E">
        <w:t xml:space="preserve">uiszczenia </w:t>
      </w:r>
      <w:r w:rsidR="00320C8C">
        <w:t>opłaty sądowej</w:t>
      </w:r>
      <w:r w:rsidR="0013201E">
        <w:t xml:space="preserve"> od apelacji nie były wystarczające lub</w:t>
      </w:r>
      <w:r w:rsidR="007B4474">
        <w:t> </w:t>
      </w:r>
      <w:r w:rsidR="0013201E">
        <w:t>nie</w:t>
      </w:r>
      <w:r w:rsidR="007B4474">
        <w:t> </w:t>
      </w:r>
      <w:r w:rsidR="0013201E">
        <w:t>zasługiwały na wiarę.</w:t>
      </w:r>
    </w:p>
    <w:p w14:paraId="4B7D40B3" w14:textId="50BD3148" w:rsidR="0013201E" w:rsidRPr="00287E6F" w:rsidRDefault="008F1369" w:rsidP="00287E6F">
      <w:pPr>
        <w:pStyle w:val="JuPara"/>
      </w:pPr>
      <w:r>
        <w:rPr>
          <w:noProof/>
        </w:rPr>
        <w:t>11</w:t>
      </w:r>
      <w:r w:rsidR="00C56314">
        <w:t>.</w:t>
      </w:r>
      <w:r w:rsidR="005F6899">
        <w:t xml:space="preserve"> </w:t>
      </w:r>
      <w:r w:rsidR="00C56314">
        <w:t>W dalszym ciągu odnosząc się do uzasadnień rozstrzygnięć sądów krajowych, Trybunał zauważa, że nie wydaje się, aby sądy krajowe odpowiedziały na argumenty skarżących dotyczące ich niezdolności do</w:t>
      </w:r>
      <w:r w:rsidR="007B4474">
        <w:t> </w:t>
      </w:r>
      <w:r w:rsidR="00C56314">
        <w:t>uiszczenia</w:t>
      </w:r>
      <w:r w:rsidR="004D657A">
        <w:t xml:space="preserve"> opłaty sądowej</w:t>
      </w:r>
      <w:r w:rsidR="00C56314">
        <w:t xml:space="preserve"> od apelacji. Zauważa ponadto, że sądy krajowe – które uznały, że skarżący powinni byli zadbać o wcześniejsze zgromadzenie środków na pokrycie kosztów postępowania – przyjęły założenia, które nie znajdowały rzeczywistego potwierdzenia w materiale faktycznym przedstawionym im przez skarżących. Zauważa ponadto, że</w:t>
      </w:r>
      <w:r w:rsidR="007B4474">
        <w:t> </w:t>
      </w:r>
      <w:r w:rsidR="00C56314">
        <w:t>w</w:t>
      </w:r>
      <w:r w:rsidR="007B4474">
        <w:t> </w:t>
      </w:r>
      <w:r w:rsidR="00C56314">
        <w:t xml:space="preserve">wyniku wspomnianych rozstrzygnięć sądów krajowych </w:t>
      </w:r>
      <w:r w:rsidR="00B955E5">
        <w:t>apelacja skarżących została odrzucona</w:t>
      </w:r>
      <w:r w:rsidR="00C56314">
        <w:t xml:space="preserve"> i nie m</w:t>
      </w:r>
      <w:r w:rsidR="005D2AD9">
        <w:t>ieli możliwości</w:t>
      </w:r>
      <w:r w:rsidR="00C56314">
        <w:t xml:space="preserve"> podda</w:t>
      </w:r>
      <w:r w:rsidR="005D2AD9">
        <w:t>nia</w:t>
      </w:r>
      <w:r w:rsidR="00C56314">
        <w:t xml:space="preserve"> swojej sprawy rozpoznaniu przez sąd apelacyjny.</w:t>
      </w:r>
    </w:p>
    <w:p w14:paraId="166401F7" w14:textId="265BA35C" w:rsidR="0013201E" w:rsidRPr="00287E6F" w:rsidRDefault="008F1369" w:rsidP="00287E6F">
      <w:pPr>
        <w:pStyle w:val="JuPara"/>
      </w:pPr>
      <w:r>
        <w:rPr>
          <w:noProof/>
        </w:rPr>
        <w:t>12</w:t>
      </w:r>
      <w:r w:rsidR="0013201E">
        <w:t>.</w:t>
      </w:r>
      <w:r w:rsidR="005F6899">
        <w:t xml:space="preserve"> </w:t>
      </w:r>
      <w:r w:rsidR="0013201E">
        <w:t>Z tych względów Trybunał doszedł do wniosku, że obowiązek pokrycia przez skarżących kosztów postępowania stanowił nieproporcjonalne ograniczenie ich prawa dostępu do sądu. Tym samym uzna</w:t>
      </w:r>
      <w:r w:rsidR="00F30ECC">
        <w:t>je</w:t>
      </w:r>
      <w:r w:rsidR="0013201E">
        <w:t>, że doszło do naruszenia art. 6 ust. 1 Konwencji.</w:t>
      </w:r>
    </w:p>
    <w:bookmarkEnd w:id="3"/>
    <w:p w14:paraId="15AC2A50" w14:textId="25F971FC" w:rsidR="0013201E" w:rsidRPr="00287E6F" w:rsidRDefault="0013201E" w:rsidP="00287E6F">
      <w:pPr>
        <w:pStyle w:val="JuHHead"/>
      </w:pPr>
      <w:r>
        <w:t>ZASTOSOWANIE ART. 41 KONWENCJI</w:t>
      </w:r>
    </w:p>
    <w:p w14:paraId="08E000C7" w14:textId="00D75A44" w:rsidR="0013201E" w:rsidRPr="00287E6F" w:rsidRDefault="008F1369" w:rsidP="00287E6F">
      <w:pPr>
        <w:pStyle w:val="JuPara"/>
      </w:pPr>
      <w:r>
        <w:rPr>
          <w:noProof/>
        </w:rPr>
        <w:t>13</w:t>
      </w:r>
      <w:r w:rsidR="0013201E">
        <w:t>.</w:t>
      </w:r>
      <w:r w:rsidR="005F6899">
        <w:t xml:space="preserve"> </w:t>
      </w:r>
      <w:r w:rsidR="0013201E">
        <w:t>Skarżący domaga</w:t>
      </w:r>
      <w:r w:rsidR="007B4474">
        <w:t>ją</w:t>
      </w:r>
      <w:r w:rsidR="0013201E">
        <w:t xml:space="preserve"> się odpowiednio kwoty 980 000 EUR i 25 000 EUR tytułem zadośćuczynienia za szkody majątkową i niemajątkową, które ich zdaniem ponieśli, oraz kwoty 2034 EUR tytułem zwrotu kosztów i</w:t>
      </w:r>
      <w:r w:rsidR="007B4474">
        <w:t> </w:t>
      </w:r>
      <w:r w:rsidR="0013201E">
        <w:t>wydatków, które ich zdaniem ponieśli w postępowaniu przed Trybunałem.</w:t>
      </w:r>
    </w:p>
    <w:p w14:paraId="4C12F8BA" w14:textId="2B1C74E9" w:rsidR="0013201E" w:rsidRPr="00287E6F" w:rsidRDefault="008F1369" w:rsidP="00287E6F">
      <w:pPr>
        <w:pStyle w:val="JuPara"/>
      </w:pPr>
      <w:r>
        <w:rPr>
          <w:noProof/>
        </w:rPr>
        <w:t>14</w:t>
      </w:r>
      <w:r w:rsidR="00C56314">
        <w:t>.</w:t>
      </w:r>
      <w:r w:rsidR="005F6899">
        <w:t xml:space="preserve"> </w:t>
      </w:r>
      <w:r w:rsidR="00C56314">
        <w:t>Rząd uważa to żądanie za wygórowane i nieuzasadnione.</w:t>
      </w:r>
    </w:p>
    <w:p w14:paraId="22F27474" w14:textId="4D457EEC" w:rsidR="0013201E" w:rsidRPr="00287E6F" w:rsidRDefault="008F1369" w:rsidP="00287E6F">
      <w:pPr>
        <w:pStyle w:val="JuPara"/>
      </w:pPr>
      <w:r>
        <w:rPr>
          <w:noProof/>
        </w:rPr>
        <w:t>15</w:t>
      </w:r>
      <w:r w:rsidR="00C56314">
        <w:t>.</w:t>
      </w:r>
      <w:r w:rsidR="005F6899">
        <w:t xml:space="preserve"> </w:t>
      </w:r>
      <w:r w:rsidR="00C56314">
        <w:t xml:space="preserve">Trybunał nie dostrzega żadnego związku </w:t>
      </w:r>
      <w:proofErr w:type="spellStart"/>
      <w:r w:rsidR="00C56314">
        <w:t>przyczynowo-skutkowego</w:t>
      </w:r>
      <w:proofErr w:type="spellEnd"/>
      <w:r w:rsidR="00C56314">
        <w:t xml:space="preserve"> pomiędzy stwierdzonym naruszeniem a rzekomą szkodą majątkową. Odrzuca zatem żądanie z tego tytułu. Jednocześnie przyznaje skarżącym kwotę 7800 EUR</w:t>
      </w:r>
      <w:bookmarkStart w:id="5" w:name="_Hlk78209429"/>
      <w:r>
        <w:t xml:space="preserve"> </w:t>
      </w:r>
      <w:r w:rsidR="00C56314">
        <w:t>tytułem zadośćuczynienia za szkodę niemajątkową,</w:t>
      </w:r>
      <w:bookmarkEnd w:id="5"/>
      <w:r w:rsidR="00C56314">
        <w:t xml:space="preserve"> plus</w:t>
      </w:r>
      <w:r w:rsidR="007B4474">
        <w:t> </w:t>
      </w:r>
      <w:r w:rsidR="00C56314">
        <w:t>ewentualny podatek należny od tej kwoty.</w:t>
      </w:r>
    </w:p>
    <w:p w14:paraId="4A6A4ED2" w14:textId="07790ABC" w:rsidR="0013201E" w:rsidRPr="00287E6F" w:rsidRDefault="008F1369" w:rsidP="00287E6F">
      <w:pPr>
        <w:pStyle w:val="JuPara"/>
      </w:pPr>
      <w:r>
        <w:rPr>
          <w:noProof/>
        </w:rPr>
        <w:t>16</w:t>
      </w:r>
      <w:r w:rsidR="0013201E">
        <w:t>.</w:t>
      </w:r>
      <w:r w:rsidR="005F6899">
        <w:t xml:space="preserve"> </w:t>
      </w:r>
      <w:r w:rsidR="0013201E">
        <w:t>Mając na uwadze dokumenty znajdujące się w jego posiadaniu oraz własne orzecznictwo, Trybunał uznał za zasadne zasądzenie na rzecz skarżących kwoty 2034 EUR tytułem zwrotu kosztów poniesionych w</w:t>
      </w:r>
      <w:r w:rsidR="007B4474">
        <w:t> </w:t>
      </w:r>
      <w:r w:rsidR="0013201E">
        <w:t xml:space="preserve">postępowaniu przed nim, powiększonej o wszelkie kwoty, </w:t>
      </w:r>
      <w:r w:rsidR="007B4474">
        <w:t xml:space="preserve">jakie </w:t>
      </w:r>
      <w:r w:rsidR="0013201E">
        <w:t>mogą być od nich należne tytułem podatku od tej kwoty.</w:t>
      </w:r>
    </w:p>
    <w:p w14:paraId="6B5EAF78" w14:textId="00D79166" w:rsidR="0013201E" w:rsidRPr="00287E6F" w:rsidRDefault="008F1369" w:rsidP="00287E6F">
      <w:pPr>
        <w:pStyle w:val="JuPara"/>
      </w:pPr>
      <w:r>
        <w:rPr>
          <w:noProof/>
        </w:rPr>
        <w:lastRenderedPageBreak/>
        <w:t>17</w:t>
      </w:r>
      <w:r w:rsidR="0013201E">
        <w:t>.</w:t>
      </w:r>
      <w:r w:rsidR="005F6899">
        <w:t xml:space="preserve"> </w:t>
      </w:r>
      <w:r w:rsidR="0013201E">
        <w:t>Trybunał za słuszne uznaje wyznaczenie wysokości odsetek za zwłokę na podstawie marginalnej stopy procentowej Europejskiego Banku Centralnego powiększonej o trzy punkty procentowe.</w:t>
      </w:r>
    </w:p>
    <w:p w14:paraId="2A7E7EFD" w14:textId="00179F9B" w:rsidR="0013201E" w:rsidRPr="00287E6F" w:rsidRDefault="0013201E" w:rsidP="00287E6F">
      <w:pPr>
        <w:pStyle w:val="JuHHead"/>
      </w:pPr>
      <w:r>
        <w:t>Z TYCH WZGLĘDÓW TRYBUNAŁ JEDNOGŁOŚNIE</w:t>
      </w:r>
    </w:p>
    <w:p w14:paraId="51DA7511" w14:textId="77777777" w:rsidR="0013201E" w:rsidRPr="00287E6F" w:rsidRDefault="0013201E" w:rsidP="00287E6F">
      <w:pPr>
        <w:pStyle w:val="JuList"/>
      </w:pPr>
      <w:r>
        <w:rPr>
          <w:i/>
          <w:iCs/>
        </w:rPr>
        <w:t>uznaje</w:t>
      </w:r>
      <w:r>
        <w:t xml:space="preserve"> skargę za dopuszczalną;</w:t>
      </w:r>
    </w:p>
    <w:p w14:paraId="44CA001E" w14:textId="172CC487" w:rsidR="0013201E" w:rsidRPr="00287E6F" w:rsidRDefault="0013201E" w:rsidP="00287E6F">
      <w:pPr>
        <w:pStyle w:val="JuList"/>
      </w:pPr>
      <w:r>
        <w:rPr>
          <w:i/>
          <w:iCs/>
        </w:rPr>
        <w:t>uznaje</w:t>
      </w:r>
      <w:r>
        <w:t>, że doszło do naruszenia art. 6 ust. 1 Konwencji;</w:t>
      </w:r>
    </w:p>
    <w:p w14:paraId="14734ACE" w14:textId="77777777" w:rsidR="0013201E" w:rsidRPr="00287E6F" w:rsidRDefault="0013201E" w:rsidP="00287E6F">
      <w:pPr>
        <w:pStyle w:val="JuList"/>
      </w:pPr>
      <w:r>
        <w:rPr>
          <w:i/>
          <w:iCs/>
        </w:rPr>
        <w:t>uznaje</w:t>
      </w:r>
    </w:p>
    <w:p w14:paraId="26097463" w14:textId="79C049BE" w:rsidR="0013201E" w:rsidRPr="00287E6F" w:rsidRDefault="0013201E" w:rsidP="00287E6F">
      <w:pPr>
        <w:pStyle w:val="JuLista"/>
      </w:pPr>
      <w:r>
        <w:t>że pozwane państwo jest zobowiązane, w terminie trzech miesięcy, uiścić na rzecz skarżących następujące kwoty, przeliczone na walutę pozwanego państwa według kursu obowiązującego w dniu płatności:</w:t>
      </w:r>
    </w:p>
    <w:p w14:paraId="53C2D29B" w14:textId="6094DF32" w:rsidR="0013201E" w:rsidRPr="00287E6F" w:rsidRDefault="0013201E" w:rsidP="00287E6F">
      <w:pPr>
        <w:pStyle w:val="JuListi"/>
      </w:pPr>
      <w:r>
        <w:t>7800 EUR (siedem tysięcy osiemset euro), plus wszelkie należne podatki, tytułem zadośćuczynienia za szkodę niemajątkową;</w:t>
      </w:r>
    </w:p>
    <w:p w14:paraId="74165993" w14:textId="4A436C50" w:rsidR="0013201E" w:rsidRPr="00287E6F" w:rsidRDefault="0013201E" w:rsidP="00287E6F">
      <w:pPr>
        <w:pStyle w:val="JuListi"/>
      </w:pPr>
      <w:r>
        <w:t>2034 EUR (dwa tysiące trzydzieści cztery euro), plus ewentualny podatek należny od tej kwoty od skarżących, tytułem zwrotu kosztów i wydatków;</w:t>
      </w:r>
    </w:p>
    <w:p w14:paraId="1877515E" w14:textId="3A5C3CB5" w:rsidR="0013201E" w:rsidRPr="00287E6F" w:rsidRDefault="0013201E" w:rsidP="00287E6F">
      <w:pPr>
        <w:pStyle w:val="JuLista"/>
      </w:pPr>
      <w:r>
        <w:t>że od upływu wyżej wskazanego terminu trzech miesięcy aż</w:t>
      </w:r>
      <w:r w:rsidR="007B4474">
        <w:t> </w:t>
      </w:r>
      <w:r>
        <w:t>do</w:t>
      </w:r>
      <w:r w:rsidR="007B4474">
        <w:t> </w:t>
      </w:r>
      <w:r>
        <w:t>momentu uregulowania należności, należne będą odsetki zwykłe od określonej powyżej kwoty, naliczone według stopy równej marginalnej stopie procentowej Europejskiego Banku Centralnego obowiązującej w tym okresie, powiększonej o trzy punkty procentowe;</w:t>
      </w:r>
    </w:p>
    <w:p w14:paraId="34794B75" w14:textId="5BF4A13E" w:rsidR="00876F03" w:rsidRPr="00287E6F" w:rsidRDefault="0013201E" w:rsidP="00287E6F">
      <w:pPr>
        <w:pStyle w:val="JuList"/>
      </w:pPr>
      <w:r>
        <w:rPr>
          <w:i/>
          <w:iCs/>
        </w:rPr>
        <w:t>oddala</w:t>
      </w:r>
      <w:r w:rsidR="008F1369">
        <w:t xml:space="preserve"> </w:t>
      </w:r>
      <w:r>
        <w:t>pozostałe żądania skarżącego w zakresie słusznego zadośćuczynienia.</w:t>
      </w:r>
    </w:p>
    <w:p w14:paraId="2C5085D9" w14:textId="70346419" w:rsidR="00893F30" w:rsidRPr="00287E6F" w:rsidRDefault="00893F30" w:rsidP="00287E6F">
      <w:pPr>
        <w:pStyle w:val="JuParaLast"/>
      </w:pPr>
      <w:r>
        <w:lastRenderedPageBreak/>
        <w:t>Sporządzono w języku francuskim i obwieszczono pisemnie w dniu 9</w:t>
      </w:r>
      <w:r w:rsidR="0012768C">
        <w:t> </w:t>
      </w:r>
      <w:r>
        <w:t>czerwca 2022 r., zgodnie z Regułą 77 §§ 2 i 3 Regulaminu Trybunału.</w:t>
      </w:r>
    </w:p>
    <w:p w14:paraId="102112FE" w14:textId="77777777" w:rsidR="007B4474" w:rsidRPr="00287E6F" w:rsidRDefault="00510D77" w:rsidP="00287E6F">
      <w:pPr>
        <w:pStyle w:val="JuSigned"/>
        <w:keepNext/>
        <w:keepLines/>
        <w:rPr>
          <w:color w:val="F8F8F8" w:themeColor="background2"/>
        </w:rPr>
      </w:pPr>
      <w:r>
        <w:rPr>
          <w:color w:val="F8F8F8" w:themeColor="background2"/>
        </w:rPr>
        <w:tab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4"/>
        <w:gridCol w:w="3674"/>
      </w:tblGrid>
      <w:tr w:rsidR="007B4474" w14:paraId="09AECBE0" w14:textId="77777777" w:rsidTr="007B4474">
        <w:tc>
          <w:tcPr>
            <w:tcW w:w="3674" w:type="dxa"/>
          </w:tcPr>
          <w:p w14:paraId="7D24EABC" w14:textId="1FE1BDE0" w:rsidR="007B4474" w:rsidRDefault="007B4474" w:rsidP="007B4474">
            <w:pPr>
              <w:pStyle w:val="JuSigned"/>
              <w:keepNext/>
              <w:keepLines/>
              <w:spacing w:before="240"/>
              <w:jc w:val="center"/>
            </w:pPr>
            <w:proofErr w:type="spellStart"/>
            <w:r>
              <w:t>Liv</w:t>
            </w:r>
            <w:proofErr w:type="spellEnd"/>
            <w:r>
              <w:t xml:space="preserve"> </w:t>
            </w:r>
            <w:proofErr w:type="spellStart"/>
            <w:r>
              <w:t>Tigerstedt</w:t>
            </w:r>
            <w:proofErr w:type="spellEnd"/>
          </w:p>
          <w:p w14:paraId="4E920E20" w14:textId="2AEF6A14" w:rsidR="007B4474" w:rsidRDefault="007B4474" w:rsidP="007B4474">
            <w:pPr>
              <w:pStyle w:val="JuSigned"/>
              <w:keepNext/>
              <w:keepLines/>
              <w:spacing w:before="240"/>
              <w:jc w:val="center"/>
              <w:rPr>
                <w:color w:val="F8F8F8" w:themeColor="background2"/>
              </w:rPr>
            </w:pPr>
            <w:r>
              <w:t>Zastępca Kanclerza</w:t>
            </w:r>
          </w:p>
        </w:tc>
        <w:tc>
          <w:tcPr>
            <w:tcW w:w="3674" w:type="dxa"/>
          </w:tcPr>
          <w:p w14:paraId="4EE6627F" w14:textId="7E60FBE9" w:rsidR="007B4474" w:rsidRDefault="007B4474" w:rsidP="007B4474">
            <w:pPr>
              <w:pStyle w:val="JuSigned"/>
              <w:keepNext/>
              <w:keepLines/>
              <w:spacing w:before="240"/>
              <w:jc w:val="center"/>
            </w:pPr>
            <w:r>
              <w:t xml:space="preserve">Erik </w:t>
            </w:r>
            <w:proofErr w:type="spellStart"/>
            <w:r>
              <w:t>Wennerström</w:t>
            </w:r>
            <w:proofErr w:type="spellEnd"/>
          </w:p>
          <w:p w14:paraId="5434D3D1" w14:textId="1B8EC348" w:rsidR="007B4474" w:rsidRDefault="007B4474" w:rsidP="007B4474">
            <w:pPr>
              <w:pStyle w:val="JuSigned"/>
              <w:keepNext/>
              <w:keepLines/>
              <w:spacing w:before="240"/>
              <w:jc w:val="center"/>
              <w:rPr>
                <w:color w:val="F8F8F8" w:themeColor="background2"/>
              </w:rPr>
            </w:pPr>
            <w:r>
              <w:t>Przewodniczący</w:t>
            </w:r>
          </w:p>
        </w:tc>
      </w:tr>
    </w:tbl>
    <w:p w14:paraId="282B8E1B" w14:textId="36AC6EBD" w:rsidR="00F94531" w:rsidRPr="00287E6F" w:rsidRDefault="00F94531" w:rsidP="00287E6F">
      <w:pPr>
        <w:pStyle w:val="JuSigned"/>
        <w:keepNext/>
        <w:keepLines/>
        <w:rPr>
          <w:color w:val="F8F8F8" w:themeColor="background2"/>
        </w:rPr>
      </w:pPr>
    </w:p>
    <w:p w14:paraId="6E233381" w14:textId="0894BF78" w:rsidR="008F1369" w:rsidRDefault="00C6565A" w:rsidP="00287E6F">
      <w:pPr>
        <w:pStyle w:val="JuSigned"/>
        <w:tabs>
          <w:tab w:val="clear" w:pos="1418"/>
          <w:tab w:val="right" w:pos="1843"/>
        </w:tabs>
        <w:ind w:left="142" w:firstLine="142"/>
      </w:pPr>
      <w:r>
        <w:tab/>
      </w:r>
      <w:r>
        <w:tab/>
      </w:r>
    </w:p>
    <w:p w14:paraId="51F75129" w14:textId="4FA701EC" w:rsidR="00876F03" w:rsidRPr="00287E6F" w:rsidRDefault="00C6565A" w:rsidP="00287E6F">
      <w:pPr>
        <w:pStyle w:val="JuSigned"/>
        <w:tabs>
          <w:tab w:val="clear" w:pos="1418"/>
          <w:tab w:val="right" w:pos="1843"/>
        </w:tabs>
        <w:ind w:left="142" w:firstLine="142"/>
      </w:pPr>
      <w:r>
        <w:tab/>
      </w:r>
    </w:p>
    <w:sectPr w:rsidR="00876F03" w:rsidRPr="00287E6F">
      <w:headerReference w:type="even" r:id="rId14"/>
      <w:headerReference w:type="default" r:id="rId15"/>
      <w:footerReference w:type="default" r:id="rId16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41E8C2" w14:textId="77777777" w:rsidR="006144E5" w:rsidRPr="0013201E" w:rsidRDefault="006144E5" w:rsidP="00516B59">
      <w:r w:rsidRPr="0013201E">
        <w:separator/>
      </w:r>
    </w:p>
  </w:endnote>
  <w:endnote w:type="continuationSeparator" w:id="0">
    <w:p w14:paraId="2AE3B0D3" w14:textId="77777777" w:rsidR="006144E5" w:rsidRPr="0013201E" w:rsidRDefault="006144E5" w:rsidP="00516B59">
      <w:r w:rsidRPr="0013201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F9ACDA" w14:textId="3848AAF1" w:rsidR="00954AD6" w:rsidRPr="0013201E" w:rsidRDefault="0013201E" w:rsidP="00954AD6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455AD5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5E6A5E" w14:textId="380ECF06" w:rsidR="0013201E" w:rsidRPr="00150BFA" w:rsidRDefault="0013201E" w:rsidP="0020718E">
    <w:pPr>
      <w:jc w:val="center"/>
    </w:pPr>
    <w:r>
      <w:rPr>
        <w:noProof/>
        <w:lang w:eastAsia="pl-PL"/>
      </w:rPr>
      <w:drawing>
        <wp:inline distT="0" distB="0" distL="0" distR="0" wp14:anchorId="5B7763FF" wp14:editId="0E4424B3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6808E9" w14:textId="6740B28E" w:rsidR="00F22D5C" w:rsidRPr="0013201E" w:rsidRDefault="006144E5" w:rsidP="00F27D13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9CA08C" w14:textId="12F19201" w:rsidR="0013201E" w:rsidRPr="00150BFA" w:rsidRDefault="0013201E" w:rsidP="0020718E">
    <w:pPr>
      <w:jc w:val="center"/>
    </w:pPr>
    <w:r>
      <w:rPr>
        <w:noProof/>
        <w:lang w:eastAsia="pl-PL"/>
      </w:rPr>
      <w:drawing>
        <wp:inline distT="0" distB="0" distL="0" distR="0" wp14:anchorId="1407021F" wp14:editId="6BE92CF6">
          <wp:extent cx="771525" cy="619125"/>
          <wp:effectExtent l="0" t="0" r="9525" b="9525"/>
          <wp:docPr id="73" name="Picture 7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C64DC9" w14:textId="6B6EC111" w:rsidR="00902601" w:rsidRPr="0013201E" w:rsidRDefault="00902601" w:rsidP="00902601">
    <w:pPr>
      <w:pStyle w:val="Stopka"/>
      <w:jc w:val="center"/>
      <w:rPr>
        <w:sz w:val="4"/>
        <w:szCs w:val="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F724D3" w14:textId="6D6CB682" w:rsidR="00F22D5C" w:rsidRPr="00D01935" w:rsidRDefault="0013201E" w:rsidP="00662882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455AD5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617286" w14:textId="77777777" w:rsidR="006144E5" w:rsidRPr="0013201E" w:rsidRDefault="006144E5" w:rsidP="00516B59">
      <w:r w:rsidRPr="0013201E">
        <w:separator/>
      </w:r>
    </w:p>
  </w:footnote>
  <w:footnote w:type="continuationSeparator" w:id="0">
    <w:p w14:paraId="7790470B" w14:textId="77777777" w:rsidR="006144E5" w:rsidRPr="0013201E" w:rsidRDefault="006144E5" w:rsidP="00516B59">
      <w:r w:rsidRPr="0013201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E55446" w14:textId="77777777" w:rsidR="00517520" w:rsidRDefault="005175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DB38F4" w14:textId="390B22B6" w:rsidR="0013201E" w:rsidRPr="00A45145" w:rsidRDefault="0013201E" w:rsidP="00A45145">
    <w:pPr>
      <w:jc w:val="center"/>
    </w:pPr>
    <w:r>
      <w:rPr>
        <w:noProof/>
        <w:lang w:eastAsia="pl-PL"/>
      </w:rPr>
      <w:drawing>
        <wp:inline distT="0" distB="0" distL="0" distR="0" wp14:anchorId="276BF23A" wp14:editId="73385DAE">
          <wp:extent cx="2962275" cy="1219200"/>
          <wp:effectExtent l="0" t="0" r="9525" b="0"/>
          <wp:docPr id="75" name="Picture 75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94A700" w14:textId="546EC868" w:rsidR="00F22D5C" w:rsidRPr="0013201E" w:rsidRDefault="006144E5" w:rsidP="009840A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9E3AE2" w14:textId="070A6E43" w:rsidR="0013201E" w:rsidRPr="00A45145" w:rsidRDefault="0013201E" w:rsidP="00A45145">
    <w:pPr>
      <w:jc w:val="center"/>
    </w:pPr>
    <w:r>
      <w:rPr>
        <w:noProof/>
        <w:lang w:eastAsia="pl-PL"/>
      </w:rPr>
      <w:drawing>
        <wp:inline distT="0" distB="0" distL="0" distR="0" wp14:anchorId="2B7EE380" wp14:editId="3DEA791F">
          <wp:extent cx="2962275" cy="1219200"/>
          <wp:effectExtent l="0" t="0" r="9525" b="0"/>
          <wp:docPr id="67" name="Picture 6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D28C09" w14:textId="67356902" w:rsidR="00902601" w:rsidRPr="0013201E" w:rsidRDefault="00902601" w:rsidP="00902601">
    <w:pPr>
      <w:jc w:val="center"/>
      <w:rPr>
        <w:sz w:val="18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985B2" w14:textId="2B7B7DA8" w:rsidR="00F22D5C" w:rsidRPr="00592C8D" w:rsidRDefault="005F6899" w:rsidP="00A21624">
    <w:pPr>
      <w:pStyle w:val="JuHeader"/>
    </w:pPr>
    <w:r>
      <w:t>WYROK w sprawie</w:t>
    </w:r>
    <w:r w:rsidR="00A21624">
      <w:t xml:space="preserve"> SZEWCZYKOWIE przeciwko POLSCE 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37B8AF" w14:textId="36EF7E04" w:rsidR="00F22D5C" w:rsidRPr="00662882" w:rsidRDefault="005F6899" w:rsidP="00662882">
    <w:pPr>
      <w:pStyle w:val="JuHeader"/>
    </w:pPr>
    <w:r>
      <w:t>WYROK w sprawie</w:t>
    </w:r>
    <w:r w:rsidR="00256F45">
      <w:t xml:space="preserve"> SZEWCZYKOWIE przeciwko POLSCE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C0F5BFC"/>
    <w:multiLevelType w:val="multilevel"/>
    <w:tmpl w:val="EE20E2DE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%6.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0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7D5546B"/>
    <w:multiLevelType w:val="multilevel"/>
    <w:tmpl w:val="7222064C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%3."/>
      <w:lvlJc w:val="left"/>
      <w:pPr>
        <w:ind w:left="907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5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6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1"/>
  </w:num>
  <w:num w:numId="4">
    <w:abstractNumId w:val="10"/>
  </w:num>
  <w:num w:numId="5">
    <w:abstractNumId w:val="14"/>
  </w:num>
  <w:num w:numId="6">
    <w:abstractNumId w:val="12"/>
  </w:num>
  <w:num w:numId="7">
    <w:abstractNumId w:val="15"/>
  </w:num>
  <w:num w:numId="8">
    <w:abstractNumId w:val="16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AppNatAutre" w:val="0"/>
    <w:docVar w:name="DocVarPREMATURE" w:val="0"/>
    <w:docVar w:name="EMM" w:val="0"/>
    <w:docVar w:name="ETRANSMISSION" w:val="PAR VOIE ÈLECTRONIQUE UNIQUEMENT"/>
    <w:docVar w:name="L4_1Annex" w:val="0"/>
    <w:docVar w:name="L4_1Anonymity" w:val="0"/>
    <w:docVar w:name="NBEMMDOC" w:val="0"/>
    <w:docVar w:name="Plural" w:val="1"/>
    <w:docVar w:name="SignForeName" w:val="0"/>
    <w:docVar w:name="SndCaseNumber" w:val="Error!Nodocumentvariablesupplied."/>
  </w:docVars>
  <w:rsids>
    <w:rsidRoot w:val="0013201E"/>
    <w:rsid w:val="000041F8"/>
    <w:rsid w:val="000042A8"/>
    <w:rsid w:val="00004308"/>
    <w:rsid w:val="00005BF0"/>
    <w:rsid w:val="00007154"/>
    <w:rsid w:val="000103AE"/>
    <w:rsid w:val="00011D69"/>
    <w:rsid w:val="00012AD3"/>
    <w:rsid w:val="00015C2D"/>
    <w:rsid w:val="00015F00"/>
    <w:rsid w:val="00022C1D"/>
    <w:rsid w:val="00034987"/>
    <w:rsid w:val="00051015"/>
    <w:rsid w:val="000602DF"/>
    <w:rsid w:val="00061B05"/>
    <w:rsid w:val="000632D5"/>
    <w:rsid w:val="000644EE"/>
    <w:rsid w:val="000675A9"/>
    <w:rsid w:val="00080ECE"/>
    <w:rsid w:val="00086E4E"/>
    <w:rsid w:val="0009057B"/>
    <w:rsid w:val="000925AD"/>
    <w:rsid w:val="000A20EB"/>
    <w:rsid w:val="000A24EB"/>
    <w:rsid w:val="000B5D17"/>
    <w:rsid w:val="000B6923"/>
    <w:rsid w:val="000C5F3C"/>
    <w:rsid w:val="000C6DCC"/>
    <w:rsid w:val="000D04C2"/>
    <w:rsid w:val="000D47AA"/>
    <w:rsid w:val="000D721F"/>
    <w:rsid w:val="000E069B"/>
    <w:rsid w:val="000E0E82"/>
    <w:rsid w:val="000E1DC5"/>
    <w:rsid w:val="000E223F"/>
    <w:rsid w:val="000E4AC8"/>
    <w:rsid w:val="000E7D45"/>
    <w:rsid w:val="000F1305"/>
    <w:rsid w:val="000F19D8"/>
    <w:rsid w:val="000F7851"/>
    <w:rsid w:val="00104E23"/>
    <w:rsid w:val="001104D5"/>
    <w:rsid w:val="00111B0C"/>
    <w:rsid w:val="00117CD2"/>
    <w:rsid w:val="00120D6C"/>
    <w:rsid w:val="001257EC"/>
    <w:rsid w:val="0012768C"/>
    <w:rsid w:val="0013201E"/>
    <w:rsid w:val="00133D33"/>
    <w:rsid w:val="00134D64"/>
    <w:rsid w:val="00135A30"/>
    <w:rsid w:val="0013612C"/>
    <w:rsid w:val="00137FF6"/>
    <w:rsid w:val="00141650"/>
    <w:rsid w:val="001625AD"/>
    <w:rsid w:val="00162967"/>
    <w:rsid w:val="00162A12"/>
    <w:rsid w:val="00166530"/>
    <w:rsid w:val="00181508"/>
    <w:rsid w:val="001832BD"/>
    <w:rsid w:val="00185DB5"/>
    <w:rsid w:val="001943B5"/>
    <w:rsid w:val="00194C5B"/>
    <w:rsid w:val="00195134"/>
    <w:rsid w:val="001A145B"/>
    <w:rsid w:val="001A2684"/>
    <w:rsid w:val="001A674C"/>
    <w:rsid w:val="001B3B24"/>
    <w:rsid w:val="001C0F98"/>
    <w:rsid w:val="001C277A"/>
    <w:rsid w:val="001C2A42"/>
    <w:rsid w:val="001C2B5C"/>
    <w:rsid w:val="001D1A3A"/>
    <w:rsid w:val="001D63ED"/>
    <w:rsid w:val="001D7348"/>
    <w:rsid w:val="001E035B"/>
    <w:rsid w:val="001E0961"/>
    <w:rsid w:val="001E3EAE"/>
    <w:rsid w:val="001E6F32"/>
    <w:rsid w:val="001F2145"/>
    <w:rsid w:val="001F39F4"/>
    <w:rsid w:val="001F6262"/>
    <w:rsid w:val="001F67B0"/>
    <w:rsid w:val="001F7B3D"/>
    <w:rsid w:val="00204F24"/>
    <w:rsid w:val="00205F9F"/>
    <w:rsid w:val="00210338"/>
    <w:rsid w:val="002115FC"/>
    <w:rsid w:val="00212184"/>
    <w:rsid w:val="0021423C"/>
    <w:rsid w:val="00230D00"/>
    <w:rsid w:val="00231364"/>
    <w:rsid w:val="00231DF7"/>
    <w:rsid w:val="00231FD1"/>
    <w:rsid w:val="002339E0"/>
    <w:rsid w:val="00233CF8"/>
    <w:rsid w:val="0023575D"/>
    <w:rsid w:val="00237148"/>
    <w:rsid w:val="0024222D"/>
    <w:rsid w:val="00244B0E"/>
    <w:rsid w:val="00244F6C"/>
    <w:rsid w:val="002532C5"/>
    <w:rsid w:val="002546AE"/>
    <w:rsid w:val="00256F45"/>
    <w:rsid w:val="00260C03"/>
    <w:rsid w:val="002617FA"/>
    <w:rsid w:val="0026540E"/>
    <w:rsid w:val="00275123"/>
    <w:rsid w:val="00282240"/>
    <w:rsid w:val="00287E6F"/>
    <w:rsid w:val="002948AD"/>
    <w:rsid w:val="0029739C"/>
    <w:rsid w:val="002A01CC"/>
    <w:rsid w:val="002A533F"/>
    <w:rsid w:val="002A61B1"/>
    <w:rsid w:val="002A663C"/>
    <w:rsid w:val="002B444B"/>
    <w:rsid w:val="002B5887"/>
    <w:rsid w:val="002B7E83"/>
    <w:rsid w:val="002C0E27"/>
    <w:rsid w:val="002C3040"/>
    <w:rsid w:val="002D022D"/>
    <w:rsid w:val="002D11E7"/>
    <w:rsid w:val="002D24BB"/>
    <w:rsid w:val="002E19C5"/>
    <w:rsid w:val="002F29AA"/>
    <w:rsid w:val="002F2AF7"/>
    <w:rsid w:val="002F7E1C"/>
    <w:rsid w:val="0030007B"/>
    <w:rsid w:val="00301A75"/>
    <w:rsid w:val="00302F70"/>
    <w:rsid w:val="0030336F"/>
    <w:rsid w:val="0030375E"/>
    <w:rsid w:val="0030660C"/>
    <w:rsid w:val="00312A30"/>
    <w:rsid w:val="00316323"/>
    <w:rsid w:val="00320C8C"/>
    <w:rsid w:val="00320F72"/>
    <w:rsid w:val="0032463E"/>
    <w:rsid w:val="00326224"/>
    <w:rsid w:val="00337EE4"/>
    <w:rsid w:val="00340FFD"/>
    <w:rsid w:val="003471AF"/>
    <w:rsid w:val="003506B1"/>
    <w:rsid w:val="00356AC7"/>
    <w:rsid w:val="003609FA"/>
    <w:rsid w:val="00361D45"/>
    <w:rsid w:val="00367B4F"/>
    <w:rsid w:val="003710C8"/>
    <w:rsid w:val="003722CE"/>
    <w:rsid w:val="003750BE"/>
    <w:rsid w:val="0038760D"/>
    <w:rsid w:val="00387B9D"/>
    <w:rsid w:val="0039364F"/>
    <w:rsid w:val="00396686"/>
    <w:rsid w:val="0039778E"/>
    <w:rsid w:val="003A37B8"/>
    <w:rsid w:val="003B4941"/>
    <w:rsid w:val="003B6A2E"/>
    <w:rsid w:val="003C5714"/>
    <w:rsid w:val="003C6B9F"/>
    <w:rsid w:val="003C6E2A"/>
    <w:rsid w:val="003D0299"/>
    <w:rsid w:val="003D32BE"/>
    <w:rsid w:val="003E3FE3"/>
    <w:rsid w:val="003E6D80"/>
    <w:rsid w:val="003E7A9C"/>
    <w:rsid w:val="003F05FA"/>
    <w:rsid w:val="003F244A"/>
    <w:rsid w:val="003F30B8"/>
    <w:rsid w:val="003F4C45"/>
    <w:rsid w:val="003F5F7B"/>
    <w:rsid w:val="003F7D64"/>
    <w:rsid w:val="00401F7D"/>
    <w:rsid w:val="0041177B"/>
    <w:rsid w:val="00414300"/>
    <w:rsid w:val="00425C67"/>
    <w:rsid w:val="00427E7A"/>
    <w:rsid w:val="00431C07"/>
    <w:rsid w:val="004344E6"/>
    <w:rsid w:val="00436C49"/>
    <w:rsid w:val="00445366"/>
    <w:rsid w:val="00447F5B"/>
    <w:rsid w:val="00455AD5"/>
    <w:rsid w:val="00456549"/>
    <w:rsid w:val="004604A0"/>
    <w:rsid w:val="00461DB0"/>
    <w:rsid w:val="00463926"/>
    <w:rsid w:val="00464C9A"/>
    <w:rsid w:val="00474F3D"/>
    <w:rsid w:val="00477E3A"/>
    <w:rsid w:val="00483E5F"/>
    <w:rsid w:val="00485FF9"/>
    <w:rsid w:val="004874B5"/>
    <w:rsid w:val="004907F0"/>
    <w:rsid w:val="0049140B"/>
    <w:rsid w:val="004923A5"/>
    <w:rsid w:val="00496197"/>
    <w:rsid w:val="00496BFB"/>
    <w:rsid w:val="004A15C7"/>
    <w:rsid w:val="004A43B6"/>
    <w:rsid w:val="004B013B"/>
    <w:rsid w:val="004B112B"/>
    <w:rsid w:val="004C01E4"/>
    <w:rsid w:val="004C086C"/>
    <w:rsid w:val="004C14C4"/>
    <w:rsid w:val="004C1A3F"/>
    <w:rsid w:val="004C1F56"/>
    <w:rsid w:val="004C27BC"/>
    <w:rsid w:val="004D15F3"/>
    <w:rsid w:val="004D5311"/>
    <w:rsid w:val="004D5DCC"/>
    <w:rsid w:val="004D657A"/>
    <w:rsid w:val="004E22F1"/>
    <w:rsid w:val="004F10AF"/>
    <w:rsid w:val="004F11A4"/>
    <w:rsid w:val="004F2389"/>
    <w:rsid w:val="004F304D"/>
    <w:rsid w:val="004F61BE"/>
    <w:rsid w:val="004F66B1"/>
    <w:rsid w:val="00510D77"/>
    <w:rsid w:val="00511C07"/>
    <w:rsid w:val="00516B59"/>
    <w:rsid w:val="005173A6"/>
    <w:rsid w:val="00517520"/>
    <w:rsid w:val="00520BAA"/>
    <w:rsid w:val="00522ABA"/>
    <w:rsid w:val="00525208"/>
    <w:rsid w:val="005257A5"/>
    <w:rsid w:val="005264C0"/>
    <w:rsid w:val="00526A8A"/>
    <w:rsid w:val="00531DF2"/>
    <w:rsid w:val="005442EE"/>
    <w:rsid w:val="00547353"/>
    <w:rsid w:val="005474E7"/>
    <w:rsid w:val="005512A3"/>
    <w:rsid w:val="005578CE"/>
    <w:rsid w:val="00562781"/>
    <w:rsid w:val="00566E2B"/>
    <w:rsid w:val="0057271C"/>
    <w:rsid w:val="00572845"/>
    <w:rsid w:val="00576986"/>
    <w:rsid w:val="00592772"/>
    <w:rsid w:val="00592C8D"/>
    <w:rsid w:val="0059574A"/>
    <w:rsid w:val="005A1B9B"/>
    <w:rsid w:val="005A6751"/>
    <w:rsid w:val="005B092E"/>
    <w:rsid w:val="005B152C"/>
    <w:rsid w:val="005B1EE0"/>
    <w:rsid w:val="005B2B24"/>
    <w:rsid w:val="005B4425"/>
    <w:rsid w:val="005B4B94"/>
    <w:rsid w:val="005C353F"/>
    <w:rsid w:val="005C3EE8"/>
    <w:rsid w:val="005D2AD9"/>
    <w:rsid w:val="005D34F9"/>
    <w:rsid w:val="005D4190"/>
    <w:rsid w:val="005D67A3"/>
    <w:rsid w:val="005E2988"/>
    <w:rsid w:val="005E3085"/>
    <w:rsid w:val="005F51E1"/>
    <w:rsid w:val="005F6899"/>
    <w:rsid w:val="00611C80"/>
    <w:rsid w:val="00613B21"/>
    <w:rsid w:val="006144E5"/>
    <w:rsid w:val="00620692"/>
    <w:rsid w:val="006242CA"/>
    <w:rsid w:val="00627507"/>
    <w:rsid w:val="00633717"/>
    <w:rsid w:val="006344E1"/>
    <w:rsid w:val="006361FD"/>
    <w:rsid w:val="00647467"/>
    <w:rsid w:val="006545C4"/>
    <w:rsid w:val="00654B7E"/>
    <w:rsid w:val="00661270"/>
    <w:rsid w:val="00661971"/>
    <w:rsid w:val="00661CE8"/>
    <w:rsid w:val="006623D9"/>
    <w:rsid w:val="00662882"/>
    <w:rsid w:val="0066550C"/>
    <w:rsid w:val="006716F2"/>
    <w:rsid w:val="00682BF2"/>
    <w:rsid w:val="006859CE"/>
    <w:rsid w:val="00691270"/>
    <w:rsid w:val="00694BA8"/>
    <w:rsid w:val="006A037C"/>
    <w:rsid w:val="006A36F4"/>
    <w:rsid w:val="006A406F"/>
    <w:rsid w:val="006A5D3A"/>
    <w:rsid w:val="006C23D4"/>
    <w:rsid w:val="006C475E"/>
    <w:rsid w:val="006C7BB0"/>
    <w:rsid w:val="006D3237"/>
    <w:rsid w:val="006E138D"/>
    <w:rsid w:val="006E2E37"/>
    <w:rsid w:val="006E3CF1"/>
    <w:rsid w:val="006E7E80"/>
    <w:rsid w:val="006F48CA"/>
    <w:rsid w:val="006F64DD"/>
    <w:rsid w:val="00715127"/>
    <w:rsid w:val="00715E8E"/>
    <w:rsid w:val="007172B0"/>
    <w:rsid w:val="00723580"/>
    <w:rsid w:val="00723755"/>
    <w:rsid w:val="00724AE2"/>
    <w:rsid w:val="00730B5C"/>
    <w:rsid w:val="0073136C"/>
    <w:rsid w:val="00731F0F"/>
    <w:rsid w:val="00733250"/>
    <w:rsid w:val="00735951"/>
    <w:rsid w:val="00741404"/>
    <w:rsid w:val="007449E5"/>
    <w:rsid w:val="00747FF0"/>
    <w:rsid w:val="0075337F"/>
    <w:rsid w:val="007612E2"/>
    <w:rsid w:val="00764D4E"/>
    <w:rsid w:val="00765A1F"/>
    <w:rsid w:val="00775B6D"/>
    <w:rsid w:val="00776D68"/>
    <w:rsid w:val="007850EE"/>
    <w:rsid w:val="00785B95"/>
    <w:rsid w:val="00790AAD"/>
    <w:rsid w:val="00790E96"/>
    <w:rsid w:val="00793366"/>
    <w:rsid w:val="00794E99"/>
    <w:rsid w:val="007971FF"/>
    <w:rsid w:val="007A4070"/>
    <w:rsid w:val="007A716F"/>
    <w:rsid w:val="007B270A"/>
    <w:rsid w:val="007B4474"/>
    <w:rsid w:val="007B68BF"/>
    <w:rsid w:val="007C0695"/>
    <w:rsid w:val="007C419A"/>
    <w:rsid w:val="007C4CC8"/>
    <w:rsid w:val="007C5426"/>
    <w:rsid w:val="007C5798"/>
    <w:rsid w:val="007D4832"/>
    <w:rsid w:val="007E21B2"/>
    <w:rsid w:val="007E2C4E"/>
    <w:rsid w:val="007F1905"/>
    <w:rsid w:val="00801300"/>
    <w:rsid w:val="00802C64"/>
    <w:rsid w:val="0080523A"/>
    <w:rsid w:val="00805E52"/>
    <w:rsid w:val="008061D0"/>
    <w:rsid w:val="00810B38"/>
    <w:rsid w:val="008148ED"/>
    <w:rsid w:val="008204C7"/>
    <w:rsid w:val="00820992"/>
    <w:rsid w:val="00823602"/>
    <w:rsid w:val="008255F5"/>
    <w:rsid w:val="0083014E"/>
    <w:rsid w:val="0083214A"/>
    <w:rsid w:val="00834220"/>
    <w:rsid w:val="00845723"/>
    <w:rsid w:val="00851EF9"/>
    <w:rsid w:val="008577FD"/>
    <w:rsid w:val="00860B03"/>
    <w:rsid w:val="0086497A"/>
    <w:rsid w:val="008713A1"/>
    <w:rsid w:val="00873D9C"/>
    <w:rsid w:val="008748BE"/>
    <w:rsid w:val="008754AB"/>
    <w:rsid w:val="00876A02"/>
    <w:rsid w:val="00876F03"/>
    <w:rsid w:val="0088060C"/>
    <w:rsid w:val="00884261"/>
    <w:rsid w:val="00891107"/>
    <w:rsid w:val="00893576"/>
    <w:rsid w:val="00893E73"/>
    <w:rsid w:val="00893F30"/>
    <w:rsid w:val="00895F5B"/>
    <w:rsid w:val="008A68A4"/>
    <w:rsid w:val="008B02DC"/>
    <w:rsid w:val="008B2698"/>
    <w:rsid w:val="008B57CE"/>
    <w:rsid w:val="008C26DE"/>
    <w:rsid w:val="008D2225"/>
    <w:rsid w:val="008D4752"/>
    <w:rsid w:val="008E271C"/>
    <w:rsid w:val="008E418E"/>
    <w:rsid w:val="008E5BC6"/>
    <w:rsid w:val="008E6A25"/>
    <w:rsid w:val="008E7A1B"/>
    <w:rsid w:val="008F1369"/>
    <w:rsid w:val="008F5193"/>
    <w:rsid w:val="009013A7"/>
    <w:rsid w:val="009017FB"/>
    <w:rsid w:val="009017FC"/>
    <w:rsid w:val="009020E3"/>
    <w:rsid w:val="00902601"/>
    <w:rsid w:val="0090506B"/>
    <w:rsid w:val="009050C9"/>
    <w:rsid w:val="009066FC"/>
    <w:rsid w:val="009140A3"/>
    <w:rsid w:val="009144A2"/>
    <w:rsid w:val="0091510C"/>
    <w:rsid w:val="009259AC"/>
    <w:rsid w:val="00926F38"/>
    <w:rsid w:val="00934301"/>
    <w:rsid w:val="00936CD1"/>
    <w:rsid w:val="009375A5"/>
    <w:rsid w:val="00941747"/>
    <w:rsid w:val="00941EFB"/>
    <w:rsid w:val="00947AFB"/>
    <w:rsid w:val="00951D7D"/>
    <w:rsid w:val="00954AD6"/>
    <w:rsid w:val="009630C7"/>
    <w:rsid w:val="00972B55"/>
    <w:rsid w:val="009743B7"/>
    <w:rsid w:val="00975039"/>
    <w:rsid w:val="00977227"/>
    <w:rsid w:val="0098228B"/>
    <w:rsid w:val="009828DA"/>
    <w:rsid w:val="00985BAB"/>
    <w:rsid w:val="009B1B5F"/>
    <w:rsid w:val="009B6673"/>
    <w:rsid w:val="009C191B"/>
    <w:rsid w:val="009C2BD6"/>
    <w:rsid w:val="009D2F52"/>
    <w:rsid w:val="009E16D2"/>
    <w:rsid w:val="009E1F32"/>
    <w:rsid w:val="009E776C"/>
    <w:rsid w:val="00A00672"/>
    <w:rsid w:val="00A132AD"/>
    <w:rsid w:val="00A1726E"/>
    <w:rsid w:val="00A204CF"/>
    <w:rsid w:val="00A21624"/>
    <w:rsid w:val="00A23D49"/>
    <w:rsid w:val="00A27004"/>
    <w:rsid w:val="00A30C29"/>
    <w:rsid w:val="00A34DD6"/>
    <w:rsid w:val="00A36819"/>
    <w:rsid w:val="00A36989"/>
    <w:rsid w:val="00A43628"/>
    <w:rsid w:val="00A43AA3"/>
    <w:rsid w:val="00A4783F"/>
    <w:rsid w:val="00A54192"/>
    <w:rsid w:val="00A6035E"/>
    <w:rsid w:val="00A6144C"/>
    <w:rsid w:val="00A66617"/>
    <w:rsid w:val="00A671F8"/>
    <w:rsid w:val="00A673A4"/>
    <w:rsid w:val="00A724AE"/>
    <w:rsid w:val="00A73329"/>
    <w:rsid w:val="00A75785"/>
    <w:rsid w:val="00A8094B"/>
    <w:rsid w:val="00A82359"/>
    <w:rsid w:val="00A865D2"/>
    <w:rsid w:val="00A94C20"/>
    <w:rsid w:val="00AA227F"/>
    <w:rsid w:val="00AA3BC7"/>
    <w:rsid w:val="00AA754A"/>
    <w:rsid w:val="00AB099E"/>
    <w:rsid w:val="00AB4328"/>
    <w:rsid w:val="00AB5628"/>
    <w:rsid w:val="00AC00C2"/>
    <w:rsid w:val="00AC5872"/>
    <w:rsid w:val="00AD2473"/>
    <w:rsid w:val="00AE0A2E"/>
    <w:rsid w:val="00AE354C"/>
    <w:rsid w:val="00AF4B07"/>
    <w:rsid w:val="00AF6186"/>
    <w:rsid w:val="00AF7A3A"/>
    <w:rsid w:val="00B009F4"/>
    <w:rsid w:val="00B1094A"/>
    <w:rsid w:val="00B160DB"/>
    <w:rsid w:val="00B20836"/>
    <w:rsid w:val="00B235BB"/>
    <w:rsid w:val="00B25320"/>
    <w:rsid w:val="00B25943"/>
    <w:rsid w:val="00B25D3B"/>
    <w:rsid w:val="00B27A44"/>
    <w:rsid w:val="00B30BBF"/>
    <w:rsid w:val="00B33C03"/>
    <w:rsid w:val="00B44E56"/>
    <w:rsid w:val="00B46543"/>
    <w:rsid w:val="00B47D33"/>
    <w:rsid w:val="00B52BE0"/>
    <w:rsid w:val="00B54133"/>
    <w:rsid w:val="00B701ED"/>
    <w:rsid w:val="00B751F4"/>
    <w:rsid w:val="00B8086C"/>
    <w:rsid w:val="00B840F7"/>
    <w:rsid w:val="00B861B4"/>
    <w:rsid w:val="00B86DFE"/>
    <w:rsid w:val="00B90990"/>
    <w:rsid w:val="00B922FF"/>
    <w:rsid w:val="00B9281E"/>
    <w:rsid w:val="00B93925"/>
    <w:rsid w:val="00B95187"/>
    <w:rsid w:val="00B955E5"/>
    <w:rsid w:val="00BA2D55"/>
    <w:rsid w:val="00BA71B1"/>
    <w:rsid w:val="00BB0637"/>
    <w:rsid w:val="00BB345F"/>
    <w:rsid w:val="00BB5CA3"/>
    <w:rsid w:val="00BB5E42"/>
    <w:rsid w:val="00BB68EA"/>
    <w:rsid w:val="00BC1C27"/>
    <w:rsid w:val="00BC1F03"/>
    <w:rsid w:val="00BC6BBF"/>
    <w:rsid w:val="00BD1572"/>
    <w:rsid w:val="00BE14E3"/>
    <w:rsid w:val="00BE3774"/>
    <w:rsid w:val="00BE41E5"/>
    <w:rsid w:val="00BF4109"/>
    <w:rsid w:val="00BF4B9C"/>
    <w:rsid w:val="00BF4CC3"/>
    <w:rsid w:val="00C00E59"/>
    <w:rsid w:val="00C054C7"/>
    <w:rsid w:val="00C057B5"/>
    <w:rsid w:val="00C149F0"/>
    <w:rsid w:val="00C22687"/>
    <w:rsid w:val="00C25983"/>
    <w:rsid w:val="00C32E4D"/>
    <w:rsid w:val="00C333A0"/>
    <w:rsid w:val="00C36408"/>
    <w:rsid w:val="00C36A81"/>
    <w:rsid w:val="00C41974"/>
    <w:rsid w:val="00C45616"/>
    <w:rsid w:val="00C53F4A"/>
    <w:rsid w:val="00C54125"/>
    <w:rsid w:val="00C55B54"/>
    <w:rsid w:val="00C56314"/>
    <w:rsid w:val="00C6098E"/>
    <w:rsid w:val="00C6152C"/>
    <w:rsid w:val="00C651BF"/>
    <w:rsid w:val="00C6565A"/>
    <w:rsid w:val="00C74810"/>
    <w:rsid w:val="00C81ACF"/>
    <w:rsid w:val="00C90D68"/>
    <w:rsid w:val="00C939FE"/>
    <w:rsid w:val="00CA4BDA"/>
    <w:rsid w:val="00CA7C61"/>
    <w:rsid w:val="00CB1F66"/>
    <w:rsid w:val="00CB2951"/>
    <w:rsid w:val="00CD0669"/>
    <w:rsid w:val="00CD282B"/>
    <w:rsid w:val="00CD4C35"/>
    <w:rsid w:val="00CD4D45"/>
    <w:rsid w:val="00CD7369"/>
    <w:rsid w:val="00CE0B0E"/>
    <w:rsid w:val="00CE3831"/>
    <w:rsid w:val="00D00ABB"/>
    <w:rsid w:val="00D02781"/>
    <w:rsid w:val="00D02EEC"/>
    <w:rsid w:val="00D03551"/>
    <w:rsid w:val="00D06A63"/>
    <w:rsid w:val="00D07E0E"/>
    <w:rsid w:val="00D11478"/>
    <w:rsid w:val="00D15ED0"/>
    <w:rsid w:val="00D21B3E"/>
    <w:rsid w:val="00D21C26"/>
    <w:rsid w:val="00D21FED"/>
    <w:rsid w:val="00D24251"/>
    <w:rsid w:val="00D343E2"/>
    <w:rsid w:val="00D361A2"/>
    <w:rsid w:val="00D44C2E"/>
    <w:rsid w:val="00D45414"/>
    <w:rsid w:val="00D54FF1"/>
    <w:rsid w:val="00D55E2C"/>
    <w:rsid w:val="00D566BD"/>
    <w:rsid w:val="00D57A4D"/>
    <w:rsid w:val="00D60AA7"/>
    <w:rsid w:val="00D62A67"/>
    <w:rsid w:val="00D6435F"/>
    <w:rsid w:val="00D701D9"/>
    <w:rsid w:val="00D75E28"/>
    <w:rsid w:val="00D772C2"/>
    <w:rsid w:val="00D8008E"/>
    <w:rsid w:val="00D82C45"/>
    <w:rsid w:val="00D908A8"/>
    <w:rsid w:val="00D977B6"/>
    <w:rsid w:val="00DA3634"/>
    <w:rsid w:val="00DA4A31"/>
    <w:rsid w:val="00DA7B04"/>
    <w:rsid w:val="00DB36C2"/>
    <w:rsid w:val="00DB5CBD"/>
    <w:rsid w:val="00DC169B"/>
    <w:rsid w:val="00DC2AB9"/>
    <w:rsid w:val="00DC61DC"/>
    <w:rsid w:val="00DC63F0"/>
    <w:rsid w:val="00DD5382"/>
    <w:rsid w:val="00DD6EE5"/>
    <w:rsid w:val="00DE2362"/>
    <w:rsid w:val="00DE386C"/>
    <w:rsid w:val="00DE4D35"/>
    <w:rsid w:val="00DF098B"/>
    <w:rsid w:val="00DF11C4"/>
    <w:rsid w:val="00DF210C"/>
    <w:rsid w:val="00DF4B6A"/>
    <w:rsid w:val="00E02C09"/>
    <w:rsid w:val="00E04D59"/>
    <w:rsid w:val="00E07DA1"/>
    <w:rsid w:val="00E123CB"/>
    <w:rsid w:val="00E20E13"/>
    <w:rsid w:val="00E21DBC"/>
    <w:rsid w:val="00E275D7"/>
    <w:rsid w:val="00E27DBE"/>
    <w:rsid w:val="00E32AB1"/>
    <w:rsid w:val="00E36C71"/>
    <w:rsid w:val="00E40404"/>
    <w:rsid w:val="00E459C6"/>
    <w:rsid w:val="00E47589"/>
    <w:rsid w:val="00E527D6"/>
    <w:rsid w:val="00E64915"/>
    <w:rsid w:val="00E661D4"/>
    <w:rsid w:val="00E70091"/>
    <w:rsid w:val="00E720F5"/>
    <w:rsid w:val="00E76D47"/>
    <w:rsid w:val="00E849F7"/>
    <w:rsid w:val="00E90302"/>
    <w:rsid w:val="00E97396"/>
    <w:rsid w:val="00EA185E"/>
    <w:rsid w:val="00EA592A"/>
    <w:rsid w:val="00EA5FE4"/>
    <w:rsid w:val="00EB14E4"/>
    <w:rsid w:val="00EB182B"/>
    <w:rsid w:val="00EB32A5"/>
    <w:rsid w:val="00EB34ED"/>
    <w:rsid w:val="00EB4A37"/>
    <w:rsid w:val="00EB7BE0"/>
    <w:rsid w:val="00EC315E"/>
    <w:rsid w:val="00EC58D1"/>
    <w:rsid w:val="00ED077C"/>
    <w:rsid w:val="00ED1190"/>
    <w:rsid w:val="00ED6544"/>
    <w:rsid w:val="00EE0277"/>
    <w:rsid w:val="00EE3E00"/>
    <w:rsid w:val="00EE5DD2"/>
    <w:rsid w:val="00F00A79"/>
    <w:rsid w:val="00F00E86"/>
    <w:rsid w:val="00F07C1E"/>
    <w:rsid w:val="00F105DB"/>
    <w:rsid w:val="00F132BC"/>
    <w:rsid w:val="00F13D80"/>
    <w:rsid w:val="00F16AAA"/>
    <w:rsid w:val="00F21161"/>
    <w:rsid w:val="00F218EF"/>
    <w:rsid w:val="00F21BC7"/>
    <w:rsid w:val="00F25EFC"/>
    <w:rsid w:val="00F266A2"/>
    <w:rsid w:val="00F27D13"/>
    <w:rsid w:val="00F30ECC"/>
    <w:rsid w:val="00F32269"/>
    <w:rsid w:val="00F56A6F"/>
    <w:rsid w:val="00F5709C"/>
    <w:rsid w:val="00F626DA"/>
    <w:rsid w:val="00F64EF1"/>
    <w:rsid w:val="00F659F3"/>
    <w:rsid w:val="00F73A92"/>
    <w:rsid w:val="00F83589"/>
    <w:rsid w:val="00F85E6E"/>
    <w:rsid w:val="00F8765F"/>
    <w:rsid w:val="00F90767"/>
    <w:rsid w:val="00F912E4"/>
    <w:rsid w:val="00F94531"/>
    <w:rsid w:val="00F9588E"/>
    <w:rsid w:val="00FA685B"/>
    <w:rsid w:val="00FB0C01"/>
    <w:rsid w:val="00FC04E5"/>
    <w:rsid w:val="00FC18F2"/>
    <w:rsid w:val="00FC39E5"/>
    <w:rsid w:val="00FC3A78"/>
    <w:rsid w:val="00FD1005"/>
    <w:rsid w:val="00FD61AA"/>
    <w:rsid w:val="00FD6C75"/>
    <w:rsid w:val="00FD7649"/>
    <w:rsid w:val="00FE71B3"/>
    <w:rsid w:val="00FF42C5"/>
    <w:rsid w:val="00FF5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F343D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287E6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287E6F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287E6F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287E6F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287E6F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287E6F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287E6F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287E6F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287E6F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287E6F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287E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287E6F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287E6F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287E6F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287E6F"/>
    <w:rPr>
      <w:color w:val="00B050"/>
      <w:sz w:val="22"/>
    </w:rPr>
  </w:style>
  <w:style w:type="character" w:styleId="Pogrubienie">
    <w:name w:val="Strong"/>
    <w:uiPriority w:val="98"/>
    <w:semiHidden/>
    <w:qFormat/>
    <w:rsid w:val="00287E6F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287E6F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287E6F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287E6F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287E6F"/>
    <w:pPr>
      <w:numPr>
        <w:numId w:val="6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287E6F"/>
    <w:pPr>
      <w:numPr>
        <w:ilvl w:val="1"/>
        <w:numId w:val="6"/>
      </w:numPr>
    </w:pPr>
  </w:style>
  <w:style w:type="paragraph" w:customStyle="1" w:styleId="JuListi">
    <w:name w:val="Ju_List_i"/>
    <w:aliases w:val="_List_3"/>
    <w:basedOn w:val="NormalJustified"/>
    <w:uiPriority w:val="23"/>
    <w:rsid w:val="00287E6F"/>
    <w:pPr>
      <w:numPr>
        <w:ilvl w:val="2"/>
        <w:numId w:val="6"/>
      </w:numPr>
    </w:p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287E6F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287E6F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287E6F"/>
    <w:pPr>
      <w:keepNext/>
      <w:keepLines/>
      <w:tabs>
        <w:tab w:val="right" w:pos="7938"/>
      </w:tabs>
      <w:ind w:firstLine="0"/>
      <w:jc w:val="center"/>
    </w:pPr>
    <w:rPr>
      <w:i/>
    </w:rPr>
  </w:style>
  <w:style w:type="numbering" w:customStyle="1" w:styleId="ECHRA1StyleBulletedSquare">
    <w:name w:val="ECHR_A1_Style_Bulleted_Square"/>
    <w:basedOn w:val="Bezlisty"/>
    <w:rsid w:val="00287E6F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287E6F"/>
    <w:pPr>
      <w:keepNext/>
      <w:keepLines/>
      <w:numPr>
        <w:numId w:val="1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List">
    <w:name w:val="ECHR_A1_Style_List"/>
    <w:basedOn w:val="Bezlisty"/>
    <w:uiPriority w:val="99"/>
    <w:rsid w:val="00287E6F"/>
    <w:pPr>
      <w:numPr>
        <w:numId w:val="6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287E6F"/>
    <w:pPr>
      <w:tabs>
        <w:tab w:val="center" w:pos="1418"/>
        <w:tab w:val="center" w:pos="5954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287E6F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287E6F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NumberedList">
    <w:name w:val="ECHR_A1_Style_Numbered_List"/>
    <w:basedOn w:val="Bezlisty"/>
    <w:rsid w:val="00287E6F"/>
    <w:pPr>
      <w:numPr>
        <w:numId w:val="7"/>
      </w:numPr>
    </w:pPr>
  </w:style>
  <w:style w:type="table" w:customStyle="1" w:styleId="ECHRTable2019">
    <w:name w:val="ECHR_Table_2019"/>
    <w:basedOn w:val="Standardowy"/>
    <w:uiPriority w:val="99"/>
    <w:rsid w:val="00287E6F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A00672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287E6F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287E6F"/>
    <w:pPr>
      <w:tabs>
        <w:tab w:val="center" w:pos="6407"/>
      </w:tabs>
      <w:spacing w:before="720"/>
      <w:jc w:val="right"/>
    </w:p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287E6F"/>
    <w:pPr>
      <w:keepNext/>
      <w:keepLines/>
      <w:numPr>
        <w:ilvl w:val="1"/>
        <w:numId w:val="1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287E6F"/>
    <w:pPr>
      <w:keepNext/>
      <w:keepLines/>
      <w:numPr>
        <w:ilvl w:val="2"/>
        <w:numId w:val="1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287E6F"/>
    <w:pPr>
      <w:keepNext/>
      <w:keepLines/>
      <w:numPr>
        <w:ilvl w:val="3"/>
        <w:numId w:val="1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287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287E6F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287E6F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287E6F"/>
    <w:pPr>
      <w:keepNext/>
      <w:keepLines/>
      <w:numPr>
        <w:ilvl w:val="4"/>
        <w:numId w:val="1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287E6F"/>
    <w:pPr>
      <w:keepNext/>
      <w:keepLines/>
      <w:numPr>
        <w:ilvl w:val="5"/>
        <w:numId w:val="1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287E6F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287E6F"/>
    <w:pPr>
      <w:keepNext/>
      <w:keepLines/>
      <w:numPr>
        <w:ilvl w:val="6"/>
        <w:numId w:val="1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287E6F"/>
    <w:pPr>
      <w:keepNext/>
      <w:keepLines/>
      <w:numPr>
        <w:ilvl w:val="7"/>
        <w:numId w:val="1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287E6F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287E6F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287E6F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287E6F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287E6F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287E6F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NAMES">
    <w:name w:val="JU_NAMES"/>
    <w:aliases w:val="_Ju_Names"/>
    <w:uiPriority w:val="33"/>
    <w:qFormat/>
    <w:rsid w:val="00287E6F"/>
    <w:rPr>
      <w:caps w:val="0"/>
      <w:smallCaps/>
    </w:rPr>
  </w:style>
  <w:style w:type="paragraph" w:customStyle="1" w:styleId="NormalJustified">
    <w:name w:val="Normal_Justified"/>
    <w:basedOn w:val="Normalny"/>
    <w:semiHidden/>
    <w:rsid w:val="00287E6F"/>
    <w:pPr>
      <w:jc w:val="both"/>
    </w:pPr>
  </w:style>
  <w:style w:type="character" w:styleId="Wyrnieniedelikatne">
    <w:name w:val="Subtle Emphasis"/>
    <w:uiPriority w:val="98"/>
    <w:semiHidden/>
    <w:qFormat/>
    <w:rsid w:val="00287E6F"/>
    <w:rPr>
      <w:i/>
      <w:iCs/>
    </w:rPr>
  </w:style>
  <w:style w:type="table" w:customStyle="1" w:styleId="ECHRTable">
    <w:name w:val="ECHR_Table"/>
    <w:basedOn w:val="Standardowy"/>
    <w:rsid w:val="00287E6F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287E6F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287E6F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287E6F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287E6F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287E6F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287E6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287E6F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287E6F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287E6F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287E6F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287E6F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287E6F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287E6F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287E6F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287E6F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287E6F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287E6F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287E6F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287E6F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287E6F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287E6F"/>
    <w:rPr>
      <w:smallCaps/>
    </w:rPr>
  </w:style>
  <w:style w:type="table" w:styleId="Tabela-Siatka">
    <w:name w:val="Table Grid"/>
    <w:basedOn w:val="Standardowy"/>
    <w:uiPriority w:val="59"/>
    <w:semiHidden/>
    <w:rsid w:val="00287E6F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287E6F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287E6F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287E6F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287E6F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287E6F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287E6F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287E6F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287E6F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287E6F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287E6F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87E6F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287E6F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287E6F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287E6F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287E6F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287E6F"/>
    <w:pPr>
      <w:numPr>
        <w:numId w:val="2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287E6F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287E6F"/>
    <w:pPr>
      <w:numPr>
        <w:numId w:val="3"/>
      </w:numPr>
    </w:pPr>
  </w:style>
  <w:style w:type="table" w:customStyle="1" w:styleId="ECHRTableSimpleBox">
    <w:name w:val="ECHR_Table_Simple_Box"/>
    <w:basedOn w:val="Standardowy"/>
    <w:uiPriority w:val="99"/>
    <w:rsid w:val="00287E6F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287E6F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287E6F"/>
    <w:pPr>
      <w:numPr>
        <w:numId w:val="4"/>
      </w:numPr>
    </w:pPr>
  </w:style>
  <w:style w:type="table" w:customStyle="1" w:styleId="ECHRTableForInternalUse">
    <w:name w:val="ECHR_Table_For_Internal_Use"/>
    <w:basedOn w:val="Standardowy"/>
    <w:uiPriority w:val="99"/>
    <w:rsid w:val="00287E6F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287E6F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287E6F"/>
  </w:style>
  <w:style w:type="paragraph" w:styleId="Tekstblokowy">
    <w:name w:val="Block Text"/>
    <w:basedOn w:val="Normalny"/>
    <w:uiPriority w:val="98"/>
    <w:semiHidden/>
    <w:rsid w:val="00287E6F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287E6F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287E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287E6F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287E6F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287E6F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287E6F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Justified"/>
    <w:next w:val="JuPara"/>
    <w:uiPriority w:val="32"/>
    <w:rsid w:val="00287E6F"/>
    <w:pPr>
      <w:ind w:firstLine="284"/>
    </w:pPr>
    <w:rPr>
      <w:b/>
    </w:rPr>
  </w:style>
  <w:style w:type="character" w:styleId="Numerstrony">
    <w:name w:val="page number"/>
    <w:uiPriority w:val="98"/>
    <w:semiHidden/>
    <w:rsid w:val="00287E6F"/>
    <w:rPr>
      <w:sz w:val="18"/>
    </w:rPr>
  </w:style>
  <w:style w:type="paragraph" w:styleId="Listapunktowana2">
    <w:name w:val="List Bullet 2"/>
    <w:basedOn w:val="Normalny"/>
    <w:uiPriority w:val="98"/>
    <w:semiHidden/>
    <w:rsid w:val="00287E6F"/>
    <w:pPr>
      <w:numPr>
        <w:numId w:val="9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287E6F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287E6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287E6F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287E6F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287E6F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287E6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287E6F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287E6F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287E6F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287E6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287E6F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287E6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287E6F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287E6F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287E6F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287E6F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287E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287E6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287E6F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287E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287E6F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287E6F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287E6F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287E6F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287E6F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287E6F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287E6F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287E6F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287E6F"/>
  </w:style>
  <w:style w:type="character" w:customStyle="1" w:styleId="DataZnak">
    <w:name w:val="Data Znak"/>
    <w:basedOn w:val="Domylnaczcionkaakapitu"/>
    <w:link w:val="Data"/>
    <w:uiPriority w:val="98"/>
    <w:semiHidden/>
    <w:rsid w:val="00287E6F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287E6F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287E6F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287E6F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287E6F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287E6F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287E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287E6F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287E6F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287E6F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287E6F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287E6F"/>
  </w:style>
  <w:style w:type="paragraph" w:styleId="HTML-adres">
    <w:name w:val="HTML Address"/>
    <w:basedOn w:val="Normalny"/>
    <w:link w:val="HTML-adresZnak"/>
    <w:uiPriority w:val="98"/>
    <w:semiHidden/>
    <w:rsid w:val="00287E6F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287E6F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287E6F"/>
    <w:rPr>
      <w:i/>
      <w:iCs/>
    </w:rPr>
  </w:style>
  <w:style w:type="character" w:styleId="HTML-kod">
    <w:name w:val="HTML Code"/>
    <w:basedOn w:val="Domylnaczcionkaakapitu"/>
    <w:uiPriority w:val="98"/>
    <w:semiHidden/>
    <w:rsid w:val="00287E6F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287E6F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287E6F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287E6F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287E6F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287E6F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287E6F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287E6F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287E6F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287E6F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287E6F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287E6F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287E6F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287E6F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287E6F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287E6F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287E6F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287E6F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287E6F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287E6F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287E6F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287E6F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287E6F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287E6F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287E6F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287E6F"/>
  </w:style>
  <w:style w:type="paragraph" w:styleId="Lista">
    <w:name w:val="List"/>
    <w:basedOn w:val="Normalny"/>
    <w:uiPriority w:val="98"/>
    <w:semiHidden/>
    <w:rsid w:val="00287E6F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287E6F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287E6F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287E6F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287E6F"/>
    <w:pPr>
      <w:ind w:left="1415" w:hanging="283"/>
      <w:contextualSpacing/>
    </w:pPr>
  </w:style>
  <w:style w:type="paragraph" w:styleId="Listapunktowana">
    <w:name w:val="List Bullet"/>
    <w:basedOn w:val="Normalny"/>
    <w:uiPriority w:val="98"/>
    <w:semiHidden/>
    <w:rsid w:val="00287E6F"/>
    <w:pPr>
      <w:numPr>
        <w:numId w:val="8"/>
      </w:numPr>
    </w:pPr>
  </w:style>
  <w:style w:type="paragraph" w:styleId="Listapunktowana3">
    <w:name w:val="List Bullet 3"/>
    <w:basedOn w:val="Normalny"/>
    <w:uiPriority w:val="98"/>
    <w:semiHidden/>
    <w:rsid w:val="00287E6F"/>
    <w:pPr>
      <w:numPr>
        <w:numId w:val="10"/>
      </w:numPr>
      <w:contextualSpacing/>
    </w:pPr>
  </w:style>
  <w:style w:type="paragraph" w:styleId="Listapunktowana4">
    <w:name w:val="List Bullet 4"/>
    <w:basedOn w:val="Normalny"/>
    <w:uiPriority w:val="98"/>
    <w:semiHidden/>
    <w:rsid w:val="00287E6F"/>
    <w:pPr>
      <w:numPr>
        <w:numId w:val="11"/>
      </w:numPr>
      <w:contextualSpacing/>
    </w:pPr>
  </w:style>
  <w:style w:type="paragraph" w:styleId="Listapunktowana5">
    <w:name w:val="List Bullet 5"/>
    <w:basedOn w:val="Normalny"/>
    <w:uiPriority w:val="98"/>
    <w:semiHidden/>
    <w:rsid w:val="00287E6F"/>
    <w:pPr>
      <w:numPr>
        <w:numId w:val="12"/>
      </w:numPr>
      <w:contextualSpacing/>
    </w:pPr>
  </w:style>
  <w:style w:type="paragraph" w:styleId="Lista-kontynuacja">
    <w:name w:val="List Continue"/>
    <w:basedOn w:val="Normalny"/>
    <w:uiPriority w:val="98"/>
    <w:semiHidden/>
    <w:rsid w:val="00287E6F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287E6F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287E6F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287E6F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287E6F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287E6F"/>
    <w:pPr>
      <w:numPr>
        <w:numId w:val="13"/>
      </w:numPr>
      <w:contextualSpacing/>
    </w:pPr>
  </w:style>
  <w:style w:type="paragraph" w:styleId="Listanumerowana2">
    <w:name w:val="List Number 2"/>
    <w:basedOn w:val="Normalny"/>
    <w:uiPriority w:val="98"/>
    <w:semiHidden/>
    <w:rsid w:val="00287E6F"/>
    <w:pPr>
      <w:numPr>
        <w:numId w:val="14"/>
      </w:numPr>
      <w:contextualSpacing/>
    </w:pPr>
  </w:style>
  <w:style w:type="paragraph" w:styleId="Listanumerowana3">
    <w:name w:val="List Number 3"/>
    <w:basedOn w:val="Normalny"/>
    <w:uiPriority w:val="98"/>
    <w:semiHidden/>
    <w:rsid w:val="00287E6F"/>
    <w:pPr>
      <w:numPr>
        <w:numId w:val="15"/>
      </w:numPr>
      <w:contextualSpacing/>
    </w:pPr>
  </w:style>
  <w:style w:type="paragraph" w:styleId="Listanumerowana4">
    <w:name w:val="List Number 4"/>
    <w:basedOn w:val="Normalny"/>
    <w:uiPriority w:val="98"/>
    <w:semiHidden/>
    <w:rsid w:val="00287E6F"/>
    <w:pPr>
      <w:numPr>
        <w:numId w:val="16"/>
      </w:numPr>
      <w:contextualSpacing/>
    </w:pPr>
  </w:style>
  <w:style w:type="paragraph" w:styleId="Listanumerowana5">
    <w:name w:val="List Number 5"/>
    <w:basedOn w:val="Normalny"/>
    <w:uiPriority w:val="98"/>
    <w:semiHidden/>
    <w:rsid w:val="00287E6F"/>
    <w:pPr>
      <w:numPr>
        <w:numId w:val="17"/>
      </w:numPr>
      <w:contextualSpacing/>
    </w:pPr>
  </w:style>
  <w:style w:type="paragraph" w:styleId="Tekstmakra">
    <w:name w:val="macro"/>
    <w:link w:val="TekstmakraZnak"/>
    <w:uiPriority w:val="98"/>
    <w:semiHidden/>
    <w:rsid w:val="00287E6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287E6F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287E6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287E6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287E6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287E6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287E6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287E6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287E6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287E6F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287E6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287E6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287E6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287E6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287E6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287E6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287E6F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287E6F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287E6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287E6F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287E6F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287E6F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287E6F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287E6F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287E6F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287E6F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287E6F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287E6F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287E6F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287E6F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287E6F"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287E6F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287E6F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287E6F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287E6F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287E6F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287E6F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287E6F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287E6F"/>
  </w:style>
  <w:style w:type="table" w:styleId="Tabela-Profesjonalny">
    <w:name w:val="Table Professional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287E6F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287E6F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287E6F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287E6F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287E6F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893F30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29"/>
    <w:semiHidden/>
    <w:rsid w:val="00287E6F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287E6F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287E6F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287E6F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287E6F"/>
    <w:pPr>
      <w:numPr>
        <w:numId w:val="5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287E6F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287E6F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287E6F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287E6F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287E6F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287E6F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287E6F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29"/>
    <w:semiHidden/>
    <w:rsid w:val="00287E6F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287E6F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287E6F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287E6F"/>
    <w:pPr>
      <w:keepNext/>
      <w:keepLines/>
      <w:numPr>
        <w:ilvl w:val="8"/>
        <w:numId w:val="1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287E6F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287E6F"/>
    <w:pPr>
      <w:numPr>
        <w:numId w:val="7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287E6F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287E6F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287E6F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287E6F"/>
    <w:pPr>
      <w:spacing w:before="120" w:after="120"/>
      <w:ind w:left="567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287E6F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287E6F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287E6F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287E6F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287E6F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287E6F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287E6F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287E6F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287E6F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287E6F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287E6F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287E6F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287E6F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287E6F"/>
    <w:rPr>
      <w:sz w:val="4"/>
    </w:rPr>
  </w:style>
  <w:style w:type="table" w:customStyle="1" w:styleId="ECHRTableGrey">
    <w:name w:val="ECHR_Table_Grey"/>
    <w:basedOn w:val="Standardowy"/>
    <w:uiPriority w:val="99"/>
    <w:rsid w:val="00287E6F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84261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rsid w:val="0013201E"/>
    <w:rPr>
      <w:sz w:val="24"/>
      <w:szCs w:val="24"/>
      <w:lang w:val="pl-PL"/>
    </w:rPr>
  </w:style>
  <w:style w:type="table" w:styleId="Tabelasiatki1jasna">
    <w:name w:val="Grid Table 1 Light"/>
    <w:basedOn w:val="Standardowy"/>
    <w:uiPriority w:val="46"/>
    <w:semiHidden/>
    <w:rsid w:val="004874B5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semiHidden/>
    <w:rsid w:val="004874B5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4874B5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4874B5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4874B5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4874B5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4874B5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4874B5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4874B5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4874B5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4874B5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4874B5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4874B5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4874B5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4874B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4874B5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4874B5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4874B5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4874B5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4874B5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4874B5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4874B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4874B5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4874B5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4874B5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4874B5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4874B5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4874B5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4874B5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4874B5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4874B5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4874B5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4874B5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4874B5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4874B5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4874B5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4874B5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4874B5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4874B5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4874B5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4874B5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4874B5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4874B5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4874B5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4874B5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4874B5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4874B5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4874B5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4874B5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4874B5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4874B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4874B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4874B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4874B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4874B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4874B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4874B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4874B5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4874B5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4874B5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4874B5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4874B5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4874B5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4874B5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4874B5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4874B5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4874B5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4874B5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4874B5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4874B5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4874B5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4874B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4874B5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4874B5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4874B5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4874B5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4874B5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4874B5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4874B5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4874B5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4874B5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4874B5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4874B5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4874B5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4874B5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4874B5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4874B5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4874B5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4874B5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4874B5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4874B5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4874B5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4874B5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4874B5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4874B5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4874B5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4874B5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4874B5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4874B5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4874B5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4874B5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4874B5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4874B5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4874B5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4874B5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4874B5"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sid w:val="004874B5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4874B5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6A299-0EDA-407B-9B94-943B2405E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1323</Words>
  <Characters>7940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2023-04-06T13:28:00Z</dcterms:created>
  <dcterms:modified xsi:type="dcterms:W3CDTF">2023-04-06T13:30:00Z</dcterms:modified>
  <cp:category/>
</cp:coreProperties>
</file>