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4E843" w14:textId="7757F20B" w:rsidR="007561E3" w:rsidRPr="00F637F8" w:rsidRDefault="00F637F8" w:rsidP="00F637F8">
      <w:pPr>
        <w:pStyle w:val="DecHTitle"/>
      </w:pPr>
      <w:r w:rsidRPr="00F637F8">
        <w:t>EUROPEJSKI TRYBUNAŁ PRAW CZŁOWIEKA</w:t>
      </w:r>
    </w:p>
    <w:p w14:paraId="7D6B5F5A" w14:textId="77777777" w:rsidR="00295A38" w:rsidRPr="00295A38" w:rsidRDefault="00295A38" w:rsidP="00295A38">
      <w:pPr>
        <w:jc w:val="center"/>
        <w:rPr>
          <w:rFonts w:ascii="Times New Roman" w:hAnsi="Times New Roman" w:cs="Times New Roman"/>
          <w:noProof/>
        </w:rPr>
      </w:pPr>
    </w:p>
    <w:p w14:paraId="3CC972DD" w14:textId="7A1A56F5" w:rsidR="0098410D" w:rsidRPr="00295A38" w:rsidRDefault="007561E3" w:rsidP="00295A38">
      <w:pPr>
        <w:pStyle w:val="DecHTitle"/>
      </w:pPr>
      <w:r>
        <w:t>SEKCJA PIERWSZA</w:t>
      </w:r>
    </w:p>
    <w:p w14:paraId="17486280" w14:textId="6F71320D" w:rsidR="008E6217" w:rsidRPr="00295A38" w:rsidRDefault="008E6217" w:rsidP="00295A38">
      <w:pPr>
        <w:pStyle w:val="JuTitle"/>
        <w:spacing w:before="1440"/>
      </w:pPr>
      <w:bookmarkStart w:id="0" w:name="To"/>
      <w:r>
        <w:rPr>
          <w:color w:val="000000" w:themeColor="text1"/>
        </w:rPr>
        <w:t>SPRAWA</w:t>
      </w:r>
      <w:bookmarkEnd w:id="0"/>
      <w:r>
        <w:rPr>
          <w:color w:val="000000" w:themeColor="text1"/>
        </w:rPr>
        <w:t xml:space="preserve"> </w:t>
      </w:r>
      <w:r>
        <w:t xml:space="preserve">ZUBEL </w:t>
      </w:r>
      <w:r w:rsidR="00227399">
        <w:t xml:space="preserve">przeciwko </w:t>
      </w:r>
      <w:r>
        <w:t>POLSCE</w:t>
      </w:r>
    </w:p>
    <w:p w14:paraId="4EF796A6" w14:textId="21A2CD34" w:rsidR="00D74888" w:rsidRPr="00295A38" w:rsidRDefault="008E6217" w:rsidP="00295A38">
      <w:pPr>
        <w:pStyle w:val="ECHRCoverTitle4"/>
      </w:pPr>
      <w:r>
        <w:t>(Skarga nr</w:t>
      </w:r>
      <w:r w:rsidR="008A5C5E">
        <w:t xml:space="preserve"> </w:t>
      </w:r>
      <w:r>
        <w:t>10932/18)</w:t>
      </w:r>
    </w:p>
    <w:p w14:paraId="0B5B4975" w14:textId="77777777" w:rsidR="0098410D" w:rsidRPr="00295A38" w:rsidRDefault="0098410D" w:rsidP="00295A38">
      <w:pPr>
        <w:pStyle w:val="DecHCase"/>
      </w:pPr>
    </w:p>
    <w:p w14:paraId="481DB73D" w14:textId="4DA8B655" w:rsidR="0098410D" w:rsidRPr="00295A38" w:rsidRDefault="0098410D" w:rsidP="00295A38">
      <w:pPr>
        <w:pStyle w:val="DecHCase"/>
      </w:pPr>
    </w:p>
    <w:p w14:paraId="5C67AF52" w14:textId="10BDD1D5" w:rsidR="002627A9" w:rsidRPr="00295A38" w:rsidRDefault="002627A9" w:rsidP="00295A38">
      <w:pPr>
        <w:pStyle w:val="DecHCase"/>
      </w:pPr>
    </w:p>
    <w:p w14:paraId="5D278137" w14:textId="77777777" w:rsidR="002627A9" w:rsidRPr="00295A38" w:rsidRDefault="002627A9" w:rsidP="00295A38">
      <w:pPr>
        <w:pStyle w:val="DecHCase"/>
      </w:pPr>
    </w:p>
    <w:p w14:paraId="4F2D9B29" w14:textId="77777777" w:rsidR="0098410D" w:rsidRPr="00295A38" w:rsidRDefault="0098410D" w:rsidP="00295A38">
      <w:pPr>
        <w:pStyle w:val="DecHCase"/>
      </w:pPr>
    </w:p>
    <w:p w14:paraId="23A65E25" w14:textId="04F97283" w:rsidR="0098410D" w:rsidRPr="00295A38" w:rsidRDefault="0098410D" w:rsidP="00295A38">
      <w:pPr>
        <w:pStyle w:val="DecHCase"/>
      </w:pPr>
      <w:r>
        <w:t>WYROK</w:t>
      </w:r>
      <w:r>
        <w:br/>
      </w:r>
    </w:p>
    <w:p w14:paraId="40767AA6" w14:textId="77777777" w:rsidR="0098410D" w:rsidRPr="00295A38" w:rsidRDefault="0098410D" w:rsidP="00295A38">
      <w:pPr>
        <w:pStyle w:val="DecHCase"/>
      </w:pPr>
      <w:r>
        <w:t>STRASBURG</w:t>
      </w:r>
    </w:p>
    <w:p w14:paraId="1C4BF78A" w14:textId="147D007D" w:rsidR="0098410D" w:rsidRPr="00295A38" w:rsidRDefault="007561E3" w:rsidP="00295A38">
      <w:pPr>
        <w:pStyle w:val="DecHCase"/>
      </w:pPr>
      <w:r>
        <w:rPr>
          <w:rFonts w:ascii="Times New Roman" w:hAnsi="Times New Roman"/>
        </w:rPr>
        <w:t>9 czerwca 2022 r.</w:t>
      </w:r>
    </w:p>
    <w:p w14:paraId="29643CAE" w14:textId="4D530B4B" w:rsidR="00AC4CD4" w:rsidRPr="00295A38" w:rsidRDefault="00AC4CD4" w:rsidP="00295A38">
      <w:pPr>
        <w:pStyle w:val="JuPara"/>
      </w:pPr>
    </w:p>
    <w:p w14:paraId="05E5285F" w14:textId="434A7C1C" w:rsidR="00295A38" w:rsidRPr="00295A38" w:rsidRDefault="00295A38" w:rsidP="00295A38">
      <w:pPr>
        <w:pStyle w:val="JuPara"/>
      </w:pPr>
    </w:p>
    <w:p w14:paraId="1B880F79" w14:textId="77777777" w:rsidR="00295A38" w:rsidRPr="00295A38" w:rsidRDefault="00295A38" w:rsidP="00295A38">
      <w:pPr>
        <w:pStyle w:val="JuPara"/>
      </w:pPr>
    </w:p>
    <w:p w14:paraId="0578A6FF" w14:textId="651F0B0A" w:rsidR="002422B6" w:rsidRPr="00295A38" w:rsidRDefault="0098410D" w:rsidP="00295A38">
      <w:pPr>
        <w:rPr>
          <w:i/>
          <w:sz w:val="22"/>
        </w:rPr>
      </w:pPr>
      <w:r>
        <w:rPr>
          <w:i/>
          <w:sz w:val="22"/>
        </w:rPr>
        <w:t>Wyrok ten stał się ostateczny, lecz może podlegać korekcie wydawniczej.</w:t>
      </w:r>
    </w:p>
    <w:p w14:paraId="4B4B76B1" w14:textId="77777777" w:rsidR="0098410D" w:rsidRPr="00295A38" w:rsidRDefault="0098410D" w:rsidP="00295A38"/>
    <w:p w14:paraId="00AB3891" w14:textId="4DC64B81" w:rsidR="00295A38" w:rsidRPr="00295A38" w:rsidRDefault="00295A38" w:rsidP="00295A38">
      <w:pPr>
        <w:sectPr w:rsidR="00295A38" w:rsidRPr="00295A38" w:rsidSect="00D66471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43A5C16E" w14:textId="17D5D6F1" w:rsidR="0098410D" w:rsidRPr="00295A38" w:rsidRDefault="0098410D" w:rsidP="00295A38">
      <w:pPr>
        <w:pStyle w:val="JuCase"/>
      </w:pPr>
      <w:r>
        <w:lastRenderedPageBreak/>
        <w:t>W sprawie Zubel przeciwko Polsce</w:t>
      </w:r>
    </w:p>
    <w:p w14:paraId="48FA7FFD" w14:textId="32086840" w:rsidR="009F4C8F" w:rsidRPr="00295A38" w:rsidRDefault="009F4C8F" w:rsidP="00295A38">
      <w:pPr>
        <w:pStyle w:val="JuPara"/>
      </w:pPr>
      <w:r>
        <w:t>Europejski Trybunał Praw Człowieka (</w:t>
      </w:r>
      <w:r w:rsidR="00F637F8">
        <w:t>Sekcja Pierwsza</w:t>
      </w:r>
      <w:r>
        <w:t>), zasiadając jako Komitet w składzie:</w:t>
      </w:r>
    </w:p>
    <w:p w14:paraId="7A7A7A74" w14:textId="77777777" w:rsidR="00597B35" w:rsidRDefault="00AF5285" w:rsidP="00597B35">
      <w:pPr>
        <w:pStyle w:val="JuJudges"/>
        <w:tabs>
          <w:tab w:val="clear" w:pos="567"/>
          <w:tab w:val="clear" w:pos="1134"/>
        </w:tabs>
        <w:ind w:left="719"/>
      </w:pPr>
      <w:r>
        <w:t xml:space="preserve">Lorraine </w:t>
      </w:r>
      <w:proofErr w:type="spellStart"/>
      <w:r>
        <w:t>Schembri</w:t>
      </w:r>
      <w:proofErr w:type="spellEnd"/>
      <w:r>
        <w:t xml:space="preserve"> </w:t>
      </w:r>
      <w:proofErr w:type="spellStart"/>
      <w:r>
        <w:t>Orland</w:t>
      </w:r>
      <w:proofErr w:type="spellEnd"/>
      <w:r>
        <w:rPr>
          <w:i/>
        </w:rPr>
        <w:t>, Przewodnicząca</w:t>
      </w:r>
      <w:r>
        <w:t>,</w:t>
      </w:r>
      <w:r>
        <w:br/>
        <w:t xml:space="preserve">Krzysztof </w:t>
      </w:r>
      <w:proofErr w:type="spellStart"/>
      <w:r>
        <w:t>Wojtyczek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Ioannis</w:t>
      </w:r>
      <w:proofErr w:type="spellEnd"/>
      <w:r>
        <w:t xml:space="preserve"> </w:t>
      </w:r>
      <w:proofErr w:type="spellStart"/>
      <w:r>
        <w:t>Ktistakis</w:t>
      </w:r>
      <w:proofErr w:type="spellEnd"/>
      <w:r>
        <w:t>,</w:t>
      </w:r>
      <w:r>
        <w:rPr>
          <w:i/>
        </w:rPr>
        <w:t xml:space="preserve"> </w:t>
      </w:r>
      <w:r w:rsidR="00D47502">
        <w:rPr>
          <w:i/>
        </w:rPr>
        <w:t>S</w:t>
      </w:r>
      <w:r>
        <w:rPr>
          <w:i/>
        </w:rPr>
        <w:t>ędziowie</w:t>
      </w:r>
      <w:r w:rsidR="00597B35">
        <w:t>,</w:t>
      </w:r>
    </w:p>
    <w:p w14:paraId="4D0CE8D9" w14:textId="0AD07739" w:rsidR="009F4C8F" w:rsidRPr="00295A38" w:rsidRDefault="00AF5285" w:rsidP="00597B35">
      <w:pPr>
        <w:pStyle w:val="JuJudges"/>
        <w:tabs>
          <w:tab w:val="clear" w:pos="567"/>
          <w:tab w:val="clear" w:pos="1134"/>
        </w:tabs>
      </w:pPr>
      <w:r>
        <w:t xml:space="preserve">oraz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 w:rsidR="00D47502">
        <w:rPr>
          <w:i/>
        </w:rPr>
        <w:t>Z</w:t>
      </w:r>
      <w:r>
        <w:rPr>
          <w:i/>
        </w:rPr>
        <w:t xml:space="preserve">astępca </w:t>
      </w:r>
      <w:r w:rsidR="00D47502">
        <w:rPr>
          <w:i/>
          <w:iCs/>
        </w:rPr>
        <w:t>K</w:t>
      </w:r>
      <w:r>
        <w:rPr>
          <w:i/>
          <w:iCs/>
        </w:rPr>
        <w:t>anclerza</w:t>
      </w:r>
      <w:r>
        <w:t xml:space="preserve"> </w:t>
      </w:r>
      <w:r w:rsidR="00D47502">
        <w:rPr>
          <w:i/>
          <w:iCs/>
        </w:rPr>
        <w:t>S</w:t>
      </w:r>
      <w:r>
        <w:rPr>
          <w:i/>
          <w:iCs/>
        </w:rPr>
        <w:t>ekcji</w:t>
      </w:r>
      <w:r>
        <w:t>,</w:t>
      </w:r>
    </w:p>
    <w:p w14:paraId="034DA1CE" w14:textId="77777777" w:rsidR="007561E3" w:rsidRPr="00295A38" w:rsidRDefault="007561E3" w:rsidP="00295A38">
      <w:pPr>
        <w:pStyle w:val="JuPara"/>
      </w:pPr>
      <w:r>
        <w:t>Mając na uwadze:</w:t>
      </w:r>
    </w:p>
    <w:p w14:paraId="54450E90" w14:textId="4D3373E5" w:rsidR="007561E3" w:rsidRPr="00295A38" w:rsidRDefault="007561E3" w:rsidP="00295A38">
      <w:pPr>
        <w:pStyle w:val="JuPara"/>
      </w:pPr>
      <w:r>
        <w:t>skargę (nr</w:t>
      </w:r>
      <w:r w:rsidR="008A5C5E">
        <w:t xml:space="preserve"> </w:t>
      </w:r>
      <w:r>
        <w:t>10932/18) przeciwko Rzeczypospolitej Polskiej wniesioną do</w:t>
      </w:r>
      <w:r w:rsidR="000E70A1">
        <w:t> </w:t>
      </w:r>
      <w:r>
        <w:t>Trybunału w dniu 22 lutego 2018</w:t>
      </w:r>
      <w:r w:rsidR="008A5C5E">
        <w:t xml:space="preserve"> </w:t>
      </w:r>
      <w:r>
        <w:t>r. na podstawie art.</w:t>
      </w:r>
      <w:r w:rsidR="008A5C5E">
        <w:t xml:space="preserve"> </w:t>
      </w:r>
      <w:r>
        <w:t>34 Konwencji o</w:t>
      </w:r>
      <w:r w:rsidR="000E70A1">
        <w:t> </w:t>
      </w:r>
      <w:r>
        <w:t>ochronie praw człowieka i</w:t>
      </w:r>
      <w:r w:rsidR="008A5C5E">
        <w:t xml:space="preserve"> </w:t>
      </w:r>
      <w:r>
        <w:t xml:space="preserve">podstawowych wolności („Konwencji”) przez obywatela polskiego Damiana Zubla („skarżącego”), </w:t>
      </w:r>
      <w:r w:rsidR="00D47502">
        <w:t>urodzonego w 1975 r</w:t>
      </w:r>
      <w:r w:rsidR="00597B35">
        <w:t>.</w:t>
      </w:r>
      <w:r w:rsidR="00D47502">
        <w:t xml:space="preserve"> i</w:t>
      </w:r>
      <w:r w:rsidR="000E70A1">
        <w:t> </w:t>
      </w:r>
      <w:r w:rsidR="00D47502">
        <w:t xml:space="preserve">mieszkającego w Koszalinie, </w:t>
      </w:r>
      <w:r>
        <w:t>którego reprezentowała M.</w:t>
      </w:r>
      <w:r w:rsidR="008A5C5E">
        <w:t xml:space="preserve"> </w:t>
      </w:r>
      <w:proofErr w:type="spellStart"/>
      <w:r>
        <w:t>Kucznier</w:t>
      </w:r>
      <w:proofErr w:type="spellEnd"/>
      <w:r>
        <w:t>, adwokat praktykująca w Gdańsku;</w:t>
      </w:r>
    </w:p>
    <w:p w14:paraId="784C8307" w14:textId="1DE66BE0" w:rsidR="007561E3" w:rsidRPr="00295A38" w:rsidRDefault="007561E3" w:rsidP="00295A38">
      <w:pPr>
        <w:pStyle w:val="JuPara"/>
      </w:pPr>
      <w:r>
        <w:t xml:space="preserve">decyzję o </w:t>
      </w:r>
      <w:r w:rsidR="00597B35">
        <w:t xml:space="preserve">zakomunikowaniu </w:t>
      </w:r>
      <w:r w:rsidR="005266A8">
        <w:t>R</w:t>
      </w:r>
      <w:r>
        <w:t xml:space="preserve">ządowi </w:t>
      </w:r>
      <w:r w:rsidR="005266A8">
        <w:t>p</w:t>
      </w:r>
      <w:r>
        <w:t>olskiemu („Rząd”), reprezentowanemu przez pełnomocnika J.</w:t>
      </w:r>
      <w:r w:rsidR="008A5C5E">
        <w:t xml:space="preserve"> </w:t>
      </w:r>
      <w:r>
        <w:t xml:space="preserve">Sobczaka z Ministerstwa Spraw Zagranicznych, </w:t>
      </w:r>
      <w:r w:rsidR="00597B35">
        <w:t>skargi</w:t>
      </w:r>
      <w:r>
        <w:t xml:space="preserve"> na zbyt długi okres tymczasowego aresztowania skarżącego oraz o uznaniu za niedopuszczalną pozostałej części skargi;</w:t>
      </w:r>
    </w:p>
    <w:p w14:paraId="2A4B96C9" w14:textId="482CA479" w:rsidR="007561E3" w:rsidRPr="00295A38" w:rsidRDefault="007561E3" w:rsidP="00295A38">
      <w:pPr>
        <w:pStyle w:val="JuPara"/>
      </w:pPr>
      <w:r>
        <w:t>stanowisko Rządu;</w:t>
      </w:r>
    </w:p>
    <w:p w14:paraId="440D517F" w14:textId="57A80C3D" w:rsidR="009F4C8F" w:rsidRPr="00295A38" w:rsidRDefault="009F4C8F" w:rsidP="00295A38">
      <w:pPr>
        <w:pStyle w:val="JuPara"/>
      </w:pPr>
      <w:r>
        <w:t>obradując na posiedzeniu niejawnym w dniu 17 maja 2022 r.</w:t>
      </w:r>
      <w:r w:rsidR="00ED34D0">
        <w:t>,</w:t>
      </w:r>
    </w:p>
    <w:p w14:paraId="4DFC4708" w14:textId="77777777" w:rsidR="009F4C8F" w:rsidRPr="00295A38" w:rsidRDefault="009F4C8F" w:rsidP="00295A38">
      <w:pPr>
        <w:pStyle w:val="JuPara"/>
      </w:pPr>
      <w:r>
        <w:t>wydaje następujący wyrok, który został przyjęty w tym dniu:</w:t>
      </w:r>
    </w:p>
    <w:p w14:paraId="623DEC33" w14:textId="514BFD99" w:rsidR="007561E3" w:rsidRPr="00295A38" w:rsidRDefault="007561E3" w:rsidP="00295A38">
      <w:pPr>
        <w:pStyle w:val="JuHHead"/>
        <w:numPr>
          <w:ilvl w:val="0"/>
          <w:numId w:val="0"/>
        </w:numPr>
      </w:pPr>
      <w:r>
        <w:t>PRZEDMIOT SPRAWY</w:t>
      </w:r>
    </w:p>
    <w:p w14:paraId="7C9B48C0" w14:textId="188E6D65" w:rsidR="007561E3" w:rsidRPr="00295A38" w:rsidRDefault="0079089E" w:rsidP="00295A38">
      <w:pPr>
        <w:pStyle w:val="JuPara"/>
      </w:pPr>
      <w:r>
        <w:rPr>
          <w:noProof/>
        </w:rPr>
        <w:t>1</w:t>
      </w:r>
      <w:r w:rsidR="007561E3">
        <w:t>.</w:t>
      </w:r>
      <w:r w:rsidR="008A5C5E">
        <w:t xml:space="preserve"> </w:t>
      </w:r>
      <w:r w:rsidR="007561E3">
        <w:t>Niniejsza sprawa dotyczy zarzutu przewlekłego stosowania tymczasowego aresztowania wobec skarżącego.</w:t>
      </w:r>
    </w:p>
    <w:p w14:paraId="6C42E0FD" w14:textId="0ED82F81" w:rsidR="007561E3" w:rsidRPr="00295A38" w:rsidRDefault="0079089E" w:rsidP="00295A38">
      <w:pPr>
        <w:pStyle w:val="JuPara"/>
      </w:pPr>
      <w:r>
        <w:rPr>
          <w:noProof/>
        </w:rPr>
        <w:t>2</w:t>
      </w:r>
      <w:r w:rsidR="00B74E90">
        <w:t>.</w:t>
      </w:r>
      <w:r w:rsidR="008A5C5E">
        <w:t xml:space="preserve"> </w:t>
      </w:r>
      <w:r w:rsidR="00B74E90">
        <w:t>W dniu 12 kwietnia 2015</w:t>
      </w:r>
      <w:r w:rsidR="008A5C5E">
        <w:t xml:space="preserve"> </w:t>
      </w:r>
      <w:r w:rsidR="00B74E90">
        <w:t>r. skarżący został zatrzymany pod zarzutem podpalenia domu należącego do rodziców jego partnerki. W dniu 14 kwietnia 2015</w:t>
      </w:r>
      <w:r w:rsidR="008A5C5E">
        <w:t xml:space="preserve"> </w:t>
      </w:r>
      <w:r w:rsidR="00B74E90">
        <w:t>r. Sąd Rejonowy w Koszalinie zastosował wobec skarżącego tymczasowe aresztowanie na okres trzech miesięcy. Sąd uznał, że istniało duże prawdopodobieństwo, że popełnił on zarzucane mu przestępstwo, a</w:t>
      </w:r>
      <w:r w:rsidR="000E70A1">
        <w:t> </w:t>
      </w:r>
      <w:r w:rsidR="00B74E90">
        <w:t>w</w:t>
      </w:r>
      <w:r w:rsidR="000E70A1">
        <w:t> </w:t>
      </w:r>
      <w:r w:rsidR="00B74E90">
        <w:t>świetle potencjalnie długiej kary pozbawienia wolności możliwe było, że</w:t>
      </w:r>
      <w:r w:rsidR="000E70A1">
        <w:t> </w:t>
      </w:r>
      <w:r w:rsidR="00B74E90">
        <w:t>będzie próbował utrudniać postępowanie. Skarżący nie zaskarżył tego postanowienia.</w:t>
      </w:r>
    </w:p>
    <w:p w14:paraId="5CBE31D6" w14:textId="7A8DE8D1" w:rsidR="007561E3" w:rsidRPr="00295A38" w:rsidRDefault="0079089E" w:rsidP="00295A38">
      <w:pPr>
        <w:pStyle w:val="JuPara"/>
      </w:pPr>
      <w:r>
        <w:rPr>
          <w:noProof/>
        </w:rPr>
        <w:t>3</w:t>
      </w:r>
      <w:r w:rsidR="00B74E90">
        <w:t>.</w:t>
      </w:r>
      <w:r w:rsidR="008A5C5E">
        <w:t xml:space="preserve"> </w:t>
      </w:r>
      <w:r w:rsidR="00B74E90">
        <w:t>Zastosowane wobec skarżącego tymczasowe aresztowanie zostało przedłużone postanowieniami Sądu Okręgowego w Koszalinie z dnia 7 lipca, 6 października, 24 listopada 2015</w:t>
      </w:r>
      <w:r w:rsidR="008A5C5E">
        <w:t xml:space="preserve"> </w:t>
      </w:r>
      <w:r w:rsidR="00B74E90">
        <w:t>r., 22 stycznia, 1 kwietnia i 31 sierpnia 2016</w:t>
      </w:r>
      <w:r w:rsidR="008A5C5E">
        <w:t xml:space="preserve"> </w:t>
      </w:r>
      <w:r w:rsidR="00B74E90">
        <w:t>r. We wszystkich swoich postanowieniach sąd przytoczył te same podstawy zastosowania tymczasowego aresztowania wobec skarżącego, co</w:t>
      </w:r>
      <w:r w:rsidR="000E70A1">
        <w:t> </w:t>
      </w:r>
      <w:r w:rsidR="00B74E90">
        <w:t>Sąd Rejonowy.</w:t>
      </w:r>
    </w:p>
    <w:p w14:paraId="078AB630" w14:textId="64D22519" w:rsidR="007561E3" w:rsidRPr="00295A38" w:rsidRDefault="0079089E" w:rsidP="00295A38">
      <w:pPr>
        <w:pStyle w:val="JuPara"/>
      </w:pPr>
      <w:r>
        <w:rPr>
          <w:noProof/>
        </w:rPr>
        <w:t>4</w:t>
      </w:r>
      <w:r w:rsidR="00B74E90">
        <w:t>.</w:t>
      </w:r>
      <w:r w:rsidR="008A5C5E">
        <w:t xml:space="preserve"> </w:t>
      </w:r>
      <w:r w:rsidR="00B74E90">
        <w:t>W dniu 22 marca 2016</w:t>
      </w:r>
      <w:r w:rsidR="008A5C5E">
        <w:t xml:space="preserve"> </w:t>
      </w:r>
      <w:r w:rsidR="00B74E90">
        <w:t>r. do Sądu Okręgowego w Koszalinie wpłynął akt oskarżenia. Skarżący został oskarżony o zniszczenie mienia przez podpalenie i usiłowanie zabójstwa.</w:t>
      </w:r>
    </w:p>
    <w:p w14:paraId="6F7C01F0" w14:textId="52B27E25" w:rsidR="007561E3" w:rsidRPr="00295A38" w:rsidRDefault="0079089E" w:rsidP="00295A38">
      <w:pPr>
        <w:pStyle w:val="JuPara"/>
      </w:pPr>
      <w:r>
        <w:rPr>
          <w:noProof/>
        </w:rPr>
        <w:lastRenderedPageBreak/>
        <w:t>5</w:t>
      </w:r>
      <w:r w:rsidR="00B74E90">
        <w:t>.</w:t>
      </w:r>
      <w:r w:rsidR="008A5C5E">
        <w:t xml:space="preserve"> </w:t>
      </w:r>
      <w:r w:rsidR="00B74E90">
        <w:t>W dniu 18 października 2016</w:t>
      </w:r>
      <w:r w:rsidR="008A5C5E">
        <w:t xml:space="preserve"> </w:t>
      </w:r>
      <w:r w:rsidR="00B74E90">
        <w:t>r. sąd ten uznał skarżącego za winnego zarzucanych mu czynów i wymierzył mu karę dwunastu lat pozbawienia wolności.</w:t>
      </w:r>
    </w:p>
    <w:p w14:paraId="03633E5D" w14:textId="01BDCC21" w:rsidR="007561E3" w:rsidRPr="00295A38" w:rsidRDefault="0079089E" w:rsidP="00295A38">
      <w:pPr>
        <w:pStyle w:val="JuPara"/>
      </w:pPr>
      <w:r>
        <w:rPr>
          <w:noProof/>
        </w:rPr>
        <w:t>6</w:t>
      </w:r>
      <w:r w:rsidR="00B74E90">
        <w:t>.</w:t>
      </w:r>
      <w:r w:rsidR="008A5C5E">
        <w:t xml:space="preserve"> </w:t>
      </w:r>
      <w:r w:rsidR="00B74E90">
        <w:t>W dniu 8 marca 2017</w:t>
      </w:r>
      <w:r w:rsidR="008A5C5E">
        <w:t xml:space="preserve"> </w:t>
      </w:r>
      <w:r w:rsidR="00B74E90">
        <w:t>r. Sąd Apelacyjny w Szczecinie uchylił wyrok sądu pierwszej instancji i przekazał sprawę do ponownego rozpoznania. Uznał, że stwierdzone uchybienia stanowiły rażącą niesprawiedliwość proceduralną. W szczególności zwrócił uwagę na fakt, że zachodził konflikt interesów w odniesieniu do biegłego sądowego oraz że zachodziły poważne wątpliwości co do jego bezstronności. Stwierdził również, że brak było dowodów wskazujących na to, by skarżący zamierzał kogokolwiek</w:t>
      </w:r>
      <w:r w:rsidR="002A734F">
        <w:t xml:space="preserve"> zabić</w:t>
      </w:r>
      <w:r w:rsidR="00B74E90">
        <w:t>. Z</w:t>
      </w:r>
      <w:r w:rsidR="000E70A1">
        <w:t> </w:t>
      </w:r>
      <w:r w:rsidR="00B74E90">
        <w:t>tych względów sąd apelacyjny zarządził powtórzenie całego postępowania.</w:t>
      </w:r>
    </w:p>
    <w:p w14:paraId="115C381A" w14:textId="52DFC457" w:rsidR="007561E3" w:rsidRPr="00295A38" w:rsidRDefault="0079089E" w:rsidP="00295A38">
      <w:pPr>
        <w:pStyle w:val="JuPara"/>
      </w:pPr>
      <w:r>
        <w:rPr>
          <w:noProof/>
        </w:rPr>
        <w:t>7</w:t>
      </w:r>
      <w:r w:rsidR="00B74E90">
        <w:t>.</w:t>
      </w:r>
      <w:r w:rsidR="008A5C5E">
        <w:t xml:space="preserve"> </w:t>
      </w:r>
      <w:r w:rsidR="00B74E90">
        <w:t>W dniu 18 kwietnia 2017</w:t>
      </w:r>
      <w:r w:rsidR="008A5C5E">
        <w:t xml:space="preserve"> </w:t>
      </w:r>
      <w:r w:rsidR="00B74E90">
        <w:t>r. Sąd Okręgowy w Koszalinie przedłużył tymczasowe aresztowanie skarżącego, opierając się na uprzednio przytoczonych podstawach. W dniu 7 czerwca 2017</w:t>
      </w:r>
      <w:r w:rsidR="008A5C5E">
        <w:t xml:space="preserve"> </w:t>
      </w:r>
      <w:r w:rsidR="00B74E90">
        <w:t>r. Sąd Apelacyjny w</w:t>
      </w:r>
      <w:r w:rsidR="000E70A1">
        <w:t> </w:t>
      </w:r>
      <w:r w:rsidR="00B90D1C">
        <w:t xml:space="preserve">Szczecinie </w:t>
      </w:r>
      <w:r w:rsidR="00B74E90">
        <w:t>utrzymał postanowienie w mocy.</w:t>
      </w:r>
    </w:p>
    <w:p w14:paraId="19E0E768" w14:textId="5A170535" w:rsidR="007561E3" w:rsidRPr="00295A38" w:rsidRDefault="0079089E" w:rsidP="00295A38">
      <w:pPr>
        <w:pStyle w:val="JuPara"/>
      </w:pPr>
      <w:r>
        <w:rPr>
          <w:noProof/>
        </w:rPr>
        <w:t>8</w:t>
      </w:r>
      <w:r w:rsidR="00B74E90">
        <w:t>.</w:t>
      </w:r>
      <w:r w:rsidR="008A5C5E">
        <w:t xml:space="preserve"> </w:t>
      </w:r>
      <w:r w:rsidR="00B74E90">
        <w:t>W dniu 22 sierpnia 2017</w:t>
      </w:r>
      <w:r w:rsidR="008A5C5E">
        <w:t xml:space="preserve"> </w:t>
      </w:r>
      <w:r w:rsidR="00B74E90">
        <w:t>r. Sąd Okręgowy w Koszalinie ponownie przedłużył tymczasowe aresztowanie skarżącego, opierając się na uprzednio przytoczonych podstawach. W dniu 12 września 2017</w:t>
      </w:r>
      <w:r w:rsidR="008A5C5E">
        <w:t xml:space="preserve"> </w:t>
      </w:r>
      <w:r w:rsidR="00B74E90">
        <w:t>r. Sąd Apelacyjny w</w:t>
      </w:r>
      <w:r w:rsidR="000E70A1">
        <w:t> </w:t>
      </w:r>
      <w:r w:rsidR="00B74E90">
        <w:t>Szczecinie utrzymał postanowienie w mocy.</w:t>
      </w:r>
    </w:p>
    <w:p w14:paraId="641A4FD4" w14:textId="13D945D5" w:rsidR="007561E3" w:rsidRPr="00295A38" w:rsidRDefault="0079089E" w:rsidP="00295A38">
      <w:pPr>
        <w:pStyle w:val="JuPara"/>
      </w:pPr>
      <w:r>
        <w:rPr>
          <w:noProof/>
        </w:rPr>
        <w:t>9</w:t>
      </w:r>
      <w:r w:rsidR="00B74E90">
        <w:t>.</w:t>
      </w:r>
      <w:r w:rsidR="008A5C5E">
        <w:t xml:space="preserve"> </w:t>
      </w:r>
      <w:r w:rsidR="00B74E90">
        <w:t>W dniu 22 listopada 2017</w:t>
      </w:r>
      <w:r w:rsidR="008A5C5E">
        <w:t xml:space="preserve"> </w:t>
      </w:r>
      <w:r w:rsidR="00B74E90">
        <w:t>r. Sąd Okręgowy w Koszalinie warunkowo przedłużył tymczasowe aresztowanie na kolejne trzy miesiące, chyba że skarżący wpłaci kwotę 30</w:t>
      </w:r>
      <w:r w:rsidR="008A5C5E">
        <w:t xml:space="preserve"> </w:t>
      </w:r>
      <w:r w:rsidR="00B74E90">
        <w:t>000 złotych polskich (PLN) (7500 euro (</w:t>
      </w:r>
      <w:proofErr w:type="spellStart"/>
      <w:r w:rsidR="00B74E90">
        <w:t>EUR</w:t>
      </w:r>
      <w:proofErr w:type="spellEnd"/>
      <w:r w:rsidR="00B74E90">
        <w:t>)). Skarżący wpłacił wymaganą kwotę i został zwolniony w dniu 27 listopada 2017</w:t>
      </w:r>
      <w:r w:rsidR="008A5C5E">
        <w:t xml:space="preserve"> </w:t>
      </w:r>
      <w:r w:rsidR="00B74E90">
        <w:t>r.</w:t>
      </w:r>
    </w:p>
    <w:p w14:paraId="60756A0E" w14:textId="015B1A89" w:rsidR="007561E3" w:rsidRPr="00295A38" w:rsidRDefault="0079089E" w:rsidP="00295A38">
      <w:pPr>
        <w:pStyle w:val="JuPara"/>
      </w:pPr>
      <w:r>
        <w:rPr>
          <w:noProof/>
        </w:rPr>
        <w:t>10</w:t>
      </w:r>
      <w:r w:rsidR="00B74E90">
        <w:t>.</w:t>
      </w:r>
      <w:r w:rsidR="008A5C5E">
        <w:t xml:space="preserve"> </w:t>
      </w:r>
      <w:r w:rsidR="00B74E90">
        <w:t>W dniu 25 lipca 2019</w:t>
      </w:r>
      <w:r w:rsidR="008A5C5E">
        <w:t xml:space="preserve"> </w:t>
      </w:r>
      <w:r w:rsidR="00B74E90">
        <w:t>r. skarżący został skazany za zniszczenie mienia i wymierzono mu karę trzech lat pozbawienia wolności, przy czym łączny okres jego tymczasowego aresztowania (dwa lata, siedem miesięcy i</w:t>
      </w:r>
      <w:r w:rsidR="000E70A1">
        <w:t> </w:t>
      </w:r>
      <w:r w:rsidR="00B74E90">
        <w:t>czternaście dni) zaliczono na poczet orzeczonej kary. Zobowiązano go również do zapłaty kwoty 44</w:t>
      </w:r>
      <w:r w:rsidR="008A5C5E">
        <w:t xml:space="preserve"> </w:t>
      </w:r>
      <w:r w:rsidR="00B74E90">
        <w:t>000 PLN (11</w:t>
      </w:r>
      <w:r w:rsidR="008A5C5E">
        <w:t xml:space="preserve"> </w:t>
      </w:r>
      <w:r w:rsidR="00B74E90">
        <w:t xml:space="preserve">000 </w:t>
      </w:r>
      <w:proofErr w:type="spellStart"/>
      <w:r w:rsidR="00B74E90">
        <w:t>EUR</w:t>
      </w:r>
      <w:proofErr w:type="spellEnd"/>
      <w:r w:rsidR="00B74E90">
        <w:t>) tytułem nawiązki. Jego obrońca wniósł apelację od tego wyroku w dniu 19 sierpnia 2019</w:t>
      </w:r>
      <w:r w:rsidR="008A5C5E">
        <w:t xml:space="preserve"> </w:t>
      </w:r>
      <w:r w:rsidR="00B74E90">
        <w:t>r., a</w:t>
      </w:r>
      <w:r w:rsidR="000E70A1">
        <w:t> </w:t>
      </w:r>
      <w:r w:rsidR="00B74E90">
        <w:t>Prokurator Rejonowy w Koszalinie wniósł apelację następnego dnia.</w:t>
      </w:r>
    </w:p>
    <w:p w14:paraId="13728676" w14:textId="4213EBA5" w:rsidR="007561E3" w:rsidRPr="00295A38" w:rsidRDefault="0079089E" w:rsidP="00295A38">
      <w:pPr>
        <w:pStyle w:val="JuPara"/>
      </w:pPr>
      <w:r>
        <w:rPr>
          <w:noProof/>
        </w:rPr>
        <w:t>11</w:t>
      </w:r>
      <w:r w:rsidR="00B74E90">
        <w:t>.</w:t>
      </w:r>
      <w:r w:rsidR="008A5C5E">
        <w:t xml:space="preserve"> </w:t>
      </w:r>
      <w:r w:rsidR="00B74E90">
        <w:t>W dniu 23 stycznia 2020</w:t>
      </w:r>
      <w:r w:rsidR="008A5C5E">
        <w:t xml:space="preserve"> </w:t>
      </w:r>
      <w:r w:rsidR="00B74E90">
        <w:t>r. Sąd Apelacyjny w Szczecinie utrzymał w</w:t>
      </w:r>
      <w:r w:rsidR="000E70A1">
        <w:t> </w:t>
      </w:r>
      <w:r w:rsidR="00B74E90">
        <w:t>mocy wyrok sądu pierwszej instancji.</w:t>
      </w:r>
    </w:p>
    <w:p w14:paraId="2B9D1B82" w14:textId="511FA39C" w:rsidR="007561E3" w:rsidRPr="00295A38" w:rsidRDefault="0079089E" w:rsidP="00295A38">
      <w:pPr>
        <w:pStyle w:val="JuPara"/>
      </w:pPr>
      <w:r>
        <w:rPr>
          <w:noProof/>
        </w:rPr>
        <w:t>12</w:t>
      </w:r>
      <w:r w:rsidR="00B74E90">
        <w:t>.</w:t>
      </w:r>
      <w:r w:rsidR="008A5C5E">
        <w:t xml:space="preserve"> </w:t>
      </w:r>
      <w:r w:rsidR="00B74E90">
        <w:t xml:space="preserve">Skarżący </w:t>
      </w:r>
      <w:r w:rsidR="00432CE8">
        <w:t>zarzucił</w:t>
      </w:r>
      <w:r w:rsidR="00B74E90">
        <w:t>, na podstawie art.</w:t>
      </w:r>
      <w:r w:rsidR="008A5C5E">
        <w:t xml:space="preserve"> </w:t>
      </w:r>
      <w:r w:rsidR="00B74E90">
        <w:t>5 ust.</w:t>
      </w:r>
      <w:r w:rsidR="008A5C5E">
        <w:t xml:space="preserve"> </w:t>
      </w:r>
      <w:r w:rsidR="00B74E90">
        <w:t xml:space="preserve">3, </w:t>
      </w:r>
      <w:r w:rsidR="00432CE8">
        <w:t xml:space="preserve">że długość </w:t>
      </w:r>
      <w:r w:rsidR="00B74E90">
        <w:t>zastosowanego wobec niego tymczasowego aresztowania</w:t>
      </w:r>
      <w:r w:rsidR="00432CE8">
        <w:t xml:space="preserve"> była nadmierna</w:t>
      </w:r>
      <w:r w:rsidR="00B74E90">
        <w:t>.</w:t>
      </w:r>
    </w:p>
    <w:p w14:paraId="45351E5F" w14:textId="667BDF56" w:rsidR="007561E3" w:rsidRPr="00295A38" w:rsidRDefault="007561E3" w:rsidP="00295A38">
      <w:pPr>
        <w:pStyle w:val="JuHHead"/>
      </w:pPr>
      <w:r>
        <w:t>OCENA TRYBUNAŁU</w:t>
      </w:r>
    </w:p>
    <w:p w14:paraId="21DAFBAE" w14:textId="47A45D11" w:rsidR="007561E3" w:rsidRPr="00295A38" w:rsidRDefault="007561E3" w:rsidP="00295A38">
      <w:pPr>
        <w:pStyle w:val="JuHIRoman"/>
        <w:numPr>
          <w:ilvl w:val="0"/>
          <w:numId w:val="0"/>
        </w:numPr>
      </w:pPr>
      <w:r>
        <w:t>ZARZUCANE NARUSZENIE ART.</w:t>
      </w:r>
      <w:r w:rsidR="008A5C5E">
        <w:t xml:space="preserve"> </w:t>
      </w:r>
      <w:r>
        <w:t>5 UST.</w:t>
      </w:r>
      <w:r w:rsidR="008A5C5E">
        <w:t xml:space="preserve"> </w:t>
      </w:r>
      <w:r>
        <w:t>3 KONWENCJI</w:t>
      </w:r>
    </w:p>
    <w:p w14:paraId="68F5FB87" w14:textId="4E357E08" w:rsidR="007561E3" w:rsidRPr="00295A38" w:rsidRDefault="0079089E" w:rsidP="00295A38">
      <w:pPr>
        <w:pStyle w:val="JuPara"/>
      </w:pPr>
      <w:r>
        <w:rPr>
          <w:noProof/>
        </w:rPr>
        <w:t>13</w:t>
      </w:r>
      <w:r w:rsidR="00B74E90">
        <w:t>.</w:t>
      </w:r>
      <w:r w:rsidR="008A5C5E">
        <w:t xml:space="preserve"> </w:t>
      </w:r>
      <w:r w:rsidR="00B74E90">
        <w:t>Trybunał</w:t>
      </w:r>
      <w:bookmarkStart w:id="1" w:name="_Hlk34206479"/>
      <w:r w:rsidR="00B74E90">
        <w:t xml:space="preserve"> zauważa, że skarga nie jest w sposób oczywisty nieuzasadniona w rozumieniu art.</w:t>
      </w:r>
      <w:r w:rsidR="008A5C5E">
        <w:t xml:space="preserve"> </w:t>
      </w:r>
      <w:r w:rsidR="00B74E90">
        <w:t>35 ust.</w:t>
      </w:r>
      <w:r w:rsidR="008A5C5E">
        <w:t xml:space="preserve"> </w:t>
      </w:r>
      <w:r w:rsidR="00B74E90">
        <w:t>3 lit.</w:t>
      </w:r>
      <w:r w:rsidR="008A5C5E">
        <w:t xml:space="preserve"> </w:t>
      </w:r>
      <w:r w:rsidR="00B74E90">
        <w:t>a Konwencji oraz że nie jest niedopuszczalna na żadnej innej podstawie. Tym samym należ</w:t>
      </w:r>
      <w:r w:rsidR="00432CE8">
        <w:t>y</w:t>
      </w:r>
      <w:r w:rsidR="00B74E90">
        <w:t xml:space="preserve"> uznać ją za</w:t>
      </w:r>
      <w:r w:rsidR="000E70A1">
        <w:t> </w:t>
      </w:r>
      <w:r w:rsidR="00B74E90">
        <w:t>dopuszczalną.</w:t>
      </w:r>
    </w:p>
    <w:bookmarkEnd w:id="1"/>
    <w:p w14:paraId="3FBF6886" w14:textId="2E42497A" w:rsidR="007561E3" w:rsidRPr="00295A38" w:rsidRDefault="0079089E" w:rsidP="00295A38">
      <w:pPr>
        <w:pStyle w:val="JuPara"/>
      </w:pPr>
      <w:r>
        <w:rPr>
          <w:noProof/>
        </w:rPr>
        <w:lastRenderedPageBreak/>
        <w:t>14</w:t>
      </w:r>
      <w:r w:rsidR="007561E3">
        <w:t>.</w:t>
      </w:r>
      <w:r w:rsidR="008A5C5E">
        <w:t xml:space="preserve"> </w:t>
      </w:r>
      <w:r w:rsidR="00432CE8">
        <w:t xml:space="preserve">Zasady ogólne </w:t>
      </w:r>
      <w:r w:rsidR="007561E3">
        <w:t>dotyczące prawa do bycia sądzonym w rozsądnym terminie albo zwolnionym na czas postępowania, zagwarantowanego w art.</w:t>
      </w:r>
      <w:r w:rsidR="000E70A1">
        <w:t> </w:t>
      </w:r>
      <w:r w:rsidR="007561E3">
        <w:t>5 ust.</w:t>
      </w:r>
      <w:r w:rsidR="008A5C5E">
        <w:t xml:space="preserve"> </w:t>
      </w:r>
      <w:r w:rsidR="007561E3">
        <w:t>3 Konwencji</w:t>
      </w:r>
      <w:r w:rsidR="00B00595">
        <w:t>,</w:t>
      </w:r>
      <w:r w:rsidR="007561E3">
        <w:t xml:space="preserve"> zostały </w:t>
      </w:r>
      <w:r w:rsidR="00432CE8">
        <w:t xml:space="preserve">podsumowane </w:t>
      </w:r>
      <w:r w:rsidR="007561E3">
        <w:t xml:space="preserve">w wyroku w sprawie </w:t>
      </w:r>
      <w:r w:rsidR="007561E3">
        <w:rPr>
          <w:i/>
          <w:iCs/>
        </w:rPr>
        <w:t>Kudła przeciwko Polsce</w:t>
      </w:r>
      <w:r w:rsidR="007561E3">
        <w:t xml:space="preserve"> ([</w:t>
      </w:r>
      <w:proofErr w:type="spellStart"/>
      <w:r w:rsidR="007561E3">
        <w:t>WI</w:t>
      </w:r>
      <w:proofErr w:type="spellEnd"/>
      <w:r w:rsidR="007561E3">
        <w:t xml:space="preserve">], skarga nr 30210/96, §§ 110 i nast., ETPC 2000-XI), </w:t>
      </w:r>
      <w:proofErr w:type="spellStart"/>
      <w:r w:rsidR="007561E3">
        <w:rPr>
          <w:i/>
          <w:iCs/>
        </w:rPr>
        <w:t>McKay</w:t>
      </w:r>
      <w:proofErr w:type="spellEnd"/>
      <w:r w:rsidR="007561E3">
        <w:rPr>
          <w:i/>
          <w:iCs/>
        </w:rPr>
        <w:t xml:space="preserve"> przeciwko Zjednoczonemu Królestwu</w:t>
      </w:r>
      <w:r w:rsidR="007561E3">
        <w:t xml:space="preserve"> ([</w:t>
      </w:r>
      <w:proofErr w:type="spellStart"/>
      <w:r w:rsidR="007561E3">
        <w:t>WI</w:t>
      </w:r>
      <w:proofErr w:type="spellEnd"/>
      <w:r w:rsidR="007561E3">
        <w:t>], skarga nr 543/03, §§ 41</w:t>
      </w:r>
      <w:r w:rsidR="00B00595">
        <w:t>–</w:t>
      </w:r>
      <w:r w:rsidR="007561E3">
        <w:t>44, ETPC 2006‑X, z dalszymi odniesieniami</w:t>
      </w:r>
      <w:r w:rsidR="00B00595">
        <w:t>)</w:t>
      </w:r>
      <w:r w:rsidR="007561E3">
        <w:t xml:space="preserve">, oraz </w:t>
      </w:r>
      <w:proofErr w:type="spellStart"/>
      <w:r w:rsidR="007561E3">
        <w:rPr>
          <w:i/>
          <w:iCs/>
        </w:rPr>
        <w:t>Buzadji</w:t>
      </w:r>
      <w:proofErr w:type="spellEnd"/>
      <w:r w:rsidR="007561E3">
        <w:rPr>
          <w:i/>
          <w:iCs/>
        </w:rPr>
        <w:t xml:space="preserve"> przeciwko Republice </w:t>
      </w:r>
      <w:r w:rsidR="00B00595">
        <w:rPr>
          <w:i/>
          <w:iCs/>
        </w:rPr>
        <w:t>Mołdawii</w:t>
      </w:r>
      <w:r w:rsidR="00B00595">
        <w:t xml:space="preserve"> </w:t>
      </w:r>
      <w:r w:rsidR="000318A4">
        <w:t>(</w:t>
      </w:r>
      <w:r w:rsidR="007561E3">
        <w:t>[</w:t>
      </w:r>
      <w:proofErr w:type="spellStart"/>
      <w:r w:rsidR="007561E3">
        <w:t>WI</w:t>
      </w:r>
      <w:proofErr w:type="spellEnd"/>
      <w:r w:rsidR="007561E3">
        <w:t>]</w:t>
      </w:r>
      <w:r w:rsidR="000318A4">
        <w:t>, s</w:t>
      </w:r>
      <w:r w:rsidR="007561E3">
        <w:t>karga nr 23755/07, §§ 84</w:t>
      </w:r>
      <w:r w:rsidR="00B00595">
        <w:t>–</w:t>
      </w:r>
      <w:r w:rsidR="007561E3">
        <w:t>91, 5 lipca 2016</w:t>
      </w:r>
      <w:r w:rsidR="008A5C5E">
        <w:t xml:space="preserve"> </w:t>
      </w:r>
      <w:r w:rsidR="007561E3">
        <w:t>r.).</w:t>
      </w:r>
    </w:p>
    <w:p w14:paraId="2D19A789" w14:textId="6719FACE" w:rsidR="007561E3" w:rsidRPr="00295A38" w:rsidRDefault="0079089E" w:rsidP="00295A38">
      <w:pPr>
        <w:pStyle w:val="JuPara"/>
      </w:pPr>
      <w:r>
        <w:rPr>
          <w:noProof/>
        </w:rPr>
        <w:t>15</w:t>
      </w:r>
      <w:r w:rsidR="00B74E90">
        <w:t>.</w:t>
      </w:r>
      <w:r w:rsidR="008A5C5E">
        <w:t xml:space="preserve"> </w:t>
      </w:r>
      <w:r w:rsidR="00B74E90">
        <w:t xml:space="preserve">W niniejszej sprawie Trybunał zauważa, że w ramach tymczasowego aresztowania skarżącego można wyodrębnić dwa okresy </w:t>
      </w:r>
      <w:r>
        <w:t>na potrzeby</w:t>
      </w:r>
      <w:r w:rsidR="00B74E90">
        <w:t xml:space="preserve"> oceny zarzutu jego przewlekłości na podstawie art.</w:t>
      </w:r>
      <w:r w:rsidR="008A5C5E">
        <w:t xml:space="preserve"> </w:t>
      </w:r>
      <w:r w:rsidR="00B74E90">
        <w:t>5 ust.</w:t>
      </w:r>
      <w:r w:rsidR="008A5C5E">
        <w:t xml:space="preserve"> </w:t>
      </w:r>
      <w:r w:rsidR="00B74E90">
        <w:t xml:space="preserve">3 Konwencji (zob. </w:t>
      </w:r>
      <w:r w:rsidR="00B74E90">
        <w:rPr>
          <w:i/>
          <w:iCs/>
        </w:rPr>
        <w:t>mutatis mutandis</w:t>
      </w:r>
      <w:r w:rsidR="00B74E90">
        <w:t xml:space="preserve">, </w:t>
      </w:r>
      <w:r w:rsidR="00B74E90">
        <w:rPr>
          <w:i/>
          <w:iCs/>
        </w:rPr>
        <w:t>Piotr Baranowski przeciwko Polsce</w:t>
      </w:r>
      <w:r w:rsidR="00B74E90">
        <w:t>, skarga nr 39742/05, §§ 45</w:t>
      </w:r>
      <w:r w:rsidR="00B00595">
        <w:t>–</w:t>
      </w:r>
      <w:r w:rsidR="00B74E90">
        <w:t>46, 2 października 2007</w:t>
      </w:r>
      <w:r w:rsidR="008A5C5E">
        <w:t xml:space="preserve"> </w:t>
      </w:r>
      <w:r w:rsidR="00B74E90">
        <w:t>r.). Pierwszy okres rozpoczął się w dniu 12 kwietnia 2015</w:t>
      </w:r>
      <w:r w:rsidR="008A5C5E">
        <w:t xml:space="preserve"> </w:t>
      </w:r>
      <w:r w:rsidR="00B74E90">
        <w:t>r. z chwilą zatrzymania skarżącego, a zakończył w dniu 18 października 2016</w:t>
      </w:r>
      <w:r w:rsidR="008A5C5E">
        <w:t xml:space="preserve"> </w:t>
      </w:r>
      <w:r w:rsidR="00B74E90">
        <w:t>r. z chwilą skazania skarżącego przez Sąd Okręgowy w Koszalinie. Drugi okres rozpoczął się w dniu 8 marca 2017</w:t>
      </w:r>
      <w:r w:rsidR="008A5C5E">
        <w:t xml:space="preserve"> </w:t>
      </w:r>
      <w:r w:rsidR="00B74E90">
        <w:t>r., kiedy Sąd Apelacyjny w</w:t>
      </w:r>
      <w:r w:rsidR="000E70A1">
        <w:t> </w:t>
      </w:r>
      <w:r w:rsidR="00B74E90">
        <w:t>Szczecinie uchylił wyrok sądu pierwszej instancji, a zakończył w dniu 24</w:t>
      </w:r>
      <w:r w:rsidR="000E70A1">
        <w:t> </w:t>
      </w:r>
      <w:r w:rsidR="00B74E90">
        <w:t>listopada 2017</w:t>
      </w:r>
      <w:r w:rsidR="008A5C5E">
        <w:t xml:space="preserve"> </w:t>
      </w:r>
      <w:r w:rsidR="00B74E90">
        <w:t>r., kiedy skarżący został zwolniony. Łączny okres trwania tymczasowego aresztowania skarżącego wyniósł zatem dwa lata, dwa miesiące i dwadzieścia cztery dni. Przedłużając tymczasowe aresztowanie wobec skarżącego, sądy krajowe konsekwentnie opierały się na powadze zarzutów oraz prawdopodobieństwie, że skarżący ucieknie lub będzie utrudniał postępowanie.</w:t>
      </w:r>
    </w:p>
    <w:p w14:paraId="4C3CF7DA" w14:textId="3B3010AC" w:rsidR="007561E3" w:rsidRPr="00295A38" w:rsidRDefault="0079089E" w:rsidP="00295A38">
      <w:pPr>
        <w:pStyle w:val="JuPara"/>
      </w:pPr>
      <w:r>
        <w:rPr>
          <w:noProof/>
        </w:rPr>
        <w:t>16</w:t>
      </w:r>
      <w:r w:rsidR="00B74E90">
        <w:t>.</w:t>
      </w:r>
      <w:r w:rsidR="008A5C5E">
        <w:t xml:space="preserve"> </w:t>
      </w:r>
      <w:r w:rsidR="00B74E90">
        <w:t>W niniejszej sprawie Rząd nie przedstawił argumentów, które mogłyby uzasadnić długość zastosowanego wobec skarżącego tymczasowego aresztowania w całym przedmiotowym okresie. Uwzględniając swoje orzecznictw</w:t>
      </w:r>
      <w:r w:rsidR="000E70A1">
        <w:t>o w tym zakresie, Trybunał uznaje</w:t>
      </w:r>
      <w:r w:rsidR="00B74E90">
        <w:t>, że</w:t>
      </w:r>
      <w:r w:rsidR="000E70A1">
        <w:t> </w:t>
      </w:r>
      <w:r w:rsidR="00B74E90">
        <w:t>w</w:t>
      </w:r>
      <w:r w:rsidR="000E70A1">
        <w:t> </w:t>
      </w:r>
      <w:r w:rsidR="00B74E90">
        <w:t>niniejszej sprawie czas trwania tymczasowego aresztowania skarżącego był nadmierny.</w:t>
      </w:r>
    </w:p>
    <w:p w14:paraId="59FD522A" w14:textId="26A8A108" w:rsidR="007561E3" w:rsidRPr="00295A38" w:rsidRDefault="0079089E" w:rsidP="00295A38">
      <w:pPr>
        <w:pStyle w:val="JuPara"/>
      </w:pPr>
      <w:r>
        <w:rPr>
          <w:noProof/>
        </w:rPr>
        <w:t>17</w:t>
      </w:r>
      <w:r w:rsidR="007561E3">
        <w:t>.</w:t>
      </w:r>
      <w:r w:rsidR="008A5C5E">
        <w:t xml:space="preserve"> </w:t>
      </w:r>
      <w:r w:rsidR="007561E3">
        <w:t>W związku z powyższym doszło do naruszenia art.</w:t>
      </w:r>
      <w:r w:rsidR="008A5C5E">
        <w:t xml:space="preserve"> </w:t>
      </w:r>
      <w:r w:rsidR="007561E3">
        <w:t>5 ust.</w:t>
      </w:r>
      <w:r w:rsidR="008A5C5E">
        <w:t xml:space="preserve"> </w:t>
      </w:r>
      <w:r w:rsidR="007561E3">
        <w:t>3 Konwencji.</w:t>
      </w:r>
    </w:p>
    <w:p w14:paraId="66460BA4" w14:textId="2C3C6E44" w:rsidR="007561E3" w:rsidRPr="00295A38" w:rsidRDefault="007561E3" w:rsidP="00295A38">
      <w:pPr>
        <w:pStyle w:val="JuHHead"/>
      </w:pPr>
      <w:r>
        <w:rPr>
          <w:caps w:val="0"/>
        </w:rPr>
        <w:t>ZASTOSOWANIE ART.</w:t>
      </w:r>
      <w:r w:rsidR="008A5C5E">
        <w:rPr>
          <w:caps w:val="0"/>
        </w:rPr>
        <w:t xml:space="preserve"> </w:t>
      </w:r>
      <w:r>
        <w:rPr>
          <w:caps w:val="0"/>
        </w:rPr>
        <w:t>41 KONWENCJI</w:t>
      </w:r>
    </w:p>
    <w:p w14:paraId="2839927C" w14:textId="228EB786" w:rsidR="007561E3" w:rsidRPr="00295A38" w:rsidRDefault="0079089E" w:rsidP="00295A38">
      <w:pPr>
        <w:pStyle w:val="JuPara"/>
      </w:pPr>
      <w:r>
        <w:rPr>
          <w:noProof/>
        </w:rPr>
        <w:t>18</w:t>
      </w:r>
      <w:r w:rsidR="007561E3">
        <w:t>.</w:t>
      </w:r>
      <w:r w:rsidR="008A5C5E">
        <w:t xml:space="preserve"> </w:t>
      </w:r>
      <w:r w:rsidR="007561E3">
        <w:t>Skarżący nie złożył żadnego wniosku o słuszne zadośćuczynienie ani</w:t>
      </w:r>
      <w:r w:rsidR="000E70A1">
        <w:t> </w:t>
      </w:r>
      <w:r w:rsidR="007561E3">
        <w:t>o zwrot kosztów i wydatków, mimo że został do tego wezwan</w:t>
      </w:r>
      <w:r w:rsidR="000E70A1">
        <w:t>y przez Trybunał. Trybunał uznaje</w:t>
      </w:r>
      <w:r w:rsidR="007561E3">
        <w:t xml:space="preserve"> zatem, że nie ma podstaw do przyznania mu jakiejkolwiek kwoty z tego tytułu.</w:t>
      </w:r>
    </w:p>
    <w:p w14:paraId="43B554D8" w14:textId="327AE9B4" w:rsidR="007561E3" w:rsidRPr="00295A38" w:rsidRDefault="007561E3" w:rsidP="00295A38">
      <w:pPr>
        <w:pStyle w:val="JuHHead"/>
      </w:pPr>
      <w:r>
        <w:t>Z POWYŻSZYCH WZGLĘDÓW TRYBUNAŁ JEDNOGŁOŚNIE</w:t>
      </w:r>
    </w:p>
    <w:p w14:paraId="1E84CC58" w14:textId="77777777" w:rsidR="007561E3" w:rsidRPr="00295A38" w:rsidRDefault="007561E3" w:rsidP="00295A38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14:paraId="67A018B1" w14:textId="3631CC94" w:rsidR="004D0EC7" w:rsidRPr="00295A38" w:rsidRDefault="007561E3" w:rsidP="00295A38">
      <w:pPr>
        <w:pStyle w:val="JuList"/>
      </w:pPr>
      <w:r>
        <w:rPr>
          <w:i/>
          <w:iCs/>
        </w:rPr>
        <w:t>stwierdza</w:t>
      </w:r>
      <w:r>
        <w:t>, że doszło do naruszenia art.</w:t>
      </w:r>
      <w:r w:rsidR="008A5C5E">
        <w:t xml:space="preserve"> </w:t>
      </w:r>
      <w:r>
        <w:t>5 ust.</w:t>
      </w:r>
      <w:r w:rsidR="008A5C5E">
        <w:t xml:space="preserve"> </w:t>
      </w:r>
      <w:r>
        <w:t>3 Konwencji</w:t>
      </w:r>
      <w:r w:rsidR="00C12B21">
        <w:t>.</w:t>
      </w:r>
    </w:p>
    <w:p w14:paraId="03E03E82" w14:textId="73E1286C" w:rsidR="008E3A08" w:rsidRPr="00295A38" w:rsidRDefault="007E2C8C" w:rsidP="00295A38">
      <w:pPr>
        <w:pStyle w:val="JuParaLast"/>
      </w:pPr>
      <w:r>
        <w:lastRenderedPageBreak/>
        <w:t xml:space="preserve">Sporządzono w języku angielskim i obwieszczono pisemnie w dniu </w:t>
      </w:r>
      <w:r>
        <w:rPr>
          <w:rFonts w:ascii="Times New Roman" w:hAnsi="Times New Roman"/>
        </w:rPr>
        <w:t>9</w:t>
      </w:r>
      <w:r w:rsidR="000E70A1">
        <w:rPr>
          <w:rFonts w:ascii="Times New Roman" w:hAnsi="Times New Roman"/>
        </w:rPr>
        <w:t> </w:t>
      </w:r>
      <w:r>
        <w:rPr>
          <w:rFonts w:ascii="Times New Roman" w:hAnsi="Times New Roman"/>
        </w:rPr>
        <w:t>czerwca 2022</w:t>
      </w:r>
      <w:r w:rsidR="008A5C5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  <w:r>
        <w:t>, zgodnie z Regułą 77 § 2 i 3 Regulaminu Trybunału.</w:t>
      </w:r>
    </w:p>
    <w:p w14:paraId="4CCAAC89" w14:textId="45A7B18B" w:rsidR="008B092C" w:rsidRPr="00295A38" w:rsidRDefault="00281B7C" w:rsidP="00295A38">
      <w:pPr>
        <w:pStyle w:val="ECHRPlaceholder"/>
        <w:rPr>
          <w:szCs w:val="22"/>
        </w:rPr>
      </w:pPr>
      <w:r>
        <w:tab/>
      </w:r>
    </w:p>
    <w:p w14:paraId="2AB63C1F" w14:textId="5155F485" w:rsidR="00675AF2" w:rsidRPr="00295A38" w:rsidRDefault="002E7764" w:rsidP="00D75A6A">
      <w:pPr>
        <w:pStyle w:val="JuSigned"/>
        <w:ind w:left="284" w:hanging="284"/>
      </w:pPr>
      <w:r>
        <w:tab/>
      </w:r>
      <w:r w:rsidR="0077456E">
        <w:tab/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ab/>
        <w:t xml:space="preserve">Lorraine </w:t>
      </w:r>
      <w:proofErr w:type="spellStart"/>
      <w:r>
        <w:t>Schembri</w:t>
      </w:r>
      <w:proofErr w:type="spellEnd"/>
      <w:r>
        <w:t xml:space="preserve"> </w:t>
      </w:r>
      <w:proofErr w:type="spellStart"/>
      <w:r>
        <w:t>Orland</w:t>
      </w:r>
      <w:bookmarkStart w:id="2" w:name="_GoBack"/>
      <w:bookmarkEnd w:id="2"/>
      <w:proofErr w:type="spellEnd"/>
      <w:r>
        <w:br/>
        <w:t>Zastępc</w:t>
      </w:r>
      <w:r w:rsidR="000E70A1">
        <w:t>a</w:t>
      </w:r>
      <w:r>
        <w:t xml:space="preserve"> Kanclerza</w:t>
      </w:r>
      <w:r w:rsidR="00FF3E5E">
        <w:tab/>
      </w:r>
      <w:r>
        <w:t xml:space="preserve"> Przewodnicząca</w:t>
      </w:r>
    </w:p>
    <w:p w14:paraId="0D81C884" w14:textId="77777777" w:rsidR="00295A38" w:rsidRPr="00295A38" w:rsidRDefault="00295A38" w:rsidP="00295A38">
      <w:pPr>
        <w:pStyle w:val="JuPara"/>
      </w:pPr>
    </w:p>
    <w:p w14:paraId="5CD26459" w14:textId="77777777" w:rsidR="008A5C5E" w:rsidRPr="00295A38" w:rsidRDefault="008A5C5E">
      <w:pPr>
        <w:pStyle w:val="JuPara"/>
      </w:pPr>
    </w:p>
    <w:sectPr w:rsidR="008A5C5E" w:rsidRPr="00295A38" w:rsidSect="007D3701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A5088" w14:textId="77777777" w:rsidR="002C0BC2" w:rsidRPr="007561E3" w:rsidRDefault="002C0BC2" w:rsidP="0098410D">
      <w:r w:rsidRPr="007561E3">
        <w:separator/>
      </w:r>
    </w:p>
  </w:endnote>
  <w:endnote w:type="continuationSeparator" w:id="0">
    <w:p w14:paraId="25EFD471" w14:textId="77777777" w:rsidR="002C0BC2" w:rsidRPr="007561E3" w:rsidRDefault="002C0BC2" w:rsidP="0098410D">
      <w:r w:rsidRPr="007561E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320E5" w14:textId="5EBFC0E3" w:rsidR="007561E3" w:rsidRPr="00150BFA" w:rsidRDefault="007561E3" w:rsidP="0020718E">
    <w:pPr>
      <w:jc w:val="center"/>
    </w:pPr>
    <w:r>
      <w:rPr>
        <w:noProof/>
        <w:lang w:eastAsia="pl-PL"/>
      </w:rPr>
      <w:drawing>
        <wp:inline distT="0" distB="0" distL="0" distR="0" wp14:anchorId="4814ACB4" wp14:editId="5C3254EC">
          <wp:extent cx="771525" cy="619125"/>
          <wp:effectExtent l="0" t="0" r="9525" b="9525"/>
          <wp:docPr id="38" name="Picture 38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D5D399" w14:textId="11F0D248" w:rsidR="0098410D" w:rsidRPr="007561E3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6FA5B" w14:textId="4D6752AC" w:rsidR="007561E3" w:rsidRPr="00150BFA" w:rsidRDefault="007561E3" w:rsidP="0020718E">
    <w:pPr>
      <w:jc w:val="center"/>
    </w:pPr>
    <w:r>
      <w:rPr>
        <w:noProof/>
        <w:lang w:eastAsia="pl-PL"/>
      </w:rPr>
      <w:drawing>
        <wp:inline distT="0" distB="0" distL="0" distR="0" wp14:anchorId="2F6D40E9" wp14:editId="0D5FECE2">
          <wp:extent cx="771525" cy="619125"/>
          <wp:effectExtent l="0" t="0" r="9525" b="9525"/>
          <wp:docPr id="36" name="Picture 3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7B1472" w14:textId="340F6375" w:rsidR="009E7A6F" w:rsidRPr="007561E3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AA911" w14:textId="0B56806D" w:rsidR="00182EBA" w:rsidRDefault="007561E3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E70A1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6F868" w14:textId="5DD3EA16" w:rsidR="00182EBA" w:rsidRPr="000B7195" w:rsidRDefault="007561E3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0E70A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D7F74" w14:textId="77777777" w:rsidR="002C0BC2" w:rsidRPr="007561E3" w:rsidRDefault="002C0BC2" w:rsidP="0098410D">
      <w:r w:rsidRPr="007561E3">
        <w:separator/>
      </w:r>
    </w:p>
  </w:footnote>
  <w:footnote w:type="continuationSeparator" w:id="0">
    <w:p w14:paraId="4BD85390" w14:textId="77777777" w:rsidR="002C0BC2" w:rsidRPr="007561E3" w:rsidRDefault="002C0BC2" w:rsidP="0098410D">
      <w:r w:rsidRPr="007561E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EB4CD" w14:textId="3CE616A6" w:rsidR="007561E3" w:rsidRPr="00A45145" w:rsidRDefault="007561E3" w:rsidP="00A45145">
    <w:pPr>
      <w:jc w:val="center"/>
    </w:pPr>
    <w:r>
      <w:rPr>
        <w:noProof/>
        <w:lang w:eastAsia="pl-PL"/>
      </w:rPr>
      <w:drawing>
        <wp:inline distT="0" distB="0" distL="0" distR="0" wp14:anchorId="5208DAC6" wp14:editId="38BDC09C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B14DFB" w14:textId="629302FA" w:rsidR="0098410D" w:rsidRPr="007561E3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F1CEC" w14:textId="7AE8488F" w:rsidR="007561E3" w:rsidRPr="00A45145" w:rsidRDefault="007561E3" w:rsidP="00A45145">
    <w:pPr>
      <w:jc w:val="center"/>
    </w:pPr>
    <w:r>
      <w:rPr>
        <w:noProof/>
        <w:lang w:eastAsia="pl-PL"/>
      </w:rPr>
      <w:drawing>
        <wp:inline distT="0" distB="0" distL="0" distR="0" wp14:anchorId="2646BA4B" wp14:editId="026594EF">
          <wp:extent cx="2962275" cy="1219200"/>
          <wp:effectExtent l="0" t="0" r="9525" b="0"/>
          <wp:docPr id="32" name="Picture 3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B3FA9C" w14:textId="0E0F4575" w:rsidR="0098410D" w:rsidRPr="007561E3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C200D" w14:textId="403E9583" w:rsidR="00182EBA" w:rsidRPr="004D0EC7" w:rsidRDefault="007561E3" w:rsidP="004D0EC7">
    <w:pPr>
      <w:pStyle w:val="JuHeader"/>
    </w:pPr>
    <w:r>
      <w:t>WYROK</w:t>
    </w:r>
    <w:r w:rsidR="00597B35">
      <w:t xml:space="preserve"> </w:t>
    </w:r>
    <w:r w:rsidR="00597B35">
      <w:t>w sprawie</w:t>
    </w:r>
    <w:r>
      <w:t xml:space="preserve"> ZUBEL </w:t>
    </w:r>
    <w:r w:rsidR="00804352">
      <w:t xml:space="preserve">przeciwko </w:t>
    </w:r>
    <w:r>
      <w:t>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7DA06" w14:textId="30348022" w:rsidR="00182EBA" w:rsidRPr="00882CD5" w:rsidRDefault="007561E3" w:rsidP="007D3701">
    <w:pPr>
      <w:pStyle w:val="JuHeader"/>
    </w:pPr>
    <w:r>
      <w:t xml:space="preserve">WYROK </w:t>
    </w:r>
    <w:r w:rsidR="00597B35">
      <w:t xml:space="preserve">w sprawie </w:t>
    </w:r>
    <w:r>
      <w:t xml:space="preserve">ZUBEL </w:t>
    </w:r>
    <w:r w:rsidR="00227399">
      <w:t xml:space="preserve">przeciwko </w:t>
    </w:r>
    <w:r>
      <w:t>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7561E3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18A4"/>
    <w:rsid w:val="00034987"/>
    <w:rsid w:val="000377CE"/>
    <w:rsid w:val="00041560"/>
    <w:rsid w:val="000602DF"/>
    <w:rsid w:val="00061B05"/>
    <w:rsid w:val="000632D5"/>
    <w:rsid w:val="000644EE"/>
    <w:rsid w:val="0007780A"/>
    <w:rsid w:val="00080F54"/>
    <w:rsid w:val="00085457"/>
    <w:rsid w:val="000925AD"/>
    <w:rsid w:val="00096FE1"/>
    <w:rsid w:val="00097A62"/>
    <w:rsid w:val="000A24EB"/>
    <w:rsid w:val="000B686A"/>
    <w:rsid w:val="000B6923"/>
    <w:rsid w:val="000B7195"/>
    <w:rsid w:val="000C5AF7"/>
    <w:rsid w:val="000C5F3C"/>
    <w:rsid w:val="000C6DCC"/>
    <w:rsid w:val="000D45FB"/>
    <w:rsid w:val="000D47AA"/>
    <w:rsid w:val="000D721F"/>
    <w:rsid w:val="000E0652"/>
    <w:rsid w:val="000E069B"/>
    <w:rsid w:val="000E0E82"/>
    <w:rsid w:val="000E1DC5"/>
    <w:rsid w:val="000E223F"/>
    <w:rsid w:val="000E46B8"/>
    <w:rsid w:val="000E70A1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4909"/>
    <w:rsid w:val="001561B6"/>
    <w:rsid w:val="00162A12"/>
    <w:rsid w:val="00166530"/>
    <w:rsid w:val="00170027"/>
    <w:rsid w:val="00172302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27399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27A9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95A38"/>
    <w:rsid w:val="002A01CC"/>
    <w:rsid w:val="002A613A"/>
    <w:rsid w:val="002A61B1"/>
    <w:rsid w:val="002A663C"/>
    <w:rsid w:val="002A734F"/>
    <w:rsid w:val="002B444B"/>
    <w:rsid w:val="002B5887"/>
    <w:rsid w:val="002C0BC2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4F7D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2CE8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1A6E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AEA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6A8"/>
    <w:rsid w:val="00526A8A"/>
    <w:rsid w:val="00527FB1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62FB4"/>
    <w:rsid w:val="0057271C"/>
    <w:rsid w:val="00572845"/>
    <w:rsid w:val="005879A2"/>
    <w:rsid w:val="00590B10"/>
    <w:rsid w:val="00592772"/>
    <w:rsid w:val="0059574A"/>
    <w:rsid w:val="00597B35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03AF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0842"/>
    <w:rsid w:val="00611C80"/>
    <w:rsid w:val="00620692"/>
    <w:rsid w:val="006242CA"/>
    <w:rsid w:val="00627507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5D3A"/>
    <w:rsid w:val="006B1942"/>
    <w:rsid w:val="006C23D4"/>
    <w:rsid w:val="006C7BB0"/>
    <w:rsid w:val="006D3237"/>
    <w:rsid w:val="006E2E37"/>
    <w:rsid w:val="006E3CF1"/>
    <w:rsid w:val="006E68A3"/>
    <w:rsid w:val="006E7E80"/>
    <w:rsid w:val="006F1C2D"/>
    <w:rsid w:val="006F3343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566E"/>
    <w:rsid w:val="007561E3"/>
    <w:rsid w:val="00763602"/>
    <w:rsid w:val="00764D4E"/>
    <w:rsid w:val="00765A1F"/>
    <w:rsid w:val="0077456E"/>
    <w:rsid w:val="00775B6D"/>
    <w:rsid w:val="00776D68"/>
    <w:rsid w:val="0078323E"/>
    <w:rsid w:val="007850EE"/>
    <w:rsid w:val="00785B95"/>
    <w:rsid w:val="00785E14"/>
    <w:rsid w:val="0079089E"/>
    <w:rsid w:val="00790E96"/>
    <w:rsid w:val="007926FD"/>
    <w:rsid w:val="00793366"/>
    <w:rsid w:val="0079666C"/>
    <w:rsid w:val="007A716F"/>
    <w:rsid w:val="007B270A"/>
    <w:rsid w:val="007B4182"/>
    <w:rsid w:val="007C0695"/>
    <w:rsid w:val="007C2C20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4352"/>
    <w:rsid w:val="00805E52"/>
    <w:rsid w:val="008061D0"/>
    <w:rsid w:val="00810B38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2C57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A5C5E"/>
    <w:rsid w:val="008B02DC"/>
    <w:rsid w:val="008B092C"/>
    <w:rsid w:val="008B57CE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91DAD"/>
    <w:rsid w:val="009A115C"/>
    <w:rsid w:val="009A462E"/>
    <w:rsid w:val="009A7FC1"/>
    <w:rsid w:val="009B1606"/>
    <w:rsid w:val="009B1B5F"/>
    <w:rsid w:val="009B6673"/>
    <w:rsid w:val="009C191B"/>
    <w:rsid w:val="009C2BD6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192"/>
    <w:rsid w:val="00A35683"/>
    <w:rsid w:val="00A36819"/>
    <w:rsid w:val="00A36989"/>
    <w:rsid w:val="00A41D86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C4CD4"/>
    <w:rsid w:val="00AE0A2E"/>
    <w:rsid w:val="00AE354C"/>
    <w:rsid w:val="00AE60C7"/>
    <w:rsid w:val="00AF4B07"/>
    <w:rsid w:val="00AF5285"/>
    <w:rsid w:val="00AF6186"/>
    <w:rsid w:val="00AF7A3A"/>
    <w:rsid w:val="00B00595"/>
    <w:rsid w:val="00B02587"/>
    <w:rsid w:val="00B049D1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57279"/>
    <w:rsid w:val="00B701ED"/>
    <w:rsid w:val="00B748F7"/>
    <w:rsid w:val="00B74E90"/>
    <w:rsid w:val="00B8086C"/>
    <w:rsid w:val="00B81C58"/>
    <w:rsid w:val="00B861B4"/>
    <w:rsid w:val="00B86DFE"/>
    <w:rsid w:val="00B90990"/>
    <w:rsid w:val="00B90D1C"/>
    <w:rsid w:val="00B922FF"/>
    <w:rsid w:val="00B9281E"/>
    <w:rsid w:val="00B93925"/>
    <w:rsid w:val="00B95187"/>
    <w:rsid w:val="00BA2D55"/>
    <w:rsid w:val="00BA71B1"/>
    <w:rsid w:val="00BB0637"/>
    <w:rsid w:val="00BB0B75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F0E0D"/>
    <w:rsid w:val="00BF118F"/>
    <w:rsid w:val="00BF4109"/>
    <w:rsid w:val="00BF4CC3"/>
    <w:rsid w:val="00C04E63"/>
    <w:rsid w:val="00C054C7"/>
    <w:rsid w:val="00C057B5"/>
    <w:rsid w:val="00C07D0E"/>
    <w:rsid w:val="00C115C3"/>
    <w:rsid w:val="00C12B21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74810"/>
    <w:rsid w:val="00C90D68"/>
    <w:rsid w:val="00C939FE"/>
    <w:rsid w:val="00CA4BDA"/>
    <w:rsid w:val="00CB13E3"/>
    <w:rsid w:val="00CB1F66"/>
    <w:rsid w:val="00CB232C"/>
    <w:rsid w:val="00CB2587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47502"/>
    <w:rsid w:val="00D50A0A"/>
    <w:rsid w:val="00D53548"/>
    <w:rsid w:val="00D5576B"/>
    <w:rsid w:val="00D566BD"/>
    <w:rsid w:val="00D57A4D"/>
    <w:rsid w:val="00D60AA7"/>
    <w:rsid w:val="00D6435F"/>
    <w:rsid w:val="00D66471"/>
    <w:rsid w:val="00D70641"/>
    <w:rsid w:val="00D74888"/>
    <w:rsid w:val="00D7488B"/>
    <w:rsid w:val="00D75A6A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67565"/>
    <w:rsid w:val="00E70091"/>
    <w:rsid w:val="00E70D2E"/>
    <w:rsid w:val="00E720F5"/>
    <w:rsid w:val="00E76D47"/>
    <w:rsid w:val="00E827BC"/>
    <w:rsid w:val="00E849F7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C50C8"/>
    <w:rsid w:val="00ED077C"/>
    <w:rsid w:val="00ED10A9"/>
    <w:rsid w:val="00ED1190"/>
    <w:rsid w:val="00ED34AC"/>
    <w:rsid w:val="00ED34D0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0CF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A6F"/>
    <w:rsid w:val="00F5709C"/>
    <w:rsid w:val="00F60B85"/>
    <w:rsid w:val="00F637F8"/>
    <w:rsid w:val="00F64EF1"/>
    <w:rsid w:val="00F72B14"/>
    <w:rsid w:val="00F7349B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3E5E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9786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2643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6439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6439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6439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6439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6439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6439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6439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6439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6439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6439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6439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26439A"/>
    <w:pPr>
      <w:jc w:val="both"/>
    </w:pPr>
  </w:style>
  <w:style w:type="character" w:styleId="Pogrubienie">
    <w:name w:val="Strong"/>
    <w:uiPriority w:val="98"/>
    <w:semiHidden/>
    <w:qFormat/>
    <w:rsid w:val="0026439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6439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6439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26439A"/>
    <w:pPr>
      <w:spacing w:before="120" w:after="120"/>
      <w:ind w:left="425" w:firstLine="142"/>
    </w:pPr>
    <w:rPr>
      <w:sz w:val="20"/>
    </w:rPr>
  </w:style>
  <w:style w:type="table" w:styleId="Tabelasiatki1jasna">
    <w:name w:val="Grid Table 1 Light"/>
    <w:basedOn w:val="Standardowy"/>
    <w:uiPriority w:val="46"/>
    <w:semiHidden/>
    <w:rsid w:val="00334F7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">
    <w:name w:val="Ju_List"/>
    <w:aliases w:val="_List_1"/>
    <w:basedOn w:val="NormalJustified"/>
    <w:uiPriority w:val="23"/>
    <w:qFormat/>
    <w:rsid w:val="0026439A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6439A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26439A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6439A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6439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6439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6439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26439A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6439A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6439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6439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26439A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26439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6439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26439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6439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6439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64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6439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6439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6439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6439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6439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6439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6439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6439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6439A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6439A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26439A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6439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26439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6439A"/>
    <w:rPr>
      <w:caps w:val="0"/>
      <w:smallCaps/>
    </w:rPr>
  </w:style>
  <w:style w:type="character" w:styleId="Wyrnieniedelikatne">
    <w:name w:val="Subtle Emphasis"/>
    <w:uiPriority w:val="98"/>
    <w:semiHidden/>
    <w:qFormat/>
    <w:rsid w:val="0026439A"/>
    <w:rPr>
      <w:i/>
      <w:iCs/>
    </w:rPr>
  </w:style>
  <w:style w:type="table" w:customStyle="1" w:styleId="ECHRTable">
    <w:name w:val="ECHR_Table"/>
    <w:basedOn w:val="Standardowy"/>
    <w:rsid w:val="0026439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6439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6439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26439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26439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26439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6439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6439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6439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6439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6439A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6439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6439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6439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6439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6439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6439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6439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6439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6439A"/>
    <w:rPr>
      <w:smallCaps/>
    </w:rPr>
  </w:style>
  <w:style w:type="table" w:styleId="Tabela-Siatka">
    <w:name w:val="Table Grid"/>
    <w:basedOn w:val="Standardowy"/>
    <w:uiPriority w:val="59"/>
    <w:semiHidden/>
    <w:rsid w:val="0026439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6439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6439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6439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6439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6439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6439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6439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6439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6439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6439A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26439A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6439A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26439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6439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6439A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26439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6439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6439A"/>
  </w:style>
  <w:style w:type="paragraph" w:styleId="Tekstblokowy">
    <w:name w:val="Block Text"/>
    <w:basedOn w:val="Normalny"/>
    <w:uiPriority w:val="98"/>
    <w:semiHidden/>
    <w:rsid w:val="0026439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6439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64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6439A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6439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6439A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6439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26439A"/>
    <w:pPr>
      <w:ind w:firstLine="284"/>
      <w:jc w:val="both"/>
    </w:pPr>
    <w:rPr>
      <w:b/>
    </w:rPr>
  </w:style>
  <w:style w:type="character" w:styleId="Numerstrony">
    <w:name w:val="page number"/>
    <w:uiPriority w:val="98"/>
    <w:semiHidden/>
    <w:rsid w:val="0026439A"/>
    <w:rPr>
      <w:sz w:val="18"/>
    </w:rPr>
  </w:style>
  <w:style w:type="paragraph" w:styleId="Listapunktowana">
    <w:name w:val="List Bullet"/>
    <w:basedOn w:val="Normalny"/>
    <w:uiPriority w:val="98"/>
    <w:semiHidden/>
    <w:rsid w:val="0026439A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26439A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6439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6439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6439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6439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6439A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643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6439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6439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6439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6439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6439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643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6439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6439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6439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6439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643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643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6439A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643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6439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6439A"/>
  </w:style>
  <w:style w:type="character" w:customStyle="1" w:styleId="DataZnak">
    <w:name w:val="Data Znak"/>
    <w:basedOn w:val="Domylnaczcionkaakapitu"/>
    <w:link w:val="Data"/>
    <w:uiPriority w:val="98"/>
    <w:semiHidden/>
    <w:rsid w:val="0026439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6439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6439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643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6439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6439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6439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6439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6439A"/>
  </w:style>
  <w:style w:type="paragraph" w:styleId="HTML-adres">
    <w:name w:val="HTML Address"/>
    <w:basedOn w:val="Normalny"/>
    <w:link w:val="HTML-adresZnak"/>
    <w:uiPriority w:val="98"/>
    <w:semiHidden/>
    <w:rsid w:val="0026439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6439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6439A"/>
    <w:rPr>
      <w:i/>
      <w:iCs/>
    </w:rPr>
  </w:style>
  <w:style w:type="character" w:styleId="HTML-kod">
    <w:name w:val="HTML Code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6439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6439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6439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6439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6439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6439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6439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6439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6439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6439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6439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6439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6439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6439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6439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6439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6439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6439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6439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6439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6439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6439A"/>
  </w:style>
  <w:style w:type="paragraph" w:styleId="Lista">
    <w:name w:val="List"/>
    <w:basedOn w:val="Normalny"/>
    <w:uiPriority w:val="98"/>
    <w:semiHidden/>
    <w:rsid w:val="0026439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6439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6439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6439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6439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26439A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26439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26439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6439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6439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6439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6439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6439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6439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26439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26439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26439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26439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26439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6439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6439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6439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6439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6439A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6439A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6439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6439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6439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6439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6439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6439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6439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6439A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6439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6439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6439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6439A"/>
  </w:style>
  <w:style w:type="table" w:styleId="Tabela-Profesjonalny">
    <w:name w:val="Table Professional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6439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6439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26439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6439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6439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6439A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6439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6439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6439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6439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6439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6439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6439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6439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26439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6439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26439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6439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6439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26439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6439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6439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26439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26439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6439A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6439A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6439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6439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6439A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6439A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6439A"/>
    <w:rPr>
      <w:sz w:val="4"/>
    </w:rPr>
  </w:style>
  <w:style w:type="table" w:customStyle="1" w:styleId="ECHRTableGrey">
    <w:name w:val="ECHR_Table_Grey"/>
    <w:basedOn w:val="Standardowy"/>
    <w:uiPriority w:val="99"/>
    <w:rsid w:val="0026439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FC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7561E3"/>
    <w:rPr>
      <w:sz w:val="24"/>
      <w:szCs w:val="24"/>
      <w:lang w:val="pl-PL"/>
    </w:rPr>
  </w:style>
  <w:style w:type="table" w:styleId="Tabelasiatki1jasnaakcent1">
    <w:name w:val="Grid Table 1 Light Accent 1"/>
    <w:basedOn w:val="Standardowy"/>
    <w:uiPriority w:val="46"/>
    <w:semiHidden/>
    <w:rsid w:val="00334F7D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334F7D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334F7D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334F7D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334F7D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334F7D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334F7D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334F7D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334F7D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334F7D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334F7D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334F7D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334F7D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334F7D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334F7D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334F7D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334F7D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334F7D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334F7D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334F7D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334F7D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334F7D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334F7D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334F7D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334F7D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334F7D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334F7D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334F7D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334F7D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334F7D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334F7D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334F7D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334F7D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334F7D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334F7D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334F7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334F7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334F7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334F7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334F7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334F7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334F7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334F7D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334F7D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334F7D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334F7D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334F7D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334F7D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334F7D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334F7D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334F7D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334F7D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334F7D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334F7D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334F7D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334F7D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334F7D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334F7D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334F7D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334F7D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334F7D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334F7D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334F7D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334F7D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334F7D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334F7D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334F7D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334F7D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334F7D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334F7D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334F7D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334F7D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334F7D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334F7D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334F7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334F7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334F7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334F7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334F7D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334F7D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334F7D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5F41D-730C-476C-A6E7-C8DD4C8F0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5B3889-F2A6-4E51-B184-F4EFBD3C8E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CBC541-20EB-4998-B7EF-A2C10C6981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C9BD65-400C-491E-89A5-7F46C1EBB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1067</Words>
  <Characters>6406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keywords/>
  <cp:lastModifiedBy/>
  <cp:revision>1</cp:revision>
  <dcterms:created xsi:type="dcterms:W3CDTF">2022-06-15T12:04:00Z</dcterms:created>
  <dcterms:modified xsi:type="dcterms:W3CDTF">2023-04-06T14:53:00Z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10932/18</vt:lpwstr>
  </property>
  <property fmtid="{D5CDD505-2E9C-101B-9397-08002B2CF9AE}" pid="4" name="CASEID">
    <vt:lpwstr>1368963</vt:lpwstr>
  </property>
  <property fmtid="{D5CDD505-2E9C-101B-9397-08002B2CF9AE}" pid="5" name="ContentTypeId">
    <vt:lpwstr>0x010100558EB02BDB9E204AB350EDD385B68E10</vt:lpwstr>
  </property>
</Properties>
</file>