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C363F" w14:textId="5F4F07B2" w:rsidR="008D7596" w:rsidRPr="00A66277" w:rsidRDefault="00A66277" w:rsidP="00A66277">
      <w:pPr>
        <w:pStyle w:val="DecHTitle"/>
      </w:pPr>
      <w:r w:rsidRPr="00A66277">
        <w:t>EUROPEJSKI TRYBUNAŁ PRAW CZŁOWIEKA</w:t>
      </w:r>
    </w:p>
    <w:p w14:paraId="44A9DB63" w14:textId="77777777" w:rsidR="0098410D" w:rsidRPr="00E125C8" w:rsidRDefault="0098410D" w:rsidP="00E125C8">
      <w:pPr>
        <w:jc w:val="center"/>
      </w:pPr>
    </w:p>
    <w:p w14:paraId="43525043" w14:textId="77777777" w:rsidR="0098410D" w:rsidRPr="00E125C8" w:rsidRDefault="008D7596" w:rsidP="00E125C8">
      <w:pPr>
        <w:pStyle w:val="DecHTitle"/>
      </w:pPr>
      <w:r>
        <w:t>SEKCJA PIERWSZA</w:t>
      </w:r>
    </w:p>
    <w:p w14:paraId="47DDF860" w14:textId="77777777" w:rsidR="008E6217" w:rsidRPr="00E125C8" w:rsidRDefault="008E6217" w:rsidP="00E125C8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NOWAK przeciwko POLSCE</w:t>
      </w:r>
    </w:p>
    <w:p w14:paraId="298E5324" w14:textId="11CEB7C1" w:rsidR="00D74888" w:rsidRPr="00E125C8" w:rsidRDefault="008E6217" w:rsidP="00E125C8">
      <w:pPr>
        <w:pStyle w:val="ECHRCoverTitle4"/>
      </w:pPr>
      <w:r>
        <w:t>(Skarga nr</w:t>
      </w:r>
      <w:r w:rsidR="00F07EF7">
        <w:t xml:space="preserve"> </w:t>
      </w:r>
      <w:r>
        <w:t>60906/16)</w:t>
      </w:r>
    </w:p>
    <w:p w14:paraId="541864DE" w14:textId="77777777" w:rsidR="0098410D" w:rsidRPr="00E125C8" w:rsidRDefault="0098410D" w:rsidP="00E125C8">
      <w:pPr>
        <w:pStyle w:val="DecHCase"/>
      </w:pPr>
    </w:p>
    <w:p w14:paraId="46E27BDA" w14:textId="77777777" w:rsidR="0098410D" w:rsidRPr="00E125C8" w:rsidRDefault="0098410D" w:rsidP="00E125C8">
      <w:pPr>
        <w:pStyle w:val="DecHCase"/>
      </w:pPr>
    </w:p>
    <w:p w14:paraId="79B646EA" w14:textId="77777777" w:rsidR="003629CD" w:rsidRPr="00E125C8" w:rsidRDefault="003629CD" w:rsidP="00E125C8">
      <w:pPr>
        <w:pStyle w:val="DecHCase"/>
      </w:pPr>
    </w:p>
    <w:p w14:paraId="60CB6E59" w14:textId="77777777" w:rsidR="003629CD" w:rsidRPr="00E125C8" w:rsidRDefault="003629CD" w:rsidP="00E125C8">
      <w:pPr>
        <w:pStyle w:val="DecHCase"/>
      </w:pPr>
    </w:p>
    <w:p w14:paraId="77554989" w14:textId="77777777" w:rsidR="00AC4CD4" w:rsidRPr="00E125C8" w:rsidRDefault="00AC4CD4" w:rsidP="00E125C8">
      <w:pPr>
        <w:pStyle w:val="DecHCase"/>
      </w:pPr>
    </w:p>
    <w:p w14:paraId="1DF2FA9E" w14:textId="77777777" w:rsidR="0098410D" w:rsidRPr="00E125C8" w:rsidRDefault="0098410D" w:rsidP="00E125C8">
      <w:pPr>
        <w:pStyle w:val="DecHCase"/>
      </w:pPr>
    </w:p>
    <w:p w14:paraId="0D853DF8" w14:textId="77777777" w:rsidR="0098410D" w:rsidRPr="00E125C8" w:rsidRDefault="0098410D" w:rsidP="00E125C8">
      <w:pPr>
        <w:pStyle w:val="DecHCase"/>
      </w:pPr>
      <w:r>
        <w:t>WYROK</w:t>
      </w:r>
      <w:r>
        <w:br/>
      </w:r>
    </w:p>
    <w:p w14:paraId="4BA6F9E8" w14:textId="77777777" w:rsidR="0098410D" w:rsidRPr="00E125C8" w:rsidRDefault="0098410D" w:rsidP="00E125C8">
      <w:pPr>
        <w:pStyle w:val="DecHCase"/>
      </w:pPr>
      <w:r>
        <w:t>STRASBURG</w:t>
      </w:r>
    </w:p>
    <w:p w14:paraId="5FCE1691" w14:textId="77777777" w:rsidR="0098410D" w:rsidRPr="00E125C8" w:rsidRDefault="008D7596" w:rsidP="00E125C8">
      <w:pPr>
        <w:pStyle w:val="DecHCase"/>
      </w:pPr>
      <w:r>
        <w:rPr>
          <w:rFonts w:ascii="Times New Roman" w:hAnsi="Times New Roman"/>
        </w:rPr>
        <w:t>13 października 2022 r.</w:t>
      </w:r>
    </w:p>
    <w:p w14:paraId="004497FD" w14:textId="77777777" w:rsidR="003629CD" w:rsidRPr="00E125C8" w:rsidRDefault="003629CD" w:rsidP="00E125C8">
      <w:pPr>
        <w:pStyle w:val="JuPara"/>
      </w:pPr>
    </w:p>
    <w:p w14:paraId="62877A2F" w14:textId="77777777" w:rsidR="002422B6" w:rsidRPr="00E125C8" w:rsidRDefault="0098410D" w:rsidP="00E125C8">
      <w:pPr>
        <w:rPr>
          <w:i/>
          <w:sz w:val="22"/>
        </w:rPr>
      </w:pPr>
      <w:r>
        <w:rPr>
          <w:i/>
          <w:sz w:val="22"/>
        </w:rPr>
        <w:t>Wyrok ten jest ostateczny, ale może podlegać korekcie wydawniczej.</w:t>
      </w:r>
    </w:p>
    <w:p w14:paraId="02673C8A" w14:textId="77777777" w:rsidR="0098410D" w:rsidRPr="00E125C8" w:rsidRDefault="0098410D" w:rsidP="00E125C8">
      <w:pPr>
        <w:sectPr w:rsidR="0098410D" w:rsidRPr="00E125C8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4D8A255E" w14:textId="77777777" w:rsidR="0098410D" w:rsidRPr="00E125C8" w:rsidRDefault="0098410D" w:rsidP="00E125C8">
      <w:pPr>
        <w:pStyle w:val="JuCase"/>
      </w:pPr>
      <w:r>
        <w:lastRenderedPageBreak/>
        <w:t>W sprawie Nowak przeciwko Polsce</w:t>
      </w:r>
    </w:p>
    <w:p w14:paraId="47C85992" w14:textId="77777777" w:rsidR="009F4C8F" w:rsidRPr="00E125C8" w:rsidRDefault="009F4C8F" w:rsidP="00E125C8">
      <w:pPr>
        <w:pStyle w:val="JuPara"/>
      </w:pPr>
      <w:r>
        <w:t>Europejski Trybunał Praw Człowieka (Sekcja Pierwsza), zasiadając jako Komitet w składzie:</w:t>
      </w:r>
    </w:p>
    <w:p w14:paraId="6C211F63" w14:textId="77777777" w:rsidR="00421CB7" w:rsidRPr="00E125C8" w:rsidRDefault="00CE4BD8" w:rsidP="00E125C8">
      <w:pPr>
        <w:pStyle w:val="JuJudges"/>
        <w:rPr>
          <w:i/>
        </w:rPr>
      </w:pPr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rPr>
          <w:i/>
        </w:rPr>
        <w:t>, Przewodniczący,</w:t>
      </w:r>
    </w:p>
    <w:p w14:paraId="4DBE01A4" w14:textId="77777777" w:rsidR="00421CB7" w:rsidRPr="00E125C8" w:rsidRDefault="00CE4BD8" w:rsidP="00E125C8">
      <w:pPr>
        <w:pStyle w:val="JuJudges"/>
        <w:rPr>
          <w:i/>
        </w:rPr>
      </w:pPr>
      <w:r>
        <w:tab/>
      </w:r>
      <w:proofErr w:type="spellStart"/>
      <w:r>
        <w:t>Jovan</w:t>
      </w:r>
      <w:proofErr w:type="spellEnd"/>
      <w:r>
        <w:t xml:space="preserve"> </w:t>
      </w:r>
      <w:proofErr w:type="spellStart"/>
      <w:r>
        <w:t>Ilievski</w:t>
      </w:r>
      <w:proofErr w:type="spellEnd"/>
      <w:r>
        <w:rPr>
          <w:i/>
        </w:rPr>
        <w:t>,</w:t>
      </w:r>
    </w:p>
    <w:p w14:paraId="0D51C0FB" w14:textId="3870660A" w:rsidR="009F4C8F" w:rsidRPr="00E125C8" w:rsidRDefault="00CE4BD8" w:rsidP="00E125C8">
      <w:pPr>
        <w:pStyle w:val="JuJudges"/>
        <w:rPr>
          <w:i/>
        </w:rPr>
      </w:pP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t xml:space="preserve">, </w:t>
      </w:r>
      <w:r>
        <w:rPr>
          <w:i/>
          <w:iCs/>
        </w:rPr>
        <w:t>Sędziowie,</w:t>
      </w:r>
      <w:r>
        <w:br/>
        <w:t xml:space="preserve">i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 w:rsidR="00F07EF7">
        <w:rPr>
          <w:i/>
        </w:rPr>
        <w:t xml:space="preserve">Zastępca Kanclerza </w:t>
      </w:r>
      <w:r>
        <w:rPr>
          <w:i/>
        </w:rPr>
        <w:t>Sekcji</w:t>
      </w:r>
      <w:r>
        <w:t>,</w:t>
      </w:r>
    </w:p>
    <w:p w14:paraId="14650CD7" w14:textId="77777777" w:rsidR="008D7596" w:rsidRPr="00E125C8" w:rsidRDefault="008D7596" w:rsidP="00E125C8">
      <w:pPr>
        <w:pStyle w:val="JuPara"/>
      </w:pPr>
      <w:r>
        <w:t>mając na uwadze:</w:t>
      </w:r>
    </w:p>
    <w:p w14:paraId="03AA5BAA" w14:textId="571C73A0" w:rsidR="008D7596" w:rsidRPr="00E125C8" w:rsidRDefault="008D7596" w:rsidP="00E125C8">
      <w:pPr>
        <w:pStyle w:val="JuPara"/>
      </w:pPr>
      <w:r>
        <w:t>skargę (nr</w:t>
      </w:r>
      <w:r w:rsidR="00F07EF7">
        <w:t xml:space="preserve"> </w:t>
      </w:r>
      <w:r>
        <w:t>60906/16) przeciwko Rzeczypospolitej Polskiej wniesioną do</w:t>
      </w:r>
      <w:r w:rsidR="00AE6C67">
        <w:t> </w:t>
      </w:r>
      <w:r>
        <w:t>Trybunału na podstawie art.</w:t>
      </w:r>
      <w:r w:rsidR="00F07EF7">
        <w:t xml:space="preserve"> </w:t>
      </w:r>
      <w:r>
        <w:t>34 Konwencji o</w:t>
      </w:r>
      <w:r w:rsidR="00F07EF7">
        <w:t xml:space="preserve"> </w:t>
      </w:r>
      <w:r>
        <w:t>ochronie praw człowieka i</w:t>
      </w:r>
      <w:r w:rsidR="00AE6C67">
        <w:t> </w:t>
      </w:r>
      <w:r>
        <w:t>podstawowych wolności („Konwencja”) w dniu 22 grudnia 2016</w:t>
      </w:r>
      <w:r w:rsidR="00F07EF7">
        <w:t xml:space="preserve"> </w:t>
      </w:r>
      <w:r>
        <w:t>r. przez obywatela polskiego Sebastiana Nowaka, urodzonego w 1985</w:t>
      </w:r>
      <w:r w:rsidR="00F07EF7">
        <w:t xml:space="preserve"> </w:t>
      </w:r>
      <w:r>
        <w:t>r. i</w:t>
      </w:r>
      <w:r w:rsidR="00F07EF7">
        <w:t xml:space="preserve"> </w:t>
      </w:r>
      <w:r>
        <w:t>osadzonego w Sieradzu („skarżący”);</w:t>
      </w:r>
    </w:p>
    <w:p w14:paraId="398B4E24" w14:textId="1F1E28C1" w:rsidR="008D7596" w:rsidRPr="00E125C8" w:rsidRDefault="008D7596" w:rsidP="00E125C8">
      <w:pPr>
        <w:pStyle w:val="JuPara"/>
      </w:pPr>
      <w:r>
        <w:t>decyzję o zakomunikowaniu Rządowi RP („Rząd”), reprezentowanemu przez pełnomocnika J. Sobczaka z Ministerstwa Spraw Zagranicznych, zarzutów doty</w:t>
      </w:r>
      <w:r w:rsidR="00DD1657">
        <w:t>czących kontroli osobistych</w:t>
      </w:r>
      <w:r>
        <w:t xml:space="preserve"> i kontroli rozmów telefonicznych skarżącego;</w:t>
      </w:r>
    </w:p>
    <w:p w14:paraId="30419C90" w14:textId="77777777" w:rsidR="008D7596" w:rsidRPr="00E125C8" w:rsidRDefault="008D7596" w:rsidP="00E125C8">
      <w:pPr>
        <w:pStyle w:val="JuPara"/>
      </w:pPr>
      <w:r>
        <w:t>uwagi przedstawione przez strony;</w:t>
      </w:r>
    </w:p>
    <w:p w14:paraId="601FFFDA" w14:textId="52EFBAC5" w:rsidR="009F4C8F" w:rsidRPr="00E125C8" w:rsidRDefault="009F4C8F" w:rsidP="00E125C8">
      <w:pPr>
        <w:pStyle w:val="JuPara"/>
      </w:pPr>
      <w:r>
        <w:t>obradując na posiedzeniu niejawnym w dniu 20 września 2022</w:t>
      </w:r>
      <w:r w:rsidR="00F07EF7">
        <w:t xml:space="preserve"> </w:t>
      </w:r>
      <w:r>
        <w:t>r.,</w:t>
      </w:r>
    </w:p>
    <w:p w14:paraId="46A7293C" w14:textId="77777777" w:rsidR="009F4C8F" w:rsidRPr="00E125C8" w:rsidRDefault="009F4C8F" w:rsidP="00E125C8">
      <w:pPr>
        <w:pStyle w:val="JuPara"/>
      </w:pPr>
      <w:r>
        <w:t>wydaje następujący wyrok, który został przyjęty w tym dniu:</w:t>
      </w:r>
    </w:p>
    <w:p w14:paraId="15E5B0E0" w14:textId="77777777" w:rsidR="008D7596" w:rsidRPr="00E125C8" w:rsidRDefault="008D7596" w:rsidP="00E125C8">
      <w:pPr>
        <w:pStyle w:val="JuHHead"/>
      </w:pPr>
      <w:r>
        <w:t>OKOLICZNOŚCI SPRAWY</w:t>
      </w:r>
    </w:p>
    <w:p w14:paraId="27BF3F31" w14:textId="1D879E7E" w:rsidR="008D7596" w:rsidRPr="00E125C8" w:rsidRDefault="00A51873" w:rsidP="00E125C8">
      <w:pPr>
        <w:pStyle w:val="JuPara"/>
      </w:pPr>
      <w:r>
        <w:rPr>
          <w:noProof/>
        </w:rPr>
        <w:t>1</w:t>
      </w:r>
      <w:r w:rsidR="000F540E">
        <w:t>.</w:t>
      </w:r>
      <w:r w:rsidR="00F07EF7">
        <w:t xml:space="preserve"> </w:t>
      </w:r>
      <w:r w:rsidR="000F540E">
        <w:t>Sprawa dotyczy poddawania skarżącego jako wię</w:t>
      </w:r>
      <w:r w:rsidR="00DD1657">
        <w:t>źnia praktyce kontroli osobistych</w:t>
      </w:r>
      <w:r w:rsidR="000F540E">
        <w:t xml:space="preserve"> i kontroli jego rozmów telefonicznych.</w:t>
      </w:r>
    </w:p>
    <w:p w14:paraId="6EE80F05" w14:textId="31DEB9A7" w:rsidR="008D7596" w:rsidRPr="00E125C8" w:rsidRDefault="008D7596" w:rsidP="00E125C8">
      <w:pPr>
        <w:pStyle w:val="JuHIRoman"/>
      </w:pPr>
      <w:r>
        <w:t>Środki stosowane w okresie pobytu skarżącego w</w:t>
      </w:r>
      <w:r w:rsidR="00AE6C67">
        <w:t> </w:t>
      </w:r>
      <w:r w:rsidR="00064F86">
        <w:t>jednostce penitencjarnej</w:t>
      </w:r>
    </w:p>
    <w:p w14:paraId="579512F3" w14:textId="0D4574BA" w:rsidR="008D7596" w:rsidRPr="00E125C8" w:rsidRDefault="00A51873" w:rsidP="00E125C8">
      <w:pPr>
        <w:pStyle w:val="JuPara"/>
      </w:pPr>
      <w:r>
        <w:rPr>
          <w:noProof/>
        </w:rPr>
        <w:t>2</w:t>
      </w:r>
      <w:r w:rsidR="008D7596">
        <w:t>.</w:t>
      </w:r>
      <w:r w:rsidR="00F07EF7">
        <w:t xml:space="preserve"> </w:t>
      </w:r>
      <w:r w:rsidR="008D7596">
        <w:t>Od dnia 9 lutego do 16 czerwca 2010 r., jak też od 28 kwietnia do</w:t>
      </w:r>
      <w:r w:rsidR="00AE6C67">
        <w:t> </w:t>
      </w:r>
      <w:r w:rsidR="008D7596">
        <w:t>6</w:t>
      </w:r>
      <w:r w:rsidR="00AE6C67">
        <w:t> </w:t>
      </w:r>
      <w:r w:rsidR="008D7596">
        <w:t>grudnia 2011 r., skarżący odbywał karę w Zakładzie Karnym w</w:t>
      </w:r>
      <w:r w:rsidR="00AE6C67">
        <w:t> </w:t>
      </w:r>
      <w:r w:rsidR="008D7596">
        <w:t>Kamińsku.</w:t>
      </w:r>
    </w:p>
    <w:p w14:paraId="0D04CFEB" w14:textId="59324783" w:rsidR="008D7596" w:rsidRPr="00E125C8" w:rsidRDefault="00A51873" w:rsidP="00E125C8">
      <w:pPr>
        <w:pStyle w:val="JuPara"/>
      </w:pPr>
      <w:r>
        <w:rPr>
          <w:noProof/>
        </w:rPr>
        <w:t>3</w:t>
      </w:r>
      <w:r w:rsidR="008D7596">
        <w:t>.</w:t>
      </w:r>
      <w:r w:rsidR="00F07EF7">
        <w:t xml:space="preserve"> </w:t>
      </w:r>
      <w:r w:rsidR="008D7596">
        <w:t>Skarżący w pierwszym okresie osadzenia został sklasyfikowany jako odbywający karę po raz pierwszy, zaś w drugim okresie jako recydywista. Nie został objęty reżimem więźnia niebezpiecznego. Przez okres pobytu w</w:t>
      </w:r>
      <w:r w:rsidR="00AE6C67">
        <w:t> </w:t>
      </w:r>
      <w:r w:rsidR="008D7596">
        <w:t>zakładzie przetrzymywany był łącznie w jedenastu celach.</w:t>
      </w:r>
    </w:p>
    <w:p w14:paraId="0CA92378" w14:textId="6F8041CD" w:rsidR="008D7596" w:rsidRPr="00E125C8" w:rsidRDefault="00A51873" w:rsidP="00E125C8">
      <w:pPr>
        <w:pStyle w:val="JuPara"/>
      </w:pPr>
      <w:r>
        <w:rPr>
          <w:noProof/>
        </w:rPr>
        <w:t>4</w:t>
      </w:r>
      <w:r w:rsidR="000F540E">
        <w:t>.</w:t>
      </w:r>
      <w:r w:rsidR="00F07EF7">
        <w:t xml:space="preserve"> </w:t>
      </w:r>
      <w:r w:rsidR="000F540E">
        <w:t xml:space="preserve">Skarżący nie został poddany badaniom mającym na celu sprawdzenie, czy w przedmiotowym okresie zażywał środki odurzające </w:t>
      </w:r>
      <w:r w:rsidR="00064F86">
        <w:t>lub</w:t>
      </w:r>
      <w:r w:rsidR="000F540E">
        <w:t xml:space="preserve"> niedozwolone leki. Niezależnie od tego w nieokreślonym dniu zostało u niego rozpoznane uzależnienie od narkotyków; skarżący został skierowany do leczenia odwykowego.</w:t>
      </w:r>
    </w:p>
    <w:p w14:paraId="4FC275CE" w14:textId="23E73E2A" w:rsidR="008D7596" w:rsidRPr="00E125C8" w:rsidRDefault="00A51873" w:rsidP="00E125C8">
      <w:pPr>
        <w:pStyle w:val="JuPara"/>
      </w:pPr>
      <w:r>
        <w:rPr>
          <w:noProof/>
        </w:rPr>
        <w:t>5</w:t>
      </w:r>
      <w:r w:rsidR="000F540E">
        <w:t>.</w:t>
      </w:r>
      <w:r w:rsidR="00F07EF7">
        <w:t xml:space="preserve"> </w:t>
      </w:r>
      <w:r w:rsidR="000F540E">
        <w:t>Skarżącego regularnie poddawano kontroli pobieżnej, jak i kontroli osobistej (wymagającej rozebrania się do naga).</w:t>
      </w:r>
    </w:p>
    <w:p w14:paraId="722E370D" w14:textId="2CEB8F7B" w:rsidR="008D7596" w:rsidRPr="00E125C8" w:rsidRDefault="00A51873" w:rsidP="00E125C8">
      <w:pPr>
        <w:pStyle w:val="JuPara"/>
      </w:pPr>
      <w:r>
        <w:rPr>
          <w:noProof/>
        </w:rPr>
        <w:lastRenderedPageBreak/>
        <w:t>6</w:t>
      </w:r>
      <w:r w:rsidR="000F540E">
        <w:t>.</w:t>
      </w:r>
      <w:r w:rsidR="00F07EF7">
        <w:t xml:space="preserve"> </w:t>
      </w:r>
      <w:r w:rsidR="000F540E">
        <w:t>Skarżący stwierdził, iż łącznie w obu okresach osadzenia poddano go kontroli osobistej 369 razy. Kontrola osobista odbywała się każdego dnia: za</w:t>
      </w:r>
      <w:r w:rsidR="00AE6C67">
        <w:t> </w:t>
      </w:r>
      <w:r w:rsidR="000F540E">
        <w:t>każdym razem, gdy przyjmowano go do zakładu i zwalniano go z niego, gdy zmieniał cele, gdy przechodził do innego skrzydła i wracał z niego, jak</w:t>
      </w:r>
      <w:r w:rsidR="00AE6C67">
        <w:t> </w:t>
      </w:r>
      <w:r w:rsidR="000F540E">
        <w:t>też gdy dokonywano codziennych, rutynowych kontroli celi. Rząd poinformował Trybunał, iż w tym zakresie nie można przedstawić żadnych urzędowych dokumentów.</w:t>
      </w:r>
    </w:p>
    <w:p w14:paraId="7202D80B" w14:textId="6390E8B6" w:rsidR="008D7596" w:rsidRPr="00E125C8" w:rsidRDefault="00A51873" w:rsidP="00E125C8">
      <w:pPr>
        <w:pStyle w:val="JuPara"/>
      </w:pPr>
      <w:r>
        <w:rPr>
          <w:noProof/>
        </w:rPr>
        <w:t>7</w:t>
      </w:r>
      <w:r w:rsidR="008D7596">
        <w:t>.</w:t>
      </w:r>
      <w:r w:rsidR="00F07EF7">
        <w:t xml:space="preserve"> </w:t>
      </w:r>
      <w:r w:rsidR="008D7596">
        <w:t>Określono, że kontrolę osobistą skarżącego przeprowadzano w</w:t>
      </w:r>
      <w:r w:rsidR="00AE6C67">
        <w:t> </w:t>
      </w:r>
      <w:r w:rsidR="008D7596">
        <w:t>gabinecie dyżurnego lub sporadycznie w pustej sali widzeń, ponieważ w</w:t>
      </w:r>
      <w:r w:rsidR="00AE6C67">
        <w:t> </w:t>
      </w:r>
      <w:r w:rsidR="008D7596">
        <w:t>Zakładzie Karnym w Kamińsku nie wyznaczono pomieszczenia do tego celu. Kontrolę przeprowadzali dwaj funkcjonariusze płci męskiej. Skarżący musiał pochylać się, tak aby umożliwić oględziny odbytu i ciała. Funkcjonariusze go nie dotykali. Podczas kontroli skarżący stał na</w:t>
      </w:r>
      <w:r w:rsidR="00AE6C67">
        <w:t> </w:t>
      </w:r>
      <w:r w:rsidR="008D7596">
        <w:t>plastikowej platformie chroniącej przed zimną podłogą.</w:t>
      </w:r>
    </w:p>
    <w:p w14:paraId="7227149B" w14:textId="4F61F314" w:rsidR="008D7596" w:rsidRPr="00E125C8" w:rsidRDefault="00A51873" w:rsidP="00E125C8">
      <w:pPr>
        <w:pStyle w:val="JuPara"/>
      </w:pPr>
      <w:r>
        <w:rPr>
          <w:noProof/>
        </w:rPr>
        <w:t>8</w:t>
      </w:r>
      <w:r w:rsidR="000F540E">
        <w:t>.</w:t>
      </w:r>
      <w:r w:rsidR="00F07EF7">
        <w:t xml:space="preserve"> </w:t>
      </w:r>
      <w:r w:rsidR="000F540E">
        <w:t>Rozmowy telefoniczne w zakładach karnych typu zamkniętego, takich jak Zakład Karny w Kamińsku, z wyjątkiem rozmów z obrońcami, były w</w:t>
      </w:r>
      <w:r w:rsidR="00AE6C67">
        <w:t> </w:t>
      </w:r>
      <w:r w:rsidR="000F540E">
        <w:t>omawianym okresie rutynowo kontrolowane przez strażników zakładu na</w:t>
      </w:r>
      <w:r w:rsidR="00AE6C67">
        <w:t> </w:t>
      </w:r>
      <w:r w:rsidR="000F540E">
        <w:t xml:space="preserve">podstawie art. 90 ust. 9 </w:t>
      </w:r>
      <w:r w:rsidR="00DD1657">
        <w:t xml:space="preserve">Kodeksu </w:t>
      </w:r>
      <w:r w:rsidR="000F540E">
        <w:t>karnego wykonawczego.</w:t>
      </w:r>
    </w:p>
    <w:p w14:paraId="604E6CD4" w14:textId="6FCF8BC3" w:rsidR="008D7596" w:rsidRPr="00E125C8" w:rsidRDefault="00A51873" w:rsidP="00E125C8">
      <w:pPr>
        <w:pStyle w:val="JuPara"/>
      </w:pPr>
      <w:r>
        <w:rPr>
          <w:noProof/>
        </w:rPr>
        <w:t>9</w:t>
      </w:r>
      <w:r w:rsidR="008D7596">
        <w:t>.</w:t>
      </w:r>
      <w:r w:rsidR="00F07EF7">
        <w:t xml:space="preserve"> </w:t>
      </w:r>
      <w:r w:rsidR="008D7596">
        <w:t>Rząd stwierdził, że wszyscy więźniowie są informowani o tej praktyce. Skarżący stwierdził, że nie został o niej uprzednio powiadomiony w trakcie pobytu w Zakładzie Karnym w Kamińsku.</w:t>
      </w:r>
    </w:p>
    <w:p w14:paraId="3BB1D7DC" w14:textId="22B75313" w:rsidR="008D7596" w:rsidRPr="00E125C8" w:rsidRDefault="00A51873" w:rsidP="00E125C8">
      <w:pPr>
        <w:pStyle w:val="JuPara"/>
      </w:pPr>
      <w:r>
        <w:rPr>
          <w:noProof/>
        </w:rPr>
        <w:t>10</w:t>
      </w:r>
      <w:r w:rsidR="008D7596">
        <w:t>.</w:t>
      </w:r>
      <w:r w:rsidR="00F07EF7">
        <w:t xml:space="preserve"> </w:t>
      </w:r>
      <w:r w:rsidR="008D7596">
        <w:t>Nie udało się przedstawić żadnych oficjalnych zapisów rozmów telefonicznych skarżącego. Nagrania połączeń wychodzących skarżącego już</w:t>
      </w:r>
      <w:r w:rsidR="00AE6C67">
        <w:t> </w:t>
      </w:r>
      <w:r w:rsidR="008D7596">
        <w:t>nie istniały, a połączenia przychodzące w ogóle nie były rejestrowane.</w:t>
      </w:r>
    </w:p>
    <w:p w14:paraId="30B2DA68" w14:textId="368C88C0" w:rsidR="008D7596" w:rsidRPr="00E125C8" w:rsidRDefault="008D7596" w:rsidP="00E125C8">
      <w:pPr>
        <w:pStyle w:val="JuHIRoman"/>
      </w:pPr>
      <w:r>
        <w:t>Powództwo</w:t>
      </w:r>
      <w:r w:rsidR="00B46C1D">
        <w:t xml:space="preserve"> cywilne</w:t>
      </w:r>
    </w:p>
    <w:p w14:paraId="58718632" w14:textId="6CD40FF3" w:rsidR="008D7596" w:rsidRPr="00E125C8" w:rsidRDefault="00A51873" w:rsidP="00E125C8">
      <w:pPr>
        <w:pStyle w:val="JuPara"/>
      </w:pPr>
      <w:r>
        <w:rPr>
          <w:noProof/>
        </w:rPr>
        <w:t>11</w:t>
      </w:r>
      <w:r w:rsidR="008D7596">
        <w:t>.</w:t>
      </w:r>
      <w:r w:rsidR="00F07EF7">
        <w:t xml:space="preserve"> </w:t>
      </w:r>
      <w:r w:rsidR="008D7596">
        <w:t>W 2013 r. skarżący wystąpił z pozwem o odszkodowanie za naruszenie tajemnicy komunikacji i godności w wyniku między innymi kontroli osobistych w Zakładzie Karnym w Kamińsku.</w:t>
      </w:r>
    </w:p>
    <w:p w14:paraId="163611C5" w14:textId="786A7F5F" w:rsidR="008D7596" w:rsidRPr="00E125C8" w:rsidRDefault="00A51873" w:rsidP="00E125C8">
      <w:pPr>
        <w:pStyle w:val="JuPara"/>
      </w:pPr>
      <w:r>
        <w:rPr>
          <w:noProof/>
        </w:rPr>
        <w:t>12</w:t>
      </w:r>
      <w:r w:rsidR="008D7596">
        <w:t>.</w:t>
      </w:r>
      <w:r w:rsidR="00F07EF7">
        <w:t xml:space="preserve"> </w:t>
      </w:r>
      <w:r w:rsidR="008D7596">
        <w:t xml:space="preserve">W dniu 4 listopada 2015 r. Sąd Rejonowy w Bartoszycach oddalił </w:t>
      </w:r>
      <w:r w:rsidR="008240AA">
        <w:t>powództwo</w:t>
      </w:r>
      <w:r w:rsidR="008D7596">
        <w:t xml:space="preserve"> ze względu na to, że kontrola rozmów telefonicznych skarżącego i kontrole osobiste były zgodne z prawem, a skarżący nie został poniżony ani upokorzony.</w:t>
      </w:r>
    </w:p>
    <w:p w14:paraId="335471BB" w14:textId="256CC384" w:rsidR="008D7596" w:rsidRPr="00E125C8" w:rsidRDefault="00A51873" w:rsidP="00E125C8">
      <w:pPr>
        <w:pStyle w:val="JuPara"/>
      </w:pPr>
      <w:r>
        <w:rPr>
          <w:noProof/>
        </w:rPr>
        <w:t>13</w:t>
      </w:r>
      <w:r w:rsidR="008D7596">
        <w:t>.</w:t>
      </w:r>
      <w:r w:rsidR="00F07EF7">
        <w:t xml:space="preserve"> </w:t>
      </w:r>
      <w:r w:rsidR="008D7596">
        <w:t>W dniu 8 czerwca 2016 r. Sąd Okręgowy w Olsztynie oddalił apelację skarżącego. Wyrok z uzasadnieniem doręczono skarżącemu dnia 29 czerwca 2016 r. wraz z pouczeniem o sposobie wniesienia skargi kasacyjnej do Sądu Najwyższego.</w:t>
      </w:r>
    </w:p>
    <w:p w14:paraId="499BF17E" w14:textId="684E1D8A" w:rsidR="008D7596" w:rsidRPr="00E125C8" w:rsidRDefault="00A51873" w:rsidP="00E125C8">
      <w:pPr>
        <w:pStyle w:val="JuPara"/>
      </w:pPr>
      <w:r>
        <w:rPr>
          <w:noProof/>
        </w:rPr>
        <w:t>14</w:t>
      </w:r>
      <w:r w:rsidR="008D7596">
        <w:t>.</w:t>
      </w:r>
      <w:r w:rsidR="00F07EF7">
        <w:t xml:space="preserve"> </w:t>
      </w:r>
      <w:r w:rsidR="008D7596">
        <w:t>Skarżący nie wniósł skargi kasacyjnej.</w:t>
      </w:r>
    </w:p>
    <w:p w14:paraId="7E8C5173" w14:textId="20E0091C" w:rsidR="008D7596" w:rsidRPr="00E125C8" w:rsidRDefault="008D7596" w:rsidP="00E125C8">
      <w:pPr>
        <w:pStyle w:val="JuHIRoman"/>
      </w:pPr>
      <w:r>
        <w:t>ZARZUT</w:t>
      </w:r>
      <w:r w:rsidR="00B46C1D">
        <w:t xml:space="preserve"> skargi</w:t>
      </w:r>
    </w:p>
    <w:p w14:paraId="681DB172" w14:textId="2C4E3022" w:rsidR="008D7596" w:rsidRPr="00E125C8" w:rsidRDefault="00A51873" w:rsidP="00E125C8">
      <w:pPr>
        <w:pStyle w:val="JuPara"/>
      </w:pPr>
      <w:r>
        <w:rPr>
          <w:noProof/>
        </w:rPr>
        <w:t>15</w:t>
      </w:r>
      <w:r w:rsidR="000F540E">
        <w:t>.</w:t>
      </w:r>
      <w:r w:rsidR="00F07EF7">
        <w:t xml:space="preserve"> </w:t>
      </w:r>
      <w:r w:rsidR="000F540E">
        <w:t xml:space="preserve">Skarżący zarzucił na podstawie art. 3 i 8 Konwencji, że w dwóch wyżej wspomnianych okresach osadzenia w Zakładzie Karnym w Kamińsku był </w:t>
      </w:r>
      <w:r w:rsidR="000F540E">
        <w:lastRenderedPageBreak/>
        <w:t>poddawany regularnej i nieuzasadnionej kontroli osobistej, którą to praktykę uznał za poniżającą i upokarzającą. Wysunął również ogólny zarzut, iż jego rozmowy telefoniczne w zakładzie karnym były monitorowane.</w:t>
      </w:r>
    </w:p>
    <w:p w14:paraId="562D483E" w14:textId="77777777" w:rsidR="008D7596" w:rsidRPr="00E125C8" w:rsidRDefault="008D7596" w:rsidP="00E125C8">
      <w:pPr>
        <w:pStyle w:val="JuHHead"/>
      </w:pPr>
      <w:r>
        <w:t>OCENA TRYBUNAŁU</w:t>
      </w:r>
    </w:p>
    <w:p w14:paraId="22394698" w14:textId="77777777" w:rsidR="008D7596" w:rsidRPr="00E125C8" w:rsidRDefault="008D7596" w:rsidP="00E125C8">
      <w:pPr>
        <w:pStyle w:val="JuHIRoman"/>
      </w:pPr>
      <w:r>
        <w:t>Dopuszczalność</w:t>
      </w:r>
    </w:p>
    <w:p w14:paraId="0A56076B" w14:textId="77777777" w:rsidR="008D7596" w:rsidRPr="00E125C8" w:rsidRDefault="008D7596" w:rsidP="00E125C8">
      <w:pPr>
        <w:pStyle w:val="JuHA"/>
      </w:pPr>
      <w:r>
        <w:t>Zastrzeżenia wstępne Rządu dotyczące skargi</w:t>
      </w:r>
    </w:p>
    <w:p w14:paraId="21675151" w14:textId="625E8C68" w:rsidR="008D7596" w:rsidRPr="00E125C8" w:rsidRDefault="00A51873" w:rsidP="00E125C8">
      <w:pPr>
        <w:pStyle w:val="JuPara"/>
      </w:pPr>
      <w:r>
        <w:rPr>
          <w:noProof/>
        </w:rPr>
        <w:t>16</w:t>
      </w:r>
      <w:r w:rsidR="000F540E">
        <w:t>.</w:t>
      </w:r>
      <w:r w:rsidR="00F07EF7">
        <w:t xml:space="preserve"> </w:t>
      </w:r>
      <w:r w:rsidR="000F540E">
        <w:t>Rząd twierdził, że skarga jest niedopuszczalna z</w:t>
      </w:r>
      <w:r w:rsidR="00F07EF7">
        <w:t xml:space="preserve"> </w:t>
      </w:r>
      <w:r w:rsidR="000F540E">
        <w:t>powodu niewyczerpania krajowych środków odwoławczych. Po pierwsze w trakcie osadzenia skarż</w:t>
      </w:r>
      <w:r w:rsidR="00B46C1D">
        <w:t>ący nie wnosił skarg na kontrole osobiste i</w:t>
      </w:r>
      <w:r w:rsidR="000F540E">
        <w:t xml:space="preserve"> kontrolę rozmów telefonicznych do dyrektora zakładu karnego czy sędziego penitencjarnego. Po drugie w postępowaniu cywilnym nie wniósł skargi kasacyjnej.</w:t>
      </w:r>
    </w:p>
    <w:p w14:paraId="13A741CE" w14:textId="54BC95DB" w:rsidR="008D7596" w:rsidRPr="00E125C8" w:rsidRDefault="00A51873" w:rsidP="00E125C8">
      <w:pPr>
        <w:pStyle w:val="JuPara"/>
      </w:pPr>
      <w:r>
        <w:rPr>
          <w:noProof/>
        </w:rPr>
        <w:t>17</w:t>
      </w:r>
      <w:r w:rsidR="000F540E">
        <w:t>.</w:t>
      </w:r>
      <w:r w:rsidR="00F07EF7">
        <w:t xml:space="preserve"> </w:t>
      </w:r>
      <w:r w:rsidR="000F540E">
        <w:t>W późniejszym czasie Rząd przedstawił argument, iż skargę należy uznać za niedopuszczalną z powodu nadużycia prawa do skargi, jako że w</w:t>
      </w:r>
      <w:r w:rsidR="00AE6C67">
        <w:t> </w:t>
      </w:r>
      <w:r w:rsidR="000F540E">
        <w:t>kwietniu 2019 r. przedstawicielka i ówczesna partnerka życiowa skarżącego została przyłapana na posiadaniu amfetaminy, którą - ukrytą przy sobie - wniosła do zakładu, w którym skarżący był osadzony. Zostały jej postawione zarzuty karne. Trybunał od żadnej ze stron nie otrzymał informacji o wyniku tej sprawy.</w:t>
      </w:r>
    </w:p>
    <w:p w14:paraId="12944A37" w14:textId="721A9F92" w:rsidR="008D7596" w:rsidRPr="00E125C8" w:rsidRDefault="00A51873" w:rsidP="00E125C8">
      <w:pPr>
        <w:pStyle w:val="JuPara"/>
      </w:pPr>
      <w:r>
        <w:rPr>
          <w:noProof/>
        </w:rPr>
        <w:t>18</w:t>
      </w:r>
      <w:r w:rsidR="000F540E">
        <w:t>.</w:t>
      </w:r>
      <w:r w:rsidR="00F07EF7">
        <w:t xml:space="preserve"> </w:t>
      </w:r>
      <w:r w:rsidR="000F540E">
        <w:t>Niezależnie od kwestii, czy w ramach obowiązującego prawa istniał środek, dzięki któremu skarżący mógłby wnieść skargę do sędziego penitencjarnego lub dyrektora zakładu w okresie osadzenia, Trybunał zauważa, że w odniesieniu do skarg na zdarzenia, które miały miejsce w</w:t>
      </w:r>
      <w:r w:rsidR="00B702DA">
        <w:t> </w:t>
      </w:r>
      <w:r w:rsidR="000F540E">
        <w:t xml:space="preserve">okresie osadzenia skarżącego, orzekł już, iż w przypadku, gdy skarżący zostaje zwolniony, powództwo </w:t>
      </w:r>
      <w:r w:rsidR="00B46C1D">
        <w:t xml:space="preserve">cywilne </w:t>
      </w:r>
      <w:r w:rsidR="000F540E">
        <w:t xml:space="preserve">można uznać za skuteczny środek odwoławczy na potrzeby art. 35 ust. 1 Konwencji (zob. </w:t>
      </w:r>
      <w:r w:rsidR="000F540E">
        <w:rPr>
          <w:i/>
        </w:rPr>
        <w:t>mutatis mutandis</w:t>
      </w:r>
      <w:r w:rsidR="000F540E">
        <w:t xml:space="preserve">, </w:t>
      </w:r>
      <w:r w:rsidR="000F540E">
        <w:rPr>
          <w:i/>
        </w:rPr>
        <w:t>Pustelnik przeciwko Polsce</w:t>
      </w:r>
      <w:r w:rsidR="000F540E">
        <w:t xml:space="preserve"> (</w:t>
      </w:r>
      <w:proofErr w:type="spellStart"/>
      <w:r w:rsidR="000F540E">
        <w:t>dec</w:t>
      </w:r>
      <w:proofErr w:type="spellEnd"/>
      <w:r w:rsidR="000F540E">
        <w:t>.), skarga nr 37775/09, § 42, 23 października 2012 r.).</w:t>
      </w:r>
    </w:p>
    <w:p w14:paraId="5DEFD34E" w14:textId="1808ACEC" w:rsidR="008D7596" w:rsidRPr="00E125C8" w:rsidRDefault="00A51873" w:rsidP="00E125C8">
      <w:pPr>
        <w:pStyle w:val="JuPara"/>
      </w:pPr>
      <w:r>
        <w:rPr>
          <w:noProof/>
        </w:rPr>
        <w:t>19</w:t>
      </w:r>
      <w:r w:rsidR="000F540E">
        <w:t>.</w:t>
      </w:r>
      <w:r w:rsidR="00F07EF7">
        <w:t xml:space="preserve"> </w:t>
      </w:r>
      <w:r w:rsidR="000F540E">
        <w:t>Zważywszy, że zarzuty skarżącego dotyczą jedynie lat 2010 i 2011 i</w:t>
      </w:r>
      <w:r w:rsidR="00B702DA">
        <w:t> </w:t>
      </w:r>
      <w:r w:rsidR="000F540E">
        <w:t>że</w:t>
      </w:r>
      <w:r w:rsidR="00B702DA">
        <w:t> </w:t>
      </w:r>
      <w:r w:rsidR="000F540E">
        <w:t>wniósł skargę do Trybunału w 2016 r., Trybunał wyraża przekonanie, że</w:t>
      </w:r>
      <w:r w:rsidR="00B702DA">
        <w:t> </w:t>
      </w:r>
      <w:r w:rsidR="000F540E">
        <w:t>powództwo skarżącego stanowiło skuteczny środek odwoławczy, który był dostępny i wystarczający, aby zapewnić zadośćuczynienie za podnoszone naruszenia. Ponadto w konkretnych okolicznościach sprawy Trybunał uznaje, że skarga kasacyjna w sprawie cywilnej skarżącego nie miałaby jakichkolwiek szans powodzenia. W szczególności sądy pierwszej i drugiej instancji, które rozpatrywały pozew skarżącego, jednomyślnie doszły do</w:t>
      </w:r>
      <w:r w:rsidR="00B702DA">
        <w:t> </w:t>
      </w:r>
      <w:r w:rsidR="000F540E">
        <w:t>wniosku, iż środki bezpieczeństwa, które stosowano wobec skarżącego w</w:t>
      </w:r>
      <w:r w:rsidR="00B702DA">
        <w:t> </w:t>
      </w:r>
      <w:r w:rsidR="000F540E">
        <w:t>Zakładzie Karnym w Kamińsku, były zgodne z prawem; skarżący zaś nie udowodnił, iż wyrządzono mu jakąkolwiek szkodę. Zgodnie z</w:t>
      </w:r>
      <w:r w:rsidR="00B702DA">
        <w:t> </w:t>
      </w:r>
      <w:r w:rsidR="000F540E">
        <w:t xml:space="preserve">obowiązującym prawem procesowym podstawą skargi kasacyjnej nie mogą być zarzuty dotyczące ustalenia faktów lub oceny dowodów. Sprawy </w:t>
      </w:r>
      <w:r w:rsidR="000F540E">
        <w:lastRenderedPageBreak/>
        <w:t>skarżącego nie musiał badać Sąd Najwyższy, bowiem nie występowało w</w:t>
      </w:r>
      <w:r w:rsidR="00B702DA">
        <w:t> </w:t>
      </w:r>
      <w:r w:rsidR="000F540E">
        <w:t>niej istotne zagadnienie prawne ani nie dotyczyła ona przepisów prawnych budzących poważne wątpliwości lub wywołujących rozbieżności w</w:t>
      </w:r>
      <w:r w:rsidR="00B702DA">
        <w:t> </w:t>
      </w:r>
      <w:r w:rsidR="000F540E">
        <w:t>orzecznictwie sądów krajowych.</w:t>
      </w:r>
    </w:p>
    <w:p w14:paraId="548A416F" w14:textId="16EDAECB" w:rsidR="008D7596" w:rsidRPr="00E125C8" w:rsidRDefault="00A51873" w:rsidP="00E125C8">
      <w:pPr>
        <w:pStyle w:val="JuPara"/>
      </w:pPr>
      <w:r>
        <w:rPr>
          <w:noProof/>
        </w:rPr>
        <w:t>20</w:t>
      </w:r>
      <w:r w:rsidR="000F540E">
        <w:t>.</w:t>
      </w:r>
      <w:r w:rsidR="00F07EF7">
        <w:t xml:space="preserve"> </w:t>
      </w:r>
      <w:r w:rsidR="000F540E">
        <w:t>Wreszcie Trybunał potwierdza, że skargę może odrzucić z tytułu nadużycia prawa do skargi wyłącznie w szczególnych okolicznościach (zob.</w:t>
      </w:r>
      <w:r w:rsidR="00B702DA">
        <w:t> </w:t>
      </w:r>
      <w:r w:rsidR="000F540E">
        <w:rPr>
          <w:i/>
        </w:rPr>
        <w:t xml:space="preserve">Gross przeciwko Szwajcarii </w:t>
      </w:r>
      <w:r w:rsidR="000F540E">
        <w:t>[</w:t>
      </w:r>
      <w:proofErr w:type="spellStart"/>
      <w:r w:rsidR="000F540E">
        <w:t>WI</w:t>
      </w:r>
      <w:proofErr w:type="spellEnd"/>
      <w:r w:rsidR="000F540E">
        <w:t>], skarga nr 67810/10, § 28, ETPC 2014).</w:t>
      </w:r>
    </w:p>
    <w:p w14:paraId="56FD20F4" w14:textId="6C7F2422" w:rsidR="008D7596" w:rsidRPr="00E125C8" w:rsidRDefault="00A51873" w:rsidP="00E125C8">
      <w:pPr>
        <w:pStyle w:val="JuPara"/>
      </w:pPr>
      <w:r>
        <w:rPr>
          <w:noProof/>
        </w:rPr>
        <w:t>21</w:t>
      </w:r>
      <w:r w:rsidR="000F540E">
        <w:t>.</w:t>
      </w:r>
      <w:r w:rsidR="00F07EF7">
        <w:t xml:space="preserve"> </w:t>
      </w:r>
      <w:r w:rsidR="000F540E">
        <w:t>Uwzględniając własne orzecznictwo</w:t>
      </w:r>
      <w:r w:rsidR="00923DFD">
        <w:t>,</w:t>
      </w:r>
      <w:r w:rsidR="000F540E">
        <w:t xml:space="preserve"> Trybunał nie znajduje podstaw, aby uznać, że niniejszą skargę wniesiono z naruszeniem prawa do skargi w</w:t>
      </w:r>
      <w:r w:rsidR="00B702DA">
        <w:t> </w:t>
      </w:r>
      <w:r w:rsidR="000F540E">
        <w:t>rozumieniu art. 35 ust. 3 lit. a Konwencji.</w:t>
      </w:r>
    </w:p>
    <w:p w14:paraId="47E6247B" w14:textId="6A009B36" w:rsidR="008D7596" w:rsidRPr="00E125C8" w:rsidRDefault="00A51873" w:rsidP="00E125C8">
      <w:pPr>
        <w:pStyle w:val="JuPara"/>
      </w:pPr>
      <w:r>
        <w:rPr>
          <w:noProof/>
        </w:rPr>
        <w:t>22</w:t>
      </w:r>
      <w:r w:rsidR="000F540E">
        <w:t>.</w:t>
      </w:r>
      <w:r w:rsidR="00F07EF7">
        <w:t xml:space="preserve"> </w:t>
      </w:r>
      <w:r w:rsidR="000F540E">
        <w:t>W związku z tym zastrzeżenia wstępne Rządu należy oddalić.</w:t>
      </w:r>
    </w:p>
    <w:p w14:paraId="6312557A" w14:textId="77777777" w:rsidR="008D7596" w:rsidRPr="00E125C8" w:rsidRDefault="008D7596" w:rsidP="00E125C8">
      <w:pPr>
        <w:pStyle w:val="JuHA"/>
      </w:pPr>
      <w:r>
        <w:t>Zarzut na podstawie art. 3 Konwencji dotyczący kontroli osobistych</w:t>
      </w:r>
    </w:p>
    <w:p w14:paraId="51661E82" w14:textId="411A3251" w:rsidR="008D7596" w:rsidRPr="00E125C8" w:rsidRDefault="00A51873" w:rsidP="00E125C8">
      <w:pPr>
        <w:pStyle w:val="JuPara"/>
      </w:pPr>
      <w:r>
        <w:rPr>
          <w:noProof/>
        </w:rPr>
        <w:t>23</w:t>
      </w:r>
      <w:r w:rsidR="000F540E">
        <w:t>.</w:t>
      </w:r>
      <w:r w:rsidR="00F07EF7">
        <w:t xml:space="preserve"> </w:t>
      </w:r>
      <w:r w:rsidR="000F540E">
        <w:t xml:space="preserve">Ogólne zasady dotyczące art. 3 oraz minimalnego poziomu niewłaściwego traktowania w kontekście kontroli osobistej więźniów zostały określone w wyroku w sprawie </w:t>
      </w:r>
      <w:proofErr w:type="spellStart"/>
      <w:r w:rsidR="000F540E">
        <w:rPr>
          <w:i/>
        </w:rPr>
        <w:t>Dejnek</w:t>
      </w:r>
      <w:proofErr w:type="spellEnd"/>
      <w:r w:rsidR="000F540E">
        <w:rPr>
          <w:i/>
        </w:rPr>
        <w:t xml:space="preserve"> przeciwko Polsce</w:t>
      </w:r>
      <w:r w:rsidR="000F540E">
        <w:t>, nr 9635/13, §§ 59-60, 1</w:t>
      </w:r>
      <w:r w:rsidR="00F07EF7">
        <w:t xml:space="preserve"> </w:t>
      </w:r>
      <w:r w:rsidR="000F540E">
        <w:t>czerwca 2017 r.</w:t>
      </w:r>
    </w:p>
    <w:p w14:paraId="55AD3E5D" w14:textId="440F0437" w:rsidR="008D7596" w:rsidRPr="00E125C8" w:rsidRDefault="00A51873" w:rsidP="00E125C8">
      <w:pPr>
        <w:pStyle w:val="JuPara"/>
      </w:pPr>
      <w:r>
        <w:rPr>
          <w:noProof/>
        </w:rPr>
        <w:t>24</w:t>
      </w:r>
      <w:r w:rsidR="000F540E">
        <w:t>.</w:t>
      </w:r>
      <w:r w:rsidR="00F07EF7">
        <w:t xml:space="preserve"> </w:t>
      </w:r>
      <w:r w:rsidR="000F540E">
        <w:t xml:space="preserve">Trybunał zauważa, że skarżący nie został sklasyfikowany jako więzień niebezpieczny i jako taki nie był poddawany żadnym innym środkom bezpieczeństwa poza kontrolą pobieżną i osobistą (zob. paragrafy 2 i 4 powyżej, por. </w:t>
      </w:r>
      <w:r w:rsidR="000F540E">
        <w:rPr>
          <w:i/>
        </w:rPr>
        <w:t>Piechowicz przeciwko Polsce</w:t>
      </w:r>
      <w:r w:rsidR="000F540E">
        <w:t>, skarga nr 20071/07, §§ 73-77, 17 kwietnia [</w:t>
      </w:r>
      <w:r w:rsidR="000F540E">
        <w:rPr>
          <w:i/>
          <w:iCs/>
        </w:rPr>
        <w:t>2012 r.</w:t>
      </w:r>
      <w:r w:rsidR="000F540E">
        <w:t xml:space="preserve">]; czy </w:t>
      </w:r>
      <w:r w:rsidR="000F540E">
        <w:rPr>
          <w:i/>
        </w:rPr>
        <w:t>Bechta przeciwko Polsce</w:t>
      </w:r>
      <w:r w:rsidR="000F540E">
        <w:t>, skarga nr 39496/17, §</w:t>
      </w:r>
      <w:r w:rsidR="00B702DA">
        <w:t> </w:t>
      </w:r>
      <w:r w:rsidR="000F540E">
        <w:t xml:space="preserve">32, 20 maja 2021 r.). Skarżący nie był traktowany w sposób arbitralny, ponieważ władze działały w oparciu o podejrzenie, iż przemycał substancje psychotropowe (zob. paragrafy 33 i 34 poniżej; por. </w:t>
      </w:r>
      <w:proofErr w:type="spellStart"/>
      <w:r w:rsidR="000F540E">
        <w:rPr>
          <w:i/>
        </w:rPr>
        <w:t>Roth</w:t>
      </w:r>
      <w:proofErr w:type="spellEnd"/>
      <w:r w:rsidR="000F540E">
        <w:rPr>
          <w:i/>
        </w:rPr>
        <w:t xml:space="preserve"> przeciwko Niemcom</w:t>
      </w:r>
      <w:r w:rsidR="000F540E">
        <w:t>, skargi nr 6780/18 i 30776/18, § 70, 22 października 2020</w:t>
      </w:r>
      <w:r w:rsidR="00F07EF7">
        <w:t xml:space="preserve"> </w:t>
      </w:r>
      <w:r w:rsidR="000F540E">
        <w:t xml:space="preserve">r.). Oględzin ciała dokonywali funkcjonariusze płci męskiej, w miejscu ustronnym, bez dotykania czy obrażania skarżącego (zob. paragraf 7 powyżej, por. </w:t>
      </w:r>
      <w:proofErr w:type="spellStart"/>
      <w:r w:rsidR="000F540E">
        <w:rPr>
          <w:i/>
        </w:rPr>
        <w:t>Valašinas</w:t>
      </w:r>
      <w:proofErr w:type="spellEnd"/>
      <w:r w:rsidR="000F540E">
        <w:rPr>
          <w:i/>
        </w:rPr>
        <w:t xml:space="preserve"> przeciwko Litwie</w:t>
      </w:r>
      <w:r w:rsidR="000F540E">
        <w:t xml:space="preserve">, skarga nr 44558/98, § 26, ETPC 2001-VIII czy </w:t>
      </w:r>
      <w:r w:rsidR="000F540E">
        <w:rPr>
          <w:i/>
        </w:rPr>
        <w:t xml:space="preserve">El </w:t>
      </w:r>
      <w:proofErr w:type="spellStart"/>
      <w:r w:rsidR="000F540E">
        <w:rPr>
          <w:i/>
        </w:rPr>
        <w:t>Shennawy</w:t>
      </w:r>
      <w:proofErr w:type="spellEnd"/>
      <w:r w:rsidR="000F540E">
        <w:rPr>
          <w:i/>
        </w:rPr>
        <w:t xml:space="preserve"> przeciwko Francji</w:t>
      </w:r>
      <w:r w:rsidR="000F540E">
        <w:t>, skarga nr 51246/08, §§ 43-46, 20 stycznia 2011 r.). Trybunał wnioskuje zatem, że nie ma podstawy do</w:t>
      </w:r>
      <w:r w:rsidR="00B702DA">
        <w:t> </w:t>
      </w:r>
      <w:r w:rsidR="000F540E">
        <w:t xml:space="preserve">uznania, </w:t>
      </w:r>
      <w:r w:rsidR="008F018D">
        <w:t>że</w:t>
      </w:r>
      <w:r w:rsidR="000F540E">
        <w:t xml:space="preserve"> kontrole osobiste </w:t>
      </w:r>
      <w:r w:rsidR="008F018D">
        <w:t>–</w:t>
      </w:r>
      <w:r w:rsidR="000F540E">
        <w:t xml:space="preserve"> same w sobie i pomimo częstego ich</w:t>
      </w:r>
      <w:r w:rsidR="00B702DA">
        <w:t> </w:t>
      </w:r>
      <w:r w:rsidR="000F540E">
        <w:t xml:space="preserve">powtarzania </w:t>
      </w:r>
      <w:r w:rsidR="008F018D">
        <w:t>–</w:t>
      </w:r>
      <w:r w:rsidR="000F540E">
        <w:t xml:space="preserve"> miały w sobie element traktowania w sposób poniżający lub upokarzający, osiągającego minimalny poziom dotkliwości niezbędny do</w:t>
      </w:r>
      <w:r w:rsidR="00B702DA">
        <w:t> </w:t>
      </w:r>
      <w:r w:rsidR="000F540E">
        <w:t xml:space="preserve">objęcia </w:t>
      </w:r>
      <w:r w:rsidR="00502A59">
        <w:t xml:space="preserve">ich </w:t>
      </w:r>
      <w:r w:rsidR="000F540E">
        <w:t xml:space="preserve">zakresem art. 3 Konwencji (zob. </w:t>
      </w:r>
      <w:r w:rsidR="000F540E">
        <w:rPr>
          <w:i/>
        </w:rPr>
        <w:t>mutatis mutandis</w:t>
      </w:r>
      <w:r w:rsidR="000F540E">
        <w:t xml:space="preserve">, </w:t>
      </w:r>
      <w:proofErr w:type="spellStart"/>
      <w:r w:rsidR="000F540E">
        <w:rPr>
          <w:i/>
        </w:rPr>
        <w:t>Dejnek</w:t>
      </w:r>
      <w:proofErr w:type="spellEnd"/>
      <w:r w:rsidR="000F540E">
        <w:t>, cyt.</w:t>
      </w:r>
      <w:r w:rsidR="00B702DA">
        <w:t> </w:t>
      </w:r>
      <w:r w:rsidR="000F540E">
        <w:t xml:space="preserve">powyżej, §§ 64-65 oraz </w:t>
      </w:r>
      <w:r w:rsidR="000F540E">
        <w:rPr>
          <w:i/>
        </w:rPr>
        <w:t>S.J. przeciwko Luksemburgowi (nr 2)</w:t>
      </w:r>
      <w:r w:rsidR="000F540E">
        <w:t>, skarga nr</w:t>
      </w:r>
      <w:r w:rsidR="00B702DA">
        <w:t> </w:t>
      </w:r>
      <w:r w:rsidR="000F540E">
        <w:t xml:space="preserve">47229/12, §§ 56-62, 31 października 2013 r.; por. </w:t>
      </w:r>
      <w:r w:rsidR="000F540E">
        <w:rPr>
          <w:i/>
        </w:rPr>
        <w:t>Iwańczuk przeciwko Polsce</w:t>
      </w:r>
      <w:r w:rsidR="000F540E">
        <w:t>, skarga nr 25196/94, § 57, 15</w:t>
      </w:r>
      <w:r w:rsidR="00F07EF7">
        <w:t xml:space="preserve"> </w:t>
      </w:r>
      <w:r w:rsidR="000F540E">
        <w:t xml:space="preserve">listopada 2001 r.; </w:t>
      </w:r>
      <w:proofErr w:type="spellStart"/>
      <w:r w:rsidR="000F540E">
        <w:rPr>
          <w:i/>
        </w:rPr>
        <w:t>Valašinas</w:t>
      </w:r>
      <w:proofErr w:type="spellEnd"/>
      <w:r w:rsidR="000F540E">
        <w:rPr>
          <w:i/>
        </w:rPr>
        <w:t xml:space="preserve">, </w:t>
      </w:r>
      <w:r w:rsidR="000F540E">
        <w:t>cyt</w:t>
      </w:r>
      <w:r w:rsidR="00B702DA">
        <w:t>. </w:t>
      </w:r>
      <w:r w:rsidR="000F540E">
        <w:t>powyżej, §§</w:t>
      </w:r>
      <w:r w:rsidR="00F07EF7">
        <w:t xml:space="preserve"> </w:t>
      </w:r>
      <w:r w:rsidR="000F540E">
        <w:t>116-[</w:t>
      </w:r>
      <w:r w:rsidR="000F540E">
        <w:rPr>
          <w:i/>
          <w:iCs/>
        </w:rPr>
        <w:t>1</w:t>
      </w:r>
      <w:r w:rsidR="000F540E">
        <w:t xml:space="preserve">]18; </w:t>
      </w:r>
      <w:proofErr w:type="spellStart"/>
      <w:r w:rsidR="000F540E">
        <w:rPr>
          <w:i/>
        </w:rPr>
        <w:t>Roth</w:t>
      </w:r>
      <w:proofErr w:type="spellEnd"/>
      <w:r w:rsidR="000F540E">
        <w:t xml:space="preserve">, cyt. powyżej, § 72; </w:t>
      </w:r>
      <w:r w:rsidR="000F540E">
        <w:rPr>
          <w:i/>
        </w:rPr>
        <w:t xml:space="preserve">Bechta, </w:t>
      </w:r>
      <w:r w:rsidR="000F540E">
        <w:t>cyt. powyżej,</w:t>
      </w:r>
      <w:r w:rsidR="000F540E">
        <w:rPr>
          <w:i/>
        </w:rPr>
        <w:t xml:space="preserve"> </w:t>
      </w:r>
      <w:r w:rsidR="000F540E">
        <w:t>§</w:t>
      </w:r>
      <w:r w:rsidR="00F07EF7">
        <w:t xml:space="preserve"> </w:t>
      </w:r>
      <w:r w:rsidR="000F540E">
        <w:t>33).</w:t>
      </w:r>
    </w:p>
    <w:p w14:paraId="723E4728" w14:textId="3DCF207C" w:rsidR="008D7596" w:rsidRPr="00E125C8" w:rsidRDefault="008D7596" w:rsidP="00E125C8">
      <w:pPr>
        <w:pStyle w:val="JuHA"/>
      </w:pPr>
      <w:r>
        <w:lastRenderedPageBreak/>
        <w:t>Zarzut dotyczący kontroli rozmów telefonicznych skarżącego na</w:t>
      </w:r>
      <w:r w:rsidR="00B702DA">
        <w:t> </w:t>
      </w:r>
      <w:r>
        <w:t>podstawie art. 8 Konwencji</w:t>
      </w:r>
    </w:p>
    <w:p w14:paraId="5A3CAD69" w14:textId="74932EBE" w:rsidR="008D7596" w:rsidRPr="00E125C8" w:rsidRDefault="00A51873" w:rsidP="00E125C8">
      <w:pPr>
        <w:pStyle w:val="JuPara"/>
      </w:pPr>
      <w:r>
        <w:rPr>
          <w:noProof/>
        </w:rPr>
        <w:t>25</w:t>
      </w:r>
      <w:r w:rsidR="000F540E">
        <w:t>.</w:t>
      </w:r>
      <w:r w:rsidR="00F07EF7">
        <w:t xml:space="preserve"> </w:t>
      </w:r>
      <w:r w:rsidR="00502A59">
        <w:t>Z</w:t>
      </w:r>
      <w:r w:rsidR="000F540E">
        <w:t xml:space="preserve">asady </w:t>
      </w:r>
      <w:r w:rsidR="00502A59">
        <w:t xml:space="preserve">ogólne </w:t>
      </w:r>
      <w:r w:rsidR="000F540E">
        <w:t xml:space="preserve">dotyczące art. 8 i kontroli rozmów telefonicznych więźniów zostały określone w wyroku w sprawie </w:t>
      </w:r>
      <w:proofErr w:type="spellStart"/>
      <w:r w:rsidR="000F540E">
        <w:rPr>
          <w:i/>
        </w:rPr>
        <w:t>Lebois</w:t>
      </w:r>
      <w:proofErr w:type="spellEnd"/>
      <w:r w:rsidR="000F540E">
        <w:rPr>
          <w:i/>
        </w:rPr>
        <w:t xml:space="preserve"> przeciwko Bułgarii</w:t>
      </w:r>
      <w:r w:rsidR="000F540E">
        <w:t>, skarga nr</w:t>
      </w:r>
      <w:r w:rsidR="00F07EF7">
        <w:t xml:space="preserve"> </w:t>
      </w:r>
      <w:r w:rsidR="000F540E">
        <w:t>67482/14, §§</w:t>
      </w:r>
      <w:r w:rsidR="00F07EF7">
        <w:t xml:space="preserve"> </w:t>
      </w:r>
      <w:r w:rsidR="000F540E">
        <w:t>61-62, 19</w:t>
      </w:r>
      <w:r w:rsidR="00F07EF7">
        <w:t xml:space="preserve"> </w:t>
      </w:r>
      <w:r w:rsidR="000F540E">
        <w:t>października 2017 r.</w:t>
      </w:r>
    </w:p>
    <w:p w14:paraId="64D573ED" w14:textId="5F1AE001" w:rsidR="008D7596" w:rsidRPr="00E125C8" w:rsidRDefault="00A51873" w:rsidP="00E125C8">
      <w:pPr>
        <w:pStyle w:val="JuPara"/>
      </w:pPr>
      <w:r>
        <w:rPr>
          <w:noProof/>
        </w:rPr>
        <w:t>26</w:t>
      </w:r>
      <w:r w:rsidR="00E125C8">
        <w:t>.</w:t>
      </w:r>
      <w:r w:rsidR="00F07EF7">
        <w:t xml:space="preserve"> </w:t>
      </w:r>
      <w:r w:rsidR="00E125C8">
        <w:t>Kontrola prywatnych rozmów telefonicznych skarżącego w okresie, w</w:t>
      </w:r>
      <w:r w:rsidR="00B702DA">
        <w:t> </w:t>
      </w:r>
      <w:r w:rsidR="00E125C8">
        <w:t>którym odbywał kary pozbawienia wolności w Zakładzie Karnym w</w:t>
      </w:r>
      <w:r w:rsidR="00B702DA">
        <w:t> </w:t>
      </w:r>
      <w:r w:rsidR="00E125C8">
        <w:t>Kamińsku</w:t>
      </w:r>
      <w:r w:rsidR="00502A59">
        <w:t>,</w:t>
      </w:r>
      <w:r w:rsidR="00E125C8">
        <w:t xml:space="preserve"> stanowiła ingerencję w jego „życie prywatne” i</w:t>
      </w:r>
      <w:r w:rsidR="00B702DA">
        <w:t> </w:t>
      </w:r>
      <w:r w:rsidR="00E125C8">
        <w:t xml:space="preserve">„korespondencję” w rozumieniu art. 8 Konwencji (zob. </w:t>
      </w:r>
      <w:r w:rsidR="00E125C8">
        <w:rPr>
          <w:i/>
        </w:rPr>
        <w:t>mutatis mutandis</w:t>
      </w:r>
      <w:r w:rsidR="00E125C8">
        <w:t xml:space="preserve">, </w:t>
      </w:r>
      <w:proofErr w:type="spellStart"/>
      <w:r w:rsidR="00E125C8">
        <w:rPr>
          <w:i/>
        </w:rPr>
        <w:t>Lebois</w:t>
      </w:r>
      <w:proofErr w:type="spellEnd"/>
      <w:r w:rsidR="00E125C8">
        <w:t xml:space="preserve">, cyt. powyżej, §§ 63-64). Środek ten miał podstawę w prawie krajowym (art. 90, 105 i 242 § 10 </w:t>
      </w:r>
      <w:r w:rsidR="00502A59">
        <w:t xml:space="preserve">Kodeksu </w:t>
      </w:r>
      <w:r w:rsidR="00E125C8">
        <w:t>karnego wykonawczego) i był stosowany w celu zapobiegania popełnianiu przez więźniów dalszych przestępstw, jak też utrzymywania porządku w zakładzie karnym.</w:t>
      </w:r>
    </w:p>
    <w:p w14:paraId="6BCD42AE" w14:textId="06A64424" w:rsidR="008D7596" w:rsidRPr="00E125C8" w:rsidRDefault="00A51873" w:rsidP="00E125C8">
      <w:pPr>
        <w:pStyle w:val="JuPara"/>
      </w:pPr>
      <w:r>
        <w:rPr>
          <w:noProof/>
        </w:rPr>
        <w:t>27</w:t>
      </w:r>
      <w:r w:rsidR="000F540E">
        <w:t>.</w:t>
      </w:r>
      <w:r w:rsidR="00F07EF7">
        <w:t xml:space="preserve"> </w:t>
      </w:r>
      <w:r w:rsidR="000F540E">
        <w:t xml:space="preserve">Trybunał podkreśla, że obowiązujące prawo (w szczególności art. 90 </w:t>
      </w:r>
      <w:r w:rsidR="00502A59">
        <w:t xml:space="preserve">Kodeksu </w:t>
      </w:r>
      <w:r w:rsidR="000F540E">
        <w:t xml:space="preserve">karnego wykonawczego) wyraźnie określa praktykę kontroli rozmów telefonicznych więźniów w zakładach karnych typu zamkniętego. Zakład w Kamińsku był zakładem karnym typu zamkniętego i obowiązywał w nim odpowiedni reżim bezpieczeństwa, uwzględniający kontrolę rozmów telefonicznych z wykorzystaniem urządzeń zainstalowanych w gabinecie </w:t>
      </w:r>
      <w:r w:rsidR="00502A59">
        <w:t xml:space="preserve">oficera </w:t>
      </w:r>
      <w:r w:rsidR="000F540E">
        <w:t>dyżurnego. Niezależnie od tego, czy skarżącego oficjalnie poinformowano o praktyce blankietowej kontroli prywatnych rozmów telefonicznych w chwili pierwszego przyjęcia do Zakładu Karnego w</w:t>
      </w:r>
      <w:r w:rsidR="00B702DA">
        <w:t> </w:t>
      </w:r>
      <w:r w:rsidR="000F540E">
        <w:t xml:space="preserve">Kamińsku (zob. paragraf 9 powyżej), z pewnością dowiedział się o niej niewiele później. Skarżący był zatem w stanie kontrolować swoje zachowanie (por. </w:t>
      </w:r>
      <w:r w:rsidR="000F540E">
        <w:rPr>
          <w:i/>
        </w:rPr>
        <w:t>mutatis mutandis,</w:t>
      </w:r>
      <w:r w:rsidR="000F540E">
        <w:t xml:space="preserve"> </w:t>
      </w:r>
      <w:proofErr w:type="spellStart"/>
      <w:r w:rsidR="000F540E">
        <w:rPr>
          <w:i/>
        </w:rPr>
        <w:t>Doerga</w:t>
      </w:r>
      <w:proofErr w:type="spellEnd"/>
      <w:r w:rsidR="000F540E">
        <w:rPr>
          <w:i/>
        </w:rPr>
        <w:t xml:space="preserve"> przeciwko Niderlandom</w:t>
      </w:r>
      <w:r w:rsidR="000F540E">
        <w:t>, skarga nr</w:t>
      </w:r>
      <w:r w:rsidR="00F07EF7">
        <w:t xml:space="preserve"> </w:t>
      </w:r>
      <w:r w:rsidR="000F540E">
        <w:t>50210/99, § 52, 27 kwietnia 2004 r.). System kontroli był wymagany ze</w:t>
      </w:r>
      <w:r w:rsidR="00B702DA">
        <w:t> </w:t>
      </w:r>
      <w:r w:rsidR="000F540E">
        <w:t>względu na to, że w zakładzie karnym osadzeni byli recydywiści, przestępcy z negatywną prognozą kryminologiczną i więźniowie z</w:t>
      </w:r>
      <w:r w:rsidR="00B702DA">
        <w:t> </w:t>
      </w:r>
      <w:r w:rsidR="000F540E">
        <w:t>uzależnieniami. Skarżący w przeszłości był uzależniony od środków odurzających; w drugim okresie osadzenia, który jest przedmiotem niniejszej skargi, został również sklasyfikowany jako recydywista (zob. paragrafy 3 i 4 powyżej). Decyzję o skierowaniu go do Zakładu Karnego w Kamińsku podjęła komisja penitencjarna po ocenie indywidualnej. W zakładzie karnym skarżący był poddany ściślejszemu nadzorowi z uwagi na zachowanie i</w:t>
      </w:r>
      <w:r w:rsidR="00B702DA">
        <w:t> </w:t>
      </w:r>
      <w:r w:rsidR="000F540E">
        <w:t>podejrzenie popełniania czynów zabronionych, a mianowicie polecania, aby</w:t>
      </w:r>
      <w:r w:rsidR="00B702DA">
        <w:t> </w:t>
      </w:r>
      <w:r w:rsidR="000F540E">
        <w:t>osoby widujące go w zakładzie przynosiły mu leki lub środki odurzające (zob. paragrafy 17 i 33 poniżej). Niezależnie od powyższego, art. 8 sam w</w:t>
      </w:r>
      <w:r w:rsidR="00B702DA">
        <w:t> </w:t>
      </w:r>
      <w:r w:rsidR="000F540E">
        <w:t>sobie nie gwarantuje prawa do rozmów telefonicznych i dopuszcza możliwość ograniczania ewentualnych środków komunikacji ze względu na</w:t>
      </w:r>
      <w:r w:rsidR="00B702DA">
        <w:t> </w:t>
      </w:r>
      <w:r w:rsidR="000F540E">
        <w:t xml:space="preserve">zwykłe i uzasadnione wymogi odbywania kary pozbawienia wolności (zob. </w:t>
      </w:r>
      <w:proofErr w:type="spellStart"/>
      <w:r w:rsidR="000F540E">
        <w:rPr>
          <w:i/>
        </w:rPr>
        <w:t>Lebois</w:t>
      </w:r>
      <w:proofErr w:type="spellEnd"/>
      <w:r w:rsidR="000F540E">
        <w:t xml:space="preserve">, cyt. powyżej, § 61; </w:t>
      </w:r>
      <w:proofErr w:type="spellStart"/>
      <w:r w:rsidR="000F540E">
        <w:rPr>
          <w:i/>
        </w:rPr>
        <w:t>A.B</w:t>
      </w:r>
      <w:proofErr w:type="spellEnd"/>
      <w:r w:rsidR="000F540E">
        <w:rPr>
          <w:i/>
        </w:rPr>
        <w:t>. przeciwko Niderlandom</w:t>
      </w:r>
      <w:r w:rsidR="000F540E">
        <w:t>, skarga nr</w:t>
      </w:r>
      <w:r w:rsidR="00B702DA">
        <w:t> </w:t>
      </w:r>
      <w:r w:rsidR="000F540E">
        <w:t xml:space="preserve">37328/97, §§ 92-93, 29 stycznia 2002 r. oraz </w:t>
      </w:r>
      <w:r w:rsidR="000F540E">
        <w:rPr>
          <w:i/>
        </w:rPr>
        <w:t>Ciszewski przeciwko Polsce</w:t>
      </w:r>
      <w:r w:rsidR="000F540E">
        <w:t xml:space="preserve"> (</w:t>
      </w:r>
      <w:proofErr w:type="spellStart"/>
      <w:r w:rsidR="000F540E">
        <w:t>dec</w:t>
      </w:r>
      <w:proofErr w:type="spellEnd"/>
      <w:r w:rsidR="000F540E">
        <w:t>.), skarga nr 38668/97, 6 stycznia 2004 r.</w:t>
      </w:r>
      <w:r w:rsidR="00BE0AB1">
        <w:t>).</w:t>
      </w:r>
      <w:r w:rsidR="000F540E">
        <w:t xml:space="preserve"> Podobne podejście przyjęto </w:t>
      </w:r>
      <w:r w:rsidR="000F540E">
        <w:lastRenderedPageBreak/>
        <w:t>w</w:t>
      </w:r>
      <w:r w:rsidR="00B702DA">
        <w:t> </w:t>
      </w:r>
      <w:r w:rsidR="000F540E">
        <w:t xml:space="preserve">Zaleceniu </w:t>
      </w:r>
      <w:proofErr w:type="spellStart"/>
      <w:r w:rsidR="000F540E">
        <w:t>Rec</w:t>
      </w:r>
      <w:proofErr w:type="spellEnd"/>
      <w:r w:rsidR="000F540E">
        <w:t>(2006)2 Komitetu Ministrów do państw członkowskich Rady Europy w sprawie Europejskich Reguł Więziennych (11 stycznia 2006</w:t>
      </w:r>
      <w:r w:rsidR="00B702DA">
        <w:t> </w:t>
      </w:r>
      <w:r w:rsidR="000F540E">
        <w:t xml:space="preserve">r.), w paragrafie 24.2. Bezsporne jest, że skarżący był w stanie porozumiewać się z osobami ze swojego kręgu prywatnego lub rodzinnego także za pomocą środków innych niż rozmowy telefoniczne. W obliczu wszystkich tych kwestii, Trybunał stwierdza, iż w bardzo szczególnych okolicznościach niniejszej sprawy ingerencja w </w:t>
      </w:r>
      <w:r w:rsidR="00BE0AB1">
        <w:t xml:space="preserve">jego prawa chronione przez </w:t>
      </w:r>
      <w:r w:rsidR="000F540E">
        <w:t xml:space="preserve">art. 8 była uzasadniona i proporcjonalna (zob. </w:t>
      </w:r>
      <w:r w:rsidR="000F540E">
        <w:rPr>
          <w:i/>
        </w:rPr>
        <w:t>Ciszewski</w:t>
      </w:r>
      <w:r w:rsidR="000F540E">
        <w:t>,</w:t>
      </w:r>
      <w:r w:rsidR="000F540E">
        <w:rPr>
          <w:i/>
        </w:rPr>
        <w:t xml:space="preserve"> </w:t>
      </w:r>
      <w:r w:rsidR="000F540E">
        <w:t>cyt. powyżej; por.,</w:t>
      </w:r>
      <w:r w:rsidR="00B702DA">
        <w:t> </w:t>
      </w:r>
      <w:r w:rsidR="000F540E">
        <w:rPr>
          <w:i/>
        </w:rPr>
        <w:t>mutatis mutandis</w:t>
      </w:r>
      <w:r w:rsidR="000F540E">
        <w:t xml:space="preserve">, </w:t>
      </w:r>
      <w:proofErr w:type="spellStart"/>
      <w:r w:rsidR="000F540E">
        <w:rPr>
          <w:i/>
        </w:rPr>
        <w:t>Nusret</w:t>
      </w:r>
      <w:proofErr w:type="spellEnd"/>
      <w:r w:rsidR="00F07EF7">
        <w:rPr>
          <w:i/>
        </w:rPr>
        <w:t xml:space="preserve"> </w:t>
      </w:r>
      <w:proofErr w:type="spellStart"/>
      <w:r w:rsidR="000F540E">
        <w:rPr>
          <w:i/>
        </w:rPr>
        <w:t>Kaya</w:t>
      </w:r>
      <w:proofErr w:type="spellEnd"/>
      <w:r w:rsidR="000F540E">
        <w:rPr>
          <w:i/>
        </w:rPr>
        <w:t xml:space="preserve"> i Inni przeciwko Turcji</w:t>
      </w:r>
      <w:r w:rsidR="000F540E">
        <w:t>, nr 43750/06 i</w:t>
      </w:r>
      <w:r w:rsidR="00B702DA">
        <w:t> </w:t>
      </w:r>
      <w:r w:rsidR="000F540E">
        <w:t>cztery inne, §</w:t>
      </w:r>
      <w:r w:rsidR="00F07EF7">
        <w:t xml:space="preserve"> </w:t>
      </w:r>
      <w:r w:rsidR="000F540E">
        <w:t>36, ETPC</w:t>
      </w:r>
      <w:r w:rsidR="00F07EF7">
        <w:t xml:space="preserve"> </w:t>
      </w:r>
      <w:r w:rsidR="000F540E">
        <w:t>2014 (fragmenty)).</w:t>
      </w:r>
    </w:p>
    <w:p w14:paraId="3C840984" w14:textId="77777777" w:rsidR="008D7596" w:rsidRPr="00E125C8" w:rsidRDefault="008D7596" w:rsidP="00E125C8">
      <w:pPr>
        <w:pStyle w:val="JuHA"/>
      </w:pPr>
      <w:r>
        <w:t>Wnioski w przedmiocie dopuszczalności</w:t>
      </w:r>
    </w:p>
    <w:p w14:paraId="306DF3FB" w14:textId="69DFE271" w:rsidR="008D7596" w:rsidRPr="00E125C8" w:rsidRDefault="00A51873" w:rsidP="00E125C8">
      <w:pPr>
        <w:pStyle w:val="JuPara"/>
      </w:pPr>
      <w:r>
        <w:rPr>
          <w:noProof/>
        </w:rPr>
        <w:t>28</w:t>
      </w:r>
      <w:r w:rsidR="000F540E">
        <w:t>.</w:t>
      </w:r>
      <w:r w:rsidR="00F07EF7">
        <w:t xml:space="preserve"> </w:t>
      </w:r>
      <w:r w:rsidR="000F540E">
        <w:t>W świetle powyższych rozważań zarzuty skarżącego na podstawie art</w:t>
      </w:r>
      <w:r w:rsidR="00BE0AB1">
        <w:t>.</w:t>
      </w:r>
      <w:r w:rsidR="00B702DA">
        <w:t> </w:t>
      </w:r>
      <w:r w:rsidR="00BE0AB1">
        <w:t>3 dotyczące kontroli osobistych</w:t>
      </w:r>
      <w:r w:rsidR="000F540E">
        <w:t xml:space="preserve"> i na podstawie art. 8 w odniesieniu do</w:t>
      </w:r>
      <w:r w:rsidR="00B702DA">
        <w:t> </w:t>
      </w:r>
      <w:r w:rsidR="000F540E">
        <w:t>kontroli rozmów telefonicznych są w sposób oczywisty nieuzasadnione w</w:t>
      </w:r>
      <w:r w:rsidR="00B702DA">
        <w:t> </w:t>
      </w:r>
      <w:r w:rsidR="000F540E">
        <w:t>rozumieniu art. 35 ust. 3 lit. a Konwencji i dlatego muszą zostać uznane za</w:t>
      </w:r>
      <w:r w:rsidR="00B702DA">
        <w:t> </w:t>
      </w:r>
      <w:r w:rsidR="000F540E">
        <w:t>niedopuszczalne.</w:t>
      </w:r>
    </w:p>
    <w:p w14:paraId="0535B4A9" w14:textId="2CAC87E6" w:rsidR="008D7596" w:rsidRPr="00E125C8" w:rsidRDefault="00A51873" w:rsidP="00E125C8">
      <w:pPr>
        <w:pStyle w:val="JuPara"/>
      </w:pPr>
      <w:r>
        <w:rPr>
          <w:noProof/>
        </w:rPr>
        <w:t>29</w:t>
      </w:r>
      <w:r w:rsidR="000F540E">
        <w:t>.</w:t>
      </w:r>
      <w:r w:rsidR="00F07EF7">
        <w:t xml:space="preserve"> </w:t>
      </w:r>
      <w:r w:rsidR="000F540E">
        <w:t>Zarzut skarżącego na podstawie art. 8 dotyczący kontroli osobistych nie jest w</w:t>
      </w:r>
      <w:r w:rsidR="00F07EF7">
        <w:t xml:space="preserve"> </w:t>
      </w:r>
      <w:r w:rsidR="000F540E">
        <w:t>sposób oczywisty nieuzasadniony w rozumieniu art.</w:t>
      </w:r>
      <w:r w:rsidR="00F07EF7">
        <w:t xml:space="preserve"> </w:t>
      </w:r>
      <w:r w:rsidR="000F540E">
        <w:t>35 ust.</w:t>
      </w:r>
      <w:r w:rsidR="00F07EF7">
        <w:t xml:space="preserve"> </w:t>
      </w:r>
      <w:r w:rsidR="000F540E">
        <w:t>3 lit.</w:t>
      </w:r>
      <w:r w:rsidR="00F07EF7">
        <w:t xml:space="preserve"> </w:t>
      </w:r>
      <w:r w:rsidR="000F540E">
        <w:t>a Konwencji ani nie jest niedopuszczalny z innych względów. Należy go zatem uznać za dopuszczalny.</w:t>
      </w:r>
    </w:p>
    <w:p w14:paraId="78606E04" w14:textId="6655B16F" w:rsidR="008D7596" w:rsidRPr="00E125C8" w:rsidRDefault="00BE0AB1" w:rsidP="00E125C8">
      <w:pPr>
        <w:pStyle w:val="JuHIRoman"/>
      </w:pPr>
      <w:r>
        <w:t xml:space="preserve">Przedmiot </w:t>
      </w:r>
      <w:r w:rsidR="008D7596">
        <w:t>zarzutu na podstawie art. 8 dotyczącego kontroli osobistych</w:t>
      </w:r>
    </w:p>
    <w:p w14:paraId="26697941" w14:textId="5C07FE95" w:rsidR="008D7596" w:rsidRPr="00E125C8" w:rsidRDefault="00A51873" w:rsidP="00E125C8">
      <w:pPr>
        <w:pStyle w:val="JuPara"/>
      </w:pPr>
      <w:r>
        <w:rPr>
          <w:noProof/>
        </w:rPr>
        <w:t>30</w:t>
      </w:r>
      <w:r w:rsidR="008D7596">
        <w:t>.</w:t>
      </w:r>
      <w:r w:rsidR="00F07EF7">
        <w:t xml:space="preserve"> </w:t>
      </w:r>
      <w:r w:rsidR="00BE0AB1">
        <w:t>Z</w:t>
      </w:r>
      <w:r w:rsidR="008D7596">
        <w:t xml:space="preserve">asady </w:t>
      </w:r>
      <w:r w:rsidR="00BE0AB1">
        <w:t xml:space="preserve">ogólne </w:t>
      </w:r>
      <w:r w:rsidR="008D7596">
        <w:t xml:space="preserve">dotyczące art. </w:t>
      </w:r>
      <w:r w:rsidR="00BE0AB1">
        <w:t>8 Konwencji i kontroli osobistych</w:t>
      </w:r>
      <w:r w:rsidR="008D7596">
        <w:t xml:space="preserve"> więźniów osadzonych w zakładzie o zwykłym reżimie bezpieczeństwa zostały podsumowane w wyroku w sprawie </w:t>
      </w:r>
      <w:proofErr w:type="spellStart"/>
      <w:r w:rsidR="008D7596">
        <w:rPr>
          <w:i/>
        </w:rPr>
        <w:t>Dejnek</w:t>
      </w:r>
      <w:proofErr w:type="spellEnd"/>
      <w:r w:rsidR="008D7596">
        <w:t>, cyt. powyżej, § 70.</w:t>
      </w:r>
    </w:p>
    <w:p w14:paraId="375D785F" w14:textId="096015DC" w:rsidR="008D7596" w:rsidRPr="00E125C8" w:rsidRDefault="00A51873" w:rsidP="00E125C8">
      <w:pPr>
        <w:pStyle w:val="JuPara"/>
      </w:pPr>
      <w:r>
        <w:rPr>
          <w:noProof/>
        </w:rPr>
        <w:t>31</w:t>
      </w:r>
      <w:r w:rsidR="000F540E">
        <w:t>.</w:t>
      </w:r>
      <w:r w:rsidR="00F07EF7">
        <w:t xml:space="preserve"> </w:t>
      </w:r>
      <w:r w:rsidR="000F540E">
        <w:t>W niniejszej sprawie kontrole osobiste, którym skarżący był poddawany w okresie odbywania kary pozbawienia wolności w Zakładzie Karnym w Kamińsku, stanowiły ingerencję w jego „życie prywatne” w</w:t>
      </w:r>
      <w:r w:rsidR="00B702DA">
        <w:t> </w:t>
      </w:r>
      <w:r w:rsidR="000F540E">
        <w:t xml:space="preserve">rozumieniu art. 8 Konwencji (zob. </w:t>
      </w:r>
      <w:r w:rsidR="000F540E">
        <w:rPr>
          <w:i/>
        </w:rPr>
        <w:t>mutatis mutandis</w:t>
      </w:r>
      <w:r w:rsidR="000F540E">
        <w:t xml:space="preserve">, </w:t>
      </w:r>
      <w:proofErr w:type="spellStart"/>
      <w:r w:rsidR="000F540E">
        <w:rPr>
          <w:i/>
        </w:rPr>
        <w:t>Lebois</w:t>
      </w:r>
      <w:proofErr w:type="spellEnd"/>
      <w:r w:rsidR="000F540E">
        <w:t>, cyt. powyżej, §§ 63-64).</w:t>
      </w:r>
    </w:p>
    <w:p w14:paraId="17DFB279" w14:textId="712FC369" w:rsidR="008D7596" w:rsidRPr="00E125C8" w:rsidRDefault="00A51873" w:rsidP="00E125C8">
      <w:pPr>
        <w:pStyle w:val="JuPara"/>
      </w:pPr>
      <w:r>
        <w:rPr>
          <w:noProof/>
        </w:rPr>
        <w:t>32</w:t>
      </w:r>
      <w:r w:rsidR="008D7596">
        <w:t>.</w:t>
      </w:r>
      <w:r w:rsidR="00F07EF7">
        <w:t xml:space="preserve"> </w:t>
      </w:r>
      <w:r w:rsidR="008D7596">
        <w:t xml:space="preserve">Kontrole osobiste miały podstawę w prawie krajowym (art. 116 </w:t>
      </w:r>
      <w:r w:rsidR="00BE0AB1">
        <w:t xml:space="preserve">Kodeksu </w:t>
      </w:r>
      <w:r w:rsidR="008D7596">
        <w:t>karnego wykonawczego i § 72 ust. 1 rozporządzenia Ministra Sprawiedliwości z dnia 31 października 2003 r. w sprawie sposobów ochrony jednostek organizacyjnych Służby Więziennej). Kontrole przeprowadzano w</w:t>
      </w:r>
      <w:r w:rsidR="00B702DA">
        <w:t> </w:t>
      </w:r>
      <w:r w:rsidR="008D7596">
        <w:t>celu utrzymania porządku w zakładzie karnym i uniemożliwienia skarżącemu korzystania z nielegalnych i szkodliwych substancji (zob.</w:t>
      </w:r>
      <w:r w:rsidR="00B702DA">
        <w:t> </w:t>
      </w:r>
      <w:r w:rsidR="008D7596">
        <w:t>paragrafy 33 i 34 poniżej).</w:t>
      </w:r>
    </w:p>
    <w:p w14:paraId="7BCE9D40" w14:textId="5A29E19D" w:rsidR="008D7596" w:rsidRPr="00E125C8" w:rsidRDefault="00A51873" w:rsidP="00E125C8">
      <w:pPr>
        <w:pStyle w:val="JuPara"/>
      </w:pPr>
      <w:r>
        <w:rPr>
          <w:noProof/>
        </w:rPr>
        <w:t>33</w:t>
      </w:r>
      <w:r w:rsidR="000F540E">
        <w:t>.</w:t>
      </w:r>
      <w:r w:rsidR="00F07EF7">
        <w:t xml:space="preserve"> </w:t>
      </w:r>
      <w:r w:rsidR="000F540E">
        <w:t xml:space="preserve">W odniesieniu do tego, czy kontrole osobiste skarżącego były proporcjonalne, Rząd twierdził, że środek ten był uzasadniony w świetle wymogu stosowania wzmocnionych środków bezpieczeństwa i ogólnej </w:t>
      </w:r>
      <w:r w:rsidR="000F540E">
        <w:lastRenderedPageBreak/>
        <w:t xml:space="preserve">polityki Zakładu Karnego w Kamińsku – zakładu karnego typu zamkniętego z dużą liczbą więźniów, w tym recydywistów i więźniów z uzależnieniami. Kontrole przeprowadzano mając </w:t>
      </w:r>
      <w:r w:rsidR="00FD7211">
        <w:t xml:space="preserve">również </w:t>
      </w:r>
      <w:r w:rsidR="000F540E">
        <w:t>na względzie bezpieczeństwo samego skarżącego, jako że w danym okresie był podejrzewany o posiadanie nielegalnych leków i był, ogólnie rzecz biorąc, znany z tego, że był kłopotliwym więźniem i znajdował się pod specjalnym nadzorem wychowawcy więziennego.</w:t>
      </w:r>
    </w:p>
    <w:p w14:paraId="4073A386" w14:textId="4E91178D" w:rsidR="008D7596" w:rsidRPr="00E125C8" w:rsidRDefault="00A51873" w:rsidP="00E125C8">
      <w:pPr>
        <w:pStyle w:val="JuPara"/>
      </w:pPr>
      <w:r>
        <w:rPr>
          <w:noProof/>
        </w:rPr>
        <w:t>34</w:t>
      </w:r>
      <w:r w:rsidR="000F540E">
        <w:t>.</w:t>
      </w:r>
      <w:r w:rsidR="00F07EF7">
        <w:t xml:space="preserve"> </w:t>
      </w:r>
      <w:r w:rsidR="000F540E">
        <w:t>Rząd wyjaśnił, że władzom zakładu przekazano informacje, iż</w:t>
      </w:r>
      <w:r w:rsidR="00B702DA">
        <w:t> </w:t>
      </w:r>
      <w:r w:rsidR="000F540E">
        <w:t xml:space="preserve">skarżący gromadził leki. Przedstawił również kopię pisma (z dnia 14 sierpnia 2014 r.), w którym dozorca więzienny wyjaśnia, że skarżący bardzo źle się zachowywał i nie </w:t>
      </w:r>
      <w:r w:rsidR="00964E63">
        <w:t>zna</w:t>
      </w:r>
      <w:r w:rsidR="00FD7211">
        <w:t>jdował</w:t>
      </w:r>
      <w:r w:rsidR="00964E63">
        <w:t xml:space="preserve"> porozumienia</w:t>
      </w:r>
      <w:r w:rsidR="000F540E">
        <w:t xml:space="preserve"> z kolegami z celi.</w:t>
      </w:r>
    </w:p>
    <w:p w14:paraId="2F552E83" w14:textId="03AD13F3" w:rsidR="008D7596" w:rsidRPr="00E125C8" w:rsidRDefault="00A51873" w:rsidP="00E125C8">
      <w:pPr>
        <w:pStyle w:val="JuPara"/>
      </w:pPr>
      <w:r>
        <w:rPr>
          <w:noProof/>
        </w:rPr>
        <w:t>35</w:t>
      </w:r>
      <w:r w:rsidR="008D7596">
        <w:t>.</w:t>
      </w:r>
      <w:r w:rsidR="00F07EF7">
        <w:t xml:space="preserve"> </w:t>
      </w:r>
      <w:r w:rsidR="008D7596">
        <w:t xml:space="preserve">Skarżący podniósł argument, że kontrole osobiste nie były uzasadnione, ponieważ nigdy nie została </w:t>
      </w:r>
      <w:r w:rsidR="00964E63">
        <w:t>mu</w:t>
      </w:r>
      <w:r w:rsidR="008D7596">
        <w:t xml:space="preserve"> wymierzona poważna kara dyscyplinarna oraz nigdy nie został </w:t>
      </w:r>
      <w:r w:rsidR="00964E63">
        <w:t>ujęty</w:t>
      </w:r>
      <w:r w:rsidR="008D7596">
        <w:t xml:space="preserve"> na próbie przemytu nielegalnych przedmiotów czy gromadzenia leków. W czasie istotnym dla niniejszej sprawy nie zostało mu przepisane stałe leczenie farmakologiczne. Wreszcie skarżący twierdził, że nigdy nie wnosił skarg na kolegów z celi. Złożył dokument od dozorcy więziennego (z dnia 14 grudnia 2016 r.), który </w:t>
      </w:r>
      <w:r w:rsidR="00964E63">
        <w:t>to</w:t>
      </w:r>
      <w:r w:rsidR="00B702DA">
        <w:t> </w:t>
      </w:r>
      <w:r w:rsidR="00964E63">
        <w:t>potwierdza.</w:t>
      </w:r>
    </w:p>
    <w:p w14:paraId="71E62177" w14:textId="412ABA7A" w:rsidR="008D7596" w:rsidRPr="00E125C8" w:rsidRDefault="00A51873" w:rsidP="00E125C8">
      <w:pPr>
        <w:pStyle w:val="JuPara"/>
      </w:pPr>
      <w:r>
        <w:rPr>
          <w:noProof/>
        </w:rPr>
        <w:t>36</w:t>
      </w:r>
      <w:r w:rsidR="000F540E">
        <w:t>.</w:t>
      </w:r>
      <w:r w:rsidR="00F07EF7">
        <w:t xml:space="preserve"> </w:t>
      </w:r>
      <w:r w:rsidR="000F540E">
        <w:t>Trybunał zauważa, że Rząd nie przedstawił żadnych dowodów na</w:t>
      </w:r>
      <w:r w:rsidR="00B702DA">
        <w:t> </w:t>
      </w:r>
      <w:r w:rsidR="000F540E">
        <w:t xml:space="preserve">poparcie swoich twierdzeń dotyczących rzekomego gromadzenia przez skarżącego leków lub posiadania przez niego nielegalnych </w:t>
      </w:r>
      <w:r w:rsidR="002D33EF">
        <w:t>środków</w:t>
      </w:r>
      <w:r w:rsidR="000F540E">
        <w:t xml:space="preserve"> w</w:t>
      </w:r>
      <w:r w:rsidR="00B702DA">
        <w:t> </w:t>
      </w:r>
      <w:r w:rsidR="000F540E">
        <w:t xml:space="preserve">okresie pobytu w zakładzie karnym (por. </w:t>
      </w:r>
      <w:proofErr w:type="spellStart"/>
      <w:r w:rsidR="000F540E">
        <w:rPr>
          <w:i/>
        </w:rPr>
        <w:t>Dejnek</w:t>
      </w:r>
      <w:proofErr w:type="spellEnd"/>
      <w:r w:rsidR="000F540E">
        <w:t>, cyt. powyżej, §</w:t>
      </w:r>
      <w:r w:rsidR="00F07EF7">
        <w:t xml:space="preserve"> </w:t>
      </w:r>
      <w:r w:rsidR="000F540E">
        <w:t>73).</w:t>
      </w:r>
    </w:p>
    <w:p w14:paraId="249ED62E" w14:textId="1F641CAC" w:rsidR="008D7596" w:rsidRPr="00E125C8" w:rsidRDefault="00A51873" w:rsidP="00E125C8">
      <w:pPr>
        <w:pStyle w:val="JuPara"/>
      </w:pPr>
      <w:r>
        <w:rPr>
          <w:noProof/>
        </w:rPr>
        <w:t>37</w:t>
      </w:r>
      <w:r w:rsidR="000F540E">
        <w:t>.</w:t>
      </w:r>
      <w:r w:rsidR="00F07EF7">
        <w:t xml:space="preserve"> </w:t>
      </w:r>
      <w:r w:rsidR="000F540E">
        <w:t xml:space="preserve">Trybunał zdaje sobie sprawę z konieczności zapewnienia bezpieczeństwa w instytucjach, w których przebywają osoby pozbawione wolności, oraz z trudności w prowadzeniu takich zakładów. Trybunał niemniej uważa, że wysoce inwazyjne i potencjalnie poniżające środki takie jak kontrole osobiste muszą być wiarygodnie uzasadnione. Nie wydaje się, aby władze więzienne w niniejszej sprawie przedstawiły takie uzasadnienie skarżącemu (zob. </w:t>
      </w:r>
      <w:r w:rsidR="000F540E">
        <w:rPr>
          <w:i/>
        </w:rPr>
        <w:t>mutatis mutandis</w:t>
      </w:r>
      <w:r w:rsidR="000F540E">
        <w:t xml:space="preserve">, </w:t>
      </w:r>
      <w:proofErr w:type="spellStart"/>
      <w:r w:rsidR="000F540E">
        <w:rPr>
          <w:i/>
        </w:rPr>
        <w:t>Dejnek</w:t>
      </w:r>
      <w:proofErr w:type="spellEnd"/>
      <w:r w:rsidR="000F540E">
        <w:t>, cyt. powyżej, § 75).</w:t>
      </w:r>
    </w:p>
    <w:p w14:paraId="7C8B779A" w14:textId="19E8FEAF" w:rsidR="008D7596" w:rsidRPr="00E125C8" w:rsidRDefault="00A51873" w:rsidP="00E125C8">
      <w:pPr>
        <w:pStyle w:val="JuPara"/>
      </w:pPr>
      <w:r>
        <w:rPr>
          <w:noProof/>
        </w:rPr>
        <w:t>38</w:t>
      </w:r>
      <w:r w:rsidR="000F540E">
        <w:t>.</w:t>
      </w:r>
      <w:r w:rsidR="00F07EF7">
        <w:t xml:space="preserve"> </w:t>
      </w:r>
      <w:r w:rsidR="000F540E">
        <w:t>Co do sposobu, w jaki przeprowadzano kontrole osobiste skarżącego</w:t>
      </w:r>
      <w:r w:rsidR="00F06133">
        <w:t>,</w:t>
      </w:r>
      <w:r w:rsidR="000F540E">
        <w:t xml:space="preserve"> Trybunał zauważa, że zgodnie z Europejskimi Regułami Więziennymi (zob.</w:t>
      </w:r>
      <w:r w:rsidR="00B702DA">
        <w:t> </w:t>
      </w:r>
      <w:r w:rsidR="000F540E">
        <w:t xml:space="preserve">paragraf 27 </w:t>
      </w:r>
      <w:r w:rsidR="000F540E">
        <w:rPr>
          <w:i/>
          <w:iCs/>
        </w:rPr>
        <w:t>in fine</w:t>
      </w:r>
      <w:r w:rsidR="000F540E">
        <w:t xml:space="preserve"> powyżej), od więźniów nie powinno się nigdy wymagać, aby rozebrali się zupełnie do naga na potrzeby kontroli osobistej (zob. Komentarz do paragrafu 54).</w:t>
      </w:r>
    </w:p>
    <w:p w14:paraId="0D78476F" w14:textId="5F2E8EB9" w:rsidR="008D7596" w:rsidRPr="00E125C8" w:rsidRDefault="00A51873" w:rsidP="00E125C8">
      <w:pPr>
        <w:pStyle w:val="JuPara"/>
      </w:pPr>
      <w:r>
        <w:rPr>
          <w:noProof/>
        </w:rPr>
        <w:t>39</w:t>
      </w:r>
      <w:r w:rsidR="000F540E">
        <w:t>.</w:t>
      </w:r>
      <w:r w:rsidR="00F07EF7">
        <w:t xml:space="preserve"> </w:t>
      </w:r>
      <w:r w:rsidR="000F540E">
        <w:t>Powyższe względy wystarczają, aby Trybunał mógł stwierdzić, że</w:t>
      </w:r>
      <w:r w:rsidR="00B702DA">
        <w:t> </w:t>
      </w:r>
      <w:r w:rsidR="000F540E">
        <w:t>władze nie przedstawiły wystarczających i istotnych powodów, które uzasadniałyby kontrole osobiste skarżącego. Biorąc pod uwagę ich liczbę, częstotliwość i sposób przeprowadzania, Trybunał również stwierdza, że</w:t>
      </w:r>
      <w:r w:rsidR="00B702DA">
        <w:t> </w:t>
      </w:r>
      <w:r w:rsidR="000F540E">
        <w:t>środki te były nadmiernie uciążliwe dla skarżącego.</w:t>
      </w:r>
    </w:p>
    <w:p w14:paraId="5A5923CC" w14:textId="23ECF99F" w:rsidR="008D7596" w:rsidRPr="00E125C8" w:rsidRDefault="00A51873" w:rsidP="00E125C8">
      <w:pPr>
        <w:pStyle w:val="JuPara"/>
      </w:pPr>
      <w:r>
        <w:rPr>
          <w:noProof/>
        </w:rPr>
        <w:t>40</w:t>
      </w:r>
      <w:r w:rsidR="000F540E">
        <w:t>.</w:t>
      </w:r>
      <w:r w:rsidR="00F07EF7">
        <w:t xml:space="preserve"> </w:t>
      </w:r>
      <w:r w:rsidR="000F540E">
        <w:t>Z tego wynika, że doszło do naruszenia art. 8 Konwencji.</w:t>
      </w:r>
    </w:p>
    <w:p w14:paraId="28BF24F9" w14:textId="4D9D4BD4" w:rsidR="008D7596" w:rsidRPr="00E125C8" w:rsidRDefault="008D7596" w:rsidP="00E125C8">
      <w:pPr>
        <w:pStyle w:val="JuHHead"/>
      </w:pPr>
      <w:r>
        <w:lastRenderedPageBreak/>
        <w:t>ZASTOSOWANIE ART.</w:t>
      </w:r>
      <w:r w:rsidR="00F07EF7">
        <w:t xml:space="preserve"> </w:t>
      </w:r>
      <w:r>
        <w:t>41 KONWENCJI</w:t>
      </w:r>
    </w:p>
    <w:p w14:paraId="47FA3275" w14:textId="005DAF93" w:rsidR="008D7596" w:rsidRPr="00E125C8" w:rsidRDefault="00A51873" w:rsidP="00E125C8">
      <w:pPr>
        <w:pStyle w:val="JuPara"/>
      </w:pPr>
      <w:r>
        <w:rPr>
          <w:noProof/>
        </w:rPr>
        <w:t>41</w:t>
      </w:r>
      <w:r w:rsidR="008D7596">
        <w:t>.</w:t>
      </w:r>
      <w:r w:rsidR="00F07EF7">
        <w:t xml:space="preserve"> </w:t>
      </w:r>
      <w:r w:rsidR="008D7596">
        <w:t>Skarżący żądał kwoty 50</w:t>
      </w:r>
      <w:r w:rsidR="00F07EF7">
        <w:t xml:space="preserve"> </w:t>
      </w:r>
      <w:r w:rsidR="008D7596">
        <w:t>000 euro (</w:t>
      </w:r>
      <w:proofErr w:type="spellStart"/>
      <w:r w:rsidR="008D7596">
        <w:t>EUR</w:t>
      </w:r>
      <w:proofErr w:type="spellEnd"/>
      <w:r w:rsidR="008D7596">
        <w:t>) tytułem zadośćuczynienia za szkodę niemajątkową, spowodowaną naruszeniem art.</w:t>
      </w:r>
      <w:r w:rsidR="00F07EF7">
        <w:t xml:space="preserve"> </w:t>
      </w:r>
      <w:r w:rsidR="008D7596">
        <w:t>3 i 8 Konwencji. Skarżący nie wystąpił z roszczeniem w przedmiocie kosztów i</w:t>
      </w:r>
      <w:r w:rsidR="00F07EF7">
        <w:t xml:space="preserve"> </w:t>
      </w:r>
      <w:r w:rsidR="008D7596">
        <w:t>wydatków poniesionych przed sądami krajowymi i Trybunałem.</w:t>
      </w:r>
    </w:p>
    <w:p w14:paraId="646E8FB6" w14:textId="2999B821" w:rsidR="008D7596" w:rsidRPr="00E125C8" w:rsidRDefault="00A51873" w:rsidP="00E125C8">
      <w:pPr>
        <w:pStyle w:val="JuPara"/>
      </w:pPr>
      <w:r>
        <w:rPr>
          <w:noProof/>
        </w:rPr>
        <w:t>42</w:t>
      </w:r>
      <w:r w:rsidR="008D7596">
        <w:t>.</w:t>
      </w:r>
      <w:r w:rsidR="00F07EF7">
        <w:t xml:space="preserve"> </w:t>
      </w:r>
      <w:r w:rsidR="008D7596">
        <w:t>Rząd podniósł, że roszczenie jest wygórowane.</w:t>
      </w:r>
    </w:p>
    <w:p w14:paraId="008C37D3" w14:textId="7D072D92" w:rsidR="008D7596" w:rsidRPr="00E125C8" w:rsidRDefault="00A51873" w:rsidP="00E125C8">
      <w:pPr>
        <w:pStyle w:val="JuPara"/>
      </w:pPr>
      <w:r>
        <w:rPr>
          <w:noProof/>
        </w:rPr>
        <w:t>43</w:t>
      </w:r>
      <w:r w:rsidR="008D7596">
        <w:t>.</w:t>
      </w:r>
      <w:r w:rsidR="00F07EF7">
        <w:t xml:space="preserve"> </w:t>
      </w:r>
      <w:r w:rsidR="008D7596">
        <w:t>Trybunał zauważa, iż stwierdził wyłącznie naruszenie art. 8 w</w:t>
      </w:r>
      <w:r w:rsidR="00B702DA">
        <w:t> </w:t>
      </w:r>
      <w:r w:rsidR="008D7596">
        <w:t>odniesieniu do kontroli osobistych</w:t>
      </w:r>
      <w:r w:rsidR="00F06133">
        <w:t>,</w:t>
      </w:r>
      <w:r w:rsidR="008D7596">
        <w:t xml:space="preserve"> i przyznaje skarżącemu kwotę 3</w:t>
      </w:r>
      <w:r w:rsidR="00F07EF7">
        <w:t xml:space="preserve"> </w:t>
      </w:r>
      <w:r w:rsidR="008D7596">
        <w:t xml:space="preserve">000 </w:t>
      </w:r>
      <w:proofErr w:type="spellStart"/>
      <w:r w:rsidR="008D7596">
        <w:t>EUR</w:t>
      </w:r>
      <w:proofErr w:type="spellEnd"/>
      <w:r w:rsidR="008D7596">
        <w:t xml:space="preserve"> plus wszelkie należne podatki tytułem szkody niemajątkowej.</w:t>
      </w:r>
    </w:p>
    <w:p w14:paraId="1E46530D" w14:textId="77777777" w:rsidR="008D7596" w:rsidRPr="00E125C8" w:rsidRDefault="008D7596" w:rsidP="00E125C8">
      <w:pPr>
        <w:pStyle w:val="JuHHead"/>
      </w:pPr>
      <w:r>
        <w:t>Z TYCH PRZYCZYN TRYBUNAŁ JEDNOGŁOŚNIE</w:t>
      </w:r>
    </w:p>
    <w:p w14:paraId="0AECD273" w14:textId="20B45193" w:rsidR="008D7596" w:rsidRPr="00E125C8" w:rsidRDefault="008D7596" w:rsidP="00E125C8">
      <w:pPr>
        <w:pStyle w:val="JuList"/>
        <w:numPr>
          <w:ilvl w:val="0"/>
          <w:numId w:val="2"/>
        </w:numPr>
      </w:pPr>
      <w:r>
        <w:rPr>
          <w:i/>
        </w:rPr>
        <w:t>uznaje</w:t>
      </w:r>
      <w:r>
        <w:t xml:space="preserve"> zarzut na podstawie art. 8 Konwencji dotyczący kontroli osobistych za dopuszczalny, zaś pozostałą część skargi za</w:t>
      </w:r>
      <w:r w:rsidR="00B702DA">
        <w:t> </w:t>
      </w:r>
      <w:r>
        <w:t>niedopuszczalną;</w:t>
      </w:r>
    </w:p>
    <w:p w14:paraId="3A5231A6" w14:textId="3C15B012" w:rsidR="008D7596" w:rsidRPr="00E125C8" w:rsidRDefault="008D7596" w:rsidP="00E125C8">
      <w:pPr>
        <w:pStyle w:val="JuList"/>
        <w:numPr>
          <w:ilvl w:val="0"/>
          <w:numId w:val="2"/>
        </w:numPr>
      </w:pPr>
      <w:r>
        <w:rPr>
          <w:i/>
        </w:rPr>
        <w:t>orzeka</w:t>
      </w:r>
      <w:r>
        <w:t>, że doszło do naruszenia art.</w:t>
      </w:r>
      <w:r w:rsidR="00F07EF7">
        <w:t xml:space="preserve"> </w:t>
      </w:r>
      <w:r>
        <w:t>8 Konwencji w odniesieniu do</w:t>
      </w:r>
      <w:r w:rsidR="00B702DA">
        <w:t> </w:t>
      </w:r>
      <w:r>
        <w:t>kontroli osobistych;</w:t>
      </w:r>
    </w:p>
    <w:p w14:paraId="7E478169" w14:textId="77777777" w:rsidR="008D7596" w:rsidRPr="00E125C8" w:rsidRDefault="008D7596" w:rsidP="00E125C8">
      <w:pPr>
        <w:pStyle w:val="JuList"/>
        <w:numPr>
          <w:ilvl w:val="0"/>
          <w:numId w:val="2"/>
        </w:numPr>
      </w:pPr>
      <w:r>
        <w:rPr>
          <w:i/>
        </w:rPr>
        <w:t>orzeka</w:t>
      </w:r>
    </w:p>
    <w:p w14:paraId="183C820C" w14:textId="0E97BA2B" w:rsidR="008D7596" w:rsidRPr="00E125C8" w:rsidRDefault="008D7596" w:rsidP="00E125C8">
      <w:pPr>
        <w:pStyle w:val="JuLista"/>
        <w:numPr>
          <w:ilvl w:val="1"/>
          <w:numId w:val="1"/>
        </w:numPr>
      </w:pPr>
      <w:r>
        <w:t>że pozwane państwo winno, w terminie trzech miesięcy, uiścić na</w:t>
      </w:r>
      <w:r w:rsidR="00B702DA">
        <w:t> </w:t>
      </w:r>
      <w:r>
        <w:t>rzecz skarżącego kwotę</w:t>
      </w:r>
      <w:r w:rsidR="00F07EF7">
        <w:t xml:space="preserve"> </w:t>
      </w:r>
      <w:r>
        <w:t>3</w:t>
      </w:r>
      <w:r w:rsidR="00F07EF7">
        <w:t xml:space="preserve"> </w:t>
      </w:r>
      <w:r>
        <w:t>000</w:t>
      </w:r>
      <w:r w:rsidR="00F07EF7">
        <w:t xml:space="preserve"> </w:t>
      </w:r>
      <w:proofErr w:type="spellStart"/>
      <w:r>
        <w:t>EUR</w:t>
      </w:r>
      <w:proofErr w:type="spellEnd"/>
      <w:r>
        <w:t xml:space="preserve"> (trzech tysięcy euro) plus wszelkie podatki należne od skarżącego, tytułem zadośćuczynienia za</w:t>
      </w:r>
      <w:r w:rsidR="00B702DA">
        <w:t> </w:t>
      </w:r>
      <w:r>
        <w:t>szkodę niemajątkową, przeliczoną na walutę pozwanego państwa według kursu obowiązującego w dniu płatności;</w:t>
      </w:r>
    </w:p>
    <w:p w14:paraId="6455C539" w14:textId="205BBC37" w:rsidR="008D7596" w:rsidRPr="00E125C8" w:rsidRDefault="008D7596" w:rsidP="00E125C8">
      <w:pPr>
        <w:pStyle w:val="JuLista"/>
        <w:numPr>
          <w:ilvl w:val="1"/>
          <w:numId w:val="1"/>
        </w:numPr>
      </w:pPr>
      <w:r>
        <w:t>że od upływu wyżej wskazanego terminu trzech miesięcy aż</w:t>
      </w:r>
      <w:r w:rsidR="00B702DA">
        <w:t> </w:t>
      </w:r>
      <w:bookmarkStart w:id="1" w:name="_GoBack"/>
      <w:bookmarkEnd w:id="1"/>
      <w:r>
        <w:t>do</w:t>
      </w:r>
      <w:r w:rsidR="00B702DA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497C04C2" w14:textId="77777777" w:rsidR="004D0EC7" w:rsidRPr="00E125C8" w:rsidRDefault="008D7596" w:rsidP="00E125C8">
      <w:pPr>
        <w:pStyle w:val="JuList"/>
      </w:pPr>
      <w:r>
        <w:rPr>
          <w:i/>
        </w:rPr>
        <w:t xml:space="preserve">oddala </w:t>
      </w:r>
      <w:r>
        <w:t>pozostałą część roszczenia skarżącego o słuszne zadośćuczynienie.</w:t>
      </w:r>
    </w:p>
    <w:p w14:paraId="35CF5347" w14:textId="7DE18FD4" w:rsidR="008E3A08" w:rsidRPr="00E125C8" w:rsidRDefault="007E2C8C" w:rsidP="00E125C8">
      <w:pPr>
        <w:pStyle w:val="JuParaLast"/>
      </w:pPr>
      <w:r>
        <w:t>Sporządzono w</w:t>
      </w:r>
      <w:r w:rsidR="00F07EF7">
        <w:t xml:space="preserve"> </w:t>
      </w:r>
      <w:r>
        <w:t>języku angielskim i</w:t>
      </w:r>
      <w:r w:rsidR="00F07EF7">
        <w:t xml:space="preserve"> </w:t>
      </w:r>
      <w:r>
        <w:t>obwieszczono pisemnie</w:t>
      </w:r>
      <w:r w:rsidR="00A51873">
        <w:rPr>
          <w:rFonts w:ascii="Times New Roman" w:hAnsi="Times New Roman"/>
        </w:rPr>
        <w:t xml:space="preserve"> 13</w:t>
      </w:r>
      <w:r w:rsidR="00F06133">
        <w:rPr>
          <w:rFonts w:ascii="Times New Roman" w:hAnsi="Times New Roman"/>
        </w:rPr>
        <w:t> </w:t>
      </w:r>
      <w:r>
        <w:rPr>
          <w:rFonts w:ascii="Times New Roman" w:hAnsi="Times New Roman"/>
        </w:rPr>
        <w:t>października 2022</w:t>
      </w:r>
      <w:r w:rsidR="00F07E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</w:t>
      </w:r>
      <w:r>
        <w:t>., zgodnie z</w:t>
      </w:r>
      <w:r w:rsidR="00F07EF7">
        <w:t xml:space="preserve"> </w:t>
      </w:r>
      <w:r>
        <w:t>Regułą 77 §§</w:t>
      </w:r>
      <w:r w:rsidR="00F07EF7">
        <w:t xml:space="preserve"> </w:t>
      </w:r>
      <w:r>
        <w:t>2 i</w:t>
      </w:r>
      <w:r w:rsidR="00F07EF7">
        <w:t xml:space="preserve"> </w:t>
      </w:r>
      <w:r>
        <w:t>3 Regulaminu Trybunału.</w:t>
      </w:r>
    </w:p>
    <w:p w14:paraId="6DBAAB99" w14:textId="77777777" w:rsidR="00182EBA" w:rsidRPr="00E125C8" w:rsidRDefault="002E7764" w:rsidP="00E125C8">
      <w:pPr>
        <w:pStyle w:val="JuSigned"/>
      </w:pPr>
      <w:r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 </w:t>
      </w:r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br/>
      </w:r>
      <w:r>
        <w:tab/>
        <w:t>Zastępca Kanclerza</w:t>
      </w:r>
      <w:r>
        <w:tab/>
        <w:t>Przewodniczący</w:t>
      </w:r>
    </w:p>
    <w:sectPr w:rsidR="00182EBA" w:rsidRPr="00E125C8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79ED9" w14:textId="77777777" w:rsidR="006B7F47" w:rsidRPr="008D7596" w:rsidRDefault="006B7F47" w:rsidP="0098410D">
      <w:r w:rsidRPr="008D7596">
        <w:separator/>
      </w:r>
    </w:p>
  </w:endnote>
  <w:endnote w:type="continuationSeparator" w:id="0">
    <w:p w14:paraId="6B7F4042" w14:textId="77777777" w:rsidR="006B7F47" w:rsidRPr="008D7596" w:rsidRDefault="006B7F47" w:rsidP="0098410D">
      <w:r w:rsidRPr="008D759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54887" w14:textId="77777777" w:rsidR="008D7596" w:rsidRPr="00150BFA" w:rsidRDefault="008D7596" w:rsidP="0020718E">
    <w:pPr>
      <w:jc w:val="center"/>
    </w:pPr>
    <w:r>
      <w:rPr>
        <w:noProof/>
        <w:lang w:eastAsia="pl-PL"/>
      </w:rPr>
      <w:drawing>
        <wp:inline distT="0" distB="0" distL="0" distR="0" wp14:anchorId="292DDDA4" wp14:editId="5F9CB597">
          <wp:extent cx="771525" cy="619125"/>
          <wp:effectExtent l="0" t="0" r="9525" b="9525"/>
          <wp:docPr id="56" name="Picture 5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8C2A4C" w14:textId="77777777" w:rsidR="0098410D" w:rsidRPr="008D7596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A19D7" w14:textId="77777777" w:rsidR="008D7596" w:rsidRPr="00150BFA" w:rsidRDefault="008D7596" w:rsidP="0020718E">
    <w:pPr>
      <w:jc w:val="center"/>
    </w:pPr>
    <w:r>
      <w:rPr>
        <w:noProof/>
        <w:lang w:eastAsia="pl-PL"/>
      </w:rPr>
      <w:drawing>
        <wp:inline distT="0" distB="0" distL="0" distR="0" wp14:anchorId="5CA9F175" wp14:editId="7EA107FE">
          <wp:extent cx="771525" cy="619125"/>
          <wp:effectExtent l="0" t="0" r="9525" b="9525"/>
          <wp:docPr id="54" name="Picture 54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8E22C0" w14:textId="77777777" w:rsidR="009E7A6F" w:rsidRPr="008D7596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96D3B" w14:textId="18E7BE29" w:rsidR="00182EBA" w:rsidRDefault="00ED6F98" w:rsidP="009A115C">
    <w:pPr>
      <w:pStyle w:val="JuHeader"/>
    </w:pPr>
    <w:r>
      <w:rPr>
        <w:rStyle w:val="Numerstrony"/>
      </w:rPr>
      <w:fldChar w:fldCharType="begin"/>
    </w:r>
    <w:r w:rsidR="008D759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702D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D2DF2" w14:textId="275CDE9A" w:rsidR="00182EBA" w:rsidRPr="000B7195" w:rsidRDefault="00ED6F98" w:rsidP="007D3701">
    <w:pPr>
      <w:pStyle w:val="JuHeader"/>
    </w:pPr>
    <w:r>
      <w:fldChar w:fldCharType="begin"/>
    </w:r>
    <w:r w:rsidR="008D7596">
      <w:instrText xml:space="preserve"> PAGE </w:instrText>
    </w:r>
    <w:r>
      <w:fldChar w:fldCharType="separate"/>
    </w:r>
    <w:r w:rsidR="00B702DA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CA8B3" w14:textId="77777777" w:rsidR="006B7F47" w:rsidRPr="008D7596" w:rsidRDefault="006B7F47" w:rsidP="0098410D">
      <w:r w:rsidRPr="008D7596">
        <w:separator/>
      </w:r>
    </w:p>
  </w:footnote>
  <w:footnote w:type="continuationSeparator" w:id="0">
    <w:p w14:paraId="294C87C6" w14:textId="77777777" w:rsidR="006B7F47" w:rsidRPr="008D7596" w:rsidRDefault="006B7F47" w:rsidP="0098410D">
      <w:r w:rsidRPr="008D759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FDCEB" w14:textId="77777777" w:rsidR="008D7596" w:rsidRPr="00A45145" w:rsidRDefault="008D7596" w:rsidP="00A45145">
    <w:pPr>
      <w:jc w:val="center"/>
    </w:pPr>
    <w:r>
      <w:rPr>
        <w:noProof/>
        <w:lang w:eastAsia="pl-PL"/>
      </w:rPr>
      <w:drawing>
        <wp:inline distT="0" distB="0" distL="0" distR="0" wp14:anchorId="5847808F" wp14:editId="4A1BD7A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AAD2A6" w14:textId="77777777" w:rsidR="0098410D" w:rsidRPr="008D7596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A9F96" w14:textId="77777777" w:rsidR="008D7596" w:rsidRPr="00A45145" w:rsidRDefault="008D7596" w:rsidP="00A45145">
    <w:pPr>
      <w:jc w:val="center"/>
    </w:pPr>
    <w:r>
      <w:rPr>
        <w:noProof/>
        <w:lang w:eastAsia="pl-PL"/>
      </w:rPr>
      <w:drawing>
        <wp:inline distT="0" distB="0" distL="0" distR="0" wp14:anchorId="19EF59F8" wp14:editId="0E5B3917">
          <wp:extent cx="2962275" cy="1219200"/>
          <wp:effectExtent l="0" t="0" r="9525" b="0"/>
          <wp:docPr id="47" name="Picture 4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90978" w14:textId="77777777" w:rsidR="0098410D" w:rsidRPr="008D7596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8A102" w14:textId="72A42278" w:rsidR="00182EBA" w:rsidRPr="004D0EC7" w:rsidRDefault="008D7596" w:rsidP="004D0EC7">
    <w:pPr>
      <w:pStyle w:val="JuHeader"/>
    </w:pPr>
    <w:r>
      <w:t xml:space="preserve">WYROK </w:t>
    </w:r>
    <w:r w:rsidR="00F07EF7">
      <w:t xml:space="preserve">W SPRAWIE </w:t>
    </w:r>
    <w:r>
      <w:t>NOWAK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E5B9B" w14:textId="2192E7BD" w:rsidR="00182EBA" w:rsidRPr="00882CD5" w:rsidRDefault="008D7596" w:rsidP="007D3701">
    <w:pPr>
      <w:pStyle w:val="JuHeader"/>
    </w:pPr>
    <w:r>
      <w:t xml:space="preserve">WYROK </w:t>
    </w:r>
    <w:r w:rsidR="00F07EF7">
      <w:t xml:space="preserve">W SPRAWIE </w:t>
    </w:r>
    <w:r>
      <w:t>NOWAK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4"/>
  </w:num>
  <w:num w:numId="4">
    <w:abstractNumId w:val="12"/>
  </w:num>
  <w:num w:numId="5">
    <w:abstractNumId w:val="11"/>
  </w:num>
  <w:num w:numId="6">
    <w:abstractNumId w:val="17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3"/>
  </w:num>
  <w:num w:numId="18">
    <w:abstractNumId w:val="16"/>
  </w:num>
  <w:num w:numId="19">
    <w:abstractNumId w:val="15"/>
  </w:num>
  <w:num w:numId="20">
    <w:abstractNumId w:val="16"/>
  </w:num>
  <w:num w:numId="21">
    <w:abstractNumId w:val="10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8D7596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602DF"/>
    <w:rsid w:val="00061B05"/>
    <w:rsid w:val="000632D5"/>
    <w:rsid w:val="000644EE"/>
    <w:rsid w:val="00064F86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540E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33EF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629CD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1CB7"/>
    <w:rsid w:val="00425C67"/>
    <w:rsid w:val="00427E7A"/>
    <w:rsid w:val="004355AC"/>
    <w:rsid w:val="00436C49"/>
    <w:rsid w:val="00441C62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02A59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76D18"/>
    <w:rsid w:val="005879A2"/>
    <w:rsid w:val="00592772"/>
    <w:rsid w:val="0059574A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05604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3C3"/>
    <w:rsid w:val="0066550C"/>
    <w:rsid w:val="00665BD2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5D3A"/>
    <w:rsid w:val="006B1942"/>
    <w:rsid w:val="006B7F47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26FD"/>
    <w:rsid w:val="007929CF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0690"/>
    <w:rsid w:val="00802C64"/>
    <w:rsid w:val="00805E52"/>
    <w:rsid w:val="008061D0"/>
    <w:rsid w:val="00810B38"/>
    <w:rsid w:val="008204C7"/>
    <w:rsid w:val="00820992"/>
    <w:rsid w:val="00823602"/>
    <w:rsid w:val="008240AA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57CE"/>
    <w:rsid w:val="008C26DE"/>
    <w:rsid w:val="008D2225"/>
    <w:rsid w:val="008D4752"/>
    <w:rsid w:val="008D5A13"/>
    <w:rsid w:val="008D7596"/>
    <w:rsid w:val="008E271C"/>
    <w:rsid w:val="008E3A08"/>
    <w:rsid w:val="008E418E"/>
    <w:rsid w:val="008E5BC6"/>
    <w:rsid w:val="008E6217"/>
    <w:rsid w:val="008E6A25"/>
    <w:rsid w:val="008F018D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3DFD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64E63"/>
    <w:rsid w:val="00972B55"/>
    <w:rsid w:val="009743B7"/>
    <w:rsid w:val="0098228B"/>
    <w:rsid w:val="009828DA"/>
    <w:rsid w:val="0098410D"/>
    <w:rsid w:val="00985BAB"/>
    <w:rsid w:val="00986B3C"/>
    <w:rsid w:val="0099755B"/>
    <w:rsid w:val="009A115C"/>
    <w:rsid w:val="009A7FC1"/>
    <w:rsid w:val="009B1606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9F4F8C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51873"/>
    <w:rsid w:val="00A51D0F"/>
    <w:rsid w:val="00A54192"/>
    <w:rsid w:val="00A57147"/>
    <w:rsid w:val="00A57165"/>
    <w:rsid w:val="00A6035E"/>
    <w:rsid w:val="00A6144C"/>
    <w:rsid w:val="00A66277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E6C67"/>
    <w:rsid w:val="00AF4B07"/>
    <w:rsid w:val="00AF6186"/>
    <w:rsid w:val="00AF7A3A"/>
    <w:rsid w:val="00B02587"/>
    <w:rsid w:val="00B049D1"/>
    <w:rsid w:val="00B160DB"/>
    <w:rsid w:val="00B20836"/>
    <w:rsid w:val="00B225D2"/>
    <w:rsid w:val="00B235BB"/>
    <w:rsid w:val="00B27A44"/>
    <w:rsid w:val="00B30BBF"/>
    <w:rsid w:val="00B33C03"/>
    <w:rsid w:val="00B4421F"/>
    <w:rsid w:val="00B44E56"/>
    <w:rsid w:val="00B45917"/>
    <w:rsid w:val="00B46543"/>
    <w:rsid w:val="00B46C1D"/>
    <w:rsid w:val="00B47D33"/>
    <w:rsid w:val="00B52BE0"/>
    <w:rsid w:val="00B54133"/>
    <w:rsid w:val="00B701ED"/>
    <w:rsid w:val="00B702DA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05BA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0AB1"/>
    <w:rsid w:val="00BE14E3"/>
    <w:rsid w:val="00BE3774"/>
    <w:rsid w:val="00BE41E5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E4BD8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1657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25C8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0D38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D6F98"/>
    <w:rsid w:val="00EE0277"/>
    <w:rsid w:val="00EE2899"/>
    <w:rsid w:val="00EE3E00"/>
    <w:rsid w:val="00EE5DD2"/>
    <w:rsid w:val="00EF36C5"/>
    <w:rsid w:val="00EF3DB4"/>
    <w:rsid w:val="00EF538B"/>
    <w:rsid w:val="00F00A79"/>
    <w:rsid w:val="00F00D13"/>
    <w:rsid w:val="00F00E86"/>
    <w:rsid w:val="00F06133"/>
    <w:rsid w:val="00F07C1E"/>
    <w:rsid w:val="00F07EF7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597"/>
    <w:rsid w:val="00F56A6F"/>
    <w:rsid w:val="00F5709C"/>
    <w:rsid w:val="00F60B85"/>
    <w:rsid w:val="00F64EF1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C71D9"/>
    <w:rsid w:val="00FD1005"/>
    <w:rsid w:val="00FD1F7F"/>
    <w:rsid w:val="00FD6C75"/>
    <w:rsid w:val="00FD7211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0A87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421CB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421CB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421CB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421CB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421CB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421CB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421CB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421CB7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421CB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421CB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421C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421CB7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421CB7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421CB7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421CB7"/>
    <w:pPr>
      <w:jc w:val="both"/>
    </w:pPr>
  </w:style>
  <w:style w:type="character" w:styleId="Pogrubienie">
    <w:name w:val="Strong"/>
    <w:uiPriority w:val="98"/>
    <w:semiHidden/>
    <w:qFormat/>
    <w:rsid w:val="00421CB7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421CB7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421CB7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421CB7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421CB7"/>
    <w:pPr>
      <w:numPr>
        <w:numId w:val="22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421CB7"/>
    <w:pPr>
      <w:numPr>
        <w:ilvl w:val="1"/>
        <w:numId w:val="22"/>
      </w:numPr>
    </w:pPr>
  </w:style>
  <w:style w:type="paragraph" w:customStyle="1" w:styleId="JuListi">
    <w:name w:val="Ju_List_i"/>
    <w:aliases w:val="_List_3"/>
    <w:basedOn w:val="NormalJustified"/>
    <w:uiPriority w:val="23"/>
    <w:rsid w:val="00421CB7"/>
    <w:pPr>
      <w:numPr>
        <w:ilvl w:val="2"/>
        <w:numId w:val="22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421CB7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421CB7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421CB7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421CB7"/>
    <w:pPr>
      <w:keepNext/>
      <w:keepLines/>
      <w:numPr>
        <w:numId w:val="2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421CB7"/>
    <w:pPr>
      <w:numPr>
        <w:numId w:val="1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421CB7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421CB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421CB7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421CB7"/>
    <w:pPr>
      <w:numPr>
        <w:numId w:val="1"/>
      </w:numPr>
    </w:pPr>
  </w:style>
  <w:style w:type="numbering" w:customStyle="1" w:styleId="ECHRA1StyleNumberedList">
    <w:name w:val="ECHR_A1_Style_Numbered_List"/>
    <w:basedOn w:val="Bezlisty"/>
    <w:rsid w:val="00421CB7"/>
    <w:pPr>
      <w:numPr>
        <w:numId w:val="18"/>
      </w:numPr>
    </w:pPr>
  </w:style>
  <w:style w:type="table" w:customStyle="1" w:styleId="ECHRTable2019">
    <w:name w:val="ECHR_Table_2019"/>
    <w:basedOn w:val="Standardowy"/>
    <w:uiPriority w:val="99"/>
    <w:rsid w:val="00421CB7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421CB7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421CB7"/>
    <w:pPr>
      <w:keepNext/>
      <w:keepLines/>
      <w:numPr>
        <w:ilvl w:val="1"/>
        <w:numId w:val="2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421CB7"/>
    <w:pPr>
      <w:keepNext/>
      <w:keepLines/>
      <w:numPr>
        <w:ilvl w:val="2"/>
        <w:numId w:val="2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421CB7"/>
    <w:pPr>
      <w:keepNext/>
      <w:keepLines/>
      <w:numPr>
        <w:ilvl w:val="3"/>
        <w:numId w:val="2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421C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421CB7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421CB7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421CB7"/>
    <w:pPr>
      <w:keepNext/>
      <w:keepLines/>
      <w:numPr>
        <w:ilvl w:val="4"/>
        <w:numId w:val="21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421CB7"/>
    <w:pPr>
      <w:keepNext/>
      <w:keepLines/>
      <w:numPr>
        <w:ilvl w:val="5"/>
        <w:numId w:val="2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421CB7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421CB7"/>
    <w:pPr>
      <w:keepNext/>
      <w:keepLines/>
      <w:numPr>
        <w:ilvl w:val="6"/>
        <w:numId w:val="2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421CB7"/>
    <w:pPr>
      <w:keepNext/>
      <w:keepLines/>
      <w:numPr>
        <w:ilvl w:val="7"/>
        <w:numId w:val="21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421CB7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421CB7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421CB7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421CB7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421CB7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421CB7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421CB7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421CB7"/>
    <w:rPr>
      <w:caps w:val="0"/>
      <w:smallCaps/>
    </w:rPr>
  </w:style>
  <w:style w:type="character" w:styleId="Wyrnieniedelikatne">
    <w:name w:val="Subtle Emphasis"/>
    <w:uiPriority w:val="98"/>
    <w:semiHidden/>
    <w:qFormat/>
    <w:rsid w:val="00421CB7"/>
    <w:rPr>
      <w:i/>
      <w:iCs/>
    </w:rPr>
  </w:style>
  <w:style w:type="table" w:customStyle="1" w:styleId="ECHRTable">
    <w:name w:val="ECHR_Table"/>
    <w:basedOn w:val="Standardowy"/>
    <w:rsid w:val="00421CB7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21CB7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421CB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421CB7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421CB7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421CB7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421C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421CB7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421CB7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421CB7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421CB7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421CB7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421CB7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421CB7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421CB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421CB7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421CB7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421CB7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421CB7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421CB7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421CB7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421CB7"/>
    <w:rPr>
      <w:smallCaps/>
    </w:rPr>
  </w:style>
  <w:style w:type="table" w:styleId="Tabela-Siatka">
    <w:name w:val="Table Grid"/>
    <w:basedOn w:val="Standardowy"/>
    <w:uiPriority w:val="59"/>
    <w:semiHidden/>
    <w:rsid w:val="00421CB7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421CB7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421CB7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421CB7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421CB7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421CB7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421CB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421CB7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421CB7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421CB7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421CB7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421CB7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421CB7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421CB7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421CB7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421CB7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421CB7"/>
    <w:pPr>
      <w:numPr>
        <w:numId w:val="3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421CB7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421CB7"/>
    <w:pPr>
      <w:numPr>
        <w:numId w:val="4"/>
      </w:numPr>
    </w:pPr>
  </w:style>
  <w:style w:type="table" w:customStyle="1" w:styleId="ECHRTableSimpleBox">
    <w:name w:val="ECHR_Table_Simple_Box"/>
    <w:basedOn w:val="Standardowy"/>
    <w:uiPriority w:val="99"/>
    <w:rsid w:val="00421CB7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421CB7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421CB7"/>
    <w:pPr>
      <w:numPr>
        <w:numId w:val="5"/>
      </w:numPr>
    </w:pPr>
  </w:style>
  <w:style w:type="table" w:customStyle="1" w:styleId="ECHRTableForInternalUse">
    <w:name w:val="ECHR_Table_For_Internal_Use"/>
    <w:basedOn w:val="Standardowy"/>
    <w:uiPriority w:val="99"/>
    <w:rsid w:val="00421CB7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21CB7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421CB7"/>
  </w:style>
  <w:style w:type="paragraph" w:styleId="Tekstblokowy">
    <w:name w:val="Block Text"/>
    <w:basedOn w:val="Normalny"/>
    <w:uiPriority w:val="98"/>
    <w:semiHidden/>
    <w:rsid w:val="00421CB7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421CB7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421CB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421CB7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421CB7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421CB7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421CB7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421CB7"/>
    <w:pPr>
      <w:ind w:firstLine="284"/>
    </w:pPr>
    <w:rPr>
      <w:b/>
    </w:rPr>
  </w:style>
  <w:style w:type="character" w:styleId="Numerstrony">
    <w:name w:val="page number"/>
    <w:uiPriority w:val="98"/>
    <w:semiHidden/>
    <w:rsid w:val="00421CB7"/>
    <w:rPr>
      <w:sz w:val="18"/>
    </w:rPr>
  </w:style>
  <w:style w:type="paragraph" w:styleId="Listapunktowana">
    <w:name w:val="List Bullet"/>
    <w:basedOn w:val="Normalny"/>
    <w:uiPriority w:val="98"/>
    <w:semiHidden/>
    <w:rsid w:val="00421CB7"/>
    <w:pPr>
      <w:numPr>
        <w:numId w:val="6"/>
      </w:numPr>
    </w:pPr>
  </w:style>
  <w:style w:type="paragraph" w:styleId="Listapunktowana3">
    <w:name w:val="List Bullet 3"/>
    <w:basedOn w:val="Normalny"/>
    <w:uiPriority w:val="98"/>
    <w:semiHidden/>
    <w:rsid w:val="00421CB7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421CB7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421CB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421CB7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421CB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421CB7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421C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421CB7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421CB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421CB7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421CB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421CB7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421CB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421CB7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421CB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421CB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421CB7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421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421C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421CB7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421C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421CB7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421CB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421CB7"/>
  </w:style>
  <w:style w:type="character" w:customStyle="1" w:styleId="DataZnak">
    <w:name w:val="Data Znak"/>
    <w:basedOn w:val="Domylnaczcionkaakapitu"/>
    <w:link w:val="Data"/>
    <w:uiPriority w:val="98"/>
    <w:semiHidden/>
    <w:rsid w:val="00421CB7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421CB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421CB7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421CB7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421CB7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421CB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421CB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421CB7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421CB7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421CB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421CB7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421CB7"/>
  </w:style>
  <w:style w:type="paragraph" w:styleId="HTML-adres">
    <w:name w:val="HTML Address"/>
    <w:basedOn w:val="Normalny"/>
    <w:link w:val="HTML-adresZnak"/>
    <w:uiPriority w:val="98"/>
    <w:semiHidden/>
    <w:rsid w:val="00421CB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421CB7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421CB7"/>
    <w:rPr>
      <w:i/>
      <w:iCs/>
    </w:rPr>
  </w:style>
  <w:style w:type="character" w:styleId="HTML-kod">
    <w:name w:val="HTML Code"/>
    <w:basedOn w:val="Domylnaczcionkaakapitu"/>
    <w:uiPriority w:val="98"/>
    <w:semiHidden/>
    <w:rsid w:val="00421CB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421CB7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421CB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421CB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421CB7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421CB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421CB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421CB7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421CB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421CB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421CB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421CB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421CB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421CB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421CB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421CB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421CB7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421CB7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421CB7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421CB7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421CB7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421CB7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421CB7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421CB7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421CB7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421CB7"/>
  </w:style>
  <w:style w:type="paragraph" w:styleId="Lista">
    <w:name w:val="List"/>
    <w:basedOn w:val="Normalny"/>
    <w:uiPriority w:val="98"/>
    <w:semiHidden/>
    <w:rsid w:val="00421CB7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421CB7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421CB7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421CB7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421CB7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421CB7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421CB7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8"/>
    <w:semiHidden/>
    <w:rsid w:val="00421CB7"/>
    <w:pPr>
      <w:numPr>
        <w:numId w:val="10"/>
      </w:numPr>
      <w:contextualSpacing/>
    </w:pPr>
  </w:style>
  <w:style w:type="paragraph" w:styleId="Lista-kontynuacja">
    <w:name w:val="List Continue"/>
    <w:basedOn w:val="Normalny"/>
    <w:uiPriority w:val="98"/>
    <w:semiHidden/>
    <w:rsid w:val="00421CB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421CB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421CB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421CB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421CB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421CB7"/>
    <w:pPr>
      <w:numPr>
        <w:numId w:val="11"/>
      </w:numPr>
      <w:contextualSpacing/>
    </w:pPr>
  </w:style>
  <w:style w:type="paragraph" w:styleId="Listanumerowana2">
    <w:name w:val="List Number 2"/>
    <w:basedOn w:val="Normalny"/>
    <w:uiPriority w:val="98"/>
    <w:semiHidden/>
    <w:rsid w:val="00421CB7"/>
    <w:pPr>
      <w:numPr>
        <w:numId w:val="12"/>
      </w:numPr>
      <w:contextualSpacing/>
    </w:pPr>
  </w:style>
  <w:style w:type="paragraph" w:styleId="Listanumerowana3">
    <w:name w:val="List Number 3"/>
    <w:basedOn w:val="Normalny"/>
    <w:uiPriority w:val="98"/>
    <w:semiHidden/>
    <w:rsid w:val="00421CB7"/>
    <w:pPr>
      <w:numPr>
        <w:numId w:val="13"/>
      </w:numPr>
      <w:contextualSpacing/>
    </w:pPr>
  </w:style>
  <w:style w:type="paragraph" w:styleId="Listanumerowana4">
    <w:name w:val="List Number 4"/>
    <w:basedOn w:val="Normalny"/>
    <w:uiPriority w:val="98"/>
    <w:semiHidden/>
    <w:rsid w:val="00421CB7"/>
    <w:pPr>
      <w:numPr>
        <w:numId w:val="14"/>
      </w:numPr>
      <w:contextualSpacing/>
    </w:pPr>
  </w:style>
  <w:style w:type="paragraph" w:styleId="Listanumerowana5">
    <w:name w:val="List Number 5"/>
    <w:basedOn w:val="Normalny"/>
    <w:uiPriority w:val="98"/>
    <w:semiHidden/>
    <w:rsid w:val="00421CB7"/>
    <w:pPr>
      <w:numPr>
        <w:numId w:val="15"/>
      </w:numPr>
      <w:contextualSpacing/>
    </w:pPr>
  </w:style>
  <w:style w:type="paragraph" w:styleId="Tekstmakra">
    <w:name w:val="macro"/>
    <w:link w:val="TekstmakraZnak"/>
    <w:uiPriority w:val="98"/>
    <w:semiHidden/>
    <w:rsid w:val="00421C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421CB7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421CB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421CB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421CB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421C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421CB7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421CB7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421CB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421CB7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421CB7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421CB7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421CB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421CB7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421CB7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421CB7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421CB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421CB7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421CB7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421CB7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421CB7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421CB7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421CB7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421CB7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421CB7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421CB7"/>
  </w:style>
  <w:style w:type="table" w:styleId="Tabela-Profesjonalny">
    <w:name w:val="Table Professional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421CB7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421CB7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421CB7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421CB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421CB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421CB7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421CB7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421CB7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421CB7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421CB7"/>
    <w:pPr>
      <w:numPr>
        <w:numId w:val="19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421CB7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421CB7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421CB7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421CB7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421CB7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421CB7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421CB7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421CB7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421CB7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421CB7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421CB7"/>
    <w:pPr>
      <w:keepNext/>
      <w:keepLines/>
      <w:numPr>
        <w:ilvl w:val="8"/>
        <w:numId w:val="2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421CB7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421CB7"/>
    <w:pPr>
      <w:numPr>
        <w:numId w:val="2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421CB7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421CB7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421CB7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421CB7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421CB7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421CB7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421CB7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421CB7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421CB7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421CB7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421CB7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421CB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421CB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421CB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421CB7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421CB7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421CB7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421CB7"/>
    <w:rPr>
      <w:sz w:val="4"/>
    </w:rPr>
  </w:style>
  <w:style w:type="table" w:customStyle="1" w:styleId="ECHRTableGrey">
    <w:name w:val="ECHR_Table_Grey"/>
    <w:basedOn w:val="Standardowy"/>
    <w:uiPriority w:val="99"/>
    <w:rsid w:val="00421CB7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21CB7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8D7596"/>
    <w:rPr>
      <w:sz w:val="24"/>
      <w:szCs w:val="24"/>
      <w:lang w:val="pl-PL"/>
    </w:rPr>
  </w:style>
  <w:style w:type="table" w:customStyle="1" w:styleId="Tabelasiatki1jasna1">
    <w:name w:val="Tabela siatki 1 — jasna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421CB7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421CB7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421CB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421CB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421CB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421CB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421CB7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421CB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421CB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421CB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421CB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421CB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421CB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421CB7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421CB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421CB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421CB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421CB7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421C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421CB7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421CB7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421CB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421CB7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421CB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421CB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421CB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421CB7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421CB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421CB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421CB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421CB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421CB7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421CB7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421CB7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421CB7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421CB7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421CB7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421CB7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421CB7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421CB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421CB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421CB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421CB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421CB7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421CB7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421CB7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7F8D2-428F-427C-A8FB-856664085F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8C856E-80AC-4717-BCAA-B1A7CDD86E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107B4C-6833-4147-93A2-B4D879A2BD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A858B9-9DBD-4508-8322-2CCD8CD57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2773</Words>
  <Characters>16642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19377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keywords/>
  <cp:lastModifiedBy/>
  <cp:revision>1</cp:revision>
  <dcterms:created xsi:type="dcterms:W3CDTF">2022-11-02T13:39:00Z</dcterms:created>
  <dcterms:modified xsi:type="dcterms:W3CDTF">2023-04-07T14:19:00Z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60906/16</vt:lpwstr>
  </property>
  <property fmtid="{D5CDD505-2E9C-101B-9397-08002B2CF9AE}" pid="4" name="CASEID">
    <vt:lpwstr>1254397</vt:lpwstr>
  </property>
  <property fmtid="{D5CDD505-2E9C-101B-9397-08002B2CF9AE}" pid="5" name="ContentTypeId">
    <vt:lpwstr>0x010100558EB02BDB9E204AB350EDD385B68E10</vt:lpwstr>
  </property>
</Properties>
</file>