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24ADA" w14:textId="185A5B03" w:rsidR="003E50E1" w:rsidRPr="000C3DAA" w:rsidRDefault="000C3DAA" w:rsidP="00A74E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EUROPEJSKI TRYBUNAŁ PRAW CZŁOWIEKA</w:t>
      </w:r>
    </w:p>
    <w:p w14:paraId="653097F7" w14:textId="77777777" w:rsidR="0098410D" w:rsidRPr="00A74EBF" w:rsidRDefault="0098410D" w:rsidP="00A74EBF">
      <w:pPr>
        <w:jc w:val="center"/>
      </w:pPr>
    </w:p>
    <w:p w14:paraId="1442BF17" w14:textId="19D4B4FF" w:rsidR="0098410D" w:rsidRPr="00A74EBF" w:rsidRDefault="003E50E1" w:rsidP="00A74EBF">
      <w:pPr>
        <w:pStyle w:val="DecHTitle"/>
      </w:pPr>
      <w:r>
        <w:t>PIERWSZA SEKCJA</w:t>
      </w:r>
    </w:p>
    <w:p w14:paraId="5FA99F75" w14:textId="2A2B6973" w:rsidR="008E6217" w:rsidRPr="00A74EBF" w:rsidRDefault="008E6217" w:rsidP="00A74EBF">
      <w:pPr>
        <w:pStyle w:val="JuTitle"/>
      </w:pPr>
      <w:bookmarkStart w:id="0" w:name="To"/>
      <w:r>
        <w:t xml:space="preserve">SPRAWA </w:t>
      </w:r>
      <w:bookmarkEnd w:id="0"/>
      <w:proofErr w:type="spellStart"/>
      <w:r>
        <w:t>BIERSKI</w:t>
      </w:r>
      <w:proofErr w:type="spellEnd"/>
      <w:r>
        <w:t xml:space="preserve"> PRZECIWKO POLSCE</w:t>
      </w:r>
    </w:p>
    <w:p w14:paraId="09573DFF" w14:textId="7D61B1FE" w:rsidR="00D74888" w:rsidRPr="00A74EBF" w:rsidRDefault="008E6217" w:rsidP="00A74EBF">
      <w:pPr>
        <w:pStyle w:val="ECHRCoverTitle4"/>
      </w:pPr>
      <w:r>
        <w:t>(Skarga nr</w:t>
      </w:r>
      <w:r w:rsidR="001C198A">
        <w:t xml:space="preserve"> </w:t>
      </w:r>
      <w:r>
        <w:t>46342/19)</w:t>
      </w:r>
    </w:p>
    <w:p w14:paraId="764E86F4" w14:textId="3D9C237F" w:rsidR="00BE044B" w:rsidRPr="00A74EBF" w:rsidRDefault="00BE044B" w:rsidP="00A74EBF">
      <w:pPr>
        <w:pStyle w:val="DecHCase"/>
      </w:pPr>
    </w:p>
    <w:p w14:paraId="243EF77A" w14:textId="612E8A5B" w:rsidR="0098410D" w:rsidRPr="00A45B7F" w:rsidRDefault="0098410D" w:rsidP="00A74EBF">
      <w:pPr>
        <w:pStyle w:val="DecHCase"/>
        <w:rPr>
          <w:i/>
          <w:iCs/>
          <w:sz w:val="22"/>
          <w:szCs w:val="22"/>
        </w:rPr>
      </w:pPr>
      <w:r>
        <w:t>WYROK</w:t>
      </w:r>
      <w:r>
        <w:br/>
      </w:r>
    </w:p>
    <w:p w14:paraId="517EA38B" w14:textId="76657322" w:rsidR="00BD3418" w:rsidRPr="00BD3418" w:rsidRDefault="00BD3418" w:rsidP="00BD3418">
      <w:pPr>
        <w:pStyle w:val="DecHCase"/>
        <w:rPr>
          <w:i/>
          <w:iCs/>
          <w:sz w:val="22"/>
          <w:szCs w:val="22"/>
        </w:rPr>
      </w:pPr>
      <w:r w:rsidRPr="00BD3418">
        <w:rPr>
          <w:i/>
          <w:iCs/>
          <w:sz w:val="22"/>
          <w:szCs w:val="22"/>
        </w:rPr>
        <w:t>Niniejsza wersja została sprostowana w dniu 24 października 2022 r. na</w:t>
      </w:r>
      <w:r>
        <w:rPr>
          <w:i/>
          <w:iCs/>
          <w:sz w:val="22"/>
          <w:szCs w:val="22"/>
        </w:rPr>
        <w:t> </w:t>
      </w:r>
      <w:r w:rsidRPr="00BD3418">
        <w:rPr>
          <w:i/>
          <w:iCs/>
          <w:sz w:val="22"/>
          <w:szCs w:val="22"/>
        </w:rPr>
        <w:t>podstawie</w:t>
      </w:r>
      <w:r>
        <w:rPr>
          <w:i/>
          <w:iCs/>
          <w:sz w:val="22"/>
          <w:szCs w:val="22"/>
        </w:rPr>
        <w:t> </w:t>
      </w:r>
      <w:r w:rsidRPr="00BD3418">
        <w:rPr>
          <w:i/>
          <w:iCs/>
          <w:sz w:val="22"/>
          <w:szCs w:val="22"/>
        </w:rPr>
        <w:t>Reguły 81 Regulaminu Trybunału</w:t>
      </w:r>
    </w:p>
    <w:p w14:paraId="61F39254" w14:textId="77777777" w:rsidR="00BD3418" w:rsidRPr="00BD3418" w:rsidRDefault="00BD3418" w:rsidP="00BD3418">
      <w:pPr>
        <w:pStyle w:val="JuPara"/>
      </w:pPr>
    </w:p>
    <w:p w14:paraId="17187879" w14:textId="05D068B0" w:rsidR="00A74EBF" w:rsidRPr="00A74EBF" w:rsidRDefault="00A74EBF" w:rsidP="00A74EBF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</w:pPr>
      <w:r>
        <w:t xml:space="preserve">Artykuł 8 • Obowiązki pozytywne • Niepodjęcie przez władze działań mających na celu przywrócenie kontaktów ojca z dorosłym, ubezwłasnowolnionym synem, co skutkowało brakiem kontaktów przez ponad dwa lata • Brak </w:t>
      </w:r>
      <w:r w:rsidR="00314E0C">
        <w:t>uregulowań</w:t>
      </w:r>
      <w:r>
        <w:t xml:space="preserve"> prawnych chroniących prawo skarżącego do życia rodzinnego</w:t>
      </w:r>
    </w:p>
    <w:p w14:paraId="4494A34C" w14:textId="77777777" w:rsidR="00A74EBF" w:rsidRPr="00A74EBF" w:rsidRDefault="00A74EBF" w:rsidP="00A74EBF">
      <w:pPr>
        <w:pStyle w:val="JuPara"/>
        <w:spacing w:after="240"/>
      </w:pPr>
    </w:p>
    <w:p w14:paraId="1EA8C123" w14:textId="77777777" w:rsidR="0098410D" w:rsidRPr="00A74EBF" w:rsidRDefault="0098410D" w:rsidP="00A74EBF">
      <w:pPr>
        <w:pStyle w:val="DecHCase"/>
      </w:pPr>
      <w:r>
        <w:t>STRASBURG</w:t>
      </w:r>
    </w:p>
    <w:p w14:paraId="4B062FEF" w14:textId="35ADECD0" w:rsidR="0098410D" w:rsidRPr="00A74EBF" w:rsidRDefault="003E50E1" w:rsidP="00A74EBF">
      <w:pPr>
        <w:pStyle w:val="DecHCase"/>
      </w:pPr>
      <w:r>
        <w:rPr>
          <w:rFonts w:ascii="Times New Roman" w:hAnsi="Times New Roman"/>
        </w:rPr>
        <w:t>20 października 2022 r.</w:t>
      </w:r>
    </w:p>
    <w:p w14:paraId="5C5F69C9" w14:textId="1B144B8E" w:rsidR="00BD3418" w:rsidRPr="00BD3418" w:rsidRDefault="00BD3418" w:rsidP="00BD3418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BD3418">
        <w:rPr>
          <w:color w:val="FF0000"/>
          <w:sz w:val="28"/>
          <w:szCs w:val="28"/>
          <w:u w:val="single"/>
          <w:lang w:val="pl-PL"/>
        </w:rPr>
        <w:t>OSTATECZNY</w:t>
      </w:r>
    </w:p>
    <w:p w14:paraId="536A2A4C" w14:textId="77777777" w:rsidR="00BD3418" w:rsidRPr="00BD3418" w:rsidRDefault="00BD3418" w:rsidP="00BD3418">
      <w:pPr>
        <w:pStyle w:val="jucase0"/>
        <w:ind w:firstLine="0"/>
        <w:jc w:val="center"/>
        <w:rPr>
          <w:b w:val="0"/>
          <w:bCs w:val="0"/>
          <w:color w:val="FF0000"/>
          <w:u w:val="single"/>
          <w:lang w:val="pl-PL"/>
        </w:rPr>
      </w:pPr>
    </w:p>
    <w:p w14:paraId="2AE57D21" w14:textId="77777777" w:rsidR="00BD3418" w:rsidRPr="00BD3418" w:rsidRDefault="00BD3418" w:rsidP="00BD3418">
      <w:pPr>
        <w:pStyle w:val="jucase0"/>
        <w:ind w:firstLine="0"/>
        <w:jc w:val="center"/>
        <w:rPr>
          <w:b w:val="0"/>
          <w:color w:val="FF0000"/>
          <w:sz w:val="28"/>
          <w:szCs w:val="28"/>
          <w:lang w:val="pl-PL"/>
        </w:rPr>
      </w:pPr>
      <w:r w:rsidRPr="00BD3418">
        <w:rPr>
          <w:b w:val="0"/>
          <w:color w:val="FF0000"/>
          <w:sz w:val="28"/>
          <w:szCs w:val="28"/>
          <w:lang w:val="pl-PL"/>
        </w:rPr>
        <w:t>20/01/2023</w:t>
      </w:r>
    </w:p>
    <w:p w14:paraId="4769C3F5" w14:textId="1462D19C" w:rsidR="00AC4CD4" w:rsidRPr="00A74EBF" w:rsidRDefault="00AC4CD4" w:rsidP="00A74EBF">
      <w:pPr>
        <w:pStyle w:val="JuPara"/>
      </w:pPr>
    </w:p>
    <w:p w14:paraId="2E10002D" w14:textId="77777777" w:rsidR="00A74EBF" w:rsidRPr="00A74EBF" w:rsidRDefault="00A74EBF" w:rsidP="00A74EBF">
      <w:pPr>
        <w:pStyle w:val="JuPara"/>
      </w:pPr>
    </w:p>
    <w:p w14:paraId="3F8F6991" w14:textId="0F17BEB5" w:rsidR="002422B6" w:rsidRPr="00A74EBF" w:rsidRDefault="0098410D" w:rsidP="00A74EBF">
      <w:pPr>
        <w:rPr>
          <w:i/>
          <w:sz w:val="22"/>
        </w:rPr>
      </w:pPr>
      <w:r>
        <w:rPr>
          <w:i/>
          <w:sz w:val="22"/>
        </w:rPr>
        <w:t>Wyrok ten sta</w:t>
      </w:r>
      <w:r w:rsidR="00BD3418">
        <w:rPr>
          <w:i/>
          <w:sz w:val="22"/>
        </w:rPr>
        <w:t>ł</w:t>
      </w:r>
      <w:r>
        <w:rPr>
          <w:i/>
          <w:sz w:val="22"/>
        </w:rPr>
        <w:t xml:space="preserve"> się ostateczny zgodnie z warunkami określonymi w art. 44 ust. 2 Konwencji. Może podlegać korekcie wydawniczej.</w:t>
      </w:r>
    </w:p>
    <w:p w14:paraId="7BD1B82A" w14:textId="6118E47A" w:rsidR="0098410D" w:rsidRPr="00A74EBF" w:rsidRDefault="0098410D" w:rsidP="00A74EBF">
      <w:pPr>
        <w:sectPr w:rsidR="0098410D" w:rsidRPr="00A74EBF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79310F4" w14:textId="330E9709" w:rsidR="0098410D" w:rsidRPr="00A74EBF" w:rsidRDefault="0098410D" w:rsidP="00A74EBF">
      <w:pPr>
        <w:pStyle w:val="JuCase"/>
      </w:pPr>
      <w:r>
        <w:lastRenderedPageBreak/>
        <w:t xml:space="preserve">W sprawie </w:t>
      </w:r>
      <w:proofErr w:type="spellStart"/>
      <w:r>
        <w:t>Bierski</w:t>
      </w:r>
      <w:proofErr w:type="spellEnd"/>
      <w:r>
        <w:t xml:space="preserve"> przeciwko Polsce</w:t>
      </w:r>
    </w:p>
    <w:p w14:paraId="1FFE377C" w14:textId="0C43A523" w:rsidR="009F4C8F" w:rsidRPr="00A74EBF" w:rsidRDefault="009F4C8F" w:rsidP="00A74EBF">
      <w:pPr>
        <w:pStyle w:val="JuPara"/>
      </w:pPr>
      <w:r>
        <w:t>Europejski Trybunał Praw Człowieka (Sekcja Pierwsza), zasiadając jako Izba w</w:t>
      </w:r>
      <w:r w:rsidR="001C198A">
        <w:t xml:space="preserve"> </w:t>
      </w:r>
      <w:r>
        <w:t>składzie:</w:t>
      </w:r>
    </w:p>
    <w:p w14:paraId="3EB88AB1" w14:textId="04CD142F" w:rsidR="00B52D50" w:rsidRPr="00A74EBF" w:rsidRDefault="00D61236" w:rsidP="00A74EBF">
      <w:pPr>
        <w:pStyle w:val="JuJudges"/>
        <w:rPr>
          <w:i/>
        </w:rPr>
      </w:pPr>
      <w:r>
        <w:tab/>
        <w:t xml:space="preserve">Marko </w:t>
      </w:r>
      <w:proofErr w:type="spellStart"/>
      <w:r>
        <w:t>Bošnjak</w:t>
      </w:r>
      <w:proofErr w:type="spellEnd"/>
      <w:r>
        <w:rPr>
          <w:i/>
        </w:rPr>
        <w:t>, Przewodniczący,</w:t>
      </w:r>
    </w:p>
    <w:p w14:paraId="6BBD188D" w14:textId="36E1DE25" w:rsidR="00B52D50" w:rsidRPr="00A74EBF" w:rsidRDefault="00D61236" w:rsidP="00A74EBF">
      <w:pPr>
        <w:pStyle w:val="JuJudges"/>
        <w:rPr>
          <w:i/>
        </w:rPr>
      </w:pPr>
      <w:r>
        <w:tab/>
        <w:t xml:space="preserve">Krzysztof </w:t>
      </w:r>
      <w:proofErr w:type="spellStart"/>
      <w:r>
        <w:t>Wojtyczek</w:t>
      </w:r>
      <w:proofErr w:type="spellEnd"/>
      <w:r>
        <w:rPr>
          <w:i/>
        </w:rPr>
        <w:t>,</w:t>
      </w:r>
    </w:p>
    <w:p w14:paraId="031E2B55" w14:textId="1214042A" w:rsidR="00B52D50" w:rsidRPr="00A74EBF" w:rsidRDefault="00D61236" w:rsidP="00A74EBF">
      <w:pPr>
        <w:pStyle w:val="JuJudges"/>
        <w:rPr>
          <w:i/>
        </w:rPr>
      </w:pPr>
      <w:r>
        <w:tab/>
        <w:t xml:space="preserve">Alena </w:t>
      </w:r>
      <w:proofErr w:type="spellStart"/>
      <w:r>
        <w:t>Poláčková</w:t>
      </w:r>
      <w:proofErr w:type="spellEnd"/>
      <w:r>
        <w:rPr>
          <w:i/>
        </w:rPr>
        <w:t>,</w:t>
      </w:r>
    </w:p>
    <w:p w14:paraId="02895D90" w14:textId="24F0871E" w:rsidR="00B52D50" w:rsidRPr="00A74EBF" w:rsidRDefault="00D61236" w:rsidP="00A74EBF">
      <w:pPr>
        <w:pStyle w:val="JuJudges"/>
        <w:rPr>
          <w:i/>
        </w:rPr>
      </w:pPr>
      <w:r>
        <w:tab/>
        <w:t xml:space="preserve">Erik </w:t>
      </w:r>
      <w:proofErr w:type="spellStart"/>
      <w:r>
        <w:t>Wennerström</w:t>
      </w:r>
      <w:proofErr w:type="spellEnd"/>
      <w:r>
        <w:rPr>
          <w:i/>
        </w:rPr>
        <w:t>,</w:t>
      </w:r>
    </w:p>
    <w:p w14:paraId="1A724CCE" w14:textId="3A7C44CB" w:rsidR="00B52D50" w:rsidRPr="00A74EBF" w:rsidRDefault="00D61236" w:rsidP="00A74EBF">
      <w:pPr>
        <w:pStyle w:val="JuJudges"/>
        <w:rPr>
          <w:i/>
        </w:rPr>
      </w:pPr>
      <w:r>
        <w:tab/>
        <w:t xml:space="preserve">Lorraine </w:t>
      </w:r>
      <w:proofErr w:type="spellStart"/>
      <w:r>
        <w:t>Schembri</w:t>
      </w:r>
      <w:proofErr w:type="spellEnd"/>
      <w:r>
        <w:t xml:space="preserve"> </w:t>
      </w:r>
      <w:proofErr w:type="spellStart"/>
      <w:r>
        <w:t>Orland</w:t>
      </w:r>
      <w:proofErr w:type="spellEnd"/>
      <w:r>
        <w:rPr>
          <w:i/>
        </w:rPr>
        <w:t>,</w:t>
      </w:r>
    </w:p>
    <w:p w14:paraId="5429A329" w14:textId="4C67F0BE" w:rsidR="00B52D50" w:rsidRPr="00A74EBF" w:rsidRDefault="00D61236" w:rsidP="00A74EBF">
      <w:pPr>
        <w:pStyle w:val="JuJudges"/>
        <w:rPr>
          <w:i/>
        </w:rPr>
      </w:pPr>
      <w:r>
        <w:tab/>
      </w:r>
      <w:proofErr w:type="spellStart"/>
      <w:r>
        <w:t>Ioannis</w:t>
      </w:r>
      <w:proofErr w:type="spellEnd"/>
      <w:r>
        <w:t xml:space="preserve"> </w:t>
      </w:r>
      <w:proofErr w:type="spellStart"/>
      <w:r>
        <w:t>Ktistakis</w:t>
      </w:r>
      <w:proofErr w:type="spellEnd"/>
      <w:r>
        <w:rPr>
          <w:i/>
        </w:rPr>
        <w:t>,</w:t>
      </w:r>
    </w:p>
    <w:p w14:paraId="76A35787" w14:textId="4A8B906D" w:rsidR="009F4C8F" w:rsidRPr="00A74EBF" w:rsidRDefault="00D61236" w:rsidP="00A74EBF">
      <w:pPr>
        <w:pStyle w:val="JuJudges"/>
        <w:rPr>
          <w:i/>
        </w:rPr>
      </w:pPr>
      <w:r>
        <w:tab/>
      </w:r>
      <w:proofErr w:type="spellStart"/>
      <w:r>
        <w:t>Davor</w:t>
      </w:r>
      <w:proofErr w:type="spellEnd"/>
      <w:r>
        <w:t xml:space="preserve"> </w:t>
      </w:r>
      <w:proofErr w:type="spellStart"/>
      <w:r>
        <w:t>Derenčinović</w:t>
      </w:r>
      <w:proofErr w:type="spellEnd"/>
      <w:r>
        <w:rPr>
          <w:i/>
        </w:rPr>
        <w:t>, Sędziowie,</w:t>
      </w:r>
      <w:r>
        <w:br/>
        <w:t>i Renata Degener,</w:t>
      </w:r>
      <w:r>
        <w:rPr>
          <w:i/>
        </w:rPr>
        <w:t xml:space="preserve"> Kanclerz Sekcji</w:t>
      </w:r>
      <w:r>
        <w:t>,</w:t>
      </w:r>
    </w:p>
    <w:p w14:paraId="7361BAD2" w14:textId="77777777" w:rsidR="003E50E1" w:rsidRPr="00A74EBF" w:rsidRDefault="003E50E1" w:rsidP="00A74EBF">
      <w:pPr>
        <w:pStyle w:val="JuPara"/>
      </w:pPr>
      <w:r>
        <w:t>uwzględniając:</w:t>
      </w:r>
    </w:p>
    <w:p w14:paraId="0748EFF8" w14:textId="293708B1" w:rsidR="003E50E1" w:rsidRPr="00A74EBF" w:rsidRDefault="003E50E1" w:rsidP="00A74EBF">
      <w:pPr>
        <w:pStyle w:val="JuPara"/>
      </w:pPr>
      <w:r>
        <w:t>skargę (nr</w:t>
      </w:r>
      <w:r w:rsidR="001C198A">
        <w:t xml:space="preserve"> </w:t>
      </w:r>
      <w:r>
        <w:t>46342/19) przeciwko Rzeczypospolitej Polskiej wniesioną do</w:t>
      </w:r>
      <w:r w:rsidR="00D01B64">
        <w:t> </w:t>
      </w:r>
      <w:r>
        <w:t>Trybunału w dniu 23 sierpnia 2019</w:t>
      </w:r>
      <w:r w:rsidR="001C198A">
        <w:t xml:space="preserve"> </w:t>
      </w:r>
      <w:r>
        <w:t>r. na podstawie art.</w:t>
      </w:r>
      <w:r w:rsidR="001C198A">
        <w:t xml:space="preserve"> </w:t>
      </w:r>
      <w:r>
        <w:t>34 Konwencji o</w:t>
      </w:r>
      <w:r w:rsidR="00D01B64">
        <w:t> </w:t>
      </w:r>
      <w:r>
        <w:t>ochronie praw człowieka i</w:t>
      </w:r>
      <w:r w:rsidR="001C198A">
        <w:t xml:space="preserve"> </w:t>
      </w:r>
      <w:r>
        <w:t>podstawowych wolności („Konwencja”) przez</w:t>
      </w:r>
      <w:r w:rsidR="00D01B64">
        <w:t> </w:t>
      </w:r>
      <w:r>
        <w:t xml:space="preserve">obywatela polskiego, Stanisława </w:t>
      </w:r>
      <w:proofErr w:type="spellStart"/>
      <w:r>
        <w:t>Bierskiego</w:t>
      </w:r>
      <w:proofErr w:type="spellEnd"/>
      <w:r>
        <w:t xml:space="preserve"> („skarżący”);</w:t>
      </w:r>
    </w:p>
    <w:p w14:paraId="142AC34E" w14:textId="1E0A171B" w:rsidR="003E50E1" w:rsidRPr="00A74EBF" w:rsidRDefault="003E50E1" w:rsidP="00A74EBF">
      <w:pPr>
        <w:pStyle w:val="JuPara"/>
      </w:pPr>
      <w:r>
        <w:t xml:space="preserve">decyzję o zakomunikowaniu sprawy </w:t>
      </w:r>
      <w:r w:rsidR="00314E0C">
        <w:t>r</w:t>
      </w:r>
      <w:r>
        <w:t>ządowi polskiemu („Rząd”);</w:t>
      </w:r>
    </w:p>
    <w:p w14:paraId="47934261" w14:textId="3D3D7DD4" w:rsidR="003E50E1" w:rsidRPr="00A74EBF" w:rsidRDefault="003E50E1" w:rsidP="00A74EBF">
      <w:pPr>
        <w:pStyle w:val="JuPara"/>
      </w:pPr>
      <w:r>
        <w:t>uwagi przedstawione przez strony,</w:t>
      </w:r>
    </w:p>
    <w:p w14:paraId="7766622B" w14:textId="16D6BED7" w:rsidR="009F4C8F" w:rsidRPr="00A74EBF" w:rsidRDefault="009F4C8F" w:rsidP="00A74EBF">
      <w:pPr>
        <w:pStyle w:val="JuPara"/>
      </w:pPr>
      <w:r>
        <w:t>obradując na posiedzeniu niejawnym w dniu 20 września 2022</w:t>
      </w:r>
      <w:r w:rsidR="001C198A">
        <w:t xml:space="preserve"> </w:t>
      </w:r>
      <w:r>
        <w:t>r.,</w:t>
      </w:r>
    </w:p>
    <w:p w14:paraId="2DD11125" w14:textId="77777777" w:rsidR="009F4C8F" w:rsidRPr="00A74EBF" w:rsidRDefault="009F4C8F" w:rsidP="00A74EBF">
      <w:pPr>
        <w:pStyle w:val="JuPara"/>
      </w:pPr>
      <w:r>
        <w:t>wydaje następujący wyrok, który został przyjęty w tym dniu:</w:t>
      </w:r>
    </w:p>
    <w:p w14:paraId="488B864B" w14:textId="77777777" w:rsidR="003E50E1" w:rsidRPr="00A74EBF" w:rsidRDefault="003E50E1" w:rsidP="00A74EBF">
      <w:pPr>
        <w:pStyle w:val="JuHHead"/>
      </w:pPr>
      <w:r>
        <w:t>WPROWADZENIE</w:t>
      </w:r>
    </w:p>
    <w:p w14:paraId="2BABBA86" w14:textId="1B438935" w:rsidR="003E50E1" w:rsidRPr="00A74EBF" w:rsidRDefault="00A74EBF" w:rsidP="00A74EBF">
      <w:pPr>
        <w:pStyle w:val="JuPara"/>
      </w:pPr>
      <w:r w:rsidRPr="00A74EBF">
        <w:t>1</w:t>
      </w:r>
      <w:r w:rsidR="003E50E1">
        <w:t>.</w:t>
      </w:r>
      <w:r w:rsidR="001C198A">
        <w:t xml:space="preserve"> </w:t>
      </w:r>
      <w:r w:rsidR="003E50E1">
        <w:t>Niniejsza skarga dotyczy zarzutów naruszenia prawa skarżącego do</w:t>
      </w:r>
      <w:r w:rsidR="00D01B64">
        <w:t> </w:t>
      </w:r>
      <w:r w:rsidR="003E50E1">
        <w:t>dostępu do sądu oraz prawa do poszanowania jego życia rodzinnego z</w:t>
      </w:r>
      <w:r w:rsidR="00D01B64">
        <w:t> </w:t>
      </w:r>
      <w:r w:rsidR="003E50E1">
        <w:t>uwagi na to, że sądy odmówiły rozstrzygnięcia o sposobie utrzymywania kontaktów z jego dorosłym, ubezwłasnowolnionym synem.</w:t>
      </w:r>
    </w:p>
    <w:p w14:paraId="761F60E5" w14:textId="77777777" w:rsidR="003E50E1" w:rsidRPr="00A74EBF" w:rsidRDefault="003E50E1" w:rsidP="00A74EBF">
      <w:pPr>
        <w:pStyle w:val="JuHHead"/>
      </w:pPr>
      <w:r>
        <w:t>FAKTY</w:t>
      </w:r>
    </w:p>
    <w:p w14:paraId="2CD53691" w14:textId="46FED0F8" w:rsidR="003E50E1" w:rsidRPr="00A74EBF" w:rsidRDefault="00A74EBF" w:rsidP="00A74EBF">
      <w:pPr>
        <w:pStyle w:val="JuPara"/>
      </w:pPr>
      <w:r w:rsidRPr="00A74EBF">
        <w:t>2</w:t>
      </w:r>
      <w:r w:rsidR="003E50E1">
        <w:t>.</w:t>
      </w:r>
      <w:r w:rsidR="001C198A">
        <w:t xml:space="preserve"> </w:t>
      </w:r>
      <w:r w:rsidR="003E50E1">
        <w:t>Skarżący urodził się w</w:t>
      </w:r>
      <w:r w:rsidR="001C198A">
        <w:t xml:space="preserve"> </w:t>
      </w:r>
      <w:r w:rsidR="003E50E1">
        <w:t>1949</w:t>
      </w:r>
      <w:r w:rsidR="001C198A">
        <w:t xml:space="preserve"> </w:t>
      </w:r>
      <w:r w:rsidR="003E50E1">
        <w:t xml:space="preserve">r. i mieszka we Wrocławiu. Otrzymał pomoc prawną i był reprezentowany przed Trybunałem przez B. </w:t>
      </w:r>
      <w:proofErr w:type="spellStart"/>
      <w:r w:rsidR="003E50E1">
        <w:t>Słupską-Uczkiewicz</w:t>
      </w:r>
      <w:proofErr w:type="spellEnd"/>
      <w:r w:rsidR="003E50E1">
        <w:t>, prawnik praktykującą we Wrocławiu.</w:t>
      </w:r>
    </w:p>
    <w:p w14:paraId="0A9B1871" w14:textId="5962A78B" w:rsidR="003E50E1" w:rsidRPr="00A74EBF" w:rsidRDefault="00A74EBF" w:rsidP="00A74EBF">
      <w:pPr>
        <w:pStyle w:val="JuPara"/>
      </w:pPr>
      <w:r w:rsidRPr="00A74EBF">
        <w:t>3</w:t>
      </w:r>
      <w:r w:rsidR="003E50E1">
        <w:t>.</w:t>
      </w:r>
      <w:r w:rsidR="001C198A">
        <w:t xml:space="preserve"> </w:t>
      </w:r>
      <w:r w:rsidR="003E50E1">
        <w:t>Rząd był reprezentowany przez swojego pełnomocnika, J. Sobczaka, z</w:t>
      </w:r>
      <w:r w:rsidR="00D01B64">
        <w:t> </w:t>
      </w:r>
      <w:r w:rsidR="003E50E1">
        <w:t>Ministerstwa Spraw Zagranicznych.</w:t>
      </w:r>
    </w:p>
    <w:p w14:paraId="7B0570A1" w14:textId="3FD44F87" w:rsidR="003E50E1" w:rsidRPr="00A74EBF" w:rsidRDefault="00A74EBF" w:rsidP="00A74EBF">
      <w:pPr>
        <w:pStyle w:val="JuPara"/>
      </w:pPr>
      <w:r w:rsidRPr="00A74EBF">
        <w:t>4</w:t>
      </w:r>
      <w:r w:rsidR="003E50E1">
        <w:t>.</w:t>
      </w:r>
      <w:r w:rsidR="001C198A">
        <w:t xml:space="preserve"> </w:t>
      </w:r>
      <w:r w:rsidR="003E50E1">
        <w:t>Okoliczności faktyczne sprawy można streścić w następujący sposób.</w:t>
      </w:r>
    </w:p>
    <w:p w14:paraId="1ABEB891" w14:textId="423FD6FF" w:rsidR="003E50E1" w:rsidRPr="00A74EBF" w:rsidRDefault="003E50E1" w:rsidP="00A74EBF">
      <w:pPr>
        <w:pStyle w:val="JuHIRoman"/>
      </w:pPr>
      <w:r>
        <w:t xml:space="preserve">Próby </w:t>
      </w:r>
      <w:r w:rsidR="009A1CAA">
        <w:t>uzyskania</w:t>
      </w:r>
      <w:r>
        <w:t xml:space="preserve"> przez skarżącego rozstrzygnięcia o sposobie utrzymywania kontaktów z synem</w:t>
      </w:r>
    </w:p>
    <w:p w14:paraId="21BB51B1" w14:textId="7AA18B8C" w:rsidR="003E50E1" w:rsidRPr="00A74EBF" w:rsidRDefault="00A74EBF" w:rsidP="00A74EBF">
      <w:pPr>
        <w:pStyle w:val="JuPara"/>
      </w:pPr>
      <w:r w:rsidRPr="00A74EBF">
        <w:t>5</w:t>
      </w:r>
      <w:r w:rsidR="003E50E1">
        <w:t>.</w:t>
      </w:r>
      <w:r w:rsidR="001C198A">
        <w:t xml:space="preserve"> </w:t>
      </w:r>
      <w:r w:rsidR="003E50E1">
        <w:t xml:space="preserve">W 1999 r. skarżący zawarł związek małżeński z </w:t>
      </w:r>
      <w:proofErr w:type="spellStart"/>
      <w:r w:rsidR="003E50E1">
        <w:t>A.R</w:t>
      </w:r>
      <w:proofErr w:type="spellEnd"/>
      <w:r w:rsidR="003E50E1">
        <w:t xml:space="preserve">. i w tym samym roku urodził się ich syn, </w:t>
      </w:r>
      <w:proofErr w:type="spellStart"/>
      <w:r w:rsidR="003E50E1">
        <w:t>D.B</w:t>
      </w:r>
      <w:proofErr w:type="spellEnd"/>
      <w:r w:rsidR="003E50E1">
        <w:t>. Syn cierpi na zespół Downa.</w:t>
      </w:r>
    </w:p>
    <w:p w14:paraId="2A39C3ED" w14:textId="7426700C" w:rsidR="003E50E1" w:rsidRPr="00A74EBF" w:rsidRDefault="00A74EBF" w:rsidP="00A74EBF">
      <w:pPr>
        <w:pStyle w:val="JuPara"/>
      </w:pPr>
      <w:r w:rsidRPr="00A74EBF">
        <w:t>6</w:t>
      </w:r>
      <w:r w:rsidR="000820FF">
        <w:t>.</w:t>
      </w:r>
      <w:r w:rsidR="001C198A">
        <w:t xml:space="preserve"> </w:t>
      </w:r>
      <w:r w:rsidR="000820FF">
        <w:t xml:space="preserve">W 2001 r. skarżący i </w:t>
      </w:r>
      <w:proofErr w:type="spellStart"/>
      <w:r w:rsidR="000820FF">
        <w:t>A.R</w:t>
      </w:r>
      <w:proofErr w:type="spellEnd"/>
      <w:r w:rsidR="000820FF">
        <w:t>. rozwiedli się, a syn zamieszkał z matką. Jak</w:t>
      </w:r>
      <w:r w:rsidR="00D01B64">
        <w:t> </w:t>
      </w:r>
      <w:r w:rsidR="000820FF">
        <w:t xml:space="preserve">skarżący stwierdził w stanowisku, </w:t>
      </w:r>
      <w:proofErr w:type="spellStart"/>
      <w:r w:rsidR="000820FF">
        <w:t>A.R</w:t>
      </w:r>
      <w:proofErr w:type="spellEnd"/>
      <w:r w:rsidR="000820FF">
        <w:t xml:space="preserve">. utrudniała mu kontakt z </w:t>
      </w:r>
      <w:proofErr w:type="spellStart"/>
      <w:r w:rsidR="000820FF">
        <w:t>D.B</w:t>
      </w:r>
      <w:proofErr w:type="spellEnd"/>
      <w:r w:rsidR="000820FF">
        <w:t xml:space="preserve">.; </w:t>
      </w:r>
      <w:r w:rsidR="000820FF">
        <w:lastRenderedPageBreak/>
        <w:t xml:space="preserve">wydaje się </w:t>
      </w:r>
      <w:r w:rsidR="0006720B">
        <w:t>jednak</w:t>
      </w:r>
      <w:r w:rsidR="000820FF">
        <w:t xml:space="preserve">, </w:t>
      </w:r>
      <w:r w:rsidR="006B6075">
        <w:t>że dokonano</w:t>
      </w:r>
      <w:r w:rsidR="0006720B">
        <w:t xml:space="preserve"> niezbędnych</w:t>
      </w:r>
      <w:r w:rsidR="000820FF">
        <w:t xml:space="preserve"> ustaleń,</w:t>
      </w:r>
      <w:r w:rsidR="0006720B">
        <w:t xml:space="preserve"> dla </w:t>
      </w:r>
      <w:proofErr w:type="spellStart"/>
      <w:r w:rsidR="0006720B">
        <w:t>D.B</w:t>
      </w:r>
      <w:proofErr w:type="spellEnd"/>
      <w:r w:rsidR="0006720B">
        <w:t>.</w:t>
      </w:r>
      <w:r w:rsidR="000820FF">
        <w:t xml:space="preserve"> ustanowiono opiekuna, a skarżący </w:t>
      </w:r>
      <w:r w:rsidR="006B6075">
        <w:t>odzyskał kontakt</w:t>
      </w:r>
      <w:r w:rsidR="000820FF">
        <w:t xml:space="preserve"> z synem, choć nie tak często, jak sobie tego życzył.</w:t>
      </w:r>
    </w:p>
    <w:p w14:paraId="051E1FA9" w14:textId="014BABA8" w:rsidR="003E50E1" w:rsidRPr="00A74EBF" w:rsidRDefault="00A74EBF" w:rsidP="00A74EBF">
      <w:pPr>
        <w:pStyle w:val="JuPara"/>
      </w:pPr>
      <w:bookmarkStart w:id="1" w:name="interim_measure_granted"/>
      <w:bookmarkStart w:id="2" w:name="interim_measure_request"/>
      <w:r w:rsidRPr="00A74EBF">
        <w:t>7</w:t>
      </w:r>
      <w:bookmarkEnd w:id="1"/>
      <w:bookmarkEnd w:id="2"/>
      <w:r w:rsidR="003E50E1">
        <w:t>.</w:t>
      </w:r>
      <w:r w:rsidR="001C198A">
        <w:t xml:space="preserve"> </w:t>
      </w:r>
      <w:r w:rsidR="003E50E1">
        <w:t>W dniu 25 października 2017 r. skarżący wystąpił do Sądu Rejonowego dla Wrocławia-Śródmieścia</w:t>
      </w:r>
      <w:r w:rsidR="005A3CC8">
        <w:t xml:space="preserve"> we Wrocławiu</w:t>
      </w:r>
      <w:r w:rsidR="003E50E1">
        <w:t xml:space="preserve"> o rozstrzygnięcie o sposobie utrzymywania kontaktów z </w:t>
      </w:r>
      <w:proofErr w:type="spellStart"/>
      <w:r w:rsidR="003E50E1">
        <w:t>D.B</w:t>
      </w:r>
      <w:proofErr w:type="spellEnd"/>
      <w:r w:rsidR="003E50E1">
        <w:t xml:space="preserve">. w drodze postanowienia </w:t>
      </w:r>
      <w:r w:rsidR="005A3CC8">
        <w:t>o zabezpieczeniu</w:t>
      </w:r>
      <w:r w:rsidR="003E50E1">
        <w:t>. Skarżący podniósł, że jego syn ukończy 18 lat w dniu 13 listopada 2017 r., a</w:t>
      </w:r>
      <w:r w:rsidR="00D01B64">
        <w:t> </w:t>
      </w:r>
      <w:r w:rsidR="003E50E1">
        <w:t xml:space="preserve">zatem opiekun ustanowiony dla </w:t>
      </w:r>
      <w:proofErr w:type="spellStart"/>
      <w:r w:rsidR="003E50E1">
        <w:t>D.B</w:t>
      </w:r>
      <w:proofErr w:type="spellEnd"/>
      <w:r w:rsidR="003E50E1">
        <w:t xml:space="preserve">. nie będzie już pełnił swojej funkcji. Stwierdził również, że </w:t>
      </w:r>
      <w:proofErr w:type="spellStart"/>
      <w:r w:rsidR="003E50E1">
        <w:t>A.R</w:t>
      </w:r>
      <w:proofErr w:type="spellEnd"/>
      <w:r w:rsidR="003E50E1">
        <w:t>. nie pozwoliła mu widywać się z synem w</w:t>
      </w:r>
      <w:r w:rsidR="00D01B64">
        <w:t> </w:t>
      </w:r>
      <w:r w:rsidR="003E50E1">
        <w:t>terminach „wskazanych w wyroku”.</w:t>
      </w:r>
    </w:p>
    <w:p w14:paraId="6FB15196" w14:textId="2C266CF8" w:rsidR="003E50E1" w:rsidRPr="00A74EBF" w:rsidRDefault="00A74EBF" w:rsidP="00A74EBF">
      <w:pPr>
        <w:pStyle w:val="JuPara"/>
      </w:pPr>
      <w:r w:rsidRPr="00A74EBF">
        <w:t>8</w:t>
      </w:r>
      <w:r w:rsidR="000820FF">
        <w:t>.</w:t>
      </w:r>
      <w:r w:rsidR="001C198A">
        <w:t xml:space="preserve"> </w:t>
      </w:r>
      <w:r w:rsidR="000820FF">
        <w:t xml:space="preserve">W dniu 27 grudnia 2017 r. Sąd Rejonowy dla Wrocławia-Śródmieścia przychylił się do tego wniosku i zabezpieczył kontakty skarżącego z </w:t>
      </w:r>
      <w:proofErr w:type="spellStart"/>
      <w:r w:rsidR="000820FF">
        <w:t>D.B</w:t>
      </w:r>
      <w:proofErr w:type="spellEnd"/>
      <w:r w:rsidR="000820FF">
        <w:t>. w</w:t>
      </w:r>
      <w:r w:rsidR="00D01B64">
        <w:t> </w:t>
      </w:r>
      <w:r w:rsidR="000820FF">
        <w:t>drodze postanowienia tymczasowego, obowiązującego do czasu zakończenia postępowania. Stwierdził, że skarżący ma prawo widywać się z</w:t>
      </w:r>
      <w:r w:rsidR="00D01B64">
        <w:t> </w:t>
      </w:r>
      <w:r w:rsidR="000820FF">
        <w:t xml:space="preserve">synem w pierwsze i trzecie soboty każdego miesiąca w godzinach od 10:00 do 17:00 w obecności opiekuna. Skarżący miał odbierać </w:t>
      </w:r>
      <w:proofErr w:type="spellStart"/>
      <w:r w:rsidR="000820FF">
        <w:t>D.B</w:t>
      </w:r>
      <w:proofErr w:type="spellEnd"/>
      <w:r w:rsidR="000820FF">
        <w:t>. z miejsca zamieszkania, a następnie odprowadzać go do domu.</w:t>
      </w:r>
    </w:p>
    <w:p w14:paraId="0093D45E" w14:textId="241F8101" w:rsidR="003E50E1" w:rsidRPr="00A74EBF" w:rsidRDefault="00A74EBF" w:rsidP="00A74EBF">
      <w:pPr>
        <w:pStyle w:val="JuPara"/>
      </w:pPr>
      <w:bookmarkStart w:id="3" w:name="frequency_contact"/>
      <w:r w:rsidRPr="00A74EBF">
        <w:t>9</w:t>
      </w:r>
      <w:bookmarkEnd w:id="3"/>
      <w:r w:rsidR="003E50E1">
        <w:t>.</w:t>
      </w:r>
      <w:r w:rsidR="001C198A">
        <w:t xml:space="preserve"> </w:t>
      </w:r>
      <w:r w:rsidR="003E50E1">
        <w:t>Skarżący twierdził, że pomimo powyższych ustaleń do września 2018</w:t>
      </w:r>
      <w:r w:rsidR="00D01B64">
        <w:t> </w:t>
      </w:r>
      <w:r w:rsidR="003E50E1">
        <w:t xml:space="preserve">r. widział się z </w:t>
      </w:r>
      <w:proofErr w:type="spellStart"/>
      <w:r w:rsidR="003E50E1">
        <w:t>D.B</w:t>
      </w:r>
      <w:proofErr w:type="spellEnd"/>
      <w:r w:rsidR="003E50E1">
        <w:t xml:space="preserve">. tylko pięć razy, podczas gdy powinien był się z nim widzieć osiemnaście razy. Wynikało to z działań </w:t>
      </w:r>
      <w:proofErr w:type="spellStart"/>
      <w:r w:rsidR="003E50E1">
        <w:t>A.R</w:t>
      </w:r>
      <w:proofErr w:type="spellEnd"/>
      <w:r w:rsidR="003E50E1">
        <w:t>. zmierzających do utrudni</w:t>
      </w:r>
      <w:r w:rsidR="005A3CC8">
        <w:t>a</w:t>
      </w:r>
      <w:r w:rsidR="003E50E1">
        <w:t>nia skarżącemu kontaktu z ich synem.</w:t>
      </w:r>
    </w:p>
    <w:p w14:paraId="4246CAC7" w14:textId="1037CF79" w:rsidR="003E50E1" w:rsidRPr="00A74EBF" w:rsidRDefault="00A74EBF" w:rsidP="00A74EBF">
      <w:pPr>
        <w:pStyle w:val="JuPara"/>
      </w:pPr>
      <w:r w:rsidRPr="00A74EBF">
        <w:t>10</w:t>
      </w:r>
      <w:r w:rsidR="000820FF">
        <w:t>.</w:t>
      </w:r>
      <w:r w:rsidR="001C198A">
        <w:t xml:space="preserve"> </w:t>
      </w:r>
      <w:r w:rsidR="000820FF">
        <w:t xml:space="preserve">W dniu 26 lutego 2018 r. na wniosek </w:t>
      </w:r>
      <w:proofErr w:type="spellStart"/>
      <w:r w:rsidR="000820FF">
        <w:t>A.R</w:t>
      </w:r>
      <w:proofErr w:type="spellEnd"/>
      <w:r w:rsidR="000820FF">
        <w:t>. Sąd Okręgowy we</w:t>
      </w:r>
      <w:r w:rsidR="00D01B64">
        <w:t> </w:t>
      </w:r>
      <w:r w:rsidR="000820FF">
        <w:t xml:space="preserve">Wrocławiu orzekł </w:t>
      </w:r>
      <w:r w:rsidR="005A3CC8">
        <w:t xml:space="preserve">o </w:t>
      </w:r>
      <w:r w:rsidR="000820FF">
        <w:t>ubezwłasnowolnieni</w:t>
      </w:r>
      <w:r w:rsidR="005A3CC8">
        <w:t>u</w:t>
      </w:r>
      <w:r w:rsidR="000820FF">
        <w:t xml:space="preserve"> </w:t>
      </w:r>
      <w:proofErr w:type="spellStart"/>
      <w:r w:rsidR="000820FF">
        <w:t>D.B</w:t>
      </w:r>
      <w:proofErr w:type="spellEnd"/>
      <w:r w:rsidR="000820FF">
        <w:t>.</w:t>
      </w:r>
    </w:p>
    <w:p w14:paraId="30DE09B7" w14:textId="66E10F49" w:rsidR="003E50E1" w:rsidRPr="00A74EBF" w:rsidRDefault="00A74EBF" w:rsidP="00A74EBF">
      <w:pPr>
        <w:pStyle w:val="JuPara"/>
      </w:pPr>
      <w:bookmarkStart w:id="4" w:name="AR_appointed_guardian"/>
      <w:r w:rsidRPr="00A74EBF">
        <w:t>11</w:t>
      </w:r>
      <w:bookmarkEnd w:id="4"/>
      <w:r w:rsidR="003E50E1">
        <w:t>.</w:t>
      </w:r>
      <w:r w:rsidR="001C198A">
        <w:t xml:space="preserve"> </w:t>
      </w:r>
      <w:r w:rsidR="003E50E1">
        <w:t xml:space="preserve">W dniu 24 maja 2018 r. Sąd Rejonowy dla Wrocławia-Śródmieścia </w:t>
      </w:r>
      <w:r w:rsidR="000F1B56">
        <w:t>we</w:t>
      </w:r>
      <w:r w:rsidR="00D01B64">
        <w:t> </w:t>
      </w:r>
      <w:r w:rsidR="000F1B56">
        <w:t xml:space="preserve">Wrocławiu </w:t>
      </w:r>
      <w:r w:rsidR="003E50E1">
        <w:t xml:space="preserve">ustanowił </w:t>
      </w:r>
      <w:proofErr w:type="spellStart"/>
      <w:r w:rsidR="003E50E1">
        <w:t>A.R</w:t>
      </w:r>
      <w:proofErr w:type="spellEnd"/>
      <w:r w:rsidR="003E50E1">
        <w:t xml:space="preserve">. opiekunem </w:t>
      </w:r>
      <w:proofErr w:type="spellStart"/>
      <w:r w:rsidR="003E50E1">
        <w:t>D.B</w:t>
      </w:r>
      <w:proofErr w:type="spellEnd"/>
      <w:r w:rsidR="003E50E1">
        <w:t>.</w:t>
      </w:r>
    </w:p>
    <w:p w14:paraId="5127731E" w14:textId="0D098E1C" w:rsidR="003E50E1" w:rsidRPr="00A74EBF" w:rsidRDefault="00A74EBF" w:rsidP="00A74EBF">
      <w:pPr>
        <w:pStyle w:val="JuPara"/>
      </w:pPr>
      <w:bookmarkStart w:id="5" w:name="lack_of_standing_1"/>
      <w:bookmarkStart w:id="6" w:name="lift_interim_measure"/>
      <w:r w:rsidRPr="00A74EBF">
        <w:t>12</w:t>
      </w:r>
      <w:bookmarkEnd w:id="5"/>
      <w:bookmarkEnd w:id="6"/>
      <w:r w:rsidR="003E50E1">
        <w:t>.</w:t>
      </w:r>
      <w:r w:rsidR="001C198A">
        <w:t xml:space="preserve"> </w:t>
      </w:r>
      <w:r w:rsidR="003E50E1">
        <w:t>W dniu 4 października 2018 r. Sąd Rejonowy dla Wrocławia-Śródmieścia</w:t>
      </w:r>
      <w:r w:rsidR="00330648">
        <w:t xml:space="preserve"> we Wrocławiu</w:t>
      </w:r>
      <w:r w:rsidR="003E50E1">
        <w:t xml:space="preserve"> oddalił wniosek skarżącego o rozstrzygnięcie o</w:t>
      </w:r>
      <w:r w:rsidR="00D01B64">
        <w:t> </w:t>
      </w:r>
      <w:r w:rsidR="003E50E1">
        <w:t xml:space="preserve">sposobie </w:t>
      </w:r>
      <w:r w:rsidR="00330648">
        <w:t>wykonywania</w:t>
      </w:r>
      <w:r w:rsidR="003E50E1">
        <w:t xml:space="preserve"> kontaktów z </w:t>
      </w:r>
      <w:proofErr w:type="spellStart"/>
      <w:r w:rsidR="003E50E1">
        <w:t>D.B</w:t>
      </w:r>
      <w:proofErr w:type="spellEnd"/>
      <w:r w:rsidR="003E50E1">
        <w:t>. i uchylił swoje postanowienie z</w:t>
      </w:r>
      <w:r w:rsidR="00D01B64">
        <w:t> </w:t>
      </w:r>
      <w:r w:rsidR="003E50E1">
        <w:t xml:space="preserve">dnia 27 grudnia 2017 roku o tymczasowym rozstrzygnięciu sposobu </w:t>
      </w:r>
      <w:r w:rsidR="00330648">
        <w:t>wykonywania</w:t>
      </w:r>
      <w:r w:rsidR="003E50E1">
        <w:t xml:space="preserve"> kontaktów. Sąd uznał, że skarżący nie </w:t>
      </w:r>
      <w:r w:rsidR="00C13BD1">
        <w:t>jest</w:t>
      </w:r>
      <w:r w:rsidR="003E50E1">
        <w:t xml:space="preserve"> uprawniony do</w:t>
      </w:r>
      <w:r w:rsidR="00D01B64">
        <w:t> </w:t>
      </w:r>
      <w:r w:rsidR="003E50E1">
        <w:t>żądania kontaktów z dorosłym, ubezwłasnowolnionym synem. Powołał się na uchwałę Sądu Najwyższego z dnia 17 maja 2018 r., zgodnie z którą „rodzicom dorosłego dziecka, które jest ubezwłasnowolnione całkowicie z</w:t>
      </w:r>
      <w:r w:rsidR="00D01B64">
        <w:t> </w:t>
      </w:r>
      <w:r w:rsidR="003E50E1">
        <w:t xml:space="preserve">powodu niepełnosprawności umysłowej i dla którego ustanowiono opiekuna, nie przysługuje uprawnienie do żądania rozstrzygnięcia przez sąd [...] o sposobie utrzymywania kontaktów z [...] dzieckiem". We wszystkich kwestiach dotyczących osoby lub majątku osoby ubezwłasnowolnionej wyłącznie opiekun </w:t>
      </w:r>
      <w:r w:rsidR="00C13BD1">
        <w:t>jest</w:t>
      </w:r>
      <w:r w:rsidR="003E50E1">
        <w:t xml:space="preserve"> uprawniony do wystąpienia do sądu rodzinnego o</w:t>
      </w:r>
      <w:r w:rsidR="00D01B64">
        <w:t> </w:t>
      </w:r>
      <w:r w:rsidR="003E50E1">
        <w:t>dokonanie stosownych ustaleń. Wniosku nie mo</w:t>
      </w:r>
      <w:r w:rsidR="00C13BD1">
        <w:t>że</w:t>
      </w:r>
      <w:r w:rsidR="003E50E1">
        <w:t xml:space="preserve"> złożyć żadna inna osoba. Sąd podobnie nie m</w:t>
      </w:r>
      <w:r w:rsidR="00C13BD1">
        <w:t>oże</w:t>
      </w:r>
      <w:r w:rsidR="003E50E1">
        <w:t xml:space="preserve"> dokonać stosownych ustaleń z urzędu. W związku z</w:t>
      </w:r>
      <w:r w:rsidR="00D01B64">
        <w:t> </w:t>
      </w:r>
      <w:r w:rsidR="003E50E1">
        <w:t xml:space="preserve">tym sąd powołał się na art. 593 </w:t>
      </w:r>
      <w:r w:rsidR="00C13BD1">
        <w:t xml:space="preserve">Kodeksu </w:t>
      </w:r>
      <w:r w:rsidR="003E50E1">
        <w:t>postępowania cywilnego.</w:t>
      </w:r>
    </w:p>
    <w:p w14:paraId="7178243B" w14:textId="6A9F492D" w:rsidR="003E50E1" w:rsidRPr="00A74EBF" w:rsidRDefault="00A74EBF" w:rsidP="00A74EBF">
      <w:pPr>
        <w:pStyle w:val="JuPara"/>
      </w:pPr>
      <w:r w:rsidRPr="00A74EBF">
        <w:t>13</w:t>
      </w:r>
      <w:r w:rsidR="000820FF">
        <w:t>.</w:t>
      </w:r>
      <w:r w:rsidR="001C198A">
        <w:t xml:space="preserve"> </w:t>
      </w:r>
      <w:r w:rsidR="000820FF">
        <w:t xml:space="preserve">W dniu 13 listopada 2018 r. skarżący wniósł apelację. Zarzucił między innymi, że sąd pierwszej instancji nie wysłuchał jego i </w:t>
      </w:r>
      <w:proofErr w:type="spellStart"/>
      <w:r w:rsidR="000820FF">
        <w:t>D.B</w:t>
      </w:r>
      <w:proofErr w:type="spellEnd"/>
      <w:r w:rsidR="000820FF">
        <w:t>.</w:t>
      </w:r>
    </w:p>
    <w:p w14:paraId="2912DF93" w14:textId="6B5C9C37" w:rsidR="003E50E1" w:rsidRPr="00A74EBF" w:rsidRDefault="00A74EBF" w:rsidP="00A74EBF">
      <w:pPr>
        <w:pStyle w:val="JuPara"/>
      </w:pPr>
      <w:bookmarkStart w:id="7" w:name="lack_of_standing_2"/>
      <w:r w:rsidRPr="00A74EBF">
        <w:lastRenderedPageBreak/>
        <w:t>14</w:t>
      </w:r>
      <w:bookmarkEnd w:id="7"/>
      <w:r w:rsidR="003E50E1">
        <w:t>.</w:t>
      </w:r>
      <w:r w:rsidR="001C198A">
        <w:t xml:space="preserve"> </w:t>
      </w:r>
      <w:r w:rsidR="003E50E1">
        <w:t>W dniu 18 stycznia 2019 r. Sąd Okręgowy we Wrocławiu oddalił apelację skarżącego. Przyjął fakty ustalone przez sąd pierwszej instancji i</w:t>
      </w:r>
      <w:r w:rsidR="00D01B64">
        <w:t> </w:t>
      </w:r>
      <w:r w:rsidR="003E50E1">
        <w:t>jego uzasadnienie prawne, uznając, że skarżący nie był uprawniony do</w:t>
      </w:r>
      <w:r w:rsidR="00D01B64">
        <w:t> </w:t>
      </w:r>
      <w:r w:rsidR="003E50E1">
        <w:t>ubiegania się o rozstrzygnięcie o sposobie utrzymywania kontaktów z</w:t>
      </w:r>
      <w:r w:rsidR="00D01B64">
        <w:t> </w:t>
      </w:r>
      <w:r w:rsidR="003E50E1">
        <w:t xml:space="preserve">dorosłym, ubezwłasnowolnionym synem. Co do wysłuchania </w:t>
      </w:r>
      <w:proofErr w:type="spellStart"/>
      <w:r w:rsidR="003E50E1">
        <w:t>D.B</w:t>
      </w:r>
      <w:proofErr w:type="spellEnd"/>
      <w:r w:rsidR="003E50E1">
        <w:t>., sąd</w:t>
      </w:r>
      <w:r w:rsidR="00D01B64">
        <w:t> </w:t>
      </w:r>
      <w:r w:rsidR="003E50E1">
        <w:t xml:space="preserve">uznał, że zgodnie z odpowiednimi przepisami </w:t>
      </w:r>
      <w:r w:rsidR="009451B4">
        <w:t xml:space="preserve">Kodeksu </w:t>
      </w:r>
      <w:r w:rsidR="003E50E1">
        <w:t xml:space="preserve">postępowania cywilnego, w sprawach tego rodzaju sąd może przesłuchiwać osoby małoletnie, natomiast </w:t>
      </w:r>
      <w:proofErr w:type="spellStart"/>
      <w:r w:rsidR="003E50E1">
        <w:t>D.B</w:t>
      </w:r>
      <w:proofErr w:type="spellEnd"/>
      <w:r w:rsidR="003E50E1">
        <w:t>. był już osobą dorosłą. Ponadto, jak wskazano w</w:t>
      </w:r>
      <w:r w:rsidR="00D01B64">
        <w:t> </w:t>
      </w:r>
      <w:r w:rsidR="003E50E1">
        <w:t xml:space="preserve">aktach sprawy, </w:t>
      </w:r>
      <w:proofErr w:type="spellStart"/>
      <w:r w:rsidR="003E50E1">
        <w:t>D.B</w:t>
      </w:r>
      <w:proofErr w:type="spellEnd"/>
      <w:r w:rsidR="003E50E1">
        <w:t>. nie reagował na zadawane mu pytania, a komunikacja pomiędzy nim a osobami, których nie znał, była niemożliwa. Sąd dalej potwierdził, że w polskim porządku prawnym nie istniał przepis pozwalający na rozstrzygnięcie o sposobie utrzymywania kontaktów rodzica z dorosłym dzieckiem, w tym w szczególności z dorosłym dzieckiem, które jest ubezwłasnowolnione całkowicie.</w:t>
      </w:r>
    </w:p>
    <w:p w14:paraId="5417D2DB" w14:textId="77777777" w:rsidR="003E50E1" w:rsidRPr="00A74EBF" w:rsidRDefault="003E50E1" w:rsidP="00A74EBF">
      <w:pPr>
        <w:pStyle w:val="JuHIRoman"/>
        <w:rPr>
          <w:sz w:val="22"/>
          <w:szCs w:val="22"/>
        </w:rPr>
      </w:pPr>
      <w:r>
        <w:t>Zdarzenia po zakomunikowaniu sprawy rządowi</w:t>
      </w:r>
    </w:p>
    <w:p w14:paraId="31010E33" w14:textId="7C69603B" w:rsidR="003E50E1" w:rsidRPr="00A74EBF" w:rsidRDefault="00A74EBF" w:rsidP="00A74EBF">
      <w:pPr>
        <w:pStyle w:val="JuPara"/>
      </w:pPr>
      <w:r w:rsidRPr="00A74EBF">
        <w:t>15</w:t>
      </w:r>
      <w:r w:rsidR="000820FF">
        <w:t>.</w:t>
      </w:r>
      <w:r w:rsidR="001C198A">
        <w:t xml:space="preserve"> </w:t>
      </w:r>
      <w:r w:rsidR="000820FF">
        <w:t>W dniu 18 lutego 2019 r. skarżący złożył do Sądu Rejonowego dla</w:t>
      </w:r>
      <w:r w:rsidR="00D01B64">
        <w:t> </w:t>
      </w:r>
      <w:r w:rsidR="000820FF">
        <w:t>Wrocławia-Śródmieścia</w:t>
      </w:r>
      <w:r w:rsidR="008D5029">
        <w:t xml:space="preserve"> we Wrocławiu</w:t>
      </w:r>
      <w:r w:rsidR="000820FF">
        <w:t xml:space="preserve"> wniosek o zmianę opiekuna </w:t>
      </w:r>
      <w:proofErr w:type="spellStart"/>
      <w:r w:rsidR="000820FF">
        <w:t>D.B</w:t>
      </w:r>
      <w:proofErr w:type="spellEnd"/>
      <w:r w:rsidR="000820FF">
        <w:t>. i ponownie o rozstrzygnięcie o sposobie utrzymywania kontaktów z synem.</w:t>
      </w:r>
    </w:p>
    <w:p w14:paraId="108A90EC" w14:textId="4F2D39D7" w:rsidR="003E50E1" w:rsidRPr="00A74EBF" w:rsidRDefault="00A74EBF" w:rsidP="00A74EBF">
      <w:pPr>
        <w:pStyle w:val="JuPara"/>
      </w:pPr>
      <w:r w:rsidRPr="00A74EBF">
        <w:t>16</w:t>
      </w:r>
      <w:r w:rsidR="000820FF">
        <w:t>.</w:t>
      </w:r>
      <w:r w:rsidR="001C198A">
        <w:t xml:space="preserve"> </w:t>
      </w:r>
      <w:r w:rsidR="000820FF">
        <w:t>W toku postępowania sąd poinformował właściwego prokuratora o</w:t>
      </w:r>
      <w:r w:rsidR="00D01B64">
        <w:t> </w:t>
      </w:r>
      <w:r w:rsidR="000820FF">
        <w:t>toczącym się postępowaniu, zaś w dniu 8 czerwca 2020 r. Prokurator Okręgowy we Wrocławiu wystąpił do sądu o rozstrzygnięcie o sposobie utrzymywania kontaktów skarżącego z synem.</w:t>
      </w:r>
    </w:p>
    <w:p w14:paraId="2EE671C5" w14:textId="2C735537" w:rsidR="003E50E1" w:rsidRPr="00A74EBF" w:rsidRDefault="00A74EBF" w:rsidP="00A74EBF">
      <w:pPr>
        <w:pStyle w:val="JuPara"/>
      </w:pPr>
      <w:bookmarkStart w:id="8" w:name="contact_granted"/>
      <w:r w:rsidRPr="00A74EBF">
        <w:t>17</w:t>
      </w:r>
      <w:bookmarkEnd w:id="8"/>
      <w:r w:rsidR="003E50E1">
        <w:t>.</w:t>
      </w:r>
      <w:r w:rsidR="001C198A">
        <w:t xml:space="preserve"> </w:t>
      </w:r>
      <w:r w:rsidR="003E50E1">
        <w:t xml:space="preserve">W dniu 17 listopada 2020 r. Sąd Rejonowy dla Wrocławia-Śródmieścia oddalił oba wnioski skarżącego. Nie znalazł podstaw do zmiany opiekuna </w:t>
      </w:r>
      <w:proofErr w:type="spellStart"/>
      <w:r w:rsidR="003E50E1">
        <w:t>D.B</w:t>
      </w:r>
      <w:proofErr w:type="spellEnd"/>
      <w:r w:rsidR="003E50E1">
        <w:t>. i potwierdził, że skarżący nie dysponuje legitymacją procesową do żądania rozstrzygnięcia o sposobie utrzymywania kontaktów z</w:t>
      </w:r>
      <w:r w:rsidR="00D01B64">
        <w:t> </w:t>
      </w:r>
      <w:r w:rsidR="003E50E1">
        <w:t>dorosłym synem. Sąd rozpoznał jednak również wniosek prokuratora i</w:t>
      </w:r>
      <w:r w:rsidR="00D01B64">
        <w:t> </w:t>
      </w:r>
      <w:r w:rsidR="003E50E1">
        <w:t xml:space="preserve">uwzględnił go w części. Stwierdził, że od września 2018 r. </w:t>
      </w:r>
      <w:proofErr w:type="spellStart"/>
      <w:r w:rsidR="003E50E1">
        <w:t>A.R</w:t>
      </w:r>
      <w:proofErr w:type="spellEnd"/>
      <w:r w:rsidR="003E50E1">
        <w:t xml:space="preserve">. samowolnie utrudniała </w:t>
      </w:r>
      <w:r w:rsidR="009451B4">
        <w:t>skarżącemu</w:t>
      </w:r>
      <w:r w:rsidR="003E50E1">
        <w:t xml:space="preserve"> kontakt z </w:t>
      </w:r>
      <w:proofErr w:type="spellStart"/>
      <w:r w:rsidR="003E50E1">
        <w:t>D.B</w:t>
      </w:r>
      <w:proofErr w:type="spellEnd"/>
      <w:r w:rsidR="003E50E1">
        <w:t>. Sąd ustalił między innymi, że</w:t>
      </w:r>
      <w:r w:rsidR="00D01B64">
        <w:t> </w:t>
      </w:r>
      <w:r w:rsidR="003E50E1">
        <w:t xml:space="preserve">wnioskodawca miał prawo widywać się z </w:t>
      </w:r>
      <w:proofErr w:type="spellStart"/>
      <w:r w:rsidR="003E50E1">
        <w:t>D.B</w:t>
      </w:r>
      <w:proofErr w:type="spellEnd"/>
      <w:r w:rsidR="003E50E1">
        <w:t>. w każdą drugą sobotę miesiąca w godzinach od 10:00 do 13:00 w obecności opiekuna.</w:t>
      </w:r>
    </w:p>
    <w:p w14:paraId="59A769B5" w14:textId="029A94CA" w:rsidR="003E50E1" w:rsidRPr="00A74EBF" w:rsidRDefault="00A74EBF" w:rsidP="00A74EBF">
      <w:pPr>
        <w:pStyle w:val="JuPara"/>
      </w:pPr>
      <w:r w:rsidRPr="00A74EBF">
        <w:t>18</w:t>
      </w:r>
      <w:r w:rsidR="000820FF">
        <w:t>.</w:t>
      </w:r>
      <w:r w:rsidR="001C198A">
        <w:t xml:space="preserve"> </w:t>
      </w:r>
      <w:r w:rsidR="000820FF">
        <w:t xml:space="preserve">Zarówno skarżący, jak i </w:t>
      </w:r>
      <w:proofErr w:type="spellStart"/>
      <w:r w:rsidR="000820FF">
        <w:t>A.R</w:t>
      </w:r>
      <w:proofErr w:type="spellEnd"/>
      <w:r w:rsidR="000820FF">
        <w:t>. wnieśli apelację.</w:t>
      </w:r>
    </w:p>
    <w:p w14:paraId="068F281D" w14:textId="66E2CC9C" w:rsidR="003E50E1" w:rsidRPr="00A74EBF" w:rsidRDefault="00A74EBF" w:rsidP="00A74EBF">
      <w:pPr>
        <w:pStyle w:val="JuPara"/>
      </w:pPr>
      <w:r w:rsidRPr="00A74EBF">
        <w:t>19</w:t>
      </w:r>
      <w:r w:rsidR="000820FF">
        <w:t>.</w:t>
      </w:r>
      <w:r w:rsidR="001C198A">
        <w:t xml:space="preserve"> </w:t>
      </w:r>
      <w:r w:rsidR="000820FF">
        <w:t>W dniu 17 marca 2021 r. Sąd Okręgowy we Wrocławiu częściowo zmienił postanowienie sądu pierwszej instancji. W zakresie prawa do</w:t>
      </w:r>
      <w:r w:rsidR="00D01B64">
        <w:t> </w:t>
      </w:r>
      <w:r w:rsidR="000820FF">
        <w:t>kontaktów skarżącego zasadniczo utrzymano jednak w mocy decyzję z</w:t>
      </w:r>
      <w:r w:rsidR="00D01B64">
        <w:t> </w:t>
      </w:r>
      <w:r w:rsidR="000820FF">
        <w:t>dnia 17 listopada 2020 r.</w:t>
      </w:r>
    </w:p>
    <w:p w14:paraId="3D028E77" w14:textId="77777777" w:rsidR="003E50E1" w:rsidRPr="00A74EBF" w:rsidRDefault="003E50E1" w:rsidP="00A74EBF">
      <w:pPr>
        <w:pStyle w:val="JuHHead"/>
      </w:pPr>
      <w:r>
        <w:lastRenderedPageBreak/>
        <w:t>WŁAŚCIWE RAMY PRAWNE I PRAKTYKA</w:t>
      </w:r>
    </w:p>
    <w:p w14:paraId="26205255" w14:textId="77777777" w:rsidR="003E50E1" w:rsidRPr="00A74EBF" w:rsidRDefault="003E50E1" w:rsidP="00A74EBF">
      <w:pPr>
        <w:pStyle w:val="JuHIRoman"/>
      </w:pPr>
      <w:r>
        <w:t>Kodeks postępowania cywilnego</w:t>
      </w:r>
    </w:p>
    <w:p w14:paraId="41035E52" w14:textId="329EE76C" w:rsidR="003E50E1" w:rsidRPr="00A74EBF" w:rsidRDefault="00A74EBF" w:rsidP="00A74EBF">
      <w:pPr>
        <w:pStyle w:val="JuPara"/>
      </w:pPr>
      <w:r w:rsidRPr="00A74EBF">
        <w:rPr>
          <w:rFonts w:eastAsiaTheme="majorEastAsia"/>
        </w:rPr>
        <w:t>20</w:t>
      </w:r>
      <w:r w:rsidR="003E50E1">
        <w:t>.</w:t>
      </w:r>
      <w:r w:rsidR="001C198A">
        <w:t xml:space="preserve"> </w:t>
      </w:r>
      <w:r w:rsidR="003E50E1">
        <w:t xml:space="preserve">Artykuł 593 </w:t>
      </w:r>
      <w:r w:rsidR="009451B4">
        <w:t xml:space="preserve">Kodeksu </w:t>
      </w:r>
      <w:r w:rsidR="003E50E1">
        <w:t>postępowania cywilnego w istotnym dla sprawy zakresie stanowi:</w:t>
      </w:r>
    </w:p>
    <w:p w14:paraId="394648A8" w14:textId="77777777" w:rsidR="003E50E1" w:rsidRPr="00A74EBF" w:rsidRDefault="003E50E1" w:rsidP="00A74EBF">
      <w:pPr>
        <w:pStyle w:val="JuQuot"/>
      </w:pPr>
      <w:r>
        <w:t>„Zezwolenia we wszelkich ważniejszych sprawach, które dotyczą osoby lub majątku osoby pozostającej pod opieką, udziela sąd opiekuńczy na wniosek opiekuna.”</w:t>
      </w:r>
    </w:p>
    <w:p w14:paraId="585E18D7" w14:textId="77777777" w:rsidR="003E50E1" w:rsidRPr="00A74EBF" w:rsidRDefault="003E50E1" w:rsidP="00A74EBF">
      <w:pPr>
        <w:pStyle w:val="JuHIRoman"/>
      </w:pPr>
      <w:r>
        <w:t>Kodeks rodzinny i opiekuńczy</w:t>
      </w:r>
    </w:p>
    <w:p w14:paraId="2CEBD8B5" w14:textId="6168E7ED" w:rsidR="003E50E1" w:rsidRPr="00A74EBF" w:rsidRDefault="00A74EBF" w:rsidP="00A74EBF">
      <w:pPr>
        <w:pStyle w:val="JuPara"/>
      </w:pPr>
      <w:r w:rsidRPr="00A74EBF">
        <w:rPr>
          <w:rFonts w:eastAsiaTheme="majorEastAsia"/>
        </w:rPr>
        <w:t>21</w:t>
      </w:r>
      <w:r w:rsidR="003E50E1">
        <w:t>.</w:t>
      </w:r>
      <w:r w:rsidR="001C198A">
        <w:t xml:space="preserve"> </w:t>
      </w:r>
      <w:r w:rsidR="003E50E1">
        <w:t>Kontakty z dziećmi regulują art. 113-113</w:t>
      </w:r>
      <w:r w:rsidR="003E50E1">
        <w:rPr>
          <w:vertAlign w:val="superscript"/>
        </w:rPr>
        <w:t>6</w:t>
      </w:r>
      <w:r w:rsidR="003E50E1">
        <w:t xml:space="preserve"> </w:t>
      </w:r>
      <w:r w:rsidR="009451B4">
        <w:t xml:space="preserve">Kodeksu </w:t>
      </w:r>
      <w:r w:rsidR="003E50E1">
        <w:t>rodzinnego i</w:t>
      </w:r>
      <w:r w:rsidR="00D01B64">
        <w:t> </w:t>
      </w:r>
      <w:r w:rsidR="003E50E1">
        <w:t>opiekuńczego. Przepisy te dotyczą jednak tylko kontaktów dorosłych z</w:t>
      </w:r>
      <w:r w:rsidR="00D01B64">
        <w:t> </w:t>
      </w:r>
      <w:r w:rsidR="003E50E1">
        <w:t>małoletnimi dziećmi. Ich zastosowanie wyklucza się więc po tym, jak</w:t>
      </w:r>
      <w:r w:rsidR="00D01B64">
        <w:t> </w:t>
      </w:r>
      <w:r w:rsidR="003E50E1">
        <w:t>dziecko ukończy 18. rok życia, nawet jeżeli jest ono ubezwłasnowolnione.</w:t>
      </w:r>
    </w:p>
    <w:p w14:paraId="6EE5611B" w14:textId="27B80297" w:rsidR="003E50E1" w:rsidRPr="00A74EBF" w:rsidRDefault="003E50E1" w:rsidP="00A74EBF">
      <w:pPr>
        <w:pStyle w:val="JuHIRoman"/>
      </w:pPr>
      <w:r>
        <w:t>Uchwała Sądu Najwyższego z dnia 17 maja 2018 r.</w:t>
      </w:r>
    </w:p>
    <w:p w14:paraId="70CB4257" w14:textId="14E28F2E" w:rsidR="003E50E1" w:rsidRPr="00A74EBF" w:rsidRDefault="00A74EBF" w:rsidP="00A74EBF">
      <w:pPr>
        <w:pStyle w:val="JuPara"/>
      </w:pPr>
      <w:bookmarkStart w:id="9" w:name="SC_resolution"/>
      <w:r w:rsidRPr="00A74EBF">
        <w:t>22</w:t>
      </w:r>
      <w:bookmarkEnd w:id="9"/>
      <w:r w:rsidR="003E50E1">
        <w:t>.</w:t>
      </w:r>
      <w:r w:rsidR="001C198A">
        <w:t xml:space="preserve"> </w:t>
      </w:r>
      <w:r w:rsidR="003E50E1">
        <w:t>W dniu 17 maja 2018</w:t>
      </w:r>
      <w:r w:rsidR="001C198A">
        <w:t xml:space="preserve"> </w:t>
      </w:r>
      <w:r w:rsidR="003E50E1">
        <w:t xml:space="preserve">r. Sąd Najwyższy podjął uchwałę (III </w:t>
      </w:r>
      <w:proofErr w:type="spellStart"/>
      <w:r w:rsidR="003E50E1">
        <w:t>CZP</w:t>
      </w:r>
      <w:proofErr w:type="spellEnd"/>
      <w:r w:rsidR="003E50E1">
        <w:t xml:space="preserve"> 11/18), która brzmi następująco:</w:t>
      </w:r>
    </w:p>
    <w:p w14:paraId="40BCF56C" w14:textId="77777777" w:rsidR="003E50E1" w:rsidRPr="00A74EBF" w:rsidRDefault="003E50E1" w:rsidP="00A74EBF">
      <w:pPr>
        <w:pStyle w:val="JuQuot"/>
      </w:pPr>
      <w:r>
        <w:t>„Rodzicom dorosłego dziecka, które jest ubezwłasnowolnione całkowicie z powodu niepełnosprawności umysłowej i dla którego ustanowiono opiekuna, nie przysługuje uprawnienie do żądania rozstrzygnięcia przez sąd opiekuńczy o sposobie utrzymywania kontaktów z tym dzieckiem”.</w:t>
      </w:r>
    </w:p>
    <w:p w14:paraId="2C2006C7" w14:textId="77777777" w:rsidR="003E50E1" w:rsidRPr="00A74EBF" w:rsidRDefault="003E50E1" w:rsidP="00A74EBF">
      <w:pPr>
        <w:pStyle w:val="JuHHead"/>
      </w:pPr>
      <w:r>
        <w:t>PRAWO</w:t>
      </w:r>
    </w:p>
    <w:p w14:paraId="63B0D243" w14:textId="77777777" w:rsidR="003E50E1" w:rsidRPr="00A74EBF" w:rsidRDefault="003E50E1" w:rsidP="00A74EBF">
      <w:pPr>
        <w:pStyle w:val="JuHIRoman"/>
        <w:numPr>
          <w:ilvl w:val="1"/>
          <w:numId w:val="2"/>
        </w:numPr>
      </w:pPr>
      <w:r>
        <w:t>Zakres sprawy</w:t>
      </w:r>
    </w:p>
    <w:p w14:paraId="117F499B" w14:textId="77B5902B" w:rsidR="003E50E1" w:rsidRPr="00A74EBF" w:rsidRDefault="00A74EBF" w:rsidP="00A74EBF">
      <w:pPr>
        <w:pStyle w:val="JuPara"/>
      </w:pPr>
      <w:r w:rsidRPr="00A74EBF">
        <w:t>23</w:t>
      </w:r>
      <w:r w:rsidR="000820FF">
        <w:t>.</w:t>
      </w:r>
      <w:r w:rsidR="001C198A">
        <w:t xml:space="preserve"> </w:t>
      </w:r>
      <w:r w:rsidR="000820FF">
        <w:t>Trybunał zauważa, że po tym, jak Sąd Rejonowy dla Wrocławia-Śródmieścia</w:t>
      </w:r>
      <w:r w:rsidR="00B219FC">
        <w:t xml:space="preserve"> we Wrocławiu</w:t>
      </w:r>
      <w:r w:rsidR="000820FF">
        <w:t xml:space="preserve"> zawiadomił prokuratora o toczącym się postępowaniu i po tym, jak prokurator złożył stosowny wniosek, ostatecznie rozstrzygnięto o sposobie utrzymywania kontaktów przez skarżącego z</w:t>
      </w:r>
      <w:r w:rsidR="00D01B64">
        <w:t> </w:t>
      </w:r>
      <w:r w:rsidR="000820FF">
        <w:t>synem. Natomiast w okresie od dnia 4 października 2018 r. do 17 listopada 2020 r. − czyli przez ponad dwa lata − nie dokonano żadnych rozstrzygnięć, które umożliwiałyby skarżącemu widywanie się z synem. Trybunał zajmie się zatem zarzutami skarżącego w odniesieniu do tego konkretnego okresu.</w:t>
      </w:r>
    </w:p>
    <w:p w14:paraId="5B377D0C" w14:textId="77777777" w:rsidR="003E50E1" w:rsidRPr="00A74EBF" w:rsidRDefault="003E50E1" w:rsidP="00A74EBF">
      <w:pPr>
        <w:pStyle w:val="JuHIRoman"/>
      </w:pPr>
      <w:r>
        <w:lastRenderedPageBreak/>
        <w:t>Dopuszczalność</w:t>
      </w:r>
    </w:p>
    <w:p w14:paraId="7AC528F8" w14:textId="51FF0537" w:rsidR="003E50E1" w:rsidRPr="00A74EBF" w:rsidRDefault="003E50E1" w:rsidP="00A74EBF">
      <w:pPr>
        <w:pStyle w:val="JuHA"/>
        <w:numPr>
          <w:ilvl w:val="0"/>
          <w:numId w:val="0"/>
        </w:numPr>
        <w:ind w:left="170"/>
      </w:pPr>
      <w:r>
        <w:t>Zastrzeżenia wstępne Rządu</w:t>
      </w:r>
    </w:p>
    <w:p w14:paraId="78C1BCB5" w14:textId="757F19B8" w:rsidR="003E50E1" w:rsidRPr="00A74EBF" w:rsidRDefault="003E50E1" w:rsidP="00A74EBF">
      <w:pPr>
        <w:pStyle w:val="JuH1"/>
      </w:pPr>
      <w:r>
        <w:t>Stanowiska stron</w:t>
      </w:r>
    </w:p>
    <w:p w14:paraId="3B716D75" w14:textId="0CFFF953" w:rsidR="003E50E1" w:rsidRPr="00A74EBF" w:rsidRDefault="00A74EBF" w:rsidP="00A74EBF">
      <w:pPr>
        <w:pStyle w:val="JuPara"/>
      </w:pPr>
      <w:r w:rsidRPr="00A74EBF">
        <w:t>24</w:t>
      </w:r>
      <w:r w:rsidR="000820FF">
        <w:t>.</w:t>
      </w:r>
      <w:r w:rsidR="001C198A">
        <w:t xml:space="preserve"> </w:t>
      </w:r>
      <w:r w:rsidR="000820FF">
        <w:t>Rząd twierdził, że skarżący nie wyczerpał dostępnych krajowych środków odwoławczych, w szczególności nie złożył wniosku w trybie art.</w:t>
      </w:r>
      <w:r w:rsidR="00D01B64">
        <w:t> </w:t>
      </w:r>
      <w:r w:rsidR="000820FF">
        <w:t xml:space="preserve">168 </w:t>
      </w:r>
      <w:r w:rsidR="003E3CFD">
        <w:t xml:space="preserve">Kodeksu </w:t>
      </w:r>
      <w:r w:rsidR="000820FF">
        <w:t xml:space="preserve">rodzinnego i opiekuńczego, na podstawie którego to wniosku sąd mógłby wydać zarządzenie, jeżeli opiekun nie sprawował należycie opieki. Podniósł nadto, że skarżący winien był wystąpić z pozwem o ochronę dóbr osobistych na podstawie art. 23 i 24 </w:t>
      </w:r>
      <w:r w:rsidR="003E3CFD">
        <w:t xml:space="preserve">Kodeksu </w:t>
      </w:r>
      <w:r w:rsidR="000820FF">
        <w:t>cywilnego.</w:t>
      </w:r>
    </w:p>
    <w:p w14:paraId="0980E52B" w14:textId="20C0AB76" w:rsidR="003E50E1" w:rsidRPr="00A74EBF" w:rsidRDefault="00A74EBF" w:rsidP="00A74EBF">
      <w:pPr>
        <w:pStyle w:val="JuPara"/>
      </w:pPr>
      <w:r w:rsidRPr="00A74EBF">
        <w:t>25</w:t>
      </w:r>
      <w:r w:rsidR="000820FF">
        <w:t>.</w:t>
      </w:r>
      <w:r w:rsidR="001C198A">
        <w:t xml:space="preserve"> </w:t>
      </w:r>
      <w:r w:rsidR="000820FF">
        <w:t xml:space="preserve">Skarżący twierdził, że wniosek na podstawie </w:t>
      </w:r>
      <w:r w:rsidR="003E3CFD">
        <w:t xml:space="preserve">Kodeksu </w:t>
      </w:r>
      <w:r w:rsidR="000820FF">
        <w:t>rodzinnego i</w:t>
      </w:r>
      <w:r w:rsidR="00D01B64">
        <w:t> </w:t>
      </w:r>
      <w:r w:rsidR="000820FF">
        <w:t>opiekuńczego nie był skutecznym środkiem prawnym, ponieważ w jego drodze nie można było doprowadzić do określenia sposobu utrzymywania kontaktów z synem. Wniosek ten miałby raczej na celu możliwość zmiany wyznaczonego przez sąd opiekuna w sytuacji, gdyby ten nie wykonywał swoich obowiązków należycie. Pozew o ochronę dóbr osobistych podobnie nie mógł doprowadzić do pożądanego skutku.</w:t>
      </w:r>
    </w:p>
    <w:p w14:paraId="30E456EC" w14:textId="389C0B9D" w:rsidR="003E50E1" w:rsidRPr="00A74EBF" w:rsidRDefault="003E50E1" w:rsidP="00A74EBF">
      <w:pPr>
        <w:pStyle w:val="JuH1"/>
      </w:pPr>
      <w:r>
        <w:t>Ocena Trybunału</w:t>
      </w:r>
    </w:p>
    <w:p w14:paraId="42E76D55" w14:textId="73FF6DF9" w:rsidR="003E50E1" w:rsidRPr="00A74EBF" w:rsidRDefault="00A74EBF" w:rsidP="00A74EBF">
      <w:pPr>
        <w:pStyle w:val="JuPara"/>
      </w:pPr>
      <w:r w:rsidRPr="00A74EBF">
        <w:t>26</w:t>
      </w:r>
      <w:r w:rsidR="000820FF">
        <w:t>.</w:t>
      </w:r>
      <w:r w:rsidR="001C198A">
        <w:t xml:space="preserve"> </w:t>
      </w:r>
      <w:r w:rsidR="000820FF">
        <w:t xml:space="preserve">Trybunał zauważa, że skarżący nigdy nie twierdził, iż </w:t>
      </w:r>
      <w:proofErr w:type="spellStart"/>
      <w:r w:rsidR="000820FF">
        <w:t>A.R</w:t>
      </w:r>
      <w:proofErr w:type="spellEnd"/>
      <w:r w:rsidR="000820FF">
        <w:t>. sprawowała opiekę w sposób nienależyty. Jego zarzut dotyczył tego, że</w:t>
      </w:r>
      <w:r w:rsidR="00D01B64">
        <w:t> </w:t>
      </w:r>
      <w:r w:rsidR="000820FF">
        <w:t>w</w:t>
      </w:r>
      <w:r w:rsidR="00D01B64">
        <w:t> </w:t>
      </w:r>
      <w:r w:rsidR="000820FF">
        <w:t>krajowym porządku prawnym nie było odpowiedniego przepisu, który</w:t>
      </w:r>
      <w:r w:rsidR="00D01B64">
        <w:t> </w:t>
      </w:r>
      <w:r w:rsidR="000820FF">
        <w:t xml:space="preserve">umożliwiałby mu złożenie wniosku o rozstrzygnięcie </w:t>
      </w:r>
      <w:r w:rsidR="003E3CFD">
        <w:t xml:space="preserve">przez właściwy sąd </w:t>
      </w:r>
      <w:r w:rsidR="000820FF">
        <w:t>o</w:t>
      </w:r>
      <w:r w:rsidR="00D01B64">
        <w:t> </w:t>
      </w:r>
      <w:r w:rsidR="000820FF">
        <w:t xml:space="preserve">sposobie utrzymywania kontaktów z dorosłym synem, który jest ubezwłasnowolniony całkowicie. Sądy dwukrotnie potwierdziły, że skarżący nie miał legitymacji procesowej do złożenia takiego wniosku (zob. paragraf </w:t>
      </w:r>
      <w:r w:rsidRPr="00A74EBF">
        <w:t>12</w:t>
      </w:r>
      <w:r w:rsidR="000820FF">
        <w:t xml:space="preserve"> i </w:t>
      </w:r>
      <w:r w:rsidRPr="00A74EBF">
        <w:t>14</w:t>
      </w:r>
      <w:r w:rsidR="000820FF">
        <w:t xml:space="preserve"> powyżej).</w:t>
      </w:r>
    </w:p>
    <w:p w14:paraId="435A284D" w14:textId="667F6BF8" w:rsidR="003E50E1" w:rsidRPr="00A74EBF" w:rsidRDefault="00A74EBF" w:rsidP="00A74EBF">
      <w:pPr>
        <w:pStyle w:val="JuPara"/>
      </w:pPr>
      <w:r w:rsidRPr="00A74EBF">
        <w:t>27</w:t>
      </w:r>
      <w:r w:rsidR="000820FF">
        <w:t>.</w:t>
      </w:r>
      <w:r w:rsidR="001C198A">
        <w:t xml:space="preserve"> </w:t>
      </w:r>
      <w:r w:rsidR="000820FF">
        <w:t>W odniesieniu do pozwu o ochronę d</w:t>
      </w:r>
      <w:r w:rsidR="003E3CFD">
        <w:t>óbr osobistych Trybunał zauważa</w:t>
      </w:r>
      <w:r w:rsidR="000820FF">
        <w:t>, że ten środek prawny mógłby być skuteczny tylko wtedy, gdyby skarżone działanie lub bezczynność były bezprawne. W niniejszej sprawie, odmawiając rozpoznania wniosku skarżącego, sądy powołały się na</w:t>
      </w:r>
      <w:r w:rsidR="00D01B64">
        <w:t> </w:t>
      </w:r>
      <w:r w:rsidR="000820FF">
        <w:t>odpowiednie przepisy krajowe.</w:t>
      </w:r>
    </w:p>
    <w:p w14:paraId="74C8E451" w14:textId="77672AC2" w:rsidR="003E50E1" w:rsidRPr="00A74EBF" w:rsidRDefault="00A74EBF" w:rsidP="00A74EBF">
      <w:pPr>
        <w:pStyle w:val="JuPara"/>
      </w:pPr>
      <w:r w:rsidRPr="00A74EBF">
        <w:t>28</w:t>
      </w:r>
      <w:r w:rsidR="000820FF">
        <w:t>.</w:t>
      </w:r>
      <w:r w:rsidR="001C198A">
        <w:t xml:space="preserve"> </w:t>
      </w:r>
      <w:r w:rsidR="000820FF">
        <w:t>Wynika z tego, że środki prawne, na które powołuje się Rząd, nie mogły doprowadzić do rozstrzygnięcia o sposobie utrzymywania kontaktów przez skarżącego z synem. W każdym razie Rząd nie wykazał, że jest inaczej. W świetle powyższych okoliczności zastrzeżenia wstępne Rządu należy oddalić.</w:t>
      </w:r>
    </w:p>
    <w:p w14:paraId="59EBE92A" w14:textId="0AA14B65" w:rsidR="003E50E1" w:rsidRPr="00A74EBF" w:rsidRDefault="00A74EBF" w:rsidP="00A74EBF">
      <w:pPr>
        <w:pStyle w:val="JuPara"/>
      </w:pPr>
      <w:r w:rsidRPr="00A74EBF">
        <w:t>29</w:t>
      </w:r>
      <w:r w:rsidR="000820FF">
        <w:t>.</w:t>
      </w:r>
      <w:r w:rsidR="001C198A">
        <w:t xml:space="preserve"> </w:t>
      </w:r>
      <w:r w:rsidR="000820FF">
        <w:t>Trybunał stwierdza, że skarga nie jest ani w sposób oczywisty nieuzasadniona, ani niedopuszczalna na jakiejkolwiek innej podstawie wymienionej w art.</w:t>
      </w:r>
      <w:r w:rsidR="001C198A">
        <w:t xml:space="preserve"> </w:t>
      </w:r>
      <w:r w:rsidR="000820FF">
        <w:t>35 Konwencji. Należy ją zatem uznać za dopuszczalną.</w:t>
      </w:r>
    </w:p>
    <w:p w14:paraId="4A5CE645" w14:textId="40DF728E" w:rsidR="003E50E1" w:rsidRPr="00A74EBF" w:rsidRDefault="003E3CFD" w:rsidP="00A74EBF">
      <w:pPr>
        <w:pStyle w:val="JuHIRoman"/>
      </w:pPr>
      <w:r>
        <w:lastRenderedPageBreak/>
        <w:t>ZARZUC</w:t>
      </w:r>
      <w:r w:rsidR="003E50E1">
        <w:t>ANE NARUSZENIE ART.</w:t>
      </w:r>
      <w:r w:rsidR="001C198A">
        <w:t xml:space="preserve"> </w:t>
      </w:r>
      <w:r w:rsidR="003E50E1">
        <w:t>6 UST.</w:t>
      </w:r>
      <w:r w:rsidR="001C198A">
        <w:t xml:space="preserve"> </w:t>
      </w:r>
      <w:r w:rsidR="003E50E1">
        <w:t>1 KONWENCJI</w:t>
      </w:r>
    </w:p>
    <w:p w14:paraId="68FAC220" w14:textId="2AA4C1E3" w:rsidR="003E50E1" w:rsidRPr="00A74EBF" w:rsidRDefault="00A74EBF" w:rsidP="00A74EBF">
      <w:pPr>
        <w:pStyle w:val="JuPara"/>
      </w:pPr>
      <w:r w:rsidRPr="00A74EBF">
        <w:t>30</w:t>
      </w:r>
      <w:r w:rsidR="003E50E1">
        <w:t>.</w:t>
      </w:r>
      <w:r w:rsidR="001C198A">
        <w:t xml:space="preserve"> </w:t>
      </w:r>
      <w:r w:rsidR="003E50E1">
        <w:t>Skarżący zarzucił, że nie miał skutecznego dostępu do sądu. Skarżący powołał się na art.</w:t>
      </w:r>
      <w:r w:rsidR="001C198A">
        <w:t xml:space="preserve"> </w:t>
      </w:r>
      <w:r w:rsidR="003E50E1">
        <w:t>6 ust.</w:t>
      </w:r>
      <w:r w:rsidR="001C198A">
        <w:t xml:space="preserve"> </w:t>
      </w:r>
      <w:r w:rsidR="003E50E1">
        <w:t>1 Konwencji, który w odpowiednim zakresie stanowi:</w:t>
      </w:r>
    </w:p>
    <w:p w14:paraId="76F63664" w14:textId="77777777" w:rsidR="003E50E1" w:rsidRPr="00A74EBF" w:rsidRDefault="003E50E1" w:rsidP="00A74EBF">
      <w:pPr>
        <w:pStyle w:val="JuQuot"/>
      </w:pPr>
      <w:r>
        <w:t>„Każdy ma prawo do sprawiedliwego […] rozpatrzenia jego sprawy […] przez […] sąd […] przy rozstrzyganiu o jego prawach i obowiązkach o charakterze cywilnym […].”</w:t>
      </w:r>
    </w:p>
    <w:p w14:paraId="5E918254" w14:textId="7B37631C" w:rsidR="003E50E1" w:rsidRPr="00A74EBF" w:rsidRDefault="00A74EBF" w:rsidP="00A74EBF">
      <w:pPr>
        <w:pStyle w:val="JuPara"/>
      </w:pPr>
      <w:r w:rsidRPr="00A74EBF">
        <w:t>31</w:t>
      </w:r>
      <w:r w:rsidR="003E50E1">
        <w:t>.</w:t>
      </w:r>
      <w:r w:rsidR="001C198A">
        <w:t xml:space="preserve"> </w:t>
      </w:r>
      <w:r w:rsidR="003E50E1">
        <w:t xml:space="preserve">Trybunał przypomina, że to </w:t>
      </w:r>
      <w:r w:rsidR="008E1AC8">
        <w:t xml:space="preserve">do niego należy </w:t>
      </w:r>
      <w:r w:rsidR="003E50E1">
        <w:t>dokonanie subsumpcji w</w:t>
      </w:r>
      <w:r w:rsidR="00D01B64">
        <w:t> </w:t>
      </w:r>
      <w:r w:rsidR="003E50E1">
        <w:t>sprawie, i że wcześniej stwierdził, iż podczas gdy art. 8 Konwencji nie</w:t>
      </w:r>
      <w:r w:rsidR="00D01B64">
        <w:t> </w:t>
      </w:r>
      <w:r w:rsidR="003E50E1">
        <w:t xml:space="preserve">zawiera żadnych wyraźnych wymogów proceduralnych, proces decyzyjny prowadzący do podjęcia środków ingerencji musi być sprawiedliwy i należy w nim zapewnić należyte poszanowanie interesów zagwarantowanych w art. 8 (zob. między innymi </w:t>
      </w:r>
      <w:proofErr w:type="spellStart"/>
      <w:r w:rsidR="003E50E1">
        <w:rPr>
          <w:i/>
          <w:iCs/>
        </w:rPr>
        <w:t>Kutzner</w:t>
      </w:r>
      <w:proofErr w:type="spellEnd"/>
      <w:r w:rsidR="003E50E1">
        <w:rPr>
          <w:i/>
          <w:iCs/>
        </w:rPr>
        <w:t xml:space="preserve"> przeciwko Niemcom</w:t>
      </w:r>
      <w:r w:rsidR="003E50E1">
        <w:t>, skarga nr 46544/99, § 56, ETPC 2002</w:t>
      </w:r>
      <w:r w:rsidR="003E50E1">
        <w:noBreakHyphen/>
        <w:t xml:space="preserve">I; </w:t>
      </w:r>
      <w:proofErr w:type="spellStart"/>
      <w:r w:rsidR="003E50E1">
        <w:rPr>
          <w:i/>
          <w:iCs/>
        </w:rPr>
        <w:t>Guerra</w:t>
      </w:r>
      <w:proofErr w:type="spellEnd"/>
      <w:r w:rsidR="003E50E1">
        <w:rPr>
          <w:i/>
          <w:iCs/>
        </w:rPr>
        <w:t xml:space="preserve"> i Inni przeciwko Włochom</w:t>
      </w:r>
      <w:r w:rsidR="003E50E1">
        <w:t>, 19 lutego 1998 r., § 44,</w:t>
      </w:r>
      <w:r w:rsidR="003E50E1">
        <w:rPr>
          <w:i/>
          <w:iCs/>
        </w:rPr>
        <w:t xml:space="preserve"> Zbiór Wyroków i Decyzji </w:t>
      </w:r>
      <w:r w:rsidR="003E50E1">
        <w:t>1998</w:t>
      </w:r>
      <w:r w:rsidR="003E50E1">
        <w:noBreakHyphen/>
        <w:t>I; oraz</w:t>
      </w:r>
      <w:r w:rsidR="00D01B64">
        <w:t> </w:t>
      </w:r>
      <w:proofErr w:type="spellStart"/>
      <w:r w:rsidR="003E50E1">
        <w:rPr>
          <w:i/>
          <w:iCs/>
        </w:rPr>
        <w:t>Ignaccolo-Zenide</w:t>
      </w:r>
      <w:proofErr w:type="spellEnd"/>
      <w:r w:rsidR="003E50E1">
        <w:rPr>
          <w:i/>
          <w:iCs/>
        </w:rPr>
        <w:t xml:space="preserve"> przeciwko Rumunii</w:t>
      </w:r>
      <w:r w:rsidR="003E50E1">
        <w:t>, skarga nr 31679/96, § 99, ETPC</w:t>
      </w:r>
      <w:r w:rsidR="00D01B64">
        <w:t> </w:t>
      </w:r>
      <w:r w:rsidR="003E50E1">
        <w:t>2000</w:t>
      </w:r>
      <w:r w:rsidR="003E50E1">
        <w:noBreakHyphen/>
        <w:t>I).</w:t>
      </w:r>
    </w:p>
    <w:p w14:paraId="0F41AEDB" w14:textId="1F2F3E19" w:rsidR="003E50E1" w:rsidRPr="00A74EBF" w:rsidRDefault="00A74EBF" w:rsidP="00A74EBF">
      <w:pPr>
        <w:pStyle w:val="JuPara"/>
      </w:pPr>
      <w:r w:rsidRPr="00A74EBF">
        <w:t>32</w:t>
      </w:r>
      <w:r w:rsidR="000820FF">
        <w:t>.</w:t>
      </w:r>
      <w:r w:rsidR="001C198A">
        <w:t xml:space="preserve"> </w:t>
      </w:r>
      <w:r w:rsidR="000820FF">
        <w:t>W niniejszej sprawie Trybunał uważa, że zarzut skarżącego na</w:t>
      </w:r>
      <w:r w:rsidR="00D01B64">
        <w:t> </w:t>
      </w:r>
      <w:r w:rsidR="000820FF">
        <w:t>podstawie art. 6 Konwencji jest ściśle związany z jego zarzutem na</w:t>
      </w:r>
      <w:r w:rsidR="00D01B64">
        <w:t> </w:t>
      </w:r>
      <w:r w:rsidR="000820FF">
        <w:t>podstawie art. 8 i w związku z tym może być rozpatrywany jako część tego drugiego.</w:t>
      </w:r>
    </w:p>
    <w:p w14:paraId="65DDAEF8" w14:textId="0A512F1B" w:rsidR="003E50E1" w:rsidRPr="00A74EBF" w:rsidRDefault="003E3CFD" w:rsidP="00A74EBF">
      <w:pPr>
        <w:pStyle w:val="JuHIRoman"/>
      </w:pPr>
      <w:r>
        <w:t>zarzuc</w:t>
      </w:r>
      <w:r w:rsidR="003E50E1">
        <w:t>ANE NARUSZENIE ART.</w:t>
      </w:r>
      <w:r w:rsidR="001C198A">
        <w:t xml:space="preserve"> </w:t>
      </w:r>
      <w:r w:rsidR="003E50E1">
        <w:t>8 KONWENCJI</w:t>
      </w:r>
    </w:p>
    <w:p w14:paraId="048E4EC4" w14:textId="0FA4CCDC" w:rsidR="003E50E1" w:rsidRPr="00A74EBF" w:rsidRDefault="00A74EBF" w:rsidP="00A74EBF">
      <w:pPr>
        <w:pStyle w:val="JuPara"/>
      </w:pPr>
      <w:r w:rsidRPr="00A74EBF">
        <w:t>33</w:t>
      </w:r>
      <w:r w:rsidR="003E50E1">
        <w:t>.</w:t>
      </w:r>
      <w:r w:rsidR="001C198A">
        <w:t xml:space="preserve"> </w:t>
      </w:r>
      <w:r w:rsidR="003E50E1">
        <w:t>Skarżący zarzucił, że odmowa rozstrzygnięcia o sposobie utrzymywania kontaktów z dorosłym, ubezwłasnowolnionym synem stanowiła naruszenie jego prawa do życia rodzinnego, wynikającego z art. 8 Konwencji, który stanowi:</w:t>
      </w:r>
    </w:p>
    <w:p w14:paraId="6270738B" w14:textId="3E933442" w:rsidR="003E50E1" w:rsidRPr="00A74EBF" w:rsidRDefault="003E50E1" w:rsidP="00A74EBF">
      <w:pPr>
        <w:pStyle w:val="JuQuot"/>
      </w:pPr>
      <w:r>
        <w:t>„1.</w:t>
      </w:r>
      <w:r w:rsidR="001C198A">
        <w:t xml:space="preserve"> </w:t>
      </w:r>
      <w:r w:rsidR="008E1AC8" w:rsidRPr="008E1AC8">
        <w:t>Każdy ma prawo do poszanowania swojego życia prywatnego i rodzinnego, swojego mieszkania i swojej korespondencji</w:t>
      </w:r>
      <w:r>
        <w:t>.</w:t>
      </w:r>
    </w:p>
    <w:p w14:paraId="0F0D7A22" w14:textId="036D69F0" w:rsidR="003E50E1" w:rsidRPr="00A74EBF" w:rsidRDefault="003E50E1" w:rsidP="00A74EBF">
      <w:pPr>
        <w:pStyle w:val="JuQuot"/>
      </w:pPr>
      <w:r>
        <w:t>2.</w:t>
      </w:r>
      <w:r w:rsidR="001C198A">
        <w:t xml:space="preserve"> </w:t>
      </w:r>
      <w:r w:rsidR="008E1AC8" w:rsidRPr="008E1AC8">
        <w:t>Niedopuszczalna jest ingerencja władzy publicznej w korzystanie z tego prawa, z</w:t>
      </w:r>
      <w:r w:rsidR="00D01B64">
        <w:t> </w:t>
      </w:r>
      <w:r w:rsidR="008E1AC8" w:rsidRPr="008E1AC8">
        <w:t>wyjątkiem przypadków przewidzianych przez ustawę i koniecznych w</w:t>
      </w:r>
      <w:r w:rsidR="00D01B64">
        <w:t> </w:t>
      </w:r>
      <w:r w:rsidR="008E1AC8" w:rsidRPr="008E1AC8">
        <w:t>demokratycznym społeczeństwie z uwagi na bezpieczeństwo państwowe, bezpieczeństwo publiczne lub dobrobyt gospodarczy kraju, ochronę porządku i</w:t>
      </w:r>
      <w:r w:rsidR="00D01B64">
        <w:t> </w:t>
      </w:r>
      <w:r w:rsidR="008E1AC8" w:rsidRPr="008E1AC8">
        <w:t>zapobieganie przestępstwom, ochronę zdrowia i moralności lub ochronę praw i</w:t>
      </w:r>
      <w:r w:rsidR="00D01B64">
        <w:t> </w:t>
      </w:r>
      <w:r w:rsidR="008E1AC8" w:rsidRPr="008E1AC8">
        <w:t>wolności innych osób</w:t>
      </w:r>
      <w:r>
        <w:t>”.</w:t>
      </w:r>
    </w:p>
    <w:p w14:paraId="13132DA4" w14:textId="51FE86D8" w:rsidR="003E50E1" w:rsidRPr="00A74EBF" w:rsidRDefault="003E50E1" w:rsidP="00A74EBF">
      <w:pPr>
        <w:pStyle w:val="JuHA"/>
      </w:pPr>
      <w:r>
        <w:t>Stanowiska stron</w:t>
      </w:r>
    </w:p>
    <w:p w14:paraId="61CAA466" w14:textId="40B97CA7" w:rsidR="003E50E1" w:rsidRPr="00A74EBF" w:rsidRDefault="00A74EBF" w:rsidP="00A74EBF">
      <w:pPr>
        <w:pStyle w:val="JuPara"/>
      </w:pPr>
      <w:r w:rsidRPr="00A74EBF">
        <w:t>34</w:t>
      </w:r>
      <w:r w:rsidR="000820FF">
        <w:t>.</w:t>
      </w:r>
      <w:r w:rsidR="001C198A">
        <w:t xml:space="preserve"> </w:t>
      </w:r>
      <w:r w:rsidR="008E1AC8">
        <w:t xml:space="preserve">Skarżący </w:t>
      </w:r>
      <w:r w:rsidR="000820FF">
        <w:t xml:space="preserve">twierdził, że pomimo przeszkód, jakie stwarzała </w:t>
      </w:r>
      <w:proofErr w:type="spellStart"/>
      <w:r w:rsidR="000820FF">
        <w:t>A.R</w:t>
      </w:r>
      <w:proofErr w:type="spellEnd"/>
      <w:r w:rsidR="000820FF">
        <w:t xml:space="preserve">., udało mu się utrzymać kontakty i dobre relacje z </w:t>
      </w:r>
      <w:proofErr w:type="spellStart"/>
      <w:r w:rsidR="000820FF">
        <w:t>D.B</w:t>
      </w:r>
      <w:proofErr w:type="spellEnd"/>
      <w:r w:rsidR="000820FF">
        <w:t xml:space="preserve">. do momentu ukończenia przez syna 18 lat. Fakt, że sądy krajowe odmówiły rozstrzygnięcia o sposobie utrzymywania kontaktów z </w:t>
      </w:r>
      <w:proofErr w:type="spellStart"/>
      <w:r w:rsidR="000820FF">
        <w:t>D.B</w:t>
      </w:r>
      <w:proofErr w:type="spellEnd"/>
      <w:r w:rsidR="000820FF">
        <w:t xml:space="preserve">. po tym, jak stał się pełnoletni, stanowił </w:t>
      </w:r>
      <w:r w:rsidR="000820FF">
        <w:lastRenderedPageBreak/>
        <w:t xml:space="preserve">ingerencję w prawo skarżącego do życia rodzinnego. Ingerencja ta nie była „konieczna w demokratycznym społeczeństwie” i doprowadziła do </w:t>
      </w:r>
      <w:r w:rsidR="008E1AC8">
        <w:t>ze</w:t>
      </w:r>
      <w:r w:rsidR="000820FF">
        <w:t>rwania więzi rodzinnych skarżącego z synem, co stanowiło naruszenie art. 8 Konwencji.</w:t>
      </w:r>
    </w:p>
    <w:p w14:paraId="3611C342" w14:textId="4BB03EE1" w:rsidR="003E50E1" w:rsidRPr="00A74EBF" w:rsidRDefault="00A74EBF" w:rsidP="00A74EBF">
      <w:pPr>
        <w:pStyle w:val="JuPara"/>
      </w:pPr>
      <w:r w:rsidRPr="00A74EBF">
        <w:t>35</w:t>
      </w:r>
      <w:r w:rsidR="000820FF">
        <w:t>.</w:t>
      </w:r>
      <w:r w:rsidR="001C198A">
        <w:t xml:space="preserve"> </w:t>
      </w:r>
      <w:r w:rsidR="000820FF">
        <w:t>Skarżący podkreślił, że nie miał dostępu do sądu, który umożliwiałby mu określenie sposobu utrzymywania kontaktów z ubezwłasnowolnionym całkowicie synem. Wskazał na postanowienie Sądu Rejonowego dla</w:t>
      </w:r>
      <w:r w:rsidR="00D01B64">
        <w:t> </w:t>
      </w:r>
      <w:r w:rsidR="000820FF">
        <w:t>Wrocławia-Śródmieścia</w:t>
      </w:r>
      <w:r w:rsidR="008B4E31">
        <w:t xml:space="preserve"> we Wrocławiu</w:t>
      </w:r>
      <w:r w:rsidR="000820FF">
        <w:t xml:space="preserve"> z dnia 4 października 2018 r., utrzymane w mocy postanowieniem Sądu Okręgowego we Wrocławiu z dnia 18 stycznia 2019 r., w którym to postanowieniu wyraźnie potwierdzono, z</w:t>
      </w:r>
      <w:r w:rsidR="00D01B64">
        <w:t> </w:t>
      </w:r>
      <w:r w:rsidR="000820FF">
        <w:t>odniesieniem do uchwały Sądu Najwyższego z dnia 17 maja 2018 r., że</w:t>
      </w:r>
      <w:r w:rsidR="00D01B64">
        <w:t> </w:t>
      </w:r>
      <w:r w:rsidR="000820FF">
        <w:t>skarżący nie dysponuje legitymacją procesową do wystąpienia o sądowe rozstrzygnięcie o sposobie utrzymywania kontaktów z synem.</w:t>
      </w:r>
    </w:p>
    <w:p w14:paraId="627C8B86" w14:textId="049FB73A" w:rsidR="003E50E1" w:rsidRPr="00A74EBF" w:rsidRDefault="00A74EBF" w:rsidP="00A74EBF">
      <w:pPr>
        <w:pStyle w:val="JuPara"/>
      </w:pPr>
      <w:r w:rsidRPr="00A74EBF">
        <w:t>36</w:t>
      </w:r>
      <w:r w:rsidR="000820FF">
        <w:t>.</w:t>
      </w:r>
      <w:r w:rsidR="001C198A">
        <w:t xml:space="preserve"> </w:t>
      </w:r>
      <w:r w:rsidR="000820FF">
        <w:t xml:space="preserve">Rząd twierdził, że odpowiednie przepisy </w:t>
      </w:r>
      <w:r w:rsidR="008E1AC8">
        <w:t xml:space="preserve">Kodeksu </w:t>
      </w:r>
      <w:r w:rsidR="000820FF">
        <w:t>rodzinnego i</w:t>
      </w:r>
      <w:r w:rsidR="00D01B64">
        <w:t> </w:t>
      </w:r>
      <w:r w:rsidR="000820FF">
        <w:t xml:space="preserve">opiekuńczego dotyczyły sposobu utrzymywania kontaktów między rodzicami a małoletnimi dziećmi. Nie miały one zatem zastosowania po tym, jak </w:t>
      </w:r>
      <w:proofErr w:type="spellStart"/>
      <w:r w:rsidR="000820FF">
        <w:t>D.B</w:t>
      </w:r>
      <w:proofErr w:type="spellEnd"/>
      <w:r w:rsidR="000820FF">
        <w:t>. ukończył 18 lat. Rząd zapewnił ponadto, że żaden dorosły nie może być zmuszony do utrzymywania kontaktów z rodzicami wbrew własnej woli, co dotyczyło również osób ubezwłasnowolnionych.</w:t>
      </w:r>
    </w:p>
    <w:p w14:paraId="5F0177A2" w14:textId="427E4FB4" w:rsidR="003E50E1" w:rsidRPr="00A74EBF" w:rsidRDefault="00A74EBF" w:rsidP="00A74EBF">
      <w:pPr>
        <w:pStyle w:val="JuPara"/>
      </w:pPr>
      <w:r w:rsidRPr="00A74EBF">
        <w:t>37</w:t>
      </w:r>
      <w:r w:rsidR="000820FF">
        <w:t>.</w:t>
      </w:r>
      <w:r w:rsidR="001C198A">
        <w:t xml:space="preserve"> </w:t>
      </w:r>
      <w:r w:rsidR="000820FF">
        <w:t>W odniesien</w:t>
      </w:r>
      <w:r w:rsidR="00A60FC7">
        <w:t xml:space="preserve">iu do aspektu procesowego Rząd </w:t>
      </w:r>
      <w:r w:rsidR="000820FF">
        <w:t>twierdził, że skarżący miał do dyspozycji skute</w:t>
      </w:r>
      <w:r w:rsidR="00A60FC7">
        <w:t xml:space="preserve">czne krajowe środki odwoławcze. </w:t>
      </w:r>
      <w:r w:rsidR="000820FF">
        <w:t>Gdyby zdecydował się z nich skorzystać, jego roszczenia zbadałyby odpowiednie sądy.</w:t>
      </w:r>
    </w:p>
    <w:p w14:paraId="56576787" w14:textId="4903468B" w:rsidR="003E50E1" w:rsidRPr="00A74EBF" w:rsidRDefault="00A74EBF" w:rsidP="00A74EBF">
      <w:pPr>
        <w:pStyle w:val="JuPara"/>
      </w:pPr>
      <w:r w:rsidRPr="00A74EBF">
        <w:t>38</w:t>
      </w:r>
      <w:r w:rsidR="000820FF">
        <w:t>.</w:t>
      </w:r>
      <w:r w:rsidR="001C198A">
        <w:t xml:space="preserve"> </w:t>
      </w:r>
      <w:r w:rsidR="00A60FC7">
        <w:t xml:space="preserve">Na koniec Rząd </w:t>
      </w:r>
      <w:r w:rsidR="000820FF">
        <w:t>twierdził, że skarżący był „uprawniony do kontaktu ze swoim dorosłym synem za jego zgodą” i argumentował we wnioskach, że</w:t>
      </w:r>
      <w:r w:rsidR="00D01B64">
        <w:t> </w:t>
      </w:r>
      <w:r w:rsidR="000820FF">
        <w:t>nie doszło do ingerencji w prawo skarżącego do życia rodzinnego.</w:t>
      </w:r>
    </w:p>
    <w:p w14:paraId="722B9289" w14:textId="479CFC84" w:rsidR="003E50E1" w:rsidRPr="00422A40" w:rsidRDefault="003E50E1" w:rsidP="00A74EBF">
      <w:pPr>
        <w:pStyle w:val="JuHA"/>
      </w:pPr>
      <w:r w:rsidRPr="00422A40">
        <w:t>Ocena Trybunału</w:t>
      </w:r>
    </w:p>
    <w:p w14:paraId="0CA19293" w14:textId="77777777" w:rsidR="003E50E1" w:rsidRPr="00A74EBF" w:rsidRDefault="003E50E1" w:rsidP="00A74EBF">
      <w:pPr>
        <w:pStyle w:val="JuH1"/>
      </w:pPr>
      <w:r>
        <w:t>Zasady ogólne</w:t>
      </w:r>
    </w:p>
    <w:p w14:paraId="2D80CE2C" w14:textId="11C67BEE" w:rsidR="003E50E1" w:rsidRPr="00A74EBF" w:rsidRDefault="00A74EBF" w:rsidP="00A74EBF">
      <w:pPr>
        <w:pStyle w:val="JuPara"/>
      </w:pPr>
      <w:r w:rsidRPr="00A74EBF">
        <w:rPr>
          <w:noProof/>
        </w:rPr>
        <w:t>39</w:t>
      </w:r>
      <w:r>
        <w:t>.</w:t>
      </w:r>
      <w:r w:rsidR="001C198A">
        <w:t xml:space="preserve"> </w:t>
      </w:r>
      <w:r>
        <w:t xml:space="preserve">Zgodnie z własnym orzecznictwem Trybunał zauważa, że kwestia istnienia lub nieistnienia „życia rodzinnego” jest zasadniczo kwestią faktyczną, zależną od istnienia bliskich więzi osobistych </w:t>
      </w:r>
      <w:r>
        <w:rPr>
          <w:i/>
        </w:rPr>
        <w:t>(</w:t>
      </w:r>
      <w:proofErr w:type="spellStart"/>
      <w:r>
        <w:rPr>
          <w:i/>
        </w:rPr>
        <w:t>Marckx</w:t>
      </w:r>
      <w:proofErr w:type="spellEnd"/>
      <w:r>
        <w:rPr>
          <w:i/>
        </w:rPr>
        <w:t xml:space="preserve"> przeciwko Belgii</w:t>
      </w:r>
      <w:r>
        <w:t xml:space="preserve">, wyrok z dnia 13 czerwca 1979 r., Seria A nr 31, s. 14 i nast., § 31 oraz </w:t>
      </w:r>
      <w:r>
        <w:rPr>
          <w:i/>
        </w:rPr>
        <w:t>K. i T. przeciwko Finlandii</w:t>
      </w:r>
      <w:r>
        <w:t xml:space="preserve"> [</w:t>
      </w:r>
      <w:proofErr w:type="spellStart"/>
      <w:r>
        <w:t>WI</w:t>
      </w:r>
      <w:proofErr w:type="spellEnd"/>
      <w:r>
        <w:t>], skarga nr 25702/94, § 150, ETPC 2001</w:t>
      </w:r>
      <w:r>
        <w:noBreakHyphen/>
        <w:t>VII).</w:t>
      </w:r>
    </w:p>
    <w:p w14:paraId="41722D60" w14:textId="67005E3B" w:rsidR="003E50E1" w:rsidRPr="00A74EBF" w:rsidRDefault="00A74EBF" w:rsidP="00A74EBF">
      <w:pPr>
        <w:pStyle w:val="JuPara"/>
      </w:pPr>
      <w:bookmarkStart w:id="10" w:name="caselaw_familylife"/>
      <w:r w:rsidRPr="00A74EBF">
        <w:t>40</w:t>
      </w:r>
      <w:bookmarkEnd w:id="10"/>
      <w:r w:rsidR="003E50E1">
        <w:t>.</w:t>
      </w:r>
      <w:r w:rsidR="001C198A">
        <w:t xml:space="preserve"> </w:t>
      </w:r>
      <w:r w:rsidR="003E50E1">
        <w:t>Ponadto Trybunał przypomina zasadę, że zakres ochronny art. 8 nie</w:t>
      </w:r>
      <w:r w:rsidR="00D01B64">
        <w:t> </w:t>
      </w:r>
      <w:r w:rsidR="003E50E1">
        <w:t xml:space="preserve">obejmuje stosunków między rodzicami a dorosłymi dziećmi, chyba że „wykazane zostaną dodatkowe czynniki zależności inne niż zwykłe więzi emocjonalne” (zob. </w:t>
      </w:r>
      <w:proofErr w:type="spellStart"/>
      <w:r w:rsidR="003E50E1">
        <w:rPr>
          <w:i/>
          <w:iCs/>
        </w:rPr>
        <w:t>Senchishak</w:t>
      </w:r>
      <w:proofErr w:type="spellEnd"/>
      <w:r w:rsidR="003E50E1">
        <w:rPr>
          <w:i/>
          <w:iCs/>
        </w:rPr>
        <w:t xml:space="preserve"> przeciwko Finlandii</w:t>
      </w:r>
      <w:r w:rsidR="003E50E1">
        <w:t xml:space="preserve">, skarga nr 5049/12, § 55, 18 listopada 2014 r.; </w:t>
      </w:r>
      <w:proofErr w:type="spellStart"/>
      <w:r w:rsidR="003E50E1">
        <w:rPr>
          <w:i/>
          <w:iCs/>
        </w:rPr>
        <w:t>Emonet</w:t>
      </w:r>
      <w:proofErr w:type="spellEnd"/>
      <w:r w:rsidR="003E50E1">
        <w:rPr>
          <w:i/>
          <w:iCs/>
        </w:rPr>
        <w:t xml:space="preserve"> i Inni przeciwko Szwajcarii</w:t>
      </w:r>
      <w:r w:rsidR="003E50E1">
        <w:t xml:space="preserve">, skarga nr 39051/03, § 35, 13 grudnia 2007 r.; oraz </w:t>
      </w:r>
      <w:r w:rsidR="003E50E1">
        <w:rPr>
          <w:i/>
        </w:rPr>
        <w:t>mutatis mutandis</w:t>
      </w:r>
      <w:r w:rsidR="003E50E1">
        <w:t xml:space="preserve">, </w:t>
      </w:r>
      <w:proofErr w:type="spellStart"/>
      <w:r w:rsidR="003E50E1">
        <w:rPr>
          <w:i/>
        </w:rPr>
        <w:t>Kwakye-Nti</w:t>
      </w:r>
      <w:proofErr w:type="spellEnd"/>
      <w:r w:rsidR="003E50E1">
        <w:rPr>
          <w:i/>
        </w:rPr>
        <w:t xml:space="preserve"> i </w:t>
      </w:r>
      <w:proofErr w:type="spellStart"/>
      <w:r w:rsidR="003E50E1">
        <w:rPr>
          <w:i/>
        </w:rPr>
        <w:t>Dufie</w:t>
      </w:r>
      <w:proofErr w:type="spellEnd"/>
      <w:r w:rsidR="003E50E1">
        <w:rPr>
          <w:i/>
        </w:rPr>
        <w:t xml:space="preserve"> przeciwko Holandii</w:t>
      </w:r>
      <w:r w:rsidR="003E50E1">
        <w:t xml:space="preserve"> (</w:t>
      </w:r>
      <w:proofErr w:type="spellStart"/>
      <w:r w:rsidR="003E50E1">
        <w:t>dec</w:t>
      </w:r>
      <w:proofErr w:type="spellEnd"/>
      <w:r w:rsidR="003E50E1">
        <w:t>.), skarga nr 31519/96, 7 listopada 2000 r.).</w:t>
      </w:r>
    </w:p>
    <w:p w14:paraId="544388FA" w14:textId="2190A946" w:rsidR="003E50E1" w:rsidRPr="00A74EBF" w:rsidRDefault="00A74EBF" w:rsidP="00A74EBF">
      <w:pPr>
        <w:pStyle w:val="JuPara"/>
      </w:pPr>
      <w:r w:rsidRPr="00A74EBF">
        <w:rPr>
          <w:noProof/>
        </w:rPr>
        <w:lastRenderedPageBreak/>
        <w:t>41</w:t>
      </w:r>
      <w:r>
        <w:t>.</w:t>
      </w:r>
      <w:r w:rsidR="001C198A">
        <w:t xml:space="preserve"> </w:t>
      </w:r>
      <w:r>
        <w:t xml:space="preserve">W sprawie </w:t>
      </w:r>
      <w:proofErr w:type="spellStart"/>
      <w:r>
        <w:rPr>
          <w:i/>
          <w:iCs/>
        </w:rPr>
        <w:t>Emonet</w:t>
      </w:r>
      <w:proofErr w:type="spellEnd"/>
      <w:r>
        <w:rPr>
          <w:i/>
          <w:iCs/>
        </w:rPr>
        <w:t xml:space="preserve"> i Inni</w:t>
      </w:r>
      <w:r>
        <w:t xml:space="preserve"> (cyt. powyżej) pierwsza skarżąca − osoba dorosła, która w wyniku poważnej choroby została sparaliżowana od pasa w</w:t>
      </w:r>
      <w:r w:rsidR="00D01B64">
        <w:t> </w:t>
      </w:r>
      <w:r>
        <w:t>dół − wymagała opieki ze strony matki i partnera matki (dwóch pozostałych skarżących), z którymi mieszkała. Złożyła wniosek o</w:t>
      </w:r>
      <w:r w:rsidR="00D01B64">
        <w:t> </w:t>
      </w:r>
      <w:r>
        <w:t>przysposobienie przez partnera matki, który został uwzględniony, lecz</w:t>
      </w:r>
      <w:r w:rsidR="00D01B64">
        <w:t> </w:t>
      </w:r>
      <w:r>
        <w:t>zgodnie z prawem szwajcarskim wywołało to automatycznie zakończenie prawnego stosunku dziecka z rodzicem między pierwszą skarżącą a jej matką. Skarżący wnieśli skargę ze względu na ten skutek. Trybunał stwierdził, że:</w:t>
      </w:r>
    </w:p>
    <w:p w14:paraId="3DEAB523" w14:textId="42E70407" w:rsidR="003E50E1" w:rsidRPr="00A74EBF" w:rsidRDefault="003E50E1" w:rsidP="00A74EBF">
      <w:pPr>
        <w:pStyle w:val="JuPara"/>
      </w:pPr>
      <w:r>
        <w:t>(a) pomiędzy tr</w:t>
      </w:r>
      <w:r w:rsidR="00A45B7F">
        <w:t>ojgiem skarżących</w:t>
      </w:r>
      <w:r>
        <w:t xml:space="preserve"> istniała faktyczna więź rodzinna i</w:t>
      </w:r>
      <w:r w:rsidR="00D01B64">
        <w:t> </w:t>
      </w:r>
      <w:r>
        <w:t>występowały „dodatkowe czynniki zależności inne niż zwykłe więzi uczuciowe”, co było przesłanką do zastosowania art. 8 Konwencji (§§ 37-38);</w:t>
      </w:r>
    </w:p>
    <w:p w14:paraId="7033E324" w14:textId="48D451A0" w:rsidR="003E50E1" w:rsidRPr="00A74EBF" w:rsidRDefault="003E50E1" w:rsidP="00A74EBF">
      <w:pPr>
        <w:pStyle w:val="JuPara"/>
      </w:pPr>
      <w:r>
        <w:t>(b) zerwanie stosunku matki z córką między pierwszą a drugą skarżącą w</w:t>
      </w:r>
      <w:r w:rsidR="00D01B64">
        <w:t> </w:t>
      </w:r>
      <w:r>
        <w:t>wyniku przysposobienia stanowiło ingerencję w korzystanie przez skarżące z prawa do poszanowania ich życia rodzinnego (§ 70).</w:t>
      </w:r>
    </w:p>
    <w:p w14:paraId="119DDDB5" w14:textId="7DE58A1A" w:rsidR="003E50E1" w:rsidRPr="00A74EBF" w:rsidRDefault="00A74EBF" w:rsidP="00A74EBF">
      <w:pPr>
        <w:pStyle w:val="JuPara"/>
      </w:pPr>
      <w:r w:rsidRPr="00A74EBF">
        <w:t>42</w:t>
      </w:r>
      <w:r w:rsidR="000820FF">
        <w:t>.</w:t>
      </w:r>
      <w:r w:rsidR="001C198A">
        <w:t xml:space="preserve"> </w:t>
      </w:r>
      <w:r w:rsidR="000820FF">
        <w:t>Podstawowym celem art.</w:t>
      </w:r>
      <w:r w:rsidR="001C198A">
        <w:t xml:space="preserve"> </w:t>
      </w:r>
      <w:r w:rsidR="000820FF">
        <w:t>8 jest ochrona jednostki przed arbitralnymi ingerencjami władz publicznych. Mogą niemniej istnieć obowiązki pozytywne nierozerwalnie związane ze skutecznym „poszanowaniem” życia rodzinnego. Obowiązki te mogą obejmować przyjęcie środków mających na</w:t>
      </w:r>
      <w:r w:rsidR="00D01B64">
        <w:t> </w:t>
      </w:r>
      <w:r w:rsidR="000820FF">
        <w:t>celu zapewnienie poszanowania życia rodzinnego nawet w sferze stosunków między jednostkami, w tym zarówno zapewnienie ram prawnych dla mechanizmów orzekania i egzekwowania, chroniących prawa jednostek, jak i wykonywanie w stosownych przypadkach szczególnych czynności (zob.</w:t>
      </w:r>
      <w:r w:rsidR="00D01B64">
        <w:t> </w:t>
      </w:r>
      <w:r w:rsidR="000820FF">
        <w:t xml:space="preserve">m.in. </w:t>
      </w:r>
      <w:r w:rsidR="000820FF">
        <w:rPr>
          <w:i/>
          <w:iCs/>
        </w:rPr>
        <w:t>X i Y przeciwko Holandii</w:t>
      </w:r>
      <w:r w:rsidR="000820FF">
        <w:t xml:space="preserve">, 26 marca 1985 r., § 23, Seria A nr 91; oraz </w:t>
      </w:r>
      <w:r w:rsidR="000820FF">
        <w:rPr>
          <w:i/>
          <w:iCs/>
        </w:rPr>
        <w:t>mutatis mutandis</w:t>
      </w:r>
      <w:r w:rsidR="000820FF">
        <w:t xml:space="preserve">, </w:t>
      </w:r>
      <w:r w:rsidR="000820FF">
        <w:rPr>
          <w:i/>
          <w:iCs/>
        </w:rPr>
        <w:t>Osman przeciwko Zjednoczonemu Królestwu</w:t>
      </w:r>
      <w:r w:rsidR="000820FF">
        <w:t>, 28</w:t>
      </w:r>
      <w:r w:rsidR="00D01B64">
        <w:t> </w:t>
      </w:r>
      <w:r w:rsidR="000820FF">
        <w:t xml:space="preserve">października 1998 r., § 115, </w:t>
      </w:r>
      <w:r w:rsidR="000820FF">
        <w:rPr>
          <w:i/>
        </w:rPr>
        <w:t xml:space="preserve">Zbiór </w:t>
      </w:r>
      <w:r w:rsidR="000820FF">
        <w:t xml:space="preserve">1998-VIII). Zarówno w kontekście negatywnym, jak i pozytywnym, należy mieć na uwadze sprawiedliwą równowagę, którą trzeba zachować pomiędzy konkurującymi ze sobą interesami jednostki i społeczności, w tym interesami innych zainteresowanych osób trzecich, jak też należy uwzględnić margines oceny państwa (zob. między innymi </w:t>
      </w:r>
      <w:r w:rsidR="000820FF">
        <w:rPr>
          <w:i/>
          <w:iCs/>
        </w:rPr>
        <w:t>Keegan przeciwko Irlandii</w:t>
      </w:r>
      <w:r w:rsidR="000820FF">
        <w:t>, 26 maja 1994 r., §</w:t>
      </w:r>
      <w:r w:rsidR="00D01B64">
        <w:t> </w:t>
      </w:r>
      <w:r w:rsidR="000820FF">
        <w:t>49, Seria A nr 290).</w:t>
      </w:r>
    </w:p>
    <w:p w14:paraId="704F2585" w14:textId="4DE746EA" w:rsidR="003E50E1" w:rsidRPr="00A74EBF" w:rsidRDefault="00A74EBF" w:rsidP="00A74EBF">
      <w:pPr>
        <w:pStyle w:val="JuPara"/>
      </w:pPr>
      <w:bookmarkStart w:id="11" w:name="caselaw"/>
      <w:r w:rsidRPr="00A74EBF">
        <w:t>43</w:t>
      </w:r>
      <w:bookmarkEnd w:id="11"/>
      <w:r w:rsidR="003E50E1">
        <w:t>.</w:t>
      </w:r>
      <w:r w:rsidR="001C198A">
        <w:t xml:space="preserve"> </w:t>
      </w:r>
      <w:r w:rsidR="003E50E1">
        <w:t>Trybunał wielokrotnie orzekał, że art. 8 obejmuje prawo rodzica do</w:t>
      </w:r>
      <w:r w:rsidR="00D01B64">
        <w:t> </w:t>
      </w:r>
      <w:r w:rsidR="003E50E1">
        <w:t>podjęcia środków celem połączenia z dzieckiem oraz obowiązek podjęcia takich środków przez władze krajowe. Dotyczy to nie tylko spraw związanych z przymusowym umieszczeniem dziecka w pieczy zastępczej i</w:t>
      </w:r>
      <w:r w:rsidR="00D01B64">
        <w:t> </w:t>
      </w:r>
      <w:r w:rsidR="003E50E1">
        <w:t xml:space="preserve">wdrożeniem środków opiekuńczych (zob. m.in. </w:t>
      </w:r>
      <w:r w:rsidR="003E50E1">
        <w:rPr>
          <w:i/>
          <w:iCs/>
        </w:rPr>
        <w:t>Olsson przeciwko Szwecji</w:t>
      </w:r>
      <w:r w:rsidR="003E50E1">
        <w:t xml:space="preserve"> </w:t>
      </w:r>
      <w:r w:rsidR="003E50E1">
        <w:rPr>
          <w:i/>
          <w:iCs/>
        </w:rPr>
        <w:t>(nr 2)</w:t>
      </w:r>
      <w:r w:rsidR="003E50E1">
        <w:t xml:space="preserve">, 27 listopada 1992 r., § 90, Seria A nr 250), ale także spraw, w których </w:t>
      </w:r>
      <w:r w:rsidR="00570CD3">
        <w:t xml:space="preserve">spory dotyczące kontaktów z dzieckiem i jego </w:t>
      </w:r>
      <w:proofErr w:type="spellStart"/>
      <w:r w:rsidR="00570CD3">
        <w:t>domicilium</w:t>
      </w:r>
      <w:proofErr w:type="spellEnd"/>
      <w:r w:rsidR="00570CD3">
        <w:t xml:space="preserve"> pojawiają się </w:t>
      </w:r>
      <w:r w:rsidR="003E50E1">
        <w:t xml:space="preserve">między rodzicami lub innymi członkami rodziny (zob. np. </w:t>
      </w:r>
      <w:proofErr w:type="spellStart"/>
      <w:r w:rsidR="003E50E1">
        <w:rPr>
          <w:i/>
          <w:iCs/>
        </w:rPr>
        <w:t>Hokkanen</w:t>
      </w:r>
      <w:proofErr w:type="spellEnd"/>
      <w:r w:rsidR="003E50E1">
        <w:rPr>
          <w:i/>
          <w:iCs/>
        </w:rPr>
        <w:t xml:space="preserve"> przeciwko Finlandii</w:t>
      </w:r>
      <w:r w:rsidR="003E50E1">
        <w:t>, 23 września 1994 r., § 55, Seria A nr 299-A).</w:t>
      </w:r>
    </w:p>
    <w:p w14:paraId="275F4512" w14:textId="3E2B2F30" w:rsidR="003E50E1" w:rsidRPr="00A74EBF" w:rsidRDefault="00A74EBF" w:rsidP="00A74EBF">
      <w:pPr>
        <w:pStyle w:val="JuPara"/>
      </w:pPr>
      <w:r w:rsidRPr="00A74EBF">
        <w:t>44</w:t>
      </w:r>
      <w:r w:rsidR="000820FF">
        <w:t>.</w:t>
      </w:r>
      <w:r w:rsidR="001C198A">
        <w:t xml:space="preserve"> </w:t>
      </w:r>
      <w:r w:rsidR="000820FF">
        <w:t xml:space="preserve">Obowiązek podjęcia środków ułatwiających kontakt rodzica niesprawującego opieki z dzieckiem po rozwodzie, który to obowiązek ciąży </w:t>
      </w:r>
      <w:r w:rsidR="000820FF">
        <w:lastRenderedPageBreak/>
        <w:t xml:space="preserve">na władzach krajowych, nie ma jednak charakteru absolutnego (zob. </w:t>
      </w:r>
      <w:r w:rsidR="000820FF">
        <w:rPr>
          <w:i/>
          <w:iCs/>
        </w:rPr>
        <w:t>mutatis mutandis</w:t>
      </w:r>
      <w:r w:rsidR="000820FF">
        <w:t xml:space="preserve">, </w:t>
      </w:r>
      <w:proofErr w:type="spellStart"/>
      <w:r w:rsidR="000820FF">
        <w:rPr>
          <w:i/>
          <w:iCs/>
        </w:rPr>
        <w:t>Hokkanen</w:t>
      </w:r>
      <w:proofErr w:type="spellEnd"/>
      <w:r w:rsidR="000820FF">
        <w:t>, cyt. powyżej, § 58). Kluczowym zagadnieniem jest to, czy władze te podjęły wszelkie niezbędne czynności, aby ułatwić kontakt w</w:t>
      </w:r>
      <w:r w:rsidR="00D01B64">
        <w:t> </w:t>
      </w:r>
      <w:r w:rsidR="000820FF">
        <w:t>sposób zasadnie wymagany w szczególnych okolicznościach każdej sprawy (</w:t>
      </w:r>
      <w:r w:rsidR="000820FF">
        <w:rPr>
          <w:i/>
          <w:iCs/>
        </w:rPr>
        <w:t>ibid.</w:t>
      </w:r>
      <w:r w:rsidR="000820FF">
        <w:t xml:space="preserve">). Innym ważnym czynnikiem w postępowaniu dotyczącym dziecka jest fakt, iż czas nabiera szczególnego znaczenia, ponieważ zawsze istnieje niebezpieczeństwo, że jakiekolwiek opóźnienie procesowe doprowadzi do faktycznego rozstrzygnięcia kwestii postawionej przed sądem (zob. </w:t>
      </w:r>
      <w:r w:rsidR="000820FF">
        <w:rPr>
          <w:i/>
          <w:iCs/>
        </w:rPr>
        <w:t>H. przeciwko Zjednoczonemu Królestwu</w:t>
      </w:r>
      <w:r w:rsidR="000820FF">
        <w:t>, 8 lipca 1987 r., §§ 89</w:t>
      </w:r>
      <w:r w:rsidR="000820FF">
        <w:noBreakHyphen/>
        <w:t>90, Seria A nr 120).</w:t>
      </w:r>
    </w:p>
    <w:p w14:paraId="0CE990CB" w14:textId="3D25E8E9" w:rsidR="003E50E1" w:rsidRPr="00A74EBF" w:rsidRDefault="00A74EBF" w:rsidP="00A74EBF">
      <w:pPr>
        <w:pStyle w:val="JuPara"/>
      </w:pPr>
      <w:r w:rsidRPr="00A74EBF">
        <w:t>45</w:t>
      </w:r>
      <w:r w:rsidR="000820FF">
        <w:t>.</w:t>
      </w:r>
      <w:r w:rsidR="001C198A">
        <w:t xml:space="preserve"> </w:t>
      </w:r>
      <w:r w:rsidR="000820FF">
        <w:t>W tym względzie Trybunał podkreśla, że chociaż art. 8 nie przewiduje żadnych wyraźnych wymogów proceduralnych, to skarżący musi brać udział w całokształcie procesu decyzyjnego w stopniu wystarczającym do</w:t>
      </w:r>
      <w:r w:rsidR="00D01B64">
        <w:t> </w:t>
      </w:r>
      <w:r w:rsidR="000820FF">
        <w:t xml:space="preserve">zapewnienia wymaganej ochrony jego interesów, zabezpieczonych przez ten artykuł (zob. </w:t>
      </w:r>
      <w:proofErr w:type="spellStart"/>
      <w:r w:rsidR="000820FF">
        <w:rPr>
          <w:i/>
          <w:iCs/>
        </w:rPr>
        <w:t>Fernández</w:t>
      </w:r>
      <w:proofErr w:type="spellEnd"/>
      <w:r w:rsidR="000820FF">
        <w:rPr>
          <w:i/>
          <w:iCs/>
        </w:rPr>
        <w:t xml:space="preserve"> </w:t>
      </w:r>
      <w:proofErr w:type="spellStart"/>
      <w:r w:rsidR="000820FF">
        <w:rPr>
          <w:i/>
          <w:iCs/>
        </w:rPr>
        <w:t>Martínez</w:t>
      </w:r>
      <w:proofErr w:type="spellEnd"/>
      <w:r w:rsidR="001C198A">
        <w:t xml:space="preserve"> </w:t>
      </w:r>
      <w:r w:rsidR="000820FF">
        <w:rPr>
          <w:i/>
          <w:iCs/>
        </w:rPr>
        <w:t xml:space="preserve">przeciwko Hiszpanii </w:t>
      </w:r>
      <w:r w:rsidR="000820FF">
        <w:t>[</w:t>
      </w:r>
      <w:proofErr w:type="spellStart"/>
      <w:r w:rsidR="000820FF">
        <w:t>WI</w:t>
      </w:r>
      <w:proofErr w:type="spellEnd"/>
      <w:r w:rsidR="000820FF">
        <w:t>], skarga nr</w:t>
      </w:r>
      <w:r w:rsidR="00D01B64">
        <w:t> </w:t>
      </w:r>
      <w:r w:rsidR="000820FF">
        <w:t xml:space="preserve">56030/07, § 147, ETPC 2014 (fragmenty); </w:t>
      </w:r>
      <w:proofErr w:type="spellStart"/>
      <w:r w:rsidR="000820FF">
        <w:rPr>
          <w:i/>
          <w:iCs/>
        </w:rPr>
        <w:t>Elsholz</w:t>
      </w:r>
      <w:proofErr w:type="spellEnd"/>
      <w:r w:rsidR="000820FF">
        <w:rPr>
          <w:i/>
          <w:iCs/>
        </w:rPr>
        <w:t xml:space="preserve"> przeciwko Niemcom</w:t>
      </w:r>
      <w:r w:rsidR="000820FF">
        <w:t xml:space="preserve"> [</w:t>
      </w:r>
      <w:proofErr w:type="spellStart"/>
      <w:r w:rsidR="000820FF">
        <w:t>WI</w:t>
      </w:r>
      <w:proofErr w:type="spellEnd"/>
      <w:r w:rsidR="000820FF">
        <w:t>], skarga nr 25735/94, § 52, ETPC 2000</w:t>
      </w:r>
      <w:r w:rsidR="000820FF">
        <w:noBreakHyphen/>
        <w:t xml:space="preserve">VIII; </w:t>
      </w:r>
      <w:proofErr w:type="spellStart"/>
      <w:r w:rsidR="000820FF">
        <w:rPr>
          <w:i/>
          <w:iCs/>
        </w:rPr>
        <w:t>Z.J</w:t>
      </w:r>
      <w:proofErr w:type="spellEnd"/>
      <w:r w:rsidR="000820FF">
        <w:rPr>
          <w:i/>
          <w:iCs/>
        </w:rPr>
        <w:t>.</w:t>
      </w:r>
      <w:r w:rsidR="000820FF">
        <w:t xml:space="preserve"> </w:t>
      </w:r>
      <w:r w:rsidR="000820FF">
        <w:rPr>
          <w:i/>
          <w:iCs/>
        </w:rPr>
        <w:t>przeciwko Litwie</w:t>
      </w:r>
      <w:r w:rsidR="000820FF">
        <w:t xml:space="preserve">, skarga nr 60092/12, § 100, 29 kwietnia 2014 r.; oraz </w:t>
      </w:r>
      <w:r w:rsidR="000820FF">
        <w:rPr>
          <w:i/>
          <w:iCs/>
        </w:rPr>
        <w:t>W. przeciwko Zjednoczonemu Królestwu</w:t>
      </w:r>
      <w:r w:rsidR="000820FF">
        <w:t>, 8 lipca 1987 r., § 64, Seria A nr 121).</w:t>
      </w:r>
    </w:p>
    <w:p w14:paraId="776479A2" w14:textId="77777777" w:rsidR="003E50E1" w:rsidRPr="00A74EBF" w:rsidRDefault="003E50E1" w:rsidP="00A74EBF">
      <w:pPr>
        <w:pStyle w:val="JuH1"/>
      </w:pPr>
      <w:r>
        <w:t>Zastosowanie powyższych zasad w niniejszej sprawie</w:t>
      </w:r>
    </w:p>
    <w:p w14:paraId="649B3D67" w14:textId="31CA03A9" w:rsidR="003E50E1" w:rsidRPr="00A74EBF" w:rsidRDefault="00A74EBF" w:rsidP="00A74EBF">
      <w:pPr>
        <w:pStyle w:val="JuPara"/>
      </w:pPr>
      <w:r w:rsidRPr="00A74EBF">
        <w:t>46</w:t>
      </w:r>
      <w:r w:rsidR="000820FF">
        <w:t>.</w:t>
      </w:r>
      <w:r w:rsidR="001C198A">
        <w:t xml:space="preserve"> </w:t>
      </w:r>
      <w:r w:rsidR="000820FF">
        <w:t>Trybunał w pierwszej kolejności zauważa, że zarzuty skarżącego dotyczą okresu, w którym jego syn był już dorosły. W związku z tym, w</w:t>
      </w:r>
      <w:r w:rsidR="00D01B64">
        <w:t> </w:t>
      </w:r>
      <w:r w:rsidR="000820FF">
        <w:t xml:space="preserve">świetle orzecznictwa Trybunału (zob. paragraf </w:t>
      </w:r>
      <w:r w:rsidRPr="00A74EBF">
        <w:t>40</w:t>
      </w:r>
      <w:r w:rsidR="000820FF">
        <w:t xml:space="preserve"> powyżej) konieczne jest ustalenie, czy pomiędzy skarżącym a </w:t>
      </w:r>
      <w:proofErr w:type="spellStart"/>
      <w:r w:rsidR="000820FF">
        <w:t>D.B</w:t>
      </w:r>
      <w:proofErr w:type="spellEnd"/>
      <w:r w:rsidR="000820FF">
        <w:t>. istniało „życie rodzinne”, a więc czy art. 8 Konwencji ma zastosowanie.</w:t>
      </w:r>
    </w:p>
    <w:p w14:paraId="328F7482" w14:textId="15903A5E" w:rsidR="003E50E1" w:rsidRPr="00A74EBF" w:rsidRDefault="00A74EBF" w:rsidP="00A74EBF">
      <w:pPr>
        <w:pStyle w:val="JuPara"/>
      </w:pPr>
      <w:r w:rsidRPr="00A74EBF">
        <w:t>47</w:t>
      </w:r>
      <w:r w:rsidR="000820FF">
        <w:t>.</w:t>
      </w:r>
      <w:r w:rsidR="001C198A">
        <w:t xml:space="preserve"> </w:t>
      </w:r>
      <w:r w:rsidR="000820FF">
        <w:t xml:space="preserve">W tym zakresie Trybunał zauważa, że skarżący jest biologicznym ojcem </w:t>
      </w:r>
      <w:proofErr w:type="spellStart"/>
      <w:r w:rsidR="000820FF">
        <w:t>D.B</w:t>
      </w:r>
      <w:proofErr w:type="spellEnd"/>
      <w:r w:rsidR="000820FF">
        <w:t xml:space="preserve">.; syn mieszkał z ojcem przez pierwsze dwa lata swojego życia. Następnie regularnie utrzymywali ze sobą kontakty przez cały okres dzieciństwa i młodości </w:t>
      </w:r>
      <w:proofErr w:type="spellStart"/>
      <w:r w:rsidR="000820FF">
        <w:t>D.B</w:t>
      </w:r>
      <w:proofErr w:type="spellEnd"/>
      <w:r w:rsidR="000820FF">
        <w:t>. oraz łączył ich stosunek ojca z synem. Ponadto</w:t>
      </w:r>
      <w:r w:rsidR="00C0050A">
        <w:t>,</w:t>
      </w:r>
      <w:r w:rsidR="000820FF">
        <w:t xml:space="preserve"> zanim </w:t>
      </w:r>
      <w:proofErr w:type="spellStart"/>
      <w:r w:rsidR="000820FF">
        <w:t>D.B</w:t>
      </w:r>
      <w:proofErr w:type="spellEnd"/>
      <w:r w:rsidR="000820FF">
        <w:t>. ukończył 18 lat, skarżący podjął niezbędne kroki, aby</w:t>
      </w:r>
      <w:r w:rsidR="00D01B64">
        <w:t> </w:t>
      </w:r>
      <w:r w:rsidR="000820FF">
        <w:t xml:space="preserve">zabezpieczyć sposób utrzymywania z nim kontaktów w drodze postanowienia tymczasowego (zob. paragraf </w:t>
      </w:r>
      <w:r w:rsidRPr="00A74EBF">
        <w:t>7</w:t>
      </w:r>
      <w:r w:rsidR="000820FF">
        <w:t xml:space="preserve"> powyżej). Na podstawie tego postanowienia skarżący utrzymywał kontakty z synem, dopóki </w:t>
      </w:r>
      <w:proofErr w:type="spellStart"/>
      <w:r w:rsidR="000820FF">
        <w:t>A.R</w:t>
      </w:r>
      <w:proofErr w:type="spellEnd"/>
      <w:r w:rsidR="000820FF">
        <w:t>. nie</w:t>
      </w:r>
      <w:r w:rsidR="00D01B64">
        <w:t> </w:t>
      </w:r>
      <w:r w:rsidR="000820FF">
        <w:t xml:space="preserve">została ustanowiona opiekunem </w:t>
      </w:r>
      <w:proofErr w:type="spellStart"/>
      <w:r w:rsidR="000820FF">
        <w:t>D.B</w:t>
      </w:r>
      <w:proofErr w:type="spellEnd"/>
      <w:r w:rsidR="000820FF">
        <w:t>. i nie uchylono postanowienia (zob.</w:t>
      </w:r>
      <w:r w:rsidR="00D01B64">
        <w:t> </w:t>
      </w:r>
      <w:r w:rsidR="000820FF">
        <w:t xml:space="preserve">paragrafy </w:t>
      </w:r>
      <w:r w:rsidRPr="00A74EBF">
        <w:t>9</w:t>
      </w:r>
      <w:r w:rsidR="000820FF">
        <w:t xml:space="preserve"> i </w:t>
      </w:r>
      <w:r w:rsidRPr="00A74EBF">
        <w:t>12</w:t>
      </w:r>
      <w:r w:rsidR="000820FF">
        <w:t xml:space="preserve"> powyżej). Już w tym kontekście Trybunał stwierdza, że nawet po ukończeniu 18 roku życia, </w:t>
      </w:r>
      <w:proofErr w:type="spellStart"/>
      <w:r w:rsidR="000820FF">
        <w:t>D.B</w:t>
      </w:r>
      <w:proofErr w:type="spellEnd"/>
      <w:r w:rsidR="000820FF">
        <w:t xml:space="preserve">. należał do podstawowej rodziny skarżącego. Ponadto </w:t>
      </w:r>
      <w:proofErr w:type="spellStart"/>
      <w:r w:rsidR="000820FF">
        <w:t>D.B</w:t>
      </w:r>
      <w:proofErr w:type="spellEnd"/>
      <w:r w:rsidR="000820FF">
        <w:t>. cierpi na zespół Downa i jest ubezwłasnowolniony całkowicie. W rzeczy samej, zgodnie z ustaleniami Sądu Okręgowego we</w:t>
      </w:r>
      <w:r w:rsidR="00D01B64">
        <w:t> </w:t>
      </w:r>
      <w:r w:rsidR="000820FF">
        <w:t>Wrocławiu zawartymi w postanowieniu z dnia 18 stycznia 2019 r. (zob.</w:t>
      </w:r>
      <w:r w:rsidR="00D01B64">
        <w:t> </w:t>
      </w:r>
      <w:r w:rsidR="000820FF">
        <w:t xml:space="preserve">paragraf </w:t>
      </w:r>
      <w:r w:rsidRPr="00A74EBF">
        <w:t>14</w:t>
      </w:r>
      <w:r w:rsidR="000820FF">
        <w:t xml:space="preserve"> powyżej), </w:t>
      </w:r>
      <w:proofErr w:type="spellStart"/>
      <w:r w:rsidR="000820FF">
        <w:t>D.B</w:t>
      </w:r>
      <w:proofErr w:type="spellEnd"/>
      <w:r w:rsidR="000820FF">
        <w:t>. nie reagował na zadawane mu pytania, a</w:t>
      </w:r>
      <w:r w:rsidR="00D01B64">
        <w:t> </w:t>
      </w:r>
      <w:r w:rsidR="000820FF">
        <w:t xml:space="preserve">komunikacja pomiędzy nim a osobami, których nie znał, była niemożliwa. W świetle powyższego oczywistym jest dla Trybunału, że między skarżącym a jego synem występowały „dodatkowe czynniki zależności”, gdyż skarżący </w:t>
      </w:r>
      <w:r w:rsidR="000820FF">
        <w:lastRenderedPageBreak/>
        <w:t xml:space="preserve">był jedną z bliskich osób, które potrafiły porozumieć się z </w:t>
      </w:r>
      <w:proofErr w:type="spellStart"/>
      <w:r w:rsidR="000820FF">
        <w:t>D.B</w:t>
      </w:r>
      <w:proofErr w:type="spellEnd"/>
      <w:r w:rsidR="000820FF">
        <w:t>. Mając na</w:t>
      </w:r>
      <w:r w:rsidR="00D01B64">
        <w:t> </w:t>
      </w:r>
      <w:r w:rsidR="000820FF">
        <w:t>względzie powyższe rozważania, Trybunał stwierdza, że chociaż w</w:t>
      </w:r>
      <w:r w:rsidR="00D01B64">
        <w:t> </w:t>
      </w:r>
      <w:r w:rsidR="000820FF">
        <w:t xml:space="preserve">rozpatrywanym okresie </w:t>
      </w:r>
      <w:proofErr w:type="spellStart"/>
      <w:r w:rsidR="000820FF">
        <w:t>D.B</w:t>
      </w:r>
      <w:proofErr w:type="spellEnd"/>
      <w:r w:rsidR="000820FF">
        <w:t>. nie był już małoletni, między skarżącym a</w:t>
      </w:r>
      <w:r w:rsidR="00D01B64">
        <w:t> </w:t>
      </w:r>
      <w:r w:rsidR="000820FF">
        <w:t>jego synem istniało „życie rodzinne” w rozumieniu art. 8 Konwencji, a</w:t>
      </w:r>
      <w:r w:rsidR="00D01B64">
        <w:t> </w:t>
      </w:r>
      <w:r w:rsidR="000820FF">
        <w:t>zatem art. 8 ma zastosowanie w niniejszej sprawie.</w:t>
      </w:r>
    </w:p>
    <w:p w14:paraId="44755BC5" w14:textId="4D496D72" w:rsidR="003E50E1" w:rsidRPr="00A74EBF" w:rsidRDefault="00A74EBF" w:rsidP="00A74EBF">
      <w:pPr>
        <w:pStyle w:val="JuPara"/>
      </w:pPr>
      <w:r w:rsidRPr="00A74EBF">
        <w:t>48</w:t>
      </w:r>
      <w:r w:rsidR="000820FF">
        <w:t>.</w:t>
      </w:r>
      <w:r w:rsidR="001C198A">
        <w:t xml:space="preserve"> </w:t>
      </w:r>
      <w:r w:rsidR="000820FF">
        <w:t xml:space="preserve">Trybunał zauważa ponadto, że początkowo ingerencja w kontakty skarżącego z synem powodowana była brakiem zgody ze strony </w:t>
      </w:r>
      <w:proofErr w:type="spellStart"/>
      <w:r w:rsidR="000820FF">
        <w:t>A.R</w:t>
      </w:r>
      <w:proofErr w:type="spellEnd"/>
      <w:r w:rsidR="000820FF">
        <w:t>. na</w:t>
      </w:r>
      <w:r w:rsidR="00D01B64">
        <w:t> </w:t>
      </w:r>
      <w:r w:rsidR="000820FF">
        <w:t xml:space="preserve">utrzymywanie takich kontaktów. Jako że </w:t>
      </w:r>
      <w:proofErr w:type="spellStart"/>
      <w:r w:rsidR="000820FF">
        <w:t>A.R</w:t>
      </w:r>
      <w:proofErr w:type="spellEnd"/>
      <w:r w:rsidR="000820FF">
        <w:t xml:space="preserve">. została ustanowiona opiekunem prawnym </w:t>
      </w:r>
      <w:proofErr w:type="spellStart"/>
      <w:r w:rsidR="000820FF">
        <w:t>D.B</w:t>
      </w:r>
      <w:proofErr w:type="spellEnd"/>
      <w:r w:rsidR="000820FF">
        <w:t>. (zob. paragraf</w:t>
      </w:r>
      <w:r w:rsidR="001C198A">
        <w:t xml:space="preserve"> </w:t>
      </w:r>
      <w:r w:rsidRPr="00A74EBF">
        <w:t>11</w:t>
      </w:r>
      <w:r w:rsidR="000820FF">
        <w:t xml:space="preserve"> powyżej), skarżący zwrócił się do sądów krajowych o rozstrzygnięcie o sposobie utrzymywania kontaktów z </w:t>
      </w:r>
      <w:proofErr w:type="spellStart"/>
      <w:r w:rsidR="000820FF">
        <w:t>D.B</w:t>
      </w:r>
      <w:proofErr w:type="spellEnd"/>
      <w:r w:rsidR="000820FF">
        <w:t>. Sądy krajowe oddaliły jednak jego wniosek, co spowodowało, że</w:t>
      </w:r>
      <w:r w:rsidR="00D01B64">
        <w:t> </w:t>
      </w:r>
      <w:r w:rsidR="000820FF">
        <w:t xml:space="preserve">skarżący nie utrzymywał żadnych kontaktów z </w:t>
      </w:r>
      <w:proofErr w:type="spellStart"/>
      <w:r w:rsidR="000820FF">
        <w:t>D.B</w:t>
      </w:r>
      <w:proofErr w:type="spellEnd"/>
      <w:r w:rsidR="000820FF">
        <w:t>. przez ponad dwa lata.</w:t>
      </w:r>
    </w:p>
    <w:p w14:paraId="654E6569" w14:textId="4A25EF54" w:rsidR="003E50E1" w:rsidRPr="00A74EBF" w:rsidRDefault="00A74EBF" w:rsidP="00A74EBF">
      <w:pPr>
        <w:pStyle w:val="JuPara"/>
      </w:pPr>
      <w:r w:rsidRPr="00A74EBF">
        <w:t>49</w:t>
      </w:r>
      <w:r w:rsidR="000820FF">
        <w:t>.</w:t>
      </w:r>
      <w:r w:rsidR="001C198A">
        <w:t xml:space="preserve"> </w:t>
      </w:r>
      <w:r w:rsidR="000820FF">
        <w:t>Chociaż nie da się dokładnie wytyczyć granicy między pozytywnymi a negatywnymi obowiązkami państwa na podstawie art. 8, Trybunał podkreśla, że mające zastosowanie zasady są jednak podobne.</w:t>
      </w:r>
      <w:r w:rsidR="001C198A">
        <w:t xml:space="preserve"> </w:t>
      </w:r>
      <w:r w:rsidR="000820FF">
        <w:t>W</w:t>
      </w:r>
      <w:r w:rsidR="00D01B64">
        <w:t> </w:t>
      </w:r>
      <w:r w:rsidR="000820FF">
        <w:t xml:space="preserve">szczególności w obu przypadkach należy mieć na uwadze sprawiedliwą równowagę, którą trzeba zachować pomiędzy konkurującymi ze sobą interesami; w obu kontekstach państwo dysponuje też pewnym marginesem oceny (zob. </w:t>
      </w:r>
      <w:r w:rsidR="000820FF">
        <w:rPr>
          <w:i/>
          <w:iCs/>
        </w:rPr>
        <w:t>Evans przeciwko Zjednoczonemu Królestwu</w:t>
      </w:r>
      <w:r w:rsidR="000820FF">
        <w:t xml:space="preserve"> [</w:t>
      </w:r>
      <w:proofErr w:type="spellStart"/>
      <w:r w:rsidR="000820FF">
        <w:t>WI</w:t>
      </w:r>
      <w:proofErr w:type="spellEnd"/>
      <w:r w:rsidR="000820FF">
        <w:t>], skarga nr</w:t>
      </w:r>
      <w:r w:rsidR="00D01B64">
        <w:t> </w:t>
      </w:r>
      <w:r w:rsidR="000820FF">
        <w:t>6339/05, § 75, ETPC 2007-I).</w:t>
      </w:r>
    </w:p>
    <w:p w14:paraId="0B956CFA" w14:textId="0387903B" w:rsidR="003E50E1" w:rsidRPr="00A74EBF" w:rsidRDefault="00A74EBF" w:rsidP="00A74EBF">
      <w:pPr>
        <w:pStyle w:val="JuPara"/>
      </w:pPr>
      <w:r w:rsidRPr="00A74EBF">
        <w:t>50</w:t>
      </w:r>
      <w:r w:rsidR="000820FF">
        <w:t>.</w:t>
      </w:r>
      <w:r w:rsidR="001C198A">
        <w:t xml:space="preserve"> </w:t>
      </w:r>
      <w:r w:rsidR="000820FF">
        <w:t xml:space="preserve">Jak wynika z orzeczeń sądów krajowych oraz uchwały Sądu Najwyższego z dnia 17 maja 2018 r., w niniejszej sprawie skarżący nie miał prawa wszcząć postępowania o rozstrzygnięcie o sposobie utrzymywania kontaktów z dorosłym synem, który był ubezwłasnowolniony całkowicie. Jednocześnie sąd, który badał pierwszy wniosek skarżącego, nie zawiadomił właściwego prokuratora o toczącym się postępowaniu. Podobnie nie podjął żadnych działań z urzędu. </w:t>
      </w:r>
      <w:r w:rsidR="000820FF" w:rsidRPr="00BA0172">
        <w:t xml:space="preserve">Dopiero </w:t>
      </w:r>
      <w:r w:rsidR="00BA0172" w:rsidRPr="00BA0172">
        <w:t xml:space="preserve">po drugim wniosku skarżącego </w:t>
      </w:r>
      <w:r w:rsidR="000820FF" w:rsidRPr="00BA0172">
        <w:t>Sąd Rejonowy dla Wrocławia-Śródmieścia</w:t>
      </w:r>
      <w:r w:rsidR="007E638C" w:rsidRPr="00BA0172">
        <w:t xml:space="preserve"> we Wrocławiu </w:t>
      </w:r>
      <w:r w:rsidR="000820FF" w:rsidRPr="00BA0172">
        <w:t>postanowił zawiadomić prokuratora o postępowaniu</w:t>
      </w:r>
      <w:r w:rsidR="00BA0172" w:rsidRPr="00BA0172">
        <w:rPr>
          <w:rStyle w:val="Odwoanieprzypisudolnego"/>
        </w:rPr>
        <w:footnoteReference w:id="1"/>
      </w:r>
      <w:r w:rsidR="000820FF" w:rsidRPr="00BA0172">
        <w:t>. Trybunał</w:t>
      </w:r>
      <w:r w:rsidR="000820FF">
        <w:t xml:space="preserve"> zauważa jednak, że</w:t>
      </w:r>
      <w:r w:rsidR="00D01B64">
        <w:t> </w:t>
      </w:r>
      <w:r w:rsidR="000820FF">
        <w:t>zarówno sądy, jak i prokurator korzystają w tym zakresie z pełnej swobody i mogą postanowić, że nie będą ingerowali bez podania zainteresowanemu powodów swojej decyzji.</w:t>
      </w:r>
    </w:p>
    <w:p w14:paraId="7E8261A6" w14:textId="2C8D1812" w:rsidR="003E50E1" w:rsidRPr="00A74EBF" w:rsidRDefault="00A74EBF" w:rsidP="00A74EBF">
      <w:pPr>
        <w:pStyle w:val="JuPara"/>
      </w:pPr>
      <w:r w:rsidRPr="00A74EBF">
        <w:t>51</w:t>
      </w:r>
      <w:r w:rsidR="000820FF">
        <w:t>.</w:t>
      </w:r>
      <w:r w:rsidR="001C198A">
        <w:t xml:space="preserve"> </w:t>
      </w:r>
      <w:r w:rsidR="000820FF">
        <w:t>Tym samym skarżący nie miał gdzie się zwrócić, aby zapewnić sobie prawo do utrzymywania kontaktów z synem, ponieważ nie istniały ramy prawne, które chroniłyby jego prawa rodzinne. W istocie w uchwale Sądu Najwyższego z dnia 17 maja 2018 r. wyraźnie wykluczono takie prawo (zob.</w:t>
      </w:r>
      <w:r w:rsidR="00D01B64">
        <w:t> </w:t>
      </w:r>
      <w:r w:rsidR="000820FF">
        <w:t xml:space="preserve">paragraf </w:t>
      </w:r>
      <w:r w:rsidRPr="00A74EBF">
        <w:t>22</w:t>
      </w:r>
      <w:r w:rsidR="000820FF">
        <w:t xml:space="preserve"> powyżej). Trybunał zauważa, iż nic nie wskazuje na to, aby</w:t>
      </w:r>
      <w:r w:rsidR="00D01B64">
        <w:t> </w:t>
      </w:r>
      <w:r w:rsidR="000820FF">
        <w:t xml:space="preserve">przedmiotowe ograniczenie służyło realizacji jakiegokolwiek uprawnionego celu lub mogło być uznane za „konieczne w demokratycznym społeczeństwie”, a Rząd nie podniósł argumentów przeciwnych. Ponadto Trybunał nie dostrzega, jakie konkurujące ze sobą interesy miałyby </w:t>
      </w:r>
      <w:r w:rsidR="000820FF">
        <w:lastRenderedPageBreak/>
        <w:t xml:space="preserve">występować w rozpatrywanej sprawie. </w:t>
      </w:r>
      <w:r w:rsidR="00621FD8">
        <w:t>Skarżący jako ojciec biologiczny</w:t>
      </w:r>
      <w:r w:rsidR="000820FF">
        <w:t xml:space="preserve">, który ma z synem </w:t>
      </w:r>
      <w:r w:rsidR="007E638C">
        <w:t>istniejącą relację</w:t>
      </w:r>
      <w:r w:rsidR="000820FF">
        <w:t xml:space="preserve">, niewątpliwie </w:t>
      </w:r>
      <w:r w:rsidR="00621FD8">
        <w:t>miał interes w</w:t>
      </w:r>
      <w:r w:rsidR="00D01B64">
        <w:t> </w:t>
      </w:r>
      <w:r w:rsidR="000820FF">
        <w:t>kontynu</w:t>
      </w:r>
      <w:r w:rsidR="00621FD8">
        <w:t>owaniu</w:t>
      </w:r>
      <w:r w:rsidR="000820FF">
        <w:t xml:space="preserve"> </w:t>
      </w:r>
      <w:r w:rsidR="007E638C">
        <w:t>tej relacji</w:t>
      </w:r>
      <w:r w:rsidR="000820FF">
        <w:t xml:space="preserve"> po wejściu </w:t>
      </w:r>
      <w:proofErr w:type="spellStart"/>
      <w:r w:rsidR="000820FF">
        <w:t>D.B</w:t>
      </w:r>
      <w:proofErr w:type="spellEnd"/>
      <w:r w:rsidR="000820FF">
        <w:t xml:space="preserve">. w dorosłość i nic nie wskazuje na to, aby nie była ona </w:t>
      </w:r>
      <w:r w:rsidR="007E638C">
        <w:t xml:space="preserve">korzystna </w:t>
      </w:r>
      <w:r w:rsidR="000820FF">
        <w:t>dla syna.</w:t>
      </w:r>
    </w:p>
    <w:p w14:paraId="6AE90B4C" w14:textId="72AA9449" w:rsidR="003E50E1" w:rsidRPr="00A74EBF" w:rsidRDefault="00A74EBF" w:rsidP="00A74EBF">
      <w:pPr>
        <w:pStyle w:val="JuPara"/>
      </w:pPr>
      <w:r w:rsidRPr="00A74EBF">
        <w:t>52</w:t>
      </w:r>
      <w:r w:rsidR="000820FF">
        <w:t>.</w:t>
      </w:r>
      <w:r w:rsidR="001C198A">
        <w:t xml:space="preserve"> </w:t>
      </w:r>
      <w:r w:rsidR="000820FF">
        <w:t xml:space="preserve">W tym zakresie, odnosząc się do argumentów Rządu, Trybunał zauważa, że skarżący nie chciał utrzymywać kontaktów z synem wbrew jego woli, a przynajmniej nic w aktach sprawy na to nie wskazuje. Po pierwsze wydaje się, że stan zdrowia syna skarżącego uniemożliwiał mu wyrażenie własnej woli (zob. paragraf </w:t>
      </w:r>
      <w:r w:rsidRPr="00A74EBF">
        <w:t>14</w:t>
      </w:r>
      <w:r w:rsidR="000820FF">
        <w:t xml:space="preserve"> powyżej). Po drugie skarżący nie dążył do</w:t>
      </w:r>
      <w:r w:rsidR="00D01B64">
        <w:t> </w:t>
      </w:r>
      <w:r w:rsidR="000820FF">
        <w:t xml:space="preserve">wymuszonych kontaktów z synem. Wnosił raczej o przeprowadzenie postępowania sądowego, w którym rozstrzygnięto by zakres i częstotliwość kontaktów między nimi, gdyż opiekun </w:t>
      </w:r>
      <w:proofErr w:type="spellStart"/>
      <w:r w:rsidR="000820FF">
        <w:t>D.B</w:t>
      </w:r>
      <w:proofErr w:type="spellEnd"/>
      <w:r w:rsidR="000820FF">
        <w:t xml:space="preserve">., </w:t>
      </w:r>
      <w:proofErr w:type="spellStart"/>
      <w:r w:rsidR="000820FF">
        <w:t>A.R</w:t>
      </w:r>
      <w:proofErr w:type="spellEnd"/>
      <w:r w:rsidR="000820FF">
        <w:t>., odmówiła współpracy w</w:t>
      </w:r>
      <w:r w:rsidR="00D01B64">
        <w:t> </w:t>
      </w:r>
      <w:r w:rsidR="000820FF">
        <w:t>utrzymaniu kontaktów ojca z synem. Oczywiście sąd powołany do wydania orzeczenia w tej sprawie musiałby zważyć interesy skarżącego i jego syna, gdyby były ze sobą sprzeczne lub gdyby okazało się, że syn nie życzy sobie utrzymywać kontaktów z ojcem.</w:t>
      </w:r>
    </w:p>
    <w:p w14:paraId="09635554" w14:textId="16F929F8" w:rsidR="003E50E1" w:rsidRPr="00A74EBF" w:rsidRDefault="00A74EBF" w:rsidP="00A74EBF">
      <w:pPr>
        <w:pStyle w:val="JuPara"/>
      </w:pPr>
      <w:r w:rsidRPr="00A74EBF">
        <w:t>53</w:t>
      </w:r>
      <w:r w:rsidR="000820FF">
        <w:t>.</w:t>
      </w:r>
      <w:r w:rsidR="001C198A">
        <w:t xml:space="preserve"> </w:t>
      </w:r>
      <w:r w:rsidR="000820FF">
        <w:t>Tymczasem w obecnym stanie prawnym sądy krajowe w ogóle nie</w:t>
      </w:r>
      <w:r w:rsidR="00D01B64">
        <w:t> </w:t>
      </w:r>
      <w:r w:rsidR="000820FF">
        <w:t>zbadały wniosku skarżącego. Został oddalony z uwagi na brak jego legitymacji procesowej. Dopiero w dniu 17 listopada 2020 r., po tym, jak</w:t>
      </w:r>
      <w:r w:rsidR="00D01B64">
        <w:t> </w:t>
      </w:r>
      <w:r w:rsidR="000820FF">
        <w:t xml:space="preserve">prokurator złożył wniosek, rozstrzygnięto o sposobie utrzymywania kontaktów (zob. paragraf </w:t>
      </w:r>
      <w:r w:rsidRPr="00A74EBF">
        <w:t>17</w:t>
      </w:r>
      <w:r w:rsidR="000820FF">
        <w:t xml:space="preserve"> powyżej). Przed tą datą, czyli przez ponad dwa lata, skarżący był pozbawiony jakiegokolwiek kontaktu z synem. W związku z tym Trybunał powtarza, że czas jest ważnym czynnikiem w postępowaniu dotyczącym dziecka, ponieważ jakiekolwiek opóźnienie może doprowadzić do pewnego wyobcowania; zdaniem Trybunału zachodzi takie prawdopodobieństwo </w:t>
      </w:r>
      <w:r w:rsidR="00940BD8">
        <w:t xml:space="preserve">również </w:t>
      </w:r>
      <w:r w:rsidR="000820FF">
        <w:t>w odniesieniu do młodej osoby dorosłej z</w:t>
      </w:r>
      <w:r w:rsidR="00D01B64">
        <w:t> </w:t>
      </w:r>
      <w:r w:rsidR="000820FF">
        <w:t>głębokim upośledzeniem umysłowym.</w:t>
      </w:r>
    </w:p>
    <w:p w14:paraId="42CD2E97" w14:textId="46468DE4" w:rsidR="003E50E1" w:rsidRPr="00A74EBF" w:rsidRDefault="00A74EBF" w:rsidP="00A74EBF">
      <w:pPr>
        <w:pStyle w:val="JuPara"/>
      </w:pPr>
      <w:r w:rsidRPr="00A74EBF">
        <w:t>54</w:t>
      </w:r>
      <w:r w:rsidR="000820FF">
        <w:t>.</w:t>
      </w:r>
      <w:r w:rsidR="001C198A">
        <w:t xml:space="preserve"> </w:t>
      </w:r>
      <w:r w:rsidR="000820FF">
        <w:t>Trybunał uważa zatem, że w okresie, o którym mowa powyżej, władze nie wywiązały się z pozytywnego obowiązku podjęcia środków mających na</w:t>
      </w:r>
      <w:r w:rsidR="00D01B64">
        <w:t> </w:t>
      </w:r>
      <w:r w:rsidR="000820FF">
        <w:t>celu przywrócenie kontaktu między skarżącym a jego synem. Nawet</w:t>
      </w:r>
      <w:r w:rsidR="00D01B64">
        <w:t> </w:t>
      </w:r>
      <w:r w:rsidR="000820FF">
        <w:t xml:space="preserve">uwzględniając margines oceny </w:t>
      </w:r>
      <w:r w:rsidR="006940C3">
        <w:t>państwa</w:t>
      </w:r>
      <w:r w:rsidR="000820FF">
        <w:t xml:space="preserve">, Trybunał stwierdza, że brak jakichkolwiek </w:t>
      </w:r>
      <w:r w:rsidR="007E638C">
        <w:t>uregulowań prawnych</w:t>
      </w:r>
      <w:r w:rsidR="000820FF">
        <w:t>, które chroniłyby prawo skarżącego do</w:t>
      </w:r>
      <w:r w:rsidR="00D01B64">
        <w:t> </w:t>
      </w:r>
      <w:r w:rsidR="000820FF">
        <w:t>jego życia rodzinnego w sytuacji</w:t>
      </w:r>
      <w:r w:rsidR="00940BD8">
        <w:t>,</w:t>
      </w:r>
      <w:r w:rsidR="000820FF">
        <w:t xml:space="preserve"> gdy jego dorosły syn jest ubezwłasnowolniony całkowicie, stanowi naruszenie art. 8 Konwencji.</w:t>
      </w:r>
    </w:p>
    <w:p w14:paraId="54811DBD" w14:textId="77777777" w:rsidR="003E50E1" w:rsidRPr="00A74EBF" w:rsidRDefault="003E50E1" w:rsidP="00A74EBF">
      <w:pPr>
        <w:pStyle w:val="JuHIRoman"/>
      </w:pPr>
      <w:r>
        <w:t>ZASTOSOWANIE ART. 41 KONWENCJI</w:t>
      </w:r>
    </w:p>
    <w:p w14:paraId="785EAF0D" w14:textId="4E7034D4" w:rsidR="003E50E1" w:rsidRPr="00A74EBF" w:rsidRDefault="00A74EBF" w:rsidP="00A74EBF">
      <w:pPr>
        <w:pStyle w:val="JuPara"/>
        <w:keepNext/>
        <w:keepLines/>
      </w:pPr>
      <w:r w:rsidRPr="00A74EBF">
        <w:t>55</w:t>
      </w:r>
      <w:r w:rsidR="003E50E1">
        <w:t>.</w:t>
      </w:r>
      <w:r w:rsidR="001C198A">
        <w:t xml:space="preserve"> </w:t>
      </w:r>
      <w:r w:rsidR="003E50E1">
        <w:t>Artykuł</w:t>
      </w:r>
      <w:r w:rsidR="001C198A">
        <w:t xml:space="preserve"> </w:t>
      </w:r>
      <w:r w:rsidR="003E50E1">
        <w:t>41 Konwencji stanowi:</w:t>
      </w:r>
    </w:p>
    <w:p w14:paraId="636E8C4B" w14:textId="07990F29" w:rsidR="003E50E1" w:rsidRPr="00A74EBF" w:rsidRDefault="003E50E1" w:rsidP="00A74EBF">
      <w:pPr>
        <w:pStyle w:val="JuQuot"/>
      </w:pPr>
      <w:r>
        <w:t>„</w:t>
      </w:r>
      <w:r w:rsidR="008E1AC8" w:rsidRPr="008E1AC8">
        <w:t>Jeśli Trybunał stwierdzi, że nastąpiło naruszenie Konwencji lub jej Protokołów, oraz</w:t>
      </w:r>
      <w:r w:rsidR="00D01B64">
        <w:t> </w:t>
      </w:r>
      <w:r w:rsidR="008E1AC8" w:rsidRPr="008E1AC8">
        <w:t>jeśli prawo wewnętrzne zainteresowanej Wysokiej Układającej się Strony pozwala tylko na częściowe usunięcie konsekwencji tego naruszenia, Trybunał orzeka, gdy</w:t>
      </w:r>
      <w:r w:rsidR="00D01B64">
        <w:t> </w:t>
      </w:r>
      <w:r w:rsidR="008E1AC8" w:rsidRPr="008E1AC8">
        <w:t>zachodzi potrzeba, słuszne zadośćuczynienie pokrzywdzonej stronie</w:t>
      </w:r>
      <w:r>
        <w:t>”.</w:t>
      </w:r>
    </w:p>
    <w:p w14:paraId="2308FBC7" w14:textId="77777777" w:rsidR="003E50E1" w:rsidRPr="00A74EBF" w:rsidRDefault="003E50E1" w:rsidP="00A74EBF">
      <w:pPr>
        <w:pStyle w:val="JuHA"/>
      </w:pPr>
      <w:r>
        <w:lastRenderedPageBreak/>
        <w:t>Szkoda</w:t>
      </w:r>
    </w:p>
    <w:p w14:paraId="2AAFD5AA" w14:textId="29AF070E" w:rsidR="003E50E1" w:rsidRPr="00A74EBF" w:rsidRDefault="00A74EBF" w:rsidP="00A74EBF">
      <w:pPr>
        <w:pStyle w:val="JuPara"/>
      </w:pPr>
      <w:r w:rsidRPr="00A74EBF">
        <w:t>56</w:t>
      </w:r>
      <w:r w:rsidR="003E50E1">
        <w:t>.</w:t>
      </w:r>
      <w:r w:rsidR="001C198A">
        <w:t xml:space="preserve"> </w:t>
      </w:r>
      <w:r w:rsidR="003E50E1">
        <w:t>Skarżący zażądał kwoty 200</w:t>
      </w:r>
      <w:r w:rsidR="001C198A">
        <w:t xml:space="preserve"> </w:t>
      </w:r>
      <w:r w:rsidR="003E50E1">
        <w:t>000</w:t>
      </w:r>
      <w:r w:rsidR="001C198A">
        <w:t xml:space="preserve"> </w:t>
      </w:r>
      <w:r w:rsidR="003E50E1">
        <w:t>euro (</w:t>
      </w:r>
      <w:proofErr w:type="spellStart"/>
      <w:r w:rsidR="003E50E1">
        <w:t>EUR</w:t>
      </w:r>
      <w:proofErr w:type="spellEnd"/>
      <w:r w:rsidR="003E50E1">
        <w:t>) tytułem zadośćuczynienia za szkodę niemajątkową.</w:t>
      </w:r>
    </w:p>
    <w:p w14:paraId="36A4A277" w14:textId="445EE349" w:rsidR="003E50E1" w:rsidRPr="00A74EBF" w:rsidRDefault="00A74EBF" w:rsidP="00A74EBF">
      <w:pPr>
        <w:pStyle w:val="JuPara"/>
      </w:pPr>
      <w:r w:rsidRPr="00A74EBF">
        <w:t>57</w:t>
      </w:r>
      <w:r w:rsidR="003E50E1">
        <w:t>.</w:t>
      </w:r>
      <w:r w:rsidR="001C198A">
        <w:t xml:space="preserve"> </w:t>
      </w:r>
      <w:r w:rsidR="003E50E1">
        <w:t>Rząd podniósł, że kwota żądana przez skarżącego jest nadmierna i</w:t>
      </w:r>
      <w:r w:rsidR="00D01B64">
        <w:t> </w:t>
      </w:r>
      <w:r w:rsidR="003E50E1">
        <w:t>nieuzasadniona.</w:t>
      </w:r>
    </w:p>
    <w:p w14:paraId="64F9828C" w14:textId="575E6F6D" w:rsidR="003E50E1" w:rsidRPr="00A74EBF" w:rsidRDefault="00A74EBF" w:rsidP="00A74EBF">
      <w:pPr>
        <w:pStyle w:val="JuPara"/>
      </w:pPr>
      <w:r w:rsidRPr="00A74EBF">
        <w:t>58</w:t>
      </w:r>
      <w:r w:rsidR="003E50E1">
        <w:t>.</w:t>
      </w:r>
      <w:r w:rsidR="001C198A">
        <w:t xml:space="preserve"> </w:t>
      </w:r>
      <w:r w:rsidR="003E50E1">
        <w:t>Trybunał, opierając się na zasadzie słuszności, przyznaje skarżącemu kwotę 10</w:t>
      </w:r>
      <w:r w:rsidR="001C198A">
        <w:t xml:space="preserve"> </w:t>
      </w:r>
      <w:r w:rsidR="003E50E1">
        <w:t>000</w:t>
      </w:r>
      <w:r w:rsidR="001C198A">
        <w:t xml:space="preserve"> </w:t>
      </w:r>
      <w:proofErr w:type="spellStart"/>
      <w:r w:rsidR="003E50E1">
        <w:t>EUR</w:t>
      </w:r>
      <w:proofErr w:type="spellEnd"/>
      <w:r w:rsidR="003E50E1">
        <w:t xml:space="preserve"> tytułem zadośćuczynienia za szkodę niemajątkową, powiększoną o podatek należny od tej kwoty.</w:t>
      </w:r>
    </w:p>
    <w:p w14:paraId="53123476" w14:textId="77777777" w:rsidR="003E50E1" w:rsidRPr="00A74EBF" w:rsidRDefault="003E50E1" w:rsidP="00A74EBF">
      <w:pPr>
        <w:pStyle w:val="JuHA"/>
      </w:pPr>
      <w:r>
        <w:t>Koszty i wydatki</w:t>
      </w:r>
    </w:p>
    <w:p w14:paraId="7C737984" w14:textId="77E73158" w:rsidR="003E50E1" w:rsidRPr="00A74EBF" w:rsidRDefault="00A74EBF" w:rsidP="00A74EBF">
      <w:pPr>
        <w:pStyle w:val="JuPara"/>
      </w:pPr>
      <w:r w:rsidRPr="00A74EBF">
        <w:t>59</w:t>
      </w:r>
      <w:r w:rsidR="003E50E1">
        <w:t>.</w:t>
      </w:r>
      <w:r w:rsidR="001C198A">
        <w:t xml:space="preserve"> </w:t>
      </w:r>
      <w:r w:rsidR="003E50E1">
        <w:t xml:space="preserve">Skarżący nadto domagał się kwoty 3600 </w:t>
      </w:r>
      <w:proofErr w:type="spellStart"/>
      <w:r w:rsidR="003E50E1">
        <w:t>EUR</w:t>
      </w:r>
      <w:proofErr w:type="spellEnd"/>
      <w:r w:rsidR="003E50E1">
        <w:t xml:space="preserve"> z tytułu kosztów i</w:t>
      </w:r>
      <w:r w:rsidR="00D01B64">
        <w:t> </w:t>
      </w:r>
      <w:r w:rsidR="003E50E1">
        <w:t xml:space="preserve">wydatków poniesionych na zastępstwo procesowe przed Trybunałem oraz 110 </w:t>
      </w:r>
      <w:proofErr w:type="spellStart"/>
      <w:r w:rsidR="003E50E1">
        <w:t>EUR</w:t>
      </w:r>
      <w:proofErr w:type="spellEnd"/>
      <w:r w:rsidR="003E50E1">
        <w:t xml:space="preserve"> z tytułu kosztów tłumaczeń.</w:t>
      </w:r>
    </w:p>
    <w:p w14:paraId="7509B74F" w14:textId="6C2AB28E" w:rsidR="003E50E1" w:rsidRPr="00A74EBF" w:rsidRDefault="00A74EBF" w:rsidP="00A74EBF">
      <w:pPr>
        <w:pStyle w:val="JuPara"/>
      </w:pPr>
      <w:r w:rsidRPr="00A74EBF">
        <w:t>60</w:t>
      </w:r>
      <w:r w:rsidR="003E50E1">
        <w:t>.</w:t>
      </w:r>
      <w:r w:rsidR="001C198A">
        <w:t xml:space="preserve"> </w:t>
      </w:r>
      <w:r w:rsidR="003E50E1">
        <w:t>Rząd twierdził, że nie wykazano, iż żądane koszty i wydatki zostały rzeczywiście i koniecznie poniesione.</w:t>
      </w:r>
    </w:p>
    <w:p w14:paraId="10CA435E" w14:textId="768495E7" w:rsidR="003E50E1" w:rsidRPr="00A74EBF" w:rsidRDefault="00A74EBF" w:rsidP="00A74EBF">
      <w:pPr>
        <w:pStyle w:val="JuPara"/>
      </w:pPr>
      <w:r w:rsidRPr="00A74EBF">
        <w:t>61</w:t>
      </w:r>
      <w:r w:rsidR="003E50E1">
        <w:t>.</w:t>
      </w:r>
      <w:r w:rsidR="001C198A">
        <w:t xml:space="preserve"> </w:t>
      </w:r>
      <w:r w:rsidR="003E50E1">
        <w:t xml:space="preserve">Zgodnie z orzecznictwem Trybunału skarżącemu przysługuje prawo do zwrotu poniesionych kosztów i wydatków </w:t>
      </w:r>
      <w:r w:rsidR="00940BD8">
        <w:t xml:space="preserve">tylko </w:t>
      </w:r>
      <w:r w:rsidR="003E50E1">
        <w:t>wówczas, gdy wykazał, że były one rzeczywiście poniesione</w:t>
      </w:r>
      <w:r w:rsidR="00940BD8">
        <w:t xml:space="preserve"> oraz że były konieczne</w:t>
      </w:r>
      <w:r w:rsidR="003E50E1">
        <w:t xml:space="preserve"> </w:t>
      </w:r>
      <w:r w:rsidR="00940BD8">
        <w:t xml:space="preserve">i </w:t>
      </w:r>
      <w:r w:rsidR="003E50E1">
        <w:t>uzasadnione co</w:t>
      </w:r>
      <w:r w:rsidR="00D01B64">
        <w:t> </w:t>
      </w:r>
      <w:r w:rsidR="003E50E1">
        <w:t xml:space="preserve">do wysokości. W niniejszej sprawie, uwzględniając posiadaną dokumentację oraz powyższe kryteria, Trybunał uznaje, że uzasadnione będzie przyznanie pełnej żądanej kwoty − 3710 </w:t>
      </w:r>
      <w:proofErr w:type="spellStart"/>
      <w:r w:rsidR="003E50E1">
        <w:t>EUR</w:t>
      </w:r>
      <w:proofErr w:type="spellEnd"/>
      <w:r w:rsidR="003E50E1">
        <w:t xml:space="preserve">, pomniejszonej o kwotę 850 </w:t>
      </w:r>
      <w:proofErr w:type="spellStart"/>
      <w:r w:rsidR="003E50E1">
        <w:t>EUR</w:t>
      </w:r>
      <w:proofErr w:type="spellEnd"/>
      <w:r w:rsidR="003E50E1">
        <w:t xml:space="preserve"> otrzymaną w ramach systemu pomocy prawnej Trybunału i</w:t>
      </w:r>
      <w:r w:rsidR="00D01B64">
        <w:t> </w:t>
      </w:r>
      <w:r w:rsidR="003E50E1">
        <w:t>powiększonej o podatek należny od tej kwoty.</w:t>
      </w:r>
    </w:p>
    <w:p w14:paraId="3A8735C1" w14:textId="22736B8E" w:rsidR="003E50E1" w:rsidRPr="00A74EBF" w:rsidRDefault="003E50E1" w:rsidP="00A74EBF">
      <w:pPr>
        <w:pStyle w:val="JuHHead"/>
      </w:pPr>
      <w:r>
        <w:t>Z TYCH PRZYCZYN TRYBUNAŁ JEDNOGŁOŚNIE</w:t>
      </w:r>
    </w:p>
    <w:p w14:paraId="70260753" w14:textId="7C0D4DE3" w:rsidR="003E50E1" w:rsidRPr="00A74EBF" w:rsidRDefault="003E50E1" w:rsidP="00A74EBF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7DF3EFAA" w14:textId="4675BB61" w:rsidR="003E50E1" w:rsidRPr="00A74EBF" w:rsidRDefault="003E50E1" w:rsidP="00A74EBF">
      <w:pPr>
        <w:pStyle w:val="JuList"/>
      </w:pPr>
      <w:r>
        <w:rPr>
          <w:i/>
        </w:rPr>
        <w:t>orzeka</w:t>
      </w:r>
      <w:r>
        <w:t>, że doszło do naruszenia art.</w:t>
      </w:r>
      <w:r w:rsidR="001C198A">
        <w:t xml:space="preserve"> </w:t>
      </w:r>
      <w:r>
        <w:t>8 Konwencji;</w:t>
      </w:r>
    </w:p>
    <w:p w14:paraId="123E37FC" w14:textId="523FDB1C" w:rsidR="003E50E1" w:rsidRPr="00A74EBF" w:rsidRDefault="003E50E1" w:rsidP="00A74EBF">
      <w:pPr>
        <w:pStyle w:val="JuList"/>
      </w:pPr>
      <w:r>
        <w:rPr>
          <w:i/>
        </w:rPr>
        <w:t>orzeka,</w:t>
      </w:r>
    </w:p>
    <w:p w14:paraId="77F66F52" w14:textId="505DD426" w:rsidR="003E50E1" w:rsidRPr="00A74EBF" w:rsidRDefault="003E50E1" w:rsidP="00A74EBF">
      <w:pPr>
        <w:pStyle w:val="JuLista"/>
      </w:pPr>
      <w:r>
        <w:t xml:space="preserve">że pozwane </w:t>
      </w:r>
      <w:bookmarkStart w:id="12" w:name="_GoBack"/>
      <w:r>
        <w:t>państw</w:t>
      </w:r>
      <w:bookmarkEnd w:id="12"/>
      <w:r>
        <w:t>o winno, w</w:t>
      </w:r>
      <w:r w:rsidR="001C198A">
        <w:t xml:space="preserve"> </w:t>
      </w:r>
      <w:r>
        <w:t>terminie trzech miesięcy od daty, w</w:t>
      </w:r>
      <w:r w:rsidR="00D01B64">
        <w:t> </w:t>
      </w:r>
      <w:r>
        <w:t>której niniejszy wyrok stanie się ostateczny zgodnie z</w:t>
      </w:r>
      <w:r w:rsidR="001C198A">
        <w:t xml:space="preserve"> </w:t>
      </w:r>
      <w:r>
        <w:t>art.</w:t>
      </w:r>
      <w:r w:rsidR="001C198A">
        <w:t xml:space="preserve"> </w:t>
      </w:r>
      <w:r>
        <w:t>44</w:t>
      </w:r>
      <w:r w:rsidR="001C198A">
        <w:t xml:space="preserve"> </w:t>
      </w:r>
      <w:r>
        <w:t>ust.</w:t>
      </w:r>
      <w:r w:rsidR="001C198A">
        <w:t xml:space="preserve"> </w:t>
      </w:r>
      <w:r>
        <w:t xml:space="preserve">2 Konwencji, uiścić na rzecz skarżącego następujące kwoty, przeliczone na </w:t>
      </w:r>
      <w:r>
        <w:rPr>
          <w:color w:val="000000"/>
        </w:rPr>
        <w:t>walutę pozwanego państwa</w:t>
      </w:r>
      <w:r>
        <w:t xml:space="preserve"> według kursu obowiązującego w</w:t>
      </w:r>
      <w:r w:rsidR="001C198A">
        <w:t xml:space="preserve"> </w:t>
      </w:r>
      <w:r>
        <w:t>dniu płatności:</w:t>
      </w:r>
    </w:p>
    <w:p w14:paraId="4419A682" w14:textId="3A0DB8E3" w:rsidR="003E50E1" w:rsidRPr="00A74EBF" w:rsidRDefault="003E50E1" w:rsidP="00A74EBF">
      <w:pPr>
        <w:pStyle w:val="JuListi"/>
      </w:pPr>
      <w:r>
        <w:t>10</w:t>
      </w:r>
      <w:r w:rsidR="001C198A">
        <w:t xml:space="preserve"> </w:t>
      </w:r>
      <w:r>
        <w:t>000</w:t>
      </w:r>
      <w:r w:rsidR="001C198A">
        <w:t xml:space="preserve"> </w:t>
      </w:r>
      <w:proofErr w:type="spellStart"/>
      <w:r>
        <w:t>EUR</w:t>
      </w:r>
      <w:proofErr w:type="spellEnd"/>
      <w:r>
        <w:t xml:space="preserve"> (dziesięć tysięcy euro) plus wszelkie należne podatki, tytułem zadośćuczynienia za szkodę niemajątkową;</w:t>
      </w:r>
    </w:p>
    <w:p w14:paraId="27159DAC" w14:textId="53E7A2BE" w:rsidR="003E50E1" w:rsidRPr="00A74EBF" w:rsidRDefault="003E50E1" w:rsidP="00A74EBF">
      <w:pPr>
        <w:pStyle w:val="JuListi"/>
      </w:pPr>
      <w:r>
        <w:t xml:space="preserve">2860 </w:t>
      </w:r>
      <w:proofErr w:type="spellStart"/>
      <w:r>
        <w:t>EUR</w:t>
      </w:r>
      <w:proofErr w:type="spellEnd"/>
      <w:r>
        <w:t xml:space="preserve"> (dwa tysiące osiemset sześćdziesiąt euro), plus wszelkie podatki należne od skarżącego, tytułem poniesionych kosztów i wydatków;</w:t>
      </w:r>
    </w:p>
    <w:p w14:paraId="034E9E2A" w14:textId="461D55CD" w:rsidR="003E50E1" w:rsidRPr="00A74EBF" w:rsidRDefault="003E50E1" w:rsidP="00A74EBF">
      <w:pPr>
        <w:pStyle w:val="JuLista"/>
      </w:pPr>
      <w:r>
        <w:lastRenderedPageBreak/>
        <w:t>że od upływu wyżej wskazanego terminu trzech miesięcy aż</w:t>
      </w:r>
      <w:r w:rsidR="00D01B64">
        <w:t> </w:t>
      </w:r>
      <w:r>
        <w:t>do</w:t>
      </w:r>
      <w:r w:rsidR="00D01B64">
        <w:t> </w:t>
      </w:r>
      <w:r>
        <w:t>momentu uregulowania należności, należne będą odsetki zwykłe od określonej powyżej kwoty, naliczone według stopy równej marginalnej stopie procentowej Europejskiego Banku Centralnego obowiązującej w</w:t>
      </w:r>
      <w:r w:rsidR="001C198A">
        <w:t xml:space="preserve"> </w:t>
      </w:r>
      <w:r>
        <w:t>tym okresie, powiększonej o</w:t>
      </w:r>
      <w:r w:rsidR="001C198A">
        <w:t xml:space="preserve"> </w:t>
      </w:r>
      <w:r>
        <w:t>trzy punkty procentowe;</w:t>
      </w:r>
    </w:p>
    <w:p w14:paraId="7A165A17" w14:textId="513789FC" w:rsidR="004D0EC7" w:rsidRPr="00A74EBF" w:rsidRDefault="003E50E1" w:rsidP="00A74EBF">
      <w:pPr>
        <w:pStyle w:val="JuList"/>
      </w:pPr>
      <w:r>
        <w:rPr>
          <w:i/>
        </w:rPr>
        <w:t xml:space="preserve">oddala </w:t>
      </w:r>
      <w:r>
        <w:t>pozostałą część</w:t>
      </w:r>
      <w:r w:rsidR="00940BD8">
        <w:t xml:space="preserve"> roszczenia skarżącego dotyczącego</w:t>
      </w:r>
      <w:r>
        <w:t xml:space="preserve"> słusznego zadośćuczynienia.</w:t>
      </w:r>
    </w:p>
    <w:p w14:paraId="468B2456" w14:textId="3B3439E6" w:rsidR="008E3A08" w:rsidRPr="00A74EBF" w:rsidRDefault="007E2C8C" w:rsidP="00A74EBF">
      <w:pPr>
        <w:pStyle w:val="JuParaLast"/>
      </w:pPr>
      <w:r>
        <w:t>Sporządzono w</w:t>
      </w:r>
      <w:r w:rsidR="001C198A">
        <w:t xml:space="preserve"> </w:t>
      </w:r>
      <w:r>
        <w:t>języku angielskim i</w:t>
      </w:r>
      <w:r w:rsidR="001C198A">
        <w:t xml:space="preserve"> </w:t>
      </w:r>
      <w:r>
        <w:t xml:space="preserve">obwieszczono pisemnie </w:t>
      </w:r>
      <w:r>
        <w:rPr>
          <w:rFonts w:ascii="Times New Roman" w:hAnsi="Times New Roman"/>
        </w:rPr>
        <w:t>20</w:t>
      </w:r>
      <w:r w:rsidR="00D01B64">
        <w:rPr>
          <w:rFonts w:ascii="Times New Roman" w:hAnsi="Times New Roman"/>
        </w:rPr>
        <w:t> </w:t>
      </w:r>
      <w:r>
        <w:rPr>
          <w:rFonts w:ascii="Times New Roman" w:hAnsi="Times New Roman"/>
        </w:rPr>
        <w:t>października 2022</w:t>
      </w:r>
      <w:r w:rsidR="001C198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</w:t>
      </w:r>
      <w:r>
        <w:t>., zgodnie z</w:t>
      </w:r>
      <w:r w:rsidR="001C198A">
        <w:t xml:space="preserve"> </w:t>
      </w:r>
      <w:r>
        <w:t>Regułą 77 §§</w:t>
      </w:r>
      <w:r w:rsidR="001C198A">
        <w:t xml:space="preserve"> </w:t>
      </w:r>
      <w:r>
        <w:t>2 i</w:t>
      </w:r>
      <w:r w:rsidR="001C198A">
        <w:t xml:space="preserve"> </w:t>
      </w:r>
      <w:r>
        <w:t>3 Regulaminu Trybunału.</w:t>
      </w:r>
    </w:p>
    <w:p w14:paraId="62FDCB16" w14:textId="2F7DA6CD" w:rsidR="008B092C" w:rsidRPr="00A74EBF" w:rsidRDefault="00281B7C" w:rsidP="00A74EBF">
      <w:pPr>
        <w:pStyle w:val="ECHRPlaceholder"/>
        <w:rPr>
          <w:szCs w:val="22"/>
        </w:rPr>
      </w:pPr>
      <w:r>
        <w:tab/>
      </w:r>
    </w:p>
    <w:p w14:paraId="3D64EEA6" w14:textId="6045BBE1" w:rsidR="001C055B" w:rsidRPr="00A74EBF" w:rsidRDefault="002E7764" w:rsidP="00A74EBF">
      <w:pPr>
        <w:pStyle w:val="JuSigned"/>
      </w:pPr>
      <w:r>
        <w:tab/>
        <w:t xml:space="preserve">Renata Degener </w:t>
      </w:r>
      <w:r>
        <w:tab/>
        <w:t xml:space="preserve">Marko </w:t>
      </w:r>
      <w:proofErr w:type="spellStart"/>
      <w:r>
        <w:t>Bošnjak</w:t>
      </w:r>
      <w:proofErr w:type="spellEnd"/>
      <w:r>
        <w:br/>
      </w:r>
      <w:r>
        <w:tab/>
        <w:t>Kanclerz</w:t>
      </w:r>
      <w:r>
        <w:tab/>
        <w:t>Przewodniczący</w:t>
      </w:r>
    </w:p>
    <w:p w14:paraId="6424201B" w14:textId="77777777" w:rsidR="00675AF2" w:rsidRPr="00A74EBF" w:rsidRDefault="00675AF2" w:rsidP="00A74EBF">
      <w:pPr>
        <w:pStyle w:val="JuPara"/>
      </w:pPr>
    </w:p>
    <w:p w14:paraId="75EA76F0" w14:textId="53866AD4" w:rsidR="00182EBA" w:rsidRPr="00A74EBF" w:rsidRDefault="00182EBA" w:rsidP="00A74EBF"/>
    <w:sectPr w:rsidR="00182EBA" w:rsidRPr="00A74EBF" w:rsidSect="007D3701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70694" w14:textId="77777777" w:rsidR="00667BCA" w:rsidRPr="00E67565" w:rsidRDefault="00667BCA" w:rsidP="0098410D">
      <w:r w:rsidRPr="00E67565">
        <w:separator/>
      </w:r>
    </w:p>
  </w:endnote>
  <w:endnote w:type="continuationSeparator" w:id="0">
    <w:p w14:paraId="7F5321B5" w14:textId="77777777" w:rsidR="00667BCA" w:rsidRPr="00E67565" w:rsidRDefault="00667BCA" w:rsidP="0098410D">
      <w:r w:rsidRPr="00E6756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8A5D6" w14:textId="77777777" w:rsidR="003E50E1" w:rsidRDefault="003E50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DF7B3" w14:textId="2D4D8DD8" w:rsidR="003E50E1" w:rsidRPr="00150BFA" w:rsidRDefault="003E50E1" w:rsidP="0020718E">
    <w:pPr>
      <w:jc w:val="center"/>
    </w:pPr>
    <w:r>
      <w:rPr>
        <w:noProof/>
        <w:lang w:eastAsia="pl-PL"/>
      </w:rPr>
      <w:drawing>
        <wp:inline distT="0" distB="0" distL="0" distR="0" wp14:anchorId="40AB139D" wp14:editId="7E1C4D57">
          <wp:extent cx="771525" cy="619125"/>
          <wp:effectExtent l="0" t="0" r="9525" b="9525"/>
          <wp:docPr id="40" name="Picture 40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407B8" w14:textId="1ED0049C" w:rsidR="0098410D" w:rsidRPr="00E67565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5BC02" w14:textId="3C2F333A" w:rsidR="003E50E1" w:rsidRPr="00150BFA" w:rsidRDefault="003E50E1" w:rsidP="0020718E">
    <w:pPr>
      <w:jc w:val="center"/>
    </w:pPr>
    <w:r>
      <w:rPr>
        <w:noProof/>
        <w:lang w:eastAsia="pl-PL"/>
      </w:rPr>
      <w:drawing>
        <wp:inline distT="0" distB="0" distL="0" distR="0" wp14:anchorId="7AC6EF4A" wp14:editId="3CD6ED75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334D0" w14:textId="1C6079D9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F16EA" w14:textId="3A21B48B" w:rsidR="00182EBA" w:rsidRDefault="003E50E1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940C3">
      <w:rPr>
        <w:rStyle w:val="Numerstrony"/>
        <w:noProof/>
      </w:rPr>
      <w:t>10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32E8B" w14:textId="4830E2AA" w:rsidR="00182EBA" w:rsidRPr="000B7195" w:rsidRDefault="003E50E1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6940C3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C2C8A" w14:textId="77777777" w:rsidR="00667BCA" w:rsidRPr="00E67565" w:rsidRDefault="00667BCA" w:rsidP="0098410D">
      <w:r w:rsidRPr="00E67565">
        <w:separator/>
      </w:r>
    </w:p>
  </w:footnote>
  <w:footnote w:type="continuationSeparator" w:id="0">
    <w:p w14:paraId="6DFF9B1F" w14:textId="77777777" w:rsidR="00667BCA" w:rsidRPr="00E67565" w:rsidRDefault="00667BCA" w:rsidP="0098410D">
      <w:r w:rsidRPr="00E67565">
        <w:continuationSeparator/>
      </w:r>
    </w:p>
  </w:footnote>
  <w:footnote w:id="1">
    <w:p w14:paraId="5CFCB609" w14:textId="48A12E0F" w:rsidR="00BA0172" w:rsidRDefault="00BA0172">
      <w:pPr>
        <w:pStyle w:val="Tekstprzypisudolnego"/>
      </w:pPr>
      <w:r>
        <w:rPr>
          <w:rStyle w:val="Odwoanieprzypisudolnego"/>
        </w:rPr>
        <w:footnoteRef/>
      </w:r>
      <w:r>
        <w:t xml:space="preserve"> Sprostowano w dniu 24 października 2022 r.: tekst brzmiał „Dopiero dnia 17 listopada 2020</w:t>
      </w:r>
      <w:r w:rsidR="00D01B64">
        <w:t> </w:t>
      </w:r>
      <w:r>
        <w:t>r. Sąd Rejonowy dla Wrocławia-Śródmieścia we Wrocławiu postanowił zawiadomić prokuratora o postępowaniu”.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0B3A3" w14:textId="77777777" w:rsidR="003E50E1" w:rsidRDefault="003E5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6C02A" w14:textId="0885F872" w:rsidR="003E50E1" w:rsidRPr="00A45145" w:rsidRDefault="003E50E1" w:rsidP="00A45145">
    <w:pPr>
      <w:jc w:val="center"/>
    </w:pPr>
    <w:r>
      <w:rPr>
        <w:noProof/>
        <w:lang w:eastAsia="pl-PL"/>
      </w:rPr>
      <w:drawing>
        <wp:inline distT="0" distB="0" distL="0" distR="0" wp14:anchorId="4D85412E" wp14:editId="0C225F13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A67F27" w14:textId="1DA61BD2" w:rsidR="0098410D" w:rsidRPr="00E67565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50EC3" w14:textId="7521DF01" w:rsidR="003E50E1" w:rsidRPr="00A45145" w:rsidRDefault="003E50E1" w:rsidP="00A45145">
    <w:pPr>
      <w:jc w:val="center"/>
    </w:pPr>
    <w:r>
      <w:rPr>
        <w:noProof/>
        <w:lang w:eastAsia="pl-PL"/>
      </w:rPr>
      <w:drawing>
        <wp:inline distT="0" distB="0" distL="0" distR="0" wp14:anchorId="1C1212A6" wp14:editId="7C622B6A">
          <wp:extent cx="2962275" cy="1219200"/>
          <wp:effectExtent l="0" t="0" r="9525" b="0"/>
          <wp:docPr id="35" name="Picture 3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E1568E" w14:textId="5D287BCA" w:rsidR="0098410D" w:rsidRPr="00E67565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A113D" w14:textId="33551E6A" w:rsidR="00182EBA" w:rsidRPr="004D0EC7" w:rsidRDefault="003E50E1" w:rsidP="004D0EC7">
    <w:pPr>
      <w:pStyle w:val="JuHeader"/>
    </w:pPr>
    <w:r>
      <w:t xml:space="preserve">WYROK W SPRAWIE </w:t>
    </w:r>
    <w:proofErr w:type="spellStart"/>
    <w:r>
      <w:t>BIERSKI</w:t>
    </w:r>
    <w:proofErr w:type="spellEnd"/>
    <w:r>
      <w:t xml:space="preserve">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E980B" w14:textId="247F51F3" w:rsidR="00182EBA" w:rsidRPr="00882CD5" w:rsidRDefault="003E50E1" w:rsidP="007D3701">
    <w:pPr>
      <w:pStyle w:val="JuHeader"/>
    </w:pPr>
    <w:r>
      <w:t xml:space="preserve">WYROK W SPRAWIE </w:t>
    </w:r>
    <w:proofErr w:type="spellStart"/>
    <w:r>
      <w:t>BIERSKI</w:t>
    </w:r>
    <w:proofErr w:type="spellEnd"/>
    <w:r>
      <w:t xml:space="preserve">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>
    <w:abstractNumId w:val="18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2"/>
  </w:num>
  <w:num w:numId="5">
    <w:abstractNumId w:val="11"/>
  </w:num>
  <w:num w:numId="6">
    <w:abstractNumId w:val="17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3"/>
  </w:num>
  <w:num w:numId="18">
    <w:abstractNumId w:val="16"/>
  </w:num>
  <w:num w:numId="19">
    <w:abstractNumId w:val="15"/>
  </w:num>
  <w:num w:numId="20">
    <w:abstractNumId w:val="16"/>
  </w:num>
  <w:num w:numId="21">
    <w:abstractNumId w:val="10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  <w:docVar w:name="Plural" w:val="0"/>
  </w:docVars>
  <w:rsids>
    <w:rsidRoot w:val="003E50E1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602DF"/>
    <w:rsid w:val="00061B05"/>
    <w:rsid w:val="00062C46"/>
    <w:rsid w:val="000632D5"/>
    <w:rsid w:val="000644EE"/>
    <w:rsid w:val="00065506"/>
    <w:rsid w:val="0006720B"/>
    <w:rsid w:val="0007780A"/>
    <w:rsid w:val="000820FF"/>
    <w:rsid w:val="00085457"/>
    <w:rsid w:val="000925AD"/>
    <w:rsid w:val="00096FE1"/>
    <w:rsid w:val="00097A62"/>
    <w:rsid w:val="000A24EB"/>
    <w:rsid w:val="000B686A"/>
    <w:rsid w:val="000B6923"/>
    <w:rsid w:val="000B7195"/>
    <w:rsid w:val="000C3DAA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1B56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198A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579F7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957B1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06CD2"/>
    <w:rsid w:val="00312A30"/>
    <w:rsid w:val="00314E0C"/>
    <w:rsid w:val="003201D8"/>
    <w:rsid w:val="00320F72"/>
    <w:rsid w:val="0032463E"/>
    <w:rsid w:val="00326224"/>
    <w:rsid w:val="00330648"/>
    <w:rsid w:val="00337EE4"/>
    <w:rsid w:val="00340FFD"/>
    <w:rsid w:val="00345C41"/>
    <w:rsid w:val="003506B1"/>
    <w:rsid w:val="00355877"/>
    <w:rsid w:val="00356AC7"/>
    <w:rsid w:val="003609FA"/>
    <w:rsid w:val="00361A48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3CFD"/>
    <w:rsid w:val="003E50E1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2A40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3692"/>
    <w:rsid w:val="005442EE"/>
    <w:rsid w:val="00545DA6"/>
    <w:rsid w:val="00547353"/>
    <w:rsid w:val="005474E7"/>
    <w:rsid w:val="005512A3"/>
    <w:rsid w:val="005578CE"/>
    <w:rsid w:val="00562781"/>
    <w:rsid w:val="00562B6C"/>
    <w:rsid w:val="00570CD3"/>
    <w:rsid w:val="0057271C"/>
    <w:rsid w:val="00572845"/>
    <w:rsid w:val="005879A2"/>
    <w:rsid w:val="00592772"/>
    <w:rsid w:val="0059574A"/>
    <w:rsid w:val="005A1B9B"/>
    <w:rsid w:val="005A2E79"/>
    <w:rsid w:val="005A3CC8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1FD8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67BCA"/>
    <w:rsid w:val="006716F2"/>
    <w:rsid w:val="00675AF2"/>
    <w:rsid w:val="00682BF2"/>
    <w:rsid w:val="0068573E"/>
    <w:rsid w:val="006859CE"/>
    <w:rsid w:val="00691270"/>
    <w:rsid w:val="006940C3"/>
    <w:rsid w:val="00694BA8"/>
    <w:rsid w:val="006A037C"/>
    <w:rsid w:val="006A0C84"/>
    <w:rsid w:val="006A36F4"/>
    <w:rsid w:val="006A406F"/>
    <w:rsid w:val="006A5D3A"/>
    <w:rsid w:val="006B1942"/>
    <w:rsid w:val="006B6075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3795C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638C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4E31"/>
    <w:rsid w:val="008B57CE"/>
    <w:rsid w:val="008C26DE"/>
    <w:rsid w:val="008D2225"/>
    <w:rsid w:val="008D4752"/>
    <w:rsid w:val="008D5029"/>
    <w:rsid w:val="008D5A13"/>
    <w:rsid w:val="008E1AC8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0BD8"/>
    <w:rsid w:val="00941747"/>
    <w:rsid w:val="00941EFB"/>
    <w:rsid w:val="009451B4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A1CAA"/>
    <w:rsid w:val="009A7FC1"/>
    <w:rsid w:val="009B1606"/>
    <w:rsid w:val="009B1B5F"/>
    <w:rsid w:val="009B4D54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B7F"/>
    <w:rsid w:val="00A51D0F"/>
    <w:rsid w:val="00A54192"/>
    <w:rsid w:val="00A57147"/>
    <w:rsid w:val="00A6035E"/>
    <w:rsid w:val="00A60FC7"/>
    <w:rsid w:val="00A6144C"/>
    <w:rsid w:val="00A66617"/>
    <w:rsid w:val="00A671F8"/>
    <w:rsid w:val="00A673A4"/>
    <w:rsid w:val="00A724AE"/>
    <w:rsid w:val="00A73329"/>
    <w:rsid w:val="00A74EBF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F4B07"/>
    <w:rsid w:val="00AF6186"/>
    <w:rsid w:val="00AF7A3A"/>
    <w:rsid w:val="00B02587"/>
    <w:rsid w:val="00B049D1"/>
    <w:rsid w:val="00B160DB"/>
    <w:rsid w:val="00B20836"/>
    <w:rsid w:val="00B219FC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2D50"/>
    <w:rsid w:val="00B54133"/>
    <w:rsid w:val="00B701ED"/>
    <w:rsid w:val="00B748F7"/>
    <w:rsid w:val="00B8086C"/>
    <w:rsid w:val="00B81C58"/>
    <w:rsid w:val="00B83BFC"/>
    <w:rsid w:val="00B861B4"/>
    <w:rsid w:val="00B86DFE"/>
    <w:rsid w:val="00B90990"/>
    <w:rsid w:val="00B922FF"/>
    <w:rsid w:val="00B9281E"/>
    <w:rsid w:val="00B93925"/>
    <w:rsid w:val="00B95187"/>
    <w:rsid w:val="00BA0172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D3418"/>
    <w:rsid w:val="00BE044B"/>
    <w:rsid w:val="00BE14E3"/>
    <w:rsid w:val="00BE3774"/>
    <w:rsid w:val="00BE41E5"/>
    <w:rsid w:val="00BF118F"/>
    <w:rsid w:val="00BF4109"/>
    <w:rsid w:val="00BF4CC3"/>
    <w:rsid w:val="00C0050A"/>
    <w:rsid w:val="00C054C7"/>
    <w:rsid w:val="00C057B5"/>
    <w:rsid w:val="00C07D0E"/>
    <w:rsid w:val="00C115C3"/>
    <w:rsid w:val="00C13BD1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1B64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1236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0878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40D"/>
    <w:rsid w:val="00EE3E00"/>
    <w:rsid w:val="00EE5DD2"/>
    <w:rsid w:val="00EF36C5"/>
    <w:rsid w:val="00EF3DB4"/>
    <w:rsid w:val="00F00A79"/>
    <w:rsid w:val="00F00D13"/>
    <w:rsid w:val="00F00E86"/>
    <w:rsid w:val="00F078DE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0CA4"/>
    <w:rsid w:val="00F64EF1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6134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D612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D6123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D6123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D6123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D6123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D6123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D6123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D6123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D6123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D6123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D612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D61236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D61236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D61236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D61236"/>
    <w:pPr>
      <w:jc w:val="both"/>
    </w:pPr>
  </w:style>
  <w:style w:type="character" w:styleId="Pogrubienie">
    <w:name w:val="Strong"/>
    <w:uiPriority w:val="98"/>
    <w:semiHidden/>
    <w:qFormat/>
    <w:rsid w:val="00D61236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D61236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D61236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D61236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D61236"/>
    <w:pPr>
      <w:numPr>
        <w:numId w:val="22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D61236"/>
    <w:pPr>
      <w:numPr>
        <w:ilvl w:val="1"/>
        <w:numId w:val="22"/>
      </w:numPr>
    </w:pPr>
  </w:style>
  <w:style w:type="paragraph" w:customStyle="1" w:styleId="JuListi">
    <w:name w:val="Ju_List_i"/>
    <w:aliases w:val="_List_3"/>
    <w:basedOn w:val="NormalJustified"/>
    <w:uiPriority w:val="23"/>
    <w:rsid w:val="00D61236"/>
    <w:pPr>
      <w:numPr>
        <w:ilvl w:val="2"/>
        <w:numId w:val="22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D61236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D61236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D61236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D61236"/>
    <w:pPr>
      <w:keepNext/>
      <w:keepLines/>
      <w:numPr>
        <w:numId w:val="2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D61236"/>
    <w:pPr>
      <w:numPr>
        <w:numId w:val="1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D61236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D6123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D61236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D61236"/>
    <w:pPr>
      <w:numPr>
        <w:numId w:val="17"/>
      </w:numPr>
    </w:pPr>
  </w:style>
  <w:style w:type="numbering" w:customStyle="1" w:styleId="ECHRA1StyleNumberedList">
    <w:name w:val="ECHR_A1_Style_Numbered_List"/>
    <w:basedOn w:val="Bezlisty"/>
    <w:rsid w:val="00D61236"/>
    <w:pPr>
      <w:numPr>
        <w:numId w:val="18"/>
      </w:numPr>
    </w:pPr>
  </w:style>
  <w:style w:type="table" w:customStyle="1" w:styleId="ECHRTable2019">
    <w:name w:val="ECHR_Table_2019"/>
    <w:basedOn w:val="Standardowy"/>
    <w:uiPriority w:val="99"/>
    <w:rsid w:val="00D61236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D61236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D61236"/>
    <w:pPr>
      <w:keepNext/>
      <w:keepLines/>
      <w:numPr>
        <w:ilvl w:val="1"/>
        <w:numId w:val="2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D61236"/>
    <w:pPr>
      <w:keepNext/>
      <w:keepLines/>
      <w:numPr>
        <w:ilvl w:val="2"/>
        <w:numId w:val="2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D61236"/>
    <w:pPr>
      <w:keepNext/>
      <w:keepLines/>
      <w:numPr>
        <w:ilvl w:val="3"/>
        <w:numId w:val="2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D612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D61236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D61236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D61236"/>
    <w:pPr>
      <w:keepNext/>
      <w:keepLines/>
      <w:numPr>
        <w:ilvl w:val="4"/>
        <w:numId w:val="21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D61236"/>
    <w:pPr>
      <w:keepNext/>
      <w:keepLines/>
      <w:numPr>
        <w:ilvl w:val="5"/>
        <w:numId w:val="2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D61236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D61236"/>
    <w:pPr>
      <w:keepNext/>
      <w:keepLines/>
      <w:numPr>
        <w:ilvl w:val="6"/>
        <w:numId w:val="2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D61236"/>
    <w:pPr>
      <w:keepNext/>
      <w:keepLines/>
      <w:numPr>
        <w:ilvl w:val="7"/>
        <w:numId w:val="21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D61236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D61236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D61236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D61236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D61236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D61236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D61236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D61236"/>
    <w:rPr>
      <w:caps w:val="0"/>
      <w:smallCaps/>
    </w:rPr>
  </w:style>
  <w:style w:type="character" w:styleId="Wyrnieniedelikatne">
    <w:name w:val="Subtle Emphasis"/>
    <w:uiPriority w:val="98"/>
    <w:semiHidden/>
    <w:qFormat/>
    <w:rsid w:val="00D61236"/>
    <w:rPr>
      <w:i/>
      <w:iCs/>
    </w:rPr>
  </w:style>
  <w:style w:type="table" w:customStyle="1" w:styleId="ECHRTable">
    <w:name w:val="ECHR_Table"/>
    <w:basedOn w:val="Standardowy"/>
    <w:rsid w:val="00D61236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D61236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D6123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D61236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D61236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D61236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D612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D61236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D61236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D61236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D61236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D61236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D61236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D6123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D6123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D61236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D61236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D61236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D61236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D61236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D61236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D61236"/>
    <w:rPr>
      <w:smallCaps/>
    </w:rPr>
  </w:style>
  <w:style w:type="table" w:styleId="Tabela-Siatka">
    <w:name w:val="Table Grid"/>
    <w:basedOn w:val="Standardowy"/>
    <w:uiPriority w:val="59"/>
    <w:semiHidden/>
    <w:rsid w:val="00D61236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D61236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D61236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D61236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D61236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D61236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D6123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D61236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D61236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D61236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D61236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D61236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D61236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D61236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D61236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D61236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D61236"/>
    <w:pPr>
      <w:numPr>
        <w:numId w:val="3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D61236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D61236"/>
    <w:pPr>
      <w:numPr>
        <w:numId w:val="4"/>
      </w:numPr>
    </w:pPr>
  </w:style>
  <w:style w:type="table" w:customStyle="1" w:styleId="ECHRTableSimpleBox">
    <w:name w:val="ECHR_Table_Simple_Box"/>
    <w:basedOn w:val="Standardowy"/>
    <w:uiPriority w:val="99"/>
    <w:rsid w:val="00D61236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D61236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D61236"/>
    <w:pPr>
      <w:numPr>
        <w:numId w:val="5"/>
      </w:numPr>
    </w:pPr>
  </w:style>
  <w:style w:type="table" w:customStyle="1" w:styleId="ECHRTableForInternalUse">
    <w:name w:val="ECHR_Table_For_Internal_Use"/>
    <w:basedOn w:val="Standardowy"/>
    <w:uiPriority w:val="99"/>
    <w:rsid w:val="00D61236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61236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D61236"/>
  </w:style>
  <w:style w:type="paragraph" w:styleId="Tekstblokowy">
    <w:name w:val="Block Text"/>
    <w:basedOn w:val="Normalny"/>
    <w:uiPriority w:val="98"/>
    <w:semiHidden/>
    <w:rsid w:val="00D6123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D61236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D612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D61236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D61236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D61236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D61236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D61236"/>
    <w:pPr>
      <w:ind w:firstLine="284"/>
    </w:pPr>
    <w:rPr>
      <w:b/>
    </w:rPr>
  </w:style>
  <w:style w:type="character" w:styleId="Numerstrony">
    <w:name w:val="page number"/>
    <w:uiPriority w:val="98"/>
    <w:semiHidden/>
    <w:rsid w:val="00D61236"/>
    <w:rPr>
      <w:sz w:val="18"/>
    </w:rPr>
  </w:style>
  <w:style w:type="paragraph" w:styleId="Listapunktowana">
    <w:name w:val="List Bullet"/>
    <w:basedOn w:val="Normalny"/>
    <w:uiPriority w:val="98"/>
    <w:semiHidden/>
    <w:rsid w:val="00D61236"/>
    <w:pPr>
      <w:numPr>
        <w:numId w:val="6"/>
      </w:numPr>
    </w:pPr>
  </w:style>
  <w:style w:type="paragraph" w:styleId="Listapunktowana3">
    <w:name w:val="List Bullet 3"/>
    <w:basedOn w:val="Normalny"/>
    <w:uiPriority w:val="98"/>
    <w:semiHidden/>
    <w:rsid w:val="00D61236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D61236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D6123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D61236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D6123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D61236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D6123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D61236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D6123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D61236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D6123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D61236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D6123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D61236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D6123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D6123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D61236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D612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D612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D61236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D612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D61236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D61236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D61236"/>
  </w:style>
  <w:style w:type="character" w:customStyle="1" w:styleId="DataZnak">
    <w:name w:val="Data Znak"/>
    <w:basedOn w:val="Domylnaczcionkaakapitu"/>
    <w:link w:val="Data"/>
    <w:uiPriority w:val="98"/>
    <w:semiHidden/>
    <w:rsid w:val="00D61236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D6123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D61236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D61236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D61236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D6123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D6123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D61236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D6123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D61236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D61236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D61236"/>
  </w:style>
  <w:style w:type="paragraph" w:styleId="HTML-adres">
    <w:name w:val="HTML Address"/>
    <w:basedOn w:val="Normalny"/>
    <w:link w:val="HTML-adresZnak"/>
    <w:uiPriority w:val="98"/>
    <w:semiHidden/>
    <w:rsid w:val="00D6123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D61236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D61236"/>
    <w:rPr>
      <w:i/>
      <w:iCs/>
    </w:rPr>
  </w:style>
  <w:style w:type="character" w:styleId="HTML-kod">
    <w:name w:val="HTML Code"/>
    <w:basedOn w:val="Domylnaczcionkaakapitu"/>
    <w:uiPriority w:val="98"/>
    <w:semiHidden/>
    <w:rsid w:val="00D6123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D61236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D6123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D6123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D61236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D6123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D6123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D61236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D6123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D6123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D6123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D6123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D6123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D6123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D6123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D6123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D61236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D6123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D61236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D61236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D61236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D61236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D61236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D61236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D61236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D61236"/>
  </w:style>
  <w:style w:type="paragraph" w:styleId="Lista">
    <w:name w:val="List"/>
    <w:basedOn w:val="Normalny"/>
    <w:uiPriority w:val="98"/>
    <w:semiHidden/>
    <w:rsid w:val="00D61236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D61236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D61236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D61236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D61236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D61236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D61236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8"/>
    <w:semiHidden/>
    <w:rsid w:val="00D61236"/>
    <w:pPr>
      <w:numPr>
        <w:numId w:val="10"/>
      </w:numPr>
      <w:contextualSpacing/>
    </w:pPr>
  </w:style>
  <w:style w:type="paragraph" w:styleId="Lista-kontynuacja">
    <w:name w:val="List Continue"/>
    <w:basedOn w:val="Normalny"/>
    <w:uiPriority w:val="98"/>
    <w:semiHidden/>
    <w:rsid w:val="00D6123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D6123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D6123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D6123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D6123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D61236"/>
    <w:pPr>
      <w:numPr>
        <w:numId w:val="11"/>
      </w:numPr>
      <w:contextualSpacing/>
    </w:pPr>
  </w:style>
  <w:style w:type="paragraph" w:styleId="Listanumerowana2">
    <w:name w:val="List Number 2"/>
    <w:basedOn w:val="Normalny"/>
    <w:uiPriority w:val="98"/>
    <w:semiHidden/>
    <w:rsid w:val="00D61236"/>
    <w:pPr>
      <w:numPr>
        <w:numId w:val="12"/>
      </w:numPr>
      <w:contextualSpacing/>
    </w:pPr>
  </w:style>
  <w:style w:type="paragraph" w:styleId="Listanumerowana3">
    <w:name w:val="List Number 3"/>
    <w:basedOn w:val="Normalny"/>
    <w:uiPriority w:val="98"/>
    <w:semiHidden/>
    <w:rsid w:val="00D61236"/>
    <w:pPr>
      <w:numPr>
        <w:numId w:val="13"/>
      </w:numPr>
      <w:contextualSpacing/>
    </w:pPr>
  </w:style>
  <w:style w:type="paragraph" w:styleId="Listanumerowana4">
    <w:name w:val="List Number 4"/>
    <w:basedOn w:val="Normalny"/>
    <w:uiPriority w:val="98"/>
    <w:semiHidden/>
    <w:rsid w:val="00D61236"/>
    <w:pPr>
      <w:numPr>
        <w:numId w:val="14"/>
      </w:numPr>
      <w:contextualSpacing/>
    </w:pPr>
  </w:style>
  <w:style w:type="paragraph" w:styleId="Listanumerowana5">
    <w:name w:val="List Number 5"/>
    <w:basedOn w:val="Normalny"/>
    <w:uiPriority w:val="98"/>
    <w:semiHidden/>
    <w:rsid w:val="00D61236"/>
    <w:pPr>
      <w:numPr>
        <w:numId w:val="15"/>
      </w:numPr>
      <w:contextualSpacing/>
    </w:pPr>
  </w:style>
  <w:style w:type="paragraph" w:styleId="Tekstmakra">
    <w:name w:val="macro"/>
    <w:link w:val="TekstmakraZnak"/>
    <w:uiPriority w:val="98"/>
    <w:semiHidden/>
    <w:rsid w:val="00D612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D61236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D6123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D6123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D6123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D612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D61236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D61236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D6123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D61236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D61236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D61236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D6123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D61236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D61236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D61236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D6123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D61236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61236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61236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61236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61236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61236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61236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D61236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D61236"/>
  </w:style>
  <w:style w:type="table" w:styleId="Tabela-Profesjonalny">
    <w:name w:val="Table Professional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61236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D61236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D61236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D6123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D61236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D61236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D61236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D61236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rsid w:val="00D61236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D61236"/>
    <w:pPr>
      <w:numPr>
        <w:numId w:val="19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D61236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D61236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D61236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D61236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D61236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D61236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D61236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D61236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D61236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D61236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D61236"/>
    <w:pPr>
      <w:keepNext/>
      <w:keepLines/>
      <w:numPr>
        <w:ilvl w:val="8"/>
        <w:numId w:val="2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D61236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D61236"/>
    <w:pPr>
      <w:numPr>
        <w:numId w:val="2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D61236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D61236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D61236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D61236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D61236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D61236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D61236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D61236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D61236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D61236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D61236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D6123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D6123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D6123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D61236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D61236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D61236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D61236"/>
    <w:rPr>
      <w:sz w:val="4"/>
    </w:rPr>
  </w:style>
  <w:style w:type="table" w:customStyle="1" w:styleId="ECHRTableGrey">
    <w:name w:val="ECHR_Table_Grey"/>
    <w:basedOn w:val="Standardowy"/>
    <w:uiPriority w:val="99"/>
    <w:rsid w:val="00D61236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1236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3E50E1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4">
    <w:name w:val="Ju_List_4"/>
    <w:aliases w:val="N_Bul_4"/>
    <w:basedOn w:val="JuListi"/>
    <w:uiPriority w:val="19"/>
    <w:rsid w:val="003E50E1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table" w:styleId="Tabelasiatki1jasnaakcent1">
    <w:name w:val="Grid Table 1 Light Accent 1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3E50E1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3E50E1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3E50E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3E50E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3E50E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3E50E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3E50E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3E50E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3E50E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3E50E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3E50E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3E50E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3E50E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3E50E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3E50E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3E50E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3E50E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3E50E1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3E50E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3E50E1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3E50E1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3E50E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3E50E1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3E50E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3E50E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3E50E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3E50E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3E50E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3E50E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3E50E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3E50E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3E50E1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3E50E1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3E50E1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3E50E1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3E50E1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3E50E1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3E50E1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3E50E1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3E50E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3E50E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3E50E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3E50E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iperlinkinteligentny1">
    <w:name w:val="Hiperlink inteligentny1"/>
    <w:basedOn w:val="Domylnaczcionkaakapitu"/>
    <w:uiPriority w:val="99"/>
    <w:semiHidden/>
    <w:unhideWhenUsed/>
    <w:rsid w:val="003E50E1"/>
    <w:rPr>
      <w:u w:val="dotted"/>
    </w:rPr>
  </w:style>
  <w:style w:type="character" w:customStyle="1" w:styleId="SmartLink1">
    <w:name w:val="SmartLink1"/>
    <w:basedOn w:val="Domylnaczcionkaakapitu"/>
    <w:uiPriority w:val="99"/>
    <w:semiHidden/>
    <w:unhideWhenUsed/>
    <w:rsid w:val="003E50E1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3E50E1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3E50E1"/>
    <w:rPr>
      <w:sz w:val="24"/>
      <w:szCs w:val="24"/>
    </w:rPr>
  </w:style>
  <w:style w:type="paragraph" w:customStyle="1" w:styleId="jucase0">
    <w:name w:val="jucase"/>
    <w:basedOn w:val="Normalny"/>
    <w:rsid w:val="00BD3418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3BDEE-CAE3-4ED4-AFEC-7AD4EE37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4250</Words>
  <Characters>25501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2023-04-07T10:49:00Z</dcterms:created>
  <dcterms:modified xsi:type="dcterms:W3CDTF">2023-04-07T10:57:00Z</dcterms:modified>
  <cp:category/>
</cp:coreProperties>
</file>