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BAC162" w14:textId="77777777" w:rsidR="00E352B3" w:rsidRDefault="00E352B3">
      <w:pPr>
        <w:jc w:val="center"/>
      </w:pPr>
    </w:p>
    <w:p w14:paraId="6499A397" w14:textId="67AC90D6" w:rsidR="00E352B3" w:rsidRDefault="004D2C9B">
      <w:pPr>
        <w:jc w:val="center"/>
      </w:pPr>
      <w:r>
        <w:t>EUROPEJSKI TRYBUNAŁ PRAW CZŁOWIEKA</w:t>
      </w:r>
    </w:p>
    <w:p w14:paraId="7525D3A2" w14:textId="77777777" w:rsidR="00E352B3" w:rsidRDefault="00E352B3">
      <w:pPr>
        <w:jc w:val="center"/>
      </w:pPr>
    </w:p>
    <w:p w14:paraId="4734F0C0" w14:textId="77777777" w:rsidR="00E352B3" w:rsidRDefault="00677443">
      <w:pPr>
        <w:pStyle w:val="DecHCase"/>
      </w:pPr>
      <w:r>
        <w:t>SEKCJA PIERWSZA</w:t>
      </w:r>
    </w:p>
    <w:p w14:paraId="5504DC2D" w14:textId="77777777" w:rsidR="00E352B3" w:rsidRDefault="00677443">
      <w:pPr>
        <w:pStyle w:val="JuTitle"/>
      </w:pPr>
      <w:bookmarkStart w:id="0" w:name="To"/>
      <w:r>
        <w:rPr>
          <w:color w:val="000000" w:themeColor="text1"/>
        </w:rPr>
        <w:t xml:space="preserve">SPRAWA </w:t>
      </w:r>
      <w:bookmarkEnd w:id="0"/>
      <w:r>
        <w:t>RUSSJAN przeciwko POLSCE</w:t>
      </w:r>
    </w:p>
    <w:p w14:paraId="367F8FCD" w14:textId="77777777" w:rsidR="00E352B3" w:rsidRDefault="00677443">
      <w:pPr>
        <w:pStyle w:val="ECHRCoverTitle4"/>
      </w:pPr>
      <w:r>
        <w:t>(Skarga nr 79509/17)</w:t>
      </w:r>
    </w:p>
    <w:p w14:paraId="56BC8310" w14:textId="77777777" w:rsidR="00E352B3" w:rsidRDefault="00E352B3">
      <w:pPr>
        <w:pStyle w:val="DecHCase"/>
      </w:pPr>
    </w:p>
    <w:p w14:paraId="18FCE39E" w14:textId="77777777" w:rsidR="00E352B3" w:rsidRDefault="00E352B3">
      <w:pPr>
        <w:pStyle w:val="DecHCase"/>
      </w:pPr>
    </w:p>
    <w:p w14:paraId="38B4DFF8" w14:textId="77777777" w:rsidR="00E352B3" w:rsidRDefault="00E352B3">
      <w:pPr>
        <w:pStyle w:val="DecHCase"/>
      </w:pPr>
    </w:p>
    <w:p w14:paraId="0E00F015" w14:textId="77777777" w:rsidR="00E352B3" w:rsidRDefault="00E352B3">
      <w:pPr>
        <w:pStyle w:val="DecHCase"/>
      </w:pPr>
    </w:p>
    <w:p w14:paraId="550717F1" w14:textId="77777777" w:rsidR="00E352B3" w:rsidRDefault="00E352B3">
      <w:pPr>
        <w:pStyle w:val="DecHCase"/>
      </w:pPr>
    </w:p>
    <w:p w14:paraId="0C2E48E1" w14:textId="77777777" w:rsidR="00E352B3" w:rsidRDefault="00677443">
      <w:pPr>
        <w:pStyle w:val="DecHCase"/>
      </w:pPr>
      <w:r>
        <w:t>WYROK</w:t>
      </w:r>
    </w:p>
    <w:p w14:paraId="66AE886C" w14:textId="77777777" w:rsidR="00E352B3" w:rsidRDefault="00E352B3">
      <w:pPr>
        <w:jc w:val="center"/>
        <w:rPr>
          <w:i/>
        </w:rPr>
      </w:pPr>
    </w:p>
    <w:p w14:paraId="50B48946" w14:textId="77777777" w:rsidR="00E352B3" w:rsidRDefault="00677443">
      <w:pPr>
        <w:pStyle w:val="DecHCase"/>
      </w:pPr>
      <w:r>
        <w:t>STRASBURG</w:t>
      </w:r>
    </w:p>
    <w:p w14:paraId="39032DCD" w14:textId="77777777" w:rsidR="00E352B3" w:rsidRDefault="00677443">
      <w:pPr>
        <w:pStyle w:val="DecHCase"/>
      </w:pPr>
      <w:r>
        <w:t>27 października 2022 r.</w:t>
      </w:r>
    </w:p>
    <w:p w14:paraId="4A00F67A" w14:textId="77777777" w:rsidR="00E352B3" w:rsidRDefault="00E352B3">
      <w:pPr>
        <w:jc w:val="center"/>
      </w:pPr>
    </w:p>
    <w:p w14:paraId="21FC7A78" w14:textId="77777777" w:rsidR="00E352B3" w:rsidRDefault="00E352B3">
      <w:pPr>
        <w:jc w:val="center"/>
      </w:pPr>
    </w:p>
    <w:p w14:paraId="6DF30065" w14:textId="77777777" w:rsidR="00E352B3" w:rsidRDefault="00E352B3">
      <w:pPr>
        <w:jc w:val="center"/>
      </w:pPr>
    </w:p>
    <w:p w14:paraId="1E630261" w14:textId="77777777" w:rsidR="00E352B3" w:rsidRDefault="00E352B3">
      <w:pPr>
        <w:jc w:val="center"/>
      </w:pPr>
    </w:p>
    <w:p w14:paraId="575EF511" w14:textId="77777777" w:rsidR="00E352B3" w:rsidRDefault="00677443">
      <w:pPr>
        <w:rPr>
          <w:sz w:val="22"/>
          <w:szCs w:val="22"/>
        </w:rPr>
      </w:pPr>
      <w:r>
        <w:rPr>
          <w:i/>
          <w:sz w:val="22"/>
          <w:szCs w:val="22"/>
        </w:rPr>
        <w:t>Wyrok ten jest ostateczny, lecz może podlegać korekcie wydawniczej.</w:t>
      </w:r>
    </w:p>
    <w:p w14:paraId="70EC5EFF" w14:textId="77777777" w:rsidR="00E352B3" w:rsidRDefault="00E352B3">
      <w:pPr>
        <w:pStyle w:val="JuCase"/>
      </w:pPr>
    </w:p>
    <w:p w14:paraId="370543F7" w14:textId="77777777" w:rsidR="00E352B3" w:rsidRDefault="00E352B3">
      <w:pPr>
        <w:pStyle w:val="JuPara"/>
        <w:sectPr w:rsidR="00E352B3"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footnotePr>
            <w:numRestart w:val="eachPage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cols w:space="720"/>
          <w:titlePg/>
          <w:docGrid w:linePitch="326"/>
        </w:sectPr>
      </w:pPr>
    </w:p>
    <w:p w14:paraId="600D20C9" w14:textId="77777777" w:rsidR="00E352B3" w:rsidRDefault="00677443">
      <w:pPr>
        <w:pStyle w:val="JuCase"/>
        <w:rPr>
          <w:bCs/>
        </w:rPr>
      </w:pPr>
      <w:r>
        <w:lastRenderedPageBreak/>
        <w:t xml:space="preserve">W sprawie </w:t>
      </w:r>
      <w:proofErr w:type="spellStart"/>
      <w:r>
        <w:t>Russjan</w:t>
      </w:r>
      <w:proofErr w:type="spellEnd"/>
      <w:r>
        <w:t xml:space="preserve"> przeciwko Polsce</w:t>
      </w:r>
    </w:p>
    <w:p w14:paraId="72AFB8DA" w14:textId="7D250102" w:rsidR="00E352B3" w:rsidRDefault="00677443">
      <w:pPr>
        <w:pStyle w:val="JuPara"/>
      </w:pPr>
      <w:r>
        <w:t>Europejski Trybunał Praw Człowieka (</w:t>
      </w:r>
      <w:r w:rsidR="00DA2F7E">
        <w:t>Sekcja Pierwsza</w:t>
      </w:r>
      <w:r>
        <w:t xml:space="preserve">), zasiadając jako </w:t>
      </w:r>
      <w:r w:rsidR="00DA2F7E">
        <w:t xml:space="preserve">Komitet </w:t>
      </w:r>
      <w:r>
        <w:t>w składzie:</w:t>
      </w:r>
    </w:p>
    <w:p w14:paraId="5A536A5F" w14:textId="3DB49391" w:rsidR="00E352B3" w:rsidRDefault="00677443">
      <w:pPr>
        <w:pStyle w:val="JuJudges"/>
        <w:rPr>
          <w:i/>
        </w:rPr>
      </w:pPr>
      <w:r>
        <w:tab/>
        <w:t xml:space="preserve">Erik </w:t>
      </w:r>
      <w:proofErr w:type="spellStart"/>
      <w:r>
        <w:t>Wennerström</w:t>
      </w:r>
      <w:proofErr w:type="spellEnd"/>
      <w:r>
        <w:rPr>
          <w:i/>
        </w:rPr>
        <w:t xml:space="preserve">, </w:t>
      </w:r>
      <w:r w:rsidR="003F1914">
        <w:rPr>
          <w:i/>
        </w:rPr>
        <w:t>P</w:t>
      </w:r>
      <w:r>
        <w:rPr>
          <w:i/>
        </w:rPr>
        <w:t>rzewodniczący,</w:t>
      </w:r>
    </w:p>
    <w:p w14:paraId="4D249CFF" w14:textId="77777777" w:rsidR="00E352B3" w:rsidRDefault="00677443">
      <w:pPr>
        <w:pStyle w:val="JuJudges"/>
        <w:rPr>
          <w:i/>
        </w:rPr>
      </w:pPr>
      <w:r>
        <w:tab/>
        <w:t xml:space="preserve">Krzysztof </w:t>
      </w:r>
      <w:proofErr w:type="spellStart"/>
      <w:r>
        <w:t>Wojtyczek</w:t>
      </w:r>
      <w:proofErr w:type="spellEnd"/>
      <w:r>
        <w:rPr>
          <w:i/>
        </w:rPr>
        <w:t>,</w:t>
      </w:r>
    </w:p>
    <w:p w14:paraId="10A7BE5A" w14:textId="3A54B892" w:rsidR="00E352B3" w:rsidRDefault="00677443">
      <w:pPr>
        <w:pStyle w:val="JuJudges"/>
        <w:rPr>
          <w:i/>
        </w:rPr>
      </w:pPr>
      <w:r>
        <w:tab/>
        <w:t xml:space="preserve">Lorraine </w:t>
      </w:r>
      <w:proofErr w:type="spellStart"/>
      <w:r>
        <w:t>Schembri</w:t>
      </w:r>
      <w:proofErr w:type="spellEnd"/>
      <w:r>
        <w:t xml:space="preserve"> </w:t>
      </w:r>
      <w:proofErr w:type="spellStart"/>
      <w:r>
        <w:t>Orland</w:t>
      </w:r>
      <w:proofErr w:type="spellEnd"/>
      <w:r>
        <w:rPr>
          <w:i/>
        </w:rPr>
        <w:t>, sędziowie,</w:t>
      </w:r>
      <w:r>
        <w:br/>
        <w:t xml:space="preserve">i </w:t>
      </w:r>
      <w:proofErr w:type="spellStart"/>
      <w:r>
        <w:t>Viktoriya</w:t>
      </w:r>
      <w:proofErr w:type="spellEnd"/>
      <w:r>
        <w:t xml:space="preserve"> </w:t>
      </w:r>
      <w:proofErr w:type="spellStart"/>
      <w:r>
        <w:t>Maradudina</w:t>
      </w:r>
      <w:proofErr w:type="spellEnd"/>
      <w:r>
        <w:t xml:space="preserve">, </w:t>
      </w:r>
      <w:r>
        <w:rPr>
          <w:i/>
          <w:iCs/>
        </w:rPr>
        <w:t xml:space="preserve">p.o. </w:t>
      </w:r>
      <w:r w:rsidR="003F1914">
        <w:rPr>
          <w:i/>
          <w:iCs/>
        </w:rPr>
        <w:t>Zastępc</w:t>
      </w:r>
      <w:r w:rsidR="004D2C9B">
        <w:rPr>
          <w:i/>
          <w:iCs/>
        </w:rPr>
        <w:t>a</w:t>
      </w:r>
      <w:r w:rsidR="003F1914">
        <w:rPr>
          <w:i/>
          <w:iCs/>
        </w:rPr>
        <w:t xml:space="preserve"> K</w:t>
      </w:r>
      <w:r>
        <w:rPr>
          <w:i/>
          <w:iCs/>
        </w:rPr>
        <w:t xml:space="preserve">anclerza </w:t>
      </w:r>
      <w:r w:rsidR="003F1914">
        <w:rPr>
          <w:i/>
          <w:iCs/>
        </w:rPr>
        <w:t>S</w:t>
      </w:r>
      <w:r>
        <w:rPr>
          <w:i/>
          <w:iCs/>
        </w:rPr>
        <w:t>ekcji,</w:t>
      </w:r>
    </w:p>
    <w:p w14:paraId="0E3E42C3" w14:textId="323DCE35" w:rsidR="00E352B3" w:rsidRDefault="00677443">
      <w:pPr>
        <w:pStyle w:val="JuPara"/>
      </w:pPr>
      <w:r>
        <w:t>obradując na posiedzeniu niejawnym 6 października 2022 r.,</w:t>
      </w:r>
    </w:p>
    <w:p w14:paraId="0593F1EF" w14:textId="77777777" w:rsidR="00E352B3" w:rsidRDefault="00677443">
      <w:pPr>
        <w:pStyle w:val="JuPara"/>
      </w:pPr>
      <w:r>
        <w:t>wydaje następujący wyrok, który został przyjęty w tym dniu:</w:t>
      </w:r>
    </w:p>
    <w:p w14:paraId="17B50F0E" w14:textId="77777777" w:rsidR="00E352B3" w:rsidRDefault="00677443">
      <w:pPr>
        <w:pStyle w:val="JuHHead"/>
      </w:pPr>
      <w:bookmarkStart w:id="1" w:name="ITMARKStartJudgment"/>
      <w:bookmarkEnd w:id="1"/>
      <w:r>
        <w:t>POSTĘPOWANIE</w:t>
      </w:r>
    </w:p>
    <w:p w14:paraId="180F4C87" w14:textId="0832CF36" w:rsidR="00E352B3" w:rsidRDefault="00677443">
      <w:pPr>
        <w:pStyle w:val="JuPara"/>
      </w:pPr>
      <w:r>
        <w:rPr>
          <w:noProof/>
        </w:rPr>
        <w:t>1</w:t>
      </w:r>
      <w:r>
        <w:t>.</w:t>
      </w:r>
      <w:r w:rsidR="004D2C9B">
        <w:t xml:space="preserve"> </w:t>
      </w:r>
      <w:r>
        <w:t xml:space="preserve">Sprawa wywodzi się ze skargi </w:t>
      </w:r>
      <w:r w:rsidR="003F1914">
        <w:t xml:space="preserve">przeciwko Polsce </w:t>
      </w:r>
      <w:r>
        <w:t>wniesionej do</w:t>
      </w:r>
      <w:r w:rsidR="006E58CA">
        <w:t> </w:t>
      </w:r>
      <w:r>
        <w:t>Trybunału 9 listopada 2017 r. na podstawie art. 34 Konwencji o ochronie praw człowieka i podstawowych wolności („Konwencj</w:t>
      </w:r>
      <w:r w:rsidR="001C4929">
        <w:t>a</w:t>
      </w:r>
      <w:r>
        <w:t>”).</w:t>
      </w:r>
    </w:p>
    <w:p w14:paraId="1DF7929D" w14:textId="4B8AA318" w:rsidR="00E352B3" w:rsidRDefault="00677443">
      <w:pPr>
        <w:pStyle w:val="JuPara"/>
      </w:pPr>
      <w:r>
        <w:rPr>
          <w:noProof/>
        </w:rPr>
        <w:t>2</w:t>
      </w:r>
      <w:r>
        <w:t>.</w:t>
      </w:r>
      <w:r w:rsidR="004D2C9B">
        <w:t xml:space="preserve"> </w:t>
      </w:r>
      <w:r>
        <w:t>Skarżącego reprezentował K. </w:t>
      </w:r>
      <w:proofErr w:type="spellStart"/>
      <w:r>
        <w:t>Szocik</w:t>
      </w:r>
      <w:proofErr w:type="spellEnd"/>
      <w:r>
        <w:t xml:space="preserve">, </w:t>
      </w:r>
      <w:r w:rsidR="001C4929">
        <w:t xml:space="preserve">prawnik </w:t>
      </w:r>
      <w:r>
        <w:t>praktykujący w Gdańsku.</w:t>
      </w:r>
    </w:p>
    <w:p w14:paraId="3DC05406" w14:textId="267B18AB" w:rsidR="00E352B3" w:rsidRDefault="00677443">
      <w:pPr>
        <w:pStyle w:val="JuPara"/>
      </w:pPr>
      <w:r>
        <w:rPr>
          <w:rFonts w:cs="Times New Roman"/>
          <w:noProof/>
        </w:rPr>
        <w:t>3</w:t>
      </w:r>
      <w:r>
        <w:t>.</w:t>
      </w:r>
      <w:r w:rsidR="004D2C9B">
        <w:t xml:space="preserve"> </w:t>
      </w:r>
      <w:r>
        <w:t>Skarga została zakomunikowana rządowi polskiemu („Rząd”).</w:t>
      </w:r>
    </w:p>
    <w:p w14:paraId="16642C7E" w14:textId="77777777" w:rsidR="00E352B3" w:rsidRDefault="00677443">
      <w:pPr>
        <w:pStyle w:val="JuHHead"/>
      </w:pPr>
      <w:r>
        <w:t>FAKTY</w:t>
      </w:r>
    </w:p>
    <w:p w14:paraId="1C0BAE19" w14:textId="2B6BB3F7" w:rsidR="00E352B3" w:rsidRDefault="00677443">
      <w:pPr>
        <w:pStyle w:val="JuPara"/>
      </w:pPr>
      <w:r>
        <w:rPr>
          <w:noProof/>
        </w:rPr>
        <w:t>4</w:t>
      </w:r>
      <w:r>
        <w:t>.</w:t>
      </w:r>
      <w:r w:rsidR="004D2C9B">
        <w:t xml:space="preserve"> </w:t>
      </w:r>
      <w:r>
        <w:t>Dane skarżącego i istotne informacje dotyczące skargi przedstawiono w załączonej tabeli.</w:t>
      </w:r>
    </w:p>
    <w:p w14:paraId="0722C423" w14:textId="09F86FE6" w:rsidR="00E352B3" w:rsidRDefault="00677443">
      <w:pPr>
        <w:pStyle w:val="JuPara"/>
        <w:rPr>
          <w:bCs/>
        </w:rPr>
      </w:pPr>
      <w:r>
        <w:rPr>
          <w:noProof/>
        </w:rPr>
        <w:t>5</w:t>
      </w:r>
      <w:r>
        <w:t>.</w:t>
      </w:r>
      <w:r w:rsidR="004D2C9B">
        <w:t xml:space="preserve"> </w:t>
      </w:r>
      <w:r>
        <w:t>Skarżący podnosił w skardze zarzut przewlekłości tymczasowego aresztowania</w:t>
      </w:r>
      <w:r>
        <w:rPr>
          <w:bCs/>
          <w:color w:val="000000"/>
        </w:rPr>
        <w:t>.</w:t>
      </w:r>
    </w:p>
    <w:p w14:paraId="5BCB1807" w14:textId="77777777" w:rsidR="00E352B3" w:rsidRDefault="00677443">
      <w:pPr>
        <w:pStyle w:val="JuHHead"/>
      </w:pPr>
      <w:r>
        <w:t>PRAWO</w:t>
      </w:r>
    </w:p>
    <w:p w14:paraId="1965AFEB" w14:textId="77777777" w:rsidR="00E352B3" w:rsidRDefault="00677443">
      <w:pPr>
        <w:pStyle w:val="JuHIRoman"/>
        <w:rPr>
          <w:rFonts w:eastAsia="PMingLiU"/>
        </w:rPr>
      </w:pPr>
      <w:r>
        <w:t>ZARZUCANE NARUSZENIE ART. 5 UST. 3 KONWENCJI</w:t>
      </w:r>
    </w:p>
    <w:p w14:paraId="6D1A8902" w14:textId="085E840F" w:rsidR="00E352B3" w:rsidRDefault="00677443">
      <w:pPr>
        <w:pStyle w:val="JuPara"/>
      </w:pPr>
      <w:r>
        <w:rPr>
          <w:noProof/>
        </w:rPr>
        <w:t>6</w:t>
      </w:r>
      <w:r>
        <w:t>.</w:t>
      </w:r>
      <w:r w:rsidR="004D2C9B">
        <w:t xml:space="preserve"> </w:t>
      </w:r>
      <w:r>
        <w:t xml:space="preserve">Skarżący zarzucił, że jego tymczasowe aresztowanie było </w:t>
      </w:r>
      <w:r w:rsidR="001C4929">
        <w:t xml:space="preserve">niezasadnie </w:t>
      </w:r>
      <w:r>
        <w:t>długie. Powołał się na art. 5 ust. 3 Konwencji, który ma następujące brzmienie:</w:t>
      </w:r>
    </w:p>
    <w:p w14:paraId="2E070C3C" w14:textId="77777777" w:rsidR="00E352B3" w:rsidRDefault="00677443">
      <w:pPr>
        <w:pStyle w:val="JuHArticle"/>
      </w:pPr>
      <w:r>
        <w:t>Artykuł 5 ust. 3</w:t>
      </w:r>
    </w:p>
    <w:p w14:paraId="5F6D3309" w14:textId="25DA02FA" w:rsidR="00E352B3" w:rsidRDefault="00677443">
      <w:pPr>
        <w:pStyle w:val="JuQuot"/>
      </w:pPr>
      <w:r>
        <w:t>„3.</w:t>
      </w:r>
      <w:r w:rsidR="004D2C9B">
        <w:t xml:space="preserve"> </w:t>
      </w:r>
      <w:r w:rsidR="00DA2F7E" w:rsidRPr="0003520E">
        <w:rPr>
          <w:rFonts w:cstheme="minorHAnsi"/>
          <w:sz w:val="18"/>
          <w:szCs w:val="18"/>
        </w:rPr>
        <w:t xml:space="preserve">Każdy zatrzymany lub aresztowany zgodnie z </w:t>
      </w:r>
      <w:r w:rsidR="00DA2F7E">
        <w:rPr>
          <w:rFonts w:cstheme="minorHAnsi"/>
          <w:sz w:val="18"/>
          <w:szCs w:val="18"/>
        </w:rPr>
        <w:t>postanowieniami ustępu 1 lit. c</w:t>
      </w:r>
      <w:r w:rsidR="00DA2F7E" w:rsidRPr="0003520E">
        <w:rPr>
          <w:rFonts w:cstheme="minorHAnsi"/>
          <w:sz w:val="18"/>
          <w:szCs w:val="18"/>
        </w:rPr>
        <w:t xml:space="preserve"> niniejszego artykułu </w:t>
      </w:r>
      <w:r w:rsidR="00DA2F7E">
        <w:rPr>
          <w:rFonts w:cstheme="minorHAnsi"/>
          <w:sz w:val="18"/>
          <w:szCs w:val="18"/>
        </w:rPr>
        <w:t>…</w:t>
      </w:r>
      <w:r w:rsidR="00DA2F7E" w:rsidRPr="0003520E">
        <w:rPr>
          <w:rFonts w:cstheme="minorHAnsi"/>
          <w:sz w:val="18"/>
          <w:szCs w:val="18"/>
        </w:rPr>
        <w:t xml:space="preserve"> ma prawo być sądzony w rozsądnym terminie albo zwolniony na czas postępowania. Zwolnienie może zostać uzależnione od udzielenia gwarancji zapewniających stawienie się na rozprawę</w:t>
      </w:r>
      <w:r>
        <w:t>”.</w:t>
      </w:r>
    </w:p>
    <w:p w14:paraId="7B4BC6EB" w14:textId="34DB6C3E" w:rsidR="00E352B3" w:rsidRDefault="00677443">
      <w:pPr>
        <w:pStyle w:val="JuPara"/>
      </w:pPr>
      <w:r>
        <w:rPr>
          <w:noProof/>
        </w:rPr>
        <w:t>7</w:t>
      </w:r>
      <w:r>
        <w:t>.</w:t>
      </w:r>
      <w:r w:rsidR="004D2C9B">
        <w:t xml:space="preserve"> </w:t>
      </w:r>
      <w:r>
        <w:t xml:space="preserve">Trybunał zauważa, że zasady </w:t>
      </w:r>
      <w:r w:rsidR="00DA2F7E">
        <w:t xml:space="preserve">ogólne </w:t>
      </w:r>
      <w:r>
        <w:t xml:space="preserve">dotyczące prawa do </w:t>
      </w:r>
      <w:r w:rsidR="001C4929">
        <w:t xml:space="preserve">bycia sądzonym </w:t>
      </w:r>
      <w:r>
        <w:t>w rozsądnym terminie albo zwolnienia na czas postępowania, zagwarantowane</w:t>
      </w:r>
      <w:r w:rsidR="00DA2F7E">
        <w:t>go</w:t>
      </w:r>
      <w:r>
        <w:t xml:space="preserve"> w art. 5 ust. 3 Konwencji, zostały określone w szeregu jego wcześniejszych wyroków (zob. między innymi </w:t>
      </w:r>
      <w:r>
        <w:rPr>
          <w:i/>
        </w:rPr>
        <w:t>Kudła przeciwko Polsce</w:t>
      </w:r>
      <w:r>
        <w:t xml:space="preserve"> [WI], skarga nr 30210/96, </w:t>
      </w:r>
      <w:r w:rsidR="00DA2F7E">
        <w:rPr>
          <w:rFonts w:cstheme="minorHAnsi"/>
        </w:rPr>
        <w:t>§</w:t>
      </w:r>
      <w:r w:rsidR="00DA2F7E">
        <w:t xml:space="preserve"> </w:t>
      </w:r>
      <w:r>
        <w:t>110, ETPC 2000</w:t>
      </w:r>
      <w:r>
        <w:noBreakHyphen/>
        <w:t xml:space="preserve">XI oraz </w:t>
      </w:r>
      <w:proofErr w:type="spellStart"/>
      <w:r>
        <w:rPr>
          <w:i/>
        </w:rPr>
        <w:t>McKay</w:t>
      </w:r>
      <w:proofErr w:type="spellEnd"/>
      <w:r>
        <w:rPr>
          <w:i/>
        </w:rPr>
        <w:t xml:space="preserve"> przeciwko </w:t>
      </w:r>
      <w:r>
        <w:rPr>
          <w:i/>
        </w:rPr>
        <w:lastRenderedPageBreak/>
        <w:t>Zjednoczonemu</w:t>
      </w:r>
      <w:r w:rsidR="00B7228E">
        <w:rPr>
          <w:i/>
        </w:rPr>
        <w:t xml:space="preserve"> </w:t>
      </w:r>
      <w:r>
        <w:rPr>
          <w:i/>
        </w:rPr>
        <w:t>Królestwu</w:t>
      </w:r>
      <w:r>
        <w:t xml:space="preserve"> [WI], skarga nr 543/03, </w:t>
      </w:r>
      <w:r w:rsidR="00DA2F7E">
        <w:rPr>
          <w:rFonts w:cstheme="minorHAnsi"/>
        </w:rPr>
        <w:t>§§</w:t>
      </w:r>
      <w:r>
        <w:t> 41–44, ETPC 2006</w:t>
      </w:r>
      <w:r>
        <w:noBreakHyphen/>
        <w:t>X, z przytoczonymi odesłaniami).</w:t>
      </w:r>
    </w:p>
    <w:p w14:paraId="251B1FBB" w14:textId="25B743DF" w:rsidR="00E352B3" w:rsidRDefault="00677443">
      <w:pPr>
        <w:pStyle w:val="JuPara"/>
      </w:pPr>
      <w:r>
        <w:rPr>
          <w:noProof/>
        </w:rPr>
        <w:t>8</w:t>
      </w:r>
      <w:r>
        <w:t>.</w:t>
      </w:r>
      <w:r w:rsidR="004D2C9B">
        <w:t xml:space="preserve"> </w:t>
      </w:r>
      <w:r>
        <w:t xml:space="preserve">W sprawach wiodących – </w:t>
      </w:r>
      <w:proofErr w:type="spellStart"/>
      <w:r>
        <w:rPr>
          <w:i/>
        </w:rPr>
        <w:t>Kauczor</w:t>
      </w:r>
      <w:proofErr w:type="spellEnd"/>
      <w:r>
        <w:rPr>
          <w:i/>
        </w:rPr>
        <w:t xml:space="preserve"> przeciwko Polsce, </w:t>
      </w:r>
      <w:r>
        <w:t>skarga nr 45219/06, wyrok z</w:t>
      </w:r>
      <w:r w:rsidR="004D2C9B">
        <w:t xml:space="preserve"> </w:t>
      </w:r>
      <w:r>
        <w:t xml:space="preserve">3 lutego 2009 r. oraz </w:t>
      </w:r>
      <w:proofErr w:type="spellStart"/>
      <w:r>
        <w:rPr>
          <w:i/>
        </w:rPr>
        <w:t>Celejewski</w:t>
      </w:r>
      <w:proofErr w:type="spellEnd"/>
      <w:r>
        <w:rPr>
          <w:i/>
        </w:rPr>
        <w:t xml:space="preserve"> przeciwko Polsce, </w:t>
      </w:r>
      <w:r>
        <w:t xml:space="preserve">skarga nr 17584/04, wyrok z 4 maja 2006 r. – Trybunał </w:t>
      </w:r>
      <w:r w:rsidR="00B7228E">
        <w:t>stwierdzał</w:t>
      </w:r>
      <w:r>
        <w:t xml:space="preserve"> już naruszenie w odniesieniu do podobnych zagadnień jak w niniejszej sprawie.</w:t>
      </w:r>
    </w:p>
    <w:p w14:paraId="1C9D143D" w14:textId="4F994886" w:rsidR="00E352B3" w:rsidRDefault="00677443">
      <w:pPr>
        <w:pStyle w:val="JuPara"/>
      </w:pPr>
      <w:r>
        <w:rPr>
          <w:noProof/>
        </w:rPr>
        <w:t>9</w:t>
      </w:r>
      <w:r>
        <w:t>.</w:t>
      </w:r>
      <w:r w:rsidR="004D2C9B">
        <w:t xml:space="preserve"> </w:t>
      </w:r>
      <w:r>
        <w:t>Zapoznawszy się z </w:t>
      </w:r>
      <w:r w:rsidR="00B7228E">
        <w:t xml:space="preserve">całym </w:t>
      </w:r>
      <w:r>
        <w:t>przedłożonym mu materiałem, Trybunał nie</w:t>
      </w:r>
      <w:r w:rsidR="006E58CA">
        <w:t> </w:t>
      </w:r>
      <w:r>
        <w:t>stwierdz</w:t>
      </w:r>
      <w:r w:rsidR="00DA2F7E">
        <w:t>a</w:t>
      </w:r>
      <w:r>
        <w:t xml:space="preserve"> żadnych okoliczności faktycznych ani argumentów, które skłoniłyby go do odmiennego wniosku w przedmiocie dopuszczalności i </w:t>
      </w:r>
      <w:r w:rsidR="00DA2F7E">
        <w:t>przedmiotu</w:t>
      </w:r>
      <w:r w:rsidR="00B7228E">
        <w:t xml:space="preserve"> </w:t>
      </w:r>
      <w:r>
        <w:t>tych zarzutów. Mając na uwadze własne orzecznictwo w tej kwestii, Trybunał uznaje, że w niniejszej sprawie długość tymczasowego aresztowania skarżącego była nadmierna.</w:t>
      </w:r>
    </w:p>
    <w:p w14:paraId="511E30B1" w14:textId="54796DCE" w:rsidR="00E352B3" w:rsidRDefault="00677443">
      <w:pPr>
        <w:pStyle w:val="JuPara"/>
      </w:pPr>
      <w:r>
        <w:rPr>
          <w:noProof/>
        </w:rPr>
        <w:t>10</w:t>
      </w:r>
      <w:r>
        <w:t>.</w:t>
      </w:r>
      <w:r w:rsidR="004D2C9B">
        <w:t xml:space="preserve"> </w:t>
      </w:r>
      <w:r>
        <w:t>Zarzuty są zatem dopuszczalne i wskazują na naruszenie art. 5 ust. 3 Konwencji.</w:t>
      </w:r>
    </w:p>
    <w:p w14:paraId="0E3EC98D" w14:textId="77777777" w:rsidR="00E352B3" w:rsidRDefault="00677443">
      <w:pPr>
        <w:pStyle w:val="JuHIRoman"/>
      </w:pPr>
      <w:r>
        <w:t>ZASTOSOWANIE ART. 41 KONWENCJI</w:t>
      </w:r>
    </w:p>
    <w:p w14:paraId="19C6D222" w14:textId="44086CE5" w:rsidR="00E352B3" w:rsidRDefault="00677443">
      <w:pPr>
        <w:pStyle w:val="JuPara"/>
      </w:pPr>
      <w:r>
        <w:rPr>
          <w:noProof/>
        </w:rPr>
        <w:t>11</w:t>
      </w:r>
      <w:r>
        <w:t>.</w:t>
      </w:r>
      <w:r w:rsidR="004D2C9B">
        <w:t xml:space="preserve"> </w:t>
      </w:r>
      <w:r>
        <w:t>Artykuł 41 Konwencji stanowi:</w:t>
      </w:r>
    </w:p>
    <w:p w14:paraId="7B7826C2" w14:textId="7658ADD1" w:rsidR="00E352B3" w:rsidRDefault="00677443">
      <w:pPr>
        <w:pStyle w:val="JuQuot"/>
        <w:keepNext/>
        <w:keepLines/>
      </w:pPr>
      <w:r>
        <w:t>„</w:t>
      </w:r>
      <w:r w:rsidR="00DA2F7E" w:rsidRPr="00DA2F7E">
        <w:t>Jeśli Trybunał stwierdzi, że nastąpiło naruszenie Konwencji lub jej Protokołów, oraz</w:t>
      </w:r>
      <w:r w:rsidR="006E58CA">
        <w:t> </w:t>
      </w:r>
      <w:r w:rsidR="00DA2F7E" w:rsidRPr="00DA2F7E">
        <w:t>jeśli prawo wewnętrzne zainteresowanej Wysokiej Układającej się Strony pozwala tylko na częściowe usunięcie konsekwencji tego naruszenia, Trybunał orzeka, gdy</w:t>
      </w:r>
      <w:r w:rsidR="006E58CA">
        <w:t> </w:t>
      </w:r>
      <w:r w:rsidR="00DA2F7E" w:rsidRPr="00DA2F7E">
        <w:t>zachodzi potrzeba, słuszne zadośćuczynienie pokrzywdzonej stronie</w:t>
      </w:r>
      <w:r>
        <w:t>”.</w:t>
      </w:r>
    </w:p>
    <w:p w14:paraId="4B73DA76" w14:textId="2E270FCB" w:rsidR="00E352B3" w:rsidRDefault="00677443">
      <w:pPr>
        <w:pStyle w:val="JuPara"/>
      </w:pPr>
      <w:r>
        <w:rPr>
          <w:noProof/>
        </w:rPr>
        <w:t>12</w:t>
      </w:r>
      <w:r>
        <w:t>.</w:t>
      </w:r>
      <w:r w:rsidR="004D2C9B">
        <w:t xml:space="preserve"> </w:t>
      </w:r>
      <w:r>
        <w:t xml:space="preserve">W świetle posiadanych dokumentów i swojego orzecznictwa (zob. w szczególności wyrok </w:t>
      </w:r>
      <w:r w:rsidR="002212D4">
        <w:t xml:space="preserve">w sprawie </w:t>
      </w:r>
      <w:proofErr w:type="spellStart"/>
      <w:r>
        <w:rPr>
          <w:i/>
        </w:rPr>
        <w:t>Kauczor</w:t>
      </w:r>
      <w:proofErr w:type="spellEnd"/>
      <w:r>
        <w:t xml:space="preserve">, </w:t>
      </w:r>
      <w:r w:rsidR="00B7228E" w:rsidRPr="001E41B0">
        <w:t>cyt. pow</w:t>
      </w:r>
      <w:r w:rsidR="00B7228E">
        <w:rPr>
          <w:i/>
          <w:iCs/>
        </w:rPr>
        <w:t>.</w:t>
      </w:r>
      <w:r>
        <w:t>) Trybunał uznaje za słuszne przyznanie kwot określonych w załączonej tabeli.</w:t>
      </w:r>
    </w:p>
    <w:p w14:paraId="3690AF9E" w14:textId="21BFB853" w:rsidR="00E352B3" w:rsidRDefault="00677443">
      <w:pPr>
        <w:pStyle w:val="JuPara"/>
      </w:pPr>
      <w:r>
        <w:rPr>
          <w:noProof/>
        </w:rPr>
        <w:t>13</w:t>
      </w:r>
      <w:r>
        <w:t>.</w:t>
      </w:r>
      <w:r w:rsidR="004D2C9B">
        <w:t xml:space="preserve"> </w:t>
      </w:r>
      <w:r>
        <w:t>Trybunał nadto za słuszne uznaje wyznaczenie wysokości odsetek za zwłokę według stopy równej marginalnej stopie procentowej Europejskiego Banku Centralnego powiększonej o trzy punkty procentowe.</w:t>
      </w:r>
    </w:p>
    <w:p w14:paraId="67AE1690" w14:textId="77777777" w:rsidR="00E352B3" w:rsidRDefault="00677443">
      <w:pPr>
        <w:pStyle w:val="JuHHead"/>
        <w:spacing w:before="360" w:beforeAutospacing="0"/>
      </w:pPr>
      <w:r>
        <w:t>Z TYCH PRZYCZYN TRYBUNAŁ JEDNOGŁOŚNIE</w:t>
      </w:r>
    </w:p>
    <w:p w14:paraId="1CA48E2C" w14:textId="77777777" w:rsidR="00E352B3" w:rsidRDefault="00677443">
      <w:pPr>
        <w:pStyle w:val="JuList"/>
      </w:pPr>
      <w:r>
        <w:rPr>
          <w:i/>
        </w:rPr>
        <w:t xml:space="preserve">uznaje </w:t>
      </w:r>
      <w:r>
        <w:t>skargę za dopuszczalną;</w:t>
      </w:r>
    </w:p>
    <w:p w14:paraId="6FEEEB20" w14:textId="4DDE1F73" w:rsidR="00E352B3" w:rsidRDefault="00930EF6">
      <w:pPr>
        <w:pStyle w:val="JuList"/>
      </w:pPr>
      <w:r>
        <w:rPr>
          <w:i/>
        </w:rPr>
        <w:t>stwierdza</w:t>
      </w:r>
      <w:r w:rsidR="00677443">
        <w:t>, że skarga ujawnia naruszenie art. 5 ust. 3 Konwencji ze</w:t>
      </w:r>
      <w:r w:rsidR="006E58CA">
        <w:t> </w:t>
      </w:r>
      <w:r w:rsidR="00677443">
        <w:t xml:space="preserve">względu na </w:t>
      </w:r>
      <w:r>
        <w:t xml:space="preserve">nadmierną długość </w:t>
      </w:r>
      <w:r w:rsidR="00677443">
        <w:t>tymczasowego aresztowania;</w:t>
      </w:r>
    </w:p>
    <w:p w14:paraId="3BBF0CDB" w14:textId="77777777" w:rsidR="00E352B3" w:rsidRDefault="00677443">
      <w:pPr>
        <w:pStyle w:val="JuList"/>
      </w:pPr>
      <w:r>
        <w:rPr>
          <w:i/>
        </w:rPr>
        <w:t>orzeka</w:t>
      </w:r>
    </w:p>
    <w:p w14:paraId="2B5D0C7F" w14:textId="65312897" w:rsidR="00E352B3" w:rsidRDefault="00677443">
      <w:pPr>
        <w:pStyle w:val="JuLista"/>
      </w:pPr>
      <w:r>
        <w:t>że pozwane państwo winno, w terminie trzech miesięcy, uiścić na</w:t>
      </w:r>
      <w:r w:rsidR="006E58CA">
        <w:t> </w:t>
      </w:r>
      <w:r>
        <w:t>rzecz skarżącego kwoty określone w załączonej tabeli, przeliczone na walutę pozwanego państwa według kursu obowiązującego w dniu płatności;</w:t>
      </w:r>
    </w:p>
    <w:p w14:paraId="2BB51CEF" w14:textId="5A62A309" w:rsidR="00E352B3" w:rsidRDefault="00677443">
      <w:pPr>
        <w:pStyle w:val="JuLista"/>
      </w:pPr>
      <w:r>
        <w:t>że od upływu wyżej wskazanego terminu trzech miesięcy aż</w:t>
      </w:r>
      <w:r w:rsidR="006E58CA">
        <w:t> </w:t>
      </w:r>
      <w:bookmarkStart w:id="2" w:name="_GoBack"/>
      <w:bookmarkEnd w:id="2"/>
      <w:r>
        <w:t>do</w:t>
      </w:r>
      <w:r w:rsidR="006E58CA">
        <w:t> </w:t>
      </w:r>
      <w:r w:rsidR="00930EF6">
        <w:t>terminu płatności</w:t>
      </w:r>
      <w:r>
        <w:t xml:space="preserve"> należne będą odsetki zwykłe od określonych </w:t>
      </w:r>
      <w:r>
        <w:lastRenderedPageBreak/>
        <w:t>powyżej kwot, naliczone według stopy równej marginalnej stopie procentowej Europejskiego Banku Centralnego obowiązującej w tym okresie, powiększonej o trzy punkty procentowe.</w:t>
      </w:r>
    </w:p>
    <w:p w14:paraId="5E23CA86" w14:textId="1D9D8CD4" w:rsidR="00E352B3" w:rsidRDefault="00677443">
      <w:pPr>
        <w:pStyle w:val="JuParaLast"/>
      </w:pPr>
      <w:r>
        <w:t>Sporządzono w języku angielskim i</w:t>
      </w:r>
      <w:r w:rsidR="002212D4">
        <w:t xml:space="preserve"> </w:t>
      </w:r>
      <w:r>
        <w:t>obwieszczono pisemnie 27 października 2022 r.</w:t>
      </w:r>
      <w:r w:rsidR="00930EF6">
        <w:t>,</w:t>
      </w:r>
      <w:r>
        <w:t xml:space="preserve"> zgodnie z art. 77 § 2 i 3 Regulaminu Trybunału.</w:t>
      </w:r>
    </w:p>
    <w:p w14:paraId="1E1D5E62" w14:textId="77777777" w:rsidR="00E352B3" w:rsidRDefault="00677443">
      <w:pPr>
        <w:pStyle w:val="ECHRPlaceholder"/>
        <w:rPr>
          <w:szCs w:val="22"/>
        </w:rPr>
      </w:pPr>
      <w:r>
        <w:tab/>
      </w:r>
    </w:p>
    <w:p w14:paraId="67BA9810" w14:textId="77777777" w:rsidR="00E352B3" w:rsidRDefault="00677443">
      <w:pPr>
        <w:pStyle w:val="JuSigned"/>
        <w:rPr>
          <w:rFonts w:eastAsia="PMingLiU"/>
        </w:rPr>
      </w:pPr>
      <w:r>
        <w:tab/>
      </w:r>
      <w:proofErr w:type="spellStart"/>
      <w:r>
        <w:t>Viktoriya</w:t>
      </w:r>
      <w:proofErr w:type="spellEnd"/>
      <w:r>
        <w:t xml:space="preserve"> </w:t>
      </w:r>
      <w:proofErr w:type="spellStart"/>
      <w:r>
        <w:t>Maradudina</w:t>
      </w:r>
      <w:proofErr w:type="spellEnd"/>
      <w:r>
        <w:tab/>
        <w:t xml:space="preserve">Erik </w:t>
      </w:r>
      <w:proofErr w:type="spellStart"/>
      <w:r>
        <w:t>Wennerström</w:t>
      </w:r>
      <w:proofErr w:type="spellEnd"/>
    </w:p>
    <w:p w14:paraId="7C687C12" w14:textId="469A43E6" w:rsidR="00E352B3" w:rsidRDefault="00677443">
      <w:pPr>
        <w:pStyle w:val="JuSigned"/>
        <w:contextualSpacing/>
        <w:rPr>
          <w:rFonts w:eastAsia="PMingLiU"/>
        </w:rPr>
      </w:pPr>
      <w:r>
        <w:tab/>
        <w:t xml:space="preserve">p.o. </w:t>
      </w:r>
      <w:r w:rsidR="002212D4">
        <w:t>Zastępca</w:t>
      </w:r>
      <w:r w:rsidR="00930EF6">
        <w:t xml:space="preserve"> Kanclerza</w:t>
      </w:r>
      <w:r>
        <w:tab/>
      </w:r>
      <w:r w:rsidR="00930EF6">
        <w:t>P</w:t>
      </w:r>
      <w:r>
        <w:t>rzewodniczący</w:t>
      </w:r>
    </w:p>
    <w:p w14:paraId="4F6CABB5" w14:textId="77777777" w:rsidR="00E352B3" w:rsidRDefault="00E352B3">
      <w:pPr>
        <w:rPr>
          <w:rFonts w:eastAsia="PMingLiU"/>
        </w:rPr>
      </w:pPr>
    </w:p>
    <w:p w14:paraId="1704319F" w14:textId="77777777" w:rsidR="00E352B3" w:rsidRDefault="00677443">
      <w:pPr>
        <w:pStyle w:val="JuSigned"/>
        <w:tabs>
          <w:tab w:val="left" w:pos="5115"/>
        </w:tabs>
        <w:contextualSpacing/>
        <w:rPr>
          <w:rFonts w:eastAsia="PMingLiU"/>
        </w:rPr>
      </w:pPr>
      <w:r>
        <w:tab/>
      </w:r>
    </w:p>
    <w:p w14:paraId="16F065B3" w14:textId="77777777" w:rsidR="00E352B3" w:rsidRDefault="00E352B3">
      <w:pPr>
        <w:pStyle w:val="JuSigned"/>
        <w:tabs>
          <w:tab w:val="center" w:pos="1134"/>
        </w:tabs>
        <w:contextualSpacing/>
        <w:rPr>
          <w:rFonts w:eastAsia="PMingLiU"/>
        </w:rPr>
      </w:pPr>
    </w:p>
    <w:p w14:paraId="1F7A3BB4" w14:textId="77777777" w:rsidR="00E352B3" w:rsidRDefault="00E352B3">
      <w:pPr>
        <w:pStyle w:val="JuParaLast"/>
        <w:sectPr w:rsidR="00E352B3">
          <w:headerReference w:type="even" r:id="rId13"/>
          <w:headerReference w:type="default" r:id="rId14"/>
          <w:footnotePr>
            <w:numRestart w:val="eachPage"/>
          </w:footnotePr>
          <w:endnotePr>
            <w:numFmt w:val="decimal"/>
          </w:endnotePr>
          <w:type w:val="oddPage"/>
          <w:pgSz w:w="11906" w:h="16838" w:code="9"/>
          <w:pgMar w:top="2274" w:right="2274" w:bottom="2274" w:left="2274" w:header="1701" w:footer="720" w:gutter="0"/>
          <w:pgNumType w:start="1"/>
          <w:cols w:space="720"/>
          <w:docGrid w:linePitch="326"/>
        </w:sectPr>
      </w:pPr>
    </w:p>
    <w:p w14:paraId="2F511A4B" w14:textId="77777777" w:rsidR="00E352B3" w:rsidRDefault="00677443">
      <w:pPr>
        <w:pStyle w:val="DecHTitle"/>
      </w:pPr>
      <w:r>
        <w:lastRenderedPageBreak/>
        <w:t>ZAŁĄCZNIK</w:t>
      </w:r>
    </w:p>
    <w:p w14:paraId="556A8809" w14:textId="77777777" w:rsidR="00E352B3" w:rsidRDefault="00677443">
      <w:pPr>
        <w:pStyle w:val="DecHCase"/>
        <w:contextualSpacing/>
        <w:rPr>
          <w:b/>
          <w:i/>
          <w:color w:val="3E3E3E" w:themeColor="background2" w:themeShade="40"/>
        </w:rPr>
      </w:pPr>
      <w:r>
        <w:rPr>
          <w:color w:val="3E3E3E" w:themeColor="background2" w:themeShade="40"/>
        </w:rPr>
        <w:t>Skarga zawierająca zarzuty na podstawie art. 5 ust. 3 Konwencji</w:t>
      </w:r>
    </w:p>
    <w:p w14:paraId="72F1A479" w14:textId="77777777" w:rsidR="00E352B3" w:rsidRDefault="00677443">
      <w:pPr>
        <w:pStyle w:val="DecHCase"/>
        <w:contextualSpacing/>
        <w:rPr>
          <w:b/>
          <w:i/>
        </w:rPr>
      </w:pPr>
      <w:r>
        <w:rPr>
          <w:color w:val="3E3E3E" w:themeColor="background2" w:themeShade="40"/>
        </w:rPr>
        <w:t>(przewlekłość tymczasowego aresztowania)</w:t>
      </w:r>
    </w:p>
    <w:tbl>
      <w:tblPr>
        <w:tblStyle w:val="ECHRListTable"/>
        <w:tblW w:w="14486" w:type="dxa"/>
        <w:tblInd w:w="-883" w:type="dxa"/>
        <w:tblLayout w:type="fixed"/>
        <w:tblLook w:val="0420" w:firstRow="1" w:lastRow="0" w:firstColumn="0" w:lastColumn="0" w:noHBand="0" w:noVBand="1"/>
      </w:tblPr>
      <w:tblGrid>
        <w:gridCol w:w="1070"/>
        <w:gridCol w:w="1031"/>
        <w:gridCol w:w="1417"/>
        <w:gridCol w:w="1471"/>
        <w:gridCol w:w="2268"/>
        <w:gridCol w:w="1276"/>
        <w:gridCol w:w="2977"/>
        <w:gridCol w:w="1559"/>
        <w:gridCol w:w="1417"/>
      </w:tblGrid>
      <w:tr w:rsidR="00E352B3" w14:paraId="20C66F9E" w14:textId="77777777" w:rsidTr="00E352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070" w:type="dxa"/>
          </w:tcPr>
          <w:p w14:paraId="3B3FA2AE" w14:textId="77777777" w:rsidR="00E352B3" w:rsidRDefault="00677443">
            <w:pPr>
              <w:jc w:val="center"/>
              <w:rPr>
                <w:sz w:val="16"/>
              </w:rPr>
            </w:pPr>
            <w:bookmarkStart w:id="3" w:name="WECLListStart"/>
            <w:bookmarkEnd w:id="3"/>
            <w:r>
              <w:rPr>
                <w:sz w:val="16"/>
              </w:rPr>
              <w:t>Numer skargi</w:t>
            </w:r>
          </w:p>
          <w:p w14:paraId="1350B645" w14:textId="77777777" w:rsidR="00E352B3" w:rsidRDefault="00677443">
            <w:pPr>
              <w:jc w:val="center"/>
              <w:rPr>
                <w:sz w:val="16"/>
              </w:rPr>
            </w:pPr>
            <w:r>
              <w:rPr>
                <w:sz w:val="16"/>
              </w:rPr>
              <w:t>Data wpływu</w:t>
            </w:r>
          </w:p>
        </w:tc>
        <w:tc>
          <w:tcPr>
            <w:tcW w:w="1031" w:type="dxa"/>
          </w:tcPr>
          <w:p w14:paraId="1A6D2C5E" w14:textId="77777777" w:rsidR="00E352B3" w:rsidRDefault="00677443">
            <w:pPr>
              <w:jc w:val="center"/>
              <w:rPr>
                <w:sz w:val="16"/>
              </w:rPr>
            </w:pPr>
            <w:r>
              <w:rPr>
                <w:sz w:val="16"/>
              </w:rPr>
              <w:t>Imię i nazwisko skarżącego</w:t>
            </w:r>
          </w:p>
          <w:p w14:paraId="694BC792" w14:textId="77777777" w:rsidR="00E352B3" w:rsidRDefault="00677443">
            <w:pPr>
              <w:jc w:val="center"/>
              <w:rPr>
                <w:sz w:val="16"/>
              </w:rPr>
            </w:pPr>
            <w:r>
              <w:rPr>
                <w:sz w:val="16"/>
              </w:rPr>
              <w:t>Rok urodzenia</w:t>
            </w:r>
          </w:p>
          <w:p w14:paraId="1B341970" w14:textId="77777777" w:rsidR="00E352B3" w:rsidRDefault="00E352B3">
            <w:pPr>
              <w:jc w:val="center"/>
              <w:rPr>
                <w:sz w:val="16"/>
              </w:rPr>
            </w:pPr>
          </w:p>
        </w:tc>
        <w:tc>
          <w:tcPr>
            <w:tcW w:w="1417" w:type="dxa"/>
          </w:tcPr>
          <w:p w14:paraId="38C098A8" w14:textId="77777777" w:rsidR="00E352B3" w:rsidRDefault="00677443">
            <w:pPr>
              <w:jc w:val="center"/>
              <w:rPr>
                <w:sz w:val="16"/>
              </w:rPr>
            </w:pPr>
            <w:r>
              <w:rPr>
                <w:sz w:val="16"/>
              </w:rPr>
              <w:t>Imię i nazwisko oraz miejsce praktyki pełnomocnika</w:t>
            </w:r>
          </w:p>
        </w:tc>
        <w:tc>
          <w:tcPr>
            <w:tcW w:w="1471" w:type="dxa"/>
          </w:tcPr>
          <w:p w14:paraId="4FAD3CFF" w14:textId="77777777" w:rsidR="00E352B3" w:rsidRDefault="00677443">
            <w:pPr>
              <w:jc w:val="center"/>
              <w:rPr>
                <w:sz w:val="16"/>
              </w:rPr>
            </w:pPr>
            <w:r>
              <w:rPr>
                <w:sz w:val="16"/>
              </w:rPr>
              <w:t>Okres tymczasowego aresztowania</w:t>
            </w:r>
          </w:p>
        </w:tc>
        <w:tc>
          <w:tcPr>
            <w:tcW w:w="2268" w:type="dxa"/>
          </w:tcPr>
          <w:p w14:paraId="4409E5EB" w14:textId="77777777" w:rsidR="00E352B3" w:rsidRDefault="00677443">
            <w:pPr>
              <w:jc w:val="center"/>
              <w:rPr>
                <w:sz w:val="16"/>
              </w:rPr>
            </w:pPr>
            <w:r>
              <w:rPr>
                <w:sz w:val="16"/>
              </w:rPr>
              <w:t>Sąd, który wydał postanowienie w przedmiocie tymczasowego aresztowania / rozpatrywał zażalenie</w:t>
            </w:r>
          </w:p>
        </w:tc>
        <w:tc>
          <w:tcPr>
            <w:tcW w:w="1276" w:type="dxa"/>
          </w:tcPr>
          <w:p w14:paraId="4AC635B2" w14:textId="77777777" w:rsidR="00E352B3" w:rsidRDefault="00677443">
            <w:pPr>
              <w:jc w:val="center"/>
              <w:rPr>
                <w:sz w:val="16"/>
              </w:rPr>
            </w:pPr>
            <w:r>
              <w:rPr>
                <w:sz w:val="16"/>
              </w:rPr>
              <w:t>Długość tymczasowego aresztowania</w:t>
            </w:r>
          </w:p>
        </w:tc>
        <w:tc>
          <w:tcPr>
            <w:tcW w:w="2977" w:type="dxa"/>
          </w:tcPr>
          <w:p w14:paraId="3106D8E3" w14:textId="77777777" w:rsidR="00E352B3" w:rsidRDefault="00677443">
            <w:pPr>
              <w:jc w:val="center"/>
              <w:rPr>
                <w:sz w:val="16"/>
              </w:rPr>
            </w:pPr>
            <w:r>
              <w:rPr>
                <w:sz w:val="16"/>
              </w:rPr>
              <w:t>Konkretne uchybienia</w:t>
            </w:r>
          </w:p>
        </w:tc>
        <w:tc>
          <w:tcPr>
            <w:tcW w:w="1559" w:type="dxa"/>
          </w:tcPr>
          <w:p w14:paraId="6EBB5387" w14:textId="77777777" w:rsidR="00E352B3" w:rsidRDefault="00677443">
            <w:pPr>
              <w:jc w:val="center"/>
              <w:rPr>
                <w:sz w:val="16"/>
              </w:rPr>
            </w:pPr>
            <w:r>
              <w:rPr>
                <w:sz w:val="16"/>
              </w:rPr>
              <w:t>Kwota przyznana z tytułu szkody majątkowej i niemajątkowej przypadająca na skarżącego</w:t>
            </w:r>
          </w:p>
          <w:p w14:paraId="238064CB" w14:textId="77777777" w:rsidR="00E352B3" w:rsidRDefault="00677443">
            <w:pPr>
              <w:jc w:val="center"/>
              <w:rPr>
                <w:sz w:val="16"/>
              </w:rPr>
            </w:pPr>
            <w:r>
              <w:rPr>
                <w:sz w:val="16"/>
              </w:rPr>
              <w:t>(w EUR)</w:t>
            </w:r>
            <w:r>
              <w:rPr>
                <w:rStyle w:val="Odwoanieprzypisudolnego"/>
                <w:sz w:val="16"/>
              </w:rPr>
              <w:footnoteReference w:id="1"/>
            </w:r>
          </w:p>
        </w:tc>
        <w:tc>
          <w:tcPr>
            <w:tcW w:w="1417" w:type="dxa"/>
          </w:tcPr>
          <w:p w14:paraId="0FA7983D" w14:textId="77777777" w:rsidR="00E352B3" w:rsidRDefault="00677443">
            <w:pPr>
              <w:jc w:val="center"/>
              <w:rPr>
                <w:sz w:val="16"/>
              </w:rPr>
            </w:pPr>
            <w:r>
              <w:rPr>
                <w:sz w:val="16"/>
              </w:rPr>
              <w:t>Kwota przyznana z tytułu kosztów i wydatków przypadająca na skargę</w:t>
            </w:r>
          </w:p>
          <w:p w14:paraId="2B88237E" w14:textId="77777777" w:rsidR="00E352B3" w:rsidRDefault="00677443">
            <w:pPr>
              <w:jc w:val="center"/>
              <w:rPr>
                <w:sz w:val="16"/>
              </w:rPr>
            </w:pPr>
            <w:r>
              <w:rPr>
                <w:sz w:val="16"/>
              </w:rPr>
              <w:t>(w EUR)</w:t>
            </w:r>
            <w:r>
              <w:rPr>
                <w:rStyle w:val="Odwoanieprzypisudolnego"/>
                <w:sz w:val="16"/>
              </w:rPr>
              <w:footnoteReference w:id="2"/>
            </w:r>
          </w:p>
        </w:tc>
      </w:tr>
      <w:tr w:rsidR="00E352B3" w14:paraId="4CD512C4" w14:textId="77777777" w:rsidTr="00E352B3">
        <w:tc>
          <w:tcPr>
            <w:tcW w:w="1070" w:type="dxa"/>
          </w:tcPr>
          <w:p w14:paraId="77B4C7E1" w14:textId="77777777" w:rsidR="00E352B3" w:rsidRDefault="00677443">
            <w:pPr>
              <w:jc w:val="center"/>
              <w:rPr>
                <w:sz w:val="16"/>
              </w:rPr>
            </w:pPr>
            <w:r>
              <w:rPr>
                <w:sz w:val="16"/>
              </w:rPr>
              <w:t>79509/17</w:t>
            </w:r>
          </w:p>
          <w:p w14:paraId="6D64E784" w14:textId="77777777" w:rsidR="00E352B3" w:rsidRDefault="00677443">
            <w:pPr>
              <w:jc w:val="center"/>
              <w:rPr>
                <w:sz w:val="16"/>
              </w:rPr>
            </w:pPr>
            <w:r>
              <w:rPr>
                <w:sz w:val="16"/>
              </w:rPr>
              <w:t>09.11.2017 r.</w:t>
            </w:r>
          </w:p>
        </w:tc>
        <w:tc>
          <w:tcPr>
            <w:tcW w:w="1031" w:type="dxa"/>
          </w:tcPr>
          <w:p w14:paraId="531298A1" w14:textId="77777777" w:rsidR="00E352B3" w:rsidRDefault="00677443">
            <w:pPr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Tomasz Zbigniew RUSSJAN</w:t>
            </w:r>
          </w:p>
          <w:p w14:paraId="0B764510" w14:textId="77777777" w:rsidR="00E352B3" w:rsidRDefault="00677443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1970 </w:t>
            </w:r>
          </w:p>
        </w:tc>
        <w:tc>
          <w:tcPr>
            <w:tcW w:w="1417" w:type="dxa"/>
          </w:tcPr>
          <w:p w14:paraId="534431DB" w14:textId="77777777" w:rsidR="00E352B3" w:rsidRDefault="00677443">
            <w:pPr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Szocik</w:t>
            </w:r>
            <w:proofErr w:type="spellEnd"/>
            <w:r>
              <w:rPr>
                <w:sz w:val="16"/>
              </w:rPr>
              <w:t xml:space="preserve"> Krzysztof</w:t>
            </w:r>
          </w:p>
          <w:p w14:paraId="7A397D7D" w14:textId="77777777" w:rsidR="00E352B3" w:rsidRDefault="00677443">
            <w:pPr>
              <w:jc w:val="center"/>
              <w:rPr>
                <w:sz w:val="16"/>
              </w:rPr>
            </w:pPr>
            <w:r>
              <w:rPr>
                <w:sz w:val="16"/>
              </w:rPr>
              <w:t>Gdańsk</w:t>
            </w:r>
          </w:p>
        </w:tc>
        <w:tc>
          <w:tcPr>
            <w:tcW w:w="1471" w:type="dxa"/>
          </w:tcPr>
          <w:p w14:paraId="0A9029F0" w14:textId="77777777" w:rsidR="00E352B3" w:rsidRDefault="00677443">
            <w:pPr>
              <w:jc w:val="center"/>
              <w:rPr>
                <w:sz w:val="16"/>
              </w:rPr>
            </w:pPr>
            <w:r>
              <w:rPr>
                <w:sz w:val="16"/>
              </w:rPr>
              <w:t>26.01.2015 r.</w:t>
            </w:r>
          </w:p>
          <w:p w14:paraId="57A583AC" w14:textId="77777777" w:rsidR="00E352B3" w:rsidRDefault="00677443">
            <w:pPr>
              <w:jc w:val="center"/>
              <w:rPr>
                <w:sz w:val="16"/>
              </w:rPr>
            </w:pPr>
            <w:r>
              <w:rPr>
                <w:sz w:val="16"/>
              </w:rPr>
              <w:t>do</w:t>
            </w:r>
          </w:p>
          <w:p w14:paraId="03B95320" w14:textId="77777777" w:rsidR="00E352B3" w:rsidRDefault="00677443">
            <w:pPr>
              <w:jc w:val="center"/>
              <w:rPr>
                <w:sz w:val="16"/>
              </w:rPr>
            </w:pPr>
            <w:r>
              <w:rPr>
                <w:sz w:val="16"/>
              </w:rPr>
              <w:t>17.01.2020 r.</w:t>
            </w:r>
          </w:p>
        </w:tc>
        <w:tc>
          <w:tcPr>
            <w:tcW w:w="2268" w:type="dxa"/>
          </w:tcPr>
          <w:p w14:paraId="77B6ACD7" w14:textId="77777777" w:rsidR="00E352B3" w:rsidRDefault="00677443">
            <w:pPr>
              <w:jc w:val="center"/>
              <w:rPr>
                <w:sz w:val="16"/>
              </w:rPr>
            </w:pPr>
            <w:r>
              <w:rPr>
                <w:sz w:val="16"/>
              </w:rPr>
              <w:t>Sąd Rejonowy</w:t>
            </w:r>
          </w:p>
          <w:p w14:paraId="3611B97B" w14:textId="77777777" w:rsidR="00E352B3" w:rsidRDefault="00677443">
            <w:pPr>
              <w:jc w:val="center"/>
              <w:rPr>
                <w:sz w:val="16"/>
              </w:rPr>
            </w:pPr>
            <w:r>
              <w:rPr>
                <w:sz w:val="16"/>
              </w:rPr>
              <w:t>Gdańsk-Południe;</w:t>
            </w:r>
          </w:p>
          <w:p w14:paraId="61056372" w14:textId="77777777" w:rsidR="00E352B3" w:rsidRDefault="00677443">
            <w:pPr>
              <w:jc w:val="center"/>
              <w:rPr>
                <w:sz w:val="16"/>
              </w:rPr>
            </w:pPr>
            <w:r>
              <w:rPr>
                <w:sz w:val="16"/>
              </w:rPr>
              <w:t>27.01.2015 r.,</w:t>
            </w:r>
          </w:p>
          <w:p w14:paraId="26C4FC5C" w14:textId="77777777" w:rsidR="00E352B3" w:rsidRDefault="00677443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sygn. X </w:t>
            </w:r>
            <w:proofErr w:type="spellStart"/>
            <w:r>
              <w:rPr>
                <w:sz w:val="16"/>
              </w:rPr>
              <w:t>kp</w:t>
            </w:r>
            <w:proofErr w:type="spellEnd"/>
            <w:r>
              <w:rPr>
                <w:sz w:val="16"/>
              </w:rPr>
              <w:t xml:space="preserve"> 84/15</w:t>
            </w:r>
          </w:p>
          <w:p w14:paraId="6E121722" w14:textId="77777777" w:rsidR="00E352B3" w:rsidRDefault="00677443">
            <w:pPr>
              <w:jc w:val="center"/>
              <w:rPr>
                <w:sz w:val="16"/>
              </w:rPr>
            </w:pPr>
            <w:r>
              <w:rPr>
                <w:sz w:val="16"/>
              </w:rPr>
              <w:t>(pierwsze tymczasowe aresztowanie);</w:t>
            </w:r>
          </w:p>
          <w:p w14:paraId="470E58A8" w14:textId="77777777" w:rsidR="00E352B3" w:rsidRDefault="00677443">
            <w:pPr>
              <w:jc w:val="center"/>
              <w:rPr>
                <w:sz w:val="16"/>
              </w:rPr>
            </w:pPr>
            <w:r>
              <w:rPr>
                <w:sz w:val="16"/>
              </w:rPr>
              <w:t>Sąd Apelacyjny w Gdańsku, 19.12.2019 r.,</w:t>
            </w:r>
          </w:p>
          <w:p w14:paraId="0C6BEEB0" w14:textId="77777777" w:rsidR="00E352B3" w:rsidRDefault="00677443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sygn. II </w:t>
            </w:r>
            <w:proofErr w:type="spellStart"/>
            <w:r>
              <w:rPr>
                <w:sz w:val="16"/>
              </w:rPr>
              <w:t>AKp</w:t>
            </w:r>
            <w:proofErr w:type="spellEnd"/>
            <w:r>
              <w:rPr>
                <w:sz w:val="16"/>
              </w:rPr>
              <w:t xml:space="preserve"> 263/19 (przedłużenie tymczasowego aresztowania i ustalenie wysokości poręczenia majątkowego)</w:t>
            </w:r>
          </w:p>
        </w:tc>
        <w:tc>
          <w:tcPr>
            <w:tcW w:w="1276" w:type="dxa"/>
          </w:tcPr>
          <w:p w14:paraId="23B09E9F" w14:textId="77777777" w:rsidR="00E352B3" w:rsidRDefault="00677443">
            <w:pPr>
              <w:jc w:val="center"/>
              <w:rPr>
                <w:sz w:val="16"/>
              </w:rPr>
            </w:pPr>
            <w:r>
              <w:rPr>
                <w:sz w:val="16"/>
              </w:rPr>
              <w:t>4 lata 11 miesięcy i 23 dni</w:t>
            </w:r>
          </w:p>
          <w:p w14:paraId="49C1F495" w14:textId="77777777" w:rsidR="00E352B3" w:rsidRDefault="00E352B3">
            <w:pPr>
              <w:jc w:val="center"/>
              <w:rPr>
                <w:sz w:val="16"/>
              </w:rPr>
            </w:pPr>
          </w:p>
        </w:tc>
        <w:tc>
          <w:tcPr>
            <w:tcW w:w="2977" w:type="dxa"/>
          </w:tcPr>
          <w:p w14:paraId="30D0C229" w14:textId="6F36795B" w:rsidR="00E352B3" w:rsidRDefault="00677443">
            <w:pPr>
              <w:jc w:val="center"/>
              <w:rPr>
                <w:sz w:val="16"/>
              </w:rPr>
            </w:pPr>
            <w:r>
              <w:rPr>
                <w:sz w:val="16"/>
              </w:rPr>
              <w:t>posłużenie się</w:t>
            </w:r>
            <w:r w:rsidR="002212D4">
              <w:rPr>
                <w:sz w:val="16"/>
              </w:rPr>
              <w:t>, przy</w:t>
            </w:r>
            <w:r>
              <w:rPr>
                <w:sz w:val="16"/>
              </w:rPr>
              <w:t> braku podstaw dowodowych</w:t>
            </w:r>
            <w:r w:rsidR="002212D4">
              <w:rPr>
                <w:sz w:val="16"/>
              </w:rPr>
              <w:t>,</w:t>
            </w:r>
            <w:r>
              <w:rPr>
                <w:sz w:val="16"/>
              </w:rPr>
              <w:t xml:space="preserve"> założeniem ryzyka ucieczki lub utrudniania prawidłowego toku postępowania;</w:t>
            </w:r>
          </w:p>
          <w:p w14:paraId="53B5640D" w14:textId="77777777" w:rsidR="00E352B3" w:rsidRDefault="00677443">
            <w:pPr>
              <w:jc w:val="center"/>
              <w:rPr>
                <w:sz w:val="16"/>
              </w:rPr>
            </w:pPr>
            <w:r>
              <w:rPr>
                <w:sz w:val="16"/>
              </w:rPr>
              <w:t>niezbadanie możliwości zastosowania innych środków służących zabezpieczeniu stawiennictwa na rozprawie w miarę postępu sprawy;</w:t>
            </w:r>
          </w:p>
          <w:p w14:paraId="70CC39A9" w14:textId="77777777" w:rsidR="00E352B3" w:rsidRDefault="00677443">
            <w:pPr>
              <w:jc w:val="center"/>
              <w:rPr>
                <w:sz w:val="16"/>
              </w:rPr>
            </w:pPr>
            <w:r>
              <w:rPr>
                <w:sz w:val="16"/>
              </w:rPr>
              <w:t>kruchość argumentów i powtarzalność uzasadnienia przedstawianego przez sądy w miarę postępu sprawy;</w:t>
            </w:r>
          </w:p>
          <w:p w14:paraId="65CCFAA8" w14:textId="77777777" w:rsidR="00E352B3" w:rsidRDefault="00677443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sz w:val="16"/>
                <w:szCs w:val="16"/>
              </w:rPr>
            </w:pPr>
            <w:r>
              <w:rPr>
                <w:sz w:val="16"/>
              </w:rPr>
              <w:t>nienależyta staranność w prowadzeniu postępowania w okresie tymczasowego aresztowania</w:t>
            </w:r>
          </w:p>
        </w:tc>
        <w:tc>
          <w:tcPr>
            <w:tcW w:w="1559" w:type="dxa"/>
          </w:tcPr>
          <w:p w14:paraId="03B8FF63" w14:textId="7DDD7D19" w:rsidR="00E352B3" w:rsidRDefault="00677443" w:rsidP="002212D4">
            <w:pPr>
              <w:jc w:val="center"/>
              <w:rPr>
                <w:sz w:val="16"/>
              </w:rPr>
            </w:pPr>
            <w:r>
              <w:rPr>
                <w:sz w:val="16"/>
              </w:rPr>
              <w:t>4500</w:t>
            </w:r>
          </w:p>
        </w:tc>
        <w:tc>
          <w:tcPr>
            <w:tcW w:w="1417" w:type="dxa"/>
          </w:tcPr>
          <w:p w14:paraId="6B2A3235" w14:textId="77777777" w:rsidR="00E352B3" w:rsidRDefault="00677443">
            <w:pPr>
              <w:jc w:val="center"/>
              <w:rPr>
                <w:sz w:val="16"/>
              </w:rPr>
            </w:pPr>
            <w:r>
              <w:rPr>
                <w:sz w:val="16"/>
              </w:rPr>
              <w:t>250</w:t>
            </w:r>
          </w:p>
        </w:tc>
      </w:tr>
    </w:tbl>
    <w:p w14:paraId="253DB841" w14:textId="77777777" w:rsidR="00E352B3" w:rsidRDefault="00E352B3"/>
    <w:p w14:paraId="4BD2614A" w14:textId="77777777" w:rsidR="00E352B3" w:rsidRDefault="00E352B3"/>
    <w:sectPr w:rsidR="00E352B3">
      <w:headerReference w:type="even" r:id="rId15"/>
      <w:headerReference w:type="default" r:id="rId16"/>
      <w:footnotePr>
        <w:numRestart w:val="eachPage"/>
      </w:footnotePr>
      <w:endnotePr>
        <w:numFmt w:val="decimal"/>
      </w:endnotePr>
      <w:pgSz w:w="16838" w:h="11906" w:orient="landscape" w:code="9"/>
      <w:pgMar w:top="2274" w:right="2274" w:bottom="2274" w:left="2274" w:header="1701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48D370" w14:textId="77777777" w:rsidR="00DE0D51" w:rsidRDefault="00DE0D51">
      <w:r>
        <w:separator/>
      </w:r>
    </w:p>
  </w:endnote>
  <w:endnote w:type="continuationSeparator" w:id="0">
    <w:p w14:paraId="3DAB91C6" w14:textId="77777777" w:rsidR="00DE0D51" w:rsidRDefault="00DE0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NewRomanPS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23C698" w14:textId="04DA4069" w:rsidR="00E352B3" w:rsidRDefault="00677443">
    <w:pPr>
      <w:pStyle w:val="JuHeader"/>
    </w:pPr>
    <w:r>
      <w:fldChar w:fldCharType="begin"/>
    </w:r>
    <w:r>
      <w:instrText xml:space="preserve"> PAGE </w:instrText>
    </w:r>
    <w:r>
      <w:fldChar w:fldCharType="separate"/>
    </w:r>
    <w:r w:rsidR="006E58CA">
      <w:rPr>
        <w:noProof/>
      </w:rPr>
      <w:t>4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ACE0D6" w14:textId="3B2CC440" w:rsidR="00E352B3" w:rsidRDefault="00677443">
    <w:pPr>
      <w:pStyle w:val="JuHeader"/>
    </w:pPr>
    <w:r>
      <w:fldChar w:fldCharType="begin"/>
    </w:r>
    <w:r>
      <w:instrText xml:space="preserve"> PAGE </w:instrText>
    </w:r>
    <w:r>
      <w:fldChar w:fldCharType="separate"/>
    </w:r>
    <w:r w:rsidR="006E58CA">
      <w:rPr>
        <w:noProof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FF8E6C" w14:textId="77777777" w:rsidR="00E352B3" w:rsidRDefault="00677443">
    <w:pPr>
      <w:jc w:val="center"/>
    </w:pPr>
    <w:r>
      <w:rPr>
        <w:noProof/>
        <w:lang w:eastAsia="pl-PL"/>
      </w:rPr>
      <w:drawing>
        <wp:inline distT="0" distB="0" distL="0" distR="0" wp14:anchorId="5FD98F17" wp14:editId="38534317">
          <wp:extent cx="771525" cy="619125"/>
          <wp:effectExtent l="0" t="0" r="9525" b="9525"/>
          <wp:docPr id="22" name="Picture 22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D0795B5" w14:textId="77777777" w:rsidR="00E352B3" w:rsidRDefault="00E352B3">
    <w:pPr>
      <w:pStyle w:val="Stopka"/>
      <w:jc w:val="cen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DF01AF" w14:textId="77777777" w:rsidR="00DE0D51" w:rsidRDefault="00DE0D51">
      <w:r>
        <w:separator/>
      </w:r>
    </w:p>
  </w:footnote>
  <w:footnote w:type="continuationSeparator" w:id="0">
    <w:p w14:paraId="3EF63DBB" w14:textId="77777777" w:rsidR="00DE0D51" w:rsidRDefault="00DE0D51">
      <w:r>
        <w:continuationSeparator/>
      </w:r>
    </w:p>
  </w:footnote>
  <w:footnote w:id="1">
    <w:p w14:paraId="6D41AC1C" w14:textId="77777777" w:rsidR="00E352B3" w:rsidRDefault="00677443">
      <w:pPr>
        <w:pStyle w:val="Tekstprzypisudolnego"/>
      </w:pPr>
      <w:r>
        <w:rPr>
          <w:rStyle w:val="Odwoanieprzypisudolnego"/>
        </w:rPr>
        <w:footnoteRef/>
      </w:r>
      <w:r>
        <w:rPr>
          <w:rStyle w:val="Odwoanieprzypisudolnego"/>
        </w:rPr>
        <w:t xml:space="preserve"> </w:t>
      </w:r>
      <w:r>
        <w:t>Plus wszelkie podatki należne od skarżącego.</w:t>
      </w:r>
    </w:p>
  </w:footnote>
  <w:footnote w:id="2">
    <w:p w14:paraId="0B749773" w14:textId="77777777" w:rsidR="00E352B3" w:rsidRDefault="00677443">
      <w:pPr>
        <w:pStyle w:val="Tekstprzypisudolnego"/>
      </w:pPr>
      <w:r>
        <w:rPr>
          <w:rStyle w:val="Odwoanieprzypisudolnego"/>
        </w:rPr>
        <w:footnoteRef/>
      </w:r>
      <w:r>
        <w:rPr>
          <w:rStyle w:val="Odwoanieprzypisudolnego"/>
        </w:rPr>
        <w:t xml:space="preserve"> </w:t>
      </w:r>
      <w:r>
        <w:t>Plus wszelkie podatki należne od skarżącego.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C1AA76" w14:textId="77777777" w:rsidR="00E352B3" w:rsidRDefault="00677443">
    <w:pPr>
      <w:jc w:val="center"/>
    </w:pPr>
    <w:r>
      <w:rPr>
        <w:noProof/>
        <w:lang w:eastAsia="pl-PL"/>
      </w:rPr>
      <w:drawing>
        <wp:inline distT="0" distB="0" distL="0" distR="0" wp14:anchorId="6A050038" wp14:editId="5CE66359">
          <wp:extent cx="2962275" cy="1219200"/>
          <wp:effectExtent l="0" t="0" r="9525" b="0"/>
          <wp:docPr id="1" name="Picture 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DB56754" w14:textId="77777777" w:rsidR="00E352B3" w:rsidRDefault="00E352B3">
    <w:pPr>
      <w:jc w:val="center"/>
      <w:rPr>
        <w:sz w:val="4"/>
        <w:szCs w:val="4"/>
      </w:rPr>
    </w:pPr>
  </w:p>
  <w:p w14:paraId="1349E207" w14:textId="77777777" w:rsidR="00E352B3" w:rsidRDefault="00E352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C131E1" w14:textId="77777777" w:rsidR="00E352B3" w:rsidRDefault="00677443">
    <w:pPr>
      <w:jc w:val="center"/>
    </w:pPr>
    <w:r>
      <w:rPr>
        <w:noProof/>
        <w:lang w:eastAsia="pl-PL"/>
      </w:rPr>
      <w:drawing>
        <wp:inline distT="0" distB="0" distL="0" distR="0" wp14:anchorId="0D7E229B" wp14:editId="3B023C8C">
          <wp:extent cx="2962275" cy="1219200"/>
          <wp:effectExtent l="0" t="0" r="9525" b="0"/>
          <wp:docPr id="20" name="Picture 20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2A35F08" w14:textId="77777777" w:rsidR="00E352B3" w:rsidRDefault="00E352B3">
    <w:pPr>
      <w:jc w:val="center"/>
      <w:rPr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0CC576" w14:textId="2DCBA6D3" w:rsidR="00E352B3" w:rsidRDefault="00677443">
    <w:pPr>
      <w:pStyle w:val="JuHeader"/>
    </w:pPr>
    <w:r>
      <w:t xml:space="preserve">WYROK </w:t>
    </w:r>
    <w:r w:rsidR="004D2C9B">
      <w:t xml:space="preserve">w sprawie </w:t>
    </w:r>
    <w:proofErr w:type="spellStart"/>
    <w:r>
      <w:t>RUSSJAN</w:t>
    </w:r>
    <w:proofErr w:type="spellEnd"/>
    <w:r>
      <w:t xml:space="preserve"> przeciwko POLSCE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E4A917" w14:textId="32571974" w:rsidR="00E352B3" w:rsidRDefault="00677443">
    <w:pPr>
      <w:pStyle w:val="JuHeader"/>
    </w:pPr>
    <w:r>
      <w:t xml:space="preserve">WYROK </w:t>
    </w:r>
    <w:r w:rsidR="004D2C9B">
      <w:t xml:space="preserve">w sprawie </w:t>
    </w:r>
    <w:proofErr w:type="spellStart"/>
    <w:r>
      <w:t>RUSSJAN</w:t>
    </w:r>
    <w:proofErr w:type="spellEnd"/>
    <w:r>
      <w:t xml:space="preserve"> przeciwko POLSCE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8E2DCC" w14:textId="77777777" w:rsidR="00E352B3" w:rsidRDefault="00677443">
    <w:pPr>
      <w:pStyle w:val="JuHeader"/>
    </w:pPr>
    <w:r>
      <w:t>WYROK RUSSJAN przeciwko POLSCE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4CA2A6" w14:textId="77777777" w:rsidR="00E352B3" w:rsidRDefault="00677443">
    <w:pPr>
      <w:pStyle w:val="JuHeader"/>
    </w:pPr>
    <w:r>
      <w:t>WYROK RUSSJAN przeciwko POLSCE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48F2261"/>
    <w:multiLevelType w:val="multilevel"/>
    <w:tmpl w:val="C8FE6436"/>
    <w:numStyleLink w:val="ECHRA1StyleList"/>
  </w:abstractNum>
  <w:abstractNum w:abstractNumId="10" w15:restartNumberingAfterBreak="0">
    <w:nsid w:val="0C0F5BFC"/>
    <w:multiLevelType w:val="multilevel"/>
    <w:tmpl w:val="E2B270DC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69" w:hanging="369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1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6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7" w15:restartNumberingAfterBreak="0">
    <w:nsid w:val="67FD1241"/>
    <w:multiLevelType w:val="hybridMultilevel"/>
    <w:tmpl w:val="F6D86CC2"/>
    <w:lvl w:ilvl="0" w:tplc="A266A02A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DBDAD7E6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3C226494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DEE6C60C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6A96600A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E8B637C8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871CD07C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C28E35F2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DCA2DDEE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2"/>
  </w:num>
  <w:num w:numId="3">
    <w:abstractNumId w:val="11"/>
  </w:num>
  <w:num w:numId="4">
    <w:abstractNumId w:val="15"/>
  </w:num>
  <w:num w:numId="5">
    <w:abstractNumId w:val="13"/>
  </w:num>
  <w:num w:numId="6">
    <w:abstractNumId w:val="16"/>
  </w:num>
  <w:num w:numId="7">
    <w:abstractNumId w:val="15"/>
  </w:num>
  <w:num w:numId="8">
    <w:abstractNumId w:val="16"/>
  </w:num>
  <w:num w:numId="9">
    <w:abstractNumId w:val="10"/>
  </w:num>
  <w:num w:numId="10">
    <w:abstractNumId w:val="9"/>
  </w:num>
  <w:num w:numId="11">
    <w:abstractNumId w:val="17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8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pplicationsApp" w:val="-1"/>
    <w:docVar w:name="EMM" w:val="0"/>
    <w:docVar w:name="NBEMMDOC" w:val="0"/>
    <w:docVar w:name="Plural" w:val="0"/>
  </w:docVars>
  <w:rsids>
    <w:rsidRoot w:val="00E352B3"/>
    <w:rsid w:val="001C4929"/>
    <w:rsid w:val="001E41B0"/>
    <w:rsid w:val="002212D4"/>
    <w:rsid w:val="00233DF4"/>
    <w:rsid w:val="0028460C"/>
    <w:rsid w:val="003F1914"/>
    <w:rsid w:val="004D2C9B"/>
    <w:rsid w:val="005863FE"/>
    <w:rsid w:val="00677443"/>
    <w:rsid w:val="006E58CA"/>
    <w:rsid w:val="00930EF6"/>
    <w:rsid w:val="00B7228E"/>
    <w:rsid w:val="00DA2F7E"/>
    <w:rsid w:val="00DE0D51"/>
    <w:rsid w:val="00E35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DDE2F5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8" w:defSemiHidden="0" w:defUnhideWhenUsed="0" w:defQFormat="0" w:count="371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semiHidden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8"/>
    <w:semiHidden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8"/>
    <w:semiHidden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8"/>
    <w:semiHidden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8"/>
    <w:semiHidden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Pr>
      <w:rFonts w:ascii="Tahoma" w:hAnsi="Tahoma" w:cs="Tahoma"/>
      <w:sz w:val="16"/>
      <w:szCs w:val="16"/>
      <w:lang w:val="pl-PL"/>
    </w:rPr>
  </w:style>
  <w:style w:type="character" w:styleId="Tytuksiki">
    <w:name w:val="Book Title"/>
    <w:uiPriority w:val="98"/>
    <w:semiHidden/>
    <w:qFormat/>
    <w:rPr>
      <w:i/>
      <w:iCs/>
      <w:smallCaps/>
      <w:spacing w:val="5"/>
    </w:rPr>
  </w:style>
  <w:style w:type="paragraph" w:customStyle="1" w:styleId="JuHeader">
    <w:name w:val="Ju_Header"/>
    <w:aliases w:val="_Header"/>
    <w:basedOn w:val="Nagwek"/>
    <w:uiPriority w:val="29"/>
    <w:qFormat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DummyStyle">
    <w:name w:val="Dummy_Style"/>
    <w:aliases w:val="_Dummy"/>
    <w:basedOn w:val="Normalny"/>
    <w:semiHidden/>
    <w:qFormat/>
    <w:rPr>
      <w:color w:val="00B050"/>
      <w:sz w:val="22"/>
    </w:rPr>
  </w:style>
  <w:style w:type="character" w:styleId="Pogrubienie">
    <w:name w:val="Strong"/>
    <w:uiPriority w:val="98"/>
    <w:semiHidden/>
    <w:qFormat/>
    <w:rPr>
      <w:b/>
      <w:bCs/>
    </w:rPr>
  </w:style>
  <w:style w:type="paragraph" w:styleId="Bezodstpw">
    <w:name w:val="No Spacing"/>
    <w:basedOn w:val="Normalny"/>
    <w:link w:val="BezodstpwZnak"/>
    <w:uiPriority w:val="98"/>
    <w:semiHidden/>
    <w:qFormat/>
  </w:style>
  <w:style w:type="character" w:customStyle="1" w:styleId="BezodstpwZnak">
    <w:name w:val="Bez odstępów Znak"/>
    <w:basedOn w:val="Domylnaczcionkaakapitu"/>
    <w:link w:val="Bezodstpw"/>
    <w:uiPriority w:val="98"/>
    <w:semiHidden/>
    <w:rPr>
      <w:sz w:val="24"/>
      <w:szCs w:val="24"/>
      <w:lang w:val="pl-PL"/>
    </w:rPr>
  </w:style>
  <w:style w:type="paragraph" w:customStyle="1" w:styleId="JuQuot">
    <w:name w:val="Ju_Quot"/>
    <w:aliases w:val="_Quote"/>
    <w:basedOn w:val="NormalJustified"/>
    <w:uiPriority w:val="20"/>
    <w:qFormat/>
    <w:pPr>
      <w:spacing w:before="120" w:after="120"/>
      <w:ind w:left="425" w:firstLine="142"/>
    </w:pPr>
    <w:rPr>
      <w:sz w:val="20"/>
    </w:rPr>
  </w:style>
  <w:style w:type="paragraph" w:customStyle="1" w:styleId="JuList">
    <w:name w:val="Ju_List"/>
    <w:aliases w:val="_List_1"/>
    <w:basedOn w:val="NormalJustified"/>
    <w:uiPriority w:val="23"/>
    <w:qFormat/>
    <w:pPr>
      <w:numPr>
        <w:numId w:val="10"/>
      </w:numPr>
      <w:spacing w:before="280" w:after="60"/>
    </w:pPr>
  </w:style>
  <w:style w:type="paragraph" w:customStyle="1" w:styleId="JuListi">
    <w:name w:val="Ju_List_i"/>
    <w:aliases w:val="_List_3"/>
    <w:basedOn w:val="NormalJustified"/>
    <w:uiPriority w:val="23"/>
    <w:pPr>
      <w:numPr>
        <w:ilvl w:val="2"/>
        <w:numId w:val="10"/>
      </w:numPr>
    </w:pPr>
  </w:style>
  <w:style w:type="paragraph" w:customStyle="1" w:styleId="JuTitle">
    <w:name w:val="Ju_Title"/>
    <w:aliases w:val="_Title_2"/>
    <w:basedOn w:val="Normalny"/>
    <w:next w:val="JuPara"/>
    <w:uiPriority w:val="38"/>
    <w:qFormat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pPr>
      <w:keepNext/>
      <w:spacing w:before="100" w:beforeAutospacing="1" w:after="120"/>
      <w:contextualSpacing/>
      <w:jc w:val="center"/>
    </w:pPr>
    <w:rPr>
      <w:b/>
      <w:sz w:val="20"/>
    </w:rPr>
  </w:style>
  <w:style w:type="numbering" w:customStyle="1" w:styleId="ECHRA1StyleBulletedSquare">
    <w:name w:val="ECHR_A1_Style_Bulleted_Square"/>
    <w:basedOn w:val="Bezlisty"/>
    <w:pPr>
      <w:numPr>
        <w:numId w:val="4"/>
      </w:numPr>
    </w:pPr>
  </w:style>
  <w:style w:type="numbering" w:customStyle="1" w:styleId="ECHRA1StyleList">
    <w:name w:val="ECHR_A1_Style_List"/>
    <w:basedOn w:val="Bezlisty"/>
    <w:uiPriority w:val="99"/>
    <w:pPr>
      <w:numPr>
        <w:numId w:val="5"/>
      </w:numPr>
    </w:pPr>
  </w:style>
  <w:style w:type="paragraph" w:customStyle="1" w:styleId="JuHHead">
    <w:name w:val="Ju_H_Head"/>
    <w:aliases w:val="_Head_1"/>
    <w:basedOn w:val="Nagwek1"/>
    <w:next w:val="JuPara"/>
    <w:uiPriority w:val="17"/>
    <w:qFormat/>
    <w:pPr>
      <w:keepNext/>
      <w:keepLines/>
      <w:numPr>
        <w:numId w:val="9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NumberedList">
    <w:name w:val="ECHR_A1_Style_Numbered_List"/>
    <w:basedOn w:val="Bezlisty"/>
    <w:pPr>
      <w:numPr>
        <w:numId w:val="6"/>
      </w:numPr>
    </w:pPr>
  </w:style>
  <w:style w:type="table" w:customStyle="1" w:styleId="ECHRTable2019">
    <w:name w:val="ECHR_Table_2019"/>
    <w:basedOn w:val="Standardowy"/>
    <w:uiPriority w:val="99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FDFDF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band2Horz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5F5F5F" w:themeColor="accent3"/>
          <w:tl2br w:val="nil"/>
          <w:tr2bl w:val="nil"/>
        </w:tcBorders>
        <w:shd w:val="clear" w:color="auto" w:fill="F3F3F3" w:themeFill="text2" w:themeFillTint="33"/>
      </w:tcPr>
    </w:tblStylePr>
  </w:style>
  <w:style w:type="paragraph" w:styleId="Tytu">
    <w:name w:val="Title"/>
    <w:basedOn w:val="Normalny"/>
    <w:next w:val="Normalny"/>
    <w:link w:val="TytuZnak"/>
    <w:uiPriority w:val="98"/>
    <w:semiHidden/>
    <w:qFormat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8"/>
    <w:semiHidden/>
    <w:rPr>
      <w:rFonts w:asciiTheme="majorHAnsi" w:eastAsiaTheme="majorEastAsia" w:hAnsiTheme="majorHAnsi" w:cstheme="majorBidi"/>
      <w:spacing w:val="5"/>
      <w:sz w:val="52"/>
      <w:szCs w:val="52"/>
      <w:lang w:val="pl-PL" w:bidi="en-US"/>
    </w:rPr>
  </w:style>
  <w:style w:type="paragraph" w:customStyle="1" w:styleId="Footer">
    <w:name w:val="_Footer"/>
    <w:aliases w:val="Footer_"/>
    <w:basedOn w:val="Stopka"/>
    <w:uiPriority w:val="57"/>
    <w:semiHidden/>
    <w:rPr>
      <w:sz w:val="8"/>
    </w:rPr>
  </w:style>
  <w:style w:type="paragraph" w:customStyle="1" w:styleId="JuCourt">
    <w:name w:val="Ju_Court"/>
    <w:aliases w:val="_Court_Names"/>
    <w:basedOn w:val="Normalny"/>
    <w:next w:val="Normalny"/>
    <w:uiPriority w:val="32"/>
    <w:qFormat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Initialled">
    <w:name w:val="Ju_Initialled"/>
    <w:aliases w:val="_Right"/>
    <w:basedOn w:val="Normalny"/>
    <w:uiPriority w:val="30"/>
    <w:qFormat/>
    <w:pPr>
      <w:tabs>
        <w:tab w:val="center" w:pos="6407"/>
      </w:tabs>
      <w:spacing w:before="720"/>
      <w:jc w:val="right"/>
    </w:pPr>
  </w:style>
  <w:style w:type="character" w:customStyle="1" w:styleId="JuITMark">
    <w:name w:val="Ju_ITMark"/>
    <w:aliases w:val="_ITMark"/>
    <w:basedOn w:val="Domylnaczcionkaakapitu"/>
    <w:uiPriority w:val="54"/>
    <w:semiHidden/>
    <w:qFormat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paragraph" w:customStyle="1" w:styleId="JuHIRoman">
    <w:name w:val="Ju_H_I_Roman"/>
    <w:aliases w:val="_Head_2"/>
    <w:basedOn w:val="Nagwek2"/>
    <w:next w:val="JuPara"/>
    <w:uiPriority w:val="17"/>
    <w:qFormat/>
    <w:pPr>
      <w:keepNext/>
      <w:keepLines/>
      <w:numPr>
        <w:ilvl w:val="1"/>
        <w:numId w:val="9"/>
      </w:numPr>
      <w:tabs>
        <w:tab w:val="left" w:pos="454"/>
        <w:tab w:val="left" w:pos="539"/>
        <w:tab w:val="left" w:pos="624"/>
        <w:tab w:val="left" w:pos="709"/>
        <w:tab w:val="left" w:pos="794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Nagwek3"/>
    <w:next w:val="JuPara"/>
    <w:uiPriority w:val="17"/>
    <w:qFormat/>
    <w:pPr>
      <w:keepNext/>
      <w:keepLines/>
      <w:numPr>
        <w:ilvl w:val="2"/>
        <w:numId w:val="9"/>
      </w:numPr>
      <w:spacing w:before="100" w:beforeAutospacing="1" w:after="240" w:line="240" w:lineRule="auto"/>
      <w:jc w:val="both"/>
    </w:pPr>
    <w:rPr>
      <w:color w:val="auto"/>
      <w:sz w:val="24"/>
    </w:rPr>
  </w:style>
  <w:style w:type="paragraph" w:customStyle="1" w:styleId="JuH1">
    <w:name w:val="Ju_H_1."/>
    <w:aliases w:val="_Head_4"/>
    <w:basedOn w:val="Nagwek4"/>
    <w:next w:val="JuPara"/>
    <w:uiPriority w:val="17"/>
    <w:pPr>
      <w:keepNext/>
      <w:keepLines/>
      <w:numPr>
        <w:ilvl w:val="3"/>
        <w:numId w:val="9"/>
      </w:numPr>
      <w:spacing w:before="100" w:beforeAutospacing="1" w:after="120"/>
      <w:jc w:val="both"/>
    </w:pPr>
    <w:rPr>
      <w:b w:val="0"/>
      <w:color w:val="auto"/>
      <w:sz w:val="24"/>
    </w:rPr>
  </w:style>
  <w:style w:type="paragraph" w:customStyle="1" w:styleId="JuHa0">
    <w:name w:val="Ju_H_a"/>
    <w:aliases w:val="_Head_5"/>
    <w:basedOn w:val="Nagwek5"/>
    <w:next w:val="JuPara"/>
    <w:uiPriority w:val="17"/>
    <w:pPr>
      <w:keepNext/>
      <w:keepLines/>
      <w:numPr>
        <w:ilvl w:val="4"/>
        <w:numId w:val="9"/>
      </w:numPr>
      <w:spacing w:before="100" w:beforeAutospacing="1" w:after="120"/>
      <w:jc w:val="both"/>
    </w:pPr>
    <w:rPr>
      <w:color w:val="auto"/>
      <w:sz w:val="20"/>
    </w:rPr>
  </w:style>
  <w:style w:type="paragraph" w:styleId="Nagwek">
    <w:name w:val="header"/>
    <w:basedOn w:val="Normalny"/>
    <w:link w:val="NagwekZnak"/>
    <w:uiPriority w:val="98"/>
    <w:semiHidden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Pr>
      <w:sz w:val="24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8"/>
    <w:semiHidden/>
    <w:rPr>
      <w:rFonts w:asciiTheme="majorHAnsi" w:eastAsiaTheme="majorEastAsia" w:hAnsiTheme="majorHAnsi" w:cstheme="majorBidi"/>
      <w:b/>
      <w:bCs/>
      <w:color w:val="333333"/>
      <w:sz w:val="28"/>
      <w:szCs w:val="28"/>
      <w:lang w:val="pl-PL"/>
    </w:rPr>
  </w:style>
  <w:style w:type="paragraph" w:customStyle="1" w:styleId="JuHi">
    <w:name w:val="Ju_H_i"/>
    <w:aliases w:val="_Head_6"/>
    <w:basedOn w:val="Nagwek6"/>
    <w:next w:val="JuPara"/>
    <w:uiPriority w:val="17"/>
    <w:pPr>
      <w:keepNext/>
      <w:keepLines/>
      <w:numPr>
        <w:ilvl w:val="5"/>
        <w:numId w:val="9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paragraph" w:customStyle="1" w:styleId="JuHalpha">
    <w:name w:val="Ju_H_alpha"/>
    <w:aliases w:val="_Head_7"/>
    <w:basedOn w:val="Nagwek7"/>
    <w:next w:val="JuPara"/>
    <w:uiPriority w:val="17"/>
    <w:pPr>
      <w:keepNext/>
      <w:keepLines/>
      <w:numPr>
        <w:ilvl w:val="6"/>
        <w:numId w:val="9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Pr>
      <w:rFonts w:asciiTheme="majorHAnsi" w:eastAsiaTheme="majorEastAsia" w:hAnsiTheme="majorHAnsi" w:cstheme="majorBidi"/>
      <w:b/>
      <w:bCs/>
      <w:color w:val="4D4D4D"/>
      <w:sz w:val="26"/>
      <w:szCs w:val="26"/>
      <w:lang w:val="pl-PL"/>
    </w:rPr>
  </w:style>
  <w:style w:type="paragraph" w:customStyle="1" w:styleId="JuH">
    <w:name w:val="Ju_H_–"/>
    <w:aliases w:val="_Head_8"/>
    <w:basedOn w:val="Nagwek8"/>
    <w:next w:val="JuPara"/>
    <w:uiPriority w:val="17"/>
    <w:pPr>
      <w:keepNext/>
      <w:keepLines/>
      <w:numPr>
        <w:ilvl w:val="7"/>
        <w:numId w:val="9"/>
      </w:numPr>
      <w:spacing w:before="100" w:beforeAutospacing="1" w:after="120"/>
      <w:jc w:val="both"/>
    </w:pPr>
    <w:rPr>
      <w:i/>
    </w:rPr>
  </w:style>
  <w:style w:type="character" w:customStyle="1" w:styleId="JUNAMES">
    <w:name w:val="JU_NAMES"/>
    <w:aliases w:val="_Ju_Names"/>
    <w:uiPriority w:val="33"/>
    <w:qFormat/>
    <w:rPr>
      <w:caps w:val="0"/>
      <w:smallCaps/>
    </w:rPr>
  </w:style>
  <w:style w:type="character" w:customStyle="1" w:styleId="Nagwek3Znak">
    <w:name w:val="Nagłówek 3 Znak"/>
    <w:basedOn w:val="Domylnaczcionkaakapitu"/>
    <w:link w:val="Nagwek3"/>
    <w:uiPriority w:val="98"/>
    <w:semiHidden/>
    <w:rPr>
      <w:rFonts w:asciiTheme="majorHAnsi" w:eastAsiaTheme="majorEastAsia" w:hAnsiTheme="majorHAnsi" w:cstheme="majorBidi"/>
      <w:b/>
      <w:bCs/>
      <w:color w:val="5F5F5F"/>
      <w:lang w:val="pl-PL"/>
    </w:rPr>
  </w:style>
  <w:style w:type="paragraph" w:customStyle="1" w:styleId="JuLista">
    <w:name w:val="Ju_List_a"/>
    <w:aliases w:val="_List_2"/>
    <w:basedOn w:val="NormalJustified"/>
    <w:uiPriority w:val="23"/>
    <w:pPr>
      <w:numPr>
        <w:ilvl w:val="1"/>
        <w:numId w:val="10"/>
      </w:numPr>
    </w:pPr>
  </w:style>
  <w:style w:type="paragraph" w:customStyle="1" w:styleId="NormalJustified">
    <w:name w:val="Normal_Justified"/>
    <w:basedOn w:val="Normalny"/>
    <w:semiHidden/>
    <w:pPr>
      <w:jc w:val="both"/>
    </w:pPr>
  </w:style>
  <w:style w:type="character" w:customStyle="1" w:styleId="Nagwek4Znak">
    <w:name w:val="Nagłówek 4 Znak"/>
    <w:basedOn w:val="Domylnaczcionkaakapitu"/>
    <w:link w:val="Nagwek4"/>
    <w:uiPriority w:val="98"/>
    <w:semiHidden/>
    <w:rPr>
      <w:rFonts w:asciiTheme="majorHAnsi" w:eastAsiaTheme="majorEastAsia" w:hAnsiTheme="majorHAnsi" w:cstheme="majorBidi"/>
      <w:b/>
      <w:bCs/>
      <w:i/>
      <w:iCs/>
      <w:color w:val="777777"/>
      <w:lang w:val="pl-PL"/>
    </w:rPr>
  </w:style>
  <w:style w:type="character" w:customStyle="1" w:styleId="Nagwek5Znak">
    <w:name w:val="Nagłówek 5 Znak"/>
    <w:basedOn w:val="Domylnaczcionkaakapitu"/>
    <w:link w:val="Nagwek5"/>
    <w:uiPriority w:val="98"/>
    <w:semiHidden/>
    <w:rPr>
      <w:rFonts w:asciiTheme="majorHAnsi" w:eastAsiaTheme="majorEastAsia" w:hAnsiTheme="majorHAnsi" w:cstheme="majorBidi"/>
      <w:b/>
      <w:bCs/>
      <w:color w:val="808080"/>
      <w:lang w:val="pl-PL"/>
    </w:rPr>
  </w:style>
  <w:style w:type="character" w:styleId="Wyrnieniedelikatne">
    <w:name w:val="Subtle Emphasis"/>
    <w:uiPriority w:val="98"/>
    <w:semiHidden/>
    <w:qFormat/>
    <w:rPr>
      <w:i/>
      <w:iCs/>
    </w:rPr>
  </w:style>
  <w:style w:type="table" w:customStyle="1" w:styleId="ECHRTable">
    <w:name w:val="ECHR_Table"/>
    <w:basedOn w:val="Standardowy"/>
    <w:rPr>
      <w:rFonts w:eastAsia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Pr>
      <w:rFonts w:ascii="Verdana" w:eastAsia="Times New Roman" w:hAnsi="Verdana" w:cs="Times New Roman"/>
      <w:sz w:val="20"/>
      <w:szCs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styleId="Podtytu">
    <w:name w:val="Subtitle"/>
    <w:basedOn w:val="Normalny"/>
    <w:next w:val="Normalny"/>
    <w:link w:val="PodtytuZnak"/>
    <w:uiPriority w:val="98"/>
    <w:semiHidden/>
    <w:qFormat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PodtytuZnak">
    <w:name w:val="Podtytuł Znak"/>
    <w:basedOn w:val="Domylnaczcionkaakapitu"/>
    <w:link w:val="Podtytu"/>
    <w:uiPriority w:val="98"/>
    <w:semiHidden/>
    <w:rPr>
      <w:rFonts w:asciiTheme="majorHAnsi" w:eastAsiaTheme="majorEastAsia" w:hAnsiTheme="majorHAnsi" w:cstheme="majorBidi"/>
      <w:i/>
      <w:iCs/>
      <w:spacing w:val="13"/>
      <w:sz w:val="24"/>
      <w:szCs w:val="24"/>
      <w:lang w:val="pl-PL" w:bidi="en-US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character" w:styleId="Uwydatnienie">
    <w:name w:val="Emphasis"/>
    <w:uiPriority w:val="98"/>
    <w:semiHidden/>
    <w:qFormat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98"/>
    <w:semiHidden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98"/>
    <w:semiHidden/>
    <w:rPr>
      <w:sz w:val="24"/>
      <w:szCs w:val="24"/>
      <w:lang w:val="pl-PL"/>
    </w:rPr>
  </w:style>
  <w:style w:type="character" w:styleId="Odwoanieprzypisudolnego">
    <w:name w:val="footnote reference"/>
    <w:basedOn w:val="Domylnaczcionkaakapitu"/>
    <w:uiPriority w:val="98"/>
    <w:semiHidden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8"/>
    <w:semiHidden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Pr>
      <w:sz w:val="20"/>
      <w:szCs w:val="20"/>
      <w:lang w:val="pl-PL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pl-PL" w:bidi="en-US"/>
    </w:rPr>
  </w:style>
  <w:style w:type="character" w:customStyle="1" w:styleId="Nagwek7Znak">
    <w:name w:val="Nagłówek 7 Znak"/>
    <w:basedOn w:val="Domylnaczcionkaakapitu"/>
    <w:link w:val="Nagwek7"/>
    <w:uiPriority w:val="98"/>
    <w:semiHidden/>
    <w:rPr>
      <w:rFonts w:asciiTheme="majorHAnsi" w:eastAsiaTheme="majorEastAsia" w:hAnsiTheme="majorHAnsi" w:cstheme="majorBidi"/>
      <w:i/>
      <w:iCs/>
      <w:lang w:val="pl-PL" w:bidi="en-US"/>
    </w:rPr>
  </w:style>
  <w:style w:type="character" w:customStyle="1" w:styleId="Nagwek8Znak">
    <w:name w:val="Nagłówek 8 Znak"/>
    <w:basedOn w:val="Domylnaczcionkaakapitu"/>
    <w:link w:val="Nagwek8"/>
    <w:uiPriority w:val="98"/>
    <w:semiHidden/>
    <w:rPr>
      <w:rFonts w:asciiTheme="majorHAnsi" w:eastAsiaTheme="majorEastAsia" w:hAnsiTheme="majorHAnsi" w:cstheme="majorBidi"/>
      <w:sz w:val="20"/>
      <w:szCs w:val="20"/>
      <w:lang w:val="pl-PL" w:bidi="en-US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Pr>
      <w:rFonts w:asciiTheme="majorHAnsi" w:eastAsiaTheme="majorEastAsia" w:hAnsiTheme="majorHAnsi" w:cstheme="majorBidi"/>
      <w:i/>
      <w:iCs/>
      <w:spacing w:val="5"/>
      <w:sz w:val="20"/>
      <w:szCs w:val="20"/>
      <w:lang w:val="pl-PL" w:bidi="en-US"/>
    </w:rPr>
  </w:style>
  <w:style w:type="character" w:styleId="Wyrnienieintensywne">
    <w:name w:val="Intense Emphasis"/>
    <w:uiPriority w:val="98"/>
    <w:semiHidden/>
    <w:qFormat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8"/>
    <w:semiHidden/>
    <w:rPr>
      <w:b/>
      <w:bCs/>
      <w:i/>
      <w:iCs/>
      <w:sz w:val="24"/>
      <w:szCs w:val="24"/>
      <w:lang w:val="pl-PL" w:bidi="en-US"/>
    </w:rPr>
  </w:style>
  <w:style w:type="character" w:styleId="Odwoanieintensywne">
    <w:name w:val="Intense Reference"/>
    <w:uiPriority w:val="98"/>
    <w:semiHidden/>
    <w:qFormat/>
    <w:rPr>
      <w:smallCaps/>
      <w:spacing w:val="5"/>
      <w:u w:val="single"/>
    </w:rPr>
  </w:style>
  <w:style w:type="paragraph" w:styleId="Akapitzlist">
    <w:name w:val="List Paragraph"/>
    <w:basedOn w:val="Normalny"/>
    <w:uiPriority w:val="98"/>
    <w:semiHidden/>
    <w:qFormat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Standardowy"/>
    <w:uiPriority w:val="99"/>
    <w:rPr>
      <w:sz w:val="24"/>
      <w:szCs w:val="24"/>
    </w:rPr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8"/>
    <w:semiHidden/>
    <w:qFormat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8"/>
    <w:semiHidden/>
    <w:rPr>
      <w:i/>
      <w:iCs/>
      <w:sz w:val="24"/>
      <w:szCs w:val="24"/>
      <w:lang w:val="pl-PL" w:bidi="en-US"/>
    </w:rPr>
  </w:style>
  <w:style w:type="character" w:styleId="Odwoaniedelikatne">
    <w:name w:val="Subtle Reference"/>
    <w:uiPriority w:val="98"/>
    <w:semiHidden/>
    <w:qFormat/>
    <w:rPr>
      <w:smallCaps/>
    </w:rPr>
  </w:style>
  <w:style w:type="table" w:styleId="Tabela-Siatka">
    <w:name w:val="Table Grid"/>
    <w:basedOn w:val="Standardowy"/>
    <w:uiPriority w:val="59"/>
    <w:semiHidden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8"/>
    <w:semiHidden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8"/>
    <w:semiHidden/>
    <w:qFormat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table" w:customStyle="1" w:styleId="UGTable">
    <w:name w:val="UG_Table"/>
    <w:aliases w:val="ECHR_UG_Table"/>
    <w:basedOn w:val="Standardowy"/>
    <w:uiPriority w:val="99"/>
    <w:rPr>
      <w:rFonts w:eastAsiaTheme="minorEastAsia"/>
      <w:sz w:val="20"/>
      <w:szCs w:val="24"/>
      <w:lang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Pr>
      <w:rFonts w:eastAsiaTheme="minorEastAsia"/>
      <w:sz w:val="24"/>
      <w:szCs w:val="24"/>
      <w:lang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Standardowy"/>
    <w:uiPriority w:val="99"/>
    <w:rPr>
      <w:color w:val="000000" w:themeColor="text1"/>
      <w:sz w:val="18"/>
      <w:szCs w:val="24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Pr>
      <w:color w:val="000000" w:themeColor="text1"/>
      <w:sz w:val="24"/>
      <w:szCs w:val="24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Standardowy"/>
    <w:uiPriority w:val="99"/>
    <w:rPr>
      <w:sz w:val="24"/>
      <w:szCs w:val="24"/>
    </w:rPr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8"/>
    <w:semiHidden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</w:rPr>
  </w:style>
  <w:style w:type="numbering" w:styleId="111111">
    <w:name w:val="Outline List 2"/>
    <w:basedOn w:val="Bezlisty"/>
    <w:uiPriority w:val="99"/>
    <w:semiHidden/>
    <w:unhideWhenUsed/>
    <w:pPr>
      <w:numPr>
        <w:numId w:val="1"/>
      </w:numPr>
    </w:pPr>
  </w:style>
  <w:style w:type="numbering" w:styleId="1ai">
    <w:name w:val="Outline List 1"/>
    <w:basedOn w:val="Bezlisty"/>
    <w:uiPriority w:val="99"/>
    <w:semiHidden/>
    <w:unhideWhenUsed/>
    <w:pPr>
      <w:numPr>
        <w:numId w:val="2"/>
      </w:numPr>
    </w:pPr>
  </w:style>
  <w:style w:type="paragraph" w:styleId="Bibliografia">
    <w:name w:val="Bibliography"/>
    <w:basedOn w:val="Normalny"/>
    <w:next w:val="Normalny"/>
    <w:uiPriority w:val="98"/>
    <w:semiHidden/>
  </w:style>
  <w:style w:type="paragraph" w:customStyle="1" w:styleId="JuPara">
    <w:name w:val="Ju_Para"/>
    <w:aliases w:val="_Para"/>
    <w:basedOn w:val="NormalJustified"/>
    <w:link w:val="JuParaChar"/>
    <w:uiPriority w:val="4"/>
    <w:qFormat/>
    <w:pPr>
      <w:ind w:firstLine="284"/>
    </w:pPr>
  </w:style>
  <w:style w:type="paragraph" w:styleId="Tekstblokowy">
    <w:name w:val="Block Text"/>
    <w:basedOn w:val="Normalny"/>
    <w:uiPriority w:val="98"/>
    <w:semiHidden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TableSimpleBox">
    <w:name w:val="ECHR_Table_Simple_Box"/>
    <w:basedOn w:val="Standardowy"/>
    <w:uiPriority w:val="99"/>
    <w:rPr>
      <w:sz w:val="24"/>
      <w:szCs w:val="24"/>
    </w:rPr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paragraph" w:styleId="Tekstpodstawowy">
    <w:name w:val="Body Text"/>
    <w:basedOn w:val="Normalny"/>
    <w:link w:val="TekstpodstawowyZnak"/>
    <w:uiPriority w:val="98"/>
    <w:semiHidden/>
    <w:pPr>
      <w:spacing w:after="120"/>
    </w:pPr>
  </w:style>
  <w:style w:type="table" w:customStyle="1" w:styleId="ECHRTableForInternalUse">
    <w:name w:val="ECHR_Table_For_Internal_Use"/>
    <w:basedOn w:val="Standardowy"/>
    <w:uiPriority w:val="99"/>
    <w:rPr>
      <w:color w:val="636363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Pr>
      <w:sz w:val="24"/>
      <w:szCs w:val="24"/>
    </w:rPr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Pr>
      <w:sz w:val="24"/>
      <w:szCs w:val="24"/>
      <w:lang w:val="pl-PL"/>
    </w:rPr>
  </w:style>
  <w:style w:type="paragraph" w:styleId="Tekstpodstawowy2">
    <w:name w:val="Body Text 2"/>
    <w:basedOn w:val="Normalny"/>
    <w:link w:val="Tekstpodstawowy2Znak"/>
    <w:uiPriority w:val="98"/>
    <w:semiHidden/>
    <w:pPr>
      <w:spacing w:after="120" w:line="480" w:lineRule="auto"/>
    </w:pPr>
  </w:style>
  <w:style w:type="table" w:customStyle="1" w:styleId="ECHRHeaderTable">
    <w:name w:val="ECHR_Header_Table"/>
    <w:basedOn w:val="Standardowy"/>
    <w:uiPriority w:val="99"/>
    <w:rPr>
      <w:sz w:val="24"/>
      <w:szCs w:val="24"/>
    </w:rPr>
    <w:tblPr>
      <w:tblInd w:w="-1474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Pr>
      <w:sz w:val="24"/>
      <w:szCs w:val="24"/>
      <w:lang w:val="pl-PL"/>
    </w:rPr>
  </w:style>
  <w:style w:type="paragraph" w:styleId="Tekstpodstawowy3">
    <w:name w:val="Body Text 3"/>
    <w:basedOn w:val="Normalny"/>
    <w:link w:val="Tekstpodstawowy3Znak"/>
    <w:uiPriority w:val="98"/>
    <w:semiHidden/>
    <w:pPr>
      <w:spacing w:after="120"/>
    </w:pPr>
    <w:rPr>
      <w:sz w:val="16"/>
      <w:szCs w:val="16"/>
    </w:rPr>
  </w:style>
  <w:style w:type="table" w:customStyle="1" w:styleId="ECHRTableOddBanded">
    <w:name w:val="ECHR_Table_Odd_Banded"/>
    <w:basedOn w:val="Standardowy"/>
    <w:uiPriority w:val="99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JuJudges">
    <w:name w:val="Ju_Judges"/>
    <w:aliases w:val="_Judges"/>
    <w:basedOn w:val="Normalny"/>
    <w:uiPriority w:val="32"/>
    <w:qFormat/>
    <w:pPr>
      <w:tabs>
        <w:tab w:val="left" w:pos="567"/>
        <w:tab w:val="left" w:pos="1134"/>
      </w:tabs>
    </w:pPr>
  </w:style>
  <w:style w:type="table" w:customStyle="1" w:styleId="ECHRHeaderTableReduced">
    <w:name w:val="ECHR_Header_Table_Reduced"/>
    <w:basedOn w:val="Standardowy"/>
    <w:uiPriority w:val="99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Pr>
      <w:sz w:val="16"/>
      <w:szCs w:val="16"/>
      <w:lang w:val="pl-PL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Pr>
      <w:sz w:val="24"/>
      <w:szCs w:val="24"/>
      <w:lang w:val="pl-PL"/>
    </w:rPr>
  </w:style>
  <w:style w:type="character" w:styleId="Tekstzastpczy">
    <w:name w:val="Placeholder Text"/>
    <w:basedOn w:val="Domylnaczcionkaakapitu"/>
    <w:uiPriority w:val="98"/>
    <w:semiHidden/>
    <w:rPr>
      <w:color w:val="auto"/>
      <w:bdr w:val="none" w:sz="0" w:space="0" w:color="auto"/>
      <w:shd w:val="clear" w:color="auto" w:fill="DFDFDF" w:themeFill="background2" w:themeFillShade="E6"/>
    </w:rPr>
  </w:style>
  <w:style w:type="paragraph" w:customStyle="1" w:styleId="JuSigned">
    <w:name w:val="Ju_Signed"/>
    <w:aliases w:val="_Signature"/>
    <w:basedOn w:val="Normalny"/>
    <w:next w:val="JuPara"/>
    <w:uiPriority w:val="31"/>
    <w:qFormat/>
    <w:pPr>
      <w:tabs>
        <w:tab w:val="center" w:pos="1418"/>
        <w:tab w:val="center" w:pos="5954"/>
      </w:tabs>
      <w:spacing w:before="720"/>
    </w:pPr>
  </w:style>
  <w:style w:type="character" w:styleId="Numerstrony">
    <w:name w:val="page number"/>
    <w:uiPriority w:val="98"/>
    <w:semiHidden/>
    <w:rPr>
      <w:sz w:val="18"/>
    </w:rPr>
  </w:style>
  <w:style w:type="character" w:styleId="Odwoaniedokomentarza">
    <w:name w:val="annotation reference"/>
    <w:basedOn w:val="Domylnaczcionkaakapitu"/>
    <w:uiPriority w:val="98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8"/>
    <w:semiHidden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Pr>
      <w:sz w:val="20"/>
      <w:szCs w:val="20"/>
      <w:lang w:val="pl-PL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JuParaLast">
    <w:name w:val="Ju_Para_Last"/>
    <w:aliases w:val="_Para_Spaced"/>
    <w:basedOn w:val="NormalJustified"/>
    <w:uiPriority w:val="5"/>
    <w:qFormat/>
    <w:pPr>
      <w:keepNext/>
      <w:keepLines/>
      <w:spacing w:before="240" w:after="240"/>
      <w:ind w:firstLine="284"/>
    </w:pPr>
  </w:style>
  <w:style w:type="numbering" w:styleId="Artykusekcja">
    <w:name w:val="Outline List 3"/>
    <w:basedOn w:val="Bezlisty"/>
    <w:uiPriority w:val="99"/>
    <w:semiHidden/>
    <w:unhideWhenUsed/>
    <w:pPr>
      <w:numPr>
        <w:numId w:val="3"/>
      </w:numPr>
    </w:pPr>
  </w:style>
  <w:style w:type="paragraph" w:styleId="Listapunktowana">
    <w:name w:val="List Bullet"/>
    <w:basedOn w:val="Normalny"/>
    <w:uiPriority w:val="98"/>
    <w:semiHidden/>
    <w:pPr>
      <w:numPr>
        <w:numId w:val="11"/>
      </w:numPr>
    </w:pPr>
  </w:style>
  <w:style w:type="character" w:customStyle="1" w:styleId="JuParaChar">
    <w:name w:val="Ju_Para Char"/>
    <w:aliases w:val="_Para Char"/>
    <w:basedOn w:val="Domylnaczcionkaakapitu"/>
    <w:link w:val="JuPara"/>
    <w:uiPriority w:val="4"/>
    <w:rPr>
      <w:sz w:val="24"/>
      <w:szCs w:val="24"/>
      <w:lang w:val="pl-PL"/>
    </w:rPr>
  </w:style>
  <w:style w:type="paragraph" w:customStyle="1" w:styleId="JuCase">
    <w:name w:val="Ju_Case"/>
    <w:aliases w:val="_Case_Name"/>
    <w:basedOn w:val="Normalny"/>
    <w:next w:val="JuPara"/>
    <w:uiPriority w:val="32"/>
    <w:pPr>
      <w:ind w:firstLine="284"/>
      <w:jc w:val="both"/>
    </w:pPr>
    <w:rPr>
      <w:b/>
    </w:rPr>
  </w:style>
  <w:style w:type="paragraph" w:styleId="Tekstpodstawowywcity">
    <w:name w:val="Body Text Indent"/>
    <w:basedOn w:val="Normalny"/>
    <w:link w:val="TekstpodstawowywcityZnak"/>
    <w:uiPriority w:val="98"/>
    <w:semiHidden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Pr>
      <w:sz w:val="24"/>
      <w:szCs w:val="24"/>
      <w:lang w:val="pl-PL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Pr>
      <w:sz w:val="24"/>
      <w:szCs w:val="24"/>
      <w:lang w:val="pl-PL"/>
    </w:rPr>
  </w:style>
  <w:style w:type="paragraph" w:styleId="Tekstpodstawowywcity2">
    <w:name w:val="Body Text Indent 2"/>
    <w:basedOn w:val="Normalny"/>
    <w:link w:val="Tekstpodstawowywcity2Znak"/>
    <w:uiPriority w:val="98"/>
    <w:semiHidden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Pr>
      <w:sz w:val="24"/>
      <w:szCs w:val="24"/>
      <w:lang w:val="pl-PL"/>
    </w:rPr>
  </w:style>
  <w:style w:type="paragraph" w:styleId="Tekstpodstawowywcity3">
    <w:name w:val="Body Text Indent 3"/>
    <w:basedOn w:val="Normalny"/>
    <w:link w:val="Tekstpodstawowywcity3Znak"/>
    <w:uiPriority w:val="98"/>
    <w:semiHidden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Pr>
      <w:sz w:val="16"/>
      <w:szCs w:val="16"/>
      <w:lang w:val="pl-PL"/>
    </w:rPr>
  </w:style>
  <w:style w:type="paragraph" w:styleId="Legenda">
    <w:name w:val="caption"/>
    <w:basedOn w:val="Normalny"/>
    <w:next w:val="Normalny"/>
    <w:uiPriority w:val="98"/>
    <w:semiHidden/>
    <w:qFormat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8"/>
    <w:semiHidden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Pr>
      <w:sz w:val="24"/>
      <w:szCs w:val="24"/>
      <w:lang w:val="pl-PL"/>
    </w:rPr>
  </w:style>
  <w:style w:type="table" w:styleId="Kolorowasiatka">
    <w:name w:val="Colorful Grid"/>
    <w:basedOn w:val="Standardowy"/>
    <w:uiPriority w:val="73"/>
    <w:semiHidden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Pr>
      <w:b/>
      <w:bCs/>
      <w:sz w:val="20"/>
      <w:szCs w:val="20"/>
      <w:lang w:val="pl-PL"/>
    </w:rPr>
  </w:style>
  <w:style w:type="table" w:styleId="Ciemnalista">
    <w:name w:val="Dark List"/>
    <w:basedOn w:val="Standardowy"/>
    <w:uiPriority w:val="70"/>
    <w:semiHidden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</w:style>
  <w:style w:type="character" w:customStyle="1" w:styleId="DataZnak">
    <w:name w:val="Data Znak"/>
    <w:basedOn w:val="Domylnaczcionkaakapitu"/>
    <w:link w:val="Data"/>
    <w:uiPriority w:val="98"/>
    <w:semiHidden/>
    <w:rPr>
      <w:sz w:val="24"/>
      <w:szCs w:val="24"/>
      <w:lang w:val="pl-PL"/>
    </w:rPr>
  </w:style>
  <w:style w:type="paragraph" w:styleId="Mapadokumentu">
    <w:name w:val="Document Map"/>
    <w:basedOn w:val="Normalny"/>
    <w:link w:val="MapadokumentuZnak"/>
    <w:uiPriority w:val="98"/>
    <w:semiHidden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Pr>
      <w:rFonts w:ascii="Tahoma" w:hAnsi="Tahoma" w:cs="Tahoma"/>
      <w:sz w:val="16"/>
      <w:szCs w:val="16"/>
      <w:lang w:val="pl-PL"/>
    </w:rPr>
  </w:style>
  <w:style w:type="paragraph" w:styleId="Podpise-mail">
    <w:name w:val="E-mail Signature"/>
    <w:basedOn w:val="Normalny"/>
    <w:link w:val="Podpise-mailZnak"/>
    <w:uiPriority w:val="98"/>
    <w:semiHidden/>
  </w:style>
  <w:style w:type="character" w:customStyle="1" w:styleId="Podpise-mailZnak">
    <w:name w:val="Podpis e-mail Znak"/>
    <w:basedOn w:val="Domylnaczcionkaakapitu"/>
    <w:link w:val="Podpise-mail"/>
    <w:uiPriority w:val="98"/>
    <w:semiHidden/>
    <w:rPr>
      <w:sz w:val="24"/>
      <w:szCs w:val="24"/>
      <w:lang w:val="pl-PL"/>
    </w:rPr>
  </w:style>
  <w:style w:type="character" w:styleId="Odwoanieprzypisukocowego">
    <w:name w:val="endnote reference"/>
    <w:basedOn w:val="Domylnaczcionkaakapitu"/>
    <w:uiPriority w:val="98"/>
    <w:semiHidden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Pr>
      <w:sz w:val="20"/>
      <w:szCs w:val="20"/>
      <w:lang w:val="pl-PL"/>
    </w:rPr>
  </w:style>
  <w:style w:type="paragraph" w:styleId="Adresnakopercie">
    <w:name w:val="envelope address"/>
    <w:basedOn w:val="Normalny"/>
    <w:uiPriority w:val="98"/>
    <w:semiHidden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8"/>
    <w:semiHidden/>
    <w:rPr>
      <w:color w:val="7030A0" w:themeColor="followedHyperlink"/>
      <w:u w:val="single"/>
    </w:rPr>
  </w:style>
  <w:style w:type="character" w:styleId="HTML-akronim">
    <w:name w:val="HTML Acronym"/>
    <w:basedOn w:val="Domylnaczcionkaakapitu"/>
    <w:uiPriority w:val="98"/>
    <w:semiHidden/>
  </w:style>
  <w:style w:type="paragraph" w:styleId="HTML-adres">
    <w:name w:val="HTML Address"/>
    <w:basedOn w:val="Normalny"/>
    <w:link w:val="HTML-adresZnak"/>
    <w:uiPriority w:val="98"/>
    <w:semiHidden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Pr>
      <w:i/>
      <w:iCs/>
      <w:sz w:val="24"/>
      <w:szCs w:val="24"/>
      <w:lang w:val="pl-PL"/>
    </w:rPr>
  </w:style>
  <w:style w:type="character" w:styleId="HTML-cytat">
    <w:name w:val="HTML Cite"/>
    <w:basedOn w:val="Domylnaczcionkaakapitu"/>
    <w:uiPriority w:val="98"/>
    <w:semiHidden/>
    <w:rPr>
      <w:i/>
      <w:iCs/>
    </w:rPr>
  </w:style>
  <w:style w:type="character" w:styleId="HTML-kod">
    <w:name w:val="HTML Code"/>
    <w:basedOn w:val="Domylnaczcionkaakapitu"/>
    <w:uiPriority w:val="98"/>
    <w:semiHidden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8"/>
    <w:semiHidden/>
    <w:rPr>
      <w:i/>
      <w:iCs/>
    </w:rPr>
  </w:style>
  <w:style w:type="character" w:styleId="HTML-klawiatura">
    <w:name w:val="HTML Keyboard"/>
    <w:basedOn w:val="Domylnaczcionkaakapitu"/>
    <w:uiPriority w:val="98"/>
    <w:semiHidden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Pr>
      <w:rFonts w:ascii="Consolas" w:hAnsi="Consolas" w:cs="Consolas"/>
      <w:sz w:val="20"/>
      <w:szCs w:val="20"/>
      <w:lang w:val="pl-PL"/>
    </w:rPr>
  </w:style>
  <w:style w:type="character" w:styleId="HTML-przykad">
    <w:name w:val="HTML Sample"/>
    <w:basedOn w:val="Domylnaczcionkaakapitu"/>
    <w:uiPriority w:val="98"/>
    <w:semiHidden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8"/>
    <w:semiHidden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8"/>
    <w:semiHidden/>
    <w:rPr>
      <w:i/>
      <w:iCs/>
    </w:rPr>
  </w:style>
  <w:style w:type="paragraph" w:styleId="Indeks1">
    <w:name w:val="index 1"/>
    <w:basedOn w:val="Normalny"/>
    <w:next w:val="Normalny"/>
    <w:autoRedefine/>
    <w:uiPriority w:val="98"/>
    <w:semiHidden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Pr>
      <w:color w:val="474747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</w:style>
  <w:style w:type="paragraph" w:styleId="Lista">
    <w:name w:val="List"/>
    <w:basedOn w:val="Normalny"/>
    <w:uiPriority w:val="98"/>
    <w:semiHidden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pPr>
      <w:ind w:left="1415" w:hanging="283"/>
      <w:contextualSpacing/>
    </w:pPr>
  </w:style>
  <w:style w:type="paragraph" w:styleId="Listapunktowana2">
    <w:name w:val="List Bullet 2"/>
    <w:basedOn w:val="Normalny"/>
    <w:uiPriority w:val="98"/>
    <w:semiHidden/>
    <w:pPr>
      <w:numPr>
        <w:numId w:val="12"/>
      </w:numPr>
      <w:contextualSpacing/>
    </w:pPr>
  </w:style>
  <w:style w:type="paragraph" w:styleId="Listapunktowana3">
    <w:name w:val="List Bullet 3"/>
    <w:basedOn w:val="Normalny"/>
    <w:uiPriority w:val="98"/>
    <w:semiHidden/>
    <w:pPr>
      <w:numPr>
        <w:numId w:val="13"/>
      </w:numPr>
      <w:contextualSpacing/>
    </w:pPr>
  </w:style>
  <w:style w:type="paragraph" w:styleId="Listapunktowana4">
    <w:name w:val="List Bullet 4"/>
    <w:basedOn w:val="Normalny"/>
    <w:uiPriority w:val="98"/>
    <w:semiHidden/>
    <w:pPr>
      <w:numPr>
        <w:numId w:val="14"/>
      </w:numPr>
      <w:contextualSpacing/>
    </w:pPr>
  </w:style>
  <w:style w:type="paragraph" w:styleId="Listapunktowana5">
    <w:name w:val="List Bullet 5"/>
    <w:basedOn w:val="Normalny"/>
    <w:uiPriority w:val="98"/>
    <w:semiHidden/>
    <w:pPr>
      <w:numPr>
        <w:numId w:val="15"/>
      </w:numPr>
      <w:contextualSpacing/>
    </w:pPr>
  </w:style>
  <w:style w:type="paragraph" w:styleId="Lista-kontynuacja">
    <w:name w:val="List Continue"/>
    <w:basedOn w:val="Normalny"/>
    <w:uiPriority w:val="98"/>
    <w:semiHidden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pPr>
      <w:numPr>
        <w:numId w:val="16"/>
      </w:numPr>
      <w:contextualSpacing/>
    </w:pPr>
  </w:style>
  <w:style w:type="paragraph" w:styleId="Listanumerowana2">
    <w:name w:val="List Number 2"/>
    <w:basedOn w:val="Normalny"/>
    <w:uiPriority w:val="98"/>
    <w:semiHidden/>
    <w:pPr>
      <w:numPr>
        <w:numId w:val="17"/>
      </w:numPr>
      <w:contextualSpacing/>
    </w:pPr>
  </w:style>
  <w:style w:type="paragraph" w:styleId="Listanumerowana3">
    <w:name w:val="List Number 3"/>
    <w:basedOn w:val="Normalny"/>
    <w:uiPriority w:val="98"/>
    <w:semiHidden/>
    <w:pPr>
      <w:numPr>
        <w:numId w:val="18"/>
      </w:numPr>
      <w:contextualSpacing/>
    </w:pPr>
  </w:style>
  <w:style w:type="paragraph" w:styleId="Listanumerowana4">
    <w:name w:val="List Number 4"/>
    <w:basedOn w:val="Normalny"/>
    <w:uiPriority w:val="98"/>
    <w:semiHidden/>
    <w:pPr>
      <w:numPr>
        <w:numId w:val="19"/>
      </w:numPr>
      <w:contextualSpacing/>
    </w:pPr>
  </w:style>
  <w:style w:type="paragraph" w:styleId="Listanumerowana5">
    <w:name w:val="List Number 5"/>
    <w:basedOn w:val="Normalny"/>
    <w:uiPriority w:val="98"/>
    <w:semiHidden/>
    <w:pPr>
      <w:numPr>
        <w:numId w:val="20"/>
      </w:numPr>
      <w:contextualSpacing/>
    </w:pPr>
  </w:style>
  <w:style w:type="paragraph" w:styleId="Tekstmakra">
    <w:name w:val="macro"/>
    <w:link w:val="TekstmakraZnak"/>
    <w:uiPriority w:val="98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69"/>
    <w:semiHidden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Pr>
      <w:rFonts w:asciiTheme="majorHAnsi" w:eastAsiaTheme="majorEastAsia" w:hAnsiTheme="majorHAnsi" w:cstheme="majorBidi"/>
      <w:sz w:val="24"/>
      <w:szCs w:val="24"/>
      <w:shd w:val="pct20" w:color="auto" w:fill="auto"/>
      <w:lang w:val="pl-PL"/>
    </w:rPr>
  </w:style>
  <w:style w:type="paragraph" w:styleId="NormalnyWeb">
    <w:name w:val="Normal (Web)"/>
    <w:basedOn w:val="Normalny"/>
    <w:uiPriority w:val="98"/>
    <w:semiHidden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pPr>
      <w:ind w:left="720"/>
    </w:pPr>
  </w:style>
  <w:style w:type="paragraph" w:customStyle="1" w:styleId="ECHRHeaderLandscape">
    <w:name w:val="ECHR_Header_Landscape"/>
    <w:aliases w:val="_Header_Landscape"/>
    <w:basedOn w:val="JuHeader"/>
    <w:uiPriority w:val="29"/>
    <w:semiHidden/>
    <w:pPr>
      <w:tabs>
        <w:tab w:val="center" w:pos="6146"/>
        <w:tab w:val="right" w:pos="13778"/>
      </w:tabs>
      <w:ind w:left="-1474" w:right="-1474"/>
    </w:pPr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Pr>
      <w:sz w:val="24"/>
      <w:szCs w:val="24"/>
      <w:lang w:val="pl-PL"/>
    </w:rPr>
  </w:style>
  <w:style w:type="paragraph" w:styleId="Zwykytekst">
    <w:name w:val="Plain Text"/>
    <w:basedOn w:val="Normalny"/>
    <w:link w:val="ZwykytekstZnak"/>
    <w:uiPriority w:val="98"/>
    <w:semiHidden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Pr>
      <w:rFonts w:ascii="Consolas" w:hAnsi="Consolas" w:cs="Consolas"/>
      <w:sz w:val="21"/>
      <w:szCs w:val="21"/>
      <w:lang w:val="pl-PL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Pr>
      <w:sz w:val="24"/>
      <w:szCs w:val="24"/>
      <w:lang w:val="pl-PL"/>
    </w:rPr>
  </w:style>
  <w:style w:type="paragraph" w:styleId="Podpis">
    <w:name w:val="Signature"/>
    <w:basedOn w:val="Normalny"/>
    <w:link w:val="PodpisZnak"/>
    <w:uiPriority w:val="98"/>
    <w:semiHidden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Pr>
      <w:sz w:val="24"/>
      <w:szCs w:val="24"/>
      <w:lang w:val="pl-PL"/>
    </w:rPr>
  </w:style>
  <w:style w:type="table" w:styleId="Tabela-Efekty3W1">
    <w:name w:val="Table 3D effects 1"/>
    <w:basedOn w:val="Standardowy"/>
    <w:uiPriority w:val="99"/>
    <w:semiHidden/>
    <w:unhideWhenUsed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unhideWhenUsed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unhideWhenUsed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</w:style>
  <w:style w:type="table" w:styleId="Tabela-Profesjonalny">
    <w:name w:val="Table Professional"/>
    <w:basedOn w:val="Standardowy"/>
    <w:uiPriority w:val="99"/>
    <w:semiHidden/>
    <w:unhideWhenUsed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8"/>
    <w:semiHidden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Pr>
      <w:sz w:val="8"/>
    </w:rPr>
  </w:style>
  <w:style w:type="paragraph" w:customStyle="1" w:styleId="ECHRFooterLine">
    <w:name w:val="ECHR_Footer_Line"/>
    <w:aliases w:val="_Footer_Line"/>
    <w:basedOn w:val="Normalny"/>
    <w:next w:val="Normalny"/>
    <w:uiPriority w:val="30"/>
    <w:semiHidden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character" w:styleId="Hipercze">
    <w:name w:val="Hyperlink"/>
    <w:basedOn w:val="Domylnaczcionkaakapitu"/>
    <w:uiPriority w:val="98"/>
    <w:semiHidden/>
    <w:rPr>
      <w:color w:val="0072BC" w:themeColor="hyperlink"/>
      <w:u w:val="single"/>
    </w:rPr>
  </w:style>
  <w:style w:type="paragraph" w:styleId="Nagweknotatki">
    <w:name w:val="Note Heading"/>
    <w:basedOn w:val="Normalny"/>
    <w:next w:val="Normalny"/>
    <w:link w:val="NagweknotatkiZnak"/>
    <w:uiPriority w:val="98"/>
    <w:semiHidden/>
  </w:style>
  <w:style w:type="paragraph" w:customStyle="1" w:styleId="DecList">
    <w:name w:val="Dec_List"/>
    <w:aliases w:val="_List"/>
    <w:basedOn w:val="JuList"/>
    <w:uiPriority w:val="22"/>
    <w:pPr>
      <w:numPr>
        <w:numId w:val="0"/>
      </w:numPr>
      <w:ind w:left="284"/>
    </w:pPr>
  </w:style>
  <w:style w:type="paragraph" w:customStyle="1" w:styleId="ECHRPlaceholder">
    <w:name w:val="ECHR_Placeholder"/>
    <w:aliases w:val="_Placeholder"/>
    <w:basedOn w:val="JuSigned"/>
    <w:uiPriority w:val="31"/>
    <w:rPr>
      <w:color w:val="FFFFFF"/>
    </w:rPr>
  </w:style>
  <w:style w:type="paragraph" w:customStyle="1" w:styleId="ECHRBullet1">
    <w:name w:val="ECHR_Bullet_1"/>
    <w:aliases w:val="_Bul_1"/>
    <w:basedOn w:val="NormalJustified"/>
    <w:uiPriority w:val="23"/>
    <w:semiHidden/>
    <w:qFormat/>
    <w:pPr>
      <w:numPr>
        <w:numId w:val="7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Pr>
      <w:rFonts w:ascii="Arial" w:hAnsi="Arial"/>
      <w:i/>
      <w:color w:val="002856"/>
      <w:sz w:val="32"/>
      <w:szCs w:val="24"/>
      <w:lang w:val="pl-PL"/>
    </w:rPr>
  </w:style>
  <w:style w:type="paragraph" w:customStyle="1" w:styleId="ECHRFooterLineLandscape">
    <w:name w:val="ECHR_Footer_Line_Landscape"/>
    <w:aliases w:val="_Footer_Line_Landscape"/>
    <w:basedOn w:val="Normalny"/>
    <w:uiPriority w:val="30"/>
    <w:semiHidden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74747" w:themeColor="accent3" w:themeShade="BF"/>
      <w:sz w:val="2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semiHidden/>
    <w:qFormat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Nagwek9"/>
    <w:uiPriority w:val="17"/>
    <w:semiHidden/>
    <w:pPr>
      <w:keepNext/>
      <w:keepLines/>
      <w:numPr>
        <w:ilvl w:val="8"/>
        <w:numId w:val="9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pPr>
      <w:pBdr>
        <w:bottom w:val="single" w:sz="12" w:space="1" w:color="949494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ny"/>
    <w:uiPriority w:val="23"/>
    <w:semiHidden/>
    <w:qFormat/>
    <w:pPr>
      <w:numPr>
        <w:numId w:val="8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ny"/>
    <w:uiPriority w:val="8"/>
    <w:semiHidden/>
    <w:qFormat/>
    <w:pPr>
      <w:ind w:left="567" w:hanging="567"/>
      <w:jc w:val="both"/>
    </w:pPr>
  </w:style>
  <w:style w:type="paragraph" w:customStyle="1" w:styleId="ECHRParaIndent">
    <w:name w:val="ECHR_Para_Indent"/>
    <w:aliases w:val="_Indent"/>
    <w:basedOn w:val="Normalny"/>
    <w:uiPriority w:val="7"/>
    <w:semiHidden/>
    <w:qFormat/>
    <w:pPr>
      <w:spacing w:before="120" w:after="120"/>
      <w:ind w:left="284"/>
      <w:jc w:val="both"/>
    </w:pPr>
  </w:style>
  <w:style w:type="character" w:customStyle="1" w:styleId="ECHRRed">
    <w:name w:val="ECHR_Red"/>
    <w:aliases w:val="_Red"/>
    <w:basedOn w:val="Domylnaczcionkaakapitu"/>
    <w:uiPriority w:val="15"/>
    <w:semiHidden/>
    <w:qFormat/>
    <w:rPr>
      <w:color w:val="C00000" w:themeColor="accent2"/>
    </w:rPr>
  </w:style>
  <w:style w:type="paragraph" w:customStyle="1" w:styleId="ECHRSpacer">
    <w:name w:val="ECHR_Spacer"/>
    <w:aliases w:val="_Spacer"/>
    <w:basedOn w:val="Normalny"/>
    <w:uiPriority w:val="45"/>
    <w:semiHidden/>
    <w:rPr>
      <w:sz w:val="4"/>
    </w:rPr>
  </w:style>
  <w:style w:type="table" w:customStyle="1" w:styleId="ECHRTable2">
    <w:name w:val="ECHR_Table_2"/>
    <w:basedOn w:val="Standardowy"/>
    <w:uiPriority w:val="99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F8F8F8" w:themeColor="background2"/>
          <w:tl2br w:val="nil"/>
          <w:tr2bl w:val="nil"/>
        </w:tcBorders>
        <w:shd w:val="clear" w:color="auto" w:fill="5F5F5F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E8E8E8" w:themeFill="text2" w:themeFillTint="66"/>
      </w:tcPr>
    </w:tblStyle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pPr>
      <w:keepNext/>
      <w:keepLines/>
      <w:spacing w:before="240"/>
      <w:contextualSpacing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pPr>
      <w:keepNext/>
      <w:keepLines/>
      <w:spacing w:before="240"/>
      <w:contextualSpacing/>
      <w:jc w:val="center"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pPr>
      <w:outlineLvl w:val="0"/>
    </w:pPr>
  </w:style>
  <w:style w:type="table" w:customStyle="1" w:styleId="ECHRTableGrey">
    <w:name w:val="ECHR_Table_Grey"/>
    <w:basedOn w:val="Standardowy"/>
    <w:uiPriority w:val="99"/>
    <w:pPr>
      <w:tabs>
        <w:tab w:val="left" w:pos="397"/>
      </w:tabs>
    </w:pPr>
    <w:tblPr>
      <w:jc w:val="center"/>
      <w:tblBorders>
        <w:top w:val="single" w:sz="4" w:space="0" w:color="636363" w:themeColor="text2" w:themeShade="80"/>
        <w:left w:val="single" w:sz="4" w:space="0" w:color="636363" w:themeColor="text2" w:themeShade="80"/>
        <w:bottom w:val="single" w:sz="4" w:space="0" w:color="636363" w:themeColor="text2" w:themeShade="80"/>
        <w:right w:val="single" w:sz="4" w:space="0" w:color="636363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3F191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007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67B8DA-7274-4A6A-94BE-DEECABE05B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845</Words>
  <Characters>5070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>1</cp:revision>
  <dcterms:created xsi:type="dcterms:W3CDTF">2022-11-03T14:30:00Z</dcterms:created>
  <dcterms:modified xsi:type="dcterms:W3CDTF">2023-04-06T12:59:00Z</dcterms:modified>
  <cp:category/>
</cp:coreProperties>
</file>