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62B95" w14:textId="6F155582" w:rsidR="007071A1" w:rsidRPr="006779BA" w:rsidRDefault="006779BA" w:rsidP="006779BA">
      <w:pPr>
        <w:pStyle w:val="DecHTitle"/>
      </w:pPr>
      <w:r w:rsidRPr="006779BA">
        <w:t>EUROPEJSKI TRYBUNAŁ PRAW CZŁOWIEKA</w:t>
      </w:r>
    </w:p>
    <w:p w14:paraId="6E2712C0" w14:textId="77777777" w:rsidR="0098410D" w:rsidRPr="00115299" w:rsidRDefault="0098410D" w:rsidP="006A6D43">
      <w:pPr>
        <w:jc w:val="center"/>
      </w:pPr>
    </w:p>
    <w:p w14:paraId="6C073D71" w14:textId="5FC4E669" w:rsidR="0098410D" w:rsidRPr="00115299" w:rsidRDefault="007071A1" w:rsidP="006A6D43">
      <w:pPr>
        <w:pStyle w:val="DecHTitle"/>
      </w:pPr>
      <w:r w:rsidRPr="00115299">
        <w:t>SEKCJA PIERWSZA</w:t>
      </w:r>
    </w:p>
    <w:p w14:paraId="6CCD1541" w14:textId="5E5B1239" w:rsidR="008E6217" w:rsidRPr="00115299" w:rsidRDefault="008E6217" w:rsidP="006A6D43">
      <w:pPr>
        <w:pStyle w:val="JuTitle"/>
      </w:pPr>
      <w:r w:rsidRPr="00115299">
        <w:rPr>
          <w:color w:val="000000" w:themeColor="text1"/>
        </w:rPr>
        <w:t xml:space="preserve">SPRAWA </w:t>
      </w:r>
      <w:r w:rsidRPr="00115299">
        <w:t>ROMANOWSKI PRZECIWKO POLSCE</w:t>
      </w:r>
    </w:p>
    <w:p w14:paraId="12B54C89" w14:textId="3DFF36BF" w:rsidR="00D74888" w:rsidRPr="00115299" w:rsidRDefault="008E6217" w:rsidP="006A6D43">
      <w:pPr>
        <w:pStyle w:val="ECHRCoverTitle4"/>
      </w:pPr>
      <w:r w:rsidRPr="00115299">
        <w:t>(Skarga nr 55297/16)</w:t>
      </w:r>
    </w:p>
    <w:p w14:paraId="5045E93A" w14:textId="77777777" w:rsidR="0098410D" w:rsidRPr="00115299" w:rsidRDefault="0098410D" w:rsidP="006A6D43">
      <w:pPr>
        <w:pStyle w:val="DecHCase"/>
      </w:pPr>
    </w:p>
    <w:p w14:paraId="25113E86" w14:textId="29495A48" w:rsidR="0098410D" w:rsidRPr="00115299" w:rsidRDefault="0098410D" w:rsidP="006A6D43">
      <w:pPr>
        <w:pStyle w:val="DecHCase"/>
      </w:pPr>
    </w:p>
    <w:p w14:paraId="7E194CDA" w14:textId="2BA63916" w:rsidR="00E53126" w:rsidRPr="00115299" w:rsidRDefault="00E53126" w:rsidP="006A6D43">
      <w:pPr>
        <w:pStyle w:val="DecHCase"/>
      </w:pPr>
    </w:p>
    <w:p w14:paraId="22E8DE6E" w14:textId="77777777" w:rsidR="00E53126" w:rsidRPr="00115299" w:rsidRDefault="00E53126" w:rsidP="006A6D43">
      <w:pPr>
        <w:pStyle w:val="DecHCase"/>
      </w:pPr>
    </w:p>
    <w:p w14:paraId="2198561A" w14:textId="77777777" w:rsidR="00AC4CD4" w:rsidRPr="00115299" w:rsidRDefault="00AC4CD4" w:rsidP="006A6D43">
      <w:pPr>
        <w:pStyle w:val="DecHCase"/>
      </w:pPr>
    </w:p>
    <w:p w14:paraId="6C2BD87E" w14:textId="77777777" w:rsidR="0098410D" w:rsidRPr="00115299" w:rsidRDefault="0098410D" w:rsidP="006A6D43">
      <w:pPr>
        <w:pStyle w:val="DecHCase"/>
      </w:pPr>
    </w:p>
    <w:p w14:paraId="691D4AB0" w14:textId="788900B3" w:rsidR="0098410D" w:rsidRPr="00115299" w:rsidRDefault="0098410D" w:rsidP="006A6D43">
      <w:pPr>
        <w:pStyle w:val="DecHCase"/>
      </w:pPr>
      <w:r w:rsidRPr="00115299">
        <w:t>WYROK</w:t>
      </w:r>
      <w:r w:rsidRPr="00115299">
        <w:br/>
      </w:r>
    </w:p>
    <w:p w14:paraId="23C737F4" w14:textId="77777777" w:rsidR="0098410D" w:rsidRPr="00115299" w:rsidRDefault="0098410D" w:rsidP="006A6D43">
      <w:pPr>
        <w:pStyle w:val="DecHCase"/>
      </w:pPr>
      <w:r w:rsidRPr="00115299">
        <w:t>STRASBURG</w:t>
      </w:r>
    </w:p>
    <w:p w14:paraId="2CBA4257" w14:textId="28AD0490" w:rsidR="0098410D" w:rsidRPr="00115299" w:rsidRDefault="007071A1" w:rsidP="006A6D43">
      <w:pPr>
        <w:pStyle w:val="DecHCase"/>
      </w:pPr>
      <w:r w:rsidRPr="00115299">
        <w:rPr>
          <w:rFonts w:ascii="Times New Roman" w:hAnsi="Times New Roman"/>
        </w:rPr>
        <w:t>12 stycznia 2023 r.</w:t>
      </w:r>
    </w:p>
    <w:p w14:paraId="46EA7E76" w14:textId="77777777" w:rsidR="00E53126" w:rsidRPr="00115299" w:rsidRDefault="00E53126" w:rsidP="006A6D43">
      <w:pPr>
        <w:pStyle w:val="JuPara"/>
      </w:pPr>
    </w:p>
    <w:p w14:paraId="27DF0ABB" w14:textId="73B54C0E" w:rsidR="002422B6" w:rsidRPr="00115299" w:rsidRDefault="0098410D" w:rsidP="006A6D43">
      <w:pPr>
        <w:rPr>
          <w:i/>
          <w:sz w:val="22"/>
        </w:rPr>
      </w:pPr>
      <w:r w:rsidRPr="00115299">
        <w:rPr>
          <w:i/>
          <w:sz w:val="22"/>
        </w:rPr>
        <w:t>Niniejszy wyrok jest ostateczny, ale może podlegać korekcie wydawniczej.</w:t>
      </w:r>
    </w:p>
    <w:p w14:paraId="32AB5FE8" w14:textId="77777777" w:rsidR="0098410D" w:rsidRPr="00115299" w:rsidRDefault="0098410D" w:rsidP="006A6D43">
      <w:pPr>
        <w:sectPr w:rsidR="0098410D" w:rsidRPr="00115299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738B208E" w14:textId="106BCFEA" w:rsidR="0098410D" w:rsidRPr="00115299" w:rsidRDefault="0098410D" w:rsidP="006A6D43">
      <w:pPr>
        <w:pStyle w:val="JuCase"/>
      </w:pPr>
      <w:r w:rsidRPr="00115299">
        <w:lastRenderedPageBreak/>
        <w:t>W sprawie Romanowski przeciwko Polsce</w:t>
      </w:r>
    </w:p>
    <w:p w14:paraId="3B6CE4E7" w14:textId="0ECC641C" w:rsidR="009F4C8F" w:rsidRPr="00115299" w:rsidRDefault="009F4C8F" w:rsidP="006A6D43">
      <w:pPr>
        <w:pStyle w:val="JuPara"/>
      </w:pPr>
      <w:r w:rsidRPr="00115299">
        <w:t>Europejski Trybunał Praw Człowieka (</w:t>
      </w:r>
      <w:r w:rsidR="005065C2">
        <w:t>Sekcja</w:t>
      </w:r>
      <w:r w:rsidR="005065C2" w:rsidRPr="00115299">
        <w:t xml:space="preserve"> </w:t>
      </w:r>
      <w:r w:rsidR="005065C2">
        <w:t>Pierwsza</w:t>
      </w:r>
      <w:r w:rsidRPr="00115299">
        <w:t>), zasiadając jako Komitet w składzie:</w:t>
      </w:r>
    </w:p>
    <w:p w14:paraId="5B965725" w14:textId="6B113842" w:rsidR="009F4C8F" w:rsidRPr="00115299" w:rsidRDefault="008F07BE" w:rsidP="006A6D43">
      <w:pPr>
        <w:pStyle w:val="JuJudges"/>
      </w:pPr>
      <w:r w:rsidRPr="00115299">
        <w:tab/>
      </w:r>
      <w:proofErr w:type="spellStart"/>
      <w:r w:rsidR="00320852" w:rsidRPr="00115299">
        <w:t>Lətif</w:t>
      </w:r>
      <w:proofErr w:type="spellEnd"/>
      <w:r w:rsidR="00320852" w:rsidRPr="00115299">
        <w:t xml:space="preserve"> </w:t>
      </w:r>
      <w:proofErr w:type="spellStart"/>
      <w:r w:rsidR="00320852" w:rsidRPr="00115299">
        <w:t>Hüseynov</w:t>
      </w:r>
      <w:proofErr w:type="spellEnd"/>
      <w:r w:rsidRPr="00115299">
        <w:t>,</w:t>
      </w:r>
      <w:r w:rsidRPr="00115299">
        <w:rPr>
          <w:i/>
        </w:rPr>
        <w:t xml:space="preserve"> Przewodniczący,</w:t>
      </w:r>
      <w:r w:rsidRPr="00115299">
        <w:br/>
      </w:r>
      <w:r w:rsidRPr="00115299">
        <w:tab/>
        <w:t xml:space="preserve">Lorraine </w:t>
      </w:r>
      <w:proofErr w:type="spellStart"/>
      <w:r w:rsidRPr="00115299">
        <w:t>Schembri</w:t>
      </w:r>
      <w:proofErr w:type="spellEnd"/>
      <w:r w:rsidRPr="00115299">
        <w:t xml:space="preserve"> </w:t>
      </w:r>
      <w:proofErr w:type="spellStart"/>
      <w:r w:rsidRPr="00115299">
        <w:t>Orland</w:t>
      </w:r>
      <w:proofErr w:type="spellEnd"/>
      <w:r w:rsidRPr="00115299">
        <w:t>,</w:t>
      </w:r>
      <w:r w:rsidRPr="00115299">
        <w:br/>
      </w:r>
      <w:r w:rsidRPr="00115299">
        <w:tab/>
      </w:r>
      <w:r w:rsidR="00320852" w:rsidRPr="00115299">
        <w:t xml:space="preserve">Erik </w:t>
      </w:r>
      <w:proofErr w:type="spellStart"/>
      <w:r w:rsidR="00320852" w:rsidRPr="00115299">
        <w:t>Wennerström</w:t>
      </w:r>
      <w:proofErr w:type="spellEnd"/>
      <w:r w:rsidRPr="00115299">
        <w:t>,</w:t>
      </w:r>
      <w:r w:rsidRPr="00115299">
        <w:rPr>
          <w:i/>
        </w:rPr>
        <w:t xml:space="preserve"> </w:t>
      </w:r>
      <w:r w:rsidR="008B1E9A" w:rsidRPr="00115299">
        <w:rPr>
          <w:i/>
        </w:rPr>
        <w:t>S</w:t>
      </w:r>
      <w:r w:rsidRPr="00115299">
        <w:rPr>
          <w:i/>
        </w:rPr>
        <w:t>ędziowie,</w:t>
      </w:r>
      <w:r w:rsidRPr="00115299">
        <w:br/>
        <w:t xml:space="preserve">i </w:t>
      </w:r>
      <w:proofErr w:type="spellStart"/>
      <w:r w:rsidRPr="00115299">
        <w:t>Liv</w:t>
      </w:r>
      <w:proofErr w:type="spellEnd"/>
      <w:r w:rsidRPr="00115299">
        <w:t xml:space="preserve"> </w:t>
      </w:r>
      <w:proofErr w:type="spellStart"/>
      <w:r w:rsidRPr="00115299">
        <w:t>Tigerstedt</w:t>
      </w:r>
      <w:proofErr w:type="spellEnd"/>
      <w:r w:rsidRPr="00115299">
        <w:t xml:space="preserve">, </w:t>
      </w:r>
      <w:r w:rsidRPr="00115299">
        <w:rPr>
          <w:i/>
          <w:iCs/>
        </w:rPr>
        <w:t>Zastępca Kanclerza Sekcji</w:t>
      </w:r>
      <w:r w:rsidRPr="00115299">
        <w:t>,</w:t>
      </w:r>
    </w:p>
    <w:p w14:paraId="319A0F7E" w14:textId="77777777" w:rsidR="007071A1" w:rsidRPr="00115299" w:rsidRDefault="007071A1" w:rsidP="006A6D43">
      <w:pPr>
        <w:pStyle w:val="JuPara"/>
      </w:pPr>
      <w:r w:rsidRPr="00115299">
        <w:t>mając na uwadze:</w:t>
      </w:r>
    </w:p>
    <w:p w14:paraId="7E512192" w14:textId="2384C068" w:rsidR="007071A1" w:rsidRPr="00115299" w:rsidRDefault="007071A1" w:rsidP="006A6D43">
      <w:pPr>
        <w:pStyle w:val="JuPara"/>
      </w:pPr>
      <w:r w:rsidRPr="00115299">
        <w:t>skargę (nr</w:t>
      </w:r>
      <w:r w:rsidR="00320852" w:rsidRPr="00115299">
        <w:t xml:space="preserve"> </w:t>
      </w:r>
      <w:r w:rsidRPr="00115299">
        <w:t>55297/16) przeciwko Rzeczypospolitej Polskiej wniesioną do Trybunału na podstawie art. 34 Konwencji o ochronie praw człowieka i podstawowych wolności („Konwencja”) w dniu 15 września 2016 r. przez obywatela polskiego Marcina Romanowskiego, urodzonego w 1976 r. i zamieszkałego w Warszawie („skarżący”), reprezentowanego przez M.</w:t>
      </w:r>
      <w:r w:rsidR="001E1186" w:rsidRPr="00115299">
        <w:t> </w:t>
      </w:r>
      <w:r w:rsidRPr="00115299">
        <w:t>Zaborowskiego, prawnika praktykującego w Warszawie;</w:t>
      </w:r>
    </w:p>
    <w:p w14:paraId="0981E537" w14:textId="36D61CE4" w:rsidR="007071A1" w:rsidRPr="00115299" w:rsidRDefault="007071A1" w:rsidP="006A6D43">
      <w:pPr>
        <w:pStyle w:val="JuPara"/>
      </w:pPr>
      <w:r w:rsidRPr="00115299">
        <w:t>decyzję o zakomunikowaniu sprawy rządowi polskiemu („Rząd”), reprezentowanemu przez pełnomocnika J. Sobczaka;</w:t>
      </w:r>
    </w:p>
    <w:p w14:paraId="5743162B" w14:textId="0347948A" w:rsidR="007071A1" w:rsidRPr="00115299" w:rsidRDefault="007071A1" w:rsidP="006A6D43">
      <w:pPr>
        <w:pStyle w:val="JuPara"/>
      </w:pPr>
      <w:r w:rsidRPr="00115299">
        <w:t>uwagi przedstawione przez strony;</w:t>
      </w:r>
    </w:p>
    <w:p w14:paraId="43B64963" w14:textId="44076D7D" w:rsidR="007071A1" w:rsidRPr="00115299" w:rsidRDefault="007071A1" w:rsidP="006A6D43">
      <w:pPr>
        <w:pStyle w:val="JuPara"/>
      </w:pPr>
      <w:r w:rsidRPr="00115299">
        <w:t>decyzję o oddaleniu zastrzeżenia Rządu w sprawie rozpatrzenia skargi przez Komitet,</w:t>
      </w:r>
    </w:p>
    <w:p w14:paraId="42F3EEA2" w14:textId="6AECE4F3" w:rsidR="009F4C8F" w:rsidRPr="00115299" w:rsidRDefault="009F4C8F" w:rsidP="006A6D43">
      <w:pPr>
        <w:pStyle w:val="JuPara"/>
      </w:pPr>
      <w:r w:rsidRPr="00115299">
        <w:t>obradując na posiedzeniu niejawnym w dniu 29 listopada 2022 r.,</w:t>
      </w:r>
    </w:p>
    <w:p w14:paraId="23168AB4" w14:textId="77777777" w:rsidR="009F4C8F" w:rsidRPr="00115299" w:rsidRDefault="009F4C8F" w:rsidP="006A6D43">
      <w:pPr>
        <w:pStyle w:val="JuPara"/>
      </w:pPr>
      <w:r w:rsidRPr="00115299">
        <w:t>wydaje następujący wyrok, który został przyjęty w tym dniu:</w:t>
      </w:r>
    </w:p>
    <w:p w14:paraId="32D3EAAA" w14:textId="0119B9F0" w:rsidR="007071A1" w:rsidRPr="00115299" w:rsidRDefault="007071A1" w:rsidP="006A6D43">
      <w:pPr>
        <w:pStyle w:val="JuHHead"/>
        <w:numPr>
          <w:ilvl w:val="0"/>
          <w:numId w:val="0"/>
        </w:numPr>
      </w:pPr>
      <w:r w:rsidRPr="00115299">
        <w:t>PRZEDMIOT SPRAWY</w:t>
      </w:r>
    </w:p>
    <w:p w14:paraId="06DE5C58" w14:textId="22449328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</w:t>
        </w:r>
      </w:fldSimple>
      <w:r w:rsidRPr="00115299">
        <w:t xml:space="preserve">.  Niniejsza sprawa w zakresie ochrony </w:t>
      </w:r>
      <w:r w:rsidR="00411E69" w:rsidRPr="00115299">
        <w:t xml:space="preserve">dobrego imienia </w:t>
      </w:r>
      <w:r w:rsidRPr="00115299">
        <w:t>dotyczy rozstrzygnięcia powództwa</w:t>
      </w:r>
      <w:r w:rsidR="00AC4FFE">
        <w:t xml:space="preserve"> krajowego</w:t>
      </w:r>
      <w:r w:rsidR="00320852" w:rsidRPr="00115299">
        <w:t xml:space="preserve">, które wytoczono </w:t>
      </w:r>
      <w:r w:rsidRPr="00115299">
        <w:t>w związku z</w:t>
      </w:r>
      <w:r w:rsidR="00AF218F">
        <w:t> </w:t>
      </w:r>
      <w:r w:rsidR="00AC4FFE">
        <w:t>wypowiedziami</w:t>
      </w:r>
      <w:r w:rsidRPr="00115299">
        <w:t xml:space="preserve"> o nieprawdziwej i zniesławiającej treści, jakoby skarżący</w:t>
      </w:r>
      <w:r w:rsidR="00320852" w:rsidRPr="00115299">
        <w:t xml:space="preserve"> – </w:t>
      </w:r>
      <w:r w:rsidRPr="00115299">
        <w:t>pracownik ministerstwa</w:t>
      </w:r>
      <w:r w:rsidR="00320852" w:rsidRPr="00115299">
        <w:t xml:space="preserve"> – d</w:t>
      </w:r>
      <w:r w:rsidRPr="00115299">
        <w:t>opuścił się niewłaściwego wykorzystania sprzętu finansowanego ze środków publicznych.</w:t>
      </w:r>
    </w:p>
    <w:p w14:paraId="1B89549E" w14:textId="24BC63E7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2</w:t>
        </w:r>
      </w:fldSimple>
      <w:r w:rsidRPr="00115299">
        <w:t xml:space="preserve">.  Skarżący, który pracował jako jeden z kilku asystentów i doradców ustępującego </w:t>
      </w:r>
      <w:r w:rsidR="00320852" w:rsidRPr="00115299">
        <w:t>m</w:t>
      </w:r>
      <w:r w:rsidRPr="00115299">
        <w:t xml:space="preserve">inistra </w:t>
      </w:r>
      <w:r w:rsidR="00320852" w:rsidRPr="00115299">
        <w:t>sprawiedliwości</w:t>
      </w:r>
      <w:r w:rsidRPr="00115299">
        <w:t xml:space="preserve">, wniósł pozew o naruszenie dóbr osobistych przeciwko nowemu </w:t>
      </w:r>
      <w:r w:rsidR="00320852" w:rsidRPr="00115299">
        <w:t xml:space="preserve">ministrowi </w:t>
      </w:r>
      <w:r w:rsidRPr="00115299">
        <w:t xml:space="preserve">w związku z jego </w:t>
      </w:r>
      <w:r w:rsidR="00AC4FFE">
        <w:t>wypowiedziami</w:t>
      </w:r>
      <w:r w:rsidRPr="00115299">
        <w:t xml:space="preserve">, iż służbowe laptopy wykorzystywane przez ustępującego </w:t>
      </w:r>
      <w:r w:rsidR="00320852" w:rsidRPr="00115299">
        <w:t xml:space="preserve">ministra </w:t>
      </w:r>
      <w:r w:rsidRPr="00115299">
        <w:t>i</w:t>
      </w:r>
      <w:r w:rsidR="00320852" w:rsidRPr="00115299">
        <w:t> </w:t>
      </w:r>
      <w:r w:rsidRPr="00115299">
        <w:t xml:space="preserve">skarżącego zostały zniszczone oraz </w:t>
      </w:r>
      <w:r w:rsidR="00AC4FFE">
        <w:t>że</w:t>
      </w:r>
      <w:r w:rsidRPr="00115299">
        <w:t xml:space="preserve"> zniszczenie nie </w:t>
      </w:r>
      <w:r w:rsidR="005065C2">
        <w:t>było</w:t>
      </w:r>
      <w:r w:rsidRPr="00115299">
        <w:t xml:space="preserve"> przypadkowe i</w:t>
      </w:r>
      <w:r w:rsidR="00AF218F">
        <w:t> </w:t>
      </w:r>
      <w:r w:rsidRPr="00115299">
        <w:t xml:space="preserve">mogło stanowić przestępstwo. Zaskarżone </w:t>
      </w:r>
      <w:r w:rsidR="00AC4FFE">
        <w:t>wypowiedzi</w:t>
      </w:r>
      <w:r w:rsidRPr="00115299">
        <w:t xml:space="preserve"> padły na konferencji prasowej, podczas której </w:t>
      </w:r>
      <w:r w:rsidR="005168A1" w:rsidRPr="00115299">
        <w:t xml:space="preserve">minister </w:t>
      </w:r>
      <w:r w:rsidRPr="00115299">
        <w:t>nie wymienił skarżącego z</w:t>
      </w:r>
      <w:r w:rsidR="00320852" w:rsidRPr="00115299">
        <w:t> </w:t>
      </w:r>
      <w:r w:rsidRPr="00115299">
        <w:t>nazwiska</w:t>
      </w:r>
      <w:r w:rsidR="006F6438" w:rsidRPr="00115299">
        <w:t>,</w:t>
      </w:r>
      <w:r w:rsidRPr="00115299">
        <w:t xml:space="preserve"> ale</w:t>
      </w:r>
      <w:r w:rsidR="00AF218F">
        <w:t> </w:t>
      </w:r>
      <w:r w:rsidRPr="00115299">
        <w:t xml:space="preserve">określił go jako asystenta byłego </w:t>
      </w:r>
      <w:r w:rsidR="00320852" w:rsidRPr="00115299">
        <w:t>ministra</w:t>
      </w:r>
      <w:r w:rsidRPr="00115299">
        <w:t>, jak też zostały zawarte w</w:t>
      </w:r>
      <w:r w:rsidR="00AF218F">
        <w:t> </w:t>
      </w:r>
      <w:r w:rsidRPr="00115299">
        <w:t xml:space="preserve">komunikacie prasowym opublikowanym na stronie Ministerstwa Sprawiedliwości dzień przed konferencją, </w:t>
      </w:r>
      <w:r w:rsidR="001E78AD" w:rsidRPr="00115299">
        <w:t>gdzie podano</w:t>
      </w:r>
      <w:r w:rsidR="00221E5F" w:rsidRPr="00115299">
        <w:t xml:space="preserve"> imię i nazwisko</w:t>
      </w:r>
      <w:r w:rsidRPr="00115299">
        <w:t xml:space="preserve"> skarżącego.</w:t>
      </w:r>
    </w:p>
    <w:p w14:paraId="7E7FF129" w14:textId="71FDE827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3</w:t>
        </w:r>
      </w:fldSimple>
      <w:r w:rsidRPr="00115299">
        <w:t xml:space="preserve">.  Skarżącego wymieniano z nazwiska również w przekazach medialnych </w:t>
      </w:r>
      <w:r w:rsidR="0058473A" w:rsidRPr="00115299">
        <w:t>na podstawie</w:t>
      </w:r>
      <w:r w:rsidRPr="00115299">
        <w:t xml:space="preserve"> komunikatu i </w:t>
      </w:r>
      <w:r w:rsidR="0058473A" w:rsidRPr="00115299">
        <w:t xml:space="preserve">informacji przedstawionych podczas </w:t>
      </w:r>
      <w:r w:rsidRPr="00115299">
        <w:t xml:space="preserve">konferencji prasowej. Wspomniane przekazy medialne dotyczyły przede wszystkim ustępującego </w:t>
      </w:r>
      <w:r w:rsidR="00320852" w:rsidRPr="00115299">
        <w:t xml:space="preserve">ministra </w:t>
      </w:r>
      <w:r w:rsidRPr="00115299">
        <w:t>i w związku z</w:t>
      </w:r>
      <w:r w:rsidR="002A34FC" w:rsidRPr="00115299">
        <w:t> </w:t>
      </w:r>
      <w:r w:rsidRPr="00115299">
        <w:t>tym także skarżącego.</w:t>
      </w:r>
    </w:p>
    <w:p w14:paraId="0D53A1D7" w14:textId="72E6B289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4</w:t>
        </w:r>
      </w:fldSimple>
      <w:r w:rsidRPr="00115299">
        <w:t xml:space="preserve">.  Po tych zdarzeniach skarżący, który jest pracownikiem naukowym, </w:t>
      </w:r>
      <w:r w:rsidR="00320852" w:rsidRPr="00115299">
        <w:t xml:space="preserve">musiał </w:t>
      </w:r>
      <w:r w:rsidR="00F55CDC">
        <w:t xml:space="preserve">rzekomo </w:t>
      </w:r>
      <w:r w:rsidR="00320852" w:rsidRPr="00115299">
        <w:t xml:space="preserve">mierzyć </w:t>
      </w:r>
      <w:r w:rsidR="002A34FC" w:rsidRPr="00115299">
        <w:t xml:space="preserve">się </w:t>
      </w:r>
      <w:r w:rsidR="00320852" w:rsidRPr="00115299">
        <w:t xml:space="preserve">z kwestionowaniem jego działań przez bliskie otoczenie </w:t>
      </w:r>
      <w:r w:rsidRPr="00115299">
        <w:t>i krytyką ze strony studentów.</w:t>
      </w:r>
    </w:p>
    <w:p w14:paraId="5C7476F7" w14:textId="59407B88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5</w:t>
        </w:r>
      </w:fldSimple>
      <w:r w:rsidRPr="00115299">
        <w:t xml:space="preserve">.  Skarżący wystąpił z powództwem o naruszenie dóbr osobistych przeciwko danemu </w:t>
      </w:r>
      <w:r w:rsidR="00320852" w:rsidRPr="00115299">
        <w:t>ministrowi</w:t>
      </w:r>
      <w:r w:rsidRPr="00115299">
        <w:t>.</w:t>
      </w:r>
    </w:p>
    <w:p w14:paraId="4A12D595" w14:textId="5A2362CC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6</w:t>
        </w:r>
      </w:fldSimple>
      <w:r w:rsidRPr="00115299">
        <w:t>.  </w:t>
      </w:r>
      <w:r w:rsidR="0019323B">
        <w:t>W</w:t>
      </w:r>
      <w:r w:rsidRPr="00115299">
        <w:t xml:space="preserve"> dniu 18 marca 2013 r. Sąd Okręgowy w Warszawie</w:t>
      </w:r>
      <w:r w:rsidR="00DC74C6" w:rsidRPr="00115299">
        <w:t>, a</w:t>
      </w:r>
      <w:r w:rsidRPr="00115299">
        <w:t xml:space="preserve"> w dniu 24</w:t>
      </w:r>
      <w:r w:rsidR="00AF218F">
        <w:t> </w:t>
      </w:r>
      <w:r w:rsidRPr="00115299">
        <w:t>stycznia 2014 r. Sąd Apelacyjny w Warszawie</w:t>
      </w:r>
      <w:r w:rsidR="0019323B">
        <w:t xml:space="preserve"> orzekły </w:t>
      </w:r>
      <w:r w:rsidR="0019323B" w:rsidRPr="00115299">
        <w:t>na korzyść skarżącego</w:t>
      </w:r>
      <w:r w:rsidR="00DC74C6" w:rsidRPr="00115299">
        <w:t>.</w:t>
      </w:r>
    </w:p>
    <w:p w14:paraId="2C1041FD" w14:textId="25FEBE5F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7</w:t>
        </w:r>
      </w:fldSimple>
      <w:r w:rsidRPr="00115299">
        <w:t xml:space="preserve">.  Sądy zauważyły, że pozwany nie miał podstaw do przypisania skarżącemu zniszczenia laptopa, ponieważ w dniu konferencji prasowej posiadał informacje </w:t>
      </w:r>
      <w:r w:rsidR="00DC74C6" w:rsidRPr="00115299">
        <w:t>tylko</w:t>
      </w:r>
      <w:r w:rsidRPr="00115299">
        <w:t xml:space="preserve"> o zakresie</w:t>
      </w:r>
      <w:r w:rsidR="00DC74C6" w:rsidRPr="00115299">
        <w:t xml:space="preserve"> uszkodzenia</w:t>
      </w:r>
      <w:r w:rsidR="002A34FC" w:rsidRPr="00115299">
        <w:t xml:space="preserve"> tego sprzętu</w:t>
      </w:r>
      <w:r w:rsidRPr="00115299">
        <w:t>, ale nie o</w:t>
      </w:r>
      <w:r w:rsidR="002A34FC" w:rsidRPr="00115299">
        <w:t> </w:t>
      </w:r>
      <w:r w:rsidRPr="00115299">
        <w:t>przyczynie</w:t>
      </w:r>
      <w:r w:rsidR="002A34FC" w:rsidRPr="00115299">
        <w:t xml:space="preserve"> tego zniszczenia</w:t>
      </w:r>
      <w:r w:rsidRPr="00115299">
        <w:t xml:space="preserve">. Zgodnie </w:t>
      </w:r>
      <w:r w:rsidR="00F55CDC">
        <w:t>z</w:t>
      </w:r>
      <w:r w:rsidR="00AD321E" w:rsidRPr="00115299">
        <w:t xml:space="preserve"> treścią sprawozdań</w:t>
      </w:r>
      <w:r w:rsidRPr="00115299">
        <w:t xml:space="preserve">, które uzyskano w późniejszym czasie, </w:t>
      </w:r>
      <w:r w:rsidR="00AF672B" w:rsidRPr="00115299">
        <w:t>laptop skarżącego był uszkodzony w</w:t>
      </w:r>
      <w:r w:rsidR="00F859CD" w:rsidRPr="00115299">
        <w:t> </w:t>
      </w:r>
      <w:r w:rsidR="00AF672B" w:rsidRPr="00115299">
        <w:t xml:space="preserve">niewielkim stopniu, </w:t>
      </w:r>
      <w:r w:rsidRPr="00115299">
        <w:t>w</w:t>
      </w:r>
      <w:r w:rsidR="00DC74C6" w:rsidRPr="00115299">
        <w:t> </w:t>
      </w:r>
      <w:r w:rsidRPr="00115299">
        <w:t>przeciwieństwie do komputera byłego</w:t>
      </w:r>
      <w:r w:rsidR="00AF672B" w:rsidRPr="00115299">
        <w:t xml:space="preserve"> ministra. Uszkodzenie to</w:t>
      </w:r>
      <w:r w:rsidR="00AF218F">
        <w:t> </w:t>
      </w:r>
      <w:r w:rsidRPr="00115299">
        <w:t>mogło wynikać z regularnego użytkowania, a nie celowego działania. Stan laptopa skarżącego można było łatwo ocenić wizualnie bez potrzeby dysponowania specjalistyczną wiedzą. Z tego powodu sądy uznały, że</w:t>
      </w:r>
      <w:r w:rsidR="00AF218F">
        <w:t> </w:t>
      </w:r>
      <w:r w:rsidRPr="00115299">
        <w:t>pozwany nie powinien był wnioskować, iż</w:t>
      </w:r>
      <w:r w:rsidR="00DC74C6" w:rsidRPr="00115299">
        <w:t> </w:t>
      </w:r>
      <w:r w:rsidRPr="00115299">
        <w:t xml:space="preserve">przedmiotowy komputer został zniszczony </w:t>
      </w:r>
      <w:r w:rsidR="00F55CDC">
        <w:t>specjalnie</w:t>
      </w:r>
      <w:r w:rsidR="00AF672B" w:rsidRPr="00115299">
        <w:t>,</w:t>
      </w:r>
      <w:r w:rsidRPr="00115299">
        <w:t xml:space="preserve"> i nie powinien był podawać takich nieprawdziwych informacji do wiadomości publicznej. Zamiast tego pozwany powinien był </w:t>
      </w:r>
      <w:r w:rsidR="00AF672B" w:rsidRPr="00115299">
        <w:t xml:space="preserve">co najwyżej </w:t>
      </w:r>
      <w:r w:rsidRPr="00115299">
        <w:t>publicznie odnieść się do</w:t>
      </w:r>
      <w:r w:rsidR="00DC74C6" w:rsidRPr="00115299">
        <w:t> </w:t>
      </w:r>
      <w:r w:rsidRPr="00115299">
        <w:t xml:space="preserve">znaczącego, nietypowego i widocznie mechanicznego uszkodzenia komputera, z którego korzystał były </w:t>
      </w:r>
      <w:r w:rsidR="00DC74C6" w:rsidRPr="00115299">
        <w:t>minister</w:t>
      </w:r>
      <w:r w:rsidRPr="00115299">
        <w:t>.</w:t>
      </w:r>
    </w:p>
    <w:p w14:paraId="3E32D584" w14:textId="4EC88F68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8</w:t>
        </w:r>
      </w:fldSimple>
      <w:r w:rsidRPr="00115299">
        <w:t xml:space="preserve">.  Sądy uznały również, że chociaż sam pozwany nie wymienił skarżącego z imienia i nazwiska, to informacje, które upublicznił, pozwoliły na zidentyfikowanie </w:t>
      </w:r>
      <w:r w:rsidR="00DC74C6" w:rsidRPr="00115299">
        <w:t xml:space="preserve">go </w:t>
      </w:r>
      <w:r w:rsidRPr="00115299">
        <w:t xml:space="preserve">przez osoby, które zapoznały się z komunikatem prasowym </w:t>
      </w:r>
      <w:r w:rsidR="00AF672B" w:rsidRPr="00115299">
        <w:t>m</w:t>
      </w:r>
      <w:r w:rsidR="00DC74C6" w:rsidRPr="00115299">
        <w:t xml:space="preserve">inisterstwa </w:t>
      </w:r>
      <w:r w:rsidRPr="00115299">
        <w:t>lub przekazami medialnymi. Ponadto pozwany nie odwodził swoich pracowników, którzy kontaktowali się z dziennikarzami, od</w:t>
      </w:r>
      <w:r w:rsidR="00DC74C6" w:rsidRPr="00115299">
        <w:t> </w:t>
      </w:r>
      <w:r w:rsidRPr="00115299">
        <w:t>ujawniania imienia i nazwiska skarżącego. Pozwany powinien był wiedzieć, że imię i nazwisko skarżącego został</w:t>
      </w:r>
      <w:r w:rsidR="00DC4520" w:rsidRPr="00115299">
        <w:t>y</w:t>
      </w:r>
      <w:r w:rsidRPr="00115299">
        <w:t xml:space="preserve"> podane na stronie internetowej </w:t>
      </w:r>
      <w:r w:rsidR="00F03880" w:rsidRPr="00115299">
        <w:t>m</w:t>
      </w:r>
      <w:r w:rsidR="00DC74C6" w:rsidRPr="00115299">
        <w:t>inisterstwa</w:t>
      </w:r>
      <w:r w:rsidRPr="00115299">
        <w:t>. Ogólnie rzecz biorąc, jako prawnika z</w:t>
      </w:r>
      <w:r w:rsidR="00DC74C6" w:rsidRPr="00115299">
        <w:t> </w:t>
      </w:r>
      <w:r w:rsidRPr="00115299">
        <w:t xml:space="preserve">wykształcenia i </w:t>
      </w:r>
      <w:r w:rsidR="00DC74C6" w:rsidRPr="00115299">
        <w:t>ministra sprawiedliwości</w:t>
      </w:r>
      <w:r w:rsidRPr="00115299">
        <w:t>, pozwanego obowiązywały wyższe standardy postępowania.</w:t>
      </w:r>
    </w:p>
    <w:p w14:paraId="3F360A10" w14:textId="7F325E92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9</w:t>
        </w:r>
      </w:fldSimple>
      <w:r w:rsidRPr="00115299">
        <w:t>.  W dniu 23 lipca 2015 r. Sąd Najwyższy uchylił wyrok sądu apelacyjnego i przekazał sprawę do ponownego rozpoznania z następującymi uwagami. Skarżącego należ</w:t>
      </w:r>
      <w:r w:rsidR="00687446" w:rsidRPr="00115299">
        <w:t>ało</w:t>
      </w:r>
      <w:r w:rsidRPr="00115299">
        <w:t xml:space="preserve"> uznać za osobę publiczną. Uwagi pozwanego leżały w interesie publicznym i, choć okazały się nieprawdziwe, stanowiły częś</w:t>
      </w:r>
      <w:r w:rsidR="00687446" w:rsidRPr="00115299">
        <w:t>ć</w:t>
      </w:r>
      <w:r w:rsidRPr="00115299">
        <w:t xml:space="preserve"> procesu politycznego związanego ze zmianą kierownictwa Ministerstwa Sprawiedliwości i z tego tytułu podlegały ochronie na mocy art.</w:t>
      </w:r>
      <w:r w:rsidR="00DC4520" w:rsidRPr="00115299">
        <w:t> </w:t>
      </w:r>
      <w:r w:rsidRPr="00115299">
        <w:t>10 Konwencji.</w:t>
      </w:r>
    </w:p>
    <w:p w14:paraId="172CCAE0" w14:textId="3A74B7F3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10</w:t>
        </w:r>
      </w:fldSimple>
      <w:r w:rsidRPr="00115299">
        <w:t xml:space="preserve">.  W dniu 6 października 2015 r. Sąd Apelacyjny w Warszawie oddalił powództwo skarżącego, uznając, że </w:t>
      </w:r>
      <w:r w:rsidR="00F81503">
        <w:t>s</w:t>
      </w:r>
      <w:r w:rsidRPr="00115299">
        <w:t>ąd</w:t>
      </w:r>
      <w:r w:rsidR="00411E69" w:rsidRPr="00115299">
        <w:t xml:space="preserve"> ten</w:t>
      </w:r>
      <w:r w:rsidRPr="00115299">
        <w:t xml:space="preserve"> jest związany wykładnią prawa Sądu Najwyższego. Zasądził od skarżącego koszty postępowania i opłaty sądowe, łącznie w wysokości 9</w:t>
      </w:r>
      <w:r w:rsidR="00687446" w:rsidRPr="00115299">
        <w:t>8</w:t>
      </w:r>
      <w:r w:rsidRPr="00115299">
        <w:t>34 polskich złotych.</w:t>
      </w:r>
    </w:p>
    <w:p w14:paraId="2C6FBCA8" w14:textId="13C06435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11</w:t>
        </w:r>
      </w:fldSimple>
      <w:r w:rsidRPr="00115299">
        <w:t>.  Skarżący postanowił nie wnosić kolejnej skargi kasacyjnej, gdyż</w:t>
      </w:r>
      <w:r w:rsidR="00AF218F">
        <w:t> </w:t>
      </w:r>
      <w:r w:rsidRPr="00115299">
        <w:t>w</w:t>
      </w:r>
      <w:r w:rsidR="00687446" w:rsidRPr="00115299">
        <w:t> </w:t>
      </w:r>
      <w:r w:rsidRPr="00115299">
        <w:t>jego ocenie nie miałaby</w:t>
      </w:r>
      <w:r w:rsidR="00F81503">
        <w:t xml:space="preserve"> ona</w:t>
      </w:r>
      <w:r w:rsidRPr="00115299">
        <w:t xml:space="preserve"> szans powodzenia.</w:t>
      </w:r>
    </w:p>
    <w:p w14:paraId="55A5453B" w14:textId="63975D94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12</w:t>
        </w:r>
      </w:fldSimple>
      <w:r w:rsidRPr="00115299">
        <w:t>.  Powołując się na art.</w:t>
      </w:r>
      <w:r w:rsidR="00411E69" w:rsidRPr="00115299">
        <w:t> </w:t>
      </w:r>
      <w:r w:rsidRPr="00115299">
        <w:t>8 i</w:t>
      </w:r>
      <w:r w:rsidR="00411E69" w:rsidRPr="00115299">
        <w:t> </w:t>
      </w:r>
      <w:r w:rsidRPr="00115299">
        <w:t>10 Konwencji</w:t>
      </w:r>
      <w:r w:rsidR="00411E69" w:rsidRPr="00115299">
        <w:t>,</w:t>
      </w:r>
      <w:r w:rsidRPr="00115299">
        <w:t xml:space="preserve"> skarżący zarzucił przed Trybunałem naruszenie jego prawa do poszanowania życia prywatnego i</w:t>
      </w:r>
      <w:r w:rsidR="00106C12" w:rsidRPr="00115299">
        <w:t> </w:t>
      </w:r>
      <w:r w:rsidRPr="00115299">
        <w:t xml:space="preserve">ochrony </w:t>
      </w:r>
      <w:r w:rsidR="00411E69" w:rsidRPr="00115299">
        <w:t>dobrego imienia</w:t>
      </w:r>
      <w:r w:rsidRPr="00115299">
        <w:t>.</w:t>
      </w:r>
    </w:p>
    <w:p w14:paraId="6C22F8DC" w14:textId="74D34FB7" w:rsidR="007071A1" w:rsidRPr="00115299" w:rsidRDefault="007071A1" w:rsidP="006A6D43">
      <w:pPr>
        <w:pStyle w:val="JuHHead"/>
        <w:keepNext w:val="0"/>
        <w:keepLines w:val="0"/>
      </w:pPr>
      <w:r w:rsidRPr="00115299">
        <w:t>OCENA TRYBUNAŁU</w:t>
      </w:r>
    </w:p>
    <w:p w14:paraId="14B20D0E" w14:textId="021A5170" w:rsidR="007071A1" w:rsidRPr="00115299" w:rsidRDefault="00CD2A5E" w:rsidP="006A6D43">
      <w:pPr>
        <w:pStyle w:val="JuPara"/>
      </w:pPr>
      <w:fldSimple w:instr=" SEQ level0 \*arabic ">
        <w:r w:rsidR="00320852" w:rsidRPr="00115299">
          <w:t>13</w:t>
        </w:r>
      </w:fldSimple>
      <w:r w:rsidR="007071A1" w:rsidRPr="00115299">
        <w:t xml:space="preserve">.  Trybunał – jako że na nim spoczywa dokonanie subsumpcji w sprawie (zob. wyrok w sprawie </w:t>
      </w:r>
      <w:proofErr w:type="spellStart"/>
      <w:r w:rsidR="007071A1" w:rsidRPr="00115299">
        <w:rPr>
          <w:i/>
          <w:iCs/>
        </w:rPr>
        <w:t>Radomilja</w:t>
      </w:r>
      <w:proofErr w:type="spellEnd"/>
      <w:r w:rsidR="007071A1" w:rsidRPr="00115299">
        <w:rPr>
          <w:i/>
          <w:iCs/>
        </w:rPr>
        <w:t xml:space="preserve"> i Inni przeciwko Chorwacji</w:t>
      </w:r>
      <w:r w:rsidR="007071A1" w:rsidRPr="00115299">
        <w:t xml:space="preserve"> [</w:t>
      </w:r>
      <w:proofErr w:type="spellStart"/>
      <w:r w:rsidR="007071A1" w:rsidRPr="00115299">
        <w:t>WI</w:t>
      </w:r>
      <w:proofErr w:type="spellEnd"/>
      <w:r w:rsidR="007071A1" w:rsidRPr="00115299">
        <w:t>], skargi nr</w:t>
      </w:r>
      <w:r w:rsidR="001E1186" w:rsidRPr="00115299">
        <w:t> </w:t>
      </w:r>
      <w:r w:rsidR="007071A1" w:rsidRPr="00115299">
        <w:t>37685/10 i 22768/12, § 124, 20 marca 2018</w:t>
      </w:r>
      <w:r w:rsidR="00D045E4" w:rsidRPr="00115299">
        <w:t> </w:t>
      </w:r>
      <w:r w:rsidR="007071A1" w:rsidRPr="00115299">
        <w:t>r.) – uznaje, że skarga skarżącego podlega rozpatrzeniu na podstawie art.</w:t>
      </w:r>
      <w:r w:rsidR="00D045E4" w:rsidRPr="00115299">
        <w:t> </w:t>
      </w:r>
      <w:r w:rsidR="007071A1" w:rsidRPr="00115299">
        <w:t>8 Konwencji.</w:t>
      </w:r>
    </w:p>
    <w:p w14:paraId="0DAB92C1" w14:textId="085C5116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14</w:t>
        </w:r>
      </w:fldSimple>
      <w:r w:rsidRPr="00115299">
        <w:t>.  Nie można zgodzić się z zastrzeżeniem Rządu, że skarżący nie</w:t>
      </w:r>
      <w:r w:rsidR="00AF218F">
        <w:t> </w:t>
      </w:r>
      <w:r w:rsidRPr="00115299">
        <w:t>wyczerpał krajowych środków odwoławczych. Gdy jego sprawa była rozpatrywana za pierwszym razem, skarżący skorzystał ze wszystkich środków odwoławczych. W świetle wyroku Sądu Najwyższego wniesienie skargi kasacyjnej od wyroku sądu apelacyjnego z dnia 6 października 2015</w:t>
      </w:r>
      <w:r w:rsidR="00C644B0" w:rsidRPr="00115299">
        <w:t> </w:t>
      </w:r>
      <w:r w:rsidRPr="00115299">
        <w:t>r. nie miałoby szans powodzenia.</w:t>
      </w:r>
    </w:p>
    <w:p w14:paraId="0A29A03A" w14:textId="74E9567C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15</w:t>
        </w:r>
      </w:fldSimple>
      <w:r w:rsidRPr="00115299">
        <w:t>.  Nie można również zgodzić się z zastrzeżeniem Rządu, że skarżący nie wniósł skargi z zachowaniem terminu sześciu miesięcy. Wbrew temu, co</w:t>
      </w:r>
      <w:r w:rsidR="00AF218F">
        <w:t> </w:t>
      </w:r>
      <w:r w:rsidRPr="00115299">
        <w:t xml:space="preserve">twierdził Rząd, przedmiotowy termin biegł nie od daty ustnego przedstawienia sentencji orzeczenia kończącego sprawę, ale od doręczenia wyroku z pełnym uzasadnieniem, ponieważ dopiero wtedy skarżący zyskał wystarczającą wiedzę o wyroku (zob. </w:t>
      </w:r>
      <w:r w:rsidRPr="00115299">
        <w:rPr>
          <w:i/>
          <w:iCs/>
        </w:rPr>
        <w:t>mutatis mutandis</w:t>
      </w:r>
      <w:r w:rsidRPr="00115299">
        <w:t xml:space="preserve">, </w:t>
      </w:r>
      <w:proofErr w:type="spellStart"/>
      <w:r w:rsidRPr="00115299">
        <w:rPr>
          <w:i/>
          <w:iCs/>
        </w:rPr>
        <w:t>Hürmüz</w:t>
      </w:r>
      <w:proofErr w:type="spellEnd"/>
      <w:r w:rsidRPr="00115299">
        <w:rPr>
          <w:i/>
          <w:iCs/>
        </w:rPr>
        <w:t xml:space="preserve"> </w:t>
      </w:r>
      <w:proofErr w:type="spellStart"/>
      <w:r w:rsidRPr="00115299">
        <w:rPr>
          <w:i/>
          <w:iCs/>
        </w:rPr>
        <w:t>Koç</w:t>
      </w:r>
      <w:proofErr w:type="spellEnd"/>
      <w:r w:rsidRPr="00115299">
        <w:rPr>
          <w:i/>
          <w:iCs/>
        </w:rPr>
        <w:t xml:space="preserve"> i</w:t>
      </w:r>
      <w:r w:rsidR="00106C12" w:rsidRPr="00115299">
        <w:rPr>
          <w:i/>
          <w:iCs/>
        </w:rPr>
        <w:t> </w:t>
      </w:r>
      <w:proofErr w:type="spellStart"/>
      <w:r w:rsidRPr="00115299">
        <w:rPr>
          <w:i/>
          <w:iCs/>
        </w:rPr>
        <w:t>Kıymet</w:t>
      </w:r>
      <w:proofErr w:type="spellEnd"/>
      <w:r w:rsidRPr="00115299">
        <w:rPr>
          <w:i/>
          <w:iCs/>
        </w:rPr>
        <w:t xml:space="preserve"> </w:t>
      </w:r>
      <w:proofErr w:type="spellStart"/>
      <w:r w:rsidRPr="00115299">
        <w:rPr>
          <w:i/>
          <w:iCs/>
        </w:rPr>
        <w:t>Tosun</w:t>
      </w:r>
      <w:proofErr w:type="spellEnd"/>
      <w:r w:rsidRPr="00115299">
        <w:rPr>
          <w:i/>
          <w:iCs/>
        </w:rPr>
        <w:t xml:space="preserve"> przeciwko Turcji</w:t>
      </w:r>
      <w:r w:rsidRPr="00115299">
        <w:t xml:space="preserve"> (</w:t>
      </w:r>
      <w:proofErr w:type="spellStart"/>
      <w:r w:rsidRPr="00115299">
        <w:t>dec</w:t>
      </w:r>
      <w:proofErr w:type="spellEnd"/>
      <w:r w:rsidRPr="00115299">
        <w:t>.), skarga nr 23852/04, 13 listopada 2008</w:t>
      </w:r>
      <w:r w:rsidR="00E6684D" w:rsidRPr="00115299">
        <w:t> </w:t>
      </w:r>
      <w:r w:rsidRPr="00115299">
        <w:t>r.). Na skutek formalnego wniosku pełnomocnika skarżącego sąd apelacyjny sporządził uzasadnienie zaskarżonego wyroku i doręczył je</w:t>
      </w:r>
      <w:r w:rsidR="003004FE" w:rsidRPr="00115299">
        <w:t> </w:t>
      </w:r>
      <w:r w:rsidRPr="00115299">
        <w:t>skarżącemu w dniu 16 marca 2016</w:t>
      </w:r>
      <w:r w:rsidR="00E6684D" w:rsidRPr="00115299">
        <w:t> </w:t>
      </w:r>
      <w:r w:rsidRPr="00115299">
        <w:t>r. Uzyskanie wyroku z uzasadnieniem było konieczne, gdyż umożliwiło skarżącemu podjęcie świadomej decyzji co</w:t>
      </w:r>
      <w:r w:rsidR="003004FE" w:rsidRPr="00115299">
        <w:t> </w:t>
      </w:r>
      <w:r w:rsidRPr="00115299">
        <w:t xml:space="preserve">do ewentualnej </w:t>
      </w:r>
      <w:r w:rsidR="00E6684D" w:rsidRPr="00115299">
        <w:t xml:space="preserve">możliwości </w:t>
      </w:r>
      <w:r w:rsidRPr="00115299">
        <w:t>wniesienia skargi kasacyjnej i sporządzenia skargi do Trybunału.</w:t>
      </w:r>
    </w:p>
    <w:p w14:paraId="79F487B1" w14:textId="383D2D17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16</w:t>
        </w:r>
      </w:fldSimple>
      <w:r w:rsidRPr="00115299">
        <w:t xml:space="preserve">.  Trybunał oddala zatem zastrzeżenia wstępne </w:t>
      </w:r>
      <w:r w:rsidR="003004FE" w:rsidRPr="00115299">
        <w:t>Rządu</w:t>
      </w:r>
      <w:r w:rsidRPr="00115299">
        <w:t>. Trybunał zauważa ponadto, że skarga nie jest w sposób oczywisty nieuzasadniona w</w:t>
      </w:r>
      <w:r w:rsidR="005168A1" w:rsidRPr="00115299">
        <w:t> </w:t>
      </w:r>
      <w:r w:rsidRPr="00115299">
        <w:t>r</w:t>
      </w:r>
      <w:r w:rsidR="008A4BFD">
        <w:t>ozumieniu art. 35 ust. 3 lit. a</w:t>
      </w:r>
      <w:r w:rsidRPr="00115299">
        <w:t xml:space="preserve"> Konwencji ani nie jest niedopuszczalna na</w:t>
      </w:r>
      <w:r w:rsidR="005168A1" w:rsidRPr="00115299">
        <w:t> </w:t>
      </w:r>
      <w:r w:rsidRPr="00115299">
        <w:t>jakiejkolwiek innej podstawie. Należy ją zatem uznać za dopuszczalną.</w:t>
      </w:r>
    </w:p>
    <w:p w14:paraId="35067B1A" w14:textId="4658664D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17</w:t>
        </w:r>
      </w:fldSimple>
      <w:r w:rsidRPr="00115299">
        <w:t>.  </w:t>
      </w:r>
      <w:r w:rsidR="009D54DD">
        <w:t>Z</w:t>
      </w:r>
      <w:r w:rsidR="009D54DD" w:rsidRPr="00115299">
        <w:t>a</w:t>
      </w:r>
      <w:bookmarkStart w:id="0" w:name="_GoBack"/>
      <w:bookmarkEnd w:id="0"/>
      <w:r w:rsidR="009D54DD" w:rsidRPr="00115299">
        <w:t xml:space="preserve">sady </w:t>
      </w:r>
      <w:r w:rsidR="008A4BFD">
        <w:t xml:space="preserve">ogólne </w:t>
      </w:r>
      <w:r w:rsidRPr="00115299">
        <w:t>dotyczące konfliktu pomiędzy czyimś prawem do</w:t>
      </w:r>
      <w:r w:rsidR="005168A1" w:rsidRPr="00115299">
        <w:t> </w:t>
      </w:r>
      <w:r w:rsidRPr="00115299">
        <w:t xml:space="preserve">ochrony </w:t>
      </w:r>
      <w:r w:rsidR="00703985" w:rsidRPr="00115299">
        <w:t>dobrego imienia</w:t>
      </w:r>
      <w:r w:rsidRPr="00115299">
        <w:t xml:space="preserve"> a korzystaniem przez osobę trzecią z prawa do</w:t>
      </w:r>
      <w:r w:rsidR="00AF218F">
        <w:t> </w:t>
      </w:r>
      <w:r w:rsidRPr="00115299">
        <w:t xml:space="preserve">wolności </w:t>
      </w:r>
      <w:r w:rsidR="008A4BFD">
        <w:t xml:space="preserve">wyrażania opinii </w:t>
      </w:r>
      <w:r w:rsidRPr="00115299">
        <w:t xml:space="preserve">podsumowano w wyrokach w sprawach </w:t>
      </w:r>
      <w:r w:rsidRPr="00115299">
        <w:rPr>
          <w:i/>
        </w:rPr>
        <w:t>Axel Springer AG przeciwko Niemcom</w:t>
      </w:r>
      <w:r w:rsidRPr="00115299">
        <w:t xml:space="preserve"> ([</w:t>
      </w:r>
      <w:proofErr w:type="spellStart"/>
      <w:r w:rsidRPr="00115299">
        <w:t>WI</w:t>
      </w:r>
      <w:proofErr w:type="spellEnd"/>
      <w:r w:rsidRPr="00115299">
        <w:t>], skarga nr 39954/08, §§ 82</w:t>
      </w:r>
      <w:r w:rsidR="00F86996" w:rsidRPr="00115299">
        <w:t>–</w:t>
      </w:r>
      <w:r w:rsidRPr="00115299">
        <w:t>95, 7</w:t>
      </w:r>
      <w:r w:rsidR="00AF218F">
        <w:t> </w:t>
      </w:r>
      <w:r w:rsidRPr="00115299">
        <w:t>lutego 2012</w:t>
      </w:r>
      <w:r w:rsidR="005168A1" w:rsidRPr="00115299">
        <w:t xml:space="preserve"> r.</w:t>
      </w:r>
      <w:r w:rsidRPr="00115299">
        <w:t xml:space="preserve">), </w:t>
      </w:r>
      <w:r w:rsidRPr="00115299">
        <w:rPr>
          <w:i/>
        </w:rPr>
        <w:t xml:space="preserve">Węgrzynowski i </w:t>
      </w:r>
      <w:proofErr w:type="spellStart"/>
      <w:r w:rsidRPr="00115299">
        <w:rPr>
          <w:i/>
        </w:rPr>
        <w:t>Smolczewski</w:t>
      </w:r>
      <w:proofErr w:type="spellEnd"/>
      <w:r w:rsidRPr="00115299">
        <w:t xml:space="preserve"> </w:t>
      </w:r>
      <w:r w:rsidRPr="00115299">
        <w:rPr>
          <w:i/>
        </w:rPr>
        <w:t>przeciwko Polsce</w:t>
      </w:r>
      <w:r w:rsidRPr="00115299">
        <w:t xml:space="preserve"> (skarga nr</w:t>
      </w:r>
      <w:r w:rsidR="00AF218F">
        <w:t> </w:t>
      </w:r>
      <w:r w:rsidRPr="00115299">
        <w:t>33846/07, §</w:t>
      </w:r>
      <w:r w:rsidR="00F86996" w:rsidRPr="00115299">
        <w:t>§</w:t>
      </w:r>
      <w:r w:rsidR="005B005A" w:rsidRPr="00115299">
        <w:t> </w:t>
      </w:r>
      <w:r w:rsidRPr="00115299">
        <w:t>53</w:t>
      </w:r>
      <w:r w:rsidR="00F86996" w:rsidRPr="00115299">
        <w:t>–</w:t>
      </w:r>
      <w:r w:rsidRPr="00115299">
        <w:t xml:space="preserve">57, 16 lipca 2013 r.) oraz </w:t>
      </w:r>
      <w:proofErr w:type="spellStart"/>
      <w:r w:rsidRPr="00115299">
        <w:rPr>
          <w:i/>
        </w:rPr>
        <w:t>Polanco</w:t>
      </w:r>
      <w:proofErr w:type="spellEnd"/>
      <w:r w:rsidRPr="00115299">
        <w:rPr>
          <w:i/>
        </w:rPr>
        <w:t xml:space="preserve"> </w:t>
      </w:r>
      <w:proofErr w:type="spellStart"/>
      <w:r w:rsidRPr="00115299">
        <w:rPr>
          <w:i/>
        </w:rPr>
        <w:t>Torres</w:t>
      </w:r>
      <w:proofErr w:type="spellEnd"/>
      <w:r w:rsidRPr="00115299">
        <w:rPr>
          <w:i/>
        </w:rPr>
        <w:t xml:space="preserve"> i </w:t>
      </w:r>
      <w:proofErr w:type="spellStart"/>
      <w:r w:rsidRPr="00115299">
        <w:rPr>
          <w:i/>
        </w:rPr>
        <w:t>Movilla</w:t>
      </w:r>
      <w:proofErr w:type="spellEnd"/>
      <w:r w:rsidRPr="00115299">
        <w:rPr>
          <w:i/>
        </w:rPr>
        <w:t xml:space="preserve"> </w:t>
      </w:r>
      <w:proofErr w:type="spellStart"/>
      <w:r w:rsidRPr="00115299">
        <w:rPr>
          <w:i/>
        </w:rPr>
        <w:t>Polanco</w:t>
      </w:r>
      <w:proofErr w:type="spellEnd"/>
      <w:r w:rsidRPr="00115299">
        <w:rPr>
          <w:i/>
        </w:rPr>
        <w:t xml:space="preserve"> przeciwko Hiszpanii</w:t>
      </w:r>
      <w:r w:rsidRPr="00115299">
        <w:t xml:space="preserve"> (skarga nr 34147/06, §</w:t>
      </w:r>
      <w:r w:rsidR="005E43AD" w:rsidRPr="00115299">
        <w:t>§</w:t>
      </w:r>
      <w:r w:rsidRPr="00115299">
        <w:t xml:space="preserve"> 40</w:t>
      </w:r>
      <w:r w:rsidR="005E43AD" w:rsidRPr="00115299">
        <w:t>–</w:t>
      </w:r>
      <w:r w:rsidRPr="00115299">
        <w:t>43, 21 września 2010 r.).</w:t>
      </w:r>
    </w:p>
    <w:p w14:paraId="54AD5A34" w14:textId="11F58A9E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18</w:t>
        </w:r>
      </w:fldSimple>
      <w:r w:rsidRPr="00115299">
        <w:t xml:space="preserve">.  Trybunał zauważa, że zniesławiające </w:t>
      </w:r>
      <w:r w:rsidR="001741C5">
        <w:t>wypowiedzi</w:t>
      </w:r>
      <w:r w:rsidRPr="00115299">
        <w:t xml:space="preserve"> na temat skarżącego były związane z próbą wkładu w debatę polityczną wokół zmiany kierownictwa Ministerstwa Sprawiedliwości i wykorzystania środków publicznych. W ocenie Trybunału skarżący nie był jednak osobą publiczną. W tym czasie był jednym z kilku asystentów i doradców pracujących w</w:t>
      </w:r>
      <w:r w:rsidR="005168A1" w:rsidRPr="00115299">
        <w:t> </w:t>
      </w:r>
      <w:r w:rsidRPr="00115299">
        <w:t xml:space="preserve">gabinecie </w:t>
      </w:r>
      <w:r w:rsidR="005168A1" w:rsidRPr="00115299">
        <w:t>ministra</w:t>
      </w:r>
      <w:r w:rsidRPr="00115299">
        <w:t>. Skarżący podniósł, że był mało znanym urzędnikiem i</w:t>
      </w:r>
      <w:r w:rsidR="005168A1" w:rsidRPr="00115299">
        <w:t> </w:t>
      </w:r>
      <w:r w:rsidRPr="00115299">
        <w:t>że jego imię i nazwisko po raz pierwszy podano do wiadomości publicznej w związku ze skandalem dotyczącym laptopa. Zdaniem Trybunału sąd krajowy nie uwzględnił w wystarczającym stopniu argumentów skarżącego, że nie był on osobą publiczną</w:t>
      </w:r>
      <w:r w:rsidR="00056F18" w:rsidRPr="00115299">
        <w:t>,</w:t>
      </w:r>
      <w:r w:rsidRPr="00115299">
        <w:t xml:space="preserve"> i nietrafnie połączył jego sytuację z sytuacją byłego </w:t>
      </w:r>
      <w:r w:rsidR="005168A1" w:rsidRPr="00115299">
        <w:t>ministra</w:t>
      </w:r>
      <w:r w:rsidRPr="00115299">
        <w:t>.</w:t>
      </w:r>
    </w:p>
    <w:p w14:paraId="1C9FFF2F" w14:textId="6C71109E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19</w:t>
        </w:r>
      </w:fldSimple>
      <w:r w:rsidRPr="00115299">
        <w:t xml:space="preserve">.  Trybunał podkreśla również, że nawet jeżeli kwestionowane </w:t>
      </w:r>
      <w:r w:rsidR="00296BB6">
        <w:t>wypowiedzi</w:t>
      </w:r>
      <w:r w:rsidRPr="00115299">
        <w:t xml:space="preserve"> nie były skandaliczne, szokujące lub oszczercze, to były nieprawdziwe i miały na celu zaszkodzenie </w:t>
      </w:r>
      <w:r w:rsidR="00947D64" w:rsidRPr="00115299">
        <w:t>dobremu imieniu</w:t>
      </w:r>
      <w:r w:rsidR="00EC0B88" w:rsidRPr="00115299">
        <w:t xml:space="preserve"> skarżącego</w:t>
      </w:r>
      <w:r w:rsidRPr="00115299">
        <w:t>.</w:t>
      </w:r>
    </w:p>
    <w:p w14:paraId="202C2E7F" w14:textId="0DA98DC0" w:rsidR="007071A1" w:rsidRPr="00115299" w:rsidRDefault="00CD2A5E" w:rsidP="006A6D43">
      <w:pPr>
        <w:pStyle w:val="JuPara"/>
      </w:pPr>
      <w:fldSimple w:instr=" SEQ level0 \*arabic \* MERGEFORMAT ">
        <w:r w:rsidR="00320852" w:rsidRPr="00115299">
          <w:t>20</w:t>
        </w:r>
      </w:fldSimple>
      <w:r w:rsidRPr="00115299">
        <w:t>.  Trybunał przyznaje, że w niniejszej sprawie skarżący miał dostęp do</w:t>
      </w:r>
      <w:r w:rsidR="005168A1" w:rsidRPr="00115299">
        <w:t> </w:t>
      </w:r>
      <w:r w:rsidRPr="00115299">
        <w:t>skutecznego systemu prawnego umożliwiającego ochronę praw wchodzących w zakres prawa do „życia prywatnego” i w pełni z niego skorzystał. Trybunał uważa jednak, że w wyroku kończącym zaskarżone postępowanie nie zawarto istotnego i wystarczającego uzasadnienia i</w:t>
      </w:r>
      <w:r w:rsidR="00AF218F">
        <w:t> </w:t>
      </w:r>
      <w:r w:rsidRPr="00115299">
        <w:t>nie</w:t>
      </w:r>
      <w:r w:rsidR="00AF218F">
        <w:t> </w:t>
      </w:r>
      <w:r w:rsidRPr="00115299">
        <w:t>zachowano sprawiedliwej równowagi między prawami skarżącego zagwarantowanymi w art.</w:t>
      </w:r>
      <w:r w:rsidR="004F65B7" w:rsidRPr="00115299">
        <w:t> </w:t>
      </w:r>
      <w:r w:rsidRPr="00115299">
        <w:t>8</w:t>
      </w:r>
      <w:r w:rsidR="004F65B7" w:rsidRPr="00115299">
        <w:t>,</w:t>
      </w:r>
      <w:r w:rsidRPr="00115299">
        <w:t xml:space="preserve"> z jednej strony, a prawami pozwanego wynikającymi z art.</w:t>
      </w:r>
      <w:r w:rsidR="004F65B7" w:rsidRPr="00115299">
        <w:t> </w:t>
      </w:r>
      <w:r w:rsidRPr="00115299">
        <w:t>10 Konwencji</w:t>
      </w:r>
      <w:r w:rsidR="004F65B7" w:rsidRPr="00115299">
        <w:t>,</w:t>
      </w:r>
      <w:r w:rsidRPr="00115299">
        <w:t xml:space="preserve"> z drugiej strony. Ograniczenie wolności wyrażania opinii w celu ochrony </w:t>
      </w:r>
      <w:r w:rsidR="00567D23" w:rsidRPr="00115299">
        <w:t xml:space="preserve">dobrego imienia </w:t>
      </w:r>
      <w:r w:rsidRPr="00115299">
        <w:t>skarżącego w</w:t>
      </w:r>
      <w:r w:rsidR="00355720" w:rsidRPr="00115299">
        <w:t> </w:t>
      </w:r>
      <w:r w:rsidRPr="00115299">
        <w:t>okolicznościach niniejszej sprawy nie byłoby nieproporcjonalne w świetle art.</w:t>
      </w:r>
      <w:r w:rsidR="00567D23" w:rsidRPr="00115299">
        <w:t> </w:t>
      </w:r>
      <w:r w:rsidRPr="00115299">
        <w:t xml:space="preserve">10 Konwencji (por. </w:t>
      </w:r>
      <w:r w:rsidRPr="00115299">
        <w:rPr>
          <w:i/>
          <w:iCs/>
        </w:rPr>
        <w:t>mutatis mutandis</w:t>
      </w:r>
      <w:r w:rsidRPr="00115299">
        <w:t xml:space="preserve">, wyrok w sprawie </w:t>
      </w:r>
      <w:r w:rsidRPr="00115299">
        <w:rPr>
          <w:i/>
        </w:rPr>
        <w:t>Węgrzynowski i</w:t>
      </w:r>
      <w:r w:rsidR="00D37869" w:rsidRPr="00115299">
        <w:rPr>
          <w:i/>
        </w:rPr>
        <w:t> </w:t>
      </w:r>
      <w:proofErr w:type="spellStart"/>
      <w:r w:rsidRPr="00115299">
        <w:rPr>
          <w:i/>
        </w:rPr>
        <w:t>Smolczewski</w:t>
      </w:r>
      <w:proofErr w:type="spellEnd"/>
      <w:r w:rsidRPr="00115299">
        <w:t>, cyt. powyżej, §</w:t>
      </w:r>
      <w:r w:rsidR="00115299">
        <w:t> </w:t>
      </w:r>
      <w:r w:rsidRPr="00115299">
        <w:t xml:space="preserve">68, oraz </w:t>
      </w:r>
      <w:proofErr w:type="spellStart"/>
      <w:r w:rsidRPr="00115299">
        <w:rPr>
          <w:i/>
          <w:iCs/>
        </w:rPr>
        <w:t>Karakó</w:t>
      </w:r>
      <w:proofErr w:type="spellEnd"/>
      <w:r w:rsidRPr="00115299">
        <w:rPr>
          <w:i/>
          <w:iCs/>
        </w:rPr>
        <w:t xml:space="preserve"> przeciwko Węgrom</w:t>
      </w:r>
      <w:r w:rsidRPr="00115299">
        <w:t>, skarga nr 39311/05, §</w:t>
      </w:r>
      <w:r w:rsidR="00115299">
        <w:t> </w:t>
      </w:r>
      <w:r w:rsidRPr="00115299">
        <w:t>28, 28 kwietnia 2009 r.).</w:t>
      </w:r>
    </w:p>
    <w:p w14:paraId="5A0074AF" w14:textId="68BE0F52" w:rsidR="007071A1" w:rsidRPr="00115299" w:rsidRDefault="00CD2A5E" w:rsidP="006A6D43">
      <w:pPr>
        <w:pStyle w:val="JuPara"/>
      </w:pPr>
      <w:fldSimple w:instr=" SEQ level0 \*arabic ">
        <w:r w:rsidR="00320852" w:rsidRPr="00115299">
          <w:t>21</w:t>
        </w:r>
      </w:fldSimple>
      <w:r w:rsidR="007071A1" w:rsidRPr="00115299">
        <w:t>.  W związku z powyższym doszło do naruszenia art. 8 Konwencji.</w:t>
      </w:r>
    </w:p>
    <w:p w14:paraId="5E894067" w14:textId="77777777" w:rsidR="007071A1" w:rsidRPr="00115299" w:rsidRDefault="007071A1" w:rsidP="006A6D43">
      <w:pPr>
        <w:pStyle w:val="JuHHead"/>
      </w:pPr>
      <w:r w:rsidRPr="00115299">
        <w:rPr>
          <w:caps w:val="0"/>
        </w:rPr>
        <w:t>ZASTOSOWANIE ART. 41 KONWENCJI</w:t>
      </w:r>
    </w:p>
    <w:p w14:paraId="52789FA9" w14:textId="2D0E2C0C" w:rsidR="007071A1" w:rsidRPr="00115299" w:rsidRDefault="00CD2A5E" w:rsidP="006A6D43">
      <w:pPr>
        <w:pStyle w:val="JuPara"/>
      </w:pPr>
      <w:fldSimple w:instr=" SEQ level0 \*arabic ">
        <w:r w:rsidR="00320852" w:rsidRPr="00115299">
          <w:t>22</w:t>
        </w:r>
      </w:fldSimple>
      <w:r w:rsidR="007071A1" w:rsidRPr="00115299">
        <w:t>.  Skarżący domagał się kwoty 8122 euro (</w:t>
      </w:r>
      <w:proofErr w:type="spellStart"/>
      <w:r w:rsidR="007071A1" w:rsidRPr="00115299">
        <w:t>EUR</w:t>
      </w:r>
      <w:proofErr w:type="spellEnd"/>
      <w:r w:rsidR="007071A1" w:rsidRPr="00115299">
        <w:t xml:space="preserve">) </w:t>
      </w:r>
      <w:r w:rsidR="005168A1" w:rsidRPr="00115299">
        <w:t>tytułem</w:t>
      </w:r>
      <w:r w:rsidR="007071A1" w:rsidRPr="00115299">
        <w:t xml:space="preserve"> szkody niemajątkowej oraz 9410 </w:t>
      </w:r>
      <w:proofErr w:type="spellStart"/>
      <w:r w:rsidR="00BE1702" w:rsidRPr="00115299">
        <w:t>EUR</w:t>
      </w:r>
      <w:proofErr w:type="spellEnd"/>
      <w:r w:rsidR="00BE1702" w:rsidRPr="00115299">
        <w:rPr>
          <w:b/>
          <w:bCs/>
        </w:rPr>
        <w:t xml:space="preserve"> </w:t>
      </w:r>
      <w:r w:rsidR="005168A1" w:rsidRPr="00115299">
        <w:t>tytułem</w:t>
      </w:r>
      <w:r w:rsidR="007071A1" w:rsidRPr="00115299">
        <w:t xml:space="preserve"> kosztów i wydatków poniesionych przed sądami krajowymi i Trybunałem. Na tę drugą kwotę składa się 8717</w:t>
      </w:r>
      <w:r w:rsidR="002B35EC">
        <w:t> </w:t>
      </w:r>
      <w:r w:rsidR="007071A1" w:rsidRPr="00115299">
        <w:t>polskich złotych (PLN) tytułem kosztów, którymi skarżący został obciążony w wyroku kończącym sprawę, 1117 PLN tytułem opłat sądowych i</w:t>
      </w:r>
      <w:r w:rsidR="005168A1" w:rsidRPr="00115299">
        <w:t> </w:t>
      </w:r>
      <w:r w:rsidR="007071A1" w:rsidRPr="00115299">
        <w:t>skarbowych oraz 30</w:t>
      </w:r>
      <w:r w:rsidR="00BE1702" w:rsidRPr="00115299">
        <w:t> </w:t>
      </w:r>
      <w:r w:rsidR="007071A1" w:rsidRPr="00115299">
        <w:t>750 PLN tytułem kosztów zastępstwa procesowego przed Trybunałem.</w:t>
      </w:r>
    </w:p>
    <w:p w14:paraId="3BE2532F" w14:textId="797E5067" w:rsidR="007071A1" w:rsidRPr="00115299" w:rsidRDefault="00CD2A5E" w:rsidP="006A6D43">
      <w:pPr>
        <w:pStyle w:val="JuPara"/>
      </w:pPr>
      <w:fldSimple w:instr=" SEQ level0 \*arabic ">
        <w:r w:rsidR="00320852" w:rsidRPr="00115299">
          <w:t>23</w:t>
        </w:r>
      </w:fldSimple>
      <w:r w:rsidR="007071A1" w:rsidRPr="00115299">
        <w:t xml:space="preserve">.  Rząd podniósł, że wszystkie żądane kwoty są wygórowane. Ponadto Rząd podniósł, że roszczenie w zakresie kosztów zastępstwa </w:t>
      </w:r>
      <w:r w:rsidR="00BE1702" w:rsidRPr="00115299">
        <w:t xml:space="preserve">procesowego </w:t>
      </w:r>
      <w:r w:rsidR="007071A1" w:rsidRPr="00115299">
        <w:t xml:space="preserve">przed Trybunałem </w:t>
      </w:r>
      <w:r w:rsidR="005168A1" w:rsidRPr="00115299">
        <w:t>jest</w:t>
      </w:r>
      <w:r w:rsidR="007071A1" w:rsidRPr="00115299">
        <w:t xml:space="preserve"> nieuzasadnione co do wysokości.</w:t>
      </w:r>
    </w:p>
    <w:p w14:paraId="1249B901" w14:textId="5F1B07EB" w:rsidR="007071A1" w:rsidRPr="00115299" w:rsidRDefault="00CD2A5E" w:rsidP="006A6D43">
      <w:pPr>
        <w:pStyle w:val="JuPara"/>
      </w:pPr>
      <w:fldSimple w:instr=" SEQ level0 \*arabic ">
        <w:r w:rsidR="00320852" w:rsidRPr="00115299">
          <w:t>24</w:t>
        </w:r>
      </w:fldSimple>
      <w:r w:rsidR="007071A1" w:rsidRPr="00115299">
        <w:t xml:space="preserve">.  Trybunał przyznaje skarżącemu kwotę 8000 </w:t>
      </w:r>
      <w:proofErr w:type="spellStart"/>
      <w:r w:rsidR="007071A1" w:rsidRPr="00115299">
        <w:t>EUR</w:t>
      </w:r>
      <w:proofErr w:type="spellEnd"/>
      <w:r w:rsidR="007071A1" w:rsidRPr="00115299">
        <w:t xml:space="preserve"> </w:t>
      </w:r>
      <w:r w:rsidR="005168A1" w:rsidRPr="00115299">
        <w:t>tytułem zadośćuczynienia za</w:t>
      </w:r>
      <w:r w:rsidR="007071A1" w:rsidRPr="00115299">
        <w:t xml:space="preserve"> szkod</w:t>
      </w:r>
      <w:r w:rsidR="005168A1" w:rsidRPr="00115299">
        <w:t>ę</w:t>
      </w:r>
      <w:r w:rsidR="007071A1" w:rsidRPr="00115299">
        <w:t xml:space="preserve"> niemajątkow</w:t>
      </w:r>
      <w:r w:rsidR="005168A1" w:rsidRPr="00115299">
        <w:t>ą</w:t>
      </w:r>
      <w:r w:rsidR="007071A1" w:rsidRPr="00115299">
        <w:t>, powiększoną o wszelkie należne podatki.</w:t>
      </w:r>
    </w:p>
    <w:p w14:paraId="314B2685" w14:textId="63DC6DB0" w:rsidR="007071A1" w:rsidRPr="00115299" w:rsidRDefault="00CD2A5E" w:rsidP="006A6D43">
      <w:pPr>
        <w:pStyle w:val="JuPara"/>
      </w:pPr>
      <w:fldSimple w:instr=" SEQ level0 \*arabic ">
        <w:r w:rsidR="00320852" w:rsidRPr="00115299">
          <w:t>25</w:t>
        </w:r>
      </w:fldSimple>
      <w:r w:rsidR="007071A1" w:rsidRPr="00115299">
        <w:t>.  Mając na uwadze posiadane dokumenty, Trybunał uznaje za</w:t>
      </w:r>
      <w:r w:rsidR="005168A1" w:rsidRPr="00115299">
        <w:t> </w:t>
      </w:r>
      <w:r w:rsidR="007071A1" w:rsidRPr="00115299">
        <w:t xml:space="preserve">uzasadnione przyznanie kwoty 2290 </w:t>
      </w:r>
      <w:proofErr w:type="spellStart"/>
      <w:r w:rsidR="007071A1" w:rsidRPr="00115299">
        <w:t>EUR</w:t>
      </w:r>
      <w:proofErr w:type="spellEnd"/>
      <w:r w:rsidR="007071A1" w:rsidRPr="00115299">
        <w:t xml:space="preserve"> tytułem kosztów i wydatków w</w:t>
      </w:r>
      <w:r w:rsidR="002B35EC">
        <w:t> </w:t>
      </w:r>
      <w:r w:rsidR="007071A1" w:rsidRPr="00115299">
        <w:t>postępowaniu krajowym oraz</w:t>
      </w:r>
      <w:r w:rsidR="005168A1" w:rsidRPr="00115299">
        <w:t xml:space="preserve"> kwoty</w:t>
      </w:r>
      <w:r w:rsidR="007071A1" w:rsidRPr="00115299">
        <w:t xml:space="preserve"> 4000 </w:t>
      </w:r>
      <w:proofErr w:type="spellStart"/>
      <w:r w:rsidR="007071A1" w:rsidRPr="00115299">
        <w:t>EUR</w:t>
      </w:r>
      <w:proofErr w:type="spellEnd"/>
      <w:r w:rsidR="007071A1" w:rsidRPr="00115299">
        <w:t xml:space="preserve"> za postępowanie przed Trybunałem, którą uznaje za uzasadnioną co do wysokości, powiększon</w:t>
      </w:r>
      <w:r w:rsidR="005168A1" w:rsidRPr="00115299">
        <w:t>e</w:t>
      </w:r>
      <w:r w:rsidR="007071A1" w:rsidRPr="00115299">
        <w:t xml:space="preserve"> o</w:t>
      </w:r>
      <w:r w:rsidR="005168A1" w:rsidRPr="00115299">
        <w:t> </w:t>
      </w:r>
      <w:r w:rsidR="007071A1" w:rsidRPr="00115299">
        <w:t>wszelkie należne od skarżącego podatki.</w:t>
      </w:r>
    </w:p>
    <w:p w14:paraId="2B1176E9" w14:textId="3F0B19AE" w:rsidR="007071A1" w:rsidRPr="00115299" w:rsidRDefault="007071A1" w:rsidP="006A6D43">
      <w:pPr>
        <w:pStyle w:val="JuHHead"/>
      </w:pPr>
      <w:r w:rsidRPr="00115299">
        <w:t>Z TYCH PRZYCZYN TRYBUNAŁ JEDNOGŁOŚNIE</w:t>
      </w:r>
    </w:p>
    <w:p w14:paraId="580BA421" w14:textId="77777777" w:rsidR="007071A1" w:rsidRPr="00115299" w:rsidRDefault="007071A1" w:rsidP="006A6D43">
      <w:pPr>
        <w:pStyle w:val="JuList"/>
      </w:pPr>
      <w:r w:rsidRPr="00115299">
        <w:rPr>
          <w:i/>
          <w:iCs/>
        </w:rPr>
        <w:t>uznaje</w:t>
      </w:r>
      <w:r w:rsidRPr="00115299">
        <w:t xml:space="preserve"> skargę za dopuszczalną;</w:t>
      </w:r>
    </w:p>
    <w:p w14:paraId="51A47DDF" w14:textId="77777777" w:rsidR="007071A1" w:rsidRPr="00115299" w:rsidRDefault="007071A1" w:rsidP="006A6D43">
      <w:pPr>
        <w:pStyle w:val="JuList"/>
      </w:pPr>
      <w:r w:rsidRPr="00115299">
        <w:rPr>
          <w:i/>
        </w:rPr>
        <w:t>orzeka</w:t>
      </w:r>
      <w:r w:rsidRPr="00115299">
        <w:t>, że doszło do naruszenia art. 8 Konwencji;</w:t>
      </w:r>
    </w:p>
    <w:p w14:paraId="2E7DC5D4" w14:textId="77777777" w:rsidR="007071A1" w:rsidRPr="00115299" w:rsidRDefault="007071A1" w:rsidP="006A6D43">
      <w:pPr>
        <w:pStyle w:val="JuList"/>
      </w:pPr>
      <w:r w:rsidRPr="00115299">
        <w:rPr>
          <w:i/>
          <w:iCs/>
        </w:rPr>
        <w:t>orzeka,</w:t>
      </w:r>
    </w:p>
    <w:p w14:paraId="2A1B2C7C" w14:textId="1994AE84" w:rsidR="007071A1" w:rsidRPr="00115299" w:rsidRDefault="007071A1" w:rsidP="006A6D43">
      <w:pPr>
        <w:pStyle w:val="JuLista"/>
        <w:numPr>
          <w:ilvl w:val="1"/>
          <w:numId w:val="5"/>
        </w:numPr>
      </w:pPr>
      <w:r w:rsidRPr="00115299">
        <w:t>że pozwane Państwo winno, w terminie trzech miesięcy, uiścić na</w:t>
      </w:r>
      <w:r w:rsidR="005168A1" w:rsidRPr="00115299">
        <w:t> </w:t>
      </w:r>
      <w:r w:rsidRPr="00115299">
        <w:t>rzecz skarżącego następujące kwoty, przeliczone na walutę pozwanego państwa według kursu obowiązującego w dniu płatności:</w:t>
      </w:r>
    </w:p>
    <w:p w14:paraId="6F865C0C" w14:textId="750FF2A4" w:rsidR="007071A1" w:rsidRPr="00115299" w:rsidRDefault="007071A1" w:rsidP="006A6D43">
      <w:pPr>
        <w:pStyle w:val="JuListi"/>
        <w:numPr>
          <w:ilvl w:val="2"/>
          <w:numId w:val="5"/>
        </w:numPr>
      </w:pPr>
      <w:r w:rsidRPr="00115299">
        <w:t>8000 </w:t>
      </w:r>
      <w:proofErr w:type="spellStart"/>
      <w:r w:rsidRPr="00115299">
        <w:t>EUR</w:t>
      </w:r>
      <w:proofErr w:type="spellEnd"/>
      <w:r w:rsidRPr="00115299">
        <w:t xml:space="preserve"> (osiem tysięcy euro), plus wszelkie należne podatki, tytułem zadośćuczynienia za szkodę niemajątkową;</w:t>
      </w:r>
    </w:p>
    <w:p w14:paraId="108631BF" w14:textId="1BD2F6E9" w:rsidR="007071A1" w:rsidRPr="00115299" w:rsidRDefault="007071A1" w:rsidP="006A6D43">
      <w:pPr>
        <w:pStyle w:val="JuListi"/>
        <w:numPr>
          <w:ilvl w:val="2"/>
          <w:numId w:val="5"/>
        </w:numPr>
      </w:pPr>
      <w:r w:rsidRPr="00115299">
        <w:t>6290 </w:t>
      </w:r>
      <w:proofErr w:type="spellStart"/>
      <w:r w:rsidRPr="00115299">
        <w:t>EUR</w:t>
      </w:r>
      <w:proofErr w:type="spellEnd"/>
      <w:r w:rsidRPr="00115299">
        <w:t xml:space="preserve"> (sześć tysięcy dwieści</w:t>
      </w:r>
      <w:r w:rsidR="005168A1" w:rsidRPr="00115299">
        <w:t>e</w:t>
      </w:r>
      <w:r w:rsidRPr="00115299">
        <w:t xml:space="preserve"> dziewięćdziesiąt euro), plus wszelkie należne podatki, tytułem poniesionych kosztów i wydatków;</w:t>
      </w:r>
    </w:p>
    <w:p w14:paraId="072F29C2" w14:textId="61C472B3" w:rsidR="007071A1" w:rsidRPr="00115299" w:rsidRDefault="007071A1" w:rsidP="006A6D43">
      <w:pPr>
        <w:pStyle w:val="JuLista"/>
        <w:numPr>
          <w:ilvl w:val="1"/>
          <w:numId w:val="5"/>
        </w:numPr>
      </w:pPr>
      <w:r w:rsidRPr="00115299">
        <w:t>że od upływu wyżej wskazanego terminu trzech miesięcy aż do momentu uregulowania należności należne będą odsetki zwykłe od określonej powyżej kwoty, naliczone według stopy równej marginalnej stopie procentowej Europejskiego Banku Centralnego obowiązującej w tym okresie, powiększonej o trzy punkty procentowe;</w:t>
      </w:r>
    </w:p>
    <w:p w14:paraId="3761A1E3" w14:textId="6726CE2B" w:rsidR="004D0EC7" w:rsidRPr="00115299" w:rsidRDefault="007071A1" w:rsidP="006A6D43">
      <w:pPr>
        <w:pStyle w:val="JuList"/>
      </w:pPr>
      <w:r w:rsidRPr="00115299">
        <w:rPr>
          <w:i/>
        </w:rPr>
        <w:t xml:space="preserve">oddala </w:t>
      </w:r>
      <w:r w:rsidRPr="00115299">
        <w:t>pozostałą część roszczenia skarżącego o słuszne zadośćuczynienie.</w:t>
      </w:r>
    </w:p>
    <w:p w14:paraId="378C53F6" w14:textId="4E241DC9" w:rsidR="008E3A08" w:rsidRPr="00115299" w:rsidRDefault="007E2C8C" w:rsidP="006A6D43">
      <w:pPr>
        <w:pStyle w:val="JuParaLast"/>
      </w:pPr>
      <w:r w:rsidRPr="00115299">
        <w:t xml:space="preserve">Sporządzono w języku angielskim i obwieszczono pisemnie dnia </w:t>
      </w:r>
      <w:r w:rsidRPr="00115299">
        <w:rPr>
          <w:rFonts w:ascii="Times New Roman" w:hAnsi="Times New Roman"/>
        </w:rPr>
        <w:t>12</w:t>
      </w:r>
      <w:r w:rsidR="005168A1" w:rsidRPr="00115299">
        <w:rPr>
          <w:rFonts w:ascii="Times New Roman" w:hAnsi="Times New Roman"/>
        </w:rPr>
        <w:t> </w:t>
      </w:r>
      <w:r w:rsidRPr="00115299">
        <w:rPr>
          <w:rFonts w:ascii="Times New Roman" w:hAnsi="Times New Roman"/>
        </w:rPr>
        <w:t>stycznia 2023 r</w:t>
      </w:r>
      <w:r w:rsidRPr="00115299">
        <w:t>., zgodnie z Regułą 77 §§ 2 i 3 Regulaminu Trybunału.</w:t>
      </w:r>
    </w:p>
    <w:p w14:paraId="09B5D39E" w14:textId="457EAA08" w:rsidR="00182EBA" w:rsidRPr="00115299" w:rsidRDefault="002E7764" w:rsidP="006A6D43">
      <w:pPr>
        <w:pStyle w:val="JuSigned"/>
      </w:pPr>
      <w:r w:rsidRPr="00115299">
        <w:tab/>
      </w:r>
      <w:proofErr w:type="spellStart"/>
      <w:r w:rsidRPr="00115299">
        <w:t>Liv</w:t>
      </w:r>
      <w:proofErr w:type="spellEnd"/>
      <w:r w:rsidRPr="00115299">
        <w:t xml:space="preserve"> </w:t>
      </w:r>
      <w:proofErr w:type="spellStart"/>
      <w:r w:rsidRPr="00115299">
        <w:t>Tigerstedt</w:t>
      </w:r>
      <w:proofErr w:type="spellEnd"/>
      <w:r w:rsidRPr="00115299">
        <w:t xml:space="preserve"> </w:t>
      </w:r>
      <w:r w:rsidRPr="00115299">
        <w:tab/>
      </w:r>
      <w:proofErr w:type="spellStart"/>
      <w:r w:rsidRPr="00115299">
        <w:t>Lətif</w:t>
      </w:r>
      <w:proofErr w:type="spellEnd"/>
      <w:r w:rsidRPr="00115299">
        <w:t xml:space="preserve"> </w:t>
      </w:r>
      <w:proofErr w:type="spellStart"/>
      <w:r w:rsidRPr="00115299">
        <w:t>Hüseynov</w:t>
      </w:r>
      <w:proofErr w:type="spellEnd"/>
      <w:r w:rsidRPr="00115299">
        <w:br/>
      </w:r>
      <w:r w:rsidRPr="00115299">
        <w:tab/>
        <w:t>Zastępca Kanclerza</w:t>
      </w:r>
      <w:r w:rsidRPr="00115299">
        <w:tab/>
        <w:t>Przewodniczący</w:t>
      </w:r>
    </w:p>
    <w:sectPr w:rsidR="00182EBA" w:rsidRPr="00115299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424FF" w14:textId="77777777" w:rsidR="005630E8" w:rsidRPr="007071A1" w:rsidRDefault="005630E8" w:rsidP="0098410D">
      <w:r w:rsidRPr="007071A1">
        <w:separator/>
      </w:r>
    </w:p>
  </w:endnote>
  <w:endnote w:type="continuationSeparator" w:id="0">
    <w:p w14:paraId="2F454BFF" w14:textId="77777777" w:rsidR="005630E8" w:rsidRPr="007071A1" w:rsidRDefault="005630E8" w:rsidP="0098410D">
      <w:r w:rsidRPr="007071A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A16A3" w14:textId="512FB24D" w:rsidR="007071A1" w:rsidRPr="00150BFA" w:rsidRDefault="007071A1" w:rsidP="0020718E">
    <w:pPr>
      <w:jc w:val="center"/>
    </w:pPr>
    <w:r>
      <w:rPr>
        <w:noProof/>
        <w:lang w:eastAsia="pl-PL"/>
      </w:rPr>
      <w:drawing>
        <wp:inline distT="0" distB="0" distL="0" distR="0" wp14:anchorId="5D0AEF49" wp14:editId="078AA574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AA446A" w14:textId="6CFA1620" w:rsidR="0098410D" w:rsidRPr="007071A1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893D3" w14:textId="2C4F7419" w:rsidR="007071A1" w:rsidRPr="00150BFA" w:rsidRDefault="007071A1" w:rsidP="0020718E">
    <w:pPr>
      <w:jc w:val="center"/>
    </w:pPr>
    <w:r>
      <w:rPr>
        <w:noProof/>
        <w:lang w:eastAsia="pl-PL"/>
      </w:rPr>
      <w:drawing>
        <wp:inline distT="0" distB="0" distL="0" distR="0" wp14:anchorId="1126C7EC" wp14:editId="17D075B0">
          <wp:extent cx="771525" cy="619125"/>
          <wp:effectExtent l="0" t="0" r="9525" b="9525"/>
          <wp:docPr id="5" name="Picture 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B3994A" w14:textId="333FA952" w:rsidR="009E7A6F" w:rsidRPr="007071A1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05011" w14:textId="76FA53CF" w:rsidR="00182EBA" w:rsidRDefault="007071A1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D54D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0B8FA" w14:textId="54B23440" w:rsidR="00182EBA" w:rsidRPr="000B7195" w:rsidRDefault="007071A1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9D54D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EB521" w14:textId="77777777" w:rsidR="005630E8" w:rsidRPr="007071A1" w:rsidRDefault="005630E8" w:rsidP="0098410D">
      <w:r w:rsidRPr="007071A1">
        <w:separator/>
      </w:r>
    </w:p>
  </w:footnote>
  <w:footnote w:type="continuationSeparator" w:id="0">
    <w:p w14:paraId="49EFEE17" w14:textId="77777777" w:rsidR="005630E8" w:rsidRPr="007071A1" w:rsidRDefault="005630E8" w:rsidP="0098410D">
      <w:r w:rsidRPr="007071A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D45D3" w14:textId="4D76D923" w:rsidR="007071A1" w:rsidRPr="00A45145" w:rsidRDefault="007071A1" w:rsidP="00A45145">
    <w:pPr>
      <w:jc w:val="center"/>
    </w:pPr>
    <w:r>
      <w:rPr>
        <w:noProof/>
        <w:lang w:eastAsia="pl-PL"/>
      </w:rPr>
      <w:drawing>
        <wp:inline distT="0" distB="0" distL="0" distR="0" wp14:anchorId="445C753A" wp14:editId="2A0A1E32">
          <wp:extent cx="2962275" cy="1219200"/>
          <wp:effectExtent l="0" t="0" r="9525" b="0"/>
          <wp:docPr id="2" name="Picture 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CBD27F" w14:textId="61351BC2" w:rsidR="0098410D" w:rsidRPr="007071A1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251D5" w14:textId="636B22F3" w:rsidR="007071A1" w:rsidRPr="00A45145" w:rsidRDefault="007071A1" w:rsidP="00A45145">
    <w:pPr>
      <w:jc w:val="center"/>
    </w:pPr>
    <w:r>
      <w:rPr>
        <w:noProof/>
        <w:lang w:eastAsia="pl-PL"/>
      </w:rPr>
      <w:drawing>
        <wp:inline distT="0" distB="0" distL="0" distR="0" wp14:anchorId="1D66F643" wp14:editId="12022DA7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AB71F3" w14:textId="789E13D1" w:rsidR="0098410D" w:rsidRPr="007071A1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0333C" w14:textId="06C3F4C0" w:rsidR="00182EBA" w:rsidRPr="004D0EC7" w:rsidRDefault="007071A1" w:rsidP="004D0EC7">
    <w:pPr>
      <w:pStyle w:val="JuHeader"/>
    </w:pPr>
    <w:r>
      <w:t>WYROK W SPRAWIE ROMANOWSKI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E9FDB" w14:textId="0240FC06" w:rsidR="00182EBA" w:rsidRPr="00882CD5" w:rsidRDefault="007071A1" w:rsidP="007D3701">
    <w:pPr>
      <w:pStyle w:val="JuHeader"/>
    </w:pPr>
    <w:r>
      <w:t>WYROK W SPRAWIE ROMANOWSKI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7071A1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56F18"/>
    <w:rsid w:val="000602DF"/>
    <w:rsid w:val="00061B05"/>
    <w:rsid w:val="000632D5"/>
    <w:rsid w:val="000644EE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06C12"/>
    <w:rsid w:val="00110DA8"/>
    <w:rsid w:val="00111B0C"/>
    <w:rsid w:val="00115299"/>
    <w:rsid w:val="00120D6C"/>
    <w:rsid w:val="001257EC"/>
    <w:rsid w:val="00127D1A"/>
    <w:rsid w:val="00133D33"/>
    <w:rsid w:val="00134B6A"/>
    <w:rsid w:val="00134D64"/>
    <w:rsid w:val="00135A30"/>
    <w:rsid w:val="0013612C"/>
    <w:rsid w:val="00137FF6"/>
    <w:rsid w:val="00141650"/>
    <w:rsid w:val="00145468"/>
    <w:rsid w:val="001561B6"/>
    <w:rsid w:val="00162A12"/>
    <w:rsid w:val="00166530"/>
    <w:rsid w:val="00170027"/>
    <w:rsid w:val="001741C5"/>
    <w:rsid w:val="00182EBA"/>
    <w:rsid w:val="001832BD"/>
    <w:rsid w:val="0019323B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1186"/>
    <w:rsid w:val="001E3269"/>
    <w:rsid w:val="001E3EAE"/>
    <w:rsid w:val="001E4520"/>
    <w:rsid w:val="001E6857"/>
    <w:rsid w:val="001E6F32"/>
    <w:rsid w:val="001E78AD"/>
    <w:rsid w:val="001F2145"/>
    <w:rsid w:val="001F6262"/>
    <w:rsid w:val="001F67B0"/>
    <w:rsid w:val="001F7B3D"/>
    <w:rsid w:val="00202752"/>
    <w:rsid w:val="0020335A"/>
    <w:rsid w:val="002052BC"/>
    <w:rsid w:val="00205D95"/>
    <w:rsid w:val="00205F9F"/>
    <w:rsid w:val="00210338"/>
    <w:rsid w:val="002115FC"/>
    <w:rsid w:val="0021423C"/>
    <w:rsid w:val="00221E5F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96BB6"/>
    <w:rsid w:val="002A01CC"/>
    <w:rsid w:val="002A34FC"/>
    <w:rsid w:val="002A613A"/>
    <w:rsid w:val="002A61B1"/>
    <w:rsid w:val="002A663C"/>
    <w:rsid w:val="002B35EC"/>
    <w:rsid w:val="002B444B"/>
    <w:rsid w:val="002B5887"/>
    <w:rsid w:val="002B7ED9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04FE"/>
    <w:rsid w:val="00301A75"/>
    <w:rsid w:val="00302F70"/>
    <w:rsid w:val="0030336F"/>
    <w:rsid w:val="0030375E"/>
    <w:rsid w:val="00312A30"/>
    <w:rsid w:val="003201D8"/>
    <w:rsid w:val="00320852"/>
    <w:rsid w:val="00320F72"/>
    <w:rsid w:val="0032463E"/>
    <w:rsid w:val="00326224"/>
    <w:rsid w:val="00337EE4"/>
    <w:rsid w:val="00340FFD"/>
    <w:rsid w:val="00345C41"/>
    <w:rsid w:val="003506B1"/>
    <w:rsid w:val="00355720"/>
    <w:rsid w:val="00355877"/>
    <w:rsid w:val="00356AC7"/>
    <w:rsid w:val="003609FA"/>
    <w:rsid w:val="003710C8"/>
    <w:rsid w:val="003750BE"/>
    <w:rsid w:val="00381996"/>
    <w:rsid w:val="00385A36"/>
    <w:rsid w:val="00385F3D"/>
    <w:rsid w:val="0038740C"/>
    <w:rsid w:val="00387B9D"/>
    <w:rsid w:val="00387C70"/>
    <w:rsid w:val="00387CB5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1E69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EA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40D"/>
    <w:rsid w:val="004D4EF1"/>
    <w:rsid w:val="004D5311"/>
    <w:rsid w:val="004D5DCC"/>
    <w:rsid w:val="004D7E45"/>
    <w:rsid w:val="004E6692"/>
    <w:rsid w:val="004F10AF"/>
    <w:rsid w:val="004F11A4"/>
    <w:rsid w:val="004F2389"/>
    <w:rsid w:val="004F304D"/>
    <w:rsid w:val="004F4290"/>
    <w:rsid w:val="004F61BE"/>
    <w:rsid w:val="004F65B7"/>
    <w:rsid w:val="004F66B1"/>
    <w:rsid w:val="005065C2"/>
    <w:rsid w:val="00511C07"/>
    <w:rsid w:val="005125CB"/>
    <w:rsid w:val="00512EC4"/>
    <w:rsid w:val="005168A1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241"/>
    <w:rsid w:val="00547353"/>
    <w:rsid w:val="005474E7"/>
    <w:rsid w:val="005512A3"/>
    <w:rsid w:val="005578CE"/>
    <w:rsid w:val="00562781"/>
    <w:rsid w:val="00562B6C"/>
    <w:rsid w:val="005630E8"/>
    <w:rsid w:val="00567D23"/>
    <w:rsid w:val="0057271C"/>
    <w:rsid w:val="00572845"/>
    <w:rsid w:val="0058473A"/>
    <w:rsid w:val="0058502F"/>
    <w:rsid w:val="005879A2"/>
    <w:rsid w:val="00592772"/>
    <w:rsid w:val="0059574A"/>
    <w:rsid w:val="005A1B9B"/>
    <w:rsid w:val="005A2E79"/>
    <w:rsid w:val="005A6751"/>
    <w:rsid w:val="005B005A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E43AD"/>
    <w:rsid w:val="005F0EB3"/>
    <w:rsid w:val="005F51E1"/>
    <w:rsid w:val="00611C80"/>
    <w:rsid w:val="00620692"/>
    <w:rsid w:val="006242CA"/>
    <w:rsid w:val="00627507"/>
    <w:rsid w:val="00633717"/>
    <w:rsid w:val="006344E1"/>
    <w:rsid w:val="00641F9E"/>
    <w:rsid w:val="00643524"/>
    <w:rsid w:val="0064393B"/>
    <w:rsid w:val="00645CF2"/>
    <w:rsid w:val="006545C4"/>
    <w:rsid w:val="0065699C"/>
    <w:rsid w:val="00661971"/>
    <w:rsid w:val="00661CE8"/>
    <w:rsid w:val="006623D9"/>
    <w:rsid w:val="00663D95"/>
    <w:rsid w:val="006642A5"/>
    <w:rsid w:val="0066550C"/>
    <w:rsid w:val="00665BD2"/>
    <w:rsid w:val="006716F2"/>
    <w:rsid w:val="00675AF2"/>
    <w:rsid w:val="006779BA"/>
    <w:rsid w:val="00682BF2"/>
    <w:rsid w:val="0068573E"/>
    <w:rsid w:val="006859CE"/>
    <w:rsid w:val="00687446"/>
    <w:rsid w:val="00691270"/>
    <w:rsid w:val="00693AB3"/>
    <w:rsid w:val="00694BA8"/>
    <w:rsid w:val="006A037C"/>
    <w:rsid w:val="006A0C84"/>
    <w:rsid w:val="006A36F4"/>
    <w:rsid w:val="006A406F"/>
    <w:rsid w:val="006A5D3A"/>
    <w:rsid w:val="006A6D43"/>
    <w:rsid w:val="006B1942"/>
    <w:rsid w:val="006C23D4"/>
    <w:rsid w:val="006C2D61"/>
    <w:rsid w:val="006C7BB0"/>
    <w:rsid w:val="006D3237"/>
    <w:rsid w:val="006E2E37"/>
    <w:rsid w:val="006E3CF1"/>
    <w:rsid w:val="006E68A3"/>
    <w:rsid w:val="006E7E80"/>
    <w:rsid w:val="006F09FC"/>
    <w:rsid w:val="006F1C2D"/>
    <w:rsid w:val="006F48CA"/>
    <w:rsid w:val="006F6438"/>
    <w:rsid w:val="006F64DD"/>
    <w:rsid w:val="006F712D"/>
    <w:rsid w:val="00703985"/>
    <w:rsid w:val="00704299"/>
    <w:rsid w:val="007071A1"/>
    <w:rsid w:val="00715127"/>
    <w:rsid w:val="00715E8E"/>
    <w:rsid w:val="00716DAD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77426"/>
    <w:rsid w:val="0078323E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2356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18ED"/>
    <w:rsid w:val="00823602"/>
    <w:rsid w:val="008255F5"/>
    <w:rsid w:val="00826890"/>
    <w:rsid w:val="0083014E"/>
    <w:rsid w:val="00831715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8622E"/>
    <w:rsid w:val="00893576"/>
    <w:rsid w:val="00893E73"/>
    <w:rsid w:val="00894CDE"/>
    <w:rsid w:val="008A4BFD"/>
    <w:rsid w:val="008B02DC"/>
    <w:rsid w:val="008B092C"/>
    <w:rsid w:val="008B1E9A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07BE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567C"/>
    <w:rsid w:val="00947AFB"/>
    <w:rsid w:val="00947D64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7FC1"/>
    <w:rsid w:val="009B1606"/>
    <w:rsid w:val="009B1B5F"/>
    <w:rsid w:val="009B6673"/>
    <w:rsid w:val="009C191B"/>
    <w:rsid w:val="009C2BD6"/>
    <w:rsid w:val="009D54DD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758C1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C4FFE"/>
    <w:rsid w:val="00AD321E"/>
    <w:rsid w:val="00AE0A2E"/>
    <w:rsid w:val="00AE2A44"/>
    <w:rsid w:val="00AE354C"/>
    <w:rsid w:val="00AF218F"/>
    <w:rsid w:val="00AF4B07"/>
    <w:rsid w:val="00AF6186"/>
    <w:rsid w:val="00AF672B"/>
    <w:rsid w:val="00AF7A3A"/>
    <w:rsid w:val="00B02587"/>
    <w:rsid w:val="00B049D1"/>
    <w:rsid w:val="00B160DB"/>
    <w:rsid w:val="00B20836"/>
    <w:rsid w:val="00B235BB"/>
    <w:rsid w:val="00B27A44"/>
    <w:rsid w:val="00B30BBF"/>
    <w:rsid w:val="00B33C03"/>
    <w:rsid w:val="00B41FFB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1702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644B0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B73C7"/>
    <w:rsid w:val="00CC1D0D"/>
    <w:rsid w:val="00CC5067"/>
    <w:rsid w:val="00CD11D3"/>
    <w:rsid w:val="00CD282B"/>
    <w:rsid w:val="00CD2A5E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45E4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37869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234C"/>
    <w:rsid w:val="00D977B6"/>
    <w:rsid w:val="00DA1223"/>
    <w:rsid w:val="00DA4A31"/>
    <w:rsid w:val="00DA7B04"/>
    <w:rsid w:val="00DB36C2"/>
    <w:rsid w:val="00DC169B"/>
    <w:rsid w:val="00DC2AB9"/>
    <w:rsid w:val="00DC4520"/>
    <w:rsid w:val="00DC63F0"/>
    <w:rsid w:val="00DC74C6"/>
    <w:rsid w:val="00DD37EA"/>
    <w:rsid w:val="00DD6EE5"/>
    <w:rsid w:val="00DE0C26"/>
    <w:rsid w:val="00DE386C"/>
    <w:rsid w:val="00DE4D35"/>
    <w:rsid w:val="00DE7506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3126"/>
    <w:rsid w:val="00E53EE8"/>
    <w:rsid w:val="00E63EC7"/>
    <w:rsid w:val="00E64915"/>
    <w:rsid w:val="00E64D3A"/>
    <w:rsid w:val="00E661D4"/>
    <w:rsid w:val="00E6684D"/>
    <w:rsid w:val="00E67565"/>
    <w:rsid w:val="00E70091"/>
    <w:rsid w:val="00E70D2E"/>
    <w:rsid w:val="00E720F5"/>
    <w:rsid w:val="00E76D47"/>
    <w:rsid w:val="00E827BC"/>
    <w:rsid w:val="00E849F7"/>
    <w:rsid w:val="00E8531A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5FAE"/>
    <w:rsid w:val="00EB7BE0"/>
    <w:rsid w:val="00EC0B88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1C17"/>
    <w:rsid w:val="00F03880"/>
    <w:rsid w:val="00F03924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5CDC"/>
    <w:rsid w:val="00F56A6F"/>
    <w:rsid w:val="00F5709C"/>
    <w:rsid w:val="00F60B85"/>
    <w:rsid w:val="00F64EF1"/>
    <w:rsid w:val="00F72B14"/>
    <w:rsid w:val="00F7349B"/>
    <w:rsid w:val="00F81503"/>
    <w:rsid w:val="00F859CD"/>
    <w:rsid w:val="00F86996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0F52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28AD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7071A1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53126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53126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5312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5312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5312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5312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5312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5312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531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531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5312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5312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5312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5312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5312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531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531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53126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531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53126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53126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531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53126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5312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5312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5312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5312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5312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531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531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5312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53126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53126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53126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53126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53126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53126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53126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53126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5312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5312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5312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5312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53126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E53126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53126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8B1E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1A10F-81B2-4110-A252-59D2E3D38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8C7600-ACD6-4B28-9D0F-B8F44B0775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C20CE-2D3C-4D7B-A1E0-1C40942F8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4FA5D2-25BD-4ED8-A882-CEAE992B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1828</Words>
  <Characters>10968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2023-01-25T12:23:00Z</dcterms:created>
  <dcterms:modified xsi:type="dcterms:W3CDTF">2023-04-07T12:13:00Z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55297/16</vt:lpwstr>
  </property>
  <property fmtid="{D5CDD505-2E9C-101B-9397-08002B2CF9AE}" pid="4" name="CASEID">
    <vt:lpwstr>1248788</vt:lpwstr>
  </property>
  <property fmtid="{D5CDD505-2E9C-101B-9397-08002B2CF9AE}" pid="5" name="ContentTypeId">
    <vt:lpwstr>0x010100558EB02BDB9E204AB350EDD385B68E10</vt:lpwstr>
  </property>
</Properties>
</file>