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FDA27" w14:textId="2CB0351A" w:rsidR="0098410D" w:rsidRDefault="001D63DF" w:rsidP="001D63DF">
      <w:pPr>
        <w:pStyle w:val="DecHTitle"/>
      </w:pPr>
      <w:r>
        <w:t>EUROPEJSKI TRYBUNAŁ PRAW CZŁOWIEKA</w:t>
      </w:r>
    </w:p>
    <w:p w14:paraId="7EF1FB69" w14:textId="77777777" w:rsidR="001D63DF" w:rsidRPr="00740682" w:rsidRDefault="001D63DF" w:rsidP="00740682">
      <w:pPr>
        <w:jc w:val="center"/>
      </w:pPr>
    </w:p>
    <w:p w14:paraId="6250F264" w14:textId="574A9E6C" w:rsidR="0098410D" w:rsidRPr="00740682" w:rsidRDefault="006D40D5" w:rsidP="00740682">
      <w:pPr>
        <w:pStyle w:val="DecHTitle"/>
      </w:pPr>
      <w:r>
        <w:t>SEKCJA PIERWSZA</w:t>
      </w:r>
    </w:p>
    <w:p w14:paraId="566FD991" w14:textId="4883E2AD" w:rsidR="008E6217" w:rsidRPr="00740682" w:rsidRDefault="008E6217" w:rsidP="00740682">
      <w:pPr>
        <w:pStyle w:val="JuTitle"/>
      </w:pPr>
      <w:r>
        <w:rPr>
          <w:color w:val="000000" w:themeColor="text1"/>
        </w:rPr>
        <w:t xml:space="preserve">SPRAWA </w:t>
      </w:r>
      <w:r>
        <w:t>MARCINIAK PRZECIWKO POLSCE</w:t>
      </w:r>
    </w:p>
    <w:p w14:paraId="1BFA7774" w14:textId="584F0209" w:rsidR="00D74888" w:rsidRPr="00740682" w:rsidRDefault="008E6217" w:rsidP="00740682">
      <w:pPr>
        <w:pStyle w:val="ECHRCoverTitle4"/>
      </w:pPr>
      <w:r>
        <w:t>(Skarga nr</w:t>
      </w:r>
      <w:r w:rsidR="008F4935">
        <w:t xml:space="preserve"> </w:t>
      </w:r>
      <w:r>
        <w:t>52089/18)</w:t>
      </w:r>
    </w:p>
    <w:p w14:paraId="72C56691" w14:textId="323C8DBC" w:rsidR="0098410D" w:rsidRPr="00740682" w:rsidRDefault="0098410D" w:rsidP="00740682">
      <w:pPr>
        <w:pStyle w:val="DecHCase"/>
      </w:pPr>
    </w:p>
    <w:p w14:paraId="58163698" w14:textId="67394221" w:rsidR="002044A4" w:rsidRPr="00740682" w:rsidRDefault="002044A4" w:rsidP="00740682">
      <w:pPr>
        <w:pStyle w:val="DecHCase"/>
      </w:pPr>
    </w:p>
    <w:p w14:paraId="1AAACED2" w14:textId="77777777" w:rsidR="002044A4" w:rsidRPr="00740682" w:rsidRDefault="002044A4" w:rsidP="00740682">
      <w:pPr>
        <w:pStyle w:val="DecHCase"/>
      </w:pPr>
    </w:p>
    <w:p w14:paraId="19FCC92E" w14:textId="77777777" w:rsidR="0098410D" w:rsidRPr="00740682" w:rsidRDefault="0098410D" w:rsidP="00740682">
      <w:pPr>
        <w:pStyle w:val="DecHCase"/>
      </w:pPr>
    </w:p>
    <w:p w14:paraId="11BEB0F9" w14:textId="77777777" w:rsidR="00AC4CD4" w:rsidRPr="00740682" w:rsidRDefault="00AC4CD4" w:rsidP="00740682">
      <w:pPr>
        <w:pStyle w:val="DecHCase"/>
      </w:pPr>
    </w:p>
    <w:p w14:paraId="5B97E9F7" w14:textId="77777777" w:rsidR="0098410D" w:rsidRPr="00740682" w:rsidRDefault="0098410D" w:rsidP="00740682">
      <w:pPr>
        <w:pStyle w:val="DecHCase"/>
      </w:pPr>
    </w:p>
    <w:p w14:paraId="6DF79AB2" w14:textId="11EEA1C9" w:rsidR="0098410D" w:rsidRPr="00740682" w:rsidRDefault="0098410D" w:rsidP="00740682">
      <w:pPr>
        <w:pStyle w:val="DecHCase"/>
      </w:pPr>
      <w:r>
        <w:t>WYROK</w:t>
      </w:r>
      <w:r>
        <w:br/>
      </w:r>
    </w:p>
    <w:p w14:paraId="4EF68311" w14:textId="77777777" w:rsidR="0098410D" w:rsidRPr="00740682" w:rsidRDefault="0098410D" w:rsidP="00740682">
      <w:pPr>
        <w:pStyle w:val="DecHCase"/>
      </w:pPr>
      <w:r>
        <w:t>STRASBURG</w:t>
      </w:r>
    </w:p>
    <w:p w14:paraId="620F0C4C" w14:textId="33B7BC75" w:rsidR="0098410D" w:rsidRPr="00740682" w:rsidRDefault="006D40D5" w:rsidP="00740682">
      <w:pPr>
        <w:pStyle w:val="DecHCase"/>
      </w:pPr>
      <w:r>
        <w:rPr>
          <w:rFonts w:ascii="Times New Roman" w:hAnsi="Times New Roman"/>
        </w:rPr>
        <w:t>2 lutego 2023 r.</w:t>
      </w:r>
    </w:p>
    <w:p w14:paraId="7657B9BD" w14:textId="77777777" w:rsidR="00AC4CD4" w:rsidRPr="00740682" w:rsidRDefault="00AC4CD4" w:rsidP="00740682">
      <w:pPr>
        <w:pStyle w:val="JuPara"/>
      </w:pPr>
    </w:p>
    <w:p w14:paraId="1E7D8AB6" w14:textId="407347F8" w:rsidR="002422B6" w:rsidRPr="00740682" w:rsidRDefault="00A32F75" w:rsidP="00740682">
      <w:pPr>
        <w:rPr>
          <w:i/>
          <w:sz w:val="22"/>
        </w:rPr>
      </w:pPr>
      <w:r>
        <w:rPr>
          <w:i/>
          <w:sz w:val="22"/>
        </w:rPr>
        <w:t>Niniejszy w</w:t>
      </w:r>
      <w:r w:rsidR="0098410D">
        <w:rPr>
          <w:i/>
          <w:sz w:val="22"/>
        </w:rPr>
        <w:t xml:space="preserve">yrok </w:t>
      </w:r>
      <w:r>
        <w:rPr>
          <w:i/>
          <w:sz w:val="22"/>
        </w:rPr>
        <w:t>jest</w:t>
      </w:r>
      <w:r w:rsidR="0098410D">
        <w:rPr>
          <w:i/>
          <w:sz w:val="22"/>
        </w:rPr>
        <w:t xml:space="preserve"> ostateczny, lecz może podlegać korekcie wydawniczej.</w:t>
      </w:r>
    </w:p>
    <w:p w14:paraId="513F361E" w14:textId="77777777" w:rsidR="0098410D" w:rsidRPr="00740682" w:rsidRDefault="0098410D" w:rsidP="00740682">
      <w:pPr>
        <w:sectPr w:rsidR="0098410D" w:rsidRPr="00740682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010BFA1D" w14:textId="5F05BC82" w:rsidR="0098410D" w:rsidRPr="00740682" w:rsidRDefault="0098410D" w:rsidP="00740682">
      <w:pPr>
        <w:pStyle w:val="JuCase"/>
      </w:pPr>
      <w:r>
        <w:lastRenderedPageBreak/>
        <w:t>W sprawie Marciniak przeciwko Polsce</w:t>
      </w:r>
    </w:p>
    <w:p w14:paraId="4386DC83" w14:textId="22FAA398" w:rsidR="009F4C8F" w:rsidRPr="00740682" w:rsidRDefault="009F4C8F" w:rsidP="00740682">
      <w:pPr>
        <w:pStyle w:val="JuPara"/>
      </w:pPr>
      <w:r>
        <w:t>Europejski Trybunał Praw Człowieka (</w:t>
      </w:r>
      <w:r w:rsidR="00093D72">
        <w:t>Sekcja Pierwsza</w:t>
      </w:r>
      <w:r>
        <w:t>), zasiadając jako Komitet w składzie:</w:t>
      </w:r>
    </w:p>
    <w:p w14:paraId="27C66D5A" w14:textId="4AAF06FE" w:rsidR="009F4C8F" w:rsidRPr="00740682" w:rsidRDefault="008B31D8" w:rsidP="00740682">
      <w:pPr>
        <w:pStyle w:val="JuJudges"/>
      </w:pPr>
      <w:r>
        <w:tab/>
      </w:r>
      <w:proofErr w:type="spellStart"/>
      <w:r w:rsidR="00A32F75" w:rsidRPr="00740682">
        <w:t>Péter</w:t>
      </w:r>
      <w:proofErr w:type="spellEnd"/>
      <w:r w:rsidR="00A32F75" w:rsidRPr="00740682">
        <w:t xml:space="preserve"> </w:t>
      </w:r>
      <w:proofErr w:type="spellStart"/>
      <w:r w:rsidR="00A32F75" w:rsidRPr="00740682">
        <w:t>Paczolay</w:t>
      </w:r>
      <w:proofErr w:type="spellEnd"/>
      <w:r w:rsidR="00A32F75" w:rsidRPr="00740682">
        <w:rPr>
          <w:i/>
        </w:rPr>
        <w:t xml:space="preserve">, </w:t>
      </w:r>
      <w:r w:rsidR="00023434">
        <w:rPr>
          <w:i/>
        </w:rPr>
        <w:t>Przewodniczący</w:t>
      </w:r>
      <w:r w:rsidR="00A32F75" w:rsidRPr="00740682">
        <w:t>,</w:t>
      </w:r>
      <w:r w:rsidR="00A32F75" w:rsidRPr="00740682">
        <w:br/>
      </w:r>
      <w:r w:rsidR="00A32F75" w:rsidRPr="00740682">
        <w:tab/>
        <w:t xml:space="preserve">Alena </w:t>
      </w:r>
      <w:proofErr w:type="spellStart"/>
      <w:r w:rsidR="00A32F75" w:rsidRPr="00740682">
        <w:t>Poláčková</w:t>
      </w:r>
      <w:proofErr w:type="spellEnd"/>
      <w:r w:rsidR="00A32F75" w:rsidRPr="00740682">
        <w:t>,</w:t>
      </w:r>
      <w:r w:rsidR="00A32F75" w:rsidRPr="00740682">
        <w:br/>
      </w:r>
      <w:r w:rsidR="00A32F75" w:rsidRPr="00740682">
        <w:tab/>
      </w:r>
      <w:proofErr w:type="spellStart"/>
      <w:r w:rsidR="00A32F75" w:rsidRPr="00740682">
        <w:t>Raffaele</w:t>
      </w:r>
      <w:proofErr w:type="spellEnd"/>
      <w:r w:rsidR="00A32F75" w:rsidRPr="00740682">
        <w:t xml:space="preserve"> </w:t>
      </w:r>
      <w:proofErr w:type="spellStart"/>
      <w:r w:rsidR="00A32F75" w:rsidRPr="00740682">
        <w:t>Sabato</w:t>
      </w:r>
      <w:proofErr w:type="spellEnd"/>
      <w:r>
        <w:t xml:space="preserve">, </w:t>
      </w:r>
      <w:r>
        <w:rPr>
          <w:i/>
        </w:rPr>
        <w:t>sędziowie</w:t>
      </w:r>
      <w:r>
        <w:t>,</w:t>
      </w:r>
      <w:r>
        <w:br/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023434">
        <w:rPr>
          <w:i/>
        </w:rPr>
        <w:t xml:space="preserve">Zastępca </w:t>
      </w:r>
      <w:r w:rsidR="00023434">
        <w:rPr>
          <w:i/>
          <w:iCs/>
        </w:rPr>
        <w:t xml:space="preserve">Kanclerza </w:t>
      </w:r>
      <w:r w:rsidR="00023434">
        <w:rPr>
          <w:i/>
        </w:rPr>
        <w:t>Sekcji</w:t>
      </w:r>
      <w:r>
        <w:t>,</w:t>
      </w:r>
    </w:p>
    <w:p w14:paraId="025DD9E2" w14:textId="13F08101" w:rsidR="006D40D5" w:rsidRPr="00740682" w:rsidRDefault="00A32F75" w:rsidP="00740682">
      <w:pPr>
        <w:pStyle w:val="JuPara"/>
      </w:pPr>
      <w:r>
        <w:t>m</w:t>
      </w:r>
      <w:r w:rsidR="006D40D5">
        <w:t>ając na uwadze:</w:t>
      </w:r>
    </w:p>
    <w:p w14:paraId="657C71D1" w14:textId="2D4A2C51" w:rsidR="006D40D5" w:rsidRPr="00740682" w:rsidRDefault="006D40D5" w:rsidP="00740682">
      <w:pPr>
        <w:pStyle w:val="JuPara"/>
      </w:pPr>
      <w:r>
        <w:t>skargę (nr 52089/18) przeciwko Rzeczypospolitej Polskiej wniesioną do</w:t>
      </w:r>
      <w:r w:rsidR="008F4935">
        <w:t> </w:t>
      </w:r>
      <w:r>
        <w:t>Trybunału w dniu 3</w:t>
      </w:r>
      <w:r w:rsidR="00A32F75">
        <w:t>0</w:t>
      </w:r>
      <w:r>
        <w:t xml:space="preserve"> października 2018 r. na podstawie art. 34 Konwencji o ochronie praw człowieka i podstawowych wolności („Konwencja”) przez obywatelkę polską Elżbietę Marciniak („skarżąca”)</w:t>
      </w:r>
      <w:r w:rsidR="00A32F75">
        <w:t>, urodzoną w 1966 r.</w:t>
      </w:r>
      <w:r w:rsidR="00023434">
        <w:t xml:space="preserve"> i</w:t>
      </w:r>
      <w:r w:rsidR="008F4935">
        <w:t> </w:t>
      </w:r>
      <w:r w:rsidR="00A32F75">
        <w:t>zamieszkałą w Płocku</w:t>
      </w:r>
      <w:r>
        <w:t>;</w:t>
      </w:r>
    </w:p>
    <w:p w14:paraId="72273A0A" w14:textId="270068C5" w:rsidR="006D40D5" w:rsidRPr="00740682" w:rsidRDefault="006D40D5" w:rsidP="00740682">
      <w:pPr>
        <w:pStyle w:val="JuPara"/>
      </w:pPr>
      <w:r>
        <w:t xml:space="preserve">decyzję o </w:t>
      </w:r>
      <w:r w:rsidR="00023434">
        <w:t xml:space="preserve">zakomunikowaniu </w:t>
      </w:r>
      <w:bookmarkStart w:id="0" w:name="_GoBack"/>
      <w:r w:rsidR="00023434">
        <w:t>rząd</w:t>
      </w:r>
      <w:bookmarkEnd w:id="0"/>
      <w:r w:rsidR="00023434">
        <w:t>owi</w:t>
      </w:r>
      <w:r>
        <w:t xml:space="preserve"> </w:t>
      </w:r>
      <w:r w:rsidR="00023434">
        <w:t>polskiemu („Rząd”), reprezentowanemu</w:t>
      </w:r>
      <w:r>
        <w:t xml:space="preserve"> przez swojego pełnomocnika J. Sobczaka z Ministerstwa Spraw</w:t>
      </w:r>
      <w:r w:rsidR="00774D76">
        <w:t xml:space="preserve"> </w:t>
      </w:r>
      <w:r>
        <w:t xml:space="preserve">Zagranicznych, </w:t>
      </w:r>
      <w:r w:rsidR="00023434">
        <w:t>zarzutów skargi</w:t>
      </w:r>
      <w:r w:rsidR="00A32F75">
        <w:t xml:space="preserve"> </w:t>
      </w:r>
      <w:r>
        <w:t>na podstawie art. 5 ust. 3 i art. 5 ust.</w:t>
      </w:r>
      <w:r w:rsidR="008F4935">
        <w:t> </w:t>
      </w:r>
      <w:r>
        <w:t>4 Konwencji dotyczących długości tymczasowego aresztowania skarżącej oraz jej zażaleń na postanowieni</w:t>
      </w:r>
      <w:r w:rsidR="00A32F75">
        <w:t>a</w:t>
      </w:r>
      <w:r>
        <w:t xml:space="preserve"> o przedłużeniu tymczasowego aresztowania </w:t>
      </w:r>
      <w:r w:rsidR="00A32F75">
        <w:t>z</w:t>
      </w:r>
      <w:r w:rsidR="008F4935">
        <w:t> </w:t>
      </w:r>
      <w:r w:rsidR="00A32F75">
        <w:t>dnia</w:t>
      </w:r>
      <w:r>
        <w:t xml:space="preserve"> 10 maja, 10 lipca, 4 października i 28 grudnia 2018 r. oraz 3 kwietnia 2019 r., a także o uznaniu pozostałej części skargi za niedopuszczalną;</w:t>
      </w:r>
    </w:p>
    <w:p w14:paraId="65EA7DAD" w14:textId="07A84EF1" w:rsidR="006D40D5" w:rsidRPr="00740682" w:rsidRDefault="006D40D5" w:rsidP="00740682">
      <w:pPr>
        <w:pStyle w:val="JuPara"/>
      </w:pPr>
      <w:r>
        <w:t>uwagi stron;</w:t>
      </w:r>
    </w:p>
    <w:p w14:paraId="255E870D" w14:textId="3559C331" w:rsidR="009F4C8F" w:rsidRPr="00740682" w:rsidRDefault="009F4C8F" w:rsidP="00740682">
      <w:pPr>
        <w:pStyle w:val="JuPara"/>
      </w:pPr>
      <w:r>
        <w:t>obradując na posiedzeniu niejawnym w dniu 10 stycznia 2023 r.,</w:t>
      </w:r>
    </w:p>
    <w:p w14:paraId="366FD22B" w14:textId="77777777" w:rsidR="009F4C8F" w:rsidRPr="00740682" w:rsidRDefault="009F4C8F" w:rsidP="00740682">
      <w:pPr>
        <w:pStyle w:val="JuPara"/>
      </w:pPr>
      <w:r>
        <w:t>wydaje następujący wyrok, który został przyjęty w tym dniu:</w:t>
      </w:r>
    </w:p>
    <w:p w14:paraId="7ADE8A4B" w14:textId="70A5462F" w:rsidR="006D40D5" w:rsidRPr="00740682" w:rsidRDefault="006D40D5" w:rsidP="00740682">
      <w:pPr>
        <w:pStyle w:val="JuHHead"/>
        <w:numPr>
          <w:ilvl w:val="0"/>
          <w:numId w:val="0"/>
        </w:numPr>
      </w:pPr>
      <w:r>
        <w:t>PRZEDMIOT SPRAWY</w:t>
      </w:r>
    </w:p>
    <w:p w14:paraId="466C54CF" w14:textId="41AF51AA" w:rsidR="006D40D5" w:rsidRPr="00740682" w:rsidRDefault="00E660CE" w:rsidP="00740682">
      <w:pPr>
        <w:pStyle w:val="JuPara"/>
      </w:pPr>
      <w:r>
        <w:rPr>
          <w:noProof/>
        </w:rPr>
        <w:t>1</w:t>
      </w:r>
      <w:r w:rsidR="006D40D5">
        <w:t>.</w:t>
      </w:r>
      <w:r w:rsidR="008F4935">
        <w:t xml:space="preserve"> </w:t>
      </w:r>
      <w:r w:rsidR="006D40D5">
        <w:t xml:space="preserve">Niniejsza sprawa dotyczy </w:t>
      </w:r>
      <w:r w:rsidR="009863C9">
        <w:t xml:space="preserve">zarzutu </w:t>
      </w:r>
      <w:r w:rsidR="006D40D5">
        <w:t xml:space="preserve">zbyt długiego okresu tymczasowego aresztowania skarżącej oraz </w:t>
      </w:r>
      <w:r w:rsidR="009863C9">
        <w:t xml:space="preserve">zarzutu, że </w:t>
      </w:r>
      <w:r w:rsidR="006D40D5">
        <w:t>władze krajowe</w:t>
      </w:r>
      <w:r w:rsidR="009863C9">
        <w:t xml:space="preserve"> nie </w:t>
      </w:r>
      <w:r w:rsidR="00812B23">
        <w:t>rozpatrzyły</w:t>
      </w:r>
      <w:r w:rsidR="009863C9">
        <w:t xml:space="preserve"> </w:t>
      </w:r>
      <w:r w:rsidR="00812B23">
        <w:t>bezzwłocznie</w:t>
      </w:r>
      <w:r w:rsidR="009863C9">
        <w:t xml:space="preserve"> </w:t>
      </w:r>
      <w:r w:rsidR="006D40D5">
        <w:t>zażaleń złożonych przez skarżącą na postanowieni</w:t>
      </w:r>
      <w:r w:rsidR="009863C9">
        <w:t>a</w:t>
      </w:r>
      <w:r w:rsidR="006D40D5">
        <w:t xml:space="preserve"> o</w:t>
      </w:r>
      <w:r w:rsidR="008F4935">
        <w:t> </w:t>
      </w:r>
      <w:r w:rsidR="006D40D5">
        <w:t>przedłużeniu jej tymczasowego aresztowania.</w:t>
      </w:r>
    </w:p>
    <w:p w14:paraId="44FE62E3" w14:textId="7DE4575C" w:rsidR="006D40D5" w:rsidRPr="00740682" w:rsidRDefault="00E660CE" w:rsidP="00740682">
      <w:pPr>
        <w:pStyle w:val="JuPara"/>
      </w:pPr>
      <w:r>
        <w:rPr>
          <w:noProof/>
        </w:rPr>
        <w:t>2</w:t>
      </w:r>
      <w:r w:rsidR="005237D7">
        <w:t>.</w:t>
      </w:r>
      <w:r w:rsidR="008F4935">
        <w:t xml:space="preserve"> </w:t>
      </w:r>
      <w:r w:rsidR="005237D7">
        <w:t>Skarżąca została tymczasowo aresztowana w toku postępowania karnego, które dotyczyło m</w:t>
      </w:r>
      <w:r w:rsidR="005237D7">
        <w:rPr>
          <w:i/>
        </w:rPr>
        <w:t>.</w:t>
      </w:r>
      <w:r w:rsidR="005237D7">
        <w:t>in. uchylania się od opodatkowania na kwotę kilkudziesięciu milionów złotych</w:t>
      </w:r>
      <w:r w:rsidR="009863C9">
        <w:t xml:space="preserve"> polskich</w:t>
      </w:r>
      <w:r w:rsidR="005237D7">
        <w:t xml:space="preserve"> (PLN) oraz prania pieniędzy. Przedstawiono jej również zarzut kierowania zorganizowaną grupą przestępczą.</w:t>
      </w:r>
    </w:p>
    <w:p w14:paraId="6E248890" w14:textId="70D3E364" w:rsidR="006D40D5" w:rsidRPr="00740682" w:rsidRDefault="00E660CE" w:rsidP="00740682">
      <w:pPr>
        <w:pStyle w:val="JuPara"/>
      </w:pPr>
      <w:r>
        <w:rPr>
          <w:noProof/>
        </w:rPr>
        <w:t>3</w:t>
      </w:r>
      <w:r w:rsidR="005237D7">
        <w:t>.</w:t>
      </w:r>
      <w:r w:rsidR="008F4935">
        <w:t xml:space="preserve"> </w:t>
      </w:r>
      <w:r w:rsidR="005237D7">
        <w:t>Skarżącą zatrzymano w dniu 5 grudnia 2016 r. W dniu 7 grudnia 2016</w:t>
      </w:r>
      <w:r w:rsidR="008F4935">
        <w:t> </w:t>
      </w:r>
      <w:r w:rsidR="005237D7">
        <w:t>r. Sąd Rejonowy dla Łodzi-Śródmieścia wydał postanowienie o zastosowaniu wobec skarżącej tymczasowego aresztowania na okres trzech miesięcy w</w:t>
      </w:r>
      <w:r w:rsidR="008F4935">
        <w:t> </w:t>
      </w:r>
      <w:r w:rsidR="005237D7">
        <w:t>związku z uzasadnionym podejrzeniem popełnienia przez nią przedmiotowych przestępstw. Sąd powołał się również na</w:t>
      </w:r>
      <w:r w:rsidR="008F4935">
        <w:t> </w:t>
      </w:r>
      <w:r w:rsidR="005237D7">
        <w:t xml:space="preserve">prawdopodobieństwo </w:t>
      </w:r>
      <w:r w:rsidR="007B2451">
        <w:t xml:space="preserve">zakłócania </w:t>
      </w:r>
      <w:r w:rsidR="005237D7">
        <w:t>przez skarżącą prawidłowego przebiegu postępowania, ponieważ groziła jej surowa kara, nie przyznała się do winy i</w:t>
      </w:r>
      <w:r w:rsidR="008F4935">
        <w:t> </w:t>
      </w:r>
      <w:r w:rsidR="005237D7">
        <w:t xml:space="preserve">popełniła przestępstwa wspólnie z innymi osobami. Na skutek złożonego </w:t>
      </w:r>
      <w:r w:rsidR="005237D7">
        <w:lastRenderedPageBreak/>
        <w:t>przez skarżącą zażalenia w dniu 13 stycznia 2017 r. Sąd Okręgowy w Łodzi utrzymał to postanowienie w mocy.</w:t>
      </w:r>
    </w:p>
    <w:p w14:paraId="0A97DDF3" w14:textId="743BD137" w:rsidR="006D40D5" w:rsidRPr="00740682" w:rsidRDefault="00E660CE" w:rsidP="00740682">
      <w:pPr>
        <w:pStyle w:val="JuPara"/>
      </w:pPr>
      <w:r>
        <w:rPr>
          <w:noProof/>
        </w:rPr>
        <w:t>4</w:t>
      </w:r>
      <w:r w:rsidR="005237D7">
        <w:t>.</w:t>
      </w:r>
      <w:r w:rsidR="008F4935">
        <w:t xml:space="preserve"> </w:t>
      </w:r>
      <w:r w:rsidR="005237D7">
        <w:t>W dniach</w:t>
      </w:r>
      <w:r w:rsidR="009863C9">
        <w:t xml:space="preserve"> </w:t>
      </w:r>
      <w:r w:rsidR="005237D7">
        <w:t>30</w:t>
      </w:r>
      <w:r w:rsidR="009863C9">
        <w:t xml:space="preserve"> </w:t>
      </w:r>
      <w:r w:rsidR="005237D7">
        <w:t xml:space="preserve">maja i 29 sierpnia 2017 r. Sąd Okręgowy w Łodzi przedłużył tymczasowe aresztowanie skarżącej. Skarżąca nie zaskarżyła tych postanowień. Na </w:t>
      </w:r>
      <w:r w:rsidR="005539AB">
        <w:t>posiedzeniach</w:t>
      </w:r>
      <w:r w:rsidR="005237D7">
        <w:t xml:space="preserve"> w dniach 22 listopada 2017 r. i 21 lutego 2018 r. obrońcy skarżącej wnieśli o jej zwolnienie za poręczeniem majątkowym w</w:t>
      </w:r>
      <w:r w:rsidR="008F4935">
        <w:t xml:space="preserve"> </w:t>
      </w:r>
      <w:r w:rsidR="005237D7">
        <w:t>wysokości odpowiednio 500.000 PLN (około 125.000 euro (</w:t>
      </w:r>
      <w:proofErr w:type="spellStart"/>
      <w:r w:rsidR="005237D7">
        <w:t>EUR</w:t>
      </w:r>
      <w:proofErr w:type="spellEnd"/>
      <w:r w:rsidR="005237D7">
        <w:t>)) i</w:t>
      </w:r>
      <w:r w:rsidR="008F4935">
        <w:t xml:space="preserve"> </w:t>
      </w:r>
      <w:r w:rsidR="005237D7">
        <w:t xml:space="preserve">2.500.000 PLN (625.000 </w:t>
      </w:r>
      <w:proofErr w:type="spellStart"/>
      <w:r w:rsidR="005237D7">
        <w:t>EUR</w:t>
      </w:r>
      <w:proofErr w:type="spellEnd"/>
      <w:r w:rsidR="005237D7">
        <w:t>). Wnioski te zostały oddalone, a Sąd Apelacyjny</w:t>
      </w:r>
      <w:r w:rsidR="005237D7">
        <w:rPr>
          <w:i/>
        </w:rPr>
        <w:t xml:space="preserve"> </w:t>
      </w:r>
      <w:r w:rsidR="005237D7">
        <w:t>w Łodzi przedłużył tymczasowe aresztowanie skarżącej postanowieniami z dnia 22 listopada 2017 r. i 21 lutego 2018 r.</w:t>
      </w:r>
    </w:p>
    <w:p w14:paraId="7F2A5A76" w14:textId="0807FCDB" w:rsidR="006D40D5" w:rsidRPr="00740682" w:rsidRDefault="00E660CE" w:rsidP="00740682">
      <w:pPr>
        <w:pStyle w:val="JuPara"/>
      </w:pPr>
      <w:bookmarkStart w:id="1" w:name="paragraph00005"/>
      <w:r>
        <w:rPr>
          <w:noProof/>
        </w:rPr>
        <w:t>5</w:t>
      </w:r>
      <w:bookmarkEnd w:id="1"/>
      <w:r w:rsidR="005237D7">
        <w:t>.</w:t>
      </w:r>
      <w:r w:rsidR="008F4935">
        <w:t xml:space="preserve"> </w:t>
      </w:r>
      <w:r w:rsidR="005237D7">
        <w:t>Następnie Sąd Apelacyjny w Łodzi kilkakrotnie przedłużał tymczasowe aresztowanie skarżącej, a następnie, działając jako sąd drugiej instancji, oddalał jej poszczególne zażalenia. Daty wydania postanowień przedstawiono w tabeli poniżej:</w:t>
      </w:r>
    </w:p>
    <w:p w14:paraId="16DD60FF" w14:textId="77777777" w:rsidR="006D40D5" w:rsidRPr="00740682" w:rsidRDefault="006D40D5" w:rsidP="00740682">
      <w:pPr>
        <w:pStyle w:val="JuPara"/>
      </w:pPr>
    </w:p>
    <w:tbl>
      <w:tblPr>
        <w:tblStyle w:val="ECHRListTable"/>
        <w:tblW w:w="0" w:type="auto"/>
        <w:tblLook w:val="04A0" w:firstRow="1" w:lastRow="0" w:firstColumn="1" w:lastColumn="0" w:noHBand="0" w:noVBand="1"/>
      </w:tblPr>
      <w:tblGrid>
        <w:gridCol w:w="2050"/>
        <w:gridCol w:w="1746"/>
        <w:gridCol w:w="2036"/>
        <w:gridCol w:w="1516"/>
      </w:tblGrid>
      <w:tr w:rsidR="00711D60" w:rsidRPr="00740682" w14:paraId="6CAF767F" w14:textId="77777777" w:rsidTr="00812B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0"/>
        </w:trPr>
        <w:tc>
          <w:tcPr>
            <w:tcW w:w="2122" w:type="dxa"/>
          </w:tcPr>
          <w:p w14:paraId="45DEE17D" w14:textId="435C133B" w:rsidR="006D40D5" w:rsidRPr="00740682" w:rsidRDefault="006D40D5" w:rsidP="00740682">
            <w:pPr>
              <w:pStyle w:val="JuPara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wydania postanowienia o</w:t>
            </w:r>
            <w:r w:rsidR="008F49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przedłużeniu tymczasowego aresztowania skarżącej</w:t>
            </w:r>
          </w:p>
        </w:tc>
        <w:tc>
          <w:tcPr>
            <w:tcW w:w="1821" w:type="dxa"/>
          </w:tcPr>
          <w:p w14:paraId="127D63DC" w14:textId="7624DA6E" w:rsidR="006D40D5" w:rsidRPr="00740682" w:rsidRDefault="006D40D5" w:rsidP="00740682">
            <w:pPr>
              <w:pStyle w:val="JuPara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wniesienia do sądu zażalenia przez skarżącą</w:t>
            </w:r>
          </w:p>
        </w:tc>
        <w:tc>
          <w:tcPr>
            <w:tcW w:w="2148" w:type="dxa"/>
          </w:tcPr>
          <w:p w14:paraId="6F6CB487" w14:textId="71AB0EA2" w:rsidR="006D40D5" w:rsidRPr="00740682" w:rsidRDefault="006D40D5" w:rsidP="00740682">
            <w:pPr>
              <w:pStyle w:val="JuPara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oddalenia zażalenia skarżącej</w:t>
            </w:r>
          </w:p>
        </w:tc>
        <w:tc>
          <w:tcPr>
            <w:tcW w:w="1257" w:type="dxa"/>
          </w:tcPr>
          <w:p w14:paraId="3856956E" w14:textId="7746DC2E" w:rsidR="006D40D5" w:rsidRPr="00740682" w:rsidRDefault="006D40D5" w:rsidP="00740682">
            <w:pPr>
              <w:pStyle w:val="JuPara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Długość rozpoznawania zażalenia skarżącej</w:t>
            </w:r>
          </w:p>
        </w:tc>
      </w:tr>
      <w:tr w:rsidR="006D7E07" w:rsidRPr="00740682" w14:paraId="08611193" w14:textId="77777777" w:rsidTr="006D7E07">
        <w:tc>
          <w:tcPr>
            <w:tcW w:w="2122" w:type="dxa"/>
          </w:tcPr>
          <w:p w14:paraId="2261E8AA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10 maja 2018 r.</w:t>
            </w:r>
          </w:p>
        </w:tc>
        <w:tc>
          <w:tcPr>
            <w:tcW w:w="1821" w:type="dxa"/>
          </w:tcPr>
          <w:p w14:paraId="2127856C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29 maja 2018 r.</w:t>
            </w:r>
          </w:p>
        </w:tc>
        <w:tc>
          <w:tcPr>
            <w:tcW w:w="2148" w:type="dxa"/>
          </w:tcPr>
          <w:p w14:paraId="0436348A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13 czerwca 2018 r.</w:t>
            </w:r>
          </w:p>
        </w:tc>
        <w:tc>
          <w:tcPr>
            <w:tcW w:w="1257" w:type="dxa"/>
          </w:tcPr>
          <w:p w14:paraId="2E8A3D5E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15 dni</w:t>
            </w:r>
          </w:p>
        </w:tc>
      </w:tr>
      <w:tr w:rsidR="006D7E07" w:rsidRPr="00740682" w14:paraId="2704037E" w14:textId="77777777" w:rsidTr="006D7E07">
        <w:tc>
          <w:tcPr>
            <w:tcW w:w="2122" w:type="dxa"/>
          </w:tcPr>
          <w:p w14:paraId="0EEBE063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10 lipca 2018 r.</w:t>
            </w:r>
          </w:p>
        </w:tc>
        <w:tc>
          <w:tcPr>
            <w:tcW w:w="1821" w:type="dxa"/>
          </w:tcPr>
          <w:p w14:paraId="0A0C0159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24 lipca 2018 r.</w:t>
            </w:r>
          </w:p>
        </w:tc>
        <w:tc>
          <w:tcPr>
            <w:tcW w:w="2148" w:type="dxa"/>
          </w:tcPr>
          <w:p w14:paraId="099C5C79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21 sierpnia 2018 r.</w:t>
            </w:r>
          </w:p>
        </w:tc>
        <w:tc>
          <w:tcPr>
            <w:tcW w:w="1257" w:type="dxa"/>
          </w:tcPr>
          <w:p w14:paraId="4E9436B8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28 dni</w:t>
            </w:r>
          </w:p>
        </w:tc>
      </w:tr>
      <w:tr w:rsidR="006D7E07" w:rsidRPr="00740682" w14:paraId="7F8B45FF" w14:textId="77777777" w:rsidTr="006D7E07">
        <w:tc>
          <w:tcPr>
            <w:tcW w:w="2122" w:type="dxa"/>
          </w:tcPr>
          <w:p w14:paraId="6006B9A9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4 października 2018 r.</w:t>
            </w:r>
          </w:p>
        </w:tc>
        <w:tc>
          <w:tcPr>
            <w:tcW w:w="1821" w:type="dxa"/>
          </w:tcPr>
          <w:p w14:paraId="7D0D6DC5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5 listopada 2018 r.</w:t>
            </w:r>
          </w:p>
        </w:tc>
        <w:tc>
          <w:tcPr>
            <w:tcW w:w="2148" w:type="dxa"/>
          </w:tcPr>
          <w:p w14:paraId="0739158E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14 listopada 2018 r.</w:t>
            </w:r>
          </w:p>
        </w:tc>
        <w:tc>
          <w:tcPr>
            <w:tcW w:w="1257" w:type="dxa"/>
          </w:tcPr>
          <w:p w14:paraId="33FCAD25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9 dni</w:t>
            </w:r>
          </w:p>
        </w:tc>
      </w:tr>
      <w:tr w:rsidR="006D7E07" w:rsidRPr="00740682" w14:paraId="7462B939" w14:textId="77777777" w:rsidTr="006D7E07">
        <w:tc>
          <w:tcPr>
            <w:tcW w:w="2122" w:type="dxa"/>
          </w:tcPr>
          <w:p w14:paraId="1D093483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28 grudnia 2018 r.</w:t>
            </w:r>
          </w:p>
        </w:tc>
        <w:tc>
          <w:tcPr>
            <w:tcW w:w="1821" w:type="dxa"/>
          </w:tcPr>
          <w:p w14:paraId="05303639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6 lutego 2019 r.</w:t>
            </w:r>
          </w:p>
        </w:tc>
        <w:tc>
          <w:tcPr>
            <w:tcW w:w="2148" w:type="dxa"/>
          </w:tcPr>
          <w:p w14:paraId="259CD7C4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20 lutego 2019 r.</w:t>
            </w:r>
          </w:p>
        </w:tc>
        <w:tc>
          <w:tcPr>
            <w:tcW w:w="1257" w:type="dxa"/>
          </w:tcPr>
          <w:p w14:paraId="0D0E3061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14 dni</w:t>
            </w:r>
          </w:p>
        </w:tc>
      </w:tr>
      <w:tr w:rsidR="006D7E07" w:rsidRPr="00740682" w14:paraId="2CF03401" w14:textId="77777777" w:rsidTr="006D7E07">
        <w:tc>
          <w:tcPr>
            <w:tcW w:w="2122" w:type="dxa"/>
          </w:tcPr>
          <w:p w14:paraId="0A68C48F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3 kwietnia 2019 r.</w:t>
            </w:r>
          </w:p>
        </w:tc>
        <w:tc>
          <w:tcPr>
            <w:tcW w:w="1821" w:type="dxa"/>
          </w:tcPr>
          <w:p w14:paraId="7049575F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6 maja 2019 r.</w:t>
            </w:r>
          </w:p>
        </w:tc>
        <w:tc>
          <w:tcPr>
            <w:tcW w:w="2148" w:type="dxa"/>
          </w:tcPr>
          <w:p w14:paraId="48A9C4E8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22 maja 2019 r.</w:t>
            </w:r>
          </w:p>
        </w:tc>
        <w:tc>
          <w:tcPr>
            <w:tcW w:w="1257" w:type="dxa"/>
          </w:tcPr>
          <w:p w14:paraId="33F3D99D" w14:textId="77777777" w:rsidR="006D40D5" w:rsidRPr="00740682" w:rsidRDefault="006D40D5" w:rsidP="00740682">
            <w:pPr>
              <w:pStyle w:val="JuPara"/>
              <w:ind w:firstLine="0"/>
              <w:jc w:val="left"/>
            </w:pPr>
            <w:r>
              <w:t>16 dni</w:t>
            </w:r>
          </w:p>
        </w:tc>
      </w:tr>
    </w:tbl>
    <w:p w14:paraId="1607C748" w14:textId="77777777" w:rsidR="006D40D5" w:rsidRPr="00740682" w:rsidRDefault="006D40D5" w:rsidP="00740682">
      <w:pPr>
        <w:pStyle w:val="JuPara"/>
      </w:pPr>
    </w:p>
    <w:p w14:paraId="4374E27B" w14:textId="136DC7C5" w:rsidR="006D40D5" w:rsidRPr="00740682" w:rsidRDefault="00E660CE" w:rsidP="00740682">
      <w:pPr>
        <w:pStyle w:val="JuPara"/>
      </w:pPr>
      <w:bookmarkStart w:id="2" w:name="paragraph00006"/>
      <w:r>
        <w:rPr>
          <w:noProof/>
        </w:rPr>
        <w:t>6</w:t>
      </w:r>
      <w:bookmarkEnd w:id="2"/>
      <w:r w:rsidR="005237D7">
        <w:t>.</w:t>
      </w:r>
      <w:r w:rsidR="008F4935">
        <w:t xml:space="preserve"> </w:t>
      </w:r>
      <w:r w:rsidR="005237D7">
        <w:t>Sądy krajowe, przedłużając tymczasowe aresztowanie skarżącej lub</w:t>
      </w:r>
      <w:r w:rsidR="008F4935">
        <w:t> </w:t>
      </w:r>
      <w:r w:rsidR="005237D7">
        <w:t>oddalając jej zażalenia, opierały się na uzasadnionym podejrzeniu, że</w:t>
      </w:r>
      <w:r w:rsidR="008F4935">
        <w:t> </w:t>
      </w:r>
      <w:r w:rsidR="005237D7">
        <w:t>popełniła ona przedmiotowe przestępstwa</w:t>
      </w:r>
      <w:r w:rsidR="0069443C">
        <w:t>,</w:t>
      </w:r>
      <w:r w:rsidR="005237D7">
        <w:t xml:space="preserve"> oraz na fakcie, że sprawa dotyczyła przestępczości zorganizowanej i że </w:t>
      </w:r>
      <w:r w:rsidR="00711D60">
        <w:t xml:space="preserve">skarżącej </w:t>
      </w:r>
      <w:r w:rsidR="005237D7">
        <w:t>groziła surowa kara. Sądy odniosły się również do faktu, że przed przedstawieniem zarzutów skarżąca pouczyła współ</w:t>
      </w:r>
      <w:r w:rsidR="003F4D22">
        <w:t>sprawców</w:t>
      </w:r>
      <w:r w:rsidR="005237D7">
        <w:t xml:space="preserve"> w kwestii składania </w:t>
      </w:r>
      <w:r w:rsidR="003F4D22">
        <w:t xml:space="preserve">wyjaśnień </w:t>
      </w:r>
      <w:r w:rsidR="005237D7">
        <w:t>i</w:t>
      </w:r>
      <w:r w:rsidR="008F4935">
        <w:t> </w:t>
      </w:r>
      <w:r w:rsidR="005237D7">
        <w:t>zorganizowała im wyjazd z kraju. Ponadto przebywając w areszcie śledczym próbowała wywierać nacisk na świadków i wysyłała z aresztu tajne wiadomości. Sądy uznały, że świadczy to o istnieniu r</w:t>
      </w:r>
      <w:r w:rsidR="003F4D22">
        <w:t>zeczywistej</w:t>
      </w:r>
      <w:r w:rsidR="005237D7">
        <w:t xml:space="preserve"> obawy, </w:t>
      </w:r>
      <w:r w:rsidR="003F4D22">
        <w:t>ucieczki lub matactwa</w:t>
      </w:r>
      <w:r w:rsidR="005237D7">
        <w:t>.</w:t>
      </w:r>
    </w:p>
    <w:p w14:paraId="762173E7" w14:textId="57EBB58C" w:rsidR="006D40D5" w:rsidRPr="00740682" w:rsidRDefault="00E660CE" w:rsidP="00740682">
      <w:pPr>
        <w:pStyle w:val="JuPara"/>
      </w:pPr>
      <w:r>
        <w:rPr>
          <w:noProof/>
        </w:rPr>
        <w:t>7</w:t>
      </w:r>
      <w:r w:rsidR="005237D7">
        <w:t>.</w:t>
      </w:r>
      <w:r w:rsidR="008F4935">
        <w:t xml:space="preserve"> </w:t>
      </w:r>
      <w:r w:rsidR="005237D7">
        <w:t xml:space="preserve">Sądy dodatkowo powoływały się na </w:t>
      </w:r>
      <w:r w:rsidR="00766B1E">
        <w:t xml:space="preserve">zawiłość </w:t>
      </w:r>
      <w:r w:rsidR="005237D7">
        <w:t xml:space="preserve">sprawy. Przed zwolnieniem skarżącej akta sprawy liczyły 300 tomów, w toku postepowania przygotowawczego ustalono siedemdziesięciu członków zorganizowanej grupy przestępczej, a podejrzanym przedstawiono blisko 800 zarzutów. </w:t>
      </w:r>
      <w:r w:rsidR="005237D7">
        <w:lastRenderedPageBreak/>
        <w:t>Ponadto przesłuchano 500 świadków. Z uwagi na to, że część świadków była obcokrajowcami, wymagało to współpracy międzynarodowej.</w:t>
      </w:r>
    </w:p>
    <w:p w14:paraId="7C686258" w14:textId="69F6987E" w:rsidR="006D40D5" w:rsidRPr="00740682" w:rsidRDefault="00E660CE" w:rsidP="00740682">
      <w:pPr>
        <w:pStyle w:val="JuPara"/>
      </w:pPr>
      <w:r>
        <w:rPr>
          <w:noProof/>
        </w:rPr>
        <w:t>8</w:t>
      </w:r>
      <w:r w:rsidR="005237D7">
        <w:t>.</w:t>
      </w:r>
      <w:r w:rsidR="008F4935">
        <w:t xml:space="preserve"> </w:t>
      </w:r>
      <w:r w:rsidR="005237D7">
        <w:t xml:space="preserve">W dniu 24 czerwca 2019 r. Prokuratura </w:t>
      </w:r>
      <w:r w:rsidR="00812B23">
        <w:t xml:space="preserve">Regionalna </w:t>
      </w:r>
      <w:r w:rsidR="005237D7">
        <w:t>w Łodzi zwolniła skarżącą za poręczeniem majątkowym. Wysokość poręczenia ustalono na</w:t>
      </w:r>
      <w:r w:rsidR="008F4935">
        <w:t> </w:t>
      </w:r>
      <w:r w:rsidR="005237D7">
        <w:t xml:space="preserve">kwotę 800.000 PLN (200.000 </w:t>
      </w:r>
      <w:proofErr w:type="spellStart"/>
      <w:r w:rsidR="005237D7">
        <w:t>EUR</w:t>
      </w:r>
      <w:proofErr w:type="spellEnd"/>
      <w:r w:rsidR="005237D7">
        <w:t>).</w:t>
      </w:r>
    </w:p>
    <w:p w14:paraId="4B91CCDE" w14:textId="39E5F0D6" w:rsidR="006D40D5" w:rsidRPr="00740682" w:rsidRDefault="00E660CE" w:rsidP="00740682">
      <w:pPr>
        <w:pStyle w:val="JuPara"/>
      </w:pPr>
      <w:r>
        <w:rPr>
          <w:noProof/>
        </w:rPr>
        <w:t>9</w:t>
      </w:r>
      <w:r w:rsidR="005237D7">
        <w:t>.</w:t>
      </w:r>
      <w:r w:rsidR="008F4935">
        <w:t xml:space="preserve"> </w:t>
      </w:r>
      <w:r w:rsidR="005237D7">
        <w:t>Skarżąca zarzuciła na podstawie art. 5 ust. 3 Konwencji, że długość zastosowanego wobec niej tymczasowego aresztowania była nieuzasadniona</w:t>
      </w:r>
      <w:r w:rsidR="00C16AA0">
        <w:t>,</w:t>
      </w:r>
      <w:r w:rsidR="005237D7">
        <w:t xml:space="preserve"> oraz na podstawie art. 5 ust. 4 Konwencji, że sądy krajowe nie rozpoznały „bezzwłocznie” jej zażaleń na postanowienia o przedłużeniu tymczasowego aresztowania.</w:t>
      </w:r>
    </w:p>
    <w:p w14:paraId="336D4714" w14:textId="18B70A51" w:rsidR="006D40D5" w:rsidRPr="00740682" w:rsidRDefault="006D40D5" w:rsidP="00740682">
      <w:pPr>
        <w:pStyle w:val="JuHHead"/>
      </w:pPr>
      <w:r>
        <w:t>OCENA TRYBUNAŁU</w:t>
      </w:r>
    </w:p>
    <w:p w14:paraId="024C895C" w14:textId="08E01564" w:rsidR="006D40D5" w:rsidRPr="00740682" w:rsidRDefault="006D40D5" w:rsidP="00740682">
      <w:pPr>
        <w:pStyle w:val="JuHIRoman"/>
      </w:pPr>
      <w:r>
        <w:t>ZARZUCANE NARUSZENIE ART.</w:t>
      </w:r>
      <w:r w:rsidR="008F4935">
        <w:t xml:space="preserve"> </w:t>
      </w:r>
      <w:r>
        <w:t>5 UST.</w:t>
      </w:r>
      <w:r w:rsidR="008F4935">
        <w:t xml:space="preserve"> </w:t>
      </w:r>
      <w:r>
        <w:t>3 KONWENCJI</w:t>
      </w:r>
    </w:p>
    <w:p w14:paraId="4D3E3FA6" w14:textId="2E4D2A64" w:rsidR="006D40D5" w:rsidRPr="00740682" w:rsidRDefault="00E660CE" w:rsidP="00740682">
      <w:pPr>
        <w:pStyle w:val="JuPara"/>
      </w:pPr>
      <w:r>
        <w:rPr>
          <w:noProof/>
        </w:rPr>
        <w:t>10</w:t>
      </w:r>
      <w:r w:rsidR="006D40D5">
        <w:t>.</w:t>
      </w:r>
      <w:r w:rsidR="008F4935">
        <w:t xml:space="preserve"> </w:t>
      </w:r>
      <w:r w:rsidR="006D40D5">
        <w:t xml:space="preserve">Rząd twierdził, że </w:t>
      </w:r>
      <w:r w:rsidR="00766B1E">
        <w:t xml:space="preserve">zarzut </w:t>
      </w:r>
      <w:r w:rsidR="006D40D5">
        <w:t>skarżącej na podstawie art. 5 ust. 3 jest w</w:t>
      </w:r>
      <w:r w:rsidR="008F4935">
        <w:t> </w:t>
      </w:r>
      <w:r w:rsidR="006D40D5">
        <w:t xml:space="preserve">sposób oczywisty </w:t>
      </w:r>
      <w:r w:rsidR="00D2147C">
        <w:t>nie</w:t>
      </w:r>
      <w:r w:rsidR="006D40D5">
        <w:t>uzasadnion</w:t>
      </w:r>
      <w:r w:rsidR="00766B1E">
        <w:t>y</w:t>
      </w:r>
      <w:r w:rsidR="006D40D5">
        <w:t>, ponieważ powody, na które powoływały się sądy krajowe, uzasadniały cały okres tymczasowego aresztowania skarżącej. Sprawa była niezwykle zawiła i dotyczyła bardzo poważnych przestępstw popełnionych w ramach zorganizowanej grupy przestępczej, a skarżąca próbowała zakłócić prawidłowy przebieg postępowania.</w:t>
      </w:r>
    </w:p>
    <w:p w14:paraId="681CAA1B" w14:textId="5884774E" w:rsidR="006D40D5" w:rsidRPr="00740682" w:rsidRDefault="00E660CE" w:rsidP="00740682">
      <w:pPr>
        <w:pStyle w:val="JuPara"/>
      </w:pPr>
      <w:r>
        <w:rPr>
          <w:noProof/>
        </w:rPr>
        <w:t>11</w:t>
      </w:r>
      <w:r w:rsidR="005237D7">
        <w:t>.</w:t>
      </w:r>
      <w:r w:rsidR="008F4935">
        <w:t xml:space="preserve"> </w:t>
      </w:r>
      <w:r w:rsidR="005237D7">
        <w:t>Skarżąca kwestionowała te argumenty.</w:t>
      </w:r>
    </w:p>
    <w:p w14:paraId="2EB6C6BF" w14:textId="6C6FAE89" w:rsidR="006D40D5" w:rsidRPr="00740682" w:rsidRDefault="00E660CE" w:rsidP="00740682">
      <w:pPr>
        <w:pStyle w:val="JuPara"/>
      </w:pPr>
      <w:r>
        <w:rPr>
          <w:noProof/>
        </w:rPr>
        <w:t>12</w:t>
      </w:r>
      <w:r w:rsidR="006D40D5">
        <w:t xml:space="preserve">. </w:t>
      </w:r>
      <w:r w:rsidR="002B0C95">
        <w:t>Z</w:t>
      </w:r>
      <w:r w:rsidR="006D40D5">
        <w:t xml:space="preserve">asady </w:t>
      </w:r>
      <w:r w:rsidR="002B0C95">
        <w:t xml:space="preserve">ogólne </w:t>
      </w:r>
      <w:r w:rsidR="006D40D5">
        <w:t>dotyczące prawa do „bycia sądzonym w rozsądnym terminie” albo zwolnionym na czas postępowania, zagwarantowanego w</w:t>
      </w:r>
      <w:r w:rsidR="008F4935">
        <w:t> </w:t>
      </w:r>
      <w:r w:rsidR="006D40D5">
        <w:t>art.</w:t>
      </w:r>
      <w:r w:rsidR="008F4935">
        <w:t> </w:t>
      </w:r>
      <w:r w:rsidR="006D40D5">
        <w:t xml:space="preserve">5 ust. 3 Konwencji, zostały zawarte w wyroku w sprawie </w:t>
      </w:r>
      <w:r w:rsidR="006D40D5">
        <w:rPr>
          <w:i/>
          <w:iCs/>
        </w:rPr>
        <w:t>Kudła przeciwko Polsce</w:t>
      </w:r>
      <w:r w:rsidR="006D40D5">
        <w:t xml:space="preserve"> ([</w:t>
      </w:r>
      <w:proofErr w:type="spellStart"/>
      <w:r w:rsidR="006D40D5">
        <w:t>WI</w:t>
      </w:r>
      <w:proofErr w:type="spellEnd"/>
      <w:r w:rsidR="006D40D5">
        <w:t>], skarga nr 30210/96, §§ 110, ETPC 2000-XI),</w:t>
      </w:r>
      <w:r w:rsidR="006D40D5">
        <w:rPr>
          <w:i/>
          <w:iCs/>
        </w:rPr>
        <w:t xml:space="preserve"> </w:t>
      </w:r>
      <w:r w:rsidR="006D40D5">
        <w:t xml:space="preserve">oraz </w:t>
      </w:r>
      <w:proofErr w:type="spellStart"/>
      <w:r w:rsidR="006D40D5">
        <w:rPr>
          <w:i/>
          <w:iCs/>
        </w:rPr>
        <w:t>Buzadji</w:t>
      </w:r>
      <w:proofErr w:type="spellEnd"/>
      <w:r w:rsidR="006D40D5">
        <w:rPr>
          <w:i/>
          <w:iCs/>
        </w:rPr>
        <w:t xml:space="preserve"> przeciwko Republice Mołd</w:t>
      </w:r>
      <w:r w:rsidR="00766B1E">
        <w:rPr>
          <w:i/>
          <w:iCs/>
        </w:rPr>
        <w:t>awii</w:t>
      </w:r>
      <w:r w:rsidR="006D40D5">
        <w:t xml:space="preserve"> </w:t>
      </w:r>
      <w:r w:rsidR="00766B1E">
        <w:t>(</w:t>
      </w:r>
      <w:r w:rsidR="006D40D5">
        <w:t>[</w:t>
      </w:r>
      <w:proofErr w:type="spellStart"/>
      <w:r w:rsidR="006D40D5">
        <w:t>WI</w:t>
      </w:r>
      <w:proofErr w:type="spellEnd"/>
      <w:r w:rsidR="006D40D5">
        <w:t>], skarga nr 23755/07, §§ 84-91, 5 lipca 2016 r.).</w:t>
      </w:r>
    </w:p>
    <w:p w14:paraId="34F3474F" w14:textId="2BBBE3FD" w:rsidR="006D40D5" w:rsidRPr="00740682" w:rsidRDefault="00E660CE" w:rsidP="00740682">
      <w:pPr>
        <w:pStyle w:val="JuPara"/>
        <w:rPr>
          <w:rStyle w:val="JuParaChar"/>
        </w:rPr>
      </w:pPr>
      <w:r>
        <w:rPr>
          <w:noProof/>
        </w:rPr>
        <w:t>13</w:t>
      </w:r>
      <w:r w:rsidR="005237D7">
        <w:t>.</w:t>
      </w:r>
      <w:r w:rsidR="008F4935">
        <w:t xml:space="preserve"> </w:t>
      </w:r>
      <w:r w:rsidR="005237D7">
        <w:t xml:space="preserve">Tymczasowe aresztowanie skarżącej trwało od dnia 5 grudnia 2016 r. do dnia 24 czerwca 2019 r., </w:t>
      </w:r>
      <w:r w:rsidR="005237D7">
        <w:rPr>
          <w:rStyle w:val="JuParaChar"/>
        </w:rPr>
        <w:t>kiedy to została zwolniona</w:t>
      </w:r>
      <w:r w:rsidR="005237D7">
        <w:t>.</w:t>
      </w:r>
      <w:r w:rsidR="005237D7">
        <w:rPr>
          <w:rStyle w:val="JuParaChar"/>
        </w:rPr>
        <w:t xml:space="preserve"> Rozpatrywany okres wynosi zatem dwa lata, sześć miesięcy i osiemnaście dni.</w:t>
      </w:r>
    </w:p>
    <w:p w14:paraId="740364D5" w14:textId="2F43F7BE" w:rsidR="006D40D5" w:rsidRPr="00740682" w:rsidRDefault="00E660CE" w:rsidP="00740682">
      <w:pPr>
        <w:pStyle w:val="JuPara"/>
      </w:pPr>
      <w:r>
        <w:rPr>
          <w:noProof/>
        </w:rPr>
        <w:t>14</w:t>
      </w:r>
      <w:r w:rsidR="005237D7">
        <w:t>.</w:t>
      </w:r>
      <w:r w:rsidR="008F4935">
        <w:t xml:space="preserve"> </w:t>
      </w:r>
      <w:r w:rsidR="005237D7">
        <w:t>Podejrzenie, że skarżąca popełniła przedmiotowe przestępstwa, zostało poparte dowodami, na których oparły się sądy krajowe</w:t>
      </w:r>
      <w:r w:rsidR="00FF262A">
        <w:t>,</w:t>
      </w:r>
      <w:r w:rsidR="005237D7">
        <w:t xml:space="preserve"> i początkowo uzasadniało zastosowane wobec niej tymczasowe</w:t>
      </w:r>
      <w:r w:rsidR="007B2451">
        <w:t>go</w:t>
      </w:r>
      <w:r w:rsidR="005237D7">
        <w:t xml:space="preserve"> aresztowani</w:t>
      </w:r>
      <w:r w:rsidR="007B2451">
        <w:t>a</w:t>
      </w:r>
      <w:r w:rsidR="005237D7">
        <w:t>.</w:t>
      </w:r>
    </w:p>
    <w:p w14:paraId="414035FE" w14:textId="43BA53FD" w:rsidR="006D40D5" w:rsidRPr="00740682" w:rsidRDefault="00E660CE" w:rsidP="00740682">
      <w:pPr>
        <w:pStyle w:val="JuPara"/>
      </w:pPr>
      <w:r>
        <w:rPr>
          <w:noProof/>
        </w:rPr>
        <w:t>15</w:t>
      </w:r>
      <w:r w:rsidR="005237D7">
        <w:t>.</w:t>
      </w:r>
      <w:r w:rsidR="008F4935">
        <w:t xml:space="preserve"> </w:t>
      </w:r>
      <w:r w:rsidR="005237D7">
        <w:t>Obaw</w:t>
      </w:r>
      <w:r w:rsidR="00FF262A">
        <w:t>ę</w:t>
      </w:r>
      <w:r w:rsidR="005237D7">
        <w:t xml:space="preserve"> ucieczki i </w:t>
      </w:r>
      <w:r w:rsidR="007B2451">
        <w:t>zakłócania prawidłowego przebiegu postępowania przez</w:t>
      </w:r>
      <w:r w:rsidR="005237D7">
        <w:t xml:space="preserve"> skarżąc</w:t>
      </w:r>
      <w:r w:rsidR="007B2451">
        <w:t>ą</w:t>
      </w:r>
      <w:r w:rsidR="005237D7">
        <w:t xml:space="preserve"> uzasadniał fakt, że</w:t>
      </w:r>
      <w:r w:rsidR="007B2451">
        <w:t xml:space="preserve"> </w:t>
      </w:r>
      <w:r w:rsidR="005237D7">
        <w:t>pomagała ona innym osobom zaangażowanym w sprawę w wyjeździe z Polski. Pouczyła ona również świadków co do składania zeznań i próbowała kontaktować się ze</w:t>
      </w:r>
      <w:r w:rsidR="008F4935">
        <w:t> </w:t>
      </w:r>
      <w:r w:rsidR="005237D7">
        <w:t xml:space="preserve">współoskarżonymi podczas pobytu w areszcie śledczym (zob. paragraf </w:t>
      </w:r>
      <w:r>
        <w:t>6</w:t>
      </w:r>
      <w:r w:rsidR="005237D7">
        <w:t xml:space="preserve"> powyżej). Wynika z tego, że przedłużenie tymczasowego aresztowania wobec skarżącej było uzasadnione „istotnymi” i „wystarczającymi” powodami.</w:t>
      </w:r>
    </w:p>
    <w:p w14:paraId="5764196E" w14:textId="5375B590" w:rsidR="006D40D5" w:rsidRPr="00740682" w:rsidRDefault="00E660CE" w:rsidP="00740682">
      <w:pPr>
        <w:pStyle w:val="JuPara"/>
        <w:rPr>
          <w:rStyle w:val="JuParaChar"/>
        </w:rPr>
      </w:pPr>
      <w:r>
        <w:rPr>
          <w:noProof/>
        </w:rPr>
        <w:lastRenderedPageBreak/>
        <w:t>16</w:t>
      </w:r>
      <w:r w:rsidR="005237D7">
        <w:t>.</w:t>
      </w:r>
      <w:r w:rsidR="008F4935">
        <w:t xml:space="preserve"> </w:t>
      </w:r>
      <w:r w:rsidR="005237D7">
        <w:t xml:space="preserve">Zważywszy na skalę zarzucanych przestępstw, zawiłość spraw dotyczących uchylania się od opodatkowania i prania pieniędzy w ogólności, wymaganą w sprawie pomoc międzynarodową oraz skalę </w:t>
      </w:r>
      <w:r w:rsidR="00F001E2">
        <w:t xml:space="preserve">działania </w:t>
      </w:r>
      <w:r w:rsidR="005237D7">
        <w:t>domniemanej zorganizowanej grupy przestępczej, sprawa musiała być czasochłonna. Nic w aktach sprawy nie wskazuje na to, że doszło do</w:t>
      </w:r>
      <w:r w:rsidR="008F4935">
        <w:t> </w:t>
      </w:r>
      <w:r w:rsidR="005237D7">
        <w:t>nieuzasadnionych opóźnień, które można by przypisać władzom. W</w:t>
      </w:r>
      <w:r w:rsidR="008F4935">
        <w:t> </w:t>
      </w:r>
      <w:r w:rsidR="005237D7">
        <w:t>związku z tym Trybunał stwierdza, że postępowanie przygotowawcze zostało przeprowadzone z należytą starannością.</w:t>
      </w:r>
    </w:p>
    <w:p w14:paraId="363067BB" w14:textId="4C55886C" w:rsidR="006D40D5" w:rsidRPr="00740682" w:rsidRDefault="00E660CE" w:rsidP="00740682">
      <w:pPr>
        <w:pStyle w:val="JuPara"/>
      </w:pPr>
      <w:r>
        <w:rPr>
          <w:noProof/>
        </w:rPr>
        <w:t>17</w:t>
      </w:r>
      <w:r w:rsidR="005237D7">
        <w:t>.</w:t>
      </w:r>
      <w:r w:rsidR="008F4935">
        <w:t xml:space="preserve"> </w:t>
      </w:r>
      <w:r w:rsidR="005237D7">
        <w:t xml:space="preserve">Z powyższego wynika, że </w:t>
      </w:r>
      <w:r w:rsidR="00F001E2">
        <w:t xml:space="preserve">zarzut </w:t>
      </w:r>
      <w:r w:rsidR="005237D7">
        <w:t>t</w:t>
      </w:r>
      <w:r w:rsidR="00F001E2">
        <w:t>en</w:t>
      </w:r>
      <w:r w:rsidR="005237D7">
        <w:t xml:space="preserve"> jest w sposób oczywisty nieuzasadnion</w:t>
      </w:r>
      <w:r w:rsidR="00F001E2">
        <w:t>y</w:t>
      </w:r>
      <w:r w:rsidR="005237D7">
        <w:t xml:space="preserve"> i podlega odrzuceniu zgodnie z art.</w:t>
      </w:r>
      <w:r w:rsidR="008F4935">
        <w:t xml:space="preserve"> </w:t>
      </w:r>
      <w:r w:rsidR="005237D7">
        <w:t>35 ust. 3 lit. a oraz ust.</w:t>
      </w:r>
      <w:r w:rsidR="008F4935">
        <w:t xml:space="preserve"> </w:t>
      </w:r>
      <w:r w:rsidR="005237D7">
        <w:t>4 Konwencji.</w:t>
      </w:r>
    </w:p>
    <w:p w14:paraId="7A083172" w14:textId="52EB79D2" w:rsidR="006D40D5" w:rsidRPr="00740682" w:rsidRDefault="006D40D5" w:rsidP="00740682">
      <w:pPr>
        <w:pStyle w:val="JuHIRoman"/>
      </w:pPr>
      <w:r>
        <w:t>ZARZUCANE NARUSZENIE ART.</w:t>
      </w:r>
      <w:r w:rsidR="008F4935">
        <w:t xml:space="preserve"> </w:t>
      </w:r>
      <w:r>
        <w:t>5 UST.</w:t>
      </w:r>
      <w:r w:rsidR="008F4935">
        <w:t xml:space="preserve"> </w:t>
      </w:r>
      <w:r>
        <w:t>4 KONWENCJI</w:t>
      </w:r>
    </w:p>
    <w:p w14:paraId="275DCB51" w14:textId="1DA0F03B" w:rsidR="006D40D5" w:rsidRPr="00740682" w:rsidRDefault="00E660CE" w:rsidP="00740682">
      <w:pPr>
        <w:pStyle w:val="JuPara"/>
      </w:pPr>
      <w:r>
        <w:rPr>
          <w:noProof/>
        </w:rPr>
        <w:t>18</w:t>
      </w:r>
      <w:r w:rsidR="005237D7">
        <w:t>.</w:t>
      </w:r>
      <w:r w:rsidR="008F4935">
        <w:t xml:space="preserve"> </w:t>
      </w:r>
      <w:r w:rsidR="005237D7">
        <w:t xml:space="preserve">W odniesieniu do </w:t>
      </w:r>
      <w:r w:rsidR="00F001E2">
        <w:t xml:space="preserve">zarzutu </w:t>
      </w:r>
      <w:r w:rsidR="005237D7">
        <w:t xml:space="preserve">na podstawie art. 5 ust. 4 Konwencji Rząd podkreślił, że dla celów tego artykułu należy brać pod uwagę jedynie okres, który nastąpił po wniesieniu zażaleń przez skarżącą. Ponadto </w:t>
      </w:r>
      <w:r w:rsidR="00F001E2">
        <w:t>s</w:t>
      </w:r>
      <w:r w:rsidR="005237D7">
        <w:t>twierdził, że</w:t>
      </w:r>
      <w:r w:rsidR="008F4935">
        <w:t> </w:t>
      </w:r>
      <w:r w:rsidR="005237D7">
        <w:t xml:space="preserve">sądy krajowe działały z wymaganą starannością i że </w:t>
      </w:r>
      <w:r w:rsidR="00F001E2">
        <w:t>zarzut ten</w:t>
      </w:r>
      <w:r w:rsidR="005237D7">
        <w:t xml:space="preserve"> jest w</w:t>
      </w:r>
      <w:r w:rsidR="00444A27">
        <w:t> </w:t>
      </w:r>
      <w:r w:rsidR="005237D7">
        <w:t>sposób oczywisty nieuzasadnion</w:t>
      </w:r>
      <w:r w:rsidR="00F001E2">
        <w:t>y</w:t>
      </w:r>
      <w:r w:rsidR="005237D7">
        <w:t>.</w:t>
      </w:r>
    </w:p>
    <w:p w14:paraId="544DA14A" w14:textId="168D7C74" w:rsidR="006D40D5" w:rsidRPr="00740682" w:rsidRDefault="00E660CE" w:rsidP="00740682">
      <w:pPr>
        <w:pStyle w:val="JuPara"/>
      </w:pPr>
      <w:r>
        <w:rPr>
          <w:noProof/>
        </w:rPr>
        <w:t>19</w:t>
      </w:r>
      <w:r w:rsidR="005237D7">
        <w:t>.</w:t>
      </w:r>
      <w:r w:rsidR="008F4935">
        <w:t xml:space="preserve"> </w:t>
      </w:r>
      <w:r w:rsidR="005237D7">
        <w:t>Skarżąca podtrzymała sw</w:t>
      </w:r>
      <w:r w:rsidR="00F001E2">
        <w:t>ój zarzut</w:t>
      </w:r>
      <w:r w:rsidR="005237D7">
        <w:t>.</w:t>
      </w:r>
    </w:p>
    <w:p w14:paraId="41317CEF" w14:textId="77F9D8C5" w:rsidR="006D40D5" w:rsidRPr="00740682" w:rsidRDefault="00E660CE" w:rsidP="00740682">
      <w:pPr>
        <w:pStyle w:val="JuPara"/>
      </w:pPr>
      <w:r>
        <w:rPr>
          <w:noProof/>
        </w:rPr>
        <w:t>20</w:t>
      </w:r>
      <w:r w:rsidR="005237D7">
        <w:t>.</w:t>
      </w:r>
      <w:r w:rsidR="008F4935">
        <w:t xml:space="preserve"> </w:t>
      </w:r>
      <w:r w:rsidR="005237D7">
        <w:t>Trybunał zauważa, że skarżąca wyliczyła opóźnienia w</w:t>
      </w:r>
      <w:r w:rsidR="008F4935">
        <w:t> </w:t>
      </w:r>
      <w:r w:rsidR="005237D7">
        <w:t xml:space="preserve">rozpoznawaniu jej zażaleń, licząc od dat wydania poszczególnych </w:t>
      </w:r>
      <w:r w:rsidR="00F001E2">
        <w:t>postanowień</w:t>
      </w:r>
      <w:r w:rsidR="005237D7">
        <w:t xml:space="preserve"> Sądu Apelacyjnego w Łodzi. Jednakże bardziej właściwe jest obliczenie czasu, który upłynął od momentu wniesienia przez obrońcę zażalenia, ponieważ okres poprzedzający nie może być przypisany państwu (zob. </w:t>
      </w:r>
      <w:proofErr w:type="spellStart"/>
      <w:r w:rsidR="005237D7">
        <w:rPr>
          <w:i/>
          <w:iCs/>
        </w:rPr>
        <w:t>Khodorkovskiy</w:t>
      </w:r>
      <w:proofErr w:type="spellEnd"/>
      <w:r w:rsidR="005237D7">
        <w:rPr>
          <w:i/>
          <w:iCs/>
        </w:rPr>
        <w:t xml:space="preserve"> przeciwko Rosji</w:t>
      </w:r>
      <w:r w:rsidR="005237D7">
        <w:t xml:space="preserve">, </w:t>
      </w:r>
      <w:r w:rsidR="00F001E2">
        <w:t xml:space="preserve">skarga </w:t>
      </w:r>
      <w:r w:rsidR="005237D7">
        <w:t>nr 5829/04, § 247, 31 maja 2011</w:t>
      </w:r>
      <w:r w:rsidR="008F4935">
        <w:t> </w:t>
      </w:r>
      <w:r w:rsidR="005237D7">
        <w:t>r.).</w:t>
      </w:r>
    </w:p>
    <w:p w14:paraId="2292A9A1" w14:textId="79AEB423" w:rsidR="006D40D5" w:rsidRPr="00740682" w:rsidRDefault="00E660CE" w:rsidP="00740682">
      <w:pPr>
        <w:pStyle w:val="JuPara"/>
      </w:pPr>
      <w:r>
        <w:rPr>
          <w:noProof/>
        </w:rPr>
        <w:t>21</w:t>
      </w:r>
      <w:r w:rsidR="005237D7">
        <w:t>.</w:t>
      </w:r>
      <w:r w:rsidR="008F4935">
        <w:t xml:space="preserve"> </w:t>
      </w:r>
      <w:r w:rsidR="005237D7">
        <w:t xml:space="preserve">Okresy, o których mowa, wynoszą (w porządku rosnącym) dziewięć, czternaście, piętnaście, szesnaście i dwadzieścia osiem dni (zob. paragraf </w:t>
      </w:r>
      <w:r>
        <w:t>5</w:t>
      </w:r>
      <w:r w:rsidR="005237D7">
        <w:t xml:space="preserve"> powyżej). Trybunał powtarza, że w przypadku, gdy pierwotne postanowienie o zastosowaniu tymczasowego aresztowania zostało wydane przez sąd w</w:t>
      </w:r>
      <w:r w:rsidR="008F4935">
        <w:t> </w:t>
      </w:r>
      <w:r w:rsidR="005237D7">
        <w:t xml:space="preserve">trybie zapewniającym odpowiednie gwarancje rzetelnego procesu, a prawo krajowe przewiduje system odwoławczy, Trybunał jest gotów tolerować dłuższe okresy rozpoznawania środków zaskarżenia w postępowaniu przed sądem drugiej instancji (zob. </w:t>
      </w:r>
      <w:proofErr w:type="spellStart"/>
      <w:r w:rsidR="005237D7">
        <w:rPr>
          <w:i/>
          <w:iCs/>
        </w:rPr>
        <w:t>Shcherbina</w:t>
      </w:r>
      <w:proofErr w:type="spellEnd"/>
      <w:r w:rsidR="005237D7">
        <w:rPr>
          <w:i/>
          <w:iCs/>
        </w:rPr>
        <w:t xml:space="preserve"> przeciwko Rosji</w:t>
      </w:r>
      <w:r w:rsidR="005237D7">
        <w:t>, skarga nr</w:t>
      </w:r>
      <w:r w:rsidR="008F4935">
        <w:t> </w:t>
      </w:r>
      <w:r w:rsidR="005237D7">
        <w:t>41970/11, § 65, 26 czerwca 2014 r.). Ponieważ w niniejszej sprawie postanowienia o zastosowaniu tymczasowego aresztowania zostały wydane przez organ sądowy, Trybunał stwierdza, że opóźnienia do szesnastu dni nie</w:t>
      </w:r>
      <w:r w:rsidR="008F4935">
        <w:t> </w:t>
      </w:r>
      <w:r w:rsidR="005237D7">
        <w:t>stanowią naruszenia wymogu „bezzwłoczności” z art. 5 ust. 4. Wynika z</w:t>
      </w:r>
      <w:r w:rsidR="008F4935">
        <w:t> </w:t>
      </w:r>
      <w:r w:rsidR="005237D7">
        <w:t>tego, że długość rozpoznawania zażaleń skarżącej na postanowienia Sądu Apelacyjnego w Łodzi z 10 maja, 4 października i 28 grudnia 2018 r. oraz 3</w:t>
      </w:r>
      <w:r w:rsidR="008F4935">
        <w:t> </w:t>
      </w:r>
      <w:r w:rsidR="005237D7">
        <w:t>kwietnia 2019 r. nie stanowi naruszenia wymogu „bezzwłoczności” z art. 5 ust. 4, ale jest w sposób oczywisty nieuzasadniona</w:t>
      </w:r>
      <w:r w:rsidR="00837EEF">
        <w:t xml:space="preserve"> </w:t>
      </w:r>
      <w:r w:rsidR="005237D7">
        <w:t>i podlega odrzuceniu zgodnie z art. 35 ust. 3 lit. a i ust. 4 Konwencji.</w:t>
      </w:r>
    </w:p>
    <w:p w14:paraId="6F823FEE" w14:textId="3A3EE17E" w:rsidR="006D40D5" w:rsidRPr="00740682" w:rsidRDefault="00E660CE" w:rsidP="00740682">
      <w:pPr>
        <w:pStyle w:val="JuPara"/>
      </w:pPr>
      <w:r>
        <w:rPr>
          <w:noProof/>
        </w:rPr>
        <w:lastRenderedPageBreak/>
        <w:t>22</w:t>
      </w:r>
      <w:r w:rsidR="005237D7">
        <w:t>.</w:t>
      </w:r>
      <w:r w:rsidR="008F4935">
        <w:t xml:space="preserve"> </w:t>
      </w:r>
      <w:r w:rsidR="005539AB">
        <w:t>Jednakże z</w:t>
      </w:r>
      <w:r w:rsidR="005237D7">
        <w:t>ażalenie skarżącej na postanowienie o zastosowaniu tymczasowego aresztowania z dnia 10 lipca 2018 r. zostało rozpoznane po</w:t>
      </w:r>
      <w:r w:rsidR="008F4935">
        <w:t> </w:t>
      </w:r>
      <w:r w:rsidR="005237D7">
        <w:t xml:space="preserve">dwudziestu ośmiu dniach. Rząd nie przedstawił argumentów mogących uzasadnić to opóźnienie. W świetle swojego ugruntowanego orzecznictwa (zob. m.in. wyroki w sprawach </w:t>
      </w:r>
      <w:r w:rsidR="005237D7">
        <w:rPr>
          <w:i/>
          <w:iCs/>
        </w:rPr>
        <w:t>Baranowski przeciwko Polsce</w:t>
      </w:r>
      <w:r w:rsidR="005237D7">
        <w:t xml:space="preserve">, </w:t>
      </w:r>
      <w:r w:rsidR="00837EEF">
        <w:t xml:space="preserve">skarga </w:t>
      </w:r>
      <w:r w:rsidR="005237D7">
        <w:t>nr</w:t>
      </w:r>
      <w:r w:rsidR="008F4935">
        <w:t> </w:t>
      </w:r>
      <w:r w:rsidR="005237D7">
        <w:t xml:space="preserve">28358/95, §§ 68-77, </w:t>
      </w:r>
      <w:proofErr w:type="spellStart"/>
      <w:r w:rsidR="005237D7">
        <w:t>ETPCz</w:t>
      </w:r>
      <w:proofErr w:type="spellEnd"/>
      <w:r w:rsidR="005237D7">
        <w:t xml:space="preserve"> 2000-III; </w:t>
      </w:r>
      <w:proofErr w:type="spellStart"/>
      <w:r w:rsidR="005237D7">
        <w:rPr>
          <w:i/>
          <w:iCs/>
        </w:rPr>
        <w:t>Shcherbina</w:t>
      </w:r>
      <w:proofErr w:type="spellEnd"/>
      <w:r w:rsidR="005237D7">
        <w:t>, cytowany powyżej, §§</w:t>
      </w:r>
      <w:r w:rsidR="008F4935">
        <w:t> </w:t>
      </w:r>
      <w:r w:rsidR="005237D7">
        <w:t xml:space="preserve">62-65; oraz </w:t>
      </w:r>
      <w:proofErr w:type="spellStart"/>
      <w:r w:rsidR="005237D7">
        <w:rPr>
          <w:i/>
          <w:iCs/>
        </w:rPr>
        <w:t>Khodorkovskiy</w:t>
      </w:r>
      <w:proofErr w:type="spellEnd"/>
      <w:r w:rsidR="005237D7">
        <w:t>, cytowany powyżej, §§ 243-48), a także po</w:t>
      </w:r>
      <w:r w:rsidR="008F4935">
        <w:t> </w:t>
      </w:r>
      <w:r w:rsidR="005237D7">
        <w:t>zapoznaniu się ze wszystkimi przedstawionymi mu materiałami, Trybunał stwierdza, że niniejsz</w:t>
      </w:r>
      <w:r w:rsidR="00837EEF">
        <w:t>y zarzut</w:t>
      </w:r>
      <w:r w:rsidR="005237D7">
        <w:t xml:space="preserve"> jest dopuszczaln</w:t>
      </w:r>
      <w:r w:rsidR="00837EEF">
        <w:t>y</w:t>
      </w:r>
      <w:r w:rsidR="005237D7">
        <w:t xml:space="preserve"> i </w:t>
      </w:r>
      <w:r w:rsidR="00837EEF">
        <w:t xml:space="preserve">wskazuje na </w:t>
      </w:r>
      <w:r w:rsidR="005237D7">
        <w:t xml:space="preserve">naruszenie </w:t>
      </w:r>
      <w:r w:rsidR="005237D7">
        <w:rPr>
          <w:color w:val="000000"/>
        </w:rPr>
        <w:t>art.</w:t>
      </w:r>
      <w:r w:rsidR="008F4935">
        <w:rPr>
          <w:color w:val="000000"/>
        </w:rPr>
        <w:t> </w:t>
      </w:r>
      <w:r w:rsidR="005237D7">
        <w:rPr>
          <w:color w:val="000000"/>
        </w:rPr>
        <w:t xml:space="preserve">5 </w:t>
      </w:r>
      <w:r w:rsidR="005237D7">
        <w:t>ust. 4 Konwencji.</w:t>
      </w:r>
    </w:p>
    <w:p w14:paraId="72DB815F" w14:textId="1936E6EF" w:rsidR="006D40D5" w:rsidRPr="00740682" w:rsidRDefault="006D40D5" w:rsidP="00740682">
      <w:pPr>
        <w:pStyle w:val="JuHHead"/>
      </w:pPr>
      <w:r>
        <w:t>ZASTOSOWANIE ART.</w:t>
      </w:r>
      <w:r w:rsidR="008F4935">
        <w:t xml:space="preserve"> </w:t>
      </w:r>
      <w:r>
        <w:t>41 KONWENCJI</w:t>
      </w:r>
    </w:p>
    <w:p w14:paraId="69FF19B6" w14:textId="76C256DE" w:rsidR="006D40D5" w:rsidRPr="00740682" w:rsidRDefault="00E660CE" w:rsidP="00740682">
      <w:pPr>
        <w:pStyle w:val="JuPara"/>
      </w:pPr>
      <w:r>
        <w:rPr>
          <w:noProof/>
        </w:rPr>
        <w:t>23</w:t>
      </w:r>
      <w:r w:rsidR="006D40D5">
        <w:t>.</w:t>
      </w:r>
      <w:r w:rsidR="008F4935">
        <w:t xml:space="preserve"> </w:t>
      </w:r>
      <w:r w:rsidR="006D40D5">
        <w:t>Skarżąca dochodziła kwoty</w:t>
      </w:r>
      <w:r w:rsidR="00837EEF">
        <w:t xml:space="preserve"> </w:t>
      </w:r>
      <w:r w:rsidR="006D40D5">
        <w:t>717.113</w:t>
      </w:r>
      <w:r w:rsidR="00837EEF">
        <w:t xml:space="preserve"> </w:t>
      </w:r>
      <w:r w:rsidR="006D40D5">
        <w:t xml:space="preserve">złotych (PLN) tytułem odszkodowania za szkodę majątkową. </w:t>
      </w:r>
      <w:r w:rsidR="00364945">
        <w:t>T</w:t>
      </w:r>
      <w:r w:rsidR="006D40D5">
        <w:t>wierdziła, że w czasie jej tymczasowego aresztowania zniszczony został należący do niej budynek. Domagała się również kwoty 50.000 euro (</w:t>
      </w:r>
      <w:proofErr w:type="spellStart"/>
      <w:r w:rsidR="006D40D5">
        <w:t>EUR</w:t>
      </w:r>
      <w:proofErr w:type="spellEnd"/>
      <w:r w:rsidR="006D40D5">
        <w:t>) tytułem zadośćuczynienia za szkodę niemajątkową</w:t>
      </w:r>
      <w:r w:rsidR="00837EEF">
        <w:t xml:space="preserve">, </w:t>
      </w:r>
      <w:r w:rsidR="006D40D5">
        <w:t>kwoty 235.455,49 PLN tytułem zwrotu kosztów i</w:t>
      </w:r>
      <w:r w:rsidR="008F4935">
        <w:t> </w:t>
      </w:r>
      <w:r w:rsidR="006D40D5">
        <w:t>wydatków poniesionych przed sądami krajowymi oraz kwoty 6.000 PLN tytułem zwrotu kosztów poniesionych przed Trybunałem.</w:t>
      </w:r>
    </w:p>
    <w:p w14:paraId="7A8A5339" w14:textId="104871B5" w:rsidR="006D40D5" w:rsidRPr="00740682" w:rsidRDefault="00E660CE" w:rsidP="00740682">
      <w:pPr>
        <w:pStyle w:val="JuPara"/>
      </w:pPr>
      <w:r>
        <w:rPr>
          <w:noProof/>
        </w:rPr>
        <w:t>24</w:t>
      </w:r>
      <w:r w:rsidR="006D40D5">
        <w:t>.</w:t>
      </w:r>
      <w:r w:rsidR="008F4935">
        <w:t xml:space="preserve"> </w:t>
      </w:r>
      <w:r w:rsidR="006D40D5">
        <w:t>Rząd twierdził, że powyższe kwoty są nieuzasadnione i</w:t>
      </w:r>
      <w:r w:rsidR="008F4935">
        <w:t xml:space="preserve"> </w:t>
      </w:r>
      <w:r w:rsidR="006D40D5">
        <w:t>nieracjonalnie wysokie. Gdyby Trybunał ustalił, że doszło do naruszeń art. 5 ust. 3 i 4 Konwencji, Rząd wniósł o uznanie, że stwierdzenie naruszenia stanowi samo w sobie wystarczające słuszne zadośćuczynienie.</w:t>
      </w:r>
    </w:p>
    <w:p w14:paraId="27A7B86E" w14:textId="345E28EA" w:rsidR="006D40D5" w:rsidRPr="00740682" w:rsidRDefault="00E660CE" w:rsidP="00740682">
      <w:pPr>
        <w:pStyle w:val="JuPara"/>
      </w:pPr>
      <w:r>
        <w:rPr>
          <w:noProof/>
        </w:rPr>
        <w:t>25</w:t>
      </w:r>
      <w:r w:rsidR="006D40D5">
        <w:t>.</w:t>
      </w:r>
      <w:r w:rsidR="008F4935">
        <w:t xml:space="preserve"> </w:t>
      </w:r>
      <w:r w:rsidR="006D40D5">
        <w:t xml:space="preserve">Trybunał nie dostrzega żadnego związku </w:t>
      </w:r>
      <w:proofErr w:type="spellStart"/>
      <w:r w:rsidR="006D40D5">
        <w:t>przyczynowo-skutkowego</w:t>
      </w:r>
      <w:proofErr w:type="spellEnd"/>
      <w:r w:rsidR="006D40D5">
        <w:t xml:space="preserve"> między stwierdzonym naruszeniem a zarzucaną szkodą majątkową, w</w:t>
      </w:r>
      <w:r w:rsidR="008F4935">
        <w:t> </w:t>
      </w:r>
      <w:r w:rsidR="006D40D5">
        <w:t>związku z czym nie uwzględnia tego żądania. Niemniej przyznaje skarżącej kwotę 1</w:t>
      </w:r>
      <w:r w:rsidR="005A6B0F">
        <w:t>.</w:t>
      </w:r>
      <w:r w:rsidR="006D40D5">
        <w:t>600</w:t>
      </w:r>
      <w:r w:rsidR="005A6B0F">
        <w:t xml:space="preserve"> </w:t>
      </w:r>
      <w:proofErr w:type="spellStart"/>
      <w:r w:rsidR="006D40D5">
        <w:t>EUR</w:t>
      </w:r>
      <w:proofErr w:type="spellEnd"/>
      <w:r w:rsidR="006D40D5">
        <w:t xml:space="preserve"> tytułem zadośćuczynienia za szkodę niemajątkową</w:t>
      </w:r>
      <w:r w:rsidR="005A6B0F">
        <w:t>,</w:t>
      </w:r>
      <w:r w:rsidR="006D40D5">
        <w:t xml:space="preserve"> powiększoną o podatek należny od tej kwoty.</w:t>
      </w:r>
    </w:p>
    <w:p w14:paraId="685B1E36" w14:textId="7C223F04" w:rsidR="006D40D5" w:rsidRPr="00740682" w:rsidRDefault="00E660CE" w:rsidP="00740682">
      <w:pPr>
        <w:pStyle w:val="JuPara"/>
      </w:pPr>
      <w:r>
        <w:rPr>
          <w:noProof/>
        </w:rPr>
        <w:t>26</w:t>
      </w:r>
      <w:r w:rsidR="006D40D5">
        <w:t>.</w:t>
      </w:r>
      <w:r w:rsidR="008F4935">
        <w:t xml:space="preserve"> </w:t>
      </w:r>
      <w:r w:rsidR="006D40D5">
        <w:t>Uwzględniając posiadane dokumenty, które mają charakter ogólny, Trybunał uzna</w:t>
      </w:r>
      <w:r w:rsidR="00364945">
        <w:t>je</w:t>
      </w:r>
      <w:r w:rsidR="006D40D5">
        <w:t>, że skarżąca nie uzasadniła swojego roszczenia w zakresie kosztów i wydatków poniesionych przed sądami krajowymi. Ponadto</w:t>
      </w:r>
      <w:r w:rsidR="005539AB">
        <w:t>,</w:t>
      </w:r>
      <w:r w:rsidR="006D40D5">
        <w:t xml:space="preserve"> mimo że początkowo przed Trybunałem korzystała z zastępstwa procesowego, cofnęła pełnomocnictwo przed złożeniem swoich uwag. W konsekwencji Trybunał oddal</w:t>
      </w:r>
      <w:r w:rsidR="00364945">
        <w:t>a</w:t>
      </w:r>
      <w:r w:rsidR="006D40D5">
        <w:t xml:space="preserve"> w całości żądanie skarżącej w zakresie zwrotu kosztów i</w:t>
      </w:r>
      <w:r w:rsidR="008F4935">
        <w:t> </w:t>
      </w:r>
      <w:r w:rsidR="006D40D5">
        <w:t>wydatków.</w:t>
      </w:r>
    </w:p>
    <w:p w14:paraId="0AA2FE0C" w14:textId="77777777" w:rsidR="006D40D5" w:rsidRPr="00740682" w:rsidRDefault="006D40D5" w:rsidP="00740682">
      <w:pPr>
        <w:pStyle w:val="JuHHead"/>
      </w:pPr>
      <w:r>
        <w:t>Z POWYŻSZYCH WZGLĘDÓW TRYBUNAŁ JEDNOGŁOŚNIE</w:t>
      </w:r>
    </w:p>
    <w:p w14:paraId="29F8D293" w14:textId="41B166CF" w:rsidR="006D40D5" w:rsidRPr="00740682" w:rsidRDefault="006D40D5" w:rsidP="00740682">
      <w:pPr>
        <w:pStyle w:val="JuList"/>
      </w:pPr>
      <w:r>
        <w:rPr>
          <w:i/>
          <w:iCs/>
        </w:rPr>
        <w:t>uznaje</w:t>
      </w:r>
      <w:r>
        <w:t xml:space="preserve"> </w:t>
      </w:r>
      <w:r w:rsidR="005A6B0F">
        <w:t>zarzut</w:t>
      </w:r>
      <w:r>
        <w:t xml:space="preserve"> na podstawie art. 5 ust. 4 Konwencji dotycząc</w:t>
      </w:r>
      <w:r w:rsidR="005A6B0F">
        <w:t>y</w:t>
      </w:r>
      <w:r>
        <w:t xml:space="preserve"> zażalenia skarżącej na postanowienie z dnia 10 lipca 2018 r. za</w:t>
      </w:r>
      <w:r w:rsidR="008F4935">
        <w:t xml:space="preserve"> </w:t>
      </w:r>
      <w:r>
        <w:t>dopuszczaln</w:t>
      </w:r>
      <w:r w:rsidR="005A6B0F">
        <w:t>y</w:t>
      </w:r>
      <w:r>
        <w:t>, a</w:t>
      </w:r>
      <w:r w:rsidR="008F4935">
        <w:t> </w:t>
      </w:r>
      <w:r>
        <w:t>pozostałą część skargi za niedopuszczalną;</w:t>
      </w:r>
    </w:p>
    <w:p w14:paraId="49B31E6E" w14:textId="2A01C373" w:rsidR="006D40D5" w:rsidRPr="00740682" w:rsidRDefault="006D40D5" w:rsidP="00740682">
      <w:pPr>
        <w:pStyle w:val="JuList"/>
      </w:pPr>
      <w:r>
        <w:rPr>
          <w:i/>
          <w:iCs/>
        </w:rPr>
        <w:lastRenderedPageBreak/>
        <w:t>stwierdza</w:t>
      </w:r>
      <w:r>
        <w:t>, że doszło do naruszenia art. 5 ust. 4 Konwencji w odniesieniu do zażalenia skarżącej na postanowienie z dnia 10 lipca 2018 r.</w:t>
      </w:r>
    </w:p>
    <w:p w14:paraId="77A3314F" w14:textId="77777777" w:rsidR="006D40D5" w:rsidRPr="00740682" w:rsidRDefault="006D40D5" w:rsidP="00740682">
      <w:pPr>
        <w:pStyle w:val="JuList"/>
      </w:pPr>
      <w:r>
        <w:rPr>
          <w:i/>
          <w:iCs/>
        </w:rPr>
        <w:t>stwierdza</w:t>
      </w:r>
    </w:p>
    <w:p w14:paraId="4AA78B40" w14:textId="78ACFF82" w:rsidR="006D40D5" w:rsidRPr="00740682" w:rsidRDefault="006D40D5" w:rsidP="00740682">
      <w:pPr>
        <w:pStyle w:val="JuLista"/>
      </w:pPr>
      <w:r>
        <w:t xml:space="preserve">że pozwane państwo </w:t>
      </w:r>
      <w:r w:rsidR="005A6B0F">
        <w:t>winno</w:t>
      </w:r>
      <w:r>
        <w:t>, w terminie trzech miesięcy, uiścić na</w:t>
      </w:r>
      <w:r w:rsidR="008F4935">
        <w:t> </w:t>
      </w:r>
      <w:r>
        <w:t>rzecz skarżącej kwotę 1</w:t>
      </w:r>
      <w:r w:rsidR="005A6B0F">
        <w:t>.</w:t>
      </w:r>
      <w:r>
        <w:t xml:space="preserve">600 </w:t>
      </w:r>
      <w:proofErr w:type="spellStart"/>
      <w:r>
        <w:t>EUR</w:t>
      </w:r>
      <w:proofErr w:type="spellEnd"/>
      <w:r>
        <w:t xml:space="preserve"> (tysiąc sześćset euro), przeliczoną na walutę pozwanego państwa według kursu obowiązującego w dniu płatności, tytułem zadośćuczynienia za</w:t>
      </w:r>
      <w:r w:rsidR="008F4935">
        <w:t> </w:t>
      </w:r>
      <w:r>
        <w:t>szkodę niemajątkową;</w:t>
      </w:r>
    </w:p>
    <w:p w14:paraId="1895F14A" w14:textId="2A16D3ED" w:rsidR="006D40D5" w:rsidRPr="00740682" w:rsidRDefault="006D40D5" w:rsidP="00740682">
      <w:pPr>
        <w:pStyle w:val="JuLista"/>
      </w:pPr>
      <w:r>
        <w:t>że od upływu wyżej wskazanego terminu trzech miesięcy aż</w:t>
      </w:r>
      <w:r w:rsidR="008F4935">
        <w:t> </w:t>
      </w:r>
      <w:r>
        <w:t>do</w:t>
      </w:r>
      <w:r w:rsidR="008F4935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4B5671F5" w14:textId="04FC418D" w:rsidR="004D0EC7" w:rsidRPr="00740682" w:rsidRDefault="006D40D5" w:rsidP="00740682">
      <w:pPr>
        <w:pStyle w:val="JuList"/>
      </w:pPr>
      <w:r>
        <w:rPr>
          <w:i/>
        </w:rPr>
        <w:t xml:space="preserve">oddala </w:t>
      </w:r>
      <w:r>
        <w:t>pozostałą część roszczenia skarżącej o słuszne zadośćuczynienie.</w:t>
      </w:r>
    </w:p>
    <w:p w14:paraId="4E5EA82F" w14:textId="704DDB93" w:rsidR="008E3A08" w:rsidRPr="00740682" w:rsidRDefault="007E2C8C" w:rsidP="00740682">
      <w:pPr>
        <w:pStyle w:val="JuParaLast"/>
      </w:pPr>
      <w:r>
        <w:t xml:space="preserve">Sporządzono w języku angielskim i obwieszczono pisemnie w dniu </w:t>
      </w:r>
      <w:r>
        <w:rPr>
          <w:rFonts w:ascii="Times New Roman" w:hAnsi="Times New Roman"/>
        </w:rPr>
        <w:t>2</w:t>
      </w:r>
      <w:r w:rsidR="008F4935">
        <w:rPr>
          <w:rFonts w:ascii="Times New Roman" w:hAnsi="Times New Roman"/>
        </w:rPr>
        <w:t> </w:t>
      </w:r>
      <w:r>
        <w:rPr>
          <w:rFonts w:ascii="Times New Roman" w:hAnsi="Times New Roman"/>
        </w:rPr>
        <w:t>lutego 2023 r.</w:t>
      </w:r>
      <w:r>
        <w:t>, zgodnie z Regułą 77 § 2 i 3 Regulaminu Trybunału.</w:t>
      </w:r>
    </w:p>
    <w:p w14:paraId="74DBFF83" w14:textId="5583D92E" w:rsidR="00182EBA" w:rsidRPr="00A309AC" w:rsidRDefault="00A309AC" w:rsidP="006D7E07">
      <w:pPr>
        <w:pStyle w:val="JuSigned"/>
        <w:ind w:left="284" w:hanging="142"/>
      </w:pPr>
      <w:r w:rsidRPr="00D94116">
        <w:rPr>
          <w:noProof/>
        </w:rPr>
        <w:tab/>
      </w:r>
      <w:r w:rsidRPr="00D94116">
        <w:rPr>
          <w:noProof/>
        </w:rPr>
        <w:tab/>
      </w:r>
      <w:r w:rsidRPr="00A309AC">
        <w:rPr>
          <w:noProof/>
        </w:rPr>
        <w:t>Liv Tigerstedt</w:t>
      </w:r>
      <w:r w:rsidRPr="00A309AC">
        <w:t xml:space="preserve"> </w:t>
      </w:r>
      <w:r w:rsidRPr="00A309AC">
        <w:tab/>
      </w:r>
      <w:r w:rsidRPr="00A309AC">
        <w:rPr>
          <w:noProof/>
        </w:rPr>
        <w:t>Péter Paczolay</w:t>
      </w:r>
      <w:r w:rsidRPr="00A309AC">
        <w:br/>
      </w:r>
      <w:r w:rsidRPr="00A309AC">
        <w:tab/>
      </w:r>
      <w:r w:rsidRPr="006D7E07">
        <w:rPr>
          <w:noProof/>
        </w:rPr>
        <w:t>Zastępca kanclerza</w:t>
      </w:r>
      <w:r w:rsidRPr="00A309AC">
        <w:tab/>
        <w:t>Pr</w:t>
      </w:r>
      <w:r w:rsidRPr="006D7E07">
        <w:t>zewodniczący</w:t>
      </w:r>
    </w:p>
    <w:sectPr w:rsidR="00182EBA" w:rsidRPr="00A309AC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ADCE6" w14:textId="77777777" w:rsidR="000C78F4" w:rsidRPr="006D40D5" w:rsidRDefault="000C78F4" w:rsidP="0098410D">
      <w:r w:rsidRPr="006D40D5">
        <w:separator/>
      </w:r>
    </w:p>
  </w:endnote>
  <w:endnote w:type="continuationSeparator" w:id="0">
    <w:p w14:paraId="1227FD3D" w14:textId="77777777" w:rsidR="000C78F4" w:rsidRPr="006D40D5" w:rsidRDefault="000C78F4" w:rsidP="0098410D">
      <w:r w:rsidRPr="006D40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9D5F1" w14:textId="77777777" w:rsidR="00C372C5" w:rsidRDefault="00C372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5BCCB" w14:textId="4A8B0E2F" w:rsidR="006D40D5" w:rsidRPr="00150BFA" w:rsidRDefault="006D40D5" w:rsidP="0020718E">
    <w:pPr>
      <w:jc w:val="center"/>
    </w:pPr>
    <w:r>
      <w:rPr>
        <w:noProof/>
        <w:lang w:eastAsia="pl-PL"/>
      </w:rPr>
      <w:drawing>
        <wp:inline distT="0" distB="0" distL="0" distR="0" wp14:anchorId="31421A76" wp14:editId="4FFDEB7F">
          <wp:extent cx="771525" cy="619125"/>
          <wp:effectExtent l="0" t="0" r="9525" b="9525"/>
          <wp:docPr id="11" name="Picture 1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00E188" w14:textId="5B403DAD" w:rsidR="0098410D" w:rsidRPr="006D40D5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A4F04" w14:textId="1DFE815E" w:rsidR="006D40D5" w:rsidRPr="00150BFA" w:rsidRDefault="006D40D5" w:rsidP="0020718E">
    <w:pPr>
      <w:jc w:val="center"/>
    </w:pPr>
    <w:r>
      <w:rPr>
        <w:noProof/>
        <w:lang w:eastAsia="pl-PL"/>
      </w:rPr>
      <w:drawing>
        <wp:inline distT="0" distB="0" distL="0" distR="0" wp14:anchorId="3C177118" wp14:editId="6A5A75D1">
          <wp:extent cx="771525" cy="619125"/>
          <wp:effectExtent l="0" t="0" r="9525" b="9525"/>
          <wp:docPr id="13" name="Picture 1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55E286" w14:textId="2B66B36F" w:rsidR="009E7A6F" w:rsidRPr="006D40D5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3F144" w14:textId="503E0F2F" w:rsidR="00182EBA" w:rsidRDefault="006D40D5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115A0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FD6E" w14:textId="575ABC1C" w:rsidR="00182EBA" w:rsidRPr="000B7195" w:rsidRDefault="006D40D5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2115A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C9E52" w14:textId="77777777" w:rsidR="000C78F4" w:rsidRPr="006D40D5" w:rsidRDefault="000C78F4" w:rsidP="0098410D">
      <w:r w:rsidRPr="006D40D5">
        <w:separator/>
      </w:r>
    </w:p>
  </w:footnote>
  <w:footnote w:type="continuationSeparator" w:id="0">
    <w:p w14:paraId="66978EE2" w14:textId="77777777" w:rsidR="000C78F4" w:rsidRPr="006D40D5" w:rsidRDefault="000C78F4" w:rsidP="0098410D">
      <w:r w:rsidRPr="006D40D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FB4B5" w14:textId="77777777" w:rsidR="00C372C5" w:rsidRDefault="00C372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0D5E8" w14:textId="4ADCE2CD" w:rsidR="006D40D5" w:rsidRPr="00A45145" w:rsidRDefault="006D40D5" w:rsidP="00A45145">
    <w:pPr>
      <w:jc w:val="center"/>
    </w:pPr>
    <w:r>
      <w:rPr>
        <w:noProof/>
        <w:lang w:eastAsia="pl-PL"/>
      </w:rPr>
      <w:drawing>
        <wp:inline distT="0" distB="0" distL="0" distR="0" wp14:anchorId="2525BA87" wp14:editId="337182EB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BC1861" w14:textId="24B83BDA" w:rsidR="0098410D" w:rsidRPr="006D40D5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9DC5D" w14:textId="1AF792E3" w:rsidR="006D40D5" w:rsidRPr="00A45145" w:rsidRDefault="006D40D5" w:rsidP="00A45145">
    <w:pPr>
      <w:jc w:val="center"/>
    </w:pPr>
    <w:r>
      <w:rPr>
        <w:noProof/>
        <w:lang w:eastAsia="pl-PL"/>
      </w:rPr>
      <w:drawing>
        <wp:inline distT="0" distB="0" distL="0" distR="0" wp14:anchorId="56D1EC09" wp14:editId="4E5902F7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B7620F" w14:textId="47D39492" w:rsidR="0098410D" w:rsidRPr="006D40D5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52E4B" w14:textId="7C24B1CE" w:rsidR="00182EBA" w:rsidRPr="004D0EC7" w:rsidRDefault="006D40D5" w:rsidP="004D0EC7">
    <w:pPr>
      <w:pStyle w:val="JuHeader"/>
    </w:pPr>
    <w:r>
      <w:t>WYROK W SPRAWIE MARCINIAK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C8A0" w14:textId="3DCE8CA0" w:rsidR="00182EBA" w:rsidRPr="00882CD5" w:rsidRDefault="006D40D5" w:rsidP="007D3701">
    <w:pPr>
      <w:pStyle w:val="JuHeader"/>
    </w:pPr>
    <w:r>
      <w:t>WYROK W SPRAWIE MARCINIAK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oNotDisplayPageBoundaries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W_DocType" w:val="NORMAL"/>
    <w:docVar w:name="NBEMMDOC" w:val="0"/>
    <w:docVar w:name="Plural" w:val="0"/>
    <w:docVar w:name="SignForeName" w:val="0"/>
    <w:docVar w:name="SndCaseNumber" w:val="Error!Nodocumentvariablesupplied."/>
  </w:docVars>
  <w:rsids>
    <w:rsidRoot w:val="006D40D5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23434"/>
    <w:rsid w:val="00031428"/>
    <w:rsid w:val="00034987"/>
    <w:rsid w:val="00035F46"/>
    <w:rsid w:val="00041560"/>
    <w:rsid w:val="000602DF"/>
    <w:rsid w:val="00061B05"/>
    <w:rsid w:val="000632D5"/>
    <w:rsid w:val="000644EE"/>
    <w:rsid w:val="0007780A"/>
    <w:rsid w:val="00085457"/>
    <w:rsid w:val="000925AD"/>
    <w:rsid w:val="00093D72"/>
    <w:rsid w:val="00095E4E"/>
    <w:rsid w:val="00096FE1"/>
    <w:rsid w:val="00097A62"/>
    <w:rsid w:val="000A24EB"/>
    <w:rsid w:val="000B686A"/>
    <w:rsid w:val="000B6923"/>
    <w:rsid w:val="000B7195"/>
    <w:rsid w:val="000C5F3C"/>
    <w:rsid w:val="000C6DCC"/>
    <w:rsid w:val="000C78F4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DF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44A4"/>
    <w:rsid w:val="002052BC"/>
    <w:rsid w:val="00205F9F"/>
    <w:rsid w:val="00210338"/>
    <w:rsid w:val="002115A0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97A3E"/>
    <w:rsid w:val="002A01CC"/>
    <w:rsid w:val="002A613A"/>
    <w:rsid w:val="002A61B1"/>
    <w:rsid w:val="002A663C"/>
    <w:rsid w:val="002B0C95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3D59"/>
    <w:rsid w:val="00355877"/>
    <w:rsid w:val="00356AC7"/>
    <w:rsid w:val="003609FA"/>
    <w:rsid w:val="00364945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4D22"/>
    <w:rsid w:val="003F5F7B"/>
    <w:rsid w:val="003F7D64"/>
    <w:rsid w:val="00403B66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4A27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37D7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39AB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6751"/>
    <w:rsid w:val="005A6B0F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43C"/>
    <w:rsid w:val="00694BA8"/>
    <w:rsid w:val="006A037C"/>
    <w:rsid w:val="006A0C84"/>
    <w:rsid w:val="006A36F4"/>
    <w:rsid w:val="006A406F"/>
    <w:rsid w:val="006A5D3A"/>
    <w:rsid w:val="006B1942"/>
    <w:rsid w:val="006C23D4"/>
    <w:rsid w:val="006C7BB0"/>
    <w:rsid w:val="006D3237"/>
    <w:rsid w:val="006D40D5"/>
    <w:rsid w:val="006D7E07"/>
    <w:rsid w:val="006E2E37"/>
    <w:rsid w:val="006E3CF1"/>
    <w:rsid w:val="006E4166"/>
    <w:rsid w:val="006E68A3"/>
    <w:rsid w:val="006E7E80"/>
    <w:rsid w:val="006F1C2D"/>
    <w:rsid w:val="006F48CA"/>
    <w:rsid w:val="006F64DD"/>
    <w:rsid w:val="006F712D"/>
    <w:rsid w:val="00711D60"/>
    <w:rsid w:val="00715127"/>
    <w:rsid w:val="00715E8E"/>
    <w:rsid w:val="00723580"/>
    <w:rsid w:val="00723755"/>
    <w:rsid w:val="0073136C"/>
    <w:rsid w:val="00731F0F"/>
    <w:rsid w:val="00733250"/>
    <w:rsid w:val="00740682"/>
    <w:rsid w:val="00741404"/>
    <w:rsid w:val="007449E5"/>
    <w:rsid w:val="0074750E"/>
    <w:rsid w:val="00747FF0"/>
    <w:rsid w:val="0075566E"/>
    <w:rsid w:val="00763602"/>
    <w:rsid w:val="00764D4E"/>
    <w:rsid w:val="00765A1F"/>
    <w:rsid w:val="00766B1E"/>
    <w:rsid w:val="00774D76"/>
    <w:rsid w:val="00775B6D"/>
    <w:rsid w:val="00776D68"/>
    <w:rsid w:val="0078323E"/>
    <w:rsid w:val="007850EE"/>
    <w:rsid w:val="00785B95"/>
    <w:rsid w:val="00790E96"/>
    <w:rsid w:val="007926FD"/>
    <w:rsid w:val="00793366"/>
    <w:rsid w:val="0079666C"/>
    <w:rsid w:val="007A716F"/>
    <w:rsid w:val="007B2451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12B23"/>
    <w:rsid w:val="008204C7"/>
    <w:rsid w:val="00820992"/>
    <w:rsid w:val="00823602"/>
    <w:rsid w:val="008255F5"/>
    <w:rsid w:val="00826890"/>
    <w:rsid w:val="0083014E"/>
    <w:rsid w:val="0083214A"/>
    <w:rsid w:val="00834220"/>
    <w:rsid w:val="00837EEF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3DD9"/>
    <w:rsid w:val="008754AB"/>
    <w:rsid w:val="0088060C"/>
    <w:rsid w:val="00882CD5"/>
    <w:rsid w:val="00883151"/>
    <w:rsid w:val="00893576"/>
    <w:rsid w:val="00893E73"/>
    <w:rsid w:val="008A3FDE"/>
    <w:rsid w:val="008B02DC"/>
    <w:rsid w:val="008B092C"/>
    <w:rsid w:val="008B31D8"/>
    <w:rsid w:val="008B57CE"/>
    <w:rsid w:val="008C26DE"/>
    <w:rsid w:val="008D2225"/>
    <w:rsid w:val="008D26F2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935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D1A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3C9"/>
    <w:rsid w:val="00986B3C"/>
    <w:rsid w:val="009A115C"/>
    <w:rsid w:val="009A7FC1"/>
    <w:rsid w:val="009B1606"/>
    <w:rsid w:val="009B1B5F"/>
    <w:rsid w:val="009B6673"/>
    <w:rsid w:val="009C191B"/>
    <w:rsid w:val="009C2BD6"/>
    <w:rsid w:val="009C5E7B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9AC"/>
    <w:rsid w:val="00A30C29"/>
    <w:rsid w:val="00A32F75"/>
    <w:rsid w:val="00A34DD6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F0BFB"/>
    <w:rsid w:val="00AF4B07"/>
    <w:rsid w:val="00AF6186"/>
    <w:rsid w:val="00AF7A3A"/>
    <w:rsid w:val="00B02587"/>
    <w:rsid w:val="00B049D1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B91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16AA0"/>
    <w:rsid w:val="00C22687"/>
    <w:rsid w:val="00C26A92"/>
    <w:rsid w:val="00C26B1C"/>
    <w:rsid w:val="00C32E4D"/>
    <w:rsid w:val="00C333A0"/>
    <w:rsid w:val="00C36A81"/>
    <w:rsid w:val="00C372C5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6A63"/>
    <w:rsid w:val="00D07BDC"/>
    <w:rsid w:val="00D07E0E"/>
    <w:rsid w:val="00D10CD6"/>
    <w:rsid w:val="00D11478"/>
    <w:rsid w:val="00D15ED0"/>
    <w:rsid w:val="00D164BF"/>
    <w:rsid w:val="00D2147C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4116"/>
    <w:rsid w:val="00D977B6"/>
    <w:rsid w:val="00DA1223"/>
    <w:rsid w:val="00DA4A31"/>
    <w:rsid w:val="00DA7B04"/>
    <w:rsid w:val="00DB36C2"/>
    <w:rsid w:val="00DC169B"/>
    <w:rsid w:val="00DC2AB9"/>
    <w:rsid w:val="00DC63F0"/>
    <w:rsid w:val="00DD37EA"/>
    <w:rsid w:val="00DD6EE5"/>
    <w:rsid w:val="00DD7B9D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36CC0"/>
    <w:rsid w:val="00E40404"/>
    <w:rsid w:val="00E4126A"/>
    <w:rsid w:val="00E42A06"/>
    <w:rsid w:val="00E459C6"/>
    <w:rsid w:val="00E47589"/>
    <w:rsid w:val="00E63EC7"/>
    <w:rsid w:val="00E64915"/>
    <w:rsid w:val="00E64D3A"/>
    <w:rsid w:val="00E660CE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1E2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4EF1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1E36"/>
    <w:rsid w:val="00FE41CB"/>
    <w:rsid w:val="00FE71B3"/>
    <w:rsid w:val="00FF262A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3106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6D40D5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2044A4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2044A4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2044A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2044A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2044A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2044A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2044A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2044A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2044A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2044A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2044A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2044A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2044A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2044A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2044A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2044A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2044A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2044A4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2044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2044A4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2044A4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2044A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2044A4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2044A4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2044A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2044A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2044A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2044A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2044A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2044A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2044A4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2044A4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2044A4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2044A4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2044A4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2044A4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2044A4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2044A4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2044A4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2044A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2044A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2044A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2044A4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2044A4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2044A4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2044A4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A32F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FD7B7-3208-48AC-8064-1C297473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1889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2023-04-07T13:37:00Z</dcterms:created>
  <dcterms:modified xsi:type="dcterms:W3CDTF">2023-04-07T13:38:00Z</dcterms:modified>
  <cp:category/>
</cp:coreProperties>
</file>