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56C93" w14:textId="7777C271" w:rsidR="00787E12" w:rsidRPr="00144A99" w:rsidRDefault="00B51D5E" w:rsidP="00144A99">
      <w:pPr>
        <w:jc w:val="center"/>
      </w:pPr>
      <w:r>
        <w:t>EUROPEJSKI TRYBUNAŁ PRAW CZŁOWIEKA</w:t>
      </w:r>
    </w:p>
    <w:p w14:paraId="00131621" w14:textId="77777777" w:rsidR="00787E12" w:rsidRPr="00144A99" w:rsidRDefault="009459D3" w:rsidP="00144A99">
      <w:pPr>
        <w:jc w:val="center"/>
      </w:pPr>
    </w:p>
    <w:p w14:paraId="7744917A" w14:textId="3926E4FE" w:rsidR="00787E12" w:rsidRPr="00144A99" w:rsidRDefault="00860FA2" w:rsidP="00144A99">
      <w:pPr>
        <w:pStyle w:val="DecHCase"/>
      </w:pPr>
      <w:r>
        <w:t>SEKCJA PIERWSZA</w:t>
      </w:r>
    </w:p>
    <w:p w14:paraId="1C8DFCF2" w14:textId="392F9DFD" w:rsidR="006D324D" w:rsidRPr="00144A99" w:rsidRDefault="006D324D" w:rsidP="00144A99">
      <w:pPr>
        <w:pStyle w:val="JuTitle"/>
      </w:pPr>
      <w:bookmarkStart w:id="0" w:name="To"/>
      <w:r>
        <w:rPr>
          <w:color w:val="000000" w:themeColor="text1"/>
        </w:rPr>
        <w:t>SPRAWA</w:t>
      </w:r>
      <w:bookmarkEnd w:id="0"/>
      <w:r>
        <w:rPr>
          <w:color w:val="000000" w:themeColor="text1"/>
        </w:rPr>
        <w:t xml:space="preserve"> </w:t>
      </w:r>
      <w:r>
        <w:t>LEWIŃSKI PRZECIWKO POLSCE</w:t>
      </w:r>
    </w:p>
    <w:p w14:paraId="03D41C78" w14:textId="7E109C12" w:rsidR="006D324D" w:rsidRPr="00144A99" w:rsidRDefault="006D324D" w:rsidP="00144A99">
      <w:pPr>
        <w:pStyle w:val="ECHRCoverTitle4"/>
      </w:pPr>
      <w:r>
        <w:t>(Skarga nr 24730/20)</w:t>
      </w:r>
    </w:p>
    <w:p w14:paraId="7B54D72C" w14:textId="77777777" w:rsidR="006D324D" w:rsidRPr="00144A99" w:rsidRDefault="006D324D" w:rsidP="00144A99">
      <w:pPr>
        <w:pStyle w:val="DecHCase"/>
      </w:pPr>
    </w:p>
    <w:p w14:paraId="00CF99F1" w14:textId="77777777" w:rsidR="006D324D" w:rsidRPr="00144A99" w:rsidRDefault="006D324D" w:rsidP="00144A99">
      <w:pPr>
        <w:pStyle w:val="DecHCase"/>
      </w:pPr>
    </w:p>
    <w:p w14:paraId="375155D8" w14:textId="77777777" w:rsidR="00787E12" w:rsidRPr="00144A99" w:rsidRDefault="009459D3" w:rsidP="00144A99">
      <w:pPr>
        <w:pStyle w:val="DecHCase"/>
      </w:pPr>
    </w:p>
    <w:p w14:paraId="46570826" w14:textId="77777777" w:rsidR="00787E12" w:rsidRPr="00144A99" w:rsidRDefault="009459D3" w:rsidP="00144A99">
      <w:pPr>
        <w:pStyle w:val="DecHCase"/>
      </w:pPr>
    </w:p>
    <w:p w14:paraId="13E08674" w14:textId="77777777" w:rsidR="00787E12" w:rsidRPr="00144A99" w:rsidRDefault="009459D3" w:rsidP="00144A99">
      <w:pPr>
        <w:pStyle w:val="DecHCase"/>
      </w:pPr>
    </w:p>
    <w:p w14:paraId="2792D227" w14:textId="77777777" w:rsidR="00A062B9" w:rsidRPr="00144A99" w:rsidRDefault="009459D3" w:rsidP="00144A99">
      <w:pPr>
        <w:pStyle w:val="DecHCase"/>
      </w:pPr>
    </w:p>
    <w:p w14:paraId="4694FCFB" w14:textId="77777777" w:rsidR="00787E12" w:rsidRPr="00144A99" w:rsidRDefault="0048584C" w:rsidP="00144A99">
      <w:pPr>
        <w:pStyle w:val="DecHCase"/>
      </w:pPr>
      <w:r>
        <w:t>WYROK</w:t>
      </w:r>
    </w:p>
    <w:p w14:paraId="5CBA08B7" w14:textId="77777777" w:rsidR="00787E12" w:rsidRPr="00144A99" w:rsidRDefault="009459D3" w:rsidP="00144A99">
      <w:pPr>
        <w:jc w:val="center"/>
        <w:rPr>
          <w:i/>
        </w:rPr>
      </w:pPr>
    </w:p>
    <w:p w14:paraId="67ED4505" w14:textId="77777777" w:rsidR="00787E12" w:rsidRPr="00144A99" w:rsidRDefault="0048584C" w:rsidP="00144A99">
      <w:pPr>
        <w:pStyle w:val="DecHCase"/>
      </w:pPr>
      <w:r>
        <w:t>STRASBURG</w:t>
      </w:r>
    </w:p>
    <w:p w14:paraId="147DCA47" w14:textId="7A8A8698" w:rsidR="00787E12" w:rsidRPr="00144A99" w:rsidRDefault="009E33D2" w:rsidP="00144A99">
      <w:pPr>
        <w:pStyle w:val="DecHCase"/>
      </w:pPr>
      <w:r>
        <w:t>13 kwietnia 2023 r.</w:t>
      </w:r>
    </w:p>
    <w:p w14:paraId="38C5CA21" w14:textId="77777777" w:rsidR="00787E12" w:rsidRPr="00144A99" w:rsidRDefault="009459D3" w:rsidP="00144A99">
      <w:pPr>
        <w:jc w:val="center"/>
      </w:pPr>
    </w:p>
    <w:p w14:paraId="16E820A5" w14:textId="1EAC7779" w:rsidR="00787E12" w:rsidRPr="00144A99" w:rsidRDefault="0048584C" w:rsidP="00144A99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Wyrok ten </w:t>
      </w:r>
      <w:r w:rsidR="00C93A8A">
        <w:rPr>
          <w:i/>
          <w:sz w:val="22"/>
          <w:szCs w:val="22"/>
        </w:rPr>
        <w:t>jest</w:t>
      </w:r>
      <w:r>
        <w:rPr>
          <w:i/>
          <w:sz w:val="22"/>
          <w:szCs w:val="22"/>
        </w:rPr>
        <w:t xml:space="preserve"> ostateczny, lecz może podlegać korekcie wydawniczej.</w:t>
      </w:r>
    </w:p>
    <w:p w14:paraId="62390672" w14:textId="77777777" w:rsidR="00787E12" w:rsidRPr="00144A99" w:rsidRDefault="009459D3" w:rsidP="00144A99">
      <w:pPr>
        <w:pStyle w:val="JuCase"/>
        <w:jc w:val="left"/>
        <w:rPr>
          <w:sz w:val="22"/>
          <w:szCs w:val="22"/>
        </w:rPr>
        <w:sectPr w:rsidR="00787E12" w:rsidRPr="00144A99" w:rsidSect="00B9166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40B93F92" w14:textId="2E23437B" w:rsidR="00787E12" w:rsidRPr="00144A99" w:rsidRDefault="0048584C" w:rsidP="00144A99">
      <w:pPr>
        <w:pStyle w:val="JuCase"/>
        <w:rPr>
          <w:bCs/>
        </w:rPr>
      </w:pPr>
      <w:r>
        <w:lastRenderedPageBreak/>
        <w:t>W sprawie Lewiński przeciwko Polsce</w:t>
      </w:r>
    </w:p>
    <w:p w14:paraId="1DC89D0E" w14:textId="66E63F7F" w:rsidR="00787E12" w:rsidRPr="00144A99" w:rsidRDefault="0048584C" w:rsidP="00144A99">
      <w:pPr>
        <w:pStyle w:val="JuPara"/>
      </w:pPr>
      <w:r>
        <w:t>Europejski Trybunał Praw Człowieka (</w:t>
      </w:r>
      <w:r w:rsidR="00B51D5E">
        <w:t>Sekcja Pierwsza</w:t>
      </w:r>
      <w:r>
        <w:t>), zasiadając jako Komitet w składzie:</w:t>
      </w:r>
    </w:p>
    <w:p w14:paraId="343DF3D5" w14:textId="3B83C060" w:rsidR="002C5B23" w:rsidRPr="00144A99" w:rsidRDefault="002872CE" w:rsidP="00144A99">
      <w:pPr>
        <w:pStyle w:val="JuJudges"/>
      </w:pPr>
      <w:r>
        <w:tab/>
        <w:t xml:space="preserve">Alena </w:t>
      </w:r>
      <w:proofErr w:type="spellStart"/>
      <w:r>
        <w:t>Poláčková</w:t>
      </w:r>
      <w:proofErr w:type="spellEnd"/>
      <w:r>
        <w:rPr>
          <w:i/>
        </w:rPr>
        <w:t>, Pr</w:t>
      </w:r>
      <w:r>
        <w:t>z</w:t>
      </w:r>
      <w:r>
        <w:rPr>
          <w:i/>
          <w:iCs/>
        </w:rPr>
        <w:t>ewodnicząca</w:t>
      </w:r>
      <w:r>
        <w:t>,</w:t>
      </w:r>
      <w:r>
        <w:br/>
      </w:r>
      <w:r>
        <w:tab/>
        <w:t xml:space="preserve">Gilberto </w:t>
      </w:r>
      <w:proofErr w:type="spellStart"/>
      <w:r>
        <w:t>Felici</w:t>
      </w:r>
      <w:proofErr w:type="spellEnd"/>
      <w:r>
        <w:t>,</w:t>
      </w:r>
      <w:r>
        <w:br/>
      </w:r>
      <w:r>
        <w:tab/>
      </w:r>
      <w:proofErr w:type="spellStart"/>
      <w:r>
        <w:t>Raffaele</w:t>
      </w:r>
      <w:proofErr w:type="spellEnd"/>
      <w:r>
        <w:t xml:space="preserve"> </w:t>
      </w:r>
      <w:proofErr w:type="spellStart"/>
      <w:r>
        <w:t>Sabato</w:t>
      </w:r>
      <w:proofErr w:type="spellEnd"/>
      <w:r>
        <w:rPr>
          <w:i/>
        </w:rPr>
        <w:t xml:space="preserve">, </w:t>
      </w:r>
      <w:r w:rsidR="00C93A8A">
        <w:rPr>
          <w:i/>
        </w:rPr>
        <w:t>S</w:t>
      </w:r>
      <w:r>
        <w:rPr>
          <w:i/>
        </w:rPr>
        <w:t>ędziowie</w:t>
      </w:r>
      <w:r>
        <w:t>,</w:t>
      </w:r>
    </w:p>
    <w:p w14:paraId="47C012BD" w14:textId="44C7A714" w:rsidR="00787E12" w:rsidRPr="00144A99" w:rsidRDefault="0048584C" w:rsidP="00144A99">
      <w:pPr>
        <w:pStyle w:val="JuJudges"/>
      </w:pPr>
      <w:r>
        <w:t xml:space="preserve">oraz </w:t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 xml:space="preserve">, </w:t>
      </w:r>
      <w:r>
        <w:rPr>
          <w:i/>
        </w:rPr>
        <w:t>p.o. Zastępc</w:t>
      </w:r>
      <w:r w:rsidR="00B51D5E">
        <w:rPr>
          <w:i/>
        </w:rPr>
        <w:t>a</w:t>
      </w:r>
      <w:r>
        <w:rPr>
          <w:i/>
        </w:rPr>
        <w:t xml:space="preserve"> Kanclerza Sekcji,</w:t>
      </w:r>
    </w:p>
    <w:p w14:paraId="2E9BA6C4" w14:textId="2CFAB823" w:rsidR="00787E12" w:rsidRPr="00144A99" w:rsidRDefault="0048584C" w:rsidP="00144A99">
      <w:pPr>
        <w:pStyle w:val="JuPara"/>
      </w:pPr>
      <w:r>
        <w:t>obradując na posiedzeniu niejawnym w dniu 23 marca 2023 r.,</w:t>
      </w:r>
    </w:p>
    <w:p w14:paraId="24597955" w14:textId="77777777" w:rsidR="006372F5" w:rsidRPr="00144A99" w:rsidRDefault="0048584C" w:rsidP="00144A99">
      <w:pPr>
        <w:pStyle w:val="JuPara"/>
      </w:pPr>
      <w:r>
        <w:t>wydaje następujący wyrok, który został przyjęty w tym dniu:</w:t>
      </w:r>
    </w:p>
    <w:p w14:paraId="17907A56" w14:textId="77777777" w:rsidR="00860FA2" w:rsidRPr="00144A99" w:rsidRDefault="00860FA2" w:rsidP="00144A99">
      <w:pPr>
        <w:pStyle w:val="JuHHead"/>
      </w:pPr>
      <w:bookmarkStart w:id="1" w:name="ITMARKStartJudgment"/>
      <w:bookmarkEnd w:id="1"/>
      <w:r>
        <w:t>POSTĘPOWANIE</w:t>
      </w:r>
    </w:p>
    <w:p w14:paraId="1CB20186" w14:textId="23DA75C0" w:rsidR="00860FA2" w:rsidRPr="00144A99" w:rsidRDefault="00964ACC" w:rsidP="00144A99">
      <w:pPr>
        <w:pStyle w:val="JuPara"/>
      </w:pPr>
      <w:r>
        <w:rPr>
          <w:noProof/>
        </w:rPr>
        <w:t>1</w:t>
      </w:r>
      <w:r w:rsidR="00860FA2">
        <w:t>.</w:t>
      </w:r>
      <w:r w:rsidR="00826F51">
        <w:t xml:space="preserve"> </w:t>
      </w:r>
      <w:r w:rsidR="00860FA2">
        <w:t>Sprawa wywodzi się ze skargi przeciwko Polsce, wniesionej do</w:t>
      </w:r>
      <w:r w:rsidR="00826F51">
        <w:t> </w:t>
      </w:r>
      <w:r w:rsidR="00860FA2">
        <w:t>Trybunału w dniu 28 maja 2020 r. na podstawie art. 34 Konwencji o</w:t>
      </w:r>
      <w:r w:rsidR="00826F51">
        <w:t> </w:t>
      </w:r>
      <w:r w:rsidR="00860FA2">
        <w:t>ochronie praw człowieka i podstawowych wolności („Konwencj</w:t>
      </w:r>
      <w:r w:rsidR="00C93A8A">
        <w:t>a</w:t>
      </w:r>
      <w:r w:rsidR="00860FA2">
        <w:t>”).</w:t>
      </w:r>
    </w:p>
    <w:p w14:paraId="73F121B5" w14:textId="5F080E21" w:rsidR="00860FA2" w:rsidRPr="00144A99" w:rsidRDefault="00964ACC" w:rsidP="00144A99">
      <w:pPr>
        <w:pStyle w:val="JuPara"/>
      </w:pPr>
      <w:r>
        <w:rPr>
          <w:noProof/>
        </w:rPr>
        <w:t>2</w:t>
      </w:r>
      <w:r w:rsidR="00860FA2">
        <w:t>.</w:t>
      </w:r>
      <w:r w:rsidR="00826F51">
        <w:t xml:space="preserve"> </w:t>
      </w:r>
      <w:r w:rsidR="00860FA2">
        <w:t xml:space="preserve">Skarżący był reprezentowany przez p. M. Gąsiorowską, </w:t>
      </w:r>
      <w:r w:rsidR="00C93A8A">
        <w:t>adwokat</w:t>
      </w:r>
      <w:r w:rsidR="00860FA2">
        <w:t xml:space="preserve"> prowadzącą kancelarię w Warszawie.</w:t>
      </w:r>
    </w:p>
    <w:p w14:paraId="2D1D7EA1" w14:textId="16A7D11B" w:rsidR="00C93A8A" w:rsidRDefault="00964ACC" w:rsidP="00C93A8A">
      <w:pPr>
        <w:pStyle w:val="JuPara"/>
      </w:pPr>
      <w:r>
        <w:rPr>
          <w:noProof/>
        </w:rPr>
        <w:t>3</w:t>
      </w:r>
      <w:r w:rsidR="00860FA2">
        <w:t>.</w:t>
      </w:r>
      <w:r w:rsidR="00826F51">
        <w:t xml:space="preserve"> </w:t>
      </w:r>
      <w:r w:rsidR="00C93A8A">
        <w:t xml:space="preserve">Skarga została zakomunikowana </w:t>
      </w:r>
      <w:r w:rsidR="00860FA2">
        <w:t>Rząd</w:t>
      </w:r>
      <w:r w:rsidR="00C93A8A">
        <w:t>owi</w:t>
      </w:r>
      <w:r w:rsidR="00860FA2">
        <w:t xml:space="preserve"> („Rząd”)</w:t>
      </w:r>
      <w:r w:rsidR="00C93A8A">
        <w:t>.</w:t>
      </w:r>
    </w:p>
    <w:p w14:paraId="255A0727" w14:textId="77777777" w:rsidR="00C93A8A" w:rsidRDefault="00C93A8A" w:rsidP="00C93A8A">
      <w:pPr>
        <w:pStyle w:val="JuPara"/>
      </w:pPr>
    </w:p>
    <w:p w14:paraId="16CA3A50" w14:textId="5F8FA92D" w:rsidR="00860FA2" w:rsidRPr="00144A99" w:rsidRDefault="00860FA2" w:rsidP="00C93A8A">
      <w:pPr>
        <w:pStyle w:val="JuPara"/>
      </w:pPr>
      <w:r>
        <w:t>FAKTY</w:t>
      </w:r>
    </w:p>
    <w:p w14:paraId="672BCC0D" w14:textId="09AB88CD" w:rsidR="00860FA2" w:rsidRPr="00144A99" w:rsidRDefault="00964ACC" w:rsidP="00144A99">
      <w:pPr>
        <w:pStyle w:val="JuPara"/>
      </w:pPr>
      <w:r>
        <w:rPr>
          <w:noProof/>
        </w:rPr>
        <w:t>4</w:t>
      </w:r>
      <w:r w:rsidR="00860FA2">
        <w:t>.</w:t>
      </w:r>
      <w:r w:rsidR="00826F51">
        <w:t xml:space="preserve"> </w:t>
      </w:r>
      <w:r w:rsidR="00860FA2">
        <w:t>Dane skarżącego oraz informacje istotne dla skargi zostały przedstawione w załączonej tabeli.</w:t>
      </w:r>
    </w:p>
    <w:p w14:paraId="16400962" w14:textId="1DC3F067" w:rsidR="00860FA2" w:rsidRPr="00144A99" w:rsidRDefault="00964ACC" w:rsidP="00144A99">
      <w:pPr>
        <w:pStyle w:val="JuPara"/>
      </w:pPr>
      <w:r>
        <w:rPr>
          <w:noProof/>
        </w:rPr>
        <w:t>5</w:t>
      </w:r>
      <w:r w:rsidR="00860FA2">
        <w:t>.</w:t>
      </w:r>
      <w:r w:rsidR="00826F51">
        <w:t xml:space="preserve"> </w:t>
      </w:r>
      <w:r w:rsidR="00860FA2">
        <w:rPr>
          <w:color w:val="000000"/>
        </w:rPr>
        <w:t>Skarżący zarzucił przewlekłość postępowania cywilnego oraz brak skutecznego środka odwoławczego w prawie krajowym</w:t>
      </w:r>
      <w:r w:rsidR="00860FA2">
        <w:rPr>
          <w:bCs/>
          <w:color w:val="000000"/>
        </w:rPr>
        <w:t>.</w:t>
      </w:r>
      <w:r w:rsidR="00860FA2">
        <w:t xml:space="preserve"> Skarżący </w:t>
      </w:r>
      <w:r w:rsidR="00EC6AF1">
        <w:t>podniósł</w:t>
      </w:r>
      <w:r w:rsidR="00860FA2">
        <w:t xml:space="preserve"> również na podstawie art. 6 ust. 1 Konwencji, że długość postępowania wpłynęła na jego prawo dostępu do sądu.</w:t>
      </w:r>
    </w:p>
    <w:p w14:paraId="31B4B557" w14:textId="77777777" w:rsidR="00860FA2" w:rsidRPr="00144A99" w:rsidRDefault="00860FA2" w:rsidP="00144A99">
      <w:pPr>
        <w:pStyle w:val="JuHHead"/>
      </w:pPr>
      <w:r>
        <w:t>PRAWO</w:t>
      </w:r>
    </w:p>
    <w:p w14:paraId="7C9DA20B" w14:textId="45C3FEBF" w:rsidR="00860FA2" w:rsidRPr="00144A99" w:rsidRDefault="00860FA2" w:rsidP="00144A99">
      <w:pPr>
        <w:pStyle w:val="JuHIRoman"/>
      </w:pPr>
      <w:r>
        <w:t>ZARZUCANE NARUSZENIE ART. 6 UST. 1 I 13 KONWENCJI</w:t>
      </w:r>
    </w:p>
    <w:p w14:paraId="465E7F39" w14:textId="3966A242" w:rsidR="00860FA2" w:rsidRPr="00144A99" w:rsidRDefault="00964ACC" w:rsidP="00144A99">
      <w:pPr>
        <w:pStyle w:val="JuPara"/>
      </w:pPr>
      <w:r>
        <w:rPr>
          <w:noProof/>
        </w:rPr>
        <w:t>6</w:t>
      </w:r>
      <w:r w:rsidR="00860FA2">
        <w:t>.</w:t>
      </w:r>
      <w:r w:rsidR="00826F51">
        <w:t xml:space="preserve"> </w:t>
      </w:r>
      <w:r w:rsidR="00860FA2">
        <w:t>Skarżący zarzucił przede wszystkim, że długość przedmiotowego postępowania cywilnego była niezgodna z wymogiem „rozsądnego terminu” i że w związku z tym był pozbawiony skutecznego środka odwoławczego. Skarżący powołał się na art. 6 ust. 1 i art. 13 Konwencji, które stanowią:</w:t>
      </w:r>
    </w:p>
    <w:p w14:paraId="32439808" w14:textId="77777777" w:rsidR="00860FA2" w:rsidRPr="00144A99" w:rsidRDefault="00860FA2" w:rsidP="00144A99">
      <w:pPr>
        <w:pStyle w:val="JuHArticle"/>
      </w:pPr>
      <w:r>
        <w:t>Artykuł 6 ust. 1</w:t>
      </w:r>
    </w:p>
    <w:p w14:paraId="662C3B14" w14:textId="77777777" w:rsidR="00860FA2" w:rsidRPr="00144A99" w:rsidRDefault="00860FA2" w:rsidP="00144A99">
      <w:pPr>
        <w:pStyle w:val="JuQuot"/>
      </w:pPr>
      <w:r>
        <w:t>„Każdy ma prawo do […] rozpatrzenia jego sprawy w rozsądnym terminie przez […] sąd […] przy rozstrzyganiu o jego prawach i obowiązkach o charakterze cywilnym […]”.</w:t>
      </w:r>
    </w:p>
    <w:p w14:paraId="49E355BE" w14:textId="77777777" w:rsidR="00860FA2" w:rsidRPr="00144A99" w:rsidRDefault="00860FA2" w:rsidP="00144A99">
      <w:pPr>
        <w:pStyle w:val="JuHArticle"/>
      </w:pPr>
      <w:r>
        <w:lastRenderedPageBreak/>
        <w:t>Artykuł 13</w:t>
      </w:r>
    </w:p>
    <w:p w14:paraId="315D2DF2" w14:textId="52FF1C31" w:rsidR="00860FA2" w:rsidRPr="00144A99" w:rsidRDefault="00860FA2" w:rsidP="00144A99">
      <w:pPr>
        <w:pStyle w:val="JuQuot"/>
      </w:pPr>
      <w:r>
        <w:t>„</w:t>
      </w:r>
      <w:r w:rsidR="00B51D5E" w:rsidRPr="00B51D5E">
        <w:t>Każdy, czyje prawa i wolności zawarte w niniejszej Konwencji zostały naruszone, ma prawo do skutecznego środka odwoławczego do właściwego organu państwowego także wówczas, gdy naruszenia dokonały osoby wykonujące swoje funkcje urzędowe</w:t>
      </w:r>
      <w:r>
        <w:t>”.</w:t>
      </w:r>
    </w:p>
    <w:p w14:paraId="5EB8612C" w14:textId="49FD0282" w:rsidR="00860FA2" w:rsidRPr="00144A99" w:rsidRDefault="00964ACC" w:rsidP="00144A99">
      <w:pPr>
        <w:pStyle w:val="JuPara"/>
        <w:rPr>
          <w:strike/>
        </w:rPr>
      </w:pPr>
      <w:r>
        <w:rPr>
          <w:noProof/>
        </w:rPr>
        <w:t>7</w:t>
      </w:r>
      <w:r w:rsidR="006607A9">
        <w:t>.</w:t>
      </w:r>
      <w:r w:rsidR="00826F51">
        <w:t xml:space="preserve"> </w:t>
      </w:r>
      <w:r w:rsidR="006607A9">
        <w:t xml:space="preserve">Trybunał podkreśla, że </w:t>
      </w:r>
      <w:r w:rsidR="00C32A53">
        <w:t>rozsądny</w:t>
      </w:r>
      <w:r w:rsidR="006607A9">
        <w:t xml:space="preserve"> czas postępowania należy oceniać w</w:t>
      </w:r>
      <w:r w:rsidR="00826F51">
        <w:t> </w:t>
      </w:r>
      <w:r w:rsidR="006607A9">
        <w:t xml:space="preserve">świetle okoliczności sprawy i z uwzględnieniem następujących kryteriów: złożoności sprawy, </w:t>
      </w:r>
      <w:r w:rsidR="00B51D5E">
        <w:t>postępowania</w:t>
      </w:r>
      <w:r w:rsidR="006607A9">
        <w:t xml:space="preserve"> skarżącego i </w:t>
      </w:r>
      <w:r w:rsidR="008A77A1">
        <w:t xml:space="preserve">właściwych </w:t>
      </w:r>
      <w:r w:rsidR="006607A9">
        <w:t>organów oraz znaczenia sprawy dla interesów skarżącego (zob. m.in. </w:t>
      </w:r>
      <w:proofErr w:type="spellStart"/>
      <w:r w:rsidR="006607A9">
        <w:rPr>
          <w:i/>
        </w:rPr>
        <w:t>Frydlender</w:t>
      </w:r>
      <w:proofErr w:type="spellEnd"/>
      <w:r w:rsidR="006607A9">
        <w:rPr>
          <w:i/>
        </w:rPr>
        <w:t xml:space="preserve"> </w:t>
      </w:r>
      <w:r w:rsidR="006607A9">
        <w:rPr>
          <w:i/>
          <w:iCs/>
        </w:rPr>
        <w:t>przeciwko Francji</w:t>
      </w:r>
      <w:r w:rsidR="006607A9">
        <w:rPr>
          <w:i/>
        </w:rPr>
        <w:t xml:space="preserve"> </w:t>
      </w:r>
      <w:r w:rsidR="006607A9">
        <w:t>[</w:t>
      </w:r>
      <w:proofErr w:type="spellStart"/>
      <w:r w:rsidR="006607A9">
        <w:t>WI</w:t>
      </w:r>
      <w:proofErr w:type="spellEnd"/>
      <w:r w:rsidR="006607A9">
        <w:t>], nr 30979/96, § 43, ETPC 2000-VII).</w:t>
      </w:r>
    </w:p>
    <w:p w14:paraId="6274C107" w14:textId="2EFDC661" w:rsidR="00860FA2" w:rsidRPr="00144A99" w:rsidRDefault="00964ACC" w:rsidP="00144A99">
      <w:pPr>
        <w:pStyle w:val="JuPara"/>
      </w:pPr>
      <w:r>
        <w:rPr>
          <w:noProof/>
        </w:rPr>
        <w:t>8</w:t>
      </w:r>
      <w:r w:rsidR="00860FA2">
        <w:t>.</w:t>
      </w:r>
      <w:r w:rsidR="00826F51">
        <w:t xml:space="preserve"> </w:t>
      </w:r>
      <w:r w:rsidR="00860FA2">
        <w:t xml:space="preserve">W wiodącej sprawie </w:t>
      </w:r>
      <w:r w:rsidR="00860FA2">
        <w:rPr>
          <w:i/>
          <w:iCs/>
        </w:rPr>
        <w:t>Rutkowski i Inni przeciwko Polsce</w:t>
      </w:r>
      <w:r w:rsidR="00860FA2">
        <w:t>, nr 72287/10 i</w:t>
      </w:r>
      <w:r w:rsidR="00826F51">
        <w:t> </w:t>
      </w:r>
      <w:r w:rsidR="00860FA2">
        <w:t>2</w:t>
      </w:r>
      <w:r w:rsidR="00826F51">
        <w:t> </w:t>
      </w:r>
      <w:r w:rsidR="00C32A53">
        <w:t>inn</w:t>
      </w:r>
      <w:r w:rsidR="008A77A1">
        <w:t>e</w:t>
      </w:r>
      <w:r w:rsidR="00860FA2">
        <w:t xml:space="preserve">, </w:t>
      </w:r>
      <w:r w:rsidR="008A77A1">
        <w:t xml:space="preserve">w wyroku z dnia </w:t>
      </w:r>
      <w:r w:rsidR="00860FA2">
        <w:t>7 lipca 2015 r., Trybunał stwierdził już naruszenie w odniesieniu do kwestii podobnych do tych w niniejszej sprawie.</w:t>
      </w:r>
    </w:p>
    <w:p w14:paraId="341E26E6" w14:textId="5D63C057" w:rsidR="00860FA2" w:rsidRPr="00144A99" w:rsidRDefault="00964ACC" w:rsidP="00144A99">
      <w:pPr>
        <w:pStyle w:val="JuPara"/>
      </w:pPr>
      <w:r>
        <w:rPr>
          <w:noProof/>
        </w:rPr>
        <w:t>9</w:t>
      </w:r>
      <w:r w:rsidR="00860FA2">
        <w:t>.</w:t>
      </w:r>
      <w:r w:rsidR="00826F51">
        <w:t xml:space="preserve"> </w:t>
      </w:r>
      <w:r w:rsidR="00860FA2">
        <w:t xml:space="preserve">Po zapoznaniu się z całym przedstawionym mu materiałem Trybunał nie </w:t>
      </w:r>
      <w:r w:rsidR="008A77A1">
        <w:t>stwierdził</w:t>
      </w:r>
      <w:r w:rsidR="00860FA2">
        <w:t xml:space="preserve"> żadnego faktu ani argumentu mogącego uzasadnić łączną długość postępowania </w:t>
      </w:r>
      <w:r w:rsidR="00C32A53">
        <w:t>krajowego</w:t>
      </w:r>
      <w:r w:rsidR="00860FA2">
        <w:t>. Mając na względzie swoje orzecznictwo, Trybunał stwierdza, że długość postępowania w przedmiotowej sprawie była nadmierna i nie spełniała wymogu „rozsądnego terminu”.</w:t>
      </w:r>
    </w:p>
    <w:p w14:paraId="03C71AFA" w14:textId="06261D1D" w:rsidR="00860FA2" w:rsidRPr="00144A99" w:rsidRDefault="00964ACC" w:rsidP="00144A99">
      <w:pPr>
        <w:pStyle w:val="JuPara"/>
      </w:pPr>
      <w:r>
        <w:rPr>
          <w:noProof/>
        </w:rPr>
        <w:t>10</w:t>
      </w:r>
      <w:r w:rsidR="00860FA2">
        <w:t>.</w:t>
      </w:r>
      <w:r w:rsidR="00826F51">
        <w:t xml:space="preserve"> </w:t>
      </w:r>
      <w:r w:rsidR="00860FA2">
        <w:t xml:space="preserve">Trybunał zauważa ponadto, że skarżący nie miał do dyspozycji skutecznego środka odwoławczego w odniesieniu do tych </w:t>
      </w:r>
      <w:r w:rsidR="008A77A1">
        <w:t>zarzutów</w:t>
      </w:r>
      <w:r w:rsidR="00860FA2">
        <w:t>.</w:t>
      </w:r>
    </w:p>
    <w:p w14:paraId="08629EFF" w14:textId="04998470" w:rsidR="00860FA2" w:rsidRPr="00144A99" w:rsidRDefault="00964ACC" w:rsidP="00144A99">
      <w:pPr>
        <w:pStyle w:val="JuPara"/>
      </w:pPr>
      <w:r>
        <w:rPr>
          <w:noProof/>
        </w:rPr>
        <w:t>11</w:t>
      </w:r>
      <w:r w:rsidR="00860FA2">
        <w:t>.</w:t>
      </w:r>
      <w:r w:rsidR="00826F51">
        <w:t xml:space="preserve"> </w:t>
      </w:r>
      <w:r w:rsidR="008A77A1">
        <w:t>Zarzuty s</w:t>
      </w:r>
      <w:r w:rsidR="00860FA2">
        <w:t>kargi są zatem dopuszczalne i ujawniają naruszenie art. 6 ust.</w:t>
      </w:r>
      <w:r w:rsidR="00826F51">
        <w:t> </w:t>
      </w:r>
      <w:r w:rsidR="00860FA2">
        <w:t>1 oraz art. 13 Konwencji.</w:t>
      </w:r>
    </w:p>
    <w:p w14:paraId="4A7A5CA0" w14:textId="77777777" w:rsidR="00860FA2" w:rsidRPr="00144A99" w:rsidRDefault="00860FA2" w:rsidP="00144A99">
      <w:pPr>
        <w:pStyle w:val="JuHIRoman"/>
      </w:pPr>
      <w:r>
        <w:t>POZOSTAŁE SKARGI</w:t>
      </w:r>
    </w:p>
    <w:p w14:paraId="5340449C" w14:textId="75A3C0F1" w:rsidR="00860FA2" w:rsidRPr="00144A99" w:rsidRDefault="00964ACC" w:rsidP="00144A99">
      <w:pPr>
        <w:pStyle w:val="JuPara"/>
      </w:pPr>
      <w:r>
        <w:rPr>
          <w:noProof/>
        </w:rPr>
        <w:t>12</w:t>
      </w:r>
      <w:r w:rsidR="00860FA2">
        <w:t>.</w:t>
      </w:r>
      <w:r w:rsidR="00826F51">
        <w:t xml:space="preserve"> </w:t>
      </w:r>
      <w:r w:rsidR="00860FA2">
        <w:t>Skarżący zarzucił również na podstawie art. 6 ust. 1 Konwencji, że</w:t>
      </w:r>
      <w:r w:rsidR="00826F51">
        <w:t> </w:t>
      </w:r>
      <w:r w:rsidR="00860FA2">
        <w:t>długość postępowania wpłynęła na jego prawo dostępu do sądu.</w:t>
      </w:r>
    </w:p>
    <w:p w14:paraId="6394F062" w14:textId="1332C957" w:rsidR="00860FA2" w:rsidRPr="00144A99" w:rsidRDefault="00964ACC" w:rsidP="00144A99">
      <w:pPr>
        <w:pStyle w:val="JuPara"/>
      </w:pPr>
      <w:r>
        <w:rPr>
          <w:noProof/>
        </w:rPr>
        <w:t>13</w:t>
      </w:r>
      <w:r w:rsidR="006607A9">
        <w:t>.</w:t>
      </w:r>
      <w:r w:rsidR="00826F51">
        <w:t xml:space="preserve"> </w:t>
      </w:r>
      <w:r w:rsidR="006607A9">
        <w:t xml:space="preserve">Mając na uwadze fakty sprawy, oświadczenia stron oraz swoje ustalenia poczynione powyżej, Trybunał uważa, że zajął się głównymi kwestiami prawnymi podniesionymi w sprawie i nie ma potrzeby rozpatrywania </w:t>
      </w:r>
      <w:r w:rsidR="00C32A53">
        <w:t>skargi w pozostałym zakresie</w:t>
      </w:r>
      <w:r w:rsidR="006607A9">
        <w:t xml:space="preserve"> (zob. </w:t>
      </w:r>
      <w:r w:rsidR="006607A9">
        <w:rPr>
          <w:i/>
          <w:iCs/>
        </w:rPr>
        <w:t xml:space="preserve">Centre for </w:t>
      </w:r>
      <w:proofErr w:type="spellStart"/>
      <w:r w:rsidR="006607A9">
        <w:rPr>
          <w:i/>
          <w:iCs/>
        </w:rPr>
        <w:t>Legal</w:t>
      </w:r>
      <w:proofErr w:type="spellEnd"/>
      <w:r w:rsidR="006607A9">
        <w:rPr>
          <w:i/>
          <w:iCs/>
        </w:rPr>
        <w:t xml:space="preserve"> </w:t>
      </w:r>
      <w:proofErr w:type="spellStart"/>
      <w:r w:rsidR="006607A9">
        <w:rPr>
          <w:i/>
          <w:iCs/>
        </w:rPr>
        <w:t>Resources</w:t>
      </w:r>
      <w:proofErr w:type="spellEnd"/>
      <w:r w:rsidR="006607A9">
        <w:rPr>
          <w:i/>
          <w:iCs/>
        </w:rPr>
        <w:t xml:space="preserve"> w imieniu Valentina </w:t>
      </w:r>
      <w:proofErr w:type="spellStart"/>
      <w:r w:rsidR="006607A9">
        <w:rPr>
          <w:i/>
          <w:iCs/>
        </w:rPr>
        <w:t>Câmpeanu</w:t>
      </w:r>
      <w:proofErr w:type="spellEnd"/>
      <w:r w:rsidR="006607A9">
        <w:rPr>
          <w:i/>
          <w:iCs/>
        </w:rPr>
        <w:t xml:space="preserve"> przeciwko Rumunii</w:t>
      </w:r>
      <w:r w:rsidR="006607A9">
        <w:t xml:space="preserve"> [</w:t>
      </w:r>
      <w:proofErr w:type="spellStart"/>
      <w:r w:rsidR="006607A9">
        <w:t>WI</w:t>
      </w:r>
      <w:proofErr w:type="spellEnd"/>
      <w:r w:rsidR="006607A9">
        <w:t>], nr</w:t>
      </w:r>
      <w:r w:rsidR="00826F51">
        <w:t> </w:t>
      </w:r>
      <w:r w:rsidR="006607A9">
        <w:t>47848/08, § 156, ETPC 2014).</w:t>
      </w:r>
    </w:p>
    <w:p w14:paraId="63D6C607" w14:textId="77777777" w:rsidR="00860FA2" w:rsidRPr="00144A99" w:rsidRDefault="00860FA2" w:rsidP="00144A99">
      <w:pPr>
        <w:pStyle w:val="JuHIRoman"/>
      </w:pPr>
      <w:r>
        <w:t>ZASTOSOWANIE ART. 41 KONWENCJI</w:t>
      </w:r>
    </w:p>
    <w:p w14:paraId="4177DFFF" w14:textId="03B4C38E" w:rsidR="00860FA2" w:rsidRPr="00144A99" w:rsidRDefault="00964ACC" w:rsidP="00144A99">
      <w:pPr>
        <w:pStyle w:val="JuPara"/>
      </w:pPr>
      <w:r>
        <w:rPr>
          <w:noProof/>
        </w:rPr>
        <w:t>14</w:t>
      </w:r>
      <w:r w:rsidR="00860FA2">
        <w:t>.</w:t>
      </w:r>
      <w:r w:rsidR="00826F51">
        <w:t xml:space="preserve"> </w:t>
      </w:r>
      <w:r w:rsidR="00860FA2">
        <w:t>Artykuł 41 Konwencji stanowi:</w:t>
      </w:r>
    </w:p>
    <w:p w14:paraId="2ED9113B" w14:textId="03EBC2CF" w:rsidR="00860FA2" w:rsidRPr="00144A99" w:rsidRDefault="00860FA2" w:rsidP="00144A99">
      <w:pPr>
        <w:pStyle w:val="JuQuot"/>
        <w:keepNext/>
        <w:keepLines/>
      </w:pPr>
      <w:r>
        <w:t>„</w:t>
      </w:r>
      <w:r w:rsidR="00B51D5E" w:rsidRPr="00B51D5E">
        <w:t>Jeśli Trybunał stwierdzi, że nastąpiło naruszenie Konwencji lub jej protokołów, oraz jeśli prawo wewnętrzne zainteresowanej Wysokiej Układającej się Strony pozwala tylko na częściowe usunięcie konsekwencji tego naruszenia, Trybunał orzeka, gdy</w:t>
      </w:r>
      <w:r w:rsidR="00826F51">
        <w:t> </w:t>
      </w:r>
      <w:r w:rsidR="00B51D5E" w:rsidRPr="00B51D5E">
        <w:t>zachodzi potrzeba, słuszne zadośćuczynienie pokrzywdzonej stronie</w:t>
      </w:r>
      <w:r>
        <w:t>”.</w:t>
      </w:r>
    </w:p>
    <w:p w14:paraId="5876C4DF" w14:textId="1268289C" w:rsidR="00860FA2" w:rsidRPr="00144A99" w:rsidRDefault="00964ACC" w:rsidP="00144A99">
      <w:pPr>
        <w:pStyle w:val="JuPara"/>
      </w:pPr>
      <w:r>
        <w:rPr>
          <w:noProof/>
        </w:rPr>
        <w:t>15</w:t>
      </w:r>
      <w:r w:rsidR="00860FA2">
        <w:t>.</w:t>
      </w:r>
      <w:r w:rsidR="00826F51">
        <w:t xml:space="preserve"> </w:t>
      </w:r>
      <w:r w:rsidR="00860FA2">
        <w:t>Uwzględniając dokumenty znajdujące się w jego posiadaniu oraz swoje orzecznictwo</w:t>
      </w:r>
      <w:r w:rsidR="000B0AEB">
        <w:t xml:space="preserve"> </w:t>
      </w:r>
      <w:r w:rsidR="00860FA2">
        <w:noBreakHyphen/>
        <w:t xml:space="preserve"> (zob. w szczególności wyrok w sprawie </w:t>
      </w:r>
      <w:r w:rsidR="00860FA2">
        <w:rPr>
          <w:i/>
          <w:iCs/>
        </w:rPr>
        <w:t>Rutkowski i</w:t>
      </w:r>
      <w:r w:rsidR="00826F51">
        <w:rPr>
          <w:i/>
          <w:iCs/>
        </w:rPr>
        <w:t> </w:t>
      </w:r>
      <w:r w:rsidR="00860FA2">
        <w:rPr>
          <w:i/>
          <w:iCs/>
        </w:rPr>
        <w:t>Inni</w:t>
      </w:r>
      <w:r w:rsidR="008A77A1">
        <w:rPr>
          <w:i/>
          <w:iCs/>
        </w:rPr>
        <w:t>, cyt. powyżej</w:t>
      </w:r>
      <w:r w:rsidR="00860FA2">
        <w:t>), Trybunał uważa za zasadne zasądzenie kwot wskazanych w załączonej tabeli.</w:t>
      </w:r>
    </w:p>
    <w:p w14:paraId="5F6B80F1" w14:textId="77777777" w:rsidR="00860FA2" w:rsidRPr="00144A99" w:rsidRDefault="00860FA2" w:rsidP="00144A99">
      <w:pPr>
        <w:pStyle w:val="JuHHead"/>
      </w:pPr>
      <w:r>
        <w:lastRenderedPageBreak/>
        <w:t>Z POWYŻSZYCH WZGLĘDÓW TRYBUNAŁ JEDNOGŁOŚNIE</w:t>
      </w:r>
    </w:p>
    <w:p w14:paraId="3A3E86E7" w14:textId="12807CEB" w:rsidR="00860FA2" w:rsidRPr="00144A99" w:rsidRDefault="00860FA2" w:rsidP="00144A99">
      <w:pPr>
        <w:pStyle w:val="JuList"/>
      </w:pPr>
      <w:r>
        <w:rPr>
          <w:i/>
          <w:iCs/>
        </w:rPr>
        <w:t>uznaje</w:t>
      </w:r>
      <w:r>
        <w:t xml:space="preserve"> </w:t>
      </w:r>
      <w:r w:rsidR="008A77A1">
        <w:t xml:space="preserve">zarzuty </w:t>
      </w:r>
      <w:r>
        <w:t xml:space="preserve">skargi dotyczące </w:t>
      </w:r>
      <w:r>
        <w:rPr>
          <w:rStyle w:val="JuParaChar"/>
        </w:rPr>
        <w:t>przewlekłości postępowania cywilnego</w:t>
      </w:r>
      <w:r>
        <w:t xml:space="preserve"> i</w:t>
      </w:r>
      <w:r w:rsidR="00826F51">
        <w:t> </w:t>
      </w:r>
      <w:r>
        <w:t>braku skutecznego środka odwoławczego w prawie krajowym za</w:t>
      </w:r>
      <w:r w:rsidR="00826F51">
        <w:t> </w:t>
      </w:r>
      <w:r>
        <w:t xml:space="preserve">dopuszczalne i </w:t>
      </w:r>
      <w:r>
        <w:rPr>
          <w:i/>
          <w:iCs/>
        </w:rPr>
        <w:t>postanawia</w:t>
      </w:r>
      <w:r>
        <w:t xml:space="preserve">, że nie ma potrzeby badania pozostałych </w:t>
      </w:r>
      <w:r w:rsidR="008A77A1">
        <w:t xml:space="preserve">zarzutów </w:t>
      </w:r>
      <w:r>
        <w:t>skarg</w:t>
      </w:r>
      <w:r w:rsidR="008A77A1">
        <w:t>i</w:t>
      </w:r>
      <w:r>
        <w:t xml:space="preserve"> </w:t>
      </w:r>
      <w:r w:rsidR="008A77A1">
        <w:t xml:space="preserve">podniesionych </w:t>
      </w:r>
      <w:r>
        <w:t>przez skarżącego na podstawie art. 6 Konwencji;</w:t>
      </w:r>
    </w:p>
    <w:p w14:paraId="0BCA0E3C" w14:textId="529C77F6" w:rsidR="00860FA2" w:rsidRPr="00144A99" w:rsidRDefault="00860FA2" w:rsidP="00144A99">
      <w:pPr>
        <w:pStyle w:val="JuList"/>
      </w:pPr>
      <w:r>
        <w:rPr>
          <w:i/>
          <w:iCs/>
        </w:rPr>
        <w:t>stwierdza</w:t>
      </w:r>
      <w:r>
        <w:t xml:space="preserve">, że </w:t>
      </w:r>
      <w:r w:rsidR="008A77A1">
        <w:t xml:space="preserve">powyższe zarzuty </w:t>
      </w:r>
      <w:r>
        <w:t>skargi ujawniają naruszenie art. 6 ust. 1 i</w:t>
      </w:r>
      <w:r w:rsidR="00826F51">
        <w:t> </w:t>
      </w:r>
      <w:r>
        <w:t>art. 13 Konwencji dotyczące przewlekłości postępowania cywilnego i</w:t>
      </w:r>
      <w:r w:rsidR="00826F51">
        <w:t> </w:t>
      </w:r>
      <w:r>
        <w:t>braku skutecznego środka odwoławczego w prawie krajowym;</w:t>
      </w:r>
    </w:p>
    <w:p w14:paraId="6190BDC1" w14:textId="77777777" w:rsidR="00860FA2" w:rsidRPr="00144A99" w:rsidRDefault="00860FA2" w:rsidP="00144A99">
      <w:pPr>
        <w:pStyle w:val="JuList"/>
      </w:pPr>
      <w:r>
        <w:rPr>
          <w:i/>
          <w:iCs/>
        </w:rPr>
        <w:t>stwierdza</w:t>
      </w:r>
    </w:p>
    <w:p w14:paraId="08CC8A88" w14:textId="6D2DFF89" w:rsidR="00860FA2" w:rsidRPr="00144A99" w:rsidRDefault="00860FA2" w:rsidP="00144A99">
      <w:pPr>
        <w:pStyle w:val="JuLista"/>
      </w:pPr>
      <w:r>
        <w:t xml:space="preserve">że pozwane państwo </w:t>
      </w:r>
      <w:r w:rsidR="000B0AEB">
        <w:t>po</w:t>
      </w:r>
      <w:r>
        <w:t>winno, w terminie trzech miesięcy, uiścić na</w:t>
      </w:r>
      <w:r w:rsidR="00826F51">
        <w:t> </w:t>
      </w:r>
      <w:r>
        <w:t>rzecz skarżącego kwoty wskazane w załączonej tabeli, przeliczone na walutę pozwanego państwa według kursu obowiązującego w dniu płatności:</w:t>
      </w:r>
    </w:p>
    <w:p w14:paraId="29EB28B9" w14:textId="12EBC812" w:rsidR="00787E12" w:rsidRPr="00144A99" w:rsidRDefault="00860FA2" w:rsidP="00144A99">
      <w:pPr>
        <w:pStyle w:val="JuLista"/>
      </w:pPr>
      <w:r>
        <w:t>że od upływu wyżej wskazanego terminu trzech miesięcy aż do momentu uregulowania należności, należne będą odsetki zwykłe od</w:t>
      </w:r>
      <w:r w:rsidR="00826F51">
        <w:t> </w:t>
      </w:r>
      <w:r>
        <w:t>określonej powyżej kwoty, naliczone według stopy równej marginalnej stopie procentowej Europejskiego Banku Centralnego obowiązującej w tym okresie, powiększonej o trzy punkty procentowe;</w:t>
      </w:r>
    </w:p>
    <w:p w14:paraId="3D860637" w14:textId="4CB5882F" w:rsidR="00C43D38" w:rsidRPr="00144A99" w:rsidRDefault="0048584C" w:rsidP="00144A99">
      <w:pPr>
        <w:pStyle w:val="JuParaLast"/>
      </w:pPr>
      <w:r>
        <w:t>Sporządzono w języku angielskim i obwieszczono pisemnie w dniu 13</w:t>
      </w:r>
      <w:r w:rsidR="00826F51">
        <w:t> </w:t>
      </w:r>
      <w:r>
        <w:t>kwietnia 2023 r. zgodnie z Regułą 77 § 2 i 3 Regulaminu Trybunału.</w:t>
      </w:r>
    </w:p>
    <w:p w14:paraId="59A950FC" w14:textId="4DE2C87C" w:rsidR="00656431" w:rsidRPr="00144A99" w:rsidRDefault="0048584C" w:rsidP="00144A99">
      <w:pPr>
        <w:pStyle w:val="ECHRPlaceholder"/>
        <w:rPr>
          <w:szCs w:val="22"/>
        </w:rPr>
      </w:pPr>
      <w:r>
        <w:tab/>
      </w:r>
    </w:p>
    <w:p w14:paraId="4F94A7B1" w14:textId="77242BB9" w:rsidR="00CF644B" w:rsidRPr="00144A99" w:rsidRDefault="00B216C1" w:rsidP="00144A99">
      <w:pPr>
        <w:pStyle w:val="JuSigned"/>
        <w:rPr>
          <w:rFonts w:eastAsia="PMingLiU"/>
        </w:rPr>
      </w:pPr>
      <w:r>
        <w:tab/>
      </w:r>
      <w:proofErr w:type="spellStart"/>
      <w:r>
        <w:t>Viktoriya</w:t>
      </w:r>
      <w:proofErr w:type="spellEnd"/>
      <w:r>
        <w:t xml:space="preserve"> </w:t>
      </w:r>
      <w:proofErr w:type="spellStart"/>
      <w:r>
        <w:t>Maradudina</w:t>
      </w:r>
      <w:proofErr w:type="spellEnd"/>
      <w:r>
        <w:tab/>
        <w:t xml:space="preserve">Alena </w:t>
      </w:r>
      <w:proofErr w:type="spellStart"/>
      <w:r>
        <w:t>Poláčková</w:t>
      </w:r>
      <w:proofErr w:type="spellEnd"/>
    </w:p>
    <w:p w14:paraId="14F20A78" w14:textId="5CAF0AC3" w:rsidR="00B91668" w:rsidRPr="00144A99" w:rsidRDefault="0048584C" w:rsidP="00144A99">
      <w:pPr>
        <w:pStyle w:val="JuSigned"/>
        <w:contextualSpacing/>
        <w:rPr>
          <w:rFonts w:eastAsia="PMingLiU"/>
        </w:rPr>
      </w:pPr>
      <w:r>
        <w:tab/>
        <w:t>p.o. Zastępc</w:t>
      </w:r>
      <w:r w:rsidR="00B51D5E">
        <w:t>a</w:t>
      </w:r>
      <w:r>
        <w:t xml:space="preserve"> Kanclerza Sekcji</w:t>
      </w:r>
      <w:r>
        <w:tab/>
        <w:t>Przewodnicząca</w:t>
      </w:r>
    </w:p>
    <w:p w14:paraId="248856EA" w14:textId="77777777" w:rsidR="00B91668" w:rsidRPr="00144A99" w:rsidRDefault="00B91668" w:rsidP="00144A99">
      <w:pPr>
        <w:rPr>
          <w:rFonts w:eastAsia="PMingLiU"/>
        </w:rPr>
      </w:pPr>
    </w:p>
    <w:p w14:paraId="1D7B2720" w14:textId="77777777" w:rsidR="00BD554D" w:rsidRPr="00144A99" w:rsidRDefault="00B91668" w:rsidP="00144A99">
      <w:pPr>
        <w:pStyle w:val="JuSigned"/>
        <w:tabs>
          <w:tab w:val="left" w:pos="5115"/>
        </w:tabs>
        <w:contextualSpacing/>
        <w:rPr>
          <w:rFonts w:eastAsia="PMingLiU"/>
        </w:rPr>
      </w:pPr>
      <w:r>
        <w:tab/>
      </w:r>
    </w:p>
    <w:p w14:paraId="1898C17B" w14:textId="77777777" w:rsidR="00787E12" w:rsidRPr="00144A99" w:rsidRDefault="009459D3" w:rsidP="00144A99">
      <w:pPr>
        <w:pStyle w:val="JuSigned"/>
        <w:tabs>
          <w:tab w:val="center" w:pos="1134"/>
        </w:tabs>
        <w:contextualSpacing/>
        <w:rPr>
          <w:rFonts w:eastAsia="PMingLiU"/>
        </w:rPr>
      </w:pPr>
    </w:p>
    <w:p w14:paraId="374350C5" w14:textId="77777777" w:rsidR="00787E12" w:rsidRPr="00144A99" w:rsidRDefault="009459D3" w:rsidP="00144A99">
      <w:pPr>
        <w:pStyle w:val="JuParaLast"/>
        <w:sectPr w:rsidR="00787E12" w:rsidRPr="00144A99" w:rsidSect="007A72B4">
          <w:headerReference w:type="even" r:id="rId17"/>
          <w:headerReference w:type="default" r:id="rId18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2C7E5B2D" w14:textId="77777777" w:rsidR="00787E12" w:rsidRPr="00144A99" w:rsidRDefault="0048584C" w:rsidP="00144A99">
      <w:pPr>
        <w:pStyle w:val="DecHTitle"/>
      </w:pPr>
      <w:r>
        <w:lastRenderedPageBreak/>
        <w:t>ZAŁĄCZNIK</w:t>
      </w:r>
    </w:p>
    <w:p w14:paraId="067C9D60" w14:textId="612C6EDA" w:rsidR="00787E12" w:rsidRPr="00144A99" w:rsidRDefault="00860FA2" w:rsidP="00144A99">
      <w:pPr>
        <w:pStyle w:val="DecHCase"/>
        <w:contextualSpacing/>
        <w:rPr>
          <w:b/>
          <w:i/>
          <w:color w:val="3E3E3E" w:themeColor="background2" w:themeShade="40"/>
        </w:rPr>
      </w:pPr>
      <w:r>
        <w:rPr>
          <w:color w:val="3E3E3E" w:themeColor="background2" w:themeShade="40"/>
        </w:rPr>
        <w:t xml:space="preserve">Skarga </w:t>
      </w:r>
      <w:r w:rsidR="00743316">
        <w:rPr>
          <w:color w:val="3E3E3E" w:themeColor="background2" w:themeShade="40"/>
        </w:rPr>
        <w:t>podnosz</w:t>
      </w:r>
      <w:r>
        <w:rPr>
          <w:color w:val="3E3E3E" w:themeColor="background2" w:themeShade="40"/>
        </w:rPr>
        <w:t>ąca zarzuty na podstawie art. 6 ust. 1 i art. 13 Konwencji</w:t>
      </w:r>
    </w:p>
    <w:p w14:paraId="75AE1F0C" w14:textId="217A97C8" w:rsidR="00787E12" w:rsidRPr="00144A99" w:rsidRDefault="0048584C" w:rsidP="00144A99">
      <w:pPr>
        <w:pStyle w:val="DecHCase"/>
        <w:contextualSpacing/>
        <w:rPr>
          <w:color w:val="3E3E3E" w:themeColor="background2" w:themeShade="40"/>
        </w:rPr>
      </w:pPr>
      <w:r>
        <w:rPr>
          <w:color w:val="3E3E3E" w:themeColor="background2" w:themeShade="40"/>
        </w:rPr>
        <w:t>(przewlekłość postępowania cywilnego oraz brak skutecznego środka odwoławczego w prawie krajowym)</w:t>
      </w:r>
    </w:p>
    <w:p w14:paraId="771DA088" w14:textId="77777777" w:rsidR="002F31AF" w:rsidRPr="00144A99" w:rsidRDefault="002F31AF" w:rsidP="00144A99">
      <w:pPr>
        <w:pStyle w:val="JuPara"/>
      </w:pPr>
    </w:p>
    <w:tbl>
      <w:tblPr>
        <w:tblStyle w:val="ECHRListTable"/>
        <w:tblW w:w="0" w:type="auto"/>
        <w:jc w:val="center"/>
        <w:tblLook w:val="0420" w:firstRow="1" w:lastRow="0" w:firstColumn="0" w:lastColumn="0" w:noHBand="0" w:noVBand="1"/>
      </w:tblPr>
      <w:tblGrid>
        <w:gridCol w:w="984"/>
        <w:gridCol w:w="1227"/>
        <w:gridCol w:w="2238"/>
        <w:gridCol w:w="1281"/>
        <w:gridCol w:w="1150"/>
        <w:gridCol w:w="1901"/>
        <w:gridCol w:w="1922"/>
        <w:gridCol w:w="1577"/>
      </w:tblGrid>
      <w:tr w:rsidR="00FB6A63" w:rsidRPr="00144A99" w14:paraId="332BE027" w14:textId="77777777" w:rsidTr="00FB6A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0" w:type="auto"/>
          </w:tcPr>
          <w:p w14:paraId="7B9DDD2B" w14:textId="65AE7960" w:rsidR="00860FA2" w:rsidRPr="00144A99" w:rsidRDefault="00743316" w:rsidP="00144A99">
            <w:pPr>
              <w:pStyle w:val="DecHCase"/>
              <w:contextualSpacing/>
              <w:rPr>
                <w:sz w:val="16"/>
              </w:rPr>
            </w:pPr>
            <w:bookmarkStart w:id="2" w:name="WECLListStart"/>
            <w:bookmarkEnd w:id="2"/>
            <w:r>
              <w:rPr>
                <w:sz w:val="16"/>
              </w:rPr>
              <w:t>Numer skargi</w:t>
            </w:r>
          </w:p>
          <w:p w14:paraId="723AAC49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Data złożenia</w:t>
            </w:r>
          </w:p>
        </w:tc>
        <w:tc>
          <w:tcPr>
            <w:tcW w:w="0" w:type="auto"/>
          </w:tcPr>
          <w:p w14:paraId="4FF05B7D" w14:textId="1379F710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Imię i</w:t>
            </w:r>
            <w:r w:rsidR="008E6C6C">
              <w:rPr>
                <w:sz w:val="16"/>
              </w:rPr>
              <w:t> </w:t>
            </w:r>
            <w:bookmarkStart w:id="3" w:name="_GoBack"/>
            <w:bookmarkEnd w:id="3"/>
            <w:r>
              <w:rPr>
                <w:sz w:val="16"/>
              </w:rPr>
              <w:t>nazwisko skarżącego</w:t>
            </w:r>
          </w:p>
          <w:p w14:paraId="52F2A4B3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Rok urodzenia</w:t>
            </w:r>
          </w:p>
          <w:p w14:paraId="41A53C25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</w:p>
        </w:tc>
        <w:tc>
          <w:tcPr>
            <w:tcW w:w="0" w:type="auto"/>
          </w:tcPr>
          <w:p w14:paraId="7B013E77" w14:textId="4F0BC389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Imię i nazwisko oraz adres zamieszkania/siedziby pełnomocnika</w:t>
            </w:r>
          </w:p>
        </w:tc>
        <w:tc>
          <w:tcPr>
            <w:tcW w:w="0" w:type="auto"/>
          </w:tcPr>
          <w:p w14:paraId="79C65210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Wszczęcie postępowania</w:t>
            </w:r>
          </w:p>
        </w:tc>
        <w:tc>
          <w:tcPr>
            <w:tcW w:w="922" w:type="dxa"/>
          </w:tcPr>
          <w:p w14:paraId="48473350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Zakończenie postępowania</w:t>
            </w:r>
          </w:p>
        </w:tc>
        <w:tc>
          <w:tcPr>
            <w:tcW w:w="1901" w:type="dxa"/>
          </w:tcPr>
          <w:p w14:paraId="6E885582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Łączny czas trwania</w:t>
            </w:r>
          </w:p>
          <w:p w14:paraId="7F454712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Instancje</w:t>
            </w:r>
          </w:p>
        </w:tc>
        <w:tc>
          <w:tcPr>
            <w:tcW w:w="0" w:type="auto"/>
          </w:tcPr>
          <w:p w14:paraId="415213BD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Kwota zasądzona tytułem szkody niemajątkowej na jednego skarżącego</w:t>
            </w:r>
          </w:p>
          <w:p w14:paraId="0A02639E" w14:textId="2F5A718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(w EUR)</w:t>
            </w:r>
            <w:r w:rsidRPr="00144A99">
              <w:rPr>
                <w:rStyle w:val="Odwoanieprzypisudolnego"/>
                <w:sz w:val="16"/>
              </w:rPr>
              <w:footnoteReference w:id="1"/>
            </w:r>
          </w:p>
        </w:tc>
        <w:tc>
          <w:tcPr>
            <w:tcW w:w="0" w:type="auto"/>
          </w:tcPr>
          <w:p w14:paraId="18B44CA3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Kwota zasądzona tytułem zwrotu kosztów i wydatków na skargę</w:t>
            </w:r>
          </w:p>
          <w:p w14:paraId="57ECD172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(w EUR)</w:t>
            </w:r>
            <w:r w:rsidRPr="00144A99">
              <w:rPr>
                <w:rStyle w:val="Odwoanieprzypisudolnego"/>
                <w:sz w:val="16"/>
              </w:rPr>
              <w:footnoteReference w:id="2"/>
            </w:r>
          </w:p>
        </w:tc>
      </w:tr>
      <w:tr w:rsidR="00860FA2" w:rsidRPr="00144A99" w14:paraId="54F2E9A7" w14:textId="77777777" w:rsidTr="00FB6A63">
        <w:trPr>
          <w:jc w:val="center"/>
        </w:trPr>
        <w:tc>
          <w:tcPr>
            <w:tcW w:w="0" w:type="auto"/>
          </w:tcPr>
          <w:p w14:paraId="3542F490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24730/20</w:t>
            </w:r>
          </w:p>
          <w:p w14:paraId="64ACFB39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28/05/2020</w:t>
            </w:r>
          </w:p>
        </w:tc>
        <w:tc>
          <w:tcPr>
            <w:tcW w:w="0" w:type="auto"/>
          </w:tcPr>
          <w:p w14:paraId="5B2E9B6A" w14:textId="1E62104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b/>
                <w:sz w:val="16"/>
              </w:rPr>
              <w:t>Błażej LEWIŃSKI</w:t>
            </w:r>
          </w:p>
          <w:p w14:paraId="260D05F4" w14:textId="296CECDC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 xml:space="preserve">1959 </w:t>
            </w:r>
          </w:p>
        </w:tc>
        <w:tc>
          <w:tcPr>
            <w:tcW w:w="0" w:type="auto"/>
          </w:tcPr>
          <w:p w14:paraId="5CAA3050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Gąsiorowska Monika Małgorzata</w:t>
            </w:r>
          </w:p>
          <w:p w14:paraId="080C62A1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Warszawa</w:t>
            </w:r>
          </w:p>
        </w:tc>
        <w:tc>
          <w:tcPr>
            <w:tcW w:w="0" w:type="auto"/>
          </w:tcPr>
          <w:p w14:paraId="5E306DBD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24/07/2017</w:t>
            </w:r>
          </w:p>
          <w:p w14:paraId="02EECECB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</w:p>
        </w:tc>
        <w:tc>
          <w:tcPr>
            <w:tcW w:w="922" w:type="dxa"/>
          </w:tcPr>
          <w:p w14:paraId="1E800123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w toku</w:t>
            </w:r>
          </w:p>
          <w:p w14:paraId="2FB868D2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</w:p>
        </w:tc>
        <w:tc>
          <w:tcPr>
            <w:tcW w:w="1901" w:type="dxa"/>
          </w:tcPr>
          <w:p w14:paraId="1BE3CF37" w14:textId="0E5C1080" w:rsidR="00FB6A63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Ponad 5 lat, 6 miesięcy i 14 dni</w:t>
            </w:r>
          </w:p>
          <w:p w14:paraId="509A073F" w14:textId="6C8A9786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1 instancja</w:t>
            </w:r>
          </w:p>
          <w:p w14:paraId="4014D640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</w:p>
        </w:tc>
        <w:tc>
          <w:tcPr>
            <w:tcW w:w="0" w:type="auto"/>
          </w:tcPr>
          <w:p w14:paraId="7A6C3155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5100</w:t>
            </w:r>
          </w:p>
        </w:tc>
        <w:tc>
          <w:tcPr>
            <w:tcW w:w="0" w:type="auto"/>
          </w:tcPr>
          <w:p w14:paraId="23AD9326" w14:textId="77777777" w:rsidR="00860FA2" w:rsidRPr="00144A99" w:rsidRDefault="00860FA2" w:rsidP="00144A99">
            <w:pPr>
              <w:pStyle w:val="DecHCase"/>
              <w:contextualSpacing/>
              <w:rPr>
                <w:sz w:val="16"/>
              </w:rPr>
            </w:pPr>
            <w:r>
              <w:rPr>
                <w:sz w:val="16"/>
              </w:rPr>
              <w:t>1000</w:t>
            </w:r>
          </w:p>
        </w:tc>
      </w:tr>
    </w:tbl>
    <w:p w14:paraId="33EA11E3" w14:textId="77777777" w:rsidR="00787E12" w:rsidRPr="00144A99" w:rsidRDefault="009459D3" w:rsidP="00144A99"/>
    <w:p w14:paraId="35BCF520" w14:textId="77777777" w:rsidR="00791456" w:rsidRPr="00144A99" w:rsidRDefault="009459D3" w:rsidP="00144A99"/>
    <w:sectPr w:rsidR="00791456" w:rsidRPr="00144A99" w:rsidSect="00BD554D">
      <w:headerReference w:type="even" r:id="rId19"/>
      <w:headerReference w:type="default" r:id="rId20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0D7F9" w14:textId="77777777" w:rsidR="009459D3" w:rsidRPr="00611E1D" w:rsidRDefault="009459D3">
      <w:r w:rsidRPr="00611E1D">
        <w:separator/>
      </w:r>
    </w:p>
  </w:endnote>
  <w:endnote w:type="continuationSeparator" w:id="0">
    <w:p w14:paraId="2591ABF5" w14:textId="77777777" w:rsidR="009459D3" w:rsidRPr="00611E1D" w:rsidRDefault="009459D3">
      <w:r w:rsidRPr="00611E1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28855" w14:textId="0473E8BA" w:rsidR="00BD554D" w:rsidRPr="00611E1D" w:rsidRDefault="00860FA2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8E6C6C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135EC3" w14:textId="1F16E901" w:rsidR="00BD554D" w:rsidRPr="00611E1D" w:rsidRDefault="00860FA2" w:rsidP="00BD554D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8E6C6C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6B33AE" w14:textId="1FBDB4C2" w:rsidR="00860FA2" w:rsidRPr="00150BFA" w:rsidRDefault="00860FA2" w:rsidP="0020718E">
    <w:pPr>
      <w:jc w:val="center"/>
    </w:pPr>
    <w:r>
      <w:rPr>
        <w:noProof/>
        <w:lang w:eastAsia="pl-PL"/>
      </w:rPr>
      <w:drawing>
        <wp:inline distT="0" distB="0" distL="0" distR="0" wp14:anchorId="098F924D" wp14:editId="63EC3F81">
          <wp:extent cx="771525" cy="619125"/>
          <wp:effectExtent l="0" t="0" r="9525" b="9525"/>
          <wp:docPr id="22" name="Picture 22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47CCF0" w14:textId="794D2628" w:rsidR="0029309A" w:rsidRPr="00611E1D" w:rsidRDefault="009459D3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998B41" w14:textId="77777777" w:rsidR="009459D3" w:rsidRPr="00611E1D" w:rsidRDefault="009459D3" w:rsidP="00787E12">
      <w:r w:rsidRPr="00611E1D">
        <w:separator/>
      </w:r>
    </w:p>
  </w:footnote>
  <w:footnote w:type="continuationSeparator" w:id="0">
    <w:p w14:paraId="13ED68B5" w14:textId="77777777" w:rsidR="009459D3" w:rsidRPr="00611E1D" w:rsidRDefault="009459D3" w:rsidP="00787E12">
      <w:r w:rsidRPr="00611E1D">
        <w:continuationSeparator/>
      </w:r>
    </w:p>
  </w:footnote>
  <w:footnote w:id="1">
    <w:p w14:paraId="05FA8523" w14:textId="581B9B96" w:rsidR="00860FA2" w:rsidRPr="009C7C26" w:rsidRDefault="00860FA2" w:rsidP="00860FA2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powiększona o należne podatki.</w:t>
      </w:r>
    </w:p>
  </w:footnote>
  <w:footnote w:id="2">
    <w:p w14:paraId="76D23E8B" w14:textId="362CA175" w:rsidR="00860FA2" w:rsidRPr="009C7C26" w:rsidRDefault="00860FA2" w:rsidP="00860FA2">
      <w:pPr>
        <w:pStyle w:val="Tekstprzypisudolnego"/>
      </w:pPr>
      <w:r>
        <w:rPr>
          <w:rStyle w:val="Odwoanieprzypisudolnego"/>
        </w:rPr>
        <w:footnoteRef/>
      </w:r>
      <w:r>
        <w:rPr>
          <w:rStyle w:val="Odwoanieprzypisudolnego"/>
        </w:rPr>
        <w:t xml:space="preserve"> </w:t>
      </w:r>
      <w:r>
        <w:t>powiększona o należne podatki.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20B710" w14:textId="77777777" w:rsidR="00860FA2" w:rsidRDefault="00860F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16BE42" w14:textId="5E05FA89" w:rsidR="00860FA2" w:rsidRPr="00A45145" w:rsidRDefault="00860FA2" w:rsidP="00A45145">
    <w:pPr>
      <w:jc w:val="center"/>
    </w:pPr>
    <w:r>
      <w:rPr>
        <w:noProof/>
        <w:lang w:eastAsia="pl-PL"/>
      </w:rPr>
      <w:drawing>
        <wp:inline distT="0" distB="0" distL="0" distR="0" wp14:anchorId="57A0AEF5" wp14:editId="4A64D321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9CDEB9" w14:textId="190488EF" w:rsidR="00787E12" w:rsidRPr="00611E1D" w:rsidRDefault="009459D3" w:rsidP="000318F7">
    <w:pPr>
      <w:jc w:val="center"/>
      <w:rPr>
        <w:sz w:val="4"/>
        <w:szCs w:val="4"/>
      </w:rPr>
    </w:pPr>
  </w:p>
  <w:p w14:paraId="10191E4D" w14:textId="77777777" w:rsidR="00787E12" w:rsidRPr="00611E1D" w:rsidRDefault="009459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AD4B7" w14:textId="4955E9DE" w:rsidR="00860FA2" w:rsidRPr="00A45145" w:rsidRDefault="00860FA2" w:rsidP="00A45145">
    <w:pPr>
      <w:jc w:val="center"/>
    </w:pPr>
    <w:r>
      <w:rPr>
        <w:noProof/>
        <w:lang w:eastAsia="pl-PL"/>
      </w:rPr>
      <w:drawing>
        <wp:inline distT="0" distB="0" distL="0" distR="0" wp14:anchorId="79A8A471" wp14:editId="55B9741E">
          <wp:extent cx="2962275" cy="1219200"/>
          <wp:effectExtent l="0" t="0" r="9525" b="0"/>
          <wp:docPr id="20" name="Picture 2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C349B7" w14:textId="46A8807C" w:rsidR="00787E12" w:rsidRPr="00611E1D" w:rsidRDefault="009459D3" w:rsidP="00B64153">
    <w:pPr>
      <w:jc w:val="center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CE47A" w14:textId="2AEC84EE" w:rsidR="00787E12" w:rsidRPr="005C3A15" w:rsidRDefault="00860FA2" w:rsidP="006372F5">
    <w:pPr>
      <w:pStyle w:val="JuHeader"/>
    </w:pPr>
    <w:r>
      <w:t>WYROK W SPRAWIE LEWIŃSKI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FADC5" w14:textId="3A9F4050" w:rsidR="00787E12" w:rsidRPr="00DE7D3F" w:rsidRDefault="00860FA2" w:rsidP="00BD554D">
    <w:pPr>
      <w:pStyle w:val="JuHeader"/>
    </w:pPr>
    <w:r>
      <w:t>WYROK W SPRAWIE LEWIŃSKI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C40F3A" w14:textId="77536EDF" w:rsidR="008B3FB7" w:rsidRPr="005C3A15" w:rsidRDefault="00860FA2" w:rsidP="00E026EC">
    <w:pPr>
      <w:pStyle w:val="JuHeader"/>
    </w:pPr>
    <w:r>
      <w:t>WYROK W SPRAWIE LEWIŃSKI PRZECIWKO POLSCE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B5CF7" w14:textId="7B709707" w:rsidR="008B3FB7" w:rsidRPr="00DE7D3F" w:rsidRDefault="00860FA2" w:rsidP="00E026EC">
    <w:pPr>
      <w:pStyle w:val="JuHeader"/>
    </w:pPr>
    <w:r>
      <w:t>WYROK W SPRAWIE LEWIŃSKI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1"/>
  </w:num>
  <w:num w:numId="4">
    <w:abstractNumId w:val="17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5"/>
  </w:num>
  <w:num w:numId="15">
    <w:abstractNumId w:val="13"/>
  </w:num>
  <w:num w:numId="16">
    <w:abstractNumId w:val="16"/>
  </w:num>
  <w:num w:numId="17">
    <w:abstractNumId w:val="15"/>
  </w:num>
  <w:num w:numId="18">
    <w:abstractNumId w:val="16"/>
  </w:num>
  <w:num w:numId="19">
    <w:abstractNumId w:val="10"/>
  </w:num>
  <w:num w:numId="20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-1"/>
    <w:docVar w:name="EMM" w:val="0"/>
    <w:docVar w:name="NBEMMDOC" w:val="0"/>
    <w:docVar w:name="Plural" w:val="0"/>
  </w:docVars>
  <w:rsids>
    <w:rsidRoot w:val="00860FA2"/>
    <w:rsid w:val="000B0AEB"/>
    <w:rsid w:val="00135384"/>
    <w:rsid w:val="00144A99"/>
    <w:rsid w:val="00173A91"/>
    <w:rsid w:val="001A15B6"/>
    <w:rsid w:val="001A3C4A"/>
    <w:rsid w:val="001D7CD3"/>
    <w:rsid w:val="001F3812"/>
    <w:rsid w:val="0023364D"/>
    <w:rsid w:val="002872CE"/>
    <w:rsid w:val="002C5B23"/>
    <w:rsid w:val="002F31AF"/>
    <w:rsid w:val="00337785"/>
    <w:rsid w:val="00362680"/>
    <w:rsid w:val="003C5A52"/>
    <w:rsid w:val="00454EEA"/>
    <w:rsid w:val="0048584C"/>
    <w:rsid w:val="00497FF8"/>
    <w:rsid w:val="004B0B4E"/>
    <w:rsid w:val="00555A1D"/>
    <w:rsid w:val="00573202"/>
    <w:rsid w:val="005B102C"/>
    <w:rsid w:val="005B16C1"/>
    <w:rsid w:val="005F60F9"/>
    <w:rsid w:val="00611E1D"/>
    <w:rsid w:val="00646DAA"/>
    <w:rsid w:val="0064702C"/>
    <w:rsid w:val="00656431"/>
    <w:rsid w:val="006607A9"/>
    <w:rsid w:val="006D324D"/>
    <w:rsid w:val="00722950"/>
    <w:rsid w:val="00743316"/>
    <w:rsid w:val="00743B2A"/>
    <w:rsid w:val="007A72B4"/>
    <w:rsid w:val="007F018A"/>
    <w:rsid w:val="00826F51"/>
    <w:rsid w:val="008522DD"/>
    <w:rsid w:val="00860732"/>
    <w:rsid w:val="00860FA2"/>
    <w:rsid w:val="008A0E2E"/>
    <w:rsid w:val="008A77A1"/>
    <w:rsid w:val="008E6C6C"/>
    <w:rsid w:val="009459D3"/>
    <w:rsid w:val="009522DD"/>
    <w:rsid w:val="0095263C"/>
    <w:rsid w:val="00964ACC"/>
    <w:rsid w:val="009E33D2"/>
    <w:rsid w:val="00A329E0"/>
    <w:rsid w:val="00A34A54"/>
    <w:rsid w:val="00A44415"/>
    <w:rsid w:val="00A6104A"/>
    <w:rsid w:val="00A94CA7"/>
    <w:rsid w:val="00AC03BB"/>
    <w:rsid w:val="00B216C1"/>
    <w:rsid w:val="00B51D5E"/>
    <w:rsid w:val="00B661C8"/>
    <w:rsid w:val="00B91668"/>
    <w:rsid w:val="00BD554D"/>
    <w:rsid w:val="00BE2415"/>
    <w:rsid w:val="00C32A53"/>
    <w:rsid w:val="00C877A3"/>
    <w:rsid w:val="00C93A8A"/>
    <w:rsid w:val="00E22CA5"/>
    <w:rsid w:val="00EC6AF1"/>
    <w:rsid w:val="00FB16F8"/>
    <w:rsid w:val="00FB6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518B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144A9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144A9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144A9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144A9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144A9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144A9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144A9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144A99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144A9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144A9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144A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144A99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144A99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144A99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144A99"/>
    <w:rPr>
      <w:color w:val="00B050"/>
      <w:sz w:val="22"/>
    </w:rPr>
  </w:style>
  <w:style w:type="character" w:styleId="Pogrubienie">
    <w:name w:val="Strong"/>
    <w:uiPriority w:val="98"/>
    <w:semiHidden/>
    <w:qFormat/>
    <w:rsid w:val="00144A99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144A99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144A99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144A99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144A99"/>
    <w:pPr>
      <w:numPr>
        <w:numId w:val="2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144A99"/>
    <w:pPr>
      <w:numPr>
        <w:ilvl w:val="2"/>
        <w:numId w:val="2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144A99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144A99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144A99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144A99"/>
    <w:pPr>
      <w:numPr>
        <w:numId w:val="14"/>
      </w:numPr>
    </w:pPr>
  </w:style>
  <w:style w:type="numbering" w:customStyle="1" w:styleId="ECHRA1StyleList">
    <w:name w:val="ECHR_A1_Style_List"/>
    <w:basedOn w:val="Bezlisty"/>
    <w:uiPriority w:val="99"/>
    <w:rsid w:val="00144A99"/>
    <w:pPr>
      <w:numPr>
        <w:numId w:val="1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144A99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144A99"/>
    <w:pPr>
      <w:numPr>
        <w:numId w:val="16"/>
      </w:numPr>
    </w:pPr>
  </w:style>
  <w:style w:type="table" w:customStyle="1" w:styleId="ECHRTable2019">
    <w:name w:val="ECHR_Table_2019"/>
    <w:basedOn w:val="Standardowy"/>
    <w:uiPriority w:val="99"/>
    <w:rsid w:val="00144A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144A9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144A99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144A99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144A99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144A9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144A99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144A99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144A99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144A99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144A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144A99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144A99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i">
    <w:name w:val="Ju_H_i"/>
    <w:aliases w:val="_Head_6"/>
    <w:basedOn w:val="Nagwek6"/>
    <w:next w:val="JuPara"/>
    <w:uiPriority w:val="17"/>
    <w:rsid w:val="00144A99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144A99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144A99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">
    <w:name w:val="Ju_H_–"/>
    <w:aliases w:val="_Head_8"/>
    <w:basedOn w:val="Nagwek8"/>
    <w:next w:val="JuPara"/>
    <w:uiPriority w:val="17"/>
    <w:rsid w:val="00144A99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144A99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144A99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Lista">
    <w:name w:val="Ju_List_a"/>
    <w:aliases w:val="_List_2"/>
    <w:basedOn w:val="NormalJustified"/>
    <w:uiPriority w:val="23"/>
    <w:rsid w:val="00144A99"/>
    <w:pPr>
      <w:numPr>
        <w:ilvl w:val="1"/>
        <w:numId w:val="20"/>
      </w:numPr>
    </w:pPr>
  </w:style>
  <w:style w:type="paragraph" w:customStyle="1" w:styleId="NormalJustified">
    <w:name w:val="Normal_Justified"/>
    <w:basedOn w:val="Normalny"/>
    <w:semiHidden/>
    <w:rsid w:val="00144A99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144A99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144A99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styleId="Wyrnieniedelikatne">
    <w:name w:val="Subtle Emphasis"/>
    <w:uiPriority w:val="98"/>
    <w:semiHidden/>
    <w:qFormat/>
    <w:rsid w:val="00144A99"/>
    <w:rPr>
      <w:i/>
      <w:iCs/>
    </w:rPr>
  </w:style>
  <w:style w:type="table" w:customStyle="1" w:styleId="ECHRTable">
    <w:name w:val="ECHR_Table"/>
    <w:basedOn w:val="Standardowy"/>
    <w:rsid w:val="00144A99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144A99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144A99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144A99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144A99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144A9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144A99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144A99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144A99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144A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144A99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144A99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144A99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144A99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144A99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Wyrnienieintensywne">
    <w:name w:val="Intense Emphasis"/>
    <w:uiPriority w:val="98"/>
    <w:semiHidden/>
    <w:qFormat/>
    <w:rsid w:val="00144A9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144A9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144A99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144A99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144A99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144A99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144A99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144A99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144A99"/>
    <w:rPr>
      <w:smallCaps/>
    </w:rPr>
  </w:style>
  <w:style w:type="table" w:styleId="Tabela-Siatka">
    <w:name w:val="Table Grid"/>
    <w:basedOn w:val="Standardowy"/>
    <w:uiPriority w:val="59"/>
    <w:semiHidden/>
    <w:rsid w:val="00144A99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144A9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144A9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144A9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144A99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144A9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144A9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144A99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144A99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144A99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144A99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144A9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144A99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144A9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144A99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144A99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144A99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144A99"/>
    <w:pPr>
      <w:ind w:firstLine="284"/>
    </w:pPr>
  </w:style>
  <w:style w:type="paragraph" w:styleId="Tekstblokowy">
    <w:name w:val="Block Text"/>
    <w:basedOn w:val="Normalny"/>
    <w:uiPriority w:val="98"/>
    <w:semiHidden/>
    <w:rsid w:val="00144A99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144A99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144A9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144A99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144A99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144A99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144A99"/>
    <w:rPr>
      <w:sz w:val="24"/>
      <w:szCs w:val="24"/>
      <w:lang w:val="pl-PL"/>
    </w:rPr>
  </w:style>
  <w:style w:type="paragraph" w:styleId="Tekstpodstawowy2">
    <w:name w:val="Body Text 2"/>
    <w:basedOn w:val="Normalny"/>
    <w:link w:val="Tekstpodstawowy2Znak"/>
    <w:uiPriority w:val="98"/>
    <w:semiHidden/>
    <w:rsid w:val="00144A99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144A99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144A99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144A99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144A99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144A99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144A9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144A99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144A9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144A99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144A99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144A99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144A99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144A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144A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144A99"/>
    <w:rPr>
      <w:sz w:val="20"/>
      <w:szCs w:val="20"/>
      <w:lang w:val="pl-PL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144A99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144A99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144A99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144A99"/>
    <w:pPr>
      <w:numPr>
        <w:numId w:val="4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pl-PL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144A99"/>
    <w:pPr>
      <w:ind w:firstLine="284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144A9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144A99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144A9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144A99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144A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144A99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144A9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144A99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144A99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144A99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144A99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144A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144A99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144A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144A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144A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144A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144A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144A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144A9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144A99"/>
  </w:style>
  <w:style w:type="character" w:customStyle="1" w:styleId="DataZnak">
    <w:name w:val="Data Znak"/>
    <w:basedOn w:val="Domylnaczcionkaakapitu"/>
    <w:link w:val="Data"/>
    <w:uiPriority w:val="98"/>
    <w:semiHidden/>
    <w:rsid w:val="00144A99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144A9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144A99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144A99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144A99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144A9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144A9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144A99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144A9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144A99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144A99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144A99"/>
  </w:style>
  <w:style w:type="paragraph" w:styleId="HTML-adres">
    <w:name w:val="HTML Address"/>
    <w:basedOn w:val="Normalny"/>
    <w:link w:val="HTML-adresZnak"/>
    <w:uiPriority w:val="98"/>
    <w:semiHidden/>
    <w:rsid w:val="00144A99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144A99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144A99"/>
    <w:rPr>
      <w:i/>
      <w:iCs/>
    </w:rPr>
  </w:style>
  <w:style w:type="character" w:styleId="HTML-kod">
    <w:name w:val="HTML Code"/>
    <w:basedOn w:val="Domylnaczcionkaakapitu"/>
    <w:uiPriority w:val="98"/>
    <w:semiHidden/>
    <w:rsid w:val="00144A9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144A99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144A9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144A9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144A99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144A9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144A9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144A99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144A9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144A9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144A9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144A9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144A9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144A9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144A9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144A9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144A99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144A99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144A99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144A99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144A99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144A99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144A99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144A99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144A99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144A99"/>
  </w:style>
  <w:style w:type="paragraph" w:styleId="Lista">
    <w:name w:val="List"/>
    <w:basedOn w:val="Normalny"/>
    <w:uiPriority w:val="98"/>
    <w:semiHidden/>
    <w:rsid w:val="00144A99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144A99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144A99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144A99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144A99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144A99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8"/>
    <w:semiHidden/>
    <w:rsid w:val="00144A99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8"/>
    <w:semiHidden/>
    <w:rsid w:val="00144A99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8"/>
    <w:semiHidden/>
    <w:rsid w:val="00144A99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8"/>
    <w:semiHidden/>
    <w:rsid w:val="00144A9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144A9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144A9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144A9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144A9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144A99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8"/>
    <w:semiHidden/>
    <w:rsid w:val="00144A99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8"/>
    <w:semiHidden/>
    <w:rsid w:val="00144A99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8"/>
    <w:semiHidden/>
    <w:rsid w:val="00144A99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8"/>
    <w:semiHidden/>
    <w:rsid w:val="00144A99"/>
    <w:pPr>
      <w:numPr>
        <w:numId w:val="13"/>
      </w:numPr>
      <w:contextualSpacing/>
    </w:pPr>
  </w:style>
  <w:style w:type="paragraph" w:styleId="Tekstmakra">
    <w:name w:val="macro"/>
    <w:link w:val="TekstmakraZnak"/>
    <w:uiPriority w:val="98"/>
    <w:semiHidden/>
    <w:rsid w:val="00144A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144A99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144A9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144A9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144A9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144A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144A99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144A99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144A99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144A99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144A99"/>
    <w:rPr>
      <w:sz w:val="24"/>
      <w:szCs w:val="24"/>
      <w:lang w:val="pl-PL"/>
    </w:rPr>
  </w:style>
  <w:style w:type="paragraph" w:styleId="Zwykytekst">
    <w:name w:val="Plain Text"/>
    <w:basedOn w:val="Normalny"/>
    <w:link w:val="ZwykytekstZnak"/>
    <w:uiPriority w:val="98"/>
    <w:semiHidden/>
    <w:rsid w:val="00144A9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144A99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144A99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144A99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144A99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144A99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144A99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144A99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144A99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144A99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144A99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144A99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144A99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144A99"/>
  </w:style>
  <w:style w:type="table" w:styleId="Tabela-Profesjonalny">
    <w:name w:val="Table Professional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144A99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144A9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144A9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144A9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144A99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144A99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144A99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144A99"/>
  </w:style>
  <w:style w:type="paragraph" w:customStyle="1" w:styleId="DecList">
    <w:name w:val="Dec_List"/>
    <w:aliases w:val="_List"/>
    <w:basedOn w:val="JuList"/>
    <w:uiPriority w:val="22"/>
    <w:rsid w:val="00144A99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144A99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144A99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144A99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144A99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144A99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144A99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144A99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144A99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144A99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144A99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144A99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144A99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144A99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144A99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144A99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144A99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144A99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144A99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144A99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144A99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144A99"/>
    <w:rPr>
      <w:sz w:val="4"/>
    </w:rPr>
  </w:style>
  <w:style w:type="table" w:customStyle="1" w:styleId="ECHRTable2">
    <w:name w:val="ECHR_Table_2"/>
    <w:basedOn w:val="Standardowy"/>
    <w:uiPriority w:val="99"/>
    <w:rsid w:val="00144A9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144A9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144A99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144A99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144A99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144A9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144A9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144A9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144A99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144A99"/>
    <w:pPr>
      <w:outlineLvl w:val="0"/>
    </w:pPr>
  </w:style>
  <w:style w:type="table" w:customStyle="1" w:styleId="ECHRTableGrey">
    <w:name w:val="ECHR_Table_Grey"/>
    <w:basedOn w:val="Standardowy"/>
    <w:uiPriority w:val="99"/>
    <w:rsid w:val="00144A99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A99"/>
    <w:rPr>
      <w:color w:val="605E5C"/>
      <w:shd w:val="clear" w:color="auto" w:fill="E1DFDD"/>
    </w:rPr>
  </w:style>
  <w:style w:type="table" w:styleId="Tabelasiatki1jasna">
    <w:name w:val="Grid Table 1 Light"/>
    <w:basedOn w:val="Standardowy"/>
    <w:uiPriority w:val="46"/>
    <w:semiHidden/>
    <w:rsid w:val="00144A9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144A99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144A99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144A99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144A99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144A99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144A99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144A9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144A99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144A99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144A99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144A99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144A99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144A99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144A99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144A99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144A99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144A99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144A99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144A99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144A99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144A9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144A9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144A9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144A99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144A9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144A9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144A9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144A9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144A9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144A9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144A99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144A9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144A9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144A9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144A99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144A9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144A9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144A9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144A9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144A9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144A9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144A9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144A9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144A99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144A99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144A99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144A99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144A99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144A99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144A99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144A99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144A99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144A99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144A99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144A99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144A99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144A99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144A99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144A9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144A99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144A99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144A99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144A99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144A99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144A99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144A9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144A99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144A99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144A99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144A99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144A99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144A99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144A99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144A99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144A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144A9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144A9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144A9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144A99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144A99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144A99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6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8380D-867A-4382-A15A-96710BD81A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A1B3D7-5D3D-4C0D-8E0D-0BB26ACBE7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F96805-66B0-47FA-B4F2-85AC34294A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595965B-C0A6-453F-A677-C1D47AE43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895</Words>
  <Characters>5373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2023-04-25T14:00:00Z</dcterms:created>
  <dcterms:modified xsi:type="dcterms:W3CDTF">2023-09-01T12:08:00Z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24730/20</vt:lpwstr>
  </property>
  <property fmtid="{D5CDD505-2E9C-101B-9397-08002B2CF9AE}" pid="4" name="CASEID">
    <vt:lpwstr>1528181</vt:lpwstr>
  </property>
  <property fmtid="{D5CDD505-2E9C-101B-9397-08002B2CF9AE}" pid="5" name="ContentTypeId">
    <vt:lpwstr>0x010100558EB02BDB9E204AB350EDD385B68E10</vt:lpwstr>
  </property>
</Properties>
</file>