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19292" w14:textId="77777777" w:rsidR="00AC5E99" w:rsidRPr="00821D98" w:rsidRDefault="00AC5E99" w:rsidP="00AC5E99">
      <w:pPr>
        <w:jc w:val="center"/>
        <w:rPr>
          <w:rFonts w:ascii="Times New Roman" w:hAnsi="Times New Roman" w:cs="Times New Roman"/>
          <w:sz w:val="22"/>
          <w:szCs w:val="20"/>
          <w:lang w:val="en-GB"/>
        </w:rPr>
      </w:pPr>
      <w:r w:rsidRPr="00821D98">
        <w:rPr>
          <w:rFonts w:ascii="Times New Roman" w:hAnsi="Times New Roman" w:cs="Times New Roman"/>
          <w:sz w:val="22"/>
          <w:szCs w:val="20"/>
          <w:lang w:val="en-GB"/>
        </w:rPr>
        <w:t xml:space="preserve">© Ministerstwo Spraw </w:t>
      </w:r>
      <w:proofErr w:type="spellStart"/>
      <w:r w:rsidRPr="00AC5E99">
        <w:rPr>
          <w:rFonts w:ascii="Times New Roman" w:hAnsi="Times New Roman" w:cs="Times New Roman"/>
          <w:sz w:val="22"/>
          <w:szCs w:val="20"/>
          <w:lang w:val="en-GB"/>
        </w:rPr>
        <w:t>Wewnętrznych</w:t>
      </w:r>
      <w:proofErr w:type="spellEnd"/>
      <w:r w:rsidRPr="00821D98">
        <w:rPr>
          <w:rFonts w:ascii="Times New Roman" w:hAnsi="Times New Roman" w:cs="Times New Roman"/>
          <w:sz w:val="22"/>
          <w:szCs w:val="20"/>
          <w:lang w:val="en-GB"/>
        </w:rPr>
        <w:t xml:space="preserve"> i </w:t>
      </w:r>
      <w:proofErr w:type="spellStart"/>
      <w:r w:rsidRPr="00AC5E99">
        <w:rPr>
          <w:rFonts w:ascii="Times New Roman" w:hAnsi="Times New Roman" w:cs="Times New Roman"/>
          <w:sz w:val="22"/>
          <w:szCs w:val="20"/>
          <w:lang w:val="en-GB"/>
        </w:rPr>
        <w:t>Administracji</w:t>
      </w:r>
      <w:proofErr w:type="spellEnd"/>
    </w:p>
    <w:p w14:paraId="0385B1A7" w14:textId="77777777" w:rsidR="00CA2403" w:rsidRDefault="00AC5E99" w:rsidP="00AC5E99">
      <w:pPr>
        <w:jc w:val="center"/>
        <w:rPr>
          <w:rFonts w:ascii="Times New Roman" w:hAnsi="Times New Roman" w:cs="Times New Roman"/>
          <w:sz w:val="22"/>
          <w:szCs w:val="20"/>
          <w:lang w:val="en-US"/>
        </w:rPr>
      </w:pPr>
      <w:r w:rsidRPr="00821D98">
        <w:rPr>
          <w:rFonts w:ascii="Times New Roman" w:hAnsi="Times New Roman" w:cs="Times New Roman"/>
          <w:sz w:val="22"/>
          <w:szCs w:val="20"/>
          <w:lang w:val="en-US"/>
        </w:rPr>
        <w:t>© Copyright for the Polish translation</w:t>
      </w:r>
    </w:p>
    <w:p w14:paraId="0390B7D8" w14:textId="1043ADDF" w:rsidR="00AC5E99" w:rsidRPr="00821D98" w:rsidRDefault="00AC5E99" w:rsidP="00AC5E99">
      <w:pPr>
        <w:jc w:val="center"/>
        <w:rPr>
          <w:rFonts w:ascii="Times New Roman" w:hAnsi="Times New Roman" w:cs="Times New Roman"/>
          <w:sz w:val="22"/>
          <w:szCs w:val="20"/>
          <w:lang w:val="en-US"/>
        </w:rPr>
      </w:pPr>
      <w:bookmarkStart w:id="0" w:name="_GoBack"/>
      <w:bookmarkEnd w:id="0"/>
      <w:r w:rsidRPr="00821D98">
        <w:rPr>
          <w:rFonts w:ascii="Times New Roman" w:hAnsi="Times New Roman" w:cs="Times New Roman"/>
          <w:sz w:val="22"/>
          <w:szCs w:val="20"/>
          <w:lang w:val="en-US"/>
        </w:rPr>
        <w:t>by the Polish Ministry of the Interior and Administration</w:t>
      </w:r>
    </w:p>
    <w:p w14:paraId="61E993E9" w14:textId="77777777" w:rsidR="00AC5E99" w:rsidRPr="00821D98" w:rsidRDefault="00AC5E99" w:rsidP="00AC5E99">
      <w:pPr>
        <w:jc w:val="center"/>
        <w:rPr>
          <w:rFonts w:ascii="Times New Roman" w:hAnsi="Times New Roman" w:cs="Times New Roman"/>
          <w:sz w:val="22"/>
          <w:szCs w:val="20"/>
        </w:rPr>
      </w:pPr>
      <w:r w:rsidRPr="00821D98">
        <w:rPr>
          <w:rFonts w:ascii="Times New Roman" w:hAnsi="Times New Roman" w:cs="Times New Roman"/>
          <w:sz w:val="22"/>
          <w:szCs w:val="20"/>
        </w:rPr>
        <w:t>Warszawa, 2023 r.</w:t>
      </w:r>
    </w:p>
    <w:p w14:paraId="70E91C5A" w14:textId="77777777" w:rsidR="00AC5E99" w:rsidRDefault="00AC5E99" w:rsidP="00B75B30">
      <w:pPr>
        <w:pStyle w:val="DecHTitle"/>
      </w:pPr>
    </w:p>
    <w:p w14:paraId="04928D71" w14:textId="7A1ACAF5" w:rsidR="00AC7C46" w:rsidRPr="00B75B30" w:rsidRDefault="00B75B30" w:rsidP="00B75B30">
      <w:pPr>
        <w:pStyle w:val="DecHTitle"/>
      </w:pPr>
      <w:r w:rsidRPr="00B75B30">
        <w:t>EUROPEJSKI TRYBUNAŁ PRAW CZŁOWIEKA</w:t>
      </w:r>
    </w:p>
    <w:p w14:paraId="4E7B9285" w14:textId="77777777" w:rsidR="0098410D" w:rsidRPr="00C23803" w:rsidRDefault="0098410D" w:rsidP="00C23803">
      <w:pPr>
        <w:jc w:val="center"/>
      </w:pPr>
    </w:p>
    <w:p w14:paraId="75B0CF9B" w14:textId="659F868E" w:rsidR="0098410D" w:rsidRPr="00C23803" w:rsidRDefault="00AC7C46" w:rsidP="00C23803">
      <w:pPr>
        <w:pStyle w:val="DecHTitle"/>
      </w:pPr>
      <w:r>
        <w:t>PIERWSZA SEKCJA</w:t>
      </w:r>
    </w:p>
    <w:p w14:paraId="1B195E9A" w14:textId="21D9C19E" w:rsidR="008E6217" w:rsidRPr="00C23803" w:rsidRDefault="008E6217" w:rsidP="00C23803">
      <w:pPr>
        <w:pStyle w:val="JuTitle"/>
      </w:pPr>
      <w:bookmarkStart w:id="1" w:name="To"/>
      <w:r>
        <w:t>SPRAWA</w:t>
      </w:r>
      <w:r w:rsidR="00523548">
        <w:t xml:space="preserve"> </w:t>
      </w:r>
      <w:bookmarkEnd w:id="1"/>
      <w:proofErr w:type="spellStart"/>
      <w:r>
        <w:t>T.Z</w:t>
      </w:r>
      <w:proofErr w:type="spellEnd"/>
      <w:r>
        <w:t>. I INNI przeciwko POLSCE</w:t>
      </w:r>
    </w:p>
    <w:p w14:paraId="374F0600" w14:textId="5614E6F0" w:rsidR="00D74888" w:rsidRPr="00C23803" w:rsidRDefault="008E6217" w:rsidP="00C23803">
      <w:pPr>
        <w:pStyle w:val="ECHRCoverTitle4"/>
      </w:pPr>
      <w:r>
        <w:t>(Skarga nr 41764/17)</w:t>
      </w:r>
    </w:p>
    <w:p w14:paraId="11E15ED0" w14:textId="5E14D58E" w:rsidR="0098410D" w:rsidRPr="00C23803" w:rsidRDefault="0098410D" w:rsidP="00C23803">
      <w:pPr>
        <w:pStyle w:val="DecHCase"/>
      </w:pPr>
    </w:p>
    <w:p w14:paraId="60519BD3" w14:textId="35D3D56E" w:rsidR="00F0560E" w:rsidRPr="00C23803" w:rsidRDefault="00F0560E" w:rsidP="00C23803">
      <w:pPr>
        <w:pStyle w:val="DecHCase"/>
      </w:pPr>
    </w:p>
    <w:p w14:paraId="1AAFA665" w14:textId="77777777" w:rsidR="00F0560E" w:rsidRPr="00C23803" w:rsidRDefault="00F0560E" w:rsidP="00C23803">
      <w:pPr>
        <w:pStyle w:val="DecHCase"/>
      </w:pPr>
    </w:p>
    <w:p w14:paraId="0DFF014C" w14:textId="77777777" w:rsidR="00AC4CD4" w:rsidRPr="00C23803" w:rsidRDefault="00AC4CD4" w:rsidP="00C23803">
      <w:pPr>
        <w:pStyle w:val="DecHCase"/>
      </w:pPr>
    </w:p>
    <w:p w14:paraId="0AE168C6" w14:textId="77777777" w:rsidR="0098410D" w:rsidRPr="00C23803" w:rsidRDefault="0098410D" w:rsidP="00C23803">
      <w:pPr>
        <w:pStyle w:val="DecHCase"/>
      </w:pPr>
    </w:p>
    <w:p w14:paraId="047D3532" w14:textId="68F2B6C4" w:rsidR="0098410D" w:rsidRPr="00C23803" w:rsidRDefault="0098410D" w:rsidP="00C23803">
      <w:pPr>
        <w:pStyle w:val="DecHCase"/>
      </w:pPr>
      <w:r>
        <w:t>WYROK</w:t>
      </w:r>
      <w:r>
        <w:br/>
      </w:r>
    </w:p>
    <w:p w14:paraId="526E7AA8" w14:textId="77777777" w:rsidR="0098410D" w:rsidRPr="00C23803" w:rsidRDefault="0098410D" w:rsidP="00C23803">
      <w:pPr>
        <w:pStyle w:val="DecHCase"/>
      </w:pPr>
      <w:r>
        <w:t>STRASBURG</w:t>
      </w:r>
    </w:p>
    <w:p w14:paraId="73646169" w14:textId="23843C39" w:rsidR="0098410D" w:rsidRPr="00C23803" w:rsidRDefault="00AC7C46" w:rsidP="00C23803">
      <w:pPr>
        <w:pStyle w:val="DecHCase"/>
      </w:pPr>
      <w:r>
        <w:rPr>
          <w:rFonts w:ascii="Times New Roman" w:hAnsi="Times New Roman"/>
        </w:rPr>
        <w:t>13 października 2022 r.</w:t>
      </w:r>
    </w:p>
    <w:p w14:paraId="1176D6C7" w14:textId="77777777" w:rsidR="00F0560E" w:rsidRPr="00C23803" w:rsidRDefault="00F0560E" w:rsidP="00C23803">
      <w:pPr>
        <w:pStyle w:val="JuPara"/>
      </w:pPr>
    </w:p>
    <w:p w14:paraId="49F71E80" w14:textId="4F3D63A5" w:rsidR="002422B6" w:rsidRPr="00C23803" w:rsidRDefault="0098410D" w:rsidP="00C23803">
      <w:pPr>
        <w:rPr>
          <w:i/>
          <w:sz w:val="22"/>
        </w:rPr>
      </w:pPr>
      <w:r>
        <w:rPr>
          <w:i/>
          <w:sz w:val="22"/>
        </w:rPr>
        <w:t>Wyrok ten jest ostateczny, ale może podlegać korekcie wydawniczej.</w:t>
      </w:r>
    </w:p>
    <w:p w14:paraId="2859E726" w14:textId="77777777" w:rsidR="0098410D" w:rsidRPr="00C23803" w:rsidRDefault="0098410D" w:rsidP="00C23803">
      <w:pPr>
        <w:sectPr w:rsidR="0098410D" w:rsidRPr="00C23803" w:rsidSect="00D6647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1C055DB2" w14:textId="6FF8C2D4" w:rsidR="0098410D" w:rsidRPr="00C23803" w:rsidRDefault="0098410D" w:rsidP="00C23803">
      <w:pPr>
        <w:pStyle w:val="JuCase"/>
      </w:pPr>
      <w:r>
        <w:lastRenderedPageBreak/>
        <w:t xml:space="preserve">W sprawie </w:t>
      </w:r>
      <w:proofErr w:type="spellStart"/>
      <w:r>
        <w:t>T.Z</w:t>
      </w:r>
      <w:proofErr w:type="spellEnd"/>
      <w:r>
        <w:t>. i Inni przeciwko Polsce,</w:t>
      </w:r>
    </w:p>
    <w:p w14:paraId="14E834AF" w14:textId="582DF74F" w:rsidR="009F4C8F" w:rsidRPr="00C23803" w:rsidRDefault="009F4C8F" w:rsidP="00C23803">
      <w:pPr>
        <w:pStyle w:val="JuPara"/>
      </w:pPr>
      <w:r>
        <w:t>Europejski Trybunał Praw Człowieka (</w:t>
      </w:r>
      <w:r w:rsidR="00A31FBD">
        <w:t>Pierwsza Sekcja</w:t>
      </w:r>
      <w:r>
        <w:t>), zasiadając jako Komitet w składzie:</w:t>
      </w:r>
    </w:p>
    <w:p w14:paraId="14451C66" w14:textId="40842E0F" w:rsidR="009878F6" w:rsidRPr="00C23803" w:rsidRDefault="009878F6" w:rsidP="00C23803">
      <w:pPr>
        <w:pStyle w:val="JuJudges"/>
        <w:ind w:left="284"/>
        <w:rPr>
          <w:i/>
        </w:rPr>
      </w:pPr>
      <w:r>
        <w:tab/>
        <w:t xml:space="preserve">Lorraine </w:t>
      </w:r>
      <w:proofErr w:type="spellStart"/>
      <w:r>
        <w:t>Schembri</w:t>
      </w:r>
      <w:proofErr w:type="spellEnd"/>
      <w:r>
        <w:t xml:space="preserve"> </w:t>
      </w:r>
      <w:proofErr w:type="spellStart"/>
      <w:r>
        <w:t>Orland</w:t>
      </w:r>
      <w:proofErr w:type="spellEnd"/>
      <w:r>
        <w:rPr>
          <w:i/>
        </w:rPr>
        <w:t>, Przewodniczący,</w:t>
      </w:r>
    </w:p>
    <w:p w14:paraId="7AB0CBF3" w14:textId="29E7DAE7" w:rsidR="009878F6" w:rsidRPr="00C23803" w:rsidRDefault="009878F6" w:rsidP="00C23803">
      <w:pPr>
        <w:pStyle w:val="JuJudges"/>
        <w:ind w:left="284"/>
        <w:rPr>
          <w:i/>
        </w:rPr>
      </w:pPr>
      <w:r>
        <w:tab/>
        <w:t xml:space="preserve">Krzysztof </w:t>
      </w:r>
      <w:proofErr w:type="spellStart"/>
      <w:r>
        <w:t>Wojtyczek</w:t>
      </w:r>
      <w:proofErr w:type="spellEnd"/>
      <w:r>
        <w:rPr>
          <w:i/>
        </w:rPr>
        <w:t>,</w:t>
      </w:r>
    </w:p>
    <w:p w14:paraId="1C9DB64F" w14:textId="77777777" w:rsidR="009878F6" w:rsidRPr="00C23803" w:rsidRDefault="009878F6" w:rsidP="00C23803">
      <w:pPr>
        <w:pStyle w:val="JuJudges"/>
        <w:ind w:left="284"/>
      </w:pPr>
      <w:r>
        <w:tab/>
      </w:r>
      <w:proofErr w:type="spellStart"/>
      <w:r>
        <w:t>Ioannis</w:t>
      </w:r>
      <w:proofErr w:type="spellEnd"/>
      <w:r>
        <w:t xml:space="preserve"> </w:t>
      </w:r>
      <w:proofErr w:type="spellStart"/>
      <w:r>
        <w:t>Ktistakis</w:t>
      </w:r>
      <w:proofErr w:type="spellEnd"/>
      <w:r>
        <w:rPr>
          <w:i/>
        </w:rPr>
        <w:t>, Sędziowie,</w:t>
      </w:r>
    </w:p>
    <w:p w14:paraId="2B39C7D6" w14:textId="44ECE684" w:rsidR="009F4C8F" w:rsidRPr="00C23803" w:rsidRDefault="009F4C8F" w:rsidP="00C23803">
      <w:pPr>
        <w:pStyle w:val="JuJudges"/>
        <w:rPr>
          <w:i/>
        </w:rPr>
      </w:pPr>
      <w:r>
        <w:t xml:space="preserve">oraz </w:t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, </w:t>
      </w:r>
      <w:r>
        <w:rPr>
          <w:i/>
          <w:iCs/>
        </w:rPr>
        <w:t>Zastępca Kanclerza</w:t>
      </w:r>
      <w:r w:rsidR="00A31FBD">
        <w:rPr>
          <w:i/>
          <w:iCs/>
        </w:rPr>
        <w:t xml:space="preserve"> Sekcji</w:t>
      </w:r>
      <w:r>
        <w:rPr>
          <w:i/>
          <w:iCs/>
        </w:rPr>
        <w:t>,</w:t>
      </w:r>
    </w:p>
    <w:p w14:paraId="62B4214D" w14:textId="77777777" w:rsidR="00AC7C46" w:rsidRPr="00C23803" w:rsidRDefault="00AC7C46" w:rsidP="00C23803">
      <w:pPr>
        <w:pStyle w:val="JuPara"/>
      </w:pPr>
      <w:r>
        <w:t>Mając na uwadze:</w:t>
      </w:r>
    </w:p>
    <w:p w14:paraId="336E6888" w14:textId="31EE0B3E" w:rsidR="00AC7C46" w:rsidRPr="00C23803" w:rsidRDefault="00AC7C46" w:rsidP="00C23803">
      <w:pPr>
        <w:pStyle w:val="JuPara"/>
      </w:pPr>
      <w:r>
        <w:t>skargę (nr 41764/17) przeciwko Rzeczypospolitej Polskiej wniesioną do</w:t>
      </w:r>
      <w:r w:rsidR="00E55900">
        <w:t> </w:t>
      </w:r>
      <w:r>
        <w:t>Trybunału, w dniu 13 czerwca 2017 r., na podstawie art. 34 Konwencji o</w:t>
      </w:r>
      <w:r w:rsidR="00E55900">
        <w:t> </w:t>
      </w:r>
      <w:r>
        <w:t xml:space="preserve">ochronie praw człowieka i podstawowych wolności („Konwencja") przez sześciu obywateli Rosji, panią </w:t>
      </w:r>
      <w:proofErr w:type="spellStart"/>
      <w:r>
        <w:t>Z.T</w:t>
      </w:r>
      <w:proofErr w:type="spellEnd"/>
      <w:r>
        <w:t xml:space="preserve">. („pierwsza skarżąca”) oraz pana </w:t>
      </w:r>
      <w:proofErr w:type="spellStart"/>
      <w:r>
        <w:t>M.M</w:t>
      </w:r>
      <w:proofErr w:type="spellEnd"/>
      <w:r>
        <w:t>. („drugi skarżący”), którzy są małżeństwem, oraz ich czworo nieletnich dzieci (wspólnie „skarżący” - odpowiednie dane wymienione w załączonej tabeli), którzy otrzymali pomoc prawną i byli reprezentowani przez pana M.</w:t>
      </w:r>
      <w:r w:rsidR="00E55900">
        <w:t> </w:t>
      </w:r>
      <w:proofErr w:type="spellStart"/>
      <w:r>
        <w:t>Matsiushchankau</w:t>
      </w:r>
      <w:proofErr w:type="spellEnd"/>
      <w:r>
        <w:t>, prawnika praktykującego w Wilnie;</w:t>
      </w:r>
    </w:p>
    <w:p w14:paraId="2DACEFEA" w14:textId="0F12835B" w:rsidR="00AC7C46" w:rsidRPr="00C23803" w:rsidRDefault="00AC7C46" w:rsidP="00C23803">
      <w:pPr>
        <w:pStyle w:val="JuPara"/>
      </w:pPr>
      <w:r>
        <w:t>decyzję o za</w:t>
      </w:r>
      <w:r w:rsidR="008E57CC">
        <w:t>komunikowaniu skargi Rządowi polskiemu („Rząd”), reprezentowanemu</w:t>
      </w:r>
      <w:r>
        <w:t xml:space="preserve"> przez </w:t>
      </w:r>
      <w:r w:rsidR="008E57CC">
        <w:t>swo</w:t>
      </w:r>
      <w:r>
        <w:t>jego pełnomocnika, pana J.</w:t>
      </w:r>
      <w:r w:rsidR="00953A71">
        <w:t xml:space="preserve"> </w:t>
      </w:r>
      <w:r>
        <w:t>Sobczaka z</w:t>
      </w:r>
      <w:r w:rsidR="00E55900">
        <w:t> </w:t>
      </w:r>
      <w:r>
        <w:t>Ministerstwa Spraw Zagranicznych;</w:t>
      </w:r>
    </w:p>
    <w:p w14:paraId="5E7CBAEC" w14:textId="3782955B" w:rsidR="00AC7C46" w:rsidRPr="00C23803" w:rsidRDefault="00AC7C46" w:rsidP="00C23803">
      <w:pPr>
        <w:pStyle w:val="JuPara"/>
      </w:pPr>
      <w:r>
        <w:t>decyzję o nieujawnianiu nazwisk skarżących;</w:t>
      </w:r>
    </w:p>
    <w:p w14:paraId="721BE48B" w14:textId="77777777" w:rsidR="00AC7C46" w:rsidRPr="00C23803" w:rsidRDefault="00AC7C46" w:rsidP="00C23803">
      <w:pPr>
        <w:pStyle w:val="JuPara"/>
      </w:pPr>
      <w:r>
        <w:t>decyzję o przyznaniu pierwszeństwa skardze (Reguła 41 Regulaminu Trybunału);</w:t>
      </w:r>
    </w:p>
    <w:p w14:paraId="331BAF85" w14:textId="08F546CB" w:rsidR="00AC7C46" w:rsidRPr="00C23803" w:rsidRDefault="00AC7C46" w:rsidP="00C23803">
      <w:pPr>
        <w:pStyle w:val="JuPara"/>
      </w:pPr>
      <w:r>
        <w:t>uwagi stron;</w:t>
      </w:r>
    </w:p>
    <w:p w14:paraId="71B28C35" w14:textId="21C587F6" w:rsidR="009F4C8F" w:rsidRPr="00C23803" w:rsidRDefault="009F4C8F" w:rsidP="00C23803">
      <w:pPr>
        <w:pStyle w:val="JuPara"/>
      </w:pPr>
      <w:r>
        <w:t>obradując na posiedzeniu niejawnym w dniu 20 września 2022 r.,</w:t>
      </w:r>
    </w:p>
    <w:p w14:paraId="69B9B554" w14:textId="77777777" w:rsidR="009F4C8F" w:rsidRPr="00C23803" w:rsidRDefault="009F4C8F" w:rsidP="00C23803">
      <w:pPr>
        <w:pStyle w:val="JuPara"/>
      </w:pPr>
      <w:r>
        <w:t>wydaje następujący wyrok, który został przyjęty w tym dniu:</w:t>
      </w:r>
    </w:p>
    <w:p w14:paraId="146E3CE6" w14:textId="206C4FC4" w:rsidR="00AC7C46" w:rsidRPr="00C23803" w:rsidRDefault="00AC7C46" w:rsidP="00C23803">
      <w:pPr>
        <w:pStyle w:val="JuHHead"/>
        <w:numPr>
          <w:ilvl w:val="0"/>
          <w:numId w:val="0"/>
        </w:numPr>
      </w:pPr>
      <w:r>
        <w:t>PRZEDMIOT SPRAWY</w:t>
      </w:r>
    </w:p>
    <w:p w14:paraId="6422EDD0" w14:textId="19F9AD79" w:rsidR="00AC7C46" w:rsidRPr="00C23803" w:rsidRDefault="00C23803" w:rsidP="00C23803">
      <w:pPr>
        <w:pStyle w:val="JuPara"/>
        <w:rPr>
          <w:rFonts w:eastAsia="Times New Roman"/>
        </w:rPr>
      </w:pPr>
      <w:r w:rsidRPr="00C23803">
        <w:t>1</w:t>
      </w:r>
      <w:r w:rsidR="002D5F7D">
        <w:t>.</w:t>
      </w:r>
      <w:r w:rsidR="00523548">
        <w:t xml:space="preserve"> </w:t>
      </w:r>
      <w:r w:rsidR="002D5F7D">
        <w:t>Niniejsza sprawa dotyczy licznych odmów władz polskich rozpatrzenia wniosków skarżących o udzielenie ochrony międzynarodowej, odmowy ich wjazdu do Polski oraz zawracania na Białoruś.</w:t>
      </w:r>
    </w:p>
    <w:p w14:paraId="2B0A2F7D" w14:textId="293B7CD0" w:rsidR="00AC7C46" w:rsidRPr="00C23803" w:rsidRDefault="00AC7C46" w:rsidP="00C23803">
      <w:pPr>
        <w:pStyle w:val="JuHIRoman"/>
        <w:ind w:left="0" w:firstLine="0"/>
      </w:pPr>
      <w:r>
        <w:t>Przybycie skarżących do Polski</w:t>
      </w:r>
    </w:p>
    <w:p w14:paraId="40CC899B" w14:textId="38172211" w:rsidR="00AC7C46" w:rsidRPr="00C23803" w:rsidRDefault="00C23803" w:rsidP="00C23803">
      <w:pPr>
        <w:pStyle w:val="JuPara"/>
      </w:pPr>
      <w:r w:rsidRPr="00C23803">
        <w:t>2</w:t>
      </w:r>
      <w:r w:rsidR="002D5F7D">
        <w:t>.</w:t>
      </w:r>
      <w:r w:rsidR="00523548">
        <w:t xml:space="preserve"> </w:t>
      </w:r>
      <w:r w:rsidR="002D5F7D">
        <w:t xml:space="preserve">W okresie od 21 lutego do 14 kwietnia 2017 r. skarżący dwudziestoczterokrotnie przybywali na polsko-białoruskie przejście graniczne w Terespolu. W </w:t>
      </w:r>
      <w:r w:rsidR="002842EC">
        <w:t>świetle ich oświadczenia,</w:t>
      </w:r>
      <w:r w:rsidR="002D5F7D">
        <w:t xml:space="preserve"> za każdym razem wyrażali chęć złożenia wniosku o udzielenie ochrony międzynarodowej, a</w:t>
      </w:r>
      <w:r w:rsidR="00E55900">
        <w:t> </w:t>
      </w:r>
      <w:r w:rsidR="002D5F7D">
        <w:t>w rozmowie ze strażą graniczną wyrażali obawy o swoje bezpieczeństwo w przypadku powrotu do Czeczenii. Pierwsza skarżąca twierdziła, że kiedy przebywała w Czeczenii</w:t>
      </w:r>
      <w:r w:rsidR="002842EC">
        <w:t>,</w:t>
      </w:r>
      <w:r w:rsidR="002D5F7D">
        <w:t xml:space="preserve"> była prześladowana przez mężczyznę, którego zaloty odrzuciła i który miał powiązania z wojskiem. Twierdziła, że</w:t>
      </w:r>
      <w:r w:rsidR="00E55900">
        <w:t> </w:t>
      </w:r>
      <w:r w:rsidR="002D5F7D">
        <w:t xml:space="preserve">mężczyzna, o którym mowa, groził jej po ślubie z drugim skarżącym. Skarżący twierdzili ponadto, że drugi skarżący został zatrzymany przez </w:t>
      </w:r>
      <w:r w:rsidR="002D5F7D">
        <w:lastRenderedPageBreak/>
        <w:t>policję na podstawie fałszywych zarzutów. Został zabrany w nieznane miejsce, gdzie był tor</w:t>
      </w:r>
      <w:r w:rsidR="002842EC">
        <w:t xml:space="preserve">turowany i zastraszany. Później </w:t>
      </w:r>
      <w:r w:rsidR="002D5F7D">
        <w:t>niezidentyfikowane osoby próbowały podpalić dom skarżących. Następnie skarżący opuścili swój dom i udali się na Białoruś z zamiarem dalszej podróży do Polski. Nie</w:t>
      </w:r>
      <w:r w:rsidR="00E55900">
        <w:t> </w:t>
      </w:r>
      <w:r w:rsidR="002D5F7D">
        <w:t>mogli pozostać na Białorusi, ponieważ ich wizy miały wkrótce wygasnąć, a w praktyce niemożliwe byłoby uzyskanie tam przez nich ochrony międzynarodowej. Kiedy próbowali przekroczyć polską granicę, Straż Graniczna odmówiła im wjazdu w postępowaniu uproszczonym i</w:t>
      </w:r>
      <w:r w:rsidR="00E55900">
        <w:t> </w:t>
      </w:r>
      <w:r w:rsidR="002D5F7D">
        <w:t>odesłała ich na Białoruś.</w:t>
      </w:r>
    </w:p>
    <w:p w14:paraId="01C7C5D2" w14:textId="500745CF" w:rsidR="00AC7C46" w:rsidRPr="00C23803" w:rsidRDefault="00C23803" w:rsidP="00C23803">
      <w:pPr>
        <w:pStyle w:val="JuPara"/>
      </w:pPr>
      <w:r w:rsidRPr="00C23803">
        <w:t>3</w:t>
      </w:r>
      <w:r w:rsidR="00AC7C46">
        <w:t>.</w:t>
      </w:r>
      <w:r w:rsidR="00523548">
        <w:t xml:space="preserve"> </w:t>
      </w:r>
      <w:r w:rsidR="00AC7C46">
        <w:t>Za każdym razem, gdy skarżący zgłaszali się na przejści</w:t>
      </w:r>
      <w:r w:rsidR="002842EC">
        <w:t>e graniczne</w:t>
      </w:r>
      <w:r w:rsidR="00AC7C46">
        <w:t xml:space="preserve"> w</w:t>
      </w:r>
      <w:r w:rsidR="00E55900">
        <w:t> </w:t>
      </w:r>
      <w:r w:rsidR="00AC7C46">
        <w:t>Terespolu, wydawano decyzje administracyjne o odmowie wjazdu do</w:t>
      </w:r>
      <w:r w:rsidR="00E55900">
        <w:t> </w:t>
      </w:r>
      <w:r w:rsidR="00AC7C46">
        <w:t>Polski, uzasadniając to faktem, iż nie posiadali żadnych dokumentów zezwalających na wjazd do Polski i nie oświadczyli, że są narażeni na</w:t>
      </w:r>
      <w:r w:rsidR="00E55900">
        <w:t> </w:t>
      </w:r>
      <w:r w:rsidR="00AC7C46">
        <w:t>prześladowania w swoim kraju, lecz raczej</w:t>
      </w:r>
      <w:r w:rsidR="002842EC">
        <w:t>,</w:t>
      </w:r>
      <w:r w:rsidR="00AC7C46">
        <w:t xml:space="preserve"> że próbują wyemigrować z</w:t>
      </w:r>
      <w:r w:rsidR="00E55900">
        <w:t> </w:t>
      </w:r>
      <w:r w:rsidR="00AC7C46">
        <w:t>powodów ekonomicznych lub osobistych. Skarżący nie odwołali się od</w:t>
      </w:r>
      <w:r w:rsidR="00E55900">
        <w:t> </w:t>
      </w:r>
      <w:r w:rsidR="00AC7C46">
        <w:t>decyzji administracyjnych.</w:t>
      </w:r>
    </w:p>
    <w:p w14:paraId="67FCB9D7" w14:textId="55FC3FBC" w:rsidR="00AC7C46" w:rsidRPr="00C23803" w:rsidRDefault="00C23803" w:rsidP="00C23803">
      <w:pPr>
        <w:pStyle w:val="JuPara"/>
      </w:pPr>
      <w:r w:rsidRPr="00C23803">
        <w:t>4</w:t>
      </w:r>
      <w:r w:rsidR="00AC7C46">
        <w:t>.</w:t>
      </w:r>
      <w:r w:rsidR="00523548">
        <w:t xml:space="preserve"> </w:t>
      </w:r>
      <w:r w:rsidR="00AC7C46">
        <w:t>W marcu i kwietniu 2017 r. skarżący trzykrotnie udali się na przejście graniczne w Terespolu. Tym razem mieli ze sobą pisemny wniosek o</w:t>
      </w:r>
      <w:r w:rsidR="00E55900">
        <w:t> </w:t>
      </w:r>
      <w:r w:rsidR="00AC7C46">
        <w:t xml:space="preserve">udzielenie ochrony międzynarodowej, który </w:t>
      </w:r>
      <w:r w:rsidR="002842EC">
        <w:t>–</w:t>
      </w:r>
      <w:r w:rsidR="00AC7C46">
        <w:t xml:space="preserve"> według</w:t>
      </w:r>
      <w:r w:rsidR="002842EC">
        <w:t xml:space="preserve"> </w:t>
      </w:r>
      <w:r w:rsidR="00AC7C46">
        <w:t xml:space="preserve">ich twierdzeń </w:t>
      </w:r>
      <w:r w:rsidR="002842EC">
        <w:t>–</w:t>
      </w:r>
      <w:r w:rsidR="00AC7C46">
        <w:t xml:space="preserve"> próbowali złożyć u funkcjonariuszy Straży Granicznej. Skarżącym ponownie odmówiono wjazdu do Polski i odesłano ich na Białoruś.</w:t>
      </w:r>
    </w:p>
    <w:p w14:paraId="657261EB" w14:textId="5364FD2C" w:rsidR="00AC7C46" w:rsidRPr="00C23803" w:rsidRDefault="00AC7C46" w:rsidP="00C23803">
      <w:pPr>
        <w:pStyle w:val="JuHIRoman"/>
      </w:pPr>
      <w:r>
        <w:t xml:space="preserve">Środek tymczasowy wskazany przez Trybunał </w:t>
      </w:r>
      <w:r w:rsidR="00D46932">
        <w:t>I</w:t>
      </w:r>
      <w:r w:rsidR="00E55900">
        <w:t> </w:t>
      </w:r>
      <w:r>
        <w:t>dalszy rozwój sytuacji</w:t>
      </w:r>
    </w:p>
    <w:p w14:paraId="70236C07" w14:textId="4ABB523C" w:rsidR="00AC7C46" w:rsidRPr="00C23803" w:rsidRDefault="00C23803" w:rsidP="00C23803">
      <w:pPr>
        <w:pStyle w:val="JuPara"/>
      </w:pPr>
      <w:r w:rsidRPr="00C23803">
        <w:t>5</w:t>
      </w:r>
      <w:r w:rsidR="00AC7C46">
        <w:t>.</w:t>
      </w:r>
      <w:r w:rsidR="00523548">
        <w:t xml:space="preserve"> </w:t>
      </w:r>
      <w:r w:rsidR="00AC7C46">
        <w:t xml:space="preserve">W dniu 13 czerwca 2017 r., kiedy skarżący zgłosili się </w:t>
      </w:r>
      <w:r w:rsidR="00D46932">
        <w:t>ponownie na</w:t>
      </w:r>
      <w:r w:rsidR="00E55900">
        <w:t> </w:t>
      </w:r>
      <w:r w:rsidR="00D46932">
        <w:t>przejście graniczne</w:t>
      </w:r>
      <w:r w:rsidR="00AC7C46">
        <w:t xml:space="preserve"> w Terespolu, ich pełnomocnik złożył wniosek na</w:t>
      </w:r>
      <w:r w:rsidR="00E55900">
        <w:t> </w:t>
      </w:r>
      <w:r w:rsidR="00AC7C46">
        <w:t>podstawie Reguły 39 Regulaminu Trybunału, zwracając się do</w:t>
      </w:r>
      <w:r w:rsidR="00E55900">
        <w:t> </w:t>
      </w:r>
      <w:r w:rsidR="00AC7C46">
        <w:t>Trybunału o zapobieżenie ich wydaleniu na Białoruś.</w:t>
      </w:r>
    </w:p>
    <w:p w14:paraId="19F44BD2" w14:textId="08B1F762" w:rsidR="00AC7C46" w:rsidRPr="00C23803" w:rsidRDefault="00C23803" w:rsidP="00C23803">
      <w:pPr>
        <w:pStyle w:val="JuPara"/>
      </w:pPr>
      <w:r w:rsidRPr="00C23803">
        <w:t>6</w:t>
      </w:r>
      <w:r w:rsidR="00AC7C46">
        <w:t>.</w:t>
      </w:r>
      <w:r w:rsidR="00523548">
        <w:t xml:space="preserve"> </w:t>
      </w:r>
      <w:r w:rsidR="00AC7C46">
        <w:t>W dniu 13 czerwca 2017 r., o godz. 10.48, Trybunał (sędzia dyżurny) postanowił zastosować Regułę 39, wskazując Rządowi polskiemu, że</w:t>
      </w:r>
      <w:r w:rsidR="00E55900">
        <w:t> </w:t>
      </w:r>
      <w:r w:rsidR="00AC7C46">
        <w:t>skarżący nie powinni być wydalani na Białoruś do dnia 27 czerwca 2017</w:t>
      </w:r>
      <w:r w:rsidR="00E55900">
        <w:t> </w:t>
      </w:r>
      <w:r w:rsidR="00AC7C46">
        <w:t xml:space="preserve">r. Rząd został poinformowany o środku tymczasowym przed planowanym terminem wydalenia. </w:t>
      </w:r>
      <w:r w:rsidR="00D46932">
        <w:t>Niemniej jednak</w:t>
      </w:r>
      <w:r w:rsidR="00AC7C46">
        <w:t xml:space="preserve"> o godz. 11.25 skarżący zostali odesłani na Białoruś. W notatce służbowej sporządzonej przy tej</w:t>
      </w:r>
      <w:r w:rsidR="00E55900">
        <w:t> </w:t>
      </w:r>
      <w:r w:rsidR="00AC7C46">
        <w:t>okazji przez funkcjonariuszy Straży Granicznej stwierdzono, że będąc na</w:t>
      </w:r>
      <w:r w:rsidR="00E55900">
        <w:t> </w:t>
      </w:r>
      <w:r w:rsidR="00AC7C46">
        <w:t>granicy, skarżący wyrazili chęć wjazdu do Polski oraz wyjazdu do Niemiec w celu dołączenia do przebywającej tam siostry drugiego skarżącego, zamieszkania tam i podjęcia pracy.</w:t>
      </w:r>
    </w:p>
    <w:p w14:paraId="4C0D73C1" w14:textId="632E5F61" w:rsidR="00AC7C46" w:rsidRPr="00C23803" w:rsidRDefault="00C23803" w:rsidP="00C23803">
      <w:pPr>
        <w:pStyle w:val="JuPara"/>
      </w:pPr>
      <w:r w:rsidRPr="00C23803">
        <w:t>7</w:t>
      </w:r>
      <w:r w:rsidR="00AC7C46">
        <w:t>.</w:t>
      </w:r>
      <w:r w:rsidR="00523548">
        <w:t xml:space="preserve"> </w:t>
      </w:r>
      <w:r w:rsidR="00AC7C46">
        <w:t>W dniu 19 czerwca 2017</w:t>
      </w:r>
      <w:r w:rsidR="00D46932">
        <w:t xml:space="preserve"> r.</w:t>
      </w:r>
      <w:r w:rsidR="00AC7C46">
        <w:t xml:space="preserve"> skarżący powrócili do punktu odprawy granicznej w Terespolu, mając przy sobie wniosek o udzielenie ochrony międzynarodowej oraz kopię pisma informującego ich pełnomocnika o</w:t>
      </w:r>
      <w:r w:rsidR="00E55900">
        <w:t> </w:t>
      </w:r>
      <w:r w:rsidR="00AC7C46">
        <w:t xml:space="preserve">postanowieniu Trybunału w sprawie środka tymczasowego. Tym razem </w:t>
      </w:r>
      <w:r w:rsidR="00AC7C46">
        <w:lastRenderedPageBreak/>
        <w:t>zezwolono im na wjazd do Polski i złożyli wnioski o udzielenie ochrony międzynarodowej.</w:t>
      </w:r>
    </w:p>
    <w:p w14:paraId="3B1EA35B" w14:textId="0EFDA245" w:rsidR="00AC7C46" w:rsidRPr="00C23803" w:rsidRDefault="00C23803" w:rsidP="00C23803">
      <w:pPr>
        <w:pStyle w:val="JuPara"/>
      </w:pPr>
      <w:r w:rsidRPr="00C23803">
        <w:t>8</w:t>
      </w:r>
      <w:r w:rsidR="00AC7C46">
        <w:t>.</w:t>
      </w:r>
      <w:r w:rsidR="00523548">
        <w:t xml:space="preserve"> </w:t>
      </w:r>
      <w:r w:rsidR="00AC7C46">
        <w:t>W dniu 27 czerwca 2017</w:t>
      </w:r>
      <w:r w:rsidR="00D46932">
        <w:t xml:space="preserve"> r.</w:t>
      </w:r>
      <w:r w:rsidR="00AC7C46">
        <w:t xml:space="preserve"> </w:t>
      </w:r>
      <w:r w:rsidR="00D46932">
        <w:t>Trybunał</w:t>
      </w:r>
      <w:r w:rsidR="00AC7C46">
        <w:t xml:space="preserve"> (sędzia dyżurny) przedłużył stosowanie środka tymczasowego do dnia 27 lipca 2017</w:t>
      </w:r>
      <w:r w:rsidR="00D46932">
        <w:t xml:space="preserve"> r.</w:t>
      </w:r>
    </w:p>
    <w:p w14:paraId="216DB7A5" w14:textId="425A6BB8" w:rsidR="00AC7C46" w:rsidRPr="00C23803" w:rsidRDefault="00C23803" w:rsidP="00C23803">
      <w:pPr>
        <w:pStyle w:val="JuPara"/>
      </w:pPr>
      <w:r w:rsidRPr="00C23803">
        <w:t>9</w:t>
      </w:r>
      <w:r w:rsidR="00AC7C46">
        <w:t>.</w:t>
      </w:r>
      <w:r w:rsidR="00523548">
        <w:t xml:space="preserve"> </w:t>
      </w:r>
      <w:r w:rsidR="00AC7C46">
        <w:t>Biorąc pod uwagę fakt, że skarżącym zezwolono na wjazd do Polski i</w:t>
      </w:r>
      <w:r w:rsidR="00E55900">
        <w:t> </w:t>
      </w:r>
      <w:r w:rsidR="00AC7C46">
        <w:t xml:space="preserve">że </w:t>
      </w:r>
      <w:r w:rsidR="00D46932">
        <w:t>–</w:t>
      </w:r>
      <w:r w:rsidR="00AC7C46">
        <w:t xml:space="preserve"> do czasu zakończenia postępowania dotyczącego ich wniosku o</w:t>
      </w:r>
      <w:r w:rsidR="00E55900">
        <w:t> </w:t>
      </w:r>
      <w:r w:rsidR="00AC7C46">
        <w:t xml:space="preserve">udzielenie ochrony międzynarodowej </w:t>
      </w:r>
      <w:r w:rsidR="00D46932">
        <w:t>–</w:t>
      </w:r>
      <w:r w:rsidR="00AC7C46">
        <w:t xml:space="preserve"> nie groziło im wydalenie, w dniu 20 lipca 2017 r</w:t>
      </w:r>
      <w:r w:rsidR="00D46932">
        <w:t>.</w:t>
      </w:r>
      <w:r w:rsidR="00AC7C46">
        <w:t xml:space="preserve"> Trybunał (sędzia dyżurny) postanowił uchylić środek tymczasowy na podstawie Reguły 39.</w:t>
      </w:r>
    </w:p>
    <w:p w14:paraId="092B09C4" w14:textId="3A58C63C" w:rsidR="00AC7C46" w:rsidRPr="00C23803" w:rsidRDefault="00C23803" w:rsidP="00C23803">
      <w:pPr>
        <w:pStyle w:val="JuPara"/>
      </w:pPr>
      <w:r w:rsidRPr="00C23803">
        <w:t>10</w:t>
      </w:r>
      <w:r w:rsidR="002D5F7D">
        <w:t>.</w:t>
      </w:r>
      <w:r w:rsidR="00523548">
        <w:t xml:space="preserve"> </w:t>
      </w:r>
      <w:r w:rsidR="002D5F7D">
        <w:t>W dniu 20 kwietnia 2018 r. Szef Urzędu do Spraw Cudzoziemców odmówił udzielenia im ochrony międzynarodowej. Decyzja ta została podtrzymana przez Radę do Spraw Uchodźców w dniu 2 października 2019</w:t>
      </w:r>
      <w:r w:rsidR="00E55900">
        <w:t> </w:t>
      </w:r>
      <w:r w:rsidR="002D5F7D">
        <w:t>r.</w:t>
      </w:r>
    </w:p>
    <w:p w14:paraId="532248FE" w14:textId="55EF7E65" w:rsidR="00AC7C46" w:rsidRPr="00C23803" w:rsidRDefault="00AC7C46" w:rsidP="00C23803">
      <w:pPr>
        <w:pStyle w:val="JuHIRoman"/>
        <w:ind w:left="0" w:firstLine="0"/>
      </w:pPr>
      <w:r>
        <w:t>zarzuty</w:t>
      </w:r>
      <w:r w:rsidR="00D46932">
        <w:t xml:space="preserve"> SKARGI</w:t>
      </w:r>
    </w:p>
    <w:p w14:paraId="6557193B" w14:textId="164821A3" w:rsidR="00AC7C46" w:rsidRPr="00C23803" w:rsidRDefault="00C23803" w:rsidP="00C23803">
      <w:pPr>
        <w:pStyle w:val="JuPara"/>
      </w:pPr>
      <w:r w:rsidRPr="00C23803">
        <w:t>11</w:t>
      </w:r>
      <w:r w:rsidR="002D5F7D">
        <w:t>.</w:t>
      </w:r>
      <w:r w:rsidR="00523548">
        <w:t xml:space="preserve"> </w:t>
      </w:r>
      <w:r w:rsidR="002D5F7D">
        <w:t>Skarżący zarzucili się, że zostali zawróceni</w:t>
      </w:r>
      <w:r w:rsidR="00D46932">
        <w:t xml:space="preserve"> z polskiej granicy na</w:t>
      </w:r>
      <w:r w:rsidR="00E55900">
        <w:t> </w:t>
      </w:r>
      <w:r w:rsidR="00D46932">
        <w:t>Białoruś</w:t>
      </w:r>
      <w:r w:rsidR="002D5F7D">
        <w:t xml:space="preserve"> bez rozpatrzenia ich wniosków o azyl. Powołali się na art. 3 Konwencji, art. 4 Protokołu nr 4 do Konwencji oraz art. 13 w związku z</w:t>
      </w:r>
      <w:r w:rsidR="00E55900">
        <w:t> </w:t>
      </w:r>
      <w:r w:rsidR="002D5F7D">
        <w:t>art.</w:t>
      </w:r>
      <w:r w:rsidR="00E55900">
        <w:t> </w:t>
      </w:r>
      <w:r w:rsidR="002D5F7D">
        <w:t>3 Konwencji i art. 4 Protokołu nr 4.</w:t>
      </w:r>
    </w:p>
    <w:p w14:paraId="596FC7EB" w14:textId="4DA0729E" w:rsidR="00AC7C46" w:rsidRPr="00C23803" w:rsidRDefault="00AC7C46" w:rsidP="00C23803">
      <w:pPr>
        <w:pStyle w:val="JuHHead"/>
      </w:pPr>
      <w:r>
        <w:t>OCENA TRYBUNAŁU</w:t>
      </w:r>
    </w:p>
    <w:p w14:paraId="30557A42" w14:textId="77777777" w:rsidR="00AC7C46" w:rsidRPr="00C23803" w:rsidRDefault="00AC7C46" w:rsidP="00C23803">
      <w:pPr>
        <w:pStyle w:val="JuHIRoman"/>
      </w:pPr>
      <w:r>
        <w:t>Dopuszczalność</w:t>
      </w:r>
    </w:p>
    <w:p w14:paraId="5A40016E" w14:textId="3804FEF5" w:rsidR="00AC7C46" w:rsidRPr="00C23803" w:rsidRDefault="00C23803" w:rsidP="00C23803">
      <w:pPr>
        <w:pStyle w:val="JuPara"/>
        <w:rPr>
          <w:rFonts w:eastAsia="Times New Roman"/>
        </w:rPr>
      </w:pPr>
      <w:r w:rsidRPr="00C23803">
        <w:rPr>
          <w:rFonts w:eastAsia="Times New Roman"/>
        </w:rPr>
        <w:t>12</w:t>
      </w:r>
      <w:r w:rsidR="00AC7C46">
        <w:t>.</w:t>
      </w:r>
      <w:r w:rsidR="00523548">
        <w:t xml:space="preserve"> </w:t>
      </w:r>
      <w:r w:rsidR="00D46932">
        <w:t xml:space="preserve">Rząd </w:t>
      </w:r>
      <w:r w:rsidR="00AC7C46">
        <w:t xml:space="preserve">twierdził, że skarżący nie odwołali się od decyzji odmawiających im wjazdu do Polski, pozbawiając tym samym polskie władze administracyjne, a dalej sądy administracyjne, możliwości rozpatrzenia ich zarzutów </w:t>
      </w:r>
      <w:r w:rsidR="00C14563">
        <w:t>naruszenia</w:t>
      </w:r>
      <w:r w:rsidR="00AC7C46">
        <w:t xml:space="preserve"> Konwencji.</w:t>
      </w:r>
    </w:p>
    <w:p w14:paraId="6483AF6D" w14:textId="2D0945EF" w:rsidR="00AC7C46" w:rsidRPr="00C23803" w:rsidRDefault="00C23803" w:rsidP="00C23803">
      <w:pPr>
        <w:pStyle w:val="JuPara"/>
        <w:rPr>
          <w:rFonts w:eastAsia="Times New Roman"/>
        </w:rPr>
      </w:pPr>
      <w:r w:rsidRPr="00C23803">
        <w:rPr>
          <w:rFonts w:eastAsia="Times New Roman"/>
        </w:rPr>
        <w:t>13</w:t>
      </w:r>
      <w:r w:rsidR="00AC7C46">
        <w:t>.</w:t>
      </w:r>
      <w:r w:rsidR="00523548">
        <w:t xml:space="preserve"> </w:t>
      </w:r>
      <w:r w:rsidR="00AC7C46">
        <w:t>Wszystkie zarzuty podniesione przez skarżących dotyczą tych samych okoliczności, a mianowicie faktu, że skarżący zostali zawróceni na</w:t>
      </w:r>
      <w:r w:rsidR="00E55900">
        <w:t> </w:t>
      </w:r>
      <w:r w:rsidR="00AC7C46">
        <w:t>polskiej granicy i odesłani na Białoruś bez wszczęcia procedury azylowej. Dlatego też należy zbadać skuteczność dostępne</w:t>
      </w:r>
      <w:r w:rsidR="00C14563">
        <w:t>j</w:t>
      </w:r>
      <w:r w:rsidR="00AC7C46">
        <w:t xml:space="preserve"> im </w:t>
      </w:r>
      <w:r w:rsidR="00C14563">
        <w:t>drogi odwoławczej</w:t>
      </w:r>
      <w:r w:rsidR="00AC7C46">
        <w:t xml:space="preserve"> pod kątem w</w:t>
      </w:r>
      <w:r w:rsidR="00C14563">
        <w:t>drożenia tego środka</w:t>
      </w:r>
      <w:r w:rsidR="00AC7C46">
        <w:t>, łącznie dla wszystkich skarg.</w:t>
      </w:r>
    </w:p>
    <w:p w14:paraId="2AEDD9F7" w14:textId="346205C0" w:rsidR="00AC7C46" w:rsidRPr="00C23803" w:rsidRDefault="00C23803" w:rsidP="00C23803">
      <w:pPr>
        <w:pStyle w:val="JuPara"/>
        <w:rPr>
          <w:rFonts w:eastAsia="Times New Roman"/>
        </w:rPr>
      </w:pPr>
      <w:bookmarkStart w:id="2" w:name="paragraph00024"/>
      <w:r w:rsidRPr="00C23803">
        <w:rPr>
          <w:rFonts w:eastAsia="Times New Roman"/>
        </w:rPr>
        <w:t>14</w:t>
      </w:r>
      <w:bookmarkEnd w:id="2"/>
      <w:r w:rsidR="00AC7C46">
        <w:t>.</w:t>
      </w:r>
      <w:r w:rsidR="00523548">
        <w:t xml:space="preserve"> </w:t>
      </w:r>
      <w:r w:rsidR="00AC7C46">
        <w:t>Trybunał zbadał już skuteczność środka odwoławczego, na który powołuje się Rząd</w:t>
      </w:r>
      <w:r w:rsidR="00C14563">
        <w:t>,</w:t>
      </w:r>
      <w:r w:rsidR="00AC7C46">
        <w:t xml:space="preserve"> i stwierdził, że sam fakt, iż odwołanie od decyzji o</w:t>
      </w:r>
      <w:r w:rsidR="00E55900">
        <w:t> </w:t>
      </w:r>
      <w:r w:rsidR="00AC7C46">
        <w:t>odmowie wjazdu nie miałoby skutku zawieszającego (i w konsekwencji nie mogłoby zapobiec zawróceniu skarżących na Białoruś)</w:t>
      </w:r>
      <w:r w:rsidR="00C14563">
        <w:t>,</w:t>
      </w:r>
      <w:r w:rsidR="00AC7C46">
        <w:t xml:space="preserve"> wystarcza, aby</w:t>
      </w:r>
      <w:r w:rsidR="00E55900">
        <w:t> </w:t>
      </w:r>
      <w:r w:rsidR="00AC7C46">
        <w:t>uznać, że takie odwołanie i wszelkie dalsze odwołania do sądów administracyjnych, które mogłyby być wniesione w jego następstwie</w:t>
      </w:r>
      <w:r w:rsidR="003A50F9">
        <w:t>,</w:t>
      </w:r>
      <w:r w:rsidR="00AC7C46">
        <w:t xml:space="preserve"> nie</w:t>
      </w:r>
      <w:r w:rsidR="00E55900">
        <w:t> </w:t>
      </w:r>
      <w:r w:rsidR="00AC7C46">
        <w:t>stanowiły skutecznego środka odwoławczego w rozumieniu Konwencji (</w:t>
      </w:r>
      <w:proofErr w:type="spellStart"/>
      <w:r w:rsidR="00AC7C46">
        <w:rPr>
          <w:i/>
          <w:iCs/>
        </w:rPr>
        <w:t>M.K</w:t>
      </w:r>
      <w:proofErr w:type="spellEnd"/>
      <w:r w:rsidR="00AC7C46">
        <w:rPr>
          <w:i/>
          <w:iCs/>
        </w:rPr>
        <w:t>. i Inni przeciwko Polsce</w:t>
      </w:r>
      <w:r w:rsidR="00AC7C46">
        <w:t>, nr 40503/17 i 2 inne sprawy, §§</w:t>
      </w:r>
      <w:r w:rsidR="00953A71">
        <w:t xml:space="preserve"> </w:t>
      </w:r>
      <w:r w:rsidR="00AC7C46">
        <w:t xml:space="preserve">147-49, 23 </w:t>
      </w:r>
      <w:r w:rsidR="00AC7C46">
        <w:lastRenderedPageBreak/>
        <w:t>lipca 2020 r.). Trybunał nie widzi powodu, aby uznać inaczej w obecnej sprawie.</w:t>
      </w:r>
    </w:p>
    <w:p w14:paraId="01CFABC1" w14:textId="7FA1F281" w:rsidR="00AC7C46" w:rsidRPr="00C23803" w:rsidRDefault="00C23803" w:rsidP="00C23803">
      <w:pPr>
        <w:pStyle w:val="JuPara"/>
        <w:rPr>
          <w:rFonts w:eastAsia="Times New Roman"/>
        </w:rPr>
      </w:pPr>
      <w:r w:rsidRPr="00C23803">
        <w:rPr>
          <w:rFonts w:eastAsia="Times New Roman"/>
        </w:rPr>
        <w:t>15</w:t>
      </w:r>
      <w:r w:rsidR="00AC7C46">
        <w:t>.</w:t>
      </w:r>
      <w:r w:rsidR="00523548">
        <w:t xml:space="preserve"> </w:t>
      </w:r>
      <w:r w:rsidR="00AC7C46">
        <w:t xml:space="preserve">W związku z powyższym, Trybunał oddala </w:t>
      </w:r>
      <w:r w:rsidR="003A50F9">
        <w:t>zastrzeżenie Rządu dotyczące</w:t>
      </w:r>
      <w:r w:rsidR="00AC7C46">
        <w:t xml:space="preserve"> niewyczerpania krajowych środków odwoławczych.</w:t>
      </w:r>
    </w:p>
    <w:p w14:paraId="16FCC87B" w14:textId="5100444D" w:rsidR="00AC7C46" w:rsidRPr="00C23803" w:rsidRDefault="00C23803" w:rsidP="00C23803">
      <w:pPr>
        <w:pStyle w:val="JuPara"/>
      </w:pPr>
      <w:r w:rsidRPr="00C23803">
        <w:t>16</w:t>
      </w:r>
      <w:r w:rsidR="002D5F7D">
        <w:t>.</w:t>
      </w:r>
      <w:r w:rsidR="00523548">
        <w:t xml:space="preserve"> </w:t>
      </w:r>
      <w:r w:rsidR="002D5F7D">
        <w:t>Trybunał zauważa, że skarga nie jest w sposób oczywisty nieuzasadniona w rozumieniu art. 35 ust. 3 lit. a Konwencji. Należy ją</w:t>
      </w:r>
      <w:r w:rsidR="00E55900">
        <w:t> </w:t>
      </w:r>
      <w:r w:rsidR="002D5F7D">
        <w:t>zatem uznać za dopuszczalną.</w:t>
      </w:r>
    </w:p>
    <w:p w14:paraId="7AA3E775" w14:textId="77777777" w:rsidR="00AC7C46" w:rsidRPr="00C23803" w:rsidRDefault="00AC7C46" w:rsidP="00C23803">
      <w:pPr>
        <w:pStyle w:val="JuHIRoman"/>
      </w:pPr>
      <w:r>
        <w:t>ZARZUCANE NARUSZENIE ART. 3 KONWENCJI</w:t>
      </w:r>
    </w:p>
    <w:p w14:paraId="7CF35D00" w14:textId="7FFFF533" w:rsidR="00AC7C46" w:rsidRPr="00C23803" w:rsidRDefault="00C23803" w:rsidP="00C23803">
      <w:pPr>
        <w:pStyle w:val="JuPara"/>
      </w:pPr>
      <w:bookmarkStart w:id="3" w:name="paragraph00035"/>
      <w:r w:rsidRPr="00C23803">
        <w:t>17</w:t>
      </w:r>
      <w:bookmarkEnd w:id="3"/>
      <w:r w:rsidR="00AC7C46">
        <w:t>.</w:t>
      </w:r>
      <w:r w:rsidR="00523548">
        <w:t xml:space="preserve"> </w:t>
      </w:r>
      <w:r w:rsidR="00AC7C46">
        <w:t xml:space="preserve">Odpowiednie zasady ogólne dotyczące zasady </w:t>
      </w:r>
      <w:r w:rsidR="00AC7C46">
        <w:rPr>
          <w:i/>
          <w:iCs/>
        </w:rPr>
        <w:t>non-</w:t>
      </w:r>
      <w:proofErr w:type="spellStart"/>
      <w:r w:rsidR="00AC7C46">
        <w:rPr>
          <w:i/>
          <w:iCs/>
        </w:rPr>
        <w:t>refoulement</w:t>
      </w:r>
      <w:proofErr w:type="spellEnd"/>
      <w:r w:rsidR="00AC7C46">
        <w:t xml:space="preserve"> i</w:t>
      </w:r>
      <w:r w:rsidR="00E55900">
        <w:t> </w:t>
      </w:r>
      <w:r w:rsidR="00AC7C46">
        <w:t>zawracania osób ubiegających się o azyl w kontekście zakazu tortur i</w:t>
      </w:r>
      <w:r w:rsidR="00E55900">
        <w:t> </w:t>
      </w:r>
      <w:r w:rsidR="00AC7C46">
        <w:t>innego poniżającego lub nieludzkiego traktowania zostały streszczone w</w:t>
      </w:r>
      <w:r w:rsidR="00E55900">
        <w:t> </w:t>
      </w:r>
      <w:r w:rsidR="00AC7C46">
        <w:t xml:space="preserve">wyroku w sprawie </w:t>
      </w:r>
      <w:proofErr w:type="spellStart"/>
      <w:r w:rsidR="00AC7C46">
        <w:rPr>
          <w:i/>
          <w:iCs/>
        </w:rPr>
        <w:t>M.K</w:t>
      </w:r>
      <w:proofErr w:type="spellEnd"/>
      <w:r w:rsidR="00AC7C46">
        <w:rPr>
          <w:i/>
          <w:iCs/>
        </w:rPr>
        <w:t>. i Inni przeciwko Polsce</w:t>
      </w:r>
      <w:r w:rsidR="00AC7C46">
        <w:t>, cyt. powyżej, §§ 166-73.</w:t>
      </w:r>
    </w:p>
    <w:p w14:paraId="1F43BF9D" w14:textId="29031155" w:rsidR="00AC7C46" w:rsidRPr="00C23803" w:rsidRDefault="00C23803" w:rsidP="00C23803">
      <w:pPr>
        <w:pStyle w:val="JuPara"/>
        <w:rPr>
          <w:rFonts w:eastAsia="Times New Roman"/>
        </w:rPr>
      </w:pPr>
      <w:r w:rsidRPr="00C23803">
        <w:rPr>
          <w:rFonts w:eastAsia="Times New Roman"/>
        </w:rPr>
        <w:t>18</w:t>
      </w:r>
      <w:r w:rsidR="00AC7C46">
        <w:t>.</w:t>
      </w:r>
      <w:r w:rsidR="00523548">
        <w:t xml:space="preserve"> </w:t>
      </w:r>
      <w:r w:rsidR="00AC7C46">
        <w:t>W tym wyroku Trybunał rozpatrywał bardzo podobną sytuację dotyczącą skarżących, którzy próbowali przekroczyć granicę w Terespolu w</w:t>
      </w:r>
      <w:r w:rsidR="00E55900">
        <w:t> </w:t>
      </w:r>
      <w:r w:rsidR="00AC7C46">
        <w:t>2017</w:t>
      </w:r>
      <w:r w:rsidR="00D46932">
        <w:t xml:space="preserve"> r.</w:t>
      </w:r>
      <w:r w:rsidR="00AC7C46">
        <w:t>, a w szczególności, czy skarżący mogli być uznani za osoby ubiegające się o azyl i czy uzasadnili swoje twierdzenia, że Białoruś nie jest dla nich bezpiecznym krajem i że grozi im „odesłanie łańcuchowe” („</w:t>
      </w:r>
      <w:proofErr w:type="spellStart"/>
      <w:r w:rsidR="00AC7C46" w:rsidRPr="00E55900">
        <w:rPr>
          <w:i/>
        </w:rPr>
        <w:t>chain</w:t>
      </w:r>
      <w:proofErr w:type="spellEnd"/>
      <w:r w:rsidR="00AC7C46" w:rsidRPr="00E55900">
        <w:rPr>
          <w:i/>
        </w:rPr>
        <w:t xml:space="preserve"> </w:t>
      </w:r>
      <w:proofErr w:type="spellStart"/>
      <w:r w:rsidR="00AC7C46" w:rsidRPr="00E55900">
        <w:rPr>
          <w:i/>
          <w:iCs/>
        </w:rPr>
        <w:t>refoulement</w:t>
      </w:r>
      <w:proofErr w:type="spellEnd"/>
      <w:r w:rsidR="00AC7C46">
        <w:rPr>
          <w:i/>
          <w:iCs/>
        </w:rPr>
        <w:t>”</w:t>
      </w:r>
      <w:r w:rsidR="00AC7C46">
        <w:t xml:space="preserve">) do Czeczenii, co naruszałoby ich prawa wynikające z art. 3 Konwencji. W tym przypadku Trybunał stwierdził, że państwo polskie miało obowiązek zapewnienia skarżącym bezpieczeństwa, w szczególności poprzez umożliwienie im pozostania w obrębie polskiej jurysdykcji oraz zapewnienia </w:t>
      </w:r>
      <w:r w:rsidR="003A50F9">
        <w:t xml:space="preserve">gwarancji </w:t>
      </w:r>
      <w:r w:rsidR="00AC7C46">
        <w:t>przed przymusowym powrotem do kraju pochodzenia do czasu rzetelnego rozpatrzenia ich zarzutów przez właściwy organ krajowy. Trybunał uznał zatem, że do czasu rozpatrzenia wniosku o</w:t>
      </w:r>
      <w:r w:rsidR="00E55900">
        <w:t> </w:t>
      </w:r>
      <w:r w:rsidR="00AC7C46">
        <w:t>udzielenie ochrony międzynarodowej państwo nie może odmówić dostępu do swojego terytorium osobie stawiającej się w punkcie odprawy granicznej, która utrzymuje, że może zostać poddana złemu traktowaniu, jeżeli pozostanie na terytorium państwa sąsiadującego, chyba że zostaną podjęte odpowiednie środki w celu wyeliminowania takiego ryzyka. Trybunał nie widzi powodu, aby uznać inaczej w obecnej sprawie, w której skarżący podobnie nie korzystali ze skutecznych gwarancji, które chroniłyby ich przed narażeniem na realne ryzyko nieludzkiego lub</w:t>
      </w:r>
      <w:r w:rsidR="00E55900">
        <w:t> </w:t>
      </w:r>
      <w:r w:rsidR="00AC7C46">
        <w:t>poniżającego traktowania, a także tortur.</w:t>
      </w:r>
    </w:p>
    <w:p w14:paraId="051AB232" w14:textId="20C10DE5" w:rsidR="00AC7C46" w:rsidRPr="00C23803" w:rsidRDefault="00C23803" w:rsidP="00C23803">
      <w:pPr>
        <w:pStyle w:val="JuPara"/>
        <w:rPr>
          <w:rFonts w:eastAsia="Times New Roman"/>
        </w:rPr>
      </w:pPr>
      <w:r w:rsidRPr="00C23803">
        <w:rPr>
          <w:rFonts w:eastAsia="Times New Roman"/>
        </w:rPr>
        <w:t>19</w:t>
      </w:r>
      <w:r w:rsidR="00AC7C46">
        <w:t>.</w:t>
      </w:r>
      <w:r w:rsidR="00523548">
        <w:t xml:space="preserve"> </w:t>
      </w:r>
      <w:r w:rsidR="00AC7C46">
        <w:t>W świetle powyższego fakt, że gdy skarżący przebywali na polskim przejściu granicznym</w:t>
      </w:r>
      <w:r w:rsidR="003A50F9">
        <w:t>,</w:t>
      </w:r>
      <w:r w:rsidR="00AC7C46">
        <w:t xml:space="preserve"> nie zostało wszczęte żadne postępowanie, w toku którego możliwe byłoby rozpatrzenie wniosków o udzielenie ochrony międzynarodowej skarżących, stanowił naruszenie art. 3 Konwencji. Ponadto, biorąc pod uwagę sytuację w sąsiednim państwie (</w:t>
      </w:r>
      <w:proofErr w:type="spellStart"/>
      <w:r w:rsidR="00AC7C46">
        <w:rPr>
          <w:i/>
          <w:iCs/>
        </w:rPr>
        <w:t>M.K</w:t>
      </w:r>
      <w:proofErr w:type="spellEnd"/>
      <w:r w:rsidR="00AC7C46">
        <w:rPr>
          <w:i/>
          <w:iCs/>
        </w:rPr>
        <w:t>. i Inni przeciwko Polsce</w:t>
      </w:r>
      <w:r w:rsidR="00AC7C46">
        <w:t xml:space="preserve">, cyt. powyżej, §§116-17), władze polskie, nie zezwalając skarżącym na pozostanie na terytorium Polski do czasu rozpatrzenia </w:t>
      </w:r>
      <w:r w:rsidR="00AC7C46">
        <w:lastRenderedPageBreak/>
        <w:t>ich</w:t>
      </w:r>
      <w:r w:rsidR="00E55900">
        <w:t> </w:t>
      </w:r>
      <w:r w:rsidR="00AC7C46">
        <w:t>wniosków, świadomie naraziły ich na poważne ryzyko „odesłania łańcuchowego” i traktowania</w:t>
      </w:r>
      <w:r w:rsidR="000F6A55">
        <w:t xml:space="preserve"> zakazanego</w:t>
      </w:r>
      <w:r w:rsidR="00AC7C46">
        <w:t xml:space="preserve"> przez art. 3 Konwencji.</w:t>
      </w:r>
    </w:p>
    <w:p w14:paraId="6C32D891" w14:textId="3D61801E" w:rsidR="00AC7C46" w:rsidRPr="00C23803" w:rsidRDefault="00C23803" w:rsidP="00C23803">
      <w:pPr>
        <w:pStyle w:val="JuPara"/>
        <w:rPr>
          <w:rFonts w:eastAsia="Times New Roman"/>
        </w:rPr>
      </w:pPr>
      <w:r w:rsidRPr="00C23803">
        <w:rPr>
          <w:rFonts w:eastAsia="Times New Roman"/>
        </w:rPr>
        <w:t>20</w:t>
      </w:r>
      <w:r w:rsidR="00AC7C46">
        <w:t>.</w:t>
      </w:r>
      <w:r w:rsidR="00523548">
        <w:t xml:space="preserve"> </w:t>
      </w:r>
      <w:r w:rsidR="00AC7C46">
        <w:t>W związku z powyższym nastąpiło naruszenie art. 3 Konwencji.</w:t>
      </w:r>
    </w:p>
    <w:p w14:paraId="75AB198D" w14:textId="77777777" w:rsidR="00AC7C46" w:rsidRPr="00C23803" w:rsidRDefault="00AC7C46" w:rsidP="00C23803">
      <w:pPr>
        <w:pStyle w:val="JuHIRoman"/>
      </w:pPr>
      <w:r>
        <w:t>INNE ZARZUCANE NARUSZENIA NA PODSTAWIE UGRUNTOWANEGO ORZECZNICTWA</w:t>
      </w:r>
    </w:p>
    <w:p w14:paraId="40001F33" w14:textId="5CC0BB0D" w:rsidR="00AC7C46" w:rsidRPr="00C23803" w:rsidRDefault="00C23803" w:rsidP="00C23803">
      <w:pPr>
        <w:pStyle w:val="JuPara"/>
      </w:pPr>
      <w:r w:rsidRPr="00C23803">
        <w:t>21</w:t>
      </w:r>
      <w:r w:rsidR="00AC7C46">
        <w:t>.</w:t>
      </w:r>
      <w:r w:rsidR="00523548">
        <w:t xml:space="preserve"> </w:t>
      </w:r>
      <w:r w:rsidR="00AC7C46">
        <w:t>Skarżący podnieśli również inne zarzuty, które są objęte ugruntowanym orzecznictwem Trybunału. Po przeanalizowaniu wszystkich przedstawionych mu materiałów Trybunał stwierdza, że ujawniają one naruszenie art. 4 Protokołu nr 4, jak również art. 13 Konwencji w związku z</w:t>
      </w:r>
      <w:r w:rsidR="00E55900">
        <w:t> </w:t>
      </w:r>
      <w:r w:rsidR="00AC7C46">
        <w:t>art. 3 Konwencji i art. 4 Protokołu nr 4 w świetle jego ustaleń w</w:t>
      </w:r>
      <w:r w:rsidR="00E55900">
        <w:t> </w:t>
      </w:r>
      <w:r w:rsidR="00AC7C46">
        <w:t xml:space="preserve">poprzednich wyrokach (zob. </w:t>
      </w:r>
      <w:proofErr w:type="spellStart"/>
      <w:r w:rsidR="00AC7C46" w:rsidRPr="000F6A55">
        <w:rPr>
          <w:i/>
        </w:rPr>
        <w:t>M.K</w:t>
      </w:r>
      <w:proofErr w:type="spellEnd"/>
      <w:r w:rsidR="00AC7C46" w:rsidRPr="000F6A55">
        <w:rPr>
          <w:i/>
        </w:rPr>
        <w:t>. i Inni przeciwko Polsce</w:t>
      </w:r>
      <w:r w:rsidR="00AC7C46">
        <w:t xml:space="preserve">, cyt. powyżej, §§ 204-11 i 219-20, oraz </w:t>
      </w:r>
      <w:proofErr w:type="spellStart"/>
      <w:r w:rsidR="00AC7C46">
        <w:rPr>
          <w:i/>
          <w:iCs/>
        </w:rPr>
        <w:t>D.A</w:t>
      </w:r>
      <w:proofErr w:type="spellEnd"/>
      <w:r w:rsidR="00AC7C46">
        <w:rPr>
          <w:i/>
          <w:iCs/>
        </w:rPr>
        <w:t>. i Inni przeciwko Polsce</w:t>
      </w:r>
      <w:r w:rsidR="00AC7C46">
        <w:t>, nr 51246/17, §§ 81-84 i 89-90, 8 lipca 2021 r.).</w:t>
      </w:r>
    </w:p>
    <w:p w14:paraId="5FB9AD6F" w14:textId="77777777" w:rsidR="00AC7C46" w:rsidRPr="00C23803" w:rsidRDefault="00AC7C46" w:rsidP="00C23803">
      <w:pPr>
        <w:pStyle w:val="JuHHead"/>
      </w:pPr>
      <w:r>
        <w:t>ZASTOSOWANIE ART. 41 KONWENCJI</w:t>
      </w:r>
    </w:p>
    <w:p w14:paraId="713F6738" w14:textId="101AACA6" w:rsidR="00AC7C46" w:rsidRPr="00C23803" w:rsidRDefault="00C23803" w:rsidP="00C23803">
      <w:pPr>
        <w:pStyle w:val="JuPara"/>
      </w:pPr>
      <w:r w:rsidRPr="00C23803">
        <w:t>22</w:t>
      </w:r>
      <w:r w:rsidR="00AC7C46">
        <w:t>.</w:t>
      </w:r>
      <w:r w:rsidR="00523548">
        <w:t xml:space="preserve"> </w:t>
      </w:r>
      <w:r w:rsidR="00AC7C46">
        <w:t>Skarżący, którzy byli reprezentowani przez adwokata z wyboru i</w:t>
      </w:r>
      <w:r w:rsidR="00E55900">
        <w:t> </w:t>
      </w:r>
      <w:r w:rsidR="00AC7C46">
        <w:t>otrzymali pomoc prawną, domagali się po 28.000 euro (</w:t>
      </w:r>
      <w:proofErr w:type="spellStart"/>
      <w:r w:rsidR="00AC7C46">
        <w:t>EUR</w:t>
      </w:r>
      <w:proofErr w:type="spellEnd"/>
      <w:r w:rsidR="00AC7C46">
        <w:t>) tytułem zadośćuczynienia za szkodę niemajątkową, łącznie 704 euro (</w:t>
      </w:r>
      <w:proofErr w:type="spellStart"/>
      <w:r w:rsidR="00AC7C46">
        <w:t>EUR</w:t>
      </w:r>
      <w:proofErr w:type="spellEnd"/>
      <w:r w:rsidR="00AC7C46">
        <w:t>) tytułem zadośćuczynienia za szkodę majątkową z tytułu wydatków poniesionych na</w:t>
      </w:r>
      <w:r w:rsidR="00E55900">
        <w:t> </w:t>
      </w:r>
      <w:r w:rsidR="00AC7C46">
        <w:t>bilety kolejowe z Brześcia do Terespola dla całej rodziny w dwudziestu dwóch przypadkach oraz 1.300 euro (</w:t>
      </w:r>
      <w:proofErr w:type="spellStart"/>
      <w:r w:rsidR="00AC7C46">
        <w:t>EUR</w:t>
      </w:r>
      <w:proofErr w:type="spellEnd"/>
      <w:r w:rsidR="00AC7C46">
        <w:t>) tytułem kosztów i wydatków poniesionych w postępowaniu przed sądami krajowymi oraz 29,29 euro (</w:t>
      </w:r>
      <w:proofErr w:type="spellStart"/>
      <w:r w:rsidR="00AC7C46">
        <w:t>EUR</w:t>
      </w:r>
      <w:proofErr w:type="spellEnd"/>
      <w:r w:rsidR="00AC7C46">
        <w:t>) tytułem kosztów i wydatków poniesionych w postępowaniu przed Trybunałem.</w:t>
      </w:r>
    </w:p>
    <w:p w14:paraId="2867BEC4" w14:textId="0B13021D" w:rsidR="00AC7C46" w:rsidRPr="00C23803" w:rsidRDefault="00C23803" w:rsidP="00C23803">
      <w:pPr>
        <w:pStyle w:val="JuPara"/>
      </w:pPr>
      <w:r w:rsidRPr="00C23803">
        <w:t>23</w:t>
      </w:r>
      <w:r w:rsidR="00AC7C46">
        <w:t>.</w:t>
      </w:r>
      <w:r w:rsidR="00523548">
        <w:t xml:space="preserve"> </w:t>
      </w:r>
      <w:r w:rsidR="00AC7C46">
        <w:t>Rząd twierdził, że kwoty wskazane przez skarżących są całkowicie nieuzasadnione i wygórowane.</w:t>
      </w:r>
    </w:p>
    <w:p w14:paraId="2F0E1C94" w14:textId="265B4D37" w:rsidR="00AC7C46" w:rsidRPr="00C23803" w:rsidRDefault="00C23803" w:rsidP="00C23803">
      <w:pPr>
        <w:pStyle w:val="JuPara"/>
        <w:rPr>
          <w:rFonts w:eastAsia="Times New Roman"/>
        </w:rPr>
      </w:pPr>
      <w:r w:rsidRPr="00C23803">
        <w:t>24</w:t>
      </w:r>
      <w:r w:rsidR="00AC7C46">
        <w:t>.</w:t>
      </w:r>
      <w:r w:rsidR="00523548">
        <w:t xml:space="preserve"> </w:t>
      </w:r>
      <w:r w:rsidR="00AC7C46">
        <w:t>Trybunał, orzekając na zasadzie słuszności, przyznaje skarżącym 28.000 euro (</w:t>
      </w:r>
      <w:proofErr w:type="spellStart"/>
      <w:r w:rsidR="00AC7C46">
        <w:t>EUR</w:t>
      </w:r>
      <w:proofErr w:type="spellEnd"/>
      <w:r w:rsidR="00AC7C46">
        <w:t>) łącznie tytułem zadośćuczynienia za szkodę majątkową i niemajątkową.</w:t>
      </w:r>
    </w:p>
    <w:p w14:paraId="4B6B1628" w14:textId="6D3F6FEB" w:rsidR="00AC7C46" w:rsidRPr="00C23803" w:rsidRDefault="00C23803" w:rsidP="00C23803">
      <w:pPr>
        <w:pStyle w:val="JuPara"/>
      </w:pPr>
      <w:r w:rsidRPr="00C23803">
        <w:t>25</w:t>
      </w:r>
      <w:r w:rsidR="00AC7C46">
        <w:t>.</w:t>
      </w:r>
      <w:r w:rsidR="00523548">
        <w:t xml:space="preserve"> </w:t>
      </w:r>
      <w:r w:rsidR="00AC7C46">
        <w:t>W odniesieniu do kosztów i wydatków, mając na uwadze dokumenty znajdujące się w jego posiadaniu, Trybunał uważa za zasadne zasądzenie pełnej żądanej kwoty w zaokrągleniu do 1.330 euro (</w:t>
      </w:r>
      <w:proofErr w:type="spellStart"/>
      <w:r w:rsidR="00AC7C46">
        <w:t>EUR</w:t>
      </w:r>
      <w:proofErr w:type="spellEnd"/>
      <w:r w:rsidR="00AC7C46">
        <w:t>), pomniejszonej o</w:t>
      </w:r>
      <w:r w:rsidR="00E55900">
        <w:t> </w:t>
      </w:r>
      <w:r w:rsidR="00AC7C46">
        <w:t>850 euro (</w:t>
      </w:r>
      <w:proofErr w:type="spellStart"/>
      <w:r w:rsidR="00AC7C46">
        <w:t>EUR</w:t>
      </w:r>
      <w:proofErr w:type="spellEnd"/>
      <w:r w:rsidR="00AC7C46">
        <w:t xml:space="preserve">) otrzymane w ramach systemu pomocy prawnej Trybunału, obejmującej koszty ze wszystkich tytułów, plus wszelkie podatki, </w:t>
      </w:r>
      <w:r w:rsidR="002A2323">
        <w:t>jaki</w:t>
      </w:r>
      <w:r w:rsidR="00AC7C46">
        <w:t>e mogą obciążać skarżących.</w:t>
      </w:r>
    </w:p>
    <w:p w14:paraId="663DE5CE" w14:textId="351C7525" w:rsidR="00AC7C46" w:rsidRPr="00C23803" w:rsidRDefault="00AC7C46" w:rsidP="00C23803">
      <w:pPr>
        <w:pStyle w:val="JuHHead"/>
      </w:pPr>
      <w:r>
        <w:t>Z TYCH WZGLĘDÓW TRYBUNAŁ JEDNOMYŚLNIE</w:t>
      </w:r>
    </w:p>
    <w:p w14:paraId="6FA5F18A" w14:textId="77777777" w:rsidR="00AC7C46" w:rsidRPr="00C23803" w:rsidRDefault="00AC7C46" w:rsidP="00C23803">
      <w:pPr>
        <w:pStyle w:val="JuList"/>
      </w:pPr>
      <w:r>
        <w:rPr>
          <w:i/>
        </w:rPr>
        <w:t>Uznaje</w:t>
      </w:r>
      <w:r>
        <w:t xml:space="preserve"> skargę za dopuszczalną;</w:t>
      </w:r>
    </w:p>
    <w:p w14:paraId="4C3035F1" w14:textId="77777777" w:rsidR="00AC7C46" w:rsidRPr="00C23803" w:rsidRDefault="00AC7C46" w:rsidP="00C23803">
      <w:pPr>
        <w:pStyle w:val="JuList"/>
      </w:pPr>
      <w:r>
        <w:rPr>
          <w:i/>
        </w:rPr>
        <w:t>Uznaje,</w:t>
      </w:r>
      <w:r>
        <w:t xml:space="preserve"> że nastąpiło naruszenie art. 3 Konwencji;</w:t>
      </w:r>
    </w:p>
    <w:p w14:paraId="70922D4C" w14:textId="6B8C2CDF" w:rsidR="00AC7C46" w:rsidRPr="00C23803" w:rsidRDefault="00AC7C46" w:rsidP="00C23803">
      <w:pPr>
        <w:pStyle w:val="JuList"/>
      </w:pPr>
      <w:r>
        <w:rPr>
          <w:i/>
          <w:iCs/>
        </w:rPr>
        <w:lastRenderedPageBreak/>
        <w:t>Uznaje</w:t>
      </w:r>
      <w:r>
        <w:t>, że doszło do naruszenia art. 4 Protokołu nr 4 do Konwencji oraz art. 13 Konwencji w związku z art. 3 Konwencji i art. 4 Protokołu nr 4 w</w:t>
      </w:r>
      <w:r w:rsidR="00E55900">
        <w:t> </w:t>
      </w:r>
      <w:r>
        <w:t>odniesieniu do pozostałych zarzutów podniesionych na podstawie ugruntowanego orzecznictwa Trybunału;</w:t>
      </w:r>
    </w:p>
    <w:p w14:paraId="32E0B924" w14:textId="77777777" w:rsidR="00AC7C46" w:rsidRPr="00C23803" w:rsidRDefault="00AC7C46" w:rsidP="00C23803">
      <w:pPr>
        <w:pStyle w:val="JuList"/>
        <w:keepNext/>
        <w:keepLines/>
        <w:widowControl w:val="0"/>
      </w:pPr>
      <w:r>
        <w:rPr>
          <w:i/>
          <w:iCs/>
        </w:rPr>
        <w:t>Uznaje</w:t>
      </w:r>
    </w:p>
    <w:p w14:paraId="722B6FB8" w14:textId="17EC629C" w:rsidR="00AC7C46" w:rsidRPr="00C23803" w:rsidRDefault="00AC7C46" w:rsidP="00C23803">
      <w:pPr>
        <w:pStyle w:val="JuLista"/>
        <w:keepNext/>
        <w:keepLines/>
        <w:widowControl w:val="0"/>
        <w:numPr>
          <w:ilvl w:val="1"/>
          <w:numId w:val="5"/>
        </w:numPr>
      </w:pPr>
      <w:r>
        <w:t>że pozwane państwo powinno, w terminie trzech miesięcy, uiścić na</w:t>
      </w:r>
      <w:r w:rsidR="00E55900">
        <w:t> </w:t>
      </w:r>
      <w:r>
        <w:t>rzecz skarżących wspólnie następujące kwoty, przeliczone na</w:t>
      </w:r>
      <w:r w:rsidR="00E55900">
        <w:t> </w:t>
      </w:r>
      <w:r>
        <w:t>walutę pozwanego państwa według kursu obowiązującego w dniu płatności:</w:t>
      </w:r>
    </w:p>
    <w:p w14:paraId="0769D74A" w14:textId="77777777" w:rsidR="00AC7C46" w:rsidRPr="00C23803" w:rsidRDefault="00AC7C46" w:rsidP="00C23803">
      <w:pPr>
        <w:pStyle w:val="JuListi"/>
        <w:numPr>
          <w:ilvl w:val="2"/>
          <w:numId w:val="5"/>
        </w:numPr>
      </w:pPr>
      <w:r>
        <w:t xml:space="preserve">28.000 </w:t>
      </w:r>
      <w:proofErr w:type="spellStart"/>
      <w:r>
        <w:t>EUR</w:t>
      </w:r>
      <w:proofErr w:type="spellEnd"/>
      <w:r>
        <w:t xml:space="preserve"> (dwadzieścia osiem tysięcy euro), plus wszelkie należne podatki, tytułem zadośćuczynienia za szkodę majątkową i niemajątkową;</w:t>
      </w:r>
    </w:p>
    <w:p w14:paraId="0274E5AA" w14:textId="77777777" w:rsidR="00AC7C46" w:rsidRPr="00C23803" w:rsidRDefault="00AC7C46" w:rsidP="00C23803">
      <w:pPr>
        <w:pStyle w:val="JuListi"/>
        <w:numPr>
          <w:ilvl w:val="2"/>
          <w:numId w:val="5"/>
        </w:numPr>
      </w:pPr>
      <w:r>
        <w:t xml:space="preserve">480 </w:t>
      </w:r>
      <w:proofErr w:type="spellStart"/>
      <w:r>
        <w:t>EUR</w:t>
      </w:r>
      <w:proofErr w:type="spellEnd"/>
      <w:r>
        <w:t xml:space="preserve"> (czterysta osiemdziesiąt euro), plus wszelkie należne podatki, tytułem poniesionych kosztów i wydatków;</w:t>
      </w:r>
    </w:p>
    <w:p w14:paraId="599B4B93" w14:textId="77777777" w:rsidR="00AC7C46" w:rsidRPr="00C23803" w:rsidRDefault="00AC7C46" w:rsidP="00C23803">
      <w:pPr>
        <w:pStyle w:val="JuLista"/>
        <w:numPr>
          <w:ilvl w:val="1"/>
          <w:numId w:val="5"/>
        </w:numPr>
      </w:pPr>
      <w:r>
        <w:t>że od upływu wyżej wskazanego terminu trzech miesięcy aż do momentu uregulowania należności, należne będą odsetki zwykłe od określonej powyżej kwoty, naliczone według stopy równej marginalnej stopie procentowej Europejskiego Banku Centralnego obowiązującej w tym okresie, powiększonej o trzy punkty procentowe;</w:t>
      </w:r>
    </w:p>
    <w:p w14:paraId="35AF35AD" w14:textId="5237A9E5" w:rsidR="004D0EC7" w:rsidRPr="00C23803" w:rsidRDefault="00AC7C46" w:rsidP="00C23803">
      <w:pPr>
        <w:pStyle w:val="JuList"/>
      </w:pPr>
      <w:r>
        <w:rPr>
          <w:i/>
          <w:iCs/>
        </w:rPr>
        <w:t>Oddala</w:t>
      </w:r>
      <w:r>
        <w:t xml:space="preserve"> pozostałą część żądania skarżących o słuszne zadośćuczynienie.</w:t>
      </w:r>
    </w:p>
    <w:p w14:paraId="1DAAEE37" w14:textId="131C2E32" w:rsidR="008E3A08" w:rsidRPr="00C23803" w:rsidRDefault="007E2C8C" w:rsidP="00C23803">
      <w:pPr>
        <w:pStyle w:val="JuParaLast"/>
      </w:pPr>
      <w:r>
        <w:t>Sporządzono w języku angielskim i obwieszczono pisemnie w dniu 13</w:t>
      </w:r>
      <w:r w:rsidR="00E55900">
        <w:t> </w:t>
      </w:r>
      <w:r>
        <w:t>października 2022 r., zgodnie z Regułą 77 §§ 2 i 3 Regulaminu Trybunału.</w:t>
      </w:r>
    </w:p>
    <w:p w14:paraId="1C95E33D" w14:textId="241060D7" w:rsidR="001C055B" w:rsidRPr="00C23803" w:rsidRDefault="002E7764" w:rsidP="00C23803">
      <w:pPr>
        <w:pStyle w:val="JuSigned"/>
      </w:pPr>
      <w:r>
        <w:tab/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 </w:t>
      </w:r>
      <w:r>
        <w:tab/>
        <w:t xml:space="preserve">Lorraine </w:t>
      </w:r>
      <w:proofErr w:type="spellStart"/>
      <w:r>
        <w:t>Schembri</w:t>
      </w:r>
      <w:proofErr w:type="spellEnd"/>
      <w:r>
        <w:t xml:space="preserve"> </w:t>
      </w:r>
      <w:proofErr w:type="spellStart"/>
      <w:r>
        <w:t>Orland</w:t>
      </w:r>
      <w:proofErr w:type="spellEnd"/>
      <w:r>
        <w:br/>
      </w:r>
      <w:r>
        <w:tab/>
        <w:t>Zastępca Kanclerza</w:t>
      </w:r>
      <w:r>
        <w:tab/>
        <w:t>Przewodniczący</w:t>
      </w:r>
    </w:p>
    <w:p w14:paraId="3D3B5D19" w14:textId="77777777" w:rsidR="00675AF2" w:rsidRPr="00C23803" w:rsidRDefault="00675AF2" w:rsidP="00C23803">
      <w:pPr>
        <w:pStyle w:val="JuPara"/>
      </w:pPr>
    </w:p>
    <w:p w14:paraId="1252DD29" w14:textId="40637459" w:rsidR="00AC7C46" w:rsidRPr="00C23803" w:rsidRDefault="00AC7C46" w:rsidP="00C23803">
      <w:pPr>
        <w:rPr>
          <w:noProof/>
          <w:color w:val="000000"/>
        </w:rPr>
      </w:pPr>
    </w:p>
    <w:p w14:paraId="0FFB3AED" w14:textId="77777777" w:rsidR="00AC7C46" w:rsidRPr="00C23803" w:rsidRDefault="00AC7C46" w:rsidP="00C23803">
      <w:pPr>
        <w:rPr>
          <w:noProof/>
          <w:color w:val="000000"/>
        </w:rPr>
        <w:sectPr w:rsidR="00AC7C46" w:rsidRPr="00C23803" w:rsidSect="007D3701">
          <w:headerReference w:type="even" r:id="rId14"/>
          <w:headerReference w:type="default" r:id="rId15"/>
          <w:footerReference w:type="even" r:id="rId16"/>
          <w:footerReference w:type="default" r:id="rId17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7EF1F3B8" w14:textId="7968C66C" w:rsidR="00AC7C46" w:rsidRPr="00C23803" w:rsidRDefault="00AC7C46" w:rsidP="00C23803">
      <w:pPr>
        <w:pStyle w:val="DecHTitle"/>
        <w:rPr>
          <w:noProof/>
        </w:rPr>
      </w:pPr>
      <w:r>
        <w:lastRenderedPageBreak/>
        <w:t>ZAŁĄCZNIK</w:t>
      </w:r>
    </w:p>
    <w:tbl>
      <w:tblPr>
        <w:tblStyle w:val="ECHRListTable1"/>
        <w:tblW w:w="3334" w:type="pct"/>
        <w:tblInd w:w="1226" w:type="dxa"/>
        <w:tblLook w:val="0420" w:firstRow="1" w:lastRow="0" w:firstColumn="0" w:lastColumn="0" w:noHBand="0" w:noVBand="1"/>
      </w:tblPr>
      <w:tblGrid>
        <w:gridCol w:w="527"/>
        <w:gridCol w:w="1425"/>
        <w:gridCol w:w="1428"/>
        <w:gridCol w:w="1670"/>
      </w:tblGrid>
      <w:tr w:rsidR="00AC7C46" w:rsidRPr="00C23803" w14:paraId="2E12D47E" w14:textId="77777777" w:rsidTr="00215B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82" w:type="pct"/>
          </w:tcPr>
          <w:p w14:paraId="231FCC09" w14:textId="77777777" w:rsidR="00AC7C46" w:rsidRPr="00C23803" w:rsidRDefault="00AC7C46" w:rsidP="00C23803">
            <w:r>
              <w:t>Nr</w:t>
            </w:r>
          </w:p>
        </w:tc>
        <w:tc>
          <w:tcPr>
            <w:tcW w:w="1471" w:type="pct"/>
          </w:tcPr>
          <w:p w14:paraId="15E34838" w14:textId="3AE8539A" w:rsidR="00AC7C46" w:rsidRPr="00C23803" w:rsidRDefault="00AC7C46" w:rsidP="00C23803">
            <w:r>
              <w:t>Imię i nazwisko skarżącego</w:t>
            </w:r>
          </w:p>
        </w:tc>
        <w:tc>
          <w:tcPr>
            <w:tcW w:w="1473" w:type="pct"/>
          </w:tcPr>
          <w:p w14:paraId="4B5642BE" w14:textId="77777777" w:rsidR="00AC7C46" w:rsidRPr="00C23803" w:rsidRDefault="00AC7C46" w:rsidP="00C23803">
            <w:r>
              <w:t>Rok urodzenia</w:t>
            </w:r>
          </w:p>
        </w:tc>
        <w:tc>
          <w:tcPr>
            <w:tcW w:w="1473" w:type="pct"/>
          </w:tcPr>
          <w:p w14:paraId="474B47EB" w14:textId="77777777" w:rsidR="00AC7C46" w:rsidRPr="00C23803" w:rsidRDefault="00AC7C46" w:rsidP="00C23803">
            <w:r>
              <w:t>Obywatelstwo</w:t>
            </w:r>
          </w:p>
        </w:tc>
      </w:tr>
      <w:tr w:rsidR="00AC7C46" w:rsidRPr="00C23803" w14:paraId="201B6F82" w14:textId="77777777" w:rsidTr="00215BD6">
        <w:tc>
          <w:tcPr>
            <w:tcW w:w="582" w:type="pct"/>
          </w:tcPr>
          <w:p w14:paraId="236EC29D" w14:textId="77777777" w:rsidR="00AC7C46" w:rsidRPr="00C23803" w:rsidRDefault="00AC7C46" w:rsidP="00C23803">
            <w:r>
              <w:t>1</w:t>
            </w:r>
          </w:p>
        </w:tc>
        <w:tc>
          <w:tcPr>
            <w:tcW w:w="1471" w:type="pct"/>
          </w:tcPr>
          <w:p w14:paraId="6B2CB688" w14:textId="77777777" w:rsidR="00AC7C46" w:rsidRPr="00C23803" w:rsidRDefault="00AC7C46" w:rsidP="00C23803">
            <w:r>
              <w:t xml:space="preserve">Pani </w:t>
            </w:r>
            <w:proofErr w:type="spellStart"/>
            <w:r>
              <w:t>Z.T</w:t>
            </w:r>
            <w:proofErr w:type="spellEnd"/>
            <w:r>
              <w:t>.</w:t>
            </w:r>
          </w:p>
        </w:tc>
        <w:tc>
          <w:tcPr>
            <w:tcW w:w="1473" w:type="pct"/>
          </w:tcPr>
          <w:p w14:paraId="2D6373C5" w14:textId="77777777" w:rsidR="00AC7C46" w:rsidRPr="00C23803" w:rsidRDefault="00AC7C46" w:rsidP="00C23803">
            <w:r>
              <w:t>1981</w:t>
            </w:r>
          </w:p>
        </w:tc>
        <w:tc>
          <w:tcPr>
            <w:tcW w:w="1473" w:type="pct"/>
          </w:tcPr>
          <w:p w14:paraId="5B5D29DA" w14:textId="77777777" w:rsidR="00AC7C46" w:rsidRPr="00C23803" w:rsidRDefault="00AC7C46" w:rsidP="00C23803">
            <w:r>
              <w:t>rosyjskie</w:t>
            </w:r>
          </w:p>
        </w:tc>
      </w:tr>
      <w:tr w:rsidR="00AC7C46" w:rsidRPr="00C23803" w14:paraId="38E2CF82" w14:textId="77777777" w:rsidTr="00215BD6">
        <w:tc>
          <w:tcPr>
            <w:tcW w:w="582" w:type="pct"/>
          </w:tcPr>
          <w:p w14:paraId="57918380" w14:textId="77777777" w:rsidR="00AC7C46" w:rsidRPr="00C23803" w:rsidRDefault="00AC7C46" w:rsidP="00C23803">
            <w:r>
              <w:t>2</w:t>
            </w:r>
          </w:p>
        </w:tc>
        <w:tc>
          <w:tcPr>
            <w:tcW w:w="1471" w:type="pct"/>
          </w:tcPr>
          <w:p w14:paraId="046EA4F6" w14:textId="77777777" w:rsidR="00AC7C46" w:rsidRPr="00C23803" w:rsidRDefault="00AC7C46" w:rsidP="00C23803">
            <w:r>
              <w:t xml:space="preserve">Pan </w:t>
            </w:r>
            <w:proofErr w:type="spellStart"/>
            <w:r>
              <w:t>M.M</w:t>
            </w:r>
            <w:proofErr w:type="spellEnd"/>
            <w:r>
              <w:t>.</w:t>
            </w:r>
          </w:p>
        </w:tc>
        <w:tc>
          <w:tcPr>
            <w:tcW w:w="1473" w:type="pct"/>
          </w:tcPr>
          <w:p w14:paraId="23BB3494" w14:textId="77777777" w:rsidR="00AC7C46" w:rsidRPr="00C23803" w:rsidRDefault="00AC7C46" w:rsidP="00C23803">
            <w:r>
              <w:t>1976</w:t>
            </w:r>
          </w:p>
        </w:tc>
        <w:tc>
          <w:tcPr>
            <w:tcW w:w="1473" w:type="pct"/>
          </w:tcPr>
          <w:p w14:paraId="5FDCE8FB" w14:textId="77777777" w:rsidR="00AC7C46" w:rsidRPr="00C23803" w:rsidRDefault="00AC7C46" w:rsidP="00C23803">
            <w:r>
              <w:t>rosyjskie</w:t>
            </w:r>
          </w:p>
        </w:tc>
      </w:tr>
      <w:tr w:rsidR="00AC7C46" w:rsidRPr="00C23803" w14:paraId="0DCB1EDF" w14:textId="77777777" w:rsidTr="00215BD6">
        <w:tc>
          <w:tcPr>
            <w:tcW w:w="582" w:type="pct"/>
          </w:tcPr>
          <w:p w14:paraId="703F7E66" w14:textId="77777777" w:rsidR="00AC7C46" w:rsidRPr="00C23803" w:rsidRDefault="00AC7C46" w:rsidP="00C23803">
            <w:r>
              <w:t>3</w:t>
            </w:r>
          </w:p>
        </w:tc>
        <w:tc>
          <w:tcPr>
            <w:tcW w:w="1471" w:type="pct"/>
          </w:tcPr>
          <w:p w14:paraId="4EE0F688" w14:textId="77777777" w:rsidR="00AC7C46" w:rsidRPr="00C23803" w:rsidRDefault="00AC7C46" w:rsidP="00C23803">
            <w:proofErr w:type="spellStart"/>
            <w:r>
              <w:t>D.M</w:t>
            </w:r>
            <w:proofErr w:type="spellEnd"/>
            <w:r>
              <w:t>.</w:t>
            </w:r>
          </w:p>
        </w:tc>
        <w:tc>
          <w:tcPr>
            <w:tcW w:w="1473" w:type="pct"/>
          </w:tcPr>
          <w:p w14:paraId="275E9367" w14:textId="77777777" w:rsidR="00AC7C46" w:rsidRPr="00C23803" w:rsidRDefault="00AC7C46" w:rsidP="00C23803">
            <w:r>
              <w:t>2009</w:t>
            </w:r>
          </w:p>
        </w:tc>
        <w:tc>
          <w:tcPr>
            <w:tcW w:w="1473" w:type="pct"/>
          </w:tcPr>
          <w:p w14:paraId="7249A1A5" w14:textId="77777777" w:rsidR="00AC7C46" w:rsidRPr="00C23803" w:rsidRDefault="00AC7C46" w:rsidP="00C23803">
            <w:r>
              <w:t>rosyjskie</w:t>
            </w:r>
          </w:p>
        </w:tc>
      </w:tr>
      <w:tr w:rsidR="00AC7C46" w:rsidRPr="00C23803" w14:paraId="245A37D0" w14:textId="77777777" w:rsidTr="00215BD6">
        <w:tc>
          <w:tcPr>
            <w:tcW w:w="582" w:type="pct"/>
          </w:tcPr>
          <w:p w14:paraId="446C0217" w14:textId="77777777" w:rsidR="00AC7C46" w:rsidRPr="00C23803" w:rsidRDefault="00AC7C46" w:rsidP="00C23803">
            <w:r>
              <w:t>4</w:t>
            </w:r>
          </w:p>
        </w:tc>
        <w:tc>
          <w:tcPr>
            <w:tcW w:w="1471" w:type="pct"/>
          </w:tcPr>
          <w:p w14:paraId="7E990538" w14:textId="77777777" w:rsidR="00AC7C46" w:rsidRPr="00C23803" w:rsidRDefault="00AC7C46" w:rsidP="00C23803">
            <w:proofErr w:type="spellStart"/>
            <w:r>
              <w:t>S.M</w:t>
            </w:r>
            <w:proofErr w:type="spellEnd"/>
            <w:r>
              <w:t>.</w:t>
            </w:r>
          </w:p>
        </w:tc>
        <w:tc>
          <w:tcPr>
            <w:tcW w:w="1473" w:type="pct"/>
          </w:tcPr>
          <w:p w14:paraId="4F6A1F84" w14:textId="77777777" w:rsidR="00AC7C46" w:rsidRPr="00C23803" w:rsidRDefault="00AC7C46" w:rsidP="00C23803">
            <w:r>
              <w:t>2010</w:t>
            </w:r>
          </w:p>
        </w:tc>
        <w:tc>
          <w:tcPr>
            <w:tcW w:w="1473" w:type="pct"/>
          </w:tcPr>
          <w:p w14:paraId="3547F3A1" w14:textId="77777777" w:rsidR="00AC7C46" w:rsidRPr="00C23803" w:rsidRDefault="00AC7C46" w:rsidP="00C23803">
            <w:r>
              <w:t>rosyjskie</w:t>
            </w:r>
          </w:p>
        </w:tc>
      </w:tr>
      <w:tr w:rsidR="00AC7C46" w:rsidRPr="00C23803" w14:paraId="1D40EEA8" w14:textId="77777777" w:rsidTr="00215BD6">
        <w:tc>
          <w:tcPr>
            <w:tcW w:w="582" w:type="pct"/>
          </w:tcPr>
          <w:p w14:paraId="341BF59D" w14:textId="77777777" w:rsidR="00AC7C46" w:rsidRPr="00C23803" w:rsidRDefault="00AC7C46" w:rsidP="00C23803">
            <w:r>
              <w:t>5</w:t>
            </w:r>
          </w:p>
        </w:tc>
        <w:tc>
          <w:tcPr>
            <w:tcW w:w="1471" w:type="pct"/>
          </w:tcPr>
          <w:p w14:paraId="2FAA53B7" w14:textId="77777777" w:rsidR="00AC7C46" w:rsidRPr="00C23803" w:rsidRDefault="00AC7C46" w:rsidP="00C23803">
            <w:proofErr w:type="spellStart"/>
            <w:r>
              <w:t>S.M</w:t>
            </w:r>
            <w:proofErr w:type="spellEnd"/>
            <w:r>
              <w:t>.</w:t>
            </w:r>
          </w:p>
        </w:tc>
        <w:tc>
          <w:tcPr>
            <w:tcW w:w="1473" w:type="pct"/>
          </w:tcPr>
          <w:p w14:paraId="345A587E" w14:textId="77777777" w:rsidR="00AC7C46" w:rsidRPr="00C23803" w:rsidRDefault="00AC7C46" w:rsidP="00C23803">
            <w:r>
              <w:t>2012</w:t>
            </w:r>
          </w:p>
        </w:tc>
        <w:tc>
          <w:tcPr>
            <w:tcW w:w="1473" w:type="pct"/>
          </w:tcPr>
          <w:p w14:paraId="0901986B" w14:textId="77777777" w:rsidR="00AC7C46" w:rsidRPr="00C23803" w:rsidRDefault="00AC7C46" w:rsidP="00C23803">
            <w:r>
              <w:t>rosyjskie</w:t>
            </w:r>
          </w:p>
        </w:tc>
      </w:tr>
      <w:tr w:rsidR="00AC7C46" w:rsidRPr="00C23803" w14:paraId="5511AA82" w14:textId="77777777" w:rsidTr="00215BD6">
        <w:tc>
          <w:tcPr>
            <w:tcW w:w="582" w:type="pct"/>
          </w:tcPr>
          <w:p w14:paraId="5F1055D5" w14:textId="77777777" w:rsidR="00AC7C46" w:rsidRPr="00C23803" w:rsidRDefault="00AC7C46" w:rsidP="00C23803">
            <w:r>
              <w:t>6</w:t>
            </w:r>
          </w:p>
        </w:tc>
        <w:tc>
          <w:tcPr>
            <w:tcW w:w="1471" w:type="pct"/>
          </w:tcPr>
          <w:p w14:paraId="10B9AC11" w14:textId="77777777" w:rsidR="00AC7C46" w:rsidRPr="00C23803" w:rsidRDefault="00AC7C46" w:rsidP="00C23803">
            <w:proofErr w:type="spellStart"/>
            <w:r>
              <w:t>K.M</w:t>
            </w:r>
            <w:proofErr w:type="spellEnd"/>
            <w:r>
              <w:t>.</w:t>
            </w:r>
          </w:p>
        </w:tc>
        <w:tc>
          <w:tcPr>
            <w:tcW w:w="1473" w:type="pct"/>
          </w:tcPr>
          <w:p w14:paraId="3E0AB9EE" w14:textId="77777777" w:rsidR="00AC7C46" w:rsidRPr="00C23803" w:rsidRDefault="00AC7C46" w:rsidP="00C23803">
            <w:r>
              <w:t>2014</w:t>
            </w:r>
          </w:p>
        </w:tc>
        <w:tc>
          <w:tcPr>
            <w:tcW w:w="1473" w:type="pct"/>
          </w:tcPr>
          <w:p w14:paraId="3C8BAA51" w14:textId="77777777" w:rsidR="00AC7C46" w:rsidRPr="00C23803" w:rsidRDefault="00AC7C46" w:rsidP="00C23803">
            <w:r>
              <w:t>rosyjskie</w:t>
            </w:r>
          </w:p>
        </w:tc>
      </w:tr>
    </w:tbl>
    <w:p w14:paraId="678574FC" w14:textId="770971E6" w:rsidR="00182EBA" w:rsidRPr="00C23803" w:rsidRDefault="00182EBA" w:rsidP="00C23803"/>
    <w:p w14:paraId="2F90A477" w14:textId="77777777" w:rsidR="00A31FBD" w:rsidRPr="00C23803" w:rsidRDefault="00A31FBD"/>
    <w:sectPr w:rsidR="00A31FBD" w:rsidRPr="00C23803" w:rsidSect="003B0D34">
      <w:headerReference w:type="even" r:id="rId18"/>
      <w:headerReference w:type="default" r:id="rId19"/>
      <w:footerReference w:type="even" r:id="rId20"/>
      <w:footerReference w:type="default" r:id="rId21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D20F33" w14:textId="77777777" w:rsidR="009E0E43" w:rsidRPr="00AC7C46" w:rsidRDefault="009E0E43" w:rsidP="0098410D">
      <w:r w:rsidRPr="00AC7C46">
        <w:separator/>
      </w:r>
    </w:p>
  </w:endnote>
  <w:endnote w:type="continuationSeparator" w:id="0">
    <w:p w14:paraId="147506FC" w14:textId="77777777" w:rsidR="009E0E43" w:rsidRPr="00AC7C46" w:rsidRDefault="009E0E43" w:rsidP="0098410D">
      <w:r w:rsidRPr="00AC7C4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DE4B77" w14:textId="77777777" w:rsidR="00A31FBD" w:rsidRDefault="00A31F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72308" w14:textId="11C93976" w:rsidR="00AC7C46" w:rsidRPr="00150BFA" w:rsidRDefault="00AC7C46" w:rsidP="0020718E">
    <w:pPr>
      <w:jc w:val="center"/>
    </w:pPr>
    <w:r>
      <w:rPr>
        <w:noProof/>
        <w:lang w:eastAsia="pl-PL"/>
      </w:rPr>
      <w:drawing>
        <wp:inline distT="0" distB="0" distL="0" distR="0" wp14:anchorId="54B8726C" wp14:editId="430A69B5">
          <wp:extent cx="771525" cy="619125"/>
          <wp:effectExtent l="0" t="0" r="9525" b="9525"/>
          <wp:docPr id="47" name="Picture 4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C3BF8" w14:textId="018621BE" w:rsidR="0098410D" w:rsidRPr="00AC7C46" w:rsidRDefault="0098410D" w:rsidP="00AF12C5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1C227" w14:textId="69BE9EAA" w:rsidR="00AC7C46" w:rsidRPr="00150BFA" w:rsidRDefault="00AC7C46" w:rsidP="0020718E">
    <w:pPr>
      <w:jc w:val="center"/>
    </w:pPr>
    <w:r>
      <w:rPr>
        <w:noProof/>
        <w:lang w:eastAsia="pl-PL"/>
      </w:rPr>
      <w:drawing>
        <wp:inline distT="0" distB="0" distL="0" distR="0" wp14:anchorId="69B99CDF" wp14:editId="10C3F8A6">
          <wp:extent cx="771525" cy="619125"/>
          <wp:effectExtent l="0" t="0" r="9525" b="9525"/>
          <wp:docPr id="45" name="Picture 4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3DECD3" w14:textId="49269F6B" w:rsidR="009E7A6F" w:rsidRPr="00AC7C46" w:rsidRDefault="009E7A6F" w:rsidP="009E7A6F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83E22F" w14:textId="3C17D4C0" w:rsidR="00AC7C46" w:rsidRDefault="00AC7C46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A2403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0A916" w14:textId="384ECDCB" w:rsidR="00AC7C46" w:rsidRPr="000B7195" w:rsidRDefault="00AC7C46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CA2403">
      <w:rPr>
        <w:noProof/>
      </w:rPr>
      <w:t>5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84A55" w14:textId="77BDD833" w:rsidR="00182EBA" w:rsidRDefault="00AC7C46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4E298" w14:textId="02FCA248" w:rsidR="00182EBA" w:rsidRPr="00F203FA" w:rsidRDefault="00F203FA" w:rsidP="00F203FA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E3CCE" w14:textId="77777777" w:rsidR="009E0E43" w:rsidRPr="00AC7C46" w:rsidRDefault="009E0E43" w:rsidP="0098410D">
      <w:r w:rsidRPr="00AC7C46">
        <w:separator/>
      </w:r>
    </w:p>
  </w:footnote>
  <w:footnote w:type="continuationSeparator" w:id="0">
    <w:p w14:paraId="2947E43D" w14:textId="77777777" w:rsidR="009E0E43" w:rsidRPr="00AC7C46" w:rsidRDefault="009E0E43" w:rsidP="0098410D">
      <w:r w:rsidRPr="00AC7C4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F0CC8" w14:textId="77777777" w:rsidR="00A31FBD" w:rsidRDefault="00A31F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9664B" w14:textId="0399400A" w:rsidR="00AC7C46" w:rsidRPr="00A45145" w:rsidRDefault="00AC7C46" w:rsidP="00A45145">
    <w:pPr>
      <w:jc w:val="center"/>
    </w:pPr>
    <w:r>
      <w:rPr>
        <w:noProof/>
        <w:lang w:eastAsia="pl-PL"/>
      </w:rPr>
      <w:drawing>
        <wp:inline distT="0" distB="0" distL="0" distR="0" wp14:anchorId="29CE0908" wp14:editId="603D4754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B67C81" w14:textId="29E65009" w:rsidR="0098410D" w:rsidRPr="00AC7C46" w:rsidRDefault="0098410D" w:rsidP="00B1479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5BF68" w14:textId="1E5E7C52" w:rsidR="00AC7C46" w:rsidRPr="00A45145" w:rsidRDefault="00AC7C46" w:rsidP="00A45145">
    <w:pPr>
      <w:jc w:val="center"/>
    </w:pPr>
    <w:r>
      <w:rPr>
        <w:noProof/>
        <w:lang w:eastAsia="pl-PL"/>
      </w:rPr>
      <w:drawing>
        <wp:inline distT="0" distB="0" distL="0" distR="0" wp14:anchorId="58037628" wp14:editId="17D8CC67">
          <wp:extent cx="2962275" cy="1219200"/>
          <wp:effectExtent l="0" t="0" r="9525" b="0"/>
          <wp:docPr id="40" name="Picture 4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8F4B93" w14:textId="73264629" w:rsidR="0098410D" w:rsidRPr="00AC7C46" w:rsidRDefault="0098410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CED81" w14:textId="77777777" w:rsidR="008E57CC" w:rsidRPr="00882CD5" w:rsidRDefault="008E57CC" w:rsidP="008E57CC">
    <w:pPr>
      <w:pStyle w:val="JuHeader"/>
    </w:pPr>
    <w:r>
      <w:t xml:space="preserve">WYROK W SPRAWIE </w:t>
    </w:r>
    <w:proofErr w:type="spellStart"/>
    <w:r>
      <w:t>T.Z</w:t>
    </w:r>
    <w:proofErr w:type="spellEnd"/>
    <w:r>
      <w:t>. I INNI PRZECIWKO POLSCE</w:t>
    </w:r>
  </w:p>
  <w:p w14:paraId="321AEF9A" w14:textId="232B099F" w:rsidR="00AC7C46" w:rsidRPr="008E57CC" w:rsidRDefault="00AC7C46" w:rsidP="008E57CC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79CEC" w14:textId="76AADE96" w:rsidR="00AC7C46" w:rsidRPr="00882CD5" w:rsidRDefault="008E57CC" w:rsidP="007D3701">
    <w:pPr>
      <w:pStyle w:val="JuHeader"/>
    </w:pPr>
    <w:r>
      <w:t xml:space="preserve">WYROK W SPRAWIE </w:t>
    </w:r>
    <w:proofErr w:type="spellStart"/>
    <w:r w:rsidR="00AC7C46">
      <w:t>T.Z</w:t>
    </w:r>
    <w:proofErr w:type="spellEnd"/>
    <w:r w:rsidR="00AC7C46">
      <w:t xml:space="preserve">. I INNI </w:t>
    </w:r>
    <w:r>
      <w:t xml:space="preserve">PRZECIWKO </w:t>
    </w:r>
    <w:r w:rsidR="00AC7C46">
      <w:t>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D50E3" w14:textId="68568661" w:rsidR="00182EBA" w:rsidRPr="004D0EC7" w:rsidRDefault="00AC7C46" w:rsidP="004D0EC7">
    <w:pPr>
      <w:pStyle w:val="JuHeader"/>
    </w:pPr>
    <w:proofErr w:type="spellStart"/>
    <w:r>
      <w:t>T.Z</w:t>
    </w:r>
    <w:proofErr w:type="spellEnd"/>
    <w:r>
      <w:t>. I INNI przeciwko POLSCE, WYROK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E162E" w14:textId="0515EA75" w:rsidR="00182EBA" w:rsidRPr="00882CD5" w:rsidRDefault="00AC7C46" w:rsidP="007D3701">
    <w:pPr>
      <w:pStyle w:val="JuHeader"/>
    </w:pPr>
    <w:proofErr w:type="spellStart"/>
    <w:r>
      <w:t>T.Z</w:t>
    </w:r>
    <w:proofErr w:type="spellEnd"/>
    <w:r>
      <w:t>. I INNI przeciwko POLSCE, WYROK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5"/>
  </w:num>
  <w:num w:numId="8">
    <w:abstractNumId w:val="16"/>
  </w:num>
  <w:num w:numId="9">
    <w:abstractNumId w:val="10"/>
  </w:num>
  <w:num w:numId="10">
    <w:abstractNumId w:val="9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licationsApp" w:val="1"/>
    <w:docVar w:name="AppNatAutre" w:val="1"/>
    <w:docVar w:name="DocVarPREMATURE" w:val="0"/>
    <w:docVar w:name="EMM" w:val="0"/>
    <w:docVar w:name="ETRANSMISSION" w:val="BY E-TRANSMISSION ONLY"/>
    <w:docVar w:name="L4_1Annex" w:val="0"/>
    <w:docVar w:name="L4_1Anonymity" w:val="1"/>
    <w:docVar w:name="L4_1AppNatList" w:val="Russian"/>
    <w:docVar w:name="NBEMMDOC" w:val="0"/>
    <w:docVar w:name="Plural" w:val="3"/>
    <w:docVar w:name="SignForeName" w:val="0"/>
    <w:docVar w:name="SndCaseNumber" w:val="Error!Nodocumentvariablesupplied."/>
  </w:docVars>
  <w:rsids>
    <w:rsidRoot w:val="00AC7C46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4987"/>
    <w:rsid w:val="00041560"/>
    <w:rsid w:val="000602DF"/>
    <w:rsid w:val="00061B05"/>
    <w:rsid w:val="000632D5"/>
    <w:rsid w:val="000644EE"/>
    <w:rsid w:val="00075658"/>
    <w:rsid w:val="0007780A"/>
    <w:rsid w:val="00085457"/>
    <w:rsid w:val="000925AD"/>
    <w:rsid w:val="00096FE1"/>
    <w:rsid w:val="00097A62"/>
    <w:rsid w:val="000A24EB"/>
    <w:rsid w:val="000A5543"/>
    <w:rsid w:val="000B686A"/>
    <w:rsid w:val="000B6923"/>
    <w:rsid w:val="000B7195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7D45"/>
    <w:rsid w:val="000F6A55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61B6"/>
    <w:rsid w:val="00162A12"/>
    <w:rsid w:val="00166530"/>
    <w:rsid w:val="00170027"/>
    <w:rsid w:val="00182EBA"/>
    <w:rsid w:val="001832BD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2A42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439A"/>
    <w:rsid w:val="0026540E"/>
    <w:rsid w:val="00275123"/>
    <w:rsid w:val="00281B7C"/>
    <w:rsid w:val="00282240"/>
    <w:rsid w:val="00282BD8"/>
    <w:rsid w:val="002842EC"/>
    <w:rsid w:val="00287AD5"/>
    <w:rsid w:val="002934D0"/>
    <w:rsid w:val="00293676"/>
    <w:rsid w:val="00293BD9"/>
    <w:rsid w:val="002948AD"/>
    <w:rsid w:val="002A01CC"/>
    <w:rsid w:val="002A2323"/>
    <w:rsid w:val="002A613A"/>
    <w:rsid w:val="002A61B1"/>
    <w:rsid w:val="002A663C"/>
    <w:rsid w:val="002B444B"/>
    <w:rsid w:val="002B5887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5F7D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7EE4"/>
    <w:rsid w:val="00340FFD"/>
    <w:rsid w:val="00345C41"/>
    <w:rsid w:val="003506B1"/>
    <w:rsid w:val="00355877"/>
    <w:rsid w:val="00356AC7"/>
    <w:rsid w:val="003609FA"/>
    <w:rsid w:val="003710C8"/>
    <w:rsid w:val="003750BE"/>
    <w:rsid w:val="00385A36"/>
    <w:rsid w:val="00385F3D"/>
    <w:rsid w:val="0038740C"/>
    <w:rsid w:val="00387B9D"/>
    <w:rsid w:val="00387C70"/>
    <w:rsid w:val="00390294"/>
    <w:rsid w:val="0039364F"/>
    <w:rsid w:val="00396686"/>
    <w:rsid w:val="003975A6"/>
    <w:rsid w:val="0039778E"/>
    <w:rsid w:val="003A50F9"/>
    <w:rsid w:val="003B0D34"/>
    <w:rsid w:val="003B4941"/>
    <w:rsid w:val="003C5714"/>
    <w:rsid w:val="003C6B9F"/>
    <w:rsid w:val="003C6E2A"/>
    <w:rsid w:val="003D0299"/>
    <w:rsid w:val="003E6D80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7F5B"/>
    <w:rsid w:val="00461DB0"/>
    <w:rsid w:val="00463926"/>
    <w:rsid w:val="00464AB7"/>
    <w:rsid w:val="00464C9A"/>
    <w:rsid w:val="00474F3D"/>
    <w:rsid w:val="00477E3A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11C07"/>
    <w:rsid w:val="005125CB"/>
    <w:rsid w:val="00512EC4"/>
    <w:rsid w:val="0051725A"/>
    <w:rsid w:val="005173A6"/>
    <w:rsid w:val="00520354"/>
    <w:rsid w:val="00520BAA"/>
    <w:rsid w:val="005217D8"/>
    <w:rsid w:val="00523548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353"/>
    <w:rsid w:val="005474E7"/>
    <w:rsid w:val="005512A3"/>
    <w:rsid w:val="005578CE"/>
    <w:rsid w:val="00562781"/>
    <w:rsid w:val="00562B6C"/>
    <w:rsid w:val="0057271C"/>
    <w:rsid w:val="00572845"/>
    <w:rsid w:val="005879A2"/>
    <w:rsid w:val="00592772"/>
    <w:rsid w:val="0059574A"/>
    <w:rsid w:val="005A1B9B"/>
    <w:rsid w:val="005A2E79"/>
    <w:rsid w:val="005A6751"/>
    <w:rsid w:val="005B092E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F0EB3"/>
    <w:rsid w:val="005F51E1"/>
    <w:rsid w:val="00611C80"/>
    <w:rsid w:val="00620692"/>
    <w:rsid w:val="006242CA"/>
    <w:rsid w:val="00627507"/>
    <w:rsid w:val="00633717"/>
    <w:rsid w:val="006344E1"/>
    <w:rsid w:val="00643524"/>
    <w:rsid w:val="0064393B"/>
    <w:rsid w:val="00645CF2"/>
    <w:rsid w:val="006545C4"/>
    <w:rsid w:val="00661971"/>
    <w:rsid w:val="00661CE8"/>
    <w:rsid w:val="006623D9"/>
    <w:rsid w:val="006642A5"/>
    <w:rsid w:val="0066550C"/>
    <w:rsid w:val="00665BD2"/>
    <w:rsid w:val="006716F2"/>
    <w:rsid w:val="00675AF2"/>
    <w:rsid w:val="00682BF2"/>
    <w:rsid w:val="0068573E"/>
    <w:rsid w:val="006859CE"/>
    <w:rsid w:val="00691270"/>
    <w:rsid w:val="00694BA8"/>
    <w:rsid w:val="006A037C"/>
    <w:rsid w:val="006A0C84"/>
    <w:rsid w:val="006A36F4"/>
    <w:rsid w:val="006A406F"/>
    <w:rsid w:val="006A5D3A"/>
    <w:rsid w:val="006B1942"/>
    <w:rsid w:val="006B7C21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5566E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26FD"/>
    <w:rsid w:val="00793366"/>
    <w:rsid w:val="0079666C"/>
    <w:rsid w:val="007A716F"/>
    <w:rsid w:val="007B270A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73D7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3602"/>
    <w:rsid w:val="008255F5"/>
    <w:rsid w:val="00826890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B02DC"/>
    <w:rsid w:val="008B092C"/>
    <w:rsid w:val="008B57CE"/>
    <w:rsid w:val="008C26DE"/>
    <w:rsid w:val="008D2225"/>
    <w:rsid w:val="008D4752"/>
    <w:rsid w:val="008D5568"/>
    <w:rsid w:val="008D5A13"/>
    <w:rsid w:val="008E271C"/>
    <w:rsid w:val="008E3A08"/>
    <w:rsid w:val="008E418E"/>
    <w:rsid w:val="008E57CC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2E11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1AA3"/>
    <w:rsid w:val="00951D7D"/>
    <w:rsid w:val="00953A71"/>
    <w:rsid w:val="00956D0C"/>
    <w:rsid w:val="009630C7"/>
    <w:rsid w:val="00972B55"/>
    <w:rsid w:val="009743B7"/>
    <w:rsid w:val="0098228B"/>
    <w:rsid w:val="009828DA"/>
    <w:rsid w:val="0098410D"/>
    <w:rsid w:val="00985BAB"/>
    <w:rsid w:val="00986B3C"/>
    <w:rsid w:val="009878F6"/>
    <w:rsid w:val="009A115C"/>
    <w:rsid w:val="009A7FC1"/>
    <w:rsid w:val="009B1606"/>
    <w:rsid w:val="009B1B5F"/>
    <w:rsid w:val="009B6673"/>
    <w:rsid w:val="009C191B"/>
    <w:rsid w:val="009C2BD6"/>
    <w:rsid w:val="009D57AA"/>
    <w:rsid w:val="009E0E43"/>
    <w:rsid w:val="009E1F32"/>
    <w:rsid w:val="009E2CC2"/>
    <w:rsid w:val="009E47A2"/>
    <w:rsid w:val="009E776C"/>
    <w:rsid w:val="009E7A6F"/>
    <w:rsid w:val="009F4BD4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1FBD"/>
    <w:rsid w:val="00A34DD6"/>
    <w:rsid w:val="00A35683"/>
    <w:rsid w:val="00A36819"/>
    <w:rsid w:val="00A36989"/>
    <w:rsid w:val="00A41D86"/>
    <w:rsid w:val="00A43628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0BCD"/>
    <w:rsid w:val="00A94C20"/>
    <w:rsid w:val="00AA1B09"/>
    <w:rsid w:val="00AA227F"/>
    <w:rsid w:val="00AA3BC7"/>
    <w:rsid w:val="00AA754A"/>
    <w:rsid w:val="00AB099E"/>
    <w:rsid w:val="00AB4328"/>
    <w:rsid w:val="00AC4CD4"/>
    <w:rsid w:val="00AC5E99"/>
    <w:rsid w:val="00AC7C46"/>
    <w:rsid w:val="00AE0A2E"/>
    <w:rsid w:val="00AE354C"/>
    <w:rsid w:val="00AF4B07"/>
    <w:rsid w:val="00AF6186"/>
    <w:rsid w:val="00AF635F"/>
    <w:rsid w:val="00AF7A3A"/>
    <w:rsid w:val="00B02587"/>
    <w:rsid w:val="00B049D1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6356A"/>
    <w:rsid w:val="00B701ED"/>
    <w:rsid w:val="00B748F7"/>
    <w:rsid w:val="00B75B30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6BBF"/>
    <w:rsid w:val="00BD1572"/>
    <w:rsid w:val="00BE14E3"/>
    <w:rsid w:val="00BE3774"/>
    <w:rsid w:val="00BE41E5"/>
    <w:rsid w:val="00BF118F"/>
    <w:rsid w:val="00BF4109"/>
    <w:rsid w:val="00BF4CC3"/>
    <w:rsid w:val="00C054C7"/>
    <w:rsid w:val="00C057B5"/>
    <w:rsid w:val="00C07D0E"/>
    <w:rsid w:val="00C115C3"/>
    <w:rsid w:val="00C14563"/>
    <w:rsid w:val="00C15547"/>
    <w:rsid w:val="00C1672D"/>
    <w:rsid w:val="00C22687"/>
    <w:rsid w:val="00C23803"/>
    <w:rsid w:val="00C26A92"/>
    <w:rsid w:val="00C26B1C"/>
    <w:rsid w:val="00C32E4D"/>
    <w:rsid w:val="00C333A0"/>
    <w:rsid w:val="00C36A81"/>
    <w:rsid w:val="00C41974"/>
    <w:rsid w:val="00C44A2C"/>
    <w:rsid w:val="00C44F09"/>
    <w:rsid w:val="00C477F7"/>
    <w:rsid w:val="00C509A6"/>
    <w:rsid w:val="00C53F4A"/>
    <w:rsid w:val="00C54125"/>
    <w:rsid w:val="00C55B54"/>
    <w:rsid w:val="00C6098E"/>
    <w:rsid w:val="00C6152C"/>
    <w:rsid w:val="00C74810"/>
    <w:rsid w:val="00C90D68"/>
    <w:rsid w:val="00C939FE"/>
    <w:rsid w:val="00CA2403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D00ABB"/>
    <w:rsid w:val="00D02EEC"/>
    <w:rsid w:val="00D03551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46932"/>
    <w:rsid w:val="00D50A0A"/>
    <w:rsid w:val="00D53548"/>
    <w:rsid w:val="00D5576B"/>
    <w:rsid w:val="00D566BD"/>
    <w:rsid w:val="00D57A4D"/>
    <w:rsid w:val="00D60AA7"/>
    <w:rsid w:val="00D6435F"/>
    <w:rsid w:val="00D66471"/>
    <w:rsid w:val="00D70641"/>
    <w:rsid w:val="00D74888"/>
    <w:rsid w:val="00D7488B"/>
    <w:rsid w:val="00D75E28"/>
    <w:rsid w:val="00D772C2"/>
    <w:rsid w:val="00D8008E"/>
    <w:rsid w:val="00D82C45"/>
    <w:rsid w:val="00D908A8"/>
    <w:rsid w:val="00D977B6"/>
    <w:rsid w:val="00DA1223"/>
    <w:rsid w:val="00DA35E9"/>
    <w:rsid w:val="00DA4A31"/>
    <w:rsid w:val="00DA7B04"/>
    <w:rsid w:val="00DB36C2"/>
    <w:rsid w:val="00DC169B"/>
    <w:rsid w:val="00DC2AB9"/>
    <w:rsid w:val="00DC63F0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515E3"/>
    <w:rsid w:val="00E55900"/>
    <w:rsid w:val="00E63EC7"/>
    <w:rsid w:val="00E64915"/>
    <w:rsid w:val="00E64D3A"/>
    <w:rsid w:val="00E661D4"/>
    <w:rsid w:val="00E67565"/>
    <w:rsid w:val="00E70091"/>
    <w:rsid w:val="00E70D2E"/>
    <w:rsid w:val="00E720F5"/>
    <w:rsid w:val="00E76D47"/>
    <w:rsid w:val="00E827BC"/>
    <w:rsid w:val="00E849F7"/>
    <w:rsid w:val="00E90302"/>
    <w:rsid w:val="00E91D05"/>
    <w:rsid w:val="00E9262D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560E"/>
    <w:rsid w:val="00F07C1E"/>
    <w:rsid w:val="00F105DB"/>
    <w:rsid w:val="00F132BC"/>
    <w:rsid w:val="00F13D80"/>
    <w:rsid w:val="00F15B4D"/>
    <w:rsid w:val="00F16A7C"/>
    <w:rsid w:val="00F16AAA"/>
    <w:rsid w:val="00F1709C"/>
    <w:rsid w:val="00F203FA"/>
    <w:rsid w:val="00F21161"/>
    <w:rsid w:val="00F218EF"/>
    <w:rsid w:val="00F21BC7"/>
    <w:rsid w:val="00F266A2"/>
    <w:rsid w:val="00F32269"/>
    <w:rsid w:val="00F35B7A"/>
    <w:rsid w:val="00F56A6F"/>
    <w:rsid w:val="00F5709C"/>
    <w:rsid w:val="00F60B85"/>
    <w:rsid w:val="00F64EF1"/>
    <w:rsid w:val="00F72B14"/>
    <w:rsid w:val="00F7349B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FB85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26439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26439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26439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26439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26439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26439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26439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26439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26439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26439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2643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26439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26439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26439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26439A"/>
    <w:pPr>
      <w:jc w:val="both"/>
    </w:pPr>
  </w:style>
  <w:style w:type="character" w:styleId="Pogrubienie">
    <w:name w:val="Strong"/>
    <w:uiPriority w:val="98"/>
    <w:semiHidden/>
    <w:qFormat/>
    <w:rsid w:val="0026439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26439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26439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26439A"/>
    <w:pPr>
      <w:spacing w:before="120" w:after="120"/>
      <w:ind w:left="425" w:firstLine="142"/>
    </w:pPr>
    <w:rPr>
      <w:sz w:val="20"/>
    </w:rPr>
  </w:style>
  <w:style w:type="table" w:customStyle="1" w:styleId="Tabelasiatki1jasna1">
    <w:name w:val="Tabela siatki 1 — jasna1"/>
    <w:basedOn w:val="Standardowy"/>
    <w:uiPriority w:val="46"/>
    <w:semiHidden/>
    <w:rsid w:val="00F0560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JuList">
    <w:name w:val="Ju_List"/>
    <w:aliases w:val="_List_1"/>
    <w:basedOn w:val="NormalJustified"/>
    <w:uiPriority w:val="23"/>
    <w:qFormat/>
    <w:rsid w:val="0026439A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26439A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26439A"/>
    <w:pPr>
      <w:numPr>
        <w:ilvl w:val="2"/>
        <w:numId w:val="1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26439A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26439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26439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26439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26439A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26439A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26439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26439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26439A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26439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26439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26439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26439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26439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26439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2643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26439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26439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26439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26439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26439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26439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26439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26439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26439A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26439A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26439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26439A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26439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26439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26439A"/>
    <w:rPr>
      <w:caps w:val="0"/>
      <w:smallCaps/>
    </w:rPr>
  </w:style>
  <w:style w:type="character" w:styleId="Wyrnieniedelikatne">
    <w:name w:val="Subtle Emphasis"/>
    <w:uiPriority w:val="98"/>
    <w:semiHidden/>
    <w:qFormat/>
    <w:rsid w:val="0026439A"/>
    <w:rPr>
      <w:i/>
      <w:iCs/>
    </w:rPr>
  </w:style>
  <w:style w:type="table" w:customStyle="1" w:styleId="ECHRTable">
    <w:name w:val="ECHR_Table"/>
    <w:basedOn w:val="Standardowy"/>
    <w:rsid w:val="0026439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26439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26439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9"/>
    <w:rsid w:val="0026439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439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2643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26439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26439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26439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26439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26439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26439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26439A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26439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26439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26439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26439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26439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26439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26439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26439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26439A"/>
    <w:rPr>
      <w:smallCaps/>
    </w:rPr>
  </w:style>
  <w:style w:type="table" w:styleId="Tabela-Siatka">
    <w:name w:val="Table Grid"/>
    <w:basedOn w:val="Standardowy"/>
    <w:uiPriority w:val="59"/>
    <w:semiHidden/>
    <w:rsid w:val="0026439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26439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26439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26439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26439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6439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26439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26439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26439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26439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26439A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26439A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26439A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26439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26439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26439A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26439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6439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26439A"/>
  </w:style>
  <w:style w:type="paragraph" w:styleId="Tekstblokowy">
    <w:name w:val="Block Text"/>
    <w:basedOn w:val="Normalny"/>
    <w:uiPriority w:val="98"/>
    <w:semiHidden/>
    <w:rsid w:val="0026439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26439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264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26439A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26439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26439A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26439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26439A"/>
    <w:pPr>
      <w:ind w:firstLine="284"/>
      <w:jc w:val="both"/>
    </w:pPr>
    <w:rPr>
      <w:b/>
    </w:rPr>
  </w:style>
  <w:style w:type="character" w:styleId="Numerstrony">
    <w:name w:val="page number"/>
    <w:uiPriority w:val="98"/>
    <w:semiHidden/>
    <w:rsid w:val="0026439A"/>
    <w:rPr>
      <w:sz w:val="18"/>
    </w:rPr>
  </w:style>
  <w:style w:type="paragraph" w:styleId="Listapunktowana">
    <w:name w:val="List Bullet"/>
    <w:basedOn w:val="Normalny"/>
    <w:uiPriority w:val="98"/>
    <w:semiHidden/>
    <w:rsid w:val="0026439A"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rsid w:val="0026439A"/>
    <w:pPr>
      <w:numPr>
        <w:numId w:val="1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26439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26439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26439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26439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26439A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26439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26439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26439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26439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26439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26439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2643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26439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26439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26439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26439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2643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2643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26439A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2643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26439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26439A"/>
  </w:style>
  <w:style w:type="character" w:customStyle="1" w:styleId="DataZnak">
    <w:name w:val="Data Znak"/>
    <w:basedOn w:val="Domylnaczcionkaakapitu"/>
    <w:link w:val="Data"/>
    <w:uiPriority w:val="98"/>
    <w:semiHidden/>
    <w:rsid w:val="0026439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26439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26439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26439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26439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26439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2643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26439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26439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26439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26439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26439A"/>
  </w:style>
  <w:style w:type="paragraph" w:styleId="HTML-adres">
    <w:name w:val="HTML Address"/>
    <w:basedOn w:val="Normalny"/>
    <w:link w:val="HTML-adresZnak"/>
    <w:uiPriority w:val="98"/>
    <w:semiHidden/>
    <w:rsid w:val="0026439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26439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26439A"/>
    <w:rPr>
      <w:i/>
      <w:iCs/>
    </w:rPr>
  </w:style>
  <w:style w:type="character" w:styleId="HTML-kod">
    <w:name w:val="HTML Code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26439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26439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26439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26439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26439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26439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26439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26439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26439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26439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26439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26439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26439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26439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26439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26439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26439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26439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26439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26439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26439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26439A"/>
  </w:style>
  <w:style w:type="paragraph" w:styleId="Lista">
    <w:name w:val="List"/>
    <w:basedOn w:val="Normalny"/>
    <w:uiPriority w:val="98"/>
    <w:semiHidden/>
    <w:rsid w:val="0026439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26439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26439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26439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26439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26439A"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rsid w:val="0026439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26439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26439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26439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26439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26439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26439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26439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26439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26439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26439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26439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26439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26439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26439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26439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26439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26439A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26439A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26439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26439A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26439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26439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26439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26439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26439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26439A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26439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26439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26439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26439A"/>
  </w:style>
  <w:style w:type="table" w:styleId="Tabela-Profesjonalny">
    <w:name w:val="Table Professional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26439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26439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26439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26439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26439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26439A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26439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26439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26439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26439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26439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26439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26439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26439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26439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26439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26439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26439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26439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26439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26439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26439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26439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26439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26439A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26439A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26439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26439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26439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26439A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26439A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26439A"/>
    <w:rPr>
      <w:sz w:val="4"/>
    </w:rPr>
  </w:style>
  <w:style w:type="table" w:customStyle="1" w:styleId="ECHRTableGrey">
    <w:name w:val="ECHR_Table_Grey"/>
    <w:basedOn w:val="Standardowy"/>
    <w:uiPriority w:val="99"/>
    <w:rsid w:val="0026439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FC1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AC7C46"/>
    <w:rPr>
      <w:sz w:val="24"/>
      <w:szCs w:val="24"/>
      <w:lang w:val="pl-PL"/>
    </w:rPr>
  </w:style>
  <w:style w:type="table" w:customStyle="1" w:styleId="ECHRListTable1">
    <w:name w:val="ECHR_List_Table1"/>
    <w:basedOn w:val="Standardowy"/>
    <w:uiPriority w:val="99"/>
    <w:rsid w:val="00AC7C46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Tabelasiatki1jasnaakcent11">
    <w:name w:val="Tabela siatki 1 — jasna — akcent 11"/>
    <w:basedOn w:val="Standardowy"/>
    <w:uiPriority w:val="46"/>
    <w:semiHidden/>
    <w:rsid w:val="00F0560E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21">
    <w:name w:val="Tabela siatki 1 — jasna — akcent 21"/>
    <w:basedOn w:val="Standardowy"/>
    <w:uiPriority w:val="46"/>
    <w:semiHidden/>
    <w:rsid w:val="00F0560E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31">
    <w:name w:val="Tabela siatki 1 — jasna — akcent 31"/>
    <w:basedOn w:val="Standardowy"/>
    <w:uiPriority w:val="46"/>
    <w:semiHidden/>
    <w:rsid w:val="00F0560E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41">
    <w:name w:val="Tabela siatki 1 — jasna — akcent 41"/>
    <w:basedOn w:val="Standardowy"/>
    <w:uiPriority w:val="46"/>
    <w:semiHidden/>
    <w:rsid w:val="00F0560E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51">
    <w:name w:val="Tabela siatki 1 — jasna — akcent 51"/>
    <w:basedOn w:val="Standardowy"/>
    <w:uiPriority w:val="46"/>
    <w:semiHidden/>
    <w:rsid w:val="00F0560E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61">
    <w:name w:val="Tabela siatki 1 — jasna — akcent 61"/>
    <w:basedOn w:val="Standardowy"/>
    <w:uiPriority w:val="46"/>
    <w:semiHidden/>
    <w:rsid w:val="00F0560E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21">
    <w:name w:val="Tabela siatki 21"/>
    <w:basedOn w:val="Standardowy"/>
    <w:uiPriority w:val="47"/>
    <w:semiHidden/>
    <w:rsid w:val="00F0560E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2akcent11">
    <w:name w:val="Tabela siatki 2 — akcent 11"/>
    <w:basedOn w:val="Standardowy"/>
    <w:uiPriority w:val="47"/>
    <w:semiHidden/>
    <w:rsid w:val="00F0560E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2akcent21">
    <w:name w:val="Tabela siatki 2 — akcent 21"/>
    <w:basedOn w:val="Standardowy"/>
    <w:uiPriority w:val="47"/>
    <w:semiHidden/>
    <w:rsid w:val="00F0560E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2akcent31">
    <w:name w:val="Tabela siatki 2 — akcent 31"/>
    <w:basedOn w:val="Standardowy"/>
    <w:uiPriority w:val="47"/>
    <w:semiHidden/>
    <w:rsid w:val="00F0560E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2akcent41">
    <w:name w:val="Tabela siatki 2 — akcent 41"/>
    <w:basedOn w:val="Standardowy"/>
    <w:uiPriority w:val="47"/>
    <w:semiHidden/>
    <w:rsid w:val="00F0560E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2akcent51">
    <w:name w:val="Tabela siatki 2 — akcent 51"/>
    <w:basedOn w:val="Standardowy"/>
    <w:uiPriority w:val="47"/>
    <w:semiHidden/>
    <w:rsid w:val="00F0560E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2akcent61">
    <w:name w:val="Tabela siatki 2 — akcent 61"/>
    <w:basedOn w:val="Standardowy"/>
    <w:uiPriority w:val="47"/>
    <w:semiHidden/>
    <w:rsid w:val="00F0560E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31">
    <w:name w:val="Tabela siatki 3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3akcent11">
    <w:name w:val="Tabela siatki 3 — akcent 1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3akcent21">
    <w:name w:val="Tabela siatki 3 — akcent 2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3akcent31">
    <w:name w:val="Tabela siatki 3 — akcent 3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3akcent41">
    <w:name w:val="Tabela siatki 3 — akcent 4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3akcent51">
    <w:name w:val="Tabela siatki 3 — akcent 5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3akcent61">
    <w:name w:val="Tabela siatki 3 — akcent 6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Tabelasiatki41">
    <w:name w:val="Tabela siatki 4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4akcent11">
    <w:name w:val="Tabela siatki 4 — akcent 1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4akcent21">
    <w:name w:val="Tabela siatki 4 — akcent 2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4akcent31">
    <w:name w:val="Tabela siatki 4 — akcent 3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4akcent41">
    <w:name w:val="Tabela siatki 4 — akcent 4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4akcent51">
    <w:name w:val="Tabela siatki 4 — akcent 5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4akcent61">
    <w:name w:val="Tabela siatki 4 — akcent 6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5ciemna1">
    <w:name w:val="Tabela siatki 5 — ciemna1"/>
    <w:basedOn w:val="Standardowy"/>
    <w:uiPriority w:val="50"/>
    <w:semiHidden/>
    <w:rsid w:val="00F056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asiatki5ciemnaakcent11">
    <w:name w:val="Tabela siatki 5 — ciemna — akcent 11"/>
    <w:basedOn w:val="Standardowy"/>
    <w:uiPriority w:val="50"/>
    <w:semiHidden/>
    <w:rsid w:val="00F056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Tabelasiatki5ciemnaakcent21">
    <w:name w:val="Tabela siatki 5 — ciemna — akcent 21"/>
    <w:basedOn w:val="Standardowy"/>
    <w:uiPriority w:val="50"/>
    <w:semiHidden/>
    <w:rsid w:val="00F056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Tabelasiatki5ciemnaakcent31">
    <w:name w:val="Tabela siatki 5 — ciemna — akcent 31"/>
    <w:basedOn w:val="Standardowy"/>
    <w:uiPriority w:val="50"/>
    <w:semiHidden/>
    <w:rsid w:val="00F056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customStyle="1" w:styleId="Tabelasiatki5ciemnaakcent41">
    <w:name w:val="Tabela siatki 5 — ciemna — akcent 41"/>
    <w:basedOn w:val="Standardowy"/>
    <w:uiPriority w:val="50"/>
    <w:semiHidden/>
    <w:rsid w:val="00F056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Tabelasiatki5ciemnaakcent51">
    <w:name w:val="Tabela siatki 5 — ciemna — akcent 51"/>
    <w:basedOn w:val="Standardowy"/>
    <w:uiPriority w:val="50"/>
    <w:semiHidden/>
    <w:rsid w:val="00F056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Tabelasiatki5ciemnaakcent61">
    <w:name w:val="Tabela siatki 5 — ciemna — akcent 61"/>
    <w:basedOn w:val="Standardowy"/>
    <w:uiPriority w:val="50"/>
    <w:semiHidden/>
    <w:rsid w:val="00F0560E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Tabelasiatki6kolorowa1">
    <w:name w:val="Tabela siatki 6 — kolorowa1"/>
    <w:basedOn w:val="Standardowy"/>
    <w:uiPriority w:val="51"/>
    <w:semiHidden/>
    <w:rsid w:val="00F0560E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6kolorowaakcent11">
    <w:name w:val="Tabela siatki 6 — kolorowa — akcent 11"/>
    <w:basedOn w:val="Standardowy"/>
    <w:uiPriority w:val="51"/>
    <w:semiHidden/>
    <w:rsid w:val="00F0560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6kolorowaakcent21">
    <w:name w:val="Tabela siatki 6 — kolorowa — akcent 21"/>
    <w:basedOn w:val="Standardowy"/>
    <w:uiPriority w:val="51"/>
    <w:semiHidden/>
    <w:rsid w:val="00F0560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6kolorowaakcent31">
    <w:name w:val="Tabela siatki 6 — kolorowa — akcent 31"/>
    <w:basedOn w:val="Standardowy"/>
    <w:uiPriority w:val="51"/>
    <w:semiHidden/>
    <w:rsid w:val="00F0560E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6kolorowaakcent41">
    <w:name w:val="Tabela siatki 6 — kolorowa — akcent 41"/>
    <w:basedOn w:val="Standardowy"/>
    <w:uiPriority w:val="51"/>
    <w:semiHidden/>
    <w:rsid w:val="00F0560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6kolorowaakcent51">
    <w:name w:val="Tabela siatki 6 — kolorowa — akcent 51"/>
    <w:basedOn w:val="Standardowy"/>
    <w:uiPriority w:val="51"/>
    <w:semiHidden/>
    <w:rsid w:val="00F0560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6kolorowaakcent61">
    <w:name w:val="Tabela siatki 6 — kolorowa — akcent 61"/>
    <w:basedOn w:val="Standardowy"/>
    <w:uiPriority w:val="51"/>
    <w:semiHidden/>
    <w:rsid w:val="00F0560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7kolorowa1">
    <w:name w:val="Tabela siatki 7 — kolorowa1"/>
    <w:basedOn w:val="Standardowy"/>
    <w:uiPriority w:val="52"/>
    <w:semiHidden/>
    <w:rsid w:val="00F0560E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7kolorowaakcent11">
    <w:name w:val="Tabela siatki 7 — kolorowa — akcent 11"/>
    <w:basedOn w:val="Standardowy"/>
    <w:uiPriority w:val="52"/>
    <w:semiHidden/>
    <w:rsid w:val="00F0560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7kolorowaakcent21">
    <w:name w:val="Tabela siatki 7 — kolorowa — akcent 21"/>
    <w:basedOn w:val="Standardowy"/>
    <w:uiPriority w:val="52"/>
    <w:semiHidden/>
    <w:rsid w:val="00F0560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7kolorowaakcent31">
    <w:name w:val="Tabela siatki 7 — kolorowa — akcent 31"/>
    <w:basedOn w:val="Standardowy"/>
    <w:uiPriority w:val="52"/>
    <w:semiHidden/>
    <w:rsid w:val="00F0560E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7kolorowaakcent41">
    <w:name w:val="Tabela siatki 7 — kolorowa — akcent 41"/>
    <w:basedOn w:val="Standardowy"/>
    <w:uiPriority w:val="52"/>
    <w:semiHidden/>
    <w:rsid w:val="00F0560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7kolorowaakcent51">
    <w:name w:val="Tabela siatki 7 — kolorowa — akcent 51"/>
    <w:basedOn w:val="Standardowy"/>
    <w:uiPriority w:val="52"/>
    <w:semiHidden/>
    <w:rsid w:val="00F0560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7kolorowaakcent61">
    <w:name w:val="Tabela siatki 7 — kolorowa — akcent 61"/>
    <w:basedOn w:val="Standardowy"/>
    <w:uiPriority w:val="52"/>
    <w:semiHidden/>
    <w:rsid w:val="00F0560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F0560E"/>
    <w:rPr>
      <w:color w:val="2B579A"/>
      <w:shd w:val="clear" w:color="auto" w:fill="E1DFDD"/>
    </w:rPr>
  </w:style>
  <w:style w:type="table" w:customStyle="1" w:styleId="Tabelalisty1jasna1">
    <w:name w:val="Tabela listy 1 — jasna1"/>
    <w:basedOn w:val="Standardowy"/>
    <w:uiPriority w:val="46"/>
    <w:semiHidden/>
    <w:rsid w:val="00F056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1jasnaakcent11">
    <w:name w:val="Tabela listy 1 — jasna — akcent 11"/>
    <w:basedOn w:val="Standardowy"/>
    <w:uiPriority w:val="46"/>
    <w:semiHidden/>
    <w:rsid w:val="00F056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1jasnaakcent21">
    <w:name w:val="Tabela listy 1 — jasna — akcent 21"/>
    <w:basedOn w:val="Standardowy"/>
    <w:uiPriority w:val="46"/>
    <w:semiHidden/>
    <w:rsid w:val="00F056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1jasnaakcent31">
    <w:name w:val="Tabela listy 1 — jasna — akcent 31"/>
    <w:basedOn w:val="Standardowy"/>
    <w:uiPriority w:val="46"/>
    <w:semiHidden/>
    <w:rsid w:val="00F056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1jasnaakcent41">
    <w:name w:val="Tabela listy 1 — jasna — akcent 41"/>
    <w:basedOn w:val="Standardowy"/>
    <w:uiPriority w:val="46"/>
    <w:semiHidden/>
    <w:rsid w:val="00F056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1jasnaakcent51">
    <w:name w:val="Tabela listy 1 — jasna — akcent 51"/>
    <w:basedOn w:val="Standardowy"/>
    <w:uiPriority w:val="46"/>
    <w:semiHidden/>
    <w:rsid w:val="00F056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1jasnaakcent61">
    <w:name w:val="Tabela listy 1 — jasna — akcent 61"/>
    <w:basedOn w:val="Standardowy"/>
    <w:uiPriority w:val="46"/>
    <w:semiHidden/>
    <w:rsid w:val="00F056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21">
    <w:name w:val="Tabela listy 21"/>
    <w:basedOn w:val="Standardowy"/>
    <w:uiPriority w:val="47"/>
    <w:semiHidden/>
    <w:rsid w:val="00F0560E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2akcent11">
    <w:name w:val="Tabela listy 2 — akcent 11"/>
    <w:basedOn w:val="Standardowy"/>
    <w:uiPriority w:val="47"/>
    <w:semiHidden/>
    <w:rsid w:val="00F0560E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2akcent21">
    <w:name w:val="Tabela listy 2 — akcent 21"/>
    <w:basedOn w:val="Standardowy"/>
    <w:uiPriority w:val="47"/>
    <w:semiHidden/>
    <w:rsid w:val="00F0560E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2akcent31">
    <w:name w:val="Tabela listy 2 — akcent 31"/>
    <w:basedOn w:val="Standardowy"/>
    <w:uiPriority w:val="47"/>
    <w:semiHidden/>
    <w:rsid w:val="00F0560E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2akcent41">
    <w:name w:val="Tabela listy 2 — akcent 41"/>
    <w:basedOn w:val="Standardowy"/>
    <w:uiPriority w:val="47"/>
    <w:semiHidden/>
    <w:rsid w:val="00F0560E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2akcent51">
    <w:name w:val="Tabela listy 2 — akcent 51"/>
    <w:basedOn w:val="Standardowy"/>
    <w:uiPriority w:val="47"/>
    <w:semiHidden/>
    <w:rsid w:val="00F0560E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2akcent61">
    <w:name w:val="Tabela listy 2 — akcent 61"/>
    <w:basedOn w:val="Standardowy"/>
    <w:uiPriority w:val="47"/>
    <w:semiHidden/>
    <w:rsid w:val="00F0560E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31">
    <w:name w:val="Tabela listy 3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elalisty3akcent11">
    <w:name w:val="Tabela listy 3 — akcent 1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Tabelalisty3akcent21">
    <w:name w:val="Tabela listy 3 — akcent 2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Tabelalisty3akcent31">
    <w:name w:val="Tabela listy 3 — akcent 3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customStyle="1" w:styleId="Tabelalisty3akcent41">
    <w:name w:val="Tabela listy 3 — akcent 4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Tabelalisty3akcent51">
    <w:name w:val="Tabela listy 3 — akcent 5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Tabelalisty3akcent61">
    <w:name w:val="Tabela listy 3 — akcent 61"/>
    <w:basedOn w:val="Standardowy"/>
    <w:uiPriority w:val="48"/>
    <w:semiHidden/>
    <w:rsid w:val="00F0560E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Tabelalisty41">
    <w:name w:val="Tabela listy 4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4akcent11">
    <w:name w:val="Tabela listy 4 — akcent 1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4akcent21">
    <w:name w:val="Tabela listy 4 — akcent 2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4akcent31">
    <w:name w:val="Tabela listy 4 — akcent 3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4akcent41">
    <w:name w:val="Tabela listy 4 — akcent 4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4akcent51">
    <w:name w:val="Tabela listy 4 — akcent 5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4akcent61">
    <w:name w:val="Tabela listy 4 — akcent 61"/>
    <w:basedOn w:val="Standardowy"/>
    <w:uiPriority w:val="49"/>
    <w:semiHidden/>
    <w:rsid w:val="00F0560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5ciemna1">
    <w:name w:val="Tabela listy 5 — ciemna1"/>
    <w:basedOn w:val="Standardowy"/>
    <w:uiPriority w:val="50"/>
    <w:semiHidden/>
    <w:rsid w:val="00F0560E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11">
    <w:name w:val="Tabela listy 5 — ciemna — akcent 11"/>
    <w:basedOn w:val="Standardowy"/>
    <w:uiPriority w:val="50"/>
    <w:semiHidden/>
    <w:rsid w:val="00F0560E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21">
    <w:name w:val="Tabela listy 5 — ciemna — akcent 21"/>
    <w:basedOn w:val="Standardowy"/>
    <w:uiPriority w:val="50"/>
    <w:semiHidden/>
    <w:rsid w:val="00F0560E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31">
    <w:name w:val="Tabela listy 5 — ciemna — akcent 31"/>
    <w:basedOn w:val="Standardowy"/>
    <w:uiPriority w:val="50"/>
    <w:semiHidden/>
    <w:rsid w:val="00F0560E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41">
    <w:name w:val="Tabela listy 5 — ciemna — akcent 41"/>
    <w:basedOn w:val="Standardowy"/>
    <w:uiPriority w:val="50"/>
    <w:semiHidden/>
    <w:rsid w:val="00F0560E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51">
    <w:name w:val="Tabela listy 5 — ciemna — akcent 51"/>
    <w:basedOn w:val="Standardowy"/>
    <w:uiPriority w:val="50"/>
    <w:semiHidden/>
    <w:rsid w:val="00F0560E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61">
    <w:name w:val="Tabela listy 5 — ciemna — akcent 61"/>
    <w:basedOn w:val="Standardowy"/>
    <w:uiPriority w:val="50"/>
    <w:semiHidden/>
    <w:rsid w:val="00F0560E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6kolorowa1">
    <w:name w:val="Tabela listy 6 — kolorowa1"/>
    <w:basedOn w:val="Standardowy"/>
    <w:uiPriority w:val="51"/>
    <w:semiHidden/>
    <w:rsid w:val="00F0560E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6kolorowaakcent11">
    <w:name w:val="Tabela listy 6 — kolorowa — akcent 11"/>
    <w:basedOn w:val="Standardowy"/>
    <w:uiPriority w:val="51"/>
    <w:semiHidden/>
    <w:rsid w:val="00F0560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6kolorowaakcent21">
    <w:name w:val="Tabela listy 6 — kolorowa — akcent 21"/>
    <w:basedOn w:val="Standardowy"/>
    <w:uiPriority w:val="51"/>
    <w:semiHidden/>
    <w:rsid w:val="00F0560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6kolorowaakcent31">
    <w:name w:val="Tabela listy 6 — kolorowa — akcent 31"/>
    <w:basedOn w:val="Standardowy"/>
    <w:uiPriority w:val="51"/>
    <w:semiHidden/>
    <w:rsid w:val="00F0560E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6kolorowaakcent41">
    <w:name w:val="Tabela listy 6 — kolorowa — akcent 41"/>
    <w:basedOn w:val="Standardowy"/>
    <w:uiPriority w:val="51"/>
    <w:semiHidden/>
    <w:rsid w:val="00F0560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6kolorowaakcent51">
    <w:name w:val="Tabela listy 6 — kolorowa — akcent 51"/>
    <w:basedOn w:val="Standardowy"/>
    <w:uiPriority w:val="51"/>
    <w:semiHidden/>
    <w:rsid w:val="00F0560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6kolorowaakcent61">
    <w:name w:val="Tabela listy 6 — kolorowa — akcent 61"/>
    <w:basedOn w:val="Standardowy"/>
    <w:uiPriority w:val="51"/>
    <w:semiHidden/>
    <w:rsid w:val="00F0560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7kolorowa1">
    <w:name w:val="Tabela listy 7 — kolorowa1"/>
    <w:basedOn w:val="Standardowy"/>
    <w:uiPriority w:val="52"/>
    <w:semiHidden/>
    <w:rsid w:val="00F0560E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11">
    <w:name w:val="Tabela listy 7 — kolorowa — akcent 11"/>
    <w:basedOn w:val="Standardowy"/>
    <w:uiPriority w:val="52"/>
    <w:semiHidden/>
    <w:rsid w:val="00F0560E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21">
    <w:name w:val="Tabela listy 7 — kolorowa — akcent 21"/>
    <w:basedOn w:val="Standardowy"/>
    <w:uiPriority w:val="52"/>
    <w:semiHidden/>
    <w:rsid w:val="00F0560E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31">
    <w:name w:val="Tabela listy 7 — kolorowa — akcent 31"/>
    <w:basedOn w:val="Standardowy"/>
    <w:uiPriority w:val="52"/>
    <w:semiHidden/>
    <w:rsid w:val="00F0560E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41">
    <w:name w:val="Tabela listy 7 — kolorowa — akcent 41"/>
    <w:basedOn w:val="Standardowy"/>
    <w:uiPriority w:val="52"/>
    <w:semiHidden/>
    <w:rsid w:val="00F0560E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51">
    <w:name w:val="Tabela listy 7 — kolorowa — akcent 51"/>
    <w:basedOn w:val="Standardowy"/>
    <w:uiPriority w:val="52"/>
    <w:semiHidden/>
    <w:rsid w:val="00F0560E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61">
    <w:name w:val="Tabela listy 7 — kolorowa — akcent 61"/>
    <w:basedOn w:val="Standardowy"/>
    <w:uiPriority w:val="52"/>
    <w:semiHidden/>
    <w:rsid w:val="00F0560E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F0560E"/>
    <w:rPr>
      <w:color w:val="2B579A"/>
      <w:shd w:val="clear" w:color="auto" w:fill="E1DFDD"/>
    </w:rPr>
  </w:style>
  <w:style w:type="table" w:customStyle="1" w:styleId="Zwykatabela11">
    <w:name w:val="Zwykła tabela 11"/>
    <w:basedOn w:val="Standardowy"/>
    <w:uiPriority w:val="41"/>
    <w:semiHidden/>
    <w:rsid w:val="00F0560E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21">
    <w:name w:val="Zwykła tabela 21"/>
    <w:basedOn w:val="Standardowy"/>
    <w:uiPriority w:val="42"/>
    <w:semiHidden/>
    <w:rsid w:val="00F0560E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Zwykatabela31">
    <w:name w:val="Zwykła tabela 31"/>
    <w:basedOn w:val="Standardowy"/>
    <w:uiPriority w:val="43"/>
    <w:semiHidden/>
    <w:rsid w:val="00F0560E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semiHidden/>
    <w:rsid w:val="00F0560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51">
    <w:name w:val="Zwykła tabela 51"/>
    <w:basedOn w:val="Standardowy"/>
    <w:uiPriority w:val="45"/>
    <w:semiHidden/>
    <w:rsid w:val="00F0560E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F0560E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F0560E"/>
    <w:rPr>
      <w:color w:val="0000FF"/>
      <w:u w:val="single"/>
      <w:shd w:val="clear" w:color="auto" w:fill="F3F2F1"/>
    </w:rPr>
  </w:style>
  <w:style w:type="table" w:customStyle="1" w:styleId="Siatkatabelijasna1">
    <w:name w:val="Siatka tabeli — jasna1"/>
    <w:basedOn w:val="Standardowy"/>
    <w:uiPriority w:val="40"/>
    <w:semiHidden/>
    <w:rsid w:val="00F0560E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0B942-0495-4C24-94E9-C95D6079E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1928</Words>
  <Characters>11568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2023-03-17T10:28:00Z</dcterms:created>
  <dcterms:modified xsi:type="dcterms:W3CDTF">2023-04-12T14:04:00Z</dcterms:modified>
  <cp:category/>
</cp:coreProperties>
</file>