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CC99"/>
  <w:body>
    <w:p w14:paraId="7B62A8EF" w14:textId="77777777" w:rsidR="00D85F5E" w:rsidRDefault="00D85F5E" w:rsidP="00D85F5E">
      <w:pPr>
        <w:jc w:val="center"/>
      </w:pPr>
    </w:p>
    <w:p w14:paraId="12F7D6A2" w14:textId="77777777" w:rsidR="00D85F5E" w:rsidRDefault="00D85F5E" w:rsidP="00D85F5E">
      <w:pPr>
        <w:jc w:val="center"/>
      </w:pPr>
    </w:p>
    <w:p w14:paraId="48F1B76E" w14:textId="77777777" w:rsidR="00D85F5E" w:rsidRPr="003F51E7" w:rsidRDefault="00D85F5E" w:rsidP="00D85F5E">
      <w:pPr>
        <w:jc w:val="center"/>
      </w:pPr>
    </w:p>
    <w:p w14:paraId="7C16C1BC" w14:textId="77777777" w:rsidR="00D85F5E" w:rsidRPr="00427610" w:rsidRDefault="00D85F5E" w:rsidP="00D85F5E">
      <w:pPr>
        <w:jc w:val="center"/>
        <w:rPr>
          <w:lang w:val="pl-PL"/>
        </w:rPr>
      </w:pPr>
      <w:r>
        <w:rPr>
          <w:lang w:val="pl"/>
        </w:rPr>
        <w:t>TRYBUNAŁ (IZBA)</w:t>
      </w:r>
    </w:p>
    <w:p w14:paraId="10135424" w14:textId="77777777" w:rsidR="00D85F5E" w:rsidRPr="00427610" w:rsidRDefault="00D85F5E" w:rsidP="00D85F5E">
      <w:pPr>
        <w:jc w:val="center"/>
        <w:rPr>
          <w:lang w:val="pl-PL"/>
        </w:rPr>
      </w:pPr>
    </w:p>
    <w:p w14:paraId="508FB2E2" w14:textId="77777777" w:rsidR="00D85F5E" w:rsidRPr="00427610" w:rsidRDefault="00D85F5E" w:rsidP="00D85F5E">
      <w:pPr>
        <w:jc w:val="center"/>
        <w:rPr>
          <w:lang w:val="pl-PL"/>
        </w:rPr>
      </w:pPr>
    </w:p>
    <w:p w14:paraId="33CE5EB8" w14:textId="77777777" w:rsidR="00D85F5E" w:rsidRPr="00427610" w:rsidRDefault="00D85F5E" w:rsidP="00D85F5E">
      <w:pPr>
        <w:jc w:val="center"/>
        <w:rPr>
          <w:lang w:val="pl-PL"/>
        </w:rPr>
      </w:pPr>
    </w:p>
    <w:p w14:paraId="0F1491C9" w14:textId="77777777" w:rsidR="00D85F5E" w:rsidRPr="00427610" w:rsidRDefault="00D85F5E" w:rsidP="00D85F5E">
      <w:pPr>
        <w:jc w:val="center"/>
        <w:rPr>
          <w:lang w:val="pl-PL"/>
        </w:rPr>
      </w:pPr>
    </w:p>
    <w:p w14:paraId="232996CD" w14:textId="77777777" w:rsidR="00D85F5E" w:rsidRPr="00427610" w:rsidRDefault="00D85F5E" w:rsidP="00D85F5E">
      <w:pPr>
        <w:jc w:val="center"/>
        <w:rPr>
          <w:lang w:val="pl-PL"/>
        </w:rPr>
      </w:pPr>
    </w:p>
    <w:p w14:paraId="0D8AF497" w14:textId="77777777" w:rsidR="00D85F5E" w:rsidRPr="00427610" w:rsidRDefault="00D85F5E" w:rsidP="00D85F5E">
      <w:pPr>
        <w:jc w:val="center"/>
        <w:rPr>
          <w:lang w:val="pl-PL"/>
        </w:rPr>
      </w:pPr>
    </w:p>
    <w:p w14:paraId="26D60E96" w14:textId="77777777" w:rsidR="00D85F5E" w:rsidRPr="00427610" w:rsidRDefault="00D85F5E" w:rsidP="00D85F5E">
      <w:pPr>
        <w:jc w:val="center"/>
        <w:rPr>
          <w:b/>
          <w:szCs w:val="24"/>
          <w:lang w:val="pl-PL"/>
        </w:rPr>
      </w:pPr>
      <w:r>
        <w:rPr>
          <w:b/>
          <w:bCs/>
          <w:szCs w:val="24"/>
          <w:lang w:val="pl"/>
        </w:rPr>
        <w:t xml:space="preserve">SPRAWA </w:t>
      </w:r>
      <w:r>
        <w:rPr>
          <w:b/>
          <w:bCs/>
          <w:color w:val="000000"/>
          <w:szCs w:val="24"/>
          <w:lang w:val="pl"/>
        </w:rPr>
        <w:t>GUINCHO przeciwko PORTUGALII</w:t>
      </w:r>
    </w:p>
    <w:p w14:paraId="7CFA6023" w14:textId="77777777" w:rsidR="00D85F5E" w:rsidRPr="00427610" w:rsidRDefault="00D85F5E" w:rsidP="00D85F5E">
      <w:pPr>
        <w:jc w:val="center"/>
        <w:rPr>
          <w:lang w:val="pl-PL"/>
        </w:rPr>
      </w:pPr>
    </w:p>
    <w:p w14:paraId="2C472224" w14:textId="77777777" w:rsidR="00D85F5E" w:rsidRPr="00427610" w:rsidRDefault="00D85F5E" w:rsidP="00D85F5E">
      <w:pPr>
        <w:jc w:val="center"/>
        <w:rPr>
          <w:lang w:val="pl-PL"/>
        </w:rPr>
      </w:pPr>
      <w:r>
        <w:rPr>
          <w:i/>
          <w:iCs/>
          <w:lang w:val="pl"/>
        </w:rPr>
        <w:t>(Skarga nr 8990/80)</w:t>
      </w:r>
    </w:p>
    <w:p w14:paraId="3FF589A2" w14:textId="77777777" w:rsidR="00D85F5E" w:rsidRPr="00427610" w:rsidRDefault="00D85F5E" w:rsidP="00D85F5E">
      <w:pPr>
        <w:jc w:val="center"/>
        <w:rPr>
          <w:lang w:val="pl-PL"/>
        </w:rPr>
      </w:pPr>
    </w:p>
    <w:p w14:paraId="49ADDB6D" w14:textId="77777777" w:rsidR="00D85F5E" w:rsidRPr="00427610" w:rsidRDefault="00D85F5E" w:rsidP="00D85F5E">
      <w:pPr>
        <w:jc w:val="center"/>
        <w:rPr>
          <w:lang w:val="pl-PL"/>
        </w:rPr>
      </w:pPr>
    </w:p>
    <w:p w14:paraId="2DC7BAB1" w14:textId="77777777" w:rsidR="00D85F5E" w:rsidRPr="00427610" w:rsidRDefault="00D85F5E" w:rsidP="00D85F5E">
      <w:pPr>
        <w:jc w:val="center"/>
        <w:rPr>
          <w:lang w:val="pl-PL"/>
        </w:rPr>
      </w:pPr>
    </w:p>
    <w:p w14:paraId="6251E6D3" w14:textId="77777777" w:rsidR="00D85F5E" w:rsidRPr="00427610" w:rsidRDefault="00D85F5E" w:rsidP="00D85F5E">
      <w:pPr>
        <w:jc w:val="center"/>
        <w:rPr>
          <w:lang w:val="pl-PL"/>
        </w:rPr>
      </w:pPr>
    </w:p>
    <w:p w14:paraId="7B111446" w14:textId="77777777" w:rsidR="00D85F5E" w:rsidRPr="00427610" w:rsidRDefault="00D85F5E" w:rsidP="00D85F5E">
      <w:pPr>
        <w:jc w:val="center"/>
        <w:rPr>
          <w:lang w:val="pl-PL"/>
        </w:rPr>
      </w:pPr>
    </w:p>
    <w:p w14:paraId="5943C9A6" w14:textId="77777777" w:rsidR="00D85F5E" w:rsidRPr="00427610" w:rsidRDefault="00D85F5E" w:rsidP="00D85F5E">
      <w:pPr>
        <w:jc w:val="center"/>
        <w:rPr>
          <w:lang w:val="pl-PL"/>
        </w:rPr>
      </w:pPr>
    </w:p>
    <w:p w14:paraId="189BC7D7" w14:textId="77777777" w:rsidR="00D85F5E" w:rsidRPr="00427610" w:rsidRDefault="00D85F5E" w:rsidP="00D85F5E">
      <w:pPr>
        <w:jc w:val="center"/>
        <w:rPr>
          <w:lang w:val="pl-PL"/>
        </w:rPr>
      </w:pPr>
    </w:p>
    <w:p w14:paraId="2B4E311D" w14:textId="77777777" w:rsidR="00D85F5E" w:rsidRPr="00427610" w:rsidRDefault="00D85F5E" w:rsidP="00D85F5E">
      <w:pPr>
        <w:jc w:val="center"/>
        <w:rPr>
          <w:lang w:val="pl-PL"/>
        </w:rPr>
      </w:pPr>
    </w:p>
    <w:p w14:paraId="71BEED3D" w14:textId="77777777" w:rsidR="00D85F5E" w:rsidRPr="00427610" w:rsidRDefault="00D85F5E" w:rsidP="00D85F5E">
      <w:pPr>
        <w:jc w:val="center"/>
        <w:rPr>
          <w:lang w:val="pl-PL"/>
        </w:rPr>
      </w:pPr>
    </w:p>
    <w:p w14:paraId="44A036D8" w14:textId="77777777" w:rsidR="00D85F5E" w:rsidRPr="00427610" w:rsidRDefault="00D85F5E" w:rsidP="00D85F5E">
      <w:pPr>
        <w:jc w:val="center"/>
        <w:rPr>
          <w:lang w:val="pl-PL"/>
        </w:rPr>
      </w:pPr>
      <w:r>
        <w:rPr>
          <w:lang w:val="pl"/>
        </w:rPr>
        <w:t>WYROK</w:t>
      </w:r>
    </w:p>
    <w:p w14:paraId="5164D5B5" w14:textId="77777777" w:rsidR="00D85F5E" w:rsidRPr="00427610" w:rsidRDefault="00D85F5E" w:rsidP="00D85F5E">
      <w:pPr>
        <w:jc w:val="center"/>
        <w:rPr>
          <w:lang w:val="pl-PL"/>
        </w:rPr>
      </w:pPr>
    </w:p>
    <w:p w14:paraId="24676768" w14:textId="77777777" w:rsidR="00D85F5E" w:rsidRPr="00427610" w:rsidRDefault="00D85F5E" w:rsidP="00D85F5E">
      <w:pPr>
        <w:jc w:val="center"/>
        <w:rPr>
          <w:lang w:val="pl-PL"/>
        </w:rPr>
      </w:pPr>
    </w:p>
    <w:p w14:paraId="2DF6D4C7" w14:textId="77777777" w:rsidR="00D85F5E" w:rsidRPr="00427610" w:rsidRDefault="00D85F5E" w:rsidP="00D85F5E">
      <w:pPr>
        <w:jc w:val="center"/>
        <w:rPr>
          <w:lang w:val="pl-PL"/>
        </w:rPr>
      </w:pPr>
    </w:p>
    <w:p w14:paraId="714DA185" w14:textId="77777777" w:rsidR="00D85F5E" w:rsidRPr="00427610" w:rsidRDefault="00D85F5E" w:rsidP="00D85F5E">
      <w:pPr>
        <w:jc w:val="center"/>
        <w:rPr>
          <w:lang w:val="pl-PL"/>
        </w:rPr>
      </w:pPr>
      <w:r>
        <w:rPr>
          <w:lang w:val="pl"/>
        </w:rPr>
        <w:t>STRASBURG</w:t>
      </w:r>
    </w:p>
    <w:p w14:paraId="4A3A533E" w14:textId="77777777" w:rsidR="00D85F5E" w:rsidRPr="00427610" w:rsidRDefault="00D85F5E" w:rsidP="00D85F5E">
      <w:pPr>
        <w:jc w:val="center"/>
        <w:rPr>
          <w:lang w:val="pl-PL"/>
        </w:rPr>
      </w:pPr>
    </w:p>
    <w:p w14:paraId="3A9848F7" w14:textId="77777777" w:rsidR="00D85F5E" w:rsidRPr="00427610" w:rsidRDefault="00D85F5E" w:rsidP="00D85F5E">
      <w:pPr>
        <w:jc w:val="center"/>
        <w:rPr>
          <w:lang w:val="pl-PL"/>
        </w:rPr>
        <w:sectPr w:rsidR="00D85F5E" w:rsidRPr="00427610" w:rsidSect="00E957AE">
          <w:headerReference w:type="even" r:id="rId10"/>
          <w:headerReference w:type="default" r:id="rId11"/>
          <w:headerReference w:type="first" r:id="rId12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  <w:r>
        <w:rPr>
          <w:lang w:val="pl"/>
        </w:rPr>
        <w:t>10 lipca 1984 r.</w:t>
      </w:r>
    </w:p>
    <w:p w14:paraId="7F340498" w14:textId="77777777" w:rsidR="00D85F5E" w:rsidRPr="00427610" w:rsidRDefault="00DF4689" w:rsidP="00D85F5E">
      <w:pPr>
        <w:rPr>
          <w:lang w:val="pl-PL"/>
        </w:rPr>
      </w:pPr>
      <w:r>
        <w:rPr>
          <w:lang w:val="pl"/>
        </w:rPr>
        <w:br w:type="page"/>
      </w:r>
    </w:p>
    <w:p w14:paraId="09A12565" w14:textId="77777777" w:rsidR="00037E61" w:rsidRPr="00427610" w:rsidRDefault="00D85F5E" w:rsidP="00D9620D">
      <w:pPr>
        <w:pStyle w:val="JuCase"/>
        <w:rPr>
          <w:lang w:val="pl-PL"/>
        </w:rPr>
      </w:pPr>
      <w:r>
        <w:rPr>
          <w:bCs/>
          <w:lang w:val="pl"/>
        </w:rPr>
        <w:lastRenderedPageBreak/>
        <w:t xml:space="preserve">W sprawie </w:t>
      </w:r>
      <w:proofErr w:type="spellStart"/>
      <w:r>
        <w:rPr>
          <w:bCs/>
          <w:lang w:val="pl"/>
        </w:rPr>
        <w:t>Guincho</w:t>
      </w:r>
      <w:proofErr w:type="spellEnd"/>
      <w:r>
        <w:rPr>
          <w:bCs/>
          <w:lang w:val="pl"/>
        </w:rPr>
        <w:t>,</w:t>
      </w:r>
    </w:p>
    <w:p w14:paraId="06245602" w14:textId="77777777" w:rsidR="00037E61" w:rsidRPr="00427610" w:rsidRDefault="00D85F5E" w:rsidP="00D9620D">
      <w:pPr>
        <w:pStyle w:val="JuPara"/>
        <w:rPr>
          <w:lang w:val="pl-PL"/>
        </w:rPr>
      </w:pPr>
      <w:r>
        <w:rPr>
          <w:lang w:val="pl"/>
        </w:rPr>
        <w:t xml:space="preserve">Europejski Trybunał Praw Człowieka, ukonstytuowany zgodnie z art. 43 (art. 43) Konwencji o ochronie praw człowieka i podstawowych wolności („Konwencja”) oraz z odpowiednimi przepisami </w:t>
      </w:r>
      <w:r w:rsidRPr="00427610">
        <w:rPr>
          <w:lang w:val="pl"/>
        </w:rPr>
        <w:t xml:space="preserve">Regulaminu Trybunału, </w:t>
      </w:r>
      <w:r w:rsidRPr="00427610">
        <w:rPr>
          <w:rStyle w:val="Odwoanieprzypisudolnego"/>
          <w:vertAlign w:val="baseline"/>
          <w:lang w:val="pl"/>
        </w:rPr>
        <w:footnoteReference w:customMarkFollows="1" w:id="1"/>
        <w:t>jako izba w składzie podanym poniżej:</w:t>
      </w:r>
      <w:r w:rsidRPr="00427610">
        <w:rPr>
          <w:rStyle w:val="Odwoanieprzypisudolnego"/>
          <w:vertAlign w:val="baseline"/>
          <w:lang w:val="pl"/>
        </w:rPr>
        <w:sym w:font="Symbol" w:char="F02A"/>
      </w:r>
    </w:p>
    <w:p w14:paraId="3B0434B0" w14:textId="67D0F76D" w:rsidR="00D9620D" w:rsidRPr="00427610" w:rsidRDefault="00D9620D" w:rsidP="00D9620D">
      <w:pPr>
        <w:pStyle w:val="JuJudges"/>
        <w:rPr>
          <w:lang w:val="pl-PL"/>
        </w:rPr>
      </w:pPr>
      <w:r>
        <w:rPr>
          <w:lang w:val="pl"/>
        </w:rPr>
        <w:tab/>
      </w:r>
      <w:r w:rsidR="000B171B">
        <w:rPr>
          <w:lang w:val="pl"/>
        </w:rPr>
        <w:tab/>
      </w:r>
      <w:r>
        <w:rPr>
          <w:lang w:val="pl"/>
        </w:rPr>
        <w:t>G.</w:t>
      </w:r>
      <w:r w:rsidR="000B171B">
        <w:rPr>
          <w:lang w:val="pl"/>
        </w:rPr>
        <w:t xml:space="preserve"> </w:t>
      </w:r>
      <w:proofErr w:type="spellStart"/>
      <w:r>
        <w:rPr>
          <w:rStyle w:val="JuNames"/>
          <w:lang w:val="pl"/>
        </w:rPr>
        <w:t>Wiarda</w:t>
      </w:r>
      <w:proofErr w:type="spellEnd"/>
      <w:r>
        <w:rPr>
          <w:lang w:val="pl"/>
        </w:rPr>
        <w:t xml:space="preserve">, </w:t>
      </w:r>
      <w:r w:rsidR="000B171B">
        <w:rPr>
          <w:i/>
          <w:iCs/>
          <w:lang w:val="pl"/>
        </w:rPr>
        <w:t>P</w:t>
      </w:r>
      <w:r>
        <w:rPr>
          <w:i/>
          <w:iCs/>
          <w:lang w:val="pl"/>
        </w:rPr>
        <w:t>rzewodniczący</w:t>
      </w:r>
      <w:r>
        <w:rPr>
          <w:lang w:val="pl"/>
        </w:rPr>
        <w:t>,</w:t>
      </w:r>
    </w:p>
    <w:p w14:paraId="2B6612FD" w14:textId="0F04782B" w:rsidR="00D9620D" w:rsidRPr="00427610" w:rsidRDefault="00D9620D" w:rsidP="00D9620D">
      <w:pPr>
        <w:pStyle w:val="JuJudges"/>
        <w:rPr>
          <w:lang w:val="pl-PL"/>
        </w:rPr>
      </w:pPr>
      <w:r>
        <w:rPr>
          <w:lang w:val="pl"/>
        </w:rPr>
        <w:tab/>
      </w:r>
      <w:r>
        <w:rPr>
          <w:lang w:val="pl"/>
        </w:rPr>
        <w:tab/>
        <w:t xml:space="preserve">J. </w:t>
      </w:r>
      <w:r w:rsidR="000B171B">
        <w:rPr>
          <w:lang w:val="pl"/>
        </w:rPr>
        <w:t xml:space="preserve"> </w:t>
      </w:r>
      <w:r>
        <w:rPr>
          <w:rStyle w:val="JuNames"/>
          <w:lang w:val="pl"/>
        </w:rPr>
        <w:t>Cremona</w:t>
      </w:r>
      <w:r>
        <w:rPr>
          <w:lang w:val="pl"/>
        </w:rPr>
        <w:t>,</w:t>
      </w:r>
    </w:p>
    <w:p w14:paraId="05F33F97" w14:textId="4169B2FD" w:rsidR="00D9620D" w:rsidRPr="0019121E" w:rsidRDefault="00D9620D" w:rsidP="00D9620D">
      <w:pPr>
        <w:pStyle w:val="JuJudges"/>
        <w:rPr>
          <w:lang w:val="de-DE"/>
        </w:rPr>
      </w:pPr>
      <w:r>
        <w:rPr>
          <w:lang w:val="pl"/>
        </w:rPr>
        <w:tab/>
      </w:r>
      <w:r>
        <w:rPr>
          <w:lang w:val="pl"/>
        </w:rPr>
        <w:tab/>
      </w:r>
      <w:proofErr w:type="spellStart"/>
      <w:r w:rsidR="000B171B">
        <w:rPr>
          <w:lang w:val="de-DE"/>
        </w:rPr>
        <w:t>W.</w:t>
      </w:r>
      <w:r w:rsidRPr="0019121E">
        <w:rPr>
          <w:rStyle w:val="JuNames"/>
          <w:lang w:val="de-DE"/>
        </w:rPr>
        <w:t>Ganshof</w:t>
      </w:r>
      <w:proofErr w:type="spellEnd"/>
      <w:r w:rsidRPr="0019121E">
        <w:rPr>
          <w:rStyle w:val="JuNames"/>
          <w:lang w:val="de-DE"/>
        </w:rPr>
        <w:t xml:space="preserve"> van der </w:t>
      </w:r>
      <w:proofErr w:type="spellStart"/>
      <w:r w:rsidRPr="0019121E">
        <w:rPr>
          <w:rStyle w:val="JuNames"/>
          <w:lang w:val="de-DE"/>
        </w:rPr>
        <w:t>Meersch</w:t>
      </w:r>
      <w:proofErr w:type="spellEnd"/>
      <w:r w:rsidRPr="0019121E">
        <w:rPr>
          <w:lang w:val="de-DE"/>
        </w:rPr>
        <w:t>,</w:t>
      </w:r>
    </w:p>
    <w:p w14:paraId="5FDB48DD" w14:textId="1B5906E1" w:rsidR="00D9620D" w:rsidRPr="0019121E" w:rsidRDefault="00D9620D" w:rsidP="00D9620D">
      <w:pPr>
        <w:pStyle w:val="JuJudges"/>
        <w:rPr>
          <w:lang w:val="it-IT"/>
        </w:rPr>
      </w:pPr>
      <w:r w:rsidRPr="0019121E">
        <w:rPr>
          <w:lang w:val="de-DE"/>
        </w:rPr>
        <w:tab/>
      </w:r>
      <w:r w:rsidRPr="0019121E">
        <w:rPr>
          <w:lang w:val="de-DE"/>
        </w:rPr>
        <w:tab/>
      </w:r>
      <w:r w:rsidRPr="0019121E">
        <w:rPr>
          <w:lang w:val="it-IT"/>
        </w:rPr>
        <w:t xml:space="preserve">F. </w:t>
      </w:r>
      <w:r w:rsidRPr="0019121E">
        <w:rPr>
          <w:rStyle w:val="JuNames"/>
          <w:lang w:val="it-IT"/>
        </w:rPr>
        <w:t>Gölcüklü</w:t>
      </w:r>
      <w:r w:rsidRPr="0019121E">
        <w:rPr>
          <w:lang w:val="it-IT"/>
        </w:rPr>
        <w:t>,</w:t>
      </w:r>
    </w:p>
    <w:p w14:paraId="7A872B49" w14:textId="395B4C8B" w:rsidR="00D9620D" w:rsidRPr="0019121E" w:rsidRDefault="00D9620D" w:rsidP="00D9620D">
      <w:pPr>
        <w:pStyle w:val="JuJudges"/>
        <w:rPr>
          <w:lang w:val="it-IT"/>
        </w:rPr>
      </w:pPr>
      <w:r w:rsidRPr="0019121E">
        <w:rPr>
          <w:lang w:val="it-IT"/>
        </w:rPr>
        <w:tab/>
      </w:r>
      <w:r w:rsidRPr="0019121E">
        <w:rPr>
          <w:lang w:val="it-IT"/>
        </w:rPr>
        <w:tab/>
        <w:t xml:space="preserve">J. </w:t>
      </w:r>
      <w:r w:rsidR="000B171B">
        <w:rPr>
          <w:lang w:val="it-IT"/>
        </w:rPr>
        <w:t xml:space="preserve"> </w:t>
      </w:r>
      <w:r w:rsidRPr="0019121E">
        <w:rPr>
          <w:rStyle w:val="JuNames"/>
          <w:lang w:val="it-IT"/>
        </w:rPr>
        <w:t>Pinheiro Farinha</w:t>
      </w:r>
      <w:r w:rsidRPr="0019121E">
        <w:rPr>
          <w:lang w:val="it-IT"/>
        </w:rPr>
        <w:t>,</w:t>
      </w:r>
    </w:p>
    <w:p w14:paraId="2E948A07" w14:textId="77777777" w:rsidR="00D9620D" w:rsidRDefault="00D9620D" w:rsidP="00D9620D">
      <w:pPr>
        <w:pStyle w:val="JuJudges"/>
      </w:pPr>
      <w:r w:rsidRPr="0019121E">
        <w:rPr>
          <w:lang w:val="it-IT"/>
        </w:rPr>
        <w:tab/>
      </w:r>
      <w:r w:rsidRPr="0019121E">
        <w:rPr>
          <w:lang w:val="it-IT"/>
        </w:rPr>
        <w:tab/>
      </w:r>
      <w:r w:rsidRPr="00427610">
        <w:t xml:space="preserve">E. </w:t>
      </w:r>
      <w:r w:rsidRPr="00427610">
        <w:rPr>
          <w:rStyle w:val="JuNames"/>
        </w:rPr>
        <w:t>Garcia de Enterria</w:t>
      </w:r>
      <w:r w:rsidRPr="00427610">
        <w:t>,</w:t>
      </w:r>
    </w:p>
    <w:p w14:paraId="138007C9" w14:textId="77777777" w:rsidR="00037E61" w:rsidRDefault="00D9620D" w:rsidP="00D9620D">
      <w:pPr>
        <w:pStyle w:val="JuJudges"/>
      </w:pPr>
      <w:r w:rsidRPr="00427610">
        <w:tab/>
      </w:r>
      <w:r w:rsidRPr="00427610">
        <w:tab/>
        <w:t xml:space="preserve">J. </w:t>
      </w:r>
      <w:r w:rsidRPr="00427610">
        <w:rPr>
          <w:rStyle w:val="JuNames"/>
        </w:rPr>
        <w:t>Gersing</w:t>
      </w:r>
      <w:r w:rsidRPr="00427610">
        <w:t>,</w:t>
      </w:r>
    </w:p>
    <w:p w14:paraId="31B76A4F" w14:textId="3E9E9013" w:rsidR="00037E61" w:rsidRPr="00427610" w:rsidRDefault="00D85F5E" w:rsidP="00D9620D">
      <w:pPr>
        <w:pStyle w:val="JuPara"/>
        <w:rPr>
          <w:lang w:val="pl-PL"/>
        </w:rPr>
      </w:pPr>
      <w:r>
        <w:rPr>
          <w:lang w:val="pl"/>
        </w:rPr>
        <w:t xml:space="preserve">a także </w:t>
      </w:r>
      <w:r>
        <w:rPr>
          <w:rStyle w:val="JuJudgesChar"/>
          <w:lang w:val="pl"/>
        </w:rPr>
        <w:t xml:space="preserve">M.-A. </w:t>
      </w:r>
      <w:proofErr w:type="spellStart"/>
      <w:r>
        <w:rPr>
          <w:rStyle w:val="JuNames"/>
          <w:lang w:val="pl"/>
        </w:rPr>
        <w:t>Eissen</w:t>
      </w:r>
      <w:proofErr w:type="spellEnd"/>
      <w:r>
        <w:rPr>
          <w:rStyle w:val="JuJudgesChar"/>
          <w:lang w:val="pl"/>
        </w:rPr>
        <w:t xml:space="preserve">, </w:t>
      </w:r>
      <w:r w:rsidR="000B171B">
        <w:rPr>
          <w:rStyle w:val="JuJudgesChar"/>
          <w:lang w:val="pl"/>
        </w:rPr>
        <w:t>S</w:t>
      </w:r>
      <w:r>
        <w:rPr>
          <w:rStyle w:val="JuJudgesChar"/>
          <w:lang w:val="pl"/>
        </w:rPr>
        <w:t>ekretarz</w:t>
      </w:r>
      <w:r>
        <w:rPr>
          <w:lang w:val="pl"/>
        </w:rPr>
        <w:t xml:space="preserve">, i </w:t>
      </w:r>
      <w:r>
        <w:rPr>
          <w:rStyle w:val="JuJudgesChar"/>
          <w:lang w:val="pl"/>
        </w:rPr>
        <w:t xml:space="preserve">H. </w:t>
      </w:r>
      <w:proofErr w:type="spellStart"/>
      <w:r>
        <w:rPr>
          <w:rStyle w:val="JuNames"/>
          <w:lang w:val="pl"/>
        </w:rPr>
        <w:t>Petzold</w:t>
      </w:r>
      <w:proofErr w:type="spellEnd"/>
      <w:r>
        <w:rPr>
          <w:rStyle w:val="JuJudgesChar"/>
          <w:lang w:val="pl"/>
        </w:rPr>
        <w:t xml:space="preserve">, </w:t>
      </w:r>
      <w:r w:rsidR="000B171B">
        <w:rPr>
          <w:rStyle w:val="JuJudgesChar"/>
          <w:i/>
          <w:iCs/>
          <w:lang w:val="pl"/>
        </w:rPr>
        <w:t>Z</w:t>
      </w:r>
      <w:r>
        <w:rPr>
          <w:rStyle w:val="JuJudgesChar"/>
          <w:i/>
          <w:iCs/>
          <w:lang w:val="pl"/>
        </w:rPr>
        <w:t xml:space="preserve">astępca </w:t>
      </w:r>
      <w:r w:rsidR="000B171B">
        <w:rPr>
          <w:rStyle w:val="JuJudgesChar"/>
          <w:i/>
          <w:iCs/>
          <w:lang w:val="pl"/>
        </w:rPr>
        <w:t>S</w:t>
      </w:r>
      <w:r>
        <w:rPr>
          <w:rStyle w:val="JuJudgesChar"/>
          <w:i/>
          <w:iCs/>
          <w:lang w:val="pl"/>
        </w:rPr>
        <w:t>ekretarza</w:t>
      </w:r>
      <w:r>
        <w:rPr>
          <w:lang w:val="pl"/>
        </w:rPr>
        <w:t>,</w:t>
      </w:r>
    </w:p>
    <w:p w14:paraId="64762CB1" w14:textId="13B1B45B" w:rsidR="00037E61" w:rsidRPr="00427610" w:rsidRDefault="000B171B" w:rsidP="00D9620D">
      <w:pPr>
        <w:pStyle w:val="JuPara"/>
        <w:rPr>
          <w:lang w:val="pl-PL"/>
        </w:rPr>
      </w:pPr>
      <w:r>
        <w:rPr>
          <w:lang w:val="pl"/>
        </w:rPr>
        <w:t>po naradzie na posiedzeniu niejawnym</w:t>
      </w:r>
      <w:r w:rsidR="00D85F5E">
        <w:rPr>
          <w:lang w:val="pl"/>
        </w:rPr>
        <w:t xml:space="preserve"> w dniach 30 marca i</w:t>
      </w:r>
      <w:r w:rsidR="00427610">
        <w:rPr>
          <w:lang w:val="pl"/>
        </w:rPr>
        <w:t> </w:t>
      </w:r>
      <w:r w:rsidR="00D85F5E">
        <w:rPr>
          <w:lang w:val="pl"/>
        </w:rPr>
        <w:t>23</w:t>
      </w:r>
      <w:r w:rsidR="00427610">
        <w:rPr>
          <w:lang w:val="pl"/>
        </w:rPr>
        <w:t> </w:t>
      </w:r>
      <w:r w:rsidR="00D85F5E">
        <w:rPr>
          <w:lang w:val="pl"/>
        </w:rPr>
        <w:t>czerwca 1984 r.,</w:t>
      </w:r>
    </w:p>
    <w:p w14:paraId="249D73E5" w14:textId="09B3F9B1" w:rsidR="00037E61" w:rsidRPr="00427610" w:rsidRDefault="00D85F5E" w:rsidP="00D9620D">
      <w:pPr>
        <w:pStyle w:val="JuPara"/>
        <w:rPr>
          <w:lang w:val="pl-PL"/>
        </w:rPr>
      </w:pPr>
      <w:r>
        <w:rPr>
          <w:lang w:val="pl"/>
        </w:rPr>
        <w:t xml:space="preserve">Wydaje następujący wyrok, który został przyjęty w </w:t>
      </w:r>
      <w:r w:rsidR="00687CF2">
        <w:rPr>
          <w:lang w:val="pl"/>
        </w:rPr>
        <w:t>ostatnim z wymienionych dni</w:t>
      </w:r>
      <w:r>
        <w:rPr>
          <w:lang w:val="pl"/>
        </w:rPr>
        <w:t>:</w:t>
      </w:r>
    </w:p>
    <w:p w14:paraId="4773D9C1" w14:textId="77777777" w:rsidR="00037E61" w:rsidRPr="00427610" w:rsidRDefault="00D85F5E" w:rsidP="00FB5830">
      <w:pPr>
        <w:pStyle w:val="JuHHead"/>
        <w:rPr>
          <w:lang w:val="pl-PL"/>
        </w:rPr>
      </w:pPr>
      <w:r>
        <w:rPr>
          <w:lang w:val="pl"/>
        </w:rPr>
        <w:t>POSTĘPOWANIE</w:t>
      </w:r>
    </w:p>
    <w:p w14:paraId="4275987B" w14:textId="5F816C59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1.   Sprawa została skierowana do Trybunału przez Europejską Komisję Praw Człowieka („Komisja”) i rząd Portugalii („Rząd”). Sprawa wywodzi się ze skargi (nr 8990/80) przeciwko temu państwu wniesionej do Trybunału na podstawie art. 25 (art. 25) Konwencji o ochronie praw człowieka i podstawowych wolności przez </w:t>
      </w:r>
      <w:r w:rsidR="00687CF2">
        <w:rPr>
          <w:lang w:val="pl"/>
        </w:rPr>
        <w:t xml:space="preserve"> pana </w:t>
      </w:r>
      <w:r>
        <w:rPr>
          <w:lang w:val="pl"/>
        </w:rPr>
        <w:t xml:space="preserve">Manuela </w:t>
      </w:r>
      <w:proofErr w:type="spellStart"/>
      <w:r>
        <w:rPr>
          <w:lang w:val="pl"/>
        </w:rPr>
        <w:t>dos</w:t>
      </w:r>
      <w:proofErr w:type="spellEnd"/>
      <w:r>
        <w:rPr>
          <w:lang w:val="pl"/>
        </w:rPr>
        <w:t xml:space="preserve"> Santos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w</w:t>
      </w:r>
      <w:r w:rsidR="00427610">
        <w:rPr>
          <w:lang w:val="pl"/>
        </w:rPr>
        <w:t> </w:t>
      </w:r>
      <w:r>
        <w:rPr>
          <w:lang w:val="pl"/>
        </w:rPr>
        <w:t>dniu 20 maja 1980 r.,</w:t>
      </w:r>
    </w:p>
    <w:p w14:paraId="34677895" w14:textId="3CE7631C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>2.   Wniosek Komisji i skarga Rządu zostały złożone w Kancelarii Trybunału w terminie trzech miesięcy określonym w art. 32 ust. 1 i art. 47 (art. 32-1, art. 47), odpowiednio w dniach 18 lipca i 26 września 1983 r. Pierwszy z nich odnosi się do art. 44 i 48 (art. 44, art. 48) oraz do oświadczenia Republiki Portugalii o uznaniu obowiązkowej jurysdykcji Trybunału (art. 46) (art. 46), natomiast skarga odnosi się do art. 48 (art. 48). Ich celem jest uzyskanie decyzji, czy rozsądny termin przewidziany w</w:t>
      </w:r>
      <w:r w:rsidR="00427610">
        <w:rPr>
          <w:lang w:val="pl"/>
        </w:rPr>
        <w:t> </w:t>
      </w:r>
      <w:r>
        <w:rPr>
          <w:lang w:val="pl"/>
        </w:rPr>
        <w:t>art.</w:t>
      </w:r>
      <w:r w:rsidR="00427610">
        <w:rPr>
          <w:lang w:val="pl"/>
        </w:rPr>
        <w:t> </w:t>
      </w:r>
      <w:r>
        <w:rPr>
          <w:lang w:val="pl"/>
        </w:rPr>
        <w:t>6</w:t>
      </w:r>
      <w:r w:rsidR="00427610">
        <w:rPr>
          <w:lang w:val="pl"/>
        </w:rPr>
        <w:t> </w:t>
      </w:r>
      <w:r>
        <w:rPr>
          <w:lang w:val="pl"/>
        </w:rPr>
        <w:t>ust. 1 (art. 6-1) Konwencji został w tym przypadku przekroczony.</w:t>
      </w:r>
    </w:p>
    <w:p w14:paraId="0089B410" w14:textId="77777777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>3.   W odpowiedzi na wezwanie zgodne z Regułą 33 ust. 3 lit d), skarżący wyraził chęć wzięcia udziału w postępowaniu toczącym się przed Trybunałem i wyznaczył swojego obrońcę (Reguła 30).</w:t>
      </w:r>
    </w:p>
    <w:p w14:paraId="3DCD8BAD" w14:textId="2B690B6A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4.   W skład izby siedmiu sędziów, która miała zostać ukonstytuowana, weszli: J. </w:t>
      </w:r>
      <w:proofErr w:type="spellStart"/>
      <w:r>
        <w:rPr>
          <w:lang w:val="pl"/>
        </w:rPr>
        <w:t>Pinheiro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Farinha</w:t>
      </w:r>
      <w:proofErr w:type="spellEnd"/>
      <w:r>
        <w:rPr>
          <w:lang w:val="pl"/>
        </w:rPr>
        <w:t>, wybrany sędzia narodowości portugalskiej (art.</w:t>
      </w:r>
      <w:r w:rsidR="00427610">
        <w:rPr>
          <w:lang w:val="pl"/>
        </w:rPr>
        <w:t> </w:t>
      </w:r>
      <w:r>
        <w:rPr>
          <w:lang w:val="pl"/>
        </w:rPr>
        <w:t xml:space="preserve">43 Konwencji) (Reguła 43) oraz G. </w:t>
      </w:r>
      <w:proofErr w:type="spellStart"/>
      <w:r>
        <w:rPr>
          <w:lang w:val="pl"/>
        </w:rPr>
        <w:t>Wiarda</w:t>
      </w:r>
      <w:proofErr w:type="spellEnd"/>
      <w:r>
        <w:rPr>
          <w:lang w:val="pl"/>
        </w:rPr>
        <w:t xml:space="preserve">, przewodniczący Trybunału </w:t>
      </w:r>
      <w:r>
        <w:rPr>
          <w:lang w:val="pl"/>
        </w:rPr>
        <w:lastRenderedPageBreak/>
        <w:t xml:space="preserve">(Reguła 21 ust. 3 lit. b)). 21 września 1983 r. przewodniczący, w obecności pozostałych pięciu członków, a mianowicie J. Cremony, W. </w:t>
      </w:r>
      <w:proofErr w:type="spellStart"/>
      <w:r>
        <w:rPr>
          <w:lang w:val="pl"/>
        </w:rPr>
        <w:t>Ganshofa</w:t>
      </w:r>
      <w:proofErr w:type="spellEnd"/>
      <w:r>
        <w:rPr>
          <w:lang w:val="pl"/>
        </w:rPr>
        <w:t xml:space="preserve"> van der </w:t>
      </w:r>
      <w:proofErr w:type="spellStart"/>
      <w:r>
        <w:rPr>
          <w:lang w:val="pl"/>
        </w:rPr>
        <w:t>Meerscha</w:t>
      </w:r>
      <w:proofErr w:type="spellEnd"/>
      <w:r>
        <w:rPr>
          <w:lang w:val="pl"/>
        </w:rPr>
        <w:t xml:space="preserve">, L. </w:t>
      </w:r>
      <w:proofErr w:type="spellStart"/>
      <w:r>
        <w:rPr>
          <w:lang w:val="pl"/>
        </w:rPr>
        <w:t>Liescha</w:t>
      </w:r>
      <w:proofErr w:type="spellEnd"/>
      <w:r>
        <w:rPr>
          <w:lang w:val="pl"/>
        </w:rPr>
        <w:t xml:space="preserve">, F. </w:t>
      </w:r>
      <w:proofErr w:type="spellStart"/>
      <w:r>
        <w:rPr>
          <w:lang w:val="pl"/>
        </w:rPr>
        <w:t>Gölcüklü</w:t>
      </w:r>
      <w:proofErr w:type="spellEnd"/>
      <w:r>
        <w:rPr>
          <w:lang w:val="pl"/>
        </w:rPr>
        <w:t xml:space="preserve"> i J. </w:t>
      </w:r>
      <w:proofErr w:type="spellStart"/>
      <w:r>
        <w:rPr>
          <w:lang w:val="pl"/>
        </w:rPr>
        <w:t>Gersinga</w:t>
      </w:r>
      <w:proofErr w:type="spellEnd"/>
      <w:r>
        <w:rPr>
          <w:lang w:val="pl"/>
        </w:rPr>
        <w:t>, wyznaczył ich w</w:t>
      </w:r>
      <w:r w:rsidR="00427610">
        <w:rPr>
          <w:lang w:val="pl"/>
        </w:rPr>
        <w:t> </w:t>
      </w:r>
      <w:r>
        <w:rPr>
          <w:lang w:val="pl"/>
        </w:rPr>
        <w:t xml:space="preserve">drodze losowania (art. 43 </w:t>
      </w:r>
      <w:r>
        <w:rPr>
          <w:i/>
          <w:iCs/>
          <w:lang w:val="pl"/>
        </w:rPr>
        <w:t>in fine</w:t>
      </w:r>
      <w:r>
        <w:rPr>
          <w:lang w:val="pl"/>
        </w:rPr>
        <w:t xml:space="preserve"> Konwencji i Reguła 21 ust. 4) (art. 43). E. </w:t>
      </w:r>
      <w:proofErr w:type="spellStart"/>
      <w:r>
        <w:rPr>
          <w:lang w:val="pl"/>
        </w:rPr>
        <w:t>García</w:t>
      </w:r>
      <w:proofErr w:type="spellEnd"/>
      <w:r>
        <w:rPr>
          <w:lang w:val="pl"/>
        </w:rPr>
        <w:t xml:space="preserve"> de </w:t>
      </w:r>
      <w:proofErr w:type="spellStart"/>
      <w:r>
        <w:rPr>
          <w:lang w:val="pl"/>
        </w:rPr>
        <w:t>Enterría</w:t>
      </w:r>
      <w:proofErr w:type="spellEnd"/>
      <w:r>
        <w:rPr>
          <w:lang w:val="pl"/>
        </w:rPr>
        <w:t xml:space="preserve">, zastępca sędziego, zastąpił następnie L. </w:t>
      </w:r>
      <w:proofErr w:type="spellStart"/>
      <w:r>
        <w:rPr>
          <w:lang w:val="pl"/>
        </w:rPr>
        <w:t>Liescha</w:t>
      </w:r>
      <w:proofErr w:type="spellEnd"/>
      <w:r>
        <w:rPr>
          <w:lang w:val="pl"/>
        </w:rPr>
        <w:t>, który nie mógł uczestniczyć w posiedzeniu (Reguła 22 ust. 1 i</w:t>
      </w:r>
      <w:r w:rsidR="00427610">
        <w:rPr>
          <w:lang w:val="pl"/>
        </w:rPr>
        <w:t> </w:t>
      </w:r>
      <w:r>
        <w:rPr>
          <w:lang w:val="pl"/>
        </w:rPr>
        <w:t>Reguła</w:t>
      </w:r>
      <w:r w:rsidR="00427610">
        <w:rPr>
          <w:lang w:val="pl"/>
        </w:rPr>
        <w:t> </w:t>
      </w:r>
      <w:r>
        <w:rPr>
          <w:lang w:val="pl"/>
        </w:rPr>
        <w:t>24</w:t>
      </w:r>
      <w:r w:rsidR="00427610">
        <w:rPr>
          <w:lang w:val="pl"/>
        </w:rPr>
        <w:t> </w:t>
      </w:r>
      <w:r>
        <w:rPr>
          <w:lang w:val="pl"/>
        </w:rPr>
        <w:t>ust. 1).</w:t>
      </w:r>
    </w:p>
    <w:p w14:paraId="117438BA" w14:textId="6974ED7A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5.   Po objęciu funkcji </w:t>
      </w:r>
      <w:r w:rsidR="00687CF2">
        <w:rPr>
          <w:lang w:val="pl"/>
        </w:rPr>
        <w:t>P</w:t>
      </w:r>
      <w:r>
        <w:rPr>
          <w:lang w:val="pl"/>
        </w:rPr>
        <w:t xml:space="preserve">rzewodniczącego w </w:t>
      </w:r>
      <w:r w:rsidR="00687CF2">
        <w:rPr>
          <w:lang w:val="pl"/>
        </w:rPr>
        <w:t>I</w:t>
      </w:r>
      <w:r>
        <w:rPr>
          <w:lang w:val="pl"/>
        </w:rPr>
        <w:t>zbie (Reguła 21 ust. 5) G.</w:t>
      </w:r>
      <w:r w:rsidR="00427610">
        <w:rPr>
          <w:lang w:val="pl"/>
        </w:rPr>
        <w:t> </w:t>
      </w:r>
      <w:proofErr w:type="spellStart"/>
      <w:r>
        <w:rPr>
          <w:lang w:val="pl"/>
        </w:rPr>
        <w:t>Wiarda</w:t>
      </w:r>
      <w:proofErr w:type="spellEnd"/>
      <w:r>
        <w:rPr>
          <w:lang w:val="pl"/>
        </w:rPr>
        <w:t xml:space="preserve">, za pośrednictwem sekretarza sądowego, zwrócił się do pełnomocnika Rządu, delegata Komisji i adwokata skarżącego o wyrażenie opinii na temat konieczności przeprowadzenia procedury pisemnej (Reguła 37 ust. 1). 6 października 1983 r. </w:t>
      </w:r>
      <w:r w:rsidR="00687CF2">
        <w:rPr>
          <w:lang w:val="pl"/>
        </w:rPr>
        <w:t>P</w:t>
      </w:r>
      <w:r>
        <w:rPr>
          <w:lang w:val="pl"/>
        </w:rPr>
        <w:t xml:space="preserve">rzewodniczący zdecydował, że wspomniany pełnomocnik i adwokat będą mieli czas do 6 stycznia 1984 r. na złożenie pism procesowych, na które delegat będzie mógł odpowiedzieć w ciągu dwóch miesięcy od dnia, w którym sekretarz sądowy przekazał mu ostatnie z pism. Obrońca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zrzekł się tego prawa w piśmie, które wpłynęło do sekretariatu </w:t>
      </w:r>
      <w:r w:rsidR="00687CF2">
        <w:rPr>
          <w:lang w:val="pl"/>
        </w:rPr>
        <w:t>Trybunału</w:t>
      </w:r>
      <w:r>
        <w:rPr>
          <w:lang w:val="pl"/>
        </w:rPr>
        <w:t xml:space="preserve"> w dniu 11 października.</w:t>
      </w:r>
    </w:p>
    <w:p w14:paraId="32B10473" w14:textId="1C28E70A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Zgodnie z instrukcjami </w:t>
      </w:r>
      <w:r w:rsidR="00687CF2">
        <w:rPr>
          <w:lang w:val="pl"/>
        </w:rPr>
        <w:t>P</w:t>
      </w:r>
      <w:r>
        <w:rPr>
          <w:lang w:val="pl"/>
        </w:rPr>
        <w:t>rzewodniczącego</w:t>
      </w:r>
      <w:r w:rsidR="00687CF2">
        <w:rPr>
          <w:lang w:val="pl"/>
        </w:rPr>
        <w:t>,</w:t>
      </w:r>
      <w:r>
        <w:rPr>
          <w:lang w:val="pl"/>
        </w:rPr>
        <w:t xml:space="preserve"> </w:t>
      </w:r>
      <w:r w:rsidR="00687CF2">
        <w:rPr>
          <w:lang w:val="pl"/>
        </w:rPr>
        <w:t>S</w:t>
      </w:r>
      <w:r>
        <w:rPr>
          <w:lang w:val="pl"/>
        </w:rPr>
        <w:t>ekretarz wezwał Komisję i</w:t>
      </w:r>
      <w:r w:rsidR="00427610">
        <w:rPr>
          <w:lang w:val="pl"/>
        </w:rPr>
        <w:t> </w:t>
      </w:r>
      <w:r>
        <w:rPr>
          <w:lang w:val="pl"/>
        </w:rPr>
        <w:t>Rząd w dniu 7 października 1983 r. do przedstawienia pewnych dokumentów; otrzymał je odpowiednio w dniach 18 października i</w:t>
      </w:r>
      <w:r w:rsidR="00427610">
        <w:rPr>
          <w:lang w:val="pl"/>
        </w:rPr>
        <w:t> </w:t>
      </w:r>
      <w:r>
        <w:rPr>
          <w:lang w:val="pl"/>
        </w:rPr>
        <w:t>10</w:t>
      </w:r>
      <w:r w:rsidR="00427610">
        <w:rPr>
          <w:lang w:val="pl"/>
        </w:rPr>
        <w:t> </w:t>
      </w:r>
      <w:r>
        <w:rPr>
          <w:lang w:val="pl"/>
        </w:rPr>
        <w:t>listopada.</w:t>
      </w:r>
    </w:p>
    <w:p w14:paraId="4C047130" w14:textId="3DD51847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Pismo Rządu wpłynęło do sekretariatu 3 stycznia 1984 r.; 27 stycznia </w:t>
      </w:r>
      <w:r w:rsidR="00C25BF9">
        <w:rPr>
          <w:lang w:val="pl"/>
        </w:rPr>
        <w:t>S</w:t>
      </w:r>
      <w:r>
        <w:rPr>
          <w:lang w:val="pl"/>
        </w:rPr>
        <w:t xml:space="preserve">ekretarz Komisji poinformował </w:t>
      </w:r>
      <w:r w:rsidR="00C25BF9">
        <w:rPr>
          <w:lang w:val="pl"/>
        </w:rPr>
        <w:t>S</w:t>
      </w:r>
      <w:r>
        <w:rPr>
          <w:lang w:val="pl"/>
        </w:rPr>
        <w:t xml:space="preserve">ekretarza </w:t>
      </w:r>
      <w:r w:rsidR="00C25BF9">
        <w:rPr>
          <w:lang w:val="pl"/>
        </w:rPr>
        <w:t>Trybunału</w:t>
      </w:r>
      <w:r>
        <w:rPr>
          <w:lang w:val="pl"/>
        </w:rPr>
        <w:t>, że delegat przedstawi swoje uwagi podczas rozpraw</w:t>
      </w:r>
      <w:r w:rsidR="00C25BF9">
        <w:rPr>
          <w:lang w:val="pl"/>
        </w:rPr>
        <w:t>y</w:t>
      </w:r>
      <w:r>
        <w:rPr>
          <w:lang w:val="pl"/>
        </w:rPr>
        <w:t>.</w:t>
      </w:r>
    </w:p>
    <w:p w14:paraId="61772E3B" w14:textId="6FD39E32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6.   6 lutego </w:t>
      </w:r>
      <w:r w:rsidR="00C25BF9">
        <w:rPr>
          <w:lang w:val="pl"/>
        </w:rPr>
        <w:t>P</w:t>
      </w:r>
      <w:r>
        <w:rPr>
          <w:lang w:val="pl"/>
        </w:rPr>
        <w:t xml:space="preserve">rzewodniczący wyznaczył dzień 28 marca jako datę otwarcia procedury ustnej, po konsultacji z pełnomocnikiem Rządu, delegatem Komisji i obrońcą skarżącego za pośrednictwem </w:t>
      </w:r>
      <w:r w:rsidR="00C25BF9">
        <w:rPr>
          <w:lang w:val="pl"/>
        </w:rPr>
        <w:t>S</w:t>
      </w:r>
      <w:r>
        <w:rPr>
          <w:lang w:val="pl"/>
        </w:rPr>
        <w:t>ekretarza (art. 38 Regulaminu). Przewodniczący zezwolił ponadto na używanie języka portugalskiego przez wspomnianego pełnomocnika i obrońcę (Reguła</w:t>
      </w:r>
      <w:r w:rsidR="00427610">
        <w:rPr>
          <w:lang w:val="pl"/>
        </w:rPr>
        <w:t> </w:t>
      </w:r>
      <w:r>
        <w:rPr>
          <w:lang w:val="pl"/>
        </w:rPr>
        <w:t>27</w:t>
      </w:r>
      <w:r w:rsidR="00427610">
        <w:rPr>
          <w:lang w:val="pl"/>
        </w:rPr>
        <w:t> </w:t>
      </w:r>
      <w:r>
        <w:rPr>
          <w:lang w:val="pl"/>
        </w:rPr>
        <w:t>ust. 2 i 3).</w:t>
      </w:r>
    </w:p>
    <w:p w14:paraId="34356793" w14:textId="0235FDF3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27 lutego adwokat </w:t>
      </w:r>
      <w:r w:rsidR="00031712">
        <w:rPr>
          <w:lang w:val="pl"/>
        </w:rPr>
        <w:t xml:space="preserve">pana </w:t>
      </w:r>
      <w:r>
        <w:rPr>
          <w:lang w:val="pl"/>
        </w:rPr>
        <w:t xml:space="preserve">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poinformował Trybunał o roszczeniach swojego klienta na podstawie art. 50 Konwencji; w dniu 26 marca udzielił pisemnej odpowiedzi na niektóre pytania zadane mu przez </w:t>
      </w:r>
      <w:r w:rsidR="00031712">
        <w:rPr>
          <w:lang w:val="pl"/>
        </w:rPr>
        <w:t>S</w:t>
      </w:r>
      <w:r>
        <w:rPr>
          <w:lang w:val="pl"/>
        </w:rPr>
        <w:t xml:space="preserve">ekretarza na wniosek </w:t>
      </w:r>
      <w:r w:rsidR="00031712">
        <w:rPr>
          <w:lang w:val="pl"/>
        </w:rPr>
        <w:t>P</w:t>
      </w:r>
      <w:r>
        <w:rPr>
          <w:lang w:val="pl"/>
        </w:rPr>
        <w:t>rzewodniczącego.</w:t>
      </w:r>
    </w:p>
    <w:p w14:paraId="7FD33995" w14:textId="2C86DFE6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 xml:space="preserve">7.   </w:t>
      </w:r>
      <w:r w:rsidR="00031712">
        <w:rPr>
          <w:lang w:val="pl"/>
        </w:rPr>
        <w:t>Posiedzenia publiczne</w:t>
      </w:r>
      <w:r>
        <w:rPr>
          <w:lang w:val="pl"/>
        </w:rPr>
        <w:t xml:space="preserve"> odbyły się w tym samym dniu, w </w:t>
      </w:r>
      <w:proofErr w:type="spellStart"/>
      <w:r>
        <w:rPr>
          <w:lang w:val="pl"/>
        </w:rPr>
        <w:t>Palais</w:t>
      </w:r>
      <w:proofErr w:type="spellEnd"/>
      <w:r>
        <w:rPr>
          <w:lang w:val="pl"/>
        </w:rPr>
        <w:t xml:space="preserve"> des </w:t>
      </w:r>
      <w:proofErr w:type="spellStart"/>
      <w:r>
        <w:rPr>
          <w:lang w:val="pl"/>
        </w:rPr>
        <w:t>Droits</w:t>
      </w:r>
      <w:proofErr w:type="spellEnd"/>
      <w:r>
        <w:rPr>
          <w:lang w:val="pl"/>
        </w:rPr>
        <w:t xml:space="preserve"> de </w:t>
      </w:r>
      <w:proofErr w:type="spellStart"/>
      <w:r>
        <w:rPr>
          <w:lang w:val="pl"/>
        </w:rPr>
        <w:t>l'Homme</w:t>
      </w:r>
      <w:proofErr w:type="spellEnd"/>
      <w:r>
        <w:rPr>
          <w:lang w:val="pl"/>
        </w:rPr>
        <w:t xml:space="preserve"> w Strasburgu. Przedtem Trybunał odbył posiedzenie przygotowawcze.</w:t>
      </w:r>
    </w:p>
    <w:p w14:paraId="6554F865" w14:textId="77777777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>Na posiedzeniu stawili się:</w:t>
      </w:r>
    </w:p>
    <w:p w14:paraId="07CA30DB" w14:textId="77777777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>– z ramienia Rządu:</w:t>
      </w:r>
    </w:p>
    <w:p w14:paraId="72C10631" w14:textId="04A0AD15" w:rsidR="00037E61" w:rsidRPr="00427610" w:rsidRDefault="00FB5830" w:rsidP="00FB5830">
      <w:pPr>
        <w:pStyle w:val="JuCourt"/>
        <w:rPr>
          <w:lang w:val="pl-PL"/>
        </w:rPr>
      </w:pPr>
      <w:r>
        <w:rPr>
          <w:lang w:val="pl"/>
        </w:rPr>
        <w:tab/>
        <w:t xml:space="preserve">J.N. </w:t>
      </w:r>
      <w:r>
        <w:rPr>
          <w:rStyle w:val="JuNames"/>
          <w:lang w:val="pl"/>
        </w:rPr>
        <w:t xml:space="preserve">da Cunha </w:t>
      </w:r>
      <w:proofErr w:type="spellStart"/>
      <w:r>
        <w:rPr>
          <w:rStyle w:val="JuNames"/>
          <w:lang w:val="pl"/>
        </w:rPr>
        <w:t>Rodrigues</w:t>
      </w:r>
      <w:proofErr w:type="spellEnd"/>
      <w:r>
        <w:rPr>
          <w:lang w:val="pl"/>
        </w:rPr>
        <w:t xml:space="preserve">, Zastępca </w:t>
      </w:r>
      <w:r w:rsidR="00031712">
        <w:rPr>
          <w:lang w:val="pl"/>
        </w:rPr>
        <w:t>P</w:t>
      </w:r>
      <w:r>
        <w:rPr>
          <w:lang w:val="pl"/>
        </w:rPr>
        <w:t xml:space="preserve">rokuratora </w:t>
      </w:r>
      <w:r w:rsidR="00031712">
        <w:rPr>
          <w:lang w:val="pl"/>
        </w:rPr>
        <w:t>G</w:t>
      </w:r>
      <w:r>
        <w:rPr>
          <w:lang w:val="pl"/>
        </w:rPr>
        <w:t xml:space="preserve">eneralnego, </w:t>
      </w:r>
      <w:r>
        <w:rPr>
          <w:lang w:val="pl"/>
        </w:rPr>
        <w:tab/>
      </w:r>
      <w:r w:rsidR="00457511">
        <w:rPr>
          <w:i/>
          <w:iCs/>
          <w:lang w:val="pl"/>
        </w:rPr>
        <w:t>P</w:t>
      </w:r>
      <w:r>
        <w:rPr>
          <w:i/>
          <w:iCs/>
          <w:lang w:val="pl"/>
        </w:rPr>
        <w:t>ełnomocnik</w:t>
      </w:r>
      <w:r>
        <w:rPr>
          <w:lang w:val="pl"/>
        </w:rPr>
        <w:t>,</w:t>
      </w:r>
    </w:p>
    <w:p w14:paraId="2912AB28" w14:textId="44D31AF6" w:rsidR="00037E61" w:rsidRPr="00427610" w:rsidRDefault="00FB5830" w:rsidP="00427610">
      <w:pPr>
        <w:pStyle w:val="JuCourt"/>
        <w:rPr>
          <w:lang w:val="pl-PL"/>
        </w:rPr>
      </w:pPr>
      <w:r>
        <w:rPr>
          <w:lang w:val="pl"/>
        </w:rPr>
        <w:tab/>
        <w:t xml:space="preserve">A.V. </w:t>
      </w:r>
      <w:r>
        <w:rPr>
          <w:rStyle w:val="JuNames"/>
          <w:lang w:val="pl"/>
        </w:rPr>
        <w:t>Coelho</w:t>
      </w:r>
      <w:r>
        <w:rPr>
          <w:lang w:val="pl"/>
        </w:rPr>
        <w:t xml:space="preserve">, </w:t>
      </w:r>
      <w:r w:rsidR="00031712">
        <w:rPr>
          <w:lang w:val="pl"/>
        </w:rPr>
        <w:t>R</w:t>
      </w:r>
      <w:r>
        <w:rPr>
          <w:lang w:val="pl"/>
        </w:rPr>
        <w:t>adny</w:t>
      </w:r>
      <w:r w:rsidR="00427610">
        <w:rPr>
          <w:lang w:val="pl"/>
        </w:rPr>
        <w:t xml:space="preserve"> </w:t>
      </w:r>
      <w:r>
        <w:rPr>
          <w:lang w:val="pl"/>
        </w:rPr>
        <w:t>Sądu Najwyższego i wiceprzewodniczący Najwyższej</w:t>
      </w:r>
      <w:r w:rsidR="00427610">
        <w:rPr>
          <w:lang w:val="pl"/>
        </w:rPr>
        <w:t xml:space="preserve"> </w:t>
      </w:r>
      <w:r>
        <w:rPr>
          <w:lang w:val="pl"/>
        </w:rPr>
        <w:t>Rady Sądownictwa,</w:t>
      </w:r>
    </w:p>
    <w:p w14:paraId="44EC5111" w14:textId="3FCCC1FB" w:rsidR="00037E61" w:rsidRPr="00427610" w:rsidRDefault="00FB5830" w:rsidP="00427610">
      <w:pPr>
        <w:pStyle w:val="JuCourt"/>
        <w:rPr>
          <w:lang w:val="pl-PL"/>
        </w:rPr>
      </w:pPr>
      <w:r>
        <w:rPr>
          <w:lang w:val="pl"/>
        </w:rPr>
        <w:tab/>
        <w:t xml:space="preserve">J.A. </w:t>
      </w:r>
      <w:proofErr w:type="spellStart"/>
      <w:r>
        <w:rPr>
          <w:rStyle w:val="JuNames"/>
          <w:lang w:val="pl"/>
        </w:rPr>
        <w:t>Sacadura</w:t>
      </w:r>
      <w:proofErr w:type="spellEnd"/>
      <w:r>
        <w:rPr>
          <w:rStyle w:val="JuNames"/>
          <w:lang w:val="pl"/>
        </w:rPr>
        <w:t xml:space="preserve"> Garcia Marques</w:t>
      </w:r>
      <w:r>
        <w:rPr>
          <w:lang w:val="pl"/>
        </w:rPr>
        <w:t xml:space="preserve">, </w:t>
      </w:r>
      <w:r w:rsidR="00457511">
        <w:rPr>
          <w:lang w:val="pl"/>
        </w:rPr>
        <w:t>S</w:t>
      </w:r>
      <w:r>
        <w:rPr>
          <w:lang w:val="pl"/>
        </w:rPr>
        <w:t xml:space="preserve">ekretarz </w:t>
      </w:r>
      <w:r w:rsidR="00457511">
        <w:rPr>
          <w:lang w:val="pl"/>
        </w:rPr>
        <w:t>G</w:t>
      </w:r>
      <w:r>
        <w:rPr>
          <w:lang w:val="pl"/>
        </w:rPr>
        <w:t>eneralny</w:t>
      </w:r>
      <w:r w:rsidR="00427610">
        <w:rPr>
          <w:lang w:val="pl-PL"/>
        </w:rPr>
        <w:t xml:space="preserve"> </w:t>
      </w:r>
      <w:r>
        <w:rPr>
          <w:lang w:val="pl"/>
        </w:rPr>
        <w:t>z Ministerstwa Sprawiedliwości i dyrektor generalny służb</w:t>
      </w:r>
      <w:r w:rsidR="00427610">
        <w:rPr>
          <w:lang w:val="pl"/>
        </w:rPr>
        <w:t xml:space="preserve"> </w:t>
      </w:r>
      <w:r>
        <w:rPr>
          <w:lang w:val="pl"/>
        </w:rPr>
        <w:t xml:space="preserve">sądowniczych, </w:t>
      </w:r>
      <w:r>
        <w:rPr>
          <w:i/>
          <w:iCs/>
          <w:lang w:val="pl"/>
        </w:rPr>
        <w:t>obrońcy</w:t>
      </w:r>
      <w:r>
        <w:rPr>
          <w:lang w:val="pl"/>
        </w:rPr>
        <w:t>;</w:t>
      </w:r>
    </w:p>
    <w:p w14:paraId="38EED7D0" w14:textId="77777777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lastRenderedPageBreak/>
        <w:t>– z ramienia Komisji:</w:t>
      </w:r>
    </w:p>
    <w:p w14:paraId="3DDA09D9" w14:textId="77777777" w:rsidR="00037E61" w:rsidRPr="00427610" w:rsidRDefault="00FB5830" w:rsidP="00FB5830">
      <w:pPr>
        <w:pStyle w:val="JuCourt"/>
        <w:rPr>
          <w:lang w:val="pl-PL"/>
        </w:rPr>
      </w:pPr>
      <w:r>
        <w:rPr>
          <w:lang w:val="pl"/>
        </w:rPr>
        <w:tab/>
        <w:t xml:space="preserve">J.-C. </w:t>
      </w:r>
      <w:proofErr w:type="spellStart"/>
      <w:r>
        <w:rPr>
          <w:rStyle w:val="JuNames"/>
          <w:lang w:val="pl"/>
        </w:rPr>
        <w:t>Soyer</w:t>
      </w:r>
      <w:proofErr w:type="spellEnd"/>
      <w:r>
        <w:rPr>
          <w:lang w:val="pl"/>
        </w:rPr>
        <w:t xml:space="preserve">, </w:t>
      </w:r>
      <w:r>
        <w:rPr>
          <w:lang w:val="pl"/>
        </w:rPr>
        <w:tab/>
      </w:r>
      <w:r>
        <w:rPr>
          <w:i/>
          <w:iCs/>
          <w:lang w:val="pl"/>
        </w:rPr>
        <w:t>delegowany</w:t>
      </w:r>
      <w:r>
        <w:rPr>
          <w:lang w:val="pl"/>
        </w:rPr>
        <w:t>;</w:t>
      </w:r>
    </w:p>
    <w:p w14:paraId="70B8A804" w14:textId="77777777" w:rsidR="00037E61" w:rsidRPr="00427610" w:rsidRDefault="00D85F5E" w:rsidP="00FB5830">
      <w:pPr>
        <w:pStyle w:val="JuPara"/>
        <w:rPr>
          <w:lang w:val="pl-PL"/>
        </w:rPr>
      </w:pPr>
      <w:r>
        <w:rPr>
          <w:lang w:val="pl"/>
        </w:rPr>
        <w:t>– w imieniu skarżącego:</w:t>
      </w:r>
    </w:p>
    <w:p w14:paraId="771287A7" w14:textId="1E837BFC" w:rsidR="00037E61" w:rsidRDefault="00FB5830" w:rsidP="00FB5830">
      <w:pPr>
        <w:pStyle w:val="JuCourt"/>
      </w:pPr>
      <w:r>
        <w:rPr>
          <w:lang w:val="pl"/>
        </w:rPr>
        <w:tab/>
      </w:r>
      <w:r w:rsidRPr="00427610">
        <w:t xml:space="preserve">J.A. </w:t>
      </w:r>
      <w:r w:rsidRPr="00427610">
        <w:rPr>
          <w:rStyle w:val="JuNames"/>
        </w:rPr>
        <w:t>Pires de Lima</w:t>
      </w:r>
      <w:r w:rsidRPr="00427610">
        <w:t xml:space="preserve">, adwokat, </w:t>
      </w:r>
      <w:r w:rsidRPr="00427610">
        <w:rPr>
          <w:i/>
          <w:iCs/>
        </w:rPr>
        <w:t>obrońca</w:t>
      </w:r>
      <w:r w:rsidRPr="00427610">
        <w:t>.</w:t>
      </w:r>
    </w:p>
    <w:p w14:paraId="1CEB0895" w14:textId="2D3A8FC1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Trybunał wysłuchał ustnych argumentów, oświadczeń i odpowiedzi na pytania </w:t>
      </w:r>
      <w:r w:rsidR="00427610">
        <w:rPr>
          <w:lang w:val="pl"/>
        </w:rPr>
        <w:t>J.N.</w:t>
      </w:r>
      <w:r>
        <w:rPr>
          <w:lang w:val="pl"/>
        </w:rPr>
        <w:t xml:space="preserve"> da Cunha </w:t>
      </w:r>
      <w:proofErr w:type="spellStart"/>
      <w:r>
        <w:rPr>
          <w:lang w:val="pl"/>
        </w:rPr>
        <w:t>Rodrigues</w:t>
      </w:r>
      <w:r w:rsidR="00427610">
        <w:rPr>
          <w:lang w:val="pl"/>
        </w:rPr>
        <w:t>a</w:t>
      </w:r>
      <w:proofErr w:type="spellEnd"/>
      <w:r>
        <w:rPr>
          <w:lang w:val="pl"/>
        </w:rPr>
        <w:t xml:space="preserve"> i </w:t>
      </w:r>
      <w:r w:rsidR="00427610">
        <w:rPr>
          <w:lang w:val="pl"/>
        </w:rPr>
        <w:t>J.A.</w:t>
      </w:r>
      <w:r>
        <w:rPr>
          <w:lang w:val="pl"/>
        </w:rPr>
        <w:t xml:space="preserve"> </w:t>
      </w:r>
      <w:proofErr w:type="spellStart"/>
      <w:r>
        <w:rPr>
          <w:lang w:val="pl"/>
        </w:rPr>
        <w:t>Sacadur</w:t>
      </w:r>
      <w:r w:rsidR="00427610">
        <w:rPr>
          <w:lang w:val="pl"/>
        </w:rPr>
        <w:t>y</w:t>
      </w:r>
      <w:proofErr w:type="spellEnd"/>
      <w:r>
        <w:rPr>
          <w:lang w:val="pl"/>
        </w:rPr>
        <w:t xml:space="preserve"> Garci</w:t>
      </w:r>
      <w:r w:rsidR="00427610">
        <w:rPr>
          <w:lang w:val="pl"/>
        </w:rPr>
        <w:t>i</w:t>
      </w:r>
      <w:r>
        <w:rPr>
          <w:lang w:val="pl"/>
        </w:rPr>
        <w:t xml:space="preserve"> </w:t>
      </w:r>
      <w:proofErr w:type="spellStart"/>
      <w:r>
        <w:rPr>
          <w:lang w:val="pl"/>
        </w:rPr>
        <w:t>Marques</w:t>
      </w:r>
      <w:r w:rsidR="00427610">
        <w:rPr>
          <w:lang w:val="pl"/>
        </w:rPr>
        <w:t>a</w:t>
      </w:r>
      <w:proofErr w:type="spellEnd"/>
      <w:r>
        <w:rPr>
          <w:lang w:val="pl"/>
        </w:rPr>
        <w:t xml:space="preserve"> w</w:t>
      </w:r>
      <w:r w:rsidR="00427610">
        <w:rPr>
          <w:lang w:val="pl"/>
        </w:rPr>
        <w:t> </w:t>
      </w:r>
      <w:r>
        <w:rPr>
          <w:lang w:val="pl"/>
        </w:rPr>
        <w:t xml:space="preserve">imieniu Rządu, </w:t>
      </w:r>
      <w:r w:rsidR="00427610">
        <w:rPr>
          <w:lang w:val="pl"/>
        </w:rPr>
        <w:t>J.-C.</w:t>
      </w:r>
      <w:r>
        <w:rPr>
          <w:lang w:val="pl"/>
        </w:rPr>
        <w:t xml:space="preserve"> </w:t>
      </w:r>
      <w:proofErr w:type="spellStart"/>
      <w:r>
        <w:rPr>
          <w:lang w:val="pl"/>
        </w:rPr>
        <w:t>Soyer</w:t>
      </w:r>
      <w:r w:rsidR="00427610">
        <w:rPr>
          <w:lang w:val="pl"/>
        </w:rPr>
        <w:t>a</w:t>
      </w:r>
      <w:proofErr w:type="spellEnd"/>
      <w:r>
        <w:rPr>
          <w:lang w:val="pl"/>
        </w:rPr>
        <w:t xml:space="preserve"> w imieniu Komisji i </w:t>
      </w:r>
      <w:r w:rsidR="00427610">
        <w:rPr>
          <w:lang w:val="pl"/>
        </w:rPr>
        <w:t xml:space="preserve">J.A. </w:t>
      </w:r>
      <w:proofErr w:type="spellStart"/>
      <w:r>
        <w:rPr>
          <w:lang w:val="pl"/>
        </w:rPr>
        <w:t>Pires</w:t>
      </w:r>
      <w:proofErr w:type="spellEnd"/>
      <w:r>
        <w:rPr>
          <w:lang w:val="pl"/>
        </w:rPr>
        <w:t xml:space="preserve"> de Lim</w:t>
      </w:r>
      <w:r w:rsidR="00427610">
        <w:rPr>
          <w:lang w:val="pl"/>
        </w:rPr>
        <w:t>y</w:t>
      </w:r>
      <w:r>
        <w:rPr>
          <w:lang w:val="pl"/>
        </w:rPr>
        <w:t xml:space="preserve"> w</w:t>
      </w:r>
      <w:r w:rsidR="00427610">
        <w:rPr>
          <w:lang w:val="pl"/>
        </w:rPr>
        <w:t> </w:t>
      </w:r>
      <w:r>
        <w:rPr>
          <w:lang w:val="pl"/>
        </w:rPr>
        <w:t>imieniu skarżącego. Rząd przedstawił dokument</w:t>
      </w:r>
      <w:r w:rsidR="00457511">
        <w:rPr>
          <w:lang w:val="pl"/>
        </w:rPr>
        <w:t>y</w:t>
      </w:r>
      <w:r>
        <w:rPr>
          <w:lang w:val="pl"/>
        </w:rPr>
        <w:t xml:space="preserve"> przygotowan</w:t>
      </w:r>
      <w:r w:rsidR="00FF439E">
        <w:rPr>
          <w:lang w:val="pl"/>
        </w:rPr>
        <w:t>e</w:t>
      </w:r>
      <w:r>
        <w:rPr>
          <w:lang w:val="pl"/>
        </w:rPr>
        <w:t xml:space="preserve"> na potrzeby rozpraw</w:t>
      </w:r>
      <w:r w:rsidR="00FF439E">
        <w:rPr>
          <w:lang w:val="pl"/>
        </w:rPr>
        <w:t>y</w:t>
      </w:r>
      <w:r>
        <w:rPr>
          <w:lang w:val="pl"/>
        </w:rPr>
        <w:t>.</w:t>
      </w:r>
    </w:p>
    <w:p w14:paraId="7FB4F9CB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W dniach 9 kwietnia i 21 maja 1984 r. do sekretariatu wpłynęły dodatkowe odpowiedzi skarżącego, a następnie uwagi na ich temat od Rządu.</w:t>
      </w:r>
    </w:p>
    <w:p w14:paraId="5CDFCD64" w14:textId="77777777" w:rsidR="00037E61" w:rsidRPr="00427610" w:rsidRDefault="00D85F5E" w:rsidP="00322FF3">
      <w:pPr>
        <w:pStyle w:val="JuHHead"/>
        <w:rPr>
          <w:lang w:val="pl-PL"/>
        </w:rPr>
      </w:pPr>
      <w:r>
        <w:rPr>
          <w:lang w:val="pl"/>
        </w:rPr>
        <w:t>STAN FAKTYCZNY</w:t>
      </w:r>
    </w:p>
    <w:p w14:paraId="10D75DDB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8.   Skarżący, obywatel Portugalii urodzony w 1949 r., pracuje jako elektryk i mieszka w Lizbonie.</w:t>
      </w:r>
    </w:p>
    <w:p w14:paraId="31385CF2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18 sierpnia 1976 r. znajdował się w samochodzie z Domingosem </w:t>
      </w:r>
      <w:proofErr w:type="spellStart"/>
      <w:r>
        <w:rPr>
          <w:lang w:val="pl"/>
        </w:rPr>
        <w:t>Lopesem</w:t>
      </w:r>
      <w:proofErr w:type="spellEnd"/>
      <w:r>
        <w:rPr>
          <w:lang w:val="pl"/>
        </w:rPr>
        <w:t xml:space="preserve">, który go prowadził i był jego właścicielem, oraz z jego bratem José Carlosem </w:t>
      </w:r>
      <w:proofErr w:type="spellStart"/>
      <w:r>
        <w:rPr>
          <w:lang w:val="pl"/>
        </w:rPr>
        <w:t>Lopesem</w:t>
      </w:r>
      <w:proofErr w:type="spellEnd"/>
      <w:r>
        <w:rPr>
          <w:lang w:val="pl"/>
        </w:rPr>
        <w:t xml:space="preserve">. W </w:t>
      </w:r>
      <w:proofErr w:type="spellStart"/>
      <w:r>
        <w:rPr>
          <w:lang w:val="pl"/>
        </w:rPr>
        <w:t>Alverca</w:t>
      </w:r>
      <w:proofErr w:type="spellEnd"/>
      <w:r>
        <w:rPr>
          <w:lang w:val="pl"/>
        </w:rPr>
        <w:t xml:space="preserve"> samochód zderzył się z pojazdem firmy </w:t>
      </w:r>
      <w:proofErr w:type="spellStart"/>
      <w:r>
        <w:rPr>
          <w:lang w:val="pl"/>
        </w:rPr>
        <w:t>Canalux</w:t>
      </w:r>
      <w:proofErr w:type="spellEnd"/>
      <w:r>
        <w:rPr>
          <w:lang w:val="pl"/>
        </w:rPr>
        <w:t xml:space="preserve"> z Lizbony, prowadzonym przez Antonio </w:t>
      </w:r>
      <w:proofErr w:type="spellStart"/>
      <w:r>
        <w:rPr>
          <w:lang w:val="pl"/>
        </w:rPr>
        <w:t>Rodriguesa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Baptistę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Dinisa</w:t>
      </w:r>
      <w:proofErr w:type="spellEnd"/>
      <w:r>
        <w:rPr>
          <w:lang w:val="pl"/>
        </w:rPr>
        <w:t xml:space="preserve">. W wyniku odniesionych obrażeń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stracił możliwość korzystania z lewego oka i w dniu 18 maja 1977 r. uznano jego częściową trwałą niezdolność do pracy.</w:t>
      </w:r>
    </w:p>
    <w:p w14:paraId="5A528734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9.   Po otrzymaniu informacji o wypadku od lokalnej policji, prokuratura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wszczęła postępowanie karne przeciwko dwóm kierowcom za spowodowanie nieumyślnego uszkodzenia ciała.</w:t>
      </w:r>
    </w:p>
    <w:p w14:paraId="2B19C72F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20 stycznia 1977 r. skarżący dowiedział się, że dekret z mocą ustawy dotyczący amnestii spowodował zamknięcie sprawy.</w:t>
      </w:r>
    </w:p>
    <w:p w14:paraId="16FB2221" w14:textId="6BFDCB5C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10.   7 grudnia 1978 r. Manuel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i Domingos </w:t>
      </w:r>
      <w:proofErr w:type="spellStart"/>
      <w:r>
        <w:rPr>
          <w:lang w:val="pl"/>
        </w:rPr>
        <w:t>Lopes</w:t>
      </w:r>
      <w:proofErr w:type="spellEnd"/>
      <w:r>
        <w:rPr>
          <w:lang w:val="pl"/>
        </w:rPr>
        <w:t xml:space="preserve"> („powodowie”) wnieśli pozew cywilny do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przeciwko A. </w:t>
      </w:r>
      <w:proofErr w:type="spellStart"/>
      <w:r>
        <w:rPr>
          <w:lang w:val="pl"/>
        </w:rPr>
        <w:t>Dinisowi</w:t>
      </w:r>
      <w:proofErr w:type="spellEnd"/>
      <w:r>
        <w:rPr>
          <w:lang w:val="pl"/>
        </w:rPr>
        <w:t xml:space="preserve">, spółce </w:t>
      </w:r>
      <w:proofErr w:type="spellStart"/>
      <w:r>
        <w:rPr>
          <w:lang w:val="pl"/>
        </w:rPr>
        <w:t>Canalux</w:t>
      </w:r>
      <w:proofErr w:type="spellEnd"/>
      <w:r>
        <w:rPr>
          <w:lang w:val="pl"/>
        </w:rPr>
        <w:t xml:space="preserve"> i firmie ubezpieczeniowej </w:t>
      </w:r>
      <w:proofErr w:type="spellStart"/>
      <w:r>
        <w:rPr>
          <w:lang w:val="pl"/>
        </w:rPr>
        <w:t>Tranquilidade</w:t>
      </w:r>
      <w:proofErr w:type="spellEnd"/>
      <w:r>
        <w:rPr>
          <w:lang w:val="pl"/>
        </w:rPr>
        <w:t xml:space="preserve"> („pozwani”). Skarżący domagał się odszkodowania w</w:t>
      </w:r>
      <w:r w:rsidR="00427610">
        <w:rPr>
          <w:lang w:val="pl"/>
        </w:rPr>
        <w:t> </w:t>
      </w:r>
      <w:r>
        <w:rPr>
          <w:lang w:val="pl"/>
        </w:rPr>
        <w:t>wysokości 350 000 escudo.</w:t>
      </w:r>
    </w:p>
    <w:p w14:paraId="3B590D7A" w14:textId="596A2A41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Zgodnie z art. 68 [portugalskiego] kodeksu drogowego powództwa z</w:t>
      </w:r>
      <w:r w:rsidR="00427610">
        <w:rPr>
          <w:lang w:val="pl"/>
        </w:rPr>
        <w:t> </w:t>
      </w:r>
      <w:r>
        <w:rPr>
          <w:lang w:val="pl"/>
        </w:rPr>
        <w:t>tytułu odpowiedzialności cywilnej w odniesieniu do pojazdów silnikowych muszą być rozpatrywane w trybie uproszczonym. Zgodnie z</w:t>
      </w:r>
      <w:r w:rsidR="00427610">
        <w:rPr>
          <w:lang w:val="pl"/>
        </w:rPr>
        <w:t> </w:t>
      </w:r>
      <w:r>
        <w:rPr>
          <w:lang w:val="pl"/>
        </w:rPr>
        <w:t>[portugalskim] kodeksem postępowania cywilnego (art. 783-800) tryb ten charakteryzuje się m.in. skróceniem niektórych terminów.</w:t>
      </w:r>
    </w:p>
    <w:p w14:paraId="6266D1B7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11.   9 grudnia 1978 r. sędzia drugiej izby (</w:t>
      </w:r>
      <w:r>
        <w:rPr>
          <w:i/>
          <w:iCs/>
          <w:lang w:val="pl"/>
        </w:rPr>
        <w:t>2</w:t>
      </w:r>
      <w:r>
        <w:rPr>
          <w:i/>
          <w:iCs/>
          <w:vertAlign w:val="superscript"/>
          <w:lang w:val="pl"/>
        </w:rPr>
        <w:t>o</w:t>
      </w:r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juizo</w:t>
      </w:r>
      <w:proofErr w:type="spellEnd"/>
      <w:r>
        <w:rPr>
          <w:lang w:val="pl"/>
        </w:rPr>
        <w:t xml:space="preserve">)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przyznał powodom pomoc prawną i nakazał wezwanie pozwanych. W tym celu wysłał wniosek o udzielenie pomocy sądowej (</w:t>
      </w:r>
      <w:proofErr w:type="spellStart"/>
      <w:r>
        <w:rPr>
          <w:i/>
          <w:iCs/>
          <w:lang w:val="pl"/>
        </w:rPr>
        <w:t>oficio</w:t>
      </w:r>
      <w:proofErr w:type="spellEnd"/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precatorio</w:t>
      </w:r>
      <w:proofErr w:type="spellEnd"/>
      <w:r>
        <w:rPr>
          <w:lang w:val="pl"/>
        </w:rPr>
        <w:t>) do Lizbony, miejsca ich zamieszkania.</w:t>
      </w:r>
    </w:p>
    <w:p w14:paraId="1D8855DD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lastRenderedPageBreak/>
        <w:t>Co do zasady, gdy taki wniosek dotrze do sądu, urzędnik sądowy ma dwa dni na przedłożenie go sędziemu. Ten ostatni musi nakazać wysłanie wezwania w ciągu pięciu dni, po czym dany urzędnik ma również pięć dni na zastosowanie się do wniosku o udzielenie pomocy sądowej, chyba że istnieje uzasadnione usprawiedliwienie (art. 159 i 167 [portugalskiego] kodeksu postępowania cywilnego).</w:t>
      </w:r>
    </w:p>
    <w:p w14:paraId="1252C6D8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W dniach 30 stycznia, 28 lutego, 2 kwietnia, 4 maja i 11 czerwca 1979 r. sędzia pierwszej izby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, działając w zastępstwie sędziego drugiej izby, którego stanowisko było nieobsadzone, nalegał na wykonanie wniosku o udzielenie pomocy sądowej. Nie nastąpiło to jednak aż do 18 czerwca.</w:t>
      </w:r>
    </w:p>
    <w:p w14:paraId="0CA311DB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12.   27 czerwca firma </w:t>
      </w:r>
      <w:proofErr w:type="spellStart"/>
      <w:r>
        <w:rPr>
          <w:lang w:val="pl"/>
        </w:rPr>
        <w:t>Tranquilidade</w:t>
      </w:r>
      <w:proofErr w:type="spellEnd"/>
      <w:r>
        <w:rPr>
          <w:lang w:val="pl"/>
        </w:rPr>
        <w:t xml:space="preserve"> przedstawiła uwagi (</w:t>
      </w:r>
      <w:proofErr w:type="spellStart"/>
      <w:r>
        <w:rPr>
          <w:i/>
          <w:iCs/>
          <w:lang w:val="pl"/>
        </w:rPr>
        <w:t>contestaçao</w:t>
      </w:r>
      <w:proofErr w:type="spellEnd"/>
      <w:r>
        <w:rPr>
          <w:lang w:val="pl"/>
        </w:rPr>
        <w:t>) mające na celu odparcie zarzutów powodów; ponadto złożyła wniosek uboczny o interwencję (</w:t>
      </w:r>
      <w:proofErr w:type="spellStart"/>
      <w:r>
        <w:rPr>
          <w:i/>
          <w:iCs/>
          <w:lang w:val="pl"/>
        </w:rPr>
        <w:t>intervençao</w:t>
      </w:r>
      <w:proofErr w:type="spellEnd"/>
      <w:r>
        <w:rPr>
          <w:i/>
          <w:iCs/>
          <w:lang w:val="pl"/>
        </w:rPr>
        <w:t xml:space="preserve"> principal</w:t>
      </w:r>
      <w:r>
        <w:rPr>
          <w:lang w:val="pl"/>
        </w:rPr>
        <w:t xml:space="preserve">) osoby trzeciej, José </w:t>
      </w:r>
      <w:proofErr w:type="spellStart"/>
      <w:r>
        <w:rPr>
          <w:lang w:val="pl"/>
        </w:rPr>
        <w:t>Lopesa</w:t>
      </w:r>
      <w:proofErr w:type="spellEnd"/>
      <w:r>
        <w:rPr>
          <w:lang w:val="pl"/>
        </w:rPr>
        <w:t xml:space="preserve"> (paragraf 8 powyżej).</w:t>
      </w:r>
    </w:p>
    <w:p w14:paraId="66F0B9AD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2 lipca 1979 r. A. </w:t>
      </w:r>
      <w:proofErr w:type="spellStart"/>
      <w:r>
        <w:rPr>
          <w:lang w:val="pl"/>
        </w:rPr>
        <w:t>Dinis</w:t>
      </w:r>
      <w:proofErr w:type="spellEnd"/>
      <w:r>
        <w:rPr>
          <w:lang w:val="pl"/>
        </w:rPr>
        <w:t xml:space="preserve"> i spółka </w:t>
      </w:r>
      <w:proofErr w:type="spellStart"/>
      <w:r>
        <w:rPr>
          <w:lang w:val="pl"/>
        </w:rPr>
        <w:t>Canalux</w:t>
      </w:r>
      <w:proofErr w:type="spellEnd"/>
      <w:r>
        <w:rPr>
          <w:lang w:val="pl"/>
        </w:rPr>
        <w:t xml:space="preserve"> przedstawili swoje stanowiska. Wskazali, że w odpowiednim czasie zażądają badania lekarskiego powodów.</w:t>
      </w:r>
    </w:p>
    <w:p w14:paraId="3C1007C0" w14:textId="3A6A2E2C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13.   Sekretariat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przekazał akta sędziemu w</w:t>
      </w:r>
      <w:r w:rsidR="00427610">
        <w:rPr>
          <w:lang w:val="pl"/>
        </w:rPr>
        <w:t> </w:t>
      </w:r>
      <w:r>
        <w:rPr>
          <w:lang w:val="pl"/>
        </w:rPr>
        <w:t>dniu 4 lipca.</w:t>
      </w:r>
    </w:p>
    <w:p w14:paraId="4E062BCA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28 stycznia 1981 r. sąd nakazał przekazanie powodom uwag pozwanych i wezwał ich do wypowiedzenia się w ciągu pięciu dni na temat wniosku ubocznego firmy </w:t>
      </w:r>
      <w:proofErr w:type="spellStart"/>
      <w:r>
        <w:rPr>
          <w:lang w:val="pl"/>
        </w:rPr>
        <w:t>Tranquilidade</w:t>
      </w:r>
      <w:proofErr w:type="spellEnd"/>
      <w:r>
        <w:rPr>
          <w:lang w:val="pl"/>
        </w:rPr>
        <w:t>.</w:t>
      </w:r>
    </w:p>
    <w:p w14:paraId="5DCAB275" w14:textId="6687A4A2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W swojej odpowiedzi z dnia 9 lutego powodowie zakwestionowali twierdzenia strony przeciwnej i zarzucili, że wniosek był taktyką opóźniającą: brat Domingosa </w:t>
      </w:r>
      <w:proofErr w:type="spellStart"/>
      <w:r>
        <w:rPr>
          <w:lang w:val="pl"/>
        </w:rPr>
        <w:t>Lopesa</w:t>
      </w:r>
      <w:proofErr w:type="spellEnd"/>
      <w:r>
        <w:rPr>
          <w:lang w:val="pl"/>
        </w:rPr>
        <w:t xml:space="preserve">, José </w:t>
      </w:r>
      <w:proofErr w:type="spellStart"/>
      <w:r>
        <w:rPr>
          <w:lang w:val="pl"/>
        </w:rPr>
        <w:t>Lopes</w:t>
      </w:r>
      <w:proofErr w:type="spellEnd"/>
      <w:r>
        <w:rPr>
          <w:lang w:val="pl"/>
        </w:rPr>
        <w:t xml:space="preserve"> nie poniósł żadnej szkody i wyraźnie zrzekł się wszelkich roszczeń o odszkodowanie. Ponadto powodowie skarżyli się, że dopiero w styczniu 1981 r. zostali poinformowani o pismach procesowych pochodzących z czerwca i lipca 1979 r.; na koniec poinformowali sąd, że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złożył skargę do Europejskiej Komisji Praw Człowieka dotyczącą czasu trwania postępowania. Sekretariat sądu przesłał sędziemu tę odpowiedź dopiero 26</w:t>
      </w:r>
      <w:r w:rsidR="00427610">
        <w:rPr>
          <w:lang w:val="pl"/>
        </w:rPr>
        <w:t> </w:t>
      </w:r>
      <w:r>
        <w:rPr>
          <w:lang w:val="pl"/>
        </w:rPr>
        <w:t>marca 1981 r.</w:t>
      </w:r>
    </w:p>
    <w:p w14:paraId="5E2B90FC" w14:textId="77777777" w:rsidR="00B2474C" w:rsidRDefault="00D85F5E" w:rsidP="00322FF3">
      <w:pPr>
        <w:pStyle w:val="JuPara"/>
        <w:rPr>
          <w:lang w:val="pl"/>
        </w:rPr>
      </w:pPr>
      <w:r>
        <w:rPr>
          <w:lang w:val="pl"/>
        </w:rPr>
        <w:t xml:space="preserve">14.   W międzyczasie w dniu 10 lutego 1981 r. sędzia uznał wniosek uboczny za dopuszczalny ze względu na brak sprzeciwu i zarządził wezwanie José </w:t>
      </w:r>
      <w:proofErr w:type="spellStart"/>
      <w:r>
        <w:rPr>
          <w:lang w:val="pl"/>
        </w:rPr>
        <w:t>Lopesa</w:t>
      </w:r>
      <w:proofErr w:type="spellEnd"/>
      <w:r>
        <w:rPr>
          <w:lang w:val="pl"/>
        </w:rPr>
        <w:t xml:space="preserve">, zamieszkałego w </w:t>
      </w:r>
      <w:proofErr w:type="spellStart"/>
      <w:r>
        <w:rPr>
          <w:lang w:val="pl"/>
        </w:rPr>
        <w:t>Loures</w:t>
      </w:r>
      <w:proofErr w:type="spellEnd"/>
      <w:r>
        <w:rPr>
          <w:lang w:val="pl"/>
        </w:rPr>
        <w:t xml:space="preserve">. Wniosek o udzielenie pomocy sądowej został </w:t>
      </w:r>
      <w:proofErr w:type="spellStart"/>
      <w:r w:rsidR="00B2474C" w:rsidRPr="00B2474C">
        <w:rPr>
          <w:lang w:val="pl"/>
        </w:rPr>
        <w:t>został</w:t>
      </w:r>
      <w:proofErr w:type="spellEnd"/>
      <w:r w:rsidR="00B2474C" w:rsidRPr="00B2474C">
        <w:rPr>
          <w:lang w:val="pl"/>
        </w:rPr>
        <w:t xml:space="preserve"> wydany tego samego dnia, a doręczenie nastąpiło w dniu 26 lutego.</w:t>
      </w:r>
    </w:p>
    <w:p w14:paraId="10CC0BCC" w14:textId="3F55EB2A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Poinformowany z opóźnieniem o sprzeciwie powodów sędzia w dniu 27</w:t>
      </w:r>
      <w:r w:rsidR="00427610">
        <w:rPr>
          <w:lang w:val="pl"/>
        </w:rPr>
        <w:t> </w:t>
      </w:r>
      <w:r>
        <w:rPr>
          <w:lang w:val="pl"/>
        </w:rPr>
        <w:t>marca 1981 r. mimo to podtrzymał swoją decyzję z dnia 10 lutego; w</w:t>
      </w:r>
      <w:r w:rsidR="00427610">
        <w:rPr>
          <w:lang w:val="pl"/>
        </w:rPr>
        <w:t> </w:t>
      </w:r>
      <w:r>
        <w:rPr>
          <w:lang w:val="pl"/>
        </w:rPr>
        <w:t>decyzji przygotowawczej (</w:t>
      </w:r>
      <w:proofErr w:type="spellStart"/>
      <w:r>
        <w:rPr>
          <w:i/>
          <w:iCs/>
          <w:lang w:val="pl"/>
        </w:rPr>
        <w:t>despacho</w:t>
      </w:r>
      <w:proofErr w:type="spellEnd"/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saneador</w:t>
      </w:r>
      <w:proofErr w:type="spellEnd"/>
      <w:r>
        <w:rPr>
          <w:lang w:val="pl"/>
        </w:rPr>
        <w:t>) wydanej tego samego dnia uznał powództwo główne za dopuszczalne i sporządził wykaz bezspornych okoliczności faktycznych (</w:t>
      </w:r>
      <w:proofErr w:type="spellStart"/>
      <w:r>
        <w:rPr>
          <w:i/>
          <w:iCs/>
          <w:lang w:val="pl"/>
        </w:rPr>
        <w:t>especificaçao</w:t>
      </w:r>
      <w:proofErr w:type="spellEnd"/>
      <w:r>
        <w:rPr>
          <w:lang w:val="pl"/>
        </w:rPr>
        <w:t>), jak również tych, które będą musiały zostać wyjaśnione na rozprawie (</w:t>
      </w:r>
      <w:proofErr w:type="spellStart"/>
      <w:r>
        <w:rPr>
          <w:i/>
          <w:iCs/>
          <w:lang w:val="pl"/>
        </w:rPr>
        <w:t>questionario</w:t>
      </w:r>
      <w:proofErr w:type="spellEnd"/>
      <w:r>
        <w:rPr>
          <w:lang w:val="pl"/>
        </w:rPr>
        <w:t>).</w:t>
      </w:r>
    </w:p>
    <w:p w14:paraId="7EED4AE0" w14:textId="32D5B40C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lastRenderedPageBreak/>
        <w:t>15.   Strony nie wniosły odwołania (</w:t>
      </w:r>
      <w:proofErr w:type="spellStart"/>
      <w:r>
        <w:rPr>
          <w:i/>
          <w:iCs/>
          <w:lang w:val="pl"/>
        </w:rPr>
        <w:t>agravo</w:t>
      </w:r>
      <w:proofErr w:type="spellEnd"/>
      <w:r>
        <w:rPr>
          <w:lang w:val="pl"/>
        </w:rPr>
        <w:t>). W dniach 29 kwietnia, 30</w:t>
      </w:r>
      <w:r w:rsidR="00427610">
        <w:rPr>
          <w:lang w:val="pl"/>
        </w:rPr>
        <w:t> </w:t>
      </w:r>
      <w:r>
        <w:rPr>
          <w:lang w:val="pl"/>
        </w:rPr>
        <w:t>kwietnia i 5 maja 1981 r. strony złożyły w sekretariacie sądu listę świadków, których chciały wezwać.</w:t>
      </w:r>
    </w:p>
    <w:p w14:paraId="705E754C" w14:textId="157A3211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i D. </w:t>
      </w:r>
      <w:proofErr w:type="spellStart"/>
      <w:r>
        <w:rPr>
          <w:lang w:val="pl"/>
        </w:rPr>
        <w:t>Lopes</w:t>
      </w:r>
      <w:proofErr w:type="spellEnd"/>
      <w:r>
        <w:rPr>
          <w:lang w:val="pl"/>
        </w:rPr>
        <w:t xml:space="preserve"> zażądali, aby przesłuchanie jednego z ich świadków, Marii do Sacramento </w:t>
      </w:r>
      <w:proofErr w:type="spellStart"/>
      <w:r>
        <w:rPr>
          <w:lang w:val="pl"/>
        </w:rPr>
        <w:t>Peixoto</w:t>
      </w:r>
      <w:proofErr w:type="spellEnd"/>
      <w:r>
        <w:rPr>
          <w:lang w:val="pl"/>
        </w:rPr>
        <w:t xml:space="preserve"> Silva, odbyło się w </w:t>
      </w:r>
      <w:proofErr w:type="spellStart"/>
      <w:r>
        <w:rPr>
          <w:lang w:val="pl"/>
        </w:rPr>
        <w:t>Almadzie</w:t>
      </w:r>
      <w:proofErr w:type="spellEnd"/>
      <w:r>
        <w:rPr>
          <w:lang w:val="pl"/>
        </w:rPr>
        <w:t>, w</w:t>
      </w:r>
      <w:r w:rsidR="00427610">
        <w:rPr>
          <w:lang w:val="pl"/>
        </w:rPr>
        <w:t> </w:t>
      </w:r>
      <w:r>
        <w:rPr>
          <w:lang w:val="pl"/>
        </w:rPr>
        <w:t>siedzibie sądu, w którego jurysdykcji, jak twierdzili, zamieszkiwała. Sędzia zgodził się na to 18 maja, a wniosek o udzielenie pomocy sądowej (</w:t>
      </w:r>
      <w:proofErr w:type="spellStart"/>
      <w:r>
        <w:rPr>
          <w:i/>
          <w:iCs/>
          <w:lang w:val="pl"/>
        </w:rPr>
        <w:t>carta</w:t>
      </w:r>
      <w:proofErr w:type="spellEnd"/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precatoria</w:t>
      </w:r>
      <w:proofErr w:type="spellEnd"/>
      <w:r>
        <w:rPr>
          <w:lang w:val="pl"/>
        </w:rPr>
        <w:t>) został wysłany 1 czerwca.</w:t>
      </w:r>
    </w:p>
    <w:p w14:paraId="72C6E39C" w14:textId="179C9E0C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8 czerwca sąd w </w:t>
      </w:r>
      <w:proofErr w:type="spellStart"/>
      <w:r>
        <w:rPr>
          <w:lang w:val="pl"/>
        </w:rPr>
        <w:t>Almadzie</w:t>
      </w:r>
      <w:proofErr w:type="spellEnd"/>
      <w:r>
        <w:rPr>
          <w:lang w:val="pl"/>
        </w:rPr>
        <w:t xml:space="preserve"> wyznaczył datę rozprawy na 9 lipca 1981 r. Wkrótce jednak odkrył, że M. Silva nie mieszka w obrębie jego jurysdykcji; 12 czerwca przekazał wniosek o udzielenie pomocy sądowej do sądu w</w:t>
      </w:r>
      <w:r w:rsidR="00427610">
        <w:rPr>
          <w:lang w:val="pl"/>
        </w:rPr>
        <w:t> </w:t>
      </w:r>
      <w:proofErr w:type="spellStart"/>
      <w:r>
        <w:rPr>
          <w:lang w:val="pl"/>
        </w:rPr>
        <w:t>Seixal</w:t>
      </w:r>
      <w:proofErr w:type="spellEnd"/>
      <w:r>
        <w:rPr>
          <w:lang w:val="pl"/>
        </w:rPr>
        <w:t xml:space="preserve">, właściwego </w:t>
      </w:r>
      <w:proofErr w:type="spellStart"/>
      <w:r>
        <w:rPr>
          <w:i/>
          <w:iCs/>
          <w:lang w:val="pl"/>
        </w:rPr>
        <w:t>ratione</w:t>
      </w:r>
      <w:proofErr w:type="spellEnd"/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loci</w:t>
      </w:r>
      <w:proofErr w:type="spellEnd"/>
      <w:r>
        <w:rPr>
          <w:lang w:val="pl"/>
        </w:rPr>
        <w:t>.</w:t>
      </w:r>
    </w:p>
    <w:p w14:paraId="5316D361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16.   26 czerwca sędzia w </w:t>
      </w:r>
      <w:proofErr w:type="spellStart"/>
      <w:r>
        <w:rPr>
          <w:lang w:val="pl"/>
        </w:rPr>
        <w:t>Seixal</w:t>
      </w:r>
      <w:proofErr w:type="spellEnd"/>
      <w:r>
        <w:rPr>
          <w:lang w:val="pl"/>
        </w:rPr>
        <w:t xml:space="preserve"> podjął decyzję o przesłuchaniu świadka w dniu 12 października. 9 października adwokat dwóch pierwszych pozwanych wysłał mu telegram informujący, że nie może on uczestniczyć w rozprawie z powodów zdrowotnych.</w:t>
      </w:r>
    </w:p>
    <w:p w14:paraId="2DB805E2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M. Silva nie stawiła się 12 października. Tego samego dnia sędzia ukarał ją grzywną i odroczył rozprawę do 17 listopada 1981 r., ale adwokat poinformował sąd w nowej depeszy, że nadal jest chory, a świadek się nie stawił.</w:t>
      </w:r>
    </w:p>
    <w:p w14:paraId="07C67A2F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Następnie sędzia odroczył przesłuchanie do 10 lutego 1982 r., kiedy to M. Silva została ostatecznie przesłuchana.</w:t>
      </w:r>
    </w:p>
    <w:p w14:paraId="644A10B3" w14:textId="25E78DD1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17.   Wnioski o udzielenie pomocy sądowej zostały wykonane i</w:t>
      </w:r>
      <w:r w:rsidR="00427610">
        <w:rPr>
          <w:lang w:val="pl"/>
        </w:rPr>
        <w:t> </w:t>
      </w:r>
      <w:r>
        <w:rPr>
          <w:lang w:val="pl"/>
        </w:rPr>
        <w:t xml:space="preserve">zwrócone do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. Sędzia rozpatrujący sprawę otrzymał je w dniu 16 lutego 1982 r.; następnego dnia przekazał akta swoim dwóm asesorom, którzy zbadali je w dniu 18 lutego. 19 </w:t>
      </w:r>
      <w:r w:rsidR="00B2474C">
        <w:rPr>
          <w:lang w:val="pl"/>
        </w:rPr>
        <w:t>lutego</w:t>
      </w:r>
      <w:r>
        <w:rPr>
          <w:lang w:val="pl"/>
        </w:rPr>
        <w:t xml:space="preserve"> sędzia zdecydował, że rozprawa odbędzie się 12 marca 1982 r.</w:t>
      </w:r>
    </w:p>
    <w:p w14:paraId="086F82A4" w14:textId="4F05375A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Nie mogła się jednak odbyć w tym dniu z uwagi na nieobecność adwokatów dwóch pierwszych pozwanych i dwóch innych osób: </w:t>
      </w:r>
      <w:proofErr w:type="spellStart"/>
      <w:r>
        <w:rPr>
          <w:lang w:val="pl"/>
        </w:rPr>
        <w:t>Fernandy</w:t>
      </w:r>
      <w:proofErr w:type="spellEnd"/>
      <w:r>
        <w:rPr>
          <w:lang w:val="pl"/>
        </w:rPr>
        <w:t xml:space="preserve"> do </w:t>
      </w:r>
      <w:proofErr w:type="spellStart"/>
      <w:r>
        <w:rPr>
          <w:lang w:val="pl"/>
        </w:rPr>
        <w:t>Carmo</w:t>
      </w:r>
      <w:proofErr w:type="spellEnd"/>
      <w:r>
        <w:rPr>
          <w:lang w:val="pl"/>
        </w:rPr>
        <w:t xml:space="preserve"> Oliveira, </w:t>
      </w:r>
      <w:r w:rsidR="00B2474C" w:rsidRPr="00B2474C">
        <w:rPr>
          <w:lang w:val="pl"/>
        </w:rPr>
        <w:t>w odniesieniu do której wezwanie, zgodnie z wnioskiem Towarzystwa Ubezpieczeniowego "</w:t>
      </w:r>
      <w:proofErr w:type="spellStart"/>
      <w:r w:rsidR="00B2474C" w:rsidRPr="00B2474C">
        <w:rPr>
          <w:lang w:val="pl"/>
        </w:rPr>
        <w:t>Tranquilidade</w:t>
      </w:r>
      <w:proofErr w:type="spellEnd"/>
      <w:r w:rsidR="00B2474C" w:rsidRPr="00B2474C">
        <w:rPr>
          <w:lang w:val="pl"/>
        </w:rPr>
        <w:t xml:space="preserve">", wskazywało adres, pod którym nie była znana, oraz świadka powołanego przez powodów, funkcjonariusza policji Adriano da Cruz </w:t>
      </w:r>
      <w:proofErr w:type="spellStart"/>
      <w:r w:rsidR="00B2474C" w:rsidRPr="00B2474C">
        <w:rPr>
          <w:lang w:val="pl"/>
        </w:rPr>
        <w:t>Surreira</w:t>
      </w:r>
      <w:proofErr w:type="spellEnd"/>
      <w:r w:rsidR="00B2474C" w:rsidRPr="00B2474C">
        <w:rPr>
          <w:lang w:val="pl"/>
        </w:rPr>
        <w:t xml:space="preserve">. Ten ostatni świadek sporządził raport z wypadku (zob. pkt 8 i 9 powyżej), ale następnie został przeniesiony do Porto. </w:t>
      </w:r>
    </w:p>
    <w:p w14:paraId="38F3785D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W związku z tym sędzia odroczył rozprawę do 16 czerwca, a następnie do 15 grudnia 1982 r.; ponadto postanowił wysłać wniosek o udzielenie pomocy sądowej do Porto w celu przesłuchania przedmiotowego świadka, zgodnie z wnioskiem obrońcy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i D. </w:t>
      </w:r>
      <w:proofErr w:type="spellStart"/>
      <w:r>
        <w:rPr>
          <w:lang w:val="pl"/>
        </w:rPr>
        <w:t>Lopesa</w:t>
      </w:r>
      <w:proofErr w:type="spellEnd"/>
      <w:r>
        <w:rPr>
          <w:lang w:val="pl"/>
        </w:rPr>
        <w:t>.</w:t>
      </w:r>
    </w:p>
    <w:p w14:paraId="6F5D56C2" w14:textId="7FE15A41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18.   Sąd w Porto wezwał A. </w:t>
      </w:r>
      <w:proofErr w:type="spellStart"/>
      <w:r>
        <w:rPr>
          <w:lang w:val="pl"/>
        </w:rPr>
        <w:t>Surreirę</w:t>
      </w:r>
      <w:proofErr w:type="spellEnd"/>
      <w:r>
        <w:rPr>
          <w:lang w:val="pl"/>
        </w:rPr>
        <w:t xml:space="preserve"> na 14 maja 1982 r., ale ani on, ani prawnicy powodów i dwóch pierwszych pozwanych nie stawili się tego dnia i rozprawę odroczono do 3 czerwca. Jednakże w dniu 18 maja sędzia dowiedział się, że świadek ponownie zmienił miejsce zamieszkania i</w:t>
      </w:r>
      <w:r w:rsidR="00427610">
        <w:rPr>
          <w:lang w:val="pl"/>
        </w:rPr>
        <w:t> </w:t>
      </w:r>
      <w:r>
        <w:rPr>
          <w:lang w:val="pl"/>
        </w:rPr>
        <w:t xml:space="preserve">pracuje </w:t>
      </w:r>
      <w:r>
        <w:rPr>
          <w:lang w:val="pl"/>
        </w:rPr>
        <w:lastRenderedPageBreak/>
        <w:t xml:space="preserve">w </w:t>
      </w:r>
      <w:proofErr w:type="spellStart"/>
      <w:r>
        <w:rPr>
          <w:lang w:val="pl"/>
        </w:rPr>
        <w:t>Montalegre</w:t>
      </w:r>
      <w:proofErr w:type="spellEnd"/>
      <w:r>
        <w:rPr>
          <w:lang w:val="pl"/>
        </w:rPr>
        <w:t xml:space="preserve">; w związku z tym wysłał wniosek o udzielenie pomocy </w:t>
      </w:r>
      <w:r w:rsidR="0070525F">
        <w:rPr>
          <w:lang w:val="pl"/>
        </w:rPr>
        <w:t>prawnej</w:t>
      </w:r>
      <w:r>
        <w:rPr>
          <w:lang w:val="pl"/>
        </w:rPr>
        <w:t xml:space="preserve"> do sądu w tym mieście.</w:t>
      </w:r>
    </w:p>
    <w:p w14:paraId="37B7596E" w14:textId="0D3DDD13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Wspomniany sąd wyznaczył rozprawę na dzień 1 czerwca 1982 r. </w:t>
      </w:r>
      <w:r w:rsidR="0070525F">
        <w:rPr>
          <w:lang w:val="pl"/>
        </w:rPr>
        <w:t>T</w:t>
      </w:r>
      <w:r w:rsidR="0070525F" w:rsidRPr="0070525F">
        <w:rPr>
          <w:lang w:val="pl"/>
        </w:rPr>
        <w:t xml:space="preserve">ego dnia przełożeni pana </w:t>
      </w:r>
      <w:proofErr w:type="spellStart"/>
      <w:r w:rsidR="0070525F" w:rsidRPr="0070525F">
        <w:rPr>
          <w:lang w:val="pl"/>
        </w:rPr>
        <w:t>Surreiry</w:t>
      </w:r>
      <w:proofErr w:type="spellEnd"/>
      <w:r w:rsidR="0070525F" w:rsidRPr="0070525F">
        <w:rPr>
          <w:lang w:val="pl"/>
        </w:rPr>
        <w:t xml:space="preserve"> poinformowali, że wymogi służby publicznej (</w:t>
      </w:r>
      <w:proofErr w:type="spellStart"/>
      <w:r w:rsidR="0070525F" w:rsidRPr="0070525F">
        <w:rPr>
          <w:lang w:val="pl"/>
        </w:rPr>
        <w:t>razoes</w:t>
      </w:r>
      <w:proofErr w:type="spellEnd"/>
      <w:r w:rsidR="0070525F" w:rsidRPr="0070525F">
        <w:rPr>
          <w:lang w:val="pl"/>
        </w:rPr>
        <w:t xml:space="preserve"> </w:t>
      </w:r>
      <w:proofErr w:type="spellStart"/>
      <w:r w:rsidR="0070525F" w:rsidRPr="0070525F">
        <w:rPr>
          <w:lang w:val="pl"/>
        </w:rPr>
        <w:t>inadiaveis</w:t>
      </w:r>
      <w:proofErr w:type="spellEnd"/>
      <w:r w:rsidR="0070525F" w:rsidRPr="0070525F">
        <w:rPr>
          <w:lang w:val="pl"/>
        </w:rPr>
        <w:t xml:space="preserve"> de </w:t>
      </w:r>
      <w:proofErr w:type="spellStart"/>
      <w:r w:rsidR="0070525F" w:rsidRPr="0070525F">
        <w:rPr>
          <w:lang w:val="pl"/>
        </w:rPr>
        <w:t>servico</w:t>
      </w:r>
      <w:proofErr w:type="spellEnd"/>
      <w:r w:rsidR="0070525F" w:rsidRPr="0070525F">
        <w:rPr>
          <w:lang w:val="pl"/>
        </w:rPr>
        <w:t xml:space="preserve"> </w:t>
      </w:r>
      <w:proofErr w:type="spellStart"/>
      <w:r w:rsidR="0070525F" w:rsidRPr="0070525F">
        <w:rPr>
          <w:lang w:val="pl"/>
        </w:rPr>
        <w:t>publico</w:t>
      </w:r>
      <w:proofErr w:type="spellEnd"/>
      <w:r w:rsidR="0070525F" w:rsidRPr="0070525F">
        <w:rPr>
          <w:lang w:val="pl"/>
        </w:rPr>
        <w:t>) uniemożliwiają jego obecność. Adwokaci obu stron również się nie stawili.</w:t>
      </w:r>
      <w:r w:rsidR="0070525F">
        <w:rPr>
          <w:lang w:val="pl"/>
        </w:rPr>
        <w:t xml:space="preserve"> </w:t>
      </w:r>
      <w:r>
        <w:rPr>
          <w:lang w:val="pl"/>
        </w:rPr>
        <w:t>Ostatecznie rozprawa odbyła się w dniu 17 czerwca 1982 r., a wniosek o</w:t>
      </w:r>
      <w:r w:rsidR="00427610">
        <w:rPr>
          <w:lang w:val="pl"/>
        </w:rPr>
        <w:t> </w:t>
      </w:r>
      <w:r>
        <w:rPr>
          <w:lang w:val="pl"/>
        </w:rPr>
        <w:t xml:space="preserve">udzielenie pomocy sądowej został zwrócony do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.</w:t>
      </w:r>
    </w:p>
    <w:p w14:paraId="0FEE9646" w14:textId="0D58A6F4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19.   29 lipca 1982 r. właściwy sędzia podjął decyzję o </w:t>
      </w:r>
      <w:r w:rsidR="0070525F">
        <w:rPr>
          <w:lang w:val="pl"/>
        </w:rPr>
        <w:t>odroczeniu rozprawy</w:t>
      </w:r>
      <w:r>
        <w:rPr>
          <w:lang w:val="pl"/>
        </w:rPr>
        <w:t xml:space="preserve"> na dzień 20 października, z uwagi na zbliżające się wakacje sądowe.</w:t>
      </w:r>
    </w:p>
    <w:p w14:paraId="4F07AF94" w14:textId="1C655065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Sąd wydał wyrok w dniu 25 października 1982 r. Uznał powództwo za uzasadnione, twierdząc, że powodowie są uprawnieni do odszkodowania w</w:t>
      </w:r>
      <w:r w:rsidR="00427610">
        <w:rPr>
          <w:lang w:val="pl"/>
        </w:rPr>
        <w:t> </w:t>
      </w:r>
      <w:r>
        <w:rPr>
          <w:lang w:val="pl"/>
        </w:rPr>
        <w:t xml:space="preserve">granicach swoich roszczeń i pod warunkiem, że odpowiedzialność firmy </w:t>
      </w:r>
      <w:proofErr w:type="spellStart"/>
      <w:r>
        <w:rPr>
          <w:lang w:val="pl"/>
        </w:rPr>
        <w:t>Tranquilidade</w:t>
      </w:r>
      <w:proofErr w:type="spellEnd"/>
      <w:r>
        <w:rPr>
          <w:lang w:val="pl"/>
        </w:rPr>
        <w:t xml:space="preserve"> nie przekroczy kwoty 200 000 escudo. Sąd przyznał D.</w:t>
      </w:r>
      <w:r w:rsidR="00427610">
        <w:rPr>
          <w:lang w:val="pl"/>
        </w:rPr>
        <w:t> </w:t>
      </w:r>
      <w:proofErr w:type="spellStart"/>
      <w:r>
        <w:rPr>
          <w:lang w:val="pl"/>
        </w:rPr>
        <w:t>Lopesowi</w:t>
      </w:r>
      <w:proofErr w:type="spellEnd"/>
      <w:r>
        <w:rPr>
          <w:lang w:val="pl"/>
        </w:rPr>
        <w:t xml:space="preserve"> odszkodowanie z tytułu naprawy samochodu oraz poniesionej szkody materialnej i niematerialnej. Natomiast w przypadku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sąd uznał, że kwestia </w:t>
      </w:r>
      <w:r w:rsidR="0070525F">
        <w:rPr>
          <w:lang w:val="pl"/>
        </w:rPr>
        <w:t>wysokości odszkodowania</w:t>
      </w:r>
      <w:r>
        <w:rPr>
          <w:lang w:val="pl"/>
        </w:rPr>
        <w:t xml:space="preserve"> nie jest odpowiednio </w:t>
      </w:r>
      <w:r w:rsidR="0070525F">
        <w:rPr>
          <w:lang w:val="pl"/>
        </w:rPr>
        <w:t>rozstrzygnięta</w:t>
      </w:r>
      <w:r>
        <w:rPr>
          <w:lang w:val="pl"/>
        </w:rPr>
        <w:t xml:space="preserve"> i zastrzegł ustalenie kwoty na etapie postępowania dotyczącego wykonania wyroku (</w:t>
      </w:r>
      <w:proofErr w:type="spellStart"/>
      <w:r>
        <w:rPr>
          <w:i/>
          <w:iCs/>
          <w:lang w:val="pl"/>
        </w:rPr>
        <w:t>liquidaçao</w:t>
      </w:r>
      <w:proofErr w:type="spellEnd"/>
      <w:r>
        <w:rPr>
          <w:i/>
          <w:iCs/>
          <w:lang w:val="pl"/>
        </w:rPr>
        <w:t xml:space="preserve"> en </w:t>
      </w:r>
      <w:proofErr w:type="spellStart"/>
      <w:r>
        <w:rPr>
          <w:i/>
          <w:iCs/>
          <w:lang w:val="pl"/>
        </w:rPr>
        <w:t>execuçao</w:t>
      </w:r>
      <w:proofErr w:type="spellEnd"/>
      <w:r>
        <w:rPr>
          <w:i/>
          <w:iCs/>
          <w:lang w:val="pl"/>
        </w:rPr>
        <w:t xml:space="preserve"> de </w:t>
      </w:r>
      <w:proofErr w:type="spellStart"/>
      <w:r>
        <w:rPr>
          <w:i/>
          <w:iCs/>
          <w:lang w:val="pl"/>
        </w:rPr>
        <w:t>sentença</w:t>
      </w:r>
      <w:proofErr w:type="spellEnd"/>
      <w:r>
        <w:rPr>
          <w:lang w:val="pl"/>
        </w:rPr>
        <w:t>) zgodnie z art. 661 ust. 2 [portugalskiego] kodeksu postępowania cywilnego. Wyrok doręczono skarżącemu w dniu 3 listopada.</w:t>
      </w:r>
    </w:p>
    <w:p w14:paraId="74E7AAC9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W późniejszym czasie sąd orzekł w przedmiocie kosztów – po zmianie swojej decyzji w tej sprawie w grudniu 1982 r. Skarżący został o tym zawiadomiony w dniu 9 grudnia 1982 r. i ponownie 17 stycznia 1983 r.</w:t>
      </w:r>
    </w:p>
    <w:p w14:paraId="768FE20B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Żadna ze stron nie wniosła odwołania.</w:t>
      </w:r>
    </w:p>
    <w:p w14:paraId="08DFB81C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20.   22 września 1983 r.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złożył wniosek do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o wykonanie wyroku; wcześniej otrzymał część żądanej kwoty od firmy </w:t>
      </w:r>
      <w:proofErr w:type="spellStart"/>
      <w:r>
        <w:rPr>
          <w:lang w:val="pl"/>
        </w:rPr>
        <w:t>Tranquilidade</w:t>
      </w:r>
      <w:proofErr w:type="spellEnd"/>
      <w:r>
        <w:rPr>
          <w:lang w:val="pl"/>
        </w:rPr>
        <w:t>.</w:t>
      </w:r>
    </w:p>
    <w:p w14:paraId="09A6C43F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Zgodnie z informacjami przekazanymi Trybunałowi sąd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nie ustalił jeszcze kwoty odszkodowania, które ma zostać wypłacone skarżącemu.</w:t>
      </w:r>
    </w:p>
    <w:p w14:paraId="5DC34F98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Kontekst polityczno-społeczny</w:t>
      </w:r>
    </w:p>
    <w:p w14:paraId="28D16897" w14:textId="58E451C3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21.   Rząd podkreśla, że portugalskie sądownictwo musiało wówczas działać w wyjątkowych okolicznościach wynikających z przywrócenia demokracji 25 kwietnia 1974 r., z potrzeby konsolidacji nowych instytucji i</w:t>
      </w:r>
      <w:r w:rsidR="00427610">
        <w:rPr>
          <w:lang w:val="pl"/>
        </w:rPr>
        <w:t> </w:t>
      </w:r>
      <w:r>
        <w:rPr>
          <w:lang w:val="pl"/>
        </w:rPr>
        <w:t>przybycia prawie miliona repatriantów z byłych kolonii. Sądy krajowe musiały zostać zreorganizowane w okresie poważnej recesji gospodarczej. W latach 1974–1979 liczba pozwów wzrosła niemal dwukrotnie.</w:t>
      </w:r>
    </w:p>
    <w:p w14:paraId="04A631B1" w14:textId="471ECC75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25 kwietnia 1974 r. na stanowiskach było tylko 336 sędziów, czyli około cztery razy mniej na mieszkańca niż wynosiła średnia europejska; do końca 1983 r. liczba ta wzrosła do 952</w:t>
      </w:r>
      <w:r w:rsidR="005729A1">
        <w:rPr>
          <w:lang w:val="pl"/>
        </w:rPr>
        <w:t>.</w:t>
      </w:r>
      <w:r>
        <w:rPr>
          <w:lang w:val="pl"/>
        </w:rPr>
        <w:t xml:space="preserve"> W 1974 r. istniały 2844 stanowiska w</w:t>
      </w:r>
      <w:r w:rsidR="00427610">
        <w:rPr>
          <w:lang w:val="pl"/>
        </w:rPr>
        <w:t> </w:t>
      </w:r>
      <w:r>
        <w:rPr>
          <w:lang w:val="pl"/>
        </w:rPr>
        <w:t>sekretariatach sądów, z czego 20% było nieobsadzonych; obecnie jednak 5566 z 5714 istniejących stanowisk jest obsadzonych.</w:t>
      </w:r>
    </w:p>
    <w:p w14:paraId="76CCF5B1" w14:textId="28F6749A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lastRenderedPageBreak/>
        <w:t>Po opublikowaniu konstytucji w 1976 r. podjęto szereg działań w</w:t>
      </w:r>
      <w:r w:rsidR="00427610">
        <w:rPr>
          <w:lang w:val="pl"/>
        </w:rPr>
        <w:t> </w:t>
      </w:r>
      <w:r>
        <w:rPr>
          <w:lang w:val="pl"/>
        </w:rPr>
        <w:t>dziedzinie wymiaru sprawiedliwości, w tym ulepszenia systemu dostępu do pomocy prawnej, przyjęcie ustaw o statusie sędziów, ustaw o</w:t>
      </w:r>
      <w:r w:rsidR="00427610">
        <w:rPr>
          <w:lang w:val="pl"/>
        </w:rPr>
        <w:t> </w:t>
      </w:r>
      <w:r>
        <w:rPr>
          <w:lang w:val="pl"/>
        </w:rPr>
        <w:t>Najwyższej Radzie Sądownictwa i o Prokuraturze Generalnej Republiki Portugalii, organizacji sądownictwa na terytorium kraju oraz utworzeniu ośrodka studiów w dziedzinie sądownictwa (</w:t>
      </w:r>
      <w:r>
        <w:rPr>
          <w:i/>
          <w:iCs/>
          <w:lang w:val="pl"/>
        </w:rPr>
        <w:t xml:space="preserve">Centro de </w:t>
      </w:r>
      <w:proofErr w:type="spellStart"/>
      <w:r>
        <w:rPr>
          <w:i/>
          <w:iCs/>
          <w:lang w:val="pl"/>
        </w:rPr>
        <w:t>Estudos</w:t>
      </w:r>
      <w:proofErr w:type="spellEnd"/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Judiciarios</w:t>
      </w:r>
      <w:proofErr w:type="spellEnd"/>
      <w:r>
        <w:rPr>
          <w:lang w:val="pl"/>
        </w:rPr>
        <w:t>) na potrzeby szkolenia sędziów.</w:t>
      </w:r>
    </w:p>
    <w:p w14:paraId="2FFA6F74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Sytuacja sądu w Vila Franca de </w:t>
      </w:r>
      <w:proofErr w:type="spellStart"/>
      <w:r>
        <w:rPr>
          <w:lang w:val="pl"/>
        </w:rPr>
        <w:t>Xira</w:t>
      </w:r>
      <w:proofErr w:type="spellEnd"/>
    </w:p>
    <w:p w14:paraId="35927B33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22.   W tym kontekście w latach 1978–1984 liczba ludności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wzrosła o prawie jedną czwartą, częściowo ze względu na dogodną lokalizację miasta przy głównej drodze, a częściowo z powodu przybycia repatriantów z byłych kolonii.</w:t>
      </w:r>
    </w:p>
    <w:p w14:paraId="4F8D26FF" w14:textId="74716A5D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Według statystyk opracowanych przez Rząd, sąd w Vila Franca odnotował gwałtowny wzrost całkowitej liczby spraw cywilnych i karnych na wokandzie: 2377 w 1976 r., 2705 w 1977 r., 4079 w 1978 r., 4175 w</w:t>
      </w:r>
      <w:r w:rsidR="00427610">
        <w:rPr>
          <w:lang w:val="pl"/>
        </w:rPr>
        <w:t> </w:t>
      </w:r>
      <w:r>
        <w:rPr>
          <w:lang w:val="pl"/>
        </w:rPr>
        <w:t>1979 r. i 5485 w 1980 r. Dane dotyczące powództw cywilnych przedstawiają się następująco:</w:t>
      </w:r>
    </w:p>
    <w:p w14:paraId="751DEBCF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1978 – pierwsza izba: 206     druga izba: 199</w:t>
      </w:r>
    </w:p>
    <w:p w14:paraId="17EC68FA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1979 – pierwsza izba: 457     druga izba: 337</w:t>
      </w:r>
    </w:p>
    <w:p w14:paraId="6383ED33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1980 – pierwsza izba: 579     druga izba: 508</w:t>
      </w:r>
    </w:p>
    <w:p w14:paraId="572FA813" w14:textId="2EFAE8BB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23.   Stanowiska sędziów piastujących urząd w drugiej i pierwszej izbie tego sądu pozostawały nieobsadzone, odpowiednio, przez ponad pięć miesięcy (od 7 stycznia do 26 czerwca 1979 r.) i ponad dziewięć miesięcy (od 21 czerwca 1979 r. do 8 kwietnia 1980 r.). Za każdym razem sędzia z</w:t>
      </w:r>
      <w:r w:rsidR="00427610">
        <w:rPr>
          <w:lang w:val="pl"/>
        </w:rPr>
        <w:t> </w:t>
      </w:r>
      <w:r>
        <w:rPr>
          <w:lang w:val="pl"/>
        </w:rPr>
        <w:t>drugiej izby musiał działać w charakterze sędziego pełniącego obowiązki; sędzia z pierwszej izby m.in. interweniował w sprawie skarżącego (zob. paragraf 11 powyżej).</w:t>
      </w:r>
    </w:p>
    <w:p w14:paraId="5A4FC5FB" w14:textId="1E3413DB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 xml:space="preserve">24.   Zgodnie z niekwestionowanymi informacjami dostarczonymi przez obrońcę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, prawnicy z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, zebrani w dniu 14</w:t>
      </w:r>
      <w:r w:rsidR="00427610">
        <w:rPr>
          <w:lang w:val="pl"/>
        </w:rPr>
        <w:t> </w:t>
      </w:r>
      <w:r>
        <w:rPr>
          <w:lang w:val="pl"/>
        </w:rPr>
        <w:t>grudnia 1979 r., zgłosili Najwyższej Radzie Sądownictwa i ministrowi sprawiedliwości „chaotyczną” sytuację, w jakiej znalazł się są</w:t>
      </w:r>
      <w:r w:rsidR="00EA6DAC">
        <w:rPr>
          <w:lang w:val="pl"/>
        </w:rPr>
        <w:t>d</w:t>
      </w:r>
      <w:r>
        <w:rPr>
          <w:lang w:val="pl"/>
        </w:rPr>
        <w:t>, i zalecili pilne podjęcie środków zaradczych, w szczególności powołanie drugiego sędziego izby, trzech sędziów „pomocniczych”, sędziego śledczego, sekretarza i sześciu urzędników sądowych, których stanowiska miały zostać obsadzone.</w:t>
      </w:r>
    </w:p>
    <w:p w14:paraId="416B094C" w14:textId="13434ECD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18 lutego 1980 r. prawnicy ponownie zwrócili się do ministra; 29 maja wysłali telegram do Najwyższej Rady Sądownictwa, ponownie apelując o powołanie sędziów i podkreślając, że uporanie się z zaległymi sprawami przez dwóch sędziów na służbie „wykracza poza ludzkie możliwości”. 27</w:t>
      </w:r>
      <w:r w:rsidR="00427610">
        <w:rPr>
          <w:lang w:val="pl"/>
        </w:rPr>
        <w:t> </w:t>
      </w:r>
      <w:r>
        <w:rPr>
          <w:lang w:val="pl"/>
        </w:rPr>
        <w:t>lutego 1981 r. prawnicy ponownie zwrócili się do ministra i do Rady.</w:t>
      </w:r>
    </w:p>
    <w:p w14:paraId="42507DA7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19 marca 1981 r. sędzia drugiej izby sam zwrócił się do odpowiedniego departamentu Ministerstwa Sprawiedliwości o niezwłoczne zatrudnienie pewnej liczby urzędników sądowych.</w:t>
      </w:r>
    </w:p>
    <w:p w14:paraId="24F14FBA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Działania podjęte przez Rząd</w:t>
      </w:r>
    </w:p>
    <w:p w14:paraId="588C672A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lastRenderedPageBreak/>
        <w:t xml:space="preserve">25.   Rząd wskazał, że od 1 października 1980 r. do 19 lutego 1981 r. sędzia „pomocniczy” pomagał czterem sędziom pokoju, którzy przebywali w sądzie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. Ponadto w marcu 1981 r. Najwyższa Rada Sądownictwa zdecydowała, że trzech sędziów z Lizbony będzie odtąd pracować w tym sądzie w niepełnym wymiarze godzin.</w:t>
      </w:r>
    </w:p>
    <w:p w14:paraId="1D5E92DF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Liczba pracowników sekretariatu zmieniła się w następujący sposób:</w:t>
      </w:r>
    </w:p>
    <w:p w14:paraId="50353BF8" w14:textId="40F4051B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1977: 17 stanowisk, w tym 14 obsadzonych; 1978: 23 stanowiska, w tym 15 obsadzonych; 1979: 33 stanowiska, w tym 27 obsadzonych; 1980: 27</w:t>
      </w:r>
      <w:r w:rsidR="00427610">
        <w:rPr>
          <w:lang w:val="pl"/>
        </w:rPr>
        <w:t> </w:t>
      </w:r>
      <w:r>
        <w:rPr>
          <w:lang w:val="pl"/>
        </w:rPr>
        <w:t>stanowisk, w tym 24 obsadzone; 1981: 26 stanowisk, w tym 23</w:t>
      </w:r>
      <w:r w:rsidR="00427610">
        <w:rPr>
          <w:lang w:val="pl"/>
        </w:rPr>
        <w:t> </w:t>
      </w:r>
      <w:r>
        <w:rPr>
          <w:lang w:val="pl"/>
        </w:rPr>
        <w:t>obsadzone. 1984: 33 stanowiska, wszystkie obsadzone.</w:t>
      </w:r>
    </w:p>
    <w:p w14:paraId="254A7376" w14:textId="77777777" w:rsidR="00037E61" w:rsidRPr="00427610" w:rsidRDefault="00D85F5E" w:rsidP="00322FF3">
      <w:pPr>
        <w:pStyle w:val="JuPara"/>
        <w:rPr>
          <w:lang w:val="pl-PL"/>
        </w:rPr>
      </w:pPr>
      <w:r>
        <w:rPr>
          <w:lang w:val="pl"/>
        </w:rPr>
        <w:t>Według Rządu Najwyższa Rada Sądownictwa zaleciła, aby sprawa skarżącego została rozpatrzona szczególnie szybko.</w:t>
      </w:r>
    </w:p>
    <w:p w14:paraId="343C2B98" w14:textId="77777777" w:rsidR="00037E61" w:rsidRPr="00427610" w:rsidRDefault="00D85F5E" w:rsidP="000571D5">
      <w:pPr>
        <w:pStyle w:val="JuHHead"/>
        <w:rPr>
          <w:lang w:val="pl-PL"/>
        </w:rPr>
      </w:pPr>
      <w:r>
        <w:rPr>
          <w:lang w:val="pl"/>
        </w:rPr>
        <w:t>POSTĘPOWANIE PRZED KOMISJĄ</w:t>
      </w:r>
    </w:p>
    <w:p w14:paraId="036122C4" w14:textId="56CBD63D" w:rsidR="00037E61" w:rsidRPr="00427610" w:rsidRDefault="00D85F5E" w:rsidP="000571D5">
      <w:pPr>
        <w:pStyle w:val="JuPara"/>
        <w:rPr>
          <w:lang w:val="pl-PL"/>
        </w:rPr>
      </w:pPr>
      <w:r>
        <w:rPr>
          <w:lang w:val="pl"/>
        </w:rPr>
        <w:t>26.   W skardze z dnia 20 maja 1980 r. do Komisji (nr 8990/80) M.</w:t>
      </w:r>
      <w:r w:rsidR="00427610">
        <w:rPr>
          <w:lang w:val="pl"/>
        </w:rPr>
        <w:t> 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skarżył się na nadmierny czas trwania postępowania cywilnego, które wszczął w dniu 7 grudnia 1978 r. przed sądem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; powołał się na art. 6 ust. 1 (art. 6-1) Konwencji.</w:t>
      </w:r>
    </w:p>
    <w:p w14:paraId="407F63B0" w14:textId="77777777" w:rsidR="00037E61" w:rsidRPr="00427610" w:rsidRDefault="00D85F5E" w:rsidP="000571D5">
      <w:pPr>
        <w:pStyle w:val="JuPara"/>
        <w:rPr>
          <w:lang w:val="pl-PL"/>
        </w:rPr>
      </w:pPr>
      <w:r>
        <w:rPr>
          <w:lang w:val="pl"/>
        </w:rPr>
        <w:t>27.   Komisja uwzględniła skargę w dniu 6 lipca 1982 r. W swoim sprawozdaniu z dnia 10 marca 1983 r. (art. 31) Komisja jednomyślnie wyraziła pogląd, że doszło do naruszenia art. 6 ust. 1 (art. 6-1) (*). Pełny tekst opinii załączony jest do niniejszego wyroku.</w:t>
      </w:r>
    </w:p>
    <w:p w14:paraId="72203066" w14:textId="22D95B36" w:rsidR="00037E61" w:rsidRPr="00427610" w:rsidRDefault="00EA6DAC" w:rsidP="000571D5">
      <w:pPr>
        <w:pStyle w:val="JuHHead"/>
        <w:rPr>
          <w:lang w:val="pl-PL"/>
        </w:rPr>
      </w:pPr>
      <w:r>
        <w:rPr>
          <w:lang w:val="pl"/>
        </w:rPr>
        <w:t>PRAWO</w:t>
      </w:r>
    </w:p>
    <w:p w14:paraId="57EDB49C" w14:textId="77777777" w:rsidR="00037E61" w:rsidRPr="00427610" w:rsidRDefault="00D85F5E" w:rsidP="000571D5">
      <w:pPr>
        <w:pStyle w:val="JuHIRoman"/>
        <w:rPr>
          <w:lang w:val="pl-PL"/>
        </w:rPr>
      </w:pPr>
      <w:r>
        <w:rPr>
          <w:lang w:val="pl"/>
        </w:rPr>
        <w:t>I. W PRZEDMIOCIE DOMNIEMANEGO NARUSZENIA ART. 6 UST. 1 (art. 6-1)</w:t>
      </w:r>
    </w:p>
    <w:p w14:paraId="5536B2BE" w14:textId="77777777" w:rsidR="00037E61" w:rsidRPr="00427610" w:rsidRDefault="00D85F5E" w:rsidP="000571D5">
      <w:pPr>
        <w:pStyle w:val="JuPara"/>
        <w:rPr>
          <w:lang w:val="pl-PL"/>
        </w:rPr>
      </w:pPr>
      <w:r>
        <w:rPr>
          <w:lang w:val="pl"/>
        </w:rPr>
        <w:t xml:space="preserve">28.   Skarżący skarżył się na nadmierny czas trwania postępowania cywilnego wszczętego przez niego i D. </w:t>
      </w:r>
      <w:proofErr w:type="spellStart"/>
      <w:r>
        <w:rPr>
          <w:lang w:val="pl"/>
        </w:rPr>
        <w:t>Lopesa</w:t>
      </w:r>
      <w:proofErr w:type="spellEnd"/>
      <w:r>
        <w:rPr>
          <w:lang w:val="pl"/>
        </w:rPr>
        <w:t xml:space="preserve"> przed sądem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; powołał się na art. 6 ust. 1 (art. 6-1) Konwencji, który stanowi, że</w:t>
      </w:r>
    </w:p>
    <w:p w14:paraId="2E73F658" w14:textId="11294746" w:rsidR="00037E61" w:rsidRPr="00427610" w:rsidRDefault="00D85F5E" w:rsidP="000571D5">
      <w:pPr>
        <w:pStyle w:val="JuQuot"/>
        <w:rPr>
          <w:lang w:val="pl-PL"/>
        </w:rPr>
      </w:pPr>
      <w:r>
        <w:rPr>
          <w:lang w:val="pl"/>
        </w:rPr>
        <w:t>„[k]</w:t>
      </w:r>
      <w:proofErr w:type="spellStart"/>
      <w:r>
        <w:rPr>
          <w:lang w:val="pl"/>
        </w:rPr>
        <w:t>ażdy</w:t>
      </w:r>
      <w:proofErr w:type="spellEnd"/>
      <w:r>
        <w:rPr>
          <w:lang w:val="pl"/>
        </w:rPr>
        <w:t xml:space="preserve"> ma prawo do sprawiedliwego i publicznego rozpatrzenia jego sprawy w</w:t>
      </w:r>
      <w:r w:rsidR="00427610">
        <w:rPr>
          <w:lang w:val="pl"/>
        </w:rPr>
        <w:t> </w:t>
      </w:r>
      <w:r>
        <w:rPr>
          <w:lang w:val="pl"/>
        </w:rPr>
        <w:t>rozsądnym terminie przez [...] sąd [...] przy rozstrzyganiu o jego prawach i</w:t>
      </w:r>
      <w:r w:rsidR="00427610">
        <w:rPr>
          <w:lang w:val="pl"/>
        </w:rPr>
        <w:t> </w:t>
      </w:r>
      <w:r>
        <w:rPr>
          <w:lang w:val="pl"/>
        </w:rPr>
        <w:t>obowiązkach  o charakterze cywilnym [...]”.</w:t>
      </w:r>
    </w:p>
    <w:p w14:paraId="31BE6736" w14:textId="77777777" w:rsidR="00037E61" w:rsidRPr="00427610" w:rsidRDefault="00D85F5E" w:rsidP="000571D5">
      <w:pPr>
        <w:pStyle w:val="JuPara"/>
        <w:rPr>
          <w:lang w:val="pl-PL"/>
        </w:rPr>
      </w:pPr>
      <w:r>
        <w:rPr>
          <w:lang w:val="pl"/>
        </w:rPr>
        <w:t>Cywilny charakter sporu nie podlega dyskusji, dlatego jedyną kwestią do rozstrzygnięcia w niniejszej sprawie jest to, czy „rozsądny termin” został przekroczony. Komisja orzekła twierdząco, natomiast Rząd utrzymywał, że nie doszło do naruszenia.</w:t>
      </w:r>
    </w:p>
    <w:p w14:paraId="708A42E7" w14:textId="77777777" w:rsidR="00037E61" w:rsidRPr="00427610" w:rsidRDefault="00D85F5E" w:rsidP="000571D5">
      <w:pPr>
        <w:pStyle w:val="JuHA"/>
        <w:rPr>
          <w:lang w:val="pl-PL"/>
        </w:rPr>
      </w:pPr>
      <w:r>
        <w:rPr>
          <w:bCs/>
          <w:lang w:val="pl"/>
        </w:rPr>
        <w:lastRenderedPageBreak/>
        <w:t>A. Okres, który należy wziąć pod uwagę</w:t>
      </w:r>
    </w:p>
    <w:p w14:paraId="03359248" w14:textId="621BB26C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29.   Punkt początkowy </w:t>
      </w:r>
      <w:r w:rsidR="00EA6DAC">
        <w:rPr>
          <w:lang w:val="pl"/>
        </w:rPr>
        <w:t>postępowania</w:t>
      </w:r>
      <w:r>
        <w:rPr>
          <w:lang w:val="pl"/>
        </w:rPr>
        <w:t xml:space="preserve"> również nie wzbudza żadnych kontrowersji: jest to 7 grudnia 1978 r., data wniesienia sprawy do sądu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(zob. paragraf 10 powyżej).</w:t>
      </w:r>
    </w:p>
    <w:p w14:paraId="39397919" w14:textId="059A1351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Według Rządu </w:t>
      </w:r>
      <w:r w:rsidR="00EA6DAC">
        <w:rPr>
          <w:lang w:val="pl"/>
        </w:rPr>
        <w:t>postępowanie zakończyło się</w:t>
      </w:r>
      <w:r>
        <w:rPr>
          <w:lang w:val="pl"/>
        </w:rPr>
        <w:t xml:space="preserve"> w dniu 25 października 1982 r. wraz z</w:t>
      </w:r>
      <w:r w:rsidR="00427610">
        <w:rPr>
          <w:lang w:val="pl"/>
        </w:rPr>
        <w:t> </w:t>
      </w:r>
      <w:r>
        <w:rPr>
          <w:lang w:val="pl"/>
        </w:rPr>
        <w:t>wydaniem wyroku uznającego roszczenie o odszkodowanie za uzasadnione co do zasady, ale zastrzegającego ustalenie kwoty na etapie postępowania dotyczącym wykonania wyroku (zob. paragraf 19 powyżej).</w:t>
      </w:r>
    </w:p>
    <w:p w14:paraId="6CE77C9D" w14:textId="6CBA1368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Trybunał, podobnie jak Komisja, uważa, że wyrok ten nie stanowi ostatecznej decyzji, ponieważ sąd nie ustalił jeszcze wysokości odszkodowania należnego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(pkt 65 sprawozdania). Stwierdzono, że postępowanie zostało podzielone na dwa etapy: pierwszy do 25</w:t>
      </w:r>
      <w:r w:rsidR="00427610">
        <w:rPr>
          <w:lang w:val="pl"/>
        </w:rPr>
        <w:t> </w:t>
      </w:r>
      <w:r>
        <w:rPr>
          <w:lang w:val="pl"/>
        </w:rPr>
        <w:t>października 1982 r.; drugi, niezakończony, odpowiadający procedurze dotyczącej wykonania. Ten drugi etap, zależny wyłącznie od inicjatywy skarżącego, rozpoczął się dopiero w dniu 23 września 1983 r., czyli po około jedenastu miesiącach (zob. paragraf 20 powyżej); na podstawie informacji zawartych w aktach sprawy etap ten nie może być przedmiotem krytyki. Trybunał ograniczy zatem swoją analizę do pierwszego etapu, który trwał od 7 grudnia 1978 r. do 25 października 1982 r. (trzy lata, dziesięć miesięcy i osiemnaście dni).</w:t>
      </w:r>
    </w:p>
    <w:p w14:paraId="07A47D4A" w14:textId="049726EF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30.   Taki upływ czasu wydaje się </w:t>
      </w:r>
      <w:r>
        <w:rPr>
          <w:i/>
          <w:iCs/>
          <w:lang w:val="pl"/>
        </w:rPr>
        <w:t>prima facie</w:t>
      </w:r>
      <w:r>
        <w:rPr>
          <w:lang w:val="pl"/>
        </w:rPr>
        <w:t xml:space="preserve"> nieuzasadniony w</w:t>
      </w:r>
      <w:r w:rsidR="00427610">
        <w:rPr>
          <w:lang w:val="pl"/>
        </w:rPr>
        <w:t> </w:t>
      </w:r>
      <w:r>
        <w:rPr>
          <w:lang w:val="pl"/>
        </w:rPr>
        <w:t xml:space="preserve">przypadku jednej instancji (zob., odpowiednio, wyrok w sprawie </w:t>
      </w:r>
      <w:r>
        <w:rPr>
          <w:i/>
          <w:iCs/>
          <w:lang w:val="pl"/>
        </w:rPr>
        <w:t xml:space="preserve">Zimmermann i Steiner </w:t>
      </w:r>
      <w:r>
        <w:rPr>
          <w:lang w:val="pl"/>
        </w:rPr>
        <w:t>z dnia 13 lipca 1983 r., Seria A nr 66, s. 11, § 23), w</w:t>
      </w:r>
      <w:r w:rsidR="00427610">
        <w:rPr>
          <w:lang w:val="pl"/>
        </w:rPr>
        <w:t> </w:t>
      </w:r>
      <w:r>
        <w:rPr>
          <w:lang w:val="pl"/>
        </w:rPr>
        <w:t>szczególności biorąc pod uwagę fakt, że wyrok ten dotyczył jedynie pierwszego etapu postępowania i nie stanowił ostatecznej decyzji w sprawie roszczeń skarżącego. W związku z tym wymaga przeprowadzenia uważnej kontroli w świetle art. 6 ust. 1 (art. 6-1).</w:t>
      </w:r>
    </w:p>
    <w:p w14:paraId="4C6722E0" w14:textId="77777777" w:rsidR="00037E61" w:rsidRPr="00427610" w:rsidRDefault="00D85F5E" w:rsidP="00560263">
      <w:pPr>
        <w:pStyle w:val="JuHA"/>
        <w:rPr>
          <w:lang w:val="pl-PL"/>
        </w:rPr>
      </w:pPr>
      <w:r>
        <w:rPr>
          <w:bCs/>
          <w:lang w:val="pl"/>
        </w:rPr>
        <w:t>B. Kryteria mające zastosowanie</w:t>
      </w:r>
    </w:p>
    <w:p w14:paraId="2BB1BE8C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31.   Zasadność czasu trwania postępowania jest oceniana w każdym przypadku w świetle okoliczności sprawy i z uwzględnieniem kryteriów określonych w orzecznictwie Trybunału (zob. w szczególności cytowany powyżej wyrok w sprawie </w:t>
      </w:r>
      <w:r>
        <w:rPr>
          <w:i/>
          <w:iCs/>
          <w:lang w:val="pl"/>
        </w:rPr>
        <w:t>Zimmermann i Steiner</w:t>
      </w:r>
      <w:r>
        <w:rPr>
          <w:lang w:val="pl"/>
        </w:rPr>
        <w:t>, tamże, s. 11, § 24).</w:t>
      </w:r>
    </w:p>
    <w:p w14:paraId="5CE7CC29" w14:textId="46B32860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32.   Rząd wskazuje, że w Portugalii postępowanie cywilne jest regulowane przez zasadę dyspozytywności (rozporządzalności) [</w:t>
      </w:r>
      <w:proofErr w:type="spellStart"/>
      <w:r>
        <w:rPr>
          <w:i/>
          <w:iCs/>
          <w:lang w:val="pl"/>
        </w:rPr>
        <w:t>principio</w:t>
      </w:r>
      <w:proofErr w:type="spellEnd"/>
      <w:r>
        <w:rPr>
          <w:i/>
          <w:iCs/>
          <w:lang w:val="pl"/>
        </w:rPr>
        <w:t xml:space="preserve"> </w:t>
      </w:r>
      <w:proofErr w:type="spellStart"/>
      <w:r>
        <w:rPr>
          <w:i/>
          <w:iCs/>
          <w:lang w:val="pl"/>
        </w:rPr>
        <w:t>dispositivo</w:t>
      </w:r>
      <w:proofErr w:type="spellEnd"/>
      <w:r>
        <w:rPr>
          <w:lang w:val="pl"/>
        </w:rPr>
        <w:t>]: prawo inicjatywy przysługuje stronom (art. 264 ust. 1 [portugalskiego] kodeksu postępowania cywilnego), które muszą podjąć wszelkie środki mogące przyczynić się do szybkiego przebiegu postępowania. Zdaniem Trybunału zasada ta nie zwalnia jednak sędziów z</w:t>
      </w:r>
      <w:r w:rsidR="00427610">
        <w:rPr>
          <w:lang w:val="pl"/>
        </w:rPr>
        <w:t> </w:t>
      </w:r>
      <w:r>
        <w:rPr>
          <w:lang w:val="pl"/>
        </w:rPr>
        <w:t xml:space="preserve">obowiązku zapewnienia szybkości przebiegu postępowania wymaganej przez art. 6 (wyrok w sprawie </w:t>
      </w:r>
      <w:r>
        <w:rPr>
          <w:i/>
          <w:iCs/>
          <w:lang w:val="pl"/>
        </w:rPr>
        <w:t>Buchholz</w:t>
      </w:r>
      <w:r>
        <w:rPr>
          <w:lang w:val="pl"/>
        </w:rPr>
        <w:t xml:space="preserve"> z dnia 6 maja 1981 r., Seria A nr 42, s. 16, § 50). Prawo portugalskie wymaga również, aby sędzia działał </w:t>
      </w:r>
      <w:r>
        <w:rPr>
          <w:lang w:val="pl"/>
        </w:rPr>
        <w:lastRenderedPageBreak/>
        <w:t>z</w:t>
      </w:r>
      <w:r w:rsidR="00427610">
        <w:rPr>
          <w:lang w:val="pl"/>
        </w:rPr>
        <w:t> </w:t>
      </w:r>
      <w:r>
        <w:rPr>
          <w:lang w:val="pl"/>
        </w:rPr>
        <w:t xml:space="preserve">należytą starannością (art. 266 wspomnianego kodeksu); ponadto w art. 68 [portugalskiego] kodeksu drogowego przewidziano odwołanie się do postępowania uproszczonego w sprawie takiej jak sprawa M;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>, która charakteryzuje się m.in. skróconymi terminami (zob. paragraf 10 powyżej).</w:t>
      </w:r>
    </w:p>
    <w:p w14:paraId="43902FCA" w14:textId="77777777" w:rsidR="00037E61" w:rsidRPr="00427610" w:rsidRDefault="00D85F5E" w:rsidP="00560263">
      <w:pPr>
        <w:pStyle w:val="JuH1"/>
        <w:rPr>
          <w:lang w:val="pl-PL"/>
        </w:rPr>
      </w:pPr>
      <w:r>
        <w:rPr>
          <w:iCs/>
          <w:lang w:val="pl"/>
        </w:rPr>
        <w:t>1. Złożoność sprawy</w:t>
      </w:r>
    </w:p>
    <w:p w14:paraId="0D862BA2" w14:textId="7786E35A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33.   Rząd przyznał, że sprawa nie była złożona co do istoty; utrzymywał jednak, że stała się taka z powodu postawy stron, a w szczególności wniosku ubocznego firmy ubezpieczeniowej oraz uchybień ze strony świadków i prawników (zob. paragrafy 12, 15–16 i 18 powyżej). Z drugiej strony w opinii Komisji </w:t>
      </w:r>
      <w:r w:rsidR="00FB1484">
        <w:rPr>
          <w:lang w:val="pl"/>
        </w:rPr>
        <w:t>sprawa nie była szczególnie skomplikowana.</w:t>
      </w:r>
    </w:p>
    <w:p w14:paraId="6F4491C2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Trybunał zgadza się z tym poglądem; okoliczności wskazane przez Rząd nie skomplikowały postępowania w sposób nietypowy dla takich spraw.</w:t>
      </w:r>
    </w:p>
    <w:p w14:paraId="3498AA40" w14:textId="77777777" w:rsidR="00037E61" w:rsidRPr="00427610" w:rsidRDefault="00D85F5E" w:rsidP="00560263">
      <w:pPr>
        <w:pStyle w:val="JuH1"/>
        <w:rPr>
          <w:lang w:val="pl-PL"/>
        </w:rPr>
      </w:pPr>
      <w:r>
        <w:rPr>
          <w:iCs/>
          <w:lang w:val="pl"/>
        </w:rPr>
        <w:t>2. Postawa skarżącego</w:t>
      </w:r>
    </w:p>
    <w:p w14:paraId="5FC82CF1" w14:textId="2D091810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34.   W opinii Rządu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mógł przyspieszyć postępowanie poprzez złożenie skargi do Najwyższej Rady Sądownictwa. Ponadto odpowiedzialność za część straconego czasu, na przykład za niestawiennictwo świadków Marii </w:t>
      </w:r>
      <w:proofErr w:type="spellStart"/>
      <w:r>
        <w:rPr>
          <w:lang w:val="pl"/>
        </w:rPr>
        <w:t>Silvy</w:t>
      </w:r>
      <w:proofErr w:type="spellEnd"/>
      <w:r>
        <w:rPr>
          <w:lang w:val="pl"/>
        </w:rPr>
        <w:t xml:space="preserve"> i Adriano da Cruz </w:t>
      </w:r>
      <w:proofErr w:type="spellStart"/>
      <w:r>
        <w:rPr>
          <w:lang w:val="pl"/>
        </w:rPr>
        <w:t>Surreiry</w:t>
      </w:r>
      <w:proofErr w:type="spellEnd"/>
      <w:r>
        <w:rPr>
          <w:lang w:val="pl"/>
        </w:rPr>
        <w:t>, spoczywała zarówno na nim, jak i na pozostałych stronach; władz portugalskich nie należałoby obarczać winą przynajmniej w odniesieniu do okresu po 25 października 1982 r.</w:t>
      </w:r>
    </w:p>
    <w:p w14:paraId="1D7115A2" w14:textId="0207E830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Trybunał orzekł już w tej ostatniej kwestii (paragraf 29 powyżej). W</w:t>
      </w:r>
      <w:r w:rsidR="00427610">
        <w:rPr>
          <w:lang w:val="pl"/>
        </w:rPr>
        <w:t> </w:t>
      </w:r>
      <w:r>
        <w:rPr>
          <w:lang w:val="pl"/>
        </w:rPr>
        <w:t>odniesieniu do pozostałych argumentów Trybunał zauważa po pierwsze, że skarżący nie był zobowiązany do skierowania sprawy do Najwyższej Rady Sądownictwa; co więcej, nie skróciłoby to postępowania: co najwyżej Rada mogłaby, w razie potrzeby, nałożyć kary dyscyplinarne na sędziów lub urzędników, którzy zawinili. Po drugie, chociaż podanie przez M.</w:t>
      </w:r>
      <w:r w:rsidR="00427610">
        <w:rPr>
          <w:lang w:val="pl"/>
        </w:rPr>
        <w:t> 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niepoprawnego adresu mogło nieco opóźnić przesłuchanie pani </w:t>
      </w:r>
      <w:proofErr w:type="spellStart"/>
      <w:r>
        <w:rPr>
          <w:lang w:val="pl"/>
        </w:rPr>
        <w:t>Silvy</w:t>
      </w:r>
      <w:proofErr w:type="spellEnd"/>
      <w:r>
        <w:rPr>
          <w:lang w:val="pl"/>
        </w:rPr>
        <w:t xml:space="preserve"> (zob. paragrafy 15 i 16 powyżej), spowodowane w ten sposób opóźnienie jest nieznaczne w stosunku do całkowitego czasu trwania postępowania. W odniesieniu do pozostałych okoliczności wymienionych przez Rząd, w szczególności</w:t>
      </w:r>
      <w:r w:rsidR="00FB1484">
        <w:rPr>
          <w:lang w:val="pl"/>
        </w:rPr>
        <w:t xml:space="preserve"> w zakresie</w:t>
      </w:r>
      <w:r>
        <w:rPr>
          <w:lang w:val="pl"/>
        </w:rPr>
        <w:t xml:space="preserve"> niestawiennictwa świadków i obrońców pozwanych, zdaniem Trybunału nie można ich przypisać skarżącemu.</w:t>
      </w:r>
    </w:p>
    <w:p w14:paraId="1657B9E7" w14:textId="026EF86E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Konkludując, skarżącego nie można obarczać winą za </w:t>
      </w:r>
      <w:r w:rsidR="00FB1484">
        <w:rPr>
          <w:lang w:val="pl"/>
        </w:rPr>
        <w:t>przewlekłość postępowania.</w:t>
      </w:r>
    </w:p>
    <w:p w14:paraId="3E83826C" w14:textId="77777777" w:rsidR="00037E61" w:rsidRPr="00427610" w:rsidRDefault="00D85F5E" w:rsidP="00560263">
      <w:pPr>
        <w:pStyle w:val="JuH1"/>
        <w:rPr>
          <w:lang w:val="pl-PL"/>
        </w:rPr>
      </w:pPr>
      <w:r>
        <w:rPr>
          <w:iCs/>
          <w:lang w:val="pl"/>
        </w:rPr>
        <w:t>3. Postawa władz portugalskich</w:t>
      </w:r>
    </w:p>
    <w:p w14:paraId="562F4937" w14:textId="45945759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35.   Analiza akt wskazuje, że </w:t>
      </w:r>
      <w:r w:rsidR="00FB1484">
        <w:rPr>
          <w:lang w:val="pl"/>
        </w:rPr>
        <w:t>okresy bezczynności w sprawie miały miejsce</w:t>
      </w:r>
      <w:r>
        <w:rPr>
          <w:lang w:val="pl"/>
        </w:rPr>
        <w:t xml:space="preserve"> dwukrotnie: od 9 grudnia 1978 r. do 18 czerwca 1979 r., tj. przez ponad sześć miesięcy, w celu wykonania wniosku o udzielenie pomocy sądowej wysłanego do Lizbony na potrzeby </w:t>
      </w:r>
      <w:r w:rsidR="00FB1484">
        <w:rPr>
          <w:lang w:val="pl"/>
        </w:rPr>
        <w:t>wniosku</w:t>
      </w:r>
      <w:r>
        <w:rPr>
          <w:lang w:val="pl"/>
        </w:rPr>
        <w:t xml:space="preserve"> pozwanych, a następnie </w:t>
      </w:r>
      <w:r>
        <w:rPr>
          <w:lang w:val="pl"/>
        </w:rPr>
        <w:lastRenderedPageBreak/>
        <w:t>od 4 lipca 1979 r. do 28 stycznia 1981 r., tj. przez ponad półtora roku, w celu przekazania powodom ich uwag (zob. paragrafy 11 i 13 powyżej).</w:t>
      </w:r>
    </w:p>
    <w:p w14:paraId="6F18B6F8" w14:textId="6BB18135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Rząd przyznał, że doszło do pewnego impasu w obu okresach, o których mowa powyżej, ale dokonał rozróżnienia między tempem postępowania a</w:t>
      </w:r>
      <w:r w:rsidR="00427610">
        <w:rPr>
          <w:lang w:val="pl"/>
        </w:rPr>
        <w:t> </w:t>
      </w:r>
      <w:r>
        <w:rPr>
          <w:lang w:val="pl"/>
        </w:rPr>
        <w:t>jego łącznym czasem trwania; tylko ten ostatni ma znaczenie do celów art.</w:t>
      </w:r>
      <w:r w:rsidR="00427610">
        <w:rPr>
          <w:lang w:val="pl"/>
        </w:rPr>
        <w:t> </w:t>
      </w:r>
      <w:r>
        <w:rPr>
          <w:lang w:val="pl"/>
        </w:rPr>
        <w:t>6 ust. 1 (art. 6-1) i Rząd uznaje go za dopuszczalny w niniejszej sprawie.</w:t>
      </w:r>
    </w:p>
    <w:p w14:paraId="223028D4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Zdaniem skarżącego istnienie całkowitego zastoju trwającego dwa lata miało negatywny wpływ na całe postępowanie.</w:t>
      </w:r>
    </w:p>
    <w:p w14:paraId="2C9B13AD" w14:textId="65AB40CD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36.   Trybunał zasadniczo zgadza się z tym stwierdzeniem. Zauważa ponadto, że obydwa okresy niemal całkowitej bezczynności wiązały się z</w:t>
      </w:r>
      <w:r w:rsidR="00427610">
        <w:rPr>
          <w:lang w:val="pl"/>
        </w:rPr>
        <w:t> </w:t>
      </w:r>
      <w:r>
        <w:rPr>
          <w:lang w:val="pl"/>
        </w:rPr>
        <w:t xml:space="preserve">wykonywaniem czynności procesowych o charakterze czysto administracyjnym, takich jak wzywanie pozwanych i przekazywanie ich uwag powodom. Okresy bezczynności można uzasadnić jedynie w nader wyjątkowych okolicznościach (zob., odpowiednio, wyrok w sprawie </w:t>
      </w:r>
      <w:r>
        <w:rPr>
          <w:i/>
          <w:iCs/>
          <w:lang w:val="pl"/>
        </w:rPr>
        <w:t>Zimmermann i Steiner</w:t>
      </w:r>
      <w:r>
        <w:rPr>
          <w:lang w:val="pl"/>
        </w:rPr>
        <w:t xml:space="preserve">, </w:t>
      </w:r>
      <w:proofErr w:type="spellStart"/>
      <w:r>
        <w:rPr>
          <w:i/>
          <w:iCs/>
          <w:lang w:val="pl"/>
        </w:rPr>
        <w:t>op.cit</w:t>
      </w:r>
      <w:proofErr w:type="spellEnd"/>
      <w:r>
        <w:rPr>
          <w:i/>
          <w:iCs/>
          <w:lang w:val="pl"/>
        </w:rPr>
        <w:t>.</w:t>
      </w:r>
      <w:r>
        <w:rPr>
          <w:lang w:val="pl"/>
        </w:rPr>
        <w:t xml:space="preserve">, Seria A nr 66, s. 12, § 27 </w:t>
      </w:r>
      <w:r>
        <w:rPr>
          <w:i/>
          <w:iCs/>
          <w:lang w:val="pl"/>
        </w:rPr>
        <w:t>in fine</w:t>
      </w:r>
      <w:r>
        <w:rPr>
          <w:lang w:val="pl"/>
        </w:rPr>
        <w:t>).</w:t>
      </w:r>
    </w:p>
    <w:p w14:paraId="544E9256" w14:textId="7897FBD2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37.   Według Rządu nieprawidłowości stwierdzone zarówno w sądzie w</w:t>
      </w:r>
      <w:r w:rsidR="00427610">
        <w:rPr>
          <w:lang w:val="pl"/>
        </w:rPr>
        <w:t> </w:t>
      </w:r>
      <w:r>
        <w:rPr>
          <w:lang w:val="pl"/>
        </w:rPr>
        <w:t xml:space="preserve">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>, jak i w sądzie w Lizbonie były wynikiem stanu „bliskiego instytucjonalnemu załamaniu”, który towarzyszył powrotowi Portugalii do demokracji (zob. paragraf 21 powyżej).</w:t>
      </w:r>
    </w:p>
    <w:p w14:paraId="6550D9D0" w14:textId="268638C3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Jednocześnie w kraju miał wówczas nastąpić nagły</w:t>
      </w:r>
      <w:r w:rsidR="00DF7E95">
        <w:rPr>
          <w:lang w:val="pl"/>
        </w:rPr>
        <w:t xml:space="preserve"> </w:t>
      </w:r>
      <w:r>
        <w:rPr>
          <w:lang w:val="pl"/>
        </w:rPr>
        <w:t xml:space="preserve">i nieprzewidywalny wzrost liczby sporów sądowych. W rezultacie niedoświadczeni sędziowie zostali </w:t>
      </w:r>
      <w:r w:rsidR="00DF7E95">
        <w:rPr>
          <w:lang w:val="pl"/>
        </w:rPr>
        <w:t>wyznaczeni</w:t>
      </w:r>
      <w:r>
        <w:rPr>
          <w:lang w:val="pl"/>
        </w:rPr>
        <w:t xml:space="preserve"> do wymierzania sprawiedliwości w nadmierni</w:t>
      </w:r>
      <w:r w:rsidR="00DF7E95">
        <w:rPr>
          <w:lang w:val="pl"/>
        </w:rPr>
        <w:t>e</w:t>
      </w:r>
      <w:r>
        <w:rPr>
          <w:lang w:val="pl"/>
        </w:rPr>
        <w:t xml:space="preserve"> obciążonych pracą sądach. Niemniej właściwe organy, w szczególności Najwyższa Rada Sądownictwa, podejmowały w miarę możliwości niezbędne </w:t>
      </w:r>
      <w:r w:rsidR="00DF7E95">
        <w:rPr>
          <w:lang w:val="pl"/>
        </w:rPr>
        <w:t>działania</w:t>
      </w:r>
      <w:r>
        <w:rPr>
          <w:lang w:val="pl"/>
        </w:rPr>
        <w:t xml:space="preserve"> (zob. paragraf 25 powyżej).</w:t>
      </w:r>
    </w:p>
    <w:p w14:paraId="69C0E1F8" w14:textId="393F469D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38.   Trybunał ocenił zasadność pierwszego argumentu. Nie można pominąć faktu, że przywrócenie demokracji, które nastąpiło w kwietniu 1974 r., sprawiło, że Portugalia musiała podjąć się zreformowania systemu sądownictwa w  burzliwych warunkach, niespotykanych w większości innych krajów europejskich, w sytuacji tym trudniejszej ze względu na dekolonizację i kryzys gospodarczy (zob. paragraf 21 powyżej). Trybunał w</w:t>
      </w:r>
      <w:r w:rsidR="00427610">
        <w:rPr>
          <w:lang w:val="pl"/>
        </w:rPr>
        <w:t> </w:t>
      </w:r>
      <w:r>
        <w:rPr>
          <w:lang w:val="pl"/>
        </w:rPr>
        <w:t>żadnej mierze nie lekceważy wysiłków podjętych w celu poprawy dostępu obywateli do wymiaru sprawiedliwości i usprawnienia organizacji sądów, w szczególności po przyjęciu konstytucji w 1976 r. (paragraf 21 powyżej).</w:t>
      </w:r>
    </w:p>
    <w:p w14:paraId="27A9C608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W tej kwestii należy jednak zgodzić się z Komisją i skarżącym. Ratyfikując Konwencję, Portugalia uznała, że zapewnia „każdemu człowiekowi, podlegającemu [jej] jurysdykcji, prawa i wolności określone w Rozdziale I” (art. 1). Zobowiązała się w szczególności do zorganizowania swojego systemu sądownictwa w taki sposób, aby umożliwić mu spełnienie wymogów art. 6 ust. 1 (art. 6-1), m.in. w odniesieniu do „rozsądnego terminu” (wyrok w sprawie </w:t>
      </w:r>
      <w:r>
        <w:rPr>
          <w:i/>
          <w:iCs/>
          <w:lang w:val="pl"/>
        </w:rPr>
        <w:t xml:space="preserve">Zimmermann i Steiner, </w:t>
      </w:r>
      <w:proofErr w:type="spellStart"/>
      <w:r>
        <w:rPr>
          <w:i/>
          <w:iCs/>
          <w:lang w:val="pl"/>
        </w:rPr>
        <w:t>op.cit</w:t>
      </w:r>
      <w:proofErr w:type="spellEnd"/>
      <w:r>
        <w:rPr>
          <w:i/>
          <w:iCs/>
          <w:lang w:val="pl"/>
        </w:rPr>
        <w:t>.</w:t>
      </w:r>
      <w:r>
        <w:rPr>
          <w:lang w:val="pl"/>
        </w:rPr>
        <w:t>, Seria A nr 66, s. 12, § 29), którego kapitalne znaczenie dla prawidłowego funkcjonowania wymiaru sprawiedliwości Trybunał ponownie podkreśla.</w:t>
      </w:r>
    </w:p>
    <w:p w14:paraId="371ED9B4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lastRenderedPageBreak/>
        <w:t>39.   Nie zapominając o ogólnym kontekście streszczonym powyżej, Trybunał zauważa ponadto, że jego zadanie jest zasadniczo ograniczone do zbadania rozpatrywanej przez niego sprawy, która zasadniczo dotyczy konkretnego sądu.</w:t>
      </w:r>
    </w:p>
    <w:p w14:paraId="35929C18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W sądzie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przez ponad rok z powodu wakatu jeden sędzia musiał zajmować się pracą obu izb: pracą drugiej izby od 7 stycznia do 26 czerwca 1979 r., a następnie pierwszej izby od 21 czerwca 1979 r. do 8 kwietnia 1980 r. Jednocześnie nastąpił gwałtowny wzrost liczby zawisłych przed sądem spraw: w latach 1976–1980 wzrosła ona ponad dwukrotnie (zob. paragrafy 22 i 23 powyżej).</w:t>
      </w:r>
    </w:p>
    <w:p w14:paraId="547B060E" w14:textId="3DF91BF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W celu zaradzenia zaległościom właściwe organy postanowiły w</w:t>
      </w:r>
      <w:r w:rsidR="00427610">
        <w:rPr>
          <w:lang w:val="pl"/>
        </w:rPr>
        <w:t> </w:t>
      </w:r>
      <w:r>
        <w:rPr>
          <w:lang w:val="pl"/>
        </w:rPr>
        <w:t xml:space="preserve">październiku 1980 r. powołać sędziego „pomocniczego”; w marcu 1981 r. wyznaczyły trzech sędziów z Lizbony na stanowiska w sądzie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w niepełnym wymiarze czasu pracy; liczba urzędników sądowych również znacznie wzrosła (zob. paragraf 25 powyżej).</w:t>
      </w:r>
    </w:p>
    <w:p w14:paraId="0EA42FEA" w14:textId="1987AF3B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40.   Zgodnie z utrwalonym orzecznictwem Trybunału tymczasowe zaległości w rozpatrywaniu spraw sądowych nie pociągają za sobą międzynarodowej odpowiedzialności danego państwa na mocy Konwencji, jeżeli podejmie ono skuteczne i szybkie środki w celu zaradzenia tej sytuacji (zob. ostatnio cytowany powyżej wyrok w sprawie </w:t>
      </w:r>
      <w:r>
        <w:rPr>
          <w:i/>
          <w:iCs/>
          <w:lang w:val="pl"/>
        </w:rPr>
        <w:t>Zimmermann i</w:t>
      </w:r>
      <w:r w:rsidR="00427610">
        <w:rPr>
          <w:i/>
          <w:iCs/>
          <w:lang w:val="pl"/>
        </w:rPr>
        <w:t> </w:t>
      </w:r>
      <w:r>
        <w:rPr>
          <w:i/>
          <w:iCs/>
          <w:lang w:val="pl"/>
        </w:rPr>
        <w:t>Steiner</w:t>
      </w:r>
      <w:r>
        <w:rPr>
          <w:lang w:val="pl"/>
        </w:rPr>
        <w:t>, Seria A nr 66, s. 12, § 29).</w:t>
      </w:r>
    </w:p>
    <w:p w14:paraId="4BCEDBE7" w14:textId="0FF0DE2A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W niniejszej sprawie Trybunał zgadza się z Komisją, że wzrost obciążenia pracą został rozłożony na kilka lat. Trybunał przypomina, że po przyjęciu konstytucji w 1976 r. przyjęto przepisy mające na celu poprawę dostępu obywateli do wymiaru sprawiedliwości, podczas gdy prawie milion repatriantów z byłych kolonii osiedliło się w Portugalii (paragrafy 21 i 38 powyżej). W tej sytuacji należało spodziewać się znacznego wzrostu liczby sporów sądowych. Ponadto już w grudniu 1979 r. prawnicy z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zgłosili sytuację Najwyższej Radzie Sądownictwa i </w:t>
      </w:r>
      <w:r w:rsidR="00DF7E95">
        <w:rPr>
          <w:lang w:val="pl"/>
        </w:rPr>
        <w:t>M</w:t>
      </w:r>
      <w:r>
        <w:rPr>
          <w:lang w:val="pl"/>
        </w:rPr>
        <w:t xml:space="preserve">inistrowi </w:t>
      </w:r>
      <w:r w:rsidR="00DF7E95">
        <w:rPr>
          <w:lang w:val="pl"/>
        </w:rPr>
        <w:t>S</w:t>
      </w:r>
      <w:r>
        <w:rPr>
          <w:lang w:val="pl"/>
        </w:rPr>
        <w:t>prawiedliwości (zob. paragraf 24 powyżej).</w:t>
      </w:r>
    </w:p>
    <w:p w14:paraId="59D71A16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Jednak w obliczu sytuacji, która nabrała charakteru strukturalnego, środki wdrożone w październiku 1980 r. i marcu 1981 r. okazały się niewystarczające i spóźnione. Chociaż odzwierciedlały one chęć rozwiązania problemu, ze względu na swój charakter nie mogły przynieść zadowalających rezultatów (zob., odpowiednio, wyrok w sprawie </w:t>
      </w:r>
      <w:r>
        <w:rPr>
          <w:i/>
          <w:iCs/>
          <w:lang w:val="pl"/>
        </w:rPr>
        <w:t xml:space="preserve">Zimmermann i Steiner, </w:t>
      </w:r>
      <w:proofErr w:type="spellStart"/>
      <w:r>
        <w:rPr>
          <w:i/>
          <w:iCs/>
          <w:lang w:val="pl"/>
        </w:rPr>
        <w:t>op.cit</w:t>
      </w:r>
      <w:proofErr w:type="spellEnd"/>
      <w:r>
        <w:rPr>
          <w:i/>
          <w:iCs/>
          <w:lang w:val="pl"/>
        </w:rPr>
        <w:t>.</w:t>
      </w:r>
      <w:r>
        <w:rPr>
          <w:lang w:val="pl"/>
        </w:rPr>
        <w:t>, Seria A nr 66, s. 13, § 31).</w:t>
      </w:r>
    </w:p>
    <w:p w14:paraId="2C10B0C9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41.   W świetle wszystkich okoliczności sprawy Trybunał uważa, że wyjątkowe trudności zaistniałe w Portugalii nie mogły pozbawić skarżącego prawa do dochodzenia sprawiedliwości w „rozsądnym terminie” (tamże, s. 13, § 32). Doszło zatem do naruszenia art. 6 ust. 1 (art. 6-1).</w:t>
      </w:r>
    </w:p>
    <w:p w14:paraId="175ACCFD" w14:textId="77777777" w:rsidR="00037E61" w:rsidRPr="00427610" w:rsidRDefault="00D85F5E" w:rsidP="00560263">
      <w:pPr>
        <w:pStyle w:val="JuHIRoman"/>
        <w:rPr>
          <w:lang w:val="pl-PL"/>
        </w:rPr>
      </w:pPr>
      <w:r>
        <w:rPr>
          <w:lang w:val="pl"/>
        </w:rPr>
        <w:t>II. W PRZEDMIOCIE ZASTOSOWANIA ART. 50 (art. 50)</w:t>
      </w:r>
    </w:p>
    <w:p w14:paraId="1176C1B5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>42.   Art. 50 ma następujące brzmienie:</w:t>
      </w:r>
    </w:p>
    <w:p w14:paraId="13F1EE49" w14:textId="6FA169A3" w:rsidR="00037E61" w:rsidRPr="00427610" w:rsidRDefault="00D85F5E" w:rsidP="00560263">
      <w:pPr>
        <w:pStyle w:val="JuQuot"/>
        <w:rPr>
          <w:lang w:val="pl-PL"/>
        </w:rPr>
      </w:pPr>
      <w:r>
        <w:rPr>
          <w:lang w:val="pl"/>
        </w:rPr>
        <w:lastRenderedPageBreak/>
        <w:t>„Jeżeli w orzeczeniu Trybunału stwierdzono, że decyzja podjęta lub środek zarządzony przez organ sądowy lub jakikolwiek inny organ Układającej się Strony jest całkowicie lub częściowo sprzeczny ze zobowiązaniami wynikającymi z [...] Konwencji, i jeżeli skutki tej decyzji lub środka pozwala tylko na częściowe usunięcie konsekwencji tego naruszenia, Trybunał orzeka, gdy zachodzi taka potrzeba, o</w:t>
      </w:r>
      <w:r w:rsidR="00427610">
        <w:rPr>
          <w:lang w:val="pl"/>
        </w:rPr>
        <w:t> </w:t>
      </w:r>
      <w:r>
        <w:rPr>
          <w:lang w:val="pl"/>
        </w:rPr>
        <w:t>przyznaniu słusznego zadośćuczynienia pokrzywdzonej stronie”.</w:t>
      </w:r>
    </w:p>
    <w:p w14:paraId="434F1C78" w14:textId="2D23E49F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W swoich uwagach z dnia 27 lutego 1984 r.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domagał się słusznego zadośćuczynienia odpowiadającego odsetkom, które uzyskałby w</w:t>
      </w:r>
      <w:r w:rsidR="00427610">
        <w:rPr>
          <w:lang w:val="pl"/>
        </w:rPr>
        <w:t> </w:t>
      </w:r>
      <w:r>
        <w:rPr>
          <w:lang w:val="pl"/>
        </w:rPr>
        <w:t>ciągu dwóch lat, gdyby je otrzymał, od odszkodowania w wysokości 350 000 escudo, którego domagał się w swoim powództwie cywilnym.</w:t>
      </w:r>
    </w:p>
    <w:p w14:paraId="4D03F90A" w14:textId="592F581E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43.   Według Rządu portugalskie orzecznictwo pozwala już na uwzględnienie inflacji i </w:t>
      </w:r>
      <w:r w:rsidR="00DF7E95">
        <w:rPr>
          <w:lang w:val="pl"/>
        </w:rPr>
        <w:t>spadku</w:t>
      </w:r>
      <w:r>
        <w:rPr>
          <w:lang w:val="pl"/>
        </w:rPr>
        <w:t xml:space="preserve"> wartości waluty. Adwokat skarżącego miał zwiększyć roszczenia skarżącego do 700 000 escudo, kiedy odpowiadał na pismo pozwanych w sprawie w dniu 9 lutego 1981 r. (zob. paragraf 13 powyżej); na etapie postępowania dotyczącego wykonania wyroku ograniczył się jednak do pierwotnie wskazanej kwoty.</w:t>
      </w:r>
    </w:p>
    <w:p w14:paraId="2C75DF7B" w14:textId="70E11994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twierdzi natomiast, że stopa inflacji i odsetki należne z</w:t>
      </w:r>
      <w:r w:rsidR="00427610">
        <w:rPr>
          <w:lang w:val="pl"/>
        </w:rPr>
        <w:t> </w:t>
      </w:r>
      <w:r>
        <w:rPr>
          <w:lang w:val="pl"/>
        </w:rPr>
        <w:t>tytułu przewlekłości postępowania to dwie odrębne sprawy, a w każdym razie musiał ograniczyć swoje roszczenia, ponieważ kwota objęta polisą ubezpieczeniową wynosiła maksymalnie 200 000 escudo.</w:t>
      </w:r>
    </w:p>
    <w:p w14:paraId="410B4C46" w14:textId="7AEC1269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44.   Trybunał podkreśla, że „rozsądny termin” został przekroczony, co bezpośrednio wynika z dwóch okresów niemal całkowitej bezczynności sądów w Vila Franca de </w:t>
      </w:r>
      <w:proofErr w:type="spellStart"/>
      <w:r>
        <w:rPr>
          <w:lang w:val="pl"/>
        </w:rPr>
        <w:t>Xira</w:t>
      </w:r>
      <w:proofErr w:type="spellEnd"/>
      <w:r>
        <w:rPr>
          <w:lang w:val="pl"/>
        </w:rPr>
        <w:t xml:space="preserve"> i Lizbonie (zob. paragraf 35 powyżej), trwających łącznie ponad dwa lata. Okres ten, wykraczający poza zwykły czas trwania </w:t>
      </w:r>
      <w:r w:rsidR="00DF7E95">
        <w:rPr>
          <w:lang w:val="pl"/>
        </w:rPr>
        <w:t>postępowania</w:t>
      </w:r>
      <w:r>
        <w:rPr>
          <w:lang w:val="pl"/>
        </w:rPr>
        <w:t>, jeszcze bardziej opóźnił rozstrzygnięcie sporu. Okoliczność ta nie tylko osłabiła skuteczność podjętych działań, lecz także postawiła powoda w sytuacji ciągłej niepewności, w której nawet korzystna ostateczna decyzja nie może zrekompensować utraconych odsetek.</w:t>
      </w:r>
    </w:p>
    <w:p w14:paraId="6979E40E" w14:textId="77777777" w:rsidR="00037E61" w:rsidRPr="00427610" w:rsidRDefault="00D85F5E" w:rsidP="00560263">
      <w:pPr>
        <w:pStyle w:val="JuPara"/>
        <w:rPr>
          <w:lang w:val="pl-PL"/>
        </w:rPr>
      </w:pPr>
      <w:r>
        <w:rPr>
          <w:lang w:val="pl"/>
        </w:rPr>
        <w:t xml:space="preserve">Trybunał przyznaje zatem M. </w:t>
      </w:r>
      <w:proofErr w:type="spellStart"/>
      <w:r>
        <w:rPr>
          <w:lang w:val="pl"/>
        </w:rPr>
        <w:t>Guincho</w:t>
      </w:r>
      <w:proofErr w:type="spellEnd"/>
      <w:r>
        <w:rPr>
          <w:lang w:val="pl"/>
        </w:rPr>
        <w:t xml:space="preserve"> kwotę 150 000 escudo tytułem słusznego zadośćuczynienia w rozumieniu art. 50.</w:t>
      </w:r>
    </w:p>
    <w:p w14:paraId="042EE9FF" w14:textId="77777777" w:rsidR="00037E61" w:rsidRPr="00427610" w:rsidRDefault="00D85F5E" w:rsidP="00560263">
      <w:pPr>
        <w:pStyle w:val="JuHHead"/>
        <w:rPr>
          <w:lang w:val="pl-PL"/>
        </w:rPr>
      </w:pPr>
      <w:r>
        <w:rPr>
          <w:lang w:val="pl"/>
        </w:rPr>
        <w:t>Z POWYŻSZYCH WZGLĘDÓW, TRYBUNAŁ, JEDNOMYŚLNIE,</w:t>
      </w:r>
    </w:p>
    <w:p w14:paraId="16D3873F" w14:textId="77777777" w:rsidR="00037E61" w:rsidRPr="00427610" w:rsidRDefault="00D85F5E" w:rsidP="00560263">
      <w:pPr>
        <w:pStyle w:val="JuList"/>
        <w:rPr>
          <w:lang w:val="pl-PL"/>
        </w:rPr>
      </w:pPr>
      <w:r>
        <w:rPr>
          <w:lang w:val="pl"/>
        </w:rPr>
        <w:t>1. Orzeka, że doszło do naruszenia art. 6 ust. 1 (art. 6-1);</w:t>
      </w:r>
    </w:p>
    <w:p w14:paraId="4BF84AC9" w14:textId="77777777" w:rsidR="004436C9" w:rsidRPr="00427610" w:rsidRDefault="004436C9" w:rsidP="00560263">
      <w:pPr>
        <w:pStyle w:val="JuList"/>
        <w:rPr>
          <w:lang w:val="pl-PL"/>
        </w:rPr>
      </w:pPr>
    </w:p>
    <w:p w14:paraId="0F59E521" w14:textId="297A2329" w:rsidR="00037E61" w:rsidRPr="00427610" w:rsidRDefault="00D85F5E" w:rsidP="00560263">
      <w:pPr>
        <w:pStyle w:val="JuList"/>
        <w:rPr>
          <w:lang w:val="pl-PL"/>
        </w:rPr>
      </w:pPr>
      <w:r>
        <w:rPr>
          <w:lang w:val="pl"/>
        </w:rPr>
        <w:t>2. Nakazuje pozwanemu państwu zapłacić skarżącemu sto pięćdziesiąt tysięcy (150 000) escudo na podstawie art. 50</w:t>
      </w:r>
      <w:r w:rsidR="0019121E">
        <w:rPr>
          <w:lang w:val="pl"/>
        </w:rPr>
        <w:t>.</w:t>
      </w:r>
    </w:p>
    <w:p w14:paraId="06B7C9E1" w14:textId="77777777" w:rsidR="00560263" w:rsidRPr="00427610" w:rsidRDefault="00560263" w:rsidP="00D85F5E">
      <w:pPr>
        <w:rPr>
          <w:lang w:val="pl-PL"/>
        </w:rPr>
      </w:pPr>
    </w:p>
    <w:p w14:paraId="53C87AA1" w14:textId="77777777" w:rsidR="00037E61" w:rsidRPr="00427610" w:rsidRDefault="00D85F5E" w:rsidP="00560263">
      <w:pPr>
        <w:pStyle w:val="JuParaLast"/>
        <w:rPr>
          <w:lang w:val="pl-PL"/>
        </w:rPr>
      </w:pPr>
      <w:r>
        <w:rPr>
          <w:lang w:val="pl"/>
        </w:rPr>
        <w:t xml:space="preserve">Wydano w języku francuskim i angielskim w </w:t>
      </w:r>
      <w:proofErr w:type="spellStart"/>
      <w:r>
        <w:rPr>
          <w:lang w:val="pl"/>
        </w:rPr>
        <w:t>Palais</w:t>
      </w:r>
      <w:proofErr w:type="spellEnd"/>
      <w:r>
        <w:rPr>
          <w:lang w:val="pl"/>
        </w:rPr>
        <w:t xml:space="preserve"> des </w:t>
      </w:r>
      <w:proofErr w:type="spellStart"/>
      <w:r>
        <w:rPr>
          <w:lang w:val="pl"/>
        </w:rPr>
        <w:t>Droits</w:t>
      </w:r>
      <w:proofErr w:type="spellEnd"/>
      <w:r>
        <w:rPr>
          <w:lang w:val="pl"/>
        </w:rPr>
        <w:t xml:space="preserve"> de </w:t>
      </w:r>
      <w:proofErr w:type="spellStart"/>
      <w:r>
        <w:rPr>
          <w:lang w:val="pl"/>
        </w:rPr>
        <w:t>l'Homme</w:t>
      </w:r>
      <w:proofErr w:type="spellEnd"/>
      <w:r>
        <w:rPr>
          <w:lang w:val="pl"/>
        </w:rPr>
        <w:t xml:space="preserve"> w Strasburgu, dziesiątego lipca tysiąc dziewięćset osiemdziesiątego czwartego roku.</w:t>
      </w:r>
    </w:p>
    <w:p w14:paraId="4D154DAD" w14:textId="77777777" w:rsidR="00560263" w:rsidRPr="00427610" w:rsidRDefault="00560263" w:rsidP="00D85F5E">
      <w:pPr>
        <w:rPr>
          <w:lang w:val="pl-PL"/>
        </w:rPr>
      </w:pPr>
    </w:p>
    <w:p w14:paraId="4551C1DC" w14:textId="77777777" w:rsidR="00560263" w:rsidRPr="00427610" w:rsidRDefault="00560263" w:rsidP="00560263">
      <w:pPr>
        <w:pStyle w:val="JuSigned"/>
        <w:jc w:val="right"/>
        <w:rPr>
          <w:lang w:val="pl-PL"/>
        </w:rPr>
      </w:pPr>
      <w:r>
        <w:rPr>
          <w:lang w:val="pl"/>
        </w:rPr>
        <w:t>W imieniu Przewodniczącego</w:t>
      </w:r>
    </w:p>
    <w:p w14:paraId="6C86F0DB" w14:textId="77777777" w:rsidR="00560263" w:rsidRPr="00427610" w:rsidRDefault="00D85F5E" w:rsidP="00560263">
      <w:pPr>
        <w:pStyle w:val="JuSigned"/>
        <w:jc w:val="right"/>
        <w:rPr>
          <w:lang w:val="pl-PL"/>
        </w:rPr>
      </w:pPr>
      <w:r>
        <w:rPr>
          <w:lang w:val="pl"/>
        </w:rPr>
        <w:t xml:space="preserve">Walter </w:t>
      </w:r>
      <w:r>
        <w:rPr>
          <w:rStyle w:val="JuNames"/>
          <w:lang w:val="pl"/>
        </w:rPr>
        <w:t>GANSHOF VAN DER MEERSCH</w:t>
      </w:r>
    </w:p>
    <w:p w14:paraId="0FD2FCE5" w14:textId="77777777" w:rsidR="00037E61" w:rsidRPr="00427610" w:rsidRDefault="00D85F5E" w:rsidP="00560263">
      <w:pPr>
        <w:pStyle w:val="JuSigned"/>
        <w:jc w:val="right"/>
        <w:rPr>
          <w:lang w:val="pl-PL"/>
        </w:rPr>
      </w:pPr>
      <w:r>
        <w:rPr>
          <w:lang w:val="pl"/>
        </w:rPr>
        <w:t>Sędzia</w:t>
      </w:r>
    </w:p>
    <w:p w14:paraId="2C3C9012" w14:textId="77777777" w:rsidR="00560263" w:rsidRPr="00427610" w:rsidRDefault="00560263" w:rsidP="00560263">
      <w:pPr>
        <w:pStyle w:val="JuSigned"/>
        <w:rPr>
          <w:lang w:val="pl-PL"/>
        </w:rPr>
      </w:pPr>
    </w:p>
    <w:p w14:paraId="2A6FC2D4" w14:textId="77777777" w:rsidR="00560263" w:rsidRPr="00427610" w:rsidRDefault="00560263" w:rsidP="00560263">
      <w:pPr>
        <w:pStyle w:val="JuSigned"/>
        <w:rPr>
          <w:lang w:val="pl-PL"/>
        </w:rPr>
      </w:pPr>
      <w:r>
        <w:rPr>
          <w:lang w:val="pl"/>
        </w:rPr>
        <w:t>W imieniu Kanclerza</w:t>
      </w:r>
    </w:p>
    <w:p w14:paraId="1C921303" w14:textId="77777777" w:rsidR="00560263" w:rsidRPr="00427610" w:rsidRDefault="00D85F5E" w:rsidP="00560263">
      <w:pPr>
        <w:pStyle w:val="JuSigned"/>
        <w:rPr>
          <w:lang w:val="pl-PL"/>
        </w:rPr>
      </w:pPr>
      <w:r>
        <w:rPr>
          <w:lang w:val="pl"/>
        </w:rPr>
        <w:t xml:space="preserve">Herbert </w:t>
      </w:r>
      <w:r>
        <w:rPr>
          <w:rStyle w:val="JuNames"/>
          <w:lang w:val="pl"/>
        </w:rPr>
        <w:t>PETZOLD</w:t>
      </w:r>
    </w:p>
    <w:p w14:paraId="2AF02552" w14:textId="77777777" w:rsidR="00037E61" w:rsidRDefault="00D85F5E" w:rsidP="00560263">
      <w:pPr>
        <w:pStyle w:val="JuSigned"/>
      </w:pPr>
      <w:r>
        <w:rPr>
          <w:lang w:val="pl"/>
        </w:rPr>
        <w:t>Zastępca Kanclerza</w:t>
      </w:r>
    </w:p>
    <w:p w14:paraId="59D47C5A" w14:textId="77777777" w:rsidR="00037E61" w:rsidRDefault="00037E61" w:rsidP="00D85F5E"/>
    <w:p w14:paraId="47B36010" w14:textId="77777777" w:rsidR="00AC0B94" w:rsidRPr="00DF4689" w:rsidRDefault="00AC0B94" w:rsidP="00D85F5E"/>
    <w:sectPr w:rsidR="00AC0B94" w:rsidRPr="00DF4689" w:rsidSect="00D85F5E">
      <w:headerReference w:type="even" r:id="rId13"/>
      <w:headerReference w:type="default" r:id="rId14"/>
      <w:footnotePr>
        <w:numRestart w:val="eachPage"/>
      </w:footnotePr>
      <w:type w:val="continuous"/>
      <w:pgSz w:w="11906" w:h="16838" w:code="9"/>
      <w:pgMar w:top="2274" w:right="2274" w:bottom="2274" w:left="2274" w:header="1701" w:footer="720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07B92" w14:textId="77777777" w:rsidR="00C6563B" w:rsidRDefault="00C6563B">
      <w:r>
        <w:separator/>
      </w:r>
    </w:p>
  </w:endnote>
  <w:endnote w:type="continuationSeparator" w:id="0">
    <w:p w14:paraId="397BD3A8" w14:textId="77777777" w:rsidR="00C6563B" w:rsidRDefault="00C6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F7931" w14:textId="77777777" w:rsidR="00C6563B" w:rsidRDefault="00C6563B">
      <w:r>
        <w:separator/>
      </w:r>
    </w:p>
  </w:footnote>
  <w:footnote w:type="continuationSeparator" w:id="0">
    <w:p w14:paraId="0AE7DE3F" w14:textId="77777777" w:rsidR="00C6563B" w:rsidRDefault="00C6563B">
      <w:r>
        <w:continuationSeparator/>
      </w:r>
    </w:p>
  </w:footnote>
  <w:footnote w:id="1">
    <w:p w14:paraId="2396908A" w14:textId="7B48D611" w:rsidR="00531887" w:rsidRPr="00427610" w:rsidRDefault="00531887">
      <w:pPr>
        <w:pStyle w:val="Tekstprzypisudolnego"/>
        <w:rPr>
          <w:lang w:val="pl-PL"/>
        </w:rPr>
      </w:pPr>
      <w:r>
        <w:rPr>
          <w:rStyle w:val="Odwoanieprzypisudolnego"/>
          <w:vertAlign w:val="baseline"/>
          <w:lang w:val="pl"/>
        </w:rPr>
        <w:sym w:font="Symbol" w:char="F02A"/>
      </w:r>
      <w:r>
        <w:rPr>
          <w:lang w:val="pl"/>
        </w:rPr>
        <w:t xml:space="preserve"> Uwaga sekretariatu: są to nowe przepisy, które weszły w życie w dniu 1 stycznia 1983 r. i</w:t>
      </w:r>
      <w:r w:rsidR="00427610">
        <w:rPr>
          <w:lang w:val="pl"/>
        </w:rPr>
        <w:t> </w:t>
      </w:r>
      <w:r>
        <w:rPr>
          <w:lang w:val="pl"/>
        </w:rPr>
        <w:t>mają zastosowanie w niniejszej sprawie.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74DC1" w14:textId="77777777" w:rsidR="00531887" w:rsidRDefault="00531887" w:rsidP="00440838">
    <w:pPr>
      <w:pStyle w:val="Nagwek"/>
      <w:framePr w:wrap="around" w:vAnchor="text" w:hAnchor="margin" w:xAlign="inside" w:y="1"/>
      <w:rPr>
        <w:rStyle w:val="Numerstrony"/>
      </w:rPr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PAGE 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18</w:t>
    </w:r>
    <w:r>
      <w:rPr>
        <w:rStyle w:val="Numerstrony"/>
        <w:lang w:val="pl"/>
      </w:rPr>
      <w:fldChar w:fldCharType="end"/>
    </w:r>
  </w:p>
  <w:p w14:paraId="5CBEB0B7" w14:textId="77777777" w:rsidR="00531887" w:rsidRDefault="00531887" w:rsidP="00AC0B94">
    <w:pPr>
      <w:pStyle w:val="JuHeaderChar"/>
    </w:pPr>
    <w:r>
      <w:rPr>
        <w:lang w:val="pl"/>
      </w:rPr>
      <w:t>SPRAWA GOLDER przeciwko ZJEDNOCZONEMU KRÓLESTWU</w:t>
    </w:r>
  </w:p>
  <w:p w14:paraId="1A8E40E3" w14:textId="77777777" w:rsidR="00531887" w:rsidRDefault="00531887" w:rsidP="00AC0B94">
    <w:pPr>
      <w:pStyle w:val="JuHeaderCha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0FD8" w14:textId="77777777" w:rsidR="00531887" w:rsidRPr="00427610" w:rsidRDefault="00531887" w:rsidP="00FB502C">
    <w:pPr>
      <w:pStyle w:val="Nagwek"/>
      <w:framePr w:wrap="around" w:vAnchor="text" w:hAnchor="margin" w:xAlign="inside" w:y="1"/>
      <w:rPr>
        <w:rStyle w:val="Numerstrony"/>
        <w:lang w:val="pl-PL"/>
      </w:rPr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PAGE 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1</w:t>
    </w:r>
    <w:r>
      <w:rPr>
        <w:rStyle w:val="Numerstrony"/>
        <w:lang w:val="pl"/>
      </w:rPr>
      <w:fldChar w:fldCharType="end"/>
    </w:r>
  </w:p>
  <w:p w14:paraId="640287CA" w14:textId="77777777" w:rsidR="00531887" w:rsidRPr="00427610" w:rsidRDefault="00531887" w:rsidP="00C92CD7">
    <w:pPr>
      <w:pStyle w:val="JuHeaderChar"/>
      <w:rPr>
        <w:lang w:val="pl-PL"/>
      </w:rPr>
    </w:pPr>
    <w:r>
      <w:rPr>
        <w:lang w:val="pl"/>
      </w:rPr>
      <w:t>WYROK W SPRAWIE AIREY przeciwko IRLANDII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750BB" w14:textId="74629384" w:rsidR="00531887" w:rsidRDefault="002D1B12" w:rsidP="00E957AE">
    <w:pPr>
      <w:pStyle w:val="JuHeaderChar"/>
    </w:pPr>
    <w:r>
      <w:rPr>
        <w:noProof/>
        <w:lang w:val="pl"/>
      </w:rPr>
      <w:drawing>
        <wp:inline distT="0" distB="0" distL="0" distR="0" wp14:anchorId="0D76DA04" wp14:editId="73969F1A">
          <wp:extent cx="4285615" cy="17741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5615" cy="177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E0CC09" w14:textId="77777777" w:rsidR="00531887" w:rsidRDefault="00531887" w:rsidP="00E957AE">
    <w:pPr>
      <w:pStyle w:val="JuHeaderCha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CBAFD" w14:textId="77777777" w:rsidR="00531887" w:rsidRPr="00427610" w:rsidRDefault="00531887" w:rsidP="00440838">
    <w:pPr>
      <w:pStyle w:val="Nagwek"/>
      <w:framePr w:wrap="around" w:vAnchor="text" w:hAnchor="margin" w:xAlign="inside" w:y="1"/>
      <w:rPr>
        <w:rStyle w:val="Numerstrony"/>
        <w:lang w:val="pl-PL"/>
      </w:rPr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PAGE 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12</w:t>
    </w:r>
    <w:r>
      <w:rPr>
        <w:rStyle w:val="Numerstrony"/>
        <w:lang w:val="pl"/>
      </w:rPr>
      <w:fldChar w:fldCharType="end"/>
    </w:r>
  </w:p>
  <w:p w14:paraId="2C9E65E6" w14:textId="77777777" w:rsidR="00531887" w:rsidRPr="00427610" w:rsidRDefault="00531887" w:rsidP="00352120">
    <w:pPr>
      <w:pStyle w:val="JuHeaderChar"/>
      <w:rPr>
        <w:lang w:val="pl-PL"/>
      </w:rPr>
    </w:pPr>
    <w:r>
      <w:rPr>
        <w:lang w:val="pl"/>
      </w:rPr>
      <w:t>WYROK W SPRAWIE GUINCHO przeciwko PORTUGALII</w:t>
    </w:r>
  </w:p>
  <w:p w14:paraId="53B7EC97" w14:textId="77777777" w:rsidR="00531887" w:rsidRPr="00427610" w:rsidRDefault="00531887" w:rsidP="00352120">
    <w:pPr>
      <w:pStyle w:val="JuHeaderChar"/>
      <w:rPr>
        <w:lang w:val="pl-PL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3A0FE" w14:textId="77777777" w:rsidR="00531887" w:rsidRPr="00427610" w:rsidRDefault="00531887" w:rsidP="00FB502C">
    <w:pPr>
      <w:pStyle w:val="Nagwek"/>
      <w:framePr w:wrap="around" w:vAnchor="text" w:hAnchor="margin" w:xAlign="inside" w:y="1"/>
      <w:rPr>
        <w:rStyle w:val="Numerstrony"/>
        <w:lang w:val="pl-PL"/>
      </w:rPr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PAGE 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1</w:t>
    </w:r>
    <w:r>
      <w:rPr>
        <w:rStyle w:val="Numerstrony"/>
        <w:lang w:val="pl"/>
      </w:rPr>
      <w:fldChar w:fldCharType="end"/>
    </w:r>
  </w:p>
  <w:p w14:paraId="30240492" w14:textId="77777777" w:rsidR="00531887" w:rsidRPr="00427610" w:rsidRDefault="00531887" w:rsidP="000653B5">
    <w:pPr>
      <w:pStyle w:val="JuHeaderChar"/>
      <w:rPr>
        <w:lang w:val="pl-PL"/>
      </w:rPr>
    </w:pPr>
    <w:r>
      <w:rPr>
        <w:lang w:val="pl"/>
      </w:rPr>
      <w:t>WYROK W SPRAWIE GUINCHO przeciwko PORTUGALII</w:t>
    </w:r>
  </w:p>
  <w:p w14:paraId="70D015C6" w14:textId="77777777" w:rsidR="00531887" w:rsidRPr="00427610" w:rsidRDefault="00531887" w:rsidP="000653B5">
    <w:pPr>
      <w:pStyle w:val="JuHeaderChar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93ADE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37AAF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BDC49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53AA2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607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C4B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 w15:restartNumberingAfterBreak="0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 w15:restartNumberingAfterBreak="0">
    <w:nsid w:val="0B8104C5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 w15:restartNumberingAfterBreak="0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 w15:restartNumberingAfterBreak="0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 w15:restartNumberingAfterBreak="0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6" w15:restartNumberingAfterBreak="0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 w15:restartNumberingAfterBreak="0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 w15:restartNumberingAfterBreak="0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 w15:restartNumberingAfterBreak="0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 w15:restartNumberingAfterBreak="0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 w15:restartNumberingAfterBreak="0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2" w15:restartNumberingAfterBreak="0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 w15:restartNumberingAfterBreak="0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 w15:restartNumberingAfterBreak="0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5" w15:restartNumberingAfterBreak="0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 w15:restartNumberingAfterBreak="0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7" w15:restartNumberingAfterBreak="0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8" w15:restartNumberingAfterBreak="0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 w15:restartNumberingAfterBreak="0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0" w15:restartNumberingAfterBreak="0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1" w15:restartNumberingAfterBreak="0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2" w15:restartNumberingAfterBreak="0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3" w15:restartNumberingAfterBreak="0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4" w15:restartNumberingAfterBreak="0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5" w15:restartNumberingAfterBreak="0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 w16cid:durableId="225266874">
    <w:abstractNumId w:val="14"/>
  </w:num>
  <w:num w:numId="2" w16cid:durableId="364869647">
    <w:abstractNumId w:val="29"/>
  </w:num>
  <w:num w:numId="3" w16cid:durableId="1273249431">
    <w:abstractNumId w:val="17"/>
  </w:num>
  <w:num w:numId="4" w16cid:durableId="948512263">
    <w:abstractNumId w:val="27"/>
  </w:num>
  <w:num w:numId="5" w16cid:durableId="35665959">
    <w:abstractNumId w:val="35"/>
  </w:num>
  <w:num w:numId="6" w16cid:durableId="406339834">
    <w:abstractNumId w:val="10"/>
  </w:num>
  <w:num w:numId="7" w16cid:durableId="851186217">
    <w:abstractNumId w:val="32"/>
  </w:num>
  <w:num w:numId="8" w16cid:durableId="323096287">
    <w:abstractNumId w:val="9"/>
  </w:num>
  <w:num w:numId="9" w16cid:durableId="38017128">
    <w:abstractNumId w:val="7"/>
  </w:num>
  <w:num w:numId="10" w16cid:durableId="925459070">
    <w:abstractNumId w:val="6"/>
  </w:num>
  <w:num w:numId="11" w16cid:durableId="1231038379">
    <w:abstractNumId w:val="4"/>
  </w:num>
  <w:num w:numId="12" w16cid:durableId="1223638788">
    <w:abstractNumId w:val="8"/>
  </w:num>
  <w:num w:numId="13" w16cid:durableId="1278373912">
    <w:abstractNumId w:val="15"/>
  </w:num>
  <w:num w:numId="14" w16cid:durableId="506948345">
    <w:abstractNumId w:val="25"/>
  </w:num>
  <w:num w:numId="15" w16cid:durableId="1870486906">
    <w:abstractNumId w:val="30"/>
  </w:num>
  <w:num w:numId="16" w16cid:durableId="9992184">
    <w:abstractNumId w:val="18"/>
  </w:num>
  <w:num w:numId="17" w16cid:durableId="1139297552">
    <w:abstractNumId w:val="26"/>
  </w:num>
  <w:num w:numId="18" w16cid:durableId="450170840">
    <w:abstractNumId w:val="33"/>
  </w:num>
  <w:num w:numId="19" w16cid:durableId="1112935657">
    <w:abstractNumId w:val="31"/>
  </w:num>
  <w:num w:numId="20" w16cid:durableId="790823965">
    <w:abstractNumId w:val="16"/>
  </w:num>
  <w:num w:numId="21" w16cid:durableId="286740811">
    <w:abstractNumId w:val="28"/>
  </w:num>
  <w:num w:numId="22" w16cid:durableId="1329553267">
    <w:abstractNumId w:val="21"/>
  </w:num>
  <w:num w:numId="23" w16cid:durableId="1543126872">
    <w:abstractNumId w:val="23"/>
  </w:num>
  <w:num w:numId="24" w16cid:durableId="748505871">
    <w:abstractNumId w:val="11"/>
  </w:num>
  <w:num w:numId="25" w16cid:durableId="354232241">
    <w:abstractNumId w:val="13"/>
  </w:num>
  <w:num w:numId="26" w16cid:durableId="935401250">
    <w:abstractNumId w:val="34"/>
  </w:num>
  <w:num w:numId="27" w16cid:durableId="1275596420">
    <w:abstractNumId w:val="20"/>
  </w:num>
  <w:num w:numId="28" w16cid:durableId="491288540">
    <w:abstractNumId w:val="24"/>
  </w:num>
  <w:num w:numId="29" w16cid:durableId="1685134074">
    <w:abstractNumId w:val="22"/>
  </w:num>
  <w:num w:numId="30" w16cid:durableId="1038817712">
    <w:abstractNumId w:val="19"/>
  </w:num>
  <w:num w:numId="31" w16cid:durableId="270281517">
    <w:abstractNumId w:val="12"/>
  </w:num>
  <w:num w:numId="32" w16cid:durableId="1430662016">
    <w:abstractNumId w:val="5"/>
  </w:num>
  <w:num w:numId="33" w16cid:durableId="1469930091">
    <w:abstractNumId w:val="3"/>
  </w:num>
  <w:num w:numId="34" w16cid:durableId="1594819">
    <w:abstractNumId w:val="2"/>
  </w:num>
  <w:num w:numId="35" w16cid:durableId="1285650267">
    <w:abstractNumId w:val="1"/>
  </w:num>
  <w:num w:numId="36" w16cid:durableId="40360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removePersonalInformation/>
  <w:removeDateAndTime/>
  <w:embedSystemFonts/>
  <w:hideSpellingErrors/>
  <w:hideGrammaticalErrors/>
  <w:activeWritingStyle w:appName="MSWord" w:lang="fr-FR" w:vendorID="9" w:dllVersion="512" w:checkStyle="1"/>
  <w:activeWritingStyle w:appName="MSWord" w:lang="en-GB" w:vendorID="8" w:dllVersion="513" w:checkStyle="1"/>
  <w:activeWritingStyle w:appName="MSWord" w:lang="it-IT" w:vendorID="3" w:dllVersion="517" w:checkStyle="1"/>
  <w:activeWritingStyle w:appName="MSWord" w:lang="nl-NL" w:vendorID="1" w:dllVersion="512" w:checkStyle="1"/>
  <w:activeWritingStyle w:appName="MSWord" w:lang="da-DK" w:vendorID="666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48B"/>
    <w:rsid w:val="00004DAA"/>
    <w:rsid w:val="000063D0"/>
    <w:rsid w:val="000162CF"/>
    <w:rsid w:val="00016FDA"/>
    <w:rsid w:val="00023375"/>
    <w:rsid w:val="00024F7B"/>
    <w:rsid w:val="00031712"/>
    <w:rsid w:val="000323A6"/>
    <w:rsid w:val="00034381"/>
    <w:rsid w:val="0003581D"/>
    <w:rsid w:val="000370E3"/>
    <w:rsid w:val="00037E61"/>
    <w:rsid w:val="0004478D"/>
    <w:rsid w:val="000477A5"/>
    <w:rsid w:val="000516F3"/>
    <w:rsid w:val="000571D5"/>
    <w:rsid w:val="00057DBC"/>
    <w:rsid w:val="000653B5"/>
    <w:rsid w:val="000740F4"/>
    <w:rsid w:val="00074651"/>
    <w:rsid w:val="00074EFF"/>
    <w:rsid w:val="00077592"/>
    <w:rsid w:val="00083230"/>
    <w:rsid w:val="000855B8"/>
    <w:rsid w:val="00086534"/>
    <w:rsid w:val="000943BE"/>
    <w:rsid w:val="000A00DF"/>
    <w:rsid w:val="000A514E"/>
    <w:rsid w:val="000B171B"/>
    <w:rsid w:val="000B30E6"/>
    <w:rsid w:val="000B352F"/>
    <w:rsid w:val="000D0D75"/>
    <w:rsid w:val="000D2FC7"/>
    <w:rsid w:val="000F7F4D"/>
    <w:rsid w:val="00100E2B"/>
    <w:rsid w:val="0010179F"/>
    <w:rsid w:val="0010259B"/>
    <w:rsid w:val="00105BCE"/>
    <w:rsid w:val="00116B3D"/>
    <w:rsid w:val="001202BF"/>
    <w:rsid w:val="0012494C"/>
    <w:rsid w:val="00132106"/>
    <w:rsid w:val="00142977"/>
    <w:rsid w:val="0014591A"/>
    <w:rsid w:val="001470C1"/>
    <w:rsid w:val="00151C56"/>
    <w:rsid w:val="0015773B"/>
    <w:rsid w:val="001628E0"/>
    <w:rsid w:val="001629D1"/>
    <w:rsid w:val="00170BE6"/>
    <w:rsid w:val="00181084"/>
    <w:rsid w:val="001819E6"/>
    <w:rsid w:val="00181C85"/>
    <w:rsid w:val="00181CE6"/>
    <w:rsid w:val="00184910"/>
    <w:rsid w:val="0019121E"/>
    <w:rsid w:val="001A2A55"/>
    <w:rsid w:val="001B2AA6"/>
    <w:rsid w:val="001B6497"/>
    <w:rsid w:val="001B74E8"/>
    <w:rsid w:val="001C0618"/>
    <w:rsid w:val="001C344E"/>
    <w:rsid w:val="001D38FE"/>
    <w:rsid w:val="001D7840"/>
    <w:rsid w:val="001F0C50"/>
    <w:rsid w:val="0020188F"/>
    <w:rsid w:val="00207889"/>
    <w:rsid w:val="00210E77"/>
    <w:rsid w:val="00213084"/>
    <w:rsid w:val="0021329B"/>
    <w:rsid w:val="0021486F"/>
    <w:rsid w:val="002257C3"/>
    <w:rsid w:val="00231CCF"/>
    <w:rsid w:val="002343A1"/>
    <w:rsid w:val="00234F8F"/>
    <w:rsid w:val="00235284"/>
    <w:rsid w:val="002358C8"/>
    <w:rsid w:val="002366DA"/>
    <w:rsid w:val="00236CD5"/>
    <w:rsid w:val="00240EA6"/>
    <w:rsid w:val="00247A69"/>
    <w:rsid w:val="002524F6"/>
    <w:rsid w:val="0025353E"/>
    <w:rsid w:val="00271119"/>
    <w:rsid w:val="00277775"/>
    <w:rsid w:val="00280AAF"/>
    <w:rsid w:val="0028120A"/>
    <w:rsid w:val="0028127B"/>
    <w:rsid w:val="0028370E"/>
    <w:rsid w:val="00286C4E"/>
    <w:rsid w:val="00291461"/>
    <w:rsid w:val="002B3811"/>
    <w:rsid w:val="002B6F17"/>
    <w:rsid w:val="002C7E09"/>
    <w:rsid w:val="002D1B12"/>
    <w:rsid w:val="002D231D"/>
    <w:rsid w:val="002D4648"/>
    <w:rsid w:val="002D4A1D"/>
    <w:rsid w:val="002E0EB9"/>
    <w:rsid w:val="002E1A07"/>
    <w:rsid w:val="002E260A"/>
    <w:rsid w:val="002E26FD"/>
    <w:rsid w:val="002E38BC"/>
    <w:rsid w:val="002F6B97"/>
    <w:rsid w:val="00303230"/>
    <w:rsid w:val="00303844"/>
    <w:rsid w:val="00322979"/>
    <w:rsid w:val="00322FF3"/>
    <w:rsid w:val="0032733A"/>
    <w:rsid w:val="003279DC"/>
    <w:rsid w:val="00340F3F"/>
    <w:rsid w:val="003459EE"/>
    <w:rsid w:val="00347C7C"/>
    <w:rsid w:val="00352120"/>
    <w:rsid w:val="003624EA"/>
    <w:rsid w:val="0036797F"/>
    <w:rsid w:val="00374F72"/>
    <w:rsid w:val="00375B91"/>
    <w:rsid w:val="00376AFC"/>
    <w:rsid w:val="00380DBC"/>
    <w:rsid w:val="003B5923"/>
    <w:rsid w:val="003D101C"/>
    <w:rsid w:val="003D65F8"/>
    <w:rsid w:val="003E2759"/>
    <w:rsid w:val="003E36BE"/>
    <w:rsid w:val="003E7588"/>
    <w:rsid w:val="003F16B4"/>
    <w:rsid w:val="003F3D31"/>
    <w:rsid w:val="003F6BD6"/>
    <w:rsid w:val="003F710C"/>
    <w:rsid w:val="00420F8F"/>
    <w:rsid w:val="00424375"/>
    <w:rsid w:val="0042457C"/>
    <w:rsid w:val="00425254"/>
    <w:rsid w:val="00427610"/>
    <w:rsid w:val="00440838"/>
    <w:rsid w:val="00442FC9"/>
    <w:rsid w:val="004436C9"/>
    <w:rsid w:val="0045522D"/>
    <w:rsid w:val="00457511"/>
    <w:rsid w:val="00463A40"/>
    <w:rsid w:val="0046621C"/>
    <w:rsid w:val="00482D0D"/>
    <w:rsid w:val="00490688"/>
    <w:rsid w:val="00493747"/>
    <w:rsid w:val="004954CC"/>
    <w:rsid w:val="004B3ECA"/>
    <w:rsid w:val="004C4A29"/>
    <w:rsid w:val="004D0AF3"/>
    <w:rsid w:val="004D3C2A"/>
    <w:rsid w:val="004E6862"/>
    <w:rsid w:val="004E6F76"/>
    <w:rsid w:val="004F40D0"/>
    <w:rsid w:val="004F50EA"/>
    <w:rsid w:val="004F5D26"/>
    <w:rsid w:val="00517165"/>
    <w:rsid w:val="00523536"/>
    <w:rsid w:val="00531887"/>
    <w:rsid w:val="00542BA6"/>
    <w:rsid w:val="00543668"/>
    <w:rsid w:val="005547BA"/>
    <w:rsid w:val="00555F83"/>
    <w:rsid w:val="005600FE"/>
    <w:rsid w:val="00560263"/>
    <w:rsid w:val="0056698A"/>
    <w:rsid w:val="00566CDE"/>
    <w:rsid w:val="00567133"/>
    <w:rsid w:val="005710F1"/>
    <w:rsid w:val="005729A1"/>
    <w:rsid w:val="0057385A"/>
    <w:rsid w:val="005758C2"/>
    <w:rsid w:val="00586251"/>
    <w:rsid w:val="00597713"/>
    <w:rsid w:val="005A07C9"/>
    <w:rsid w:val="005A5CBD"/>
    <w:rsid w:val="005B475E"/>
    <w:rsid w:val="005C0E4D"/>
    <w:rsid w:val="005C10B3"/>
    <w:rsid w:val="005C1CC9"/>
    <w:rsid w:val="005C6DE1"/>
    <w:rsid w:val="005D17BD"/>
    <w:rsid w:val="005D6E88"/>
    <w:rsid w:val="005E29D6"/>
    <w:rsid w:val="005F1386"/>
    <w:rsid w:val="005F205A"/>
    <w:rsid w:val="005F43B0"/>
    <w:rsid w:val="005F52F4"/>
    <w:rsid w:val="006037FB"/>
    <w:rsid w:val="0062406F"/>
    <w:rsid w:val="00625278"/>
    <w:rsid w:val="00625F5B"/>
    <w:rsid w:val="00626D87"/>
    <w:rsid w:val="0063475C"/>
    <w:rsid w:val="00636576"/>
    <w:rsid w:val="00644221"/>
    <w:rsid w:val="00653EAF"/>
    <w:rsid w:val="006602DE"/>
    <w:rsid w:val="00662C6F"/>
    <w:rsid w:val="00675030"/>
    <w:rsid w:val="00687CF2"/>
    <w:rsid w:val="00692666"/>
    <w:rsid w:val="006930B9"/>
    <w:rsid w:val="006A5C67"/>
    <w:rsid w:val="006A71B8"/>
    <w:rsid w:val="006B0ECB"/>
    <w:rsid w:val="006C1911"/>
    <w:rsid w:val="006D2E71"/>
    <w:rsid w:val="006D3BB1"/>
    <w:rsid w:val="006D5D03"/>
    <w:rsid w:val="006E1C5E"/>
    <w:rsid w:val="006E4972"/>
    <w:rsid w:val="006F73C4"/>
    <w:rsid w:val="00703967"/>
    <w:rsid w:val="0070525F"/>
    <w:rsid w:val="00707732"/>
    <w:rsid w:val="00710141"/>
    <w:rsid w:val="007135AF"/>
    <w:rsid w:val="00716452"/>
    <w:rsid w:val="00734CCF"/>
    <w:rsid w:val="007373BA"/>
    <w:rsid w:val="00740468"/>
    <w:rsid w:val="00761FB0"/>
    <w:rsid w:val="0076400B"/>
    <w:rsid w:val="00765EFF"/>
    <w:rsid w:val="00767CF8"/>
    <w:rsid w:val="007708E7"/>
    <w:rsid w:val="007747AB"/>
    <w:rsid w:val="00790578"/>
    <w:rsid w:val="0079223B"/>
    <w:rsid w:val="0079618F"/>
    <w:rsid w:val="007A2E8D"/>
    <w:rsid w:val="007A5E36"/>
    <w:rsid w:val="007B1B73"/>
    <w:rsid w:val="007B7314"/>
    <w:rsid w:val="007C5E59"/>
    <w:rsid w:val="007C652F"/>
    <w:rsid w:val="007D1E8C"/>
    <w:rsid w:val="007F2782"/>
    <w:rsid w:val="007F4614"/>
    <w:rsid w:val="007F5F6F"/>
    <w:rsid w:val="008020A5"/>
    <w:rsid w:val="0080692F"/>
    <w:rsid w:val="00807E09"/>
    <w:rsid w:val="00813766"/>
    <w:rsid w:val="008205A4"/>
    <w:rsid w:val="00821206"/>
    <w:rsid w:val="00825314"/>
    <w:rsid w:val="008270B5"/>
    <w:rsid w:val="00830815"/>
    <w:rsid w:val="00830A3A"/>
    <w:rsid w:val="00843039"/>
    <w:rsid w:val="008448FD"/>
    <w:rsid w:val="0084539B"/>
    <w:rsid w:val="00854C8A"/>
    <w:rsid w:val="00856D2A"/>
    <w:rsid w:val="00856ED8"/>
    <w:rsid w:val="0086139A"/>
    <w:rsid w:val="00862679"/>
    <w:rsid w:val="00863F98"/>
    <w:rsid w:val="008766C8"/>
    <w:rsid w:val="008803E6"/>
    <w:rsid w:val="00880521"/>
    <w:rsid w:val="008853F9"/>
    <w:rsid w:val="0089326B"/>
    <w:rsid w:val="008B2D19"/>
    <w:rsid w:val="008B4E44"/>
    <w:rsid w:val="008B4FA5"/>
    <w:rsid w:val="008C0CBB"/>
    <w:rsid w:val="008C2A0B"/>
    <w:rsid w:val="008C738A"/>
    <w:rsid w:val="008D1CE8"/>
    <w:rsid w:val="008E599C"/>
    <w:rsid w:val="008E7D77"/>
    <w:rsid w:val="00900A31"/>
    <w:rsid w:val="009209A5"/>
    <w:rsid w:val="00924025"/>
    <w:rsid w:val="00926E8B"/>
    <w:rsid w:val="00935FCB"/>
    <w:rsid w:val="00947283"/>
    <w:rsid w:val="009537E1"/>
    <w:rsid w:val="00956E95"/>
    <w:rsid w:val="00956F20"/>
    <w:rsid w:val="00961D8D"/>
    <w:rsid w:val="00965075"/>
    <w:rsid w:val="00965AA2"/>
    <w:rsid w:val="009660A1"/>
    <w:rsid w:val="00971DE4"/>
    <w:rsid w:val="0097343A"/>
    <w:rsid w:val="00980B8A"/>
    <w:rsid w:val="00991F32"/>
    <w:rsid w:val="00996AEF"/>
    <w:rsid w:val="009B60FF"/>
    <w:rsid w:val="009B683C"/>
    <w:rsid w:val="009B7CEF"/>
    <w:rsid w:val="009D4AF9"/>
    <w:rsid w:val="009D4F4E"/>
    <w:rsid w:val="009D5E9E"/>
    <w:rsid w:val="009D740A"/>
    <w:rsid w:val="009D7483"/>
    <w:rsid w:val="009E13E2"/>
    <w:rsid w:val="009E50DB"/>
    <w:rsid w:val="009F130E"/>
    <w:rsid w:val="009F754D"/>
    <w:rsid w:val="00A01039"/>
    <w:rsid w:val="00A11AFD"/>
    <w:rsid w:val="00A11E19"/>
    <w:rsid w:val="00A20AC2"/>
    <w:rsid w:val="00A305B7"/>
    <w:rsid w:val="00A3590D"/>
    <w:rsid w:val="00A43B11"/>
    <w:rsid w:val="00A55A82"/>
    <w:rsid w:val="00A805E3"/>
    <w:rsid w:val="00A85DF1"/>
    <w:rsid w:val="00A86278"/>
    <w:rsid w:val="00A8647F"/>
    <w:rsid w:val="00AA059A"/>
    <w:rsid w:val="00AB3E21"/>
    <w:rsid w:val="00AB7765"/>
    <w:rsid w:val="00AC05BA"/>
    <w:rsid w:val="00AC0B94"/>
    <w:rsid w:val="00AC4FAC"/>
    <w:rsid w:val="00AC64E4"/>
    <w:rsid w:val="00AD2345"/>
    <w:rsid w:val="00AD6104"/>
    <w:rsid w:val="00AE0F65"/>
    <w:rsid w:val="00AE3DBE"/>
    <w:rsid w:val="00AE4ABF"/>
    <w:rsid w:val="00AF048B"/>
    <w:rsid w:val="00AF44F0"/>
    <w:rsid w:val="00B060AC"/>
    <w:rsid w:val="00B06F7D"/>
    <w:rsid w:val="00B12FD6"/>
    <w:rsid w:val="00B2474C"/>
    <w:rsid w:val="00B26387"/>
    <w:rsid w:val="00B27A00"/>
    <w:rsid w:val="00B302F8"/>
    <w:rsid w:val="00B37C03"/>
    <w:rsid w:val="00B40154"/>
    <w:rsid w:val="00B41CC8"/>
    <w:rsid w:val="00B46CA1"/>
    <w:rsid w:val="00B57F8D"/>
    <w:rsid w:val="00B60425"/>
    <w:rsid w:val="00B63E11"/>
    <w:rsid w:val="00B65B32"/>
    <w:rsid w:val="00B6661F"/>
    <w:rsid w:val="00B66CD4"/>
    <w:rsid w:val="00B707DC"/>
    <w:rsid w:val="00B71D36"/>
    <w:rsid w:val="00B80FC8"/>
    <w:rsid w:val="00B841A0"/>
    <w:rsid w:val="00B85F6D"/>
    <w:rsid w:val="00B90BE6"/>
    <w:rsid w:val="00B95201"/>
    <w:rsid w:val="00BB077E"/>
    <w:rsid w:val="00BB0B57"/>
    <w:rsid w:val="00BC4F47"/>
    <w:rsid w:val="00BC50AC"/>
    <w:rsid w:val="00BD2509"/>
    <w:rsid w:val="00BD38B7"/>
    <w:rsid w:val="00BD5ADA"/>
    <w:rsid w:val="00BE3F91"/>
    <w:rsid w:val="00BE589E"/>
    <w:rsid w:val="00BE642E"/>
    <w:rsid w:val="00BE7191"/>
    <w:rsid w:val="00C0609F"/>
    <w:rsid w:val="00C066AB"/>
    <w:rsid w:val="00C15451"/>
    <w:rsid w:val="00C16A10"/>
    <w:rsid w:val="00C22515"/>
    <w:rsid w:val="00C23A5B"/>
    <w:rsid w:val="00C25BF9"/>
    <w:rsid w:val="00C25EDA"/>
    <w:rsid w:val="00C2682B"/>
    <w:rsid w:val="00C35E2A"/>
    <w:rsid w:val="00C43CCA"/>
    <w:rsid w:val="00C4485B"/>
    <w:rsid w:val="00C46BD1"/>
    <w:rsid w:val="00C63694"/>
    <w:rsid w:val="00C6501B"/>
    <w:rsid w:val="00C6563B"/>
    <w:rsid w:val="00C70EB2"/>
    <w:rsid w:val="00C73E82"/>
    <w:rsid w:val="00C8619D"/>
    <w:rsid w:val="00C869D9"/>
    <w:rsid w:val="00C86B4F"/>
    <w:rsid w:val="00C92CD7"/>
    <w:rsid w:val="00C96124"/>
    <w:rsid w:val="00C97955"/>
    <w:rsid w:val="00CA345B"/>
    <w:rsid w:val="00CB521C"/>
    <w:rsid w:val="00CB6F8B"/>
    <w:rsid w:val="00CD2142"/>
    <w:rsid w:val="00CD272B"/>
    <w:rsid w:val="00CF5C63"/>
    <w:rsid w:val="00D053E8"/>
    <w:rsid w:val="00D10042"/>
    <w:rsid w:val="00D151D2"/>
    <w:rsid w:val="00D15852"/>
    <w:rsid w:val="00D240DF"/>
    <w:rsid w:val="00D31A61"/>
    <w:rsid w:val="00D4449E"/>
    <w:rsid w:val="00D46926"/>
    <w:rsid w:val="00D52C61"/>
    <w:rsid w:val="00D5395A"/>
    <w:rsid w:val="00D54B7D"/>
    <w:rsid w:val="00D6600E"/>
    <w:rsid w:val="00D70313"/>
    <w:rsid w:val="00D71E8A"/>
    <w:rsid w:val="00D77A46"/>
    <w:rsid w:val="00D80FF0"/>
    <w:rsid w:val="00D85F5E"/>
    <w:rsid w:val="00D9620D"/>
    <w:rsid w:val="00DA1408"/>
    <w:rsid w:val="00DA7DB8"/>
    <w:rsid w:val="00DC27C8"/>
    <w:rsid w:val="00DD4EF2"/>
    <w:rsid w:val="00DD5900"/>
    <w:rsid w:val="00DE0D77"/>
    <w:rsid w:val="00DE4757"/>
    <w:rsid w:val="00DE5839"/>
    <w:rsid w:val="00DF2278"/>
    <w:rsid w:val="00DF26BF"/>
    <w:rsid w:val="00DF2BDD"/>
    <w:rsid w:val="00DF2E74"/>
    <w:rsid w:val="00DF4689"/>
    <w:rsid w:val="00DF74AD"/>
    <w:rsid w:val="00DF7E95"/>
    <w:rsid w:val="00E10D35"/>
    <w:rsid w:val="00E174E9"/>
    <w:rsid w:val="00E237A6"/>
    <w:rsid w:val="00E3418B"/>
    <w:rsid w:val="00E34476"/>
    <w:rsid w:val="00E35A10"/>
    <w:rsid w:val="00E50353"/>
    <w:rsid w:val="00E51D2F"/>
    <w:rsid w:val="00E57881"/>
    <w:rsid w:val="00E57D43"/>
    <w:rsid w:val="00E62214"/>
    <w:rsid w:val="00E75D94"/>
    <w:rsid w:val="00E87734"/>
    <w:rsid w:val="00E92DD3"/>
    <w:rsid w:val="00E957AE"/>
    <w:rsid w:val="00EA09D3"/>
    <w:rsid w:val="00EA6DAC"/>
    <w:rsid w:val="00EB1E77"/>
    <w:rsid w:val="00ED0557"/>
    <w:rsid w:val="00ED0576"/>
    <w:rsid w:val="00ED1B3B"/>
    <w:rsid w:val="00ED7400"/>
    <w:rsid w:val="00EE39A8"/>
    <w:rsid w:val="00EE5CCC"/>
    <w:rsid w:val="00EF175C"/>
    <w:rsid w:val="00EF215F"/>
    <w:rsid w:val="00EF747A"/>
    <w:rsid w:val="00EF7F2C"/>
    <w:rsid w:val="00F00503"/>
    <w:rsid w:val="00F02E75"/>
    <w:rsid w:val="00F04A20"/>
    <w:rsid w:val="00F04AEB"/>
    <w:rsid w:val="00F12F3D"/>
    <w:rsid w:val="00F210D3"/>
    <w:rsid w:val="00F24ECA"/>
    <w:rsid w:val="00F335EF"/>
    <w:rsid w:val="00F34758"/>
    <w:rsid w:val="00F3555A"/>
    <w:rsid w:val="00F3669A"/>
    <w:rsid w:val="00F42975"/>
    <w:rsid w:val="00F459B4"/>
    <w:rsid w:val="00F47784"/>
    <w:rsid w:val="00F505D6"/>
    <w:rsid w:val="00F50B32"/>
    <w:rsid w:val="00F74658"/>
    <w:rsid w:val="00F91754"/>
    <w:rsid w:val="00F9177F"/>
    <w:rsid w:val="00F95592"/>
    <w:rsid w:val="00F96985"/>
    <w:rsid w:val="00FA38D7"/>
    <w:rsid w:val="00FA465D"/>
    <w:rsid w:val="00FA7E2E"/>
    <w:rsid w:val="00FB1419"/>
    <w:rsid w:val="00FB1484"/>
    <w:rsid w:val="00FB19C4"/>
    <w:rsid w:val="00FB244C"/>
    <w:rsid w:val="00FB3A0F"/>
    <w:rsid w:val="00FB3CCF"/>
    <w:rsid w:val="00FB502C"/>
    <w:rsid w:val="00FB5830"/>
    <w:rsid w:val="00FC1E44"/>
    <w:rsid w:val="00FC7EE8"/>
    <w:rsid w:val="00FD1736"/>
    <w:rsid w:val="00FD20B1"/>
    <w:rsid w:val="00FD5A36"/>
    <w:rsid w:val="00FD77CC"/>
    <w:rsid w:val="00FE26DB"/>
    <w:rsid w:val="00FE4D60"/>
    <w:rsid w:val="00FE53AF"/>
    <w:rsid w:val="00FF3D2C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F4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jc w:val="both"/>
    </w:pPr>
    <w:rPr>
      <w:sz w:val="24"/>
      <w:lang w:val="fr-FR" w:eastAsia="fr-FR"/>
    </w:rPr>
  </w:style>
  <w:style w:type="paragraph" w:styleId="Nagwek1">
    <w:name w:val="heading 1"/>
    <w:basedOn w:val="Normalny"/>
    <w:next w:val="Normalny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120" w:after="60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60" w:after="60"/>
      <w:ind w:left="284"/>
      <w:outlineLvl w:val="2"/>
    </w:pPr>
    <w:rPr>
      <w:i/>
    </w:rPr>
  </w:style>
  <w:style w:type="paragraph" w:styleId="Nagwek4">
    <w:name w:val="heading 4"/>
    <w:basedOn w:val="Normalny"/>
    <w:next w:val="Normalny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Para">
    <w:name w:val="Ju_Para"/>
    <w:basedOn w:val="Normalny"/>
    <w:link w:val="JuParaChar"/>
    <w:pPr>
      <w:ind w:firstLine="284"/>
    </w:pPr>
  </w:style>
  <w:style w:type="paragraph" w:customStyle="1" w:styleId="JuHIRoman">
    <w:name w:val="Ju_H_I_Roman"/>
    <w:basedOn w:val="JuHHead"/>
    <w:next w:val="JuPara"/>
    <w:pPr>
      <w:spacing w:before="360"/>
      <w:ind w:left="403" w:hanging="403"/>
    </w:pPr>
    <w:rPr>
      <w:sz w:val="24"/>
    </w:rPr>
  </w:style>
  <w:style w:type="paragraph" w:customStyle="1" w:styleId="JuHHead">
    <w:name w:val="Ju_H_Head"/>
    <w:basedOn w:val="Normalny"/>
    <w:next w:val="JuPara"/>
    <w:pPr>
      <w:keepNext/>
      <w:keepLines/>
      <w:spacing w:before="720" w:after="240"/>
    </w:pPr>
    <w:rPr>
      <w:sz w:val="28"/>
    </w:rPr>
  </w:style>
  <w:style w:type="paragraph" w:styleId="Stopka">
    <w:name w:val="footer"/>
    <w:basedOn w:val="Normalny"/>
    <w:link w:val="StopkaZnak"/>
    <w:autoRedefine/>
    <w:rsid w:val="002366DA"/>
    <w:pPr>
      <w:tabs>
        <w:tab w:val="center" w:pos="3686"/>
        <w:tab w:val="right" w:pos="7371"/>
      </w:tabs>
    </w:pPr>
    <w:rPr>
      <w:sz w:val="20"/>
    </w:rPr>
  </w:style>
  <w:style w:type="paragraph" w:customStyle="1" w:styleId="JuJudges">
    <w:name w:val="Ju_Judges"/>
    <w:basedOn w:val="Normalny"/>
    <w:link w:val="JuJudgesChar"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JuHA">
    <w:name w:val="Ju_H_A"/>
    <w:basedOn w:val="JuHIRoman"/>
    <w:next w:val="JuPara"/>
    <w:autoRedefine/>
    <w:rsid w:val="000571D5"/>
    <w:pPr>
      <w:ind w:left="635"/>
    </w:pPr>
    <w:rPr>
      <w:b/>
    </w:rPr>
  </w:style>
  <w:style w:type="paragraph" w:customStyle="1" w:styleId="JuQuot">
    <w:name w:val="Ju_Quot"/>
    <w:basedOn w:val="JuPara"/>
    <w:link w:val="JuQuotChar"/>
    <w:pPr>
      <w:tabs>
        <w:tab w:val="left" w:pos="851"/>
      </w:tabs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rsid w:val="006930B9"/>
    <w:pPr>
      <w:tabs>
        <w:tab w:val="center" w:pos="851"/>
        <w:tab w:val="center" w:pos="6521"/>
      </w:tabs>
      <w:jc w:val="left"/>
    </w:p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next w:val="JuPara"/>
    <w:rPr>
      <w:b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spacing w:before="240" w:after="120"/>
      <w:ind w:left="1038"/>
    </w:pPr>
    <w:rPr>
      <w:sz w:val="20"/>
    </w:rPr>
  </w:style>
  <w:style w:type="paragraph" w:customStyle="1" w:styleId="JuQuotList">
    <w:name w:val="Ju_Quot_List"/>
    <w:basedOn w:val="JuQuot"/>
    <w:pPr>
      <w:tabs>
        <w:tab w:val="clear" w:pos="851"/>
        <w:tab w:val="left" w:pos="1021"/>
      </w:tabs>
      <w:ind w:left="567" w:firstLine="0"/>
    </w:pPr>
  </w:style>
  <w:style w:type="paragraph" w:customStyle="1" w:styleId="JuCourt">
    <w:name w:val="Ju_Court"/>
    <w:basedOn w:val="JuJudges"/>
    <w:link w:val="JuCourtChar"/>
    <w:rsid w:val="009D7483"/>
    <w:pPr>
      <w:tabs>
        <w:tab w:val="clear" w:pos="567"/>
        <w:tab w:val="clear" w:pos="1134"/>
        <w:tab w:val="left" w:pos="907"/>
        <w:tab w:val="left" w:pos="1701"/>
        <w:tab w:val="right" w:pos="7371"/>
      </w:tabs>
      <w:ind w:left="397" w:hanging="397"/>
    </w:pPr>
  </w:style>
  <w:style w:type="paragraph" w:customStyle="1" w:styleId="OpiHHead">
    <w:name w:val="Opi_H_Head"/>
    <w:basedOn w:val="JuHHead"/>
    <w:next w:val="OpiPara"/>
    <w:pPr>
      <w:spacing w:before="0"/>
      <w:jc w:val="center"/>
    </w:pPr>
  </w:style>
  <w:style w:type="paragraph" w:customStyle="1" w:styleId="OpiPara">
    <w:name w:val="Opi_Para"/>
    <w:basedOn w:val="JuPara"/>
  </w:style>
  <w:style w:type="paragraph" w:customStyle="1" w:styleId="OpiTranslation">
    <w:name w:val="Opi_Translation"/>
    <w:basedOn w:val="OpiHHead"/>
    <w:next w:val="OpiPara"/>
    <w:autoRedefine/>
    <w:rsid w:val="00C16A10"/>
    <w:rPr>
      <w:i/>
      <w:sz w:val="24"/>
    </w:rPr>
  </w:style>
  <w:style w:type="paragraph" w:customStyle="1" w:styleId="OpiQuot">
    <w:name w:val="Opi_Quot"/>
    <w:basedOn w:val="JuQuot"/>
  </w:style>
  <w:style w:type="paragraph" w:customStyle="1" w:styleId="OpiHA">
    <w:name w:val="Opi_H_A"/>
    <w:basedOn w:val="JuHIRoman"/>
    <w:next w:val="OpiPara"/>
    <w:rPr>
      <w:b/>
    </w:rPr>
  </w:style>
  <w:style w:type="paragraph" w:customStyle="1" w:styleId="OpiH1">
    <w:name w:val="Opi_H_1."/>
    <w:basedOn w:val="OpiHA"/>
    <w:next w:val="OpiPara"/>
    <w:pPr>
      <w:spacing w:before="240" w:after="120"/>
      <w:ind w:left="635"/>
    </w:pPr>
    <w:rPr>
      <w:b w:val="0"/>
      <w:i/>
    </w:rPr>
  </w:style>
  <w:style w:type="paragraph" w:customStyle="1" w:styleId="JuH1">
    <w:name w:val="Ju_H_1."/>
    <w:basedOn w:val="JuHA"/>
    <w:next w:val="JuPara"/>
    <w:autoRedefine/>
    <w:rsid w:val="00560263"/>
    <w:pPr>
      <w:spacing w:before="240" w:after="120"/>
      <w:ind w:left="834"/>
    </w:pPr>
    <w:rPr>
      <w:b w:val="0"/>
      <w:i/>
    </w:rPr>
  </w:style>
  <w:style w:type="paragraph" w:styleId="Tekstprzypisudolnego">
    <w:name w:val="footnote text"/>
    <w:basedOn w:val="Normalny"/>
    <w:semiHidden/>
    <w:rPr>
      <w:sz w:val="20"/>
    </w:r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JuHi">
    <w:name w:val="Ju_H_i"/>
    <w:basedOn w:val="JuHa0"/>
    <w:next w:val="JuPara"/>
    <w:pPr>
      <w:ind w:left="1236"/>
    </w:pPr>
    <w:rPr>
      <w:b w:val="0"/>
      <w:i/>
    </w:rPr>
  </w:style>
  <w:style w:type="paragraph" w:styleId="Nagwek">
    <w:name w:val="header"/>
    <w:basedOn w:val="Normalny"/>
    <w:link w:val="NagwekZnak"/>
    <w:pPr>
      <w:tabs>
        <w:tab w:val="center" w:pos="3686"/>
        <w:tab w:val="right" w:pos="7371"/>
      </w:tabs>
    </w:pPr>
  </w:style>
  <w:style w:type="character" w:styleId="Numerstrony">
    <w:name w:val="page number"/>
    <w:basedOn w:val="Domylnaczcionkaakapitu"/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Halpha">
    <w:name w:val="Ju_H_alpha"/>
    <w:basedOn w:val="JuHi"/>
    <w:next w:val="JuPara"/>
    <w:pPr>
      <w:ind w:left="1441"/>
    </w:pPr>
    <w:rPr>
      <w:i w:val="0"/>
    </w:r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paragraph" w:customStyle="1" w:styleId="OpiHa0">
    <w:name w:val="Opi_H_a"/>
    <w:basedOn w:val="OpiHA"/>
    <w:next w:val="OpiPara"/>
    <w:pPr>
      <w:spacing w:before="240" w:after="120"/>
      <w:ind w:left="834"/>
    </w:pPr>
    <w:rPr>
      <w:sz w:val="20"/>
    </w:rPr>
  </w:style>
  <w:style w:type="paragraph" w:customStyle="1" w:styleId="OpiHi">
    <w:name w:val="Opi_H_i"/>
    <w:basedOn w:val="OpiHa0"/>
    <w:next w:val="OpiPara"/>
    <w:pPr>
      <w:ind w:left="1038"/>
    </w:pPr>
    <w:rPr>
      <w:b w:val="0"/>
      <w:i/>
    </w:rPr>
  </w:style>
  <w:style w:type="paragraph" w:customStyle="1" w:styleId="JuH">
    <w:name w:val="Ju_H_–"/>
    <w:basedOn w:val="JuHalpha"/>
    <w:next w:val="JuPara"/>
    <w:pPr>
      <w:ind w:left="1639"/>
    </w:pPr>
    <w:rPr>
      <w:i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  <w:rPr>
      <w:sz w:val="20"/>
    </w:rPr>
  </w:style>
  <w:style w:type="paragraph" w:customStyle="1" w:styleId="JuInitialled">
    <w:name w:val="Ju_Initialled"/>
    <w:basedOn w:val="JuSigned"/>
    <w:pPr>
      <w:tabs>
        <w:tab w:val="clear" w:pos="851"/>
        <w:tab w:val="clear" w:pos="6521"/>
      </w:tabs>
      <w:jc w:val="right"/>
    </w:pPr>
  </w:style>
  <w:style w:type="paragraph" w:customStyle="1" w:styleId="JuHeaderChar">
    <w:name w:val="Ju_Header Char"/>
    <w:basedOn w:val="Nagwek"/>
    <w:link w:val="JuHeaderCharChar"/>
    <w:autoRedefine/>
    <w:rsid w:val="00C92CD7"/>
    <w:pPr>
      <w:ind w:right="360" w:firstLine="360"/>
      <w:jc w:val="center"/>
    </w:pPr>
    <w:rPr>
      <w:sz w:val="18"/>
    </w:rPr>
  </w:style>
  <w:style w:type="paragraph" w:customStyle="1" w:styleId="OpiCommission">
    <w:name w:val="Opi_Commission"/>
    <w:basedOn w:val="JuJudges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pPr>
      <w:keepNext/>
      <w:keepLines/>
      <w:spacing w:before="360" w:after="120"/>
      <w:ind w:firstLine="0"/>
    </w:pPr>
    <w:rPr>
      <w:i/>
    </w:rPr>
  </w:style>
  <w:style w:type="paragraph" w:customStyle="1" w:styleId="OpiHCommission">
    <w:name w:val="Opi_H_Commission"/>
    <w:basedOn w:val="OpiTranslation"/>
    <w:next w:val="OpiPara"/>
    <w:pPr>
      <w:spacing w:before="480"/>
      <w:ind w:left="1418"/>
      <w:jc w:val="left"/>
    </w:pPr>
    <w:rPr>
      <w:sz w:val="20"/>
    </w:rPr>
  </w:style>
  <w:style w:type="paragraph" w:customStyle="1" w:styleId="OpiHOpinion">
    <w:name w:val="Opi_H_Opinion"/>
    <w:basedOn w:val="OpiHHead"/>
    <w:next w:val="OpiPara"/>
    <w:pPr>
      <w:spacing w:before="240"/>
    </w:pPr>
    <w:rPr>
      <w:b/>
    </w:rPr>
  </w:style>
  <w:style w:type="paragraph" w:customStyle="1" w:styleId="OpiList">
    <w:name w:val="Opi_List"/>
    <w:basedOn w:val="JuList"/>
  </w:style>
  <w:style w:type="character" w:customStyle="1" w:styleId="OpiNames">
    <w:name w:val="Opi_Names"/>
    <w:rPr>
      <w:rFonts w:ascii="Times New Roman" w:hAnsi="Times New Roman"/>
      <w:smallCaps/>
      <w:noProof w:val="0"/>
      <w:sz w:val="20"/>
      <w:vertAlign w:val="baseline"/>
      <w:lang w:val="fr-FR"/>
    </w:rPr>
  </w:style>
  <w:style w:type="character" w:customStyle="1" w:styleId="OpiNamesSignature">
    <w:name w:val="Opi_Names_Signature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OpiQuotList">
    <w:name w:val="Opi_Quot_List"/>
    <w:basedOn w:val="JuQuotList"/>
  </w:style>
  <w:style w:type="paragraph" w:customStyle="1" w:styleId="OpiSigned">
    <w:name w:val="Opi_Signed"/>
    <w:basedOn w:val="JuSigned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customStyle="1" w:styleId="DecHTitle">
    <w:name w:val="Dec_H_Title"/>
    <w:basedOn w:val="JuHHead"/>
    <w:next w:val="DecHCase"/>
    <w:pPr>
      <w:spacing w:before="0"/>
      <w:jc w:val="center"/>
    </w:p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JuList"/>
    <w:pPr>
      <w:spacing w:before="240"/>
      <w:ind w:left="284" w:firstLine="0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styleId="Tekstpodstawowy">
    <w:name w:val="Body Text"/>
    <w:basedOn w:val="Normalny"/>
    <w:pPr>
      <w:suppressAutoHyphens w:val="0"/>
    </w:pPr>
  </w:style>
  <w:style w:type="character" w:customStyle="1" w:styleId="NagwekZnak">
    <w:name w:val="Nagłówek Znak"/>
    <w:link w:val="Nagwek"/>
    <w:rsid w:val="00277775"/>
    <w:rPr>
      <w:sz w:val="24"/>
      <w:lang w:val="fr-FR" w:eastAsia="fr-FR" w:bidi="ar-SA"/>
    </w:rPr>
  </w:style>
  <w:style w:type="character" w:customStyle="1" w:styleId="JuHeaderCharChar">
    <w:name w:val="Ju_Header Char Char"/>
    <w:link w:val="JuHeaderChar"/>
    <w:rsid w:val="00C92CD7"/>
    <w:rPr>
      <w:sz w:val="18"/>
      <w:lang w:val="fr-FR" w:eastAsia="fr-FR" w:bidi="ar-SA"/>
    </w:rPr>
  </w:style>
  <w:style w:type="character" w:customStyle="1" w:styleId="JuJudgesChar">
    <w:name w:val="Ju_Judges Char"/>
    <w:link w:val="JuJudges"/>
    <w:rsid w:val="005C10B3"/>
    <w:rPr>
      <w:sz w:val="24"/>
      <w:lang w:val="fr-FR" w:eastAsia="fr-FR" w:bidi="ar-SA"/>
    </w:rPr>
  </w:style>
  <w:style w:type="character" w:customStyle="1" w:styleId="JuParaChar">
    <w:name w:val="Ju_Para Char"/>
    <w:link w:val="JuPara"/>
    <w:rsid w:val="006930B9"/>
    <w:rPr>
      <w:sz w:val="24"/>
      <w:lang w:val="fr-FR" w:eastAsia="fr-FR" w:bidi="ar-SA"/>
    </w:rPr>
  </w:style>
  <w:style w:type="character" w:customStyle="1" w:styleId="JuQuotChar">
    <w:name w:val="Ju_Quot Char"/>
    <w:link w:val="JuQuot"/>
    <w:rsid w:val="006930B9"/>
    <w:rPr>
      <w:sz w:val="24"/>
      <w:lang w:val="fr-FR" w:eastAsia="fr-FR" w:bidi="ar-SA"/>
    </w:rPr>
  </w:style>
  <w:style w:type="character" w:customStyle="1" w:styleId="JuCourtChar">
    <w:name w:val="Ju_Court Char"/>
    <w:link w:val="JuCourt"/>
    <w:rsid w:val="006A71B8"/>
    <w:rPr>
      <w:sz w:val="24"/>
      <w:lang w:val="fr-FR" w:eastAsia="fr-FR" w:bidi="ar-SA"/>
    </w:rPr>
  </w:style>
  <w:style w:type="character" w:customStyle="1" w:styleId="JuSignedChar">
    <w:name w:val="Ju_Signed Char"/>
    <w:link w:val="JuSigned"/>
    <w:rsid w:val="00181084"/>
    <w:rPr>
      <w:sz w:val="24"/>
      <w:lang w:val="fr-FR" w:eastAsia="fr-FR" w:bidi="ar-SA"/>
    </w:rPr>
  </w:style>
  <w:style w:type="character" w:customStyle="1" w:styleId="StopkaZnak">
    <w:name w:val="Stopka Znak"/>
    <w:link w:val="Stopka"/>
    <w:rsid w:val="002366DA"/>
    <w:rPr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E52393-AE65-4CD3-A204-BC9C2EEE98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1AA905-A59A-41B7-ABB4-DA8C3D5088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0736BC-D975-469A-A8D7-A74368541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4701</Words>
  <Characters>28212</Characters>
  <Application>Microsoft Office Word</Application>
  <DocSecurity>0</DocSecurity>
  <Lines>235</Lines>
  <Paragraphs>65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32848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période transitoire</dc:subject>
  <dc:creator/>
  <cp:keywords/>
  <cp:lastModifiedBy/>
  <cp:revision>1</cp:revision>
  <cp:lastPrinted>2001-05-02T14:47:00Z</cp:lastPrinted>
  <dcterms:created xsi:type="dcterms:W3CDTF">2023-08-22T07:06:00Z</dcterms:created>
  <dcterms:modified xsi:type="dcterms:W3CDTF">2023-08-31T12:56:00Z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