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3A8D" w:rsidRDefault="002F3A8D" w:rsidP="00042867">
      <w:pPr>
        <w:jc w:val="center"/>
      </w:pPr>
    </w:p>
    <w:p w:rsidR="001649E8" w:rsidRDefault="001649E8" w:rsidP="00042867">
      <w:pPr>
        <w:jc w:val="center"/>
      </w:pPr>
    </w:p>
    <w:p w:rsidR="001649E8" w:rsidRPr="0078384A" w:rsidRDefault="001649E8" w:rsidP="00042867">
      <w:pPr>
        <w:jc w:val="center"/>
      </w:pPr>
    </w:p>
    <w:p w:rsidR="00F71A6A" w:rsidRPr="006075B8" w:rsidRDefault="0078384A" w:rsidP="00042867">
      <w:pPr>
        <w:jc w:val="center"/>
      </w:pPr>
      <w:r w:rsidRPr="006075B8">
        <w:t>FOURTH SECTION</w:t>
      </w:r>
    </w:p>
    <w:p w:rsidR="001649E8" w:rsidRPr="00976D90" w:rsidRDefault="001649E8" w:rsidP="00042867">
      <w:pPr>
        <w:jc w:val="center"/>
      </w:pPr>
      <w:bookmarkStart w:id="0" w:name="To"/>
    </w:p>
    <w:p w:rsidR="00827A2E" w:rsidRPr="00976D90" w:rsidRDefault="00827A2E" w:rsidP="00042867">
      <w:pPr>
        <w:jc w:val="center"/>
      </w:pPr>
    </w:p>
    <w:p w:rsidR="00827A2E" w:rsidRPr="00976D90" w:rsidRDefault="00827A2E" w:rsidP="00042867">
      <w:pPr>
        <w:jc w:val="center"/>
      </w:pPr>
    </w:p>
    <w:p w:rsidR="001649E8" w:rsidRPr="00976D90" w:rsidRDefault="001649E8" w:rsidP="00042867">
      <w:pPr>
        <w:jc w:val="center"/>
      </w:pPr>
    </w:p>
    <w:p w:rsidR="001649E8" w:rsidRPr="00976D90" w:rsidRDefault="001649E8" w:rsidP="00042867">
      <w:pPr>
        <w:jc w:val="center"/>
      </w:pPr>
    </w:p>
    <w:p w:rsidR="00827A2E" w:rsidRPr="00976D90" w:rsidRDefault="00827A2E" w:rsidP="00042867">
      <w:pPr>
        <w:jc w:val="center"/>
      </w:pPr>
    </w:p>
    <w:p w:rsidR="001649E8" w:rsidRPr="00976D90" w:rsidRDefault="001649E8" w:rsidP="00042867">
      <w:pPr>
        <w:jc w:val="center"/>
      </w:pPr>
    </w:p>
    <w:p w:rsidR="00F71A6A" w:rsidRPr="006075B8" w:rsidRDefault="00F71A6A" w:rsidP="00042867">
      <w:pPr>
        <w:jc w:val="center"/>
        <w:rPr>
          <w:b/>
        </w:rPr>
      </w:pPr>
      <w:r w:rsidRPr="006075B8">
        <w:rPr>
          <w:b/>
        </w:rPr>
        <w:t xml:space="preserve">CASE OF </w:t>
      </w:r>
      <w:bookmarkEnd w:id="0"/>
      <w:r w:rsidR="0078384A" w:rsidRPr="006075B8">
        <w:rPr>
          <w:b/>
        </w:rPr>
        <w:t xml:space="preserve">PRZEMYK v. </w:t>
      </w:r>
      <w:smartTag w:uri="urn:schemas-microsoft-com:office:smarttags" w:element="place">
        <w:smartTag w:uri="urn:schemas-microsoft-com:office:smarttags" w:element="country-region">
          <w:r w:rsidR="0078384A" w:rsidRPr="006075B8">
            <w:rPr>
              <w:b/>
            </w:rPr>
            <w:t>POLAND</w:t>
          </w:r>
        </w:smartTag>
      </w:smartTag>
    </w:p>
    <w:p w:rsidR="00F71A6A" w:rsidRPr="006075B8" w:rsidRDefault="00F71A6A" w:rsidP="00042867">
      <w:pPr>
        <w:jc w:val="center"/>
      </w:pPr>
    </w:p>
    <w:p w:rsidR="00F71A6A" w:rsidRPr="006075B8" w:rsidRDefault="00F71A6A" w:rsidP="00042867">
      <w:pPr>
        <w:jc w:val="center"/>
        <w:rPr>
          <w:i/>
        </w:rPr>
      </w:pPr>
      <w:r w:rsidRPr="006075B8">
        <w:rPr>
          <w:i/>
        </w:rPr>
        <w:t>(</w:t>
      </w:r>
      <w:r w:rsidR="0078384A" w:rsidRPr="006075B8">
        <w:rPr>
          <w:i/>
        </w:rPr>
        <w:t>Application no. 22426/11</w:t>
      </w:r>
      <w:r w:rsidRPr="006075B8">
        <w:rPr>
          <w:i/>
        </w:rPr>
        <w:t>)</w:t>
      </w:r>
    </w:p>
    <w:p w:rsidR="00F71A6A" w:rsidRDefault="00F71A6A" w:rsidP="00042867">
      <w:pPr>
        <w:jc w:val="center"/>
      </w:pPr>
    </w:p>
    <w:p w:rsidR="00827A2E" w:rsidRDefault="00827A2E" w:rsidP="00042867">
      <w:pPr>
        <w:jc w:val="center"/>
      </w:pPr>
    </w:p>
    <w:p w:rsidR="00827A2E" w:rsidRDefault="00827A2E" w:rsidP="00042867">
      <w:pPr>
        <w:jc w:val="center"/>
      </w:pPr>
    </w:p>
    <w:p w:rsidR="00827A2E" w:rsidRDefault="00827A2E" w:rsidP="00042867">
      <w:pPr>
        <w:jc w:val="center"/>
      </w:pPr>
    </w:p>
    <w:p w:rsidR="00827A2E" w:rsidRDefault="00827A2E" w:rsidP="00042867">
      <w:pPr>
        <w:jc w:val="center"/>
      </w:pPr>
    </w:p>
    <w:p w:rsidR="00827A2E" w:rsidRDefault="00827A2E" w:rsidP="00042867">
      <w:pPr>
        <w:jc w:val="center"/>
      </w:pPr>
    </w:p>
    <w:p w:rsidR="00827A2E" w:rsidRDefault="00827A2E" w:rsidP="00042867">
      <w:pPr>
        <w:jc w:val="center"/>
      </w:pPr>
    </w:p>
    <w:p w:rsidR="00827A2E" w:rsidRPr="006075B8" w:rsidRDefault="00827A2E" w:rsidP="00042867">
      <w:pPr>
        <w:jc w:val="center"/>
      </w:pPr>
    </w:p>
    <w:p w:rsidR="00D73611" w:rsidRPr="006075B8" w:rsidRDefault="001649E8" w:rsidP="001649E8">
      <w:pPr>
        <w:jc w:val="center"/>
        <w:rPr>
          <w:szCs w:val="24"/>
        </w:rPr>
      </w:pPr>
      <w:r w:rsidRPr="006075B8">
        <w:rPr>
          <w:szCs w:val="24"/>
        </w:rPr>
        <w:t>JUDGMENT</w:t>
      </w:r>
    </w:p>
    <w:p w:rsidR="001649E8" w:rsidRDefault="001649E8" w:rsidP="001649E8">
      <w:pPr>
        <w:pStyle w:val="JuCase"/>
        <w:ind w:firstLine="0"/>
        <w:jc w:val="center"/>
        <w:rPr>
          <w:b w:val="0"/>
        </w:rPr>
      </w:pPr>
    </w:p>
    <w:p w:rsidR="00827A2E" w:rsidRPr="00827A2E" w:rsidRDefault="00827A2E" w:rsidP="00827A2E">
      <w:pPr>
        <w:pStyle w:val="JuPara"/>
      </w:pPr>
    </w:p>
    <w:p w:rsidR="001649E8" w:rsidRPr="006075B8" w:rsidRDefault="001649E8" w:rsidP="001649E8">
      <w:pPr>
        <w:pStyle w:val="JuCase"/>
        <w:ind w:firstLine="0"/>
        <w:jc w:val="center"/>
        <w:rPr>
          <w:b w:val="0"/>
        </w:rPr>
      </w:pPr>
      <w:r w:rsidRPr="006075B8">
        <w:rPr>
          <w:b w:val="0"/>
        </w:rPr>
        <w:t>STRASBOURG</w:t>
      </w:r>
    </w:p>
    <w:p w:rsidR="001649E8" w:rsidRPr="006075B8" w:rsidRDefault="001649E8" w:rsidP="001649E8">
      <w:pPr>
        <w:pStyle w:val="JuCase"/>
        <w:ind w:firstLine="0"/>
        <w:jc w:val="center"/>
        <w:rPr>
          <w:b w:val="0"/>
        </w:rPr>
      </w:pPr>
    </w:p>
    <w:p w:rsidR="001649E8" w:rsidRPr="006075B8" w:rsidRDefault="001649E8" w:rsidP="001649E8">
      <w:pPr>
        <w:pStyle w:val="JuCase"/>
        <w:ind w:firstLine="0"/>
        <w:jc w:val="center"/>
        <w:rPr>
          <w:b w:val="0"/>
        </w:rPr>
      </w:pPr>
      <w:r w:rsidRPr="006075B8">
        <w:rPr>
          <w:b w:val="0"/>
        </w:rPr>
        <w:t>17 September 2013</w:t>
      </w:r>
    </w:p>
    <w:p w:rsidR="001649E8" w:rsidRPr="006075B8" w:rsidRDefault="001649E8" w:rsidP="001649E8">
      <w:pPr>
        <w:pStyle w:val="JuCase"/>
        <w:ind w:firstLine="0"/>
        <w:jc w:val="center"/>
        <w:rPr>
          <w:b w:val="0"/>
        </w:rPr>
      </w:pPr>
    </w:p>
    <w:p w:rsidR="001649E8" w:rsidRPr="006075B8" w:rsidRDefault="001649E8" w:rsidP="001649E8">
      <w:pPr>
        <w:pStyle w:val="JuCase"/>
        <w:ind w:firstLine="0"/>
        <w:jc w:val="center"/>
        <w:rPr>
          <w:b w:val="0"/>
        </w:rPr>
      </w:pPr>
    </w:p>
    <w:p w:rsidR="001649E8" w:rsidRPr="006075B8" w:rsidRDefault="001649E8" w:rsidP="001649E8">
      <w:pPr>
        <w:pStyle w:val="JuPara"/>
      </w:pPr>
    </w:p>
    <w:p w:rsidR="00B11E71" w:rsidRPr="006075B8" w:rsidRDefault="00B11E71" w:rsidP="001649E8">
      <w:pPr>
        <w:pStyle w:val="JuPara"/>
      </w:pPr>
    </w:p>
    <w:p w:rsidR="00B11E71" w:rsidRPr="006075B8" w:rsidRDefault="00B11E71" w:rsidP="001649E8">
      <w:pPr>
        <w:pStyle w:val="JuPara"/>
      </w:pPr>
    </w:p>
    <w:p w:rsidR="00B11E71" w:rsidRPr="006075B8" w:rsidRDefault="00B11E71" w:rsidP="001649E8">
      <w:pPr>
        <w:pStyle w:val="JuPara"/>
      </w:pPr>
    </w:p>
    <w:p w:rsidR="001649E8" w:rsidRDefault="001649E8" w:rsidP="001649E8">
      <w:pPr>
        <w:pStyle w:val="JuCase"/>
        <w:ind w:firstLine="0"/>
        <w:rPr>
          <w:b w:val="0"/>
          <w:i/>
          <w:sz w:val="22"/>
        </w:rPr>
      </w:pPr>
      <w:r w:rsidRPr="006075B8">
        <w:rPr>
          <w:b w:val="0"/>
          <w:i/>
          <w:sz w:val="22"/>
        </w:rPr>
        <w:t>This judgment will become final in the circumstances set out in Article 44 § 2 of the Convention. It may be subject to editorial revision.</w:t>
      </w:r>
    </w:p>
    <w:p w:rsidR="00827A2E" w:rsidRPr="00827A2E" w:rsidRDefault="00827A2E" w:rsidP="00827A2E">
      <w:pPr>
        <w:pStyle w:val="JuPara"/>
      </w:pPr>
    </w:p>
    <w:p w:rsidR="001649E8" w:rsidRPr="006075B8" w:rsidRDefault="001649E8" w:rsidP="001649E8">
      <w:pPr>
        <w:pStyle w:val="JuPara"/>
        <w:sectPr w:rsidR="001649E8" w:rsidRPr="006075B8" w:rsidSect="001649E8">
          <w:headerReference w:type="default" r:id="rId10"/>
          <w:headerReference w:type="first" r:id="rId11"/>
          <w:footerReference w:type="first" r:id="rId12"/>
          <w:footnotePr>
            <w:numRestart w:val="eachPage"/>
          </w:footnotePr>
          <w:pgSz w:w="11906" w:h="16838" w:code="9"/>
          <w:pgMar w:top="2274" w:right="2274" w:bottom="2274" w:left="2274" w:header="1701" w:footer="720" w:gutter="0"/>
          <w:pgNumType w:start="1"/>
          <w:cols w:space="720"/>
          <w:titlePg/>
          <w:docGrid w:linePitch="326"/>
        </w:sectPr>
      </w:pPr>
    </w:p>
    <w:p w:rsidR="00F71A6A" w:rsidRPr="008C6F45" w:rsidRDefault="00F71A6A" w:rsidP="008C6F45">
      <w:pPr>
        <w:pStyle w:val="JuCase"/>
      </w:pPr>
      <w:r w:rsidRPr="008C6F45">
        <w:t xml:space="preserve">In the case of </w:t>
      </w:r>
      <w:r w:rsidR="0078384A" w:rsidRPr="008C6F45">
        <w:t>Przemyk v. Poland</w:t>
      </w:r>
      <w:r w:rsidRPr="008C6F45">
        <w:t>,</w:t>
      </w:r>
    </w:p>
    <w:p w:rsidR="00730433" w:rsidRPr="006075B8" w:rsidRDefault="00F71A6A" w:rsidP="009F0055">
      <w:pPr>
        <w:pStyle w:val="JuPara"/>
      </w:pPr>
      <w:r w:rsidRPr="006075B8">
        <w:t>The European Court of Human Rights (</w:t>
      </w:r>
      <w:r w:rsidR="0078384A" w:rsidRPr="006075B8">
        <w:t>Fourth Section</w:t>
      </w:r>
      <w:r w:rsidRPr="006075B8">
        <w:t xml:space="preserve">), sitting as a </w:t>
      </w:r>
      <w:r w:rsidR="0078384A" w:rsidRPr="006075B8">
        <w:t>Chamber</w:t>
      </w:r>
      <w:r w:rsidR="00730433" w:rsidRPr="006075B8">
        <w:t xml:space="preserve"> composed of:</w:t>
      </w:r>
    </w:p>
    <w:p w:rsidR="00F71A6A" w:rsidRPr="006075B8" w:rsidRDefault="001649E8" w:rsidP="008824B9">
      <w:pPr>
        <w:pStyle w:val="JuJudges"/>
        <w:rPr>
          <w:lang w:val="en-US"/>
        </w:rPr>
      </w:pPr>
      <w:r w:rsidRPr="006075B8">
        <w:rPr>
          <w:rStyle w:val="JuJudgesChar"/>
          <w:sz w:val="22"/>
        </w:rPr>
        <w:tab/>
      </w:r>
      <w:r w:rsidRPr="00976D90">
        <w:rPr>
          <w:rStyle w:val="JuJudgesChar"/>
          <w:szCs w:val="24"/>
        </w:rPr>
        <w:t>Ineta Ziemele,</w:t>
      </w:r>
      <w:r w:rsidRPr="00976D90">
        <w:rPr>
          <w:rStyle w:val="JuJudgesChar"/>
          <w:i/>
          <w:szCs w:val="24"/>
        </w:rPr>
        <w:t xml:space="preserve"> President,</w:t>
      </w:r>
      <w:r w:rsidRPr="00976D90">
        <w:rPr>
          <w:rStyle w:val="JuJudgesChar"/>
          <w:i/>
          <w:szCs w:val="24"/>
        </w:rPr>
        <w:br/>
      </w:r>
      <w:r w:rsidRPr="00976D90">
        <w:rPr>
          <w:rStyle w:val="JuJudgesChar"/>
          <w:szCs w:val="24"/>
        </w:rPr>
        <w:tab/>
        <w:t>David Thór Björgvinsson,</w:t>
      </w:r>
      <w:r w:rsidRPr="00976D90">
        <w:rPr>
          <w:rStyle w:val="JuJudgesChar"/>
          <w:i/>
          <w:szCs w:val="24"/>
        </w:rPr>
        <w:br/>
      </w:r>
      <w:r w:rsidRPr="00976D90">
        <w:rPr>
          <w:rStyle w:val="JuJudgesChar"/>
          <w:szCs w:val="24"/>
        </w:rPr>
        <w:tab/>
        <w:t>Päivi Hirvelä,</w:t>
      </w:r>
      <w:r w:rsidRPr="00976D90">
        <w:rPr>
          <w:rStyle w:val="JuJudgesChar"/>
          <w:i/>
          <w:szCs w:val="24"/>
        </w:rPr>
        <w:br/>
      </w:r>
      <w:r w:rsidRPr="00976D90">
        <w:rPr>
          <w:rStyle w:val="JuJudgesChar"/>
          <w:szCs w:val="24"/>
        </w:rPr>
        <w:tab/>
        <w:t>George Nicolaou,</w:t>
      </w:r>
      <w:r w:rsidRPr="00976D90">
        <w:rPr>
          <w:rStyle w:val="JuJudgesChar"/>
          <w:i/>
          <w:szCs w:val="24"/>
        </w:rPr>
        <w:br/>
      </w:r>
      <w:r w:rsidRPr="00976D90">
        <w:rPr>
          <w:rStyle w:val="JuJudgesChar"/>
          <w:szCs w:val="24"/>
        </w:rPr>
        <w:tab/>
        <w:t>Paul Mahoney,</w:t>
      </w:r>
      <w:r w:rsidRPr="00976D90">
        <w:rPr>
          <w:rStyle w:val="JuJudgesChar"/>
          <w:i/>
          <w:szCs w:val="24"/>
        </w:rPr>
        <w:br/>
      </w:r>
      <w:r w:rsidRPr="00976D90">
        <w:rPr>
          <w:rStyle w:val="JuJudgesChar"/>
          <w:szCs w:val="24"/>
        </w:rPr>
        <w:tab/>
        <w:t>Krzysztof Wojtyczek,</w:t>
      </w:r>
      <w:r w:rsidRPr="00976D90">
        <w:rPr>
          <w:rStyle w:val="JuJudgesChar"/>
          <w:i/>
          <w:szCs w:val="24"/>
        </w:rPr>
        <w:br/>
      </w:r>
      <w:r w:rsidRPr="00976D90">
        <w:rPr>
          <w:rStyle w:val="JuJudgesChar"/>
          <w:szCs w:val="24"/>
        </w:rPr>
        <w:tab/>
        <w:t>Faris Vehabović,</w:t>
      </w:r>
      <w:r w:rsidRPr="00976D90">
        <w:rPr>
          <w:rStyle w:val="JuJudgesChar"/>
          <w:i/>
          <w:szCs w:val="24"/>
        </w:rPr>
        <w:t xml:space="preserve"> judges</w:t>
      </w:r>
      <w:r w:rsidRPr="006075B8">
        <w:rPr>
          <w:rStyle w:val="OpiTranslation"/>
          <w:vanish/>
        </w:rPr>
        <w:t xml:space="preserve"> </w:t>
      </w:r>
      <w:r w:rsidR="00337600" w:rsidRPr="006075B8">
        <w:rPr>
          <w:lang w:val="en-US"/>
        </w:rPr>
        <w:br/>
      </w:r>
      <w:r w:rsidR="00F71A6A" w:rsidRPr="006075B8">
        <w:rPr>
          <w:lang w:val="en-US"/>
        </w:rPr>
        <w:t>and</w:t>
      </w:r>
      <w:r w:rsidR="009A7C03" w:rsidRPr="006075B8">
        <w:rPr>
          <w:lang w:val="en-US"/>
        </w:rPr>
        <w:t xml:space="preserve"> </w:t>
      </w:r>
      <w:r w:rsidR="00FC615E" w:rsidRPr="006075B8">
        <w:rPr>
          <w:rStyle w:val="JuJudgesChar"/>
          <w:noProof/>
        </w:rPr>
        <w:t>Fatoş Aracı</w:t>
      </w:r>
      <w:r w:rsidR="009D4B87" w:rsidRPr="006075B8">
        <w:rPr>
          <w:rStyle w:val="JuJudgesChar"/>
          <w:lang w:val="en-US"/>
        </w:rPr>
        <w:t xml:space="preserve">, </w:t>
      </w:r>
      <w:r w:rsidR="00FC615E" w:rsidRPr="006075B8">
        <w:rPr>
          <w:rStyle w:val="JuJudgesChar"/>
          <w:i/>
          <w:lang w:val="en-US"/>
        </w:rPr>
        <w:t xml:space="preserve">Deputy </w:t>
      </w:r>
      <w:r w:rsidR="0078384A" w:rsidRPr="006075B8">
        <w:rPr>
          <w:i/>
          <w:lang w:val="en-US"/>
        </w:rPr>
        <w:t xml:space="preserve">Section </w:t>
      </w:r>
      <w:r w:rsidR="0078384A" w:rsidRPr="006075B8">
        <w:rPr>
          <w:i/>
          <w:iCs/>
          <w:lang w:val="en-US"/>
        </w:rPr>
        <w:t>Registrar</w:t>
      </w:r>
      <w:r w:rsidR="00F71A6A" w:rsidRPr="006075B8">
        <w:rPr>
          <w:lang w:val="en-US"/>
        </w:rPr>
        <w:t>,</w:t>
      </w:r>
    </w:p>
    <w:p w:rsidR="00F71A6A" w:rsidRPr="006075B8" w:rsidRDefault="00F71A6A" w:rsidP="002F4BCF">
      <w:pPr>
        <w:pStyle w:val="JuPara"/>
      </w:pPr>
      <w:r w:rsidRPr="006075B8">
        <w:t xml:space="preserve">Having deliberated in private on </w:t>
      </w:r>
      <w:r w:rsidR="001649E8" w:rsidRPr="006075B8">
        <w:t>27 August 2013</w:t>
      </w:r>
      <w:r w:rsidRPr="006075B8">
        <w:t>,</w:t>
      </w:r>
    </w:p>
    <w:p w:rsidR="00F71A6A" w:rsidRPr="006075B8" w:rsidRDefault="00F71A6A" w:rsidP="002F4BCF">
      <w:pPr>
        <w:pStyle w:val="JuPara"/>
      </w:pPr>
      <w:r w:rsidRPr="006075B8">
        <w:t>Delivers the following judgment, which was adopted on that date:</w:t>
      </w:r>
    </w:p>
    <w:p w:rsidR="00F71A6A" w:rsidRPr="006075B8" w:rsidRDefault="00F71A6A" w:rsidP="008824B9">
      <w:pPr>
        <w:pStyle w:val="JuHHead"/>
      </w:pPr>
      <w:r w:rsidRPr="006075B8">
        <w:t>PROCEDURE</w:t>
      </w:r>
    </w:p>
    <w:p w:rsidR="00B11E71" w:rsidRPr="006075B8" w:rsidRDefault="0078384A" w:rsidP="002F4BCF">
      <w:pPr>
        <w:pStyle w:val="JuPara"/>
      </w:pPr>
      <w:r w:rsidRPr="006075B8">
        <w:fldChar w:fldCharType="begin"/>
      </w:r>
      <w:r w:rsidRPr="006075B8">
        <w:instrText xml:space="preserve"> SEQ level0 \*arabic </w:instrText>
      </w:r>
      <w:r w:rsidRPr="006075B8">
        <w:fldChar w:fldCharType="separate"/>
      </w:r>
      <w:r w:rsidR="00751640">
        <w:rPr>
          <w:noProof/>
        </w:rPr>
        <w:t>1</w:t>
      </w:r>
      <w:r w:rsidRPr="006075B8">
        <w:fldChar w:fldCharType="end"/>
      </w:r>
      <w:r w:rsidR="00F71A6A" w:rsidRPr="006075B8">
        <w:t xml:space="preserve">.  The case originated in </w:t>
      </w:r>
      <w:r w:rsidRPr="006075B8">
        <w:t>an application (no. 22426/11)</w:t>
      </w:r>
      <w:r w:rsidR="00F71A6A" w:rsidRPr="006075B8">
        <w:t xml:space="preserve"> against </w:t>
      </w:r>
      <w:r w:rsidRPr="006075B8">
        <w:t>the Republic of Poland</w:t>
      </w:r>
      <w:r w:rsidR="00F71A6A" w:rsidRPr="006075B8">
        <w:t xml:space="preserve"> lodged with the </w:t>
      </w:r>
      <w:r w:rsidRPr="006075B8">
        <w:t>Court under Article 34</w:t>
      </w:r>
      <w:r w:rsidR="004920B1" w:rsidRPr="006075B8">
        <w:t xml:space="preserve"> of the Convention for the Protection of Human Rights and Fundamental Freedoms (“the Convention”)</w:t>
      </w:r>
      <w:r w:rsidR="00F71A6A" w:rsidRPr="006075B8">
        <w:t xml:space="preserve"> by </w:t>
      </w:r>
      <w:r w:rsidR="00EE4EC9" w:rsidRPr="006075B8">
        <w:t>Mr Leopold Przemyk</w:t>
      </w:r>
      <w:r w:rsidR="000B62D6" w:rsidRPr="006075B8">
        <w:t xml:space="preserve"> on 30 March 2011</w:t>
      </w:r>
      <w:r w:rsidR="00F71A6A" w:rsidRPr="006075B8">
        <w:t>.</w:t>
      </w:r>
    </w:p>
    <w:p w:rsidR="00B11E71" w:rsidRPr="00833B9F" w:rsidRDefault="0078384A" w:rsidP="002F4BCF">
      <w:pPr>
        <w:pStyle w:val="JuPara"/>
        <w:rPr>
          <w:spacing w:val="-2"/>
        </w:rPr>
      </w:pPr>
      <w:r w:rsidRPr="00833B9F">
        <w:rPr>
          <w:spacing w:val="-2"/>
        </w:rPr>
        <w:fldChar w:fldCharType="begin"/>
      </w:r>
      <w:r w:rsidRPr="00833B9F">
        <w:rPr>
          <w:spacing w:val="-2"/>
        </w:rPr>
        <w:instrText xml:space="preserve"> SEQ level0 \*arabic </w:instrText>
      </w:r>
      <w:r w:rsidRPr="00833B9F">
        <w:rPr>
          <w:spacing w:val="-2"/>
        </w:rPr>
        <w:fldChar w:fldCharType="separate"/>
      </w:r>
      <w:r w:rsidR="00751640">
        <w:rPr>
          <w:noProof/>
          <w:spacing w:val="-2"/>
        </w:rPr>
        <w:t>2</w:t>
      </w:r>
      <w:r w:rsidRPr="00833B9F">
        <w:rPr>
          <w:spacing w:val="-2"/>
        </w:rPr>
        <w:fldChar w:fldCharType="end"/>
      </w:r>
      <w:r w:rsidR="00F71A6A" w:rsidRPr="00833B9F">
        <w:rPr>
          <w:spacing w:val="-2"/>
        </w:rPr>
        <w:t xml:space="preserve">.  The </w:t>
      </w:r>
      <w:r w:rsidRPr="00833B9F">
        <w:rPr>
          <w:spacing w:val="-2"/>
        </w:rPr>
        <w:t>Polish</w:t>
      </w:r>
      <w:r w:rsidR="00F71A6A" w:rsidRPr="00833B9F">
        <w:rPr>
          <w:spacing w:val="-2"/>
        </w:rPr>
        <w:t xml:space="preserve"> Government (“the Government”) were represented by their Agent</w:t>
      </w:r>
      <w:r w:rsidR="00EE4EC9" w:rsidRPr="00833B9F">
        <w:rPr>
          <w:spacing w:val="-2"/>
        </w:rPr>
        <w:t>s</w:t>
      </w:r>
      <w:r w:rsidR="00F71A6A" w:rsidRPr="00833B9F">
        <w:rPr>
          <w:spacing w:val="-2"/>
        </w:rPr>
        <w:t xml:space="preserve">, </w:t>
      </w:r>
      <w:r w:rsidR="00EE4EC9" w:rsidRPr="00833B9F">
        <w:rPr>
          <w:spacing w:val="-2"/>
        </w:rPr>
        <w:t xml:space="preserve">initially by </w:t>
      </w:r>
      <w:r w:rsidR="00F71A6A" w:rsidRPr="00833B9F">
        <w:rPr>
          <w:spacing w:val="-2"/>
        </w:rPr>
        <w:t>Mr</w:t>
      </w:r>
      <w:r w:rsidR="00EE4EC9" w:rsidRPr="00833B9F">
        <w:rPr>
          <w:spacing w:val="-2"/>
        </w:rPr>
        <w:t xml:space="preserve"> J. Wo</w:t>
      </w:r>
      <w:r w:rsidR="002B3E90" w:rsidRPr="00833B9F">
        <w:rPr>
          <w:spacing w:val="-2"/>
        </w:rPr>
        <w:t>łą</w:t>
      </w:r>
      <w:r w:rsidR="00950FA9" w:rsidRPr="00833B9F">
        <w:rPr>
          <w:spacing w:val="-2"/>
        </w:rPr>
        <w:t>siewicz and subsequently Ms J. </w:t>
      </w:r>
      <w:r w:rsidR="00EE4EC9" w:rsidRPr="00833B9F">
        <w:rPr>
          <w:spacing w:val="-2"/>
        </w:rPr>
        <w:t>Chrzanowska.</w:t>
      </w:r>
      <w:r w:rsidR="00B11E71" w:rsidRPr="00833B9F">
        <w:rPr>
          <w:spacing w:val="-2"/>
        </w:rPr>
        <w:t xml:space="preserve"> </w:t>
      </w:r>
      <w:r w:rsidR="00EE4EC9" w:rsidRPr="00833B9F">
        <w:rPr>
          <w:spacing w:val="-2"/>
        </w:rPr>
        <w:t xml:space="preserve">The applicant was represented by Mr A. Zalewski and Ms J. Metelska, lawyers practising in </w:t>
      </w:r>
      <w:smartTag w:uri="urn:schemas-microsoft-com:office:smarttags" w:element="place">
        <w:smartTag w:uri="urn:schemas-microsoft-com:office:smarttags" w:element="City">
          <w:r w:rsidR="00EE4EC9" w:rsidRPr="00833B9F">
            <w:rPr>
              <w:spacing w:val="-2"/>
            </w:rPr>
            <w:t>Warsaw</w:t>
          </w:r>
        </w:smartTag>
      </w:smartTag>
      <w:r w:rsidR="00EE4EC9" w:rsidRPr="00833B9F">
        <w:rPr>
          <w:spacing w:val="-2"/>
        </w:rPr>
        <w:t>.</w:t>
      </w:r>
    </w:p>
    <w:p w:rsidR="00B11E71" w:rsidRPr="006075B8" w:rsidRDefault="0078384A" w:rsidP="002F4BCF">
      <w:pPr>
        <w:pStyle w:val="JuPara"/>
      </w:pPr>
      <w:r w:rsidRPr="006075B8">
        <w:fldChar w:fldCharType="begin"/>
      </w:r>
      <w:r w:rsidRPr="006075B8">
        <w:instrText xml:space="preserve"> SEQ level0 \*arabic </w:instrText>
      </w:r>
      <w:r w:rsidRPr="006075B8">
        <w:fldChar w:fldCharType="separate"/>
      </w:r>
      <w:r w:rsidR="00751640">
        <w:rPr>
          <w:noProof/>
        </w:rPr>
        <w:t>3</w:t>
      </w:r>
      <w:r w:rsidRPr="006075B8">
        <w:fldChar w:fldCharType="end"/>
      </w:r>
      <w:r w:rsidRPr="006075B8">
        <w:t>.  The applicant alleged</w:t>
      </w:r>
      <w:r w:rsidR="00EE4EC9" w:rsidRPr="006075B8">
        <w:t xml:space="preserve"> that the State authorities </w:t>
      </w:r>
      <w:r w:rsidR="00AB2110" w:rsidRPr="006075B8">
        <w:t>had not properly</w:t>
      </w:r>
      <w:r w:rsidR="00EE4EC9" w:rsidRPr="006075B8">
        <w:t xml:space="preserve"> discharge</w:t>
      </w:r>
      <w:r w:rsidR="00AB2110" w:rsidRPr="006075B8">
        <w:t>d</w:t>
      </w:r>
      <w:r w:rsidR="00EE4EC9" w:rsidRPr="006075B8">
        <w:t xml:space="preserve"> their procedural obligations under Article 2 of the Convention because they had failed to effectively and diligently determine the criminal </w:t>
      </w:r>
      <w:r w:rsidR="00197F27" w:rsidRPr="006075B8">
        <w:t xml:space="preserve">liability </w:t>
      </w:r>
      <w:r w:rsidR="00EE4EC9" w:rsidRPr="006075B8">
        <w:t>arising in connection with the circumstances in which his son had been killed.</w:t>
      </w:r>
    </w:p>
    <w:p w:rsidR="00F71A6A" w:rsidRPr="006075B8" w:rsidRDefault="0078384A" w:rsidP="002F4BCF">
      <w:pPr>
        <w:pStyle w:val="JuPara"/>
      </w:pPr>
      <w:r w:rsidRPr="006075B8">
        <w:fldChar w:fldCharType="begin"/>
      </w:r>
      <w:r w:rsidRPr="006075B8">
        <w:instrText xml:space="preserve"> SEQ level0 \*arabic </w:instrText>
      </w:r>
      <w:r w:rsidRPr="006075B8">
        <w:fldChar w:fldCharType="separate"/>
      </w:r>
      <w:r w:rsidR="00751640">
        <w:rPr>
          <w:noProof/>
        </w:rPr>
        <w:t>4</w:t>
      </w:r>
      <w:r w:rsidRPr="006075B8">
        <w:fldChar w:fldCharType="end"/>
      </w:r>
      <w:r w:rsidR="00F71A6A" w:rsidRPr="006075B8">
        <w:t xml:space="preserve">.  On </w:t>
      </w:r>
      <w:r w:rsidRPr="006075B8">
        <w:rPr>
          <w:szCs w:val="24"/>
        </w:rPr>
        <w:t>8 November 2011</w:t>
      </w:r>
      <w:r w:rsidR="00F71A6A" w:rsidRPr="006075B8">
        <w:t xml:space="preserve"> </w:t>
      </w:r>
      <w:r w:rsidR="0009409F" w:rsidRPr="006075B8">
        <w:t xml:space="preserve">the </w:t>
      </w:r>
      <w:r w:rsidRPr="006075B8">
        <w:t>application was</w:t>
      </w:r>
      <w:r w:rsidR="0009409F" w:rsidRPr="006075B8">
        <w:t xml:space="preserve"> communicated </w:t>
      </w:r>
      <w:r w:rsidR="00F71A6A" w:rsidRPr="006075B8">
        <w:t>to the Gove</w:t>
      </w:r>
      <w:r w:rsidR="00485A6F" w:rsidRPr="006075B8">
        <w:t>rnment.</w:t>
      </w:r>
      <w:r w:rsidRPr="006075B8">
        <w:t xml:space="preserve"> It was also decided to rule on the admissibility and merits of the application at the same time (Article 29 § 1).</w:t>
      </w:r>
    </w:p>
    <w:p w:rsidR="00F71A6A" w:rsidRPr="006075B8" w:rsidRDefault="00F71A6A" w:rsidP="008824B9">
      <w:pPr>
        <w:pStyle w:val="JuHHead"/>
      </w:pPr>
      <w:r w:rsidRPr="006075B8">
        <w:t>THE FACTS</w:t>
      </w:r>
    </w:p>
    <w:p w:rsidR="00D353F4" w:rsidRPr="006075B8" w:rsidRDefault="007352DD" w:rsidP="008824B9">
      <w:pPr>
        <w:pStyle w:val="JuHIRoman"/>
        <w:outlineLvl w:val="0"/>
      </w:pPr>
      <w:r w:rsidRPr="006075B8">
        <w:t xml:space="preserve">I.  THE CIRCUMSTANCES OF THE </w:t>
      </w:r>
      <w:r w:rsidR="00D353F4" w:rsidRPr="006075B8">
        <w:t>CASE</w:t>
      </w:r>
    </w:p>
    <w:p w:rsidR="00F71A6A" w:rsidRPr="006075B8" w:rsidRDefault="0078384A" w:rsidP="002F4BCF">
      <w:pPr>
        <w:pStyle w:val="JuPara"/>
      </w:pPr>
      <w:r w:rsidRPr="006075B8">
        <w:fldChar w:fldCharType="begin"/>
      </w:r>
      <w:r w:rsidRPr="006075B8">
        <w:instrText xml:space="preserve"> SEQ level0 \*arabic </w:instrText>
      </w:r>
      <w:r w:rsidRPr="006075B8">
        <w:fldChar w:fldCharType="separate"/>
      </w:r>
      <w:r w:rsidR="00751640">
        <w:rPr>
          <w:noProof/>
        </w:rPr>
        <w:t>5</w:t>
      </w:r>
      <w:r w:rsidRPr="006075B8">
        <w:fldChar w:fldCharType="end"/>
      </w:r>
      <w:r w:rsidR="00F71A6A" w:rsidRPr="006075B8">
        <w:t xml:space="preserve">.  The </w:t>
      </w:r>
      <w:r w:rsidRPr="006075B8">
        <w:t>applicant was born in 1940 and lives</w:t>
      </w:r>
      <w:r w:rsidR="00F71A6A" w:rsidRPr="006075B8">
        <w:t xml:space="preserve"> in </w:t>
      </w:r>
      <w:r w:rsidR="009415A4" w:rsidRPr="006075B8">
        <w:t>Warsaw</w:t>
      </w:r>
      <w:r w:rsidR="00F71A6A" w:rsidRPr="006075B8">
        <w:t>.</w:t>
      </w:r>
    </w:p>
    <w:p w:rsidR="00B11E71" w:rsidRPr="006075B8" w:rsidRDefault="00EE4EC9" w:rsidP="0078384A">
      <w:pPr>
        <w:pStyle w:val="JuPara"/>
        <w:rPr>
          <w:szCs w:val="24"/>
        </w:rPr>
      </w:pPr>
      <w:r w:rsidRPr="006075B8">
        <w:rPr>
          <w:szCs w:val="24"/>
        </w:rPr>
        <w:fldChar w:fldCharType="begin"/>
      </w:r>
      <w:r w:rsidRPr="006075B8">
        <w:rPr>
          <w:szCs w:val="24"/>
        </w:rPr>
        <w:instrText xml:space="preserve"> SEQ level0 \*arabic </w:instrText>
      </w:r>
      <w:r w:rsidRPr="006075B8">
        <w:rPr>
          <w:szCs w:val="24"/>
        </w:rPr>
        <w:fldChar w:fldCharType="separate"/>
      </w:r>
      <w:r w:rsidR="00751640">
        <w:rPr>
          <w:noProof/>
          <w:szCs w:val="24"/>
        </w:rPr>
        <w:t>6</w:t>
      </w:r>
      <w:r w:rsidRPr="006075B8">
        <w:rPr>
          <w:szCs w:val="24"/>
        </w:rPr>
        <w:fldChar w:fldCharType="end"/>
      </w:r>
      <w:r w:rsidRPr="006075B8">
        <w:rPr>
          <w:szCs w:val="24"/>
        </w:rPr>
        <w:t>.  </w:t>
      </w:r>
      <w:r w:rsidR="0078384A" w:rsidRPr="006075B8">
        <w:rPr>
          <w:szCs w:val="24"/>
        </w:rPr>
        <w:t xml:space="preserve">The case concerns criminal proceedings against former </w:t>
      </w:r>
      <w:r w:rsidR="000B62D6" w:rsidRPr="006075B8">
        <w:rPr>
          <w:szCs w:val="24"/>
        </w:rPr>
        <w:t xml:space="preserve">police </w:t>
      </w:r>
      <w:r w:rsidR="0078384A" w:rsidRPr="006075B8">
        <w:rPr>
          <w:szCs w:val="24"/>
        </w:rPr>
        <w:t>officer</w:t>
      </w:r>
      <w:r w:rsidR="006C7E1F" w:rsidRPr="006075B8">
        <w:rPr>
          <w:szCs w:val="24"/>
        </w:rPr>
        <w:t>s</w:t>
      </w:r>
      <w:r w:rsidR="0078384A" w:rsidRPr="006075B8">
        <w:rPr>
          <w:szCs w:val="24"/>
        </w:rPr>
        <w:t xml:space="preserve"> </w:t>
      </w:r>
      <w:r w:rsidR="00AB2110" w:rsidRPr="006075B8">
        <w:rPr>
          <w:szCs w:val="24"/>
        </w:rPr>
        <w:t>(</w:t>
      </w:r>
      <w:r w:rsidR="00AB2110" w:rsidRPr="006075B8">
        <w:rPr>
          <w:i/>
          <w:szCs w:val="24"/>
        </w:rPr>
        <w:t>Milicja Obywatelska</w:t>
      </w:r>
      <w:r w:rsidR="00AB2110" w:rsidRPr="006075B8">
        <w:rPr>
          <w:szCs w:val="24"/>
        </w:rPr>
        <w:t xml:space="preserve">) </w:t>
      </w:r>
      <w:r w:rsidR="0078384A" w:rsidRPr="006075B8">
        <w:rPr>
          <w:szCs w:val="24"/>
        </w:rPr>
        <w:t xml:space="preserve">who faced charges in connection with the assassination, in </w:t>
      </w:r>
      <w:r w:rsidR="006C7E1F" w:rsidRPr="006075B8">
        <w:rPr>
          <w:szCs w:val="24"/>
        </w:rPr>
        <w:t xml:space="preserve">May </w:t>
      </w:r>
      <w:r w:rsidR="0078384A" w:rsidRPr="006075B8">
        <w:rPr>
          <w:szCs w:val="24"/>
        </w:rPr>
        <w:t>1983, of Grzegorz Przemyk</w:t>
      </w:r>
      <w:r w:rsidR="00AB2110" w:rsidRPr="006075B8">
        <w:rPr>
          <w:szCs w:val="24"/>
        </w:rPr>
        <w:t>. The victim</w:t>
      </w:r>
      <w:r w:rsidR="005E7ADB">
        <w:rPr>
          <w:szCs w:val="24"/>
        </w:rPr>
        <w:t>’</w:t>
      </w:r>
      <w:r w:rsidR="00AB2110" w:rsidRPr="006075B8">
        <w:rPr>
          <w:szCs w:val="24"/>
        </w:rPr>
        <w:t>s mother</w:t>
      </w:r>
      <w:r w:rsidR="0078384A" w:rsidRPr="006075B8">
        <w:rPr>
          <w:szCs w:val="24"/>
        </w:rPr>
        <w:t xml:space="preserve">, </w:t>
      </w:r>
      <w:r w:rsidR="00226EAE" w:rsidRPr="006075B8">
        <w:rPr>
          <w:szCs w:val="24"/>
        </w:rPr>
        <w:t>Barbara Sadowska</w:t>
      </w:r>
      <w:r w:rsidR="002C787C" w:rsidRPr="006075B8">
        <w:rPr>
          <w:szCs w:val="24"/>
        </w:rPr>
        <w:t>,</w:t>
      </w:r>
      <w:r w:rsidR="0078384A" w:rsidRPr="006075B8">
        <w:rPr>
          <w:szCs w:val="24"/>
        </w:rPr>
        <w:t xml:space="preserve"> was at that time a well-known opposition activist. The applicant is the victim</w:t>
      </w:r>
      <w:r w:rsidR="005E7ADB">
        <w:rPr>
          <w:szCs w:val="24"/>
        </w:rPr>
        <w:t>’</w:t>
      </w:r>
      <w:r w:rsidR="0078384A" w:rsidRPr="006075B8">
        <w:rPr>
          <w:szCs w:val="24"/>
        </w:rPr>
        <w:t>s father.</w:t>
      </w:r>
    </w:p>
    <w:p w:rsidR="00B11E71" w:rsidRPr="006075B8" w:rsidRDefault="0078384A" w:rsidP="0078384A">
      <w:pPr>
        <w:pStyle w:val="JuPara"/>
        <w:rPr>
          <w:szCs w:val="24"/>
        </w:rPr>
      </w:pPr>
      <w:r w:rsidRPr="006075B8">
        <w:rPr>
          <w:szCs w:val="24"/>
        </w:rPr>
        <w:fldChar w:fldCharType="begin"/>
      </w:r>
      <w:r w:rsidRPr="006075B8">
        <w:rPr>
          <w:szCs w:val="24"/>
        </w:rPr>
        <w:instrText xml:space="preserve"> SEQ level0 \*arabic </w:instrText>
      </w:r>
      <w:r w:rsidRPr="006075B8">
        <w:rPr>
          <w:szCs w:val="24"/>
        </w:rPr>
        <w:fldChar w:fldCharType="separate"/>
      </w:r>
      <w:r w:rsidR="00751640">
        <w:rPr>
          <w:noProof/>
          <w:szCs w:val="24"/>
        </w:rPr>
        <w:t>7</w:t>
      </w:r>
      <w:r w:rsidRPr="006075B8">
        <w:rPr>
          <w:szCs w:val="24"/>
        </w:rPr>
        <w:fldChar w:fldCharType="end"/>
      </w:r>
      <w:r w:rsidRPr="006075B8">
        <w:rPr>
          <w:szCs w:val="24"/>
        </w:rPr>
        <w:t>.  </w:t>
      </w:r>
      <w:r w:rsidR="00AB2110" w:rsidRPr="006075B8">
        <w:rPr>
          <w:szCs w:val="24"/>
        </w:rPr>
        <w:t>C</w:t>
      </w:r>
      <w:r w:rsidRPr="006075B8">
        <w:rPr>
          <w:szCs w:val="24"/>
        </w:rPr>
        <w:t xml:space="preserve">riminal proceedings </w:t>
      </w:r>
      <w:r w:rsidR="000B62D6" w:rsidRPr="006075B8">
        <w:rPr>
          <w:szCs w:val="24"/>
        </w:rPr>
        <w:t xml:space="preserve">were instituted in 1983 </w:t>
      </w:r>
      <w:r w:rsidRPr="006075B8">
        <w:rPr>
          <w:szCs w:val="24"/>
        </w:rPr>
        <w:t>against the</w:t>
      </w:r>
      <w:r w:rsidR="00DC5FDC" w:rsidRPr="006075B8">
        <w:rPr>
          <w:szCs w:val="24"/>
        </w:rPr>
        <w:t xml:space="preserve"> </w:t>
      </w:r>
      <w:r w:rsidR="000B62D6" w:rsidRPr="006075B8">
        <w:rPr>
          <w:szCs w:val="24"/>
        </w:rPr>
        <w:t xml:space="preserve">police </w:t>
      </w:r>
      <w:r w:rsidR="00DC5FDC" w:rsidRPr="006075B8">
        <w:rPr>
          <w:szCs w:val="24"/>
        </w:rPr>
        <w:t>officers</w:t>
      </w:r>
      <w:r w:rsidR="000B62D6" w:rsidRPr="006075B8">
        <w:rPr>
          <w:szCs w:val="24"/>
        </w:rPr>
        <w:t xml:space="preserve">, charging them with beating </w:t>
      </w:r>
      <w:r w:rsidRPr="006075B8">
        <w:rPr>
          <w:szCs w:val="24"/>
        </w:rPr>
        <w:t>the victim to death</w:t>
      </w:r>
      <w:r w:rsidR="000B62D6" w:rsidRPr="006075B8">
        <w:rPr>
          <w:szCs w:val="24"/>
        </w:rPr>
        <w:t>.</w:t>
      </w:r>
      <w:r w:rsidRPr="006075B8">
        <w:rPr>
          <w:szCs w:val="24"/>
        </w:rPr>
        <w:t xml:space="preserve"> In 1984 I.K. and other </w:t>
      </w:r>
      <w:r w:rsidR="00FD5C3D" w:rsidRPr="006075B8">
        <w:rPr>
          <w:szCs w:val="24"/>
        </w:rPr>
        <w:t xml:space="preserve">individuals </w:t>
      </w:r>
      <w:r w:rsidRPr="006075B8">
        <w:rPr>
          <w:szCs w:val="24"/>
        </w:rPr>
        <w:t>were acquitted.</w:t>
      </w:r>
    </w:p>
    <w:p w:rsidR="00B11E71" w:rsidRPr="006075B8" w:rsidRDefault="0078384A" w:rsidP="0078384A">
      <w:pPr>
        <w:pStyle w:val="JuPara"/>
        <w:rPr>
          <w:szCs w:val="24"/>
        </w:rPr>
      </w:pPr>
      <w:r w:rsidRPr="006075B8">
        <w:rPr>
          <w:szCs w:val="24"/>
        </w:rPr>
        <w:fldChar w:fldCharType="begin"/>
      </w:r>
      <w:r w:rsidRPr="006075B8">
        <w:rPr>
          <w:szCs w:val="24"/>
        </w:rPr>
        <w:instrText xml:space="preserve"> SEQ level0 \*arabic </w:instrText>
      </w:r>
      <w:r w:rsidRPr="006075B8">
        <w:rPr>
          <w:szCs w:val="24"/>
        </w:rPr>
        <w:fldChar w:fldCharType="separate"/>
      </w:r>
      <w:r w:rsidR="00751640">
        <w:rPr>
          <w:noProof/>
          <w:szCs w:val="24"/>
        </w:rPr>
        <w:t>8</w:t>
      </w:r>
      <w:r w:rsidRPr="006075B8">
        <w:rPr>
          <w:szCs w:val="24"/>
        </w:rPr>
        <w:fldChar w:fldCharType="end"/>
      </w:r>
      <w:r w:rsidRPr="006075B8">
        <w:rPr>
          <w:szCs w:val="24"/>
        </w:rPr>
        <w:t xml:space="preserve">.  On 29 June 1990 the </w:t>
      </w:r>
      <w:smartTag w:uri="urn:schemas-microsoft-com:office:smarttags" w:element="Street">
        <w:smartTag w:uri="urn:schemas-microsoft-com:office:smarttags" w:element="address">
          <w:r w:rsidRPr="006075B8">
            <w:rPr>
              <w:szCs w:val="24"/>
            </w:rPr>
            <w:t>Warsaw Regional Court</w:t>
          </w:r>
        </w:smartTag>
      </w:smartTag>
      <w:r w:rsidRPr="006075B8">
        <w:rPr>
          <w:szCs w:val="24"/>
        </w:rPr>
        <w:t xml:space="preserve"> re-opened the trial and quashed the acquittal, finding that the original proceedings had been seriously </w:t>
      </w:r>
      <w:r w:rsidR="002C787C" w:rsidRPr="006075B8">
        <w:rPr>
          <w:szCs w:val="24"/>
        </w:rPr>
        <w:t>defective</w:t>
      </w:r>
      <w:r w:rsidRPr="006075B8">
        <w:rPr>
          <w:szCs w:val="24"/>
        </w:rPr>
        <w:t>, essentially because of the authorities</w:t>
      </w:r>
      <w:r w:rsidR="005E7ADB">
        <w:rPr>
          <w:szCs w:val="24"/>
        </w:rPr>
        <w:t>’</w:t>
      </w:r>
      <w:r w:rsidRPr="006075B8">
        <w:rPr>
          <w:szCs w:val="24"/>
        </w:rPr>
        <w:t xml:space="preserve"> tampering with the evidence</w:t>
      </w:r>
      <w:r w:rsidR="002C787C" w:rsidRPr="006075B8">
        <w:rPr>
          <w:szCs w:val="24"/>
        </w:rPr>
        <w:t>,</w:t>
      </w:r>
      <w:r w:rsidR="00CA6284" w:rsidRPr="006075B8">
        <w:rPr>
          <w:szCs w:val="24"/>
        </w:rPr>
        <w:t xml:space="preserve"> </w:t>
      </w:r>
      <w:r w:rsidR="002C787C" w:rsidRPr="006075B8">
        <w:rPr>
          <w:szCs w:val="24"/>
        </w:rPr>
        <w:t xml:space="preserve">and that the assessment of the evidence by the court </w:t>
      </w:r>
      <w:r w:rsidR="00FD5C3D" w:rsidRPr="006075B8">
        <w:rPr>
          <w:szCs w:val="24"/>
        </w:rPr>
        <w:t xml:space="preserve">had been </w:t>
      </w:r>
      <w:r w:rsidR="002C787C" w:rsidRPr="006075B8">
        <w:rPr>
          <w:szCs w:val="24"/>
        </w:rPr>
        <w:t>fundamentally flawed</w:t>
      </w:r>
      <w:r w:rsidRPr="006075B8">
        <w:rPr>
          <w:szCs w:val="24"/>
        </w:rPr>
        <w:t xml:space="preserve">. </w:t>
      </w:r>
      <w:r w:rsidR="00CA6284" w:rsidRPr="006075B8">
        <w:rPr>
          <w:szCs w:val="24"/>
        </w:rPr>
        <w:t xml:space="preserve">The court </w:t>
      </w:r>
      <w:r w:rsidRPr="006075B8">
        <w:rPr>
          <w:szCs w:val="24"/>
        </w:rPr>
        <w:t>ordered the prosecution to carry out the investigation again.</w:t>
      </w:r>
    </w:p>
    <w:p w:rsidR="00B11E71" w:rsidRPr="006075B8" w:rsidRDefault="00456819" w:rsidP="0078384A">
      <w:pPr>
        <w:pStyle w:val="JuPara"/>
        <w:rPr>
          <w:szCs w:val="24"/>
        </w:rPr>
      </w:pPr>
      <w:r w:rsidRPr="006075B8">
        <w:rPr>
          <w:szCs w:val="24"/>
        </w:rPr>
        <w:fldChar w:fldCharType="begin"/>
      </w:r>
      <w:r w:rsidRPr="006075B8">
        <w:rPr>
          <w:szCs w:val="24"/>
        </w:rPr>
        <w:instrText xml:space="preserve"> SEQ level0 \*arabic </w:instrText>
      </w:r>
      <w:r w:rsidRPr="006075B8">
        <w:rPr>
          <w:szCs w:val="24"/>
        </w:rPr>
        <w:fldChar w:fldCharType="separate"/>
      </w:r>
      <w:r w:rsidR="00751640">
        <w:rPr>
          <w:noProof/>
          <w:szCs w:val="24"/>
        </w:rPr>
        <w:t>9</w:t>
      </w:r>
      <w:r w:rsidRPr="006075B8">
        <w:rPr>
          <w:szCs w:val="24"/>
        </w:rPr>
        <w:fldChar w:fldCharType="end"/>
      </w:r>
      <w:r w:rsidRPr="006075B8">
        <w:rPr>
          <w:szCs w:val="24"/>
        </w:rPr>
        <w:t xml:space="preserve">.  On 29 June 1991 </w:t>
      </w:r>
      <w:r w:rsidR="00FD5C3D" w:rsidRPr="006075B8">
        <w:rPr>
          <w:szCs w:val="24"/>
        </w:rPr>
        <w:t>an</w:t>
      </w:r>
      <w:r w:rsidRPr="006075B8">
        <w:rPr>
          <w:szCs w:val="24"/>
        </w:rPr>
        <w:t xml:space="preserve"> indictment against I.K. </w:t>
      </w:r>
      <w:r w:rsidR="00AB2110" w:rsidRPr="006075B8">
        <w:rPr>
          <w:szCs w:val="24"/>
        </w:rPr>
        <w:t xml:space="preserve">and two other </w:t>
      </w:r>
      <w:r w:rsidR="00FD5C3D" w:rsidRPr="006075B8">
        <w:rPr>
          <w:szCs w:val="24"/>
        </w:rPr>
        <w:t xml:space="preserve">individuals </w:t>
      </w:r>
      <w:r w:rsidRPr="006075B8">
        <w:rPr>
          <w:szCs w:val="24"/>
        </w:rPr>
        <w:t xml:space="preserve">on charges of </w:t>
      </w:r>
      <w:r w:rsidR="009B60B6" w:rsidRPr="006075B8">
        <w:rPr>
          <w:szCs w:val="24"/>
        </w:rPr>
        <w:t>battery</w:t>
      </w:r>
      <w:r w:rsidRPr="006075B8">
        <w:rPr>
          <w:szCs w:val="24"/>
        </w:rPr>
        <w:t xml:space="preserve">, punishable under Article 153 </w:t>
      </w:r>
      <w:r w:rsidR="00AB2110" w:rsidRPr="006075B8">
        <w:rPr>
          <w:szCs w:val="24"/>
        </w:rPr>
        <w:t>§ 1</w:t>
      </w:r>
      <w:r w:rsidRPr="006075B8">
        <w:rPr>
          <w:szCs w:val="24"/>
        </w:rPr>
        <w:t xml:space="preserve"> of the 1969 Criminal Code</w:t>
      </w:r>
      <w:r w:rsidR="00FD5C3D" w:rsidRPr="006075B8">
        <w:rPr>
          <w:szCs w:val="24"/>
        </w:rPr>
        <w:t>,</w:t>
      </w:r>
      <w:r w:rsidR="009B60B6" w:rsidRPr="006075B8">
        <w:rPr>
          <w:szCs w:val="24"/>
        </w:rPr>
        <w:t xml:space="preserve"> was brought before the </w:t>
      </w:r>
      <w:smartTag w:uri="urn:schemas-microsoft-com:office:smarttags" w:element="Street">
        <w:smartTag w:uri="urn:schemas-microsoft-com:office:smarttags" w:element="address">
          <w:r w:rsidR="009B60B6" w:rsidRPr="006075B8">
            <w:rPr>
              <w:szCs w:val="24"/>
            </w:rPr>
            <w:t>Warsaw Regional Court</w:t>
          </w:r>
        </w:smartTag>
      </w:smartTag>
      <w:r w:rsidR="009B60B6" w:rsidRPr="006075B8">
        <w:rPr>
          <w:szCs w:val="24"/>
        </w:rPr>
        <w:t xml:space="preserve">. </w:t>
      </w:r>
      <w:r w:rsidR="00950FA9" w:rsidRPr="006075B8">
        <w:rPr>
          <w:szCs w:val="24"/>
        </w:rPr>
        <w:t>On 4 </w:t>
      </w:r>
      <w:r w:rsidR="009B60B6" w:rsidRPr="006075B8">
        <w:rPr>
          <w:szCs w:val="24"/>
        </w:rPr>
        <w:t xml:space="preserve">November 1991 that court remitted </w:t>
      </w:r>
      <w:r w:rsidRPr="006075B8">
        <w:rPr>
          <w:szCs w:val="24"/>
        </w:rPr>
        <w:t xml:space="preserve">the case back to the prosecuting authorities, finding that there had been serious </w:t>
      </w:r>
      <w:r w:rsidR="00AB2110" w:rsidRPr="006075B8">
        <w:rPr>
          <w:szCs w:val="24"/>
        </w:rPr>
        <w:t xml:space="preserve">deficiencies </w:t>
      </w:r>
      <w:r w:rsidRPr="006075B8">
        <w:rPr>
          <w:szCs w:val="24"/>
        </w:rPr>
        <w:t>in the investigation.</w:t>
      </w:r>
    </w:p>
    <w:p w:rsidR="00B11E71" w:rsidRPr="006075B8" w:rsidRDefault="0078384A" w:rsidP="0078384A">
      <w:pPr>
        <w:pStyle w:val="JuPara"/>
        <w:rPr>
          <w:szCs w:val="24"/>
        </w:rPr>
      </w:pPr>
      <w:r w:rsidRPr="006075B8">
        <w:rPr>
          <w:szCs w:val="24"/>
        </w:rPr>
        <w:fldChar w:fldCharType="begin"/>
      </w:r>
      <w:r w:rsidRPr="006075B8">
        <w:rPr>
          <w:szCs w:val="24"/>
        </w:rPr>
        <w:instrText xml:space="preserve"> SEQ level0 \*arabic </w:instrText>
      </w:r>
      <w:r w:rsidRPr="006075B8">
        <w:rPr>
          <w:szCs w:val="24"/>
        </w:rPr>
        <w:fldChar w:fldCharType="separate"/>
      </w:r>
      <w:r w:rsidR="00751640">
        <w:rPr>
          <w:noProof/>
          <w:szCs w:val="24"/>
        </w:rPr>
        <w:t>10</w:t>
      </w:r>
      <w:r w:rsidRPr="006075B8">
        <w:rPr>
          <w:szCs w:val="24"/>
        </w:rPr>
        <w:fldChar w:fldCharType="end"/>
      </w:r>
      <w:r w:rsidRPr="006075B8">
        <w:rPr>
          <w:szCs w:val="24"/>
        </w:rPr>
        <w:t>.  </w:t>
      </w:r>
      <w:r w:rsidR="00456819" w:rsidRPr="006075B8">
        <w:rPr>
          <w:szCs w:val="24"/>
        </w:rPr>
        <w:t xml:space="preserve">On 25 March </w:t>
      </w:r>
      <w:r w:rsidRPr="006075B8">
        <w:rPr>
          <w:szCs w:val="24"/>
        </w:rPr>
        <w:t xml:space="preserve">1993 the prosecution lodged </w:t>
      </w:r>
      <w:r w:rsidR="00FD5C3D" w:rsidRPr="006075B8">
        <w:rPr>
          <w:szCs w:val="24"/>
        </w:rPr>
        <w:t>an</w:t>
      </w:r>
      <w:r w:rsidRPr="006075B8">
        <w:rPr>
          <w:szCs w:val="24"/>
        </w:rPr>
        <w:t xml:space="preserve"> indictment against I.K. and </w:t>
      </w:r>
      <w:r w:rsidR="00FD5C3D" w:rsidRPr="006075B8">
        <w:rPr>
          <w:szCs w:val="24"/>
        </w:rPr>
        <w:t>two others</w:t>
      </w:r>
      <w:r w:rsidRPr="006075B8">
        <w:rPr>
          <w:szCs w:val="24"/>
        </w:rPr>
        <w:t xml:space="preserve">, former </w:t>
      </w:r>
      <w:r w:rsidR="00604CA9" w:rsidRPr="006075B8">
        <w:rPr>
          <w:szCs w:val="24"/>
        </w:rPr>
        <w:t>police</w:t>
      </w:r>
      <w:r w:rsidRPr="006075B8">
        <w:rPr>
          <w:szCs w:val="24"/>
        </w:rPr>
        <w:t xml:space="preserve"> officers</w:t>
      </w:r>
      <w:r w:rsidR="00245C7A" w:rsidRPr="006075B8">
        <w:rPr>
          <w:szCs w:val="24"/>
        </w:rPr>
        <w:t xml:space="preserve"> A.D. and K.O.</w:t>
      </w:r>
      <w:r w:rsidRPr="006075B8">
        <w:rPr>
          <w:szCs w:val="24"/>
        </w:rPr>
        <w:t>,</w:t>
      </w:r>
      <w:r w:rsidR="00456819" w:rsidRPr="006075B8">
        <w:rPr>
          <w:szCs w:val="24"/>
        </w:rPr>
        <w:t xml:space="preserve"> with the Warsaw Regional Court, charging them with the offence punishable under Article 153 </w:t>
      </w:r>
      <w:r w:rsidR="00AB2110" w:rsidRPr="006075B8">
        <w:rPr>
          <w:szCs w:val="24"/>
        </w:rPr>
        <w:t xml:space="preserve">§ </w:t>
      </w:r>
      <w:r w:rsidR="00456819" w:rsidRPr="006075B8">
        <w:rPr>
          <w:szCs w:val="24"/>
        </w:rPr>
        <w:t>1 of the 1969 Criminal Code.</w:t>
      </w:r>
      <w:r w:rsidR="00B11E71" w:rsidRPr="006075B8">
        <w:rPr>
          <w:szCs w:val="24"/>
        </w:rPr>
        <w:t xml:space="preserve"> </w:t>
      </w:r>
      <w:r w:rsidR="00456819" w:rsidRPr="006075B8">
        <w:rPr>
          <w:szCs w:val="24"/>
        </w:rPr>
        <w:t xml:space="preserve">The applicant had </w:t>
      </w:r>
      <w:r w:rsidR="00FD5C3D" w:rsidRPr="006075B8">
        <w:rPr>
          <w:szCs w:val="24"/>
        </w:rPr>
        <w:t xml:space="preserve">the </w:t>
      </w:r>
      <w:r w:rsidR="00456819" w:rsidRPr="006075B8">
        <w:rPr>
          <w:szCs w:val="24"/>
        </w:rPr>
        <w:t>status of auxiliary prosecutor in the proceedings (</w:t>
      </w:r>
      <w:r w:rsidR="000B62D6" w:rsidRPr="006075B8">
        <w:rPr>
          <w:i/>
          <w:szCs w:val="24"/>
        </w:rPr>
        <w:t>oskarzyciel posił</w:t>
      </w:r>
      <w:r w:rsidR="00456819" w:rsidRPr="006075B8">
        <w:rPr>
          <w:i/>
          <w:szCs w:val="24"/>
        </w:rPr>
        <w:t>kowy</w:t>
      </w:r>
      <w:r w:rsidR="00456819" w:rsidRPr="006075B8">
        <w:rPr>
          <w:szCs w:val="24"/>
        </w:rPr>
        <w:t>).</w:t>
      </w:r>
    </w:p>
    <w:p w:rsidR="00B11E71" w:rsidRPr="006075B8" w:rsidRDefault="00245C7A" w:rsidP="0078384A">
      <w:pPr>
        <w:pStyle w:val="JuPara"/>
        <w:rPr>
          <w:szCs w:val="24"/>
        </w:rPr>
      </w:pPr>
      <w:r w:rsidRPr="006075B8">
        <w:rPr>
          <w:szCs w:val="24"/>
        </w:rPr>
        <w:t>The case remained dormant until 22 May 1995</w:t>
      </w:r>
      <w:r w:rsidR="00FD5C3D" w:rsidRPr="006075B8">
        <w:rPr>
          <w:szCs w:val="24"/>
        </w:rPr>
        <w:t>,</w:t>
      </w:r>
      <w:r w:rsidRPr="006075B8">
        <w:rPr>
          <w:szCs w:val="24"/>
        </w:rPr>
        <w:t xml:space="preserve"> when the first hearing in the case was held.</w:t>
      </w:r>
    </w:p>
    <w:p w:rsidR="00B11E71" w:rsidRPr="006075B8" w:rsidRDefault="0078384A" w:rsidP="0078384A">
      <w:pPr>
        <w:pStyle w:val="JuPara"/>
        <w:rPr>
          <w:szCs w:val="24"/>
        </w:rPr>
      </w:pPr>
      <w:r w:rsidRPr="006075B8">
        <w:rPr>
          <w:szCs w:val="24"/>
        </w:rPr>
        <w:fldChar w:fldCharType="begin"/>
      </w:r>
      <w:r w:rsidRPr="006075B8">
        <w:rPr>
          <w:szCs w:val="24"/>
        </w:rPr>
        <w:instrText xml:space="preserve"> SEQ level0 \*arabic </w:instrText>
      </w:r>
      <w:r w:rsidRPr="006075B8">
        <w:rPr>
          <w:szCs w:val="24"/>
        </w:rPr>
        <w:fldChar w:fldCharType="separate"/>
      </w:r>
      <w:r w:rsidR="00751640">
        <w:rPr>
          <w:noProof/>
          <w:szCs w:val="24"/>
        </w:rPr>
        <w:t>11</w:t>
      </w:r>
      <w:r w:rsidRPr="006075B8">
        <w:rPr>
          <w:szCs w:val="24"/>
        </w:rPr>
        <w:fldChar w:fldCharType="end"/>
      </w:r>
      <w:r w:rsidRPr="006075B8">
        <w:rPr>
          <w:szCs w:val="24"/>
        </w:rPr>
        <w:t xml:space="preserve">.  By a judgment of 4 April 1997 the </w:t>
      </w:r>
      <w:smartTag w:uri="urn:schemas-microsoft-com:office:smarttags" w:element="Street">
        <w:smartTag w:uri="urn:schemas-microsoft-com:office:smarttags" w:element="address">
          <w:r w:rsidRPr="006075B8">
            <w:rPr>
              <w:szCs w:val="24"/>
            </w:rPr>
            <w:t>Warsaw Regional Court</w:t>
          </w:r>
        </w:smartTag>
      </w:smartTag>
      <w:r w:rsidRPr="006075B8">
        <w:rPr>
          <w:szCs w:val="24"/>
        </w:rPr>
        <w:t xml:space="preserve"> acquitted I.K.</w:t>
      </w:r>
      <w:r w:rsidR="00245C7A" w:rsidRPr="006075B8">
        <w:rPr>
          <w:szCs w:val="24"/>
        </w:rPr>
        <w:t xml:space="preserve"> It </w:t>
      </w:r>
      <w:r w:rsidRPr="006075B8">
        <w:rPr>
          <w:szCs w:val="24"/>
        </w:rPr>
        <w:t xml:space="preserve">convicted </w:t>
      </w:r>
      <w:r w:rsidR="00245C7A" w:rsidRPr="006075B8">
        <w:rPr>
          <w:szCs w:val="24"/>
        </w:rPr>
        <w:t>A.D. as charged and sentenced him to</w:t>
      </w:r>
      <w:r w:rsidR="00C52BE9" w:rsidRPr="006075B8">
        <w:rPr>
          <w:szCs w:val="24"/>
        </w:rPr>
        <w:t xml:space="preserve"> four y</w:t>
      </w:r>
      <w:r w:rsidR="00245C7A" w:rsidRPr="006075B8">
        <w:rPr>
          <w:szCs w:val="24"/>
        </w:rPr>
        <w:t>ears</w:t>
      </w:r>
      <w:r w:rsidR="005E7ADB">
        <w:rPr>
          <w:szCs w:val="24"/>
        </w:rPr>
        <w:t>’</w:t>
      </w:r>
      <w:r w:rsidR="00264B3F" w:rsidRPr="006075B8">
        <w:rPr>
          <w:szCs w:val="24"/>
        </w:rPr>
        <w:t xml:space="preserve"> imprisonment. It further </w:t>
      </w:r>
      <w:r w:rsidR="00245C7A" w:rsidRPr="006075B8">
        <w:rPr>
          <w:szCs w:val="24"/>
        </w:rPr>
        <w:t>reduced</w:t>
      </w:r>
      <w:r w:rsidR="00264B3F" w:rsidRPr="006075B8">
        <w:rPr>
          <w:szCs w:val="24"/>
        </w:rPr>
        <w:t xml:space="preserve"> the sentence</w:t>
      </w:r>
      <w:r w:rsidR="00245C7A" w:rsidRPr="006075B8">
        <w:rPr>
          <w:szCs w:val="24"/>
        </w:rPr>
        <w:t xml:space="preserve"> to two years as a result of </w:t>
      </w:r>
      <w:r w:rsidR="00FD5C3D" w:rsidRPr="006075B8">
        <w:rPr>
          <w:szCs w:val="24"/>
        </w:rPr>
        <w:t xml:space="preserve">the </w:t>
      </w:r>
      <w:r w:rsidR="00264B3F" w:rsidRPr="006075B8">
        <w:rPr>
          <w:szCs w:val="24"/>
        </w:rPr>
        <w:t xml:space="preserve">Amnesty Act 1990. </w:t>
      </w:r>
      <w:r w:rsidR="00245C7A" w:rsidRPr="006075B8">
        <w:rPr>
          <w:szCs w:val="24"/>
        </w:rPr>
        <w:t>K.O. was found guilty of destroying evidence in 1990.</w:t>
      </w:r>
    </w:p>
    <w:p w:rsidR="00B11E71" w:rsidRPr="006075B8" w:rsidRDefault="0078384A" w:rsidP="0078384A">
      <w:pPr>
        <w:pStyle w:val="JuPara"/>
        <w:rPr>
          <w:szCs w:val="24"/>
        </w:rPr>
      </w:pPr>
      <w:r w:rsidRPr="006075B8">
        <w:rPr>
          <w:szCs w:val="24"/>
        </w:rPr>
        <w:t>All the parties</w:t>
      </w:r>
      <w:r w:rsidR="00245C7A" w:rsidRPr="006075B8">
        <w:rPr>
          <w:szCs w:val="24"/>
        </w:rPr>
        <w:t>, including the applicant,</w:t>
      </w:r>
      <w:r w:rsidRPr="006075B8">
        <w:rPr>
          <w:szCs w:val="24"/>
        </w:rPr>
        <w:t xml:space="preserve"> appealed</w:t>
      </w:r>
      <w:r w:rsidR="00245C7A" w:rsidRPr="006075B8">
        <w:rPr>
          <w:szCs w:val="24"/>
        </w:rPr>
        <w:t xml:space="preserve"> against that judgment</w:t>
      </w:r>
      <w:r w:rsidRPr="006075B8">
        <w:rPr>
          <w:szCs w:val="24"/>
        </w:rPr>
        <w:t>.</w:t>
      </w:r>
    </w:p>
    <w:p w:rsidR="00B11E71" w:rsidRPr="006075B8" w:rsidRDefault="0078384A" w:rsidP="0078384A">
      <w:pPr>
        <w:pStyle w:val="JuPara"/>
        <w:rPr>
          <w:szCs w:val="24"/>
        </w:rPr>
      </w:pPr>
      <w:r w:rsidRPr="006075B8">
        <w:rPr>
          <w:szCs w:val="24"/>
        </w:rPr>
        <w:fldChar w:fldCharType="begin"/>
      </w:r>
      <w:r w:rsidRPr="006075B8">
        <w:rPr>
          <w:szCs w:val="24"/>
        </w:rPr>
        <w:instrText xml:space="preserve"> SEQ level0 \*arabic </w:instrText>
      </w:r>
      <w:r w:rsidRPr="006075B8">
        <w:rPr>
          <w:szCs w:val="24"/>
        </w:rPr>
        <w:fldChar w:fldCharType="separate"/>
      </w:r>
      <w:r w:rsidR="00751640">
        <w:rPr>
          <w:noProof/>
          <w:szCs w:val="24"/>
        </w:rPr>
        <w:t>12</w:t>
      </w:r>
      <w:r w:rsidRPr="006075B8">
        <w:rPr>
          <w:szCs w:val="24"/>
        </w:rPr>
        <w:fldChar w:fldCharType="end"/>
      </w:r>
      <w:r w:rsidRPr="006075B8">
        <w:rPr>
          <w:szCs w:val="24"/>
        </w:rPr>
        <w:t>.  On 22 May 1998 the Warsaw Court of Appeal quashed the judgment insofar as it concerned I.K. and remitted the case.</w:t>
      </w:r>
      <w:r w:rsidR="00B11E71" w:rsidRPr="006075B8">
        <w:rPr>
          <w:szCs w:val="24"/>
        </w:rPr>
        <w:t xml:space="preserve"> </w:t>
      </w:r>
      <w:r w:rsidRPr="006075B8">
        <w:rPr>
          <w:szCs w:val="24"/>
        </w:rPr>
        <w:t>At the same time, it acquitted K.O. and upheld</w:t>
      </w:r>
      <w:r w:rsidR="00FD5C3D" w:rsidRPr="006075B8">
        <w:rPr>
          <w:szCs w:val="24"/>
        </w:rPr>
        <w:t>,</w:t>
      </w:r>
      <w:r w:rsidRPr="006075B8">
        <w:rPr>
          <w:szCs w:val="24"/>
        </w:rPr>
        <w:t xml:space="preserve"> in essence</w:t>
      </w:r>
      <w:r w:rsidR="00FD5C3D" w:rsidRPr="006075B8">
        <w:rPr>
          <w:szCs w:val="24"/>
        </w:rPr>
        <w:t>,</w:t>
      </w:r>
      <w:r w:rsidRPr="006075B8">
        <w:rPr>
          <w:szCs w:val="24"/>
        </w:rPr>
        <w:t xml:space="preserve"> the conviction of A.D.</w:t>
      </w:r>
    </w:p>
    <w:p w:rsidR="00B11E71" w:rsidRPr="006075B8" w:rsidRDefault="00245C7A" w:rsidP="0078384A">
      <w:pPr>
        <w:pStyle w:val="JuPara"/>
        <w:rPr>
          <w:szCs w:val="24"/>
        </w:rPr>
      </w:pPr>
      <w:r w:rsidRPr="006075B8">
        <w:rPr>
          <w:szCs w:val="24"/>
        </w:rPr>
        <w:t>The applicant lodged a cassation appeal against this judgment</w:t>
      </w:r>
      <w:r w:rsidR="0027347F" w:rsidRPr="006075B8">
        <w:rPr>
          <w:szCs w:val="24"/>
        </w:rPr>
        <w:t xml:space="preserve"> with the Supreme Court</w:t>
      </w:r>
      <w:r w:rsidRPr="006075B8">
        <w:rPr>
          <w:szCs w:val="24"/>
        </w:rPr>
        <w:t xml:space="preserve"> in so far as it concerned K.O. Lawyers representing A.D. also appealed against the judgment.</w:t>
      </w:r>
    </w:p>
    <w:p w:rsidR="00B11E71" w:rsidRPr="006075B8" w:rsidRDefault="00245C7A" w:rsidP="0078384A">
      <w:pPr>
        <w:pStyle w:val="JuPara"/>
        <w:rPr>
          <w:szCs w:val="24"/>
        </w:rPr>
      </w:pPr>
      <w:r w:rsidRPr="006075B8">
        <w:rPr>
          <w:szCs w:val="24"/>
        </w:rPr>
        <w:fldChar w:fldCharType="begin"/>
      </w:r>
      <w:r w:rsidRPr="006075B8">
        <w:rPr>
          <w:szCs w:val="24"/>
        </w:rPr>
        <w:instrText xml:space="preserve"> SEQ level0 \*arabic </w:instrText>
      </w:r>
      <w:r w:rsidRPr="006075B8">
        <w:rPr>
          <w:szCs w:val="24"/>
        </w:rPr>
        <w:fldChar w:fldCharType="separate"/>
      </w:r>
      <w:r w:rsidR="00751640">
        <w:rPr>
          <w:noProof/>
          <w:szCs w:val="24"/>
        </w:rPr>
        <w:t>13</w:t>
      </w:r>
      <w:r w:rsidRPr="006075B8">
        <w:rPr>
          <w:szCs w:val="24"/>
        </w:rPr>
        <w:fldChar w:fldCharType="end"/>
      </w:r>
      <w:r w:rsidRPr="006075B8">
        <w:rPr>
          <w:szCs w:val="24"/>
        </w:rPr>
        <w:t>.  On 22 September 1999 the Supreme Court dismissed both appeals.</w:t>
      </w:r>
    </w:p>
    <w:p w:rsidR="00B11E71" w:rsidRPr="006075B8" w:rsidRDefault="0078384A" w:rsidP="0078384A">
      <w:pPr>
        <w:pStyle w:val="JuPara"/>
        <w:rPr>
          <w:szCs w:val="24"/>
        </w:rPr>
      </w:pPr>
      <w:r w:rsidRPr="006075B8">
        <w:rPr>
          <w:szCs w:val="24"/>
        </w:rPr>
        <w:fldChar w:fldCharType="begin"/>
      </w:r>
      <w:r w:rsidRPr="006075B8">
        <w:rPr>
          <w:szCs w:val="24"/>
        </w:rPr>
        <w:instrText xml:space="preserve"> SEQ level0 \*arabic </w:instrText>
      </w:r>
      <w:r w:rsidRPr="006075B8">
        <w:rPr>
          <w:szCs w:val="24"/>
        </w:rPr>
        <w:fldChar w:fldCharType="separate"/>
      </w:r>
      <w:r w:rsidR="00751640">
        <w:rPr>
          <w:noProof/>
          <w:szCs w:val="24"/>
        </w:rPr>
        <w:t>14</w:t>
      </w:r>
      <w:r w:rsidRPr="006075B8">
        <w:rPr>
          <w:szCs w:val="24"/>
        </w:rPr>
        <w:fldChar w:fldCharType="end"/>
      </w:r>
      <w:r w:rsidRPr="006075B8">
        <w:rPr>
          <w:szCs w:val="24"/>
        </w:rPr>
        <w:t xml:space="preserve">.  The trial against I.K. started anew. The first hearing was scheduled for 18 April 2000. On 19 June 2000 the </w:t>
      </w:r>
      <w:smartTag w:uri="urn:schemas-microsoft-com:office:smarttags" w:element="Street">
        <w:smartTag w:uri="urn:schemas-microsoft-com:office:smarttags" w:element="address">
          <w:r w:rsidRPr="006075B8">
            <w:rPr>
              <w:szCs w:val="24"/>
            </w:rPr>
            <w:t>Warsaw Regional Court</w:t>
          </w:r>
        </w:smartTag>
      </w:smartTag>
      <w:r w:rsidRPr="006075B8">
        <w:rPr>
          <w:szCs w:val="24"/>
        </w:rPr>
        <w:t xml:space="preserve"> acquitted I.K.</w:t>
      </w:r>
    </w:p>
    <w:p w:rsidR="00245C7A" w:rsidRPr="006075B8" w:rsidRDefault="0078384A" w:rsidP="0078384A">
      <w:pPr>
        <w:pStyle w:val="JuPara"/>
        <w:rPr>
          <w:szCs w:val="24"/>
        </w:rPr>
      </w:pPr>
      <w:r w:rsidRPr="006075B8">
        <w:rPr>
          <w:szCs w:val="24"/>
        </w:rPr>
        <w:t>The applicant appealed.</w:t>
      </w:r>
    </w:p>
    <w:p w:rsidR="00B11E71" w:rsidRPr="006075B8" w:rsidRDefault="00245C7A" w:rsidP="0078384A">
      <w:pPr>
        <w:pStyle w:val="JuPara"/>
        <w:rPr>
          <w:szCs w:val="24"/>
        </w:rPr>
      </w:pPr>
      <w:r w:rsidRPr="006075B8">
        <w:rPr>
          <w:szCs w:val="24"/>
        </w:rPr>
        <w:fldChar w:fldCharType="begin"/>
      </w:r>
      <w:r w:rsidRPr="006075B8">
        <w:rPr>
          <w:szCs w:val="24"/>
        </w:rPr>
        <w:instrText xml:space="preserve"> SEQ level0 \*arabic </w:instrText>
      </w:r>
      <w:r w:rsidRPr="006075B8">
        <w:rPr>
          <w:szCs w:val="24"/>
        </w:rPr>
        <w:fldChar w:fldCharType="separate"/>
      </w:r>
      <w:r w:rsidR="00751640">
        <w:rPr>
          <w:noProof/>
          <w:szCs w:val="24"/>
        </w:rPr>
        <w:t>15</w:t>
      </w:r>
      <w:r w:rsidRPr="006075B8">
        <w:rPr>
          <w:szCs w:val="24"/>
        </w:rPr>
        <w:fldChar w:fldCharType="end"/>
      </w:r>
      <w:r w:rsidRPr="006075B8">
        <w:rPr>
          <w:szCs w:val="24"/>
        </w:rPr>
        <w:t>.  </w:t>
      </w:r>
      <w:r w:rsidR="0078384A" w:rsidRPr="006075B8">
        <w:rPr>
          <w:szCs w:val="24"/>
        </w:rPr>
        <w:t>The acquittal was upheld by t</w:t>
      </w:r>
      <w:r w:rsidR="00950FA9" w:rsidRPr="006075B8">
        <w:rPr>
          <w:szCs w:val="24"/>
        </w:rPr>
        <w:t>he Warsaw Court of Appeal on 17 </w:t>
      </w:r>
      <w:r w:rsidR="0078384A" w:rsidRPr="006075B8">
        <w:rPr>
          <w:szCs w:val="24"/>
        </w:rPr>
        <w:t xml:space="preserve">January 2001. </w:t>
      </w:r>
      <w:r w:rsidR="00647A2E" w:rsidRPr="006075B8">
        <w:rPr>
          <w:szCs w:val="24"/>
        </w:rPr>
        <w:t xml:space="preserve">The court held that the offence with which I.K. had been charged </w:t>
      </w:r>
      <w:r w:rsidR="0027347F" w:rsidRPr="006075B8">
        <w:rPr>
          <w:szCs w:val="24"/>
        </w:rPr>
        <w:t>had</w:t>
      </w:r>
      <w:r w:rsidR="00C52BE9" w:rsidRPr="006075B8">
        <w:rPr>
          <w:szCs w:val="24"/>
        </w:rPr>
        <w:t xml:space="preserve"> become</w:t>
      </w:r>
      <w:r w:rsidR="0027347F" w:rsidRPr="006075B8">
        <w:rPr>
          <w:szCs w:val="24"/>
        </w:rPr>
        <w:t xml:space="preserve"> </w:t>
      </w:r>
      <w:r w:rsidR="00647A2E" w:rsidRPr="006075B8">
        <w:rPr>
          <w:szCs w:val="24"/>
        </w:rPr>
        <w:t>prescribed on 1 January 2000</w:t>
      </w:r>
      <w:r w:rsidR="00454794" w:rsidRPr="006075B8">
        <w:rPr>
          <w:szCs w:val="24"/>
        </w:rPr>
        <w:t>,</w:t>
      </w:r>
      <w:r w:rsidR="005155F7" w:rsidRPr="006075B8">
        <w:rPr>
          <w:szCs w:val="24"/>
        </w:rPr>
        <w:t xml:space="preserve"> when </w:t>
      </w:r>
      <w:r w:rsidR="00454794" w:rsidRPr="006075B8">
        <w:rPr>
          <w:szCs w:val="24"/>
        </w:rPr>
        <w:t>the ten</w:t>
      </w:r>
      <w:r w:rsidR="001649E8" w:rsidRPr="006075B8">
        <w:rPr>
          <w:szCs w:val="24"/>
        </w:rPr>
        <w:noBreakHyphen/>
      </w:r>
      <w:r w:rsidR="00647A2E" w:rsidRPr="006075B8">
        <w:rPr>
          <w:szCs w:val="24"/>
        </w:rPr>
        <w:t xml:space="preserve">year prescription period provided for by Article 9 of the Transitional Provisions of the 1967 Criminal Code </w:t>
      </w:r>
      <w:r w:rsidR="005155F7" w:rsidRPr="006075B8">
        <w:rPr>
          <w:szCs w:val="24"/>
        </w:rPr>
        <w:t xml:space="preserve">(see paragraph </w:t>
      </w:r>
      <w:r w:rsidR="0027347F" w:rsidRPr="006075B8">
        <w:rPr>
          <w:szCs w:val="24"/>
        </w:rPr>
        <w:t>32 below</w:t>
      </w:r>
      <w:r w:rsidR="005155F7" w:rsidRPr="006075B8">
        <w:rPr>
          <w:szCs w:val="24"/>
        </w:rPr>
        <w:t xml:space="preserve">) </w:t>
      </w:r>
      <w:r w:rsidR="00454794" w:rsidRPr="006075B8">
        <w:rPr>
          <w:szCs w:val="24"/>
        </w:rPr>
        <w:t xml:space="preserve">had </w:t>
      </w:r>
      <w:r w:rsidR="00647A2E" w:rsidRPr="006075B8">
        <w:rPr>
          <w:szCs w:val="24"/>
        </w:rPr>
        <w:t xml:space="preserve">elapsed. </w:t>
      </w:r>
      <w:r w:rsidR="005155F7" w:rsidRPr="006075B8">
        <w:rPr>
          <w:szCs w:val="24"/>
        </w:rPr>
        <w:t xml:space="preserve">It was of the view that that period could not be prolonged by </w:t>
      </w:r>
      <w:r w:rsidR="00454794" w:rsidRPr="006075B8">
        <w:rPr>
          <w:szCs w:val="24"/>
        </w:rPr>
        <w:t xml:space="preserve">the </w:t>
      </w:r>
      <w:r w:rsidR="005155F7" w:rsidRPr="006075B8">
        <w:rPr>
          <w:szCs w:val="24"/>
        </w:rPr>
        <w:t xml:space="preserve">further five years provided for by Article 102 of the Criminal Code </w:t>
      </w:r>
      <w:r w:rsidR="0027347F" w:rsidRPr="006075B8">
        <w:rPr>
          <w:szCs w:val="24"/>
        </w:rPr>
        <w:t xml:space="preserve">(see paragraph 30 below) </w:t>
      </w:r>
      <w:r w:rsidR="005155F7" w:rsidRPr="006075B8">
        <w:rPr>
          <w:szCs w:val="24"/>
        </w:rPr>
        <w:t>because the prescription period had started to run in 1983</w:t>
      </w:r>
      <w:r w:rsidR="00453591" w:rsidRPr="006075B8">
        <w:rPr>
          <w:szCs w:val="24"/>
        </w:rPr>
        <w:t xml:space="preserve"> when the proceedings had been instituted for the first time</w:t>
      </w:r>
      <w:r w:rsidR="005155F7" w:rsidRPr="006075B8">
        <w:rPr>
          <w:szCs w:val="24"/>
        </w:rPr>
        <w:t xml:space="preserve">. </w:t>
      </w:r>
      <w:r w:rsidR="0027347F" w:rsidRPr="006075B8">
        <w:rPr>
          <w:szCs w:val="24"/>
        </w:rPr>
        <w:t>The provision of Article</w:t>
      </w:r>
      <w:r w:rsidR="00950FA9" w:rsidRPr="006075B8">
        <w:rPr>
          <w:szCs w:val="24"/>
        </w:rPr>
        <w:t> </w:t>
      </w:r>
      <w:r w:rsidR="0027347F" w:rsidRPr="006075B8">
        <w:rPr>
          <w:szCs w:val="24"/>
        </w:rPr>
        <w:t>9 of the Transitional Provisions to the Criminal Code (see paragraph</w:t>
      </w:r>
      <w:r w:rsidR="001649E8" w:rsidRPr="006075B8">
        <w:rPr>
          <w:szCs w:val="24"/>
        </w:rPr>
        <w:t> </w:t>
      </w:r>
      <w:r w:rsidR="0027347F" w:rsidRPr="006075B8">
        <w:rPr>
          <w:szCs w:val="24"/>
        </w:rPr>
        <w:t xml:space="preserve">32 below) had no </w:t>
      </w:r>
      <w:r w:rsidR="00454794" w:rsidRPr="006075B8">
        <w:rPr>
          <w:szCs w:val="24"/>
        </w:rPr>
        <w:t xml:space="preserve">effect </w:t>
      </w:r>
      <w:r w:rsidR="0027347F" w:rsidRPr="006075B8">
        <w:rPr>
          <w:szCs w:val="24"/>
        </w:rPr>
        <w:t xml:space="preserve">on the running of that </w:t>
      </w:r>
      <w:r w:rsidR="00454794" w:rsidRPr="006075B8">
        <w:rPr>
          <w:szCs w:val="24"/>
        </w:rPr>
        <w:t>period</w:t>
      </w:r>
      <w:r w:rsidR="0027347F" w:rsidRPr="006075B8">
        <w:rPr>
          <w:szCs w:val="24"/>
        </w:rPr>
        <w:t>.</w:t>
      </w:r>
    </w:p>
    <w:p w:rsidR="00B11E71" w:rsidRPr="006075B8" w:rsidRDefault="00176A76" w:rsidP="0078384A">
      <w:pPr>
        <w:pStyle w:val="JuPara"/>
        <w:rPr>
          <w:szCs w:val="24"/>
        </w:rPr>
      </w:pPr>
      <w:r w:rsidRPr="006075B8">
        <w:rPr>
          <w:szCs w:val="24"/>
        </w:rPr>
        <w:t>The applicant and Prosecutor General appealed against that judg</w:t>
      </w:r>
      <w:r w:rsidR="00B6621D" w:rsidRPr="006075B8">
        <w:rPr>
          <w:szCs w:val="24"/>
        </w:rPr>
        <w:t xml:space="preserve">ment. They submitted that the judgment </w:t>
      </w:r>
      <w:r w:rsidR="00454794" w:rsidRPr="006075B8">
        <w:rPr>
          <w:szCs w:val="24"/>
        </w:rPr>
        <w:t xml:space="preserve">had been </w:t>
      </w:r>
      <w:r w:rsidR="00B6621D" w:rsidRPr="006075B8">
        <w:rPr>
          <w:szCs w:val="24"/>
        </w:rPr>
        <w:t xml:space="preserve">in breach of substantive law in so far as the court had found that criminal </w:t>
      </w:r>
      <w:r w:rsidR="00454794" w:rsidRPr="006075B8">
        <w:rPr>
          <w:szCs w:val="24"/>
        </w:rPr>
        <w:t xml:space="preserve">liability </w:t>
      </w:r>
      <w:r w:rsidR="00B6621D" w:rsidRPr="006075B8">
        <w:rPr>
          <w:szCs w:val="24"/>
        </w:rPr>
        <w:t xml:space="preserve">in respect of the offence had </w:t>
      </w:r>
      <w:r w:rsidR="00C52BE9" w:rsidRPr="006075B8">
        <w:rPr>
          <w:szCs w:val="24"/>
        </w:rPr>
        <w:t xml:space="preserve">become </w:t>
      </w:r>
      <w:r w:rsidR="00B6621D" w:rsidRPr="006075B8">
        <w:rPr>
          <w:szCs w:val="24"/>
        </w:rPr>
        <w:t xml:space="preserve">prescribed. </w:t>
      </w:r>
      <w:r w:rsidR="00647A2E" w:rsidRPr="006075B8">
        <w:rPr>
          <w:szCs w:val="24"/>
        </w:rPr>
        <w:t xml:space="preserve">The Prosecutor General argued that the </w:t>
      </w:r>
      <w:r w:rsidR="005155F7" w:rsidRPr="006075B8">
        <w:rPr>
          <w:szCs w:val="24"/>
        </w:rPr>
        <w:t>crime had to be characterised as a communist crime which was not subject to prescription</w:t>
      </w:r>
      <w:r w:rsidR="0027347F" w:rsidRPr="006075B8">
        <w:rPr>
          <w:szCs w:val="24"/>
        </w:rPr>
        <w:t xml:space="preserve"> at all</w:t>
      </w:r>
      <w:r w:rsidR="005155F7" w:rsidRPr="006075B8">
        <w:rPr>
          <w:szCs w:val="24"/>
        </w:rPr>
        <w:t>.</w:t>
      </w:r>
    </w:p>
    <w:p w:rsidR="00B11E71" w:rsidRPr="006075B8" w:rsidRDefault="0078384A" w:rsidP="0078384A">
      <w:pPr>
        <w:pStyle w:val="JuPara"/>
        <w:rPr>
          <w:szCs w:val="24"/>
        </w:rPr>
      </w:pPr>
      <w:r w:rsidRPr="006075B8">
        <w:rPr>
          <w:szCs w:val="24"/>
        </w:rPr>
        <w:fldChar w:fldCharType="begin"/>
      </w:r>
      <w:r w:rsidRPr="006075B8">
        <w:rPr>
          <w:szCs w:val="24"/>
        </w:rPr>
        <w:instrText xml:space="preserve"> SEQ level0 \*arabic </w:instrText>
      </w:r>
      <w:r w:rsidRPr="006075B8">
        <w:rPr>
          <w:szCs w:val="24"/>
        </w:rPr>
        <w:fldChar w:fldCharType="separate"/>
      </w:r>
      <w:r w:rsidR="00751640">
        <w:rPr>
          <w:noProof/>
          <w:szCs w:val="24"/>
        </w:rPr>
        <w:t>16</w:t>
      </w:r>
      <w:r w:rsidRPr="006075B8">
        <w:rPr>
          <w:szCs w:val="24"/>
        </w:rPr>
        <w:fldChar w:fldCharType="end"/>
      </w:r>
      <w:r w:rsidRPr="006075B8">
        <w:rPr>
          <w:szCs w:val="24"/>
        </w:rPr>
        <w:t>.  On 12 September 2001 the Supreme Court quashed the judgment of 17 January 2001 and remitted the case.</w:t>
      </w:r>
      <w:r w:rsidR="00647A2E" w:rsidRPr="006075B8">
        <w:rPr>
          <w:szCs w:val="24"/>
        </w:rPr>
        <w:t xml:space="preserve"> </w:t>
      </w:r>
      <w:r w:rsidR="00B6621D" w:rsidRPr="006075B8">
        <w:rPr>
          <w:szCs w:val="24"/>
        </w:rPr>
        <w:t>The court held that</w:t>
      </w:r>
      <w:r w:rsidR="005155F7" w:rsidRPr="006075B8">
        <w:rPr>
          <w:szCs w:val="24"/>
        </w:rPr>
        <w:t xml:space="preserve"> the Court of Appeal had erred in the interpretation of the provisions </w:t>
      </w:r>
      <w:r w:rsidR="00454794" w:rsidRPr="006075B8">
        <w:rPr>
          <w:szCs w:val="24"/>
        </w:rPr>
        <w:t xml:space="preserve">of the Code </w:t>
      </w:r>
      <w:r w:rsidR="005155F7" w:rsidRPr="006075B8">
        <w:rPr>
          <w:szCs w:val="24"/>
        </w:rPr>
        <w:t xml:space="preserve">concerning </w:t>
      </w:r>
      <w:r w:rsidR="00454794" w:rsidRPr="006075B8">
        <w:rPr>
          <w:szCs w:val="24"/>
        </w:rPr>
        <w:t xml:space="preserve">the </w:t>
      </w:r>
      <w:r w:rsidR="005155F7" w:rsidRPr="006075B8">
        <w:rPr>
          <w:szCs w:val="24"/>
        </w:rPr>
        <w:t xml:space="preserve">prescription of criminal </w:t>
      </w:r>
      <w:r w:rsidR="00454794" w:rsidRPr="006075B8">
        <w:rPr>
          <w:szCs w:val="24"/>
        </w:rPr>
        <w:t>liability</w:t>
      </w:r>
      <w:r w:rsidR="005155F7" w:rsidRPr="006075B8">
        <w:rPr>
          <w:szCs w:val="24"/>
        </w:rPr>
        <w:t xml:space="preserve">. In particular, it </w:t>
      </w:r>
      <w:r w:rsidR="00454794" w:rsidRPr="006075B8">
        <w:rPr>
          <w:szCs w:val="24"/>
        </w:rPr>
        <w:t xml:space="preserve">had been </w:t>
      </w:r>
      <w:r w:rsidR="005155F7" w:rsidRPr="006075B8">
        <w:rPr>
          <w:szCs w:val="24"/>
        </w:rPr>
        <w:t>wrong in its interpretation of Article 102 of the Criminal Code</w:t>
      </w:r>
      <w:r w:rsidR="000F66F4" w:rsidRPr="006075B8">
        <w:rPr>
          <w:szCs w:val="24"/>
        </w:rPr>
        <w:t xml:space="preserve"> and in holding that the prescription period had started to run in 1983</w:t>
      </w:r>
      <w:r w:rsidR="005155F7" w:rsidRPr="006075B8">
        <w:rPr>
          <w:szCs w:val="24"/>
        </w:rPr>
        <w:t xml:space="preserve">. Such </w:t>
      </w:r>
      <w:r w:rsidR="00454794" w:rsidRPr="006075B8">
        <w:rPr>
          <w:szCs w:val="24"/>
        </w:rPr>
        <w:t xml:space="preserve">an </w:t>
      </w:r>
      <w:r w:rsidR="005155F7" w:rsidRPr="006075B8">
        <w:rPr>
          <w:szCs w:val="24"/>
        </w:rPr>
        <w:t xml:space="preserve">interpretation </w:t>
      </w:r>
      <w:r w:rsidR="00454794" w:rsidRPr="006075B8">
        <w:rPr>
          <w:szCs w:val="24"/>
        </w:rPr>
        <w:t xml:space="preserve">would make </w:t>
      </w:r>
      <w:r w:rsidR="005155F7" w:rsidRPr="006075B8">
        <w:rPr>
          <w:szCs w:val="24"/>
        </w:rPr>
        <w:t>it impossible to pursue proceedings in respect of persons who, acting as agents of the State, had committe</w:t>
      </w:r>
      <w:r w:rsidR="001649E8" w:rsidRPr="006075B8">
        <w:rPr>
          <w:szCs w:val="24"/>
        </w:rPr>
        <w:t>d crimes before 1 </w:t>
      </w:r>
      <w:r w:rsidR="005155F7" w:rsidRPr="006075B8">
        <w:rPr>
          <w:szCs w:val="24"/>
        </w:rPr>
        <w:t xml:space="preserve">January 1990 but </w:t>
      </w:r>
      <w:r w:rsidR="000B6C17" w:rsidRPr="006075B8">
        <w:rPr>
          <w:szCs w:val="24"/>
        </w:rPr>
        <w:t xml:space="preserve">had </w:t>
      </w:r>
      <w:r w:rsidR="0027347F" w:rsidRPr="006075B8">
        <w:rPr>
          <w:szCs w:val="24"/>
        </w:rPr>
        <w:t xml:space="preserve">subsequently </w:t>
      </w:r>
      <w:r w:rsidR="000B6C17" w:rsidRPr="006075B8">
        <w:rPr>
          <w:szCs w:val="24"/>
        </w:rPr>
        <w:t xml:space="preserve">been </w:t>
      </w:r>
      <w:r w:rsidR="0027347F" w:rsidRPr="006075B8">
        <w:rPr>
          <w:szCs w:val="24"/>
        </w:rPr>
        <w:t xml:space="preserve">acquitted </w:t>
      </w:r>
      <w:r w:rsidR="005155F7" w:rsidRPr="006075B8">
        <w:rPr>
          <w:szCs w:val="24"/>
        </w:rPr>
        <w:t>before that date</w:t>
      </w:r>
      <w:r w:rsidR="0027347F" w:rsidRPr="006075B8">
        <w:rPr>
          <w:szCs w:val="24"/>
        </w:rPr>
        <w:t xml:space="preserve"> because the authorities had found </w:t>
      </w:r>
      <w:r w:rsidR="00454794" w:rsidRPr="006075B8">
        <w:rPr>
          <w:szCs w:val="24"/>
        </w:rPr>
        <w:t xml:space="preserve">it </w:t>
      </w:r>
      <w:r w:rsidR="0027347F" w:rsidRPr="006075B8">
        <w:rPr>
          <w:szCs w:val="24"/>
        </w:rPr>
        <w:t xml:space="preserve">politically expedient to find them </w:t>
      </w:r>
      <w:r w:rsidR="00454794" w:rsidRPr="006075B8">
        <w:rPr>
          <w:szCs w:val="24"/>
        </w:rPr>
        <w:t xml:space="preserve">not </w:t>
      </w:r>
      <w:r w:rsidR="0027347F" w:rsidRPr="006075B8">
        <w:rPr>
          <w:szCs w:val="24"/>
        </w:rPr>
        <w:t>guilty</w:t>
      </w:r>
      <w:r w:rsidR="005155F7" w:rsidRPr="006075B8">
        <w:rPr>
          <w:szCs w:val="24"/>
        </w:rPr>
        <w:t xml:space="preserve">. This interpretation </w:t>
      </w:r>
      <w:r w:rsidR="00454794" w:rsidRPr="006075B8">
        <w:rPr>
          <w:szCs w:val="24"/>
        </w:rPr>
        <w:t xml:space="preserve">would defeat </w:t>
      </w:r>
      <w:r w:rsidR="005155F7" w:rsidRPr="006075B8">
        <w:rPr>
          <w:szCs w:val="24"/>
        </w:rPr>
        <w:t>the purpose of the provisions</w:t>
      </w:r>
      <w:r w:rsidR="00515264" w:rsidRPr="006075B8">
        <w:rPr>
          <w:szCs w:val="24"/>
        </w:rPr>
        <w:t xml:space="preserve"> themselves, which were</w:t>
      </w:r>
      <w:r w:rsidR="005155F7" w:rsidRPr="006075B8">
        <w:rPr>
          <w:szCs w:val="24"/>
        </w:rPr>
        <w:t xml:space="preserve"> </w:t>
      </w:r>
      <w:r w:rsidR="00515264" w:rsidRPr="006075B8">
        <w:rPr>
          <w:szCs w:val="24"/>
        </w:rPr>
        <w:t xml:space="preserve">designed </w:t>
      </w:r>
      <w:r w:rsidR="0027347F" w:rsidRPr="006075B8">
        <w:rPr>
          <w:szCs w:val="24"/>
        </w:rPr>
        <w:t xml:space="preserve">to bring </w:t>
      </w:r>
      <w:r w:rsidR="005155F7" w:rsidRPr="006075B8">
        <w:rPr>
          <w:szCs w:val="24"/>
        </w:rPr>
        <w:t xml:space="preserve">to justice perpetrators of such crimes by way of extending the </w:t>
      </w:r>
      <w:r w:rsidR="00515264" w:rsidRPr="006075B8">
        <w:rPr>
          <w:szCs w:val="24"/>
        </w:rPr>
        <w:t xml:space="preserve">relevant </w:t>
      </w:r>
      <w:r w:rsidR="005155F7" w:rsidRPr="006075B8">
        <w:rPr>
          <w:szCs w:val="24"/>
        </w:rPr>
        <w:t>prescription periods.</w:t>
      </w:r>
    </w:p>
    <w:p w:rsidR="00B11E71" w:rsidRPr="006075B8" w:rsidRDefault="00B6621D" w:rsidP="0078384A">
      <w:pPr>
        <w:pStyle w:val="JuPara"/>
        <w:rPr>
          <w:szCs w:val="24"/>
        </w:rPr>
      </w:pPr>
      <w:r w:rsidRPr="006075B8">
        <w:rPr>
          <w:szCs w:val="24"/>
        </w:rPr>
        <w:fldChar w:fldCharType="begin"/>
      </w:r>
      <w:r w:rsidRPr="006075B8">
        <w:rPr>
          <w:szCs w:val="24"/>
        </w:rPr>
        <w:instrText xml:space="preserve"> SEQ level0 \*arabic </w:instrText>
      </w:r>
      <w:r w:rsidRPr="006075B8">
        <w:rPr>
          <w:szCs w:val="24"/>
        </w:rPr>
        <w:fldChar w:fldCharType="separate"/>
      </w:r>
      <w:r w:rsidR="00751640">
        <w:rPr>
          <w:noProof/>
          <w:szCs w:val="24"/>
        </w:rPr>
        <w:t>17</w:t>
      </w:r>
      <w:r w:rsidRPr="006075B8">
        <w:rPr>
          <w:szCs w:val="24"/>
        </w:rPr>
        <w:fldChar w:fldCharType="end"/>
      </w:r>
      <w:r w:rsidRPr="006075B8">
        <w:rPr>
          <w:szCs w:val="24"/>
        </w:rPr>
        <w:t>.  </w:t>
      </w:r>
      <w:r w:rsidR="0078384A" w:rsidRPr="006075B8">
        <w:rPr>
          <w:szCs w:val="24"/>
        </w:rPr>
        <w:t xml:space="preserve">On 29 January 2002 the Warsaw Court of Appeal, having reconsidered the case, quashed the judgment of the Warsaw Regional Court of 19 June 2000 acquitting I.K. </w:t>
      </w:r>
      <w:r w:rsidR="009662A4" w:rsidRPr="006075B8">
        <w:rPr>
          <w:szCs w:val="24"/>
        </w:rPr>
        <w:t xml:space="preserve">It was of the view that the first-instance court had seriously erred in </w:t>
      </w:r>
      <w:r w:rsidR="00515264" w:rsidRPr="006075B8">
        <w:rPr>
          <w:szCs w:val="24"/>
        </w:rPr>
        <w:t xml:space="preserve">its </w:t>
      </w:r>
      <w:r w:rsidR="009662A4" w:rsidRPr="006075B8">
        <w:rPr>
          <w:szCs w:val="24"/>
        </w:rPr>
        <w:t xml:space="preserve">assessment of the evidence and, as a result, had failed to establish the facts of the case properly. It </w:t>
      </w:r>
      <w:r w:rsidR="0078384A" w:rsidRPr="006075B8">
        <w:rPr>
          <w:szCs w:val="24"/>
        </w:rPr>
        <w:t xml:space="preserve">remitted the case. </w:t>
      </w:r>
      <w:r w:rsidR="009662A4" w:rsidRPr="006075B8">
        <w:rPr>
          <w:szCs w:val="24"/>
        </w:rPr>
        <w:t xml:space="preserve">It noted, in passing, that it shared the view of the Supreme Court as to the prescription </w:t>
      </w:r>
      <w:r w:rsidR="00B8091B" w:rsidRPr="006075B8">
        <w:rPr>
          <w:szCs w:val="24"/>
        </w:rPr>
        <w:t xml:space="preserve">period applicable to the </w:t>
      </w:r>
      <w:r w:rsidR="009662A4" w:rsidRPr="006075B8">
        <w:rPr>
          <w:szCs w:val="24"/>
        </w:rPr>
        <w:t>offence concerned expressed in its judgment of 12 September 2001.</w:t>
      </w:r>
    </w:p>
    <w:p w:rsidR="0078384A" w:rsidRPr="006075B8" w:rsidRDefault="0078384A" w:rsidP="0078384A">
      <w:pPr>
        <w:pStyle w:val="JuPara"/>
        <w:rPr>
          <w:szCs w:val="24"/>
        </w:rPr>
      </w:pPr>
      <w:r w:rsidRPr="006075B8">
        <w:rPr>
          <w:szCs w:val="24"/>
        </w:rPr>
        <w:fldChar w:fldCharType="begin"/>
      </w:r>
      <w:r w:rsidRPr="006075B8">
        <w:rPr>
          <w:szCs w:val="24"/>
        </w:rPr>
        <w:instrText xml:space="preserve"> SEQ level0 \*arabic </w:instrText>
      </w:r>
      <w:r w:rsidRPr="006075B8">
        <w:rPr>
          <w:szCs w:val="24"/>
        </w:rPr>
        <w:fldChar w:fldCharType="separate"/>
      </w:r>
      <w:r w:rsidR="00751640">
        <w:rPr>
          <w:noProof/>
          <w:szCs w:val="24"/>
        </w:rPr>
        <w:t>18</w:t>
      </w:r>
      <w:r w:rsidRPr="006075B8">
        <w:rPr>
          <w:szCs w:val="24"/>
        </w:rPr>
        <w:fldChar w:fldCharType="end"/>
      </w:r>
      <w:r w:rsidRPr="006075B8">
        <w:rPr>
          <w:szCs w:val="24"/>
        </w:rPr>
        <w:t>.  The trial started anew. The first hearing was scheduled for 5 June 2003.</w:t>
      </w:r>
      <w:r w:rsidR="00B11E71" w:rsidRPr="006075B8">
        <w:rPr>
          <w:szCs w:val="24"/>
        </w:rPr>
        <w:t xml:space="preserve"> </w:t>
      </w:r>
      <w:r w:rsidR="00B6621D" w:rsidRPr="006075B8">
        <w:rPr>
          <w:szCs w:val="24"/>
        </w:rPr>
        <w:t>Fourteen hearings were held from that date until 19 January 2004. On the latter date t</w:t>
      </w:r>
      <w:r w:rsidRPr="006075B8">
        <w:rPr>
          <w:szCs w:val="24"/>
        </w:rPr>
        <w:t xml:space="preserve">he </w:t>
      </w:r>
      <w:smartTag w:uri="urn:schemas-microsoft-com:office:smarttags" w:element="Street">
        <w:smartTag w:uri="urn:schemas-microsoft-com:office:smarttags" w:element="address">
          <w:r w:rsidRPr="006075B8">
            <w:rPr>
              <w:szCs w:val="24"/>
            </w:rPr>
            <w:t>Warsaw Regional Court</w:t>
          </w:r>
        </w:smartTag>
      </w:smartTag>
      <w:r w:rsidRPr="006075B8">
        <w:rPr>
          <w:szCs w:val="24"/>
        </w:rPr>
        <w:t xml:space="preserve"> acquitted I.K. The prosecutor and the applicant appealed.</w:t>
      </w:r>
    </w:p>
    <w:p w:rsidR="00B11E71" w:rsidRPr="006075B8" w:rsidRDefault="0078384A" w:rsidP="00D214AE">
      <w:pPr>
        <w:pStyle w:val="JuPara"/>
        <w:rPr>
          <w:szCs w:val="24"/>
        </w:rPr>
      </w:pPr>
      <w:r w:rsidRPr="006075B8">
        <w:rPr>
          <w:szCs w:val="24"/>
        </w:rPr>
        <w:fldChar w:fldCharType="begin"/>
      </w:r>
      <w:r w:rsidRPr="006075B8">
        <w:rPr>
          <w:szCs w:val="24"/>
        </w:rPr>
        <w:instrText xml:space="preserve"> SEQ level0 \*arabic </w:instrText>
      </w:r>
      <w:r w:rsidRPr="006075B8">
        <w:rPr>
          <w:szCs w:val="24"/>
        </w:rPr>
        <w:fldChar w:fldCharType="separate"/>
      </w:r>
      <w:r w:rsidR="00751640">
        <w:rPr>
          <w:noProof/>
          <w:szCs w:val="24"/>
        </w:rPr>
        <w:t>19</w:t>
      </w:r>
      <w:r w:rsidRPr="006075B8">
        <w:rPr>
          <w:szCs w:val="24"/>
        </w:rPr>
        <w:fldChar w:fldCharType="end"/>
      </w:r>
      <w:r w:rsidRPr="006075B8">
        <w:rPr>
          <w:szCs w:val="24"/>
        </w:rPr>
        <w:t>.  By a judgment of 16 June 2004 the Warsaw Court of Appeal allowed both appeals, quashed the acquittal and remitted the case.</w:t>
      </w:r>
      <w:r w:rsidR="00D214AE" w:rsidRPr="006075B8">
        <w:rPr>
          <w:szCs w:val="24"/>
        </w:rPr>
        <w:t xml:space="preserve"> </w:t>
      </w:r>
      <w:r w:rsidRPr="006075B8">
        <w:rPr>
          <w:szCs w:val="24"/>
        </w:rPr>
        <w:t>It was of the view that the first</w:t>
      </w:r>
      <w:r w:rsidRPr="006075B8">
        <w:rPr>
          <w:szCs w:val="24"/>
        </w:rPr>
        <w:noBreakHyphen/>
        <w:t xml:space="preserve">instance court had failed to take certain evidence crucial for the proper assessment of the case. In particular, it had failed to </w:t>
      </w:r>
      <w:r w:rsidR="001649E8" w:rsidRPr="006075B8">
        <w:rPr>
          <w:szCs w:val="24"/>
        </w:rPr>
        <w:t>organise a </w:t>
      </w:r>
      <w:r w:rsidR="00807FE8" w:rsidRPr="006075B8">
        <w:rPr>
          <w:szCs w:val="24"/>
        </w:rPr>
        <w:t xml:space="preserve">confrontation between </w:t>
      </w:r>
      <w:r w:rsidRPr="006075B8">
        <w:rPr>
          <w:szCs w:val="24"/>
        </w:rPr>
        <w:t xml:space="preserve">the accused and some of the witnesses, </w:t>
      </w:r>
      <w:r w:rsidR="00604CA9" w:rsidRPr="006075B8">
        <w:rPr>
          <w:szCs w:val="24"/>
        </w:rPr>
        <w:t xml:space="preserve">police </w:t>
      </w:r>
      <w:r w:rsidRPr="006075B8">
        <w:rPr>
          <w:szCs w:val="24"/>
        </w:rPr>
        <w:t xml:space="preserve">officers present at the scene of the offence, </w:t>
      </w:r>
      <w:r w:rsidR="00807FE8" w:rsidRPr="006075B8">
        <w:rPr>
          <w:szCs w:val="24"/>
        </w:rPr>
        <w:t xml:space="preserve">and </w:t>
      </w:r>
      <w:r w:rsidRPr="006075B8">
        <w:rPr>
          <w:szCs w:val="24"/>
        </w:rPr>
        <w:t>the principal witness</w:t>
      </w:r>
      <w:r w:rsidR="00807FE8" w:rsidRPr="006075B8">
        <w:rPr>
          <w:szCs w:val="24"/>
        </w:rPr>
        <w:t>,</w:t>
      </w:r>
      <w:r w:rsidR="00B6621D" w:rsidRPr="006075B8">
        <w:rPr>
          <w:szCs w:val="24"/>
        </w:rPr>
        <w:t xml:space="preserve"> C.F.</w:t>
      </w:r>
      <w:r w:rsidR="00D214AE" w:rsidRPr="006075B8">
        <w:rPr>
          <w:szCs w:val="24"/>
        </w:rPr>
        <w:t>, the victim</w:t>
      </w:r>
      <w:r w:rsidR="005E7ADB">
        <w:rPr>
          <w:szCs w:val="24"/>
        </w:rPr>
        <w:t>’</w:t>
      </w:r>
      <w:r w:rsidR="00D214AE" w:rsidRPr="006075B8">
        <w:rPr>
          <w:szCs w:val="24"/>
        </w:rPr>
        <w:t xml:space="preserve">s friend who had been arrested together with him in May 1983, </w:t>
      </w:r>
      <w:r w:rsidR="00B6621D" w:rsidRPr="006075B8">
        <w:rPr>
          <w:szCs w:val="24"/>
        </w:rPr>
        <w:t xml:space="preserve">in </w:t>
      </w:r>
      <w:r w:rsidR="00807FE8" w:rsidRPr="006075B8">
        <w:rPr>
          <w:szCs w:val="24"/>
        </w:rPr>
        <w:t xml:space="preserve">the </w:t>
      </w:r>
      <w:r w:rsidR="00B6621D" w:rsidRPr="006075B8">
        <w:rPr>
          <w:szCs w:val="24"/>
        </w:rPr>
        <w:t>manner prescribed by the Code of Criminal Procedure</w:t>
      </w:r>
      <w:r w:rsidRPr="006075B8">
        <w:rPr>
          <w:szCs w:val="24"/>
        </w:rPr>
        <w:t xml:space="preserve">. </w:t>
      </w:r>
      <w:r w:rsidR="00D214AE" w:rsidRPr="006075B8">
        <w:rPr>
          <w:szCs w:val="24"/>
        </w:rPr>
        <w:t>The applicant had been right in submitting that the facts of the case had not been properly established.</w:t>
      </w:r>
    </w:p>
    <w:p w:rsidR="00B11E71" w:rsidRPr="006075B8" w:rsidRDefault="00D214AE" w:rsidP="0078384A">
      <w:pPr>
        <w:pStyle w:val="JuPara"/>
        <w:rPr>
          <w:szCs w:val="24"/>
        </w:rPr>
      </w:pPr>
      <w:r w:rsidRPr="006075B8">
        <w:rPr>
          <w:szCs w:val="24"/>
        </w:rPr>
        <w:t xml:space="preserve">The court </w:t>
      </w:r>
      <w:r w:rsidR="0078384A" w:rsidRPr="006075B8">
        <w:rPr>
          <w:szCs w:val="24"/>
        </w:rPr>
        <w:t xml:space="preserve">further observed that </w:t>
      </w:r>
      <w:r w:rsidRPr="006075B8">
        <w:rPr>
          <w:szCs w:val="24"/>
        </w:rPr>
        <w:t xml:space="preserve">the first-instance court </w:t>
      </w:r>
      <w:r w:rsidR="0078384A" w:rsidRPr="006075B8">
        <w:rPr>
          <w:szCs w:val="24"/>
        </w:rPr>
        <w:t>had failed to assess the evidence in a logical and comprehensive manner. As a result, it had wrongly had recourse to the</w:t>
      </w:r>
      <w:r w:rsidR="00807FE8" w:rsidRPr="006075B8">
        <w:rPr>
          <w:szCs w:val="24"/>
        </w:rPr>
        <w:t xml:space="preserve"> principle of</w:t>
      </w:r>
      <w:r w:rsidR="0078384A" w:rsidRPr="006075B8">
        <w:rPr>
          <w:szCs w:val="24"/>
        </w:rPr>
        <w:t xml:space="preserve"> </w:t>
      </w:r>
      <w:r w:rsidR="0078384A" w:rsidRPr="006075B8">
        <w:rPr>
          <w:i/>
          <w:szCs w:val="24"/>
        </w:rPr>
        <w:t>in dubio pro reo</w:t>
      </w:r>
      <w:r w:rsidR="00807FE8" w:rsidRPr="006075B8">
        <w:rPr>
          <w:szCs w:val="24"/>
        </w:rPr>
        <w:t>,</w:t>
      </w:r>
      <w:r w:rsidRPr="006075B8">
        <w:rPr>
          <w:szCs w:val="24"/>
        </w:rPr>
        <w:t xml:space="preserve"> which </w:t>
      </w:r>
      <w:r w:rsidR="009A438A" w:rsidRPr="006075B8">
        <w:rPr>
          <w:szCs w:val="24"/>
        </w:rPr>
        <w:t xml:space="preserve">was </w:t>
      </w:r>
      <w:r w:rsidRPr="006075B8">
        <w:rPr>
          <w:szCs w:val="24"/>
        </w:rPr>
        <w:t xml:space="preserve">only </w:t>
      </w:r>
      <w:r w:rsidR="009A438A" w:rsidRPr="006075B8">
        <w:rPr>
          <w:szCs w:val="24"/>
        </w:rPr>
        <w:t xml:space="preserve">to </w:t>
      </w:r>
      <w:r w:rsidRPr="006075B8">
        <w:rPr>
          <w:szCs w:val="24"/>
        </w:rPr>
        <w:t>be applied where there were insurmountable difficulties in establishing the facts.</w:t>
      </w:r>
    </w:p>
    <w:p w:rsidR="0078384A" w:rsidRPr="006075B8" w:rsidRDefault="0078384A" w:rsidP="0078384A">
      <w:pPr>
        <w:pStyle w:val="JuPara"/>
        <w:rPr>
          <w:szCs w:val="24"/>
        </w:rPr>
      </w:pPr>
      <w:r w:rsidRPr="006075B8">
        <w:rPr>
          <w:szCs w:val="24"/>
        </w:rPr>
        <w:fldChar w:fldCharType="begin"/>
      </w:r>
      <w:r w:rsidRPr="006075B8">
        <w:rPr>
          <w:szCs w:val="24"/>
        </w:rPr>
        <w:instrText xml:space="preserve"> SEQ level0 \*arabic </w:instrText>
      </w:r>
      <w:r w:rsidRPr="006075B8">
        <w:rPr>
          <w:szCs w:val="24"/>
        </w:rPr>
        <w:fldChar w:fldCharType="separate"/>
      </w:r>
      <w:r w:rsidR="00751640">
        <w:rPr>
          <w:noProof/>
          <w:szCs w:val="24"/>
        </w:rPr>
        <w:t>20</w:t>
      </w:r>
      <w:r w:rsidRPr="006075B8">
        <w:rPr>
          <w:szCs w:val="24"/>
        </w:rPr>
        <w:fldChar w:fldCharType="end"/>
      </w:r>
      <w:r w:rsidRPr="006075B8">
        <w:rPr>
          <w:szCs w:val="24"/>
        </w:rPr>
        <w:t xml:space="preserve">.  The trial started anew </w:t>
      </w:r>
      <w:r w:rsidR="00B6621D" w:rsidRPr="006075B8">
        <w:rPr>
          <w:szCs w:val="24"/>
        </w:rPr>
        <w:t>on 29 November 2004. It lasted</w:t>
      </w:r>
      <w:r w:rsidRPr="006075B8">
        <w:rPr>
          <w:szCs w:val="24"/>
        </w:rPr>
        <w:t xml:space="preserve"> four years. </w:t>
      </w:r>
      <w:r w:rsidR="00B6621D" w:rsidRPr="006075B8">
        <w:rPr>
          <w:szCs w:val="24"/>
        </w:rPr>
        <w:t>Twenty-seven hearings were held</w:t>
      </w:r>
      <w:r w:rsidR="00D214AE" w:rsidRPr="006075B8">
        <w:rPr>
          <w:szCs w:val="24"/>
        </w:rPr>
        <w:t>. Four hearings were adjourned for various reasons.</w:t>
      </w:r>
    </w:p>
    <w:p w:rsidR="00B11E71" w:rsidRPr="006075B8" w:rsidRDefault="0078384A" w:rsidP="00950FA9">
      <w:pPr>
        <w:pStyle w:val="JuPara"/>
      </w:pPr>
      <w:r w:rsidRPr="006075B8">
        <w:fldChar w:fldCharType="begin"/>
      </w:r>
      <w:r w:rsidRPr="006075B8">
        <w:instrText xml:space="preserve"> SEQ level0 \*arabic </w:instrText>
      </w:r>
      <w:r w:rsidRPr="006075B8">
        <w:fldChar w:fldCharType="separate"/>
      </w:r>
      <w:r w:rsidR="00751640">
        <w:rPr>
          <w:noProof/>
        </w:rPr>
        <w:t>21</w:t>
      </w:r>
      <w:r w:rsidRPr="006075B8">
        <w:fldChar w:fldCharType="end"/>
      </w:r>
      <w:r w:rsidRPr="006075B8">
        <w:t xml:space="preserve">.  On 27 May 2008 the </w:t>
      </w:r>
      <w:smartTag w:uri="urn:schemas-microsoft-com:office:smarttags" w:element="Street">
        <w:smartTag w:uri="urn:schemas-microsoft-com:office:smarttags" w:element="address">
          <w:r w:rsidRPr="006075B8">
            <w:t>Warsaw Regional Court</w:t>
          </w:r>
        </w:smartTag>
      </w:smartTag>
      <w:r w:rsidRPr="006075B8">
        <w:t xml:space="preserve"> found I.K. guilty as charged and sentenced him to eight years</w:t>
      </w:r>
      <w:r w:rsidR="005E7ADB">
        <w:t>’</w:t>
      </w:r>
      <w:r w:rsidRPr="006075B8">
        <w:t xml:space="preserve"> imprisonment. </w:t>
      </w:r>
      <w:r w:rsidR="00807FE8" w:rsidRPr="006075B8">
        <w:t>However, it</w:t>
      </w:r>
      <w:r w:rsidRPr="006075B8">
        <w:t xml:space="preserve"> reduced the sentence</w:t>
      </w:r>
      <w:r w:rsidR="00807FE8" w:rsidRPr="006075B8">
        <w:t xml:space="preserve"> to four years</w:t>
      </w:r>
      <w:r w:rsidR="005E7ADB">
        <w:t>’</w:t>
      </w:r>
      <w:r w:rsidR="00807FE8" w:rsidRPr="006075B8">
        <w:t xml:space="preserve"> imprisonment</w:t>
      </w:r>
      <w:r w:rsidRPr="006075B8">
        <w:t xml:space="preserve"> on the basis of the Amnesty Act 1989.</w:t>
      </w:r>
    </w:p>
    <w:p w:rsidR="00B11E71" w:rsidRPr="006075B8" w:rsidRDefault="0078384A" w:rsidP="0078384A">
      <w:pPr>
        <w:pStyle w:val="JuPara"/>
      </w:pPr>
      <w:r w:rsidRPr="006075B8">
        <w:fldChar w:fldCharType="begin"/>
      </w:r>
      <w:r w:rsidRPr="006075B8">
        <w:instrText xml:space="preserve"> SEQ level0 \*arabic </w:instrText>
      </w:r>
      <w:r w:rsidRPr="006075B8">
        <w:fldChar w:fldCharType="separate"/>
      </w:r>
      <w:r w:rsidR="00751640">
        <w:rPr>
          <w:noProof/>
        </w:rPr>
        <w:t>22</w:t>
      </w:r>
      <w:r w:rsidRPr="006075B8">
        <w:fldChar w:fldCharType="end"/>
      </w:r>
      <w:r w:rsidRPr="006075B8">
        <w:t>.  The judgment was appealed against by the defence.</w:t>
      </w:r>
    </w:p>
    <w:p w:rsidR="00B11E71" w:rsidRPr="006075B8" w:rsidRDefault="0078384A" w:rsidP="0078384A">
      <w:pPr>
        <w:pStyle w:val="JuPara"/>
        <w:rPr>
          <w:szCs w:val="24"/>
        </w:rPr>
      </w:pPr>
      <w:r w:rsidRPr="006075B8">
        <w:rPr>
          <w:szCs w:val="24"/>
        </w:rPr>
        <w:fldChar w:fldCharType="begin"/>
      </w:r>
      <w:r w:rsidRPr="006075B8">
        <w:rPr>
          <w:szCs w:val="24"/>
        </w:rPr>
        <w:instrText xml:space="preserve"> SEQ level0 \*arabic </w:instrText>
      </w:r>
      <w:r w:rsidRPr="006075B8">
        <w:rPr>
          <w:szCs w:val="24"/>
        </w:rPr>
        <w:fldChar w:fldCharType="separate"/>
      </w:r>
      <w:r w:rsidR="00751640">
        <w:rPr>
          <w:noProof/>
          <w:szCs w:val="24"/>
        </w:rPr>
        <w:t>23</w:t>
      </w:r>
      <w:r w:rsidRPr="006075B8">
        <w:rPr>
          <w:szCs w:val="24"/>
        </w:rPr>
        <w:fldChar w:fldCharType="end"/>
      </w:r>
      <w:r w:rsidRPr="006075B8">
        <w:rPr>
          <w:szCs w:val="24"/>
        </w:rPr>
        <w:t>.  On 14 December 200</w:t>
      </w:r>
      <w:r w:rsidR="00D214AE" w:rsidRPr="006075B8">
        <w:rPr>
          <w:szCs w:val="24"/>
        </w:rPr>
        <w:t>8</w:t>
      </w:r>
      <w:r w:rsidRPr="006075B8">
        <w:rPr>
          <w:szCs w:val="24"/>
        </w:rPr>
        <w:t xml:space="preserve"> the Warsaw Court of Appeal </w:t>
      </w:r>
      <w:r w:rsidR="00B6621D" w:rsidRPr="006075B8">
        <w:rPr>
          <w:szCs w:val="24"/>
        </w:rPr>
        <w:t xml:space="preserve">requested </w:t>
      </w:r>
      <w:r w:rsidRPr="006075B8">
        <w:rPr>
          <w:szCs w:val="24"/>
        </w:rPr>
        <w:t xml:space="preserve">the Supreme Court </w:t>
      </w:r>
      <w:r w:rsidR="00B6621D" w:rsidRPr="006075B8">
        <w:rPr>
          <w:szCs w:val="24"/>
        </w:rPr>
        <w:t xml:space="preserve">to answer </w:t>
      </w:r>
      <w:r w:rsidRPr="006075B8">
        <w:rPr>
          <w:szCs w:val="24"/>
        </w:rPr>
        <w:t>a legal question</w:t>
      </w:r>
      <w:r w:rsidR="00B6621D" w:rsidRPr="006075B8">
        <w:rPr>
          <w:szCs w:val="24"/>
        </w:rPr>
        <w:t xml:space="preserve"> (</w:t>
      </w:r>
      <w:r w:rsidR="00B6621D" w:rsidRPr="006075B8">
        <w:rPr>
          <w:i/>
          <w:szCs w:val="24"/>
        </w:rPr>
        <w:t>pytanie prawne</w:t>
      </w:r>
      <w:r w:rsidR="00B6621D" w:rsidRPr="006075B8">
        <w:rPr>
          <w:szCs w:val="24"/>
        </w:rPr>
        <w:t>)</w:t>
      </w:r>
      <w:r w:rsidRPr="006075B8">
        <w:rPr>
          <w:szCs w:val="24"/>
        </w:rPr>
        <w:t xml:space="preserve"> as to whether the offence</w:t>
      </w:r>
      <w:r w:rsidR="00B8091B" w:rsidRPr="006075B8">
        <w:rPr>
          <w:szCs w:val="24"/>
        </w:rPr>
        <w:t xml:space="preserve"> of battery, punishable under Article 157 § 1 of the Criminal Code</w:t>
      </w:r>
      <w:r w:rsidR="00807FE8" w:rsidRPr="006075B8">
        <w:rPr>
          <w:szCs w:val="24"/>
        </w:rPr>
        <w:t>,</w:t>
      </w:r>
      <w:r w:rsidRPr="006075B8">
        <w:rPr>
          <w:szCs w:val="24"/>
        </w:rPr>
        <w:t xml:space="preserve"> had become time</w:t>
      </w:r>
      <w:r w:rsidRPr="006075B8">
        <w:rPr>
          <w:szCs w:val="24"/>
        </w:rPr>
        <w:noBreakHyphen/>
        <w:t xml:space="preserve">barred. </w:t>
      </w:r>
      <w:r w:rsidR="000236EA" w:rsidRPr="006075B8">
        <w:rPr>
          <w:szCs w:val="24"/>
        </w:rPr>
        <w:t>It observed</w:t>
      </w:r>
      <w:r w:rsidR="00B8091B" w:rsidRPr="006075B8">
        <w:rPr>
          <w:szCs w:val="24"/>
        </w:rPr>
        <w:t>,</w:t>
      </w:r>
      <w:r w:rsidR="000236EA" w:rsidRPr="006075B8">
        <w:rPr>
          <w:szCs w:val="24"/>
        </w:rPr>
        <w:t xml:space="preserve"> </w:t>
      </w:r>
      <w:r w:rsidR="000236EA" w:rsidRPr="006075B8">
        <w:rPr>
          <w:i/>
          <w:szCs w:val="24"/>
        </w:rPr>
        <w:t>inter alia</w:t>
      </w:r>
      <w:r w:rsidR="00B8091B" w:rsidRPr="006075B8">
        <w:rPr>
          <w:szCs w:val="24"/>
        </w:rPr>
        <w:t>,</w:t>
      </w:r>
      <w:r w:rsidR="000236EA" w:rsidRPr="006075B8">
        <w:rPr>
          <w:szCs w:val="24"/>
        </w:rPr>
        <w:t xml:space="preserve"> that Article 105 </w:t>
      </w:r>
      <w:r w:rsidR="00B8091B" w:rsidRPr="006075B8">
        <w:rPr>
          <w:szCs w:val="24"/>
        </w:rPr>
        <w:t>§</w:t>
      </w:r>
      <w:r w:rsidR="00950FA9" w:rsidRPr="006075B8">
        <w:rPr>
          <w:szCs w:val="24"/>
        </w:rPr>
        <w:t> </w:t>
      </w:r>
      <w:r w:rsidR="000236EA" w:rsidRPr="006075B8">
        <w:rPr>
          <w:szCs w:val="24"/>
        </w:rPr>
        <w:t>2</w:t>
      </w:r>
      <w:r w:rsidR="000F66F4" w:rsidRPr="006075B8">
        <w:rPr>
          <w:szCs w:val="24"/>
        </w:rPr>
        <w:t xml:space="preserve"> of the Criminal Code</w:t>
      </w:r>
      <w:r w:rsidR="000236EA" w:rsidRPr="006075B8">
        <w:rPr>
          <w:szCs w:val="24"/>
        </w:rPr>
        <w:t xml:space="preserve"> provided that </w:t>
      </w:r>
      <w:r w:rsidR="00807FE8" w:rsidRPr="006075B8">
        <w:rPr>
          <w:szCs w:val="24"/>
        </w:rPr>
        <w:t xml:space="preserve">offences </w:t>
      </w:r>
      <w:r w:rsidR="000236EA" w:rsidRPr="006075B8">
        <w:rPr>
          <w:szCs w:val="24"/>
        </w:rPr>
        <w:t>of wilfully causing serious bodily harm</w:t>
      </w:r>
      <w:r w:rsidR="00807FE8" w:rsidRPr="006075B8">
        <w:rPr>
          <w:szCs w:val="24"/>
        </w:rPr>
        <w:t xml:space="preserve"> committed before 1 January 1990</w:t>
      </w:r>
      <w:r w:rsidR="000236EA" w:rsidRPr="006075B8">
        <w:rPr>
          <w:szCs w:val="24"/>
        </w:rPr>
        <w:t xml:space="preserve"> by persons acting as agents of the communist State </w:t>
      </w:r>
      <w:r w:rsidR="00E13B71" w:rsidRPr="006075B8">
        <w:rPr>
          <w:szCs w:val="24"/>
        </w:rPr>
        <w:t xml:space="preserve">were not subject to prescription. </w:t>
      </w:r>
      <w:r w:rsidR="000236EA" w:rsidRPr="006075B8">
        <w:rPr>
          <w:szCs w:val="24"/>
        </w:rPr>
        <w:t>However, it was not clear whether the offence of battery with which I.K. had been charged and which had caused serious bodily harm was covered by this provision.</w:t>
      </w:r>
    </w:p>
    <w:p w:rsidR="00B11E71" w:rsidRPr="006075B8" w:rsidRDefault="0078384A" w:rsidP="0078384A">
      <w:pPr>
        <w:pStyle w:val="JuPara"/>
        <w:rPr>
          <w:szCs w:val="24"/>
        </w:rPr>
      </w:pPr>
      <w:r w:rsidRPr="006075B8">
        <w:rPr>
          <w:szCs w:val="24"/>
        </w:rPr>
        <w:fldChar w:fldCharType="begin"/>
      </w:r>
      <w:r w:rsidRPr="006075B8">
        <w:rPr>
          <w:szCs w:val="24"/>
        </w:rPr>
        <w:instrText xml:space="preserve"> SEQ level0 \*arabic </w:instrText>
      </w:r>
      <w:r w:rsidRPr="006075B8">
        <w:rPr>
          <w:szCs w:val="24"/>
        </w:rPr>
        <w:fldChar w:fldCharType="separate"/>
      </w:r>
      <w:r w:rsidR="00751640">
        <w:rPr>
          <w:noProof/>
          <w:szCs w:val="24"/>
        </w:rPr>
        <w:t>24</w:t>
      </w:r>
      <w:r w:rsidRPr="006075B8">
        <w:rPr>
          <w:szCs w:val="24"/>
        </w:rPr>
        <w:fldChar w:fldCharType="end"/>
      </w:r>
      <w:r w:rsidRPr="006075B8">
        <w:rPr>
          <w:szCs w:val="24"/>
        </w:rPr>
        <w:t>.  By a decision of 23 September 2009 the Supreme Court refused to give a reply to that question, finding that it was not necessary for the determination of the case</w:t>
      </w:r>
      <w:r w:rsidR="00B6621D" w:rsidRPr="006075B8">
        <w:rPr>
          <w:szCs w:val="24"/>
        </w:rPr>
        <w:t xml:space="preserve">. It remitted the case </w:t>
      </w:r>
      <w:r w:rsidRPr="006075B8">
        <w:rPr>
          <w:szCs w:val="24"/>
        </w:rPr>
        <w:t>to the Court of Appeal.</w:t>
      </w:r>
    </w:p>
    <w:p w:rsidR="00B11E71" w:rsidRPr="006075B8" w:rsidRDefault="0078384A" w:rsidP="0078384A">
      <w:pPr>
        <w:pStyle w:val="JuPara"/>
        <w:rPr>
          <w:szCs w:val="24"/>
        </w:rPr>
      </w:pPr>
      <w:r w:rsidRPr="006075B8">
        <w:rPr>
          <w:szCs w:val="24"/>
        </w:rPr>
        <w:fldChar w:fldCharType="begin"/>
      </w:r>
      <w:r w:rsidRPr="006075B8">
        <w:rPr>
          <w:szCs w:val="24"/>
        </w:rPr>
        <w:instrText xml:space="preserve"> SEQ level0 \*arabic </w:instrText>
      </w:r>
      <w:r w:rsidRPr="006075B8">
        <w:rPr>
          <w:szCs w:val="24"/>
        </w:rPr>
        <w:fldChar w:fldCharType="separate"/>
      </w:r>
      <w:r w:rsidR="00751640">
        <w:rPr>
          <w:noProof/>
          <w:szCs w:val="24"/>
        </w:rPr>
        <w:t>25</w:t>
      </w:r>
      <w:r w:rsidRPr="006075B8">
        <w:rPr>
          <w:szCs w:val="24"/>
        </w:rPr>
        <w:fldChar w:fldCharType="end"/>
      </w:r>
      <w:r w:rsidRPr="006075B8">
        <w:rPr>
          <w:szCs w:val="24"/>
        </w:rPr>
        <w:t xml:space="preserve">.  On 14 December 2009 the Court of Appeal </w:t>
      </w:r>
      <w:r w:rsidR="00950FA9" w:rsidRPr="006075B8">
        <w:rPr>
          <w:szCs w:val="24"/>
        </w:rPr>
        <w:t>quashed the first</w:t>
      </w:r>
      <w:r w:rsidR="00950FA9" w:rsidRPr="006075B8">
        <w:rPr>
          <w:szCs w:val="24"/>
        </w:rPr>
        <w:noBreakHyphen/>
      </w:r>
      <w:r w:rsidRPr="006075B8">
        <w:rPr>
          <w:szCs w:val="24"/>
        </w:rPr>
        <w:t>instance judgment and discontinued the proceedings, having found that the offence had become time-barred</w:t>
      </w:r>
      <w:r w:rsidR="00B8091B" w:rsidRPr="006075B8">
        <w:rPr>
          <w:szCs w:val="24"/>
        </w:rPr>
        <w:t xml:space="preserve"> on</w:t>
      </w:r>
      <w:r w:rsidR="00B62813" w:rsidRPr="006075B8">
        <w:rPr>
          <w:szCs w:val="24"/>
        </w:rPr>
        <w:t xml:space="preserve"> 1 January 2005.</w:t>
      </w:r>
      <w:r w:rsidR="00B11E71" w:rsidRPr="006075B8">
        <w:rPr>
          <w:szCs w:val="24"/>
        </w:rPr>
        <w:t xml:space="preserve"> </w:t>
      </w:r>
      <w:r w:rsidR="000F66F4" w:rsidRPr="006075B8">
        <w:rPr>
          <w:szCs w:val="24"/>
        </w:rPr>
        <w:t>It held that the</w:t>
      </w:r>
      <w:r w:rsidR="009B60B6" w:rsidRPr="006075B8">
        <w:rPr>
          <w:szCs w:val="24"/>
        </w:rPr>
        <w:t xml:space="preserve"> offence of battery was not covered by the provisions of Article 105 </w:t>
      </w:r>
      <w:r w:rsidR="00B8091B" w:rsidRPr="006075B8">
        <w:rPr>
          <w:szCs w:val="24"/>
        </w:rPr>
        <w:t>§</w:t>
      </w:r>
      <w:r w:rsidR="00950FA9" w:rsidRPr="006075B8">
        <w:rPr>
          <w:szCs w:val="24"/>
        </w:rPr>
        <w:t> </w:t>
      </w:r>
      <w:r w:rsidR="009B60B6" w:rsidRPr="006075B8">
        <w:rPr>
          <w:szCs w:val="24"/>
        </w:rPr>
        <w:t>1 of the Criminal Code.</w:t>
      </w:r>
      <w:r w:rsidR="00B11E71" w:rsidRPr="006075B8">
        <w:rPr>
          <w:szCs w:val="24"/>
        </w:rPr>
        <w:t xml:space="preserve"> </w:t>
      </w:r>
      <w:r w:rsidR="009B60B6" w:rsidRPr="006075B8">
        <w:rPr>
          <w:szCs w:val="24"/>
        </w:rPr>
        <w:t xml:space="preserve">Only intentional offences expressly listed in </w:t>
      </w:r>
      <w:r w:rsidR="00807FE8" w:rsidRPr="006075B8">
        <w:rPr>
          <w:szCs w:val="24"/>
        </w:rPr>
        <w:t xml:space="preserve">that </w:t>
      </w:r>
      <w:r w:rsidR="009B60B6" w:rsidRPr="006075B8">
        <w:rPr>
          <w:szCs w:val="24"/>
        </w:rPr>
        <w:t>provision</w:t>
      </w:r>
      <w:r w:rsidR="00807FE8" w:rsidRPr="006075B8">
        <w:rPr>
          <w:szCs w:val="24"/>
        </w:rPr>
        <w:t xml:space="preserve"> by</w:t>
      </w:r>
      <w:r w:rsidR="00B8091B" w:rsidRPr="006075B8">
        <w:rPr>
          <w:szCs w:val="24"/>
        </w:rPr>
        <w:t xml:space="preserve"> their statutory names</w:t>
      </w:r>
      <w:r w:rsidR="009B60B6" w:rsidRPr="006075B8">
        <w:rPr>
          <w:szCs w:val="24"/>
        </w:rPr>
        <w:t xml:space="preserve"> were not subject to prescription.</w:t>
      </w:r>
    </w:p>
    <w:p w:rsidR="00B11E71" w:rsidRPr="006075B8" w:rsidRDefault="0078384A" w:rsidP="0078384A">
      <w:pPr>
        <w:pStyle w:val="JuPara"/>
        <w:rPr>
          <w:szCs w:val="24"/>
        </w:rPr>
      </w:pPr>
      <w:r w:rsidRPr="006075B8">
        <w:rPr>
          <w:szCs w:val="24"/>
        </w:rPr>
        <w:fldChar w:fldCharType="begin"/>
      </w:r>
      <w:r w:rsidRPr="006075B8">
        <w:rPr>
          <w:szCs w:val="24"/>
        </w:rPr>
        <w:instrText xml:space="preserve"> SEQ level0 \*arabic </w:instrText>
      </w:r>
      <w:r w:rsidRPr="006075B8">
        <w:rPr>
          <w:szCs w:val="24"/>
        </w:rPr>
        <w:fldChar w:fldCharType="separate"/>
      </w:r>
      <w:r w:rsidR="00751640">
        <w:rPr>
          <w:noProof/>
          <w:szCs w:val="24"/>
        </w:rPr>
        <w:t>26</w:t>
      </w:r>
      <w:r w:rsidRPr="006075B8">
        <w:rPr>
          <w:szCs w:val="24"/>
        </w:rPr>
        <w:fldChar w:fldCharType="end"/>
      </w:r>
      <w:r w:rsidRPr="006075B8">
        <w:rPr>
          <w:szCs w:val="24"/>
        </w:rPr>
        <w:t xml:space="preserve">.  On 2 February 2010 this judgment was challenged by way of </w:t>
      </w:r>
      <w:r w:rsidR="00807FE8" w:rsidRPr="006075B8">
        <w:rPr>
          <w:szCs w:val="24"/>
        </w:rPr>
        <w:t>an</w:t>
      </w:r>
      <w:r w:rsidRPr="006075B8">
        <w:rPr>
          <w:szCs w:val="24"/>
        </w:rPr>
        <w:t xml:space="preserve"> appeal</w:t>
      </w:r>
      <w:r w:rsidR="00807FE8" w:rsidRPr="006075B8">
        <w:rPr>
          <w:szCs w:val="24"/>
        </w:rPr>
        <w:t xml:space="preserve"> on points of law</w:t>
      </w:r>
      <w:r w:rsidRPr="006075B8">
        <w:rPr>
          <w:szCs w:val="24"/>
        </w:rPr>
        <w:t xml:space="preserve"> lodged by the Prosecutor General (</w:t>
      </w:r>
      <w:r w:rsidRPr="006075B8">
        <w:rPr>
          <w:i/>
          <w:szCs w:val="24"/>
        </w:rPr>
        <w:t>Prokurator Generalny</w:t>
      </w:r>
      <w:r w:rsidRPr="006075B8">
        <w:rPr>
          <w:szCs w:val="24"/>
        </w:rPr>
        <w:t xml:space="preserve">), i.e. by the Minister of Justice at the material time. It was submitted that a flagrant </w:t>
      </w:r>
      <w:r w:rsidR="00807FE8" w:rsidRPr="006075B8">
        <w:rPr>
          <w:szCs w:val="24"/>
        </w:rPr>
        <w:t xml:space="preserve">error of interpretation of </w:t>
      </w:r>
      <w:r w:rsidRPr="006075B8">
        <w:rPr>
          <w:szCs w:val="24"/>
        </w:rPr>
        <w:t>substantive law had been committed by the appellate court</w:t>
      </w:r>
      <w:r w:rsidR="00367B91" w:rsidRPr="006075B8">
        <w:rPr>
          <w:szCs w:val="24"/>
        </w:rPr>
        <w:t>,</w:t>
      </w:r>
      <w:r w:rsidRPr="006075B8">
        <w:rPr>
          <w:szCs w:val="24"/>
        </w:rPr>
        <w:t xml:space="preserve"> in that it had accepted that an intentional offence of </w:t>
      </w:r>
      <w:r w:rsidR="009B60B6" w:rsidRPr="006075B8">
        <w:rPr>
          <w:szCs w:val="24"/>
        </w:rPr>
        <w:t xml:space="preserve">battery </w:t>
      </w:r>
      <w:r w:rsidRPr="006075B8">
        <w:rPr>
          <w:szCs w:val="24"/>
        </w:rPr>
        <w:t xml:space="preserve">committed by a State agent in connection with and during the exercise of public functions </w:t>
      </w:r>
      <w:r w:rsidR="009B60B6" w:rsidRPr="006075B8">
        <w:rPr>
          <w:szCs w:val="24"/>
        </w:rPr>
        <w:t xml:space="preserve">prior to 1 January 1990 </w:t>
      </w:r>
      <w:r w:rsidRPr="006075B8">
        <w:rPr>
          <w:szCs w:val="24"/>
        </w:rPr>
        <w:t>could become time</w:t>
      </w:r>
      <w:r w:rsidR="001649E8" w:rsidRPr="006075B8">
        <w:rPr>
          <w:szCs w:val="24"/>
        </w:rPr>
        <w:noBreakHyphen/>
      </w:r>
      <w:r w:rsidRPr="006075B8">
        <w:rPr>
          <w:szCs w:val="24"/>
        </w:rPr>
        <w:t>barred.</w:t>
      </w:r>
    </w:p>
    <w:p w:rsidR="00B11E71" w:rsidRPr="006075B8" w:rsidRDefault="0078384A" w:rsidP="0078384A">
      <w:pPr>
        <w:pStyle w:val="JuPara"/>
      </w:pPr>
      <w:r w:rsidRPr="006075B8">
        <w:fldChar w:fldCharType="begin"/>
      </w:r>
      <w:r w:rsidRPr="006075B8">
        <w:instrText xml:space="preserve"> SEQ level0 \*arabic </w:instrText>
      </w:r>
      <w:r w:rsidRPr="006075B8">
        <w:fldChar w:fldCharType="separate"/>
      </w:r>
      <w:r w:rsidR="00751640">
        <w:rPr>
          <w:noProof/>
        </w:rPr>
        <w:t>27</w:t>
      </w:r>
      <w:r w:rsidRPr="006075B8">
        <w:fldChar w:fldCharType="end"/>
      </w:r>
      <w:r w:rsidRPr="006075B8">
        <w:t>.  By a judgment of 28 July 2010 the Supreme Court dismissed the</w:t>
      </w:r>
      <w:r w:rsidR="00013FEB" w:rsidRPr="006075B8">
        <w:t xml:space="preserve"> cassation</w:t>
      </w:r>
      <w:r w:rsidRPr="006075B8">
        <w:t xml:space="preserve"> appeal. It held that the Court of Appeal</w:t>
      </w:r>
      <w:r w:rsidR="005E7ADB">
        <w:t>’</w:t>
      </w:r>
      <w:r w:rsidRPr="006075B8">
        <w:t xml:space="preserve">s interpretation of the substantive law as to whether the offence </w:t>
      </w:r>
      <w:r w:rsidR="009B60B6" w:rsidRPr="006075B8">
        <w:t xml:space="preserve">of battery </w:t>
      </w:r>
      <w:r w:rsidR="00950FA9" w:rsidRPr="006075B8">
        <w:t>could become time</w:t>
      </w:r>
      <w:r w:rsidR="00950FA9" w:rsidRPr="006075B8">
        <w:noBreakHyphen/>
      </w:r>
      <w:r w:rsidRPr="006075B8">
        <w:t>barred was correct.</w:t>
      </w:r>
      <w:r w:rsidR="000F66F4" w:rsidRPr="006075B8">
        <w:t xml:space="preserve"> </w:t>
      </w:r>
      <w:r w:rsidR="00807FE8" w:rsidRPr="006075B8">
        <w:t xml:space="preserve">The relevant </w:t>
      </w:r>
      <w:r w:rsidR="000F66F4" w:rsidRPr="006075B8">
        <w:t xml:space="preserve">provision listed offences which were not subject to prescription by their names used in the Criminal Code, not by their results. Hence, even though battery could </w:t>
      </w:r>
      <w:r w:rsidR="00807FE8" w:rsidRPr="006075B8">
        <w:t xml:space="preserve">result in </w:t>
      </w:r>
      <w:r w:rsidR="000F66F4" w:rsidRPr="006075B8">
        <w:t xml:space="preserve">serious bodily harm, </w:t>
      </w:r>
      <w:r w:rsidR="00807FE8" w:rsidRPr="006075B8">
        <w:t xml:space="preserve">the offence of battery </w:t>
      </w:r>
      <w:r w:rsidR="000F66F4" w:rsidRPr="006075B8">
        <w:t>was</w:t>
      </w:r>
      <w:r w:rsidR="00B8091B" w:rsidRPr="006075B8">
        <w:t xml:space="preserve"> not covered by this provision, while the offence of “causing serious bodily harm” was.</w:t>
      </w:r>
    </w:p>
    <w:p w:rsidR="00B11E71" w:rsidRPr="006075B8" w:rsidRDefault="000F66F4" w:rsidP="0078384A">
      <w:pPr>
        <w:pStyle w:val="JuPara"/>
      </w:pPr>
      <w:r w:rsidRPr="006075B8">
        <w:t xml:space="preserve">The court further </w:t>
      </w:r>
      <w:r w:rsidR="0078384A" w:rsidRPr="006075B8">
        <w:t>observed that after the</w:t>
      </w:r>
      <w:r w:rsidR="00B8091B" w:rsidRPr="006075B8">
        <w:t xml:space="preserve"> proceedings </w:t>
      </w:r>
      <w:r w:rsidR="0078384A" w:rsidRPr="006075B8">
        <w:t xml:space="preserve">against I.K. had </w:t>
      </w:r>
      <w:r w:rsidR="00B8091B" w:rsidRPr="006075B8">
        <w:t xml:space="preserve">started to </w:t>
      </w:r>
      <w:r w:rsidR="0082758C" w:rsidRPr="006075B8">
        <w:t xml:space="preserve">be conducted by the bodies of the </w:t>
      </w:r>
      <w:r w:rsidR="0078384A" w:rsidRPr="006075B8">
        <w:t xml:space="preserve">democratic State after 1989, they had failed to </w:t>
      </w:r>
      <w:r w:rsidR="005E26F1" w:rsidRPr="006075B8">
        <w:t xml:space="preserve">sustain a conviction on </w:t>
      </w:r>
      <w:r w:rsidR="0078384A" w:rsidRPr="006075B8">
        <w:t xml:space="preserve">the criminal charges during a period of over twenty years. This failure </w:t>
      </w:r>
      <w:r w:rsidR="00807FE8" w:rsidRPr="006075B8">
        <w:t xml:space="preserve">had mainly </w:t>
      </w:r>
      <w:r w:rsidR="0078384A" w:rsidRPr="006075B8">
        <w:t xml:space="preserve">resulted from various steps taken immediately after the events by the communist authorities in order to make it impossible to establish the facts and the perpetrators of the crime and to thwart attempts to determine their criminal </w:t>
      </w:r>
      <w:r w:rsidR="00044255" w:rsidRPr="006075B8">
        <w:t>liability</w:t>
      </w:r>
      <w:r w:rsidR="0078384A" w:rsidRPr="006075B8">
        <w:t xml:space="preserve">. The </w:t>
      </w:r>
      <w:r w:rsidR="00807FE8" w:rsidRPr="006075B8">
        <w:t xml:space="preserve">inability </w:t>
      </w:r>
      <w:r w:rsidR="0078384A" w:rsidRPr="006075B8">
        <w:t>to determine I.K.</w:t>
      </w:r>
      <w:r w:rsidR="005E7ADB">
        <w:t>’</w:t>
      </w:r>
      <w:r w:rsidR="0078384A" w:rsidRPr="006075B8">
        <w:t xml:space="preserve">s </w:t>
      </w:r>
      <w:r w:rsidR="00807FE8" w:rsidRPr="006075B8">
        <w:t xml:space="preserve">liability </w:t>
      </w:r>
      <w:r w:rsidR="0078384A" w:rsidRPr="006075B8">
        <w:t xml:space="preserve">in the case </w:t>
      </w:r>
      <w:r w:rsidR="00807FE8" w:rsidRPr="006075B8">
        <w:t xml:space="preserve">had to </w:t>
      </w:r>
      <w:r w:rsidR="0078384A" w:rsidRPr="006075B8">
        <w:t>be regarded, having regard both to the length of the proceedings and to their final outcome, as “a failure of the justice system” (“</w:t>
      </w:r>
      <w:r w:rsidR="0078384A" w:rsidRPr="006075B8">
        <w:rPr>
          <w:i/>
        </w:rPr>
        <w:t>porażka wymiaru sprawiedliwości</w:t>
      </w:r>
      <w:r w:rsidR="0078384A" w:rsidRPr="006075B8">
        <w:t xml:space="preserve">”). </w:t>
      </w:r>
      <w:r w:rsidR="000B62D6" w:rsidRPr="006075B8">
        <w:t>The written grounds for this judgment were served on the applicant</w:t>
      </w:r>
      <w:r w:rsidR="005E7ADB">
        <w:t>’</w:t>
      </w:r>
      <w:r w:rsidR="000B62D6" w:rsidRPr="006075B8">
        <w:t>s lawyer on 7</w:t>
      </w:r>
      <w:r w:rsidR="001649E8" w:rsidRPr="006075B8">
        <w:t> </w:t>
      </w:r>
      <w:r w:rsidR="000B62D6" w:rsidRPr="006075B8">
        <w:t>October 2010.</w:t>
      </w:r>
    </w:p>
    <w:p w:rsidR="00B11E71" w:rsidRPr="006075B8" w:rsidRDefault="001649E8" w:rsidP="00726EA5">
      <w:pPr>
        <w:pStyle w:val="JuHIRoman"/>
      </w:pPr>
      <w:r w:rsidRPr="006075B8">
        <w:t>II.  </w:t>
      </w:r>
      <w:r w:rsidR="00726EA5" w:rsidRPr="006075B8">
        <w:t>PARLIAMENT</w:t>
      </w:r>
      <w:r w:rsidR="005E7ADB">
        <w:t>’</w:t>
      </w:r>
      <w:r w:rsidR="00726EA5" w:rsidRPr="006075B8">
        <w:t>S RESOLUTIONS CONCERNING THE CASE</w:t>
      </w:r>
    </w:p>
    <w:p w:rsidR="00B11E71" w:rsidRPr="006075B8" w:rsidRDefault="002C0094" w:rsidP="002C0094">
      <w:pPr>
        <w:pStyle w:val="JuPara"/>
      </w:pPr>
      <w:r w:rsidRPr="006075B8">
        <w:fldChar w:fldCharType="begin"/>
      </w:r>
      <w:r w:rsidRPr="006075B8">
        <w:instrText xml:space="preserve"> SEQ level0 \*arabic </w:instrText>
      </w:r>
      <w:r w:rsidRPr="006075B8">
        <w:fldChar w:fldCharType="separate"/>
      </w:r>
      <w:r w:rsidR="00751640">
        <w:rPr>
          <w:noProof/>
        </w:rPr>
        <w:t>28</w:t>
      </w:r>
      <w:r w:rsidRPr="006075B8">
        <w:fldChar w:fldCharType="end"/>
      </w:r>
      <w:r w:rsidRPr="006075B8">
        <w:t>.  On 16 May 2013 the upper house of Parliament (</w:t>
      </w:r>
      <w:r w:rsidRPr="006075B8">
        <w:rPr>
          <w:i/>
        </w:rPr>
        <w:t>Senat</w:t>
      </w:r>
      <w:r w:rsidRPr="006075B8">
        <w:t>) adopted a resolution to commemorate the applicant</w:t>
      </w:r>
      <w:r w:rsidR="005E7ADB">
        <w:t>’</w:t>
      </w:r>
      <w:r w:rsidRPr="006075B8">
        <w:t>s son as a victim of martial law rule (</w:t>
      </w:r>
      <w:r w:rsidRPr="006075B8">
        <w:rPr>
          <w:i/>
        </w:rPr>
        <w:t>uchwała Sejmu Rzeczypospolitej Polskiej w sprawie uczczenia pamięci Grzegorza Przemyka – ofiary stanu wojennego</w:t>
      </w:r>
      <w:r w:rsidRPr="006075B8">
        <w:t>).</w:t>
      </w:r>
      <w:r w:rsidR="00B11E71" w:rsidRPr="006075B8">
        <w:t xml:space="preserve"> </w:t>
      </w:r>
      <w:r w:rsidRPr="006075B8">
        <w:t xml:space="preserve">It read, </w:t>
      </w:r>
      <w:r w:rsidRPr="006075B8">
        <w:rPr>
          <w:i/>
        </w:rPr>
        <w:t>inter alia</w:t>
      </w:r>
      <w:r w:rsidRPr="006075B8">
        <w:t>:</w:t>
      </w:r>
    </w:p>
    <w:p w:rsidR="00B11E71" w:rsidRPr="006075B8" w:rsidRDefault="002C0094" w:rsidP="002C0094">
      <w:pPr>
        <w:pStyle w:val="JuQuot"/>
      </w:pPr>
      <w:r w:rsidRPr="006075B8">
        <w:t xml:space="preserve">“Thirty years ago, on 12 May 1983, officers of the then Militia arrested in </w:t>
      </w:r>
      <w:r w:rsidR="001801AF" w:rsidRPr="006075B8">
        <w:t xml:space="preserve">Warsaw </w:t>
      </w:r>
      <w:r w:rsidRPr="006075B8">
        <w:t xml:space="preserve">Old Town a high school graduate, young poet Grzegorz Przemyk. He was subsequently savagely beaten up </w:t>
      </w:r>
      <w:r w:rsidR="001801AF" w:rsidRPr="006075B8">
        <w:t xml:space="preserve">by the militia officers and by agents of the riot-control police [known at that time as ZOMO] </w:t>
      </w:r>
      <w:r w:rsidRPr="006075B8">
        <w:t xml:space="preserve">at the nearest police station at Jezuicka Street. On 14 May 1983 he died in a hospital. Subsequently, at the orders of highest State and [communist] party authorities, evidence was fabricated with a view to assigning </w:t>
      </w:r>
      <w:r w:rsidR="001801AF" w:rsidRPr="006075B8">
        <w:t xml:space="preserve">the </w:t>
      </w:r>
      <w:r w:rsidRPr="006075B8">
        <w:t>responsibility for his death to medics of the emergency services, while evidence pointing to the guilt of the militia officers was suppressed. As a result, the medics were arrested and Grzegorz Przemyk</w:t>
      </w:r>
      <w:r w:rsidR="005E7ADB">
        <w:t>’</w:t>
      </w:r>
      <w:r w:rsidR="001801AF" w:rsidRPr="006075B8">
        <w:t>s</w:t>
      </w:r>
      <w:r w:rsidRPr="006075B8">
        <w:t xml:space="preserve"> family and friends </w:t>
      </w:r>
      <w:r w:rsidR="001801AF" w:rsidRPr="006075B8">
        <w:t xml:space="preserve">suffered </w:t>
      </w:r>
      <w:r w:rsidRPr="006075B8">
        <w:t>various forms of harassment.</w:t>
      </w:r>
    </w:p>
    <w:p w:rsidR="00B11E71" w:rsidRPr="006075B8" w:rsidRDefault="002C0094" w:rsidP="002C0094">
      <w:pPr>
        <w:pStyle w:val="JuQuot"/>
      </w:pPr>
      <w:r w:rsidRPr="006075B8">
        <w:t>The perpetrators of that murder evaded responsibility. Even when the country had become independent, it proved impossible to adjudicate on the case and impose sentences on them.</w:t>
      </w:r>
    </w:p>
    <w:p w:rsidR="002C0094" w:rsidRPr="006075B8" w:rsidRDefault="001801AF" w:rsidP="002C0094">
      <w:pPr>
        <w:pStyle w:val="JuQuot"/>
      </w:pPr>
      <w:r w:rsidRPr="006075B8">
        <w:t>Parliament condemns the perpetrators and instigators of that political murder.</w:t>
      </w:r>
      <w:r w:rsidR="002C0094" w:rsidRPr="006075B8">
        <w:t>”</w:t>
      </w:r>
    </w:p>
    <w:p w:rsidR="00B11E71" w:rsidRPr="006075B8" w:rsidRDefault="002C0094" w:rsidP="002C0094">
      <w:pPr>
        <w:pStyle w:val="JuPara"/>
      </w:pPr>
      <w:r w:rsidRPr="006075B8">
        <w:fldChar w:fldCharType="begin"/>
      </w:r>
      <w:r w:rsidRPr="006075B8">
        <w:instrText xml:space="preserve"> SEQ level0 \*arabic </w:instrText>
      </w:r>
      <w:r w:rsidRPr="006075B8">
        <w:fldChar w:fldCharType="separate"/>
      </w:r>
      <w:r w:rsidR="00751640">
        <w:rPr>
          <w:noProof/>
        </w:rPr>
        <w:t>29</w:t>
      </w:r>
      <w:r w:rsidRPr="006075B8">
        <w:fldChar w:fldCharType="end"/>
      </w:r>
      <w:r w:rsidRPr="006075B8">
        <w:t>.  On 22 May 2013 the lower house of Parliament of Poland (</w:t>
      </w:r>
      <w:r w:rsidRPr="006075B8">
        <w:rPr>
          <w:i/>
        </w:rPr>
        <w:t>Sejm</w:t>
      </w:r>
      <w:r w:rsidR="001649E8" w:rsidRPr="006075B8">
        <w:t xml:space="preserve">) </w:t>
      </w:r>
      <w:r w:rsidRPr="006075B8">
        <w:t>adopted an identical resolution.</w:t>
      </w:r>
    </w:p>
    <w:p w:rsidR="00B11E71" w:rsidRPr="006075B8" w:rsidRDefault="007352DD" w:rsidP="00976D90">
      <w:pPr>
        <w:pStyle w:val="JuHIRoman"/>
        <w:spacing w:after="360"/>
        <w:outlineLvl w:val="0"/>
      </w:pPr>
      <w:r w:rsidRPr="006075B8">
        <w:t>II</w:t>
      </w:r>
      <w:r w:rsidR="00726EA5" w:rsidRPr="006075B8">
        <w:t>I</w:t>
      </w:r>
      <w:r w:rsidRPr="006075B8">
        <w:t>.  RELEVANT DOMESTIC LAW</w:t>
      </w:r>
    </w:p>
    <w:p w:rsidR="00B11E71" w:rsidRPr="006075B8" w:rsidRDefault="0078384A" w:rsidP="00AC662E">
      <w:pPr>
        <w:pStyle w:val="JuPara"/>
      </w:pPr>
      <w:r w:rsidRPr="006075B8">
        <w:fldChar w:fldCharType="begin"/>
      </w:r>
      <w:r w:rsidRPr="006075B8">
        <w:instrText xml:space="preserve"> SEQ level0 \*arabic </w:instrText>
      </w:r>
      <w:r w:rsidRPr="006075B8">
        <w:fldChar w:fldCharType="separate"/>
      </w:r>
      <w:r w:rsidR="00751640">
        <w:rPr>
          <w:noProof/>
        </w:rPr>
        <w:t>30</w:t>
      </w:r>
      <w:r w:rsidRPr="006075B8">
        <w:fldChar w:fldCharType="end"/>
      </w:r>
      <w:r w:rsidR="007352DD" w:rsidRPr="006075B8">
        <w:t>.  </w:t>
      </w:r>
      <w:r w:rsidR="00AC662E" w:rsidRPr="006075B8">
        <w:t>Article 44 of the Constitution reads:</w:t>
      </w:r>
    </w:p>
    <w:p w:rsidR="00AC662E" w:rsidRPr="006075B8" w:rsidRDefault="0082758C" w:rsidP="00AC662E">
      <w:pPr>
        <w:pStyle w:val="JuQuot"/>
      </w:pPr>
      <w:r w:rsidRPr="006075B8">
        <w:t>“</w:t>
      </w:r>
      <w:r w:rsidR="00AC662E" w:rsidRPr="006075B8">
        <w:t>The</w:t>
      </w:r>
      <w:r w:rsidR="006305CC" w:rsidRPr="006075B8">
        <w:t xml:space="preserve"> prescription periods in respect of </w:t>
      </w:r>
      <w:r w:rsidRPr="006075B8">
        <w:t xml:space="preserve">offences </w:t>
      </w:r>
      <w:r w:rsidR="00AC662E" w:rsidRPr="006075B8">
        <w:t>committed by, or</w:t>
      </w:r>
      <w:r w:rsidR="006305CC" w:rsidRPr="006075B8">
        <w:t xml:space="preserve"> upon </w:t>
      </w:r>
      <w:r w:rsidR="00165914" w:rsidRPr="006075B8">
        <w:t xml:space="preserve">the </w:t>
      </w:r>
      <w:r w:rsidR="00AC662E" w:rsidRPr="006075B8">
        <w:t>order of, public officials and which have not been prosecuted for political reasons, shall be extended for the period during which such reasons existed.</w:t>
      </w:r>
      <w:r w:rsidRPr="006075B8">
        <w:t>”</w:t>
      </w:r>
    </w:p>
    <w:p w:rsidR="00B11E71" w:rsidRPr="006075B8" w:rsidRDefault="000F66F4" w:rsidP="009B60B6">
      <w:pPr>
        <w:pStyle w:val="JuPara"/>
        <w:rPr>
          <w:lang w:eastAsia="en-GB"/>
        </w:rPr>
      </w:pPr>
      <w:r w:rsidRPr="006075B8">
        <w:rPr>
          <w:lang w:eastAsia="en-GB"/>
        </w:rPr>
        <w:fldChar w:fldCharType="begin"/>
      </w:r>
      <w:r w:rsidRPr="006075B8">
        <w:rPr>
          <w:lang w:eastAsia="en-GB"/>
        </w:rPr>
        <w:instrText xml:space="preserve"> SEQ level0 \*arabic </w:instrText>
      </w:r>
      <w:r w:rsidRPr="006075B8">
        <w:rPr>
          <w:lang w:eastAsia="en-GB"/>
        </w:rPr>
        <w:fldChar w:fldCharType="separate"/>
      </w:r>
      <w:r w:rsidR="00751640">
        <w:rPr>
          <w:noProof/>
          <w:lang w:eastAsia="en-GB"/>
        </w:rPr>
        <w:t>31</w:t>
      </w:r>
      <w:r w:rsidRPr="006075B8">
        <w:rPr>
          <w:lang w:eastAsia="en-GB"/>
        </w:rPr>
        <w:fldChar w:fldCharType="end"/>
      </w:r>
      <w:r w:rsidRPr="006075B8">
        <w:rPr>
          <w:lang w:eastAsia="en-GB"/>
        </w:rPr>
        <w:t xml:space="preserve">.  Article 101 </w:t>
      </w:r>
      <w:r w:rsidR="003019C7" w:rsidRPr="006075B8">
        <w:rPr>
          <w:lang w:eastAsia="en-GB"/>
        </w:rPr>
        <w:t>§</w:t>
      </w:r>
      <w:r w:rsidRPr="006075B8">
        <w:rPr>
          <w:lang w:eastAsia="en-GB"/>
        </w:rPr>
        <w:t xml:space="preserve"> </w:t>
      </w:r>
      <w:r w:rsidR="003019C7" w:rsidRPr="006075B8">
        <w:rPr>
          <w:lang w:eastAsia="en-GB"/>
        </w:rPr>
        <w:t>1</w:t>
      </w:r>
      <w:r w:rsidRPr="006075B8">
        <w:rPr>
          <w:lang w:eastAsia="en-GB"/>
        </w:rPr>
        <w:t xml:space="preserve"> of the Criminal Code of 1997 sets prescription periods for various offences: thirty years for homicide, twenty years for other crimes, ten years for offences punishable by prison sentences not exceeding three</w:t>
      </w:r>
      <w:r w:rsidR="0082758C" w:rsidRPr="006075B8">
        <w:rPr>
          <w:lang w:eastAsia="en-GB"/>
        </w:rPr>
        <w:t xml:space="preserve"> years, five years </w:t>
      </w:r>
      <w:r w:rsidRPr="006075B8">
        <w:rPr>
          <w:lang w:eastAsia="en-GB"/>
        </w:rPr>
        <w:t>for offences punishable by prison sentences</w:t>
      </w:r>
      <w:r w:rsidR="0082758C" w:rsidRPr="006075B8">
        <w:rPr>
          <w:lang w:eastAsia="en-GB"/>
        </w:rPr>
        <w:t xml:space="preserve"> ranging</w:t>
      </w:r>
      <w:r w:rsidRPr="006075B8">
        <w:rPr>
          <w:lang w:eastAsia="en-GB"/>
        </w:rPr>
        <w:t xml:space="preserve"> from three months to three years and three years where an offence is punishable by restriction of liberty or a fine.</w:t>
      </w:r>
    </w:p>
    <w:p w:rsidR="00B11E71" w:rsidRPr="006075B8" w:rsidRDefault="00193602" w:rsidP="009B60B6">
      <w:pPr>
        <w:pStyle w:val="JuPara"/>
        <w:rPr>
          <w:lang w:eastAsia="en-GB"/>
        </w:rPr>
      </w:pPr>
      <w:r w:rsidRPr="006075B8">
        <w:rPr>
          <w:lang w:eastAsia="en-GB"/>
        </w:rPr>
        <w:fldChar w:fldCharType="begin"/>
      </w:r>
      <w:r w:rsidRPr="006075B8">
        <w:rPr>
          <w:lang w:eastAsia="en-GB"/>
        </w:rPr>
        <w:instrText xml:space="preserve"> SEQ level0 \*arabic </w:instrText>
      </w:r>
      <w:r w:rsidRPr="006075B8">
        <w:rPr>
          <w:lang w:eastAsia="en-GB"/>
        </w:rPr>
        <w:fldChar w:fldCharType="separate"/>
      </w:r>
      <w:r w:rsidR="00751640">
        <w:rPr>
          <w:noProof/>
          <w:lang w:eastAsia="en-GB"/>
        </w:rPr>
        <w:t>32</w:t>
      </w:r>
      <w:r w:rsidRPr="006075B8">
        <w:rPr>
          <w:lang w:eastAsia="en-GB"/>
        </w:rPr>
        <w:fldChar w:fldCharType="end"/>
      </w:r>
      <w:r w:rsidRPr="006075B8">
        <w:rPr>
          <w:lang w:eastAsia="en-GB"/>
        </w:rPr>
        <w:t>.  </w:t>
      </w:r>
      <w:r w:rsidR="0088171F" w:rsidRPr="006075B8">
        <w:rPr>
          <w:lang w:eastAsia="en-GB"/>
        </w:rPr>
        <w:t>Under Article 102 of the Code, prescription periods shall be extended by five years if a criminal investigation has been instituted against the suspect before the expiry of the prescripti</w:t>
      </w:r>
      <w:r w:rsidR="001649E8" w:rsidRPr="006075B8">
        <w:rPr>
          <w:lang w:eastAsia="en-GB"/>
        </w:rPr>
        <w:t>on period as defined by Article </w:t>
      </w:r>
      <w:r w:rsidR="0088171F" w:rsidRPr="006075B8">
        <w:rPr>
          <w:lang w:eastAsia="en-GB"/>
        </w:rPr>
        <w:t>101 §</w:t>
      </w:r>
      <w:r w:rsidR="001649E8" w:rsidRPr="006075B8">
        <w:rPr>
          <w:lang w:eastAsia="en-GB"/>
        </w:rPr>
        <w:t> </w:t>
      </w:r>
      <w:r w:rsidR="0088171F" w:rsidRPr="006075B8">
        <w:rPr>
          <w:lang w:eastAsia="en-GB"/>
        </w:rPr>
        <w:t>1.</w:t>
      </w:r>
    </w:p>
    <w:p w:rsidR="00B11E71" w:rsidRPr="006075B8" w:rsidRDefault="00193602" w:rsidP="009B60B6">
      <w:pPr>
        <w:pStyle w:val="JuPara"/>
        <w:rPr>
          <w:lang w:eastAsia="en-GB"/>
        </w:rPr>
      </w:pPr>
      <w:r w:rsidRPr="006075B8">
        <w:rPr>
          <w:lang w:eastAsia="en-GB"/>
        </w:rPr>
        <w:fldChar w:fldCharType="begin"/>
      </w:r>
      <w:r w:rsidRPr="006075B8">
        <w:rPr>
          <w:lang w:eastAsia="en-GB"/>
        </w:rPr>
        <w:instrText xml:space="preserve"> SEQ level0 \*arabic </w:instrText>
      </w:r>
      <w:r w:rsidRPr="006075B8">
        <w:rPr>
          <w:lang w:eastAsia="en-GB"/>
        </w:rPr>
        <w:fldChar w:fldCharType="separate"/>
      </w:r>
      <w:r w:rsidR="00751640">
        <w:rPr>
          <w:noProof/>
          <w:lang w:eastAsia="en-GB"/>
        </w:rPr>
        <w:t>33</w:t>
      </w:r>
      <w:r w:rsidRPr="006075B8">
        <w:rPr>
          <w:lang w:eastAsia="en-GB"/>
        </w:rPr>
        <w:fldChar w:fldCharType="end"/>
      </w:r>
      <w:r w:rsidRPr="006075B8">
        <w:rPr>
          <w:lang w:eastAsia="en-GB"/>
        </w:rPr>
        <w:t>.  </w:t>
      </w:r>
      <w:r w:rsidR="00710D80" w:rsidRPr="006075B8">
        <w:rPr>
          <w:lang w:eastAsia="en-GB"/>
        </w:rPr>
        <w:t xml:space="preserve">Article 105 provides that </w:t>
      </w:r>
      <w:r w:rsidR="004A656B" w:rsidRPr="006075B8">
        <w:rPr>
          <w:lang w:eastAsia="en-GB"/>
        </w:rPr>
        <w:t xml:space="preserve">the </w:t>
      </w:r>
      <w:r w:rsidR="00710D80" w:rsidRPr="006075B8">
        <w:rPr>
          <w:lang w:eastAsia="en-GB"/>
        </w:rPr>
        <w:t>provisions of Articles</w:t>
      </w:r>
      <w:r w:rsidR="001649E8" w:rsidRPr="006075B8">
        <w:rPr>
          <w:lang w:eastAsia="en-GB"/>
        </w:rPr>
        <w:t> </w:t>
      </w:r>
      <w:r w:rsidR="00710D80" w:rsidRPr="006075B8">
        <w:rPr>
          <w:lang w:eastAsia="en-GB"/>
        </w:rPr>
        <w:t xml:space="preserve">101 and 103 shall not be applicable to </w:t>
      </w:r>
      <w:r w:rsidR="004A656B" w:rsidRPr="006075B8">
        <w:rPr>
          <w:lang w:eastAsia="en-GB"/>
        </w:rPr>
        <w:t xml:space="preserve">the </w:t>
      </w:r>
      <w:r w:rsidR="00710D80" w:rsidRPr="006075B8">
        <w:rPr>
          <w:lang w:eastAsia="en-GB"/>
        </w:rPr>
        <w:t>intentional offences of homicide, inflicting serious bodily harm, causing serious damage to health or deprivation of liberty perpetrated by a public official in connection with performing official duties.</w:t>
      </w:r>
    </w:p>
    <w:p w:rsidR="00B11E71" w:rsidRPr="006075B8" w:rsidRDefault="00193602" w:rsidP="009B60B6">
      <w:pPr>
        <w:pStyle w:val="JuPara"/>
        <w:rPr>
          <w:lang w:eastAsia="en-GB"/>
        </w:rPr>
      </w:pPr>
      <w:r w:rsidRPr="006075B8">
        <w:rPr>
          <w:lang w:eastAsia="en-GB"/>
        </w:rPr>
        <w:fldChar w:fldCharType="begin"/>
      </w:r>
      <w:r w:rsidRPr="006075B8">
        <w:rPr>
          <w:lang w:eastAsia="en-GB"/>
        </w:rPr>
        <w:instrText xml:space="preserve"> SEQ level0 \*arabic </w:instrText>
      </w:r>
      <w:r w:rsidRPr="006075B8">
        <w:rPr>
          <w:lang w:eastAsia="en-GB"/>
        </w:rPr>
        <w:fldChar w:fldCharType="separate"/>
      </w:r>
      <w:r w:rsidR="00751640">
        <w:rPr>
          <w:noProof/>
          <w:lang w:eastAsia="en-GB"/>
        </w:rPr>
        <w:t>34</w:t>
      </w:r>
      <w:r w:rsidRPr="006075B8">
        <w:rPr>
          <w:lang w:eastAsia="en-GB"/>
        </w:rPr>
        <w:fldChar w:fldCharType="end"/>
      </w:r>
      <w:r w:rsidRPr="006075B8">
        <w:rPr>
          <w:lang w:eastAsia="en-GB"/>
        </w:rPr>
        <w:t>.  </w:t>
      </w:r>
      <w:r w:rsidR="00710D80" w:rsidRPr="006075B8">
        <w:rPr>
          <w:lang w:eastAsia="en-GB"/>
        </w:rPr>
        <w:t xml:space="preserve">Article </w:t>
      </w:r>
      <w:r w:rsidRPr="006075B8">
        <w:rPr>
          <w:lang w:eastAsia="en-GB"/>
        </w:rPr>
        <w:t xml:space="preserve">9 of the Transitional Provisions to the Criminal </w:t>
      </w:r>
      <w:r w:rsidR="004A656B" w:rsidRPr="006075B8">
        <w:rPr>
          <w:lang w:eastAsia="en-GB"/>
        </w:rPr>
        <w:t xml:space="preserve">Code </w:t>
      </w:r>
      <w:r w:rsidRPr="006075B8">
        <w:rPr>
          <w:lang w:eastAsia="en-GB"/>
        </w:rPr>
        <w:t xml:space="preserve">provides that </w:t>
      </w:r>
      <w:r w:rsidR="004A656B" w:rsidRPr="006075B8">
        <w:rPr>
          <w:lang w:eastAsia="en-GB"/>
        </w:rPr>
        <w:t xml:space="preserve">the </w:t>
      </w:r>
      <w:r w:rsidRPr="006075B8">
        <w:rPr>
          <w:lang w:eastAsia="en-GB"/>
        </w:rPr>
        <w:t xml:space="preserve">prescription periods in respect of intentional offences against life, health, liberty or </w:t>
      </w:r>
      <w:r w:rsidR="004A656B" w:rsidRPr="006075B8">
        <w:rPr>
          <w:lang w:eastAsia="en-GB"/>
        </w:rPr>
        <w:t xml:space="preserve">the </w:t>
      </w:r>
      <w:r w:rsidRPr="006075B8">
        <w:rPr>
          <w:lang w:eastAsia="en-GB"/>
        </w:rPr>
        <w:t xml:space="preserve">administration of justice punishable by prison sentences exceeding three years and committed by State agents in </w:t>
      </w:r>
      <w:r w:rsidR="004A656B" w:rsidRPr="006075B8">
        <w:rPr>
          <w:lang w:eastAsia="en-GB"/>
        </w:rPr>
        <w:t xml:space="preserve">the </w:t>
      </w:r>
      <w:r w:rsidRPr="006075B8">
        <w:rPr>
          <w:lang w:eastAsia="en-GB"/>
        </w:rPr>
        <w:t xml:space="preserve">performance of </w:t>
      </w:r>
      <w:r w:rsidR="001649E8" w:rsidRPr="006075B8">
        <w:rPr>
          <w:lang w:eastAsia="en-GB"/>
        </w:rPr>
        <w:t>their official functions from 1 </w:t>
      </w:r>
      <w:r w:rsidRPr="006075B8">
        <w:rPr>
          <w:lang w:eastAsia="en-GB"/>
        </w:rPr>
        <w:t>January 1944 to 31</w:t>
      </w:r>
      <w:r w:rsidR="00950FA9" w:rsidRPr="006075B8">
        <w:rPr>
          <w:lang w:eastAsia="en-GB"/>
        </w:rPr>
        <w:t> </w:t>
      </w:r>
      <w:r w:rsidRPr="006075B8">
        <w:rPr>
          <w:lang w:eastAsia="en-GB"/>
        </w:rPr>
        <w:t>Decembe</w:t>
      </w:r>
      <w:r w:rsidR="001649E8" w:rsidRPr="006075B8">
        <w:rPr>
          <w:lang w:eastAsia="en-GB"/>
        </w:rPr>
        <w:t>r 1989 started to run anew on 1 </w:t>
      </w:r>
      <w:r w:rsidRPr="006075B8">
        <w:rPr>
          <w:lang w:eastAsia="en-GB"/>
        </w:rPr>
        <w:t>January 1990.</w:t>
      </w:r>
    </w:p>
    <w:p w:rsidR="00F71A6A" w:rsidRPr="006075B8" w:rsidRDefault="00F71A6A" w:rsidP="008824B9">
      <w:pPr>
        <w:pStyle w:val="JuHHead"/>
      </w:pPr>
      <w:r w:rsidRPr="006075B8">
        <w:t>THE LAW</w:t>
      </w:r>
    </w:p>
    <w:p w:rsidR="006331A0" w:rsidRPr="006075B8" w:rsidRDefault="001649E8" w:rsidP="00976D90">
      <w:pPr>
        <w:pStyle w:val="JuHIRoman"/>
        <w:spacing w:after="360"/>
      </w:pPr>
      <w:r w:rsidRPr="006075B8">
        <w:rPr>
          <w:rStyle w:val="sb8d990e2"/>
        </w:rPr>
        <w:t>I.  </w:t>
      </w:r>
      <w:r w:rsidR="006331A0" w:rsidRPr="006075B8">
        <w:rPr>
          <w:rStyle w:val="sb8d990e2"/>
        </w:rPr>
        <w:t>THE GOVERNMENT</w:t>
      </w:r>
      <w:r w:rsidR="005E7ADB">
        <w:rPr>
          <w:rStyle w:val="sb8d990e2"/>
        </w:rPr>
        <w:t>’</w:t>
      </w:r>
      <w:r w:rsidR="006331A0" w:rsidRPr="006075B8">
        <w:rPr>
          <w:rStyle w:val="sb8d990e2"/>
        </w:rPr>
        <w:t>S REQUEST TO STRIKE OUT THE APPLICATION UNDER ARTICLE 37 OF THE CONVENTION</w:t>
      </w:r>
    </w:p>
    <w:p w:rsidR="00FD5C80" w:rsidRPr="006075B8" w:rsidRDefault="00FD5C80" w:rsidP="00FD5C80">
      <w:pPr>
        <w:pStyle w:val="JuPara"/>
        <w:rPr>
          <w:rStyle w:val="sb8d990e2"/>
        </w:rPr>
      </w:pPr>
      <w:r w:rsidRPr="006075B8">
        <w:rPr>
          <w:rStyle w:val="sb8d990e2"/>
        </w:rPr>
        <w:fldChar w:fldCharType="begin"/>
      </w:r>
      <w:r w:rsidRPr="006075B8">
        <w:rPr>
          <w:rStyle w:val="sb8d990e2"/>
        </w:rPr>
        <w:instrText xml:space="preserve"> SEQ level0 \*arabic </w:instrText>
      </w:r>
      <w:r w:rsidRPr="006075B8">
        <w:rPr>
          <w:rStyle w:val="sb8d990e2"/>
        </w:rPr>
        <w:fldChar w:fldCharType="separate"/>
      </w:r>
      <w:r w:rsidR="00751640">
        <w:rPr>
          <w:rStyle w:val="sb8d990e2"/>
          <w:noProof/>
        </w:rPr>
        <w:t>35</w:t>
      </w:r>
      <w:r w:rsidRPr="006075B8">
        <w:rPr>
          <w:rStyle w:val="sb8d990e2"/>
        </w:rPr>
        <w:fldChar w:fldCharType="end"/>
      </w:r>
      <w:r w:rsidRPr="006075B8">
        <w:rPr>
          <w:rStyle w:val="sb8d990e2"/>
        </w:rPr>
        <w:t>.  </w:t>
      </w:r>
      <w:r w:rsidR="006331A0" w:rsidRPr="006075B8">
        <w:rPr>
          <w:rStyle w:val="sb8d990e2"/>
        </w:rPr>
        <w:t>On</w:t>
      </w:r>
      <w:r w:rsidR="00647A2E" w:rsidRPr="006075B8">
        <w:rPr>
          <w:rStyle w:val="sb8d990e2"/>
        </w:rPr>
        <w:t xml:space="preserve"> 10 </w:t>
      </w:r>
      <w:r w:rsidR="003330C4" w:rsidRPr="006075B8">
        <w:rPr>
          <w:rStyle w:val="sb8d990e2"/>
        </w:rPr>
        <w:t xml:space="preserve">October </w:t>
      </w:r>
      <w:r w:rsidR="00647A2E" w:rsidRPr="006075B8">
        <w:rPr>
          <w:rStyle w:val="sb8d990e2"/>
        </w:rPr>
        <w:t xml:space="preserve">2012 </w:t>
      </w:r>
      <w:r w:rsidR="006331A0" w:rsidRPr="006075B8">
        <w:rPr>
          <w:rStyle w:val="sb8d990e2"/>
        </w:rPr>
        <w:t xml:space="preserve">the Government submitted a </w:t>
      </w:r>
      <w:bookmarkStart w:id="2" w:name="HIT1"/>
      <w:bookmarkEnd w:id="2"/>
      <w:r w:rsidR="006331A0" w:rsidRPr="006075B8">
        <w:rPr>
          <w:rStyle w:val="sb8d990e2"/>
        </w:rPr>
        <w:t xml:space="preserve">unilateral </w:t>
      </w:r>
      <w:bookmarkStart w:id="3" w:name="HIT2"/>
      <w:bookmarkEnd w:id="3"/>
      <w:r w:rsidR="006331A0" w:rsidRPr="006075B8">
        <w:rPr>
          <w:rStyle w:val="sb8d990e2"/>
        </w:rPr>
        <w:t xml:space="preserve">declaration similar to that in the case of </w:t>
      </w:r>
      <w:r w:rsidR="006331A0" w:rsidRPr="006075B8">
        <w:rPr>
          <w:rStyle w:val="s6b621b36"/>
          <w:i/>
        </w:rPr>
        <w:t>Tahsin Acar v. Turkey</w:t>
      </w:r>
      <w:r w:rsidR="006331A0" w:rsidRPr="006075B8">
        <w:rPr>
          <w:rStyle w:val="s6b621b36"/>
        </w:rPr>
        <w:t xml:space="preserve"> </w:t>
      </w:r>
      <w:r w:rsidR="006331A0" w:rsidRPr="006075B8">
        <w:rPr>
          <w:rStyle w:val="sb8d990e2"/>
        </w:rPr>
        <w:t>((preliminary objection) [GC],</w:t>
      </w:r>
      <w:r w:rsidR="006331A0" w:rsidRPr="006075B8">
        <w:rPr>
          <w:rStyle w:val="s6b621b36"/>
        </w:rPr>
        <w:t xml:space="preserve"> </w:t>
      </w:r>
      <w:r w:rsidR="006331A0" w:rsidRPr="006075B8">
        <w:rPr>
          <w:rStyle w:val="sb8d990e2"/>
        </w:rPr>
        <w:t>no. 26307/95, ECHR 2003-VI) and informed the Court that they were ready to accept that there had been a violation of the applicant</w:t>
      </w:r>
      <w:r w:rsidR="005E7ADB">
        <w:rPr>
          <w:rStyle w:val="sb8d990e2"/>
        </w:rPr>
        <w:t>’</w:t>
      </w:r>
      <w:r w:rsidR="006331A0" w:rsidRPr="006075B8">
        <w:rPr>
          <w:rStyle w:val="sb8d990e2"/>
        </w:rPr>
        <w:t>s</w:t>
      </w:r>
      <w:r w:rsidR="0082758C" w:rsidRPr="006075B8">
        <w:rPr>
          <w:rStyle w:val="sb8d990e2"/>
        </w:rPr>
        <w:t xml:space="preserve"> procedural</w:t>
      </w:r>
      <w:r w:rsidR="006331A0" w:rsidRPr="006075B8">
        <w:rPr>
          <w:rStyle w:val="sb8d990e2"/>
        </w:rPr>
        <w:t xml:space="preserve"> rights under Article </w:t>
      </w:r>
      <w:r w:rsidRPr="006075B8">
        <w:rPr>
          <w:rStyle w:val="sb8d990e2"/>
        </w:rPr>
        <w:t xml:space="preserve">2 of </w:t>
      </w:r>
      <w:r w:rsidR="006331A0" w:rsidRPr="006075B8">
        <w:rPr>
          <w:rStyle w:val="sb8d990e2"/>
        </w:rPr>
        <w:t>the Convention</w:t>
      </w:r>
      <w:r w:rsidRPr="006075B8">
        <w:rPr>
          <w:rStyle w:val="sb8d990e2"/>
        </w:rPr>
        <w:t xml:space="preserve">. </w:t>
      </w:r>
      <w:r w:rsidR="006331A0" w:rsidRPr="006075B8">
        <w:rPr>
          <w:rStyle w:val="sb8d990e2"/>
        </w:rPr>
        <w:t xml:space="preserve">In respect of non-pecuniary damage, the Government proposed to award the applicant </w:t>
      </w:r>
      <w:r w:rsidR="003330C4" w:rsidRPr="006075B8">
        <w:rPr>
          <w:rStyle w:val="sb8d990e2"/>
        </w:rPr>
        <w:t>57,078</w:t>
      </w:r>
      <w:r w:rsidR="00950FA9" w:rsidRPr="006075B8">
        <w:rPr>
          <w:rStyle w:val="sb8d990e2"/>
        </w:rPr>
        <w:t> </w:t>
      </w:r>
      <w:r w:rsidR="006331A0" w:rsidRPr="006075B8">
        <w:rPr>
          <w:rStyle w:val="sb8d990e2"/>
        </w:rPr>
        <w:t>Polish zlotys (PLN). The Government invited the Court to strike out the application in accordance with Article 37 of the Convention.</w:t>
      </w:r>
    </w:p>
    <w:p w:rsidR="00D814DF" w:rsidRPr="006075B8" w:rsidRDefault="009A7C03" w:rsidP="00D814DF">
      <w:pPr>
        <w:pStyle w:val="JuPara"/>
        <w:rPr>
          <w:rStyle w:val="sb8d990e2"/>
        </w:rPr>
      </w:pPr>
      <w:r w:rsidRPr="006075B8">
        <w:rPr>
          <w:rStyle w:val="sb8d990e2"/>
        </w:rPr>
        <w:fldChar w:fldCharType="begin"/>
      </w:r>
      <w:r w:rsidRPr="006075B8">
        <w:rPr>
          <w:rStyle w:val="sb8d990e2"/>
        </w:rPr>
        <w:instrText xml:space="preserve"> SEQ level0 \*arabic </w:instrText>
      </w:r>
      <w:r w:rsidRPr="006075B8">
        <w:rPr>
          <w:rStyle w:val="sb8d990e2"/>
        </w:rPr>
        <w:fldChar w:fldCharType="separate"/>
      </w:r>
      <w:r w:rsidR="00751640">
        <w:rPr>
          <w:rStyle w:val="sb8d990e2"/>
          <w:noProof/>
        </w:rPr>
        <w:t>36</w:t>
      </w:r>
      <w:r w:rsidRPr="006075B8">
        <w:rPr>
          <w:rStyle w:val="sb8d990e2"/>
        </w:rPr>
        <w:fldChar w:fldCharType="end"/>
      </w:r>
      <w:r w:rsidRPr="006075B8">
        <w:rPr>
          <w:rStyle w:val="sb8d990e2"/>
        </w:rPr>
        <w:t>.  </w:t>
      </w:r>
      <w:r w:rsidR="000F0D39" w:rsidRPr="006075B8">
        <w:rPr>
          <w:rStyle w:val="sb8d990e2"/>
        </w:rPr>
        <w:t xml:space="preserve">The applicant did not agree with the </w:t>
      </w:r>
      <w:r w:rsidR="00584C16" w:rsidRPr="006075B8">
        <w:rPr>
          <w:rStyle w:val="sb8d990e2"/>
        </w:rPr>
        <w:t xml:space="preserve">terms of the unilateral declaration. </w:t>
      </w:r>
      <w:r w:rsidR="00D814DF" w:rsidRPr="006075B8">
        <w:rPr>
          <w:rStyle w:val="sb8d990e2"/>
        </w:rPr>
        <w:t>He emphasised the serious nature of the Convention complaints concerned in the present case, taken together with the fact that the case related to a crime committed by State agents during the communist regime. In his view, respect for human rights necessitated the determination of the merits of his complaint by way of a judgment. The applicant further argued that the amount proposed by the Government was not commensurate with the pain, frustration and feelings of injustice that he had been suffering for many years as a result of the protracted domestic proceedings.</w:t>
      </w:r>
      <w:r w:rsidR="00B11E71" w:rsidRPr="006075B8">
        <w:rPr>
          <w:rStyle w:val="sb8d990e2"/>
        </w:rPr>
        <w:t xml:space="preserve"> </w:t>
      </w:r>
      <w:r w:rsidR="00D814DF" w:rsidRPr="006075B8">
        <w:rPr>
          <w:rStyle w:val="sb8d990e2"/>
        </w:rPr>
        <w:t>He asked the Court to continue the examination of his application.</w:t>
      </w:r>
    </w:p>
    <w:p w:rsidR="002D001E" w:rsidRPr="006075B8" w:rsidRDefault="002D001E" w:rsidP="002D001E">
      <w:pPr>
        <w:pStyle w:val="JuPara"/>
        <w:rPr>
          <w:rStyle w:val="sb8d990e2"/>
        </w:rPr>
      </w:pPr>
      <w:r w:rsidRPr="006075B8">
        <w:rPr>
          <w:rStyle w:val="sb8d990e2"/>
        </w:rPr>
        <w:fldChar w:fldCharType="begin"/>
      </w:r>
      <w:r w:rsidRPr="006075B8">
        <w:rPr>
          <w:rStyle w:val="sb8d990e2"/>
        </w:rPr>
        <w:instrText xml:space="preserve"> SEQ level0 \*arabic </w:instrText>
      </w:r>
      <w:r w:rsidRPr="006075B8">
        <w:rPr>
          <w:rStyle w:val="sb8d990e2"/>
        </w:rPr>
        <w:fldChar w:fldCharType="separate"/>
      </w:r>
      <w:r w:rsidR="00751640">
        <w:rPr>
          <w:rStyle w:val="sb8d990e2"/>
          <w:noProof/>
        </w:rPr>
        <w:t>37</w:t>
      </w:r>
      <w:r w:rsidRPr="006075B8">
        <w:rPr>
          <w:rStyle w:val="sb8d990e2"/>
        </w:rPr>
        <w:fldChar w:fldCharType="end"/>
      </w:r>
      <w:r w:rsidRPr="006075B8">
        <w:rPr>
          <w:rStyle w:val="sb8d990e2"/>
        </w:rPr>
        <w:t xml:space="preserve">.  The Court observes that, as it has already held on many occasions, it may be appropriate under certain circumstances to strike out an application under Article 37 § 1 (c) of the Convention on the basis of a </w:t>
      </w:r>
      <w:bookmarkStart w:id="4" w:name="HIT3"/>
      <w:bookmarkEnd w:id="4"/>
      <w:r w:rsidRPr="006075B8">
        <w:rPr>
          <w:rStyle w:val="sb8d990e2"/>
        </w:rPr>
        <w:t xml:space="preserve">unilateral </w:t>
      </w:r>
      <w:bookmarkStart w:id="5" w:name="HIT4"/>
      <w:bookmarkEnd w:id="5"/>
      <w:r w:rsidRPr="006075B8">
        <w:rPr>
          <w:rStyle w:val="sb8d990e2"/>
        </w:rPr>
        <w:t xml:space="preserve">declaration by the respondent Government, even if the applicant wishes the examination of the case to be continued. Whether the </w:t>
      </w:r>
      <w:bookmarkStart w:id="6" w:name="HIT5"/>
      <w:bookmarkEnd w:id="6"/>
      <w:r w:rsidRPr="006075B8">
        <w:rPr>
          <w:rStyle w:val="sb8d990e2"/>
        </w:rPr>
        <w:t xml:space="preserve">unilateral </w:t>
      </w:r>
      <w:bookmarkStart w:id="7" w:name="HIT6"/>
      <w:bookmarkEnd w:id="7"/>
      <w:r w:rsidRPr="006075B8">
        <w:rPr>
          <w:rStyle w:val="sb8d990e2"/>
        </w:rPr>
        <w:t>declaration offers a sufficient basis for finding that respect for human rights as defined in the Convention and its Protocols does not require the Court to continue its examination of the case will depend on the particular circumstances of the case (see, among many other authorities,</w:t>
      </w:r>
      <w:r w:rsidRPr="006075B8">
        <w:rPr>
          <w:rStyle w:val="s6b621b36"/>
        </w:rPr>
        <w:t xml:space="preserve"> </w:t>
      </w:r>
      <w:r w:rsidRPr="006075B8">
        <w:rPr>
          <w:rStyle w:val="s6b621b36"/>
          <w:i/>
        </w:rPr>
        <w:t>Tahsin Acar</w:t>
      </w:r>
      <w:r w:rsidRPr="006075B8">
        <w:rPr>
          <w:rStyle w:val="s6b621b36"/>
        </w:rPr>
        <w:t xml:space="preserve">, </w:t>
      </w:r>
      <w:r w:rsidRPr="006075B8">
        <w:rPr>
          <w:rStyle w:val="sb8d990e2"/>
        </w:rPr>
        <w:t xml:space="preserve">cited above, § 75, and </w:t>
      </w:r>
      <w:r w:rsidRPr="006075B8">
        <w:rPr>
          <w:rStyle w:val="s6b621b36"/>
          <w:i/>
        </w:rPr>
        <w:t>Melnic v. Moldova</w:t>
      </w:r>
      <w:r w:rsidRPr="006075B8">
        <w:rPr>
          <w:rStyle w:val="sb8d990e2"/>
        </w:rPr>
        <w:t>, no. 6923/03, § 22, 14 November 2006).</w:t>
      </w:r>
    </w:p>
    <w:p w:rsidR="002D001E" w:rsidRPr="006075B8" w:rsidRDefault="002D001E" w:rsidP="002D001E">
      <w:pPr>
        <w:pStyle w:val="JuPara"/>
        <w:rPr>
          <w:rStyle w:val="sb8d990e2"/>
          <w:i/>
          <w:lang w:eastAsia="en-US"/>
        </w:rPr>
      </w:pPr>
      <w:r w:rsidRPr="006075B8">
        <w:rPr>
          <w:rStyle w:val="sb8d990e2"/>
        </w:rPr>
        <w:fldChar w:fldCharType="begin"/>
      </w:r>
      <w:r w:rsidRPr="006075B8">
        <w:rPr>
          <w:rStyle w:val="sb8d990e2"/>
        </w:rPr>
        <w:instrText xml:space="preserve"> SEQ level0 \*arabic </w:instrText>
      </w:r>
      <w:r w:rsidRPr="006075B8">
        <w:rPr>
          <w:rStyle w:val="sb8d990e2"/>
        </w:rPr>
        <w:fldChar w:fldCharType="separate"/>
      </w:r>
      <w:r w:rsidR="00751640">
        <w:rPr>
          <w:rStyle w:val="sb8d990e2"/>
          <w:noProof/>
        </w:rPr>
        <w:t>38</w:t>
      </w:r>
      <w:r w:rsidRPr="006075B8">
        <w:rPr>
          <w:rStyle w:val="sb8d990e2"/>
        </w:rPr>
        <w:fldChar w:fldCharType="end"/>
      </w:r>
      <w:r w:rsidRPr="006075B8">
        <w:rPr>
          <w:rStyle w:val="sb8d990e2"/>
        </w:rPr>
        <w:t xml:space="preserve">.  The Court has identified various factors which should be taken into consideration in this respect. They include the nature of the complaints made, whether the issues raised are similar to issues already determined by the Court in previous cases, the nature and scope of any measures taken by the respondent Government in the course of the execution of judgments delivered by the Court in any such previous cases, and the impact of these measures on the case at issue. Other relevant factors may include whether in their </w:t>
      </w:r>
      <w:r w:rsidRPr="006075B8">
        <w:rPr>
          <w:rStyle w:val="wordhighlighted"/>
        </w:rPr>
        <w:t>unilateral declaration</w:t>
      </w:r>
      <w:r w:rsidRPr="006075B8">
        <w:rPr>
          <w:rStyle w:val="sb8d990e2"/>
        </w:rPr>
        <w:t xml:space="preserve"> the respondent Government have made any admissions in relation to the alleged violations of the Convention and, if so, the scope of such admissions and the manner in which the Government intend to provide redress to the applicant (</w:t>
      </w:r>
      <w:r w:rsidRPr="006075B8">
        <w:rPr>
          <w:i/>
          <w:lang w:eastAsia="en-US"/>
        </w:rPr>
        <w:t>Rantsev v. Cyprus and Russia</w:t>
      </w:r>
      <w:r w:rsidRPr="006075B8">
        <w:rPr>
          <w:lang w:eastAsia="en-US"/>
        </w:rPr>
        <w:t>, no. 25965/04, § 195, ECHR 2010 (extracts)</w:t>
      </w:r>
      <w:r w:rsidRPr="006075B8">
        <w:rPr>
          <w:rStyle w:val="sb8d990e2"/>
        </w:rPr>
        <w:t xml:space="preserve">. Depending on the particular facts of each case, it is conceivable that further considerations may come into play in the assessment of a </w:t>
      </w:r>
      <w:r w:rsidRPr="006075B8">
        <w:rPr>
          <w:rStyle w:val="wordhighlighted"/>
        </w:rPr>
        <w:t>unilateral declaration</w:t>
      </w:r>
      <w:r w:rsidR="001649E8" w:rsidRPr="006075B8">
        <w:rPr>
          <w:rStyle w:val="sb8d990e2"/>
        </w:rPr>
        <w:t xml:space="preserve"> for the purposes of Article </w:t>
      </w:r>
      <w:r w:rsidRPr="006075B8">
        <w:rPr>
          <w:rStyle w:val="sb8d990e2"/>
        </w:rPr>
        <w:t>37 §</w:t>
      </w:r>
      <w:r w:rsidR="001649E8" w:rsidRPr="006075B8">
        <w:rPr>
          <w:rStyle w:val="sb8d990e2"/>
        </w:rPr>
        <w:t> </w:t>
      </w:r>
      <w:r w:rsidRPr="006075B8">
        <w:rPr>
          <w:rStyle w:val="sb8d990e2"/>
        </w:rPr>
        <w:t xml:space="preserve">1 of the Convention (see </w:t>
      </w:r>
      <w:r w:rsidRPr="006075B8">
        <w:rPr>
          <w:rStyle w:val="s6b621b36"/>
          <w:i/>
        </w:rPr>
        <w:t>Tahsin Acar</w:t>
      </w:r>
      <w:r w:rsidRPr="006075B8">
        <w:rPr>
          <w:rStyle w:val="sb8d990e2"/>
        </w:rPr>
        <w:t>, cited above, § 77).</w:t>
      </w:r>
    </w:p>
    <w:p w:rsidR="00B11E71" w:rsidRPr="006075B8" w:rsidRDefault="002D001E" w:rsidP="002D001E">
      <w:pPr>
        <w:pStyle w:val="JuPara"/>
        <w:rPr>
          <w:rStyle w:val="sb8d990e2"/>
        </w:rPr>
      </w:pPr>
      <w:r w:rsidRPr="006075B8">
        <w:rPr>
          <w:rStyle w:val="sb8d990e2"/>
        </w:rPr>
        <w:fldChar w:fldCharType="begin"/>
      </w:r>
      <w:r w:rsidRPr="006075B8">
        <w:rPr>
          <w:rStyle w:val="sb8d990e2"/>
        </w:rPr>
        <w:instrText xml:space="preserve"> SEQ level0 \*arabic </w:instrText>
      </w:r>
      <w:r w:rsidRPr="006075B8">
        <w:rPr>
          <w:rStyle w:val="sb8d990e2"/>
        </w:rPr>
        <w:fldChar w:fldCharType="separate"/>
      </w:r>
      <w:r w:rsidR="00751640">
        <w:rPr>
          <w:rStyle w:val="sb8d990e2"/>
          <w:noProof/>
        </w:rPr>
        <w:t>39</w:t>
      </w:r>
      <w:r w:rsidRPr="006075B8">
        <w:rPr>
          <w:rStyle w:val="sb8d990e2"/>
        </w:rPr>
        <w:fldChar w:fldCharType="end"/>
      </w:r>
      <w:r w:rsidRPr="006075B8">
        <w:rPr>
          <w:rStyle w:val="sb8d990e2"/>
        </w:rPr>
        <w:t>.  </w:t>
      </w:r>
      <w:r w:rsidR="00435EA7">
        <w:rPr>
          <w:rStyle w:val="sb8d990e2"/>
        </w:rPr>
        <w:t>Furthermore, t</w:t>
      </w:r>
      <w:r w:rsidR="00AA074F">
        <w:rPr>
          <w:rStyle w:val="sb8d990e2"/>
        </w:rPr>
        <w:t xml:space="preserve">he </w:t>
      </w:r>
      <w:r w:rsidRPr="006075B8">
        <w:rPr>
          <w:rStyle w:val="sb8d990e2"/>
        </w:rPr>
        <w:t xml:space="preserve">amount proposed in a </w:t>
      </w:r>
      <w:bookmarkStart w:id="8" w:name="HIT7"/>
      <w:bookmarkEnd w:id="8"/>
      <w:r w:rsidRPr="006075B8">
        <w:rPr>
          <w:rStyle w:val="sb8d990e2"/>
        </w:rPr>
        <w:t xml:space="preserve">unilateral </w:t>
      </w:r>
      <w:bookmarkStart w:id="9" w:name="HIT8"/>
      <w:bookmarkEnd w:id="9"/>
      <w:r w:rsidRPr="006075B8">
        <w:rPr>
          <w:rStyle w:val="sb8d990e2"/>
        </w:rPr>
        <w:t>declaration may be considered a sufficient basis for striking out an application or part thereof. The Court will have regard in this connection to the compatibility of the amount with its own awards in similar cases, bearing in mind the principles which it has developed for assessing the amount of non</w:t>
      </w:r>
      <w:r w:rsidRPr="006075B8">
        <w:rPr>
          <w:rStyle w:val="sb8d990e2"/>
        </w:rPr>
        <w:noBreakHyphen/>
        <w:t>pecuniary compensation to be awarded in respect of ineffective and unreasonably long proceedings concerning the determination of liability of agents of the State for the death of persons in custody.</w:t>
      </w:r>
    </w:p>
    <w:p w:rsidR="00B11E71" w:rsidRPr="006075B8" w:rsidRDefault="002D001E" w:rsidP="002D001E">
      <w:pPr>
        <w:pStyle w:val="JuPara"/>
        <w:rPr>
          <w:rStyle w:val="sb8d990e2"/>
        </w:rPr>
      </w:pPr>
      <w:r w:rsidRPr="006075B8">
        <w:rPr>
          <w:rStyle w:val="sb8d990e2"/>
        </w:rPr>
        <w:fldChar w:fldCharType="begin"/>
      </w:r>
      <w:r w:rsidRPr="006075B8">
        <w:rPr>
          <w:rStyle w:val="sb8d990e2"/>
        </w:rPr>
        <w:instrText xml:space="preserve"> SEQ level0 \*arabic </w:instrText>
      </w:r>
      <w:r w:rsidRPr="006075B8">
        <w:rPr>
          <w:rStyle w:val="sb8d990e2"/>
        </w:rPr>
        <w:fldChar w:fldCharType="separate"/>
      </w:r>
      <w:r w:rsidR="00751640">
        <w:rPr>
          <w:rStyle w:val="sb8d990e2"/>
          <w:noProof/>
        </w:rPr>
        <w:t>40</w:t>
      </w:r>
      <w:r w:rsidRPr="006075B8">
        <w:rPr>
          <w:rStyle w:val="sb8d990e2"/>
        </w:rPr>
        <w:fldChar w:fldCharType="end"/>
      </w:r>
      <w:r w:rsidRPr="006075B8">
        <w:rPr>
          <w:rStyle w:val="sb8d990e2"/>
        </w:rPr>
        <w:t xml:space="preserve">.  Finally, the Court reiterates that its judgments serve not only to decide those cases brought before it but, more generally, to elucidate, safeguard and develop the rules instituted by the Convention, thereby contributing to the observance by the States of the engagements undertaken by them as Contracting Parties (see, among other authorities, </w:t>
      </w:r>
      <w:r w:rsidRPr="006075B8">
        <w:rPr>
          <w:rStyle w:val="s6b621b36"/>
          <w:i/>
        </w:rPr>
        <w:t>Ireland v. the United Kingdom</w:t>
      </w:r>
      <w:r w:rsidRPr="006075B8">
        <w:rPr>
          <w:rStyle w:val="sb8d990e2"/>
        </w:rPr>
        <w:t xml:space="preserve">, 18 January 1978, § 154, Series A no. 25; </w:t>
      </w:r>
      <w:r w:rsidRPr="006075B8">
        <w:rPr>
          <w:rStyle w:val="s6b621b36"/>
          <w:i/>
        </w:rPr>
        <w:t>Guzzardi v. Italy</w:t>
      </w:r>
      <w:r w:rsidRPr="006075B8">
        <w:rPr>
          <w:rStyle w:val="sb8d990e2"/>
        </w:rPr>
        <w:t xml:space="preserve">, 6 November 1980, § 86, Series A no. 39; </w:t>
      </w:r>
      <w:r w:rsidRPr="006075B8">
        <w:rPr>
          <w:rStyle w:val="sb8d990e2"/>
          <w:i/>
        </w:rPr>
        <w:t xml:space="preserve">and </w:t>
      </w:r>
      <w:r w:rsidRPr="006075B8">
        <w:rPr>
          <w:rStyle w:val="s6b621b36"/>
          <w:i/>
        </w:rPr>
        <w:t>Karner v. Austria</w:t>
      </w:r>
      <w:r w:rsidRPr="006075B8">
        <w:rPr>
          <w:rStyle w:val="sb8d990e2"/>
        </w:rPr>
        <w:t>,</w:t>
      </w:r>
      <w:r w:rsidRPr="006075B8">
        <w:rPr>
          <w:rStyle w:val="s6b621b36"/>
        </w:rPr>
        <w:t xml:space="preserve"> </w:t>
      </w:r>
      <w:r w:rsidR="00663063">
        <w:rPr>
          <w:rStyle w:val="sb8d990e2"/>
        </w:rPr>
        <w:t>no. </w:t>
      </w:r>
      <w:r w:rsidRPr="006075B8">
        <w:rPr>
          <w:rStyle w:val="sb8d990e2"/>
        </w:rPr>
        <w:t>40016/98, § 26, ECHR 2003</w:t>
      </w:r>
      <w:r w:rsidRPr="006075B8">
        <w:rPr>
          <w:rStyle w:val="sb8d990e2"/>
        </w:rPr>
        <w:noBreakHyphen/>
        <w:t xml:space="preserve">IX). Although the primary purpose of the Convention system is to provide individual relief, its mission is also to determine issues on public-policy grounds in the common interest, thereby raising the general standards of protection of human rights and extending human rights jurisprudence throughout the community of the Convention States (see </w:t>
      </w:r>
      <w:r w:rsidRPr="006075B8">
        <w:rPr>
          <w:rStyle w:val="s6b621b36"/>
          <w:i/>
        </w:rPr>
        <w:t>Karner</w:t>
      </w:r>
      <w:r w:rsidRPr="006075B8">
        <w:rPr>
          <w:rStyle w:val="sb8d990e2"/>
        </w:rPr>
        <w:t xml:space="preserve">, cited above, § 26, and </w:t>
      </w:r>
      <w:r w:rsidR="001649E8" w:rsidRPr="006075B8">
        <w:rPr>
          <w:rStyle w:val="s6b621b36"/>
          <w:i/>
        </w:rPr>
        <w:t>Capital Bank AD v. </w:t>
      </w:r>
      <w:r w:rsidRPr="006075B8">
        <w:rPr>
          <w:rStyle w:val="s6b621b36"/>
          <w:i/>
        </w:rPr>
        <w:t>Bulgaria</w:t>
      </w:r>
      <w:r w:rsidR="001649E8" w:rsidRPr="006075B8">
        <w:rPr>
          <w:rStyle w:val="sb8d990e2"/>
        </w:rPr>
        <w:t>, no. </w:t>
      </w:r>
      <w:r w:rsidRPr="006075B8">
        <w:rPr>
          <w:rStyle w:val="sb8d990e2"/>
        </w:rPr>
        <w:t>49429/99, §§ 78 to 79, ECHR 2005</w:t>
      </w:r>
      <w:r w:rsidRPr="006075B8">
        <w:rPr>
          <w:rStyle w:val="sb8d990e2"/>
        </w:rPr>
        <w:noBreakHyphen/>
        <w:t>XII (extracts)).</w:t>
      </w:r>
    </w:p>
    <w:p w:rsidR="00B11E71" w:rsidRPr="006075B8" w:rsidRDefault="002D001E" w:rsidP="002D001E">
      <w:pPr>
        <w:pStyle w:val="JuPara"/>
        <w:rPr>
          <w:lang w:eastAsia="en-US"/>
        </w:rPr>
      </w:pPr>
      <w:r w:rsidRPr="006075B8">
        <w:rPr>
          <w:rStyle w:val="sb8d990e2"/>
        </w:rPr>
        <w:fldChar w:fldCharType="begin"/>
      </w:r>
      <w:r w:rsidRPr="006075B8">
        <w:rPr>
          <w:rStyle w:val="sb8d990e2"/>
        </w:rPr>
        <w:instrText xml:space="preserve"> SEQ level0 \*arabic </w:instrText>
      </w:r>
      <w:r w:rsidRPr="006075B8">
        <w:rPr>
          <w:rStyle w:val="sb8d990e2"/>
        </w:rPr>
        <w:fldChar w:fldCharType="separate"/>
      </w:r>
      <w:r w:rsidR="00751640">
        <w:rPr>
          <w:rStyle w:val="sb8d990e2"/>
          <w:noProof/>
        </w:rPr>
        <w:t>41</w:t>
      </w:r>
      <w:r w:rsidRPr="006075B8">
        <w:rPr>
          <w:rStyle w:val="sb8d990e2"/>
        </w:rPr>
        <w:fldChar w:fldCharType="end"/>
      </w:r>
      <w:r w:rsidRPr="006075B8">
        <w:rPr>
          <w:rStyle w:val="sb8d990e2"/>
        </w:rPr>
        <w:t xml:space="preserve">.  In considering whether it would be appropriate to strike out the present application on the basis of the </w:t>
      </w:r>
      <w:r w:rsidRPr="006075B8">
        <w:rPr>
          <w:rStyle w:val="wordhighlighted"/>
        </w:rPr>
        <w:t>unilateral declaration</w:t>
      </w:r>
      <w:r w:rsidRPr="006075B8">
        <w:rPr>
          <w:rStyle w:val="sb8d990e2"/>
        </w:rPr>
        <w:t>, the Court makes the following observations.</w:t>
      </w:r>
      <w:r w:rsidR="00997274" w:rsidRPr="006075B8">
        <w:rPr>
          <w:rStyle w:val="sb8d990e2"/>
        </w:rPr>
        <w:t xml:space="preserve"> It</w:t>
      </w:r>
      <w:r w:rsidRPr="006075B8">
        <w:rPr>
          <w:rStyle w:val="sb8d990e2"/>
        </w:rPr>
        <w:t xml:space="preserve"> emphasises the serious nature of the allegations made in the present case</w:t>
      </w:r>
      <w:r w:rsidR="009D3A9B" w:rsidRPr="006075B8">
        <w:rPr>
          <w:rStyle w:val="sb8d990e2"/>
        </w:rPr>
        <w:t xml:space="preserve">. </w:t>
      </w:r>
      <w:r w:rsidR="00997274" w:rsidRPr="006075B8">
        <w:rPr>
          <w:rStyle w:val="sb8d990e2"/>
        </w:rPr>
        <w:t>Excessive length of judicial proceedings and delays in investigating alleged violations of human rights protected under Articles 2 and 3 of the Convention are an object of re</w:t>
      </w:r>
      <w:r w:rsidR="009D3A9B" w:rsidRPr="006075B8">
        <w:rPr>
          <w:rStyle w:val="sb8d990e2"/>
        </w:rPr>
        <w:t>current</w:t>
      </w:r>
      <w:r w:rsidR="009D3A9B" w:rsidRPr="006075B8">
        <w:rPr>
          <w:rStyle w:val="sb8d990e2"/>
          <w:b/>
        </w:rPr>
        <w:t xml:space="preserve"> </w:t>
      </w:r>
      <w:r w:rsidR="00997274" w:rsidRPr="006075B8">
        <w:rPr>
          <w:rStyle w:val="sb8d990e2"/>
        </w:rPr>
        <w:t xml:space="preserve">complaints brought </w:t>
      </w:r>
      <w:r w:rsidR="00903A1F" w:rsidRPr="006075B8">
        <w:rPr>
          <w:rStyle w:val="sb8d990e2"/>
        </w:rPr>
        <w:t xml:space="preserve">before the Court in cases </w:t>
      </w:r>
      <w:r w:rsidR="00997274" w:rsidRPr="006075B8">
        <w:rPr>
          <w:rStyle w:val="sb8d990e2"/>
        </w:rPr>
        <w:t xml:space="preserve">against Poland. </w:t>
      </w:r>
      <w:r w:rsidR="00903A1F" w:rsidRPr="006075B8">
        <w:rPr>
          <w:rStyle w:val="sb8d990e2"/>
        </w:rPr>
        <w:t>The Court cannot but note that this appears to disclose a structural problem which calls for adequate general measures to be taken by the authorities.</w:t>
      </w:r>
      <w:r w:rsidR="009D3A9B" w:rsidRPr="006075B8">
        <w:rPr>
          <w:rStyle w:val="sb8d990e2"/>
        </w:rPr>
        <w:t xml:space="preserve"> </w:t>
      </w:r>
      <w:r w:rsidR="007152A4" w:rsidRPr="007152A4">
        <w:t>No such measures are mentioned in the unilateral declaration submitted by the respondent Government.</w:t>
      </w:r>
      <w:r w:rsidR="00976D90">
        <w:rPr>
          <w:color w:val="1F497D"/>
        </w:rPr>
        <w:t xml:space="preserve"> </w:t>
      </w:r>
      <w:r w:rsidR="00903A1F" w:rsidRPr="006075B8">
        <w:rPr>
          <w:rStyle w:val="sb8d990e2"/>
        </w:rPr>
        <w:t xml:space="preserve">Furthermore, </w:t>
      </w:r>
      <w:r w:rsidRPr="006075B8">
        <w:rPr>
          <w:rStyle w:val="sb8d990e2"/>
        </w:rPr>
        <w:t xml:space="preserve">the Court is of the view that the sum proposed in the declaration in respect of the non-pecuniary damage suffered by the applicant as a result of the alleged violation of the Convention does not bear a reasonable relation to the amounts awarded by the Court in similar cases against Poland in respect of non-pecuniary damage (see, among many other authorities, </w:t>
      </w:r>
      <w:r w:rsidRPr="006075B8">
        <w:rPr>
          <w:i/>
          <w:szCs w:val="22"/>
          <w:lang w:eastAsia="en-US"/>
        </w:rPr>
        <w:t xml:space="preserve">Ciechońska </w:t>
      </w:r>
      <w:r w:rsidRPr="006075B8">
        <w:rPr>
          <w:i/>
          <w:lang w:eastAsia="en-US"/>
        </w:rPr>
        <w:t>v. Poland</w:t>
      </w:r>
      <w:r w:rsidRPr="006075B8">
        <w:rPr>
          <w:lang w:eastAsia="en-US"/>
        </w:rPr>
        <w:t>, no. 19776/04</w:t>
      </w:r>
      <w:r w:rsidRPr="006075B8">
        <w:rPr>
          <w:snapToGrid w:val="0"/>
          <w:szCs w:val="24"/>
          <w:lang w:val="pt-BR" w:eastAsia="en-US"/>
        </w:rPr>
        <w:t xml:space="preserve">, § 87, 14 June 2011; </w:t>
      </w:r>
      <w:r w:rsidRPr="006075B8">
        <w:rPr>
          <w:i/>
          <w:lang w:eastAsia="en-US"/>
        </w:rPr>
        <w:t xml:space="preserve">Wasilewska and Kałucka v.  </w:t>
      </w:r>
      <w:smartTag w:uri="urn:schemas-microsoft-com:office:smarttags" w:element="country-region">
        <w:r w:rsidRPr="006075B8">
          <w:rPr>
            <w:i/>
            <w:lang w:eastAsia="en-US"/>
          </w:rPr>
          <w:t>Poland</w:t>
        </w:r>
      </w:smartTag>
      <w:r w:rsidRPr="006075B8">
        <w:rPr>
          <w:lang w:eastAsia="en-US"/>
        </w:rPr>
        <w:t>, nos. 28975/04 and 33406/04</w:t>
      </w:r>
      <w:r w:rsidRPr="006075B8">
        <w:rPr>
          <w:snapToGrid w:val="0"/>
          <w:lang w:eastAsia="en-US"/>
        </w:rPr>
        <w:t xml:space="preserve">, § 70, 23 February 2010; </w:t>
      </w:r>
      <w:r w:rsidRPr="006075B8">
        <w:rPr>
          <w:i/>
          <w:lang w:eastAsia="en-US"/>
        </w:rPr>
        <w:t xml:space="preserve">Mojsiejew v. </w:t>
      </w:r>
      <w:smartTag w:uri="urn:schemas-microsoft-com:office:smarttags" w:element="country-region">
        <w:r w:rsidRPr="006075B8">
          <w:rPr>
            <w:i/>
            <w:lang w:eastAsia="en-US"/>
          </w:rPr>
          <w:t>Poland</w:t>
        </w:r>
      </w:smartTag>
      <w:r w:rsidRPr="006075B8">
        <w:rPr>
          <w:lang w:eastAsia="en-US"/>
        </w:rPr>
        <w:t xml:space="preserve">, no. 11818/02, </w:t>
      </w:r>
      <w:r w:rsidRPr="006075B8">
        <w:rPr>
          <w:snapToGrid w:val="0"/>
          <w:lang w:eastAsia="en-US"/>
        </w:rPr>
        <w:t xml:space="preserve">§ 69, 24 March 2009l </w:t>
      </w:r>
      <w:r w:rsidRPr="006075B8">
        <w:rPr>
          <w:i/>
          <w:lang w:eastAsia="en-US"/>
        </w:rPr>
        <w:t>Dzieciak v. </w:t>
      </w:r>
      <w:smartTag w:uri="urn:schemas-microsoft-com:office:smarttags" w:element="place">
        <w:smartTag w:uri="urn:schemas-microsoft-com:office:smarttags" w:element="country-region">
          <w:r w:rsidRPr="006075B8">
            <w:rPr>
              <w:i/>
              <w:lang w:eastAsia="en-US"/>
            </w:rPr>
            <w:t>Poland</w:t>
          </w:r>
        </w:smartTag>
      </w:smartTag>
      <w:r w:rsidRPr="006075B8">
        <w:rPr>
          <w:lang w:eastAsia="en-US"/>
        </w:rPr>
        <w:t>, no. 77766/01, § 122, 9 December 2008).</w:t>
      </w:r>
    </w:p>
    <w:p w:rsidR="002D001E" w:rsidRPr="006075B8" w:rsidRDefault="002D001E" w:rsidP="002D001E">
      <w:pPr>
        <w:pStyle w:val="JuPara"/>
        <w:rPr>
          <w:i/>
          <w:lang w:eastAsia="en-US"/>
        </w:rPr>
      </w:pPr>
      <w:r w:rsidRPr="006075B8">
        <w:rPr>
          <w:rStyle w:val="sb8d990e2"/>
        </w:rPr>
        <w:fldChar w:fldCharType="begin"/>
      </w:r>
      <w:r w:rsidRPr="006075B8">
        <w:rPr>
          <w:rStyle w:val="sb8d990e2"/>
        </w:rPr>
        <w:instrText xml:space="preserve"> SEQ level0 \*arabic </w:instrText>
      </w:r>
      <w:r w:rsidRPr="006075B8">
        <w:rPr>
          <w:rStyle w:val="sb8d990e2"/>
        </w:rPr>
        <w:fldChar w:fldCharType="separate"/>
      </w:r>
      <w:r w:rsidR="00751640">
        <w:rPr>
          <w:rStyle w:val="sb8d990e2"/>
          <w:noProof/>
        </w:rPr>
        <w:t>42</w:t>
      </w:r>
      <w:r w:rsidRPr="006075B8">
        <w:rPr>
          <w:rStyle w:val="sb8d990e2"/>
        </w:rPr>
        <w:fldChar w:fldCharType="end"/>
      </w:r>
      <w:r w:rsidRPr="006075B8">
        <w:rPr>
          <w:rStyle w:val="sb8d990e2"/>
        </w:rPr>
        <w:t>.  </w:t>
      </w:r>
      <w:r w:rsidRPr="006075B8">
        <w:t>Having studied the terms of the Government</w:t>
      </w:r>
      <w:r w:rsidR="005E7ADB">
        <w:t>’</w:t>
      </w:r>
      <w:r w:rsidRPr="006075B8">
        <w:t xml:space="preserve">s unilateral declaration, the Court considers </w:t>
      </w:r>
      <w:r w:rsidRPr="006075B8">
        <w:rPr>
          <w:lang w:eastAsia="en-US"/>
        </w:rPr>
        <w:t xml:space="preserve">that </w:t>
      </w:r>
      <w:r w:rsidRPr="006075B8">
        <w:t>in the particular circumstances of the applicant</w:t>
      </w:r>
      <w:r w:rsidR="005E7ADB">
        <w:t>’</w:t>
      </w:r>
      <w:r w:rsidRPr="006075B8">
        <w:t xml:space="preserve">s case, the proposed declaration does not provide a sufficient basis for concluding that respect for human rights as defined in the Convention and its Protocols does not require it to continue its examination of the case </w:t>
      </w:r>
      <w:r w:rsidRPr="006075B8">
        <w:rPr>
          <w:spacing w:val="-6"/>
        </w:rPr>
        <w:t xml:space="preserve">(see </w:t>
      </w:r>
      <w:r w:rsidRPr="006075B8">
        <w:rPr>
          <w:i/>
          <w:lang w:eastAsia="en-US"/>
        </w:rPr>
        <w:t>Choumakov v  Poland (no. 2)</w:t>
      </w:r>
      <w:r w:rsidRPr="006075B8">
        <w:rPr>
          <w:lang w:eastAsia="en-US"/>
        </w:rPr>
        <w:t>, no. 55777/08</w:t>
      </w:r>
      <w:r w:rsidRPr="006075B8">
        <w:rPr>
          <w:snapToGrid w:val="0"/>
          <w:lang w:eastAsia="en-US"/>
        </w:rPr>
        <w:t xml:space="preserve">, § 40, 1 February 2011, and </w:t>
      </w:r>
      <w:r w:rsidRPr="006075B8">
        <w:rPr>
          <w:i/>
          <w:szCs w:val="22"/>
          <w:lang w:eastAsia="en-US"/>
        </w:rPr>
        <w:t>Ruprecht v. Poland</w:t>
      </w:r>
      <w:r w:rsidRPr="006075B8">
        <w:rPr>
          <w:szCs w:val="22"/>
          <w:lang w:eastAsia="en-US"/>
        </w:rPr>
        <w:t>, no. 39912/06</w:t>
      </w:r>
      <w:r w:rsidRPr="006075B8">
        <w:rPr>
          <w:snapToGrid w:val="0"/>
          <w:szCs w:val="24"/>
          <w:lang w:eastAsia="en-US"/>
        </w:rPr>
        <w:t>, § 27, 21 February 2012</w:t>
      </w:r>
      <w:r w:rsidRPr="006075B8">
        <w:rPr>
          <w:spacing w:val="-6"/>
        </w:rPr>
        <w:t>).</w:t>
      </w:r>
    </w:p>
    <w:p w:rsidR="00FB53BA" w:rsidRPr="006075B8" w:rsidRDefault="002D001E" w:rsidP="00663063">
      <w:pPr>
        <w:pStyle w:val="JuPara"/>
        <w:keepNext/>
        <w:keepLines/>
      </w:pPr>
      <w:r w:rsidRPr="006075B8">
        <w:fldChar w:fldCharType="begin"/>
      </w:r>
      <w:r w:rsidRPr="006075B8">
        <w:instrText xml:space="preserve"> SEQ level0 \*arabic </w:instrText>
      </w:r>
      <w:r w:rsidRPr="006075B8">
        <w:fldChar w:fldCharType="separate"/>
      </w:r>
      <w:r w:rsidR="00751640">
        <w:rPr>
          <w:noProof/>
        </w:rPr>
        <w:t>43</w:t>
      </w:r>
      <w:r w:rsidRPr="006075B8">
        <w:fldChar w:fldCharType="end"/>
      </w:r>
      <w:r w:rsidRPr="006075B8">
        <w:t>.  </w:t>
      </w:r>
      <w:r w:rsidR="00FB53BA" w:rsidRPr="006075B8">
        <w:t>This being so, the Court rejects the Government</w:t>
      </w:r>
      <w:r w:rsidR="005E7ADB">
        <w:t>’</w:t>
      </w:r>
      <w:r w:rsidR="00FB53BA" w:rsidRPr="006075B8">
        <w:t>s request to strike this part of the application out of its list of cases under Article 37 of the Convention and will accordingly pursue its examination of the admissibility and merits of the case.</w:t>
      </w:r>
    </w:p>
    <w:p w:rsidR="00F71A6A" w:rsidRPr="006075B8" w:rsidRDefault="0030030A">
      <w:pPr>
        <w:pStyle w:val="JuHIRoman"/>
      </w:pPr>
      <w:r w:rsidRPr="006075B8">
        <w:t>I</w:t>
      </w:r>
      <w:r w:rsidR="00F71A6A" w:rsidRPr="006075B8">
        <w:t xml:space="preserve">I.  ALLEGED VIOLATION OF ARTICLE </w:t>
      </w:r>
      <w:r w:rsidRPr="006075B8">
        <w:t>2</w:t>
      </w:r>
      <w:r w:rsidR="00F71A6A" w:rsidRPr="006075B8">
        <w:t xml:space="preserve"> OF THE CONVENTION</w:t>
      </w:r>
    </w:p>
    <w:p w:rsidR="009C0BCC" w:rsidRPr="006075B8" w:rsidRDefault="009A7C03" w:rsidP="009C0BCC">
      <w:pPr>
        <w:pStyle w:val="JuPara"/>
      </w:pPr>
      <w:r w:rsidRPr="006075B8">
        <w:rPr>
          <w:rStyle w:val="sb8d990e2"/>
        </w:rPr>
        <w:fldChar w:fldCharType="begin"/>
      </w:r>
      <w:r w:rsidRPr="006075B8">
        <w:rPr>
          <w:rStyle w:val="sb8d990e2"/>
        </w:rPr>
        <w:instrText xml:space="preserve"> SEQ level0 \*arabic </w:instrText>
      </w:r>
      <w:r w:rsidRPr="006075B8">
        <w:rPr>
          <w:rStyle w:val="sb8d990e2"/>
        </w:rPr>
        <w:fldChar w:fldCharType="separate"/>
      </w:r>
      <w:r w:rsidR="00751640">
        <w:rPr>
          <w:rStyle w:val="sb8d990e2"/>
          <w:noProof/>
        </w:rPr>
        <w:t>44</w:t>
      </w:r>
      <w:r w:rsidRPr="006075B8">
        <w:rPr>
          <w:rStyle w:val="sb8d990e2"/>
        </w:rPr>
        <w:fldChar w:fldCharType="end"/>
      </w:r>
      <w:r w:rsidRPr="006075B8">
        <w:rPr>
          <w:rStyle w:val="sb8d990e2"/>
        </w:rPr>
        <w:t>.  </w:t>
      </w:r>
      <w:r w:rsidR="009C0BCC" w:rsidRPr="006075B8">
        <w:rPr>
          <w:rStyle w:val="sb8d990e2"/>
        </w:rPr>
        <w:t>The applicant complained that no effective investigation ha</w:t>
      </w:r>
      <w:r w:rsidR="003F29D1" w:rsidRPr="006075B8">
        <w:rPr>
          <w:rStyle w:val="sb8d990e2"/>
        </w:rPr>
        <w:t>d</w:t>
      </w:r>
      <w:r w:rsidR="009C0BCC" w:rsidRPr="006075B8">
        <w:rPr>
          <w:rStyle w:val="sb8d990e2"/>
        </w:rPr>
        <w:t xml:space="preserve"> been conducted</w:t>
      </w:r>
      <w:r w:rsidR="004B10D6" w:rsidRPr="006075B8">
        <w:rPr>
          <w:rStyle w:val="sb8d990e2"/>
        </w:rPr>
        <w:t xml:space="preserve"> by the Polish authorities</w:t>
      </w:r>
      <w:r w:rsidR="009C0BCC" w:rsidRPr="006075B8">
        <w:rPr>
          <w:rStyle w:val="sb8d990e2"/>
        </w:rPr>
        <w:t xml:space="preserve"> so as to allow for the establishment of </w:t>
      </w:r>
      <w:r w:rsidR="00D63FFC" w:rsidRPr="006075B8">
        <w:rPr>
          <w:rStyle w:val="sb8d990e2"/>
        </w:rPr>
        <w:t xml:space="preserve">liability </w:t>
      </w:r>
      <w:r w:rsidR="009C0BCC" w:rsidRPr="006075B8">
        <w:rPr>
          <w:rStyle w:val="sb8d990e2"/>
        </w:rPr>
        <w:t xml:space="preserve">for his </w:t>
      </w:r>
      <w:r w:rsidR="00EE4EC9" w:rsidRPr="006075B8">
        <w:rPr>
          <w:rStyle w:val="sb8d990e2"/>
        </w:rPr>
        <w:t>son</w:t>
      </w:r>
      <w:r w:rsidR="005E7ADB">
        <w:rPr>
          <w:rStyle w:val="sb8d990e2"/>
        </w:rPr>
        <w:t>’</w:t>
      </w:r>
      <w:r w:rsidR="00EE4EC9" w:rsidRPr="006075B8">
        <w:rPr>
          <w:rStyle w:val="sb8d990e2"/>
        </w:rPr>
        <w:t>s</w:t>
      </w:r>
      <w:r w:rsidR="009C0BCC" w:rsidRPr="006075B8">
        <w:rPr>
          <w:rStyle w:val="sb8d990e2"/>
        </w:rPr>
        <w:t xml:space="preserve"> death</w:t>
      </w:r>
      <w:r w:rsidR="00EE4EC9" w:rsidRPr="006075B8">
        <w:rPr>
          <w:rStyle w:val="sb8d990e2"/>
        </w:rPr>
        <w:t>.</w:t>
      </w:r>
      <w:r w:rsidR="00B11E71" w:rsidRPr="006075B8">
        <w:rPr>
          <w:rStyle w:val="sb8d990e2"/>
        </w:rPr>
        <w:t xml:space="preserve"> </w:t>
      </w:r>
      <w:r w:rsidR="009C0BCC" w:rsidRPr="006075B8">
        <w:rPr>
          <w:rStyle w:val="sb8d990e2"/>
        </w:rPr>
        <w:t xml:space="preserve">He </w:t>
      </w:r>
      <w:r w:rsidR="00D63FFC" w:rsidRPr="006075B8">
        <w:rPr>
          <w:rStyle w:val="sb8d990e2"/>
        </w:rPr>
        <w:t xml:space="preserve">relied upon </w:t>
      </w:r>
      <w:r w:rsidR="009C0BCC" w:rsidRPr="006075B8">
        <w:rPr>
          <w:rStyle w:val="sb8d990e2"/>
        </w:rPr>
        <w:t>Article 2 of the Convention which, in so far as relevant, reads:</w:t>
      </w:r>
    </w:p>
    <w:p w:rsidR="009C0BCC" w:rsidRPr="006075B8" w:rsidRDefault="001649E8" w:rsidP="009C0BCC">
      <w:pPr>
        <w:pStyle w:val="JuQuot"/>
      </w:pPr>
      <w:r w:rsidRPr="006075B8">
        <w:rPr>
          <w:rStyle w:val="sfbbfee58"/>
        </w:rPr>
        <w:t>“1.  </w:t>
      </w:r>
      <w:r w:rsidR="009C0BCC" w:rsidRPr="006075B8">
        <w:rPr>
          <w:rStyle w:val="sfbbfee58"/>
        </w:rPr>
        <w:t>Everyone</w:t>
      </w:r>
      <w:r w:rsidR="005E7ADB">
        <w:rPr>
          <w:rStyle w:val="sfbbfee58"/>
        </w:rPr>
        <w:t>’</w:t>
      </w:r>
      <w:r w:rsidR="009C0BCC" w:rsidRPr="006075B8">
        <w:rPr>
          <w:rStyle w:val="sfbbfee58"/>
        </w:rPr>
        <w:t xml:space="preserve">s </w:t>
      </w:r>
      <w:r w:rsidR="009C0BCC" w:rsidRPr="006075B8">
        <w:rPr>
          <w:rStyle w:val="wordhighlighted"/>
        </w:rPr>
        <w:t>right to life</w:t>
      </w:r>
      <w:r w:rsidR="009C0BCC" w:rsidRPr="006075B8">
        <w:rPr>
          <w:rStyle w:val="sfbbfee58"/>
        </w:rPr>
        <w:t xml:space="preserve"> shall be protected by law. No one shall be deprived of his life ...”</w:t>
      </w:r>
    </w:p>
    <w:p w:rsidR="00976D90" w:rsidRDefault="0078384A" w:rsidP="002F4BCF">
      <w:pPr>
        <w:pStyle w:val="JuPara"/>
      </w:pPr>
      <w:r w:rsidRPr="006075B8">
        <w:fldChar w:fldCharType="begin"/>
      </w:r>
      <w:r w:rsidRPr="006075B8">
        <w:instrText xml:space="preserve"> SEQ level0 \*arabic </w:instrText>
      </w:r>
      <w:r w:rsidRPr="006075B8">
        <w:fldChar w:fldCharType="separate"/>
      </w:r>
      <w:r w:rsidR="00751640">
        <w:rPr>
          <w:noProof/>
        </w:rPr>
        <w:t>45</w:t>
      </w:r>
      <w:r w:rsidRPr="006075B8">
        <w:fldChar w:fldCharType="end"/>
      </w:r>
      <w:r w:rsidR="00F71A6A" w:rsidRPr="006075B8">
        <w:t>.  The Government</w:t>
      </w:r>
      <w:r w:rsidR="00922B20" w:rsidRPr="006075B8">
        <w:t xml:space="preserve"> </w:t>
      </w:r>
      <w:r w:rsidR="007760E7">
        <w:t>confined themselves to the submissions made in their unilateral declaration.</w:t>
      </w:r>
    </w:p>
    <w:p w:rsidR="00F71A6A" w:rsidRPr="006075B8" w:rsidRDefault="00950FA9" w:rsidP="00950FA9">
      <w:pPr>
        <w:pStyle w:val="JuHA"/>
        <w:tabs>
          <w:tab w:val="clear" w:pos="584"/>
        </w:tabs>
        <w:ind w:left="232" w:firstLine="0"/>
        <w:outlineLvl w:val="0"/>
      </w:pPr>
      <w:r w:rsidRPr="006075B8">
        <w:t>A.  </w:t>
      </w:r>
      <w:r w:rsidR="00F71A6A" w:rsidRPr="006075B8">
        <w:t>Admissibility</w:t>
      </w:r>
    </w:p>
    <w:p w:rsidR="00B11E71" w:rsidRPr="006075B8" w:rsidRDefault="0078384A" w:rsidP="004B10D6">
      <w:pPr>
        <w:pStyle w:val="JuPara"/>
      </w:pPr>
      <w:r w:rsidRPr="006075B8">
        <w:fldChar w:fldCharType="begin"/>
      </w:r>
      <w:r w:rsidRPr="006075B8">
        <w:instrText xml:space="preserve"> SEQ level0 \*arabic </w:instrText>
      </w:r>
      <w:r w:rsidRPr="006075B8">
        <w:fldChar w:fldCharType="separate"/>
      </w:r>
      <w:r w:rsidR="00751640">
        <w:rPr>
          <w:noProof/>
        </w:rPr>
        <w:t>46</w:t>
      </w:r>
      <w:r w:rsidRPr="006075B8">
        <w:fldChar w:fldCharType="end"/>
      </w:r>
      <w:r w:rsidR="00F71A6A" w:rsidRPr="006075B8">
        <w:t>.  </w:t>
      </w:r>
      <w:r w:rsidR="004B10D6" w:rsidRPr="006075B8">
        <w:t>The Court reiterates that the provisions of the Convention do not bind a Contracting Party in relation to any act or fact which took place</w:t>
      </w:r>
      <w:r w:rsidR="007661B5" w:rsidRPr="006075B8">
        <w:t>,</w:t>
      </w:r>
      <w:r w:rsidR="004B10D6" w:rsidRPr="006075B8">
        <w:t xml:space="preserve"> or any situation which ceased to exist</w:t>
      </w:r>
      <w:r w:rsidR="007661B5" w:rsidRPr="006075B8">
        <w:t>,</w:t>
      </w:r>
      <w:r w:rsidR="004B10D6" w:rsidRPr="006075B8">
        <w:t xml:space="preserve"> before the date of the entry into force of the Convention with respect to that Party. This is an established principle in the Court</w:t>
      </w:r>
      <w:r w:rsidR="005E7ADB">
        <w:t>’</w:t>
      </w:r>
      <w:r w:rsidR="004B10D6" w:rsidRPr="006075B8">
        <w:t>s case-law (see</w:t>
      </w:r>
      <w:r w:rsidR="00456819" w:rsidRPr="006075B8">
        <w:t xml:space="preserve">, </w:t>
      </w:r>
      <w:r w:rsidR="00937EAD" w:rsidRPr="006075B8">
        <w:t xml:space="preserve">among many other authorities, </w:t>
      </w:r>
      <w:r w:rsidR="00950FA9" w:rsidRPr="006075B8">
        <w:rPr>
          <w:i/>
          <w:szCs w:val="24"/>
          <w:lang w:eastAsia="en-US"/>
        </w:rPr>
        <w:t>Blečić v. </w:t>
      </w:r>
      <w:r w:rsidR="00CA6284" w:rsidRPr="006075B8">
        <w:rPr>
          <w:i/>
          <w:szCs w:val="24"/>
          <w:lang w:eastAsia="en-US"/>
        </w:rPr>
        <w:t xml:space="preserve">Croatia </w:t>
      </w:r>
      <w:r w:rsidR="00950FA9" w:rsidRPr="006075B8">
        <w:rPr>
          <w:szCs w:val="24"/>
          <w:lang w:eastAsia="en-US"/>
        </w:rPr>
        <w:t>[GC], no. </w:t>
      </w:r>
      <w:r w:rsidR="00CA6284" w:rsidRPr="006075B8">
        <w:rPr>
          <w:szCs w:val="24"/>
          <w:lang w:eastAsia="en-US"/>
        </w:rPr>
        <w:t>59532/00, §</w:t>
      </w:r>
      <w:r w:rsidR="00950FA9" w:rsidRPr="006075B8">
        <w:rPr>
          <w:szCs w:val="24"/>
          <w:lang w:eastAsia="en-US"/>
        </w:rPr>
        <w:t> </w:t>
      </w:r>
      <w:r w:rsidR="00CA6284" w:rsidRPr="006075B8">
        <w:rPr>
          <w:szCs w:val="24"/>
          <w:lang w:eastAsia="en-US"/>
        </w:rPr>
        <w:t xml:space="preserve">70, ECHR </w:t>
      </w:r>
      <w:r w:rsidR="00CA6284" w:rsidRPr="006075B8">
        <w:rPr>
          <w:lang w:eastAsia="en-US"/>
        </w:rPr>
        <w:t>2006</w:t>
      </w:r>
      <w:r w:rsidR="00CA6284" w:rsidRPr="006075B8">
        <w:rPr>
          <w:lang w:eastAsia="en-US"/>
        </w:rPr>
        <w:noBreakHyphen/>
        <w:t>III</w:t>
      </w:r>
      <w:r w:rsidR="00937EAD" w:rsidRPr="006075B8">
        <w:rPr>
          <w:lang w:eastAsia="en-US"/>
        </w:rPr>
        <w:t xml:space="preserve">) </w:t>
      </w:r>
      <w:r w:rsidR="004B10D6" w:rsidRPr="006075B8">
        <w:t>based on the general rule of international law embodied in Article 28 of the Vienna Convention on the Law of Treaties.</w:t>
      </w:r>
    </w:p>
    <w:p w:rsidR="004B10D6" w:rsidRPr="006075B8" w:rsidRDefault="004B10D6" w:rsidP="004B10D6">
      <w:pPr>
        <w:pStyle w:val="JuPara"/>
      </w:pPr>
      <w:r w:rsidRPr="006075B8">
        <w:fldChar w:fldCharType="begin"/>
      </w:r>
      <w:r w:rsidRPr="006075B8">
        <w:instrText xml:space="preserve"> SEQ level0 \*arabic </w:instrText>
      </w:r>
      <w:r w:rsidRPr="006075B8">
        <w:fldChar w:fldCharType="separate"/>
      </w:r>
      <w:r w:rsidR="00751640">
        <w:rPr>
          <w:noProof/>
        </w:rPr>
        <w:t>47</w:t>
      </w:r>
      <w:r w:rsidRPr="006075B8">
        <w:fldChar w:fldCharType="end"/>
      </w:r>
      <w:r w:rsidRPr="006075B8">
        <w:t>. </w:t>
      </w:r>
      <w:r w:rsidR="00950FA9" w:rsidRPr="006075B8">
        <w:t> </w:t>
      </w:r>
      <w:r w:rsidR="00456819" w:rsidRPr="006075B8">
        <w:t>However, t</w:t>
      </w:r>
      <w:r w:rsidRPr="006075B8">
        <w:t>he obligation to carry out an effective investigation into unlawful or suspicious deaths is well-established in the Court</w:t>
      </w:r>
      <w:r w:rsidR="005E7ADB">
        <w:t>’</w:t>
      </w:r>
      <w:r w:rsidRPr="006075B8">
        <w:t>s case</w:t>
      </w:r>
      <w:r w:rsidR="001649E8" w:rsidRPr="006075B8">
        <w:noBreakHyphen/>
      </w:r>
      <w:r w:rsidRPr="006075B8">
        <w:t xml:space="preserve">law relating to Article 2 of the Convention (for a full statement of </w:t>
      </w:r>
      <w:r w:rsidR="001B06D1" w:rsidRPr="006075B8">
        <w:t xml:space="preserve">the relevant </w:t>
      </w:r>
      <w:r w:rsidRPr="006075B8">
        <w:t xml:space="preserve">principles by the Grand Chamber, see </w:t>
      </w:r>
      <w:r w:rsidR="00950FA9" w:rsidRPr="006075B8">
        <w:rPr>
          <w:i/>
        </w:rPr>
        <w:t>Nachova and Others v. </w:t>
      </w:r>
      <w:r w:rsidRPr="006075B8">
        <w:rPr>
          <w:i/>
        </w:rPr>
        <w:t>Bulgaria</w:t>
      </w:r>
      <w:r w:rsidRPr="006075B8">
        <w:t xml:space="preserve"> [GC], nos. 43577/98 and 43579/98, §§ 110-113, ECHR 2005-VII). While it is normally death in suspicious circumstances that triggers the procedural obligation under Article 2, this obligation binds the State throughout the period in which the authorities can reasonably be expected to take measures with </w:t>
      </w:r>
      <w:r w:rsidR="001B06D1" w:rsidRPr="006075B8">
        <w:t xml:space="preserve">the </w:t>
      </w:r>
      <w:r w:rsidRPr="006075B8">
        <w:t xml:space="preserve">aim </w:t>
      </w:r>
      <w:r w:rsidR="001B06D1" w:rsidRPr="006075B8">
        <w:t xml:space="preserve">of elucidating </w:t>
      </w:r>
      <w:r w:rsidRPr="006075B8">
        <w:t xml:space="preserve">the circumstances of </w:t>
      </w:r>
      <w:r w:rsidR="001B06D1" w:rsidRPr="006075B8">
        <w:t xml:space="preserve">a </w:t>
      </w:r>
      <w:r w:rsidRPr="006075B8">
        <w:t xml:space="preserve">death and </w:t>
      </w:r>
      <w:r w:rsidR="001B06D1" w:rsidRPr="006075B8">
        <w:t xml:space="preserve">establishing </w:t>
      </w:r>
      <w:r w:rsidRPr="006075B8">
        <w:t xml:space="preserve">responsibility for it (see </w:t>
      </w:r>
      <w:r w:rsidR="00456819" w:rsidRPr="006075B8">
        <w:rPr>
          <w:i/>
          <w:lang w:eastAsia="en-US"/>
        </w:rPr>
        <w:t xml:space="preserve">Šilih v. </w:t>
      </w:r>
      <w:smartTag w:uri="urn:schemas-microsoft-com:office:smarttags" w:element="place">
        <w:smartTag w:uri="urn:schemas-microsoft-com:office:smarttags" w:element="country-region">
          <w:r w:rsidR="00456819" w:rsidRPr="006075B8">
            <w:rPr>
              <w:i/>
              <w:lang w:eastAsia="en-US"/>
            </w:rPr>
            <w:t>Slovenia</w:t>
          </w:r>
        </w:smartTag>
      </w:smartTag>
      <w:r w:rsidR="00456819" w:rsidRPr="006075B8">
        <w:rPr>
          <w:lang w:eastAsia="en-US"/>
        </w:rPr>
        <w:t xml:space="preserve"> [GC], no. 71463/01, § 157, 9</w:t>
      </w:r>
      <w:r w:rsidR="00950FA9" w:rsidRPr="006075B8">
        <w:rPr>
          <w:lang w:eastAsia="en-US"/>
        </w:rPr>
        <w:t> </w:t>
      </w:r>
      <w:r w:rsidR="00456819" w:rsidRPr="006075B8">
        <w:rPr>
          <w:snapToGrid w:val="0"/>
          <w:lang w:eastAsia="en-US"/>
        </w:rPr>
        <w:t xml:space="preserve">April 2009, </w:t>
      </w:r>
      <w:r w:rsidRPr="006075B8">
        <w:t xml:space="preserve">with further references).  The Court has consistently examined the question of procedural obligations under Article 2 separately from the question of compliance with the substantive obligation and, on several occasions, a breach of a procedural obligation has been alleged in the absence of any complaint as to the substantive aspect of this Convention provision (see </w:t>
      </w:r>
      <w:r w:rsidR="00950FA9" w:rsidRPr="006075B8">
        <w:rPr>
          <w:i/>
          <w:lang w:eastAsia="en-US"/>
        </w:rPr>
        <w:t>Calvelli and Ciglio v. </w:t>
      </w:r>
      <w:r w:rsidRPr="006075B8">
        <w:rPr>
          <w:i/>
          <w:lang w:eastAsia="en-US"/>
        </w:rPr>
        <w:t xml:space="preserve">Italy </w:t>
      </w:r>
      <w:r w:rsidR="00950FA9" w:rsidRPr="006075B8">
        <w:rPr>
          <w:lang w:eastAsia="en-US"/>
        </w:rPr>
        <w:t>[GC], no. 32967/96, §</w:t>
      </w:r>
      <w:r w:rsidRPr="006075B8">
        <w:t>§</w:t>
      </w:r>
      <w:r w:rsidR="00950FA9" w:rsidRPr="006075B8">
        <w:t> </w:t>
      </w:r>
      <w:r w:rsidRPr="006075B8">
        <w:t>41</w:t>
      </w:r>
      <w:r w:rsidR="001649E8" w:rsidRPr="006075B8">
        <w:noBreakHyphen/>
      </w:r>
      <w:r w:rsidRPr="006075B8">
        <w:t>57</w:t>
      </w:r>
      <w:r w:rsidRPr="006075B8">
        <w:rPr>
          <w:lang w:eastAsia="en-US"/>
        </w:rPr>
        <w:t>, ECHR</w:t>
      </w:r>
      <w:r w:rsidR="001649E8" w:rsidRPr="006075B8">
        <w:rPr>
          <w:lang w:eastAsia="en-US"/>
        </w:rPr>
        <w:t> </w:t>
      </w:r>
      <w:r w:rsidRPr="006075B8">
        <w:rPr>
          <w:lang w:eastAsia="en-US"/>
        </w:rPr>
        <w:t>2002</w:t>
      </w:r>
      <w:r w:rsidRPr="006075B8">
        <w:rPr>
          <w:lang w:eastAsia="en-US"/>
        </w:rPr>
        <w:noBreakHyphen/>
        <w:t>I</w:t>
      </w:r>
      <w:r w:rsidR="001B06D1" w:rsidRPr="006075B8">
        <w:t xml:space="preserve">, and </w:t>
      </w:r>
      <w:r w:rsidRPr="006075B8">
        <w:rPr>
          <w:rStyle w:val="ju-005fpara-002cleft-002cfirst-0020line-003a-0020-00200-0020cm--char"/>
          <w:i/>
          <w:iCs/>
        </w:rPr>
        <w:t>Byrzykowski v. Poland</w:t>
      </w:r>
      <w:r w:rsidRPr="006075B8">
        <w:t>, no. 11562/05, §§ 86 and 94</w:t>
      </w:r>
      <w:r w:rsidR="001649E8" w:rsidRPr="006075B8">
        <w:noBreakHyphen/>
      </w:r>
      <w:r w:rsidRPr="006075B8">
        <w:t>118, 27</w:t>
      </w:r>
      <w:r w:rsidR="00950FA9" w:rsidRPr="006075B8">
        <w:t> </w:t>
      </w:r>
      <w:r w:rsidRPr="006075B8">
        <w:t>June 2006</w:t>
      </w:r>
      <w:r w:rsidR="00456819" w:rsidRPr="006075B8">
        <w:t>). It is clear from the Court</w:t>
      </w:r>
      <w:r w:rsidR="005E7ADB">
        <w:t>’</w:t>
      </w:r>
      <w:r w:rsidRPr="006075B8">
        <w:t>s case-law</w:t>
      </w:r>
      <w:r w:rsidR="00456819" w:rsidRPr="006075B8">
        <w:t xml:space="preserve"> that</w:t>
      </w:r>
      <w:r w:rsidRPr="006075B8">
        <w:t xml:space="preserve"> the procedural obligation to carry out an effective investigation under Article 2 has evolved into a separate and autonomous duty capable of binding the State even when the death took place before the critical date (see </w:t>
      </w:r>
      <w:r w:rsidRPr="006075B8">
        <w:rPr>
          <w:i/>
        </w:rPr>
        <w:t>Šilih</w:t>
      </w:r>
      <w:r w:rsidRPr="006075B8">
        <w:t>, cited above, §§</w:t>
      </w:r>
      <w:r w:rsidR="00950FA9" w:rsidRPr="006075B8">
        <w:t> 159</w:t>
      </w:r>
      <w:r w:rsidR="00950FA9" w:rsidRPr="006075B8">
        <w:noBreakHyphen/>
      </w:r>
      <w:r w:rsidRPr="006075B8">
        <w:t>160).</w:t>
      </w:r>
    </w:p>
    <w:p w:rsidR="00E3168F" w:rsidRPr="006075B8" w:rsidRDefault="00E3168F" w:rsidP="004B10D6">
      <w:pPr>
        <w:pStyle w:val="JuPara"/>
      </w:pPr>
      <w:r w:rsidRPr="006075B8">
        <w:fldChar w:fldCharType="begin"/>
      </w:r>
      <w:r w:rsidRPr="006075B8">
        <w:instrText xml:space="preserve"> SEQ level0 \*arabic </w:instrText>
      </w:r>
      <w:r w:rsidRPr="006075B8">
        <w:fldChar w:fldCharType="separate"/>
      </w:r>
      <w:r w:rsidR="00751640">
        <w:rPr>
          <w:noProof/>
        </w:rPr>
        <w:t>48</w:t>
      </w:r>
      <w:r w:rsidRPr="006075B8">
        <w:fldChar w:fldCharType="end"/>
      </w:r>
      <w:r w:rsidRPr="006075B8">
        <w:t>.  </w:t>
      </w:r>
      <w:r w:rsidRPr="006075B8">
        <w:rPr>
          <w:rStyle w:val="sb8d990e2"/>
        </w:rPr>
        <w:t>Given the principle of legal certainty, the Court</w:t>
      </w:r>
      <w:r w:rsidR="005E7ADB">
        <w:rPr>
          <w:rStyle w:val="sb8d990e2"/>
        </w:rPr>
        <w:t>’</w:t>
      </w:r>
      <w:r w:rsidRPr="006075B8">
        <w:rPr>
          <w:rStyle w:val="sb8d990e2"/>
        </w:rPr>
        <w:t>s temporal jurisdiction in this regard is nevertheless not open-ended (ibid, §</w:t>
      </w:r>
      <w:r w:rsidR="00950FA9" w:rsidRPr="006075B8">
        <w:rPr>
          <w:rStyle w:val="sb8d990e2"/>
        </w:rPr>
        <w:t> </w:t>
      </w:r>
      <w:r w:rsidRPr="006075B8">
        <w:rPr>
          <w:rStyle w:val="sb8d990e2"/>
        </w:rPr>
        <w:t>161). Where the death occurred before ratification, only procedural acts or omissions occurring after that date can fall within the Court</w:t>
      </w:r>
      <w:r w:rsidR="005E7ADB">
        <w:rPr>
          <w:rStyle w:val="sb8d990e2"/>
        </w:rPr>
        <w:t>’</w:t>
      </w:r>
      <w:r w:rsidRPr="006075B8">
        <w:rPr>
          <w:rStyle w:val="sb8d990e2"/>
        </w:rPr>
        <w:t xml:space="preserve">s temporal jurisdiction (ibid, § 162). Furthermore, there must be a genuine connection between the death and the entry into force of the Convention in respect of that State for the procedural obligation to come into effect. In practice, this means that a significant proportion of the procedural steps required by this provision have been, or should have been, carried out after ratification. The Court has also held that circumstances may emerge which cast doubt on the effectiveness of the original investigation and an obligation may arise for further investigations to be pursued (see </w:t>
      </w:r>
      <w:r w:rsidR="00950FA9" w:rsidRPr="006075B8">
        <w:rPr>
          <w:rStyle w:val="s6b621b36"/>
          <w:i/>
        </w:rPr>
        <w:t>Hackett v. </w:t>
      </w:r>
      <w:r w:rsidRPr="006075B8">
        <w:rPr>
          <w:rStyle w:val="s6b621b36"/>
          <w:i/>
        </w:rPr>
        <w:t>the United Kingdom</w:t>
      </w:r>
      <w:r w:rsidR="001649E8" w:rsidRPr="006075B8">
        <w:rPr>
          <w:rStyle w:val="sb8d990e2"/>
        </w:rPr>
        <w:t xml:space="preserve"> (dec.), no. </w:t>
      </w:r>
      <w:r w:rsidRPr="006075B8">
        <w:rPr>
          <w:rStyle w:val="sb8d990e2"/>
        </w:rPr>
        <w:t>34698/04, 10</w:t>
      </w:r>
      <w:r w:rsidR="001649E8" w:rsidRPr="006075B8">
        <w:rPr>
          <w:rStyle w:val="sb8d990e2"/>
        </w:rPr>
        <w:t> </w:t>
      </w:r>
      <w:r w:rsidRPr="006075B8">
        <w:rPr>
          <w:rStyle w:val="sb8d990e2"/>
        </w:rPr>
        <w:t>May 2005).</w:t>
      </w:r>
    </w:p>
    <w:p w:rsidR="00BE046C" w:rsidRPr="006075B8" w:rsidRDefault="00E3168F" w:rsidP="004B10D6">
      <w:pPr>
        <w:pStyle w:val="JuPara"/>
        <w:rPr>
          <w:i/>
          <w:lang w:eastAsia="en-US"/>
        </w:rPr>
      </w:pPr>
      <w:r w:rsidRPr="006075B8">
        <w:rPr>
          <w:lang w:eastAsia="en-US"/>
        </w:rPr>
        <w:fldChar w:fldCharType="begin"/>
      </w:r>
      <w:r w:rsidRPr="006075B8">
        <w:rPr>
          <w:lang w:eastAsia="en-US"/>
        </w:rPr>
        <w:instrText xml:space="preserve"> SEQ level0 \*arabic </w:instrText>
      </w:r>
      <w:r w:rsidRPr="006075B8">
        <w:rPr>
          <w:lang w:eastAsia="en-US"/>
        </w:rPr>
        <w:fldChar w:fldCharType="separate"/>
      </w:r>
      <w:r w:rsidR="00751640">
        <w:rPr>
          <w:noProof/>
          <w:lang w:eastAsia="en-US"/>
        </w:rPr>
        <w:t>49</w:t>
      </w:r>
      <w:r w:rsidRPr="006075B8">
        <w:rPr>
          <w:lang w:eastAsia="en-US"/>
        </w:rPr>
        <w:fldChar w:fldCharType="end"/>
      </w:r>
      <w:r w:rsidRPr="006075B8">
        <w:rPr>
          <w:lang w:eastAsia="en-US"/>
        </w:rPr>
        <w:t>.  </w:t>
      </w:r>
      <w:r w:rsidR="004B10D6" w:rsidRPr="006075B8">
        <w:rPr>
          <w:lang w:eastAsia="en-US"/>
        </w:rPr>
        <w:t>The Court has examined a number of cases in which the death of an individual occurred before the date of ratification of the Convention by the respondent State but the Court nevertheless had temporal jurisdiction to examine the respondent State</w:t>
      </w:r>
      <w:r w:rsidR="005E7ADB">
        <w:rPr>
          <w:lang w:eastAsia="en-US"/>
        </w:rPr>
        <w:t>’</w:t>
      </w:r>
      <w:r w:rsidR="004B10D6" w:rsidRPr="006075B8">
        <w:rPr>
          <w:lang w:eastAsia="en-US"/>
        </w:rPr>
        <w:t xml:space="preserve">s compliance with the procedural obligation flowing from Article 2 of the Convention owing to its “detachable” nature. Thus, in </w:t>
      </w:r>
      <w:r w:rsidR="004B10D6" w:rsidRPr="006075B8">
        <w:rPr>
          <w:i/>
          <w:lang w:eastAsia="en-US"/>
        </w:rPr>
        <w:t>Šilih</w:t>
      </w:r>
      <w:r w:rsidR="004B10D6" w:rsidRPr="006075B8">
        <w:rPr>
          <w:lang w:eastAsia="en-US"/>
        </w:rPr>
        <w:t xml:space="preserve">, </w:t>
      </w:r>
      <w:r w:rsidR="004B10D6" w:rsidRPr="006075B8">
        <w:t>the death of the applicants</w:t>
      </w:r>
      <w:r w:rsidR="005E7ADB">
        <w:t>’</w:t>
      </w:r>
      <w:r w:rsidR="004B10D6" w:rsidRPr="006075B8">
        <w:t xml:space="preserve"> son occurred a little more than a year before the entry into force of the Convention in respect of Slovenia, while, with the exception of the preliminary investigation, all the criminal and civil proceedings were initiated and conducted after that date (see </w:t>
      </w:r>
      <w:r w:rsidR="004B10D6" w:rsidRPr="006075B8">
        <w:rPr>
          <w:i/>
        </w:rPr>
        <w:t>Šilih</w:t>
      </w:r>
      <w:r w:rsidR="004B10D6" w:rsidRPr="006075B8">
        <w:t>, cited above, §</w:t>
      </w:r>
      <w:r w:rsidR="00950FA9" w:rsidRPr="006075B8">
        <w:t> </w:t>
      </w:r>
      <w:r w:rsidR="004B10D6" w:rsidRPr="006075B8">
        <w:t xml:space="preserve">165). </w:t>
      </w:r>
      <w:r w:rsidR="004B10D6" w:rsidRPr="006075B8">
        <w:rPr>
          <w:snapToGrid w:val="0"/>
          <w:lang w:eastAsia="en-US"/>
        </w:rPr>
        <w:t xml:space="preserve">Similarly, the fact that all </w:t>
      </w:r>
      <w:r w:rsidR="004B10D6" w:rsidRPr="006075B8">
        <w:t xml:space="preserve">the major events of </w:t>
      </w:r>
      <w:r w:rsidR="001B4AA2" w:rsidRPr="006075B8">
        <w:t xml:space="preserve">an </w:t>
      </w:r>
      <w:r w:rsidR="004B10D6" w:rsidRPr="006075B8">
        <w:t>investigation occurred after the ratification date was sufficient to establish the Court</w:t>
      </w:r>
      <w:r w:rsidR="005E7ADB">
        <w:t>’</w:t>
      </w:r>
      <w:r w:rsidR="004B10D6" w:rsidRPr="006075B8">
        <w:t>s temporal jurisdiction, even though the applicant</w:t>
      </w:r>
      <w:r w:rsidR="005E7ADB">
        <w:t>’</w:t>
      </w:r>
      <w:r w:rsidR="004B10D6" w:rsidRPr="006075B8">
        <w:t xml:space="preserve">s son had died four years and three months before the entry into force of the Convention in respect of Ukraine (see </w:t>
      </w:r>
      <w:r w:rsidR="004B10D6" w:rsidRPr="006075B8">
        <w:rPr>
          <w:i/>
          <w:lang w:eastAsia="en-US"/>
        </w:rPr>
        <w:t>Lyubov Efimenko</w:t>
      </w:r>
      <w:r w:rsidR="001B4AA2" w:rsidRPr="006075B8">
        <w:rPr>
          <w:i/>
          <w:lang w:eastAsia="en-US"/>
        </w:rPr>
        <w:t xml:space="preserve"> v. </w:t>
      </w:r>
      <w:smartTag w:uri="urn:schemas-microsoft-com:office:smarttags" w:element="place">
        <w:smartTag w:uri="urn:schemas-microsoft-com:office:smarttags" w:element="country-region">
          <w:r w:rsidR="001B4AA2" w:rsidRPr="006075B8">
            <w:rPr>
              <w:i/>
              <w:lang w:eastAsia="en-US"/>
            </w:rPr>
            <w:t>Ukraine</w:t>
          </w:r>
        </w:smartTag>
      </w:smartTag>
      <w:r w:rsidR="001B4AA2" w:rsidRPr="006075B8">
        <w:rPr>
          <w:lang w:eastAsia="en-US"/>
        </w:rPr>
        <w:t>, no. 75726/01</w:t>
      </w:r>
      <w:r w:rsidR="004B10D6" w:rsidRPr="006075B8">
        <w:rPr>
          <w:snapToGrid w:val="0"/>
          <w:szCs w:val="24"/>
          <w:lang w:eastAsia="en-US"/>
        </w:rPr>
        <w:t>, §</w:t>
      </w:r>
      <w:r w:rsidR="001649E8" w:rsidRPr="006075B8">
        <w:rPr>
          <w:snapToGrid w:val="0"/>
          <w:szCs w:val="24"/>
          <w:lang w:eastAsia="en-US"/>
        </w:rPr>
        <w:t> </w:t>
      </w:r>
      <w:r w:rsidR="004B10D6" w:rsidRPr="006075B8">
        <w:rPr>
          <w:snapToGrid w:val="0"/>
          <w:szCs w:val="24"/>
          <w:lang w:eastAsia="en-US"/>
        </w:rPr>
        <w:t>65</w:t>
      </w:r>
      <w:r w:rsidR="001B4AA2" w:rsidRPr="006075B8">
        <w:rPr>
          <w:snapToGrid w:val="0"/>
          <w:szCs w:val="24"/>
          <w:lang w:eastAsia="en-US"/>
        </w:rPr>
        <w:t xml:space="preserve">, </w:t>
      </w:r>
      <w:r w:rsidR="001B4AA2" w:rsidRPr="006075B8">
        <w:rPr>
          <w:snapToGrid w:val="0"/>
          <w:lang w:eastAsia="en-US"/>
        </w:rPr>
        <w:t>2</w:t>
      </w:r>
      <w:r w:rsidR="001B4AA2" w:rsidRPr="006075B8">
        <w:rPr>
          <w:lang w:eastAsia="en-US"/>
        </w:rPr>
        <w:t>5</w:t>
      </w:r>
      <w:r w:rsidR="001649E8" w:rsidRPr="006075B8">
        <w:rPr>
          <w:snapToGrid w:val="0"/>
          <w:lang w:eastAsia="en-US"/>
        </w:rPr>
        <w:t> </w:t>
      </w:r>
      <w:r w:rsidR="001B4AA2" w:rsidRPr="006075B8">
        <w:rPr>
          <w:snapToGrid w:val="0"/>
          <w:lang w:eastAsia="en-US"/>
        </w:rPr>
        <w:t>November 2010</w:t>
      </w:r>
      <w:r w:rsidR="004B10D6" w:rsidRPr="006075B8">
        <w:rPr>
          <w:snapToGrid w:val="0"/>
          <w:szCs w:val="24"/>
          <w:lang w:eastAsia="en-US"/>
        </w:rPr>
        <w:t xml:space="preserve">). </w:t>
      </w:r>
      <w:r w:rsidR="00372F77" w:rsidRPr="006075B8">
        <w:rPr>
          <w:snapToGrid w:val="0"/>
          <w:szCs w:val="24"/>
          <w:lang w:eastAsia="en-US"/>
        </w:rPr>
        <w:t xml:space="preserve">In the case of </w:t>
      </w:r>
      <w:r w:rsidR="00372F77" w:rsidRPr="006075B8">
        <w:rPr>
          <w:i/>
          <w:lang w:eastAsia="en-US"/>
        </w:rPr>
        <w:t xml:space="preserve">Mladenović </w:t>
      </w:r>
      <w:r w:rsidR="00372F77" w:rsidRPr="006075B8">
        <w:rPr>
          <w:i/>
          <w:szCs w:val="22"/>
          <w:lang w:eastAsia="en-US"/>
        </w:rPr>
        <w:t>v. Serbia</w:t>
      </w:r>
      <w:r w:rsidR="00372F77" w:rsidRPr="006075B8">
        <w:rPr>
          <w:szCs w:val="22"/>
          <w:lang w:eastAsia="en-US"/>
        </w:rPr>
        <w:t xml:space="preserve"> </w:t>
      </w:r>
      <w:r w:rsidR="001B4AA2" w:rsidRPr="006075B8">
        <w:rPr>
          <w:szCs w:val="22"/>
          <w:lang w:eastAsia="en-US"/>
        </w:rPr>
        <w:t>(</w:t>
      </w:r>
      <w:r w:rsidR="00372F77" w:rsidRPr="006075B8">
        <w:rPr>
          <w:szCs w:val="22"/>
          <w:lang w:eastAsia="en-US"/>
        </w:rPr>
        <w:t>no. 1099/08</w:t>
      </w:r>
      <w:r w:rsidR="001649E8" w:rsidRPr="006075B8">
        <w:rPr>
          <w:snapToGrid w:val="0"/>
          <w:szCs w:val="24"/>
          <w:lang w:eastAsia="en-US"/>
        </w:rPr>
        <w:t>, §§ </w:t>
      </w:r>
      <w:r w:rsidR="00372F77" w:rsidRPr="006075B8">
        <w:rPr>
          <w:snapToGrid w:val="0"/>
          <w:szCs w:val="24"/>
          <w:lang w:eastAsia="en-US"/>
        </w:rPr>
        <w:t>36-40, 22 May 2012</w:t>
      </w:r>
      <w:r w:rsidR="001B4AA2" w:rsidRPr="006075B8">
        <w:rPr>
          <w:snapToGrid w:val="0"/>
          <w:szCs w:val="24"/>
          <w:lang w:eastAsia="en-US"/>
        </w:rPr>
        <w:t>)</w:t>
      </w:r>
      <w:r w:rsidR="00456819" w:rsidRPr="006075B8">
        <w:rPr>
          <w:snapToGrid w:val="0"/>
          <w:szCs w:val="24"/>
          <w:lang w:eastAsia="en-US"/>
        </w:rPr>
        <w:t>,</w:t>
      </w:r>
      <w:r w:rsidR="00372F77" w:rsidRPr="006075B8">
        <w:rPr>
          <w:snapToGrid w:val="0"/>
          <w:szCs w:val="24"/>
          <w:lang w:eastAsia="en-US"/>
        </w:rPr>
        <w:t xml:space="preserve"> thirteen years elapsed between the death of the applicant</w:t>
      </w:r>
      <w:r w:rsidR="005E7ADB">
        <w:rPr>
          <w:snapToGrid w:val="0"/>
          <w:szCs w:val="24"/>
          <w:lang w:eastAsia="en-US"/>
        </w:rPr>
        <w:t>’</w:t>
      </w:r>
      <w:r w:rsidR="00372F77" w:rsidRPr="006075B8">
        <w:rPr>
          <w:snapToGrid w:val="0"/>
          <w:szCs w:val="24"/>
          <w:lang w:eastAsia="en-US"/>
        </w:rPr>
        <w:t>s son and the ratification of the Convention by Ser</w:t>
      </w:r>
      <w:r w:rsidR="00456819" w:rsidRPr="006075B8">
        <w:rPr>
          <w:snapToGrid w:val="0"/>
          <w:szCs w:val="24"/>
          <w:lang w:eastAsia="en-US"/>
        </w:rPr>
        <w:t xml:space="preserve">bia, while eight years after the date of that </w:t>
      </w:r>
      <w:r w:rsidR="00372F77" w:rsidRPr="006075B8">
        <w:rPr>
          <w:snapToGrid w:val="0"/>
          <w:szCs w:val="24"/>
          <w:lang w:eastAsia="en-US"/>
        </w:rPr>
        <w:t>ratification the criminal case was still pending before the domestic courts.</w:t>
      </w:r>
      <w:r w:rsidR="00B11E71" w:rsidRPr="006075B8">
        <w:rPr>
          <w:snapToGrid w:val="0"/>
          <w:szCs w:val="24"/>
          <w:lang w:eastAsia="en-US"/>
        </w:rPr>
        <w:t xml:space="preserve"> </w:t>
      </w:r>
      <w:r w:rsidR="00604CA9" w:rsidRPr="006075B8">
        <w:rPr>
          <w:snapToGrid w:val="0"/>
          <w:szCs w:val="24"/>
          <w:lang w:eastAsia="en-US"/>
        </w:rPr>
        <w:t xml:space="preserve">Similarly, albeit in a different factual context, namely that of violent events </w:t>
      </w:r>
      <w:r w:rsidR="00604CA9" w:rsidRPr="006075B8">
        <w:t>during the Romanian revolution in December 1989, the Court found in a series of cases that it had jurisdiction on account of the fact that on the date of the ratification of the Convention by Romania – 20 June 1994 – the proceedings were still pending before the prosecutor</w:t>
      </w:r>
      <w:r w:rsidR="005E7ADB">
        <w:t>’</w:t>
      </w:r>
      <w:r w:rsidR="00604CA9" w:rsidRPr="006075B8">
        <w:t xml:space="preserve">s office (see </w:t>
      </w:r>
      <w:r w:rsidR="00604CA9" w:rsidRPr="006075B8">
        <w:rPr>
          <w:i/>
          <w:lang w:eastAsia="en-US"/>
        </w:rPr>
        <w:t>Association 21 December 1989 and Others v. Romania</w:t>
      </w:r>
      <w:r w:rsidR="00604CA9" w:rsidRPr="006075B8">
        <w:rPr>
          <w:lang w:eastAsia="en-US"/>
        </w:rPr>
        <w:t>, nos. 33810/07 and 18817/08</w:t>
      </w:r>
      <w:r w:rsidR="00604CA9" w:rsidRPr="006075B8">
        <w:rPr>
          <w:snapToGrid w:val="0"/>
          <w:szCs w:val="24"/>
          <w:lang w:eastAsia="en-US"/>
        </w:rPr>
        <w:t>, § 117,</w:t>
      </w:r>
      <w:r w:rsidR="00604CA9" w:rsidRPr="006075B8">
        <w:rPr>
          <w:snapToGrid w:val="0"/>
          <w:lang w:eastAsia="en-US"/>
        </w:rPr>
        <w:t xml:space="preserve"> 24 May 2011;</w:t>
      </w:r>
      <w:r w:rsidR="00604CA9" w:rsidRPr="006075B8">
        <w:rPr>
          <w:snapToGrid w:val="0"/>
          <w:szCs w:val="24"/>
          <w:lang w:eastAsia="en-US"/>
        </w:rPr>
        <w:t xml:space="preserve"> </w:t>
      </w:r>
      <w:r w:rsidR="00604CA9" w:rsidRPr="006075B8">
        <w:rPr>
          <w:i/>
          <w:lang w:eastAsia="en-US"/>
        </w:rPr>
        <w:t>Şandru and Others v. Romania</w:t>
      </w:r>
      <w:r w:rsidR="00604CA9" w:rsidRPr="006075B8">
        <w:rPr>
          <w:lang w:eastAsia="en-US"/>
        </w:rPr>
        <w:t xml:space="preserve">, no. 22465/03, </w:t>
      </w:r>
      <w:r w:rsidR="00604CA9" w:rsidRPr="006075B8">
        <w:rPr>
          <w:snapToGrid w:val="0"/>
          <w:lang w:eastAsia="en-US"/>
        </w:rPr>
        <w:t xml:space="preserve">§ 58, 8 December 2009; </w:t>
      </w:r>
      <w:r w:rsidR="00604CA9" w:rsidRPr="006075B8">
        <w:rPr>
          <w:i/>
          <w:lang w:eastAsia="en-US"/>
        </w:rPr>
        <w:t>Agache and Others v. Romania</w:t>
      </w:r>
      <w:r w:rsidR="00604CA9" w:rsidRPr="006075B8">
        <w:rPr>
          <w:lang w:eastAsia="en-US"/>
        </w:rPr>
        <w:t xml:space="preserve">, no. 2712/02, </w:t>
      </w:r>
      <w:r w:rsidR="00604CA9" w:rsidRPr="006075B8">
        <w:rPr>
          <w:snapToGrid w:val="0"/>
          <w:lang w:eastAsia="en-US"/>
        </w:rPr>
        <w:t xml:space="preserve">§ 71, </w:t>
      </w:r>
      <w:r w:rsidR="00604CA9" w:rsidRPr="006075B8">
        <w:rPr>
          <w:lang w:eastAsia="en-US"/>
        </w:rPr>
        <w:t>20</w:t>
      </w:r>
      <w:r w:rsidR="00604CA9" w:rsidRPr="006075B8">
        <w:rPr>
          <w:snapToGrid w:val="0"/>
          <w:lang w:eastAsia="en-US"/>
        </w:rPr>
        <w:t xml:space="preserve"> October 2009; and</w:t>
      </w:r>
      <w:r w:rsidR="00604CA9" w:rsidRPr="006075B8">
        <w:rPr>
          <w:i/>
          <w:lang w:eastAsia="en-US"/>
        </w:rPr>
        <w:t xml:space="preserve"> Lăpuşan and Others v. Romania</w:t>
      </w:r>
      <w:r w:rsidR="00604CA9" w:rsidRPr="006075B8">
        <w:rPr>
          <w:lang w:eastAsia="en-US"/>
        </w:rPr>
        <w:t>, nos. 29007/06, etc.</w:t>
      </w:r>
      <w:r w:rsidR="001649E8" w:rsidRPr="006075B8">
        <w:rPr>
          <w:snapToGrid w:val="0"/>
          <w:lang w:eastAsia="en-US"/>
        </w:rPr>
        <w:t>, § 59, 8 </w:t>
      </w:r>
      <w:r w:rsidR="00604CA9" w:rsidRPr="006075B8">
        <w:rPr>
          <w:snapToGrid w:val="0"/>
          <w:lang w:eastAsia="en-US"/>
        </w:rPr>
        <w:t>March 2011).</w:t>
      </w:r>
    </w:p>
    <w:p w:rsidR="00B11E71" w:rsidRPr="006075B8" w:rsidRDefault="004B10D6" w:rsidP="004B10D6">
      <w:pPr>
        <w:pStyle w:val="JuPara"/>
        <w:rPr>
          <w:snapToGrid w:val="0"/>
          <w:lang w:eastAsia="en-US"/>
        </w:rPr>
      </w:pPr>
      <w:r w:rsidRPr="006075B8">
        <w:rPr>
          <w:snapToGrid w:val="0"/>
          <w:lang w:eastAsia="en-US"/>
        </w:rPr>
        <w:fldChar w:fldCharType="begin"/>
      </w:r>
      <w:r w:rsidRPr="006075B8">
        <w:rPr>
          <w:snapToGrid w:val="0"/>
          <w:lang w:eastAsia="en-US"/>
        </w:rPr>
        <w:instrText xml:space="preserve"> SEQ level0 \*arabic </w:instrText>
      </w:r>
      <w:r w:rsidRPr="006075B8">
        <w:rPr>
          <w:snapToGrid w:val="0"/>
          <w:lang w:eastAsia="en-US"/>
        </w:rPr>
        <w:fldChar w:fldCharType="separate"/>
      </w:r>
      <w:r w:rsidR="00751640">
        <w:rPr>
          <w:noProof/>
          <w:snapToGrid w:val="0"/>
          <w:lang w:eastAsia="en-US"/>
        </w:rPr>
        <w:t>50</w:t>
      </w:r>
      <w:r w:rsidRPr="006075B8">
        <w:rPr>
          <w:snapToGrid w:val="0"/>
          <w:lang w:eastAsia="en-US"/>
        </w:rPr>
        <w:fldChar w:fldCharType="end"/>
      </w:r>
      <w:r w:rsidRPr="006075B8">
        <w:rPr>
          <w:snapToGrid w:val="0"/>
          <w:lang w:eastAsia="en-US"/>
        </w:rPr>
        <w:t>.  </w:t>
      </w:r>
      <w:r w:rsidR="00604CA9" w:rsidRPr="006075B8">
        <w:rPr>
          <w:snapToGrid w:val="0"/>
          <w:lang w:eastAsia="en-US"/>
        </w:rPr>
        <w:t xml:space="preserve">Whilst the cases against Romania referred to above differ from the present one and from the other cases referred to above as the their factual context, their common feature was </w:t>
      </w:r>
      <w:r w:rsidRPr="006075B8">
        <w:rPr>
          <w:snapToGrid w:val="0"/>
          <w:lang w:eastAsia="en-US"/>
        </w:rPr>
        <w:t>the fact that a significant proportion of the steps required for ensuring compliance with the procedural obligation under Article 2 of the Convention was carried out after the ratification date.</w:t>
      </w:r>
    </w:p>
    <w:p w:rsidR="00B11E71" w:rsidRPr="006075B8" w:rsidRDefault="004B10D6" w:rsidP="004B10D6">
      <w:pPr>
        <w:pStyle w:val="JuPara"/>
        <w:rPr>
          <w:lang w:eastAsia="en-US"/>
        </w:rPr>
      </w:pPr>
      <w:r w:rsidRPr="006075B8">
        <w:rPr>
          <w:lang w:eastAsia="en-US"/>
        </w:rPr>
        <w:fldChar w:fldCharType="begin"/>
      </w:r>
      <w:r w:rsidRPr="006075B8">
        <w:rPr>
          <w:lang w:eastAsia="en-US"/>
        </w:rPr>
        <w:instrText xml:space="preserve"> SEQ level0 \*arabic </w:instrText>
      </w:r>
      <w:r w:rsidRPr="006075B8">
        <w:rPr>
          <w:lang w:eastAsia="en-US"/>
        </w:rPr>
        <w:fldChar w:fldCharType="separate"/>
      </w:r>
      <w:r w:rsidR="00751640">
        <w:rPr>
          <w:noProof/>
          <w:lang w:eastAsia="en-US"/>
        </w:rPr>
        <w:t>51</w:t>
      </w:r>
      <w:r w:rsidRPr="006075B8">
        <w:rPr>
          <w:lang w:eastAsia="en-US"/>
        </w:rPr>
        <w:fldChar w:fldCharType="end"/>
      </w:r>
      <w:r w:rsidRPr="006075B8">
        <w:rPr>
          <w:lang w:eastAsia="en-US"/>
        </w:rPr>
        <w:t xml:space="preserve">.  Turning to the </w:t>
      </w:r>
      <w:r w:rsidR="008D39DB" w:rsidRPr="006075B8">
        <w:rPr>
          <w:lang w:eastAsia="en-US"/>
        </w:rPr>
        <w:t xml:space="preserve">facts of </w:t>
      </w:r>
      <w:r w:rsidRPr="006075B8">
        <w:rPr>
          <w:lang w:eastAsia="en-US"/>
        </w:rPr>
        <w:t>the instant case,</w:t>
      </w:r>
      <w:r w:rsidR="001A6B62" w:rsidRPr="006075B8">
        <w:rPr>
          <w:lang w:eastAsia="en-US"/>
        </w:rPr>
        <w:t xml:space="preserve"> the Court</w:t>
      </w:r>
      <w:r w:rsidR="00537684" w:rsidRPr="006075B8">
        <w:rPr>
          <w:lang w:eastAsia="en-US"/>
        </w:rPr>
        <w:t xml:space="preserve"> first observes that </w:t>
      </w:r>
      <w:r w:rsidR="00B51249" w:rsidRPr="006075B8">
        <w:rPr>
          <w:lang w:eastAsia="en-US"/>
        </w:rPr>
        <w:t>the applicant</w:t>
      </w:r>
      <w:r w:rsidR="005E7ADB">
        <w:rPr>
          <w:lang w:eastAsia="en-US"/>
        </w:rPr>
        <w:t>’</w:t>
      </w:r>
      <w:r w:rsidR="00B51249" w:rsidRPr="006075B8">
        <w:rPr>
          <w:lang w:eastAsia="en-US"/>
        </w:rPr>
        <w:t xml:space="preserve">s son died </w:t>
      </w:r>
      <w:r w:rsidR="00BE4FF1" w:rsidRPr="006075B8">
        <w:rPr>
          <w:lang w:eastAsia="en-US"/>
        </w:rPr>
        <w:t xml:space="preserve">as a result of injuries suffered </w:t>
      </w:r>
      <w:r w:rsidR="001B4AA2" w:rsidRPr="006075B8">
        <w:rPr>
          <w:lang w:eastAsia="en-US"/>
        </w:rPr>
        <w:t xml:space="preserve">at </w:t>
      </w:r>
      <w:r w:rsidR="00BE4FF1" w:rsidRPr="006075B8">
        <w:rPr>
          <w:lang w:eastAsia="en-US"/>
        </w:rPr>
        <w:t xml:space="preserve">the hands of the </w:t>
      </w:r>
      <w:r w:rsidR="00604CA9" w:rsidRPr="006075B8">
        <w:rPr>
          <w:lang w:eastAsia="en-US"/>
        </w:rPr>
        <w:t xml:space="preserve">police </w:t>
      </w:r>
      <w:r w:rsidR="00B51249" w:rsidRPr="006075B8">
        <w:rPr>
          <w:lang w:eastAsia="en-US"/>
        </w:rPr>
        <w:t xml:space="preserve">in May 1983. </w:t>
      </w:r>
      <w:r w:rsidR="00372F77" w:rsidRPr="006075B8">
        <w:rPr>
          <w:lang w:eastAsia="en-US"/>
        </w:rPr>
        <w:t>I</w:t>
      </w:r>
      <w:r w:rsidR="00BE046C" w:rsidRPr="006075B8">
        <w:rPr>
          <w:lang w:eastAsia="en-US"/>
        </w:rPr>
        <w:t xml:space="preserve">t should not be overlooked that the Polish legislator clearly intended to make it possible to determine criminal liability for serious crimes committed under the </w:t>
      </w:r>
      <w:r w:rsidR="009D3A9B" w:rsidRPr="006075B8">
        <w:rPr>
          <w:lang w:eastAsia="en-US"/>
        </w:rPr>
        <w:t>totalitarian</w:t>
      </w:r>
      <w:r w:rsidR="00BE046C" w:rsidRPr="006075B8">
        <w:rPr>
          <w:lang w:eastAsia="en-US"/>
        </w:rPr>
        <w:t xml:space="preserve"> regime and that </w:t>
      </w:r>
      <w:r w:rsidR="001B4AA2" w:rsidRPr="006075B8">
        <w:rPr>
          <w:lang w:eastAsia="en-US"/>
        </w:rPr>
        <w:t xml:space="preserve">legal </w:t>
      </w:r>
      <w:r w:rsidR="00BC0746" w:rsidRPr="006075B8">
        <w:rPr>
          <w:lang w:eastAsia="en-US"/>
        </w:rPr>
        <w:t>provisions designed specifically for the purpose of prolonging prescription periods in respect of such crimes were adopted after the regime c</w:t>
      </w:r>
      <w:r w:rsidR="00604CA9" w:rsidRPr="006075B8">
        <w:rPr>
          <w:lang w:eastAsia="en-US"/>
        </w:rPr>
        <w:t>ollapsed in 1989</w:t>
      </w:r>
      <w:r w:rsidR="00E3168F" w:rsidRPr="006075B8">
        <w:rPr>
          <w:lang w:eastAsia="en-US"/>
        </w:rPr>
        <w:t xml:space="preserve"> (see paragraph</w:t>
      </w:r>
      <w:r w:rsidR="00BC0746" w:rsidRPr="006075B8">
        <w:rPr>
          <w:lang w:eastAsia="en-US"/>
        </w:rPr>
        <w:t xml:space="preserve"> </w:t>
      </w:r>
      <w:r w:rsidR="00E3168F" w:rsidRPr="006075B8">
        <w:rPr>
          <w:lang w:eastAsia="en-US"/>
        </w:rPr>
        <w:t>32</w:t>
      </w:r>
      <w:r w:rsidR="00BC0746" w:rsidRPr="006075B8">
        <w:rPr>
          <w:lang w:eastAsia="en-US"/>
        </w:rPr>
        <w:t xml:space="preserve"> above).</w:t>
      </w:r>
    </w:p>
    <w:p w:rsidR="00976D90" w:rsidRDefault="00BC0746" w:rsidP="004B10D6">
      <w:pPr>
        <w:pStyle w:val="JuPara"/>
        <w:rPr>
          <w:lang w:eastAsia="en-US"/>
        </w:rPr>
      </w:pPr>
      <w:r w:rsidRPr="006075B8">
        <w:rPr>
          <w:lang w:eastAsia="en-US"/>
        </w:rPr>
        <w:fldChar w:fldCharType="begin"/>
      </w:r>
      <w:r w:rsidRPr="006075B8">
        <w:rPr>
          <w:lang w:eastAsia="en-US"/>
        </w:rPr>
        <w:instrText xml:space="preserve"> SEQ level0 \*arabic </w:instrText>
      </w:r>
      <w:r w:rsidRPr="006075B8">
        <w:rPr>
          <w:lang w:eastAsia="en-US"/>
        </w:rPr>
        <w:fldChar w:fldCharType="separate"/>
      </w:r>
      <w:r w:rsidR="00751640">
        <w:rPr>
          <w:noProof/>
          <w:lang w:eastAsia="en-US"/>
        </w:rPr>
        <w:t>52</w:t>
      </w:r>
      <w:r w:rsidRPr="006075B8">
        <w:rPr>
          <w:lang w:eastAsia="en-US"/>
        </w:rPr>
        <w:fldChar w:fldCharType="end"/>
      </w:r>
      <w:r w:rsidRPr="006075B8">
        <w:rPr>
          <w:lang w:eastAsia="en-US"/>
        </w:rPr>
        <w:t>.  The Court further notes that the c</w:t>
      </w:r>
      <w:r w:rsidR="00B51249" w:rsidRPr="006075B8">
        <w:rPr>
          <w:lang w:eastAsia="en-US"/>
        </w:rPr>
        <w:t xml:space="preserve">riminal proceedings concerning </w:t>
      </w:r>
      <w:r w:rsidRPr="006075B8">
        <w:rPr>
          <w:lang w:eastAsia="en-US"/>
        </w:rPr>
        <w:t>the applicant</w:t>
      </w:r>
      <w:r w:rsidR="005E7ADB">
        <w:rPr>
          <w:lang w:eastAsia="en-US"/>
        </w:rPr>
        <w:t>’</w:t>
      </w:r>
      <w:r w:rsidRPr="006075B8">
        <w:rPr>
          <w:lang w:eastAsia="en-US"/>
        </w:rPr>
        <w:t>s son</w:t>
      </w:r>
      <w:r w:rsidR="005E7ADB">
        <w:rPr>
          <w:lang w:eastAsia="en-US"/>
        </w:rPr>
        <w:t>’</w:t>
      </w:r>
      <w:r w:rsidR="001B4AA2" w:rsidRPr="006075B8">
        <w:rPr>
          <w:lang w:eastAsia="en-US"/>
        </w:rPr>
        <w:t>s</w:t>
      </w:r>
      <w:r w:rsidRPr="006075B8">
        <w:rPr>
          <w:lang w:eastAsia="en-US"/>
        </w:rPr>
        <w:t xml:space="preserve"> death </w:t>
      </w:r>
      <w:r w:rsidR="00B51249" w:rsidRPr="006075B8">
        <w:rPr>
          <w:lang w:eastAsia="en-US"/>
        </w:rPr>
        <w:t xml:space="preserve">were instituted in June 1983. In 1984 the </w:t>
      </w:r>
      <w:r w:rsidR="00E3168F" w:rsidRPr="006075B8">
        <w:rPr>
          <w:lang w:eastAsia="en-US"/>
        </w:rPr>
        <w:t xml:space="preserve">courts </w:t>
      </w:r>
      <w:r w:rsidR="00B51249" w:rsidRPr="006075B8">
        <w:rPr>
          <w:lang w:eastAsia="en-US"/>
        </w:rPr>
        <w:t xml:space="preserve">found that the </w:t>
      </w:r>
      <w:r w:rsidR="00604CA9" w:rsidRPr="006075B8">
        <w:rPr>
          <w:lang w:eastAsia="en-US"/>
        </w:rPr>
        <w:t>police</w:t>
      </w:r>
      <w:r w:rsidR="001B4AA2" w:rsidRPr="006075B8">
        <w:rPr>
          <w:lang w:eastAsia="en-US"/>
        </w:rPr>
        <w:t xml:space="preserve"> </w:t>
      </w:r>
      <w:r w:rsidR="00B51249" w:rsidRPr="006075B8">
        <w:rPr>
          <w:lang w:eastAsia="en-US"/>
        </w:rPr>
        <w:t>officers, including I. K.</w:t>
      </w:r>
      <w:r w:rsidR="00BE046C" w:rsidRPr="006075B8">
        <w:rPr>
          <w:lang w:eastAsia="en-US"/>
        </w:rPr>
        <w:t>,</w:t>
      </w:r>
      <w:r w:rsidR="00B51249" w:rsidRPr="006075B8">
        <w:rPr>
          <w:lang w:eastAsia="en-US"/>
        </w:rPr>
        <w:t xml:space="preserve"> had no case to answer and acquitted them.</w:t>
      </w:r>
      <w:r w:rsidR="00BE046C" w:rsidRPr="006075B8">
        <w:rPr>
          <w:lang w:eastAsia="en-US"/>
        </w:rPr>
        <w:t xml:space="preserve"> </w:t>
      </w:r>
      <w:r w:rsidR="00B51249" w:rsidRPr="006075B8">
        <w:rPr>
          <w:lang w:eastAsia="en-US"/>
        </w:rPr>
        <w:t xml:space="preserve">However, the proceedings were reopened in 1990. The </w:t>
      </w:r>
      <w:smartTag w:uri="urn:schemas-microsoft-com:office:smarttags" w:element="Street">
        <w:smartTag w:uri="urn:schemas-microsoft-com:office:smarttags" w:element="address">
          <w:r w:rsidR="00B51249" w:rsidRPr="006075B8">
            <w:rPr>
              <w:lang w:eastAsia="en-US"/>
            </w:rPr>
            <w:t>Warsaw Regional Court</w:t>
          </w:r>
        </w:smartTag>
      </w:smartTag>
      <w:r w:rsidR="00B51249" w:rsidRPr="006075B8">
        <w:rPr>
          <w:lang w:eastAsia="en-US"/>
        </w:rPr>
        <w:t xml:space="preserve"> quashed the judgment given in 1984, finding that </w:t>
      </w:r>
      <w:r w:rsidR="00E3168F" w:rsidRPr="006075B8">
        <w:rPr>
          <w:lang w:eastAsia="en-US"/>
        </w:rPr>
        <w:t>i</w:t>
      </w:r>
      <w:r w:rsidR="00447853" w:rsidRPr="006075B8">
        <w:rPr>
          <w:lang w:eastAsia="en-US"/>
        </w:rPr>
        <w:t>t had been fundamentally flawed because the authorities had seriously tampered with the evidence</w:t>
      </w:r>
      <w:r w:rsidR="00E3168F" w:rsidRPr="006075B8">
        <w:rPr>
          <w:lang w:eastAsia="en-US"/>
        </w:rPr>
        <w:t xml:space="preserve"> and reopened the proceedings.</w:t>
      </w:r>
      <w:r w:rsidR="00B11E71" w:rsidRPr="006075B8">
        <w:rPr>
          <w:lang w:eastAsia="en-US"/>
        </w:rPr>
        <w:t xml:space="preserve"> </w:t>
      </w:r>
      <w:r w:rsidR="00B51249" w:rsidRPr="006075B8">
        <w:rPr>
          <w:lang w:eastAsia="en-US"/>
        </w:rPr>
        <w:t>Subsequently</w:t>
      </w:r>
      <w:r w:rsidR="001B4AA2" w:rsidRPr="006075B8">
        <w:rPr>
          <w:lang w:eastAsia="en-US"/>
        </w:rPr>
        <w:t>,</w:t>
      </w:r>
      <w:r w:rsidR="00B51249" w:rsidRPr="006075B8">
        <w:rPr>
          <w:lang w:eastAsia="en-US"/>
        </w:rPr>
        <w:t xml:space="preserve"> the prosecuting authorities investigated the case again and ultimately brought </w:t>
      </w:r>
      <w:r w:rsidR="001B4AA2" w:rsidRPr="006075B8">
        <w:rPr>
          <w:lang w:eastAsia="en-US"/>
        </w:rPr>
        <w:t>an</w:t>
      </w:r>
      <w:r w:rsidR="00B51249" w:rsidRPr="006075B8">
        <w:rPr>
          <w:lang w:eastAsia="en-US"/>
        </w:rPr>
        <w:t xml:space="preserve"> indictment against I</w:t>
      </w:r>
      <w:r w:rsidR="009A7C03" w:rsidRPr="006075B8">
        <w:rPr>
          <w:lang w:eastAsia="en-US"/>
        </w:rPr>
        <w:t>.</w:t>
      </w:r>
      <w:r w:rsidR="00B51249" w:rsidRPr="006075B8">
        <w:rPr>
          <w:lang w:eastAsia="en-US"/>
        </w:rPr>
        <w:t>K</w:t>
      </w:r>
      <w:r w:rsidR="009A7C03" w:rsidRPr="006075B8">
        <w:rPr>
          <w:lang w:eastAsia="en-US"/>
        </w:rPr>
        <w:t>.</w:t>
      </w:r>
      <w:r w:rsidR="00B51249" w:rsidRPr="006075B8">
        <w:rPr>
          <w:lang w:eastAsia="en-US"/>
        </w:rPr>
        <w:t xml:space="preserve"> and other </w:t>
      </w:r>
      <w:r w:rsidR="001B4AA2" w:rsidRPr="006075B8">
        <w:rPr>
          <w:lang w:eastAsia="en-US"/>
        </w:rPr>
        <w:t xml:space="preserve">individuals </w:t>
      </w:r>
      <w:r w:rsidR="00B51249" w:rsidRPr="006075B8">
        <w:rPr>
          <w:lang w:eastAsia="en-US"/>
        </w:rPr>
        <w:t xml:space="preserve">before the Warsaw Regional Court </w:t>
      </w:r>
      <w:r w:rsidR="008D39DB" w:rsidRPr="006075B8">
        <w:rPr>
          <w:lang w:eastAsia="en-US"/>
        </w:rPr>
        <w:t>o</w:t>
      </w:r>
      <w:r w:rsidR="00B51249" w:rsidRPr="006075B8">
        <w:rPr>
          <w:lang w:eastAsia="en-US"/>
        </w:rPr>
        <w:t xml:space="preserve">n </w:t>
      </w:r>
      <w:r w:rsidR="00E3168F" w:rsidRPr="006075B8">
        <w:rPr>
          <w:lang w:eastAsia="en-US"/>
        </w:rPr>
        <w:t>25 March 1993.</w:t>
      </w:r>
    </w:p>
    <w:p w:rsidR="00B11E71" w:rsidRPr="006075B8" w:rsidRDefault="00537684" w:rsidP="004B10D6">
      <w:pPr>
        <w:pStyle w:val="JuPara"/>
        <w:rPr>
          <w:rStyle w:val="sb8d990e2"/>
        </w:rPr>
      </w:pPr>
      <w:r w:rsidRPr="006075B8">
        <w:rPr>
          <w:rStyle w:val="sb8d990e2"/>
        </w:rPr>
        <w:fldChar w:fldCharType="begin"/>
      </w:r>
      <w:r w:rsidRPr="006075B8">
        <w:rPr>
          <w:rStyle w:val="sb8d990e2"/>
        </w:rPr>
        <w:instrText xml:space="preserve"> SEQ level0 \*arabic </w:instrText>
      </w:r>
      <w:r w:rsidRPr="006075B8">
        <w:rPr>
          <w:rStyle w:val="sb8d990e2"/>
        </w:rPr>
        <w:fldChar w:fldCharType="separate"/>
      </w:r>
      <w:r w:rsidR="00751640">
        <w:rPr>
          <w:rStyle w:val="sb8d990e2"/>
          <w:noProof/>
        </w:rPr>
        <w:t>53</w:t>
      </w:r>
      <w:r w:rsidRPr="006075B8">
        <w:rPr>
          <w:rStyle w:val="sb8d990e2"/>
        </w:rPr>
        <w:fldChar w:fldCharType="end"/>
      </w:r>
      <w:r w:rsidRPr="006075B8">
        <w:rPr>
          <w:rStyle w:val="sb8d990e2"/>
        </w:rPr>
        <w:t>.  </w:t>
      </w:r>
      <w:r w:rsidR="008D39DB" w:rsidRPr="006075B8">
        <w:rPr>
          <w:rStyle w:val="sb8d990e2"/>
        </w:rPr>
        <w:t xml:space="preserve">The Court </w:t>
      </w:r>
      <w:r w:rsidR="009A7C03" w:rsidRPr="006075B8">
        <w:rPr>
          <w:rStyle w:val="sb8d990e2"/>
        </w:rPr>
        <w:t xml:space="preserve">observes </w:t>
      </w:r>
      <w:r w:rsidR="008D39DB" w:rsidRPr="006075B8">
        <w:rPr>
          <w:rStyle w:val="sb8d990e2"/>
        </w:rPr>
        <w:t xml:space="preserve">that the period which falls under its competence </w:t>
      </w:r>
      <w:r w:rsidR="008D39DB" w:rsidRPr="006075B8">
        <w:rPr>
          <w:rStyle w:val="s6b621b36"/>
          <w:i/>
        </w:rPr>
        <w:t xml:space="preserve">ratione </w:t>
      </w:r>
      <w:r w:rsidR="008D39DB" w:rsidRPr="006075B8">
        <w:rPr>
          <w:rStyle w:val="wordhighlightedcurrentterm"/>
          <w:i/>
        </w:rPr>
        <w:t>temporis</w:t>
      </w:r>
      <w:r w:rsidR="008D39DB" w:rsidRPr="006075B8">
        <w:rPr>
          <w:rStyle w:val="sb8d990e2"/>
        </w:rPr>
        <w:t xml:space="preserve"> began on 1 May 1993, when the recognition by Poland of the right of individual petition took </w:t>
      </w:r>
      <w:r w:rsidR="00BE4FF1" w:rsidRPr="006075B8">
        <w:rPr>
          <w:rStyle w:val="sb8d990e2"/>
        </w:rPr>
        <w:t>effect</w:t>
      </w:r>
      <w:r w:rsidR="00E3168F" w:rsidRPr="006075B8">
        <w:rPr>
          <w:rStyle w:val="sb8d990e2"/>
        </w:rPr>
        <w:t xml:space="preserve">. </w:t>
      </w:r>
      <w:r w:rsidR="008D39DB" w:rsidRPr="006075B8">
        <w:rPr>
          <w:rStyle w:val="sb8d990e2"/>
        </w:rPr>
        <w:t xml:space="preserve">The judicial proceedings </w:t>
      </w:r>
      <w:r w:rsidR="00BE4FF1" w:rsidRPr="006075B8">
        <w:rPr>
          <w:rStyle w:val="sb8d990e2"/>
        </w:rPr>
        <w:t xml:space="preserve">in the present case </w:t>
      </w:r>
      <w:r w:rsidR="00E3168F" w:rsidRPr="006075B8">
        <w:rPr>
          <w:rStyle w:val="sb8d990e2"/>
        </w:rPr>
        <w:t xml:space="preserve">were, for the most part, conducted after that date. </w:t>
      </w:r>
      <w:r w:rsidR="008D39DB" w:rsidRPr="006075B8">
        <w:rPr>
          <w:rStyle w:val="sb8d990e2"/>
        </w:rPr>
        <w:t>A number of judgments were given by the courts and subsequently quashed in appellate proceedings. U</w:t>
      </w:r>
      <w:r w:rsidR="00BE4FF1" w:rsidRPr="006075B8">
        <w:rPr>
          <w:rStyle w:val="sb8d990e2"/>
        </w:rPr>
        <w:t xml:space="preserve">ltimately, the Supreme Court gave </w:t>
      </w:r>
      <w:r w:rsidR="001649E8" w:rsidRPr="006075B8">
        <w:rPr>
          <w:rStyle w:val="sb8d990e2"/>
        </w:rPr>
        <w:t>judgment on 28 </w:t>
      </w:r>
      <w:r w:rsidR="00BE4FF1" w:rsidRPr="006075B8">
        <w:rPr>
          <w:rStyle w:val="sb8d990e2"/>
        </w:rPr>
        <w:t>July 2010</w:t>
      </w:r>
      <w:r w:rsidRPr="006075B8">
        <w:rPr>
          <w:rStyle w:val="sb8d990e2"/>
        </w:rPr>
        <w:t xml:space="preserve">, twenty years after </w:t>
      </w:r>
      <w:r w:rsidR="001B4AA2" w:rsidRPr="006075B8">
        <w:rPr>
          <w:rStyle w:val="sb8d990e2"/>
        </w:rPr>
        <w:t xml:space="preserve">the proceedings </w:t>
      </w:r>
      <w:r w:rsidRPr="006075B8">
        <w:rPr>
          <w:rStyle w:val="sb8d990e2"/>
        </w:rPr>
        <w:t>had been reopened in 1990</w:t>
      </w:r>
      <w:r w:rsidR="00E3168F" w:rsidRPr="006075B8">
        <w:rPr>
          <w:rStyle w:val="sb8d990e2"/>
        </w:rPr>
        <w:t xml:space="preserve">. </w:t>
      </w:r>
      <w:r w:rsidR="00BE4FF1" w:rsidRPr="006075B8">
        <w:rPr>
          <w:rStyle w:val="sb8d990e2"/>
        </w:rPr>
        <w:t xml:space="preserve">The proceedings therefore </w:t>
      </w:r>
      <w:r w:rsidRPr="006075B8">
        <w:rPr>
          <w:rStyle w:val="sb8d990e2"/>
        </w:rPr>
        <w:t xml:space="preserve">spanned </w:t>
      </w:r>
      <w:r w:rsidR="00BE4FF1" w:rsidRPr="006075B8">
        <w:rPr>
          <w:rStyle w:val="sb8d990e2"/>
        </w:rPr>
        <w:t>a period of twenty years, out of which</w:t>
      </w:r>
      <w:r w:rsidRPr="006075B8">
        <w:rPr>
          <w:rStyle w:val="sb8d990e2"/>
        </w:rPr>
        <w:t xml:space="preserve"> </w:t>
      </w:r>
      <w:r w:rsidR="00E3168F" w:rsidRPr="006075B8">
        <w:rPr>
          <w:rStyle w:val="sb8d990e2"/>
        </w:rPr>
        <w:t xml:space="preserve">over </w:t>
      </w:r>
      <w:r w:rsidR="00BE4FF1" w:rsidRPr="006075B8">
        <w:rPr>
          <w:rStyle w:val="sb8d990e2"/>
        </w:rPr>
        <w:t xml:space="preserve">seventeen years fell after the Convention had become binding with respect </w:t>
      </w:r>
      <w:r w:rsidR="001B4AA2" w:rsidRPr="006075B8">
        <w:rPr>
          <w:rStyle w:val="sb8d990e2"/>
        </w:rPr>
        <w:t xml:space="preserve">to </w:t>
      </w:r>
      <w:smartTag w:uri="urn:schemas-microsoft-com:office:smarttags" w:element="country-region">
        <w:smartTag w:uri="urn:schemas-microsoft-com:office:smarttags" w:element="place">
          <w:r w:rsidR="00BE4FF1" w:rsidRPr="006075B8">
            <w:rPr>
              <w:rStyle w:val="sb8d990e2"/>
            </w:rPr>
            <w:t>Poland</w:t>
          </w:r>
        </w:smartTag>
      </w:smartTag>
      <w:r w:rsidR="00BE4FF1" w:rsidRPr="006075B8">
        <w:rPr>
          <w:rStyle w:val="sb8d990e2"/>
        </w:rPr>
        <w:t>.</w:t>
      </w:r>
    </w:p>
    <w:p w:rsidR="00BE4FF1" w:rsidRPr="006075B8" w:rsidRDefault="00537684" w:rsidP="00BE4FF1">
      <w:pPr>
        <w:pStyle w:val="JuPara"/>
        <w:rPr>
          <w:rStyle w:val="sb8d990e2"/>
        </w:rPr>
      </w:pPr>
      <w:r w:rsidRPr="006075B8">
        <w:rPr>
          <w:rStyle w:val="sb8d990e2"/>
        </w:rPr>
        <w:fldChar w:fldCharType="begin"/>
      </w:r>
      <w:r w:rsidRPr="006075B8">
        <w:rPr>
          <w:rStyle w:val="sb8d990e2"/>
        </w:rPr>
        <w:instrText xml:space="preserve"> SEQ level0 \*arabic </w:instrText>
      </w:r>
      <w:r w:rsidRPr="006075B8">
        <w:rPr>
          <w:rStyle w:val="sb8d990e2"/>
        </w:rPr>
        <w:fldChar w:fldCharType="separate"/>
      </w:r>
      <w:r w:rsidR="00751640">
        <w:rPr>
          <w:rStyle w:val="sb8d990e2"/>
          <w:noProof/>
        </w:rPr>
        <w:t>54</w:t>
      </w:r>
      <w:r w:rsidRPr="006075B8">
        <w:rPr>
          <w:rStyle w:val="sb8d990e2"/>
        </w:rPr>
        <w:fldChar w:fldCharType="end"/>
      </w:r>
      <w:r w:rsidRPr="006075B8">
        <w:rPr>
          <w:rStyle w:val="sb8d990e2"/>
        </w:rPr>
        <w:t>.  The Court notes that the applicant</w:t>
      </w:r>
      <w:r w:rsidR="005E7ADB">
        <w:rPr>
          <w:rStyle w:val="sb8d990e2"/>
        </w:rPr>
        <w:t>’</w:t>
      </w:r>
      <w:r w:rsidRPr="006075B8">
        <w:rPr>
          <w:rStyle w:val="sb8d990e2"/>
        </w:rPr>
        <w:t>s procedural complaint related precisely to the</w:t>
      </w:r>
      <w:r w:rsidR="00BE046C" w:rsidRPr="006075B8">
        <w:rPr>
          <w:rStyle w:val="sb8d990e2"/>
        </w:rPr>
        <w:t xml:space="preserve"> </w:t>
      </w:r>
      <w:r w:rsidR="00E3168F" w:rsidRPr="006075B8">
        <w:rPr>
          <w:rStyle w:val="sb8d990e2"/>
        </w:rPr>
        <w:t xml:space="preserve">alleged ineffectiveness of the </w:t>
      </w:r>
      <w:r w:rsidRPr="006075B8">
        <w:rPr>
          <w:rStyle w:val="sb8d990e2"/>
        </w:rPr>
        <w:t xml:space="preserve">judicial proceedings conducted after the entry into force of the Convention with a view to </w:t>
      </w:r>
      <w:r w:rsidR="00BE4FF1" w:rsidRPr="006075B8">
        <w:rPr>
          <w:rStyle w:val="sb8d990e2"/>
        </w:rPr>
        <w:t>establishing the circumstances in</w:t>
      </w:r>
      <w:r w:rsidR="00B92FF1" w:rsidRPr="006075B8">
        <w:rPr>
          <w:rStyle w:val="sb8d990e2"/>
        </w:rPr>
        <w:t xml:space="preserve"> which</w:t>
      </w:r>
      <w:r w:rsidR="00BE4FF1" w:rsidRPr="006075B8">
        <w:rPr>
          <w:rStyle w:val="sb8d990e2"/>
        </w:rPr>
        <w:t xml:space="preserve"> </w:t>
      </w:r>
      <w:r w:rsidR="00E3168F" w:rsidRPr="006075B8">
        <w:rPr>
          <w:rStyle w:val="sb8d990e2"/>
        </w:rPr>
        <w:t xml:space="preserve">his son </w:t>
      </w:r>
      <w:r w:rsidR="00BE4FF1" w:rsidRPr="006075B8">
        <w:rPr>
          <w:rStyle w:val="sb8d990e2"/>
        </w:rPr>
        <w:t>had died and</w:t>
      </w:r>
      <w:r w:rsidR="00BE046C" w:rsidRPr="006075B8">
        <w:rPr>
          <w:rStyle w:val="sb8d990e2"/>
        </w:rPr>
        <w:t xml:space="preserve"> </w:t>
      </w:r>
      <w:r w:rsidR="00E3168F" w:rsidRPr="006075B8">
        <w:rPr>
          <w:rStyle w:val="sb8d990e2"/>
        </w:rPr>
        <w:t xml:space="preserve">determining </w:t>
      </w:r>
      <w:r w:rsidR="00383588" w:rsidRPr="006075B8">
        <w:rPr>
          <w:rStyle w:val="sb8d990e2"/>
        </w:rPr>
        <w:t xml:space="preserve">the </w:t>
      </w:r>
      <w:r w:rsidR="00BE046C" w:rsidRPr="006075B8">
        <w:rPr>
          <w:rStyle w:val="sb8d990e2"/>
        </w:rPr>
        <w:t xml:space="preserve">criminal </w:t>
      </w:r>
      <w:r w:rsidR="00B92FF1" w:rsidRPr="006075B8">
        <w:rPr>
          <w:rStyle w:val="sb8d990e2"/>
        </w:rPr>
        <w:t xml:space="preserve">liability </w:t>
      </w:r>
      <w:r w:rsidR="00BE046C" w:rsidRPr="006075B8">
        <w:rPr>
          <w:rStyle w:val="sb8d990e2"/>
        </w:rPr>
        <w:t>arising in this connection.</w:t>
      </w:r>
    </w:p>
    <w:p w:rsidR="00BE4FF1" w:rsidRPr="006075B8" w:rsidRDefault="00537684" w:rsidP="00BE4FF1">
      <w:pPr>
        <w:pStyle w:val="JuPara"/>
      </w:pPr>
      <w:r w:rsidRPr="006075B8">
        <w:rPr>
          <w:rStyle w:val="sb8d990e2"/>
        </w:rPr>
        <w:fldChar w:fldCharType="begin"/>
      </w:r>
      <w:r w:rsidRPr="006075B8">
        <w:rPr>
          <w:rStyle w:val="sb8d990e2"/>
        </w:rPr>
        <w:instrText xml:space="preserve"> SEQ level0 \*arabic </w:instrText>
      </w:r>
      <w:r w:rsidRPr="006075B8">
        <w:rPr>
          <w:rStyle w:val="sb8d990e2"/>
        </w:rPr>
        <w:fldChar w:fldCharType="separate"/>
      </w:r>
      <w:r w:rsidR="00751640">
        <w:rPr>
          <w:rStyle w:val="sb8d990e2"/>
          <w:noProof/>
        </w:rPr>
        <w:t>55</w:t>
      </w:r>
      <w:r w:rsidRPr="006075B8">
        <w:rPr>
          <w:rStyle w:val="sb8d990e2"/>
        </w:rPr>
        <w:fldChar w:fldCharType="end"/>
      </w:r>
      <w:r w:rsidRPr="006075B8">
        <w:rPr>
          <w:rStyle w:val="sb8d990e2"/>
        </w:rPr>
        <w:t xml:space="preserve">.  Having regard to </w:t>
      </w:r>
      <w:r w:rsidR="00383588" w:rsidRPr="006075B8">
        <w:rPr>
          <w:rStyle w:val="sb8d990e2"/>
        </w:rPr>
        <w:t>the above</w:t>
      </w:r>
      <w:r w:rsidR="00BE4FF1" w:rsidRPr="006075B8">
        <w:rPr>
          <w:rStyle w:val="sb8d990e2"/>
        </w:rPr>
        <w:t>, the Court finds that the alleged</w:t>
      </w:r>
      <w:r w:rsidR="0011714E" w:rsidRPr="006075B8">
        <w:rPr>
          <w:rStyle w:val="sb8d990e2"/>
        </w:rPr>
        <w:t xml:space="preserve"> breach of</w:t>
      </w:r>
      <w:r w:rsidR="00B11E71" w:rsidRPr="006075B8">
        <w:rPr>
          <w:rStyle w:val="sb8d990e2"/>
        </w:rPr>
        <w:t xml:space="preserve"> </w:t>
      </w:r>
      <w:r w:rsidR="00BE4FF1" w:rsidRPr="006075B8">
        <w:rPr>
          <w:rStyle w:val="sb8d990e2"/>
        </w:rPr>
        <w:t>Article 2 in its procedural aspect falls within the Court</w:t>
      </w:r>
      <w:r w:rsidR="005E7ADB">
        <w:rPr>
          <w:rStyle w:val="sb8d990e2"/>
        </w:rPr>
        <w:t>’</w:t>
      </w:r>
      <w:r w:rsidR="00BE4FF1" w:rsidRPr="006075B8">
        <w:rPr>
          <w:rStyle w:val="sb8d990e2"/>
        </w:rPr>
        <w:t xml:space="preserve">s temporal jurisdiction and that it is therefore competent to examine this part of the application. It will confine itself to determining whether the events that occurred after the entry into force of the Convention in respect of </w:t>
      </w:r>
      <w:smartTag w:uri="urn:schemas-microsoft-com:office:smarttags" w:element="place">
        <w:smartTag w:uri="urn:schemas-microsoft-com:office:smarttags" w:element="country-region">
          <w:r w:rsidR="00BE046C" w:rsidRPr="006075B8">
            <w:rPr>
              <w:rStyle w:val="sb8d990e2"/>
            </w:rPr>
            <w:t>Poland</w:t>
          </w:r>
        </w:smartTag>
      </w:smartTag>
      <w:r w:rsidR="00BE046C" w:rsidRPr="006075B8">
        <w:rPr>
          <w:rStyle w:val="sb8d990e2"/>
        </w:rPr>
        <w:t xml:space="preserve"> </w:t>
      </w:r>
      <w:r w:rsidR="00BE4FF1" w:rsidRPr="006075B8">
        <w:rPr>
          <w:rStyle w:val="sb8d990e2"/>
        </w:rPr>
        <w:t>disclosed a breach of that provision.</w:t>
      </w:r>
    </w:p>
    <w:p w:rsidR="00F71A6A" w:rsidRPr="006075B8" w:rsidRDefault="008F07F8" w:rsidP="002F4BCF">
      <w:pPr>
        <w:pStyle w:val="JuPara"/>
      </w:pPr>
      <w:r w:rsidRPr="006075B8">
        <w:fldChar w:fldCharType="begin"/>
      </w:r>
      <w:r w:rsidRPr="006075B8">
        <w:instrText xml:space="preserve"> SEQ level0 \*arabic </w:instrText>
      </w:r>
      <w:r w:rsidRPr="006075B8">
        <w:fldChar w:fldCharType="separate"/>
      </w:r>
      <w:r w:rsidR="00751640">
        <w:rPr>
          <w:noProof/>
        </w:rPr>
        <w:t>56</w:t>
      </w:r>
      <w:r w:rsidRPr="006075B8">
        <w:fldChar w:fldCharType="end"/>
      </w:r>
      <w:r w:rsidRPr="006075B8">
        <w:t>.  </w:t>
      </w:r>
      <w:r w:rsidR="00F71A6A" w:rsidRPr="006075B8">
        <w:t>The Court notes that the application</w:t>
      </w:r>
      <w:r w:rsidR="00D44EA3" w:rsidRPr="006075B8">
        <w:t xml:space="preserve"> </w:t>
      </w:r>
      <w:r w:rsidR="00F71A6A" w:rsidRPr="006075B8">
        <w:t>is not manifestly ill</w:t>
      </w:r>
      <w:r w:rsidR="001649E8" w:rsidRPr="006075B8">
        <w:noBreakHyphen/>
      </w:r>
      <w:r w:rsidR="00F71A6A" w:rsidRPr="006075B8">
        <w:t xml:space="preserve">founded within the meaning of Article </w:t>
      </w:r>
      <w:r w:rsidR="00C63E30" w:rsidRPr="006075B8">
        <w:t>35 § 3 (a)</w:t>
      </w:r>
      <w:r w:rsidR="00F71A6A" w:rsidRPr="006075B8">
        <w:t xml:space="preserve"> of the Convention. It further notes that it is not inadmissible on any other grounds. It must therefore be declared admissible.</w:t>
      </w:r>
    </w:p>
    <w:p w:rsidR="00F71A6A" w:rsidRPr="006075B8" w:rsidRDefault="00950FA9" w:rsidP="00950FA9">
      <w:pPr>
        <w:pStyle w:val="JuHA"/>
        <w:tabs>
          <w:tab w:val="clear" w:pos="584"/>
        </w:tabs>
        <w:ind w:left="232" w:firstLine="0"/>
        <w:outlineLvl w:val="0"/>
      </w:pPr>
      <w:r w:rsidRPr="006075B8">
        <w:t>B.  </w:t>
      </w:r>
      <w:r w:rsidR="00F71A6A" w:rsidRPr="006075B8">
        <w:t>Merits</w:t>
      </w:r>
    </w:p>
    <w:p w:rsidR="00110608" w:rsidRPr="006075B8" w:rsidRDefault="00950FA9" w:rsidP="00110608">
      <w:pPr>
        <w:pStyle w:val="JuH1"/>
      </w:pPr>
      <w:r w:rsidRPr="006075B8">
        <w:t>1.  </w:t>
      </w:r>
      <w:r w:rsidR="00110608" w:rsidRPr="006075B8">
        <w:t>The applicant</w:t>
      </w:r>
      <w:r w:rsidR="005E7ADB">
        <w:t>’</w:t>
      </w:r>
      <w:r w:rsidR="00110608" w:rsidRPr="006075B8">
        <w:t>s submissions</w:t>
      </w:r>
    </w:p>
    <w:p w:rsidR="00B11E71" w:rsidRPr="006075B8" w:rsidRDefault="0078384A" w:rsidP="0078384A">
      <w:pPr>
        <w:pStyle w:val="JuPara"/>
      </w:pPr>
      <w:r w:rsidRPr="006075B8">
        <w:fldChar w:fldCharType="begin"/>
      </w:r>
      <w:r w:rsidRPr="006075B8">
        <w:instrText xml:space="preserve"> SEQ level0 \*arabic </w:instrText>
      </w:r>
      <w:r w:rsidRPr="006075B8">
        <w:fldChar w:fldCharType="separate"/>
      </w:r>
      <w:r w:rsidR="00751640">
        <w:rPr>
          <w:noProof/>
        </w:rPr>
        <w:t>57</w:t>
      </w:r>
      <w:r w:rsidRPr="006075B8">
        <w:fldChar w:fldCharType="end"/>
      </w:r>
      <w:r w:rsidR="00F71A6A" w:rsidRPr="006075B8">
        <w:t xml:space="preserve">.  The </w:t>
      </w:r>
      <w:r w:rsidR="005F4753" w:rsidRPr="006075B8">
        <w:t>applicant</w:t>
      </w:r>
      <w:r w:rsidR="00F71A6A" w:rsidRPr="006075B8">
        <w:t xml:space="preserve"> </w:t>
      </w:r>
      <w:r w:rsidRPr="006075B8">
        <w:t>complain</w:t>
      </w:r>
      <w:r w:rsidR="00EE4EC9" w:rsidRPr="006075B8">
        <w:t>ed</w:t>
      </w:r>
      <w:r w:rsidRPr="006075B8">
        <w:t xml:space="preserve"> that the State authorities </w:t>
      </w:r>
      <w:r w:rsidR="00EE4EC9" w:rsidRPr="006075B8">
        <w:t xml:space="preserve">had </w:t>
      </w:r>
      <w:r w:rsidR="00E3168F" w:rsidRPr="006075B8">
        <w:t xml:space="preserve">not discharged </w:t>
      </w:r>
      <w:r w:rsidRPr="006075B8">
        <w:t>their positive obligations under Article 2</w:t>
      </w:r>
      <w:r w:rsidR="004568BF" w:rsidRPr="006075B8">
        <w:t>,</w:t>
      </w:r>
      <w:r w:rsidRPr="006075B8">
        <w:t xml:space="preserve"> as they </w:t>
      </w:r>
      <w:r w:rsidR="00E3168F" w:rsidRPr="006075B8">
        <w:t xml:space="preserve">had </w:t>
      </w:r>
      <w:r w:rsidRPr="006075B8">
        <w:t xml:space="preserve">failed to </w:t>
      </w:r>
      <w:r w:rsidR="00E3168F" w:rsidRPr="006075B8">
        <w:t xml:space="preserve">effectively and diligently </w:t>
      </w:r>
      <w:r w:rsidR="004568BF" w:rsidRPr="006075B8">
        <w:t xml:space="preserve">determine </w:t>
      </w:r>
      <w:r w:rsidRPr="006075B8">
        <w:t xml:space="preserve">the criminal </w:t>
      </w:r>
      <w:r w:rsidR="004568BF" w:rsidRPr="006075B8">
        <w:t xml:space="preserve">liability </w:t>
      </w:r>
      <w:r w:rsidRPr="006075B8">
        <w:t>arising in connection with the circumstances in which his son had been killed. As a result of the inordinate length of the judicial proceedings and the authorities</w:t>
      </w:r>
      <w:r w:rsidR="005E7ADB">
        <w:t>’</w:t>
      </w:r>
      <w:r w:rsidRPr="006075B8">
        <w:t xml:space="preserve"> inability to conduct the proceedings properly, the criminal liability of I.K. </w:t>
      </w:r>
      <w:r w:rsidR="004568BF" w:rsidRPr="006075B8">
        <w:t xml:space="preserve">had become </w:t>
      </w:r>
      <w:r w:rsidRPr="006075B8">
        <w:t xml:space="preserve">time-barred and the perpetrators of the crime </w:t>
      </w:r>
      <w:r w:rsidR="004568BF" w:rsidRPr="006075B8">
        <w:t xml:space="preserve">had gone </w:t>
      </w:r>
      <w:r w:rsidR="00E3168F" w:rsidRPr="006075B8">
        <w:t xml:space="preserve">essentially </w:t>
      </w:r>
      <w:r w:rsidRPr="006075B8">
        <w:t>unpunished.</w:t>
      </w:r>
    </w:p>
    <w:p w:rsidR="00B11E71" w:rsidRPr="006075B8" w:rsidRDefault="00EE4EC9" w:rsidP="0078384A">
      <w:pPr>
        <w:pStyle w:val="JuPara"/>
      </w:pPr>
      <w:r w:rsidRPr="006075B8">
        <w:fldChar w:fldCharType="begin"/>
      </w:r>
      <w:r w:rsidRPr="006075B8">
        <w:instrText xml:space="preserve"> SEQ level0 \*arabic </w:instrText>
      </w:r>
      <w:r w:rsidRPr="006075B8">
        <w:fldChar w:fldCharType="separate"/>
      </w:r>
      <w:r w:rsidR="00751640">
        <w:rPr>
          <w:noProof/>
        </w:rPr>
        <w:t>58</w:t>
      </w:r>
      <w:r w:rsidRPr="006075B8">
        <w:fldChar w:fldCharType="end"/>
      </w:r>
      <w:r w:rsidRPr="006075B8">
        <w:t xml:space="preserve">.  The applicant further submitted </w:t>
      </w:r>
      <w:r w:rsidR="00CE28AB" w:rsidRPr="006075B8">
        <w:t>that the domestic proceedings had not concerned an ordinary crime</w:t>
      </w:r>
      <w:r w:rsidR="004568BF" w:rsidRPr="006075B8">
        <w:t xml:space="preserve">: </w:t>
      </w:r>
      <w:r w:rsidR="00CE28AB" w:rsidRPr="006075B8">
        <w:t xml:space="preserve">they </w:t>
      </w:r>
      <w:r w:rsidR="004568BF" w:rsidRPr="006075B8">
        <w:t xml:space="preserve">had </w:t>
      </w:r>
      <w:r w:rsidR="00CE28AB" w:rsidRPr="006075B8">
        <w:t xml:space="preserve">related to </w:t>
      </w:r>
      <w:r w:rsidR="004568BF" w:rsidRPr="006075B8">
        <w:t xml:space="preserve">a </w:t>
      </w:r>
      <w:r w:rsidR="00CE28AB" w:rsidRPr="006075B8">
        <w:t>crime committed</w:t>
      </w:r>
      <w:r w:rsidR="00E3168F" w:rsidRPr="006075B8">
        <w:t xml:space="preserve"> </w:t>
      </w:r>
      <w:r w:rsidR="00CE28AB" w:rsidRPr="006075B8">
        <w:t>by State agents during the communist regime</w:t>
      </w:r>
      <w:r w:rsidR="00E3168F" w:rsidRPr="006075B8">
        <w:t xml:space="preserve"> for reasons of political intimidation and repress</w:t>
      </w:r>
      <w:r w:rsidR="0011714E" w:rsidRPr="006075B8">
        <w:t>i</w:t>
      </w:r>
      <w:r w:rsidR="00E3168F" w:rsidRPr="006075B8">
        <w:t>on</w:t>
      </w:r>
      <w:r w:rsidR="00CE28AB" w:rsidRPr="006075B8">
        <w:t xml:space="preserve">. That crime had obviously constituted an act contrary to the values underpinning the Convention. The State was obliged to promptly investigate such unlawful killings because of the obvious public interest in obtaining </w:t>
      </w:r>
      <w:r w:rsidR="004568BF" w:rsidRPr="006075B8">
        <w:t xml:space="preserve">the </w:t>
      </w:r>
      <w:r w:rsidR="00CE28AB" w:rsidRPr="006075B8">
        <w:t xml:space="preserve">conviction of </w:t>
      </w:r>
      <w:r w:rsidR="004568BF" w:rsidRPr="006075B8">
        <w:t xml:space="preserve">the </w:t>
      </w:r>
      <w:r w:rsidR="00CE28AB" w:rsidRPr="006075B8">
        <w:t xml:space="preserve">perpetrators. A failure to investigate properly was tantamount to </w:t>
      </w:r>
      <w:r w:rsidR="004568BF" w:rsidRPr="006075B8">
        <w:t xml:space="preserve">a </w:t>
      </w:r>
      <w:r w:rsidR="00CE28AB" w:rsidRPr="006075B8">
        <w:t>denial of justice and was contrary to the public order.</w:t>
      </w:r>
      <w:r w:rsidR="00B11E71" w:rsidRPr="006075B8">
        <w:t xml:space="preserve"> </w:t>
      </w:r>
      <w:r w:rsidR="00CE28AB" w:rsidRPr="006075B8">
        <w:t>The Polish Institute of National Remembrance (</w:t>
      </w:r>
      <w:r w:rsidR="00484085" w:rsidRPr="006075B8">
        <w:rPr>
          <w:i/>
        </w:rPr>
        <w:t>Instytut Pamię</w:t>
      </w:r>
      <w:r w:rsidR="00CE28AB" w:rsidRPr="006075B8">
        <w:rPr>
          <w:i/>
        </w:rPr>
        <w:t>ci Narodowej</w:t>
      </w:r>
      <w:r w:rsidR="00CE28AB" w:rsidRPr="006075B8">
        <w:t xml:space="preserve">) </w:t>
      </w:r>
      <w:r w:rsidR="00794A93" w:rsidRPr="006075B8">
        <w:t xml:space="preserve">had </w:t>
      </w:r>
      <w:r w:rsidR="00E3168F" w:rsidRPr="006075B8">
        <w:t xml:space="preserve">for years </w:t>
      </w:r>
      <w:r w:rsidR="00794A93" w:rsidRPr="006075B8">
        <w:t xml:space="preserve">been </w:t>
      </w:r>
      <w:r w:rsidR="002B1F12" w:rsidRPr="006075B8">
        <w:t>investigating</w:t>
      </w:r>
      <w:r w:rsidR="00794A93" w:rsidRPr="006075B8">
        <w:t xml:space="preserve"> public officials of the communist regime on </w:t>
      </w:r>
      <w:r w:rsidR="002B1F12" w:rsidRPr="006075B8">
        <w:t xml:space="preserve">suspicion </w:t>
      </w:r>
      <w:r w:rsidR="00794A93" w:rsidRPr="006075B8">
        <w:t xml:space="preserve">of acting to the detriment of the </w:t>
      </w:r>
      <w:r w:rsidR="00E3168F" w:rsidRPr="006075B8">
        <w:t xml:space="preserve">original </w:t>
      </w:r>
      <w:r w:rsidR="00794A93" w:rsidRPr="006075B8">
        <w:t xml:space="preserve">investigation </w:t>
      </w:r>
      <w:r w:rsidR="004568BF" w:rsidRPr="006075B8">
        <w:t xml:space="preserve">conducted </w:t>
      </w:r>
      <w:r w:rsidR="00794A93" w:rsidRPr="006075B8">
        <w:t xml:space="preserve">in 1983 and 1994. However, the applicant </w:t>
      </w:r>
      <w:r w:rsidR="004568BF" w:rsidRPr="006075B8">
        <w:t xml:space="preserve">had </w:t>
      </w:r>
      <w:r w:rsidR="00794A93" w:rsidRPr="006075B8">
        <w:t xml:space="preserve">not </w:t>
      </w:r>
      <w:r w:rsidR="004568BF" w:rsidRPr="006075B8">
        <w:t xml:space="preserve">been </w:t>
      </w:r>
      <w:r w:rsidR="00794A93" w:rsidRPr="006075B8">
        <w:t>a party to these proceedings and had not been invited to join them.</w:t>
      </w:r>
    </w:p>
    <w:p w:rsidR="00B11E71" w:rsidRPr="006075B8" w:rsidRDefault="00794A93" w:rsidP="00543C39">
      <w:pPr>
        <w:pStyle w:val="JuPara"/>
      </w:pPr>
      <w:r w:rsidRPr="006075B8">
        <w:fldChar w:fldCharType="begin"/>
      </w:r>
      <w:r w:rsidRPr="006075B8">
        <w:instrText xml:space="preserve"> SEQ level0 \*arabic </w:instrText>
      </w:r>
      <w:r w:rsidRPr="006075B8">
        <w:fldChar w:fldCharType="separate"/>
      </w:r>
      <w:r w:rsidR="00751640">
        <w:rPr>
          <w:noProof/>
        </w:rPr>
        <w:t>59</w:t>
      </w:r>
      <w:r w:rsidRPr="006075B8">
        <w:fldChar w:fldCharType="end"/>
      </w:r>
      <w:r w:rsidRPr="006075B8">
        <w:t xml:space="preserve">.  The applicant argued that his rights in the present case had </w:t>
      </w:r>
      <w:r w:rsidR="004568BF" w:rsidRPr="006075B8">
        <w:t xml:space="preserve">also </w:t>
      </w:r>
      <w:r w:rsidRPr="006075B8">
        <w:t>b</w:t>
      </w:r>
      <w:r w:rsidR="002238C1" w:rsidRPr="006075B8">
        <w:t>een affected by the courts</w:t>
      </w:r>
      <w:r w:rsidR="005E7ADB">
        <w:t>’</w:t>
      </w:r>
      <w:r w:rsidRPr="006075B8">
        <w:t xml:space="preserve"> inconsistent and contradictory </w:t>
      </w:r>
      <w:r w:rsidR="004568BF" w:rsidRPr="006075B8">
        <w:t>decisions</w:t>
      </w:r>
      <w:r w:rsidRPr="006075B8">
        <w:t xml:space="preserve"> as to whether criminal </w:t>
      </w:r>
      <w:r w:rsidR="004568BF" w:rsidRPr="006075B8">
        <w:t xml:space="preserve">liability </w:t>
      </w:r>
      <w:r w:rsidRPr="006075B8">
        <w:t>for the crime committed against his son had been subject to prescription or not.</w:t>
      </w:r>
    </w:p>
    <w:p w:rsidR="00B11E71" w:rsidRPr="006075B8" w:rsidRDefault="00543C39" w:rsidP="0078384A">
      <w:pPr>
        <w:pStyle w:val="JuPara"/>
      </w:pPr>
      <w:r w:rsidRPr="006075B8">
        <w:fldChar w:fldCharType="begin"/>
      </w:r>
      <w:r w:rsidRPr="006075B8">
        <w:instrText xml:space="preserve"> SEQ level0 \*arabic </w:instrText>
      </w:r>
      <w:r w:rsidRPr="006075B8">
        <w:fldChar w:fldCharType="separate"/>
      </w:r>
      <w:r w:rsidR="00751640">
        <w:rPr>
          <w:noProof/>
        </w:rPr>
        <w:t>60</w:t>
      </w:r>
      <w:r w:rsidRPr="006075B8">
        <w:fldChar w:fldCharType="end"/>
      </w:r>
      <w:r w:rsidRPr="006075B8">
        <w:t xml:space="preserve">.  The applicant stressed that there </w:t>
      </w:r>
      <w:r w:rsidR="0001160D" w:rsidRPr="006075B8">
        <w:t xml:space="preserve">had </w:t>
      </w:r>
      <w:r w:rsidRPr="006075B8">
        <w:t xml:space="preserve">been a number of periods of total inactivity during the judicial proceedings in the case. During the examination of the case the judgments on </w:t>
      </w:r>
      <w:r w:rsidR="00383588" w:rsidRPr="006075B8">
        <w:t>the merits</w:t>
      </w:r>
      <w:r w:rsidRPr="006075B8">
        <w:t xml:space="preserve"> </w:t>
      </w:r>
      <w:r w:rsidR="0001160D" w:rsidRPr="006075B8">
        <w:t xml:space="preserve">had been </w:t>
      </w:r>
      <w:r w:rsidRPr="006075B8">
        <w:t xml:space="preserve">quashed on five occasions. </w:t>
      </w:r>
      <w:r w:rsidR="00794A93" w:rsidRPr="006075B8">
        <w:t>As a result of the slowness with w</w:t>
      </w:r>
      <w:r w:rsidR="002238C1" w:rsidRPr="006075B8">
        <w:t>hich the case had been examined</w:t>
      </w:r>
      <w:r w:rsidR="0001160D" w:rsidRPr="006075B8">
        <w:t>,</w:t>
      </w:r>
      <w:r w:rsidR="00794A93" w:rsidRPr="006075B8">
        <w:t xml:space="preserve"> the criminal liability of I.K. had ultimately</w:t>
      </w:r>
      <w:r w:rsidR="00B62813" w:rsidRPr="006075B8">
        <w:t xml:space="preserve"> become</w:t>
      </w:r>
      <w:r w:rsidR="00794A93" w:rsidRPr="006075B8">
        <w:t xml:space="preserve"> prescribed and his crime </w:t>
      </w:r>
      <w:r w:rsidR="0001160D" w:rsidRPr="006075B8">
        <w:t xml:space="preserve">had gone </w:t>
      </w:r>
      <w:r w:rsidR="00794A93" w:rsidRPr="006075B8">
        <w:t>unpunished.</w:t>
      </w:r>
    </w:p>
    <w:p w:rsidR="00B11E71" w:rsidRPr="006075B8" w:rsidRDefault="00794A93" w:rsidP="0078384A">
      <w:pPr>
        <w:pStyle w:val="JuPara"/>
      </w:pPr>
      <w:r w:rsidRPr="006075B8">
        <w:fldChar w:fldCharType="begin"/>
      </w:r>
      <w:r w:rsidRPr="006075B8">
        <w:instrText xml:space="preserve"> SEQ level0 \*arabic </w:instrText>
      </w:r>
      <w:r w:rsidRPr="006075B8">
        <w:fldChar w:fldCharType="separate"/>
      </w:r>
      <w:r w:rsidR="00751640">
        <w:rPr>
          <w:noProof/>
        </w:rPr>
        <w:t>61</w:t>
      </w:r>
      <w:r w:rsidRPr="006075B8">
        <w:fldChar w:fldCharType="end"/>
      </w:r>
      <w:r w:rsidRPr="006075B8">
        <w:t xml:space="preserve">.  The applicant averred that there had been serious shortcomings in the </w:t>
      </w:r>
      <w:r w:rsidR="002238C1" w:rsidRPr="006075B8">
        <w:t xml:space="preserve">original </w:t>
      </w:r>
      <w:r w:rsidRPr="006075B8">
        <w:t>investigation which had subsequently resulted in the inadequacy and inefficiency of the judicial proceedings. On several occasions the appellate courts had allowed appeals</w:t>
      </w:r>
      <w:r w:rsidR="0066739C" w:rsidRPr="006075B8">
        <w:t xml:space="preserve"> having regard to the </w:t>
      </w:r>
      <w:r w:rsidR="002238C1" w:rsidRPr="006075B8">
        <w:t>e</w:t>
      </w:r>
      <w:r w:rsidR="0066739C" w:rsidRPr="006075B8">
        <w:t>rrors committed by lower courts as to the admissibility and taking of the evidence</w:t>
      </w:r>
      <w:r w:rsidR="00543C39" w:rsidRPr="006075B8">
        <w:t>. As a result, the courts had</w:t>
      </w:r>
      <w:r w:rsidR="002238C1" w:rsidRPr="006075B8">
        <w:t xml:space="preserve"> ultimately</w:t>
      </w:r>
      <w:r w:rsidR="00543C39" w:rsidRPr="006075B8">
        <w:t xml:space="preserve"> failed to establish the facts of the case properly.</w:t>
      </w:r>
    </w:p>
    <w:p w:rsidR="00B11E71" w:rsidRPr="006075B8" w:rsidRDefault="00485077" w:rsidP="0078384A">
      <w:pPr>
        <w:pStyle w:val="JuPara"/>
      </w:pPr>
      <w:r w:rsidRPr="006075B8">
        <w:fldChar w:fldCharType="begin"/>
      </w:r>
      <w:r w:rsidRPr="006075B8">
        <w:instrText xml:space="preserve"> SEQ level0 \*arabic </w:instrText>
      </w:r>
      <w:r w:rsidRPr="006075B8">
        <w:fldChar w:fldCharType="separate"/>
      </w:r>
      <w:r w:rsidR="00751640">
        <w:rPr>
          <w:noProof/>
        </w:rPr>
        <w:t>62</w:t>
      </w:r>
      <w:r w:rsidRPr="006075B8">
        <w:fldChar w:fldCharType="end"/>
      </w:r>
      <w:r w:rsidRPr="006075B8">
        <w:t xml:space="preserve">.  The conduct of the judicial proceedings </w:t>
      </w:r>
      <w:r w:rsidR="0001160D" w:rsidRPr="006075B8">
        <w:t xml:space="preserve">had </w:t>
      </w:r>
      <w:r w:rsidRPr="006075B8">
        <w:t>testified to the domestic authorities</w:t>
      </w:r>
      <w:r w:rsidR="005E7ADB">
        <w:t>’</w:t>
      </w:r>
      <w:r w:rsidRPr="006075B8">
        <w:t xml:space="preserve"> reluctance to uncover, in an objective and conclusive manner, the whole truth about the circumstances of the applicant</w:t>
      </w:r>
      <w:r w:rsidR="005E7ADB">
        <w:t>’</w:t>
      </w:r>
      <w:r w:rsidRPr="006075B8">
        <w:t>s son</w:t>
      </w:r>
      <w:r w:rsidR="005E7ADB">
        <w:t>’</w:t>
      </w:r>
      <w:r w:rsidRPr="006075B8">
        <w:t xml:space="preserve">s death. </w:t>
      </w:r>
      <w:r w:rsidR="009F0DC1" w:rsidRPr="006075B8">
        <w:t xml:space="preserve">On the whole, the domestic authorities had failed to effectively and diligently determine the criminal </w:t>
      </w:r>
      <w:r w:rsidR="0001160D" w:rsidRPr="006075B8">
        <w:t xml:space="preserve">liability </w:t>
      </w:r>
      <w:r w:rsidR="009F0DC1" w:rsidRPr="006075B8">
        <w:t>arising in connection with the circumstances of the applicant</w:t>
      </w:r>
      <w:r w:rsidR="005E7ADB">
        <w:t>’</w:t>
      </w:r>
      <w:r w:rsidR="009F0DC1" w:rsidRPr="006075B8">
        <w:t>s son</w:t>
      </w:r>
      <w:r w:rsidR="005E7ADB">
        <w:t>’</w:t>
      </w:r>
      <w:r w:rsidR="009F0DC1" w:rsidRPr="006075B8">
        <w:t>s killing</w:t>
      </w:r>
      <w:r w:rsidR="002238C1" w:rsidRPr="006075B8">
        <w:t xml:space="preserve"> by agents of the </w:t>
      </w:r>
      <w:r w:rsidR="009D3A9B" w:rsidRPr="006075B8">
        <w:t xml:space="preserve">totalitarian </w:t>
      </w:r>
      <w:r w:rsidR="002238C1" w:rsidRPr="006075B8">
        <w:t>regime</w:t>
      </w:r>
      <w:r w:rsidR="009F0DC1" w:rsidRPr="006075B8">
        <w:t>, as required by Article 2 of the Convention.</w:t>
      </w:r>
    </w:p>
    <w:p w:rsidR="00B11E71" w:rsidRPr="006075B8" w:rsidRDefault="00110608" w:rsidP="00110608">
      <w:pPr>
        <w:pStyle w:val="JuH1"/>
      </w:pPr>
      <w:r w:rsidRPr="006075B8">
        <w:t>2.</w:t>
      </w:r>
      <w:r w:rsidR="00950FA9" w:rsidRPr="006075B8">
        <w:t>  </w:t>
      </w:r>
      <w:r w:rsidR="009F0DC1" w:rsidRPr="006075B8">
        <w:t>G</w:t>
      </w:r>
      <w:r w:rsidRPr="006075B8">
        <w:t>eneral principles developed in the Court</w:t>
      </w:r>
      <w:r w:rsidR="005E7ADB">
        <w:t>’</w:t>
      </w:r>
      <w:r w:rsidRPr="006075B8">
        <w:t>s case-law</w:t>
      </w:r>
    </w:p>
    <w:p w:rsidR="00976D90" w:rsidRDefault="00BD0956" w:rsidP="00F71CFB">
      <w:pPr>
        <w:pStyle w:val="JuPara"/>
      </w:pPr>
      <w:r w:rsidRPr="006075B8">
        <w:fldChar w:fldCharType="begin"/>
      </w:r>
      <w:r w:rsidRPr="006075B8">
        <w:instrText xml:space="preserve"> SEQ level0 \*arabic </w:instrText>
      </w:r>
      <w:r w:rsidRPr="006075B8">
        <w:fldChar w:fldCharType="separate"/>
      </w:r>
      <w:r w:rsidR="00751640">
        <w:rPr>
          <w:noProof/>
        </w:rPr>
        <w:t>63</w:t>
      </w:r>
      <w:r w:rsidRPr="006075B8">
        <w:fldChar w:fldCharType="end"/>
      </w:r>
      <w:r w:rsidRPr="006075B8">
        <w:t>.  </w:t>
      </w:r>
      <w:r w:rsidR="00F71CFB" w:rsidRPr="006075B8">
        <w:t>The obligation to protect the right to life under Article</w:t>
      </w:r>
      <w:r w:rsidR="00950FA9" w:rsidRPr="006075B8">
        <w:t> </w:t>
      </w:r>
      <w:r w:rsidR="00F71CFB" w:rsidRPr="006075B8">
        <w:t>2 of the Convention, read in conjunction with the State</w:t>
      </w:r>
      <w:r w:rsidR="005E7ADB">
        <w:t>’</w:t>
      </w:r>
      <w:r w:rsidR="00F71CFB" w:rsidRPr="006075B8">
        <w:t xml:space="preserve">s general duty under Article 1 of the Convention to “secure to everyone within [its] jurisdiction the rights and freedoms defined in [the] Convention”, requires by implication that there should be some form of effective official investigation when individuals have been killed as a result of the use of force (see </w:t>
      </w:r>
      <w:r w:rsidR="00F71CFB" w:rsidRPr="006075B8">
        <w:rPr>
          <w:i/>
        </w:rPr>
        <w:t xml:space="preserve">Çakıcı </w:t>
      </w:r>
      <w:r w:rsidR="00950FA9" w:rsidRPr="006075B8">
        <w:rPr>
          <w:i/>
        </w:rPr>
        <w:t>v. </w:t>
      </w:r>
      <w:r w:rsidR="00F71CFB" w:rsidRPr="006075B8">
        <w:rPr>
          <w:i/>
        </w:rPr>
        <w:t>Turkey</w:t>
      </w:r>
      <w:r w:rsidR="00484085" w:rsidRPr="006075B8">
        <w:t xml:space="preserve"> [GC], no. </w:t>
      </w:r>
      <w:r w:rsidR="00F71CFB" w:rsidRPr="006075B8">
        <w:t>23657/94, § 86, ECHR 1999</w:t>
      </w:r>
      <w:r w:rsidR="00F71CFB" w:rsidRPr="006075B8">
        <w:noBreakHyphen/>
        <w:t>IV). The essential purpose of such an investigation is to secure the effective implementation of the domestic laws safeguarding the right to life and, in those cases involving State agents or bodies, to ensure their accountability for deaths occurring under their responsibility (see</w:t>
      </w:r>
      <w:r w:rsidR="002238C1" w:rsidRPr="006075B8">
        <w:t>, among many other authorities,</w:t>
      </w:r>
      <w:r w:rsidR="00F71CFB" w:rsidRPr="006075B8">
        <w:t xml:space="preserve"> </w:t>
      </w:r>
      <w:r w:rsidR="00391839" w:rsidRPr="006075B8">
        <w:rPr>
          <w:i/>
        </w:rPr>
        <w:t>Anguelova v. </w:t>
      </w:r>
      <w:r w:rsidR="00F71CFB" w:rsidRPr="006075B8">
        <w:rPr>
          <w:i/>
        </w:rPr>
        <w:t>Bulgaria</w:t>
      </w:r>
      <w:r w:rsidR="00F71CFB" w:rsidRPr="006075B8">
        <w:t>, no. 38361/97, § 137, ECHR 2002</w:t>
      </w:r>
      <w:r w:rsidR="00F71CFB" w:rsidRPr="006075B8">
        <w:noBreakHyphen/>
        <w:t>IV</w:t>
      </w:r>
      <w:r w:rsidR="00BA55E6" w:rsidRPr="006075B8">
        <w:t xml:space="preserve">; </w:t>
      </w:r>
      <w:r w:rsidR="00391839" w:rsidRPr="006075B8">
        <w:rPr>
          <w:i/>
          <w:lang w:eastAsia="en-US"/>
        </w:rPr>
        <w:t>Mojsiejew v. </w:t>
      </w:r>
      <w:r w:rsidR="00BA55E6" w:rsidRPr="006075B8">
        <w:rPr>
          <w:i/>
          <w:lang w:eastAsia="en-US"/>
        </w:rPr>
        <w:t>Poland</w:t>
      </w:r>
      <w:r w:rsidR="00391839" w:rsidRPr="006075B8">
        <w:rPr>
          <w:lang w:eastAsia="en-US"/>
        </w:rPr>
        <w:t>, no. </w:t>
      </w:r>
      <w:r w:rsidR="00BA55E6" w:rsidRPr="006075B8">
        <w:rPr>
          <w:lang w:eastAsia="en-US"/>
        </w:rPr>
        <w:t xml:space="preserve">11818/02, </w:t>
      </w:r>
      <w:r w:rsidR="00BA55E6" w:rsidRPr="006075B8">
        <w:rPr>
          <w:snapToGrid w:val="0"/>
          <w:lang w:eastAsia="en-US"/>
        </w:rPr>
        <w:t xml:space="preserve">§ 53, 24 March 2009; </w:t>
      </w:r>
      <w:r w:rsidR="00391839" w:rsidRPr="006075B8">
        <w:rPr>
          <w:i/>
          <w:lang w:eastAsia="en-US"/>
        </w:rPr>
        <w:t>Wasilewska and Kałucka v. </w:t>
      </w:r>
      <w:r w:rsidR="00BA55E6" w:rsidRPr="006075B8">
        <w:rPr>
          <w:i/>
          <w:lang w:eastAsia="en-US"/>
        </w:rPr>
        <w:t>Poland</w:t>
      </w:r>
      <w:r w:rsidR="00BA55E6" w:rsidRPr="006075B8">
        <w:rPr>
          <w:lang w:eastAsia="en-US"/>
        </w:rPr>
        <w:t>, nos. 28975/04 and 33406/04</w:t>
      </w:r>
      <w:r w:rsidR="00BA55E6" w:rsidRPr="006075B8">
        <w:rPr>
          <w:snapToGrid w:val="0"/>
          <w:lang w:eastAsia="en-US"/>
        </w:rPr>
        <w:t>, § 59, 23 February 2010;</w:t>
      </w:r>
      <w:r w:rsidR="0001160D" w:rsidRPr="006075B8">
        <w:rPr>
          <w:snapToGrid w:val="0"/>
          <w:lang w:eastAsia="en-US"/>
        </w:rPr>
        <w:t xml:space="preserve"> and</w:t>
      </w:r>
      <w:r w:rsidR="00BA55E6" w:rsidRPr="006075B8">
        <w:rPr>
          <w:snapToGrid w:val="0"/>
          <w:lang w:eastAsia="en-US"/>
        </w:rPr>
        <w:t xml:space="preserve"> </w:t>
      </w:r>
      <w:r w:rsidR="00391839" w:rsidRPr="006075B8">
        <w:rPr>
          <w:i/>
          <w:lang w:eastAsia="en-US"/>
        </w:rPr>
        <w:t>Dzieciak v. </w:t>
      </w:r>
      <w:r w:rsidR="00BA55E6" w:rsidRPr="006075B8">
        <w:rPr>
          <w:i/>
          <w:lang w:eastAsia="en-US"/>
        </w:rPr>
        <w:t>Poland</w:t>
      </w:r>
      <w:r w:rsidR="00BA55E6" w:rsidRPr="006075B8">
        <w:rPr>
          <w:lang w:eastAsia="en-US"/>
        </w:rPr>
        <w:t>, no. 77766/01, § 104, 9</w:t>
      </w:r>
      <w:r w:rsidR="00391839" w:rsidRPr="006075B8">
        <w:rPr>
          <w:lang w:eastAsia="en-US"/>
        </w:rPr>
        <w:t> </w:t>
      </w:r>
      <w:r w:rsidR="00BA55E6" w:rsidRPr="006075B8">
        <w:rPr>
          <w:lang w:eastAsia="en-US"/>
        </w:rPr>
        <w:t>December 2008</w:t>
      </w:r>
      <w:r w:rsidR="00F71CFB" w:rsidRPr="006075B8">
        <w:t>).</w:t>
      </w:r>
    </w:p>
    <w:p w:rsidR="00F71CFB" w:rsidRPr="006075B8" w:rsidRDefault="001D5509" w:rsidP="00F71CFB">
      <w:pPr>
        <w:pStyle w:val="JuPara"/>
      </w:pPr>
      <w:r w:rsidRPr="006075B8">
        <w:fldChar w:fldCharType="begin"/>
      </w:r>
      <w:r w:rsidRPr="006075B8">
        <w:instrText xml:space="preserve"> SEQ level0 \*arabic </w:instrText>
      </w:r>
      <w:r w:rsidRPr="006075B8">
        <w:fldChar w:fldCharType="separate"/>
      </w:r>
      <w:r w:rsidR="00751640">
        <w:rPr>
          <w:noProof/>
        </w:rPr>
        <w:t>64</w:t>
      </w:r>
      <w:r w:rsidRPr="006075B8">
        <w:fldChar w:fldCharType="end"/>
      </w:r>
      <w:r w:rsidRPr="006075B8">
        <w:t>.  </w:t>
      </w:r>
      <w:r w:rsidR="00F71CFB" w:rsidRPr="006075B8">
        <w:t xml:space="preserve">For an investigation into alleged unlawful killing by State agents to be effective, the persons responsible for and carrying out the investigation must be independent and impartial, in law and in practice (see </w:t>
      </w:r>
      <w:r w:rsidR="00391839" w:rsidRPr="006075B8">
        <w:rPr>
          <w:i/>
        </w:rPr>
        <w:t>Güleç v. </w:t>
      </w:r>
      <w:r w:rsidR="00F71CFB" w:rsidRPr="006075B8">
        <w:rPr>
          <w:i/>
        </w:rPr>
        <w:t>Turkey</w:t>
      </w:r>
      <w:r w:rsidR="00F71CFB" w:rsidRPr="006075B8">
        <w:t>, 27 July 1998,</w:t>
      </w:r>
      <w:r w:rsidR="0001160D" w:rsidRPr="006075B8">
        <w:t xml:space="preserve"> §§ 81-82,</w:t>
      </w:r>
      <w:r w:rsidR="00F71CFB" w:rsidRPr="006075B8">
        <w:t xml:space="preserve"> </w:t>
      </w:r>
      <w:r w:rsidR="00F71CFB" w:rsidRPr="006075B8">
        <w:rPr>
          <w:i/>
        </w:rPr>
        <w:t>Reports</w:t>
      </w:r>
      <w:r w:rsidR="0001160D" w:rsidRPr="006075B8">
        <w:rPr>
          <w:i/>
        </w:rPr>
        <w:t xml:space="preserve"> of Judgments and Decisions</w:t>
      </w:r>
      <w:r w:rsidR="00F71CFB" w:rsidRPr="006075B8">
        <w:t xml:space="preserve"> 1998</w:t>
      </w:r>
      <w:r w:rsidR="00F71CFB" w:rsidRPr="006075B8">
        <w:noBreakHyphen/>
        <w:t xml:space="preserve">IV; </w:t>
      </w:r>
      <w:r w:rsidR="00F71CFB" w:rsidRPr="006075B8">
        <w:rPr>
          <w:i/>
        </w:rPr>
        <w:t>Oğur v. Turkey</w:t>
      </w:r>
      <w:r w:rsidR="00F71CFB" w:rsidRPr="006075B8">
        <w:t xml:space="preserve"> [GC], no. 21594/93, §§</w:t>
      </w:r>
      <w:r w:rsidR="00484085" w:rsidRPr="006075B8">
        <w:t> </w:t>
      </w:r>
      <w:r w:rsidR="00F71CFB" w:rsidRPr="006075B8">
        <w:t>91-92, ECHR 1999</w:t>
      </w:r>
      <w:r w:rsidR="00484085" w:rsidRPr="006075B8">
        <w:noBreakHyphen/>
      </w:r>
      <w:r w:rsidR="00F71CFB" w:rsidRPr="006075B8">
        <w:t xml:space="preserve">III; and </w:t>
      </w:r>
      <w:r w:rsidR="00484085" w:rsidRPr="006075B8">
        <w:rPr>
          <w:i/>
        </w:rPr>
        <w:t>Ergi v. </w:t>
      </w:r>
      <w:r w:rsidR="00F71CFB" w:rsidRPr="006075B8">
        <w:rPr>
          <w:i/>
        </w:rPr>
        <w:t>Turkey</w:t>
      </w:r>
      <w:r w:rsidR="00F71CFB" w:rsidRPr="006075B8">
        <w:t xml:space="preserve">, 28 July 1998, </w:t>
      </w:r>
      <w:r w:rsidR="0001160D" w:rsidRPr="006075B8">
        <w:t>§§</w:t>
      </w:r>
      <w:r w:rsidR="00391839" w:rsidRPr="006075B8">
        <w:t> </w:t>
      </w:r>
      <w:r w:rsidR="0001160D" w:rsidRPr="006075B8">
        <w:t>83</w:t>
      </w:r>
      <w:r w:rsidR="0001160D" w:rsidRPr="006075B8">
        <w:noBreakHyphen/>
        <w:t xml:space="preserve">84, </w:t>
      </w:r>
      <w:r w:rsidR="00F71CFB" w:rsidRPr="006075B8">
        <w:rPr>
          <w:i/>
        </w:rPr>
        <w:t>Reports</w:t>
      </w:r>
      <w:r w:rsidR="00F71CFB" w:rsidRPr="006075B8">
        <w:t xml:space="preserve"> 1998</w:t>
      </w:r>
      <w:r w:rsidR="00F71CFB" w:rsidRPr="006075B8">
        <w:noBreakHyphen/>
        <w:t>IV).</w:t>
      </w:r>
    </w:p>
    <w:p w:rsidR="00F71CFB" w:rsidRPr="006075B8" w:rsidRDefault="00F71CFB" w:rsidP="00F71CFB">
      <w:pPr>
        <w:pStyle w:val="JuPara"/>
      </w:pPr>
      <w:r w:rsidRPr="006075B8">
        <w:fldChar w:fldCharType="begin"/>
      </w:r>
      <w:r w:rsidRPr="006075B8">
        <w:instrText xml:space="preserve"> SEQ level0 \*arabic </w:instrText>
      </w:r>
      <w:r w:rsidRPr="006075B8">
        <w:fldChar w:fldCharType="separate"/>
      </w:r>
      <w:r w:rsidR="00751640">
        <w:rPr>
          <w:noProof/>
        </w:rPr>
        <w:t>65</w:t>
      </w:r>
      <w:r w:rsidRPr="006075B8">
        <w:fldChar w:fldCharType="end"/>
      </w:r>
      <w:r w:rsidRPr="006075B8">
        <w:t>.  </w:t>
      </w:r>
      <w:r w:rsidRPr="006075B8">
        <w:rPr>
          <w:szCs w:val="24"/>
        </w:rPr>
        <w:t xml:space="preserve">The investigation must also be effective in the sense that it is capable of leading to a determination of whether the force used was or was not justified in the circumstances and to the identification and punishment of those responsible (see </w:t>
      </w:r>
      <w:r w:rsidRPr="006075B8">
        <w:rPr>
          <w:i/>
        </w:rPr>
        <w:t>Oğur</w:t>
      </w:r>
      <w:r w:rsidRPr="006075B8">
        <w:rPr>
          <w:szCs w:val="24"/>
        </w:rPr>
        <w:t>, cited above, §</w:t>
      </w:r>
      <w:r w:rsidR="00484085" w:rsidRPr="006075B8">
        <w:rPr>
          <w:szCs w:val="24"/>
        </w:rPr>
        <w:t> </w:t>
      </w:r>
      <w:r w:rsidRPr="006075B8">
        <w:rPr>
          <w:szCs w:val="24"/>
        </w:rPr>
        <w:t>88).</w:t>
      </w:r>
      <w:r w:rsidRPr="006075B8">
        <w:t xml:space="preserve"> The authorities must have taken the reasonable steps available to them to secure the evidence concerning the incident, including </w:t>
      </w:r>
      <w:r w:rsidR="0001160D" w:rsidRPr="006075B8">
        <w:t xml:space="preserve">the gathering of </w:t>
      </w:r>
      <w:r w:rsidRPr="006075B8">
        <w:t xml:space="preserve">eye-witness </w:t>
      </w:r>
      <w:r w:rsidR="0001160D" w:rsidRPr="006075B8">
        <w:t xml:space="preserve">accounts </w:t>
      </w:r>
      <w:r w:rsidRPr="006075B8">
        <w:t>and forensic evidence. The investigation</w:t>
      </w:r>
      <w:r w:rsidR="005E7ADB">
        <w:t>’</w:t>
      </w:r>
      <w:r w:rsidRPr="006075B8">
        <w:t xml:space="preserve">s conclusions must be based on thorough, objective and impartial analysis of all relevant </w:t>
      </w:r>
      <w:r w:rsidR="0001160D" w:rsidRPr="006075B8">
        <w:t xml:space="preserve">factors </w:t>
      </w:r>
      <w:r w:rsidRPr="006075B8">
        <w:t>and must apply a standard comparable to the “no more than absolutely necessary” standard required by Article 2 § 2 of the Convention. Any deficiency in the investigation which undermines its capability of establishing the circumstances of the case or the</w:t>
      </w:r>
      <w:r w:rsidR="0001160D" w:rsidRPr="006075B8">
        <w:t xml:space="preserve"> identity of the</w:t>
      </w:r>
      <w:r w:rsidRPr="006075B8">
        <w:t xml:space="preserve"> person</w:t>
      </w:r>
      <w:r w:rsidR="0001160D" w:rsidRPr="006075B8">
        <w:t>(s)</w:t>
      </w:r>
      <w:r w:rsidRPr="006075B8">
        <w:t xml:space="preserve"> responsible is liable to fall foul of the required measure of effectiveness (see </w:t>
      </w:r>
      <w:r w:rsidR="00484085" w:rsidRPr="006075B8">
        <w:rPr>
          <w:i/>
        </w:rPr>
        <w:t>Kelly and Others v. </w:t>
      </w:r>
      <w:r w:rsidRPr="006075B8">
        <w:rPr>
          <w:i/>
        </w:rPr>
        <w:t>the United Kingdom</w:t>
      </w:r>
      <w:r w:rsidR="00484085" w:rsidRPr="006075B8">
        <w:t>, no. </w:t>
      </w:r>
      <w:r w:rsidRPr="006075B8">
        <w:t>30054/96, §§ 96-97, 4</w:t>
      </w:r>
      <w:r w:rsidR="00391839" w:rsidRPr="006075B8">
        <w:t> </w:t>
      </w:r>
      <w:r w:rsidRPr="006075B8">
        <w:t xml:space="preserve">May 2001, and </w:t>
      </w:r>
      <w:r w:rsidRPr="006075B8">
        <w:rPr>
          <w:i/>
        </w:rPr>
        <w:t>Anguelova</w:t>
      </w:r>
      <w:r w:rsidRPr="006075B8">
        <w:t>, cited above, §§</w:t>
      </w:r>
      <w:r w:rsidR="00391839" w:rsidRPr="006075B8">
        <w:t> </w:t>
      </w:r>
      <w:r w:rsidRPr="006075B8">
        <w:t>139 and 144).</w:t>
      </w:r>
    </w:p>
    <w:p w:rsidR="005806B0" w:rsidRPr="006075B8" w:rsidRDefault="005806B0" w:rsidP="005806B0">
      <w:pPr>
        <w:pStyle w:val="JuPara"/>
        <w:rPr>
          <w:i/>
          <w:lang w:eastAsia="en-US"/>
        </w:rPr>
      </w:pPr>
      <w:r w:rsidRPr="006075B8">
        <w:rPr>
          <w:rStyle w:val="sb8d990e2"/>
        </w:rPr>
        <w:fldChar w:fldCharType="begin"/>
      </w:r>
      <w:r w:rsidRPr="006075B8">
        <w:rPr>
          <w:rStyle w:val="sb8d990e2"/>
        </w:rPr>
        <w:instrText xml:space="preserve"> SEQ level0 \*arabic </w:instrText>
      </w:r>
      <w:r w:rsidRPr="006075B8">
        <w:rPr>
          <w:rStyle w:val="sb8d990e2"/>
        </w:rPr>
        <w:fldChar w:fldCharType="separate"/>
      </w:r>
      <w:r w:rsidR="00751640">
        <w:rPr>
          <w:rStyle w:val="sb8d990e2"/>
          <w:noProof/>
        </w:rPr>
        <w:t>66</w:t>
      </w:r>
      <w:r w:rsidRPr="006075B8">
        <w:rPr>
          <w:rStyle w:val="sb8d990e2"/>
        </w:rPr>
        <w:fldChar w:fldCharType="end"/>
      </w:r>
      <w:r w:rsidRPr="006075B8">
        <w:rPr>
          <w:rStyle w:val="sb8d990e2"/>
        </w:rPr>
        <w:t>.  The Court has held on many occasions that the procedural requirements of Article</w:t>
      </w:r>
      <w:r w:rsidR="00F75F6A" w:rsidRPr="006075B8">
        <w:rPr>
          <w:rStyle w:val="sb8d990e2"/>
        </w:rPr>
        <w:t>s</w:t>
      </w:r>
      <w:r w:rsidRPr="006075B8">
        <w:rPr>
          <w:rStyle w:val="sb8d990e2"/>
        </w:rPr>
        <w:t xml:space="preserve"> 2 </w:t>
      </w:r>
      <w:r w:rsidR="00F75F6A" w:rsidRPr="006075B8">
        <w:rPr>
          <w:rStyle w:val="sb8d990e2"/>
        </w:rPr>
        <w:t xml:space="preserve">(and 3) </w:t>
      </w:r>
      <w:r w:rsidRPr="006075B8">
        <w:rPr>
          <w:rStyle w:val="sb8d990e2"/>
        </w:rPr>
        <w:t xml:space="preserve">of the Convention go beyond the preliminary investigation stage when, as in this case, the investigation leads to legal action being taken before the national courts: the proceedings as a whole, including the trial stage, must meet the requirements of the prohibition enshrined in Article </w:t>
      </w:r>
      <w:r w:rsidR="0011714E" w:rsidRPr="006075B8">
        <w:rPr>
          <w:rStyle w:val="sb8d990e2"/>
        </w:rPr>
        <w:t>2</w:t>
      </w:r>
      <w:r w:rsidRPr="006075B8">
        <w:rPr>
          <w:rStyle w:val="sb8d990e2"/>
        </w:rPr>
        <w:t xml:space="preserve">. This means that the domestic judicial authorities must on no account be prepared to let </w:t>
      </w:r>
      <w:r w:rsidR="0001160D" w:rsidRPr="006075B8">
        <w:rPr>
          <w:rStyle w:val="sb8d990e2"/>
        </w:rPr>
        <w:t xml:space="preserve">any </w:t>
      </w:r>
      <w:r w:rsidRPr="006075B8">
        <w:rPr>
          <w:rStyle w:val="sb8d990e2"/>
        </w:rPr>
        <w:t>physical or psychological suffering inflicted go unpunished. This is essential for maintaining the public</w:t>
      </w:r>
      <w:r w:rsidR="005E7ADB">
        <w:rPr>
          <w:rStyle w:val="sb8d990e2"/>
        </w:rPr>
        <w:t>’</w:t>
      </w:r>
      <w:r w:rsidRPr="006075B8">
        <w:rPr>
          <w:rStyle w:val="sb8d990e2"/>
        </w:rPr>
        <w:t>s confidence in, and support for, the rule of law and for preventing any appearance of the authorities</w:t>
      </w:r>
      <w:r w:rsidR="005E7ADB">
        <w:rPr>
          <w:rStyle w:val="sb8d990e2"/>
        </w:rPr>
        <w:t>’</w:t>
      </w:r>
      <w:r w:rsidRPr="006075B8">
        <w:rPr>
          <w:rStyle w:val="sb8d990e2"/>
        </w:rPr>
        <w:t xml:space="preserve"> tolerance of or collusion in unlawful acts (see, </w:t>
      </w:r>
      <w:r w:rsidRPr="006075B8">
        <w:rPr>
          <w:rStyle w:val="s6b621b36"/>
          <w:i/>
        </w:rPr>
        <w:t>mutatis mutandis</w:t>
      </w:r>
      <w:r w:rsidRPr="006075B8">
        <w:rPr>
          <w:rStyle w:val="sb8d990e2"/>
        </w:rPr>
        <w:t>,</w:t>
      </w:r>
      <w:r w:rsidRPr="006075B8">
        <w:rPr>
          <w:rStyle w:val="s6b621b36"/>
        </w:rPr>
        <w:t xml:space="preserve"> </w:t>
      </w:r>
      <w:r w:rsidR="00391839" w:rsidRPr="006075B8">
        <w:rPr>
          <w:rStyle w:val="s6b621b36"/>
          <w:i/>
        </w:rPr>
        <w:t>Okkalı v. </w:t>
      </w:r>
      <w:r w:rsidRPr="006075B8">
        <w:rPr>
          <w:rStyle w:val="s6b621b36"/>
          <w:i/>
        </w:rPr>
        <w:t>Turkey</w:t>
      </w:r>
      <w:r w:rsidRPr="006075B8">
        <w:rPr>
          <w:rStyle w:val="sb8d990e2"/>
        </w:rPr>
        <w:t>, no.</w:t>
      </w:r>
      <w:r w:rsidR="00391839" w:rsidRPr="006075B8">
        <w:rPr>
          <w:rStyle w:val="sb8d990e2"/>
        </w:rPr>
        <w:t> </w:t>
      </w:r>
      <w:r w:rsidRPr="006075B8">
        <w:rPr>
          <w:rStyle w:val="wordhighlightedcurrentterm"/>
        </w:rPr>
        <w:t>52067/99</w:t>
      </w:r>
      <w:r w:rsidRPr="006075B8">
        <w:rPr>
          <w:rStyle w:val="sb8d990e2"/>
        </w:rPr>
        <w:t>, §</w:t>
      </w:r>
      <w:r w:rsidR="00391839" w:rsidRPr="006075B8">
        <w:rPr>
          <w:rStyle w:val="sb8d990e2"/>
        </w:rPr>
        <w:t> </w:t>
      </w:r>
      <w:r w:rsidRPr="006075B8">
        <w:rPr>
          <w:rStyle w:val="sb8d990e2"/>
        </w:rPr>
        <w:t>65, ECHR 2006 XII (extracts));</w:t>
      </w:r>
      <w:r w:rsidR="00B11E71" w:rsidRPr="006075B8">
        <w:rPr>
          <w:rStyle w:val="sb8d990e2"/>
        </w:rPr>
        <w:t xml:space="preserve"> </w:t>
      </w:r>
      <w:r w:rsidRPr="006075B8">
        <w:rPr>
          <w:i/>
          <w:szCs w:val="22"/>
          <w:lang w:eastAsia="en-US"/>
        </w:rPr>
        <w:t xml:space="preserve">Muta v. </w:t>
      </w:r>
      <w:smartTag w:uri="urn:schemas-microsoft-com:office:smarttags" w:element="place">
        <w:smartTag w:uri="urn:schemas-microsoft-com:office:smarttags" w:element="country-region">
          <w:r w:rsidRPr="006075B8">
            <w:rPr>
              <w:i/>
              <w:szCs w:val="22"/>
              <w:lang w:eastAsia="en-US"/>
            </w:rPr>
            <w:t>Ukraine</w:t>
          </w:r>
        </w:smartTag>
      </w:smartTag>
      <w:r w:rsidRPr="006075B8">
        <w:rPr>
          <w:i/>
          <w:szCs w:val="22"/>
          <w:lang w:eastAsia="en-US"/>
        </w:rPr>
        <w:t>,</w:t>
      </w:r>
      <w:r w:rsidRPr="006075B8">
        <w:rPr>
          <w:szCs w:val="22"/>
          <w:lang w:eastAsia="en-US"/>
        </w:rPr>
        <w:t xml:space="preserve"> no. 37246/06</w:t>
      </w:r>
      <w:r w:rsidRPr="006075B8">
        <w:rPr>
          <w:snapToGrid w:val="0"/>
          <w:lang w:eastAsia="en-US"/>
        </w:rPr>
        <w:t>, § 62, 31</w:t>
      </w:r>
      <w:r w:rsidR="00391839" w:rsidRPr="006075B8">
        <w:rPr>
          <w:snapToGrid w:val="0"/>
          <w:lang w:eastAsia="en-US"/>
        </w:rPr>
        <w:t> </w:t>
      </w:r>
      <w:r w:rsidRPr="006075B8">
        <w:rPr>
          <w:snapToGrid w:val="0"/>
          <w:lang w:eastAsia="en-US"/>
        </w:rPr>
        <w:t xml:space="preserve">July 2012; </w:t>
      </w:r>
      <w:r w:rsidR="00391839" w:rsidRPr="006075B8">
        <w:rPr>
          <w:i/>
          <w:lang w:eastAsia="en-US"/>
        </w:rPr>
        <w:t>Mojsiejew v. </w:t>
      </w:r>
      <w:r w:rsidRPr="006075B8">
        <w:rPr>
          <w:i/>
          <w:lang w:eastAsia="en-US"/>
        </w:rPr>
        <w:t>Poland</w:t>
      </w:r>
      <w:r w:rsidRPr="006075B8">
        <w:rPr>
          <w:lang w:eastAsia="en-US"/>
        </w:rPr>
        <w:t xml:space="preserve">, </w:t>
      </w:r>
      <w:r w:rsidR="008638C8" w:rsidRPr="006075B8">
        <w:rPr>
          <w:lang w:eastAsia="en-US"/>
        </w:rPr>
        <w:t xml:space="preserve">cited above, </w:t>
      </w:r>
      <w:r w:rsidRPr="006075B8">
        <w:rPr>
          <w:snapToGrid w:val="0"/>
          <w:lang w:eastAsia="en-US"/>
        </w:rPr>
        <w:t>§</w:t>
      </w:r>
      <w:r w:rsidR="00391839" w:rsidRPr="006075B8">
        <w:rPr>
          <w:snapToGrid w:val="0"/>
          <w:lang w:eastAsia="en-US"/>
        </w:rPr>
        <w:t> </w:t>
      </w:r>
      <w:r w:rsidRPr="006075B8">
        <w:rPr>
          <w:snapToGrid w:val="0"/>
          <w:lang w:eastAsia="en-US"/>
        </w:rPr>
        <w:t>53, 24</w:t>
      </w:r>
      <w:r w:rsidR="00391839" w:rsidRPr="006075B8">
        <w:rPr>
          <w:snapToGrid w:val="0"/>
          <w:lang w:eastAsia="en-US"/>
        </w:rPr>
        <w:t> </w:t>
      </w:r>
      <w:r w:rsidRPr="006075B8">
        <w:rPr>
          <w:snapToGrid w:val="0"/>
          <w:lang w:eastAsia="en-US"/>
        </w:rPr>
        <w:t xml:space="preserve">March 2009; </w:t>
      </w:r>
      <w:r w:rsidR="00391839" w:rsidRPr="006075B8">
        <w:rPr>
          <w:i/>
          <w:lang w:eastAsia="en-US"/>
        </w:rPr>
        <w:t>Wiktorko v. </w:t>
      </w:r>
      <w:r w:rsidRPr="006075B8">
        <w:rPr>
          <w:i/>
          <w:lang w:eastAsia="en-US"/>
        </w:rPr>
        <w:t>Poland</w:t>
      </w:r>
      <w:r w:rsidR="00391839" w:rsidRPr="006075B8">
        <w:rPr>
          <w:lang w:eastAsia="en-US"/>
        </w:rPr>
        <w:t>, no. </w:t>
      </w:r>
      <w:r w:rsidRPr="006075B8">
        <w:rPr>
          <w:lang w:eastAsia="en-US"/>
        </w:rPr>
        <w:t>14612/02, §</w:t>
      </w:r>
      <w:r w:rsidR="00391839" w:rsidRPr="006075B8">
        <w:rPr>
          <w:lang w:eastAsia="en-US"/>
        </w:rPr>
        <w:t> </w:t>
      </w:r>
      <w:r w:rsidRPr="006075B8">
        <w:rPr>
          <w:lang w:eastAsia="en-US"/>
        </w:rPr>
        <w:t>58, 31</w:t>
      </w:r>
      <w:r w:rsidR="00391839" w:rsidRPr="006075B8">
        <w:rPr>
          <w:lang w:eastAsia="en-US"/>
        </w:rPr>
        <w:t> </w:t>
      </w:r>
      <w:r w:rsidRPr="006075B8">
        <w:rPr>
          <w:lang w:eastAsia="en-US"/>
        </w:rPr>
        <w:t>March 2009).</w:t>
      </w:r>
    </w:p>
    <w:p w:rsidR="00B11E71" w:rsidRPr="006075B8" w:rsidRDefault="00391839" w:rsidP="00110608">
      <w:pPr>
        <w:pStyle w:val="JuH1"/>
      </w:pPr>
      <w:r w:rsidRPr="006075B8">
        <w:t>3.  </w:t>
      </w:r>
      <w:r w:rsidR="00110608" w:rsidRPr="006075B8">
        <w:t>Application of the principles to the circumstances of the present case</w:t>
      </w:r>
    </w:p>
    <w:p w:rsidR="00B11E71" w:rsidRPr="006075B8" w:rsidRDefault="009B60B6" w:rsidP="009B60B6">
      <w:pPr>
        <w:pStyle w:val="JuPara"/>
        <w:rPr>
          <w:szCs w:val="24"/>
        </w:rPr>
      </w:pPr>
      <w:r w:rsidRPr="006075B8">
        <w:rPr>
          <w:rStyle w:val="sb8d990e2"/>
        </w:rPr>
        <w:fldChar w:fldCharType="begin"/>
      </w:r>
      <w:r w:rsidRPr="006075B8">
        <w:rPr>
          <w:rStyle w:val="sb8d990e2"/>
        </w:rPr>
        <w:instrText xml:space="preserve"> SEQ level0 \*arabic </w:instrText>
      </w:r>
      <w:r w:rsidRPr="006075B8">
        <w:rPr>
          <w:rStyle w:val="sb8d990e2"/>
        </w:rPr>
        <w:fldChar w:fldCharType="separate"/>
      </w:r>
      <w:r w:rsidR="00751640">
        <w:rPr>
          <w:rStyle w:val="sb8d990e2"/>
          <w:noProof/>
        </w:rPr>
        <w:t>67</w:t>
      </w:r>
      <w:r w:rsidRPr="006075B8">
        <w:rPr>
          <w:rStyle w:val="sb8d990e2"/>
        </w:rPr>
        <w:fldChar w:fldCharType="end"/>
      </w:r>
      <w:r w:rsidRPr="006075B8">
        <w:rPr>
          <w:rStyle w:val="sb8d990e2"/>
        </w:rPr>
        <w:t>.  </w:t>
      </w:r>
      <w:r w:rsidR="00753699" w:rsidRPr="006075B8">
        <w:rPr>
          <w:rStyle w:val="sb8d990e2"/>
        </w:rPr>
        <w:t>The Court</w:t>
      </w:r>
      <w:r w:rsidRPr="006075B8">
        <w:rPr>
          <w:rStyle w:val="sb8d990e2"/>
        </w:rPr>
        <w:t xml:space="preserve"> first notes that on </w:t>
      </w:r>
      <w:r w:rsidRPr="006075B8">
        <w:rPr>
          <w:szCs w:val="24"/>
        </w:rPr>
        <w:t xml:space="preserve">29 June 1991 </w:t>
      </w:r>
      <w:r w:rsidR="00CC72FF" w:rsidRPr="006075B8">
        <w:rPr>
          <w:szCs w:val="24"/>
        </w:rPr>
        <w:t>an</w:t>
      </w:r>
      <w:r w:rsidRPr="006075B8">
        <w:rPr>
          <w:szCs w:val="24"/>
        </w:rPr>
        <w:t xml:space="preserve"> indictment against I.K. and two other </w:t>
      </w:r>
      <w:r w:rsidR="00447853" w:rsidRPr="006075B8">
        <w:rPr>
          <w:szCs w:val="24"/>
        </w:rPr>
        <w:t xml:space="preserve">former </w:t>
      </w:r>
      <w:r w:rsidR="00604CA9" w:rsidRPr="006075B8">
        <w:rPr>
          <w:szCs w:val="24"/>
        </w:rPr>
        <w:t xml:space="preserve">police </w:t>
      </w:r>
      <w:r w:rsidRPr="006075B8">
        <w:rPr>
          <w:szCs w:val="24"/>
        </w:rPr>
        <w:t xml:space="preserve">officers was brought before the Warsaw Regional Court. On 4 November 1991 that court remitted the case back to the prosecuting authorities, finding that there had been serious </w:t>
      </w:r>
      <w:r w:rsidR="00CC72FF" w:rsidRPr="006075B8">
        <w:rPr>
          <w:szCs w:val="24"/>
        </w:rPr>
        <w:t xml:space="preserve">defects </w:t>
      </w:r>
      <w:r w:rsidRPr="006075B8">
        <w:rPr>
          <w:szCs w:val="24"/>
        </w:rPr>
        <w:t xml:space="preserve">in the investigation. </w:t>
      </w:r>
      <w:r w:rsidR="008638C8" w:rsidRPr="006075B8">
        <w:rPr>
          <w:szCs w:val="24"/>
        </w:rPr>
        <w:t>As the Court</w:t>
      </w:r>
      <w:r w:rsidR="005E7ADB">
        <w:rPr>
          <w:szCs w:val="24"/>
        </w:rPr>
        <w:t>’</w:t>
      </w:r>
      <w:r w:rsidR="008638C8" w:rsidRPr="006075B8">
        <w:rPr>
          <w:szCs w:val="24"/>
        </w:rPr>
        <w:t xml:space="preserve">s competence </w:t>
      </w:r>
      <w:r w:rsidR="008638C8" w:rsidRPr="006075B8">
        <w:rPr>
          <w:i/>
          <w:szCs w:val="24"/>
        </w:rPr>
        <w:t>ratione temporis</w:t>
      </w:r>
      <w:r w:rsidR="008638C8" w:rsidRPr="006075B8">
        <w:rPr>
          <w:szCs w:val="24"/>
        </w:rPr>
        <w:t xml:space="preserve"> does not extend to the period prior to 1 May 1993, it can only have regard to these facts as </w:t>
      </w:r>
      <w:r w:rsidR="00CC72FF" w:rsidRPr="006075B8">
        <w:rPr>
          <w:szCs w:val="24"/>
        </w:rPr>
        <w:t xml:space="preserve">part of the </w:t>
      </w:r>
      <w:r w:rsidR="008638C8" w:rsidRPr="006075B8">
        <w:rPr>
          <w:szCs w:val="24"/>
        </w:rPr>
        <w:t>background of the present case.</w:t>
      </w:r>
    </w:p>
    <w:p w:rsidR="00B11E71" w:rsidRPr="006075B8" w:rsidRDefault="008638C8" w:rsidP="009B60B6">
      <w:pPr>
        <w:pStyle w:val="JuPara"/>
        <w:rPr>
          <w:rStyle w:val="sb8d990e2"/>
        </w:rPr>
      </w:pPr>
      <w:r w:rsidRPr="006075B8">
        <w:rPr>
          <w:szCs w:val="24"/>
        </w:rPr>
        <w:fldChar w:fldCharType="begin"/>
      </w:r>
      <w:r w:rsidRPr="006075B8">
        <w:rPr>
          <w:szCs w:val="24"/>
        </w:rPr>
        <w:instrText xml:space="preserve"> SEQ level0 \*arabic </w:instrText>
      </w:r>
      <w:r w:rsidRPr="006075B8">
        <w:rPr>
          <w:szCs w:val="24"/>
        </w:rPr>
        <w:fldChar w:fldCharType="separate"/>
      </w:r>
      <w:r w:rsidR="00751640">
        <w:rPr>
          <w:noProof/>
          <w:szCs w:val="24"/>
        </w:rPr>
        <w:t>68</w:t>
      </w:r>
      <w:r w:rsidRPr="006075B8">
        <w:rPr>
          <w:szCs w:val="24"/>
        </w:rPr>
        <w:fldChar w:fldCharType="end"/>
      </w:r>
      <w:r w:rsidRPr="006075B8">
        <w:rPr>
          <w:szCs w:val="24"/>
        </w:rPr>
        <w:t xml:space="preserve">.  The Court observes that </w:t>
      </w:r>
      <w:r w:rsidR="009B60B6" w:rsidRPr="006075B8">
        <w:rPr>
          <w:szCs w:val="24"/>
        </w:rPr>
        <w:t xml:space="preserve">on </w:t>
      </w:r>
      <w:r w:rsidRPr="006075B8">
        <w:rPr>
          <w:szCs w:val="24"/>
        </w:rPr>
        <w:t xml:space="preserve">five </w:t>
      </w:r>
      <w:r w:rsidR="00CC72FF" w:rsidRPr="006075B8">
        <w:rPr>
          <w:szCs w:val="24"/>
        </w:rPr>
        <w:t xml:space="preserve">subsequent </w:t>
      </w:r>
      <w:r w:rsidR="00753699" w:rsidRPr="006075B8">
        <w:rPr>
          <w:rStyle w:val="sb8d990e2"/>
        </w:rPr>
        <w:t xml:space="preserve">occasions the judgments </w:t>
      </w:r>
      <w:r w:rsidR="009B60B6" w:rsidRPr="006075B8">
        <w:rPr>
          <w:rStyle w:val="sb8d990e2"/>
        </w:rPr>
        <w:t xml:space="preserve">on the merits of the case were </w:t>
      </w:r>
      <w:r w:rsidR="00DC7D55" w:rsidRPr="006075B8">
        <w:rPr>
          <w:rStyle w:val="sb8d990e2"/>
        </w:rPr>
        <w:t xml:space="preserve">set aside and </w:t>
      </w:r>
      <w:r w:rsidR="00937EAD" w:rsidRPr="006075B8">
        <w:rPr>
          <w:rStyle w:val="sb8d990e2"/>
        </w:rPr>
        <w:t xml:space="preserve">the </w:t>
      </w:r>
      <w:r w:rsidR="00DC7D55" w:rsidRPr="006075B8">
        <w:rPr>
          <w:rStyle w:val="sb8d990e2"/>
        </w:rPr>
        <w:t xml:space="preserve">case </w:t>
      </w:r>
      <w:r w:rsidR="00937EAD" w:rsidRPr="006075B8">
        <w:rPr>
          <w:rStyle w:val="sb8d990e2"/>
        </w:rPr>
        <w:t xml:space="preserve">was </w:t>
      </w:r>
      <w:r w:rsidR="00DC7D55" w:rsidRPr="006075B8">
        <w:rPr>
          <w:rStyle w:val="sb8d990e2"/>
        </w:rPr>
        <w:t>remitted for re-examination</w:t>
      </w:r>
      <w:r w:rsidR="009B60B6" w:rsidRPr="006075B8">
        <w:rPr>
          <w:rStyle w:val="sb8d990e2"/>
        </w:rPr>
        <w:t xml:space="preserve"> (see paragraphs</w:t>
      </w:r>
      <w:r w:rsidRPr="006075B8">
        <w:rPr>
          <w:rStyle w:val="sb8d990e2"/>
        </w:rPr>
        <w:t xml:space="preserve"> 12, 16, 17, 19 and 25 </w:t>
      </w:r>
      <w:r w:rsidR="009B60B6" w:rsidRPr="006075B8">
        <w:rPr>
          <w:rStyle w:val="sb8d990e2"/>
        </w:rPr>
        <w:t>above)</w:t>
      </w:r>
      <w:r w:rsidR="00DC7D55" w:rsidRPr="006075B8">
        <w:rPr>
          <w:rStyle w:val="sb8d990e2"/>
        </w:rPr>
        <w:t xml:space="preserve">. </w:t>
      </w:r>
      <w:r w:rsidR="009B60B6" w:rsidRPr="006075B8">
        <w:rPr>
          <w:rStyle w:val="sb8d990e2"/>
        </w:rPr>
        <w:t xml:space="preserve">The </w:t>
      </w:r>
      <w:r w:rsidR="00CC72FF" w:rsidRPr="006075B8">
        <w:rPr>
          <w:rStyle w:val="sb8d990e2"/>
        </w:rPr>
        <w:t xml:space="preserve">appellate </w:t>
      </w:r>
      <w:r w:rsidR="009B60B6" w:rsidRPr="006075B8">
        <w:rPr>
          <w:rStyle w:val="sb8d990e2"/>
        </w:rPr>
        <w:t xml:space="preserve">courts repeatedly had regard to the failure of the lower </w:t>
      </w:r>
      <w:r w:rsidR="00CC72FF" w:rsidRPr="006075B8">
        <w:rPr>
          <w:rStyle w:val="sb8d990e2"/>
        </w:rPr>
        <w:t xml:space="preserve">courts </w:t>
      </w:r>
      <w:r w:rsidR="009B60B6" w:rsidRPr="006075B8">
        <w:rPr>
          <w:rStyle w:val="sb8d990e2"/>
        </w:rPr>
        <w:t xml:space="preserve">to </w:t>
      </w:r>
      <w:r w:rsidR="00F51885" w:rsidRPr="006075B8">
        <w:rPr>
          <w:rStyle w:val="sb8d990e2"/>
        </w:rPr>
        <w:t xml:space="preserve">establish </w:t>
      </w:r>
      <w:r w:rsidR="009B60B6" w:rsidRPr="006075B8">
        <w:rPr>
          <w:rStyle w:val="sb8d990e2"/>
        </w:rPr>
        <w:t xml:space="preserve">all </w:t>
      </w:r>
      <w:r w:rsidR="00501DB0" w:rsidRPr="006075B8">
        <w:rPr>
          <w:rStyle w:val="sb8d990e2"/>
        </w:rPr>
        <w:t>the facts of the case and sufficient grounds on which to base a</w:t>
      </w:r>
      <w:r w:rsidR="009B60B6" w:rsidRPr="006075B8">
        <w:rPr>
          <w:rStyle w:val="sb8d990e2"/>
        </w:rPr>
        <w:t xml:space="preserve"> decision </w:t>
      </w:r>
      <w:r w:rsidRPr="006075B8">
        <w:rPr>
          <w:rStyle w:val="sb8d990e2"/>
        </w:rPr>
        <w:t>or to errors of substantive law</w:t>
      </w:r>
      <w:r w:rsidR="009B60B6" w:rsidRPr="006075B8">
        <w:rPr>
          <w:rStyle w:val="sb8d990e2"/>
        </w:rPr>
        <w:t>. The Court no</w:t>
      </w:r>
      <w:r w:rsidR="00391839" w:rsidRPr="006075B8">
        <w:rPr>
          <w:rStyle w:val="sb8d990e2"/>
        </w:rPr>
        <w:t>tes that in its judgments of 29 </w:t>
      </w:r>
      <w:r w:rsidR="009B60B6" w:rsidRPr="006075B8">
        <w:rPr>
          <w:rStyle w:val="sb8d990e2"/>
        </w:rPr>
        <w:t xml:space="preserve">January 2002 (see paragraph </w:t>
      </w:r>
      <w:r w:rsidRPr="006075B8">
        <w:rPr>
          <w:rStyle w:val="sb8d990e2"/>
        </w:rPr>
        <w:t>17</w:t>
      </w:r>
      <w:r w:rsidR="009B60B6" w:rsidRPr="006075B8">
        <w:rPr>
          <w:rStyle w:val="sb8d990e2"/>
        </w:rPr>
        <w:t xml:space="preserve"> above) and 16 June 2004</w:t>
      </w:r>
      <w:r w:rsidRPr="006075B8">
        <w:rPr>
          <w:rStyle w:val="sb8d990e2"/>
        </w:rPr>
        <w:t xml:space="preserve"> (see paragraph 19 above) </w:t>
      </w:r>
      <w:r w:rsidR="009B60B6" w:rsidRPr="006075B8">
        <w:rPr>
          <w:rStyle w:val="sb8d990e2"/>
        </w:rPr>
        <w:t xml:space="preserve">the Warsaw Court of </w:t>
      </w:r>
      <w:r w:rsidRPr="006075B8">
        <w:rPr>
          <w:rStyle w:val="sb8d990e2"/>
        </w:rPr>
        <w:t>A</w:t>
      </w:r>
      <w:r w:rsidR="009B60B6" w:rsidRPr="006075B8">
        <w:rPr>
          <w:rStyle w:val="sb8d990e2"/>
        </w:rPr>
        <w:t>ppeal criticised the lower court for its failure to take certain evidence crucial for the proper determination of the facts of the case.</w:t>
      </w:r>
    </w:p>
    <w:p w:rsidR="00B11E71" w:rsidRPr="006075B8" w:rsidRDefault="009B60B6" w:rsidP="00D0087A">
      <w:pPr>
        <w:pStyle w:val="JuPara"/>
        <w:rPr>
          <w:rStyle w:val="sb8d990e2"/>
        </w:rPr>
      </w:pPr>
      <w:r w:rsidRPr="006075B8">
        <w:rPr>
          <w:rStyle w:val="sb8d990e2"/>
        </w:rPr>
        <w:fldChar w:fldCharType="begin"/>
      </w:r>
      <w:r w:rsidRPr="006075B8">
        <w:rPr>
          <w:rStyle w:val="sb8d990e2"/>
        </w:rPr>
        <w:instrText xml:space="preserve"> SEQ level0 \*arabic </w:instrText>
      </w:r>
      <w:r w:rsidRPr="006075B8">
        <w:rPr>
          <w:rStyle w:val="sb8d990e2"/>
        </w:rPr>
        <w:fldChar w:fldCharType="separate"/>
      </w:r>
      <w:r w:rsidR="00751640">
        <w:rPr>
          <w:rStyle w:val="sb8d990e2"/>
          <w:noProof/>
        </w:rPr>
        <w:t>69</w:t>
      </w:r>
      <w:r w:rsidRPr="006075B8">
        <w:rPr>
          <w:rStyle w:val="sb8d990e2"/>
        </w:rPr>
        <w:fldChar w:fldCharType="end"/>
      </w:r>
      <w:r w:rsidRPr="006075B8">
        <w:rPr>
          <w:rStyle w:val="sb8d990e2"/>
        </w:rPr>
        <w:t>.  </w:t>
      </w:r>
      <w:r w:rsidR="00D0087A" w:rsidRPr="006075B8">
        <w:rPr>
          <w:rStyle w:val="sb8d990e2"/>
        </w:rPr>
        <w:t>The Court considers that, sin</w:t>
      </w:r>
      <w:r w:rsidR="00484085" w:rsidRPr="006075B8">
        <w:rPr>
          <w:rStyle w:val="sb8d990e2"/>
        </w:rPr>
        <w:t>ce the remittal of cases for re</w:t>
      </w:r>
      <w:r w:rsidR="00484085" w:rsidRPr="006075B8">
        <w:rPr>
          <w:rStyle w:val="sb8d990e2"/>
        </w:rPr>
        <w:noBreakHyphen/>
      </w:r>
      <w:r w:rsidR="00D0087A" w:rsidRPr="006075B8">
        <w:rPr>
          <w:rStyle w:val="sb8d990e2"/>
        </w:rPr>
        <w:t xml:space="preserve">examination is usually ordered as a result of errors committed by lower </w:t>
      </w:r>
      <w:r w:rsidR="00CC72FF" w:rsidRPr="006075B8">
        <w:rPr>
          <w:rStyle w:val="sb8d990e2"/>
        </w:rPr>
        <w:t>courts</w:t>
      </w:r>
      <w:r w:rsidR="00D0087A" w:rsidRPr="006075B8">
        <w:rPr>
          <w:rStyle w:val="sb8d990e2"/>
        </w:rPr>
        <w:t>, the repetition of such orders within one set of proceedings discloses a serious deficiency in the operation of the judicial system (</w:t>
      </w:r>
      <w:r w:rsidR="00CC72FF" w:rsidRPr="006075B8">
        <w:rPr>
          <w:rStyle w:val="sb8d990e2"/>
        </w:rPr>
        <w:t xml:space="preserve">see, </w:t>
      </w:r>
      <w:r w:rsidR="00D0087A" w:rsidRPr="006075B8">
        <w:rPr>
          <w:rStyle w:val="s6b621b36"/>
          <w:i/>
        </w:rPr>
        <w:t>mutatis mutandis</w:t>
      </w:r>
      <w:r w:rsidR="00D0087A" w:rsidRPr="006075B8">
        <w:rPr>
          <w:rStyle w:val="sb8d990e2"/>
        </w:rPr>
        <w:t xml:space="preserve">, </w:t>
      </w:r>
      <w:r w:rsidR="00484085" w:rsidRPr="006075B8">
        <w:rPr>
          <w:rStyle w:val="s6b621b36"/>
          <w:i/>
        </w:rPr>
        <w:t>Wierciszewska v. </w:t>
      </w:r>
      <w:r w:rsidR="00D0087A" w:rsidRPr="006075B8">
        <w:rPr>
          <w:rStyle w:val="s6b621b36"/>
          <w:i/>
        </w:rPr>
        <w:t>Poland</w:t>
      </w:r>
      <w:r w:rsidR="00484085" w:rsidRPr="006075B8">
        <w:rPr>
          <w:rStyle w:val="sb8d990e2"/>
        </w:rPr>
        <w:t>, no. </w:t>
      </w:r>
      <w:r w:rsidR="00391839" w:rsidRPr="006075B8">
        <w:rPr>
          <w:rStyle w:val="sb8d990e2"/>
        </w:rPr>
        <w:t>41431/98, § </w:t>
      </w:r>
      <w:r w:rsidR="00D0087A" w:rsidRPr="006075B8">
        <w:rPr>
          <w:rStyle w:val="sb8d990e2"/>
        </w:rPr>
        <w:t>46, 25</w:t>
      </w:r>
      <w:r w:rsidR="00484085" w:rsidRPr="006075B8">
        <w:rPr>
          <w:rStyle w:val="sb8d990e2"/>
        </w:rPr>
        <w:t> </w:t>
      </w:r>
      <w:r w:rsidR="00D0087A" w:rsidRPr="006075B8">
        <w:rPr>
          <w:rStyle w:val="sb8d990e2"/>
        </w:rPr>
        <w:t>November 2003). This finding of the Court, initially made in the context of cases concerning allegations of excessive length of judicial proceedings</w:t>
      </w:r>
      <w:r w:rsidR="00CC72FF" w:rsidRPr="006075B8">
        <w:rPr>
          <w:rStyle w:val="sb8d990e2"/>
        </w:rPr>
        <w:t>,</w:t>
      </w:r>
      <w:r w:rsidR="00D0087A" w:rsidRPr="006075B8">
        <w:rPr>
          <w:rStyle w:val="sb8d990e2"/>
        </w:rPr>
        <w:t xml:space="preserve"> </w:t>
      </w:r>
      <w:r w:rsidR="00CC72FF" w:rsidRPr="006075B8">
        <w:rPr>
          <w:rStyle w:val="sb8d990e2"/>
        </w:rPr>
        <w:t xml:space="preserve">also </w:t>
      </w:r>
      <w:r w:rsidR="00D0087A" w:rsidRPr="006075B8">
        <w:rPr>
          <w:rStyle w:val="sb8d990e2"/>
        </w:rPr>
        <w:t xml:space="preserve">holds true for cases relating to obligations of the States to conduct </w:t>
      </w:r>
      <w:r w:rsidR="00CC72FF" w:rsidRPr="006075B8">
        <w:rPr>
          <w:rStyle w:val="sb8d990e2"/>
        </w:rPr>
        <w:t xml:space="preserve">a </w:t>
      </w:r>
      <w:r w:rsidR="00D0087A" w:rsidRPr="006075B8">
        <w:rPr>
          <w:rStyle w:val="sb8d990e2"/>
        </w:rPr>
        <w:t>prompt investigation in the context of complaints made under Article</w:t>
      </w:r>
      <w:r w:rsidR="00391839" w:rsidRPr="006075B8">
        <w:rPr>
          <w:rStyle w:val="sb8d990e2"/>
        </w:rPr>
        <w:t> </w:t>
      </w:r>
      <w:r w:rsidR="00D0087A" w:rsidRPr="006075B8">
        <w:rPr>
          <w:rStyle w:val="sb8d990e2"/>
        </w:rPr>
        <w:t xml:space="preserve">2 of the Convention (see </w:t>
      </w:r>
      <w:r w:rsidR="00391839" w:rsidRPr="006075B8">
        <w:rPr>
          <w:i/>
          <w:szCs w:val="24"/>
          <w:lang w:eastAsia="en-US"/>
        </w:rPr>
        <w:t>Byrzykowski v. </w:t>
      </w:r>
      <w:r w:rsidR="00D0087A" w:rsidRPr="006075B8">
        <w:rPr>
          <w:i/>
          <w:szCs w:val="24"/>
          <w:lang w:eastAsia="en-US"/>
        </w:rPr>
        <w:t>Poland</w:t>
      </w:r>
      <w:r w:rsidR="00391839" w:rsidRPr="006075B8">
        <w:rPr>
          <w:szCs w:val="24"/>
          <w:lang w:eastAsia="en-US"/>
        </w:rPr>
        <w:t>, no. </w:t>
      </w:r>
      <w:r w:rsidR="00D0087A" w:rsidRPr="006075B8">
        <w:rPr>
          <w:szCs w:val="24"/>
          <w:lang w:eastAsia="en-US"/>
        </w:rPr>
        <w:t>11562/05, § 111, 27</w:t>
      </w:r>
      <w:r w:rsidR="00391839" w:rsidRPr="006075B8">
        <w:rPr>
          <w:szCs w:val="24"/>
          <w:lang w:eastAsia="en-US"/>
        </w:rPr>
        <w:t> </w:t>
      </w:r>
      <w:r w:rsidR="00D0087A" w:rsidRPr="006075B8">
        <w:rPr>
          <w:szCs w:val="24"/>
          <w:lang w:eastAsia="en-US"/>
        </w:rPr>
        <w:t>June 2006</w:t>
      </w:r>
      <w:r w:rsidR="00D0087A" w:rsidRPr="006075B8">
        <w:rPr>
          <w:rStyle w:val="sb8d990e2"/>
        </w:rPr>
        <w:t>).</w:t>
      </w:r>
    </w:p>
    <w:p w:rsidR="00B11E71" w:rsidRPr="006075B8" w:rsidRDefault="009B60B6" w:rsidP="00D0087A">
      <w:pPr>
        <w:pStyle w:val="JuPara"/>
        <w:rPr>
          <w:rStyle w:val="sb8d990e2"/>
        </w:rPr>
      </w:pPr>
      <w:r w:rsidRPr="006075B8">
        <w:rPr>
          <w:rStyle w:val="sb8d990e2"/>
        </w:rPr>
        <w:fldChar w:fldCharType="begin"/>
      </w:r>
      <w:r w:rsidRPr="006075B8">
        <w:rPr>
          <w:rStyle w:val="sb8d990e2"/>
        </w:rPr>
        <w:instrText xml:space="preserve"> SEQ level0 \*arabic </w:instrText>
      </w:r>
      <w:r w:rsidRPr="006075B8">
        <w:rPr>
          <w:rStyle w:val="sb8d990e2"/>
        </w:rPr>
        <w:fldChar w:fldCharType="separate"/>
      </w:r>
      <w:r w:rsidR="00751640">
        <w:rPr>
          <w:rStyle w:val="sb8d990e2"/>
          <w:noProof/>
        </w:rPr>
        <w:t>70</w:t>
      </w:r>
      <w:r w:rsidRPr="006075B8">
        <w:rPr>
          <w:rStyle w:val="sb8d990e2"/>
        </w:rPr>
        <w:fldChar w:fldCharType="end"/>
      </w:r>
      <w:r w:rsidRPr="006075B8">
        <w:rPr>
          <w:rStyle w:val="sb8d990e2"/>
        </w:rPr>
        <w:t>.  </w:t>
      </w:r>
      <w:r w:rsidR="00AC67F5" w:rsidRPr="006075B8">
        <w:rPr>
          <w:rStyle w:val="sb8d990e2"/>
        </w:rPr>
        <w:t>The Court further observes that after 1 May 1993 the proceedings lasted for seventeen years.</w:t>
      </w:r>
      <w:r w:rsidR="00A70C10" w:rsidRPr="006075B8">
        <w:rPr>
          <w:rStyle w:val="sb8d990e2"/>
        </w:rPr>
        <w:t xml:space="preserve"> </w:t>
      </w:r>
      <w:r w:rsidR="00AC67F5" w:rsidRPr="006075B8">
        <w:rPr>
          <w:rStyle w:val="sb8d990e2"/>
        </w:rPr>
        <w:t>It notes that there were</w:t>
      </w:r>
      <w:r w:rsidR="008638C8" w:rsidRPr="006075B8">
        <w:rPr>
          <w:rStyle w:val="sb8d990e2"/>
        </w:rPr>
        <w:t xml:space="preserve"> significant</w:t>
      </w:r>
      <w:r w:rsidR="00AC67F5" w:rsidRPr="006075B8">
        <w:rPr>
          <w:rStyle w:val="sb8d990e2"/>
        </w:rPr>
        <w:t xml:space="preserve"> pe</w:t>
      </w:r>
      <w:r w:rsidR="009A7C03" w:rsidRPr="006075B8">
        <w:rPr>
          <w:rStyle w:val="sb8d990e2"/>
        </w:rPr>
        <w:t>riods of inactivity on the part</w:t>
      </w:r>
      <w:r w:rsidR="00AC67F5" w:rsidRPr="006075B8">
        <w:rPr>
          <w:rStyle w:val="sb8d990e2"/>
        </w:rPr>
        <w:t xml:space="preserve"> of the courts: </w:t>
      </w:r>
      <w:r w:rsidR="0016101F" w:rsidRPr="006075B8">
        <w:rPr>
          <w:rStyle w:val="sb8d990e2"/>
        </w:rPr>
        <w:t xml:space="preserve">the first one </w:t>
      </w:r>
      <w:r w:rsidR="00AC67F5" w:rsidRPr="006075B8">
        <w:rPr>
          <w:rStyle w:val="sb8d990e2"/>
        </w:rPr>
        <w:t>between 29</w:t>
      </w:r>
      <w:r w:rsidR="00391839" w:rsidRPr="006075B8">
        <w:rPr>
          <w:rStyle w:val="sb8d990e2"/>
        </w:rPr>
        <w:t> </w:t>
      </w:r>
      <w:r w:rsidR="00AC67F5" w:rsidRPr="006075B8">
        <w:rPr>
          <w:rStyle w:val="sb8d990e2"/>
        </w:rPr>
        <w:t>March 199</w:t>
      </w:r>
      <w:r w:rsidR="0016101F" w:rsidRPr="006075B8">
        <w:rPr>
          <w:rStyle w:val="sb8d990e2"/>
        </w:rPr>
        <w:t xml:space="preserve">3 and 22 May 1995 and the subsequent one </w:t>
      </w:r>
      <w:r w:rsidR="00286D77" w:rsidRPr="006075B8">
        <w:rPr>
          <w:rStyle w:val="sb8d990e2"/>
        </w:rPr>
        <w:t>between 22 May 1998</w:t>
      </w:r>
      <w:r w:rsidR="00CC72FF" w:rsidRPr="006075B8">
        <w:rPr>
          <w:rStyle w:val="sb8d990e2"/>
        </w:rPr>
        <w:t>,</w:t>
      </w:r>
      <w:r w:rsidR="00286D77" w:rsidRPr="006075B8">
        <w:rPr>
          <w:rStyle w:val="sb8d990e2"/>
        </w:rPr>
        <w:t xml:space="preserve"> when the judgment of the Warsaw Regional Court </w:t>
      </w:r>
      <w:r w:rsidR="0016101F" w:rsidRPr="006075B8">
        <w:rPr>
          <w:rStyle w:val="sb8d990e2"/>
        </w:rPr>
        <w:t xml:space="preserve">of </w:t>
      </w:r>
      <w:r w:rsidR="00286D77" w:rsidRPr="006075B8">
        <w:rPr>
          <w:rStyle w:val="sb8d990e2"/>
        </w:rPr>
        <w:t>4 April 1997 was quashed and the case remitted</w:t>
      </w:r>
      <w:r w:rsidR="009A7C03" w:rsidRPr="006075B8">
        <w:rPr>
          <w:rStyle w:val="sb8d990e2"/>
        </w:rPr>
        <w:t>,</w:t>
      </w:r>
      <w:r w:rsidR="0016101F" w:rsidRPr="006075B8">
        <w:rPr>
          <w:rStyle w:val="sb8d990e2"/>
        </w:rPr>
        <w:t xml:space="preserve"> and 22 September 1999 when the Supreme Court dismissed the appeals against that judgment. </w:t>
      </w:r>
      <w:r w:rsidR="00286D77" w:rsidRPr="006075B8">
        <w:rPr>
          <w:rStyle w:val="sb8d990e2"/>
        </w:rPr>
        <w:t xml:space="preserve">Subsequently, there was another period of inactivity between </w:t>
      </w:r>
      <w:r w:rsidR="0016101F" w:rsidRPr="006075B8">
        <w:rPr>
          <w:rStyle w:val="sb8d990e2"/>
        </w:rPr>
        <w:t xml:space="preserve">the latter date and </w:t>
      </w:r>
      <w:r w:rsidR="00286D77" w:rsidRPr="006075B8">
        <w:rPr>
          <w:rStyle w:val="sb8d990e2"/>
        </w:rPr>
        <w:t>18 April 2000</w:t>
      </w:r>
      <w:r w:rsidR="00CC72FF" w:rsidRPr="006075B8">
        <w:rPr>
          <w:rStyle w:val="sb8d990e2"/>
        </w:rPr>
        <w:t>,</w:t>
      </w:r>
      <w:r w:rsidR="00286D77" w:rsidRPr="006075B8">
        <w:rPr>
          <w:rStyle w:val="sb8d990e2"/>
        </w:rPr>
        <w:t xml:space="preserve"> when the first hearing was held before the </w:t>
      </w:r>
      <w:smartTag w:uri="urn:schemas-microsoft-com:office:smarttags" w:element="Street">
        <w:smartTag w:uri="urn:schemas-microsoft-com:office:smarttags" w:element="address">
          <w:r w:rsidR="00286D77" w:rsidRPr="006075B8">
            <w:rPr>
              <w:rStyle w:val="sb8d990e2"/>
            </w:rPr>
            <w:t>Warsaw Regional Court</w:t>
          </w:r>
        </w:smartTag>
      </w:smartTag>
      <w:r w:rsidR="00286D77" w:rsidRPr="006075B8">
        <w:rPr>
          <w:rStyle w:val="sb8d990e2"/>
        </w:rPr>
        <w:t xml:space="preserve">. </w:t>
      </w:r>
      <w:r w:rsidR="008638C8" w:rsidRPr="006075B8">
        <w:rPr>
          <w:rStyle w:val="sb8d990e2"/>
        </w:rPr>
        <w:t>Likewise, t</w:t>
      </w:r>
      <w:r w:rsidR="00286D77" w:rsidRPr="006075B8">
        <w:rPr>
          <w:rStyle w:val="sb8d990e2"/>
        </w:rPr>
        <w:t>here was no progress in the proceedings between 29</w:t>
      </w:r>
      <w:r w:rsidR="00391839" w:rsidRPr="006075B8">
        <w:rPr>
          <w:rStyle w:val="sb8d990e2"/>
        </w:rPr>
        <w:t> </w:t>
      </w:r>
      <w:r w:rsidR="00286D77" w:rsidRPr="006075B8">
        <w:rPr>
          <w:rStyle w:val="sb8d990e2"/>
        </w:rPr>
        <w:t>January 2002</w:t>
      </w:r>
      <w:r w:rsidR="0032774D" w:rsidRPr="006075B8">
        <w:rPr>
          <w:rStyle w:val="sb8d990e2"/>
        </w:rPr>
        <w:t>,</w:t>
      </w:r>
      <w:r w:rsidR="00286D77" w:rsidRPr="006075B8">
        <w:rPr>
          <w:rStyle w:val="sb8d990e2"/>
        </w:rPr>
        <w:t xml:space="preserve"> when the Warsaw Court of Appeal again remitted the case</w:t>
      </w:r>
      <w:r w:rsidR="0032774D" w:rsidRPr="006075B8">
        <w:rPr>
          <w:rStyle w:val="sb8d990e2"/>
        </w:rPr>
        <w:t>,</w:t>
      </w:r>
      <w:r w:rsidR="00286D77" w:rsidRPr="006075B8">
        <w:rPr>
          <w:rStyle w:val="sb8d990e2"/>
        </w:rPr>
        <w:t xml:space="preserve"> and 5 June 2003</w:t>
      </w:r>
      <w:r w:rsidR="0032774D" w:rsidRPr="006075B8">
        <w:rPr>
          <w:rStyle w:val="sb8d990e2"/>
        </w:rPr>
        <w:t>,</w:t>
      </w:r>
      <w:r w:rsidR="00286D77" w:rsidRPr="006075B8">
        <w:rPr>
          <w:rStyle w:val="sb8d990e2"/>
        </w:rPr>
        <w:t xml:space="preserve"> when the first hearing was held before the </w:t>
      </w:r>
      <w:smartTag w:uri="urn:schemas-microsoft-com:office:smarttags" w:element="Street">
        <w:smartTag w:uri="urn:schemas-microsoft-com:office:smarttags" w:element="address">
          <w:r w:rsidR="00286D77" w:rsidRPr="006075B8">
            <w:rPr>
              <w:rStyle w:val="sb8d990e2"/>
            </w:rPr>
            <w:t>Warsaw Regional Court</w:t>
          </w:r>
        </w:smartTag>
      </w:smartTag>
      <w:r w:rsidR="00286D77" w:rsidRPr="006075B8">
        <w:rPr>
          <w:rStyle w:val="sb8d990e2"/>
        </w:rPr>
        <w:t>.</w:t>
      </w:r>
    </w:p>
    <w:p w:rsidR="00B11E71" w:rsidRPr="006075B8" w:rsidRDefault="00A70C10" w:rsidP="0011714E">
      <w:pPr>
        <w:pStyle w:val="JuPara"/>
        <w:rPr>
          <w:rStyle w:val="sb8d990e2"/>
        </w:rPr>
      </w:pPr>
      <w:r w:rsidRPr="006075B8">
        <w:rPr>
          <w:rStyle w:val="sb8d990e2"/>
        </w:rPr>
        <w:fldChar w:fldCharType="begin"/>
      </w:r>
      <w:r w:rsidRPr="006075B8">
        <w:rPr>
          <w:rStyle w:val="sb8d990e2"/>
        </w:rPr>
        <w:instrText xml:space="preserve"> SEQ level0 \*arabic </w:instrText>
      </w:r>
      <w:r w:rsidRPr="006075B8">
        <w:rPr>
          <w:rStyle w:val="sb8d990e2"/>
        </w:rPr>
        <w:fldChar w:fldCharType="separate"/>
      </w:r>
      <w:r w:rsidR="00751640">
        <w:rPr>
          <w:rStyle w:val="sb8d990e2"/>
          <w:noProof/>
        </w:rPr>
        <w:t>71</w:t>
      </w:r>
      <w:r w:rsidRPr="006075B8">
        <w:rPr>
          <w:rStyle w:val="sb8d990e2"/>
        </w:rPr>
        <w:fldChar w:fldCharType="end"/>
      </w:r>
      <w:r w:rsidRPr="006075B8">
        <w:rPr>
          <w:rStyle w:val="sb8d990e2"/>
        </w:rPr>
        <w:t>.  </w:t>
      </w:r>
      <w:r w:rsidR="00753699" w:rsidRPr="006075B8">
        <w:rPr>
          <w:rStyle w:val="sb8d990e2"/>
        </w:rPr>
        <w:t xml:space="preserve">The Court </w:t>
      </w:r>
      <w:r w:rsidR="00BC0746" w:rsidRPr="006075B8">
        <w:rPr>
          <w:rStyle w:val="sb8d990e2"/>
        </w:rPr>
        <w:t xml:space="preserve">observes that </w:t>
      </w:r>
      <w:r w:rsidR="00DC7D55" w:rsidRPr="006075B8">
        <w:rPr>
          <w:rStyle w:val="sb8d990e2"/>
        </w:rPr>
        <w:t xml:space="preserve">the criminal proceedings were </w:t>
      </w:r>
      <w:r w:rsidR="00172739" w:rsidRPr="006075B8">
        <w:rPr>
          <w:rStyle w:val="sb8d990e2"/>
        </w:rPr>
        <w:t xml:space="preserve">ultimately </w:t>
      </w:r>
      <w:r w:rsidR="00DC7D55" w:rsidRPr="006075B8">
        <w:rPr>
          <w:rStyle w:val="sb8d990e2"/>
        </w:rPr>
        <w:t xml:space="preserve">discontinued on </w:t>
      </w:r>
      <w:r w:rsidR="008638C8" w:rsidRPr="006075B8">
        <w:rPr>
          <w:rStyle w:val="sb8d990e2"/>
        </w:rPr>
        <w:t>28 July 2010</w:t>
      </w:r>
      <w:r w:rsidR="00172739" w:rsidRPr="006075B8">
        <w:rPr>
          <w:rStyle w:val="sb8d990e2"/>
        </w:rPr>
        <w:t>,</w:t>
      </w:r>
      <w:r w:rsidR="00DC7D55" w:rsidRPr="006075B8">
        <w:rPr>
          <w:rStyle w:val="sb8d990e2"/>
        </w:rPr>
        <w:t xml:space="preserve"> as the </w:t>
      </w:r>
      <w:r w:rsidR="00172739" w:rsidRPr="006075B8">
        <w:rPr>
          <w:rStyle w:val="sb8d990e2"/>
        </w:rPr>
        <w:t xml:space="preserve">domestic </w:t>
      </w:r>
      <w:r w:rsidR="00DC7D55" w:rsidRPr="006075B8">
        <w:rPr>
          <w:rStyle w:val="sb8d990e2"/>
        </w:rPr>
        <w:t xml:space="preserve">court found that </w:t>
      </w:r>
      <w:r w:rsidR="00BD682E" w:rsidRPr="006075B8">
        <w:rPr>
          <w:rStyle w:val="sb8d990e2"/>
        </w:rPr>
        <w:t xml:space="preserve">the </w:t>
      </w:r>
      <w:r w:rsidR="00DC7D55" w:rsidRPr="006075B8">
        <w:rPr>
          <w:rStyle w:val="sb8d990e2"/>
        </w:rPr>
        <w:t xml:space="preserve">criminal </w:t>
      </w:r>
      <w:r w:rsidR="00172739" w:rsidRPr="006075B8">
        <w:rPr>
          <w:rStyle w:val="sb8d990e2"/>
        </w:rPr>
        <w:t xml:space="preserve">liability of the accused </w:t>
      </w:r>
      <w:r w:rsidR="00DC7D55" w:rsidRPr="006075B8">
        <w:rPr>
          <w:rStyle w:val="sb8d990e2"/>
        </w:rPr>
        <w:t>had</w:t>
      </w:r>
      <w:r w:rsidR="00B62813" w:rsidRPr="006075B8">
        <w:rPr>
          <w:rStyle w:val="sb8d990e2"/>
        </w:rPr>
        <w:t xml:space="preserve"> become</w:t>
      </w:r>
      <w:r w:rsidR="00DC7D55" w:rsidRPr="006075B8">
        <w:rPr>
          <w:rStyle w:val="sb8d990e2"/>
        </w:rPr>
        <w:t xml:space="preserve"> prescribed. </w:t>
      </w:r>
      <w:r w:rsidR="00BC0746" w:rsidRPr="006075B8">
        <w:rPr>
          <w:rStyle w:val="sb8d990e2"/>
        </w:rPr>
        <w:t xml:space="preserve">The Court notes that the issue of prescription was </w:t>
      </w:r>
      <w:r w:rsidR="00172739" w:rsidRPr="006075B8">
        <w:rPr>
          <w:rStyle w:val="sb8d990e2"/>
        </w:rPr>
        <w:t xml:space="preserve">also </w:t>
      </w:r>
      <w:r w:rsidR="00BC0746" w:rsidRPr="006075B8">
        <w:rPr>
          <w:rStyle w:val="sb8d990e2"/>
        </w:rPr>
        <w:t>examined</w:t>
      </w:r>
      <w:r w:rsidR="00FB783E" w:rsidRPr="006075B8">
        <w:rPr>
          <w:rStyle w:val="sb8d990e2"/>
        </w:rPr>
        <w:t xml:space="preserve"> </w:t>
      </w:r>
      <w:r w:rsidR="00BC0746" w:rsidRPr="006075B8">
        <w:rPr>
          <w:rStyle w:val="sb8d990e2"/>
        </w:rPr>
        <w:t>in the judgments given on</w:t>
      </w:r>
      <w:r w:rsidR="00391839" w:rsidRPr="006075B8">
        <w:rPr>
          <w:rStyle w:val="sb8d990e2"/>
        </w:rPr>
        <w:t xml:space="preserve"> 17 J</w:t>
      </w:r>
      <w:r w:rsidR="00FB783E" w:rsidRPr="006075B8">
        <w:rPr>
          <w:rStyle w:val="sb8d990e2"/>
        </w:rPr>
        <w:t xml:space="preserve">anuary 2001, 12 September 2001 </w:t>
      </w:r>
      <w:r w:rsidR="00172739" w:rsidRPr="006075B8">
        <w:rPr>
          <w:rStyle w:val="sb8d990e2"/>
        </w:rPr>
        <w:t xml:space="preserve">and </w:t>
      </w:r>
      <w:r w:rsidR="00FB783E" w:rsidRPr="006075B8">
        <w:rPr>
          <w:rStyle w:val="sb8d990e2"/>
        </w:rPr>
        <w:t xml:space="preserve">14 December 2010. Moreover, in </w:t>
      </w:r>
      <w:r w:rsidR="00172739" w:rsidRPr="006075B8">
        <w:rPr>
          <w:rStyle w:val="sb8d990e2"/>
        </w:rPr>
        <w:t xml:space="preserve">his </w:t>
      </w:r>
      <w:r w:rsidR="00FB783E" w:rsidRPr="006075B8">
        <w:rPr>
          <w:rStyle w:val="sb8d990e2"/>
        </w:rPr>
        <w:t xml:space="preserve">appeal against the judgment of 17 January 2001 </w:t>
      </w:r>
      <w:r w:rsidR="00172739" w:rsidRPr="006075B8">
        <w:rPr>
          <w:rStyle w:val="sb8d990e2"/>
        </w:rPr>
        <w:t xml:space="preserve">the </w:t>
      </w:r>
      <w:r w:rsidR="00FB783E" w:rsidRPr="006075B8">
        <w:rPr>
          <w:rStyle w:val="sb8d990e2"/>
        </w:rPr>
        <w:t xml:space="preserve">Prosecutor General argued that the court had wrongly applied provisions concerning criminal </w:t>
      </w:r>
      <w:r w:rsidR="005671B6" w:rsidRPr="006075B8">
        <w:rPr>
          <w:rStyle w:val="sb8d990e2"/>
        </w:rPr>
        <w:t xml:space="preserve">liability </w:t>
      </w:r>
      <w:r w:rsidR="00FB783E" w:rsidRPr="006075B8">
        <w:rPr>
          <w:rStyle w:val="sb8d990e2"/>
        </w:rPr>
        <w:t>arising in connection with crimes committed by agents of the communist regime prior to 1 January 1990. Hence, s</w:t>
      </w:r>
      <w:r w:rsidR="00BC0746" w:rsidRPr="006075B8">
        <w:rPr>
          <w:rStyle w:val="sb8d990e2"/>
        </w:rPr>
        <w:t>erious differences</w:t>
      </w:r>
      <w:r w:rsidR="00F75F6A" w:rsidRPr="006075B8">
        <w:rPr>
          <w:rStyle w:val="sb8d990e2"/>
        </w:rPr>
        <w:t xml:space="preserve"> arose</w:t>
      </w:r>
      <w:r w:rsidR="00BC0746" w:rsidRPr="006075B8">
        <w:rPr>
          <w:rStyle w:val="sb8d990e2"/>
        </w:rPr>
        <w:t xml:space="preserve"> in the interpretation of the applicable legal provisions and their application to the circumstances of the present case. </w:t>
      </w:r>
      <w:r w:rsidR="00F75F6A" w:rsidRPr="006075B8">
        <w:rPr>
          <w:rStyle w:val="sb8d990e2"/>
        </w:rPr>
        <w:t>It is true that the Court</w:t>
      </w:r>
      <w:r w:rsidR="005E7ADB">
        <w:rPr>
          <w:rStyle w:val="sb8d990e2"/>
        </w:rPr>
        <w:t>’</w:t>
      </w:r>
      <w:r w:rsidR="00F75F6A" w:rsidRPr="006075B8">
        <w:rPr>
          <w:rStyle w:val="sb8d990e2"/>
        </w:rPr>
        <w:t xml:space="preserve">s power to review compliance with domestic law is limited (see, </w:t>
      </w:r>
      <w:r w:rsidR="00F75F6A" w:rsidRPr="006075B8">
        <w:rPr>
          <w:rStyle w:val="s6b621b36"/>
          <w:i/>
        </w:rPr>
        <w:t>mutatis mutandis</w:t>
      </w:r>
      <w:r w:rsidR="00F75F6A" w:rsidRPr="006075B8">
        <w:rPr>
          <w:rStyle w:val="sb8d990e2"/>
        </w:rPr>
        <w:t>,</w:t>
      </w:r>
      <w:r w:rsidR="00F75F6A" w:rsidRPr="006075B8">
        <w:rPr>
          <w:rStyle w:val="s6b621b36"/>
        </w:rPr>
        <w:t xml:space="preserve"> </w:t>
      </w:r>
      <w:r w:rsidR="00F75F6A" w:rsidRPr="006075B8">
        <w:rPr>
          <w:rStyle w:val="wordhighlightedcurrentterm"/>
          <w:i/>
        </w:rPr>
        <w:t>Fredin</w:t>
      </w:r>
      <w:r w:rsidR="00484085" w:rsidRPr="006075B8">
        <w:rPr>
          <w:rStyle w:val="s6b621b36"/>
          <w:i/>
        </w:rPr>
        <w:t xml:space="preserve"> v. </w:t>
      </w:r>
      <w:r w:rsidR="00F75F6A" w:rsidRPr="006075B8">
        <w:rPr>
          <w:rStyle w:val="s6b621b36"/>
          <w:i/>
        </w:rPr>
        <w:t>Sweden (no. 1)</w:t>
      </w:r>
      <w:r w:rsidR="00F75F6A" w:rsidRPr="006075B8">
        <w:rPr>
          <w:rStyle w:val="sb8d990e2"/>
        </w:rPr>
        <w:t>, 18 February 1991, § 50, Series A no. 192</w:t>
      </w:r>
      <w:r w:rsidR="005671B6" w:rsidRPr="006075B8">
        <w:rPr>
          <w:rStyle w:val="sb8d990e2"/>
        </w:rPr>
        <w:t xml:space="preserve">, and </w:t>
      </w:r>
      <w:r w:rsidR="00F75F6A" w:rsidRPr="006075B8">
        <w:rPr>
          <w:i/>
          <w:lang w:eastAsia="en-US"/>
        </w:rPr>
        <w:t xml:space="preserve">Stankiewicz v. </w:t>
      </w:r>
      <w:smartTag w:uri="urn:schemas-microsoft-com:office:smarttags" w:element="country-region">
        <w:r w:rsidR="00F75F6A" w:rsidRPr="006075B8">
          <w:rPr>
            <w:i/>
            <w:lang w:eastAsia="en-US"/>
          </w:rPr>
          <w:t>Poland</w:t>
        </w:r>
      </w:smartTag>
      <w:r w:rsidR="00F75F6A" w:rsidRPr="006075B8">
        <w:rPr>
          <w:lang w:eastAsia="en-US"/>
        </w:rPr>
        <w:t>, no. 46917/99, § 65, ECHR 2006</w:t>
      </w:r>
      <w:r w:rsidR="00F75F6A" w:rsidRPr="006075B8">
        <w:rPr>
          <w:lang w:eastAsia="en-US"/>
        </w:rPr>
        <w:noBreakHyphen/>
        <w:t>VI</w:t>
      </w:r>
      <w:r w:rsidR="00F75F6A" w:rsidRPr="006075B8">
        <w:rPr>
          <w:rStyle w:val="sb8d990e2"/>
        </w:rPr>
        <w:t xml:space="preserve">I). </w:t>
      </w:r>
      <w:r w:rsidR="005671B6" w:rsidRPr="006075B8">
        <w:rPr>
          <w:rStyle w:val="sb8d990e2"/>
        </w:rPr>
        <w:t xml:space="preserve">The </w:t>
      </w:r>
      <w:r w:rsidR="0011714E" w:rsidRPr="006075B8">
        <w:rPr>
          <w:rStyle w:val="sb8d990e2"/>
        </w:rPr>
        <w:t>Court has already noted the intention of the domestic legislator to come to terms with the</w:t>
      </w:r>
      <w:r w:rsidR="005671B6" w:rsidRPr="006075B8">
        <w:rPr>
          <w:rStyle w:val="sb8d990e2"/>
        </w:rPr>
        <w:t xml:space="preserve"> country</w:t>
      </w:r>
      <w:r w:rsidR="005E7ADB">
        <w:rPr>
          <w:rStyle w:val="sb8d990e2"/>
        </w:rPr>
        <w:t>’</w:t>
      </w:r>
      <w:r w:rsidR="005671B6" w:rsidRPr="006075B8">
        <w:rPr>
          <w:rStyle w:val="sb8d990e2"/>
        </w:rPr>
        <w:t>s</w:t>
      </w:r>
      <w:r w:rsidR="0011714E" w:rsidRPr="006075B8">
        <w:rPr>
          <w:rStyle w:val="sb8d990e2"/>
        </w:rPr>
        <w:t xml:space="preserve"> </w:t>
      </w:r>
      <w:r w:rsidR="009D3A9B" w:rsidRPr="006075B8">
        <w:rPr>
          <w:rStyle w:val="sb8d990e2"/>
        </w:rPr>
        <w:t xml:space="preserve">totalitarian </w:t>
      </w:r>
      <w:r w:rsidR="0011714E" w:rsidRPr="006075B8">
        <w:rPr>
          <w:rStyle w:val="sb8d990e2"/>
        </w:rPr>
        <w:t>past (see paragraph</w:t>
      </w:r>
      <w:r w:rsidR="0016101F" w:rsidRPr="006075B8">
        <w:rPr>
          <w:rStyle w:val="sb8d990e2"/>
        </w:rPr>
        <w:t xml:space="preserve"> 52</w:t>
      </w:r>
      <w:r w:rsidR="0011714E" w:rsidRPr="006075B8">
        <w:rPr>
          <w:rStyle w:val="sb8d990e2"/>
        </w:rPr>
        <w:t xml:space="preserve"> above). </w:t>
      </w:r>
      <w:r w:rsidR="00BC0746" w:rsidRPr="006075B8">
        <w:rPr>
          <w:rStyle w:val="sb8d990e2"/>
        </w:rPr>
        <w:t xml:space="preserve">However, </w:t>
      </w:r>
      <w:r w:rsidR="0011714E" w:rsidRPr="006075B8">
        <w:rPr>
          <w:rStyle w:val="sb8d990e2"/>
        </w:rPr>
        <w:t>as regards I.K.</w:t>
      </w:r>
      <w:r w:rsidR="005E7ADB">
        <w:rPr>
          <w:rStyle w:val="sb8d990e2"/>
        </w:rPr>
        <w:t>’</w:t>
      </w:r>
      <w:r w:rsidR="0011714E" w:rsidRPr="006075B8">
        <w:rPr>
          <w:rStyle w:val="sb8d990e2"/>
        </w:rPr>
        <w:t>s case, as a result of the excessive length of the judicial proceedings</w:t>
      </w:r>
      <w:r w:rsidR="005671B6" w:rsidRPr="006075B8">
        <w:rPr>
          <w:rStyle w:val="sb8d990e2"/>
        </w:rPr>
        <w:t>, partially</w:t>
      </w:r>
      <w:r w:rsidR="0011714E" w:rsidRPr="006075B8">
        <w:rPr>
          <w:rStyle w:val="sb8d990e2"/>
        </w:rPr>
        <w:t xml:space="preserve"> caused by the diverging opinions of various courts on the issue of prescription</w:t>
      </w:r>
      <w:r w:rsidR="005671B6" w:rsidRPr="006075B8">
        <w:rPr>
          <w:rStyle w:val="sb8d990e2"/>
        </w:rPr>
        <w:t>,</w:t>
      </w:r>
      <w:r w:rsidR="0011714E" w:rsidRPr="006075B8">
        <w:rPr>
          <w:rStyle w:val="sb8d990e2"/>
        </w:rPr>
        <w:t xml:space="preserve"> the offence</w:t>
      </w:r>
      <w:r w:rsidR="0016101F" w:rsidRPr="006075B8">
        <w:rPr>
          <w:rStyle w:val="sb8d990e2"/>
        </w:rPr>
        <w:t xml:space="preserve"> beca</w:t>
      </w:r>
      <w:r w:rsidR="00B62813" w:rsidRPr="006075B8">
        <w:rPr>
          <w:rStyle w:val="sb8d990e2"/>
        </w:rPr>
        <w:t>me</w:t>
      </w:r>
      <w:r w:rsidR="0011714E" w:rsidRPr="006075B8">
        <w:rPr>
          <w:rStyle w:val="sb8d990e2"/>
        </w:rPr>
        <w:t xml:space="preserve"> prescribed</w:t>
      </w:r>
      <w:r w:rsidR="00676886" w:rsidRPr="006075B8">
        <w:rPr>
          <w:rStyle w:val="sb8d990e2"/>
        </w:rPr>
        <w:t>.</w:t>
      </w:r>
    </w:p>
    <w:p w:rsidR="00B11E71" w:rsidRPr="006075B8" w:rsidRDefault="0011714E" w:rsidP="00D0087A">
      <w:pPr>
        <w:pStyle w:val="JuPara"/>
        <w:rPr>
          <w:rStyle w:val="sb8d990e2"/>
        </w:rPr>
      </w:pPr>
      <w:r w:rsidRPr="006075B8">
        <w:rPr>
          <w:rStyle w:val="sb8d990e2"/>
        </w:rPr>
        <w:fldChar w:fldCharType="begin"/>
      </w:r>
      <w:r w:rsidRPr="006075B8">
        <w:rPr>
          <w:rStyle w:val="sb8d990e2"/>
        </w:rPr>
        <w:instrText xml:space="preserve"> SEQ level0 \*arabic </w:instrText>
      </w:r>
      <w:r w:rsidRPr="006075B8">
        <w:rPr>
          <w:rStyle w:val="sb8d990e2"/>
        </w:rPr>
        <w:fldChar w:fldCharType="separate"/>
      </w:r>
      <w:r w:rsidR="00751640">
        <w:rPr>
          <w:rStyle w:val="sb8d990e2"/>
          <w:noProof/>
        </w:rPr>
        <w:t>72</w:t>
      </w:r>
      <w:r w:rsidRPr="006075B8">
        <w:rPr>
          <w:rStyle w:val="sb8d990e2"/>
        </w:rPr>
        <w:fldChar w:fldCharType="end"/>
      </w:r>
      <w:r w:rsidRPr="006075B8">
        <w:rPr>
          <w:rStyle w:val="sb8d990e2"/>
        </w:rPr>
        <w:t>.  </w:t>
      </w:r>
      <w:r w:rsidR="005671B6" w:rsidRPr="006075B8">
        <w:rPr>
          <w:rStyle w:val="sb8d990e2"/>
        </w:rPr>
        <w:t>In addition</w:t>
      </w:r>
      <w:r w:rsidRPr="006075B8">
        <w:rPr>
          <w:rStyle w:val="sb8d990e2"/>
        </w:rPr>
        <w:t>, i</w:t>
      </w:r>
      <w:r w:rsidR="00732446" w:rsidRPr="006075B8">
        <w:rPr>
          <w:rStyle w:val="sb8d990e2"/>
        </w:rPr>
        <w:t xml:space="preserve">n the present case the proceedings concerned were conducted against three </w:t>
      </w:r>
      <w:r w:rsidR="00604CA9" w:rsidRPr="006075B8">
        <w:rPr>
          <w:rStyle w:val="sb8d990e2"/>
        </w:rPr>
        <w:t xml:space="preserve">police </w:t>
      </w:r>
      <w:r w:rsidR="00732446" w:rsidRPr="006075B8">
        <w:rPr>
          <w:rStyle w:val="sb8d990e2"/>
        </w:rPr>
        <w:t>officers</w:t>
      </w:r>
      <w:r w:rsidR="00604CA9" w:rsidRPr="006075B8">
        <w:rPr>
          <w:rStyle w:val="sb8d990e2"/>
        </w:rPr>
        <w:t xml:space="preserve">. </w:t>
      </w:r>
      <w:r w:rsidR="00732446" w:rsidRPr="006075B8">
        <w:rPr>
          <w:rStyle w:val="sb8d990e2"/>
        </w:rPr>
        <w:t xml:space="preserve">K.O. was acquitted of charges of destroying evidence in 1990. A.D. was convicted of battery and sentenced to four years, but this sentence was reduced, </w:t>
      </w:r>
      <w:r w:rsidR="005671B6" w:rsidRPr="006075B8">
        <w:rPr>
          <w:rStyle w:val="sb8d990e2"/>
        </w:rPr>
        <w:t>in accordance with the</w:t>
      </w:r>
      <w:r w:rsidR="00732446" w:rsidRPr="006075B8">
        <w:rPr>
          <w:rStyle w:val="sb8d990e2"/>
        </w:rPr>
        <w:t xml:space="preserve"> </w:t>
      </w:r>
      <w:r w:rsidR="005671B6" w:rsidRPr="006075B8">
        <w:rPr>
          <w:rStyle w:val="sb8d990e2"/>
        </w:rPr>
        <w:t xml:space="preserve">Amnesty </w:t>
      </w:r>
      <w:r w:rsidR="00732446" w:rsidRPr="006075B8">
        <w:rPr>
          <w:rStyle w:val="sb8d990e2"/>
        </w:rPr>
        <w:t>Act 1989, to two years</w:t>
      </w:r>
      <w:r w:rsidR="005E7ADB">
        <w:rPr>
          <w:rStyle w:val="sb8d990e2"/>
        </w:rPr>
        <w:t>’</w:t>
      </w:r>
      <w:r w:rsidR="00732446" w:rsidRPr="006075B8">
        <w:rPr>
          <w:rStyle w:val="sb8d990e2"/>
        </w:rPr>
        <w:t xml:space="preserve"> imprisonment.</w:t>
      </w:r>
    </w:p>
    <w:p w:rsidR="00B11E71" w:rsidRPr="006075B8" w:rsidRDefault="00732446" w:rsidP="00D0087A">
      <w:pPr>
        <w:pStyle w:val="JuPara"/>
        <w:rPr>
          <w:rStyle w:val="sb8d990e2"/>
        </w:rPr>
      </w:pPr>
      <w:r w:rsidRPr="006075B8">
        <w:rPr>
          <w:rStyle w:val="sb8d990e2"/>
        </w:rPr>
        <w:fldChar w:fldCharType="begin"/>
      </w:r>
      <w:r w:rsidRPr="006075B8">
        <w:rPr>
          <w:rStyle w:val="sb8d990e2"/>
        </w:rPr>
        <w:instrText xml:space="preserve"> SEQ level0 \*arabic </w:instrText>
      </w:r>
      <w:r w:rsidRPr="006075B8">
        <w:rPr>
          <w:rStyle w:val="sb8d990e2"/>
        </w:rPr>
        <w:fldChar w:fldCharType="separate"/>
      </w:r>
      <w:r w:rsidR="00751640">
        <w:rPr>
          <w:rStyle w:val="sb8d990e2"/>
          <w:noProof/>
        </w:rPr>
        <w:t>73</w:t>
      </w:r>
      <w:r w:rsidRPr="006075B8">
        <w:rPr>
          <w:rStyle w:val="sb8d990e2"/>
        </w:rPr>
        <w:fldChar w:fldCharType="end"/>
      </w:r>
      <w:r w:rsidRPr="006075B8">
        <w:rPr>
          <w:rStyle w:val="sb8d990e2"/>
        </w:rPr>
        <w:t>.  </w:t>
      </w:r>
      <w:r w:rsidR="00A70C10" w:rsidRPr="006075B8">
        <w:rPr>
          <w:rStyle w:val="sb8d990e2"/>
        </w:rPr>
        <w:t xml:space="preserve">Last but not least, the Court cannot overlook, in the assessment of the circumstances of the case, the fact that the Supreme Court in its final judgment given in the case observed that the way in which the present case </w:t>
      </w:r>
      <w:r w:rsidR="005671B6" w:rsidRPr="006075B8">
        <w:rPr>
          <w:rStyle w:val="sb8d990e2"/>
        </w:rPr>
        <w:t xml:space="preserve">had been </w:t>
      </w:r>
      <w:r w:rsidR="00A70C10" w:rsidRPr="006075B8">
        <w:rPr>
          <w:rStyle w:val="sb8d990e2"/>
        </w:rPr>
        <w:t>de</w:t>
      </w:r>
      <w:r w:rsidR="0011714E" w:rsidRPr="006075B8">
        <w:rPr>
          <w:rStyle w:val="sb8d990e2"/>
        </w:rPr>
        <w:t xml:space="preserve">alt with by the domestic courts </w:t>
      </w:r>
      <w:r w:rsidR="00A70C10" w:rsidRPr="006075B8">
        <w:rPr>
          <w:rStyle w:val="sb8d990e2"/>
        </w:rPr>
        <w:t xml:space="preserve">amounted to a failure of </w:t>
      </w:r>
      <w:r w:rsidR="005671B6" w:rsidRPr="006075B8">
        <w:rPr>
          <w:rStyle w:val="sb8d990e2"/>
        </w:rPr>
        <w:t xml:space="preserve">the </w:t>
      </w:r>
      <w:r w:rsidR="00A70C10" w:rsidRPr="006075B8">
        <w:rPr>
          <w:rStyle w:val="sb8d990e2"/>
        </w:rPr>
        <w:t>criminal justice</w:t>
      </w:r>
      <w:r w:rsidR="005671B6" w:rsidRPr="006075B8">
        <w:rPr>
          <w:rStyle w:val="sb8d990e2"/>
        </w:rPr>
        <w:t xml:space="preserve"> system</w:t>
      </w:r>
      <w:r w:rsidR="00A70C10" w:rsidRPr="006075B8">
        <w:rPr>
          <w:rStyle w:val="sb8d990e2"/>
        </w:rPr>
        <w:t>. The Court fully shares this opinion.</w:t>
      </w:r>
    </w:p>
    <w:p w:rsidR="00B11E71" w:rsidRPr="006075B8" w:rsidRDefault="00732446" w:rsidP="00D0087A">
      <w:pPr>
        <w:pStyle w:val="JuPara"/>
        <w:rPr>
          <w:rStyle w:val="sb8d990e2"/>
        </w:rPr>
      </w:pPr>
      <w:r w:rsidRPr="006075B8">
        <w:rPr>
          <w:rStyle w:val="sb8d990e2"/>
        </w:rPr>
        <w:fldChar w:fldCharType="begin"/>
      </w:r>
      <w:r w:rsidRPr="006075B8">
        <w:rPr>
          <w:rStyle w:val="sb8d990e2"/>
        </w:rPr>
        <w:instrText xml:space="preserve"> SEQ level0 \*arabic </w:instrText>
      </w:r>
      <w:r w:rsidRPr="006075B8">
        <w:rPr>
          <w:rStyle w:val="sb8d990e2"/>
        </w:rPr>
        <w:fldChar w:fldCharType="separate"/>
      </w:r>
      <w:r w:rsidR="00751640">
        <w:rPr>
          <w:rStyle w:val="sb8d990e2"/>
          <w:noProof/>
        </w:rPr>
        <w:t>74</w:t>
      </w:r>
      <w:r w:rsidRPr="006075B8">
        <w:rPr>
          <w:rStyle w:val="sb8d990e2"/>
        </w:rPr>
        <w:fldChar w:fldCharType="end"/>
      </w:r>
      <w:r w:rsidRPr="006075B8">
        <w:rPr>
          <w:rStyle w:val="sb8d990e2"/>
        </w:rPr>
        <w:t>.  </w:t>
      </w:r>
      <w:r w:rsidR="001B30D5" w:rsidRPr="006075B8">
        <w:rPr>
          <w:rStyle w:val="sb8d990e2"/>
        </w:rPr>
        <w:t>Consequently, the Court finds that, far from being rigorous, the criminal</w:t>
      </w:r>
      <w:r w:rsidR="005671B6" w:rsidRPr="006075B8">
        <w:rPr>
          <w:rStyle w:val="sb8d990e2"/>
        </w:rPr>
        <w:t xml:space="preserve"> justice</w:t>
      </w:r>
      <w:r w:rsidR="001B30D5" w:rsidRPr="006075B8">
        <w:rPr>
          <w:rStyle w:val="sb8d990e2"/>
        </w:rPr>
        <w:t xml:space="preserve"> system as applied in this case was not sufficiently dissuasive to either contributing to coming to terms with the legacy of the </w:t>
      </w:r>
      <w:r w:rsidR="00604CA9" w:rsidRPr="006075B8">
        <w:rPr>
          <w:rStyle w:val="sb8d990e2"/>
        </w:rPr>
        <w:t xml:space="preserve">totalitarian past </w:t>
      </w:r>
      <w:r w:rsidR="001B30D5" w:rsidRPr="006075B8">
        <w:rPr>
          <w:rStyle w:val="sb8d990e2"/>
        </w:rPr>
        <w:t xml:space="preserve">or to </w:t>
      </w:r>
      <w:r w:rsidR="005671B6" w:rsidRPr="006075B8">
        <w:rPr>
          <w:rStyle w:val="sb8d990e2"/>
        </w:rPr>
        <w:t xml:space="preserve">effectively </w:t>
      </w:r>
      <w:r w:rsidR="001B30D5" w:rsidRPr="006075B8">
        <w:rPr>
          <w:rStyle w:val="sb8d990e2"/>
        </w:rPr>
        <w:t>prevent illegal acts of the type complained of by the applicant. In the particular circumstances of the case, the Court thus arrives at the conclusion that the</w:t>
      </w:r>
      <w:r w:rsidR="0011714E" w:rsidRPr="006075B8">
        <w:rPr>
          <w:rStyle w:val="sb8d990e2"/>
        </w:rPr>
        <w:t xml:space="preserve"> conduct of the </w:t>
      </w:r>
      <w:r w:rsidR="001B30D5" w:rsidRPr="006075B8">
        <w:rPr>
          <w:rStyle w:val="sb8d990e2"/>
        </w:rPr>
        <w:t>criminal proceedings did not afford</w:t>
      </w:r>
      <w:r w:rsidR="0011714E" w:rsidRPr="006075B8">
        <w:rPr>
          <w:rStyle w:val="sb8d990e2"/>
        </w:rPr>
        <w:t xml:space="preserve"> the applicant </w:t>
      </w:r>
      <w:r w:rsidR="001B30D5" w:rsidRPr="006075B8">
        <w:rPr>
          <w:rStyle w:val="sb8d990e2"/>
        </w:rPr>
        <w:t>appropriate redress for the infringement of the principle enshrined in Article 2 of the Convention.</w:t>
      </w:r>
    </w:p>
    <w:p w:rsidR="00B11E71" w:rsidRPr="006075B8" w:rsidRDefault="005270F2" w:rsidP="0078384A">
      <w:pPr>
        <w:pStyle w:val="JuPara"/>
        <w:rPr>
          <w:rStyle w:val="sb8d990e2"/>
        </w:rPr>
      </w:pPr>
      <w:r w:rsidRPr="006075B8">
        <w:rPr>
          <w:rStyle w:val="sb8d990e2"/>
        </w:rPr>
        <w:fldChar w:fldCharType="begin"/>
      </w:r>
      <w:r w:rsidRPr="006075B8">
        <w:rPr>
          <w:rStyle w:val="sb8d990e2"/>
        </w:rPr>
        <w:instrText xml:space="preserve"> SEQ level0 \*arabic </w:instrText>
      </w:r>
      <w:r w:rsidRPr="006075B8">
        <w:rPr>
          <w:rStyle w:val="sb8d990e2"/>
        </w:rPr>
        <w:fldChar w:fldCharType="separate"/>
      </w:r>
      <w:r w:rsidR="00751640">
        <w:rPr>
          <w:rStyle w:val="sb8d990e2"/>
          <w:noProof/>
        </w:rPr>
        <w:t>75</w:t>
      </w:r>
      <w:r w:rsidRPr="006075B8">
        <w:rPr>
          <w:rStyle w:val="sb8d990e2"/>
        </w:rPr>
        <w:fldChar w:fldCharType="end"/>
      </w:r>
      <w:r w:rsidRPr="006075B8">
        <w:rPr>
          <w:rStyle w:val="sb8d990e2"/>
        </w:rPr>
        <w:t>.  </w:t>
      </w:r>
      <w:r w:rsidR="001B30D5" w:rsidRPr="006075B8">
        <w:rPr>
          <w:rStyle w:val="sb8d990e2"/>
        </w:rPr>
        <w:t>There has accordingly been a violation of this provision</w:t>
      </w:r>
      <w:r w:rsidR="009A7C03" w:rsidRPr="006075B8">
        <w:rPr>
          <w:rStyle w:val="sb8d990e2"/>
        </w:rPr>
        <w:t xml:space="preserve"> in its procedural limb</w:t>
      </w:r>
      <w:r w:rsidR="001B30D5" w:rsidRPr="006075B8">
        <w:rPr>
          <w:rStyle w:val="sb8d990e2"/>
        </w:rPr>
        <w:t>.</w:t>
      </w:r>
    </w:p>
    <w:p w:rsidR="00F71A6A" w:rsidRPr="006075B8" w:rsidRDefault="00F50C96">
      <w:pPr>
        <w:pStyle w:val="JuHIRoman"/>
      </w:pPr>
      <w:r w:rsidRPr="006075B8">
        <w:t>III</w:t>
      </w:r>
      <w:r w:rsidR="00F71A6A" w:rsidRPr="006075B8">
        <w:t>.  APPLICATION OF ARTICLE 41 OF THE CONVENTION</w:t>
      </w:r>
    </w:p>
    <w:p w:rsidR="00F71A6A" w:rsidRPr="006075B8" w:rsidRDefault="0078384A" w:rsidP="002F4BCF">
      <w:pPr>
        <w:pStyle w:val="JuPara"/>
        <w:keepNext/>
        <w:keepLines/>
      </w:pPr>
      <w:r w:rsidRPr="006075B8">
        <w:fldChar w:fldCharType="begin"/>
      </w:r>
      <w:r w:rsidRPr="006075B8">
        <w:instrText xml:space="preserve"> SEQ level0 \*arabic </w:instrText>
      </w:r>
      <w:r w:rsidRPr="006075B8">
        <w:fldChar w:fldCharType="separate"/>
      </w:r>
      <w:r w:rsidR="00751640">
        <w:rPr>
          <w:noProof/>
        </w:rPr>
        <w:t>76</w:t>
      </w:r>
      <w:r w:rsidRPr="006075B8">
        <w:fldChar w:fldCharType="end"/>
      </w:r>
      <w:r w:rsidR="00F71A6A" w:rsidRPr="006075B8">
        <w:t>.  Article 41 of the Convention provides:</w:t>
      </w:r>
    </w:p>
    <w:p w:rsidR="00F71A6A" w:rsidRPr="006075B8" w:rsidRDefault="00F71A6A">
      <w:pPr>
        <w:pStyle w:val="JuQuot"/>
        <w:keepNext/>
        <w:keepLines/>
      </w:pPr>
      <w:r w:rsidRPr="006075B8">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F71A6A" w:rsidRPr="006075B8" w:rsidRDefault="00F71A6A" w:rsidP="008824B9">
      <w:pPr>
        <w:pStyle w:val="JuHA"/>
        <w:keepLines w:val="0"/>
        <w:outlineLvl w:val="0"/>
      </w:pPr>
      <w:r w:rsidRPr="006075B8">
        <w:t>A.  Damage</w:t>
      </w:r>
    </w:p>
    <w:p w:rsidR="00F71A6A" w:rsidRPr="006075B8" w:rsidRDefault="0078384A" w:rsidP="002F4BCF">
      <w:pPr>
        <w:pStyle w:val="JuPara"/>
      </w:pPr>
      <w:r w:rsidRPr="006075B8">
        <w:fldChar w:fldCharType="begin"/>
      </w:r>
      <w:r w:rsidRPr="006075B8">
        <w:instrText xml:space="preserve"> SEQ level0 \*arabic </w:instrText>
      </w:r>
      <w:r w:rsidRPr="006075B8">
        <w:fldChar w:fldCharType="separate"/>
      </w:r>
      <w:r w:rsidR="00751640">
        <w:rPr>
          <w:noProof/>
        </w:rPr>
        <w:t>77</w:t>
      </w:r>
      <w:r w:rsidRPr="006075B8">
        <w:fldChar w:fldCharType="end"/>
      </w:r>
      <w:r w:rsidR="00F71A6A" w:rsidRPr="006075B8">
        <w:t xml:space="preserve">.  The </w:t>
      </w:r>
      <w:r w:rsidR="0005522C" w:rsidRPr="006075B8">
        <w:t>applicant</w:t>
      </w:r>
      <w:r w:rsidR="00F71A6A" w:rsidRPr="006075B8">
        <w:t xml:space="preserve"> claimed </w:t>
      </w:r>
      <w:r w:rsidR="00C32E64" w:rsidRPr="006075B8">
        <w:t xml:space="preserve">50,000 </w:t>
      </w:r>
      <w:r w:rsidR="00F71A6A" w:rsidRPr="006075B8">
        <w:t xml:space="preserve">euros (EUR) in respect </w:t>
      </w:r>
      <w:r w:rsidR="00235AF6" w:rsidRPr="006075B8">
        <w:t xml:space="preserve">of the </w:t>
      </w:r>
      <w:r w:rsidR="00484085" w:rsidRPr="006075B8">
        <w:t>non</w:t>
      </w:r>
      <w:r w:rsidR="00484085" w:rsidRPr="006075B8">
        <w:noBreakHyphen/>
      </w:r>
      <w:r w:rsidR="00F71A6A" w:rsidRPr="006075B8">
        <w:t>pecuniary damage</w:t>
      </w:r>
      <w:r w:rsidR="00C32E64" w:rsidRPr="006075B8">
        <w:t xml:space="preserve"> </w:t>
      </w:r>
      <w:r w:rsidR="00235AF6" w:rsidRPr="006075B8">
        <w:t xml:space="preserve">he </w:t>
      </w:r>
      <w:r w:rsidR="00C32E64" w:rsidRPr="006075B8">
        <w:t xml:space="preserve">had suffered as a result of </w:t>
      </w:r>
      <w:r w:rsidR="00235AF6" w:rsidRPr="006075B8">
        <w:t xml:space="preserve">the </w:t>
      </w:r>
      <w:r w:rsidR="00C32E64" w:rsidRPr="006075B8">
        <w:t>frustration, distress and anguish caused by the unduly protracted and ineffective proceedings and the authorities</w:t>
      </w:r>
      <w:r w:rsidR="005E7ADB">
        <w:t>’</w:t>
      </w:r>
      <w:r w:rsidR="00C32E64" w:rsidRPr="006075B8">
        <w:t xml:space="preserve"> unwillingness to mete out appropriate punishment to </w:t>
      </w:r>
      <w:r w:rsidR="00235AF6" w:rsidRPr="006075B8">
        <w:t xml:space="preserve">the </w:t>
      </w:r>
      <w:r w:rsidR="00C32E64" w:rsidRPr="006075B8">
        <w:t>persons guilty of his son</w:t>
      </w:r>
      <w:r w:rsidR="005E7ADB">
        <w:t>’</w:t>
      </w:r>
      <w:r w:rsidR="00C32E64" w:rsidRPr="006075B8">
        <w:t xml:space="preserve">s </w:t>
      </w:r>
      <w:r w:rsidR="0001160D" w:rsidRPr="006075B8">
        <w:t>killing</w:t>
      </w:r>
      <w:r w:rsidR="00F71A6A" w:rsidRPr="006075B8">
        <w:t>.</w:t>
      </w:r>
    </w:p>
    <w:p w:rsidR="00B11E71" w:rsidRPr="006075B8" w:rsidRDefault="0078384A" w:rsidP="002F4BCF">
      <w:pPr>
        <w:pStyle w:val="JuPara"/>
      </w:pPr>
      <w:r w:rsidRPr="006075B8">
        <w:fldChar w:fldCharType="begin"/>
      </w:r>
      <w:r w:rsidRPr="006075B8">
        <w:instrText xml:space="preserve"> SEQ level0 \*arabic </w:instrText>
      </w:r>
      <w:r w:rsidRPr="006075B8">
        <w:fldChar w:fldCharType="separate"/>
      </w:r>
      <w:r w:rsidR="00751640">
        <w:rPr>
          <w:noProof/>
        </w:rPr>
        <w:t>78</w:t>
      </w:r>
      <w:r w:rsidRPr="006075B8">
        <w:fldChar w:fldCharType="end"/>
      </w:r>
      <w:r w:rsidR="00F71A6A" w:rsidRPr="006075B8">
        <w:t xml:space="preserve">.  The Government </w:t>
      </w:r>
      <w:r w:rsidR="00C32E64" w:rsidRPr="006075B8">
        <w:t>did not comment.</w:t>
      </w:r>
    </w:p>
    <w:p w:rsidR="00F71A6A" w:rsidRPr="006075B8" w:rsidRDefault="0078384A" w:rsidP="002F4BCF">
      <w:pPr>
        <w:pStyle w:val="JuPara"/>
      </w:pPr>
      <w:r w:rsidRPr="006075B8">
        <w:fldChar w:fldCharType="begin"/>
      </w:r>
      <w:r w:rsidRPr="006075B8">
        <w:instrText xml:space="preserve"> SEQ level0 \*arabic </w:instrText>
      </w:r>
      <w:r w:rsidRPr="006075B8">
        <w:fldChar w:fldCharType="separate"/>
      </w:r>
      <w:r w:rsidR="00751640">
        <w:rPr>
          <w:noProof/>
        </w:rPr>
        <w:t>79</w:t>
      </w:r>
      <w:r w:rsidRPr="006075B8">
        <w:fldChar w:fldCharType="end"/>
      </w:r>
      <w:r w:rsidR="00477EB8" w:rsidRPr="006075B8">
        <w:t xml:space="preserve">.  The Court, having regard to the circumstances of the case, </w:t>
      </w:r>
      <w:r w:rsidR="00F71A6A" w:rsidRPr="006075B8">
        <w:t xml:space="preserve">awards the </w:t>
      </w:r>
      <w:r w:rsidR="0005522C" w:rsidRPr="006075B8">
        <w:t>applicant</w:t>
      </w:r>
      <w:r w:rsidR="00484085" w:rsidRPr="006075B8">
        <w:t xml:space="preserve"> EUR </w:t>
      </w:r>
      <w:r w:rsidR="00C071C5" w:rsidRPr="006075B8">
        <w:t>20</w:t>
      </w:r>
      <w:r w:rsidR="00592EAC" w:rsidRPr="006075B8">
        <w:t>,000</w:t>
      </w:r>
      <w:r w:rsidR="00477EB8" w:rsidRPr="006075B8">
        <w:t xml:space="preserve"> </w:t>
      </w:r>
      <w:r w:rsidR="00F71A6A" w:rsidRPr="006075B8">
        <w:t>in respect of non-pecuniary damage.</w:t>
      </w:r>
    </w:p>
    <w:p w:rsidR="00F71A6A" w:rsidRPr="006075B8" w:rsidRDefault="00F71A6A" w:rsidP="008824B9">
      <w:pPr>
        <w:pStyle w:val="JuHA"/>
        <w:outlineLvl w:val="0"/>
      </w:pPr>
      <w:r w:rsidRPr="006075B8">
        <w:t>B.  Costs and expenses</w:t>
      </w:r>
    </w:p>
    <w:p w:rsidR="00B11E71" w:rsidRPr="006075B8" w:rsidRDefault="0078384A" w:rsidP="002F4BCF">
      <w:pPr>
        <w:pStyle w:val="JuPara"/>
        <w:rPr>
          <w:rStyle w:val="sb8d990e2"/>
        </w:rPr>
      </w:pPr>
      <w:r w:rsidRPr="006075B8">
        <w:fldChar w:fldCharType="begin"/>
      </w:r>
      <w:r w:rsidRPr="006075B8">
        <w:instrText xml:space="preserve"> SEQ level0 \*arabic </w:instrText>
      </w:r>
      <w:r w:rsidRPr="006075B8">
        <w:fldChar w:fldCharType="separate"/>
      </w:r>
      <w:r w:rsidR="00751640">
        <w:rPr>
          <w:noProof/>
        </w:rPr>
        <w:t>80</w:t>
      </w:r>
      <w:r w:rsidRPr="006075B8">
        <w:fldChar w:fldCharType="end"/>
      </w:r>
      <w:r w:rsidR="00F71A6A" w:rsidRPr="006075B8">
        <w:t>.  </w:t>
      </w:r>
      <w:r w:rsidR="00477EB8" w:rsidRPr="006075B8">
        <w:rPr>
          <w:rStyle w:val="sb8d990e2"/>
        </w:rPr>
        <w:t>The applicant, who was represented by lawyers, did not claim reimbursement of any costs and expenses.</w:t>
      </w:r>
    </w:p>
    <w:p w:rsidR="00F71A6A" w:rsidRPr="006075B8" w:rsidRDefault="00F71A6A" w:rsidP="008824B9">
      <w:pPr>
        <w:pStyle w:val="JuHA"/>
        <w:outlineLvl w:val="0"/>
      </w:pPr>
      <w:r w:rsidRPr="006075B8">
        <w:t>C.  Default interest</w:t>
      </w:r>
    </w:p>
    <w:p w:rsidR="00F71A6A" w:rsidRPr="006075B8" w:rsidRDefault="0078384A" w:rsidP="00151CCA">
      <w:pPr>
        <w:pStyle w:val="JuPara"/>
      </w:pPr>
      <w:r w:rsidRPr="006075B8">
        <w:fldChar w:fldCharType="begin"/>
      </w:r>
      <w:r w:rsidRPr="006075B8">
        <w:instrText xml:space="preserve"> SEQ level0 \*arabic </w:instrText>
      </w:r>
      <w:r w:rsidRPr="006075B8">
        <w:fldChar w:fldCharType="separate"/>
      </w:r>
      <w:r w:rsidR="00751640">
        <w:rPr>
          <w:noProof/>
        </w:rPr>
        <w:t>81</w:t>
      </w:r>
      <w:r w:rsidRPr="006075B8">
        <w:fldChar w:fldCharType="end"/>
      </w:r>
      <w:r w:rsidR="00F71A6A" w:rsidRPr="006075B8">
        <w:t xml:space="preserve">.  The Court considers it appropriate that the default interest </w:t>
      </w:r>
      <w:r w:rsidR="0034580F" w:rsidRPr="006075B8">
        <w:t xml:space="preserve">rate </w:t>
      </w:r>
      <w:r w:rsidR="00F71A6A" w:rsidRPr="006075B8">
        <w:t>should be based on the marginal lending rate of the European Central Bank, to which should be added three percentage points.</w:t>
      </w:r>
    </w:p>
    <w:p w:rsidR="00F71A6A" w:rsidRPr="006075B8" w:rsidRDefault="00F71A6A" w:rsidP="008824B9">
      <w:pPr>
        <w:pStyle w:val="JuHHead"/>
      </w:pPr>
      <w:r w:rsidRPr="006075B8">
        <w:t>FOR THESE REASONS, THE COURT</w:t>
      </w:r>
    </w:p>
    <w:p w:rsidR="00E84FE1" w:rsidRPr="006075B8" w:rsidRDefault="00484085" w:rsidP="00E84FE1">
      <w:pPr>
        <w:pStyle w:val="JuList"/>
        <w:rPr>
          <w:rStyle w:val="sb8d990e2"/>
        </w:rPr>
      </w:pPr>
      <w:r w:rsidRPr="006075B8">
        <w:t>1.  </w:t>
      </w:r>
      <w:r w:rsidR="00E84FE1" w:rsidRPr="006075B8">
        <w:rPr>
          <w:i/>
        </w:rPr>
        <w:t>Rejects</w:t>
      </w:r>
      <w:r w:rsidR="00663063">
        <w:rPr>
          <w:i/>
        </w:rPr>
        <w:t>,</w:t>
      </w:r>
      <w:r w:rsidR="00E84FE1" w:rsidRPr="006075B8">
        <w:t xml:space="preserve"> </w:t>
      </w:r>
      <w:r w:rsidR="00276CBD">
        <w:t xml:space="preserve">by </w:t>
      </w:r>
      <w:r w:rsidR="00663063">
        <w:t xml:space="preserve">a </w:t>
      </w:r>
      <w:r w:rsidR="00276CBD">
        <w:t>majority</w:t>
      </w:r>
      <w:r w:rsidR="00663063">
        <w:t>,</w:t>
      </w:r>
      <w:r w:rsidR="00276CBD">
        <w:t xml:space="preserve"> </w:t>
      </w:r>
      <w:r w:rsidR="00E84FE1" w:rsidRPr="006075B8">
        <w:rPr>
          <w:rStyle w:val="sb8d990e2"/>
        </w:rPr>
        <w:t>the Government</w:t>
      </w:r>
      <w:r w:rsidR="005E7ADB">
        <w:rPr>
          <w:rStyle w:val="sb8d990e2"/>
        </w:rPr>
        <w:t>’</w:t>
      </w:r>
      <w:r w:rsidR="00E84FE1" w:rsidRPr="006075B8">
        <w:rPr>
          <w:rStyle w:val="sb8d990e2"/>
        </w:rPr>
        <w:t>s request to strike the application out of its list of cases under Article 37 of the Convention</w:t>
      </w:r>
      <w:r w:rsidR="00E84FE1" w:rsidRPr="006075B8">
        <w:t>;</w:t>
      </w:r>
    </w:p>
    <w:p w:rsidR="00E84FE1" w:rsidRPr="006075B8" w:rsidRDefault="00E84FE1" w:rsidP="00E84FE1">
      <w:pPr>
        <w:pStyle w:val="JuList"/>
        <w:rPr>
          <w:rStyle w:val="sb8d990e2"/>
        </w:rPr>
      </w:pPr>
    </w:p>
    <w:p w:rsidR="00F71A6A" w:rsidRPr="006075B8" w:rsidRDefault="00484085">
      <w:pPr>
        <w:pStyle w:val="JuList"/>
      </w:pPr>
      <w:r w:rsidRPr="006075B8">
        <w:rPr>
          <w:i/>
        </w:rPr>
        <w:t>2.  </w:t>
      </w:r>
      <w:r w:rsidR="00F71A6A" w:rsidRPr="006075B8">
        <w:rPr>
          <w:i/>
        </w:rPr>
        <w:t>Declares</w:t>
      </w:r>
      <w:r w:rsidR="00663063">
        <w:rPr>
          <w:i/>
        </w:rPr>
        <w:t>,</w:t>
      </w:r>
      <w:r w:rsidR="00F71A6A" w:rsidRPr="006075B8">
        <w:t xml:space="preserve"> </w:t>
      </w:r>
      <w:r w:rsidR="001F1560" w:rsidRPr="006075B8">
        <w:t>unanimously</w:t>
      </w:r>
      <w:r w:rsidR="00663063">
        <w:t>,</w:t>
      </w:r>
      <w:r w:rsidR="001F1560" w:rsidRPr="006075B8">
        <w:t xml:space="preserve"> </w:t>
      </w:r>
      <w:r w:rsidR="00F71A6A" w:rsidRPr="006075B8">
        <w:t xml:space="preserve">the </w:t>
      </w:r>
      <w:r w:rsidR="0078384A" w:rsidRPr="006075B8">
        <w:t>application</w:t>
      </w:r>
      <w:r w:rsidR="00F71A6A" w:rsidRPr="006075B8">
        <w:t xml:space="preserve"> admissible;</w:t>
      </w:r>
    </w:p>
    <w:p w:rsidR="00F71A6A" w:rsidRPr="006075B8" w:rsidRDefault="00F71A6A">
      <w:pPr>
        <w:pStyle w:val="JuList"/>
      </w:pPr>
    </w:p>
    <w:p w:rsidR="009F07CC" w:rsidRPr="006075B8" w:rsidRDefault="00E84FE1" w:rsidP="00E84FE1">
      <w:pPr>
        <w:pStyle w:val="JuList"/>
      </w:pPr>
      <w:r w:rsidRPr="006075B8">
        <w:t>3</w:t>
      </w:r>
      <w:r w:rsidR="009F07CC" w:rsidRPr="006075B8">
        <w:t>.</w:t>
      </w:r>
      <w:r w:rsidR="00F71A6A" w:rsidRPr="006075B8">
        <w:t>  </w:t>
      </w:r>
      <w:r w:rsidR="00F71A6A" w:rsidRPr="006075B8">
        <w:rPr>
          <w:i/>
        </w:rPr>
        <w:t>Holds</w:t>
      </w:r>
      <w:r w:rsidR="00663063">
        <w:rPr>
          <w:i/>
        </w:rPr>
        <w:t>,</w:t>
      </w:r>
      <w:r w:rsidR="00F71A6A" w:rsidRPr="006075B8">
        <w:t xml:space="preserve"> </w:t>
      </w:r>
      <w:r w:rsidR="00484085" w:rsidRPr="006075B8">
        <w:t>unanimously</w:t>
      </w:r>
      <w:r w:rsidR="00663063">
        <w:t>,</w:t>
      </w:r>
      <w:r w:rsidR="0078384A" w:rsidRPr="006075B8">
        <w:t xml:space="preserve"> </w:t>
      </w:r>
      <w:r w:rsidR="00F71A6A" w:rsidRPr="006075B8">
        <w:t xml:space="preserve">that there </w:t>
      </w:r>
      <w:r w:rsidR="001F1560" w:rsidRPr="006075B8">
        <w:t>has been a violation of Article </w:t>
      </w:r>
      <w:r w:rsidR="00477EB8" w:rsidRPr="006075B8">
        <w:t>2</w:t>
      </w:r>
      <w:r w:rsidR="00F71A6A" w:rsidRPr="006075B8">
        <w:t xml:space="preserve"> of the Convention</w:t>
      </w:r>
      <w:r w:rsidR="009A7C03" w:rsidRPr="006075B8">
        <w:t xml:space="preserve"> under its procedural limb</w:t>
      </w:r>
      <w:r w:rsidR="00F71A6A" w:rsidRPr="006075B8">
        <w:t>;</w:t>
      </w:r>
    </w:p>
    <w:p w:rsidR="00F71A6A" w:rsidRPr="006075B8" w:rsidRDefault="00F71A6A">
      <w:pPr>
        <w:pStyle w:val="JuList"/>
      </w:pPr>
    </w:p>
    <w:p w:rsidR="003104E9" w:rsidRPr="006075B8" w:rsidRDefault="008172AA" w:rsidP="00901475">
      <w:pPr>
        <w:pStyle w:val="JuList"/>
      </w:pPr>
      <w:r w:rsidRPr="006075B8">
        <w:t>4</w:t>
      </w:r>
      <w:r w:rsidR="00F71A6A" w:rsidRPr="006075B8">
        <w:t>.  </w:t>
      </w:r>
      <w:r w:rsidR="00F71A6A" w:rsidRPr="006075B8">
        <w:rPr>
          <w:i/>
        </w:rPr>
        <w:t>Holds</w:t>
      </w:r>
      <w:r w:rsidR="00663063">
        <w:rPr>
          <w:i/>
        </w:rPr>
        <w:t>,</w:t>
      </w:r>
      <w:r w:rsidR="00F71A6A" w:rsidRPr="006075B8">
        <w:t xml:space="preserve"> </w:t>
      </w:r>
      <w:r w:rsidR="0078384A" w:rsidRPr="006075B8">
        <w:t>unanimously</w:t>
      </w:r>
      <w:r w:rsidR="00663063">
        <w:t>,</w:t>
      </w:r>
    </w:p>
    <w:p w:rsidR="00B11E71" w:rsidRPr="006075B8" w:rsidRDefault="003104E9" w:rsidP="00477EB8">
      <w:pPr>
        <w:pStyle w:val="JuLista"/>
      </w:pPr>
      <w:r w:rsidRPr="006075B8">
        <w:t xml:space="preserve">(a)  that the respondent State is to </w:t>
      </w:r>
      <w:r w:rsidR="00901475" w:rsidRPr="006075B8">
        <w:t xml:space="preserve">pay </w:t>
      </w:r>
      <w:r w:rsidRPr="006075B8">
        <w:t xml:space="preserve">the </w:t>
      </w:r>
      <w:r w:rsidR="0005522C" w:rsidRPr="006075B8">
        <w:t>applicant</w:t>
      </w:r>
      <w:smartTag w:uri="urn:schemas-microsoft-com:office:smarttags" w:element="PersonName">
        <w:r w:rsidRPr="006075B8">
          <w:t>,</w:t>
        </w:r>
      </w:smartTag>
      <w:r w:rsidRPr="006075B8">
        <w:t xml:space="preserve"> within three months </w:t>
      </w:r>
      <w:r w:rsidR="0078384A" w:rsidRPr="006075B8">
        <w:t>from the date on which the judgment becomes final in accordance with Article 44 § 2 of the Convention,</w:t>
      </w:r>
      <w:r w:rsidR="001F1560" w:rsidRPr="006075B8">
        <w:t xml:space="preserve"> EUR </w:t>
      </w:r>
      <w:r w:rsidR="00C071C5" w:rsidRPr="006075B8">
        <w:t>20</w:t>
      </w:r>
      <w:r w:rsidR="00592EAC" w:rsidRPr="006075B8">
        <w:t>,000</w:t>
      </w:r>
      <w:r w:rsidR="00477EB8" w:rsidRPr="006075B8">
        <w:t xml:space="preserve"> (</w:t>
      </w:r>
      <w:r w:rsidR="00C071C5" w:rsidRPr="006075B8">
        <w:t xml:space="preserve">twenty </w:t>
      </w:r>
      <w:r w:rsidR="00477EB8" w:rsidRPr="006075B8">
        <w:t xml:space="preserve">thousand euros), plus any tax that may be chargeable, in respect of non-pecuniary damage; </w:t>
      </w:r>
      <w:r w:rsidRPr="006075B8">
        <w:t xml:space="preserve">to be converted into </w:t>
      </w:r>
      <w:r w:rsidR="006669B2" w:rsidRPr="006075B8">
        <w:t xml:space="preserve">Polish zlotys </w:t>
      </w:r>
      <w:r w:rsidRPr="006075B8">
        <w:t>at the rate applicable at the date of settlement</w:t>
      </w:r>
      <w:r w:rsidR="006669B2" w:rsidRPr="006075B8">
        <w:t>;</w:t>
      </w:r>
    </w:p>
    <w:p w:rsidR="003104E9" w:rsidRPr="006075B8" w:rsidRDefault="003104E9">
      <w:pPr>
        <w:pStyle w:val="JuLista"/>
      </w:pPr>
      <w:r w:rsidRPr="006075B8">
        <w:t>(b)  that from the expiry of the above-mentioned three months until settlement simple interest shall be payable on the above amount at a rate equal to the marginal lending rate of the European Central Bank during the default period plus three percentage points;</w:t>
      </w:r>
    </w:p>
    <w:p w:rsidR="00F71A6A" w:rsidRPr="006075B8" w:rsidRDefault="00F71A6A">
      <w:pPr>
        <w:pStyle w:val="JuList"/>
      </w:pPr>
    </w:p>
    <w:p w:rsidR="00F71A6A" w:rsidRPr="006075B8" w:rsidRDefault="008172AA">
      <w:pPr>
        <w:pStyle w:val="JuList"/>
      </w:pPr>
      <w:r w:rsidRPr="006075B8">
        <w:t>5</w:t>
      </w:r>
      <w:r w:rsidR="00F71A6A" w:rsidRPr="006075B8">
        <w:t>.  </w:t>
      </w:r>
      <w:r w:rsidR="00F71A6A" w:rsidRPr="006075B8">
        <w:rPr>
          <w:i/>
        </w:rPr>
        <w:t>Dismisses</w:t>
      </w:r>
      <w:r w:rsidR="00663063">
        <w:rPr>
          <w:i/>
        </w:rPr>
        <w:t>,</w:t>
      </w:r>
      <w:r w:rsidR="00F71A6A" w:rsidRPr="006075B8">
        <w:t xml:space="preserve"> </w:t>
      </w:r>
      <w:r w:rsidR="0078384A" w:rsidRPr="006075B8">
        <w:t>unanimously</w:t>
      </w:r>
      <w:r w:rsidR="00663063">
        <w:t>,</w:t>
      </w:r>
      <w:r w:rsidR="0078384A" w:rsidRPr="006075B8">
        <w:t xml:space="preserve"> </w:t>
      </w:r>
      <w:r w:rsidR="00F71A6A" w:rsidRPr="006075B8">
        <w:t xml:space="preserve">the remainder of the </w:t>
      </w:r>
      <w:r w:rsidR="005F4753" w:rsidRPr="006075B8">
        <w:t>applicant</w:t>
      </w:r>
      <w:r w:rsidR="005E7ADB">
        <w:t>’</w:t>
      </w:r>
      <w:r w:rsidR="0078384A" w:rsidRPr="006075B8">
        <w:t>s</w:t>
      </w:r>
      <w:r w:rsidR="00F71A6A" w:rsidRPr="006075B8">
        <w:t xml:space="preserve"> claim for just satisfaction.</w:t>
      </w:r>
    </w:p>
    <w:p w:rsidR="00325C2B" w:rsidRPr="006075B8" w:rsidRDefault="00F71A6A" w:rsidP="00325C2B">
      <w:pPr>
        <w:pStyle w:val="JuParaLast"/>
      </w:pPr>
      <w:r w:rsidRPr="006075B8">
        <w:t xml:space="preserve">Done in English, and notified in writing on </w:t>
      </w:r>
      <w:r w:rsidR="00484085" w:rsidRPr="006075B8">
        <w:t>17 September 2013</w:t>
      </w:r>
      <w:r w:rsidRPr="006075B8">
        <w:t>, pursuant to Rule</w:t>
      </w:r>
      <w:r w:rsidR="0011665B" w:rsidRPr="006075B8">
        <w:t xml:space="preserve"> </w:t>
      </w:r>
      <w:r w:rsidRPr="006075B8">
        <w:t>77</w:t>
      </w:r>
      <w:r w:rsidR="0011665B" w:rsidRPr="006075B8">
        <w:t xml:space="preserve"> </w:t>
      </w:r>
      <w:r w:rsidRPr="006075B8">
        <w:t>§§</w:t>
      </w:r>
      <w:r w:rsidR="0011665B" w:rsidRPr="006075B8">
        <w:t xml:space="preserve"> </w:t>
      </w:r>
      <w:r w:rsidRPr="006075B8">
        <w:t>2 and</w:t>
      </w:r>
      <w:r w:rsidR="0011665B" w:rsidRPr="006075B8">
        <w:t xml:space="preserve"> </w:t>
      </w:r>
      <w:r w:rsidRPr="006075B8">
        <w:t>3 of the Rules of Court.</w:t>
      </w:r>
    </w:p>
    <w:p w:rsidR="0079187F" w:rsidRDefault="00325C2B" w:rsidP="00C01E1C">
      <w:pPr>
        <w:pStyle w:val="JuSigned"/>
        <w:keepNext/>
        <w:keepLines/>
      </w:pPr>
      <w:r w:rsidRPr="006075B8">
        <w:tab/>
      </w:r>
      <w:r w:rsidR="00FC615E" w:rsidRPr="006075B8">
        <w:rPr>
          <w:rStyle w:val="JuJudgesChar"/>
          <w:noProof/>
        </w:rPr>
        <w:t>Fatoş Aracı</w:t>
      </w:r>
      <w:r w:rsidR="00A8381C" w:rsidRPr="006075B8">
        <w:tab/>
      </w:r>
      <w:r w:rsidR="009A7C03" w:rsidRPr="006075B8">
        <w:t>Ineta Ziemele</w:t>
      </w:r>
      <w:r w:rsidR="00A8381C" w:rsidRPr="006075B8">
        <w:br/>
      </w:r>
      <w:r w:rsidR="00A8381C" w:rsidRPr="006075B8">
        <w:tab/>
      </w:r>
      <w:r w:rsidR="00FC615E" w:rsidRPr="006075B8">
        <w:t xml:space="preserve">Deputy </w:t>
      </w:r>
      <w:r w:rsidR="0078384A" w:rsidRPr="006075B8">
        <w:rPr>
          <w:iCs/>
        </w:rPr>
        <w:t>Registrar</w:t>
      </w:r>
      <w:r w:rsidR="00A8381C" w:rsidRPr="006075B8">
        <w:tab/>
        <w:t>President</w:t>
      </w:r>
    </w:p>
    <w:p w:rsidR="008C6F45" w:rsidRPr="008C6F45" w:rsidRDefault="008C6F45" w:rsidP="008C6F45">
      <w:pPr>
        <w:pStyle w:val="JuParaLast"/>
      </w:pPr>
    </w:p>
    <w:sectPr w:rsidR="008C6F45" w:rsidRPr="008C6F45" w:rsidSect="001649E8">
      <w:headerReference w:type="even" r:id="rId13"/>
      <w:headerReference w:type="default" r:id="rId14"/>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64E7" w:rsidRDefault="004D64E7">
      <w:r>
        <w:separator/>
      </w:r>
    </w:p>
  </w:endnote>
  <w:endnote w:type="continuationSeparator" w:id="0">
    <w:p w:rsidR="004D64E7" w:rsidRDefault="004D64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49E8" w:rsidRPr="00150BFA" w:rsidRDefault="00751640" w:rsidP="000F5879">
    <w:pPr>
      <w:jc w:val="center"/>
      <w:rPr>
        <w:sz w:val="4"/>
        <w:szCs w:val="4"/>
      </w:rPr>
    </w:pPr>
    <w:r>
      <w:rPr>
        <w:noProof/>
        <w:sz w:val="4"/>
        <w:szCs w:val="4"/>
        <w:lang w:val="en-US" w:eastAsia="ja-JP"/>
      </w:rPr>
      <w:drawing>
        <wp:inline distT="0" distB="0" distL="0" distR="0">
          <wp:extent cx="762000" cy="609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609600"/>
                  </a:xfrm>
                  <a:prstGeom prst="rect">
                    <a:avLst/>
                  </a:prstGeom>
                  <a:noFill/>
                  <a:ln>
                    <a:noFill/>
                  </a:ln>
                </pic:spPr>
              </pic:pic>
            </a:graphicData>
          </a:graphic>
        </wp:inline>
      </w:drawing>
    </w:r>
  </w:p>
  <w:p w:rsidR="001649E8" w:rsidRDefault="001649E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64E7" w:rsidRDefault="004D64E7">
      <w:r>
        <w:separator/>
      </w:r>
    </w:p>
  </w:footnote>
  <w:footnote w:type="continuationSeparator" w:id="0">
    <w:p w:rsidR="004D64E7" w:rsidRDefault="004D64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53BA" w:rsidRPr="001649E8" w:rsidRDefault="00FB53BA" w:rsidP="001649E8">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49E8" w:rsidRPr="00C00F0F" w:rsidRDefault="00751640">
    <w:pPr>
      <w:pStyle w:val="Header"/>
      <w:jc w:val="center"/>
      <w:rPr>
        <w:sz w:val="4"/>
        <w:szCs w:val="4"/>
      </w:rPr>
    </w:pPr>
    <w:bookmarkStart w:id="1" w:name="_GoBack"/>
    <w:r>
      <w:rPr>
        <w:noProof/>
        <w:sz w:val="4"/>
        <w:szCs w:val="4"/>
        <w:lang w:val="en-US" w:eastAsia="ja-JP"/>
      </w:rPr>
      <w:drawing>
        <wp:inline distT="0" distB="0" distL="0" distR="0">
          <wp:extent cx="2944495" cy="1219200"/>
          <wp:effectExtent l="0" t="0" r="8255" b="0"/>
          <wp:docPr id="1" name="Picture 3" descr="Description: R:\1_Graphics&amp;Web\Court_Graphic_Charter\2013\ECHR_Stationery\Documents\Cover_Page\ECHR_CoverpageCS6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R:\1_Graphics&amp;Web\Court_Graphic_Charter\2013\ECHR_Stationery\Documents\Cover_Page\ECHR_CoverpageCS6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44495" cy="1219200"/>
                  </a:xfrm>
                  <a:prstGeom prst="rect">
                    <a:avLst/>
                  </a:prstGeom>
                  <a:noFill/>
                  <a:ln>
                    <a:noFill/>
                  </a:ln>
                </pic:spPr>
              </pic:pic>
            </a:graphicData>
          </a:graphic>
        </wp:inline>
      </w:drawing>
    </w:r>
    <w:bookmarkEnd w:id="1"/>
  </w:p>
  <w:p w:rsidR="001649E8" w:rsidRDefault="001649E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49E8" w:rsidRDefault="001649E8">
    <w:pPr>
      <w:pStyle w:val="JuHeader"/>
    </w:pPr>
    <w:r>
      <w:rPr>
        <w:rStyle w:val="PageNumber"/>
      </w:rPr>
      <w:fldChar w:fldCharType="begin"/>
    </w:r>
    <w:r>
      <w:rPr>
        <w:rStyle w:val="PageNumber"/>
      </w:rPr>
      <w:instrText xml:space="preserve"> PAGE </w:instrText>
    </w:r>
    <w:r>
      <w:rPr>
        <w:rStyle w:val="PageNumber"/>
      </w:rPr>
      <w:fldChar w:fldCharType="separate"/>
    </w:r>
    <w:r w:rsidR="00751640">
      <w:rPr>
        <w:rStyle w:val="PageNumber"/>
        <w:noProof/>
      </w:rPr>
      <w:t>2</w:t>
    </w:r>
    <w:r>
      <w:rPr>
        <w:rStyle w:val="PageNumber"/>
      </w:rPr>
      <w:fldChar w:fldCharType="end"/>
    </w:r>
    <w:r>
      <w:tab/>
      <w:t>PRZEMYK v. POLAND</w:t>
    </w:r>
    <w:r w:rsidR="00827A2E">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49E8" w:rsidRDefault="001649E8">
    <w:pPr>
      <w:pStyle w:val="JuHeader"/>
    </w:pPr>
    <w:r>
      <w:tab/>
      <w:t>PRZEMYK v. POLAND</w:t>
    </w:r>
    <w:r w:rsidR="00827A2E">
      <w:t xml:space="preserve"> </w:t>
    </w:r>
    <w:r>
      <w:t>JUDGMENT</w:t>
    </w:r>
    <w:r>
      <w:tab/>
    </w:r>
    <w:r>
      <w:rPr>
        <w:rStyle w:val="PageNumber"/>
      </w:rPr>
      <w:fldChar w:fldCharType="begin"/>
    </w:r>
    <w:r>
      <w:rPr>
        <w:rStyle w:val="PageNumber"/>
      </w:rPr>
      <w:instrText xml:space="preserve"> PAGE </w:instrText>
    </w:r>
    <w:r>
      <w:rPr>
        <w:rStyle w:val="PageNumber"/>
      </w:rPr>
      <w:fldChar w:fldCharType="separate"/>
    </w:r>
    <w:r w:rsidR="00751640">
      <w:rPr>
        <w:rStyle w:val="PageNumber"/>
        <w:noProof/>
      </w:rPr>
      <w:t>2</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1">
    <w:nsid w:val="0A4F2258"/>
    <w:multiLevelType w:val="hybridMultilevel"/>
    <w:tmpl w:val="67DA7F3E"/>
    <w:lvl w:ilvl="0" w:tplc="D788FCD6">
      <w:start w:val="2"/>
      <w:numFmt w:val="upperLetter"/>
      <w:lvlText w:val="%1."/>
      <w:lvlJc w:val="left"/>
      <w:pPr>
        <w:tabs>
          <w:tab w:val="num" w:pos="592"/>
        </w:tabs>
        <w:ind w:left="592" w:hanging="360"/>
      </w:pPr>
      <w:rPr>
        <w:rFonts w:hint="default"/>
      </w:rPr>
    </w:lvl>
    <w:lvl w:ilvl="1" w:tplc="08090019" w:tentative="1">
      <w:start w:val="1"/>
      <w:numFmt w:val="lowerLetter"/>
      <w:lvlText w:val="%2."/>
      <w:lvlJc w:val="left"/>
      <w:pPr>
        <w:tabs>
          <w:tab w:val="num" w:pos="1312"/>
        </w:tabs>
        <w:ind w:left="1312" w:hanging="360"/>
      </w:pPr>
    </w:lvl>
    <w:lvl w:ilvl="2" w:tplc="0809001B" w:tentative="1">
      <w:start w:val="1"/>
      <w:numFmt w:val="lowerRoman"/>
      <w:lvlText w:val="%3."/>
      <w:lvlJc w:val="right"/>
      <w:pPr>
        <w:tabs>
          <w:tab w:val="num" w:pos="2032"/>
        </w:tabs>
        <w:ind w:left="2032" w:hanging="180"/>
      </w:pPr>
    </w:lvl>
    <w:lvl w:ilvl="3" w:tplc="0809000F" w:tentative="1">
      <w:start w:val="1"/>
      <w:numFmt w:val="decimal"/>
      <w:lvlText w:val="%4."/>
      <w:lvlJc w:val="left"/>
      <w:pPr>
        <w:tabs>
          <w:tab w:val="num" w:pos="2752"/>
        </w:tabs>
        <w:ind w:left="2752" w:hanging="360"/>
      </w:pPr>
    </w:lvl>
    <w:lvl w:ilvl="4" w:tplc="08090019" w:tentative="1">
      <w:start w:val="1"/>
      <w:numFmt w:val="lowerLetter"/>
      <w:lvlText w:val="%5."/>
      <w:lvlJc w:val="left"/>
      <w:pPr>
        <w:tabs>
          <w:tab w:val="num" w:pos="3472"/>
        </w:tabs>
        <w:ind w:left="3472" w:hanging="360"/>
      </w:pPr>
    </w:lvl>
    <w:lvl w:ilvl="5" w:tplc="0809001B" w:tentative="1">
      <w:start w:val="1"/>
      <w:numFmt w:val="lowerRoman"/>
      <w:lvlText w:val="%6."/>
      <w:lvlJc w:val="right"/>
      <w:pPr>
        <w:tabs>
          <w:tab w:val="num" w:pos="4192"/>
        </w:tabs>
        <w:ind w:left="4192" w:hanging="180"/>
      </w:pPr>
    </w:lvl>
    <w:lvl w:ilvl="6" w:tplc="0809000F" w:tentative="1">
      <w:start w:val="1"/>
      <w:numFmt w:val="decimal"/>
      <w:lvlText w:val="%7."/>
      <w:lvlJc w:val="left"/>
      <w:pPr>
        <w:tabs>
          <w:tab w:val="num" w:pos="4912"/>
        </w:tabs>
        <w:ind w:left="4912" w:hanging="360"/>
      </w:pPr>
    </w:lvl>
    <w:lvl w:ilvl="7" w:tplc="08090019" w:tentative="1">
      <w:start w:val="1"/>
      <w:numFmt w:val="lowerLetter"/>
      <w:lvlText w:val="%8."/>
      <w:lvlJc w:val="left"/>
      <w:pPr>
        <w:tabs>
          <w:tab w:val="num" w:pos="5632"/>
        </w:tabs>
        <w:ind w:left="5632" w:hanging="360"/>
      </w:pPr>
    </w:lvl>
    <w:lvl w:ilvl="8" w:tplc="0809001B" w:tentative="1">
      <w:start w:val="1"/>
      <w:numFmt w:val="lowerRoman"/>
      <w:lvlText w:val="%9."/>
      <w:lvlJc w:val="right"/>
      <w:pPr>
        <w:tabs>
          <w:tab w:val="num" w:pos="6352"/>
        </w:tabs>
        <w:ind w:left="6352" w:hanging="180"/>
      </w:pPr>
    </w:lvl>
  </w:abstractNum>
  <w:abstractNum w:abstractNumId="2">
    <w:nsid w:val="37737811"/>
    <w:multiLevelType w:val="hybridMultilevel"/>
    <w:tmpl w:val="F0463A44"/>
    <w:lvl w:ilvl="0" w:tplc="D67C0346">
      <w:start w:val="1"/>
      <w:numFmt w:val="upperLetter"/>
      <w:lvlText w:val="%1."/>
      <w:lvlJc w:val="left"/>
      <w:pPr>
        <w:tabs>
          <w:tab w:val="num" w:pos="592"/>
        </w:tabs>
        <w:ind w:left="592" w:hanging="360"/>
      </w:pPr>
      <w:rPr>
        <w:rFonts w:hint="default"/>
      </w:rPr>
    </w:lvl>
    <w:lvl w:ilvl="1" w:tplc="08090019" w:tentative="1">
      <w:start w:val="1"/>
      <w:numFmt w:val="lowerLetter"/>
      <w:lvlText w:val="%2."/>
      <w:lvlJc w:val="left"/>
      <w:pPr>
        <w:tabs>
          <w:tab w:val="num" w:pos="1312"/>
        </w:tabs>
        <w:ind w:left="1312" w:hanging="360"/>
      </w:pPr>
    </w:lvl>
    <w:lvl w:ilvl="2" w:tplc="0809001B" w:tentative="1">
      <w:start w:val="1"/>
      <w:numFmt w:val="lowerRoman"/>
      <w:lvlText w:val="%3."/>
      <w:lvlJc w:val="right"/>
      <w:pPr>
        <w:tabs>
          <w:tab w:val="num" w:pos="2032"/>
        </w:tabs>
        <w:ind w:left="2032" w:hanging="180"/>
      </w:pPr>
    </w:lvl>
    <w:lvl w:ilvl="3" w:tplc="0809000F" w:tentative="1">
      <w:start w:val="1"/>
      <w:numFmt w:val="decimal"/>
      <w:lvlText w:val="%4."/>
      <w:lvlJc w:val="left"/>
      <w:pPr>
        <w:tabs>
          <w:tab w:val="num" w:pos="2752"/>
        </w:tabs>
        <w:ind w:left="2752" w:hanging="360"/>
      </w:pPr>
    </w:lvl>
    <w:lvl w:ilvl="4" w:tplc="08090019" w:tentative="1">
      <w:start w:val="1"/>
      <w:numFmt w:val="lowerLetter"/>
      <w:lvlText w:val="%5."/>
      <w:lvlJc w:val="left"/>
      <w:pPr>
        <w:tabs>
          <w:tab w:val="num" w:pos="3472"/>
        </w:tabs>
        <w:ind w:left="3472" w:hanging="360"/>
      </w:pPr>
    </w:lvl>
    <w:lvl w:ilvl="5" w:tplc="0809001B" w:tentative="1">
      <w:start w:val="1"/>
      <w:numFmt w:val="lowerRoman"/>
      <w:lvlText w:val="%6."/>
      <w:lvlJc w:val="right"/>
      <w:pPr>
        <w:tabs>
          <w:tab w:val="num" w:pos="4192"/>
        </w:tabs>
        <w:ind w:left="4192" w:hanging="180"/>
      </w:pPr>
    </w:lvl>
    <w:lvl w:ilvl="6" w:tplc="0809000F" w:tentative="1">
      <w:start w:val="1"/>
      <w:numFmt w:val="decimal"/>
      <w:lvlText w:val="%7."/>
      <w:lvlJc w:val="left"/>
      <w:pPr>
        <w:tabs>
          <w:tab w:val="num" w:pos="4912"/>
        </w:tabs>
        <w:ind w:left="4912" w:hanging="360"/>
      </w:pPr>
    </w:lvl>
    <w:lvl w:ilvl="7" w:tplc="08090019" w:tentative="1">
      <w:start w:val="1"/>
      <w:numFmt w:val="lowerLetter"/>
      <w:lvlText w:val="%8."/>
      <w:lvlJc w:val="left"/>
      <w:pPr>
        <w:tabs>
          <w:tab w:val="num" w:pos="5632"/>
        </w:tabs>
        <w:ind w:left="5632" w:hanging="360"/>
      </w:pPr>
    </w:lvl>
    <w:lvl w:ilvl="8" w:tplc="0809001B" w:tentative="1">
      <w:start w:val="1"/>
      <w:numFmt w:val="lowerRoman"/>
      <w:lvlText w:val="%9."/>
      <w:lvlJc w:val="right"/>
      <w:pPr>
        <w:tabs>
          <w:tab w:val="num" w:pos="6352"/>
        </w:tabs>
        <w:ind w:left="6352" w:hanging="180"/>
      </w:pPr>
    </w:lvl>
  </w:abstractNum>
  <w:abstractNum w:abstractNumId="4">
    <w:nsid w:val="4E607379"/>
    <w:multiLevelType w:val="hybridMultilevel"/>
    <w:tmpl w:val="BF8E51E0"/>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6">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 w:numId="2">
    <w:abstractNumId w:val="5"/>
  </w:num>
  <w:num w:numId="3">
    <w:abstractNumId w:val="6"/>
  </w:num>
  <w:num w:numId="4">
    <w:abstractNumId w:val="6"/>
  </w:num>
  <w:num w:numId="5">
    <w:abstractNumId w:val="6"/>
  </w:num>
  <w:num w:numId="6">
    <w:abstractNumId w:val="6"/>
  </w:num>
  <w:num w:numId="10">
    <w:abstractNumId w:val="1"/>
  </w:num>
  <w:num w:numId="11">
    <w:abstractNumId w:val="2"/>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removePersonalInformatio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6"/>
  <w:hyphenationZone w:val="425"/>
  <w:evenAndOddHeaders/>
  <w:displayHorizontalDrawingGridEvery w:val="0"/>
  <w:displayVerticalDrawingGridEvery w:val="0"/>
  <w:doNotUseMarginsForDrawingGridOrigin/>
  <w:noPunctuationKerning/>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78384A"/>
    <w:rsid w:val="00001CC5"/>
    <w:rsid w:val="00002DD1"/>
    <w:rsid w:val="000042D1"/>
    <w:rsid w:val="000054D0"/>
    <w:rsid w:val="0001160D"/>
    <w:rsid w:val="00013894"/>
    <w:rsid w:val="00013FEB"/>
    <w:rsid w:val="000236EA"/>
    <w:rsid w:val="00033160"/>
    <w:rsid w:val="00033D0D"/>
    <w:rsid w:val="00033FD2"/>
    <w:rsid w:val="0003679E"/>
    <w:rsid w:val="00042867"/>
    <w:rsid w:val="00044255"/>
    <w:rsid w:val="0005522C"/>
    <w:rsid w:val="00055AC1"/>
    <w:rsid w:val="000726F6"/>
    <w:rsid w:val="00076A67"/>
    <w:rsid w:val="00085837"/>
    <w:rsid w:val="00085B3A"/>
    <w:rsid w:val="00090C82"/>
    <w:rsid w:val="0009409F"/>
    <w:rsid w:val="000B62D6"/>
    <w:rsid w:val="000B6C17"/>
    <w:rsid w:val="000C209E"/>
    <w:rsid w:val="000D6108"/>
    <w:rsid w:val="000E1449"/>
    <w:rsid w:val="000F0D39"/>
    <w:rsid w:val="000F1B6A"/>
    <w:rsid w:val="000F5879"/>
    <w:rsid w:val="000F66F4"/>
    <w:rsid w:val="000F699D"/>
    <w:rsid w:val="0010280B"/>
    <w:rsid w:val="00102F7E"/>
    <w:rsid w:val="00104AD1"/>
    <w:rsid w:val="00106662"/>
    <w:rsid w:val="00110608"/>
    <w:rsid w:val="00111D99"/>
    <w:rsid w:val="0011665B"/>
    <w:rsid w:val="0011714E"/>
    <w:rsid w:val="00126213"/>
    <w:rsid w:val="0013290F"/>
    <w:rsid w:val="00145FD1"/>
    <w:rsid w:val="00151CCA"/>
    <w:rsid w:val="001535D6"/>
    <w:rsid w:val="00157BD8"/>
    <w:rsid w:val="0016101F"/>
    <w:rsid w:val="001649E8"/>
    <w:rsid w:val="00165914"/>
    <w:rsid w:val="00167DF3"/>
    <w:rsid w:val="00172739"/>
    <w:rsid w:val="00174A6F"/>
    <w:rsid w:val="00176A76"/>
    <w:rsid w:val="001801AF"/>
    <w:rsid w:val="001812B2"/>
    <w:rsid w:val="00193602"/>
    <w:rsid w:val="0019388B"/>
    <w:rsid w:val="001947F8"/>
    <w:rsid w:val="00195378"/>
    <w:rsid w:val="00197C29"/>
    <w:rsid w:val="00197F27"/>
    <w:rsid w:val="001A0EBE"/>
    <w:rsid w:val="001A2CB2"/>
    <w:rsid w:val="001A6B62"/>
    <w:rsid w:val="001B06D1"/>
    <w:rsid w:val="001B2EFC"/>
    <w:rsid w:val="001B30D5"/>
    <w:rsid w:val="001B4AA2"/>
    <w:rsid w:val="001B62B1"/>
    <w:rsid w:val="001B74F7"/>
    <w:rsid w:val="001C7AF1"/>
    <w:rsid w:val="001D5509"/>
    <w:rsid w:val="001E5625"/>
    <w:rsid w:val="001E7CF7"/>
    <w:rsid w:val="001F1560"/>
    <w:rsid w:val="001F5586"/>
    <w:rsid w:val="00216279"/>
    <w:rsid w:val="002238C1"/>
    <w:rsid w:val="00225BE5"/>
    <w:rsid w:val="002266CD"/>
    <w:rsid w:val="00226EAE"/>
    <w:rsid w:val="00231747"/>
    <w:rsid w:val="002320C6"/>
    <w:rsid w:val="00235AF6"/>
    <w:rsid w:val="00241426"/>
    <w:rsid w:val="00245C7A"/>
    <w:rsid w:val="00252B31"/>
    <w:rsid w:val="00264B3F"/>
    <w:rsid w:val="0026789F"/>
    <w:rsid w:val="00271A81"/>
    <w:rsid w:val="0027347F"/>
    <w:rsid w:val="00276CBD"/>
    <w:rsid w:val="00282E82"/>
    <w:rsid w:val="00286D77"/>
    <w:rsid w:val="00296B76"/>
    <w:rsid w:val="00297942"/>
    <w:rsid w:val="002A4296"/>
    <w:rsid w:val="002B1549"/>
    <w:rsid w:val="002B18B7"/>
    <w:rsid w:val="002B1F12"/>
    <w:rsid w:val="002B3E90"/>
    <w:rsid w:val="002C0094"/>
    <w:rsid w:val="002C787C"/>
    <w:rsid w:val="002C7D3E"/>
    <w:rsid w:val="002D001E"/>
    <w:rsid w:val="002E2EAF"/>
    <w:rsid w:val="002E6A74"/>
    <w:rsid w:val="002F3A8D"/>
    <w:rsid w:val="002F4BCF"/>
    <w:rsid w:val="002F6FE9"/>
    <w:rsid w:val="0030030A"/>
    <w:rsid w:val="003019C7"/>
    <w:rsid w:val="00302008"/>
    <w:rsid w:val="003104E9"/>
    <w:rsid w:val="0031573C"/>
    <w:rsid w:val="0032093A"/>
    <w:rsid w:val="00325AF3"/>
    <w:rsid w:val="00325C2B"/>
    <w:rsid w:val="003263D1"/>
    <w:rsid w:val="0032774D"/>
    <w:rsid w:val="00330185"/>
    <w:rsid w:val="00332547"/>
    <w:rsid w:val="003330C4"/>
    <w:rsid w:val="00336887"/>
    <w:rsid w:val="00337600"/>
    <w:rsid w:val="0034580F"/>
    <w:rsid w:val="003506C9"/>
    <w:rsid w:val="00352D4E"/>
    <w:rsid w:val="0035401A"/>
    <w:rsid w:val="00355F8F"/>
    <w:rsid w:val="00361156"/>
    <w:rsid w:val="00367B91"/>
    <w:rsid w:val="00371277"/>
    <w:rsid w:val="0037228D"/>
    <w:rsid w:val="00372F77"/>
    <w:rsid w:val="00383588"/>
    <w:rsid w:val="00391839"/>
    <w:rsid w:val="003934F5"/>
    <w:rsid w:val="003B41C7"/>
    <w:rsid w:val="003B50D7"/>
    <w:rsid w:val="003D4975"/>
    <w:rsid w:val="003E2006"/>
    <w:rsid w:val="003E319C"/>
    <w:rsid w:val="003F29D1"/>
    <w:rsid w:val="003F3BFD"/>
    <w:rsid w:val="003F430D"/>
    <w:rsid w:val="00401C5B"/>
    <w:rsid w:val="00412F5F"/>
    <w:rsid w:val="00413EFC"/>
    <w:rsid w:val="00435EA7"/>
    <w:rsid w:val="004406AA"/>
    <w:rsid w:val="00447853"/>
    <w:rsid w:val="00452CF1"/>
    <w:rsid w:val="00453591"/>
    <w:rsid w:val="00453EE7"/>
    <w:rsid w:val="00454794"/>
    <w:rsid w:val="00456819"/>
    <w:rsid w:val="004568BF"/>
    <w:rsid w:val="00457A18"/>
    <w:rsid w:val="00460FAD"/>
    <w:rsid w:val="004700FF"/>
    <w:rsid w:val="00477EB8"/>
    <w:rsid w:val="00484085"/>
    <w:rsid w:val="00485077"/>
    <w:rsid w:val="00485A6F"/>
    <w:rsid w:val="004920B1"/>
    <w:rsid w:val="004A3711"/>
    <w:rsid w:val="004A656B"/>
    <w:rsid w:val="004B10D6"/>
    <w:rsid w:val="004C75C8"/>
    <w:rsid w:val="004D64E7"/>
    <w:rsid w:val="004E5DFC"/>
    <w:rsid w:val="0050096C"/>
    <w:rsid w:val="00501DB0"/>
    <w:rsid w:val="00513446"/>
    <w:rsid w:val="00515264"/>
    <w:rsid w:val="005155F7"/>
    <w:rsid w:val="005163AF"/>
    <w:rsid w:val="00516EBF"/>
    <w:rsid w:val="00522362"/>
    <w:rsid w:val="005270F2"/>
    <w:rsid w:val="00536C81"/>
    <w:rsid w:val="00537684"/>
    <w:rsid w:val="005419B6"/>
    <w:rsid w:val="00543C39"/>
    <w:rsid w:val="00546F49"/>
    <w:rsid w:val="00551A10"/>
    <w:rsid w:val="005671B6"/>
    <w:rsid w:val="0056771C"/>
    <w:rsid w:val="005777BA"/>
    <w:rsid w:val="00577E6A"/>
    <w:rsid w:val="005806B0"/>
    <w:rsid w:val="00581729"/>
    <w:rsid w:val="00582D1B"/>
    <w:rsid w:val="00584A11"/>
    <w:rsid w:val="00584C16"/>
    <w:rsid w:val="005874FF"/>
    <w:rsid w:val="00590F39"/>
    <w:rsid w:val="00592EAC"/>
    <w:rsid w:val="00595C5D"/>
    <w:rsid w:val="005A3D27"/>
    <w:rsid w:val="005B16A8"/>
    <w:rsid w:val="005B4233"/>
    <w:rsid w:val="005C1929"/>
    <w:rsid w:val="005C1956"/>
    <w:rsid w:val="005C2C88"/>
    <w:rsid w:val="005C41CB"/>
    <w:rsid w:val="005E26F1"/>
    <w:rsid w:val="005E384F"/>
    <w:rsid w:val="005E7ADB"/>
    <w:rsid w:val="005F004C"/>
    <w:rsid w:val="005F4753"/>
    <w:rsid w:val="005F7A10"/>
    <w:rsid w:val="005F7EA1"/>
    <w:rsid w:val="00604CA9"/>
    <w:rsid w:val="006053AC"/>
    <w:rsid w:val="006075B8"/>
    <w:rsid w:val="006111FF"/>
    <w:rsid w:val="006138EA"/>
    <w:rsid w:val="00625699"/>
    <w:rsid w:val="0062787C"/>
    <w:rsid w:val="006305CC"/>
    <w:rsid w:val="006331A0"/>
    <w:rsid w:val="00633478"/>
    <w:rsid w:val="00635F32"/>
    <w:rsid w:val="00640B82"/>
    <w:rsid w:val="00647A2E"/>
    <w:rsid w:val="00655126"/>
    <w:rsid w:val="00655711"/>
    <w:rsid w:val="00663063"/>
    <w:rsid w:val="006639B6"/>
    <w:rsid w:val="006650CF"/>
    <w:rsid w:val="006669B2"/>
    <w:rsid w:val="0066739C"/>
    <w:rsid w:val="00676886"/>
    <w:rsid w:val="00697F14"/>
    <w:rsid w:val="006A0028"/>
    <w:rsid w:val="006A28E7"/>
    <w:rsid w:val="006A3D9D"/>
    <w:rsid w:val="006A7C48"/>
    <w:rsid w:val="006C2B52"/>
    <w:rsid w:val="006C35C5"/>
    <w:rsid w:val="006C5BE1"/>
    <w:rsid w:val="006C7E1F"/>
    <w:rsid w:val="006D71BC"/>
    <w:rsid w:val="006E6D33"/>
    <w:rsid w:val="006F5DBC"/>
    <w:rsid w:val="00710D80"/>
    <w:rsid w:val="007152A4"/>
    <w:rsid w:val="007156E0"/>
    <w:rsid w:val="00726EA5"/>
    <w:rsid w:val="00730053"/>
    <w:rsid w:val="00730433"/>
    <w:rsid w:val="0073233D"/>
    <w:rsid w:val="00732446"/>
    <w:rsid w:val="007352DD"/>
    <w:rsid w:val="00750E5E"/>
    <w:rsid w:val="00751640"/>
    <w:rsid w:val="00753699"/>
    <w:rsid w:val="00754ABE"/>
    <w:rsid w:val="00756D5B"/>
    <w:rsid w:val="007661B5"/>
    <w:rsid w:val="00771217"/>
    <w:rsid w:val="007760E7"/>
    <w:rsid w:val="00776807"/>
    <w:rsid w:val="0077789B"/>
    <w:rsid w:val="0078062F"/>
    <w:rsid w:val="007827E7"/>
    <w:rsid w:val="0078384A"/>
    <w:rsid w:val="0079163D"/>
    <w:rsid w:val="0079187F"/>
    <w:rsid w:val="00794A93"/>
    <w:rsid w:val="007A1FFE"/>
    <w:rsid w:val="007A357A"/>
    <w:rsid w:val="007A6DBA"/>
    <w:rsid w:val="007B2958"/>
    <w:rsid w:val="007C090B"/>
    <w:rsid w:val="007C1CE3"/>
    <w:rsid w:val="007D0D75"/>
    <w:rsid w:val="007F735A"/>
    <w:rsid w:val="00801390"/>
    <w:rsid w:val="00806E5F"/>
    <w:rsid w:val="00807FE8"/>
    <w:rsid w:val="0081534E"/>
    <w:rsid w:val="00816699"/>
    <w:rsid w:val="008172AA"/>
    <w:rsid w:val="00821C92"/>
    <w:rsid w:val="0082758C"/>
    <w:rsid w:val="00827A2E"/>
    <w:rsid w:val="00833B9F"/>
    <w:rsid w:val="00846856"/>
    <w:rsid w:val="00853345"/>
    <w:rsid w:val="008638C8"/>
    <w:rsid w:val="00864113"/>
    <w:rsid w:val="00864209"/>
    <w:rsid w:val="0088171F"/>
    <w:rsid w:val="008824B9"/>
    <w:rsid w:val="0088315D"/>
    <w:rsid w:val="00884205"/>
    <w:rsid w:val="00886BB5"/>
    <w:rsid w:val="00886CDE"/>
    <w:rsid w:val="00886FFB"/>
    <w:rsid w:val="00890FC6"/>
    <w:rsid w:val="00895D0C"/>
    <w:rsid w:val="008A51BE"/>
    <w:rsid w:val="008A5DE4"/>
    <w:rsid w:val="008B5BFB"/>
    <w:rsid w:val="008C6F45"/>
    <w:rsid w:val="008C6F68"/>
    <w:rsid w:val="008D39DB"/>
    <w:rsid w:val="008D7BF2"/>
    <w:rsid w:val="008E05A3"/>
    <w:rsid w:val="008E1DB7"/>
    <w:rsid w:val="008F07F8"/>
    <w:rsid w:val="00900F2B"/>
    <w:rsid w:val="00901475"/>
    <w:rsid w:val="0090328B"/>
    <w:rsid w:val="00903A1F"/>
    <w:rsid w:val="00910970"/>
    <w:rsid w:val="009128A8"/>
    <w:rsid w:val="009169BC"/>
    <w:rsid w:val="00922B20"/>
    <w:rsid w:val="00927277"/>
    <w:rsid w:val="00930CD7"/>
    <w:rsid w:val="00932C7B"/>
    <w:rsid w:val="00937EAD"/>
    <w:rsid w:val="009415A4"/>
    <w:rsid w:val="0094239F"/>
    <w:rsid w:val="00950FA9"/>
    <w:rsid w:val="00955FB8"/>
    <w:rsid w:val="00956501"/>
    <w:rsid w:val="009607A0"/>
    <w:rsid w:val="00965BD4"/>
    <w:rsid w:val="009662A4"/>
    <w:rsid w:val="00976D90"/>
    <w:rsid w:val="0098535B"/>
    <w:rsid w:val="0099561C"/>
    <w:rsid w:val="00995F44"/>
    <w:rsid w:val="00997274"/>
    <w:rsid w:val="009A438A"/>
    <w:rsid w:val="009A7C03"/>
    <w:rsid w:val="009B039E"/>
    <w:rsid w:val="009B15A1"/>
    <w:rsid w:val="009B60B6"/>
    <w:rsid w:val="009C0BCC"/>
    <w:rsid w:val="009C5183"/>
    <w:rsid w:val="009D3A9B"/>
    <w:rsid w:val="009D46D7"/>
    <w:rsid w:val="009D4B87"/>
    <w:rsid w:val="009D727B"/>
    <w:rsid w:val="009F0055"/>
    <w:rsid w:val="009F07CC"/>
    <w:rsid w:val="009F0DC1"/>
    <w:rsid w:val="009F18CE"/>
    <w:rsid w:val="009F1D27"/>
    <w:rsid w:val="009F5625"/>
    <w:rsid w:val="00A012A5"/>
    <w:rsid w:val="00A04E02"/>
    <w:rsid w:val="00A05EBF"/>
    <w:rsid w:val="00A06A89"/>
    <w:rsid w:val="00A135BE"/>
    <w:rsid w:val="00A20D57"/>
    <w:rsid w:val="00A2796C"/>
    <w:rsid w:val="00A317DF"/>
    <w:rsid w:val="00A32B81"/>
    <w:rsid w:val="00A33C97"/>
    <w:rsid w:val="00A35C98"/>
    <w:rsid w:val="00A4085A"/>
    <w:rsid w:val="00A5331A"/>
    <w:rsid w:val="00A702FD"/>
    <w:rsid w:val="00A7049C"/>
    <w:rsid w:val="00A70C10"/>
    <w:rsid w:val="00A80135"/>
    <w:rsid w:val="00A8381C"/>
    <w:rsid w:val="00A91FEC"/>
    <w:rsid w:val="00AA074F"/>
    <w:rsid w:val="00AA0A20"/>
    <w:rsid w:val="00AA2B6A"/>
    <w:rsid w:val="00AA373E"/>
    <w:rsid w:val="00AA7CA2"/>
    <w:rsid w:val="00AA7CD1"/>
    <w:rsid w:val="00AB0594"/>
    <w:rsid w:val="00AB2110"/>
    <w:rsid w:val="00AB2166"/>
    <w:rsid w:val="00AB43D9"/>
    <w:rsid w:val="00AC134B"/>
    <w:rsid w:val="00AC662E"/>
    <w:rsid w:val="00AC67F5"/>
    <w:rsid w:val="00AD57B2"/>
    <w:rsid w:val="00AE17D3"/>
    <w:rsid w:val="00AE2F4F"/>
    <w:rsid w:val="00B0594B"/>
    <w:rsid w:val="00B11E71"/>
    <w:rsid w:val="00B122EA"/>
    <w:rsid w:val="00B227F0"/>
    <w:rsid w:val="00B324A5"/>
    <w:rsid w:val="00B3608A"/>
    <w:rsid w:val="00B4137B"/>
    <w:rsid w:val="00B4551C"/>
    <w:rsid w:val="00B460AF"/>
    <w:rsid w:val="00B474A0"/>
    <w:rsid w:val="00B51249"/>
    <w:rsid w:val="00B52010"/>
    <w:rsid w:val="00B574E7"/>
    <w:rsid w:val="00B6108B"/>
    <w:rsid w:val="00B62813"/>
    <w:rsid w:val="00B64488"/>
    <w:rsid w:val="00B6621D"/>
    <w:rsid w:val="00B662B2"/>
    <w:rsid w:val="00B6678B"/>
    <w:rsid w:val="00B6763B"/>
    <w:rsid w:val="00B67CBD"/>
    <w:rsid w:val="00B743BC"/>
    <w:rsid w:val="00B767E6"/>
    <w:rsid w:val="00B8091B"/>
    <w:rsid w:val="00B81192"/>
    <w:rsid w:val="00B921A8"/>
    <w:rsid w:val="00B92FF1"/>
    <w:rsid w:val="00BA55E6"/>
    <w:rsid w:val="00BB2E21"/>
    <w:rsid w:val="00BC0746"/>
    <w:rsid w:val="00BC7EEE"/>
    <w:rsid w:val="00BD0956"/>
    <w:rsid w:val="00BD19AE"/>
    <w:rsid w:val="00BD682E"/>
    <w:rsid w:val="00BE046C"/>
    <w:rsid w:val="00BE4C86"/>
    <w:rsid w:val="00BE4FF1"/>
    <w:rsid w:val="00BE50FE"/>
    <w:rsid w:val="00BE5958"/>
    <w:rsid w:val="00BF071D"/>
    <w:rsid w:val="00C01E1C"/>
    <w:rsid w:val="00C02E48"/>
    <w:rsid w:val="00C071C5"/>
    <w:rsid w:val="00C27EF9"/>
    <w:rsid w:val="00C3018F"/>
    <w:rsid w:val="00C30671"/>
    <w:rsid w:val="00C32E64"/>
    <w:rsid w:val="00C45D7A"/>
    <w:rsid w:val="00C52BE9"/>
    <w:rsid w:val="00C577C8"/>
    <w:rsid w:val="00C63E30"/>
    <w:rsid w:val="00C73967"/>
    <w:rsid w:val="00C84877"/>
    <w:rsid w:val="00C94023"/>
    <w:rsid w:val="00C96806"/>
    <w:rsid w:val="00C96EBF"/>
    <w:rsid w:val="00CA251C"/>
    <w:rsid w:val="00CA4FFD"/>
    <w:rsid w:val="00CA6284"/>
    <w:rsid w:val="00CB32B6"/>
    <w:rsid w:val="00CC6623"/>
    <w:rsid w:val="00CC72FF"/>
    <w:rsid w:val="00CC7A41"/>
    <w:rsid w:val="00CD31A0"/>
    <w:rsid w:val="00CD5D90"/>
    <w:rsid w:val="00CE1C9D"/>
    <w:rsid w:val="00CE28AB"/>
    <w:rsid w:val="00CF166A"/>
    <w:rsid w:val="00CF2292"/>
    <w:rsid w:val="00D00569"/>
    <w:rsid w:val="00D0087A"/>
    <w:rsid w:val="00D102A7"/>
    <w:rsid w:val="00D1288A"/>
    <w:rsid w:val="00D13CE9"/>
    <w:rsid w:val="00D15473"/>
    <w:rsid w:val="00D17457"/>
    <w:rsid w:val="00D2113B"/>
    <w:rsid w:val="00D214AE"/>
    <w:rsid w:val="00D30F97"/>
    <w:rsid w:val="00D31751"/>
    <w:rsid w:val="00D33169"/>
    <w:rsid w:val="00D333B8"/>
    <w:rsid w:val="00D353F4"/>
    <w:rsid w:val="00D357B5"/>
    <w:rsid w:val="00D44EA3"/>
    <w:rsid w:val="00D56B5D"/>
    <w:rsid w:val="00D63793"/>
    <w:rsid w:val="00D63FFC"/>
    <w:rsid w:val="00D73611"/>
    <w:rsid w:val="00D76B5D"/>
    <w:rsid w:val="00D80E69"/>
    <w:rsid w:val="00D814DF"/>
    <w:rsid w:val="00D90810"/>
    <w:rsid w:val="00DB37B7"/>
    <w:rsid w:val="00DB5B90"/>
    <w:rsid w:val="00DB6D67"/>
    <w:rsid w:val="00DC2093"/>
    <w:rsid w:val="00DC5C22"/>
    <w:rsid w:val="00DC5FDC"/>
    <w:rsid w:val="00DC7D55"/>
    <w:rsid w:val="00DE5E8F"/>
    <w:rsid w:val="00E05649"/>
    <w:rsid w:val="00E13B71"/>
    <w:rsid w:val="00E25ED5"/>
    <w:rsid w:val="00E3168F"/>
    <w:rsid w:val="00E32625"/>
    <w:rsid w:val="00E32971"/>
    <w:rsid w:val="00E50968"/>
    <w:rsid w:val="00E526A4"/>
    <w:rsid w:val="00E65AA2"/>
    <w:rsid w:val="00E81663"/>
    <w:rsid w:val="00E84FE1"/>
    <w:rsid w:val="00E9155E"/>
    <w:rsid w:val="00E973F5"/>
    <w:rsid w:val="00EA1E26"/>
    <w:rsid w:val="00EA3A12"/>
    <w:rsid w:val="00EB41E9"/>
    <w:rsid w:val="00EB5EBC"/>
    <w:rsid w:val="00ED12C3"/>
    <w:rsid w:val="00ED3AC7"/>
    <w:rsid w:val="00EE1252"/>
    <w:rsid w:val="00EE47FF"/>
    <w:rsid w:val="00EE4EC9"/>
    <w:rsid w:val="00EE7911"/>
    <w:rsid w:val="00EF2384"/>
    <w:rsid w:val="00F10422"/>
    <w:rsid w:val="00F107D3"/>
    <w:rsid w:val="00F11A88"/>
    <w:rsid w:val="00F203C8"/>
    <w:rsid w:val="00F22E8B"/>
    <w:rsid w:val="00F26898"/>
    <w:rsid w:val="00F43FF3"/>
    <w:rsid w:val="00F45697"/>
    <w:rsid w:val="00F50C96"/>
    <w:rsid w:val="00F5124B"/>
    <w:rsid w:val="00F51885"/>
    <w:rsid w:val="00F64CAA"/>
    <w:rsid w:val="00F71A6A"/>
    <w:rsid w:val="00F71CFB"/>
    <w:rsid w:val="00F73D18"/>
    <w:rsid w:val="00F75F6A"/>
    <w:rsid w:val="00F94742"/>
    <w:rsid w:val="00FA051D"/>
    <w:rsid w:val="00FB53BA"/>
    <w:rsid w:val="00FB783E"/>
    <w:rsid w:val="00FC02CD"/>
    <w:rsid w:val="00FC615E"/>
    <w:rsid w:val="00FC7114"/>
    <w:rsid w:val="00FD3E2F"/>
    <w:rsid w:val="00FD54EE"/>
    <w:rsid w:val="00FD5C3D"/>
    <w:rsid w:val="00FD5C80"/>
    <w:rsid w:val="00FE1A51"/>
    <w:rsid w:val="00FE6E3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48"/>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24B9"/>
    <w:pPr>
      <w:suppressAutoHyphens/>
    </w:pPr>
    <w:rPr>
      <w:sz w:val="24"/>
      <w:lang w:val="en-GB" w:eastAsia="fr-FR"/>
    </w:rPr>
  </w:style>
  <w:style w:type="paragraph" w:styleId="Heading1">
    <w:name w:val="heading 1"/>
    <w:basedOn w:val="Normal"/>
    <w:next w:val="Normal"/>
    <w:qFormat/>
    <w:rsid w:val="008824B9"/>
    <w:pPr>
      <w:keepNext/>
      <w:spacing w:before="360" w:after="240"/>
      <w:jc w:val="center"/>
      <w:outlineLvl w:val="0"/>
    </w:pPr>
    <w:rPr>
      <w:b/>
      <w:sz w:val="28"/>
    </w:rPr>
  </w:style>
  <w:style w:type="paragraph" w:styleId="Heading2">
    <w:name w:val="heading 2"/>
    <w:basedOn w:val="Normal"/>
    <w:next w:val="Normal"/>
    <w:qFormat/>
    <w:rsid w:val="008824B9"/>
    <w:pPr>
      <w:keepNext/>
      <w:spacing w:before="240" w:after="120"/>
      <w:ind w:left="284" w:hanging="284"/>
      <w:outlineLvl w:val="1"/>
    </w:pPr>
    <w:rPr>
      <w:b/>
    </w:rPr>
  </w:style>
  <w:style w:type="paragraph" w:styleId="Heading3">
    <w:name w:val="heading 3"/>
    <w:basedOn w:val="Normal"/>
    <w:next w:val="Normal"/>
    <w:qFormat/>
    <w:rsid w:val="008824B9"/>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semiHidden/>
    <w:rsid w:val="008824B9"/>
  </w:style>
  <w:style w:type="table" w:default="1" w:styleId="TableNormal">
    <w:name w:val="Normal Table"/>
    <w:semiHidden/>
    <w:rsid w:val="009B039E"/>
    <w:tblPr>
      <w:tblInd w:w="0" w:type="dxa"/>
      <w:tblCellMar>
        <w:top w:w="0" w:type="dxa"/>
        <w:left w:w="108" w:type="dxa"/>
        <w:bottom w:w="0" w:type="dxa"/>
        <w:right w:w="108" w:type="dxa"/>
      </w:tblCellMar>
    </w:tblPr>
  </w:style>
  <w:style w:type="numbering" w:default="1" w:styleId="NoList">
    <w:name w:val="No List"/>
    <w:semiHidden/>
    <w:rsid w:val="008824B9"/>
  </w:style>
  <w:style w:type="paragraph" w:customStyle="1" w:styleId="OpiHA">
    <w:name w:val="Opi_H_A"/>
    <w:basedOn w:val="JuHIRoman"/>
    <w:next w:val="OpiPara"/>
    <w:rsid w:val="00302008"/>
    <w:pPr>
      <w:tabs>
        <w:tab w:val="clear" w:pos="357"/>
      </w:tabs>
    </w:pPr>
    <w:rPr>
      <w:b/>
    </w:rPr>
  </w:style>
  <w:style w:type="paragraph" w:customStyle="1" w:styleId="JuHIRoman">
    <w:name w:val="Ju_H_I_Roman"/>
    <w:basedOn w:val="JuHHead"/>
    <w:next w:val="JuPara"/>
    <w:rsid w:val="00D1288A"/>
    <w:pPr>
      <w:tabs>
        <w:tab w:val="left" w:pos="357"/>
      </w:tabs>
      <w:spacing w:before="360"/>
      <w:ind w:left="357" w:hanging="357"/>
      <w:outlineLvl w:val="1"/>
    </w:pPr>
    <w:rPr>
      <w:sz w:val="24"/>
    </w:rPr>
  </w:style>
  <w:style w:type="paragraph" w:customStyle="1" w:styleId="JuHHead">
    <w:name w:val="Ju_H_Head"/>
    <w:basedOn w:val="NormalTimesNewRoman"/>
    <w:next w:val="JuPara"/>
    <w:rsid w:val="00D1288A"/>
    <w:pPr>
      <w:keepNext/>
      <w:keepLines/>
      <w:spacing w:before="720" w:after="240"/>
      <w:jc w:val="both"/>
      <w:outlineLvl w:val="0"/>
    </w:pPr>
    <w:rPr>
      <w:sz w:val="28"/>
    </w:rPr>
  </w:style>
  <w:style w:type="character" w:customStyle="1" w:styleId="DefaultTimesNewRoman">
    <w:name w:val="Default_TimesNewRoman"/>
    <w:rsid w:val="00D1288A"/>
    <w:rPr>
      <w:rFonts w:ascii="Times New Roman" w:hAnsi="Times New Roman"/>
    </w:rPr>
  </w:style>
  <w:style w:type="paragraph" w:customStyle="1" w:styleId="JuPara">
    <w:name w:val="Ju_Para"/>
    <w:aliases w:val="Left,First line:  0 cm"/>
    <w:basedOn w:val="NormalTimesNewRoman"/>
    <w:link w:val="JuParaChar"/>
    <w:rsid w:val="00D1288A"/>
    <w:pPr>
      <w:ind w:firstLine="284"/>
      <w:jc w:val="both"/>
    </w:pPr>
  </w:style>
  <w:style w:type="character" w:customStyle="1" w:styleId="JuParaChar">
    <w:name w:val="Ju_Para Char"/>
    <w:link w:val="JuPara"/>
    <w:rsid w:val="00B921A8"/>
    <w:rPr>
      <w:sz w:val="24"/>
      <w:lang w:val="en-GB" w:eastAsia="fr-FR" w:bidi="ar-SA"/>
    </w:rPr>
  </w:style>
  <w:style w:type="paragraph" w:customStyle="1" w:styleId="OpiPara">
    <w:name w:val="Opi_Para"/>
    <w:basedOn w:val="JuPara"/>
    <w:rsid w:val="00302008"/>
  </w:style>
  <w:style w:type="paragraph" w:customStyle="1" w:styleId="OpiH1">
    <w:name w:val="Opi_H_1."/>
    <w:basedOn w:val="OpiHA"/>
    <w:next w:val="OpiPara"/>
    <w:rsid w:val="00302008"/>
    <w:pPr>
      <w:spacing w:before="240" w:after="120"/>
      <w:ind w:left="635"/>
      <w:outlineLvl w:val="2"/>
    </w:pPr>
    <w:rPr>
      <w:b w:val="0"/>
      <w:i/>
    </w:rPr>
  </w:style>
  <w:style w:type="paragraph" w:customStyle="1" w:styleId="OpiHa0">
    <w:name w:val="Opi_H_a"/>
    <w:basedOn w:val="OpiH1"/>
    <w:next w:val="OpiPara"/>
    <w:rsid w:val="00302008"/>
    <w:pPr>
      <w:ind w:left="833"/>
      <w:outlineLvl w:val="3"/>
    </w:pPr>
    <w:rPr>
      <w:b/>
      <w:i w:val="0"/>
      <w:sz w:val="20"/>
    </w:rPr>
  </w:style>
  <w:style w:type="paragraph" w:customStyle="1" w:styleId="OpiHHead">
    <w:name w:val="Opi_H_Head"/>
    <w:basedOn w:val="JuHHead"/>
    <w:next w:val="OpiPara"/>
    <w:rsid w:val="00302008"/>
    <w:pPr>
      <w:spacing w:before="0"/>
      <w:jc w:val="center"/>
    </w:pPr>
  </w:style>
  <w:style w:type="paragraph" w:customStyle="1" w:styleId="OpiHi">
    <w:name w:val="Opi_H_i"/>
    <w:basedOn w:val="OpiHa0"/>
    <w:next w:val="OpiPara"/>
    <w:rsid w:val="00302008"/>
    <w:pPr>
      <w:ind w:left="1037"/>
      <w:outlineLvl w:val="4"/>
    </w:pPr>
    <w:rPr>
      <w:b w:val="0"/>
      <w:i/>
    </w:rPr>
  </w:style>
  <w:style w:type="paragraph" w:styleId="Footer">
    <w:name w:val="footer"/>
    <w:basedOn w:val="NormalTimesNewRoman"/>
    <w:rsid w:val="00D1288A"/>
    <w:pPr>
      <w:tabs>
        <w:tab w:val="center" w:pos="3686"/>
        <w:tab w:val="right" w:pos="7371"/>
      </w:tabs>
    </w:pPr>
    <w:rPr>
      <w:sz w:val="18"/>
    </w:rPr>
  </w:style>
  <w:style w:type="paragraph" w:customStyle="1" w:styleId="JuJudges">
    <w:name w:val="Ju_Judges"/>
    <w:aliases w:val="ECHR_Decision_Body"/>
    <w:basedOn w:val="NormalTimesNewRoman"/>
    <w:link w:val="JuJudgesChar"/>
    <w:uiPriority w:val="11"/>
    <w:qFormat/>
    <w:rsid w:val="00D1288A"/>
    <w:pPr>
      <w:tabs>
        <w:tab w:val="left" w:pos="567"/>
        <w:tab w:val="left" w:pos="1134"/>
      </w:tabs>
    </w:pPr>
  </w:style>
  <w:style w:type="character" w:customStyle="1" w:styleId="JuJudgesChar">
    <w:name w:val="Ju_Judges Char"/>
    <w:link w:val="JuJudges"/>
    <w:uiPriority w:val="11"/>
    <w:locked/>
    <w:rsid w:val="00D15473"/>
    <w:rPr>
      <w:sz w:val="24"/>
      <w:lang w:val="en-GB" w:eastAsia="fr-FR" w:bidi="ar-SA"/>
    </w:rPr>
  </w:style>
  <w:style w:type="paragraph" w:customStyle="1" w:styleId="JuHA">
    <w:name w:val="Ju_H_A"/>
    <w:basedOn w:val="JuHIRoman"/>
    <w:next w:val="JuPara"/>
    <w:rsid w:val="00D1288A"/>
    <w:pPr>
      <w:tabs>
        <w:tab w:val="clear" w:pos="357"/>
        <w:tab w:val="left" w:pos="584"/>
      </w:tabs>
      <w:ind w:left="584" w:hanging="352"/>
      <w:outlineLvl w:val="2"/>
    </w:pPr>
    <w:rPr>
      <w:b/>
    </w:rPr>
  </w:style>
  <w:style w:type="paragraph" w:customStyle="1" w:styleId="JuQuot">
    <w:name w:val="Ju_Quot"/>
    <w:basedOn w:val="JuPara"/>
    <w:rsid w:val="00D1288A"/>
    <w:pPr>
      <w:spacing w:before="120" w:after="120"/>
      <w:ind w:left="425" w:firstLine="142"/>
    </w:pPr>
    <w:rPr>
      <w:sz w:val="20"/>
    </w:rPr>
  </w:style>
  <w:style w:type="paragraph" w:customStyle="1" w:styleId="JuSigned">
    <w:name w:val="Ju_Signed"/>
    <w:basedOn w:val="NormalTimesNewRoman"/>
    <w:next w:val="JuParaLast"/>
    <w:link w:val="JuSignedChar"/>
    <w:rsid w:val="00D1288A"/>
    <w:pPr>
      <w:tabs>
        <w:tab w:val="center" w:pos="851"/>
        <w:tab w:val="center" w:pos="6407"/>
      </w:tabs>
      <w:spacing w:before="720"/>
    </w:pPr>
  </w:style>
  <w:style w:type="paragraph" w:customStyle="1" w:styleId="JuParaLast">
    <w:name w:val="Ju_Para_Last"/>
    <w:basedOn w:val="JuPara"/>
    <w:next w:val="JuPara"/>
    <w:rsid w:val="00D1288A"/>
    <w:pPr>
      <w:keepNext/>
      <w:keepLines/>
      <w:spacing w:before="240"/>
    </w:pPr>
  </w:style>
  <w:style w:type="character" w:customStyle="1" w:styleId="JuSignedChar">
    <w:name w:val="Ju_Signed Char"/>
    <w:link w:val="JuSigned"/>
    <w:rsid w:val="000726F6"/>
    <w:rPr>
      <w:sz w:val="24"/>
      <w:lang w:val="en-GB" w:eastAsia="fr-FR" w:bidi="ar-SA"/>
    </w:rPr>
  </w:style>
  <w:style w:type="paragraph" w:customStyle="1" w:styleId="JuCase">
    <w:name w:val="Ju_Case"/>
    <w:basedOn w:val="JuPara"/>
    <w:next w:val="JuPara"/>
    <w:link w:val="JuCaseChar"/>
    <w:rsid w:val="00D1288A"/>
    <w:rPr>
      <w:b/>
    </w:rPr>
  </w:style>
  <w:style w:type="character" w:customStyle="1" w:styleId="JuCaseChar">
    <w:name w:val="Ju_Case Char"/>
    <w:link w:val="JuCase"/>
    <w:rsid w:val="00B921A8"/>
    <w:rPr>
      <w:b/>
      <w:sz w:val="24"/>
      <w:lang w:val="en-GB" w:eastAsia="fr-FR" w:bidi="ar-SA"/>
    </w:rPr>
  </w:style>
  <w:style w:type="paragraph" w:customStyle="1" w:styleId="JuList">
    <w:name w:val="Ju_List"/>
    <w:basedOn w:val="JuPara"/>
    <w:link w:val="JuListChar"/>
    <w:rsid w:val="00D1288A"/>
    <w:pPr>
      <w:ind w:left="340" w:hanging="340"/>
    </w:pPr>
  </w:style>
  <w:style w:type="character" w:customStyle="1" w:styleId="JuListChar">
    <w:name w:val="Ju_List Char"/>
    <w:link w:val="JuList"/>
    <w:rsid w:val="00930CD7"/>
    <w:rPr>
      <w:sz w:val="24"/>
      <w:lang w:val="en-GB" w:eastAsia="fr-FR" w:bidi="ar-SA"/>
    </w:rPr>
  </w:style>
  <w:style w:type="paragraph" w:customStyle="1" w:styleId="JuHArticle">
    <w:name w:val="Ju_H_Article"/>
    <w:basedOn w:val="JuHa0"/>
    <w:next w:val="JuQuot"/>
    <w:rsid w:val="00D1288A"/>
    <w:pPr>
      <w:ind w:left="0" w:firstLine="0"/>
      <w:jc w:val="center"/>
    </w:pPr>
  </w:style>
  <w:style w:type="paragraph" w:customStyle="1" w:styleId="JuHa0">
    <w:name w:val="Ju_H_a"/>
    <w:basedOn w:val="JuH1"/>
    <w:next w:val="JuPara"/>
    <w:rsid w:val="00D1288A"/>
    <w:pPr>
      <w:tabs>
        <w:tab w:val="clear" w:pos="731"/>
        <w:tab w:val="left" w:pos="975"/>
      </w:tabs>
      <w:ind w:left="975" w:hanging="340"/>
      <w:outlineLvl w:val="4"/>
    </w:pPr>
    <w:rPr>
      <w:b/>
      <w:i w:val="0"/>
      <w:sz w:val="20"/>
    </w:rPr>
  </w:style>
  <w:style w:type="paragraph" w:customStyle="1" w:styleId="JuH1">
    <w:name w:val="Ju_H_1."/>
    <w:basedOn w:val="JuHA"/>
    <w:next w:val="JuPara"/>
    <w:rsid w:val="00D1288A"/>
    <w:pPr>
      <w:tabs>
        <w:tab w:val="clear" w:pos="584"/>
        <w:tab w:val="left" w:pos="731"/>
      </w:tabs>
      <w:spacing w:before="240" w:after="120"/>
      <w:ind w:left="732" w:hanging="301"/>
      <w:outlineLvl w:val="3"/>
    </w:pPr>
    <w:rPr>
      <w:b w:val="0"/>
      <w:i/>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rsid w:val="00D1288A"/>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302008"/>
  </w:style>
  <w:style w:type="paragraph" w:customStyle="1" w:styleId="OpiTranslation">
    <w:name w:val="Opi_Translation"/>
    <w:basedOn w:val="OpiHHead"/>
    <w:next w:val="OpiPara"/>
    <w:uiPriority w:val="40"/>
    <w:qFormat/>
    <w:rsid w:val="00302008"/>
    <w:rPr>
      <w:i/>
      <w:sz w:val="24"/>
    </w:rPr>
  </w:style>
  <w:style w:type="paragraph" w:styleId="FootnoteText">
    <w:name w:val="footnote text"/>
    <w:basedOn w:val="Normal"/>
    <w:semiHidden/>
    <w:rsid w:val="00D1288A"/>
    <w:pPr>
      <w:jc w:val="both"/>
    </w:pPr>
    <w:rPr>
      <w:sz w:val="20"/>
    </w:rPr>
  </w:style>
  <w:style w:type="character" w:styleId="FootnoteReference">
    <w:name w:val="footnote reference"/>
    <w:semiHidden/>
    <w:rsid w:val="00D1288A"/>
    <w:rPr>
      <w:vertAlign w:val="superscript"/>
    </w:rPr>
  </w:style>
  <w:style w:type="paragraph" w:customStyle="1" w:styleId="JuHi">
    <w:name w:val="Ju_H_i"/>
    <w:basedOn w:val="JuHa0"/>
    <w:next w:val="JuPara"/>
    <w:rsid w:val="00D1288A"/>
    <w:pPr>
      <w:tabs>
        <w:tab w:val="clear" w:pos="975"/>
        <w:tab w:val="left" w:pos="1191"/>
      </w:tabs>
      <w:ind w:left="1190" w:hanging="357"/>
      <w:outlineLvl w:val="5"/>
    </w:pPr>
    <w:rPr>
      <w:b w:val="0"/>
      <w:i/>
    </w:rPr>
  </w:style>
  <w:style w:type="paragraph" w:styleId="Header">
    <w:name w:val="header"/>
    <w:basedOn w:val="NormalTimesNewRoman"/>
    <w:link w:val="HeaderChar"/>
    <w:uiPriority w:val="48"/>
    <w:rsid w:val="00D1288A"/>
    <w:pPr>
      <w:tabs>
        <w:tab w:val="center" w:pos="3686"/>
        <w:tab w:val="right" w:pos="7371"/>
      </w:tabs>
    </w:pPr>
    <w:rPr>
      <w:sz w:val="18"/>
    </w:rPr>
  </w:style>
  <w:style w:type="character" w:styleId="PageNumber">
    <w:name w:val="page number"/>
    <w:rsid w:val="00D1288A"/>
    <w:rPr>
      <w:sz w:val="18"/>
    </w:rPr>
  </w:style>
  <w:style w:type="paragraph" w:customStyle="1" w:styleId="JuH">
    <w:name w:val="Ju_H_–"/>
    <w:basedOn w:val="JuHalpha"/>
    <w:next w:val="JuPara"/>
    <w:rsid w:val="00D1288A"/>
    <w:pPr>
      <w:tabs>
        <w:tab w:val="clear" w:pos="1372"/>
      </w:tabs>
      <w:ind w:left="1236" w:firstLine="0"/>
    </w:pPr>
    <w:rPr>
      <w:i/>
    </w:rPr>
  </w:style>
  <w:style w:type="paragraph" w:customStyle="1" w:styleId="JuHalpha">
    <w:name w:val="Ju_H_alpha"/>
    <w:basedOn w:val="JuHi"/>
    <w:next w:val="JuPara"/>
    <w:rsid w:val="00D1288A"/>
    <w:pPr>
      <w:tabs>
        <w:tab w:val="clear" w:pos="1191"/>
        <w:tab w:val="left" w:pos="1372"/>
      </w:tabs>
      <w:ind w:left="1373" w:hanging="335"/>
    </w:pPr>
    <w:rPr>
      <w:i w:val="0"/>
    </w:rPr>
  </w:style>
  <w:style w:type="paragraph" w:customStyle="1" w:styleId="JuLista">
    <w:name w:val="Ju_List_a"/>
    <w:basedOn w:val="JuList"/>
    <w:rsid w:val="00D1288A"/>
    <w:pPr>
      <w:ind w:left="346" w:firstLine="0"/>
    </w:pPr>
  </w:style>
  <w:style w:type="paragraph" w:customStyle="1" w:styleId="JuListi">
    <w:name w:val="Ju_List_i"/>
    <w:basedOn w:val="JuLista"/>
    <w:rsid w:val="00D1288A"/>
    <w:pPr>
      <w:ind w:left="794"/>
    </w:pPr>
  </w:style>
  <w:style w:type="character" w:styleId="CommentReference">
    <w:name w:val="annotation reference"/>
    <w:semiHidden/>
    <w:rPr>
      <w:sz w:val="16"/>
    </w:rPr>
  </w:style>
  <w:style w:type="paragraph" w:styleId="CommentText">
    <w:name w:val="annotation text"/>
    <w:basedOn w:val="Normal"/>
    <w:semiHidden/>
    <w:rPr>
      <w:sz w:val="20"/>
    </w:rPr>
  </w:style>
  <w:style w:type="paragraph" w:customStyle="1" w:styleId="JuInitialled">
    <w:name w:val="Ju_Initialled"/>
    <w:basedOn w:val="JuSigned"/>
    <w:rsid w:val="00D1288A"/>
    <w:pPr>
      <w:tabs>
        <w:tab w:val="clear" w:pos="851"/>
      </w:tabs>
      <w:jc w:val="right"/>
    </w:pPr>
  </w:style>
  <w:style w:type="paragraph" w:customStyle="1" w:styleId="JuHeader">
    <w:name w:val="Ju_Header"/>
    <w:basedOn w:val="Header"/>
    <w:rsid w:val="00D1288A"/>
  </w:style>
  <w:style w:type="paragraph" w:customStyle="1" w:styleId="DecHTitle">
    <w:name w:val="Dec_H_Title"/>
    <w:basedOn w:val="Normal"/>
    <w:rsid w:val="0037228D"/>
    <w:pPr>
      <w:spacing w:after="240"/>
      <w:jc w:val="center"/>
      <w:outlineLvl w:val="0"/>
    </w:pPr>
    <w:rPr>
      <w:sz w:val="28"/>
    </w:rPr>
  </w:style>
  <w:style w:type="paragraph" w:customStyle="1" w:styleId="DecHCase">
    <w:name w:val="Dec_H_Case"/>
    <w:basedOn w:val="DecHTitle"/>
    <w:next w:val="JuPara"/>
    <w:rsid w:val="00302008"/>
    <w:rPr>
      <w:sz w:val="24"/>
    </w:rPr>
  </w:style>
  <w:style w:type="paragraph" w:customStyle="1" w:styleId="DecList">
    <w:name w:val="Dec_List"/>
    <w:basedOn w:val="Normal"/>
    <w:rsid w:val="0037228D"/>
    <w:pPr>
      <w:spacing w:before="240"/>
      <w:ind w:left="284"/>
      <w:jc w:val="both"/>
    </w:pPr>
  </w:style>
  <w:style w:type="paragraph" w:customStyle="1" w:styleId="JuParaSub">
    <w:name w:val="Ju_Para_Sub"/>
    <w:basedOn w:val="JuPara"/>
    <w:rsid w:val="00D1288A"/>
    <w:pPr>
      <w:ind w:left="284"/>
    </w:pPr>
    <w:rPr>
      <w:szCs w:val="24"/>
    </w:rPr>
  </w:style>
  <w:style w:type="paragraph" w:customStyle="1" w:styleId="JuQuotSub">
    <w:name w:val="Ju_Quot_Sub"/>
    <w:basedOn w:val="JuQuot"/>
    <w:rsid w:val="00D1288A"/>
    <w:pPr>
      <w:ind w:left="567"/>
    </w:pPr>
  </w:style>
  <w:style w:type="paragraph" w:styleId="BalloonText">
    <w:name w:val="Balloon Text"/>
    <w:basedOn w:val="Normal"/>
    <w:semiHidden/>
    <w:rsid w:val="00457A18"/>
    <w:rPr>
      <w:rFonts w:ascii="Tahoma" w:hAnsi="Tahoma" w:cs="Tahoma"/>
      <w:sz w:val="16"/>
      <w:szCs w:val="16"/>
    </w:rPr>
  </w:style>
  <w:style w:type="paragraph" w:styleId="CommentSubject">
    <w:name w:val="annotation subject"/>
    <w:basedOn w:val="CommentText"/>
    <w:next w:val="CommentText"/>
    <w:semiHidden/>
    <w:rsid w:val="00D353F4"/>
    <w:rPr>
      <w:b/>
      <w:bCs/>
    </w:rPr>
  </w:style>
  <w:style w:type="character" w:styleId="EndnoteReference">
    <w:name w:val="endnote reference"/>
    <w:semiHidden/>
    <w:rsid w:val="00D1288A"/>
    <w:rPr>
      <w:vertAlign w:val="superscript"/>
    </w:rPr>
  </w:style>
  <w:style w:type="paragraph" w:styleId="EndnoteText">
    <w:name w:val="endnote text"/>
    <w:basedOn w:val="Normal"/>
    <w:semiHidden/>
    <w:rsid w:val="00D1288A"/>
    <w:rPr>
      <w:sz w:val="20"/>
    </w:rPr>
  </w:style>
  <w:style w:type="character" w:styleId="FollowedHyperlink">
    <w:name w:val="FollowedHyperlink"/>
    <w:rsid w:val="00D1288A"/>
    <w:rPr>
      <w:color w:val="800080"/>
      <w:u w:val="single"/>
    </w:rPr>
  </w:style>
  <w:style w:type="paragraph" w:customStyle="1" w:styleId="SuCoverTitle1">
    <w:name w:val="Su_Cover_Title1"/>
    <w:basedOn w:val="Normal"/>
    <w:next w:val="SuCoverTitle2"/>
    <w:rsid w:val="0037228D"/>
    <w:pPr>
      <w:spacing w:before="2500"/>
      <w:jc w:val="center"/>
    </w:pPr>
    <w:rPr>
      <w:sz w:val="22"/>
    </w:rPr>
  </w:style>
  <w:style w:type="paragraph" w:customStyle="1" w:styleId="SuCoverTitle2">
    <w:name w:val="Su_Cover_Title2"/>
    <w:basedOn w:val="SuCoverTitle1"/>
    <w:next w:val="Normal"/>
    <w:rsid w:val="00864209"/>
    <w:pPr>
      <w:spacing w:before="240"/>
    </w:pPr>
    <w:rPr>
      <w:sz w:val="18"/>
    </w:rPr>
  </w:style>
  <w:style w:type="paragraph" w:customStyle="1" w:styleId="SuPara">
    <w:name w:val="Su_Para"/>
    <w:basedOn w:val="SuKeywords"/>
    <w:rsid w:val="00864209"/>
    <w:pPr>
      <w:spacing w:before="0" w:after="0"/>
    </w:pPr>
    <w:rPr>
      <w:i w:val="0"/>
    </w:rPr>
  </w:style>
  <w:style w:type="paragraph" w:customStyle="1" w:styleId="SuKeywords">
    <w:name w:val="Su_Keywords"/>
    <w:basedOn w:val="SuHHead"/>
    <w:rsid w:val="00864209"/>
    <w:pPr>
      <w:spacing w:before="120"/>
    </w:pPr>
    <w:rPr>
      <w:b w:val="0"/>
      <w:i/>
    </w:rPr>
  </w:style>
  <w:style w:type="paragraph" w:customStyle="1" w:styleId="SuHHead">
    <w:name w:val="Su_H_Head"/>
    <w:basedOn w:val="SuSubject"/>
    <w:rsid w:val="00864209"/>
    <w:pPr>
      <w:spacing w:after="120"/>
    </w:pPr>
  </w:style>
  <w:style w:type="paragraph" w:customStyle="1" w:styleId="SuSubject">
    <w:name w:val="Su_Subject"/>
    <w:basedOn w:val="SuSummary"/>
    <w:rsid w:val="00864209"/>
    <w:pPr>
      <w:suppressAutoHyphens w:val="0"/>
      <w:spacing w:before="360"/>
      <w:jc w:val="both"/>
    </w:pPr>
    <w:rPr>
      <w:b/>
      <w:sz w:val="22"/>
    </w:rPr>
  </w:style>
  <w:style w:type="paragraph" w:customStyle="1" w:styleId="SuSummary">
    <w:name w:val="Su_Summary"/>
    <w:basedOn w:val="Normal"/>
    <w:next w:val="SuSubject"/>
    <w:rsid w:val="0037228D"/>
    <w:pPr>
      <w:spacing w:after="240"/>
      <w:jc w:val="center"/>
    </w:pPr>
  </w:style>
  <w:style w:type="paragraph" w:customStyle="1" w:styleId="OpiParaSub">
    <w:name w:val="Opi_Para_Sub"/>
    <w:basedOn w:val="JuParaSub"/>
    <w:rsid w:val="00302008"/>
  </w:style>
  <w:style w:type="paragraph" w:customStyle="1" w:styleId="OpiQuotSub">
    <w:name w:val="Opi_Quot_Sub"/>
    <w:basedOn w:val="JuQuotSub"/>
    <w:rsid w:val="00302008"/>
  </w:style>
  <w:style w:type="character" w:styleId="Hyperlink">
    <w:name w:val="Hyperlink"/>
    <w:rsid w:val="00D1288A"/>
    <w:rPr>
      <w:color w:val="0000FF"/>
      <w:u w:val="single"/>
    </w:rPr>
  </w:style>
  <w:style w:type="character" w:styleId="Strong">
    <w:name w:val="Strong"/>
    <w:qFormat/>
    <w:rsid w:val="00AA7CA2"/>
    <w:rPr>
      <w:b/>
      <w:bCs/>
    </w:rPr>
  </w:style>
  <w:style w:type="paragraph" w:styleId="DocumentMap">
    <w:name w:val="Document Map"/>
    <w:basedOn w:val="Normal"/>
    <w:semiHidden/>
    <w:rsid w:val="008824B9"/>
    <w:pPr>
      <w:shd w:val="clear" w:color="auto" w:fill="000080"/>
    </w:pPr>
    <w:rPr>
      <w:rFonts w:ascii="Tahoma" w:hAnsi="Tahoma" w:cs="Tahoma"/>
      <w:sz w:val="20"/>
    </w:rPr>
  </w:style>
  <w:style w:type="character" w:customStyle="1" w:styleId="JuNames">
    <w:name w:val="Ju_Names"/>
    <w:rsid w:val="00D1288A"/>
    <w:rPr>
      <w:smallCaps/>
    </w:rPr>
  </w:style>
  <w:style w:type="paragraph" w:customStyle="1" w:styleId="NormalJustified">
    <w:name w:val="Normal_Justified"/>
    <w:basedOn w:val="Normal"/>
    <w:rsid w:val="008824B9"/>
    <w:pPr>
      <w:jc w:val="both"/>
    </w:pPr>
  </w:style>
  <w:style w:type="paragraph" w:customStyle="1" w:styleId="JuAppQuestion">
    <w:name w:val="Ju_App_Question"/>
    <w:basedOn w:val="ListBullet"/>
    <w:rsid w:val="00D1288A"/>
    <w:pPr>
      <w:numPr>
        <w:numId w:val="6"/>
      </w:numPr>
      <w:suppressAutoHyphens w:val="0"/>
    </w:pPr>
    <w:rPr>
      <w:b/>
      <w:color w:val="333333"/>
    </w:rPr>
  </w:style>
  <w:style w:type="paragraph" w:styleId="ListBullet">
    <w:name w:val="List Bullet"/>
    <w:basedOn w:val="Normal"/>
    <w:rsid w:val="008824B9"/>
    <w:pPr>
      <w:numPr>
        <w:numId w:val="2"/>
      </w:numPr>
    </w:pPr>
  </w:style>
  <w:style w:type="paragraph" w:customStyle="1" w:styleId="NormalTimesNewRoman">
    <w:name w:val="Normal_TimesNewRoman"/>
    <w:rsid w:val="00D1288A"/>
    <w:rPr>
      <w:sz w:val="24"/>
      <w:lang w:val="en-GB" w:eastAsia="fr-FR"/>
    </w:rPr>
  </w:style>
  <w:style w:type="character" w:customStyle="1" w:styleId="JuITMark">
    <w:name w:val="Ju_ITMark"/>
    <w:rsid w:val="00D1288A"/>
    <w:rPr>
      <w:rFonts w:ascii="Times New Roman" w:hAnsi="Times New Roman"/>
      <w:vanish/>
      <w:color w:val="339966"/>
      <w:sz w:val="16"/>
      <w:szCs w:val="16"/>
      <w:lang w:val="fi-FI"/>
    </w:rPr>
  </w:style>
  <w:style w:type="paragraph" w:customStyle="1" w:styleId="JuTitle">
    <w:name w:val="Ju_Title"/>
    <w:basedOn w:val="JuHHead"/>
    <w:next w:val="JuPara"/>
    <w:rsid w:val="00D1288A"/>
    <w:pPr>
      <w:jc w:val="center"/>
    </w:pPr>
    <w:rPr>
      <w:b/>
      <w:caps/>
      <w:sz w:val="24"/>
      <w:szCs w:val="24"/>
      <w:u w:val="single"/>
    </w:rPr>
  </w:style>
  <w:style w:type="character" w:customStyle="1" w:styleId="JuParaCar">
    <w:name w:val="Ju_Para Car"/>
    <w:rsid w:val="0078384A"/>
    <w:rPr>
      <w:sz w:val="24"/>
      <w:lang w:val="en-GB" w:eastAsia="fr-FR" w:bidi="ar-SA"/>
    </w:rPr>
  </w:style>
  <w:style w:type="paragraph" w:customStyle="1" w:styleId="s82ac4f2">
    <w:name w:val="s82ac4f2"/>
    <w:basedOn w:val="Normal"/>
    <w:rsid w:val="006331A0"/>
    <w:pPr>
      <w:suppressAutoHyphens w:val="0"/>
      <w:spacing w:before="100" w:beforeAutospacing="1" w:after="100" w:afterAutospacing="1"/>
    </w:pPr>
    <w:rPr>
      <w:szCs w:val="24"/>
      <w:lang w:eastAsia="en-GB"/>
    </w:rPr>
  </w:style>
  <w:style w:type="character" w:customStyle="1" w:styleId="sb8d990e2">
    <w:name w:val="sb8d990e2"/>
    <w:basedOn w:val="DefaultParagraphFont"/>
    <w:rsid w:val="006331A0"/>
  </w:style>
  <w:style w:type="paragraph" w:customStyle="1" w:styleId="s30eec3f8">
    <w:name w:val="s30eec3f8"/>
    <w:basedOn w:val="Normal"/>
    <w:rsid w:val="006331A0"/>
    <w:pPr>
      <w:suppressAutoHyphens w:val="0"/>
      <w:spacing w:before="100" w:beforeAutospacing="1" w:after="100" w:afterAutospacing="1"/>
    </w:pPr>
    <w:rPr>
      <w:szCs w:val="24"/>
      <w:lang w:eastAsia="en-GB"/>
    </w:rPr>
  </w:style>
  <w:style w:type="character" w:customStyle="1" w:styleId="s6b621b36">
    <w:name w:val="s6b621b36"/>
    <w:basedOn w:val="DefaultParagraphFont"/>
    <w:rsid w:val="006331A0"/>
  </w:style>
  <w:style w:type="character" w:customStyle="1" w:styleId="s23c0e925">
    <w:name w:val="s23c0e925"/>
    <w:basedOn w:val="DefaultParagraphFont"/>
    <w:rsid w:val="006331A0"/>
  </w:style>
  <w:style w:type="character" w:customStyle="1" w:styleId="sebfc2997">
    <w:name w:val="sebfc2997"/>
    <w:basedOn w:val="DefaultParagraphFont"/>
    <w:rsid w:val="006331A0"/>
  </w:style>
  <w:style w:type="character" w:customStyle="1" w:styleId="wordhighlighted">
    <w:name w:val="wordhighlighted"/>
    <w:basedOn w:val="DefaultParagraphFont"/>
    <w:rsid w:val="0030030A"/>
  </w:style>
  <w:style w:type="paragraph" w:customStyle="1" w:styleId="s70227c73">
    <w:name w:val="s70227c73"/>
    <w:basedOn w:val="Normal"/>
    <w:rsid w:val="003F430D"/>
    <w:pPr>
      <w:suppressAutoHyphens w:val="0"/>
      <w:spacing w:before="100" w:beforeAutospacing="1" w:after="100" w:afterAutospacing="1"/>
    </w:pPr>
    <w:rPr>
      <w:szCs w:val="24"/>
      <w:lang w:eastAsia="en-GB"/>
    </w:rPr>
  </w:style>
  <w:style w:type="paragraph" w:customStyle="1" w:styleId="s9e9b0cd7">
    <w:name w:val="s9e9b0cd7"/>
    <w:basedOn w:val="Normal"/>
    <w:rsid w:val="009C0BCC"/>
    <w:pPr>
      <w:suppressAutoHyphens w:val="0"/>
      <w:spacing w:before="100" w:beforeAutospacing="1" w:after="100" w:afterAutospacing="1"/>
    </w:pPr>
    <w:rPr>
      <w:szCs w:val="24"/>
      <w:lang w:eastAsia="en-GB"/>
    </w:rPr>
  </w:style>
  <w:style w:type="character" w:customStyle="1" w:styleId="sfbbfee58">
    <w:name w:val="sfbbfee58"/>
    <w:basedOn w:val="DefaultParagraphFont"/>
    <w:rsid w:val="009C0BCC"/>
  </w:style>
  <w:style w:type="paragraph" w:styleId="NormalWeb">
    <w:name w:val="Normal (Web)"/>
    <w:basedOn w:val="Normal"/>
    <w:rsid w:val="00AC662E"/>
    <w:pPr>
      <w:suppressAutoHyphens w:val="0"/>
      <w:spacing w:before="100" w:beforeAutospacing="1" w:after="100" w:afterAutospacing="1"/>
    </w:pPr>
    <w:rPr>
      <w:color w:val="000000"/>
      <w:szCs w:val="24"/>
      <w:lang w:eastAsia="en-GB"/>
    </w:rPr>
  </w:style>
  <w:style w:type="character" w:customStyle="1" w:styleId="ju-005fpara-002cleft-002cfirst-0020line-003a-0020-00200-0020cm--char">
    <w:name w:val="ju-005fpara-002cleft-002cfirst-0020line-003a-0020-00200-0020cm--char"/>
    <w:rsid w:val="004B10D6"/>
    <w:rPr>
      <w:rFonts w:cs="Times New Roman"/>
    </w:rPr>
  </w:style>
  <w:style w:type="character" w:customStyle="1" w:styleId="wordhighlightedcurrentterm">
    <w:name w:val="wordhighlighted currentterm"/>
    <w:basedOn w:val="DefaultParagraphFont"/>
    <w:rsid w:val="008D39DB"/>
  </w:style>
  <w:style w:type="character" w:customStyle="1" w:styleId="sea881cdf">
    <w:name w:val="sea881cdf"/>
    <w:basedOn w:val="DefaultParagraphFont"/>
    <w:rsid w:val="006A0028"/>
  </w:style>
  <w:style w:type="character" w:customStyle="1" w:styleId="s38c10080">
    <w:name w:val="s38c10080"/>
    <w:basedOn w:val="DefaultParagraphFont"/>
    <w:rsid w:val="006A0028"/>
  </w:style>
  <w:style w:type="character" w:customStyle="1" w:styleId="ju----005fpara--------char----char--char">
    <w:name w:val="ju----005fpara--------char----char--char"/>
    <w:basedOn w:val="DefaultParagraphFont"/>
    <w:rsid w:val="004A3711"/>
  </w:style>
  <w:style w:type="character" w:customStyle="1" w:styleId="JuParaChar1">
    <w:name w:val="Ju_Para Char1"/>
    <w:locked/>
    <w:rsid w:val="004A3711"/>
    <w:rPr>
      <w:rFonts w:cs="Times New Roman"/>
      <w:sz w:val="24"/>
      <w:lang w:val="fr-FR" w:eastAsia="fr-FR" w:bidi="ar-SA"/>
    </w:rPr>
  </w:style>
  <w:style w:type="character" w:customStyle="1" w:styleId="HeaderChar">
    <w:name w:val="Header Char"/>
    <w:link w:val="Header"/>
    <w:uiPriority w:val="48"/>
    <w:rsid w:val="001649E8"/>
    <w:rPr>
      <w:sz w:val="18"/>
      <w:lang w:val="en-GB"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48"/>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24B9"/>
    <w:pPr>
      <w:suppressAutoHyphens/>
    </w:pPr>
    <w:rPr>
      <w:sz w:val="24"/>
      <w:lang w:val="en-GB" w:eastAsia="fr-FR"/>
    </w:rPr>
  </w:style>
  <w:style w:type="paragraph" w:styleId="Heading1">
    <w:name w:val="heading 1"/>
    <w:basedOn w:val="Normal"/>
    <w:next w:val="Normal"/>
    <w:qFormat/>
    <w:rsid w:val="008824B9"/>
    <w:pPr>
      <w:keepNext/>
      <w:spacing w:before="360" w:after="240"/>
      <w:jc w:val="center"/>
      <w:outlineLvl w:val="0"/>
    </w:pPr>
    <w:rPr>
      <w:b/>
      <w:sz w:val="28"/>
    </w:rPr>
  </w:style>
  <w:style w:type="paragraph" w:styleId="Heading2">
    <w:name w:val="heading 2"/>
    <w:basedOn w:val="Normal"/>
    <w:next w:val="Normal"/>
    <w:qFormat/>
    <w:rsid w:val="008824B9"/>
    <w:pPr>
      <w:keepNext/>
      <w:spacing w:before="240" w:after="120"/>
      <w:ind w:left="284" w:hanging="284"/>
      <w:outlineLvl w:val="1"/>
    </w:pPr>
    <w:rPr>
      <w:b/>
    </w:rPr>
  </w:style>
  <w:style w:type="paragraph" w:styleId="Heading3">
    <w:name w:val="heading 3"/>
    <w:basedOn w:val="Normal"/>
    <w:next w:val="Normal"/>
    <w:qFormat/>
    <w:rsid w:val="008824B9"/>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semiHidden/>
    <w:rsid w:val="008824B9"/>
  </w:style>
  <w:style w:type="table" w:default="1" w:styleId="TableNormal">
    <w:name w:val="Normal Table"/>
    <w:semiHidden/>
    <w:rsid w:val="009B039E"/>
    <w:tblPr>
      <w:tblInd w:w="0" w:type="dxa"/>
      <w:tblCellMar>
        <w:top w:w="0" w:type="dxa"/>
        <w:left w:w="108" w:type="dxa"/>
        <w:bottom w:w="0" w:type="dxa"/>
        <w:right w:w="108" w:type="dxa"/>
      </w:tblCellMar>
    </w:tblPr>
  </w:style>
  <w:style w:type="numbering" w:default="1" w:styleId="NoList">
    <w:name w:val="No List"/>
    <w:semiHidden/>
    <w:rsid w:val="008824B9"/>
  </w:style>
  <w:style w:type="paragraph" w:customStyle="1" w:styleId="OpiHA">
    <w:name w:val="Opi_H_A"/>
    <w:basedOn w:val="JuHIRoman"/>
    <w:next w:val="OpiPara"/>
    <w:rsid w:val="00302008"/>
    <w:pPr>
      <w:tabs>
        <w:tab w:val="clear" w:pos="357"/>
      </w:tabs>
    </w:pPr>
    <w:rPr>
      <w:b/>
    </w:rPr>
  </w:style>
  <w:style w:type="paragraph" w:customStyle="1" w:styleId="JuHIRoman">
    <w:name w:val="Ju_H_I_Roman"/>
    <w:basedOn w:val="JuHHead"/>
    <w:next w:val="JuPara"/>
    <w:rsid w:val="00D1288A"/>
    <w:pPr>
      <w:tabs>
        <w:tab w:val="left" w:pos="357"/>
      </w:tabs>
      <w:spacing w:before="360"/>
      <w:ind w:left="357" w:hanging="357"/>
      <w:outlineLvl w:val="1"/>
    </w:pPr>
    <w:rPr>
      <w:sz w:val="24"/>
    </w:rPr>
  </w:style>
  <w:style w:type="paragraph" w:customStyle="1" w:styleId="JuHHead">
    <w:name w:val="Ju_H_Head"/>
    <w:basedOn w:val="NormalTimesNewRoman"/>
    <w:next w:val="JuPara"/>
    <w:rsid w:val="00D1288A"/>
    <w:pPr>
      <w:keepNext/>
      <w:keepLines/>
      <w:spacing w:before="720" w:after="240"/>
      <w:jc w:val="both"/>
      <w:outlineLvl w:val="0"/>
    </w:pPr>
    <w:rPr>
      <w:sz w:val="28"/>
    </w:rPr>
  </w:style>
  <w:style w:type="character" w:customStyle="1" w:styleId="DefaultTimesNewRoman">
    <w:name w:val="Default_TimesNewRoman"/>
    <w:rsid w:val="00D1288A"/>
    <w:rPr>
      <w:rFonts w:ascii="Times New Roman" w:hAnsi="Times New Roman"/>
    </w:rPr>
  </w:style>
  <w:style w:type="paragraph" w:customStyle="1" w:styleId="JuPara">
    <w:name w:val="Ju_Para"/>
    <w:aliases w:val="Left,First line:  0 cm"/>
    <w:basedOn w:val="NormalTimesNewRoman"/>
    <w:link w:val="JuParaChar"/>
    <w:rsid w:val="00D1288A"/>
    <w:pPr>
      <w:ind w:firstLine="284"/>
      <w:jc w:val="both"/>
    </w:pPr>
  </w:style>
  <w:style w:type="character" w:customStyle="1" w:styleId="JuParaChar">
    <w:name w:val="Ju_Para Char"/>
    <w:link w:val="JuPara"/>
    <w:rsid w:val="00B921A8"/>
    <w:rPr>
      <w:sz w:val="24"/>
      <w:lang w:val="en-GB" w:eastAsia="fr-FR" w:bidi="ar-SA"/>
    </w:rPr>
  </w:style>
  <w:style w:type="paragraph" w:customStyle="1" w:styleId="OpiPara">
    <w:name w:val="Opi_Para"/>
    <w:basedOn w:val="JuPara"/>
    <w:rsid w:val="00302008"/>
  </w:style>
  <w:style w:type="paragraph" w:customStyle="1" w:styleId="OpiH1">
    <w:name w:val="Opi_H_1."/>
    <w:basedOn w:val="OpiHA"/>
    <w:next w:val="OpiPara"/>
    <w:rsid w:val="00302008"/>
    <w:pPr>
      <w:spacing w:before="240" w:after="120"/>
      <w:ind w:left="635"/>
      <w:outlineLvl w:val="2"/>
    </w:pPr>
    <w:rPr>
      <w:b w:val="0"/>
      <w:i/>
    </w:rPr>
  </w:style>
  <w:style w:type="paragraph" w:customStyle="1" w:styleId="OpiHa0">
    <w:name w:val="Opi_H_a"/>
    <w:basedOn w:val="OpiH1"/>
    <w:next w:val="OpiPara"/>
    <w:rsid w:val="00302008"/>
    <w:pPr>
      <w:ind w:left="833"/>
      <w:outlineLvl w:val="3"/>
    </w:pPr>
    <w:rPr>
      <w:b/>
      <w:i w:val="0"/>
      <w:sz w:val="20"/>
    </w:rPr>
  </w:style>
  <w:style w:type="paragraph" w:customStyle="1" w:styleId="OpiHHead">
    <w:name w:val="Opi_H_Head"/>
    <w:basedOn w:val="JuHHead"/>
    <w:next w:val="OpiPara"/>
    <w:rsid w:val="00302008"/>
    <w:pPr>
      <w:spacing w:before="0"/>
      <w:jc w:val="center"/>
    </w:pPr>
  </w:style>
  <w:style w:type="paragraph" w:customStyle="1" w:styleId="OpiHi">
    <w:name w:val="Opi_H_i"/>
    <w:basedOn w:val="OpiHa0"/>
    <w:next w:val="OpiPara"/>
    <w:rsid w:val="00302008"/>
    <w:pPr>
      <w:ind w:left="1037"/>
      <w:outlineLvl w:val="4"/>
    </w:pPr>
    <w:rPr>
      <w:b w:val="0"/>
      <w:i/>
    </w:rPr>
  </w:style>
  <w:style w:type="paragraph" w:styleId="Footer">
    <w:name w:val="footer"/>
    <w:basedOn w:val="NormalTimesNewRoman"/>
    <w:rsid w:val="00D1288A"/>
    <w:pPr>
      <w:tabs>
        <w:tab w:val="center" w:pos="3686"/>
        <w:tab w:val="right" w:pos="7371"/>
      </w:tabs>
    </w:pPr>
    <w:rPr>
      <w:sz w:val="18"/>
    </w:rPr>
  </w:style>
  <w:style w:type="paragraph" w:customStyle="1" w:styleId="JuJudges">
    <w:name w:val="Ju_Judges"/>
    <w:aliases w:val="ECHR_Decision_Body"/>
    <w:basedOn w:val="NormalTimesNewRoman"/>
    <w:link w:val="JuJudgesChar"/>
    <w:uiPriority w:val="11"/>
    <w:qFormat/>
    <w:rsid w:val="00D1288A"/>
    <w:pPr>
      <w:tabs>
        <w:tab w:val="left" w:pos="567"/>
        <w:tab w:val="left" w:pos="1134"/>
      </w:tabs>
    </w:pPr>
  </w:style>
  <w:style w:type="character" w:customStyle="1" w:styleId="JuJudgesChar">
    <w:name w:val="Ju_Judges Char"/>
    <w:link w:val="JuJudges"/>
    <w:uiPriority w:val="11"/>
    <w:locked/>
    <w:rsid w:val="00D15473"/>
    <w:rPr>
      <w:sz w:val="24"/>
      <w:lang w:val="en-GB" w:eastAsia="fr-FR" w:bidi="ar-SA"/>
    </w:rPr>
  </w:style>
  <w:style w:type="paragraph" w:customStyle="1" w:styleId="JuHA">
    <w:name w:val="Ju_H_A"/>
    <w:basedOn w:val="JuHIRoman"/>
    <w:next w:val="JuPara"/>
    <w:rsid w:val="00D1288A"/>
    <w:pPr>
      <w:tabs>
        <w:tab w:val="clear" w:pos="357"/>
        <w:tab w:val="left" w:pos="584"/>
      </w:tabs>
      <w:ind w:left="584" w:hanging="352"/>
      <w:outlineLvl w:val="2"/>
    </w:pPr>
    <w:rPr>
      <w:b/>
    </w:rPr>
  </w:style>
  <w:style w:type="paragraph" w:customStyle="1" w:styleId="JuQuot">
    <w:name w:val="Ju_Quot"/>
    <w:basedOn w:val="JuPara"/>
    <w:rsid w:val="00D1288A"/>
    <w:pPr>
      <w:spacing w:before="120" w:after="120"/>
      <w:ind w:left="425" w:firstLine="142"/>
    </w:pPr>
    <w:rPr>
      <w:sz w:val="20"/>
    </w:rPr>
  </w:style>
  <w:style w:type="paragraph" w:customStyle="1" w:styleId="JuSigned">
    <w:name w:val="Ju_Signed"/>
    <w:basedOn w:val="NormalTimesNewRoman"/>
    <w:next w:val="JuParaLast"/>
    <w:link w:val="JuSignedChar"/>
    <w:rsid w:val="00D1288A"/>
    <w:pPr>
      <w:tabs>
        <w:tab w:val="center" w:pos="851"/>
        <w:tab w:val="center" w:pos="6407"/>
      </w:tabs>
      <w:spacing w:before="720"/>
    </w:pPr>
  </w:style>
  <w:style w:type="paragraph" w:customStyle="1" w:styleId="JuParaLast">
    <w:name w:val="Ju_Para_Last"/>
    <w:basedOn w:val="JuPara"/>
    <w:next w:val="JuPara"/>
    <w:rsid w:val="00D1288A"/>
    <w:pPr>
      <w:keepNext/>
      <w:keepLines/>
      <w:spacing w:before="240"/>
    </w:pPr>
  </w:style>
  <w:style w:type="character" w:customStyle="1" w:styleId="JuSignedChar">
    <w:name w:val="Ju_Signed Char"/>
    <w:link w:val="JuSigned"/>
    <w:rsid w:val="000726F6"/>
    <w:rPr>
      <w:sz w:val="24"/>
      <w:lang w:val="en-GB" w:eastAsia="fr-FR" w:bidi="ar-SA"/>
    </w:rPr>
  </w:style>
  <w:style w:type="paragraph" w:customStyle="1" w:styleId="JuCase">
    <w:name w:val="Ju_Case"/>
    <w:basedOn w:val="JuPara"/>
    <w:next w:val="JuPara"/>
    <w:link w:val="JuCaseChar"/>
    <w:rsid w:val="00D1288A"/>
    <w:rPr>
      <w:b/>
    </w:rPr>
  </w:style>
  <w:style w:type="character" w:customStyle="1" w:styleId="JuCaseChar">
    <w:name w:val="Ju_Case Char"/>
    <w:link w:val="JuCase"/>
    <w:rsid w:val="00B921A8"/>
    <w:rPr>
      <w:b/>
      <w:sz w:val="24"/>
      <w:lang w:val="en-GB" w:eastAsia="fr-FR" w:bidi="ar-SA"/>
    </w:rPr>
  </w:style>
  <w:style w:type="paragraph" w:customStyle="1" w:styleId="JuList">
    <w:name w:val="Ju_List"/>
    <w:basedOn w:val="JuPara"/>
    <w:link w:val="JuListChar"/>
    <w:rsid w:val="00D1288A"/>
    <w:pPr>
      <w:ind w:left="340" w:hanging="340"/>
    </w:pPr>
  </w:style>
  <w:style w:type="character" w:customStyle="1" w:styleId="JuListChar">
    <w:name w:val="Ju_List Char"/>
    <w:link w:val="JuList"/>
    <w:rsid w:val="00930CD7"/>
    <w:rPr>
      <w:sz w:val="24"/>
      <w:lang w:val="en-GB" w:eastAsia="fr-FR" w:bidi="ar-SA"/>
    </w:rPr>
  </w:style>
  <w:style w:type="paragraph" w:customStyle="1" w:styleId="JuHArticle">
    <w:name w:val="Ju_H_Article"/>
    <w:basedOn w:val="JuHa0"/>
    <w:next w:val="JuQuot"/>
    <w:rsid w:val="00D1288A"/>
    <w:pPr>
      <w:ind w:left="0" w:firstLine="0"/>
      <w:jc w:val="center"/>
    </w:pPr>
  </w:style>
  <w:style w:type="paragraph" w:customStyle="1" w:styleId="JuHa0">
    <w:name w:val="Ju_H_a"/>
    <w:basedOn w:val="JuH1"/>
    <w:next w:val="JuPara"/>
    <w:rsid w:val="00D1288A"/>
    <w:pPr>
      <w:tabs>
        <w:tab w:val="clear" w:pos="731"/>
        <w:tab w:val="left" w:pos="975"/>
      </w:tabs>
      <w:ind w:left="975" w:hanging="340"/>
      <w:outlineLvl w:val="4"/>
    </w:pPr>
    <w:rPr>
      <w:b/>
      <w:i w:val="0"/>
      <w:sz w:val="20"/>
    </w:rPr>
  </w:style>
  <w:style w:type="paragraph" w:customStyle="1" w:styleId="JuH1">
    <w:name w:val="Ju_H_1."/>
    <w:basedOn w:val="JuHA"/>
    <w:next w:val="JuPara"/>
    <w:rsid w:val="00D1288A"/>
    <w:pPr>
      <w:tabs>
        <w:tab w:val="clear" w:pos="584"/>
        <w:tab w:val="left" w:pos="731"/>
      </w:tabs>
      <w:spacing w:before="240" w:after="120"/>
      <w:ind w:left="732" w:hanging="301"/>
      <w:outlineLvl w:val="3"/>
    </w:pPr>
    <w:rPr>
      <w:b w:val="0"/>
      <w:i/>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rsid w:val="00D1288A"/>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302008"/>
  </w:style>
  <w:style w:type="paragraph" w:customStyle="1" w:styleId="OpiTranslation">
    <w:name w:val="Opi_Translation"/>
    <w:basedOn w:val="OpiHHead"/>
    <w:next w:val="OpiPara"/>
    <w:uiPriority w:val="40"/>
    <w:qFormat/>
    <w:rsid w:val="00302008"/>
    <w:rPr>
      <w:i/>
      <w:sz w:val="24"/>
    </w:rPr>
  </w:style>
  <w:style w:type="paragraph" w:styleId="FootnoteText">
    <w:name w:val="footnote text"/>
    <w:basedOn w:val="Normal"/>
    <w:semiHidden/>
    <w:rsid w:val="00D1288A"/>
    <w:pPr>
      <w:jc w:val="both"/>
    </w:pPr>
    <w:rPr>
      <w:sz w:val="20"/>
    </w:rPr>
  </w:style>
  <w:style w:type="character" w:styleId="FootnoteReference">
    <w:name w:val="footnote reference"/>
    <w:semiHidden/>
    <w:rsid w:val="00D1288A"/>
    <w:rPr>
      <w:vertAlign w:val="superscript"/>
    </w:rPr>
  </w:style>
  <w:style w:type="paragraph" w:customStyle="1" w:styleId="JuHi">
    <w:name w:val="Ju_H_i"/>
    <w:basedOn w:val="JuHa0"/>
    <w:next w:val="JuPara"/>
    <w:rsid w:val="00D1288A"/>
    <w:pPr>
      <w:tabs>
        <w:tab w:val="clear" w:pos="975"/>
        <w:tab w:val="left" w:pos="1191"/>
      </w:tabs>
      <w:ind w:left="1190" w:hanging="357"/>
      <w:outlineLvl w:val="5"/>
    </w:pPr>
    <w:rPr>
      <w:b w:val="0"/>
      <w:i/>
    </w:rPr>
  </w:style>
  <w:style w:type="paragraph" w:styleId="Header">
    <w:name w:val="header"/>
    <w:basedOn w:val="NormalTimesNewRoman"/>
    <w:link w:val="HeaderChar"/>
    <w:uiPriority w:val="48"/>
    <w:rsid w:val="00D1288A"/>
    <w:pPr>
      <w:tabs>
        <w:tab w:val="center" w:pos="3686"/>
        <w:tab w:val="right" w:pos="7371"/>
      </w:tabs>
    </w:pPr>
    <w:rPr>
      <w:sz w:val="18"/>
    </w:rPr>
  </w:style>
  <w:style w:type="character" w:styleId="PageNumber">
    <w:name w:val="page number"/>
    <w:rsid w:val="00D1288A"/>
    <w:rPr>
      <w:sz w:val="18"/>
    </w:rPr>
  </w:style>
  <w:style w:type="paragraph" w:customStyle="1" w:styleId="JuH">
    <w:name w:val="Ju_H_–"/>
    <w:basedOn w:val="JuHalpha"/>
    <w:next w:val="JuPara"/>
    <w:rsid w:val="00D1288A"/>
    <w:pPr>
      <w:tabs>
        <w:tab w:val="clear" w:pos="1372"/>
      </w:tabs>
      <w:ind w:left="1236" w:firstLine="0"/>
    </w:pPr>
    <w:rPr>
      <w:i/>
    </w:rPr>
  </w:style>
  <w:style w:type="paragraph" w:customStyle="1" w:styleId="JuHalpha">
    <w:name w:val="Ju_H_alpha"/>
    <w:basedOn w:val="JuHi"/>
    <w:next w:val="JuPara"/>
    <w:rsid w:val="00D1288A"/>
    <w:pPr>
      <w:tabs>
        <w:tab w:val="clear" w:pos="1191"/>
        <w:tab w:val="left" w:pos="1372"/>
      </w:tabs>
      <w:ind w:left="1373" w:hanging="335"/>
    </w:pPr>
    <w:rPr>
      <w:i w:val="0"/>
    </w:rPr>
  </w:style>
  <w:style w:type="paragraph" w:customStyle="1" w:styleId="JuLista">
    <w:name w:val="Ju_List_a"/>
    <w:basedOn w:val="JuList"/>
    <w:rsid w:val="00D1288A"/>
    <w:pPr>
      <w:ind w:left="346" w:firstLine="0"/>
    </w:pPr>
  </w:style>
  <w:style w:type="paragraph" w:customStyle="1" w:styleId="JuListi">
    <w:name w:val="Ju_List_i"/>
    <w:basedOn w:val="JuLista"/>
    <w:rsid w:val="00D1288A"/>
    <w:pPr>
      <w:ind w:left="794"/>
    </w:pPr>
  </w:style>
  <w:style w:type="character" w:styleId="CommentReference">
    <w:name w:val="annotation reference"/>
    <w:semiHidden/>
    <w:rPr>
      <w:sz w:val="16"/>
    </w:rPr>
  </w:style>
  <w:style w:type="paragraph" w:styleId="CommentText">
    <w:name w:val="annotation text"/>
    <w:basedOn w:val="Normal"/>
    <w:semiHidden/>
    <w:rPr>
      <w:sz w:val="20"/>
    </w:rPr>
  </w:style>
  <w:style w:type="paragraph" w:customStyle="1" w:styleId="JuInitialled">
    <w:name w:val="Ju_Initialled"/>
    <w:basedOn w:val="JuSigned"/>
    <w:rsid w:val="00D1288A"/>
    <w:pPr>
      <w:tabs>
        <w:tab w:val="clear" w:pos="851"/>
      </w:tabs>
      <w:jc w:val="right"/>
    </w:pPr>
  </w:style>
  <w:style w:type="paragraph" w:customStyle="1" w:styleId="JuHeader">
    <w:name w:val="Ju_Header"/>
    <w:basedOn w:val="Header"/>
    <w:rsid w:val="00D1288A"/>
  </w:style>
  <w:style w:type="paragraph" w:customStyle="1" w:styleId="DecHTitle">
    <w:name w:val="Dec_H_Title"/>
    <w:basedOn w:val="Normal"/>
    <w:rsid w:val="0037228D"/>
    <w:pPr>
      <w:spacing w:after="240"/>
      <w:jc w:val="center"/>
      <w:outlineLvl w:val="0"/>
    </w:pPr>
    <w:rPr>
      <w:sz w:val="28"/>
    </w:rPr>
  </w:style>
  <w:style w:type="paragraph" w:customStyle="1" w:styleId="DecHCase">
    <w:name w:val="Dec_H_Case"/>
    <w:basedOn w:val="DecHTitle"/>
    <w:next w:val="JuPara"/>
    <w:rsid w:val="00302008"/>
    <w:rPr>
      <w:sz w:val="24"/>
    </w:rPr>
  </w:style>
  <w:style w:type="paragraph" w:customStyle="1" w:styleId="DecList">
    <w:name w:val="Dec_List"/>
    <w:basedOn w:val="Normal"/>
    <w:rsid w:val="0037228D"/>
    <w:pPr>
      <w:spacing w:before="240"/>
      <w:ind w:left="284"/>
      <w:jc w:val="both"/>
    </w:pPr>
  </w:style>
  <w:style w:type="paragraph" w:customStyle="1" w:styleId="JuParaSub">
    <w:name w:val="Ju_Para_Sub"/>
    <w:basedOn w:val="JuPara"/>
    <w:rsid w:val="00D1288A"/>
    <w:pPr>
      <w:ind w:left="284"/>
    </w:pPr>
    <w:rPr>
      <w:szCs w:val="24"/>
    </w:rPr>
  </w:style>
  <w:style w:type="paragraph" w:customStyle="1" w:styleId="JuQuotSub">
    <w:name w:val="Ju_Quot_Sub"/>
    <w:basedOn w:val="JuQuot"/>
    <w:rsid w:val="00D1288A"/>
    <w:pPr>
      <w:ind w:left="567"/>
    </w:pPr>
  </w:style>
  <w:style w:type="paragraph" w:styleId="BalloonText">
    <w:name w:val="Balloon Text"/>
    <w:basedOn w:val="Normal"/>
    <w:semiHidden/>
    <w:rsid w:val="00457A18"/>
    <w:rPr>
      <w:rFonts w:ascii="Tahoma" w:hAnsi="Tahoma" w:cs="Tahoma"/>
      <w:sz w:val="16"/>
      <w:szCs w:val="16"/>
    </w:rPr>
  </w:style>
  <w:style w:type="paragraph" w:styleId="CommentSubject">
    <w:name w:val="annotation subject"/>
    <w:basedOn w:val="CommentText"/>
    <w:next w:val="CommentText"/>
    <w:semiHidden/>
    <w:rsid w:val="00D353F4"/>
    <w:rPr>
      <w:b/>
      <w:bCs/>
    </w:rPr>
  </w:style>
  <w:style w:type="character" w:styleId="EndnoteReference">
    <w:name w:val="endnote reference"/>
    <w:semiHidden/>
    <w:rsid w:val="00D1288A"/>
    <w:rPr>
      <w:vertAlign w:val="superscript"/>
    </w:rPr>
  </w:style>
  <w:style w:type="paragraph" w:styleId="EndnoteText">
    <w:name w:val="endnote text"/>
    <w:basedOn w:val="Normal"/>
    <w:semiHidden/>
    <w:rsid w:val="00D1288A"/>
    <w:rPr>
      <w:sz w:val="20"/>
    </w:rPr>
  </w:style>
  <w:style w:type="character" w:styleId="FollowedHyperlink">
    <w:name w:val="FollowedHyperlink"/>
    <w:rsid w:val="00D1288A"/>
    <w:rPr>
      <w:color w:val="800080"/>
      <w:u w:val="single"/>
    </w:rPr>
  </w:style>
  <w:style w:type="paragraph" w:customStyle="1" w:styleId="SuCoverTitle1">
    <w:name w:val="Su_Cover_Title1"/>
    <w:basedOn w:val="Normal"/>
    <w:next w:val="SuCoverTitle2"/>
    <w:rsid w:val="0037228D"/>
    <w:pPr>
      <w:spacing w:before="2500"/>
      <w:jc w:val="center"/>
    </w:pPr>
    <w:rPr>
      <w:sz w:val="22"/>
    </w:rPr>
  </w:style>
  <w:style w:type="paragraph" w:customStyle="1" w:styleId="SuCoverTitle2">
    <w:name w:val="Su_Cover_Title2"/>
    <w:basedOn w:val="SuCoverTitle1"/>
    <w:next w:val="Normal"/>
    <w:rsid w:val="00864209"/>
    <w:pPr>
      <w:spacing w:before="240"/>
    </w:pPr>
    <w:rPr>
      <w:sz w:val="18"/>
    </w:rPr>
  </w:style>
  <w:style w:type="paragraph" w:customStyle="1" w:styleId="SuPara">
    <w:name w:val="Su_Para"/>
    <w:basedOn w:val="SuKeywords"/>
    <w:rsid w:val="00864209"/>
    <w:pPr>
      <w:spacing w:before="0" w:after="0"/>
    </w:pPr>
    <w:rPr>
      <w:i w:val="0"/>
    </w:rPr>
  </w:style>
  <w:style w:type="paragraph" w:customStyle="1" w:styleId="SuKeywords">
    <w:name w:val="Su_Keywords"/>
    <w:basedOn w:val="SuHHead"/>
    <w:rsid w:val="00864209"/>
    <w:pPr>
      <w:spacing w:before="120"/>
    </w:pPr>
    <w:rPr>
      <w:b w:val="0"/>
      <w:i/>
    </w:rPr>
  </w:style>
  <w:style w:type="paragraph" w:customStyle="1" w:styleId="SuHHead">
    <w:name w:val="Su_H_Head"/>
    <w:basedOn w:val="SuSubject"/>
    <w:rsid w:val="00864209"/>
    <w:pPr>
      <w:spacing w:after="120"/>
    </w:pPr>
  </w:style>
  <w:style w:type="paragraph" w:customStyle="1" w:styleId="SuSubject">
    <w:name w:val="Su_Subject"/>
    <w:basedOn w:val="SuSummary"/>
    <w:rsid w:val="00864209"/>
    <w:pPr>
      <w:suppressAutoHyphens w:val="0"/>
      <w:spacing w:before="360"/>
      <w:jc w:val="both"/>
    </w:pPr>
    <w:rPr>
      <w:b/>
      <w:sz w:val="22"/>
    </w:rPr>
  </w:style>
  <w:style w:type="paragraph" w:customStyle="1" w:styleId="SuSummary">
    <w:name w:val="Su_Summary"/>
    <w:basedOn w:val="Normal"/>
    <w:next w:val="SuSubject"/>
    <w:rsid w:val="0037228D"/>
    <w:pPr>
      <w:spacing w:after="240"/>
      <w:jc w:val="center"/>
    </w:pPr>
  </w:style>
  <w:style w:type="paragraph" w:customStyle="1" w:styleId="OpiParaSub">
    <w:name w:val="Opi_Para_Sub"/>
    <w:basedOn w:val="JuParaSub"/>
    <w:rsid w:val="00302008"/>
  </w:style>
  <w:style w:type="paragraph" w:customStyle="1" w:styleId="OpiQuotSub">
    <w:name w:val="Opi_Quot_Sub"/>
    <w:basedOn w:val="JuQuotSub"/>
    <w:rsid w:val="00302008"/>
  </w:style>
  <w:style w:type="character" w:styleId="Hyperlink">
    <w:name w:val="Hyperlink"/>
    <w:rsid w:val="00D1288A"/>
    <w:rPr>
      <w:color w:val="0000FF"/>
      <w:u w:val="single"/>
    </w:rPr>
  </w:style>
  <w:style w:type="character" w:styleId="Strong">
    <w:name w:val="Strong"/>
    <w:qFormat/>
    <w:rsid w:val="00AA7CA2"/>
    <w:rPr>
      <w:b/>
      <w:bCs/>
    </w:rPr>
  </w:style>
  <w:style w:type="paragraph" w:styleId="DocumentMap">
    <w:name w:val="Document Map"/>
    <w:basedOn w:val="Normal"/>
    <w:semiHidden/>
    <w:rsid w:val="008824B9"/>
    <w:pPr>
      <w:shd w:val="clear" w:color="auto" w:fill="000080"/>
    </w:pPr>
    <w:rPr>
      <w:rFonts w:ascii="Tahoma" w:hAnsi="Tahoma" w:cs="Tahoma"/>
      <w:sz w:val="20"/>
    </w:rPr>
  </w:style>
  <w:style w:type="character" w:customStyle="1" w:styleId="JuNames">
    <w:name w:val="Ju_Names"/>
    <w:rsid w:val="00D1288A"/>
    <w:rPr>
      <w:smallCaps/>
    </w:rPr>
  </w:style>
  <w:style w:type="paragraph" w:customStyle="1" w:styleId="NormalJustified">
    <w:name w:val="Normal_Justified"/>
    <w:basedOn w:val="Normal"/>
    <w:rsid w:val="008824B9"/>
    <w:pPr>
      <w:jc w:val="both"/>
    </w:pPr>
  </w:style>
  <w:style w:type="paragraph" w:customStyle="1" w:styleId="JuAppQuestion">
    <w:name w:val="Ju_App_Question"/>
    <w:basedOn w:val="ListBullet"/>
    <w:rsid w:val="00D1288A"/>
    <w:pPr>
      <w:numPr>
        <w:numId w:val="6"/>
      </w:numPr>
      <w:suppressAutoHyphens w:val="0"/>
    </w:pPr>
    <w:rPr>
      <w:b/>
      <w:color w:val="333333"/>
    </w:rPr>
  </w:style>
  <w:style w:type="paragraph" w:styleId="ListBullet">
    <w:name w:val="List Bullet"/>
    <w:basedOn w:val="Normal"/>
    <w:rsid w:val="008824B9"/>
    <w:pPr>
      <w:numPr>
        <w:numId w:val="2"/>
      </w:numPr>
    </w:pPr>
  </w:style>
  <w:style w:type="paragraph" w:customStyle="1" w:styleId="NormalTimesNewRoman">
    <w:name w:val="Normal_TimesNewRoman"/>
    <w:rsid w:val="00D1288A"/>
    <w:rPr>
      <w:sz w:val="24"/>
      <w:lang w:val="en-GB" w:eastAsia="fr-FR"/>
    </w:rPr>
  </w:style>
  <w:style w:type="character" w:customStyle="1" w:styleId="JuITMark">
    <w:name w:val="Ju_ITMark"/>
    <w:rsid w:val="00D1288A"/>
    <w:rPr>
      <w:rFonts w:ascii="Times New Roman" w:hAnsi="Times New Roman"/>
      <w:vanish/>
      <w:color w:val="339966"/>
      <w:sz w:val="16"/>
      <w:szCs w:val="16"/>
      <w:lang w:val="fi-FI"/>
    </w:rPr>
  </w:style>
  <w:style w:type="paragraph" w:customStyle="1" w:styleId="JuTitle">
    <w:name w:val="Ju_Title"/>
    <w:basedOn w:val="JuHHead"/>
    <w:next w:val="JuPara"/>
    <w:rsid w:val="00D1288A"/>
    <w:pPr>
      <w:jc w:val="center"/>
    </w:pPr>
    <w:rPr>
      <w:b/>
      <w:caps/>
      <w:sz w:val="24"/>
      <w:szCs w:val="24"/>
      <w:u w:val="single"/>
    </w:rPr>
  </w:style>
  <w:style w:type="character" w:customStyle="1" w:styleId="JuParaCar">
    <w:name w:val="Ju_Para Car"/>
    <w:rsid w:val="0078384A"/>
    <w:rPr>
      <w:sz w:val="24"/>
      <w:lang w:val="en-GB" w:eastAsia="fr-FR" w:bidi="ar-SA"/>
    </w:rPr>
  </w:style>
  <w:style w:type="paragraph" w:customStyle="1" w:styleId="s82ac4f2">
    <w:name w:val="s82ac4f2"/>
    <w:basedOn w:val="Normal"/>
    <w:rsid w:val="006331A0"/>
    <w:pPr>
      <w:suppressAutoHyphens w:val="0"/>
      <w:spacing w:before="100" w:beforeAutospacing="1" w:after="100" w:afterAutospacing="1"/>
    </w:pPr>
    <w:rPr>
      <w:szCs w:val="24"/>
      <w:lang w:eastAsia="en-GB"/>
    </w:rPr>
  </w:style>
  <w:style w:type="character" w:customStyle="1" w:styleId="sb8d990e2">
    <w:name w:val="sb8d990e2"/>
    <w:basedOn w:val="DefaultParagraphFont"/>
    <w:rsid w:val="006331A0"/>
  </w:style>
  <w:style w:type="paragraph" w:customStyle="1" w:styleId="s30eec3f8">
    <w:name w:val="s30eec3f8"/>
    <w:basedOn w:val="Normal"/>
    <w:rsid w:val="006331A0"/>
    <w:pPr>
      <w:suppressAutoHyphens w:val="0"/>
      <w:spacing w:before="100" w:beforeAutospacing="1" w:after="100" w:afterAutospacing="1"/>
    </w:pPr>
    <w:rPr>
      <w:szCs w:val="24"/>
      <w:lang w:eastAsia="en-GB"/>
    </w:rPr>
  </w:style>
  <w:style w:type="character" w:customStyle="1" w:styleId="s6b621b36">
    <w:name w:val="s6b621b36"/>
    <w:basedOn w:val="DefaultParagraphFont"/>
    <w:rsid w:val="006331A0"/>
  </w:style>
  <w:style w:type="character" w:customStyle="1" w:styleId="s23c0e925">
    <w:name w:val="s23c0e925"/>
    <w:basedOn w:val="DefaultParagraphFont"/>
    <w:rsid w:val="006331A0"/>
  </w:style>
  <w:style w:type="character" w:customStyle="1" w:styleId="sebfc2997">
    <w:name w:val="sebfc2997"/>
    <w:basedOn w:val="DefaultParagraphFont"/>
    <w:rsid w:val="006331A0"/>
  </w:style>
  <w:style w:type="character" w:customStyle="1" w:styleId="wordhighlighted">
    <w:name w:val="wordhighlighted"/>
    <w:basedOn w:val="DefaultParagraphFont"/>
    <w:rsid w:val="0030030A"/>
  </w:style>
  <w:style w:type="paragraph" w:customStyle="1" w:styleId="s70227c73">
    <w:name w:val="s70227c73"/>
    <w:basedOn w:val="Normal"/>
    <w:rsid w:val="003F430D"/>
    <w:pPr>
      <w:suppressAutoHyphens w:val="0"/>
      <w:spacing w:before="100" w:beforeAutospacing="1" w:after="100" w:afterAutospacing="1"/>
    </w:pPr>
    <w:rPr>
      <w:szCs w:val="24"/>
      <w:lang w:eastAsia="en-GB"/>
    </w:rPr>
  </w:style>
  <w:style w:type="paragraph" w:customStyle="1" w:styleId="s9e9b0cd7">
    <w:name w:val="s9e9b0cd7"/>
    <w:basedOn w:val="Normal"/>
    <w:rsid w:val="009C0BCC"/>
    <w:pPr>
      <w:suppressAutoHyphens w:val="0"/>
      <w:spacing w:before="100" w:beforeAutospacing="1" w:after="100" w:afterAutospacing="1"/>
    </w:pPr>
    <w:rPr>
      <w:szCs w:val="24"/>
      <w:lang w:eastAsia="en-GB"/>
    </w:rPr>
  </w:style>
  <w:style w:type="character" w:customStyle="1" w:styleId="sfbbfee58">
    <w:name w:val="sfbbfee58"/>
    <w:basedOn w:val="DefaultParagraphFont"/>
    <w:rsid w:val="009C0BCC"/>
  </w:style>
  <w:style w:type="paragraph" w:styleId="NormalWeb">
    <w:name w:val="Normal (Web)"/>
    <w:basedOn w:val="Normal"/>
    <w:rsid w:val="00AC662E"/>
    <w:pPr>
      <w:suppressAutoHyphens w:val="0"/>
      <w:spacing w:before="100" w:beforeAutospacing="1" w:after="100" w:afterAutospacing="1"/>
    </w:pPr>
    <w:rPr>
      <w:color w:val="000000"/>
      <w:szCs w:val="24"/>
      <w:lang w:eastAsia="en-GB"/>
    </w:rPr>
  </w:style>
  <w:style w:type="character" w:customStyle="1" w:styleId="ju-005fpara-002cleft-002cfirst-0020line-003a-0020-00200-0020cm--char">
    <w:name w:val="ju-005fpara-002cleft-002cfirst-0020line-003a-0020-00200-0020cm--char"/>
    <w:rsid w:val="004B10D6"/>
    <w:rPr>
      <w:rFonts w:cs="Times New Roman"/>
    </w:rPr>
  </w:style>
  <w:style w:type="character" w:customStyle="1" w:styleId="wordhighlightedcurrentterm">
    <w:name w:val="wordhighlighted currentterm"/>
    <w:basedOn w:val="DefaultParagraphFont"/>
    <w:rsid w:val="008D39DB"/>
  </w:style>
  <w:style w:type="character" w:customStyle="1" w:styleId="sea881cdf">
    <w:name w:val="sea881cdf"/>
    <w:basedOn w:val="DefaultParagraphFont"/>
    <w:rsid w:val="006A0028"/>
  </w:style>
  <w:style w:type="character" w:customStyle="1" w:styleId="s38c10080">
    <w:name w:val="s38c10080"/>
    <w:basedOn w:val="DefaultParagraphFont"/>
    <w:rsid w:val="006A0028"/>
  </w:style>
  <w:style w:type="character" w:customStyle="1" w:styleId="ju----005fpara--------char----char--char">
    <w:name w:val="ju----005fpara--------char----char--char"/>
    <w:basedOn w:val="DefaultParagraphFont"/>
    <w:rsid w:val="004A3711"/>
  </w:style>
  <w:style w:type="character" w:customStyle="1" w:styleId="JuParaChar1">
    <w:name w:val="Ju_Para Char1"/>
    <w:locked/>
    <w:rsid w:val="004A3711"/>
    <w:rPr>
      <w:rFonts w:cs="Times New Roman"/>
      <w:sz w:val="24"/>
      <w:lang w:val="fr-FR" w:eastAsia="fr-FR" w:bidi="ar-SA"/>
    </w:rPr>
  </w:style>
  <w:style w:type="character" w:customStyle="1" w:styleId="HeaderChar">
    <w:name w:val="Header Char"/>
    <w:link w:val="Header"/>
    <w:uiPriority w:val="48"/>
    <w:rsid w:val="001649E8"/>
    <w:rPr>
      <w:sz w:val="18"/>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7851601">
      <w:bodyDiv w:val="1"/>
      <w:marLeft w:val="0"/>
      <w:marRight w:val="0"/>
      <w:marTop w:val="0"/>
      <w:marBottom w:val="0"/>
      <w:divBdr>
        <w:top w:val="none" w:sz="0" w:space="0" w:color="auto"/>
        <w:left w:val="none" w:sz="0" w:space="0" w:color="auto"/>
        <w:bottom w:val="none" w:sz="0" w:space="0" w:color="auto"/>
        <w:right w:val="none" w:sz="0" w:space="0" w:color="auto"/>
      </w:divBdr>
    </w:div>
    <w:div w:id="442304009">
      <w:bodyDiv w:val="1"/>
      <w:marLeft w:val="0"/>
      <w:marRight w:val="0"/>
      <w:marTop w:val="0"/>
      <w:marBottom w:val="0"/>
      <w:divBdr>
        <w:top w:val="none" w:sz="0" w:space="0" w:color="auto"/>
        <w:left w:val="none" w:sz="0" w:space="0" w:color="auto"/>
        <w:bottom w:val="none" w:sz="0" w:space="0" w:color="auto"/>
        <w:right w:val="none" w:sz="0" w:space="0" w:color="auto"/>
      </w:divBdr>
      <w:divsChild>
        <w:div w:id="1296836021">
          <w:marLeft w:val="0"/>
          <w:marRight w:val="0"/>
          <w:marTop w:val="0"/>
          <w:marBottom w:val="0"/>
          <w:divBdr>
            <w:top w:val="none" w:sz="0" w:space="0" w:color="auto"/>
            <w:left w:val="none" w:sz="0" w:space="0" w:color="auto"/>
            <w:bottom w:val="none" w:sz="0" w:space="0" w:color="auto"/>
            <w:right w:val="none" w:sz="0" w:space="0" w:color="auto"/>
          </w:divBdr>
          <w:divsChild>
            <w:div w:id="1844851584">
              <w:marLeft w:val="0"/>
              <w:marRight w:val="0"/>
              <w:marTop w:val="0"/>
              <w:marBottom w:val="0"/>
              <w:divBdr>
                <w:top w:val="none" w:sz="0" w:space="0" w:color="auto"/>
                <w:left w:val="none" w:sz="0" w:space="0" w:color="auto"/>
                <w:bottom w:val="none" w:sz="0" w:space="0" w:color="auto"/>
                <w:right w:val="none" w:sz="0" w:space="0" w:color="auto"/>
              </w:divBdr>
              <w:divsChild>
                <w:div w:id="166747746">
                  <w:marLeft w:val="0"/>
                  <w:marRight w:val="0"/>
                  <w:marTop w:val="0"/>
                  <w:marBottom w:val="0"/>
                  <w:divBdr>
                    <w:top w:val="none" w:sz="0" w:space="0" w:color="auto"/>
                    <w:left w:val="none" w:sz="0" w:space="0" w:color="auto"/>
                    <w:bottom w:val="none" w:sz="0" w:space="0" w:color="auto"/>
                    <w:right w:val="none" w:sz="0" w:space="0" w:color="auto"/>
                  </w:divBdr>
                  <w:divsChild>
                    <w:div w:id="755173677">
                      <w:marLeft w:val="0"/>
                      <w:marRight w:val="0"/>
                      <w:marTop w:val="0"/>
                      <w:marBottom w:val="0"/>
                      <w:divBdr>
                        <w:top w:val="none" w:sz="0" w:space="0" w:color="auto"/>
                        <w:left w:val="none" w:sz="0" w:space="0" w:color="auto"/>
                        <w:bottom w:val="none" w:sz="0" w:space="0" w:color="auto"/>
                        <w:right w:val="none" w:sz="0" w:space="0" w:color="auto"/>
                      </w:divBdr>
                      <w:divsChild>
                        <w:div w:id="1465469618">
                          <w:marLeft w:val="0"/>
                          <w:marRight w:val="0"/>
                          <w:marTop w:val="0"/>
                          <w:marBottom w:val="0"/>
                          <w:divBdr>
                            <w:top w:val="none" w:sz="0" w:space="0" w:color="auto"/>
                            <w:left w:val="none" w:sz="0" w:space="0" w:color="auto"/>
                            <w:bottom w:val="none" w:sz="0" w:space="0" w:color="auto"/>
                            <w:right w:val="none" w:sz="0" w:space="0" w:color="auto"/>
                          </w:divBdr>
                          <w:divsChild>
                            <w:div w:id="1163549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8433877">
      <w:bodyDiv w:val="1"/>
      <w:marLeft w:val="0"/>
      <w:marRight w:val="0"/>
      <w:marTop w:val="0"/>
      <w:marBottom w:val="0"/>
      <w:divBdr>
        <w:top w:val="none" w:sz="0" w:space="0" w:color="auto"/>
        <w:left w:val="none" w:sz="0" w:space="0" w:color="auto"/>
        <w:bottom w:val="none" w:sz="0" w:space="0" w:color="auto"/>
        <w:right w:val="none" w:sz="0" w:space="0" w:color="auto"/>
      </w:divBdr>
      <w:divsChild>
        <w:div w:id="1920939710">
          <w:marLeft w:val="0"/>
          <w:marRight w:val="0"/>
          <w:marTop w:val="0"/>
          <w:marBottom w:val="0"/>
          <w:divBdr>
            <w:top w:val="none" w:sz="0" w:space="0" w:color="auto"/>
            <w:left w:val="none" w:sz="0" w:space="0" w:color="auto"/>
            <w:bottom w:val="none" w:sz="0" w:space="0" w:color="auto"/>
            <w:right w:val="none" w:sz="0" w:space="0" w:color="auto"/>
          </w:divBdr>
          <w:divsChild>
            <w:div w:id="1272779647">
              <w:marLeft w:val="0"/>
              <w:marRight w:val="0"/>
              <w:marTop w:val="0"/>
              <w:marBottom w:val="0"/>
              <w:divBdr>
                <w:top w:val="none" w:sz="0" w:space="0" w:color="auto"/>
                <w:left w:val="none" w:sz="0" w:space="0" w:color="auto"/>
                <w:bottom w:val="none" w:sz="0" w:space="0" w:color="auto"/>
                <w:right w:val="none" w:sz="0" w:space="0" w:color="auto"/>
              </w:divBdr>
              <w:divsChild>
                <w:div w:id="289819472">
                  <w:marLeft w:val="0"/>
                  <w:marRight w:val="0"/>
                  <w:marTop w:val="0"/>
                  <w:marBottom w:val="0"/>
                  <w:divBdr>
                    <w:top w:val="none" w:sz="0" w:space="0" w:color="auto"/>
                    <w:left w:val="none" w:sz="0" w:space="0" w:color="auto"/>
                    <w:bottom w:val="none" w:sz="0" w:space="0" w:color="auto"/>
                    <w:right w:val="none" w:sz="0" w:space="0" w:color="auto"/>
                  </w:divBdr>
                  <w:divsChild>
                    <w:div w:id="230971242">
                      <w:marLeft w:val="0"/>
                      <w:marRight w:val="0"/>
                      <w:marTop w:val="0"/>
                      <w:marBottom w:val="0"/>
                      <w:divBdr>
                        <w:top w:val="none" w:sz="0" w:space="0" w:color="auto"/>
                        <w:left w:val="none" w:sz="0" w:space="0" w:color="auto"/>
                        <w:bottom w:val="none" w:sz="0" w:space="0" w:color="auto"/>
                        <w:right w:val="none" w:sz="0" w:space="0" w:color="auto"/>
                      </w:divBdr>
                      <w:divsChild>
                        <w:div w:id="1109085423">
                          <w:marLeft w:val="0"/>
                          <w:marRight w:val="0"/>
                          <w:marTop w:val="0"/>
                          <w:marBottom w:val="0"/>
                          <w:divBdr>
                            <w:top w:val="none" w:sz="0" w:space="0" w:color="auto"/>
                            <w:left w:val="none" w:sz="0" w:space="0" w:color="auto"/>
                            <w:bottom w:val="none" w:sz="0" w:space="0" w:color="auto"/>
                            <w:right w:val="none" w:sz="0" w:space="0" w:color="auto"/>
                          </w:divBdr>
                          <w:divsChild>
                            <w:div w:id="1208185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9675574">
      <w:bodyDiv w:val="1"/>
      <w:marLeft w:val="0"/>
      <w:marRight w:val="0"/>
      <w:marTop w:val="0"/>
      <w:marBottom w:val="0"/>
      <w:divBdr>
        <w:top w:val="none" w:sz="0" w:space="0" w:color="auto"/>
        <w:left w:val="none" w:sz="0" w:space="0" w:color="auto"/>
        <w:bottom w:val="none" w:sz="0" w:space="0" w:color="auto"/>
        <w:right w:val="none" w:sz="0" w:space="0" w:color="auto"/>
      </w:divBdr>
      <w:divsChild>
        <w:div w:id="1314679069">
          <w:marLeft w:val="0"/>
          <w:marRight w:val="0"/>
          <w:marTop w:val="0"/>
          <w:marBottom w:val="0"/>
          <w:divBdr>
            <w:top w:val="none" w:sz="0" w:space="0" w:color="auto"/>
            <w:left w:val="none" w:sz="0" w:space="0" w:color="auto"/>
            <w:bottom w:val="none" w:sz="0" w:space="0" w:color="auto"/>
            <w:right w:val="none" w:sz="0" w:space="0" w:color="auto"/>
          </w:divBdr>
          <w:divsChild>
            <w:div w:id="1036471420">
              <w:marLeft w:val="0"/>
              <w:marRight w:val="0"/>
              <w:marTop w:val="0"/>
              <w:marBottom w:val="0"/>
              <w:divBdr>
                <w:top w:val="none" w:sz="0" w:space="0" w:color="auto"/>
                <w:left w:val="none" w:sz="0" w:space="0" w:color="auto"/>
                <w:bottom w:val="none" w:sz="0" w:space="0" w:color="auto"/>
                <w:right w:val="none" w:sz="0" w:space="0" w:color="auto"/>
              </w:divBdr>
              <w:divsChild>
                <w:div w:id="474376154">
                  <w:marLeft w:val="0"/>
                  <w:marRight w:val="0"/>
                  <w:marTop w:val="0"/>
                  <w:marBottom w:val="0"/>
                  <w:divBdr>
                    <w:top w:val="none" w:sz="0" w:space="0" w:color="auto"/>
                    <w:left w:val="none" w:sz="0" w:space="0" w:color="auto"/>
                    <w:bottom w:val="none" w:sz="0" w:space="0" w:color="auto"/>
                    <w:right w:val="none" w:sz="0" w:space="0" w:color="auto"/>
                  </w:divBdr>
                  <w:divsChild>
                    <w:div w:id="1662537971">
                      <w:marLeft w:val="0"/>
                      <w:marRight w:val="0"/>
                      <w:marTop w:val="0"/>
                      <w:marBottom w:val="0"/>
                      <w:divBdr>
                        <w:top w:val="none" w:sz="0" w:space="0" w:color="auto"/>
                        <w:left w:val="none" w:sz="0" w:space="0" w:color="auto"/>
                        <w:bottom w:val="none" w:sz="0" w:space="0" w:color="auto"/>
                        <w:right w:val="none" w:sz="0" w:space="0" w:color="auto"/>
                      </w:divBdr>
                      <w:divsChild>
                        <w:div w:id="1572740871">
                          <w:marLeft w:val="0"/>
                          <w:marRight w:val="0"/>
                          <w:marTop w:val="0"/>
                          <w:marBottom w:val="0"/>
                          <w:divBdr>
                            <w:top w:val="none" w:sz="0" w:space="0" w:color="auto"/>
                            <w:left w:val="none" w:sz="0" w:space="0" w:color="auto"/>
                            <w:bottom w:val="none" w:sz="0" w:space="0" w:color="auto"/>
                            <w:right w:val="none" w:sz="0" w:space="0" w:color="auto"/>
                          </w:divBdr>
                          <w:divsChild>
                            <w:div w:id="141007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9873681">
      <w:bodyDiv w:val="1"/>
      <w:marLeft w:val="0"/>
      <w:marRight w:val="0"/>
      <w:marTop w:val="0"/>
      <w:marBottom w:val="0"/>
      <w:divBdr>
        <w:top w:val="none" w:sz="0" w:space="0" w:color="auto"/>
        <w:left w:val="none" w:sz="0" w:space="0" w:color="auto"/>
        <w:bottom w:val="none" w:sz="0" w:space="0" w:color="auto"/>
        <w:right w:val="none" w:sz="0" w:space="0" w:color="auto"/>
      </w:divBdr>
      <w:divsChild>
        <w:div w:id="1155101182">
          <w:marLeft w:val="0"/>
          <w:marRight w:val="0"/>
          <w:marTop w:val="0"/>
          <w:marBottom w:val="0"/>
          <w:divBdr>
            <w:top w:val="none" w:sz="0" w:space="0" w:color="auto"/>
            <w:left w:val="none" w:sz="0" w:space="0" w:color="auto"/>
            <w:bottom w:val="none" w:sz="0" w:space="0" w:color="auto"/>
            <w:right w:val="none" w:sz="0" w:space="0" w:color="auto"/>
          </w:divBdr>
          <w:divsChild>
            <w:div w:id="878474800">
              <w:marLeft w:val="0"/>
              <w:marRight w:val="0"/>
              <w:marTop w:val="0"/>
              <w:marBottom w:val="0"/>
              <w:divBdr>
                <w:top w:val="none" w:sz="0" w:space="0" w:color="auto"/>
                <w:left w:val="none" w:sz="0" w:space="0" w:color="auto"/>
                <w:bottom w:val="none" w:sz="0" w:space="0" w:color="auto"/>
                <w:right w:val="none" w:sz="0" w:space="0" w:color="auto"/>
              </w:divBdr>
              <w:divsChild>
                <w:div w:id="2121531427">
                  <w:marLeft w:val="0"/>
                  <w:marRight w:val="0"/>
                  <w:marTop w:val="0"/>
                  <w:marBottom w:val="0"/>
                  <w:divBdr>
                    <w:top w:val="none" w:sz="0" w:space="0" w:color="auto"/>
                    <w:left w:val="none" w:sz="0" w:space="0" w:color="auto"/>
                    <w:bottom w:val="none" w:sz="0" w:space="0" w:color="auto"/>
                    <w:right w:val="none" w:sz="0" w:space="0" w:color="auto"/>
                  </w:divBdr>
                  <w:divsChild>
                    <w:div w:id="471219214">
                      <w:marLeft w:val="0"/>
                      <w:marRight w:val="0"/>
                      <w:marTop w:val="0"/>
                      <w:marBottom w:val="0"/>
                      <w:divBdr>
                        <w:top w:val="none" w:sz="0" w:space="0" w:color="auto"/>
                        <w:left w:val="none" w:sz="0" w:space="0" w:color="auto"/>
                        <w:bottom w:val="none" w:sz="0" w:space="0" w:color="auto"/>
                        <w:right w:val="none" w:sz="0" w:space="0" w:color="auto"/>
                      </w:divBdr>
                      <w:divsChild>
                        <w:div w:id="1855999586">
                          <w:marLeft w:val="0"/>
                          <w:marRight w:val="0"/>
                          <w:marTop w:val="0"/>
                          <w:marBottom w:val="0"/>
                          <w:divBdr>
                            <w:top w:val="none" w:sz="0" w:space="0" w:color="auto"/>
                            <w:left w:val="none" w:sz="0" w:space="0" w:color="auto"/>
                            <w:bottom w:val="none" w:sz="0" w:space="0" w:color="auto"/>
                            <w:right w:val="none" w:sz="0" w:space="0" w:color="auto"/>
                          </w:divBdr>
                          <w:divsChild>
                            <w:div w:id="1499231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1576242">
      <w:bodyDiv w:val="1"/>
      <w:marLeft w:val="0"/>
      <w:marRight w:val="0"/>
      <w:marTop w:val="0"/>
      <w:marBottom w:val="0"/>
      <w:divBdr>
        <w:top w:val="none" w:sz="0" w:space="0" w:color="auto"/>
        <w:left w:val="none" w:sz="0" w:space="0" w:color="auto"/>
        <w:bottom w:val="none" w:sz="0" w:space="0" w:color="auto"/>
        <w:right w:val="none" w:sz="0" w:space="0" w:color="auto"/>
      </w:divBdr>
      <w:divsChild>
        <w:div w:id="17542734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42238475">
      <w:bodyDiv w:val="1"/>
      <w:marLeft w:val="0"/>
      <w:marRight w:val="0"/>
      <w:marTop w:val="0"/>
      <w:marBottom w:val="0"/>
      <w:divBdr>
        <w:top w:val="none" w:sz="0" w:space="0" w:color="auto"/>
        <w:left w:val="none" w:sz="0" w:space="0" w:color="auto"/>
        <w:bottom w:val="none" w:sz="0" w:space="0" w:color="auto"/>
        <w:right w:val="none" w:sz="0" w:space="0" w:color="auto"/>
      </w:divBdr>
      <w:divsChild>
        <w:div w:id="1981762418">
          <w:marLeft w:val="0"/>
          <w:marRight w:val="0"/>
          <w:marTop w:val="0"/>
          <w:marBottom w:val="0"/>
          <w:divBdr>
            <w:top w:val="none" w:sz="0" w:space="0" w:color="auto"/>
            <w:left w:val="none" w:sz="0" w:space="0" w:color="auto"/>
            <w:bottom w:val="none" w:sz="0" w:space="0" w:color="auto"/>
            <w:right w:val="none" w:sz="0" w:space="0" w:color="auto"/>
          </w:divBdr>
          <w:divsChild>
            <w:div w:id="1393307664">
              <w:marLeft w:val="0"/>
              <w:marRight w:val="0"/>
              <w:marTop w:val="0"/>
              <w:marBottom w:val="0"/>
              <w:divBdr>
                <w:top w:val="none" w:sz="0" w:space="0" w:color="auto"/>
                <w:left w:val="none" w:sz="0" w:space="0" w:color="auto"/>
                <w:bottom w:val="none" w:sz="0" w:space="0" w:color="auto"/>
                <w:right w:val="none" w:sz="0" w:space="0" w:color="auto"/>
              </w:divBdr>
              <w:divsChild>
                <w:div w:id="971521554">
                  <w:marLeft w:val="0"/>
                  <w:marRight w:val="0"/>
                  <w:marTop w:val="0"/>
                  <w:marBottom w:val="0"/>
                  <w:divBdr>
                    <w:top w:val="none" w:sz="0" w:space="0" w:color="auto"/>
                    <w:left w:val="none" w:sz="0" w:space="0" w:color="auto"/>
                    <w:bottom w:val="none" w:sz="0" w:space="0" w:color="auto"/>
                    <w:right w:val="none" w:sz="0" w:space="0" w:color="auto"/>
                  </w:divBdr>
                  <w:divsChild>
                    <w:div w:id="942494607">
                      <w:marLeft w:val="0"/>
                      <w:marRight w:val="0"/>
                      <w:marTop w:val="0"/>
                      <w:marBottom w:val="0"/>
                      <w:divBdr>
                        <w:top w:val="none" w:sz="0" w:space="0" w:color="auto"/>
                        <w:left w:val="none" w:sz="0" w:space="0" w:color="auto"/>
                        <w:bottom w:val="none" w:sz="0" w:space="0" w:color="auto"/>
                        <w:right w:val="none" w:sz="0" w:space="0" w:color="auto"/>
                      </w:divBdr>
                      <w:divsChild>
                        <w:div w:id="1718967050">
                          <w:marLeft w:val="0"/>
                          <w:marRight w:val="0"/>
                          <w:marTop w:val="0"/>
                          <w:marBottom w:val="0"/>
                          <w:divBdr>
                            <w:top w:val="none" w:sz="0" w:space="0" w:color="auto"/>
                            <w:left w:val="none" w:sz="0" w:space="0" w:color="auto"/>
                            <w:bottom w:val="none" w:sz="0" w:space="0" w:color="auto"/>
                            <w:right w:val="none" w:sz="0" w:space="0" w:color="auto"/>
                          </w:divBdr>
                          <w:divsChild>
                            <w:div w:id="2041084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1028708">
      <w:bodyDiv w:val="1"/>
      <w:marLeft w:val="0"/>
      <w:marRight w:val="0"/>
      <w:marTop w:val="0"/>
      <w:marBottom w:val="0"/>
      <w:divBdr>
        <w:top w:val="none" w:sz="0" w:space="0" w:color="auto"/>
        <w:left w:val="none" w:sz="0" w:space="0" w:color="auto"/>
        <w:bottom w:val="none" w:sz="0" w:space="0" w:color="auto"/>
        <w:right w:val="none" w:sz="0" w:space="0" w:color="auto"/>
      </w:divBdr>
      <w:divsChild>
        <w:div w:id="1849639830">
          <w:marLeft w:val="0"/>
          <w:marRight w:val="0"/>
          <w:marTop w:val="0"/>
          <w:marBottom w:val="0"/>
          <w:divBdr>
            <w:top w:val="none" w:sz="0" w:space="0" w:color="auto"/>
            <w:left w:val="none" w:sz="0" w:space="0" w:color="auto"/>
            <w:bottom w:val="none" w:sz="0" w:space="0" w:color="auto"/>
            <w:right w:val="none" w:sz="0" w:space="0" w:color="auto"/>
          </w:divBdr>
          <w:divsChild>
            <w:div w:id="1660573218">
              <w:marLeft w:val="0"/>
              <w:marRight w:val="0"/>
              <w:marTop w:val="0"/>
              <w:marBottom w:val="0"/>
              <w:divBdr>
                <w:top w:val="none" w:sz="0" w:space="0" w:color="auto"/>
                <w:left w:val="none" w:sz="0" w:space="0" w:color="auto"/>
                <w:bottom w:val="none" w:sz="0" w:space="0" w:color="auto"/>
                <w:right w:val="none" w:sz="0" w:space="0" w:color="auto"/>
              </w:divBdr>
              <w:divsChild>
                <w:div w:id="349334598">
                  <w:marLeft w:val="0"/>
                  <w:marRight w:val="0"/>
                  <w:marTop w:val="0"/>
                  <w:marBottom w:val="0"/>
                  <w:divBdr>
                    <w:top w:val="none" w:sz="0" w:space="0" w:color="auto"/>
                    <w:left w:val="none" w:sz="0" w:space="0" w:color="auto"/>
                    <w:bottom w:val="none" w:sz="0" w:space="0" w:color="auto"/>
                    <w:right w:val="none" w:sz="0" w:space="0" w:color="auto"/>
                  </w:divBdr>
                  <w:divsChild>
                    <w:div w:id="41058090">
                      <w:marLeft w:val="0"/>
                      <w:marRight w:val="0"/>
                      <w:marTop w:val="0"/>
                      <w:marBottom w:val="0"/>
                      <w:divBdr>
                        <w:top w:val="none" w:sz="0" w:space="0" w:color="auto"/>
                        <w:left w:val="none" w:sz="0" w:space="0" w:color="auto"/>
                        <w:bottom w:val="none" w:sz="0" w:space="0" w:color="auto"/>
                        <w:right w:val="none" w:sz="0" w:space="0" w:color="auto"/>
                      </w:divBdr>
                      <w:divsChild>
                        <w:div w:id="220025124">
                          <w:marLeft w:val="0"/>
                          <w:marRight w:val="0"/>
                          <w:marTop w:val="0"/>
                          <w:marBottom w:val="0"/>
                          <w:divBdr>
                            <w:top w:val="none" w:sz="0" w:space="0" w:color="auto"/>
                            <w:left w:val="none" w:sz="0" w:space="0" w:color="auto"/>
                            <w:bottom w:val="none" w:sz="0" w:space="0" w:color="auto"/>
                            <w:right w:val="none" w:sz="0" w:space="0" w:color="auto"/>
                          </w:divBdr>
                          <w:divsChild>
                            <w:div w:id="1312830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a:themeElements>
    <a:clrScheme nam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ECD93D6-5448-4837-860B-408966984612}">
  <ds:schemaRefs>
    <ds:schemaRef ds:uri="http://schemas.microsoft.com/sharepoint/v3/contenttype/forms"/>
  </ds:schemaRefs>
</ds:datastoreItem>
</file>

<file path=customXml/itemProps2.xml><?xml version="1.0" encoding="utf-8"?>
<ds:datastoreItem xmlns:ds="http://schemas.openxmlformats.org/officeDocument/2006/customXml" ds:itemID="{98F82CE7-C0A6-4C46-AB12-476AA5A8F3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7106</Words>
  <Characters>40509</Characters>
  <Application>Microsoft Office Word</Application>
  <DocSecurity>0</DocSecurity>
  <Lines>337</Lines>
  <Paragraphs>95</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47520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1</cp:revision>
  <cp:lastPrinted>2013-05-31T15:07:00Z</cp:lastPrinted>
  <dcterms:created xsi:type="dcterms:W3CDTF">2013-09-17T08:01:00Z</dcterms:created>
  <dcterms:modified xsi:type="dcterms:W3CDTF">2013-09-17T08:01:00Z</dcterms:modified>
  <cp:category>ECHR Template</cp:category>
</cp:coreProperties>
</file>