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D5A17" w14:textId="60DF04B0" w:rsidR="0071335C" w:rsidRPr="001A750F" w:rsidRDefault="0071335C" w:rsidP="001A750F">
      <w:pPr>
        <w:jc w:val="center"/>
      </w:pPr>
    </w:p>
    <w:p w14:paraId="19660B3C" w14:textId="0250799B" w:rsidR="0071335C" w:rsidRPr="001A750F" w:rsidRDefault="0071335C" w:rsidP="001A750F">
      <w:pPr>
        <w:jc w:val="center"/>
        <w:rPr>
          <w:sz w:val="4"/>
          <w:szCs w:val="4"/>
        </w:rPr>
      </w:pPr>
    </w:p>
    <w:p w14:paraId="7AC9BF54" w14:textId="0F454AC4" w:rsidR="0071335C" w:rsidRPr="00571652" w:rsidRDefault="007A56C9" w:rsidP="001A750F">
      <w:pPr>
        <w:pStyle w:val="DecHTitle"/>
        <w:rPr>
          <w:lang w:val="pl-PL"/>
        </w:rPr>
      </w:pPr>
      <w:r>
        <w:rPr>
          <w:lang w:val="pl"/>
        </w:rPr>
        <w:t>PIERWSZA</w:t>
      </w:r>
      <w:r w:rsidR="00F42346">
        <w:rPr>
          <w:lang w:val="pl"/>
        </w:rPr>
        <w:t xml:space="preserve"> SEKCJA</w:t>
      </w:r>
    </w:p>
    <w:p w14:paraId="28BE051C" w14:textId="77777777" w:rsidR="0071335C" w:rsidRPr="00571652" w:rsidRDefault="006267D3" w:rsidP="001A750F">
      <w:pPr>
        <w:pStyle w:val="DecHTitle"/>
        <w:rPr>
          <w:lang w:val="pl-PL"/>
        </w:rPr>
      </w:pPr>
      <w:r>
        <w:rPr>
          <w:lang w:val="pl"/>
        </w:rPr>
        <w:t>DECYZJA</w:t>
      </w:r>
    </w:p>
    <w:p w14:paraId="1CD6C5EF" w14:textId="3464BA45" w:rsidR="0071335C" w:rsidRPr="00571652" w:rsidRDefault="007A56C9" w:rsidP="001A750F">
      <w:pPr>
        <w:pStyle w:val="DecHCase"/>
        <w:rPr>
          <w:i/>
          <w:lang w:val="pl-PL"/>
        </w:rPr>
      </w:pPr>
      <w:r>
        <w:rPr>
          <w:noProof/>
          <w:lang w:val="pl"/>
        </w:rPr>
        <w:t>Skarga nr</w:t>
      </w:r>
      <w:r>
        <w:rPr>
          <w:lang w:val="pl"/>
        </w:rPr>
        <w:t xml:space="preserve"> 38813/17</w:t>
      </w:r>
      <w:r>
        <w:rPr>
          <w:lang w:val="pl"/>
        </w:rPr>
        <w:br/>
      </w:r>
      <w:r>
        <w:rPr>
          <w:noProof/>
          <w:lang w:val="pl"/>
        </w:rPr>
        <w:t>NOWOCZESNA</w:t>
      </w:r>
      <w:r>
        <w:rPr>
          <w:noProof/>
          <w:lang w:val="pl"/>
        </w:rPr>
        <w:br/>
      </w:r>
      <w:r>
        <w:rPr>
          <w:lang w:val="pl"/>
        </w:rPr>
        <w:t>przeciwko Polsce</w:t>
      </w:r>
    </w:p>
    <w:p w14:paraId="76743597" w14:textId="55EFDAD5" w:rsidR="0071335C" w:rsidRPr="00571652" w:rsidRDefault="0071335C" w:rsidP="001A750F">
      <w:pPr>
        <w:rPr>
          <w:sz w:val="2"/>
          <w:szCs w:val="2"/>
          <w:lang w:val="pl-PL"/>
        </w:rPr>
      </w:pPr>
    </w:p>
    <w:p w14:paraId="6338E4E7" w14:textId="113BDEDF" w:rsidR="007A56C9" w:rsidRPr="00571652" w:rsidRDefault="007A56C9" w:rsidP="001A750F">
      <w:pPr>
        <w:pStyle w:val="JuPara"/>
        <w:rPr>
          <w:lang w:val="pl-PL"/>
        </w:rPr>
      </w:pPr>
      <w:r>
        <w:rPr>
          <w:lang w:val="pl"/>
        </w:rPr>
        <w:t>Europejski Trybunał Praw Człowieka (</w:t>
      </w:r>
      <w:r w:rsidR="00F42346">
        <w:rPr>
          <w:lang w:val="pl"/>
        </w:rPr>
        <w:t>p</w:t>
      </w:r>
      <w:r>
        <w:rPr>
          <w:lang w:val="pl"/>
        </w:rPr>
        <w:t>ierwsza</w:t>
      </w:r>
      <w:r w:rsidR="00F42346">
        <w:rPr>
          <w:lang w:val="pl"/>
        </w:rPr>
        <w:t xml:space="preserve"> sekcja</w:t>
      </w:r>
      <w:r>
        <w:rPr>
          <w:lang w:val="pl"/>
        </w:rPr>
        <w:t>), w dniu 14</w:t>
      </w:r>
      <w:r w:rsidR="00571652">
        <w:rPr>
          <w:lang w:val="pl"/>
        </w:rPr>
        <w:t> </w:t>
      </w:r>
      <w:r>
        <w:rPr>
          <w:lang w:val="pl"/>
        </w:rPr>
        <w:t>marca</w:t>
      </w:r>
      <w:r w:rsidR="00571652">
        <w:rPr>
          <w:lang w:val="pl"/>
        </w:rPr>
        <w:t> </w:t>
      </w:r>
      <w:r>
        <w:rPr>
          <w:lang w:val="pl"/>
        </w:rPr>
        <w:t>2023</w:t>
      </w:r>
      <w:r w:rsidR="00CA7AF7">
        <w:rPr>
          <w:lang w:val="pl"/>
        </w:rPr>
        <w:t> </w:t>
      </w:r>
      <w:r>
        <w:rPr>
          <w:lang w:val="pl"/>
        </w:rPr>
        <w:t>r., zasiadając jako Izba w składzie:</w:t>
      </w:r>
    </w:p>
    <w:p w14:paraId="18B26649" w14:textId="453FB2FB" w:rsidR="007A56C9" w:rsidRPr="00571652" w:rsidRDefault="004C0E3B" w:rsidP="001A750F">
      <w:pPr>
        <w:pStyle w:val="JuJudges"/>
        <w:rPr>
          <w:iCs/>
          <w:lang w:val="pl-PL"/>
        </w:rPr>
      </w:pPr>
      <w:r>
        <w:rPr>
          <w:lang w:val="pl"/>
        </w:rPr>
        <w:tab/>
        <w:t>Lətif Hüseynov</w:t>
      </w:r>
      <w:r>
        <w:rPr>
          <w:i/>
          <w:iCs/>
          <w:lang w:val="pl"/>
        </w:rPr>
        <w:t xml:space="preserve">, </w:t>
      </w:r>
      <w:r w:rsidR="00917D42">
        <w:rPr>
          <w:i/>
          <w:iCs/>
          <w:lang w:val="pl"/>
        </w:rPr>
        <w:t>P</w:t>
      </w:r>
      <w:r>
        <w:rPr>
          <w:i/>
          <w:iCs/>
          <w:lang w:val="pl"/>
        </w:rPr>
        <w:t>rzewodniczący</w:t>
      </w:r>
      <w:r>
        <w:rPr>
          <w:lang w:val="pl"/>
        </w:rPr>
        <w:t>,</w:t>
      </w:r>
      <w:r>
        <w:rPr>
          <w:lang w:val="pl"/>
        </w:rPr>
        <w:br/>
      </w:r>
      <w:r>
        <w:rPr>
          <w:lang w:val="pl"/>
        </w:rPr>
        <w:tab/>
        <w:t>Krzysztof Wojtyczek,</w:t>
      </w:r>
      <w:r>
        <w:rPr>
          <w:lang w:val="pl"/>
        </w:rPr>
        <w:br/>
      </w:r>
      <w:r>
        <w:rPr>
          <w:lang w:val="pl"/>
        </w:rPr>
        <w:tab/>
        <w:t>Erik Wennerström</w:t>
      </w:r>
      <w:r>
        <w:rPr>
          <w:i/>
          <w:iCs/>
          <w:lang w:val="pl"/>
        </w:rPr>
        <w:t xml:space="preserve">, </w:t>
      </w:r>
      <w:r w:rsidR="00917D42">
        <w:rPr>
          <w:i/>
          <w:iCs/>
          <w:lang w:val="pl"/>
        </w:rPr>
        <w:t>S</w:t>
      </w:r>
      <w:r>
        <w:rPr>
          <w:i/>
          <w:iCs/>
          <w:lang w:val="pl"/>
        </w:rPr>
        <w:t>ędziowie</w:t>
      </w:r>
      <w:r>
        <w:rPr>
          <w:lang w:val="pl"/>
        </w:rPr>
        <w:t>,</w:t>
      </w:r>
      <w:r>
        <w:rPr>
          <w:lang w:val="pl"/>
        </w:rPr>
        <w:br/>
        <w:t xml:space="preserve">i Liv Tigerstedt, </w:t>
      </w:r>
      <w:r w:rsidR="00917D42">
        <w:rPr>
          <w:i/>
          <w:iCs/>
          <w:lang w:val="pl"/>
        </w:rPr>
        <w:t>Z</w:t>
      </w:r>
      <w:r>
        <w:rPr>
          <w:i/>
          <w:iCs/>
          <w:lang w:val="pl"/>
        </w:rPr>
        <w:t xml:space="preserve">astępca </w:t>
      </w:r>
      <w:r w:rsidR="00917D42">
        <w:rPr>
          <w:i/>
          <w:iCs/>
          <w:lang w:val="pl"/>
        </w:rPr>
        <w:t>K</w:t>
      </w:r>
      <w:r>
        <w:rPr>
          <w:i/>
          <w:iCs/>
          <w:lang w:val="pl"/>
        </w:rPr>
        <w:t xml:space="preserve">anclerza </w:t>
      </w:r>
      <w:r w:rsidR="00917D42">
        <w:rPr>
          <w:i/>
          <w:iCs/>
          <w:lang w:val="pl"/>
        </w:rPr>
        <w:t>S</w:t>
      </w:r>
      <w:r>
        <w:rPr>
          <w:i/>
          <w:iCs/>
          <w:lang w:val="pl"/>
        </w:rPr>
        <w:t>ekcji,</w:t>
      </w:r>
    </w:p>
    <w:p w14:paraId="0F0AB55F" w14:textId="37C21CD4" w:rsidR="007A56C9" w:rsidRPr="00571652" w:rsidRDefault="00F936A4" w:rsidP="001A750F">
      <w:pPr>
        <w:pStyle w:val="JuPara"/>
        <w:rPr>
          <w:lang w:val="pl-PL"/>
        </w:rPr>
      </w:pPr>
      <w:r>
        <w:rPr>
          <w:lang w:val="pl"/>
        </w:rPr>
        <w:t>u</w:t>
      </w:r>
      <w:r w:rsidR="007A56C9">
        <w:rPr>
          <w:lang w:val="pl"/>
        </w:rPr>
        <w:t>względniając:</w:t>
      </w:r>
    </w:p>
    <w:p w14:paraId="28DCAF7E" w14:textId="283C611E" w:rsidR="007A56C9" w:rsidRPr="00571652" w:rsidRDefault="007A56C9" w:rsidP="00CF5052">
      <w:pPr>
        <w:pStyle w:val="JuPara"/>
        <w:ind w:firstLine="0"/>
        <w:rPr>
          <w:lang w:val="pl-PL"/>
        </w:rPr>
      </w:pPr>
      <w:r>
        <w:rPr>
          <w:lang w:val="pl"/>
        </w:rPr>
        <w:t>skargę (nr 38813/17) przeciwko Rzeczypospolitej Polskiej wniesioną do Trybunału w dniu 15 maja 2017 r. na podstawie art. 34 Konwencji o ochronie praw człowieka i podstawowych wolności („Konwencja”) przez partię polityczną Nowoczesna („partia skarżąca”) z siedzibą w Warszawie, reprezentowaną przez A. Jędrzejewską, prawniczkę praktykującą w</w:t>
      </w:r>
      <w:r w:rsidR="00571652">
        <w:rPr>
          <w:lang w:val="pl"/>
        </w:rPr>
        <w:t> </w:t>
      </w:r>
      <w:r>
        <w:rPr>
          <w:lang w:val="pl"/>
        </w:rPr>
        <w:t>Warszawie;</w:t>
      </w:r>
    </w:p>
    <w:p w14:paraId="35452E2B" w14:textId="5255EF3D" w:rsidR="007A56C9" w:rsidRPr="00571652" w:rsidRDefault="007A56C9" w:rsidP="001A750F">
      <w:pPr>
        <w:pStyle w:val="JuPara"/>
        <w:rPr>
          <w:lang w:val="pl-PL"/>
        </w:rPr>
      </w:pPr>
      <w:r>
        <w:rPr>
          <w:lang w:val="pl"/>
        </w:rPr>
        <w:t xml:space="preserve">decyzję o </w:t>
      </w:r>
      <w:r w:rsidR="00CF5052">
        <w:rPr>
          <w:lang w:val="pl"/>
        </w:rPr>
        <w:t>zakomunikowaniu</w:t>
      </w:r>
      <w:r>
        <w:rPr>
          <w:lang w:val="pl"/>
        </w:rPr>
        <w:t xml:space="preserve"> Rząd</w:t>
      </w:r>
      <w:r w:rsidR="00CF5052">
        <w:rPr>
          <w:lang w:val="pl"/>
        </w:rPr>
        <w:t>owi</w:t>
      </w:r>
      <w:r>
        <w:rPr>
          <w:lang w:val="pl"/>
        </w:rPr>
        <w:t xml:space="preserve"> Rzeczypospolitej Polskiej („Rząd”), reprezentowane</w:t>
      </w:r>
      <w:r w:rsidR="00CF5052">
        <w:rPr>
          <w:lang w:val="pl"/>
        </w:rPr>
        <w:t>mu</w:t>
      </w:r>
      <w:r>
        <w:rPr>
          <w:lang w:val="pl"/>
        </w:rPr>
        <w:t xml:space="preserve"> przez pełnomocnika, J. Sobczaka z Ministerstwa Spraw Zagranicznych, </w:t>
      </w:r>
      <w:r w:rsidR="00CF5052">
        <w:rPr>
          <w:lang w:val="pl"/>
        </w:rPr>
        <w:t>skargi</w:t>
      </w:r>
      <w:r>
        <w:rPr>
          <w:lang w:val="pl"/>
        </w:rPr>
        <w:t xml:space="preserve"> dotyczącej art. 11 Konwencji oraz o uznaniu pozostałej części skargi za niedopuszczalną;</w:t>
      </w:r>
    </w:p>
    <w:p w14:paraId="3A0906B5" w14:textId="66A07A3D" w:rsidR="007A56C9" w:rsidRPr="00571652" w:rsidRDefault="007A56C9" w:rsidP="001A750F">
      <w:pPr>
        <w:pStyle w:val="JuPara"/>
        <w:rPr>
          <w:lang w:val="pl-PL"/>
        </w:rPr>
      </w:pPr>
      <w:r>
        <w:rPr>
          <w:lang w:val="pl"/>
        </w:rPr>
        <w:t>uwagi stron;</w:t>
      </w:r>
    </w:p>
    <w:p w14:paraId="0753147D" w14:textId="77777777" w:rsidR="007A56C9" w:rsidRPr="00571652" w:rsidRDefault="007A56C9" w:rsidP="001A750F">
      <w:pPr>
        <w:pStyle w:val="JuPara"/>
        <w:rPr>
          <w:lang w:val="pl-PL"/>
        </w:rPr>
      </w:pPr>
      <w:r>
        <w:rPr>
          <w:lang w:val="pl"/>
        </w:rPr>
        <w:t>po obradach orzeka, co następuje:</w:t>
      </w:r>
    </w:p>
    <w:p w14:paraId="1945C4DF" w14:textId="14987EB9" w:rsidR="007A56C9" w:rsidRPr="001A750F" w:rsidRDefault="007A56C9" w:rsidP="001A750F">
      <w:pPr>
        <w:pStyle w:val="JuHHead"/>
      </w:pPr>
      <w:r>
        <w:rPr>
          <w:bCs w:val="0"/>
          <w:lang w:val="pl"/>
        </w:rPr>
        <w:t>PRZEDMIOT SPRAWY</w:t>
      </w:r>
    </w:p>
    <w:p w14:paraId="249E611A" w14:textId="01AB91F0" w:rsidR="007A56C9" w:rsidRPr="00571652" w:rsidRDefault="00327357" w:rsidP="001A750F">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1</w:t>
      </w:r>
      <w:r>
        <w:rPr>
          <w:noProof/>
          <w:lang w:val="pl"/>
        </w:rPr>
        <w:fldChar w:fldCharType="end"/>
      </w:r>
      <w:r>
        <w:rPr>
          <w:lang w:val="pl"/>
        </w:rPr>
        <w:t xml:space="preserve">.  Niniejsza skarga dotyczy sprawozdania finansowego partii skarżącej </w:t>
      </w:r>
      <w:r w:rsidR="00FB2EA0">
        <w:rPr>
          <w:lang w:val="pl"/>
        </w:rPr>
        <w:t>złożonego</w:t>
      </w:r>
      <w:r w:rsidR="00697BCE">
        <w:rPr>
          <w:lang w:val="pl"/>
        </w:rPr>
        <w:t xml:space="preserve"> </w:t>
      </w:r>
      <w:r>
        <w:rPr>
          <w:lang w:val="pl"/>
        </w:rPr>
        <w:t>po wyborach parlamentarnych w 2015</w:t>
      </w:r>
      <w:r w:rsidR="00697BCE">
        <w:rPr>
          <w:lang w:val="pl"/>
        </w:rPr>
        <w:t> </w:t>
      </w:r>
      <w:r>
        <w:rPr>
          <w:lang w:val="pl"/>
        </w:rPr>
        <w:t xml:space="preserve">r. oraz konsekwencji finansowych, jakie </w:t>
      </w:r>
      <w:r w:rsidR="00FB2EA0">
        <w:rPr>
          <w:lang w:val="pl"/>
        </w:rPr>
        <w:t xml:space="preserve">partia ta </w:t>
      </w:r>
      <w:r>
        <w:rPr>
          <w:lang w:val="pl"/>
        </w:rPr>
        <w:t>musiała ponieść, gdy sprawozdanie zostało odrzucone przez Państwową Komisję Wyborczą („Komisja”).</w:t>
      </w:r>
    </w:p>
    <w:p w14:paraId="6AFFDDDC" w14:textId="77777777" w:rsidR="007A56C9" w:rsidRPr="001A750F" w:rsidRDefault="007A56C9" w:rsidP="001A750F">
      <w:pPr>
        <w:pStyle w:val="JuHA"/>
      </w:pPr>
      <w:r>
        <w:rPr>
          <w:lang w:val="pl"/>
        </w:rPr>
        <w:lastRenderedPageBreak/>
        <w:t>Informacje ogólne</w:t>
      </w:r>
    </w:p>
    <w:p w14:paraId="74EF42B2" w14:textId="62A00035" w:rsidR="007A56C9" w:rsidRPr="00571652" w:rsidRDefault="00327357" w:rsidP="001A750F">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2</w:t>
      </w:r>
      <w:r>
        <w:rPr>
          <w:noProof/>
          <w:lang w:val="pl"/>
        </w:rPr>
        <w:fldChar w:fldCharType="end"/>
      </w:r>
      <w:r>
        <w:rPr>
          <w:lang w:val="pl"/>
        </w:rPr>
        <w:t>.  Partia skarżąca jest partią opozycyjną założoną w maju 2015</w:t>
      </w:r>
      <w:r w:rsidR="00697BCE">
        <w:rPr>
          <w:lang w:val="pl"/>
        </w:rPr>
        <w:t> </w:t>
      </w:r>
      <w:r>
        <w:rPr>
          <w:lang w:val="pl"/>
        </w:rPr>
        <w:t xml:space="preserve">r. Początkowo została zarejestrowana pod nazwą </w:t>
      </w:r>
      <w:r>
        <w:rPr>
          <w:i/>
          <w:iCs/>
          <w:lang w:val="pl"/>
        </w:rPr>
        <w:t xml:space="preserve">Partia Nowoczesna Ryszarda Petru, </w:t>
      </w:r>
      <w:r>
        <w:rPr>
          <w:lang w:val="pl"/>
        </w:rPr>
        <w:t>a następnie w 2017</w:t>
      </w:r>
      <w:r w:rsidR="00697BCE">
        <w:rPr>
          <w:lang w:val="pl"/>
        </w:rPr>
        <w:t> </w:t>
      </w:r>
      <w:r>
        <w:rPr>
          <w:lang w:val="pl"/>
        </w:rPr>
        <w:t xml:space="preserve">r. przemianowana na </w:t>
      </w:r>
      <w:r>
        <w:rPr>
          <w:i/>
          <w:iCs/>
          <w:lang w:val="pl"/>
        </w:rPr>
        <w:t>Nowoczesna.</w:t>
      </w:r>
      <w:r>
        <w:rPr>
          <w:lang w:val="pl"/>
        </w:rPr>
        <w:t xml:space="preserve"> W wyborach parlamentarnych, które odbyły się 25 października 2015</w:t>
      </w:r>
      <w:r w:rsidR="00697BCE">
        <w:rPr>
          <w:lang w:val="pl"/>
        </w:rPr>
        <w:t> </w:t>
      </w:r>
      <w:r>
        <w:rPr>
          <w:lang w:val="pl"/>
        </w:rPr>
        <w:t>r., partia skarżąca uzyskała 7,6% głosów, co zaowocowało zdobyciem dwudziestu ośmiu mandatów w niższej izbie parlamentu (Sejmie).</w:t>
      </w:r>
    </w:p>
    <w:p w14:paraId="19DE9795" w14:textId="2F34CCD1" w:rsidR="007A56C9" w:rsidRPr="001A750F" w:rsidRDefault="00327357" w:rsidP="001A750F">
      <w:pPr>
        <w:pStyle w:val="JuPara"/>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3</w:t>
      </w:r>
      <w:r>
        <w:rPr>
          <w:noProof/>
          <w:lang w:val="pl"/>
        </w:rPr>
        <w:fldChar w:fldCharType="end"/>
      </w:r>
      <w:r>
        <w:rPr>
          <w:lang w:val="pl"/>
        </w:rPr>
        <w:t>.  Przed wyborami parlamentarnymi w 2015</w:t>
      </w:r>
      <w:r w:rsidR="00697BCE">
        <w:rPr>
          <w:lang w:val="pl"/>
        </w:rPr>
        <w:t> </w:t>
      </w:r>
      <w:r>
        <w:rPr>
          <w:lang w:val="pl"/>
        </w:rPr>
        <w:t>r., zgodnie z wymogami odpowiednich przepisów, partia skarżąca utworzyła Fundusz Wyborczy Nowoczesnej Ryszarda Petru oraz Komitet Wyborczy Nowoczesnej Ryszarda Petru. Dla każdego z tych podmiotów otwarto oddzielny rachunek bankowy.</w:t>
      </w:r>
    </w:p>
    <w:p w14:paraId="0B69FEC8" w14:textId="77777777" w:rsidR="007A56C9" w:rsidRPr="001A750F" w:rsidRDefault="007A56C9" w:rsidP="001A750F">
      <w:pPr>
        <w:pStyle w:val="JuHA"/>
      </w:pPr>
      <w:r>
        <w:rPr>
          <w:lang w:val="pl"/>
        </w:rPr>
        <w:t>Sprawozdanie finansowe Komitetu Wyborczego</w:t>
      </w:r>
    </w:p>
    <w:p w14:paraId="7C5FF55A" w14:textId="17A2466B" w:rsidR="007A56C9" w:rsidRPr="00571652" w:rsidRDefault="00327357" w:rsidP="001A750F">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4</w:t>
      </w:r>
      <w:r>
        <w:rPr>
          <w:noProof/>
          <w:lang w:val="pl"/>
        </w:rPr>
        <w:fldChar w:fldCharType="end"/>
      </w:r>
      <w:r>
        <w:rPr>
          <w:lang w:val="pl"/>
        </w:rPr>
        <w:t>.  W dniu 23 października 2015</w:t>
      </w:r>
      <w:r w:rsidR="00697BCE">
        <w:rPr>
          <w:lang w:val="pl"/>
        </w:rPr>
        <w:t> </w:t>
      </w:r>
      <w:r>
        <w:rPr>
          <w:lang w:val="pl"/>
        </w:rPr>
        <w:t>r. partia skarżąca przelała 1</w:t>
      </w:r>
      <w:r w:rsidR="00571652">
        <w:rPr>
          <w:lang w:val="pl"/>
        </w:rPr>
        <w:t> </w:t>
      </w:r>
      <w:r>
        <w:rPr>
          <w:lang w:val="pl"/>
        </w:rPr>
        <w:t>971</w:t>
      </w:r>
      <w:r w:rsidR="00571652">
        <w:rPr>
          <w:lang w:val="pl"/>
        </w:rPr>
        <w:t> </w:t>
      </w:r>
      <w:r>
        <w:rPr>
          <w:lang w:val="pl"/>
        </w:rPr>
        <w:t>500</w:t>
      </w:r>
      <w:r w:rsidR="00571652">
        <w:rPr>
          <w:lang w:val="pl"/>
        </w:rPr>
        <w:t> </w:t>
      </w:r>
      <w:r>
        <w:rPr>
          <w:lang w:val="pl"/>
        </w:rPr>
        <w:t>złotych (PLN – ok. 500 000 euro (EUR)) z rachunku bankowego partii bezpośrednio na rachunek bankowy Komitetu Wyborczego. Na</w:t>
      </w:r>
      <w:r w:rsidR="00571652">
        <w:rPr>
          <w:lang w:val="pl"/>
        </w:rPr>
        <w:t> </w:t>
      </w:r>
      <w:r>
        <w:rPr>
          <w:lang w:val="pl"/>
        </w:rPr>
        <w:t>poleceniu wykonania przelewu podano „FW NOWOCZESNA RP”. Partia uzyskała tę kwotę</w:t>
      </w:r>
      <w:r w:rsidR="00697BCE">
        <w:rPr>
          <w:lang w:val="pl"/>
        </w:rPr>
        <w:t>,</w:t>
      </w:r>
      <w:r>
        <w:rPr>
          <w:lang w:val="pl"/>
        </w:rPr>
        <w:t xml:space="preserve"> zaciągając kredyt w banku PKO BP.</w:t>
      </w:r>
    </w:p>
    <w:p w14:paraId="6E5CBB18" w14:textId="518327BB" w:rsidR="007A56C9" w:rsidRPr="00571652" w:rsidRDefault="00327357" w:rsidP="001A750F">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5</w:t>
      </w:r>
      <w:r>
        <w:rPr>
          <w:noProof/>
          <w:lang w:val="pl"/>
        </w:rPr>
        <w:fldChar w:fldCharType="end"/>
      </w:r>
      <w:r>
        <w:rPr>
          <w:lang w:val="pl"/>
        </w:rPr>
        <w:t>.  Po wyborach parlamentarnych Komitet Wyborczy przedłożył Komisji swoje sprawozdanie finansowe za okres od 26 sierpnia 2015</w:t>
      </w:r>
      <w:r w:rsidR="00697BCE">
        <w:rPr>
          <w:lang w:val="pl"/>
        </w:rPr>
        <w:t> </w:t>
      </w:r>
      <w:r>
        <w:rPr>
          <w:lang w:val="pl"/>
        </w:rPr>
        <w:t>r. do 18</w:t>
      </w:r>
      <w:r w:rsidR="00571652">
        <w:rPr>
          <w:lang w:val="pl"/>
        </w:rPr>
        <w:t> </w:t>
      </w:r>
      <w:r>
        <w:rPr>
          <w:lang w:val="pl"/>
        </w:rPr>
        <w:t>stycznia</w:t>
      </w:r>
      <w:r w:rsidR="00571652">
        <w:rPr>
          <w:lang w:val="pl"/>
        </w:rPr>
        <w:t> </w:t>
      </w:r>
      <w:r>
        <w:rPr>
          <w:lang w:val="pl"/>
        </w:rPr>
        <w:t>2016</w:t>
      </w:r>
      <w:r w:rsidR="00697BCE">
        <w:rPr>
          <w:lang w:val="pl"/>
        </w:rPr>
        <w:t> </w:t>
      </w:r>
      <w:r>
        <w:rPr>
          <w:lang w:val="pl"/>
        </w:rPr>
        <w:t>r.</w:t>
      </w:r>
    </w:p>
    <w:bookmarkStart w:id="0" w:name="rejection_committe_rep"/>
    <w:p w14:paraId="23E2855E" w14:textId="19EF5ED3" w:rsidR="007A56C9" w:rsidRPr="00571652" w:rsidRDefault="007A56C9" w:rsidP="001A750F">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w:t>
      </w:r>
      <w:r>
        <w:rPr>
          <w:lang w:val="pl"/>
        </w:rPr>
        <w:fldChar w:fldCharType="end"/>
      </w:r>
      <w:bookmarkEnd w:id="0"/>
      <w:r>
        <w:rPr>
          <w:lang w:val="pl"/>
        </w:rPr>
        <w:t>.  W uchwale z dnia 18 lipca 2016</w:t>
      </w:r>
      <w:r w:rsidR="00697BCE">
        <w:rPr>
          <w:lang w:val="pl"/>
        </w:rPr>
        <w:t> </w:t>
      </w:r>
      <w:r>
        <w:rPr>
          <w:lang w:val="pl"/>
        </w:rPr>
        <w:t>r. Komisja odrzuciła sprawozdanie na tej podstawie, że Komitet Wyborczy przyjął środki finansowe z innego źródła niż Fundusz Wyborczy. Komisja zauważyła, że kwota 1 971 500 PLN została przelana bezpośrednio z rachunku bankowego partii skarżącej na rachunek Komitetu Wyborczego, z pominięciem niezbędnego etapu pośredniego: rachunku bankowego Funduszu Wyborczego. Fakt ten stanowił naruszenie art.</w:t>
      </w:r>
      <w:r w:rsidR="00697BCE">
        <w:rPr>
          <w:lang w:val="pl"/>
        </w:rPr>
        <w:t> </w:t>
      </w:r>
      <w:r>
        <w:rPr>
          <w:lang w:val="pl"/>
        </w:rPr>
        <w:t>132 §</w:t>
      </w:r>
      <w:r w:rsidR="00697BCE">
        <w:rPr>
          <w:lang w:val="pl"/>
        </w:rPr>
        <w:t> </w:t>
      </w:r>
      <w:r>
        <w:rPr>
          <w:lang w:val="pl"/>
        </w:rPr>
        <w:t>1 Kodeksu wyborczego („Kodeks”), który stanowił, że środki finansowe komitetu wyborczego partii politycznej mogą pochodzić wyłącznie z jej funduszu wyborczego. W związku z tym, zgodnie z</w:t>
      </w:r>
      <w:r w:rsidR="00571652">
        <w:rPr>
          <w:lang w:val="pl"/>
        </w:rPr>
        <w:t> </w:t>
      </w:r>
      <w:r>
        <w:rPr>
          <w:lang w:val="pl"/>
        </w:rPr>
        <w:t>art.</w:t>
      </w:r>
      <w:r w:rsidR="00571652">
        <w:rPr>
          <w:lang w:val="pl"/>
        </w:rPr>
        <w:t> </w:t>
      </w:r>
      <w:r>
        <w:rPr>
          <w:lang w:val="pl"/>
        </w:rPr>
        <w:t>144</w:t>
      </w:r>
      <w:r w:rsidR="00571652">
        <w:rPr>
          <w:lang w:val="pl"/>
        </w:rPr>
        <w:t> </w:t>
      </w:r>
      <w:r>
        <w:rPr>
          <w:lang w:val="pl"/>
        </w:rPr>
        <w:t>§</w:t>
      </w:r>
      <w:r w:rsidR="00571652">
        <w:rPr>
          <w:lang w:val="pl"/>
        </w:rPr>
        <w:t> </w:t>
      </w:r>
      <w:r>
        <w:rPr>
          <w:lang w:val="pl"/>
        </w:rPr>
        <w:t xml:space="preserve">1 pkt 3 lit. c) Kodeksu, w przypadku przyjęcia przez </w:t>
      </w:r>
      <w:r w:rsidR="00697BCE">
        <w:rPr>
          <w:lang w:val="pl"/>
        </w:rPr>
        <w:t>K</w:t>
      </w:r>
      <w:r>
        <w:rPr>
          <w:lang w:val="pl"/>
        </w:rPr>
        <w:t xml:space="preserve">omitet </w:t>
      </w:r>
      <w:r w:rsidR="00697BCE">
        <w:rPr>
          <w:lang w:val="pl"/>
        </w:rPr>
        <w:t>W</w:t>
      </w:r>
      <w:r>
        <w:rPr>
          <w:lang w:val="pl"/>
        </w:rPr>
        <w:t xml:space="preserve">yborczy środków finansowych z innego źródła niż </w:t>
      </w:r>
      <w:r w:rsidR="00697BCE">
        <w:rPr>
          <w:lang w:val="pl"/>
        </w:rPr>
        <w:t>F</w:t>
      </w:r>
      <w:r>
        <w:rPr>
          <w:lang w:val="pl"/>
        </w:rPr>
        <w:t xml:space="preserve">undusz </w:t>
      </w:r>
      <w:r w:rsidR="00697BCE">
        <w:rPr>
          <w:lang w:val="pl"/>
        </w:rPr>
        <w:t>W</w:t>
      </w:r>
      <w:r>
        <w:rPr>
          <w:lang w:val="pl"/>
        </w:rPr>
        <w:t>yborczy, jego sprawozdanie finansowe nie mogło zostać przyjęte.</w:t>
      </w:r>
    </w:p>
    <w:p w14:paraId="153F3594" w14:textId="2D0CE19C" w:rsidR="007A56C9" w:rsidRPr="00571652" w:rsidRDefault="00327357" w:rsidP="001A750F">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7</w:t>
      </w:r>
      <w:r>
        <w:rPr>
          <w:noProof/>
          <w:lang w:val="pl"/>
        </w:rPr>
        <w:fldChar w:fldCharType="end"/>
      </w:r>
      <w:r>
        <w:rPr>
          <w:lang w:val="pl"/>
        </w:rPr>
        <w:t>.  Partia skarżąca wniosła skargę do Sądu Najwyższego. Podkreśliła, że przelew bankowy bezpośrednio z rachunku partii na rachunek Komitetu Wyborczego wynikał z czysto technicznej pomyłki popełnionej przez zmęczonego pracownika. Przelew został wykonany drogą elektroniczną, a</w:t>
      </w:r>
      <w:r w:rsidR="00571652">
        <w:rPr>
          <w:lang w:val="pl"/>
        </w:rPr>
        <w:t> </w:t>
      </w:r>
      <w:r>
        <w:rPr>
          <w:lang w:val="pl"/>
        </w:rPr>
        <w:t>osoba odpowiedzialna omyłkowo wskazała numer rachunku bankowego Komitetu Wyborczego zamiast numeru rachunku Funduszu Wyborczego.</w:t>
      </w:r>
    </w:p>
    <w:p w14:paraId="0B3F2FCA" w14:textId="345A6184" w:rsidR="007A56C9" w:rsidRPr="00571652" w:rsidRDefault="00327357" w:rsidP="001A750F">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8</w:t>
      </w:r>
      <w:r>
        <w:rPr>
          <w:noProof/>
          <w:lang w:val="pl"/>
        </w:rPr>
        <w:fldChar w:fldCharType="end"/>
      </w:r>
      <w:r>
        <w:rPr>
          <w:lang w:val="pl"/>
        </w:rPr>
        <w:t>.  W dniu 22 września 2016</w:t>
      </w:r>
      <w:r w:rsidR="0006122D">
        <w:rPr>
          <w:lang w:val="pl"/>
        </w:rPr>
        <w:t> </w:t>
      </w:r>
      <w:r>
        <w:rPr>
          <w:lang w:val="pl"/>
        </w:rPr>
        <w:t xml:space="preserve">r. Sąd Najwyższy w składzie siedmiu sędziów oddalił skargę. Zbadał trzy aspekty sprawy: (a) czy doszło do </w:t>
      </w:r>
      <w:r>
        <w:rPr>
          <w:lang w:val="pl"/>
        </w:rPr>
        <w:lastRenderedPageBreak/>
        <w:t xml:space="preserve">naruszenia art. 132 § 1 Kodeksu, (b) czy art. 144 § 1 </w:t>
      </w:r>
      <w:r w:rsidR="0006122D">
        <w:rPr>
          <w:lang w:val="pl"/>
        </w:rPr>
        <w:t>pkt </w:t>
      </w:r>
      <w:r>
        <w:rPr>
          <w:lang w:val="pl"/>
        </w:rPr>
        <w:t xml:space="preserve">2 Kodeksu zezwalający na przyjęcie sprawozdania finansowego ze wskazaniem na uchybienia miał zastosowanie </w:t>
      </w:r>
      <w:r w:rsidR="00CF5052">
        <w:rPr>
          <w:lang w:val="pl"/>
        </w:rPr>
        <w:t>w tej sprawie</w:t>
      </w:r>
      <w:r>
        <w:rPr>
          <w:lang w:val="pl"/>
        </w:rPr>
        <w:t xml:space="preserve"> oraz (c) czy zasada proporcjonalności została przewidziana w odpowiednich przepisach i czy mogła być zastosowana w sprawie skarżącego.</w:t>
      </w:r>
    </w:p>
    <w:bookmarkStart w:id="1" w:name="supreme_court_clear_provisions"/>
    <w:p w14:paraId="17F6BCA8" w14:textId="361FA2FF" w:rsidR="007A56C9" w:rsidRPr="00571652" w:rsidRDefault="007A56C9" w:rsidP="001A750F">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9</w:t>
      </w:r>
      <w:r>
        <w:rPr>
          <w:lang w:val="pl"/>
        </w:rPr>
        <w:fldChar w:fldCharType="end"/>
      </w:r>
      <w:bookmarkEnd w:id="1"/>
      <w:r>
        <w:rPr>
          <w:lang w:val="pl"/>
        </w:rPr>
        <w:t>.  Sąd Najwyższy zauważył, że bezsporne jest, iż Komitet Wyborczy przyjął środki z innego źródła niż Fundusz Wyborczy. Stanowiło to oczywiste naruszenie art.</w:t>
      </w:r>
      <w:r w:rsidR="0006122D">
        <w:rPr>
          <w:lang w:val="pl"/>
        </w:rPr>
        <w:t> </w:t>
      </w:r>
      <w:r>
        <w:rPr>
          <w:lang w:val="pl"/>
        </w:rPr>
        <w:t>132 §</w:t>
      </w:r>
      <w:r w:rsidR="0006122D">
        <w:rPr>
          <w:lang w:val="pl"/>
        </w:rPr>
        <w:t> </w:t>
      </w:r>
      <w:r>
        <w:rPr>
          <w:lang w:val="pl"/>
        </w:rPr>
        <w:t>1 Kodeksu</w:t>
      </w:r>
      <w:r w:rsidR="00CF5052">
        <w:rPr>
          <w:lang w:val="pl"/>
        </w:rPr>
        <w:t xml:space="preserve"> Wyborczego</w:t>
      </w:r>
      <w:r>
        <w:rPr>
          <w:lang w:val="pl"/>
        </w:rPr>
        <w:t>. Sprawozdanie finansowe zawierało nieprawdziwe informacje, a konkretnie, że przychody Komitetu Wyborczego pochodziły z Funduszu Wyborczego. Fakt ten nie może być postrzegany jako błąd „techniczny”. W związku z tym sprawozdanie finansowe musiało zostać odrzucone na podstawie art.</w:t>
      </w:r>
      <w:r w:rsidR="0006122D">
        <w:rPr>
          <w:lang w:val="pl"/>
        </w:rPr>
        <w:t> </w:t>
      </w:r>
      <w:r>
        <w:rPr>
          <w:lang w:val="pl"/>
        </w:rPr>
        <w:t>144 §</w:t>
      </w:r>
      <w:r w:rsidR="0006122D">
        <w:rPr>
          <w:lang w:val="pl"/>
        </w:rPr>
        <w:t> </w:t>
      </w:r>
      <w:r>
        <w:rPr>
          <w:lang w:val="pl"/>
        </w:rPr>
        <w:t xml:space="preserve">1 </w:t>
      </w:r>
      <w:r w:rsidR="0006122D">
        <w:rPr>
          <w:lang w:val="pl"/>
        </w:rPr>
        <w:t>pkt </w:t>
      </w:r>
      <w:r>
        <w:rPr>
          <w:lang w:val="pl"/>
        </w:rPr>
        <w:t>3 lit.</w:t>
      </w:r>
      <w:r w:rsidR="00B059AC">
        <w:rPr>
          <w:lang w:val="pl"/>
        </w:rPr>
        <w:t> </w:t>
      </w:r>
      <w:r>
        <w:rPr>
          <w:lang w:val="pl"/>
        </w:rPr>
        <w:t>c) Kodeksu. Przepis ten był jasny i identyczny dla wszystkich partii politycznych, co stanowiło gwarancję równego traktowania ich wszystkich i</w:t>
      </w:r>
      <w:r w:rsidR="00571652">
        <w:rPr>
          <w:lang w:val="pl"/>
        </w:rPr>
        <w:t> </w:t>
      </w:r>
      <w:r>
        <w:rPr>
          <w:lang w:val="pl"/>
        </w:rPr>
        <w:t xml:space="preserve">zapewniało spójne podejście sądów. Przepisy regulujące przyznawanie partiom politycznym środków publicznych, sposób gromadzenia </w:t>
      </w:r>
      <w:r w:rsidR="00E770A0">
        <w:rPr>
          <w:lang w:val="pl"/>
        </w:rPr>
        <w:t xml:space="preserve">środków </w:t>
      </w:r>
      <w:r>
        <w:rPr>
          <w:lang w:val="pl"/>
        </w:rPr>
        <w:t>i</w:t>
      </w:r>
      <w:r w:rsidR="00571652">
        <w:rPr>
          <w:lang w:val="pl"/>
        </w:rPr>
        <w:t> </w:t>
      </w:r>
      <w:r w:rsidR="00E770A0">
        <w:rPr>
          <w:lang w:val="pl"/>
        </w:rPr>
        <w:t xml:space="preserve">ich </w:t>
      </w:r>
      <w:r>
        <w:rPr>
          <w:lang w:val="pl"/>
        </w:rPr>
        <w:t>wydatkowania oraz kary za ewentualne nieprawidłowości miały na celu zapewnienie przejrzystości finansowania partii, uczciwej konkurencji oraz gwarancji, że środki publiczne będą rzeczywiście wydatkowane na realizację statutowej roli partii.</w:t>
      </w:r>
    </w:p>
    <w:p w14:paraId="56491625" w14:textId="6C86ADDB" w:rsidR="007A56C9" w:rsidRPr="00571652" w:rsidRDefault="00327357" w:rsidP="001A750F">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10</w:t>
      </w:r>
      <w:r>
        <w:rPr>
          <w:noProof/>
          <w:lang w:val="pl"/>
        </w:rPr>
        <w:fldChar w:fldCharType="end"/>
      </w:r>
      <w:r>
        <w:rPr>
          <w:lang w:val="pl"/>
        </w:rPr>
        <w:t>.  W odniesieniu do możliwości przyjęcia sprawozdania finansowego ze wskazaniem uchybień Sąd orzekł, że art.</w:t>
      </w:r>
      <w:r w:rsidR="00E770A0">
        <w:rPr>
          <w:lang w:val="pl"/>
        </w:rPr>
        <w:t> </w:t>
      </w:r>
      <w:r>
        <w:rPr>
          <w:lang w:val="pl"/>
        </w:rPr>
        <w:t>144 §</w:t>
      </w:r>
      <w:r w:rsidR="00E770A0">
        <w:rPr>
          <w:lang w:val="pl"/>
        </w:rPr>
        <w:t> </w:t>
      </w:r>
      <w:r>
        <w:rPr>
          <w:lang w:val="pl"/>
        </w:rPr>
        <w:t>1 pkt</w:t>
      </w:r>
      <w:r w:rsidR="00E770A0">
        <w:rPr>
          <w:lang w:val="pl"/>
        </w:rPr>
        <w:t> </w:t>
      </w:r>
      <w:r>
        <w:rPr>
          <w:lang w:val="pl"/>
        </w:rPr>
        <w:t>2 Kodeksu nie miał zastosowania, ponieważ nie obejmował okoliczności, o których mowa w</w:t>
      </w:r>
      <w:r w:rsidR="00571652">
        <w:rPr>
          <w:lang w:val="pl"/>
        </w:rPr>
        <w:t> </w:t>
      </w:r>
      <w:r>
        <w:rPr>
          <w:lang w:val="pl"/>
        </w:rPr>
        <w:t>art.</w:t>
      </w:r>
      <w:r w:rsidR="00571652">
        <w:rPr>
          <w:lang w:val="pl"/>
        </w:rPr>
        <w:t> </w:t>
      </w:r>
      <w:r>
        <w:rPr>
          <w:lang w:val="pl"/>
        </w:rPr>
        <w:t>144 §</w:t>
      </w:r>
      <w:r w:rsidR="00E770A0">
        <w:rPr>
          <w:lang w:val="pl"/>
        </w:rPr>
        <w:t> </w:t>
      </w:r>
      <w:r>
        <w:rPr>
          <w:lang w:val="pl"/>
        </w:rPr>
        <w:t>1 pkt</w:t>
      </w:r>
      <w:r w:rsidR="00E770A0">
        <w:rPr>
          <w:lang w:val="pl"/>
        </w:rPr>
        <w:t> </w:t>
      </w:r>
      <w:r>
        <w:rPr>
          <w:lang w:val="pl"/>
        </w:rPr>
        <w:t>3 lit.</w:t>
      </w:r>
      <w:r w:rsidR="00E770A0">
        <w:rPr>
          <w:lang w:val="pl"/>
        </w:rPr>
        <w:t> </w:t>
      </w:r>
      <w:r>
        <w:rPr>
          <w:lang w:val="pl"/>
        </w:rPr>
        <w:t>c) Kodeksu.</w:t>
      </w:r>
    </w:p>
    <w:bookmarkStart w:id="2" w:name="supreme_court_proportionality"/>
    <w:p w14:paraId="406726E7" w14:textId="081D406D" w:rsidR="007A56C9" w:rsidRPr="00571652" w:rsidRDefault="007A56C9" w:rsidP="001A750F">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11</w:t>
      </w:r>
      <w:r>
        <w:rPr>
          <w:lang w:val="pl"/>
        </w:rPr>
        <w:fldChar w:fldCharType="end"/>
      </w:r>
      <w:bookmarkEnd w:id="2"/>
      <w:r>
        <w:rPr>
          <w:lang w:val="pl"/>
        </w:rPr>
        <w:t>.  Ponadto Sąd Najwyższy przeanalizował konstytucyjną zasadę proporcjonalności i podkreślił, że partia polityczna, której sprawozdanie finansowe zostało odrzucone, nadal zachowuje prawo do finansowania publicznego, choć jego zakres został ograniczony. Decyzja o odrzuceniu sprawozdania partii politycznej skutkuje częściowym ograniczeniem finansowania publicznego, proporcjonalnym do kwoty pozyskanej lub wydatkowanej z naruszeniem odpowiednich przepisów. W ten sposób ustawodawstwo wprowadziło gwarancję finansowania partii politycznej nawet w przypadku naruszenia przepisów Kodeksu. Odnosząc się do okoliczności partii skarżącej, Sąd Najwyższy uznał, że nawet jeśli – jak twierdziła partia skarżąca – przelew bankowy wynikał z omyłki „technicznej”, błąd taki powinien zostać natychmiast zauważony i</w:t>
      </w:r>
      <w:r w:rsidR="00571652">
        <w:rPr>
          <w:lang w:val="pl"/>
        </w:rPr>
        <w:t> </w:t>
      </w:r>
      <w:r>
        <w:rPr>
          <w:lang w:val="pl"/>
        </w:rPr>
        <w:t>skorygowany. Sąd Najwyższy nie wykluczył stosowania zasady proporcjonalności w podobnych sprawach, ale nie wskazał podstaw do jej zastosowania w sprawie partii skarżącej; zauważył, że wszystko, czego wymagano od partii skarżącej, to znajomość jasnego przepisu prawnego i</w:t>
      </w:r>
      <w:r w:rsidR="00571652">
        <w:rPr>
          <w:lang w:val="pl"/>
        </w:rPr>
        <w:t> </w:t>
      </w:r>
      <w:r>
        <w:rPr>
          <w:lang w:val="pl"/>
        </w:rPr>
        <w:t>sposobu jego zwykłego stosowania w praktyce.</w:t>
      </w:r>
    </w:p>
    <w:p w14:paraId="177C27E7" w14:textId="6E64312D" w:rsidR="007A56C9" w:rsidRPr="00571652" w:rsidRDefault="00327357" w:rsidP="001A750F">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12</w:t>
      </w:r>
      <w:r>
        <w:rPr>
          <w:noProof/>
          <w:lang w:val="pl"/>
        </w:rPr>
        <w:fldChar w:fldCharType="end"/>
      </w:r>
      <w:r>
        <w:rPr>
          <w:lang w:val="pl"/>
        </w:rPr>
        <w:t>.  W wyniku tego postanowienia partia skarżąca musiała zwrócić 1</w:t>
      </w:r>
      <w:r w:rsidR="00571652">
        <w:rPr>
          <w:lang w:val="pl"/>
        </w:rPr>
        <w:t> </w:t>
      </w:r>
      <w:r>
        <w:rPr>
          <w:lang w:val="pl"/>
        </w:rPr>
        <w:t>971</w:t>
      </w:r>
      <w:r w:rsidR="00571652">
        <w:rPr>
          <w:lang w:val="pl"/>
        </w:rPr>
        <w:t> </w:t>
      </w:r>
      <w:r>
        <w:rPr>
          <w:lang w:val="pl"/>
        </w:rPr>
        <w:t>500 PLN Skarbowi Państwa. Ponadto w dniu 1 sierpnia 2016</w:t>
      </w:r>
      <w:r w:rsidR="00780752">
        <w:rPr>
          <w:lang w:val="pl"/>
        </w:rPr>
        <w:t> </w:t>
      </w:r>
      <w:r>
        <w:rPr>
          <w:lang w:val="pl"/>
        </w:rPr>
        <w:t xml:space="preserve">r. </w:t>
      </w:r>
      <w:r w:rsidR="00532E3B">
        <w:rPr>
          <w:lang w:val="pl"/>
        </w:rPr>
        <w:t>M</w:t>
      </w:r>
      <w:r>
        <w:rPr>
          <w:lang w:val="pl"/>
        </w:rPr>
        <w:t xml:space="preserve">inister </w:t>
      </w:r>
      <w:r w:rsidR="00532E3B">
        <w:rPr>
          <w:lang w:val="pl"/>
        </w:rPr>
        <w:t>F</w:t>
      </w:r>
      <w:r>
        <w:rPr>
          <w:lang w:val="pl"/>
        </w:rPr>
        <w:t>inansów poinformował partię skarżącą, że zgodnie z art.</w:t>
      </w:r>
      <w:r w:rsidR="00780752">
        <w:rPr>
          <w:lang w:val="pl"/>
        </w:rPr>
        <w:t> </w:t>
      </w:r>
      <w:r>
        <w:rPr>
          <w:lang w:val="pl"/>
        </w:rPr>
        <w:t>148 §</w:t>
      </w:r>
      <w:r w:rsidR="00780752">
        <w:rPr>
          <w:lang w:val="pl"/>
        </w:rPr>
        <w:t> </w:t>
      </w:r>
      <w:r>
        <w:rPr>
          <w:lang w:val="pl"/>
        </w:rPr>
        <w:t xml:space="preserve">2 </w:t>
      </w:r>
      <w:r>
        <w:rPr>
          <w:lang w:val="pl"/>
        </w:rPr>
        <w:lastRenderedPageBreak/>
        <w:t>Kodeksu roczna kwota środków publicznych (do których partia była uprawniona na podstawie wyników wyborów) została zmniejszona o 75%. – z 6</w:t>
      </w:r>
      <w:r w:rsidR="00780752">
        <w:rPr>
          <w:lang w:val="pl"/>
        </w:rPr>
        <w:t> </w:t>
      </w:r>
      <w:r>
        <w:rPr>
          <w:lang w:val="pl"/>
        </w:rPr>
        <w:t>207 895,14 PLN (ok. 1 552 000 EUR) do 1 551 973,78 PLN (ok</w:t>
      </w:r>
      <w:r w:rsidR="00571652">
        <w:rPr>
          <w:lang w:val="pl"/>
        </w:rPr>
        <w:t>. </w:t>
      </w:r>
      <w:r>
        <w:rPr>
          <w:lang w:val="pl"/>
        </w:rPr>
        <w:t>388</w:t>
      </w:r>
      <w:r w:rsidR="00571652">
        <w:rPr>
          <w:lang w:val="pl"/>
        </w:rPr>
        <w:t> </w:t>
      </w:r>
      <w:r>
        <w:rPr>
          <w:lang w:val="pl"/>
        </w:rPr>
        <w:t>000</w:t>
      </w:r>
      <w:r w:rsidR="00571652">
        <w:rPr>
          <w:lang w:val="pl"/>
        </w:rPr>
        <w:t> </w:t>
      </w:r>
      <w:r>
        <w:rPr>
          <w:lang w:val="pl"/>
        </w:rPr>
        <w:t>EUR).</w:t>
      </w:r>
    </w:p>
    <w:p w14:paraId="4B4D9C03" w14:textId="504C3AE4" w:rsidR="007A56C9" w:rsidRPr="001A750F" w:rsidRDefault="007A56C9" w:rsidP="001A750F">
      <w:pPr>
        <w:pStyle w:val="JuHA"/>
      </w:pPr>
      <w:r>
        <w:rPr>
          <w:lang w:val="pl"/>
        </w:rPr>
        <w:t>Sprawozdanie finansowe partii skarżącej</w:t>
      </w:r>
    </w:p>
    <w:p w14:paraId="7B66FCD2" w14:textId="47D16587" w:rsidR="007A56C9" w:rsidRPr="00571652" w:rsidRDefault="00327357" w:rsidP="001A750F">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13</w:t>
      </w:r>
      <w:r>
        <w:rPr>
          <w:noProof/>
          <w:lang w:val="pl"/>
        </w:rPr>
        <w:fldChar w:fldCharType="end"/>
      </w:r>
      <w:r>
        <w:rPr>
          <w:lang w:val="pl"/>
        </w:rPr>
        <w:t>.  W dniu 31 marca 2016</w:t>
      </w:r>
      <w:r w:rsidR="00780752">
        <w:rPr>
          <w:lang w:val="pl"/>
        </w:rPr>
        <w:t> </w:t>
      </w:r>
      <w:r>
        <w:rPr>
          <w:lang w:val="pl"/>
        </w:rPr>
        <w:t>r. partia skarżąca przedłożyła Komisji swoje roczne sprawozdanie finansowe za rok 2015.</w:t>
      </w:r>
    </w:p>
    <w:p w14:paraId="1AFCA1CC" w14:textId="254DB546" w:rsidR="007A56C9" w:rsidRPr="00571652" w:rsidRDefault="00327357" w:rsidP="001A750F">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14</w:t>
      </w:r>
      <w:r>
        <w:rPr>
          <w:noProof/>
          <w:lang w:val="pl"/>
        </w:rPr>
        <w:fldChar w:fldCharType="end"/>
      </w:r>
      <w:r>
        <w:rPr>
          <w:lang w:val="pl"/>
        </w:rPr>
        <w:t>.  W dniu 3 października 2016</w:t>
      </w:r>
      <w:r w:rsidR="002E2692">
        <w:rPr>
          <w:lang w:val="pl"/>
        </w:rPr>
        <w:t> </w:t>
      </w:r>
      <w:r>
        <w:rPr>
          <w:lang w:val="pl"/>
        </w:rPr>
        <w:t>r. Komisja odrzuciła sprawozdanie, opierając się na tych samych podstawach faktycznych, co w swojej uchwale z dnia 18 lipca 2016</w:t>
      </w:r>
      <w:r w:rsidR="002E2692">
        <w:rPr>
          <w:lang w:val="pl"/>
        </w:rPr>
        <w:t> </w:t>
      </w:r>
      <w:r>
        <w:rPr>
          <w:lang w:val="pl"/>
        </w:rPr>
        <w:t xml:space="preserve">r. (zob. paragraf </w:t>
      </w:r>
      <w:r>
        <w:rPr>
          <w:lang w:val="pl"/>
        </w:rPr>
        <w:fldChar w:fldCharType="begin"/>
      </w:r>
      <w:r>
        <w:rPr>
          <w:lang w:val="pl"/>
        </w:rPr>
        <w:instrText xml:space="preserve"> REF rejection_committe_rep \h </w:instrText>
      </w:r>
      <w:r>
        <w:rPr>
          <w:lang w:val="pl"/>
        </w:rPr>
      </w:r>
      <w:r>
        <w:rPr>
          <w:lang w:val="pl"/>
        </w:rPr>
        <w:fldChar w:fldCharType="separate"/>
      </w:r>
      <w:r>
        <w:rPr>
          <w:noProof/>
          <w:lang w:val="pl"/>
        </w:rPr>
        <w:t>6</w:t>
      </w:r>
      <w:r>
        <w:rPr>
          <w:lang w:val="pl"/>
        </w:rPr>
        <w:fldChar w:fldCharType="end"/>
      </w:r>
      <w:r>
        <w:rPr>
          <w:lang w:val="pl"/>
        </w:rPr>
        <w:t xml:space="preserve"> powyżej), zgodnie z art.</w:t>
      </w:r>
      <w:r w:rsidR="002E2692">
        <w:rPr>
          <w:lang w:val="pl"/>
        </w:rPr>
        <w:t> </w:t>
      </w:r>
      <w:r>
        <w:rPr>
          <w:lang w:val="pl"/>
        </w:rPr>
        <w:t>38a ust.</w:t>
      </w:r>
      <w:r w:rsidR="002E2692">
        <w:rPr>
          <w:lang w:val="pl"/>
        </w:rPr>
        <w:t> </w:t>
      </w:r>
      <w:r>
        <w:rPr>
          <w:lang w:val="pl"/>
        </w:rPr>
        <w:t>1 ustawy o partiach politycznych. Komisja dodała, że nieprawidłowo przekazana kwota 1</w:t>
      </w:r>
      <w:r w:rsidR="007A160B">
        <w:rPr>
          <w:lang w:val="pl"/>
        </w:rPr>
        <w:t> </w:t>
      </w:r>
      <w:r>
        <w:rPr>
          <w:lang w:val="pl"/>
        </w:rPr>
        <w:t>971</w:t>
      </w:r>
      <w:r w:rsidR="007A160B">
        <w:rPr>
          <w:lang w:val="pl"/>
        </w:rPr>
        <w:t> </w:t>
      </w:r>
      <w:r>
        <w:rPr>
          <w:lang w:val="pl"/>
        </w:rPr>
        <w:t xml:space="preserve">500 PLN nie została zwrócona partii skarżącej przez Komitet. Partia skarżąca również nie </w:t>
      </w:r>
      <w:r w:rsidR="007A160B">
        <w:rPr>
          <w:lang w:val="pl"/>
        </w:rPr>
        <w:t xml:space="preserve">poczyniła </w:t>
      </w:r>
      <w:r>
        <w:rPr>
          <w:lang w:val="pl"/>
        </w:rPr>
        <w:t>żadnych kroków</w:t>
      </w:r>
      <w:r w:rsidR="007A160B">
        <w:rPr>
          <w:lang w:val="pl"/>
        </w:rPr>
        <w:t>, aby</w:t>
      </w:r>
      <w:r>
        <w:rPr>
          <w:lang w:val="pl"/>
        </w:rPr>
        <w:t xml:space="preserve"> odzyska</w:t>
      </w:r>
      <w:r w:rsidR="007A160B">
        <w:rPr>
          <w:lang w:val="pl"/>
        </w:rPr>
        <w:t>ć</w:t>
      </w:r>
      <w:r>
        <w:rPr>
          <w:lang w:val="pl"/>
        </w:rPr>
        <w:t xml:space="preserve"> kwot</w:t>
      </w:r>
      <w:r w:rsidR="007A160B">
        <w:rPr>
          <w:lang w:val="pl"/>
        </w:rPr>
        <w:t>ę</w:t>
      </w:r>
      <w:r>
        <w:rPr>
          <w:lang w:val="pl"/>
        </w:rPr>
        <w:t xml:space="preserve"> od Komitetu.</w:t>
      </w:r>
    </w:p>
    <w:bookmarkStart w:id="3" w:name="rejection_further_3_years"/>
    <w:p w14:paraId="05553836" w14:textId="1CC3E4E1" w:rsidR="007A56C9" w:rsidRPr="00571652" w:rsidRDefault="007A56C9" w:rsidP="001A750F">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15</w:t>
      </w:r>
      <w:r>
        <w:rPr>
          <w:lang w:val="pl"/>
        </w:rPr>
        <w:fldChar w:fldCharType="end"/>
      </w:r>
      <w:bookmarkEnd w:id="3"/>
      <w:r>
        <w:rPr>
          <w:lang w:val="pl"/>
        </w:rPr>
        <w:t>.  Partia skarżąca może złożyć skargę do Sądu Najwyższego na decyzję Komisji. Zgodnie z art.</w:t>
      </w:r>
      <w:r w:rsidR="00556EF6">
        <w:rPr>
          <w:lang w:val="pl"/>
        </w:rPr>
        <w:t> </w:t>
      </w:r>
      <w:r>
        <w:rPr>
          <w:lang w:val="pl"/>
        </w:rPr>
        <w:t>38d ustawy o partiach politycznych partia, której roczne sprawozdanie finansowe zostało odrzucone lub której skarga do Sądu Najwyższego została złożona i oddalona, jest pozbawiona subwencji państwowych (na podstawie wyników wyborów) w następnych trzech latach. Partia skarżąca nie wniosła skargi do Sądu Najwyższego po odrzuceniu jej rocznego sprawozdania finansowego za rok 2015.</w:t>
      </w:r>
    </w:p>
    <w:p w14:paraId="315A1289" w14:textId="77777777" w:rsidR="007A56C9" w:rsidRPr="001A750F" w:rsidRDefault="007A56C9" w:rsidP="001A750F">
      <w:pPr>
        <w:pStyle w:val="JuHA"/>
      </w:pPr>
      <w:r>
        <w:rPr>
          <w:lang w:val="pl"/>
        </w:rPr>
        <w:t>Skarga</w:t>
      </w:r>
    </w:p>
    <w:p w14:paraId="6785DDF8" w14:textId="22304F8D" w:rsidR="007A56C9" w:rsidRPr="00571652" w:rsidRDefault="00327357" w:rsidP="001A750F">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16</w:t>
      </w:r>
      <w:r>
        <w:rPr>
          <w:noProof/>
          <w:lang w:val="pl"/>
        </w:rPr>
        <w:fldChar w:fldCharType="end"/>
      </w:r>
      <w:r>
        <w:rPr>
          <w:lang w:val="pl"/>
        </w:rPr>
        <w:t>.  Partia skarżąca zarzuciła na podstawie art.</w:t>
      </w:r>
      <w:r w:rsidR="00556EF6">
        <w:rPr>
          <w:lang w:val="pl"/>
        </w:rPr>
        <w:t> </w:t>
      </w:r>
      <w:r>
        <w:rPr>
          <w:lang w:val="pl"/>
        </w:rPr>
        <w:t>11 Konwencji, że została pozbawiona finansowania ze strony państwa.</w:t>
      </w:r>
    </w:p>
    <w:p w14:paraId="15A168E2" w14:textId="246A0B28" w:rsidR="007A56C9" w:rsidRPr="001A750F" w:rsidRDefault="007A56C9" w:rsidP="001A750F">
      <w:pPr>
        <w:pStyle w:val="JuHHead"/>
      </w:pPr>
      <w:r>
        <w:rPr>
          <w:bCs w:val="0"/>
          <w:lang w:val="pl"/>
        </w:rPr>
        <w:t>OCENA TRYBUNAŁU</w:t>
      </w:r>
    </w:p>
    <w:p w14:paraId="6C416E41" w14:textId="0BF2AEE5" w:rsidR="007A56C9" w:rsidRPr="00571652" w:rsidRDefault="007A56C9" w:rsidP="001A750F">
      <w:pPr>
        <w:pStyle w:val="JuPara"/>
        <w:rPr>
          <w:lang w:val="pl-PL"/>
        </w:rPr>
      </w:pPr>
      <w:r>
        <w:rPr>
          <w:color w:val="000000"/>
          <w:lang w:val="pl"/>
        </w:rPr>
        <w:fldChar w:fldCharType="begin"/>
      </w:r>
      <w:r>
        <w:rPr>
          <w:rFonts w:asciiTheme="majorHAnsi" w:hAnsiTheme="majorHAnsi"/>
          <w:color w:val="000000"/>
          <w:lang w:val="pl"/>
        </w:rPr>
        <w:instrText xml:space="preserve"> SEQ level0 \*arabic \* MERGEFORMAT </w:instrText>
      </w:r>
      <w:r>
        <w:rPr>
          <w:color w:val="000000"/>
          <w:lang w:val="pl"/>
        </w:rPr>
        <w:fldChar w:fldCharType="separate"/>
      </w:r>
      <w:r>
        <w:rPr>
          <w:rFonts w:asciiTheme="majorHAnsi" w:hAnsiTheme="majorHAnsi"/>
          <w:noProof/>
          <w:color w:val="000000"/>
          <w:lang w:val="pl"/>
        </w:rPr>
        <w:t>17</w:t>
      </w:r>
      <w:r>
        <w:rPr>
          <w:color w:val="000000"/>
          <w:lang w:val="pl"/>
        </w:rPr>
        <w:fldChar w:fldCharType="end"/>
      </w:r>
      <w:r>
        <w:rPr>
          <w:rFonts w:asciiTheme="majorHAnsi" w:hAnsiTheme="majorHAnsi"/>
          <w:color w:val="000000"/>
          <w:lang w:val="pl"/>
        </w:rPr>
        <w:t xml:space="preserve">.  Rząd </w:t>
      </w:r>
      <w:r>
        <w:rPr>
          <w:lang w:val="pl"/>
        </w:rPr>
        <w:t xml:space="preserve">argumentował, że skargę należy oddalić jako stanowiącą nadużycie prawa do </w:t>
      </w:r>
      <w:r w:rsidR="00532E3B">
        <w:rPr>
          <w:lang w:val="pl"/>
        </w:rPr>
        <w:t>skargi indywidualnej</w:t>
      </w:r>
      <w:r>
        <w:rPr>
          <w:lang w:val="pl"/>
        </w:rPr>
        <w:t>, ponieważ skarżąc</w:t>
      </w:r>
      <w:r w:rsidR="00532E3B">
        <w:rPr>
          <w:lang w:val="pl"/>
        </w:rPr>
        <w:t>a</w:t>
      </w:r>
      <w:r>
        <w:rPr>
          <w:lang w:val="pl"/>
        </w:rPr>
        <w:t xml:space="preserve"> twierdził</w:t>
      </w:r>
      <w:r w:rsidR="00532E3B">
        <w:rPr>
          <w:lang w:val="pl"/>
        </w:rPr>
        <w:t>a</w:t>
      </w:r>
      <w:r>
        <w:rPr>
          <w:lang w:val="pl"/>
        </w:rPr>
        <w:t xml:space="preserve">, że przedmiot niniejszej sprawy stanowił kwestię </w:t>
      </w:r>
      <w:r w:rsidR="00532E3B">
        <w:rPr>
          <w:lang w:val="pl"/>
        </w:rPr>
        <w:t>rozpoznawaną</w:t>
      </w:r>
      <w:r>
        <w:rPr>
          <w:lang w:val="pl"/>
        </w:rPr>
        <w:t xml:space="preserve"> przez Sąd Najwyższy, który zwrócił się z pytaniami prawnymi do Trybunału Konstytucyjnego. Partia skarżąca przedłożyła dokumenty niezwiązane z</w:t>
      </w:r>
      <w:r w:rsidR="00901FF9">
        <w:rPr>
          <w:lang w:val="pl"/>
        </w:rPr>
        <w:t> postępowaniem, którego dotyczy skarga</w:t>
      </w:r>
      <w:r>
        <w:rPr>
          <w:lang w:val="pl"/>
        </w:rPr>
        <w:t>. W opinii Rządu stanowiło to sugestię, że partia skarżąca odwołała się od uchwały z dnia 3 października 2016</w:t>
      </w:r>
      <w:r w:rsidR="00901FF9">
        <w:rPr>
          <w:lang w:val="pl"/>
        </w:rPr>
        <w:t> </w:t>
      </w:r>
      <w:r>
        <w:rPr>
          <w:lang w:val="pl"/>
        </w:rPr>
        <w:t xml:space="preserve">r. do Sądu Najwyższego, podczas gdy w rzeczywistości takie odwołanie nie zostało złożone. W tym względzie Rząd </w:t>
      </w:r>
      <w:r>
        <w:rPr>
          <w:rFonts w:asciiTheme="majorHAnsi" w:hAnsiTheme="majorHAnsi"/>
          <w:color w:val="000000"/>
          <w:lang w:val="pl"/>
        </w:rPr>
        <w:t>stwierdził również, że partia skarżąca nie wyczerpała dostępnych krajowych środków odwoławczych.</w:t>
      </w:r>
    </w:p>
    <w:p w14:paraId="252FB0BF" w14:textId="719CD775" w:rsidR="007A56C9" w:rsidRPr="00571652" w:rsidRDefault="00327357" w:rsidP="001A750F">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18</w:t>
      </w:r>
      <w:r>
        <w:rPr>
          <w:noProof/>
          <w:lang w:val="pl"/>
        </w:rPr>
        <w:fldChar w:fldCharType="end"/>
      </w:r>
      <w:r>
        <w:rPr>
          <w:lang w:val="pl"/>
        </w:rPr>
        <w:t>.  Partia skarżąca stwierdziła, że poinformowała Trybunał o</w:t>
      </w:r>
      <w:r w:rsidR="00571652">
        <w:rPr>
          <w:lang w:val="pl"/>
        </w:rPr>
        <w:t> </w:t>
      </w:r>
      <w:r>
        <w:rPr>
          <w:lang w:val="pl"/>
        </w:rPr>
        <w:t>postępowaniu przed Sądem Najwyższym i Trybunałem Konstytucyjnym w</w:t>
      </w:r>
      <w:r w:rsidR="00571652">
        <w:rPr>
          <w:lang w:val="pl"/>
        </w:rPr>
        <w:t> </w:t>
      </w:r>
      <w:r>
        <w:rPr>
          <w:lang w:val="pl"/>
        </w:rPr>
        <w:t>celu przedstawienia kontekstu sprawy.</w:t>
      </w:r>
    </w:p>
    <w:p w14:paraId="319C500D" w14:textId="3863F290" w:rsidR="007A56C9" w:rsidRPr="00571652" w:rsidRDefault="00327357" w:rsidP="001A750F">
      <w:pPr>
        <w:pStyle w:val="JuPara"/>
        <w:rPr>
          <w:lang w:val="pl-PL"/>
        </w:rPr>
      </w:pPr>
      <w:r>
        <w:rPr>
          <w:noProof/>
          <w:lang w:val="pl"/>
        </w:rPr>
        <w:lastRenderedPageBreak/>
        <w:fldChar w:fldCharType="begin"/>
      </w:r>
      <w:r>
        <w:rPr>
          <w:noProof/>
          <w:lang w:val="pl"/>
        </w:rPr>
        <w:instrText xml:space="preserve"> SEQ level0 \*arabic \* MERGEFORMAT </w:instrText>
      </w:r>
      <w:r>
        <w:rPr>
          <w:noProof/>
          <w:lang w:val="pl"/>
        </w:rPr>
        <w:fldChar w:fldCharType="separate"/>
      </w:r>
      <w:r>
        <w:rPr>
          <w:noProof/>
          <w:lang w:val="pl"/>
        </w:rPr>
        <w:t>19</w:t>
      </w:r>
      <w:r>
        <w:rPr>
          <w:noProof/>
          <w:lang w:val="pl"/>
        </w:rPr>
        <w:fldChar w:fldCharType="end"/>
      </w:r>
      <w:r>
        <w:rPr>
          <w:lang w:val="pl"/>
        </w:rPr>
        <w:t>.  Trybunał zauważa, że w rzeczy samej partia skarżąca przedłożyła dokumenty nieistotne dla postępowania, którego dotyczy skarga, bez żadnych dalszych wyjaśnień, co mogło doprowadzić do wprowadzającej w błąd oceny niniejszej sprawy. Trybunał nie uważa jednak, aby orzekanie w przedmiocie wstępnych zastrzeżeń Rządu było konieczne, ponieważ uznaje, że skarga jest w każdym wypadku niedopuszczalna z przyczyn określonych poniżej.</w:t>
      </w:r>
    </w:p>
    <w:p w14:paraId="54B7D332" w14:textId="67D9378F" w:rsidR="007A56C9" w:rsidRPr="00571652" w:rsidRDefault="007A56C9" w:rsidP="001A750F">
      <w:pPr>
        <w:pStyle w:val="JuPara"/>
        <w:rPr>
          <w:rFonts w:asciiTheme="majorHAnsi" w:hAnsiTheme="majorHAnsi" w:cstheme="majorHAnsi"/>
          <w:color w:val="000000"/>
          <w:lang w:val="pl-PL"/>
        </w:rPr>
      </w:pPr>
      <w:r>
        <w:rPr>
          <w:rFonts w:asciiTheme="majorHAnsi" w:hAnsiTheme="majorHAnsi" w:cstheme="majorHAnsi"/>
          <w:color w:val="000000"/>
          <w:lang w:val="pl"/>
        </w:rPr>
        <w:fldChar w:fldCharType="begin"/>
      </w:r>
      <w:r>
        <w:rPr>
          <w:rFonts w:asciiTheme="majorHAnsi" w:hAnsiTheme="majorHAnsi" w:cstheme="majorHAnsi"/>
          <w:color w:val="000000"/>
          <w:lang w:val="pl"/>
        </w:rPr>
        <w:instrText xml:space="preserve"> SEQ level0 \*arabic \* MERGEFORMAT </w:instrText>
      </w:r>
      <w:r>
        <w:rPr>
          <w:rFonts w:asciiTheme="majorHAnsi" w:hAnsiTheme="majorHAnsi" w:cstheme="majorHAnsi"/>
          <w:color w:val="000000"/>
          <w:lang w:val="pl"/>
        </w:rPr>
        <w:fldChar w:fldCharType="separate"/>
      </w:r>
      <w:r>
        <w:rPr>
          <w:rFonts w:asciiTheme="majorHAnsi" w:hAnsiTheme="majorHAnsi" w:cstheme="majorHAnsi"/>
          <w:noProof/>
          <w:color w:val="000000"/>
          <w:lang w:val="pl"/>
        </w:rPr>
        <w:t>20</w:t>
      </w:r>
      <w:r>
        <w:rPr>
          <w:rFonts w:asciiTheme="majorHAnsi" w:hAnsiTheme="majorHAnsi" w:cstheme="majorHAnsi"/>
          <w:color w:val="000000"/>
          <w:lang w:val="pl"/>
        </w:rPr>
        <w:fldChar w:fldCharType="end"/>
      </w:r>
      <w:r>
        <w:rPr>
          <w:rFonts w:asciiTheme="majorHAnsi" w:hAnsiTheme="majorHAnsi" w:cstheme="majorHAnsi"/>
          <w:color w:val="000000"/>
          <w:lang w:val="pl"/>
        </w:rPr>
        <w:t>.  Trybunał wielokrotnie potwierdzał zasadniczą rolę, jaką w systemie demokratycznym odgrywają partie polityczne korzystające z wolności i praw zapisanych w art.</w:t>
      </w:r>
      <w:r w:rsidR="00B1369C">
        <w:rPr>
          <w:rFonts w:asciiTheme="majorHAnsi" w:hAnsiTheme="majorHAnsi" w:cstheme="majorHAnsi"/>
          <w:color w:val="000000"/>
          <w:lang w:val="pl"/>
        </w:rPr>
        <w:t> </w:t>
      </w:r>
      <w:r>
        <w:rPr>
          <w:rFonts w:asciiTheme="majorHAnsi" w:hAnsiTheme="majorHAnsi" w:cstheme="majorHAnsi"/>
          <w:color w:val="000000"/>
          <w:lang w:val="pl"/>
        </w:rPr>
        <w:t xml:space="preserve">11 Konwencji. Partie polityczne są formą stowarzyszenia niezbędną do prawidłowego funkcjonowania demokracji. Ze względu na rolę, jaką odgrywają partie polityczne, wszelkie środki podejmowane przeciwko nim wpływają zarówno na wolność stowarzyszania się, jak i w konsekwencji na demokrację w danym państwie (zob. </w:t>
      </w:r>
      <w:r>
        <w:rPr>
          <w:rFonts w:asciiTheme="majorHAnsi" w:hAnsiTheme="majorHAnsi" w:cstheme="majorHAnsi"/>
          <w:i/>
          <w:iCs/>
          <w:color w:val="000000"/>
          <w:lang w:val="pl"/>
        </w:rPr>
        <w:t>Refah Partisi (Partia Dobrobytu) i</w:t>
      </w:r>
      <w:r w:rsidR="00571652">
        <w:rPr>
          <w:rFonts w:asciiTheme="majorHAnsi" w:hAnsiTheme="majorHAnsi" w:cstheme="majorHAnsi"/>
          <w:i/>
          <w:iCs/>
          <w:color w:val="000000"/>
          <w:lang w:val="pl"/>
        </w:rPr>
        <w:t> </w:t>
      </w:r>
      <w:r>
        <w:rPr>
          <w:rFonts w:asciiTheme="majorHAnsi" w:hAnsiTheme="majorHAnsi" w:cstheme="majorHAnsi"/>
          <w:i/>
          <w:iCs/>
          <w:color w:val="000000"/>
          <w:lang w:val="pl"/>
        </w:rPr>
        <w:t>Inni przeciwko Turcji</w:t>
      </w:r>
      <w:r>
        <w:rPr>
          <w:rFonts w:asciiTheme="majorHAnsi" w:hAnsiTheme="majorHAnsi" w:cstheme="majorHAnsi"/>
          <w:color w:val="000000"/>
          <w:lang w:val="pl"/>
        </w:rPr>
        <w:t xml:space="preserve"> [WI], nr 41340/98 i 3 inne, § 87, ETPC 2003</w:t>
      </w:r>
      <w:r>
        <w:rPr>
          <w:rFonts w:asciiTheme="majorHAnsi" w:hAnsiTheme="majorHAnsi" w:cstheme="majorHAnsi"/>
          <w:color w:val="000000"/>
          <w:lang w:val="pl"/>
        </w:rPr>
        <w:noBreakHyphen/>
        <w:t>II</w:t>
      </w:r>
      <w:r w:rsidR="00B1369C">
        <w:rPr>
          <w:rFonts w:asciiTheme="majorHAnsi" w:hAnsiTheme="majorHAnsi" w:cstheme="majorHAnsi"/>
          <w:color w:val="000000"/>
          <w:lang w:val="pl"/>
        </w:rPr>
        <w:t>,</w:t>
      </w:r>
      <w:r>
        <w:rPr>
          <w:rFonts w:asciiTheme="majorHAnsi" w:hAnsiTheme="majorHAnsi" w:cstheme="majorHAnsi"/>
          <w:color w:val="000000"/>
          <w:lang w:val="pl"/>
        </w:rPr>
        <w:t xml:space="preserve"> oraz </w:t>
      </w:r>
      <w:r>
        <w:rPr>
          <w:rFonts w:asciiTheme="majorHAnsi" w:hAnsiTheme="majorHAnsi" w:cstheme="majorHAnsi"/>
          <w:i/>
          <w:iCs/>
          <w:color w:val="000000"/>
          <w:lang w:val="pl"/>
        </w:rPr>
        <w:t>Republikańska Partia Rosji przeciwko Rosji</w:t>
      </w:r>
      <w:r>
        <w:rPr>
          <w:rFonts w:asciiTheme="majorHAnsi" w:hAnsiTheme="majorHAnsi" w:cstheme="majorHAnsi"/>
          <w:color w:val="000000"/>
          <w:lang w:val="pl"/>
        </w:rPr>
        <w:t>, nr 12976/07, § 78, 12 kwietnia 2011</w:t>
      </w:r>
      <w:r w:rsidR="00B1369C">
        <w:rPr>
          <w:rFonts w:asciiTheme="majorHAnsi" w:hAnsiTheme="majorHAnsi" w:cstheme="majorHAnsi"/>
          <w:color w:val="000000"/>
          <w:lang w:val="pl"/>
        </w:rPr>
        <w:t> </w:t>
      </w:r>
      <w:r>
        <w:rPr>
          <w:rFonts w:asciiTheme="majorHAnsi" w:hAnsiTheme="majorHAnsi" w:cstheme="majorHAnsi"/>
          <w:color w:val="000000"/>
          <w:lang w:val="pl"/>
        </w:rPr>
        <w:t>r.). Trybunał zbada zatem, czy odrzucenie sprawozdania finansowego partii skarżącej stanowiło ingerencję w jej prawo do wolności stowarzyszania się, a jeśli tak, to czy ingerencja ta była uzasadniona.</w:t>
      </w:r>
    </w:p>
    <w:p w14:paraId="2B2E0227" w14:textId="55E10830" w:rsidR="007A56C9" w:rsidRPr="00571652" w:rsidRDefault="00327357" w:rsidP="001A750F">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21</w:t>
      </w:r>
      <w:r>
        <w:rPr>
          <w:noProof/>
          <w:lang w:val="pl"/>
        </w:rPr>
        <w:fldChar w:fldCharType="end"/>
      </w:r>
      <w:r>
        <w:rPr>
          <w:lang w:val="pl"/>
        </w:rPr>
        <w:t>.  W wyniku odrzucenia sprawozdania finansowego Komitetu partia skarżąca musiała zwrócić 1</w:t>
      </w:r>
      <w:r w:rsidR="00B1369C">
        <w:rPr>
          <w:lang w:val="pl"/>
        </w:rPr>
        <w:t> </w:t>
      </w:r>
      <w:r>
        <w:rPr>
          <w:lang w:val="pl"/>
        </w:rPr>
        <w:t>971</w:t>
      </w:r>
      <w:r w:rsidR="00B1369C">
        <w:rPr>
          <w:lang w:val="pl"/>
        </w:rPr>
        <w:t> </w:t>
      </w:r>
      <w:r>
        <w:rPr>
          <w:lang w:val="pl"/>
        </w:rPr>
        <w:t xml:space="preserve">500 PLN na rzecz Skarbu Państwa. Ponadto jej roczne finansowanie ze środków publicznych zostało zmniejszone o 75%, a ostatecznie została pozbawiona finansowania publicznego na kolejne trzy lata (zob. paragraf </w:t>
      </w:r>
      <w:r>
        <w:rPr>
          <w:lang w:val="pl"/>
        </w:rPr>
        <w:fldChar w:fldCharType="begin"/>
      </w:r>
      <w:r>
        <w:rPr>
          <w:lang w:val="pl"/>
        </w:rPr>
        <w:instrText xml:space="preserve"> REF rejection_further_3_years \h  \* MERGEFORMAT </w:instrText>
      </w:r>
      <w:r>
        <w:rPr>
          <w:lang w:val="pl"/>
        </w:rPr>
      </w:r>
      <w:r>
        <w:rPr>
          <w:lang w:val="pl"/>
        </w:rPr>
        <w:fldChar w:fldCharType="separate"/>
      </w:r>
      <w:r>
        <w:rPr>
          <w:noProof/>
          <w:lang w:val="pl"/>
        </w:rPr>
        <w:t>15</w:t>
      </w:r>
      <w:r>
        <w:rPr>
          <w:lang w:val="pl"/>
        </w:rPr>
        <w:fldChar w:fldCharType="end"/>
      </w:r>
      <w:r>
        <w:rPr>
          <w:lang w:val="pl"/>
        </w:rPr>
        <w:t xml:space="preserve"> powyżej). Te konsekwencje finansowe musiały w</w:t>
      </w:r>
      <w:r w:rsidR="00571652">
        <w:rPr>
          <w:lang w:val="pl"/>
        </w:rPr>
        <w:t> </w:t>
      </w:r>
      <w:r>
        <w:rPr>
          <w:lang w:val="pl"/>
        </w:rPr>
        <w:t>sposób nieuchronny pozbawić ją środków na prowadzenie niektórych działań politycznych. W związku z tym przedmiotowe sankcje stanowiły ingerencję w działalność polityczną partii skarżącej, a tym samym w jej wolność stowarzyszania się na podstawie art.</w:t>
      </w:r>
      <w:r w:rsidR="00B1369C">
        <w:rPr>
          <w:lang w:val="pl"/>
        </w:rPr>
        <w:t> </w:t>
      </w:r>
      <w:r>
        <w:rPr>
          <w:lang w:val="pl"/>
        </w:rPr>
        <w:t xml:space="preserve">11 Konwencji (zob. </w:t>
      </w:r>
      <w:r>
        <w:rPr>
          <w:i/>
          <w:iCs/>
          <w:lang w:val="pl"/>
        </w:rPr>
        <w:t>Cumhuriyet Halk Partisi przeciwko Turcji</w:t>
      </w:r>
      <w:r>
        <w:rPr>
          <w:lang w:val="pl"/>
        </w:rPr>
        <w:t>, nr 19920/13, §</w:t>
      </w:r>
      <w:r w:rsidR="00B1369C">
        <w:rPr>
          <w:lang w:val="pl"/>
        </w:rPr>
        <w:t> </w:t>
      </w:r>
      <w:r>
        <w:rPr>
          <w:lang w:val="pl"/>
        </w:rPr>
        <w:t>72, 26 kwietnia 2016</w:t>
      </w:r>
      <w:r w:rsidR="00B1369C">
        <w:rPr>
          <w:lang w:val="pl"/>
        </w:rPr>
        <w:t> </w:t>
      </w:r>
      <w:r>
        <w:rPr>
          <w:lang w:val="pl"/>
        </w:rPr>
        <w:t>r.).</w:t>
      </w:r>
    </w:p>
    <w:p w14:paraId="1F15559B" w14:textId="49A16950" w:rsidR="007A56C9" w:rsidRPr="00571652" w:rsidRDefault="00327357" w:rsidP="001A750F">
      <w:pPr>
        <w:pStyle w:val="JuPara"/>
        <w:rPr>
          <w:lang w:val="fr-FR"/>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22</w:t>
      </w:r>
      <w:r>
        <w:rPr>
          <w:noProof/>
          <w:lang w:val="pl"/>
        </w:rPr>
        <w:fldChar w:fldCharType="end"/>
      </w:r>
      <w:r>
        <w:rPr>
          <w:lang w:val="pl"/>
        </w:rPr>
        <w:t>.  Taka ingerencja będzie stanowić naruszenie art.</w:t>
      </w:r>
      <w:r w:rsidR="00B1369C">
        <w:rPr>
          <w:lang w:val="pl"/>
        </w:rPr>
        <w:t> </w:t>
      </w:r>
      <w:r>
        <w:rPr>
          <w:lang w:val="pl"/>
        </w:rPr>
        <w:t>11, chyba że była „</w:t>
      </w:r>
      <w:r w:rsidR="00B1369C">
        <w:rPr>
          <w:lang w:val="pl"/>
        </w:rPr>
        <w:t xml:space="preserve">określona </w:t>
      </w:r>
      <w:r>
        <w:rPr>
          <w:lang w:val="pl"/>
        </w:rPr>
        <w:t>przez ustawę”, służyła jednemu lub większej liczbie uprawnionych celów</w:t>
      </w:r>
      <w:r w:rsidR="00B1369C">
        <w:rPr>
          <w:lang w:val="pl"/>
        </w:rPr>
        <w:t>,</w:t>
      </w:r>
      <w:r>
        <w:rPr>
          <w:lang w:val="pl"/>
        </w:rPr>
        <w:t xml:space="preserve"> zgodnie z ust.</w:t>
      </w:r>
      <w:r w:rsidR="00B1369C">
        <w:rPr>
          <w:lang w:val="pl"/>
        </w:rPr>
        <w:t> </w:t>
      </w:r>
      <w:r>
        <w:rPr>
          <w:lang w:val="pl"/>
        </w:rPr>
        <w:t>2</w:t>
      </w:r>
      <w:r w:rsidR="00B1369C">
        <w:rPr>
          <w:lang w:val="pl"/>
        </w:rPr>
        <w:t>,</w:t>
      </w:r>
      <w:r>
        <w:rPr>
          <w:lang w:val="pl"/>
        </w:rPr>
        <w:t xml:space="preserve"> i była „</w:t>
      </w:r>
      <w:r w:rsidR="00B1369C">
        <w:rPr>
          <w:lang w:val="pl"/>
        </w:rPr>
        <w:t xml:space="preserve">konieczna </w:t>
      </w:r>
      <w:r>
        <w:rPr>
          <w:lang w:val="pl"/>
        </w:rPr>
        <w:t xml:space="preserve">w społeczeństwie demokratycznym” dla osiągnięcia tych celów (zob. </w:t>
      </w:r>
      <w:r w:rsidRPr="00571652">
        <w:rPr>
          <w:i/>
          <w:iCs/>
          <w:lang w:val="fr-FR"/>
        </w:rPr>
        <w:t xml:space="preserve">Parti nationaliste basque </w:t>
      </w:r>
      <w:r w:rsidR="00B1369C" w:rsidRPr="001A750F">
        <w:rPr>
          <w:i/>
          <w:iCs/>
        </w:rPr>
        <w:t>–</w:t>
      </w:r>
      <w:r w:rsidRPr="00571652">
        <w:rPr>
          <w:i/>
          <w:iCs/>
          <w:lang w:val="fr-FR"/>
        </w:rPr>
        <w:t xml:space="preserve"> Organisation régionale d'Iparralde przeciwko Francji</w:t>
      </w:r>
      <w:r w:rsidRPr="00571652">
        <w:rPr>
          <w:lang w:val="fr-FR"/>
        </w:rPr>
        <w:t>, nr 71251/01, §</w:t>
      </w:r>
      <w:r w:rsidR="008A71BC">
        <w:rPr>
          <w:lang w:val="fr-FR"/>
        </w:rPr>
        <w:t> </w:t>
      </w:r>
      <w:r w:rsidRPr="00571652">
        <w:rPr>
          <w:lang w:val="fr-FR"/>
        </w:rPr>
        <w:t>39, ETPC 2007-II).</w:t>
      </w:r>
    </w:p>
    <w:p w14:paraId="1081E112" w14:textId="485E002A" w:rsidR="007A56C9" w:rsidRPr="00571652" w:rsidRDefault="007A56C9" w:rsidP="001A750F">
      <w:pPr>
        <w:pStyle w:val="JuPara"/>
        <w:rPr>
          <w:rFonts w:asciiTheme="majorHAnsi" w:hAnsiTheme="majorHAnsi" w:cstheme="majorHAnsi"/>
          <w:color w:val="000000"/>
          <w:lang w:val="pl-PL"/>
        </w:rPr>
      </w:pPr>
      <w:r>
        <w:rPr>
          <w:rFonts w:asciiTheme="majorHAnsi" w:hAnsiTheme="majorHAnsi" w:cstheme="majorHAnsi"/>
          <w:color w:val="000000"/>
          <w:lang w:val="pl"/>
        </w:rPr>
        <w:fldChar w:fldCharType="begin"/>
      </w:r>
      <w:r>
        <w:rPr>
          <w:rFonts w:asciiTheme="majorHAnsi" w:hAnsiTheme="majorHAnsi" w:cstheme="majorHAnsi"/>
          <w:color w:val="000000"/>
          <w:lang w:val="pl"/>
        </w:rPr>
        <w:instrText xml:space="preserve"> SEQ level0 \*arabic \* MERGEFORMAT </w:instrText>
      </w:r>
      <w:r>
        <w:rPr>
          <w:rFonts w:asciiTheme="majorHAnsi" w:hAnsiTheme="majorHAnsi" w:cstheme="majorHAnsi"/>
          <w:color w:val="000000"/>
          <w:lang w:val="pl"/>
        </w:rPr>
        <w:fldChar w:fldCharType="separate"/>
      </w:r>
      <w:r>
        <w:rPr>
          <w:rFonts w:asciiTheme="majorHAnsi" w:hAnsiTheme="majorHAnsi" w:cstheme="majorHAnsi"/>
          <w:noProof/>
          <w:color w:val="000000"/>
          <w:lang w:val="pl"/>
        </w:rPr>
        <w:t>23</w:t>
      </w:r>
      <w:r>
        <w:rPr>
          <w:rFonts w:asciiTheme="majorHAnsi" w:hAnsiTheme="majorHAnsi" w:cstheme="majorHAnsi"/>
          <w:color w:val="000000"/>
          <w:lang w:val="pl"/>
        </w:rPr>
        <w:fldChar w:fldCharType="end"/>
      </w:r>
      <w:r>
        <w:rPr>
          <w:rFonts w:asciiTheme="majorHAnsi" w:hAnsiTheme="majorHAnsi" w:cstheme="majorHAnsi"/>
          <w:color w:val="000000"/>
          <w:lang w:val="pl"/>
        </w:rPr>
        <w:t>.  Ingerencja ta miała podstawę w prawie krajowym, mianowicie w</w:t>
      </w:r>
      <w:r w:rsidR="00571652">
        <w:rPr>
          <w:rFonts w:asciiTheme="majorHAnsi" w:hAnsiTheme="majorHAnsi" w:cstheme="majorHAnsi"/>
          <w:color w:val="000000"/>
          <w:lang w:val="pl"/>
        </w:rPr>
        <w:t> </w:t>
      </w:r>
      <w:r>
        <w:rPr>
          <w:rFonts w:asciiTheme="majorHAnsi" w:hAnsiTheme="majorHAnsi" w:cstheme="majorHAnsi"/>
          <w:color w:val="000000"/>
          <w:lang w:val="pl"/>
        </w:rPr>
        <w:t xml:space="preserve">odpowiednich przepisach Kodeksu </w:t>
      </w:r>
      <w:r w:rsidR="00532E3B">
        <w:rPr>
          <w:rFonts w:asciiTheme="majorHAnsi" w:hAnsiTheme="majorHAnsi" w:cstheme="majorHAnsi"/>
          <w:color w:val="000000"/>
          <w:lang w:val="pl"/>
        </w:rPr>
        <w:t>W</w:t>
      </w:r>
      <w:r>
        <w:rPr>
          <w:rFonts w:asciiTheme="majorHAnsi" w:hAnsiTheme="majorHAnsi" w:cstheme="majorHAnsi"/>
          <w:color w:val="000000"/>
          <w:lang w:val="pl"/>
        </w:rPr>
        <w:t xml:space="preserve">yborczego i ustawy o partiach politycznych, i służyła uprawnionemu celowi, tj. zapewnieniu równego traktowania wszystkich partii politycznych i ochronie środków publicznych. Pozostaje do ustalenia, czy </w:t>
      </w:r>
      <w:r w:rsidR="00532E3B">
        <w:rPr>
          <w:rFonts w:asciiTheme="majorHAnsi" w:hAnsiTheme="majorHAnsi" w:cstheme="majorHAnsi"/>
          <w:color w:val="000000"/>
          <w:lang w:val="pl"/>
        </w:rPr>
        <w:t>ingerencja była proporcjonalna</w:t>
      </w:r>
      <w:r>
        <w:rPr>
          <w:rFonts w:asciiTheme="majorHAnsi" w:hAnsiTheme="majorHAnsi" w:cstheme="majorHAnsi"/>
          <w:color w:val="000000"/>
          <w:lang w:val="pl"/>
        </w:rPr>
        <w:t xml:space="preserve"> do zamierzonego uprawnionego celu.</w:t>
      </w:r>
    </w:p>
    <w:p w14:paraId="61A42722" w14:textId="7FFDBC81" w:rsidR="007A56C9" w:rsidRPr="00571652" w:rsidRDefault="007A56C9" w:rsidP="001A750F">
      <w:pPr>
        <w:pStyle w:val="JuPara"/>
        <w:rPr>
          <w:rFonts w:asciiTheme="majorHAnsi" w:hAnsiTheme="majorHAnsi" w:cstheme="majorHAnsi"/>
          <w:color w:val="000000"/>
          <w:lang w:val="pl-PL"/>
        </w:rPr>
      </w:pPr>
      <w:r>
        <w:rPr>
          <w:rFonts w:asciiTheme="majorHAnsi" w:hAnsiTheme="majorHAnsi" w:cstheme="majorHAnsi"/>
          <w:color w:val="000000"/>
          <w:lang w:val="pl"/>
        </w:rPr>
        <w:fldChar w:fldCharType="begin"/>
      </w:r>
      <w:r>
        <w:rPr>
          <w:rFonts w:asciiTheme="majorHAnsi" w:hAnsiTheme="majorHAnsi" w:cstheme="majorHAnsi"/>
          <w:color w:val="000000"/>
          <w:lang w:val="pl"/>
        </w:rPr>
        <w:instrText xml:space="preserve"> SEQ level0 \*arabic \* MERGEFORMAT </w:instrText>
      </w:r>
      <w:r>
        <w:rPr>
          <w:rFonts w:asciiTheme="majorHAnsi" w:hAnsiTheme="majorHAnsi" w:cstheme="majorHAnsi"/>
          <w:color w:val="000000"/>
          <w:lang w:val="pl"/>
        </w:rPr>
        <w:fldChar w:fldCharType="separate"/>
      </w:r>
      <w:r>
        <w:rPr>
          <w:rFonts w:asciiTheme="majorHAnsi" w:hAnsiTheme="majorHAnsi" w:cstheme="majorHAnsi"/>
          <w:noProof/>
          <w:color w:val="000000"/>
          <w:lang w:val="pl"/>
        </w:rPr>
        <w:t>24</w:t>
      </w:r>
      <w:r>
        <w:rPr>
          <w:rFonts w:asciiTheme="majorHAnsi" w:hAnsiTheme="majorHAnsi" w:cstheme="majorHAnsi"/>
          <w:color w:val="000000"/>
          <w:lang w:val="pl"/>
        </w:rPr>
        <w:fldChar w:fldCharType="end"/>
      </w:r>
      <w:r>
        <w:rPr>
          <w:rFonts w:asciiTheme="majorHAnsi" w:hAnsiTheme="majorHAnsi" w:cstheme="majorHAnsi"/>
          <w:color w:val="000000"/>
          <w:lang w:val="pl"/>
        </w:rPr>
        <w:t>.  Partia skarżąca twierdziła, że przedmiotowy przelew wykonano przez pomyłkę, a odrzucenie sprawozdania finansowego stanowiło</w:t>
      </w:r>
      <w:r w:rsidR="00532E3B">
        <w:rPr>
          <w:rFonts w:asciiTheme="majorHAnsi" w:hAnsiTheme="majorHAnsi" w:cstheme="majorHAnsi"/>
          <w:color w:val="000000"/>
          <w:lang w:val="pl"/>
        </w:rPr>
        <w:t xml:space="preserve"> </w:t>
      </w:r>
      <w:r>
        <w:rPr>
          <w:rFonts w:asciiTheme="majorHAnsi" w:hAnsiTheme="majorHAnsi" w:cstheme="majorHAnsi"/>
          <w:color w:val="000000"/>
          <w:lang w:val="pl"/>
        </w:rPr>
        <w:t>nieproporcjonalną reakcję władz krajowych.</w:t>
      </w:r>
    </w:p>
    <w:p w14:paraId="717E3B02" w14:textId="29B8292A" w:rsidR="007A56C9" w:rsidRPr="00571652" w:rsidRDefault="007A56C9" w:rsidP="001A750F">
      <w:pPr>
        <w:pStyle w:val="JuPara"/>
        <w:rPr>
          <w:lang w:val="pl-PL"/>
        </w:rPr>
      </w:pPr>
      <w:r>
        <w:rPr>
          <w:color w:val="000000"/>
          <w:lang w:val="pl"/>
        </w:rPr>
        <w:lastRenderedPageBreak/>
        <w:fldChar w:fldCharType="begin"/>
      </w:r>
      <w:r>
        <w:rPr>
          <w:rFonts w:asciiTheme="majorHAnsi" w:hAnsiTheme="majorHAnsi"/>
          <w:color w:val="000000"/>
          <w:lang w:val="pl"/>
        </w:rPr>
        <w:instrText xml:space="preserve"> SEQ level0 \*arabic \* MERGEFORMAT </w:instrText>
      </w:r>
      <w:r>
        <w:rPr>
          <w:color w:val="000000"/>
          <w:lang w:val="pl"/>
        </w:rPr>
        <w:fldChar w:fldCharType="separate"/>
      </w:r>
      <w:r>
        <w:rPr>
          <w:rFonts w:asciiTheme="majorHAnsi" w:hAnsiTheme="majorHAnsi"/>
          <w:noProof/>
          <w:color w:val="000000"/>
          <w:lang w:val="pl"/>
        </w:rPr>
        <w:t>25</w:t>
      </w:r>
      <w:r>
        <w:rPr>
          <w:color w:val="000000"/>
          <w:lang w:val="pl"/>
        </w:rPr>
        <w:fldChar w:fldCharType="end"/>
      </w:r>
      <w:r>
        <w:rPr>
          <w:rFonts w:asciiTheme="majorHAnsi" w:hAnsiTheme="majorHAnsi"/>
          <w:color w:val="000000"/>
          <w:lang w:val="pl"/>
        </w:rPr>
        <w:t>.  W podobnej sprawie dotyczącej finansowania partii politycznej ze środków publicznych Trybunał stwierdził naruszenie art.</w:t>
      </w:r>
      <w:r w:rsidR="008A71BC">
        <w:rPr>
          <w:rFonts w:asciiTheme="majorHAnsi" w:hAnsiTheme="majorHAnsi"/>
          <w:color w:val="000000"/>
          <w:lang w:val="pl"/>
        </w:rPr>
        <w:t> </w:t>
      </w:r>
      <w:r>
        <w:rPr>
          <w:rFonts w:asciiTheme="majorHAnsi" w:hAnsiTheme="majorHAnsi"/>
          <w:color w:val="000000"/>
          <w:lang w:val="pl"/>
        </w:rPr>
        <w:t xml:space="preserve">11 Konwencji ze względu na jakość odpowiednich przepisów krajowych oraz niezdolność partii do przewidzenia, czy i kiedy niezgodne z prawem wydatki zostaną </w:t>
      </w:r>
      <w:r w:rsidR="00B047CA">
        <w:rPr>
          <w:rFonts w:asciiTheme="majorHAnsi" w:hAnsiTheme="majorHAnsi"/>
          <w:color w:val="000000"/>
          <w:lang w:val="pl"/>
        </w:rPr>
        <w:t>osankcjonowane</w:t>
      </w:r>
      <w:r>
        <w:rPr>
          <w:rFonts w:asciiTheme="majorHAnsi" w:hAnsiTheme="majorHAnsi"/>
          <w:color w:val="000000"/>
          <w:lang w:val="pl"/>
        </w:rPr>
        <w:t xml:space="preserve"> ostrzeżeniem lub nakazem konfiskaty (zob. </w:t>
      </w:r>
      <w:r>
        <w:rPr>
          <w:rFonts w:asciiTheme="majorHAnsi" w:hAnsiTheme="majorHAnsi"/>
          <w:i/>
          <w:iCs/>
          <w:color w:val="000000"/>
          <w:lang w:val="pl"/>
        </w:rPr>
        <w:t>Cumhuriyet Halk Partisi</w:t>
      </w:r>
      <w:r>
        <w:rPr>
          <w:rFonts w:asciiTheme="majorHAnsi" w:hAnsiTheme="majorHAnsi"/>
          <w:color w:val="000000"/>
          <w:lang w:val="pl"/>
        </w:rPr>
        <w:t xml:space="preserve">, </w:t>
      </w:r>
      <w:r>
        <w:rPr>
          <w:rFonts w:asciiTheme="majorHAnsi" w:hAnsiTheme="majorHAnsi"/>
          <w:i/>
          <w:iCs/>
          <w:color w:val="000000"/>
          <w:lang w:val="pl"/>
        </w:rPr>
        <w:t>op.</w:t>
      </w:r>
      <w:r w:rsidR="005E69E2">
        <w:rPr>
          <w:rFonts w:asciiTheme="majorHAnsi" w:hAnsiTheme="majorHAnsi"/>
          <w:i/>
          <w:iCs/>
          <w:color w:val="000000"/>
          <w:lang w:val="pl"/>
        </w:rPr>
        <w:t xml:space="preserve"> </w:t>
      </w:r>
      <w:r>
        <w:rPr>
          <w:rFonts w:asciiTheme="majorHAnsi" w:hAnsiTheme="majorHAnsi"/>
          <w:i/>
          <w:iCs/>
          <w:color w:val="000000"/>
          <w:lang w:val="pl"/>
        </w:rPr>
        <w:t>cit.</w:t>
      </w:r>
      <w:r>
        <w:rPr>
          <w:rFonts w:asciiTheme="majorHAnsi" w:hAnsiTheme="majorHAnsi"/>
          <w:color w:val="000000"/>
          <w:lang w:val="pl"/>
        </w:rPr>
        <w:t>, §</w:t>
      </w:r>
      <w:r w:rsidR="008A71BC">
        <w:rPr>
          <w:rFonts w:asciiTheme="majorHAnsi" w:hAnsiTheme="majorHAnsi"/>
          <w:color w:val="000000"/>
          <w:lang w:val="pl"/>
        </w:rPr>
        <w:t> </w:t>
      </w:r>
      <w:r>
        <w:rPr>
          <w:rFonts w:asciiTheme="majorHAnsi" w:hAnsiTheme="majorHAnsi"/>
          <w:color w:val="000000"/>
          <w:lang w:val="pl"/>
        </w:rPr>
        <w:t>105).</w:t>
      </w:r>
      <w:r>
        <w:rPr>
          <w:rFonts w:ascii="Arial" w:hAnsi="Arial"/>
          <w:color w:val="000000"/>
          <w:lang w:val="pl"/>
        </w:rPr>
        <w:t xml:space="preserve"> </w:t>
      </w:r>
      <w:r>
        <w:rPr>
          <w:rFonts w:asciiTheme="majorHAnsi" w:hAnsiTheme="majorHAnsi"/>
          <w:color w:val="000000"/>
          <w:lang w:val="pl"/>
        </w:rPr>
        <w:t xml:space="preserve">W niniejszej sprawie </w:t>
      </w:r>
      <w:r>
        <w:rPr>
          <w:lang w:val="pl"/>
        </w:rPr>
        <w:t xml:space="preserve">partia skarżąca nie zarzucała jednak, że przepisy krajowe były nieprecyzyjne lub niejednoznaczne. Twierdziła natomiast, że władze przyjęły zbyt rygorystyczne podejście i nie </w:t>
      </w:r>
      <w:r>
        <w:rPr>
          <w:rFonts w:asciiTheme="majorHAnsi" w:hAnsiTheme="majorHAnsi"/>
          <w:color w:val="000000"/>
          <w:lang w:val="pl"/>
        </w:rPr>
        <w:t>zastosowały konstytucyjnej zasady proporcjonalności przy ocenie jej sprawy</w:t>
      </w:r>
      <w:r>
        <w:rPr>
          <w:lang w:val="pl"/>
        </w:rPr>
        <w:t>.</w:t>
      </w:r>
    </w:p>
    <w:p w14:paraId="12AABF01" w14:textId="7F0ED087" w:rsidR="007A56C9" w:rsidRPr="00571652" w:rsidRDefault="00327357" w:rsidP="001A750F">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26</w:t>
      </w:r>
      <w:r>
        <w:rPr>
          <w:noProof/>
          <w:lang w:val="pl"/>
        </w:rPr>
        <w:fldChar w:fldCharType="end"/>
      </w:r>
      <w:r>
        <w:rPr>
          <w:lang w:val="pl"/>
        </w:rPr>
        <w:t>.  Trybunał zauważył, że Sąd Najwyższy w swoim dobrze uzasadnionym orzeczeniu z dnia 22 września 2016</w:t>
      </w:r>
      <w:r w:rsidR="00026A0A">
        <w:rPr>
          <w:lang w:val="pl"/>
        </w:rPr>
        <w:t> </w:t>
      </w:r>
      <w:r>
        <w:rPr>
          <w:lang w:val="pl"/>
        </w:rPr>
        <w:t>r. przeanalizował argumenty partii skarżącej i uznał, że odpowiednie przepisy były rzeczywiście wystarczająco precyzyjne i nie pozostawiały miejsca na interpretację, która mogłaby pozwolić Komisji na zaakceptowanie sprawozdania finansowego skarżącego. Precyzja ta służyła zapewnieniu równego traktowania wszystkich partii politycznych w podobnych okolicznościach i zapewnieniu gwarancji spójnego podejścia sądów. Istotnie, jasne i precyzyjne zasady finansowania partii politycznych ze środków publicznych miały na celu zapewnienie przejrzystości finansowania partii i</w:t>
      </w:r>
      <w:r w:rsidR="00571652">
        <w:rPr>
          <w:lang w:val="pl"/>
        </w:rPr>
        <w:t> </w:t>
      </w:r>
      <w:r>
        <w:rPr>
          <w:lang w:val="pl"/>
        </w:rPr>
        <w:t xml:space="preserve">uczciwej konkurencji (zob. paragraf </w:t>
      </w:r>
      <w:r>
        <w:rPr>
          <w:lang w:val="pl"/>
        </w:rPr>
        <w:fldChar w:fldCharType="begin"/>
      </w:r>
      <w:r>
        <w:rPr>
          <w:lang w:val="pl"/>
        </w:rPr>
        <w:instrText xml:space="preserve"> REF supreme_court_clear_provisions \h </w:instrText>
      </w:r>
      <w:r>
        <w:rPr>
          <w:lang w:val="pl"/>
        </w:rPr>
      </w:r>
      <w:r>
        <w:rPr>
          <w:lang w:val="pl"/>
        </w:rPr>
        <w:fldChar w:fldCharType="separate"/>
      </w:r>
      <w:r>
        <w:rPr>
          <w:noProof/>
          <w:lang w:val="pl"/>
        </w:rPr>
        <w:t>9</w:t>
      </w:r>
      <w:r>
        <w:rPr>
          <w:lang w:val="pl"/>
        </w:rPr>
        <w:fldChar w:fldCharType="end"/>
      </w:r>
      <w:r>
        <w:rPr>
          <w:lang w:val="pl"/>
        </w:rPr>
        <w:t xml:space="preserve"> powyżej).</w:t>
      </w:r>
    </w:p>
    <w:p w14:paraId="2CA4AA0A" w14:textId="7394A8B3" w:rsidR="007A56C9" w:rsidRPr="00571652" w:rsidRDefault="00327357" w:rsidP="001A750F">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27</w:t>
      </w:r>
      <w:r>
        <w:rPr>
          <w:noProof/>
          <w:lang w:val="pl"/>
        </w:rPr>
        <w:fldChar w:fldCharType="end"/>
      </w:r>
      <w:r>
        <w:rPr>
          <w:lang w:val="pl"/>
        </w:rPr>
        <w:t xml:space="preserve">.  Sąd Najwyższy uznał również, że zasada proporcjonalności została zachowana; nieprawidłowości w sprawozdaniu finansowym spowodowały jedynie częściowe zmniejszenie środków publicznych otrzymanych przez partię, które było proporcjonalne do kwoty przekazanej z naruszeniem odpowiednich przepisów. Od partii skarżącej wymagano jedynie znajomości odpowiedniego przepisu, który był wystarczająco jasny, oraz stosowania go w praktyce lub niezwłocznego naprawienia błędu po jego wykryciu (zob. paragraf </w:t>
      </w:r>
      <w:r>
        <w:rPr>
          <w:lang w:val="pl"/>
        </w:rPr>
        <w:fldChar w:fldCharType="begin"/>
      </w:r>
      <w:r>
        <w:rPr>
          <w:lang w:val="pl"/>
        </w:rPr>
        <w:instrText xml:space="preserve"> REF supreme_court_proportionality \h </w:instrText>
      </w:r>
      <w:r>
        <w:rPr>
          <w:lang w:val="pl"/>
        </w:rPr>
      </w:r>
      <w:r>
        <w:rPr>
          <w:lang w:val="pl"/>
        </w:rPr>
        <w:fldChar w:fldCharType="separate"/>
      </w:r>
      <w:r>
        <w:rPr>
          <w:noProof/>
          <w:lang w:val="pl"/>
        </w:rPr>
        <w:t>11</w:t>
      </w:r>
      <w:r>
        <w:rPr>
          <w:lang w:val="pl"/>
        </w:rPr>
        <w:fldChar w:fldCharType="end"/>
      </w:r>
      <w:r>
        <w:rPr>
          <w:lang w:val="pl"/>
        </w:rPr>
        <w:t> powyżej).</w:t>
      </w:r>
    </w:p>
    <w:p w14:paraId="02AAA16A" w14:textId="7662CADE" w:rsidR="007A56C9" w:rsidRPr="00571652" w:rsidRDefault="00327357" w:rsidP="001A750F">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28</w:t>
      </w:r>
      <w:r>
        <w:rPr>
          <w:noProof/>
          <w:lang w:val="pl"/>
        </w:rPr>
        <w:fldChar w:fldCharType="end"/>
      </w:r>
      <w:r>
        <w:rPr>
          <w:lang w:val="pl"/>
        </w:rPr>
        <w:t>.  Trybunał zgadza się z ustaleniami poczynionymi przez Sąd Najwyższy. Prawdą jest, że partia skarżąca musiała ponieść surowe konsekwencje, które poważnie wpłynęły na jej działalność. Zakres konsekwencji finansowych wynikał jednak ze znacznej kwoty nienależnie przekazanej Komitetowi przez parti</w:t>
      </w:r>
      <w:r w:rsidR="00026A0A">
        <w:rPr>
          <w:lang w:val="pl"/>
        </w:rPr>
        <w:t>ę</w:t>
      </w:r>
      <w:r>
        <w:rPr>
          <w:lang w:val="pl"/>
        </w:rPr>
        <w:t xml:space="preserve"> skarżącą. Co więcej, partia skarżąca nie została całkowicie pozbawiona finansowania publicznego, mimo że jej sprawozdanie finansowe musiało zostać odrzucone.</w:t>
      </w:r>
    </w:p>
    <w:p w14:paraId="2AB7AF90" w14:textId="2E98A7EE" w:rsidR="007A56C9" w:rsidRPr="00571652" w:rsidRDefault="00327357" w:rsidP="001A750F">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29</w:t>
      </w:r>
      <w:r>
        <w:rPr>
          <w:noProof/>
          <w:lang w:val="pl"/>
        </w:rPr>
        <w:fldChar w:fldCharType="end"/>
      </w:r>
      <w:r>
        <w:rPr>
          <w:lang w:val="pl"/>
        </w:rPr>
        <w:t>.  Ponadto, jak zauważył Sąd Najwyższy, błąd popełniony przez partię skarżącą nie został naprawiony. Partia skarżąca nie próbowała również odzyskać pieniędzy od Komitetu. Zamiast tego sprawozdanie finansowe poświadczało nieprawdziwe informacje i dlatego nie mogło zostać zatwierdzone przez Komisję.</w:t>
      </w:r>
    </w:p>
    <w:p w14:paraId="63D6FC21" w14:textId="15362D78" w:rsidR="007A56C9" w:rsidRPr="00571652" w:rsidRDefault="00327357" w:rsidP="001A750F">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30</w:t>
      </w:r>
      <w:r>
        <w:rPr>
          <w:noProof/>
          <w:lang w:val="pl"/>
        </w:rPr>
        <w:fldChar w:fldCharType="end"/>
      </w:r>
      <w:r>
        <w:rPr>
          <w:lang w:val="pl"/>
        </w:rPr>
        <w:t xml:space="preserve">.  Trybunał uznał, że oczekiwanie spełnienia tych wymogów nie stanowiło nadmiernego obciążenia dla partii skarżącej, która powinna być świadoma konsekwencji, w tym finansowych, swoich błędów popełnionych </w:t>
      </w:r>
      <w:r>
        <w:rPr>
          <w:lang w:val="pl"/>
        </w:rPr>
        <w:lastRenderedPageBreak/>
        <w:t>przy przekazywaniu środków finansowych na udział partii skarżącej w</w:t>
      </w:r>
      <w:r w:rsidR="00571652" w:rsidRPr="00571652">
        <w:rPr>
          <w:lang w:val="pl-PL"/>
        </w:rPr>
        <w:t> </w:t>
      </w:r>
      <w:r>
        <w:rPr>
          <w:lang w:val="pl"/>
        </w:rPr>
        <w:t>wyborach, a także konsekwencji zaniechania naprawienia błędów niezwłocznie po ich wykryciu.</w:t>
      </w:r>
    </w:p>
    <w:p w14:paraId="5FF8BCB5" w14:textId="533ED96B" w:rsidR="007A56C9" w:rsidRPr="00571652" w:rsidRDefault="00327357" w:rsidP="001A750F">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31</w:t>
      </w:r>
      <w:r>
        <w:rPr>
          <w:noProof/>
          <w:lang w:val="pl"/>
        </w:rPr>
        <w:fldChar w:fldCharType="end"/>
      </w:r>
      <w:r>
        <w:rPr>
          <w:lang w:val="pl"/>
        </w:rPr>
        <w:t xml:space="preserve">.  Trybunał uznał, że Sąd Najwyższy w </w:t>
      </w:r>
      <w:r w:rsidR="00B047CA">
        <w:rPr>
          <w:lang w:val="pl"/>
        </w:rPr>
        <w:t>swoim uzasadnieniu</w:t>
      </w:r>
      <w:r>
        <w:rPr>
          <w:lang w:val="pl"/>
        </w:rPr>
        <w:t xml:space="preserve"> przedstawił wystarczające i przekonujące powody odmowy przyjęcia przez Komitet sprawozdania finansowego partii skarżącej. W związku z tym ingerencja, której dotyczy skarga, była proporcjonalna do zamierzonego</w:t>
      </w:r>
      <w:r w:rsidR="00B047CA">
        <w:rPr>
          <w:lang w:val="pl"/>
        </w:rPr>
        <w:t>,</w:t>
      </w:r>
      <w:r>
        <w:rPr>
          <w:lang w:val="pl"/>
        </w:rPr>
        <w:t xml:space="preserve"> uprawnionego celu.</w:t>
      </w:r>
    </w:p>
    <w:p w14:paraId="382988D2" w14:textId="35B43BB3" w:rsidR="007A56C9" w:rsidRPr="00571652" w:rsidRDefault="00327357" w:rsidP="001A750F">
      <w:pPr>
        <w:pStyle w:val="JuPara"/>
        <w:rPr>
          <w:rFonts w:asciiTheme="majorHAnsi" w:hAnsiTheme="majorHAnsi" w:cstheme="majorHAnsi"/>
          <w:color w:val="000000"/>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32</w:t>
      </w:r>
      <w:r>
        <w:rPr>
          <w:noProof/>
          <w:lang w:val="pl"/>
        </w:rPr>
        <w:fldChar w:fldCharType="end"/>
      </w:r>
      <w:r>
        <w:rPr>
          <w:lang w:val="pl"/>
        </w:rPr>
        <w:t>.  </w:t>
      </w:r>
      <w:r w:rsidR="00B047CA">
        <w:rPr>
          <w:lang w:val="pl"/>
        </w:rPr>
        <w:t>Na marginesie Trybunał zauważa, że w</w:t>
      </w:r>
      <w:r>
        <w:rPr>
          <w:lang w:val="pl"/>
        </w:rPr>
        <w:t xml:space="preserve"> odniesieniu do dalszego obniżenia finansowania przez państwo na kolejne trzy lata</w:t>
      </w:r>
      <w:r w:rsidR="00B047CA">
        <w:rPr>
          <w:lang w:val="pl"/>
        </w:rPr>
        <w:t>,</w:t>
      </w:r>
      <w:r>
        <w:rPr>
          <w:lang w:val="pl"/>
        </w:rPr>
        <w:t xml:space="preserve"> partia skarżąca mogła złożyć skargę na decyzję Komisji odrzucającą sprawozdanie finansowe partii (zob. paragraf </w:t>
      </w:r>
      <w:r>
        <w:rPr>
          <w:lang w:val="pl"/>
        </w:rPr>
        <w:fldChar w:fldCharType="begin"/>
      </w:r>
      <w:r>
        <w:rPr>
          <w:lang w:val="pl"/>
        </w:rPr>
        <w:instrText xml:space="preserve"> REF rejection_further_3_years \h </w:instrText>
      </w:r>
      <w:r>
        <w:rPr>
          <w:lang w:val="pl"/>
        </w:rPr>
      </w:r>
      <w:r>
        <w:rPr>
          <w:lang w:val="pl"/>
        </w:rPr>
        <w:fldChar w:fldCharType="separate"/>
      </w:r>
      <w:r>
        <w:rPr>
          <w:noProof/>
          <w:lang w:val="pl"/>
        </w:rPr>
        <w:t>15</w:t>
      </w:r>
      <w:r>
        <w:rPr>
          <w:lang w:val="pl"/>
        </w:rPr>
        <w:fldChar w:fldCharType="end"/>
      </w:r>
      <w:r>
        <w:rPr>
          <w:lang w:val="pl"/>
        </w:rPr>
        <w:t xml:space="preserve"> powyżej) i zwrócić się do Sądu Najwyższego o skierowanie do Trybunału Konstytucyjnego pytań prawnych dotyczących zgodności z</w:t>
      </w:r>
      <w:r w:rsidR="00571652">
        <w:rPr>
          <w:lang w:val="pl"/>
        </w:rPr>
        <w:t> </w:t>
      </w:r>
      <w:r>
        <w:rPr>
          <w:lang w:val="pl"/>
        </w:rPr>
        <w:t>Konstytucją odpowiednich przepisów, czego partia skarżąca nie uczyniła.</w:t>
      </w:r>
    </w:p>
    <w:p w14:paraId="489A92D1" w14:textId="19E38E79" w:rsidR="007A56C9" w:rsidRPr="00571652" w:rsidRDefault="007A56C9" w:rsidP="001A750F">
      <w:pPr>
        <w:pStyle w:val="JuPara"/>
        <w:rPr>
          <w:lang w:val="pl-PL"/>
        </w:rPr>
      </w:pPr>
      <w:r>
        <w:rPr>
          <w:lang w:val="pl"/>
        </w:rPr>
        <w:t xml:space="preserve">Z powyższego wynika, że skarga ta jest w sposób oczywisty nieuzasadniona i należy ją oddalić zgodnie z art. 35 </w:t>
      </w:r>
      <w:r w:rsidR="00FB2EA0" w:rsidRPr="001A750F">
        <w:rPr>
          <w:rFonts w:cstheme="minorHAnsi"/>
        </w:rPr>
        <w:t>§</w:t>
      </w:r>
      <w:r w:rsidR="00FB2EA0">
        <w:rPr>
          <w:rFonts w:cstheme="minorHAnsi"/>
        </w:rPr>
        <w:t> </w:t>
      </w:r>
      <w:r>
        <w:rPr>
          <w:lang w:val="pl"/>
        </w:rPr>
        <w:t>3 lit.</w:t>
      </w:r>
      <w:r w:rsidR="00FB2EA0">
        <w:rPr>
          <w:lang w:val="pl"/>
        </w:rPr>
        <w:t> </w:t>
      </w:r>
      <w:r>
        <w:rPr>
          <w:lang w:val="pl"/>
        </w:rPr>
        <w:t xml:space="preserve">a) oraz </w:t>
      </w:r>
      <w:r w:rsidR="00FB2EA0">
        <w:rPr>
          <w:lang w:val="pl"/>
        </w:rPr>
        <w:t xml:space="preserve">z art. 35 </w:t>
      </w:r>
      <w:r w:rsidR="00FB2EA0" w:rsidRPr="001A750F">
        <w:rPr>
          <w:rFonts w:cstheme="minorHAnsi"/>
        </w:rPr>
        <w:t>§</w:t>
      </w:r>
      <w:r>
        <w:rPr>
          <w:lang w:val="pl"/>
        </w:rPr>
        <w:t> 4 Konwencji.</w:t>
      </w:r>
    </w:p>
    <w:p w14:paraId="6CFF2760" w14:textId="0512980D" w:rsidR="007A56C9" w:rsidRPr="00571652" w:rsidRDefault="007A56C9" w:rsidP="001A750F">
      <w:pPr>
        <w:pStyle w:val="JuParaLast"/>
        <w:rPr>
          <w:lang w:val="pl-PL"/>
        </w:rPr>
      </w:pPr>
      <w:r>
        <w:rPr>
          <w:lang w:val="pl"/>
        </w:rPr>
        <w:t>Z powyższych względów Trybunał jednogłośnie</w:t>
      </w:r>
    </w:p>
    <w:p w14:paraId="13968AB5" w14:textId="77777777" w:rsidR="007A56C9" w:rsidRPr="00571652" w:rsidRDefault="007A56C9" w:rsidP="001A750F">
      <w:pPr>
        <w:pStyle w:val="DecList"/>
        <w:rPr>
          <w:lang w:val="pl-PL"/>
        </w:rPr>
      </w:pPr>
      <w:r>
        <w:rPr>
          <w:i/>
          <w:iCs/>
          <w:lang w:val="pl"/>
        </w:rPr>
        <w:t xml:space="preserve">uznaje </w:t>
      </w:r>
      <w:r>
        <w:rPr>
          <w:lang w:val="pl"/>
        </w:rPr>
        <w:t>skargę za niedopuszczalną.</w:t>
      </w:r>
    </w:p>
    <w:p w14:paraId="11540CE9" w14:textId="62988696" w:rsidR="00BD1692" w:rsidRPr="00571652" w:rsidRDefault="006267D3" w:rsidP="001A750F">
      <w:pPr>
        <w:pStyle w:val="JuParaLast"/>
        <w:rPr>
          <w:sz w:val="14"/>
          <w:lang w:val="pl-PL"/>
        </w:rPr>
      </w:pPr>
      <w:r>
        <w:rPr>
          <w:lang w:val="pl"/>
        </w:rPr>
        <w:t>Sporządzono w języku angielskim i obwieszczono pisemnie dnia</w:t>
      </w:r>
      <w:r w:rsidR="00571652">
        <w:rPr>
          <w:lang w:val="pl"/>
        </w:rPr>
        <w:t> </w:t>
      </w:r>
      <w:r>
        <w:rPr>
          <w:noProof/>
          <w:lang w:val="pl"/>
        </w:rPr>
        <w:t>6 kwietnia 2023 r</w:t>
      </w:r>
      <w:r>
        <w:rPr>
          <w:lang w:val="pl"/>
        </w:rPr>
        <w:t>.</w:t>
      </w:r>
    </w:p>
    <w:p w14:paraId="6080013D" w14:textId="049CF2D4" w:rsidR="00BD1692" w:rsidRPr="00571652" w:rsidRDefault="00C8038F" w:rsidP="001A750F">
      <w:pPr>
        <w:pStyle w:val="ECHRPlaceholder"/>
        <w:rPr>
          <w:lang w:val="pl-PL"/>
        </w:rPr>
      </w:pPr>
      <w:r>
        <w:rPr>
          <w:lang w:val="pl"/>
        </w:rPr>
        <w:tab/>
      </w:r>
    </w:p>
    <w:p w14:paraId="533F56FD" w14:textId="7A39BEF2" w:rsidR="00CB3BD9" w:rsidRPr="00571652" w:rsidRDefault="007907C0" w:rsidP="001A750F">
      <w:pPr>
        <w:pStyle w:val="JuSigned"/>
        <w:rPr>
          <w:lang w:val="pl-PL"/>
        </w:rPr>
      </w:pPr>
      <w:r>
        <w:rPr>
          <w:lang w:val="pl"/>
        </w:rPr>
        <w:tab/>
      </w:r>
      <w:r>
        <w:rPr>
          <w:noProof/>
          <w:lang w:val="pl"/>
        </w:rPr>
        <w:t>Liv Tigerstedt</w:t>
      </w:r>
      <w:r>
        <w:rPr>
          <w:lang w:val="pl"/>
        </w:rPr>
        <w:tab/>
      </w:r>
      <w:r>
        <w:rPr>
          <w:noProof/>
          <w:lang w:val="pl"/>
        </w:rPr>
        <w:t>Lətif Hüseynov</w:t>
      </w:r>
      <w:r>
        <w:rPr>
          <w:lang w:val="pl"/>
        </w:rPr>
        <w:br/>
      </w:r>
      <w:r>
        <w:rPr>
          <w:lang w:val="pl"/>
        </w:rPr>
        <w:tab/>
      </w:r>
      <w:r>
        <w:rPr>
          <w:noProof/>
          <w:lang w:val="pl"/>
        </w:rPr>
        <w:t>Zastępca Kanclerza</w:t>
      </w:r>
      <w:r>
        <w:rPr>
          <w:lang w:val="pl"/>
        </w:rPr>
        <w:tab/>
        <w:t>Przewodniczący</w:t>
      </w:r>
    </w:p>
    <w:sectPr w:rsidR="00CB3BD9" w:rsidRPr="00571652" w:rsidSect="0076040F">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F808B0" w14:textId="77777777" w:rsidR="005E2A15" w:rsidRPr="007A56C9" w:rsidRDefault="005E2A15">
      <w:r>
        <w:separator/>
      </w:r>
    </w:p>
  </w:endnote>
  <w:endnote w:type="continuationSeparator" w:id="0">
    <w:p w14:paraId="769FA63F" w14:textId="77777777" w:rsidR="005E2A15" w:rsidRPr="007A56C9" w:rsidRDefault="005E2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8ED43" w14:textId="2F5F41BF" w:rsidR="0071335C" w:rsidRPr="007A56C9" w:rsidRDefault="007A56C9" w:rsidP="000D61E7">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Pr>
        <w:rStyle w:val="Numerstrony"/>
        <w:noProof/>
        <w:lang w:val="pl"/>
      </w:rPr>
      <w:t>1</w:t>
    </w:r>
    <w:r>
      <w:rPr>
        <w:rStyle w:val="Numerstrony"/>
        <w:lang w:val="p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36115" w14:textId="15A766CD" w:rsidR="0071335C" w:rsidRPr="007A56C9" w:rsidRDefault="007A56C9" w:rsidP="000D61E7">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Pr>
        <w:rStyle w:val="Numerstrony"/>
        <w:noProof/>
        <w:lang w:val="pl"/>
      </w:rPr>
      <w:t>1</w:t>
    </w:r>
    <w:r>
      <w:rPr>
        <w:rStyle w:val="Numerstrony"/>
        <w:lang w:val="p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A8D66" w14:textId="3E54063C" w:rsidR="007A56C9" w:rsidRPr="00150BFA" w:rsidRDefault="007A56C9" w:rsidP="0020718E">
    <w:pPr>
      <w:jc w:val="center"/>
    </w:pPr>
    <w:r>
      <w:rPr>
        <w:noProof/>
        <w:lang w:val="pl"/>
      </w:rPr>
      <w:drawing>
        <wp:inline distT="0" distB="0" distL="0" distR="0" wp14:anchorId="3CBAC618" wp14:editId="644E68B9">
          <wp:extent cx="771525" cy="619125"/>
          <wp:effectExtent l="0" t="0" r="9525" b="9525"/>
          <wp:docPr id="17"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0F4FF52" w14:textId="2F147187" w:rsidR="0071335C" w:rsidRPr="007A56C9" w:rsidRDefault="0071335C" w:rsidP="002E2C7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6BCCC" w14:textId="77777777" w:rsidR="005E2A15" w:rsidRPr="007A56C9" w:rsidRDefault="005E2A15">
      <w:r>
        <w:separator/>
      </w:r>
    </w:p>
  </w:footnote>
  <w:footnote w:type="continuationSeparator" w:id="0">
    <w:p w14:paraId="4FDCCB96" w14:textId="77777777" w:rsidR="005E2A15" w:rsidRPr="007A56C9" w:rsidRDefault="005E2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9D02F" w14:textId="6927B3A8" w:rsidR="0071335C" w:rsidRPr="00571652" w:rsidRDefault="007A56C9" w:rsidP="0076040F">
    <w:pPr>
      <w:pStyle w:val="JuHeader"/>
      <w:rPr>
        <w:lang w:val="pl-PL"/>
      </w:rPr>
    </w:pPr>
    <w:r>
      <w:rPr>
        <w:lang w:val="pl"/>
      </w:rPr>
      <w:t>DECYZJA w sprawie NOWOCZESNA przeciwko POLSCE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1354A" w14:textId="5E3812EA" w:rsidR="0071335C" w:rsidRPr="00571652" w:rsidRDefault="007A56C9" w:rsidP="000D61E7">
    <w:pPr>
      <w:pStyle w:val="JuHeader"/>
      <w:rPr>
        <w:lang w:val="pl-PL"/>
      </w:rPr>
    </w:pPr>
    <w:r>
      <w:rPr>
        <w:lang w:val="pl"/>
      </w:rPr>
      <w:t>DECYZJA w sprawie NOWOCZESNA przeciwko POLSCE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A912E" w14:textId="3FCF49BA" w:rsidR="007A56C9" w:rsidRPr="00A45145" w:rsidRDefault="007A56C9" w:rsidP="00A45145">
    <w:pPr>
      <w:jc w:val="center"/>
    </w:pPr>
    <w:r>
      <w:rPr>
        <w:noProof/>
        <w:lang w:val="pl"/>
      </w:rPr>
      <w:drawing>
        <wp:inline distT="0" distB="0" distL="0" distR="0" wp14:anchorId="644F6D5E" wp14:editId="562391C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DF723CE" w14:textId="2D9B7474" w:rsidR="0071335C" w:rsidRPr="007A56C9" w:rsidRDefault="0071335C" w:rsidP="00EA1004">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B7886602"/>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16cid:durableId="44989910">
    <w:abstractNumId w:val="14"/>
  </w:num>
  <w:num w:numId="2" w16cid:durableId="469711619">
    <w:abstractNumId w:val="12"/>
  </w:num>
  <w:num w:numId="3" w16cid:durableId="1834249671">
    <w:abstractNumId w:val="11"/>
  </w:num>
  <w:num w:numId="4" w16cid:durableId="329333766">
    <w:abstractNumId w:val="15"/>
  </w:num>
  <w:num w:numId="5" w16cid:durableId="1429037701">
    <w:abstractNumId w:val="13"/>
  </w:num>
  <w:num w:numId="6" w16cid:durableId="1004355637">
    <w:abstractNumId w:val="16"/>
  </w:num>
  <w:num w:numId="7" w16cid:durableId="546797574">
    <w:abstractNumId w:val="15"/>
  </w:num>
  <w:num w:numId="8" w16cid:durableId="615022270">
    <w:abstractNumId w:val="16"/>
  </w:num>
  <w:num w:numId="9" w16cid:durableId="1117987450">
    <w:abstractNumId w:val="10"/>
  </w:num>
  <w:num w:numId="10" w16cid:durableId="669910412">
    <w:abstractNumId w:val="9"/>
  </w:num>
  <w:num w:numId="11" w16cid:durableId="2040233694">
    <w:abstractNumId w:val="18"/>
  </w:num>
  <w:num w:numId="12" w16cid:durableId="270094550">
    <w:abstractNumId w:val="7"/>
  </w:num>
  <w:num w:numId="13" w16cid:durableId="1567642277">
    <w:abstractNumId w:val="6"/>
  </w:num>
  <w:num w:numId="14" w16cid:durableId="598834588">
    <w:abstractNumId w:val="5"/>
  </w:num>
  <w:num w:numId="15" w16cid:durableId="1062825477">
    <w:abstractNumId w:val="4"/>
  </w:num>
  <w:num w:numId="16" w16cid:durableId="529798557">
    <w:abstractNumId w:val="8"/>
  </w:num>
  <w:num w:numId="17" w16cid:durableId="1229262528">
    <w:abstractNumId w:val="3"/>
  </w:num>
  <w:num w:numId="18" w16cid:durableId="138113371">
    <w:abstractNumId w:val="2"/>
  </w:num>
  <w:num w:numId="19" w16cid:durableId="1282494793">
    <w:abstractNumId w:val="1"/>
  </w:num>
  <w:num w:numId="20" w16cid:durableId="40907468">
    <w:abstractNumId w:val="0"/>
  </w:num>
  <w:num w:numId="21" w16cid:durableId="770123024">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 w:name="SndCaseNumber" w:val="Error!Nodocumentvariablesupplied."/>
  </w:docVars>
  <w:rsids>
    <w:rsidRoot w:val="007A56C9"/>
    <w:rsid w:val="00026A0A"/>
    <w:rsid w:val="00046F37"/>
    <w:rsid w:val="0006122D"/>
    <w:rsid w:val="0009484E"/>
    <w:rsid w:val="00095FD8"/>
    <w:rsid w:val="000B1FA9"/>
    <w:rsid w:val="000D61E7"/>
    <w:rsid w:val="000E3A89"/>
    <w:rsid w:val="00132029"/>
    <w:rsid w:val="00144EBC"/>
    <w:rsid w:val="001472B7"/>
    <w:rsid w:val="001A750F"/>
    <w:rsid w:val="001C3DD4"/>
    <w:rsid w:val="001D1233"/>
    <w:rsid w:val="00201A20"/>
    <w:rsid w:val="00223591"/>
    <w:rsid w:val="002A7443"/>
    <w:rsid w:val="002E2692"/>
    <w:rsid w:val="00327357"/>
    <w:rsid w:val="003B50D7"/>
    <w:rsid w:val="003E3C60"/>
    <w:rsid w:val="00452087"/>
    <w:rsid w:val="00464268"/>
    <w:rsid w:val="004A4C71"/>
    <w:rsid w:val="004B4E73"/>
    <w:rsid w:val="004C0E3B"/>
    <w:rsid w:val="004D47BB"/>
    <w:rsid w:val="00532E3B"/>
    <w:rsid w:val="00556EF6"/>
    <w:rsid w:val="00571652"/>
    <w:rsid w:val="00582047"/>
    <w:rsid w:val="005E2A15"/>
    <w:rsid w:val="005E56C2"/>
    <w:rsid w:val="005E69E2"/>
    <w:rsid w:val="005F11CB"/>
    <w:rsid w:val="00625B2C"/>
    <w:rsid w:val="006262FA"/>
    <w:rsid w:val="006267D3"/>
    <w:rsid w:val="006300E9"/>
    <w:rsid w:val="00647479"/>
    <w:rsid w:val="00653EF4"/>
    <w:rsid w:val="00656B81"/>
    <w:rsid w:val="00697BCE"/>
    <w:rsid w:val="006D4D63"/>
    <w:rsid w:val="006E123B"/>
    <w:rsid w:val="0070084F"/>
    <w:rsid w:val="0071335C"/>
    <w:rsid w:val="0074030B"/>
    <w:rsid w:val="00780752"/>
    <w:rsid w:val="007907C0"/>
    <w:rsid w:val="007A160B"/>
    <w:rsid w:val="007A56C9"/>
    <w:rsid w:val="007A74FC"/>
    <w:rsid w:val="007B2364"/>
    <w:rsid w:val="00812D10"/>
    <w:rsid w:val="00841816"/>
    <w:rsid w:val="008A71BC"/>
    <w:rsid w:val="008D10E4"/>
    <w:rsid w:val="008F0A92"/>
    <w:rsid w:val="008F7189"/>
    <w:rsid w:val="00901FF9"/>
    <w:rsid w:val="00917D42"/>
    <w:rsid w:val="009415EE"/>
    <w:rsid w:val="00956B2A"/>
    <w:rsid w:val="0096293E"/>
    <w:rsid w:val="009656DE"/>
    <w:rsid w:val="009B6F49"/>
    <w:rsid w:val="009C21E8"/>
    <w:rsid w:val="009E01FB"/>
    <w:rsid w:val="00AA5AEE"/>
    <w:rsid w:val="00AC58E5"/>
    <w:rsid w:val="00B047CA"/>
    <w:rsid w:val="00B059AC"/>
    <w:rsid w:val="00B1369C"/>
    <w:rsid w:val="00B140D3"/>
    <w:rsid w:val="00BD0C69"/>
    <w:rsid w:val="00BD1692"/>
    <w:rsid w:val="00C42C12"/>
    <w:rsid w:val="00C8038F"/>
    <w:rsid w:val="00CA7AF7"/>
    <w:rsid w:val="00CB3BD9"/>
    <w:rsid w:val="00CF5052"/>
    <w:rsid w:val="00D415D6"/>
    <w:rsid w:val="00DB6354"/>
    <w:rsid w:val="00DC4E7A"/>
    <w:rsid w:val="00E278E6"/>
    <w:rsid w:val="00E51C86"/>
    <w:rsid w:val="00E5464B"/>
    <w:rsid w:val="00E770A0"/>
    <w:rsid w:val="00EE38CA"/>
    <w:rsid w:val="00F0534F"/>
    <w:rsid w:val="00F24AB9"/>
    <w:rsid w:val="00F42346"/>
    <w:rsid w:val="00F936A4"/>
    <w:rsid w:val="00FB2EA0"/>
    <w:rsid w:val="00FC265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9D87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144EBC"/>
    <w:rPr>
      <w:sz w:val="24"/>
      <w:szCs w:val="24"/>
      <w:lang w:val="en-GB"/>
    </w:rPr>
  </w:style>
  <w:style w:type="paragraph" w:styleId="Nagwek1">
    <w:name w:val="heading 1"/>
    <w:basedOn w:val="Normalny"/>
    <w:next w:val="Normalny"/>
    <w:link w:val="Nagwek1Znak"/>
    <w:uiPriority w:val="98"/>
    <w:semiHidden/>
    <w:rsid w:val="00144EB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144EB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144EBC"/>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144EBC"/>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144EBC"/>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144EB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144EBC"/>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144EB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144EB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Signed">
    <w:name w:val="Ju_Signed"/>
    <w:aliases w:val="_Signature"/>
    <w:basedOn w:val="Normalny"/>
    <w:next w:val="JuPara"/>
    <w:uiPriority w:val="31"/>
    <w:qFormat/>
    <w:rsid w:val="00144EBC"/>
    <w:pPr>
      <w:tabs>
        <w:tab w:val="center" w:pos="1418"/>
        <w:tab w:val="center" w:pos="5954"/>
      </w:tabs>
      <w:spacing w:before="720"/>
    </w:pPr>
  </w:style>
  <w:style w:type="paragraph" w:customStyle="1" w:styleId="JuPara">
    <w:name w:val="Ju_Para"/>
    <w:aliases w:val="_Para"/>
    <w:basedOn w:val="NormalJustified"/>
    <w:link w:val="JuParaChar"/>
    <w:uiPriority w:val="4"/>
    <w:qFormat/>
    <w:rsid w:val="00144EBC"/>
    <w:pPr>
      <w:ind w:firstLine="284"/>
    </w:pPr>
  </w:style>
  <w:style w:type="character" w:styleId="Numerstrony">
    <w:name w:val="page number"/>
    <w:uiPriority w:val="98"/>
    <w:semiHidden/>
    <w:rsid w:val="00144EBC"/>
    <w:rPr>
      <w:sz w:val="18"/>
    </w:rPr>
  </w:style>
  <w:style w:type="character" w:styleId="Odwoaniedokomentarza">
    <w:name w:val="annotation reference"/>
    <w:basedOn w:val="Domylnaczcionkaakapitu"/>
    <w:uiPriority w:val="98"/>
    <w:semiHidden/>
    <w:rsid w:val="00144EBC"/>
    <w:rPr>
      <w:sz w:val="16"/>
      <w:szCs w:val="16"/>
    </w:rPr>
  </w:style>
  <w:style w:type="paragraph" w:styleId="Tekstkomentarza">
    <w:name w:val="annotation text"/>
    <w:basedOn w:val="Normalny"/>
    <w:link w:val="TekstkomentarzaZnak"/>
    <w:uiPriority w:val="98"/>
    <w:semiHidden/>
    <w:rsid w:val="00144EBC"/>
    <w:rPr>
      <w:sz w:val="20"/>
      <w:szCs w:val="20"/>
    </w:rPr>
  </w:style>
  <w:style w:type="character" w:customStyle="1" w:styleId="TekstkomentarzaZnak">
    <w:name w:val="Tekst komentarza Znak"/>
    <w:basedOn w:val="Domylnaczcionkaakapitu"/>
    <w:link w:val="Tekstkomentarza"/>
    <w:uiPriority w:val="98"/>
    <w:semiHidden/>
    <w:rsid w:val="00144EBC"/>
    <w:rPr>
      <w:sz w:val="20"/>
      <w:szCs w:val="20"/>
      <w:lang w:val="en-GB"/>
    </w:rPr>
  </w:style>
  <w:style w:type="paragraph" w:customStyle="1" w:styleId="DecHTitle">
    <w:name w:val="Dec_H_Title"/>
    <w:aliases w:val="_Title_1"/>
    <w:basedOn w:val="JuPara"/>
    <w:next w:val="JuPara"/>
    <w:uiPriority w:val="38"/>
    <w:qFormat/>
    <w:rsid w:val="00144EBC"/>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8"/>
    <w:qFormat/>
    <w:rsid w:val="00144EBC"/>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144EBC"/>
    <w:pPr>
      <w:keepNext/>
      <w:keepLines/>
      <w:spacing w:before="1320" w:after="280"/>
      <w:contextualSpacing/>
      <w:jc w:val="center"/>
    </w:pPr>
    <w:rPr>
      <w:b/>
    </w:rPr>
  </w:style>
  <w:style w:type="paragraph" w:customStyle="1" w:styleId="JuHeader">
    <w:name w:val="Ju_Header"/>
    <w:aliases w:val="_Header"/>
    <w:basedOn w:val="Nagwek"/>
    <w:uiPriority w:val="29"/>
    <w:qFormat/>
    <w:rsid w:val="00144EBC"/>
    <w:pPr>
      <w:tabs>
        <w:tab w:val="clear" w:pos="4536"/>
        <w:tab w:val="clear" w:pos="9072"/>
      </w:tabs>
      <w:jc w:val="center"/>
    </w:pPr>
    <w:rPr>
      <w:sz w:val="18"/>
    </w:rPr>
  </w:style>
  <w:style w:type="paragraph" w:styleId="Nagwek">
    <w:name w:val="header"/>
    <w:basedOn w:val="Normalny"/>
    <w:link w:val="NagwekZnak"/>
    <w:uiPriority w:val="98"/>
    <w:semiHidden/>
    <w:rsid w:val="00144EBC"/>
    <w:pPr>
      <w:tabs>
        <w:tab w:val="center" w:pos="4536"/>
        <w:tab w:val="right" w:pos="9072"/>
      </w:tabs>
    </w:pPr>
  </w:style>
  <w:style w:type="character" w:customStyle="1" w:styleId="NagwekZnak">
    <w:name w:val="Nagłówek Znak"/>
    <w:basedOn w:val="Domylnaczcionkaakapitu"/>
    <w:link w:val="Nagwek"/>
    <w:uiPriority w:val="98"/>
    <w:semiHidden/>
    <w:rsid w:val="00144EBC"/>
    <w:rPr>
      <w:sz w:val="24"/>
      <w:szCs w:val="24"/>
      <w:lang w:val="en-GB"/>
    </w:rPr>
  </w:style>
  <w:style w:type="paragraph" w:styleId="Tekstdymka">
    <w:name w:val="Balloon Text"/>
    <w:basedOn w:val="Normalny"/>
    <w:link w:val="TekstdymkaZnak"/>
    <w:uiPriority w:val="98"/>
    <w:semiHidden/>
    <w:rsid w:val="00144EBC"/>
    <w:rPr>
      <w:rFonts w:ascii="Tahoma" w:hAnsi="Tahoma" w:cs="Tahoma"/>
      <w:sz w:val="16"/>
      <w:szCs w:val="16"/>
    </w:rPr>
  </w:style>
  <w:style w:type="character" w:customStyle="1" w:styleId="TekstdymkaZnak">
    <w:name w:val="Tekst dymka Znak"/>
    <w:basedOn w:val="Domylnaczcionkaakapitu"/>
    <w:link w:val="Tekstdymka"/>
    <w:uiPriority w:val="98"/>
    <w:semiHidden/>
    <w:rsid w:val="00144EBC"/>
    <w:rPr>
      <w:rFonts w:ascii="Tahoma" w:hAnsi="Tahoma" w:cs="Tahoma"/>
      <w:sz w:val="16"/>
      <w:szCs w:val="16"/>
      <w:lang w:val="en-GB"/>
    </w:rPr>
  </w:style>
  <w:style w:type="table" w:styleId="Tabelasiatki1jasna">
    <w:name w:val="Grid Table 1 Light"/>
    <w:basedOn w:val="Standardowy"/>
    <w:uiPriority w:val="46"/>
    <w:semiHidden/>
    <w:rsid w:val="00E51C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NormalJustified">
    <w:name w:val="Normal_Justified"/>
    <w:basedOn w:val="Normalny"/>
    <w:semiHidden/>
    <w:rsid w:val="00144EBC"/>
    <w:pPr>
      <w:jc w:val="both"/>
    </w:pPr>
  </w:style>
  <w:style w:type="paragraph" w:customStyle="1" w:styleId="JuQuot">
    <w:name w:val="Ju_Quot"/>
    <w:aliases w:val="_Quote"/>
    <w:basedOn w:val="NormalJustified"/>
    <w:uiPriority w:val="20"/>
    <w:qFormat/>
    <w:rsid w:val="00144EBC"/>
    <w:pPr>
      <w:spacing w:before="120" w:after="120"/>
      <w:ind w:left="425" w:firstLine="142"/>
    </w:pPr>
    <w:rPr>
      <w:sz w:val="20"/>
    </w:rPr>
  </w:style>
  <w:style w:type="paragraph" w:customStyle="1" w:styleId="ECHRCoverTitle4">
    <w:name w:val="ECHR_Cover_Title_4"/>
    <w:aliases w:val="_Title_4"/>
    <w:basedOn w:val="JuPara"/>
    <w:next w:val="JuPara"/>
    <w:uiPriority w:val="38"/>
    <w:qFormat/>
    <w:rsid w:val="00144EBC"/>
    <w:pPr>
      <w:keepNext/>
      <w:keepLines/>
      <w:tabs>
        <w:tab w:val="right" w:pos="7938"/>
      </w:tabs>
      <w:ind w:firstLine="0"/>
      <w:jc w:val="center"/>
    </w:pPr>
    <w:rPr>
      <w:i/>
    </w:rPr>
  </w:style>
  <w:style w:type="table" w:customStyle="1" w:styleId="ECHRDNTable">
    <w:name w:val="ECHR_DN_Table"/>
    <w:basedOn w:val="Standardowy"/>
    <w:uiPriority w:val="99"/>
    <w:rsid w:val="00144EBC"/>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numbering" w:customStyle="1" w:styleId="ECHRA1StyleBulletedSquare">
    <w:name w:val="ECHR_A1_Style_Bulleted_Square"/>
    <w:basedOn w:val="Bezlisty"/>
    <w:rsid w:val="00144EBC"/>
    <w:pPr>
      <w:numPr>
        <w:numId w:val="4"/>
      </w:numPr>
    </w:pPr>
  </w:style>
  <w:style w:type="numbering" w:customStyle="1" w:styleId="ECHRA1StyleList">
    <w:name w:val="ECHR_A1_Style_List"/>
    <w:basedOn w:val="Bezlisty"/>
    <w:uiPriority w:val="99"/>
    <w:rsid w:val="00144EBC"/>
    <w:pPr>
      <w:numPr>
        <w:numId w:val="5"/>
      </w:numPr>
    </w:pPr>
  </w:style>
  <w:style w:type="paragraph" w:customStyle="1" w:styleId="JuHArticle">
    <w:name w:val="Ju_H_Article"/>
    <w:aliases w:val="_Title_Quote"/>
    <w:basedOn w:val="Normalny"/>
    <w:next w:val="JuQuot"/>
    <w:uiPriority w:val="19"/>
    <w:qFormat/>
    <w:rsid w:val="00144EBC"/>
    <w:pPr>
      <w:keepNext/>
      <w:spacing w:before="100" w:beforeAutospacing="1" w:after="120"/>
      <w:contextualSpacing/>
      <w:jc w:val="center"/>
    </w:pPr>
    <w:rPr>
      <w:b/>
      <w:sz w:val="20"/>
    </w:rPr>
  </w:style>
  <w:style w:type="numbering" w:customStyle="1" w:styleId="ECHRA1StyleNumberedList">
    <w:name w:val="ECHR_A1_Style_Numbered_List"/>
    <w:basedOn w:val="Bezlisty"/>
    <w:rsid w:val="00144EBC"/>
    <w:pPr>
      <w:numPr>
        <w:numId w:val="6"/>
      </w:numPr>
    </w:pPr>
  </w:style>
  <w:style w:type="table" w:customStyle="1" w:styleId="ECHRHeaderTable">
    <w:name w:val="ECHR_Header_Table"/>
    <w:basedOn w:val="Standardowy"/>
    <w:uiPriority w:val="99"/>
    <w:rsid w:val="00144EBC"/>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JuHHead">
    <w:name w:val="Ju_H_Head"/>
    <w:aliases w:val="_Head_1"/>
    <w:basedOn w:val="Nagwek1"/>
    <w:next w:val="JuPara"/>
    <w:uiPriority w:val="17"/>
    <w:qFormat/>
    <w:rsid w:val="00144EBC"/>
    <w:pPr>
      <w:keepNext/>
      <w:keepLines/>
      <w:numPr>
        <w:numId w:val="9"/>
      </w:numPr>
      <w:spacing w:before="100" w:beforeAutospacing="1" w:after="240"/>
      <w:contextualSpacing w:val="0"/>
      <w:jc w:val="both"/>
    </w:pPr>
    <w:rPr>
      <w:b w:val="0"/>
      <w:caps/>
      <w:color w:val="auto"/>
    </w:rPr>
  </w:style>
  <w:style w:type="paragraph" w:customStyle="1" w:styleId="JuInitialled">
    <w:name w:val="Ju_Initialled"/>
    <w:aliases w:val="_Right"/>
    <w:basedOn w:val="Normalny"/>
    <w:uiPriority w:val="30"/>
    <w:qFormat/>
    <w:rsid w:val="00144EBC"/>
    <w:pPr>
      <w:tabs>
        <w:tab w:val="center" w:pos="6407"/>
      </w:tabs>
      <w:spacing w:before="720"/>
      <w:jc w:val="right"/>
    </w:pPr>
  </w:style>
  <w:style w:type="table" w:customStyle="1" w:styleId="ECHRHeaderTableReduced">
    <w:name w:val="ECHR_Header_Table_Reduced"/>
    <w:basedOn w:val="Standardowy"/>
    <w:uiPriority w:val="99"/>
    <w:rsid w:val="00144EB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
    <w:name w:val="JU_NAMES"/>
    <w:aliases w:val="_Ju_Names"/>
    <w:uiPriority w:val="33"/>
    <w:qFormat/>
    <w:rsid w:val="00144EBC"/>
    <w:rPr>
      <w:caps w:val="0"/>
      <w:smallCaps/>
    </w:rPr>
  </w:style>
  <w:style w:type="character" w:customStyle="1" w:styleId="JuITMark">
    <w:name w:val="Ju_ITMark"/>
    <w:aliases w:val="_ITMark"/>
    <w:basedOn w:val="Domylnaczcionkaakapitu"/>
    <w:uiPriority w:val="54"/>
    <w:qFormat/>
    <w:rsid w:val="00144EBC"/>
    <w:rPr>
      <w:vanish w:val="0"/>
      <w:color w:val="auto"/>
      <w:sz w:val="14"/>
      <w:bdr w:val="none" w:sz="0" w:space="0" w:color="auto"/>
      <w:shd w:val="clear" w:color="auto" w:fill="BEE5FF" w:themeFill="background1" w:themeFillTint="33"/>
    </w:rPr>
  </w:style>
  <w:style w:type="table" w:customStyle="1" w:styleId="ECHRTable2019">
    <w:name w:val="ECHR_Table_2019"/>
    <w:basedOn w:val="Standardowy"/>
    <w:uiPriority w:val="99"/>
    <w:rsid w:val="00144EB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Court">
    <w:name w:val="Ju_Court"/>
    <w:aliases w:val="_Court_Names"/>
    <w:basedOn w:val="Normalny"/>
    <w:next w:val="Normalny"/>
    <w:uiPriority w:val="32"/>
    <w:qFormat/>
    <w:rsid w:val="00144EB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144EBC"/>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character" w:customStyle="1" w:styleId="Nagwek1Znak">
    <w:name w:val="Nagłówek 1 Znak"/>
    <w:basedOn w:val="Domylnaczcionkaakapitu"/>
    <w:link w:val="Nagwek1"/>
    <w:uiPriority w:val="98"/>
    <w:semiHidden/>
    <w:rsid w:val="00144EBC"/>
    <w:rPr>
      <w:rFonts w:asciiTheme="majorHAnsi" w:eastAsiaTheme="majorEastAsia" w:hAnsiTheme="majorHAnsi" w:cstheme="majorBidi"/>
      <w:b/>
      <w:bCs/>
      <w:color w:val="333333"/>
      <w:sz w:val="28"/>
      <w:szCs w:val="28"/>
      <w:lang w:val="en-GB"/>
    </w:rPr>
  </w:style>
  <w:style w:type="paragraph" w:customStyle="1" w:styleId="JuHA">
    <w:name w:val="Ju_H_A"/>
    <w:aliases w:val="_Head_3"/>
    <w:basedOn w:val="Nagwek3"/>
    <w:next w:val="JuPara"/>
    <w:uiPriority w:val="17"/>
    <w:qFormat/>
    <w:rsid w:val="00144EBC"/>
    <w:pPr>
      <w:keepNext/>
      <w:keepLines/>
      <w:numPr>
        <w:ilvl w:val="2"/>
        <w:numId w:val="9"/>
      </w:numPr>
      <w:spacing w:before="100" w:beforeAutospacing="1" w:after="240" w:line="240" w:lineRule="auto"/>
      <w:jc w:val="both"/>
    </w:pPr>
    <w:rPr>
      <w:color w:val="auto"/>
      <w:sz w:val="24"/>
    </w:rPr>
  </w:style>
  <w:style w:type="character" w:customStyle="1" w:styleId="Nagwek2Znak">
    <w:name w:val="Nagłówek 2 Znak"/>
    <w:basedOn w:val="Domylnaczcionkaakapitu"/>
    <w:link w:val="Nagwek2"/>
    <w:uiPriority w:val="98"/>
    <w:semiHidden/>
    <w:rsid w:val="00144EBC"/>
    <w:rPr>
      <w:rFonts w:asciiTheme="majorHAnsi" w:eastAsiaTheme="majorEastAsia" w:hAnsiTheme="majorHAnsi" w:cstheme="majorBidi"/>
      <w:b/>
      <w:bCs/>
      <w:color w:val="4D4D4D"/>
      <w:sz w:val="26"/>
      <w:szCs w:val="26"/>
      <w:lang w:val="en-GB"/>
    </w:rPr>
  </w:style>
  <w:style w:type="paragraph" w:customStyle="1" w:styleId="JuH1">
    <w:name w:val="Ju_H_1."/>
    <w:aliases w:val="_Head_4"/>
    <w:basedOn w:val="Nagwek4"/>
    <w:next w:val="JuPara"/>
    <w:uiPriority w:val="17"/>
    <w:rsid w:val="00144EBC"/>
    <w:pPr>
      <w:keepNext/>
      <w:keepLines/>
      <w:numPr>
        <w:ilvl w:val="3"/>
        <w:numId w:val="9"/>
      </w:numPr>
      <w:spacing w:before="100" w:beforeAutospacing="1" w:after="120"/>
      <w:jc w:val="both"/>
    </w:pPr>
    <w:rPr>
      <w:b w:val="0"/>
      <w:color w:val="auto"/>
      <w:sz w:val="24"/>
    </w:rPr>
  </w:style>
  <w:style w:type="character" w:customStyle="1" w:styleId="Nagwek3Znak">
    <w:name w:val="Nagłówek 3 Znak"/>
    <w:basedOn w:val="Domylnaczcionkaakapitu"/>
    <w:link w:val="Nagwek3"/>
    <w:uiPriority w:val="98"/>
    <w:semiHidden/>
    <w:rsid w:val="00144EBC"/>
    <w:rPr>
      <w:rFonts w:asciiTheme="majorHAnsi" w:eastAsiaTheme="majorEastAsia" w:hAnsiTheme="majorHAnsi" w:cstheme="majorBidi"/>
      <w:b/>
      <w:bCs/>
      <w:color w:val="5F5F5F"/>
      <w:lang w:val="en-GB"/>
    </w:rPr>
  </w:style>
  <w:style w:type="paragraph" w:customStyle="1" w:styleId="JuHa0">
    <w:name w:val="Ju_H_a"/>
    <w:aliases w:val="_Head_5"/>
    <w:basedOn w:val="Nagwek5"/>
    <w:next w:val="JuPara"/>
    <w:uiPriority w:val="17"/>
    <w:rsid w:val="00144EBC"/>
    <w:pPr>
      <w:keepNext/>
      <w:keepLines/>
      <w:numPr>
        <w:ilvl w:val="4"/>
        <w:numId w:val="9"/>
      </w:numPr>
      <w:spacing w:before="100" w:beforeAutospacing="1" w:after="120"/>
      <w:jc w:val="both"/>
    </w:pPr>
    <w:rPr>
      <w:color w:val="auto"/>
      <w:sz w:val="20"/>
    </w:rPr>
  </w:style>
  <w:style w:type="character" w:customStyle="1" w:styleId="Nagwek4Znak">
    <w:name w:val="Nagłówek 4 Znak"/>
    <w:basedOn w:val="Domylnaczcionkaakapitu"/>
    <w:link w:val="Nagwek4"/>
    <w:uiPriority w:val="98"/>
    <w:semiHidden/>
    <w:rsid w:val="00144EBC"/>
    <w:rPr>
      <w:rFonts w:asciiTheme="majorHAnsi" w:eastAsiaTheme="majorEastAsia" w:hAnsiTheme="majorHAnsi" w:cstheme="majorBidi"/>
      <w:b/>
      <w:bCs/>
      <w:i/>
      <w:iCs/>
      <w:color w:val="777777"/>
      <w:lang w:val="en-GB"/>
    </w:rPr>
  </w:style>
  <w:style w:type="paragraph" w:customStyle="1" w:styleId="JuHi">
    <w:name w:val="Ju_H_i"/>
    <w:aliases w:val="_Head_6"/>
    <w:basedOn w:val="Nagwek6"/>
    <w:next w:val="JuPara"/>
    <w:uiPriority w:val="17"/>
    <w:rsid w:val="00144EBC"/>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5Znak">
    <w:name w:val="Nagłówek 5 Znak"/>
    <w:basedOn w:val="Domylnaczcionkaakapitu"/>
    <w:link w:val="Nagwek5"/>
    <w:uiPriority w:val="98"/>
    <w:semiHidden/>
    <w:rsid w:val="00144EBC"/>
    <w:rPr>
      <w:rFonts w:asciiTheme="majorHAnsi" w:eastAsiaTheme="majorEastAsia" w:hAnsiTheme="majorHAnsi" w:cstheme="majorBidi"/>
      <w:b/>
      <w:bCs/>
      <w:color w:val="808080"/>
      <w:lang w:val="en-GB"/>
    </w:rPr>
  </w:style>
  <w:style w:type="paragraph" w:customStyle="1" w:styleId="JuHalpha">
    <w:name w:val="Ju_H_alpha"/>
    <w:aliases w:val="_Head_7"/>
    <w:basedOn w:val="Nagwek7"/>
    <w:next w:val="JuPara"/>
    <w:uiPriority w:val="17"/>
    <w:rsid w:val="00144EBC"/>
    <w:pPr>
      <w:keepNext/>
      <w:keepLines/>
      <w:numPr>
        <w:ilvl w:val="6"/>
        <w:numId w:val="9"/>
      </w:numPr>
      <w:tabs>
        <w:tab w:val="left" w:pos="1361"/>
      </w:tabs>
      <w:spacing w:before="100" w:beforeAutospacing="1" w:after="120"/>
      <w:jc w:val="both"/>
    </w:pPr>
    <w:rPr>
      <w:i w:val="0"/>
      <w:sz w:val="20"/>
    </w:rPr>
  </w:style>
  <w:style w:type="character" w:customStyle="1" w:styleId="Nagwek6Znak">
    <w:name w:val="Nagłówek 6 Znak"/>
    <w:basedOn w:val="Domylnaczcionkaakapitu"/>
    <w:link w:val="Nagwek6"/>
    <w:uiPriority w:val="98"/>
    <w:semiHidden/>
    <w:rsid w:val="00144EBC"/>
    <w:rPr>
      <w:rFonts w:asciiTheme="majorHAnsi" w:eastAsiaTheme="majorEastAsia" w:hAnsiTheme="majorHAnsi" w:cstheme="majorBidi"/>
      <w:b/>
      <w:bCs/>
      <w:i/>
      <w:iCs/>
      <w:color w:val="7F7F7F" w:themeColor="text1" w:themeTint="80"/>
      <w:lang w:val="en-GB" w:bidi="en-US"/>
    </w:rPr>
  </w:style>
  <w:style w:type="paragraph" w:customStyle="1" w:styleId="JuH">
    <w:name w:val="Ju_H_–"/>
    <w:aliases w:val="_Head_8"/>
    <w:basedOn w:val="Nagwek8"/>
    <w:next w:val="JuPara"/>
    <w:uiPriority w:val="17"/>
    <w:rsid w:val="00144EBC"/>
    <w:pPr>
      <w:keepNext/>
      <w:keepLines/>
      <w:numPr>
        <w:ilvl w:val="7"/>
        <w:numId w:val="9"/>
      </w:numPr>
      <w:spacing w:before="100" w:beforeAutospacing="1" w:after="120"/>
      <w:jc w:val="both"/>
    </w:pPr>
    <w:rPr>
      <w:i/>
    </w:rPr>
  </w:style>
  <w:style w:type="character" w:customStyle="1" w:styleId="Nagwek7Znak">
    <w:name w:val="Nagłówek 7 Znak"/>
    <w:basedOn w:val="Domylnaczcionkaakapitu"/>
    <w:link w:val="Nagwek7"/>
    <w:uiPriority w:val="98"/>
    <w:semiHidden/>
    <w:rsid w:val="00144EBC"/>
    <w:rPr>
      <w:rFonts w:asciiTheme="majorHAnsi" w:eastAsiaTheme="majorEastAsia" w:hAnsiTheme="majorHAnsi" w:cstheme="majorBidi"/>
      <w:i/>
      <w:iCs/>
      <w:lang w:val="en-GB" w:bidi="en-US"/>
    </w:rPr>
  </w:style>
  <w:style w:type="paragraph" w:customStyle="1" w:styleId="JuParaLast">
    <w:name w:val="Ju_Para_Last"/>
    <w:aliases w:val="_Para_Spaced"/>
    <w:basedOn w:val="NormalJustified"/>
    <w:uiPriority w:val="5"/>
    <w:qFormat/>
    <w:rsid w:val="00144EBC"/>
    <w:pPr>
      <w:keepNext/>
      <w:keepLines/>
      <w:spacing w:before="240" w:after="240"/>
      <w:ind w:firstLine="284"/>
    </w:pPr>
  </w:style>
  <w:style w:type="table" w:customStyle="1" w:styleId="ECHRTableBoxHeader">
    <w:name w:val="ECHR_Table_Box_Header"/>
    <w:basedOn w:val="Standardowy"/>
    <w:rsid w:val="00144EB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Judges">
    <w:name w:val="Ju_Judges"/>
    <w:aliases w:val="_Judges"/>
    <w:basedOn w:val="Normalny"/>
    <w:uiPriority w:val="32"/>
    <w:qFormat/>
    <w:rsid w:val="00144EBC"/>
    <w:pPr>
      <w:tabs>
        <w:tab w:val="left" w:pos="567"/>
        <w:tab w:val="left" w:pos="1134"/>
      </w:tabs>
    </w:pPr>
  </w:style>
  <w:style w:type="paragraph" w:customStyle="1" w:styleId="JuList">
    <w:name w:val="Ju_List"/>
    <w:aliases w:val="_List_1"/>
    <w:basedOn w:val="NormalJustified"/>
    <w:uiPriority w:val="23"/>
    <w:qFormat/>
    <w:rsid w:val="00144EBC"/>
    <w:pPr>
      <w:numPr>
        <w:numId w:val="10"/>
      </w:numPr>
      <w:spacing w:before="280" w:after="60"/>
    </w:pPr>
  </w:style>
  <w:style w:type="paragraph" w:customStyle="1" w:styleId="JuLista">
    <w:name w:val="Ju_List_a"/>
    <w:aliases w:val="_List_2"/>
    <w:basedOn w:val="NormalJustified"/>
    <w:uiPriority w:val="23"/>
    <w:rsid w:val="00144EBC"/>
    <w:pPr>
      <w:numPr>
        <w:ilvl w:val="1"/>
        <w:numId w:val="10"/>
      </w:numPr>
    </w:pPr>
  </w:style>
  <w:style w:type="paragraph" w:customStyle="1" w:styleId="JuListi">
    <w:name w:val="Ju_List_i"/>
    <w:aliases w:val="_List_3"/>
    <w:basedOn w:val="NormalJustified"/>
    <w:uiPriority w:val="23"/>
    <w:rsid w:val="00144EBC"/>
    <w:pPr>
      <w:numPr>
        <w:ilvl w:val="2"/>
        <w:numId w:val="10"/>
      </w:numPr>
    </w:pPr>
  </w:style>
  <w:style w:type="table" w:customStyle="1" w:styleId="ECHRTableFax">
    <w:name w:val="ECHR_Table_Fax"/>
    <w:basedOn w:val="Standardowy"/>
    <w:uiPriority w:val="99"/>
    <w:rsid w:val="00144EBC"/>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ForInternalUse">
    <w:name w:val="ECHR_Table_For_Internal_Use"/>
    <w:basedOn w:val="Standardowy"/>
    <w:uiPriority w:val="99"/>
    <w:rsid w:val="00144EBC"/>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TableMemo">
    <w:name w:val="ECHR_Table_Memo"/>
    <w:basedOn w:val="Standardowy"/>
    <w:uiPriority w:val="99"/>
    <w:rsid w:val="00144EB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character" w:customStyle="1" w:styleId="Nagwek8Znak">
    <w:name w:val="Nagłówek 8 Znak"/>
    <w:basedOn w:val="Domylnaczcionkaakapitu"/>
    <w:link w:val="Nagwek8"/>
    <w:uiPriority w:val="98"/>
    <w:semiHidden/>
    <w:rsid w:val="00144EBC"/>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144EBC"/>
    <w:rPr>
      <w:rFonts w:asciiTheme="majorHAnsi" w:eastAsiaTheme="majorEastAsia" w:hAnsiTheme="majorHAnsi" w:cstheme="majorBidi"/>
      <w:i/>
      <w:iCs/>
      <w:spacing w:val="5"/>
      <w:sz w:val="20"/>
      <w:szCs w:val="20"/>
      <w:lang w:val="en-GB" w:bidi="en-US"/>
    </w:rPr>
  </w:style>
  <w:style w:type="paragraph" w:styleId="Tytu">
    <w:name w:val="Title"/>
    <w:basedOn w:val="Normalny"/>
    <w:next w:val="Normalny"/>
    <w:link w:val="TytuZnak"/>
    <w:uiPriority w:val="98"/>
    <w:semiHidden/>
    <w:qFormat/>
    <w:rsid w:val="00144EB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144EBC"/>
    <w:rPr>
      <w:rFonts w:asciiTheme="majorHAnsi" w:eastAsiaTheme="majorEastAsia" w:hAnsiTheme="majorHAnsi" w:cstheme="majorBidi"/>
      <w:spacing w:val="5"/>
      <w:sz w:val="52"/>
      <w:szCs w:val="52"/>
      <w:lang w:val="en-GB" w:bidi="en-US"/>
    </w:rPr>
  </w:style>
  <w:style w:type="paragraph" w:styleId="Podtytu">
    <w:name w:val="Subtitle"/>
    <w:basedOn w:val="Normalny"/>
    <w:next w:val="Normalny"/>
    <w:link w:val="PodtytuZnak"/>
    <w:uiPriority w:val="98"/>
    <w:semiHidden/>
    <w:qFormat/>
    <w:rsid w:val="00144EBC"/>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144EBC"/>
    <w:rPr>
      <w:rFonts w:asciiTheme="majorHAnsi" w:eastAsiaTheme="majorEastAsia" w:hAnsiTheme="majorHAnsi" w:cstheme="majorBidi"/>
      <w:i/>
      <w:iCs/>
      <w:spacing w:val="13"/>
      <w:sz w:val="24"/>
      <w:szCs w:val="24"/>
      <w:lang w:val="en-GB" w:bidi="en-US"/>
    </w:rPr>
  </w:style>
  <w:style w:type="character" w:styleId="Pogrubienie">
    <w:name w:val="Strong"/>
    <w:uiPriority w:val="98"/>
    <w:semiHidden/>
    <w:qFormat/>
    <w:rsid w:val="00144EBC"/>
    <w:rPr>
      <w:b/>
      <w:bCs/>
    </w:rPr>
  </w:style>
  <w:style w:type="character" w:styleId="Uwydatnienie">
    <w:name w:val="Emphasis"/>
    <w:uiPriority w:val="98"/>
    <w:semiHidden/>
    <w:qFormat/>
    <w:rsid w:val="00144EBC"/>
    <w:rPr>
      <w:b/>
      <w:bCs/>
      <w:i/>
      <w:iCs/>
      <w:spacing w:val="10"/>
      <w:bdr w:val="none" w:sz="0" w:space="0" w:color="auto"/>
      <w:shd w:val="clear" w:color="auto" w:fill="auto"/>
    </w:rPr>
  </w:style>
  <w:style w:type="paragraph" w:styleId="Bezodstpw">
    <w:name w:val="No Spacing"/>
    <w:basedOn w:val="Normalny"/>
    <w:link w:val="BezodstpwZnak"/>
    <w:uiPriority w:val="98"/>
    <w:semiHidden/>
    <w:qFormat/>
    <w:rsid w:val="00144EBC"/>
  </w:style>
  <w:style w:type="character" w:customStyle="1" w:styleId="BezodstpwZnak">
    <w:name w:val="Bez odstępów Znak"/>
    <w:basedOn w:val="Domylnaczcionkaakapitu"/>
    <w:link w:val="Bezodstpw"/>
    <w:uiPriority w:val="98"/>
    <w:semiHidden/>
    <w:rsid w:val="00144EBC"/>
    <w:rPr>
      <w:sz w:val="24"/>
      <w:szCs w:val="24"/>
      <w:lang w:val="en-GB"/>
    </w:rPr>
  </w:style>
  <w:style w:type="paragraph" w:styleId="Akapitzlist">
    <w:name w:val="List Paragraph"/>
    <w:basedOn w:val="Normalny"/>
    <w:uiPriority w:val="98"/>
    <w:semiHidden/>
    <w:qFormat/>
    <w:rsid w:val="00144EBC"/>
    <w:pPr>
      <w:ind w:left="720"/>
      <w:contextualSpacing/>
    </w:pPr>
  </w:style>
  <w:style w:type="paragraph" w:styleId="Cytat">
    <w:name w:val="Quote"/>
    <w:basedOn w:val="Normalny"/>
    <w:next w:val="Normalny"/>
    <w:link w:val="CytatZnak"/>
    <w:uiPriority w:val="98"/>
    <w:semiHidden/>
    <w:qFormat/>
    <w:rsid w:val="00144EBC"/>
    <w:pPr>
      <w:spacing w:before="200"/>
      <w:ind w:left="360" w:right="360"/>
    </w:pPr>
    <w:rPr>
      <w:i/>
      <w:iCs/>
      <w:lang w:bidi="en-US"/>
    </w:rPr>
  </w:style>
  <w:style w:type="character" w:customStyle="1" w:styleId="CytatZnak">
    <w:name w:val="Cytat Znak"/>
    <w:basedOn w:val="Domylnaczcionkaakapitu"/>
    <w:link w:val="Cytat"/>
    <w:uiPriority w:val="98"/>
    <w:semiHidden/>
    <w:rsid w:val="00144EBC"/>
    <w:rPr>
      <w:i/>
      <w:iCs/>
      <w:sz w:val="24"/>
      <w:szCs w:val="24"/>
      <w:lang w:val="en-GB" w:bidi="en-US"/>
    </w:rPr>
  </w:style>
  <w:style w:type="paragraph" w:styleId="Cytatintensywny">
    <w:name w:val="Intense Quote"/>
    <w:basedOn w:val="Normalny"/>
    <w:next w:val="Normalny"/>
    <w:link w:val="CytatintensywnyZnak"/>
    <w:uiPriority w:val="98"/>
    <w:semiHidden/>
    <w:qFormat/>
    <w:rsid w:val="00144EBC"/>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144EBC"/>
    <w:rPr>
      <w:b/>
      <w:bCs/>
      <w:i/>
      <w:iCs/>
      <w:sz w:val="24"/>
      <w:szCs w:val="24"/>
      <w:lang w:val="en-GB" w:bidi="en-US"/>
    </w:rPr>
  </w:style>
  <w:style w:type="character" w:styleId="Wyrnieniedelikatne">
    <w:name w:val="Subtle Emphasis"/>
    <w:uiPriority w:val="98"/>
    <w:semiHidden/>
    <w:qFormat/>
    <w:rsid w:val="00144EBC"/>
    <w:rPr>
      <w:i/>
      <w:iCs/>
    </w:rPr>
  </w:style>
  <w:style w:type="character" w:styleId="Wyrnienieintensywne">
    <w:name w:val="Intense Emphasis"/>
    <w:uiPriority w:val="98"/>
    <w:semiHidden/>
    <w:qFormat/>
    <w:rsid w:val="00144EBC"/>
    <w:rPr>
      <w:b/>
      <w:bCs/>
    </w:rPr>
  </w:style>
  <w:style w:type="character" w:styleId="Odwoaniedelikatne">
    <w:name w:val="Subtle Reference"/>
    <w:uiPriority w:val="98"/>
    <w:semiHidden/>
    <w:qFormat/>
    <w:rsid w:val="00144EBC"/>
    <w:rPr>
      <w:smallCaps/>
    </w:rPr>
  </w:style>
  <w:style w:type="character" w:styleId="Odwoanieintensywne">
    <w:name w:val="Intense Reference"/>
    <w:uiPriority w:val="98"/>
    <w:semiHidden/>
    <w:qFormat/>
    <w:rsid w:val="00144EBC"/>
    <w:rPr>
      <w:smallCaps/>
      <w:spacing w:val="5"/>
      <w:u w:val="single"/>
    </w:rPr>
  </w:style>
  <w:style w:type="character" w:styleId="Tytuksiki">
    <w:name w:val="Book Title"/>
    <w:uiPriority w:val="98"/>
    <w:semiHidden/>
    <w:qFormat/>
    <w:rsid w:val="00144EBC"/>
    <w:rPr>
      <w:i/>
      <w:iCs/>
      <w:smallCaps/>
      <w:spacing w:val="5"/>
    </w:rPr>
  </w:style>
  <w:style w:type="paragraph" w:styleId="Nagwekspisutreci">
    <w:name w:val="TOC Heading"/>
    <w:basedOn w:val="Normalny"/>
    <w:next w:val="Normalny"/>
    <w:uiPriority w:val="98"/>
    <w:semiHidden/>
    <w:qFormat/>
    <w:rsid w:val="00144EBC"/>
    <w:pPr>
      <w:keepNext/>
      <w:keepLines/>
      <w:spacing w:before="240"/>
      <w:contextualSpacing/>
      <w:jc w:val="center"/>
    </w:pPr>
    <w:rPr>
      <w:rFonts w:asciiTheme="majorHAnsi" w:hAnsiTheme="majorHAnsi"/>
      <w:b/>
      <w:color w:val="474747" w:themeColor="accent3" w:themeShade="BF"/>
      <w:sz w:val="28"/>
    </w:rPr>
  </w:style>
  <w:style w:type="numbering" w:styleId="111111">
    <w:name w:val="Outline List 2"/>
    <w:basedOn w:val="Bezlisty"/>
    <w:uiPriority w:val="99"/>
    <w:semiHidden/>
    <w:unhideWhenUsed/>
    <w:rsid w:val="00144EBC"/>
    <w:pPr>
      <w:numPr>
        <w:numId w:val="1"/>
      </w:numPr>
    </w:pPr>
  </w:style>
  <w:style w:type="numbering" w:styleId="1ai">
    <w:name w:val="Outline List 1"/>
    <w:basedOn w:val="Bezlisty"/>
    <w:uiPriority w:val="99"/>
    <w:semiHidden/>
    <w:unhideWhenUsed/>
    <w:rsid w:val="00144EBC"/>
    <w:pPr>
      <w:numPr>
        <w:numId w:val="2"/>
      </w:numPr>
    </w:pPr>
  </w:style>
  <w:style w:type="numbering" w:styleId="Artykusekcja">
    <w:name w:val="Outline List 3"/>
    <w:basedOn w:val="Bezlisty"/>
    <w:uiPriority w:val="99"/>
    <w:semiHidden/>
    <w:unhideWhenUsed/>
    <w:rsid w:val="00144EBC"/>
    <w:pPr>
      <w:numPr>
        <w:numId w:val="3"/>
      </w:numPr>
    </w:pPr>
  </w:style>
  <w:style w:type="paragraph" w:styleId="Bibliografia">
    <w:name w:val="Bibliography"/>
    <w:basedOn w:val="Normalny"/>
    <w:next w:val="Normalny"/>
    <w:uiPriority w:val="98"/>
    <w:semiHidden/>
    <w:rsid w:val="00144EBC"/>
  </w:style>
  <w:style w:type="paragraph" w:styleId="Tekstblokowy">
    <w:name w:val="Block Text"/>
    <w:basedOn w:val="Normalny"/>
    <w:uiPriority w:val="98"/>
    <w:semiHidden/>
    <w:rsid w:val="00144EB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8"/>
    <w:semiHidden/>
    <w:rsid w:val="00144EBC"/>
    <w:pPr>
      <w:spacing w:after="120"/>
    </w:pPr>
  </w:style>
  <w:style w:type="character" w:customStyle="1" w:styleId="TekstpodstawowyZnak">
    <w:name w:val="Tekst podstawowy Znak"/>
    <w:basedOn w:val="Domylnaczcionkaakapitu"/>
    <w:link w:val="Tekstpodstawowy"/>
    <w:uiPriority w:val="98"/>
    <w:semiHidden/>
    <w:rsid w:val="00144EBC"/>
    <w:rPr>
      <w:sz w:val="24"/>
      <w:szCs w:val="24"/>
      <w:lang w:val="en-GB"/>
    </w:rPr>
  </w:style>
  <w:style w:type="paragraph" w:styleId="Tekstpodstawowy2">
    <w:name w:val="Body Text 2"/>
    <w:basedOn w:val="Normalny"/>
    <w:link w:val="Tekstpodstawowy2Znak"/>
    <w:uiPriority w:val="98"/>
    <w:semiHidden/>
    <w:rsid w:val="00144EBC"/>
    <w:pPr>
      <w:spacing w:after="120" w:line="480" w:lineRule="auto"/>
    </w:pPr>
  </w:style>
  <w:style w:type="character" w:customStyle="1" w:styleId="Tekstpodstawowy2Znak">
    <w:name w:val="Tekst podstawowy 2 Znak"/>
    <w:basedOn w:val="Domylnaczcionkaakapitu"/>
    <w:link w:val="Tekstpodstawowy2"/>
    <w:uiPriority w:val="98"/>
    <w:semiHidden/>
    <w:rsid w:val="00144EBC"/>
    <w:rPr>
      <w:sz w:val="24"/>
      <w:szCs w:val="24"/>
      <w:lang w:val="en-GB"/>
    </w:rPr>
  </w:style>
  <w:style w:type="paragraph" w:styleId="Tekstpodstawowy3">
    <w:name w:val="Body Text 3"/>
    <w:basedOn w:val="Normalny"/>
    <w:link w:val="Tekstpodstawowy3Znak"/>
    <w:uiPriority w:val="98"/>
    <w:semiHidden/>
    <w:rsid w:val="00144EBC"/>
    <w:pPr>
      <w:spacing w:after="120"/>
    </w:pPr>
    <w:rPr>
      <w:sz w:val="16"/>
      <w:szCs w:val="16"/>
    </w:rPr>
  </w:style>
  <w:style w:type="character" w:customStyle="1" w:styleId="Tekstpodstawowy3Znak">
    <w:name w:val="Tekst podstawowy 3 Znak"/>
    <w:basedOn w:val="Domylnaczcionkaakapitu"/>
    <w:link w:val="Tekstpodstawowy3"/>
    <w:uiPriority w:val="98"/>
    <w:semiHidden/>
    <w:rsid w:val="00144EBC"/>
    <w:rPr>
      <w:sz w:val="16"/>
      <w:szCs w:val="16"/>
      <w:lang w:val="en-GB"/>
    </w:rPr>
  </w:style>
  <w:style w:type="paragraph" w:styleId="Tekstpodstawowyzwciciem">
    <w:name w:val="Body Text First Indent"/>
    <w:basedOn w:val="Tekstpodstawowy"/>
    <w:link w:val="TekstpodstawowyzwciciemZnak"/>
    <w:uiPriority w:val="98"/>
    <w:semiHidden/>
    <w:rsid w:val="00144EBC"/>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144EBC"/>
    <w:rPr>
      <w:sz w:val="24"/>
      <w:szCs w:val="24"/>
      <w:lang w:val="en-GB"/>
    </w:rPr>
  </w:style>
  <w:style w:type="paragraph" w:styleId="Tekstpodstawowywcity">
    <w:name w:val="Body Text Indent"/>
    <w:basedOn w:val="Normalny"/>
    <w:link w:val="TekstpodstawowywcityZnak"/>
    <w:uiPriority w:val="98"/>
    <w:semiHidden/>
    <w:rsid w:val="00144EBC"/>
    <w:pPr>
      <w:spacing w:after="120"/>
      <w:ind w:left="283"/>
    </w:pPr>
  </w:style>
  <w:style w:type="character" w:customStyle="1" w:styleId="TekstpodstawowywcityZnak">
    <w:name w:val="Tekst podstawowy wcięty Znak"/>
    <w:basedOn w:val="Domylnaczcionkaakapitu"/>
    <w:link w:val="Tekstpodstawowywcity"/>
    <w:uiPriority w:val="98"/>
    <w:semiHidden/>
    <w:rsid w:val="00144EBC"/>
    <w:rPr>
      <w:sz w:val="24"/>
      <w:szCs w:val="24"/>
      <w:lang w:val="en-GB"/>
    </w:rPr>
  </w:style>
  <w:style w:type="paragraph" w:styleId="Tekstpodstawowyzwciciem2">
    <w:name w:val="Body Text First Indent 2"/>
    <w:basedOn w:val="Tekstpodstawowywcity"/>
    <w:link w:val="Tekstpodstawowyzwciciem2Znak"/>
    <w:uiPriority w:val="98"/>
    <w:semiHidden/>
    <w:rsid w:val="00144EBC"/>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144EBC"/>
    <w:rPr>
      <w:sz w:val="24"/>
      <w:szCs w:val="24"/>
      <w:lang w:val="en-GB"/>
    </w:rPr>
  </w:style>
  <w:style w:type="paragraph" w:styleId="Tekstpodstawowywcity2">
    <w:name w:val="Body Text Indent 2"/>
    <w:basedOn w:val="Normalny"/>
    <w:link w:val="Tekstpodstawowywcity2Znak"/>
    <w:uiPriority w:val="98"/>
    <w:semiHidden/>
    <w:rsid w:val="00144EBC"/>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144EBC"/>
    <w:rPr>
      <w:sz w:val="24"/>
      <w:szCs w:val="24"/>
      <w:lang w:val="en-GB"/>
    </w:rPr>
  </w:style>
  <w:style w:type="paragraph" w:styleId="Tekstpodstawowywcity3">
    <w:name w:val="Body Text Indent 3"/>
    <w:basedOn w:val="Normalny"/>
    <w:link w:val="Tekstpodstawowywcity3Znak"/>
    <w:uiPriority w:val="98"/>
    <w:semiHidden/>
    <w:rsid w:val="00144EB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144EBC"/>
    <w:rPr>
      <w:sz w:val="16"/>
      <w:szCs w:val="16"/>
      <w:lang w:val="en-GB"/>
    </w:rPr>
  </w:style>
  <w:style w:type="paragraph" w:styleId="Legenda">
    <w:name w:val="caption"/>
    <w:basedOn w:val="Normalny"/>
    <w:next w:val="Normalny"/>
    <w:uiPriority w:val="98"/>
    <w:semiHidden/>
    <w:qFormat/>
    <w:rsid w:val="00144EBC"/>
    <w:pPr>
      <w:spacing w:after="200"/>
    </w:pPr>
    <w:rPr>
      <w:b/>
      <w:bCs/>
      <w:color w:val="0072BC" w:themeColor="accent1"/>
      <w:sz w:val="18"/>
      <w:szCs w:val="18"/>
    </w:rPr>
  </w:style>
  <w:style w:type="paragraph" w:styleId="Zwrotpoegnalny">
    <w:name w:val="Closing"/>
    <w:basedOn w:val="Normalny"/>
    <w:link w:val="ZwrotpoegnalnyZnak"/>
    <w:uiPriority w:val="98"/>
    <w:semiHidden/>
    <w:rsid w:val="00144EBC"/>
    <w:pPr>
      <w:ind w:left="4252"/>
    </w:pPr>
  </w:style>
  <w:style w:type="character" w:customStyle="1" w:styleId="ZwrotpoegnalnyZnak">
    <w:name w:val="Zwrot pożegnalny Znak"/>
    <w:basedOn w:val="Domylnaczcionkaakapitu"/>
    <w:link w:val="Zwrotpoegnalny"/>
    <w:uiPriority w:val="98"/>
    <w:semiHidden/>
    <w:rsid w:val="00144EBC"/>
    <w:rPr>
      <w:sz w:val="24"/>
      <w:szCs w:val="24"/>
      <w:lang w:val="en-GB"/>
    </w:rPr>
  </w:style>
  <w:style w:type="table" w:styleId="Kolorowasiatka">
    <w:name w:val="Colorful Grid"/>
    <w:basedOn w:val="Standardowy"/>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144EBC"/>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144EBC"/>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144EBC"/>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144EBC"/>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144EBC"/>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144EBC"/>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144EBC"/>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144EBC"/>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144EBC"/>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144EB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144EB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8"/>
    <w:semiHidden/>
    <w:rsid w:val="00144EBC"/>
    <w:rPr>
      <w:b/>
      <w:bCs/>
    </w:rPr>
  </w:style>
  <w:style w:type="character" w:customStyle="1" w:styleId="TematkomentarzaZnak">
    <w:name w:val="Temat komentarza Znak"/>
    <w:basedOn w:val="TekstkomentarzaZnak"/>
    <w:link w:val="Tematkomentarza"/>
    <w:uiPriority w:val="98"/>
    <w:semiHidden/>
    <w:rsid w:val="00144EBC"/>
    <w:rPr>
      <w:b/>
      <w:bCs/>
      <w:sz w:val="20"/>
      <w:szCs w:val="20"/>
      <w:lang w:val="en-GB"/>
    </w:rPr>
  </w:style>
  <w:style w:type="table" w:styleId="Ciemnalista">
    <w:name w:val="Dark List"/>
    <w:basedOn w:val="Standardowy"/>
    <w:uiPriority w:val="70"/>
    <w:semiHidden/>
    <w:rsid w:val="00144EBC"/>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144EBC"/>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144EBC"/>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144EBC"/>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144EBC"/>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144EBC"/>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144EBC"/>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144EBC"/>
  </w:style>
  <w:style w:type="character" w:customStyle="1" w:styleId="DataZnak">
    <w:name w:val="Data Znak"/>
    <w:basedOn w:val="Domylnaczcionkaakapitu"/>
    <w:link w:val="Data"/>
    <w:uiPriority w:val="98"/>
    <w:semiHidden/>
    <w:rsid w:val="00144EBC"/>
    <w:rPr>
      <w:sz w:val="24"/>
      <w:szCs w:val="24"/>
      <w:lang w:val="en-GB"/>
    </w:rPr>
  </w:style>
  <w:style w:type="paragraph" w:styleId="Mapadokumentu">
    <w:name w:val="Document Map"/>
    <w:basedOn w:val="Normalny"/>
    <w:link w:val="MapadokumentuZnak"/>
    <w:uiPriority w:val="98"/>
    <w:semiHidden/>
    <w:rsid w:val="00144EBC"/>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144EBC"/>
    <w:rPr>
      <w:rFonts w:ascii="Tahoma" w:hAnsi="Tahoma" w:cs="Tahoma"/>
      <w:sz w:val="16"/>
      <w:szCs w:val="16"/>
      <w:lang w:val="en-GB"/>
    </w:rPr>
  </w:style>
  <w:style w:type="paragraph" w:styleId="Podpise-mail">
    <w:name w:val="E-mail Signature"/>
    <w:basedOn w:val="Normalny"/>
    <w:link w:val="Podpise-mailZnak"/>
    <w:uiPriority w:val="98"/>
    <w:semiHidden/>
    <w:rsid w:val="00144EBC"/>
  </w:style>
  <w:style w:type="character" w:customStyle="1" w:styleId="Podpise-mailZnak">
    <w:name w:val="Podpis e-mail Znak"/>
    <w:basedOn w:val="Domylnaczcionkaakapitu"/>
    <w:link w:val="Podpise-mail"/>
    <w:uiPriority w:val="98"/>
    <w:semiHidden/>
    <w:rsid w:val="00144EBC"/>
    <w:rPr>
      <w:sz w:val="24"/>
      <w:szCs w:val="24"/>
      <w:lang w:val="en-GB"/>
    </w:rPr>
  </w:style>
  <w:style w:type="character" w:styleId="Odwoanieprzypisukocowego">
    <w:name w:val="endnote reference"/>
    <w:basedOn w:val="Domylnaczcionkaakapitu"/>
    <w:uiPriority w:val="98"/>
    <w:semiHidden/>
    <w:rsid w:val="00144EBC"/>
    <w:rPr>
      <w:vertAlign w:val="superscript"/>
    </w:rPr>
  </w:style>
  <w:style w:type="paragraph" w:styleId="Tekstprzypisukocowego">
    <w:name w:val="endnote text"/>
    <w:basedOn w:val="Normalny"/>
    <w:link w:val="TekstprzypisukocowegoZnak"/>
    <w:uiPriority w:val="98"/>
    <w:semiHidden/>
    <w:rsid w:val="00144EBC"/>
    <w:rPr>
      <w:sz w:val="20"/>
      <w:szCs w:val="20"/>
    </w:rPr>
  </w:style>
  <w:style w:type="character" w:customStyle="1" w:styleId="TekstprzypisukocowegoZnak">
    <w:name w:val="Tekst przypisu końcowego Znak"/>
    <w:basedOn w:val="Domylnaczcionkaakapitu"/>
    <w:link w:val="Tekstprzypisukocowego"/>
    <w:uiPriority w:val="98"/>
    <w:semiHidden/>
    <w:rsid w:val="00144EBC"/>
    <w:rPr>
      <w:sz w:val="20"/>
      <w:szCs w:val="20"/>
      <w:lang w:val="en-GB"/>
    </w:rPr>
  </w:style>
  <w:style w:type="paragraph" w:styleId="Adresnakopercie">
    <w:name w:val="envelope address"/>
    <w:basedOn w:val="Normalny"/>
    <w:uiPriority w:val="98"/>
    <w:semiHidden/>
    <w:rsid w:val="00144EBC"/>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144EBC"/>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144EBC"/>
    <w:rPr>
      <w:color w:val="7030A0" w:themeColor="followedHyperlink"/>
      <w:u w:val="single"/>
    </w:rPr>
  </w:style>
  <w:style w:type="character" w:styleId="Odwoanieprzypisudolnego">
    <w:name w:val="footnote reference"/>
    <w:basedOn w:val="Domylnaczcionkaakapitu"/>
    <w:uiPriority w:val="98"/>
    <w:semiHidden/>
    <w:rsid w:val="00144EBC"/>
    <w:rPr>
      <w:vertAlign w:val="superscript"/>
    </w:rPr>
  </w:style>
  <w:style w:type="paragraph" w:styleId="Tekstprzypisudolnego">
    <w:name w:val="footnote text"/>
    <w:basedOn w:val="Normalny"/>
    <w:link w:val="TekstprzypisudolnegoZnak"/>
    <w:uiPriority w:val="98"/>
    <w:semiHidden/>
    <w:rsid w:val="00144EBC"/>
    <w:rPr>
      <w:sz w:val="20"/>
      <w:szCs w:val="20"/>
    </w:rPr>
  </w:style>
  <w:style w:type="character" w:customStyle="1" w:styleId="TekstprzypisudolnegoZnak">
    <w:name w:val="Tekst przypisu dolnego Znak"/>
    <w:basedOn w:val="Domylnaczcionkaakapitu"/>
    <w:link w:val="Tekstprzypisudolnego"/>
    <w:uiPriority w:val="98"/>
    <w:semiHidden/>
    <w:rsid w:val="00144EBC"/>
    <w:rPr>
      <w:sz w:val="20"/>
      <w:szCs w:val="20"/>
      <w:lang w:val="en-GB"/>
    </w:rPr>
  </w:style>
  <w:style w:type="character" w:styleId="HTML-akronim">
    <w:name w:val="HTML Acronym"/>
    <w:basedOn w:val="Domylnaczcionkaakapitu"/>
    <w:uiPriority w:val="98"/>
    <w:semiHidden/>
    <w:rsid w:val="00144EBC"/>
  </w:style>
  <w:style w:type="paragraph" w:styleId="HTML-adres">
    <w:name w:val="HTML Address"/>
    <w:basedOn w:val="Normalny"/>
    <w:link w:val="HTML-adresZnak"/>
    <w:uiPriority w:val="98"/>
    <w:semiHidden/>
    <w:rsid w:val="00144EBC"/>
    <w:rPr>
      <w:i/>
      <w:iCs/>
    </w:rPr>
  </w:style>
  <w:style w:type="character" w:customStyle="1" w:styleId="HTML-adresZnak">
    <w:name w:val="HTML - adres Znak"/>
    <w:basedOn w:val="Domylnaczcionkaakapitu"/>
    <w:link w:val="HTML-adres"/>
    <w:uiPriority w:val="98"/>
    <w:semiHidden/>
    <w:rsid w:val="00144EBC"/>
    <w:rPr>
      <w:i/>
      <w:iCs/>
      <w:sz w:val="24"/>
      <w:szCs w:val="24"/>
      <w:lang w:val="en-GB"/>
    </w:rPr>
  </w:style>
  <w:style w:type="character" w:styleId="HTML-cytat">
    <w:name w:val="HTML Cite"/>
    <w:basedOn w:val="Domylnaczcionkaakapitu"/>
    <w:uiPriority w:val="98"/>
    <w:semiHidden/>
    <w:rsid w:val="00144EBC"/>
    <w:rPr>
      <w:i/>
      <w:iCs/>
    </w:rPr>
  </w:style>
  <w:style w:type="character" w:styleId="HTML-kod">
    <w:name w:val="HTML Code"/>
    <w:basedOn w:val="Domylnaczcionkaakapitu"/>
    <w:uiPriority w:val="98"/>
    <w:semiHidden/>
    <w:rsid w:val="00144EBC"/>
    <w:rPr>
      <w:rFonts w:ascii="Consolas" w:hAnsi="Consolas" w:cs="Consolas"/>
      <w:sz w:val="20"/>
      <w:szCs w:val="20"/>
    </w:rPr>
  </w:style>
  <w:style w:type="character" w:styleId="HTML-definicja">
    <w:name w:val="HTML Definition"/>
    <w:basedOn w:val="Domylnaczcionkaakapitu"/>
    <w:uiPriority w:val="98"/>
    <w:semiHidden/>
    <w:rsid w:val="00144EBC"/>
    <w:rPr>
      <w:i/>
      <w:iCs/>
    </w:rPr>
  </w:style>
  <w:style w:type="character" w:styleId="HTML-klawiatura">
    <w:name w:val="HTML Keyboard"/>
    <w:basedOn w:val="Domylnaczcionkaakapitu"/>
    <w:uiPriority w:val="98"/>
    <w:semiHidden/>
    <w:rsid w:val="00144EBC"/>
    <w:rPr>
      <w:rFonts w:ascii="Consolas" w:hAnsi="Consolas" w:cs="Consolas"/>
      <w:sz w:val="20"/>
      <w:szCs w:val="20"/>
    </w:rPr>
  </w:style>
  <w:style w:type="paragraph" w:styleId="HTML-wstpniesformatowany">
    <w:name w:val="HTML Preformatted"/>
    <w:basedOn w:val="Normalny"/>
    <w:link w:val="HTML-wstpniesformatowanyZnak"/>
    <w:uiPriority w:val="98"/>
    <w:semiHidden/>
    <w:rsid w:val="00144EBC"/>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144EBC"/>
    <w:rPr>
      <w:rFonts w:ascii="Consolas" w:hAnsi="Consolas" w:cs="Consolas"/>
      <w:sz w:val="20"/>
      <w:szCs w:val="20"/>
      <w:lang w:val="en-GB"/>
    </w:rPr>
  </w:style>
  <w:style w:type="character" w:styleId="HTML-przykad">
    <w:name w:val="HTML Sample"/>
    <w:basedOn w:val="Domylnaczcionkaakapitu"/>
    <w:uiPriority w:val="98"/>
    <w:semiHidden/>
    <w:rsid w:val="00144EBC"/>
    <w:rPr>
      <w:rFonts w:ascii="Consolas" w:hAnsi="Consolas" w:cs="Consolas"/>
      <w:sz w:val="24"/>
      <w:szCs w:val="24"/>
    </w:rPr>
  </w:style>
  <w:style w:type="character" w:styleId="HTML-staaszeroko">
    <w:name w:val="HTML Typewriter"/>
    <w:basedOn w:val="Domylnaczcionkaakapitu"/>
    <w:uiPriority w:val="98"/>
    <w:semiHidden/>
    <w:rsid w:val="00144EBC"/>
    <w:rPr>
      <w:rFonts w:ascii="Consolas" w:hAnsi="Consolas" w:cs="Consolas"/>
      <w:sz w:val="20"/>
      <w:szCs w:val="20"/>
    </w:rPr>
  </w:style>
  <w:style w:type="character" w:styleId="HTML-zmienna">
    <w:name w:val="HTML Variable"/>
    <w:basedOn w:val="Domylnaczcionkaakapitu"/>
    <w:uiPriority w:val="98"/>
    <w:semiHidden/>
    <w:rsid w:val="00144EBC"/>
    <w:rPr>
      <w:i/>
      <w:iCs/>
    </w:rPr>
  </w:style>
  <w:style w:type="character" w:styleId="Hipercze">
    <w:name w:val="Hyperlink"/>
    <w:basedOn w:val="Domylnaczcionkaakapitu"/>
    <w:uiPriority w:val="98"/>
    <w:semiHidden/>
    <w:rsid w:val="00144EBC"/>
    <w:rPr>
      <w:color w:val="0072BC" w:themeColor="hyperlink"/>
      <w:u w:val="single"/>
    </w:rPr>
  </w:style>
  <w:style w:type="paragraph" w:styleId="Indeks1">
    <w:name w:val="index 1"/>
    <w:basedOn w:val="Normalny"/>
    <w:next w:val="Normalny"/>
    <w:autoRedefine/>
    <w:uiPriority w:val="98"/>
    <w:semiHidden/>
    <w:rsid w:val="00144EBC"/>
    <w:pPr>
      <w:ind w:left="240" w:hanging="240"/>
    </w:pPr>
  </w:style>
  <w:style w:type="paragraph" w:styleId="Indeks2">
    <w:name w:val="index 2"/>
    <w:basedOn w:val="Normalny"/>
    <w:next w:val="Normalny"/>
    <w:autoRedefine/>
    <w:uiPriority w:val="98"/>
    <w:semiHidden/>
    <w:rsid w:val="00144EBC"/>
    <w:pPr>
      <w:ind w:left="480" w:hanging="240"/>
    </w:pPr>
  </w:style>
  <w:style w:type="paragraph" w:styleId="Indeks3">
    <w:name w:val="index 3"/>
    <w:basedOn w:val="Normalny"/>
    <w:next w:val="Normalny"/>
    <w:autoRedefine/>
    <w:uiPriority w:val="98"/>
    <w:semiHidden/>
    <w:rsid w:val="00144EBC"/>
    <w:pPr>
      <w:ind w:left="720" w:hanging="240"/>
    </w:pPr>
  </w:style>
  <w:style w:type="paragraph" w:styleId="Indeks4">
    <w:name w:val="index 4"/>
    <w:basedOn w:val="Normalny"/>
    <w:next w:val="Normalny"/>
    <w:autoRedefine/>
    <w:uiPriority w:val="98"/>
    <w:semiHidden/>
    <w:rsid w:val="00144EBC"/>
    <w:pPr>
      <w:ind w:left="960" w:hanging="240"/>
    </w:pPr>
  </w:style>
  <w:style w:type="paragraph" w:styleId="Indeks5">
    <w:name w:val="index 5"/>
    <w:basedOn w:val="Normalny"/>
    <w:next w:val="Normalny"/>
    <w:autoRedefine/>
    <w:uiPriority w:val="98"/>
    <w:semiHidden/>
    <w:rsid w:val="00144EBC"/>
    <w:pPr>
      <w:ind w:left="1200" w:hanging="240"/>
    </w:pPr>
  </w:style>
  <w:style w:type="paragraph" w:styleId="Indeks6">
    <w:name w:val="index 6"/>
    <w:basedOn w:val="Normalny"/>
    <w:next w:val="Normalny"/>
    <w:autoRedefine/>
    <w:uiPriority w:val="98"/>
    <w:semiHidden/>
    <w:rsid w:val="00144EBC"/>
    <w:pPr>
      <w:ind w:left="1440" w:hanging="240"/>
    </w:pPr>
  </w:style>
  <w:style w:type="paragraph" w:styleId="Indeks7">
    <w:name w:val="index 7"/>
    <w:basedOn w:val="Normalny"/>
    <w:next w:val="Normalny"/>
    <w:autoRedefine/>
    <w:uiPriority w:val="98"/>
    <w:semiHidden/>
    <w:rsid w:val="00144EBC"/>
    <w:pPr>
      <w:ind w:left="1680" w:hanging="240"/>
    </w:pPr>
  </w:style>
  <w:style w:type="paragraph" w:styleId="Indeks8">
    <w:name w:val="index 8"/>
    <w:basedOn w:val="Normalny"/>
    <w:next w:val="Normalny"/>
    <w:autoRedefine/>
    <w:uiPriority w:val="98"/>
    <w:semiHidden/>
    <w:rsid w:val="00144EBC"/>
    <w:pPr>
      <w:ind w:left="1920" w:hanging="240"/>
    </w:pPr>
  </w:style>
  <w:style w:type="paragraph" w:styleId="Indeks9">
    <w:name w:val="index 9"/>
    <w:basedOn w:val="Normalny"/>
    <w:next w:val="Normalny"/>
    <w:autoRedefine/>
    <w:uiPriority w:val="98"/>
    <w:semiHidden/>
    <w:rsid w:val="00144EBC"/>
    <w:pPr>
      <w:ind w:left="2160" w:hanging="240"/>
    </w:pPr>
  </w:style>
  <w:style w:type="paragraph" w:styleId="Nagwekindeksu">
    <w:name w:val="index heading"/>
    <w:basedOn w:val="Normalny"/>
    <w:next w:val="Indeks1"/>
    <w:uiPriority w:val="98"/>
    <w:semiHidden/>
    <w:rsid w:val="00144EBC"/>
    <w:rPr>
      <w:rFonts w:asciiTheme="majorHAnsi" w:eastAsiaTheme="majorEastAsia" w:hAnsiTheme="majorHAnsi" w:cstheme="majorBidi"/>
      <w:b/>
      <w:bCs/>
    </w:rPr>
  </w:style>
  <w:style w:type="table" w:styleId="Jasnasiatka">
    <w:name w:val="Light Grid"/>
    <w:basedOn w:val="Standardowy"/>
    <w:uiPriority w:val="62"/>
    <w:semiHidden/>
    <w:rsid w:val="00144EB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144EB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144EB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144EB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144EB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144EB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144EB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144EB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144EB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144EB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144EB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144EB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144EB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144EB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144EB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144EB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144EB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144EBC"/>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144EB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144EB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144EB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144EBC"/>
  </w:style>
  <w:style w:type="paragraph" w:styleId="Lista">
    <w:name w:val="List"/>
    <w:basedOn w:val="Normalny"/>
    <w:uiPriority w:val="98"/>
    <w:semiHidden/>
    <w:rsid w:val="00144EBC"/>
    <w:pPr>
      <w:ind w:left="283" w:hanging="283"/>
      <w:contextualSpacing/>
    </w:pPr>
  </w:style>
  <w:style w:type="paragraph" w:styleId="Lista2">
    <w:name w:val="List 2"/>
    <w:basedOn w:val="Normalny"/>
    <w:uiPriority w:val="98"/>
    <w:semiHidden/>
    <w:rsid w:val="00144EBC"/>
    <w:pPr>
      <w:ind w:left="566" w:hanging="283"/>
      <w:contextualSpacing/>
    </w:pPr>
  </w:style>
  <w:style w:type="paragraph" w:styleId="Lista3">
    <w:name w:val="List 3"/>
    <w:basedOn w:val="Normalny"/>
    <w:uiPriority w:val="98"/>
    <w:semiHidden/>
    <w:rsid w:val="00144EBC"/>
    <w:pPr>
      <w:ind w:left="849" w:hanging="283"/>
      <w:contextualSpacing/>
    </w:pPr>
  </w:style>
  <w:style w:type="paragraph" w:styleId="Lista4">
    <w:name w:val="List 4"/>
    <w:basedOn w:val="Normalny"/>
    <w:uiPriority w:val="98"/>
    <w:semiHidden/>
    <w:rsid w:val="00144EBC"/>
    <w:pPr>
      <w:ind w:left="1132" w:hanging="283"/>
      <w:contextualSpacing/>
    </w:pPr>
  </w:style>
  <w:style w:type="paragraph" w:styleId="Lista5">
    <w:name w:val="List 5"/>
    <w:basedOn w:val="Normalny"/>
    <w:uiPriority w:val="98"/>
    <w:semiHidden/>
    <w:rsid w:val="00144EBC"/>
    <w:pPr>
      <w:ind w:left="1415" w:hanging="283"/>
      <w:contextualSpacing/>
    </w:pPr>
  </w:style>
  <w:style w:type="paragraph" w:styleId="Listapunktowana">
    <w:name w:val="List Bullet"/>
    <w:basedOn w:val="Normalny"/>
    <w:uiPriority w:val="98"/>
    <w:semiHidden/>
    <w:rsid w:val="00144EBC"/>
    <w:pPr>
      <w:numPr>
        <w:numId w:val="11"/>
      </w:numPr>
    </w:pPr>
  </w:style>
  <w:style w:type="paragraph" w:styleId="Listapunktowana2">
    <w:name w:val="List Bullet 2"/>
    <w:basedOn w:val="Normalny"/>
    <w:uiPriority w:val="98"/>
    <w:semiHidden/>
    <w:rsid w:val="00144EBC"/>
    <w:pPr>
      <w:numPr>
        <w:numId w:val="12"/>
      </w:numPr>
      <w:contextualSpacing/>
    </w:pPr>
  </w:style>
  <w:style w:type="paragraph" w:styleId="Listapunktowana3">
    <w:name w:val="List Bullet 3"/>
    <w:basedOn w:val="Normalny"/>
    <w:uiPriority w:val="98"/>
    <w:semiHidden/>
    <w:rsid w:val="00144EBC"/>
    <w:pPr>
      <w:numPr>
        <w:numId w:val="13"/>
      </w:numPr>
      <w:contextualSpacing/>
    </w:pPr>
  </w:style>
  <w:style w:type="paragraph" w:styleId="Listapunktowana4">
    <w:name w:val="List Bullet 4"/>
    <w:basedOn w:val="Normalny"/>
    <w:uiPriority w:val="98"/>
    <w:semiHidden/>
    <w:rsid w:val="00144EBC"/>
    <w:pPr>
      <w:numPr>
        <w:numId w:val="14"/>
      </w:numPr>
      <w:contextualSpacing/>
    </w:pPr>
  </w:style>
  <w:style w:type="paragraph" w:styleId="Listapunktowana5">
    <w:name w:val="List Bullet 5"/>
    <w:basedOn w:val="Normalny"/>
    <w:uiPriority w:val="98"/>
    <w:semiHidden/>
    <w:rsid w:val="00144EBC"/>
    <w:pPr>
      <w:numPr>
        <w:numId w:val="15"/>
      </w:numPr>
      <w:contextualSpacing/>
    </w:pPr>
  </w:style>
  <w:style w:type="paragraph" w:styleId="Lista-kontynuacja">
    <w:name w:val="List Continue"/>
    <w:basedOn w:val="Normalny"/>
    <w:uiPriority w:val="98"/>
    <w:semiHidden/>
    <w:rsid w:val="00144EBC"/>
    <w:pPr>
      <w:spacing w:after="120"/>
      <w:ind w:left="283"/>
      <w:contextualSpacing/>
    </w:pPr>
  </w:style>
  <w:style w:type="paragraph" w:styleId="Lista-kontynuacja2">
    <w:name w:val="List Continue 2"/>
    <w:basedOn w:val="Normalny"/>
    <w:uiPriority w:val="98"/>
    <w:semiHidden/>
    <w:rsid w:val="00144EBC"/>
    <w:pPr>
      <w:spacing w:after="120"/>
      <w:ind w:left="566"/>
      <w:contextualSpacing/>
    </w:pPr>
  </w:style>
  <w:style w:type="paragraph" w:styleId="Lista-kontynuacja3">
    <w:name w:val="List Continue 3"/>
    <w:basedOn w:val="Normalny"/>
    <w:uiPriority w:val="98"/>
    <w:semiHidden/>
    <w:rsid w:val="00144EBC"/>
    <w:pPr>
      <w:spacing w:after="120"/>
      <w:ind w:left="849"/>
      <w:contextualSpacing/>
    </w:pPr>
  </w:style>
  <w:style w:type="paragraph" w:styleId="Lista-kontynuacja4">
    <w:name w:val="List Continue 4"/>
    <w:basedOn w:val="Normalny"/>
    <w:uiPriority w:val="98"/>
    <w:semiHidden/>
    <w:rsid w:val="00144EBC"/>
    <w:pPr>
      <w:spacing w:after="120"/>
      <w:ind w:left="1132"/>
      <w:contextualSpacing/>
    </w:pPr>
  </w:style>
  <w:style w:type="paragraph" w:styleId="Lista-kontynuacja5">
    <w:name w:val="List Continue 5"/>
    <w:basedOn w:val="Normalny"/>
    <w:uiPriority w:val="98"/>
    <w:semiHidden/>
    <w:rsid w:val="00144EBC"/>
    <w:pPr>
      <w:spacing w:after="120"/>
      <w:ind w:left="1415"/>
      <w:contextualSpacing/>
    </w:pPr>
  </w:style>
  <w:style w:type="paragraph" w:styleId="Listanumerowana">
    <w:name w:val="List Number"/>
    <w:basedOn w:val="Normalny"/>
    <w:uiPriority w:val="98"/>
    <w:semiHidden/>
    <w:rsid w:val="00144EBC"/>
    <w:pPr>
      <w:numPr>
        <w:numId w:val="16"/>
      </w:numPr>
      <w:contextualSpacing/>
    </w:pPr>
  </w:style>
  <w:style w:type="paragraph" w:styleId="Listanumerowana2">
    <w:name w:val="List Number 2"/>
    <w:basedOn w:val="Normalny"/>
    <w:uiPriority w:val="98"/>
    <w:semiHidden/>
    <w:rsid w:val="00144EBC"/>
    <w:pPr>
      <w:numPr>
        <w:numId w:val="17"/>
      </w:numPr>
      <w:contextualSpacing/>
    </w:pPr>
  </w:style>
  <w:style w:type="paragraph" w:styleId="Listanumerowana3">
    <w:name w:val="List Number 3"/>
    <w:basedOn w:val="Normalny"/>
    <w:uiPriority w:val="98"/>
    <w:semiHidden/>
    <w:rsid w:val="00144EBC"/>
    <w:pPr>
      <w:numPr>
        <w:numId w:val="18"/>
      </w:numPr>
      <w:contextualSpacing/>
    </w:pPr>
  </w:style>
  <w:style w:type="paragraph" w:styleId="Listanumerowana4">
    <w:name w:val="List Number 4"/>
    <w:basedOn w:val="Normalny"/>
    <w:uiPriority w:val="98"/>
    <w:semiHidden/>
    <w:rsid w:val="00144EBC"/>
    <w:pPr>
      <w:numPr>
        <w:numId w:val="19"/>
      </w:numPr>
      <w:contextualSpacing/>
    </w:pPr>
  </w:style>
  <w:style w:type="paragraph" w:styleId="Listanumerowana5">
    <w:name w:val="List Number 5"/>
    <w:basedOn w:val="Normalny"/>
    <w:uiPriority w:val="98"/>
    <w:semiHidden/>
    <w:rsid w:val="00144EBC"/>
    <w:pPr>
      <w:numPr>
        <w:numId w:val="20"/>
      </w:numPr>
      <w:contextualSpacing/>
    </w:pPr>
  </w:style>
  <w:style w:type="paragraph" w:styleId="Tekstmakra">
    <w:name w:val="macro"/>
    <w:link w:val="TekstmakraZnak"/>
    <w:uiPriority w:val="98"/>
    <w:semiHidden/>
    <w:rsid w:val="00144EBC"/>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144EBC"/>
    <w:rPr>
      <w:rFonts w:ascii="Consolas" w:eastAsiaTheme="minorEastAsia" w:hAnsi="Consolas" w:cs="Consolas"/>
      <w:sz w:val="20"/>
      <w:szCs w:val="20"/>
    </w:rPr>
  </w:style>
  <w:style w:type="table" w:styleId="redniasiatka1">
    <w:name w:val="Medium Grid 1"/>
    <w:basedOn w:val="Standardowy"/>
    <w:uiPriority w:val="67"/>
    <w:semiHidden/>
    <w:rsid w:val="00144EB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144EB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144EB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144EB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144EB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144EB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144EB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144EB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144EB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144EB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144EBC"/>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144EB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144EB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144EB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144EB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144EB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144EB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144EB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144EB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144EB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144EB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144EB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144EBC"/>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144EBC"/>
    <w:rPr>
      <w:rFonts w:ascii="Times New Roman" w:hAnsi="Times New Roman" w:cs="Times New Roman"/>
    </w:rPr>
  </w:style>
  <w:style w:type="paragraph" w:styleId="Wcicienormalne">
    <w:name w:val="Normal Indent"/>
    <w:basedOn w:val="Normalny"/>
    <w:uiPriority w:val="98"/>
    <w:semiHidden/>
    <w:rsid w:val="00144EBC"/>
    <w:pPr>
      <w:ind w:left="720"/>
    </w:pPr>
  </w:style>
  <w:style w:type="table" w:customStyle="1" w:styleId="ECHRTableNoLines">
    <w:name w:val="ECHR_Table_No_Lines"/>
    <w:basedOn w:val="Standardowy"/>
    <w:uiPriority w:val="99"/>
    <w:rsid w:val="00144EBC"/>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SimpleBox">
    <w:name w:val="ECHR_Table_Simple_Box"/>
    <w:basedOn w:val="Standardowy"/>
    <w:uiPriority w:val="99"/>
    <w:rsid w:val="00144EBC"/>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character" w:styleId="Tekstzastpczy">
    <w:name w:val="Placeholder Text"/>
    <w:basedOn w:val="Domylnaczcionkaakapitu"/>
    <w:uiPriority w:val="98"/>
    <w:semiHidden/>
    <w:rsid w:val="00144EBC"/>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144EBC"/>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144EBC"/>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144EBC"/>
  </w:style>
  <w:style w:type="character" w:customStyle="1" w:styleId="ZwrotgrzecznociowyZnak">
    <w:name w:val="Zwrot grzecznościowy Znak"/>
    <w:basedOn w:val="Domylnaczcionkaakapitu"/>
    <w:link w:val="Zwrotgrzecznociowy"/>
    <w:uiPriority w:val="98"/>
    <w:semiHidden/>
    <w:rsid w:val="00144EBC"/>
    <w:rPr>
      <w:sz w:val="24"/>
      <w:szCs w:val="24"/>
      <w:lang w:val="en-GB"/>
    </w:rPr>
  </w:style>
  <w:style w:type="paragraph" w:styleId="Podpis">
    <w:name w:val="Signature"/>
    <w:basedOn w:val="Normalny"/>
    <w:link w:val="PodpisZnak"/>
    <w:uiPriority w:val="98"/>
    <w:semiHidden/>
    <w:rsid w:val="00144EBC"/>
    <w:pPr>
      <w:ind w:left="4252"/>
    </w:pPr>
  </w:style>
  <w:style w:type="character" w:customStyle="1" w:styleId="PodpisZnak">
    <w:name w:val="Podpis Znak"/>
    <w:basedOn w:val="Domylnaczcionkaakapitu"/>
    <w:link w:val="Podpis"/>
    <w:uiPriority w:val="98"/>
    <w:semiHidden/>
    <w:rsid w:val="00144EBC"/>
    <w:rPr>
      <w:sz w:val="24"/>
      <w:szCs w:val="24"/>
      <w:lang w:val="en-GB"/>
    </w:rPr>
  </w:style>
  <w:style w:type="table" w:styleId="Tabela-Efekty3D1">
    <w:name w:val="Table 3D effects 1"/>
    <w:basedOn w:val="Standardowy"/>
    <w:uiPriority w:val="99"/>
    <w:semiHidden/>
    <w:unhideWhenUsed/>
    <w:rsid w:val="00144EB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144EB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144EB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144EB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144EB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144EB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144EB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144EB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144EB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144EB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144EB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144EB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144EB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144EB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144EB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144EB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144EB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semiHidden/>
    <w:rsid w:val="00144EB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144EB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144EB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144EB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144EB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144EB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144EB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144EB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144EB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144EB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144EB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144EB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144EBC"/>
    <w:pPr>
      <w:ind w:left="240" w:hanging="240"/>
    </w:pPr>
  </w:style>
  <w:style w:type="paragraph" w:styleId="Spisilustracji">
    <w:name w:val="table of figures"/>
    <w:basedOn w:val="Normalny"/>
    <w:next w:val="Normalny"/>
    <w:uiPriority w:val="98"/>
    <w:semiHidden/>
    <w:rsid w:val="00144EBC"/>
  </w:style>
  <w:style w:type="table" w:styleId="Tabela-Profesjonalny">
    <w:name w:val="Table Professional"/>
    <w:basedOn w:val="Standardowy"/>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144EB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144EB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144EB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144EB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144EB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144EB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144EB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144EB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8"/>
    <w:semiHidden/>
    <w:rsid w:val="00144EB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pistreci1">
    <w:name w:val="toc 1"/>
    <w:basedOn w:val="Normalny"/>
    <w:next w:val="Normalny"/>
    <w:autoRedefine/>
    <w:uiPriority w:val="98"/>
    <w:semiHidden/>
    <w:rsid w:val="00144EBC"/>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144EBC"/>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144EBC"/>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144EBC"/>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144EBC"/>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8"/>
    <w:semiHidden/>
    <w:rsid w:val="00144EBC"/>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144EBC"/>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144EBC"/>
    <w:pPr>
      <w:spacing w:after="100"/>
      <w:ind w:left="1680"/>
    </w:pPr>
  </w:style>
  <w:style w:type="paragraph" w:styleId="Spistreci9">
    <w:name w:val="toc 9"/>
    <w:basedOn w:val="Normalny"/>
    <w:next w:val="Normalny"/>
    <w:autoRedefine/>
    <w:uiPriority w:val="98"/>
    <w:semiHidden/>
    <w:rsid w:val="00144EBC"/>
    <w:pPr>
      <w:spacing w:after="100"/>
      <w:ind w:left="1920"/>
    </w:pPr>
  </w:style>
  <w:style w:type="paragraph" w:customStyle="1" w:styleId="ECHRFooter">
    <w:name w:val="ECHR_Footer"/>
    <w:aliases w:val="Footer_ECHR"/>
    <w:basedOn w:val="Stopka"/>
    <w:uiPriority w:val="57"/>
    <w:semiHidden/>
    <w:rsid w:val="00987A64"/>
    <w:rPr>
      <w:sz w:val="8"/>
    </w:rPr>
  </w:style>
  <w:style w:type="paragraph" w:customStyle="1" w:styleId="Footer">
    <w:name w:val="_Footer"/>
    <w:aliases w:val="Footer_"/>
    <w:basedOn w:val="Stopka"/>
    <w:uiPriority w:val="57"/>
    <w:semiHidden/>
    <w:rsid w:val="000D61E7"/>
    <w:rPr>
      <w:sz w:val="8"/>
    </w:rPr>
  </w:style>
  <w:style w:type="paragraph" w:styleId="Stopka">
    <w:name w:val="footer"/>
    <w:basedOn w:val="Normalny"/>
    <w:link w:val="StopkaZnak"/>
    <w:uiPriority w:val="98"/>
    <w:semiHidden/>
    <w:rsid w:val="00144EBC"/>
    <w:pPr>
      <w:tabs>
        <w:tab w:val="center" w:pos="3686"/>
        <w:tab w:val="right" w:pos="7371"/>
      </w:tabs>
    </w:pPr>
  </w:style>
  <w:style w:type="character" w:customStyle="1" w:styleId="StopkaZnak">
    <w:name w:val="Stopka Znak"/>
    <w:basedOn w:val="Domylnaczcionkaakapitu"/>
    <w:link w:val="Stopka"/>
    <w:uiPriority w:val="98"/>
    <w:semiHidden/>
    <w:rsid w:val="00144EBC"/>
    <w:rPr>
      <w:sz w:val="24"/>
      <w:szCs w:val="24"/>
      <w:lang w:val="en-GB"/>
    </w:rPr>
  </w:style>
  <w:style w:type="paragraph" w:customStyle="1" w:styleId="ECHRFooterLine">
    <w:name w:val="ECHR_Footer_Line"/>
    <w:aliases w:val="_Footer_Line"/>
    <w:basedOn w:val="Normalny"/>
    <w:next w:val="Normalny"/>
    <w:uiPriority w:val="30"/>
    <w:semiHidden/>
    <w:rsid w:val="00144EBC"/>
    <w:pPr>
      <w:pBdr>
        <w:top w:val="single" w:sz="6" w:space="1" w:color="5F5F5F"/>
      </w:pBdr>
      <w:tabs>
        <w:tab w:val="center" w:pos="3686"/>
        <w:tab w:val="right" w:pos="7371"/>
      </w:tabs>
      <w:ind w:left="-1474" w:right="-1474"/>
    </w:pPr>
    <w:rPr>
      <w:color w:val="5F5F5F"/>
    </w:rPr>
  </w:style>
  <w:style w:type="table" w:customStyle="1" w:styleId="ECHRListTable">
    <w:name w:val="ECHR_List_Table"/>
    <w:basedOn w:val="Standardowy"/>
    <w:uiPriority w:val="99"/>
    <w:rsid w:val="00144EBC"/>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Case">
    <w:name w:val="Ju_Case"/>
    <w:aliases w:val="_Case_Name"/>
    <w:basedOn w:val="Normalny"/>
    <w:next w:val="JuPara"/>
    <w:uiPriority w:val="32"/>
    <w:rsid w:val="00144EBC"/>
    <w:pPr>
      <w:ind w:firstLine="284"/>
      <w:jc w:val="both"/>
    </w:pPr>
    <w:rPr>
      <w:b/>
    </w:rPr>
  </w:style>
  <w:style w:type="paragraph" w:styleId="Nagweknotatki">
    <w:name w:val="Note Heading"/>
    <w:basedOn w:val="Normalny"/>
    <w:next w:val="Normalny"/>
    <w:link w:val="NagweknotatkiZnak"/>
    <w:uiPriority w:val="98"/>
    <w:semiHidden/>
    <w:rsid w:val="00144EBC"/>
  </w:style>
  <w:style w:type="character" w:customStyle="1" w:styleId="NagweknotatkiZnak">
    <w:name w:val="Nagłówek notatki Znak"/>
    <w:basedOn w:val="Domylnaczcionkaakapitu"/>
    <w:link w:val="Nagweknotatki"/>
    <w:uiPriority w:val="98"/>
    <w:semiHidden/>
    <w:rsid w:val="00144EBC"/>
    <w:rPr>
      <w:sz w:val="24"/>
      <w:szCs w:val="24"/>
      <w:lang w:val="en-GB"/>
    </w:rPr>
  </w:style>
  <w:style w:type="paragraph" w:customStyle="1" w:styleId="ECHRHeaderLandscape">
    <w:name w:val="ECHR_Header_Landscape"/>
    <w:aliases w:val="_Header_Landscape"/>
    <w:basedOn w:val="JuHeader"/>
    <w:uiPriority w:val="29"/>
    <w:semiHidden/>
    <w:rsid w:val="00144EB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144EBC"/>
    <w:pPr>
      <w:numPr>
        <w:numId w:val="7"/>
      </w:numPr>
      <w:spacing w:before="60" w:after="60"/>
    </w:pPr>
  </w:style>
  <w:style w:type="paragraph" w:customStyle="1" w:styleId="ECHRBullet2">
    <w:name w:val="ECHR_Bullet_2"/>
    <w:aliases w:val="_Bul_2"/>
    <w:basedOn w:val="ECHRBullet1"/>
    <w:uiPriority w:val="23"/>
    <w:semiHidden/>
    <w:rsid w:val="00144EBC"/>
    <w:pPr>
      <w:numPr>
        <w:ilvl w:val="1"/>
      </w:numPr>
    </w:pPr>
  </w:style>
  <w:style w:type="paragraph" w:customStyle="1" w:styleId="ECHRBullet3">
    <w:name w:val="ECHR_Bullet_3"/>
    <w:aliases w:val="_Bul_3"/>
    <w:basedOn w:val="ECHRBullet2"/>
    <w:uiPriority w:val="23"/>
    <w:semiHidden/>
    <w:rsid w:val="00144EBC"/>
    <w:pPr>
      <w:numPr>
        <w:ilvl w:val="2"/>
      </w:numPr>
    </w:pPr>
  </w:style>
  <w:style w:type="paragraph" w:customStyle="1" w:styleId="ECHRBullet4">
    <w:name w:val="ECHR_Bullet_4"/>
    <w:aliases w:val="_Bul_4"/>
    <w:basedOn w:val="ECHRBullet3"/>
    <w:uiPriority w:val="23"/>
    <w:semiHidden/>
    <w:rsid w:val="00144EBC"/>
    <w:pPr>
      <w:numPr>
        <w:ilvl w:val="3"/>
      </w:numPr>
    </w:pPr>
  </w:style>
  <w:style w:type="paragraph" w:customStyle="1" w:styleId="ECHRConfidential">
    <w:name w:val="ECHR_Confidential"/>
    <w:aliases w:val="_Confidential"/>
    <w:basedOn w:val="Normalny"/>
    <w:next w:val="Normalny"/>
    <w:uiPriority w:val="42"/>
    <w:semiHidden/>
    <w:qFormat/>
    <w:rsid w:val="00144EBC"/>
    <w:pPr>
      <w:jc w:val="right"/>
    </w:pPr>
    <w:rPr>
      <w:color w:val="C00000"/>
      <w:sz w:val="20"/>
    </w:rPr>
  </w:style>
  <w:style w:type="paragraph" w:customStyle="1" w:styleId="ECHRDecisionBody">
    <w:name w:val="ECHR_Decision_Body"/>
    <w:aliases w:val="_Decision_Body"/>
    <w:basedOn w:val="NormalJustified"/>
    <w:uiPriority w:val="54"/>
    <w:semiHidden/>
    <w:rsid w:val="00144EBC"/>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144EBC"/>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144EBC"/>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144EBC"/>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144EBC"/>
    <w:pPr>
      <w:jc w:val="right"/>
    </w:pPr>
    <w:rPr>
      <w:sz w:val="20"/>
    </w:rPr>
  </w:style>
  <w:style w:type="paragraph" w:customStyle="1" w:styleId="ECHRHeaderRefIt">
    <w:name w:val="ECHR_Header_Ref_It"/>
    <w:aliases w:val="_Ref_Ital"/>
    <w:basedOn w:val="Normalny"/>
    <w:next w:val="ECHRHeaderDate"/>
    <w:uiPriority w:val="43"/>
    <w:semiHidden/>
    <w:qFormat/>
    <w:rsid w:val="00144EBC"/>
    <w:pPr>
      <w:jc w:val="right"/>
    </w:pPr>
    <w:rPr>
      <w:i/>
      <w:sz w:val="20"/>
    </w:rPr>
  </w:style>
  <w:style w:type="paragraph" w:customStyle="1" w:styleId="ECHRHeading9">
    <w:name w:val="ECHR_Heading_9"/>
    <w:aliases w:val="_Head_9"/>
    <w:basedOn w:val="Nagwek9"/>
    <w:uiPriority w:val="17"/>
    <w:semiHidden/>
    <w:rsid w:val="00144EBC"/>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144EBC"/>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144EBC"/>
    <w:pPr>
      <w:numPr>
        <w:numId w:val="8"/>
      </w:numPr>
      <w:spacing w:before="60" w:after="60"/>
    </w:pPr>
  </w:style>
  <w:style w:type="paragraph" w:customStyle="1" w:styleId="ECHRNumberedList2">
    <w:name w:val="ECHR_Numbered_List_2"/>
    <w:aliases w:val="_Num_2"/>
    <w:basedOn w:val="ECHRNumberedList1"/>
    <w:uiPriority w:val="23"/>
    <w:semiHidden/>
    <w:rsid w:val="00144EBC"/>
    <w:pPr>
      <w:numPr>
        <w:ilvl w:val="1"/>
      </w:numPr>
    </w:pPr>
  </w:style>
  <w:style w:type="paragraph" w:customStyle="1" w:styleId="ECHRNumberedList3">
    <w:name w:val="ECHR_Numbered_List_3"/>
    <w:aliases w:val="_Num_3"/>
    <w:basedOn w:val="ECHRNumberedList2"/>
    <w:uiPriority w:val="23"/>
    <w:semiHidden/>
    <w:rsid w:val="00144EBC"/>
    <w:pPr>
      <w:numPr>
        <w:ilvl w:val="2"/>
      </w:numPr>
    </w:pPr>
  </w:style>
  <w:style w:type="paragraph" w:customStyle="1" w:styleId="ECHRParaHanging">
    <w:name w:val="ECHR_Para_Hanging"/>
    <w:aliases w:val="_Hanging"/>
    <w:basedOn w:val="Normalny"/>
    <w:uiPriority w:val="8"/>
    <w:semiHidden/>
    <w:qFormat/>
    <w:rsid w:val="00144EBC"/>
    <w:pPr>
      <w:ind w:left="567" w:hanging="567"/>
      <w:jc w:val="both"/>
    </w:pPr>
  </w:style>
  <w:style w:type="paragraph" w:customStyle="1" w:styleId="ECHRParaIndent">
    <w:name w:val="ECHR_Para_Indent"/>
    <w:aliases w:val="_Indent"/>
    <w:basedOn w:val="Normalny"/>
    <w:uiPriority w:val="7"/>
    <w:semiHidden/>
    <w:qFormat/>
    <w:rsid w:val="00144EBC"/>
    <w:pPr>
      <w:spacing w:before="120" w:after="120"/>
      <w:ind w:left="284"/>
      <w:jc w:val="both"/>
    </w:pPr>
  </w:style>
  <w:style w:type="character" w:customStyle="1" w:styleId="ECHRRed">
    <w:name w:val="ECHR_Red"/>
    <w:aliases w:val="_Red"/>
    <w:basedOn w:val="Domylnaczcionkaakapitu"/>
    <w:uiPriority w:val="15"/>
    <w:semiHidden/>
    <w:qFormat/>
    <w:rsid w:val="00144EBC"/>
    <w:rPr>
      <w:color w:val="C00000" w:themeColor="accent2"/>
    </w:rPr>
  </w:style>
  <w:style w:type="paragraph" w:customStyle="1" w:styleId="DecList">
    <w:name w:val="Dec_List"/>
    <w:aliases w:val="_List"/>
    <w:basedOn w:val="JuList"/>
    <w:uiPriority w:val="22"/>
    <w:rsid w:val="00144EBC"/>
    <w:pPr>
      <w:numPr>
        <w:numId w:val="0"/>
      </w:numPr>
      <w:ind w:left="284"/>
    </w:pPr>
  </w:style>
  <w:style w:type="table" w:customStyle="1" w:styleId="ECHRTable">
    <w:name w:val="ECHR_Table"/>
    <w:basedOn w:val="Standardowy"/>
    <w:rsid w:val="00144EBC"/>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2">
    <w:name w:val="ECHR_Table_2"/>
    <w:basedOn w:val="Standardowy"/>
    <w:uiPriority w:val="99"/>
    <w:rsid w:val="00144EB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144EB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144EBC"/>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144EBC"/>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144EBC"/>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144EBC"/>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144EBC"/>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144EBC"/>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144EBC"/>
    <w:pPr>
      <w:outlineLvl w:val="0"/>
    </w:pPr>
  </w:style>
  <w:style w:type="paragraph" w:customStyle="1" w:styleId="ECHRTitleTOC1">
    <w:name w:val="ECHR_Title_TOC_1"/>
    <w:aliases w:val="_Title_L_TOC"/>
    <w:basedOn w:val="ECHRTitle1"/>
    <w:next w:val="Normalny"/>
    <w:uiPriority w:val="27"/>
    <w:semiHidden/>
    <w:qFormat/>
    <w:rsid w:val="00144EBC"/>
    <w:pPr>
      <w:outlineLvl w:val="0"/>
    </w:pPr>
  </w:style>
  <w:style w:type="table" w:customStyle="1" w:styleId="LtrTableAddress">
    <w:name w:val="Ltr_Table_Address"/>
    <w:aliases w:val="ECHR_Ltr_Table_Address"/>
    <w:basedOn w:val="Standardowy"/>
    <w:uiPriority w:val="99"/>
    <w:rsid w:val="00144EBC"/>
    <w:rPr>
      <w:sz w:val="24"/>
      <w:szCs w:val="24"/>
    </w:rPr>
    <w:tblPr>
      <w:tblInd w:w="5103" w:type="dxa"/>
    </w:tblPr>
  </w:style>
  <w:style w:type="table" w:customStyle="1" w:styleId="PCFTableStyle">
    <w:name w:val="PCF_Table_Style"/>
    <w:aliases w:val="ECHR_PCF_Table_Style"/>
    <w:basedOn w:val="Standardowy"/>
    <w:uiPriority w:val="99"/>
    <w:rsid w:val="00144EBC"/>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UGTable">
    <w:name w:val="UG_Table"/>
    <w:aliases w:val="ECHR_UG_Table"/>
    <w:basedOn w:val="Standardowy"/>
    <w:uiPriority w:val="99"/>
    <w:rsid w:val="00144EB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144EB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ECHRPlaceholder">
    <w:name w:val="ECHR_Placeholder"/>
    <w:aliases w:val="_Placeholder"/>
    <w:basedOn w:val="JuSigned"/>
    <w:uiPriority w:val="31"/>
    <w:rsid w:val="00144EBC"/>
    <w:rPr>
      <w:color w:val="FFFFFF"/>
    </w:rPr>
  </w:style>
  <w:style w:type="paragraph" w:customStyle="1" w:styleId="ECHRSpacer">
    <w:name w:val="ECHR_Spacer"/>
    <w:aliases w:val="_Spacer"/>
    <w:basedOn w:val="Normalny"/>
    <w:uiPriority w:val="45"/>
    <w:semiHidden/>
    <w:rsid w:val="00144EBC"/>
    <w:rPr>
      <w:sz w:val="4"/>
    </w:rPr>
  </w:style>
  <w:style w:type="table" w:customStyle="1" w:styleId="ECHRTableGrey">
    <w:name w:val="ECHR_Table_Grey"/>
    <w:basedOn w:val="Standardowy"/>
    <w:uiPriority w:val="99"/>
    <w:rsid w:val="00144EBC"/>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customStyle="1" w:styleId="ECHRTableOddBanded">
    <w:name w:val="ECHR_Table_Odd_Banded"/>
    <w:basedOn w:val="Standardowy"/>
    <w:uiPriority w:val="99"/>
    <w:rsid w:val="00144EBC"/>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character" w:customStyle="1" w:styleId="Nierozpoznanawzmianka1">
    <w:name w:val="Nierozpoznana wzmianka1"/>
    <w:basedOn w:val="Domylnaczcionkaakapitu"/>
    <w:uiPriority w:val="99"/>
    <w:semiHidden/>
    <w:unhideWhenUsed/>
    <w:rsid w:val="00CB3BD9"/>
    <w:rPr>
      <w:color w:val="605E5C"/>
      <w:shd w:val="clear" w:color="auto" w:fill="E1DFDD"/>
    </w:rPr>
  </w:style>
  <w:style w:type="character" w:customStyle="1" w:styleId="JuParaChar">
    <w:name w:val="Ju_Para Char"/>
    <w:aliases w:val="_Para Char"/>
    <w:link w:val="JuPara"/>
    <w:uiPriority w:val="4"/>
    <w:rsid w:val="007A56C9"/>
    <w:rPr>
      <w:sz w:val="24"/>
      <w:szCs w:val="24"/>
      <w:lang w:val="en-GB"/>
    </w:rPr>
  </w:style>
  <w:style w:type="table" w:styleId="Tabelasiatki1jasnaakcent1">
    <w:name w:val="Grid Table 1 Light Accent 1"/>
    <w:basedOn w:val="Standardowy"/>
    <w:uiPriority w:val="46"/>
    <w:semiHidden/>
    <w:rsid w:val="00E51C86"/>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E51C86"/>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E51C86"/>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E51C86"/>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E51C86"/>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E51C86"/>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E51C86"/>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E51C86"/>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E51C86"/>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E51C86"/>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E51C86"/>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E51C86"/>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E51C86"/>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E51C8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E51C8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E51C8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E51C8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E51C8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E51C8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E51C8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E51C8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E51C8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E51C8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E51C8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E51C8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E51C8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E51C8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E51C8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E51C8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E51C8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E51C8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E51C8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E51C8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E51C8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E51C8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E51C8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E51C8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E51C8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E51C8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E51C8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E51C8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E51C8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E51C8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E51C8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E51C8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E51C8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E51C8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E51C8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E51C86"/>
    <w:rPr>
      <w:color w:val="2B579A"/>
      <w:shd w:val="clear" w:color="auto" w:fill="E1DFDD"/>
    </w:rPr>
  </w:style>
  <w:style w:type="table" w:styleId="Tabelalisty1jasna">
    <w:name w:val="List Table 1 Light"/>
    <w:basedOn w:val="Standardowy"/>
    <w:uiPriority w:val="46"/>
    <w:semiHidden/>
    <w:rsid w:val="00E51C86"/>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E51C86"/>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E51C86"/>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E51C86"/>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E51C86"/>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E51C86"/>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E51C86"/>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E51C86"/>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E51C86"/>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E51C86"/>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E51C86"/>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E51C86"/>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E51C86"/>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E51C86"/>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E51C8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E51C86"/>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E51C86"/>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E51C86"/>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E51C86"/>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E51C86"/>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E51C86"/>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E51C8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E51C8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E51C8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E51C8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E51C8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E51C8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E51C8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E51C86"/>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E51C86"/>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E51C86"/>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E51C86"/>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E51C86"/>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E51C86"/>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E51C86"/>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E51C86"/>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E51C86"/>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E51C86"/>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E51C86"/>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E51C86"/>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E51C86"/>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E51C86"/>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E51C86"/>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E51C86"/>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E51C86"/>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E51C86"/>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E51C86"/>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E51C86"/>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E51C86"/>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E51C86"/>
    <w:rPr>
      <w:color w:val="2B579A"/>
      <w:shd w:val="clear" w:color="auto" w:fill="E1DFDD"/>
    </w:rPr>
  </w:style>
  <w:style w:type="table" w:styleId="Zwykatabela1">
    <w:name w:val="Plain Table 1"/>
    <w:basedOn w:val="Standardowy"/>
    <w:uiPriority w:val="41"/>
    <w:semiHidden/>
    <w:rsid w:val="00E51C86"/>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E51C8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E51C8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E51C8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E51C8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iperlinkinteligentny1">
    <w:name w:val="Hiperlink inteligentny1"/>
    <w:basedOn w:val="Domylnaczcionkaakapitu"/>
    <w:uiPriority w:val="99"/>
    <w:semiHidden/>
    <w:unhideWhenUsed/>
    <w:rsid w:val="00E51C86"/>
    <w:rPr>
      <w:u w:val="dotted"/>
    </w:rPr>
  </w:style>
  <w:style w:type="character" w:customStyle="1" w:styleId="SmartLink1">
    <w:name w:val="SmartLink1"/>
    <w:basedOn w:val="Domylnaczcionkaakapitu"/>
    <w:uiPriority w:val="99"/>
    <w:semiHidden/>
    <w:unhideWhenUsed/>
    <w:rsid w:val="00E51C86"/>
    <w:rPr>
      <w:color w:val="0000FF"/>
      <w:u w:val="single"/>
      <w:shd w:val="clear" w:color="auto" w:fill="F3F2F1"/>
    </w:rPr>
  </w:style>
  <w:style w:type="table" w:styleId="Siatkatabelijasna">
    <w:name w:val="Grid Table Light"/>
    <w:basedOn w:val="Standardowy"/>
    <w:uiPriority w:val="40"/>
    <w:semiHidden/>
    <w:rsid w:val="00E51C86"/>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Poprawka">
    <w:name w:val="Revision"/>
    <w:hidden/>
    <w:uiPriority w:val="99"/>
    <w:semiHidden/>
    <w:rsid w:val="00F42346"/>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2387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8AD1F9-2409-46B6-95F8-1DAF70D563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CDD1E9D-D623-4F56-963C-B47826B7D173}">
  <ds:schemaRefs>
    <ds:schemaRef ds:uri="http://schemas.openxmlformats.org/officeDocument/2006/bibliography"/>
  </ds:schemaRefs>
</ds:datastoreItem>
</file>

<file path=customXml/itemProps3.xml><?xml version="1.0" encoding="utf-8"?>
<ds:datastoreItem xmlns:ds="http://schemas.openxmlformats.org/officeDocument/2006/customXml" ds:itemID="{69392377-0534-4711-A58E-CA4E7A44A83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8C0AE96-3881-435C-8789-236AB753D6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2497</Words>
  <Characters>14988</Characters>
  <Application>Microsoft Office Word</Application>
  <DocSecurity>0</DocSecurity>
  <Lines>124</Lines>
  <Paragraphs>34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17451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2023-08-24T07:06:00Z</dcterms:created>
  <dcterms:modified xsi:type="dcterms:W3CDTF">2023-08-24T08:20:00Z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38813/17</vt:lpwstr>
  </property>
  <property fmtid="{D5CDD505-2E9C-101B-9397-08002B2CF9AE}" pid="4" name="CASEID">
    <vt:lpwstr>1312070</vt:lpwstr>
  </property>
  <property fmtid="{D5CDD505-2E9C-101B-9397-08002B2CF9AE}" pid="5" name="ContentTypeId">
    <vt:lpwstr>0x010100558EB02BDB9E204AB350EDD385B68E10</vt:lpwstr>
  </property>
</Properties>
</file>