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C965CD" w14:textId="77777777" w:rsidR="0098410D" w:rsidRPr="00F9089F" w:rsidRDefault="0098410D" w:rsidP="00F9089F">
      <w:pPr>
        <w:jc w:val="center"/>
      </w:pPr>
    </w:p>
    <w:p w14:paraId="45532FAE" w14:textId="77777777" w:rsidR="00F9089F" w:rsidRPr="00F9089F" w:rsidRDefault="00F9089F" w:rsidP="00F9089F">
      <w:pPr>
        <w:jc w:val="center"/>
      </w:pPr>
    </w:p>
    <w:p w14:paraId="2359079F" w14:textId="77777777" w:rsidR="0098410D" w:rsidRPr="00F9089F" w:rsidRDefault="002E7DD4" w:rsidP="00F9089F">
      <w:pPr>
        <w:pStyle w:val="DecHCase"/>
      </w:pPr>
      <w:r>
        <w:t>PIERWSZA SEKCJA</w:t>
      </w:r>
    </w:p>
    <w:p w14:paraId="29861756" w14:textId="7B45DCCC" w:rsidR="008E6217" w:rsidRPr="00F9089F" w:rsidRDefault="008E6217" w:rsidP="00F9089F">
      <w:pPr>
        <w:pStyle w:val="JuTitle"/>
      </w:pPr>
      <w:bookmarkStart w:id="0" w:name="To"/>
      <w:r>
        <w:rPr>
          <w:color w:val="000000" w:themeColor="text1"/>
        </w:rPr>
        <w:t xml:space="preserve">SPRAWA </w:t>
      </w:r>
      <w:bookmarkEnd w:id="0"/>
      <w:r>
        <w:t xml:space="preserve">SMILJANIĆ </w:t>
      </w:r>
      <w:r w:rsidR="00D02D33">
        <w:t>przeciwko</w:t>
      </w:r>
      <w:r>
        <w:t xml:space="preserve"> CHORWACJI</w:t>
      </w:r>
    </w:p>
    <w:p w14:paraId="1839F70A" w14:textId="77777777" w:rsidR="00D74888" w:rsidRPr="00F9089F" w:rsidRDefault="008E6217" w:rsidP="00F9089F">
      <w:pPr>
        <w:pStyle w:val="ECHRCoverTitle4"/>
      </w:pPr>
      <w:r>
        <w:t>(Skarga nr 35983/14)</w:t>
      </w:r>
    </w:p>
    <w:p w14:paraId="02C70856" w14:textId="77777777" w:rsidR="0098410D" w:rsidRPr="00F9089F" w:rsidRDefault="0098410D" w:rsidP="00F9089F">
      <w:pPr>
        <w:pStyle w:val="DecHCase"/>
      </w:pPr>
    </w:p>
    <w:p w14:paraId="28978C95" w14:textId="77777777" w:rsidR="00F9089F" w:rsidRPr="00F9089F" w:rsidRDefault="00F9089F" w:rsidP="00F9089F">
      <w:pPr>
        <w:pStyle w:val="DecHCase"/>
      </w:pPr>
    </w:p>
    <w:p w14:paraId="58F8F297" w14:textId="77777777" w:rsidR="0098410D" w:rsidRPr="00F9089F" w:rsidRDefault="0098410D" w:rsidP="00F9089F">
      <w:pPr>
        <w:pStyle w:val="DecHCase"/>
      </w:pPr>
      <w:r>
        <w:t>WYROK</w:t>
      </w:r>
      <w:r>
        <w:br/>
      </w:r>
    </w:p>
    <w:p w14:paraId="617F801E" w14:textId="718E3581" w:rsidR="003650DF" w:rsidRPr="00F9089F" w:rsidRDefault="00C90B28" w:rsidP="00F9089F">
      <w:pPr>
        <w:pBdr>
          <w:top w:val="single" w:sz="4" w:space="1" w:color="auto"/>
          <w:left w:val="single" w:sz="4" w:space="4" w:color="auto"/>
          <w:bottom w:val="single" w:sz="4" w:space="1" w:color="auto"/>
          <w:right w:val="single" w:sz="4" w:space="4" w:color="auto"/>
        </w:pBdr>
        <w:tabs>
          <w:tab w:val="left" w:pos="3686"/>
        </w:tabs>
        <w:jc w:val="both"/>
      </w:pPr>
      <w:r>
        <w:t>Art.</w:t>
      </w:r>
      <w:r w:rsidR="003650DF">
        <w:t xml:space="preserve"> 2 (aspekt materialny i proceduralny) • Obowiązki pozytywne • Nieskuteczne funkcjonowanie w praktyce przepisów ramowych o ruchu drogowym wynikające z niezastosowania przez władze krajowe odpowiednich środków odstraszających i prewencyjnych wobec sprawcy działającego w warunkach recydywy, który następnie spowodował zdarzenie drogowe ze skutkiem śmiertelnym • Uchybienia w reakcji władz na zdarzenie drogowe, polegające na złagodzeniu kary bez </w:t>
      </w:r>
      <w:r w:rsidR="003E5C56">
        <w:t xml:space="preserve">dogłębnej </w:t>
      </w:r>
      <w:r w:rsidR="003650DF">
        <w:t xml:space="preserve">analizy uprzedniego zachowania sprawcy i </w:t>
      </w:r>
      <w:r w:rsidR="003E5C56">
        <w:t>nieuzasadnionej zwłoce w</w:t>
      </w:r>
      <w:r w:rsidR="003650DF">
        <w:t xml:space="preserve"> wykonani</w:t>
      </w:r>
      <w:r w:rsidR="003E5C56">
        <w:t>u</w:t>
      </w:r>
      <w:r w:rsidR="003650DF">
        <w:t xml:space="preserve"> kary</w:t>
      </w:r>
    </w:p>
    <w:p w14:paraId="7362E300" w14:textId="77777777" w:rsidR="003650DF" w:rsidRPr="00F9089F" w:rsidRDefault="003650DF" w:rsidP="00546A1E">
      <w:pPr>
        <w:pStyle w:val="DecHCase"/>
        <w:spacing w:after="120"/>
      </w:pPr>
    </w:p>
    <w:p w14:paraId="33AB6A9E" w14:textId="77777777" w:rsidR="0098410D" w:rsidRPr="00F9089F" w:rsidRDefault="0098410D" w:rsidP="00F9089F">
      <w:pPr>
        <w:pStyle w:val="DecHCase"/>
      </w:pPr>
      <w:r>
        <w:t>STRASBURG</w:t>
      </w:r>
    </w:p>
    <w:p w14:paraId="5225ED5D" w14:textId="77777777" w:rsidR="0098410D" w:rsidRPr="00F9089F" w:rsidRDefault="002E7DD4" w:rsidP="00F9089F">
      <w:pPr>
        <w:pStyle w:val="DecHCase"/>
      </w:pPr>
      <w:r>
        <w:rPr>
          <w:rFonts w:ascii="Times New Roman" w:hAnsi="Times New Roman"/>
        </w:rPr>
        <w:t>25 marca 2021 r.</w:t>
      </w:r>
    </w:p>
    <w:p w14:paraId="140FEAF2" w14:textId="77777777" w:rsidR="002422B6" w:rsidRDefault="002422B6" w:rsidP="00F9089F">
      <w:pPr>
        <w:rPr>
          <w:i/>
          <w:sz w:val="22"/>
        </w:rPr>
      </w:pPr>
    </w:p>
    <w:p w14:paraId="41B4F771" w14:textId="77777777" w:rsidR="00546A1E" w:rsidRDefault="00546A1E" w:rsidP="00546A1E">
      <w:pPr>
        <w:pStyle w:val="jucase0"/>
        <w:ind w:firstLine="0"/>
        <w:jc w:val="center"/>
        <w:rPr>
          <w:color w:val="FF0000"/>
          <w:sz w:val="28"/>
          <w:szCs w:val="28"/>
          <w:u w:val="single"/>
        </w:rPr>
      </w:pPr>
      <w:bookmarkStart w:id="1" w:name="_Hlk59706592"/>
      <w:bookmarkStart w:id="2" w:name="_Hlk59704667"/>
      <w:r>
        <w:rPr>
          <w:color w:val="FF0000"/>
          <w:sz w:val="28"/>
          <w:szCs w:val="28"/>
          <w:u w:val="single"/>
        </w:rPr>
        <w:t>WYROK OSTATECZNY</w:t>
      </w:r>
    </w:p>
    <w:p w14:paraId="5685865D" w14:textId="77777777" w:rsidR="00546A1E" w:rsidRPr="00D04090" w:rsidRDefault="00546A1E" w:rsidP="00546A1E">
      <w:pPr>
        <w:pStyle w:val="jucase0"/>
        <w:ind w:firstLine="0"/>
        <w:jc w:val="center"/>
        <w:rPr>
          <w:b w:val="0"/>
          <w:bCs w:val="0"/>
          <w:color w:val="FF0000"/>
          <w:u w:val="single"/>
        </w:rPr>
      </w:pPr>
    </w:p>
    <w:p w14:paraId="5B806F3B" w14:textId="77777777" w:rsidR="00546A1E" w:rsidRPr="00E974D6" w:rsidRDefault="00546A1E" w:rsidP="00546A1E">
      <w:pPr>
        <w:pStyle w:val="jucase0"/>
        <w:ind w:firstLine="0"/>
        <w:jc w:val="center"/>
        <w:rPr>
          <w:b w:val="0"/>
          <w:color w:val="FF0000"/>
          <w:sz w:val="28"/>
          <w:szCs w:val="28"/>
        </w:rPr>
      </w:pPr>
      <w:r>
        <w:rPr>
          <w:b w:val="0"/>
          <w:color w:val="FF0000"/>
          <w:sz w:val="28"/>
          <w:szCs w:val="28"/>
        </w:rPr>
        <w:t>25.06.2021 r.</w:t>
      </w:r>
    </w:p>
    <w:p w14:paraId="69381547" w14:textId="77777777" w:rsidR="00546A1E" w:rsidRPr="00261F46" w:rsidRDefault="00546A1E" w:rsidP="00546A1E">
      <w:pPr>
        <w:pStyle w:val="jupara0"/>
        <w:ind w:firstLine="0"/>
        <w:jc w:val="center"/>
      </w:pPr>
    </w:p>
    <w:p w14:paraId="279545BF" w14:textId="4694DBEA" w:rsidR="00546A1E" w:rsidRPr="00F9089F" w:rsidRDefault="00546A1E" w:rsidP="00546A1E">
      <w:pPr>
        <w:jc w:val="both"/>
        <w:rPr>
          <w:i/>
          <w:sz w:val="22"/>
        </w:rPr>
      </w:pPr>
      <w:r>
        <w:rPr>
          <w:i/>
          <w:iCs/>
          <w:sz w:val="22"/>
          <w:szCs w:val="22"/>
        </w:rPr>
        <w:t xml:space="preserve">Wyrok ten stał się ostateczny zgodnie z warunkami określonymi w art. 44 ust. 2 Konwencji. </w:t>
      </w:r>
      <w:r w:rsidR="00BD60C7">
        <w:rPr>
          <w:i/>
          <w:iCs/>
          <w:sz w:val="22"/>
          <w:szCs w:val="22"/>
        </w:rPr>
        <w:t>M</w:t>
      </w:r>
      <w:r>
        <w:rPr>
          <w:i/>
          <w:iCs/>
          <w:sz w:val="22"/>
          <w:szCs w:val="22"/>
        </w:rPr>
        <w:t>oże podlegać korekcie wydawniczej.</w:t>
      </w:r>
      <w:bookmarkEnd w:id="1"/>
      <w:bookmarkEnd w:id="2"/>
    </w:p>
    <w:p w14:paraId="24A17B04" w14:textId="77777777" w:rsidR="0098410D" w:rsidRPr="00F9089F" w:rsidRDefault="0098410D" w:rsidP="00F9089F">
      <w:pPr>
        <w:sectPr w:rsidR="0098410D" w:rsidRPr="00F9089F" w:rsidSect="00C60D1A">
          <w:headerReference w:type="even" r:id="rId11"/>
          <w:headerReference w:type="default" r:id="rId12"/>
          <w:footerReference w:type="even" r:id="rId13"/>
          <w:footerReference w:type="default" r:id="rId14"/>
          <w:headerReference w:type="first" r:id="rId15"/>
          <w:footerReference w:type="first" r:id="rId16"/>
          <w:footnotePr>
            <w:numRestart w:val="eachSect"/>
          </w:footnotePr>
          <w:endnotePr>
            <w:numFmt w:val="decimal"/>
          </w:endnotePr>
          <w:pgSz w:w="11906" w:h="16838" w:code="9"/>
          <w:pgMar w:top="2274" w:right="2274" w:bottom="2274" w:left="2274" w:header="1701" w:footer="720" w:gutter="0"/>
          <w:pgNumType w:start="1"/>
          <w:cols w:space="720"/>
          <w:noEndnote/>
          <w:titlePg/>
        </w:sectPr>
      </w:pPr>
    </w:p>
    <w:p w14:paraId="61F91EFE" w14:textId="77777777" w:rsidR="0098410D" w:rsidRPr="00F9089F" w:rsidRDefault="0098410D" w:rsidP="00F9089F">
      <w:pPr>
        <w:pStyle w:val="JuCase"/>
      </w:pPr>
      <w:r>
        <w:lastRenderedPageBreak/>
        <w:t xml:space="preserve">W sprawie </w:t>
      </w:r>
      <w:proofErr w:type="spellStart"/>
      <w:r>
        <w:t>Smiljanić</w:t>
      </w:r>
      <w:proofErr w:type="spellEnd"/>
      <w:r>
        <w:t xml:space="preserve"> przeciwko Chorwacji</w:t>
      </w:r>
    </w:p>
    <w:p w14:paraId="2D26EE9C" w14:textId="77777777" w:rsidR="009F4C8F" w:rsidRPr="00F9089F" w:rsidRDefault="009F4C8F" w:rsidP="00F9089F">
      <w:pPr>
        <w:pStyle w:val="JuPara"/>
      </w:pPr>
      <w:r>
        <w:t>Europejski Trybunał Praw Człowieka (Sekcja Pierwsza), zasiadając jako Izba w składzie:</w:t>
      </w:r>
    </w:p>
    <w:p w14:paraId="499CA592" w14:textId="1409B843" w:rsidR="009F4C8F" w:rsidRPr="00F9089F" w:rsidRDefault="003D13E1" w:rsidP="00F9089F">
      <w:pPr>
        <w:pStyle w:val="JuJudges"/>
      </w:pPr>
      <w:r>
        <w:tab/>
        <w:t xml:space="preserve">Krzysztof </w:t>
      </w:r>
      <w:proofErr w:type="spellStart"/>
      <w:r>
        <w:t>Wojtyczek</w:t>
      </w:r>
      <w:proofErr w:type="spellEnd"/>
      <w:r>
        <w:t>,</w:t>
      </w:r>
      <w:r>
        <w:rPr>
          <w:i/>
        </w:rPr>
        <w:t xml:space="preserve"> </w:t>
      </w:r>
      <w:r w:rsidR="003E5C56">
        <w:rPr>
          <w:i/>
        </w:rPr>
        <w:t>P</w:t>
      </w:r>
      <w:r>
        <w:rPr>
          <w:i/>
        </w:rPr>
        <w:t>rzewodniczący,</w:t>
      </w:r>
      <w:r>
        <w:rPr>
          <w:i/>
        </w:rPr>
        <w:br/>
      </w:r>
      <w:r>
        <w:tab/>
      </w:r>
      <w:proofErr w:type="spellStart"/>
      <w:r>
        <w:t>Ksenija</w:t>
      </w:r>
      <w:proofErr w:type="spellEnd"/>
      <w:r>
        <w:t xml:space="preserve"> </w:t>
      </w:r>
      <w:proofErr w:type="spellStart"/>
      <w:r>
        <w:t>Turković</w:t>
      </w:r>
      <w:proofErr w:type="spellEnd"/>
      <w:r>
        <w:t>,</w:t>
      </w:r>
      <w:r>
        <w:rPr>
          <w:i/>
        </w:rPr>
        <w:br/>
      </w:r>
      <w:r>
        <w:tab/>
      </w:r>
      <w:proofErr w:type="spellStart"/>
      <w:r>
        <w:t>Linos-Alexandre</w:t>
      </w:r>
      <w:proofErr w:type="spellEnd"/>
      <w:r>
        <w:t xml:space="preserve"> </w:t>
      </w:r>
      <w:proofErr w:type="spellStart"/>
      <w:r>
        <w:t>Sicilianos</w:t>
      </w:r>
      <w:proofErr w:type="spellEnd"/>
      <w:r>
        <w:t>,</w:t>
      </w:r>
      <w:r>
        <w:rPr>
          <w:i/>
        </w:rPr>
        <w:br/>
      </w:r>
      <w:r>
        <w:tab/>
        <w:t xml:space="preserve">Alena </w:t>
      </w:r>
      <w:proofErr w:type="spellStart"/>
      <w:r>
        <w:t>Poláčková</w:t>
      </w:r>
      <w:proofErr w:type="spellEnd"/>
      <w:r>
        <w:t>,</w:t>
      </w:r>
      <w:r>
        <w:rPr>
          <w:i/>
        </w:rPr>
        <w:br/>
      </w:r>
      <w:r>
        <w:tab/>
        <w:t xml:space="preserve">Gilberto </w:t>
      </w:r>
      <w:proofErr w:type="spellStart"/>
      <w:r>
        <w:t>Felici</w:t>
      </w:r>
      <w:proofErr w:type="spellEnd"/>
      <w:r>
        <w:t>,</w:t>
      </w:r>
      <w:r>
        <w:rPr>
          <w:i/>
        </w:rPr>
        <w:br/>
      </w:r>
      <w:r>
        <w:tab/>
      </w:r>
      <w:proofErr w:type="spellStart"/>
      <w:r>
        <w:t>Raffaele</w:t>
      </w:r>
      <w:proofErr w:type="spellEnd"/>
      <w:r>
        <w:t xml:space="preserve"> </w:t>
      </w:r>
      <w:proofErr w:type="spellStart"/>
      <w:r>
        <w:t>Sabato</w:t>
      </w:r>
      <w:proofErr w:type="spellEnd"/>
      <w:r>
        <w:t>,</w:t>
      </w:r>
      <w:r>
        <w:rPr>
          <w:i/>
        </w:rPr>
        <w:br/>
      </w:r>
      <w:r>
        <w:tab/>
        <w:t xml:space="preserve">Lorraine </w:t>
      </w:r>
      <w:proofErr w:type="spellStart"/>
      <w:r>
        <w:t>Schembri</w:t>
      </w:r>
      <w:proofErr w:type="spellEnd"/>
      <w:r>
        <w:t xml:space="preserve"> </w:t>
      </w:r>
      <w:proofErr w:type="spellStart"/>
      <w:r>
        <w:t>Orland</w:t>
      </w:r>
      <w:proofErr w:type="spellEnd"/>
      <w:r>
        <w:t>,</w:t>
      </w:r>
      <w:r>
        <w:rPr>
          <w:i/>
        </w:rPr>
        <w:t xml:space="preserve"> sędziowie,</w:t>
      </w:r>
      <w:r>
        <w:br/>
        <w:t xml:space="preserve">i Renata </w:t>
      </w:r>
      <w:proofErr w:type="spellStart"/>
      <w:r>
        <w:t>Degener</w:t>
      </w:r>
      <w:proofErr w:type="spellEnd"/>
      <w:r>
        <w:t xml:space="preserve">, </w:t>
      </w:r>
      <w:r w:rsidR="003E5C56">
        <w:rPr>
          <w:i/>
          <w:iCs/>
        </w:rPr>
        <w:t>K</w:t>
      </w:r>
      <w:r>
        <w:rPr>
          <w:i/>
          <w:iCs/>
        </w:rPr>
        <w:t xml:space="preserve">anclerz </w:t>
      </w:r>
      <w:r w:rsidR="003E5C56">
        <w:rPr>
          <w:i/>
          <w:iCs/>
        </w:rPr>
        <w:t>S</w:t>
      </w:r>
      <w:r>
        <w:rPr>
          <w:i/>
          <w:iCs/>
        </w:rPr>
        <w:t>ekcji</w:t>
      </w:r>
      <w:r>
        <w:rPr>
          <w:i/>
        </w:rPr>
        <w:t>,</w:t>
      </w:r>
    </w:p>
    <w:p w14:paraId="1988B625" w14:textId="77777777" w:rsidR="002E7DD4" w:rsidRPr="00F9089F" w:rsidRDefault="002E7DD4" w:rsidP="00F9089F">
      <w:pPr>
        <w:pStyle w:val="JuPara"/>
      </w:pPr>
      <w:bookmarkStart w:id="3" w:name="ITMARKHavingStart"/>
      <w:bookmarkEnd w:id="3"/>
      <w:r>
        <w:t>uwzględniając:</w:t>
      </w:r>
    </w:p>
    <w:p w14:paraId="2CC076B2" w14:textId="032CE225" w:rsidR="002E7DD4" w:rsidRPr="00F9089F" w:rsidRDefault="002E7DD4" w:rsidP="00F9089F">
      <w:pPr>
        <w:pStyle w:val="JuPara"/>
      </w:pPr>
      <w:r>
        <w:t xml:space="preserve">skargę (nr 35983/14) przeciwko Republice Chorwacji wniesioną do Trybunału 6 maja 2014 r. na podstawie art. 34 Konwencji o ochronie praw człowieka i podstawowych wolności („Konwencja”) przez trzech obywateli chorwackich: </w:t>
      </w:r>
      <w:r w:rsidR="003E5C56">
        <w:t xml:space="preserve">p. </w:t>
      </w:r>
      <w:proofErr w:type="spellStart"/>
      <w:r>
        <w:t>Milenk</w:t>
      </w:r>
      <w:r w:rsidR="003E5C56">
        <w:t>o</w:t>
      </w:r>
      <w:proofErr w:type="spellEnd"/>
      <w:r>
        <w:t xml:space="preserve"> </w:t>
      </w:r>
      <w:proofErr w:type="spellStart"/>
      <w:r>
        <w:t>Smiljanića</w:t>
      </w:r>
      <w:proofErr w:type="spellEnd"/>
      <w:r>
        <w:t xml:space="preserve">, </w:t>
      </w:r>
      <w:r w:rsidR="003E5C56">
        <w:t xml:space="preserve">p. </w:t>
      </w:r>
      <w:proofErr w:type="spellStart"/>
      <w:r>
        <w:t>Ljiljankę</w:t>
      </w:r>
      <w:proofErr w:type="spellEnd"/>
      <w:r>
        <w:t xml:space="preserve"> </w:t>
      </w:r>
      <w:proofErr w:type="spellStart"/>
      <w:r>
        <w:t>Smiljanić</w:t>
      </w:r>
      <w:proofErr w:type="spellEnd"/>
      <w:r>
        <w:t xml:space="preserve"> i </w:t>
      </w:r>
      <w:r w:rsidR="00643A73">
        <w:t xml:space="preserve">p. </w:t>
      </w:r>
      <w:proofErr w:type="spellStart"/>
      <w:r>
        <w:t>Sašę</w:t>
      </w:r>
      <w:proofErr w:type="spellEnd"/>
      <w:r>
        <w:t xml:space="preserve"> </w:t>
      </w:r>
      <w:proofErr w:type="spellStart"/>
      <w:r>
        <w:t>Smiljanić</w:t>
      </w:r>
      <w:proofErr w:type="spellEnd"/>
      <w:r>
        <w:t xml:space="preserve"> („skarżący”);</w:t>
      </w:r>
    </w:p>
    <w:p w14:paraId="6E96488D" w14:textId="77777777" w:rsidR="002E7DD4" w:rsidRPr="00F9089F" w:rsidRDefault="002E7DD4" w:rsidP="00F9089F">
      <w:pPr>
        <w:pStyle w:val="JuPara"/>
      </w:pPr>
      <w:r>
        <w:t>decyzję o zakomunikowaniu rządowi chorwackiemu („Rząd”) skargi zawierającej zarzut naruszenia art. 2 Konwencji;</w:t>
      </w:r>
    </w:p>
    <w:p w14:paraId="166A4AC7" w14:textId="77777777" w:rsidR="002E7DD4" w:rsidRPr="00F9089F" w:rsidRDefault="002E7DD4" w:rsidP="00F9089F">
      <w:pPr>
        <w:pStyle w:val="JuPara"/>
      </w:pPr>
      <w:r>
        <w:t>uwagi przedstawione przez strony;</w:t>
      </w:r>
    </w:p>
    <w:p w14:paraId="06C36A05" w14:textId="6BEC56E4" w:rsidR="009F4C8F" w:rsidRPr="00F9089F" w:rsidRDefault="009F4C8F" w:rsidP="00F9089F">
      <w:pPr>
        <w:pStyle w:val="JuPara"/>
      </w:pPr>
      <w:r>
        <w:t>obradując na posiedzeniu niejawnym 16 lutego 2021 r.</w:t>
      </w:r>
    </w:p>
    <w:p w14:paraId="11C6FE5D" w14:textId="77777777" w:rsidR="009F4C8F" w:rsidRPr="00F9089F" w:rsidRDefault="009F4C8F" w:rsidP="00F9089F">
      <w:pPr>
        <w:pStyle w:val="JuPara"/>
      </w:pPr>
      <w:r>
        <w:t>wydaje następujący wyrok, który został przyjęty w tym dniu:</w:t>
      </w:r>
    </w:p>
    <w:p w14:paraId="1A18E046" w14:textId="77777777" w:rsidR="002E7DD4" w:rsidRPr="00F9089F" w:rsidRDefault="002E7DD4" w:rsidP="00F9089F">
      <w:pPr>
        <w:pStyle w:val="JuHHead"/>
        <w:numPr>
          <w:ilvl w:val="0"/>
          <w:numId w:val="0"/>
        </w:numPr>
      </w:pPr>
      <w:r>
        <w:t>WPROWADZENIE</w:t>
      </w:r>
    </w:p>
    <w:p w14:paraId="47609088" w14:textId="7A69B905" w:rsidR="002E7DD4" w:rsidRPr="00F9089F" w:rsidRDefault="00000000" w:rsidP="00F9089F">
      <w:pPr>
        <w:pStyle w:val="JuPara"/>
      </w:pPr>
      <w:fldSimple w:instr=" SEQ level0 \*arabic ">
        <w:r w:rsidR="00887A59">
          <w:rPr>
            <w:noProof/>
          </w:rPr>
          <w:t>1</w:t>
        </w:r>
      </w:fldSimple>
      <w:r w:rsidR="002E7DD4">
        <w:t>.</w:t>
      </w:r>
      <w:r w:rsidR="009C4069">
        <w:t xml:space="preserve"> </w:t>
      </w:r>
      <w:r w:rsidR="002E7DD4">
        <w:t xml:space="preserve">Sprawa dotyczy zarzucanego braku egzekwowaniu przez </w:t>
      </w:r>
      <w:r w:rsidR="00EC7400">
        <w:t xml:space="preserve">organy </w:t>
      </w:r>
      <w:r w:rsidR="002E7DD4">
        <w:t>krajowe krajowych przepisów ramowych o ruchu drogowym</w:t>
      </w:r>
      <w:r w:rsidR="00EC7400">
        <w:t xml:space="preserve"> poprzez</w:t>
      </w:r>
      <w:r w:rsidR="002E7DD4">
        <w:t xml:space="preserve"> zastosowani</w:t>
      </w:r>
      <w:r w:rsidR="00EC7400">
        <w:t>e</w:t>
      </w:r>
      <w:r w:rsidR="002E7DD4">
        <w:t xml:space="preserve"> odpowiednich środków w stosunku do osoby będącej sprawcą zdarzenia drogowego, w którym zginął krewny skarżących.</w:t>
      </w:r>
    </w:p>
    <w:p w14:paraId="5E958699" w14:textId="77777777" w:rsidR="002E7DD4" w:rsidRPr="00F9089F" w:rsidRDefault="002E7DD4" w:rsidP="00F9089F">
      <w:pPr>
        <w:pStyle w:val="JuHHead"/>
      </w:pPr>
      <w:r>
        <w:t>FAKTY</w:t>
      </w:r>
    </w:p>
    <w:p w14:paraId="29598994" w14:textId="7C0AFEDF" w:rsidR="002E7DD4" w:rsidRPr="00F9089F" w:rsidRDefault="00000000" w:rsidP="00F9089F">
      <w:pPr>
        <w:pStyle w:val="JuPara"/>
      </w:pPr>
      <w:fldSimple w:instr=" SEQ level0 \*arabic ">
        <w:r w:rsidR="00887A59">
          <w:rPr>
            <w:noProof/>
          </w:rPr>
          <w:t>2</w:t>
        </w:r>
      </w:fldSimple>
      <w:r w:rsidR="002E7DD4">
        <w:t>.</w:t>
      </w:r>
      <w:r w:rsidR="009C4069">
        <w:t xml:space="preserve"> </w:t>
      </w:r>
      <w:r w:rsidR="00EC7400">
        <w:t xml:space="preserve">Pierwszy i druga </w:t>
      </w:r>
      <w:r w:rsidR="002E7DD4">
        <w:t>skarżąc</w:t>
      </w:r>
      <w:r w:rsidR="00EC7400">
        <w:t>y</w:t>
      </w:r>
      <w:r w:rsidR="002E7DD4">
        <w:t xml:space="preserve"> urodzili się w 1952 r., a </w:t>
      </w:r>
      <w:r w:rsidR="00EC7400">
        <w:t>trzecia</w:t>
      </w:r>
      <w:r w:rsidR="002E7DD4">
        <w:t xml:space="preserve"> skarżąca </w:t>
      </w:r>
      <w:r w:rsidR="00EC7400">
        <w:br/>
      </w:r>
      <w:r w:rsidR="002E7DD4">
        <w:t xml:space="preserve">– w 1981 r. Mieszkają w Zagrzebiu. Skarżących reprezentowała </w:t>
      </w:r>
      <w:r w:rsidR="00EC7400">
        <w:t xml:space="preserve">p. </w:t>
      </w:r>
      <w:r w:rsidR="002E7DD4">
        <w:t xml:space="preserve">I. </w:t>
      </w:r>
      <w:proofErr w:type="spellStart"/>
      <w:r w:rsidR="002E7DD4">
        <w:t>Bojić</w:t>
      </w:r>
      <w:proofErr w:type="spellEnd"/>
      <w:r w:rsidR="002E7DD4">
        <w:t>, prawniczka praktykująca w Zagrzebiu.</w:t>
      </w:r>
    </w:p>
    <w:p w14:paraId="6AFFBF1E" w14:textId="54EE10F2" w:rsidR="002E7DD4" w:rsidRPr="00F9089F" w:rsidRDefault="00000000" w:rsidP="00F9089F">
      <w:pPr>
        <w:pStyle w:val="JuPara"/>
        <w:rPr>
          <w:rFonts w:eastAsiaTheme="minorEastAsia"/>
          <w:szCs w:val="22"/>
        </w:rPr>
      </w:pPr>
      <w:fldSimple w:instr=" SEQ level0 \*arabic ">
        <w:r w:rsidR="00887A59">
          <w:rPr>
            <w:noProof/>
          </w:rPr>
          <w:t>3</w:t>
        </w:r>
      </w:fldSimple>
      <w:r w:rsidR="002E7DD4">
        <w:t>.</w:t>
      </w:r>
      <w:r w:rsidR="009C4069">
        <w:t xml:space="preserve"> </w:t>
      </w:r>
      <w:r w:rsidR="002E7DD4">
        <w:t xml:space="preserve">Rząd chorwacki („Rząd”) był reprezentowany przez swoją pełnomocnik, </w:t>
      </w:r>
      <w:r w:rsidR="00EC7400">
        <w:t xml:space="preserve">p. </w:t>
      </w:r>
      <w:r w:rsidR="002E7DD4">
        <w:t xml:space="preserve">Š. </w:t>
      </w:r>
      <w:proofErr w:type="spellStart"/>
      <w:r w:rsidR="002E7DD4">
        <w:t>Stažnik</w:t>
      </w:r>
      <w:proofErr w:type="spellEnd"/>
      <w:r w:rsidR="002E7DD4">
        <w:t>.</w:t>
      </w:r>
    </w:p>
    <w:p w14:paraId="7053BF42" w14:textId="68EA47AA" w:rsidR="002E7DD4" w:rsidRPr="00F9089F" w:rsidRDefault="00000000" w:rsidP="00F9089F">
      <w:pPr>
        <w:pStyle w:val="JuPara"/>
      </w:pPr>
      <w:fldSimple w:instr=" SEQ level0 \*arabic ">
        <w:r w:rsidR="00887A59">
          <w:rPr>
            <w:noProof/>
          </w:rPr>
          <w:t>4</w:t>
        </w:r>
      </w:fldSimple>
      <w:r w:rsidR="002E7DD4">
        <w:t>.</w:t>
      </w:r>
      <w:r w:rsidR="009C4069">
        <w:t xml:space="preserve"> </w:t>
      </w:r>
      <w:r w:rsidR="00EC7400">
        <w:t>Stan</w:t>
      </w:r>
      <w:r w:rsidR="002E7DD4">
        <w:t xml:space="preserve"> faktyczn</w:t>
      </w:r>
      <w:r w:rsidR="00EC7400">
        <w:t>y</w:t>
      </w:r>
      <w:r w:rsidR="002E7DD4">
        <w:t xml:space="preserve"> sprawy</w:t>
      </w:r>
      <w:r w:rsidR="00EC7400">
        <w:t>,</w:t>
      </w:r>
      <w:r w:rsidR="002E7DD4">
        <w:t xml:space="preserve"> przedstawion</w:t>
      </w:r>
      <w:r w:rsidR="00EC7400">
        <w:t>y</w:t>
      </w:r>
      <w:r w:rsidR="002E7DD4">
        <w:t xml:space="preserve"> przez strony</w:t>
      </w:r>
      <w:r w:rsidR="00EC7400">
        <w:t>,</w:t>
      </w:r>
      <w:r w:rsidR="002E7DD4">
        <w:t xml:space="preserve"> można streścić </w:t>
      </w:r>
      <w:r w:rsidR="00EC7400">
        <w:t>następująco.</w:t>
      </w:r>
    </w:p>
    <w:p w14:paraId="57DD2D67" w14:textId="7ECC2A0F" w:rsidR="002E7DD4" w:rsidRPr="00F9089F" w:rsidRDefault="002E7DD4" w:rsidP="00F9089F">
      <w:pPr>
        <w:pStyle w:val="JuHIRoman"/>
      </w:pPr>
      <w:r>
        <w:t>Okoliczności śmierci krewnego skarżących</w:t>
      </w:r>
    </w:p>
    <w:p w14:paraId="5B23ADF2" w14:textId="79767177" w:rsidR="002E7DD4" w:rsidRPr="00F9089F" w:rsidRDefault="00000000" w:rsidP="00F9089F">
      <w:pPr>
        <w:pStyle w:val="JuPara"/>
      </w:pPr>
      <w:fldSimple w:instr=" SEQ level0 \*arabic ">
        <w:r w:rsidR="00887A59">
          <w:rPr>
            <w:noProof/>
          </w:rPr>
          <w:t>5</w:t>
        </w:r>
      </w:fldSimple>
      <w:r w:rsidR="002E7DD4">
        <w:t>.</w:t>
      </w:r>
      <w:r w:rsidR="009C4069">
        <w:t xml:space="preserve"> </w:t>
      </w:r>
      <w:r w:rsidR="002E7DD4">
        <w:t xml:space="preserve">Skarżący to odpowiednio rodzice i siostra </w:t>
      </w:r>
      <w:r w:rsidR="00327FAB">
        <w:t xml:space="preserve">zmarłego </w:t>
      </w:r>
      <w:r w:rsidR="002E7DD4">
        <w:t>S.S, który zginął w wypadku drogowym.</w:t>
      </w:r>
    </w:p>
    <w:p w14:paraId="02D4FB7A" w14:textId="4FEBD159" w:rsidR="002E7DD4" w:rsidRPr="00F9089F" w:rsidRDefault="002E7DD4" w:rsidP="00F9089F">
      <w:pPr>
        <w:pStyle w:val="JuPara"/>
        <w:rPr>
          <w:rFonts w:eastAsiaTheme="minorEastAsia"/>
          <w:szCs w:val="22"/>
        </w:rPr>
      </w:pPr>
      <w:r w:rsidRPr="00F9089F">
        <w:rPr>
          <w:rFonts w:eastAsiaTheme="minorEastAsia"/>
          <w:szCs w:val="22"/>
        </w:rPr>
        <w:lastRenderedPageBreak/>
        <w:fldChar w:fldCharType="begin"/>
      </w:r>
      <w:r w:rsidRPr="00F9089F">
        <w:rPr>
          <w:rFonts w:eastAsiaTheme="minorEastAsia"/>
          <w:szCs w:val="22"/>
        </w:rPr>
        <w:instrText xml:space="preserve"> SEQ level0 \*arabic </w:instrText>
      </w:r>
      <w:r w:rsidRPr="00F9089F">
        <w:rPr>
          <w:rFonts w:eastAsiaTheme="minorEastAsia"/>
          <w:szCs w:val="22"/>
        </w:rPr>
        <w:fldChar w:fldCharType="separate"/>
      </w:r>
      <w:r w:rsidR="00887A59">
        <w:rPr>
          <w:rFonts w:eastAsiaTheme="minorEastAsia"/>
          <w:noProof/>
          <w:szCs w:val="22"/>
        </w:rPr>
        <w:t>6</w:t>
      </w:r>
      <w:r w:rsidRPr="00F9089F">
        <w:rPr>
          <w:rFonts w:eastAsiaTheme="minorEastAsia"/>
          <w:szCs w:val="22"/>
        </w:rPr>
        <w:fldChar w:fldCharType="end"/>
      </w:r>
      <w:r>
        <w:t>.</w:t>
      </w:r>
      <w:r w:rsidR="009C4069">
        <w:t xml:space="preserve"> </w:t>
      </w:r>
      <w:r>
        <w:t xml:space="preserve">Około 2 w nocy 7 lipca 2012 r. w Zagrzebiu D.M., znany biznesmen, przejechał przez skrzyżowanie na czerwonym świetle i uderzył swoim pojazdem typu SUV w krewnego skarżących, który przejeżdżał </w:t>
      </w:r>
      <w:r w:rsidR="00327FAB">
        <w:t xml:space="preserve">swoim motocyklem </w:t>
      </w:r>
      <w:r>
        <w:t>przez skrzyżowanie na zielonym świetle. Krewny skarżących poniósł śmierć na miejscu.</w:t>
      </w:r>
    </w:p>
    <w:p w14:paraId="3FC033A3" w14:textId="471556AF" w:rsidR="002E7DD4" w:rsidRPr="00F9089F" w:rsidRDefault="00000000" w:rsidP="00F9089F">
      <w:pPr>
        <w:pStyle w:val="JuPara"/>
      </w:pPr>
      <w:fldSimple w:instr=" SEQ level0 \*arabic ">
        <w:r w:rsidR="00887A59">
          <w:rPr>
            <w:noProof/>
          </w:rPr>
          <w:t>7</w:t>
        </w:r>
      </w:fldSimple>
      <w:r w:rsidR="002E7DD4">
        <w:t>.</w:t>
      </w:r>
      <w:r w:rsidR="009C4069">
        <w:t xml:space="preserve"> </w:t>
      </w:r>
      <w:r w:rsidR="002E7DD4">
        <w:t>W chwili zdarzenia D.M. był pod wpływem alkoholu i musiał zostać przewieziony do policyjnej izby wytrzeźwień.</w:t>
      </w:r>
    </w:p>
    <w:p w14:paraId="4B89D686" w14:textId="718AB7E1" w:rsidR="002E7DD4" w:rsidRPr="00F9089F" w:rsidRDefault="00000000" w:rsidP="00F9089F">
      <w:pPr>
        <w:pStyle w:val="JuPara"/>
      </w:pPr>
      <w:fldSimple w:instr=" SEQ level0 \*arabic ">
        <w:r w:rsidR="00887A59">
          <w:rPr>
            <w:noProof/>
          </w:rPr>
          <w:t>8</w:t>
        </w:r>
      </w:fldSimple>
      <w:r w:rsidR="002E7DD4">
        <w:t>.</w:t>
      </w:r>
      <w:r w:rsidR="009C4069">
        <w:t xml:space="preserve"> </w:t>
      </w:r>
      <w:r w:rsidR="002E7DD4">
        <w:t>Podczas czynności przeprowadzonych na miejscu zdarzenia policjanci ustalili, że D.M. posiada</w:t>
      </w:r>
      <w:r w:rsidR="00327FAB">
        <w:t>ł</w:t>
      </w:r>
      <w:r w:rsidR="002E7DD4">
        <w:t xml:space="preserve"> ważne prawo jazdy wydane przez policję w Zagrzebiu.</w:t>
      </w:r>
    </w:p>
    <w:p w14:paraId="01F7A927" w14:textId="24CB2B8F" w:rsidR="002E7DD4" w:rsidRPr="00F9089F" w:rsidRDefault="00000000" w:rsidP="00F9089F">
      <w:pPr>
        <w:pStyle w:val="JuPara"/>
      </w:pPr>
      <w:fldSimple w:instr=" SEQ level0 \*arabic ">
        <w:r w:rsidR="00887A59">
          <w:rPr>
            <w:noProof/>
          </w:rPr>
          <w:t>9</w:t>
        </w:r>
      </w:fldSimple>
      <w:r w:rsidR="002E7DD4">
        <w:t>.</w:t>
      </w:r>
      <w:r w:rsidR="009C4069">
        <w:t xml:space="preserve"> </w:t>
      </w:r>
      <w:r w:rsidR="002E7DD4">
        <w:t xml:space="preserve">Jak wynika z dostępnych dokumentów, przed zdarzeniem D.M. był notowany przez policję trzydzieści pięć razy w związku z różnymi wykroczeniami lub przestępstwami w ruchu drogowym, w tym prowadzeniem pojazdu w stanie nietrzeźwości, przekroczeniem dopuszczalnej prędkości lub niestosowaniem się do znaków drogowych. Wpisy w rejestrze dotyczyły okresu od marca 2000 r. do maja 2012 r., przy czym ostatnie skazanie dotyczyło </w:t>
      </w:r>
      <w:r w:rsidR="00C52EB0">
        <w:t>czynu</w:t>
      </w:r>
      <w:r w:rsidR="002E7DD4">
        <w:t xml:space="preserve"> popełnionego w listopadzie 2010 r. Istotne szczegóły przedstawiają się następująco:</w:t>
      </w:r>
    </w:p>
    <w:p w14:paraId="1520E1D0" w14:textId="2152D9D4" w:rsidR="002E7DD4" w:rsidRPr="00F9089F" w:rsidRDefault="002E7DD4" w:rsidP="00F9089F">
      <w:pPr>
        <w:pStyle w:val="JuPara"/>
      </w:pPr>
      <w:r>
        <w:t xml:space="preserve">- D.M. </w:t>
      </w:r>
      <w:r w:rsidR="00327FAB">
        <w:t>został</w:t>
      </w:r>
      <w:r>
        <w:t xml:space="preserve"> </w:t>
      </w:r>
      <w:r w:rsidR="00327FAB">
        <w:t>u</w:t>
      </w:r>
      <w:r>
        <w:t xml:space="preserve">karany grzywnami w wysokości od 100 do 1000 kun chorwackich (HRK, ok. 13–130 euro (EUR)) za siedemnaście </w:t>
      </w:r>
      <w:r w:rsidR="00C52EB0">
        <w:t>czynów</w:t>
      </w:r>
      <w:r>
        <w:t>;</w:t>
      </w:r>
    </w:p>
    <w:p w14:paraId="29839539" w14:textId="027B5B6F" w:rsidR="002E7DD4" w:rsidRPr="00F9089F" w:rsidRDefault="002E7DD4" w:rsidP="00F9089F">
      <w:pPr>
        <w:pStyle w:val="JuPara"/>
      </w:pPr>
      <w:r>
        <w:t xml:space="preserve">- jeden raz został skazany na prace społeczne, a raz otrzymał pouczenie od funkcjonariusza </w:t>
      </w:r>
      <w:r w:rsidR="008C5364">
        <w:t>P</w:t>
      </w:r>
      <w:r>
        <w:t>olicji;</w:t>
      </w:r>
    </w:p>
    <w:p w14:paraId="38008014" w14:textId="516F5464" w:rsidR="002E7DD4" w:rsidRPr="00F9089F" w:rsidRDefault="002E7DD4" w:rsidP="00F9089F">
      <w:pPr>
        <w:pStyle w:val="JuPara"/>
      </w:pPr>
      <w:r>
        <w:t xml:space="preserve">- dwukrotnie tymczasowo zatrzymywano mu prawo jazdy: </w:t>
      </w:r>
      <w:r w:rsidR="008C5364">
        <w:t>w okresach</w:t>
      </w:r>
      <w:r>
        <w:t xml:space="preserve"> od 24 listopada 2001 r. do 25 lutego 2002 r. oraz od 20 do 23 maja 2006 r.;</w:t>
      </w:r>
    </w:p>
    <w:p w14:paraId="063E46FA" w14:textId="636C8BC7" w:rsidR="002E7DD4" w:rsidRPr="00F9089F" w:rsidRDefault="002E7DD4" w:rsidP="00F9089F">
      <w:pPr>
        <w:pStyle w:val="JuPara"/>
      </w:pPr>
      <w:r>
        <w:t xml:space="preserve">- w przypadku dziewięciu </w:t>
      </w:r>
      <w:r w:rsidR="00C52EB0">
        <w:t>czynów</w:t>
      </w:r>
      <w:r>
        <w:t xml:space="preserve"> postępowanie umorzono z powodu przedawnienia, a jedno postępowanie </w:t>
      </w:r>
      <w:r w:rsidR="008C5364">
        <w:t xml:space="preserve">wstrzymano </w:t>
      </w:r>
      <w:r>
        <w:t xml:space="preserve">z powodu nieprawidłowości w czynnościach </w:t>
      </w:r>
      <w:r w:rsidR="008C5364">
        <w:t>P</w:t>
      </w:r>
      <w:r>
        <w:t>olicji;</w:t>
      </w:r>
    </w:p>
    <w:p w14:paraId="1E3591C8" w14:textId="563B377E" w:rsidR="002E7DD4" w:rsidRPr="00F9089F" w:rsidRDefault="002E7DD4" w:rsidP="00F9089F">
      <w:pPr>
        <w:pStyle w:val="JuPara"/>
      </w:pPr>
      <w:r>
        <w:t xml:space="preserve">- w przypadku pozostałych </w:t>
      </w:r>
      <w:r w:rsidR="00C52EB0">
        <w:t>czynów</w:t>
      </w:r>
      <w:r>
        <w:t xml:space="preserve"> doszło do </w:t>
      </w:r>
      <w:r w:rsidR="008C5364">
        <w:t>uniewinnienia</w:t>
      </w:r>
      <w:r>
        <w:t xml:space="preserve"> lub rozstrzygnięcie jest nieznane.</w:t>
      </w:r>
    </w:p>
    <w:p w14:paraId="08265889" w14:textId="043D54BA" w:rsidR="002E7DD4" w:rsidRPr="00F9089F" w:rsidRDefault="00000000" w:rsidP="00F9089F">
      <w:pPr>
        <w:pStyle w:val="JuPara"/>
      </w:pPr>
      <w:fldSimple w:instr=" SEQ level0 \*arabic ">
        <w:r w:rsidR="00887A59">
          <w:rPr>
            <w:noProof/>
          </w:rPr>
          <w:t>10</w:t>
        </w:r>
      </w:fldSimple>
      <w:r w:rsidR="002E7DD4">
        <w:t>.</w:t>
      </w:r>
      <w:r w:rsidR="009C4069">
        <w:t xml:space="preserve"> </w:t>
      </w:r>
      <w:r w:rsidR="002E7DD4">
        <w:t xml:space="preserve">Jak wynika z </w:t>
      </w:r>
      <w:r w:rsidR="00530C1A">
        <w:t>dostępnego rejestru wykroczeń</w:t>
      </w:r>
      <w:r w:rsidR="002E7DD4">
        <w:t xml:space="preserve"> D.M. został </w:t>
      </w:r>
      <w:r w:rsidR="00530C1A">
        <w:t xml:space="preserve">on </w:t>
      </w:r>
      <w:r w:rsidR="002E7DD4">
        <w:t xml:space="preserve">ukarany za wykroczenia dwukrotnie: w marcu 2010 r. uznano go winnym niezastosowania się do znaków drogowych (wykroczenie popełnione </w:t>
      </w:r>
      <w:r w:rsidR="00530C1A">
        <w:br/>
      </w:r>
      <w:r w:rsidR="002E7DD4">
        <w:t>w lutym 2010 r.), natomiast w maju 2011 r. uznano go winnym przekroczenia dopuszczalnej prędkości (którego dopuścił się w listopadzie 2010 r.).</w:t>
      </w:r>
    </w:p>
    <w:p w14:paraId="421F400F" w14:textId="3FE80357" w:rsidR="002E7DD4" w:rsidRPr="00F9089F" w:rsidRDefault="00000000" w:rsidP="00F9089F">
      <w:pPr>
        <w:pStyle w:val="JuPara"/>
      </w:pPr>
      <w:fldSimple w:instr=" SEQ level0 \*arabic ">
        <w:r w:rsidR="00887A59">
          <w:rPr>
            <w:noProof/>
          </w:rPr>
          <w:t>11</w:t>
        </w:r>
      </w:fldSimple>
      <w:r w:rsidR="002E7DD4">
        <w:t>.</w:t>
      </w:r>
      <w:r w:rsidR="009C4069">
        <w:t xml:space="preserve"> </w:t>
      </w:r>
      <w:r w:rsidR="002E7DD4">
        <w:t xml:space="preserve">Jak wynika z </w:t>
      </w:r>
      <w:r w:rsidR="00530C1A">
        <w:t>danych o karalności</w:t>
      </w:r>
      <w:r w:rsidR="002E7DD4">
        <w:t>, D.M. nigdy nie został skazany za przestępstwo karne.</w:t>
      </w:r>
    </w:p>
    <w:p w14:paraId="43E95372" w14:textId="7FAFB80C" w:rsidR="002E7DD4" w:rsidRPr="00F9089F" w:rsidRDefault="00000000" w:rsidP="00F9089F">
      <w:pPr>
        <w:pStyle w:val="JuPara"/>
      </w:pPr>
      <w:fldSimple w:instr=" SEQ level0 \*arabic ">
        <w:r w:rsidR="00887A59">
          <w:rPr>
            <w:noProof/>
          </w:rPr>
          <w:t>12</w:t>
        </w:r>
      </w:fldSimple>
      <w:r w:rsidR="002E7DD4">
        <w:t>.</w:t>
      </w:r>
      <w:r w:rsidR="009C4069">
        <w:t xml:space="preserve"> </w:t>
      </w:r>
      <w:r w:rsidR="00530C1A">
        <w:t>Mniej więcej w</w:t>
      </w:r>
      <w:r w:rsidR="002E7DD4">
        <w:t xml:space="preserve"> czasie</w:t>
      </w:r>
      <w:r w:rsidR="00530C1A">
        <w:t>,</w:t>
      </w:r>
      <w:r w:rsidR="002E7DD4">
        <w:t xml:space="preserve"> </w:t>
      </w:r>
      <w:r w:rsidR="00530C1A">
        <w:t>kiedy</w:t>
      </w:r>
      <w:r w:rsidR="002E7DD4">
        <w:t xml:space="preserve"> zginął krewny skarżących, przeciwko D.M. toczyło się postępowanie w sprawie o wykroczenie w związku </w:t>
      </w:r>
      <w:r w:rsidR="00484ABF">
        <w:br/>
      </w:r>
      <w:r w:rsidR="002E7DD4">
        <w:t>z prowadzeniem pojazdu w stanie po użyciu alkoholu.</w:t>
      </w:r>
    </w:p>
    <w:p w14:paraId="693307A4" w14:textId="4D423E97" w:rsidR="002E7DD4" w:rsidRPr="00F9089F" w:rsidRDefault="00000000" w:rsidP="00F9089F">
      <w:pPr>
        <w:pStyle w:val="JuPara"/>
      </w:pPr>
      <w:fldSimple w:instr=" SEQ level0 \*arabic ">
        <w:r w:rsidR="00887A59">
          <w:rPr>
            <w:noProof/>
          </w:rPr>
          <w:t>13</w:t>
        </w:r>
      </w:fldSimple>
      <w:r w:rsidR="002E7DD4">
        <w:t>.</w:t>
      </w:r>
      <w:r w:rsidR="009C4069">
        <w:t xml:space="preserve"> </w:t>
      </w:r>
      <w:r w:rsidR="002E7DD4">
        <w:t>W szczególności</w:t>
      </w:r>
      <w:r w:rsidR="00484ABF">
        <w:t>,</w:t>
      </w:r>
      <w:r w:rsidR="002E7DD4">
        <w:t xml:space="preserve"> </w:t>
      </w:r>
      <w:r w:rsidR="00484ABF">
        <w:t xml:space="preserve">w </w:t>
      </w:r>
      <w:r w:rsidR="002E7DD4">
        <w:t>dni</w:t>
      </w:r>
      <w:r w:rsidR="00484ABF">
        <w:t>u</w:t>
      </w:r>
      <w:r w:rsidR="002E7DD4">
        <w:t xml:space="preserve"> 23 października 2010 r.</w:t>
      </w:r>
      <w:r w:rsidR="00484ABF">
        <w:t>,</w:t>
      </w:r>
      <w:r w:rsidR="002E7DD4">
        <w:t xml:space="preserve"> </w:t>
      </w:r>
      <w:r w:rsidR="00484ABF">
        <w:t xml:space="preserve">policja nałożyła na </w:t>
      </w:r>
      <w:r w:rsidR="002E7DD4">
        <w:t>D.M. mandat</w:t>
      </w:r>
      <w:r w:rsidR="00484ABF">
        <w:t xml:space="preserve"> karny</w:t>
      </w:r>
      <w:r w:rsidR="002E7DD4">
        <w:t xml:space="preserve"> za prowadzenie pojazdu w stanie po użyciu alkoholu</w:t>
      </w:r>
      <w:r w:rsidR="00484ABF">
        <w:br/>
      </w:r>
      <w:r w:rsidR="002E7DD4">
        <w:t>i wydano decyzję o zatrzymaniu prawa jazdy na okres dziewięciu miesięcy. D.M. odwołał się od mandatu do Sądu ds. Wykroczeń w Zagrzebiu (</w:t>
      </w:r>
      <w:proofErr w:type="spellStart"/>
      <w:r w:rsidR="002E7DD4">
        <w:rPr>
          <w:i/>
          <w:iCs/>
        </w:rPr>
        <w:t>Prekršajni</w:t>
      </w:r>
      <w:proofErr w:type="spellEnd"/>
      <w:r w:rsidR="002E7DD4">
        <w:rPr>
          <w:i/>
          <w:iCs/>
        </w:rPr>
        <w:t xml:space="preserve"> </w:t>
      </w:r>
      <w:proofErr w:type="spellStart"/>
      <w:r w:rsidR="002E7DD4">
        <w:rPr>
          <w:i/>
          <w:iCs/>
        </w:rPr>
        <w:t>sud</w:t>
      </w:r>
      <w:proofErr w:type="spellEnd"/>
      <w:r w:rsidR="002E7DD4">
        <w:rPr>
          <w:i/>
          <w:iCs/>
        </w:rPr>
        <w:t xml:space="preserve"> u </w:t>
      </w:r>
      <w:proofErr w:type="spellStart"/>
      <w:r w:rsidR="002E7DD4">
        <w:rPr>
          <w:i/>
          <w:iCs/>
        </w:rPr>
        <w:t>Zagrebu</w:t>
      </w:r>
      <w:proofErr w:type="spellEnd"/>
      <w:r w:rsidR="002E7DD4">
        <w:t>) (dalej „Sąd ds. Wykroczeń</w:t>
      </w:r>
      <w:r w:rsidR="00C37F5E">
        <w:t>”</w:t>
      </w:r>
      <w:r w:rsidR="002E7DD4">
        <w:t>).</w:t>
      </w:r>
    </w:p>
    <w:p w14:paraId="65B90680" w14:textId="016809B1" w:rsidR="002E7DD4" w:rsidRPr="00F9089F" w:rsidRDefault="00000000" w:rsidP="00F9089F">
      <w:pPr>
        <w:pStyle w:val="JuPara"/>
      </w:pPr>
      <w:fldSimple w:instr=" SEQ level0 \*arabic ">
        <w:r w:rsidR="00887A59">
          <w:rPr>
            <w:noProof/>
          </w:rPr>
          <w:t>14</w:t>
        </w:r>
      </w:fldSimple>
      <w:r w:rsidR="002E7DD4">
        <w:t>.</w:t>
      </w:r>
      <w:r w:rsidR="009C4069">
        <w:t xml:space="preserve"> </w:t>
      </w:r>
      <w:r w:rsidR="002E7DD4">
        <w:t>Dnia 1 czerwca 2011 r. Sąd ds. Wykroczeń uznał D.M. za winnego wykroczenia i ukarał go grzywną w wysokości 2000 HRK (około 260 EUR). Sąd uznał, że nie zachodzi konieczność zatrzymania D.M. prawa jazdy, ponieważ nie był on nigdy wcześniej skazany, co oznacza, że nie działa</w:t>
      </w:r>
      <w:r w:rsidR="00C52EB0">
        <w:t>ł</w:t>
      </w:r>
      <w:r w:rsidR="002E7DD4">
        <w:t xml:space="preserve"> w warunkach recydywy, a </w:t>
      </w:r>
      <w:r w:rsidR="00450437">
        <w:t xml:space="preserve">zatem </w:t>
      </w:r>
      <w:r w:rsidR="002E7DD4">
        <w:t xml:space="preserve">grzywna </w:t>
      </w:r>
      <w:r w:rsidR="00C52EB0">
        <w:t>była</w:t>
      </w:r>
      <w:r w:rsidR="002E7DD4">
        <w:t xml:space="preserve"> wystarczającą i stosowną karą.</w:t>
      </w:r>
    </w:p>
    <w:p w14:paraId="063B5A3C" w14:textId="2E77CE91" w:rsidR="002E7DD4" w:rsidRPr="00F9089F" w:rsidRDefault="002E7DD4" w:rsidP="00F9089F">
      <w:pPr>
        <w:pStyle w:val="JuPara"/>
      </w:pPr>
      <w:r w:rsidRPr="00F9089F">
        <w:rPr>
          <w:rFonts w:eastAsiaTheme="minorEastAsia"/>
          <w:szCs w:val="22"/>
        </w:rPr>
        <w:fldChar w:fldCharType="begin"/>
      </w:r>
      <w:r w:rsidRPr="00F9089F">
        <w:rPr>
          <w:rFonts w:eastAsiaTheme="minorEastAsia"/>
          <w:szCs w:val="22"/>
        </w:rPr>
        <w:instrText xml:space="preserve"> SEQ level0 \*arabic </w:instrText>
      </w:r>
      <w:r w:rsidRPr="00F9089F">
        <w:rPr>
          <w:rFonts w:eastAsiaTheme="minorEastAsia"/>
          <w:szCs w:val="22"/>
        </w:rPr>
        <w:fldChar w:fldCharType="separate"/>
      </w:r>
      <w:r w:rsidR="00887A59">
        <w:rPr>
          <w:rFonts w:eastAsiaTheme="minorEastAsia"/>
          <w:noProof/>
          <w:szCs w:val="22"/>
        </w:rPr>
        <w:t>15</w:t>
      </w:r>
      <w:r w:rsidRPr="00F9089F">
        <w:rPr>
          <w:rFonts w:eastAsiaTheme="minorEastAsia"/>
          <w:szCs w:val="22"/>
        </w:rPr>
        <w:fldChar w:fldCharType="end"/>
      </w:r>
      <w:r>
        <w:t>.</w:t>
      </w:r>
      <w:r w:rsidR="009C4069">
        <w:t xml:space="preserve"> </w:t>
      </w:r>
      <w:r>
        <w:t xml:space="preserve">Po wniesieniu odwołania przez D.M. wyrok ten został uchylony przez </w:t>
      </w:r>
      <w:r w:rsidR="00450437">
        <w:t xml:space="preserve">Wyższy </w:t>
      </w:r>
      <w:r>
        <w:t>Sąd ds. Wykroczeń</w:t>
      </w:r>
      <w:r w:rsidR="00450437">
        <w:t xml:space="preserve"> Republiki Chorwackiej (</w:t>
      </w:r>
      <w:proofErr w:type="spellStart"/>
      <w:r>
        <w:rPr>
          <w:i/>
          <w:iCs/>
        </w:rPr>
        <w:t>Visoki</w:t>
      </w:r>
      <w:proofErr w:type="spellEnd"/>
      <w:r>
        <w:rPr>
          <w:i/>
          <w:iCs/>
        </w:rPr>
        <w:t xml:space="preserve"> </w:t>
      </w:r>
      <w:proofErr w:type="spellStart"/>
      <w:r>
        <w:rPr>
          <w:i/>
          <w:iCs/>
        </w:rPr>
        <w:t>prekršajni</w:t>
      </w:r>
      <w:proofErr w:type="spellEnd"/>
      <w:r>
        <w:rPr>
          <w:i/>
          <w:iCs/>
        </w:rPr>
        <w:t xml:space="preserve"> </w:t>
      </w:r>
      <w:proofErr w:type="spellStart"/>
      <w:r>
        <w:rPr>
          <w:i/>
          <w:iCs/>
        </w:rPr>
        <w:t>sud</w:t>
      </w:r>
      <w:proofErr w:type="spellEnd"/>
      <w:r>
        <w:rPr>
          <w:i/>
          <w:iCs/>
        </w:rPr>
        <w:t xml:space="preserve"> </w:t>
      </w:r>
      <w:proofErr w:type="spellStart"/>
      <w:r>
        <w:rPr>
          <w:i/>
          <w:iCs/>
        </w:rPr>
        <w:t>Republike</w:t>
      </w:r>
      <w:proofErr w:type="spellEnd"/>
      <w:r>
        <w:rPr>
          <w:i/>
          <w:iCs/>
        </w:rPr>
        <w:t xml:space="preserve"> </w:t>
      </w:r>
      <w:proofErr w:type="spellStart"/>
      <w:r>
        <w:rPr>
          <w:i/>
          <w:iCs/>
        </w:rPr>
        <w:t>Hrvatske</w:t>
      </w:r>
      <w:proofErr w:type="spellEnd"/>
      <w:r>
        <w:t xml:space="preserve">), a sprawę skierowano do ponownego rozpoznania </w:t>
      </w:r>
      <w:r w:rsidR="00450437">
        <w:br/>
      </w:r>
      <w:r>
        <w:t xml:space="preserve">w pierwszej instancji. W </w:t>
      </w:r>
      <w:r w:rsidR="00450437">
        <w:t>ponownym</w:t>
      </w:r>
      <w:r>
        <w:t xml:space="preserve"> postępowani</w:t>
      </w:r>
      <w:r w:rsidR="00450437">
        <w:t>u</w:t>
      </w:r>
      <w:r>
        <w:t xml:space="preserve"> D.M. poinformował Sąd ds. Wykroczeń, że </w:t>
      </w:r>
      <w:r w:rsidR="000B3906">
        <w:t xml:space="preserve">zaakceptował </w:t>
      </w:r>
      <w:r>
        <w:t xml:space="preserve">i uiścił już grzywnę </w:t>
      </w:r>
      <w:r w:rsidR="00450437">
        <w:t>wymierzoną</w:t>
      </w:r>
      <w:r>
        <w:t xml:space="preserve"> wyrokiem </w:t>
      </w:r>
      <w:r w:rsidR="00450437">
        <w:br/>
      </w:r>
      <w:r>
        <w:t>z 1 czerwca 2011 r. Dnia 23 grudnia 2013 r. Sąd ds. Wykroczeń uznał D.</w:t>
      </w:r>
      <w:r w:rsidR="000B3906">
        <w:t xml:space="preserve"> </w:t>
      </w:r>
      <w:r>
        <w:t>M. za winnego, przy czym podkreślił, że grzywna została już uiszczona.</w:t>
      </w:r>
    </w:p>
    <w:p w14:paraId="2E015B55" w14:textId="77777777" w:rsidR="002E7DD4" w:rsidRPr="00F9089F" w:rsidRDefault="002E7DD4" w:rsidP="00F9089F">
      <w:pPr>
        <w:pStyle w:val="JuHIRoman"/>
      </w:pPr>
      <w:r>
        <w:t>Śledztwo w sprawie śmierci krewnego skarżących</w:t>
      </w:r>
    </w:p>
    <w:p w14:paraId="051993D0" w14:textId="35121234" w:rsidR="002E7DD4" w:rsidRPr="00F9089F" w:rsidRDefault="00000000" w:rsidP="00F9089F">
      <w:pPr>
        <w:pStyle w:val="JuPara"/>
      </w:pPr>
      <w:fldSimple w:instr=" SEQ level0 \*arabic ">
        <w:r w:rsidR="00887A59">
          <w:rPr>
            <w:noProof/>
          </w:rPr>
          <w:t>16</w:t>
        </w:r>
      </w:fldSimple>
      <w:r w:rsidR="002E7DD4">
        <w:t>.</w:t>
      </w:r>
      <w:r w:rsidR="009C4069">
        <w:t xml:space="preserve"> </w:t>
      </w:r>
      <w:r w:rsidR="002E7DD4">
        <w:t xml:space="preserve">Dnia 9 lipca 2012 r. policja skierowała do Prokuratury Rejonowej </w:t>
      </w:r>
      <w:r w:rsidR="000B3906">
        <w:br/>
      </w:r>
      <w:r w:rsidR="002E7DD4">
        <w:t>w Zagrzebiu (</w:t>
      </w:r>
      <w:proofErr w:type="spellStart"/>
      <w:r w:rsidR="002E7DD4">
        <w:rPr>
          <w:i/>
          <w:iCs/>
        </w:rPr>
        <w:t>Općinsko</w:t>
      </w:r>
      <w:proofErr w:type="spellEnd"/>
      <w:r w:rsidR="002E7DD4">
        <w:rPr>
          <w:i/>
          <w:iCs/>
        </w:rPr>
        <w:t xml:space="preserve"> </w:t>
      </w:r>
      <w:proofErr w:type="spellStart"/>
      <w:r w:rsidR="002E7DD4">
        <w:rPr>
          <w:i/>
          <w:iCs/>
        </w:rPr>
        <w:t>državno</w:t>
      </w:r>
      <w:proofErr w:type="spellEnd"/>
      <w:r w:rsidR="002E7DD4">
        <w:rPr>
          <w:i/>
          <w:iCs/>
        </w:rPr>
        <w:t xml:space="preserve"> </w:t>
      </w:r>
      <w:proofErr w:type="spellStart"/>
      <w:r w:rsidR="002E7DD4">
        <w:rPr>
          <w:i/>
          <w:iCs/>
        </w:rPr>
        <w:t>odvjetništvo</w:t>
      </w:r>
      <w:proofErr w:type="spellEnd"/>
      <w:r w:rsidR="002E7DD4">
        <w:rPr>
          <w:i/>
          <w:iCs/>
        </w:rPr>
        <w:t xml:space="preserve"> u </w:t>
      </w:r>
      <w:proofErr w:type="spellStart"/>
      <w:r w:rsidR="002E7DD4">
        <w:rPr>
          <w:i/>
          <w:iCs/>
        </w:rPr>
        <w:t>Zagrebu</w:t>
      </w:r>
      <w:proofErr w:type="spellEnd"/>
      <w:r w:rsidR="002E7DD4">
        <w:t xml:space="preserve">; dalej „Prokuratura Rejonowa”) </w:t>
      </w:r>
      <w:r w:rsidR="000B3906">
        <w:t xml:space="preserve">zawiadomienie o popełnieniu przestępstwa z </w:t>
      </w:r>
      <w:r w:rsidR="002E7DD4">
        <w:t xml:space="preserve">art. 272 § 1 i § 3 </w:t>
      </w:r>
      <w:r w:rsidR="000B3906">
        <w:t>K</w:t>
      </w:r>
      <w:r w:rsidR="002E7DD4">
        <w:t>odeksu karnego (zob. par. 22 i 38 poniżej).</w:t>
      </w:r>
    </w:p>
    <w:p w14:paraId="4148546D" w14:textId="566762E1" w:rsidR="002E7DD4" w:rsidRPr="00F9089F" w:rsidRDefault="00000000" w:rsidP="00F9089F">
      <w:pPr>
        <w:pStyle w:val="JuPara"/>
      </w:pPr>
      <w:fldSimple w:instr=" SEQ level0 \*arabic ">
        <w:r w:rsidR="00887A59">
          <w:rPr>
            <w:noProof/>
          </w:rPr>
          <w:t>17</w:t>
        </w:r>
      </w:fldSimple>
      <w:r w:rsidR="002E7DD4">
        <w:t>.</w:t>
      </w:r>
      <w:r w:rsidR="009C4069">
        <w:t xml:space="preserve"> </w:t>
      </w:r>
      <w:r w:rsidR="002E7DD4">
        <w:t>W toku śledztwa prokurator Prokuratury Rejonowej przesłuchał D.</w:t>
      </w:r>
      <w:r w:rsidR="000B3906">
        <w:t xml:space="preserve"> </w:t>
      </w:r>
      <w:r w:rsidR="002E7DD4">
        <w:t>M. i szereg świadków oraz zlecił biegłym medycyny sądowej sporządzenie opinii na temat dokładnej przyczyny zgonu ofiary i poziomu alkoholu u D.</w:t>
      </w:r>
      <w:r w:rsidR="000B3906">
        <w:t xml:space="preserve"> </w:t>
      </w:r>
      <w:r w:rsidR="002E7DD4">
        <w:t>M. w chwili zdarzenia.</w:t>
      </w:r>
    </w:p>
    <w:p w14:paraId="0EDBA67A" w14:textId="2281D333" w:rsidR="002E7DD4" w:rsidRPr="00F9089F" w:rsidRDefault="00000000" w:rsidP="00F9089F">
      <w:pPr>
        <w:pStyle w:val="JuPara"/>
      </w:pPr>
      <w:fldSimple w:instr=" SEQ level0 \*arabic ">
        <w:r w:rsidR="00887A59">
          <w:rPr>
            <w:noProof/>
          </w:rPr>
          <w:t>18</w:t>
        </w:r>
      </w:fldSimple>
      <w:r w:rsidR="002E7DD4">
        <w:t>.</w:t>
      </w:r>
      <w:r w:rsidR="009C4069">
        <w:t xml:space="preserve"> </w:t>
      </w:r>
      <w:r w:rsidR="002E7DD4">
        <w:t>Naoczni świadkowie: M.</w:t>
      </w:r>
      <w:r w:rsidR="000B3906">
        <w:t xml:space="preserve"> </w:t>
      </w:r>
      <w:r w:rsidR="002E7DD4">
        <w:t>H., B.</w:t>
      </w:r>
      <w:r w:rsidR="000B3906">
        <w:t xml:space="preserve"> </w:t>
      </w:r>
      <w:r w:rsidR="002E7DD4">
        <w:t>D., V.</w:t>
      </w:r>
      <w:r w:rsidR="000B3906">
        <w:t xml:space="preserve"> </w:t>
      </w:r>
      <w:r w:rsidR="002E7DD4">
        <w:t>J., I.</w:t>
      </w:r>
      <w:r w:rsidR="000B3906">
        <w:t xml:space="preserve"> </w:t>
      </w:r>
      <w:r w:rsidR="002E7DD4">
        <w:t>P. i N.</w:t>
      </w:r>
      <w:r w:rsidR="000B3906">
        <w:t xml:space="preserve"> </w:t>
      </w:r>
      <w:r w:rsidR="002E7DD4">
        <w:t>P. zeznali, że D.</w:t>
      </w:r>
      <w:r w:rsidR="000B3906">
        <w:t xml:space="preserve"> </w:t>
      </w:r>
      <w:r w:rsidR="002E7DD4">
        <w:t xml:space="preserve">M. przejechał na czerwonym świetle z dużą prędkością i uderzył </w:t>
      </w:r>
      <w:r w:rsidR="000B3906">
        <w:br/>
      </w:r>
      <w:r w:rsidR="002E7DD4">
        <w:t>w przejeżdżającego na zielonym świetle krewnego skarżących, który kierował motocyklem.</w:t>
      </w:r>
    </w:p>
    <w:p w14:paraId="1B8E57BC" w14:textId="4535E272" w:rsidR="002E7DD4" w:rsidRPr="00F9089F" w:rsidRDefault="00000000" w:rsidP="00F9089F">
      <w:pPr>
        <w:pStyle w:val="JuPara"/>
      </w:pPr>
      <w:fldSimple w:instr=" SEQ level0 \*arabic ">
        <w:r w:rsidR="00887A59">
          <w:rPr>
            <w:noProof/>
          </w:rPr>
          <w:t>19</w:t>
        </w:r>
      </w:fldSimple>
      <w:r w:rsidR="002E7DD4">
        <w:t>.</w:t>
      </w:r>
      <w:r w:rsidR="009C4069">
        <w:t xml:space="preserve"> </w:t>
      </w:r>
      <w:r w:rsidR="002E7DD4">
        <w:t xml:space="preserve">Z opinii biegłego wynikało, że krewny skarżących zmarł wskutek licznych obrażeń </w:t>
      </w:r>
      <w:r w:rsidR="000B3906">
        <w:t>od</w:t>
      </w:r>
      <w:r w:rsidR="002E7DD4">
        <w:t xml:space="preserve">niesionych w wypadku. </w:t>
      </w:r>
      <w:r w:rsidR="002E7DD4" w:rsidRPr="00070469">
        <w:rPr>
          <w:b/>
          <w:bCs/>
          <w:u w:val="single"/>
        </w:rPr>
        <w:t>Ustalono również, że nie był pod wpływem alkoholu</w:t>
      </w:r>
      <w:r w:rsidR="002E7DD4">
        <w:t xml:space="preserve">. </w:t>
      </w:r>
      <w:r w:rsidR="0055092E">
        <w:t>Opinia wykazała ponadto</w:t>
      </w:r>
      <w:r w:rsidR="002E7DD4">
        <w:t xml:space="preserve">, że </w:t>
      </w:r>
      <w:r w:rsidR="0055092E">
        <w:t xml:space="preserve">D. M. miał co najmniej </w:t>
      </w:r>
      <w:r w:rsidR="002E7DD4">
        <w:t xml:space="preserve"> 1,89 g/kg</w:t>
      </w:r>
      <w:r w:rsidR="0055092E">
        <w:t xml:space="preserve"> alkoholu we krwi</w:t>
      </w:r>
      <w:r w:rsidR="002E7DD4">
        <w:t xml:space="preserve">, co </w:t>
      </w:r>
      <w:r w:rsidR="0055092E">
        <w:t>znacznie zmniejszyło</w:t>
      </w:r>
      <w:r w:rsidR="002E7DD4">
        <w:t xml:space="preserve"> jego zdolność prowadzenia pojazdu.</w:t>
      </w:r>
    </w:p>
    <w:p w14:paraId="3EC890BA" w14:textId="6648A8A9" w:rsidR="002E7DD4" w:rsidRPr="00F9089F" w:rsidRDefault="00000000" w:rsidP="00F9089F">
      <w:pPr>
        <w:pStyle w:val="JuPara"/>
      </w:pPr>
      <w:fldSimple w:instr=" SEQ level0 \*arabic ">
        <w:r w:rsidR="00887A59">
          <w:rPr>
            <w:noProof/>
          </w:rPr>
          <w:t>20</w:t>
        </w:r>
      </w:fldSimple>
      <w:r w:rsidR="002E7DD4">
        <w:t>.</w:t>
      </w:r>
      <w:r w:rsidR="009C4069">
        <w:t xml:space="preserve"> </w:t>
      </w:r>
      <w:r w:rsidR="002E7DD4">
        <w:t xml:space="preserve">W czasie postępowania przygotowawczego D.M. </w:t>
      </w:r>
      <w:r w:rsidR="0055092E">
        <w:t>był</w:t>
      </w:r>
      <w:r w:rsidR="002E7DD4">
        <w:t xml:space="preserve"> tymczasow</w:t>
      </w:r>
      <w:r w:rsidR="0055092E">
        <w:t>o aresztowany</w:t>
      </w:r>
      <w:r w:rsidR="002E7DD4">
        <w:t>.</w:t>
      </w:r>
    </w:p>
    <w:p w14:paraId="2F6509B6" w14:textId="2B89D5A3" w:rsidR="002E7DD4" w:rsidRPr="00F9089F" w:rsidRDefault="00000000" w:rsidP="00F9089F">
      <w:pPr>
        <w:pStyle w:val="JuPara"/>
      </w:pPr>
      <w:fldSimple w:instr=" SEQ level0 \*arabic ">
        <w:r w:rsidR="00887A59">
          <w:rPr>
            <w:noProof/>
          </w:rPr>
          <w:t>21</w:t>
        </w:r>
      </w:fldSimple>
      <w:r w:rsidR="002E7DD4">
        <w:t>.</w:t>
      </w:r>
      <w:r w:rsidR="009C4069">
        <w:t xml:space="preserve"> </w:t>
      </w:r>
      <w:r w:rsidR="002E7DD4">
        <w:t>Dnia 17 lipca 2012 r. skarżący, reprezentowani przez pełnomocnika, poinformowali Prokuraturę Rejonową, że chcą przystąpić do postępowania.</w:t>
      </w:r>
    </w:p>
    <w:p w14:paraId="5232524C" w14:textId="22320F19" w:rsidR="002E7DD4" w:rsidRPr="00F9089F" w:rsidRDefault="002E7DD4" w:rsidP="00F9089F">
      <w:pPr>
        <w:pStyle w:val="JuHIRoman"/>
      </w:pPr>
      <w:r>
        <w:t>Postępowanie karne przeciwko D.</w:t>
      </w:r>
      <w:r w:rsidR="0055092E">
        <w:t xml:space="preserve"> </w:t>
      </w:r>
      <w:r>
        <w:t>M. i jego skazanie</w:t>
      </w:r>
    </w:p>
    <w:p w14:paraId="6F8C1CE0" w14:textId="144BC221" w:rsidR="002E7DD4" w:rsidRPr="00F9089F" w:rsidRDefault="00000000" w:rsidP="00F9089F">
      <w:pPr>
        <w:pStyle w:val="JuPara"/>
      </w:pPr>
      <w:fldSimple w:instr=" SEQ level0 \*arabic ">
        <w:r w:rsidR="00887A59">
          <w:rPr>
            <w:noProof/>
          </w:rPr>
          <w:t>22</w:t>
        </w:r>
      </w:fldSimple>
      <w:r w:rsidR="002E7DD4">
        <w:t>.</w:t>
      </w:r>
      <w:r w:rsidR="009C4069">
        <w:t xml:space="preserve"> </w:t>
      </w:r>
      <w:r w:rsidR="002E7DD4">
        <w:t>Dnia 31 lipca 2012 r. prokurator Prokuratury Rejonowej wniósł do Rejonowego Sądu Karnego w Zagrzebiu (</w:t>
      </w:r>
      <w:proofErr w:type="spellStart"/>
      <w:r w:rsidR="002E7DD4">
        <w:rPr>
          <w:i/>
        </w:rPr>
        <w:t>Općinski</w:t>
      </w:r>
      <w:proofErr w:type="spellEnd"/>
      <w:r w:rsidR="002E7DD4">
        <w:rPr>
          <w:i/>
        </w:rPr>
        <w:t xml:space="preserve"> </w:t>
      </w:r>
      <w:proofErr w:type="spellStart"/>
      <w:r w:rsidR="002E7DD4">
        <w:rPr>
          <w:i/>
        </w:rPr>
        <w:t>kazneni</w:t>
      </w:r>
      <w:proofErr w:type="spellEnd"/>
      <w:r w:rsidR="002E7DD4">
        <w:rPr>
          <w:i/>
        </w:rPr>
        <w:t xml:space="preserve"> </w:t>
      </w:r>
      <w:proofErr w:type="spellStart"/>
      <w:r w:rsidR="002E7DD4">
        <w:rPr>
          <w:i/>
        </w:rPr>
        <w:t>sud</w:t>
      </w:r>
      <w:proofErr w:type="spellEnd"/>
      <w:r w:rsidR="002E7DD4">
        <w:rPr>
          <w:i/>
        </w:rPr>
        <w:t xml:space="preserve"> u </w:t>
      </w:r>
      <w:proofErr w:type="spellStart"/>
      <w:r w:rsidR="002E7DD4">
        <w:rPr>
          <w:i/>
        </w:rPr>
        <w:t>Zagrebu</w:t>
      </w:r>
      <w:proofErr w:type="spellEnd"/>
      <w:r w:rsidR="002E7DD4">
        <w:t xml:space="preserve">; dalej „Sąd Rejonowy”) akt oskarżenia przeciwko D.M. na podstawie art. 272 § 1 i § 3 </w:t>
      </w:r>
      <w:r w:rsidR="007D24F5">
        <w:t>K</w:t>
      </w:r>
      <w:r w:rsidR="002E7DD4">
        <w:t xml:space="preserve">odeksu karnego, zarzucając mu </w:t>
      </w:r>
      <w:r w:rsidR="007D24F5">
        <w:t xml:space="preserve">nieostrożną jazdę samochodem </w:t>
      </w:r>
      <w:r w:rsidR="008412B8">
        <w:br/>
        <w:t xml:space="preserve">z </w:t>
      </w:r>
      <w:r w:rsidR="002E7DD4">
        <w:t xml:space="preserve">umyślnym lub </w:t>
      </w:r>
      <w:r w:rsidR="008412B8">
        <w:t>nieuzasadnionym</w:t>
      </w:r>
      <w:r w:rsidR="002E7DD4">
        <w:t xml:space="preserve"> lekceważeni</w:t>
      </w:r>
      <w:r w:rsidR="008412B8">
        <w:t>em</w:t>
      </w:r>
      <w:r w:rsidR="002E7DD4">
        <w:t xml:space="preserve"> odpowiednich </w:t>
      </w:r>
      <w:r w:rsidR="007D24F5">
        <w:t xml:space="preserve">przepisów </w:t>
      </w:r>
      <w:r w:rsidR="007D24F5">
        <w:lastRenderedPageBreak/>
        <w:t xml:space="preserve">dotyczących </w:t>
      </w:r>
      <w:r w:rsidR="002E7DD4">
        <w:t xml:space="preserve">bezpieczeństwa innych osób, polegającą na </w:t>
      </w:r>
      <w:r w:rsidR="007D24F5">
        <w:t xml:space="preserve">przejechaniu </w:t>
      </w:r>
      <w:r w:rsidR="002E7DD4">
        <w:t>przez skrzyżowanie na czerwonym świetle podczas kierowania pojazdem pod wpływem alkoholu</w:t>
      </w:r>
      <w:r w:rsidR="007D24F5">
        <w:t xml:space="preserve"> i </w:t>
      </w:r>
      <w:r w:rsidR="002E7DD4">
        <w:t>doprowadz</w:t>
      </w:r>
      <w:r w:rsidR="007D24F5">
        <w:t>enie w ten sposób</w:t>
      </w:r>
      <w:r w:rsidR="002E7DD4">
        <w:t xml:space="preserve"> do </w:t>
      </w:r>
      <w:r w:rsidR="007D24F5">
        <w:t>wypadku drogowego</w:t>
      </w:r>
      <w:r w:rsidR="002E7DD4">
        <w:t xml:space="preserve"> ze skutkiem śmiertelnym.</w:t>
      </w:r>
    </w:p>
    <w:p w14:paraId="6D3CB376" w14:textId="016E3FA8" w:rsidR="002E7DD4" w:rsidRPr="00F9089F" w:rsidRDefault="00000000" w:rsidP="00F9089F">
      <w:pPr>
        <w:pStyle w:val="JuPara"/>
      </w:pPr>
      <w:fldSimple w:instr=" SEQ level0 \*arabic ">
        <w:r w:rsidR="00887A59">
          <w:rPr>
            <w:noProof/>
          </w:rPr>
          <w:t>23</w:t>
        </w:r>
      </w:fldSimple>
      <w:r w:rsidR="002E7DD4">
        <w:t>.</w:t>
      </w:r>
      <w:r w:rsidR="009C4069">
        <w:t xml:space="preserve"> </w:t>
      </w:r>
      <w:r w:rsidR="002E7DD4">
        <w:t xml:space="preserve">W następstwie wniesienia aktu oskarżenia Sąd Rejonowy postanowił </w:t>
      </w:r>
      <w:r w:rsidR="001A1ED3">
        <w:t>uchylić tymczasowe aresztowanie stosowane</w:t>
      </w:r>
      <w:r w:rsidR="002E7DD4">
        <w:t xml:space="preserve"> wobec D.M. i zastosowa</w:t>
      </w:r>
      <w:r w:rsidR="001A1ED3">
        <w:t>ć</w:t>
      </w:r>
      <w:r w:rsidR="002E7DD4">
        <w:t xml:space="preserve"> środ</w:t>
      </w:r>
      <w:r w:rsidR="001A1ED3">
        <w:t>ek</w:t>
      </w:r>
      <w:r w:rsidR="002E7DD4">
        <w:t xml:space="preserve"> prewencyjn</w:t>
      </w:r>
      <w:r w:rsidR="001A1ED3">
        <w:t>y</w:t>
      </w:r>
      <w:r w:rsidR="002E7DD4">
        <w:t xml:space="preserve"> w postaci zatrzymania prawa jazdy do czasu uprawomocnienia się wyroku wydanego w prowadzonym postępowaniu.</w:t>
      </w:r>
    </w:p>
    <w:p w14:paraId="4CBD99E5" w14:textId="62DF5744" w:rsidR="002E7DD4" w:rsidRPr="00F9089F" w:rsidRDefault="00000000" w:rsidP="00F9089F">
      <w:pPr>
        <w:pStyle w:val="JuPara"/>
      </w:pPr>
      <w:fldSimple w:instr=" SEQ level0 \*arabic ">
        <w:r w:rsidR="00887A59">
          <w:rPr>
            <w:noProof/>
          </w:rPr>
          <w:t>24</w:t>
        </w:r>
      </w:fldSimple>
      <w:r w:rsidR="002E7DD4">
        <w:t>.</w:t>
      </w:r>
      <w:r w:rsidR="009C4069">
        <w:t xml:space="preserve"> </w:t>
      </w:r>
      <w:r w:rsidR="002E7DD4">
        <w:t>Dnia 10 października 2012 r. akt oskarżenia potwierdzono, a spraw</w:t>
      </w:r>
      <w:r w:rsidR="00943982">
        <w:t>ę</w:t>
      </w:r>
      <w:r w:rsidR="002E7DD4">
        <w:t xml:space="preserve"> </w:t>
      </w:r>
      <w:r w:rsidR="00943982">
        <w:t>przekazano do sądu</w:t>
      </w:r>
      <w:r w:rsidR="002E7DD4">
        <w:t>.</w:t>
      </w:r>
    </w:p>
    <w:p w14:paraId="20C5D2EA" w14:textId="279D64BF" w:rsidR="002E7DD4" w:rsidRPr="00F9089F" w:rsidRDefault="00000000" w:rsidP="00F9089F">
      <w:pPr>
        <w:pStyle w:val="JuPara"/>
      </w:pPr>
      <w:fldSimple w:instr=" SEQ level0 \*arabic ">
        <w:r w:rsidR="00887A59">
          <w:rPr>
            <w:noProof/>
          </w:rPr>
          <w:t>25</w:t>
        </w:r>
      </w:fldSimple>
      <w:r w:rsidR="002E7DD4">
        <w:t>.</w:t>
      </w:r>
      <w:r w:rsidR="009C4069">
        <w:t xml:space="preserve"> </w:t>
      </w:r>
      <w:r w:rsidR="002E7DD4">
        <w:t xml:space="preserve">Podczas rozprawy 7 listopada 2012 r. D.M. przyznał się do winy, po czym sąd rozpoznający sprawę </w:t>
      </w:r>
      <w:r w:rsidR="00943982">
        <w:t>dopuścił dowód z opinii biegłego dotyczącej</w:t>
      </w:r>
      <w:r w:rsidR="002E7DD4">
        <w:t xml:space="preserve"> jego stanu psychicznego. Dnia 26 listopada 2012 r. biegły uznał, że D.</w:t>
      </w:r>
      <w:r w:rsidR="00943982">
        <w:t xml:space="preserve"> </w:t>
      </w:r>
      <w:r w:rsidR="002E7DD4">
        <w:t>M. cierpi na zespół stresu pourazowego związany z przedmiotowym zdarzeniem.</w:t>
      </w:r>
    </w:p>
    <w:p w14:paraId="603923FD" w14:textId="12071F2E" w:rsidR="002E7DD4" w:rsidRPr="00F9089F" w:rsidRDefault="00000000" w:rsidP="00F9089F">
      <w:pPr>
        <w:pStyle w:val="JuPara"/>
      </w:pPr>
      <w:fldSimple w:instr=" SEQ level0 \*arabic ">
        <w:r w:rsidR="00887A59">
          <w:rPr>
            <w:noProof/>
          </w:rPr>
          <w:t>26</w:t>
        </w:r>
      </w:fldSimple>
      <w:r w:rsidR="002E7DD4">
        <w:t>.</w:t>
      </w:r>
      <w:r w:rsidR="009C4069">
        <w:t xml:space="preserve"> </w:t>
      </w:r>
      <w:r w:rsidR="002E7DD4">
        <w:t>Dnia 5 grudnia 2012 r. Sąd Rejonowy uznał D.</w:t>
      </w:r>
      <w:r w:rsidR="00943982">
        <w:t xml:space="preserve"> </w:t>
      </w:r>
      <w:r w:rsidR="002E7DD4">
        <w:t xml:space="preserve">M. </w:t>
      </w:r>
      <w:r w:rsidR="00943982">
        <w:t>w</w:t>
      </w:r>
      <w:r w:rsidR="002E7DD4">
        <w:t>inn</w:t>
      </w:r>
      <w:r w:rsidR="00943982">
        <w:t>ym</w:t>
      </w:r>
      <w:r w:rsidR="002E7DD4">
        <w:t xml:space="preserve"> zarzucan</w:t>
      </w:r>
      <w:r w:rsidR="00943982">
        <w:t>ego</w:t>
      </w:r>
      <w:r w:rsidR="002E7DD4">
        <w:t xml:space="preserve"> mu czyn</w:t>
      </w:r>
      <w:r w:rsidR="00943982">
        <w:t>u</w:t>
      </w:r>
      <w:r w:rsidR="002E7DD4">
        <w:t xml:space="preserve"> i powołując się na przewidzianą w </w:t>
      </w:r>
      <w:r w:rsidR="00943982">
        <w:t>K</w:t>
      </w:r>
      <w:r w:rsidR="002E7DD4">
        <w:t xml:space="preserve">odeksie karnym możliwość zmniejszenia kary do wymiaru poniżej ustawowego minimum (zob. par. 41 poniżej), wymierzył karę niższą niż kara minimalna przewidziana w </w:t>
      </w:r>
      <w:r w:rsidR="002F244E">
        <w:t>K</w:t>
      </w:r>
      <w:r w:rsidR="002E7DD4">
        <w:t>odeksie karnym za popełniony czyn. Wyrokiem Sądu Rejonowego D.</w:t>
      </w:r>
      <w:r w:rsidR="002F244E">
        <w:t xml:space="preserve"> </w:t>
      </w:r>
      <w:r w:rsidR="002E7DD4">
        <w:t>M. został skazany na dwa lata pozbawienia wolności</w:t>
      </w:r>
      <w:r w:rsidR="002F244E">
        <w:t xml:space="preserve">. Zastosowano wobec niego również </w:t>
      </w:r>
      <w:r w:rsidR="002E7DD4">
        <w:t>środ</w:t>
      </w:r>
      <w:r w:rsidR="002F244E">
        <w:t>ek</w:t>
      </w:r>
      <w:r w:rsidR="002E7DD4">
        <w:t xml:space="preserve"> </w:t>
      </w:r>
      <w:r w:rsidR="002F244E">
        <w:t>karny</w:t>
      </w:r>
      <w:r w:rsidR="002E7DD4">
        <w:t xml:space="preserve"> w postaci zatrzymania prawa jazdy na pięć lat.</w:t>
      </w:r>
    </w:p>
    <w:p w14:paraId="0B26779B" w14:textId="6062C6B7" w:rsidR="002E7DD4" w:rsidRPr="00F9089F" w:rsidRDefault="00000000" w:rsidP="00F9089F">
      <w:pPr>
        <w:pStyle w:val="JuPara"/>
      </w:pPr>
      <w:fldSimple w:instr=" SEQ level0 \*arabic ">
        <w:r w:rsidR="00887A59">
          <w:rPr>
            <w:noProof/>
          </w:rPr>
          <w:t>27</w:t>
        </w:r>
      </w:fldSimple>
      <w:r w:rsidR="002E7DD4">
        <w:t>.</w:t>
      </w:r>
      <w:r w:rsidR="009C4069">
        <w:t xml:space="preserve"> </w:t>
      </w:r>
      <w:r w:rsidR="002F244E">
        <w:t>Wydając</w:t>
      </w:r>
      <w:r w:rsidR="002E7DD4">
        <w:t xml:space="preserve"> wyrok Sąd Rejonowy </w:t>
      </w:r>
      <w:r w:rsidR="002F244E">
        <w:t>uzasadnił</w:t>
      </w:r>
      <w:r w:rsidR="002E7DD4">
        <w:t>, że D.</w:t>
      </w:r>
      <w:r w:rsidR="002F244E">
        <w:t xml:space="preserve"> </w:t>
      </w:r>
      <w:r w:rsidR="002E7DD4">
        <w:t xml:space="preserve">M. przyznał się do winy i wyraził krytyczny stosunek </w:t>
      </w:r>
      <w:r w:rsidR="00C52EB0">
        <w:t>wobec</w:t>
      </w:r>
      <w:r w:rsidR="002E7DD4">
        <w:t xml:space="preserve"> swojego zachowania. Sąd podkreślał też, że D.</w:t>
      </w:r>
      <w:r w:rsidR="002F244E">
        <w:t xml:space="preserve"> </w:t>
      </w:r>
      <w:r w:rsidR="002E7DD4">
        <w:t xml:space="preserve">M. nie był wcześniej skazany za przestępstwo karne, </w:t>
      </w:r>
      <w:r w:rsidR="00B413B0">
        <w:br/>
      </w:r>
      <w:r w:rsidR="002E7DD4">
        <w:t>a jego zachowanie przed popełnieniem przestępstwa i po jego popełnieniu było zgodne z prawem. Ponadto sąd uwzględnił fakt, że D.</w:t>
      </w:r>
      <w:r w:rsidR="00B413B0">
        <w:t xml:space="preserve"> </w:t>
      </w:r>
      <w:r w:rsidR="002E7DD4">
        <w:t xml:space="preserve">M. </w:t>
      </w:r>
      <w:r w:rsidR="00B413B0">
        <w:t xml:space="preserve">posiada </w:t>
      </w:r>
      <w:r w:rsidR="002E7DD4">
        <w:t>rodzinę, a zdarzenie miało wpływ na jego sytuację.</w:t>
      </w:r>
    </w:p>
    <w:p w14:paraId="5DC72EDA" w14:textId="4A4F57A1" w:rsidR="002E7DD4" w:rsidRPr="00F9089F" w:rsidRDefault="00000000" w:rsidP="00F9089F">
      <w:pPr>
        <w:pStyle w:val="JuPara"/>
      </w:pPr>
      <w:fldSimple w:instr=" SEQ level0 \*arabic ">
        <w:r w:rsidR="00887A59">
          <w:rPr>
            <w:noProof/>
          </w:rPr>
          <w:t>28</w:t>
        </w:r>
      </w:fldSimple>
      <w:r w:rsidR="002E7DD4">
        <w:t>.</w:t>
      </w:r>
      <w:r w:rsidR="009C4069">
        <w:t xml:space="preserve"> </w:t>
      </w:r>
      <w:r w:rsidR="002E7DD4">
        <w:t>Prokuratur Prokuratury Rejonowej wniósł apelację od wyroku sądu pierwszej instancji do Sądu Okręgowego w Zagrzebiu (</w:t>
      </w:r>
      <w:proofErr w:type="spellStart"/>
      <w:r w:rsidR="002E7DD4">
        <w:rPr>
          <w:i/>
        </w:rPr>
        <w:t>Županijski</w:t>
      </w:r>
      <w:proofErr w:type="spellEnd"/>
      <w:r w:rsidR="002E7DD4">
        <w:rPr>
          <w:i/>
        </w:rPr>
        <w:t xml:space="preserve"> </w:t>
      </w:r>
      <w:proofErr w:type="spellStart"/>
      <w:r w:rsidR="002E7DD4">
        <w:rPr>
          <w:i/>
        </w:rPr>
        <w:t>sud</w:t>
      </w:r>
      <w:proofErr w:type="spellEnd"/>
      <w:r w:rsidR="002E7DD4">
        <w:rPr>
          <w:i/>
        </w:rPr>
        <w:t xml:space="preserve"> u </w:t>
      </w:r>
      <w:proofErr w:type="spellStart"/>
      <w:r w:rsidR="002E7DD4">
        <w:rPr>
          <w:i/>
        </w:rPr>
        <w:t>Zagrebu</w:t>
      </w:r>
      <w:proofErr w:type="spellEnd"/>
      <w:r w:rsidR="002E7DD4">
        <w:t xml:space="preserve">; dalej „Sąd Okręgowy”). Skarżący przystąpili do </w:t>
      </w:r>
      <w:r w:rsidR="00166857">
        <w:t>niej</w:t>
      </w:r>
      <w:r w:rsidR="002E7DD4">
        <w:t>, podnosząc, że sąd pierwszej instancji nie uwzględnił faktu, że śmierć ich krewnego była konsekwencją ciągłego naruszania przepisów drogowych przez D.</w:t>
      </w:r>
      <w:r w:rsidR="00E962ED">
        <w:t xml:space="preserve"> </w:t>
      </w:r>
      <w:r w:rsidR="002E7DD4">
        <w:t xml:space="preserve">M. </w:t>
      </w:r>
      <w:r w:rsidR="00E962ED">
        <w:br/>
      </w:r>
      <w:r w:rsidR="002E7DD4">
        <w:t xml:space="preserve">i bardzo łagodnego </w:t>
      </w:r>
      <w:r w:rsidR="00E962ED">
        <w:t>karania</w:t>
      </w:r>
      <w:r w:rsidR="002E7DD4">
        <w:t xml:space="preserve"> </w:t>
      </w:r>
      <w:r w:rsidR="00E962ED">
        <w:t xml:space="preserve">go </w:t>
      </w:r>
      <w:r w:rsidR="002E7DD4">
        <w:t>w przeszłości.</w:t>
      </w:r>
    </w:p>
    <w:p w14:paraId="3D5D4E37" w14:textId="64A9F3F9" w:rsidR="002E7DD4" w:rsidRPr="00F9089F" w:rsidRDefault="00000000" w:rsidP="00F9089F">
      <w:pPr>
        <w:pStyle w:val="JuPara"/>
      </w:pPr>
      <w:fldSimple w:instr=" SEQ level0 \*arabic ">
        <w:r w:rsidR="00887A59">
          <w:rPr>
            <w:noProof/>
          </w:rPr>
          <w:t>29</w:t>
        </w:r>
      </w:fldSimple>
      <w:r w:rsidR="002E7DD4">
        <w:t>.</w:t>
      </w:r>
      <w:r w:rsidR="009C4069">
        <w:t xml:space="preserve"> </w:t>
      </w:r>
      <w:r w:rsidR="00E962ED">
        <w:t>W dniu 14 maja 2013 r. Sąd Okręgowy utrzymał w mocy w</w:t>
      </w:r>
      <w:r w:rsidR="002E7DD4">
        <w:t>yrok sądu pierwszej instancji.</w:t>
      </w:r>
    </w:p>
    <w:p w14:paraId="3F8E78D6" w14:textId="4CF388B4" w:rsidR="002E7DD4" w:rsidRPr="00F9089F" w:rsidRDefault="00000000" w:rsidP="00F9089F">
      <w:pPr>
        <w:pStyle w:val="JuPara"/>
      </w:pPr>
      <w:fldSimple w:instr=" SEQ level0 \*arabic ">
        <w:r w:rsidR="00887A59">
          <w:rPr>
            <w:noProof/>
          </w:rPr>
          <w:t>30</w:t>
        </w:r>
      </w:fldSimple>
      <w:r w:rsidR="002E7DD4">
        <w:t>.</w:t>
      </w:r>
      <w:r w:rsidR="009C4069">
        <w:t xml:space="preserve"> </w:t>
      </w:r>
      <w:r w:rsidR="002E7DD4">
        <w:t>W dniach 11 i 15 kwietnia 2014 r. skarżący wnieśli do sędziego</w:t>
      </w:r>
      <w:r w:rsidR="00E3202C">
        <w:t xml:space="preserve"> wykonawczego</w:t>
      </w:r>
      <w:r w:rsidR="002E7DD4">
        <w:t xml:space="preserve"> Sądu Okręgowego, w której </w:t>
      </w:r>
      <w:r w:rsidR="00E3202C">
        <w:t>podnieśli</w:t>
      </w:r>
      <w:r w:rsidR="002E7DD4">
        <w:t>, że wyrok Sądu Rejonowego nie został wykonany, a D.</w:t>
      </w:r>
      <w:r w:rsidR="00E3202C">
        <w:t xml:space="preserve"> </w:t>
      </w:r>
      <w:r w:rsidR="002E7DD4">
        <w:t xml:space="preserve">M. </w:t>
      </w:r>
      <w:r w:rsidR="00E3202C">
        <w:t>pozostaje</w:t>
      </w:r>
      <w:r w:rsidR="002E7DD4">
        <w:t xml:space="preserve"> </w:t>
      </w:r>
      <w:r w:rsidR="00E3202C">
        <w:t>dalej</w:t>
      </w:r>
      <w:r w:rsidR="002E7DD4">
        <w:t xml:space="preserve"> na wolności. Jak wynikało z ich </w:t>
      </w:r>
      <w:r w:rsidR="00E3202C">
        <w:t>twierdzeń</w:t>
      </w:r>
      <w:r w:rsidR="002E7DD4">
        <w:t>, D.</w:t>
      </w:r>
      <w:r w:rsidR="00E3202C">
        <w:t xml:space="preserve"> </w:t>
      </w:r>
      <w:r w:rsidR="002E7DD4">
        <w:t>M. utrudniał wykonanie wyroku, powołując się na swój zły stan psychiczny. Skarżący zauważyli, że –</w:t>
      </w:r>
      <w:r w:rsidR="00E3202C">
        <w:t xml:space="preserve"> zgodnie</w:t>
      </w:r>
      <w:r w:rsidR="002E7DD4">
        <w:t xml:space="preserve"> z posiadan</w:t>
      </w:r>
      <w:r w:rsidR="00E3202C">
        <w:t>ymi</w:t>
      </w:r>
      <w:r w:rsidR="002E7DD4">
        <w:t xml:space="preserve"> przez nich informacj</w:t>
      </w:r>
      <w:r w:rsidR="00E3202C">
        <w:t xml:space="preserve">ami </w:t>
      </w:r>
      <w:r w:rsidR="002E7DD4">
        <w:t>– D.</w:t>
      </w:r>
      <w:r w:rsidR="00E3202C">
        <w:t xml:space="preserve"> </w:t>
      </w:r>
      <w:r w:rsidR="002E7DD4">
        <w:t xml:space="preserve">M. </w:t>
      </w:r>
      <w:r w:rsidR="00E3202C">
        <w:t xml:space="preserve">pomimo nakazu zatrzymania prawa jazdy </w:t>
      </w:r>
      <w:r w:rsidR="002E7DD4">
        <w:t xml:space="preserve">nadal </w:t>
      </w:r>
      <w:r w:rsidR="00E3202C">
        <w:t>prowadzi samochód</w:t>
      </w:r>
      <w:r w:rsidR="002E7DD4">
        <w:t>.</w:t>
      </w:r>
    </w:p>
    <w:p w14:paraId="57BE6FF3" w14:textId="7A2925B6" w:rsidR="002E7DD4" w:rsidRPr="00F9089F" w:rsidRDefault="00000000" w:rsidP="00F9089F">
      <w:pPr>
        <w:pStyle w:val="JuPara"/>
      </w:pPr>
      <w:fldSimple w:instr=" SEQ level0 \*arabic ">
        <w:r w:rsidR="00887A59">
          <w:rPr>
            <w:noProof/>
          </w:rPr>
          <w:t>31</w:t>
        </w:r>
      </w:fldSimple>
      <w:r w:rsidR="002E7DD4">
        <w:t>.</w:t>
      </w:r>
      <w:r w:rsidR="009C4069">
        <w:t xml:space="preserve"> </w:t>
      </w:r>
      <w:r w:rsidR="00DD3B86">
        <w:t xml:space="preserve">W międzyczasie </w:t>
      </w:r>
      <w:r w:rsidR="002E7DD4">
        <w:t xml:space="preserve">skarżący </w:t>
      </w:r>
      <w:r w:rsidR="00DD3B86">
        <w:t xml:space="preserve">złożyli również </w:t>
      </w:r>
      <w:r w:rsidR="002E7DD4">
        <w:t xml:space="preserve">skargę do Ministra Sprawiedliwości, </w:t>
      </w:r>
      <w:r w:rsidR="00DD3B86">
        <w:t xml:space="preserve">sugerując, </w:t>
      </w:r>
      <w:r w:rsidR="002E7DD4">
        <w:t>że D.</w:t>
      </w:r>
      <w:r w:rsidR="00DD3B86">
        <w:t xml:space="preserve"> </w:t>
      </w:r>
      <w:r w:rsidR="002E7DD4">
        <w:t xml:space="preserve">M. </w:t>
      </w:r>
      <w:r w:rsidR="00DD3B86">
        <w:t xml:space="preserve">jest uprzywilejowany </w:t>
      </w:r>
      <w:r w:rsidR="00DD3B86">
        <w:br/>
        <w:t>przy</w:t>
      </w:r>
      <w:r w:rsidR="002E7DD4">
        <w:t xml:space="preserve"> wykon</w:t>
      </w:r>
      <w:r w:rsidR="00DD3B86">
        <w:t>ywaniu</w:t>
      </w:r>
      <w:r w:rsidR="002E7DD4">
        <w:t xml:space="preserve"> kary.</w:t>
      </w:r>
    </w:p>
    <w:p w14:paraId="3FD99EAF" w14:textId="1798A3C4" w:rsidR="002E7DD4" w:rsidRPr="00F9089F" w:rsidRDefault="00000000" w:rsidP="00F9089F">
      <w:pPr>
        <w:pStyle w:val="JuPara"/>
      </w:pPr>
      <w:fldSimple w:instr=" SEQ level0 \*arabic ">
        <w:r w:rsidR="00887A59">
          <w:rPr>
            <w:noProof/>
          </w:rPr>
          <w:t>32</w:t>
        </w:r>
      </w:fldSimple>
      <w:r w:rsidR="002E7DD4">
        <w:t>.</w:t>
      </w:r>
      <w:r w:rsidR="009C4069">
        <w:t xml:space="preserve"> </w:t>
      </w:r>
      <w:r w:rsidR="002E7DD4">
        <w:t>D.</w:t>
      </w:r>
      <w:r w:rsidR="00DD3B86">
        <w:t xml:space="preserve"> </w:t>
      </w:r>
      <w:r w:rsidR="002E7DD4">
        <w:t>M. rozpoczął odbywanie kary pozbawienia wolności</w:t>
      </w:r>
      <w:r w:rsidR="00DD3B86">
        <w:t xml:space="preserve"> </w:t>
      </w:r>
      <w:r w:rsidR="002E7DD4">
        <w:t>12 maja 2014 r.</w:t>
      </w:r>
    </w:p>
    <w:p w14:paraId="1AA97E83" w14:textId="0E7DD08A" w:rsidR="002E7DD4" w:rsidRPr="00F9089F" w:rsidRDefault="00000000" w:rsidP="00F9089F">
      <w:pPr>
        <w:pStyle w:val="JuPara"/>
      </w:pPr>
      <w:fldSimple w:instr=" SEQ level0 \*arabic ">
        <w:r w:rsidR="00887A59">
          <w:rPr>
            <w:noProof/>
          </w:rPr>
          <w:t>33</w:t>
        </w:r>
      </w:fldSimple>
      <w:r w:rsidR="002E7DD4">
        <w:t>.</w:t>
      </w:r>
      <w:r w:rsidR="009C4069">
        <w:t xml:space="preserve"> </w:t>
      </w:r>
      <w:r w:rsidR="002E7DD4">
        <w:t>Dnia 18 czerwca 2015 r. komisja ds. zwolnień warunkowych uznała, że D.</w:t>
      </w:r>
      <w:r w:rsidR="00DD3B86">
        <w:t xml:space="preserve"> </w:t>
      </w:r>
      <w:r w:rsidR="002E7DD4">
        <w:t xml:space="preserve">M. powinien zostać zwolniony </w:t>
      </w:r>
      <w:r w:rsidR="00DD3B86">
        <w:t>warunkowo</w:t>
      </w:r>
      <w:r w:rsidR="002E7DD4">
        <w:t xml:space="preserve"> 31 lipca 2015 r.</w:t>
      </w:r>
    </w:p>
    <w:p w14:paraId="73672062" w14:textId="77777777" w:rsidR="002E7DD4" w:rsidRPr="00F9089F" w:rsidRDefault="002E7DD4" w:rsidP="00F9089F">
      <w:pPr>
        <w:pStyle w:val="JuHIRoman"/>
      </w:pPr>
      <w:r>
        <w:t>Postępowanie przed Trybunałem Konstytucyjnym</w:t>
      </w:r>
    </w:p>
    <w:p w14:paraId="565243AA" w14:textId="7638D268" w:rsidR="002E7DD4" w:rsidRPr="00F9089F" w:rsidRDefault="002E7DD4" w:rsidP="00F9089F">
      <w:pPr>
        <w:pStyle w:val="JuPara"/>
        <w:rPr>
          <w:rFonts w:eastAsiaTheme="minorEastAsia"/>
        </w:rPr>
      </w:pPr>
      <w:r w:rsidRPr="00F9089F">
        <w:rPr>
          <w:rFonts w:eastAsiaTheme="minorEastAsia"/>
        </w:rPr>
        <w:fldChar w:fldCharType="begin"/>
      </w:r>
      <w:r w:rsidRPr="00F9089F">
        <w:rPr>
          <w:rFonts w:eastAsiaTheme="minorEastAsia"/>
        </w:rPr>
        <w:instrText xml:space="preserve"> SEQ level0 \*arabic </w:instrText>
      </w:r>
      <w:r w:rsidRPr="00F9089F">
        <w:rPr>
          <w:rFonts w:eastAsiaTheme="minorEastAsia"/>
        </w:rPr>
        <w:fldChar w:fldCharType="separate"/>
      </w:r>
      <w:r w:rsidR="00887A59">
        <w:rPr>
          <w:rFonts w:eastAsiaTheme="minorEastAsia"/>
          <w:noProof/>
        </w:rPr>
        <w:t>34</w:t>
      </w:r>
      <w:r w:rsidRPr="00F9089F">
        <w:rPr>
          <w:rFonts w:eastAsiaTheme="minorEastAsia"/>
        </w:rPr>
        <w:fldChar w:fldCharType="end"/>
      </w:r>
      <w:r>
        <w:t>.</w:t>
      </w:r>
      <w:r w:rsidR="009C4069">
        <w:t xml:space="preserve"> </w:t>
      </w:r>
      <w:r>
        <w:t xml:space="preserve">Dnia 2 lipca 2013 r. skarżący </w:t>
      </w:r>
      <w:r w:rsidR="00DD3B86">
        <w:t xml:space="preserve">złożyli </w:t>
      </w:r>
      <w:r>
        <w:t>skargę konstytucyjną do Trybunału Konstytucyjnego</w:t>
      </w:r>
      <w:r w:rsidR="00DD3B86">
        <w:t xml:space="preserve"> Republiki Chorwackiej</w:t>
      </w:r>
      <w:r>
        <w:t xml:space="preserve"> (</w:t>
      </w:r>
      <w:proofErr w:type="spellStart"/>
      <w:r>
        <w:rPr>
          <w:i/>
          <w:iCs/>
        </w:rPr>
        <w:t>Ustavni</w:t>
      </w:r>
      <w:proofErr w:type="spellEnd"/>
      <w:r>
        <w:rPr>
          <w:i/>
          <w:iCs/>
        </w:rPr>
        <w:t xml:space="preserve"> </w:t>
      </w:r>
      <w:proofErr w:type="spellStart"/>
      <w:r>
        <w:rPr>
          <w:i/>
          <w:iCs/>
        </w:rPr>
        <w:t>sud</w:t>
      </w:r>
      <w:proofErr w:type="spellEnd"/>
      <w:r>
        <w:rPr>
          <w:i/>
          <w:iCs/>
        </w:rPr>
        <w:t xml:space="preserve"> </w:t>
      </w:r>
      <w:proofErr w:type="spellStart"/>
      <w:r>
        <w:rPr>
          <w:i/>
          <w:iCs/>
        </w:rPr>
        <w:t>Republike</w:t>
      </w:r>
      <w:proofErr w:type="spellEnd"/>
      <w:r>
        <w:rPr>
          <w:i/>
          <w:iCs/>
        </w:rPr>
        <w:t xml:space="preserve"> </w:t>
      </w:r>
      <w:proofErr w:type="spellStart"/>
      <w:r>
        <w:rPr>
          <w:i/>
          <w:iCs/>
        </w:rPr>
        <w:t>Hrvatske</w:t>
      </w:r>
      <w:proofErr w:type="spellEnd"/>
      <w:r>
        <w:t>),</w:t>
      </w:r>
      <w:r w:rsidR="00DD3B86">
        <w:t xml:space="preserve"> </w:t>
      </w:r>
      <w:r>
        <w:t xml:space="preserve">zarzucając szereg uchybień proceduralnych i błędów </w:t>
      </w:r>
      <w:r w:rsidR="00DD3B86">
        <w:br/>
      </w:r>
      <w:r>
        <w:t>w ustaleniach  sąd</w:t>
      </w:r>
      <w:r w:rsidR="00DD3B86">
        <w:t>ów</w:t>
      </w:r>
      <w:r>
        <w:t xml:space="preserve"> niższej instancji. Podnosili, że nie zapewniono im możliwości skutecznego uczestnictwa w postępowaniu karnym przeciwko </w:t>
      </w:r>
      <w:r w:rsidR="00DD3B86">
        <w:br/>
      </w:r>
      <w:r>
        <w:t>D.</w:t>
      </w:r>
      <w:r w:rsidR="00DD3B86">
        <w:t xml:space="preserve"> </w:t>
      </w:r>
      <w:r>
        <w:t xml:space="preserve">M. i że uniemożliwiono im przedstawienie wszystkich dowodów </w:t>
      </w:r>
      <w:r w:rsidR="00DD3B86">
        <w:br/>
      </w:r>
      <w:r>
        <w:t>i argumentów. Twierdzili ponadto, że karę D.</w:t>
      </w:r>
      <w:r w:rsidR="00DD3B86">
        <w:t xml:space="preserve"> </w:t>
      </w:r>
      <w:r>
        <w:t xml:space="preserve">M. złagodzono do wymiaru poniżej ustawowego minimum przewidzianego </w:t>
      </w:r>
      <w:r w:rsidR="00DD3B86">
        <w:t>K</w:t>
      </w:r>
      <w:r>
        <w:t xml:space="preserve">odeksem karnym. </w:t>
      </w:r>
      <w:r w:rsidR="00DD3B86">
        <w:t>Argumentowali</w:t>
      </w:r>
      <w:r>
        <w:t xml:space="preserve"> również, że sędzia sądu apelacyjnego, który zasiadał </w:t>
      </w:r>
      <w:r w:rsidR="00DD3B86">
        <w:br/>
      </w:r>
      <w:r>
        <w:t xml:space="preserve">w składzie sędziowskim </w:t>
      </w:r>
      <w:r w:rsidR="00340445">
        <w:t xml:space="preserve">badającym </w:t>
      </w:r>
      <w:r>
        <w:t>wyrok sądu pierwszej instancji przeciwko D.</w:t>
      </w:r>
      <w:r w:rsidR="00340445">
        <w:t xml:space="preserve"> </w:t>
      </w:r>
      <w:r>
        <w:t>M., w przeszłości wydał kilka orzeczeń na jego korzyść.</w:t>
      </w:r>
    </w:p>
    <w:p w14:paraId="2CFAB889" w14:textId="23A64630" w:rsidR="002E7DD4" w:rsidRPr="00F9089F" w:rsidRDefault="002E7DD4" w:rsidP="00F9089F">
      <w:pPr>
        <w:pStyle w:val="JuPara"/>
        <w:rPr>
          <w:rFonts w:eastAsiaTheme="minorEastAsia"/>
        </w:rPr>
      </w:pPr>
      <w:r w:rsidRPr="00F9089F">
        <w:rPr>
          <w:rFonts w:eastAsiaTheme="minorEastAsia"/>
        </w:rPr>
        <w:fldChar w:fldCharType="begin"/>
      </w:r>
      <w:r w:rsidRPr="00F9089F">
        <w:rPr>
          <w:rFonts w:eastAsiaTheme="minorEastAsia"/>
        </w:rPr>
        <w:instrText xml:space="preserve"> SEQ level0 \*arabic </w:instrText>
      </w:r>
      <w:r w:rsidRPr="00F9089F">
        <w:rPr>
          <w:rFonts w:eastAsiaTheme="minorEastAsia"/>
        </w:rPr>
        <w:fldChar w:fldCharType="separate"/>
      </w:r>
      <w:r w:rsidR="00887A59">
        <w:rPr>
          <w:rFonts w:eastAsiaTheme="minorEastAsia"/>
          <w:noProof/>
        </w:rPr>
        <w:t>35</w:t>
      </w:r>
      <w:r w:rsidRPr="00F9089F">
        <w:rPr>
          <w:rFonts w:eastAsiaTheme="minorEastAsia"/>
        </w:rPr>
        <w:fldChar w:fldCharType="end"/>
      </w:r>
      <w:r>
        <w:t>.</w:t>
      </w:r>
      <w:r w:rsidR="009C4069">
        <w:t xml:space="preserve"> </w:t>
      </w:r>
      <w:r>
        <w:t xml:space="preserve">Dnia 16 października 2013 r. Trybunał Konstytucyjny uznał </w:t>
      </w:r>
      <w:r w:rsidR="00340445">
        <w:t xml:space="preserve">ich </w:t>
      </w:r>
      <w:r>
        <w:t xml:space="preserve">skargę konstytucyjną za niedopuszczalną, ponieważ sprawa nie dotyczyła praw ani obowiązków </w:t>
      </w:r>
      <w:r w:rsidR="00340445">
        <w:t xml:space="preserve">o charakterze cywilnym </w:t>
      </w:r>
      <w:r>
        <w:t xml:space="preserve">ani </w:t>
      </w:r>
      <w:r w:rsidR="00340445">
        <w:t xml:space="preserve">jakiegokolwiek </w:t>
      </w:r>
      <w:r>
        <w:t>zarzut</w:t>
      </w:r>
      <w:r w:rsidR="00340445">
        <w:t>u</w:t>
      </w:r>
      <w:r>
        <w:t xml:space="preserve"> karn</w:t>
      </w:r>
      <w:r w:rsidR="00340445">
        <w:t>ego</w:t>
      </w:r>
      <w:r>
        <w:t xml:space="preserve"> przeciwko skarżącym.</w:t>
      </w:r>
    </w:p>
    <w:p w14:paraId="29862933" w14:textId="3CDF6439" w:rsidR="002E7DD4" w:rsidRPr="00F9089F" w:rsidRDefault="002E7DD4" w:rsidP="00F9089F">
      <w:pPr>
        <w:pStyle w:val="JuPara"/>
      </w:pPr>
      <w:r w:rsidRPr="00F9089F">
        <w:rPr>
          <w:rFonts w:eastAsiaTheme="minorEastAsia"/>
          <w:szCs w:val="22"/>
        </w:rPr>
        <w:fldChar w:fldCharType="begin"/>
      </w:r>
      <w:r w:rsidRPr="00F9089F">
        <w:rPr>
          <w:rFonts w:eastAsiaTheme="minorEastAsia"/>
          <w:szCs w:val="22"/>
        </w:rPr>
        <w:instrText xml:space="preserve"> SEQ level0 \*arabic </w:instrText>
      </w:r>
      <w:r w:rsidRPr="00F9089F">
        <w:rPr>
          <w:rFonts w:eastAsiaTheme="minorEastAsia"/>
          <w:szCs w:val="22"/>
        </w:rPr>
        <w:fldChar w:fldCharType="separate"/>
      </w:r>
      <w:r w:rsidR="00887A59">
        <w:rPr>
          <w:rFonts w:eastAsiaTheme="minorEastAsia"/>
          <w:noProof/>
          <w:szCs w:val="22"/>
        </w:rPr>
        <w:t>36</w:t>
      </w:r>
      <w:r w:rsidRPr="00F9089F">
        <w:rPr>
          <w:rFonts w:eastAsiaTheme="minorEastAsia"/>
          <w:szCs w:val="22"/>
        </w:rPr>
        <w:fldChar w:fldCharType="end"/>
      </w:r>
      <w:r>
        <w:t>.</w:t>
      </w:r>
      <w:r w:rsidR="009C4069">
        <w:t xml:space="preserve"> </w:t>
      </w:r>
      <w:r w:rsidR="00C52EB0">
        <w:t>Orzeczenie</w:t>
      </w:r>
      <w:r>
        <w:t xml:space="preserve"> Trybunału Konstytucyjnego doręczono pełnomocnikowi skarżących 14 listopada 2013 r.</w:t>
      </w:r>
    </w:p>
    <w:p w14:paraId="1AE763AB" w14:textId="77777777" w:rsidR="002E7DD4" w:rsidRPr="00F9089F" w:rsidRDefault="002E7DD4" w:rsidP="00F9089F">
      <w:pPr>
        <w:pStyle w:val="JuHHead"/>
      </w:pPr>
      <w:r>
        <w:t>WŁAŚCIWE RAMY PRAWNE</w:t>
      </w:r>
    </w:p>
    <w:p w14:paraId="39E75E4E" w14:textId="480B0902" w:rsidR="002E7DD4" w:rsidRPr="00F9089F" w:rsidRDefault="002E7DD4" w:rsidP="00F9089F">
      <w:pPr>
        <w:pStyle w:val="JuHIRoman"/>
      </w:pPr>
      <w:r>
        <w:t xml:space="preserve">Właściwe przepisy i </w:t>
      </w:r>
      <w:r w:rsidR="00340445">
        <w:t xml:space="preserve">STANDARDY </w:t>
      </w:r>
      <w:r>
        <w:t>krajowe</w:t>
      </w:r>
    </w:p>
    <w:p w14:paraId="7C199F3D" w14:textId="77777777" w:rsidR="002E7DD4" w:rsidRPr="00F9089F" w:rsidRDefault="002E7DD4" w:rsidP="00F9089F">
      <w:pPr>
        <w:pStyle w:val="JuHA"/>
      </w:pPr>
      <w:r>
        <w:t>Konstytucja</w:t>
      </w:r>
    </w:p>
    <w:p w14:paraId="7DFEDD3E" w14:textId="5254CEE5" w:rsidR="002E7DD4" w:rsidRPr="00F9089F" w:rsidRDefault="00000000" w:rsidP="00F9089F">
      <w:pPr>
        <w:pStyle w:val="JuPara"/>
      </w:pPr>
      <w:fldSimple w:instr=" SEQ level0 \*arabic ">
        <w:r w:rsidR="00887A59">
          <w:rPr>
            <w:noProof/>
          </w:rPr>
          <w:t>37</w:t>
        </w:r>
      </w:fldSimple>
      <w:r w:rsidR="002E7DD4">
        <w:t>.</w:t>
      </w:r>
      <w:r w:rsidR="009C4069">
        <w:t xml:space="preserve"> </w:t>
      </w:r>
      <w:r w:rsidR="002E7DD4">
        <w:t>Właściwe przepisy Konstytucji (</w:t>
      </w:r>
      <w:proofErr w:type="spellStart"/>
      <w:r w:rsidR="002E7DD4">
        <w:rPr>
          <w:i/>
          <w:iCs/>
        </w:rPr>
        <w:t>Ustav</w:t>
      </w:r>
      <w:proofErr w:type="spellEnd"/>
      <w:r w:rsidR="002E7DD4">
        <w:rPr>
          <w:i/>
          <w:iCs/>
        </w:rPr>
        <w:t xml:space="preserve"> </w:t>
      </w:r>
      <w:proofErr w:type="spellStart"/>
      <w:r w:rsidR="002E7DD4">
        <w:rPr>
          <w:i/>
          <w:iCs/>
        </w:rPr>
        <w:t>Republike</w:t>
      </w:r>
      <w:proofErr w:type="spellEnd"/>
      <w:r w:rsidR="002E7DD4">
        <w:rPr>
          <w:i/>
          <w:iCs/>
        </w:rPr>
        <w:t xml:space="preserve"> </w:t>
      </w:r>
      <w:proofErr w:type="spellStart"/>
      <w:r w:rsidR="002E7DD4">
        <w:rPr>
          <w:i/>
          <w:iCs/>
        </w:rPr>
        <w:t>Hrvatske</w:t>
      </w:r>
      <w:proofErr w:type="spellEnd"/>
      <w:r w:rsidR="002E7DD4">
        <w:t xml:space="preserve">) i ustawy </w:t>
      </w:r>
      <w:r w:rsidR="00340445">
        <w:br/>
      </w:r>
      <w:r w:rsidR="002E7DD4">
        <w:t>o Trybunale Konstytucyjnym (</w:t>
      </w:r>
      <w:proofErr w:type="spellStart"/>
      <w:r w:rsidR="002E7DD4">
        <w:rPr>
          <w:i/>
          <w:iCs/>
        </w:rPr>
        <w:t>Ustavni</w:t>
      </w:r>
      <w:proofErr w:type="spellEnd"/>
      <w:r w:rsidR="002E7DD4">
        <w:rPr>
          <w:i/>
          <w:iCs/>
        </w:rPr>
        <w:t xml:space="preserve"> zakon o </w:t>
      </w:r>
      <w:proofErr w:type="spellStart"/>
      <w:r w:rsidR="002E7DD4">
        <w:rPr>
          <w:i/>
          <w:iCs/>
        </w:rPr>
        <w:t>Ustavnom</w:t>
      </w:r>
      <w:proofErr w:type="spellEnd"/>
      <w:r w:rsidR="002E7DD4">
        <w:rPr>
          <w:i/>
          <w:iCs/>
        </w:rPr>
        <w:t xml:space="preserve"> </w:t>
      </w:r>
      <w:proofErr w:type="spellStart"/>
      <w:r w:rsidR="002E7DD4">
        <w:rPr>
          <w:i/>
          <w:iCs/>
        </w:rPr>
        <w:t>sudu</w:t>
      </w:r>
      <w:proofErr w:type="spellEnd"/>
      <w:r w:rsidR="002E7DD4">
        <w:rPr>
          <w:i/>
          <w:iCs/>
        </w:rPr>
        <w:t xml:space="preserve"> </w:t>
      </w:r>
      <w:proofErr w:type="spellStart"/>
      <w:r w:rsidR="002E7DD4">
        <w:rPr>
          <w:i/>
          <w:iCs/>
        </w:rPr>
        <w:t>Republike</w:t>
      </w:r>
      <w:proofErr w:type="spellEnd"/>
      <w:r w:rsidR="002E7DD4">
        <w:rPr>
          <w:i/>
          <w:iCs/>
        </w:rPr>
        <w:t xml:space="preserve"> </w:t>
      </w:r>
      <w:proofErr w:type="spellStart"/>
      <w:r w:rsidR="002E7DD4">
        <w:rPr>
          <w:i/>
          <w:iCs/>
        </w:rPr>
        <w:t>Hrvatske</w:t>
      </w:r>
      <w:proofErr w:type="spellEnd"/>
      <w:r w:rsidR="002E7DD4">
        <w:t xml:space="preserve">) oraz orzecznictwo Trybunału Konstytucyjnego </w:t>
      </w:r>
      <w:r w:rsidR="00340445">
        <w:t xml:space="preserve">zostały przedstawione </w:t>
      </w:r>
      <w:r w:rsidR="002E7DD4">
        <w:t xml:space="preserve">w sprawie </w:t>
      </w:r>
      <w:proofErr w:type="spellStart"/>
      <w:r w:rsidR="002E7DD4">
        <w:rPr>
          <w:i/>
          <w:iCs/>
        </w:rPr>
        <w:t>Bajić</w:t>
      </w:r>
      <w:proofErr w:type="spellEnd"/>
      <w:r w:rsidR="002E7DD4">
        <w:rPr>
          <w:i/>
          <w:iCs/>
        </w:rPr>
        <w:t xml:space="preserve"> p</w:t>
      </w:r>
      <w:r w:rsidR="00340445">
        <w:rPr>
          <w:i/>
          <w:iCs/>
        </w:rPr>
        <w:t>.</w:t>
      </w:r>
      <w:r w:rsidR="002E7DD4">
        <w:rPr>
          <w:i/>
          <w:iCs/>
        </w:rPr>
        <w:t xml:space="preserve"> Chorwacji</w:t>
      </w:r>
      <w:r w:rsidR="002E7DD4">
        <w:t xml:space="preserve"> (skarga nr 41108/10</w:t>
      </w:r>
      <w:r w:rsidR="002E7DD4">
        <w:rPr>
          <w:snapToGrid w:val="0"/>
        </w:rPr>
        <w:t xml:space="preserve">, § 48–49 </w:t>
      </w:r>
      <w:r w:rsidR="00340445">
        <w:rPr>
          <w:snapToGrid w:val="0"/>
        </w:rPr>
        <w:br/>
      </w:r>
      <w:r w:rsidR="002E7DD4">
        <w:rPr>
          <w:snapToGrid w:val="0"/>
        </w:rPr>
        <w:t>i § 54–57, 13 listopada 2012 r.).</w:t>
      </w:r>
    </w:p>
    <w:p w14:paraId="357A9DEB" w14:textId="77777777" w:rsidR="002E7DD4" w:rsidRPr="00F9089F" w:rsidRDefault="002E7DD4" w:rsidP="00F9089F">
      <w:pPr>
        <w:pStyle w:val="JuHA"/>
      </w:pPr>
      <w:r>
        <w:t>Kodeks karny</w:t>
      </w:r>
    </w:p>
    <w:p w14:paraId="3C0906BB" w14:textId="1A920EAC" w:rsidR="002E7DD4" w:rsidRPr="00F9089F" w:rsidRDefault="00000000" w:rsidP="00F9089F">
      <w:pPr>
        <w:pStyle w:val="JuPara"/>
      </w:pPr>
      <w:fldSimple w:instr=" SEQ level0 \*arabic ">
        <w:r w:rsidR="00887A59">
          <w:rPr>
            <w:noProof/>
          </w:rPr>
          <w:t>38</w:t>
        </w:r>
      </w:fldSimple>
      <w:r w:rsidR="002E7DD4">
        <w:t>.</w:t>
      </w:r>
      <w:r w:rsidR="009C4069">
        <w:t xml:space="preserve"> </w:t>
      </w:r>
      <w:r w:rsidR="002E7DD4">
        <w:t xml:space="preserve">Właściwe przepisy </w:t>
      </w:r>
      <w:r w:rsidR="00DB406E">
        <w:t>K</w:t>
      </w:r>
      <w:r w:rsidR="002E7DD4">
        <w:t>odeksu karnego (</w:t>
      </w:r>
      <w:proofErr w:type="spellStart"/>
      <w:r w:rsidR="002E7DD4">
        <w:rPr>
          <w:i/>
          <w:iCs/>
        </w:rPr>
        <w:t>Kazneni</w:t>
      </w:r>
      <w:proofErr w:type="spellEnd"/>
      <w:r w:rsidR="002E7DD4">
        <w:rPr>
          <w:i/>
          <w:iCs/>
        </w:rPr>
        <w:t xml:space="preserve"> zakon</w:t>
      </w:r>
      <w:r w:rsidR="002E7DD4">
        <w:t xml:space="preserve">, Dziennik Ustaw nr 110/1997 z </w:t>
      </w:r>
      <w:proofErr w:type="spellStart"/>
      <w:r w:rsidR="002E7DD4">
        <w:t>późn</w:t>
      </w:r>
      <w:proofErr w:type="spellEnd"/>
      <w:r w:rsidR="002E7DD4">
        <w:t xml:space="preserve">. zm.) dotyczące form umyślnego spowodowania </w:t>
      </w:r>
      <w:r w:rsidR="002E7DD4">
        <w:lastRenderedPageBreak/>
        <w:t>wypadku drogowego, mające zastosowanie w czasie istotnym dla sprawy, stanowiły, co następuje:</w:t>
      </w:r>
    </w:p>
    <w:p w14:paraId="4153FCEA" w14:textId="77777777" w:rsidR="002E7DD4" w:rsidRPr="00F9089F" w:rsidRDefault="002E7DD4" w:rsidP="00F9089F">
      <w:pPr>
        <w:pStyle w:val="JuHArticle"/>
        <w:rPr>
          <w:rFonts w:eastAsia="Times New Roman"/>
        </w:rPr>
      </w:pPr>
      <w:r>
        <w:t>Spowodowanie wypadku w ruchu drogowym</w:t>
      </w:r>
    </w:p>
    <w:p w14:paraId="4E1A73B3" w14:textId="77777777" w:rsidR="002E7DD4" w:rsidRPr="00F9089F" w:rsidRDefault="002E7DD4" w:rsidP="00F9089F">
      <w:pPr>
        <w:pStyle w:val="JuHArticle"/>
      </w:pPr>
      <w:r>
        <w:t>Artykuł 272</w:t>
      </w:r>
    </w:p>
    <w:p w14:paraId="67D579EF" w14:textId="599C70A9" w:rsidR="002E7DD4" w:rsidRPr="00F9089F" w:rsidRDefault="002E7DD4" w:rsidP="00F9089F">
      <w:pPr>
        <w:pStyle w:val="JuQuot"/>
      </w:pPr>
      <w:r>
        <w:t>„(1)</w:t>
      </w:r>
      <w:r w:rsidR="009C4069">
        <w:t xml:space="preserve"> </w:t>
      </w:r>
      <w:r>
        <w:t>Kto, naruszając zasady bezpieczeństwa ruchu drogowego, zagraża innym użytkownikom ruchu w taki sposób, że powoduje wypadek, w którym inna osoba doznaje poważnych obrażeń lub ponosi poważną szkodę materialną, podlega karze pozbawienia wolności od sześciu miesięcy do pięciu lat.</w:t>
      </w:r>
    </w:p>
    <w:p w14:paraId="03B3B2D9" w14:textId="77777777" w:rsidR="002E7DD4" w:rsidRPr="00F9089F" w:rsidRDefault="002E7DD4" w:rsidP="00F9089F">
      <w:pPr>
        <w:pStyle w:val="JuQuot"/>
        <w:rPr>
          <w:rFonts w:ascii="Times New (W1)" w:eastAsia="Times New Roman" w:hAnsi="Times New (W1)" w:cs="Times New Roman"/>
          <w:szCs w:val="20"/>
        </w:rPr>
      </w:pPr>
      <w:r>
        <w:rPr>
          <w:rFonts w:ascii="Times New (W1)" w:hAnsi="Times New (W1)"/>
          <w:szCs w:val="20"/>
        </w:rPr>
        <w:t>[…]</w:t>
      </w:r>
    </w:p>
    <w:p w14:paraId="1FE0ED53" w14:textId="1039B509" w:rsidR="002E7DD4" w:rsidRPr="00F9089F" w:rsidRDefault="002E7DD4" w:rsidP="00F9089F">
      <w:pPr>
        <w:pStyle w:val="JuQuot"/>
        <w:rPr>
          <w:rFonts w:eastAsia="Times New Roman"/>
        </w:rPr>
      </w:pPr>
      <w:r>
        <w:t>(3)</w:t>
      </w:r>
      <w:r w:rsidR="009C4069">
        <w:t xml:space="preserve"> </w:t>
      </w:r>
      <w:r>
        <w:t>Jeżeli czyn, o którym mowa w ust. 1 niniejszego artykułu, skutkuje śmiercią jednej osoby lub większej liczby osób, sprawca podlega karze pozbawienia wolności od trzech do dziesięciu lat”.</w:t>
      </w:r>
    </w:p>
    <w:p w14:paraId="12FD4F5D" w14:textId="70498A0A" w:rsidR="002E7DD4" w:rsidRPr="00F9089F" w:rsidRDefault="00000000" w:rsidP="00F9089F">
      <w:pPr>
        <w:pStyle w:val="JuPara"/>
      </w:pPr>
      <w:fldSimple w:instr=" SEQ level0 \*arabic ">
        <w:r w:rsidR="00887A59">
          <w:rPr>
            <w:noProof/>
          </w:rPr>
          <w:t>39</w:t>
        </w:r>
      </w:fldSimple>
      <w:r w:rsidR="002E7DD4">
        <w:t>.</w:t>
      </w:r>
      <w:r w:rsidR="009C4069">
        <w:t xml:space="preserve"> </w:t>
      </w:r>
      <w:r w:rsidR="002E7DD4">
        <w:t xml:space="preserve">W art. 272 § 2 i § 4 </w:t>
      </w:r>
      <w:r w:rsidR="00DB406E">
        <w:t>K</w:t>
      </w:r>
      <w:r w:rsidR="002E7DD4">
        <w:t>odeksu karnego przewidziano kary za spowodowanie wypadku w ruchu drogowym wskutek niedbalstwa.</w:t>
      </w:r>
    </w:p>
    <w:p w14:paraId="1ADA5DD5" w14:textId="2B4D5B42" w:rsidR="002E7DD4" w:rsidRPr="00F9089F" w:rsidRDefault="00000000" w:rsidP="00F9089F">
      <w:pPr>
        <w:pStyle w:val="JuPara"/>
      </w:pPr>
      <w:fldSimple w:instr=" SEQ level0 \*arabic ">
        <w:r w:rsidR="00887A59">
          <w:rPr>
            <w:noProof/>
          </w:rPr>
          <w:t>40</w:t>
        </w:r>
      </w:fldSimple>
      <w:r w:rsidR="002E7DD4">
        <w:t>.</w:t>
      </w:r>
      <w:r w:rsidR="009C4069">
        <w:t xml:space="preserve"> </w:t>
      </w:r>
      <w:r w:rsidR="002E7DD4">
        <w:t xml:space="preserve">W art. 78 </w:t>
      </w:r>
      <w:r w:rsidR="00DB406E">
        <w:t>K</w:t>
      </w:r>
      <w:r w:rsidR="002E7DD4">
        <w:t xml:space="preserve">odeksu karnego przewidziano możliwość zatrzymania prawa jazdy, jeżeli zachodzi ryzyko ponownego popełnienia przestępstwa przez sprawcę. </w:t>
      </w:r>
      <w:r w:rsidR="00DB406E">
        <w:t>Art.</w:t>
      </w:r>
      <w:r w:rsidR="002E7DD4">
        <w:t xml:space="preserve"> 76 przewidywał możliwość nałożenia obowiązku poddania się leczeniu odwykowemu w przypadku osób, które popełniły przestępstwo pod decydującym wpływem alkoholu lub środków odurzających.</w:t>
      </w:r>
    </w:p>
    <w:p w14:paraId="464E6CF3" w14:textId="689DC8F8" w:rsidR="002E7DD4" w:rsidRPr="00F9089F" w:rsidRDefault="00000000" w:rsidP="00F9089F">
      <w:pPr>
        <w:pStyle w:val="JuPara"/>
      </w:pPr>
      <w:fldSimple w:instr=" SEQ level0 \*arabic ">
        <w:r w:rsidR="00887A59">
          <w:rPr>
            <w:noProof/>
          </w:rPr>
          <w:t>41</w:t>
        </w:r>
      </w:fldSimple>
      <w:r w:rsidR="002E7DD4">
        <w:t>.</w:t>
      </w:r>
      <w:r w:rsidR="009C4069">
        <w:t xml:space="preserve"> </w:t>
      </w:r>
      <w:r w:rsidR="002E7DD4">
        <w:t>Artykuł 57 §</w:t>
      </w:r>
      <w:r w:rsidR="009C4069">
        <w:t xml:space="preserve"> </w:t>
      </w:r>
      <w:r w:rsidR="002E7DD4">
        <w:t xml:space="preserve">2 </w:t>
      </w:r>
      <w:r w:rsidR="005A1E52">
        <w:t>K</w:t>
      </w:r>
      <w:r w:rsidR="002E7DD4">
        <w:t xml:space="preserve">odeksu karnego stanowił, że właściwy sąd </w:t>
      </w:r>
      <w:r w:rsidR="005A1E52">
        <w:br/>
      </w:r>
      <w:r w:rsidR="002E7DD4">
        <w:t xml:space="preserve">w wyjątkowych sytuacjach może wymierzyć karę poniżej ustawowego minimum, o ile ustali, że – w świetle wystąpienia szczególnych okoliczności łagodzących – cel ukarania można osiągnąć nawet </w:t>
      </w:r>
      <w:r w:rsidR="005A1E52">
        <w:t>przy</w:t>
      </w:r>
      <w:r w:rsidR="002E7DD4">
        <w:t xml:space="preserve"> zastos</w:t>
      </w:r>
      <w:r w:rsidR="005A1E52">
        <w:t>owaniu</w:t>
      </w:r>
      <w:r w:rsidR="002E7DD4">
        <w:t xml:space="preserve"> </w:t>
      </w:r>
      <w:r w:rsidR="005A1E52">
        <w:t xml:space="preserve">takiej </w:t>
      </w:r>
      <w:r w:rsidR="002E7DD4">
        <w:t>złagodzon</w:t>
      </w:r>
      <w:r w:rsidR="005A1E52">
        <w:t>ej</w:t>
      </w:r>
      <w:r w:rsidR="002E7DD4">
        <w:t xml:space="preserve"> kar</w:t>
      </w:r>
      <w:r w:rsidR="005A1E52">
        <w:t>y</w:t>
      </w:r>
      <w:r w:rsidR="002E7DD4">
        <w:t>. Zgodnie z art. 57 § 4 lit. c) w przypadku ustawowej kary minimalnej wynoszącej trzy lata pozbawienia wolności właściwy sąd mógł zmniejszyć taką karę do dwóch lat pozbawienia wolności.</w:t>
      </w:r>
    </w:p>
    <w:p w14:paraId="49B68570" w14:textId="77777777" w:rsidR="002E7DD4" w:rsidRPr="00F9089F" w:rsidRDefault="002E7DD4" w:rsidP="00F9089F">
      <w:pPr>
        <w:pStyle w:val="JuHA"/>
      </w:pPr>
      <w:r>
        <w:t>Ustawa o wykroczeniach</w:t>
      </w:r>
    </w:p>
    <w:p w14:paraId="7A29E763" w14:textId="5146B77C" w:rsidR="002E7DD4" w:rsidRPr="00F9089F" w:rsidRDefault="00000000" w:rsidP="00F9089F">
      <w:pPr>
        <w:pStyle w:val="JuPara"/>
      </w:pPr>
      <w:fldSimple w:instr=" SEQ level0 \*arabic ">
        <w:r w:rsidR="00887A59">
          <w:rPr>
            <w:noProof/>
          </w:rPr>
          <w:t>42</w:t>
        </w:r>
      </w:fldSimple>
      <w:r w:rsidR="002E7DD4">
        <w:t>.</w:t>
      </w:r>
      <w:r w:rsidR="009C4069">
        <w:t xml:space="preserve"> </w:t>
      </w:r>
      <w:r w:rsidR="002E7DD4">
        <w:t>Artykuł 58 ustawy o wykroczeniach (</w:t>
      </w:r>
      <w:proofErr w:type="spellStart"/>
      <w:r w:rsidR="002E7DD4">
        <w:rPr>
          <w:i/>
          <w:iCs/>
        </w:rPr>
        <w:t>Prekršajni</w:t>
      </w:r>
      <w:proofErr w:type="spellEnd"/>
      <w:r w:rsidR="002E7DD4">
        <w:rPr>
          <w:i/>
          <w:iCs/>
        </w:rPr>
        <w:t xml:space="preserve"> zakon</w:t>
      </w:r>
      <w:r w:rsidR="002E7DD4">
        <w:t xml:space="preserve">, Dziennik Ustaw nr 107/2007 z </w:t>
      </w:r>
      <w:proofErr w:type="spellStart"/>
      <w:r w:rsidR="002E7DD4">
        <w:t>późn</w:t>
      </w:r>
      <w:proofErr w:type="spellEnd"/>
      <w:r w:rsidR="002E7DD4">
        <w:t>. zm.)</w:t>
      </w:r>
      <w:r w:rsidR="004E6674">
        <w:t>,</w:t>
      </w:r>
      <w:r w:rsidR="002E7DD4">
        <w:t xml:space="preserve"> w brzmieniu obowiązującym w czasie istotnym dla sprawy</w:t>
      </w:r>
      <w:r w:rsidR="004E6674">
        <w:t>,</w:t>
      </w:r>
      <w:r w:rsidR="002E7DD4">
        <w:t xml:space="preserve"> przewidywał możliwość zatrzymania prawa jazdy za wykroczenie na okres od jednego miesiąca do dwóch lat, jeżeli zachodziło ryzyko ponownego popełnienia wykroczenia przez sprawcę.</w:t>
      </w:r>
    </w:p>
    <w:p w14:paraId="349EA8AB" w14:textId="0833C783" w:rsidR="002E7DD4" w:rsidRPr="00F9089F" w:rsidRDefault="00000000" w:rsidP="00F9089F">
      <w:pPr>
        <w:pStyle w:val="JuPara"/>
      </w:pPr>
      <w:fldSimple w:instr=" SEQ level0 \*arabic ">
        <w:r w:rsidR="00887A59">
          <w:rPr>
            <w:noProof/>
          </w:rPr>
          <w:t>43</w:t>
        </w:r>
      </w:fldSimple>
      <w:r w:rsidR="002E7DD4">
        <w:t>.</w:t>
      </w:r>
      <w:r w:rsidR="009C4069">
        <w:t xml:space="preserve"> </w:t>
      </w:r>
      <w:r w:rsidR="002E7DD4">
        <w:t xml:space="preserve">Ponadto w art. 130 ust. 2 pkt 6 ustawy przewidziano możliwość zatrzymania prawa jazdy obwinionego w postępowaniu w sprawie </w:t>
      </w:r>
      <w:r w:rsidR="004E6674">
        <w:br/>
      </w:r>
      <w:r w:rsidR="002E7DD4">
        <w:t>o wykroczenie przez sąd ds. wykroczeń</w:t>
      </w:r>
      <w:r w:rsidR="004E6674">
        <w:t>,</w:t>
      </w:r>
      <w:r w:rsidR="002E7DD4">
        <w:t xml:space="preserve"> z urzędu lub na wniosek prokuratora, jeżeli zachodziło ryzyko ponownego popełnienia wykroczenia przez sprawcę. Środek ten mógł być stosowany od momentu wniesienia aktu oskarżenia do momentu uprawomocnienia się wyroku. Artykuł 53 ustawy przewidywał możliwość nałożenia obowiązku poddania się leczeniu </w:t>
      </w:r>
      <w:r w:rsidR="002E7DD4">
        <w:lastRenderedPageBreak/>
        <w:t>odwykowemu w przypadku osób, które popełniły wykroczenia pod zdecydowanym wpływem alkoholu lub środków odurzających.</w:t>
      </w:r>
    </w:p>
    <w:p w14:paraId="45B96A95" w14:textId="7810938E" w:rsidR="002E7DD4" w:rsidRPr="00F9089F" w:rsidRDefault="00000000" w:rsidP="00F9089F">
      <w:pPr>
        <w:pStyle w:val="JuPara"/>
      </w:pPr>
      <w:fldSimple w:instr=" SEQ level0 \*arabic ">
        <w:r w:rsidR="00887A59">
          <w:rPr>
            <w:noProof/>
          </w:rPr>
          <w:t>44</w:t>
        </w:r>
      </w:fldSimple>
      <w:r w:rsidR="002E7DD4">
        <w:t>.</w:t>
      </w:r>
      <w:r w:rsidR="009C4069">
        <w:t xml:space="preserve"> </w:t>
      </w:r>
      <w:r w:rsidR="002E7DD4">
        <w:t>Artykuł 77 ust. 2 stanowił, że ukaranie za wykroczenie ulega zatarciu trzy lata po uprawomocnieniu się wyroku w sprawie o wykroczenie.</w:t>
      </w:r>
    </w:p>
    <w:p w14:paraId="753AB463" w14:textId="77777777" w:rsidR="002E7DD4" w:rsidRPr="00F9089F" w:rsidRDefault="002E7DD4" w:rsidP="00F9089F">
      <w:pPr>
        <w:pStyle w:val="JuHA"/>
      </w:pPr>
      <w:r>
        <w:t>Ustawa o bezpieczeństwie ruchu drogowego</w:t>
      </w:r>
    </w:p>
    <w:p w14:paraId="68272722" w14:textId="1D44A836" w:rsidR="002E7DD4" w:rsidRPr="00F9089F" w:rsidRDefault="00000000" w:rsidP="00F9089F">
      <w:pPr>
        <w:pStyle w:val="JuPara"/>
      </w:pPr>
      <w:fldSimple w:instr=" SEQ level0 \*arabic ">
        <w:r w:rsidR="00887A59">
          <w:rPr>
            <w:noProof/>
          </w:rPr>
          <w:t>45</w:t>
        </w:r>
      </w:fldSimple>
      <w:r w:rsidR="002E7DD4">
        <w:t>.</w:t>
      </w:r>
      <w:r w:rsidR="009C4069">
        <w:t xml:space="preserve"> </w:t>
      </w:r>
      <w:r w:rsidR="002E7DD4">
        <w:t>Artykuł 286 właściwej ustawy o bezpieczeństwie ruchu drogowego (</w:t>
      </w:r>
      <w:r w:rsidR="002E7DD4">
        <w:rPr>
          <w:i/>
        </w:rPr>
        <w:t xml:space="preserve">Zakon o </w:t>
      </w:r>
      <w:proofErr w:type="spellStart"/>
      <w:r w:rsidR="002E7DD4">
        <w:rPr>
          <w:i/>
        </w:rPr>
        <w:t>sigurnosti</w:t>
      </w:r>
      <w:proofErr w:type="spellEnd"/>
      <w:r w:rsidR="002E7DD4">
        <w:rPr>
          <w:i/>
        </w:rPr>
        <w:t xml:space="preserve"> </w:t>
      </w:r>
      <w:proofErr w:type="spellStart"/>
      <w:r w:rsidR="002E7DD4">
        <w:rPr>
          <w:i/>
        </w:rPr>
        <w:t>prometa</w:t>
      </w:r>
      <w:proofErr w:type="spellEnd"/>
      <w:r w:rsidR="002E7DD4">
        <w:rPr>
          <w:i/>
        </w:rPr>
        <w:t xml:space="preserve"> na </w:t>
      </w:r>
      <w:proofErr w:type="spellStart"/>
      <w:r w:rsidR="002E7DD4">
        <w:rPr>
          <w:i/>
        </w:rPr>
        <w:t>cestama</w:t>
      </w:r>
      <w:proofErr w:type="spellEnd"/>
      <w:r w:rsidR="002E7DD4">
        <w:t xml:space="preserve">, Dziennik Ustaw nr 67/2008 z </w:t>
      </w:r>
      <w:proofErr w:type="spellStart"/>
      <w:r w:rsidR="002E7DD4">
        <w:t>późn</w:t>
      </w:r>
      <w:proofErr w:type="spellEnd"/>
      <w:r w:rsidR="002E7DD4">
        <w:t xml:space="preserve">. zm.) </w:t>
      </w:r>
      <w:r w:rsidR="004E6674">
        <w:t>przewidywał m</w:t>
      </w:r>
      <w:r w:rsidR="002E7DD4">
        <w:t>ożliwoś</w:t>
      </w:r>
      <w:r w:rsidR="004E6674">
        <w:t>ć</w:t>
      </w:r>
      <w:r w:rsidR="002E7DD4">
        <w:t xml:space="preserve"> </w:t>
      </w:r>
      <w:r w:rsidR="004E6674">
        <w:t xml:space="preserve">anulowania </w:t>
      </w:r>
      <w:r w:rsidR="002E7DD4">
        <w:t xml:space="preserve">prawa jazdy </w:t>
      </w:r>
      <w:r w:rsidR="004E6674">
        <w:t>w przypadku</w:t>
      </w:r>
      <w:r w:rsidR="002E7DD4">
        <w:t xml:space="preserve"> wielokrotn</w:t>
      </w:r>
      <w:r w:rsidR="004E6674">
        <w:t>ych</w:t>
      </w:r>
      <w:r w:rsidR="002E7DD4">
        <w:t xml:space="preserve"> narusze</w:t>
      </w:r>
      <w:r w:rsidR="004E6674">
        <w:t>ń</w:t>
      </w:r>
      <w:r w:rsidR="002E7DD4">
        <w:t xml:space="preserve"> przepisów o bezpieczeństwie ruchu drogowego, jeżeli prawo jazdy zostało już tymczasowo zatrzymane z powodu zgromadzonej liczby punktów karnych i uzyskania dodatkowych dziewięciu punktów karnych w okresie kolejnych dwóch lat.</w:t>
      </w:r>
    </w:p>
    <w:p w14:paraId="41153638" w14:textId="3B972884" w:rsidR="002E7DD4" w:rsidRPr="00F9089F" w:rsidRDefault="002E7DD4" w:rsidP="00F9089F">
      <w:pPr>
        <w:pStyle w:val="JuHA"/>
      </w:pPr>
      <w:r>
        <w:t>Ustawa o wykon</w:t>
      </w:r>
      <w:r w:rsidR="00F8346F">
        <w:t>yw</w:t>
      </w:r>
      <w:r>
        <w:t>aniu kary pozbawienia wolności</w:t>
      </w:r>
    </w:p>
    <w:p w14:paraId="65CDC747" w14:textId="687EEFE7" w:rsidR="002E7DD4" w:rsidRPr="00F9089F" w:rsidRDefault="00000000" w:rsidP="00F9089F">
      <w:pPr>
        <w:pStyle w:val="JuPara"/>
      </w:pPr>
      <w:fldSimple w:instr=" SEQ level0 \*arabic ">
        <w:r w:rsidR="00887A59">
          <w:rPr>
            <w:noProof/>
          </w:rPr>
          <w:t>46</w:t>
        </w:r>
      </w:fldSimple>
      <w:r w:rsidR="002E7DD4">
        <w:t>.</w:t>
      </w:r>
      <w:r w:rsidR="009C4069">
        <w:t xml:space="preserve"> </w:t>
      </w:r>
      <w:r w:rsidR="002E7DD4">
        <w:t>Zgodnie z art. 48 ust. 8 ustawy o wykon</w:t>
      </w:r>
      <w:r w:rsidR="00F8346F">
        <w:t>yw</w:t>
      </w:r>
      <w:r w:rsidR="002E7DD4">
        <w:t>aniu kary pozbawienia wolności (</w:t>
      </w:r>
      <w:r w:rsidR="002E7DD4">
        <w:rPr>
          <w:i/>
        </w:rPr>
        <w:t xml:space="preserve">Zakon o </w:t>
      </w:r>
      <w:proofErr w:type="spellStart"/>
      <w:r w:rsidR="002E7DD4">
        <w:rPr>
          <w:i/>
        </w:rPr>
        <w:t>izvršavanju</w:t>
      </w:r>
      <w:proofErr w:type="spellEnd"/>
      <w:r w:rsidR="002E7DD4">
        <w:rPr>
          <w:i/>
        </w:rPr>
        <w:t xml:space="preserve"> </w:t>
      </w:r>
      <w:proofErr w:type="spellStart"/>
      <w:r w:rsidR="002E7DD4">
        <w:rPr>
          <w:i/>
        </w:rPr>
        <w:t>kazne</w:t>
      </w:r>
      <w:proofErr w:type="spellEnd"/>
      <w:r w:rsidR="002E7DD4">
        <w:rPr>
          <w:i/>
        </w:rPr>
        <w:t xml:space="preserve"> </w:t>
      </w:r>
      <w:proofErr w:type="spellStart"/>
      <w:r w:rsidR="002E7DD4">
        <w:rPr>
          <w:i/>
        </w:rPr>
        <w:t>zatvora</w:t>
      </w:r>
      <w:proofErr w:type="spellEnd"/>
      <w:r w:rsidR="002E7DD4">
        <w:t xml:space="preserve">, Dziennik Ustaw nr 128/1999 </w:t>
      </w:r>
      <w:r w:rsidR="00F8346F">
        <w:br/>
      </w:r>
      <w:r w:rsidR="002E7DD4">
        <w:t xml:space="preserve">z </w:t>
      </w:r>
      <w:proofErr w:type="spellStart"/>
      <w:r w:rsidR="002E7DD4">
        <w:t>późn</w:t>
      </w:r>
      <w:proofErr w:type="spellEnd"/>
      <w:r w:rsidR="002E7DD4">
        <w:t>. zm.)</w:t>
      </w:r>
      <w:r w:rsidR="00F8346F">
        <w:t>,</w:t>
      </w:r>
      <w:r w:rsidR="002E7DD4">
        <w:t xml:space="preserve"> w brzmieniu obowiązującym w czasie istotnym dla sprawy</w:t>
      </w:r>
      <w:r w:rsidR="00F8346F">
        <w:t>,</w:t>
      </w:r>
      <w:r w:rsidR="002E7DD4">
        <w:t xml:space="preserve"> właściwy sędzia </w:t>
      </w:r>
      <w:r w:rsidR="00F8346F">
        <w:t>wykonawczy</w:t>
      </w:r>
      <w:r w:rsidR="002E7DD4">
        <w:t xml:space="preserve"> miał obowiązek podjąć </w:t>
      </w:r>
      <w:r w:rsidR="00F8346F">
        <w:t xml:space="preserve">środki </w:t>
      </w:r>
      <w:r w:rsidR="002E7DD4">
        <w:t xml:space="preserve">niezbędne do wykonania kary pozbawienia wolności w terminie ośmiu dni od otrzymania prawomocnego wyroku sądu karnego. Zgodnie z art. 54 wykonanie kary pozbawienia wolności </w:t>
      </w:r>
      <w:r w:rsidR="00F8346F">
        <w:t>mogło,</w:t>
      </w:r>
      <w:r w:rsidR="002E7DD4">
        <w:t xml:space="preserve"> w wyjątkowych przypadkach</w:t>
      </w:r>
      <w:r w:rsidR="00F8346F">
        <w:t>, zostać</w:t>
      </w:r>
      <w:r w:rsidR="002E7DD4">
        <w:t xml:space="preserve"> odrocz</w:t>
      </w:r>
      <w:r w:rsidR="00F8346F">
        <w:t>one</w:t>
      </w:r>
      <w:r w:rsidR="002E7DD4">
        <w:t xml:space="preserve"> </w:t>
      </w:r>
      <w:r w:rsidR="00F8346F">
        <w:t>na okres</w:t>
      </w:r>
      <w:r w:rsidR="002E7DD4">
        <w:t xml:space="preserve"> maksymalnie </w:t>
      </w:r>
      <w:proofErr w:type="spellStart"/>
      <w:r w:rsidR="002E7DD4">
        <w:t>dwadzie</w:t>
      </w:r>
      <w:r w:rsidR="00F8346F">
        <w:t>stu</w:t>
      </w:r>
      <w:proofErr w:type="spellEnd"/>
      <w:r w:rsidR="002E7DD4">
        <w:t xml:space="preserve"> miesięcy.</w:t>
      </w:r>
    </w:p>
    <w:p w14:paraId="2262CCD5" w14:textId="77777777" w:rsidR="002E7DD4" w:rsidRPr="00F9089F" w:rsidRDefault="002E7DD4" w:rsidP="00F9089F">
      <w:pPr>
        <w:pStyle w:val="JuHA"/>
      </w:pPr>
      <w:r>
        <w:t> Krajowy program bezpieczeństwa drogowego na lata 2011–2020</w:t>
      </w:r>
    </w:p>
    <w:p w14:paraId="4358B948" w14:textId="1FC9259E" w:rsidR="002E7DD4" w:rsidRPr="00F9089F" w:rsidRDefault="00000000" w:rsidP="00F9089F">
      <w:pPr>
        <w:pStyle w:val="JuPara"/>
      </w:pPr>
      <w:fldSimple w:instr=" SEQ level0 \*arabic ">
        <w:r w:rsidR="00887A59">
          <w:rPr>
            <w:noProof/>
          </w:rPr>
          <w:t>47</w:t>
        </w:r>
      </w:fldSimple>
      <w:r w:rsidR="002E7DD4">
        <w:t>.</w:t>
      </w:r>
      <w:r w:rsidR="009C4069">
        <w:t xml:space="preserve"> </w:t>
      </w:r>
      <w:r w:rsidR="002E7DD4">
        <w:t>Dnia 14 kwietnia 2011 r. rząd Chorwacji przyjął Krajowy program bezpieczeństwa drogowego na lata 2011–2020 (Dziennik Urzędowy nr 59/2011</w:t>
      </w:r>
      <w:r w:rsidR="00C52EB0">
        <w:t>;</w:t>
      </w:r>
      <w:r w:rsidR="002E7DD4">
        <w:t xml:space="preserve"> dalej „Program”). W Programie powoływano się na szereg inicjatyw Organizacji Narodów Zjednoczonych i Unii Europejskiej, których celem było zapewnienie bezpieczeństwa ruchu drogowego. Odnotowano, że na świecie w wypadkach </w:t>
      </w:r>
      <w:r w:rsidR="00F8346F">
        <w:t xml:space="preserve">drogowych </w:t>
      </w:r>
      <w:r w:rsidR="002E7DD4">
        <w:t xml:space="preserve">ginie rocznie 1 300 000 osób, </w:t>
      </w:r>
      <w:r w:rsidR="00F8346F">
        <w:br/>
      </w:r>
      <w:r w:rsidR="002E7DD4">
        <w:t xml:space="preserve">a 50 000 000 zostaje rannych. Przytoczono również dane szacunkowe, </w:t>
      </w:r>
      <w:r w:rsidR="00F8346F">
        <w:br/>
      </w:r>
      <w:r w:rsidR="002E7DD4">
        <w:t>z których wynika, że jeżeli aktualne tendencje się utrzymają, wypadki drogowe do 2030 r. staną się piątą najpopularniejszą przyczyną zgon</w:t>
      </w:r>
      <w:r w:rsidR="00F8346F">
        <w:t>ów</w:t>
      </w:r>
      <w:r w:rsidR="002E7DD4">
        <w:t>.</w:t>
      </w:r>
      <w:r w:rsidR="00F8346F">
        <w:br/>
      </w:r>
      <w:r w:rsidR="002E7DD4">
        <w:t>W tym kontekście zwrócono uwagę na fakt, że szczególnie podatne na zagrożenia są dzieci i młodzież w wieku od 10 do 25 lat.</w:t>
      </w:r>
    </w:p>
    <w:p w14:paraId="3DC8D7F2" w14:textId="52648A3D" w:rsidR="002E7DD4" w:rsidRPr="00F9089F" w:rsidRDefault="00000000" w:rsidP="00F9089F">
      <w:pPr>
        <w:pStyle w:val="JuPara"/>
      </w:pPr>
      <w:fldSimple w:instr=" SEQ level0 \*arabic ">
        <w:r w:rsidR="00887A59">
          <w:rPr>
            <w:noProof/>
          </w:rPr>
          <w:t>48</w:t>
        </w:r>
      </w:fldSimple>
      <w:r w:rsidR="002E7DD4">
        <w:t>.</w:t>
      </w:r>
      <w:r w:rsidR="009C4069">
        <w:t xml:space="preserve"> </w:t>
      </w:r>
      <w:r w:rsidR="002E7DD4">
        <w:t xml:space="preserve">Jak wynika z Programu, istnieje możliwość zapobiegania zagrożeniom dla życia i </w:t>
      </w:r>
      <w:r w:rsidR="00F74398">
        <w:t xml:space="preserve">integralności </w:t>
      </w:r>
      <w:r w:rsidR="002E7DD4">
        <w:t xml:space="preserve">fizycznej uczestników ruchu drogowego. </w:t>
      </w:r>
      <w:r w:rsidR="00F74398">
        <w:br/>
      </w:r>
      <w:r w:rsidR="002E7DD4">
        <w:t xml:space="preserve">W Programie powołano się na dowody świadczące o tym, że najskuteczniejsza prewencja </w:t>
      </w:r>
      <w:r w:rsidR="00F74398">
        <w:t xml:space="preserve">opiera się </w:t>
      </w:r>
      <w:r w:rsidR="002E7DD4">
        <w:t xml:space="preserve">między innymi na kontrolowaniu </w:t>
      </w:r>
      <w:r w:rsidR="00F74398">
        <w:br/>
      </w:r>
      <w:r w:rsidR="002E7DD4">
        <w:t xml:space="preserve">i karaniu kierowców prowadzących pojazdy w stanie po użyciu alkoholu lub </w:t>
      </w:r>
      <w:r w:rsidR="002E7DD4">
        <w:lastRenderedPageBreak/>
        <w:t>w stanie nietrzeźwości i przekraczających dopuszczalną prędkość. Przytoczono w nim również statystyki, z których wynika, że przyczyną większości wypadków drogowych o poważnych konsekwencjach była nadmierna prędkość. Zgodnie z Programem należy reagować na ten problem, stosując różne środki, w tym kar</w:t>
      </w:r>
      <w:r w:rsidR="00F74398">
        <w:t>anie</w:t>
      </w:r>
      <w:r w:rsidR="002E7DD4">
        <w:t xml:space="preserve"> sprawców. Jeżeli chodzi o prowadzenie pojazd</w:t>
      </w:r>
      <w:r w:rsidR="00F74398">
        <w:t>ów po alkoholu</w:t>
      </w:r>
      <w:r w:rsidR="002E7DD4">
        <w:t xml:space="preserve">, w Programie zauważono, że </w:t>
      </w:r>
      <w:r w:rsidR="00F74398">
        <w:t>obserwuje się wzrastając</w:t>
      </w:r>
      <w:r w:rsidR="00E00C06">
        <w:t>y</w:t>
      </w:r>
      <w:r w:rsidR="00F74398">
        <w:t xml:space="preserve"> udział</w:t>
      </w:r>
      <w:r w:rsidR="00E00C06">
        <w:t xml:space="preserve"> kierowców pod wpływem alkoholu w ogólnej liczbie </w:t>
      </w:r>
      <w:r w:rsidR="00F74398">
        <w:t xml:space="preserve"> </w:t>
      </w:r>
      <w:r w:rsidR="002E7DD4">
        <w:t>wypadk</w:t>
      </w:r>
      <w:r w:rsidR="00F74398">
        <w:t>ów</w:t>
      </w:r>
      <w:r w:rsidR="002E7DD4">
        <w:t xml:space="preserve"> drogowych ze skutkiem śmiertelnym</w:t>
      </w:r>
      <w:r w:rsidR="00E00C06">
        <w:t>.</w:t>
      </w:r>
      <w:r w:rsidR="002E7DD4">
        <w:t xml:space="preserve"> Z tego względu </w:t>
      </w:r>
      <w:r w:rsidR="00E00C06">
        <w:br/>
      </w:r>
      <w:r w:rsidR="002E7DD4">
        <w:t>w Programie przewidziano wymóg podjęcia intensywnych działań w celu karania nietrzeźw</w:t>
      </w:r>
      <w:r w:rsidR="00E00C06">
        <w:t>ych kierowców</w:t>
      </w:r>
      <w:r w:rsidR="002E7DD4">
        <w:t xml:space="preserve"> i zapobiegania takim </w:t>
      </w:r>
      <w:proofErr w:type="spellStart"/>
      <w:r w:rsidR="002E7DD4">
        <w:t>zachowaniom</w:t>
      </w:r>
      <w:proofErr w:type="spellEnd"/>
      <w:r w:rsidR="002E7DD4">
        <w:t>.</w:t>
      </w:r>
    </w:p>
    <w:p w14:paraId="5D11421E" w14:textId="761815F5" w:rsidR="002E7DD4" w:rsidRPr="00F9089F" w:rsidRDefault="00000000" w:rsidP="00F9089F">
      <w:pPr>
        <w:pStyle w:val="JuPara"/>
      </w:pPr>
      <w:fldSimple w:instr=" SEQ level0 \*arabic ">
        <w:r w:rsidR="00887A59">
          <w:rPr>
            <w:noProof/>
          </w:rPr>
          <w:t>49</w:t>
        </w:r>
      </w:fldSimple>
      <w:r w:rsidR="002E7DD4">
        <w:t>.</w:t>
      </w:r>
      <w:r w:rsidR="009C4069">
        <w:t xml:space="preserve"> </w:t>
      </w:r>
      <w:r w:rsidR="002E7DD4">
        <w:t xml:space="preserve">Dnia 28 lutego 2018 r. na Wydziale Nauk o Transporcie i Ruchu Drogowym Uniwersytetu w Zagrzebiu odbył się okrągły stół, </w:t>
      </w:r>
      <w:r w:rsidR="00E00C06">
        <w:t xml:space="preserve">który </w:t>
      </w:r>
      <w:r w:rsidR="002E7DD4">
        <w:t xml:space="preserve">miał służyć ocenie bezpieczeństwa ruchu drogowego w kraju i funkcjonowania Programu. Zauważono, że w ostatnich latach liczba wypadków drogowych zwiększyła się. Podkreślono również, że aby rozwiązać ten problem, należy między innymi skuteczniej karać za wykroczenia i przestępstwa związane </w:t>
      </w:r>
      <w:r w:rsidR="00E00C06">
        <w:br/>
      </w:r>
      <w:r w:rsidR="002E7DD4">
        <w:t>z bezpieczeństwem publicznym.</w:t>
      </w:r>
    </w:p>
    <w:p w14:paraId="7A22659E" w14:textId="150F4301" w:rsidR="002E7DD4" w:rsidRPr="00F9089F" w:rsidRDefault="002E7DD4" w:rsidP="00F9089F">
      <w:pPr>
        <w:pStyle w:val="JuHIRoman"/>
      </w:pPr>
      <w:r>
        <w:t xml:space="preserve">Właściwe </w:t>
      </w:r>
      <w:r w:rsidR="00E00C06">
        <w:t xml:space="preserve">MATERIAŁY </w:t>
      </w:r>
      <w:r>
        <w:t>międzynarodowe</w:t>
      </w:r>
    </w:p>
    <w:p w14:paraId="14A14DBF" w14:textId="0151938D" w:rsidR="002E7DD4" w:rsidRPr="00F9089F" w:rsidRDefault="00000000" w:rsidP="00F9089F">
      <w:pPr>
        <w:pStyle w:val="JuPara"/>
      </w:pPr>
      <w:fldSimple w:instr=" SEQ level0 \*arabic ">
        <w:r w:rsidR="00887A59">
          <w:rPr>
            <w:noProof/>
          </w:rPr>
          <w:t>50</w:t>
        </w:r>
      </w:fldSimple>
      <w:r w:rsidR="002E7DD4">
        <w:t>.</w:t>
      </w:r>
      <w:r w:rsidR="009C4069">
        <w:t xml:space="preserve"> </w:t>
      </w:r>
      <w:r w:rsidR="002E7DD4">
        <w:t xml:space="preserve">W rezolucji Zgromadzenia Ogólnego Organizacji Narodów Zjednoczonych </w:t>
      </w:r>
      <w:r w:rsidR="00A52000">
        <w:t xml:space="preserve">A/RES/64/255 </w:t>
      </w:r>
      <w:r w:rsidR="002E7DD4">
        <w:t xml:space="preserve">z 10 maja 2010 r. ogłoszono lata 2011–2020 Dekadą Działań na rzecz Bezpieczeństwa Drogowego. Celem tych działań jest ustabilizowanie, a następnie zmniejszenie prognozowanej liczby śmiertelnych ofiar wypadków drogowych na świecie poprzez zintensyfikowanie </w:t>
      </w:r>
      <w:r w:rsidR="00A52000">
        <w:t xml:space="preserve">działań </w:t>
      </w:r>
      <w:r w:rsidR="002E7DD4">
        <w:t>prowadzonych na szczeblu krajowym, regionalnym i globalnym. Rezolucja w istotnych częściach stanowi:</w:t>
      </w:r>
    </w:p>
    <w:p w14:paraId="0B3048DE" w14:textId="18E38DB6" w:rsidR="002E7DD4" w:rsidRPr="00F9089F" w:rsidRDefault="002E7DD4" w:rsidP="00F9089F">
      <w:pPr>
        <w:pStyle w:val="JuQuot"/>
      </w:pPr>
      <w:r>
        <w:t>„</w:t>
      </w:r>
      <w:r>
        <w:rPr>
          <w:i/>
          <w:iCs/>
        </w:rPr>
        <w:t xml:space="preserve">wyrażając zaniepokojenie </w:t>
      </w:r>
      <w:r>
        <w:t xml:space="preserve">dalszym wzrostem liczby śmiertelnych ofiar wypadków drogowych i rannych w wypadkach drogowych na świecie, w szczególności </w:t>
      </w:r>
      <w:r w:rsidR="00A52000">
        <w:br/>
      </w:r>
      <w:r>
        <w:t xml:space="preserve">w państwach o niskich i średnich dochodach, a także mając na uwadze, że nawet </w:t>
      </w:r>
      <w:r w:rsidR="00A52000">
        <w:br/>
      </w:r>
      <w:r>
        <w:t>w państwach o wysokich dochodach śmiertelność w systemie ruchu drogowego jest znacznie wyższa niż w innych systemach transportu,</w:t>
      </w:r>
    </w:p>
    <w:p w14:paraId="56683421" w14:textId="77777777" w:rsidR="002E7DD4" w:rsidRPr="00F9089F" w:rsidRDefault="002E7DD4" w:rsidP="00F9089F">
      <w:pPr>
        <w:pStyle w:val="JuQuot"/>
      </w:pPr>
      <w:r>
        <w:t>[…]</w:t>
      </w:r>
    </w:p>
    <w:p w14:paraId="76A4BAC4" w14:textId="45D8F879" w:rsidR="002E7DD4" w:rsidRPr="00F9089F" w:rsidRDefault="002E7DD4" w:rsidP="00F9089F">
      <w:pPr>
        <w:pStyle w:val="JuQuot"/>
      </w:pPr>
      <w:r>
        <w:t xml:space="preserve">6. apeluje do państw członkowskich o wdrażanie działań na rzecz bezpieczeństwa ruchu drogowego, w szczególności w dziedzinie zarządzania </w:t>
      </w:r>
      <w:r w:rsidR="00CF194E">
        <w:t xml:space="preserve">bezpieczeństwem w </w:t>
      </w:r>
      <w:r>
        <w:t>ruch</w:t>
      </w:r>
      <w:r w:rsidR="00CF194E">
        <w:t>u</w:t>
      </w:r>
      <w:r>
        <w:t xml:space="preserve"> drogowym, infrastruktury drogowej, bezpieczeństwa pojazdów, zachowania użytkowników dróg, w tym czynników rozpraszających uwagę użytkowników, edukacji </w:t>
      </w:r>
      <w:r w:rsidR="005E703E">
        <w:t xml:space="preserve">w zakresie </w:t>
      </w:r>
      <w:r>
        <w:t>bezpieczeństw</w:t>
      </w:r>
      <w:r w:rsidR="005E703E">
        <w:t>a</w:t>
      </w:r>
      <w:r>
        <w:t xml:space="preserve"> ruchu drogowego i opieki powypadkowej, w tym rehabilitacji osób niepełnosprawnych, na podstawie planu działania;</w:t>
      </w:r>
    </w:p>
    <w:p w14:paraId="289DD6CF" w14:textId="77777777" w:rsidR="002E7DD4" w:rsidRPr="00F9089F" w:rsidRDefault="002E7DD4" w:rsidP="00F9089F">
      <w:pPr>
        <w:pStyle w:val="JuQuot"/>
      </w:pPr>
      <w:r>
        <w:t>[…]”.</w:t>
      </w:r>
    </w:p>
    <w:p w14:paraId="4A46825D" w14:textId="5F3EF4DA" w:rsidR="002E7DD4" w:rsidRPr="00F9089F" w:rsidRDefault="00000000" w:rsidP="00F9089F">
      <w:pPr>
        <w:pStyle w:val="JuPara"/>
      </w:pPr>
      <w:fldSimple w:instr=" SEQ level0 \*arabic ">
        <w:r w:rsidR="00887A59">
          <w:rPr>
            <w:noProof/>
          </w:rPr>
          <w:t>51</w:t>
        </w:r>
      </w:fldSimple>
      <w:r w:rsidR="002E7DD4">
        <w:t>.</w:t>
      </w:r>
      <w:r w:rsidR="009C4069">
        <w:t xml:space="preserve"> </w:t>
      </w:r>
      <w:r w:rsidR="002E7DD4">
        <w:t xml:space="preserve">W Sprawozdaniu WHO na temat </w:t>
      </w:r>
      <w:r w:rsidR="005E703E">
        <w:t xml:space="preserve">światowej </w:t>
      </w:r>
      <w:r w:rsidR="002E7DD4">
        <w:t xml:space="preserve">sytuacji w zakresie bezpieczeństwa ruchu drogowego </w:t>
      </w:r>
      <w:r w:rsidR="00610359">
        <w:t>w</w:t>
      </w:r>
      <w:r w:rsidR="002E7DD4">
        <w:t xml:space="preserve"> 2015 r. Światowa Organizacja Zdrowia</w:t>
      </w:r>
      <w:r w:rsidR="00610359">
        <w:t xml:space="preserve"> („WHO”)</w:t>
      </w:r>
      <w:r w:rsidR="002E7DD4">
        <w:t xml:space="preserve"> zauważyła, że każdego roku na świecie na drogach ginie 1,25 mln ludzi, a liczba ta utrzymuje się na podobnym poziomie od 2007 r. </w:t>
      </w:r>
      <w:r w:rsidR="00610359">
        <w:br/>
      </w:r>
      <w:r w:rsidR="002E7DD4">
        <w:lastRenderedPageBreak/>
        <w:t xml:space="preserve">W sprawozdaniu podkreślono konieczność podjęcia działań, które </w:t>
      </w:r>
      <w:r w:rsidR="00610359">
        <w:t xml:space="preserve">obejmują, </w:t>
      </w:r>
      <w:r w:rsidR="002E7DD4">
        <w:t>między innymi</w:t>
      </w:r>
      <w:r w:rsidR="00610359">
        <w:t>:</w:t>
      </w:r>
    </w:p>
    <w:p w14:paraId="0E040859" w14:textId="52E6A25E" w:rsidR="002E7DD4" w:rsidRPr="00F9089F" w:rsidRDefault="002E7DD4" w:rsidP="00F9089F">
      <w:pPr>
        <w:pStyle w:val="JuQuot"/>
      </w:pPr>
      <w:r>
        <w:t xml:space="preserve">„Brak egzekwowania przepisów często </w:t>
      </w:r>
      <w:r w:rsidR="00524577">
        <w:t xml:space="preserve">osłabia </w:t>
      </w:r>
      <w:r>
        <w:t>potencjał</w:t>
      </w:r>
      <w:r w:rsidR="00524577">
        <w:t xml:space="preserve"> przepisów dotyczących bezpieczeństwa w ruchu drogowym w zakresie</w:t>
      </w:r>
      <w:r>
        <w:t xml:space="preserve"> ograniczania liczby rannych i </w:t>
      </w:r>
      <w:r w:rsidR="00524577">
        <w:t>ofiar śmiertelnych</w:t>
      </w:r>
      <w:r>
        <w:t xml:space="preserve">. Należy </w:t>
      </w:r>
      <w:r w:rsidR="00524577">
        <w:t xml:space="preserve"> prowadzić dalsze prace w celu zbadania</w:t>
      </w:r>
      <w:r>
        <w:t xml:space="preserve"> najlepsz</w:t>
      </w:r>
      <w:r w:rsidR="00FC62F4">
        <w:t>ych</w:t>
      </w:r>
      <w:r>
        <w:t xml:space="preserve"> sposob</w:t>
      </w:r>
      <w:r w:rsidR="00FC62F4">
        <w:t>ów</w:t>
      </w:r>
      <w:r>
        <w:t xml:space="preserve"> optymal</w:t>
      </w:r>
      <w:r w:rsidR="00FC62F4">
        <w:t>izacji</w:t>
      </w:r>
      <w:r>
        <w:t xml:space="preserve"> egzekwowania istniejących przepisów o bezpieczeństwie ruchu drogowego. Należy prowadzić społeczne</w:t>
      </w:r>
      <w:r w:rsidR="00FC62F4" w:rsidRPr="00FC62F4">
        <w:t xml:space="preserve"> </w:t>
      </w:r>
      <w:r w:rsidR="00FC62F4">
        <w:t>kampanie marketingowe</w:t>
      </w:r>
      <w:r>
        <w:t>,</w:t>
      </w:r>
      <w:r w:rsidR="00FC62F4">
        <w:t xml:space="preserve"> aby wspierać</w:t>
      </w:r>
      <w:r>
        <w:t xml:space="preserve"> </w:t>
      </w:r>
      <w:r w:rsidR="00FC62F4">
        <w:br/>
        <w:t xml:space="preserve">i maksymalizować efekty </w:t>
      </w:r>
      <w:r>
        <w:t>egzekwowani</w:t>
      </w:r>
      <w:r w:rsidR="00FC62F4">
        <w:t>a</w:t>
      </w:r>
      <w:r>
        <w:t xml:space="preserve"> przepisów”.</w:t>
      </w:r>
    </w:p>
    <w:p w14:paraId="4BC0FAA6" w14:textId="77777777" w:rsidR="002E7DD4" w:rsidRPr="00F9089F" w:rsidRDefault="002E7DD4" w:rsidP="00F9089F">
      <w:pPr>
        <w:pStyle w:val="JuHIRoman"/>
      </w:pPr>
      <w:r>
        <w:t>Dokumenty Unii Europejskiej</w:t>
      </w:r>
    </w:p>
    <w:p w14:paraId="455C949C" w14:textId="74EFDED1" w:rsidR="002E7DD4" w:rsidRPr="00F9089F" w:rsidRDefault="00000000" w:rsidP="00F9089F">
      <w:pPr>
        <w:pStyle w:val="JuPara"/>
      </w:pPr>
      <w:fldSimple w:instr=" SEQ level0 \*arabic ">
        <w:r w:rsidR="00887A59">
          <w:rPr>
            <w:noProof/>
          </w:rPr>
          <w:t>52</w:t>
        </w:r>
      </w:fldSimple>
      <w:r w:rsidR="002E7DD4">
        <w:t>.</w:t>
      </w:r>
      <w:r w:rsidR="009C4069">
        <w:t xml:space="preserve"> </w:t>
      </w:r>
      <w:r w:rsidR="002E7DD4">
        <w:t>Dnia 20 lipca 2010 r. Komisja Europejska opublikowała dokument programowy „W kierunku europejskiego obszaru bezpieczeństwa ruchu drogowego: kierunki polityki bezpieczeństwa ruchu drogowego na lata 2011</w:t>
      </w:r>
      <w:r w:rsidR="00161898">
        <w:br/>
      </w:r>
      <w:r w:rsidR="002E7DD4">
        <w:t xml:space="preserve">-2020” (SEC(2010) 903), którego celem było udostępnienie informacji </w:t>
      </w:r>
      <w:r w:rsidR="00161898">
        <w:br/>
      </w:r>
      <w:r w:rsidR="002E7DD4">
        <w:t xml:space="preserve">i wsparcie rządów w przyjmowaniu </w:t>
      </w:r>
      <w:r w:rsidR="00161898">
        <w:t xml:space="preserve">przez nie </w:t>
      </w:r>
      <w:r w:rsidR="002E7DD4">
        <w:t xml:space="preserve">polityki bezpieczeństwa ruchu drogowego. W dokumencie zauważono, że bezpieczeństwo ruchu drogowego </w:t>
      </w:r>
      <w:r w:rsidR="00161898">
        <w:t>jest poważnym</w:t>
      </w:r>
      <w:r w:rsidR="002E7DD4">
        <w:t xml:space="preserve"> problem</w:t>
      </w:r>
      <w:r w:rsidR="00161898">
        <w:t>em</w:t>
      </w:r>
      <w:r w:rsidR="002E7DD4">
        <w:t xml:space="preserve"> społeczny</w:t>
      </w:r>
      <w:r w:rsidR="00161898">
        <w:t>m</w:t>
      </w:r>
      <w:r w:rsidR="002E7DD4">
        <w:t>. Wyrażono też zaniepokojenie wysoką liczbą ofiar wypadków drogowych w Unii Europejskiej.</w:t>
      </w:r>
    </w:p>
    <w:p w14:paraId="0BBE0A81" w14:textId="2054FCE5" w:rsidR="002E7DD4" w:rsidRPr="00F9089F" w:rsidRDefault="00000000" w:rsidP="00F9089F">
      <w:pPr>
        <w:pStyle w:val="JuPara"/>
      </w:pPr>
      <w:fldSimple w:instr=" SEQ level0 \*arabic ">
        <w:r w:rsidR="00887A59">
          <w:rPr>
            <w:noProof/>
          </w:rPr>
          <w:t>53</w:t>
        </w:r>
      </w:fldSimple>
      <w:r w:rsidR="002E7DD4">
        <w:t>.</w:t>
      </w:r>
      <w:r w:rsidR="009C4069">
        <w:t xml:space="preserve"> </w:t>
      </w:r>
      <w:r w:rsidR="002E7DD4">
        <w:t xml:space="preserve">Dnia 29 marca 2017 r. ministrowie transportu państw członkowskich Unii Europejskiej przyjęli </w:t>
      </w:r>
      <w:r w:rsidR="009256D9">
        <w:t xml:space="preserve">deklarację </w:t>
      </w:r>
      <w:r w:rsidR="002E7DD4">
        <w:t xml:space="preserve">(Oświadczenie z Valletty w sprawie bezpieczeństwa ruchu drogowego), </w:t>
      </w:r>
      <w:r w:rsidR="009256D9">
        <w:t>którą</w:t>
      </w:r>
      <w:r w:rsidR="002E7DD4">
        <w:t xml:space="preserve"> – powołując się na wcześniejsze </w:t>
      </w:r>
      <w:r w:rsidR="009256D9">
        <w:t xml:space="preserve">standardy </w:t>
      </w:r>
      <w:r w:rsidR="002E7DD4">
        <w:t xml:space="preserve">UE i WHO – potwierdzili swoje zobowiązanie do poprawy bezpieczeństwa ruchu drogowego. Odnotowali </w:t>
      </w:r>
      <w:r w:rsidR="009256D9">
        <w:t xml:space="preserve">oni </w:t>
      </w:r>
      <w:r w:rsidR="002E7DD4">
        <w:t>wysoką liczbę ofiar wypadk</w:t>
      </w:r>
      <w:r w:rsidR="009256D9">
        <w:t>ów</w:t>
      </w:r>
      <w:r w:rsidR="002E7DD4">
        <w:t xml:space="preserve"> drogowych i podkreślili, że wypadki drogowe stały się </w:t>
      </w:r>
      <w:r w:rsidR="009256D9">
        <w:t>po</w:t>
      </w:r>
      <w:r w:rsidR="002E7DD4">
        <w:t>ważnym problemem społecznym.</w:t>
      </w:r>
    </w:p>
    <w:p w14:paraId="14A5A493" w14:textId="4AB5D22F" w:rsidR="002E7DD4" w:rsidRPr="00F9089F" w:rsidRDefault="00000000" w:rsidP="00F9089F">
      <w:pPr>
        <w:pStyle w:val="JuPara"/>
      </w:pPr>
      <w:fldSimple w:instr=" SEQ level0 \*arabic ">
        <w:r w:rsidR="00887A59">
          <w:rPr>
            <w:noProof/>
          </w:rPr>
          <w:t>54</w:t>
        </w:r>
      </w:fldSimple>
      <w:r w:rsidR="002E7DD4">
        <w:t>.</w:t>
      </w:r>
      <w:r w:rsidR="009C4069">
        <w:t xml:space="preserve"> </w:t>
      </w:r>
      <w:r w:rsidR="002E7DD4">
        <w:t xml:space="preserve">Zauważyli też, że </w:t>
      </w:r>
      <w:r w:rsidR="009256D9">
        <w:t>wskaźniki redukcji</w:t>
      </w:r>
      <w:r w:rsidR="002E7DD4">
        <w:t xml:space="preserve"> liczby ofiar śmiertelnych </w:t>
      </w:r>
      <w:r w:rsidR="009256D9">
        <w:br/>
      </w:r>
      <w:r w:rsidR="002E7DD4">
        <w:t>w ostatnich latach pozostaj</w:t>
      </w:r>
      <w:r w:rsidR="009256D9">
        <w:t>ą</w:t>
      </w:r>
      <w:r w:rsidR="002E7DD4">
        <w:t xml:space="preserve"> bez zmian, a głównymi przyczynami wypadków drogowych są nadmierna prędkość i jazda pod wpływem alkoholu lub środków odurzających. Na tej podstawie ministrowie transportu zobowiązali się </w:t>
      </w:r>
      <w:r w:rsidR="003717BF">
        <w:t>do zapewnienia wdrożenia</w:t>
      </w:r>
      <w:r w:rsidR="002E7DD4">
        <w:t xml:space="preserve"> szereg</w:t>
      </w:r>
      <w:r w:rsidR="003717BF">
        <w:t>u</w:t>
      </w:r>
      <w:r w:rsidR="002E7DD4">
        <w:t xml:space="preserve"> środków, w tym:</w:t>
      </w:r>
    </w:p>
    <w:p w14:paraId="31A7473D" w14:textId="14790A78" w:rsidR="002E7DD4" w:rsidRPr="00F9089F" w:rsidRDefault="002E7DD4" w:rsidP="00F9089F">
      <w:pPr>
        <w:pStyle w:val="JuQuot"/>
      </w:pPr>
      <w:r>
        <w:t>„k) skuteczn</w:t>
      </w:r>
      <w:r w:rsidR="003717BF">
        <w:t>ego</w:t>
      </w:r>
      <w:r>
        <w:t xml:space="preserve"> egzekwowa</w:t>
      </w:r>
      <w:r w:rsidR="003717BF">
        <w:t>nia</w:t>
      </w:r>
      <w:r>
        <w:t xml:space="preserve"> zasad bezpieczeństwa ruchu drogowego </w:t>
      </w:r>
      <w:r w:rsidR="003717BF">
        <w:br/>
      </w:r>
      <w:r>
        <w:t>i zapewni</w:t>
      </w:r>
      <w:r w:rsidR="003717BF">
        <w:t>enia</w:t>
      </w:r>
      <w:r>
        <w:t xml:space="preserve"> wsparci</w:t>
      </w:r>
      <w:r w:rsidR="003717BF">
        <w:t>a</w:t>
      </w:r>
      <w:r>
        <w:t xml:space="preserve"> organom odpowiedzialnym za egzekwowanie</w:t>
      </w:r>
      <w:r w:rsidR="003717BF">
        <w:t xml:space="preserve"> przepisów prawa o ruchu drogowym</w:t>
      </w:r>
      <w:r>
        <w:t xml:space="preserve">, w tym </w:t>
      </w:r>
      <w:r w:rsidR="003717BF">
        <w:t>po</w:t>
      </w:r>
      <w:r>
        <w:t xml:space="preserve">przez współpracę i </w:t>
      </w:r>
      <w:r w:rsidR="003717BF">
        <w:t xml:space="preserve">wymianę </w:t>
      </w:r>
      <w:r>
        <w:t xml:space="preserve"> najlepszy</w:t>
      </w:r>
      <w:r w:rsidR="003717BF">
        <w:t>ch</w:t>
      </w:r>
      <w:r>
        <w:t xml:space="preserve"> praktyk, </w:t>
      </w:r>
      <w:r w:rsidR="003717BF">
        <w:br/>
      </w:r>
      <w:r>
        <w:t xml:space="preserve">w szczególności w odniesieniu do przekraczania dopuszczalnej prędkości, </w:t>
      </w:r>
      <w:r w:rsidR="003717BF">
        <w:t xml:space="preserve">prowadzenia pojazdu </w:t>
      </w:r>
      <w:r>
        <w:t>pod wpływem alkoholu lub środków odurzających, niestosowania się do sygnalizacji świetlnej i znaków drogowych, braku koncentracji w trakcie kierowania pojazdem, np. </w:t>
      </w:r>
      <w:r w:rsidR="003717BF">
        <w:t>poprzez</w:t>
      </w:r>
      <w:r>
        <w:t xml:space="preserve"> korzystani</w:t>
      </w:r>
      <w:r w:rsidR="003717BF">
        <w:t>e</w:t>
      </w:r>
      <w:r>
        <w:t xml:space="preserve"> z urządzeń mobilnych i </w:t>
      </w:r>
      <w:r w:rsidR="00A42D6D">
        <w:t xml:space="preserve">niestosowanie sprzętu ochronnego </w:t>
      </w:r>
      <w:r>
        <w:t>[…]”.</w:t>
      </w:r>
    </w:p>
    <w:p w14:paraId="7964AC99" w14:textId="77777777" w:rsidR="002E7DD4" w:rsidRPr="00F9089F" w:rsidRDefault="002E7DD4" w:rsidP="00F9089F">
      <w:pPr>
        <w:pStyle w:val="JuHHead"/>
        <w:numPr>
          <w:ilvl w:val="0"/>
          <w:numId w:val="1"/>
        </w:numPr>
      </w:pPr>
      <w:r>
        <w:t>PRAWO</w:t>
      </w:r>
    </w:p>
    <w:p w14:paraId="263E67B0" w14:textId="77777777" w:rsidR="002E7DD4" w:rsidRPr="00F9089F" w:rsidRDefault="002E7DD4" w:rsidP="00F9089F">
      <w:pPr>
        <w:pStyle w:val="JuHIRoman"/>
        <w:numPr>
          <w:ilvl w:val="1"/>
          <w:numId w:val="2"/>
        </w:numPr>
      </w:pPr>
      <w:r>
        <w:t>ZARZUCANE NARUSZENIE ART. 2 KONWENCJI</w:t>
      </w:r>
    </w:p>
    <w:p w14:paraId="431C9963" w14:textId="537C1B0C" w:rsidR="002E7DD4" w:rsidRPr="00F9089F" w:rsidRDefault="00000000" w:rsidP="00C52EB0">
      <w:pPr>
        <w:pStyle w:val="JuPara"/>
      </w:pPr>
      <w:fldSimple w:instr=" SEQ level0 \*arabic ">
        <w:r w:rsidR="00887A59">
          <w:rPr>
            <w:noProof/>
          </w:rPr>
          <w:t>55</w:t>
        </w:r>
      </w:fldSimple>
      <w:r w:rsidR="002E7DD4">
        <w:t>.</w:t>
      </w:r>
      <w:r w:rsidR="009C4069">
        <w:t xml:space="preserve"> </w:t>
      </w:r>
      <w:r w:rsidR="002E7DD4">
        <w:t xml:space="preserve">Skarżący zarzucili </w:t>
      </w:r>
      <w:r w:rsidR="006D3A16">
        <w:t>władzom krajowym brak</w:t>
      </w:r>
      <w:r w:rsidR="002E7DD4">
        <w:t xml:space="preserve"> egzekwowani</w:t>
      </w:r>
      <w:r w:rsidR="006D3A16">
        <w:t>a</w:t>
      </w:r>
      <w:r w:rsidR="002E7DD4">
        <w:t xml:space="preserve"> krajowych przepisów ramowych o ruchu drogowym, </w:t>
      </w:r>
      <w:r w:rsidR="006D3A16">
        <w:t>poprzez podjęcie</w:t>
      </w:r>
      <w:r w:rsidR="002E7DD4">
        <w:t xml:space="preserve"> odpowiednich </w:t>
      </w:r>
      <w:r w:rsidR="002E7DD4">
        <w:lastRenderedPageBreak/>
        <w:t>środków w stosunku do osoby</w:t>
      </w:r>
      <w:r w:rsidR="00C52EB0">
        <w:t xml:space="preserve"> </w:t>
      </w:r>
      <w:r w:rsidR="00C52EB0" w:rsidRPr="00C52EB0">
        <w:t>będącej sprawcą zdarzenia drogowego</w:t>
      </w:r>
      <w:r w:rsidR="002E7DD4">
        <w:t xml:space="preserve">, w którym zginął </w:t>
      </w:r>
      <w:r w:rsidR="006D3A16">
        <w:t xml:space="preserve">ich </w:t>
      </w:r>
      <w:r w:rsidR="002E7DD4">
        <w:t>krewny. Powoł</w:t>
      </w:r>
      <w:r w:rsidR="006D3A16">
        <w:t>ali</w:t>
      </w:r>
      <w:r w:rsidR="002E7DD4">
        <w:t xml:space="preserve"> się na art. 2 Konwencji, który – w zakresie istotnym dla sprawy – brzmi następująco:</w:t>
      </w:r>
    </w:p>
    <w:p w14:paraId="3B354B9F" w14:textId="4A9CE686" w:rsidR="002E7DD4" w:rsidRPr="00F9089F" w:rsidRDefault="002E7DD4" w:rsidP="00F9089F">
      <w:pPr>
        <w:pStyle w:val="JuQuot"/>
      </w:pPr>
      <w:r>
        <w:t>„1.</w:t>
      </w:r>
      <w:r w:rsidR="009C4069">
        <w:t xml:space="preserve"> </w:t>
      </w:r>
      <w:r>
        <w:t>Prawo każdego człowieka do życia jest chronione przez ustawę […]”.</w:t>
      </w:r>
    </w:p>
    <w:p w14:paraId="06A2F8BE" w14:textId="77777777" w:rsidR="002E7DD4" w:rsidRPr="00F9089F" w:rsidRDefault="002E7DD4" w:rsidP="00F9089F">
      <w:pPr>
        <w:pStyle w:val="JuHA"/>
      </w:pPr>
      <w:r>
        <w:t>Dopuszczalność</w:t>
      </w:r>
    </w:p>
    <w:p w14:paraId="352D4CAB" w14:textId="77777777" w:rsidR="002E7DD4" w:rsidRPr="00F9089F" w:rsidRDefault="002E7DD4" w:rsidP="00F9089F">
      <w:pPr>
        <w:pStyle w:val="JuH1"/>
      </w:pPr>
      <w:r>
        <w:t>Stanowiska stron</w:t>
      </w:r>
    </w:p>
    <w:p w14:paraId="25E30614" w14:textId="5B267652" w:rsidR="002E7DD4" w:rsidRPr="00F9089F" w:rsidRDefault="00000000" w:rsidP="00F9089F">
      <w:pPr>
        <w:pStyle w:val="JuPara"/>
      </w:pPr>
      <w:fldSimple w:instr=" SEQ level0 \*arabic ">
        <w:r w:rsidR="00887A59">
          <w:rPr>
            <w:noProof/>
          </w:rPr>
          <w:t>56</w:t>
        </w:r>
      </w:fldSimple>
      <w:r w:rsidR="002E7DD4">
        <w:t>.</w:t>
      </w:r>
      <w:r w:rsidR="009C4069">
        <w:t xml:space="preserve"> </w:t>
      </w:r>
      <w:r w:rsidR="002E7DD4">
        <w:t xml:space="preserve">Rząd podniósł, że nie było podstaw, by skarżący kierowali do Trybunału Konstytucyjnego skargę konstytucyjną. W ocenie Rządu bieg terminu sześciu miesięcy rozpoczął się po wydaniu przez Sąd Okręgowy wyroku </w:t>
      </w:r>
      <w:r w:rsidR="00773A7E">
        <w:t xml:space="preserve">z </w:t>
      </w:r>
      <w:r w:rsidR="002E7DD4">
        <w:t xml:space="preserve">14 maja 2013 r., co oznacza, że skarga wpłynęła do Trybunału </w:t>
      </w:r>
      <w:r w:rsidR="004410CC">
        <w:br/>
      </w:r>
      <w:r w:rsidR="002E7DD4">
        <w:t>z przekroczeniem terminu sześciu miesięcy.</w:t>
      </w:r>
    </w:p>
    <w:p w14:paraId="116CEB76" w14:textId="6D961542" w:rsidR="002E7DD4" w:rsidRPr="00F9089F" w:rsidRDefault="00000000" w:rsidP="00F9089F">
      <w:pPr>
        <w:pStyle w:val="JuPara"/>
        <w:rPr>
          <w:snapToGrid w:val="0"/>
        </w:rPr>
      </w:pPr>
      <w:fldSimple w:instr=" SEQ level0 \*arabic ">
        <w:r w:rsidR="00887A59">
          <w:rPr>
            <w:noProof/>
          </w:rPr>
          <w:t>57</w:t>
        </w:r>
      </w:fldSimple>
      <w:r w:rsidR="002E7DD4">
        <w:t>.</w:t>
      </w:r>
      <w:r w:rsidR="009C4069">
        <w:t xml:space="preserve"> </w:t>
      </w:r>
      <w:r w:rsidR="002E7DD4">
        <w:t>Skarżący podnieśli,</w:t>
      </w:r>
      <w:r w:rsidR="002E7DD4">
        <w:rPr>
          <w:snapToGrid w:val="0"/>
        </w:rPr>
        <w:t xml:space="preserve"> powołując się na wyrok </w:t>
      </w:r>
      <w:proofErr w:type="spellStart"/>
      <w:r w:rsidR="002E7DD4">
        <w:rPr>
          <w:i/>
          <w:snapToGrid w:val="0"/>
        </w:rPr>
        <w:t>Bajić</w:t>
      </w:r>
      <w:proofErr w:type="spellEnd"/>
      <w:r w:rsidR="002E7DD4">
        <w:rPr>
          <w:i/>
          <w:snapToGrid w:val="0"/>
        </w:rPr>
        <w:t xml:space="preserve"> p</w:t>
      </w:r>
      <w:r w:rsidR="004410CC">
        <w:rPr>
          <w:i/>
          <w:snapToGrid w:val="0"/>
        </w:rPr>
        <w:t>.</w:t>
      </w:r>
      <w:r w:rsidR="002E7DD4">
        <w:rPr>
          <w:i/>
          <w:snapToGrid w:val="0"/>
        </w:rPr>
        <w:t xml:space="preserve"> Chorwacji</w:t>
      </w:r>
      <w:r w:rsidR="002E7DD4">
        <w:rPr>
          <w:snapToGrid w:val="0"/>
        </w:rPr>
        <w:t xml:space="preserve"> (skarga nr</w:t>
      </w:r>
      <w:r w:rsidR="002E7DD4">
        <w:t> </w:t>
      </w:r>
      <w:r w:rsidR="002E7DD4">
        <w:rPr>
          <w:snapToGrid w:val="0"/>
        </w:rPr>
        <w:t xml:space="preserve">41108/10, 13 listopada 2012 r.), że nie może działać przeciwko nim fakt, iż </w:t>
      </w:r>
      <w:r w:rsidR="002E7DD4">
        <w:t xml:space="preserve">umożliwili Trybunałowi Konstytucyjnemu, jako najwyższemu trybunałowi w Chorwacji, ustosunkowanie się do skarg związanych </w:t>
      </w:r>
      <w:r w:rsidR="004410CC">
        <w:br/>
      </w:r>
      <w:r w:rsidR="002E7DD4">
        <w:t>z pozbawieniem życia ich krewnego.</w:t>
      </w:r>
    </w:p>
    <w:p w14:paraId="1A91B834" w14:textId="77777777" w:rsidR="002E7DD4" w:rsidRPr="00F9089F" w:rsidRDefault="002E7DD4" w:rsidP="00F9089F">
      <w:pPr>
        <w:pStyle w:val="JuH1"/>
      </w:pPr>
      <w:r>
        <w:t>Ocena Trybunału</w:t>
      </w:r>
    </w:p>
    <w:p w14:paraId="63546E6B" w14:textId="7B90625A" w:rsidR="002E7DD4" w:rsidRPr="00F9089F" w:rsidRDefault="00000000" w:rsidP="00F9089F">
      <w:pPr>
        <w:pStyle w:val="JuPara"/>
        <w:rPr>
          <w:snapToGrid w:val="0"/>
        </w:rPr>
      </w:pPr>
      <w:fldSimple w:instr=" SEQ level0 \*arabic ">
        <w:r w:rsidR="00887A59">
          <w:rPr>
            <w:noProof/>
          </w:rPr>
          <w:t>58</w:t>
        </w:r>
      </w:fldSimple>
      <w:r w:rsidR="002E7DD4">
        <w:t>.</w:t>
      </w:r>
      <w:r w:rsidR="009C4069">
        <w:t xml:space="preserve"> </w:t>
      </w:r>
      <w:r w:rsidR="002E7DD4">
        <w:t>Trybunał wielokrotnie rozpatrywał i oddalał podobne zastrzeżenia podnoszone przez Rząd w kwestii dotrzymania przez skarżących terminu sześciu miesięcy (zob. </w:t>
      </w:r>
      <w:r w:rsidR="00155F85">
        <w:t xml:space="preserve">np. </w:t>
      </w:r>
      <w:proofErr w:type="spellStart"/>
      <w:r w:rsidR="002E7DD4">
        <w:rPr>
          <w:i/>
          <w:iCs/>
        </w:rPr>
        <w:t>Bajić</w:t>
      </w:r>
      <w:proofErr w:type="spellEnd"/>
      <w:r w:rsidR="002E7DD4">
        <w:t>, cyt. pow</w:t>
      </w:r>
      <w:r w:rsidR="00155F85">
        <w:t>.</w:t>
      </w:r>
      <w:r w:rsidR="002E7DD4">
        <w:t>, § 65–69</w:t>
      </w:r>
      <w:r w:rsidR="00155F85">
        <w:t>,</w:t>
      </w:r>
      <w:r w:rsidR="002E7DD4">
        <w:t xml:space="preserve"> </w:t>
      </w:r>
      <w:proofErr w:type="spellStart"/>
      <w:r w:rsidR="002E7DD4">
        <w:rPr>
          <w:i/>
        </w:rPr>
        <w:t>Pavlović</w:t>
      </w:r>
      <w:proofErr w:type="spellEnd"/>
      <w:r w:rsidR="002E7DD4">
        <w:rPr>
          <w:i/>
        </w:rPr>
        <w:t xml:space="preserve"> i Inni p</w:t>
      </w:r>
      <w:r w:rsidR="00155F85">
        <w:rPr>
          <w:i/>
        </w:rPr>
        <w:t>.</w:t>
      </w:r>
      <w:r w:rsidR="002E7DD4">
        <w:rPr>
          <w:i/>
        </w:rPr>
        <w:t xml:space="preserve"> Chorwacji</w:t>
      </w:r>
      <w:r w:rsidR="002E7DD4">
        <w:t xml:space="preserve">, skarga nr 13274/11, § 27–39, 2 kwietnia 2015 r. oraz </w:t>
      </w:r>
      <w:proofErr w:type="spellStart"/>
      <w:r w:rsidR="002E7DD4">
        <w:rPr>
          <w:i/>
          <w:iCs/>
        </w:rPr>
        <w:t>Kušić</w:t>
      </w:r>
      <w:proofErr w:type="spellEnd"/>
      <w:r w:rsidR="002E7DD4">
        <w:rPr>
          <w:i/>
          <w:iCs/>
        </w:rPr>
        <w:t xml:space="preserve"> i Inni p</w:t>
      </w:r>
      <w:r w:rsidR="00155F85">
        <w:rPr>
          <w:i/>
          <w:iCs/>
        </w:rPr>
        <w:t>.</w:t>
      </w:r>
      <w:r w:rsidR="002E7DD4">
        <w:rPr>
          <w:i/>
          <w:iCs/>
        </w:rPr>
        <w:t xml:space="preserve"> Chorwacji</w:t>
      </w:r>
      <w:r w:rsidR="002E7DD4">
        <w:t xml:space="preserve"> (</w:t>
      </w:r>
      <w:proofErr w:type="spellStart"/>
      <w:r w:rsidR="002E7DD4">
        <w:t>dec</w:t>
      </w:r>
      <w:proofErr w:type="spellEnd"/>
      <w:r w:rsidR="002E7DD4">
        <w:t xml:space="preserve">.), skarga nr 71667/17, 10 grudnia 2019 r.). </w:t>
      </w:r>
      <w:r w:rsidR="002E7DD4">
        <w:rPr>
          <w:snapToGrid w:val="0"/>
        </w:rPr>
        <w:t>Nie dostrzega powodu, aby orzekać inaczej w niniejszej sprawie. Zastrzeżenie Rządu należy zatem oddalić.</w:t>
      </w:r>
    </w:p>
    <w:p w14:paraId="391CDC4F" w14:textId="6D1A21E9" w:rsidR="002E7DD4" w:rsidRPr="00F9089F" w:rsidRDefault="00000000" w:rsidP="00F9089F">
      <w:pPr>
        <w:pStyle w:val="JuPara"/>
      </w:pPr>
      <w:fldSimple w:instr=" SEQ level0 \*arabic ">
        <w:r w:rsidR="00887A59">
          <w:rPr>
            <w:noProof/>
          </w:rPr>
          <w:t>59</w:t>
        </w:r>
      </w:fldSimple>
      <w:r w:rsidR="002E7DD4">
        <w:t>.</w:t>
      </w:r>
      <w:r w:rsidR="009C4069">
        <w:t xml:space="preserve"> </w:t>
      </w:r>
      <w:r w:rsidR="002E7DD4">
        <w:t xml:space="preserve">Trybunał zauważa </w:t>
      </w:r>
      <w:r w:rsidR="00155F85">
        <w:t>także</w:t>
      </w:r>
      <w:r w:rsidR="002E7DD4">
        <w:t>, że skarga skarżących nie jest w sposób oczywisty nieuzasadniona w rozumieniu art. 35 ust. 3 lit. a Konwencji. Ponadto zauważa, że nie jest ona niedopuszczalna z jakichkolwiek innych względów. Należy ją zatem uznać za dopuszczalną.</w:t>
      </w:r>
    </w:p>
    <w:p w14:paraId="233C8995" w14:textId="1E93D45E" w:rsidR="002E7DD4" w:rsidRPr="00F9089F" w:rsidRDefault="008C3F6F" w:rsidP="00F9089F">
      <w:pPr>
        <w:pStyle w:val="JuHA"/>
      </w:pPr>
      <w:r>
        <w:t>Meritum</w:t>
      </w:r>
    </w:p>
    <w:p w14:paraId="6476EC86" w14:textId="77777777" w:rsidR="002E7DD4" w:rsidRPr="00F9089F" w:rsidRDefault="002E7DD4" w:rsidP="00F9089F">
      <w:pPr>
        <w:pStyle w:val="JuH1"/>
        <w:numPr>
          <w:ilvl w:val="3"/>
          <w:numId w:val="3"/>
        </w:numPr>
      </w:pPr>
      <w:r>
        <w:t>Stanowiska stron</w:t>
      </w:r>
    </w:p>
    <w:p w14:paraId="415CB0E3" w14:textId="77777777" w:rsidR="002E7DD4" w:rsidRPr="00F9089F" w:rsidRDefault="002E7DD4" w:rsidP="00F9089F">
      <w:pPr>
        <w:pStyle w:val="JuHa0"/>
      </w:pPr>
      <w:r>
        <w:t>Skarżący</w:t>
      </w:r>
    </w:p>
    <w:p w14:paraId="1BFAD700" w14:textId="42871F8D" w:rsidR="002E7DD4" w:rsidRPr="00F9089F" w:rsidRDefault="00000000" w:rsidP="00F9089F">
      <w:pPr>
        <w:pStyle w:val="JuPara"/>
      </w:pPr>
      <w:fldSimple w:instr=" SEQ level0 \*arabic ">
        <w:r w:rsidR="00887A59">
          <w:rPr>
            <w:noProof/>
          </w:rPr>
          <w:t>60</w:t>
        </w:r>
      </w:fldSimple>
      <w:r w:rsidR="002E7DD4">
        <w:t>.</w:t>
      </w:r>
      <w:r w:rsidR="009C4069">
        <w:t xml:space="preserve"> </w:t>
      </w:r>
      <w:r w:rsidR="002E7DD4">
        <w:t xml:space="preserve">Skarżący twierdzili, że państwo nie zareagowało w </w:t>
      </w:r>
      <w:r w:rsidR="00773A7E">
        <w:t xml:space="preserve">adekwatny </w:t>
      </w:r>
      <w:r w:rsidR="002E7DD4">
        <w:t>sposób na uporczywe bezprawne zachowanie D.</w:t>
      </w:r>
      <w:r w:rsidR="00BA0795">
        <w:t xml:space="preserve"> </w:t>
      </w:r>
      <w:r w:rsidR="002E7DD4">
        <w:t>M. oraz narusz</w:t>
      </w:r>
      <w:r w:rsidR="000C42DC">
        <w:t>a</w:t>
      </w:r>
      <w:r w:rsidR="002E7DD4">
        <w:t>ni</w:t>
      </w:r>
      <w:r w:rsidR="000C42DC">
        <w:t>e przez niego</w:t>
      </w:r>
      <w:r w:rsidR="002E7DD4">
        <w:t xml:space="preserve"> przepisów o bezpieczeństwie ruchu drogowego. W ocenie skarżących takie uchybienie po stronie państwa </w:t>
      </w:r>
      <w:r w:rsidR="008D3F0D">
        <w:t>było niezgodne</w:t>
      </w:r>
      <w:r w:rsidR="002E7DD4">
        <w:t xml:space="preserve"> z obowiązkami ciążącymi na nim na mocy art. 2, a więc obowiązkiem </w:t>
      </w:r>
      <w:r w:rsidR="008D3F0D">
        <w:t>zapobiegania</w:t>
      </w:r>
      <w:r w:rsidR="002E7DD4">
        <w:t xml:space="preserve"> zagrożeni</w:t>
      </w:r>
      <w:r w:rsidR="008D3F0D">
        <w:t>u</w:t>
      </w:r>
      <w:r w:rsidR="002E7DD4">
        <w:t xml:space="preserve"> dla ogółu społeczeństwa</w:t>
      </w:r>
      <w:r w:rsidR="008D3F0D">
        <w:t xml:space="preserve"> stworz</w:t>
      </w:r>
      <w:r w:rsidR="00CB087F">
        <w:t>o</w:t>
      </w:r>
      <w:r w:rsidR="008D3F0D">
        <w:t>nego</w:t>
      </w:r>
      <w:r w:rsidR="002E7DD4">
        <w:t xml:space="preserve"> powtarzającym się bezprawnym zachowaniem </w:t>
      </w:r>
      <w:r w:rsidR="002E7DD4">
        <w:lastRenderedPageBreak/>
        <w:t>D.</w:t>
      </w:r>
      <w:r w:rsidR="00FB40E8">
        <w:t xml:space="preserve"> </w:t>
      </w:r>
      <w:r w:rsidR="002E7DD4">
        <w:t>M. W związku z powyższym skarżący podn</w:t>
      </w:r>
      <w:r w:rsidR="008D3F0D">
        <w:t>ieśli</w:t>
      </w:r>
      <w:r w:rsidR="002E7DD4">
        <w:t>, że fakt, iż policja wielokrotnie identyfikowała D.</w:t>
      </w:r>
      <w:r w:rsidR="00BA0795">
        <w:t xml:space="preserve"> M</w:t>
      </w:r>
      <w:r w:rsidR="002E7DD4">
        <w:t xml:space="preserve">. jako sprawcę naruszeń przepisów </w:t>
      </w:r>
      <w:r w:rsidR="008D3F0D">
        <w:t xml:space="preserve">prawa </w:t>
      </w:r>
      <w:r w:rsidR="008D3F0D">
        <w:br/>
      </w:r>
      <w:r w:rsidR="002E7DD4">
        <w:t xml:space="preserve">o ruchu drogowym, ale nie skutkowało to podjęciem wobec niego żadnych konkretnych ani skutecznych działań, świadczył o niezdolności systemu krajowego do odpowiedniego </w:t>
      </w:r>
      <w:r w:rsidR="00FB40E8">
        <w:t>zajęcia się</w:t>
      </w:r>
      <w:r w:rsidR="002E7DD4">
        <w:t xml:space="preserve"> zagrożeni</w:t>
      </w:r>
      <w:r w:rsidR="00FB40E8">
        <w:t>em</w:t>
      </w:r>
      <w:r w:rsidR="002E7DD4">
        <w:t>, które stwarzał D.</w:t>
      </w:r>
      <w:r w:rsidR="00FB40E8">
        <w:t xml:space="preserve"> </w:t>
      </w:r>
      <w:r w:rsidR="002E7DD4">
        <w:t xml:space="preserve">M. Co więcej, postępowania w sprawach o wykroczenia toczące się </w:t>
      </w:r>
      <w:r w:rsidR="00FB40E8">
        <w:t xml:space="preserve">mniej więcej </w:t>
      </w:r>
      <w:r w:rsidR="002E7DD4">
        <w:t>w czasie, gdy D.</w:t>
      </w:r>
      <w:r w:rsidR="00FB40E8">
        <w:t xml:space="preserve"> </w:t>
      </w:r>
      <w:r w:rsidR="002E7DD4">
        <w:t xml:space="preserve">M. pozbawił życia </w:t>
      </w:r>
      <w:r w:rsidR="00CB087F">
        <w:t>ich</w:t>
      </w:r>
      <w:r w:rsidR="002E7DD4">
        <w:t xml:space="preserve"> krewnego, były przewlekłe </w:t>
      </w:r>
      <w:r w:rsidR="00FB40E8">
        <w:br/>
      </w:r>
      <w:r w:rsidR="002E7DD4">
        <w:t xml:space="preserve">i nieskuteczne, ponieważ sąd rozpoznający sprawę nie zastosował środka prewencyjnego w postaci zatrzymania </w:t>
      </w:r>
      <w:r w:rsidR="00FB40E8">
        <w:t xml:space="preserve">jego </w:t>
      </w:r>
      <w:r w:rsidR="002E7DD4">
        <w:t xml:space="preserve">prawa jazdy. Dla skarżących nie było </w:t>
      </w:r>
      <w:r w:rsidR="00417712">
        <w:t>również zrozumiałe</w:t>
      </w:r>
      <w:r w:rsidR="002E7DD4">
        <w:t>, dlaczego w rejestrze D.</w:t>
      </w:r>
      <w:r w:rsidR="00FB40E8">
        <w:t xml:space="preserve"> </w:t>
      </w:r>
      <w:r w:rsidR="002E7DD4">
        <w:t>M. nie widn</w:t>
      </w:r>
      <w:r w:rsidR="00417712">
        <w:t>iały poszczególne ukarania</w:t>
      </w:r>
      <w:r w:rsidR="002E7DD4">
        <w:t xml:space="preserve"> za wykroczenia z okresu między wrześniem 2009 r. </w:t>
      </w:r>
      <w:r w:rsidR="00417712">
        <w:br/>
      </w:r>
      <w:r w:rsidR="002E7DD4">
        <w:t xml:space="preserve">a październikiem 2010 r. W ocenie skarżących </w:t>
      </w:r>
      <w:r w:rsidR="00417712">
        <w:t xml:space="preserve">już tylko te </w:t>
      </w:r>
      <w:r w:rsidR="002E7DD4">
        <w:t xml:space="preserve">postępowania </w:t>
      </w:r>
      <w:r w:rsidR="00417712">
        <w:br/>
      </w:r>
      <w:r w:rsidR="002E7DD4">
        <w:t xml:space="preserve">w sprawach o wykroczenia były </w:t>
      </w:r>
      <w:r w:rsidR="00C95EDD">
        <w:t xml:space="preserve">jednym z </w:t>
      </w:r>
      <w:r w:rsidR="002E7DD4">
        <w:t xml:space="preserve">przykładów ilustrujących, że system krajowy nie był w stanie zapobiegać zagrożeniu dla bezpieczeństwa publicznego wynikającemu z powtarzającego się bezprawnego </w:t>
      </w:r>
      <w:r w:rsidR="00C95EDD">
        <w:br/>
      </w:r>
      <w:r w:rsidR="002E7DD4">
        <w:t>i niebezpiecznego zachowania D.</w:t>
      </w:r>
      <w:r w:rsidR="00C95EDD">
        <w:t xml:space="preserve"> </w:t>
      </w:r>
      <w:r w:rsidR="002E7DD4">
        <w:t>M. w ruchu drogowym.</w:t>
      </w:r>
    </w:p>
    <w:p w14:paraId="0116C903" w14:textId="75163E64" w:rsidR="002E7DD4" w:rsidRPr="00F9089F" w:rsidRDefault="00000000" w:rsidP="00F9089F">
      <w:pPr>
        <w:pStyle w:val="JuPara"/>
      </w:pPr>
      <w:fldSimple w:instr=" SEQ level0 \*arabic ">
        <w:r w:rsidR="00887A59">
          <w:rPr>
            <w:noProof/>
          </w:rPr>
          <w:t>61</w:t>
        </w:r>
      </w:fldSimple>
      <w:r w:rsidR="002E7DD4">
        <w:t>.</w:t>
      </w:r>
      <w:r w:rsidR="009C4069">
        <w:t xml:space="preserve"> </w:t>
      </w:r>
      <w:r w:rsidR="002E7DD4">
        <w:t xml:space="preserve">Skarżący podnosili również, że </w:t>
      </w:r>
      <w:r w:rsidR="00C95EDD">
        <w:t>śledztwo</w:t>
      </w:r>
      <w:r w:rsidR="002E7DD4">
        <w:t xml:space="preserve"> i postępowanie karne </w:t>
      </w:r>
      <w:r w:rsidR="00CB087F">
        <w:br/>
      </w:r>
      <w:r w:rsidR="002E7DD4">
        <w:t>w sprawie pozbawienia życia ich krewnego były nieskuteczne. W ich ocenie policja nie zgromadziła prawidłowo wszystkich dowodów, w szczególności tych dotyczących prędkości, z jaką poruszał się pojazd D.</w:t>
      </w:r>
      <w:r w:rsidR="00CB087F">
        <w:t xml:space="preserve"> </w:t>
      </w:r>
      <w:r w:rsidR="002E7DD4">
        <w:t>M., w chwili gdy uderzył w ich krewnego. Twierdzili też, że nie mieli rzeczywistej możliwości przedstawienia wszystkich dowodów i argumentów w postępowaniu karnym, a niektórym sędziom brakowało obiektywizmu. Ponadto zarzucali, że D.</w:t>
      </w:r>
      <w:r w:rsidR="00CB087F">
        <w:t xml:space="preserve"> </w:t>
      </w:r>
      <w:r w:rsidR="002E7DD4">
        <w:t xml:space="preserve">M. </w:t>
      </w:r>
      <w:r w:rsidR="00CB087F">
        <w:t xml:space="preserve">został potraktowany pobłażliwie, bez jakiegokolwiek uzasadnionego powodu, poprzez skazanie go na karę </w:t>
      </w:r>
      <w:r w:rsidR="002E7DD4">
        <w:t xml:space="preserve">pozbawienia wolności w wymiarze poniżej minimum przewidzianego </w:t>
      </w:r>
      <w:r w:rsidR="00CB087F">
        <w:t xml:space="preserve">odpowiednią ustawą </w:t>
      </w:r>
      <w:r w:rsidR="002E7DD4">
        <w:t>krajow</w:t>
      </w:r>
      <w:r w:rsidR="00CB087F">
        <w:t>ą</w:t>
      </w:r>
      <w:r w:rsidR="002E7DD4">
        <w:t xml:space="preserve">. </w:t>
      </w:r>
      <w:r w:rsidR="00A1379B">
        <w:t>Argumentowali</w:t>
      </w:r>
      <w:r w:rsidR="002E7DD4">
        <w:t xml:space="preserve"> też, że kara pozbawienia wolności </w:t>
      </w:r>
      <w:r w:rsidR="00A1379B">
        <w:t>wymierzona</w:t>
      </w:r>
      <w:r w:rsidR="002E7DD4">
        <w:t xml:space="preserve"> D.</w:t>
      </w:r>
      <w:r w:rsidR="00A1379B">
        <w:t xml:space="preserve"> </w:t>
      </w:r>
      <w:r w:rsidR="002E7DD4">
        <w:t xml:space="preserve">M. nie była </w:t>
      </w:r>
      <w:r w:rsidR="00A1379B">
        <w:t>egzekwowana</w:t>
      </w:r>
      <w:r w:rsidR="002E7DD4">
        <w:t xml:space="preserve"> w sposób odpowiedni i skuteczny.</w:t>
      </w:r>
    </w:p>
    <w:p w14:paraId="622A196E" w14:textId="77777777" w:rsidR="002E7DD4" w:rsidRPr="00F9089F" w:rsidRDefault="002E7DD4" w:rsidP="00F9089F">
      <w:pPr>
        <w:pStyle w:val="JuHa0"/>
      </w:pPr>
      <w:r>
        <w:t>Rząd</w:t>
      </w:r>
    </w:p>
    <w:p w14:paraId="041E8AA6" w14:textId="54D24002" w:rsidR="002E7DD4" w:rsidRPr="00F9089F" w:rsidRDefault="00000000" w:rsidP="00F9089F">
      <w:pPr>
        <w:pStyle w:val="JuPara"/>
      </w:pPr>
      <w:fldSimple w:instr=" SEQ level0 \*arabic ">
        <w:r w:rsidR="00887A59">
          <w:rPr>
            <w:noProof/>
          </w:rPr>
          <w:t>62</w:t>
        </w:r>
      </w:fldSimple>
      <w:r w:rsidR="002E7DD4">
        <w:t>.</w:t>
      </w:r>
      <w:r w:rsidR="009C4069">
        <w:t xml:space="preserve"> </w:t>
      </w:r>
      <w:r w:rsidR="002E7DD4">
        <w:t>Rząd stwierdził, że władze krajowe w odpowiedzi na bezprawne zachowanie D.</w:t>
      </w:r>
      <w:r w:rsidR="00BA0795">
        <w:t xml:space="preserve"> </w:t>
      </w:r>
      <w:r w:rsidR="002E7DD4">
        <w:t xml:space="preserve">M. działały w sposób staranny, </w:t>
      </w:r>
      <w:r w:rsidR="00675F23">
        <w:t>wszczynając</w:t>
      </w:r>
      <w:r w:rsidR="002E7DD4">
        <w:t xml:space="preserve"> odpowiednie </w:t>
      </w:r>
      <w:r w:rsidR="00675F23">
        <w:t>postępowania przeciwko niemu</w:t>
      </w:r>
      <w:r w:rsidR="002E7DD4">
        <w:t xml:space="preserve"> zgodnie z przepisami dotyczącymi wykroczeń. W ocenie Rządu nie doszło do żadnych uchybień w sposobie prowadzenia przez sądy ds. wykroczeń postępowań przeciwko D.</w:t>
      </w:r>
      <w:r w:rsidR="00675F23">
        <w:t xml:space="preserve"> </w:t>
      </w:r>
      <w:r w:rsidR="002E7DD4">
        <w:t xml:space="preserve">M. </w:t>
      </w:r>
      <w:r w:rsidR="00675F23">
        <w:br/>
      </w:r>
      <w:r w:rsidR="002E7DD4">
        <w:t>w sprawach o wykroczenia toczących się w czasie</w:t>
      </w:r>
      <w:r w:rsidR="00675F23">
        <w:t xml:space="preserve"> wypadku</w:t>
      </w:r>
      <w:r w:rsidR="002E7DD4">
        <w:t>, w którym zginął krewny skarżących. W szczególności w rejestrze wykroczeń ani w rejestrze karnym D.</w:t>
      </w:r>
      <w:r w:rsidR="00675F23">
        <w:t xml:space="preserve"> </w:t>
      </w:r>
      <w:r w:rsidR="002E7DD4">
        <w:t>M. nie było wówczas żadnych wpisów i nie było podstaw, aby zatrzymywać mu prawo jazdy. Nie można zatem twierdzić, że w ramach postępowa</w:t>
      </w:r>
      <w:r w:rsidR="0026025C">
        <w:t>ń</w:t>
      </w:r>
      <w:r w:rsidR="002E7DD4">
        <w:t xml:space="preserve"> w sprawie o wykroczenie powinny były zostać podjęte</w:t>
      </w:r>
      <w:r w:rsidR="0026025C">
        <w:t xml:space="preserve"> jakiekolwiek</w:t>
      </w:r>
      <w:r w:rsidR="002E7DD4">
        <w:t xml:space="preserve"> inne kroki,</w:t>
      </w:r>
      <w:r w:rsidR="0026025C">
        <w:t xml:space="preserve"> </w:t>
      </w:r>
      <w:r w:rsidR="002E7DD4">
        <w:t>by chronić prawo do życia krewnego skarżących. Rząd podkreślił też, że nie jest jasne, co innego państwo mogłoby zrobić, aby zapobiec spowodowaniu przez D.</w:t>
      </w:r>
      <w:r w:rsidR="0026025C">
        <w:t xml:space="preserve"> </w:t>
      </w:r>
      <w:r w:rsidR="002E7DD4">
        <w:t>M. wypadku drogowego i pozbawieni</w:t>
      </w:r>
      <w:r w:rsidR="00BA0795">
        <w:t>u</w:t>
      </w:r>
      <w:r w:rsidR="002E7DD4">
        <w:t xml:space="preserve"> </w:t>
      </w:r>
      <w:r w:rsidR="002E7DD4">
        <w:lastRenderedPageBreak/>
        <w:t xml:space="preserve">życia krewnego skarżących, poza </w:t>
      </w:r>
      <w:r w:rsidR="0026025C">
        <w:t>wszczęciem</w:t>
      </w:r>
      <w:r w:rsidR="002E7DD4">
        <w:t xml:space="preserve"> różn</w:t>
      </w:r>
      <w:r w:rsidR="0026025C">
        <w:t>ych</w:t>
      </w:r>
      <w:r w:rsidR="002E7DD4">
        <w:t xml:space="preserve"> postępowań </w:t>
      </w:r>
      <w:r w:rsidR="0026025C">
        <w:br/>
      </w:r>
      <w:r w:rsidR="002E7DD4">
        <w:t xml:space="preserve">w sprawach o wykroczenia przeciwko </w:t>
      </w:r>
      <w:r w:rsidR="0026025C">
        <w:t>niemu</w:t>
      </w:r>
      <w:r w:rsidR="002E7DD4">
        <w:t>.</w:t>
      </w:r>
    </w:p>
    <w:p w14:paraId="22B9C0A6" w14:textId="20EE7A20" w:rsidR="002E7DD4" w:rsidRPr="00F9089F" w:rsidRDefault="00000000" w:rsidP="00F9089F">
      <w:pPr>
        <w:pStyle w:val="JuPara"/>
      </w:pPr>
      <w:fldSimple w:instr=" SEQ level0 \*arabic ">
        <w:r w:rsidR="00887A59">
          <w:rPr>
            <w:noProof/>
          </w:rPr>
          <w:t>63</w:t>
        </w:r>
      </w:fldSimple>
      <w:r w:rsidR="002E7DD4">
        <w:t>.</w:t>
      </w:r>
      <w:r w:rsidR="009C4069">
        <w:t xml:space="preserve"> </w:t>
      </w:r>
      <w:r w:rsidR="002E7DD4">
        <w:t xml:space="preserve">Rząd podniósł ponadto, że obowiązek proceduralny stanowi wymóg dotyczący środków, a nie rezultatów. W jego ocenie postępowanie w sprawie pozbawienia życia krewnego skarżących było niezwłoczne, dokładne </w:t>
      </w:r>
      <w:r w:rsidR="0026025C">
        <w:br/>
      </w:r>
      <w:r w:rsidR="002E7DD4">
        <w:t xml:space="preserve">i skuteczne. Skarżący mieli możliwość </w:t>
      </w:r>
      <w:r w:rsidR="0026025C">
        <w:t>skutecznego</w:t>
      </w:r>
      <w:r w:rsidR="002E7DD4">
        <w:t xml:space="preserve"> uczestnic</w:t>
      </w:r>
      <w:r w:rsidR="0026025C">
        <w:t>zenia</w:t>
      </w:r>
      <w:r w:rsidR="002E7DD4">
        <w:t xml:space="preserve"> </w:t>
      </w:r>
      <w:r w:rsidR="0026025C">
        <w:br/>
      </w:r>
      <w:r w:rsidR="002E7DD4">
        <w:t xml:space="preserve">w postępowaniu, a w działaniach i decyzjach organów krajowych nie było nic arbitralnego ani w sposób oczywisty bezzasadnego. </w:t>
      </w:r>
      <w:r w:rsidR="00A43AE0">
        <w:t xml:space="preserve">W tym względzie </w:t>
      </w:r>
      <w:r w:rsidR="002E7DD4">
        <w:t>Rząd podn</w:t>
      </w:r>
      <w:r w:rsidR="00A43AE0">
        <w:t>iósł</w:t>
      </w:r>
      <w:r w:rsidR="002E7DD4">
        <w:t xml:space="preserve">, że </w:t>
      </w:r>
      <w:r w:rsidR="00A43AE0">
        <w:t>właściwe</w:t>
      </w:r>
      <w:r w:rsidR="002E7DD4">
        <w:t xml:space="preserve"> sądy przedstawiły wystarczające uzasadnienie wymierzenia D.</w:t>
      </w:r>
      <w:r w:rsidR="00A43AE0">
        <w:t xml:space="preserve"> </w:t>
      </w:r>
      <w:r w:rsidR="002E7DD4">
        <w:t xml:space="preserve">M. kary w wymiarze poniżej </w:t>
      </w:r>
      <w:r w:rsidR="00A43AE0">
        <w:t xml:space="preserve">przewidzianego </w:t>
      </w:r>
      <w:r w:rsidR="002E7DD4">
        <w:t>minim</w:t>
      </w:r>
      <w:r w:rsidR="00A43AE0">
        <w:t>um</w:t>
      </w:r>
      <w:r w:rsidR="002E7DD4">
        <w:t>. Rząd podkreślił też, że D.</w:t>
      </w:r>
      <w:r w:rsidR="00A43AE0">
        <w:t xml:space="preserve"> </w:t>
      </w:r>
      <w:r w:rsidR="002E7DD4">
        <w:t>M. rozpoczął odbywanie kary pozbawienia wolności</w:t>
      </w:r>
      <w:r w:rsidR="00A43AE0">
        <w:t xml:space="preserve"> w następstwie </w:t>
      </w:r>
      <w:r w:rsidR="002E7DD4">
        <w:t>wszczęt</w:t>
      </w:r>
      <w:r w:rsidR="00A43AE0">
        <w:t>ego</w:t>
      </w:r>
      <w:r w:rsidR="002E7DD4">
        <w:t xml:space="preserve"> przeciwko niemu postępowani</w:t>
      </w:r>
      <w:r w:rsidR="00A43AE0">
        <w:t>a</w:t>
      </w:r>
      <w:r w:rsidR="002E7DD4">
        <w:t xml:space="preserve"> karne</w:t>
      </w:r>
      <w:r w:rsidR="00A43AE0">
        <w:t>go</w:t>
      </w:r>
      <w:r w:rsidR="002E7DD4">
        <w:t>, a jego prawo jazdy zostało zatrzymane.</w:t>
      </w:r>
    </w:p>
    <w:p w14:paraId="4B205893" w14:textId="77777777" w:rsidR="002E7DD4" w:rsidRPr="00F9089F" w:rsidRDefault="002E7DD4" w:rsidP="00F9089F">
      <w:pPr>
        <w:pStyle w:val="JuH1"/>
      </w:pPr>
      <w:r>
        <w:t>Ocena Trybunału</w:t>
      </w:r>
    </w:p>
    <w:p w14:paraId="32F2E90D" w14:textId="77777777" w:rsidR="002E7DD4" w:rsidRPr="00F9089F" w:rsidRDefault="002E7DD4" w:rsidP="00F9089F">
      <w:pPr>
        <w:pStyle w:val="JuHa0"/>
      </w:pPr>
      <w:r>
        <w:t>Aspekt materialny art. 2</w:t>
      </w:r>
    </w:p>
    <w:p w14:paraId="2BE375E9" w14:textId="77777777" w:rsidR="002E7DD4" w:rsidRPr="00F9089F" w:rsidRDefault="002E7DD4" w:rsidP="00F9089F">
      <w:pPr>
        <w:pStyle w:val="JuHi"/>
        <w:ind w:left="767"/>
        <w:rPr>
          <w:rFonts w:eastAsia="Times New Roman"/>
        </w:rPr>
      </w:pPr>
      <w:r>
        <w:t>Zasady ogólne</w:t>
      </w:r>
    </w:p>
    <w:p w14:paraId="502F2B7C" w14:textId="24DA577F" w:rsidR="002E7DD4" w:rsidRPr="00F9089F" w:rsidRDefault="002E7DD4" w:rsidP="00F9089F">
      <w:pPr>
        <w:pStyle w:val="JuPara"/>
        <w:rPr>
          <w:rFonts w:eastAsia="Times New Roman"/>
        </w:rPr>
      </w:pPr>
      <w:r w:rsidRPr="00F9089F">
        <w:rPr>
          <w:rFonts w:eastAsia="Times New Roman"/>
        </w:rPr>
        <w:fldChar w:fldCharType="begin"/>
      </w:r>
      <w:r w:rsidRPr="00F9089F">
        <w:rPr>
          <w:rFonts w:eastAsia="Times New Roman"/>
        </w:rPr>
        <w:instrText xml:space="preserve"> SEQ level0 \*arabic </w:instrText>
      </w:r>
      <w:r w:rsidRPr="00F9089F">
        <w:rPr>
          <w:rFonts w:eastAsia="Times New Roman"/>
        </w:rPr>
        <w:fldChar w:fldCharType="separate"/>
      </w:r>
      <w:r w:rsidR="00887A59">
        <w:rPr>
          <w:rFonts w:eastAsia="Times New Roman"/>
          <w:noProof/>
        </w:rPr>
        <w:t>64</w:t>
      </w:r>
      <w:r w:rsidRPr="00F9089F">
        <w:rPr>
          <w:rFonts w:eastAsia="Times New Roman"/>
        </w:rPr>
        <w:fldChar w:fldCharType="end"/>
      </w:r>
      <w:r>
        <w:t>.</w:t>
      </w:r>
      <w:r w:rsidR="009C4069">
        <w:t xml:space="preserve"> </w:t>
      </w:r>
      <w:r>
        <w:t xml:space="preserve">Artykuł 2 stanowi jedno z najbardziej fundamentalnych postanowień Konwencji i zawiera przy tym jedną z podstawowych wartości </w:t>
      </w:r>
      <w:r w:rsidR="00DF4CF9">
        <w:t xml:space="preserve">społeczeństw </w:t>
      </w:r>
      <w:r>
        <w:t xml:space="preserve">demokratycznych tworzących Radę Europy. </w:t>
      </w:r>
      <w:r w:rsidR="00DF4CF9">
        <w:t>Wymaga on od</w:t>
      </w:r>
      <w:r>
        <w:t xml:space="preserve"> państw</w:t>
      </w:r>
      <w:r w:rsidR="00DF4CF9">
        <w:t>a</w:t>
      </w:r>
      <w:r>
        <w:t xml:space="preserve"> nie tylko </w:t>
      </w:r>
      <w:r w:rsidR="00DF4CF9">
        <w:t>po</w:t>
      </w:r>
      <w:r>
        <w:t>wstrzy</w:t>
      </w:r>
      <w:r w:rsidR="00DF4CF9">
        <w:t>mania</w:t>
      </w:r>
      <w:r>
        <w:t xml:space="preserve"> się od „umyślnego” </w:t>
      </w:r>
      <w:r w:rsidR="00DF4CF9">
        <w:t>odbierania</w:t>
      </w:r>
      <w:r>
        <w:t xml:space="preserve"> życia, ale </w:t>
      </w:r>
      <w:r w:rsidR="00DF4CF9">
        <w:t>także</w:t>
      </w:r>
      <w:r>
        <w:t xml:space="preserve"> podejmowa</w:t>
      </w:r>
      <w:r w:rsidR="00DF4CF9">
        <w:t>nia</w:t>
      </w:r>
      <w:r>
        <w:t xml:space="preserve"> odpowiedni</w:t>
      </w:r>
      <w:r w:rsidR="00DF4CF9">
        <w:t>ch kroków w celu</w:t>
      </w:r>
      <w:r>
        <w:t xml:space="preserve"> </w:t>
      </w:r>
      <w:r w:rsidR="00DF4CF9">
        <w:t>o</w:t>
      </w:r>
      <w:r>
        <w:t>chron</w:t>
      </w:r>
      <w:r w:rsidR="00DF4CF9">
        <w:t>y</w:t>
      </w:r>
      <w:r>
        <w:t xml:space="preserve"> życi</w:t>
      </w:r>
      <w:r w:rsidR="00DF4CF9">
        <w:t>a</w:t>
      </w:r>
      <w:r>
        <w:t xml:space="preserve"> osób </w:t>
      </w:r>
      <w:r w:rsidR="00734877">
        <w:t>podlegających</w:t>
      </w:r>
      <w:r>
        <w:t xml:space="preserve"> jego jurysdykcji (zob.</w:t>
      </w:r>
      <w:r>
        <w:rPr>
          <w:i/>
        </w:rPr>
        <w:t xml:space="preserve"> L.C.B. p</w:t>
      </w:r>
      <w:r w:rsidR="00734877">
        <w:rPr>
          <w:i/>
        </w:rPr>
        <w:t>.</w:t>
      </w:r>
      <w:r>
        <w:rPr>
          <w:i/>
        </w:rPr>
        <w:t xml:space="preserve"> Zjednoczonemu Królestwu, 9 czerwca 1998 r., § 36, Zbiór 1998-III</w:t>
      </w:r>
      <w:r w:rsidR="00734877">
        <w:rPr>
          <w:i/>
        </w:rPr>
        <w:t>,</w:t>
      </w:r>
      <w:r>
        <w:rPr>
          <w:i/>
        </w:rPr>
        <w:t xml:space="preserve"> </w:t>
      </w:r>
      <w:proofErr w:type="spellStart"/>
      <w:r>
        <w:rPr>
          <w:i/>
        </w:rPr>
        <w:t>Calvelli</w:t>
      </w:r>
      <w:proofErr w:type="spellEnd"/>
      <w:r>
        <w:rPr>
          <w:i/>
        </w:rPr>
        <w:t xml:space="preserve"> i </w:t>
      </w:r>
      <w:proofErr w:type="spellStart"/>
      <w:r>
        <w:rPr>
          <w:i/>
        </w:rPr>
        <w:t>Ciglio</w:t>
      </w:r>
      <w:proofErr w:type="spellEnd"/>
      <w:r>
        <w:rPr>
          <w:i/>
        </w:rPr>
        <w:t xml:space="preserve"> p</w:t>
      </w:r>
      <w:r w:rsidR="00734877">
        <w:rPr>
          <w:i/>
        </w:rPr>
        <w:t>.</w:t>
      </w:r>
      <w:r>
        <w:rPr>
          <w:i/>
        </w:rPr>
        <w:t xml:space="preserve"> Włochom [WI], skarga nr 32967/96, § 48, ETPC 2002</w:t>
      </w:r>
      <w:r>
        <w:rPr>
          <w:i/>
        </w:rPr>
        <w:noBreakHyphen/>
        <w:t xml:space="preserve">I, a także </w:t>
      </w:r>
      <w:proofErr w:type="spellStart"/>
      <w:r>
        <w:rPr>
          <w:i/>
        </w:rPr>
        <w:t>Fernandes</w:t>
      </w:r>
      <w:proofErr w:type="spellEnd"/>
      <w:r>
        <w:rPr>
          <w:i/>
        </w:rPr>
        <w:t xml:space="preserve"> de Oliveira p</w:t>
      </w:r>
      <w:r w:rsidR="00734877">
        <w:rPr>
          <w:i/>
        </w:rPr>
        <w:t>.</w:t>
      </w:r>
      <w:r>
        <w:rPr>
          <w:i/>
        </w:rPr>
        <w:t xml:space="preserve"> Portugalii </w:t>
      </w:r>
      <w:r>
        <w:t xml:space="preserve">[WI], skarga nr 78103/14, § 104, 31 stycznia 2019 r.). W tym kontekście brak </w:t>
      </w:r>
      <w:r w:rsidR="00734877">
        <w:t xml:space="preserve">jakiejkolwiek </w:t>
      </w:r>
      <w:r>
        <w:t>bezpośredniej odpowiedzialności państwa za śmierć osoby lub narażenie jej życia na niebezpieczeństwa nie wyklucza możliwości zastosowania art. 2 (zob. </w:t>
      </w:r>
      <w:proofErr w:type="spellStart"/>
      <w:r>
        <w:rPr>
          <w:i/>
          <w:szCs w:val="22"/>
        </w:rPr>
        <w:t>Cavit</w:t>
      </w:r>
      <w:proofErr w:type="spellEnd"/>
      <w:r>
        <w:rPr>
          <w:i/>
          <w:szCs w:val="22"/>
        </w:rPr>
        <w:t xml:space="preserve"> </w:t>
      </w:r>
      <w:proofErr w:type="spellStart"/>
      <w:r>
        <w:rPr>
          <w:i/>
          <w:szCs w:val="22"/>
        </w:rPr>
        <w:t>Tınarlıoğlu</w:t>
      </w:r>
      <w:proofErr w:type="spellEnd"/>
      <w:r>
        <w:rPr>
          <w:i/>
          <w:szCs w:val="22"/>
        </w:rPr>
        <w:t xml:space="preserve"> p</w:t>
      </w:r>
      <w:r w:rsidR="00734877">
        <w:rPr>
          <w:i/>
          <w:szCs w:val="22"/>
        </w:rPr>
        <w:t>.</w:t>
      </w:r>
      <w:r>
        <w:rPr>
          <w:i/>
          <w:szCs w:val="22"/>
        </w:rPr>
        <w:t xml:space="preserve"> Turcji</w:t>
      </w:r>
      <w:r>
        <w:t>, skarga nr 3648/04</w:t>
      </w:r>
      <w:r>
        <w:rPr>
          <w:snapToGrid w:val="0"/>
          <w:szCs w:val="22"/>
        </w:rPr>
        <w:t xml:space="preserve">, § 61, </w:t>
      </w:r>
      <w:r>
        <w:t>2 lutego</w:t>
      </w:r>
      <w:r w:rsidR="009C4069">
        <w:t xml:space="preserve"> </w:t>
      </w:r>
      <w:r>
        <w:rPr>
          <w:snapToGrid w:val="0"/>
          <w:szCs w:val="22"/>
        </w:rPr>
        <w:t>2016 r.).</w:t>
      </w:r>
    </w:p>
    <w:p w14:paraId="3CA40498" w14:textId="59D54CE3" w:rsidR="002E7DD4" w:rsidRPr="00F9089F" w:rsidRDefault="002E7DD4" w:rsidP="00F9089F">
      <w:pPr>
        <w:pStyle w:val="JuPara"/>
        <w:rPr>
          <w:rFonts w:eastAsia="Times New Roman"/>
        </w:rPr>
      </w:pPr>
      <w:r w:rsidRPr="00F9089F">
        <w:rPr>
          <w:rFonts w:eastAsia="Times New Roman"/>
        </w:rPr>
        <w:fldChar w:fldCharType="begin"/>
      </w:r>
      <w:r w:rsidRPr="00F9089F">
        <w:rPr>
          <w:rFonts w:eastAsia="Times New Roman"/>
        </w:rPr>
        <w:instrText xml:space="preserve"> SEQ level0 \*arabic </w:instrText>
      </w:r>
      <w:r w:rsidRPr="00F9089F">
        <w:rPr>
          <w:rFonts w:eastAsia="Times New Roman"/>
        </w:rPr>
        <w:fldChar w:fldCharType="separate"/>
      </w:r>
      <w:r w:rsidR="00887A59">
        <w:rPr>
          <w:rFonts w:eastAsia="Times New Roman"/>
          <w:noProof/>
        </w:rPr>
        <w:t>65</w:t>
      </w:r>
      <w:r w:rsidRPr="00F9089F">
        <w:rPr>
          <w:rFonts w:eastAsia="Times New Roman"/>
        </w:rPr>
        <w:fldChar w:fldCharType="end"/>
      </w:r>
      <w:r>
        <w:t>.</w:t>
      </w:r>
      <w:r w:rsidR="009C4069">
        <w:t xml:space="preserve"> </w:t>
      </w:r>
      <w:r>
        <w:t>Na temat zakresu i charakteru obowiązków władz krajowych wynikających z art. 2 w kontekście ruchu drogowego Trybunał wypowi</w:t>
      </w:r>
      <w:r w:rsidR="00734877">
        <w:t>edział</w:t>
      </w:r>
      <w:r>
        <w:t xml:space="preserve"> się ostatnio w sprawie </w:t>
      </w:r>
      <w:proofErr w:type="spellStart"/>
      <w:r>
        <w:rPr>
          <w:i/>
          <w:iCs/>
        </w:rPr>
        <w:t>Nicolae</w:t>
      </w:r>
      <w:proofErr w:type="spellEnd"/>
      <w:r>
        <w:rPr>
          <w:i/>
          <w:iCs/>
        </w:rPr>
        <w:t xml:space="preserve"> </w:t>
      </w:r>
      <w:proofErr w:type="spellStart"/>
      <w:r>
        <w:rPr>
          <w:i/>
          <w:iCs/>
        </w:rPr>
        <w:t>Virgiliu</w:t>
      </w:r>
      <w:proofErr w:type="spellEnd"/>
      <w:r>
        <w:rPr>
          <w:i/>
          <w:iCs/>
        </w:rPr>
        <w:t xml:space="preserve"> </w:t>
      </w:r>
      <w:proofErr w:type="spellStart"/>
      <w:r>
        <w:rPr>
          <w:i/>
          <w:iCs/>
        </w:rPr>
        <w:t>Tănase</w:t>
      </w:r>
      <w:proofErr w:type="spellEnd"/>
      <w:r>
        <w:rPr>
          <w:i/>
          <w:iCs/>
        </w:rPr>
        <w:t xml:space="preserve"> p</w:t>
      </w:r>
      <w:r w:rsidR="00734877">
        <w:rPr>
          <w:i/>
          <w:iCs/>
        </w:rPr>
        <w:t>.</w:t>
      </w:r>
      <w:r>
        <w:rPr>
          <w:i/>
          <w:iCs/>
        </w:rPr>
        <w:t xml:space="preserve"> Rumunii</w:t>
      </w:r>
      <w:r>
        <w:t xml:space="preserve"> ([WI], skarga nr 41720/13, 25 czerwca 2019 r.). Wyjaśnił w szczególności, jak ważne jest wprowadzenie ram prawnych i administracyjnych zapewniających skuteczne </w:t>
      </w:r>
      <w:r w:rsidR="000C42DC">
        <w:t xml:space="preserve">zniechęcanie do stwarzania </w:t>
      </w:r>
      <w:r>
        <w:t xml:space="preserve">zagrożenia dla prawa do życia (ibid., § 135). </w:t>
      </w:r>
      <w:r w:rsidR="00734877">
        <w:br/>
      </w:r>
      <w:r>
        <w:t xml:space="preserve">W </w:t>
      </w:r>
      <w:r w:rsidR="00CB687D">
        <w:t>t</w:t>
      </w:r>
      <w:r>
        <w:t>ym</w:t>
      </w:r>
      <w:r w:rsidR="00CB687D">
        <w:t xml:space="preserve"> względzie</w:t>
      </w:r>
      <w:r>
        <w:t xml:space="preserve"> należy dodatkowo podkreślić, że w świetle faktu, iż przedmiot i cel Konwencji wymagają interpretowania i stosowania jej postanowień w sposób zapewni</w:t>
      </w:r>
      <w:r w:rsidR="00CB687D">
        <w:t>ający</w:t>
      </w:r>
      <w:r>
        <w:t xml:space="preserve">, </w:t>
      </w:r>
      <w:r w:rsidR="00CB687D">
        <w:t>że</w:t>
      </w:r>
      <w:r>
        <w:t xml:space="preserve"> jej gwarancje </w:t>
      </w:r>
      <w:r w:rsidR="00CB687D">
        <w:t>będą</w:t>
      </w:r>
      <w:r>
        <w:t xml:space="preserve"> praktyczne </w:t>
      </w:r>
      <w:r w:rsidR="00CB687D">
        <w:br/>
      </w:r>
      <w:r>
        <w:t>i skuteczne (zob. m</w:t>
      </w:r>
      <w:r w:rsidR="00CB687D">
        <w:t>.</w:t>
      </w:r>
      <w:r>
        <w:t xml:space="preserve"> in</w:t>
      </w:r>
      <w:r w:rsidR="00CB687D">
        <w:t>.</w:t>
      </w:r>
      <w:r>
        <w:t xml:space="preserve"> </w:t>
      </w:r>
      <w:proofErr w:type="spellStart"/>
      <w:r>
        <w:rPr>
          <w:i/>
          <w:iCs/>
        </w:rPr>
        <w:t>Öneryıldız</w:t>
      </w:r>
      <w:proofErr w:type="spellEnd"/>
      <w:r>
        <w:rPr>
          <w:i/>
          <w:iCs/>
        </w:rPr>
        <w:t xml:space="preserve"> p</w:t>
      </w:r>
      <w:r w:rsidR="00CB687D">
        <w:rPr>
          <w:i/>
          <w:iCs/>
        </w:rPr>
        <w:t>.</w:t>
      </w:r>
      <w:r>
        <w:rPr>
          <w:i/>
          <w:iCs/>
        </w:rPr>
        <w:t xml:space="preserve"> Turcji</w:t>
      </w:r>
      <w:r>
        <w:t xml:space="preserve"> [WI], skarga nr 48939/99, § 69, ETPC 2004-XII), z art. 2 wynika wymóg, aby władze krajowe zapewniły skuteczne funkcjonowanie właściwych ram prawnych dotyczących bezpieczeństwa ruchu drogowego (zob. </w:t>
      </w:r>
      <w:proofErr w:type="spellStart"/>
      <w:r>
        <w:rPr>
          <w:i/>
          <w:iCs/>
        </w:rPr>
        <w:t>Fatih</w:t>
      </w:r>
      <w:proofErr w:type="spellEnd"/>
      <w:r>
        <w:rPr>
          <w:i/>
          <w:iCs/>
        </w:rPr>
        <w:t xml:space="preserve"> </w:t>
      </w:r>
      <w:proofErr w:type="spellStart"/>
      <w:r>
        <w:rPr>
          <w:i/>
          <w:iCs/>
        </w:rPr>
        <w:t>Çakır</w:t>
      </w:r>
      <w:proofErr w:type="spellEnd"/>
      <w:r>
        <w:rPr>
          <w:i/>
          <w:iCs/>
        </w:rPr>
        <w:t xml:space="preserve"> i </w:t>
      </w:r>
      <w:proofErr w:type="spellStart"/>
      <w:r>
        <w:rPr>
          <w:i/>
          <w:iCs/>
        </w:rPr>
        <w:t>Merve</w:t>
      </w:r>
      <w:proofErr w:type="spellEnd"/>
      <w:r>
        <w:rPr>
          <w:i/>
          <w:iCs/>
        </w:rPr>
        <w:t xml:space="preserve"> </w:t>
      </w:r>
      <w:proofErr w:type="spellStart"/>
      <w:r>
        <w:rPr>
          <w:i/>
          <w:iCs/>
        </w:rPr>
        <w:t>Nisa</w:t>
      </w:r>
      <w:proofErr w:type="spellEnd"/>
      <w:r>
        <w:rPr>
          <w:i/>
          <w:iCs/>
        </w:rPr>
        <w:t xml:space="preserve"> </w:t>
      </w:r>
      <w:proofErr w:type="spellStart"/>
      <w:r>
        <w:rPr>
          <w:i/>
          <w:iCs/>
        </w:rPr>
        <w:t>Çakır</w:t>
      </w:r>
      <w:proofErr w:type="spellEnd"/>
      <w:r>
        <w:rPr>
          <w:i/>
          <w:iCs/>
        </w:rPr>
        <w:t xml:space="preserve"> p</w:t>
      </w:r>
      <w:r w:rsidR="00CB687D">
        <w:rPr>
          <w:i/>
          <w:iCs/>
        </w:rPr>
        <w:t>.</w:t>
      </w:r>
      <w:r>
        <w:rPr>
          <w:i/>
          <w:iCs/>
        </w:rPr>
        <w:t xml:space="preserve"> </w:t>
      </w:r>
      <w:r>
        <w:rPr>
          <w:i/>
          <w:iCs/>
        </w:rPr>
        <w:lastRenderedPageBreak/>
        <w:t>Turcji</w:t>
      </w:r>
      <w:r>
        <w:t xml:space="preserve">, skarga nr 54558/11, § 40, 5 czerwca 2018 r., a także </w:t>
      </w:r>
      <w:proofErr w:type="spellStart"/>
      <w:r>
        <w:rPr>
          <w:i/>
        </w:rPr>
        <w:t>Marius</w:t>
      </w:r>
      <w:proofErr w:type="spellEnd"/>
      <w:r>
        <w:rPr>
          <w:i/>
        </w:rPr>
        <w:t xml:space="preserve"> </w:t>
      </w:r>
      <w:proofErr w:type="spellStart"/>
      <w:r>
        <w:rPr>
          <w:i/>
        </w:rPr>
        <w:t>Alexandru</w:t>
      </w:r>
      <w:proofErr w:type="spellEnd"/>
      <w:r>
        <w:rPr>
          <w:i/>
        </w:rPr>
        <w:t xml:space="preserve"> i </w:t>
      </w:r>
      <w:proofErr w:type="spellStart"/>
      <w:r>
        <w:rPr>
          <w:i/>
        </w:rPr>
        <w:t>Marinela</w:t>
      </w:r>
      <w:proofErr w:type="spellEnd"/>
      <w:r>
        <w:rPr>
          <w:i/>
        </w:rPr>
        <w:t xml:space="preserve"> </w:t>
      </w:r>
      <w:proofErr w:type="spellStart"/>
      <w:r>
        <w:rPr>
          <w:i/>
        </w:rPr>
        <w:t>Ștefan</w:t>
      </w:r>
      <w:proofErr w:type="spellEnd"/>
      <w:r>
        <w:rPr>
          <w:i/>
        </w:rPr>
        <w:t xml:space="preserve"> p</w:t>
      </w:r>
      <w:r w:rsidR="00CB687D">
        <w:rPr>
          <w:i/>
        </w:rPr>
        <w:t>.</w:t>
      </w:r>
      <w:r>
        <w:rPr>
          <w:i/>
        </w:rPr>
        <w:t xml:space="preserve"> Rumunii</w:t>
      </w:r>
      <w:r>
        <w:t>, skarga nr 78643/11, § 99, 24 marca 2020 r.).</w:t>
      </w:r>
    </w:p>
    <w:p w14:paraId="7B511F2B" w14:textId="03D472A0" w:rsidR="002E7DD4" w:rsidRPr="00F9089F" w:rsidRDefault="002E7DD4" w:rsidP="00F9089F">
      <w:pPr>
        <w:pStyle w:val="JuPara"/>
        <w:rPr>
          <w:rFonts w:eastAsia="Times New Roman"/>
        </w:rPr>
      </w:pPr>
      <w:r w:rsidRPr="00F9089F">
        <w:rPr>
          <w:rFonts w:eastAsia="Times New Roman"/>
        </w:rPr>
        <w:fldChar w:fldCharType="begin"/>
      </w:r>
      <w:r w:rsidRPr="00F9089F">
        <w:rPr>
          <w:rFonts w:eastAsia="Times New Roman"/>
        </w:rPr>
        <w:instrText xml:space="preserve"> SEQ level0 \*arabic </w:instrText>
      </w:r>
      <w:r w:rsidRPr="00F9089F">
        <w:rPr>
          <w:rFonts w:eastAsia="Times New Roman"/>
        </w:rPr>
        <w:fldChar w:fldCharType="separate"/>
      </w:r>
      <w:r w:rsidR="00887A59">
        <w:rPr>
          <w:rFonts w:eastAsia="Times New Roman"/>
          <w:noProof/>
        </w:rPr>
        <w:t>66</w:t>
      </w:r>
      <w:r w:rsidRPr="00F9089F">
        <w:rPr>
          <w:rFonts w:eastAsia="Times New Roman"/>
        </w:rPr>
        <w:fldChar w:fldCharType="end"/>
      </w:r>
      <w:r>
        <w:t>.</w:t>
      </w:r>
      <w:r w:rsidR="009C4069">
        <w:t xml:space="preserve"> </w:t>
      </w:r>
      <w:r>
        <w:t xml:space="preserve">Trybunał zajmował </w:t>
      </w:r>
      <w:r w:rsidR="001004DF">
        <w:t xml:space="preserve">się </w:t>
      </w:r>
      <w:r>
        <w:t xml:space="preserve">już </w:t>
      </w:r>
      <w:r w:rsidR="001004DF">
        <w:t>kwestią</w:t>
      </w:r>
      <w:r>
        <w:t xml:space="preserve"> skutecznego funkcjonowania właściwych ram </w:t>
      </w:r>
      <w:r w:rsidR="001004DF">
        <w:t xml:space="preserve">prawnych </w:t>
      </w:r>
      <w:r>
        <w:t xml:space="preserve">w różnych kontekstach </w:t>
      </w:r>
      <w:r w:rsidR="001004DF">
        <w:t>na podstawie</w:t>
      </w:r>
      <w:r>
        <w:t xml:space="preserve"> art. 2. Elementem wspólnym tego orzecznictwa jest stwierdzenie, że obowiązki władz krajowych obejmują przede wszystkim obowiązek wprowadzenia odpowiedniego zestawu środków zapobiegawczych mających na celu zapewnienie bezpieczeństwa publicznego. Oznacza to w pierwszej kolejności obowiązek państwa polegający na przyjęciu i wdr</w:t>
      </w:r>
      <w:r w:rsidR="001004DF">
        <w:t>o</w:t>
      </w:r>
      <w:r>
        <w:t>ż</w:t>
      </w:r>
      <w:r w:rsidR="001004DF">
        <w:t>e</w:t>
      </w:r>
      <w:r>
        <w:t xml:space="preserve">niu ram prawnych </w:t>
      </w:r>
      <w:r w:rsidR="001004DF">
        <w:br/>
      </w:r>
      <w:r>
        <w:t xml:space="preserve">i administracyjnych, </w:t>
      </w:r>
      <w:r w:rsidR="001004DF">
        <w:t>mających na celu zapewnienie skutecznego odstraszania</w:t>
      </w:r>
      <w:r>
        <w:t xml:space="preserve"> </w:t>
      </w:r>
      <w:r w:rsidR="001004DF">
        <w:t xml:space="preserve">od </w:t>
      </w:r>
      <w:r w:rsidR="000C42DC">
        <w:t xml:space="preserve">stwarzania </w:t>
      </w:r>
      <w:r>
        <w:t xml:space="preserve">zagrożenia dla prawa do życia. W tym względzie obowiązek </w:t>
      </w:r>
      <w:r w:rsidR="00F63697">
        <w:t xml:space="preserve">regulacyjny </w:t>
      </w:r>
      <w:r>
        <w:t xml:space="preserve">państw należy rozumieć szerzej, jako obowiązek zapewnienia skutecznego funkcjonowania tych ram regulacyjnych. Obowiązki </w:t>
      </w:r>
      <w:r w:rsidR="00F63697">
        <w:t xml:space="preserve">regulacyjne </w:t>
      </w:r>
      <w:r>
        <w:t xml:space="preserve">obejmują zatem </w:t>
      </w:r>
      <w:r w:rsidR="00F63697">
        <w:t xml:space="preserve">niezbędne </w:t>
      </w:r>
      <w:r>
        <w:t xml:space="preserve">środki </w:t>
      </w:r>
      <w:r w:rsidR="00F63697">
        <w:t>zapewniające</w:t>
      </w:r>
      <w:r>
        <w:t xml:space="preserve"> </w:t>
      </w:r>
      <w:r w:rsidR="00F63697">
        <w:t>wdrożenie</w:t>
      </w:r>
      <w:r>
        <w:t xml:space="preserve">, </w:t>
      </w:r>
      <w:r w:rsidR="00F63697">
        <w:br/>
      </w:r>
      <w:r>
        <w:t>w tym nadzór i egzekwowanie</w:t>
      </w:r>
      <w:r w:rsidR="00F63697">
        <w:t>,</w:t>
      </w:r>
      <w:r>
        <w:t xml:space="preserve"> przepisów. Podsumowując, </w:t>
      </w:r>
      <w:r w:rsidR="00F63697">
        <w:t xml:space="preserve">pozytywny </w:t>
      </w:r>
      <w:r>
        <w:t xml:space="preserve">obowiązek państw wynikający z aspektu materialnego art. 2 obejmuje obowiązek zapewnienia skutecznego funkcjonowania ram regulacyjnych przyjętych </w:t>
      </w:r>
      <w:r w:rsidR="00F63697">
        <w:t xml:space="preserve">w celu </w:t>
      </w:r>
      <w:r>
        <w:t>ochrony życia (zob. </w:t>
      </w:r>
      <w:proofErr w:type="spellStart"/>
      <w:r>
        <w:rPr>
          <w:i/>
        </w:rPr>
        <w:t>Kotilainen</w:t>
      </w:r>
      <w:proofErr w:type="spellEnd"/>
      <w:r>
        <w:rPr>
          <w:i/>
        </w:rPr>
        <w:t xml:space="preserve"> i Inni p</w:t>
      </w:r>
      <w:r w:rsidR="00F63697">
        <w:rPr>
          <w:i/>
        </w:rPr>
        <w:t>.</w:t>
      </w:r>
      <w:r>
        <w:rPr>
          <w:i/>
        </w:rPr>
        <w:t xml:space="preserve"> Finlandii</w:t>
      </w:r>
      <w:r>
        <w:t xml:space="preserve">, skarga nr 62439/12, § 66, 17 września 2020 r. z </w:t>
      </w:r>
      <w:proofErr w:type="spellStart"/>
      <w:r>
        <w:t>późn</w:t>
      </w:r>
      <w:proofErr w:type="spellEnd"/>
      <w:r>
        <w:t>. zm.).</w:t>
      </w:r>
    </w:p>
    <w:p w14:paraId="7225C0A9" w14:textId="31242BCB" w:rsidR="002E7DD4" w:rsidRPr="00F9089F" w:rsidRDefault="002E7DD4" w:rsidP="00F9089F">
      <w:pPr>
        <w:pStyle w:val="JuPara"/>
        <w:rPr>
          <w:rFonts w:eastAsia="Times New Roman"/>
        </w:rPr>
      </w:pPr>
      <w:r w:rsidRPr="00F9089F">
        <w:rPr>
          <w:rFonts w:eastAsia="Times New Roman"/>
        </w:rPr>
        <w:fldChar w:fldCharType="begin"/>
      </w:r>
      <w:r w:rsidRPr="00F9089F">
        <w:rPr>
          <w:rFonts w:eastAsia="Times New Roman"/>
        </w:rPr>
        <w:instrText xml:space="preserve"> SEQ level0 \*arabic </w:instrText>
      </w:r>
      <w:r w:rsidRPr="00F9089F">
        <w:rPr>
          <w:rFonts w:eastAsia="Times New Roman"/>
        </w:rPr>
        <w:fldChar w:fldCharType="separate"/>
      </w:r>
      <w:r w:rsidR="00887A59">
        <w:rPr>
          <w:rFonts w:eastAsia="Times New Roman"/>
          <w:noProof/>
        </w:rPr>
        <w:t>67</w:t>
      </w:r>
      <w:r w:rsidRPr="00F9089F">
        <w:rPr>
          <w:rFonts w:eastAsia="Times New Roman"/>
        </w:rPr>
        <w:fldChar w:fldCharType="end"/>
      </w:r>
      <w:r>
        <w:t>.</w:t>
      </w:r>
      <w:r w:rsidR="009C4069">
        <w:t xml:space="preserve"> </w:t>
      </w:r>
      <w:r w:rsidR="008B3395">
        <w:t>Ten pozytywny o</w:t>
      </w:r>
      <w:r>
        <w:t xml:space="preserve">bowiązek wynikający z art. 2 należy interpretować </w:t>
      </w:r>
      <w:r w:rsidR="008B3395">
        <w:t>jako mający zastosowanie</w:t>
      </w:r>
      <w:r>
        <w:t xml:space="preserve"> do wszelkiej działalności, zarówno publicznej, jak i </w:t>
      </w:r>
      <w:r w:rsidR="008B3395">
        <w:t>niepublicznej</w:t>
      </w:r>
      <w:r>
        <w:t xml:space="preserve">, w której prawo do życia może być zagrożone. Zatem </w:t>
      </w:r>
      <w:r w:rsidR="008B3395">
        <w:br/>
      </w:r>
      <w:r>
        <w:t xml:space="preserve">w kontekście </w:t>
      </w:r>
      <w:r w:rsidR="008B3395">
        <w:t>działań</w:t>
      </w:r>
      <w:r>
        <w:t>, któr</w:t>
      </w:r>
      <w:r w:rsidR="008B3395">
        <w:t>e mogą</w:t>
      </w:r>
      <w:r>
        <w:t xml:space="preserve"> </w:t>
      </w:r>
      <w:r w:rsidR="008B3395">
        <w:t xml:space="preserve">stanowić </w:t>
      </w:r>
      <w:r>
        <w:t xml:space="preserve">zagrożenie dla życia ludzkiego </w:t>
      </w:r>
      <w:r w:rsidR="008B3395">
        <w:br/>
      </w:r>
      <w:r>
        <w:t xml:space="preserve">z uwagi na </w:t>
      </w:r>
      <w:r w:rsidR="008B3395">
        <w:t xml:space="preserve">ich </w:t>
      </w:r>
      <w:r>
        <w:t>nieodzownie niebezpieczny charakter</w:t>
      </w:r>
      <w:r w:rsidR="008B3395">
        <w:t>,</w:t>
      </w:r>
      <w:r>
        <w:t xml:space="preserve"> państwa mają obowiązek </w:t>
      </w:r>
      <w:r w:rsidR="008B3395">
        <w:t xml:space="preserve">podjęcia rozsądnych </w:t>
      </w:r>
      <w:r w:rsidR="0036019B">
        <w:t>środków</w:t>
      </w:r>
      <w:r>
        <w:t xml:space="preserve">, by – stosownie do konieczności – zapewnić bezpieczeństwo jednostek. W tym względzie należy kłaść szczególny nacisk na przepisy ukierunkowane na szczególne cechy danej działalności, zwłaszcza w odniesieniu do poziomu potencjalnego zagrożenia dla życia ludzkiego. Takie środki regulacyjne muszą regulować kwestię </w:t>
      </w:r>
      <w:r w:rsidR="0036019B">
        <w:t>licencjonowania</w:t>
      </w:r>
      <w:r>
        <w:t xml:space="preserve">, </w:t>
      </w:r>
      <w:r w:rsidR="0036019B">
        <w:t>zakładania, prowadzenia</w:t>
      </w:r>
      <w:r>
        <w:t xml:space="preserve">, bezpieczeństwa i nadzoru nad daną działalnością i muszą </w:t>
      </w:r>
      <w:r w:rsidR="0036019B">
        <w:t xml:space="preserve">nakładać na </w:t>
      </w:r>
      <w:r>
        <w:t>wszystki</w:t>
      </w:r>
      <w:r w:rsidR="0036019B">
        <w:t>ch</w:t>
      </w:r>
      <w:r>
        <w:t xml:space="preserve"> zainteresowan</w:t>
      </w:r>
      <w:r w:rsidR="0036019B">
        <w:t>ych</w:t>
      </w:r>
      <w:r w:rsidR="00E2653A">
        <w:t xml:space="preserve"> obowiązek</w:t>
      </w:r>
      <w:r>
        <w:t xml:space="preserve"> pod</w:t>
      </w:r>
      <w:r w:rsidR="00E2653A">
        <w:t>ęcia</w:t>
      </w:r>
      <w:r>
        <w:t xml:space="preserve"> praktycznych działań </w:t>
      </w:r>
      <w:r w:rsidR="00E2653A">
        <w:t xml:space="preserve">w celu </w:t>
      </w:r>
      <w:r>
        <w:t>zapewnieni</w:t>
      </w:r>
      <w:r w:rsidR="00E2653A">
        <w:t>a</w:t>
      </w:r>
      <w:r>
        <w:t xml:space="preserve"> skutecznej ochrony </w:t>
      </w:r>
      <w:r w:rsidR="00E2653A">
        <w:t>obywateli</w:t>
      </w:r>
      <w:r>
        <w:t>, których życie może być zagrożone ze względu na wpisane w działalność zagrożenia (ibid., § 67 i przytoczone tam orzecznictwo).</w:t>
      </w:r>
    </w:p>
    <w:p w14:paraId="2D5CFFF8" w14:textId="231B1CDE" w:rsidR="002E7DD4" w:rsidRPr="00F9089F" w:rsidRDefault="002E7DD4" w:rsidP="00F9089F">
      <w:pPr>
        <w:pStyle w:val="JuPara"/>
        <w:rPr>
          <w:iCs/>
        </w:rPr>
      </w:pPr>
      <w:r w:rsidRPr="00F9089F">
        <w:rPr>
          <w:rFonts w:eastAsia="Times New Roman"/>
        </w:rPr>
        <w:fldChar w:fldCharType="begin"/>
      </w:r>
      <w:r w:rsidRPr="00F9089F">
        <w:rPr>
          <w:rFonts w:eastAsia="Times New Roman"/>
        </w:rPr>
        <w:instrText xml:space="preserve"> SEQ level0 \*arabic </w:instrText>
      </w:r>
      <w:r w:rsidRPr="00F9089F">
        <w:rPr>
          <w:rFonts w:eastAsia="Times New Roman"/>
        </w:rPr>
        <w:fldChar w:fldCharType="separate"/>
      </w:r>
      <w:r w:rsidR="00887A59">
        <w:rPr>
          <w:rFonts w:eastAsia="Times New Roman"/>
          <w:noProof/>
        </w:rPr>
        <w:t>68</w:t>
      </w:r>
      <w:r w:rsidRPr="00F9089F">
        <w:rPr>
          <w:rFonts w:eastAsia="Times New Roman"/>
        </w:rPr>
        <w:fldChar w:fldCharType="end"/>
      </w:r>
      <w:r>
        <w:t>.</w:t>
      </w:r>
      <w:r w:rsidR="009C4069">
        <w:t xml:space="preserve"> </w:t>
      </w:r>
      <w:r>
        <w:t xml:space="preserve">W kontekście bezpieczeństwa drogowego Trybunał orzekł, że uczestnictwo w ruchu drogowym stanowi działalność, która potencjalnie może skutkować poważnymi zagrożeniami dla życia </w:t>
      </w:r>
      <w:r w:rsidR="00E2653A">
        <w:t>ludzkiego</w:t>
      </w:r>
      <w:r>
        <w:t xml:space="preserve">. </w:t>
      </w:r>
      <w:r w:rsidR="00B444F4" w:rsidRPr="00B444F4">
        <w:t>Na przestrzeni lat prowadzenie pojazdów stało się działalnością ściśle regulowaną i podjęto znaczne wysiłki w celu poprawy bezpieczeństwa ruchu drogowego</w:t>
      </w:r>
      <w:r>
        <w:t xml:space="preserve">. </w:t>
      </w:r>
      <w:r w:rsidR="00B444F4">
        <w:t xml:space="preserve">Ponadto bezpieczeństwo drogowe zależy od wielu czynników, </w:t>
      </w:r>
      <w:r w:rsidR="00E2653A">
        <w:br/>
      </w:r>
      <w:r w:rsidR="00B444F4">
        <w:t xml:space="preserve">w tym </w:t>
      </w:r>
      <w:r w:rsidR="00E2653A">
        <w:t xml:space="preserve">od </w:t>
      </w:r>
      <w:r w:rsidR="00B444F4">
        <w:t>jakości dróg i szkolenia przyszłych kierowców</w:t>
      </w:r>
      <w:r>
        <w:t xml:space="preserve">. </w:t>
      </w:r>
      <w:r w:rsidR="00457A74">
        <w:t>Chociaż, biorąc</w:t>
      </w:r>
      <w:r w:rsidR="00457A74" w:rsidRPr="00B444F4">
        <w:t xml:space="preserve"> </w:t>
      </w:r>
      <w:r w:rsidR="00B444F4" w:rsidRPr="00B444F4">
        <w:t xml:space="preserve">pod uwagę zakres obowiązujących przepisów oraz powszechność tej </w:t>
      </w:r>
      <w:r w:rsidR="00B444F4" w:rsidRPr="00B444F4">
        <w:lastRenderedPageBreak/>
        <w:t xml:space="preserve">działalności w życiu codziennym, </w:t>
      </w:r>
      <w:r w:rsidR="00CF607E">
        <w:t xml:space="preserve">prowadzenie pojazdu może być obecnie postrzegane przez wiele osób jako czynność, która zwykle nie jest szczególnie niebezpieczna, </w:t>
      </w:r>
      <w:r w:rsidR="00B444F4" w:rsidRPr="00B444F4">
        <w:t xml:space="preserve">Trybunał </w:t>
      </w:r>
      <w:r w:rsidR="00457A74">
        <w:t>nie traci z pola widzenia faktu</w:t>
      </w:r>
      <w:r w:rsidR="00B444F4" w:rsidRPr="00B444F4">
        <w:t>, że może to zależeć m.in. od jakości egzekwowania prawa w tym obszarze.</w:t>
      </w:r>
      <w:r>
        <w:t xml:space="preserve"> </w:t>
      </w:r>
      <w:r w:rsidR="00CF607E">
        <w:br/>
        <w:t>N</w:t>
      </w:r>
      <w:r w:rsidR="00B444F4">
        <w:t>iezależnie od podjętych wysiłków</w:t>
      </w:r>
      <w:r w:rsidR="00CF607E">
        <w:t xml:space="preserve"> rzeczywistość pozostaje taka, że</w:t>
      </w:r>
      <w:r w:rsidR="00B444F4">
        <w:t xml:space="preserve"> </w:t>
      </w:r>
      <w:r w:rsidR="00CF607E">
        <w:t>incydenty</w:t>
      </w:r>
      <w:r w:rsidR="00B444F4">
        <w:t xml:space="preserve"> drogow</w:t>
      </w:r>
      <w:r w:rsidR="00CF607E">
        <w:t>e</w:t>
      </w:r>
      <w:r w:rsidR="00B444F4">
        <w:t xml:space="preserve">, w tym wypadki samochodowe, zdarzają się i mogą </w:t>
      </w:r>
      <w:r w:rsidR="00CF607E">
        <w:t>skutkować poważnymi</w:t>
      </w:r>
      <w:r w:rsidR="00B444F4">
        <w:t xml:space="preserve"> obraże</w:t>
      </w:r>
      <w:r w:rsidR="00CF607E">
        <w:t>niami</w:t>
      </w:r>
      <w:r w:rsidR="00B444F4">
        <w:t xml:space="preserve"> fizyczny</w:t>
      </w:r>
      <w:r w:rsidR="00CF607E">
        <w:t>mi</w:t>
      </w:r>
      <w:r w:rsidR="00B444F4">
        <w:t>, a nawet utrat</w:t>
      </w:r>
      <w:r w:rsidR="00CF607E">
        <w:t>ą</w:t>
      </w:r>
      <w:r w:rsidR="00B444F4">
        <w:t xml:space="preserve"> życia</w:t>
      </w:r>
      <w:r>
        <w:t xml:space="preserve"> (zob. </w:t>
      </w:r>
      <w:proofErr w:type="spellStart"/>
      <w:r>
        <w:rPr>
          <w:i/>
        </w:rPr>
        <w:t>Nicolae</w:t>
      </w:r>
      <w:proofErr w:type="spellEnd"/>
      <w:r>
        <w:rPr>
          <w:i/>
        </w:rPr>
        <w:t xml:space="preserve"> </w:t>
      </w:r>
      <w:proofErr w:type="spellStart"/>
      <w:r>
        <w:rPr>
          <w:i/>
        </w:rPr>
        <w:t>Virgiliu</w:t>
      </w:r>
      <w:proofErr w:type="spellEnd"/>
      <w:r>
        <w:rPr>
          <w:i/>
        </w:rPr>
        <w:t xml:space="preserve"> </w:t>
      </w:r>
      <w:proofErr w:type="spellStart"/>
      <w:r>
        <w:rPr>
          <w:i/>
        </w:rPr>
        <w:t>Tănase</w:t>
      </w:r>
      <w:proofErr w:type="spellEnd"/>
      <w:r>
        <w:t>, cyt. pow</w:t>
      </w:r>
      <w:r w:rsidR="00CF607E">
        <w:t>.</w:t>
      </w:r>
      <w:r>
        <w:t>, § 146–147).</w:t>
      </w:r>
    </w:p>
    <w:p w14:paraId="63D48836" w14:textId="69461ACC" w:rsidR="002E7DD4" w:rsidRPr="00F9089F" w:rsidRDefault="002E7DD4" w:rsidP="00F9089F">
      <w:pPr>
        <w:pStyle w:val="JuPara"/>
        <w:rPr>
          <w:iCs/>
        </w:rPr>
      </w:pPr>
      <w:r w:rsidRPr="00F9089F">
        <w:rPr>
          <w:iCs/>
        </w:rPr>
        <w:fldChar w:fldCharType="begin"/>
      </w:r>
      <w:r w:rsidRPr="00F9089F">
        <w:rPr>
          <w:iCs/>
        </w:rPr>
        <w:instrText xml:space="preserve"> SEQ level0 \*arabic </w:instrText>
      </w:r>
      <w:r w:rsidRPr="00F9089F">
        <w:rPr>
          <w:iCs/>
        </w:rPr>
        <w:fldChar w:fldCharType="separate"/>
      </w:r>
      <w:r w:rsidR="00887A59">
        <w:rPr>
          <w:iCs/>
          <w:noProof/>
        </w:rPr>
        <w:t>69</w:t>
      </w:r>
      <w:r w:rsidRPr="00F9089F">
        <w:rPr>
          <w:iCs/>
        </w:rPr>
        <w:fldChar w:fldCharType="end"/>
      </w:r>
      <w:r>
        <w:t>.</w:t>
      </w:r>
      <w:r w:rsidR="009C4069">
        <w:t xml:space="preserve"> </w:t>
      </w:r>
      <w:r>
        <w:t xml:space="preserve">Zatem w kontekście bezpieczeństwa </w:t>
      </w:r>
      <w:r w:rsidR="00373C0E">
        <w:t>drogowego</w:t>
      </w:r>
      <w:r>
        <w:t xml:space="preserve"> </w:t>
      </w:r>
      <w:r w:rsidR="00373C0E">
        <w:t xml:space="preserve">omówione powyżej </w:t>
      </w:r>
      <w:r>
        <w:t>obowiązki pozytywne władz krajowych obejmują, po pierwsze, obowiązek wprowadzenia odpowiedniego zestawu środków zapobiegawczych mających na celu zapewnieni</w:t>
      </w:r>
      <w:r w:rsidR="00B444F4">
        <w:t>e</w:t>
      </w:r>
      <w:r>
        <w:t xml:space="preserve"> bezpieczeństwa publicznego i </w:t>
      </w:r>
      <w:r w:rsidR="00FD22ED">
        <w:t xml:space="preserve">zminimalizowanie </w:t>
      </w:r>
      <w:r>
        <w:t>liczby wypadków drogowych (zob. </w:t>
      </w:r>
      <w:proofErr w:type="spellStart"/>
      <w:r>
        <w:rPr>
          <w:i/>
        </w:rPr>
        <w:t>Nicolae</w:t>
      </w:r>
      <w:proofErr w:type="spellEnd"/>
      <w:r>
        <w:rPr>
          <w:i/>
        </w:rPr>
        <w:t xml:space="preserve"> </w:t>
      </w:r>
      <w:proofErr w:type="spellStart"/>
      <w:r>
        <w:rPr>
          <w:i/>
        </w:rPr>
        <w:t>Virgiliu</w:t>
      </w:r>
      <w:proofErr w:type="spellEnd"/>
      <w:r>
        <w:rPr>
          <w:i/>
        </w:rPr>
        <w:t xml:space="preserve"> </w:t>
      </w:r>
      <w:proofErr w:type="spellStart"/>
      <w:r>
        <w:rPr>
          <w:i/>
        </w:rPr>
        <w:t>Tănase</w:t>
      </w:r>
      <w:proofErr w:type="spellEnd"/>
      <w:r>
        <w:t>, cyt. pow</w:t>
      </w:r>
      <w:r w:rsidR="00FD22ED">
        <w:t>.</w:t>
      </w:r>
      <w:r>
        <w:t xml:space="preserve">, § 135 </w:t>
      </w:r>
      <w:r>
        <w:rPr>
          <w:i/>
        </w:rPr>
        <w:t>in fine</w:t>
      </w:r>
      <w:r>
        <w:t>), a po drugie, obowiązek zapewnienia skutecznego funkcjonowania tych środków w praktyce (zob. par. 65–66 pow</w:t>
      </w:r>
      <w:r w:rsidR="00373C0E">
        <w:t>.</w:t>
      </w:r>
      <w:r>
        <w:t>).</w:t>
      </w:r>
    </w:p>
    <w:p w14:paraId="6B7A6584" w14:textId="1B3A4F79" w:rsidR="002E7DD4" w:rsidRPr="00F9089F" w:rsidRDefault="002E7DD4" w:rsidP="00F9089F">
      <w:pPr>
        <w:pStyle w:val="JuPara"/>
        <w:rPr>
          <w:rFonts w:eastAsia="Times New Roman"/>
        </w:rPr>
      </w:pPr>
      <w:r w:rsidRPr="00F9089F">
        <w:rPr>
          <w:rFonts w:eastAsia="Times New Roman"/>
        </w:rPr>
        <w:fldChar w:fldCharType="begin"/>
      </w:r>
      <w:r w:rsidRPr="00F9089F">
        <w:rPr>
          <w:rFonts w:eastAsia="Times New Roman"/>
        </w:rPr>
        <w:instrText xml:space="preserve"> SEQ level0 \*arabic </w:instrText>
      </w:r>
      <w:r w:rsidRPr="00F9089F">
        <w:rPr>
          <w:rFonts w:eastAsia="Times New Roman"/>
        </w:rPr>
        <w:fldChar w:fldCharType="separate"/>
      </w:r>
      <w:r w:rsidR="00887A59">
        <w:rPr>
          <w:rFonts w:eastAsia="Times New Roman"/>
          <w:noProof/>
        </w:rPr>
        <w:t>70</w:t>
      </w:r>
      <w:r w:rsidRPr="00F9089F">
        <w:rPr>
          <w:rFonts w:eastAsia="Times New Roman"/>
        </w:rPr>
        <w:fldChar w:fldCharType="end"/>
      </w:r>
      <w:r>
        <w:t>.</w:t>
      </w:r>
      <w:r w:rsidR="009C4069">
        <w:t xml:space="preserve"> </w:t>
      </w:r>
      <w:r>
        <w:t xml:space="preserve">Należy jednak podkreślić, że obowiązek pozytywny należy rozumieć w taki sposób, aby nie </w:t>
      </w:r>
      <w:r w:rsidR="00951A50">
        <w:t xml:space="preserve">nakładać </w:t>
      </w:r>
      <w:r>
        <w:t xml:space="preserve">nadmiernego obciążenia </w:t>
      </w:r>
      <w:r w:rsidR="00B863A0">
        <w:t xml:space="preserve">na </w:t>
      </w:r>
      <w:r>
        <w:t>władz</w:t>
      </w:r>
      <w:r w:rsidR="00B863A0">
        <w:t>e</w:t>
      </w:r>
      <w:r>
        <w:t>, mając na uwadze w szczególności nieprzewidywalność ludzki</w:t>
      </w:r>
      <w:r w:rsidR="00B863A0">
        <w:t>ch</w:t>
      </w:r>
      <w:r>
        <w:t xml:space="preserve"> </w:t>
      </w:r>
      <w:proofErr w:type="spellStart"/>
      <w:r>
        <w:t>zachowa</w:t>
      </w:r>
      <w:r w:rsidR="00B863A0">
        <w:t>ń</w:t>
      </w:r>
      <w:proofErr w:type="spellEnd"/>
      <w:r>
        <w:t xml:space="preserve"> i wybory operacyjne, których należy dokonywać z uwzględnieniem priorytetów </w:t>
      </w:r>
      <w:r w:rsidR="00B863A0">
        <w:br/>
      </w:r>
      <w:r>
        <w:t xml:space="preserve">i zasobów. Zakres obowiązków pozytywnych w </w:t>
      </w:r>
      <w:r w:rsidR="00B863A0">
        <w:t xml:space="preserve">danym </w:t>
      </w:r>
      <w:r>
        <w:t xml:space="preserve">kontekście zależy od rodzaju </w:t>
      </w:r>
      <w:r w:rsidR="00B863A0">
        <w:t xml:space="preserve">ryzyka </w:t>
      </w:r>
      <w:r>
        <w:t xml:space="preserve">i możliwości </w:t>
      </w:r>
      <w:r w:rsidR="00B863A0">
        <w:t xml:space="preserve">jego </w:t>
      </w:r>
      <w:r>
        <w:t>ogranicz</w:t>
      </w:r>
      <w:r w:rsidR="00B863A0">
        <w:t>e</w:t>
      </w:r>
      <w:r>
        <w:t xml:space="preserve">nia. Jeżeli zatem państwo przyjęło ogólne ramy prawne i </w:t>
      </w:r>
      <w:r w:rsidR="00B863A0">
        <w:t>ustawodawstwo dostosowane do</w:t>
      </w:r>
      <w:r>
        <w:t xml:space="preserve"> wymog</w:t>
      </w:r>
      <w:r w:rsidR="00B863A0">
        <w:t>ów</w:t>
      </w:r>
      <w:r>
        <w:t xml:space="preserve"> ochronn</w:t>
      </w:r>
      <w:r w:rsidR="00B863A0">
        <w:t>ych</w:t>
      </w:r>
      <w:r>
        <w:t xml:space="preserve"> w danym </w:t>
      </w:r>
      <w:r w:rsidR="00B863A0">
        <w:t>zakresie</w:t>
      </w:r>
      <w:r>
        <w:t xml:space="preserve">, kwestie takie jak błąd w ocenie po stronie konkretnego podmiotu lub </w:t>
      </w:r>
      <w:r w:rsidR="00454804">
        <w:t xml:space="preserve">zaniedbanie w </w:t>
      </w:r>
      <w:r>
        <w:t>koordynacj</w:t>
      </w:r>
      <w:r w:rsidR="00454804">
        <w:t>i</w:t>
      </w:r>
      <w:r>
        <w:t xml:space="preserve"> działań </w:t>
      </w:r>
      <w:r w:rsidR="00454804">
        <w:t>po</w:t>
      </w:r>
      <w:r>
        <w:t>między specjalistami, czy to publicznymi, czy prywatnymi, nie mog</w:t>
      </w:r>
      <w:r w:rsidR="00454804">
        <w:t>ą</w:t>
      </w:r>
      <w:r>
        <w:t xml:space="preserve"> same w sobie </w:t>
      </w:r>
      <w:r w:rsidR="00454804">
        <w:t xml:space="preserve">być </w:t>
      </w:r>
      <w:r>
        <w:t>wystarcz</w:t>
      </w:r>
      <w:r w:rsidR="00454804">
        <w:t>ające</w:t>
      </w:r>
      <w:r>
        <w:t xml:space="preserve">, </w:t>
      </w:r>
      <w:r w:rsidR="00454804">
        <w:t>a</w:t>
      </w:r>
      <w:r>
        <w:t xml:space="preserve">by </w:t>
      </w:r>
      <w:r w:rsidR="00454804">
        <w:t>pociągnąć</w:t>
      </w:r>
      <w:r>
        <w:t xml:space="preserve"> państwo </w:t>
      </w:r>
      <w:r w:rsidR="00454804">
        <w:t xml:space="preserve">do </w:t>
      </w:r>
      <w:r>
        <w:t>odpowiedzialn</w:t>
      </w:r>
      <w:r w:rsidR="00454804">
        <w:t>ości</w:t>
      </w:r>
      <w:r>
        <w:t xml:space="preserve"> </w:t>
      </w:r>
      <w:r w:rsidR="00454804">
        <w:br/>
      </w:r>
      <w:r>
        <w:t xml:space="preserve">z perspektywy ciążącego na nim obowiązku pozytywnego wynikającego </w:t>
      </w:r>
      <w:r w:rsidR="00454804">
        <w:br/>
      </w:r>
      <w:r>
        <w:t>z art. 2 (zob. </w:t>
      </w:r>
      <w:proofErr w:type="spellStart"/>
      <w:r>
        <w:rPr>
          <w:i/>
          <w:iCs/>
        </w:rPr>
        <w:t>Kotilainen</w:t>
      </w:r>
      <w:proofErr w:type="spellEnd"/>
      <w:r>
        <w:rPr>
          <w:i/>
          <w:iCs/>
        </w:rPr>
        <w:t xml:space="preserve"> i Inni</w:t>
      </w:r>
      <w:r>
        <w:t>., cyt. pow</w:t>
      </w:r>
      <w:r w:rsidR="00454804">
        <w:t>.</w:t>
      </w:r>
      <w:r>
        <w:t>, § 67–68).</w:t>
      </w:r>
    </w:p>
    <w:p w14:paraId="51957A5B" w14:textId="2707A74E" w:rsidR="002E7DD4" w:rsidRPr="00F9089F" w:rsidRDefault="00454804" w:rsidP="00F9089F">
      <w:pPr>
        <w:pStyle w:val="JuHi"/>
        <w:ind w:left="767"/>
        <w:rPr>
          <w:rFonts w:eastAsia="Times New Roman"/>
        </w:rPr>
      </w:pPr>
      <w:r>
        <w:t>Zas</w:t>
      </w:r>
      <w:r w:rsidR="002E7DD4">
        <w:t>tosowanie powyższych zasad w niniejszej sprawie</w:t>
      </w:r>
    </w:p>
    <w:p w14:paraId="6E83C335" w14:textId="1DD1493A" w:rsidR="002E7DD4" w:rsidRPr="00F9089F" w:rsidRDefault="002E7DD4" w:rsidP="00F9089F">
      <w:pPr>
        <w:pStyle w:val="JuPara"/>
        <w:rPr>
          <w:rFonts w:eastAsia="Times New Roman"/>
        </w:rPr>
      </w:pPr>
      <w:r w:rsidRPr="00F9089F">
        <w:rPr>
          <w:rFonts w:eastAsia="Times New Roman"/>
        </w:rPr>
        <w:fldChar w:fldCharType="begin"/>
      </w:r>
      <w:r w:rsidRPr="00F9089F">
        <w:rPr>
          <w:rFonts w:eastAsia="Times New Roman"/>
        </w:rPr>
        <w:instrText xml:space="preserve"> SEQ level0 \*arabic </w:instrText>
      </w:r>
      <w:r w:rsidRPr="00F9089F">
        <w:rPr>
          <w:rFonts w:eastAsia="Times New Roman"/>
        </w:rPr>
        <w:fldChar w:fldCharType="separate"/>
      </w:r>
      <w:r w:rsidR="00887A59">
        <w:rPr>
          <w:rFonts w:eastAsia="Times New Roman"/>
          <w:noProof/>
        </w:rPr>
        <w:t>71</w:t>
      </w:r>
      <w:r w:rsidRPr="00F9089F">
        <w:rPr>
          <w:rFonts w:eastAsia="Times New Roman"/>
        </w:rPr>
        <w:fldChar w:fldCharType="end"/>
      </w:r>
      <w:r>
        <w:t>.</w:t>
      </w:r>
      <w:r w:rsidR="009C4069">
        <w:t xml:space="preserve"> </w:t>
      </w:r>
      <w:r>
        <w:t xml:space="preserve">Na wstępie Trybunał </w:t>
      </w:r>
      <w:r w:rsidR="00EF6D4F">
        <w:t>stwierdza</w:t>
      </w:r>
      <w:r>
        <w:t xml:space="preserve">, że </w:t>
      </w:r>
      <w:r w:rsidR="00EF6D4F">
        <w:t xml:space="preserve">głównym </w:t>
      </w:r>
      <w:r>
        <w:t xml:space="preserve">zagadnieniem </w:t>
      </w:r>
      <w:r w:rsidR="00EF6D4F">
        <w:br/>
      </w:r>
      <w:r>
        <w:t xml:space="preserve">w niniejszej sprawie jest zarzucane </w:t>
      </w:r>
      <w:r w:rsidR="00EF6D4F">
        <w:t xml:space="preserve">niedostateczne </w:t>
      </w:r>
      <w:r>
        <w:t xml:space="preserve">funkcjonowanie </w:t>
      </w:r>
      <w:r w:rsidR="00EF6D4F">
        <w:t xml:space="preserve">odpowiednich </w:t>
      </w:r>
      <w:r>
        <w:t xml:space="preserve">ram </w:t>
      </w:r>
      <w:r w:rsidR="00EF6D4F">
        <w:t xml:space="preserve">prawnych w zakresie </w:t>
      </w:r>
      <w:r>
        <w:t xml:space="preserve">bezpieczeństwa ruchu drogowego </w:t>
      </w:r>
      <w:r w:rsidR="00EF6D4F">
        <w:br/>
      </w:r>
      <w:r>
        <w:t xml:space="preserve">w </w:t>
      </w:r>
      <w:r w:rsidR="00EF6D4F">
        <w:t xml:space="preserve">celu </w:t>
      </w:r>
      <w:r w:rsidR="0030131B">
        <w:t xml:space="preserve">zaradzenia </w:t>
      </w:r>
      <w:r>
        <w:t>powtarzając</w:t>
      </w:r>
      <w:r w:rsidR="0030131B">
        <w:t>ym</w:t>
      </w:r>
      <w:r>
        <w:t xml:space="preserve"> się i nawykow</w:t>
      </w:r>
      <w:r w:rsidR="0030131B">
        <w:t>ym</w:t>
      </w:r>
      <w:r>
        <w:t xml:space="preserve"> bezprawn</w:t>
      </w:r>
      <w:r w:rsidR="0030131B">
        <w:t>ym</w:t>
      </w:r>
      <w:r>
        <w:t xml:space="preserve"> </w:t>
      </w:r>
      <w:proofErr w:type="spellStart"/>
      <w:r>
        <w:t>zachowani</w:t>
      </w:r>
      <w:r w:rsidR="0030131B">
        <w:t>om</w:t>
      </w:r>
      <w:proofErr w:type="spellEnd"/>
      <w:r>
        <w:t xml:space="preserve"> w ruchu drogowy</w:t>
      </w:r>
      <w:r w:rsidR="00B444F4">
        <w:t>m</w:t>
      </w:r>
      <w:r>
        <w:t xml:space="preserve"> osoby, która w końcu spowodowała zdarzenie drogowe ze skutkiem śmiertelnym, w którym zginął krewny skarżących. Niniejsza sprawa dotyczy zatem w szczególności zarzutów </w:t>
      </w:r>
      <w:r w:rsidR="0030131B">
        <w:t xml:space="preserve">niedociągnięć </w:t>
      </w:r>
      <w:r>
        <w:t xml:space="preserve">we wdrażaniu ram </w:t>
      </w:r>
      <w:r w:rsidR="0030131B">
        <w:t>prawnych</w:t>
      </w:r>
      <w:r>
        <w:t xml:space="preserve">, co odróżnia ją od innych spraw dotyczących w szczególności </w:t>
      </w:r>
      <w:r w:rsidR="0030131B">
        <w:t xml:space="preserve">pozytywnego materialnego </w:t>
      </w:r>
      <w:r>
        <w:t xml:space="preserve">obowiązku </w:t>
      </w:r>
      <w:r w:rsidR="0030131B">
        <w:t>wdrożenia</w:t>
      </w:r>
      <w:r>
        <w:t xml:space="preserve"> prewencyjnych środków operacyjnych w celu ochrony zidentyfikowanej osoby przed inną osobą w przypadku wyst</w:t>
      </w:r>
      <w:r w:rsidR="00B86C81">
        <w:t>ą</w:t>
      </w:r>
      <w:r>
        <w:t>p</w:t>
      </w:r>
      <w:r w:rsidR="00B86C81">
        <w:t>ienia</w:t>
      </w:r>
      <w:r>
        <w:t xml:space="preserve"> rzeczywistego i bezpośredniego zagrożenia życia, co stanowi odrębny aspekt obowiązków pozytywnych państwa wynikających z art. 2 (zob. </w:t>
      </w:r>
      <w:proofErr w:type="spellStart"/>
      <w:r>
        <w:rPr>
          <w:i/>
          <w:iCs/>
        </w:rPr>
        <w:t>Fernandes</w:t>
      </w:r>
      <w:proofErr w:type="spellEnd"/>
      <w:r>
        <w:rPr>
          <w:i/>
          <w:iCs/>
        </w:rPr>
        <w:t xml:space="preserve"> de </w:t>
      </w:r>
      <w:r>
        <w:rPr>
          <w:i/>
          <w:iCs/>
        </w:rPr>
        <w:lastRenderedPageBreak/>
        <w:t>Oliveira</w:t>
      </w:r>
      <w:r>
        <w:t>, cyt. pow</w:t>
      </w:r>
      <w:r w:rsidR="00B86C81">
        <w:t>.</w:t>
      </w:r>
      <w:r>
        <w:t>, § 103</w:t>
      </w:r>
      <w:r w:rsidR="00B86C81">
        <w:t>,</w:t>
      </w:r>
      <w:r>
        <w:t xml:space="preserve"> </w:t>
      </w:r>
      <w:proofErr w:type="spellStart"/>
      <w:r>
        <w:rPr>
          <w:i/>
        </w:rPr>
        <w:t>Nicolae</w:t>
      </w:r>
      <w:proofErr w:type="spellEnd"/>
      <w:r>
        <w:rPr>
          <w:i/>
        </w:rPr>
        <w:t xml:space="preserve"> </w:t>
      </w:r>
      <w:proofErr w:type="spellStart"/>
      <w:r>
        <w:rPr>
          <w:i/>
        </w:rPr>
        <w:t>Virgiliu</w:t>
      </w:r>
      <w:proofErr w:type="spellEnd"/>
      <w:r>
        <w:rPr>
          <w:i/>
        </w:rPr>
        <w:t xml:space="preserve"> </w:t>
      </w:r>
      <w:proofErr w:type="spellStart"/>
      <w:r>
        <w:rPr>
          <w:i/>
        </w:rPr>
        <w:t>Tănase</w:t>
      </w:r>
      <w:proofErr w:type="spellEnd"/>
      <w:r>
        <w:t>, cyt. pow</w:t>
      </w:r>
      <w:r w:rsidR="00B86C81">
        <w:t>.</w:t>
      </w:r>
      <w:r>
        <w:t>, § 136</w:t>
      </w:r>
      <w:r w:rsidR="00B86C81">
        <w:t>,</w:t>
      </w:r>
      <w:r>
        <w:t xml:space="preserve"> a także </w:t>
      </w:r>
      <w:proofErr w:type="spellStart"/>
      <w:r>
        <w:rPr>
          <w:i/>
        </w:rPr>
        <w:t>Kotilainen</w:t>
      </w:r>
      <w:proofErr w:type="spellEnd"/>
      <w:r>
        <w:rPr>
          <w:i/>
        </w:rPr>
        <w:t xml:space="preserve"> i Inni</w:t>
      </w:r>
      <w:r>
        <w:t>, cyt. pow</w:t>
      </w:r>
      <w:r w:rsidR="00B86C81">
        <w:t>.</w:t>
      </w:r>
      <w:r>
        <w:t>, § 69 i § 78).</w:t>
      </w:r>
    </w:p>
    <w:p w14:paraId="4FE4B367" w14:textId="3D7201CB" w:rsidR="002E7DD4" w:rsidRPr="00F9089F" w:rsidRDefault="002E7DD4" w:rsidP="00F9089F">
      <w:pPr>
        <w:pStyle w:val="JuPara"/>
        <w:rPr>
          <w:rFonts w:eastAsia="Times New Roman"/>
        </w:rPr>
      </w:pPr>
      <w:r w:rsidRPr="00F9089F">
        <w:rPr>
          <w:rFonts w:eastAsia="Times New Roman"/>
        </w:rPr>
        <w:fldChar w:fldCharType="begin"/>
      </w:r>
      <w:r w:rsidRPr="00F9089F">
        <w:rPr>
          <w:rFonts w:eastAsia="Times New Roman"/>
        </w:rPr>
        <w:instrText xml:space="preserve"> SEQ level0 \*arabic </w:instrText>
      </w:r>
      <w:r w:rsidRPr="00F9089F">
        <w:rPr>
          <w:rFonts w:eastAsia="Times New Roman"/>
        </w:rPr>
        <w:fldChar w:fldCharType="separate"/>
      </w:r>
      <w:r w:rsidR="00887A59">
        <w:rPr>
          <w:rFonts w:eastAsia="Times New Roman"/>
          <w:noProof/>
        </w:rPr>
        <w:t>72</w:t>
      </w:r>
      <w:r w:rsidRPr="00F9089F">
        <w:rPr>
          <w:rFonts w:eastAsia="Times New Roman"/>
        </w:rPr>
        <w:fldChar w:fldCharType="end"/>
      </w:r>
      <w:r>
        <w:t>.</w:t>
      </w:r>
      <w:r w:rsidR="009C4069">
        <w:t xml:space="preserve"> </w:t>
      </w:r>
      <w:r w:rsidR="00B86C81">
        <w:t>Kwestia</w:t>
      </w:r>
      <w:r>
        <w:t xml:space="preserve">, czy państwo </w:t>
      </w:r>
      <w:r w:rsidR="00B86C81">
        <w:t xml:space="preserve">nie wywiązało się </w:t>
      </w:r>
      <w:r>
        <w:t xml:space="preserve">ze </w:t>
      </w:r>
      <w:r w:rsidR="00B86C81">
        <w:t xml:space="preserve">swoich wyżej </w:t>
      </w:r>
      <w:r>
        <w:t>wspomnianych obowiązków regulacyjnych, wymaga oceny zarzucan</w:t>
      </w:r>
      <w:r w:rsidR="00B86C81">
        <w:t>ych braków</w:t>
      </w:r>
      <w:r>
        <w:t xml:space="preserve"> w ujęciu konkretnym, a nie abstrakcyjnym. Zadanie</w:t>
      </w:r>
      <w:r w:rsidR="00B86C81">
        <w:t>m</w:t>
      </w:r>
      <w:r>
        <w:t xml:space="preserve"> Trybunału nie </w:t>
      </w:r>
      <w:r w:rsidR="00B86C81">
        <w:t>jest</w:t>
      </w:r>
      <w:r>
        <w:t xml:space="preserve"> zwykle dokonywani</w:t>
      </w:r>
      <w:r w:rsidR="00B86C81">
        <w:t>e</w:t>
      </w:r>
      <w:r>
        <w:t xml:space="preserve"> przeglądu </w:t>
      </w:r>
      <w:r w:rsidR="00B86C81">
        <w:t xml:space="preserve">odpowiednich przepisów </w:t>
      </w:r>
      <w:r w:rsidR="00033FA2">
        <w:t xml:space="preserve">i praktyki </w:t>
      </w:r>
      <w:r>
        <w:rPr>
          <w:i/>
          <w:iCs/>
        </w:rPr>
        <w:t xml:space="preserve">in </w:t>
      </w:r>
      <w:proofErr w:type="spellStart"/>
      <w:r>
        <w:rPr>
          <w:i/>
          <w:iCs/>
        </w:rPr>
        <w:t>abstracto</w:t>
      </w:r>
      <w:proofErr w:type="spellEnd"/>
      <w:r>
        <w:t xml:space="preserve">, ale </w:t>
      </w:r>
      <w:r w:rsidR="00033FA2">
        <w:t>ocena</w:t>
      </w:r>
      <w:r>
        <w:t xml:space="preserve">, czy sposób, w jaki je zastosowano </w:t>
      </w:r>
      <w:r w:rsidR="00033FA2">
        <w:t>lub wpłynęły na</w:t>
      </w:r>
      <w:r>
        <w:t xml:space="preserve"> skarżącego lub zmarł</w:t>
      </w:r>
      <w:r w:rsidR="00033FA2">
        <w:t>ego</w:t>
      </w:r>
      <w:r>
        <w:t>, powodował naruszenie Konwencji. Z tego względu sam fakt, że ram</w:t>
      </w:r>
      <w:r w:rsidR="00033FA2">
        <w:t>y</w:t>
      </w:r>
      <w:r>
        <w:t xml:space="preserve"> regulacyjn</w:t>
      </w:r>
      <w:r w:rsidR="00033FA2">
        <w:t>e</w:t>
      </w:r>
      <w:r>
        <w:t xml:space="preserve"> mogą </w:t>
      </w:r>
      <w:r w:rsidR="00033FA2">
        <w:t>być wadliwe pod pewnymi względami</w:t>
      </w:r>
      <w:r>
        <w:t xml:space="preserve">, nie </w:t>
      </w:r>
      <w:r w:rsidR="00033FA2">
        <w:t xml:space="preserve">jest wystarczający </w:t>
      </w:r>
      <w:r>
        <w:t xml:space="preserve">sam w sobie, by </w:t>
      </w:r>
      <w:r w:rsidR="00033FA2">
        <w:t>podnosić zarzut na podstawie</w:t>
      </w:r>
      <w:r>
        <w:t xml:space="preserve"> art. 2. Należy wykazać, że przepisy te działały na szkodę jednostki (zob. </w:t>
      </w:r>
      <w:proofErr w:type="spellStart"/>
      <w:r>
        <w:rPr>
          <w:i/>
          <w:iCs/>
        </w:rPr>
        <w:t>Fernandes</w:t>
      </w:r>
      <w:proofErr w:type="spellEnd"/>
      <w:r>
        <w:rPr>
          <w:i/>
          <w:iCs/>
        </w:rPr>
        <w:t xml:space="preserve"> de Oliveira</w:t>
      </w:r>
      <w:r>
        <w:t>, cyt. pow</w:t>
      </w:r>
      <w:r w:rsidR="002C6B81">
        <w:t>.</w:t>
      </w:r>
      <w:r>
        <w:t>, § 107). Co więcej, w świetle znaczenia ochrony przewidzianej w art. 2</w:t>
      </w:r>
      <w:r w:rsidR="002C6B81">
        <w:t>,</w:t>
      </w:r>
      <w:r>
        <w:t xml:space="preserve"> Trybunał musi poddać skarg</w:t>
      </w:r>
      <w:r w:rsidR="002C6B81">
        <w:t>ę</w:t>
      </w:r>
      <w:r>
        <w:t xml:space="preserve"> dotycząc</w:t>
      </w:r>
      <w:r w:rsidR="002C6B81">
        <w:t>ą</w:t>
      </w:r>
      <w:r>
        <w:t xml:space="preserve"> utraty życia </w:t>
      </w:r>
      <w:r w:rsidR="002C6B81">
        <w:t>jak najdokładniejszej</w:t>
      </w:r>
      <w:r>
        <w:t xml:space="preserve"> analizie, uwzględniając wszystkie istotne okoliczności sprawy (zob.</w:t>
      </w:r>
      <w:r w:rsidR="002C6B81">
        <w:t>,</w:t>
      </w:r>
      <w:r>
        <w:t> m</w:t>
      </w:r>
      <w:r w:rsidR="002C6B81">
        <w:t>.</w:t>
      </w:r>
      <w:r>
        <w:t xml:space="preserve"> in</w:t>
      </w:r>
      <w:r w:rsidR="002C6B81">
        <w:t>.,</w:t>
      </w:r>
      <w:r>
        <w:t xml:space="preserve"> </w:t>
      </w:r>
      <w:proofErr w:type="spellStart"/>
      <w:r>
        <w:rPr>
          <w:i/>
          <w:iCs/>
        </w:rPr>
        <w:t>Banel</w:t>
      </w:r>
      <w:proofErr w:type="spellEnd"/>
      <w:r>
        <w:rPr>
          <w:i/>
          <w:iCs/>
        </w:rPr>
        <w:t xml:space="preserve"> p</w:t>
      </w:r>
      <w:r w:rsidR="002C6B81">
        <w:rPr>
          <w:i/>
          <w:iCs/>
        </w:rPr>
        <w:t>.</w:t>
      </w:r>
      <w:r>
        <w:rPr>
          <w:i/>
          <w:iCs/>
        </w:rPr>
        <w:t xml:space="preserve"> Litwie</w:t>
      </w:r>
      <w:r>
        <w:t>, skarga nr 14326/11, § 67, 18 czerwca 2013 r.).</w:t>
      </w:r>
    </w:p>
    <w:p w14:paraId="13C346AB" w14:textId="149CC421" w:rsidR="002E7DD4" w:rsidRPr="00F9089F" w:rsidRDefault="002E7DD4" w:rsidP="00F9089F">
      <w:pPr>
        <w:pStyle w:val="JuPara"/>
        <w:rPr>
          <w:rFonts w:eastAsia="Times New Roman"/>
        </w:rPr>
      </w:pPr>
      <w:r w:rsidRPr="00F9089F">
        <w:rPr>
          <w:rFonts w:eastAsia="Times New Roman"/>
        </w:rPr>
        <w:fldChar w:fldCharType="begin"/>
      </w:r>
      <w:r w:rsidRPr="00F9089F">
        <w:rPr>
          <w:rFonts w:eastAsia="Times New Roman"/>
        </w:rPr>
        <w:instrText xml:space="preserve"> SEQ level0 \*arabic </w:instrText>
      </w:r>
      <w:r w:rsidRPr="00F9089F">
        <w:rPr>
          <w:rFonts w:eastAsia="Times New Roman"/>
        </w:rPr>
        <w:fldChar w:fldCharType="separate"/>
      </w:r>
      <w:r w:rsidR="00887A59">
        <w:rPr>
          <w:rFonts w:eastAsia="Times New Roman"/>
          <w:noProof/>
        </w:rPr>
        <w:t>73</w:t>
      </w:r>
      <w:r w:rsidRPr="00F9089F">
        <w:rPr>
          <w:rFonts w:eastAsia="Times New Roman"/>
        </w:rPr>
        <w:fldChar w:fldCharType="end"/>
      </w:r>
      <w:r>
        <w:t>.</w:t>
      </w:r>
      <w:r w:rsidR="009C4069">
        <w:t xml:space="preserve"> </w:t>
      </w:r>
      <w:r>
        <w:t xml:space="preserve">Trybunał zauważa, że </w:t>
      </w:r>
      <w:r w:rsidR="004F1673">
        <w:t xml:space="preserve">w </w:t>
      </w:r>
      <w:r>
        <w:t>chorwacki</w:t>
      </w:r>
      <w:r w:rsidR="004F1673">
        <w:t>ch</w:t>
      </w:r>
      <w:r>
        <w:t xml:space="preserve"> ram</w:t>
      </w:r>
      <w:r w:rsidR="004F1673">
        <w:t>ach</w:t>
      </w:r>
      <w:r>
        <w:t xml:space="preserve"> regulacyjn</w:t>
      </w:r>
      <w:r w:rsidR="004F1673">
        <w:t>ych</w:t>
      </w:r>
      <w:r>
        <w:t xml:space="preserve">, </w:t>
      </w:r>
      <w:r w:rsidR="004F1673">
        <w:t>właściwych</w:t>
      </w:r>
      <w:r>
        <w:t xml:space="preserve"> dla niniejszej sprawy, naruszenia bezpieczeństwa ruchu drogowego uznaje się za przestępstwa przeciwko </w:t>
      </w:r>
      <w:r w:rsidR="004F1673">
        <w:t xml:space="preserve">dobru </w:t>
      </w:r>
      <w:r w:rsidR="00B444F4">
        <w:t>publicznemu</w:t>
      </w:r>
      <w:r w:rsidR="004F1673">
        <w:t>, charakteryzujące się wysokim</w:t>
      </w:r>
      <w:r>
        <w:t xml:space="preserve"> stop</w:t>
      </w:r>
      <w:r w:rsidR="004F1673">
        <w:t>niem</w:t>
      </w:r>
      <w:r>
        <w:t xml:space="preserve"> ogólnego zagrożenia dla społeczeństwa. Za takie zachowanie </w:t>
      </w:r>
      <w:r w:rsidR="00512C4D">
        <w:t xml:space="preserve">przewidują one </w:t>
      </w:r>
      <w:r>
        <w:t xml:space="preserve">kary zarówno za wykroczenia, jak i przestępstwa, </w:t>
      </w:r>
      <w:r w:rsidR="00512C4D">
        <w:t>jak również</w:t>
      </w:r>
      <w:r>
        <w:t xml:space="preserve"> środki prewencyjne w postaci zatrzymania i </w:t>
      </w:r>
      <w:r w:rsidR="00512C4D">
        <w:t xml:space="preserve">konfiskaty </w:t>
      </w:r>
      <w:r>
        <w:t xml:space="preserve">prawa jazdy, </w:t>
      </w:r>
      <w:r w:rsidR="00512C4D">
        <w:t>jeśli</w:t>
      </w:r>
      <w:r>
        <w:t xml:space="preserve"> zachodzi</w:t>
      </w:r>
      <w:r w:rsidR="00512C4D">
        <w:t>ło</w:t>
      </w:r>
      <w:r>
        <w:t xml:space="preserve"> ryzyko ponownego popełnienia czynu przez podejrzanego lub sprawcę. </w:t>
      </w:r>
      <w:r w:rsidR="00512C4D">
        <w:t>Właściwe</w:t>
      </w:r>
      <w:r>
        <w:t xml:space="preserve"> przepis</w:t>
      </w:r>
      <w:r w:rsidR="00512C4D">
        <w:t>y</w:t>
      </w:r>
      <w:r>
        <w:t xml:space="preserve"> przewid</w:t>
      </w:r>
      <w:r w:rsidR="00512C4D">
        <w:t>ywały</w:t>
      </w:r>
      <w:r>
        <w:t xml:space="preserve"> t</w:t>
      </w:r>
      <w:r w:rsidR="00512C4D">
        <w:t>akże</w:t>
      </w:r>
      <w:r>
        <w:t xml:space="preserve"> możliwość nałożenia obowiązku poddania leczeniu odwykowemu osób, które popełniły przestępstwo pod zdecydowanym wpływem alkoholu lub środków odurzających. Co więcej, w ustawie o bezpieczeństwie ruchu drogowego przewidziano możliwość </w:t>
      </w:r>
      <w:r w:rsidR="005F00B8">
        <w:t xml:space="preserve">unieważnienia </w:t>
      </w:r>
      <w:r>
        <w:t>prawa jazdy za wielokrotne naruszenia przepisów dotyczących bezpieczeństwa ruchu drogowego (zob. par. 40, 43 i 45 powyżej).</w:t>
      </w:r>
    </w:p>
    <w:p w14:paraId="457AD634" w14:textId="7928B6F9" w:rsidR="002E7DD4" w:rsidRPr="00F9089F" w:rsidRDefault="002E7DD4" w:rsidP="00F9089F">
      <w:pPr>
        <w:pStyle w:val="JuPara"/>
        <w:rPr>
          <w:rFonts w:eastAsia="Times New Roman"/>
        </w:rPr>
      </w:pPr>
      <w:r w:rsidRPr="00F9089F">
        <w:rPr>
          <w:rFonts w:eastAsia="Times New Roman"/>
        </w:rPr>
        <w:fldChar w:fldCharType="begin"/>
      </w:r>
      <w:r w:rsidRPr="00F9089F">
        <w:rPr>
          <w:rFonts w:eastAsia="Times New Roman"/>
        </w:rPr>
        <w:instrText xml:space="preserve"> SEQ level0 \*arabic </w:instrText>
      </w:r>
      <w:r w:rsidRPr="00F9089F">
        <w:rPr>
          <w:rFonts w:eastAsia="Times New Roman"/>
        </w:rPr>
        <w:fldChar w:fldCharType="separate"/>
      </w:r>
      <w:r w:rsidR="00887A59">
        <w:rPr>
          <w:rFonts w:eastAsia="Times New Roman"/>
          <w:noProof/>
        </w:rPr>
        <w:t>74</w:t>
      </w:r>
      <w:r w:rsidRPr="00F9089F">
        <w:rPr>
          <w:rFonts w:eastAsia="Times New Roman"/>
        </w:rPr>
        <w:fldChar w:fldCharType="end"/>
      </w:r>
      <w:r>
        <w:t>.</w:t>
      </w:r>
      <w:r w:rsidR="009C4069">
        <w:t xml:space="preserve"> </w:t>
      </w:r>
      <w:r w:rsidR="00B444F4">
        <w:t xml:space="preserve">Zgodnie z rządowym Programem </w:t>
      </w:r>
      <w:r>
        <w:t xml:space="preserve">na rzecz bezpieczeństwa drogowego należy zapobiegać zagrożeniom dla życia i </w:t>
      </w:r>
      <w:r w:rsidR="005F00B8">
        <w:t xml:space="preserve">integralności </w:t>
      </w:r>
      <w:r>
        <w:t xml:space="preserve">fizycznej uczestników ruchu drogowego. </w:t>
      </w:r>
      <w:r w:rsidR="005F00B8">
        <w:t>Program odwołuje się do</w:t>
      </w:r>
      <w:r>
        <w:t xml:space="preserve"> </w:t>
      </w:r>
      <w:r w:rsidR="005F00B8">
        <w:t>kontroli</w:t>
      </w:r>
      <w:r>
        <w:t xml:space="preserve"> </w:t>
      </w:r>
      <w:r w:rsidR="005F00B8">
        <w:t>i karania</w:t>
      </w:r>
      <w:r>
        <w:t xml:space="preserve"> prowadzeni</w:t>
      </w:r>
      <w:r w:rsidR="005F00B8">
        <w:t>a</w:t>
      </w:r>
      <w:r>
        <w:t xml:space="preserve"> pojazdów </w:t>
      </w:r>
      <w:r w:rsidR="0037717C">
        <w:t xml:space="preserve">pod wpływem alkoholu </w:t>
      </w:r>
      <w:r>
        <w:t>i przekraczani</w:t>
      </w:r>
      <w:r w:rsidR="0037717C">
        <w:t>a</w:t>
      </w:r>
      <w:r>
        <w:t xml:space="preserve"> dopuszczalnej prędkości, </w:t>
      </w:r>
      <w:r w:rsidR="0037717C">
        <w:t>jako</w:t>
      </w:r>
      <w:r>
        <w:t xml:space="preserve"> skuteczn</w:t>
      </w:r>
      <w:r w:rsidR="0037717C">
        <w:t>ych</w:t>
      </w:r>
      <w:r>
        <w:t xml:space="preserve"> </w:t>
      </w:r>
      <w:r w:rsidR="0037717C">
        <w:t xml:space="preserve">środków </w:t>
      </w:r>
      <w:r>
        <w:t xml:space="preserve">zapobiegania zagrożeniom dla życia i </w:t>
      </w:r>
      <w:r w:rsidR="0037717C">
        <w:t xml:space="preserve">integralności </w:t>
      </w:r>
      <w:r>
        <w:t xml:space="preserve">fizycznej uczestników ruchu drogowego (zob. par. 47–48 powyżej). Co więcej, w eksperckiej ocenie bezpieczeństwa drogowego w Chorwacji </w:t>
      </w:r>
      <w:r w:rsidR="0037717C">
        <w:t xml:space="preserve">i działania programu </w:t>
      </w:r>
      <w:r>
        <w:t>podkreśl</w:t>
      </w:r>
      <w:r w:rsidR="0037717C">
        <w:t>o</w:t>
      </w:r>
      <w:r>
        <w:t xml:space="preserve">no, że </w:t>
      </w:r>
      <w:r w:rsidR="0037717C">
        <w:t>w celu przeciwdziałania</w:t>
      </w:r>
      <w:r>
        <w:t xml:space="preserve"> wzrost</w:t>
      </w:r>
      <w:r w:rsidR="0037717C">
        <w:t>owi</w:t>
      </w:r>
      <w:r>
        <w:t xml:space="preserve"> liczby wypadków drogowych, konieczne jest m</w:t>
      </w:r>
      <w:r w:rsidR="0037717C">
        <w:t>. in.</w:t>
      </w:r>
      <w:r>
        <w:t xml:space="preserve"> skuteczne karanie za wykroczenia i przestępstwa związane z bezpieczeństwem drogowym (zob. par. 49 powyżej).</w:t>
      </w:r>
    </w:p>
    <w:p w14:paraId="147858B1" w14:textId="16EB4CD5" w:rsidR="002E7DD4" w:rsidRPr="00F9089F" w:rsidRDefault="002E7DD4" w:rsidP="00F9089F">
      <w:pPr>
        <w:pStyle w:val="JuPara"/>
        <w:rPr>
          <w:rFonts w:eastAsia="Times New Roman"/>
        </w:rPr>
      </w:pPr>
      <w:r w:rsidRPr="00F9089F">
        <w:rPr>
          <w:rFonts w:eastAsia="Times New Roman"/>
        </w:rPr>
        <w:fldChar w:fldCharType="begin"/>
      </w:r>
      <w:r w:rsidRPr="00F9089F">
        <w:rPr>
          <w:rFonts w:eastAsia="Times New Roman"/>
        </w:rPr>
        <w:instrText xml:space="preserve"> SEQ level0 \*arabic </w:instrText>
      </w:r>
      <w:r w:rsidRPr="00F9089F">
        <w:rPr>
          <w:rFonts w:eastAsia="Times New Roman"/>
        </w:rPr>
        <w:fldChar w:fldCharType="separate"/>
      </w:r>
      <w:r w:rsidR="00887A59">
        <w:rPr>
          <w:rFonts w:eastAsia="Times New Roman"/>
          <w:noProof/>
        </w:rPr>
        <w:t>75</w:t>
      </w:r>
      <w:r w:rsidRPr="00F9089F">
        <w:rPr>
          <w:rFonts w:eastAsia="Times New Roman"/>
        </w:rPr>
        <w:fldChar w:fldCharType="end"/>
      </w:r>
      <w:r>
        <w:t>.</w:t>
      </w:r>
      <w:r w:rsidR="009C4069">
        <w:t xml:space="preserve"> </w:t>
      </w:r>
      <w:r>
        <w:t>W związku z tym należy też zauważyć, że w odpowiednich dokumentach ONZ i WHO wskazuje się</w:t>
      </w:r>
      <w:r w:rsidR="00500B90">
        <w:t xml:space="preserve"> na konieczność sk</w:t>
      </w:r>
      <w:r>
        <w:t>uteczne</w:t>
      </w:r>
      <w:r w:rsidR="00500B90">
        <w:t>go</w:t>
      </w:r>
      <w:r>
        <w:t xml:space="preserve"> wdrażani</w:t>
      </w:r>
      <w:r w:rsidR="00500B90">
        <w:t>a</w:t>
      </w:r>
      <w:r>
        <w:t xml:space="preserve"> i egzekwowani</w:t>
      </w:r>
      <w:r w:rsidR="00500B90">
        <w:t>a</w:t>
      </w:r>
      <w:r>
        <w:t xml:space="preserve"> przepisów o bezpieczeństwie ruchu drogowego</w:t>
      </w:r>
      <w:r w:rsidR="00500B90">
        <w:t xml:space="preserve">, </w:t>
      </w:r>
      <w:r w:rsidR="00500B90">
        <w:lastRenderedPageBreak/>
        <w:t>jako sposobu na zmniejszenie liczby obrażeń i zgonów na drogach</w:t>
      </w:r>
      <w:r>
        <w:t xml:space="preserve"> (zob. par. 50–51 powyżej). Ponadto w </w:t>
      </w:r>
      <w:r w:rsidR="00500B90">
        <w:t>unijnej deklaracji</w:t>
      </w:r>
      <w:r>
        <w:t xml:space="preserve"> z Valletty, </w:t>
      </w:r>
      <w:r w:rsidR="00DD426C">
        <w:t>opierającej</w:t>
      </w:r>
      <w:r>
        <w:t xml:space="preserve"> się na dokument</w:t>
      </w:r>
      <w:r w:rsidR="00DD426C">
        <w:t>ach</w:t>
      </w:r>
      <w:r>
        <w:t xml:space="preserve"> ONZ i WHO, wskazano</w:t>
      </w:r>
      <w:r w:rsidR="00DD426C">
        <w:t xml:space="preserve"> jazdę pod wpływem</w:t>
      </w:r>
      <w:r>
        <w:t xml:space="preserve"> alkoholu i nadmiern</w:t>
      </w:r>
      <w:r w:rsidR="00DD426C">
        <w:t>ą</w:t>
      </w:r>
      <w:r>
        <w:t xml:space="preserve"> prędkość </w:t>
      </w:r>
      <w:r w:rsidR="00DD426C">
        <w:t>jako</w:t>
      </w:r>
      <w:r>
        <w:t xml:space="preserve"> </w:t>
      </w:r>
      <w:r w:rsidR="00DD426C">
        <w:t xml:space="preserve">niektóre z </w:t>
      </w:r>
      <w:r>
        <w:t>główn</w:t>
      </w:r>
      <w:r w:rsidR="00DD426C">
        <w:t>ych</w:t>
      </w:r>
      <w:r>
        <w:t xml:space="preserve"> przyczyn </w:t>
      </w:r>
      <w:r w:rsidR="00DD426C">
        <w:t xml:space="preserve">zdarzeń </w:t>
      </w:r>
      <w:r>
        <w:t>drogowych, któr</w:t>
      </w:r>
      <w:r w:rsidR="00DD426C">
        <w:t>ym</w:t>
      </w:r>
      <w:r>
        <w:t xml:space="preserve"> należy </w:t>
      </w:r>
      <w:r w:rsidR="00DD426C">
        <w:t>zaradzić</w:t>
      </w:r>
      <w:r>
        <w:t xml:space="preserve"> skutecznym egzekwowaniem przepisów o bezpieczeństwie drogowym (zob. pkt 52–54 powyżej).</w:t>
      </w:r>
    </w:p>
    <w:p w14:paraId="67EF42EF" w14:textId="4A2D8B1B" w:rsidR="002E7DD4" w:rsidRPr="00F9089F" w:rsidRDefault="002E7DD4" w:rsidP="00F9089F">
      <w:pPr>
        <w:pStyle w:val="JuPara"/>
        <w:rPr>
          <w:rFonts w:eastAsia="Times New Roman"/>
        </w:rPr>
      </w:pPr>
      <w:r w:rsidRPr="00F9089F">
        <w:rPr>
          <w:rFonts w:eastAsia="Times New Roman"/>
        </w:rPr>
        <w:fldChar w:fldCharType="begin"/>
      </w:r>
      <w:r w:rsidRPr="00F9089F">
        <w:rPr>
          <w:rFonts w:eastAsia="Times New Roman"/>
        </w:rPr>
        <w:instrText xml:space="preserve"> SEQ level0 \*arabic </w:instrText>
      </w:r>
      <w:r w:rsidRPr="00F9089F">
        <w:rPr>
          <w:rFonts w:eastAsia="Times New Roman"/>
        </w:rPr>
        <w:fldChar w:fldCharType="separate"/>
      </w:r>
      <w:r w:rsidR="00887A59">
        <w:rPr>
          <w:rFonts w:eastAsia="Times New Roman"/>
          <w:noProof/>
        </w:rPr>
        <w:t>76</w:t>
      </w:r>
      <w:r w:rsidRPr="00F9089F">
        <w:rPr>
          <w:rFonts w:eastAsia="Times New Roman"/>
        </w:rPr>
        <w:fldChar w:fldCharType="end"/>
      </w:r>
      <w:r>
        <w:t>.</w:t>
      </w:r>
      <w:r w:rsidR="009C4069">
        <w:t xml:space="preserve"> </w:t>
      </w:r>
      <w:r>
        <w:t xml:space="preserve">Trybunał </w:t>
      </w:r>
      <w:r w:rsidR="009B03AD">
        <w:t>pragnąłby jeszcze dodać</w:t>
      </w:r>
      <w:r>
        <w:t xml:space="preserve">, że powszechnie wiadomo, iż samochody i inne pojazdy silnikowe mogą stać się niebezpieczne, w sytuacji gdy są użytkowane w sposób nieodpowiedzialny lub nieostrożny, jak również mogą powodować </w:t>
      </w:r>
      <w:r w:rsidR="009B03AD">
        <w:t>rozległe</w:t>
      </w:r>
      <w:r>
        <w:t xml:space="preserve"> szkody </w:t>
      </w:r>
      <w:r w:rsidR="009B03AD">
        <w:t>publiczne</w:t>
      </w:r>
      <w:r>
        <w:t>, ponieważ znaczn</w:t>
      </w:r>
      <w:r w:rsidR="009B03AD">
        <w:t>a część</w:t>
      </w:r>
      <w:r>
        <w:t xml:space="preserve"> społeczeństwa regularnie z nich korzysta. Istnieje zatem </w:t>
      </w:r>
      <w:r w:rsidR="009B03AD">
        <w:t xml:space="preserve">istotny </w:t>
      </w:r>
      <w:r>
        <w:t xml:space="preserve">powód, by chronić społeczeństwo przed </w:t>
      </w:r>
      <w:r w:rsidR="009B03AD">
        <w:t>szkodami</w:t>
      </w:r>
      <w:r>
        <w:t xml:space="preserve"> w ruchu drogowym (zob. par. 68 powyżej). Państwo powinno dążyć do zapobiegania wypadkom drogowym </w:t>
      </w:r>
      <w:r w:rsidR="009B03AD">
        <w:t xml:space="preserve">poprzez </w:t>
      </w:r>
      <w:r>
        <w:t>egzekwowani</w:t>
      </w:r>
      <w:r w:rsidR="009B03AD">
        <w:t>e</w:t>
      </w:r>
      <w:r>
        <w:t xml:space="preserve"> przestrzegania właściwych przepisów, stosując odpowiednie środki odstraszające i prewencyjne, aby ograniczyć ryzyko wynikające z niebezpiecznie nieostrożnego lub lekkomyślnego zachowania w ruchu drogowym.</w:t>
      </w:r>
    </w:p>
    <w:p w14:paraId="60E7B359" w14:textId="602CCA8C" w:rsidR="002E7DD4" w:rsidRPr="00F9089F" w:rsidRDefault="002E7DD4" w:rsidP="00F9089F">
      <w:pPr>
        <w:pStyle w:val="JuPara"/>
        <w:rPr>
          <w:rFonts w:eastAsia="Times New Roman"/>
        </w:rPr>
      </w:pPr>
      <w:r w:rsidRPr="00F9089F">
        <w:rPr>
          <w:rFonts w:eastAsia="Times New Roman"/>
        </w:rPr>
        <w:fldChar w:fldCharType="begin"/>
      </w:r>
      <w:r w:rsidRPr="00F9089F">
        <w:rPr>
          <w:rFonts w:eastAsia="Times New Roman"/>
        </w:rPr>
        <w:instrText xml:space="preserve"> SEQ level0 \*arabic </w:instrText>
      </w:r>
      <w:r w:rsidRPr="00F9089F">
        <w:rPr>
          <w:rFonts w:eastAsia="Times New Roman"/>
        </w:rPr>
        <w:fldChar w:fldCharType="separate"/>
      </w:r>
      <w:r w:rsidR="00887A59">
        <w:rPr>
          <w:rFonts w:eastAsia="Times New Roman"/>
          <w:noProof/>
        </w:rPr>
        <w:t>77</w:t>
      </w:r>
      <w:r w:rsidRPr="00F9089F">
        <w:rPr>
          <w:rFonts w:eastAsia="Times New Roman"/>
        </w:rPr>
        <w:fldChar w:fldCharType="end"/>
      </w:r>
      <w:r>
        <w:t>.</w:t>
      </w:r>
      <w:r w:rsidR="009C4069">
        <w:t xml:space="preserve"> </w:t>
      </w:r>
      <w:r>
        <w:t xml:space="preserve">Podsumowując, mając na uwadze powyższe, Trybunał uznaje, że istotne krajowe ramy prawne przewidywały odpowiednie środki zapobiegawcze mające na celu zapewnienie bezpieczeństwa publicznego </w:t>
      </w:r>
      <w:r w:rsidR="00CD2CC8">
        <w:br/>
      </w:r>
      <w:r>
        <w:t xml:space="preserve">i </w:t>
      </w:r>
      <w:r w:rsidR="00CD2CC8">
        <w:t xml:space="preserve">zminimalizowanie </w:t>
      </w:r>
      <w:r>
        <w:t xml:space="preserve">liczby wypadków drogowych. </w:t>
      </w:r>
      <w:r w:rsidR="00CD2CC8">
        <w:t>Okaże się dopiero</w:t>
      </w:r>
      <w:r>
        <w:t xml:space="preserve">, czy wspomniane ramy regulacyjne </w:t>
      </w:r>
      <w:r w:rsidR="00CD2CC8">
        <w:t>skutecznie działały</w:t>
      </w:r>
      <w:r>
        <w:t xml:space="preserve"> w praktyce (zob. par. 69 powyżej).</w:t>
      </w:r>
    </w:p>
    <w:p w14:paraId="33D84615" w14:textId="43613B25" w:rsidR="002E7DD4" w:rsidRPr="00F9089F" w:rsidRDefault="002E7DD4" w:rsidP="00F9089F">
      <w:pPr>
        <w:pStyle w:val="JuPara"/>
        <w:rPr>
          <w:rFonts w:eastAsia="Times New Roman"/>
        </w:rPr>
      </w:pPr>
      <w:r w:rsidRPr="00F9089F">
        <w:rPr>
          <w:rFonts w:eastAsia="Times New Roman"/>
        </w:rPr>
        <w:fldChar w:fldCharType="begin"/>
      </w:r>
      <w:r w:rsidRPr="00F9089F">
        <w:rPr>
          <w:rFonts w:eastAsia="Times New Roman"/>
        </w:rPr>
        <w:instrText xml:space="preserve"> SEQ level0 \*arabic </w:instrText>
      </w:r>
      <w:r w:rsidRPr="00F9089F">
        <w:rPr>
          <w:rFonts w:eastAsia="Times New Roman"/>
        </w:rPr>
        <w:fldChar w:fldCharType="separate"/>
      </w:r>
      <w:r w:rsidR="00887A59">
        <w:rPr>
          <w:rFonts w:eastAsia="Times New Roman"/>
          <w:noProof/>
        </w:rPr>
        <w:t>78</w:t>
      </w:r>
      <w:r w:rsidRPr="00F9089F">
        <w:rPr>
          <w:rFonts w:eastAsia="Times New Roman"/>
        </w:rPr>
        <w:fldChar w:fldCharType="end"/>
      </w:r>
      <w:r>
        <w:t>.</w:t>
      </w:r>
      <w:r w:rsidR="009C4069">
        <w:t xml:space="preserve"> </w:t>
      </w:r>
      <w:r>
        <w:t>Krewny skarżących zginął w zdarzeniu drogowym spowodowanym przez D.</w:t>
      </w:r>
      <w:r w:rsidR="00CD2CC8">
        <w:t xml:space="preserve"> </w:t>
      </w:r>
      <w:r>
        <w:t xml:space="preserve">M., który </w:t>
      </w:r>
      <w:r w:rsidR="00CD2CC8">
        <w:t>przejechał przez skrzyżowanie na czerwonym świetle,</w:t>
      </w:r>
      <w:r>
        <w:t xml:space="preserve"> kierując pojazdem pod wpływem alkoholu, co znacznie ograniczyło jego zdolność do prowadzenia pojazdu (zob. par. 7 </w:t>
      </w:r>
      <w:r w:rsidR="00CD2CC8">
        <w:t xml:space="preserve">i </w:t>
      </w:r>
      <w:r>
        <w:t>18–19 powyżej)</w:t>
      </w:r>
      <w:r w:rsidR="00CD2CC8">
        <w:t>.</w:t>
      </w:r>
      <w:r>
        <w:t xml:space="preserve"> Właściwe organy uznały takie zachowanie za lekkomyśln</w:t>
      </w:r>
      <w:r w:rsidR="007449CB">
        <w:t>e</w:t>
      </w:r>
      <w:r>
        <w:t xml:space="preserve"> kierowani</w:t>
      </w:r>
      <w:r w:rsidR="007449CB">
        <w:t>e</w:t>
      </w:r>
      <w:r>
        <w:t xml:space="preserve"> pojazdem </w:t>
      </w:r>
      <w:r w:rsidR="007449CB">
        <w:br/>
        <w:t xml:space="preserve">z </w:t>
      </w:r>
      <w:r>
        <w:t xml:space="preserve">umyślnym lub </w:t>
      </w:r>
      <w:r w:rsidR="007449CB">
        <w:t xml:space="preserve">lekkomyślnym </w:t>
      </w:r>
      <w:r>
        <w:t>lekceważeni</w:t>
      </w:r>
      <w:r w:rsidR="007449CB">
        <w:t>em</w:t>
      </w:r>
      <w:r>
        <w:t xml:space="preserve"> bezpieczeństwa innych osób, wykraczając</w:t>
      </w:r>
      <w:r w:rsidR="007449CB">
        <w:t>ym</w:t>
      </w:r>
      <w:r>
        <w:t xml:space="preserve"> poza zwykłe spowodowanie wypadku drogowego wskutek niedbalstwa. Innymi słowy, D.</w:t>
      </w:r>
      <w:r w:rsidR="007449CB">
        <w:t xml:space="preserve"> </w:t>
      </w:r>
      <w:r>
        <w:t xml:space="preserve">M. </w:t>
      </w:r>
      <w:r w:rsidR="007449CB">
        <w:t>był świadomy rodzaju ryzyka</w:t>
      </w:r>
      <w:r>
        <w:t xml:space="preserve">, z </w:t>
      </w:r>
      <w:r w:rsidR="007449CB">
        <w:t xml:space="preserve">jakim </w:t>
      </w:r>
      <w:r>
        <w:t xml:space="preserve">może wiązać się jego zachowanie, a mimo </w:t>
      </w:r>
      <w:r w:rsidR="007449CB">
        <w:t>tego je podjął</w:t>
      </w:r>
      <w:r>
        <w:t xml:space="preserve"> (zob. par. 22 i 38 powyżej).</w:t>
      </w:r>
    </w:p>
    <w:p w14:paraId="0B056AED" w14:textId="25A28237" w:rsidR="002E7DD4" w:rsidRPr="00F9089F" w:rsidRDefault="002E7DD4" w:rsidP="00F9089F">
      <w:pPr>
        <w:pStyle w:val="JuPara"/>
        <w:rPr>
          <w:rFonts w:eastAsia="Times New Roman"/>
        </w:rPr>
      </w:pPr>
      <w:r w:rsidRPr="00F9089F">
        <w:rPr>
          <w:rFonts w:eastAsia="Times New Roman"/>
        </w:rPr>
        <w:fldChar w:fldCharType="begin"/>
      </w:r>
      <w:r w:rsidRPr="00F9089F">
        <w:rPr>
          <w:rFonts w:eastAsia="Times New Roman"/>
        </w:rPr>
        <w:instrText xml:space="preserve"> SEQ level0 \*arabic </w:instrText>
      </w:r>
      <w:r w:rsidRPr="00F9089F">
        <w:rPr>
          <w:rFonts w:eastAsia="Times New Roman"/>
        </w:rPr>
        <w:fldChar w:fldCharType="separate"/>
      </w:r>
      <w:r w:rsidR="00887A59">
        <w:rPr>
          <w:rFonts w:eastAsia="Times New Roman"/>
          <w:noProof/>
        </w:rPr>
        <w:t>79</w:t>
      </w:r>
      <w:r w:rsidRPr="00F9089F">
        <w:rPr>
          <w:rFonts w:eastAsia="Times New Roman"/>
        </w:rPr>
        <w:fldChar w:fldCharType="end"/>
      </w:r>
      <w:r>
        <w:t>.</w:t>
      </w:r>
      <w:r w:rsidR="009C4069">
        <w:t xml:space="preserve"> </w:t>
      </w:r>
      <w:r>
        <w:t>D.</w:t>
      </w:r>
      <w:r w:rsidR="007449CB">
        <w:t xml:space="preserve"> </w:t>
      </w:r>
      <w:r>
        <w:t xml:space="preserve">M. wielokrotnie naruszał właściwe przepisy o ruchu drogowym, </w:t>
      </w:r>
      <w:r w:rsidR="00EE0A96">
        <w:br/>
      </w:r>
      <w:r>
        <w:t xml:space="preserve">w tym prowadził pod wpływem alkoholu, przekraczał dopuszczalną prędkość i nie stosował się do znaków drogowych. W okresie poprzedzającym zdarzenie, </w:t>
      </w:r>
      <w:r w:rsidR="00EE0A96">
        <w:t>pomiędzy</w:t>
      </w:r>
      <w:r>
        <w:t xml:space="preserve"> marc</w:t>
      </w:r>
      <w:r w:rsidR="00EE0A96">
        <w:t>em</w:t>
      </w:r>
      <w:r>
        <w:t xml:space="preserve"> 2000 r. </w:t>
      </w:r>
      <w:r w:rsidR="00EE0A96">
        <w:t xml:space="preserve">a </w:t>
      </w:r>
      <w:r>
        <w:t>maj</w:t>
      </w:r>
      <w:r w:rsidR="00EE0A96">
        <w:t>em</w:t>
      </w:r>
      <w:r>
        <w:t xml:space="preserve"> 2012 r., </w:t>
      </w:r>
      <w:r w:rsidR="00EE0A96">
        <w:t>D. M. był trzydzieści dwa razy notowany w rejestrze policyjnym</w:t>
      </w:r>
      <w:r>
        <w:t xml:space="preserve"> jako sprawc</w:t>
      </w:r>
      <w:r w:rsidR="00EE0A96">
        <w:t>a</w:t>
      </w:r>
      <w:r>
        <w:t xml:space="preserve"> różnych </w:t>
      </w:r>
      <w:r w:rsidR="00EE0A96">
        <w:t xml:space="preserve">zdarzeń </w:t>
      </w:r>
      <w:r>
        <w:t xml:space="preserve">drogowych. Ostatnie skazanie miało miejsce w związku z czynem popełnionym w listopadzie 2010 r. </w:t>
      </w:r>
      <w:r w:rsidR="00EE0A96">
        <w:t xml:space="preserve">Mimo tego jego </w:t>
      </w:r>
      <w:r>
        <w:t xml:space="preserve">prawo jazdy tymczasowo zatrzymano dwukrotnie jedynie na krótki czas: pierwszy raz na trzy miesiące w latach 2001–2002, a następnie w 2006 r. na zaledwie trzy dni. Za inne naruszenia przepisów drogowych karano go niewielkimi </w:t>
      </w:r>
      <w:r w:rsidR="004269A4">
        <w:t>grzywnami</w:t>
      </w:r>
      <w:r>
        <w:t>, prac</w:t>
      </w:r>
      <w:r w:rsidR="008B7D98">
        <w:t>ami</w:t>
      </w:r>
      <w:r>
        <w:t xml:space="preserve"> społeczn</w:t>
      </w:r>
      <w:r w:rsidR="008B7D98">
        <w:t>ymi</w:t>
      </w:r>
      <w:r>
        <w:t xml:space="preserve"> </w:t>
      </w:r>
      <w:r w:rsidR="008B7D98">
        <w:t>lub tylko</w:t>
      </w:r>
      <w:r>
        <w:t xml:space="preserve"> udzielono pouczenia. Ponadto dziesięć </w:t>
      </w:r>
      <w:r>
        <w:lastRenderedPageBreak/>
        <w:t>postępowań w sprawach o wykroczenia umorzono ze względu na przedawnienie lub z powodu nieprawidłowości w czynnościach po stronie policji (zob. par. 9 powyżej).</w:t>
      </w:r>
    </w:p>
    <w:p w14:paraId="69E3AAA9" w14:textId="61D17B28" w:rsidR="002E7DD4" w:rsidRPr="00F9089F" w:rsidRDefault="002E7DD4" w:rsidP="00F9089F">
      <w:pPr>
        <w:pStyle w:val="JuPara"/>
        <w:rPr>
          <w:rFonts w:eastAsia="Times New Roman"/>
        </w:rPr>
      </w:pPr>
      <w:r w:rsidRPr="00F9089F">
        <w:rPr>
          <w:rFonts w:eastAsia="Times New Roman"/>
        </w:rPr>
        <w:fldChar w:fldCharType="begin"/>
      </w:r>
      <w:r w:rsidRPr="00F9089F">
        <w:rPr>
          <w:rFonts w:eastAsia="Times New Roman"/>
        </w:rPr>
        <w:instrText xml:space="preserve"> SEQ level0 \*arabic </w:instrText>
      </w:r>
      <w:r w:rsidRPr="00F9089F">
        <w:rPr>
          <w:rFonts w:eastAsia="Times New Roman"/>
        </w:rPr>
        <w:fldChar w:fldCharType="separate"/>
      </w:r>
      <w:r w:rsidR="00887A59">
        <w:rPr>
          <w:rFonts w:eastAsia="Times New Roman"/>
          <w:noProof/>
        </w:rPr>
        <w:t>80</w:t>
      </w:r>
      <w:r w:rsidRPr="00F9089F">
        <w:rPr>
          <w:rFonts w:eastAsia="Times New Roman"/>
        </w:rPr>
        <w:fldChar w:fldCharType="end"/>
      </w:r>
      <w:r>
        <w:t>.</w:t>
      </w:r>
      <w:r w:rsidR="009C4069">
        <w:t xml:space="preserve"> </w:t>
      </w:r>
      <w:r w:rsidR="008B7D98">
        <w:t>Mniej więcej w</w:t>
      </w:r>
      <w:r>
        <w:t xml:space="preserve"> czasie zdarzenia, w którym krewny skarżących stracił życie, przeciwko D.</w:t>
      </w:r>
      <w:r w:rsidR="005C6718">
        <w:t xml:space="preserve"> </w:t>
      </w:r>
      <w:r>
        <w:t>M. toczyło się postępowanie w sprawie o wykroczenie w związku z prowadzeniem pojazdu w stanie po użyciu alkoholu w październiku 2010 r. W policyjnym mandacie znalazł się nakaz zatrzymania prawa jazdy na okres dziewięciu miesięcy. Nic nie wskazuje na to, aby po zaskarżeniu tego mandatu do sądu ds. wykroczeń</w:t>
      </w:r>
      <w:r w:rsidR="00F46894">
        <w:t>,</w:t>
      </w:r>
      <w:r>
        <w:t xml:space="preserve"> sąd rozważał zatrzymanie prawa jazdy do czasu rozstrzygnięcia sprawy (zob. par. 43 powyżej). Należy przy tym zauważyć, że w wyroku sądu pierwszej instancji wydanym w tym postępowaniu 1 czerwca 2011 r. sąd błędnie ustalił, że D.</w:t>
      </w:r>
      <w:r w:rsidR="00F46894">
        <w:t xml:space="preserve"> </w:t>
      </w:r>
      <w:r>
        <w:t>M. nie był wcześniej karany</w:t>
      </w:r>
      <w:r w:rsidR="00F46894">
        <w:t xml:space="preserve"> i dlatego</w:t>
      </w:r>
      <w:r>
        <w:t xml:space="preserve"> uznał </w:t>
      </w:r>
      <w:r w:rsidR="004269A4">
        <w:t>grzywnę</w:t>
      </w:r>
      <w:r>
        <w:t xml:space="preserve"> za</w:t>
      </w:r>
      <w:r w:rsidR="00F46894">
        <w:t xml:space="preserve"> wystarczającą</w:t>
      </w:r>
      <w:r>
        <w:t xml:space="preserve"> karę</w:t>
      </w:r>
      <w:r w:rsidR="00F46894">
        <w:t>, bez</w:t>
      </w:r>
      <w:r>
        <w:t xml:space="preserve"> zatrzymania prawa jazdy. Po uchyleniu tego wyroku w postępowaniu apelacyjnym postępowanie zakończyło się dopiero w grudniu 2013 r. wydaniem nowego wyroku przez sąd ds. wykroczeń, co nastąpiło po tym, gdy D.</w:t>
      </w:r>
      <w:r w:rsidR="00F46894">
        <w:t xml:space="preserve"> </w:t>
      </w:r>
      <w:r>
        <w:t>M. uiścił już grzywnę (zob. par. 13–15 powyżej).</w:t>
      </w:r>
    </w:p>
    <w:bookmarkStart w:id="4" w:name="_Hlk64389345"/>
    <w:p w14:paraId="5E1707CF" w14:textId="5DDC5D49" w:rsidR="002E7DD4" w:rsidRPr="00F9089F" w:rsidRDefault="002E7DD4" w:rsidP="00F9089F">
      <w:pPr>
        <w:pStyle w:val="JuPara"/>
        <w:rPr>
          <w:rFonts w:eastAsia="Times New Roman"/>
        </w:rPr>
      </w:pPr>
      <w:r w:rsidRPr="00F9089F">
        <w:rPr>
          <w:rFonts w:eastAsia="Times New Roman"/>
        </w:rPr>
        <w:fldChar w:fldCharType="begin"/>
      </w:r>
      <w:r w:rsidRPr="00F9089F">
        <w:rPr>
          <w:rFonts w:eastAsia="Times New Roman"/>
        </w:rPr>
        <w:instrText xml:space="preserve"> SEQ level0 \*arabic </w:instrText>
      </w:r>
      <w:r w:rsidRPr="00F9089F">
        <w:rPr>
          <w:rFonts w:eastAsia="Times New Roman"/>
        </w:rPr>
        <w:fldChar w:fldCharType="separate"/>
      </w:r>
      <w:r w:rsidR="00887A59">
        <w:rPr>
          <w:rFonts w:eastAsia="Times New Roman"/>
          <w:noProof/>
        </w:rPr>
        <w:t>81</w:t>
      </w:r>
      <w:r w:rsidRPr="00F9089F">
        <w:rPr>
          <w:rFonts w:eastAsia="Times New Roman"/>
        </w:rPr>
        <w:fldChar w:fldCharType="end"/>
      </w:r>
      <w:r>
        <w:t>.</w:t>
      </w:r>
      <w:r w:rsidR="009C4069">
        <w:t xml:space="preserve"> </w:t>
      </w:r>
      <w:r>
        <w:t>Z uwagi na bogatą pod względem różnych naruszeń przepisów ruchu drogowego kartotekę D.</w:t>
      </w:r>
      <w:r w:rsidR="00F46894">
        <w:t xml:space="preserve"> </w:t>
      </w:r>
      <w:r>
        <w:t xml:space="preserve">M. organy miały </w:t>
      </w:r>
      <w:r w:rsidR="00F46894">
        <w:t xml:space="preserve">uzasadnione </w:t>
      </w:r>
      <w:r>
        <w:t>podstawy, by uznać go za osobę działającą w warunkach recydywy. Mimo t</w:t>
      </w:r>
      <w:r w:rsidR="00733501">
        <w:t>ego</w:t>
      </w:r>
      <w:r>
        <w:t xml:space="preserve"> prawo jazdy zatrzymano mu tylko dwa razy na krótki czas w okresie 2001–2002 i </w:t>
      </w:r>
      <w:r w:rsidR="00733501">
        <w:t xml:space="preserve">w </w:t>
      </w:r>
      <w:r>
        <w:t>2006 r. (zob. par. 79 powyżej). W czasie zdarzenia D.</w:t>
      </w:r>
      <w:r w:rsidR="00733501">
        <w:t xml:space="preserve"> M.</w:t>
      </w:r>
      <w:r>
        <w:t xml:space="preserve"> posiadał </w:t>
      </w:r>
      <w:r w:rsidR="00733501">
        <w:t xml:space="preserve">zatem </w:t>
      </w:r>
      <w:r>
        <w:t xml:space="preserve">ważne prawo jazdy, które uprawniało go do </w:t>
      </w:r>
      <w:r w:rsidR="00733501">
        <w:t xml:space="preserve">uczestniczenia </w:t>
      </w:r>
      <w:r>
        <w:t xml:space="preserve">w ruchu drogowym (zob. par. 8 powyżej). W związku z </w:t>
      </w:r>
      <w:r w:rsidR="00733501">
        <w:t>tym, oznaką</w:t>
      </w:r>
      <w:r>
        <w:t xml:space="preserve"> braku staranności władz krajowych w reakcji na bezprawne zachowanie D.</w:t>
      </w:r>
      <w:r w:rsidR="00733501">
        <w:t xml:space="preserve"> </w:t>
      </w:r>
      <w:r>
        <w:t>M.</w:t>
      </w:r>
      <w:r w:rsidR="00733501">
        <w:t>, może być</w:t>
      </w:r>
      <w:r>
        <w:t xml:space="preserve"> </w:t>
      </w:r>
      <w:r w:rsidR="000A2C4E">
        <w:t>postrzegany</w:t>
      </w:r>
      <w:r w:rsidR="00733501">
        <w:t xml:space="preserve"> </w:t>
      </w:r>
      <w:r>
        <w:t>sposób</w:t>
      </w:r>
      <w:r w:rsidR="00733501">
        <w:t>, w jaki</w:t>
      </w:r>
      <w:r>
        <w:t xml:space="preserve"> właściwy sąd ds. wykroczeń</w:t>
      </w:r>
      <w:r w:rsidR="000A2C4E">
        <w:t>, ustalił</w:t>
      </w:r>
      <w:r>
        <w:t xml:space="preserve"> kwesti</w:t>
      </w:r>
      <w:r w:rsidR="000A2C4E">
        <w:t>ę</w:t>
      </w:r>
      <w:r>
        <w:t xml:space="preserve"> </w:t>
      </w:r>
      <w:r w:rsidR="000A2C4E">
        <w:t>uprzedniej karalności</w:t>
      </w:r>
      <w:r>
        <w:t xml:space="preserve"> D.</w:t>
      </w:r>
      <w:r w:rsidR="000A2C4E">
        <w:t xml:space="preserve"> </w:t>
      </w:r>
      <w:r>
        <w:t>M. za wykroczenia</w:t>
      </w:r>
      <w:r w:rsidR="000A2C4E">
        <w:t>, błędnie stwierdzając</w:t>
      </w:r>
      <w:r>
        <w:t xml:space="preserve">, że nie był </w:t>
      </w:r>
      <w:r w:rsidR="000A2C4E">
        <w:t xml:space="preserve">on </w:t>
      </w:r>
      <w:r>
        <w:t>karany za takie wykroczenia i w związku z tym nie zachodziła konieczność zatrzymania prawa jazdy (zob. par. 80 powyżej).</w:t>
      </w:r>
    </w:p>
    <w:bookmarkEnd w:id="4"/>
    <w:p w14:paraId="3493780D" w14:textId="1873513F" w:rsidR="002E7DD4" w:rsidRPr="00F9089F" w:rsidRDefault="002E7DD4" w:rsidP="00F9089F">
      <w:pPr>
        <w:pStyle w:val="JuPara"/>
        <w:rPr>
          <w:rFonts w:eastAsia="Times New Roman"/>
        </w:rPr>
      </w:pPr>
      <w:r w:rsidRPr="00F9089F">
        <w:rPr>
          <w:rFonts w:eastAsia="Times New Roman"/>
        </w:rPr>
        <w:fldChar w:fldCharType="begin"/>
      </w:r>
      <w:r w:rsidRPr="00F9089F">
        <w:rPr>
          <w:rFonts w:eastAsia="Times New Roman"/>
        </w:rPr>
        <w:instrText xml:space="preserve"> SEQ level0 \*arabic </w:instrText>
      </w:r>
      <w:r w:rsidRPr="00F9089F">
        <w:rPr>
          <w:rFonts w:eastAsia="Times New Roman"/>
        </w:rPr>
        <w:fldChar w:fldCharType="separate"/>
      </w:r>
      <w:r w:rsidR="00887A59">
        <w:rPr>
          <w:rFonts w:eastAsia="Times New Roman"/>
          <w:noProof/>
        </w:rPr>
        <w:t>82</w:t>
      </w:r>
      <w:r w:rsidRPr="00F9089F">
        <w:rPr>
          <w:rFonts w:eastAsia="Times New Roman"/>
        </w:rPr>
        <w:fldChar w:fldCharType="end"/>
      </w:r>
      <w:r>
        <w:t>.</w:t>
      </w:r>
      <w:r w:rsidR="009C4069">
        <w:t xml:space="preserve"> </w:t>
      </w:r>
      <w:r>
        <w:t xml:space="preserve">Inną </w:t>
      </w:r>
      <w:r w:rsidR="000A2C4E">
        <w:t>wyraźną oznaką</w:t>
      </w:r>
      <w:r>
        <w:t xml:space="preserve"> </w:t>
      </w:r>
      <w:r w:rsidR="000A2C4E">
        <w:t xml:space="preserve">braków </w:t>
      </w:r>
      <w:r>
        <w:t xml:space="preserve">w stosowaniu odpowiednich mechanizmów w celu zareagowania na bezprawne </w:t>
      </w:r>
      <w:r w:rsidR="000A2C4E">
        <w:t xml:space="preserve">zachowania </w:t>
      </w:r>
      <w:r>
        <w:t>D.</w:t>
      </w:r>
      <w:r w:rsidR="000A2C4E">
        <w:t xml:space="preserve"> </w:t>
      </w:r>
      <w:r>
        <w:t xml:space="preserve">M. jest fakt, że władze krajowe dopuściły do umorzenia dziesięciu postępowań </w:t>
      </w:r>
      <w:r w:rsidR="00411645">
        <w:br/>
      </w:r>
      <w:r>
        <w:t>w sprawach o wykroczenia prowadzonych przeciwko niemu ze względu na przedawnienie lub nieprawidłowości proceduralne (por. </w:t>
      </w:r>
      <w:proofErr w:type="spellStart"/>
      <w:r>
        <w:rPr>
          <w:i/>
          <w:iCs/>
        </w:rPr>
        <w:t>Rementin</w:t>
      </w:r>
      <w:proofErr w:type="spellEnd"/>
      <w:r>
        <w:rPr>
          <w:i/>
          <w:iCs/>
        </w:rPr>
        <w:t xml:space="preserve"> </w:t>
      </w:r>
      <w:r w:rsidR="00411645">
        <w:rPr>
          <w:i/>
          <w:iCs/>
        </w:rPr>
        <w:br/>
      </w:r>
      <w:r>
        <w:rPr>
          <w:i/>
          <w:iCs/>
        </w:rPr>
        <w:t>p</w:t>
      </w:r>
      <w:r w:rsidR="00411645">
        <w:rPr>
          <w:i/>
          <w:iCs/>
        </w:rPr>
        <w:t>.</w:t>
      </w:r>
      <w:r>
        <w:rPr>
          <w:i/>
          <w:iCs/>
        </w:rPr>
        <w:t xml:space="preserve"> Chorwacji</w:t>
      </w:r>
      <w:r>
        <w:t xml:space="preserve">, skarga nr 29525/10, § 99, 11 grudnia 2012 r.). </w:t>
      </w:r>
      <w:r w:rsidR="00411645">
        <w:t xml:space="preserve">Organy </w:t>
      </w:r>
      <w:r>
        <w:t>krajowe ciągle nakładały też na D.</w:t>
      </w:r>
      <w:r w:rsidR="00411645">
        <w:t xml:space="preserve"> </w:t>
      </w:r>
      <w:r>
        <w:t xml:space="preserve">M. niewielkie </w:t>
      </w:r>
      <w:r w:rsidR="004269A4">
        <w:t>grzywny</w:t>
      </w:r>
      <w:r>
        <w:t xml:space="preserve"> i kary alternatywne, które w sposób oczywisty nie miały żadnego skutku odstraszającego i nie sprawiły, że zaczął </w:t>
      </w:r>
      <w:r w:rsidR="00411645">
        <w:t>postępować zgodnie z</w:t>
      </w:r>
      <w:r>
        <w:t xml:space="preserve"> właściwy</w:t>
      </w:r>
      <w:r w:rsidR="00411645">
        <w:t>mi</w:t>
      </w:r>
      <w:r>
        <w:t xml:space="preserve"> przepis</w:t>
      </w:r>
      <w:r w:rsidR="00411645">
        <w:t>ami o</w:t>
      </w:r>
      <w:r>
        <w:t xml:space="preserve"> ruchu drogow</w:t>
      </w:r>
      <w:r w:rsidR="00411645">
        <w:t>ym</w:t>
      </w:r>
      <w:r>
        <w:t>.</w:t>
      </w:r>
    </w:p>
    <w:p w14:paraId="18715B20" w14:textId="1A7F611D" w:rsidR="002E7DD4" w:rsidRPr="00F9089F" w:rsidRDefault="002E7DD4" w:rsidP="00F9089F">
      <w:pPr>
        <w:pStyle w:val="JuPara"/>
        <w:rPr>
          <w:rFonts w:eastAsia="Times New Roman"/>
        </w:rPr>
      </w:pPr>
      <w:r w:rsidRPr="00F9089F">
        <w:rPr>
          <w:rFonts w:eastAsia="Times New Roman"/>
        </w:rPr>
        <w:fldChar w:fldCharType="begin"/>
      </w:r>
      <w:r w:rsidRPr="00F9089F">
        <w:rPr>
          <w:rFonts w:eastAsia="Times New Roman"/>
        </w:rPr>
        <w:instrText xml:space="preserve"> SEQ level0 \*arabic </w:instrText>
      </w:r>
      <w:r w:rsidRPr="00F9089F">
        <w:rPr>
          <w:rFonts w:eastAsia="Times New Roman"/>
        </w:rPr>
        <w:fldChar w:fldCharType="separate"/>
      </w:r>
      <w:r w:rsidR="00887A59">
        <w:rPr>
          <w:rFonts w:eastAsia="Times New Roman"/>
          <w:noProof/>
        </w:rPr>
        <w:t>83</w:t>
      </w:r>
      <w:r w:rsidRPr="00F9089F">
        <w:rPr>
          <w:rFonts w:eastAsia="Times New Roman"/>
        </w:rPr>
        <w:fldChar w:fldCharType="end"/>
      </w:r>
      <w:r>
        <w:t>.</w:t>
      </w:r>
      <w:r w:rsidR="009C4069">
        <w:t xml:space="preserve"> </w:t>
      </w:r>
      <w:r>
        <w:t>Chociaż organy krajowe zastosowały wobec D.</w:t>
      </w:r>
      <w:r w:rsidR="00411645">
        <w:t xml:space="preserve"> </w:t>
      </w:r>
      <w:r>
        <w:t xml:space="preserve">M. pewne środki, nie </w:t>
      </w:r>
      <w:r w:rsidR="00411645">
        <w:t>przyjęły</w:t>
      </w:r>
      <w:r>
        <w:t xml:space="preserve"> kompleksow</w:t>
      </w:r>
      <w:r w:rsidR="00411645">
        <w:t>ego</w:t>
      </w:r>
      <w:r>
        <w:t xml:space="preserve"> i zintegrowan</w:t>
      </w:r>
      <w:r w:rsidR="00411645">
        <w:t>ego</w:t>
      </w:r>
      <w:r>
        <w:t xml:space="preserve"> podejści</w:t>
      </w:r>
      <w:r w:rsidR="00411645">
        <w:t>a</w:t>
      </w:r>
      <w:r>
        <w:t xml:space="preserve"> w stosowaniu skutecznych środków odstraszających i prewencyjnych, aby ukrócić ciągłe poważne naruszanie </w:t>
      </w:r>
      <w:r w:rsidR="00411645">
        <w:t xml:space="preserve">przez niego </w:t>
      </w:r>
      <w:r>
        <w:t xml:space="preserve">przepisów o ruchu drogowym. Takie podejście wymagałoby podjęcia kroków, których głównym zadaniem byłoby ograniczenie czynników ryzyka dla bezpieczeństwa ruchu drogowego </w:t>
      </w:r>
      <w:r>
        <w:lastRenderedPageBreak/>
        <w:t xml:space="preserve">poprzez, przykładowo, </w:t>
      </w:r>
      <w:r w:rsidR="00AC4AC7">
        <w:t xml:space="preserve">anulowanie jego </w:t>
      </w:r>
      <w:r>
        <w:t xml:space="preserve">prawa jazdy lub zatrzymanie go na dłuższy czas, nałożenie obowiązku przejścia ponownie szkolenia dla kierowców, leczenie odwykowe, a w stosownych przypadkach nałożenie poważniejszych i bardziej </w:t>
      </w:r>
      <w:r w:rsidR="001C6CBC">
        <w:t>odstraszających</w:t>
      </w:r>
      <w:r w:rsidR="00AC4AC7">
        <w:t xml:space="preserve"> </w:t>
      </w:r>
      <w:r>
        <w:t xml:space="preserve">kar za jego zachowanie. Zastosowanie takich środków byłoby zgodne z mechanizmami wprowadzonymi we właściwych krajowych ramach regulacyjnych i wspomnianymi wcześniej </w:t>
      </w:r>
      <w:r w:rsidR="001C6CBC">
        <w:t xml:space="preserve">standardami zatwierdzonymi </w:t>
      </w:r>
      <w:r>
        <w:t xml:space="preserve">przez Rząd w jego Programie bezpieczeństwa drogowego, a także </w:t>
      </w:r>
      <w:r w:rsidR="001C6CBC">
        <w:t xml:space="preserve">standardami określonymi </w:t>
      </w:r>
      <w:r>
        <w:t xml:space="preserve">w </w:t>
      </w:r>
      <w:r w:rsidR="001C6CBC">
        <w:t xml:space="preserve">odpowiednich </w:t>
      </w:r>
      <w:r>
        <w:t xml:space="preserve">dokumentach międzynarodowych, których celem jest zapewnienie bezpieczeństwa publicznego i </w:t>
      </w:r>
      <w:r w:rsidR="001C6CBC">
        <w:t>zminimalizowanie</w:t>
      </w:r>
      <w:r>
        <w:t xml:space="preserve"> liczby wypadków drogowych (zob. par. 73</w:t>
      </w:r>
      <w:r w:rsidR="001C6CBC">
        <w:t xml:space="preserve"> </w:t>
      </w:r>
      <w:r>
        <w:t>–76 powyżej).</w:t>
      </w:r>
    </w:p>
    <w:p w14:paraId="4FC18A47" w14:textId="6A5D2282" w:rsidR="002E7DD4" w:rsidRPr="00F9089F" w:rsidRDefault="002E7DD4" w:rsidP="00F9089F">
      <w:pPr>
        <w:pStyle w:val="JuPara"/>
        <w:rPr>
          <w:rFonts w:eastAsia="Times New Roman"/>
        </w:rPr>
      </w:pPr>
      <w:r w:rsidRPr="00F9089F">
        <w:rPr>
          <w:rFonts w:eastAsia="Times New Roman"/>
        </w:rPr>
        <w:fldChar w:fldCharType="begin"/>
      </w:r>
      <w:r w:rsidRPr="00F9089F">
        <w:rPr>
          <w:rFonts w:eastAsia="Times New Roman"/>
        </w:rPr>
        <w:instrText xml:space="preserve"> SEQ level0 \*arabic </w:instrText>
      </w:r>
      <w:r w:rsidRPr="00F9089F">
        <w:rPr>
          <w:rFonts w:eastAsia="Times New Roman"/>
        </w:rPr>
        <w:fldChar w:fldCharType="separate"/>
      </w:r>
      <w:r w:rsidR="00887A59">
        <w:rPr>
          <w:rFonts w:eastAsia="Times New Roman"/>
          <w:noProof/>
        </w:rPr>
        <w:t>84</w:t>
      </w:r>
      <w:r w:rsidRPr="00F9089F">
        <w:rPr>
          <w:rFonts w:eastAsia="Times New Roman"/>
        </w:rPr>
        <w:fldChar w:fldCharType="end"/>
      </w:r>
      <w:r>
        <w:t>.</w:t>
      </w:r>
      <w:r w:rsidR="009C4069">
        <w:t xml:space="preserve"> </w:t>
      </w:r>
      <w:r>
        <w:t>Uporczywe bezprawne zachowanie D.</w:t>
      </w:r>
      <w:r w:rsidR="00BE2896">
        <w:t xml:space="preserve"> </w:t>
      </w:r>
      <w:r>
        <w:t xml:space="preserve">M. i naruszanie przepisów o bezpieczeństwie </w:t>
      </w:r>
      <w:r w:rsidR="00BE2896">
        <w:t xml:space="preserve">ruchu </w:t>
      </w:r>
      <w:r>
        <w:t>drogow</w:t>
      </w:r>
      <w:r w:rsidR="00BE2896">
        <w:t>ego</w:t>
      </w:r>
      <w:r>
        <w:t xml:space="preserve"> </w:t>
      </w:r>
      <w:r w:rsidR="00BE2896">
        <w:t>ostatecznie</w:t>
      </w:r>
      <w:r>
        <w:t xml:space="preserve"> doprowadziło do </w:t>
      </w:r>
      <w:r w:rsidR="00BE2896">
        <w:t>spowodowania wypadku</w:t>
      </w:r>
      <w:r>
        <w:t xml:space="preserve"> drogowego ze skutkiem śmiertelnym, w którym zginął krewny skarżących. Chociaż Trybunał nie może spekulować, czy sprawy potoczyłyby się inaczej, gdyby władze działały w inny sposób i zapewniły skuteczne wdrażanie w praktyce właściwych ram regulacyjnych w reakcji na wielokrotne bezprawne zachowanie D.</w:t>
      </w:r>
      <w:r w:rsidR="00BE2896">
        <w:t xml:space="preserve"> </w:t>
      </w:r>
      <w:r>
        <w:t xml:space="preserve">M., to </w:t>
      </w:r>
      <w:r w:rsidR="00BE2896">
        <w:t>odpowiednie badanie na gruncie</w:t>
      </w:r>
      <w:r>
        <w:t xml:space="preserve"> art. 2 nie </w:t>
      </w:r>
      <w:r w:rsidR="00BE2896">
        <w:t xml:space="preserve">może </w:t>
      </w:r>
      <w:r>
        <w:t xml:space="preserve">wymagać wykazania, że do śmierci nie doszłoby „gdyby nie” niedopatrzenie lub zaniechanie po stronie władz (zob. odpowiednio </w:t>
      </w:r>
      <w:proofErr w:type="spellStart"/>
      <w:r>
        <w:rPr>
          <w:i/>
        </w:rPr>
        <w:t>Bljakaj</w:t>
      </w:r>
      <w:proofErr w:type="spellEnd"/>
      <w:r>
        <w:rPr>
          <w:i/>
        </w:rPr>
        <w:t xml:space="preserve"> i Inni p</w:t>
      </w:r>
      <w:r w:rsidR="00BE2896">
        <w:rPr>
          <w:i/>
        </w:rPr>
        <w:t>.</w:t>
      </w:r>
      <w:r>
        <w:rPr>
          <w:i/>
        </w:rPr>
        <w:t xml:space="preserve"> Chorwacji</w:t>
      </w:r>
      <w:r>
        <w:t>, skarg</w:t>
      </w:r>
      <w:r w:rsidR="009D1D61">
        <w:t>a</w:t>
      </w:r>
      <w:r>
        <w:t xml:space="preserve"> nr 74448/12, § 124, 18 września 2014 r.). </w:t>
      </w:r>
      <w:r w:rsidR="009D1D61">
        <w:t>Istotne i wystarczające do pociągnięcia</w:t>
      </w:r>
      <w:r>
        <w:t xml:space="preserve"> </w:t>
      </w:r>
      <w:r w:rsidR="009D1D61">
        <w:t xml:space="preserve">państwa do </w:t>
      </w:r>
      <w:r>
        <w:t>odpowiedzialnoś</w:t>
      </w:r>
      <w:r w:rsidR="009D1D61">
        <w:t>ci</w:t>
      </w:r>
      <w:r>
        <w:t xml:space="preserve"> na </w:t>
      </w:r>
      <w:r w:rsidR="009D1D61">
        <w:t xml:space="preserve">podstawie </w:t>
      </w:r>
      <w:r>
        <w:t xml:space="preserve">art. 2 jest </w:t>
      </w:r>
      <w:r w:rsidR="009D1D61">
        <w:t xml:space="preserve">raczej </w:t>
      </w:r>
      <w:r>
        <w:t>wykazanie, że niedociągnięcia w funkcjonowaniu właściwych ram prawnych działały na szkodę jednostki (zob. par. 72 powyżej).</w:t>
      </w:r>
    </w:p>
    <w:p w14:paraId="4EE2B3B6" w14:textId="779E283A" w:rsidR="002E7DD4" w:rsidRPr="00F9089F" w:rsidRDefault="002E7DD4" w:rsidP="00F9089F">
      <w:pPr>
        <w:pStyle w:val="JuPara"/>
        <w:rPr>
          <w:rFonts w:eastAsia="Times New Roman"/>
        </w:rPr>
      </w:pPr>
      <w:r w:rsidRPr="00F9089F">
        <w:rPr>
          <w:rFonts w:eastAsia="Times New Roman"/>
        </w:rPr>
        <w:fldChar w:fldCharType="begin"/>
      </w:r>
      <w:r w:rsidRPr="00F9089F">
        <w:rPr>
          <w:rFonts w:eastAsia="Times New Roman"/>
        </w:rPr>
        <w:instrText xml:space="preserve"> SEQ level0 \*arabic </w:instrText>
      </w:r>
      <w:r w:rsidRPr="00F9089F">
        <w:rPr>
          <w:rFonts w:eastAsia="Times New Roman"/>
        </w:rPr>
        <w:fldChar w:fldCharType="separate"/>
      </w:r>
      <w:r w:rsidR="00887A59">
        <w:rPr>
          <w:rFonts w:eastAsia="Times New Roman"/>
          <w:noProof/>
        </w:rPr>
        <w:t>85</w:t>
      </w:r>
      <w:r w:rsidRPr="00F9089F">
        <w:rPr>
          <w:rFonts w:eastAsia="Times New Roman"/>
        </w:rPr>
        <w:fldChar w:fldCharType="end"/>
      </w:r>
      <w:r>
        <w:t>.</w:t>
      </w:r>
      <w:r w:rsidR="009C4069">
        <w:t xml:space="preserve"> </w:t>
      </w:r>
      <w:r>
        <w:t>W związku z tym Trybunał pragnie podkreślić, że jego zadaniem nie jest ustal</w:t>
      </w:r>
      <w:r w:rsidR="009D1D61">
        <w:t>a</w:t>
      </w:r>
      <w:r>
        <w:t xml:space="preserve">nie, w jaki sposób konkretne środki krajowego porządku prawnego powinny </w:t>
      </w:r>
      <w:r w:rsidR="009D1D61">
        <w:t>być</w:t>
      </w:r>
      <w:r>
        <w:t xml:space="preserve"> stosowane w praktyce w </w:t>
      </w:r>
      <w:r w:rsidR="009D1D61">
        <w:t>odniesieniu do powtarzających się</w:t>
      </w:r>
      <w:r>
        <w:t xml:space="preserve"> bezprawn</w:t>
      </w:r>
      <w:r w:rsidR="009D1D61">
        <w:t>ych</w:t>
      </w:r>
      <w:r>
        <w:t xml:space="preserve"> </w:t>
      </w:r>
      <w:proofErr w:type="spellStart"/>
      <w:r>
        <w:t>zachowa</w:t>
      </w:r>
      <w:r w:rsidR="009D1D61">
        <w:t>ń</w:t>
      </w:r>
      <w:proofErr w:type="spellEnd"/>
      <w:r>
        <w:t xml:space="preserve"> D.</w:t>
      </w:r>
      <w:r w:rsidR="009D1D61">
        <w:t xml:space="preserve"> </w:t>
      </w:r>
      <w:r>
        <w:t xml:space="preserve">M. w ruchu drogowym, które </w:t>
      </w:r>
      <w:r w:rsidR="007E302C">
        <w:t>ostatecznie</w:t>
      </w:r>
      <w:r>
        <w:t xml:space="preserve"> doprowadził</w:t>
      </w:r>
      <w:r w:rsidR="007E302C">
        <w:t>y</w:t>
      </w:r>
      <w:r>
        <w:t xml:space="preserve"> do śmierci krewnego skarżących. Dla Trybunału wystarczające jest </w:t>
      </w:r>
      <w:r w:rsidR="007E302C">
        <w:t>stwierdzenie</w:t>
      </w:r>
      <w:r>
        <w:t xml:space="preserve">, że wspomniane </w:t>
      </w:r>
      <w:r w:rsidR="007E302C">
        <w:t xml:space="preserve">powyżej </w:t>
      </w:r>
      <w:r>
        <w:t xml:space="preserve">wielokrotne </w:t>
      </w:r>
      <w:r w:rsidR="007E302C">
        <w:t>zaniedbania</w:t>
      </w:r>
      <w:r>
        <w:t xml:space="preserve"> władz krajow</w:t>
      </w:r>
      <w:r w:rsidR="007E302C">
        <w:t>ych</w:t>
      </w:r>
      <w:r>
        <w:t xml:space="preserve"> na różnych szczeblach </w:t>
      </w:r>
      <w:r w:rsidR="00C74AEA">
        <w:t xml:space="preserve">co do podjęcia </w:t>
      </w:r>
      <w:r>
        <w:t xml:space="preserve">odpowiednich </w:t>
      </w:r>
      <w:r w:rsidR="00C74AEA">
        <w:t>środków przeciwko</w:t>
      </w:r>
      <w:r>
        <w:t xml:space="preserve"> ciągłe</w:t>
      </w:r>
      <w:r w:rsidR="00C74AEA">
        <w:t>mu</w:t>
      </w:r>
      <w:r>
        <w:t xml:space="preserve"> bezprawne</w:t>
      </w:r>
      <w:r w:rsidR="00C74AEA">
        <w:t>mu</w:t>
      </w:r>
      <w:r>
        <w:t xml:space="preserve"> zachowani</w:t>
      </w:r>
      <w:r w:rsidR="00C74AEA">
        <w:t>u</w:t>
      </w:r>
      <w:r>
        <w:t xml:space="preserve"> D.</w:t>
      </w:r>
      <w:r w:rsidR="00C74AEA">
        <w:t xml:space="preserve"> </w:t>
      </w:r>
      <w:r>
        <w:t xml:space="preserve">M., a przez to niezapewnienie skutecznego funkcjonowania w praktyce środków zapobiegawczych mających na celu zapewnienie bezpieczeństwa publicznego i </w:t>
      </w:r>
      <w:r w:rsidR="00C74AEA">
        <w:t xml:space="preserve">zminimalizowanie </w:t>
      </w:r>
      <w:r>
        <w:t>liczby wypadków drogowych, wykraczał</w:t>
      </w:r>
      <w:r w:rsidR="00C74AEA">
        <w:t>y</w:t>
      </w:r>
      <w:r>
        <w:t xml:space="preserve"> poza jedynie niedbałą koordynację lub </w:t>
      </w:r>
      <w:r w:rsidR="00C74AEA">
        <w:t>zaniedbanie</w:t>
      </w:r>
      <w:r w:rsidR="00387DB3">
        <w:t>: w związku z tym pociągały za sobą odpowiedzialność państwa</w:t>
      </w:r>
      <w:r>
        <w:t xml:space="preserve"> w świetle obowiązku pozytywnego ciążącego na nim na podstawie art. 2 (zob. par. 69–70 powyżej).</w:t>
      </w:r>
    </w:p>
    <w:p w14:paraId="6A1538DD" w14:textId="2D988AC5" w:rsidR="002E7DD4" w:rsidRPr="00F9089F" w:rsidRDefault="002E7DD4" w:rsidP="00F9089F">
      <w:pPr>
        <w:pStyle w:val="JuPara"/>
        <w:rPr>
          <w:rFonts w:eastAsia="Times New Roman"/>
        </w:rPr>
      </w:pPr>
      <w:r w:rsidRPr="00F9089F">
        <w:rPr>
          <w:rFonts w:eastAsia="Times New Roman"/>
        </w:rPr>
        <w:fldChar w:fldCharType="begin"/>
      </w:r>
      <w:r w:rsidRPr="00F9089F">
        <w:rPr>
          <w:rFonts w:eastAsia="Times New Roman"/>
        </w:rPr>
        <w:instrText xml:space="preserve"> SEQ level0 \*arabic </w:instrText>
      </w:r>
      <w:r w:rsidRPr="00F9089F">
        <w:rPr>
          <w:rFonts w:eastAsia="Times New Roman"/>
        </w:rPr>
        <w:fldChar w:fldCharType="separate"/>
      </w:r>
      <w:r w:rsidR="00887A59">
        <w:rPr>
          <w:rFonts w:eastAsia="Times New Roman"/>
          <w:noProof/>
        </w:rPr>
        <w:t>86</w:t>
      </w:r>
      <w:r w:rsidRPr="00F9089F">
        <w:rPr>
          <w:rFonts w:eastAsia="Times New Roman"/>
        </w:rPr>
        <w:fldChar w:fldCharType="end"/>
      </w:r>
      <w:r>
        <w:t>.</w:t>
      </w:r>
      <w:r w:rsidR="009C4069">
        <w:t xml:space="preserve"> </w:t>
      </w:r>
      <w:r>
        <w:t xml:space="preserve">Trybunał uznaje zatem, że doszło do naruszenia art. 2 Konwencji </w:t>
      </w:r>
      <w:r w:rsidR="00387DB3">
        <w:br/>
      </w:r>
      <w:r>
        <w:t>w jego aspekcie materialnym (obowiązk</w:t>
      </w:r>
      <w:r w:rsidR="00387DB3">
        <w:t>i</w:t>
      </w:r>
      <w:r>
        <w:t xml:space="preserve"> pozytywne).</w:t>
      </w:r>
    </w:p>
    <w:p w14:paraId="4B3357C4" w14:textId="77777777" w:rsidR="002E7DD4" w:rsidRPr="00F9089F" w:rsidRDefault="002E7DD4" w:rsidP="00F9089F">
      <w:pPr>
        <w:pStyle w:val="JuHa0"/>
        <w:rPr>
          <w:rFonts w:eastAsia="Times New Roman"/>
        </w:rPr>
      </w:pPr>
      <w:r>
        <w:lastRenderedPageBreak/>
        <w:t>Aspekt proceduralny art. 2</w:t>
      </w:r>
    </w:p>
    <w:p w14:paraId="0BBAE01C" w14:textId="77777777" w:rsidR="002E7DD4" w:rsidRPr="00F9089F" w:rsidRDefault="002E7DD4" w:rsidP="00F9089F">
      <w:pPr>
        <w:pStyle w:val="JuHi"/>
        <w:ind w:left="767"/>
        <w:rPr>
          <w:rFonts w:eastAsia="Times New Roman"/>
        </w:rPr>
      </w:pPr>
      <w:r>
        <w:t>Zasady ogólne</w:t>
      </w:r>
    </w:p>
    <w:p w14:paraId="1B3446D9" w14:textId="731173E5" w:rsidR="002E7DD4" w:rsidRPr="00F9089F" w:rsidRDefault="002E7DD4" w:rsidP="00F9089F">
      <w:pPr>
        <w:pStyle w:val="JuPara"/>
        <w:rPr>
          <w:rFonts w:eastAsia="Times New Roman"/>
        </w:rPr>
      </w:pPr>
      <w:r w:rsidRPr="00F9089F">
        <w:rPr>
          <w:rFonts w:eastAsia="Times New Roman"/>
        </w:rPr>
        <w:fldChar w:fldCharType="begin"/>
      </w:r>
      <w:r w:rsidRPr="00F9089F">
        <w:rPr>
          <w:rFonts w:eastAsia="Times New Roman"/>
        </w:rPr>
        <w:instrText xml:space="preserve"> SEQ level0 \*arabic </w:instrText>
      </w:r>
      <w:r w:rsidRPr="00F9089F">
        <w:rPr>
          <w:rFonts w:eastAsia="Times New Roman"/>
        </w:rPr>
        <w:fldChar w:fldCharType="separate"/>
      </w:r>
      <w:r w:rsidR="00887A59">
        <w:rPr>
          <w:rFonts w:eastAsia="Times New Roman"/>
          <w:noProof/>
        </w:rPr>
        <w:t>87</w:t>
      </w:r>
      <w:r w:rsidRPr="00F9089F">
        <w:rPr>
          <w:rFonts w:eastAsia="Times New Roman"/>
        </w:rPr>
        <w:fldChar w:fldCharType="end"/>
      </w:r>
      <w:r>
        <w:t>.</w:t>
      </w:r>
      <w:r w:rsidR="009C4069">
        <w:t xml:space="preserve"> </w:t>
      </w:r>
      <w:r>
        <w:t xml:space="preserve">Obowiązki pozytywne z art. 2 obejmują również </w:t>
      </w:r>
      <w:r w:rsidR="00C8635C">
        <w:t xml:space="preserve">pozytywny </w:t>
      </w:r>
      <w:r>
        <w:t>obowiązek proceduralny zapewnieni</w:t>
      </w:r>
      <w:r w:rsidR="00D40291">
        <w:t>a</w:t>
      </w:r>
      <w:r>
        <w:t xml:space="preserve"> skutecznego niezawisłego systemu sądowego na potrzeby reagowania na naruszenia przepisów o bezpieczeństwie ruchu drogowego stanowiące zagrożenie dla prawa do życia. Taki system może się różnić zależnie od okoliczności. Powinien on jednak umożliwiać szybkie ustalenie okoliczności faktycznych, pociągnięcie do odpowiedzialności winnych i zapewnienie ofierze stosownego zadośćuczynienia (zob. </w:t>
      </w:r>
      <w:proofErr w:type="spellStart"/>
      <w:r>
        <w:rPr>
          <w:i/>
          <w:iCs/>
        </w:rPr>
        <w:t>Nicolae</w:t>
      </w:r>
      <w:proofErr w:type="spellEnd"/>
      <w:r>
        <w:rPr>
          <w:i/>
          <w:iCs/>
        </w:rPr>
        <w:t xml:space="preserve"> </w:t>
      </w:r>
      <w:proofErr w:type="spellStart"/>
      <w:r>
        <w:rPr>
          <w:i/>
          <w:iCs/>
        </w:rPr>
        <w:t>Virgiliu</w:t>
      </w:r>
      <w:proofErr w:type="spellEnd"/>
      <w:r>
        <w:rPr>
          <w:i/>
          <w:iCs/>
        </w:rPr>
        <w:t xml:space="preserve"> </w:t>
      </w:r>
      <w:proofErr w:type="spellStart"/>
      <w:r>
        <w:rPr>
          <w:i/>
          <w:iCs/>
        </w:rPr>
        <w:t>Tănase</w:t>
      </w:r>
      <w:proofErr w:type="spellEnd"/>
      <w:r>
        <w:t>, cyt. pow</w:t>
      </w:r>
      <w:r w:rsidR="00D40291">
        <w:t>.</w:t>
      </w:r>
      <w:r>
        <w:t xml:space="preserve">, § 137 i § 157 </w:t>
      </w:r>
      <w:r w:rsidR="00D40291">
        <w:br/>
      </w:r>
      <w:r>
        <w:t>i przytoczone tam orzecznictwo).</w:t>
      </w:r>
    </w:p>
    <w:p w14:paraId="3F8EC0E8" w14:textId="045CA46C" w:rsidR="002E7DD4" w:rsidRPr="00F9089F" w:rsidRDefault="002E7DD4" w:rsidP="00F9089F">
      <w:pPr>
        <w:pStyle w:val="JuPara"/>
        <w:rPr>
          <w:rFonts w:eastAsia="Times New Roman"/>
          <w:iCs/>
        </w:rPr>
      </w:pPr>
      <w:r w:rsidRPr="00F9089F">
        <w:rPr>
          <w:rFonts w:eastAsia="Times New Roman"/>
        </w:rPr>
        <w:fldChar w:fldCharType="begin"/>
      </w:r>
      <w:r w:rsidRPr="00F9089F">
        <w:rPr>
          <w:rFonts w:eastAsia="Times New Roman"/>
        </w:rPr>
        <w:instrText xml:space="preserve"> SEQ level0 \*arabic </w:instrText>
      </w:r>
      <w:r w:rsidRPr="00F9089F">
        <w:rPr>
          <w:rFonts w:eastAsia="Times New Roman"/>
        </w:rPr>
        <w:fldChar w:fldCharType="separate"/>
      </w:r>
      <w:r w:rsidR="00887A59">
        <w:rPr>
          <w:rFonts w:eastAsia="Times New Roman"/>
          <w:noProof/>
        </w:rPr>
        <w:t>88</w:t>
      </w:r>
      <w:r w:rsidRPr="00F9089F">
        <w:rPr>
          <w:rFonts w:eastAsia="Times New Roman"/>
        </w:rPr>
        <w:fldChar w:fldCharType="end"/>
      </w:r>
      <w:r>
        <w:t>.</w:t>
      </w:r>
      <w:r w:rsidR="009C4069">
        <w:t xml:space="preserve"> </w:t>
      </w:r>
      <w:r w:rsidR="00D40291">
        <w:t xml:space="preserve">Tan </w:t>
      </w:r>
      <w:r>
        <w:t>obowiązek proceduralny nie jest uzależniony od tego, czy państwo ostatecznie zostanie uznane za odpowiedzialne za śmierć w świetle aspektu materialnego, ale stanowi obowiązek odrębny i autonomiczny (zob. </w:t>
      </w:r>
      <w:proofErr w:type="spellStart"/>
      <w:r>
        <w:rPr>
          <w:i/>
          <w:szCs w:val="22"/>
        </w:rPr>
        <w:t>Šilih</w:t>
      </w:r>
      <w:proofErr w:type="spellEnd"/>
      <w:r>
        <w:rPr>
          <w:i/>
          <w:szCs w:val="22"/>
        </w:rPr>
        <w:t xml:space="preserve"> p</w:t>
      </w:r>
      <w:r w:rsidR="00D40291">
        <w:rPr>
          <w:i/>
          <w:szCs w:val="22"/>
        </w:rPr>
        <w:t>.</w:t>
      </w:r>
      <w:r>
        <w:rPr>
          <w:i/>
          <w:szCs w:val="22"/>
        </w:rPr>
        <w:t xml:space="preserve"> Słowenii</w:t>
      </w:r>
      <w:r>
        <w:t xml:space="preserve"> [WI], skarga nr 71463/01, § 156 i § 159, 9</w:t>
      </w:r>
      <w:r>
        <w:rPr>
          <w:snapToGrid w:val="0"/>
          <w:szCs w:val="22"/>
        </w:rPr>
        <w:t xml:space="preserve"> kwietnia 2009 r.).</w:t>
      </w:r>
      <w:r>
        <w:t xml:space="preserve"> Obejmuje on w szczególności obowiązek przeprowadzenia skutecznego oficjalnego śledztwa w przypadku, gdy jednostki zostały zabite w wyniku użycia siły, ale może obejmować wypadki, </w:t>
      </w:r>
      <w:r w:rsidR="006939CD">
        <w:t>zwłaszcza</w:t>
      </w:r>
      <w:r>
        <w:t xml:space="preserve"> wypadki drogowe (zob. </w:t>
      </w:r>
      <w:proofErr w:type="spellStart"/>
      <w:r>
        <w:rPr>
          <w:i/>
        </w:rPr>
        <w:t>Nicolae</w:t>
      </w:r>
      <w:proofErr w:type="spellEnd"/>
      <w:r>
        <w:rPr>
          <w:i/>
        </w:rPr>
        <w:t xml:space="preserve"> </w:t>
      </w:r>
      <w:proofErr w:type="spellStart"/>
      <w:r>
        <w:rPr>
          <w:i/>
        </w:rPr>
        <w:t>Virgiliu</w:t>
      </w:r>
      <w:proofErr w:type="spellEnd"/>
      <w:r>
        <w:rPr>
          <w:i/>
        </w:rPr>
        <w:t xml:space="preserve"> </w:t>
      </w:r>
      <w:proofErr w:type="spellStart"/>
      <w:r>
        <w:rPr>
          <w:i/>
        </w:rPr>
        <w:t>Tănase</w:t>
      </w:r>
      <w:proofErr w:type="spellEnd"/>
      <w:r>
        <w:t>, cyt. pow</w:t>
      </w:r>
      <w:r w:rsidR="006939CD">
        <w:t>.</w:t>
      </w:r>
      <w:r>
        <w:t xml:space="preserve">, § 138 i przytoczone tam orzecznictwo). W związku z </w:t>
      </w:r>
      <w:r w:rsidR="006939CD">
        <w:t xml:space="preserve">tym, </w:t>
      </w:r>
      <w:r>
        <w:t xml:space="preserve">w sprawie </w:t>
      </w:r>
      <w:proofErr w:type="spellStart"/>
      <w:r>
        <w:rPr>
          <w:i/>
          <w:iCs/>
        </w:rPr>
        <w:t>Nicolae</w:t>
      </w:r>
      <w:proofErr w:type="spellEnd"/>
      <w:r>
        <w:rPr>
          <w:i/>
          <w:iCs/>
        </w:rPr>
        <w:t xml:space="preserve"> </w:t>
      </w:r>
      <w:proofErr w:type="spellStart"/>
      <w:r>
        <w:rPr>
          <w:i/>
          <w:iCs/>
        </w:rPr>
        <w:t>Virgiliu</w:t>
      </w:r>
      <w:proofErr w:type="spellEnd"/>
      <w:r>
        <w:rPr>
          <w:i/>
          <w:iCs/>
        </w:rPr>
        <w:t xml:space="preserve"> </w:t>
      </w:r>
      <w:proofErr w:type="spellStart"/>
      <w:r>
        <w:rPr>
          <w:i/>
          <w:iCs/>
        </w:rPr>
        <w:t>Tănase</w:t>
      </w:r>
      <w:proofErr w:type="spellEnd"/>
      <w:r>
        <w:t xml:space="preserve"> (§ 158–171)</w:t>
      </w:r>
      <w:r w:rsidR="006939CD">
        <w:t>,</w:t>
      </w:r>
      <w:r>
        <w:t xml:space="preserve"> Trybunał określił następujące zasady:</w:t>
      </w:r>
    </w:p>
    <w:p w14:paraId="628B6875" w14:textId="6BEBF6D2" w:rsidR="002E7DD4" w:rsidRPr="00F9089F" w:rsidRDefault="002E7DD4" w:rsidP="00F9089F">
      <w:pPr>
        <w:pStyle w:val="JuPara"/>
        <w:rPr>
          <w:rFonts w:eastAsia="Times New Roman"/>
        </w:rPr>
      </w:pPr>
      <w:r>
        <w:t>(i)</w:t>
      </w:r>
      <w:r w:rsidR="009C4069">
        <w:t xml:space="preserve"> </w:t>
      </w:r>
      <w:r w:rsidR="006939CD">
        <w:t>f</w:t>
      </w:r>
      <w:r>
        <w:t>orma śledztwa, którego wymóg wynika z tego obowiązku różni się w zależności od charakteru ingerencji w prawo do życia. Artykuł 2 może, a w pewnych okolicznościach musi, obejmować zastosowanie prawa karnego. Na przykład jeżeli śmierć została spowodowana umyślnie, śledztwo prowadzone na podstawie prawa karnego jest na ogół konieczne</w:t>
      </w:r>
      <w:bookmarkStart w:id="5" w:name="control156"/>
      <w:r w:rsidR="006939CD">
        <w:t>;</w:t>
      </w:r>
    </w:p>
    <w:p w14:paraId="19334B17" w14:textId="00F28BF0" w:rsidR="002E7DD4" w:rsidRPr="00F9089F" w:rsidRDefault="002E7DD4" w:rsidP="00F9089F">
      <w:pPr>
        <w:pStyle w:val="JuPara"/>
        <w:rPr>
          <w:rFonts w:eastAsia="Times New Roman"/>
        </w:rPr>
      </w:pPr>
      <w:r>
        <w:t>(ii)</w:t>
      </w:r>
      <w:bookmarkEnd w:id="5"/>
      <w:r>
        <w:t> </w:t>
      </w:r>
      <w:r w:rsidR="006939CD">
        <w:t>w</w:t>
      </w:r>
      <w:r>
        <w:t xml:space="preserve"> spraw</w:t>
      </w:r>
      <w:r w:rsidR="006939CD">
        <w:t>ach</w:t>
      </w:r>
      <w:r>
        <w:t xml:space="preserve"> dotycząc</w:t>
      </w:r>
      <w:r w:rsidR="006939CD">
        <w:t>ych</w:t>
      </w:r>
      <w:r>
        <w:t xml:space="preserve"> nieumyślnego spowodowania śmierci</w:t>
      </w:r>
      <w:r w:rsidR="006939CD">
        <w:t xml:space="preserve"> wymóg posiadania skutecznego systemu sądowego zostanie spełniony, jeśli system prawny ofiarom (lub ich najbliższym)</w:t>
      </w:r>
      <w:r w:rsidR="00542A82">
        <w:t xml:space="preserve"> środek odwoławczy</w:t>
      </w:r>
      <w:r>
        <w:t xml:space="preserve"> przed sądem cywilnym</w:t>
      </w:r>
      <w:r w:rsidR="00542A82">
        <w:t xml:space="preserve">, samodzielny lub wspólnie ze środkiem odwoławczym przed sądem karnym, </w:t>
      </w:r>
      <w:r>
        <w:t>umożliwiając</w:t>
      </w:r>
      <w:r w:rsidR="00542A82">
        <w:t xml:space="preserve"> </w:t>
      </w:r>
      <w:r>
        <w:t>ustalenie odpowiedzialności i uzyskanie odpowiedniego zadośćuczynienia</w:t>
      </w:r>
      <w:r w:rsidR="00542A82">
        <w:t xml:space="preserve"> cywilnego;</w:t>
      </w:r>
    </w:p>
    <w:p w14:paraId="5FD46B20" w14:textId="73EF29F6" w:rsidR="002E7DD4" w:rsidRPr="00F9089F" w:rsidRDefault="002E7DD4" w:rsidP="00F9089F">
      <w:pPr>
        <w:pStyle w:val="JuPara"/>
        <w:rPr>
          <w:rFonts w:eastAsia="Times New Roman"/>
        </w:rPr>
      </w:pPr>
      <w:r>
        <w:t>(iii)</w:t>
      </w:r>
      <w:r w:rsidR="009C4069">
        <w:t xml:space="preserve"> </w:t>
      </w:r>
      <w:r w:rsidR="00542A82">
        <w:t>j</w:t>
      </w:r>
      <w:r>
        <w:t>ednakże nawet w przypadkach nieumyślnych ingerencji w prawo do życia lub integralność fizyczną mogą istnieć wyjątkowe okoliczności, w których do wypełnienia obowiązku proceduralnego wynikającego z art. 2 konieczne jest skuteczne śledztwo prowadzone na podstawie prawa karnego. Takie okoliczności mogą na przykład wystąpić w przypadku zarzucanego dobrowolnego i lekkomyślnego lekceważenia przez osobę prywatną jej obowiązków prawnych wynikających z odpowiednich przepisów;</w:t>
      </w:r>
    </w:p>
    <w:p w14:paraId="731E862F" w14:textId="53943EC8" w:rsidR="002E7DD4" w:rsidRPr="00F9089F" w:rsidRDefault="002E7DD4" w:rsidP="00F9089F">
      <w:pPr>
        <w:pStyle w:val="JuPara"/>
        <w:rPr>
          <w:rFonts w:eastAsiaTheme="minorEastAsia"/>
          <w:szCs w:val="22"/>
        </w:rPr>
      </w:pPr>
      <w:r>
        <w:t>(iv)</w:t>
      </w:r>
      <w:r w:rsidR="009C4069">
        <w:t xml:space="preserve"> </w:t>
      </w:r>
      <w:r w:rsidR="001D144A">
        <w:t>w</w:t>
      </w:r>
      <w:r>
        <w:t xml:space="preserve"> sytuacji, w której konieczne jest przeprowadzenie śledztwa na podstawie prawa karnego, rodzaj śledztwa, który pozwoli osiągnąć cele polegające na zapewnieniu skutecznego wdrożenia przepisów krajowych chroniących prawo do życia i pociągnięci</w:t>
      </w:r>
      <w:r w:rsidR="001D144A">
        <w:t>u</w:t>
      </w:r>
      <w:r>
        <w:t xml:space="preserve"> osób odpowiedzialnych do </w:t>
      </w:r>
      <w:r>
        <w:lastRenderedPageBreak/>
        <w:t>odpowiedzialności,</w:t>
      </w:r>
      <w:r w:rsidR="001D144A">
        <w:t xml:space="preserve"> </w:t>
      </w:r>
      <w:r>
        <w:t xml:space="preserve">może się różnić w zależności od okoliczności. Obowiązek proceduralny nie będzie w </w:t>
      </w:r>
      <w:r w:rsidR="001D144A">
        <w:t>żadnym przypadku</w:t>
      </w:r>
      <w:r w:rsidR="00FE7D47">
        <w:t xml:space="preserve"> </w:t>
      </w:r>
      <w:r>
        <w:t xml:space="preserve">spełniony, jeżeli ochrona zapewniona przez prawo krajowe istnieje tylko w teorii: przede wszystkim musi ona skutecznie </w:t>
      </w:r>
      <w:r w:rsidR="001D144A">
        <w:t xml:space="preserve">działać </w:t>
      </w:r>
      <w:r>
        <w:t>również w praktyce. Nie jest to obowiązek rezultatu, ale jedynie środków. W związku z tym sam fakt, że postępowanie zakończyło się niekorzystnie dla ofiary (lub osoby bliskiej), nie oznacza sam w sobie, że pozwane państwo uchybiło swoim obowiązkom pozytywnym wynikającym z art. 2 Konwencji</w:t>
      </w:r>
      <w:r w:rsidR="001D144A">
        <w:t>;</w:t>
      </w:r>
    </w:p>
    <w:p w14:paraId="750EB7ED" w14:textId="547BD5F0" w:rsidR="002E7DD4" w:rsidRPr="00F9089F" w:rsidRDefault="002E7DD4" w:rsidP="00F9089F">
      <w:pPr>
        <w:pStyle w:val="JuPara"/>
        <w:rPr>
          <w:rFonts w:eastAsia="Times New Roman"/>
        </w:rPr>
      </w:pPr>
      <w:r>
        <w:t>(v)</w:t>
      </w:r>
      <w:r w:rsidR="009C4069">
        <w:t xml:space="preserve"> </w:t>
      </w:r>
      <w:r w:rsidR="001D144A">
        <w:t>z</w:t>
      </w:r>
      <w:r>
        <w:t xml:space="preserve">godność z wymogiem proceduralnym wynikającym z art. 2 ocenia się na podstawie </w:t>
      </w:r>
      <w:r w:rsidR="00BB6C8E">
        <w:t xml:space="preserve">kilku </w:t>
      </w:r>
      <w:r>
        <w:t xml:space="preserve">zasadniczych parametrów, takich jak adekwatność, </w:t>
      </w:r>
      <w:r w:rsidR="00BB6C8E">
        <w:t>dokładność</w:t>
      </w:r>
      <w:r>
        <w:t xml:space="preserve">, </w:t>
      </w:r>
      <w:r w:rsidR="00BB6C8E">
        <w:t>rozsądna szybkość</w:t>
      </w:r>
      <w:r>
        <w:t>, niezależność, skuteczne uczestnictwo ofiary i wystarczająca kontrola publiczna. Są to kryteria, które zastosowane łącznie, pozwalają ocenić stopień skuteczności śledztwa. Wszelkie kwestie należy oceniać właśnie w odniesieniu do</w:t>
      </w:r>
      <w:r w:rsidR="00176E01">
        <w:t xml:space="preserve"> tego</w:t>
      </w:r>
      <w:r>
        <w:t xml:space="preserve"> celu, jakim jest skuteczność śledztwa.</w:t>
      </w:r>
    </w:p>
    <w:p w14:paraId="50B2ECDE" w14:textId="3CCC38F7" w:rsidR="002E7DD4" w:rsidRPr="00F9089F" w:rsidRDefault="002E7DD4" w:rsidP="00F9089F">
      <w:pPr>
        <w:pStyle w:val="JuPara"/>
        <w:rPr>
          <w:rFonts w:eastAsiaTheme="minorEastAsia"/>
          <w:szCs w:val="22"/>
        </w:rPr>
      </w:pPr>
      <w:r w:rsidRPr="00F9089F">
        <w:rPr>
          <w:rFonts w:eastAsiaTheme="minorEastAsia"/>
          <w:szCs w:val="22"/>
        </w:rPr>
        <w:fldChar w:fldCharType="begin"/>
      </w:r>
      <w:r w:rsidRPr="00F9089F">
        <w:rPr>
          <w:rFonts w:eastAsiaTheme="minorEastAsia"/>
          <w:szCs w:val="22"/>
        </w:rPr>
        <w:instrText xml:space="preserve"> SEQ level0 \*arabic </w:instrText>
      </w:r>
      <w:r w:rsidRPr="00F9089F">
        <w:rPr>
          <w:rFonts w:eastAsiaTheme="minorEastAsia"/>
          <w:szCs w:val="22"/>
        </w:rPr>
        <w:fldChar w:fldCharType="separate"/>
      </w:r>
      <w:r w:rsidR="00887A59">
        <w:rPr>
          <w:rFonts w:eastAsiaTheme="minorEastAsia"/>
          <w:noProof/>
          <w:szCs w:val="22"/>
        </w:rPr>
        <w:t>89</w:t>
      </w:r>
      <w:r w:rsidRPr="00F9089F">
        <w:rPr>
          <w:rFonts w:eastAsiaTheme="minorEastAsia"/>
          <w:szCs w:val="22"/>
        </w:rPr>
        <w:fldChar w:fldCharType="end"/>
      </w:r>
      <w:r>
        <w:t>.</w:t>
      </w:r>
      <w:r w:rsidR="009C4069">
        <w:t xml:space="preserve"> </w:t>
      </w:r>
      <w:r>
        <w:t>Jeżeli chodzi o uczestnictwo ofiary (lub osoby bliskiej) w postępowaniu, Trybunał przypomina w szczególności, że rodzinie ofiary należy zapewnić dostęp do śledztwa w zakresie koniecznym do zabezpieczenia jej uzasadnionego interesu. Ponadto z art. 2 nie wynika obowiązek uwzględni</w:t>
      </w:r>
      <w:r w:rsidR="00176E01">
        <w:t>a</w:t>
      </w:r>
      <w:r>
        <w:t xml:space="preserve">nia przez organy śledcze każdego wniosku o konkretną czynność śledczą </w:t>
      </w:r>
      <w:r w:rsidR="00176E01">
        <w:t xml:space="preserve">złożonego </w:t>
      </w:r>
      <w:r>
        <w:t>przez krewnego w toku śledztwa (zob. </w:t>
      </w:r>
      <w:r>
        <w:rPr>
          <w:i/>
          <w:szCs w:val="22"/>
        </w:rPr>
        <w:t xml:space="preserve">Giuliani i </w:t>
      </w:r>
      <w:proofErr w:type="spellStart"/>
      <w:r>
        <w:rPr>
          <w:i/>
          <w:szCs w:val="22"/>
        </w:rPr>
        <w:t>Gaggio</w:t>
      </w:r>
      <w:proofErr w:type="spellEnd"/>
      <w:r>
        <w:rPr>
          <w:i/>
          <w:szCs w:val="22"/>
        </w:rPr>
        <w:t xml:space="preserve"> p</w:t>
      </w:r>
      <w:r w:rsidR="00176E01">
        <w:rPr>
          <w:i/>
          <w:szCs w:val="22"/>
        </w:rPr>
        <w:t>.</w:t>
      </w:r>
      <w:r>
        <w:rPr>
          <w:i/>
          <w:szCs w:val="22"/>
        </w:rPr>
        <w:t xml:space="preserve"> Włochom</w:t>
      </w:r>
      <w:r>
        <w:t xml:space="preserve"> [WI], skarga nr 23458/02, §</w:t>
      </w:r>
      <w:r w:rsidR="00FE7D47">
        <w:t> </w:t>
      </w:r>
      <w:r>
        <w:t>303–304, ETPC 2011 (fragmenty)).</w:t>
      </w:r>
    </w:p>
    <w:p w14:paraId="7B35DE88" w14:textId="6F8D3831" w:rsidR="002E7DD4" w:rsidRPr="00F9089F" w:rsidRDefault="002E7DD4" w:rsidP="00F9089F">
      <w:pPr>
        <w:pStyle w:val="JuPara"/>
        <w:rPr>
          <w:rFonts w:eastAsia="Times New Roman"/>
          <w:i/>
        </w:rPr>
      </w:pPr>
      <w:r w:rsidRPr="00F9089F">
        <w:rPr>
          <w:rFonts w:eastAsia="Times New Roman"/>
        </w:rPr>
        <w:fldChar w:fldCharType="begin"/>
      </w:r>
      <w:r w:rsidRPr="00F9089F">
        <w:rPr>
          <w:rFonts w:eastAsia="Times New Roman"/>
        </w:rPr>
        <w:instrText xml:space="preserve"> SEQ level0 \*arabic </w:instrText>
      </w:r>
      <w:r w:rsidRPr="00F9089F">
        <w:rPr>
          <w:rFonts w:eastAsia="Times New Roman"/>
        </w:rPr>
        <w:fldChar w:fldCharType="separate"/>
      </w:r>
      <w:r w:rsidR="00887A59">
        <w:rPr>
          <w:rFonts w:eastAsia="Times New Roman"/>
          <w:noProof/>
        </w:rPr>
        <w:t>90</w:t>
      </w:r>
      <w:r w:rsidRPr="00F9089F">
        <w:rPr>
          <w:rFonts w:eastAsia="Times New Roman"/>
        </w:rPr>
        <w:fldChar w:fldCharType="end"/>
      </w:r>
      <w:r>
        <w:t>.</w:t>
      </w:r>
      <w:r w:rsidR="009C4069">
        <w:t xml:space="preserve"> </w:t>
      </w:r>
      <w:r>
        <w:t xml:space="preserve">Wymogi proceduralne z art. 2 wykraczają poza etap oficjalnego śledztwa. Gdy oficjalne śledztwo prowadzi do wszczęcia postępowania przed sądami krajowymi, całość postępowania, w tym etap procesowy, muszą czynić zadość wymogom </w:t>
      </w:r>
      <w:r w:rsidR="00176E01">
        <w:t xml:space="preserve">pozytywnego </w:t>
      </w:r>
      <w:r>
        <w:t>obowiązku ochron</w:t>
      </w:r>
      <w:r w:rsidR="00176E01">
        <w:t>y</w:t>
      </w:r>
      <w:r>
        <w:t xml:space="preserve"> prawa do życia w drodze ustawy (zob. m</w:t>
      </w:r>
      <w:r w:rsidR="00176E01">
        <w:t>. in.</w:t>
      </w:r>
      <w:r>
        <w:t xml:space="preserve"> </w:t>
      </w:r>
      <w:proofErr w:type="spellStart"/>
      <w:r>
        <w:rPr>
          <w:i/>
          <w:szCs w:val="22"/>
        </w:rPr>
        <w:t>Öneryıldız</w:t>
      </w:r>
      <w:proofErr w:type="spellEnd"/>
      <w:r>
        <w:rPr>
          <w:i/>
          <w:szCs w:val="22"/>
        </w:rPr>
        <w:t xml:space="preserve"> p</w:t>
      </w:r>
      <w:r w:rsidR="00176E01">
        <w:rPr>
          <w:i/>
          <w:szCs w:val="22"/>
        </w:rPr>
        <w:t>.</w:t>
      </w:r>
      <w:r>
        <w:rPr>
          <w:i/>
          <w:szCs w:val="22"/>
        </w:rPr>
        <w:t xml:space="preserve"> Turcji</w:t>
      </w:r>
      <w:r>
        <w:t xml:space="preserve"> [WI], skarga nr 48939/99, § 95, ETPC 2004</w:t>
      </w:r>
      <w:r>
        <w:noBreakHyphen/>
        <w:t xml:space="preserve">XII i </w:t>
      </w:r>
      <w:proofErr w:type="spellStart"/>
      <w:r>
        <w:rPr>
          <w:i/>
          <w:szCs w:val="22"/>
        </w:rPr>
        <w:t>Bajić</w:t>
      </w:r>
      <w:proofErr w:type="spellEnd"/>
      <w:r>
        <w:rPr>
          <w:snapToGrid w:val="0"/>
          <w:szCs w:val="22"/>
        </w:rPr>
        <w:t>, cyt. pow</w:t>
      </w:r>
      <w:r w:rsidR="00176E01">
        <w:rPr>
          <w:snapToGrid w:val="0"/>
          <w:szCs w:val="22"/>
        </w:rPr>
        <w:t>.</w:t>
      </w:r>
      <w:r>
        <w:rPr>
          <w:snapToGrid w:val="0"/>
          <w:szCs w:val="22"/>
        </w:rPr>
        <w:t>, § 89).</w:t>
      </w:r>
      <w:r>
        <w:t xml:space="preserve"> Sądy krajowe nie powinny </w:t>
      </w:r>
      <w:r w:rsidR="003177BF">
        <w:br/>
      </w:r>
      <w:r>
        <w:t xml:space="preserve">w tym względzie w żadnych okolicznościach dopuszczać, by przestępstwa zagrażające życiu pozostały bezkarne. Zadanie Trybunału polega zatem na przeanalizowaniu, czy i w jakim stopniu można uznać, że sądy, rozpoznając sprawę, poddały ją uważnej analizie wymaganej art. 2 Konwencji, tak aby </w:t>
      </w:r>
      <w:r w:rsidR="003177BF">
        <w:t xml:space="preserve">nie podważać </w:t>
      </w:r>
      <w:r>
        <w:t>odstraszając</w:t>
      </w:r>
      <w:r w:rsidR="003177BF">
        <w:t>ego</w:t>
      </w:r>
      <w:r>
        <w:t xml:space="preserve"> </w:t>
      </w:r>
      <w:r w:rsidR="003177BF">
        <w:t xml:space="preserve">efektu </w:t>
      </w:r>
      <w:r>
        <w:t>wywołan</w:t>
      </w:r>
      <w:r w:rsidR="003177BF">
        <w:t>ego</w:t>
      </w:r>
      <w:r>
        <w:t xml:space="preserve"> przez system sądownictwa </w:t>
      </w:r>
      <w:r w:rsidR="003177BF">
        <w:br/>
      </w:r>
      <w:r>
        <w:t xml:space="preserve">i aby nie doszło do umniejszenia istotnej roli, jaką ów system ma odgrywać w zapobieganiu naruszeniom prawa do życia (zob. przykładowo </w:t>
      </w:r>
      <w:r>
        <w:rPr>
          <w:i/>
          <w:szCs w:val="22"/>
        </w:rPr>
        <w:t>Armani Da Silva</w:t>
      </w:r>
      <w:r>
        <w:t xml:space="preserve"> </w:t>
      </w:r>
      <w:r>
        <w:rPr>
          <w:i/>
          <w:szCs w:val="22"/>
        </w:rPr>
        <w:t>p</w:t>
      </w:r>
      <w:r w:rsidR="003177BF">
        <w:rPr>
          <w:i/>
          <w:szCs w:val="22"/>
        </w:rPr>
        <w:t>.</w:t>
      </w:r>
      <w:r>
        <w:rPr>
          <w:i/>
          <w:szCs w:val="22"/>
        </w:rPr>
        <w:t xml:space="preserve"> Zjednoczonemu Królestwu </w:t>
      </w:r>
      <w:r>
        <w:t>[WI], skarga nr 5878/08, § 239, ETPC 2016 i przytoczone tam orzecznictwo).</w:t>
      </w:r>
    </w:p>
    <w:p w14:paraId="5CA6F819" w14:textId="1E2250C8" w:rsidR="002E7DD4" w:rsidRPr="00F9089F" w:rsidRDefault="002E7DD4" w:rsidP="00F9089F">
      <w:pPr>
        <w:pStyle w:val="JuPara"/>
      </w:pPr>
      <w:r w:rsidRPr="00F9089F">
        <w:rPr>
          <w:rFonts w:eastAsiaTheme="minorEastAsia"/>
          <w:szCs w:val="22"/>
        </w:rPr>
        <w:fldChar w:fldCharType="begin"/>
      </w:r>
      <w:r w:rsidRPr="00F9089F">
        <w:rPr>
          <w:rFonts w:eastAsiaTheme="minorEastAsia"/>
          <w:szCs w:val="22"/>
        </w:rPr>
        <w:instrText xml:space="preserve"> SEQ level0 \*arabic </w:instrText>
      </w:r>
      <w:r w:rsidRPr="00F9089F">
        <w:rPr>
          <w:rFonts w:eastAsiaTheme="minorEastAsia"/>
          <w:szCs w:val="22"/>
        </w:rPr>
        <w:fldChar w:fldCharType="separate"/>
      </w:r>
      <w:r w:rsidR="00887A59">
        <w:rPr>
          <w:rFonts w:eastAsiaTheme="minorEastAsia"/>
          <w:noProof/>
          <w:szCs w:val="22"/>
        </w:rPr>
        <w:t>91</w:t>
      </w:r>
      <w:r w:rsidRPr="00F9089F">
        <w:rPr>
          <w:rFonts w:eastAsiaTheme="minorEastAsia"/>
          <w:szCs w:val="22"/>
        </w:rPr>
        <w:fldChar w:fldCharType="end"/>
      </w:r>
      <w:r>
        <w:t>.</w:t>
      </w:r>
      <w:r w:rsidR="009C4069">
        <w:t xml:space="preserve"> </w:t>
      </w:r>
      <w:r>
        <w:t xml:space="preserve">Ponadto Trybunał dokonał wykładni art. 2 Konwencji, </w:t>
      </w:r>
      <w:r w:rsidR="00C11B96">
        <w:t>jako nakładającego na państwa obowiązek</w:t>
      </w:r>
      <w:r>
        <w:t xml:space="preserve"> egzekwowa</w:t>
      </w:r>
      <w:r w:rsidR="00C11B96">
        <w:t>nia</w:t>
      </w:r>
      <w:r>
        <w:t xml:space="preserve"> prawomocn</w:t>
      </w:r>
      <w:r w:rsidR="00C11B96">
        <w:t>ych</w:t>
      </w:r>
      <w:r>
        <w:t xml:space="preserve"> wyrok</w:t>
      </w:r>
      <w:r w:rsidR="00C11B96">
        <w:t>ów</w:t>
      </w:r>
      <w:r>
        <w:t xml:space="preserve"> bez zbędnej zwłoki. Wynika to z założenia, że </w:t>
      </w:r>
      <w:r w:rsidR="00C11B96">
        <w:t xml:space="preserve">wykonanie </w:t>
      </w:r>
      <w:r>
        <w:t xml:space="preserve">kary wymierzonej w kontekście prawa do życia musi być postrzegane jako nieodłączna część </w:t>
      </w:r>
      <w:r w:rsidR="00C11B96">
        <w:t xml:space="preserve">proceduralnego </w:t>
      </w:r>
      <w:r>
        <w:t xml:space="preserve">obowiązku </w:t>
      </w:r>
      <w:r w:rsidR="00C11B96">
        <w:t>państwa na gruncie a</w:t>
      </w:r>
      <w:r>
        <w:t>rt. 2 (zob. </w:t>
      </w:r>
      <w:proofErr w:type="spellStart"/>
      <w:r>
        <w:rPr>
          <w:i/>
          <w:szCs w:val="22"/>
        </w:rPr>
        <w:t>Kitanovska</w:t>
      </w:r>
      <w:proofErr w:type="spellEnd"/>
      <w:r>
        <w:rPr>
          <w:i/>
          <w:szCs w:val="22"/>
        </w:rPr>
        <w:t xml:space="preserve"> </w:t>
      </w:r>
      <w:proofErr w:type="spellStart"/>
      <w:r>
        <w:rPr>
          <w:i/>
          <w:szCs w:val="22"/>
        </w:rPr>
        <w:t>Stanojkovic</w:t>
      </w:r>
      <w:proofErr w:type="spellEnd"/>
      <w:r>
        <w:rPr>
          <w:i/>
          <w:szCs w:val="22"/>
        </w:rPr>
        <w:t xml:space="preserve"> i Inni p</w:t>
      </w:r>
      <w:r w:rsidR="00C11B96">
        <w:rPr>
          <w:i/>
          <w:szCs w:val="22"/>
        </w:rPr>
        <w:t>.</w:t>
      </w:r>
      <w:r>
        <w:rPr>
          <w:i/>
          <w:szCs w:val="22"/>
        </w:rPr>
        <w:t xml:space="preserve"> byłej Jugosłowiańskiej Republice Macedonii</w:t>
      </w:r>
      <w:r>
        <w:t>, skarga nr 2319/14, § 32, 13 października 2016 r.</w:t>
      </w:r>
      <w:r w:rsidR="00C11B96">
        <w:t>,</w:t>
      </w:r>
      <w:r>
        <w:t xml:space="preserve"> </w:t>
      </w:r>
      <w:proofErr w:type="spellStart"/>
      <w:r>
        <w:rPr>
          <w:i/>
          <w:szCs w:val="22"/>
        </w:rPr>
        <w:t>Minneker</w:t>
      </w:r>
      <w:proofErr w:type="spellEnd"/>
      <w:r>
        <w:rPr>
          <w:i/>
          <w:szCs w:val="22"/>
        </w:rPr>
        <w:t xml:space="preserve"> </w:t>
      </w:r>
      <w:r w:rsidR="00C11B96">
        <w:rPr>
          <w:i/>
          <w:szCs w:val="22"/>
        </w:rPr>
        <w:br/>
      </w:r>
      <w:r>
        <w:rPr>
          <w:i/>
          <w:szCs w:val="22"/>
        </w:rPr>
        <w:lastRenderedPageBreak/>
        <w:t xml:space="preserve">i </w:t>
      </w:r>
      <w:proofErr w:type="spellStart"/>
      <w:r>
        <w:rPr>
          <w:i/>
          <w:szCs w:val="22"/>
        </w:rPr>
        <w:t>Engrand</w:t>
      </w:r>
      <w:proofErr w:type="spellEnd"/>
      <w:r>
        <w:rPr>
          <w:i/>
          <w:szCs w:val="22"/>
        </w:rPr>
        <w:t xml:space="preserve"> p</w:t>
      </w:r>
      <w:r w:rsidR="00C11B96">
        <w:rPr>
          <w:i/>
          <w:szCs w:val="22"/>
        </w:rPr>
        <w:t>.</w:t>
      </w:r>
      <w:r>
        <w:rPr>
          <w:i/>
          <w:szCs w:val="22"/>
        </w:rPr>
        <w:t xml:space="preserve"> Belgii</w:t>
      </w:r>
      <w:r>
        <w:t xml:space="preserve"> (</w:t>
      </w:r>
      <w:proofErr w:type="spellStart"/>
      <w:r>
        <w:t>dec</w:t>
      </w:r>
      <w:proofErr w:type="spellEnd"/>
      <w:r>
        <w:t>.), skarga nr 45870/12, § 26, 7 lutego 2017 r.</w:t>
      </w:r>
      <w:r w:rsidR="00C11B96">
        <w:t>, a</w:t>
      </w:r>
      <w:r>
        <w:t xml:space="preserve"> także </w:t>
      </w:r>
      <w:proofErr w:type="spellStart"/>
      <w:r>
        <w:rPr>
          <w:i/>
        </w:rPr>
        <w:t>Makuchyan</w:t>
      </w:r>
      <w:proofErr w:type="spellEnd"/>
      <w:r>
        <w:rPr>
          <w:i/>
        </w:rPr>
        <w:t xml:space="preserve"> i </w:t>
      </w:r>
      <w:proofErr w:type="spellStart"/>
      <w:r>
        <w:rPr>
          <w:i/>
        </w:rPr>
        <w:t>Minasyan</w:t>
      </w:r>
      <w:proofErr w:type="spellEnd"/>
      <w:r>
        <w:rPr>
          <w:i/>
        </w:rPr>
        <w:t xml:space="preserve"> p</w:t>
      </w:r>
      <w:r w:rsidR="00C11B96">
        <w:rPr>
          <w:i/>
        </w:rPr>
        <w:t>.</w:t>
      </w:r>
      <w:r>
        <w:rPr>
          <w:i/>
        </w:rPr>
        <w:t xml:space="preserve"> Azerbejdżanowi i Węgrom</w:t>
      </w:r>
      <w:r>
        <w:t>, skarga nr 17247/13, § 50, 26 maja 2020 r.).</w:t>
      </w:r>
    </w:p>
    <w:p w14:paraId="0C88B81E" w14:textId="77777777" w:rsidR="002E7DD4" w:rsidRPr="00F9089F" w:rsidRDefault="002E7DD4" w:rsidP="00F9089F">
      <w:pPr>
        <w:pStyle w:val="JuHi"/>
        <w:ind w:left="767"/>
      </w:pPr>
      <w:r>
        <w:t>Zastosowanie tych zasad w niniejszej sprawie</w:t>
      </w:r>
    </w:p>
    <w:p w14:paraId="740C12FD" w14:textId="153C3636" w:rsidR="002E7DD4" w:rsidRPr="00F9089F" w:rsidRDefault="00000000" w:rsidP="00F9089F">
      <w:pPr>
        <w:pStyle w:val="JuPara"/>
      </w:pPr>
      <w:fldSimple w:instr=" SEQ level0 \*arabic ">
        <w:r w:rsidR="00887A59">
          <w:rPr>
            <w:noProof/>
          </w:rPr>
          <w:t>92</w:t>
        </w:r>
      </w:fldSimple>
      <w:r w:rsidR="002E7DD4">
        <w:t>.</w:t>
      </w:r>
      <w:r w:rsidR="009C4069">
        <w:t xml:space="preserve"> </w:t>
      </w:r>
      <w:r w:rsidR="002E7DD4">
        <w:t>Jak już wspomniano, władze krajowe uznały zachowanie D.</w:t>
      </w:r>
      <w:r w:rsidR="00814843">
        <w:t xml:space="preserve"> </w:t>
      </w:r>
      <w:r w:rsidR="002E7DD4">
        <w:t xml:space="preserve">M., które doprowadziło do zdarzenia drogowego skutkującego śmiercią krewnego skarżących, za zachowanie obejmujące lekkomyślność w kierowaniu pojazdem przy umyślnym lub </w:t>
      </w:r>
      <w:r w:rsidR="00B054DA">
        <w:t xml:space="preserve">lekkomyślnym </w:t>
      </w:r>
      <w:r w:rsidR="002E7DD4">
        <w:t xml:space="preserve">lekceważeniu bezpieczeństwa innych osób i przepisów o ruchu drogowym, wykraczającą poza zwykłe </w:t>
      </w:r>
      <w:r w:rsidR="00B054DA">
        <w:t xml:space="preserve">niedbalstwo skutkujące </w:t>
      </w:r>
      <w:r w:rsidR="002E7DD4">
        <w:t>wypadk</w:t>
      </w:r>
      <w:r w:rsidR="00B054DA">
        <w:t>iem</w:t>
      </w:r>
      <w:r w:rsidR="002E7DD4">
        <w:t xml:space="preserve"> drogow</w:t>
      </w:r>
      <w:r w:rsidR="00B054DA">
        <w:t>ym</w:t>
      </w:r>
      <w:r w:rsidR="002E7DD4">
        <w:t xml:space="preserve"> (zob. par. 78 powyżej). Zgodnie z krajowymi ramami prawnymi tego rodzaju zachowanie uznaje się za </w:t>
      </w:r>
      <w:r w:rsidR="00FE7D47">
        <w:t xml:space="preserve">umyślne </w:t>
      </w:r>
      <w:r w:rsidR="002E7DD4">
        <w:t xml:space="preserve">przestępstwo spowodowania wypadku drogowego ze skutkiem śmiertelnym, co </w:t>
      </w:r>
      <w:r w:rsidR="00B054DA">
        <w:t>uzasadnia</w:t>
      </w:r>
      <w:r w:rsidR="002E7DD4">
        <w:t xml:space="preserve"> zastosowanie praw</w:t>
      </w:r>
      <w:r w:rsidR="00B054DA">
        <w:t>a</w:t>
      </w:r>
      <w:r w:rsidR="002E7DD4">
        <w:t xml:space="preserve"> karne</w:t>
      </w:r>
      <w:r w:rsidR="00B054DA">
        <w:t>go</w:t>
      </w:r>
      <w:r w:rsidR="002E7DD4">
        <w:t xml:space="preserve"> i </w:t>
      </w:r>
      <w:r w:rsidR="00B054DA">
        <w:t xml:space="preserve">wymierzenie </w:t>
      </w:r>
      <w:r w:rsidR="002E7DD4">
        <w:t>kar</w:t>
      </w:r>
      <w:r w:rsidR="00B054DA">
        <w:t>y</w:t>
      </w:r>
      <w:r w:rsidR="002E7DD4">
        <w:t xml:space="preserve"> pozbawienia wolności (zob. par. 38–39 powyżej). Rząd nie twierdzi</w:t>
      </w:r>
      <w:r w:rsidR="00FA18B9">
        <w:t>ł</w:t>
      </w:r>
      <w:r w:rsidR="002E7DD4">
        <w:t>, że sprawę można by prowadzić skutecznie inaczej niż w ramach postępowania karnego.</w:t>
      </w:r>
    </w:p>
    <w:p w14:paraId="0E4167AD" w14:textId="587D789E" w:rsidR="002E7DD4" w:rsidRPr="00F9089F" w:rsidRDefault="00000000" w:rsidP="00F9089F">
      <w:pPr>
        <w:pStyle w:val="JuPara"/>
      </w:pPr>
      <w:fldSimple w:instr=" SEQ level0 \*arabic ">
        <w:r w:rsidR="00887A59">
          <w:rPr>
            <w:noProof/>
          </w:rPr>
          <w:t>93</w:t>
        </w:r>
      </w:fldSimple>
      <w:r w:rsidR="002E7DD4">
        <w:t>.</w:t>
      </w:r>
      <w:r w:rsidR="009C4069">
        <w:t xml:space="preserve"> </w:t>
      </w:r>
      <w:r w:rsidR="002E7DD4">
        <w:t xml:space="preserve">Niniejsza sprawa różni się zatem od spraw dotyczących spowodowania śmierci w wypadkach drogowych wiążących się ze zwykłym niedbalstwem, w których to sytuacjach za adekwatne i wystarczające można by uznać środki prawne przewidziane w prawie cywilnym (zob. par. 88 pkt (ii) powyżej). Niniejsza sprawa dotyczy </w:t>
      </w:r>
      <w:r w:rsidR="00FA18B9">
        <w:t xml:space="preserve">raczej </w:t>
      </w:r>
      <w:r w:rsidR="002E7DD4">
        <w:t>sytuacji, w której – jak wyjaśni</w:t>
      </w:r>
      <w:r w:rsidR="00FA18B9">
        <w:t>ono w orzecznictwie</w:t>
      </w:r>
      <w:r w:rsidR="002E7DD4">
        <w:t xml:space="preserve"> Trybunał</w:t>
      </w:r>
      <w:r w:rsidR="00FA18B9">
        <w:t>u</w:t>
      </w:r>
      <w:r w:rsidR="002E7DD4">
        <w:t xml:space="preserve"> – konieczne </w:t>
      </w:r>
      <w:r w:rsidR="00FA18B9">
        <w:t>było odwołanie się do</w:t>
      </w:r>
      <w:r w:rsidR="002E7DD4">
        <w:t xml:space="preserve"> mechanizmów dostępnych w ramach prawa karnego (zob. par. 88 pkt (iii) powyżej).</w:t>
      </w:r>
    </w:p>
    <w:p w14:paraId="7E3323BF" w14:textId="7AE8A0A7" w:rsidR="002E7DD4" w:rsidRPr="00F9089F" w:rsidRDefault="002E7DD4" w:rsidP="00F9089F">
      <w:pPr>
        <w:pStyle w:val="JuPara"/>
        <w:rPr>
          <w:rFonts w:eastAsiaTheme="minorEastAsia"/>
        </w:rPr>
      </w:pPr>
      <w:r w:rsidRPr="00F9089F">
        <w:rPr>
          <w:rFonts w:eastAsiaTheme="minorEastAsia"/>
        </w:rPr>
        <w:fldChar w:fldCharType="begin"/>
      </w:r>
      <w:r w:rsidRPr="00F9089F">
        <w:rPr>
          <w:rFonts w:eastAsiaTheme="minorEastAsia"/>
        </w:rPr>
        <w:instrText xml:space="preserve"> SEQ level0 \*arabic </w:instrText>
      </w:r>
      <w:r w:rsidRPr="00F9089F">
        <w:rPr>
          <w:rFonts w:eastAsiaTheme="minorEastAsia"/>
        </w:rPr>
        <w:fldChar w:fldCharType="separate"/>
      </w:r>
      <w:r w:rsidR="00887A59">
        <w:rPr>
          <w:rFonts w:eastAsiaTheme="minorEastAsia"/>
          <w:noProof/>
        </w:rPr>
        <w:t>94</w:t>
      </w:r>
      <w:r w:rsidRPr="00F9089F">
        <w:rPr>
          <w:rFonts w:eastAsiaTheme="minorEastAsia"/>
        </w:rPr>
        <w:fldChar w:fldCharType="end"/>
      </w:r>
      <w:r>
        <w:t>.</w:t>
      </w:r>
      <w:r w:rsidR="009C4069">
        <w:t xml:space="preserve"> </w:t>
      </w:r>
      <w:r>
        <w:t>Trybunał zauważa, że niezwłocznie po zdarzeniu policja przeprowadziła czynności na miejscu zdarzenia (zob. par. 8 powyżej). Prokuratura Rejonowa niezwłocznie wszczęła śledztwo, w toku którego przesłuchano wielu świadków i zlecono sporządzenie opinii przez biegłych (zob. par. 16–19 powyżej). Na podstawie materiału dowodowego zgromadzonego w toku postępowania przygotowawczego prokuratura w dniu 31 lipca 2012 r. skierowała do Sądu Rejonowego akt oskarżenia przeciwko D.</w:t>
      </w:r>
      <w:r w:rsidR="00FA18B9">
        <w:t xml:space="preserve"> </w:t>
      </w:r>
      <w:r>
        <w:t xml:space="preserve">M., zarzucając mu spowodowanie wypadku drogowego ze skutkiem śmiertelnym. Sąd pierwszej instancji wydał wyrok w grudniu 2012 r., a Sąd Okręgowy utrzymał go w mocy wyrokiem z maja 2013 r. (zob. par. 22, 26 </w:t>
      </w:r>
      <w:r w:rsidR="00FA18B9">
        <w:br/>
      </w:r>
      <w:r>
        <w:t xml:space="preserve">i 29 powyżej). Ponadto skarżącym zapewniono w wystarczającym stopniu możliwość uczestnictwa w postępowaniu i przedstawienia argumentów </w:t>
      </w:r>
      <w:r w:rsidR="00C24792">
        <w:br/>
      </w:r>
      <w:r>
        <w:t>w sprawie (zob. par. 21 i 28 powyżej).</w:t>
      </w:r>
    </w:p>
    <w:p w14:paraId="0AEF56AB" w14:textId="437DBC31" w:rsidR="002E7DD4" w:rsidRPr="00F9089F" w:rsidRDefault="002E7DD4" w:rsidP="00F9089F">
      <w:pPr>
        <w:pStyle w:val="JuPara"/>
        <w:rPr>
          <w:rFonts w:eastAsiaTheme="minorEastAsia"/>
        </w:rPr>
      </w:pPr>
      <w:r w:rsidRPr="00F9089F">
        <w:rPr>
          <w:rFonts w:eastAsiaTheme="minorEastAsia"/>
        </w:rPr>
        <w:fldChar w:fldCharType="begin"/>
      </w:r>
      <w:r w:rsidRPr="00F9089F">
        <w:rPr>
          <w:rFonts w:eastAsiaTheme="minorEastAsia"/>
        </w:rPr>
        <w:instrText xml:space="preserve"> SEQ level0 \*arabic </w:instrText>
      </w:r>
      <w:r w:rsidRPr="00F9089F">
        <w:rPr>
          <w:rFonts w:eastAsiaTheme="minorEastAsia"/>
        </w:rPr>
        <w:fldChar w:fldCharType="separate"/>
      </w:r>
      <w:r w:rsidR="00887A59">
        <w:rPr>
          <w:rFonts w:eastAsiaTheme="minorEastAsia"/>
          <w:noProof/>
        </w:rPr>
        <w:t>95</w:t>
      </w:r>
      <w:r w:rsidRPr="00F9089F">
        <w:rPr>
          <w:rFonts w:eastAsiaTheme="minorEastAsia"/>
        </w:rPr>
        <w:fldChar w:fldCharType="end"/>
      </w:r>
      <w:r>
        <w:t>.</w:t>
      </w:r>
      <w:r w:rsidR="009C4069">
        <w:t xml:space="preserve"> </w:t>
      </w:r>
      <w:r>
        <w:t xml:space="preserve">W tych okolicznościach Trybunał nie może uznać, że władze nie podjęły poważnej próby ustalenia przebiegu zdarzeń. Co więcej, Trybunał nie dostrzega żadnych uchybień w sposobie prowadzenia poszczególnych czynności po zdarzeniu ani w sposobie uczestnictwa skarżących w postępowaniu, które mogłyby stanowić podstawę do zakwestionowania faktu dopełnienia </w:t>
      </w:r>
      <w:r w:rsidR="00C24792">
        <w:t xml:space="preserve">przez władze krajowe </w:t>
      </w:r>
      <w:r>
        <w:t xml:space="preserve">obowiązku proceduralnego z art. 2. Należy </w:t>
      </w:r>
      <w:r>
        <w:lastRenderedPageBreak/>
        <w:t xml:space="preserve">też zauważyć, że podnoszony przez skarżących zarzut braku obiektywizmu niektórych sędziów jest bezpodstawny i </w:t>
      </w:r>
      <w:r w:rsidR="00C24792">
        <w:t>nieuzasadniony</w:t>
      </w:r>
      <w:r>
        <w:t>.</w:t>
      </w:r>
    </w:p>
    <w:p w14:paraId="1ADC9067" w14:textId="49A96D28" w:rsidR="002E7DD4" w:rsidRPr="00F9089F" w:rsidRDefault="002E7DD4" w:rsidP="00F9089F">
      <w:pPr>
        <w:pStyle w:val="JuPara"/>
        <w:rPr>
          <w:rFonts w:eastAsiaTheme="minorEastAsia"/>
        </w:rPr>
      </w:pPr>
      <w:r w:rsidRPr="00F9089F">
        <w:rPr>
          <w:rFonts w:eastAsiaTheme="minorEastAsia"/>
        </w:rPr>
        <w:fldChar w:fldCharType="begin"/>
      </w:r>
      <w:r w:rsidRPr="00F9089F">
        <w:rPr>
          <w:rFonts w:eastAsiaTheme="minorEastAsia"/>
        </w:rPr>
        <w:instrText xml:space="preserve"> SEQ level0 \*arabic </w:instrText>
      </w:r>
      <w:r w:rsidRPr="00F9089F">
        <w:rPr>
          <w:rFonts w:eastAsiaTheme="minorEastAsia"/>
        </w:rPr>
        <w:fldChar w:fldCharType="separate"/>
      </w:r>
      <w:r w:rsidR="00887A59">
        <w:rPr>
          <w:rFonts w:eastAsiaTheme="minorEastAsia"/>
          <w:noProof/>
        </w:rPr>
        <w:t>96</w:t>
      </w:r>
      <w:r w:rsidRPr="00F9089F">
        <w:rPr>
          <w:rFonts w:eastAsiaTheme="minorEastAsia"/>
        </w:rPr>
        <w:fldChar w:fldCharType="end"/>
      </w:r>
      <w:r>
        <w:t>.</w:t>
      </w:r>
      <w:r w:rsidR="009C4069">
        <w:t xml:space="preserve"> </w:t>
      </w:r>
      <w:r>
        <w:t xml:space="preserve">Rozpatrywana sprawa, jak zauważyli skarżący, dotyczy jednak </w:t>
      </w:r>
      <w:r w:rsidR="00C24792">
        <w:t xml:space="preserve">także </w:t>
      </w:r>
      <w:r>
        <w:t>nieadekwatności kary wymierzonej D.</w:t>
      </w:r>
      <w:r w:rsidR="00C24792">
        <w:t xml:space="preserve"> </w:t>
      </w:r>
      <w:r>
        <w:t>M. za spowodowanie śmierci krewnego skarżących i opóźnienia w jej wykonaniu.</w:t>
      </w:r>
    </w:p>
    <w:p w14:paraId="1A9C6E53" w14:textId="0010CD94" w:rsidR="002E7DD4" w:rsidRPr="00F9089F" w:rsidRDefault="002E7DD4" w:rsidP="00F9089F">
      <w:pPr>
        <w:pStyle w:val="JuPara"/>
        <w:rPr>
          <w:rFonts w:eastAsiaTheme="minorEastAsia"/>
        </w:rPr>
      </w:pPr>
      <w:r w:rsidRPr="00F9089F">
        <w:rPr>
          <w:rFonts w:eastAsiaTheme="minorEastAsia"/>
        </w:rPr>
        <w:fldChar w:fldCharType="begin"/>
      </w:r>
      <w:r w:rsidRPr="00F9089F">
        <w:rPr>
          <w:rFonts w:eastAsiaTheme="minorEastAsia"/>
        </w:rPr>
        <w:instrText xml:space="preserve"> SEQ level0 \*arabic </w:instrText>
      </w:r>
      <w:r w:rsidRPr="00F9089F">
        <w:rPr>
          <w:rFonts w:eastAsiaTheme="minorEastAsia"/>
        </w:rPr>
        <w:fldChar w:fldCharType="separate"/>
      </w:r>
      <w:r w:rsidR="00887A59">
        <w:rPr>
          <w:rFonts w:eastAsiaTheme="minorEastAsia"/>
          <w:noProof/>
        </w:rPr>
        <w:t>97</w:t>
      </w:r>
      <w:r w:rsidRPr="00F9089F">
        <w:rPr>
          <w:rFonts w:eastAsiaTheme="minorEastAsia"/>
        </w:rPr>
        <w:fldChar w:fldCharType="end"/>
      </w:r>
      <w:r>
        <w:t>.</w:t>
      </w:r>
      <w:r w:rsidR="009C4069">
        <w:t xml:space="preserve"> </w:t>
      </w:r>
      <w:r>
        <w:t xml:space="preserve">W tym względzie nie jest zadaniem Trybunału </w:t>
      </w:r>
      <w:r w:rsidR="00C24792">
        <w:t>ocena</w:t>
      </w:r>
      <w:r>
        <w:t>, czy sądy krajowe prawidłowo zastosowały krajowe prawo karne</w:t>
      </w:r>
      <w:r w:rsidR="00F7296D">
        <w:t>:</w:t>
      </w:r>
      <w:r>
        <w:t xml:space="preserve"> zagadnieniem istotnym w niniejszym postępowaniu nie jest odpowiedzialność karna jednostki, ale odpowiedzialność państwa </w:t>
      </w:r>
      <w:r w:rsidR="00F7296D">
        <w:t>na mocy</w:t>
      </w:r>
      <w:r>
        <w:t xml:space="preserve"> Konwencji. </w:t>
      </w:r>
      <w:r w:rsidR="00F7296D">
        <w:t>Ni</w:t>
      </w:r>
      <w:r>
        <w:t xml:space="preserve">e istnieje </w:t>
      </w:r>
      <w:r w:rsidR="00F7296D">
        <w:t xml:space="preserve">również </w:t>
      </w:r>
      <w:r>
        <w:t xml:space="preserve">bezwzględny obowiązek nakazujący, aby wszystkie przypadki ścigania przestępstw prowadziły do skazania lub do wymierzenia konkretnej kary. Trybunał musi </w:t>
      </w:r>
      <w:r w:rsidR="00F7296D">
        <w:t xml:space="preserve">przyznać sądom krajowym znaczną </w:t>
      </w:r>
      <w:r>
        <w:t xml:space="preserve">swobodę w wyborze odpowiednich środków, </w:t>
      </w:r>
      <w:r w:rsidR="00F7296D">
        <w:t xml:space="preserve">zachowując </w:t>
      </w:r>
      <w:r>
        <w:t xml:space="preserve">jednocześnie pewne </w:t>
      </w:r>
      <w:r w:rsidR="00F7296D">
        <w:t>uprawnienia kontrolne</w:t>
      </w:r>
      <w:r>
        <w:t xml:space="preserve"> i</w:t>
      </w:r>
      <w:r w:rsidR="00F7296D">
        <w:t xml:space="preserve"> prawo do</w:t>
      </w:r>
      <w:r>
        <w:t xml:space="preserve"> interwencji w przypadkach ewidentnej niewspółmierności wagi czynu i wymierzonej kary (zob.</w:t>
      </w:r>
      <w:r w:rsidR="009C4069">
        <w:t xml:space="preserve"> </w:t>
      </w:r>
      <w:r>
        <w:rPr>
          <w:i/>
        </w:rPr>
        <w:t>A. p</w:t>
      </w:r>
      <w:r w:rsidR="00E647B0">
        <w:rPr>
          <w:i/>
        </w:rPr>
        <w:t>.</w:t>
      </w:r>
      <w:r>
        <w:rPr>
          <w:i/>
        </w:rPr>
        <w:t xml:space="preserve"> Chorwacji</w:t>
      </w:r>
      <w:r>
        <w:t>, skarga nr 55164/08, § 66, 14 października 2010 r. i przytoczone tam orzecznictwo</w:t>
      </w:r>
      <w:r w:rsidR="00E647B0">
        <w:t>, zob.</w:t>
      </w:r>
      <w:r>
        <w:t xml:space="preserve"> również </w:t>
      </w:r>
      <w:r>
        <w:rPr>
          <w:i/>
        </w:rPr>
        <w:t>Armani Da Silva</w:t>
      </w:r>
      <w:r>
        <w:t>, cyt. pow</w:t>
      </w:r>
      <w:r w:rsidR="00E647B0">
        <w:t>.</w:t>
      </w:r>
      <w:r>
        <w:t>, § 238).</w:t>
      </w:r>
    </w:p>
    <w:p w14:paraId="7E4134C0" w14:textId="5990188A" w:rsidR="002E7DD4" w:rsidRPr="00F9089F" w:rsidRDefault="00000000" w:rsidP="00F9089F">
      <w:pPr>
        <w:pStyle w:val="JuPara"/>
      </w:pPr>
      <w:fldSimple w:instr=" SEQ level0 \*arabic ">
        <w:r w:rsidR="00887A59">
          <w:rPr>
            <w:noProof/>
          </w:rPr>
          <w:t>98</w:t>
        </w:r>
      </w:fldSimple>
      <w:r w:rsidR="002E7DD4">
        <w:t>.</w:t>
      </w:r>
      <w:r w:rsidR="009C4069">
        <w:t xml:space="preserve"> </w:t>
      </w:r>
      <w:r w:rsidR="002E7DD4">
        <w:t xml:space="preserve">Trybunał zauważa, że </w:t>
      </w:r>
      <w:r w:rsidR="00E647B0">
        <w:t>K</w:t>
      </w:r>
      <w:r w:rsidR="002E7DD4">
        <w:t>odeks karny da</w:t>
      </w:r>
      <w:r w:rsidR="00E647B0">
        <w:t>ł</w:t>
      </w:r>
      <w:r w:rsidR="002E7DD4">
        <w:t xml:space="preserve"> sądom krajowym możliwość </w:t>
      </w:r>
      <w:r w:rsidR="00E647B0">
        <w:t xml:space="preserve">wymierzenia </w:t>
      </w:r>
      <w:r w:rsidR="002E7DD4">
        <w:t xml:space="preserve">kary pozbawienia wolności od trzech do dziesięciu lat (zob. par. 38 powyżej). Sąd Rejonowy postanowił jednak skorzystać </w:t>
      </w:r>
      <w:r w:rsidR="00E647B0">
        <w:br/>
      </w:r>
      <w:r w:rsidR="002E7DD4">
        <w:t xml:space="preserve">z przewidzianej właściwym prawem krajowym możliwości </w:t>
      </w:r>
      <w:r w:rsidR="00E647B0">
        <w:t xml:space="preserve">orzeczenia </w:t>
      </w:r>
      <w:r w:rsidR="002E7DD4">
        <w:t xml:space="preserve">kary poniżej przewidzianego ustawą minimum (zob. par. 41 powyżej) i </w:t>
      </w:r>
      <w:r w:rsidR="00E647B0">
        <w:t xml:space="preserve">wymierzył mu </w:t>
      </w:r>
      <w:r w:rsidR="002E7DD4">
        <w:t>karę dwóch lat pozbawienia wolności. Ostatecznie D.</w:t>
      </w:r>
      <w:r w:rsidR="00E647B0">
        <w:t xml:space="preserve"> </w:t>
      </w:r>
      <w:r w:rsidR="002E7DD4">
        <w:t>M. został zwolniony warunkowo po odbyciu około czternastu miesięcy przewidzianej wyrokiem kary (zob. par. 32–33 powyżej).</w:t>
      </w:r>
    </w:p>
    <w:p w14:paraId="26919859" w14:textId="5CB34852" w:rsidR="002E7DD4" w:rsidRPr="00F9089F" w:rsidRDefault="00000000" w:rsidP="00F9089F">
      <w:pPr>
        <w:pStyle w:val="JuPara"/>
        <w:rPr>
          <w:b/>
        </w:rPr>
      </w:pPr>
      <w:fldSimple w:instr=" SEQ level0 \*arabic ">
        <w:r w:rsidR="00887A59">
          <w:rPr>
            <w:noProof/>
          </w:rPr>
          <w:t>99</w:t>
        </w:r>
      </w:fldSimple>
      <w:r w:rsidR="002E7DD4">
        <w:t>.</w:t>
      </w:r>
      <w:r w:rsidR="009C4069">
        <w:t xml:space="preserve"> </w:t>
      </w:r>
      <w:r w:rsidR="002E7DD4">
        <w:t>Nie</w:t>
      </w:r>
      <w:r w:rsidR="00887A59">
        <w:t xml:space="preserve"> </w:t>
      </w:r>
      <w:r w:rsidR="002E7DD4">
        <w:t>zamierzając ingerować w dobór przez sądy krajowe środków karnych</w:t>
      </w:r>
      <w:r w:rsidR="0050548B" w:rsidRPr="00F9089F">
        <w:fldChar w:fldCharType="begin"/>
      </w:r>
      <w:r w:rsidR="0050548B" w:rsidRPr="00F9089F">
        <w:instrText xml:space="preserve"> </w:instrText>
      </w:r>
      <w:r w:rsidR="0050548B" w:rsidRPr="00F9089F">
        <w:fldChar w:fldCharType="begin"/>
      </w:r>
      <w:r w:rsidR="0050548B" w:rsidRPr="00F9089F">
        <w:instrText xml:space="preserve">  </w:instrText>
      </w:r>
      <w:r w:rsidR="0050548B" w:rsidRPr="00F9089F">
        <w:fldChar w:fldCharType="end"/>
      </w:r>
      <w:r w:rsidR="0050548B" w:rsidRPr="00F9089F">
        <w:instrText xml:space="preserve"> </w:instrText>
      </w:r>
      <w:r w:rsidR="0050548B" w:rsidRPr="00F9089F">
        <w:fldChar w:fldCharType="end"/>
      </w:r>
      <w:r w:rsidR="002E7DD4">
        <w:t xml:space="preserve"> stosowanych wobec D.</w:t>
      </w:r>
      <w:r w:rsidR="00E647B0">
        <w:t xml:space="preserve"> </w:t>
      </w:r>
      <w:r w:rsidR="002E7DD4">
        <w:t xml:space="preserve">M. </w:t>
      </w:r>
      <w:r w:rsidR="00FE7D47">
        <w:t>ani</w:t>
      </w:r>
      <w:r w:rsidR="002E7DD4">
        <w:t xml:space="preserve"> oceniać ich proporcjonalności względem popełnionego czynu, Trybunał </w:t>
      </w:r>
      <w:r w:rsidR="00E647B0">
        <w:t>nie może nie</w:t>
      </w:r>
      <w:r w:rsidR="002E7DD4">
        <w:t xml:space="preserve"> zauważyć, że Sąd Rejonowy przy dokonywaniu oceny, choć wziął pod uwagę fakt, że D.</w:t>
      </w:r>
      <w:r w:rsidR="00E647B0">
        <w:t xml:space="preserve"> </w:t>
      </w:r>
      <w:r w:rsidR="002E7DD4">
        <w:t xml:space="preserve">M. nie był uprzednio </w:t>
      </w:r>
      <w:r w:rsidR="00E647B0">
        <w:t>karany</w:t>
      </w:r>
      <w:r w:rsidR="002E7DD4">
        <w:t xml:space="preserve"> (zob. par. 27 powyżej), nie odniósł się do faktu, że </w:t>
      </w:r>
      <w:r w:rsidR="00154717">
        <w:br/>
      </w:r>
      <w:r w:rsidR="002E7DD4">
        <w:t>– jak wynika z dostępnego rejestru – D.</w:t>
      </w:r>
      <w:r w:rsidR="00154717">
        <w:t xml:space="preserve"> </w:t>
      </w:r>
      <w:r w:rsidR="002E7DD4">
        <w:t xml:space="preserve">M. był kilkakrotnie karany grzywną w postępowaniach w sprawie o wykroczenia (zob. par. 10 powyżej). Co więcej, Trybunał pozwala sobie </w:t>
      </w:r>
      <w:r w:rsidR="00154717">
        <w:t>z</w:t>
      </w:r>
      <w:r w:rsidR="002E7DD4">
        <w:t>auważyć, że stwierdzenie przez Sąd Rejonowy, że przed popełnieniem analizowanego czynu zachowanie D.</w:t>
      </w:r>
      <w:r w:rsidR="00154717">
        <w:t xml:space="preserve"> </w:t>
      </w:r>
      <w:r w:rsidR="002E7DD4">
        <w:t xml:space="preserve">M. było zgodne z prawem, </w:t>
      </w:r>
      <w:r w:rsidR="00154717">
        <w:t>stoi w jaskrawej sprzeczności z jego</w:t>
      </w:r>
      <w:r w:rsidR="002E7DD4">
        <w:t xml:space="preserve"> wcześniejszy</w:t>
      </w:r>
      <w:r w:rsidR="00154717">
        <w:t>m</w:t>
      </w:r>
      <w:r w:rsidR="002E7DD4">
        <w:t xml:space="preserve"> zachowani</w:t>
      </w:r>
      <w:r w:rsidR="00154717">
        <w:t>em</w:t>
      </w:r>
      <w:r w:rsidR="002E7DD4">
        <w:t xml:space="preserve"> </w:t>
      </w:r>
      <w:r w:rsidR="00154717">
        <w:t>jako kierowcy</w:t>
      </w:r>
      <w:r w:rsidR="002E7DD4">
        <w:t xml:space="preserve"> (zob. par. 9–15 powyżej). W tych okolicznościach złagodzenie kary D.</w:t>
      </w:r>
      <w:r w:rsidR="00154717">
        <w:t xml:space="preserve"> </w:t>
      </w:r>
      <w:r w:rsidR="002E7DD4">
        <w:t xml:space="preserve">M. poniżej ustawowego minimum nie </w:t>
      </w:r>
      <w:r w:rsidR="00154717">
        <w:t>wydaje się być</w:t>
      </w:r>
      <w:r w:rsidR="002E7DD4">
        <w:t xml:space="preserve"> rozwiązani</w:t>
      </w:r>
      <w:r w:rsidR="00154717">
        <w:t>em</w:t>
      </w:r>
      <w:r w:rsidR="002E7DD4">
        <w:t xml:space="preserve"> zastosowan</w:t>
      </w:r>
      <w:r w:rsidR="00154717">
        <w:t>ym</w:t>
      </w:r>
      <w:r w:rsidR="002E7DD4">
        <w:t xml:space="preserve"> po </w:t>
      </w:r>
      <w:r w:rsidR="00154717">
        <w:t>dokładnym zbadaniu</w:t>
      </w:r>
      <w:r w:rsidR="002E7DD4">
        <w:t xml:space="preserve"> </w:t>
      </w:r>
      <w:r w:rsidR="00154717">
        <w:t xml:space="preserve">wszystkich </w:t>
      </w:r>
      <w:r w:rsidR="002E7DD4">
        <w:t>istotnych kwestii związanych ze sprawą.</w:t>
      </w:r>
    </w:p>
    <w:p w14:paraId="3A8E45B4" w14:textId="0ED96846" w:rsidR="002E7DD4" w:rsidRPr="00F9089F" w:rsidRDefault="00000000" w:rsidP="00F9089F">
      <w:pPr>
        <w:pStyle w:val="JuPara"/>
      </w:pPr>
      <w:fldSimple w:instr=" SEQ level0 \*arabic ">
        <w:r w:rsidR="00887A59">
          <w:rPr>
            <w:noProof/>
          </w:rPr>
          <w:t>100</w:t>
        </w:r>
      </w:fldSimple>
      <w:r w:rsidR="002E7DD4">
        <w:t>.</w:t>
      </w:r>
      <w:r w:rsidR="009C4069">
        <w:t xml:space="preserve"> </w:t>
      </w:r>
      <w:r w:rsidR="00C322DD">
        <w:t>Należy</w:t>
      </w:r>
      <w:r w:rsidR="002E7DD4">
        <w:t xml:space="preserve"> ponadto</w:t>
      </w:r>
      <w:r w:rsidR="00C322DD">
        <w:t xml:space="preserve"> zauważyć</w:t>
      </w:r>
      <w:r w:rsidR="002E7DD4">
        <w:t xml:space="preserve">, że </w:t>
      </w:r>
      <w:r w:rsidR="00C322DD">
        <w:t xml:space="preserve">odpowiednie </w:t>
      </w:r>
      <w:r w:rsidR="002E7DD4">
        <w:t xml:space="preserve">przepisy prawa krajowego stanowiły, iż wykonanie kary pozbawienia wolności należy przeprowadzać szybko, a </w:t>
      </w:r>
      <w:r w:rsidR="00C322DD">
        <w:t xml:space="preserve">egzekucja </w:t>
      </w:r>
      <w:r w:rsidR="002E7DD4">
        <w:t>wyroku może być odroczon</w:t>
      </w:r>
      <w:r w:rsidR="00C322DD">
        <w:t>a</w:t>
      </w:r>
      <w:r w:rsidR="002E7DD4">
        <w:t xml:space="preserve"> wyłącznie w wyjątkowych okolicznościach (zob. par. 46 powyżej). Biorąc pod uwagę okoliczności faktyczne sprawy, nie jest do końca jasne, dlaczego wykonanie </w:t>
      </w:r>
      <w:r w:rsidR="002E7DD4">
        <w:lastRenderedPageBreak/>
        <w:t xml:space="preserve">kary </w:t>
      </w:r>
      <w:r w:rsidR="00C322DD">
        <w:t>wymierzonej</w:t>
      </w:r>
      <w:r w:rsidR="002E7DD4">
        <w:t xml:space="preserve"> D.</w:t>
      </w:r>
      <w:r w:rsidR="00C322DD">
        <w:t xml:space="preserve"> </w:t>
      </w:r>
      <w:r w:rsidR="002E7DD4">
        <w:t xml:space="preserve">M. nastąpiło z rocznym opóźnieniem </w:t>
      </w:r>
      <w:r w:rsidR="00C322DD">
        <w:t xml:space="preserve">po </w:t>
      </w:r>
      <w:r w:rsidR="002E7DD4">
        <w:t>uprawomocnieni</w:t>
      </w:r>
      <w:r w:rsidR="00C322DD">
        <w:t>u</w:t>
      </w:r>
      <w:r w:rsidR="002E7DD4">
        <w:t xml:space="preserve"> się wyroku (por. </w:t>
      </w:r>
      <w:r w:rsidR="00C322DD" w:rsidRPr="00070469">
        <w:rPr>
          <w:i/>
          <w:iCs/>
        </w:rPr>
        <w:t>in contrario</w:t>
      </w:r>
      <w:r w:rsidR="002E7DD4">
        <w:t xml:space="preserve"> </w:t>
      </w:r>
      <w:proofErr w:type="spellStart"/>
      <w:r w:rsidR="002E7DD4">
        <w:rPr>
          <w:i/>
        </w:rPr>
        <w:t>Zoltai</w:t>
      </w:r>
      <w:proofErr w:type="spellEnd"/>
      <w:r w:rsidR="002E7DD4">
        <w:rPr>
          <w:i/>
        </w:rPr>
        <w:t xml:space="preserve"> p</w:t>
      </w:r>
      <w:r w:rsidR="00C322DD">
        <w:rPr>
          <w:i/>
        </w:rPr>
        <w:t>.</w:t>
      </w:r>
      <w:r w:rsidR="002E7DD4">
        <w:rPr>
          <w:i/>
        </w:rPr>
        <w:t xml:space="preserve"> Węgrom i Irlandii </w:t>
      </w:r>
      <w:r w:rsidR="002E7DD4" w:rsidRPr="00070469">
        <w:rPr>
          <w:iCs/>
        </w:rPr>
        <w:t>(</w:t>
      </w:r>
      <w:proofErr w:type="spellStart"/>
      <w:r w:rsidR="002E7DD4" w:rsidRPr="00070469">
        <w:rPr>
          <w:iCs/>
        </w:rPr>
        <w:t>dec</w:t>
      </w:r>
      <w:proofErr w:type="spellEnd"/>
      <w:r w:rsidR="002E7DD4" w:rsidRPr="00070469">
        <w:rPr>
          <w:iCs/>
        </w:rPr>
        <w:t>.), skarga nr 61946/12,</w:t>
      </w:r>
      <w:r w:rsidR="002E7DD4">
        <w:rPr>
          <w:i/>
        </w:rPr>
        <w:t xml:space="preserve"> </w:t>
      </w:r>
      <w:r w:rsidR="002E7DD4">
        <w:t>§ 31–32, 29 września 2015 r.). W związku z tym Trybunał zauważa w szczególności, że skarżący musieli kilka razy wnosić skargi w związku z niewykonaniem kary pozbawienia wolności wobec D.</w:t>
      </w:r>
      <w:r w:rsidR="001C399B">
        <w:t xml:space="preserve"> </w:t>
      </w:r>
      <w:r w:rsidR="002E7DD4">
        <w:t>M. (zob. par. 31 powyżej).</w:t>
      </w:r>
    </w:p>
    <w:p w14:paraId="7F14ED25" w14:textId="6614E938" w:rsidR="002E7DD4" w:rsidRPr="00F9089F" w:rsidRDefault="00000000" w:rsidP="00F9089F">
      <w:pPr>
        <w:pStyle w:val="JuPara"/>
      </w:pPr>
      <w:fldSimple w:instr=" SEQ level0 \*arabic ">
        <w:r w:rsidR="00887A59">
          <w:rPr>
            <w:noProof/>
          </w:rPr>
          <w:t>101</w:t>
        </w:r>
      </w:fldSimple>
      <w:r w:rsidR="002E7DD4">
        <w:t>.</w:t>
      </w:r>
      <w:r w:rsidR="009C4069">
        <w:t xml:space="preserve"> </w:t>
      </w:r>
      <w:r w:rsidR="002E7DD4">
        <w:t xml:space="preserve">W tych okolicznościach nie można uznać, że władze krajowe wykazały się wymaganą starannością w </w:t>
      </w:r>
      <w:r w:rsidR="001C399B">
        <w:t>wykonaniu kary pozbawienia wolności wobec</w:t>
      </w:r>
      <w:r w:rsidR="002E7DD4">
        <w:t xml:space="preserve"> </w:t>
      </w:r>
      <w:r w:rsidR="001C399B">
        <w:t>D. M.</w:t>
      </w:r>
      <w:r w:rsidR="002E7DD4">
        <w:t xml:space="preserve">. Rocznego opóźnienia, o którym mowa powyżej, nie można uznać za uzasadnione. Takie nieuzasadnione opóźnienie w wykonaniu wyroku wydanego </w:t>
      </w:r>
      <w:r w:rsidR="001C399B">
        <w:t xml:space="preserve">wobec </w:t>
      </w:r>
      <w:r w:rsidR="002E7DD4">
        <w:t>D.</w:t>
      </w:r>
      <w:r w:rsidR="001C399B">
        <w:t xml:space="preserve"> </w:t>
      </w:r>
      <w:r w:rsidR="002E7DD4">
        <w:t xml:space="preserve">M. nie było zatem zgodne z </w:t>
      </w:r>
      <w:r w:rsidR="001C399B">
        <w:t xml:space="preserve">wynikającym </w:t>
      </w:r>
      <w:r w:rsidR="001C399B">
        <w:br/>
        <w:t xml:space="preserve">z art. 2 </w:t>
      </w:r>
      <w:r w:rsidR="002E7DD4">
        <w:t>obowiązkiem państwa wykonywanie prawomocnych wyroków sądów karnych bez zbędnej zwłoki (zob. par. 91 powyżej).</w:t>
      </w:r>
    </w:p>
    <w:p w14:paraId="60DA8DB7" w14:textId="7ADCDFC0" w:rsidR="002E7DD4" w:rsidRPr="00F9089F" w:rsidRDefault="00000000" w:rsidP="00F9089F">
      <w:pPr>
        <w:pStyle w:val="JuPara"/>
      </w:pPr>
      <w:fldSimple w:instr=" SEQ level0 \*arabic ">
        <w:r w:rsidR="00887A59">
          <w:rPr>
            <w:noProof/>
          </w:rPr>
          <w:t>102</w:t>
        </w:r>
      </w:fldSimple>
      <w:r w:rsidR="002E7DD4">
        <w:t>.</w:t>
      </w:r>
      <w:r w:rsidR="009C4069">
        <w:t xml:space="preserve"> </w:t>
      </w:r>
      <w:r w:rsidR="002E7DD4">
        <w:t>Mając na uwadze powyższe rozważania, chociaż Trybunał uważa, że każde ze stwierdzonych uchybień w reakcji władz krajowych na bezprawne zachowanie D.</w:t>
      </w:r>
      <w:r w:rsidR="001C399B">
        <w:t xml:space="preserve"> </w:t>
      </w:r>
      <w:r w:rsidR="002E7DD4">
        <w:t>M.</w:t>
      </w:r>
      <w:r w:rsidR="002B5591">
        <w:t xml:space="preserve"> niekoniecznie musi -</w:t>
      </w:r>
      <w:r w:rsidR="002E7DD4">
        <w:t xml:space="preserve"> rozpatrywane odrębnie i samo </w:t>
      </w:r>
      <w:r w:rsidR="002B5591">
        <w:br/>
      </w:r>
      <w:r w:rsidR="002E7DD4">
        <w:t xml:space="preserve">w sobie </w:t>
      </w:r>
      <w:r w:rsidR="002B5591">
        <w:t xml:space="preserve">- </w:t>
      </w:r>
      <w:r w:rsidR="002E7DD4">
        <w:t>pod</w:t>
      </w:r>
      <w:r w:rsidR="002B5591">
        <w:t>dawać</w:t>
      </w:r>
      <w:r w:rsidR="002E7DD4">
        <w:t xml:space="preserve"> w </w:t>
      </w:r>
      <w:r w:rsidR="002B5591">
        <w:t xml:space="preserve">wątpliwość </w:t>
      </w:r>
      <w:r w:rsidR="002E7DD4">
        <w:t>przestrzegani</w:t>
      </w:r>
      <w:r w:rsidR="002B5591">
        <w:t>e</w:t>
      </w:r>
      <w:r w:rsidR="002E7DD4">
        <w:t xml:space="preserve"> przez władze krajowe ich obowiązków z art. 2, to uznaje, że </w:t>
      </w:r>
      <w:r w:rsidR="000B2F1A">
        <w:t xml:space="preserve">uwzględniane łącznie, </w:t>
      </w:r>
      <w:r w:rsidR="002E7DD4">
        <w:t>uchybie</w:t>
      </w:r>
      <w:r w:rsidR="000B2F1A">
        <w:t>nia te</w:t>
      </w:r>
      <w:r w:rsidR="002E7DD4">
        <w:t xml:space="preserve"> sugeruj</w:t>
      </w:r>
      <w:r w:rsidR="000B2F1A">
        <w:t>ą</w:t>
      </w:r>
      <w:r w:rsidR="002E7DD4">
        <w:t xml:space="preserve">, iż krajowe ramy regulacyjne dotyczące bezpieczeństwa </w:t>
      </w:r>
      <w:r w:rsidR="000B2F1A">
        <w:t xml:space="preserve">ruchu </w:t>
      </w:r>
      <w:r w:rsidR="002E7DD4">
        <w:t>drogowego</w:t>
      </w:r>
      <w:r w:rsidR="000B2F1A">
        <w:t>, wdrożone w niniejszej sprawie,</w:t>
      </w:r>
      <w:r w:rsidR="002E7DD4">
        <w:t xml:space="preserve"> okazały się dalekie od rygorystycznych, a ich skutek </w:t>
      </w:r>
      <w:r w:rsidR="000B2F1A">
        <w:t>odstraszający,</w:t>
      </w:r>
      <w:r w:rsidR="002E7DD4">
        <w:t xml:space="preserve"> pozwalając</w:t>
      </w:r>
      <w:r w:rsidR="000B2F1A">
        <w:t>y</w:t>
      </w:r>
      <w:r w:rsidR="002E7DD4">
        <w:t xml:space="preserve"> zapewnić skuteczne zapobieganie bezprawnym</w:t>
      </w:r>
      <w:r w:rsidR="000B2F1A">
        <w:t xml:space="preserve"> </w:t>
      </w:r>
      <w:proofErr w:type="spellStart"/>
      <w:r w:rsidR="000B2F1A">
        <w:t>zachowaniom</w:t>
      </w:r>
      <w:proofErr w:type="spellEnd"/>
      <w:r w:rsidR="002E7DD4">
        <w:t xml:space="preserve">, takim jak stanowiące przedmiot </w:t>
      </w:r>
      <w:r w:rsidR="000B2F1A">
        <w:t>zarzutów</w:t>
      </w:r>
      <w:r w:rsidR="002E7DD4">
        <w:t xml:space="preserve"> skarżących, był </w:t>
      </w:r>
      <w:r w:rsidR="000B2F1A">
        <w:t>niewielki</w:t>
      </w:r>
      <w:r w:rsidR="002E7DD4">
        <w:t xml:space="preserve">. Co więcej, nie można stwierdzić, by tego rodzaju </w:t>
      </w:r>
      <w:r w:rsidR="00D15F85">
        <w:t>postępowanie</w:t>
      </w:r>
      <w:r w:rsidR="002E7DD4">
        <w:t xml:space="preserve"> władz krajowych </w:t>
      </w:r>
      <w:r w:rsidR="00D15F85">
        <w:t>było w stanie zapewnić</w:t>
      </w:r>
      <w:r w:rsidR="002E7DD4">
        <w:t xml:space="preserve"> zaufani</w:t>
      </w:r>
      <w:r w:rsidR="00D15F85">
        <w:t>e</w:t>
      </w:r>
      <w:r w:rsidR="002E7DD4">
        <w:t xml:space="preserve"> publiczne w kwestii przestrzegania przez władze zasady praworządności i ich zdolności do zapobiegania wrażeniu, że tolerują czyny bezprawne.</w:t>
      </w:r>
    </w:p>
    <w:p w14:paraId="3B7B8743" w14:textId="7213CBCB" w:rsidR="002E7DD4" w:rsidRPr="00F9089F" w:rsidRDefault="00000000" w:rsidP="00F9089F">
      <w:pPr>
        <w:pStyle w:val="JuPara"/>
      </w:pPr>
      <w:fldSimple w:instr=" SEQ level0 \*arabic ">
        <w:r w:rsidR="00887A59">
          <w:rPr>
            <w:noProof/>
          </w:rPr>
          <w:t>103</w:t>
        </w:r>
      </w:fldSimple>
      <w:r w:rsidR="002E7DD4">
        <w:t>.</w:t>
      </w:r>
      <w:r w:rsidR="009C4069">
        <w:t xml:space="preserve"> </w:t>
      </w:r>
      <w:r w:rsidR="002E7DD4">
        <w:t xml:space="preserve">Trybunał uznaje zatem, że doszło do naruszenia art. 2 Konwencji </w:t>
      </w:r>
      <w:r w:rsidR="00D15F85">
        <w:br/>
      </w:r>
      <w:r w:rsidR="002E7DD4">
        <w:t>w jego aspekcie proceduralnym.</w:t>
      </w:r>
    </w:p>
    <w:p w14:paraId="0D00F0C1" w14:textId="77777777" w:rsidR="002E7DD4" w:rsidRPr="00F9089F" w:rsidRDefault="002E7DD4" w:rsidP="00F9089F">
      <w:pPr>
        <w:pStyle w:val="JuHIRoman"/>
      </w:pPr>
      <w:r>
        <w:t>ZASTOSOWANIE ART. 41 KONWENCJI</w:t>
      </w:r>
    </w:p>
    <w:p w14:paraId="7820E6AA" w14:textId="19A80F17" w:rsidR="002E7DD4" w:rsidRPr="00F9089F" w:rsidRDefault="002E7DD4" w:rsidP="00F9089F">
      <w:pPr>
        <w:ind w:firstLine="284"/>
        <w:jc w:val="both"/>
        <w:rPr>
          <w:rFonts w:eastAsiaTheme="minorEastAsia"/>
          <w:szCs w:val="22"/>
        </w:rPr>
      </w:pPr>
      <w:r w:rsidRPr="00F9089F">
        <w:rPr>
          <w:rFonts w:eastAsiaTheme="minorEastAsia"/>
          <w:szCs w:val="22"/>
        </w:rPr>
        <w:fldChar w:fldCharType="begin"/>
      </w:r>
      <w:r w:rsidRPr="00F9089F">
        <w:rPr>
          <w:rFonts w:eastAsiaTheme="minorEastAsia"/>
          <w:szCs w:val="22"/>
        </w:rPr>
        <w:instrText xml:space="preserve"> SEQ level0 \*arabic </w:instrText>
      </w:r>
      <w:r w:rsidRPr="00F9089F">
        <w:rPr>
          <w:rFonts w:eastAsiaTheme="minorEastAsia"/>
          <w:szCs w:val="22"/>
        </w:rPr>
        <w:fldChar w:fldCharType="separate"/>
      </w:r>
      <w:r w:rsidR="00887A59">
        <w:rPr>
          <w:rFonts w:eastAsiaTheme="minorEastAsia"/>
          <w:noProof/>
          <w:szCs w:val="22"/>
        </w:rPr>
        <w:t>104</w:t>
      </w:r>
      <w:r w:rsidRPr="00F9089F">
        <w:rPr>
          <w:rFonts w:eastAsiaTheme="minorEastAsia"/>
          <w:szCs w:val="22"/>
        </w:rPr>
        <w:fldChar w:fldCharType="end"/>
      </w:r>
      <w:r>
        <w:t>.</w:t>
      </w:r>
      <w:r w:rsidR="009C4069">
        <w:t xml:space="preserve"> </w:t>
      </w:r>
      <w:r>
        <w:t>Artykuł 41 Konwencji stanowi:</w:t>
      </w:r>
    </w:p>
    <w:p w14:paraId="213DFDB2" w14:textId="77777777" w:rsidR="002E7DD4" w:rsidRPr="00F9089F" w:rsidRDefault="002E7DD4" w:rsidP="00F9089F">
      <w:pPr>
        <w:keepNext/>
        <w:keepLines/>
        <w:spacing w:before="120" w:after="120"/>
        <w:ind w:left="425" w:firstLine="142"/>
        <w:jc w:val="both"/>
        <w:rPr>
          <w:rFonts w:eastAsiaTheme="minorEastAsia"/>
          <w:sz w:val="20"/>
          <w:szCs w:val="22"/>
        </w:rPr>
      </w:pPr>
      <w:r>
        <w:rPr>
          <w:sz w:val="20"/>
          <w:szCs w:val="22"/>
        </w:rPr>
        <w:t>„Jeżeli Trybunał stwierdzi, że nastąpiło naruszenie Konwencji lub jej protokołów, oraz jeżeli prawo wewnętrzne zainteresowanej Wysokiej Układającej się Strony pozwala tylko na częściowe usunięcie konsekwencji tego naruszenia, Trybunał orzeka, gdy zachodzi taka potrzeba, o przyznaniu słusznego zadośćuczynienia pokrzywdzonej stronie”.</w:t>
      </w:r>
    </w:p>
    <w:p w14:paraId="623A6BE8" w14:textId="77777777" w:rsidR="002E7DD4" w:rsidRPr="00F9089F" w:rsidRDefault="002E7DD4" w:rsidP="00F9089F">
      <w:pPr>
        <w:pStyle w:val="JuHA"/>
      </w:pPr>
      <w:r>
        <w:t>Szkoda</w:t>
      </w:r>
    </w:p>
    <w:p w14:paraId="764A7FBD" w14:textId="401023B9" w:rsidR="002E7DD4" w:rsidRPr="00F9089F" w:rsidRDefault="002E7DD4" w:rsidP="00F9089F">
      <w:pPr>
        <w:ind w:firstLine="284"/>
        <w:jc w:val="both"/>
        <w:rPr>
          <w:rFonts w:eastAsiaTheme="minorEastAsia"/>
          <w:szCs w:val="22"/>
        </w:rPr>
      </w:pPr>
      <w:r w:rsidRPr="00F9089F">
        <w:rPr>
          <w:rFonts w:eastAsiaTheme="minorEastAsia"/>
          <w:szCs w:val="22"/>
        </w:rPr>
        <w:fldChar w:fldCharType="begin"/>
      </w:r>
      <w:r w:rsidRPr="00F9089F">
        <w:rPr>
          <w:rFonts w:eastAsiaTheme="minorEastAsia"/>
          <w:szCs w:val="22"/>
        </w:rPr>
        <w:instrText xml:space="preserve"> SEQ level0 \*arabic </w:instrText>
      </w:r>
      <w:r w:rsidRPr="00F9089F">
        <w:rPr>
          <w:rFonts w:eastAsiaTheme="minorEastAsia"/>
          <w:szCs w:val="22"/>
        </w:rPr>
        <w:fldChar w:fldCharType="separate"/>
      </w:r>
      <w:r w:rsidR="00887A59">
        <w:rPr>
          <w:rFonts w:eastAsiaTheme="minorEastAsia"/>
          <w:noProof/>
          <w:szCs w:val="22"/>
        </w:rPr>
        <w:t>105</w:t>
      </w:r>
      <w:r w:rsidRPr="00F9089F">
        <w:rPr>
          <w:rFonts w:eastAsiaTheme="minorEastAsia"/>
          <w:szCs w:val="22"/>
        </w:rPr>
        <w:fldChar w:fldCharType="end"/>
      </w:r>
      <w:r>
        <w:t>.</w:t>
      </w:r>
      <w:r w:rsidR="009C4069">
        <w:t xml:space="preserve"> </w:t>
      </w:r>
      <w:r>
        <w:t>Skarżący zażądali kwoty 15 000 euro (EUR) każdy tytułem zadośćuczynienia za szkodę niemajątkową.</w:t>
      </w:r>
    </w:p>
    <w:p w14:paraId="23137B69" w14:textId="4FCA9AEE" w:rsidR="002E7DD4" w:rsidRPr="00F9089F" w:rsidRDefault="002E7DD4" w:rsidP="00F9089F">
      <w:pPr>
        <w:ind w:firstLine="284"/>
        <w:jc w:val="both"/>
        <w:rPr>
          <w:rFonts w:eastAsiaTheme="minorEastAsia"/>
          <w:szCs w:val="22"/>
        </w:rPr>
      </w:pPr>
      <w:r w:rsidRPr="00F9089F">
        <w:rPr>
          <w:rFonts w:eastAsiaTheme="minorEastAsia"/>
          <w:szCs w:val="22"/>
        </w:rPr>
        <w:fldChar w:fldCharType="begin"/>
      </w:r>
      <w:r w:rsidRPr="00F9089F">
        <w:rPr>
          <w:rFonts w:eastAsiaTheme="minorEastAsia"/>
          <w:szCs w:val="22"/>
        </w:rPr>
        <w:instrText xml:space="preserve"> SEQ level0 \*arabic </w:instrText>
      </w:r>
      <w:r w:rsidRPr="00F9089F">
        <w:rPr>
          <w:rFonts w:eastAsiaTheme="minorEastAsia"/>
          <w:szCs w:val="22"/>
        </w:rPr>
        <w:fldChar w:fldCharType="separate"/>
      </w:r>
      <w:r w:rsidR="00887A59">
        <w:rPr>
          <w:rFonts w:eastAsiaTheme="minorEastAsia"/>
          <w:noProof/>
          <w:szCs w:val="22"/>
        </w:rPr>
        <w:t>106</w:t>
      </w:r>
      <w:r w:rsidRPr="00F9089F">
        <w:rPr>
          <w:rFonts w:eastAsiaTheme="minorEastAsia"/>
          <w:szCs w:val="22"/>
        </w:rPr>
        <w:fldChar w:fldCharType="end"/>
      </w:r>
      <w:r>
        <w:t>.</w:t>
      </w:r>
      <w:r w:rsidR="009C4069">
        <w:t xml:space="preserve"> </w:t>
      </w:r>
      <w:r>
        <w:t>Rząd uznał roszczenie skarżących za nadmierne i nieuzasadnione.</w:t>
      </w:r>
    </w:p>
    <w:p w14:paraId="3D722776" w14:textId="6101A529" w:rsidR="002E7DD4" w:rsidRPr="00F9089F" w:rsidRDefault="002E7DD4" w:rsidP="00F9089F">
      <w:pPr>
        <w:ind w:firstLine="284"/>
        <w:jc w:val="both"/>
        <w:rPr>
          <w:rFonts w:eastAsiaTheme="minorEastAsia"/>
          <w:szCs w:val="22"/>
        </w:rPr>
      </w:pPr>
      <w:r w:rsidRPr="00F9089F">
        <w:rPr>
          <w:rFonts w:eastAsiaTheme="minorEastAsia"/>
          <w:szCs w:val="22"/>
        </w:rPr>
        <w:lastRenderedPageBreak/>
        <w:fldChar w:fldCharType="begin"/>
      </w:r>
      <w:r w:rsidRPr="00F9089F">
        <w:rPr>
          <w:rFonts w:eastAsiaTheme="minorEastAsia"/>
          <w:szCs w:val="22"/>
        </w:rPr>
        <w:instrText xml:space="preserve"> SEQ level0 \*arabic </w:instrText>
      </w:r>
      <w:r w:rsidRPr="00F9089F">
        <w:rPr>
          <w:rFonts w:eastAsiaTheme="minorEastAsia"/>
          <w:szCs w:val="22"/>
        </w:rPr>
        <w:fldChar w:fldCharType="separate"/>
      </w:r>
      <w:r w:rsidR="00887A59">
        <w:rPr>
          <w:rFonts w:eastAsiaTheme="minorEastAsia"/>
          <w:noProof/>
          <w:szCs w:val="22"/>
        </w:rPr>
        <w:t>107</w:t>
      </w:r>
      <w:r w:rsidRPr="00F9089F">
        <w:rPr>
          <w:rFonts w:eastAsiaTheme="minorEastAsia"/>
          <w:szCs w:val="22"/>
        </w:rPr>
        <w:fldChar w:fldCharType="end"/>
      </w:r>
      <w:r>
        <w:t>.</w:t>
      </w:r>
      <w:r w:rsidR="009C4069">
        <w:t xml:space="preserve"> </w:t>
      </w:r>
      <w:r>
        <w:t xml:space="preserve">Mając na uwadze wszystkie okoliczności niniejszej sprawy, Trybunał zgodził się, że skarżący doznali szkody niemajątkowej, której nie można </w:t>
      </w:r>
      <w:r w:rsidR="00D15F85">
        <w:t>zrekompensować przez samo jedynie</w:t>
      </w:r>
      <w:r>
        <w:t xml:space="preserve"> stwierdzenie naruszenia. Dokonując oceny na podstawie zasady słuszności, Trybunał przyznaje na rzecz skarżących łączną kwotę 26 000 EUR tytułem zadośćuczynienia za szkodę niemajątkową, powiększoną o wszelkie podatki należne od tej kwoty.</w:t>
      </w:r>
    </w:p>
    <w:p w14:paraId="5F60BC2C" w14:textId="77777777" w:rsidR="002E7DD4" w:rsidRPr="00F9089F" w:rsidRDefault="002E7DD4" w:rsidP="00F9089F">
      <w:pPr>
        <w:pStyle w:val="JuHA"/>
      </w:pPr>
      <w:r>
        <w:t>Koszty i wydatki</w:t>
      </w:r>
    </w:p>
    <w:p w14:paraId="1D1FC9D0" w14:textId="7A0B6A92" w:rsidR="002E7DD4" w:rsidRPr="00F9089F" w:rsidRDefault="002E7DD4" w:rsidP="00F9089F">
      <w:pPr>
        <w:ind w:firstLine="284"/>
        <w:jc w:val="both"/>
        <w:rPr>
          <w:rFonts w:eastAsiaTheme="minorEastAsia"/>
          <w:szCs w:val="22"/>
        </w:rPr>
      </w:pPr>
      <w:r w:rsidRPr="00F9089F">
        <w:rPr>
          <w:rFonts w:eastAsiaTheme="minorEastAsia"/>
          <w:szCs w:val="22"/>
        </w:rPr>
        <w:fldChar w:fldCharType="begin"/>
      </w:r>
      <w:r w:rsidRPr="00F9089F">
        <w:rPr>
          <w:rFonts w:eastAsiaTheme="minorEastAsia"/>
          <w:szCs w:val="22"/>
        </w:rPr>
        <w:instrText xml:space="preserve"> SEQ level0 \*arabic </w:instrText>
      </w:r>
      <w:r w:rsidRPr="00F9089F">
        <w:rPr>
          <w:rFonts w:eastAsiaTheme="minorEastAsia"/>
          <w:szCs w:val="22"/>
        </w:rPr>
        <w:fldChar w:fldCharType="separate"/>
      </w:r>
      <w:r w:rsidR="00887A59">
        <w:rPr>
          <w:rFonts w:eastAsiaTheme="minorEastAsia"/>
          <w:noProof/>
          <w:szCs w:val="22"/>
        </w:rPr>
        <w:t>108</w:t>
      </w:r>
      <w:r w:rsidRPr="00F9089F">
        <w:rPr>
          <w:rFonts w:eastAsiaTheme="minorEastAsia"/>
          <w:szCs w:val="22"/>
        </w:rPr>
        <w:fldChar w:fldCharType="end"/>
      </w:r>
      <w:r>
        <w:t>.</w:t>
      </w:r>
      <w:r w:rsidR="009C4069">
        <w:t xml:space="preserve"> </w:t>
      </w:r>
      <w:r>
        <w:t xml:space="preserve">Skarżący wnieśli również o zasądzenie kwoty 34 375 kun chorwackich tytułem zwrotu kosztów i wydatków poniesionych </w:t>
      </w:r>
      <w:r w:rsidR="00D15F85">
        <w:br/>
      </w:r>
      <w:r>
        <w:t>w postępowaniu przed Trybunałem.</w:t>
      </w:r>
    </w:p>
    <w:p w14:paraId="678E04A1" w14:textId="21967463" w:rsidR="002E7DD4" w:rsidRPr="00F9089F" w:rsidRDefault="002E7DD4" w:rsidP="00F9089F">
      <w:pPr>
        <w:ind w:firstLine="284"/>
        <w:jc w:val="both"/>
        <w:rPr>
          <w:rFonts w:eastAsiaTheme="minorEastAsia"/>
          <w:szCs w:val="22"/>
        </w:rPr>
      </w:pPr>
      <w:r w:rsidRPr="00F9089F">
        <w:rPr>
          <w:rFonts w:eastAsiaTheme="minorEastAsia"/>
          <w:szCs w:val="22"/>
        </w:rPr>
        <w:fldChar w:fldCharType="begin"/>
      </w:r>
      <w:r w:rsidRPr="00F9089F">
        <w:rPr>
          <w:rFonts w:eastAsiaTheme="minorEastAsia"/>
          <w:szCs w:val="22"/>
        </w:rPr>
        <w:instrText xml:space="preserve"> SEQ level0 \*arabic </w:instrText>
      </w:r>
      <w:r w:rsidRPr="00F9089F">
        <w:rPr>
          <w:rFonts w:eastAsiaTheme="minorEastAsia"/>
          <w:szCs w:val="22"/>
        </w:rPr>
        <w:fldChar w:fldCharType="separate"/>
      </w:r>
      <w:r w:rsidR="00887A59">
        <w:rPr>
          <w:rFonts w:eastAsiaTheme="minorEastAsia"/>
          <w:noProof/>
          <w:szCs w:val="22"/>
        </w:rPr>
        <w:t>109</w:t>
      </w:r>
      <w:r w:rsidRPr="00F9089F">
        <w:rPr>
          <w:rFonts w:eastAsiaTheme="minorEastAsia"/>
          <w:szCs w:val="22"/>
        </w:rPr>
        <w:fldChar w:fldCharType="end"/>
      </w:r>
      <w:r>
        <w:t>.</w:t>
      </w:r>
      <w:r w:rsidR="009C4069">
        <w:t xml:space="preserve"> </w:t>
      </w:r>
      <w:r>
        <w:t>Rząd uznał roszczenie skarżących za nadmierne i nieuzasadnione.</w:t>
      </w:r>
    </w:p>
    <w:p w14:paraId="4E548D0C" w14:textId="3A9875F0" w:rsidR="002E7DD4" w:rsidRPr="00F9089F" w:rsidRDefault="002E7DD4" w:rsidP="00F9089F">
      <w:pPr>
        <w:ind w:firstLine="284"/>
        <w:jc w:val="both"/>
        <w:rPr>
          <w:rFonts w:eastAsiaTheme="minorEastAsia"/>
          <w:szCs w:val="22"/>
        </w:rPr>
      </w:pPr>
      <w:r w:rsidRPr="00F9089F">
        <w:rPr>
          <w:rFonts w:eastAsiaTheme="minorEastAsia"/>
          <w:szCs w:val="22"/>
        </w:rPr>
        <w:fldChar w:fldCharType="begin"/>
      </w:r>
      <w:r w:rsidRPr="00F9089F">
        <w:rPr>
          <w:rFonts w:eastAsiaTheme="minorEastAsia"/>
          <w:szCs w:val="22"/>
        </w:rPr>
        <w:instrText xml:space="preserve"> SEQ level0 \*arabic </w:instrText>
      </w:r>
      <w:r w:rsidRPr="00F9089F">
        <w:rPr>
          <w:rFonts w:eastAsiaTheme="minorEastAsia"/>
          <w:szCs w:val="22"/>
        </w:rPr>
        <w:fldChar w:fldCharType="separate"/>
      </w:r>
      <w:r w:rsidR="00887A59">
        <w:rPr>
          <w:rFonts w:eastAsiaTheme="minorEastAsia"/>
          <w:noProof/>
          <w:szCs w:val="22"/>
        </w:rPr>
        <w:t>110</w:t>
      </w:r>
      <w:r w:rsidRPr="00F9089F">
        <w:rPr>
          <w:rFonts w:eastAsiaTheme="minorEastAsia"/>
          <w:szCs w:val="22"/>
        </w:rPr>
        <w:fldChar w:fldCharType="end"/>
      </w:r>
      <w:r>
        <w:t>.</w:t>
      </w:r>
      <w:r w:rsidR="009C4069">
        <w:t xml:space="preserve"> </w:t>
      </w:r>
      <w:r>
        <w:t xml:space="preserve">Zgodnie z orzecznictwem Trybunału skarżącemu przysługuje prawo do zwrotu kosztów i wydatków </w:t>
      </w:r>
      <w:r w:rsidR="00D15F85">
        <w:t>jedynie w takim zakresie</w:t>
      </w:r>
      <w:r>
        <w:t xml:space="preserve">, </w:t>
      </w:r>
      <w:r w:rsidR="00D15F85">
        <w:t>w jakim zostanie wykazane</w:t>
      </w:r>
      <w:r>
        <w:t xml:space="preserve">, że </w:t>
      </w:r>
      <w:r w:rsidR="00D15F85">
        <w:t xml:space="preserve">zostały </w:t>
      </w:r>
      <w:r>
        <w:t xml:space="preserve">one rzeczywiście i koniecznie poniesione i były uzasadnione co do </w:t>
      </w:r>
      <w:r w:rsidR="00EA0F56">
        <w:t>kwoty</w:t>
      </w:r>
      <w:r>
        <w:t>. W niniejszej sprawie, biorąc pod uwagę dokumenty znajdujące się w jego posiadaniu oraz powyższe kryteria, Trybunał uważa, że zasadne jest przyznanie kwoty 4 540 EUR, powiększonej o wszelkie podatki należne od tej kwoty, na pokrycie kosztów postępowania przed Trybunałem.</w:t>
      </w:r>
    </w:p>
    <w:p w14:paraId="1CB3E92B" w14:textId="1BA89919" w:rsidR="002E7DD4" w:rsidRPr="00F9089F" w:rsidRDefault="002E7DD4" w:rsidP="00F9089F">
      <w:pPr>
        <w:keepNext/>
        <w:keepLines/>
        <w:tabs>
          <w:tab w:val="left" w:pos="584"/>
        </w:tabs>
        <w:spacing w:before="360" w:after="240"/>
        <w:ind w:left="584" w:hanging="352"/>
        <w:jc w:val="both"/>
        <w:outlineLvl w:val="1"/>
        <w:rPr>
          <w:rFonts w:asciiTheme="majorHAnsi" w:eastAsiaTheme="majorEastAsia" w:hAnsiTheme="majorHAnsi" w:cstheme="majorBidi"/>
          <w:b/>
          <w:bCs/>
          <w:szCs w:val="26"/>
        </w:rPr>
      </w:pPr>
      <w:r>
        <w:rPr>
          <w:rFonts w:asciiTheme="majorHAnsi" w:hAnsiTheme="majorHAnsi"/>
          <w:b/>
          <w:bCs/>
          <w:szCs w:val="26"/>
        </w:rPr>
        <w:t>C.</w:t>
      </w:r>
      <w:r w:rsidR="009C4069">
        <w:rPr>
          <w:rFonts w:asciiTheme="majorHAnsi" w:hAnsiTheme="majorHAnsi"/>
          <w:b/>
          <w:bCs/>
          <w:szCs w:val="26"/>
        </w:rPr>
        <w:t xml:space="preserve"> </w:t>
      </w:r>
      <w:r>
        <w:rPr>
          <w:rFonts w:asciiTheme="majorHAnsi" w:hAnsiTheme="majorHAnsi"/>
          <w:b/>
          <w:bCs/>
          <w:szCs w:val="26"/>
        </w:rPr>
        <w:t>Odsetki za zwłokę</w:t>
      </w:r>
    </w:p>
    <w:p w14:paraId="3D04C800" w14:textId="31772110" w:rsidR="002E7DD4" w:rsidRPr="00F9089F" w:rsidRDefault="002E7DD4" w:rsidP="00F9089F">
      <w:pPr>
        <w:ind w:firstLine="284"/>
        <w:jc w:val="both"/>
        <w:rPr>
          <w:rFonts w:eastAsiaTheme="minorEastAsia"/>
          <w:szCs w:val="22"/>
        </w:rPr>
      </w:pPr>
      <w:r w:rsidRPr="00F9089F">
        <w:rPr>
          <w:rFonts w:eastAsiaTheme="minorEastAsia"/>
          <w:szCs w:val="22"/>
        </w:rPr>
        <w:fldChar w:fldCharType="begin"/>
      </w:r>
      <w:r w:rsidRPr="00F9089F">
        <w:rPr>
          <w:rFonts w:eastAsiaTheme="minorEastAsia"/>
          <w:szCs w:val="22"/>
        </w:rPr>
        <w:instrText xml:space="preserve"> SEQ level0 \*arabic </w:instrText>
      </w:r>
      <w:r w:rsidRPr="00F9089F">
        <w:rPr>
          <w:rFonts w:eastAsiaTheme="minorEastAsia"/>
          <w:szCs w:val="22"/>
        </w:rPr>
        <w:fldChar w:fldCharType="separate"/>
      </w:r>
      <w:r w:rsidR="00887A59">
        <w:rPr>
          <w:rFonts w:eastAsiaTheme="minorEastAsia"/>
          <w:noProof/>
          <w:szCs w:val="22"/>
        </w:rPr>
        <w:t>111</w:t>
      </w:r>
      <w:r w:rsidRPr="00F9089F">
        <w:rPr>
          <w:rFonts w:eastAsiaTheme="minorEastAsia"/>
          <w:szCs w:val="22"/>
        </w:rPr>
        <w:fldChar w:fldCharType="end"/>
      </w:r>
      <w:r>
        <w:t>.</w:t>
      </w:r>
      <w:r w:rsidR="009C4069">
        <w:t xml:space="preserve"> </w:t>
      </w:r>
      <w:r>
        <w:t xml:space="preserve">Trybunał za słuszne uznaje </w:t>
      </w:r>
      <w:r w:rsidR="00EA0F56">
        <w:t xml:space="preserve">oparcie </w:t>
      </w:r>
      <w:r>
        <w:t>wysokości odsetek za zwłokę na marginalnej stop</w:t>
      </w:r>
      <w:r w:rsidR="00EA0F56">
        <w:t>ie</w:t>
      </w:r>
      <w:r>
        <w:t xml:space="preserve"> procentowej Europejskiego Banku Centralnego powiększonej o trzy punkty procentowe.</w:t>
      </w:r>
    </w:p>
    <w:p w14:paraId="7B79765F" w14:textId="77777777" w:rsidR="002E7DD4" w:rsidRPr="00F9089F" w:rsidRDefault="002E7DD4" w:rsidP="00F9089F">
      <w:pPr>
        <w:keepNext/>
        <w:keepLines/>
        <w:spacing w:before="720" w:after="240"/>
        <w:jc w:val="both"/>
        <w:outlineLvl w:val="0"/>
        <w:rPr>
          <w:rFonts w:asciiTheme="majorHAnsi" w:eastAsiaTheme="minorEastAsia" w:hAnsiTheme="majorHAnsi"/>
          <w:sz w:val="28"/>
          <w:szCs w:val="22"/>
        </w:rPr>
      </w:pPr>
      <w:r>
        <w:rPr>
          <w:rFonts w:asciiTheme="majorHAnsi" w:hAnsiTheme="majorHAnsi"/>
          <w:sz w:val="28"/>
          <w:szCs w:val="22"/>
        </w:rPr>
        <w:t>Z TYCH WZGLĘDÓW TRYBUNAŁ</w:t>
      </w:r>
    </w:p>
    <w:p w14:paraId="7DBF1A90" w14:textId="00CACB9C" w:rsidR="002E7DD4" w:rsidRPr="00F9089F" w:rsidRDefault="002E7DD4" w:rsidP="00F9089F">
      <w:pPr>
        <w:ind w:left="340" w:hanging="340"/>
        <w:jc w:val="both"/>
        <w:rPr>
          <w:rFonts w:eastAsiaTheme="minorEastAsia"/>
          <w:szCs w:val="22"/>
        </w:rPr>
      </w:pPr>
      <w:r>
        <w:t>1.</w:t>
      </w:r>
      <w:r w:rsidR="009C4069">
        <w:t xml:space="preserve"> </w:t>
      </w:r>
      <w:r>
        <w:rPr>
          <w:i/>
          <w:szCs w:val="22"/>
        </w:rPr>
        <w:t>uznaje</w:t>
      </w:r>
      <w:r>
        <w:t>, jednogłośnie,</w:t>
      </w:r>
      <w:r>
        <w:rPr>
          <w:color w:val="000000"/>
          <w:szCs w:val="22"/>
        </w:rPr>
        <w:t xml:space="preserve"> </w:t>
      </w:r>
      <w:r>
        <w:t>skargę za dopuszczalną;</w:t>
      </w:r>
    </w:p>
    <w:p w14:paraId="276AF07D" w14:textId="77777777" w:rsidR="002E7DD4" w:rsidRPr="00F9089F" w:rsidRDefault="002E7DD4" w:rsidP="00F9089F">
      <w:pPr>
        <w:jc w:val="both"/>
        <w:rPr>
          <w:rFonts w:eastAsiaTheme="minorEastAsia"/>
          <w:szCs w:val="22"/>
        </w:rPr>
      </w:pPr>
    </w:p>
    <w:p w14:paraId="4C98ADB9" w14:textId="185D8D78" w:rsidR="002E7DD4" w:rsidRPr="00F9089F" w:rsidRDefault="002E7DD4" w:rsidP="00F9089F">
      <w:pPr>
        <w:ind w:left="340" w:hanging="340"/>
        <w:jc w:val="both"/>
        <w:rPr>
          <w:rFonts w:eastAsiaTheme="minorEastAsia"/>
          <w:szCs w:val="22"/>
        </w:rPr>
      </w:pPr>
      <w:r>
        <w:t>2.</w:t>
      </w:r>
      <w:r w:rsidR="009C4069">
        <w:t xml:space="preserve"> </w:t>
      </w:r>
      <w:r>
        <w:rPr>
          <w:i/>
          <w:iCs/>
        </w:rPr>
        <w:t>orzeka</w:t>
      </w:r>
      <w:r>
        <w:t>, sześcioma głosami do jednego, że doszło do naruszenia art. 2 Konwencji w jego aspekcie materialnym (obowiązk</w:t>
      </w:r>
      <w:r w:rsidR="00EA0F56">
        <w:t>i</w:t>
      </w:r>
      <w:r>
        <w:t xml:space="preserve"> pozytywn</w:t>
      </w:r>
      <w:r w:rsidR="00EA0F56">
        <w:t>e</w:t>
      </w:r>
      <w:r>
        <w:t>);</w:t>
      </w:r>
    </w:p>
    <w:p w14:paraId="184D6288" w14:textId="77777777" w:rsidR="002E7DD4" w:rsidRPr="00F9089F" w:rsidRDefault="002E7DD4" w:rsidP="00F9089F">
      <w:pPr>
        <w:ind w:left="340" w:hanging="340"/>
        <w:jc w:val="both"/>
        <w:rPr>
          <w:rFonts w:eastAsiaTheme="minorEastAsia"/>
          <w:iCs/>
          <w:szCs w:val="22"/>
        </w:rPr>
      </w:pPr>
    </w:p>
    <w:p w14:paraId="6BC9CA74" w14:textId="3CD4AA73" w:rsidR="002E7DD4" w:rsidRPr="00F9089F" w:rsidRDefault="002E7DD4" w:rsidP="00F9089F">
      <w:pPr>
        <w:ind w:left="340" w:hanging="340"/>
        <w:jc w:val="both"/>
        <w:rPr>
          <w:rFonts w:eastAsiaTheme="minorEastAsia"/>
          <w:szCs w:val="22"/>
        </w:rPr>
      </w:pPr>
      <w:r>
        <w:t>3.</w:t>
      </w:r>
      <w:r w:rsidR="009C4069">
        <w:t xml:space="preserve"> </w:t>
      </w:r>
      <w:r>
        <w:rPr>
          <w:i/>
          <w:iCs/>
        </w:rPr>
        <w:t>orzeka</w:t>
      </w:r>
      <w:r>
        <w:t>, sześcioma głosami do jednego, że doszło do naruszenia art. 2 Konwencji w jego aspekcie proceduralnym;</w:t>
      </w:r>
    </w:p>
    <w:p w14:paraId="3768B62F" w14:textId="77777777" w:rsidR="002E7DD4" w:rsidRPr="00F9089F" w:rsidRDefault="002E7DD4" w:rsidP="00F9089F">
      <w:pPr>
        <w:jc w:val="both"/>
        <w:rPr>
          <w:rFonts w:eastAsiaTheme="minorEastAsia"/>
          <w:szCs w:val="22"/>
        </w:rPr>
      </w:pPr>
    </w:p>
    <w:p w14:paraId="4721EE3C" w14:textId="0677DC67" w:rsidR="002E7DD4" w:rsidRPr="00F9089F" w:rsidRDefault="002E7DD4" w:rsidP="00F9089F">
      <w:pPr>
        <w:ind w:left="340" w:hanging="340"/>
        <w:jc w:val="both"/>
        <w:rPr>
          <w:rFonts w:eastAsiaTheme="minorEastAsia"/>
          <w:szCs w:val="22"/>
        </w:rPr>
      </w:pPr>
      <w:r>
        <w:t>4.</w:t>
      </w:r>
      <w:r w:rsidR="009C4069">
        <w:t xml:space="preserve"> </w:t>
      </w:r>
      <w:r>
        <w:rPr>
          <w:i/>
          <w:szCs w:val="22"/>
        </w:rPr>
        <w:t>orzeka</w:t>
      </w:r>
      <w:r>
        <w:t>, sześcioma głosami do jednego,</w:t>
      </w:r>
    </w:p>
    <w:p w14:paraId="7BBD405F" w14:textId="77777777" w:rsidR="002E7DD4" w:rsidRPr="00F9089F" w:rsidRDefault="002E7DD4" w:rsidP="00F9089F">
      <w:pPr>
        <w:ind w:left="346"/>
        <w:jc w:val="both"/>
        <w:rPr>
          <w:rFonts w:eastAsiaTheme="minorEastAsia"/>
          <w:szCs w:val="22"/>
        </w:rPr>
      </w:pPr>
      <w:r>
        <w:t xml:space="preserve">(a) że pozwane państwo winno, w terminie trzech miesięcy od daty, w której niniejszy wyrok stanie się ostateczny zgodnie z art. 44 ust. 2 Konwencji, uiścić na rzecz skarżących następujące kwoty, przeliczone na </w:t>
      </w:r>
      <w:r>
        <w:lastRenderedPageBreak/>
        <w:t>walutę pozwanego państwa według kursu obowiązującego w dniu płatności:</w:t>
      </w:r>
    </w:p>
    <w:p w14:paraId="265B6EC7" w14:textId="77777777" w:rsidR="002E7DD4" w:rsidRPr="00F9089F" w:rsidRDefault="002E7DD4" w:rsidP="00F9089F">
      <w:pPr>
        <w:ind w:left="794"/>
        <w:jc w:val="both"/>
        <w:rPr>
          <w:rFonts w:eastAsiaTheme="minorEastAsia"/>
          <w:szCs w:val="22"/>
        </w:rPr>
      </w:pPr>
      <w:r>
        <w:t>(i) 26 000 EUR (dwadzieścia sześć tysięcy euro) łącznie, plus wszelkie należne podatki, tytułem zadośćuczynienia za szkodę niemajątkową;</w:t>
      </w:r>
    </w:p>
    <w:p w14:paraId="1CB5A249" w14:textId="56883E09" w:rsidR="002E7DD4" w:rsidRPr="00F9089F" w:rsidRDefault="002E7DD4" w:rsidP="00F9089F">
      <w:pPr>
        <w:ind w:left="794"/>
        <w:jc w:val="both"/>
        <w:rPr>
          <w:rFonts w:eastAsiaTheme="minorEastAsia"/>
          <w:szCs w:val="22"/>
        </w:rPr>
      </w:pPr>
      <w:r>
        <w:t>(ii)</w:t>
      </w:r>
      <w:r w:rsidR="009C4069">
        <w:t xml:space="preserve"> </w:t>
      </w:r>
      <w:r>
        <w:t>4 540 EUR (cztery tysiące pięćset czterdzieści euro) łącznie, plus wszelkie należne od skarżących podatki, tytułem poniesionych kosztów i wydatków;</w:t>
      </w:r>
    </w:p>
    <w:p w14:paraId="7F1F83C3" w14:textId="552DE5F6" w:rsidR="002E7DD4" w:rsidRPr="00F9089F" w:rsidRDefault="002E7DD4" w:rsidP="00F9089F">
      <w:pPr>
        <w:ind w:left="346"/>
        <w:jc w:val="both"/>
        <w:rPr>
          <w:rFonts w:eastAsiaTheme="minorEastAsia"/>
          <w:szCs w:val="22"/>
        </w:rPr>
      </w:pPr>
      <w:r>
        <w:t>b)</w:t>
      </w:r>
      <w:r w:rsidR="009C4069">
        <w:t xml:space="preserve"> </w:t>
      </w:r>
      <w:r>
        <w:t>że od upływu wyżej wskazanego terminu trzech miesięcy aż do momentu uregulowania należności, należne będą odsetki zwykłe od określonej powyżej kwoty, naliczone według stopy równej marginalnej stopie procentowej Europejskiego Banku Centralnego obowiązującej w tym okresie, powiększonej o trzy punkty procentowe;</w:t>
      </w:r>
    </w:p>
    <w:p w14:paraId="770EC759" w14:textId="77777777" w:rsidR="002E7DD4" w:rsidRPr="00F9089F" w:rsidRDefault="002E7DD4" w:rsidP="00F9089F">
      <w:pPr>
        <w:ind w:left="340" w:hanging="340"/>
        <w:jc w:val="both"/>
        <w:rPr>
          <w:rFonts w:eastAsiaTheme="minorEastAsia"/>
          <w:szCs w:val="22"/>
        </w:rPr>
      </w:pPr>
    </w:p>
    <w:p w14:paraId="0D0296C0" w14:textId="7D2876BF" w:rsidR="002E7DD4" w:rsidRPr="00F9089F" w:rsidRDefault="002E7DD4" w:rsidP="00F9089F">
      <w:pPr>
        <w:ind w:left="340" w:hanging="340"/>
        <w:jc w:val="both"/>
        <w:rPr>
          <w:rFonts w:eastAsiaTheme="minorEastAsia"/>
          <w:szCs w:val="22"/>
        </w:rPr>
      </w:pPr>
      <w:r>
        <w:t>5.</w:t>
      </w:r>
      <w:r w:rsidR="009C4069">
        <w:t xml:space="preserve"> </w:t>
      </w:r>
      <w:r>
        <w:rPr>
          <w:i/>
          <w:iCs/>
        </w:rPr>
        <w:t>oddala</w:t>
      </w:r>
      <w:r>
        <w:t>, jednogłośnie, pozostałą część roszczenia skarżących dotyczącego słusznego zadośćuczynienia.</w:t>
      </w:r>
    </w:p>
    <w:p w14:paraId="375DE924" w14:textId="5808EDC3" w:rsidR="008E3A08" w:rsidRPr="00F9089F" w:rsidRDefault="007E2C8C" w:rsidP="00F9089F">
      <w:pPr>
        <w:pStyle w:val="JuParaLast"/>
      </w:pPr>
      <w:r>
        <w:t xml:space="preserve">Sporządzono w języku angielskim i obwieszczono pisemnie </w:t>
      </w:r>
      <w:r>
        <w:rPr>
          <w:rFonts w:ascii="Times New Roman" w:hAnsi="Times New Roman"/>
        </w:rPr>
        <w:t>25 marca 2021 r</w:t>
      </w:r>
      <w:r>
        <w:t>., zgodnie z Regułą 77 § 2 i §3 Regulaminu Trybunału.</w:t>
      </w:r>
    </w:p>
    <w:p w14:paraId="28C5D60F" w14:textId="77777777" w:rsidR="001C055B" w:rsidRPr="00F9089F" w:rsidRDefault="002E7DD4" w:rsidP="00F9089F">
      <w:pPr>
        <w:pStyle w:val="JuSigned"/>
      </w:pPr>
      <w:r>
        <w:t xml:space="preserve">Renata </w:t>
      </w:r>
      <w:proofErr w:type="spellStart"/>
      <w:r>
        <w:t>Degener</w:t>
      </w:r>
      <w:proofErr w:type="spellEnd"/>
      <w:r>
        <w:t xml:space="preserve"> </w:t>
      </w:r>
      <w:r>
        <w:tab/>
        <w:t xml:space="preserve">Krzysztof </w:t>
      </w:r>
      <w:proofErr w:type="spellStart"/>
      <w:r>
        <w:t>Wojtyczek</w:t>
      </w:r>
      <w:proofErr w:type="spellEnd"/>
      <w:r>
        <w:br/>
      </w:r>
      <w:r>
        <w:tab/>
        <w:t>Kanclerz</w:t>
      </w:r>
      <w:r>
        <w:tab/>
        <w:t>Przewodniczący</w:t>
      </w:r>
    </w:p>
    <w:p w14:paraId="48B1B7F8" w14:textId="77777777" w:rsidR="003D13E1" w:rsidRPr="00F9089F" w:rsidRDefault="003D13E1" w:rsidP="00F9089F">
      <w:pPr>
        <w:pStyle w:val="JuParaLast"/>
      </w:pPr>
      <w:r>
        <w:t>Zgodnie z art. 45 ust. 2 Konwencji oraz Regułą 74 § 2 Regulaminu Trybunału, do niniejszego wyroku dołączono opinię odrębną sędziego Krzysztofa Wojtyczka.</w:t>
      </w:r>
    </w:p>
    <w:p w14:paraId="64EB799C" w14:textId="77777777" w:rsidR="003D13E1" w:rsidRPr="00F9089F" w:rsidRDefault="003D13E1" w:rsidP="00F9089F">
      <w:pPr>
        <w:pStyle w:val="JuInitialled"/>
        <w:sectPr w:rsidR="003D13E1" w:rsidRPr="00F9089F" w:rsidSect="007D3701">
          <w:headerReference w:type="even" r:id="rId17"/>
          <w:headerReference w:type="default" r:id="rId18"/>
          <w:footerReference w:type="even" r:id="rId19"/>
          <w:footerReference w:type="default" r:id="rId20"/>
          <w:footnotePr>
            <w:numRestart w:val="eachSect"/>
          </w:footnotePr>
          <w:pgSz w:w="11906" w:h="16838" w:code="9"/>
          <w:pgMar w:top="2274" w:right="2274" w:bottom="2274" w:left="2274" w:header="1701" w:footer="720" w:gutter="0"/>
          <w:pgNumType w:start="1"/>
          <w:cols w:space="720"/>
          <w:docGrid w:linePitch="326"/>
        </w:sectPr>
      </w:pPr>
      <w:r>
        <w:t>K.W.O</w:t>
      </w:r>
      <w:r>
        <w:br/>
        <w:t>R.D</w:t>
      </w:r>
      <w:r>
        <w:br/>
      </w:r>
    </w:p>
    <w:p w14:paraId="38A551AE" w14:textId="77777777" w:rsidR="00316092" w:rsidRPr="00F9089F" w:rsidRDefault="00316092" w:rsidP="00F9089F">
      <w:pPr>
        <w:pStyle w:val="DecHTitle"/>
      </w:pPr>
      <w:r>
        <w:lastRenderedPageBreak/>
        <w:t>ROZBIEŻNA OPINIA SĘDZIEGO WOJTYCZKA</w:t>
      </w:r>
    </w:p>
    <w:p w14:paraId="393B4B4A" w14:textId="69964261" w:rsidR="00316092" w:rsidRPr="00F9089F" w:rsidRDefault="00316092" w:rsidP="00F9089F">
      <w:pPr>
        <w:pStyle w:val="JuPara"/>
      </w:pPr>
      <w:r>
        <w:t>1.</w:t>
      </w:r>
      <w:r w:rsidR="009C4069">
        <w:t xml:space="preserve"> </w:t>
      </w:r>
      <w:r>
        <w:t>Z całym szacunkiem, nie zgadzam się z opinią większości, że pozwane państwo naruszyło prawa skarżącego wynikające z Konwencji.</w:t>
      </w:r>
    </w:p>
    <w:p w14:paraId="32C42FDF" w14:textId="09121B41" w:rsidR="00316092" w:rsidRPr="00F9089F" w:rsidRDefault="00316092" w:rsidP="00F9089F">
      <w:pPr>
        <w:pStyle w:val="JuPara"/>
      </w:pPr>
      <w:r>
        <w:t xml:space="preserve">Niniejsza sprawa wprowadza do orzecznictwa ważne </w:t>
      </w:r>
      <w:r>
        <w:rPr>
          <w:i/>
          <w:iCs/>
        </w:rPr>
        <w:t>novum</w:t>
      </w:r>
      <w:r>
        <w:t>: większość stwierdz</w:t>
      </w:r>
      <w:r w:rsidR="00741188">
        <w:t>iła</w:t>
      </w:r>
      <w:r>
        <w:t xml:space="preserve"> naruszenie praw skarżącego wynikających z Konwencji na tej podstawie, że pozwane państwo nie </w:t>
      </w:r>
      <w:bookmarkStart w:id="6" w:name="_Hlk64550420"/>
      <w:r>
        <w:t>zastosowało prewencyjn</w:t>
      </w:r>
      <w:r w:rsidR="00741188">
        <w:t>ych</w:t>
      </w:r>
      <w:r>
        <w:t xml:space="preserve"> ograniczeń innych praw wynikających z Konwencji </w:t>
      </w:r>
      <w:r w:rsidR="00650570">
        <w:t>wobec</w:t>
      </w:r>
      <w:r>
        <w:t xml:space="preserve"> indywidualnie zidentyfikowan</w:t>
      </w:r>
      <w:r w:rsidR="00650570">
        <w:t>ej</w:t>
      </w:r>
      <w:r>
        <w:t xml:space="preserve"> osob</w:t>
      </w:r>
      <w:bookmarkEnd w:id="6"/>
      <w:r w:rsidR="00650570">
        <w:t>y</w:t>
      </w:r>
      <w:r>
        <w:t xml:space="preserve"> (D.</w:t>
      </w:r>
      <w:r w:rsidR="00741188">
        <w:t xml:space="preserve"> </w:t>
      </w:r>
      <w:r>
        <w:t xml:space="preserve">M.), która nie była „pod </w:t>
      </w:r>
      <w:r w:rsidR="00213365">
        <w:t xml:space="preserve">opieką </w:t>
      </w:r>
      <w:r>
        <w:t xml:space="preserve">władz”. </w:t>
      </w:r>
      <w:r w:rsidR="00741188">
        <w:t>Wyrok pomija</w:t>
      </w:r>
      <w:r>
        <w:t xml:space="preserve"> reguły interpretac</w:t>
      </w:r>
      <w:r w:rsidR="00741188">
        <w:t>y</w:t>
      </w:r>
      <w:r>
        <w:t>j</w:t>
      </w:r>
      <w:r w:rsidR="00741188">
        <w:t>ne</w:t>
      </w:r>
      <w:r>
        <w:t xml:space="preserve"> określone w orzecznictwie Trybunału. Rodzi to szereg pytań natury proceduralnej. Ponadto </w:t>
      </w:r>
      <w:r w:rsidR="00213365">
        <w:t>odrzuca on wyrok</w:t>
      </w:r>
      <w:r>
        <w:t xml:space="preserve"> Wielkiej Izby w sprawie </w:t>
      </w:r>
      <w:proofErr w:type="spellStart"/>
      <w:r>
        <w:rPr>
          <w:i/>
        </w:rPr>
        <w:t>Nicolae</w:t>
      </w:r>
      <w:proofErr w:type="spellEnd"/>
      <w:r>
        <w:rPr>
          <w:i/>
        </w:rPr>
        <w:t xml:space="preserve"> </w:t>
      </w:r>
      <w:proofErr w:type="spellStart"/>
      <w:r>
        <w:rPr>
          <w:i/>
        </w:rPr>
        <w:t>Virgiliu</w:t>
      </w:r>
      <w:proofErr w:type="spellEnd"/>
      <w:r>
        <w:rPr>
          <w:i/>
        </w:rPr>
        <w:t xml:space="preserve"> </w:t>
      </w:r>
      <w:proofErr w:type="spellStart"/>
      <w:r>
        <w:rPr>
          <w:i/>
          <w:iCs/>
        </w:rPr>
        <w:t>Tănase</w:t>
      </w:r>
      <w:proofErr w:type="spellEnd"/>
      <w:r>
        <w:rPr>
          <w:i/>
          <w:iCs/>
        </w:rPr>
        <w:t xml:space="preserve"> p</w:t>
      </w:r>
      <w:r w:rsidR="00213365">
        <w:rPr>
          <w:i/>
          <w:iCs/>
        </w:rPr>
        <w:t>.</w:t>
      </w:r>
      <w:r>
        <w:rPr>
          <w:i/>
          <w:iCs/>
        </w:rPr>
        <w:t xml:space="preserve"> Rumunii</w:t>
      </w:r>
      <w:r>
        <w:t xml:space="preserve"> ([WI], skarga nr 41720/13, 25 czerwca 2019 r.).</w:t>
      </w:r>
    </w:p>
    <w:p w14:paraId="2B6D5D9F" w14:textId="77777777" w:rsidR="00316092" w:rsidRPr="00F9089F" w:rsidRDefault="00316092" w:rsidP="00F9089F">
      <w:pPr>
        <w:pStyle w:val="JuPara"/>
        <w:numPr>
          <w:ilvl w:val="0"/>
          <w:numId w:val="4"/>
        </w:numPr>
      </w:pPr>
    </w:p>
    <w:p w14:paraId="1DAD6DE9" w14:textId="2916095E" w:rsidR="003650DF" w:rsidRPr="00F9089F" w:rsidRDefault="00316092" w:rsidP="00F9089F">
      <w:pPr>
        <w:pStyle w:val="JuPara"/>
        <w:numPr>
          <w:ilvl w:val="0"/>
          <w:numId w:val="4"/>
        </w:numPr>
        <w:rPr>
          <w:b/>
          <w:bCs/>
        </w:rPr>
      </w:pPr>
      <w:r>
        <w:rPr>
          <w:b/>
          <w:bCs/>
        </w:rPr>
        <w:t>1.</w:t>
      </w:r>
      <w:r w:rsidR="009C4069">
        <w:rPr>
          <w:b/>
          <w:bCs/>
        </w:rPr>
        <w:t xml:space="preserve"> </w:t>
      </w:r>
      <w:r>
        <w:rPr>
          <w:b/>
          <w:bCs/>
        </w:rPr>
        <w:t>Wykładnia Konwencji</w:t>
      </w:r>
    </w:p>
    <w:p w14:paraId="215E529F" w14:textId="77777777" w:rsidR="00316092" w:rsidRPr="00F9089F" w:rsidRDefault="00316092" w:rsidP="00F9089F">
      <w:pPr>
        <w:pStyle w:val="JuPara"/>
      </w:pPr>
    </w:p>
    <w:p w14:paraId="3A946279" w14:textId="1A5B2A21" w:rsidR="00316092" w:rsidRPr="00F9089F" w:rsidRDefault="00316092" w:rsidP="00F9089F">
      <w:pPr>
        <w:pStyle w:val="JuPara"/>
      </w:pPr>
      <w:r>
        <w:t>2.</w:t>
      </w:r>
      <w:r w:rsidR="009C4069">
        <w:t xml:space="preserve"> </w:t>
      </w:r>
      <w:r w:rsidR="00213365">
        <w:t xml:space="preserve">Rządy prawa </w:t>
      </w:r>
      <w:r>
        <w:t xml:space="preserve">nie </w:t>
      </w:r>
      <w:r w:rsidR="00213365">
        <w:t xml:space="preserve">są </w:t>
      </w:r>
      <w:r>
        <w:t>możliw</w:t>
      </w:r>
      <w:r w:rsidR="00213365">
        <w:t>e</w:t>
      </w:r>
      <w:r>
        <w:t xml:space="preserve"> bez wystarczająco spójnego i kompletnego systemu jasnych i precyzyjnych </w:t>
      </w:r>
      <w:proofErr w:type="spellStart"/>
      <w:r>
        <w:t>metazasad</w:t>
      </w:r>
      <w:proofErr w:type="spellEnd"/>
      <w:r>
        <w:t xml:space="preserve">. Zgodnie z zasadami </w:t>
      </w:r>
      <w:r w:rsidR="00A719BF">
        <w:t xml:space="preserve">rządów prawa </w:t>
      </w:r>
      <w:r>
        <w:t xml:space="preserve">na szczeblu międzynarodowym ocena każdej sprawy międzynarodowej </w:t>
      </w:r>
      <w:r w:rsidR="00A719BF">
        <w:t xml:space="preserve">rodzącej </w:t>
      </w:r>
      <w:r>
        <w:t>wątpliwości interpretacyjn</w:t>
      </w:r>
      <w:r w:rsidR="00A719BF">
        <w:t>e</w:t>
      </w:r>
      <w:r>
        <w:t xml:space="preserve"> powinna zacząć się od zidentyfikowania odpowiednich zasad wykładni traktatu, </w:t>
      </w:r>
      <w:r w:rsidR="003B0829">
        <w:br/>
      </w:r>
      <w:r>
        <w:t xml:space="preserve">a rozstrzygnięcie sądowe powinno uzasadniać wybory interpretacyjne </w:t>
      </w:r>
      <w:r w:rsidR="00736CC7">
        <w:t>zgodnie z</w:t>
      </w:r>
      <w:r>
        <w:t xml:space="preserve"> mający</w:t>
      </w:r>
      <w:r w:rsidR="00736CC7">
        <w:t>mi</w:t>
      </w:r>
      <w:r>
        <w:t xml:space="preserve"> zastosowanie dyrektyw</w:t>
      </w:r>
      <w:r w:rsidR="00736CC7">
        <w:t>ami</w:t>
      </w:r>
      <w:r>
        <w:t xml:space="preserve"> interpretacyjny</w:t>
      </w:r>
      <w:r w:rsidR="00736CC7">
        <w:t>mi</w:t>
      </w:r>
      <w:r>
        <w:t>.</w:t>
      </w:r>
    </w:p>
    <w:p w14:paraId="69928516" w14:textId="6480919E" w:rsidR="00316092" w:rsidRPr="00F9089F" w:rsidRDefault="003B0829" w:rsidP="00F9089F">
      <w:pPr>
        <w:pStyle w:val="JuPara"/>
      </w:pPr>
      <w:r>
        <w:t>Niniejsza sprawa rodzi</w:t>
      </w:r>
      <w:r w:rsidR="00316092">
        <w:t xml:space="preserve"> poważne pytania, </w:t>
      </w:r>
      <w:r>
        <w:t>dotyczące interpretacji</w:t>
      </w:r>
      <w:r w:rsidR="00316092">
        <w:t xml:space="preserve"> Konwencji. Dotyczą one zarówno postępowania przed Trybunałem, jak </w:t>
      </w:r>
      <w:r>
        <w:br/>
      </w:r>
      <w:r w:rsidR="00316092">
        <w:t xml:space="preserve">i </w:t>
      </w:r>
      <w:r>
        <w:t xml:space="preserve">treści przedmiotowych </w:t>
      </w:r>
      <w:r w:rsidR="00316092">
        <w:t>praw. Trybunał sformułował dyrektywy wykładni Konwencji m</w:t>
      </w:r>
      <w:r>
        <w:t>. in.</w:t>
      </w:r>
      <w:r w:rsidR="00316092">
        <w:t xml:space="preserve"> w spraw</w:t>
      </w:r>
      <w:r>
        <w:t>ie</w:t>
      </w:r>
      <w:r w:rsidR="00316092">
        <w:t xml:space="preserve"> </w:t>
      </w:r>
      <w:proofErr w:type="spellStart"/>
      <w:r w:rsidR="00316092">
        <w:rPr>
          <w:i/>
          <w:iCs/>
        </w:rPr>
        <w:t>Magyar</w:t>
      </w:r>
      <w:proofErr w:type="spellEnd"/>
      <w:r w:rsidR="00316092">
        <w:rPr>
          <w:i/>
          <w:iCs/>
        </w:rPr>
        <w:t xml:space="preserve"> Helsinki </w:t>
      </w:r>
      <w:proofErr w:type="spellStart"/>
      <w:r w:rsidR="00316092">
        <w:rPr>
          <w:i/>
          <w:iCs/>
        </w:rPr>
        <w:t>Bizottság</w:t>
      </w:r>
      <w:proofErr w:type="spellEnd"/>
      <w:r w:rsidR="00316092">
        <w:rPr>
          <w:i/>
          <w:iCs/>
        </w:rPr>
        <w:t xml:space="preserve"> p</w:t>
      </w:r>
      <w:r>
        <w:rPr>
          <w:i/>
          <w:iCs/>
        </w:rPr>
        <w:t>.</w:t>
      </w:r>
      <w:r w:rsidR="00316092">
        <w:rPr>
          <w:i/>
          <w:iCs/>
        </w:rPr>
        <w:t xml:space="preserve"> W</w:t>
      </w:r>
      <w:r w:rsidR="00887A59">
        <w:rPr>
          <w:i/>
          <w:iCs/>
        </w:rPr>
        <w:t>ę</w:t>
      </w:r>
      <w:r w:rsidR="00316092">
        <w:rPr>
          <w:i/>
          <w:iCs/>
        </w:rPr>
        <w:t>grom</w:t>
      </w:r>
      <w:r w:rsidR="00316092">
        <w:t xml:space="preserve"> [WI], skarga nr 18030/11, § 118–125, 8 listopada 2016 r., a także streścił je ostatnio w sprawie </w:t>
      </w:r>
      <w:r w:rsidR="00316092">
        <w:rPr>
          <w:i/>
          <w:iCs/>
        </w:rPr>
        <w:t>Słowenia p</w:t>
      </w:r>
      <w:r>
        <w:rPr>
          <w:i/>
          <w:iCs/>
        </w:rPr>
        <w:t>.</w:t>
      </w:r>
      <w:r w:rsidR="00316092">
        <w:rPr>
          <w:i/>
          <w:iCs/>
        </w:rPr>
        <w:t xml:space="preserve"> Chorwacji</w:t>
      </w:r>
      <w:r w:rsidR="00316092">
        <w:t>, (</w:t>
      </w:r>
      <w:proofErr w:type="spellStart"/>
      <w:r w:rsidR="00316092">
        <w:t>dec</w:t>
      </w:r>
      <w:proofErr w:type="spellEnd"/>
      <w:r w:rsidR="00316092">
        <w:t xml:space="preserve">.) [WI], skarga nr 54155/16, § 60, 18 listopada 2020 r.). Warto zauważyć, że – </w:t>
      </w:r>
      <w:r>
        <w:t>co do zasady</w:t>
      </w:r>
      <w:r w:rsidR="00316092">
        <w:t xml:space="preserve"> – Trybunał, </w:t>
      </w:r>
      <w:r>
        <w:t>zajmując się</w:t>
      </w:r>
      <w:r w:rsidR="00316092">
        <w:t xml:space="preserve"> nowy</w:t>
      </w:r>
      <w:r>
        <w:t>mi</w:t>
      </w:r>
      <w:r w:rsidR="00316092">
        <w:t xml:space="preserve"> zagadnie</w:t>
      </w:r>
      <w:r>
        <w:t>niami</w:t>
      </w:r>
      <w:r w:rsidR="00316092">
        <w:t xml:space="preserve"> </w:t>
      </w:r>
      <w:r>
        <w:t>interpretacyjnymi</w:t>
      </w:r>
      <w:r w:rsidR="00316092">
        <w:t xml:space="preserve">, bardzo rzadko </w:t>
      </w:r>
      <w:r>
        <w:t xml:space="preserve">odwołuje się do </w:t>
      </w:r>
      <w:r w:rsidR="00FF7CC5">
        <w:t>swoich</w:t>
      </w:r>
      <w:r>
        <w:t xml:space="preserve"> własnych</w:t>
      </w:r>
      <w:r w:rsidR="00316092">
        <w:t xml:space="preserve"> wyrok</w:t>
      </w:r>
      <w:r w:rsidR="00FF7CC5">
        <w:t>ów</w:t>
      </w:r>
      <w:r w:rsidR="00316092">
        <w:t xml:space="preserve"> i decyzj</w:t>
      </w:r>
      <w:r w:rsidR="00FF7CC5">
        <w:t>i</w:t>
      </w:r>
      <w:r w:rsidR="00316092">
        <w:t xml:space="preserve">, w których określono zasady wykładni Konwencji. Odwołuje się natomiast do własnych wyroków i decyzji dotyczących kwestii materialnoprawnych. Wypowiedzi w przedmiocie </w:t>
      </w:r>
      <w:proofErr w:type="spellStart"/>
      <w:r w:rsidR="00316092">
        <w:t>metazasad</w:t>
      </w:r>
      <w:proofErr w:type="spellEnd"/>
      <w:r w:rsidR="00316092">
        <w:t xml:space="preserve"> prawnych nie są traktowane z równą powagą. To wybiórcze podejście </w:t>
      </w:r>
      <w:r w:rsidR="00FF7CC5">
        <w:t>(„</w:t>
      </w:r>
      <w:proofErr w:type="spellStart"/>
      <w:r w:rsidR="00FF7CC5" w:rsidRPr="00070469">
        <w:rPr>
          <w:i/>
          <w:iCs/>
        </w:rPr>
        <w:t>cherry</w:t>
      </w:r>
      <w:proofErr w:type="spellEnd"/>
      <w:r w:rsidR="00FF7CC5" w:rsidRPr="00070469">
        <w:rPr>
          <w:i/>
          <w:iCs/>
        </w:rPr>
        <w:t xml:space="preserve"> – </w:t>
      </w:r>
      <w:proofErr w:type="spellStart"/>
      <w:r w:rsidR="00FF7CC5" w:rsidRPr="00070469">
        <w:rPr>
          <w:i/>
          <w:iCs/>
        </w:rPr>
        <w:t>picking</w:t>
      </w:r>
      <w:proofErr w:type="spellEnd"/>
      <w:r w:rsidR="00FF7CC5">
        <w:rPr>
          <w:i/>
          <w:iCs/>
        </w:rPr>
        <w:t>”</w:t>
      </w:r>
      <w:r w:rsidR="00FF7CC5">
        <w:t xml:space="preserve">) </w:t>
      </w:r>
      <w:r w:rsidR="00316092">
        <w:t xml:space="preserve">do istniejącego orzecznictwa trudno wyjaśnić </w:t>
      </w:r>
      <w:r w:rsidR="00FF7CC5">
        <w:t>w kategoriach</w:t>
      </w:r>
      <w:r w:rsidR="00316092">
        <w:t xml:space="preserve"> praw</w:t>
      </w:r>
      <w:r w:rsidR="00FF7CC5">
        <w:t>nych</w:t>
      </w:r>
      <w:r w:rsidR="00316092">
        <w:t xml:space="preserve">. </w:t>
      </w:r>
      <w:bookmarkStart w:id="7" w:name="_Hlk142474528"/>
      <w:r w:rsidR="00FF7CC5">
        <w:t>W każdym razie, d</w:t>
      </w:r>
      <w:r w:rsidR="00316092">
        <w:t>yrektywy interpretacyjne zawarte we wcześniejszym orzecznictwie</w:t>
      </w:r>
      <w:r w:rsidR="00FF7CC5">
        <w:t>,</w:t>
      </w:r>
      <w:r w:rsidR="00316092">
        <w:t xml:space="preserve"> nie są zazwyczaj </w:t>
      </w:r>
      <w:r w:rsidR="00FF7CC5">
        <w:t xml:space="preserve">traktowane </w:t>
      </w:r>
      <w:r w:rsidR="00316092">
        <w:t xml:space="preserve">przez Trybunał </w:t>
      </w:r>
      <w:r w:rsidR="00FF7CC5">
        <w:t>jako wytyczne w</w:t>
      </w:r>
      <w:r w:rsidR="00316092">
        <w:t xml:space="preserve"> przyszłych spraw</w:t>
      </w:r>
      <w:r w:rsidR="00FF7CC5">
        <w:t>ach</w:t>
      </w:r>
      <w:r w:rsidR="00316092">
        <w:t xml:space="preserve">. Nie tylko Wielka Izba, ale i Izby zdają się sądzić, że mają zupełną swobodę, </w:t>
      </w:r>
      <w:r w:rsidR="00FF7CC5">
        <w:t>w milczącym odrzucaniu</w:t>
      </w:r>
      <w:r w:rsidR="00316092">
        <w:t xml:space="preserve"> t</w:t>
      </w:r>
      <w:r w:rsidR="00FF7CC5">
        <w:t>ych</w:t>
      </w:r>
      <w:r w:rsidR="00316092">
        <w:t xml:space="preserve"> dyrektyw. W rezultacie zestaw </w:t>
      </w:r>
      <w:proofErr w:type="spellStart"/>
      <w:r w:rsidR="00316092">
        <w:t>metazasad</w:t>
      </w:r>
      <w:proofErr w:type="spellEnd"/>
      <w:r w:rsidR="00316092">
        <w:t xml:space="preserve"> </w:t>
      </w:r>
      <w:r w:rsidR="00BA13D4">
        <w:br/>
      </w:r>
      <w:r w:rsidR="00316092">
        <w:t xml:space="preserve">w </w:t>
      </w:r>
      <w:r w:rsidR="00A9680C">
        <w:t xml:space="preserve">ramach </w:t>
      </w:r>
      <w:r w:rsidR="00316092">
        <w:t xml:space="preserve">mechanizmu Konwencji nie stanowi systemu, ale raczej </w:t>
      </w:r>
      <w:r w:rsidR="00BA13D4">
        <w:t xml:space="preserve">pozostaje </w:t>
      </w:r>
      <w:proofErr w:type="spellStart"/>
      <w:r w:rsidR="00BA13D4" w:rsidRPr="00BA13D4">
        <w:t>bric</w:t>
      </w:r>
      <w:proofErr w:type="spellEnd"/>
      <w:r w:rsidR="00BA13D4" w:rsidRPr="00BA13D4">
        <w:t>-à-</w:t>
      </w:r>
      <w:proofErr w:type="spellStart"/>
      <w:r w:rsidR="00BA13D4" w:rsidRPr="00BA13D4">
        <w:t>brac</w:t>
      </w:r>
      <w:proofErr w:type="spellEnd"/>
      <w:r w:rsidR="00BA13D4" w:rsidRPr="00BA13D4">
        <w:t xml:space="preserve"> </w:t>
      </w:r>
      <w:r w:rsidR="00316092">
        <w:t xml:space="preserve">(por. tytuł następującego artykułu: J. </w:t>
      </w:r>
      <w:proofErr w:type="spellStart"/>
      <w:r w:rsidR="00316092">
        <w:t>Combacau</w:t>
      </w:r>
      <w:proofErr w:type="spellEnd"/>
      <w:r w:rsidR="00316092">
        <w:t xml:space="preserve">, “Le </w:t>
      </w:r>
      <w:proofErr w:type="spellStart"/>
      <w:r w:rsidR="00316092">
        <w:t>droit</w:t>
      </w:r>
      <w:proofErr w:type="spellEnd"/>
      <w:r w:rsidR="00316092">
        <w:t xml:space="preserve"> </w:t>
      </w:r>
      <w:proofErr w:type="spellStart"/>
      <w:r w:rsidR="00316092">
        <w:lastRenderedPageBreak/>
        <w:t>international</w:t>
      </w:r>
      <w:proofErr w:type="spellEnd"/>
      <w:r w:rsidR="00316092">
        <w:t xml:space="preserve">: </w:t>
      </w:r>
      <w:proofErr w:type="spellStart"/>
      <w:r w:rsidR="00316092">
        <w:t>bric</w:t>
      </w:r>
      <w:proofErr w:type="spellEnd"/>
      <w:r w:rsidR="00316092">
        <w:t>-à-</w:t>
      </w:r>
      <w:proofErr w:type="spellStart"/>
      <w:r w:rsidR="00316092">
        <w:t>brac</w:t>
      </w:r>
      <w:proofErr w:type="spellEnd"/>
      <w:r w:rsidR="00316092">
        <w:t xml:space="preserve"> </w:t>
      </w:r>
      <w:proofErr w:type="spellStart"/>
      <w:r w:rsidR="00316092">
        <w:t>ou</w:t>
      </w:r>
      <w:proofErr w:type="spellEnd"/>
      <w:r w:rsidR="00316092">
        <w:t xml:space="preserve"> </w:t>
      </w:r>
      <w:proofErr w:type="spellStart"/>
      <w:r w:rsidR="00316092">
        <w:t>système</w:t>
      </w:r>
      <w:proofErr w:type="spellEnd"/>
      <w:r w:rsidR="00316092">
        <w:t xml:space="preserve"> ?”, </w:t>
      </w:r>
      <w:proofErr w:type="spellStart"/>
      <w:r w:rsidR="00316092">
        <w:rPr>
          <w:i/>
          <w:iCs/>
        </w:rPr>
        <w:t>Archives</w:t>
      </w:r>
      <w:proofErr w:type="spellEnd"/>
      <w:r w:rsidR="00316092">
        <w:rPr>
          <w:i/>
          <w:iCs/>
        </w:rPr>
        <w:t xml:space="preserve"> de </w:t>
      </w:r>
      <w:proofErr w:type="spellStart"/>
      <w:r w:rsidR="00316092">
        <w:rPr>
          <w:i/>
          <w:iCs/>
        </w:rPr>
        <w:t>philosophie</w:t>
      </w:r>
      <w:proofErr w:type="spellEnd"/>
      <w:r w:rsidR="00316092">
        <w:rPr>
          <w:i/>
          <w:iCs/>
        </w:rPr>
        <w:t xml:space="preserve"> </w:t>
      </w:r>
      <w:proofErr w:type="spellStart"/>
      <w:r w:rsidR="00316092">
        <w:rPr>
          <w:i/>
          <w:iCs/>
        </w:rPr>
        <w:t>du</w:t>
      </w:r>
      <w:proofErr w:type="spellEnd"/>
      <w:r w:rsidR="00316092">
        <w:rPr>
          <w:i/>
          <w:iCs/>
        </w:rPr>
        <w:t xml:space="preserve"> </w:t>
      </w:r>
      <w:proofErr w:type="spellStart"/>
      <w:r w:rsidR="00316092">
        <w:rPr>
          <w:i/>
          <w:iCs/>
        </w:rPr>
        <w:t>droit</w:t>
      </w:r>
      <w:proofErr w:type="spellEnd"/>
      <w:r w:rsidR="00316092">
        <w:t>, vol. 31 (1986), s. 85–105) lub zestaw</w:t>
      </w:r>
      <w:r w:rsidR="00BA13D4">
        <w:t>em</w:t>
      </w:r>
      <w:r w:rsidR="00A9680C">
        <w:t xml:space="preserve"> narz</w:t>
      </w:r>
      <w:r w:rsidR="00A94B82">
        <w:t>ę</w:t>
      </w:r>
      <w:r w:rsidR="00A9680C">
        <w:t>dzi</w:t>
      </w:r>
      <w:r w:rsidR="00316092">
        <w:t xml:space="preserve"> dla majsterkowiczów.</w:t>
      </w:r>
    </w:p>
    <w:bookmarkEnd w:id="7"/>
    <w:p w14:paraId="3508819F" w14:textId="5DD35FB2" w:rsidR="00316092" w:rsidRPr="00F9089F" w:rsidRDefault="00316092" w:rsidP="00F9089F">
      <w:pPr>
        <w:pStyle w:val="JuPara"/>
      </w:pPr>
      <w:r>
        <w:t>3.</w:t>
      </w:r>
      <w:r w:rsidR="009C4069">
        <w:t xml:space="preserve"> </w:t>
      </w:r>
      <w:r w:rsidR="007D13B5">
        <w:t>Następnie</w:t>
      </w:r>
      <w:r>
        <w:t xml:space="preserve"> pragnę </w:t>
      </w:r>
      <w:r w:rsidR="007D13B5">
        <w:t xml:space="preserve">przypomnieć </w:t>
      </w:r>
      <w:r>
        <w:t xml:space="preserve">w tym miejscu opinię wyrażoną przez sędziego </w:t>
      </w:r>
      <w:proofErr w:type="spellStart"/>
      <w:r>
        <w:t>Pejchala</w:t>
      </w:r>
      <w:proofErr w:type="spellEnd"/>
      <w:r>
        <w:t xml:space="preserve"> i mnie w naszej rozbieżnej opinii do wyroku w sprawie </w:t>
      </w:r>
      <w:r>
        <w:rPr>
          <w:i/>
          <w:iCs/>
        </w:rPr>
        <w:t>Ćwik p</w:t>
      </w:r>
      <w:r w:rsidR="007D13B5">
        <w:rPr>
          <w:i/>
          <w:iCs/>
        </w:rPr>
        <w:t>.</w:t>
      </w:r>
      <w:r>
        <w:rPr>
          <w:i/>
          <w:iCs/>
        </w:rPr>
        <w:t xml:space="preserve"> Polsce </w:t>
      </w:r>
      <w:r>
        <w:t>(skarga nr 31454/10, 5 listopada 2020 r.):</w:t>
      </w:r>
    </w:p>
    <w:p w14:paraId="2261886E" w14:textId="715E35AD" w:rsidR="00316092" w:rsidRPr="00F9089F" w:rsidRDefault="00316092" w:rsidP="00F9089F">
      <w:pPr>
        <w:pStyle w:val="JuQuot"/>
      </w:pPr>
      <w:r>
        <w:t xml:space="preserve">„Konwencja o ochronie praw człowieka i podstawowych wolności nie może być stosowana w próżni prawnej, lecz musi być interpretowana i stosowana w kontekście innych źródeł prawa, do których należą m.in. odpowiednie traktaty międzynarodowe między Wysokimi Układającymi się Stronami, zwyczajowe prawo międzynarodowe oraz powszechnie uznane zasady ogólne prawa (zob. źródła prawa międzynarodowego wymienione w art. 39 ust. 1 lit. a–c Statutu Międzynarodowego Trybunału Sprawiedliwości (MTS)). Przy dokonywaniu wykładni należy również odpowiednio uwzględnić – w szczególności – orzeczenia sądów międzynarodowych i krajowych oraz opinie najznakomitszych znawców prawa publicznego różnych narodów, jako środek pomocniczy do </w:t>
      </w:r>
      <w:r w:rsidR="00683920">
        <w:t>ustalania norm</w:t>
      </w:r>
      <w:r>
        <w:t xml:space="preserve"> prawnych (zob. art. 39 ust. 1 lit. d Statutu Międzynarodowego Trybunału Sprawiedliwości). Odpowiednie źródła mogą ponadto obejmować prawnie wiążące rezolucje organizacji międzynarodowych, a także instrumenty „prawa miękkiego”, począwszy od Powszechnej Deklaracji Praw Człowieka, która jest wyraźnie wymieniona w preambule do Konwencji”.</w:t>
      </w:r>
    </w:p>
    <w:p w14:paraId="12BBAB5F" w14:textId="1E4B7C67" w:rsidR="00316092" w:rsidRPr="00F9089F" w:rsidRDefault="00316092" w:rsidP="00F9089F">
      <w:pPr>
        <w:pStyle w:val="JuPara"/>
      </w:pPr>
      <w:r>
        <w:t>Trybunał powinien należycie uwzględnić m</w:t>
      </w:r>
      <w:r w:rsidR="00683920">
        <w:t>. in.</w:t>
      </w:r>
      <w:r>
        <w:t xml:space="preserve"> </w:t>
      </w:r>
      <w:r>
        <w:rPr>
          <w:i/>
          <w:iCs/>
        </w:rPr>
        <w:t xml:space="preserve">powszechnie uznane zasady ogólne prawa. </w:t>
      </w:r>
      <w:r>
        <w:t xml:space="preserve">Biorąc pod uwagę fakt, że uregulowanie postępowania w Konwencji i Regulaminie Trybunału nie jest kompletne i pozostawia wiele </w:t>
      </w:r>
      <w:r w:rsidR="0015040E">
        <w:t>istotnych kwestii</w:t>
      </w:r>
      <w:r>
        <w:t xml:space="preserve"> proceduralnych bez odpowiedzi, zasady ogólne prawa mają szczególne znaczenie dla prowadzenia postępowań przed Trybunałem. Do zasad tych należy m</w:t>
      </w:r>
      <w:r w:rsidR="0015040E">
        <w:t>. in.</w:t>
      </w:r>
      <w:r>
        <w:t xml:space="preserve"> prawo do bycia wysłuchanym, zasada równości stron i zasada powagi rzeczy osądzonej (w tych kwestiach zob. przykładowo C. Brown, </w:t>
      </w:r>
      <w:r>
        <w:rPr>
          <w:i/>
          <w:iCs/>
        </w:rPr>
        <w:t xml:space="preserve">A </w:t>
      </w:r>
      <w:proofErr w:type="spellStart"/>
      <w:r>
        <w:rPr>
          <w:i/>
          <w:iCs/>
        </w:rPr>
        <w:t>Common</w:t>
      </w:r>
      <w:proofErr w:type="spellEnd"/>
      <w:r>
        <w:rPr>
          <w:i/>
          <w:iCs/>
        </w:rPr>
        <w:t xml:space="preserve"> Law of International </w:t>
      </w:r>
      <w:proofErr w:type="spellStart"/>
      <w:r>
        <w:rPr>
          <w:i/>
          <w:iCs/>
        </w:rPr>
        <w:t>Adjudication</w:t>
      </w:r>
      <w:proofErr w:type="spellEnd"/>
      <w:r>
        <w:t xml:space="preserve">, Oxford, Oxford University Press, 2007, s. 53–55). Zasady ogólne rzetelnego postępowania (rzetelnego procesu sądowego) powinny stanowić dla Trybunału punkt odniesienia przy wykładni szczegółowych postanowień proceduralnych </w:t>
      </w:r>
      <w:r w:rsidR="0015040E">
        <w:br/>
      </w:r>
      <w:r>
        <w:t xml:space="preserve">i </w:t>
      </w:r>
      <w:r w:rsidR="0015040E">
        <w:t xml:space="preserve">- jeżeli zachodzi taka konieczność - </w:t>
      </w:r>
      <w:r>
        <w:t>pomóc w wypełnieniu luk w prawie.</w:t>
      </w:r>
    </w:p>
    <w:p w14:paraId="44AA12F5" w14:textId="03F70E2D" w:rsidR="00316092" w:rsidRPr="00F9089F" w:rsidRDefault="00316092" w:rsidP="00F9089F">
      <w:pPr>
        <w:pStyle w:val="JuPara"/>
      </w:pPr>
      <w:r>
        <w:t>4.</w:t>
      </w:r>
      <w:r w:rsidR="009C4069">
        <w:t xml:space="preserve"> </w:t>
      </w:r>
      <w:r>
        <w:t xml:space="preserve">W </w:t>
      </w:r>
      <w:r w:rsidR="0015040E">
        <w:t xml:space="preserve">niniejszej </w:t>
      </w:r>
      <w:r>
        <w:t xml:space="preserve">sprawie Trybunał rozstrzyga o znaczeniu postanowień Konwencji, </w:t>
      </w:r>
      <w:r w:rsidR="0015040E">
        <w:t xml:space="preserve">pomijając </w:t>
      </w:r>
      <w:r>
        <w:t xml:space="preserve">fakt, że istnieją zasady dokonywania wykładni traktatów i są one wiążące dla Trybunału. </w:t>
      </w:r>
      <w:r w:rsidR="0015040E">
        <w:t>W odniesieniu do</w:t>
      </w:r>
      <w:r>
        <w:t xml:space="preserve"> kwestii proceduralnych Trybunał </w:t>
      </w:r>
      <w:r w:rsidR="0015040E">
        <w:t xml:space="preserve">pomija </w:t>
      </w:r>
      <w:r>
        <w:t xml:space="preserve">istotne źródło prawa, a mianowicie powszechnie uznane zasady rzetelnego </w:t>
      </w:r>
      <w:r w:rsidR="002C45D2">
        <w:t xml:space="preserve">postępowania </w:t>
      </w:r>
      <w:r>
        <w:t xml:space="preserve">sądowego. </w:t>
      </w:r>
      <w:r w:rsidR="002C45D2">
        <w:br/>
      </w:r>
      <w:r>
        <w:t xml:space="preserve">W kwestiach materialnoprawnych powołuje się on (zob. par. 50-54, 75 i 83 wyroku) na dokumenty programowe i inne dokumenty pochodzące </w:t>
      </w:r>
      <w:r w:rsidR="002C45D2">
        <w:t xml:space="preserve">od </w:t>
      </w:r>
      <w:r>
        <w:t>Organizacji Narodów Zjednoczonych (</w:t>
      </w:r>
      <w:r w:rsidR="002C45D2">
        <w:t xml:space="preserve">dokument </w:t>
      </w:r>
      <w:r>
        <w:t>z 2010 r.), Unii Europejskiej (dokumenty z lat 2010 i 2017) oraz Światowej Organizacji Zdrowia (dokument z 2015 r. opublikowany w październiku 2015 r.), jak gdyby nie istniały twarde argumenty prawne wynikające z obowiązujących zasad dokonywania wykładni, skodyfikowane w Konwencji wiedeńskiej</w:t>
      </w:r>
      <w:r w:rsidR="002C45D2">
        <w:br/>
      </w:r>
      <w:r>
        <w:t xml:space="preserve">o prawie traktatów, a przedstawione przez Trybunał w ujęciu kontekstowym w </w:t>
      </w:r>
      <w:r w:rsidR="002C45D2">
        <w:t xml:space="preserve">sprawie </w:t>
      </w:r>
      <w:proofErr w:type="spellStart"/>
      <w:r>
        <w:rPr>
          <w:i/>
          <w:iCs/>
        </w:rPr>
        <w:t>Magyar</w:t>
      </w:r>
      <w:proofErr w:type="spellEnd"/>
      <w:r>
        <w:rPr>
          <w:i/>
          <w:iCs/>
        </w:rPr>
        <w:t xml:space="preserve"> Helsinki </w:t>
      </w:r>
      <w:proofErr w:type="spellStart"/>
      <w:r>
        <w:rPr>
          <w:i/>
          <w:iCs/>
        </w:rPr>
        <w:t>Bizottság</w:t>
      </w:r>
      <w:proofErr w:type="spellEnd"/>
      <w:r>
        <w:t xml:space="preserve"> (cyt. pow</w:t>
      </w:r>
      <w:r w:rsidR="002C45D2">
        <w:t>.</w:t>
      </w:r>
      <w:r>
        <w:t xml:space="preserve">). Dokumenty programowe </w:t>
      </w:r>
      <w:r>
        <w:lastRenderedPageBreak/>
        <w:t>ONZ, UE i WHO nie są nawet instrumentami „prawa</w:t>
      </w:r>
      <w:r w:rsidR="00650570">
        <w:t xml:space="preserve"> miękkiego</w:t>
      </w:r>
      <w:r>
        <w:t xml:space="preserve">”, ponieważ nie </w:t>
      </w:r>
      <w:r w:rsidR="002C45D2">
        <w:t>są częścią</w:t>
      </w:r>
      <w:r>
        <w:t xml:space="preserve"> później</w:t>
      </w:r>
      <w:r w:rsidR="002C45D2">
        <w:t>szej</w:t>
      </w:r>
      <w:r>
        <w:t xml:space="preserve"> praktyki Stron w ramach Konwencji</w:t>
      </w:r>
      <w:r w:rsidR="00C27CDB">
        <w:t xml:space="preserve"> i </w:t>
      </w:r>
      <w:r>
        <w:t xml:space="preserve">nie wydają się istotne dla </w:t>
      </w:r>
      <w:r w:rsidR="00C27CDB">
        <w:t xml:space="preserve">celów </w:t>
      </w:r>
      <w:r>
        <w:t>wykładni Konwencji. Tymczasem większość nie tylko powołuje się na te dokumenty, ale również bierze je pod uwagę</w:t>
      </w:r>
      <w:bookmarkStart w:id="8" w:name="_Hlk66980947"/>
      <w:r>
        <w:t xml:space="preserve"> –</w:t>
      </w:r>
      <w:bookmarkEnd w:id="8"/>
      <w:r w:rsidR="009C4069">
        <w:t xml:space="preserve"> </w:t>
      </w:r>
      <w:r>
        <w:t>w części wywodu zatytułowanej „Zastosowanie powyższych zasad w niniejszej sprawie” – rozstrzygając o dokładnym zakresie obowiązków Wysokich Układających się Stron</w:t>
      </w:r>
      <w:r w:rsidR="00C27CDB">
        <w:t xml:space="preserve"> i przekształca je </w:t>
      </w:r>
      <w:r>
        <w:t xml:space="preserve">w sposób dorozumiany </w:t>
      </w:r>
      <w:r w:rsidR="00C27CDB">
        <w:t>w</w:t>
      </w:r>
      <w:r>
        <w:t xml:space="preserve"> – </w:t>
      </w:r>
      <w:r w:rsidR="00C27CDB">
        <w:t xml:space="preserve">szczególne </w:t>
      </w:r>
      <w:r>
        <w:t>– źródło prawa międzynarodowego (zob. par. 75 i 83 wyroku).</w:t>
      </w:r>
    </w:p>
    <w:p w14:paraId="4BA62ABA" w14:textId="05A97BB2" w:rsidR="00316092" w:rsidRPr="00F9089F" w:rsidRDefault="00316092" w:rsidP="00F9089F">
      <w:pPr>
        <w:pStyle w:val="JuPara"/>
      </w:pPr>
      <w:r>
        <w:t>5.</w:t>
      </w:r>
      <w:r w:rsidR="009C4069">
        <w:t xml:space="preserve"> </w:t>
      </w:r>
      <w:r>
        <w:t xml:space="preserve">Chociaż istotne okoliczności związane z aspektem proceduralnym art. 2 obejmują okres od 7 lipca 2012 r. do 31 lipca 2015 r., pytanie, na jakie należy odpowiedzieć analizując aspekt materialny art. 2 w </w:t>
      </w:r>
      <w:r w:rsidR="00C27CDB">
        <w:t xml:space="preserve">niniejszej </w:t>
      </w:r>
      <w:r>
        <w:t xml:space="preserve">sprawie, brzmi: czy pozwane państwo dopuściło się czynów zabronionych (lub zaniechań) uznawanych za takie międzynarodowo, co spowodowało naruszenie Konwencji – w rozumieniu obowiązującym w czasie istotnym dla sprawy – w okresie zakończonym </w:t>
      </w:r>
      <w:bookmarkStart w:id="9" w:name="_Hlk66953788"/>
      <w:r>
        <w:t>7 lipca 2012 r.</w:t>
      </w:r>
      <w:bookmarkEnd w:id="9"/>
      <w:r>
        <w:t xml:space="preserve"> Dlaczego dokumenty </w:t>
      </w:r>
      <w:r w:rsidR="003B4033">
        <w:t>o</w:t>
      </w:r>
      <w:r>
        <w:t>publikowane w październiku 2015 r. i w 2017 r. mają znaczenie dla ustalenia zakresu obowiązków materialnoprawnych pozwanego państwa w okresie zakończonym 7 lipca 2012 r.? Co więcej, dlaczego polityka UE m</w:t>
      </w:r>
      <w:r w:rsidR="003B4033">
        <w:t>iałaby mieć</w:t>
      </w:r>
      <w:r>
        <w:t xml:space="preserve"> </w:t>
      </w:r>
      <w:r w:rsidR="003B4033">
        <w:t xml:space="preserve">znaczenie </w:t>
      </w:r>
      <w:r>
        <w:t>dla wykładni traktatu, którego stronami są również państwa niebędące członkami UE</w:t>
      </w:r>
      <w:r w:rsidR="003B4033">
        <w:t>?</w:t>
      </w:r>
      <w:r>
        <w:t>. Dlaczego wspomniany dokument UE z 2010 r. jest istotny, skoro Chorwacja dołączyła do Unii Europejskiej dopiero 1 lipca 2013 r.?</w:t>
      </w:r>
    </w:p>
    <w:p w14:paraId="40C206B9" w14:textId="77777777" w:rsidR="00316092" w:rsidRPr="00F9089F" w:rsidRDefault="00316092" w:rsidP="00F9089F">
      <w:pPr>
        <w:pStyle w:val="JuPara"/>
        <w:numPr>
          <w:ilvl w:val="0"/>
          <w:numId w:val="4"/>
        </w:numPr>
      </w:pPr>
    </w:p>
    <w:p w14:paraId="6E88C949" w14:textId="7D916323" w:rsidR="003650DF" w:rsidRPr="00F9089F" w:rsidRDefault="00316092" w:rsidP="00F9089F">
      <w:pPr>
        <w:pStyle w:val="JuPara"/>
        <w:numPr>
          <w:ilvl w:val="0"/>
          <w:numId w:val="4"/>
        </w:numPr>
        <w:rPr>
          <w:b/>
          <w:bCs/>
        </w:rPr>
      </w:pPr>
      <w:r>
        <w:rPr>
          <w:b/>
          <w:bCs/>
        </w:rPr>
        <w:t>2.</w:t>
      </w:r>
      <w:r w:rsidR="009C4069">
        <w:rPr>
          <w:b/>
          <w:bCs/>
        </w:rPr>
        <w:t xml:space="preserve"> </w:t>
      </w:r>
      <w:r>
        <w:rPr>
          <w:b/>
          <w:bCs/>
        </w:rPr>
        <w:t>Kwestia rzetelnego postępowania</w:t>
      </w:r>
    </w:p>
    <w:p w14:paraId="109EECCF" w14:textId="77777777" w:rsidR="00316092" w:rsidRPr="00F9089F" w:rsidRDefault="00316092" w:rsidP="00F9089F">
      <w:pPr>
        <w:pStyle w:val="JuPara"/>
        <w:numPr>
          <w:ilvl w:val="0"/>
          <w:numId w:val="4"/>
        </w:numPr>
      </w:pPr>
    </w:p>
    <w:p w14:paraId="3BEF7B45" w14:textId="62A65D3A" w:rsidR="003650DF" w:rsidRPr="00F9089F" w:rsidRDefault="00316092" w:rsidP="00F9089F">
      <w:pPr>
        <w:pStyle w:val="JuPara"/>
      </w:pPr>
      <w:r>
        <w:t>6.</w:t>
      </w:r>
      <w:r w:rsidR="009C4069">
        <w:t xml:space="preserve"> </w:t>
      </w:r>
      <w:r>
        <w:t xml:space="preserve">Większość, dokonując oceny </w:t>
      </w:r>
      <w:r w:rsidR="00A850A4">
        <w:t>sprawy</w:t>
      </w:r>
      <w:r>
        <w:t>, postanowiła skoncentrować się na niebezpieczeństwie D.</w:t>
      </w:r>
      <w:r w:rsidR="00A850A4">
        <w:t xml:space="preserve"> </w:t>
      </w:r>
      <w:r>
        <w:t xml:space="preserve">M. i zagrożeniu, jakie stwarzał dla innych osób. </w:t>
      </w:r>
      <w:r w:rsidR="00A850A4">
        <w:t xml:space="preserve">Już na </w:t>
      </w:r>
      <w:r>
        <w:t xml:space="preserve">etapie </w:t>
      </w:r>
      <w:r w:rsidR="00A850A4">
        <w:t xml:space="preserve">komunikacji </w:t>
      </w:r>
      <w:r>
        <w:t xml:space="preserve">skargi Trybunał </w:t>
      </w:r>
      <w:r w:rsidR="00A850A4">
        <w:t>zwrócił się z następującym wnioskiem</w:t>
      </w:r>
      <w:r>
        <w:t>:</w:t>
      </w:r>
    </w:p>
    <w:p w14:paraId="6D58D723" w14:textId="152E8AD1" w:rsidR="00316092" w:rsidRPr="00F9089F" w:rsidRDefault="00316092" w:rsidP="00F9089F">
      <w:pPr>
        <w:pStyle w:val="JuQuot"/>
      </w:pPr>
      <w:r>
        <w:t>„</w:t>
      </w:r>
      <w:r w:rsidR="00A850A4">
        <w:t>Rząd jest proszony o</w:t>
      </w:r>
      <w:r>
        <w:t xml:space="preserve"> przedłożeni</w:t>
      </w:r>
      <w:r w:rsidR="00A850A4">
        <w:t>e dwóch kopii</w:t>
      </w:r>
      <w:r>
        <w:t xml:space="preserve"> </w:t>
      </w:r>
      <w:r w:rsidR="00A850A4">
        <w:t xml:space="preserve">odpowiednich </w:t>
      </w:r>
      <w:r>
        <w:t xml:space="preserve">dokumentów dotyczących sprawy skarżących. W szczególności Trybunał zwraca się </w:t>
      </w:r>
      <w:r w:rsidR="00A850A4">
        <w:br/>
      </w:r>
      <w:r>
        <w:t xml:space="preserve">o </w:t>
      </w:r>
      <w:r w:rsidR="00A850A4">
        <w:t xml:space="preserve">przedstawienie </w:t>
      </w:r>
      <w:r>
        <w:t>informacj</w:t>
      </w:r>
      <w:r w:rsidR="00A850A4">
        <w:t>i</w:t>
      </w:r>
      <w:r>
        <w:t xml:space="preserve"> na temat zastosowanych środków i rozstrzygnięć </w:t>
      </w:r>
      <w:r w:rsidR="003B0447">
        <w:br/>
      </w:r>
      <w:r>
        <w:t xml:space="preserve">w odpowiednich postępowaniach </w:t>
      </w:r>
      <w:r w:rsidR="003B0447">
        <w:t>dotyczących</w:t>
      </w:r>
      <w:r>
        <w:t xml:space="preserve"> trzydziestu pięciu wykroczeń drogowych, które widnieją w rejestrze policyjnym D.</w:t>
      </w:r>
      <w:r w:rsidR="003B0447">
        <w:t xml:space="preserve"> </w:t>
      </w:r>
      <w:r>
        <w:t>M.”.</w:t>
      </w:r>
    </w:p>
    <w:p w14:paraId="04424817" w14:textId="7C3A9F65" w:rsidR="00316092" w:rsidRPr="00F9089F" w:rsidRDefault="003B0447" w:rsidP="00F9089F">
      <w:pPr>
        <w:pStyle w:val="JuPara"/>
      </w:pPr>
      <w:r>
        <w:t>Uzasadnienie poświęca o</w:t>
      </w:r>
      <w:r w:rsidR="00316092">
        <w:t>siem paragrafów (par. 78–85) na analizę zachowania D.</w:t>
      </w:r>
      <w:r>
        <w:t xml:space="preserve"> </w:t>
      </w:r>
      <w:r w:rsidR="00316092">
        <w:t xml:space="preserve">M. i ocenę zagrożenia, które stwarzał. </w:t>
      </w:r>
      <w:r>
        <w:t>Ponadto wyrażono pogląd</w:t>
      </w:r>
      <w:r w:rsidR="00316092">
        <w:t xml:space="preserve">, że władze nie </w:t>
      </w:r>
      <w:r>
        <w:t>„</w:t>
      </w:r>
      <w:r w:rsidR="00316092">
        <w:t xml:space="preserve">podjęły odpowiednich </w:t>
      </w:r>
      <w:r>
        <w:t xml:space="preserve">środków </w:t>
      </w:r>
      <w:r w:rsidR="00316092">
        <w:t>w reakcji na ciągłe bezprawne zachowanie D.</w:t>
      </w:r>
      <w:r>
        <w:t xml:space="preserve"> </w:t>
      </w:r>
      <w:r w:rsidR="00316092">
        <w:t xml:space="preserve">M.” (par. 85). Większość opowiada się </w:t>
      </w:r>
      <w:r>
        <w:br/>
      </w:r>
      <w:r w:rsidR="00316092">
        <w:t>w szczególności za następującymi ograniczeniami praw D.</w:t>
      </w:r>
      <w:r>
        <w:t xml:space="preserve"> </w:t>
      </w:r>
      <w:r w:rsidR="00316092">
        <w:t>M. (par. 83).</w:t>
      </w:r>
    </w:p>
    <w:p w14:paraId="7DD43CE5" w14:textId="0F1593AE" w:rsidR="00316092" w:rsidRPr="00F9089F" w:rsidRDefault="00316092" w:rsidP="00F9089F">
      <w:pPr>
        <w:pStyle w:val="JuQuot"/>
      </w:pPr>
      <w:r>
        <w:t xml:space="preserve">„Chociaż </w:t>
      </w:r>
      <w:r w:rsidR="003B0447">
        <w:t xml:space="preserve">władze </w:t>
      </w:r>
      <w:r>
        <w:t>krajowe zastosowały wobec D.</w:t>
      </w:r>
      <w:r w:rsidR="003B0447">
        <w:t xml:space="preserve"> </w:t>
      </w:r>
      <w:r>
        <w:t xml:space="preserve">M. pewne środki, nie </w:t>
      </w:r>
      <w:r w:rsidR="003B0447">
        <w:t>przyjęły one</w:t>
      </w:r>
      <w:r>
        <w:t xml:space="preserve"> </w:t>
      </w:r>
      <w:r w:rsidR="00F13A6B">
        <w:t xml:space="preserve">kompleksowego </w:t>
      </w:r>
      <w:r>
        <w:t>i zintegrowan</w:t>
      </w:r>
      <w:r w:rsidR="00F13A6B">
        <w:t>ego</w:t>
      </w:r>
      <w:r>
        <w:t xml:space="preserve"> podejści</w:t>
      </w:r>
      <w:r w:rsidR="00F13A6B">
        <w:t>a polegającego na</w:t>
      </w:r>
      <w:r>
        <w:t xml:space="preserve"> </w:t>
      </w:r>
      <w:r w:rsidR="00F13A6B">
        <w:t>za</w:t>
      </w:r>
      <w:r>
        <w:t xml:space="preserve">stosowaniu skutecznych środków odstraszających i prewencyjnych, aby ukrócić to ciągłe poważne naruszanie przepisów o ruchu drogowym. Takie podejście wymagałoby podjęcia kroków, których głównym zadaniem byłoby ograniczenie czynników ryzyka dla bezpieczeństwa ruchu drogowego poprzez, przykładowo, </w:t>
      </w:r>
      <w:r w:rsidR="00F13A6B">
        <w:t xml:space="preserve">anulowanie </w:t>
      </w:r>
      <w:r>
        <w:t xml:space="preserve">prawa jazdy lub </w:t>
      </w:r>
      <w:r>
        <w:lastRenderedPageBreak/>
        <w:t xml:space="preserve">zatrzymanie go na dłuższy czas, nałożenie obowiązku przejścia ponownie szkolenia dla kierowców, leczenie odwykowe, a w stosownych przypadkach nałożenie </w:t>
      </w:r>
      <w:r w:rsidR="00F13A6B">
        <w:t xml:space="preserve">surowszych </w:t>
      </w:r>
      <w:r>
        <w:t xml:space="preserve">i bardziej </w:t>
      </w:r>
      <w:r w:rsidR="00F13A6B">
        <w:t xml:space="preserve">odstraszających sankcji </w:t>
      </w:r>
      <w:r>
        <w:t>za jego zachowanie”.</w:t>
      </w:r>
    </w:p>
    <w:p w14:paraId="52311347" w14:textId="676CAA4D" w:rsidR="00316092" w:rsidRPr="00F9089F" w:rsidRDefault="00F13A6B" w:rsidP="00F9089F">
      <w:pPr>
        <w:pStyle w:val="JuPara"/>
      </w:pPr>
      <w:r>
        <w:t>Podejście</w:t>
      </w:r>
      <w:r w:rsidR="00316092">
        <w:t xml:space="preserve"> przyjęt</w:t>
      </w:r>
      <w:r>
        <w:t>e</w:t>
      </w:r>
      <w:r w:rsidR="00316092">
        <w:t xml:space="preserve"> przez większość </w:t>
      </w:r>
      <w:r>
        <w:t>w centrum stawia kwestię</w:t>
      </w:r>
      <w:r w:rsidR="00316092">
        <w:t>, czy pozwane państwo wystarczająco ograniczyło prawa D.</w:t>
      </w:r>
      <w:r>
        <w:t xml:space="preserve"> </w:t>
      </w:r>
      <w:r w:rsidR="00316092">
        <w:t xml:space="preserve">M. Rzeczą nietypową dla </w:t>
      </w:r>
      <w:r w:rsidR="0013194B">
        <w:t xml:space="preserve">wyroku </w:t>
      </w:r>
      <w:r w:rsidR="00316092">
        <w:t>Trybunału jest</w:t>
      </w:r>
      <w:r w:rsidR="0013194B">
        <w:t>, by w taki sposób wyróżniano</w:t>
      </w:r>
      <w:r w:rsidR="00316092">
        <w:t xml:space="preserve"> konkretn</w:t>
      </w:r>
      <w:r w:rsidR="0013194B">
        <w:t>ą</w:t>
      </w:r>
      <w:r w:rsidR="00316092">
        <w:t xml:space="preserve"> osob</w:t>
      </w:r>
      <w:r w:rsidR="0013194B">
        <w:t>ę</w:t>
      </w:r>
      <w:r w:rsidR="00316092">
        <w:t xml:space="preserve"> jako stwarzając</w:t>
      </w:r>
      <w:r w:rsidR="0013194B">
        <w:t>ą</w:t>
      </w:r>
      <w:r w:rsidR="00316092">
        <w:t xml:space="preserve"> zagrożenie dla bezpieczeństwa publicznego. Sprawa skarżących </w:t>
      </w:r>
      <w:r w:rsidR="0013194B">
        <w:t xml:space="preserve">przekształciła </w:t>
      </w:r>
      <w:r w:rsidR="00316092">
        <w:t>się w sprawę D.</w:t>
      </w:r>
      <w:r w:rsidR="0013194B">
        <w:t xml:space="preserve"> </w:t>
      </w:r>
      <w:r w:rsidR="00316092">
        <w:t>M.</w:t>
      </w:r>
    </w:p>
    <w:p w14:paraId="3FBD6ED3" w14:textId="589F8EA9" w:rsidR="00316092" w:rsidRPr="00F9089F" w:rsidRDefault="00316092" w:rsidP="00F9089F">
      <w:pPr>
        <w:pStyle w:val="JuPara"/>
      </w:pPr>
      <w:r>
        <w:t>7.</w:t>
      </w:r>
      <w:r w:rsidR="009C4069">
        <w:t xml:space="preserve"> </w:t>
      </w:r>
      <w:r>
        <w:t>W wyroku podniesiono również kwesti</w:t>
      </w:r>
      <w:r w:rsidR="0013194B">
        <w:t>ę</w:t>
      </w:r>
      <w:r>
        <w:t xml:space="preserve"> dotycząc</w:t>
      </w:r>
      <w:r w:rsidR="0013194B">
        <w:t>ą jego</w:t>
      </w:r>
      <w:r>
        <w:t xml:space="preserve"> wykonania</w:t>
      </w:r>
      <w:r w:rsidR="0013194B">
        <w:t>.</w:t>
      </w:r>
      <w:r>
        <w:t xml:space="preserve"> Zgodnie z art. 30 Artykułów o odpowiedzialności państw za </w:t>
      </w:r>
      <w:r w:rsidR="00D80FCB">
        <w:t xml:space="preserve">czyny </w:t>
      </w:r>
      <w:r>
        <w:t>międzynarodowo bezprawne (o których mowa m</w:t>
      </w:r>
      <w:r w:rsidR="00A5702B">
        <w:t>. in.</w:t>
      </w:r>
      <w:r>
        <w:t xml:space="preserve"> w wyroku </w:t>
      </w:r>
      <w:proofErr w:type="spellStart"/>
      <w:r>
        <w:rPr>
          <w:i/>
          <w:iCs/>
        </w:rPr>
        <w:t>lgar</w:t>
      </w:r>
      <w:proofErr w:type="spellEnd"/>
      <w:r>
        <w:rPr>
          <w:i/>
          <w:iCs/>
        </w:rPr>
        <w:t xml:space="preserve"> </w:t>
      </w:r>
      <w:proofErr w:type="spellStart"/>
      <w:r>
        <w:rPr>
          <w:i/>
          <w:iCs/>
        </w:rPr>
        <w:t>Mammadov</w:t>
      </w:r>
      <w:proofErr w:type="spellEnd"/>
      <w:r>
        <w:rPr>
          <w:i/>
          <w:iCs/>
        </w:rPr>
        <w:t xml:space="preserve"> p</w:t>
      </w:r>
      <w:r w:rsidR="00A5702B">
        <w:rPr>
          <w:i/>
          <w:iCs/>
        </w:rPr>
        <w:t>.</w:t>
      </w:r>
      <w:r>
        <w:rPr>
          <w:i/>
          <w:iCs/>
        </w:rPr>
        <w:t xml:space="preserve"> Azerbejdżanowi</w:t>
      </w:r>
      <w:r>
        <w:t xml:space="preserve"> (postępowanie w przedmiocie naruszenia) [WI], skarga nr 15172/13,</w:t>
      </w:r>
      <w:r>
        <w:rPr>
          <w:i/>
          <w:iCs/>
        </w:rPr>
        <w:t xml:space="preserve"> </w:t>
      </w:r>
      <w:r>
        <w:t xml:space="preserve">29 maja 2019 r., § 84, a także § 162) państwo odpowiedzialne za </w:t>
      </w:r>
      <w:r w:rsidR="00D80FCB">
        <w:t xml:space="preserve">czyn </w:t>
      </w:r>
      <w:r>
        <w:t>międzynarodowo bezprawn</w:t>
      </w:r>
      <w:r w:rsidR="00D80FCB">
        <w:t>y</w:t>
      </w:r>
      <w:r>
        <w:t xml:space="preserve"> ma obowiązek zaprzestać takiego </w:t>
      </w:r>
      <w:r w:rsidR="00D80FCB">
        <w:t>czynu</w:t>
      </w:r>
      <w:r>
        <w:t xml:space="preserve">, jeśli ma </w:t>
      </w:r>
      <w:r w:rsidR="00D80FCB">
        <w:t xml:space="preserve">on </w:t>
      </w:r>
      <w:r>
        <w:t xml:space="preserve">charakter ciągły, a także złożyć odpowiednie zapewnienia i gwarancje </w:t>
      </w:r>
      <w:r w:rsidR="00D80FCB">
        <w:t xml:space="preserve">jego </w:t>
      </w:r>
      <w:r>
        <w:t>niepowtarzania, jeśli wymagają tego okoliczności. Reguł</w:t>
      </w:r>
      <w:r w:rsidR="00B601C3">
        <w:t>a</w:t>
      </w:r>
      <w:r w:rsidR="009C4069">
        <w:t xml:space="preserve"> </w:t>
      </w:r>
      <w:r>
        <w:t xml:space="preserve">6 § 2 lit. b Reguł Komitetu Ministrów dotyczących </w:t>
      </w:r>
      <w:r w:rsidR="00D80FCB">
        <w:t xml:space="preserve">nadzoru </w:t>
      </w:r>
      <w:r>
        <w:t>nad wykon</w:t>
      </w:r>
      <w:r w:rsidR="00D80FCB">
        <w:t>yw</w:t>
      </w:r>
      <w:r>
        <w:t xml:space="preserve">aniem wyroków i warunków </w:t>
      </w:r>
      <w:r w:rsidR="00D80FCB">
        <w:t>ugód</w:t>
      </w:r>
      <w:r>
        <w:t xml:space="preserve"> wym</w:t>
      </w:r>
      <w:r w:rsidR="00B601C3">
        <w:t>aga badania przez</w:t>
      </w:r>
      <w:r>
        <w:t xml:space="preserve"> Komitet Ministrów</w:t>
      </w:r>
      <w:r w:rsidR="00B601C3">
        <w:t xml:space="preserve">, </w:t>
      </w:r>
      <w:r>
        <w:t>między innymi, czy zastosowano środki indywidualne, aby zapewnić ustanie naruszenia i czy przyjęto środki ogólne w celu zapobieżenia kolejnym naruszeniom podobnym do stwierdzonych lub położenia kresu naruszeniom o charakterze ciągłym. Te postanowienia można postrzegać jako obowiązek ukrócenia sytuacji, w której D.</w:t>
      </w:r>
      <w:r w:rsidR="00B601C3">
        <w:t xml:space="preserve"> </w:t>
      </w:r>
      <w:r>
        <w:t>M. stwarza w sposób ciągły zagrożenie dla bezpieczeństwa publicznego (por. </w:t>
      </w:r>
      <w:r w:rsidR="00B601C3">
        <w:br/>
      </w:r>
      <w:r>
        <w:t xml:space="preserve">w szczególności par. 83 i 85 </w:t>
      </w:r>
      <w:r w:rsidR="00B601C3">
        <w:t>uzasadnienia</w:t>
      </w:r>
      <w:r>
        <w:t>, gdzie podkreślono ciągły charakter sytuacji). Niezależne od podejścia ostatecznie przyjętego przez Komitet Ministrów na etapie wykonania, wyrok</w:t>
      </w:r>
      <w:r w:rsidR="00EB6DAF">
        <w:t xml:space="preserve"> stwierdzający, że</w:t>
      </w:r>
      <w:r>
        <w:t xml:space="preserve"> pozwane państw</w:t>
      </w:r>
      <w:r w:rsidR="00EB6DAF">
        <w:t>o</w:t>
      </w:r>
      <w:r>
        <w:t xml:space="preserve"> nie</w:t>
      </w:r>
      <w:r w:rsidR="00EB6DAF">
        <w:t xml:space="preserve"> </w:t>
      </w:r>
      <w:r>
        <w:t>ogranicz</w:t>
      </w:r>
      <w:r w:rsidR="00EB6DAF">
        <w:t>yło</w:t>
      </w:r>
      <w:r>
        <w:t xml:space="preserve"> praw D.M., będzie skłaniał władze do uważnego analizowania zachowania D.</w:t>
      </w:r>
      <w:r w:rsidR="00EB6DAF">
        <w:t xml:space="preserve"> </w:t>
      </w:r>
      <w:r>
        <w:t xml:space="preserve">M. w przyszłości, przez co trudno będzie mu uniknąć wzmożonej czujności różnych organów krajowych. </w:t>
      </w:r>
      <w:r w:rsidR="00EB6DAF">
        <w:t>Wyrok</w:t>
      </w:r>
      <w:r>
        <w:t xml:space="preserve"> Trybunału </w:t>
      </w:r>
      <w:r w:rsidR="00EB6DAF">
        <w:t>ustala fakty</w:t>
      </w:r>
      <w:r>
        <w:t xml:space="preserve"> i formuł</w:t>
      </w:r>
      <w:r w:rsidR="00EB6DAF">
        <w:t>uje</w:t>
      </w:r>
      <w:r>
        <w:t xml:space="preserve"> zalecenia w odniesieniu do D.</w:t>
      </w:r>
      <w:r w:rsidR="00EB6DAF">
        <w:t xml:space="preserve"> </w:t>
      </w:r>
      <w:r>
        <w:t>M., które mogą być istotne w przyszłych postępowaniach na szczeblu krajowym. Bez wątpienia wyrok Trybunału ma istoty wpływ na prawa i interesy D.</w:t>
      </w:r>
      <w:r w:rsidR="00EB6DAF">
        <w:t xml:space="preserve"> </w:t>
      </w:r>
      <w:r>
        <w:t>M.</w:t>
      </w:r>
    </w:p>
    <w:p w14:paraId="61515AEF" w14:textId="3761C920" w:rsidR="003650DF" w:rsidRPr="00F9089F" w:rsidRDefault="00316092" w:rsidP="00F9089F">
      <w:pPr>
        <w:pStyle w:val="JuPara"/>
      </w:pPr>
      <w:r>
        <w:t>8.</w:t>
      </w:r>
      <w:r w:rsidR="009C4069">
        <w:t xml:space="preserve"> </w:t>
      </w:r>
      <w:r>
        <w:t xml:space="preserve">Z jednej z najważniejszych zasad rzetelnego postępowania wynika wymóg, </w:t>
      </w:r>
      <w:r w:rsidR="00EB6DAF">
        <w:t>by</w:t>
      </w:r>
      <w:r>
        <w:t xml:space="preserve"> w sytuacji podejmowania decyzji wpływającej na prawa lub chronione prawem interesy danej osoby</w:t>
      </w:r>
      <w:r w:rsidR="00EB6DAF">
        <w:t>, osoba ta lub strona</w:t>
      </w:r>
      <w:r w:rsidR="000E080B">
        <w:t xml:space="preserve"> została</w:t>
      </w:r>
      <w:r>
        <w:t xml:space="preserve"> uprzednio wysłuchan</w:t>
      </w:r>
      <w:r w:rsidR="000E080B">
        <w:t>a</w:t>
      </w:r>
      <w:r>
        <w:t xml:space="preserve">. </w:t>
      </w:r>
      <w:r>
        <w:rPr>
          <w:i/>
          <w:iCs/>
        </w:rPr>
        <w:t xml:space="preserve">Qui </w:t>
      </w:r>
      <w:proofErr w:type="spellStart"/>
      <w:r>
        <w:rPr>
          <w:i/>
          <w:iCs/>
        </w:rPr>
        <w:t>statuit</w:t>
      </w:r>
      <w:proofErr w:type="spellEnd"/>
      <w:r>
        <w:rPr>
          <w:i/>
          <w:iCs/>
        </w:rPr>
        <w:t xml:space="preserve"> </w:t>
      </w:r>
      <w:proofErr w:type="spellStart"/>
      <w:r>
        <w:rPr>
          <w:i/>
          <w:iCs/>
        </w:rPr>
        <w:t>aliquid</w:t>
      </w:r>
      <w:proofErr w:type="spellEnd"/>
      <w:r>
        <w:rPr>
          <w:i/>
          <w:iCs/>
        </w:rPr>
        <w:t xml:space="preserve"> parte </w:t>
      </w:r>
      <w:proofErr w:type="spellStart"/>
      <w:r>
        <w:rPr>
          <w:i/>
          <w:iCs/>
        </w:rPr>
        <w:t>inaudita</w:t>
      </w:r>
      <w:proofErr w:type="spellEnd"/>
      <w:r>
        <w:rPr>
          <w:i/>
          <w:iCs/>
        </w:rPr>
        <w:t xml:space="preserve"> </w:t>
      </w:r>
      <w:proofErr w:type="spellStart"/>
      <w:r>
        <w:rPr>
          <w:i/>
          <w:iCs/>
        </w:rPr>
        <w:t>altera</w:t>
      </w:r>
      <w:proofErr w:type="spellEnd"/>
      <w:r>
        <w:rPr>
          <w:i/>
          <w:iCs/>
        </w:rPr>
        <w:t xml:space="preserve">, </w:t>
      </w:r>
      <w:proofErr w:type="spellStart"/>
      <w:r>
        <w:rPr>
          <w:i/>
          <w:iCs/>
        </w:rPr>
        <w:t>aequum</w:t>
      </w:r>
      <w:proofErr w:type="spellEnd"/>
      <w:r>
        <w:rPr>
          <w:i/>
          <w:iCs/>
        </w:rPr>
        <w:t xml:space="preserve"> </w:t>
      </w:r>
      <w:proofErr w:type="spellStart"/>
      <w:r>
        <w:rPr>
          <w:i/>
          <w:iCs/>
        </w:rPr>
        <w:t>licet</w:t>
      </w:r>
      <w:proofErr w:type="spellEnd"/>
      <w:r>
        <w:rPr>
          <w:i/>
          <w:iCs/>
        </w:rPr>
        <w:t xml:space="preserve"> </w:t>
      </w:r>
      <w:proofErr w:type="spellStart"/>
      <w:r>
        <w:rPr>
          <w:i/>
          <w:iCs/>
        </w:rPr>
        <w:t>statuerit</w:t>
      </w:r>
      <w:proofErr w:type="spellEnd"/>
      <w:r>
        <w:rPr>
          <w:i/>
          <w:iCs/>
        </w:rPr>
        <w:t xml:space="preserve">, </w:t>
      </w:r>
      <w:proofErr w:type="spellStart"/>
      <w:r>
        <w:rPr>
          <w:i/>
          <w:iCs/>
        </w:rPr>
        <w:t>haud</w:t>
      </w:r>
      <w:proofErr w:type="spellEnd"/>
      <w:r>
        <w:rPr>
          <w:i/>
          <w:iCs/>
        </w:rPr>
        <w:t xml:space="preserve"> </w:t>
      </w:r>
      <w:proofErr w:type="spellStart"/>
      <w:r>
        <w:rPr>
          <w:i/>
          <w:iCs/>
        </w:rPr>
        <w:t>aequus</w:t>
      </w:r>
      <w:proofErr w:type="spellEnd"/>
      <w:r>
        <w:rPr>
          <w:i/>
          <w:iCs/>
        </w:rPr>
        <w:t xml:space="preserve"> </w:t>
      </w:r>
      <w:proofErr w:type="spellStart"/>
      <w:r>
        <w:rPr>
          <w:i/>
          <w:iCs/>
        </w:rPr>
        <w:t>fuit</w:t>
      </w:r>
      <w:proofErr w:type="spellEnd"/>
      <w:r>
        <w:t xml:space="preserve"> (Seneka, </w:t>
      </w:r>
      <w:r>
        <w:rPr>
          <w:i/>
          <w:iCs/>
        </w:rPr>
        <w:t>Medea</w:t>
      </w:r>
      <w:r>
        <w:t xml:space="preserve">; por. moja opinia odrębna do wyroku w sprawie </w:t>
      </w:r>
      <w:proofErr w:type="spellStart"/>
      <w:r>
        <w:rPr>
          <w:i/>
          <w:iCs/>
        </w:rPr>
        <w:t>Bochan</w:t>
      </w:r>
      <w:proofErr w:type="spellEnd"/>
      <w:r>
        <w:rPr>
          <w:i/>
          <w:iCs/>
        </w:rPr>
        <w:t xml:space="preserve"> p</w:t>
      </w:r>
      <w:r w:rsidR="000E080B">
        <w:rPr>
          <w:i/>
          <w:iCs/>
        </w:rPr>
        <w:t>.</w:t>
      </w:r>
      <w:r>
        <w:rPr>
          <w:i/>
          <w:iCs/>
        </w:rPr>
        <w:t xml:space="preserve"> Ukrainie </w:t>
      </w:r>
      <w:r>
        <w:t xml:space="preserve">(nr 2) [WI], skarga nr 22251/08, ETPC 2015, pkt 7). Jak </w:t>
      </w:r>
      <w:r w:rsidR="000E080B">
        <w:t xml:space="preserve">stwierdzono </w:t>
      </w:r>
      <w:r>
        <w:t>powyżej, prawo do bycia wysłuchanym stanowi powszechnie uznawaną zasadę ogólną prawa. Stanowi ono również element praworządności na szczeblu międzynarodowym.</w:t>
      </w:r>
    </w:p>
    <w:p w14:paraId="091A6B34" w14:textId="4967BE68" w:rsidR="00316092" w:rsidRPr="00F9089F" w:rsidRDefault="00316092" w:rsidP="00F9089F">
      <w:pPr>
        <w:pStyle w:val="JuPara"/>
      </w:pPr>
      <w:r>
        <w:t xml:space="preserve">Tymczasem Trybunał nie okazał poszanowania dla prawa D.M. do bycia wysłuchanym. Istnieje oczywiście wiele </w:t>
      </w:r>
      <w:r w:rsidR="000E080B">
        <w:t xml:space="preserve">możliwych </w:t>
      </w:r>
      <w:r>
        <w:t xml:space="preserve">kontrargumentów. </w:t>
      </w:r>
      <w:r>
        <w:lastRenderedPageBreak/>
        <w:t>Można podnosić, że zakres sprawy zawisłej przed Trybunałem technicznie ogranicza się do sporu między skarżącym a pozwanym państwem i nie obejmuje ani sporu między skarżącym a D.</w:t>
      </w:r>
      <w:r w:rsidR="000E080B">
        <w:t xml:space="preserve"> </w:t>
      </w:r>
      <w:r>
        <w:t>M., ani sporu między D.</w:t>
      </w:r>
      <w:r w:rsidR="000E080B">
        <w:t xml:space="preserve"> </w:t>
      </w:r>
      <w:r>
        <w:t xml:space="preserve">M. </w:t>
      </w:r>
      <w:r w:rsidR="000E080B">
        <w:br/>
      </w:r>
      <w:r>
        <w:t xml:space="preserve">a pozwanym państwem. </w:t>
      </w:r>
      <w:r w:rsidR="000E080B">
        <w:t>Sprawa</w:t>
      </w:r>
      <w:r>
        <w:t xml:space="preserve"> D.</w:t>
      </w:r>
      <w:r w:rsidR="000E080B">
        <w:t xml:space="preserve"> </w:t>
      </w:r>
      <w:r>
        <w:t>M. został</w:t>
      </w:r>
      <w:r w:rsidR="000E080B">
        <w:t>a</w:t>
      </w:r>
      <w:r>
        <w:t xml:space="preserve"> zreferowan</w:t>
      </w:r>
      <w:r w:rsidR="000E080B">
        <w:t>a</w:t>
      </w:r>
      <w:r>
        <w:t xml:space="preserve"> przez pozwany Rząd i do jego stanowiska nie można dodać nic rozsądnego. Że sprawa D.</w:t>
      </w:r>
      <w:r w:rsidR="000E080B">
        <w:t xml:space="preserve"> </w:t>
      </w:r>
      <w:r>
        <w:t xml:space="preserve">M. jest nie do obrony. Że wszystkie istotne okoliczności sprawy są w każdym razie oczywiste i zostały ustalone ponad wszelką wątpliwość. Że wyroki Trybunału nie mają żadnego skutku bezpośredniego i </w:t>
      </w:r>
      <w:r w:rsidR="009A0AE0">
        <w:t xml:space="preserve">istnieje bardzo szeroki margines uznania </w:t>
      </w:r>
      <w:r>
        <w:t>na etapie wykonania, w związku z czym D.</w:t>
      </w:r>
      <w:r w:rsidR="009A0AE0">
        <w:t xml:space="preserve"> </w:t>
      </w:r>
      <w:r>
        <w:t xml:space="preserve">M. </w:t>
      </w:r>
      <w:r w:rsidR="009A0AE0">
        <w:t xml:space="preserve">będzie nadal mógł bronić się, </w:t>
      </w:r>
      <w:r>
        <w:t>w razie konieczności</w:t>
      </w:r>
      <w:r w:rsidR="009A0AE0">
        <w:t>,</w:t>
      </w:r>
      <w:r>
        <w:t xml:space="preserve"> na </w:t>
      </w:r>
      <w:r w:rsidR="009A0AE0">
        <w:t xml:space="preserve">tym </w:t>
      </w:r>
      <w:r>
        <w:t xml:space="preserve">kolejnym etapie. Że zgodnie </w:t>
      </w:r>
      <w:r w:rsidR="009A0AE0">
        <w:br/>
      </w:r>
      <w:r>
        <w:t xml:space="preserve">z art. 36 Konwencji Trybunał nie ma obowiązku </w:t>
      </w:r>
      <w:r w:rsidR="009A0AE0">
        <w:t xml:space="preserve">wzywać </w:t>
      </w:r>
      <w:r>
        <w:t xml:space="preserve">do przedkładania uwag </w:t>
      </w:r>
      <w:r w:rsidR="009A0AE0">
        <w:t xml:space="preserve">prywatnych </w:t>
      </w:r>
      <w:r>
        <w:t xml:space="preserve">osób trzecich, nawet jeżeli mają one oczywisty interes </w:t>
      </w:r>
      <w:r w:rsidR="009A0AE0">
        <w:br/>
      </w:r>
      <w:r>
        <w:t xml:space="preserve">w </w:t>
      </w:r>
      <w:r w:rsidR="009A0AE0">
        <w:t xml:space="preserve">wyniku </w:t>
      </w:r>
      <w:r>
        <w:t>postępowania przed Trybunałem.</w:t>
      </w:r>
    </w:p>
    <w:p w14:paraId="558F5E57" w14:textId="14780118" w:rsidR="00316092" w:rsidRPr="00F9089F" w:rsidRDefault="00316092" w:rsidP="00F9089F">
      <w:pPr>
        <w:pStyle w:val="JuPara"/>
      </w:pPr>
      <w:r>
        <w:t xml:space="preserve">W mojej ocenie prawo do bycia wysłuchanym jest prawem tak fundamentalnym, że wszystkie przytoczone argumenty nie </w:t>
      </w:r>
      <w:r w:rsidR="009A0AE0">
        <w:t>mogą uzasadniać</w:t>
      </w:r>
      <w:r>
        <w:t xml:space="preserve">  </w:t>
      </w:r>
      <w:r w:rsidR="009A0AE0">
        <w:t>jego całkowitego pominięcia</w:t>
      </w:r>
      <w:r>
        <w:t xml:space="preserve">. W szczególności nie można </w:t>
      </w:r>
      <w:r w:rsidR="009A0AE0">
        <w:t xml:space="preserve">nigdy </w:t>
      </w:r>
      <w:r>
        <w:t xml:space="preserve">przyjąć argumentu, że dana osoba prawdopodobnie nie byłaby w stanie dodać nic rozsądnego. Prawo do bycia wysłuchanym nie przysługuje wyłącznie „tym dobrym”, którzy </w:t>
      </w:r>
      <w:r w:rsidR="00E75918">
        <w:t>maja logiczną obronę</w:t>
      </w:r>
      <w:r>
        <w:t>, ani też wyłącznie w sprawach, w których okoliczności faktyczne nie są jasne. Nigdy, nawet w na pierwszy rzut oka „prostych sprawach”, nie można mieć pewności, że w toku przedstawiania stanowisk przez osoby zainteresowane nie wyjdą na jaw nowe istotne okoliczności. Co więcej, nawet gdyby D.</w:t>
      </w:r>
      <w:r w:rsidR="00E75918">
        <w:t xml:space="preserve"> </w:t>
      </w:r>
      <w:r>
        <w:t xml:space="preserve">M. </w:t>
      </w:r>
      <w:r w:rsidR="00E75918">
        <w:t>był w stanie</w:t>
      </w:r>
      <w:r>
        <w:t xml:space="preserve">, w razie konieczności, przedstawić swoje argumenty na etapie wykonania wyroku, jego zadanie może być utrudnione. Wyrok Trybunału jest zatem problematyczny z perspektywy praworządności na szczeblu międzynarodowym i ochrony praw człowieka. </w:t>
      </w:r>
      <w:r w:rsidR="00F561C1">
        <w:t xml:space="preserve">Jeśli </w:t>
      </w:r>
      <w:r>
        <w:t>większość chciała skupić się na prawach D.</w:t>
      </w:r>
      <w:r w:rsidR="00F561C1">
        <w:t xml:space="preserve"> </w:t>
      </w:r>
      <w:r>
        <w:t>M., powinna była zaprosić go do przedstawienia uwag w niniejszej sprawie.</w:t>
      </w:r>
    </w:p>
    <w:p w14:paraId="78230F23" w14:textId="2274F10C" w:rsidR="00316092" w:rsidRPr="00F9089F" w:rsidRDefault="00F561C1" w:rsidP="00F9089F">
      <w:pPr>
        <w:pStyle w:val="JuPara"/>
      </w:pPr>
      <w:r>
        <w:t>Zgodnie z podejściem przyjętym</w:t>
      </w:r>
      <w:r w:rsidR="00316092">
        <w:t xml:space="preserve"> przez większość Konwencja </w:t>
      </w:r>
      <w:r>
        <w:t xml:space="preserve">nie tylko </w:t>
      </w:r>
      <w:r w:rsidR="00316092">
        <w:t xml:space="preserve">obejmuje obowiązek nałożenia ograniczeń praw konkretnej osoby, </w:t>
      </w:r>
      <w:r>
        <w:t>i nie tylko</w:t>
      </w:r>
      <w:r w:rsidR="00316092">
        <w:t xml:space="preserve"> jednostki mają subiektywne prawo domagać się nałożenia takich ograniczeń na osoby trzecie, to jeszcze Trybunał przyznał sobie również prawo do oceny, czy zastosowano wystarczające ograniczenia wobec indywidualnie zidentyfikowanych osób, </w:t>
      </w:r>
      <w:r w:rsidR="00203399">
        <w:t>które nie są nawet</w:t>
      </w:r>
      <w:r w:rsidR="00316092">
        <w:t xml:space="preserve"> stron</w:t>
      </w:r>
      <w:r w:rsidR="00203399">
        <w:t xml:space="preserve">ami postepowania </w:t>
      </w:r>
      <w:r w:rsidR="00316092">
        <w:t>przed Trybunałem</w:t>
      </w:r>
      <w:r w:rsidR="00203399">
        <w:t xml:space="preserve"> i które</w:t>
      </w:r>
      <w:r w:rsidR="00316092">
        <w:t xml:space="preserve"> mogą nie mieć świadomości, że toczące się postępowanie wpływa na ich prawa.</w:t>
      </w:r>
    </w:p>
    <w:p w14:paraId="7408A241" w14:textId="77777777" w:rsidR="00316092" w:rsidRPr="00F9089F" w:rsidRDefault="00316092" w:rsidP="00F9089F">
      <w:pPr>
        <w:pStyle w:val="JuPara"/>
        <w:numPr>
          <w:ilvl w:val="0"/>
          <w:numId w:val="4"/>
        </w:numPr>
      </w:pPr>
    </w:p>
    <w:p w14:paraId="0A45913A" w14:textId="4B7BE338" w:rsidR="003650DF" w:rsidRPr="00F9089F" w:rsidRDefault="00316092" w:rsidP="00F9089F">
      <w:pPr>
        <w:pStyle w:val="JuPara"/>
        <w:numPr>
          <w:ilvl w:val="0"/>
          <w:numId w:val="4"/>
        </w:numPr>
        <w:rPr>
          <w:b/>
          <w:bCs/>
        </w:rPr>
      </w:pPr>
      <w:r>
        <w:rPr>
          <w:b/>
          <w:bCs/>
        </w:rPr>
        <w:t xml:space="preserve">3. Zakres ciążącego na państwie </w:t>
      </w:r>
      <w:r w:rsidR="00203399">
        <w:rPr>
          <w:b/>
          <w:bCs/>
        </w:rPr>
        <w:t xml:space="preserve">pozytywnego </w:t>
      </w:r>
      <w:r>
        <w:rPr>
          <w:b/>
          <w:bCs/>
        </w:rPr>
        <w:t>obowiązku ochron</w:t>
      </w:r>
      <w:r w:rsidR="00203399">
        <w:rPr>
          <w:b/>
          <w:bCs/>
        </w:rPr>
        <w:t>y</w:t>
      </w:r>
    </w:p>
    <w:p w14:paraId="29E10A0E" w14:textId="77777777" w:rsidR="00316092" w:rsidRPr="00F9089F" w:rsidRDefault="00316092" w:rsidP="00F9089F">
      <w:pPr>
        <w:pStyle w:val="JuPara"/>
        <w:numPr>
          <w:ilvl w:val="0"/>
          <w:numId w:val="4"/>
        </w:numPr>
      </w:pPr>
    </w:p>
    <w:p w14:paraId="394B8677" w14:textId="3422F7FC" w:rsidR="00316092" w:rsidRPr="00F9089F" w:rsidRDefault="00316092" w:rsidP="00F9089F">
      <w:pPr>
        <w:pStyle w:val="JuPara"/>
      </w:pPr>
      <w:r>
        <w:t>9.</w:t>
      </w:r>
      <w:r w:rsidR="009C4069">
        <w:t xml:space="preserve"> </w:t>
      </w:r>
      <w:r>
        <w:t xml:space="preserve">Trybunał bardzo kompleksowo odniósł się do kwestii </w:t>
      </w:r>
      <w:r w:rsidR="00203399">
        <w:t xml:space="preserve">pozytywnych </w:t>
      </w:r>
      <w:r>
        <w:t xml:space="preserve">obowiązków państwa wynikających z art. 2 i 3 w kontekście zagrożenia dla życia i zdrowia w sprawie </w:t>
      </w:r>
      <w:proofErr w:type="spellStart"/>
      <w:r>
        <w:rPr>
          <w:i/>
          <w:iCs/>
        </w:rPr>
        <w:t>Nicolae</w:t>
      </w:r>
      <w:proofErr w:type="spellEnd"/>
      <w:r>
        <w:rPr>
          <w:i/>
          <w:iCs/>
        </w:rPr>
        <w:t xml:space="preserve"> </w:t>
      </w:r>
      <w:proofErr w:type="spellStart"/>
      <w:r>
        <w:rPr>
          <w:i/>
          <w:iCs/>
        </w:rPr>
        <w:t>Virgiliu</w:t>
      </w:r>
      <w:proofErr w:type="spellEnd"/>
      <w:r>
        <w:rPr>
          <w:i/>
          <w:iCs/>
        </w:rPr>
        <w:t xml:space="preserve"> </w:t>
      </w:r>
      <w:proofErr w:type="spellStart"/>
      <w:r>
        <w:rPr>
          <w:i/>
          <w:iCs/>
        </w:rPr>
        <w:t>Tănase</w:t>
      </w:r>
      <w:proofErr w:type="spellEnd"/>
      <w:r>
        <w:rPr>
          <w:iCs/>
        </w:rPr>
        <w:t xml:space="preserve"> (cyt. pow</w:t>
      </w:r>
      <w:r w:rsidR="00203399">
        <w:rPr>
          <w:iCs/>
        </w:rPr>
        <w:t>.</w:t>
      </w:r>
      <w:r>
        <w:rPr>
          <w:iCs/>
        </w:rPr>
        <w:t>, wyróżnienie własne).</w:t>
      </w:r>
    </w:p>
    <w:p w14:paraId="217252BB" w14:textId="3BF3F326" w:rsidR="00316092" w:rsidRPr="00F9089F" w:rsidRDefault="00316092" w:rsidP="00F9089F">
      <w:pPr>
        <w:pStyle w:val="JuQuot"/>
      </w:pPr>
      <w:r>
        <w:lastRenderedPageBreak/>
        <w:t xml:space="preserve">„135. Ten materialny obowiązek pozytywny </w:t>
      </w:r>
      <w:r w:rsidR="00ED4D2E">
        <w:t>pociąga za sobą</w:t>
      </w:r>
      <w:r>
        <w:t xml:space="preserve"> podstawow</w:t>
      </w:r>
      <w:r w:rsidR="00ED4D2E">
        <w:t>y</w:t>
      </w:r>
      <w:r>
        <w:t xml:space="preserve"> obowiąz</w:t>
      </w:r>
      <w:r w:rsidR="00ED4D2E">
        <w:t>e</w:t>
      </w:r>
      <w:r>
        <w:t>k państwa, polegający na ustanowieniu ram prawnych i administracyjnych mających na celu</w:t>
      </w:r>
      <w:r w:rsidR="00ED4D2E">
        <w:t xml:space="preserve"> zapewnienie</w:t>
      </w:r>
      <w:r>
        <w:t xml:space="preserve"> skuteczne</w:t>
      </w:r>
      <w:r w:rsidR="00ED4D2E">
        <w:t>go odstraszania przed</w:t>
      </w:r>
      <w:r>
        <w:t xml:space="preserve"> naruszani</w:t>
      </w:r>
      <w:r w:rsidR="00ED4D2E">
        <w:t>em</w:t>
      </w:r>
      <w:r>
        <w:t xml:space="preserve"> prawa do życia […]. Ma on zastosowanie w kontekście </w:t>
      </w:r>
      <w:r w:rsidR="00ED4D2E">
        <w:t xml:space="preserve">każdej </w:t>
      </w:r>
      <w:r>
        <w:t xml:space="preserve">działalności, zarówno publicznej, jak i </w:t>
      </w:r>
      <w:r w:rsidR="00ED4D2E">
        <w:t>niepublicznej</w:t>
      </w:r>
      <w:r>
        <w:t xml:space="preserve">, w której prawo do życia może być zagrożone […]. Trybunał pragnie podkreślić, że w kontekście ruchu drogowego te obowiązki władz krajowych </w:t>
      </w:r>
      <w:r w:rsidR="006272D2">
        <w:t xml:space="preserve">obejmują </w:t>
      </w:r>
      <w:r>
        <w:t xml:space="preserve">obowiązek wprowadzenia odpowiedniego zestawu środków zapobiegawczych mających na celu zapewnienie bezpieczeństwa publicznego i </w:t>
      </w:r>
      <w:r w:rsidR="006272D2">
        <w:t xml:space="preserve">zminimalizowanie </w:t>
      </w:r>
      <w:r>
        <w:t>liczby wypadków drogowych.</w:t>
      </w:r>
    </w:p>
    <w:p w14:paraId="39DC9F0F" w14:textId="2F6ECAE1" w:rsidR="00316092" w:rsidRPr="00F9089F" w:rsidRDefault="00316092" w:rsidP="00F9089F">
      <w:pPr>
        <w:pStyle w:val="JuQuot"/>
      </w:pPr>
      <w:r>
        <w:t xml:space="preserve">136. Po drugie, istnieje ponadto </w:t>
      </w:r>
      <w:r w:rsidR="006272D2">
        <w:t xml:space="preserve">pozytywny </w:t>
      </w:r>
      <w:r>
        <w:t xml:space="preserve">obowiązek </w:t>
      </w:r>
      <w:r w:rsidR="006272D2">
        <w:t xml:space="preserve">materialny </w:t>
      </w:r>
      <w:r>
        <w:t>wprowadzenia prewencyjnych środków operacyjnych w celu ochrony zidentyfikowanej osoby fizycznej przed inną osobą fizyczną (zob. </w:t>
      </w:r>
      <w:r>
        <w:rPr>
          <w:i/>
          <w:iCs/>
        </w:rPr>
        <w:t>Osman p</w:t>
      </w:r>
      <w:r w:rsidR="006272D2">
        <w:rPr>
          <w:i/>
          <w:iCs/>
        </w:rPr>
        <w:t xml:space="preserve">. </w:t>
      </w:r>
      <w:r>
        <w:rPr>
          <w:i/>
          <w:iCs/>
        </w:rPr>
        <w:t>Zjednoczonemu Królestwu</w:t>
      </w:r>
      <w:r>
        <w:t xml:space="preserve">, 28 października 1998 r., § 115, Zbiór 1998-VIII,) lub, w szczególnych okolicznościach, przed nią samą (zob. </w:t>
      </w:r>
      <w:proofErr w:type="spellStart"/>
      <w:r>
        <w:rPr>
          <w:i/>
          <w:iCs/>
        </w:rPr>
        <w:t>Renolde</w:t>
      </w:r>
      <w:proofErr w:type="spellEnd"/>
      <w:r>
        <w:rPr>
          <w:i/>
          <w:iCs/>
        </w:rPr>
        <w:t xml:space="preserve"> p</w:t>
      </w:r>
      <w:r w:rsidR="006272D2">
        <w:rPr>
          <w:i/>
          <w:iCs/>
        </w:rPr>
        <w:t xml:space="preserve">. </w:t>
      </w:r>
      <w:r>
        <w:rPr>
          <w:i/>
          <w:iCs/>
        </w:rPr>
        <w:t>Francji</w:t>
      </w:r>
      <w:r>
        <w:t>, skarga nr 5608/05, § 81, ETPC 2008 (fragmenty)</w:t>
      </w:r>
      <w:r w:rsidR="006272D2">
        <w:t>,</w:t>
      </w:r>
      <w:r>
        <w:t xml:space="preserve"> </w:t>
      </w:r>
      <w:r>
        <w:rPr>
          <w:i/>
          <w:iCs/>
        </w:rPr>
        <w:t>Haas p</w:t>
      </w:r>
      <w:r w:rsidR="006272D2">
        <w:rPr>
          <w:i/>
          <w:iCs/>
        </w:rPr>
        <w:t>.</w:t>
      </w:r>
      <w:r>
        <w:rPr>
          <w:i/>
          <w:iCs/>
        </w:rPr>
        <w:t xml:space="preserve"> Szwajcarii</w:t>
      </w:r>
      <w:r>
        <w:t xml:space="preserve">, skarga nr 31322/07, § 54, ETPC 2011 oraz </w:t>
      </w:r>
      <w:proofErr w:type="spellStart"/>
      <w:r>
        <w:rPr>
          <w:i/>
          <w:iCs/>
        </w:rPr>
        <w:t>Fernandes</w:t>
      </w:r>
      <w:proofErr w:type="spellEnd"/>
      <w:r>
        <w:rPr>
          <w:i/>
          <w:iCs/>
        </w:rPr>
        <w:t xml:space="preserve"> de Oliveira</w:t>
      </w:r>
      <w:r>
        <w:t>, cyt. pow</w:t>
      </w:r>
      <w:r w:rsidR="006272D2">
        <w:t>.</w:t>
      </w:r>
      <w:r>
        <w:t>, § 103 i § 108–115).</w:t>
      </w:r>
      <w:r w:rsidR="009C4069">
        <w:t xml:space="preserve"> </w:t>
      </w:r>
      <w:r>
        <w:t xml:space="preserve">Trybunał orzekł, że </w:t>
      </w:r>
      <w:r w:rsidR="006272D2">
        <w:t xml:space="preserve">taki </w:t>
      </w:r>
      <w:r>
        <w:t xml:space="preserve">obowiązek należy interpretować w sposób, który nie nakłada na władze niemożliwego ani nieproporcjonalnego obciążenia. Nie każde </w:t>
      </w:r>
      <w:r w:rsidR="006272D2">
        <w:t xml:space="preserve">zarzucane </w:t>
      </w:r>
      <w:r>
        <w:t xml:space="preserve">zagrożenie życia będzie wiązało się z wynikającą z Konwencji koniecznością podjęcia przez władze działań operacyjnych </w:t>
      </w:r>
      <w:r w:rsidR="006272D2">
        <w:t xml:space="preserve">w celu </w:t>
      </w:r>
      <w:r>
        <w:t>zapobieżeni</w:t>
      </w:r>
      <w:r w:rsidR="000F7677">
        <w:t>a</w:t>
      </w:r>
      <w:r>
        <w:t xml:space="preserve"> urzeczywistnienia się </w:t>
      </w:r>
      <w:r w:rsidR="000F7677">
        <w:t xml:space="preserve">tego </w:t>
      </w:r>
      <w:r>
        <w:t xml:space="preserve">zagrożenia. Aby </w:t>
      </w:r>
      <w:r w:rsidR="000F7677">
        <w:t>wywiązać się z tego pozytywnego obowiązku</w:t>
      </w:r>
      <w:r>
        <w:t xml:space="preserve">, </w:t>
      </w:r>
      <w:r w:rsidR="000F7677">
        <w:t>należy ustalić</w:t>
      </w:r>
      <w:r>
        <w:t xml:space="preserve">, że </w:t>
      </w:r>
      <w:r>
        <w:rPr>
          <w:b/>
          <w:bCs/>
          <w:i/>
          <w:iCs/>
        </w:rPr>
        <w:t xml:space="preserve">władze wiedziały lub powinny były wiedzieć </w:t>
      </w:r>
      <w:r w:rsidR="000F7677">
        <w:rPr>
          <w:b/>
          <w:bCs/>
          <w:i/>
          <w:iCs/>
        </w:rPr>
        <w:t xml:space="preserve">w danym czasie </w:t>
      </w:r>
      <w:r>
        <w:rPr>
          <w:b/>
          <w:bCs/>
          <w:i/>
          <w:iCs/>
        </w:rPr>
        <w:t>o</w:t>
      </w:r>
      <w:r w:rsidR="000F7677">
        <w:rPr>
          <w:b/>
          <w:bCs/>
          <w:i/>
          <w:iCs/>
        </w:rPr>
        <w:t xml:space="preserve"> istnieniu</w:t>
      </w:r>
      <w:r>
        <w:rPr>
          <w:b/>
          <w:bCs/>
          <w:i/>
          <w:iCs/>
        </w:rPr>
        <w:t xml:space="preserve"> rzeczywist</w:t>
      </w:r>
      <w:r w:rsidR="000F7677">
        <w:rPr>
          <w:b/>
          <w:bCs/>
          <w:i/>
          <w:iCs/>
        </w:rPr>
        <w:t>ego</w:t>
      </w:r>
      <w:r>
        <w:rPr>
          <w:b/>
          <w:bCs/>
          <w:i/>
          <w:iCs/>
        </w:rPr>
        <w:t xml:space="preserve"> i bezpośredni</w:t>
      </w:r>
      <w:r w:rsidR="000F7677">
        <w:rPr>
          <w:b/>
          <w:bCs/>
          <w:i/>
          <w:iCs/>
        </w:rPr>
        <w:t>ego</w:t>
      </w:r>
      <w:r>
        <w:rPr>
          <w:b/>
          <w:bCs/>
          <w:i/>
          <w:iCs/>
        </w:rPr>
        <w:t xml:space="preserve"> zagrożeniu życia danej osoby lub osób w związku z </w:t>
      </w:r>
      <w:r w:rsidR="000F7677">
        <w:rPr>
          <w:b/>
          <w:bCs/>
          <w:i/>
          <w:iCs/>
        </w:rPr>
        <w:t>przestępnymi działaniami</w:t>
      </w:r>
      <w:r>
        <w:rPr>
          <w:b/>
          <w:bCs/>
          <w:i/>
          <w:iCs/>
        </w:rPr>
        <w:t xml:space="preserve"> osoby trzeciej, a mimo to nie podjęły – w zakresie swoich kompetencji – działań, których można było od nich zasadnie oczekiwać, by uniknąć zagrożenia</w:t>
      </w:r>
      <w:r>
        <w:t xml:space="preserve"> (</w:t>
      </w:r>
      <w:r>
        <w:rPr>
          <w:i/>
          <w:iCs/>
        </w:rPr>
        <w:t>Osman</w:t>
      </w:r>
      <w:r>
        <w:t>, cyt. pow</w:t>
      </w:r>
      <w:r w:rsidR="000F7677">
        <w:t>.</w:t>
      </w:r>
      <w:r>
        <w:t xml:space="preserve">, </w:t>
      </w:r>
      <w:r w:rsidR="000F7677">
        <w:br/>
      </w:r>
      <w:r>
        <w:t>§ 115–116</w:t>
      </w:r>
      <w:r w:rsidR="000F7677">
        <w:t>,</w:t>
      </w:r>
      <w:r>
        <w:t xml:space="preserve"> </w:t>
      </w:r>
      <w:proofErr w:type="spellStart"/>
      <w:r>
        <w:rPr>
          <w:i/>
          <w:iCs/>
        </w:rPr>
        <w:t>Öneryıldız</w:t>
      </w:r>
      <w:proofErr w:type="spellEnd"/>
      <w:r>
        <w:t>, cyt. pow</w:t>
      </w:r>
      <w:r w:rsidR="000F7677">
        <w:t>.</w:t>
      </w:r>
      <w:r>
        <w:t>, § 74 i § 101</w:t>
      </w:r>
      <w:r w:rsidR="000F7677">
        <w:t>,</w:t>
      </w:r>
      <w:r>
        <w:t xml:space="preserve"> </w:t>
      </w:r>
      <w:proofErr w:type="spellStart"/>
      <w:r>
        <w:rPr>
          <w:i/>
          <w:iCs/>
        </w:rPr>
        <w:t>Bone</w:t>
      </w:r>
      <w:proofErr w:type="spellEnd"/>
      <w:r>
        <w:rPr>
          <w:i/>
          <w:iCs/>
        </w:rPr>
        <w:t xml:space="preserve"> p</w:t>
      </w:r>
      <w:r w:rsidR="000F7677">
        <w:rPr>
          <w:i/>
          <w:iCs/>
        </w:rPr>
        <w:t>.</w:t>
      </w:r>
      <w:r>
        <w:rPr>
          <w:i/>
          <w:iCs/>
        </w:rPr>
        <w:t xml:space="preserve"> Francji</w:t>
      </w:r>
      <w:r>
        <w:t xml:space="preserve"> (</w:t>
      </w:r>
      <w:proofErr w:type="spellStart"/>
      <w:r>
        <w:t>dec</w:t>
      </w:r>
      <w:proofErr w:type="spellEnd"/>
      <w:r>
        <w:t>.), skarga nr 69869/01, 1 marca 2005 r.</w:t>
      </w:r>
      <w:r w:rsidR="000F7677">
        <w:t>,</w:t>
      </w:r>
      <w:r>
        <w:t xml:space="preserve"> </w:t>
      </w:r>
      <w:proofErr w:type="spellStart"/>
      <w:r>
        <w:rPr>
          <w:i/>
          <w:iCs/>
        </w:rPr>
        <w:t>Cavit</w:t>
      </w:r>
      <w:proofErr w:type="spellEnd"/>
      <w:r>
        <w:rPr>
          <w:i/>
          <w:iCs/>
        </w:rPr>
        <w:t xml:space="preserve"> </w:t>
      </w:r>
      <w:proofErr w:type="spellStart"/>
      <w:r>
        <w:rPr>
          <w:i/>
          <w:iCs/>
        </w:rPr>
        <w:t>Tınarlıoğlu</w:t>
      </w:r>
      <w:proofErr w:type="spellEnd"/>
      <w:r>
        <w:t>, cyt. pow</w:t>
      </w:r>
      <w:r w:rsidR="000F7677">
        <w:t>.</w:t>
      </w:r>
      <w:r>
        <w:t xml:space="preserve">, § 91–92 oraz </w:t>
      </w:r>
      <w:proofErr w:type="spellStart"/>
      <w:r>
        <w:rPr>
          <w:i/>
          <w:iCs/>
        </w:rPr>
        <w:t>Fernandes</w:t>
      </w:r>
      <w:proofErr w:type="spellEnd"/>
      <w:r>
        <w:rPr>
          <w:i/>
          <w:iCs/>
        </w:rPr>
        <w:t xml:space="preserve"> de Oliveira</w:t>
      </w:r>
      <w:r>
        <w:t>, cyt. pow</w:t>
      </w:r>
      <w:r w:rsidR="000F7677">
        <w:t>.</w:t>
      </w:r>
      <w:r>
        <w:t>, § 109). Trybunał uznaje, że obowiązek ten może w pewnych okolicznościach obejmować świadczenie doraźnej opieki medycznej w nagłych wypadkach zagrażających życiu.</w:t>
      </w:r>
    </w:p>
    <w:p w14:paraId="5FCED518" w14:textId="235C15D2" w:rsidR="00316092" w:rsidRPr="00F9089F" w:rsidRDefault="00316092" w:rsidP="00F9089F">
      <w:pPr>
        <w:pStyle w:val="JuQuot"/>
      </w:pPr>
      <w:r>
        <w:t xml:space="preserve">137. Po trzecie Trybunał przypomina, że należy uznać, iż spoczywający na państwie obowiązek ochrony prawa do życia obejmuje nie tylko te materialne </w:t>
      </w:r>
      <w:r w:rsidR="00636AD7">
        <w:t xml:space="preserve">pozytywne </w:t>
      </w:r>
      <w:r>
        <w:t xml:space="preserve">obowiązki, lecz także – w przypadku śmierci – proceduralny obowiązek pozytywny </w:t>
      </w:r>
      <w:r w:rsidR="00636AD7">
        <w:t>posiadania</w:t>
      </w:r>
      <w:r>
        <w:t xml:space="preserve"> skutecznego niezawisłego systemu sądowego. Taki system może się różnić w zależności od okoliczności (zob. par. 158 poniżej) […]”</w:t>
      </w:r>
    </w:p>
    <w:p w14:paraId="1CD1E0F9" w14:textId="44215159" w:rsidR="00316092" w:rsidRPr="00F9089F" w:rsidRDefault="00636AD7" w:rsidP="00F9089F">
      <w:pPr>
        <w:pStyle w:val="JuPara"/>
      </w:pPr>
      <w:r>
        <w:t>W tym miejscu n</w:t>
      </w:r>
      <w:r w:rsidR="00316092">
        <w:t xml:space="preserve">ależy podkreślić, że </w:t>
      </w:r>
      <w:r>
        <w:t xml:space="preserve">te </w:t>
      </w:r>
      <w:r w:rsidR="00316092">
        <w:t xml:space="preserve">zasady ogólne sformułowano </w:t>
      </w:r>
      <w:proofErr w:type="spellStart"/>
      <w:r>
        <w:t>własnie</w:t>
      </w:r>
      <w:proofErr w:type="spellEnd"/>
      <w:r>
        <w:t xml:space="preserve"> </w:t>
      </w:r>
      <w:r w:rsidR="00316092">
        <w:t xml:space="preserve">w kontekście sprawy dotyczącej wypadku w ruchu drogowym. Co więcej, środki zapobiegawcze, o których mowa w § 135 </w:t>
      </w:r>
      <w:r w:rsidR="00316092">
        <w:rPr>
          <w:i/>
          <w:iCs/>
        </w:rPr>
        <w:t xml:space="preserve">in fine </w:t>
      </w:r>
      <w:r w:rsidR="00316092">
        <w:t>są wyraźn</w:t>
      </w:r>
      <w:r>
        <w:t>ie</w:t>
      </w:r>
      <w:r w:rsidR="00316092">
        <w:t xml:space="preserve"> jedynie środkami ogólnymi. O środkach indywidualnych mowa </w:t>
      </w:r>
      <w:r>
        <w:t>dopiero</w:t>
      </w:r>
      <w:r>
        <w:br/>
      </w:r>
      <w:r w:rsidR="00316092">
        <w:t xml:space="preserve">w § 136. Obowiązek pozytywny w aspekcie materialnym, polegający na zastosowaniu prewencyjnych środków operacyjnych w celu ochrony zidentyfikowanej osoby fizycznej przed </w:t>
      </w:r>
      <w:r w:rsidR="003764C6">
        <w:t xml:space="preserve">inną osobą </w:t>
      </w:r>
      <w:r w:rsidR="00316092">
        <w:t xml:space="preserve">powstaje wyłącznie </w:t>
      </w:r>
      <w:r w:rsidR="003764C6">
        <w:t>wtedy</w:t>
      </w:r>
      <w:r w:rsidR="00316092">
        <w:t xml:space="preserve">, gdy </w:t>
      </w:r>
      <w:r w:rsidR="003764C6">
        <w:t xml:space="preserve">istnieje </w:t>
      </w:r>
      <w:r w:rsidR="00316092">
        <w:rPr>
          <w:b/>
          <w:bCs/>
        </w:rPr>
        <w:t>rzeczywiste i bezpośrednie zagrożenie</w:t>
      </w:r>
      <w:r w:rsidR="00316092">
        <w:t xml:space="preserve"> życia </w:t>
      </w:r>
      <w:r w:rsidR="00316092">
        <w:rPr>
          <w:b/>
          <w:bCs/>
        </w:rPr>
        <w:t xml:space="preserve">zidentyfikowanej osoby </w:t>
      </w:r>
      <w:r w:rsidR="003764C6">
        <w:rPr>
          <w:b/>
          <w:bCs/>
        </w:rPr>
        <w:t xml:space="preserve">fizycznej </w:t>
      </w:r>
      <w:r w:rsidR="00316092">
        <w:rPr>
          <w:b/>
          <w:bCs/>
        </w:rPr>
        <w:t>lub zidentyfikowanych osób fizycznych</w:t>
      </w:r>
      <w:r w:rsidR="00316092">
        <w:t xml:space="preserve"> w związku z czynami </w:t>
      </w:r>
      <w:r w:rsidR="003764C6">
        <w:t xml:space="preserve">przestępnymi </w:t>
      </w:r>
      <w:r w:rsidR="00316092">
        <w:t>osoby trzeciej. Według Wielkiej Izby obowiązek państwa</w:t>
      </w:r>
      <w:r w:rsidR="003764C6">
        <w:t xml:space="preserve"> </w:t>
      </w:r>
      <w:r w:rsidR="00316092">
        <w:t>ochron</w:t>
      </w:r>
      <w:r w:rsidR="003764C6">
        <w:t>y</w:t>
      </w:r>
      <w:r w:rsidR="00316092">
        <w:t xml:space="preserve"> osób przed zagrożeniem, nigdy nie może wykraczać poza taki zakres, a przynajmniej nie w kontekście ruchu drogowego i „</w:t>
      </w:r>
      <w:r w:rsidR="003764C6">
        <w:t xml:space="preserve">innej </w:t>
      </w:r>
      <w:r w:rsidR="00316092">
        <w:t xml:space="preserve">działalności, w której prawo do życia może być zagrożone”. Nie widzę </w:t>
      </w:r>
      <w:r w:rsidR="003764C6">
        <w:t xml:space="preserve">jakiegokolwiek </w:t>
      </w:r>
      <w:r w:rsidR="00316092">
        <w:t xml:space="preserve">powodu, dla którego należałoby </w:t>
      </w:r>
      <w:r w:rsidR="003764C6">
        <w:lastRenderedPageBreak/>
        <w:t>odejść od takiego</w:t>
      </w:r>
      <w:r w:rsidR="00316092">
        <w:t xml:space="preserve"> podejścia, które jest wynikiem bardzo dokładnej i dojrzałej refleksji.</w:t>
      </w:r>
    </w:p>
    <w:p w14:paraId="3AB06F79" w14:textId="4D3A9AC6" w:rsidR="00316092" w:rsidRPr="00F9089F" w:rsidRDefault="00316092" w:rsidP="00F9089F">
      <w:pPr>
        <w:pStyle w:val="JuPara"/>
      </w:pPr>
      <w:r>
        <w:t xml:space="preserve">W rozpatrywanej niedawno sprawie </w:t>
      </w:r>
      <w:proofErr w:type="spellStart"/>
      <w:r>
        <w:rPr>
          <w:i/>
          <w:iCs/>
        </w:rPr>
        <w:t>Kotilainen</w:t>
      </w:r>
      <w:proofErr w:type="spellEnd"/>
      <w:r>
        <w:rPr>
          <w:i/>
          <w:iCs/>
        </w:rPr>
        <w:t xml:space="preserve"> i Inni p</w:t>
      </w:r>
      <w:r w:rsidR="003764C6">
        <w:rPr>
          <w:i/>
          <w:iCs/>
        </w:rPr>
        <w:t>.</w:t>
      </w:r>
      <w:r>
        <w:rPr>
          <w:i/>
          <w:iCs/>
        </w:rPr>
        <w:t xml:space="preserve"> Finlandii</w:t>
      </w:r>
      <w:r>
        <w:t xml:space="preserve"> (skarga nr 62439/12, 17 września 2020 r., wyróżnienie własne) Trybunał wyraził ponadto następującą opinię:</w:t>
      </w:r>
    </w:p>
    <w:p w14:paraId="1DB14595" w14:textId="3A74389D" w:rsidR="00316092" w:rsidRPr="00F9089F" w:rsidRDefault="00316092" w:rsidP="00F9089F">
      <w:pPr>
        <w:pStyle w:val="JuQuot"/>
      </w:pPr>
      <w:r>
        <w:t>„W pewnych okolicznościach Trybunał orzekł</w:t>
      </w:r>
      <w:r w:rsidR="003764C6" w:rsidRPr="003764C6">
        <w:t xml:space="preserve"> </w:t>
      </w:r>
      <w:r w:rsidR="003764C6">
        <w:t>jednak</w:t>
      </w:r>
      <w:r>
        <w:t>, że podobny obowiązek zapewnieni</w:t>
      </w:r>
      <w:r w:rsidR="003764C6">
        <w:t>a</w:t>
      </w:r>
      <w:r>
        <w:t xml:space="preserve"> ochrony przed rzeczywistym i </w:t>
      </w:r>
      <w:r w:rsidR="00DA27CF">
        <w:t>bezpośrednim</w:t>
      </w:r>
      <w:r>
        <w:t xml:space="preserve"> ryzykiem </w:t>
      </w:r>
      <w:r w:rsidR="00DA27CF">
        <w:t xml:space="preserve">popełnienia </w:t>
      </w:r>
      <w:r>
        <w:t>czynów zabronionych</w:t>
      </w:r>
      <w:r w:rsidR="00DA27CF">
        <w:t xml:space="preserve"> przez daną osobę</w:t>
      </w:r>
      <w:r>
        <w:t xml:space="preserve">, może powstać w stosunku do członków społeczeństwa, którzy nie są z góry zidentyfikowani, mianowicie w </w:t>
      </w:r>
      <w:r>
        <w:rPr>
          <w:b/>
          <w:bCs/>
        </w:rPr>
        <w:t xml:space="preserve">kontekście tymczasowego zwolnienia z zakładu karnego lub warunkowego zwolnienia niebezpiecznych osadzonych </w:t>
      </w:r>
      <w:r>
        <w:t>(zob. </w:t>
      </w:r>
      <w:proofErr w:type="spellStart"/>
      <w:r>
        <w:rPr>
          <w:i/>
          <w:iCs/>
        </w:rPr>
        <w:t>Mastromatteo</w:t>
      </w:r>
      <w:proofErr w:type="spellEnd"/>
      <w:r>
        <w:rPr>
          <w:i/>
          <w:iCs/>
        </w:rPr>
        <w:t xml:space="preserve"> p</w:t>
      </w:r>
      <w:r w:rsidR="00DA27CF">
        <w:rPr>
          <w:i/>
          <w:iCs/>
        </w:rPr>
        <w:t>.</w:t>
      </w:r>
      <w:r>
        <w:rPr>
          <w:i/>
          <w:iCs/>
        </w:rPr>
        <w:t xml:space="preserve"> Włochom</w:t>
      </w:r>
      <w:r>
        <w:t xml:space="preserve"> [WI], skarga nr 37703/97, § 69, ETPC 2002‑VIII</w:t>
      </w:r>
      <w:r w:rsidR="00DA27CF">
        <w:t>,</w:t>
      </w:r>
      <w:r>
        <w:t xml:space="preserve"> </w:t>
      </w:r>
      <w:proofErr w:type="spellStart"/>
      <w:r>
        <w:rPr>
          <w:i/>
          <w:iCs/>
        </w:rPr>
        <w:t>Maiorano</w:t>
      </w:r>
      <w:proofErr w:type="spellEnd"/>
      <w:r>
        <w:rPr>
          <w:i/>
          <w:iCs/>
        </w:rPr>
        <w:t xml:space="preserve"> i Inni p</w:t>
      </w:r>
      <w:r w:rsidR="00DA27CF">
        <w:rPr>
          <w:i/>
          <w:iCs/>
        </w:rPr>
        <w:t>.</w:t>
      </w:r>
      <w:r>
        <w:rPr>
          <w:i/>
          <w:iCs/>
        </w:rPr>
        <w:t xml:space="preserve"> Włochom</w:t>
      </w:r>
      <w:r>
        <w:t xml:space="preserve">, skarga nr 28634/06, § 107, 15 grudnia 2009 r. oraz </w:t>
      </w:r>
      <w:proofErr w:type="spellStart"/>
      <w:r>
        <w:rPr>
          <w:i/>
          <w:iCs/>
        </w:rPr>
        <w:t>Choreftakis</w:t>
      </w:r>
      <w:proofErr w:type="spellEnd"/>
      <w:r>
        <w:rPr>
          <w:i/>
          <w:iCs/>
        </w:rPr>
        <w:t xml:space="preserve"> i </w:t>
      </w:r>
      <w:proofErr w:type="spellStart"/>
      <w:r>
        <w:rPr>
          <w:i/>
          <w:iCs/>
        </w:rPr>
        <w:t>Choreftaki</w:t>
      </w:r>
      <w:proofErr w:type="spellEnd"/>
      <w:r>
        <w:rPr>
          <w:i/>
          <w:iCs/>
        </w:rPr>
        <w:t xml:space="preserve"> p</w:t>
      </w:r>
      <w:r w:rsidR="00DA27CF">
        <w:rPr>
          <w:i/>
          <w:iCs/>
        </w:rPr>
        <w:t>.</w:t>
      </w:r>
      <w:r>
        <w:rPr>
          <w:i/>
          <w:iCs/>
        </w:rPr>
        <w:t xml:space="preserve"> Grecji</w:t>
      </w:r>
      <w:r>
        <w:t>, skarga nr 46846/08, § 48–49, 17 stycznia 2012 r.).</w:t>
      </w:r>
    </w:p>
    <w:p w14:paraId="34C729B0" w14:textId="34D1F1EE" w:rsidR="00316092" w:rsidRPr="00F9089F" w:rsidRDefault="00316092" w:rsidP="00F9089F">
      <w:pPr>
        <w:pStyle w:val="JuQuot"/>
      </w:pPr>
      <w:r>
        <w:t xml:space="preserve">71. […] W </w:t>
      </w:r>
      <w:r w:rsidR="00DA27CF">
        <w:t xml:space="preserve">tym ostatnim </w:t>
      </w:r>
      <w:r>
        <w:t xml:space="preserve">kontekście Trybunał podkreślił, że na władzach </w:t>
      </w:r>
      <w:r w:rsidR="00650570">
        <w:t>p</w:t>
      </w:r>
      <w:r>
        <w:t xml:space="preserve">aństwa </w:t>
      </w:r>
      <w:r w:rsidR="00DA27CF">
        <w:t xml:space="preserve">spoczywa </w:t>
      </w:r>
      <w:r>
        <w:t xml:space="preserve">obowiązek staranności w reagowaniu na niebezpieczeństwo wynikające </w:t>
      </w:r>
      <w:r w:rsidR="00DA27CF">
        <w:br/>
      </w:r>
      <w:r>
        <w:t xml:space="preserve">z potencjalnych </w:t>
      </w:r>
      <w:r w:rsidR="00DA27CF">
        <w:t xml:space="preserve">działań </w:t>
      </w:r>
      <w:r>
        <w:t xml:space="preserve">określonych osób </w:t>
      </w:r>
      <w:r>
        <w:rPr>
          <w:b/>
          <w:bCs/>
        </w:rPr>
        <w:t xml:space="preserve">będących pod jego </w:t>
      </w:r>
      <w:r w:rsidR="00124A44">
        <w:rPr>
          <w:b/>
          <w:bCs/>
        </w:rPr>
        <w:t>opieką</w:t>
      </w:r>
      <w:r>
        <w:t xml:space="preserve">, </w:t>
      </w:r>
      <w:r w:rsidR="00124A44">
        <w:t>w celu</w:t>
      </w:r>
      <w:r>
        <w:t xml:space="preserve"> zapewnieni</w:t>
      </w:r>
      <w:r w:rsidR="00124A44">
        <w:t>a</w:t>
      </w:r>
      <w:r>
        <w:t xml:space="preserve"> ogólnej ochrony prawa do życia (zob. </w:t>
      </w:r>
      <w:proofErr w:type="spellStart"/>
      <w:r>
        <w:rPr>
          <w:i/>
          <w:iCs/>
        </w:rPr>
        <w:t>Mastromatteo</w:t>
      </w:r>
      <w:proofErr w:type="spellEnd"/>
      <w:r>
        <w:t>, cyt. pow</w:t>
      </w:r>
      <w:r w:rsidR="00124A44">
        <w:t>.</w:t>
      </w:r>
      <w:r>
        <w:t xml:space="preserve">, § 74, </w:t>
      </w:r>
      <w:r w:rsidR="00124A44">
        <w:br/>
      </w:r>
      <w:r>
        <w:t xml:space="preserve">a także </w:t>
      </w:r>
      <w:proofErr w:type="spellStart"/>
      <w:r>
        <w:rPr>
          <w:i/>
          <w:iCs/>
        </w:rPr>
        <w:t>Maiorano</w:t>
      </w:r>
      <w:proofErr w:type="spellEnd"/>
      <w:r>
        <w:rPr>
          <w:i/>
          <w:iCs/>
        </w:rPr>
        <w:t xml:space="preserve"> i Inni</w:t>
      </w:r>
      <w:r>
        <w:t>, cyt. pow</w:t>
      </w:r>
      <w:r w:rsidR="00124A44">
        <w:t>.</w:t>
      </w:r>
      <w:r>
        <w:t xml:space="preserve">, § 121). Podobnie w sprawie dotyczącej funkcjonariusza policji, który umyślnie postrzelił dwie osoby z </w:t>
      </w:r>
      <w:r w:rsidR="00124A44">
        <w:t xml:space="preserve">jego </w:t>
      </w:r>
      <w:r>
        <w:t xml:space="preserve">broni służbowej, nie będąc na służbie, Trybunał </w:t>
      </w:r>
      <w:r w:rsidR="00124A44">
        <w:t>stwierdził</w:t>
      </w:r>
      <w:r>
        <w:t xml:space="preserve"> naruszenia art. 2 na tej podstawie, że funkcjonariusz</w:t>
      </w:r>
      <w:r w:rsidR="00124A44">
        <w:t>owi wydano</w:t>
      </w:r>
      <w:r>
        <w:t xml:space="preserve"> broń z naruszeniem </w:t>
      </w:r>
      <w:r w:rsidR="00124A44">
        <w:t xml:space="preserve">obowiązujących przepisów </w:t>
      </w:r>
      <w:r>
        <w:t xml:space="preserve">krajowych regulujących dostęp do broni służbowej i nie </w:t>
      </w:r>
      <w:r w:rsidR="00124A44">
        <w:t xml:space="preserve">dokonano </w:t>
      </w:r>
      <w:r>
        <w:t>prawidłow</w:t>
      </w:r>
      <w:r w:rsidR="00124A44">
        <w:t>ej</w:t>
      </w:r>
      <w:r>
        <w:t xml:space="preserve"> oceny jego osobowości w świetle </w:t>
      </w:r>
      <w:r w:rsidR="00124A44">
        <w:t xml:space="preserve">jego </w:t>
      </w:r>
      <w:r>
        <w:t xml:space="preserve">udokumentowanej przeszłości w zakresie </w:t>
      </w:r>
      <w:r w:rsidR="00124A44">
        <w:t xml:space="preserve">wcześniejszych </w:t>
      </w:r>
      <w:r>
        <w:t>przewinień dyscyplinarnych (zob. </w:t>
      </w:r>
      <w:proofErr w:type="spellStart"/>
      <w:r>
        <w:rPr>
          <w:i/>
          <w:iCs/>
        </w:rPr>
        <w:t>Gorovenko</w:t>
      </w:r>
      <w:proofErr w:type="spellEnd"/>
      <w:r>
        <w:rPr>
          <w:i/>
          <w:iCs/>
        </w:rPr>
        <w:t xml:space="preserve"> i </w:t>
      </w:r>
      <w:proofErr w:type="spellStart"/>
      <w:r>
        <w:rPr>
          <w:i/>
          <w:iCs/>
        </w:rPr>
        <w:t>Bugara</w:t>
      </w:r>
      <w:proofErr w:type="spellEnd"/>
      <w:r>
        <w:rPr>
          <w:i/>
          <w:iCs/>
        </w:rPr>
        <w:t xml:space="preserve"> p</w:t>
      </w:r>
      <w:r w:rsidR="00124A44">
        <w:rPr>
          <w:i/>
          <w:iCs/>
        </w:rPr>
        <w:t>.</w:t>
      </w:r>
      <w:r>
        <w:rPr>
          <w:i/>
          <w:iCs/>
        </w:rPr>
        <w:t xml:space="preserve"> Ukrainie</w:t>
      </w:r>
      <w:r>
        <w:t>, skargi nr 36146/05 i 42418/05, § 39, 12 stycznia 2012 r.).</w:t>
      </w:r>
    </w:p>
    <w:p w14:paraId="5797267E" w14:textId="5639FCF2" w:rsidR="00316092" w:rsidRPr="00F9089F" w:rsidRDefault="00316092" w:rsidP="00F9089F">
      <w:pPr>
        <w:pStyle w:val="JuQuot"/>
      </w:pPr>
      <w:r>
        <w:t>72. Trybunał orzekł również, że obowiązek zapewnienia ogólnej ochrony przed czynami o potencjalnie śmiertelnych skutkach ma zastosowanie w odniesieniu do zagrożenia pochodzącego od osoby, która w przeszłości dopuszczała się przemocy, bezprawnego posiadania broni i nadużywania alkoholu,</w:t>
      </w:r>
      <w:r w:rsidR="0056078C">
        <w:t xml:space="preserve"> która</w:t>
      </w:r>
      <w:r>
        <w:t xml:space="preserve"> miała najwyraźniej zaburzenia psychiczne i </w:t>
      </w:r>
      <w:r>
        <w:rPr>
          <w:b/>
          <w:bCs/>
        </w:rPr>
        <w:t xml:space="preserve">znajdowała się pod </w:t>
      </w:r>
      <w:r w:rsidR="0056078C">
        <w:rPr>
          <w:b/>
          <w:bCs/>
        </w:rPr>
        <w:t xml:space="preserve">kontrolą </w:t>
      </w:r>
      <w:r>
        <w:rPr>
          <w:b/>
          <w:bCs/>
        </w:rPr>
        <w:t xml:space="preserve">policji w dniu </w:t>
      </w:r>
      <w:r w:rsidR="0056078C">
        <w:rPr>
          <w:b/>
          <w:bCs/>
        </w:rPr>
        <w:t xml:space="preserve">popełnionego przez nią </w:t>
      </w:r>
      <w:r>
        <w:rPr>
          <w:b/>
          <w:bCs/>
        </w:rPr>
        <w:t>zabójstwa</w:t>
      </w:r>
      <w:r w:rsidR="0056078C">
        <w:t xml:space="preserve"> </w:t>
      </w:r>
      <w:r>
        <w:t>(zob. </w:t>
      </w:r>
      <w:proofErr w:type="spellStart"/>
      <w:r>
        <w:rPr>
          <w:i/>
          <w:iCs/>
        </w:rPr>
        <w:t>Bljakaj</w:t>
      </w:r>
      <w:proofErr w:type="spellEnd"/>
      <w:r>
        <w:rPr>
          <w:i/>
          <w:iCs/>
        </w:rPr>
        <w:t xml:space="preserve"> i Inni p</w:t>
      </w:r>
      <w:r w:rsidR="0056078C">
        <w:rPr>
          <w:i/>
          <w:iCs/>
        </w:rPr>
        <w:t>.</w:t>
      </w:r>
      <w:r>
        <w:rPr>
          <w:i/>
          <w:iCs/>
        </w:rPr>
        <w:t xml:space="preserve"> Chorwacji</w:t>
      </w:r>
      <w:r>
        <w:t xml:space="preserve">, skarga nr 74448/12, § 121, 18 września 2014 r.). W okolicznościach tej sprawy, która zaistniała w kontekście przemocy domowej i dotyczyła pozbawienia życia pełnomocnika żony sprawcy </w:t>
      </w:r>
      <w:r w:rsidR="0056078C">
        <w:br/>
      </w:r>
      <w:r>
        <w:t xml:space="preserve">w następstwie ataku na </w:t>
      </w:r>
      <w:r w:rsidR="0056078C">
        <w:t>nią</w:t>
      </w:r>
      <w:r>
        <w:t xml:space="preserve">, zagrożenie życia stwarzane przez sprawcę uznano </w:t>
      </w:r>
      <w:r w:rsidR="0056078C">
        <w:t>z</w:t>
      </w:r>
      <w:r>
        <w:t xml:space="preserve">a rzeczywiste i </w:t>
      </w:r>
      <w:proofErr w:type="spellStart"/>
      <w:r w:rsidR="0056078C">
        <w:t>bezposrednie</w:t>
      </w:r>
      <w:proofErr w:type="spellEnd"/>
      <w:r>
        <w:t xml:space="preserve">, chociaż pełnomocnika nie można było z wyprzedzeniem zidentyfikować jako ofiary. Co więcej, o istnieniu obowiązku staranności w wymiarze nadzoru </w:t>
      </w:r>
      <w:r>
        <w:rPr>
          <w:b/>
          <w:bCs/>
        </w:rPr>
        <w:t xml:space="preserve">w kontekście szkoły </w:t>
      </w:r>
      <w:r>
        <w:t xml:space="preserve">mowa była w wyroku </w:t>
      </w:r>
      <w:proofErr w:type="spellStart"/>
      <w:r>
        <w:rPr>
          <w:i/>
          <w:iCs/>
        </w:rPr>
        <w:t>Kayak</w:t>
      </w:r>
      <w:proofErr w:type="spellEnd"/>
      <w:r>
        <w:rPr>
          <w:i/>
          <w:iCs/>
        </w:rPr>
        <w:t xml:space="preserve"> p</w:t>
      </w:r>
      <w:r w:rsidR="0056078C">
        <w:rPr>
          <w:i/>
          <w:iCs/>
        </w:rPr>
        <w:t xml:space="preserve">. </w:t>
      </w:r>
      <w:r>
        <w:rPr>
          <w:i/>
          <w:iCs/>
        </w:rPr>
        <w:t>Turcji</w:t>
      </w:r>
      <w:r>
        <w:t xml:space="preserve"> (skarga nr 60444/08, § 59 i § 66, 10 lipca 2012 r.)”.</w:t>
      </w:r>
    </w:p>
    <w:p w14:paraId="5CAC9CA5" w14:textId="06C9689D" w:rsidR="00316092" w:rsidRPr="00F9089F" w:rsidRDefault="00316092" w:rsidP="00F9089F">
      <w:pPr>
        <w:pStyle w:val="JuPara"/>
      </w:pPr>
      <w:r>
        <w:t>We wszystkich tych sprawach albo sprawca, albo ofiary (zob. </w:t>
      </w:r>
      <w:proofErr w:type="spellStart"/>
      <w:r>
        <w:rPr>
          <w:i/>
          <w:iCs/>
        </w:rPr>
        <w:t>Kayak</w:t>
      </w:r>
      <w:proofErr w:type="spellEnd"/>
      <w:r>
        <w:rPr>
          <w:i/>
          <w:iCs/>
        </w:rPr>
        <w:t xml:space="preserve"> p</w:t>
      </w:r>
      <w:r w:rsidR="0056078C">
        <w:rPr>
          <w:i/>
          <w:iCs/>
        </w:rPr>
        <w:t>.</w:t>
      </w:r>
      <w:r>
        <w:rPr>
          <w:i/>
          <w:iCs/>
        </w:rPr>
        <w:t xml:space="preserve"> Turcji</w:t>
      </w:r>
      <w:r>
        <w:t xml:space="preserve">) znajdowały się </w:t>
      </w:r>
      <w:r>
        <w:rPr>
          <w:b/>
          <w:bCs/>
        </w:rPr>
        <w:t xml:space="preserve">pod </w:t>
      </w:r>
      <w:r w:rsidR="008A7C54">
        <w:rPr>
          <w:b/>
          <w:bCs/>
        </w:rPr>
        <w:t xml:space="preserve">opieką </w:t>
      </w:r>
      <w:r>
        <w:rPr>
          <w:b/>
          <w:bCs/>
        </w:rPr>
        <w:t>władz</w:t>
      </w:r>
      <w:r>
        <w:t xml:space="preserve">. </w:t>
      </w:r>
      <w:r w:rsidR="008A7C54">
        <w:t>Niniejsza sprawa</w:t>
      </w:r>
      <w:r>
        <w:t xml:space="preserve"> nie należy do kategorii wyjątków wymienionych powyżej. Ani D.</w:t>
      </w:r>
      <w:r w:rsidR="008A7C54">
        <w:t xml:space="preserve"> </w:t>
      </w:r>
      <w:r>
        <w:t xml:space="preserve">M., ani skarżący nie znajdowali się pod </w:t>
      </w:r>
      <w:r w:rsidR="008A7C54">
        <w:t xml:space="preserve">opieką </w:t>
      </w:r>
      <w:r>
        <w:t>władz.</w:t>
      </w:r>
    </w:p>
    <w:p w14:paraId="65023CDB" w14:textId="77BF00C9" w:rsidR="00316092" w:rsidRPr="00F9089F" w:rsidRDefault="00316092" w:rsidP="00F9089F">
      <w:pPr>
        <w:pStyle w:val="JuPara"/>
      </w:pPr>
      <w:r>
        <w:t xml:space="preserve">Warto również przypomnieć, że w sprawie </w:t>
      </w:r>
      <w:proofErr w:type="spellStart"/>
      <w:r>
        <w:rPr>
          <w:i/>
          <w:iCs/>
        </w:rPr>
        <w:t>Marius</w:t>
      </w:r>
      <w:proofErr w:type="spellEnd"/>
      <w:r>
        <w:rPr>
          <w:i/>
          <w:iCs/>
        </w:rPr>
        <w:t xml:space="preserve"> </w:t>
      </w:r>
      <w:proofErr w:type="spellStart"/>
      <w:r>
        <w:rPr>
          <w:i/>
          <w:iCs/>
        </w:rPr>
        <w:t>Alexandru</w:t>
      </w:r>
      <w:proofErr w:type="spellEnd"/>
      <w:r>
        <w:rPr>
          <w:i/>
          <w:iCs/>
        </w:rPr>
        <w:t xml:space="preserve"> i </w:t>
      </w:r>
      <w:proofErr w:type="spellStart"/>
      <w:r>
        <w:rPr>
          <w:i/>
          <w:iCs/>
        </w:rPr>
        <w:t>Marinela</w:t>
      </w:r>
      <w:proofErr w:type="spellEnd"/>
      <w:r>
        <w:rPr>
          <w:i/>
          <w:iCs/>
        </w:rPr>
        <w:t xml:space="preserve"> </w:t>
      </w:r>
      <w:proofErr w:type="spellStart"/>
      <w:r>
        <w:rPr>
          <w:i/>
          <w:iCs/>
        </w:rPr>
        <w:t>Ștefan</w:t>
      </w:r>
      <w:proofErr w:type="spellEnd"/>
      <w:r>
        <w:rPr>
          <w:i/>
          <w:iCs/>
        </w:rPr>
        <w:t xml:space="preserve"> p</w:t>
      </w:r>
      <w:r w:rsidR="008A7C54">
        <w:rPr>
          <w:i/>
          <w:iCs/>
        </w:rPr>
        <w:t xml:space="preserve">. </w:t>
      </w:r>
      <w:r>
        <w:rPr>
          <w:i/>
          <w:iCs/>
        </w:rPr>
        <w:t xml:space="preserve">Rumunii </w:t>
      </w:r>
      <w:r>
        <w:t>(skarga nr 78643/11, 24 marca 2020 r.) Trybunał wypowiedział się następująco:</w:t>
      </w:r>
    </w:p>
    <w:p w14:paraId="21E59260" w14:textId="4972B510" w:rsidR="003650DF" w:rsidRPr="00F9089F" w:rsidRDefault="00316092" w:rsidP="00F9089F">
      <w:pPr>
        <w:pStyle w:val="JuQuot"/>
      </w:pPr>
      <w:r>
        <w:t>„105.</w:t>
      </w:r>
      <w:r w:rsidR="009C4069">
        <w:t xml:space="preserve"> </w:t>
      </w:r>
      <w:r>
        <w:t>Chociaż skarżący krytykują adekwatność środków zastosowanych przez właściwe organy publiczne w celu zapewnienia bezpieczeństwa na publiczn</w:t>
      </w:r>
      <w:r w:rsidR="008A7C54">
        <w:t>ej</w:t>
      </w:r>
      <w:r>
        <w:t xml:space="preserve"> </w:t>
      </w:r>
      <w:r w:rsidR="008A7C54">
        <w:lastRenderedPageBreak/>
        <w:t>autostradzie</w:t>
      </w:r>
      <w:r>
        <w:t xml:space="preserve">, Trybunał mimo wszystko przypomina, że jego zadaniem nie jest kwestionowanie środków </w:t>
      </w:r>
      <w:r w:rsidR="008A7C54">
        <w:t>za</w:t>
      </w:r>
      <w:r>
        <w:t>stosowanych przez władze krajowe, których dobór – co do zasady – wchodzi w zakres marginesu uznania przysługującego państwom (zob. </w:t>
      </w:r>
      <w:proofErr w:type="spellStart"/>
      <w:r>
        <w:rPr>
          <w:i/>
          <w:iCs/>
        </w:rPr>
        <w:t>Öneryıldız</w:t>
      </w:r>
      <w:proofErr w:type="spellEnd"/>
      <w:r>
        <w:t>, cyt. pow</w:t>
      </w:r>
      <w:r w:rsidR="008A7C54">
        <w:t>.</w:t>
      </w:r>
      <w:r>
        <w:t xml:space="preserve">, § 107, a także </w:t>
      </w:r>
      <w:proofErr w:type="spellStart"/>
      <w:r>
        <w:rPr>
          <w:i/>
          <w:iCs/>
        </w:rPr>
        <w:t>Fatih</w:t>
      </w:r>
      <w:proofErr w:type="spellEnd"/>
      <w:r>
        <w:rPr>
          <w:i/>
          <w:iCs/>
        </w:rPr>
        <w:t xml:space="preserve"> </w:t>
      </w:r>
      <w:proofErr w:type="spellStart"/>
      <w:r>
        <w:rPr>
          <w:i/>
          <w:iCs/>
        </w:rPr>
        <w:t>Çakır</w:t>
      </w:r>
      <w:proofErr w:type="spellEnd"/>
      <w:r>
        <w:rPr>
          <w:i/>
          <w:iCs/>
        </w:rPr>
        <w:t xml:space="preserve"> i </w:t>
      </w:r>
      <w:proofErr w:type="spellStart"/>
      <w:r>
        <w:rPr>
          <w:i/>
          <w:iCs/>
        </w:rPr>
        <w:t>Merve</w:t>
      </w:r>
      <w:proofErr w:type="spellEnd"/>
      <w:r>
        <w:rPr>
          <w:i/>
          <w:iCs/>
        </w:rPr>
        <w:t xml:space="preserve"> </w:t>
      </w:r>
      <w:proofErr w:type="spellStart"/>
      <w:r>
        <w:rPr>
          <w:i/>
          <w:iCs/>
        </w:rPr>
        <w:t>Nisa</w:t>
      </w:r>
      <w:proofErr w:type="spellEnd"/>
      <w:r>
        <w:rPr>
          <w:i/>
          <w:iCs/>
        </w:rPr>
        <w:t xml:space="preserve"> </w:t>
      </w:r>
      <w:proofErr w:type="spellStart"/>
      <w:r>
        <w:rPr>
          <w:i/>
          <w:iCs/>
        </w:rPr>
        <w:t>Çakır</w:t>
      </w:r>
      <w:proofErr w:type="spellEnd"/>
      <w:r>
        <w:rPr>
          <w:i/>
          <w:iCs/>
        </w:rPr>
        <w:t xml:space="preserve"> </w:t>
      </w:r>
      <w:proofErr w:type="spellStart"/>
      <w:r>
        <w:rPr>
          <w:i/>
          <w:iCs/>
        </w:rPr>
        <w:t>p</w:t>
      </w:r>
      <w:r w:rsidR="008A7C54">
        <w:rPr>
          <w:i/>
          <w:iCs/>
        </w:rPr>
        <w:t>.</w:t>
      </w:r>
      <w:r>
        <w:rPr>
          <w:i/>
          <w:iCs/>
        </w:rPr>
        <w:t>Turcji</w:t>
      </w:r>
      <w:proofErr w:type="spellEnd"/>
      <w:r>
        <w:rPr>
          <w:i/>
          <w:iCs/>
        </w:rPr>
        <w:t xml:space="preserve">, </w:t>
      </w:r>
      <w:r>
        <w:t xml:space="preserve">skarga nr 54558/11, § 45 i § 47, 5 czerwca 2018 r.). Trybunał uważa, że w </w:t>
      </w:r>
      <w:r w:rsidR="008A7C54">
        <w:t xml:space="preserve">niniejszej </w:t>
      </w:r>
      <w:r>
        <w:t>sprawie to do władz krajowych należ</w:t>
      </w:r>
      <w:r w:rsidR="008A7C54">
        <w:t>ało</w:t>
      </w:r>
      <w:r>
        <w:t xml:space="preserve"> ustalenie odpowiednich środków i określenie koniecznych kontroli przydrożnych drzew w celu zapewnienia bezpieczeństwa osób na publiczn</w:t>
      </w:r>
      <w:r w:rsidR="00F40B58">
        <w:t>ej autostradzie</w:t>
      </w:r>
      <w:r>
        <w:t>”</w:t>
      </w:r>
      <w:r w:rsidR="00F40B58">
        <w:t xml:space="preserve"> [tłumaczenie Kancelarii].</w:t>
      </w:r>
    </w:p>
    <w:p w14:paraId="7F2D272A" w14:textId="043519EE" w:rsidR="00316092" w:rsidRPr="00F9089F" w:rsidRDefault="00316092" w:rsidP="00F9089F">
      <w:pPr>
        <w:pStyle w:val="JuPara"/>
      </w:pPr>
      <w:r>
        <w:t>10.</w:t>
      </w:r>
      <w:r w:rsidR="009C4069">
        <w:t xml:space="preserve"> </w:t>
      </w:r>
      <w:r>
        <w:t xml:space="preserve">W wyroku wydanym w niniejszej sprawie przyjęto podejście, które </w:t>
      </w:r>
      <w:r w:rsidR="0096522F">
        <w:t>jest wyraźnie sprzeczne</w:t>
      </w:r>
      <w:r>
        <w:t xml:space="preserve"> i </w:t>
      </w:r>
      <w:r w:rsidR="0096522F">
        <w:t>w dorozumiany sposób wyłącza</w:t>
      </w:r>
      <w:r>
        <w:t xml:space="preserve"> wyrok Wielkiej Izby w sprawie </w:t>
      </w:r>
      <w:proofErr w:type="spellStart"/>
      <w:r>
        <w:rPr>
          <w:i/>
          <w:iCs/>
        </w:rPr>
        <w:t>Nicolae</w:t>
      </w:r>
      <w:proofErr w:type="spellEnd"/>
      <w:r>
        <w:rPr>
          <w:i/>
          <w:iCs/>
        </w:rPr>
        <w:t xml:space="preserve"> </w:t>
      </w:r>
      <w:proofErr w:type="spellStart"/>
      <w:r>
        <w:rPr>
          <w:i/>
          <w:iCs/>
        </w:rPr>
        <w:t>Virgiliu</w:t>
      </w:r>
      <w:proofErr w:type="spellEnd"/>
      <w:r>
        <w:rPr>
          <w:i/>
          <w:iCs/>
        </w:rPr>
        <w:t xml:space="preserve"> </w:t>
      </w:r>
      <w:proofErr w:type="spellStart"/>
      <w:r>
        <w:rPr>
          <w:i/>
          <w:iCs/>
        </w:rPr>
        <w:t>Tănase</w:t>
      </w:r>
      <w:proofErr w:type="spellEnd"/>
      <w:r>
        <w:t xml:space="preserve"> (cyt. pow</w:t>
      </w:r>
      <w:r w:rsidR="0096522F">
        <w:t>.</w:t>
      </w:r>
      <w:r>
        <w:t>). Podejście przyjęte przez większość jest szczególnie problematyczne nie</w:t>
      </w:r>
      <w:r w:rsidR="0096522F">
        <w:t xml:space="preserve"> tylko</w:t>
      </w:r>
      <w:r>
        <w:t xml:space="preserve"> dlatego, że rozszerza zakres obowiązk</w:t>
      </w:r>
      <w:r w:rsidR="0096522F">
        <w:t>ów</w:t>
      </w:r>
      <w:r>
        <w:t xml:space="preserve"> pozytywn</w:t>
      </w:r>
      <w:r w:rsidR="0096522F">
        <w:t>ych</w:t>
      </w:r>
      <w:r>
        <w:t xml:space="preserve">, ale również dlatego, że tak na nowo określone obowiązki </w:t>
      </w:r>
      <w:r w:rsidR="009D0D54">
        <w:t>pociągają za sobą</w:t>
      </w:r>
      <w:r>
        <w:t xml:space="preserve"> nałożenie prewencyjnych ograniczeń praw wynikających z Konwencji w stosunku do indywidualnie zidentyfikowanych osób uznanych za stwarzające zagrożenie dla ogółu społeczeństwa.</w:t>
      </w:r>
    </w:p>
    <w:p w14:paraId="0244829A" w14:textId="15DE2470" w:rsidR="00316092" w:rsidRPr="00F9089F" w:rsidRDefault="00316092" w:rsidP="00F9089F">
      <w:pPr>
        <w:pStyle w:val="JuPara"/>
      </w:pPr>
      <w:r>
        <w:t xml:space="preserve">W niniejszej sprawie </w:t>
      </w:r>
      <w:r w:rsidR="009D0D54">
        <w:t>podstawowym założeniem jest</w:t>
      </w:r>
      <w:r>
        <w:t xml:space="preserve">, że władze muszą zastosować indywidualne środki zapobiegawcze, jeżeli posiadają lub powinny były posiadać w czasie istotnym dla sprawy wiedzę o istnieniu </w:t>
      </w:r>
      <w:r w:rsidR="009D0D54">
        <w:t xml:space="preserve">pewnego </w:t>
      </w:r>
      <w:r>
        <w:t xml:space="preserve">poziomu zagrożenia dla życia lub zdrowia niezidentyfikowanych osób (niebędących pod </w:t>
      </w:r>
      <w:r w:rsidR="009D0D54">
        <w:t xml:space="preserve">nadzorem </w:t>
      </w:r>
      <w:r>
        <w:t xml:space="preserve">władz) stwarzanego przez osoby, które również nie są pod </w:t>
      </w:r>
      <w:r w:rsidR="009D0D54">
        <w:t xml:space="preserve">nadzorem </w:t>
      </w:r>
      <w:r>
        <w:t>władz. Co więcej, zgodnie z tym nowym podejściem</w:t>
      </w:r>
      <w:r w:rsidR="009D0D54">
        <w:t>,</w:t>
      </w:r>
      <w:r>
        <w:t xml:space="preserve"> możliwe jest domaganie się przez jednostki ochrony w formie środków prewencyjnych stosowanych wobec innej indywidualnie zidentyfikowanej osoby (niebędącej pod </w:t>
      </w:r>
      <w:r w:rsidR="009D0D54">
        <w:t xml:space="preserve">nadzorem </w:t>
      </w:r>
      <w:r>
        <w:t>władz)</w:t>
      </w:r>
      <w:r w:rsidR="009D0D54">
        <w:t>,</w:t>
      </w:r>
      <w:r>
        <w:t xml:space="preserve"> stwarzającej </w:t>
      </w:r>
      <w:r w:rsidR="009D0D54">
        <w:t xml:space="preserve">takie </w:t>
      </w:r>
      <w:r>
        <w:t xml:space="preserve">zagrożenie dla życia lub zdrowia niezidentyfikowanych osób (również niebędących pod </w:t>
      </w:r>
      <w:r w:rsidR="009D0D54">
        <w:t xml:space="preserve">nadzorem </w:t>
      </w:r>
      <w:r>
        <w:t xml:space="preserve">władz). Oznacza to gruntowną zmianę paradygmatu, która – o ile zostanie potwierdzona w przyszłym orzecznictwie zmierzającym w tym samym kierunku – spowoduje przekształcenie funkcjonowania europejskich społeczeństw. W mojej ocenie nie ma podstaw, aby w kontekście </w:t>
      </w:r>
      <w:r w:rsidR="007432D1">
        <w:t xml:space="preserve">niniejszej </w:t>
      </w:r>
      <w:r>
        <w:t>sprawy wywodzić z Konwencji obowiązek nałożenia prewencyjnych ograniczeń praw D.</w:t>
      </w:r>
      <w:r w:rsidR="007432D1">
        <w:t xml:space="preserve"> </w:t>
      </w:r>
      <w:r>
        <w:t>M.</w:t>
      </w:r>
    </w:p>
    <w:p w14:paraId="195309AA" w14:textId="6B2BFAB1" w:rsidR="00316092" w:rsidRPr="00F9089F" w:rsidRDefault="00316092" w:rsidP="00F9089F">
      <w:pPr>
        <w:pStyle w:val="JuPara"/>
      </w:pPr>
      <w:r>
        <w:t>11.</w:t>
      </w:r>
      <w:r w:rsidR="009C4069">
        <w:t xml:space="preserve"> </w:t>
      </w:r>
      <w:r>
        <w:t xml:space="preserve">Bezpieczeństwo drogowe jest dużo bardziej złożonym problemem niż </w:t>
      </w:r>
      <w:r w:rsidR="007432D1">
        <w:t>sugeruje to niniejszy wyrok</w:t>
      </w:r>
      <w:r>
        <w:t xml:space="preserve">. Zależy ono nie tylko od istnienia </w:t>
      </w:r>
      <w:r w:rsidR="007432D1">
        <w:br/>
      </w:r>
      <w:r>
        <w:t xml:space="preserve">i </w:t>
      </w:r>
      <w:r w:rsidR="007432D1">
        <w:t xml:space="preserve">egzekwowania </w:t>
      </w:r>
      <w:r>
        <w:t xml:space="preserve">ram prawnych i administracyjnych służących zapewnieniu skutecznego </w:t>
      </w:r>
      <w:r w:rsidR="007432D1">
        <w:t xml:space="preserve">odstraszania od </w:t>
      </w:r>
      <w:r>
        <w:t xml:space="preserve">stwarzania zagrożenia dla prawa do życia, ale również od łącznego wpływu wielu innych czynników, takich jak szkolenie </w:t>
      </w:r>
      <w:r w:rsidR="0015538D">
        <w:t>przyszłych</w:t>
      </w:r>
      <w:r>
        <w:t xml:space="preserve"> kierowców, wielkość, wiek i stan floty pojazdów, </w:t>
      </w:r>
      <w:r w:rsidR="0015538D">
        <w:t xml:space="preserve">natężenie  </w:t>
      </w:r>
      <w:r>
        <w:t xml:space="preserve">ruchu, jakość </w:t>
      </w:r>
      <w:r w:rsidR="0015538D">
        <w:t xml:space="preserve">i utrzymanie </w:t>
      </w:r>
      <w:r>
        <w:t xml:space="preserve">dróg </w:t>
      </w:r>
      <w:r w:rsidR="0015538D">
        <w:t xml:space="preserve">oraz </w:t>
      </w:r>
      <w:r>
        <w:t xml:space="preserve">sposób ich planowania i budowania, organizacja ruchu drogowego, zasady odpowiedzialności cywilnej, zasady </w:t>
      </w:r>
      <w:r w:rsidR="0015538D">
        <w:t xml:space="preserve">dotyczące </w:t>
      </w:r>
      <w:r>
        <w:t>ubezpieczeni</w:t>
      </w:r>
      <w:r w:rsidR="0015538D">
        <w:t>a</w:t>
      </w:r>
      <w:r>
        <w:t xml:space="preserve"> pojazdów, interakcje między </w:t>
      </w:r>
      <w:r w:rsidR="0015538D">
        <w:t>ruchem drogowym</w:t>
      </w:r>
      <w:r w:rsidR="0015538D">
        <w:br/>
      </w:r>
      <w:r>
        <w:t xml:space="preserve">a alternatywnymi środkami transportu, jak również </w:t>
      </w:r>
      <w:r w:rsidR="0015538D">
        <w:t>kultura narodowa z jej postawą</w:t>
      </w:r>
      <w:r>
        <w:t xml:space="preserve"> wobec prawa ogółem, a w szczególności przepisów o ruchu drogowym.</w:t>
      </w:r>
    </w:p>
    <w:p w14:paraId="21A68FAF" w14:textId="712EA810" w:rsidR="00316092" w:rsidRPr="00F9089F" w:rsidRDefault="00316092" w:rsidP="00F9089F">
      <w:pPr>
        <w:pStyle w:val="JuPara"/>
      </w:pPr>
      <w:r>
        <w:lastRenderedPageBreak/>
        <w:t>Głównym problemem nie jest konkretne zagrożenie spowodowane przez jedną konkretną osobę (D.</w:t>
      </w:r>
      <w:r w:rsidR="00911D36">
        <w:t xml:space="preserve"> </w:t>
      </w:r>
      <w:r>
        <w:t xml:space="preserve">M.), ale możliwe ogólne zagrożenie wynikające z ogólnej </w:t>
      </w:r>
      <w:r w:rsidR="00911D36">
        <w:t xml:space="preserve">podejścia </w:t>
      </w:r>
      <w:r>
        <w:t xml:space="preserve">władz </w:t>
      </w:r>
      <w:r w:rsidR="00911D36">
        <w:t xml:space="preserve">do </w:t>
      </w:r>
      <w:r>
        <w:t xml:space="preserve">przestępstw w ruchu drogowym. </w:t>
      </w:r>
      <w:r w:rsidR="00911D36">
        <w:t xml:space="preserve">Uniemożliwienie prowadzenia pojazdu tylko </w:t>
      </w:r>
      <w:r>
        <w:t xml:space="preserve">jednej osobie nie </w:t>
      </w:r>
      <w:r w:rsidR="00911D36">
        <w:t>wpłynie znacząco na poprawę b</w:t>
      </w:r>
      <w:r>
        <w:t xml:space="preserve">ezpieczeństwa na drogach. Te ogólne zagadnienia nie były jednak przedmiotem dyskusji ani analizy, a wobec braku </w:t>
      </w:r>
      <w:r w:rsidR="00911D36">
        <w:t xml:space="preserve">jakichkolwiek </w:t>
      </w:r>
      <w:r>
        <w:t>materiałów w aktach sprawy nie ma podstaw, by zajmować jakiekolwiek stanowisko w tych kwestiach.</w:t>
      </w:r>
    </w:p>
    <w:p w14:paraId="0DE2FDA6" w14:textId="5ECFB414" w:rsidR="00316092" w:rsidRPr="00F9089F" w:rsidRDefault="00316092" w:rsidP="00F9089F">
      <w:pPr>
        <w:pStyle w:val="JuPara"/>
      </w:pPr>
      <w:r>
        <w:t>12.</w:t>
      </w:r>
      <w:r w:rsidR="009C4069">
        <w:t xml:space="preserve"> </w:t>
      </w:r>
      <w:r w:rsidR="00911D36">
        <w:t>Co do</w:t>
      </w:r>
      <w:r>
        <w:t xml:space="preserve"> tzw. aspektu proceduralnego art. 2 pragnę pokrótce zwrócić uwagę na następujące zagadnienia.</w:t>
      </w:r>
    </w:p>
    <w:p w14:paraId="5829914F" w14:textId="4887B2FE" w:rsidR="003650DF" w:rsidRPr="00F9089F" w:rsidRDefault="00316092" w:rsidP="00F9089F">
      <w:pPr>
        <w:pStyle w:val="JuPara"/>
      </w:pPr>
      <w:r>
        <w:t xml:space="preserve">W wyroku Wielkiej Izby w sprawie </w:t>
      </w:r>
      <w:proofErr w:type="spellStart"/>
      <w:r>
        <w:rPr>
          <w:i/>
          <w:iCs/>
        </w:rPr>
        <w:t>Nicolae</w:t>
      </w:r>
      <w:proofErr w:type="spellEnd"/>
      <w:r>
        <w:rPr>
          <w:i/>
          <w:iCs/>
        </w:rPr>
        <w:t xml:space="preserve"> </w:t>
      </w:r>
      <w:proofErr w:type="spellStart"/>
      <w:r>
        <w:rPr>
          <w:i/>
          <w:iCs/>
        </w:rPr>
        <w:t>Virgiliu</w:t>
      </w:r>
      <w:proofErr w:type="spellEnd"/>
      <w:r>
        <w:rPr>
          <w:i/>
          <w:iCs/>
        </w:rPr>
        <w:t xml:space="preserve"> </w:t>
      </w:r>
      <w:proofErr w:type="spellStart"/>
      <w:r>
        <w:rPr>
          <w:i/>
          <w:iCs/>
        </w:rPr>
        <w:t>Tănase</w:t>
      </w:r>
      <w:proofErr w:type="spellEnd"/>
      <w:r>
        <w:t xml:space="preserve"> (cyt. pow</w:t>
      </w:r>
      <w:r w:rsidR="00911D36">
        <w:t>.</w:t>
      </w:r>
      <w:r>
        <w:t xml:space="preserve">, </w:t>
      </w:r>
      <w:r w:rsidR="00911D36">
        <w:br/>
      </w:r>
      <w:r>
        <w:t>§</w:t>
      </w:r>
      <w:r w:rsidR="00911D36">
        <w:t xml:space="preserve"> </w:t>
      </w:r>
      <w:r>
        <w:t xml:space="preserve">159–163) </w:t>
      </w:r>
      <w:r w:rsidR="00911D36">
        <w:t xml:space="preserve">określono </w:t>
      </w:r>
      <w:r>
        <w:t>następując</w:t>
      </w:r>
      <w:r w:rsidR="00911D36">
        <w:t>y standard</w:t>
      </w:r>
      <w:r>
        <w:t>:</w:t>
      </w:r>
    </w:p>
    <w:p w14:paraId="4DB872E4" w14:textId="2642FD01" w:rsidR="00316092" w:rsidRPr="00F9089F" w:rsidRDefault="00316092" w:rsidP="00F9089F">
      <w:pPr>
        <w:pStyle w:val="JuQuot"/>
      </w:pPr>
      <w:r>
        <w:t>(ii)</w:t>
      </w:r>
      <w:r w:rsidR="009C4069">
        <w:t xml:space="preserve"> </w:t>
      </w:r>
      <w:r w:rsidR="00911D36">
        <w:t xml:space="preserve">W sprawach </w:t>
      </w:r>
      <w:r w:rsidR="006D6B7B">
        <w:t>dotyczących</w:t>
      </w:r>
      <w:r>
        <w:t xml:space="preserve"> nieumyślnego spowodowania śmierci</w:t>
      </w:r>
      <w:r w:rsidR="006D6B7B">
        <w:t xml:space="preserve"> i/</w:t>
      </w:r>
      <w:r>
        <w:t xml:space="preserve">lub nieumyślnego zagrożenia życia Trybunał przypomina, że wymóg ustanowienia skutecznego systemu wymiaru sprawiedliwości będzie spełniony, jeżeli system prawny </w:t>
      </w:r>
      <w:r w:rsidR="006D6B7B">
        <w:t>zapewni ofiarom</w:t>
      </w:r>
      <w:r>
        <w:t xml:space="preserve"> (lub ich osobom bliskim) środ</w:t>
      </w:r>
      <w:r w:rsidR="006D6B7B">
        <w:t xml:space="preserve">ek prawny </w:t>
      </w:r>
      <w:r>
        <w:t>przed sądem cywilnym, umożliwiając</w:t>
      </w:r>
      <w:r w:rsidR="006D6B7B">
        <w:t>y</w:t>
      </w:r>
      <w:r>
        <w:t xml:space="preserve"> – bądź samodzielnie bądź w połączeniu ze środkiem karnym – ustalenie odpowiedzialności i uzyskanie odpowiedniego zadośćuczynienia</w:t>
      </w:r>
      <w:r w:rsidR="006D6B7B">
        <w:t xml:space="preserve"> cywilnego</w:t>
      </w:r>
      <w:r>
        <w:t xml:space="preserve"> […]</w:t>
      </w:r>
    </w:p>
    <w:p w14:paraId="381C83F3" w14:textId="77777777" w:rsidR="00316092" w:rsidRPr="00F9089F" w:rsidRDefault="00316092" w:rsidP="00F9089F">
      <w:pPr>
        <w:pStyle w:val="JuQuot"/>
      </w:pPr>
      <w:r>
        <w:t>Trybunał uważa, że po ustaleniu na wstępnym etapie postępowania przygotowawczego, że śmierć lub obrażenia zagrażające życiu nie zostały spowodowane umyślnie, logicznym następstwem dwóch form podejścia proceduralnego, opisanych w par. 159 i 160–161 powyżej, jest uznanie za wystarczający środka cywilnego, niezależnie od tego, czy osoba uznana za odpowiedzialną za incydent jest osoby prywatną, czy funkcjonariuszem państwowym”.</w:t>
      </w:r>
    </w:p>
    <w:p w14:paraId="38FEC311" w14:textId="4C6CC525" w:rsidR="003650DF" w:rsidRPr="00F9089F" w:rsidRDefault="003A6D28" w:rsidP="00F9089F">
      <w:pPr>
        <w:pStyle w:val="JuPara"/>
      </w:pPr>
      <w:r>
        <w:t>Taka sytuacja ma miejsce w niniejszej</w:t>
      </w:r>
      <w:r w:rsidR="00316092">
        <w:t xml:space="preserve"> sprawie: orzecznictwo Trybunału nie </w:t>
      </w:r>
      <w:r>
        <w:t>wymaga</w:t>
      </w:r>
      <w:r w:rsidR="00316092">
        <w:t xml:space="preserve"> stosowania sankcji karnych.</w:t>
      </w:r>
    </w:p>
    <w:p w14:paraId="208E2916" w14:textId="77777777" w:rsidR="003650DF" w:rsidRPr="00F9089F" w:rsidRDefault="00316092" w:rsidP="00F9089F">
      <w:pPr>
        <w:pStyle w:val="JuPara"/>
      </w:pPr>
      <w:r>
        <w:t>Zgadzam się z następującą opinią wyrażoną w par. 95 wyroku:</w:t>
      </w:r>
    </w:p>
    <w:p w14:paraId="08CAF688" w14:textId="55D67196" w:rsidR="00316092" w:rsidRPr="00F9089F" w:rsidRDefault="00316092" w:rsidP="00F9089F">
      <w:pPr>
        <w:pStyle w:val="JuQuot"/>
      </w:pPr>
      <w:r>
        <w:t>„</w:t>
      </w:r>
      <w:r w:rsidR="003A6D28">
        <w:t xml:space="preserve">Co więcej, Trybunał nie dostrzega żadnych uchybień w sposobie prowadzenia poszczególnych czynności po zdarzeniu ani w sposobie uczestnictwa skarżących </w:t>
      </w:r>
      <w:r w:rsidR="000735E0">
        <w:br/>
      </w:r>
      <w:r w:rsidR="003A6D28">
        <w:t>w postępowaniu, które mogłyby stanowić podstawę do zakwestionowania faktu dopełnienia przez władze krajowe obowiązku proceduralnego z art. 2. Należy też zauważyć, że podnoszony przez skarżących zarzut braku obiektywizmu niektórych sędziów jest bezpodstawny i nieuzasadniony</w:t>
      </w:r>
      <w:r>
        <w:t>”.</w:t>
      </w:r>
    </w:p>
    <w:p w14:paraId="6D606218" w14:textId="53FF8831" w:rsidR="00316092" w:rsidRPr="00F9089F" w:rsidRDefault="00316092" w:rsidP="00F9089F">
      <w:pPr>
        <w:pStyle w:val="JuPara"/>
      </w:pPr>
      <w:r>
        <w:t xml:space="preserve">Większość stwierdziła, że doszło do naruszenia art. 2 w jego aspekcie proceduralnym, skupiając się na surowości kary i jej wykonaniu. </w:t>
      </w:r>
      <w:r w:rsidR="003A6D28">
        <w:t>Zauważam w tym kontekście</w:t>
      </w:r>
      <w:r>
        <w:t xml:space="preserve">, że kara </w:t>
      </w:r>
      <w:r w:rsidR="003A6D28">
        <w:t>wymierzona</w:t>
      </w:r>
      <w:r>
        <w:t xml:space="preserve"> D.</w:t>
      </w:r>
      <w:r w:rsidR="003A6D28">
        <w:t xml:space="preserve"> </w:t>
      </w:r>
      <w:r>
        <w:t>M. nie sprawia wrażenia oczywi</w:t>
      </w:r>
      <w:r w:rsidR="003A6D28">
        <w:t>ście</w:t>
      </w:r>
      <w:r>
        <w:t xml:space="preserve"> nieproporcjonalnej. Roczne opóźnienie w wykonaniu wyroku nie stoi </w:t>
      </w:r>
      <w:r w:rsidR="003A6D28">
        <w:t xml:space="preserve">samo w sobie </w:t>
      </w:r>
      <w:r>
        <w:t xml:space="preserve">w sprzeczności z obowiązkiem proceduralnym </w:t>
      </w:r>
      <w:r w:rsidR="000735E0">
        <w:t xml:space="preserve">państwa </w:t>
      </w:r>
      <w:r w:rsidR="000735E0">
        <w:br/>
      </w:r>
      <w:r>
        <w:t>z art. 2 Konwencji</w:t>
      </w:r>
      <w:r w:rsidR="000735E0">
        <w:t>:</w:t>
      </w:r>
      <w:r>
        <w:t xml:space="preserve"> powodów tego opóźnienia nie ustalono (zob. przeciwnie </w:t>
      </w:r>
      <w:proofErr w:type="spellStart"/>
      <w:r>
        <w:rPr>
          <w:i/>
          <w:iCs/>
        </w:rPr>
        <w:t>Kitanovska</w:t>
      </w:r>
      <w:proofErr w:type="spellEnd"/>
      <w:r>
        <w:rPr>
          <w:i/>
          <w:iCs/>
        </w:rPr>
        <w:t xml:space="preserve"> </w:t>
      </w:r>
      <w:proofErr w:type="spellStart"/>
      <w:r>
        <w:rPr>
          <w:i/>
          <w:iCs/>
        </w:rPr>
        <w:t>Stanojkovic</w:t>
      </w:r>
      <w:proofErr w:type="spellEnd"/>
      <w:r>
        <w:rPr>
          <w:i/>
          <w:iCs/>
        </w:rPr>
        <w:t xml:space="preserve"> i Inni p</w:t>
      </w:r>
      <w:r w:rsidR="000735E0">
        <w:rPr>
          <w:i/>
          <w:iCs/>
        </w:rPr>
        <w:t xml:space="preserve">. </w:t>
      </w:r>
      <w:r>
        <w:rPr>
          <w:i/>
          <w:iCs/>
        </w:rPr>
        <w:t>byłej Jugosłowiańskiej Republice Macedonii</w:t>
      </w:r>
      <w:r>
        <w:t>, skarga nr 2319/14, § 30</w:t>
      </w:r>
      <w:r>
        <w:noBreakHyphen/>
        <w:t>34, 13 października 2016 r., dotyczący nieuzasadnionego opóźnienia o ponad osiemnaście miesięcy z winy leżącej wyłącznie po stronie władz).</w:t>
      </w:r>
    </w:p>
    <w:p w14:paraId="25A036BF" w14:textId="28AFA33E" w:rsidR="00316092" w:rsidRPr="00F9089F" w:rsidRDefault="00316092" w:rsidP="00F9089F">
      <w:pPr>
        <w:pStyle w:val="JuPara"/>
      </w:pPr>
      <w:r>
        <w:t>Większość wprowadza w par. 99 następujące zastrzeżenie: „</w:t>
      </w:r>
      <w:r w:rsidR="000735E0">
        <w:t>Nie zamierzając ingerować w dobór przez sądy krajowe środków karnych</w:t>
      </w:r>
      <w:r w:rsidR="000735E0" w:rsidRPr="00F9089F">
        <w:fldChar w:fldCharType="begin"/>
      </w:r>
      <w:r w:rsidR="000735E0" w:rsidRPr="00F9089F">
        <w:instrText xml:space="preserve"> </w:instrText>
      </w:r>
      <w:r w:rsidR="000735E0" w:rsidRPr="00F9089F">
        <w:fldChar w:fldCharType="begin"/>
      </w:r>
      <w:r w:rsidR="000735E0" w:rsidRPr="00F9089F">
        <w:instrText xml:space="preserve">  </w:instrText>
      </w:r>
      <w:r w:rsidR="000735E0" w:rsidRPr="00F9089F">
        <w:fldChar w:fldCharType="end"/>
      </w:r>
      <w:r w:rsidR="000735E0" w:rsidRPr="00F9089F">
        <w:instrText xml:space="preserve"> </w:instrText>
      </w:r>
      <w:r w:rsidR="000735E0" w:rsidRPr="00F9089F">
        <w:fldChar w:fldCharType="end"/>
      </w:r>
      <w:r w:rsidR="000735E0">
        <w:t xml:space="preserve"> </w:t>
      </w:r>
      <w:r w:rsidR="000735E0">
        <w:lastRenderedPageBreak/>
        <w:t>stosowanych wobec D. M. ani oceniać ich proporcjonalności względem popełnionego czynu</w:t>
      </w:r>
      <w:r w:rsidR="000735E0" w:rsidDel="000735E0">
        <w:t xml:space="preserve"> </w:t>
      </w:r>
      <w:r>
        <w:t>[…]”.</w:t>
      </w:r>
      <w:r>
        <w:rPr>
          <w:i/>
          <w:iCs/>
        </w:rPr>
        <w:t xml:space="preserve"> </w:t>
      </w:r>
      <w:r w:rsidR="003D52F5">
        <w:t>Jednak to właśnie robi wyrok</w:t>
      </w:r>
      <w:r>
        <w:t xml:space="preserve">: ingeruje </w:t>
      </w:r>
      <w:r w:rsidR="003D52F5">
        <w:br/>
      </w:r>
      <w:r>
        <w:t xml:space="preserve">w </w:t>
      </w:r>
      <w:r w:rsidR="003D52F5">
        <w:t xml:space="preserve">dokonany </w:t>
      </w:r>
      <w:r>
        <w:t>przez sądy krajowe wybór środków karnych zastosowanych wobec D.</w:t>
      </w:r>
      <w:r w:rsidR="003D52F5">
        <w:t xml:space="preserve"> </w:t>
      </w:r>
      <w:r>
        <w:t xml:space="preserve">M. i ocenia proporcjonalność tych środków </w:t>
      </w:r>
      <w:r w:rsidR="003D52F5">
        <w:t>względem</w:t>
      </w:r>
      <w:r>
        <w:t xml:space="preserve"> popełnionego czynu. Skutki te są zamierzone. </w:t>
      </w:r>
      <w:r w:rsidR="003D52F5">
        <w:t>W rezultacie</w:t>
      </w:r>
      <w:r>
        <w:t xml:space="preserve"> zasadnicz</w:t>
      </w:r>
      <w:r w:rsidR="003D52F5">
        <w:t>e</w:t>
      </w:r>
      <w:r>
        <w:t xml:space="preserve"> kwesti</w:t>
      </w:r>
      <w:r w:rsidR="003D52F5">
        <w:t>e</w:t>
      </w:r>
      <w:r>
        <w:t xml:space="preserve"> dotycząc</w:t>
      </w:r>
      <w:r w:rsidR="003D52F5">
        <w:t>e</w:t>
      </w:r>
      <w:r>
        <w:t xml:space="preserve"> odpowiedzialności karnej konkretnej osoby rozstrzyga</w:t>
      </w:r>
      <w:r w:rsidR="003D52F5">
        <w:t>ne są w</w:t>
      </w:r>
      <w:r>
        <w:t xml:space="preserve"> wyroku na podstawie </w:t>
      </w:r>
      <w:r w:rsidR="003D52F5">
        <w:t xml:space="preserve">bardzo fragmentarycznego i pochodzącego </w:t>
      </w:r>
      <w:r w:rsidR="003D52F5">
        <w:br/>
        <w:t>z drugiej ręki materiału dowodowego</w:t>
      </w:r>
      <w:r>
        <w:t>, bez uprzedniego wysłuchania D.</w:t>
      </w:r>
      <w:r w:rsidR="003D52F5">
        <w:t xml:space="preserve"> </w:t>
      </w:r>
      <w:r>
        <w:t xml:space="preserve">M. </w:t>
      </w:r>
      <w:r w:rsidR="003D52F5">
        <w:br/>
      </w:r>
      <w:r>
        <w:t xml:space="preserve">i bez jakiejkolwiek próby ustalenia wszystkich okoliczności faktycznych, które mają znaczenie dla racjonalnej oceny surowości kary i ram czasowych jej wykonania (por. moja zbieżna opinia załączona do wyroku w sprawie </w:t>
      </w:r>
      <w:proofErr w:type="spellStart"/>
      <w:r>
        <w:rPr>
          <w:i/>
          <w:iCs/>
        </w:rPr>
        <w:t>Sabalić</w:t>
      </w:r>
      <w:proofErr w:type="spellEnd"/>
      <w:r>
        <w:rPr>
          <w:i/>
          <w:iCs/>
        </w:rPr>
        <w:t xml:space="preserve"> p</w:t>
      </w:r>
      <w:r w:rsidR="004B0562">
        <w:rPr>
          <w:i/>
          <w:iCs/>
        </w:rPr>
        <w:t>.</w:t>
      </w:r>
      <w:r>
        <w:rPr>
          <w:i/>
          <w:iCs/>
        </w:rPr>
        <w:t xml:space="preserve"> Chorwacji</w:t>
      </w:r>
      <w:r>
        <w:t xml:space="preserve"> (skarga nr </w:t>
      </w:r>
      <w:r>
        <w:rPr>
          <w:color w:val="000000"/>
        </w:rPr>
        <w:t>50231/13, 14 stycznia 2021 r.</w:t>
      </w:r>
      <w:r>
        <w:t>)).</w:t>
      </w:r>
    </w:p>
    <w:p w14:paraId="0E60F2F7" w14:textId="77777777" w:rsidR="00316092" w:rsidRPr="00F9089F" w:rsidRDefault="00316092" w:rsidP="00F9089F">
      <w:pPr>
        <w:pStyle w:val="JuPara"/>
        <w:numPr>
          <w:ilvl w:val="0"/>
          <w:numId w:val="4"/>
        </w:numPr>
      </w:pPr>
    </w:p>
    <w:p w14:paraId="38559C56" w14:textId="77777777" w:rsidR="003650DF" w:rsidRPr="00F9089F" w:rsidRDefault="00316092" w:rsidP="00F9089F">
      <w:pPr>
        <w:pStyle w:val="JuPara"/>
        <w:numPr>
          <w:ilvl w:val="0"/>
          <w:numId w:val="4"/>
        </w:numPr>
        <w:rPr>
          <w:b/>
          <w:bCs/>
        </w:rPr>
      </w:pPr>
      <w:r>
        <w:rPr>
          <w:b/>
          <w:bCs/>
        </w:rPr>
        <w:t>Wnioski</w:t>
      </w:r>
    </w:p>
    <w:p w14:paraId="475B6855" w14:textId="77777777" w:rsidR="00316092" w:rsidRPr="00F9089F" w:rsidRDefault="00316092" w:rsidP="00F9089F">
      <w:pPr>
        <w:pStyle w:val="JuPara"/>
        <w:numPr>
          <w:ilvl w:val="0"/>
          <w:numId w:val="4"/>
        </w:numPr>
      </w:pPr>
    </w:p>
    <w:p w14:paraId="18BE5D99" w14:textId="5E70AD2B" w:rsidR="00316092" w:rsidRPr="00F9089F" w:rsidRDefault="00316092" w:rsidP="00F9089F">
      <w:pPr>
        <w:pStyle w:val="JuPara"/>
      </w:pPr>
      <w:r>
        <w:t>13.</w:t>
      </w:r>
      <w:r w:rsidR="009C4069">
        <w:t xml:space="preserve"> </w:t>
      </w:r>
      <w:r>
        <w:t xml:space="preserve">Podsumowując, punktem wyjścia dla praworządności na szczeblu międzynarodowym jest przestrzeganie zasad wykładni traktatów </w:t>
      </w:r>
      <w:r w:rsidR="004B0562">
        <w:br/>
      </w:r>
      <w:r>
        <w:t xml:space="preserve">i </w:t>
      </w:r>
      <w:r w:rsidR="004B0562">
        <w:t xml:space="preserve">podstawowych </w:t>
      </w:r>
      <w:r>
        <w:t>zasad sprawiedliwości procesowej. Czy Trybunał okazał poszanowanie dla praw podstawowych D.</w:t>
      </w:r>
      <w:r w:rsidR="004B0562">
        <w:t xml:space="preserve"> </w:t>
      </w:r>
      <w:r>
        <w:t xml:space="preserve">M.? </w:t>
      </w:r>
      <w:r w:rsidR="00C2275B">
        <w:t xml:space="preserve">Posługując </w:t>
      </w:r>
      <w:r>
        <w:t xml:space="preserve">się słowami, których użyła sama większość (zob. par. 102 </w:t>
      </w:r>
      <w:r>
        <w:rPr>
          <w:i/>
          <w:iCs/>
        </w:rPr>
        <w:t>in fine</w:t>
      </w:r>
      <w:r>
        <w:t xml:space="preserve">): czy </w:t>
      </w:r>
      <w:r w:rsidR="004B0562">
        <w:t>niniejszy</w:t>
      </w:r>
      <w:r>
        <w:t xml:space="preserve"> wyrok </w:t>
      </w:r>
      <w:r w:rsidR="004B0562">
        <w:t>jest w stanie zapewnić</w:t>
      </w:r>
      <w:r>
        <w:t xml:space="preserve"> publiczne</w:t>
      </w:r>
      <w:r w:rsidR="004B0562">
        <w:t xml:space="preserve"> zaufanie</w:t>
      </w:r>
      <w:r>
        <w:t xml:space="preserve"> w kwestii przestrzegania przez Trybunał zasady </w:t>
      </w:r>
      <w:r w:rsidR="004B0562">
        <w:t>rządów prawa</w:t>
      </w:r>
      <w:r>
        <w:t>?</w:t>
      </w:r>
    </w:p>
    <w:sectPr w:rsidR="00316092" w:rsidRPr="00F9089F" w:rsidSect="00611789">
      <w:headerReference w:type="even" r:id="rId21"/>
      <w:headerReference w:type="default" r:id="rId22"/>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87AD21" w14:textId="77777777" w:rsidR="006D038B" w:rsidRPr="002E7DD4" w:rsidRDefault="006D038B" w:rsidP="0098410D">
      <w:r w:rsidRPr="002E7DD4">
        <w:separator/>
      </w:r>
    </w:p>
  </w:endnote>
  <w:endnote w:type="continuationSeparator" w:id="0">
    <w:p w14:paraId="6627A922" w14:textId="77777777" w:rsidR="006D038B" w:rsidRPr="002E7DD4" w:rsidRDefault="006D038B" w:rsidP="0098410D">
      <w:r w:rsidRPr="002E7DD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Times New (W1)">
    <w:altName w:val="Times New Roman"/>
    <w:charset w:val="00"/>
    <w:family w:val="roman"/>
    <w:pitch w:val="variable"/>
    <w:sig w:usb0="20007A87" w:usb1="80000000" w:usb2="00000008"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649466" w14:textId="77777777" w:rsidR="000C341A" w:rsidRDefault="000C341A">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0081BB" w14:textId="77777777" w:rsidR="00CD63B2" w:rsidRPr="00150BFA" w:rsidRDefault="00CD63B2" w:rsidP="003D13E1">
    <w:pPr>
      <w:jc w:val="center"/>
    </w:pPr>
    <w:r>
      <w:rPr>
        <w:noProof/>
      </w:rPr>
      <w:drawing>
        <wp:inline distT="0" distB="0" distL="0" distR="0" wp14:anchorId="0F57480F" wp14:editId="227413E2">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537DCD1B" w14:textId="77777777" w:rsidR="00CD63B2" w:rsidRPr="002E7DD4" w:rsidRDefault="00CD63B2" w:rsidP="003D13E1">
    <w:pPr>
      <w:pStyle w:val="Stopka"/>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0E19EA" w14:textId="77777777" w:rsidR="00CD63B2" w:rsidRPr="00150BFA" w:rsidRDefault="00CD63B2" w:rsidP="003D13E1">
    <w:pPr>
      <w:jc w:val="center"/>
    </w:pPr>
    <w:r>
      <w:rPr>
        <w:noProof/>
      </w:rPr>
      <w:drawing>
        <wp:inline distT="0" distB="0" distL="0" distR="0" wp14:anchorId="4ECC772B" wp14:editId="15049081">
          <wp:extent cx="771525" cy="619125"/>
          <wp:effectExtent l="0" t="0" r="9525" b="9525"/>
          <wp:docPr id="9" name="Picture 9"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2704F941" w14:textId="77777777" w:rsidR="00CD63B2" w:rsidRPr="002E7DD4" w:rsidRDefault="00CD63B2" w:rsidP="009E7A6F">
    <w:pPr>
      <w:pStyle w:val="Stopka"/>
      <w:jc w:val="center"/>
      <w:rPr>
        <w:sz w:val="4"/>
        <w:szCs w:val="4"/>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CE26CB" w14:textId="77777777" w:rsidR="00CD63B2" w:rsidRDefault="00CD63B2" w:rsidP="009A115C">
    <w:pPr>
      <w:pStyle w:val="JuHeader"/>
    </w:pPr>
    <w:r>
      <w:rPr>
        <w:rStyle w:val="Numerstrony"/>
      </w:rPr>
      <w:fldChar w:fldCharType="begin"/>
    </w:r>
    <w:r>
      <w:rPr>
        <w:rStyle w:val="Numerstrony"/>
      </w:rPr>
      <w:instrText xml:space="preserve"> PAGE </w:instrText>
    </w:r>
    <w:r>
      <w:rPr>
        <w:rStyle w:val="Numerstrony"/>
      </w:rPr>
      <w:fldChar w:fldCharType="separate"/>
    </w:r>
    <w:r>
      <w:rPr>
        <w:rStyle w:val="Numerstrony"/>
      </w:rPr>
      <w:t>2</w:t>
    </w:r>
    <w:r>
      <w:rPr>
        <w:rStyle w:val="Numerstrony"/>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237FC7" w14:textId="77777777" w:rsidR="00CD63B2" w:rsidRPr="000B7195" w:rsidRDefault="00CD63B2" w:rsidP="007D3701">
    <w:pPr>
      <w:pStyle w:val="JuHeader"/>
    </w:pPr>
    <w:r>
      <w:fldChar w:fldCharType="begin"/>
    </w:r>
    <w:r>
      <w:instrText xml:space="preserve"> PAGE </w:instrText>
    </w:r>
    <w:r>
      <w:fldChar w:fldCharType="separate"/>
    </w:r>
    <w: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801A55" w14:textId="77777777" w:rsidR="006D038B" w:rsidRPr="002E7DD4" w:rsidRDefault="006D038B" w:rsidP="0098410D">
      <w:r w:rsidRPr="002E7DD4">
        <w:separator/>
      </w:r>
    </w:p>
  </w:footnote>
  <w:footnote w:type="continuationSeparator" w:id="0">
    <w:p w14:paraId="5FF172DA" w14:textId="77777777" w:rsidR="006D038B" w:rsidRPr="002E7DD4" w:rsidRDefault="006D038B" w:rsidP="0098410D">
      <w:r w:rsidRPr="002E7DD4">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399C29" w14:textId="77777777" w:rsidR="000C341A" w:rsidRDefault="000C341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E9937C" w14:textId="77777777" w:rsidR="00CD63B2" w:rsidRPr="00A45145" w:rsidRDefault="00CD63B2" w:rsidP="003D13E1">
    <w:pPr>
      <w:jc w:val="center"/>
    </w:pPr>
    <w:r>
      <w:rPr>
        <w:noProof/>
      </w:rPr>
      <w:drawing>
        <wp:inline distT="0" distB="0" distL="0" distR="0" wp14:anchorId="47BD95EA" wp14:editId="4F2D13A4">
          <wp:extent cx="2962275" cy="1219200"/>
          <wp:effectExtent l="0" t="0" r="9525" b="0"/>
          <wp:docPr id="10" name="Picture 1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39CBBCC9" w14:textId="77777777" w:rsidR="00CD63B2" w:rsidRPr="002E7DD4" w:rsidRDefault="00CD63B2" w:rsidP="003D13E1">
    <w:pPr>
      <w:jc w:val="center"/>
      <w:rPr>
        <w:sz w:val="4"/>
        <w:szCs w:val="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9C1E80" w14:textId="77777777" w:rsidR="00CD63B2" w:rsidRPr="00A45145" w:rsidRDefault="00CD63B2" w:rsidP="003D13E1">
    <w:pPr>
      <w:jc w:val="center"/>
    </w:pPr>
    <w:r>
      <w:rPr>
        <w:noProof/>
      </w:rPr>
      <w:drawing>
        <wp:inline distT="0" distB="0" distL="0" distR="0" wp14:anchorId="5A2B93ED" wp14:editId="54D6C83C">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614AE7AB" w14:textId="77777777" w:rsidR="00CD63B2" w:rsidRPr="002E7DD4" w:rsidRDefault="00CD63B2"/>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573CDF" w14:textId="77777777" w:rsidR="00CD63B2" w:rsidRPr="004D0EC7" w:rsidRDefault="00CD63B2" w:rsidP="004D0EC7">
    <w:pPr>
      <w:pStyle w:val="JuHeader"/>
    </w:pPr>
    <w:r>
      <w:t>WYROK SMILJANIĆ PRZECIWKO CHORWACJI</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AF7562" w14:textId="1D3EE8CF" w:rsidR="00CD63B2" w:rsidRPr="00882CD5" w:rsidRDefault="00CD63B2" w:rsidP="007D3701">
    <w:pPr>
      <w:pStyle w:val="JuHeader"/>
    </w:pPr>
    <w:r>
      <w:t xml:space="preserve">WYROK SMILJANIĆ </w:t>
    </w:r>
    <w:r w:rsidR="000C341A">
      <w:t>przeciwko</w:t>
    </w:r>
    <w:r>
      <w:t xml:space="preserve"> CHORWACJI</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C3B792" w14:textId="77777777" w:rsidR="00CD63B2" w:rsidRPr="004D0EC7" w:rsidRDefault="00CD63B2" w:rsidP="004D0EC7">
    <w:pPr>
      <w:pStyle w:val="JuHeader"/>
    </w:pPr>
    <w:r>
      <w:t>WYROK SMILJANIĆ PRZECIWKO CHORWACJI</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AB144D" w14:textId="77777777" w:rsidR="00CD63B2" w:rsidRPr="00882CD5" w:rsidRDefault="00CD63B2" w:rsidP="003D13E1">
    <w:pPr>
      <w:pStyle w:val="JuHeader"/>
      <w:tabs>
        <w:tab w:val="center" w:pos="3685"/>
        <w:tab w:val="right" w:pos="7370"/>
      </w:tabs>
    </w:pPr>
    <w:r>
      <w:t>WYROK SMILJANIĆ PRZECIWKO CHORWACJI</w:t>
    </w:r>
    <w:bookmarkStart w:id="10" w:name="_Hlk67310744"/>
    <w:r>
      <w:t>– OPINIA ODRĘBNA</w:t>
    </w:r>
    <w:bookmarkEnd w:id="10"/>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C0F5BFC"/>
    <w:multiLevelType w:val="multilevel"/>
    <w:tmpl w:val="79FEA660"/>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97" w:hanging="397"/>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0"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16B5801"/>
    <w:multiLevelType w:val="multilevel"/>
    <w:tmpl w:val="79A89570"/>
    <w:lvl w:ilvl="0">
      <w:start w:val="1"/>
      <w:numFmt w:val="none"/>
      <w:suff w:val="nothing"/>
      <w:lvlText w:val=""/>
      <w:lvlJc w:val="left"/>
      <w:pPr>
        <w:ind w:left="0" w:firstLine="0"/>
      </w:pPr>
      <w:rPr>
        <w:rFonts w:hint="default"/>
      </w:rPr>
    </w:lvl>
    <w:lvl w:ilvl="1">
      <w:start w:val="1"/>
      <w:numFmt w:val="upperRoman"/>
      <w:suff w:val="space"/>
      <w:lvlText w:val="%2."/>
      <w:lvlJc w:val="left"/>
      <w:pPr>
        <w:ind w:left="0" w:firstLine="0"/>
      </w:pPr>
      <w:rPr>
        <w:rFonts w:hint="default"/>
      </w:rPr>
    </w:lvl>
    <w:lvl w:ilvl="2">
      <w:start w:val="1"/>
      <w:numFmt w:val="upperLetter"/>
      <w:suff w:val="space"/>
      <w:lvlText w:val="%3."/>
      <w:lvlJc w:val="left"/>
      <w:pPr>
        <w:ind w:left="0" w:firstLine="0"/>
      </w:pPr>
      <w:rPr>
        <w:rFonts w:hint="default"/>
      </w:rPr>
    </w:lvl>
    <w:lvl w:ilvl="3">
      <w:start w:val="1"/>
      <w:numFmt w:val="decimal"/>
      <w:suff w:val="space"/>
      <w:lvlText w:val="%4."/>
      <w:lvlJc w:val="left"/>
      <w:pPr>
        <w:ind w:left="0" w:firstLine="0"/>
      </w:pPr>
      <w:rPr>
        <w:rFonts w:hint="default"/>
      </w:rPr>
    </w:lvl>
    <w:lvl w:ilvl="4">
      <w:start w:val="1"/>
      <w:numFmt w:val="lowerLetter"/>
      <w:suff w:val="space"/>
      <w:lvlText w:val="%5."/>
      <w:lvlJc w:val="left"/>
      <w:pPr>
        <w:ind w:left="0" w:firstLine="0"/>
      </w:pPr>
      <w:rPr>
        <w:rFonts w:hint="default"/>
      </w:rPr>
    </w:lvl>
    <w:lvl w:ilvl="5">
      <w:start w:val="1"/>
      <w:numFmt w:val="lowerRoman"/>
      <w:suff w:val="space"/>
      <w:lvlText w:val="%6."/>
      <w:lvlJc w:val="left"/>
      <w:pPr>
        <w:ind w:left="0" w:firstLine="0"/>
      </w:pPr>
      <w:rPr>
        <w:rFonts w:asciiTheme="minorHAnsi" w:hAnsiTheme="minorHAnsi" w:hint="default"/>
      </w:rPr>
    </w:lvl>
    <w:lvl w:ilvl="6">
      <w:start w:val="1"/>
      <w:numFmt w:val="bullet"/>
      <w:suff w:val="space"/>
      <w:lvlText w:val="‒"/>
      <w:lvlJc w:val="left"/>
      <w:pPr>
        <w:ind w:left="0" w:firstLine="0"/>
      </w:pPr>
      <w:rPr>
        <w:rFonts w:ascii="Calibri" w:hAnsi="Calibri" w:hint="default"/>
        <w:color w:val="auto"/>
      </w:rPr>
    </w:lvl>
    <w:lvl w:ilvl="7">
      <w:start w:val="1"/>
      <w:numFmt w:val="none"/>
      <w:suff w:val="space"/>
      <w:lvlText w:val=""/>
      <w:lvlJc w:val="left"/>
      <w:pPr>
        <w:ind w:left="0" w:firstLine="0"/>
      </w:pPr>
      <w:rPr>
        <w:rFonts w:hint="default"/>
        <w:color w:val="auto"/>
      </w:rPr>
    </w:lvl>
    <w:lvl w:ilvl="8">
      <w:start w:val="1"/>
      <w:numFmt w:val="none"/>
      <w:suff w:val="space"/>
      <w:lvlText w:val=""/>
      <w:lvlJc w:val="left"/>
      <w:pPr>
        <w:ind w:left="0" w:firstLine="0"/>
      </w:pPr>
      <w:rPr>
        <w:rFonts w:hint="default"/>
        <w:color w:val="auto"/>
      </w:r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56B942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8"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num w:numId="1" w16cid:durableId="1859348239">
    <w:abstractNumId w:val="17"/>
  </w:num>
  <w:num w:numId="2" w16cid:durableId="38603268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1025696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80160882">
    <w:abstractNumId w:val="14"/>
  </w:num>
  <w:num w:numId="5" w16cid:durableId="1081827648">
    <w:abstractNumId w:val="9"/>
  </w:num>
  <w:num w:numId="6" w16cid:durableId="1057896499">
    <w:abstractNumId w:val="13"/>
  </w:num>
  <w:num w:numId="7" w16cid:durableId="2065791043">
    <w:abstractNumId w:val="11"/>
  </w:num>
  <w:num w:numId="8" w16cid:durableId="1099835996">
    <w:abstractNumId w:val="10"/>
  </w:num>
  <w:num w:numId="9" w16cid:durableId="622879514">
    <w:abstractNumId w:val="15"/>
  </w:num>
  <w:num w:numId="10" w16cid:durableId="548884128">
    <w:abstractNumId w:val="12"/>
  </w:num>
  <w:num w:numId="11" w16cid:durableId="2029332989">
    <w:abstractNumId w:val="16"/>
  </w:num>
  <w:num w:numId="12" w16cid:durableId="711999277">
    <w:abstractNumId w:val="18"/>
  </w:num>
  <w:num w:numId="13" w16cid:durableId="424033539">
    <w:abstractNumId w:val="7"/>
  </w:num>
  <w:num w:numId="14" w16cid:durableId="1405489040">
    <w:abstractNumId w:val="6"/>
  </w:num>
  <w:num w:numId="15" w16cid:durableId="1925994050">
    <w:abstractNumId w:val="5"/>
  </w:num>
  <w:num w:numId="16" w16cid:durableId="1167525256">
    <w:abstractNumId w:val="4"/>
  </w:num>
  <w:num w:numId="17" w16cid:durableId="1150556986">
    <w:abstractNumId w:val="8"/>
  </w:num>
  <w:num w:numId="18" w16cid:durableId="1698040156">
    <w:abstractNumId w:val="3"/>
  </w:num>
  <w:num w:numId="19" w16cid:durableId="1952660057">
    <w:abstractNumId w:val="2"/>
  </w:num>
  <w:num w:numId="20" w16cid:durableId="392167671">
    <w:abstractNumId w:val="1"/>
  </w:num>
  <w:num w:numId="21" w16cid:durableId="2115006596">
    <w:abstractNumId w:val="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drawingGridHorizontalSpacing w:val="110"/>
  <w:displayHorizontalDrawingGridEvery w:val="2"/>
  <w:displayVerticalDrawingGridEvery w:val="2"/>
  <w:characterSpacingControl w:val="doNotCompress"/>
  <w:hdrShapeDefaults>
    <o:shapedefaults v:ext="edit" spidmax="2050"/>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pplicationsApp" w:val="1"/>
    <w:docVar w:name="EMM" w:val="0"/>
    <w:docVar w:name="LW_DocType" w:val="NORMAL"/>
    <w:docVar w:name="NBEMMDOC" w:val="0"/>
  </w:docVars>
  <w:rsids>
    <w:rsidRoot w:val="002E7DD4"/>
    <w:rsid w:val="000041F8"/>
    <w:rsid w:val="000042A8"/>
    <w:rsid w:val="00004308"/>
    <w:rsid w:val="00005BF0"/>
    <w:rsid w:val="0000617D"/>
    <w:rsid w:val="00007154"/>
    <w:rsid w:val="000103AE"/>
    <w:rsid w:val="00011D69"/>
    <w:rsid w:val="00012AD3"/>
    <w:rsid w:val="00015C2D"/>
    <w:rsid w:val="00015F00"/>
    <w:rsid w:val="00022C1D"/>
    <w:rsid w:val="00031428"/>
    <w:rsid w:val="00033FA2"/>
    <w:rsid w:val="00034987"/>
    <w:rsid w:val="00041560"/>
    <w:rsid w:val="000602DF"/>
    <w:rsid w:val="00061B05"/>
    <w:rsid w:val="000632D5"/>
    <w:rsid w:val="000644EE"/>
    <w:rsid w:val="00070469"/>
    <w:rsid w:val="000735E0"/>
    <w:rsid w:val="0007780A"/>
    <w:rsid w:val="00085457"/>
    <w:rsid w:val="000925AD"/>
    <w:rsid w:val="00096FE1"/>
    <w:rsid w:val="00097A62"/>
    <w:rsid w:val="000A24EB"/>
    <w:rsid w:val="000A2C4E"/>
    <w:rsid w:val="000B2F1A"/>
    <w:rsid w:val="000B3906"/>
    <w:rsid w:val="000B686A"/>
    <w:rsid w:val="000B6923"/>
    <w:rsid w:val="000B7195"/>
    <w:rsid w:val="000C341A"/>
    <w:rsid w:val="000C42DC"/>
    <w:rsid w:val="000C5F3C"/>
    <w:rsid w:val="000C6DCC"/>
    <w:rsid w:val="000D47AA"/>
    <w:rsid w:val="000D721F"/>
    <w:rsid w:val="000E069B"/>
    <w:rsid w:val="000E080B"/>
    <w:rsid w:val="000E0E82"/>
    <w:rsid w:val="000E1DC5"/>
    <w:rsid w:val="000E223F"/>
    <w:rsid w:val="000E46B8"/>
    <w:rsid w:val="000E7D45"/>
    <w:rsid w:val="000F7677"/>
    <w:rsid w:val="000F7851"/>
    <w:rsid w:val="001004DF"/>
    <w:rsid w:val="00101505"/>
    <w:rsid w:val="00104E23"/>
    <w:rsid w:val="00110DA8"/>
    <w:rsid w:val="00111B0C"/>
    <w:rsid w:val="00120D6C"/>
    <w:rsid w:val="00124A44"/>
    <w:rsid w:val="001257EC"/>
    <w:rsid w:val="0013194B"/>
    <w:rsid w:val="00132433"/>
    <w:rsid w:val="00133D33"/>
    <w:rsid w:val="00134B6A"/>
    <w:rsid w:val="00134D64"/>
    <w:rsid w:val="00135A30"/>
    <w:rsid w:val="0013612C"/>
    <w:rsid w:val="00137FF6"/>
    <w:rsid w:val="00141650"/>
    <w:rsid w:val="0015040E"/>
    <w:rsid w:val="00154717"/>
    <w:rsid w:val="0015538D"/>
    <w:rsid w:val="00155F85"/>
    <w:rsid w:val="001561B6"/>
    <w:rsid w:val="00161898"/>
    <w:rsid w:val="00162A12"/>
    <w:rsid w:val="00166530"/>
    <w:rsid w:val="00166857"/>
    <w:rsid w:val="00170027"/>
    <w:rsid w:val="00176E01"/>
    <w:rsid w:val="001832BD"/>
    <w:rsid w:val="001943B5"/>
    <w:rsid w:val="00195134"/>
    <w:rsid w:val="001A145B"/>
    <w:rsid w:val="001A1ED3"/>
    <w:rsid w:val="001A3E09"/>
    <w:rsid w:val="001A674C"/>
    <w:rsid w:val="001B3B24"/>
    <w:rsid w:val="001C055B"/>
    <w:rsid w:val="001C0F98"/>
    <w:rsid w:val="001C2A42"/>
    <w:rsid w:val="001C399B"/>
    <w:rsid w:val="001C6CBC"/>
    <w:rsid w:val="001D144A"/>
    <w:rsid w:val="001D63ED"/>
    <w:rsid w:val="001D7348"/>
    <w:rsid w:val="001E035B"/>
    <w:rsid w:val="001E0961"/>
    <w:rsid w:val="001E3EAE"/>
    <w:rsid w:val="001E6857"/>
    <w:rsid w:val="001E6F32"/>
    <w:rsid w:val="001F2145"/>
    <w:rsid w:val="001F6262"/>
    <w:rsid w:val="001F67B0"/>
    <w:rsid w:val="001F7B3D"/>
    <w:rsid w:val="00202752"/>
    <w:rsid w:val="0020335A"/>
    <w:rsid w:val="00203399"/>
    <w:rsid w:val="002052BC"/>
    <w:rsid w:val="00205F9F"/>
    <w:rsid w:val="00210338"/>
    <w:rsid w:val="002115FC"/>
    <w:rsid w:val="00213365"/>
    <w:rsid w:val="0021423C"/>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25C"/>
    <w:rsid w:val="00260C03"/>
    <w:rsid w:val="0026540E"/>
    <w:rsid w:val="00275123"/>
    <w:rsid w:val="00282240"/>
    <w:rsid w:val="00287AD5"/>
    <w:rsid w:val="002934D0"/>
    <w:rsid w:val="00293676"/>
    <w:rsid w:val="00293BD9"/>
    <w:rsid w:val="002948AD"/>
    <w:rsid w:val="002A01CC"/>
    <w:rsid w:val="002A613A"/>
    <w:rsid w:val="002A61B1"/>
    <w:rsid w:val="002A663C"/>
    <w:rsid w:val="002B444B"/>
    <w:rsid w:val="002B5591"/>
    <w:rsid w:val="002B5887"/>
    <w:rsid w:val="002C0E27"/>
    <w:rsid w:val="002C3040"/>
    <w:rsid w:val="002C3629"/>
    <w:rsid w:val="002C4433"/>
    <w:rsid w:val="002C45D2"/>
    <w:rsid w:val="002C591A"/>
    <w:rsid w:val="002C6B81"/>
    <w:rsid w:val="002C7826"/>
    <w:rsid w:val="002D022D"/>
    <w:rsid w:val="002D109C"/>
    <w:rsid w:val="002D24BB"/>
    <w:rsid w:val="002D2FA7"/>
    <w:rsid w:val="002D47BA"/>
    <w:rsid w:val="002D77B9"/>
    <w:rsid w:val="002E46DA"/>
    <w:rsid w:val="002E7DD4"/>
    <w:rsid w:val="002F244E"/>
    <w:rsid w:val="002F2AF7"/>
    <w:rsid w:val="002F69C4"/>
    <w:rsid w:val="002F7D9E"/>
    <w:rsid w:val="002F7E1C"/>
    <w:rsid w:val="0030131B"/>
    <w:rsid w:val="00301A75"/>
    <w:rsid w:val="00302F70"/>
    <w:rsid w:val="0030336F"/>
    <w:rsid w:val="0030375E"/>
    <w:rsid w:val="00312A30"/>
    <w:rsid w:val="00316092"/>
    <w:rsid w:val="003177BF"/>
    <w:rsid w:val="003201D8"/>
    <w:rsid w:val="00320F72"/>
    <w:rsid w:val="0032463E"/>
    <w:rsid w:val="00326224"/>
    <w:rsid w:val="00327FAB"/>
    <w:rsid w:val="00337EE4"/>
    <w:rsid w:val="00340445"/>
    <w:rsid w:val="00340FFD"/>
    <w:rsid w:val="00345C41"/>
    <w:rsid w:val="003506B1"/>
    <w:rsid w:val="00355877"/>
    <w:rsid w:val="00356AC7"/>
    <w:rsid w:val="0036019B"/>
    <w:rsid w:val="003609FA"/>
    <w:rsid w:val="003650DF"/>
    <w:rsid w:val="003710C8"/>
    <w:rsid w:val="003717BF"/>
    <w:rsid w:val="00373C0E"/>
    <w:rsid w:val="003750BE"/>
    <w:rsid w:val="003764C6"/>
    <w:rsid w:val="0037717C"/>
    <w:rsid w:val="00385A36"/>
    <w:rsid w:val="00385F3D"/>
    <w:rsid w:val="00387B9D"/>
    <w:rsid w:val="00387C70"/>
    <w:rsid w:val="00387DB3"/>
    <w:rsid w:val="00390294"/>
    <w:rsid w:val="0039364F"/>
    <w:rsid w:val="00396686"/>
    <w:rsid w:val="0039778E"/>
    <w:rsid w:val="003A6D28"/>
    <w:rsid w:val="003B0447"/>
    <w:rsid w:val="003B0829"/>
    <w:rsid w:val="003B4033"/>
    <w:rsid w:val="003B4941"/>
    <w:rsid w:val="003C5714"/>
    <w:rsid w:val="003C6B9F"/>
    <w:rsid w:val="003C6E2A"/>
    <w:rsid w:val="003D0299"/>
    <w:rsid w:val="003D13E1"/>
    <w:rsid w:val="003D52F5"/>
    <w:rsid w:val="003E5C56"/>
    <w:rsid w:val="003E6D80"/>
    <w:rsid w:val="003F05FA"/>
    <w:rsid w:val="003F244A"/>
    <w:rsid w:val="003F2517"/>
    <w:rsid w:val="003F30B8"/>
    <w:rsid w:val="003F4C45"/>
    <w:rsid w:val="003F5F7B"/>
    <w:rsid w:val="003F7D64"/>
    <w:rsid w:val="0040433A"/>
    <w:rsid w:val="00411645"/>
    <w:rsid w:val="00414300"/>
    <w:rsid w:val="00414F27"/>
    <w:rsid w:val="00417712"/>
    <w:rsid w:val="00420703"/>
    <w:rsid w:val="00425C67"/>
    <w:rsid w:val="004269A4"/>
    <w:rsid w:val="00427E7A"/>
    <w:rsid w:val="004355AC"/>
    <w:rsid w:val="00436C49"/>
    <w:rsid w:val="004410CC"/>
    <w:rsid w:val="00443D98"/>
    <w:rsid w:val="00445366"/>
    <w:rsid w:val="00447F5B"/>
    <w:rsid w:val="00450437"/>
    <w:rsid w:val="00454804"/>
    <w:rsid w:val="00457A74"/>
    <w:rsid w:val="00461DB0"/>
    <w:rsid w:val="00463926"/>
    <w:rsid w:val="00464C9A"/>
    <w:rsid w:val="00474F3D"/>
    <w:rsid w:val="00477E3A"/>
    <w:rsid w:val="00483E5F"/>
    <w:rsid w:val="00484ABF"/>
    <w:rsid w:val="00485FF9"/>
    <w:rsid w:val="004907F0"/>
    <w:rsid w:val="0049140B"/>
    <w:rsid w:val="004923A5"/>
    <w:rsid w:val="0049310E"/>
    <w:rsid w:val="004950E2"/>
    <w:rsid w:val="00496BFB"/>
    <w:rsid w:val="004A15C7"/>
    <w:rsid w:val="004A3201"/>
    <w:rsid w:val="004B013B"/>
    <w:rsid w:val="004B0562"/>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E6674"/>
    <w:rsid w:val="004F10AF"/>
    <w:rsid w:val="004F11A4"/>
    <w:rsid w:val="004F1673"/>
    <w:rsid w:val="004F2389"/>
    <w:rsid w:val="004F304D"/>
    <w:rsid w:val="004F4290"/>
    <w:rsid w:val="004F61BE"/>
    <w:rsid w:val="004F66B1"/>
    <w:rsid w:val="00500B90"/>
    <w:rsid w:val="0050548B"/>
    <w:rsid w:val="00510A97"/>
    <w:rsid w:val="00511C07"/>
    <w:rsid w:val="005125CB"/>
    <w:rsid w:val="00512C4D"/>
    <w:rsid w:val="00512EC4"/>
    <w:rsid w:val="00514E1A"/>
    <w:rsid w:val="0051725A"/>
    <w:rsid w:val="005173A6"/>
    <w:rsid w:val="00520354"/>
    <w:rsid w:val="00520BAA"/>
    <w:rsid w:val="005217D8"/>
    <w:rsid w:val="00524577"/>
    <w:rsid w:val="00525208"/>
    <w:rsid w:val="005257A5"/>
    <w:rsid w:val="005264C0"/>
    <w:rsid w:val="00526A8A"/>
    <w:rsid w:val="00527FB1"/>
    <w:rsid w:val="00530C1A"/>
    <w:rsid w:val="00530FE6"/>
    <w:rsid w:val="00531DF2"/>
    <w:rsid w:val="0053315C"/>
    <w:rsid w:val="00537476"/>
    <w:rsid w:val="00542A82"/>
    <w:rsid w:val="00543B05"/>
    <w:rsid w:val="005442EE"/>
    <w:rsid w:val="00545DA6"/>
    <w:rsid w:val="00546A1E"/>
    <w:rsid w:val="00547353"/>
    <w:rsid w:val="005474E7"/>
    <w:rsid w:val="0055092E"/>
    <w:rsid w:val="005512A3"/>
    <w:rsid w:val="00555D49"/>
    <w:rsid w:val="005578CE"/>
    <w:rsid w:val="0056078C"/>
    <w:rsid w:val="00562781"/>
    <w:rsid w:val="00562B6C"/>
    <w:rsid w:val="0057271C"/>
    <w:rsid w:val="00572845"/>
    <w:rsid w:val="005879A2"/>
    <w:rsid w:val="00592772"/>
    <w:rsid w:val="0059574A"/>
    <w:rsid w:val="005A1B9B"/>
    <w:rsid w:val="005A1E52"/>
    <w:rsid w:val="005A2E79"/>
    <w:rsid w:val="005A6751"/>
    <w:rsid w:val="005B092E"/>
    <w:rsid w:val="005B152C"/>
    <w:rsid w:val="005B1EE0"/>
    <w:rsid w:val="005B2B24"/>
    <w:rsid w:val="005B4425"/>
    <w:rsid w:val="005B4B94"/>
    <w:rsid w:val="005C3EE8"/>
    <w:rsid w:val="005C6718"/>
    <w:rsid w:val="005D2F2A"/>
    <w:rsid w:val="005D34F9"/>
    <w:rsid w:val="005D4190"/>
    <w:rsid w:val="005D67A3"/>
    <w:rsid w:val="005E2988"/>
    <w:rsid w:val="005E3085"/>
    <w:rsid w:val="005E703E"/>
    <w:rsid w:val="005F00B8"/>
    <w:rsid w:val="005F0EB3"/>
    <w:rsid w:val="005F51E1"/>
    <w:rsid w:val="00610359"/>
    <w:rsid w:val="00611789"/>
    <w:rsid w:val="00611C80"/>
    <w:rsid w:val="00620692"/>
    <w:rsid w:val="006242CA"/>
    <w:rsid w:val="006272D2"/>
    <w:rsid w:val="00627507"/>
    <w:rsid w:val="00633717"/>
    <w:rsid w:val="006344E1"/>
    <w:rsid w:val="00636AD7"/>
    <w:rsid w:val="006424CF"/>
    <w:rsid w:val="00643524"/>
    <w:rsid w:val="0064393B"/>
    <w:rsid w:val="00643A73"/>
    <w:rsid w:val="00650570"/>
    <w:rsid w:val="006545C4"/>
    <w:rsid w:val="00661971"/>
    <w:rsid w:val="00661CE8"/>
    <w:rsid w:val="006623D9"/>
    <w:rsid w:val="006642A5"/>
    <w:rsid w:val="0066550C"/>
    <w:rsid w:val="00665BD2"/>
    <w:rsid w:val="006716F2"/>
    <w:rsid w:val="00675F23"/>
    <w:rsid w:val="00682BF2"/>
    <w:rsid w:val="00683920"/>
    <w:rsid w:val="0068573E"/>
    <w:rsid w:val="006859CE"/>
    <w:rsid w:val="00691270"/>
    <w:rsid w:val="006939CD"/>
    <w:rsid w:val="00694BA8"/>
    <w:rsid w:val="006A037C"/>
    <w:rsid w:val="006A36F4"/>
    <w:rsid w:val="006A406F"/>
    <w:rsid w:val="006A5D3A"/>
    <w:rsid w:val="006B0AAC"/>
    <w:rsid w:val="006C23D4"/>
    <w:rsid w:val="006C7BB0"/>
    <w:rsid w:val="006D038B"/>
    <w:rsid w:val="006D3237"/>
    <w:rsid w:val="006D3A16"/>
    <w:rsid w:val="006D6B7B"/>
    <w:rsid w:val="006E2E37"/>
    <w:rsid w:val="006E3CF1"/>
    <w:rsid w:val="006E68A3"/>
    <w:rsid w:val="006E7E80"/>
    <w:rsid w:val="006F1C2D"/>
    <w:rsid w:val="006F48CA"/>
    <w:rsid w:val="006F64DD"/>
    <w:rsid w:val="006F712D"/>
    <w:rsid w:val="00710140"/>
    <w:rsid w:val="00715127"/>
    <w:rsid w:val="00715E8E"/>
    <w:rsid w:val="00723580"/>
    <w:rsid w:val="00723755"/>
    <w:rsid w:val="0073136C"/>
    <w:rsid w:val="00731F0F"/>
    <w:rsid w:val="00733250"/>
    <w:rsid w:val="00733501"/>
    <w:rsid w:val="00734877"/>
    <w:rsid w:val="00736CC7"/>
    <w:rsid w:val="00741188"/>
    <w:rsid w:val="00741404"/>
    <w:rsid w:val="007432D1"/>
    <w:rsid w:val="007449CB"/>
    <w:rsid w:val="007449E5"/>
    <w:rsid w:val="0074750E"/>
    <w:rsid w:val="00747FF0"/>
    <w:rsid w:val="0075566E"/>
    <w:rsid w:val="00763602"/>
    <w:rsid w:val="00764D4E"/>
    <w:rsid w:val="00765A1F"/>
    <w:rsid w:val="00773A7E"/>
    <w:rsid w:val="00775B6D"/>
    <w:rsid w:val="00776D68"/>
    <w:rsid w:val="0078323E"/>
    <w:rsid w:val="007850EE"/>
    <w:rsid w:val="00785B95"/>
    <w:rsid w:val="00790E96"/>
    <w:rsid w:val="00793366"/>
    <w:rsid w:val="007A58A2"/>
    <w:rsid w:val="007A716F"/>
    <w:rsid w:val="007B270A"/>
    <w:rsid w:val="007B4182"/>
    <w:rsid w:val="007C0695"/>
    <w:rsid w:val="007C419A"/>
    <w:rsid w:val="007C4CC8"/>
    <w:rsid w:val="007C5426"/>
    <w:rsid w:val="007C5798"/>
    <w:rsid w:val="007D13B5"/>
    <w:rsid w:val="007D1ECD"/>
    <w:rsid w:val="007D24F5"/>
    <w:rsid w:val="007D3701"/>
    <w:rsid w:val="007D4832"/>
    <w:rsid w:val="007D634A"/>
    <w:rsid w:val="007E21B2"/>
    <w:rsid w:val="007E2C4E"/>
    <w:rsid w:val="007E2C8C"/>
    <w:rsid w:val="007E302C"/>
    <w:rsid w:val="007E51BA"/>
    <w:rsid w:val="007E73D7"/>
    <w:rsid w:val="007F1905"/>
    <w:rsid w:val="007F27E4"/>
    <w:rsid w:val="007F3437"/>
    <w:rsid w:val="00802C64"/>
    <w:rsid w:val="00805E52"/>
    <w:rsid w:val="008061D0"/>
    <w:rsid w:val="00810B38"/>
    <w:rsid w:val="00814843"/>
    <w:rsid w:val="008204C7"/>
    <w:rsid w:val="00820992"/>
    <w:rsid w:val="00823602"/>
    <w:rsid w:val="008255F5"/>
    <w:rsid w:val="0083014E"/>
    <w:rsid w:val="0083214A"/>
    <w:rsid w:val="00834220"/>
    <w:rsid w:val="008412B8"/>
    <w:rsid w:val="00845723"/>
    <w:rsid w:val="008519E7"/>
    <w:rsid w:val="00851EF9"/>
    <w:rsid w:val="008577FD"/>
    <w:rsid w:val="00860B03"/>
    <w:rsid w:val="0086497A"/>
    <w:rsid w:val="00867066"/>
    <w:rsid w:val="008713A1"/>
    <w:rsid w:val="00872584"/>
    <w:rsid w:val="008754AB"/>
    <w:rsid w:val="0088060C"/>
    <w:rsid w:val="00882CD5"/>
    <w:rsid w:val="00883151"/>
    <w:rsid w:val="00887A59"/>
    <w:rsid w:val="00893576"/>
    <w:rsid w:val="00893E73"/>
    <w:rsid w:val="008A7C54"/>
    <w:rsid w:val="008B02DC"/>
    <w:rsid w:val="008B092C"/>
    <w:rsid w:val="008B3395"/>
    <w:rsid w:val="008B57CE"/>
    <w:rsid w:val="008B7D98"/>
    <w:rsid w:val="008C26DE"/>
    <w:rsid w:val="008C3F6F"/>
    <w:rsid w:val="008C5364"/>
    <w:rsid w:val="008D2225"/>
    <w:rsid w:val="008D3F0D"/>
    <w:rsid w:val="008D4752"/>
    <w:rsid w:val="008D5A13"/>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506B"/>
    <w:rsid w:val="009050C9"/>
    <w:rsid w:val="009066FC"/>
    <w:rsid w:val="00911D36"/>
    <w:rsid w:val="009140A3"/>
    <w:rsid w:val="009144A2"/>
    <w:rsid w:val="0091510C"/>
    <w:rsid w:val="009256D9"/>
    <w:rsid w:val="009259AC"/>
    <w:rsid w:val="00926F38"/>
    <w:rsid w:val="00927BEB"/>
    <w:rsid w:val="009333DC"/>
    <w:rsid w:val="00934301"/>
    <w:rsid w:val="00936CD1"/>
    <w:rsid w:val="00941747"/>
    <w:rsid w:val="00941EFB"/>
    <w:rsid w:val="00943982"/>
    <w:rsid w:val="00947AFB"/>
    <w:rsid w:val="00951A50"/>
    <w:rsid w:val="00951AA3"/>
    <w:rsid w:val="00951D7D"/>
    <w:rsid w:val="00956D0C"/>
    <w:rsid w:val="009630C7"/>
    <w:rsid w:val="0096522F"/>
    <w:rsid w:val="00972B55"/>
    <w:rsid w:val="009743B7"/>
    <w:rsid w:val="00974675"/>
    <w:rsid w:val="0098228B"/>
    <w:rsid w:val="009828DA"/>
    <w:rsid w:val="0098410D"/>
    <w:rsid w:val="00985BAB"/>
    <w:rsid w:val="00986B3C"/>
    <w:rsid w:val="009A0AE0"/>
    <w:rsid w:val="009A115C"/>
    <w:rsid w:val="009B03AD"/>
    <w:rsid w:val="009B1606"/>
    <w:rsid w:val="009B1B5F"/>
    <w:rsid w:val="009B6673"/>
    <w:rsid w:val="009C11D4"/>
    <w:rsid w:val="009C191B"/>
    <w:rsid w:val="009C2BD6"/>
    <w:rsid w:val="009C4069"/>
    <w:rsid w:val="009D0D54"/>
    <w:rsid w:val="009D1D61"/>
    <w:rsid w:val="009E1F32"/>
    <w:rsid w:val="009E2CC2"/>
    <w:rsid w:val="009E47A2"/>
    <w:rsid w:val="009E776C"/>
    <w:rsid w:val="009E7A6F"/>
    <w:rsid w:val="009F4C8F"/>
    <w:rsid w:val="00A05588"/>
    <w:rsid w:val="00A1379B"/>
    <w:rsid w:val="00A15601"/>
    <w:rsid w:val="00A1726E"/>
    <w:rsid w:val="00A204CF"/>
    <w:rsid w:val="00A21D2B"/>
    <w:rsid w:val="00A22745"/>
    <w:rsid w:val="00A23D49"/>
    <w:rsid w:val="00A27004"/>
    <w:rsid w:val="00A308CE"/>
    <w:rsid w:val="00A30C29"/>
    <w:rsid w:val="00A338E3"/>
    <w:rsid w:val="00A34DD6"/>
    <w:rsid w:val="00A35683"/>
    <w:rsid w:val="00A36819"/>
    <w:rsid w:val="00A36989"/>
    <w:rsid w:val="00A42D6D"/>
    <w:rsid w:val="00A43628"/>
    <w:rsid w:val="00A43AE0"/>
    <w:rsid w:val="00A51D0F"/>
    <w:rsid w:val="00A52000"/>
    <w:rsid w:val="00A54192"/>
    <w:rsid w:val="00A5702B"/>
    <w:rsid w:val="00A57147"/>
    <w:rsid w:val="00A6035E"/>
    <w:rsid w:val="00A6144C"/>
    <w:rsid w:val="00A66617"/>
    <w:rsid w:val="00A671F8"/>
    <w:rsid w:val="00A673A4"/>
    <w:rsid w:val="00A719BF"/>
    <w:rsid w:val="00A724AE"/>
    <w:rsid w:val="00A73329"/>
    <w:rsid w:val="00A82359"/>
    <w:rsid w:val="00A850A4"/>
    <w:rsid w:val="00A865D2"/>
    <w:rsid w:val="00A90BCD"/>
    <w:rsid w:val="00A94B82"/>
    <w:rsid w:val="00A94C20"/>
    <w:rsid w:val="00A9680C"/>
    <w:rsid w:val="00AA1B09"/>
    <w:rsid w:val="00AA227F"/>
    <w:rsid w:val="00AA3BC7"/>
    <w:rsid w:val="00AA754A"/>
    <w:rsid w:val="00AB099E"/>
    <w:rsid w:val="00AB4328"/>
    <w:rsid w:val="00AC4AC7"/>
    <w:rsid w:val="00AC4CD4"/>
    <w:rsid w:val="00AE0A2E"/>
    <w:rsid w:val="00AE354C"/>
    <w:rsid w:val="00AF4B07"/>
    <w:rsid w:val="00AF6186"/>
    <w:rsid w:val="00AF7A3A"/>
    <w:rsid w:val="00B02587"/>
    <w:rsid w:val="00B054DA"/>
    <w:rsid w:val="00B160DB"/>
    <w:rsid w:val="00B20836"/>
    <w:rsid w:val="00B235BB"/>
    <w:rsid w:val="00B27A44"/>
    <w:rsid w:val="00B30BBF"/>
    <w:rsid w:val="00B33C03"/>
    <w:rsid w:val="00B413B0"/>
    <w:rsid w:val="00B4421F"/>
    <w:rsid w:val="00B444F4"/>
    <w:rsid w:val="00B44E56"/>
    <w:rsid w:val="00B45917"/>
    <w:rsid w:val="00B46543"/>
    <w:rsid w:val="00B47D33"/>
    <w:rsid w:val="00B52BE0"/>
    <w:rsid w:val="00B54133"/>
    <w:rsid w:val="00B601C3"/>
    <w:rsid w:val="00B701ED"/>
    <w:rsid w:val="00B748F7"/>
    <w:rsid w:val="00B8086C"/>
    <w:rsid w:val="00B81C58"/>
    <w:rsid w:val="00B861B4"/>
    <w:rsid w:val="00B863A0"/>
    <w:rsid w:val="00B86C81"/>
    <w:rsid w:val="00B86DFE"/>
    <w:rsid w:val="00B90990"/>
    <w:rsid w:val="00B922FF"/>
    <w:rsid w:val="00B9281E"/>
    <w:rsid w:val="00B93925"/>
    <w:rsid w:val="00B95187"/>
    <w:rsid w:val="00BA0795"/>
    <w:rsid w:val="00BA13D4"/>
    <w:rsid w:val="00BA2D55"/>
    <w:rsid w:val="00BA71B1"/>
    <w:rsid w:val="00BB0637"/>
    <w:rsid w:val="00BB345F"/>
    <w:rsid w:val="00BB68EA"/>
    <w:rsid w:val="00BB6C8E"/>
    <w:rsid w:val="00BC0B99"/>
    <w:rsid w:val="00BC1C27"/>
    <w:rsid w:val="00BC6BBF"/>
    <w:rsid w:val="00BD1572"/>
    <w:rsid w:val="00BD60C7"/>
    <w:rsid w:val="00BD68E8"/>
    <w:rsid w:val="00BE14E3"/>
    <w:rsid w:val="00BE2896"/>
    <w:rsid w:val="00BE3774"/>
    <w:rsid w:val="00BE41E5"/>
    <w:rsid w:val="00BF118F"/>
    <w:rsid w:val="00BF4109"/>
    <w:rsid w:val="00BF4CC3"/>
    <w:rsid w:val="00C054C7"/>
    <w:rsid w:val="00C057B5"/>
    <w:rsid w:val="00C07D0E"/>
    <w:rsid w:val="00C115C3"/>
    <w:rsid w:val="00C11B96"/>
    <w:rsid w:val="00C15547"/>
    <w:rsid w:val="00C1672D"/>
    <w:rsid w:val="00C22687"/>
    <w:rsid w:val="00C2275B"/>
    <w:rsid w:val="00C24792"/>
    <w:rsid w:val="00C26A92"/>
    <w:rsid w:val="00C26B1C"/>
    <w:rsid w:val="00C27CDB"/>
    <w:rsid w:val="00C322DD"/>
    <w:rsid w:val="00C32E4D"/>
    <w:rsid w:val="00C333A0"/>
    <w:rsid w:val="00C36A81"/>
    <w:rsid w:val="00C37F5E"/>
    <w:rsid w:val="00C41974"/>
    <w:rsid w:val="00C44A2C"/>
    <w:rsid w:val="00C44F09"/>
    <w:rsid w:val="00C477F7"/>
    <w:rsid w:val="00C509A6"/>
    <w:rsid w:val="00C52EB0"/>
    <w:rsid w:val="00C53EA6"/>
    <w:rsid w:val="00C53F4A"/>
    <w:rsid w:val="00C54125"/>
    <w:rsid w:val="00C55B54"/>
    <w:rsid w:val="00C6098E"/>
    <w:rsid w:val="00C60D1A"/>
    <w:rsid w:val="00C6152C"/>
    <w:rsid w:val="00C74810"/>
    <w:rsid w:val="00C74AEA"/>
    <w:rsid w:val="00C8635C"/>
    <w:rsid w:val="00C87345"/>
    <w:rsid w:val="00C90B28"/>
    <w:rsid w:val="00C90D68"/>
    <w:rsid w:val="00C939FE"/>
    <w:rsid w:val="00C95EDD"/>
    <w:rsid w:val="00CA4BDA"/>
    <w:rsid w:val="00CB087F"/>
    <w:rsid w:val="00CB13E3"/>
    <w:rsid w:val="00CB1F66"/>
    <w:rsid w:val="00CB232C"/>
    <w:rsid w:val="00CB2951"/>
    <w:rsid w:val="00CB4277"/>
    <w:rsid w:val="00CB687D"/>
    <w:rsid w:val="00CC5067"/>
    <w:rsid w:val="00CD11D3"/>
    <w:rsid w:val="00CD282B"/>
    <w:rsid w:val="00CD2CC8"/>
    <w:rsid w:val="00CD447B"/>
    <w:rsid w:val="00CD4C35"/>
    <w:rsid w:val="00CD63B2"/>
    <w:rsid w:val="00CD7369"/>
    <w:rsid w:val="00CE0B0E"/>
    <w:rsid w:val="00CE3831"/>
    <w:rsid w:val="00CF194E"/>
    <w:rsid w:val="00CF2397"/>
    <w:rsid w:val="00CF607E"/>
    <w:rsid w:val="00D00ABB"/>
    <w:rsid w:val="00D02D33"/>
    <w:rsid w:val="00D02EEC"/>
    <w:rsid w:val="00D03551"/>
    <w:rsid w:val="00D05078"/>
    <w:rsid w:val="00D06A63"/>
    <w:rsid w:val="00D07E0E"/>
    <w:rsid w:val="00D10CD6"/>
    <w:rsid w:val="00D11478"/>
    <w:rsid w:val="00D15ED0"/>
    <w:rsid w:val="00D15F85"/>
    <w:rsid w:val="00D164BF"/>
    <w:rsid w:val="00D21B3E"/>
    <w:rsid w:val="00D21FED"/>
    <w:rsid w:val="00D23048"/>
    <w:rsid w:val="00D24251"/>
    <w:rsid w:val="00D26E72"/>
    <w:rsid w:val="00D343E2"/>
    <w:rsid w:val="00D361A2"/>
    <w:rsid w:val="00D365B3"/>
    <w:rsid w:val="00D37272"/>
    <w:rsid w:val="00D40291"/>
    <w:rsid w:val="00D44C2E"/>
    <w:rsid w:val="00D45414"/>
    <w:rsid w:val="00D50A0A"/>
    <w:rsid w:val="00D53548"/>
    <w:rsid w:val="00D566BD"/>
    <w:rsid w:val="00D57A4D"/>
    <w:rsid w:val="00D60AA7"/>
    <w:rsid w:val="00D6435F"/>
    <w:rsid w:val="00D66471"/>
    <w:rsid w:val="00D70641"/>
    <w:rsid w:val="00D74888"/>
    <w:rsid w:val="00D75E28"/>
    <w:rsid w:val="00D772C2"/>
    <w:rsid w:val="00D8008E"/>
    <w:rsid w:val="00D80FCB"/>
    <w:rsid w:val="00D82C45"/>
    <w:rsid w:val="00D908A8"/>
    <w:rsid w:val="00D977B6"/>
    <w:rsid w:val="00DA1223"/>
    <w:rsid w:val="00DA27CF"/>
    <w:rsid w:val="00DA4A31"/>
    <w:rsid w:val="00DA7B04"/>
    <w:rsid w:val="00DB2B5C"/>
    <w:rsid w:val="00DB36C2"/>
    <w:rsid w:val="00DB406E"/>
    <w:rsid w:val="00DC169B"/>
    <w:rsid w:val="00DC2AB9"/>
    <w:rsid w:val="00DC63F0"/>
    <w:rsid w:val="00DD37EA"/>
    <w:rsid w:val="00DD3B86"/>
    <w:rsid w:val="00DD426C"/>
    <w:rsid w:val="00DD6EE5"/>
    <w:rsid w:val="00DE3512"/>
    <w:rsid w:val="00DE386C"/>
    <w:rsid w:val="00DE4D35"/>
    <w:rsid w:val="00DF098B"/>
    <w:rsid w:val="00DF11C4"/>
    <w:rsid w:val="00DF210C"/>
    <w:rsid w:val="00DF4B6A"/>
    <w:rsid w:val="00DF4CF9"/>
    <w:rsid w:val="00E004C0"/>
    <w:rsid w:val="00E00C06"/>
    <w:rsid w:val="00E02C09"/>
    <w:rsid w:val="00E04D59"/>
    <w:rsid w:val="00E07DA1"/>
    <w:rsid w:val="00E123CB"/>
    <w:rsid w:val="00E13B09"/>
    <w:rsid w:val="00E20E13"/>
    <w:rsid w:val="00E21DBC"/>
    <w:rsid w:val="00E2653A"/>
    <w:rsid w:val="00E275D7"/>
    <w:rsid w:val="00E27DBE"/>
    <w:rsid w:val="00E3202C"/>
    <w:rsid w:val="00E32AB1"/>
    <w:rsid w:val="00E36C71"/>
    <w:rsid w:val="00E40404"/>
    <w:rsid w:val="00E4126A"/>
    <w:rsid w:val="00E42A06"/>
    <w:rsid w:val="00E459C6"/>
    <w:rsid w:val="00E47589"/>
    <w:rsid w:val="00E61392"/>
    <w:rsid w:val="00E63EC7"/>
    <w:rsid w:val="00E64589"/>
    <w:rsid w:val="00E647B0"/>
    <w:rsid w:val="00E64915"/>
    <w:rsid w:val="00E64D3A"/>
    <w:rsid w:val="00E661D4"/>
    <w:rsid w:val="00E70091"/>
    <w:rsid w:val="00E70D2E"/>
    <w:rsid w:val="00E720F5"/>
    <w:rsid w:val="00E75918"/>
    <w:rsid w:val="00E76D47"/>
    <w:rsid w:val="00E827BC"/>
    <w:rsid w:val="00E849F7"/>
    <w:rsid w:val="00E90302"/>
    <w:rsid w:val="00E91D05"/>
    <w:rsid w:val="00E95C1E"/>
    <w:rsid w:val="00E962ED"/>
    <w:rsid w:val="00E97396"/>
    <w:rsid w:val="00EA0F56"/>
    <w:rsid w:val="00EA185E"/>
    <w:rsid w:val="00EA592A"/>
    <w:rsid w:val="00EB14E4"/>
    <w:rsid w:val="00EB32A5"/>
    <w:rsid w:val="00EB34ED"/>
    <w:rsid w:val="00EB447C"/>
    <w:rsid w:val="00EB6DAF"/>
    <w:rsid w:val="00EB7BE0"/>
    <w:rsid w:val="00EC315E"/>
    <w:rsid w:val="00EC7400"/>
    <w:rsid w:val="00ED077C"/>
    <w:rsid w:val="00ED10A9"/>
    <w:rsid w:val="00ED1190"/>
    <w:rsid w:val="00ED34AC"/>
    <w:rsid w:val="00ED4D2E"/>
    <w:rsid w:val="00ED6544"/>
    <w:rsid w:val="00EE0277"/>
    <w:rsid w:val="00EE0A96"/>
    <w:rsid w:val="00EE2899"/>
    <w:rsid w:val="00EE3E00"/>
    <w:rsid w:val="00EE5DD2"/>
    <w:rsid w:val="00EF36C5"/>
    <w:rsid w:val="00EF3DB4"/>
    <w:rsid w:val="00EF6D4F"/>
    <w:rsid w:val="00F00A79"/>
    <w:rsid w:val="00F00D13"/>
    <w:rsid w:val="00F00E86"/>
    <w:rsid w:val="00F07C1E"/>
    <w:rsid w:val="00F105DB"/>
    <w:rsid w:val="00F132BC"/>
    <w:rsid w:val="00F13A6B"/>
    <w:rsid w:val="00F13D80"/>
    <w:rsid w:val="00F15B4D"/>
    <w:rsid w:val="00F16A7C"/>
    <w:rsid w:val="00F16AAA"/>
    <w:rsid w:val="00F1709C"/>
    <w:rsid w:val="00F21161"/>
    <w:rsid w:val="00F218EF"/>
    <w:rsid w:val="00F21BC7"/>
    <w:rsid w:val="00F266A2"/>
    <w:rsid w:val="00F32269"/>
    <w:rsid w:val="00F33604"/>
    <w:rsid w:val="00F35B7A"/>
    <w:rsid w:val="00F40B58"/>
    <w:rsid w:val="00F46894"/>
    <w:rsid w:val="00F561C1"/>
    <w:rsid w:val="00F562FA"/>
    <w:rsid w:val="00F56A6F"/>
    <w:rsid w:val="00F5709C"/>
    <w:rsid w:val="00F60B85"/>
    <w:rsid w:val="00F6163E"/>
    <w:rsid w:val="00F63697"/>
    <w:rsid w:val="00F64EF1"/>
    <w:rsid w:val="00F7296D"/>
    <w:rsid w:val="00F72B14"/>
    <w:rsid w:val="00F7349B"/>
    <w:rsid w:val="00F74398"/>
    <w:rsid w:val="00F8346F"/>
    <w:rsid w:val="00F8765F"/>
    <w:rsid w:val="00F90767"/>
    <w:rsid w:val="00F9089F"/>
    <w:rsid w:val="00F9263C"/>
    <w:rsid w:val="00FA1637"/>
    <w:rsid w:val="00FA18B9"/>
    <w:rsid w:val="00FA685B"/>
    <w:rsid w:val="00FB0C01"/>
    <w:rsid w:val="00FB40E8"/>
    <w:rsid w:val="00FB5934"/>
    <w:rsid w:val="00FC18F2"/>
    <w:rsid w:val="00FC2A17"/>
    <w:rsid w:val="00FC38CF"/>
    <w:rsid w:val="00FC39E5"/>
    <w:rsid w:val="00FC3A78"/>
    <w:rsid w:val="00FC62F4"/>
    <w:rsid w:val="00FD1005"/>
    <w:rsid w:val="00FD1F7F"/>
    <w:rsid w:val="00FD22ED"/>
    <w:rsid w:val="00FD6C75"/>
    <w:rsid w:val="00FD7972"/>
    <w:rsid w:val="00FE0401"/>
    <w:rsid w:val="00FE39E0"/>
    <w:rsid w:val="00FE71B3"/>
    <w:rsid w:val="00FE7D47"/>
    <w:rsid w:val="00FF42C5"/>
    <w:rsid w:val="00FF7C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68CAA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semiHidden/>
    <w:rsid w:val="003650DF"/>
    <w:rPr>
      <w:sz w:val="24"/>
      <w:szCs w:val="24"/>
    </w:rPr>
  </w:style>
  <w:style w:type="paragraph" w:styleId="Nagwek1">
    <w:name w:val="heading 1"/>
    <w:basedOn w:val="Normalny"/>
    <w:next w:val="Normalny"/>
    <w:link w:val="Nagwek1Znak"/>
    <w:uiPriority w:val="98"/>
    <w:semiHidden/>
    <w:rsid w:val="003650DF"/>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8"/>
    <w:semiHidden/>
    <w:rsid w:val="003650DF"/>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8"/>
    <w:semiHidden/>
    <w:rsid w:val="003650DF"/>
    <w:pPr>
      <w:spacing w:before="200" w:line="271" w:lineRule="auto"/>
      <w:outlineLvl w:val="2"/>
    </w:pPr>
    <w:rPr>
      <w:rFonts w:asciiTheme="majorHAnsi" w:eastAsiaTheme="majorEastAsia" w:hAnsiTheme="majorHAnsi" w:cstheme="majorBidi"/>
      <w:b/>
      <w:bCs/>
      <w:color w:val="5F5F5F"/>
      <w:sz w:val="22"/>
      <w:szCs w:val="22"/>
    </w:rPr>
  </w:style>
  <w:style w:type="paragraph" w:styleId="Nagwek4">
    <w:name w:val="heading 4"/>
    <w:basedOn w:val="Normalny"/>
    <w:next w:val="Normalny"/>
    <w:link w:val="Nagwek4Znak"/>
    <w:uiPriority w:val="98"/>
    <w:semiHidden/>
    <w:rsid w:val="003650DF"/>
    <w:pPr>
      <w:spacing w:before="200"/>
      <w:outlineLvl w:val="3"/>
    </w:pPr>
    <w:rPr>
      <w:rFonts w:asciiTheme="majorHAnsi" w:eastAsiaTheme="majorEastAsia" w:hAnsiTheme="majorHAnsi" w:cstheme="majorBidi"/>
      <w:b/>
      <w:bCs/>
      <w:i/>
      <w:iCs/>
      <w:color w:val="777777"/>
      <w:sz w:val="22"/>
      <w:szCs w:val="22"/>
    </w:rPr>
  </w:style>
  <w:style w:type="paragraph" w:styleId="Nagwek5">
    <w:name w:val="heading 5"/>
    <w:basedOn w:val="Normalny"/>
    <w:next w:val="Normalny"/>
    <w:link w:val="Nagwek5Znak"/>
    <w:uiPriority w:val="98"/>
    <w:semiHidden/>
    <w:qFormat/>
    <w:rsid w:val="003650DF"/>
    <w:pPr>
      <w:spacing w:before="200"/>
      <w:outlineLvl w:val="4"/>
    </w:pPr>
    <w:rPr>
      <w:rFonts w:asciiTheme="majorHAnsi" w:eastAsiaTheme="majorEastAsia" w:hAnsiTheme="majorHAnsi" w:cstheme="majorBidi"/>
      <w:b/>
      <w:bCs/>
      <w:color w:val="808080"/>
      <w:sz w:val="22"/>
      <w:szCs w:val="22"/>
    </w:rPr>
  </w:style>
  <w:style w:type="paragraph" w:styleId="Nagwek6">
    <w:name w:val="heading 6"/>
    <w:basedOn w:val="Normalny"/>
    <w:next w:val="Normalny"/>
    <w:link w:val="Nagwek6Znak"/>
    <w:uiPriority w:val="98"/>
    <w:semiHidden/>
    <w:rsid w:val="003650DF"/>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Nagwek7">
    <w:name w:val="heading 7"/>
    <w:basedOn w:val="Normalny"/>
    <w:next w:val="Normalny"/>
    <w:link w:val="Nagwek7Znak"/>
    <w:uiPriority w:val="98"/>
    <w:semiHidden/>
    <w:qFormat/>
    <w:rsid w:val="003650DF"/>
    <w:pPr>
      <w:outlineLvl w:val="6"/>
    </w:pPr>
    <w:rPr>
      <w:rFonts w:asciiTheme="majorHAnsi" w:eastAsiaTheme="majorEastAsia" w:hAnsiTheme="majorHAnsi" w:cstheme="majorBidi"/>
      <w:i/>
      <w:iCs/>
      <w:sz w:val="22"/>
      <w:szCs w:val="22"/>
      <w:lang w:bidi="en-US"/>
    </w:rPr>
  </w:style>
  <w:style w:type="paragraph" w:styleId="Nagwek8">
    <w:name w:val="heading 8"/>
    <w:basedOn w:val="Normalny"/>
    <w:next w:val="Normalny"/>
    <w:link w:val="Nagwek8Znak"/>
    <w:uiPriority w:val="98"/>
    <w:semiHidden/>
    <w:qFormat/>
    <w:rsid w:val="003650DF"/>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8"/>
    <w:semiHidden/>
    <w:qFormat/>
    <w:rsid w:val="003650DF"/>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8"/>
    <w:semiHidden/>
    <w:rsid w:val="003650DF"/>
    <w:rPr>
      <w:rFonts w:ascii="Tahoma" w:hAnsi="Tahoma" w:cs="Tahoma"/>
      <w:sz w:val="16"/>
      <w:szCs w:val="16"/>
    </w:rPr>
  </w:style>
  <w:style w:type="character" w:customStyle="1" w:styleId="TekstdymkaZnak">
    <w:name w:val="Tekst dymka Znak"/>
    <w:basedOn w:val="Domylnaczcionkaakapitu"/>
    <w:link w:val="Tekstdymka"/>
    <w:uiPriority w:val="98"/>
    <w:semiHidden/>
    <w:rsid w:val="003650DF"/>
    <w:rPr>
      <w:rFonts w:ascii="Tahoma" w:hAnsi="Tahoma" w:cs="Tahoma"/>
      <w:sz w:val="16"/>
      <w:szCs w:val="16"/>
      <w:lang w:val="pl-PL"/>
    </w:rPr>
  </w:style>
  <w:style w:type="character" w:styleId="Tytuksiki">
    <w:name w:val="Book Title"/>
    <w:uiPriority w:val="98"/>
    <w:semiHidden/>
    <w:qFormat/>
    <w:rsid w:val="003650DF"/>
    <w:rPr>
      <w:i/>
      <w:iCs/>
      <w:smallCaps/>
      <w:spacing w:val="5"/>
    </w:rPr>
  </w:style>
  <w:style w:type="paragraph" w:customStyle="1" w:styleId="JuHeader">
    <w:name w:val="Ju_Header"/>
    <w:aliases w:val="_Header"/>
    <w:basedOn w:val="Nagwek"/>
    <w:uiPriority w:val="29"/>
    <w:qFormat/>
    <w:rsid w:val="003650DF"/>
    <w:pPr>
      <w:tabs>
        <w:tab w:val="clear" w:pos="4536"/>
        <w:tab w:val="clear" w:pos="9072"/>
      </w:tabs>
      <w:jc w:val="center"/>
    </w:pPr>
    <w:rPr>
      <w:sz w:val="18"/>
    </w:rPr>
  </w:style>
  <w:style w:type="paragraph" w:customStyle="1" w:styleId="NormalJustified">
    <w:name w:val="Normal_Justified"/>
    <w:basedOn w:val="Normalny"/>
    <w:semiHidden/>
    <w:rsid w:val="003650DF"/>
    <w:pPr>
      <w:jc w:val="both"/>
    </w:pPr>
  </w:style>
  <w:style w:type="character" w:styleId="Pogrubienie">
    <w:name w:val="Strong"/>
    <w:uiPriority w:val="98"/>
    <w:semiHidden/>
    <w:qFormat/>
    <w:rsid w:val="003650DF"/>
    <w:rPr>
      <w:b/>
      <w:bCs/>
    </w:rPr>
  </w:style>
  <w:style w:type="paragraph" w:styleId="Bezodstpw">
    <w:name w:val="No Spacing"/>
    <w:basedOn w:val="Normalny"/>
    <w:link w:val="BezodstpwZnak"/>
    <w:uiPriority w:val="98"/>
    <w:semiHidden/>
    <w:qFormat/>
    <w:rsid w:val="003650DF"/>
  </w:style>
  <w:style w:type="character" w:customStyle="1" w:styleId="BezodstpwZnak">
    <w:name w:val="Bez odstępów Znak"/>
    <w:basedOn w:val="Domylnaczcionkaakapitu"/>
    <w:link w:val="Bezodstpw"/>
    <w:uiPriority w:val="98"/>
    <w:semiHidden/>
    <w:rsid w:val="003650DF"/>
    <w:rPr>
      <w:sz w:val="24"/>
      <w:szCs w:val="24"/>
      <w:lang w:val="pl-PL"/>
    </w:rPr>
  </w:style>
  <w:style w:type="paragraph" w:customStyle="1" w:styleId="JuQuot">
    <w:name w:val="Ju_Quot"/>
    <w:aliases w:val="_Quote"/>
    <w:basedOn w:val="NormalJustified"/>
    <w:uiPriority w:val="20"/>
    <w:qFormat/>
    <w:rsid w:val="003650DF"/>
    <w:pPr>
      <w:spacing w:before="120" w:after="120"/>
      <w:ind w:left="425" w:firstLine="142"/>
    </w:pPr>
    <w:rPr>
      <w:sz w:val="20"/>
    </w:rPr>
  </w:style>
  <w:style w:type="paragraph" w:customStyle="1" w:styleId="DummyStyle">
    <w:name w:val="Dummy_Style"/>
    <w:aliases w:val="_Dummy"/>
    <w:basedOn w:val="Normalny"/>
    <w:semiHidden/>
    <w:qFormat/>
    <w:rsid w:val="003650DF"/>
    <w:rPr>
      <w:color w:val="00B050"/>
      <w:sz w:val="22"/>
    </w:rPr>
  </w:style>
  <w:style w:type="paragraph" w:customStyle="1" w:styleId="JuList">
    <w:name w:val="Ju_List"/>
    <w:aliases w:val="_List_1"/>
    <w:basedOn w:val="NormalJustified"/>
    <w:uiPriority w:val="23"/>
    <w:qFormat/>
    <w:rsid w:val="003650DF"/>
    <w:pPr>
      <w:numPr>
        <w:numId w:val="10"/>
      </w:numPr>
      <w:spacing w:before="280" w:after="60"/>
    </w:pPr>
  </w:style>
  <w:style w:type="paragraph" w:customStyle="1" w:styleId="JuLista">
    <w:name w:val="Ju_List_a"/>
    <w:aliases w:val="_List_2"/>
    <w:basedOn w:val="NormalJustified"/>
    <w:uiPriority w:val="23"/>
    <w:rsid w:val="003650DF"/>
    <w:pPr>
      <w:numPr>
        <w:ilvl w:val="1"/>
        <w:numId w:val="10"/>
      </w:numPr>
    </w:pPr>
  </w:style>
  <w:style w:type="paragraph" w:customStyle="1" w:styleId="JuListi">
    <w:name w:val="Ju_List_i"/>
    <w:aliases w:val="_List_3"/>
    <w:basedOn w:val="NormalJustified"/>
    <w:uiPriority w:val="23"/>
    <w:rsid w:val="003650DF"/>
    <w:pPr>
      <w:numPr>
        <w:ilvl w:val="2"/>
        <w:numId w:val="10"/>
      </w:numPr>
    </w:pPr>
  </w:style>
  <w:style w:type="paragraph" w:customStyle="1" w:styleId="JuHArticle">
    <w:name w:val="Ju_H_Article"/>
    <w:aliases w:val="_Title_Quote"/>
    <w:basedOn w:val="Normalny"/>
    <w:next w:val="JuQuot"/>
    <w:uiPriority w:val="19"/>
    <w:qFormat/>
    <w:rsid w:val="003650DF"/>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3650DF"/>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3650DF"/>
    <w:pPr>
      <w:keepNext/>
      <w:keepLines/>
      <w:tabs>
        <w:tab w:val="right" w:pos="7938"/>
      </w:tabs>
      <w:ind w:firstLine="0"/>
      <w:jc w:val="center"/>
    </w:pPr>
    <w:rPr>
      <w:i/>
    </w:rPr>
  </w:style>
  <w:style w:type="paragraph" w:customStyle="1" w:styleId="JuHHead">
    <w:name w:val="Ju_H_Head"/>
    <w:aliases w:val="_Head_1"/>
    <w:basedOn w:val="Nagwek1"/>
    <w:next w:val="JuPara"/>
    <w:uiPriority w:val="17"/>
    <w:qFormat/>
    <w:rsid w:val="003650DF"/>
    <w:pPr>
      <w:keepNext/>
      <w:keepLines/>
      <w:numPr>
        <w:numId w:val="5"/>
      </w:numPr>
      <w:spacing w:before="100" w:beforeAutospacing="1" w:after="240"/>
      <w:contextualSpacing w:val="0"/>
      <w:jc w:val="both"/>
    </w:pPr>
    <w:rPr>
      <w:b w:val="0"/>
      <w:caps/>
      <w:color w:val="auto"/>
    </w:rPr>
  </w:style>
  <w:style w:type="numbering" w:customStyle="1" w:styleId="ECHRA1StyleBulletedSquare">
    <w:name w:val="ECHR_A1_Style_Bulleted_Square"/>
    <w:basedOn w:val="Bezlisty"/>
    <w:rsid w:val="003650DF"/>
    <w:pPr>
      <w:numPr>
        <w:numId w:val="9"/>
      </w:numPr>
    </w:pPr>
  </w:style>
  <w:style w:type="paragraph" w:customStyle="1" w:styleId="JuSigned">
    <w:name w:val="Ju_Signed"/>
    <w:aliases w:val="_Signature"/>
    <w:basedOn w:val="Normalny"/>
    <w:next w:val="JuPara"/>
    <w:uiPriority w:val="31"/>
    <w:qFormat/>
    <w:rsid w:val="003650DF"/>
    <w:pPr>
      <w:tabs>
        <w:tab w:val="center" w:pos="851"/>
        <w:tab w:val="center" w:pos="6407"/>
      </w:tabs>
      <w:spacing w:before="720"/>
    </w:pPr>
  </w:style>
  <w:style w:type="paragraph" w:styleId="Tytu">
    <w:name w:val="Title"/>
    <w:basedOn w:val="Normalny"/>
    <w:next w:val="Normalny"/>
    <w:link w:val="TytuZnak"/>
    <w:uiPriority w:val="98"/>
    <w:semiHidden/>
    <w:qFormat/>
    <w:rsid w:val="003650DF"/>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8"/>
    <w:semiHidden/>
    <w:rsid w:val="003650DF"/>
    <w:rPr>
      <w:rFonts w:asciiTheme="majorHAnsi" w:eastAsiaTheme="majorEastAsia" w:hAnsiTheme="majorHAnsi" w:cstheme="majorBidi"/>
      <w:spacing w:val="5"/>
      <w:sz w:val="52"/>
      <w:szCs w:val="52"/>
      <w:lang w:val="pl-PL" w:bidi="en-US"/>
    </w:rPr>
  </w:style>
  <w:style w:type="numbering" w:customStyle="1" w:styleId="ECHRA1StyleList">
    <w:name w:val="ECHR_A1_Style_List"/>
    <w:basedOn w:val="Bezlisty"/>
    <w:uiPriority w:val="99"/>
    <w:rsid w:val="003650DF"/>
    <w:pPr>
      <w:numPr>
        <w:numId w:val="10"/>
      </w:numPr>
    </w:pPr>
  </w:style>
  <w:style w:type="numbering" w:customStyle="1" w:styleId="ECHRA1StyleNumberedList">
    <w:name w:val="ECHR_A1_Style_Numbered_List"/>
    <w:basedOn w:val="Bezlisty"/>
    <w:rsid w:val="003650DF"/>
    <w:pPr>
      <w:numPr>
        <w:numId w:val="11"/>
      </w:numPr>
    </w:pPr>
  </w:style>
  <w:style w:type="table" w:customStyle="1" w:styleId="ECHRTable2019">
    <w:name w:val="ECHR_Table_2019"/>
    <w:basedOn w:val="Standardowy"/>
    <w:uiPriority w:val="99"/>
    <w:rsid w:val="003650DF"/>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Stopka"/>
    <w:uiPriority w:val="57"/>
    <w:semiHidden/>
    <w:rsid w:val="007D3701"/>
    <w:rPr>
      <w:sz w:val="8"/>
    </w:rPr>
  </w:style>
  <w:style w:type="paragraph" w:customStyle="1" w:styleId="JuCourt">
    <w:name w:val="Ju_Court"/>
    <w:aliases w:val="_Court_Names"/>
    <w:basedOn w:val="Normalny"/>
    <w:next w:val="Normalny"/>
    <w:uiPriority w:val="32"/>
    <w:qFormat/>
    <w:rsid w:val="003650DF"/>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agwek2"/>
    <w:next w:val="JuPara"/>
    <w:uiPriority w:val="17"/>
    <w:qFormat/>
    <w:rsid w:val="003650DF"/>
    <w:pPr>
      <w:keepNext/>
      <w:keepLines/>
      <w:numPr>
        <w:ilvl w:val="1"/>
        <w:numId w:val="5"/>
      </w:numPr>
      <w:tabs>
        <w:tab w:val="left" w:pos="454"/>
        <w:tab w:val="left" w:pos="567"/>
        <w:tab w:val="left" w:pos="680"/>
      </w:tabs>
      <w:spacing w:before="100" w:beforeAutospacing="1" w:after="240"/>
      <w:jc w:val="both"/>
    </w:pPr>
    <w:rPr>
      <w:b w:val="0"/>
      <w:caps/>
      <w:color w:val="auto"/>
      <w:sz w:val="24"/>
    </w:rPr>
  </w:style>
  <w:style w:type="paragraph" w:customStyle="1" w:styleId="JuHA">
    <w:name w:val="Ju_H_A"/>
    <w:aliases w:val="_Head_3"/>
    <w:basedOn w:val="Nagwek3"/>
    <w:next w:val="JuPara"/>
    <w:uiPriority w:val="17"/>
    <w:qFormat/>
    <w:rsid w:val="003650DF"/>
    <w:pPr>
      <w:keepNext/>
      <w:keepLines/>
      <w:numPr>
        <w:ilvl w:val="2"/>
        <w:numId w:val="5"/>
      </w:numPr>
      <w:spacing w:before="100" w:beforeAutospacing="1" w:after="240" w:line="240" w:lineRule="auto"/>
      <w:jc w:val="both"/>
    </w:pPr>
    <w:rPr>
      <w:color w:val="auto"/>
      <w:sz w:val="24"/>
    </w:rPr>
  </w:style>
  <w:style w:type="paragraph" w:customStyle="1" w:styleId="JuH1">
    <w:name w:val="Ju_H_1."/>
    <w:aliases w:val="_Head_4"/>
    <w:basedOn w:val="Nagwek4"/>
    <w:next w:val="JuPara"/>
    <w:uiPriority w:val="17"/>
    <w:rsid w:val="003650DF"/>
    <w:pPr>
      <w:keepNext/>
      <w:keepLines/>
      <w:numPr>
        <w:ilvl w:val="3"/>
        <w:numId w:val="5"/>
      </w:numPr>
      <w:spacing w:before="100" w:beforeAutospacing="1" w:after="120"/>
      <w:jc w:val="both"/>
    </w:pPr>
    <w:rPr>
      <w:b w:val="0"/>
      <w:color w:val="auto"/>
      <w:sz w:val="24"/>
    </w:rPr>
  </w:style>
  <w:style w:type="paragraph" w:styleId="Nagwek">
    <w:name w:val="header"/>
    <w:basedOn w:val="Normalny"/>
    <w:link w:val="NagwekZnak"/>
    <w:uiPriority w:val="98"/>
    <w:semiHidden/>
    <w:rsid w:val="003650DF"/>
    <w:pPr>
      <w:tabs>
        <w:tab w:val="center" w:pos="4536"/>
        <w:tab w:val="right" w:pos="9072"/>
      </w:tabs>
    </w:pPr>
  </w:style>
  <w:style w:type="character" w:customStyle="1" w:styleId="NagwekZnak">
    <w:name w:val="Nagłówek Znak"/>
    <w:basedOn w:val="Domylnaczcionkaakapitu"/>
    <w:link w:val="Nagwek"/>
    <w:uiPriority w:val="98"/>
    <w:semiHidden/>
    <w:rsid w:val="003650DF"/>
    <w:rPr>
      <w:sz w:val="24"/>
      <w:szCs w:val="24"/>
      <w:lang w:val="pl-PL"/>
    </w:rPr>
  </w:style>
  <w:style w:type="character" w:customStyle="1" w:styleId="Nagwek1Znak">
    <w:name w:val="Nagłówek 1 Znak"/>
    <w:basedOn w:val="Domylnaczcionkaakapitu"/>
    <w:link w:val="Nagwek1"/>
    <w:uiPriority w:val="98"/>
    <w:semiHidden/>
    <w:rsid w:val="003650DF"/>
    <w:rPr>
      <w:rFonts w:asciiTheme="majorHAnsi" w:eastAsiaTheme="majorEastAsia" w:hAnsiTheme="majorHAnsi" w:cstheme="majorBidi"/>
      <w:b/>
      <w:bCs/>
      <w:color w:val="333333"/>
      <w:sz w:val="28"/>
      <w:szCs w:val="28"/>
      <w:lang w:val="pl-PL"/>
    </w:rPr>
  </w:style>
  <w:style w:type="paragraph" w:customStyle="1" w:styleId="JuHa0">
    <w:name w:val="Ju_H_a"/>
    <w:aliases w:val="_Head_5"/>
    <w:basedOn w:val="Nagwek5"/>
    <w:next w:val="JuPara"/>
    <w:uiPriority w:val="17"/>
    <w:rsid w:val="003650DF"/>
    <w:pPr>
      <w:keepNext/>
      <w:keepLines/>
      <w:numPr>
        <w:ilvl w:val="4"/>
        <w:numId w:val="5"/>
      </w:numPr>
      <w:spacing w:before="100" w:beforeAutospacing="1" w:after="120"/>
      <w:jc w:val="both"/>
    </w:pPr>
    <w:rPr>
      <w:color w:val="auto"/>
      <w:sz w:val="20"/>
    </w:rPr>
  </w:style>
  <w:style w:type="paragraph" w:customStyle="1" w:styleId="JuHi">
    <w:name w:val="Ju_H_i"/>
    <w:aliases w:val="_Head_6"/>
    <w:basedOn w:val="Nagwek6"/>
    <w:next w:val="JuPara"/>
    <w:uiPriority w:val="17"/>
    <w:rsid w:val="003650DF"/>
    <w:pPr>
      <w:keepNext/>
      <w:keepLines/>
      <w:numPr>
        <w:ilvl w:val="5"/>
        <w:numId w:val="5"/>
      </w:numPr>
      <w:tabs>
        <w:tab w:val="left" w:pos="1077"/>
        <w:tab w:val="left" w:pos="1134"/>
        <w:tab w:val="left" w:pos="1191"/>
        <w:tab w:val="left" w:pos="1247"/>
      </w:tabs>
      <w:spacing w:before="100" w:beforeAutospacing="1" w:after="120"/>
      <w:jc w:val="both"/>
    </w:pPr>
    <w:rPr>
      <w:b w:val="0"/>
      <w:color w:val="auto"/>
      <w:sz w:val="20"/>
    </w:rPr>
  </w:style>
  <w:style w:type="character" w:customStyle="1" w:styleId="Nagwek2Znak">
    <w:name w:val="Nagłówek 2 Znak"/>
    <w:basedOn w:val="Domylnaczcionkaakapitu"/>
    <w:link w:val="Nagwek2"/>
    <w:uiPriority w:val="98"/>
    <w:semiHidden/>
    <w:rsid w:val="003650DF"/>
    <w:rPr>
      <w:rFonts w:asciiTheme="majorHAnsi" w:eastAsiaTheme="majorEastAsia" w:hAnsiTheme="majorHAnsi" w:cstheme="majorBidi"/>
      <w:b/>
      <w:bCs/>
      <w:color w:val="4D4D4D"/>
      <w:sz w:val="26"/>
      <w:szCs w:val="26"/>
      <w:lang w:val="pl-PL"/>
    </w:rPr>
  </w:style>
  <w:style w:type="paragraph" w:customStyle="1" w:styleId="JuHalpha">
    <w:name w:val="Ju_H_alpha"/>
    <w:aliases w:val="_Head_7"/>
    <w:basedOn w:val="Nagwek7"/>
    <w:next w:val="JuPara"/>
    <w:uiPriority w:val="17"/>
    <w:rsid w:val="003650DF"/>
    <w:pPr>
      <w:keepNext/>
      <w:keepLines/>
      <w:numPr>
        <w:ilvl w:val="6"/>
        <w:numId w:val="5"/>
      </w:numPr>
      <w:tabs>
        <w:tab w:val="left" w:pos="1361"/>
      </w:tabs>
      <w:spacing w:before="100" w:beforeAutospacing="1" w:after="120"/>
      <w:jc w:val="both"/>
    </w:pPr>
    <w:rPr>
      <w:i w:val="0"/>
      <w:sz w:val="20"/>
    </w:rPr>
  </w:style>
  <w:style w:type="paragraph" w:customStyle="1" w:styleId="JuH">
    <w:name w:val="Ju_H_–"/>
    <w:aliases w:val="_Head_8"/>
    <w:basedOn w:val="Nagwek8"/>
    <w:next w:val="JuPara"/>
    <w:uiPriority w:val="17"/>
    <w:rsid w:val="003650DF"/>
    <w:pPr>
      <w:keepNext/>
      <w:keepLines/>
      <w:numPr>
        <w:ilvl w:val="7"/>
        <w:numId w:val="5"/>
      </w:numPr>
      <w:spacing w:before="100" w:beforeAutospacing="1" w:after="120"/>
      <w:jc w:val="both"/>
    </w:pPr>
    <w:rPr>
      <w:i/>
    </w:rPr>
  </w:style>
  <w:style w:type="character" w:customStyle="1" w:styleId="Nagwek3Znak">
    <w:name w:val="Nagłówek 3 Znak"/>
    <w:basedOn w:val="Domylnaczcionkaakapitu"/>
    <w:link w:val="Nagwek3"/>
    <w:uiPriority w:val="98"/>
    <w:semiHidden/>
    <w:rsid w:val="003650DF"/>
    <w:rPr>
      <w:rFonts w:asciiTheme="majorHAnsi" w:eastAsiaTheme="majorEastAsia" w:hAnsiTheme="majorHAnsi" w:cstheme="majorBidi"/>
      <w:b/>
      <w:bCs/>
      <w:color w:val="5F5F5F"/>
      <w:lang w:val="pl-PL"/>
    </w:rPr>
  </w:style>
  <w:style w:type="paragraph" w:customStyle="1" w:styleId="JuParaLast">
    <w:name w:val="Ju_Para_Last"/>
    <w:aliases w:val="_Para_Spaced"/>
    <w:basedOn w:val="NormalJustified"/>
    <w:uiPriority w:val="5"/>
    <w:qFormat/>
    <w:rsid w:val="003650DF"/>
    <w:pPr>
      <w:keepNext/>
      <w:keepLines/>
      <w:spacing w:before="240" w:after="240"/>
      <w:ind w:firstLine="284"/>
    </w:pPr>
  </w:style>
  <w:style w:type="paragraph" w:customStyle="1" w:styleId="JuJudges">
    <w:name w:val="Ju_Judges"/>
    <w:aliases w:val="_Judges"/>
    <w:basedOn w:val="Normalny"/>
    <w:uiPriority w:val="32"/>
    <w:qFormat/>
    <w:rsid w:val="003650DF"/>
    <w:pPr>
      <w:tabs>
        <w:tab w:val="left" w:pos="567"/>
        <w:tab w:val="left" w:pos="1134"/>
      </w:tabs>
    </w:pPr>
  </w:style>
  <w:style w:type="character" w:customStyle="1" w:styleId="Nagwek4Znak">
    <w:name w:val="Nagłówek 4 Znak"/>
    <w:basedOn w:val="Domylnaczcionkaakapitu"/>
    <w:link w:val="Nagwek4"/>
    <w:uiPriority w:val="98"/>
    <w:semiHidden/>
    <w:rsid w:val="003650DF"/>
    <w:rPr>
      <w:rFonts w:asciiTheme="majorHAnsi" w:eastAsiaTheme="majorEastAsia" w:hAnsiTheme="majorHAnsi" w:cstheme="majorBidi"/>
      <w:b/>
      <w:bCs/>
      <w:i/>
      <w:iCs/>
      <w:color w:val="777777"/>
      <w:lang w:val="pl-PL"/>
    </w:rPr>
  </w:style>
  <w:style w:type="paragraph" w:customStyle="1" w:styleId="JuInitialled">
    <w:name w:val="Ju_Initialled"/>
    <w:aliases w:val="_Right"/>
    <w:basedOn w:val="Normalny"/>
    <w:uiPriority w:val="30"/>
    <w:qFormat/>
    <w:rsid w:val="003650DF"/>
    <w:pPr>
      <w:tabs>
        <w:tab w:val="center" w:pos="6407"/>
      </w:tabs>
      <w:spacing w:before="720"/>
      <w:jc w:val="right"/>
    </w:pPr>
  </w:style>
  <w:style w:type="character" w:customStyle="1" w:styleId="Nagwek5Znak">
    <w:name w:val="Nagłówek 5 Znak"/>
    <w:basedOn w:val="Domylnaczcionkaakapitu"/>
    <w:link w:val="Nagwek5"/>
    <w:uiPriority w:val="98"/>
    <w:semiHidden/>
    <w:rsid w:val="003650DF"/>
    <w:rPr>
      <w:rFonts w:asciiTheme="majorHAnsi" w:eastAsiaTheme="majorEastAsia" w:hAnsiTheme="majorHAnsi" w:cstheme="majorBidi"/>
      <w:b/>
      <w:bCs/>
      <w:color w:val="808080"/>
      <w:lang w:val="pl-PL"/>
    </w:rPr>
  </w:style>
  <w:style w:type="character" w:customStyle="1" w:styleId="JuITMark">
    <w:name w:val="Ju_ITMark"/>
    <w:aliases w:val="_ITMark"/>
    <w:basedOn w:val="Domylnaczcionkaakapitu"/>
    <w:uiPriority w:val="54"/>
    <w:qFormat/>
    <w:rsid w:val="003650DF"/>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3650DF"/>
    <w:rPr>
      <w:caps w:val="0"/>
      <w:smallCaps/>
    </w:rPr>
  </w:style>
  <w:style w:type="character" w:styleId="Wyrnieniedelikatne">
    <w:name w:val="Subtle Emphasis"/>
    <w:uiPriority w:val="98"/>
    <w:semiHidden/>
    <w:qFormat/>
    <w:rsid w:val="003650DF"/>
    <w:rPr>
      <w:i/>
      <w:iCs/>
    </w:rPr>
  </w:style>
  <w:style w:type="table" w:customStyle="1" w:styleId="ECHRTable">
    <w:name w:val="ECHR_Table"/>
    <w:basedOn w:val="Standardowy"/>
    <w:rsid w:val="003650DF"/>
    <w:rPr>
      <w:rFonts w:eastAsia="Times New Roman" w:cs="Times New Roman"/>
      <w:sz w:val="20"/>
      <w:szCs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3650DF"/>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Uwydatnienie">
    <w:name w:val="Emphasis"/>
    <w:uiPriority w:val="98"/>
    <w:semiHidden/>
    <w:qFormat/>
    <w:rsid w:val="003650DF"/>
    <w:rPr>
      <w:b/>
      <w:bCs/>
      <w:i/>
      <w:iCs/>
      <w:spacing w:val="10"/>
      <w:bdr w:val="none" w:sz="0" w:space="0" w:color="auto"/>
      <w:shd w:val="clear" w:color="auto" w:fill="auto"/>
    </w:rPr>
  </w:style>
  <w:style w:type="paragraph" w:styleId="Stopka">
    <w:name w:val="footer"/>
    <w:basedOn w:val="Normalny"/>
    <w:link w:val="StopkaZnak"/>
    <w:uiPriority w:val="98"/>
    <w:semiHidden/>
    <w:rsid w:val="003650DF"/>
    <w:pPr>
      <w:tabs>
        <w:tab w:val="center" w:pos="3686"/>
        <w:tab w:val="right" w:pos="7371"/>
      </w:tabs>
    </w:pPr>
  </w:style>
  <w:style w:type="character" w:customStyle="1" w:styleId="StopkaZnak">
    <w:name w:val="Stopka Znak"/>
    <w:basedOn w:val="Domylnaczcionkaakapitu"/>
    <w:link w:val="Stopka"/>
    <w:uiPriority w:val="98"/>
    <w:semiHidden/>
    <w:rsid w:val="003650DF"/>
    <w:rPr>
      <w:sz w:val="24"/>
      <w:szCs w:val="24"/>
      <w:lang w:val="pl-PL"/>
    </w:rPr>
  </w:style>
  <w:style w:type="character" w:styleId="Odwoanieprzypisudolnego">
    <w:name w:val="footnote reference"/>
    <w:basedOn w:val="Domylnaczcionkaakapitu"/>
    <w:uiPriority w:val="98"/>
    <w:semiHidden/>
    <w:rsid w:val="003650DF"/>
    <w:rPr>
      <w:vertAlign w:val="superscript"/>
    </w:rPr>
  </w:style>
  <w:style w:type="paragraph" w:styleId="Tekstprzypisudolnego">
    <w:name w:val="footnote text"/>
    <w:basedOn w:val="Normalny"/>
    <w:link w:val="TekstprzypisudolnegoZnak"/>
    <w:uiPriority w:val="98"/>
    <w:semiHidden/>
    <w:rsid w:val="003650DF"/>
    <w:rPr>
      <w:sz w:val="20"/>
      <w:szCs w:val="20"/>
    </w:rPr>
  </w:style>
  <w:style w:type="character" w:customStyle="1" w:styleId="TekstprzypisudolnegoZnak">
    <w:name w:val="Tekst przypisu dolnego Znak"/>
    <w:basedOn w:val="Domylnaczcionkaakapitu"/>
    <w:link w:val="Tekstprzypisudolnego"/>
    <w:uiPriority w:val="98"/>
    <w:semiHidden/>
    <w:rsid w:val="003650DF"/>
    <w:rPr>
      <w:sz w:val="20"/>
      <w:szCs w:val="20"/>
      <w:lang w:val="pl-PL"/>
    </w:rPr>
  </w:style>
  <w:style w:type="character" w:customStyle="1" w:styleId="Nagwek6Znak">
    <w:name w:val="Nagłówek 6 Znak"/>
    <w:basedOn w:val="Domylnaczcionkaakapitu"/>
    <w:link w:val="Nagwek6"/>
    <w:uiPriority w:val="98"/>
    <w:semiHidden/>
    <w:rsid w:val="003650DF"/>
    <w:rPr>
      <w:rFonts w:asciiTheme="majorHAnsi" w:eastAsiaTheme="majorEastAsia" w:hAnsiTheme="majorHAnsi" w:cstheme="majorBidi"/>
      <w:b/>
      <w:bCs/>
      <w:i/>
      <w:iCs/>
      <w:color w:val="7F7F7F" w:themeColor="text1" w:themeTint="80"/>
      <w:lang w:val="pl-PL" w:bidi="en-US"/>
    </w:rPr>
  </w:style>
  <w:style w:type="character" w:customStyle="1" w:styleId="Nagwek7Znak">
    <w:name w:val="Nagłówek 7 Znak"/>
    <w:basedOn w:val="Domylnaczcionkaakapitu"/>
    <w:link w:val="Nagwek7"/>
    <w:uiPriority w:val="98"/>
    <w:semiHidden/>
    <w:rsid w:val="003650DF"/>
    <w:rPr>
      <w:rFonts w:asciiTheme="majorHAnsi" w:eastAsiaTheme="majorEastAsia" w:hAnsiTheme="majorHAnsi" w:cstheme="majorBidi"/>
      <w:i/>
      <w:iCs/>
      <w:lang w:val="pl-PL" w:bidi="en-US"/>
    </w:rPr>
  </w:style>
  <w:style w:type="character" w:customStyle="1" w:styleId="Nagwek8Znak">
    <w:name w:val="Nagłówek 8 Znak"/>
    <w:basedOn w:val="Domylnaczcionkaakapitu"/>
    <w:link w:val="Nagwek8"/>
    <w:uiPriority w:val="98"/>
    <w:semiHidden/>
    <w:rsid w:val="003650DF"/>
    <w:rPr>
      <w:rFonts w:asciiTheme="majorHAnsi" w:eastAsiaTheme="majorEastAsia" w:hAnsiTheme="majorHAnsi" w:cstheme="majorBidi"/>
      <w:sz w:val="20"/>
      <w:szCs w:val="20"/>
      <w:lang w:val="pl-PL" w:bidi="en-US"/>
    </w:rPr>
  </w:style>
  <w:style w:type="character" w:customStyle="1" w:styleId="Nagwek9Znak">
    <w:name w:val="Nagłówek 9 Znak"/>
    <w:basedOn w:val="Domylnaczcionkaakapitu"/>
    <w:link w:val="Nagwek9"/>
    <w:uiPriority w:val="98"/>
    <w:semiHidden/>
    <w:rsid w:val="003650DF"/>
    <w:rPr>
      <w:rFonts w:asciiTheme="majorHAnsi" w:eastAsiaTheme="majorEastAsia" w:hAnsiTheme="majorHAnsi" w:cstheme="majorBidi"/>
      <w:i/>
      <w:iCs/>
      <w:spacing w:val="5"/>
      <w:sz w:val="20"/>
      <w:szCs w:val="20"/>
      <w:lang w:val="pl-PL" w:bidi="en-US"/>
    </w:rPr>
  </w:style>
  <w:style w:type="character" w:styleId="Hipercze">
    <w:name w:val="Hyperlink"/>
    <w:basedOn w:val="Domylnaczcionkaakapitu"/>
    <w:uiPriority w:val="98"/>
    <w:semiHidden/>
    <w:rsid w:val="003650DF"/>
    <w:rPr>
      <w:color w:val="0072BC" w:themeColor="hyperlink"/>
      <w:u w:val="single"/>
    </w:rPr>
  </w:style>
  <w:style w:type="character" w:styleId="Wyrnienieintensywne">
    <w:name w:val="Intense Emphasis"/>
    <w:uiPriority w:val="98"/>
    <w:semiHidden/>
    <w:qFormat/>
    <w:rsid w:val="003650DF"/>
    <w:rPr>
      <w:b/>
      <w:bCs/>
    </w:rPr>
  </w:style>
  <w:style w:type="paragraph" w:styleId="Cytatintensywny">
    <w:name w:val="Intense Quote"/>
    <w:basedOn w:val="Normalny"/>
    <w:next w:val="Normalny"/>
    <w:link w:val="CytatintensywnyZnak"/>
    <w:uiPriority w:val="98"/>
    <w:semiHidden/>
    <w:qFormat/>
    <w:rsid w:val="003650DF"/>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8"/>
    <w:semiHidden/>
    <w:rsid w:val="003650DF"/>
    <w:rPr>
      <w:b/>
      <w:bCs/>
      <w:i/>
      <w:iCs/>
      <w:sz w:val="24"/>
      <w:szCs w:val="24"/>
      <w:lang w:val="pl-PL" w:bidi="en-US"/>
    </w:rPr>
  </w:style>
  <w:style w:type="character" w:styleId="Odwoanieintensywne">
    <w:name w:val="Intense Reference"/>
    <w:uiPriority w:val="98"/>
    <w:semiHidden/>
    <w:qFormat/>
    <w:rsid w:val="003650DF"/>
    <w:rPr>
      <w:smallCaps/>
      <w:spacing w:val="5"/>
      <w:u w:val="single"/>
    </w:rPr>
  </w:style>
  <w:style w:type="paragraph" w:styleId="Akapitzlist">
    <w:name w:val="List Paragraph"/>
    <w:basedOn w:val="Normalny"/>
    <w:uiPriority w:val="98"/>
    <w:semiHidden/>
    <w:qFormat/>
    <w:rsid w:val="003650DF"/>
    <w:pPr>
      <w:ind w:left="720"/>
      <w:contextualSpacing/>
    </w:pPr>
  </w:style>
  <w:style w:type="table" w:customStyle="1" w:styleId="LtrTableAddress">
    <w:name w:val="Ltr_Table_Address"/>
    <w:aliases w:val="ECHR_Ltr_Table_Address"/>
    <w:basedOn w:val="Standardowy"/>
    <w:uiPriority w:val="99"/>
    <w:rsid w:val="003650DF"/>
    <w:rPr>
      <w:sz w:val="24"/>
      <w:szCs w:val="24"/>
    </w:rPr>
    <w:tblPr>
      <w:tblInd w:w="5103" w:type="dxa"/>
    </w:tblPr>
  </w:style>
  <w:style w:type="paragraph" w:styleId="Cytat">
    <w:name w:val="Quote"/>
    <w:basedOn w:val="Normalny"/>
    <w:next w:val="Normalny"/>
    <w:link w:val="CytatZnak"/>
    <w:uiPriority w:val="98"/>
    <w:semiHidden/>
    <w:qFormat/>
    <w:rsid w:val="003650DF"/>
    <w:pPr>
      <w:spacing w:before="200"/>
      <w:ind w:left="360" w:right="360"/>
    </w:pPr>
    <w:rPr>
      <w:i/>
      <w:iCs/>
      <w:lang w:bidi="en-US"/>
    </w:rPr>
  </w:style>
  <w:style w:type="character" w:customStyle="1" w:styleId="CytatZnak">
    <w:name w:val="Cytat Znak"/>
    <w:basedOn w:val="Domylnaczcionkaakapitu"/>
    <w:link w:val="Cytat"/>
    <w:uiPriority w:val="98"/>
    <w:semiHidden/>
    <w:rsid w:val="003650DF"/>
    <w:rPr>
      <w:i/>
      <w:iCs/>
      <w:sz w:val="24"/>
      <w:szCs w:val="24"/>
      <w:lang w:val="pl-PL" w:bidi="en-US"/>
    </w:rPr>
  </w:style>
  <w:style w:type="character" w:styleId="Odwoaniedelikatne">
    <w:name w:val="Subtle Reference"/>
    <w:uiPriority w:val="98"/>
    <w:semiHidden/>
    <w:qFormat/>
    <w:rsid w:val="003650DF"/>
    <w:rPr>
      <w:smallCaps/>
    </w:rPr>
  </w:style>
  <w:style w:type="table" w:styleId="Tabela-Siatka">
    <w:name w:val="Table Grid"/>
    <w:basedOn w:val="Standardowy"/>
    <w:uiPriority w:val="59"/>
    <w:semiHidden/>
    <w:rsid w:val="003650DF"/>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8"/>
    <w:semiHidden/>
    <w:rsid w:val="003650DF"/>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3650DF"/>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3650DF"/>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3650DF"/>
    <w:pPr>
      <w:keepNext/>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3650DF"/>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rsid w:val="003650DF"/>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Standardowy"/>
    <w:uiPriority w:val="99"/>
    <w:rsid w:val="003650DF"/>
    <w:rPr>
      <w:rFonts w:eastAsiaTheme="minorEastAsia"/>
      <w:sz w:val="20"/>
      <w:szCs w:val="24"/>
      <w:lang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3650DF"/>
    <w:rPr>
      <w:rFonts w:eastAsiaTheme="minorEastAsia"/>
      <w:sz w:val="24"/>
      <w:szCs w:val="24"/>
      <w:lang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3650DF"/>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3650DF"/>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3650DF"/>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Standardowy"/>
    <w:uiPriority w:val="99"/>
    <w:rsid w:val="003650DF"/>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8"/>
    <w:semiHidden/>
    <w:rsid w:val="003650DF"/>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Podtytu">
    <w:name w:val="Subtitle"/>
    <w:basedOn w:val="Normalny"/>
    <w:next w:val="Normalny"/>
    <w:link w:val="PodtytuZnak"/>
    <w:uiPriority w:val="98"/>
    <w:semiHidden/>
    <w:qFormat/>
    <w:rsid w:val="003650DF"/>
    <w:pPr>
      <w:spacing w:after="600"/>
    </w:pPr>
    <w:rPr>
      <w:rFonts w:asciiTheme="majorHAnsi" w:eastAsiaTheme="majorEastAsia" w:hAnsiTheme="majorHAnsi" w:cstheme="majorBidi"/>
      <w:i/>
      <w:iCs/>
      <w:spacing w:val="13"/>
      <w:lang w:bidi="en-US"/>
    </w:rPr>
  </w:style>
  <w:style w:type="character" w:customStyle="1" w:styleId="PodtytuZnak">
    <w:name w:val="Podtytuł Znak"/>
    <w:basedOn w:val="Domylnaczcionkaakapitu"/>
    <w:link w:val="Podtytu"/>
    <w:uiPriority w:val="98"/>
    <w:semiHidden/>
    <w:rsid w:val="003650DF"/>
    <w:rPr>
      <w:rFonts w:asciiTheme="majorHAnsi" w:eastAsiaTheme="majorEastAsia" w:hAnsiTheme="majorHAnsi" w:cstheme="majorBidi"/>
      <w:i/>
      <w:iCs/>
      <w:spacing w:val="13"/>
      <w:sz w:val="24"/>
      <w:szCs w:val="24"/>
      <w:lang w:val="pl-PL" w:bidi="en-US"/>
    </w:rPr>
  </w:style>
  <w:style w:type="numbering" w:styleId="111111">
    <w:name w:val="Outline List 2"/>
    <w:basedOn w:val="Bezlisty"/>
    <w:uiPriority w:val="99"/>
    <w:semiHidden/>
    <w:unhideWhenUsed/>
    <w:rsid w:val="003650DF"/>
    <w:pPr>
      <w:numPr>
        <w:numId w:val="6"/>
      </w:numPr>
    </w:pPr>
  </w:style>
  <w:style w:type="paragraph" w:customStyle="1" w:styleId="JuPara">
    <w:name w:val="Ju_Para"/>
    <w:aliases w:val="_Para"/>
    <w:basedOn w:val="NormalJustified"/>
    <w:link w:val="JuParaChar"/>
    <w:uiPriority w:val="4"/>
    <w:qFormat/>
    <w:rsid w:val="003650DF"/>
    <w:pPr>
      <w:ind w:firstLine="284"/>
    </w:pPr>
  </w:style>
  <w:style w:type="numbering" w:styleId="1ai">
    <w:name w:val="Outline List 1"/>
    <w:basedOn w:val="Bezlisty"/>
    <w:uiPriority w:val="99"/>
    <w:semiHidden/>
    <w:unhideWhenUsed/>
    <w:rsid w:val="003650DF"/>
    <w:pPr>
      <w:numPr>
        <w:numId w:val="7"/>
      </w:numPr>
    </w:pPr>
  </w:style>
  <w:style w:type="table" w:customStyle="1" w:styleId="ECHRTableSimpleBox">
    <w:name w:val="ECHR_Table_Simple_Box"/>
    <w:basedOn w:val="Standardowy"/>
    <w:uiPriority w:val="99"/>
    <w:rsid w:val="003650DF"/>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3650DF"/>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3650DF"/>
    <w:pPr>
      <w:numPr>
        <w:numId w:val="8"/>
      </w:numPr>
    </w:pPr>
  </w:style>
  <w:style w:type="table" w:customStyle="1" w:styleId="ECHRTableForInternalUse">
    <w:name w:val="ECHR_Table_For_Internal_Use"/>
    <w:basedOn w:val="Standardowy"/>
    <w:uiPriority w:val="99"/>
    <w:rsid w:val="003650DF"/>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3650DF"/>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8"/>
    <w:semiHidden/>
    <w:rsid w:val="003650DF"/>
  </w:style>
  <w:style w:type="paragraph" w:styleId="Tekstblokowy">
    <w:name w:val="Block Text"/>
    <w:basedOn w:val="Normalny"/>
    <w:uiPriority w:val="98"/>
    <w:semiHidden/>
    <w:rsid w:val="003650DF"/>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3650DF"/>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8"/>
    <w:semiHidden/>
    <w:rsid w:val="003650DF"/>
    <w:pPr>
      <w:spacing w:after="120"/>
    </w:pPr>
  </w:style>
  <w:style w:type="character" w:customStyle="1" w:styleId="TekstpodstawowyZnak">
    <w:name w:val="Tekst podstawowy Znak"/>
    <w:basedOn w:val="Domylnaczcionkaakapitu"/>
    <w:link w:val="Tekstpodstawowy"/>
    <w:uiPriority w:val="98"/>
    <w:semiHidden/>
    <w:rsid w:val="003650DF"/>
    <w:rPr>
      <w:sz w:val="24"/>
      <w:szCs w:val="24"/>
      <w:lang w:val="pl-PL"/>
    </w:rPr>
  </w:style>
  <w:style w:type="table" w:customStyle="1" w:styleId="ECHRTableOddBanded">
    <w:name w:val="ECHR_Table_Odd_Banded"/>
    <w:basedOn w:val="Standardowy"/>
    <w:uiPriority w:val="99"/>
    <w:rsid w:val="003650DF"/>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8"/>
    <w:semiHidden/>
    <w:rsid w:val="003650DF"/>
    <w:pPr>
      <w:spacing w:after="120" w:line="480" w:lineRule="auto"/>
    </w:pPr>
  </w:style>
  <w:style w:type="table" w:customStyle="1" w:styleId="ECHRHeaderTableReduced">
    <w:name w:val="ECHR_Header_Table_Reduced"/>
    <w:basedOn w:val="Standardowy"/>
    <w:uiPriority w:val="99"/>
    <w:rsid w:val="003650DF"/>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ny"/>
    <w:next w:val="JuPara"/>
    <w:uiPriority w:val="32"/>
    <w:rsid w:val="003650DF"/>
    <w:pPr>
      <w:ind w:firstLine="284"/>
    </w:pPr>
    <w:rPr>
      <w:b/>
    </w:rPr>
  </w:style>
  <w:style w:type="character" w:styleId="Numerstrony">
    <w:name w:val="page number"/>
    <w:uiPriority w:val="98"/>
    <w:semiHidden/>
    <w:rsid w:val="003650DF"/>
    <w:rPr>
      <w:sz w:val="18"/>
    </w:rPr>
  </w:style>
  <w:style w:type="paragraph" w:styleId="Listapunktowana">
    <w:name w:val="List Bullet"/>
    <w:basedOn w:val="Normalny"/>
    <w:uiPriority w:val="98"/>
    <w:semiHidden/>
    <w:rsid w:val="003650DF"/>
    <w:pPr>
      <w:numPr>
        <w:numId w:val="12"/>
      </w:numPr>
    </w:pPr>
  </w:style>
  <w:style w:type="paragraph" w:styleId="Listapunktowana3">
    <w:name w:val="List Bullet 3"/>
    <w:basedOn w:val="Normalny"/>
    <w:uiPriority w:val="98"/>
    <w:semiHidden/>
    <w:rsid w:val="003650DF"/>
    <w:pPr>
      <w:numPr>
        <w:numId w:val="14"/>
      </w:numPr>
      <w:contextualSpacing/>
    </w:pPr>
  </w:style>
  <w:style w:type="character" w:customStyle="1" w:styleId="Tekstpodstawowy2Znak">
    <w:name w:val="Tekst podstawowy 2 Znak"/>
    <w:basedOn w:val="Domylnaczcionkaakapitu"/>
    <w:link w:val="Tekstpodstawowy2"/>
    <w:uiPriority w:val="98"/>
    <w:semiHidden/>
    <w:rsid w:val="003650DF"/>
    <w:rPr>
      <w:sz w:val="24"/>
      <w:szCs w:val="24"/>
      <w:lang w:val="pl-PL"/>
    </w:rPr>
  </w:style>
  <w:style w:type="paragraph" w:styleId="Tekstpodstawowy3">
    <w:name w:val="Body Text 3"/>
    <w:basedOn w:val="Normalny"/>
    <w:link w:val="Tekstpodstawowy3Znak"/>
    <w:uiPriority w:val="98"/>
    <w:semiHidden/>
    <w:rsid w:val="003650DF"/>
    <w:pPr>
      <w:spacing w:after="120"/>
    </w:pPr>
    <w:rPr>
      <w:sz w:val="16"/>
      <w:szCs w:val="16"/>
    </w:rPr>
  </w:style>
  <w:style w:type="character" w:customStyle="1" w:styleId="Tekstpodstawowy3Znak">
    <w:name w:val="Tekst podstawowy 3 Znak"/>
    <w:basedOn w:val="Domylnaczcionkaakapitu"/>
    <w:link w:val="Tekstpodstawowy3"/>
    <w:uiPriority w:val="98"/>
    <w:semiHidden/>
    <w:rsid w:val="003650DF"/>
    <w:rPr>
      <w:sz w:val="16"/>
      <w:szCs w:val="16"/>
      <w:lang w:val="pl-PL"/>
    </w:rPr>
  </w:style>
  <w:style w:type="paragraph" w:styleId="Tekstpodstawowyzwciciem">
    <w:name w:val="Body Text First Indent"/>
    <w:basedOn w:val="Tekstpodstawowy"/>
    <w:link w:val="TekstpodstawowyzwciciemZnak"/>
    <w:uiPriority w:val="98"/>
    <w:semiHidden/>
    <w:rsid w:val="003650DF"/>
    <w:pPr>
      <w:spacing w:after="0"/>
      <w:ind w:firstLine="360"/>
    </w:pPr>
  </w:style>
  <w:style w:type="character" w:customStyle="1" w:styleId="TekstpodstawowyzwciciemZnak">
    <w:name w:val="Tekst podstawowy z wcięciem Znak"/>
    <w:basedOn w:val="TekstpodstawowyZnak"/>
    <w:link w:val="Tekstpodstawowyzwciciem"/>
    <w:uiPriority w:val="98"/>
    <w:semiHidden/>
    <w:rsid w:val="003650DF"/>
    <w:rPr>
      <w:sz w:val="24"/>
      <w:szCs w:val="24"/>
      <w:lang w:val="pl-PL"/>
    </w:rPr>
  </w:style>
  <w:style w:type="paragraph" w:styleId="Tekstpodstawowywcity">
    <w:name w:val="Body Text Indent"/>
    <w:basedOn w:val="Normalny"/>
    <w:link w:val="TekstpodstawowywcityZnak"/>
    <w:uiPriority w:val="98"/>
    <w:semiHidden/>
    <w:rsid w:val="003650DF"/>
    <w:pPr>
      <w:spacing w:after="120"/>
      <w:ind w:left="283"/>
    </w:pPr>
  </w:style>
  <w:style w:type="character" w:customStyle="1" w:styleId="TekstpodstawowywcityZnak">
    <w:name w:val="Tekst podstawowy wcięty Znak"/>
    <w:basedOn w:val="Domylnaczcionkaakapitu"/>
    <w:link w:val="Tekstpodstawowywcity"/>
    <w:uiPriority w:val="98"/>
    <w:semiHidden/>
    <w:rsid w:val="003650DF"/>
    <w:rPr>
      <w:sz w:val="24"/>
      <w:szCs w:val="24"/>
      <w:lang w:val="pl-PL"/>
    </w:rPr>
  </w:style>
  <w:style w:type="paragraph" w:styleId="Tekstpodstawowyzwciciem2">
    <w:name w:val="Body Text First Indent 2"/>
    <w:basedOn w:val="Tekstpodstawowywcity"/>
    <w:link w:val="Tekstpodstawowyzwciciem2Znak"/>
    <w:uiPriority w:val="98"/>
    <w:semiHidden/>
    <w:rsid w:val="003650DF"/>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sid w:val="003650DF"/>
    <w:rPr>
      <w:sz w:val="24"/>
      <w:szCs w:val="24"/>
      <w:lang w:val="pl-PL"/>
    </w:rPr>
  </w:style>
  <w:style w:type="paragraph" w:styleId="Tekstpodstawowywcity2">
    <w:name w:val="Body Text Indent 2"/>
    <w:basedOn w:val="Normalny"/>
    <w:link w:val="Tekstpodstawowywcity2Znak"/>
    <w:uiPriority w:val="98"/>
    <w:semiHidden/>
    <w:rsid w:val="003650DF"/>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sid w:val="003650DF"/>
    <w:rPr>
      <w:sz w:val="24"/>
      <w:szCs w:val="24"/>
      <w:lang w:val="pl-PL"/>
    </w:rPr>
  </w:style>
  <w:style w:type="paragraph" w:styleId="Tekstpodstawowywcity3">
    <w:name w:val="Body Text Indent 3"/>
    <w:basedOn w:val="Normalny"/>
    <w:link w:val="Tekstpodstawowywcity3Znak"/>
    <w:uiPriority w:val="98"/>
    <w:semiHidden/>
    <w:rsid w:val="003650DF"/>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8"/>
    <w:semiHidden/>
    <w:rsid w:val="003650DF"/>
    <w:rPr>
      <w:sz w:val="16"/>
      <w:szCs w:val="16"/>
      <w:lang w:val="pl-PL"/>
    </w:rPr>
  </w:style>
  <w:style w:type="paragraph" w:styleId="Legenda">
    <w:name w:val="caption"/>
    <w:basedOn w:val="Normalny"/>
    <w:next w:val="Normalny"/>
    <w:uiPriority w:val="98"/>
    <w:semiHidden/>
    <w:qFormat/>
    <w:rsid w:val="003650DF"/>
    <w:pPr>
      <w:spacing w:after="200"/>
    </w:pPr>
    <w:rPr>
      <w:b/>
      <w:bCs/>
      <w:color w:val="0072BC" w:themeColor="accent1"/>
      <w:sz w:val="18"/>
      <w:szCs w:val="18"/>
    </w:rPr>
  </w:style>
  <w:style w:type="paragraph" w:styleId="Zwrotpoegnalny">
    <w:name w:val="Closing"/>
    <w:basedOn w:val="Normalny"/>
    <w:link w:val="ZwrotpoegnalnyZnak"/>
    <w:uiPriority w:val="98"/>
    <w:semiHidden/>
    <w:rsid w:val="003650DF"/>
    <w:pPr>
      <w:ind w:left="4252"/>
    </w:pPr>
  </w:style>
  <w:style w:type="character" w:customStyle="1" w:styleId="ZwrotpoegnalnyZnak">
    <w:name w:val="Zwrot pożegnalny Znak"/>
    <w:basedOn w:val="Domylnaczcionkaakapitu"/>
    <w:link w:val="Zwrotpoegnalny"/>
    <w:uiPriority w:val="98"/>
    <w:semiHidden/>
    <w:rsid w:val="003650DF"/>
    <w:rPr>
      <w:sz w:val="24"/>
      <w:szCs w:val="24"/>
      <w:lang w:val="pl-PL"/>
    </w:rPr>
  </w:style>
  <w:style w:type="table" w:styleId="Kolorowasiatka">
    <w:name w:val="Colorful Grid"/>
    <w:basedOn w:val="Standardowy"/>
    <w:uiPriority w:val="73"/>
    <w:semiHidden/>
    <w:rsid w:val="003650DF"/>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3650DF"/>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3650DF"/>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3650DF"/>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3650DF"/>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3650DF"/>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3650DF"/>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3650DF"/>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3650DF"/>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3650DF"/>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3650DF"/>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3650DF"/>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3650DF"/>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3650DF"/>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3650DF"/>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3650DF"/>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3650DF"/>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3650DF"/>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3650DF"/>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3650DF"/>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3650DF"/>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8"/>
    <w:semiHidden/>
    <w:rsid w:val="003650DF"/>
    <w:rPr>
      <w:sz w:val="16"/>
      <w:szCs w:val="16"/>
    </w:rPr>
  </w:style>
  <w:style w:type="paragraph" w:styleId="Tekstkomentarza">
    <w:name w:val="annotation text"/>
    <w:basedOn w:val="Normalny"/>
    <w:link w:val="TekstkomentarzaZnak"/>
    <w:uiPriority w:val="98"/>
    <w:semiHidden/>
    <w:rsid w:val="003650DF"/>
    <w:rPr>
      <w:sz w:val="20"/>
      <w:szCs w:val="20"/>
    </w:rPr>
  </w:style>
  <w:style w:type="character" w:customStyle="1" w:styleId="TekstkomentarzaZnak">
    <w:name w:val="Tekst komentarza Znak"/>
    <w:basedOn w:val="Domylnaczcionkaakapitu"/>
    <w:link w:val="Tekstkomentarza"/>
    <w:uiPriority w:val="98"/>
    <w:semiHidden/>
    <w:rsid w:val="003650DF"/>
    <w:rPr>
      <w:sz w:val="20"/>
      <w:szCs w:val="20"/>
      <w:lang w:val="pl-PL"/>
    </w:rPr>
  </w:style>
  <w:style w:type="paragraph" w:styleId="Tematkomentarza">
    <w:name w:val="annotation subject"/>
    <w:basedOn w:val="Tekstkomentarza"/>
    <w:next w:val="Tekstkomentarza"/>
    <w:link w:val="TematkomentarzaZnak"/>
    <w:uiPriority w:val="98"/>
    <w:semiHidden/>
    <w:rsid w:val="003650DF"/>
    <w:rPr>
      <w:b/>
      <w:bCs/>
    </w:rPr>
  </w:style>
  <w:style w:type="character" w:customStyle="1" w:styleId="TematkomentarzaZnak">
    <w:name w:val="Temat komentarza Znak"/>
    <w:basedOn w:val="TekstkomentarzaZnak"/>
    <w:link w:val="Tematkomentarza"/>
    <w:uiPriority w:val="98"/>
    <w:semiHidden/>
    <w:rsid w:val="003650DF"/>
    <w:rPr>
      <w:b/>
      <w:bCs/>
      <w:sz w:val="20"/>
      <w:szCs w:val="20"/>
      <w:lang w:val="pl-PL"/>
    </w:rPr>
  </w:style>
  <w:style w:type="table" w:styleId="Ciemnalista">
    <w:name w:val="Dark List"/>
    <w:basedOn w:val="Standardowy"/>
    <w:uiPriority w:val="70"/>
    <w:semiHidden/>
    <w:rsid w:val="003650DF"/>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3650DF"/>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3650DF"/>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3650DF"/>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3650DF"/>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3650DF"/>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3650DF"/>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rsid w:val="003650DF"/>
  </w:style>
  <w:style w:type="character" w:customStyle="1" w:styleId="DataZnak">
    <w:name w:val="Data Znak"/>
    <w:basedOn w:val="Domylnaczcionkaakapitu"/>
    <w:link w:val="Data"/>
    <w:uiPriority w:val="98"/>
    <w:semiHidden/>
    <w:rsid w:val="003650DF"/>
    <w:rPr>
      <w:sz w:val="24"/>
      <w:szCs w:val="24"/>
      <w:lang w:val="pl-PL"/>
    </w:rPr>
  </w:style>
  <w:style w:type="paragraph" w:styleId="Mapadokumentu">
    <w:name w:val="Document Map"/>
    <w:basedOn w:val="Normalny"/>
    <w:link w:val="MapadokumentuZnak"/>
    <w:uiPriority w:val="98"/>
    <w:semiHidden/>
    <w:rsid w:val="003650DF"/>
    <w:rPr>
      <w:rFonts w:ascii="Tahoma" w:hAnsi="Tahoma" w:cs="Tahoma"/>
      <w:sz w:val="16"/>
      <w:szCs w:val="16"/>
    </w:rPr>
  </w:style>
  <w:style w:type="character" w:customStyle="1" w:styleId="MapadokumentuZnak">
    <w:name w:val="Mapa dokumentu Znak"/>
    <w:basedOn w:val="Domylnaczcionkaakapitu"/>
    <w:link w:val="Mapadokumentu"/>
    <w:uiPriority w:val="98"/>
    <w:semiHidden/>
    <w:rsid w:val="003650DF"/>
    <w:rPr>
      <w:rFonts w:ascii="Tahoma" w:hAnsi="Tahoma" w:cs="Tahoma"/>
      <w:sz w:val="16"/>
      <w:szCs w:val="16"/>
      <w:lang w:val="pl-PL"/>
    </w:rPr>
  </w:style>
  <w:style w:type="paragraph" w:styleId="Podpise-mail">
    <w:name w:val="E-mail Signature"/>
    <w:basedOn w:val="Normalny"/>
    <w:link w:val="Podpise-mailZnak"/>
    <w:uiPriority w:val="98"/>
    <w:semiHidden/>
    <w:rsid w:val="003650DF"/>
  </w:style>
  <w:style w:type="character" w:customStyle="1" w:styleId="Podpise-mailZnak">
    <w:name w:val="Podpis e-mail Znak"/>
    <w:basedOn w:val="Domylnaczcionkaakapitu"/>
    <w:link w:val="Podpise-mail"/>
    <w:uiPriority w:val="98"/>
    <w:semiHidden/>
    <w:rsid w:val="003650DF"/>
    <w:rPr>
      <w:sz w:val="24"/>
      <w:szCs w:val="24"/>
      <w:lang w:val="pl-PL"/>
    </w:rPr>
  </w:style>
  <w:style w:type="character" w:styleId="Odwoanieprzypisukocowego">
    <w:name w:val="endnote reference"/>
    <w:basedOn w:val="Domylnaczcionkaakapitu"/>
    <w:uiPriority w:val="98"/>
    <w:semiHidden/>
    <w:rsid w:val="003650DF"/>
    <w:rPr>
      <w:vertAlign w:val="superscript"/>
    </w:rPr>
  </w:style>
  <w:style w:type="paragraph" w:styleId="Tekstprzypisukocowego">
    <w:name w:val="endnote text"/>
    <w:basedOn w:val="Normalny"/>
    <w:link w:val="TekstprzypisukocowegoZnak"/>
    <w:uiPriority w:val="98"/>
    <w:semiHidden/>
    <w:rsid w:val="003650DF"/>
    <w:rPr>
      <w:sz w:val="20"/>
      <w:szCs w:val="20"/>
    </w:rPr>
  </w:style>
  <w:style w:type="character" w:customStyle="1" w:styleId="TekstprzypisukocowegoZnak">
    <w:name w:val="Tekst przypisu końcowego Znak"/>
    <w:basedOn w:val="Domylnaczcionkaakapitu"/>
    <w:link w:val="Tekstprzypisukocowego"/>
    <w:uiPriority w:val="98"/>
    <w:semiHidden/>
    <w:rsid w:val="003650DF"/>
    <w:rPr>
      <w:sz w:val="20"/>
      <w:szCs w:val="20"/>
      <w:lang w:val="pl-PL"/>
    </w:rPr>
  </w:style>
  <w:style w:type="paragraph" w:styleId="Adresnakopercie">
    <w:name w:val="envelope address"/>
    <w:basedOn w:val="Normalny"/>
    <w:uiPriority w:val="98"/>
    <w:semiHidden/>
    <w:rsid w:val="003650DF"/>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8"/>
    <w:semiHidden/>
    <w:rsid w:val="003650DF"/>
    <w:rPr>
      <w:rFonts w:asciiTheme="majorHAnsi" w:eastAsiaTheme="majorEastAsia" w:hAnsiTheme="majorHAnsi" w:cstheme="majorBidi"/>
      <w:sz w:val="20"/>
      <w:szCs w:val="20"/>
    </w:rPr>
  </w:style>
  <w:style w:type="character" w:styleId="UyteHipercze">
    <w:name w:val="FollowedHyperlink"/>
    <w:basedOn w:val="Domylnaczcionkaakapitu"/>
    <w:uiPriority w:val="98"/>
    <w:semiHidden/>
    <w:rsid w:val="003650DF"/>
    <w:rPr>
      <w:color w:val="7030A0" w:themeColor="followedHyperlink"/>
      <w:u w:val="single"/>
    </w:rPr>
  </w:style>
  <w:style w:type="character" w:styleId="HTML-akronim">
    <w:name w:val="HTML Acronym"/>
    <w:basedOn w:val="Domylnaczcionkaakapitu"/>
    <w:uiPriority w:val="98"/>
    <w:semiHidden/>
    <w:rsid w:val="003650DF"/>
  </w:style>
  <w:style w:type="paragraph" w:styleId="HTML-adres">
    <w:name w:val="HTML Address"/>
    <w:basedOn w:val="Normalny"/>
    <w:link w:val="HTML-adresZnak"/>
    <w:uiPriority w:val="98"/>
    <w:semiHidden/>
    <w:rsid w:val="003650DF"/>
    <w:rPr>
      <w:i/>
      <w:iCs/>
    </w:rPr>
  </w:style>
  <w:style w:type="character" w:customStyle="1" w:styleId="HTML-adresZnak">
    <w:name w:val="HTML - adres Znak"/>
    <w:basedOn w:val="Domylnaczcionkaakapitu"/>
    <w:link w:val="HTML-adres"/>
    <w:uiPriority w:val="98"/>
    <w:semiHidden/>
    <w:rsid w:val="003650DF"/>
    <w:rPr>
      <w:i/>
      <w:iCs/>
      <w:sz w:val="24"/>
      <w:szCs w:val="24"/>
      <w:lang w:val="pl-PL"/>
    </w:rPr>
  </w:style>
  <w:style w:type="character" w:styleId="HTML-cytat">
    <w:name w:val="HTML Cite"/>
    <w:basedOn w:val="Domylnaczcionkaakapitu"/>
    <w:uiPriority w:val="98"/>
    <w:semiHidden/>
    <w:rsid w:val="003650DF"/>
    <w:rPr>
      <w:i/>
      <w:iCs/>
    </w:rPr>
  </w:style>
  <w:style w:type="character" w:styleId="HTML-kod">
    <w:name w:val="HTML Code"/>
    <w:basedOn w:val="Domylnaczcionkaakapitu"/>
    <w:uiPriority w:val="98"/>
    <w:semiHidden/>
    <w:rsid w:val="003650DF"/>
    <w:rPr>
      <w:rFonts w:ascii="Consolas" w:hAnsi="Consolas" w:cs="Consolas"/>
      <w:sz w:val="20"/>
      <w:szCs w:val="20"/>
    </w:rPr>
  </w:style>
  <w:style w:type="character" w:styleId="HTML-definicja">
    <w:name w:val="HTML Definition"/>
    <w:basedOn w:val="Domylnaczcionkaakapitu"/>
    <w:uiPriority w:val="98"/>
    <w:semiHidden/>
    <w:rsid w:val="003650DF"/>
    <w:rPr>
      <w:i/>
      <w:iCs/>
    </w:rPr>
  </w:style>
  <w:style w:type="character" w:styleId="HTML-klawiatura">
    <w:name w:val="HTML Keyboard"/>
    <w:basedOn w:val="Domylnaczcionkaakapitu"/>
    <w:uiPriority w:val="98"/>
    <w:semiHidden/>
    <w:rsid w:val="003650DF"/>
    <w:rPr>
      <w:rFonts w:ascii="Consolas" w:hAnsi="Consolas" w:cs="Consolas"/>
      <w:sz w:val="20"/>
      <w:szCs w:val="20"/>
    </w:rPr>
  </w:style>
  <w:style w:type="paragraph" w:styleId="HTML-wstpniesformatowany">
    <w:name w:val="HTML Preformatted"/>
    <w:basedOn w:val="Normalny"/>
    <w:link w:val="HTML-wstpniesformatowanyZnak"/>
    <w:uiPriority w:val="98"/>
    <w:semiHidden/>
    <w:rsid w:val="003650DF"/>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8"/>
    <w:semiHidden/>
    <w:rsid w:val="003650DF"/>
    <w:rPr>
      <w:rFonts w:ascii="Consolas" w:hAnsi="Consolas" w:cs="Consolas"/>
      <w:sz w:val="20"/>
      <w:szCs w:val="20"/>
      <w:lang w:val="pl-PL"/>
    </w:rPr>
  </w:style>
  <w:style w:type="character" w:styleId="HTML-przykad">
    <w:name w:val="HTML Sample"/>
    <w:basedOn w:val="Domylnaczcionkaakapitu"/>
    <w:uiPriority w:val="98"/>
    <w:semiHidden/>
    <w:rsid w:val="003650DF"/>
    <w:rPr>
      <w:rFonts w:ascii="Consolas" w:hAnsi="Consolas" w:cs="Consolas"/>
      <w:sz w:val="24"/>
      <w:szCs w:val="24"/>
    </w:rPr>
  </w:style>
  <w:style w:type="character" w:styleId="HTML-staaszeroko">
    <w:name w:val="HTML Typewriter"/>
    <w:basedOn w:val="Domylnaczcionkaakapitu"/>
    <w:uiPriority w:val="98"/>
    <w:semiHidden/>
    <w:rsid w:val="003650DF"/>
    <w:rPr>
      <w:rFonts w:ascii="Consolas" w:hAnsi="Consolas" w:cs="Consolas"/>
      <w:sz w:val="20"/>
      <w:szCs w:val="20"/>
    </w:rPr>
  </w:style>
  <w:style w:type="character" w:styleId="HTML-zmienna">
    <w:name w:val="HTML Variable"/>
    <w:basedOn w:val="Domylnaczcionkaakapitu"/>
    <w:uiPriority w:val="98"/>
    <w:semiHidden/>
    <w:rsid w:val="003650DF"/>
    <w:rPr>
      <w:i/>
      <w:iCs/>
    </w:rPr>
  </w:style>
  <w:style w:type="paragraph" w:styleId="Indeks1">
    <w:name w:val="index 1"/>
    <w:basedOn w:val="Normalny"/>
    <w:next w:val="Normalny"/>
    <w:autoRedefine/>
    <w:uiPriority w:val="98"/>
    <w:semiHidden/>
    <w:rsid w:val="003650DF"/>
    <w:pPr>
      <w:ind w:left="240" w:hanging="240"/>
    </w:pPr>
  </w:style>
  <w:style w:type="paragraph" w:styleId="Indeks2">
    <w:name w:val="index 2"/>
    <w:basedOn w:val="Normalny"/>
    <w:next w:val="Normalny"/>
    <w:autoRedefine/>
    <w:uiPriority w:val="98"/>
    <w:semiHidden/>
    <w:rsid w:val="003650DF"/>
    <w:pPr>
      <w:ind w:left="480" w:hanging="240"/>
    </w:pPr>
  </w:style>
  <w:style w:type="paragraph" w:styleId="Indeks3">
    <w:name w:val="index 3"/>
    <w:basedOn w:val="Normalny"/>
    <w:next w:val="Normalny"/>
    <w:autoRedefine/>
    <w:uiPriority w:val="98"/>
    <w:semiHidden/>
    <w:rsid w:val="003650DF"/>
    <w:pPr>
      <w:ind w:left="720" w:hanging="240"/>
    </w:pPr>
  </w:style>
  <w:style w:type="paragraph" w:styleId="Indeks4">
    <w:name w:val="index 4"/>
    <w:basedOn w:val="Normalny"/>
    <w:next w:val="Normalny"/>
    <w:autoRedefine/>
    <w:uiPriority w:val="98"/>
    <w:semiHidden/>
    <w:rsid w:val="003650DF"/>
    <w:pPr>
      <w:ind w:left="960" w:hanging="240"/>
    </w:pPr>
  </w:style>
  <w:style w:type="paragraph" w:styleId="Indeks5">
    <w:name w:val="index 5"/>
    <w:basedOn w:val="Normalny"/>
    <w:next w:val="Normalny"/>
    <w:autoRedefine/>
    <w:uiPriority w:val="98"/>
    <w:semiHidden/>
    <w:rsid w:val="003650DF"/>
    <w:pPr>
      <w:ind w:left="1200" w:hanging="240"/>
    </w:pPr>
  </w:style>
  <w:style w:type="paragraph" w:styleId="Indeks6">
    <w:name w:val="index 6"/>
    <w:basedOn w:val="Normalny"/>
    <w:next w:val="Normalny"/>
    <w:autoRedefine/>
    <w:uiPriority w:val="98"/>
    <w:semiHidden/>
    <w:rsid w:val="003650DF"/>
    <w:pPr>
      <w:ind w:left="1440" w:hanging="240"/>
    </w:pPr>
  </w:style>
  <w:style w:type="paragraph" w:styleId="Indeks7">
    <w:name w:val="index 7"/>
    <w:basedOn w:val="Normalny"/>
    <w:next w:val="Normalny"/>
    <w:autoRedefine/>
    <w:uiPriority w:val="98"/>
    <w:semiHidden/>
    <w:rsid w:val="003650DF"/>
    <w:pPr>
      <w:ind w:left="1680" w:hanging="240"/>
    </w:pPr>
  </w:style>
  <w:style w:type="paragraph" w:styleId="Indeks8">
    <w:name w:val="index 8"/>
    <w:basedOn w:val="Normalny"/>
    <w:next w:val="Normalny"/>
    <w:autoRedefine/>
    <w:uiPriority w:val="98"/>
    <w:semiHidden/>
    <w:rsid w:val="003650DF"/>
    <w:pPr>
      <w:ind w:left="1920" w:hanging="240"/>
    </w:pPr>
  </w:style>
  <w:style w:type="paragraph" w:styleId="Indeks9">
    <w:name w:val="index 9"/>
    <w:basedOn w:val="Normalny"/>
    <w:next w:val="Normalny"/>
    <w:autoRedefine/>
    <w:uiPriority w:val="98"/>
    <w:semiHidden/>
    <w:rsid w:val="003650DF"/>
    <w:pPr>
      <w:ind w:left="2160" w:hanging="240"/>
    </w:pPr>
  </w:style>
  <w:style w:type="paragraph" w:styleId="Nagwekindeksu">
    <w:name w:val="index heading"/>
    <w:basedOn w:val="Normalny"/>
    <w:next w:val="Indeks1"/>
    <w:uiPriority w:val="98"/>
    <w:semiHidden/>
    <w:rsid w:val="003650DF"/>
    <w:rPr>
      <w:rFonts w:asciiTheme="majorHAnsi" w:eastAsiaTheme="majorEastAsia" w:hAnsiTheme="majorHAnsi" w:cstheme="majorBidi"/>
      <w:b/>
      <w:bCs/>
    </w:rPr>
  </w:style>
  <w:style w:type="table" w:styleId="Jasnasiatka">
    <w:name w:val="Light Grid"/>
    <w:basedOn w:val="Standardowy"/>
    <w:uiPriority w:val="62"/>
    <w:semiHidden/>
    <w:rsid w:val="003650DF"/>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3650DF"/>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3650DF"/>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3650DF"/>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3650DF"/>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3650DF"/>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3650DF"/>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3650DF"/>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3650DF"/>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3650DF"/>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3650DF"/>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3650DF"/>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3650DF"/>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3650DF"/>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3650DF"/>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3650DF"/>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3650DF"/>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3650DF"/>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3650DF"/>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3650DF"/>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3650DF"/>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rsid w:val="003650DF"/>
  </w:style>
  <w:style w:type="paragraph" w:styleId="Lista">
    <w:name w:val="List"/>
    <w:basedOn w:val="Normalny"/>
    <w:uiPriority w:val="98"/>
    <w:semiHidden/>
    <w:rsid w:val="003650DF"/>
    <w:pPr>
      <w:ind w:left="283" w:hanging="283"/>
      <w:contextualSpacing/>
    </w:pPr>
  </w:style>
  <w:style w:type="paragraph" w:styleId="Lista2">
    <w:name w:val="List 2"/>
    <w:basedOn w:val="Normalny"/>
    <w:uiPriority w:val="98"/>
    <w:semiHidden/>
    <w:rsid w:val="003650DF"/>
    <w:pPr>
      <w:ind w:left="566" w:hanging="283"/>
      <w:contextualSpacing/>
    </w:pPr>
  </w:style>
  <w:style w:type="paragraph" w:styleId="Lista3">
    <w:name w:val="List 3"/>
    <w:basedOn w:val="Normalny"/>
    <w:uiPriority w:val="98"/>
    <w:semiHidden/>
    <w:rsid w:val="003650DF"/>
    <w:pPr>
      <w:ind w:left="849" w:hanging="283"/>
      <w:contextualSpacing/>
    </w:pPr>
  </w:style>
  <w:style w:type="paragraph" w:styleId="Lista4">
    <w:name w:val="List 4"/>
    <w:basedOn w:val="Normalny"/>
    <w:uiPriority w:val="98"/>
    <w:semiHidden/>
    <w:rsid w:val="003650DF"/>
    <w:pPr>
      <w:ind w:left="1132" w:hanging="283"/>
      <w:contextualSpacing/>
    </w:pPr>
  </w:style>
  <w:style w:type="paragraph" w:styleId="Lista5">
    <w:name w:val="List 5"/>
    <w:basedOn w:val="Normalny"/>
    <w:uiPriority w:val="98"/>
    <w:semiHidden/>
    <w:rsid w:val="003650DF"/>
    <w:pPr>
      <w:ind w:left="1415" w:hanging="283"/>
      <w:contextualSpacing/>
    </w:pPr>
  </w:style>
  <w:style w:type="paragraph" w:styleId="Listapunktowana2">
    <w:name w:val="List Bullet 2"/>
    <w:basedOn w:val="Normalny"/>
    <w:uiPriority w:val="98"/>
    <w:semiHidden/>
    <w:rsid w:val="003650DF"/>
    <w:pPr>
      <w:numPr>
        <w:numId w:val="13"/>
      </w:numPr>
      <w:contextualSpacing/>
    </w:pPr>
  </w:style>
  <w:style w:type="paragraph" w:styleId="Listapunktowana4">
    <w:name w:val="List Bullet 4"/>
    <w:basedOn w:val="Normalny"/>
    <w:uiPriority w:val="98"/>
    <w:semiHidden/>
    <w:rsid w:val="003650DF"/>
    <w:pPr>
      <w:numPr>
        <w:numId w:val="15"/>
      </w:numPr>
      <w:contextualSpacing/>
    </w:pPr>
  </w:style>
  <w:style w:type="paragraph" w:styleId="Listapunktowana5">
    <w:name w:val="List Bullet 5"/>
    <w:basedOn w:val="Normalny"/>
    <w:uiPriority w:val="98"/>
    <w:semiHidden/>
    <w:rsid w:val="003650DF"/>
    <w:pPr>
      <w:numPr>
        <w:numId w:val="16"/>
      </w:numPr>
      <w:contextualSpacing/>
    </w:pPr>
  </w:style>
  <w:style w:type="paragraph" w:styleId="Lista-kontynuacja">
    <w:name w:val="List Continue"/>
    <w:basedOn w:val="Normalny"/>
    <w:uiPriority w:val="98"/>
    <w:semiHidden/>
    <w:rsid w:val="003650DF"/>
    <w:pPr>
      <w:spacing w:after="120"/>
      <w:ind w:left="283"/>
      <w:contextualSpacing/>
    </w:pPr>
  </w:style>
  <w:style w:type="paragraph" w:styleId="Lista-kontynuacja2">
    <w:name w:val="List Continue 2"/>
    <w:basedOn w:val="Normalny"/>
    <w:uiPriority w:val="98"/>
    <w:semiHidden/>
    <w:rsid w:val="003650DF"/>
    <w:pPr>
      <w:spacing w:after="120"/>
      <w:ind w:left="566"/>
      <w:contextualSpacing/>
    </w:pPr>
  </w:style>
  <w:style w:type="paragraph" w:styleId="Lista-kontynuacja3">
    <w:name w:val="List Continue 3"/>
    <w:basedOn w:val="Normalny"/>
    <w:uiPriority w:val="98"/>
    <w:semiHidden/>
    <w:rsid w:val="003650DF"/>
    <w:pPr>
      <w:spacing w:after="120"/>
      <w:ind w:left="849"/>
      <w:contextualSpacing/>
    </w:pPr>
  </w:style>
  <w:style w:type="paragraph" w:styleId="Lista-kontynuacja4">
    <w:name w:val="List Continue 4"/>
    <w:basedOn w:val="Normalny"/>
    <w:uiPriority w:val="98"/>
    <w:semiHidden/>
    <w:rsid w:val="003650DF"/>
    <w:pPr>
      <w:spacing w:after="120"/>
      <w:ind w:left="1132"/>
      <w:contextualSpacing/>
    </w:pPr>
  </w:style>
  <w:style w:type="paragraph" w:styleId="Lista-kontynuacja5">
    <w:name w:val="List Continue 5"/>
    <w:basedOn w:val="Normalny"/>
    <w:uiPriority w:val="98"/>
    <w:semiHidden/>
    <w:rsid w:val="003650DF"/>
    <w:pPr>
      <w:spacing w:after="120"/>
      <w:ind w:left="1415"/>
      <w:contextualSpacing/>
    </w:pPr>
  </w:style>
  <w:style w:type="paragraph" w:styleId="Listanumerowana">
    <w:name w:val="List Number"/>
    <w:basedOn w:val="Normalny"/>
    <w:uiPriority w:val="98"/>
    <w:semiHidden/>
    <w:rsid w:val="003650DF"/>
    <w:pPr>
      <w:numPr>
        <w:numId w:val="17"/>
      </w:numPr>
      <w:contextualSpacing/>
    </w:pPr>
  </w:style>
  <w:style w:type="paragraph" w:styleId="Listanumerowana2">
    <w:name w:val="List Number 2"/>
    <w:basedOn w:val="Normalny"/>
    <w:uiPriority w:val="98"/>
    <w:semiHidden/>
    <w:rsid w:val="003650DF"/>
    <w:pPr>
      <w:numPr>
        <w:numId w:val="18"/>
      </w:numPr>
      <w:contextualSpacing/>
    </w:pPr>
  </w:style>
  <w:style w:type="paragraph" w:styleId="Listanumerowana3">
    <w:name w:val="List Number 3"/>
    <w:basedOn w:val="Normalny"/>
    <w:uiPriority w:val="98"/>
    <w:semiHidden/>
    <w:rsid w:val="003650DF"/>
    <w:pPr>
      <w:numPr>
        <w:numId w:val="19"/>
      </w:numPr>
      <w:contextualSpacing/>
    </w:pPr>
  </w:style>
  <w:style w:type="paragraph" w:styleId="Listanumerowana4">
    <w:name w:val="List Number 4"/>
    <w:basedOn w:val="Normalny"/>
    <w:uiPriority w:val="98"/>
    <w:semiHidden/>
    <w:rsid w:val="003650DF"/>
    <w:pPr>
      <w:numPr>
        <w:numId w:val="20"/>
      </w:numPr>
      <w:contextualSpacing/>
    </w:pPr>
  </w:style>
  <w:style w:type="paragraph" w:styleId="Listanumerowana5">
    <w:name w:val="List Number 5"/>
    <w:basedOn w:val="Normalny"/>
    <w:uiPriority w:val="98"/>
    <w:semiHidden/>
    <w:rsid w:val="003650DF"/>
    <w:pPr>
      <w:numPr>
        <w:numId w:val="21"/>
      </w:numPr>
      <w:contextualSpacing/>
    </w:pPr>
  </w:style>
  <w:style w:type="paragraph" w:styleId="Tekstmakra">
    <w:name w:val="macro"/>
    <w:link w:val="TekstmakraZnak"/>
    <w:uiPriority w:val="98"/>
    <w:semiHidden/>
    <w:rsid w:val="003650DF"/>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8"/>
    <w:semiHidden/>
    <w:rsid w:val="003650DF"/>
    <w:rPr>
      <w:rFonts w:ascii="Consolas" w:eastAsiaTheme="minorEastAsia" w:hAnsi="Consolas" w:cs="Consolas"/>
      <w:sz w:val="20"/>
      <w:szCs w:val="20"/>
    </w:rPr>
  </w:style>
  <w:style w:type="table" w:styleId="redniasiatka1">
    <w:name w:val="Medium Grid 1"/>
    <w:basedOn w:val="Standardowy"/>
    <w:uiPriority w:val="67"/>
    <w:semiHidden/>
    <w:rsid w:val="003650DF"/>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3650DF"/>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3650DF"/>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3650DF"/>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3650DF"/>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3650DF"/>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3650DF"/>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3650DF"/>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3650DF"/>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3650DF"/>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3650DF"/>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3650DF"/>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3650DF"/>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3650DF"/>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3650DF"/>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3650DF"/>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3650DF"/>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3650DF"/>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3650DF"/>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3650DF"/>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3650DF"/>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3650DF"/>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3650DF"/>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3650DF"/>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3650DF"/>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3650DF"/>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3650DF"/>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3650DF"/>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3650DF"/>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3650DF"/>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3650DF"/>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3650DF"/>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3650DF"/>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3650DF"/>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3650DF"/>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3650DF"/>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3650DF"/>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3650DF"/>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3650DF"/>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3650DF"/>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3650DF"/>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3650DF"/>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3650DF"/>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3650DF"/>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3650DF"/>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3650DF"/>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3650DF"/>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3650DF"/>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3650DF"/>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rsid w:val="003650DF"/>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8"/>
    <w:semiHidden/>
    <w:rsid w:val="003650DF"/>
    <w:rPr>
      <w:rFonts w:asciiTheme="majorHAnsi" w:eastAsiaTheme="majorEastAsia" w:hAnsiTheme="majorHAnsi" w:cstheme="majorBidi"/>
      <w:sz w:val="24"/>
      <w:szCs w:val="24"/>
      <w:shd w:val="pct20" w:color="auto" w:fill="auto"/>
      <w:lang w:val="pl-PL"/>
    </w:rPr>
  </w:style>
  <w:style w:type="paragraph" w:styleId="NormalnyWeb">
    <w:name w:val="Normal (Web)"/>
    <w:basedOn w:val="Normalny"/>
    <w:uiPriority w:val="98"/>
    <w:semiHidden/>
    <w:rsid w:val="003650DF"/>
    <w:rPr>
      <w:rFonts w:ascii="Times New Roman" w:hAnsi="Times New Roman" w:cs="Times New Roman"/>
    </w:rPr>
  </w:style>
  <w:style w:type="paragraph" w:styleId="Wcicienormalne">
    <w:name w:val="Normal Indent"/>
    <w:basedOn w:val="Normalny"/>
    <w:uiPriority w:val="98"/>
    <w:semiHidden/>
    <w:rsid w:val="003650DF"/>
    <w:pPr>
      <w:ind w:left="720"/>
    </w:pPr>
  </w:style>
  <w:style w:type="paragraph" w:styleId="Nagweknotatki">
    <w:name w:val="Note Heading"/>
    <w:basedOn w:val="Normalny"/>
    <w:next w:val="Normalny"/>
    <w:link w:val="NagweknotatkiZnak"/>
    <w:uiPriority w:val="98"/>
    <w:semiHidden/>
    <w:rsid w:val="003650DF"/>
  </w:style>
  <w:style w:type="character" w:customStyle="1" w:styleId="NagweknotatkiZnak">
    <w:name w:val="Nagłówek notatki Znak"/>
    <w:basedOn w:val="Domylnaczcionkaakapitu"/>
    <w:link w:val="Nagweknotatki"/>
    <w:uiPriority w:val="98"/>
    <w:semiHidden/>
    <w:rsid w:val="003650DF"/>
    <w:rPr>
      <w:sz w:val="24"/>
      <w:szCs w:val="24"/>
      <w:lang w:val="pl-PL"/>
    </w:rPr>
  </w:style>
  <w:style w:type="character" w:styleId="Tekstzastpczy">
    <w:name w:val="Placeholder Text"/>
    <w:basedOn w:val="Domylnaczcionkaakapitu"/>
    <w:uiPriority w:val="98"/>
    <w:semiHidden/>
    <w:rsid w:val="003650DF"/>
    <w:rPr>
      <w:color w:val="auto"/>
      <w:bdr w:val="none" w:sz="0" w:space="0" w:color="auto"/>
      <w:shd w:val="clear" w:color="auto" w:fill="DFDFDF" w:themeFill="background2" w:themeFillShade="E6"/>
    </w:rPr>
  </w:style>
  <w:style w:type="paragraph" w:styleId="Zwykytekst">
    <w:name w:val="Plain Text"/>
    <w:basedOn w:val="Normalny"/>
    <w:link w:val="ZwykytekstZnak"/>
    <w:uiPriority w:val="98"/>
    <w:semiHidden/>
    <w:rsid w:val="003650DF"/>
    <w:rPr>
      <w:rFonts w:ascii="Consolas" w:hAnsi="Consolas" w:cs="Consolas"/>
      <w:sz w:val="21"/>
      <w:szCs w:val="21"/>
    </w:rPr>
  </w:style>
  <w:style w:type="character" w:customStyle="1" w:styleId="ZwykytekstZnak">
    <w:name w:val="Zwykły tekst Znak"/>
    <w:basedOn w:val="Domylnaczcionkaakapitu"/>
    <w:link w:val="Zwykytekst"/>
    <w:uiPriority w:val="98"/>
    <w:semiHidden/>
    <w:rsid w:val="003650DF"/>
    <w:rPr>
      <w:rFonts w:ascii="Consolas" w:hAnsi="Consolas" w:cs="Consolas"/>
      <w:sz w:val="21"/>
      <w:szCs w:val="21"/>
      <w:lang w:val="pl-PL"/>
    </w:rPr>
  </w:style>
  <w:style w:type="paragraph" w:styleId="Zwrotgrzecznociowy">
    <w:name w:val="Salutation"/>
    <w:basedOn w:val="Normalny"/>
    <w:next w:val="Normalny"/>
    <w:link w:val="ZwrotgrzecznociowyZnak"/>
    <w:uiPriority w:val="98"/>
    <w:semiHidden/>
    <w:rsid w:val="003650DF"/>
  </w:style>
  <w:style w:type="character" w:customStyle="1" w:styleId="ZwrotgrzecznociowyZnak">
    <w:name w:val="Zwrot grzecznościowy Znak"/>
    <w:basedOn w:val="Domylnaczcionkaakapitu"/>
    <w:link w:val="Zwrotgrzecznociowy"/>
    <w:uiPriority w:val="98"/>
    <w:semiHidden/>
    <w:rsid w:val="003650DF"/>
    <w:rPr>
      <w:sz w:val="24"/>
      <w:szCs w:val="24"/>
      <w:lang w:val="pl-PL"/>
    </w:rPr>
  </w:style>
  <w:style w:type="paragraph" w:styleId="Podpis">
    <w:name w:val="Signature"/>
    <w:basedOn w:val="Normalny"/>
    <w:link w:val="PodpisZnak"/>
    <w:uiPriority w:val="98"/>
    <w:semiHidden/>
    <w:rsid w:val="003650DF"/>
    <w:pPr>
      <w:ind w:left="4252"/>
    </w:pPr>
  </w:style>
  <w:style w:type="character" w:customStyle="1" w:styleId="PodpisZnak">
    <w:name w:val="Podpis Znak"/>
    <w:basedOn w:val="Domylnaczcionkaakapitu"/>
    <w:link w:val="Podpis"/>
    <w:uiPriority w:val="98"/>
    <w:semiHidden/>
    <w:rsid w:val="003650DF"/>
    <w:rPr>
      <w:sz w:val="24"/>
      <w:szCs w:val="24"/>
      <w:lang w:val="pl-PL"/>
    </w:rPr>
  </w:style>
  <w:style w:type="table" w:styleId="Tabela-Efekty3D1">
    <w:name w:val="Table 3D effects 1"/>
    <w:basedOn w:val="Standardowy"/>
    <w:uiPriority w:val="99"/>
    <w:semiHidden/>
    <w:unhideWhenUsed/>
    <w:rsid w:val="003650DF"/>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3650DF"/>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3650DF"/>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3650DF"/>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3650DF"/>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3650DF"/>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3650DF"/>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3650DF"/>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3650DF"/>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3650DF"/>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3650DF"/>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3650DF"/>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3650DF"/>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3650DF"/>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3650DF"/>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3650DF"/>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3650DF"/>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3650DF"/>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3650DF"/>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3650DF"/>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3650DF"/>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3650DF"/>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3650DF"/>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3650DF"/>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3650DF"/>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3650DF"/>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3650DF"/>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3650DF"/>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3650DF"/>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3650DF"/>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3650DF"/>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3650DF"/>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3650DF"/>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rsid w:val="003650DF"/>
    <w:pPr>
      <w:ind w:left="240" w:hanging="240"/>
    </w:pPr>
  </w:style>
  <w:style w:type="paragraph" w:styleId="Spisilustracji">
    <w:name w:val="table of figures"/>
    <w:basedOn w:val="Normalny"/>
    <w:next w:val="Normalny"/>
    <w:uiPriority w:val="98"/>
    <w:semiHidden/>
    <w:rsid w:val="003650DF"/>
  </w:style>
  <w:style w:type="table" w:styleId="Tabela-Profesjonalny">
    <w:name w:val="Table Professional"/>
    <w:basedOn w:val="Standardowy"/>
    <w:uiPriority w:val="99"/>
    <w:semiHidden/>
    <w:unhideWhenUsed/>
    <w:rsid w:val="003650DF"/>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3650DF"/>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3650DF"/>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3650DF"/>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3650DF"/>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3650DF"/>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3650DF"/>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3650DF"/>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3650DF"/>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3650DF"/>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8"/>
    <w:semiHidden/>
    <w:rsid w:val="003650DF"/>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3650DF"/>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3650DF"/>
    <w:pPr>
      <w:spacing w:after="100"/>
      <w:ind w:left="1680"/>
    </w:pPr>
  </w:style>
  <w:style w:type="paragraph" w:styleId="Spistreci9">
    <w:name w:val="toc 9"/>
    <w:basedOn w:val="Normalny"/>
    <w:next w:val="Normalny"/>
    <w:autoRedefine/>
    <w:uiPriority w:val="98"/>
    <w:semiHidden/>
    <w:rsid w:val="003650DF"/>
    <w:pPr>
      <w:spacing w:after="100"/>
      <w:ind w:left="1920"/>
    </w:pPr>
  </w:style>
  <w:style w:type="paragraph" w:customStyle="1" w:styleId="ECHRFooter">
    <w:name w:val="ECHR_Footer"/>
    <w:aliases w:val="Footer_ECHR"/>
    <w:basedOn w:val="Stopka"/>
    <w:uiPriority w:val="57"/>
    <w:semiHidden/>
    <w:rsid w:val="0064393B"/>
    <w:rPr>
      <w:sz w:val="8"/>
    </w:rPr>
  </w:style>
  <w:style w:type="paragraph" w:customStyle="1" w:styleId="ECHRFooterLine">
    <w:name w:val="ECHR_Footer_Line"/>
    <w:aliases w:val="_Footer_Line"/>
    <w:basedOn w:val="Normalny"/>
    <w:next w:val="Normalny"/>
    <w:uiPriority w:val="30"/>
    <w:semiHidden/>
    <w:rsid w:val="003650DF"/>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3650DF"/>
    <w:pPr>
      <w:keepNext/>
      <w:keepLines/>
      <w:spacing w:after="280"/>
      <w:ind w:firstLine="0"/>
      <w:jc w:val="center"/>
    </w:pPr>
    <w:rPr>
      <w:rFonts w:asciiTheme="majorHAnsi" w:hAnsiTheme="majorHAnsi"/>
    </w:rPr>
  </w:style>
  <w:style w:type="paragraph" w:customStyle="1" w:styleId="JuTitle">
    <w:name w:val="Ju_Title"/>
    <w:aliases w:val="_Title_2"/>
    <w:basedOn w:val="Normalny"/>
    <w:next w:val="JuPara"/>
    <w:uiPriority w:val="38"/>
    <w:qFormat/>
    <w:rsid w:val="003650DF"/>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semiHidden/>
    <w:rsid w:val="003650DF"/>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3650DF"/>
    <w:pPr>
      <w:numPr>
        <w:numId w:val="9"/>
      </w:numPr>
      <w:spacing w:before="60" w:after="60"/>
    </w:pPr>
  </w:style>
  <w:style w:type="paragraph" w:customStyle="1" w:styleId="ECHRBullet2">
    <w:name w:val="ECHR_Bullet_2"/>
    <w:aliases w:val="_Bul_2"/>
    <w:basedOn w:val="ECHRBullet1"/>
    <w:uiPriority w:val="23"/>
    <w:semiHidden/>
    <w:rsid w:val="003650DF"/>
    <w:pPr>
      <w:numPr>
        <w:ilvl w:val="1"/>
      </w:numPr>
    </w:pPr>
  </w:style>
  <w:style w:type="paragraph" w:customStyle="1" w:styleId="ECHRBullet3">
    <w:name w:val="ECHR_Bullet_3"/>
    <w:aliases w:val="_Bul_3"/>
    <w:basedOn w:val="ECHRBullet2"/>
    <w:uiPriority w:val="23"/>
    <w:semiHidden/>
    <w:rsid w:val="003650DF"/>
    <w:pPr>
      <w:numPr>
        <w:ilvl w:val="2"/>
      </w:numPr>
    </w:pPr>
  </w:style>
  <w:style w:type="paragraph" w:customStyle="1" w:styleId="ECHRBullet4">
    <w:name w:val="ECHR_Bullet_4"/>
    <w:aliases w:val="_Bul_4"/>
    <w:basedOn w:val="ECHRBullet3"/>
    <w:uiPriority w:val="23"/>
    <w:semiHidden/>
    <w:rsid w:val="003650DF"/>
    <w:pPr>
      <w:numPr>
        <w:ilvl w:val="3"/>
      </w:numPr>
    </w:pPr>
  </w:style>
  <w:style w:type="paragraph" w:customStyle="1" w:styleId="ECHRConfidential">
    <w:name w:val="ECHR_Confidential"/>
    <w:aliases w:val="_Confidential"/>
    <w:basedOn w:val="Normalny"/>
    <w:next w:val="Normalny"/>
    <w:uiPriority w:val="42"/>
    <w:semiHidden/>
    <w:qFormat/>
    <w:rsid w:val="003650DF"/>
    <w:pPr>
      <w:jc w:val="right"/>
    </w:pPr>
    <w:rPr>
      <w:color w:val="C00000"/>
      <w:sz w:val="20"/>
    </w:rPr>
  </w:style>
  <w:style w:type="paragraph" w:customStyle="1" w:styleId="ECHRDecisionBody">
    <w:name w:val="ECHR_Decision_Body"/>
    <w:aliases w:val="_Decision_Body"/>
    <w:basedOn w:val="NormalJustified"/>
    <w:uiPriority w:val="54"/>
    <w:semiHidden/>
    <w:rsid w:val="003650DF"/>
    <w:pPr>
      <w:tabs>
        <w:tab w:val="left" w:pos="567"/>
        <w:tab w:val="left" w:pos="1134"/>
      </w:tabs>
      <w:spacing w:line="240" w:lineRule="exact"/>
      <w:jc w:val="left"/>
    </w:pPr>
  </w:style>
  <w:style w:type="paragraph" w:customStyle="1" w:styleId="ECHRDivisionName">
    <w:name w:val="ECHR_DivisionName"/>
    <w:aliases w:val="_Div_Name"/>
    <w:basedOn w:val="Normalny"/>
    <w:link w:val="ECHRDivisionNameChar"/>
    <w:uiPriority w:val="41"/>
    <w:semiHidden/>
    <w:qFormat/>
    <w:rsid w:val="003650DF"/>
    <w:pPr>
      <w:contextualSpacing/>
      <w:jc w:val="center"/>
    </w:pPr>
    <w:rPr>
      <w:rFonts w:ascii="Arial" w:hAnsi="Arial"/>
      <w:i/>
      <w:color w:val="002856"/>
      <w:sz w:val="32"/>
    </w:rPr>
  </w:style>
  <w:style w:type="character" w:customStyle="1" w:styleId="ECHRDivisionNameChar">
    <w:name w:val="ECHR_DivisionName Char"/>
    <w:aliases w:val="_Div_Name Char"/>
    <w:basedOn w:val="Domylnaczcionkaakapitu"/>
    <w:link w:val="ECHRDivisionName"/>
    <w:uiPriority w:val="41"/>
    <w:semiHidden/>
    <w:rsid w:val="003650DF"/>
    <w:rPr>
      <w:rFonts w:ascii="Arial" w:hAnsi="Arial"/>
      <w:i/>
      <w:color w:val="002856"/>
      <w:sz w:val="32"/>
      <w:szCs w:val="24"/>
      <w:lang w:val="pl-PL"/>
    </w:rPr>
  </w:style>
  <w:style w:type="paragraph" w:customStyle="1" w:styleId="ECHRFooterLineLandscape">
    <w:name w:val="ECHR_Footer_Line_Landscape"/>
    <w:aliases w:val="_Footer_Line_Landscape"/>
    <w:basedOn w:val="Normalny"/>
    <w:uiPriority w:val="30"/>
    <w:semiHidden/>
    <w:rsid w:val="003650DF"/>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ny"/>
    <w:uiPriority w:val="44"/>
    <w:semiHidden/>
    <w:qFormat/>
    <w:rsid w:val="003650DF"/>
    <w:pPr>
      <w:jc w:val="right"/>
    </w:pPr>
    <w:rPr>
      <w:sz w:val="20"/>
    </w:rPr>
  </w:style>
  <w:style w:type="paragraph" w:customStyle="1" w:styleId="ECHRHeaderRefIt">
    <w:name w:val="ECHR_Header_Ref_It"/>
    <w:aliases w:val="_Ref_Ital"/>
    <w:basedOn w:val="Normalny"/>
    <w:next w:val="ECHRHeaderDate"/>
    <w:uiPriority w:val="43"/>
    <w:qFormat/>
    <w:rsid w:val="003650DF"/>
    <w:pPr>
      <w:jc w:val="right"/>
    </w:pPr>
    <w:rPr>
      <w:i/>
      <w:sz w:val="20"/>
    </w:rPr>
  </w:style>
  <w:style w:type="paragraph" w:customStyle="1" w:styleId="ECHRHeading9">
    <w:name w:val="ECHR_Heading_9"/>
    <w:aliases w:val="_Head_9"/>
    <w:basedOn w:val="Nagwek9"/>
    <w:uiPriority w:val="17"/>
    <w:semiHidden/>
    <w:rsid w:val="003650DF"/>
    <w:pPr>
      <w:keepNext/>
      <w:keepLines/>
      <w:numPr>
        <w:ilvl w:val="8"/>
        <w:numId w:val="5"/>
      </w:numPr>
      <w:spacing w:before="100" w:beforeAutospacing="1"/>
      <w:contextualSpacing/>
      <w:jc w:val="both"/>
    </w:pPr>
    <w:rPr>
      <w:i w:val="0"/>
      <w:sz w:val="18"/>
    </w:rPr>
  </w:style>
  <w:style w:type="paragraph" w:customStyle="1" w:styleId="ECHRLine">
    <w:name w:val="ECHR_Line"/>
    <w:aliases w:val="_Line"/>
    <w:basedOn w:val="NormalJustified"/>
    <w:next w:val="Normalny"/>
    <w:uiPriority w:val="46"/>
    <w:semiHidden/>
    <w:rsid w:val="003650DF"/>
    <w:pPr>
      <w:pBdr>
        <w:bottom w:val="single" w:sz="12" w:space="1" w:color="949494" w:themeColor="text2" w:themeShade="BF"/>
      </w:pBdr>
      <w:spacing w:after="120"/>
    </w:pPr>
    <w:rPr>
      <w:sz w:val="12"/>
    </w:rPr>
  </w:style>
  <w:style w:type="paragraph" w:customStyle="1" w:styleId="ECHRNumberedList1">
    <w:name w:val="ECHR_Numbered_List_1"/>
    <w:aliases w:val="_Num_1"/>
    <w:basedOn w:val="Normalny"/>
    <w:uiPriority w:val="23"/>
    <w:semiHidden/>
    <w:qFormat/>
    <w:rsid w:val="003650DF"/>
    <w:pPr>
      <w:numPr>
        <w:numId w:val="11"/>
      </w:numPr>
      <w:spacing w:before="60" w:after="60"/>
    </w:pPr>
  </w:style>
  <w:style w:type="paragraph" w:customStyle="1" w:styleId="ECHRNumberedList2">
    <w:name w:val="ECHR_Numbered_List_2"/>
    <w:aliases w:val="_Num_2"/>
    <w:basedOn w:val="ECHRNumberedList1"/>
    <w:uiPriority w:val="23"/>
    <w:semiHidden/>
    <w:rsid w:val="003650DF"/>
    <w:pPr>
      <w:numPr>
        <w:ilvl w:val="1"/>
      </w:numPr>
    </w:pPr>
  </w:style>
  <w:style w:type="paragraph" w:customStyle="1" w:styleId="ECHRNumberedList3">
    <w:name w:val="ECHR_Numbered_List_3"/>
    <w:aliases w:val="_Num_3"/>
    <w:basedOn w:val="ECHRNumberedList2"/>
    <w:uiPriority w:val="23"/>
    <w:semiHidden/>
    <w:rsid w:val="003650DF"/>
    <w:pPr>
      <w:numPr>
        <w:ilvl w:val="2"/>
      </w:numPr>
    </w:pPr>
  </w:style>
  <w:style w:type="paragraph" w:customStyle="1" w:styleId="ECHRParaHanging">
    <w:name w:val="ECHR_Para_Hanging"/>
    <w:aliases w:val="_Hanging"/>
    <w:basedOn w:val="Normalny"/>
    <w:uiPriority w:val="8"/>
    <w:semiHidden/>
    <w:qFormat/>
    <w:rsid w:val="003650DF"/>
    <w:pPr>
      <w:ind w:left="567" w:hanging="567"/>
      <w:jc w:val="both"/>
    </w:pPr>
  </w:style>
  <w:style w:type="paragraph" w:customStyle="1" w:styleId="ECHRParaIndent">
    <w:name w:val="ECHR_Para_Indent"/>
    <w:aliases w:val="_Indent"/>
    <w:basedOn w:val="Normalny"/>
    <w:uiPriority w:val="7"/>
    <w:semiHidden/>
    <w:qFormat/>
    <w:rsid w:val="003650DF"/>
    <w:pPr>
      <w:spacing w:before="120" w:after="120"/>
      <w:ind w:left="284"/>
      <w:jc w:val="both"/>
    </w:pPr>
  </w:style>
  <w:style w:type="character" w:customStyle="1" w:styleId="ECHRRed">
    <w:name w:val="ECHR_Red"/>
    <w:aliases w:val="_Red"/>
    <w:basedOn w:val="Domylnaczcionkaakapitu"/>
    <w:uiPriority w:val="15"/>
    <w:semiHidden/>
    <w:qFormat/>
    <w:rsid w:val="003650DF"/>
    <w:rPr>
      <w:color w:val="C00000" w:themeColor="accent2"/>
    </w:rPr>
  </w:style>
  <w:style w:type="paragraph" w:customStyle="1" w:styleId="DecList">
    <w:name w:val="Dec_List"/>
    <w:aliases w:val="_List"/>
    <w:basedOn w:val="JuList"/>
    <w:uiPriority w:val="22"/>
    <w:rsid w:val="003650DF"/>
    <w:pPr>
      <w:numPr>
        <w:numId w:val="0"/>
      </w:numPr>
      <w:ind w:left="284"/>
    </w:pPr>
  </w:style>
  <w:style w:type="table" w:customStyle="1" w:styleId="ECHRTable2">
    <w:name w:val="ECHR_Table_2"/>
    <w:basedOn w:val="Standardowy"/>
    <w:uiPriority w:val="99"/>
    <w:rsid w:val="003650DF"/>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3650DF"/>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ny"/>
    <w:next w:val="Normalny"/>
    <w:uiPriority w:val="28"/>
    <w:semiHidden/>
    <w:qFormat/>
    <w:rsid w:val="003650DF"/>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ny"/>
    <w:next w:val="Normalny"/>
    <w:uiPriority w:val="28"/>
    <w:semiHidden/>
    <w:qFormat/>
    <w:rsid w:val="003650DF"/>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ny"/>
    <w:next w:val="Normalny"/>
    <w:uiPriority w:val="28"/>
    <w:semiHidden/>
    <w:qFormat/>
    <w:rsid w:val="003650DF"/>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ny"/>
    <w:next w:val="Normalny"/>
    <w:uiPriority w:val="26"/>
    <w:semiHidden/>
    <w:qFormat/>
    <w:rsid w:val="003650DF"/>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ny"/>
    <w:next w:val="Normalny"/>
    <w:uiPriority w:val="26"/>
    <w:semiHidden/>
    <w:qFormat/>
    <w:rsid w:val="003650DF"/>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ny"/>
    <w:next w:val="Normalny"/>
    <w:uiPriority w:val="26"/>
    <w:qFormat/>
    <w:rsid w:val="003650DF"/>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ny"/>
    <w:uiPriority w:val="25"/>
    <w:semiHidden/>
    <w:qFormat/>
    <w:rsid w:val="003650DF"/>
    <w:pPr>
      <w:outlineLvl w:val="0"/>
    </w:pPr>
  </w:style>
  <w:style w:type="paragraph" w:customStyle="1" w:styleId="ECHRTitleTOC1">
    <w:name w:val="ECHR_Title_TOC_1"/>
    <w:aliases w:val="_Title_L_TOC"/>
    <w:basedOn w:val="ECHRTitle1"/>
    <w:next w:val="Normalny"/>
    <w:uiPriority w:val="27"/>
    <w:semiHidden/>
    <w:qFormat/>
    <w:rsid w:val="003650DF"/>
    <w:pPr>
      <w:outlineLvl w:val="0"/>
    </w:pPr>
  </w:style>
  <w:style w:type="paragraph" w:customStyle="1" w:styleId="ECHRPlaceholder">
    <w:name w:val="ECHR_Placeholder"/>
    <w:aliases w:val="_Placeholder"/>
    <w:basedOn w:val="JuSigned"/>
    <w:uiPriority w:val="31"/>
    <w:rsid w:val="003650DF"/>
    <w:rPr>
      <w:color w:val="FFFFFF"/>
    </w:rPr>
  </w:style>
  <w:style w:type="paragraph" w:customStyle="1" w:styleId="ECHRSpacer">
    <w:name w:val="ECHR_Spacer"/>
    <w:aliases w:val="_Spacer"/>
    <w:basedOn w:val="Normalny"/>
    <w:uiPriority w:val="45"/>
    <w:semiHidden/>
    <w:rsid w:val="003650DF"/>
    <w:rPr>
      <w:sz w:val="4"/>
    </w:rPr>
  </w:style>
  <w:style w:type="table" w:customStyle="1" w:styleId="ECHRTableGrey">
    <w:name w:val="ECHR_Table_Grey"/>
    <w:basedOn w:val="Standardowy"/>
    <w:uiPriority w:val="99"/>
    <w:rsid w:val="003650DF"/>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JuParaChar">
    <w:name w:val="Ju_Para Char"/>
    <w:aliases w:val="_Para Char"/>
    <w:link w:val="JuPara"/>
    <w:uiPriority w:val="4"/>
    <w:rsid w:val="002E7DD4"/>
    <w:rPr>
      <w:sz w:val="24"/>
      <w:szCs w:val="24"/>
      <w:lang w:val="pl-PL"/>
    </w:rPr>
  </w:style>
  <w:style w:type="character" w:customStyle="1" w:styleId="JuNames0">
    <w:name w:val="Ju_Names"/>
    <w:rsid w:val="002E7DD4"/>
    <w:rPr>
      <w:smallCaps/>
    </w:rPr>
  </w:style>
  <w:style w:type="paragraph" w:customStyle="1" w:styleId="JuList4">
    <w:name w:val="Ju_List_4"/>
    <w:aliases w:val="N_Bul_4"/>
    <w:basedOn w:val="JuListi"/>
    <w:uiPriority w:val="19"/>
    <w:rsid w:val="002E7DD4"/>
    <w:pPr>
      <w:numPr>
        <w:ilvl w:val="0"/>
        <w:numId w:val="0"/>
      </w:numPr>
      <w:tabs>
        <w:tab w:val="num" w:pos="1701"/>
      </w:tabs>
      <w:spacing w:before="60" w:after="60" w:line="240" w:lineRule="exact"/>
      <w:ind w:left="1703" w:hanging="284"/>
      <w:contextualSpacing/>
    </w:pPr>
    <w:rPr>
      <w:sz w:val="22"/>
      <w:lang w:eastAsia="fr-FR"/>
    </w:rPr>
  </w:style>
  <w:style w:type="table" w:styleId="Tabelasiatki1jasna">
    <w:name w:val="Grid Table 1 Light"/>
    <w:basedOn w:val="Standardowy"/>
    <w:uiPriority w:val="46"/>
    <w:semiHidden/>
    <w:rsid w:val="00F33604"/>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elasiatki1jasnaakcent1">
    <w:name w:val="Grid Table 1 Light Accent 1"/>
    <w:basedOn w:val="Standardowy"/>
    <w:uiPriority w:val="46"/>
    <w:semiHidden/>
    <w:rsid w:val="00F33604"/>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Tabelasiatki1jasnaakcent2">
    <w:name w:val="Grid Table 1 Light Accent 2"/>
    <w:basedOn w:val="Standardowy"/>
    <w:uiPriority w:val="46"/>
    <w:semiHidden/>
    <w:rsid w:val="00F33604"/>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Tabelasiatki1jasnaakcent3">
    <w:name w:val="Grid Table 1 Light Accent 3"/>
    <w:basedOn w:val="Standardowy"/>
    <w:uiPriority w:val="46"/>
    <w:semiHidden/>
    <w:rsid w:val="00F33604"/>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Tabelasiatki1jasnaakcent4">
    <w:name w:val="Grid Table 1 Light Accent 4"/>
    <w:basedOn w:val="Standardowy"/>
    <w:uiPriority w:val="46"/>
    <w:semiHidden/>
    <w:rsid w:val="00F33604"/>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Tabelasiatki1jasnaakcent5">
    <w:name w:val="Grid Table 1 Light Accent 5"/>
    <w:basedOn w:val="Standardowy"/>
    <w:uiPriority w:val="46"/>
    <w:semiHidden/>
    <w:rsid w:val="00F33604"/>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Tabelasiatki1jasnaakcent6">
    <w:name w:val="Grid Table 1 Light Accent 6"/>
    <w:basedOn w:val="Standardowy"/>
    <w:uiPriority w:val="46"/>
    <w:semiHidden/>
    <w:rsid w:val="00F33604"/>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Tabelasiatki2">
    <w:name w:val="Grid Table 2"/>
    <w:basedOn w:val="Standardowy"/>
    <w:uiPriority w:val="47"/>
    <w:semiHidden/>
    <w:rsid w:val="00F33604"/>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2akcent1">
    <w:name w:val="Grid Table 2 Accent 1"/>
    <w:basedOn w:val="Standardowy"/>
    <w:uiPriority w:val="47"/>
    <w:semiHidden/>
    <w:rsid w:val="00F33604"/>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2akcent2">
    <w:name w:val="Grid Table 2 Accent 2"/>
    <w:basedOn w:val="Standardowy"/>
    <w:uiPriority w:val="47"/>
    <w:semiHidden/>
    <w:rsid w:val="00F33604"/>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2akcent3">
    <w:name w:val="Grid Table 2 Accent 3"/>
    <w:basedOn w:val="Standardowy"/>
    <w:uiPriority w:val="47"/>
    <w:semiHidden/>
    <w:rsid w:val="00F33604"/>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2akcent4">
    <w:name w:val="Grid Table 2 Accent 4"/>
    <w:basedOn w:val="Standardowy"/>
    <w:uiPriority w:val="47"/>
    <w:semiHidden/>
    <w:rsid w:val="00F33604"/>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2akcent5">
    <w:name w:val="Grid Table 2 Accent 5"/>
    <w:basedOn w:val="Standardowy"/>
    <w:uiPriority w:val="47"/>
    <w:semiHidden/>
    <w:rsid w:val="00F33604"/>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2akcent6">
    <w:name w:val="Grid Table 2 Accent 6"/>
    <w:basedOn w:val="Standardowy"/>
    <w:uiPriority w:val="47"/>
    <w:semiHidden/>
    <w:rsid w:val="00F33604"/>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3">
    <w:name w:val="Grid Table 3"/>
    <w:basedOn w:val="Standardowy"/>
    <w:uiPriority w:val="48"/>
    <w:semiHidden/>
    <w:rsid w:val="00F33604"/>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3akcent1">
    <w:name w:val="Grid Table 3 Accent 1"/>
    <w:basedOn w:val="Standardowy"/>
    <w:uiPriority w:val="48"/>
    <w:semiHidden/>
    <w:rsid w:val="00F33604"/>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3akcent2">
    <w:name w:val="Grid Table 3 Accent 2"/>
    <w:basedOn w:val="Standardowy"/>
    <w:uiPriority w:val="48"/>
    <w:semiHidden/>
    <w:rsid w:val="00F33604"/>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3akcent3">
    <w:name w:val="Grid Table 3 Accent 3"/>
    <w:basedOn w:val="Standardowy"/>
    <w:uiPriority w:val="48"/>
    <w:semiHidden/>
    <w:rsid w:val="00F33604"/>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Tabelasiatki3akcent4">
    <w:name w:val="Grid Table 3 Accent 4"/>
    <w:basedOn w:val="Standardowy"/>
    <w:uiPriority w:val="48"/>
    <w:semiHidden/>
    <w:rsid w:val="00F33604"/>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3akcent5">
    <w:name w:val="Grid Table 3 Accent 5"/>
    <w:basedOn w:val="Standardowy"/>
    <w:uiPriority w:val="48"/>
    <w:semiHidden/>
    <w:rsid w:val="00F33604"/>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3akcent6">
    <w:name w:val="Grid Table 3 Accent 6"/>
    <w:basedOn w:val="Standardowy"/>
    <w:uiPriority w:val="48"/>
    <w:semiHidden/>
    <w:rsid w:val="00F33604"/>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Tabelasiatki4">
    <w:name w:val="Grid Table 4"/>
    <w:basedOn w:val="Standardowy"/>
    <w:uiPriority w:val="49"/>
    <w:semiHidden/>
    <w:rsid w:val="00F33604"/>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4akcent1">
    <w:name w:val="Grid Table 4 Accent 1"/>
    <w:basedOn w:val="Standardowy"/>
    <w:uiPriority w:val="49"/>
    <w:semiHidden/>
    <w:rsid w:val="00F33604"/>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4akcent2">
    <w:name w:val="Grid Table 4 Accent 2"/>
    <w:basedOn w:val="Standardowy"/>
    <w:uiPriority w:val="49"/>
    <w:semiHidden/>
    <w:rsid w:val="00F33604"/>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4akcent3">
    <w:name w:val="Grid Table 4 Accent 3"/>
    <w:basedOn w:val="Standardowy"/>
    <w:uiPriority w:val="49"/>
    <w:semiHidden/>
    <w:rsid w:val="00F33604"/>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4akcent4">
    <w:name w:val="Grid Table 4 Accent 4"/>
    <w:basedOn w:val="Standardowy"/>
    <w:uiPriority w:val="49"/>
    <w:semiHidden/>
    <w:rsid w:val="00F33604"/>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4akcent5">
    <w:name w:val="Grid Table 4 Accent 5"/>
    <w:basedOn w:val="Standardowy"/>
    <w:uiPriority w:val="49"/>
    <w:semiHidden/>
    <w:rsid w:val="00F33604"/>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4akcent6">
    <w:name w:val="Grid Table 4 Accent 6"/>
    <w:basedOn w:val="Standardowy"/>
    <w:uiPriority w:val="49"/>
    <w:semiHidden/>
    <w:rsid w:val="00F33604"/>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5ciemna">
    <w:name w:val="Grid Table 5 Dark"/>
    <w:basedOn w:val="Standardowy"/>
    <w:uiPriority w:val="50"/>
    <w:semiHidden/>
    <w:rsid w:val="00F33604"/>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elasiatki5ciemnaakcent1">
    <w:name w:val="Grid Table 5 Dark Accent 1"/>
    <w:basedOn w:val="Standardowy"/>
    <w:uiPriority w:val="50"/>
    <w:semiHidden/>
    <w:rsid w:val="00F33604"/>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Tabelasiatki5ciemnaakcent2">
    <w:name w:val="Grid Table 5 Dark Accent 2"/>
    <w:basedOn w:val="Standardowy"/>
    <w:uiPriority w:val="50"/>
    <w:semiHidden/>
    <w:rsid w:val="00F33604"/>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Tabelasiatki5ciemnaakcent3">
    <w:name w:val="Grid Table 5 Dark Accent 3"/>
    <w:basedOn w:val="Standardowy"/>
    <w:uiPriority w:val="50"/>
    <w:semiHidden/>
    <w:rsid w:val="00F33604"/>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Tabelasiatki5ciemnaakcent4">
    <w:name w:val="Grid Table 5 Dark Accent 4"/>
    <w:basedOn w:val="Standardowy"/>
    <w:uiPriority w:val="50"/>
    <w:semiHidden/>
    <w:rsid w:val="00F33604"/>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Tabelasiatki5ciemnaakcent5">
    <w:name w:val="Grid Table 5 Dark Accent 5"/>
    <w:basedOn w:val="Standardowy"/>
    <w:uiPriority w:val="50"/>
    <w:semiHidden/>
    <w:rsid w:val="00F33604"/>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Tabelasiatki5ciemnaakcent6">
    <w:name w:val="Grid Table 5 Dark Accent 6"/>
    <w:basedOn w:val="Standardowy"/>
    <w:uiPriority w:val="50"/>
    <w:semiHidden/>
    <w:rsid w:val="00F33604"/>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Tabelasiatki6kolorowa">
    <w:name w:val="Grid Table 6 Colorful"/>
    <w:basedOn w:val="Standardowy"/>
    <w:uiPriority w:val="51"/>
    <w:semiHidden/>
    <w:rsid w:val="00F33604"/>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6kolorowaakcent1">
    <w:name w:val="Grid Table 6 Colorful Accent 1"/>
    <w:basedOn w:val="Standardowy"/>
    <w:uiPriority w:val="51"/>
    <w:semiHidden/>
    <w:rsid w:val="00F33604"/>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6kolorowaakcent2">
    <w:name w:val="Grid Table 6 Colorful Accent 2"/>
    <w:basedOn w:val="Standardowy"/>
    <w:uiPriority w:val="51"/>
    <w:semiHidden/>
    <w:rsid w:val="00F33604"/>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6kolorowaakcent3">
    <w:name w:val="Grid Table 6 Colorful Accent 3"/>
    <w:basedOn w:val="Standardowy"/>
    <w:uiPriority w:val="51"/>
    <w:semiHidden/>
    <w:rsid w:val="00F33604"/>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6kolorowaakcent4">
    <w:name w:val="Grid Table 6 Colorful Accent 4"/>
    <w:basedOn w:val="Standardowy"/>
    <w:uiPriority w:val="51"/>
    <w:semiHidden/>
    <w:rsid w:val="00F33604"/>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6kolorowaakcent5">
    <w:name w:val="Grid Table 6 Colorful Accent 5"/>
    <w:basedOn w:val="Standardowy"/>
    <w:uiPriority w:val="51"/>
    <w:semiHidden/>
    <w:rsid w:val="00F33604"/>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6kolorowaakcent6">
    <w:name w:val="Grid Table 6 Colorful Accent 6"/>
    <w:basedOn w:val="Standardowy"/>
    <w:uiPriority w:val="51"/>
    <w:semiHidden/>
    <w:rsid w:val="00F33604"/>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7kolorowa">
    <w:name w:val="Grid Table 7 Colorful"/>
    <w:basedOn w:val="Standardowy"/>
    <w:uiPriority w:val="52"/>
    <w:semiHidden/>
    <w:rsid w:val="00F33604"/>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7kolorowaakcent1">
    <w:name w:val="Grid Table 7 Colorful Accent 1"/>
    <w:basedOn w:val="Standardowy"/>
    <w:uiPriority w:val="52"/>
    <w:semiHidden/>
    <w:rsid w:val="00F33604"/>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7kolorowaakcent2">
    <w:name w:val="Grid Table 7 Colorful Accent 2"/>
    <w:basedOn w:val="Standardowy"/>
    <w:uiPriority w:val="52"/>
    <w:semiHidden/>
    <w:rsid w:val="00F33604"/>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7kolorowaakcent3">
    <w:name w:val="Grid Table 7 Colorful Accent 3"/>
    <w:basedOn w:val="Standardowy"/>
    <w:uiPriority w:val="52"/>
    <w:semiHidden/>
    <w:rsid w:val="00F33604"/>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Tabelasiatki7kolorowaakcent4">
    <w:name w:val="Grid Table 7 Colorful Accent 4"/>
    <w:basedOn w:val="Standardowy"/>
    <w:uiPriority w:val="52"/>
    <w:semiHidden/>
    <w:rsid w:val="00F33604"/>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7kolorowaakcent5">
    <w:name w:val="Grid Table 7 Colorful Accent 5"/>
    <w:basedOn w:val="Standardowy"/>
    <w:uiPriority w:val="52"/>
    <w:semiHidden/>
    <w:rsid w:val="00F33604"/>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7kolorowaakcent6">
    <w:name w:val="Grid Table 7 Colorful Accent 6"/>
    <w:basedOn w:val="Standardowy"/>
    <w:uiPriority w:val="52"/>
    <w:semiHidden/>
    <w:rsid w:val="00F33604"/>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ztag1">
    <w:name w:val="Hasztag1"/>
    <w:basedOn w:val="Domylnaczcionkaakapitu"/>
    <w:uiPriority w:val="99"/>
    <w:semiHidden/>
    <w:unhideWhenUsed/>
    <w:rsid w:val="00F33604"/>
    <w:rPr>
      <w:color w:val="2B579A"/>
      <w:shd w:val="clear" w:color="auto" w:fill="E1DFDD"/>
    </w:rPr>
  </w:style>
  <w:style w:type="table" w:styleId="Tabelalisty1jasna">
    <w:name w:val="List Table 1 Light"/>
    <w:basedOn w:val="Standardowy"/>
    <w:uiPriority w:val="46"/>
    <w:semiHidden/>
    <w:rsid w:val="00F33604"/>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1jasnaakcent1">
    <w:name w:val="List Table 1 Light Accent 1"/>
    <w:basedOn w:val="Standardowy"/>
    <w:uiPriority w:val="46"/>
    <w:semiHidden/>
    <w:rsid w:val="00F33604"/>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1jasnaakcent2">
    <w:name w:val="List Table 1 Light Accent 2"/>
    <w:basedOn w:val="Standardowy"/>
    <w:uiPriority w:val="46"/>
    <w:semiHidden/>
    <w:rsid w:val="00F33604"/>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1jasnaakcent3">
    <w:name w:val="List Table 1 Light Accent 3"/>
    <w:basedOn w:val="Standardowy"/>
    <w:uiPriority w:val="46"/>
    <w:semiHidden/>
    <w:rsid w:val="00F33604"/>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1jasnaakcent4">
    <w:name w:val="List Table 1 Light Accent 4"/>
    <w:basedOn w:val="Standardowy"/>
    <w:uiPriority w:val="46"/>
    <w:semiHidden/>
    <w:rsid w:val="00F33604"/>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1jasnaakcent5">
    <w:name w:val="List Table 1 Light Accent 5"/>
    <w:basedOn w:val="Standardowy"/>
    <w:uiPriority w:val="46"/>
    <w:semiHidden/>
    <w:rsid w:val="00F33604"/>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1jasnaakcent6">
    <w:name w:val="List Table 1 Light Accent 6"/>
    <w:basedOn w:val="Standardowy"/>
    <w:uiPriority w:val="46"/>
    <w:semiHidden/>
    <w:rsid w:val="00F33604"/>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2">
    <w:name w:val="List Table 2"/>
    <w:basedOn w:val="Standardowy"/>
    <w:uiPriority w:val="47"/>
    <w:semiHidden/>
    <w:rsid w:val="00F33604"/>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2akcent1">
    <w:name w:val="List Table 2 Accent 1"/>
    <w:basedOn w:val="Standardowy"/>
    <w:uiPriority w:val="47"/>
    <w:semiHidden/>
    <w:rsid w:val="00F33604"/>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2akcent2">
    <w:name w:val="List Table 2 Accent 2"/>
    <w:basedOn w:val="Standardowy"/>
    <w:uiPriority w:val="47"/>
    <w:semiHidden/>
    <w:rsid w:val="00F33604"/>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2akcent3">
    <w:name w:val="List Table 2 Accent 3"/>
    <w:basedOn w:val="Standardowy"/>
    <w:uiPriority w:val="47"/>
    <w:semiHidden/>
    <w:rsid w:val="00F33604"/>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2akcent4">
    <w:name w:val="List Table 2 Accent 4"/>
    <w:basedOn w:val="Standardowy"/>
    <w:uiPriority w:val="47"/>
    <w:semiHidden/>
    <w:rsid w:val="00F33604"/>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2akcent5">
    <w:name w:val="List Table 2 Accent 5"/>
    <w:basedOn w:val="Standardowy"/>
    <w:uiPriority w:val="47"/>
    <w:semiHidden/>
    <w:rsid w:val="00F33604"/>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2akcent6">
    <w:name w:val="List Table 2 Accent 6"/>
    <w:basedOn w:val="Standardowy"/>
    <w:uiPriority w:val="47"/>
    <w:semiHidden/>
    <w:rsid w:val="00F33604"/>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3">
    <w:name w:val="List Table 3"/>
    <w:basedOn w:val="Standardowy"/>
    <w:uiPriority w:val="48"/>
    <w:semiHidden/>
    <w:rsid w:val="00F33604"/>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Tabelalisty3akcent1">
    <w:name w:val="List Table 3 Accent 1"/>
    <w:basedOn w:val="Standardowy"/>
    <w:uiPriority w:val="48"/>
    <w:semiHidden/>
    <w:rsid w:val="00F33604"/>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Tabelalisty3akcent2">
    <w:name w:val="List Table 3 Accent 2"/>
    <w:basedOn w:val="Standardowy"/>
    <w:uiPriority w:val="48"/>
    <w:semiHidden/>
    <w:rsid w:val="00F33604"/>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Tabelalisty3akcent3">
    <w:name w:val="List Table 3 Accent 3"/>
    <w:basedOn w:val="Standardowy"/>
    <w:uiPriority w:val="48"/>
    <w:semiHidden/>
    <w:rsid w:val="00F33604"/>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Tabelalisty3akcent4">
    <w:name w:val="List Table 3 Accent 4"/>
    <w:basedOn w:val="Standardowy"/>
    <w:uiPriority w:val="48"/>
    <w:semiHidden/>
    <w:rsid w:val="00F33604"/>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Tabelalisty3akcent5">
    <w:name w:val="List Table 3 Accent 5"/>
    <w:basedOn w:val="Standardowy"/>
    <w:uiPriority w:val="48"/>
    <w:semiHidden/>
    <w:rsid w:val="00F33604"/>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Tabelalisty3akcent6">
    <w:name w:val="List Table 3 Accent 6"/>
    <w:basedOn w:val="Standardowy"/>
    <w:uiPriority w:val="48"/>
    <w:semiHidden/>
    <w:rsid w:val="00F33604"/>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Tabelalisty4">
    <w:name w:val="List Table 4"/>
    <w:basedOn w:val="Standardowy"/>
    <w:uiPriority w:val="49"/>
    <w:semiHidden/>
    <w:rsid w:val="00F33604"/>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4akcent1">
    <w:name w:val="List Table 4 Accent 1"/>
    <w:basedOn w:val="Standardowy"/>
    <w:uiPriority w:val="49"/>
    <w:semiHidden/>
    <w:rsid w:val="00F33604"/>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4akcent2">
    <w:name w:val="List Table 4 Accent 2"/>
    <w:basedOn w:val="Standardowy"/>
    <w:uiPriority w:val="49"/>
    <w:semiHidden/>
    <w:rsid w:val="00F33604"/>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4akcent3">
    <w:name w:val="List Table 4 Accent 3"/>
    <w:basedOn w:val="Standardowy"/>
    <w:uiPriority w:val="49"/>
    <w:semiHidden/>
    <w:rsid w:val="00F33604"/>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4akcent4">
    <w:name w:val="List Table 4 Accent 4"/>
    <w:basedOn w:val="Standardowy"/>
    <w:uiPriority w:val="49"/>
    <w:semiHidden/>
    <w:rsid w:val="00F33604"/>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4akcent5">
    <w:name w:val="List Table 4 Accent 5"/>
    <w:basedOn w:val="Standardowy"/>
    <w:uiPriority w:val="49"/>
    <w:semiHidden/>
    <w:rsid w:val="00F33604"/>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4akcent6">
    <w:name w:val="List Table 4 Accent 6"/>
    <w:basedOn w:val="Standardowy"/>
    <w:uiPriority w:val="49"/>
    <w:semiHidden/>
    <w:rsid w:val="00F33604"/>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5ciemna">
    <w:name w:val="List Table 5 Dark"/>
    <w:basedOn w:val="Standardowy"/>
    <w:uiPriority w:val="50"/>
    <w:semiHidden/>
    <w:rsid w:val="00F33604"/>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1">
    <w:name w:val="List Table 5 Dark Accent 1"/>
    <w:basedOn w:val="Standardowy"/>
    <w:uiPriority w:val="50"/>
    <w:semiHidden/>
    <w:rsid w:val="00F33604"/>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2">
    <w:name w:val="List Table 5 Dark Accent 2"/>
    <w:basedOn w:val="Standardowy"/>
    <w:uiPriority w:val="50"/>
    <w:semiHidden/>
    <w:rsid w:val="00F33604"/>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3">
    <w:name w:val="List Table 5 Dark Accent 3"/>
    <w:basedOn w:val="Standardowy"/>
    <w:uiPriority w:val="50"/>
    <w:semiHidden/>
    <w:rsid w:val="00F33604"/>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4">
    <w:name w:val="List Table 5 Dark Accent 4"/>
    <w:basedOn w:val="Standardowy"/>
    <w:uiPriority w:val="50"/>
    <w:semiHidden/>
    <w:rsid w:val="00F33604"/>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5">
    <w:name w:val="List Table 5 Dark Accent 5"/>
    <w:basedOn w:val="Standardowy"/>
    <w:uiPriority w:val="50"/>
    <w:semiHidden/>
    <w:rsid w:val="00F33604"/>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6">
    <w:name w:val="List Table 5 Dark Accent 6"/>
    <w:basedOn w:val="Standardowy"/>
    <w:uiPriority w:val="50"/>
    <w:semiHidden/>
    <w:rsid w:val="00F33604"/>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6kolorowa">
    <w:name w:val="List Table 6 Colorful"/>
    <w:basedOn w:val="Standardowy"/>
    <w:uiPriority w:val="51"/>
    <w:semiHidden/>
    <w:rsid w:val="00F33604"/>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6kolorowaakcent1">
    <w:name w:val="List Table 6 Colorful Accent 1"/>
    <w:basedOn w:val="Standardowy"/>
    <w:uiPriority w:val="51"/>
    <w:semiHidden/>
    <w:rsid w:val="00F33604"/>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6kolorowaakcent2">
    <w:name w:val="List Table 6 Colorful Accent 2"/>
    <w:basedOn w:val="Standardowy"/>
    <w:uiPriority w:val="51"/>
    <w:semiHidden/>
    <w:rsid w:val="00F33604"/>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6kolorowaakcent3">
    <w:name w:val="List Table 6 Colorful Accent 3"/>
    <w:basedOn w:val="Standardowy"/>
    <w:uiPriority w:val="51"/>
    <w:semiHidden/>
    <w:rsid w:val="00F33604"/>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6kolorowaakcent4">
    <w:name w:val="List Table 6 Colorful Accent 4"/>
    <w:basedOn w:val="Standardowy"/>
    <w:uiPriority w:val="51"/>
    <w:semiHidden/>
    <w:rsid w:val="00F33604"/>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6kolorowaakcent5">
    <w:name w:val="List Table 6 Colorful Accent 5"/>
    <w:basedOn w:val="Standardowy"/>
    <w:uiPriority w:val="51"/>
    <w:semiHidden/>
    <w:rsid w:val="00F33604"/>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6kolorowaakcent6">
    <w:name w:val="List Table 6 Colorful Accent 6"/>
    <w:basedOn w:val="Standardowy"/>
    <w:uiPriority w:val="51"/>
    <w:semiHidden/>
    <w:rsid w:val="00F33604"/>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7kolorowa">
    <w:name w:val="List Table 7 Colorful"/>
    <w:basedOn w:val="Standardowy"/>
    <w:uiPriority w:val="52"/>
    <w:semiHidden/>
    <w:rsid w:val="00F33604"/>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1">
    <w:name w:val="List Table 7 Colorful Accent 1"/>
    <w:basedOn w:val="Standardowy"/>
    <w:uiPriority w:val="52"/>
    <w:semiHidden/>
    <w:rsid w:val="00F33604"/>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2">
    <w:name w:val="List Table 7 Colorful Accent 2"/>
    <w:basedOn w:val="Standardowy"/>
    <w:uiPriority w:val="52"/>
    <w:semiHidden/>
    <w:rsid w:val="00F33604"/>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3">
    <w:name w:val="List Table 7 Colorful Accent 3"/>
    <w:basedOn w:val="Standardowy"/>
    <w:uiPriority w:val="52"/>
    <w:semiHidden/>
    <w:rsid w:val="00F33604"/>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4">
    <w:name w:val="List Table 7 Colorful Accent 4"/>
    <w:basedOn w:val="Standardowy"/>
    <w:uiPriority w:val="52"/>
    <w:semiHidden/>
    <w:rsid w:val="00F33604"/>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5">
    <w:name w:val="List Table 7 Colorful Accent 5"/>
    <w:basedOn w:val="Standardowy"/>
    <w:uiPriority w:val="52"/>
    <w:semiHidden/>
    <w:rsid w:val="00F33604"/>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6">
    <w:name w:val="List Table 7 Colorful Accent 6"/>
    <w:basedOn w:val="Standardowy"/>
    <w:uiPriority w:val="52"/>
    <w:semiHidden/>
    <w:rsid w:val="00F33604"/>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Wzmianka1">
    <w:name w:val="Wzmianka1"/>
    <w:basedOn w:val="Domylnaczcionkaakapitu"/>
    <w:uiPriority w:val="99"/>
    <w:semiHidden/>
    <w:unhideWhenUsed/>
    <w:rsid w:val="00F33604"/>
    <w:rPr>
      <w:color w:val="2B579A"/>
      <w:shd w:val="clear" w:color="auto" w:fill="E1DFDD"/>
    </w:rPr>
  </w:style>
  <w:style w:type="table" w:styleId="Zwykatabela1">
    <w:name w:val="Plain Table 1"/>
    <w:basedOn w:val="Standardowy"/>
    <w:uiPriority w:val="41"/>
    <w:semiHidden/>
    <w:rsid w:val="00F33604"/>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Zwykatabela2">
    <w:name w:val="Plain Table 2"/>
    <w:basedOn w:val="Standardowy"/>
    <w:uiPriority w:val="42"/>
    <w:semiHidden/>
    <w:rsid w:val="00F33604"/>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Zwykatabela3">
    <w:name w:val="Plain Table 3"/>
    <w:basedOn w:val="Standardowy"/>
    <w:uiPriority w:val="43"/>
    <w:semiHidden/>
    <w:rsid w:val="00F33604"/>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Zwykatabela4">
    <w:name w:val="Plain Table 4"/>
    <w:basedOn w:val="Standardowy"/>
    <w:uiPriority w:val="44"/>
    <w:semiHidden/>
    <w:rsid w:val="00F33604"/>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Zwykatabela5">
    <w:name w:val="Plain Table 5"/>
    <w:basedOn w:val="Standardowy"/>
    <w:uiPriority w:val="45"/>
    <w:semiHidden/>
    <w:rsid w:val="00F33604"/>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Hiperlinkinteligentny1">
    <w:name w:val="Hiperlink inteligentny1"/>
    <w:basedOn w:val="Domylnaczcionkaakapitu"/>
    <w:uiPriority w:val="99"/>
    <w:semiHidden/>
    <w:unhideWhenUsed/>
    <w:rsid w:val="00F33604"/>
    <w:rPr>
      <w:u w:val="dotted"/>
    </w:rPr>
  </w:style>
  <w:style w:type="character" w:customStyle="1" w:styleId="SmartLink1">
    <w:name w:val="SmartLink1"/>
    <w:basedOn w:val="Domylnaczcionkaakapitu"/>
    <w:uiPriority w:val="99"/>
    <w:semiHidden/>
    <w:unhideWhenUsed/>
    <w:rsid w:val="00F33604"/>
    <w:rPr>
      <w:color w:val="0000FF"/>
      <w:u w:val="single"/>
      <w:shd w:val="clear" w:color="auto" w:fill="F3F2F1"/>
    </w:rPr>
  </w:style>
  <w:style w:type="table" w:styleId="Siatkatabelijasna">
    <w:name w:val="Grid Table Light"/>
    <w:basedOn w:val="Standardowy"/>
    <w:uiPriority w:val="40"/>
    <w:semiHidden/>
    <w:rsid w:val="00F33604"/>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character" w:customStyle="1" w:styleId="Nierozpoznanawzmianka1">
    <w:name w:val="Nierozpoznana wzmianka1"/>
    <w:basedOn w:val="Domylnaczcionkaakapitu"/>
    <w:uiPriority w:val="99"/>
    <w:semiHidden/>
    <w:unhideWhenUsed/>
    <w:rsid w:val="00F33604"/>
    <w:rPr>
      <w:color w:val="605E5C"/>
      <w:shd w:val="clear" w:color="auto" w:fill="E1DFDD"/>
    </w:rPr>
  </w:style>
  <w:style w:type="paragraph" w:customStyle="1" w:styleId="jupara0">
    <w:name w:val="jupara"/>
    <w:basedOn w:val="Normalny"/>
    <w:rsid w:val="00546A1E"/>
    <w:pPr>
      <w:ind w:firstLine="284"/>
      <w:jc w:val="both"/>
    </w:pPr>
    <w:rPr>
      <w:rFonts w:ascii="Times New Roman" w:eastAsia="Times New Roman" w:hAnsi="Times New Roman" w:cs="Times New Roman"/>
      <w:lang w:eastAsia="en-GB"/>
    </w:rPr>
  </w:style>
  <w:style w:type="paragraph" w:customStyle="1" w:styleId="jucase0">
    <w:name w:val="jucase"/>
    <w:basedOn w:val="Normalny"/>
    <w:rsid w:val="00546A1E"/>
    <w:pPr>
      <w:ind w:firstLine="284"/>
      <w:jc w:val="both"/>
    </w:pPr>
    <w:rPr>
      <w:rFonts w:ascii="Times New Roman" w:eastAsia="Times New Roman" w:hAnsi="Times New Roman" w:cs="Times New Roman"/>
      <w:b/>
      <w:bCs/>
      <w:lang w:eastAsia="en-GB"/>
    </w:rPr>
  </w:style>
  <w:style w:type="paragraph" w:styleId="Poprawka">
    <w:name w:val="Revision"/>
    <w:hidden/>
    <w:uiPriority w:val="99"/>
    <w:semiHidden/>
    <w:rsid w:val="00C90B2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1226880">
      <w:bodyDiv w:val="1"/>
      <w:marLeft w:val="0"/>
      <w:marRight w:val="0"/>
      <w:marTop w:val="0"/>
      <w:marBottom w:val="0"/>
      <w:divBdr>
        <w:top w:val="none" w:sz="0" w:space="0" w:color="auto"/>
        <w:left w:val="none" w:sz="0" w:space="0" w:color="auto"/>
        <w:bottom w:val="none" w:sz="0" w:space="0" w:color="auto"/>
        <w:right w:val="none" w:sz="0" w:space="0" w:color="auto"/>
      </w:divBdr>
    </w:div>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header" Target="header6.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eader" Target="header7.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48F30BB-B871-4972-A0C4-EC72B0B43BFE}">
  <ds:schemaRefs>
    <ds:schemaRef ds:uri="http://schemas.microsoft.com/sharepoint/v3/contenttype/forms"/>
  </ds:schemaRefs>
</ds:datastoreItem>
</file>

<file path=customXml/itemProps2.xml><?xml version="1.0" encoding="utf-8"?>
<ds:datastoreItem xmlns:ds="http://schemas.openxmlformats.org/officeDocument/2006/customXml" ds:itemID="{26212B65-33C9-4BE2-9704-2C56546B48E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EAAAF062-5473-43AF-AF0B-EC697D346D6C}">
  <ds:schemaRefs>
    <ds:schemaRef ds:uri="http://schemas.openxmlformats.org/officeDocument/2006/bibliography"/>
  </ds:schemaRefs>
</ds:datastoreItem>
</file>

<file path=customXml/itemProps4.xml><?xml version="1.0" encoding="utf-8"?>
<ds:datastoreItem xmlns:ds="http://schemas.openxmlformats.org/officeDocument/2006/customXml" ds:itemID="{847AA231-2A88-4F3B-B49B-14E9CCD48B5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13631</Words>
  <Characters>81786</Characters>
  <Application>Microsoft Office Word</Application>
  <DocSecurity>0</DocSecurity>
  <Lines>681</Lines>
  <Paragraphs>190</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Manager/>
  <Company/>
  <LinksUpToDate>false</LinksUpToDate>
  <CharactersWithSpaces>95227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2023-07-11T09:48:00Z</dcterms:created>
  <dcterms:modified xsi:type="dcterms:W3CDTF">2023-08-10T13:01:00Z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35983/14</vt:lpwstr>
  </property>
  <property fmtid="{D5CDD505-2E9C-101B-9397-08002B2CF9AE}" pid="4" name="CASEID">
    <vt:lpwstr>1017707</vt:lpwstr>
  </property>
  <property fmtid="{D5CDD505-2E9C-101B-9397-08002B2CF9AE}" pid="5" name="ContentTypeId">
    <vt:lpwstr>0x010100558EB02BDB9E204AB350EDD385B68E10</vt:lpwstr>
  </property>
</Properties>
</file>