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D0F56" w14:textId="77777777" w:rsidR="0098410D" w:rsidRPr="00260D9D" w:rsidRDefault="0098410D" w:rsidP="00260D9D">
      <w:pPr>
        <w:jc w:val="center"/>
      </w:pPr>
    </w:p>
    <w:p w14:paraId="4C222584" w14:textId="77777777" w:rsidR="0098410D" w:rsidRPr="00260D9D" w:rsidRDefault="004136B5" w:rsidP="00260D9D">
      <w:pPr>
        <w:pStyle w:val="DecHCase"/>
      </w:pPr>
      <w:r>
        <w:t>SEKCJA CZWARTA</w:t>
      </w:r>
    </w:p>
    <w:p w14:paraId="55061989" w14:textId="77777777" w:rsidR="008E6217" w:rsidRPr="00260D9D" w:rsidRDefault="008E6217" w:rsidP="00367186">
      <w:pPr>
        <w:pStyle w:val="JuTitle"/>
        <w:spacing w:before="960"/>
      </w:pPr>
      <w:bookmarkStart w:id="0" w:name="To"/>
      <w:r>
        <w:rPr>
          <w:color w:val="000000" w:themeColor="text1"/>
        </w:rPr>
        <w:t xml:space="preserve">SPRAWA </w:t>
      </w:r>
      <w:bookmarkEnd w:id="0"/>
      <w:r>
        <w:t>BULIGA przeciwko RUMUNII</w:t>
      </w:r>
    </w:p>
    <w:p w14:paraId="660E7BC7" w14:textId="77777777" w:rsidR="00D74888" w:rsidRPr="00260D9D" w:rsidRDefault="008E6217" w:rsidP="00260D9D">
      <w:pPr>
        <w:pStyle w:val="ECHRCoverTitle4"/>
      </w:pPr>
      <w:r>
        <w:t>(Skarga nr 22003/12)</w:t>
      </w:r>
    </w:p>
    <w:p w14:paraId="54AF676B" w14:textId="77777777" w:rsidR="0098410D" w:rsidRPr="00260D9D" w:rsidRDefault="0098410D" w:rsidP="00260D9D">
      <w:pPr>
        <w:pStyle w:val="DecHCase"/>
      </w:pPr>
    </w:p>
    <w:p w14:paraId="681F63D0" w14:textId="77777777" w:rsidR="0098410D" w:rsidRDefault="0098410D" w:rsidP="00CF4955">
      <w:pPr>
        <w:pStyle w:val="DecHCase"/>
        <w:spacing w:after="120"/>
      </w:pPr>
      <w:r>
        <w:t>WYROK</w:t>
      </w:r>
      <w:r>
        <w:br/>
      </w:r>
    </w:p>
    <w:p w14:paraId="17450AA4" w14:textId="77777777" w:rsidR="00CF4955" w:rsidRPr="003C1AF2" w:rsidRDefault="00CF4955" w:rsidP="00CF4955">
      <w:pPr>
        <w:pBdr>
          <w:top w:val="single" w:sz="4" w:space="1" w:color="auto"/>
          <w:left w:val="single" w:sz="4" w:space="4" w:color="auto"/>
          <w:bottom w:val="single" w:sz="4" w:space="1" w:color="auto"/>
          <w:right w:val="single" w:sz="4" w:space="4" w:color="auto"/>
        </w:pBdr>
        <w:jc w:val="both"/>
      </w:pPr>
      <w:r>
        <w:t xml:space="preserve">Artykuł 6 ust. 1 i </w:t>
      </w:r>
      <w:r w:rsidR="00107B03">
        <w:t xml:space="preserve">ust. </w:t>
      </w:r>
      <w:r>
        <w:t xml:space="preserve">3 lit. d) (aspekt karny) • Sprawiedliwe rozpatrzenie sprawy • Skazanie skarżącego za występki przez sąd </w:t>
      </w:r>
      <w:r w:rsidR="00107B03">
        <w:t>na podstawie</w:t>
      </w:r>
      <w:r>
        <w:t xml:space="preserve"> decydujące</w:t>
      </w:r>
      <w:r w:rsidR="00107B03">
        <w:t>go</w:t>
      </w:r>
      <w:r>
        <w:t xml:space="preserve"> dowod</w:t>
      </w:r>
      <w:r w:rsidR="00107B03">
        <w:t>u</w:t>
      </w:r>
      <w:r>
        <w:t xml:space="preserve"> z zeznań nieobecnych świadków • Ogólne gwarancje</w:t>
      </w:r>
      <w:r w:rsidR="00107B03">
        <w:t xml:space="preserve"> rzetelności </w:t>
      </w:r>
      <w:r>
        <w:t>wynikające z art. 6</w:t>
      </w:r>
      <w:r w:rsidR="00107B03">
        <w:t>,</w:t>
      </w:r>
      <w:r>
        <w:t xml:space="preserve"> mające zastosowanie do wszystkich postępowań karnych</w:t>
      </w:r>
      <w:r w:rsidR="00107B03">
        <w:t>,</w:t>
      </w:r>
      <w:r>
        <w:t xml:space="preserve"> niezależnie od czynu • Niemożność przesłuchania świadków przez sąd krajowy</w:t>
      </w:r>
      <w:r w:rsidR="00107B03">
        <w:t>, niestanowiąca ważne</w:t>
      </w:r>
      <w:r w:rsidR="0017785E">
        <w:t>go powodu</w:t>
      </w:r>
      <w:r w:rsidR="00107B03">
        <w:t xml:space="preserve"> ich nie</w:t>
      </w:r>
      <w:r w:rsidR="0017785E">
        <w:t>obecności</w:t>
      </w:r>
      <w:r>
        <w:t xml:space="preserve"> • Brak wystarczających czynników równoważących w celu zrekompensowania utrudnień nałożonych na obronę </w:t>
      </w:r>
    </w:p>
    <w:p w14:paraId="4EB5F484" w14:textId="77777777" w:rsidR="00CF4955" w:rsidRDefault="00CF4955" w:rsidP="00CF4955">
      <w:pPr>
        <w:pStyle w:val="JuPara"/>
        <w:pBdr>
          <w:top w:val="single" w:sz="4" w:space="1" w:color="auto"/>
          <w:left w:val="single" w:sz="4" w:space="4" w:color="auto"/>
          <w:bottom w:val="single" w:sz="4" w:space="1" w:color="auto"/>
          <w:right w:val="single" w:sz="4" w:space="4" w:color="auto"/>
        </w:pBdr>
        <w:ind w:firstLine="0"/>
      </w:pPr>
      <w:r>
        <w:t>Artykuł 41 • Słuszne zadośćuczynienie • Wznowienie postępowania krajowego najwłaściwszą formą zadośćuczynienia</w:t>
      </w:r>
      <w:r w:rsidR="00107B03">
        <w:t xml:space="preserve">, zważywszy na </w:t>
      </w:r>
      <w:r>
        <w:t xml:space="preserve">charakter zarzutów </w:t>
      </w:r>
      <w:r w:rsidR="00107B03">
        <w:t xml:space="preserve">sformułowanych przez </w:t>
      </w:r>
      <w:r>
        <w:t>skarżącego • Krzywda zrekompensowana jedynie zadośćuczynieniem za szkodę niemajątkową</w:t>
      </w:r>
    </w:p>
    <w:p w14:paraId="35725BF9" w14:textId="77777777" w:rsidR="00CF4955" w:rsidRPr="00CF4955" w:rsidRDefault="00CF4955" w:rsidP="00CF4955">
      <w:pPr>
        <w:pStyle w:val="JuPara"/>
        <w:spacing w:after="120"/>
      </w:pPr>
    </w:p>
    <w:p w14:paraId="7F3F2822" w14:textId="77777777" w:rsidR="0098410D" w:rsidRPr="00260D9D" w:rsidRDefault="0098410D" w:rsidP="00260D9D">
      <w:pPr>
        <w:pStyle w:val="DecHCase"/>
      </w:pPr>
      <w:r>
        <w:t>STRASBURG</w:t>
      </w:r>
    </w:p>
    <w:p w14:paraId="34F3A7E6" w14:textId="77777777" w:rsidR="0098410D" w:rsidRPr="00260D9D" w:rsidRDefault="004136B5" w:rsidP="00260D9D">
      <w:pPr>
        <w:pStyle w:val="DecHCase"/>
      </w:pPr>
      <w:r>
        <w:rPr>
          <w:rFonts w:ascii="Times New Roman" w:hAnsi="Times New Roman"/>
        </w:rPr>
        <w:t>16 lutego 2021 r.</w:t>
      </w:r>
    </w:p>
    <w:p w14:paraId="027CECAA" w14:textId="77777777" w:rsidR="00260D9D" w:rsidRPr="00260D9D" w:rsidRDefault="00260D9D" w:rsidP="00260D9D">
      <w:pPr>
        <w:pStyle w:val="JuPara"/>
      </w:pPr>
    </w:p>
    <w:p w14:paraId="0D8FDB86" w14:textId="6F36BC65" w:rsidR="00367186" w:rsidRDefault="00BF2379" w:rsidP="00367186">
      <w:pPr>
        <w:pStyle w:val="jucase0"/>
        <w:ind w:firstLine="0"/>
        <w:jc w:val="center"/>
        <w:rPr>
          <w:color w:val="FF0000"/>
          <w:sz w:val="28"/>
          <w:szCs w:val="28"/>
          <w:u w:val="single"/>
        </w:rPr>
      </w:pPr>
      <w:bookmarkStart w:id="1" w:name="_Hlk59706592"/>
      <w:bookmarkStart w:id="2" w:name="_Hlk59704667"/>
      <w:r>
        <w:rPr>
          <w:color w:val="FF0000"/>
          <w:sz w:val="28"/>
          <w:szCs w:val="28"/>
          <w:u w:val="single"/>
        </w:rPr>
        <w:t xml:space="preserve">WYROK </w:t>
      </w:r>
      <w:r w:rsidR="00367186">
        <w:rPr>
          <w:color w:val="FF0000"/>
          <w:sz w:val="28"/>
          <w:szCs w:val="28"/>
          <w:u w:val="single"/>
        </w:rPr>
        <w:t>OSTATECZNY</w:t>
      </w:r>
    </w:p>
    <w:p w14:paraId="62E56C23" w14:textId="77777777" w:rsidR="00367186" w:rsidRPr="00D04090" w:rsidRDefault="00367186" w:rsidP="00367186">
      <w:pPr>
        <w:pStyle w:val="jucase0"/>
        <w:ind w:firstLine="0"/>
        <w:jc w:val="center"/>
        <w:rPr>
          <w:b w:val="0"/>
          <w:bCs w:val="0"/>
          <w:color w:val="FF0000"/>
          <w:u w:val="single"/>
        </w:rPr>
      </w:pPr>
    </w:p>
    <w:p w14:paraId="16725DFF" w14:textId="77777777" w:rsidR="00367186" w:rsidRPr="00E974D6" w:rsidRDefault="00367186" w:rsidP="00367186">
      <w:pPr>
        <w:pStyle w:val="jucase0"/>
        <w:ind w:firstLine="0"/>
        <w:jc w:val="center"/>
        <w:rPr>
          <w:b w:val="0"/>
          <w:color w:val="FF0000"/>
          <w:sz w:val="28"/>
          <w:szCs w:val="28"/>
        </w:rPr>
      </w:pPr>
      <w:r>
        <w:rPr>
          <w:b w:val="0"/>
          <w:color w:val="FF0000"/>
          <w:sz w:val="28"/>
          <w:szCs w:val="28"/>
        </w:rPr>
        <w:t>31 maja 2021 r.</w:t>
      </w:r>
    </w:p>
    <w:p w14:paraId="3C8CCCF7" w14:textId="77777777" w:rsidR="00367186" w:rsidRDefault="00367186" w:rsidP="00367186">
      <w:pPr>
        <w:pStyle w:val="jupara0"/>
        <w:ind w:firstLine="0"/>
        <w:jc w:val="center"/>
      </w:pPr>
    </w:p>
    <w:p w14:paraId="009FE498" w14:textId="77777777" w:rsidR="00367186" w:rsidRPr="00261F46" w:rsidRDefault="00367186" w:rsidP="00367186">
      <w:pPr>
        <w:pStyle w:val="jupara0"/>
        <w:ind w:firstLine="0"/>
        <w:jc w:val="center"/>
      </w:pPr>
    </w:p>
    <w:p w14:paraId="11114BED" w14:textId="77777777" w:rsidR="0098410D" w:rsidRPr="00260D9D" w:rsidRDefault="00367186" w:rsidP="00367186">
      <w:pPr>
        <w:jc w:val="both"/>
      </w:pPr>
      <w:r>
        <w:rPr>
          <w:i/>
          <w:iCs/>
          <w:sz w:val="22"/>
          <w:szCs w:val="22"/>
        </w:rPr>
        <w:lastRenderedPageBreak/>
        <w:t>Wyrok stał się ostateczny zgodnie z warunkami określonymi w art. 44 ust. 2 Konwencji. Może podlegać korekcie wydawniczej.</w:t>
      </w:r>
      <w:bookmarkEnd w:id="1"/>
      <w:bookmarkEnd w:id="2"/>
    </w:p>
    <w:p w14:paraId="5F9A791F" w14:textId="77777777" w:rsidR="00260D9D" w:rsidRPr="00260D9D" w:rsidRDefault="00260D9D" w:rsidP="00260D9D">
      <w:pPr>
        <w:sectPr w:rsidR="00260D9D" w:rsidRPr="00260D9D" w:rsidSect="00233E2E">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4257E2E" w14:textId="77777777" w:rsidR="0098410D" w:rsidRPr="00260D9D" w:rsidRDefault="0098410D" w:rsidP="00260D9D">
      <w:pPr>
        <w:pStyle w:val="JuCase"/>
      </w:pPr>
      <w:r>
        <w:lastRenderedPageBreak/>
        <w:t>W sprawie Buliga przeciwko Rumunii</w:t>
      </w:r>
    </w:p>
    <w:p w14:paraId="6D6679AF" w14:textId="77777777" w:rsidR="009F4C8F" w:rsidRPr="00260D9D" w:rsidRDefault="009F4C8F" w:rsidP="00260D9D">
      <w:pPr>
        <w:pStyle w:val="JuPara"/>
      </w:pPr>
      <w:r>
        <w:t xml:space="preserve">Europejski Trybunał Praw Człowieka (sekcja czwarta), </w:t>
      </w:r>
      <w:r w:rsidR="00107B03">
        <w:t xml:space="preserve">zasiadając jako Izba </w:t>
      </w:r>
      <w:r>
        <w:t>w składzie:</w:t>
      </w:r>
    </w:p>
    <w:p w14:paraId="0F5719A6" w14:textId="2F894A43" w:rsidR="009F4C8F" w:rsidRPr="00260D9D" w:rsidRDefault="004136B5" w:rsidP="00260D9D">
      <w:pPr>
        <w:pStyle w:val="JuJudges"/>
      </w:pPr>
      <w:r>
        <w:tab/>
        <w:t>Yonko Grozev,</w:t>
      </w:r>
      <w:r>
        <w:rPr>
          <w:i/>
        </w:rPr>
        <w:t xml:space="preserve"> </w:t>
      </w:r>
      <w:r w:rsidR="00F662C1">
        <w:rPr>
          <w:i/>
        </w:rPr>
        <w:t>P</w:t>
      </w:r>
      <w:r>
        <w:rPr>
          <w:i/>
        </w:rPr>
        <w:t>rzewodniczący</w:t>
      </w:r>
      <w:r>
        <w:t>,</w:t>
      </w:r>
      <w:r>
        <w:br/>
      </w:r>
      <w:r>
        <w:tab/>
        <w:t>Krzysztof Wojtyczek</w:t>
      </w:r>
      <w:r>
        <w:rPr>
          <w:i/>
        </w:rPr>
        <w:t>,</w:t>
      </w:r>
      <w:r>
        <w:rPr>
          <w:i/>
        </w:rPr>
        <w:br/>
      </w:r>
      <w:r>
        <w:tab/>
        <w:t>Faris Vehabović,</w:t>
      </w:r>
      <w:r>
        <w:rPr>
          <w:i/>
        </w:rPr>
        <w:br/>
      </w:r>
      <w:r>
        <w:tab/>
        <w:t>Gabriele Kucsko-Stadlmayer,</w:t>
      </w:r>
      <w:r>
        <w:rPr>
          <w:i/>
        </w:rPr>
        <w:br/>
      </w:r>
      <w:r>
        <w:tab/>
        <w:t>Pere Pastor Vilanova,</w:t>
      </w:r>
      <w:r>
        <w:rPr>
          <w:i/>
        </w:rPr>
        <w:br/>
      </w:r>
      <w:r>
        <w:tab/>
        <w:t>Jolien Schukking,</w:t>
      </w:r>
      <w:r>
        <w:rPr>
          <w:i/>
        </w:rPr>
        <w:br/>
      </w:r>
      <w:r>
        <w:tab/>
        <w:t>Ana Maria Guerra Martins,</w:t>
      </w:r>
      <w:r>
        <w:rPr>
          <w:i/>
        </w:rPr>
        <w:t xml:space="preserve"> </w:t>
      </w:r>
      <w:r w:rsidR="00F662C1">
        <w:rPr>
          <w:i/>
        </w:rPr>
        <w:t>S</w:t>
      </w:r>
      <w:r>
        <w:rPr>
          <w:i/>
        </w:rPr>
        <w:t>ędziowie,</w:t>
      </w:r>
      <w:r>
        <w:rPr>
          <w:i/>
        </w:rPr>
        <w:br/>
      </w:r>
      <w:r>
        <w:t xml:space="preserve">oraz Andrea Tamietti, </w:t>
      </w:r>
      <w:r w:rsidR="00F662C1">
        <w:rPr>
          <w:i/>
        </w:rPr>
        <w:t>K</w:t>
      </w:r>
      <w:r>
        <w:rPr>
          <w:i/>
        </w:rPr>
        <w:t>ancler</w:t>
      </w:r>
      <w:r>
        <w:rPr>
          <w:i/>
          <w:iCs/>
        </w:rPr>
        <w:t xml:space="preserve">z </w:t>
      </w:r>
      <w:r>
        <w:rPr>
          <w:i/>
        </w:rPr>
        <w:t>sekcji</w:t>
      </w:r>
      <w:r>
        <w:t>,</w:t>
      </w:r>
    </w:p>
    <w:p w14:paraId="1B7FBE83" w14:textId="77777777" w:rsidR="00233E2E" w:rsidRPr="00260D9D" w:rsidRDefault="004136B5" w:rsidP="00260D9D">
      <w:pPr>
        <w:pStyle w:val="JuPara"/>
      </w:pPr>
      <w:bookmarkStart w:id="3" w:name="ITMARKHavingStart"/>
      <w:bookmarkEnd w:id="3"/>
      <w:r>
        <w:t>uwzględniając:</w:t>
      </w:r>
    </w:p>
    <w:p w14:paraId="0EBC6CD4" w14:textId="77777777" w:rsidR="004136B5" w:rsidRPr="00260D9D" w:rsidRDefault="004136B5" w:rsidP="00260D9D">
      <w:pPr>
        <w:pStyle w:val="JuPara"/>
      </w:pPr>
      <w:r>
        <w:t>skargę (nr 22003/12) przeciwko Rumunii wniesioną do Trybunału w dniu 3 listopada 2011 r. na podstawie art. 34 Konwencji o ochronie praw człowieka i podstawowych wolności („Konwencja”) przez obywatela Rumunii, pana Ionela Petrică Buligę („skarżący”);</w:t>
      </w:r>
    </w:p>
    <w:p w14:paraId="6DA7AE32" w14:textId="77777777" w:rsidR="004136B5" w:rsidRPr="00260D9D" w:rsidRDefault="004136B5" w:rsidP="00260D9D">
      <w:pPr>
        <w:pStyle w:val="JuPara"/>
      </w:pPr>
      <w:r>
        <w:t xml:space="preserve">decyzję o zakomunikowaniu sprawy rządowi </w:t>
      </w:r>
      <w:r w:rsidR="009630F0">
        <w:t xml:space="preserve">Rumunii </w:t>
      </w:r>
      <w:r>
        <w:t>(„Rząd”);</w:t>
      </w:r>
    </w:p>
    <w:p w14:paraId="54D2A24F" w14:textId="77777777" w:rsidR="004136B5" w:rsidRPr="00260D9D" w:rsidRDefault="004136B5" w:rsidP="00260D9D">
      <w:pPr>
        <w:pStyle w:val="JuPara"/>
      </w:pPr>
      <w:r>
        <w:t>decyzję o udzieleniu skarżącemu zezwolenia na reprezentowanie samego siebie (Reguła 36</w:t>
      </w:r>
      <w:r w:rsidR="009630F0">
        <w:t> </w:t>
      </w:r>
      <w:r>
        <w:t>§</w:t>
      </w:r>
      <w:r w:rsidR="009630F0">
        <w:t> </w:t>
      </w:r>
      <w:r>
        <w:t>2 Regulaminu Trybunału) i używanie języka rumuńskiego w pisemnych oświadczeniach (Reguła 34</w:t>
      </w:r>
      <w:r w:rsidR="009630F0">
        <w:t> </w:t>
      </w:r>
      <w:r>
        <w:t>§</w:t>
      </w:r>
      <w:r w:rsidR="009630F0">
        <w:t> </w:t>
      </w:r>
      <w:r>
        <w:t>4);</w:t>
      </w:r>
    </w:p>
    <w:p w14:paraId="2FA98B24" w14:textId="77777777" w:rsidR="004136B5" w:rsidRPr="00260D9D" w:rsidRDefault="004136B5" w:rsidP="00260D9D">
      <w:pPr>
        <w:pStyle w:val="JuPara"/>
      </w:pPr>
      <w:r>
        <w:t>uwagi przedstawione przez strony</w:t>
      </w:r>
      <w:r w:rsidR="00107B03">
        <w:t>,</w:t>
      </w:r>
    </w:p>
    <w:p w14:paraId="164BA0C6" w14:textId="77777777" w:rsidR="004136B5" w:rsidRPr="00260D9D" w:rsidRDefault="004136B5" w:rsidP="00260D9D">
      <w:pPr>
        <w:pStyle w:val="JuPara"/>
      </w:pPr>
      <w:r>
        <w:t>zważywszy, że pani Iulia Antoanella Motoc, sędzia wybrana z ramienia Rumunii, była niezdolna do udziału w sprawie (Reguła</w:t>
      </w:r>
      <w:r w:rsidR="009630F0">
        <w:t> </w:t>
      </w:r>
      <w:r>
        <w:t>28 Regulaminu Trybunału), Przewodniczący Izby postanowił wyznaczyć pana Krzysztofa Wojtyczka, sędziego wybranego z ramienia Polski, do udziału w sprawie w</w:t>
      </w:r>
      <w:r w:rsidR="00107B03">
        <w:t> </w:t>
      </w:r>
      <w:r>
        <w:t>charakterze sędziego</w:t>
      </w:r>
      <w:r w:rsidR="009630F0">
        <w:t xml:space="preserve"> </w:t>
      </w:r>
      <w:r>
        <w:rPr>
          <w:i/>
          <w:iCs/>
        </w:rPr>
        <w:t>ad</w:t>
      </w:r>
      <w:r w:rsidR="009630F0">
        <w:rPr>
          <w:i/>
          <w:iCs/>
        </w:rPr>
        <w:t> </w:t>
      </w:r>
      <w:r>
        <w:rPr>
          <w:i/>
          <w:iCs/>
        </w:rPr>
        <w:t>hoc</w:t>
      </w:r>
      <w:r>
        <w:t> (artykuł</w:t>
      </w:r>
      <w:r w:rsidR="009630F0">
        <w:t> </w:t>
      </w:r>
      <w:r>
        <w:t>26</w:t>
      </w:r>
      <w:r w:rsidR="009630F0">
        <w:t> </w:t>
      </w:r>
      <w:r>
        <w:t>ust.</w:t>
      </w:r>
      <w:r w:rsidR="009630F0">
        <w:t> </w:t>
      </w:r>
      <w:r>
        <w:t xml:space="preserve">4 Konwencji </w:t>
      </w:r>
      <w:r w:rsidR="009630F0">
        <w:t xml:space="preserve">oraz </w:t>
      </w:r>
      <w:r>
        <w:t>Reguła</w:t>
      </w:r>
      <w:r w:rsidR="009630F0">
        <w:t> </w:t>
      </w:r>
      <w:r>
        <w:t>29</w:t>
      </w:r>
      <w:r w:rsidR="009630F0">
        <w:t> </w:t>
      </w:r>
      <w:r>
        <w:t>§</w:t>
      </w:r>
      <w:r w:rsidR="009630F0">
        <w:t> </w:t>
      </w:r>
      <w:r>
        <w:t>1)</w:t>
      </w:r>
      <w:r w:rsidR="00F9006A">
        <w:t>;</w:t>
      </w:r>
    </w:p>
    <w:p w14:paraId="6E638459" w14:textId="77777777" w:rsidR="009F4C8F" w:rsidRPr="00260D9D" w:rsidRDefault="009F4C8F" w:rsidP="00260D9D">
      <w:pPr>
        <w:pStyle w:val="JuPara"/>
      </w:pPr>
      <w:r>
        <w:t>obradując na posiedzeniach niejawny</w:t>
      </w:r>
      <w:r w:rsidR="00107B03">
        <w:t>ch</w:t>
      </w:r>
      <w:r>
        <w:t xml:space="preserve"> w dniach 9</w:t>
      </w:r>
      <w:r w:rsidR="00F9006A">
        <w:t> </w:t>
      </w:r>
      <w:r>
        <w:t>listopada 2020</w:t>
      </w:r>
      <w:r w:rsidR="00F9006A">
        <w:t xml:space="preserve"> </w:t>
      </w:r>
      <w:r w:rsidR="00107B03">
        <w:t>r.</w:t>
      </w:r>
      <w:r>
        <w:t xml:space="preserve"> i</w:t>
      </w:r>
      <w:r w:rsidR="00107B03">
        <w:t> </w:t>
      </w:r>
      <w:r>
        <w:t>12</w:t>
      </w:r>
      <w:r w:rsidR="00107B03">
        <w:t> </w:t>
      </w:r>
      <w:r>
        <w:t>stycznia 2021</w:t>
      </w:r>
      <w:r w:rsidR="00F9006A">
        <w:t> </w:t>
      </w:r>
      <w:r>
        <w:t>r.,</w:t>
      </w:r>
    </w:p>
    <w:p w14:paraId="7AD941EA" w14:textId="77777777" w:rsidR="009F4C8F" w:rsidRPr="00260D9D" w:rsidRDefault="009F4C8F" w:rsidP="00260D9D">
      <w:pPr>
        <w:pStyle w:val="JuPara"/>
      </w:pPr>
      <w:r>
        <w:t>wydaje następujący wyrok, który został przyjęty w tym dniu:</w:t>
      </w:r>
    </w:p>
    <w:p w14:paraId="7BC2AA4F" w14:textId="77777777" w:rsidR="004136B5" w:rsidRPr="00260D9D" w:rsidRDefault="004136B5" w:rsidP="00260D9D">
      <w:pPr>
        <w:pStyle w:val="JuHHead"/>
        <w:numPr>
          <w:ilvl w:val="0"/>
          <w:numId w:val="0"/>
        </w:numPr>
      </w:pPr>
      <w:r>
        <w:t>WPROWADZENIE</w:t>
      </w:r>
    </w:p>
    <w:p w14:paraId="760CA616" w14:textId="77777777" w:rsidR="004136B5" w:rsidRPr="00260D9D" w:rsidRDefault="00000000" w:rsidP="00260D9D">
      <w:pPr>
        <w:pStyle w:val="JuPara"/>
      </w:pPr>
      <w:fldSimple w:instr=" SEQ level0 \*arabic ">
        <w:r w:rsidR="00107B03">
          <w:rPr>
            <w:noProof/>
          </w:rPr>
          <w:t>1</w:t>
        </w:r>
      </w:fldSimple>
      <w:r w:rsidR="004136B5">
        <w:t xml:space="preserve">.  Sprawa dotyczy zarzutów, że postępowanie </w:t>
      </w:r>
      <w:r w:rsidR="00A72671">
        <w:t xml:space="preserve">przeciwko skarżącemu </w:t>
      </w:r>
      <w:r w:rsidR="00107B03">
        <w:t>w</w:t>
      </w:r>
      <w:r w:rsidR="00A72671">
        <w:t> </w:t>
      </w:r>
      <w:r w:rsidR="00107B03">
        <w:t xml:space="preserve">sprawie </w:t>
      </w:r>
      <w:r w:rsidR="004136B5">
        <w:t>karne</w:t>
      </w:r>
      <w:r w:rsidR="00107B03">
        <w:t>j</w:t>
      </w:r>
      <w:r w:rsidR="004136B5">
        <w:t xml:space="preserve"> </w:t>
      </w:r>
      <w:r w:rsidR="00A72671">
        <w:t>o występek</w:t>
      </w:r>
      <w:r w:rsidR="004136B5">
        <w:t xml:space="preserve"> było </w:t>
      </w:r>
      <w:r w:rsidR="00A72671">
        <w:t>nierzetelne</w:t>
      </w:r>
      <w:r w:rsidR="004136B5">
        <w:t xml:space="preserve"> w zakresie, w jakim sąd oparł się na zeznaniach świadków, którym skarżący nie był w</w:t>
      </w:r>
      <w:r w:rsidR="00A72671">
        <w:t> </w:t>
      </w:r>
      <w:r w:rsidR="004136B5">
        <w:t>stanie zadać pytań.</w:t>
      </w:r>
    </w:p>
    <w:p w14:paraId="5E4C90E7" w14:textId="77777777" w:rsidR="004136B5" w:rsidRPr="00260D9D" w:rsidRDefault="004136B5" w:rsidP="00260D9D">
      <w:pPr>
        <w:pStyle w:val="JuHHead"/>
        <w:jc w:val="left"/>
      </w:pPr>
      <w:r>
        <w:t>FAKTY</w:t>
      </w:r>
    </w:p>
    <w:p w14:paraId="3A5FD1F3" w14:textId="77777777" w:rsidR="004136B5" w:rsidRPr="00260D9D" w:rsidRDefault="00000000" w:rsidP="00260D9D">
      <w:pPr>
        <w:pStyle w:val="JuPara"/>
      </w:pPr>
      <w:fldSimple w:instr=" SEQ level0 \*arabic ">
        <w:r w:rsidR="00107B03">
          <w:rPr>
            <w:noProof/>
          </w:rPr>
          <w:t>2</w:t>
        </w:r>
      </w:fldSimple>
      <w:r w:rsidR="004136B5">
        <w:t>.  Skarżący urodził się w 1984 r. i mieszka w Gierze.</w:t>
      </w:r>
    </w:p>
    <w:p w14:paraId="09061D90" w14:textId="77777777" w:rsidR="004136B5" w:rsidRPr="00260D9D" w:rsidRDefault="00000000" w:rsidP="00260D9D">
      <w:pPr>
        <w:pStyle w:val="JuPara"/>
      </w:pPr>
      <w:fldSimple w:instr=" SEQ level0 \*arabic ">
        <w:r w:rsidR="00107B03">
          <w:rPr>
            <w:noProof/>
          </w:rPr>
          <w:t>3</w:t>
        </w:r>
      </w:fldSimple>
      <w:r w:rsidR="004136B5">
        <w:t>.  Rząd był reprezentowany przez swojego pełnomocnika, którym ostatnio była pani O.F. Ezer z Ministerstwa Spraw Zagranicznych.</w:t>
      </w:r>
    </w:p>
    <w:p w14:paraId="4AA8DF53" w14:textId="77777777" w:rsidR="004136B5" w:rsidRPr="00260D9D" w:rsidRDefault="00000000" w:rsidP="00260D9D">
      <w:pPr>
        <w:pStyle w:val="JuPara"/>
      </w:pPr>
      <w:fldSimple w:instr=" SEQ level0 \*arabic ">
        <w:r w:rsidR="00107B03">
          <w:rPr>
            <w:noProof/>
          </w:rPr>
          <w:t>4</w:t>
        </w:r>
      </w:fldSimple>
      <w:r w:rsidR="004136B5">
        <w:t>.  Stan faktyczny sprawy</w:t>
      </w:r>
      <w:r w:rsidR="00A72671">
        <w:t>,</w:t>
      </w:r>
      <w:r w:rsidR="004136B5">
        <w:t xml:space="preserve"> przedstawiony przez strony, można streścić następująco</w:t>
      </w:r>
      <w:r w:rsidR="00A72671">
        <w:t>.</w:t>
      </w:r>
    </w:p>
    <w:bookmarkStart w:id="4" w:name="prosecution_start"/>
    <w:p w14:paraId="4B8C4DF7" w14:textId="77777777" w:rsidR="00597E18" w:rsidRPr="00260D9D" w:rsidRDefault="00911B37" w:rsidP="00260D9D">
      <w:pPr>
        <w:pStyle w:val="JuPara"/>
      </w:pPr>
      <w:r w:rsidRPr="00260D9D">
        <w:lastRenderedPageBreak/>
        <w:fldChar w:fldCharType="begin"/>
      </w:r>
      <w:r w:rsidR="004136B5" w:rsidRPr="00260D9D">
        <w:instrText xml:space="preserve"> SEQ level0 \*arabic </w:instrText>
      </w:r>
      <w:r w:rsidRPr="00260D9D">
        <w:fldChar w:fldCharType="separate"/>
      </w:r>
      <w:r w:rsidR="00107B03">
        <w:rPr>
          <w:noProof/>
        </w:rPr>
        <w:t>5</w:t>
      </w:r>
      <w:r w:rsidRPr="00260D9D">
        <w:fldChar w:fldCharType="end"/>
      </w:r>
      <w:bookmarkEnd w:id="4"/>
      <w:r w:rsidR="004136B5">
        <w:t xml:space="preserve">.  W dniu 31 marca 2010 r. prokuratura przy Sądzie Rejonowym w Decie wszczęła postępowanie </w:t>
      </w:r>
      <w:r w:rsidR="00A72671">
        <w:t>przeciwko skarżącemu w sprawi</w:t>
      </w:r>
      <w:r w:rsidR="004136B5">
        <w:t>e</w:t>
      </w:r>
      <w:r w:rsidR="00A72671">
        <w:t xml:space="preserve"> karnej</w:t>
      </w:r>
      <w:r w:rsidR="004136B5">
        <w:t xml:space="preserve"> </w:t>
      </w:r>
      <w:r w:rsidR="00A72671">
        <w:t xml:space="preserve">o </w:t>
      </w:r>
      <w:r w:rsidR="004136B5">
        <w:t>kilk</w:t>
      </w:r>
      <w:r w:rsidR="00A72671">
        <w:t>a</w:t>
      </w:r>
      <w:r w:rsidR="004136B5">
        <w:t xml:space="preserve"> czynów polegających na kradzieży metalowego ogrodzenia, któr</w:t>
      </w:r>
      <w:r w:rsidR="00A72671">
        <w:t>e</w:t>
      </w:r>
      <w:r w:rsidR="004136B5">
        <w:t xml:space="preserve"> w tamtym czasie był</w:t>
      </w:r>
      <w:r w:rsidR="00A72671">
        <w:t>y</w:t>
      </w:r>
      <w:r w:rsidR="004136B5">
        <w:t xml:space="preserve"> karane na mocy art. 208</w:t>
      </w:r>
      <w:r w:rsidR="00F9006A">
        <w:t> </w:t>
      </w:r>
      <w:r w:rsidR="004136B5">
        <w:t>§</w:t>
      </w:r>
      <w:r w:rsidR="00F9006A">
        <w:t> </w:t>
      </w:r>
      <w:r w:rsidR="004136B5">
        <w:t>1 i 209</w:t>
      </w:r>
      <w:r w:rsidR="00F9006A">
        <w:t> </w:t>
      </w:r>
      <w:r w:rsidR="004136B5">
        <w:t>§</w:t>
      </w:r>
      <w:r w:rsidR="00F9006A">
        <w:t> </w:t>
      </w:r>
      <w:r w:rsidR="004136B5">
        <w:t>1</w:t>
      </w:r>
      <w:r w:rsidR="00F9006A">
        <w:t> </w:t>
      </w:r>
      <w:r w:rsidR="004136B5">
        <w:t>lit.</w:t>
      </w:r>
      <w:r w:rsidR="00F9006A">
        <w:t> </w:t>
      </w:r>
      <w:r w:rsidR="004136B5">
        <w:t>g) kodeksu karnego („k.k.”) w związku z art. 41</w:t>
      </w:r>
      <w:r w:rsidR="00F9006A">
        <w:t> </w:t>
      </w:r>
      <w:r w:rsidR="004136B5">
        <w:t>§</w:t>
      </w:r>
      <w:r w:rsidR="00F9006A">
        <w:t> </w:t>
      </w:r>
      <w:r w:rsidR="004136B5">
        <w:t>2 k.k. (zob. paragraf</w:t>
      </w:r>
      <w:r w:rsidR="00457DD1">
        <w:t> </w:t>
      </w:r>
      <w:r w:rsidR="002C060E">
        <w:fldChar w:fldCharType="begin"/>
      </w:r>
      <w:r w:rsidR="002C060E">
        <w:instrText xml:space="preserve"> REF DL_CP \h  \* MERGEFORMAT </w:instrText>
      </w:r>
      <w:r w:rsidR="002C060E">
        <w:fldChar w:fldCharType="separate"/>
      </w:r>
      <w:r w:rsidR="00107B03">
        <w:t>13</w:t>
      </w:r>
      <w:r w:rsidR="002C060E">
        <w:fldChar w:fldCharType="end"/>
      </w:r>
      <w:r w:rsidR="004136B5">
        <w:t xml:space="preserve"> poniżej).</w:t>
      </w:r>
    </w:p>
    <w:bookmarkStart w:id="5" w:name="prosecution_end1"/>
    <w:p w14:paraId="6097DC43" w14:textId="77777777" w:rsidR="00597E18"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6</w:t>
      </w:r>
      <w:r w:rsidRPr="00260D9D">
        <w:fldChar w:fldCharType="end"/>
      </w:r>
      <w:bookmarkEnd w:id="5"/>
      <w:r w:rsidR="004136B5">
        <w:t xml:space="preserve">.  Postanowieniem z dnia 18 czerwca 2010 r. prokuratura umorzyła postępowanie. Uznała, że skarżący popełnił zarzucane mu czyny, ale nie były one na tyle poważne, aby stanowić </w:t>
      </w:r>
      <w:r w:rsidR="00A72671">
        <w:t>przestępstwo</w:t>
      </w:r>
      <w:r w:rsidR="004136B5">
        <w:t xml:space="preserve">. W związku z tym nałożyła grzywnę administracyjną w wysokości 350 lejów rumuńskich (RON </w:t>
      </w:r>
      <w:r w:rsidR="00A72671">
        <w:t>–</w:t>
      </w:r>
      <w:r w:rsidR="004136B5">
        <w:t xml:space="preserve"> około 85 euro (EUR) w tamtym czasie). Skarżący </w:t>
      </w:r>
      <w:r w:rsidR="00A72671">
        <w:t>z</w:t>
      </w:r>
      <w:r w:rsidR="00F74977">
        <w:t xml:space="preserve">askarżył </w:t>
      </w:r>
      <w:r w:rsidR="004136B5">
        <w:t>to postanowienie i</w:t>
      </w:r>
      <w:r w:rsidR="00F74977">
        <w:t> </w:t>
      </w:r>
      <w:r w:rsidR="004136B5">
        <w:t>w</w:t>
      </w:r>
      <w:r w:rsidR="00F74977">
        <w:t> </w:t>
      </w:r>
      <w:r w:rsidR="004136B5">
        <w:t>dniu 16 lipca 2010 r. zostało ono utrzymane w mocy przez prokuratora naczelnego prokuratury przy Sądzie dla Okręgu Temesz.</w:t>
      </w:r>
    </w:p>
    <w:bookmarkStart w:id="6" w:name="A_requests_evidence"/>
    <w:p w14:paraId="3CE9E6E2" w14:textId="76FDDE23" w:rsidR="00597E18"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7</w:t>
      </w:r>
      <w:r w:rsidRPr="00260D9D">
        <w:fldChar w:fldCharType="end"/>
      </w:r>
      <w:bookmarkEnd w:id="6"/>
      <w:r w:rsidR="004136B5">
        <w:t>.  W dniu 6 sierpnia 2010</w:t>
      </w:r>
      <w:r w:rsidR="00457DD1">
        <w:t> </w:t>
      </w:r>
      <w:r w:rsidR="004136B5">
        <w:t xml:space="preserve">r. skarżący </w:t>
      </w:r>
      <w:r w:rsidR="00F74977">
        <w:t xml:space="preserve">zaskarżył </w:t>
      </w:r>
      <w:r w:rsidR="004136B5">
        <w:t>postanowienia prokuratury przed Sądem Rejonowym w Decie na podstawie art. 278</w:t>
      </w:r>
      <w:r w:rsidR="004136B5">
        <w:rPr>
          <w:vertAlign w:val="superscript"/>
        </w:rPr>
        <w:t>1</w:t>
      </w:r>
      <w:r w:rsidR="004136B5">
        <w:t xml:space="preserve"> kodeksu postępowania karnego („k.p.k.”, zob. paragraf</w:t>
      </w:r>
      <w:r w:rsidR="00D2343B">
        <w:t xml:space="preserve"> </w:t>
      </w:r>
      <w:r w:rsidR="00457DD1">
        <w:t> </w:t>
      </w:r>
      <w:r w:rsidR="002C060E">
        <w:fldChar w:fldCharType="begin"/>
      </w:r>
      <w:r w:rsidR="002C060E">
        <w:instrText xml:space="preserve"> REF DL_CCP \h  \* MERGEFORMAT </w:instrText>
      </w:r>
      <w:r w:rsidR="002C060E">
        <w:fldChar w:fldCharType="separate"/>
      </w:r>
      <w:r w:rsidR="00107B03" w:rsidRPr="00107B03">
        <w:t>15</w:t>
      </w:r>
      <w:r w:rsidR="002C060E">
        <w:fldChar w:fldCharType="end"/>
      </w:r>
      <w:r w:rsidR="004136B5">
        <w:t xml:space="preserve"> poniżej). Zaproponował, że przedłoży dodatkow</w:t>
      </w:r>
      <w:r w:rsidR="00F74977">
        <w:t>y</w:t>
      </w:r>
      <w:r w:rsidR="004136B5">
        <w:t xml:space="preserve"> materiał dowodow</w:t>
      </w:r>
      <w:r w:rsidR="00F74977">
        <w:t xml:space="preserve">y, </w:t>
      </w:r>
      <w:r w:rsidR="004136B5">
        <w:t>i wniósł o</w:t>
      </w:r>
      <w:r w:rsidR="00F74977">
        <w:t> </w:t>
      </w:r>
      <w:r w:rsidR="004136B5">
        <w:t xml:space="preserve">przesłuchanie świadków przez sąd </w:t>
      </w:r>
      <w:r w:rsidR="00F74977">
        <w:t xml:space="preserve">celem </w:t>
      </w:r>
      <w:r w:rsidR="004136B5">
        <w:t>udowodnienia niewinności.</w:t>
      </w:r>
    </w:p>
    <w:bookmarkStart w:id="7" w:name="decision1"/>
    <w:p w14:paraId="744B3F32" w14:textId="77777777" w:rsidR="00597E18"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8</w:t>
      </w:r>
      <w:r w:rsidRPr="00260D9D">
        <w:fldChar w:fldCharType="end"/>
      </w:r>
      <w:bookmarkEnd w:id="7"/>
      <w:r w:rsidR="004136B5">
        <w:t>.  Prawomocnym postanowieniem z dnia 21 października 2010</w:t>
      </w:r>
      <w:r w:rsidR="00457DD1">
        <w:t> </w:t>
      </w:r>
      <w:r w:rsidR="004136B5">
        <w:t xml:space="preserve">r. Sąd </w:t>
      </w:r>
      <w:r w:rsidR="00F74977">
        <w:t xml:space="preserve">Rejonowy </w:t>
      </w:r>
      <w:r w:rsidR="004136B5">
        <w:t>oddalił wniosek dowodowy skarżącego, uzasadniając to tym, że</w:t>
      </w:r>
      <w:r w:rsidR="00F74977">
        <w:t> </w:t>
      </w:r>
      <w:r w:rsidR="004136B5">
        <w:t>sąd nie mógł przesłuchać świadków. Uznał jednak, że materiał dowodowy zebrany przez prokuraturę jest niewystarczający</w:t>
      </w:r>
      <w:r w:rsidR="00F74977">
        <w:t>,</w:t>
      </w:r>
      <w:r w:rsidR="004136B5">
        <w:t xml:space="preserve"> i z tego powodu uwzględnił zastrzeżenie i przekazał sprawę prokuraturze. Nakazał prokuraturze dalsze prowadzenie </w:t>
      </w:r>
      <w:r w:rsidR="00A72671">
        <w:t>dochodzenia</w:t>
      </w:r>
      <w:r w:rsidR="004136B5">
        <w:t xml:space="preserve"> i przesłuchanie skarżącego oraz zaproponowanych przez niego świadków.</w:t>
      </w:r>
    </w:p>
    <w:bookmarkStart w:id="8" w:name="witness_statements"/>
    <w:p w14:paraId="05C44BDE" w14:textId="77777777" w:rsidR="004136B5"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9</w:t>
      </w:r>
      <w:r w:rsidRPr="00260D9D">
        <w:fldChar w:fldCharType="end"/>
      </w:r>
      <w:bookmarkEnd w:id="8"/>
      <w:r w:rsidR="004136B5">
        <w:t>.  W dniu 8 marca 2011</w:t>
      </w:r>
      <w:r w:rsidR="00457DD1">
        <w:t> </w:t>
      </w:r>
      <w:r w:rsidR="004136B5">
        <w:t>r. skarżący został wezwany do stawiennictwa w</w:t>
      </w:r>
      <w:r w:rsidR="001612BC">
        <w:t> </w:t>
      </w:r>
      <w:r w:rsidR="004136B5">
        <w:t>prokuraturze. Został poinformowany o stawianych mu zarzutach i</w:t>
      </w:r>
      <w:r w:rsidR="001612BC">
        <w:t> </w:t>
      </w:r>
      <w:r w:rsidR="004136B5">
        <w:t>przesłuchany. Zaprzeczył, że dopuścił się kradzieży, zaproponował świadków i wniósł o dopuszczenie dowodu z dwóch opinii biegł</w:t>
      </w:r>
      <w:r w:rsidR="001612BC">
        <w:t>ych</w:t>
      </w:r>
      <w:r w:rsidR="004136B5">
        <w:t xml:space="preserve"> w celu udowodnienia, że ogrodzenie na jego posesji różniło się od tego, które zostało skradzione. Przesłuchano kilku świadków, w tym niektórych zaproponowanych przez skarżącego, oraz zbadano </w:t>
      </w:r>
      <w:r w:rsidR="001612BC">
        <w:t xml:space="preserve">materiał dowodowy </w:t>
      </w:r>
      <w:r w:rsidR="004136B5">
        <w:t>przedstawion</w:t>
      </w:r>
      <w:r w:rsidR="001612BC">
        <w:t>y</w:t>
      </w:r>
      <w:r w:rsidR="004136B5">
        <w:t xml:space="preserve"> przez niego celem uzasadnienia zakupu metalowego ogrodzenia. W dniu 27 kwietnia 2011 r. prokurator naczelny prokuratury przy Sądzie Rejonowym oddalił wniosek skarżącego o dopuszczenie dowodu z</w:t>
      </w:r>
      <w:r w:rsidR="001612BC">
        <w:t> </w:t>
      </w:r>
      <w:r w:rsidR="004136B5">
        <w:t xml:space="preserve">opinii biegłych, stwierdzając, że zgromadzono już materiał dowodowy (w szczególności zeznania świadków) </w:t>
      </w:r>
      <w:r w:rsidR="00457DD1">
        <w:t xml:space="preserve">wystarczający </w:t>
      </w:r>
      <w:r w:rsidR="004136B5">
        <w:t xml:space="preserve">do podjęcia decyzji oraz że ze względu na </w:t>
      </w:r>
      <w:r w:rsidR="00457DD1">
        <w:t xml:space="preserve">upływ </w:t>
      </w:r>
      <w:r w:rsidR="004136B5">
        <w:t>czas</w:t>
      </w:r>
      <w:r w:rsidR="00457DD1">
        <w:t>u</w:t>
      </w:r>
      <w:r w:rsidR="004136B5">
        <w:t xml:space="preserve"> </w:t>
      </w:r>
      <w:r w:rsidR="00457DD1">
        <w:t xml:space="preserve">opinia </w:t>
      </w:r>
      <w:r w:rsidR="004136B5">
        <w:t>biegłego nie jest już przydatn</w:t>
      </w:r>
      <w:r w:rsidR="00457DD1">
        <w:t>a</w:t>
      </w:r>
      <w:r w:rsidR="004136B5">
        <w:t>. Postanowienie to zostało utrzymane w mocy przez prokuratora naczelnego prokuratury przy Sądzie Okręgowym. Wygląda na to, że wszystkie zeznania zostały odebrane pod nieobecność skarżącego lub reprezentującego go prawnika.</w:t>
      </w:r>
    </w:p>
    <w:bookmarkStart w:id="9" w:name="prosecution_end2"/>
    <w:p w14:paraId="569F29F0" w14:textId="77777777" w:rsidR="004136B5"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10</w:t>
      </w:r>
      <w:r w:rsidRPr="00260D9D">
        <w:fldChar w:fldCharType="end"/>
      </w:r>
      <w:bookmarkEnd w:id="9"/>
      <w:r w:rsidR="004136B5">
        <w:t xml:space="preserve">.  W dniu 9 czerwca 2011 r. prokuratura przy Sądzie Rejonowym ponownie podjęła decyzję o umorzeniu postępowania karnego i </w:t>
      </w:r>
      <w:r w:rsidR="007417B8">
        <w:t>nałożyła grzywnę</w:t>
      </w:r>
      <w:r w:rsidR="004136B5">
        <w:t xml:space="preserve"> administracyjną w wysokości 800 RON (około 190 EUR w tamtym </w:t>
      </w:r>
      <w:r w:rsidR="004136B5">
        <w:lastRenderedPageBreak/>
        <w:t>czasie). W dniu 29 czerwca 2011 r. postanowienie to zostało utrzymane w</w:t>
      </w:r>
      <w:r w:rsidR="001612BC">
        <w:t> </w:t>
      </w:r>
      <w:r w:rsidR="004136B5">
        <w:t>mocy przez prokuratora naczelnego prokuratury przy Sądzie Okręgowym.</w:t>
      </w:r>
    </w:p>
    <w:bookmarkStart w:id="10" w:name="A_contests_evidence"/>
    <w:p w14:paraId="3318AF0F" w14:textId="77777777" w:rsidR="00597E18"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11</w:t>
      </w:r>
      <w:r w:rsidRPr="00260D9D">
        <w:fldChar w:fldCharType="end"/>
      </w:r>
      <w:bookmarkEnd w:id="10"/>
      <w:r w:rsidR="004136B5">
        <w:t xml:space="preserve">.  Skarżący wyraził zastrzeżenie, argumentując, że </w:t>
      </w:r>
      <w:r w:rsidR="001612BC">
        <w:t xml:space="preserve">sugerowany przez niego </w:t>
      </w:r>
      <w:r w:rsidR="004136B5">
        <w:t>materiał dowodow</w:t>
      </w:r>
      <w:r w:rsidR="001612BC">
        <w:t>y</w:t>
      </w:r>
      <w:r w:rsidR="004136B5">
        <w:t xml:space="preserve"> został odrzucon</w:t>
      </w:r>
      <w:r w:rsidR="001612BC">
        <w:t>y</w:t>
      </w:r>
      <w:r w:rsidR="004136B5">
        <w:t xml:space="preserve"> przez</w:t>
      </w:r>
      <w:r w:rsidR="001612BC">
        <w:t xml:space="preserve"> prowadzących dochodzenie</w:t>
      </w:r>
      <w:r w:rsidR="004136B5">
        <w:t xml:space="preserve">. Zakwestionował również prawdziwość zeznań niektórych świadków, które jego zdaniem </w:t>
      </w:r>
      <w:r w:rsidR="001612BC">
        <w:t xml:space="preserve">zostały odebrane pod przymusem przez </w:t>
      </w:r>
      <w:r w:rsidR="004136B5">
        <w:t>funkcjonariusza policji prowadzącego dochodzenie.</w:t>
      </w:r>
    </w:p>
    <w:bookmarkStart w:id="11" w:name="decision2"/>
    <w:p w14:paraId="5500A83E" w14:textId="77777777" w:rsidR="004136B5" w:rsidRPr="00260D9D" w:rsidRDefault="00911B37" w:rsidP="00260D9D">
      <w:pPr>
        <w:pStyle w:val="JuPara"/>
        <w:rPr>
          <w:rFonts w:eastAsia="Times New Roman" w:cs="Times New Roman"/>
        </w:rPr>
      </w:pPr>
      <w:r w:rsidRPr="00260D9D">
        <w:fldChar w:fldCharType="begin"/>
      </w:r>
      <w:r w:rsidR="004136B5" w:rsidRPr="00260D9D">
        <w:instrText xml:space="preserve"> SEQ level0 \*arabic </w:instrText>
      </w:r>
      <w:r w:rsidRPr="00260D9D">
        <w:fldChar w:fldCharType="separate"/>
      </w:r>
      <w:r w:rsidR="00107B03">
        <w:rPr>
          <w:noProof/>
        </w:rPr>
        <w:t>12</w:t>
      </w:r>
      <w:r w:rsidRPr="00260D9D">
        <w:fldChar w:fldCharType="end"/>
      </w:r>
      <w:bookmarkEnd w:id="11"/>
      <w:r w:rsidR="004136B5">
        <w:t xml:space="preserve">.  Ostatecznym postanowieniem z dnia 23 sierpnia 2011 r. Sąd Rejonowy oddalił zastrzeżenie. Po pierwsze sąd oddalił wniosek skarżącego o dopuszczenie </w:t>
      </w:r>
      <w:r w:rsidR="001612BC">
        <w:t>badania</w:t>
      </w:r>
      <w:r w:rsidR="004136B5">
        <w:t xml:space="preserve"> biegłego na tej podstawie, iż materiał dowodowy nie stanowił „nowych dokumentów</w:t>
      </w:r>
      <w:r w:rsidR="001612BC">
        <w:t>”</w:t>
      </w:r>
      <w:r w:rsidR="004136B5">
        <w:t>, c</w:t>
      </w:r>
      <w:r w:rsidR="001612BC">
        <w:t xml:space="preserve">zyli </w:t>
      </w:r>
      <w:r w:rsidR="004136B5">
        <w:t>jedy</w:t>
      </w:r>
      <w:r w:rsidR="001612BC">
        <w:t>nego</w:t>
      </w:r>
      <w:r w:rsidR="004136B5">
        <w:t xml:space="preserve"> rodzaj</w:t>
      </w:r>
      <w:r w:rsidR="001612BC">
        <w:t>u</w:t>
      </w:r>
      <w:r w:rsidR="004136B5">
        <w:t xml:space="preserve"> materiału dowodowego, który sąd mógł przeprowadzić (zgodnie z art. 278</w:t>
      </w:r>
      <w:r w:rsidR="004136B5">
        <w:rPr>
          <w:vertAlign w:val="superscript"/>
        </w:rPr>
        <w:t>1</w:t>
      </w:r>
      <w:r w:rsidR="004136B5">
        <w:t> § 7 k.p.</w:t>
      </w:r>
      <w:r w:rsidR="001612BC">
        <w:t>k</w:t>
      </w:r>
      <w:r w:rsidR="004136B5">
        <w:t xml:space="preserve">., cyt. w paragrafie </w:t>
      </w:r>
      <w:r w:rsidR="002C060E">
        <w:fldChar w:fldCharType="begin"/>
      </w:r>
      <w:r w:rsidR="002C060E">
        <w:instrText xml:space="preserve"> REF DL_CCP \h  \* MERGEFORMAT </w:instrText>
      </w:r>
      <w:r w:rsidR="002C060E">
        <w:fldChar w:fldCharType="separate"/>
      </w:r>
      <w:r w:rsidR="00107B03" w:rsidRPr="00107B03">
        <w:t>15</w:t>
      </w:r>
      <w:r w:rsidR="002C060E">
        <w:fldChar w:fldCharType="end"/>
      </w:r>
      <w:r w:rsidR="004136B5">
        <w:t xml:space="preserve"> poniżej). Sąd zauważył ponadto, że dwóch świadków pierwotnie przesłuchanych przez prokuratora przesłuchano ponownie, a</w:t>
      </w:r>
      <w:r w:rsidR="001612BC">
        <w:t> </w:t>
      </w:r>
      <w:r w:rsidR="004136B5">
        <w:t xml:space="preserve">siedmiu nowych świadków, z których niektórzy zostali zaproponowani przez skarżącego, również złożyło zeznania przed prokuratorem. </w:t>
      </w:r>
      <w:r w:rsidR="001612BC">
        <w:t>Sąd u</w:t>
      </w:r>
      <w:r w:rsidR="004136B5">
        <w:t>znał, że materiał dowodowy w aktach sprawy został prawidłowo zebrany i</w:t>
      </w:r>
      <w:r w:rsidR="001612BC">
        <w:t> </w:t>
      </w:r>
      <w:r w:rsidR="004136B5">
        <w:t>zinterpretowany. Sąd stwierdził, co następuje:</w:t>
      </w:r>
    </w:p>
    <w:p w14:paraId="15432B8B" w14:textId="77777777" w:rsidR="004136B5" w:rsidRPr="00260D9D" w:rsidRDefault="004136B5" w:rsidP="00260D9D">
      <w:pPr>
        <w:pStyle w:val="JuQuot"/>
        <w:rPr>
          <w:rFonts w:eastAsia="Times New Roman"/>
        </w:rPr>
      </w:pPr>
      <w:r>
        <w:t>„Sąd stwierdza, że prokurator prawidłowo ustalił [...], że [skarżący] dokonał kradzieży [...] metalowego ogrodzenia [...]”</w:t>
      </w:r>
    </w:p>
    <w:p w14:paraId="4CEA1EE1" w14:textId="77777777" w:rsidR="004136B5" w:rsidRPr="00260D9D" w:rsidRDefault="004136B5" w:rsidP="00260D9D">
      <w:pPr>
        <w:pStyle w:val="JuHHead"/>
        <w:jc w:val="left"/>
      </w:pPr>
      <w:r>
        <w:t>ISTOTNE RAMY PRAWNE</w:t>
      </w:r>
    </w:p>
    <w:bookmarkStart w:id="12" w:name="DL_CP"/>
    <w:p w14:paraId="4CAF7E18" w14:textId="77777777" w:rsidR="004136B5"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13</w:t>
      </w:r>
      <w:r w:rsidRPr="00260D9D">
        <w:fldChar w:fldCharType="end"/>
      </w:r>
      <w:bookmarkEnd w:id="12"/>
      <w:r w:rsidR="004136B5">
        <w:t>.  Odpowiednie przepisy kodeksu karnego („k.k</w:t>
      </w:r>
      <w:r w:rsidR="007417B8">
        <w:t>.</w:t>
      </w:r>
      <w:r w:rsidR="004136B5">
        <w:t>”) obowiązujące w</w:t>
      </w:r>
      <w:r w:rsidR="001612BC">
        <w:t> </w:t>
      </w:r>
      <w:r w:rsidR="004136B5">
        <w:t>czasie zdarzeń będących przedmiotem niniejszej sprawy miały następujące brzmienie:</w:t>
      </w:r>
    </w:p>
    <w:p w14:paraId="03854F31" w14:textId="77777777" w:rsidR="004136B5" w:rsidRPr="00260D9D" w:rsidRDefault="004136B5" w:rsidP="00260D9D">
      <w:pPr>
        <w:pStyle w:val="JuHArticle"/>
      </w:pPr>
      <w:r>
        <w:t>Artykuł 1 – Cel prawa karnego</w:t>
      </w:r>
    </w:p>
    <w:p w14:paraId="2C3BB091" w14:textId="77777777" w:rsidR="004136B5" w:rsidRPr="00260D9D" w:rsidRDefault="004136B5" w:rsidP="00260D9D">
      <w:pPr>
        <w:pStyle w:val="JuQuot"/>
        <w:rPr>
          <w:bCs/>
        </w:rPr>
      </w:pPr>
      <w:r>
        <w:t>„Prawo karne chroni przed przestępstwami Rumunię, suwerenność, niepodległość, jedność i niepodzielność państwa, osobę, jej prawa i wolności, mienie i</w:t>
      </w:r>
      <w:r w:rsidR="001612BC">
        <w:t> </w:t>
      </w:r>
      <w:r>
        <w:t>praworządność.”</w:t>
      </w:r>
    </w:p>
    <w:p w14:paraId="08F17323" w14:textId="77777777" w:rsidR="004136B5" w:rsidRPr="00260D9D" w:rsidRDefault="004136B5" w:rsidP="00260D9D">
      <w:pPr>
        <w:pStyle w:val="JuHArticle"/>
      </w:pPr>
      <w:r>
        <w:t>Artykuł 17 – Podstawowe znamiona przestępstwa</w:t>
      </w:r>
    </w:p>
    <w:p w14:paraId="31DAABA1" w14:textId="77777777" w:rsidR="004136B5" w:rsidRPr="00260D9D" w:rsidRDefault="004136B5" w:rsidP="00260D9D">
      <w:pPr>
        <w:pStyle w:val="JuQuot"/>
        <w:rPr>
          <w:bCs/>
        </w:rPr>
      </w:pPr>
      <w:r>
        <w:t>„Przestępstwo jest czynem, który st</w:t>
      </w:r>
      <w:r w:rsidR="00F27757">
        <w:t>warza</w:t>
      </w:r>
      <w:r>
        <w:t xml:space="preserve"> zagrożenie</w:t>
      </w:r>
      <w:r w:rsidR="00F27757">
        <w:t xml:space="preserve"> społeczne</w:t>
      </w:r>
      <w:r>
        <w:t>, jest popełniony z</w:t>
      </w:r>
      <w:r w:rsidR="00F27757">
        <w:t> </w:t>
      </w:r>
      <w:r>
        <w:t>winy umyślnej (</w:t>
      </w:r>
      <w:r>
        <w:rPr>
          <w:bCs/>
          <w:i/>
        </w:rPr>
        <w:t>vinovăţie</w:t>
      </w:r>
      <w:r>
        <w:t>) i jest przewidziany w prawie karnym.</w:t>
      </w:r>
    </w:p>
    <w:p w14:paraId="2CF715E2" w14:textId="77777777" w:rsidR="004136B5" w:rsidRPr="00260D9D" w:rsidRDefault="004136B5" w:rsidP="00260D9D">
      <w:pPr>
        <w:pStyle w:val="JuQuot"/>
        <w:rPr>
          <w:bCs/>
        </w:rPr>
      </w:pPr>
      <w:r>
        <w:t>Przestępstwo jest jedyną podstawą odpowiedzialności karnej.”</w:t>
      </w:r>
    </w:p>
    <w:p w14:paraId="1E0F4324" w14:textId="77777777" w:rsidR="004136B5" w:rsidRPr="00260D9D" w:rsidRDefault="004136B5" w:rsidP="00260D9D">
      <w:pPr>
        <w:pStyle w:val="JuHArticle"/>
      </w:pPr>
      <w:r>
        <w:t>Artykuł 18 – Zagrożenie społeczne czynu</w:t>
      </w:r>
    </w:p>
    <w:p w14:paraId="4A8F6CDB" w14:textId="77777777" w:rsidR="004136B5" w:rsidRPr="00260D9D" w:rsidRDefault="004136B5" w:rsidP="00260D9D">
      <w:pPr>
        <w:pStyle w:val="JuQuot"/>
        <w:rPr>
          <w:bCs/>
        </w:rPr>
      </w:pPr>
      <w:r>
        <w:t>„Czyn stwarzający zagrożenie społeczne w rozumieniu prawa karnego oznacza każde działanie lub zaniechanie, które narusza jedną z wartości wymienionych w art. 1 i</w:t>
      </w:r>
      <w:r w:rsidR="00F27757">
        <w:t> </w:t>
      </w:r>
      <w:r>
        <w:t>za</w:t>
      </w:r>
      <w:r w:rsidR="00F27757">
        <w:t> </w:t>
      </w:r>
      <w:r>
        <w:t>które wymagane jest nałożenie kary.”</w:t>
      </w:r>
    </w:p>
    <w:p w14:paraId="7B4FF0E9" w14:textId="77777777" w:rsidR="004136B5" w:rsidRPr="00260D9D" w:rsidRDefault="004136B5" w:rsidP="00260D9D">
      <w:pPr>
        <w:pStyle w:val="JuHArticle"/>
      </w:pPr>
      <w:r>
        <w:lastRenderedPageBreak/>
        <w:t>Artykuł 18</w:t>
      </w:r>
      <w:r>
        <w:rPr>
          <w:vertAlign w:val="superscript"/>
        </w:rPr>
        <w:t>1</w:t>
      </w:r>
      <w:r>
        <w:t xml:space="preserve"> – Czyn niestwarzający zagrożenia społecznego, jakie stwarza przestępstwo</w:t>
      </w:r>
    </w:p>
    <w:p w14:paraId="44DA154D" w14:textId="77777777" w:rsidR="004136B5" w:rsidRPr="00260D9D" w:rsidRDefault="004136B5" w:rsidP="00260D9D">
      <w:pPr>
        <w:pStyle w:val="JuQuot"/>
        <w:rPr>
          <w:bCs/>
        </w:rPr>
      </w:pPr>
      <w:r>
        <w:t>„1.  Czyn karalny</w:t>
      </w:r>
      <w:r w:rsidR="00F27757">
        <w:t xml:space="preserve"> na mocy prawa karnego</w:t>
      </w:r>
      <w:r>
        <w:t xml:space="preserve"> nie stanowi przestępstwa, jeżeli ze względu na minimalną ingerencję w jedną z wartości chronionych przez prawo karne i</w:t>
      </w:r>
      <w:r w:rsidR="00472917">
        <w:t> </w:t>
      </w:r>
      <w:r>
        <w:t>w</w:t>
      </w:r>
      <w:r w:rsidR="00472917">
        <w:t> </w:t>
      </w:r>
      <w:r>
        <w:t xml:space="preserve">oczywisty sposób nieznaczny charakter </w:t>
      </w:r>
      <w:r w:rsidR="00472917">
        <w:t>swojej</w:t>
      </w:r>
      <w:r>
        <w:t xml:space="preserve"> szczególnej istoty, nie stwarza zagrożenia społeczne</w:t>
      </w:r>
      <w:r w:rsidR="00472917">
        <w:t>go</w:t>
      </w:r>
      <w:r>
        <w:t xml:space="preserve"> o takim stopniu, jak</w:t>
      </w:r>
      <w:r w:rsidR="00472917">
        <w:t>ie stwarza</w:t>
      </w:r>
      <w:r>
        <w:t xml:space="preserve"> przestępstwo.</w:t>
      </w:r>
    </w:p>
    <w:p w14:paraId="7D701225" w14:textId="77777777" w:rsidR="004136B5" w:rsidRPr="00260D9D" w:rsidRDefault="004136B5" w:rsidP="00260D9D">
      <w:pPr>
        <w:pStyle w:val="JuQuot"/>
        <w:rPr>
          <w:bCs/>
        </w:rPr>
      </w:pPr>
      <w:r>
        <w:t>2.  Określając stopień zagrożenia społecznego, należy wziąć pod uwagę sposób i</w:t>
      </w:r>
      <w:r w:rsidR="00472917">
        <w:t> </w:t>
      </w:r>
      <w:r>
        <w:t>środki popełnienia czynu, zamierzony cel, okoliczności popełnienia czynu, skutek, jaki nastąpił lub mógł nastąpić, a także charakter i zachowanie sprawcy, jeżeli jest znany.</w:t>
      </w:r>
    </w:p>
    <w:p w14:paraId="4F751A37" w14:textId="77777777" w:rsidR="004136B5" w:rsidRPr="00260D9D" w:rsidRDefault="004136B5" w:rsidP="00260D9D">
      <w:pPr>
        <w:pStyle w:val="JuQuot"/>
        <w:rPr>
          <w:bCs/>
        </w:rPr>
      </w:pPr>
      <w:r>
        <w:t>3.  W przypadku takiego czynu prokurator lub sąd nakłada jedną z sankcji administracyjnych przewidzianych w art. 91"</w:t>
      </w:r>
    </w:p>
    <w:p w14:paraId="5A7B84B9" w14:textId="77777777" w:rsidR="004136B5" w:rsidRPr="00260D9D" w:rsidRDefault="004136B5" w:rsidP="00260D9D">
      <w:pPr>
        <w:pStyle w:val="JuHArticle"/>
      </w:pPr>
      <w:r>
        <w:t>Artykuł 41 – Przestępstwa ciągłe i złożone</w:t>
      </w:r>
    </w:p>
    <w:p w14:paraId="4F9F97C1" w14:textId="77777777" w:rsidR="004136B5" w:rsidRPr="00260D9D" w:rsidRDefault="004136B5" w:rsidP="00260D9D">
      <w:pPr>
        <w:pStyle w:val="JuQuot"/>
      </w:pPr>
      <w:r>
        <w:t>„2) Przestępstwo uznaje się za ciągłe, gdy osoba w różnym czasie, ale w tym samym celu, dopuszcza się działań lub zaniechań, z których każde stanowi w istocie to samo przestępstwo.”</w:t>
      </w:r>
    </w:p>
    <w:p w14:paraId="388DAC31" w14:textId="77777777" w:rsidR="004136B5" w:rsidRPr="00260D9D" w:rsidRDefault="004136B5" w:rsidP="00260D9D">
      <w:pPr>
        <w:pStyle w:val="JuHArticle"/>
      </w:pPr>
      <w:r>
        <w:t>Artykuł 90 – Warunki zastąpienia [odpowiedzialności karnej]</w:t>
      </w:r>
    </w:p>
    <w:p w14:paraId="2E13AEEA" w14:textId="77777777" w:rsidR="004136B5" w:rsidRPr="00260D9D" w:rsidRDefault="004136B5" w:rsidP="00260D9D">
      <w:pPr>
        <w:pStyle w:val="JuQuot"/>
      </w:pPr>
      <w:r>
        <w:t>„1) Sąd może zastąpić odpowiedzialność karną [...] sankcją administracyjną, jeżeli spełnione są następujące warunki:</w:t>
      </w:r>
    </w:p>
    <w:p w14:paraId="442A1C0D" w14:textId="77777777" w:rsidR="004136B5" w:rsidRPr="00260D9D" w:rsidRDefault="004136B5" w:rsidP="00260D9D">
      <w:pPr>
        <w:pStyle w:val="JuQuot"/>
      </w:pPr>
      <w:r>
        <w:t xml:space="preserve">a) </w:t>
      </w:r>
      <w:r w:rsidR="00472917">
        <w:t xml:space="preserve">jeżeli </w:t>
      </w:r>
      <w:r>
        <w:t xml:space="preserve">karą </w:t>
      </w:r>
      <w:r w:rsidR="00472917">
        <w:t xml:space="preserve">prawnie </w:t>
      </w:r>
      <w:r>
        <w:t>przewidzianą za przestępstwo jest pozbawienie wolności na</w:t>
      </w:r>
      <w:r w:rsidR="00472917">
        <w:t> </w:t>
      </w:r>
      <w:r>
        <w:t>okres nieprzekraczający jednego roku lub grzywna</w:t>
      </w:r>
      <w:r w:rsidR="00472917">
        <w:t>,</w:t>
      </w:r>
      <w:r>
        <w:t xml:space="preserve"> lub w przypadku przestępstw przewidzianych w art.</w:t>
      </w:r>
      <w:r w:rsidR="00724A67">
        <w:t> </w:t>
      </w:r>
      <w:r>
        <w:t>208,</w:t>
      </w:r>
      <w:r w:rsidR="00472917">
        <w:t xml:space="preserve"> art.</w:t>
      </w:r>
      <w:r w:rsidR="00724A67">
        <w:t> </w:t>
      </w:r>
      <w:r>
        <w:t>213, art.</w:t>
      </w:r>
      <w:r w:rsidR="00724A67">
        <w:t> </w:t>
      </w:r>
      <w:r>
        <w:t>215</w:t>
      </w:r>
      <w:r w:rsidR="00724A67">
        <w:t> </w:t>
      </w:r>
      <w:r>
        <w:t>§</w:t>
      </w:r>
      <w:r w:rsidR="00724A67">
        <w:t> </w:t>
      </w:r>
      <w:r>
        <w:t>1, art.</w:t>
      </w:r>
      <w:r w:rsidR="00724A67">
        <w:t> </w:t>
      </w:r>
      <w:r>
        <w:t>215</w:t>
      </w:r>
      <w:r>
        <w:rPr>
          <w:vertAlign w:val="superscript"/>
        </w:rPr>
        <w:t>1</w:t>
      </w:r>
      <w:r w:rsidR="00724A67">
        <w:t> </w:t>
      </w:r>
      <w:r>
        <w:t>§</w:t>
      </w:r>
      <w:r w:rsidR="00724A67">
        <w:t> </w:t>
      </w:r>
      <w:r>
        <w:t>1, art.</w:t>
      </w:r>
      <w:r w:rsidR="00724A67">
        <w:t> </w:t>
      </w:r>
      <w:r>
        <w:t xml:space="preserve">217 </w:t>
      </w:r>
      <w:r w:rsidR="00724A67">
        <w:t> </w:t>
      </w:r>
      <w:r>
        <w:t>§</w:t>
      </w:r>
      <w:r w:rsidR="00724A67">
        <w:t> </w:t>
      </w:r>
      <w:r>
        <w:t>1, art.</w:t>
      </w:r>
      <w:r w:rsidR="00724A67">
        <w:t> </w:t>
      </w:r>
      <w:r>
        <w:t>219</w:t>
      </w:r>
      <w:r w:rsidR="00724A67">
        <w:t> </w:t>
      </w:r>
      <w:r>
        <w:t>§</w:t>
      </w:r>
      <w:r w:rsidR="00724A67">
        <w:t> </w:t>
      </w:r>
      <w:r>
        <w:t>1, jeżeli wartość szkody nie przekracza 10 lejów rumuńskich</w:t>
      </w:r>
      <w:r w:rsidR="00472917">
        <w:t>,</w:t>
      </w:r>
      <w:r>
        <w:t xml:space="preserve"> lub w przypadku przestępstwa przewidzianego w art.</w:t>
      </w:r>
      <w:r w:rsidR="00724A67">
        <w:t> </w:t>
      </w:r>
      <w:r>
        <w:t>249, jeżeli wartość szkody nie przekracza 50</w:t>
      </w:r>
      <w:r w:rsidR="00724A67">
        <w:t> </w:t>
      </w:r>
      <w:r>
        <w:t>lejów rumuńskich;</w:t>
      </w:r>
    </w:p>
    <w:p w14:paraId="1E82FEC8" w14:textId="77777777" w:rsidR="004136B5" w:rsidRPr="00260D9D" w:rsidRDefault="004136B5" w:rsidP="00260D9D">
      <w:pPr>
        <w:pStyle w:val="JuQuot"/>
      </w:pPr>
      <w:r>
        <w:t>b) ze względu na szczególną istotę i okoliczności, w których został popełniony, czyn charakteryzuje się niskim stopniem zagrożenia społecznego i nie doprowadził do</w:t>
      </w:r>
      <w:r w:rsidR="00472917">
        <w:t> </w:t>
      </w:r>
      <w:r>
        <w:t>poważnych skutków;</w:t>
      </w:r>
    </w:p>
    <w:p w14:paraId="22751341" w14:textId="77777777" w:rsidR="004136B5" w:rsidRPr="00260D9D" w:rsidRDefault="004136B5" w:rsidP="00260D9D">
      <w:pPr>
        <w:pStyle w:val="JuQuot"/>
      </w:pPr>
      <w:r>
        <w:t xml:space="preserve">c) szkoda spowodowana przestępstwem została w pełni naprawiona do czasu wydania </w:t>
      </w:r>
      <w:r w:rsidR="00472917">
        <w:t>postanowienia</w:t>
      </w:r>
      <w:r>
        <w:t>;</w:t>
      </w:r>
    </w:p>
    <w:p w14:paraId="00705ADE" w14:textId="77777777" w:rsidR="004136B5" w:rsidRPr="00260D9D" w:rsidRDefault="004136B5" w:rsidP="00260D9D">
      <w:pPr>
        <w:pStyle w:val="JuQuot"/>
      </w:pPr>
      <w:r>
        <w:t>d) sprawca żałuje popełnienia czynu;</w:t>
      </w:r>
    </w:p>
    <w:p w14:paraId="715A973D" w14:textId="77777777" w:rsidR="004136B5" w:rsidRPr="00260D9D" w:rsidRDefault="004136B5" w:rsidP="00260D9D">
      <w:pPr>
        <w:pStyle w:val="JuQuot"/>
      </w:pPr>
      <w:r>
        <w:t xml:space="preserve">e) istnieją wystarczające informacje wskazujące, że sprawca może zostać </w:t>
      </w:r>
      <w:r w:rsidR="00BE16A6">
        <w:t xml:space="preserve">zrehabilitowany </w:t>
      </w:r>
      <w:r>
        <w:t>bez kary.</w:t>
      </w:r>
    </w:p>
    <w:p w14:paraId="3B68FFE4" w14:textId="77777777" w:rsidR="004136B5" w:rsidRPr="00260D9D" w:rsidRDefault="004136B5" w:rsidP="00260D9D">
      <w:pPr>
        <w:pStyle w:val="JuQuot"/>
      </w:pPr>
      <w:r>
        <w:t>2) Odpowiedzialnoś</w:t>
      </w:r>
      <w:r w:rsidR="00C170AA">
        <w:t>ci</w:t>
      </w:r>
      <w:r>
        <w:t xml:space="preserve"> karn</w:t>
      </w:r>
      <w:r w:rsidR="00C170AA">
        <w:t xml:space="preserve">ej </w:t>
      </w:r>
      <w:r>
        <w:t>nie moż</w:t>
      </w:r>
      <w:r w:rsidR="00C170AA">
        <w:t>na</w:t>
      </w:r>
      <w:r>
        <w:t xml:space="preserve"> zastąpi</w:t>
      </w:r>
      <w:r w:rsidR="00C170AA">
        <w:t>ć inną sankcją</w:t>
      </w:r>
      <w:r>
        <w:t>, jeżeli sprawca został uprzednio skazany lub dwukrotnie nałożono na niego sankcje administracyjne [...]”</w:t>
      </w:r>
    </w:p>
    <w:p w14:paraId="462D8F17" w14:textId="77777777" w:rsidR="004136B5" w:rsidRPr="00260D9D" w:rsidRDefault="004136B5" w:rsidP="00260D9D">
      <w:pPr>
        <w:pStyle w:val="JuHArticle"/>
      </w:pPr>
      <w:r>
        <w:t>Artykuł 91 – Sankcje administracyjne</w:t>
      </w:r>
    </w:p>
    <w:p w14:paraId="5CD74736" w14:textId="77777777" w:rsidR="004136B5" w:rsidRPr="00260D9D" w:rsidRDefault="004136B5" w:rsidP="00260D9D">
      <w:pPr>
        <w:pStyle w:val="JuQuot"/>
        <w:rPr>
          <w:bCs/>
        </w:rPr>
      </w:pPr>
      <w:r>
        <w:t>„W przypadku gdy sąd nakazuje zastąpienie odpowiedzialności karnej, nakłada jedną z następujących sankcji administracyjnych:</w:t>
      </w:r>
    </w:p>
    <w:p w14:paraId="49D3C4FF" w14:textId="77777777" w:rsidR="004136B5" w:rsidRPr="00260D9D" w:rsidRDefault="004136B5" w:rsidP="00260D9D">
      <w:pPr>
        <w:pStyle w:val="JuQuot"/>
        <w:rPr>
          <w:bCs/>
        </w:rPr>
      </w:pPr>
      <w:r>
        <w:t>[…]</w:t>
      </w:r>
    </w:p>
    <w:p w14:paraId="5C39576E" w14:textId="77777777" w:rsidR="004136B5" w:rsidRPr="00260D9D" w:rsidRDefault="004136B5" w:rsidP="00260D9D">
      <w:pPr>
        <w:pStyle w:val="JuQuot"/>
        <w:rPr>
          <w:bCs/>
        </w:rPr>
      </w:pPr>
      <w:r>
        <w:t>c) grzywnę w wysokości od 10 do 1</w:t>
      </w:r>
      <w:r w:rsidR="00C170AA">
        <w:t> </w:t>
      </w:r>
      <w:r>
        <w:t>000 lejów.”</w:t>
      </w:r>
    </w:p>
    <w:p w14:paraId="1EDC0D46" w14:textId="77777777" w:rsidR="00597E18" w:rsidRPr="00260D9D" w:rsidRDefault="004136B5" w:rsidP="00260D9D">
      <w:pPr>
        <w:pStyle w:val="JuHArticle"/>
        <w:rPr>
          <w:bCs/>
        </w:rPr>
      </w:pPr>
      <w:r>
        <w:lastRenderedPageBreak/>
        <w:t>Tytuł III: Przestępstwa przeciwko mieniu</w:t>
      </w:r>
    </w:p>
    <w:p w14:paraId="7AF608FF" w14:textId="77777777" w:rsidR="004136B5" w:rsidRPr="00260D9D" w:rsidRDefault="004136B5" w:rsidP="00260D9D">
      <w:pPr>
        <w:pStyle w:val="JuHArticle"/>
      </w:pPr>
      <w:r>
        <w:t>Artykuł 208 – Kradzież</w:t>
      </w:r>
    </w:p>
    <w:p w14:paraId="4BC42548" w14:textId="77777777" w:rsidR="004136B5" w:rsidRPr="00260D9D" w:rsidRDefault="004136B5" w:rsidP="00260D9D">
      <w:pPr>
        <w:pStyle w:val="JuQuot"/>
        <w:rPr>
          <w:bCs/>
        </w:rPr>
      </w:pPr>
      <w:r>
        <w:t>„1) Zabór lub zatrzymanie mienia ruchomego znajdującego się w posiadaniu innej osoby bez jej zgody w celu przywłaszczenia podlega karze pozbawienia wolności od</w:t>
      </w:r>
      <w:r w:rsidR="00472917">
        <w:t> </w:t>
      </w:r>
      <w:r>
        <w:t>roku do [dwunastu] lat.”</w:t>
      </w:r>
    </w:p>
    <w:p w14:paraId="3ED724BB" w14:textId="77777777" w:rsidR="004136B5" w:rsidRPr="00260D9D" w:rsidRDefault="004136B5" w:rsidP="00260D9D">
      <w:pPr>
        <w:pStyle w:val="JuHArticle"/>
      </w:pPr>
      <w:r>
        <w:t>Artykuł 209 – Kradzież kwalifikowana</w:t>
      </w:r>
    </w:p>
    <w:p w14:paraId="5EA8F126" w14:textId="77777777" w:rsidR="004136B5" w:rsidRPr="00260D9D" w:rsidRDefault="004136B5" w:rsidP="00260D9D">
      <w:pPr>
        <w:pStyle w:val="JuQuot"/>
        <w:rPr>
          <w:bCs/>
        </w:rPr>
      </w:pPr>
      <w:r>
        <w:t>„1) Kradzież popełniona w którychkolwiek z następujących okoliczności:</w:t>
      </w:r>
    </w:p>
    <w:p w14:paraId="12382922" w14:textId="77777777" w:rsidR="004136B5" w:rsidRPr="00260D9D" w:rsidRDefault="00597E18" w:rsidP="00260D9D">
      <w:pPr>
        <w:pStyle w:val="JuQuot"/>
        <w:rPr>
          <w:bCs/>
        </w:rPr>
      </w:pPr>
      <w:r>
        <w:t>[…]</w:t>
      </w:r>
    </w:p>
    <w:p w14:paraId="0F8EA72A" w14:textId="77777777" w:rsidR="004136B5" w:rsidRPr="00260D9D" w:rsidRDefault="004136B5" w:rsidP="00260D9D">
      <w:pPr>
        <w:pStyle w:val="JuQuot"/>
        <w:rPr>
          <w:bCs/>
        </w:rPr>
      </w:pPr>
      <w:r>
        <w:t>g) w nocy;</w:t>
      </w:r>
    </w:p>
    <w:p w14:paraId="6EAFB75E" w14:textId="77777777" w:rsidR="004136B5" w:rsidRPr="00260D9D" w:rsidRDefault="00597E18" w:rsidP="00260D9D">
      <w:pPr>
        <w:pStyle w:val="JuQuot"/>
        <w:rPr>
          <w:bCs/>
        </w:rPr>
      </w:pPr>
      <w:r>
        <w:t>[…]</w:t>
      </w:r>
    </w:p>
    <w:p w14:paraId="661A8B6E" w14:textId="77777777" w:rsidR="004136B5" w:rsidRPr="00260D9D" w:rsidRDefault="004136B5" w:rsidP="00260D9D">
      <w:pPr>
        <w:pStyle w:val="JuQuot"/>
        <w:rPr>
          <w:bCs/>
        </w:rPr>
      </w:pPr>
      <w:r>
        <w:t>podlega karze pozbawienia wolności od [trzech] do [piętnastu] lat"</w:t>
      </w:r>
    </w:p>
    <w:p w14:paraId="2363E596"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14</w:t>
      </w:r>
      <w:r w:rsidRPr="00260D9D">
        <w:rPr>
          <w:bCs/>
        </w:rPr>
        <w:fldChar w:fldCharType="end"/>
      </w:r>
      <w:r w:rsidR="004136B5">
        <w:t>.  W dniu 1 lutego 2014 r. w pozwanym państwie wszedł w życie nowy kodeks karny („nowy k.k.”). Przepisy, które miałyby zastosowanie do</w:t>
      </w:r>
      <w:r w:rsidR="00472917">
        <w:t> </w:t>
      </w:r>
      <w:r w:rsidR="004136B5">
        <w:t>sytuacji podobnej do tej podniesionej w niniejszej sprawie, brzmią następująco:</w:t>
      </w:r>
    </w:p>
    <w:p w14:paraId="4A6B712D" w14:textId="77777777" w:rsidR="004136B5" w:rsidRPr="00260D9D" w:rsidRDefault="004136B5" w:rsidP="00260D9D">
      <w:pPr>
        <w:pStyle w:val="JuHArticle"/>
      </w:pPr>
      <w:r>
        <w:t>Artykuł 80 – Warunki odstąpienia od wymierzenia kary</w:t>
      </w:r>
    </w:p>
    <w:p w14:paraId="16E1A258" w14:textId="77777777" w:rsidR="004136B5" w:rsidRPr="00260D9D" w:rsidRDefault="004136B5" w:rsidP="00260D9D">
      <w:pPr>
        <w:pStyle w:val="JuQuot"/>
        <w:rPr>
          <w:bCs/>
        </w:rPr>
      </w:pPr>
      <w:r>
        <w:t>„1) Sąd może postanowić o odstąpieniu od wymierzenia kary, jeżeli spełnione są</w:t>
      </w:r>
      <w:r w:rsidR="00472917">
        <w:t> </w:t>
      </w:r>
      <w:r>
        <w:t>następujące warunki:</w:t>
      </w:r>
    </w:p>
    <w:p w14:paraId="691DB906" w14:textId="77777777" w:rsidR="004136B5" w:rsidRPr="00260D9D" w:rsidRDefault="004136B5" w:rsidP="00260D9D">
      <w:pPr>
        <w:pStyle w:val="JuQuot"/>
        <w:rPr>
          <w:bCs/>
        </w:rPr>
      </w:pPr>
      <w:r>
        <w:t>a) popełnione przestępstwo ma mniejszą wagę, zważywszy na charakter i zakres skutków, użyte środki, sposób i okoliczności popełnienia czynu, motyw i zamierzony</w:t>
      </w:r>
      <w:r w:rsidR="00472917">
        <w:t xml:space="preserve"> jego</w:t>
      </w:r>
      <w:r>
        <w:t xml:space="preserve"> cel;</w:t>
      </w:r>
    </w:p>
    <w:p w14:paraId="344FF7B8" w14:textId="77777777" w:rsidR="004136B5" w:rsidRPr="00260D9D" w:rsidRDefault="004136B5" w:rsidP="00260D9D">
      <w:pPr>
        <w:pStyle w:val="JuQuot"/>
        <w:rPr>
          <w:bCs/>
        </w:rPr>
      </w:pPr>
      <w:r>
        <w:t>b) sąd uznaje, że z uwagi na sprawcę, jego wcześniejsze zachowanie, wysiłki podjęte przez niego w celu usunięcia lub ograniczenia skutków przestępstwa, a także możliwości jego poprawy, nałożenie kary byłoby niewłaściwe z</w:t>
      </w:r>
      <w:r w:rsidR="00472917">
        <w:t>e</w:t>
      </w:r>
      <w:r>
        <w:t xml:space="preserve"> względu na</w:t>
      </w:r>
      <w:r w:rsidR="00472917">
        <w:t> </w:t>
      </w:r>
      <w:r>
        <w:t>konsekwencje, jakie miałoby to dla sprawcy.</w:t>
      </w:r>
    </w:p>
    <w:p w14:paraId="7ADF0DD4" w14:textId="77777777" w:rsidR="004136B5" w:rsidRPr="00260D9D" w:rsidRDefault="004136B5" w:rsidP="00260D9D">
      <w:pPr>
        <w:pStyle w:val="JuQuot"/>
        <w:rPr>
          <w:bCs/>
        </w:rPr>
      </w:pPr>
      <w:r>
        <w:t>2) Nie jest możliwe odstąpienie od wymierzenia kary, jeżeli:</w:t>
      </w:r>
    </w:p>
    <w:p w14:paraId="5A2282DD" w14:textId="77777777" w:rsidR="004136B5" w:rsidRPr="00260D9D" w:rsidRDefault="004136B5" w:rsidP="00260D9D">
      <w:pPr>
        <w:pStyle w:val="JuQuot"/>
        <w:rPr>
          <w:bCs/>
        </w:rPr>
      </w:pPr>
      <w:r>
        <w:t xml:space="preserve">a) sprawca został uprzednio skazany, z wyjątkiem przypadków określonych w art. 42 </w:t>
      </w:r>
      <w:r w:rsidR="00472917">
        <w:t>lit.</w:t>
      </w:r>
      <w:r>
        <w:t xml:space="preserve"> a) i b) [czyny, które nie są już zabronione praw</w:t>
      </w:r>
      <w:r w:rsidR="00472917">
        <w:t>em</w:t>
      </w:r>
      <w:r>
        <w:t xml:space="preserve"> kar</w:t>
      </w:r>
      <w:r w:rsidR="00472917">
        <w:t>nym</w:t>
      </w:r>
      <w:r>
        <w:t>, oraz przestępstwa, które zostały objęte amnestią] lub gdy nastąpiła resocjalizacja lub zostały dotrzymane terminy resocjalizacji;</w:t>
      </w:r>
    </w:p>
    <w:p w14:paraId="79033412" w14:textId="77777777" w:rsidR="004136B5" w:rsidRPr="00260D9D" w:rsidRDefault="004136B5" w:rsidP="00260D9D">
      <w:pPr>
        <w:pStyle w:val="JuQuot"/>
        <w:rPr>
          <w:bCs/>
        </w:rPr>
      </w:pPr>
      <w:r>
        <w:t>b) sprawca skorzystał z odstąpienia od wymierzenia kary w okresie dwóch lat poprzedzających datę popełnienia przestępstwa, za które jest obecnie sądzony;</w:t>
      </w:r>
    </w:p>
    <w:p w14:paraId="0AF183F0" w14:textId="77777777" w:rsidR="004136B5" w:rsidRPr="00260D9D" w:rsidRDefault="004136B5" w:rsidP="00260D9D">
      <w:pPr>
        <w:pStyle w:val="JuQuot"/>
        <w:rPr>
          <w:bCs/>
        </w:rPr>
      </w:pPr>
      <w:r>
        <w:t>c) sprawca uchyla się od dochodzenia</w:t>
      </w:r>
      <w:r w:rsidR="00ED79D4">
        <w:t>, śledztwa</w:t>
      </w:r>
      <w:r>
        <w:t xml:space="preserve"> lub procesu </w:t>
      </w:r>
      <w:r w:rsidR="00472917">
        <w:t>w sprawie karnej</w:t>
      </w:r>
      <w:r>
        <w:t xml:space="preserve"> </w:t>
      </w:r>
      <w:r w:rsidR="00472917">
        <w:t>bądź</w:t>
      </w:r>
      <w:r>
        <w:t xml:space="preserve"> usiłuje zapobiec ustaleniu prawdy </w:t>
      </w:r>
      <w:r w:rsidR="00472917">
        <w:t>lub</w:t>
      </w:r>
      <w:r>
        <w:t xml:space="preserve"> identyfikacji i ściganiu sprawcy lub innych uczestników;</w:t>
      </w:r>
    </w:p>
    <w:p w14:paraId="6E5F4927" w14:textId="77777777" w:rsidR="004136B5" w:rsidRPr="00260D9D" w:rsidRDefault="004136B5" w:rsidP="00260D9D">
      <w:pPr>
        <w:pStyle w:val="JuQuot"/>
        <w:rPr>
          <w:bCs/>
        </w:rPr>
      </w:pPr>
      <w:r>
        <w:t>d) karą pr</w:t>
      </w:r>
      <w:r w:rsidR="00472917">
        <w:t>awnie pr</w:t>
      </w:r>
      <w:r>
        <w:t>zewidzianą za popełnione przestępstwo jest kara pozbawienia wolności przekraczająca pięć lat.</w:t>
      </w:r>
    </w:p>
    <w:p w14:paraId="58865B7F" w14:textId="77777777" w:rsidR="004136B5" w:rsidRPr="00260D9D" w:rsidRDefault="004136B5" w:rsidP="00260D9D">
      <w:pPr>
        <w:pStyle w:val="JuQuot"/>
        <w:rPr>
          <w:bCs/>
        </w:rPr>
      </w:pPr>
      <w:r>
        <w:t>3) W przypadku zbiegu przestępstw, odstąpienie od wymierzenia kary można orzec, jeżeli dla każdego przestępstwa w zbiegu spełnione są warunki określone w ust. 1 i</w:t>
      </w:r>
      <w:r w:rsidR="00472917">
        <w:t> ust. </w:t>
      </w:r>
      <w:r>
        <w:t>2 powyżej.”</w:t>
      </w:r>
    </w:p>
    <w:bookmarkStart w:id="13" w:name="DL_CCP"/>
    <w:p w14:paraId="3570FA91" w14:textId="77777777" w:rsidR="004136B5" w:rsidRPr="00260D9D" w:rsidRDefault="00911B37" w:rsidP="00260D9D">
      <w:pPr>
        <w:pStyle w:val="JuPara"/>
        <w:rPr>
          <w:bCs/>
        </w:rPr>
      </w:pPr>
      <w:r w:rsidRPr="00260D9D">
        <w:rPr>
          <w:bCs/>
        </w:rPr>
        <w:lastRenderedPageBreak/>
        <w:fldChar w:fldCharType="begin"/>
      </w:r>
      <w:r w:rsidR="004136B5" w:rsidRPr="00260D9D">
        <w:rPr>
          <w:bCs/>
        </w:rPr>
        <w:instrText xml:space="preserve"> SEQ level0 \*arabic </w:instrText>
      </w:r>
      <w:r w:rsidRPr="00260D9D">
        <w:rPr>
          <w:bCs/>
        </w:rPr>
        <w:fldChar w:fldCharType="separate"/>
      </w:r>
      <w:r w:rsidR="00107B03">
        <w:rPr>
          <w:bCs/>
          <w:noProof/>
        </w:rPr>
        <w:t>15</w:t>
      </w:r>
      <w:r w:rsidRPr="00260D9D">
        <w:rPr>
          <w:bCs/>
        </w:rPr>
        <w:fldChar w:fldCharType="end"/>
      </w:r>
      <w:bookmarkEnd w:id="13"/>
      <w:r w:rsidR="004136B5">
        <w:t>.  Odpowiednie przepisy kodeksu postępowania karnego („k.p.k.”), obowiązujące w czasie istotnym dla sprawy, mają następujące brzmienie:</w:t>
      </w:r>
    </w:p>
    <w:p w14:paraId="4A4967F0" w14:textId="77777777" w:rsidR="004136B5" w:rsidRPr="00260D9D" w:rsidRDefault="004136B5" w:rsidP="00260D9D">
      <w:pPr>
        <w:pStyle w:val="JuHArticle"/>
      </w:pPr>
      <w:r>
        <w:t xml:space="preserve">Artykuł 10 – Przypadki, w których postępowanie </w:t>
      </w:r>
      <w:r w:rsidR="00472917">
        <w:t xml:space="preserve">w sprawie karnej nie zostaje wszczęte lub zostaje </w:t>
      </w:r>
      <w:r>
        <w:t>umorzone</w:t>
      </w:r>
    </w:p>
    <w:p w14:paraId="7D25452A" w14:textId="77777777" w:rsidR="004136B5" w:rsidRPr="00260D9D" w:rsidRDefault="004136B5" w:rsidP="00260D9D">
      <w:pPr>
        <w:pStyle w:val="JuQuot"/>
        <w:rPr>
          <w:bCs/>
        </w:rPr>
      </w:pPr>
      <w:r>
        <w:t>„1.  Postępowani</w:t>
      </w:r>
      <w:r w:rsidR="00472917">
        <w:t>a w sprawie karnej nie można wszcząć lub kontynuować</w:t>
      </w:r>
      <w:r>
        <w:t>, jeżeli:</w:t>
      </w:r>
    </w:p>
    <w:p w14:paraId="19DB5A71" w14:textId="77777777" w:rsidR="004136B5" w:rsidRPr="00260D9D" w:rsidRDefault="004136B5" w:rsidP="00260D9D">
      <w:pPr>
        <w:pStyle w:val="JuQuot"/>
        <w:rPr>
          <w:bCs/>
        </w:rPr>
      </w:pPr>
      <w:r>
        <w:t>[…]</w:t>
      </w:r>
    </w:p>
    <w:p w14:paraId="0F295009" w14:textId="77777777" w:rsidR="004136B5" w:rsidRPr="00260D9D" w:rsidRDefault="004136B5" w:rsidP="00260D9D">
      <w:pPr>
        <w:pStyle w:val="JuQuot"/>
        <w:rPr>
          <w:bCs/>
        </w:rPr>
      </w:pPr>
      <w:r>
        <w:t>b</w:t>
      </w:r>
      <w:r>
        <w:rPr>
          <w:bCs/>
          <w:vertAlign w:val="superscript"/>
        </w:rPr>
        <w:t>1</w:t>
      </w:r>
      <w:r>
        <w:t>) czyn nie stwarzał zagrożenia społecznego o poziomie wymaganym do</w:t>
      </w:r>
      <w:r w:rsidR="00472917">
        <w:t> </w:t>
      </w:r>
      <w:r>
        <w:t>zakwalifikowania czynu jako przestępstwa;”</w:t>
      </w:r>
    </w:p>
    <w:p w14:paraId="3EF0187A" w14:textId="77777777" w:rsidR="00597E18" w:rsidRPr="00260D9D" w:rsidRDefault="004136B5" w:rsidP="00260D9D">
      <w:pPr>
        <w:pStyle w:val="JuHArticle"/>
      </w:pPr>
      <w:r>
        <w:t>Artykuł 11 – Zakończenie dochodzenia</w:t>
      </w:r>
      <w:r w:rsidR="00ED79D4">
        <w:t xml:space="preserve"> lub śledztwa</w:t>
      </w:r>
      <w:r>
        <w:t>, postępowania</w:t>
      </w:r>
      <w:r w:rsidR="00472917">
        <w:t xml:space="preserve"> w sprawie karnej</w:t>
      </w:r>
      <w:r>
        <w:t>, uniewinnienie i zakończenie procesu karnego</w:t>
      </w:r>
    </w:p>
    <w:p w14:paraId="1BE7C46F" w14:textId="77777777" w:rsidR="004136B5" w:rsidRPr="00260D9D" w:rsidRDefault="004136B5" w:rsidP="00260D9D">
      <w:pPr>
        <w:pStyle w:val="JuQuot"/>
        <w:rPr>
          <w:bCs/>
        </w:rPr>
      </w:pPr>
      <w:r>
        <w:t>„W przypadku zaistnienia któregokolwiek z przypadków określonych w art. 10:</w:t>
      </w:r>
    </w:p>
    <w:p w14:paraId="25678E13" w14:textId="77777777" w:rsidR="004136B5" w:rsidRPr="00260D9D" w:rsidRDefault="004136B5" w:rsidP="00260D9D">
      <w:pPr>
        <w:pStyle w:val="JuQuot"/>
        <w:rPr>
          <w:bCs/>
        </w:rPr>
      </w:pPr>
      <w:r>
        <w:t xml:space="preserve">1.  W toku postępowania </w:t>
      </w:r>
      <w:r w:rsidR="00472917">
        <w:t>w sprawie karnej</w:t>
      </w:r>
      <w:r>
        <w:t xml:space="preserve"> prokurator na wniosek organu ścigania lub </w:t>
      </w:r>
      <w:r>
        <w:rPr>
          <w:bCs/>
          <w:i/>
          <w:iCs/>
        </w:rPr>
        <w:t>proprio motu</w:t>
      </w:r>
      <w:r>
        <w:t xml:space="preserve"> zarządza: […]</w:t>
      </w:r>
    </w:p>
    <w:p w14:paraId="10C227C7" w14:textId="77777777" w:rsidR="004136B5" w:rsidRPr="00260D9D" w:rsidRDefault="004136B5" w:rsidP="00260D9D">
      <w:pPr>
        <w:pStyle w:val="JuQuot"/>
        <w:rPr>
          <w:bCs/>
        </w:rPr>
      </w:pPr>
      <w:r>
        <w:t>b) umorzenie postępowania (</w:t>
      </w:r>
      <w:r>
        <w:rPr>
          <w:bCs/>
          <w:i/>
          <w:iCs/>
        </w:rPr>
        <w:t>scoaterea de sub urmărire</w:t>
      </w:r>
      <w:r>
        <w:t>) na korzyść podejrzanego lub oskarżonego w przypadkach określonych w art. 10 lit. a)-e).</w:t>
      </w:r>
    </w:p>
    <w:p w14:paraId="037CAB9A" w14:textId="77777777" w:rsidR="004136B5" w:rsidRPr="00260D9D" w:rsidRDefault="004136B5" w:rsidP="00260D9D">
      <w:pPr>
        <w:pStyle w:val="JuQuot"/>
        <w:rPr>
          <w:bCs/>
        </w:rPr>
      </w:pPr>
      <w:r>
        <w:t>[…]”.</w:t>
      </w:r>
    </w:p>
    <w:p w14:paraId="60CFF029" w14:textId="77777777" w:rsidR="004136B5" w:rsidRPr="00260D9D" w:rsidRDefault="004136B5" w:rsidP="00260D9D">
      <w:pPr>
        <w:pStyle w:val="JuHArticle"/>
      </w:pPr>
      <w:r>
        <w:t>Artykuł 172 – Praw</w:t>
      </w:r>
      <w:r w:rsidR="00ED79D4">
        <w:t>a przysługujące obronie</w:t>
      </w:r>
    </w:p>
    <w:p w14:paraId="243D3E19" w14:textId="77777777" w:rsidR="004136B5" w:rsidRPr="00260D9D" w:rsidRDefault="00ED79D4" w:rsidP="00260D9D">
      <w:pPr>
        <w:pStyle w:val="JuQuot"/>
        <w:rPr>
          <w:bCs/>
        </w:rPr>
      </w:pPr>
      <w:r>
        <w:t>„</w:t>
      </w:r>
      <w:r w:rsidR="004136B5">
        <w:t xml:space="preserve">1) W toku </w:t>
      </w:r>
      <w:r w:rsidR="00A72671">
        <w:t>dochodzenia</w:t>
      </w:r>
      <w:r w:rsidR="004136B5">
        <w:t xml:space="preserve"> </w:t>
      </w:r>
      <w:r>
        <w:t xml:space="preserve">lub śledztwa </w:t>
      </w:r>
      <w:r w:rsidR="004136B5">
        <w:t>obrońca oskarżonego</w:t>
      </w:r>
      <w:r w:rsidR="003B53A4">
        <w:t xml:space="preserve"> lub podejrzanego</w:t>
      </w:r>
      <w:r>
        <w:t xml:space="preserve"> ma</w:t>
      </w:r>
      <w:r w:rsidR="004136B5">
        <w:t xml:space="preserve"> prawo uczestniczyć we wszelkich czynnościach </w:t>
      </w:r>
      <w:r>
        <w:t>dochodzenia</w:t>
      </w:r>
      <w:r w:rsidR="004136B5">
        <w:t xml:space="preserve"> </w:t>
      </w:r>
      <w:r>
        <w:t xml:space="preserve">lub śledztwa </w:t>
      </w:r>
      <w:r w:rsidR="004136B5">
        <w:t>oraz może składać wnioski i</w:t>
      </w:r>
      <w:r>
        <w:t> </w:t>
      </w:r>
      <w:r w:rsidR="004136B5">
        <w:t xml:space="preserve">przedkładać dokumenty. Czynności </w:t>
      </w:r>
      <w:r>
        <w:t>dochodzenia lub śledztwa</w:t>
      </w:r>
      <w:r w:rsidR="004136B5">
        <w:t xml:space="preserve"> mogą mieć miejsce nawet pod nieobecność obrońcy, jeśli istnieją dowody na to, że zawiadomion</w:t>
      </w:r>
      <w:r>
        <w:t>o go</w:t>
      </w:r>
      <w:r w:rsidR="00196966">
        <w:t> </w:t>
      </w:r>
      <w:r w:rsidR="004136B5">
        <w:t>o</w:t>
      </w:r>
      <w:r>
        <w:t> </w:t>
      </w:r>
      <w:r w:rsidR="004136B5">
        <w:t xml:space="preserve">dacie i godzinie czynności. Zawiadomienia dokonuje się telefonicznie, faksem, przez </w:t>
      </w:r>
      <w:r>
        <w:t>Internet</w:t>
      </w:r>
      <w:r w:rsidR="004136B5">
        <w:t xml:space="preserve"> lub w inny sposób, a następnie sporządza się protokół w tym zakresie.</w:t>
      </w:r>
    </w:p>
    <w:p w14:paraId="5C83F975" w14:textId="77777777" w:rsidR="004136B5" w:rsidRPr="00260D9D" w:rsidRDefault="00597E18" w:rsidP="00260D9D">
      <w:pPr>
        <w:pStyle w:val="JuQuot"/>
        <w:rPr>
          <w:bCs/>
        </w:rPr>
      </w:pPr>
      <w:r>
        <w:t>[…]</w:t>
      </w:r>
    </w:p>
    <w:p w14:paraId="4E05D612" w14:textId="77777777" w:rsidR="004136B5" w:rsidRPr="00260D9D" w:rsidRDefault="004136B5" w:rsidP="00260D9D">
      <w:pPr>
        <w:pStyle w:val="JuQuot"/>
        <w:rPr>
          <w:bCs/>
        </w:rPr>
      </w:pPr>
      <w:r>
        <w:t>3) Jeżeli obrońca jest obecny podczas czynności śled</w:t>
      </w:r>
      <w:r w:rsidR="00ED79D4">
        <w:t>ztwa lub dochodzenia</w:t>
      </w:r>
      <w:r>
        <w:t>, jego obecność</w:t>
      </w:r>
      <w:r w:rsidR="00ED79D4">
        <w:t xml:space="preserve"> należy odnotować</w:t>
      </w:r>
      <w:r>
        <w:t>, a [odpowiedni dokument] zostanie również podpisany przez obrońcę.</w:t>
      </w:r>
    </w:p>
    <w:p w14:paraId="50F23ED7" w14:textId="77777777" w:rsidR="00597E18" w:rsidRPr="00260D9D" w:rsidRDefault="00597E18" w:rsidP="00260D9D">
      <w:pPr>
        <w:pStyle w:val="JuQuot"/>
        <w:rPr>
          <w:bCs/>
        </w:rPr>
      </w:pPr>
      <w:r>
        <w:t>[…]</w:t>
      </w:r>
    </w:p>
    <w:p w14:paraId="786190D3" w14:textId="77777777" w:rsidR="004136B5" w:rsidRPr="00260D9D" w:rsidRDefault="004136B5" w:rsidP="00260D9D">
      <w:pPr>
        <w:pStyle w:val="JuQuot"/>
        <w:rPr>
          <w:bCs/>
        </w:rPr>
      </w:pPr>
      <w:r>
        <w:t xml:space="preserve">6) </w:t>
      </w:r>
      <w:r w:rsidR="00ED79D4">
        <w:t>Obrońca</w:t>
      </w:r>
      <w:r>
        <w:t xml:space="preserve"> ma prawo </w:t>
      </w:r>
      <w:r w:rsidR="00ED79D4">
        <w:t xml:space="preserve">złożyć </w:t>
      </w:r>
      <w:r>
        <w:t>zażaleni</w:t>
      </w:r>
      <w:r w:rsidR="00ED79D4">
        <w:t>e</w:t>
      </w:r>
      <w:r>
        <w:t xml:space="preserve"> zgodnie z art. 275, jeżeli jego wnioski nie zostaną uwzględnione [...]</w:t>
      </w:r>
      <w:r w:rsidR="00ED79D4">
        <w:t>”</w:t>
      </w:r>
    </w:p>
    <w:p w14:paraId="51FDDCDF" w14:textId="77777777" w:rsidR="004136B5" w:rsidRPr="00260D9D" w:rsidRDefault="004136B5" w:rsidP="00260D9D">
      <w:pPr>
        <w:pStyle w:val="JuHArticle"/>
      </w:pPr>
      <w:r>
        <w:t>Artykuł 275 – Prawo do złożenia zażalenia</w:t>
      </w:r>
    </w:p>
    <w:p w14:paraId="130F3859" w14:textId="77777777" w:rsidR="004136B5" w:rsidRPr="00260D9D" w:rsidRDefault="004136B5" w:rsidP="00260D9D">
      <w:pPr>
        <w:pStyle w:val="JuQuot"/>
        <w:rPr>
          <w:bCs/>
        </w:rPr>
      </w:pPr>
      <w:r>
        <w:t>„Każdy m</w:t>
      </w:r>
      <w:r w:rsidR="00ED79D4">
        <w:t>a prawo</w:t>
      </w:r>
      <w:r>
        <w:t xml:space="preserve"> złożyć zażalenie na środki i postanowienia podjęte w toku </w:t>
      </w:r>
      <w:r w:rsidR="00A72671">
        <w:t>dochodzeni</w:t>
      </w:r>
      <w:r>
        <w:t>a</w:t>
      </w:r>
      <w:r w:rsidR="00ED79D4">
        <w:t xml:space="preserve"> lub śledztwa</w:t>
      </w:r>
      <w:r w:rsidR="00A72671">
        <w:t>,</w:t>
      </w:r>
      <w:r>
        <w:t xml:space="preserve"> jeśli naruszyły one jego uzasadnione interesy [...]”.</w:t>
      </w:r>
    </w:p>
    <w:p w14:paraId="49F15FEF" w14:textId="77777777" w:rsidR="004136B5" w:rsidRPr="00260D9D" w:rsidRDefault="004136B5" w:rsidP="00260D9D">
      <w:pPr>
        <w:pStyle w:val="JuHArticle"/>
      </w:pPr>
      <w:r>
        <w:t>Artykuł 278 – Zażalenie na czynności prokuratora</w:t>
      </w:r>
    </w:p>
    <w:p w14:paraId="4BFA371B" w14:textId="77777777" w:rsidR="004136B5" w:rsidRPr="00260D9D" w:rsidRDefault="004136B5" w:rsidP="00260D9D">
      <w:pPr>
        <w:pStyle w:val="JuQuot"/>
        <w:rPr>
          <w:bCs/>
        </w:rPr>
      </w:pPr>
      <w:r>
        <w:t>„Zażalenia na środki i postanowienia podjęte przez prokuratora lub wykonane na jego wniosek rozpatruje [...] prokurator naczelny właściwego wydziału [...]”</w:t>
      </w:r>
    </w:p>
    <w:p w14:paraId="5920D422" w14:textId="77777777" w:rsidR="00597E18" w:rsidRPr="00260D9D" w:rsidRDefault="004136B5" w:rsidP="00260D9D">
      <w:pPr>
        <w:pStyle w:val="JuHArticle"/>
      </w:pPr>
      <w:r>
        <w:lastRenderedPageBreak/>
        <w:t>Artykuł 278</w:t>
      </w:r>
      <w:r>
        <w:rPr>
          <w:vertAlign w:val="superscript"/>
        </w:rPr>
        <w:t>1</w:t>
      </w:r>
      <w:r>
        <w:t xml:space="preserve"> – Zażalenie </w:t>
      </w:r>
      <w:r w:rsidR="00ED79D4">
        <w:t xml:space="preserve">skierowane </w:t>
      </w:r>
      <w:r>
        <w:t>do sędziego na postanowienie prokuratora lub decyzję o niepociągnięciu do odpowiedzialności</w:t>
      </w:r>
    </w:p>
    <w:p w14:paraId="5B770793" w14:textId="77777777" w:rsidR="00597E18" w:rsidRPr="00260D9D" w:rsidRDefault="004136B5" w:rsidP="00260D9D">
      <w:pPr>
        <w:pStyle w:val="JuQuot"/>
        <w:rPr>
          <w:bCs/>
        </w:rPr>
      </w:pPr>
      <w:r>
        <w:t>„1) Po oddaleniu przez prokuratora zażalenia złożonego na podstawie art. 275-278 w</w:t>
      </w:r>
      <w:r w:rsidR="0082269C">
        <w:t> </w:t>
      </w:r>
      <w:r>
        <w:t xml:space="preserve">odniesieniu do postanowienia o umorzeniu </w:t>
      </w:r>
      <w:r w:rsidR="00A72671">
        <w:t>dochodzenia</w:t>
      </w:r>
      <w:r w:rsidR="00ED79D4">
        <w:t xml:space="preserve"> lub śledztwa</w:t>
      </w:r>
      <w:r w:rsidR="00A72671">
        <w:t xml:space="preserve"> </w:t>
      </w:r>
      <w:r>
        <w:t>[...] lub decyzji o niepociągnięciu do odpowiedzialności (</w:t>
      </w:r>
      <w:r>
        <w:rPr>
          <w:bCs/>
          <w:i/>
        </w:rPr>
        <w:t>neurmărire penală</w:t>
      </w:r>
      <w:r>
        <w:t>) [...], pokrzywdzony lub każda inna osoba, której uzasadnione interesy zostały naruszone, m</w:t>
      </w:r>
      <w:r w:rsidR="0082269C">
        <w:t>a prawo</w:t>
      </w:r>
      <w:r>
        <w:t xml:space="preserve"> w terminie dwudziestu dni od zawiadomienia o postanowieniu lub decyzji złożyć zażalenie </w:t>
      </w:r>
      <w:r w:rsidRPr="0082269C">
        <w:t>do</w:t>
      </w:r>
      <w:r w:rsidR="0082269C">
        <w:t> </w:t>
      </w:r>
      <w:r w:rsidRPr="0082269C">
        <w:t>sędziego</w:t>
      </w:r>
      <w:r>
        <w:t xml:space="preserve"> sądu</w:t>
      </w:r>
      <w:r w:rsidR="0082269C">
        <w:t xml:space="preserve"> zwykle właściwego </w:t>
      </w:r>
      <w:r>
        <w:t>do rozpoznania sprawy w pierwszej instancji.</w:t>
      </w:r>
    </w:p>
    <w:p w14:paraId="006A6979" w14:textId="77777777" w:rsidR="004136B5" w:rsidRPr="00260D9D" w:rsidRDefault="004136B5" w:rsidP="00260D9D">
      <w:pPr>
        <w:pStyle w:val="JuQuot"/>
        <w:rPr>
          <w:bCs/>
        </w:rPr>
      </w:pPr>
      <w:r>
        <w:t>[…]</w:t>
      </w:r>
    </w:p>
    <w:p w14:paraId="0D5CFCFC" w14:textId="77777777" w:rsidR="004136B5" w:rsidRPr="00260D9D" w:rsidRDefault="004136B5" w:rsidP="00260D9D">
      <w:pPr>
        <w:pStyle w:val="JuQuot"/>
        <w:rPr>
          <w:bCs/>
        </w:rPr>
      </w:pPr>
      <w:r>
        <w:t xml:space="preserve">7) Sędzia orzekający w przedmiocie zażalenia weryfikuje postanowienie lub zarządzenie prokuratora na podstawie materiałów i dowodów w aktach sprawy oraz wszelkich nowych </w:t>
      </w:r>
      <w:r w:rsidR="0082269C">
        <w:t>dokumentów, które zostały przedłożone.</w:t>
      </w:r>
    </w:p>
    <w:p w14:paraId="4362019A" w14:textId="77777777" w:rsidR="004136B5" w:rsidRPr="00260D9D" w:rsidRDefault="004136B5" w:rsidP="00260D9D">
      <w:pPr>
        <w:pStyle w:val="JuQuot"/>
        <w:rPr>
          <w:bCs/>
        </w:rPr>
      </w:pPr>
      <w:r>
        <w:t>8) Sędzia podejmuje jedną z następujących decyzji:</w:t>
      </w:r>
    </w:p>
    <w:p w14:paraId="21E43CD0" w14:textId="77777777" w:rsidR="004136B5" w:rsidRPr="00260D9D" w:rsidRDefault="004136B5" w:rsidP="00260D9D">
      <w:pPr>
        <w:pStyle w:val="JuQuot"/>
        <w:rPr>
          <w:bCs/>
        </w:rPr>
      </w:pPr>
      <w:r>
        <w:t>a) odrzuca zażalenie w drodze postanowienia jako zażalenie wniesione po terminie, niedopuszczalne lub bezzasadne i utrzymuje w mocy zaskarżon</w:t>
      </w:r>
      <w:r w:rsidR="0082269C">
        <w:t>e</w:t>
      </w:r>
      <w:r>
        <w:t xml:space="preserve"> postanowienie lub zarządzenie;</w:t>
      </w:r>
    </w:p>
    <w:p w14:paraId="4BFDBAD9" w14:textId="77777777" w:rsidR="004136B5" w:rsidRPr="00260D9D" w:rsidRDefault="004136B5" w:rsidP="00260D9D">
      <w:pPr>
        <w:pStyle w:val="JuQuot"/>
        <w:rPr>
          <w:bCs/>
        </w:rPr>
      </w:pPr>
      <w:r>
        <w:t xml:space="preserve">b) uwzględnia zażalenie w drodze postanowienia, uchyla postanowienie lub zarządzenie prokuratora i przekazuje sprawę prokuraturze w celu wszczęcia lub wznowienia </w:t>
      </w:r>
      <w:r w:rsidR="00A72671">
        <w:t>dochodzenia</w:t>
      </w:r>
      <w:r w:rsidR="00ED79D4">
        <w:t xml:space="preserve"> lub śledztwa</w:t>
      </w:r>
      <w:r>
        <w:t xml:space="preserve"> stosownie do okoliczności. Sędzia podaje powody, dla których przekazał sprawę prokuratorowi, oraz wskazuje fakty </w:t>
      </w:r>
      <w:r w:rsidRPr="0082269C">
        <w:t>i</w:t>
      </w:r>
      <w:r w:rsidR="0082269C">
        <w:t> </w:t>
      </w:r>
      <w:r w:rsidRPr="0082269C">
        <w:t>okoliczności</w:t>
      </w:r>
      <w:r>
        <w:t>, które należy zweryfikować, jak też dowody, które należy zebrać;</w:t>
      </w:r>
    </w:p>
    <w:p w14:paraId="5FF5F504" w14:textId="77777777" w:rsidR="004136B5" w:rsidRPr="00260D9D" w:rsidRDefault="004136B5" w:rsidP="00260D9D">
      <w:pPr>
        <w:pStyle w:val="JuQuot"/>
        <w:rPr>
          <w:bCs/>
        </w:rPr>
      </w:pPr>
      <w:r>
        <w:t>c) uwzględnia zażalenie w drodze postanowienia o środku tymczasowym, uchyla postanowienie lub zarządzenie prokuratora i, jeżeli materiał dowodowy zgromadzony w aktach sprawy jest wystarczający, rozpoznaje sprawę jako sąd pierwszej instancji, przy czym stosuje się odpowiednio przepisy dotyczące postępowania w pierwszej instancji oraz postępowania odwoławczego.</w:t>
      </w:r>
    </w:p>
    <w:p w14:paraId="79C580A7" w14:textId="77777777" w:rsidR="004136B5" w:rsidRPr="00260D9D" w:rsidRDefault="00597E18" w:rsidP="00260D9D">
      <w:pPr>
        <w:pStyle w:val="JuQuot"/>
        <w:rPr>
          <w:bCs/>
        </w:rPr>
      </w:pPr>
      <w:r>
        <w:t>[…]</w:t>
      </w:r>
    </w:p>
    <w:p w14:paraId="28E57D95" w14:textId="77777777" w:rsidR="004136B5" w:rsidRPr="00260D9D" w:rsidRDefault="004136B5" w:rsidP="00260D9D">
      <w:pPr>
        <w:pStyle w:val="JuQuot"/>
        <w:rPr>
          <w:bCs/>
        </w:rPr>
      </w:pPr>
      <w:r>
        <w:t>10) Decyzja wydana na podstawie ust. 8 jest ostateczna.”</w:t>
      </w:r>
    </w:p>
    <w:p w14:paraId="070F7ACC"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16</w:t>
      </w:r>
      <w:r w:rsidRPr="00260D9D">
        <w:rPr>
          <w:bCs/>
        </w:rPr>
        <w:fldChar w:fldCharType="end"/>
      </w:r>
      <w:r w:rsidR="004136B5">
        <w:t>.  W dniu 1 lutego 2014 r. w pozwanym państwie wszedł w życie nowy kodeks postępowania karnego („nowy k.p.k.”). Procedura przewidziana w</w:t>
      </w:r>
      <w:r w:rsidR="0082269C">
        <w:t> </w:t>
      </w:r>
      <w:r w:rsidR="004136B5">
        <w:t>art. 278</w:t>
      </w:r>
      <w:r w:rsidR="004136B5">
        <w:rPr>
          <w:bCs/>
          <w:vertAlign w:val="superscript"/>
        </w:rPr>
        <w:t>1</w:t>
      </w:r>
      <w:r w:rsidR="0082269C">
        <w:rPr>
          <w:bCs/>
          <w:vertAlign w:val="superscript"/>
        </w:rPr>
        <w:t xml:space="preserve"> </w:t>
      </w:r>
      <w:r w:rsidR="004136B5">
        <w:t>k.p.k. została zastąpiona nową procedurą, opisaną w art. 340 nowego k.p.k., który brzmi następująco:</w:t>
      </w:r>
    </w:p>
    <w:p w14:paraId="77E6AA64" w14:textId="77777777" w:rsidR="004136B5" w:rsidRPr="00260D9D" w:rsidRDefault="004136B5" w:rsidP="00260D9D">
      <w:pPr>
        <w:pStyle w:val="JuHArticle"/>
      </w:pPr>
      <w:r>
        <w:t>Artykuł 340 – Zażalenie na postanowienie o niepociągnięciu do odpowiedzialności lub o niep</w:t>
      </w:r>
      <w:r w:rsidR="0082269C">
        <w:t>rzedstawieniu</w:t>
      </w:r>
      <w:r>
        <w:t xml:space="preserve"> zarzutów</w:t>
      </w:r>
    </w:p>
    <w:p w14:paraId="6723A6B4" w14:textId="77777777" w:rsidR="004136B5" w:rsidRPr="00260D9D" w:rsidRDefault="004136B5" w:rsidP="00260D9D">
      <w:pPr>
        <w:pStyle w:val="JuQuot"/>
        <w:rPr>
          <w:bCs/>
        </w:rPr>
      </w:pPr>
      <w:r>
        <w:t xml:space="preserve">„(1) Każdy, kogo zażalenie na postanowienie o niepociągnięciu do odpowiedzialności </w:t>
      </w:r>
      <w:r>
        <w:rPr>
          <w:bCs/>
          <w:i/>
        </w:rPr>
        <w:t>(clasare</w:t>
      </w:r>
      <w:r>
        <w:t>)</w:t>
      </w:r>
      <w:r w:rsidR="005458EE">
        <w:t>,</w:t>
      </w:r>
      <w:r>
        <w:t xml:space="preserve"> </w:t>
      </w:r>
      <w:r w:rsidR="0082269C">
        <w:t xml:space="preserve">podjęte </w:t>
      </w:r>
      <w:r>
        <w:t>w zarządzeni</w:t>
      </w:r>
      <w:r w:rsidR="0082269C">
        <w:t>u</w:t>
      </w:r>
      <w:r>
        <w:t xml:space="preserve"> prokuratora lub ak</w:t>
      </w:r>
      <w:r w:rsidR="0082269C">
        <w:t>cie</w:t>
      </w:r>
      <w:r>
        <w:t xml:space="preserve"> oskarżenia, zostało oddalone zgodnie z art. 339 [zażalenia na czynności lub postanowienia prokuratora], może wnieść zażalenie w terminie [dwudziestu] dni od daty zawiadomienia o postanowieniu sędziego izby prejudycjalnej sądu, który zgodnie z prawem </w:t>
      </w:r>
      <w:r w:rsidR="0082269C">
        <w:t xml:space="preserve">miałby </w:t>
      </w:r>
      <w:r>
        <w:t>rozpozna</w:t>
      </w:r>
      <w:r w:rsidR="0082269C">
        <w:t>ć</w:t>
      </w:r>
      <w:r>
        <w:t xml:space="preserve"> sprawę w pierwszej instancji.”</w:t>
      </w:r>
    </w:p>
    <w:p w14:paraId="5DBF2247" w14:textId="77777777" w:rsidR="004136B5" w:rsidRPr="00260D9D" w:rsidRDefault="00911B37" w:rsidP="00260D9D">
      <w:pPr>
        <w:pStyle w:val="JuPara"/>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17</w:t>
      </w:r>
      <w:r w:rsidRPr="00260D9D">
        <w:rPr>
          <w:bCs/>
        </w:rPr>
        <w:fldChar w:fldCharType="end"/>
      </w:r>
      <w:r w:rsidR="004136B5">
        <w:t>.  W dwóch postanowieniach wydanych w 2004 i 2006 r. rumuński Sąd Konstytucyjny orzekł, że ograniczenie materiału dowodowego, który może być badany w ramach procedury przewidzianej w art. 278</w:t>
      </w:r>
      <w:r w:rsidR="004136B5">
        <w:rPr>
          <w:bCs/>
          <w:vertAlign w:val="superscript"/>
        </w:rPr>
        <w:t>1</w:t>
      </w:r>
      <w:r w:rsidR="004136B5">
        <w:t xml:space="preserve"> k.p.k., było uzasadnione szczególnym charakterem tej procedury. W szczególności </w:t>
      </w:r>
      <w:r w:rsidR="004136B5">
        <w:lastRenderedPageBreak/>
        <w:t xml:space="preserve">procedura ta (zastosowana przez skarżącego w niniejszej sprawie) nie dotyczyła </w:t>
      </w:r>
      <w:r w:rsidR="003F5C3A">
        <w:t>meritum</w:t>
      </w:r>
      <w:r w:rsidR="004136B5">
        <w:t xml:space="preserve"> sprawy karnej, a miała na celu </w:t>
      </w:r>
      <w:r w:rsidR="003F5C3A">
        <w:t xml:space="preserve">jedynie </w:t>
      </w:r>
      <w:r w:rsidR="004136B5">
        <w:t>weryfikację zgodności</w:t>
      </w:r>
      <w:r w:rsidR="003F5C3A">
        <w:t xml:space="preserve"> postanowień prokuratora </w:t>
      </w:r>
      <w:r w:rsidR="004136B5">
        <w:t>z prawem. Sąd Konstytucyjny uznał, że</w:t>
      </w:r>
      <w:r w:rsidR="003F5C3A">
        <w:t> </w:t>
      </w:r>
      <w:r w:rsidR="004136B5">
        <w:t>zgodnie z procedurą weryfikacja ta polegała na badaniu dokumentów w</w:t>
      </w:r>
      <w:r w:rsidR="003F5C3A">
        <w:t> </w:t>
      </w:r>
      <w:r w:rsidR="004136B5">
        <w:t xml:space="preserve">aktach sprawy karnej, </w:t>
      </w:r>
      <w:r w:rsidR="003F5C3A">
        <w:t xml:space="preserve">stanowiących </w:t>
      </w:r>
      <w:r w:rsidR="004136B5">
        <w:t>podstawę postanowienia prokuratora.</w:t>
      </w:r>
    </w:p>
    <w:p w14:paraId="0892E44C" w14:textId="592F62A1" w:rsidR="004136B5" w:rsidRPr="00260D9D" w:rsidRDefault="00000000" w:rsidP="00260D9D">
      <w:pPr>
        <w:pStyle w:val="JuPara"/>
      </w:pPr>
      <w:fldSimple w:instr=" SEQ level0 \*arabic ">
        <w:r w:rsidR="00107B03">
          <w:rPr>
            <w:noProof/>
          </w:rPr>
          <w:t>18</w:t>
        </w:r>
      </w:fldSimple>
      <w:r w:rsidR="004136B5">
        <w:t>.  Egzekucja grzywny administracyjnej nałożonej na podstawie art.</w:t>
      </w:r>
      <w:r w:rsidR="003F5C3A">
        <w:t> </w:t>
      </w:r>
      <w:r w:rsidR="004136B5">
        <w:t>18</w:t>
      </w:r>
      <w:r w:rsidR="004136B5">
        <w:rPr>
          <w:vertAlign w:val="superscript"/>
        </w:rPr>
        <w:t>1</w:t>
      </w:r>
      <w:r w:rsidR="004136B5">
        <w:t> k.k. została przeprowadzona zgodnie z procedurą przewidzianą w</w:t>
      </w:r>
      <w:r w:rsidR="003F5C3A">
        <w:t> </w:t>
      </w:r>
      <w:r w:rsidR="004136B5">
        <w:t>rozporządzeniu rządu nr</w:t>
      </w:r>
      <w:r w:rsidR="00FB16D0">
        <w:t>.</w:t>
      </w:r>
      <w:r w:rsidR="004136B5">
        <w:t xml:space="preserve"> 2/2001, które w tamtym czasie brzmiało następująco:</w:t>
      </w:r>
    </w:p>
    <w:p w14:paraId="064CFDAC" w14:textId="77777777" w:rsidR="004136B5" w:rsidRPr="00260D9D" w:rsidRDefault="004136B5" w:rsidP="00260D9D">
      <w:pPr>
        <w:pStyle w:val="JuHArticle"/>
      </w:pPr>
      <w:r>
        <w:t>Artykuł 39</w:t>
      </w:r>
    </w:p>
    <w:p w14:paraId="52AC5C97" w14:textId="77777777" w:rsidR="004136B5" w:rsidRPr="00260D9D" w:rsidRDefault="004136B5" w:rsidP="00260D9D">
      <w:pPr>
        <w:pStyle w:val="JuQuot"/>
        <w:rPr>
          <w:bCs/>
        </w:rPr>
      </w:pPr>
      <w:r>
        <w:t>„Egzekucj</w:t>
      </w:r>
      <w:r w:rsidR="003F5C3A">
        <w:t>i</w:t>
      </w:r>
      <w:r>
        <w:t xml:space="preserve"> kary grzywny dokonuje:</w:t>
      </w:r>
    </w:p>
    <w:p w14:paraId="3968F408" w14:textId="77777777" w:rsidR="004136B5" w:rsidRPr="00260D9D" w:rsidRDefault="004136B5" w:rsidP="00260D9D">
      <w:pPr>
        <w:pStyle w:val="JuQuot"/>
        <w:rPr>
          <w:bCs/>
        </w:rPr>
      </w:pPr>
      <w:r>
        <w:t>a) organ, do którego należy urzędnik administracyjny, w każdym przypadku gdy odwołanie od decyzji administracyjnej dotyczącej naruszenia nie zostało wniesione w</w:t>
      </w:r>
      <w:r w:rsidR="003F5C3A">
        <w:t> prawnie</w:t>
      </w:r>
      <w:r>
        <w:t xml:space="preserve"> przewidzianym </w:t>
      </w:r>
      <w:r w:rsidR="003F5C3A">
        <w:t>terminie</w:t>
      </w:r>
      <w:r>
        <w:t>;</w:t>
      </w:r>
    </w:p>
    <w:p w14:paraId="0A66B552" w14:textId="77777777" w:rsidR="004136B5" w:rsidRPr="00260D9D" w:rsidRDefault="00E96558" w:rsidP="00260D9D">
      <w:pPr>
        <w:pStyle w:val="JuQuot"/>
        <w:rPr>
          <w:bCs/>
        </w:rPr>
      </w:pPr>
      <w:r>
        <w:t xml:space="preserve"> (b) sąd we wszystkich innych przypadkach.</w:t>
      </w:r>
      <w:r w:rsidR="003F5C3A">
        <w:t>”</w:t>
      </w:r>
    </w:p>
    <w:p w14:paraId="2146B92C" w14:textId="77777777" w:rsidR="004136B5" w:rsidRPr="00260D9D" w:rsidRDefault="004136B5" w:rsidP="00260D9D">
      <w:pPr>
        <w:pStyle w:val="JuHArticle"/>
        <w:rPr>
          <w:vertAlign w:val="superscript"/>
        </w:rPr>
      </w:pPr>
      <w:r>
        <w:t>Artykuł 39</w:t>
      </w:r>
      <w:r w:rsidRPr="003F5C3A">
        <w:rPr>
          <w:vertAlign w:val="superscript"/>
        </w:rPr>
        <w:t>1</w:t>
      </w:r>
    </w:p>
    <w:p w14:paraId="313A912C" w14:textId="193D5D20" w:rsidR="004136B5" w:rsidRPr="00260D9D" w:rsidRDefault="004136B5" w:rsidP="00260D9D">
      <w:pPr>
        <w:pStyle w:val="JuQuot"/>
        <w:rPr>
          <w:bCs/>
        </w:rPr>
      </w:pPr>
      <w:r>
        <w:t xml:space="preserve">„1) Jeżeli sprawca nie uiścił grzywny w terminie [trzydziestu] dni od dnia, w którym grzywna [tj. postanowienie o jej nałożeniu] stała się ostateczna, i nie ma możliwości jej wyegzekwowania, zawiadamia on sąd, na którego obszarze właściwości terytorialnej popełniono przestępstwo, w celu uzyskania zamiany grzywny na karę </w:t>
      </w:r>
      <w:r w:rsidR="009A1BFC">
        <w:t xml:space="preserve">prac społecznych </w:t>
      </w:r>
      <w:r>
        <w:t>z uwzględnieniem, w stosownych przypadkach, części grzywny, która została uiszczona.</w:t>
      </w:r>
    </w:p>
    <w:p w14:paraId="2EE003B3" w14:textId="0B637875" w:rsidR="004136B5" w:rsidRPr="00260D9D" w:rsidRDefault="004136B5" w:rsidP="00260D9D">
      <w:pPr>
        <w:pStyle w:val="JuQuot"/>
        <w:rPr>
          <w:bCs/>
        </w:rPr>
      </w:pPr>
      <w:r>
        <w:t xml:space="preserve">2) Jeżeli sprawca, wezwany przez sąd, nie </w:t>
      </w:r>
      <w:r w:rsidR="003F5C3A">
        <w:t>uiści</w:t>
      </w:r>
      <w:r>
        <w:t>ł grzywny w terminie określonym w</w:t>
      </w:r>
      <w:r w:rsidR="003F5C3A">
        <w:t> </w:t>
      </w:r>
      <w:r>
        <w:t xml:space="preserve">ust. 1, sąd zamienia grzywnę na karę </w:t>
      </w:r>
      <w:r w:rsidR="009A1BFC">
        <w:t xml:space="preserve">prac społecznych </w:t>
      </w:r>
      <w:r>
        <w:t xml:space="preserve">w maksymalnym wymiarze [pięćdziesięciu] godzin, a w przypadku nieletnich w wieku powyżej 16 lat </w:t>
      </w:r>
      <w:r w:rsidR="003F5C3A">
        <w:t>–</w:t>
      </w:r>
      <w:r>
        <w:t xml:space="preserve"> w maksymalnym wymiarze [dwudziestu pięciu] godzin.</w:t>
      </w:r>
    </w:p>
    <w:p w14:paraId="62FAC523" w14:textId="48717CB5" w:rsidR="00597E18" w:rsidRPr="00260D9D" w:rsidRDefault="004136B5" w:rsidP="00260D9D">
      <w:pPr>
        <w:pStyle w:val="JuQuot"/>
        <w:rPr>
          <w:bCs/>
        </w:rPr>
      </w:pPr>
      <w:r>
        <w:t xml:space="preserve">3) Od postanowienia o </w:t>
      </w:r>
      <w:r w:rsidR="009A1BFC">
        <w:t xml:space="preserve">pracach społecznych </w:t>
      </w:r>
      <w:r>
        <w:t>przysługuje odwołanie.</w:t>
      </w:r>
    </w:p>
    <w:p w14:paraId="4969CB1F" w14:textId="77777777" w:rsidR="00597E18" w:rsidRPr="00260D9D" w:rsidRDefault="004136B5" w:rsidP="00260D9D">
      <w:pPr>
        <w:pStyle w:val="JuQuot"/>
        <w:rPr>
          <w:bCs/>
        </w:rPr>
      </w:pPr>
      <w:r>
        <w:t xml:space="preserve">4) Służba cywilna przy sądzie rejonowym, na którego obszarze właściwości terytorialnej doszło do naruszenia przepisów, jest odpowiedzialna za wykonanie takich orzeczeń we współpracy z wydziałami </w:t>
      </w:r>
      <w:r w:rsidR="003F5C3A">
        <w:t xml:space="preserve">specjalnymi </w:t>
      </w:r>
      <w:r>
        <w:t>lokalnych władz publicznych.”</w:t>
      </w:r>
    </w:p>
    <w:bookmarkStart w:id="14" w:name="DL_Anghel"/>
    <w:p w14:paraId="7AA24451"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19</w:t>
      </w:r>
      <w:r w:rsidRPr="00260D9D">
        <w:rPr>
          <w:bCs/>
        </w:rPr>
        <w:fldChar w:fldCharType="end"/>
      </w:r>
      <w:bookmarkEnd w:id="14"/>
      <w:r w:rsidR="004136B5">
        <w:t xml:space="preserve">.  W okresie, w którym doszło do zdarzeń będących przedmiotem niniejszej sprawy, sądy nie dysponowały </w:t>
      </w:r>
      <w:r w:rsidR="003F5C3A">
        <w:t>zdolnością</w:t>
      </w:r>
      <w:r w:rsidR="004136B5">
        <w:t xml:space="preserve"> zamiany niezapłaconej grzywny administracyjnej na środek pozbawienia wolności. Opcję tą, która była dostępna w przeszłości, usunięto z ustawy w 2003 r. (aby uzyskać bardziej szczegółowe informacje, zob. </w:t>
      </w:r>
      <w:r w:rsidR="004136B5">
        <w:rPr>
          <w:bCs/>
          <w:i/>
        </w:rPr>
        <w:t>Anghel przeciwko Rumunii</w:t>
      </w:r>
      <w:r w:rsidR="004136B5">
        <w:t>, skarga nr</w:t>
      </w:r>
      <w:r w:rsidR="003F5C3A">
        <w:t> </w:t>
      </w:r>
      <w:r w:rsidR="004136B5">
        <w:t xml:space="preserve">28183/03, §§ 39 i 52, 4 października 2007 r., oraz </w:t>
      </w:r>
      <w:r w:rsidR="004136B5">
        <w:rPr>
          <w:bCs/>
          <w:i/>
        </w:rPr>
        <w:t>Nicoleta Gheorghe przeciwko Rumunii</w:t>
      </w:r>
      <w:r w:rsidR="004136B5">
        <w:t>, skarga nr 23470/05, §§ 16 i 31, 3 kwietnia 2012 r.).</w:t>
      </w:r>
    </w:p>
    <w:bookmarkStart w:id="15" w:name="DL_criminal_record"/>
    <w:p w14:paraId="3E23D262"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20</w:t>
      </w:r>
      <w:r w:rsidRPr="00260D9D">
        <w:rPr>
          <w:bCs/>
        </w:rPr>
        <w:fldChar w:fldCharType="end"/>
      </w:r>
      <w:bookmarkEnd w:id="15"/>
      <w:r w:rsidR="004136B5">
        <w:t>.  </w:t>
      </w:r>
      <w:bookmarkStart w:id="16" w:name="_Hlk56775355"/>
      <w:r w:rsidR="004136B5">
        <w:t>W okresie istotnym dla sprawy ustawa o rejestrze karnym (nr</w:t>
      </w:r>
      <w:r w:rsidR="003F5C3A">
        <w:t> </w:t>
      </w:r>
      <w:r w:rsidR="004136B5">
        <w:t>290/2004) zawierała następujące przepisy:</w:t>
      </w:r>
    </w:p>
    <w:p w14:paraId="7F4AD649" w14:textId="77777777" w:rsidR="004136B5" w:rsidRPr="00260D9D" w:rsidRDefault="004136B5" w:rsidP="00260D9D">
      <w:pPr>
        <w:pStyle w:val="JuHArticle"/>
      </w:pPr>
      <w:r>
        <w:t>Artykuł 9</w:t>
      </w:r>
    </w:p>
    <w:p w14:paraId="750BA2CE" w14:textId="77777777" w:rsidR="004136B5" w:rsidRPr="00260D9D" w:rsidRDefault="004136B5" w:rsidP="00260D9D">
      <w:pPr>
        <w:pStyle w:val="JuQuot"/>
      </w:pPr>
      <w:r>
        <w:t>„Wpis w rejestrze karnym danej osoby zawiera następujące informacje:</w:t>
      </w:r>
    </w:p>
    <w:p w14:paraId="5A71B571" w14:textId="77777777" w:rsidR="004136B5" w:rsidRPr="00260D9D" w:rsidRDefault="004136B5" w:rsidP="00260D9D">
      <w:pPr>
        <w:pStyle w:val="JuQuot"/>
      </w:pPr>
      <w:r>
        <w:lastRenderedPageBreak/>
        <w:t>a) sankcje karne [...] nałożone prawomocnym orzeczeniem sądu;</w:t>
      </w:r>
    </w:p>
    <w:p w14:paraId="574A8C96" w14:textId="77777777" w:rsidR="004136B5" w:rsidRPr="00260D9D" w:rsidRDefault="004136B5" w:rsidP="00260D9D">
      <w:pPr>
        <w:pStyle w:val="JuQuot"/>
      </w:pPr>
      <w:r>
        <w:t>b) [...] grzywny administracyjne nałożone na mocy przepisów kodeksu karnego, [...]”</w:t>
      </w:r>
    </w:p>
    <w:p w14:paraId="62003CD8" w14:textId="77777777" w:rsidR="004136B5" w:rsidRPr="00260D9D" w:rsidRDefault="004136B5" w:rsidP="00260D9D">
      <w:pPr>
        <w:pStyle w:val="JuHArticle"/>
      </w:pPr>
      <w:r>
        <w:t>Artykuł 17</w:t>
      </w:r>
    </w:p>
    <w:p w14:paraId="3E2B08F4" w14:textId="77777777" w:rsidR="004136B5" w:rsidRPr="00260D9D" w:rsidRDefault="004136B5" w:rsidP="00260D9D">
      <w:pPr>
        <w:pStyle w:val="JuQuot"/>
      </w:pPr>
      <w:r>
        <w:t xml:space="preserve">„Zaświadczenie z rejestru karnego zawiera sankcje karne nałożone prawomocnymi </w:t>
      </w:r>
      <w:r w:rsidR="003F5C3A">
        <w:t>orzeczeniam</w:t>
      </w:r>
      <w:r>
        <w:t>i sądu.”</w:t>
      </w:r>
    </w:p>
    <w:p w14:paraId="1403545B" w14:textId="77777777" w:rsidR="004136B5" w:rsidRPr="00260D9D" w:rsidRDefault="004136B5" w:rsidP="00260D9D">
      <w:pPr>
        <w:pStyle w:val="JuHArticle"/>
      </w:pPr>
      <w:r>
        <w:t>Artykuł 21</w:t>
      </w:r>
    </w:p>
    <w:p w14:paraId="5EC7E71F" w14:textId="77777777" w:rsidR="004136B5" w:rsidRPr="00260D9D" w:rsidRDefault="004136B5" w:rsidP="00260D9D">
      <w:pPr>
        <w:pStyle w:val="JuQuot"/>
      </w:pPr>
      <w:r>
        <w:t>„2) Gdy kopia wpisu do rejestru karnego zostaje przesłana do organu sądowego, dołącza się również informacje o sankcjach administracyjnych nałożonych na mocy przepisów kodeksu karnego.”</w:t>
      </w:r>
    </w:p>
    <w:p w14:paraId="35FA75B7" w14:textId="77777777" w:rsidR="004136B5" w:rsidRPr="00260D9D" w:rsidRDefault="004136B5" w:rsidP="00260D9D">
      <w:pPr>
        <w:pStyle w:val="JuHArticle"/>
      </w:pPr>
      <w:r>
        <w:t>Artykuł 27</w:t>
      </w:r>
    </w:p>
    <w:p w14:paraId="6482C512" w14:textId="77777777" w:rsidR="004136B5" w:rsidRPr="00260D9D" w:rsidRDefault="004136B5" w:rsidP="00260D9D">
      <w:pPr>
        <w:pStyle w:val="JuQuot"/>
      </w:pPr>
      <w:r>
        <w:t>„1) Każdy ma prawo uzyskać zaświadczenie z rejestru karnego dotyczące jego osoby.”</w:t>
      </w:r>
    </w:p>
    <w:bookmarkEnd w:id="16"/>
    <w:p w14:paraId="07CF2A58" w14:textId="77777777" w:rsidR="004136B5" w:rsidRPr="00260D9D" w:rsidRDefault="004136B5" w:rsidP="00260D9D">
      <w:pPr>
        <w:pStyle w:val="JuHHead"/>
        <w:numPr>
          <w:ilvl w:val="0"/>
          <w:numId w:val="1"/>
        </w:numPr>
        <w:jc w:val="left"/>
        <w:rPr>
          <w:bCs w:val="0"/>
        </w:rPr>
      </w:pPr>
      <w:r>
        <w:t>PRAWO</w:t>
      </w:r>
    </w:p>
    <w:p w14:paraId="31982D8A" w14:textId="77777777" w:rsidR="004136B5" w:rsidRPr="00260D9D" w:rsidRDefault="004136B5" w:rsidP="00260D9D">
      <w:pPr>
        <w:pStyle w:val="JuHIRoman"/>
        <w:tabs>
          <w:tab w:val="clear" w:pos="454"/>
          <w:tab w:val="clear" w:pos="567"/>
          <w:tab w:val="clear" w:pos="680"/>
        </w:tabs>
        <w:ind w:left="357" w:hanging="357"/>
        <w:jc w:val="left"/>
      </w:pPr>
      <w:r>
        <w:t>ZARZUCANE NARUSZENIE ART. 6 KONWENCJI</w:t>
      </w:r>
    </w:p>
    <w:p w14:paraId="3617CA1F" w14:textId="77777777" w:rsidR="004136B5" w:rsidRPr="00260D9D" w:rsidRDefault="00000000" w:rsidP="00260D9D">
      <w:pPr>
        <w:pStyle w:val="JuPara"/>
      </w:pPr>
      <w:fldSimple w:instr=" SEQ level0 \*arabic ">
        <w:r w:rsidR="00107B03">
          <w:rPr>
            <w:noProof/>
          </w:rPr>
          <w:t>21</w:t>
        </w:r>
      </w:fldSimple>
      <w:r w:rsidR="004136B5">
        <w:t xml:space="preserve">.  Skarżący zarzucił, że postępowanie </w:t>
      </w:r>
      <w:r w:rsidR="00A72671">
        <w:t xml:space="preserve">w sprawie karnej </w:t>
      </w:r>
      <w:r w:rsidR="004136B5">
        <w:t xml:space="preserve">przeciwko </w:t>
      </w:r>
      <w:r w:rsidR="003F5C3A">
        <w:t xml:space="preserve">niemu </w:t>
      </w:r>
      <w:r w:rsidR="004136B5">
        <w:t xml:space="preserve">nie było </w:t>
      </w:r>
      <w:r w:rsidR="00A72671">
        <w:t>rzetelne</w:t>
      </w:r>
      <w:r w:rsidR="004136B5">
        <w:t>, sprzecznie z wymogami artykułu 6 ust. 1 i ust. 3 lit.</w:t>
      </w:r>
      <w:r w:rsidR="003F5C3A">
        <w:t> </w:t>
      </w:r>
      <w:r w:rsidR="004136B5">
        <w:t xml:space="preserve">d) Konwencji, które </w:t>
      </w:r>
      <w:r w:rsidR="003F5C3A">
        <w:t xml:space="preserve">to przepisy </w:t>
      </w:r>
      <w:r w:rsidR="004136B5">
        <w:t>brzmią następująco:</w:t>
      </w:r>
    </w:p>
    <w:p w14:paraId="49B1C993" w14:textId="77777777" w:rsidR="004136B5" w:rsidRPr="00260D9D" w:rsidRDefault="004136B5" w:rsidP="00260D9D">
      <w:pPr>
        <w:pStyle w:val="JuQuot"/>
      </w:pPr>
      <w:r>
        <w:t>„1.  „Każdy ma prawo do sprawiedliwego […] rozpatrzenia jego sprawy […] przez […] sąd […] przy rozstrzyganiu o […] zasadności każdego oskarżenia w wytoczonej przeciwko niemu sprawie karnej</w:t>
      </w:r>
      <w:r w:rsidR="003F5C3A">
        <w:t>.</w:t>
      </w:r>
    </w:p>
    <w:p w14:paraId="448EDCBA" w14:textId="77777777" w:rsidR="004136B5" w:rsidRPr="00260D9D" w:rsidRDefault="004136B5" w:rsidP="00260D9D">
      <w:pPr>
        <w:pStyle w:val="JuQuot"/>
      </w:pPr>
      <w:r>
        <w:t>[…]</w:t>
      </w:r>
    </w:p>
    <w:p w14:paraId="37B69A9F" w14:textId="77777777" w:rsidR="004136B5" w:rsidRPr="00260D9D" w:rsidRDefault="004136B5" w:rsidP="00260D9D">
      <w:pPr>
        <w:pStyle w:val="JuQuot"/>
      </w:pPr>
      <w:r>
        <w:t>3.  Każdy oskarżony o popełnienie czynu zagrożonego karą ma co najmniej prawo do:</w:t>
      </w:r>
    </w:p>
    <w:p w14:paraId="73569170" w14:textId="77777777" w:rsidR="004136B5" w:rsidRPr="00260D9D" w:rsidRDefault="004136B5" w:rsidP="00260D9D">
      <w:pPr>
        <w:pStyle w:val="JuQuot"/>
      </w:pPr>
      <w:r>
        <w:t>[…]</w:t>
      </w:r>
    </w:p>
    <w:p w14:paraId="5B16610F" w14:textId="77777777" w:rsidR="004136B5" w:rsidRPr="00260D9D" w:rsidRDefault="004136B5" w:rsidP="00260D9D">
      <w:pPr>
        <w:pStyle w:val="JuQuot"/>
      </w:pPr>
      <w:r>
        <w:t>d) przesłuchania lub spowodowania przesłuchania świadków oskarżenia oraz żądania obecności i</w:t>
      </w:r>
      <w:r w:rsidR="003F5C3A">
        <w:t xml:space="preserve"> </w:t>
      </w:r>
      <w:r>
        <w:t>przesłuchania świadków obrony na takich samych warunkach jak świadków oskarżenia;</w:t>
      </w:r>
    </w:p>
    <w:p w14:paraId="04966188" w14:textId="77777777" w:rsidR="004136B5" w:rsidRPr="00260D9D" w:rsidRDefault="004136B5" w:rsidP="00260D9D">
      <w:pPr>
        <w:pStyle w:val="JuQuot"/>
        <w:rPr>
          <w:sz w:val="17"/>
          <w:szCs w:val="17"/>
        </w:rPr>
      </w:pPr>
      <w:r>
        <w:t>[...]”</w:t>
      </w:r>
    </w:p>
    <w:p w14:paraId="18285329" w14:textId="77777777" w:rsidR="004136B5" w:rsidRPr="00260D9D" w:rsidRDefault="004136B5" w:rsidP="00260D9D">
      <w:pPr>
        <w:pStyle w:val="JuHA"/>
        <w:numPr>
          <w:ilvl w:val="2"/>
          <w:numId w:val="1"/>
        </w:numPr>
        <w:jc w:val="left"/>
      </w:pPr>
      <w:r>
        <w:t>Dopuszczalność</w:t>
      </w:r>
    </w:p>
    <w:p w14:paraId="5E0AFA93" w14:textId="77777777" w:rsidR="004136B5" w:rsidRPr="00260D9D" w:rsidRDefault="004136B5" w:rsidP="00260D9D">
      <w:pPr>
        <w:pStyle w:val="JuH1"/>
        <w:ind w:left="731" w:hanging="300"/>
        <w:jc w:val="left"/>
        <w:rPr>
          <w:i w:val="0"/>
          <w:iCs w:val="0"/>
        </w:rPr>
      </w:pPr>
      <w:r w:rsidRPr="00294EA3">
        <w:rPr>
          <w:iCs w:val="0"/>
        </w:rPr>
        <w:t>Właściwość rzeczowa</w:t>
      </w:r>
      <w:r>
        <w:rPr>
          <w:i w:val="0"/>
          <w:iCs w:val="0"/>
        </w:rPr>
        <w:t xml:space="preserve"> (</w:t>
      </w:r>
      <w:r>
        <w:t>ratione materiae) Trybunału</w:t>
      </w:r>
    </w:p>
    <w:p w14:paraId="663BB975" w14:textId="77777777" w:rsidR="004136B5" w:rsidRPr="00260D9D" w:rsidRDefault="004136B5" w:rsidP="00260D9D">
      <w:pPr>
        <w:pStyle w:val="JuHa0"/>
        <w:ind w:left="975" w:hanging="340"/>
        <w:jc w:val="left"/>
      </w:pPr>
      <w:r>
        <w:t>Stanowiska stron</w:t>
      </w:r>
    </w:p>
    <w:p w14:paraId="1C46B877" w14:textId="77777777" w:rsidR="00597E18" w:rsidRPr="00260D9D" w:rsidRDefault="00000000" w:rsidP="00260D9D">
      <w:pPr>
        <w:pStyle w:val="JuPara"/>
      </w:pPr>
      <w:fldSimple w:instr=" SEQ level0 \*arabic ">
        <w:r w:rsidR="00107B03">
          <w:rPr>
            <w:noProof/>
          </w:rPr>
          <w:t>22</w:t>
        </w:r>
      </w:fldSimple>
      <w:r w:rsidR="004136B5">
        <w:t xml:space="preserve">.  Rząd argumentował, że postępowanie krajowe, które doprowadziło do wydania </w:t>
      </w:r>
      <w:r w:rsidR="003F5C3A">
        <w:t>ostatecznego postanowienia</w:t>
      </w:r>
      <w:r w:rsidR="004136B5">
        <w:t xml:space="preserve"> z dnia 23 sierpnia 2011 r., nie było postępowaniem </w:t>
      </w:r>
      <w:r w:rsidR="00486AF6">
        <w:t>w sprawie karnej</w:t>
      </w:r>
      <w:r w:rsidR="004136B5">
        <w:t xml:space="preserve"> w rozumieniu art. 6 Konwencji. </w:t>
      </w:r>
      <w:r w:rsidR="00486AF6">
        <w:t>Według niego</w:t>
      </w:r>
      <w:r w:rsidR="004136B5">
        <w:t xml:space="preserve"> skarga była więc niezgodna </w:t>
      </w:r>
      <w:r w:rsidR="004136B5">
        <w:rPr>
          <w:i/>
        </w:rPr>
        <w:t>ratione materiae</w:t>
      </w:r>
      <w:r w:rsidR="004136B5">
        <w:t xml:space="preserve"> z</w:t>
      </w:r>
      <w:r w:rsidR="00486AF6">
        <w:t xml:space="preserve"> </w:t>
      </w:r>
      <w:r w:rsidR="004136B5">
        <w:t>wymogami Ko</w:t>
      </w:r>
      <w:r w:rsidR="00486AF6">
        <w:t>nw</w:t>
      </w:r>
      <w:r w:rsidR="004136B5">
        <w:t>encji.</w:t>
      </w:r>
    </w:p>
    <w:p w14:paraId="601F637A" w14:textId="77777777" w:rsidR="004136B5" w:rsidRPr="00260D9D" w:rsidRDefault="00000000" w:rsidP="00260D9D">
      <w:pPr>
        <w:pStyle w:val="JuPara"/>
      </w:pPr>
      <w:fldSimple w:instr=" SEQ level0 \*arabic ">
        <w:r w:rsidR="00107B03">
          <w:rPr>
            <w:noProof/>
          </w:rPr>
          <w:t>23</w:t>
        </w:r>
      </w:fldSimple>
      <w:r w:rsidR="004136B5">
        <w:t>.  Skarżący nie ustosunkował się do tej kwestii.</w:t>
      </w:r>
    </w:p>
    <w:p w14:paraId="2F382CA4" w14:textId="77777777" w:rsidR="004136B5" w:rsidRPr="00260D9D" w:rsidRDefault="004136B5" w:rsidP="00260D9D">
      <w:pPr>
        <w:pStyle w:val="JuHa0"/>
        <w:ind w:left="975" w:hanging="340"/>
        <w:jc w:val="left"/>
      </w:pPr>
      <w:r>
        <w:t>Ocena Trybunału</w:t>
      </w:r>
    </w:p>
    <w:p w14:paraId="191569F2" w14:textId="77777777" w:rsidR="004136B5" w:rsidRPr="00260D9D" w:rsidRDefault="004136B5" w:rsidP="00260D9D">
      <w:pPr>
        <w:pStyle w:val="JuHi"/>
        <w:tabs>
          <w:tab w:val="clear" w:pos="1077"/>
          <w:tab w:val="clear" w:pos="1134"/>
          <w:tab w:val="clear" w:pos="1191"/>
          <w:tab w:val="clear" w:pos="1247"/>
        </w:tabs>
        <w:ind w:left="1191" w:hanging="358"/>
        <w:jc w:val="left"/>
      </w:pPr>
      <w:r>
        <w:t>Ogólne zasady</w:t>
      </w:r>
    </w:p>
    <w:p w14:paraId="658E1EA3" w14:textId="77777777" w:rsidR="00597E18" w:rsidRPr="00260D9D" w:rsidRDefault="00000000" w:rsidP="00260D9D">
      <w:pPr>
        <w:pStyle w:val="JuPara"/>
        <w:rPr>
          <w:bCs/>
        </w:rPr>
      </w:pPr>
      <w:fldSimple w:instr=" SEQ level0 \*arabic ">
        <w:r w:rsidR="00107B03">
          <w:rPr>
            <w:noProof/>
          </w:rPr>
          <w:t>24</w:t>
        </w:r>
      </w:fldSimple>
      <w:r w:rsidR="00597E18">
        <w:t xml:space="preserve">.  Pojęcie „oskarżenia w sprawie karnej” w art. 6 ust. 1 jest pojęciem autonomicznym (zob. </w:t>
      </w:r>
      <w:r w:rsidR="00597E18">
        <w:rPr>
          <w:bCs/>
          <w:i/>
          <w:iCs/>
        </w:rPr>
        <w:t>Ramos Nunes de Carvalho e Sá przeciwko Portugalii</w:t>
      </w:r>
      <w:r w:rsidR="00597E18">
        <w:t xml:space="preserve"> [WI], skarga nr 55391/13 i dwie pozostałe, § 122, 6 listopada 2018 r.). W</w:t>
      </w:r>
      <w:r w:rsidR="00C809C0">
        <w:t> </w:t>
      </w:r>
      <w:r w:rsidR="00597E18">
        <w:t>utrwalonym orzecznictwie Trybunału określone zostały trzy kryteria powszechnie zwane „kryteriami Eng</w:t>
      </w:r>
      <w:r w:rsidR="00BB28E6">
        <w:t>e</w:t>
      </w:r>
      <w:r w:rsidR="00597E18">
        <w:t>la”, które należy zastosować przy ustalaniu, czy doszło do „oskarżenia</w:t>
      </w:r>
      <w:r w:rsidR="00C846C7">
        <w:t xml:space="preserve"> w sprawie karnej</w:t>
      </w:r>
      <w:r w:rsidR="00597E18">
        <w:t xml:space="preserve">” (zob. </w:t>
      </w:r>
      <w:r w:rsidR="00597E18">
        <w:rPr>
          <w:bCs/>
          <w:i/>
        </w:rPr>
        <w:t xml:space="preserve">Engel i Inni przeciwko </w:t>
      </w:r>
      <w:r w:rsidR="00C846C7">
        <w:rPr>
          <w:bCs/>
          <w:i/>
        </w:rPr>
        <w:t>Holandii</w:t>
      </w:r>
      <w:r w:rsidR="00597E18">
        <w:t>, 8 czerwca 1976 r., § 82, seria A nr</w:t>
      </w:r>
      <w:r w:rsidR="00C846C7">
        <w:t xml:space="preserve"> </w:t>
      </w:r>
      <w:r w:rsidR="00597E18">
        <w:t xml:space="preserve">22). Pierwszym kryterium jest klasyfikacja prawna </w:t>
      </w:r>
      <w:r w:rsidR="006B2B9A">
        <w:t>czynu</w:t>
      </w:r>
      <w:r w:rsidR="00C846C7">
        <w:t xml:space="preserve"> </w:t>
      </w:r>
      <w:r w:rsidR="00597E18">
        <w:t>w prawie krajowym, drugim jest charakter</w:t>
      </w:r>
      <w:r w:rsidR="006B2B9A">
        <w:t xml:space="preserve"> czynu</w:t>
      </w:r>
      <w:r w:rsidR="00597E18">
        <w:t>, a trzecim stopień surowości kary grożącej danej osobie. Kryterium drugie i trzecie mają charakter alternatywny, a</w:t>
      </w:r>
      <w:r w:rsidR="006B2B9A">
        <w:t xml:space="preserve"> </w:t>
      </w:r>
      <w:r w:rsidR="00597E18">
        <w:t>niekoniecznie kumulatywny. Nie wyklucza to jednak podejścia kumulatywnego, w sytuacji gdy odrębna analiza każdego z kryteriów nie pozwala wyciągn</w:t>
      </w:r>
      <w:r w:rsidR="006B2B9A">
        <w:t>ąć</w:t>
      </w:r>
      <w:r w:rsidR="00597E18">
        <w:t xml:space="preserve"> jasnego wniosku co do istnienia oskarżenia</w:t>
      </w:r>
      <w:r w:rsidR="00C846C7">
        <w:t xml:space="preserve"> w sprawie karnej</w:t>
      </w:r>
      <w:r w:rsidR="00597E18">
        <w:t xml:space="preserve"> (zob. </w:t>
      </w:r>
      <w:r w:rsidR="006B2B9A">
        <w:t>m.in.</w:t>
      </w:r>
      <w:r w:rsidR="00597E18">
        <w:t xml:space="preserve"> </w:t>
      </w:r>
      <w:r w:rsidR="00597E18">
        <w:rPr>
          <w:bCs/>
          <w:i/>
        </w:rPr>
        <w:t xml:space="preserve">Jussila przeciwko Finlandii </w:t>
      </w:r>
      <w:r w:rsidR="00597E18">
        <w:t>[WI], skarga nr 73053/01, § 30</w:t>
      </w:r>
      <w:r w:rsidR="00597E18">
        <w:noBreakHyphen/>
        <w:t>31, ETPCz 2006</w:t>
      </w:r>
      <w:r w:rsidR="00597E18">
        <w:noBreakHyphen/>
        <w:t xml:space="preserve">XIV oraz </w:t>
      </w:r>
      <w:r w:rsidR="00597E18">
        <w:rPr>
          <w:bCs/>
          <w:i/>
        </w:rPr>
        <w:t xml:space="preserve">Ezeh i Connors przeciwko Zjednoczonemu Królestwu </w:t>
      </w:r>
      <w:r w:rsidR="00597E18">
        <w:t>[WI], skargi nr 39665/98 i 40086/98, § 82, ETPCz 2003</w:t>
      </w:r>
      <w:r w:rsidR="00597E18">
        <w:noBreakHyphen/>
        <w:t xml:space="preserve">X). Na potrzeby zastosowania karnego aspektu art. 6 Konwencji nie jest rozstrzygający sam fakt, że dane przestępstwo nie jest zagrożone karą pozbawienia wolności, ponieważ, jak Trybunał wielokrotnie podkreślał, względny brak surowości kary nie może </w:t>
      </w:r>
      <w:r w:rsidR="006B2B9A">
        <w:t>pozbawić przestępstwa jego</w:t>
      </w:r>
      <w:r w:rsidR="00597E18">
        <w:t xml:space="preserve"> nieodłącznie k</w:t>
      </w:r>
      <w:r w:rsidR="006B2B9A">
        <w:t>arnego</w:t>
      </w:r>
      <w:r w:rsidR="00597E18">
        <w:t xml:space="preserve"> charakteru (zob. </w:t>
      </w:r>
      <w:r w:rsidR="00597E18">
        <w:rPr>
          <w:bCs/>
          <w:i/>
        </w:rPr>
        <w:t>Ramos Nunes de Carvalho e Sá</w:t>
      </w:r>
      <w:r w:rsidR="00597E18">
        <w:t>, cyt. powyżej, § 122).</w:t>
      </w:r>
    </w:p>
    <w:p w14:paraId="183A361F" w14:textId="77777777" w:rsidR="004136B5" w:rsidRPr="00260D9D" w:rsidRDefault="004136B5" w:rsidP="00260D9D">
      <w:pPr>
        <w:pStyle w:val="JuHi"/>
        <w:tabs>
          <w:tab w:val="clear" w:pos="1077"/>
          <w:tab w:val="clear" w:pos="1134"/>
          <w:tab w:val="clear" w:pos="1191"/>
          <w:tab w:val="clear" w:pos="1247"/>
        </w:tabs>
        <w:ind w:left="1191" w:hanging="358"/>
        <w:jc w:val="left"/>
      </w:pPr>
      <w:r>
        <w:t xml:space="preserve">Zastosowanie tych zasad do </w:t>
      </w:r>
      <w:r w:rsidR="006B2B9A">
        <w:t>faktów</w:t>
      </w:r>
      <w:r>
        <w:t xml:space="preserve"> rozpatrywanej sprawy</w:t>
      </w:r>
    </w:p>
    <w:p w14:paraId="0C3B141D"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25</w:t>
      </w:r>
      <w:r w:rsidRPr="00260D9D">
        <w:rPr>
          <w:bCs/>
        </w:rPr>
        <w:fldChar w:fldCharType="end"/>
      </w:r>
      <w:r w:rsidR="004136B5">
        <w:t>.  Trybunał zbada, czy zgodnie z wyżej wymienionymi kryteriami</w:t>
      </w:r>
      <w:r w:rsidR="0092437E">
        <w:t xml:space="preserve"> Eng</w:t>
      </w:r>
      <w:r w:rsidR="00BB28E6">
        <w:t>e</w:t>
      </w:r>
      <w:r w:rsidR="0092437E">
        <w:t>la</w:t>
      </w:r>
      <w:r w:rsidR="004136B5">
        <w:t xml:space="preserve"> nałożenie na skarżącego grzywny administracyjnej za przestępstwo, o</w:t>
      </w:r>
      <w:r w:rsidR="006B2B9A">
        <w:t> </w:t>
      </w:r>
      <w:r w:rsidR="004136B5">
        <w:t xml:space="preserve">które został oskarżony, jest objęte pojęciem „postępowania </w:t>
      </w:r>
      <w:r w:rsidR="006B2B9A">
        <w:t>w sprawie karnej</w:t>
      </w:r>
      <w:r w:rsidR="004136B5">
        <w:t>”.</w:t>
      </w:r>
    </w:p>
    <w:p w14:paraId="517F4FA3" w14:textId="77777777" w:rsidR="004136B5" w:rsidRPr="00260D9D" w:rsidRDefault="004136B5" w:rsidP="00260D9D">
      <w:pPr>
        <w:pStyle w:val="JuHalpha"/>
        <w:tabs>
          <w:tab w:val="clear" w:pos="1361"/>
        </w:tabs>
        <w:ind w:left="1372" w:hanging="334"/>
        <w:jc w:val="left"/>
      </w:pPr>
      <w:r>
        <w:t>Charakterystyka prawna przestępstwa w ramach prawa krajowego</w:t>
      </w:r>
    </w:p>
    <w:p w14:paraId="1C1EF569"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26</w:t>
      </w:r>
      <w:r w:rsidRPr="00260D9D">
        <w:rPr>
          <w:bCs/>
        </w:rPr>
        <w:fldChar w:fldCharType="end"/>
      </w:r>
      <w:r w:rsidR="004136B5">
        <w:t>.  Trybunał zauważa na wstępie, że skarżącemu postawiono zarzut kradzieży kwalifikowanej, t</w:t>
      </w:r>
      <w:r w:rsidR="0092437E">
        <w:t>j.</w:t>
      </w:r>
      <w:r w:rsidR="004136B5">
        <w:t xml:space="preserve"> przestępstwa zabronionego na mocy art. 208 i</w:t>
      </w:r>
      <w:r w:rsidR="0092437E">
        <w:t> </w:t>
      </w:r>
      <w:r w:rsidR="004136B5">
        <w:t xml:space="preserve">209 k.k. (zob. paragrafy </w:t>
      </w:r>
      <w:r w:rsidR="002C060E">
        <w:fldChar w:fldCharType="begin"/>
      </w:r>
      <w:r w:rsidR="002C060E">
        <w:instrText xml:space="preserve"> REF prosecution_start \h  \* MERGEFORMAT </w:instrText>
      </w:r>
      <w:r w:rsidR="002C060E">
        <w:fldChar w:fldCharType="separate"/>
      </w:r>
      <w:r w:rsidR="00107B03" w:rsidRPr="00107B03">
        <w:t>5</w:t>
      </w:r>
      <w:r w:rsidR="002C060E">
        <w:fldChar w:fldCharType="end"/>
      </w:r>
      <w:r w:rsidR="004136B5">
        <w:t xml:space="preserve"> i </w:t>
      </w:r>
      <w:r w:rsidR="002C060E">
        <w:fldChar w:fldCharType="begin"/>
      </w:r>
      <w:r w:rsidR="002C060E">
        <w:instrText xml:space="preserve"> REF DL_CP \h  \* MERGEFORMAT </w:instrText>
      </w:r>
      <w:r w:rsidR="002C060E">
        <w:fldChar w:fldCharType="separate"/>
      </w:r>
      <w:r w:rsidR="00107B03" w:rsidRPr="00107B03">
        <w:rPr>
          <w:bCs/>
        </w:rPr>
        <w:t>13</w:t>
      </w:r>
      <w:r w:rsidR="002C060E">
        <w:fldChar w:fldCharType="end"/>
      </w:r>
      <w:r w:rsidR="004136B5">
        <w:t xml:space="preserve"> poniżej). Bezsporne jest zatem, że</w:t>
      </w:r>
      <w:r w:rsidR="0092437E">
        <w:t> </w:t>
      </w:r>
      <w:r w:rsidR="007417B8">
        <w:t>rzeczony czyn</w:t>
      </w:r>
      <w:r w:rsidR="004136B5">
        <w:t xml:space="preserve"> został zakwalifikowany jako </w:t>
      </w:r>
      <w:r w:rsidR="0092437E">
        <w:t>przestępstwo</w:t>
      </w:r>
      <w:r w:rsidR="004136B5">
        <w:t xml:space="preserve"> w prawie krajowym.</w:t>
      </w:r>
    </w:p>
    <w:p w14:paraId="6AB984C6"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27</w:t>
      </w:r>
      <w:r w:rsidRPr="00260D9D">
        <w:rPr>
          <w:bCs/>
        </w:rPr>
        <w:fldChar w:fldCharType="end"/>
      </w:r>
      <w:r w:rsidR="004136B5">
        <w:t>.  Trybunał również zauważa jednak zastosowanie w niniejszej sprawie art. 18</w:t>
      </w:r>
      <w:r w:rsidR="004136B5">
        <w:rPr>
          <w:bCs/>
          <w:vertAlign w:val="superscript"/>
        </w:rPr>
        <w:t>1</w:t>
      </w:r>
      <w:r w:rsidR="004136B5">
        <w:t xml:space="preserve"> k.k., który stanowi, że czyn podlegający prawu karnemu nie stanowi przestępstwa, jeżeli ze względu na </w:t>
      </w:r>
      <w:r w:rsidR="0092437E">
        <w:t xml:space="preserve">jego </w:t>
      </w:r>
      <w:r w:rsidR="004136B5">
        <w:t xml:space="preserve">minimalną ingerencję w jedną </w:t>
      </w:r>
      <w:r w:rsidR="0092437E">
        <w:t>z </w:t>
      </w:r>
      <w:r w:rsidR="004136B5">
        <w:t>wartości chronionych przez prawo karne i szczególną istotę, nie jest wystarczająco poważny (zob. paragraf</w:t>
      </w:r>
      <w:r w:rsidR="0092437E">
        <w:t xml:space="preserve"> </w:t>
      </w:r>
      <w:r w:rsidR="002C060E">
        <w:fldChar w:fldCharType="begin"/>
      </w:r>
      <w:r w:rsidR="002C060E">
        <w:instrText xml:space="preserve"> REF DL_CP \h  \* MERGEFORMAT </w:instrText>
      </w:r>
      <w:r w:rsidR="002C060E">
        <w:fldChar w:fldCharType="separate"/>
      </w:r>
      <w:r w:rsidR="00107B03" w:rsidRPr="00107B03">
        <w:rPr>
          <w:bCs/>
        </w:rPr>
        <w:t>13</w:t>
      </w:r>
      <w:r w:rsidR="002C060E">
        <w:fldChar w:fldCharType="end"/>
      </w:r>
      <w:r w:rsidR="004136B5">
        <w:t xml:space="preserve"> powyżej). W t</w:t>
      </w:r>
      <w:r w:rsidR="0092437E">
        <w:t>y</w:t>
      </w:r>
      <w:r w:rsidR="004136B5">
        <w:t>ch okolicznościach prokurator miał prawo po</w:t>
      </w:r>
      <w:r w:rsidR="0092437E">
        <w:t>stanowić</w:t>
      </w:r>
      <w:r w:rsidR="004136B5">
        <w:t xml:space="preserve"> o umorzeniu postępowania i zamiast</w:t>
      </w:r>
      <w:r w:rsidR="0092437E">
        <w:t xml:space="preserve"> </w:t>
      </w:r>
      <w:r w:rsidR="004136B5">
        <w:lastRenderedPageBreak/>
        <w:t xml:space="preserve">nałożyć sankcję karną przewidzianą w definicji przestępstwa, o które dana osoba została oskarżona, nałożyć inną karę, którą również przewidywał k.k., określoną niemniej jako kara „administracyjna” (zob. </w:t>
      </w:r>
      <w:r w:rsidR="004136B5">
        <w:rPr>
          <w:bCs/>
          <w:i/>
        </w:rPr>
        <w:t>Mihalache przeciwko Rumunii</w:t>
      </w:r>
      <w:r w:rsidR="004136B5">
        <w:t xml:space="preserve"> [WI], </w:t>
      </w:r>
      <w:r w:rsidR="0092437E">
        <w:t xml:space="preserve">skarga </w:t>
      </w:r>
      <w:r w:rsidR="004136B5">
        <w:t>nr 54012/10, § 58, 8 lipca 2019 r.).</w:t>
      </w:r>
    </w:p>
    <w:p w14:paraId="6A2792A5"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28</w:t>
      </w:r>
      <w:r w:rsidRPr="00260D9D">
        <w:rPr>
          <w:bCs/>
        </w:rPr>
        <w:fldChar w:fldCharType="end"/>
      </w:r>
      <w:r w:rsidR="004136B5">
        <w:t>.  W przedmiotowej sprawie postanowieniami z dnia 18 czerwca 2010 r. i 9 czerwca 2011 r. prokuratura umorzyła postępowanie przeciwko skarżącemu, zauważając, że chociaż popełnione czyny podlegały prawu karnemu, nie stanowiły one przestępstw</w:t>
      </w:r>
      <w:r w:rsidR="006968B7">
        <w:t>,</w:t>
      </w:r>
      <w:r w:rsidR="004136B5">
        <w:t xml:space="preserve"> i zamiast tego nałożyła grzywnę administracyjną (zob. paragrafy </w:t>
      </w:r>
      <w:r w:rsidR="002C060E">
        <w:fldChar w:fldCharType="begin"/>
      </w:r>
      <w:r w:rsidR="002C060E">
        <w:instrText xml:space="preserve"> REF prosecution_end1 \h  \* MERGEFORMAT </w:instrText>
      </w:r>
      <w:r w:rsidR="002C060E">
        <w:fldChar w:fldCharType="separate"/>
      </w:r>
      <w:r w:rsidR="00107B03" w:rsidRPr="00107B03">
        <w:t>6</w:t>
      </w:r>
      <w:r w:rsidR="002C060E">
        <w:fldChar w:fldCharType="end"/>
      </w:r>
      <w:r w:rsidR="004136B5">
        <w:t xml:space="preserve"> i </w:t>
      </w:r>
      <w:r w:rsidR="002C060E">
        <w:fldChar w:fldCharType="begin"/>
      </w:r>
      <w:r w:rsidR="002C060E">
        <w:instrText xml:space="preserve"> REF prosecution_end2 \h  \* MERGEFORMAT </w:instrText>
      </w:r>
      <w:r w:rsidR="002C060E">
        <w:fldChar w:fldCharType="separate"/>
      </w:r>
      <w:r w:rsidR="00107B03" w:rsidRPr="00107B03">
        <w:rPr>
          <w:bCs/>
        </w:rPr>
        <w:t>10</w:t>
      </w:r>
      <w:r w:rsidR="002C060E">
        <w:fldChar w:fldCharType="end"/>
      </w:r>
      <w:r w:rsidR="004136B5">
        <w:t xml:space="preserve"> powyżej). Niezależnie od powyższego, charakterystyka w ramach prawa krajowego </w:t>
      </w:r>
      <w:r w:rsidR="006968B7">
        <w:t xml:space="preserve">stanowi </w:t>
      </w:r>
      <w:r w:rsidR="004136B5">
        <w:t>jedynie punkt wyjścia, a udzielone w ten sposób wskazania mają jedynie wartość formalną i</w:t>
      </w:r>
      <w:r w:rsidR="006968B7">
        <w:t> </w:t>
      </w:r>
      <w:r w:rsidR="004136B5">
        <w:t>względną (zob. m.in.</w:t>
      </w:r>
      <w:r w:rsidR="006968B7">
        <w:t xml:space="preserve"> </w:t>
      </w:r>
      <w:r w:rsidR="004136B5">
        <w:rPr>
          <w:bCs/>
          <w:i/>
          <w:iCs/>
        </w:rPr>
        <w:t>Engel i Inni</w:t>
      </w:r>
      <w:r w:rsidR="004136B5">
        <w:t>, cyt. powyżej, § 82). Trybunał przeprowadzi zatem bardziej szczegółową analizę rzeczywistego charakteru przepisu krajowego stanowiącego podstawę prawną kary nałożonej na</w:t>
      </w:r>
      <w:r w:rsidR="006968B7">
        <w:t> </w:t>
      </w:r>
      <w:r w:rsidR="004136B5">
        <w:t xml:space="preserve">skarżącego i jej surowości (zob. </w:t>
      </w:r>
      <w:r w:rsidR="004136B5">
        <w:rPr>
          <w:bCs/>
          <w:i/>
        </w:rPr>
        <w:t>mutatis mutandis</w:t>
      </w:r>
      <w:r w:rsidR="004136B5">
        <w:t xml:space="preserve">, </w:t>
      </w:r>
      <w:r w:rsidR="004136B5">
        <w:rPr>
          <w:bCs/>
          <w:i/>
          <w:iCs/>
        </w:rPr>
        <w:t>Mihalache</w:t>
      </w:r>
      <w:r w:rsidR="004136B5">
        <w:t>, cyt. powyżej, § 58).</w:t>
      </w:r>
    </w:p>
    <w:p w14:paraId="0B31A14E" w14:textId="77777777" w:rsidR="004136B5" w:rsidRPr="00260D9D" w:rsidRDefault="004136B5" w:rsidP="00260D9D">
      <w:pPr>
        <w:pStyle w:val="JuHalpha"/>
        <w:tabs>
          <w:tab w:val="clear" w:pos="1361"/>
        </w:tabs>
        <w:ind w:left="1372" w:hanging="334"/>
        <w:jc w:val="left"/>
      </w:pPr>
      <w:r>
        <w:t>Rzeczywisty charakter mających zastosowanie przepisów prawnych</w:t>
      </w:r>
    </w:p>
    <w:p w14:paraId="0A05ED41"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29</w:t>
      </w:r>
      <w:r w:rsidRPr="00260D9D">
        <w:rPr>
          <w:bCs/>
        </w:rPr>
        <w:fldChar w:fldCharType="end"/>
      </w:r>
      <w:r w:rsidR="004136B5">
        <w:t>.  Z natury [</w:t>
      </w:r>
      <w:r w:rsidR="004136B5">
        <w:rPr>
          <w:i/>
          <w:iCs/>
        </w:rPr>
        <w:t>przepis regulujący</w:t>
      </w:r>
      <w:r w:rsidR="004136B5">
        <w:t>] badane przestępstwo ma na celu ochronę mienia</w:t>
      </w:r>
      <w:r w:rsidR="006968B7">
        <w:t xml:space="preserve"> –</w:t>
      </w:r>
      <w:r w:rsidR="004136B5">
        <w:t xml:space="preserve"> wartości, która podlega prawu karnemu (zob. paragraf </w:t>
      </w:r>
      <w:r w:rsidR="002C060E">
        <w:fldChar w:fldCharType="begin"/>
      </w:r>
      <w:r w:rsidR="002C060E">
        <w:instrText xml:space="preserve"> REF DL_CP \h  \* MERGEFORMAT </w:instrText>
      </w:r>
      <w:r w:rsidR="002C060E">
        <w:fldChar w:fldCharType="separate"/>
      </w:r>
      <w:r w:rsidR="00107B03" w:rsidRPr="00107B03">
        <w:rPr>
          <w:bCs/>
        </w:rPr>
        <w:t>13</w:t>
      </w:r>
      <w:r w:rsidR="002C060E">
        <w:fldChar w:fldCharType="end"/>
      </w:r>
      <w:r w:rsidR="004136B5">
        <w:t xml:space="preserve"> powyżej). Przepisy art. 208 i 209 k.k. miały zastosowanie, zgodnie z art. 1 i</w:t>
      </w:r>
      <w:r w:rsidR="006968B7">
        <w:t> </w:t>
      </w:r>
      <w:r w:rsidR="004136B5">
        <w:t>17 k.k., do każdego, kto popełn</w:t>
      </w:r>
      <w:r w:rsidR="006968B7">
        <w:t>ia</w:t>
      </w:r>
      <w:r w:rsidR="004136B5">
        <w:t xml:space="preserve"> z winą umyślną czyn zabroniony prawem karnym. Należy zatem zauważyć, że chociaż czyny, o które skarżący został oskarżony, nie zostały uznane przez prokuratorów za przestępstwo, to jednak mieściły się w zakresie przepisu prawa karnego.</w:t>
      </w:r>
    </w:p>
    <w:p w14:paraId="206B87C5"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30</w:t>
      </w:r>
      <w:r w:rsidRPr="00260D9D">
        <w:rPr>
          <w:bCs/>
        </w:rPr>
        <w:fldChar w:fldCharType="end"/>
      </w:r>
      <w:r w:rsidR="004136B5">
        <w:t>.  Fakt, że czyny przestępne, o które skarżący został oskarżony, zostały uznane za w oczywisty sposób nieznaczne ze względu na ich minimalną ingerencję w jedną z wartości chronionych przez prawo karne i na ich szczególną istotę, sam w sobie nie wyklucza zakwalifikowania</w:t>
      </w:r>
      <w:r w:rsidR="006968B7">
        <w:t xml:space="preserve"> ich</w:t>
      </w:r>
      <w:r w:rsidR="004136B5">
        <w:t xml:space="preserve"> jako</w:t>
      </w:r>
      <w:r w:rsidR="006968B7">
        <w:t xml:space="preserve"> czynów</w:t>
      </w:r>
      <w:r w:rsidR="004136B5">
        <w:t xml:space="preserve"> „</w:t>
      </w:r>
      <w:r w:rsidR="006968B7">
        <w:t>zagrożonych karą</w:t>
      </w:r>
      <w:r w:rsidR="004136B5">
        <w:t>” w autonomicznym rozumieniu tego pojęcia określonym przez Konwencję, ponieważ żadne postanowienie Konwencji nie sugeruje, jakoby warunkiem</w:t>
      </w:r>
      <w:r w:rsidR="006968B7">
        <w:t xml:space="preserve"> koniecznym</w:t>
      </w:r>
      <w:r w:rsidR="004136B5">
        <w:t xml:space="preserve"> </w:t>
      </w:r>
      <w:r w:rsidR="006968B7">
        <w:t>zagrożenia karą w</w:t>
      </w:r>
      <w:r w:rsidR="004136B5">
        <w:t xml:space="preserve"> rozumieniu kryteriów</w:t>
      </w:r>
      <w:r w:rsidR="006968B7">
        <w:t xml:space="preserve"> Eng</w:t>
      </w:r>
      <w:r w:rsidR="00BB28E6">
        <w:t>e</w:t>
      </w:r>
      <w:r w:rsidR="006968B7">
        <w:t>la</w:t>
      </w:r>
      <w:r w:rsidR="004136B5">
        <w:t xml:space="preserve"> była pewna waga</w:t>
      </w:r>
      <w:r w:rsidR="006968B7">
        <w:t xml:space="preserve"> czynu</w:t>
      </w:r>
      <w:r w:rsidR="004136B5">
        <w:t xml:space="preserve"> (zob. </w:t>
      </w:r>
      <w:r w:rsidR="004136B5">
        <w:rPr>
          <w:bCs/>
          <w:i/>
          <w:iCs/>
        </w:rPr>
        <w:t>Ezeh i Connors</w:t>
      </w:r>
      <w:r w:rsidR="004136B5">
        <w:t xml:space="preserve">, cyt. powyżej, § 104, oraz </w:t>
      </w:r>
      <w:r w:rsidR="004136B5">
        <w:rPr>
          <w:bCs/>
          <w:i/>
        </w:rPr>
        <w:t>Mihalache</w:t>
      </w:r>
      <w:r w:rsidR="004136B5">
        <w:t>, cyt. powyżej, § 60).</w:t>
      </w:r>
    </w:p>
    <w:p w14:paraId="58444A09"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31</w:t>
      </w:r>
      <w:r w:rsidRPr="00260D9D">
        <w:rPr>
          <w:bCs/>
        </w:rPr>
        <w:fldChar w:fldCharType="end"/>
      </w:r>
      <w:r w:rsidR="004136B5">
        <w:t>.  Z tych względów Trybunał uznaje, że przepis prawny, na podstawie którego prokuratura ścigała i ukarała skarżącego w drodze postanowień prokuratora z dnia 18 czerwca 2010 r. (zob. paragraf </w:t>
      </w:r>
      <w:r w:rsidR="002C060E">
        <w:fldChar w:fldCharType="begin"/>
      </w:r>
      <w:r w:rsidR="002C060E">
        <w:instrText xml:space="preserve"> REF prosecution_end1 \h  \* MERGEFORMAT </w:instrText>
      </w:r>
      <w:r w:rsidR="002C060E">
        <w:fldChar w:fldCharType="separate"/>
      </w:r>
      <w:r w:rsidR="00107B03" w:rsidRPr="00107B03">
        <w:t>6</w:t>
      </w:r>
      <w:r w:rsidR="002C060E">
        <w:fldChar w:fldCharType="end"/>
      </w:r>
      <w:r w:rsidR="004136B5">
        <w:t xml:space="preserve"> powyżej) i 9 czerwca 2011 r. (zob. paragraf </w:t>
      </w:r>
      <w:r w:rsidR="002C060E">
        <w:fldChar w:fldCharType="begin"/>
      </w:r>
      <w:r w:rsidR="002C060E">
        <w:instrText xml:space="preserve"> REF prosecution_end2 \h  \* MERGEFORMAT </w:instrText>
      </w:r>
      <w:r w:rsidR="002C060E">
        <w:fldChar w:fldCharType="separate"/>
      </w:r>
      <w:r w:rsidR="00107B03" w:rsidRPr="00107B03">
        <w:rPr>
          <w:bCs/>
        </w:rPr>
        <w:t>10</w:t>
      </w:r>
      <w:r w:rsidR="002C060E">
        <w:fldChar w:fldCharType="end"/>
      </w:r>
      <w:r w:rsidR="004136B5">
        <w:t xml:space="preserve"> powyżej), utrzymanymi następnie w mocy ostatecznym </w:t>
      </w:r>
      <w:r w:rsidR="003F5C3A">
        <w:t>postanowieniem</w:t>
      </w:r>
      <w:r w:rsidR="004136B5">
        <w:t xml:space="preserve"> sądu z dnia 23 sierpnia 2011 r. (zob. paragraf </w:t>
      </w:r>
      <w:r w:rsidR="002C060E">
        <w:fldChar w:fldCharType="begin"/>
      </w:r>
      <w:r w:rsidR="002C060E">
        <w:instrText xml:space="preserve"> REF decision2 \h  \* MERGEFORMAT </w:instrText>
      </w:r>
      <w:r w:rsidR="002C060E">
        <w:fldChar w:fldCharType="separate"/>
      </w:r>
      <w:r w:rsidR="00107B03" w:rsidRPr="00107B03">
        <w:rPr>
          <w:bCs/>
        </w:rPr>
        <w:t>12</w:t>
      </w:r>
      <w:r w:rsidR="002C060E">
        <w:fldChar w:fldCharType="end"/>
      </w:r>
      <w:r w:rsidR="004136B5">
        <w:t xml:space="preserve"> powyżej), miał charakter karny.</w:t>
      </w:r>
    </w:p>
    <w:p w14:paraId="4ED92152" w14:textId="77777777" w:rsidR="004136B5" w:rsidRPr="00260D9D" w:rsidRDefault="004136B5" w:rsidP="00260D9D">
      <w:pPr>
        <w:pStyle w:val="JuHalpha"/>
        <w:tabs>
          <w:tab w:val="clear" w:pos="1361"/>
        </w:tabs>
        <w:ind w:left="1372" w:hanging="334"/>
        <w:jc w:val="left"/>
      </w:pPr>
      <w:r>
        <w:lastRenderedPageBreak/>
        <w:t>Stopień surowości kary</w:t>
      </w:r>
    </w:p>
    <w:p w14:paraId="7AE02FC3"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32</w:t>
      </w:r>
      <w:r w:rsidRPr="00260D9D">
        <w:rPr>
          <w:bCs/>
        </w:rPr>
        <w:fldChar w:fldCharType="end"/>
      </w:r>
      <w:r w:rsidR="004136B5">
        <w:t xml:space="preserve">.  Wreszcie Trybunał przypomina, że stopień surowości kary jest określany przez odniesienie do maksymalnego jej wymiaru przewidzianego w odpowiednich przepisach. Kara nałożona w rzeczywistości jest istotna dla rozstrzygnięcia sprawy, ale nie może umniejszać znaczenia kary, </w:t>
      </w:r>
      <w:r w:rsidR="006968B7">
        <w:t>która</w:t>
      </w:r>
      <w:r w:rsidR="004136B5">
        <w:t xml:space="preserve"> pierwotnie groziła sprawcy (patrz </w:t>
      </w:r>
      <w:r w:rsidR="004136B5">
        <w:rPr>
          <w:bCs/>
          <w:i/>
        </w:rPr>
        <w:t>Mihalache</w:t>
      </w:r>
      <w:r w:rsidR="004136B5">
        <w:t>, cyt. powyżej, § 61, z dalszymi odniesieniami).</w:t>
      </w:r>
    </w:p>
    <w:p w14:paraId="0595380A"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33</w:t>
      </w:r>
      <w:r w:rsidRPr="00260D9D">
        <w:rPr>
          <w:bCs/>
        </w:rPr>
        <w:fldChar w:fldCharType="end"/>
      </w:r>
      <w:r w:rsidR="004136B5">
        <w:t xml:space="preserve">.  W niniejszej sprawie maksymalny wymiar kary prawnie przewidziany za popełnienie przedmiotowego przestępstwa wynosił dwanaście lat pozbawienia wolności (zob. paragraf </w:t>
      </w:r>
      <w:r w:rsidR="002C060E">
        <w:fldChar w:fldCharType="begin"/>
      </w:r>
      <w:r w:rsidR="002C060E">
        <w:instrText xml:space="preserve"> REF DL_CP \h  \* MERGEFORMAT </w:instrText>
      </w:r>
      <w:r w:rsidR="002C060E">
        <w:fldChar w:fldCharType="separate"/>
      </w:r>
      <w:r w:rsidR="00107B03" w:rsidRPr="00107B03">
        <w:rPr>
          <w:bCs/>
        </w:rPr>
        <w:t>13</w:t>
      </w:r>
      <w:r w:rsidR="002C060E">
        <w:fldChar w:fldCharType="end"/>
      </w:r>
      <w:r w:rsidR="004136B5">
        <w:t xml:space="preserve"> powyżej). Ponadto nawet jeśli prokuratura nie uznała, że </w:t>
      </w:r>
      <w:r w:rsidR="006968B7">
        <w:t xml:space="preserve">badane </w:t>
      </w:r>
      <w:r w:rsidR="004136B5">
        <w:t>czyny stanowiły przestępstwo w rozumieniu prawa karnego, to i tak była zobowiązana przepisami prawa do wymierzenia kary w sytuacji, gdy podstawą prawną umorzenia postępowania był art. 18</w:t>
      </w:r>
      <w:r w:rsidR="004136B5">
        <w:rPr>
          <w:bCs/>
          <w:vertAlign w:val="superscript"/>
        </w:rPr>
        <w:t>1</w:t>
      </w:r>
      <w:r w:rsidR="004136B5">
        <w:t> k.k. W niniejszej sprawie skarżący został ukarany grzywną w</w:t>
      </w:r>
      <w:r w:rsidR="006968B7">
        <w:t> </w:t>
      </w:r>
      <w:r w:rsidR="004136B5">
        <w:t xml:space="preserve">wysokości 800 RON (około 190 EUR w tamtym czasie) za czyny, o które został oskarżony, co jest kwotą zbliżoną do maksymalnej kwoty dozwolonej w art. 91 k.k. (zob. paragraf </w:t>
      </w:r>
      <w:r w:rsidR="002C060E">
        <w:fldChar w:fldCharType="begin"/>
      </w:r>
      <w:r w:rsidR="002C060E">
        <w:instrText xml:space="preserve"> REF DL_CP \h  \* MERGEFORMAT </w:instrText>
      </w:r>
      <w:r w:rsidR="002C060E">
        <w:fldChar w:fldCharType="separate"/>
      </w:r>
      <w:r w:rsidR="00107B03" w:rsidRPr="00107B03">
        <w:rPr>
          <w:bCs/>
        </w:rPr>
        <w:t>13</w:t>
      </w:r>
      <w:r w:rsidR="002C060E">
        <w:fldChar w:fldCharType="end"/>
      </w:r>
      <w:r w:rsidR="004136B5">
        <w:t xml:space="preserve"> powyżej).</w:t>
      </w:r>
    </w:p>
    <w:p w14:paraId="48939633"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34</w:t>
      </w:r>
      <w:r w:rsidRPr="00260D9D">
        <w:rPr>
          <w:bCs/>
        </w:rPr>
        <w:fldChar w:fldCharType="end"/>
      </w:r>
      <w:r w:rsidR="004136B5">
        <w:t xml:space="preserve">.  Trybunał zauważa również, że chociaż w k.k. określono tę karę jako karę „administracyjną”, to celem grzywny nie było naprawienie szkody wyrządzonej przez skarżącego, lecz ukaranie i zniechęcenie </w:t>
      </w:r>
      <w:r w:rsidR="00E33A49">
        <w:t xml:space="preserve">go </w:t>
      </w:r>
      <w:r w:rsidR="004136B5">
        <w:t xml:space="preserve">do dalszych czynów zabronionych (zob. </w:t>
      </w:r>
      <w:r w:rsidR="004136B5">
        <w:rPr>
          <w:bCs/>
          <w:i/>
        </w:rPr>
        <w:t>Mihalache</w:t>
      </w:r>
      <w:r w:rsidR="004136B5">
        <w:t>, cyt. powyżej, § 62, z</w:t>
      </w:r>
      <w:r w:rsidR="00E33A49">
        <w:t> </w:t>
      </w:r>
      <w:r w:rsidR="004136B5">
        <w:t xml:space="preserve">dalszymi odniesieniami). Grzywna nałożona na skarżącego miała zatem cel sankcyjny i odstraszający, a zatem była zbliżona do sankcji karnej, mimo że w systemie krajowym była </w:t>
      </w:r>
      <w:r w:rsidR="00E33A49">
        <w:t>za</w:t>
      </w:r>
      <w:r w:rsidR="004136B5">
        <w:t>klasyfikowana jako grzywna „administracyjna”. Fakt, że</w:t>
      </w:r>
      <w:r w:rsidR="00E33A49">
        <w:t> </w:t>
      </w:r>
      <w:r w:rsidR="004136B5">
        <w:t xml:space="preserve">skarżącemu nie groziła kara pozbawienia wolności nawet w przypadku nieuiszczenia grzywny (zob. paragraf </w:t>
      </w:r>
      <w:r w:rsidR="002C060E">
        <w:fldChar w:fldCharType="begin"/>
      </w:r>
      <w:r w:rsidR="002C060E">
        <w:instrText xml:space="preserve"> REF DL_Anghel \h  \* MERGEFORMAT </w:instrText>
      </w:r>
      <w:r w:rsidR="002C060E">
        <w:fldChar w:fldCharType="separate"/>
      </w:r>
      <w:r w:rsidR="00107B03">
        <w:rPr>
          <w:bCs/>
        </w:rPr>
        <w:t>19</w:t>
      </w:r>
      <w:r w:rsidR="002C060E">
        <w:fldChar w:fldCharType="end"/>
      </w:r>
      <w:r w:rsidR="004136B5">
        <w:t xml:space="preserve"> powyżej), nie </w:t>
      </w:r>
      <w:r w:rsidR="00E33A49">
        <w:t>wpływa na ten wniosek.</w:t>
      </w:r>
    </w:p>
    <w:bookmarkStart w:id="17" w:name="_Hlk56775281"/>
    <w:p w14:paraId="60F5EFB4"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35</w:t>
      </w:r>
      <w:r w:rsidRPr="00260D9D">
        <w:rPr>
          <w:bCs/>
        </w:rPr>
        <w:fldChar w:fldCharType="end"/>
      </w:r>
      <w:r w:rsidR="004136B5">
        <w:t>.  Podobnie nawet jeśli w zaświadczeni</w:t>
      </w:r>
      <w:r w:rsidR="00E33A49">
        <w:t>u</w:t>
      </w:r>
      <w:r w:rsidR="004136B5">
        <w:t xml:space="preserve"> z rejestru karnego d</w:t>
      </w:r>
      <w:r w:rsidR="00E33A49">
        <w:t xml:space="preserve">la osoby zainteresowanej </w:t>
      </w:r>
      <w:r w:rsidR="004136B5">
        <w:t xml:space="preserve">nie znajdują się informacje o grzywnach administracyjnych, </w:t>
      </w:r>
      <w:bookmarkStart w:id="18" w:name="_Hlk56777671"/>
      <w:r w:rsidR="004136B5">
        <w:t>takich jak ta nałożona na skarżącego w niniejszej sprawie</w:t>
      </w:r>
      <w:bookmarkEnd w:id="18"/>
      <w:r w:rsidR="004136B5">
        <w:t>, to informacje te</w:t>
      </w:r>
      <w:r w:rsidR="00196966">
        <w:t> </w:t>
      </w:r>
      <w:r w:rsidR="004136B5">
        <w:t>są</w:t>
      </w:r>
      <w:r w:rsidR="00196966">
        <w:t> </w:t>
      </w:r>
      <w:r w:rsidR="004136B5">
        <w:t>jednak dostępne dla organów sądowych na tej samej podstawie, co</w:t>
      </w:r>
      <w:r w:rsidR="00196966">
        <w:t> </w:t>
      </w:r>
      <w:r w:rsidR="004136B5">
        <w:t>informacje dotyczące wszelkich innych sankcji karnych nałożonych na</w:t>
      </w:r>
      <w:r w:rsidR="00196966">
        <w:t> </w:t>
      </w:r>
      <w:r w:rsidR="004136B5">
        <w:t xml:space="preserve">daną osobę (zob. paragraf </w:t>
      </w:r>
      <w:r w:rsidR="002C060E">
        <w:fldChar w:fldCharType="begin"/>
      </w:r>
      <w:r w:rsidR="002C060E">
        <w:instrText xml:space="preserve"> REF DL_criminal_record \h  \* MERGEFORMAT </w:instrText>
      </w:r>
      <w:r w:rsidR="002C060E">
        <w:fldChar w:fldCharType="separate"/>
      </w:r>
      <w:r w:rsidR="00107B03">
        <w:rPr>
          <w:bCs/>
        </w:rPr>
        <w:t>20</w:t>
      </w:r>
      <w:r w:rsidR="002C060E">
        <w:fldChar w:fldCharType="end"/>
      </w:r>
      <w:r w:rsidR="004136B5">
        <w:t xml:space="preserve"> powyżej).</w:t>
      </w:r>
      <w:bookmarkEnd w:id="17"/>
    </w:p>
    <w:p w14:paraId="55F9A9AD" w14:textId="77777777" w:rsidR="004136B5" w:rsidRPr="00260D9D" w:rsidRDefault="004136B5" w:rsidP="00260D9D">
      <w:pPr>
        <w:pStyle w:val="JuHalpha"/>
        <w:tabs>
          <w:tab w:val="clear" w:pos="1361"/>
        </w:tabs>
        <w:ind w:left="1372" w:hanging="334"/>
        <w:jc w:val="left"/>
      </w:pPr>
      <w:r>
        <w:t xml:space="preserve">Wnioski dotyczące charakteru </w:t>
      </w:r>
      <w:r>
        <w:rPr>
          <w:i/>
        </w:rPr>
        <w:t>postępowania prowadzącego do wydania</w:t>
      </w:r>
      <w:r>
        <w:t xml:space="preserve"> </w:t>
      </w:r>
      <w:r>
        <w:rPr>
          <w:i/>
        </w:rPr>
        <w:t>ostatecznego postanowienia</w:t>
      </w:r>
      <w:r>
        <w:rPr>
          <w:rFonts w:asciiTheme="minorHAnsi" w:hAnsiTheme="minorHAnsi"/>
          <w:iCs w:val="0"/>
          <w:sz w:val="24"/>
          <w:szCs w:val="24"/>
        </w:rPr>
        <w:t xml:space="preserve"> </w:t>
      </w:r>
      <w:r>
        <w:rPr>
          <w:i/>
        </w:rPr>
        <w:t>z dnia 21 czerwca 2011 r.</w:t>
      </w:r>
    </w:p>
    <w:p w14:paraId="65EF3128"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36</w:t>
      </w:r>
      <w:r w:rsidRPr="00260D9D">
        <w:rPr>
          <w:bCs/>
        </w:rPr>
        <w:fldChar w:fldCharType="end"/>
      </w:r>
      <w:r w:rsidR="004136B5">
        <w:t xml:space="preserve">.  Mając powyższe na uwadze, Trybunał stwierdza, że charakter czynu, za który skarżący był ścigany, oraz nałożona na skarżącego kara sprawiają, </w:t>
      </w:r>
      <w:r w:rsidR="00E33A49">
        <w:t>iż</w:t>
      </w:r>
      <w:r w:rsidR="004136B5">
        <w:t xml:space="preserve"> </w:t>
      </w:r>
      <w:r w:rsidR="00E33A49">
        <w:t xml:space="preserve">sprawa, w której toczy się </w:t>
      </w:r>
      <w:r w:rsidR="004136B5">
        <w:t>badane postępowanie</w:t>
      </w:r>
      <w:r w:rsidR="00E33A49">
        <w:t>,</w:t>
      </w:r>
      <w:r w:rsidR="004136B5">
        <w:t xml:space="preserve"> ma charakter karny w</w:t>
      </w:r>
      <w:r w:rsidR="00E33A49">
        <w:t> </w:t>
      </w:r>
      <w:r w:rsidR="004136B5">
        <w:t xml:space="preserve">rozumieniu art. 6 Konwencji. Aspekt karny art. 6 ma zatem zastosowanie do faktów niniejszej sprawy. W konsekwencji Trybunał oddala zastrzeżenie Rządu w kwestii niezgodności </w:t>
      </w:r>
      <w:r w:rsidR="004136B5">
        <w:rPr>
          <w:bCs/>
          <w:i/>
          <w:iCs/>
        </w:rPr>
        <w:t>ratione materiae</w:t>
      </w:r>
      <w:r w:rsidR="004136B5">
        <w:t>.</w:t>
      </w:r>
    </w:p>
    <w:p w14:paraId="243DA72C" w14:textId="77777777" w:rsidR="004136B5" w:rsidRPr="00260D9D" w:rsidRDefault="004136B5" w:rsidP="00260D9D">
      <w:pPr>
        <w:pStyle w:val="JuH1"/>
        <w:ind w:left="731" w:hanging="300"/>
        <w:jc w:val="left"/>
      </w:pPr>
      <w:r>
        <w:lastRenderedPageBreak/>
        <w:t>Inne przesłanki niedopuszczalności</w:t>
      </w:r>
    </w:p>
    <w:p w14:paraId="6C42FC14" w14:textId="77777777" w:rsidR="004136B5" w:rsidRPr="00260D9D" w:rsidRDefault="00911B37" w:rsidP="00260D9D">
      <w:pPr>
        <w:pStyle w:val="JuPara"/>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37</w:t>
      </w:r>
      <w:r w:rsidRPr="00260D9D">
        <w:rPr>
          <w:bCs/>
        </w:rPr>
        <w:fldChar w:fldCharType="end"/>
      </w:r>
      <w:r w:rsidR="004136B5">
        <w:t>.  Trybunał ponadto zauważa, że skarga nie jest ani w sposób oczywisty nieuzasadniona ani niedopuszczalna z innych powodów wymienionych w</w:t>
      </w:r>
      <w:r w:rsidR="00E33A49">
        <w:t> </w:t>
      </w:r>
      <w:r w:rsidR="004136B5">
        <w:t>art.</w:t>
      </w:r>
      <w:r w:rsidR="00E33A49">
        <w:t> </w:t>
      </w:r>
      <w:r w:rsidR="004136B5">
        <w:t>35 Konwencji. Należy ją zatem uznać za dopuszczalną.</w:t>
      </w:r>
    </w:p>
    <w:p w14:paraId="60CD74D7" w14:textId="77777777" w:rsidR="004136B5" w:rsidRPr="00260D9D" w:rsidRDefault="004136B5" w:rsidP="00260D9D">
      <w:pPr>
        <w:pStyle w:val="JuHA"/>
        <w:numPr>
          <w:ilvl w:val="2"/>
          <w:numId w:val="1"/>
        </w:numPr>
        <w:jc w:val="left"/>
      </w:pPr>
      <w:r>
        <w:t>Przedmiot skargi</w:t>
      </w:r>
    </w:p>
    <w:p w14:paraId="45083366" w14:textId="77777777" w:rsidR="004136B5" w:rsidRPr="00260D9D" w:rsidRDefault="004136B5" w:rsidP="00260D9D">
      <w:pPr>
        <w:pStyle w:val="JuH1"/>
        <w:numPr>
          <w:ilvl w:val="3"/>
          <w:numId w:val="4"/>
        </w:numPr>
        <w:ind w:left="731" w:hanging="300"/>
        <w:jc w:val="left"/>
      </w:pPr>
      <w:r>
        <w:t>Stanowiska stron</w:t>
      </w:r>
    </w:p>
    <w:p w14:paraId="66A89AFB" w14:textId="77777777" w:rsidR="004136B5" w:rsidRPr="00260D9D" w:rsidRDefault="00000000" w:rsidP="00260D9D">
      <w:pPr>
        <w:pStyle w:val="JuPara"/>
        <w:rPr>
          <w:rFonts w:eastAsia="Times New Roman" w:cs="Times New Roman"/>
        </w:rPr>
      </w:pPr>
      <w:fldSimple w:instr=" SEQ level0 \*arabic ">
        <w:r w:rsidR="00107B03">
          <w:rPr>
            <w:noProof/>
          </w:rPr>
          <w:t>38</w:t>
        </w:r>
      </w:fldSimple>
      <w:r w:rsidR="004136B5">
        <w:t>.  Skarżący zarzucił, że władze (prokuratura i sąd) odmówiły właściwego zbadania sprawy i dopuszczenia zaproponowanego przez niego materiału dowodowego.</w:t>
      </w:r>
    </w:p>
    <w:p w14:paraId="6D4E8199" w14:textId="77777777" w:rsidR="004136B5"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39</w:t>
      </w:r>
      <w:r w:rsidRPr="00260D9D">
        <w:rPr>
          <w:rFonts w:eastAsia="Times New Roman"/>
        </w:rPr>
        <w:fldChar w:fldCharType="end"/>
      </w:r>
      <w:r w:rsidR="004136B5">
        <w:t>.  Rząd argumentował, że skarżący skorzystał ze wszystkich gwarancji proceduralnych oczekiwanych w tego typu spraw</w:t>
      </w:r>
      <w:r w:rsidR="00E75738">
        <w:t>ie</w:t>
      </w:r>
      <w:r w:rsidR="004136B5">
        <w:t xml:space="preserve">. Sąd krajowy na przykład przekazał sprawę prokuraturze, gdy uznał, że </w:t>
      </w:r>
      <w:r w:rsidR="00A72671">
        <w:t>dochodzenie</w:t>
      </w:r>
      <w:r w:rsidR="004136B5">
        <w:t xml:space="preserve"> należy uzupełnić. Skarżący miał możliwość zaproponowania materiału dowodowego, a jego wnioski zostały należycie rozpatrzone przez prokuratora. Skarżący nie złożył jednak wniosku o obecność podczas przesłuchania świadków.</w:t>
      </w:r>
    </w:p>
    <w:p w14:paraId="77CEB26E" w14:textId="77777777" w:rsidR="00597E18"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40</w:t>
      </w:r>
      <w:r w:rsidRPr="00260D9D">
        <w:rPr>
          <w:rFonts w:eastAsia="Times New Roman"/>
        </w:rPr>
        <w:fldChar w:fldCharType="end"/>
      </w:r>
      <w:r w:rsidR="004136B5">
        <w:t>.  </w:t>
      </w:r>
      <w:r w:rsidR="00E75738">
        <w:t>Rząd wskazał</w:t>
      </w:r>
      <w:r w:rsidR="004136B5">
        <w:t xml:space="preserve"> również, że celem postępowania przed sądem nie była ocena winy, a raczej zbadanie zgodności z prawem </w:t>
      </w:r>
      <w:r w:rsidR="00E75738">
        <w:t>postanowień</w:t>
      </w:r>
      <w:r w:rsidR="004136B5">
        <w:t xml:space="preserve"> prokuratury, opartych przede wszystkim na materiale dowodowym znajdującym się już w</w:t>
      </w:r>
      <w:r w:rsidR="00E75738">
        <w:t> </w:t>
      </w:r>
      <w:r w:rsidR="004136B5">
        <w:t>aktach sprawy.</w:t>
      </w:r>
    </w:p>
    <w:p w14:paraId="4FA01CDF" w14:textId="77777777" w:rsidR="004136B5" w:rsidRPr="00260D9D" w:rsidRDefault="004136B5" w:rsidP="00260D9D">
      <w:pPr>
        <w:pStyle w:val="JuH1"/>
        <w:ind w:left="731" w:hanging="300"/>
        <w:jc w:val="left"/>
      </w:pPr>
      <w:r>
        <w:t>Ocena Trybunału</w:t>
      </w:r>
    </w:p>
    <w:p w14:paraId="4C807B0A" w14:textId="77777777" w:rsidR="004136B5" w:rsidRPr="00260D9D" w:rsidRDefault="004136B5" w:rsidP="00260D9D">
      <w:pPr>
        <w:pStyle w:val="JuHa0"/>
        <w:ind w:left="975" w:hanging="340"/>
        <w:jc w:val="left"/>
      </w:pPr>
      <w:r>
        <w:t>Uwagi wstępne</w:t>
      </w:r>
    </w:p>
    <w:p w14:paraId="77FD1B47" w14:textId="77777777" w:rsidR="00597E18"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41</w:t>
      </w:r>
      <w:r w:rsidRPr="00260D9D">
        <w:rPr>
          <w:bCs/>
        </w:rPr>
        <w:fldChar w:fldCharType="end"/>
      </w:r>
      <w:r w:rsidR="004136B5">
        <w:t>.  Ustaliwszy, że spraw</w:t>
      </w:r>
      <w:r w:rsidR="00E75738">
        <w:t xml:space="preserve">a objęta jest karnym aspektem </w:t>
      </w:r>
      <w:r w:rsidR="004136B5">
        <w:t>art. 6, Trybunał musi stwierdzić, czy zważywszy na szczególne cechy przedmiotowego postępowania krajowego, pełne gwarancje art. 6 mają zastosowanie do</w:t>
      </w:r>
      <w:r w:rsidR="00E75738">
        <w:t> </w:t>
      </w:r>
      <w:r w:rsidR="004136B5">
        <w:t>faktów niniejszej sprawy.</w:t>
      </w:r>
    </w:p>
    <w:p w14:paraId="440C5B2B" w14:textId="77777777" w:rsidR="004136B5" w:rsidRPr="00260D9D" w:rsidRDefault="00911B37" w:rsidP="00260D9D">
      <w:pPr>
        <w:pStyle w:val="JuPara"/>
      </w:pPr>
      <w:r w:rsidRPr="00260D9D">
        <w:rPr>
          <w:bCs/>
        </w:rPr>
        <w:fldChar w:fldCharType="begin"/>
      </w:r>
      <w:r w:rsidR="00281D50" w:rsidRPr="00260D9D">
        <w:rPr>
          <w:bCs/>
        </w:rPr>
        <w:instrText xml:space="preserve"> SEQ level0 \*arabic </w:instrText>
      </w:r>
      <w:r w:rsidRPr="00260D9D">
        <w:rPr>
          <w:bCs/>
        </w:rPr>
        <w:fldChar w:fldCharType="separate"/>
      </w:r>
      <w:r w:rsidR="00107B03">
        <w:rPr>
          <w:bCs/>
          <w:noProof/>
        </w:rPr>
        <w:t>42</w:t>
      </w:r>
      <w:r w:rsidRPr="00260D9D">
        <w:rPr>
          <w:bCs/>
        </w:rPr>
        <w:fldChar w:fldCharType="end"/>
      </w:r>
      <w:r w:rsidR="00281D50">
        <w:t xml:space="preserve">.  W związku z tym Trybunał zauważa, że w sprawie </w:t>
      </w:r>
      <w:r w:rsidR="00281D50">
        <w:rPr>
          <w:i/>
        </w:rPr>
        <w:t>Blokhin</w:t>
      </w:r>
      <w:r w:rsidR="00281D50">
        <w:t xml:space="preserve"> </w:t>
      </w:r>
      <w:r w:rsidR="00281D50">
        <w:rPr>
          <w:i/>
        </w:rPr>
        <w:t>przeciwko Rosji</w:t>
      </w:r>
      <w:r w:rsidR="00281D50">
        <w:t xml:space="preserve"> ([WI], skarga nr 47152/06, §§ 179-</w:t>
      </w:r>
      <w:r w:rsidR="005B6529">
        <w:t>1</w:t>
      </w:r>
      <w:r w:rsidR="00281D50">
        <w:t xml:space="preserve">82, 23 marca 2016 r.), stwierdziwszy, że postępowanie przeciwko skarżącemu za popełnienie czynu </w:t>
      </w:r>
      <w:r w:rsidR="00E75738">
        <w:t>zagrożonego karą</w:t>
      </w:r>
      <w:r w:rsidR="00281D50">
        <w:t>, którego nie zakwalifikowano jako przestępstwo w prawie krajowym ze względu na wiek skarżącego,</w:t>
      </w:r>
      <w:r w:rsidR="00E75738">
        <w:t xml:space="preserve"> dotyczyło ustalenia oskarżenia</w:t>
      </w:r>
      <w:r w:rsidR="00281D50">
        <w:t xml:space="preserve"> </w:t>
      </w:r>
      <w:r w:rsidR="00E75738">
        <w:t>w sprawie karnej</w:t>
      </w:r>
      <w:r w:rsidR="00281D50">
        <w:t>, Trybunał zbadał postępowanie w świetle wszystkich gwarancji zapisanych w art. 6 ust.</w:t>
      </w:r>
      <w:r w:rsidR="00294EA3">
        <w:t xml:space="preserve">  </w:t>
      </w:r>
      <w:r w:rsidR="00281D50">
        <w:t>1 i ust.</w:t>
      </w:r>
      <w:r w:rsidR="00294EA3">
        <w:t> </w:t>
      </w:r>
      <w:r w:rsidR="00281D50">
        <w:t>3 lit.</w:t>
      </w:r>
      <w:r w:rsidR="00294EA3">
        <w:t> </w:t>
      </w:r>
      <w:r w:rsidR="00281D50">
        <w:t xml:space="preserve">d) Konwencji (zob. </w:t>
      </w:r>
      <w:r w:rsidR="00281D50">
        <w:rPr>
          <w:i/>
        </w:rPr>
        <w:t>Blokhin</w:t>
      </w:r>
      <w:r w:rsidR="00281D50">
        <w:t>, cytowany powyżej, §§ 211</w:t>
      </w:r>
      <w:r w:rsidR="00281D50">
        <w:noBreakHyphen/>
      </w:r>
      <w:r w:rsidR="005B6529">
        <w:t>2</w:t>
      </w:r>
      <w:r w:rsidR="00281D50">
        <w:t>16).</w:t>
      </w:r>
    </w:p>
    <w:p w14:paraId="29125B83" w14:textId="77777777" w:rsidR="004136B5" w:rsidRPr="00260D9D" w:rsidRDefault="00000000" w:rsidP="00260D9D">
      <w:pPr>
        <w:pStyle w:val="JuPara"/>
      </w:pPr>
      <w:fldSimple w:instr=" SEQ level0 \*arabic ">
        <w:r w:rsidR="00107B03">
          <w:rPr>
            <w:noProof/>
          </w:rPr>
          <w:t>43</w:t>
        </w:r>
      </w:fldSimple>
      <w:r w:rsidR="004136B5">
        <w:t xml:space="preserve">.  Podobnie w sprawie </w:t>
      </w:r>
      <w:r w:rsidR="004136B5">
        <w:rPr>
          <w:i/>
        </w:rPr>
        <w:t>Anghel przeciwko Rumunii</w:t>
      </w:r>
      <w:r w:rsidR="004136B5">
        <w:t xml:space="preserve"> (skarga nr 28183/03, §§ 55</w:t>
      </w:r>
      <w:r w:rsidR="004136B5">
        <w:noBreakHyphen/>
        <w:t>69, 4 października 2007</w:t>
      </w:r>
      <w:r w:rsidR="00726B6A">
        <w:t> </w:t>
      </w:r>
      <w:r w:rsidR="004136B5">
        <w:t>r.), Trybunał zastosował pełen zestaw gwarancji przewidzianych w art. 6 Konwencji do postępowania krajowego, które, choć nie</w:t>
      </w:r>
      <w:r w:rsidR="00E75738">
        <w:t xml:space="preserve"> </w:t>
      </w:r>
      <w:r w:rsidR="004136B5">
        <w:t>było postępowaniem karnym na mocy prawa krajowego, zostało uznane przez Trybunał za objęte zakresem ochrony gwarantowanej przez</w:t>
      </w:r>
      <w:r w:rsidR="00E75738">
        <w:t xml:space="preserve"> aspekt</w:t>
      </w:r>
      <w:r w:rsidR="004136B5">
        <w:t xml:space="preserve"> karny art. 6 Konwencji.</w:t>
      </w:r>
    </w:p>
    <w:p w14:paraId="404D70BB" w14:textId="77777777" w:rsidR="004136B5" w:rsidRPr="00260D9D" w:rsidRDefault="00911B37" w:rsidP="00260D9D">
      <w:pPr>
        <w:pStyle w:val="JuPara"/>
        <w:rPr>
          <w:bCs/>
        </w:rPr>
      </w:pPr>
      <w:r w:rsidRPr="00260D9D">
        <w:rPr>
          <w:bCs/>
        </w:rPr>
        <w:lastRenderedPageBreak/>
        <w:fldChar w:fldCharType="begin"/>
      </w:r>
      <w:r w:rsidR="004136B5" w:rsidRPr="00260D9D">
        <w:rPr>
          <w:bCs/>
        </w:rPr>
        <w:instrText xml:space="preserve"> SEQ level0 \*arabic </w:instrText>
      </w:r>
      <w:r w:rsidRPr="00260D9D">
        <w:rPr>
          <w:bCs/>
        </w:rPr>
        <w:fldChar w:fldCharType="separate"/>
      </w:r>
      <w:r w:rsidR="00107B03">
        <w:rPr>
          <w:bCs/>
          <w:noProof/>
        </w:rPr>
        <w:t>44</w:t>
      </w:r>
      <w:r w:rsidRPr="00260D9D">
        <w:rPr>
          <w:bCs/>
        </w:rPr>
        <w:fldChar w:fldCharType="end"/>
      </w:r>
      <w:r w:rsidR="004136B5">
        <w:t>.  Z tych powodów i mając na uwadze, że Konwencja gwarantuje prawa, które są praktyczne i skuteczne (zob</w:t>
      </w:r>
      <w:r w:rsidR="00E75738">
        <w:t>.</w:t>
      </w:r>
      <w:r w:rsidR="004136B5">
        <w:t xml:space="preserve"> m.in. </w:t>
      </w:r>
      <w:r w:rsidR="004136B5">
        <w:rPr>
          <w:bCs/>
          <w:i/>
        </w:rPr>
        <w:t>Artico przeciwko Włochom</w:t>
      </w:r>
      <w:r w:rsidR="004136B5">
        <w:t>, 13</w:t>
      </w:r>
      <w:r w:rsidR="00E75738">
        <w:t> </w:t>
      </w:r>
      <w:r w:rsidR="004136B5">
        <w:t xml:space="preserve">maja 1980 r., § 33, seria A nr 37; </w:t>
      </w:r>
      <w:r w:rsidR="004136B5">
        <w:rPr>
          <w:bCs/>
          <w:i/>
        </w:rPr>
        <w:t>Alekseyev przeciwko Rosji</w:t>
      </w:r>
      <w:r w:rsidR="004136B5">
        <w:t xml:space="preserve">, skarga nr 4916/07 i dwie pozostałe, § 81, 21 października 2010 r.; oraz </w:t>
      </w:r>
      <w:r w:rsidR="004136B5">
        <w:rPr>
          <w:bCs/>
          <w:i/>
        </w:rPr>
        <w:t>Maskhadova i Inni przeciwko Rosji</w:t>
      </w:r>
      <w:r w:rsidR="004136B5">
        <w:t>, skarga nr 18071/05, § 222, 6 czerwca 2013 r.), Trybunał uważa, że wszystkie gwarancje w ramach aspektu</w:t>
      </w:r>
      <w:r w:rsidR="005B6529">
        <w:t xml:space="preserve"> karnego</w:t>
      </w:r>
      <w:r w:rsidR="004136B5">
        <w:t xml:space="preserve"> art. 6 Konwencji, zgodnie z wykładnią w odpowiednim orzecznictwie (zob. paragrafy </w:t>
      </w:r>
      <w:r w:rsidR="002C060E">
        <w:fldChar w:fldCharType="begin"/>
      </w:r>
      <w:r w:rsidR="002C060E">
        <w:instrText xml:space="preserve"> REF GP_6_beg \h  \* MERGEFORMAT </w:instrText>
      </w:r>
      <w:r w:rsidR="002C060E">
        <w:fldChar w:fldCharType="separate"/>
      </w:r>
      <w:r w:rsidR="00107B03">
        <w:rPr>
          <w:bCs/>
        </w:rPr>
        <w:t>45</w:t>
      </w:r>
      <w:r w:rsidR="002C060E">
        <w:fldChar w:fldCharType="end"/>
      </w:r>
      <w:r w:rsidR="004136B5">
        <w:t>-</w:t>
      </w:r>
      <w:r w:rsidR="002C060E">
        <w:fldChar w:fldCharType="begin"/>
      </w:r>
      <w:r w:rsidR="002C060E">
        <w:instrText xml:space="preserve"> REF GP_6_end \h  \* MERGEFORMAT </w:instrText>
      </w:r>
      <w:r w:rsidR="002C060E">
        <w:fldChar w:fldCharType="separate"/>
      </w:r>
      <w:r w:rsidR="00107B03" w:rsidRPr="00107B03">
        <w:rPr>
          <w:bCs/>
        </w:rPr>
        <w:t>48</w:t>
      </w:r>
      <w:r w:rsidR="002C060E">
        <w:fldChar w:fldCharType="end"/>
      </w:r>
      <w:r w:rsidR="004136B5">
        <w:t xml:space="preserve"> poniżej), mają zastosowanie do faktów niniejszej sprawy.</w:t>
      </w:r>
    </w:p>
    <w:p w14:paraId="75EA7BFD" w14:textId="77777777" w:rsidR="004136B5" w:rsidRPr="00260D9D" w:rsidRDefault="004136B5" w:rsidP="00260D9D">
      <w:pPr>
        <w:pStyle w:val="JuHa0"/>
        <w:ind w:left="975" w:hanging="340"/>
        <w:jc w:val="left"/>
      </w:pPr>
      <w:r>
        <w:t>Ogólne zasady</w:t>
      </w:r>
    </w:p>
    <w:bookmarkStart w:id="19" w:name="GP_6_beg"/>
    <w:p w14:paraId="3FA392BE" w14:textId="77777777" w:rsidR="004136B5" w:rsidRPr="00260D9D" w:rsidRDefault="00911B37" w:rsidP="00260D9D">
      <w:pPr>
        <w:pStyle w:val="JuPara"/>
        <w:rPr>
          <w:bCs/>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45</w:t>
      </w:r>
      <w:r w:rsidRPr="00260D9D">
        <w:rPr>
          <w:bCs/>
        </w:rPr>
        <w:fldChar w:fldCharType="end"/>
      </w:r>
      <w:bookmarkEnd w:id="19"/>
      <w:r w:rsidR="004136B5">
        <w:t>.  Trybunał powtarza, że gwarancje, o których mowa w art. 6 ust. 3 lit. d), są szczególnymi aspektami prawa do sprawiedliwego rozpatrzenia sprawy, o którym mowa w ust.</w:t>
      </w:r>
      <w:r w:rsidR="00726B6A">
        <w:t> </w:t>
      </w:r>
      <w:r w:rsidR="004136B5">
        <w:t xml:space="preserve">1 rzeczonego artykułu, które to aspekty muszą być brane pod uwagę przy każdej ocenie </w:t>
      </w:r>
      <w:r w:rsidR="00A72671">
        <w:t>rzetelności</w:t>
      </w:r>
      <w:r w:rsidR="004136B5">
        <w:t xml:space="preserve"> postępowania. Ponadto głównym przedmiotem uwagi Trybunału w kontekście art.</w:t>
      </w:r>
      <w:r w:rsidR="00726B6A">
        <w:t> </w:t>
      </w:r>
      <w:r w:rsidR="004136B5">
        <w:t>6 ust.</w:t>
      </w:r>
      <w:r w:rsidR="00726B6A">
        <w:t> </w:t>
      </w:r>
      <w:r w:rsidR="004136B5">
        <w:t xml:space="preserve">1 Konwencji jest ocena ogólnej rzetelności postępowania </w:t>
      </w:r>
      <w:r w:rsidR="005B6529">
        <w:t xml:space="preserve">w sprawie karnej </w:t>
      </w:r>
      <w:r w:rsidR="004136B5">
        <w:t xml:space="preserve">(zob. </w:t>
      </w:r>
      <w:r w:rsidR="004136B5">
        <w:rPr>
          <w:bCs/>
          <w:i/>
          <w:iCs/>
        </w:rPr>
        <w:t xml:space="preserve">Schatschaschwili przeciwko Niemcom </w:t>
      </w:r>
      <w:r w:rsidR="004136B5">
        <w:t>[WI], skarga nr 9154/10, §§</w:t>
      </w:r>
      <w:r w:rsidR="007D3C67">
        <w:t> </w:t>
      </w:r>
      <w:r w:rsidR="004136B5">
        <w:t>100</w:t>
      </w:r>
      <w:r w:rsidR="004136B5">
        <w:noBreakHyphen/>
      </w:r>
      <w:r w:rsidR="005B6529">
        <w:t>1</w:t>
      </w:r>
      <w:r w:rsidR="004136B5">
        <w:t xml:space="preserve">01, 15 grudnia 2015 r., oraz </w:t>
      </w:r>
      <w:r w:rsidR="004136B5">
        <w:rPr>
          <w:bCs/>
          <w:i/>
          <w:iCs/>
        </w:rPr>
        <w:t>Taxquet przeciwko Belgii</w:t>
      </w:r>
      <w:r w:rsidR="004136B5">
        <w:t xml:space="preserve"> [WI], skarga nr926/05, §</w:t>
      </w:r>
      <w:r w:rsidR="005B6529">
        <w:t> </w:t>
      </w:r>
      <w:r w:rsidR="004136B5">
        <w:t>84, 16 listopada 2010 r., z dalszymi odniesieniami). Dokonując tej oceny, Trybunał weźmie pod uwagę całość postępowania, uwzględniając praw</w:t>
      </w:r>
      <w:r w:rsidR="005B6529">
        <w:t>a przysługujące obronie</w:t>
      </w:r>
      <w:r w:rsidR="004136B5">
        <w:t xml:space="preserve">, ale także interes społeczeństwa i ofiar w tym, aby przestępstwo było właściwie ścigane (patrz </w:t>
      </w:r>
      <w:r w:rsidR="004136B5">
        <w:rPr>
          <w:bCs/>
          <w:i/>
          <w:iCs/>
        </w:rPr>
        <w:t xml:space="preserve">Schatschaschwili, </w:t>
      </w:r>
      <w:r w:rsidR="004136B5">
        <w:t>cyt. powyżej, § 101, i</w:t>
      </w:r>
      <w:r w:rsidR="004136B5">
        <w:rPr>
          <w:bCs/>
          <w:i/>
          <w:iCs/>
        </w:rPr>
        <w:t xml:space="preserve"> Gäfgen przeciwko Niemcom</w:t>
      </w:r>
      <w:r w:rsidR="004136B5">
        <w:t xml:space="preserve"> [WI], skarga nr 22978/05, §</w:t>
      </w:r>
      <w:r w:rsidR="007D3C67">
        <w:t> </w:t>
      </w:r>
      <w:r w:rsidR="004136B5">
        <w:t xml:space="preserve">175, ETPCz 2010) oraz w razie potrzeby prawa świadków (zob. m.in </w:t>
      </w:r>
      <w:r w:rsidR="004136B5">
        <w:rPr>
          <w:i/>
          <w:iCs/>
        </w:rPr>
        <w:t>Al</w:t>
      </w:r>
      <w:r w:rsidR="004136B5">
        <w:rPr>
          <w:bCs/>
          <w:i/>
          <w:iCs/>
        </w:rPr>
        <w:noBreakHyphen/>
        <w:t>Khawaja i</w:t>
      </w:r>
      <w:r w:rsidR="005B6529">
        <w:rPr>
          <w:bCs/>
          <w:i/>
          <w:iCs/>
        </w:rPr>
        <w:t> </w:t>
      </w:r>
      <w:r w:rsidR="004136B5">
        <w:rPr>
          <w:bCs/>
          <w:i/>
          <w:iCs/>
        </w:rPr>
        <w:t>Tahery przeciwko Zjednoczonemu Królestwu</w:t>
      </w:r>
      <w:r w:rsidR="005B6529">
        <w:t xml:space="preserve"> </w:t>
      </w:r>
      <w:r w:rsidR="004136B5">
        <w:t>[WI], skargi nr</w:t>
      </w:r>
      <w:r w:rsidR="007D3C67">
        <w:t> </w:t>
      </w:r>
      <w:r w:rsidR="004136B5">
        <w:t>26766/05 i</w:t>
      </w:r>
      <w:r w:rsidR="005B6529">
        <w:t> </w:t>
      </w:r>
      <w:r w:rsidR="004136B5">
        <w:t>22228/06, §</w:t>
      </w:r>
      <w:r w:rsidR="007417B8">
        <w:t> </w:t>
      </w:r>
      <w:r w:rsidR="004136B5">
        <w:t>118, ETPCz</w:t>
      </w:r>
      <w:r w:rsidR="005B6529">
        <w:t xml:space="preserve"> </w:t>
      </w:r>
      <w:r w:rsidR="004136B5">
        <w:t>2011). W tym kontekście warto również zauważyć, że</w:t>
      </w:r>
      <w:r w:rsidR="007417B8">
        <w:t> </w:t>
      </w:r>
      <w:r w:rsidR="004136B5">
        <w:t xml:space="preserve">dopuszczalność materiału dowodowego jest kwestią regulowaną przez prawo krajowe i sądy krajowe, a jedynym przedmiotem uwagi Trybunału jest zbadanie, czy postępowanie zostało przeprowadzone rzetelnie (zob. </w:t>
      </w:r>
      <w:r w:rsidR="004136B5">
        <w:rPr>
          <w:bCs/>
          <w:i/>
          <w:iCs/>
        </w:rPr>
        <w:t>Seton przeciwko Zjednoczonemu Królestwu</w:t>
      </w:r>
      <w:r w:rsidR="004136B5">
        <w:t>, skarga nr</w:t>
      </w:r>
      <w:r w:rsidR="007D3C67">
        <w:t> </w:t>
      </w:r>
      <w:r w:rsidR="004136B5">
        <w:t>55287/10, §57, 31 marca 2016 r., z dalszymi odniesieniami).</w:t>
      </w:r>
    </w:p>
    <w:p w14:paraId="01416A5B" w14:textId="77777777" w:rsidR="004136B5" w:rsidRPr="00260D9D" w:rsidRDefault="00911B37" w:rsidP="00260D9D">
      <w:pPr>
        <w:pStyle w:val="JuPara"/>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46</w:t>
      </w:r>
      <w:r w:rsidRPr="00260D9D">
        <w:rPr>
          <w:bCs/>
        </w:rPr>
        <w:fldChar w:fldCharType="end"/>
      </w:r>
      <w:r w:rsidR="004136B5">
        <w:t>.  Trybunał sformułował ogólne zasady, które należy stosować w</w:t>
      </w:r>
      <w:r w:rsidR="005B6529">
        <w:t> </w:t>
      </w:r>
      <w:r w:rsidR="004136B5">
        <w:t xml:space="preserve">sprawach, w których świadek oskarżenia nie uczestniczył w rozprawie, ale dowód z jego wcześniejszych zeznań został dopuszczony; rzeczone ogólne zasady zostały określone w sprawie </w:t>
      </w:r>
      <w:r w:rsidR="004136B5">
        <w:rPr>
          <w:i/>
        </w:rPr>
        <w:t>Al</w:t>
      </w:r>
      <w:r w:rsidR="004136B5">
        <w:rPr>
          <w:rFonts w:ascii="MS Mincho" w:hAnsi="MS Mincho"/>
          <w:i/>
        </w:rPr>
        <w:t>‑</w:t>
      </w:r>
      <w:r w:rsidR="004136B5">
        <w:rPr>
          <w:i/>
        </w:rPr>
        <w:t xml:space="preserve">Khawaja i Tahery </w:t>
      </w:r>
      <w:r w:rsidR="004136B5">
        <w:t>(cyt. powyżej, §§</w:t>
      </w:r>
      <w:r w:rsidR="005B6529">
        <w:t> </w:t>
      </w:r>
      <w:r w:rsidR="004136B5">
        <w:t>118-</w:t>
      </w:r>
      <w:r w:rsidR="005B6529">
        <w:t>1</w:t>
      </w:r>
      <w:r w:rsidR="004136B5">
        <w:t xml:space="preserve">47). </w:t>
      </w:r>
      <w:r w:rsidR="005B6529">
        <w:t>Ich p</w:t>
      </w:r>
      <w:r w:rsidR="004136B5">
        <w:t xml:space="preserve">odsumowanie można </w:t>
      </w:r>
      <w:r w:rsidR="005B6529">
        <w:t>też</w:t>
      </w:r>
      <w:r w:rsidR="004136B5">
        <w:t xml:space="preserve"> znaleźć w </w:t>
      </w:r>
      <w:r w:rsidR="004136B5">
        <w:rPr>
          <w:i/>
          <w:iCs/>
        </w:rPr>
        <w:t>Seton</w:t>
      </w:r>
      <w:r w:rsidR="004136B5">
        <w:t xml:space="preserve"> (cyt. powyżej, §</w:t>
      </w:r>
      <w:r w:rsidR="005B6529">
        <w:t> </w:t>
      </w:r>
      <w:r w:rsidR="004136B5">
        <w:t xml:space="preserve">58) i </w:t>
      </w:r>
      <w:r w:rsidR="004136B5">
        <w:rPr>
          <w:i/>
        </w:rPr>
        <w:t>Blokhin</w:t>
      </w:r>
      <w:r w:rsidR="004136B5">
        <w:t xml:space="preserve"> (cyt. powyżej, §§ 200-202). W tym względzie</w:t>
      </w:r>
      <w:r w:rsidR="005B6529">
        <w:t>,</w:t>
      </w:r>
      <w:r w:rsidR="004136B5">
        <w:t xml:space="preserve"> </w:t>
      </w:r>
      <w:r w:rsidR="005B6529">
        <w:t>zważywszy na </w:t>
      </w:r>
      <w:r w:rsidR="004136B5">
        <w:t xml:space="preserve">orzecznictwo Trybunału, po pierwsze musi istnieć </w:t>
      </w:r>
      <w:r w:rsidR="005B6529">
        <w:t>ważn</w:t>
      </w:r>
      <w:r w:rsidR="0017785E">
        <w:t>y powód</w:t>
      </w:r>
      <w:r w:rsidR="004136B5">
        <w:t xml:space="preserve"> nie</w:t>
      </w:r>
      <w:r w:rsidR="0017785E">
        <w:t>obecności</w:t>
      </w:r>
      <w:r w:rsidR="004136B5">
        <w:t xml:space="preserve"> świadka na rozpraw</w:t>
      </w:r>
      <w:r w:rsidR="0017785E">
        <w:t>ie</w:t>
      </w:r>
      <w:r w:rsidR="004136B5">
        <w:t>, a po drugie, gdy wyrok skazujący op</w:t>
      </w:r>
      <w:r w:rsidR="00A42AE1">
        <w:t>arto</w:t>
      </w:r>
      <w:r w:rsidR="004136B5">
        <w:t xml:space="preserve"> jedynie lub w zdecydowanym stopniu na składanych poza sądem zeznaniach osoby, której oskarżony nie miał możliwości zadać pytań</w:t>
      </w:r>
      <w:r w:rsidR="00A42AE1">
        <w:t xml:space="preserve"> </w:t>
      </w:r>
      <w:r w:rsidR="004136B5">
        <w:t>w</w:t>
      </w:r>
      <w:r w:rsidR="00A42AE1">
        <w:t> </w:t>
      </w:r>
      <w:r w:rsidR="004136B5">
        <w:t xml:space="preserve">postępowaniu przygotowawczym czy </w:t>
      </w:r>
      <w:r w:rsidR="005B6529">
        <w:t>na rozprawie</w:t>
      </w:r>
      <w:r w:rsidR="004136B5">
        <w:t>, może to oznaczać, że</w:t>
      </w:r>
      <w:r w:rsidR="00A42AE1">
        <w:t> </w:t>
      </w:r>
      <w:r w:rsidR="004136B5">
        <w:t>prawo do obrony jest ograniczone w zakresie niespójnym z</w:t>
      </w:r>
      <w:r w:rsidR="005B6529">
        <w:t> </w:t>
      </w:r>
      <w:r w:rsidR="004136B5">
        <w:t xml:space="preserve">gwarancjami art. 6 (zob. </w:t>
      </w:r>
      <w:r w:rsidR="004136B5">
        <w:rPr>
          <w:i/>
        </w:rPr>
        <w:t>Blokhin</w:t>
      </w:r>
      <w:r w:rsidR="004136B5">
        <w:t>, cyt. powyżej, § 201, z dalszymi odniesieniami).</w:t>
      </w:r>
    </w:p>
    <w:bookmarkStart w:id="20" w:name="para_47"/>
    <w:p w14:paraId="4599C4AE" w14:textId="77777777" w:rsidR="004136B5" w:rsidRPr="00260D9D" w:rsidRDefault="00911B37" w:rsidP="00260D9D">
      <w:pPr>
        <w:pStyle w:val="JuPara"/>
      </w:pPr>
      <w:r w:rsidRPr="00260D9D">
        <w:lastRenderedPageBreak/>
        <w:fldChar w:fldCharType="begin"/>
      </w:r>
      <w:r w:rsidR="004136B5" w:rsidRPr="00260D9D">
        <w:instrText xml:space="preserve"> SEQ level0 \*arabic </w:instrText>
      </w:r>
      <w:r w:rsidRPr="00260D9D">
        <w:fldChar w:fldCharType="separate"/>
      </w:r>
      <w:r w:rsidR="00107B03">
        <w:rPr>
          <w:noProof/>
        </w:rPr>
        <w:t>47</w:t>
      </w:r>
      <w:r w:rsidRPr="00260D9D">
        <w:fldChar w:fldCharType="end"/>
      </w:r>
      <w:bookmarkEnd w:id="20"/>
      <w:r w:rsidR="004136B5">
        <w:t>.  Zasady te zostały doprecyzowane w sprawie </w:t>
      </w:r>
      <w:r w:rsidR="004136B5">
        <w:rPr>
          <w:i/>
          <w:iCs/>
        </w:rPr>
        <w:t>Schatschaschwili</w:t>
      </w:r>
      <w:r w:rsidR="004136B5">
        <w:t xml:space="preserve"> (cyt. powyżej, §§ 111-131), w której Wielka Izba potwierdziła, że brak ważnych p</w:t>
      </w:r>
      <w:r w:rsidR="0017785E">
        <w:t>owodów</w:t>
      </w:r>
      <w:r w:rsidR="004136B5">
        <w:t xml:space="preserve"> nie</w:t>
      </w:r>
      <w:r w:rsidR="0017785E">
        <w:t>obecności</w:t>
      </w:r>
      <w:r w:rsidR="004136B5">
        <w:t xml:space="preserve"> świadka nie może sam w sobie rozstrzygać o</w:t>
      </w:r>
      <w:r w:rsidR="0017785E">
        <w:t> </w:t>
      </w:r>
      <w:r w:rsidR="004136B5">
        <w:t>nierzetelności procesu, chociaż pozostaje bardzo ważnym czynnikiem, który należy rozważyć przy ocenie ogólnej rzetelności i który może przechylić szalę w kierunku stwierdzenia naruszenia art. 6 ust. 1 i ust.</w:t>
      </w:r>
      <w:r w:rsidR="007D3C67">
        <w:t> </w:t>
      </w:r>
      <w:r w:rsidR="004136B5">
        <w:t>3 lit. d). Ponadto, biorąc pod uwagę, że jego zadaniem jest upewnienie się co</w:t>
      </w:r>
      <w:r w:rsidR="0017785E">
        <w:t> </w:t>
      </w:r>
      <w:r w:rsidR="004136B5">
        <w:t>do</w:t>
      </w:r>
      <w:r w:rsidR="0017785E">
        <w:t> </w:t>
      </w:r>
      <w:r w:rsidR="004136B5">
        <w:t>rzetelności całego postępowania, Trybunał musi zbadać istnienie wystarczających czynników równoważących</w:t>
      </w:r>
      <w:r w:rsidR="0017785E">
        <w:t xml:space="preserve"> nie tylko</w:t>
      </w:r>
      <w:r w:rsidR="004136B5">
        <w:t xml:space="preserve"> w przypadkach, w</w:t>
      </w:r>
      <w:r w:rsidR="0017785E">
        <w:t> </w:t>
      </w:r>
      <w:r w:rsidR="004136B5">
        <w:t>których dowód z zeznań nieobecnego świadka stanowi jedyną lub decydującą podstawę skazania skarżącego, ale także w przypadkach, w</w:t>
      </w:r>
      <w:r w:rsidR="0017785E">
        <w:t> </w:t>
      </w:r>
      <w:r w:rsidR="004136B5">
        <w:t xml:space="preserve">których stwierdza, że nie jest jasne, czy dany dowód był jedyny lub decydujący, </w:t>
      </w:r>
      <w:r w:rsidR="0017785E">
        <w:t>lecz</w:t>
      </w:r>
      <w:r w:rsidR="004136B5">
        <w:t xml:space="preserve"> mimo to jest przekonany o jego znacznej wadze i fakcie, że</w:t>
      </w:r>
      <w:r w:rsidR="0017785E">
        <w:t> </w:t>
      </w:r>
      <w:r w:rsidR="004136B5">
        <w:t xml:space="preserve">dopuszczenie </w:t>
      </w:r>
      <w:r w:rsidR="0017785E">
        <w:t xml:space="preserve">go </w:t>
      </w:r>
      <w:r w:rsidR="004136B5">
        <w:t>mogło utrudnić obronę. Zakres czynników równoważących</w:t>
      </w:r>
      <w:r w:rsidR="0017785E">
        <w:t>,</w:t>
      </w:r>
      <w:r w:rsidR="004136B5">
        <w:t xml:space="preserve"> koniecznych do uznania procesu za rzetelny zależy od wagi dowodu z zeznań nieobecnego świadka. Im ważniejszy dowód, tym większą wagę muszą mieć czynniki równoważące, aby całościowo postępowanie można było uznać za </w:t>
      </w:r>
      <w:r w:rsidR="00A72671">
        <w:t>rzetelne</w:t>
      </w:r>
      <w:r w:rsidR="004136B5">
        <w:t xml:space="preserve"> (ibid., §</w:t>
      </w:r>
      <w:r w:rsidR="007D3C67">
        <w:t> </w:t>
      </w:r>
      <w:r w:rsidR="004136B5">
        <w:t xml:space="preserve">116, zob. także </w:t>
      </w:r>
      <w:r w:rsidR="004136B5">
        <w:rPr>
          <w:i/>
        </w:rPr>
        <w:t>Seton</w:t>
      </w:r>
      <w:r w:rsidR="004136B5">
        <w:t>, cyt. powyżej, §</w:t>
      </w:r>
      <w:r w:rsidR="0017785E">
        <w:t> </w:t>
      </w:r>
      <w:r w:rsidR="004136B5">
        <w:t>59).</w:t>
      </w:r>
    </w:p>
    <w:bookmarkStart w:id="21" w:name="GP_6_end"/>
    <w:p w14:paraId="371B13B7" w14:textId="77777777" w:rsidR="004136B5"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48</w:t>
      </w:r>
      <w:r w:rsidRPr="00260D9D">
        <w:fldChar w:fldCharType="end"/>
      </w:r>
      <w:bookmarkEnd w:id="21"/>
      <w:r w:rsidR="004136B5">
        <w:t>.  W tym kontekście jeżeli wyrok skazujący opiera się wyłącznie lub w</w:t>
      </w:r>
      <w:r w:rsidR="0017785E">
        <w:t> </w:t>
      </w:r>
      <w:r w:rsidR="004136B5">
        <w:t>decydującej mierze na dowodach z zeznań nieobecn</w:t>
      </w:r>
      <w:r w:rsidR="007D3C67">
        <w:t>ych</w:t>
      </w:r>
      <w:r w:rsidR="004136B5">
        <w:t xml:space="preserve"> świadk</w:t>
      </w:r>
      <w:r w:rsidR="007D3C67">
        <w:t>ów</w:t>
      </w:r>
      <w:r w:rsidR="004136B5">
        <w:t xml:space="preserve">, Trybunał musi poddać postępowanie szczególnie uważnej kontroli (zob. </w:t>
      </w:r>
      <w:r w:rsidR="004136B5">
        <w:rPr>
          <w:i/>
        </w:rPr>
        <w:t>Blokhin</w:t>
      </w:r>
      <w:r w:rsidR="004136B5">
        <w:t>, cyt.</w:t>
      </w:r>
      <w:r w:rsidR="0017785E">
        <w:t> </w:t>
      </w:r>
      <w:r w:rsidR="004136B5">
        <w:t>powyżej, § 202).</w:t>
      </w:r>
    </w:p>
    <w:p w14:paraId="24D023E1" w14:textId="77777777" w:rsidR="004136B5" w:rsidRPr="00260D9D" w:rsidRDefault="004136B5" w:rsidP="00260D9D">
      <w:pPr>
        <w:pStyle w:val="JuHa0"/>
        <w:ind w:left="975" w:hanging="340"/>
        <w:jc w:val="left"/>
      </w:pPr>
      <w:r>
        <w:t xml:space="preserve">Zastosowanie tych zasad do </w:t>
      </w:r>
      <w:r w:rsidR="0017785E">
        <w:t>faktów</w:t>
      </w:r>
      <w:r>
        <w:t xml:space="preserve"> rozpatrywanej sprawy</w:t>
      </w:r>
    </w:p>
    <w:p w14:paraId="5FFD44C1" w14:textId="77777777" w:rsidR="00597E18"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49</w:t>
      </w:r>
      <w:r w:rsidRPr="00260D9D">
        <w:rPr>
          <w:rFonts w:eastAsia="Times New Roman"/>
        </w:rPr>
        <w:fldChar w:fldCharType="end"/>
      </w:r>
      <w:r w:rsidR="004136B5">
        <w:t>.  Przechodząc do faktów badanej sprawy, Trybunał zauważa, że</w:t>
      </w:r>
      <w:r w:rsidR="0017785E">
        <w:t> </w:t>
      </w:r>
      <w:r w:rsidR="004136B5">
        <w:t xml:space="preserve">skarżący został objęty </w:t>
      </w:r>
      <w:r w:rsidR="00A72671">
        <w:t>dochodzeniem</w:t>
      </w:r>
      <w:r w:rsidR="004136B5">
        <w:t xml:space="preserve"> prokuratury (zob. paragraf</w:t>
      </w:r>
      <w:r w:rsidR="007D3C67">
        <w:t> </w:t>
      </w:r>
      <w:r w:rsidR="002C060E">
        <w:fldChar w:fldCharType="begin"/>
      </w:r>
      <w:r w:rsidR="002C060E">
        <w:instrText xml:space="preserve"> REF prosecution_start \h  \* MERGEFORMAT </w:instrText>
      </w:r>
      <w:r w:rsidR="002C060E">
        <w:fldChar w:fldCharType="separate"/>
      </w:r>
      <w:r w:rsidR="00107B03">
        <w:t>5</w:t>
      </w:r>
      <w:r w:rsidR="002C060E">
        <w:fldChar w:fldCharType="end"/>
      </w:r>
      <w:r w:rsidR="004136B5">
        <w:t xml:space="preserve"> powyżej), ale </w:t>
      </w:r>
      <w:r w:rsidR="0017785E">
        <w:t xml:space="preserve">postępowanie </w:t>
      </w:r>
      <w:r w:rsidR="004136B5">
        <w:t>zostało ostatecznie umorzone z uwagi na to, że</w:t>
      </w:r>
      <w:r w:rsidR="0017785E">
        <w:t> </w:t>
      </w:r>
      <w:r w:rsidR="004136B5">
        <w:t>popełnione czyny nie były wystarczająco poważne, aby stanowi</w:t>
      </w:r>
      <w:r w:rsidR="0017785E">
        <w:t>ły</w:t>
      </w:r>
      <w:r w:rsidR="004136B5">
        <w:t xml:space="preserve"> przestępstwo (zob. paragrafy </w:t>
      </w:r>
      <w:r w:rsidR="002C060E">
        <w:fldChar w:fldCharType="begin"/>
      </w:r>
      <w:r w:rsidR="002C060E">
        <w:instrText xml:space="preserve"> REF prosecution_end1 \h  \* MERGEFORMAT </w:instrText>
      </w:r>
      <w:r w:rsidR="002C060E">
        <w:fldChar w:fldCharType="separate"/>
      </w:r>
      <w:r w:rsidR="00107B03">
        <w:t>6</w:t>
      </w:r>
      <w:r w:rsidR="002C060E">
        <w:fldChar w:fldCharType="end"/>
      </w:r>
      <w:r w:rsidR="004136B5">
        <w:t xml:space="preserve"> i </w:t>
      </w:r>
      <w:r w:rsidR="002C060E">
        <w:fldChar w:fldCharType="begin"/>
      </w:r>
      <w:r w:rsidR="002C060E">
        <w:instrText xml:space="preserve"> REF prosecution_end2 \h  \* MERGEFORMAT </w:instrText>
      </w:r>
      <w:r w:rsidR="002C060E">
        <w:fldChar w:fldCharType="separate"/>
      </w:r>
      <w:r w:rsidR="00107B03">
        <w:t>10</w:t>
      </w:r>
      <w:r w:rsidR="002C060E">
        <w:fldChar w:fldCharType="end"/>
      </w:r>
      <w:r w:rsidR="004136B5">
        <w:t xml:space="preserve"> powyżej). Skarżący, który otrzymał grzywnę od prokuratury, zakwestionował</w:t>
      </w:r>
      <w:r w:rsidR="0017785E">
        <w:t xml:space="preserve"> postanowienie</w:t>
      </w:r>
      <w:r w:rsidR="004136B5">
        <w:t xml:space="preserve"> przed sądem karnym, korzystając z procedury przewidzianej w art. 278</w:t>
      </w:r>
      <w:r w:rsidR="004136B5">
        <w:rPr>
          <w:vertAlign w:val="superscript"/>
        </w:rPr>
        <w:t>1</w:t>
      </w:r>
      <w:r w:rsidR="004136B5">
        <w:t xml:space="preserve"> k.p.k.</w:t>
      </w:r>
    </w:p>
    <w:p w14:paraId="12438E09" w14:textId="77777777" w:rsidR="00597E18"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50</w:t>
      </w:r>
      <w:r w:rsidRPr="00260D9D">
        <w:rPr>
          <w:rFonts w:eastAsia="Times New Roman"/>
        </w:rPr>
        <w:fldChar w:fldCharType="end"/>
      </w:r>
      <w:r w:rsidR="004136B5">
        <w:t xml:space="preserve">.  Trybunał przypomina, że w ramach przedmiotowej procedury sądy krajowe zostały wezwane do zbadania zgodności z prawem postanowień prokuratury i nie miały uprawnienia do przesłuchania świadków ani bezpośredniej oceny meritum sprawy. Trybunał </w:t>
      </w:r>
      <w:r w:rsidR="0017785E">
        <w:t xml:space="preserve">niemniej zauważa, iż sąd krajowy dokonał oceny winy skarżącego, </w:t>
      </w:r>
      <w:r w:rsidR="004136B5">
        <w:t>stwierdzając</w:t>
      </w:r>
      <w:r w:rsidR="0017785E">
        <w:t xml:space="preserve"> w swoim ostatecznym postanowieniu z dnia 23 sierpnia 2011 r.</w:t>
      </w:r>
      <w:r w:rsidR="004136B5">
        <w:t xml:space="preserve">, </w:t>
      </w:r>
      <w:r w:rsidR="0017785E">
        <w:t>że</w:t>
      </w:r>
      <w:r w:rsidR="004136B5">
        <w:t xml:space="preserve"> skarżący „dokonał kradzieży</w:t>
      </w:r>
      <w:r w:rsidR="0017785E">
        <w:t xml:space="preserve"> […]</w:t>
      </w:r>
      <w:r w:rsidR="004136B5">
        <w:t xml:space="preserve"> metalowego ogrodzenia” (zob. paragraf</w:t>
      </w:r>
      <w:r w:rsidR="005B6529">
        <w:t xml:space="preserve"> </w:t>
      </w:r>
      <w:r w:rsidR="002C060E">
        <w:fldChar w:fldCharType="begin"/>
      </w:r>
      <w:r w:rsidR="002C060E">
        <w:instrText xml:space="preserve"> REF decision2 \h  \* MERGEFORMAT </w:instrText>
      </w:r>
      <w:r w:rsidR="002C060E">
        <w:fldChar w:fldCharType="separate"/>
      </w:r>
      <w:r w:rsidR="00107B03">
        <w:t>12</w:t>
      </w:r>
      <w:r w:rsidR="002C060E">
        <w:fldChar w:fldCharType="end"/>
      </w:r>
      <w:r w:rsidR="004136B5">
        <w:t xml:space="preserve"> powyżej). Czyniąc to,</w:t>
      </w:r>
      <w:r w:rsidR="0017785E">
        <w:t> </w:t>
      </w:r>
      <w:r w:rsidR="004136B5">
        <w:t>odniósł się do zeznań świadków, którzy nie stawili się przed sądem.</w:t>
      </w:r>
    </w:p>
    <w:p w14:paraId="44ACB4A7" w14:textId="77777777" w:rsidR="00597E18" w:rsidRPr="00260D9D" w:rsidRDefault="00911B37" w:rsidP="00260D9D">
      <w:pPr>
        <w:pStyle w:val="JuPara"/>
        <w:rPr>
          <w:rFonts w:eastAsia="Times New Roman"/>
          <w:bCs/>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51</w:t>
      </w:r>
      <w:r w:rsidRPr="00260D9D">
        <w:rPr>
          <w:rFonts w:eastAsia="Times New Roman"/>
        </w:rPr>
        <w:fldChar w:fldCharType="end"/>
      </w:r>
      <w:r w:rsidR="004136B5">
        <w:t xml:space="preserve">.  Trybunał zauważa, że świadkowie zostali przesłuchani jedynie w toku </w:t>
      </w:r>
      <w:r w:rsidR="00A72671">
        <w:t>dochodzeni</w:t>
      </w:r>
      <w:r w:rsidR="004136B5">
        <w:t xml:space="preserve">a (zob. paragraf </w:t>
      </w:r>
      <w:r w:rsidR="002C060E">
        <w:fldChar w:fldCharType="begin"/>
      </w:r>
      <w:r w:rsidR="002C060E">
        <w:instrText xml:space="preserve"> REF witness_statements \h  \* MERGEFORMAT </w:instrText>
      </w:r>
      <w:r w:rsidR="002C060E">
        <w:fldChar w:fldCharType="separate"/>
      </w:r>
      <w:r w:rsidR="00107B03">
        <w:t>9</w:t>
      </w:r>
      <w:r w:rsidR="002C060E">
        <w:fldChar w:fldCharType="end"/>
      </w:r>
      <w:r w:rsidR="004136B5">
        <w:t xml:space="preserve"> powyżej). W tym kontekście Trybunał musi ocenić, czy istniał ważny powód nie</w:t>
      </w:r>
      <w:r w:rsidR="0017785E">
        <w:t>obecności</w:t>
      </w:r>
      <w:r w:rsidR="004136B5">
        <w:t xml:space="preserve"> świadków przed sądem, taki jak </w:t>
      </w:r>
      <w:r w:rsidR="004136B5">
        <w:rPr>
          <w:rFonts w:ascii="Times New Roman" w:hAnsi="Times New Roman"/>
        </w:rPr>
        <w:t xml:space="preserve">zgon lub strach, nieobecność ze względów zdrowotnych lub niemożność </w:t>
      </w:r>
      <w:r w:rsidR="004136B5">
        <w:rPr>
          <w:rFonts w:ascii="Times New Roman" w:hAnsi="Times New Roman"/>
        </w:rPr>
        <w:lastRenderedPageBreak/>
        <w:t>dotarcia do świadka</w:t>
      </w:r>
      <w:r w:rsidR="004136B5">
        <w:t xml:space="preserve"> </w:t>
      </w:r>
      <w:bookmarkStart w:id="22" w:name="_Hlk56778703"/>
      <w:r w:rsidR="004136B5">
        <w:t xml:space="preserve">(zob. </w:t>
      </w:r>
      <w:r w:rsidR="004136B5">
        <w:rPr>
          <w:i/>
        </w:rPr>
        <w:t>Schatschaschwili</w:t>
      </w:r>
      <w:r w:rsidR="004136B5">
        <w:t>, cyt. powyżej, §</w:t>
      </w:r>
      <w:r w:rsidR="00F32EDC">
        <w:t> </w:t>
      </w:r>
      <w:r w:rsidR="004136B5">
        <w:t>119, z dalszymi odniesieniami</w:t>
      </w:r>
      <w:bookmarkEnd w:id="22"/>
      <w:r w:rsidR="004136B5">
        <w:t>). Trybunał zauważa, że obowiązujące prawo nie zezwalało sądom na przesłuchanie świadków w postępowaniu na podstawie art. 278</w:t>
      </w:r>
      <w:r w:rsidR="004136B5">
        <w:rPr>
          <w:vertAlign w:val="superscript"/>
        </w:rPr>
        <w:t>1</w:t>
      </w:r>
      <w:r w:rsidR="004136B5">
        <w:t xml:space="preserve"> k.p.k., ponieważ były one zobowiązane do zbadania zażalenia, opierając się na dowodach znajdujących się już w aktach sprawy, a jedynym wyjątkiem była możliwość zbadania dodatkowych dokumentów, jeśli byłaby taka potrzeba (zob. art. 278</w:t>
      </w:r>
      <w:r w:rsidR="004136B5">
        <w:rPr>
          <w:vertAlign w:val="superscript"/>
        </w:rPr>
        <w:t>1</w:t>
      </w:r>
      <w:r w:rsidR="004136B5">
        <w:t xml:space="preserve"> § 7 k.p.k., cyt. w paragrafie </w:t>
      </w:r>
      <w:r w:rsidR="002C060E">
        <w:fldChar w:fldCharType="begin"/>
      </w:r>
      <w:r w:rsidR="002C060E">
        <w:instrText xml:space="preserve"> REF DL_CCP \h  \* MERGEFORMAT </w:instrText>
      </w:r>
      <w:r w:rsidR="002C060E">
        <w:fldChar w:fldCharType="separate"/>
      </w:r>
      <w:r w:rsidR="00107B03" w:rsidRPr="00107B03">
        <w:t>15</w:t>
      </w:r>
      <w:r w:rsidR="002C060E">
        <w:fldChar w:fldCharType="end"/>
      </w:r>
      <w:r w:rsidR="004136B5">
        <w:t xml:space="preserve"> powyżej). Nie jest to</w:t>
      </w:r>
      <w:r w:rsidR="00196966">
        <w:t> </w:t>
      </w:r>
      <w:r w:rsidR="004136B5">
        <w:t xml:space="preserve">jednak </w:t>
      </w:r>
      <w:r w:rsidR="0017785E">
        <w:t xml:space="preserve">ważny powód </w:t>
      </w:r>
      <w:r w:rsidR="004136B5">
        <w:t>nie</w:t>
      </w:r>
      <w:r w:rsidR="0017785E">
        <w:t>obecności</w:t>
      </w:r>
      <w:r w:rsidR="004136B5">
        <w:t xml:space="preserve"> odpowiednich świadków w</w:t>
      </w:r>
      <w:r w:rsidR="0017785E">
        <w:t> </w:t>
      </w:r>
      <w:r w:rsidR="004136B5">
        <w:t xml:space="preserve">rozumieniu art. 6 Konwencji. Należy również zauważyć, że nic nie wskazuje na to, </w:t>
      </w:r>
      <w:r w:rsidR="0017785E">
        <w:t>aby</w:t>
      </w:r>
      <w:r w:rsidR="004136B5">
        <w:t xml:space="preserve"> świadkowie nie byli dostępni lub istniałyby inne trudności w wezwaniu ich do stawiennictwa przed sądem; podobnie takiej kwestii nie podniósł Rząd (zob. </w:t>
      </w:r>
      <w:r w:rsidR="004136B5">
        <w:rPr>
          <w:bCs/>
          <w:i/>
        </w:rPr>
        <w:t>Blokhin</w:t>
      </w:r>
      <w:r w:rsidR="004136B5">
        <w:t>, cyt. powyżej, § 213).</w:t>
      </w:r>
    </w:p>
    <w:p w14:paraId="309B4C27" w14:textId="77777777" w:rsidR="00597E18" w:rsidRPr="00260D9D" w:rsidRDefault="00911B37" w:rsidP="00260D9D">
      <w:pPr>
        <w:pStyle w:val="JuPara"/>
        <w:rPr>
          <w:rFonts w:eastAsia="Times New Roman"/>
        </w:rPr>
      </w:pPr>
      <w:r w:rsidRPr="00260D9D">
        <w:rPr>
          <w:bCs/>
        </w:rPr>
        <w:fldChar w:fldCharType="begin"/>
      </w:r>
      <w:r w:rsidR="004136B5" w:rsidRPr="00260D9D">
        <w:rPr>
          <w:bCs/>
        </w:rPr>
        <w:instrText xml:space="preserve"> SEQ level0 \*arabic </w:instrText>
      </w:r>
      <w:r w:rsidRPr="00260D9D">
        <w:rPr>
          <w:bCs/>
        </w:rPr>
        <w:fldChar w:fldCharType="separate"/>
      </w:r>
      <w:r w:rsidR="00107B03">
        <w:rPr>
          <w:bCs/>
          <w:noProof/>
        </w:rPr>
        <w:t>52</w:t>
      </w:r>
      <w:r w:rsidRPr="00260D9D">
        <w:rPr>
          <w:bCs/>
        </w:rPr>
        <w:fldChar w:fldCharType="end"/>
      </w:r>
      <w:r w:rsidR="004136B5">
        <w:t>.  Jeśli chodzi o znaczenie dowodu z zeznań nieobecnych świadków, Trybunał zauważa, że sąd krajowy wydał orzeczenie w sprawie, opierając się na zeznaniach złożonych przez tych świadków. Można z tego wywnioskować, że zeznania te były decydujące dla wniosku sądu (zob.</w:t>
      </w:r>
      <w:r w:rsidR="00C73ACD">
        <w:t> </w:t>
      </w:r>
      <w:r w:rsidR="004136B5">
        <w:rPr>
          <w:i/>
        </w:rPr>
        <w:t>Schatschaschwili</w:t>
      </w:r>
      <w:r w:rsidR="004136B5">
        <w:t xml:space="preserve">, § 141, i </w:t>
      </w:r>
      <w:r w:rsidR="004136B5">
        <w:rPr>
          <w:i/>
        </w:rPr>
        <w:t>Blokhin</w:t>
      </w:r>
      <w:r w:rsidR="004136B5">
        <w:t>, § 212, obie sprawy cyt. powyżej).</w:t>
      </w:r>
    </w:p>
    <w:p w14:paraId="50C533B5" w14:textId="77777777" w:rsidR="004136B5" w:rsidRPr="00260D9D" w:rsidRDefault="00911B37" w:rsidP="00260D9D">
      <w:pPr>
        <w:pStyle w:val="JuPara"/>
      </w:pPr>
      <w:r w:rsidRPr="00260D9D">
        <w:rPr>
          <w:rFonts w:eastAsia="Times New Roman" w:cs="Times New Roman"/>
        </w:rPr>
        <w:fldChar w:fldCharType="begin"/>
      </w:r>
      <w:r w:rsidR="004136B5" w:rsidRPr="00260D9D">
        <w:rPr>
          <w:rFonts w:eastAsia="Times New Roman" w:cs="Times New Roman"/>
        </w:rPr>
        <w:instrText xml:space="preserve"> SEQ level0 \*arabic </w:instrText>
      </w:r>
      <w:r w:rsidRPr="00260D9D">
        <w:rPr>
          <w:rFonts w:eastAsia="Times New Roman" w:cs="Times New Roman"/>
        </w:rPr>
        <w:fldChar w:fldCharType="separate"/>
      </w:r>
      <w:r w:rsidR="00107B03">
        <w:rPr>
          <w:rFonts w:eastAsia="Times New Roman" w:cs="Times New Roman"/>
          <w:noProof/>
        </w:rPr>
        <w:t>53</w:t>
      </w:r>
      <w:r w:rsidRPr="00260D9D">
        <w:rPr>
          <w:rFonts w:eastAsia="Times New Roman" w:cs="Times New Roman"/>
        </w:rPr>
        <w:fldChar w:fldCharType="end"/>
      </w:r>
      <w:r w:rsidR="004136B5">
        <w:t xml:space="preserve">.  Pozostaje do ustalenia, czy istniały wystarczające czynniki równoważące w celu zrekompensowania utrudnień, z którymi obrona mierzyła się w wyniku dopuszczenia decydującego dowodu z zeznań nieobecnych świadków (zob. </w:t>
      </w:r>
      <w:r w:rsidR="004136B5">
        <w:rPr>
          <w:i/>
        </w:rPr>
        <w:t>Schatschaschwili</w:t>
      </w:r>
      <w:r w:rsidR="004136B5">
        <w:t xml:space="preserve">, cyt. powyżej, § 145). Innymi słowy Trybunał musi upewnić się, że proces oceniany całościowo był rzetelny, pamiętając, że brak </w:t>
      </w:r>
      <w:r w:rsidR="0017785E">
        <w:t>ważnego powodu</w:t>
      </w:r>
      <w:r w:rsidR="004136B5">
        <w:t xml:space="preserve"> nieobecności świadka oskarżenia jest bardzo ważnym czynnikiem, który należy rozważyć przy ocenie ogólnej rzetelności procesu</w:t>
      </w:r>
      <w:r w:rsidR="00C73ACD">
        <w:t xml:space="preserve"> i m</w:t>
      </w:r>
      <w:r w:rsidR="004136B5">
        <w:t>oże przechylić szalę w kierunku stwierdzenia naruszenia art. 6 ust. 1 i ust. 3 lit</w:t>
      </w:r>
      <w:r w:rsidR="00C73ACD">
        <w:t>.</w:t>
      </w:r>
      <w:r w:rsidR="004136B5">
        <w:t xml:space="preserve"> d) (zob. orzecznictwo cyt. </w:t>
      </w:r>
      <w:r w:rsidR="00F32EDC">
        <w:t>w </w:t>
      </w:r>
      <w:r w:rsidR="004136B5">
        <w:t xml:space="preserve">paragrafie </w:t>
      </w:r>
      <w:r w:rsidR="002C060E">
        <w:fldChar w:fldCharType="begin"/>
      </w:r>
      <w:r w:rsidR="002C060E">
        <w:instrText xml:space="preserve"> REF para_47 \h  \* MERGEFORMAT </w:instrText>
      </w:r>
      <w:r w:rsidR="002C060E">
        <w:fldChar w:fldCharType="separate"/>
      </w:r>
      <w:r w:rsidR="00107B03">
        <w:t>47</w:t>
      </w:r>
      <w:r w:rsidR="002C060E">
        <w:fldChar w:fldCharType="end"/>
      </w:r>
      <w:r w:rsidR="004136B5">
        <w:t xml:space="preserve"> powyżej). Jednym z ważnych zabezpieczeń </w:t>
      </w:r>
      <w:r w:rsidR="004136B5">
        <w:rPr>
          <w:rFonts w:ascii="Times New Roman" w:hAnsi="Times New Roman"/>
          <w:szCs w:val="20"/>
        </w:rPr>
        <w:t xml:space="preserve">byłoby </w:t>
      </w:r>
      <w:r w:rsidR="004136B5">
        <w:t xml:space="preserve">umożliwienie skarżącemu lub obrońcy zadania pytań świadkom na etapie </w:t>
      </w:r>
      <w:r w:rsidR="00A72671">
        <w:t>dochodzenia</w:t>
      </w:r>
      <w:r w:rsidR="004136B5">
        <w:t xml:space="preserve"> (zob. </w:t>
      </w:r>
      <w:r w:rsidR="004136B5">
        <w:rPr>
          <w:i/>
        </w:rPr>
        <w:t>Schatschaschwili</w:t>
      </w:r>
      <w:r w:rsidR="004136B5">
        <w:t xml:space="preserve">, cyt. powyżej, § 131). W aktach sprawy nie ma jednakże dowodów na to, </w:t>
      </w:r>
      <w:r w:rsidR="00C73ACD">
        <w:t xml:space="preserve">aby </w:t>
      </w:r>
      <w:r w:rsidR="004136B5">
        <w:t>obrona została poinformowana o dacie przesłuchania świadków i wydaje się, że skarżący nie był obecny ani reprezentowany podczas przesłuchania przez policję (zob. paragraf</w:t>
      </w:r>
      <w:r w:rsidR="00F32EDC">
        <w:t> </w:t>
      </w:r>
      <w:r w:rsidR="002C060E">
        <w:fldChar w:fldCharType="begin"/>
      </w:r>
      <w:r w:rsidR="002C060E">
        <w:instrText xml:space="preserve"> REF witness_statements \h  \* MERGEFORMAT </w:instrText>
      </w:r>
      <w:r w:rsidR="002C060E">
        <w:fldChar w:fldCharType="separate"/>
      </w:r>
      <w:r w:rsidR="00107B03">
        <w:t>9</w:t>
      </w:r>
      <w:r w:rsidR="002C060E">
        <w:fldChar w:fldCharType="end"/>
      </w:r>
      <w:r w:rsidR="004136B5">
        <w:t xml:space="preserve"> powyżej), a Rząd nie przedstawił żadnego uzasadnienia, dlaczego skarżący nie był obecny podczas </w:t>
      </w:r>
      <w:r w:rsidR="00C73ACD">
        <w:t>czynności</w:t>
      </w:r>
      <w:r w:rsidR="004136B5">
        <w:t xml:space="preserve">. Ponadto </w:t>
      </w:r>
      <w:r w:rsidR="00C73ACD">
        <w:t>wy</w:t>
      </w:r>
      <w:r w:rsidR="004136B5">
        <w:t>daje się, że</w:t>
      </w:r>
      <w:r w:rsidR="00C73ACD">
        <w:t xml:space="preserve"> </w:t>
      </w:r>
      <w:r w:rsidR="004136B5">
        <w:t>skarżący nie otrzymał odpowiedzi na sformułowany przez niego zarzut</w:t>
      </w:r>
      <w:r w:rsidR="00C73ACD">
        <w:t xml:space="preserve"> o zastraszaniu świadków przez policję </w:t>
      </w:r>
      <w:r w:rsidR="004136B5">
        <w:t xml:space="preserve">(zob. paragrafy </w:t>
      </w:r>
      <w:r w:rsidR="002C060E">
        <w:fldChar w:fldCharType="begin"/>
      </w:r>
      <w:r w:rsidR="002C060E">
        <w:instrText xml:space="preserve"> REF A_contests_evidence \h  \* MERGEFORMAT </w:instrText>
      </w:r>
      <w:r w:rsidR="002C060E">
        <w:fldChar w:fldCharType="separate"/>
      </w:r>
      <w:r w:rsidR="00107B03">
        <w:t>11</w:t>
      </w:r>
      <w:r w:rsidR="002C060E">
        <w:fldChar w:fldCharType="end"/>
      </w:r>
      <w:r w:rsidR="004136B5">
        <w:t>-</w:t>
      </w:r>
      <w:r w:rsidR="002C060E">
        <w:fldChar w:fldCharType="begin"/>
      </w:r>
      <w:r w:rsidR="002C060E">
        <w:instrText xml:space="preserve"> REF decision2 \h  \* MERGEFORMAT </w:instrText>
      </w:r>
      <w:r w:rsidR="002C060E">
        <w:fldChar w:fldCharType="separate"/>
      </w:r>
      <w:r w:rsidR="00107B03">
        <w:t>12</w:t>
      </w:r>
      <w:r w:rsidR="002C060E">
        <w:fldChar w:fldCharType="end"/>
      </w:r>
      <w:r w:rsidR="004136B5">
        <w:t xml:space="preserve"> powyżej). W aktach sprawy nie ma dowodów, które wskazywałyby</w:t>
      </w:r>
      <w:r w:rsidR="00C73ACD">
        <w:t xml:space="preserve"> na to</w:t>
      </w:r>
      <w:r w:rsidR="004136B5">
        <w:t xml:space="preserve">, że skarżący w jakikolwiek sposób został poinformowany o terminie przesłuchania świadków przez </w:t>
      </w:r>
      <w:r w:rsidR="00C73ACD">
        <w:t>prowadzących dochodzenie</w:t>
      </w:r>
      <w:r w:rsidR="004136B5">
        <w:t xml:space="preserve"> lub zaproszony do udziału w czynności.</w:t>
      </w:r>
    </w:p>
    <w:p w14:paraId="385D81CB" w14:textId="77777777" w:rsidR="00597E18"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54</w:t>
      </w:r>
      <w:r w:rsidRPr="00260D9D">
        <w:rPr>
          <w:rFonts w:eastAsia="Times New Roman"/>
        </w:rPr>
        <w:fldChar w:fldCharType="end"/>
      </w:r>
      <w:r w:rsidR="004136B5">
        <w:t>.  Trybunał zauważa, że w zażaleniu złożonym do sądu krajowego skarżący wniósł o przeprowadzenie dodatkowego materiału dowodowego i</w:t>
      </w:r>
      <w:r w:rsidR="00C73ACD">
        <w:t> </w:t>
      </w:r>
      <w:r w:rsidR="004136B5">
        <w:t xml:space="preserve">zakwestionował prawdziwość niektórych zeznań świadków (zob. paragrafy </w:t>
      </w:r>
      <w:r w:rsidR="002C060E">
        <w:fldChar w:fldCharType="begin"/>
      </w:r>
      <w:r w:rsidR="002C060E">
        <w:instrText xml:space="preserve"> REF A_requests_evidence \h  \* MERGEFORMAT </w:instrText>
      </w:r>
      <w:r w:rsidR="002C060E">
        <w:fldChar w:fldCharType="separate"/>
      </w:r>
      <w:r w:rsidR="00107B03">
        <w:t>7</w:t>
      </w:r>
      <w:r w:rsidR="002C060E">
        <w:fldChar w:fldCharType="end"/>
      </w:r>
      <w:r w:rsidR="004136B5">
        <w:t xml:space="preserve"> i </w:t>
      </w:r>
      <w:r w:rsidR="002C060E">
        <w:fldChar w:fldCharType="begin"/>
      </w:r>
      <w:r w:rsidR="002C060E">
        <w:instrText xml:space="preserve"> REF A_contests_evidence \h  \* MERGEFORMAT </w:instrText>
      </w:r>
      <w:r w:rsidR="002C060E">
        <w:fldChar w:fldCharType="separate"/>
      </w:r>
      <w:r w:rsidR="00107B03">
        <w:t>11</w:t>
      </w:r>
      <w:r w:rsidR="002C060E">
        <w:fldChar w:fldCharType="end"/>
      </w:r>
      <w:r w:rsidR="004136B5">
        <w:t xml:space="preserve"> powyżej). Niemniej jednak sąd oparł swoją decyzję wyłącznie </w:t>
      </w:r>
      <w:r w:rsidR="004136B5">
        <w:lastRenderedPageBreak/>
        <w:t>na</w:t>
      </w:r>
      <w:r w:rsidR="00C73ACD">
        <w:t> </w:t>
      </w:r>
      <w:r w:rsidR="004136B5">
        <w:t xml:space="preserve">materiale dowodowym znajdującym się w aktach sprawy (zob. paragraf </w:t>
      </w:r>
      <w:r w:rsidR="002C060E">
        <w:fldChar w:fldCharType="begin"/>
      </w:r>
      <w:r w:rsidR="002C060E">
        <w:instrText xml:space="preserve"> REF decision2 \h  \* MERGEFORMAT </w:instrText>
      </w:r>
      <w:r w:rsidR="002C060E">
        <w:fldChar w:fldCharType="separate"/>
      </w:r>
      <w:r w:rsidR="00107B03">
        <w:t>12</w:t>
      </w:r>
      <w:r w:rsidR="002C060E">
        <w:fldChar w:fldCharType="end"/>
      </w:r>
      <w:r w:rsidR="004136B5">
        <w:t xml:space="preserve"> powyżej).</w:t>
      </w:r>
    </w:p>
    <w:p w14:paraId="764916D2" w14:textId="77777777" w:rsidR="004136B5" w:rsidRPr="00260D9D" w:rsidRDefault="00911B37" w:rsidP="00260D9D">
      <w:pPr>
        <w:pStyle w:val="JuPara"/>
        <w:rPr>
          <w:rFonts w:eastAsia="Times New Roman"/>
        </w:rPr>
      </w:pPr>
      <w:r w:rsidRPr="00260D9D">
        <w:rPr>
          <w:rFonts w:eastAsia="Times New Roman"/>
        </w:rPr>
        <w:fldChar w:fldCharType="begin"/>
      </w:r>
      <w:r w:rsidR="004136B5" w:rsidRPr="00260D9D">
        <w:rPr>
          <w:rFonts w:eastAsia="Times New Roman"/>
        </w:rPr>
        <w:instrText xml:space="preserve"> SEQ level0 \*arabic </w:instrText>
      </w:r>
      <w:r w:rsidRPr="00260D9D">
        <w:rPr>
          <w:rFonts w:eastAsia="Times New Roman"/>
        </w:rPr>
        <w:fldChar w:fldCharType="separate"/>
      </w:r>
      <w:r w:rsidR="00107B03">
        <w:rPr>
          <w:rFonts w:eastAsia="Times New Roman"/>
          <w:noProof/>
        </w:rPr>
        <w:t>55</w:t>
      </w:r>
      <w:r w:rsidRPr="00260D9D">
        <w:rPr>
          <w:rFonts w:eastAsia="Times New Roman"/>
        </w:rPr>
        <w:fldChar w:fldCharType="end"/>
      </w:r>
      <w:r w:rsidR="004136B5">
        <w:t xml:space="preserve">.  Co więcej w tej kwestii Trybunał zauważa, że zdecydowanie nawet jeżeli sąd nie dysponował kompetencją </w:t>
      </w:r>
      <w:r w:rsidR="00C73ACD">
        <w:t xml:space="preserve">do </w:t>
      </w:r>
      <w:r w:rsidR="004136B5">
        <w:t>przesłuchania świadków, dyspo</w:t>
      </w:r>
      <w:r w:rsidR="00C73ACD">
        <w:t xml:space="preserve">nował innymi środkami służącymi </w:t>
      </w:r>
      <w:r w:rsidR="004136B5">
        <w:t>rozstrzygnięciu sprawy, które mogły przynajmniej teoretycznie zapewnić lepszą ochronę praw</w:t>
      </w:r>
      <w:r w:rsidR="00C73ACD">
        <w:t xml:space="preserve"> przysługujących obronie</w:t>
      </w:r>
      <w:r w:rsidR="004136B5">
        <w:t>. W szczególności Trybunał odnotowuje, że zgodnie z art. 278</w:t>
      </w:r>
      <w:r w:rsidR="004136B5">
        <w:rPr>
          <w:vertAlign w:val="superscript"/>
        </w:rPr>
        <w:t>1</w:t>
      </w:r>
      <w:r w:rsidR="004136B5">
        <w:t xml:space="preserve"> k.p.k. sądy krajowe miały prawo uchylić postanowienie prokuratury i albo przekazać jej sprawę albo sprawę rozpatrzyć w ramach właściwego postępowania karnego jako sąd pierwszej instancji (zob. paragraf </w:t>
      </w:r>
      <w:r w:rsidR="002C060E">
        <w:fldChar w:fldCharType="begin"/>
      </w:r>
      <w:r w:rsidR="002C060E">
        <w:instrText xml:space="preserve"> REF DL_CCP \h  \* MERGEFORMAT </w:instrText>
      </w:r>
      <w:r w:rsidR="002C060E">
        <w:fldChar w:fldCharType="separate"/>
      </w:r>
      <w:r w:rsidR="00107B03" w:rsidRPr="00107B03">
        <w:t>15</w:t>
      </w:r>
      <w:r w:rsidR="002C060E">
        <w:fldChar w:fldCharType="end"/>
      </w:r>
      <w:r w:rsidR="004136B5">
        <w:t xml:space="preserve"> powyżej). Sąd krajowy, który skorzystał z tej możliwości i przekazał sprawę prokuraturze, gdy uznał potrzebę uzupełnienia </w:t>
      </w:r>
      <w:r w:rsidR="00A72671">
        <w:t>dochodzeni</w:t>
      </w:r>
      <w:r w:rsidR="004136B5">
        <w:t xml:space="preserve">a (zob. paragraf </w:t>
      </w:r>
      <w:r w:rsidR="002C060E">
        <w:fldChar w:fldCharType="begin"/>
      </w:r>
      <w:r w:rsidR="002C060E">
        <w:instrText xml:space="preserve"> REF decision1 \h  \* MERGEFORMAT </w:instrText>
      </w:r>
      <w:r w:rsidR="002C060E">
        <w:fldChar w:fldCharType="separate"/>
      </w:r>
      <w:r w:rsidR="00107B03">
        <w:t>8</w:t>
      </w:r>
      <w:r w:rsidR="002C060E">
        <w:fldChar w:fldCharType="end"/>
      </w:r>
      <w:r w:rsidR="004136B5">
        <w:t xml:space="preserve"> powyżej), nie skorzystał z tej możliwości ani nie zbadał sprawy we właściwym postępowaniu karnym, gdy został wezwany do</w:t>
      </w:r>
      <w:r w:rsidR="00C73ACD">
        <w:t> </w:t>
      </w:r>
      <w:r w:rsidR="004136B5">
        <w:t>zinterpretowania materiału dowodowego w aktach sprawy, w tym zeznań świadków. Zamiast tego sąd utrzymał w mocy postanowienie prokuratora z</w:t>
      </w:r>
      <w:r w:rsidR="00C73ACD">
        <w:t> </w:t>
      </w:r>
      <w:r w:rsidR="004136B5">
        <w:t>dnia 9 czerwca 2011 r. bez przeprowadzenia materiału dowodowego, ograniczając w ten sposób skarżącemu możliwość</w:t>
      </w:r>
      <w:r w:rsidR="00C73ACD">
        <w:t xml:space="preserve"> </w:t>
      </w:r>
      <w:r w:rsidR="004136B5">
        <w:t>zadania pytań świadkom, których zeznania miały decydujące znaczenie. W ten sposób sąd pozbawił skarżącego możliwości rozpatrzenia jego sprawy przez sąd zgodnie z</w:t>
      </w:r>
      <w:r w:rsidR="00C73ACD">
        <w:t> </w:t>
      </w:r>
      <w:r w:rsidR="004136B5">
        <w:t>wymogami Konwencji.</w:t>
      </w:r>
    </w:p>
    <w:p w14:paraId="6CFD5A77" w14:textId="77777777" w:rsidR="004136B5" w:rsidRPr="00260D9D" w:rsidRDefault="00911B37" w:rsidP="00260D9D">
      <w:pPr>
        <w:pStyle w:val="JuPara"/>
      </w:pPr>
      <w:r w:rsidRPr="00260D9D">
        <w:rPr>
          <w:rFonts w:eastAsia="Times New Roman" w:cs="Times New Roman"/>
        </w:rPr>
        <w:fldChar w:fldCharType="begin"/>
      </w:r>
      <w:r w:rsidR="004136B5" w:rsidRPr="00260D9D">
        <w:rPr>
          <w:rFonts w:eastAsia="Times New Roman" w:cs="Times New Roman"/>
        </w:rPr>
        <w:instrText xml:space="preserve"> SEQ level0 \*arabic </w:instrText>
      </w:r>
      <w:r w:rsidRPr="00260D9D">
        <w:rPr>
          <w:rFonts w:eastAsia="Times New Roman" w:cs="Times New Roman"/>
        </w:rPr>
        <w:fldChar w:fldCharType="separate"/>
      </w:r>
      <w:r w:rsidR="00107B03">
        <w:rPr>
          <w:rFonts w:eastAsia="Times New Roman" w:cs="Times New Roman"/>
          <w:noProof/>
        </w:rPr>
        <w:t>56</w:t>
      </w:r>
      <w:r w:rsidRPr="00260D9D">
        <w:rPr>
          <w:rFonts w:eastAsia="Times New Roman" w:cs="Times New Roman"/>
        </w:rPr>
        <w:fldChar w:fldCharType="end"/>
      </w:r>
      <w:r w:rsidR="004136B5">
        <w:t>.  W związku z powyższym doszło do naruszenia art. 6 ust. 1 i ust.</w:t>
      </w:r>
      <w:r w:rsidR="00F32EDC">
        <w:t> </w:t>
      </w:r>
      <w:r w:rsidR="004136B5">
        <w:t>3 lit.</w:t>
      </w:r>
      <w:r w:rsidR="00C73ACD">
        <w:t> </w:t>
      </w:r>
      <w:r w:rsidR="004136B5">
        <w:t>d) Konwencji.</w:t>
      </w:r>
    </w:p>
    <w:p w14:paraId="4E8481E3" w14:textId="77777777" w:rsidR="004136B5" w:rsidRPr="00260D9D" w:rsidRDefault="004136B5" w:rsidP="00260D9D">
      <w:pPr>
        <w:pStyle w:val="JuHIRoman"/>
        <w:tabs>
          <w:tab w:val="clear" w:pos="454"/>
          <w:tab w:val="clear" w:pos="567"/>
          <w:tab w:val="clear" w:pos="680"/>
        </w:tabs>
        <w:ind w:left="357" w:hanging="357"/>
        <w:jc w:val="left"/>
      </w:pPr>
      <w:r>
        <w:t>INNE ZARZUCANE NARUSZENIA POSTANOWIEŃ KONWENCJI</w:t>
      </w:r>
    </w:p>
    <w:p w14:paraId="4C77C8A4" w14:textId="77777777" w:rsidR="00597E18" w:rsidRPr="00260D9D" w:rsidRDefault="00000000" w:rsidP="00260D9D">
      <w:pPr>
        <w:pStyle w:val="JuPara"/>
      </w:pPr>
      <w:fldSimple w:instr=" SEQ level0 \*arabic ">
        <w:r w:rsidR="00107B03">
          <w:rPr>
            <w:noProof/>
          </w:rPr>
          <w:t>57</w:t>
        </w:r>
      </w:fldSimple>
      <w:r w:rsidR="004136B5">
        <w:t>.  Skarżący podniósł dodatkowe zarzuty na podstawie art.</w:t>
      </w:r>
      <w:r w:rsidR="00A55E07">
        <w:t> </w:t>
      </w:r>
      <w:r w:rsidR="004136B5">
        <w:t>3, art.</w:t>
      </w:r>
      <w:r w:rsidR="00A55E07">
        <w:t> </w:t>
      </w:r>
      <w:r w:rsidR="004136B5">
        <w:t>6 ust.</w:t>
      </w:r>
      <w:r w:rsidR="00F32EDC">
        <w:t> </w:t>
      </w:r>
      <w:r w:rsidR="004136B5">
        <w:t>1 (bezstronność sądu) i art.</w:t>
      </w:r>
      <w:r w:rsidR="00F32EDC">
        <w:t> </w:t>
      </w:r>
      <w:r w:rsidR="004136B5">
        <w:t>13 Konwencji oraz art.</w:t>
      </w:r>
      <w:r w:rsidR="00F32EDC">
        <w:t> </w:t>
      </w:r>
      <w:r w:rsidR="004136B5">
        <w:t>1 Protokołu nr</w:t>
      </w:r>
      <w:r w:rsidR="00F32EDC">
        <w:t> </w:t>
      </w:r>
      <w:r w:rsidR="004136B5">
        <w:t>1 do</w:t>
      </w:r>
      <w:r w:rsidR="00C73ACD">
        <w:t> </w:t>
      </w:r>
      <w:r w:rsidR="004136B5">
        <w:t>Konwencji.</w:t>
      </w:r>
    </w:p>
    <w:p w14:paraId="2A5919FD" w14:textId="77777777" w:rsidR="004136B5" w:rsidRPr="00260D9D" w:rsidRDefault="00000000" w:rsidP="00260D9D">
      <w:pPr>
        <w:pStyle w:val="JuPara"/>
      </w:pPr>
      <w:fldSimple w:instr=" SEQ level0 \*arabic ">
        <w:r w:rsidR="00107B03">
          <w:rPr>
            <w:noProof/>
          </w:rPr>
          <w:t>58</w:t>
        </w:r>
      </w:fldSimple>
      <w:r w:rsidR="004136B5">
        <w:t>.  Jednakże, w świetle całego materiału przedstawionego Trybunałowi i</w:t>
      </w:r>
      <w:r w:rsidR="00C73ACD">
        <w:t> </w:t>
      </w:r>
      <w:r w:rsidR="004136B5">
        <w:t xml:space="preserve">w zakresie, w jakim sporne kwestie mieszczą się w jego kompetencjach, Trybunał stwierdza, że zarzuty te nie </w:t>
      </w:r>
      <w:r w:rsidR="00C73ACD">
        <w:t xml:space="preserve">mają </w:t>
      </w:r>
      <w:r w:rsidR="004136B5">
        <w:t>żadnych znamion naruszenia praw i wolności określonych w Konwencji lub Protokołach do niej.</w:t>
      </w:r>
    </w:p>
    <w:p w14:paraId="3746D3A8" w14:textId="77777777" w:rsidR="004136B5" w:rsidRPr="00260D9D" w:rsidRDefault="00000000" w:rsidP="00260D9D">
      <w:pPr>
        <w:pStyle w:val="JuPara"/>
      </w:pPr>
      <w:fldSimple w:instr=" SEQ level0 \*arabic ">
        <w:r w:rsidR="00107B03">
          <w:rPr>
            <w:noProof/>
          </w:rPr>
          <w:t>59</w:t>
        </w:r>
      </w:fldSimple>
      <w:r w:rsidR="004136B5">
        <w:t>.  Wobec powyższego zarzuty te są w sposób oczywisty nieuzasadnione i podlegają odrzuceniu zgodnie z art. 35 ust. 3 lit. a</w:t>
      </w:r>
      <w:r w:rsidR="00C73ACD">
        <w:t>)</w:t>
      </w:r>
      <w:r w:rsidR="004136B5">
        <w:t xml:space="preserve"> oraz ust. 4 Konwencji.</w:t>
      </w:r>
    </w:p>
    <w:p w14:paraId="33329838" w14:textId="77777777" w:rsidR="004136B5" w:rsidRPr="00260D9D" w:rsidRDefault="004136B5" w:rsidP="00260D9D">
      <w:pPr>
        <w:pStyle w:val="JuHIRoman"/>
        <w:tabs>
          <w:tab w:val="clear" w:pos="454"/>
          <w:tab w:val="clear" w:pos="567"/>
          <w:tab w:val="clear" w:pos="680"/>
        </w:tabs>
        <w:ind w:left="357" w:hanging="357"/>
        <w:jc w:val="left"/>
      </w:pPr>
      <w:r>
        <w:t>ZASTOSOWANIE ART. 41 KONWENCJI</w:t>
      </w:r>
    </w:p>
    <w:p w14:paraId="37065B0F" w14:textId="77777777" w:rsidR="004136B5" w:rsidRPr="00260D9D" w:rsidRDefault="00000000" w:rsidP="00260D9D">
      <w:pPr>
        <w:pStyle w:val="JuPara"/>
        <w:keepNext/>
        <w:keepLines/>
      </w:pPr>
      <w:fldSimple w:instr=" SEQ level0 \*arabic ">
        <w:r w:rsidR="00107B03">
          <w:rPr>
            <w:noProof/>
          </w:rPr>
          <w:t>60</w:t>
        </w:r>
      </w:fldSimple>
      <w:r w:rsidR="004136B5">
        <w:t>.  Artykuł 41 Konwencji stanowi:</w:t>
      </w:r>
    </w:p>
    <w:p w14:paraId="09E02991" w14:textId="77777777" w:rsidR="004136B5" w:rsidRPr="00260D9D" w:rsidRDefault="004136B5" w:rsidP="00260D9D">
      <w:pPr>
        <w:pStyle w:val="JuQuot"/>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7A74E5A" w14:textId="77777777" w:rsidR="004136B5" w:rsidRPr="00260D9D" w:rsidRDefault="004136B5" w:rsidP="00260D9D">
      <w:pPr>
        <w:pStyle w:val="JuHA"/>
      </w:pPr>
      <w:r>
        <w:lastRenderedPageBreak/>
        <w:t>Szkoda</w:t>
      </w:r>
    </w:p>
    <w:p w14:paraId="6875D91D" w14:textId="77777777" w:rsidR="004136B5" w:rsidRPr="00260D9D" w:rsidRDefault="00000000" w:rsidP="00260D9D">
      <w:pPr>
        <w:pStyle w:val="JuPara"/>
      </w:pPr>
      <w:fldSimple w:instr=" SEQ level0 \*arabic ">
        <w:r w:rsidR="00107B03">
          <w:rPr>
            <w:noProof/>
          </w:rPr>
          <w:t>61</w:t>
        </w:r>
      </w:fldSimple>
      <w:r w:rsidR="004136B5">
        <w:t>.  Skarżący domagał się kwoty 190 000 euro (EUR) tytułem szkody majątkowej oraz kwoty 30 000 EUR tytułem szkody niemajątkowej.</w:t>
      </w:r>
    </w:p>
    <w:p w14:paraId="0C1728A5" w14:textId="77777777" w:rsidR="004136B5" w:rsidRPr="00260D9D" w:rsidRDefault="00000000" w:rsidP="00260D9D">
      <w:pPr>
        <w:pStyle w:val="JuPara"/>
      </w:pPr>
      <w:fldSimple w:instr=" SEQ level0 \*arabic ">
        <w:r w:rsidR="00107B03">
          <w:rPr>
            <w:noProof/>
          </w:rPr>
          <w:t>62</w:t>
        </w:r>
      </w:fldSimple>
      <w:r w:rsidR="004136B5">
        <w:t xml:space="preserve">.  Rząd stwierdził, że nie istnieje związek </w:t>
      </w:r>
      <w:r w:rsidR="00C73ACD">
        <w:t>przyczynowo-skutkowy</w:t>
      </w:r>
      <w:r w:rsidR="004136B5">
        <w:t xml:space="preserve"> pomiędzy </w:t>
      </w:r>
      <w:r w:rsidR="00C73ACD">
        <w:t xml:space="preserve">zarzutem sformułowanym </w:t>
      </w:r>
      <w:r w:rsidR="004136B5">
        <w:t xml:space="preserve">przez skarżącego </w:t>
      </w:r>
      <w:r w:rsidR="00C73ACD">
        <w:t xml:space="preserve">przed </w:t>
      </w:r>
      <w:r w:rsidR="004136B5">
        <w:t>Trybunał</w:t>
      </w:r>
      <w:r w:rsidR="00C73ACD">
        <w:t>em</w:t>
      </w:r>
      <w:r w:rsidR="004136B5">
        <w:t xml:space="preserve"> a</w:t>
      </w:r>
      <w:r w:rsidR="00C73ACD">
        <w:t> </w:t>
      </w:r>
      <w:r w:rsidR="004136B5">
        <w:t>żądanym odszkodowaniem za szkodę pieniężną. Ponadto Rząd wskazał, że</w:t>
      </w:r>
      <w:r w:rsidR="00C73ACD">
        <w:t> skarżący</w:t>
      </w:r>
      <w:r w:rsidR="004136B5">
        <w:t xml:space="preserve"> może ubiegać się o wznowienie postępowania na podstawie art.</w:t>
      </w:r>
      <w:r w:rsidR="00A55E07">
        <w:t> </w:t>
      </w:r>
      <w:r w:rsidR="004136B5">
        <w:t>465 §</w:t>
      </w:r>
      <w:r w:rsidR="00A55E07">
        <w:t> </w:t>
      </w:r>
      <w:r w:rsidR="004136B5">
        <w:t>1 k.p.k. Wreszcie argumentował, że stwierdzenie naruszenia stanowi wystarczające słuszne zadośćuczynienie za rzekomą szkodę niemajątkową.</w:t>
      </w:r>
    </w:p>
    <w:bookmarkStart w:id="23" w:name="REOPENING"/>
    <w:p w14:paraId="6F7F0620" w14:textId="77777777" w:rsidR="00597E18" w:rsidRPr="00260D9D" w:rsidRDefault="00911B37" w:rsidP="00260D9D">
      <w:pPr>
        <w:pStyle w:val="JuPara"/>
      </w:pPr>
      <w:r w:rsidRPr="00260D9D">
        <w:fldChar w:fldCharType="begin"/>
      </w:r>
      <w:r w:rsidR="004136B5" w:rsidRPr="00260D9D">
        <w:instrText xml:space="preserve"> SEQ level0 \*arabic </w:instrText>
      </w:r>
      <w:r w:rsidRPr="00260D9D">
        <w:fldChar w:fldCharType="separate"/>
      </w:r>
      <w:r w:rsidR="00107B03">
        <w:rPr>
          <w:noProof/>
        </w:rPr>
        <w:t>63</w:t>
      </w:r>
      <w:r w:rsidRPr="00260D9D">
        <w:fldChar w:fldCharType="end"/>
      </w:r>
      <w:bookmarkEnd w:id="23"/>
      <w:r w:rsidR="004136B5">
        <w:t>.  Trybunał zauważa, że art.</w:t>
      </w:r>
      <w:r w:rsidR="00A55E07">
        <w:t> </w:t>
      </w:r>
      <w:r w:rsidR="004136B5">
        <w:t>465 §</w:t>
      </w:r>
      <w:r w:rsidR="00A55E07">
        <w:t> </w:t>
      </w:r>
      <w:r w:rsidR="004136B5">
        <w:t>1 k.p.k. pozwala na wznowienie postępowania krajowego w celu naprawienia stwierdzonych naruszeń. Biorąc pod uwagę charakter skargi skarżącego na podstawie art.</w:t>
      </w:r>
      <w:r w:rsidR="00A55E07">
        <w:t> </w:t>
      </w:r>
      <w:r w:rsidR="004136B5">
        <w:t xml:space="preserve">6 Konwencji, Trybunał </w:t>
      </w:r>
      <w:r w:rsidR="00C73ACD">
        <w:t>uważa</w:t>
      </w:r>
      <w:r w:rsidR="004136B5">
        <w:t xml:space="preserve">, że najwłaściwszą formą zadośćuczynienia </w:t>
      </w:r>
      <w:r w:rsidR="00C73ACD">
        <w:t xml:space="preserve">w niniejszej sprawie </w:t>
      </w:r>
      <w:r w:rsidR="004136B5">
        <w:t>byłoby</w:t>
      </w:r>
      <w:r w:rsidR="00C73ACD">
        <w:t xml:space="preserve"> </w:t>
      </w:r>
      <w:r w:rsidR="004136B5">
        <w:t>wznowienie skarżonego postępowania w odpowiednim czasie</w:t>
      </w:r>
      <w:r w:rsidR="00C73ACD">
        <w:t>, na wniosek skarżącego</w:t>
      </w:r>
      <w:r w:rsidR="004136B5">
        <w:t>.</w:t>
      </w:r>
    </w:p>
    <w:p w14:paraId="771ADEB3" w14:textId="77777777" w:rsidR="004136B5" w:rsidRPr="00260D9D" w:rsidRDefault="00000000" w:rsidP="00260D9D">
      <w:pPr>
        <w:pStyle w:val="JuPara"/>
      </w:pPr>
      <w:fldSimple w:instr=" SEQ level0 \*arabic ">
        <w:r w:rsidR="00107B03">
          <w:rPr>
            <w:noProof/>
          </w:rPr>
          <w:t>64</w:t>
        </w:r>
      </w:fldSimple>
      <w:r w:rsidR="004136B5">
        <w:t>.  Z drugiej strony Trybunał uważa, że skarżący doznał pewnej krzywdy, której nie można zrekompensować wyłącznie wznowieniem postępowania lub stwierdzeniem naruszenia. Mając na uwadze charakter naruszenia i kierując się w ocenie względami słuszności, Trybunał zasądza na rzecz skarżącego kwotę 4 000 EUR tytułem zadośćuczynienia za szkodę niemajątkową powiększoną o podatek należny od tej kwoty.</w:t>
      </w:r>
    </w:p>
    <w:p w14:paraId="5CDE7A94" w14:textId="77777777" w:rsidR="004136B5" w:rsidRPr="00260D9D" w:rsidRDefault="004136B5" w:rsidP="00260D9D">
      <w:pPr>
        <w:pStyle w:val="JuHA"/>
      </w:pPr>
      <w:r>
        <w:t>Koszty i wydatki</w:t>
      </w:r>
    </w:p>
    <w:p w14:paraId="5E115BDA" w14:textId="77777777" w:rsidR="004136B5" w:rsidRPr="00260D9D" w:rsidRDefault="00000000" w:rsidP="00260D9D">
      <w:pPr>
        <w:pStyle w:val="JuPara"/>
      </w:pPr>
      <w:fldSimple w:instr=" SEQ level0 \*arabic ">
        <w:r w:rsidR="00107B03">
          <w:rPr>
            <w:noProof/>
          </w:rPr>
          <w:t>65</w:t>
        </w:r>
      </w:fldSimple>
      <w:r w:rsidR="004136B5">
        <w:t>.  Skarżący domagał się również kwoty 3</w:t>
      </w:r>
      <w:r w:rsidR="00A55E07">
        <w:t> </w:t>
      </w:r>
      <w:r w:rsidR="004136B5">
        <w:t>000</w:t>
      </w:r>
      <w:r w:rsidR="00A55E07">
        <w:t> </w:t>
      </w:r>
      <w:r w:rsidR="004136B5">
        <w:t>EUR tytułem kosztów i wydatków.</w:t>
      </w:r>
    </w:p>
    <w:p w14:paraId="5AFD9D19" w14:textId="77777777" w:rsidR="00597E18" w:rsidRPr="00260D9D" w:rsidRDefault="00000000" w:rsidP="00260D9D">
      <w:pPr>
        <w:pStyle w:val="JuPara"/>
      </w:pPr>
      <w:fldSimple w:instr=" SEQ level0 \*arabic ">
        <w:r w:rsidR="00107B03">
          <w:rPr>
            <w:noProof/>
          </w:rPr>
          <w:t>66</w:t>
        </w:r>
      </w:fldSimple>
      <w:r w:rsidR="004136B5">
        <w:t>.  Rząd zauważył, że skarżący nie przedstawił żadnych dowodów na</w:t>
      </w:r>
      <w:r w:rsidR="008B6FDB">
        <w:t> </w:t>
      </w:r>
      <w:r w:rsidR="004136B5">
        <w:t>poparcie tego roszczenia.</w:t>
      </w:r>
    </w:p>
    <w:p w14:paraId="4E80BF4B" w14:textId="77777777" w:rsidR="004136B5" w:rsidRPr="00260D9D" w:rsidRDefault="00000000" w:rsidP="00260D9D">
      <w:pPr>
        <w:pStyle w:val="JuPara"/>
      </w:pPr>
      <w:fldSimple w:instr=" SEQ level0 \*arabic ">
        <w:r w:rsidR="00107B03">
          <w:rPr>
            <w:noProof/>
          </w:rPr>
          <w:t>67</w:t>
        </w:r>
      </w:fldSimple>
      <w:r w:rsidR="004136B5">
        <w:t>.  W świetle posiadanych dokumentów i orzecznictwa Trybunał odrzuca żądanie zwrotu kosztów i wydatków.</w:t>
      </w:r>
    </w:p>
    <w:p w14:paraId="3C3779B6" w14:textId="77777777" w:rsidR="004136B5" w:rsidRPr="00260D9D" w:rsidRDefault="004136B5" w:rsidP="00260D9D">
      <w:pPr>
        <w:pStyle w:val="JuHA"/>
        <w:numPr>
          <w:ilvl w:val="2"/>
          <w:numId w:val="1"/>
        </w:numPr>
        <w:jc w:val="left"/>
      </w:pPr>
      <w:r>
        <w:t>Odsetki za zwłokę</w:t>
      </w:r>
    </w:p>
    <w:p w14:paraId="37451050" w14:textId="77777777" w:rsidR="004136B5" w:rsidRPr="00260D9D" w:rsidRDefault="00000000" w:rsidP="00260D9D">
      <w:pPr>
        <w:pStyle w:val="JuPara"/>
      </w:pPr>
      <w:fldSimple w:instr=" SEQ level0 \*arabic ">
        <w:r w:rsidR="00107B03">
          <w:rPr>
            <w:noProof/>
          </w:rPr>
          <w:t>68</w:t>
        </w:r>
      </w:fldSimple>
      <w:r w:rsidR="004136B5">
        <w:t>.  Trybunał za słuszne uznaje wyznaczenie wysokości odsetek za</w:t>
      </w:r>
      <w:r w:rsidR="008B6FDB">
        <w:t> </w:t>
      </w:r>
      <w:r w:rsidR="004136B5">
        <w:t>zwłokę na podstawie marginalnej stopy procentowej Europejskiego Banku Centralnego powiększonej o trzy punkty procentowe.</w:t>
      </w:r>
    </w:p>
    <w:p w14:paraId="6F8F94B1" w14:textId="77777777" w:rsidR="004136B5" w:rsidRPr="00260D9D" w:rsidRDefault="004136B5" w:rsidP="00260D9D">
      <w:pPr>
        <w:pStyle w:val="JuHHead"/>
        <w:numPr>
          <w:ilvl w:val="0"/>
          <w:numId w:val="3"/>
        </w:numPr>
        <w:jc w:val="left"/>
      </w:pPr>
      <w:r>
        <w:t>Z TYCH PRZYCZYN TRYBUNAŁ</w:t>
      </w:r>
    </w:p>
    <w:p w14:paraId="72483D03" w14:textId="5E234033" w:rsidR="004136B5" w:rsidRPr="00260D9D" w:rsidRDefault="004B251B" w:rsidP="00260D9D">
      <w:pPr>
        <w:pStyle w:val="JuList"/>
        <w:numPr>
          <w:ilvl w:val="0"/>
          <w:numId w:val="2"/>
        </w:numPr>
      </w:pPr>
      <w:r>
        <w:rPr>
          <w:i/>
        </w:rPr>
        <w:t>U</w:t>
      </w:r>
      <w:r w:rsidR="004136B5">
        <w:rPr>
          <w:i/>
        </w:rPr>
        <w:t>znaje</w:t>
      </w:r>
      <w:r w:rsidR="004136B5">
        <w:t xml:space="preserve"> jednogłośnie zarzut dotyczący </w:t>
      </w:r>
      <w:r w:rsidR="00A72671">
        <w:t xml:space="preserve">rzetelności </w:t>
      </w:r>
      <w:r w:rsidR="004136B5">
        <w:t xml:space="preserve">postępowania </w:t>
      </w:r>
      <w:r w:rsidR="00A72671">
        <w:t>w sprawie karnej</w:t>
      </w:r>
      <w:r w:rsidR="004136B5">
        <w:t xml:space="preserve"> za dopuszczalny, a pozostałą część skargi za niedopuszczalną;</w:t>
      </w:r>
    </w:p>
    <w:p w14:paraId="58599FE3" w14:textId="2C7E6A33" w:rsidR="004136B5" w:rsidRPr="00260D9D" w:rsidRDefault="004B251B" w:rsidP="00260D9D">
      <w:pPr>
        <w:pStyle w:val="JuList"/>
        <w:numPr>
          <w:ilvl w:val="0"/>
          <w:numId w:val="2"/>
        </w:numPr>
      </w:pPr>
      <w:r>
        <w:rPr>
          <w:i/>
        </w:rPr>
        <w:lastRenderedPageBreak/>
        <w:t>O</w:t>
      </w:r>
      <w:r w:rsidR="004136B5">
        <w:rPr>
          <w:i/>
        </w:rPr>
        <w:t>rzeka</w:t>
      </w:r>
      <w:r w:rsidR="004136B5">
        <w:t>, jednogłośnie, że doszło do naruszenia art. 6 ust. 1 i ust.</w:t>
      </w:r>
      <w:r w:rsidR="00A55E07">
        <w:t> </w:t>
      </w:r>
      <w:r w:rsidR="004136B5">
        <w:t>3 lit. </w:t>
      </w:r>
      <w:r w:rsidR="008B6FDB">
        <w:t>d)</w:t>
      </w:r>
      <w:r w:rsidR="004136B5">
        <w:t xml:space="preserve"> Konwencji;</w:t>
      </w:r>
    </w:p>
    <w:p w14:paraId="0157B4CA" w14:textId="55A7291D" w:rsidR="004136B5" w:rsidRPr="00260D9D" w:rsidRDefault="004B251B" w:rsidP="00260D9D">
      <w:pPr>
        <w:pStyle w:val="JuList"/>
        <w:numPr>
          <w:ilvl w:val="0"/>
          <w:numId w:val="2"/>
        </w:numPr>
      </w:pPr>
      <w:r>
        <w:rPr>
          <w:i/>
          <w:iCs/>
        </w:rPr>
        <w:t>U</w:t>
      </w:r>
      <w:r w:rsidR="004136B5">
        <w:rPr>
          <w:i/>
          <w:iCs/>
        </w:rPr>
        <w:t>znaje</w:t>
      </w:r>
      <w:r w:rsidR="004136B5">
        <w:rPr>
          <w:i/>
        </w:rPr>
        <w:t>,</w:t>
      </w:r>
    </w:p>
    <w:p w14:paraId="1CBF5D63" w14:textId="77777777" w:rsidR="00597E18" w:rsidRPr="00260D9D" w:rsidRDefault="00597E18" w:rsidP="00260D9D">
      <w:pPr>
        <w:pStyle w:val="JuLista"/>
        <w:numPr>
          <w:ilvl w:val="1"/>
          <w:numId w:val="2"/>
        </w:numPr>
      </w:pPr>
      <w:r>
        <w:t xml:space="preserve">pięcioma głosami do dwóch, że pozwane państwo winno, w terminie trzech miesięcy od daty, w której niniejszy wyrok stanie się ostateczny zgodnie z art. 44 ust. 2 Konwencji, uiścić na rzecz skarżącego tytułem zadośćuczynienia za szkodę niemajątkową kwotę 4 000 EUR (cztery tysięcy euro) </w:t>
      </w:r>
      <w:r w:rsidR="008B6FDB">
        <w:t xml:space="preserve">plus wszelkie należne podatki, </w:t>
      </w:r>
      <w:r w:rsidR="008B6FDB" w:rsidRPr="008B6FDB">
        <w:t>przeliczoną na walutę pozwanego państwa według kursu obowiązującego w dniu płatności</w:t>
      </w:r>
      <w:r w:rsidR="008B6FDB">
        <w:t>;</w:t>
      </w:r>
    </w:p>
    <w:p w14:paraId="746E54B0" w14:textId="77777777" w:rsidR="00597E18" w:rsidRPr="00260D9D" w:rsidRDefault="00597E18" w:rsidP="00260D9D">
      <w:pPr>
        <w:pStyle w:val="JuLista"/>
        <w:numPr>
          <w:ilvl w:val="1"/>
          <w:numId w:val="2"/>
        </w:numPr>
      </w:pPr>
      <w:r>
        <w:t>jednogłośnie,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47B3D258" w14:textId="3EA68B69" w:rsidR="004D0EC7" w:rsidRPr="00260D9D" w:rsidRDefault="004B251B" w:rsidP="00260D9D">
      <w:pPr>
        <w:pStyle w:val="JuList"/>
        <w:numPr>
          <w:ilvl w:val="0"/>
          <w:numId w:val="2"/>
        </w:numPr>
      </w:pPr>
      <w:r>
        <w:rPr>
          <w:i/>
          <w:iCs/>
        </w:rPr>
        <w:t>O</w:t>
      </w:r>
      <w:r w:rsidR="004136B5">
        <w:rPr>
          <w:i/>
          <w:iCs/>
        </w:rPr>
        <w:t xml:space="preserve">ddala </w:t>
      </w:r>
      <w:r w:rsidR="004136B5">
        <w:t>jednogłośnie pozostałą część roszczenia skarżącego dotyczącą słusznego zadośćuczynienia.</w:t>
      </w:r>
    </w:p>
    <w:p w14:paraId="58995980" w14:textId="77777777" w:rsidR="008E3A08" w:rsidRPr="00260D9D" w:rsidRDefault="007E2C8C" w:rsidP="00260D9D">
      <w:pPr>
        <w:pStyle w:val="JuParaLast"/>
      </w:pPr>
      <w:r>
        <w:t xml:space="preserve">Sporządzono w języku angielskim i obwieszczono pisemnie </w:t>
      </w:r>
      <w:r>
        <w:rPr>
          <w:rFonts w:ascii="Times New Roman" w:hAnsi="Times New Roman"/>
        </w:rPr>
        <w:t>16</w:t>
      </w:r>
      <w:r w:rsidR="00A55E07">
        <w:rPr>
          <w:rFonts w:ascii="Times New Roman" w:hAnsi="Times New Roman"/>
        </w:rPr>
        <w:t> </w:t>
      </w:r>
      <w:r>
        <w:rPr>
          <w:rFonts w:ascii="Times New Roman" w:hAnsi="Times New Roman"/>
        </w:rPr>
        <w:t>lutego 2021</w:t>
      </w:r>
      <w:r w:rsidR="00A55E07">
        <w:rPr>
          <w:rFonts w:ascii="Times New Roman" w:hAnsi="Times New Roman"/>
        </w:rPr>
        <w:t> </w:t>
      </w:r>
      <w:r>
        <w:rPr>
          <w:rFonts w:ascii="Times New Roman" w:hAnsi="Times New Roman"/>
        </w:rPr>
        <w:t>r</w:t>
      </w:r>
      <w:r>
        <w:t>., zgodnie z Regułą 77 §§ 2 i 3 Regulaminu Trybunału.</w:t>
      </w:r>
    </w:p>
    <w:p w14:paraId="0E0B740C" w14:textId="77777777" w:rsidR="001C055B" w:rsidRPr="00260D9D" w:rsidRDefault="004136B5" w:rsidP="00260D9D">
      <w:pPr>
        <w:pStyle w:val="JuSigned"/>
      </w:pPr>
      <w:r>
        <w:t xml:space="preserve">Andrea Tamietti </w:t>
      </w:r>
      <w:r>
        <w:tab/>
        <w:t>Yonko Grozev</w:t>
      </w:r>
      <w:r>
        <w:br/>
      </w:r>
      <w:r>
        <w:tab/>
        <w:t>Kanclerz</w:t>
      </w:r>
      <w:r>
        <w:tab/>
        <w:t>Przewodniczący</w:t>
      </w:r>
    </w:p>
    <w:p w14:paraId="686F9D17" w14:textId="77777777" w:rsidR="00260D9D" w:rsidRPr="00107B03" w:rsidRDefault="00260D9D" w:rsidP="00260D9D">
      <w:pPr>
        <w:pStyle w:val="JuPara"/>
      </w:pPr>
    </w:p>
    <w:p w14:paraId="1CEA660E" w14:textId="77777777" w:rsidR="00597E18" w:rsidRPr="00260D9D" w:rsidRDefault="00597E18" w:rsidP="00260D9D">
      <w:pPr>
        <w:pStyle w:val="JuParaLast"/>
      </w:pPr>
      <w:r>
        <w:t>Zgodnie z art. 45 ust. 2 Konwencji i Regułą 74 § 2 Regulaminu Trybunału do wyroku załączono opinię odrębną sędziów Pastora Vilanovy i Schukkinga.</w:t>
      </w:r>
    </w:p>
    <w:p w14:paraId="6759F3BC" w14:textId="77777777" w:rsidR="00597E18" w:rsidRPr="00260D9D" w:rsidRDefault="00597E18" w:rsidP="00260D9D">
      <w:pPr>
        <w:pStyle w:val="JuInitialled"/>
      </w:pPr>
      <w:r>
        <w:t>Y.G.</w:t>
      </w:r>
      <w:r>
        <w:br/>
        <w:t>A.N.T.</w:t>
      </w:r>
      <w:r>
        <w:br/>
      </w:r>
    </w:p>
    <w:p w14:paraId="00E86C89" w14:textId="77777777" w:rsidR="00597E18" w:rsidRPr="00260D9D" w:rsidRDefault="00597E18" w:rsidP="00260D9D">
      <w:pPr>
        <w:sectPr w:rsidR="00597E18" w:rsidRPr="00260D9D"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6F987332" w14:textId="77777777" w:rsidR="00D31762" w:rsidRPr="00260D9D" w:rsidRDefault="005620F2" w:rsidP="00260D9D">
      <w:pPr>
        <w:pStyle w:val="DecHTitle"/>
        <w:rPr>
          <w:rFonts w:eastAsia="Times New Roman"/>
        </w:rPr>
      </w:pPr>
      <w:r>
        <w:lastRenderedPageBreak/>
        <w:t>WSPÓLNA CZĘŚCIOWO ROZBIEŻNA OPINIA SĘDZIÓW PASTORA VILANOVY I SCHUKKINGA</w:t>
      </w:r>
    </w:p>
    <w:p w14:paraId="4688448B" w14:textId="77777777" w:rsidR="005620F2" w:rsidRPr="00260D9D" w:rsidRDefault="00D31762" w:rsidP="00260D9D">
      <w:pPr>
        <w:pStyle w:val="JuPara"/>
        <w:rPr>
          <w:rFonts w:eastAsia="Times New Roman"/>
        </w:rPr>
      </w:pPr>
      <w:r>
        <w:t xml:space="preserve">1.  Nasza </w:t>
      </w:r>
      <w:r w:rsidR="001449F3">
        <w:t xml:space="preserve">opinia </w:t>
      </w:r>
      <w:r>
        <w:t>rozbieżna dotyczy wyłącznie wypłaty słusznego zadośćuczynienia skarżącemu w odniesieniu do szkody niemajątkowej na</w:t>
      </w:r>
      <w:r w:rsidR="001449F3">
        <w:t> </w:t>
      </w:r>
      <w:r>
        <w:t>podstawie art. 41 Konwencji. Przygotowaliśmy niniejszą wspólną opinię, aby wyrazić nasz</w:t>
      </w:r>
      <w:r w:rsidR="0072011C">
        <w:t xml:space="preserve"> sprzeciw</w:t>
      </w:r>
      <w:r>
        <w:t xml:space="preserve"> </w:t>
      </w:r>
      <w:r w:rsidR="00ED2677">
        <w:t xml:space="preserve">wobec </w:t>
      </w:r>
      <w:r>
        <w:t>stanowisk</w:t>
      </w:r>
      <w:r w:rsidR="00ED2677">
        <w:t>a</w:t>
      </w:r>
      <w:r>
        <w:t xml:space="preserve"> większości Izby w tej kwestii.</w:t>
      </w:r>
    </w:p>
    <w:p w14:paraId="74BA65C7" w14:textId="77777777" w:rsidR="005620F2" w:rsidRPr="00260D9D" w:rsidRDefault="005620F2" w:rsidP="00260D9D">
      <w:pPr>
        <w:pStyle w:val="JuPara"/>
        <w:rPr>
          <w:rFonts w:eastAsia="Times New Roman"/>
        </w:rPr>
      </w:pPr>
    </w:p>
    <w:p w14:paraId="2DDF88F7" w14:textId="77777777" w:rsidR="005620F2" w:rsidRPr="00260D9D" w:rsidRDefault="00D31762" w:rsidP="00260D9D">
      <w:pPr>
        <w:pStyle w:val="JuPara"/>
        <w:rPr>
          <w:rFonts w:eastAsia="Times New Roman"/>
        </w:rPr>
      </w:pPr>
      <w:r>
        <w:t>2.  Jesteśmy zdania, że w wyroku w niniejszej sprawie: a)</w:t>
      </w:r>
      <w:r w:rsidR="0072011C">
        <w:t> </w:t>
      </w:r>
      <w:r>
        <w:t>w</w:t>
      </w:r>
      <w:r w:rsidR="0072011C">
        <w:t> </w:t>
      </w:r>
      <w:r>
        <w:t>nieuzasadniony sposób odeszło się od orzecznictwa Trybunału w takich sprawach oraz b) w rzeczonym odejściu pominięto potrzebę uzasadnienia na</w:t>
      </w:r>
      <w:r w:rsidR="0072011C">
        <w:t> </w:t>
      </w:r>
      <w:r>
        <w:t>podstawie art. 45 ust. 1 Konwencji.</w:t>
      </w:r>
    </w:p>
    <w:p w14:paraId="7396475D" w14:textId="77777777" w:rsidR="005620F2" w:rsidRPr="00260D9D" w:rsidRDefault="005620F2" w:rsidP="00260D9D">
      <w:pPr>
        <w:pStyle w:val="JuPara"/>
        <w:rPr>
          <w:rFonts w:eastAsia="Times New Roman"/>
        </w:rPr>
      </w:pPr>
    </w:p>
    <w:p w14:paraId="673CC09B" w14:textId="77777777" w:rsidR="005620F2" w:rsidRPr="00260D9D" w:rsidRDefault="00D31762" w:rsidP="00260D9D">
      <w:pPr>
        <w:pStyle w:val="JuPara"/>
        <w:rPr>
          <w:rFonts w:eastAsia="Times New Roman"/>
        </w:rPr>
      </w:pPr>
      <w:r>
        <w:t xml:space="preserve">3.  Po pierwsze należy zauważyć, że Trybunał wielokrotnie </w:t>
      </w:r>
      <w:r w:rsidR="0072011C">
        <w:t>uznawa</w:t>
      </w:r>
      <w:r>
        <w:t xml:space="preserve">ł, </w:t>
      </w:r>
      <w:r w:rsidR="00F675F1">
        <w:t>i</w:t>
      </w:r>
      <w:r>
        <w:t>ż</w:t>
      </w:r>
      <w:r w:rsidR="0072011C">
        <w:t> </w:t>
      </w:r>
      <w:r>
        <w:t>ze</w:t>
      </w:r>
      <w:r w:rsidR="0072011C">
        <w:t> </w:t>
      </w:r>
      <w:r>
        <w:t>stwierdzenia naruszenia art. 6 ust. 1 i ust. 3 Konwencji nie wynika, że</w:t>
      </w:r>
      <w:r w:rsidR="0072011C">
        <w:t> </w:t>
      </w:r>
      <w:r>
        <w:t xml:space="preserve">skarżący został niesłusznie skazany. </w:t>
      </w:r>
      <w:r w:rsidR="0072011C">
        <w:t xml:space="preserve">W rzeczywistości </w:t>
      </w:r>
      <w:r>
        <w:t xml:space="preserve">nie można spekulować, co mogłoby się wydarzyć, gdyby nie doszło do naruszenia </w:t>
      </w:r>
      <w:r w:rsidR="0072011C">
        <w:t>praw minimalnych,</w:t>
      </w:r>
      <w:r>
        <w:t xml:space="preserve"> wymienionych w art. 6 ust. 3. W takich okolicznościach Trybunał często przyjmuje pogląd, że stwierdzenie naruszenia samo w sobie stanowi wystarczające słuszne zadośćuczynienie (zob.</w:t>
      </w:r>
      <w:r>
        <w:rPr>
          <w:i/>
          <w:iCs/>
        </w:rPr>
        <w:t xml:space="preserve"> Sejdovic przeciwko Włochom </w:t>
      </w:r>
      <w:r>
        <w:t>[WI], skarga nr 56581/00, § 134, 2006</w:t>
      </w:r>
      <w:r>
        <w:noBreakHyphen/>
        <w:t xml:space="preserve">II; </w:t>
      </w:r>
      <w:r>
        <w:rPr>
          <w:i/>
          <w:iCs/>
        </w:rPr>
        <w:t xml:space="preserve">Ibrahim i Inni przeciwko Zjednoczonemu Królestwu </w:t>
      </w:r>
      <w:r>
        <w:t xml:space="preserve">[WI], skarga nr 50541/08 i trzy pozostałe, § 315, ETPCz 2016; oraz </w:t>
      </w:r>
      <w:r>
        <w:rPr>
          <w:i/>
          <w:iCs/>
        </w:rPr>
        <w:t xml:space="preserve">Beuze przeciwko Belgii </w:t>
      </w:r>
      <w:r>
        <w:t xml:space="preserve">[WI], skarga nr 71409/10, § 199, 9 listopada 2018 r.). Warto zauważyć, że </w:t>
      </w:r>
      <w:r w:rsidR="0072011C">
        <w:t xml:space="preserve">takie podejście przyjęto </w:t>
      </w:r>
      <w:r>
        <w:t xml:space="preserve">w nie mniej niż trzech wyrokach Wielkiej Izby, w tym dwóch, które wydano niedawno. Izba wydaje się </w:t>
      </w:r>
      <w:r w:rsidR="0072011C">
        <w:t xml:space="preserve">jednak </w:t>
      </w:r>
      <w:r>
        <w:t xml:space="preserve">odchodzić </w:t>
      </w:r>
      <w:r w:rsidR="0072011C">
        <w:t xml:space="preserve">teraz </w:t>
      </w:r>
      <w:r>
        <w:t>od tej ugruntowanej doktryny.</w:t>
      </w:r>
    </w:p>
    <w:p w14:paraId="20B5E409" w14:textId="77777777" w:rsidR="005620F2" w:rsidRPr="00260D9D" w:rsidRDefault="005620F2" w:rsidP="00260D9D">
      <w:pPr>
        <w:pStyle w:val="JuPara"/>
        <w:rPr>
          <w:rFonts w:eastAsia="Times New Roman"/>
        </w:rPr>
      </w:pPr>
    </w:p>
    <w:p w14:paraId="7CF9EC0E" w14:textId="77777777" w:rsidR="005620F2" w:rsidRDefault="00D31762" w:rsidP="00260D9D">
      <w:pPr>
        <w:pStyle w:val="JuPara"/>
      </w:pPr>
      <w:r>
        <w:t>4.  Po drugie Trybunał przyj</w:t>
      </w:r>
      <w:r w:rsidR="0072011C">
        <w:t>mował</w:t>
      </w:r>
      <w:r>
        <w:t xml:space="preserve"> również pogląd, że nie ma potrzeby zasądzania kwoty zadośćuczynienia za szkodę niemajątkową, gdy skarżący jest w stanie uzyskać wznowienie postępowania krajowego po uprzednim skazaniu. W niniejszej sprawie istnieje możliwość ponownego rozpoznania sprawy zgodnie z prawem krajowym. W tym względzie Trybunał wielokrotnie powtarzał, że w przypadku gdy dana osoba została skazana w</w:t>
      </w:r>
      <w:r w:rsidR="0072011C">
        <w:t> </w:t>
      </w:r>
      <w:r>
        <w:t>następstwie postępowania, w którym doszło do naruszenia wymogów art.</w:t>
      </w:r>
      <w:r w:rsidR="0072011C">
        <w:t> </w:t>
      </w:r>
      <w:r>
        <w:t>6 Konwencji, co do zasady ponowne rozpoznanie sprawy lub wznowienie postępowania, jeśli o</w:t>
      </w:r>
      <w:r w:rsidR="0072011C">
        <w:t>soba się o to ubiega</w:t>
      </w:r>
      <w:r>
        <w:t>, stanowi zasadniczo najwłaściwszą formę zadośćuczynienia za to naruszenie</w:t>
      </w:r>
      <w:bookmarkStart w:id="24" w:name="_Hlk62046963"/>
      <w:r w:rsidR="0072011C">
        <w:t xml:space="preserve"> </w:t>
      </w:r>
      <w:r>
        <w:t xml:space="preserve">(zob. między innymi, </w:t>
      </w:r>
      <w:r>
        <w:rPr>
          <w:i/>
          <w:iCs/>
        </w:rPr>
        <w:t>Sejdovic przeciwko Włochom</w:t>
      </w:r>
      <w:r>
        <w:t>, cytowany powyżej, §</w:t>
      </w:r>
      <w:r w:rsidR="00F675F1">
        <w:t> </w:t>
      </w:r>
      <w:r>
        <w:t>126</w:t>
      </w:r>
      <w:bookmarkEnd w:id="24"/>
      <w:r>
        <w:t xml:space="preserve">; </w:t>
      </w:r>
      <w:r>
        <w:rPr>
          <w:i/>
          <w:iCs/>
        </w:rPr>
        <w:t>Öcalan przeciwko Turcji</w:t>
      </w:r>
      <w:r>
        <w:t xml:space="preserve"> [WI], skarga nr 46221/99, § 210 </w:t>
      </w:r>
      <w:r>
        <w:rPr>
          <w:i/>
          <w:iCs/>
        </w:rPr>
        <w:t>in fine</w:t>
      </w:r>
      <w:r>
        <w:t>, ETPCz 2005</w:t>
      </w:r>
      <w:r>
        <w:noBreakHyphen/>
        <w:t xml:space="preserve">IV; </w:t>
      </w:r>
      <w:r>
        <w:rPr>
          <w:i/>
          <w:iCs/>
        </w:rPr>
        <w:t>Cabral</w:t>
      </w:r>
      <w:r w:rsidR="0072011C">
        <w:rPr>
          <w:i/>
          <w:iCs/>
        </w:rPr>
        <w:t xml:space="preserve"> </w:t>
      </w:r>
      <w:r>
        <w:rPr>
          <w:i/>
          <w:iCs/>
        </w:rPr>
        <w:t>przeciwko Holandii,</w:t>
      </w:r>
      <w:r>
        <w:t xml:space="preserve"> skarga nr 37617/10, §§ 42-43, 28</w:t>
      </w:r>
      <w:r w:rsidR="00F675F1">
        <w:t> </w:t>
      </w:r>
      <w:r>
        <w:t>sierpnia 2018</w:t>
      </w:r>
      <w:r w:rsidR="00F675F1">
        <w:t> </w:t>
      </w:r>
      <w:r>
        <w:t xml:space="preserve">r.; oraz </w:t>
      </w:r>
      <w:r>
        <w:rPr>
          <w:i/>
          <w:iCs/>
        </w:rPr>
        <w:t>C</w:t>
      </w:r>
      <w:r w:rsidR="0072011C">
        <w:rPr>
          <w:i/>
          <w:iCs/>
        </w:rPr>
        <w:t>h</w:t>
      </w:r>
      <w:r>
        <w:rPr>
          <w:i/>
          <w:iCs/>
        </w:rPr>
        <w:t>ernika przeciwko Ukrainie</w:t>
      </w:r>
      <w:r>
        <w:t>, skarga nr 53791/11, §§ 82-83, 12 marca 2020 r.). Po raz kolejny wydaje się, że to ugruntowane orzecznictwo zostało zignorowane.</w:t>
      </w:r>
    </w:p>
    <w:p w14:paraId="1AE1DD88" w14:textId="77777777" w:rsidR="0072011C" w:rsidRPr="00260D9D" w:rsidRDefault="0072011C" w:rsidP="00260D9D">
      <w:pPr>
        <w:pStyle w:val="JuPara"/>
        <w:rPr>
          <w:rFonts w:eastAsia="Times New Roman"/>
        </w:rPr>
      </w:pPr>
    </w:p>
    <w:p w14:paraId="65FC7B67" w14:textId="77777777" w:rsidR="00597E18" w:rsidRPr="00260D9D" w:rsidRDefault="00D31762" w:rsidP="00260D9D">
      <w:pPr>
        <w:pStyle w:val="JuPara"/>
        <w:rPr>
          <w:rFonts w:eastAsia="Times New Roman"/>
        </w:rPr>
      </w:pPr>
      <w:r>
        <w:lastRenderedPageBreak/>
        <w:t>5.  Wreszcie art. 45 ust. 1 Konwencji wymaga uzasadnienia wyroków i</w:t>
      </w:r>
      <w:r w:rsidR="0072011C">
        <w:t> </w:t>
      </w:r>
      <w:r>
        <w:t>decyzji Trybunału. Przepis ten wydaje się jasny i nie dopuszcz</w:t>
      </w:r>
      <w:r w:rsidR="0072011C">
        <w:t>ono w nim</w:t>
      </w:r>
      <w:r>
        <w:t xml:space="preserve"> żadnych wyjątków. Ponieważ nie zastrzeżono inaczej, można wnioskować, że obowiązek uzasadnienia dotyczy całego tekstu wyroku lub decyzji, a nie tylko niektórych fragmentów orzeczenia. </w:t>
      </w:r>
      <w:r w:rsidR="0072011C">
        <w:t>N</w:t>
      </w:r>
      <w:r>
        <w:t xml:space="preserve">awet </w:t>
      </w:r>
      <w:r w:rsidR="0072011C">
        <w:t xml:space="preserve">więc </w:t>
      </w:r>
      <w:r>
        <w:t>jeśli większość chciała oprzeć swoje ustalenia na innym nurcie orzecznictwa lub odejść od źródeł, na które powoływała się mniejszość, mi</w:t>
      </w:r>
      <w:r w:rsidR="0072011C">
        <w:t>ała</w:t>
      </w:r>
      <w:r>
        <w:t xml:space="preserve"> obowiązek, z całym szacunkiem, w ramach zadań europejskiego arbitra,</w:t>
      </w:r>
      <w:r w:rsidR="0072011C">
        <w:t xml:space="preserve"> podać powody</w:t>
      </w:r>
      <w:r>
        <w:t>, dla których przyję</w:t>
      </w:r>
      <w:r w:rsidR="0072011C">
        <w:t>ła</w:t>
      </w:r>
      <w:r>
        <w:t xml:space="preserve"> swoje stanowisko. Takie rozumowanie wzmocniłoby zasadę pewności prawa w niniejszej sprawie.</w:t>
      </w:r>
    </w:p>
    <w:p w14:paraId="221705D2" w14:textId="77777777" w:rsidR="00260D9D" w:rsidRPr="00260D9D" w:rsidRDefault="00260D9D" w:rsidP="00260D9D">
      <w:pPr>
        <w:pStyle w:val="JuPara"/>
      </w:pPr>
    </w:p>
    <w:sectPr w:rsidR="00260D9D" w:rsidRPr="00260D9D" w:rsidSect="00597E18">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C3847" w14:textId="77777777" w:rsidR="006D47BD" w:rsidRPr="004136B5" w:rsidRDefault="006D47BD" w:rsidP="0098410D">
      <w:r w:rsidRPr="004136B5">
        <w:separator/>
      </w:r>
    </w:p>
  </w:endnote>
  <w:endnote w:type="continuationSeparator" w:id="0">
    <w:p w14:paraId="0C1DB7A9" w14:textId="77777777" w:rsidR="006D47BD" w:rsidRPr="004136B5" w:rsidRDefault="006D47BD" w:rsidP="0098410D">
      <w:r w:rsidRPr="00413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276A3" w14:textId="77777777" w:rsidR="009630F0" w:rsidRPr="00150BFA" w:rsidRDefault="009630F0" w:rsidP="004136B5">
    <w:pPr>
      <w:jc w:val="center"/>
    </w:pPr>
    <w:r>
      <w:rPr>
        <w:noProof/>
        <w:lang w:eastAsia="pl-PL"/>
      </w:rPr>
      <w:drawing>
        <wp:inline distT="0" distB="0" distL="0" distR="0" wp14:anchorId="7ED51566" wp14:editId="4FA2F545">
          <wp:extent cx="771525" cy="619125"/>
          <wp:effectExtent l="0" t="0" r="9525" b="9525"/>
          <wp:docPr id="64" name="Picture 6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B2E0E33" w14:textId="77777777" w:rsidR="009630F0" w:rsidRPr="004136B5" w:rsidRDefault="009630F0" w:rsidP="004136B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8D4A7" w14:textId="77777777" w:rsidR="009630F0" w:rsidRPr="00150BFA" w:rsidRDefault="009630F0" w:rsidP="004136B5">
    <w:pPr>
      <w:jc w:val="center"/>
    </w:pPr>
    <w:r>
      <w:rPr>
        <w:noProof/>
        <w:lang w:eastAsia="pl-PL"/>
      </w:rPr>
      <w:drawing>
        <wp:inline distT="0" distB="0" distL="0" distR="0" wp14:anchorId="1924407B" wp14:editId="1ECA683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602D73E" w14:textId="77777777" w:rsidR="009630F0" w:rsidRPr="004136B5" w:rsidRDefault="009630F0"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DD6C" w14:textId="77777777" w:rsidR="009630F0" w:rsidRDefault="009630F0" w:rsidP="009A115C">
    <w:pPr>
      <w:pStyle w:val="JuHeader"/>
    </w:pPr>
    <w:r>
      <w:rPr>
        <w:rStyle w:val="Numerstrony"/>
      </w:rPr>
      <w:fldChar w:fldCharType="begin"/>
    </w:r>
    <w:r>
      <w:rPr>
        <w:rStyle w:val="Numerstrony"/>
      </w:rPr>
      <w:instrText xml:space="preserve"> PAGE </w:instrText>
    </w:r>
    <w:r>
      <w:rPr>
        <w:rStyle w:val="Numerstrony"/>
      </w:rPr>
      <w:fldChar w:fldCharType="separate"/>
    </w:r>
    <w:r w:rsidR="00D8595C">
      <w:rPr>
        <w:rStyle w:val="Numerstrony"/>
        <w:noProof/>
      </w:rPr>
      <w:t>22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5243" w14:textId="77777777" w:rsidR="009630F0" w:rsidRPr="000B7195" w:rsidRDefault="002C060E" w:rsidP="007D3701">
    <w:pPr>
      <w:pStyle w:val="JuHeader"/>
    </w:pPr>
    <w:r>
      <w:fldChar w:fldCharType="begin"/>
    </w:r>
    <w:r>
      <w:instrText xml:space="preserve"> PAGE </w:instrText>
    </w:r>
    <w:r>
      <w:fldChar w:fldCharType="separate"/>
    </w:r>
    <w:r w:rsidR="00D8595C">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F39B7" w14:textId="77777777" w:rsidR="006D47BD" w:rsidRPr="004136B5" w:rsidRDefault="006D47BD" w:rsidP="0098410D">
      <w:r w:rsidRPr="004136B5">
        <w:separator/>
      </w:r>
    </w:p>
  </w:footnote>
  <w:footnote w:type="continuationSeparator" w:id="0">
    <w:p w14:paraId="4503DDA8" w14:textId="77777777" w:rsidR="006D47BD" w:rsidRPr="004136B5" w:rsidRDefault="006D47BD" w:rsidP="0098410D">
      <w:r w:rsidRPr="00413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722BC" w14:textId="77777777" w:rsidR="009630F0" w:rsidRPr="00A45145" w:rsidRDefault="009630F0" w:rsidP="004136B5">
    <w:pPr>
      <w:jc w:val="center"/>
    </w:pPr>
    <w:r>
      <w:rPr>
        <w:noProof/>
        <w:lang w:eastAsia="pl-PL"/>
      </w:rPr>
      <w:drawing>
        <wp:inline distT="0" distB="0" distL="0" distR="0" wp14:anchorId="7343DD49" wp14:editId="0D8D3FC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8CC5DE3" w14:textId="77777777" w:rsidR="009630F0" w:rsidRPr="004136B5" w:rsidRDefault="009630F0" w:rsidP="004136B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8D238" w14:textId="77777777" w:rsidR="009630F0" w:rsidRPr="00A45145" w:rsidRDefault="009630F0" w:rsidP="004136B5">
    <w:pPr>
      <w:jc w:val="center"/>
    </w:pPr>
    <w:r>
      <w:rPr>
        <w:noProof/>
        <w:lang w:eastAsia="pl-PL"/>
      </w:rPr>
      <w:drawing>
        <wp:inline distT="0" distB="0" distL="0" distR="0" wp14:anchorId="39A844CA" wp14:editId="0763C25E">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A55707" w14:textId="77777777" w:rsidR="009630F0" w:rsidRPr="004136B5" w:rsidRDefault="009630F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CBA4C" w14:textId="77777777" w:rsidR="009630F0" w:rsidRPr="004D0EC7" w:rsidRDefault="009630F0" w:rsidP="004D0EC7">
    <w:pPr>
      <w:pStyle w:val="JuHeader"/>
    </w:pPr>
    <w:r>
      <w:t>WYROK BULIGA przeciwko 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C4284" w14:textId="77777777" w:rsidR="009630F0" w:rsidRPr="00882CD5" w:rsidRDefault="009630F0" w:rsidP="007D3701">
    <w:pPr>
      <w:pStyle w:val="JuHeader"/>
    </w:pPr>
    <w:r>
      <w:t>WYROK BULIGA przeciwko RUMUNII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3D40" w14:textId="77777777" w:rsidR="009630F0" w:rsidRPr="004D0EC7" w:rsidRDefault="009630F0" w:rsidP="004D0EC7">
    <w:pPr>
      <w:pStyle w:val="JuHeader"/>
    </w:pPr>
    <w:r>
      <w:t>WYROK BULIGA przeciwko RUMUNII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3A60" w14:textId="77777777" w:rsidR="009630F0" w:rsidRPr="00882CD5" w:rsidRDefault="009630F0" w:rsidP="00597E18">
    <w:pPr>
      <w:pStyle w:val="JuHeader"/>
      <w:tabs>
        <w:tab w:val="center" w:pos="3685"/>
        <w:tab w:val="right" w:pos="7370"/>
      </w:tabs>
    </w:pPr>
    <w:r>
      <w:t>WYROK BULIGA przeciwko RUMUNII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46507499">
    <w:abstractNumId w:val="17"/>
  </w:num>
  <w:num w:numId="2" w16cid:durableId="248125900">
    <w:abstractNumId w:val="9"/>
  </w:num>
  <w:num w:numId="3" w16cid:durableId="423647653">
    <w:abstractNumId w:val="19"/>
  </w:num>
  <w:num w:numId="4" w16cid:durableId="890193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3627042">
    <w:abstractNumId w:val="10"/>
  </w:num>
  <w:num w:numId="6" w16cid:durableId="1456607639">
    <w:abstractNumId w:val="14"/>
  </w:num>
  <w:num w:numId="7" w16cid:durableId="612592602">
    <w:abstractNumId w:val="12"/>
  </w:num>
  <w:num w:numId="8" w16cid:durableId="781148675">
    <w:abstractNumId w:val="11"/>
  </w:num>
  <w:num w:numId="9" w16cid:durableId="2030402062">
    <w:abstractNumId w:val="15"/>
  </w:num>
  <w:num w:numId="10" w16cid:durableId="26764289">
    <w:abstractNumId w:val="13"/>
  </w:num>
  <w:num w:numId="11" w16cid:durableId="1405565451">
    <w:abstractNumId w:val="16"/>
  </w:num>
  <w:num w:numId="12" w16cid:durableId="1026371048">
    <w:abstractNumId w:val="18"/>
  </w:num>
  <w:num w:numId="13" w16cid:durableId="731584417">
    <w:abstractNumId w:val="7"/>
  </w:num>
  <w:num w:numId="14" w16cid:durableId="1283537236">
    <w:abstractNumId w:val="6"/>
  </w:num>
  <w:num w:numId="15" w16cid:durableId="1381172596">
    <w:abstractNumId w:val="5"/>
  </w:num>
  <w:num w:numId="16" w16cid:durableId="444424870">
    <w:abstractNumId w:val="4"/>
  </w:num>
  <w:num w:numId="17" w16cid:durableId="1221865692">
    <w:abstractNumId w:val="8"/>
  </w:num>
  <w:num w:numId="18" w16cid:durableId="638924475">
    <w:abstractNumId w:val="3"/>
  </w:num>
  <w:num w:numId="19" w16cid:durableId="408428227">
    <w:abstractNumId w:val="2"/>
  </w:num>
  <w:num w:numId="20" w16cid:durableId="491338375">
    <w:abstractNumId w:val="1"/>
  </w:num>
  <w:num w:numId="21" w16cid:durableId="1757435568">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4136B5"/>
    <w:rsid w:val="00003403"/>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D91"/>
    <w:rsid w:val="00041560"/>
    <w:rsid w:val="0005201D"/>
    <w:rsid w:val="000602DF"/>
    <w:rsid w:val="00061B05"/>
    <w:rsid w:val="000632D5"/>
    <w:rsid w:val="000644EE"/>
    <w:rsid w:val="0007780A"/>
    <w:rsid w:val="00085457"/>
    <w:rsid w:val="000925AD"/>
    <w:rsid w:val="00094B0B"/>
    <w:rsid w:val="00096FE1"/>
    <w:rsid w:val="00097A62"/>
    <w:rsid w:val="000A0D6A"/>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07B03"/>
    <w:rsid w:val="00110DA8"/>
    <w:rsid w:val="00111B0C"/>
    <w:rsid w:val="00120D6C"/>
    <w:rsid w:val="001257EC"/>
    <w:rsid w:val="00133D33"/>
    <w:rsid w:val="00134B6A"/>
    <w:rsid w:val="00134D64"/>
    <w:rsid w:val="00135A30"/>
    <w:rsid w:val="0013612C"/>
    <w:rsid w:val="00137FF6"/>
    <w:rsid w:val="00141650"/>
    <w:rsid w:val="001449F3"/>
    <w:rsid w:val="001561B6"/>
    <w:rsid w:val="001612BC"/>
    <w:rsid w:val="00161E43"/>
    <w:rsid w:val="00162A12"/>
    <w:rsid w:val="00166530"/>
    <w:rsid w:val="00170027"/>
    <w:rsid w:val="0017785E"/>
    <w:rsid w:val="001832BD"/>
    <w:rsid w:val="001943B5"/>
    <w:rsid w:val="00195134"/>
    <w:rsid w:val="00196966"/>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3E2E"/>
    <w:rsid w:val="0023575D"/>
    <w:rsid w:val="00237148"/>
    <w:rsid w:val="0024222D"/>
    <w:rsid w:val="002422B6"/>
    <w:rsid w:val="00244B0E"/>
    <w:rsid w:val="00244F6C"/>
    <w:rsid w:val="00245E45"/>
    <w:rsid w:val="00246B89"/>
    <w:rsid w:val="00252C4E"/>
    <w:rsid w:val="002532C5"/>
    <w:rsid w:val="00254DF2"/>
    <w:rsid w:val="00260C03"/>
    <w:rsid w:val="00260D9D"/>
    <w:rsid w:val="0026540E"/>
    <w:rsid w:val="00275123"/>
    <w:rsid w:val="00281D50"/>
    <w:rsid w:val="00282240"/>
    <w:rsid w:val="00287AD5"/>
    <w:rsid w:val="002934D0"/>
    <w:rsid w:val="00293676"/>
    <w:rsid w:val="00293BD9"/>
    <w:rsid w:val="002948AD"/>
    <w:rsid w:val="00294EA3"/>
    <w:rsid w:val="002A01CC"/>
    <w:rsid w:val="002A613A"/>
    <w:rsid w:val="002A61B1"/>
    <w:rsid w:val="002A663C"/>
    <w:rsid w:val="002B444B"/>
    <w:rsid w:val="002B5887"/>
    <w:rsid w:val="002C060E"/>
    <w:rsid w:val="002C0E27"/>
    <w:rsid w:val="002C3040"/>
    <w:rsid w:val="002C4433"/>
    <w:rsid w:val="002C7826"/>
    <w:rsid w:val="002D022D"/>
    <w:rsid w:val="002D24BB"/>
    <w:rsid w:val="002D2FA7"/>
    <w:rsid w:val="002D47BA"/>
    <w:rsid w:val="002D77B9"/>
    <w:rsid w:val="002E46DA"/>
    <w:rsid w:val="002F04FE"/>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7186"/>
    <w:rsid w:val="003710C8"/>
    <w:rsid w:val="00372922"/>
    <w:rsid w:val="003750BE"/>
    <w:rsid w:val="00385A36"/>
    <w:rsid w:val="00385F3D"/>
    <w:rsid w:val="003878C7"/>
    <w:rsid w:val="00387B9D"/>
    <w:rsid w:val="00387C70"/>
    <w:rsid w:val="00390294"/>
    <w:rsid w:val="0039364F"/>
    <w:rsid w:val="00396686"/>
    <w:rsid w:val="0039778E"/>
    <w:rsid w:val="003B4941"/>
    <w:rsid w:val="003B53A4"/>
    <w:rsid w:val="003C5714"/>
    <w:rsid w:val="003C6B9F"/>
    <w:rsid w:val="003C6E2A"/>
    <w:rsid w:val="003D0299"/>
    <w:rsid w:val="003E6D80"/>
    <w:rsid w:val="003F05FA"/>
    <w:rsid w:val="003F244A"/>
    <w:rsid w:val="003F2517"/>
    <w:rsid w:val="003F30B8"/>
    <w:rsid w:val="003F4C45"/>
    <w:rsid w:val="003F5C3A"/>
    <w:rsid w:val="003F5F7B"/>
    <w:rsid w:val="003F7D64"/>
    <w:rsid w:val="0040433A"/>
    <w:rsid w:val="004136B5"/>
    <w:rsid w:val="00414300"/>
    <w:rsid w:val="00414F27"/>
    <w:rsid w:val="00420703"/>
    <w:rsid w:val="00425C67"/>
    <w:rsid w:val="00427E7A"/>
    <w:rsid w:val="004355AC"/>
    <w:rsid w:val="00436C49"/>
    <w:rsid w:val="00440039"/>
    <w:rsid w:val="00443D98"/>
    <w:rsid w:val="00445366"/>
    <w:rsid w:val="00447F5B"/>
    <w:rsid w:val="00457DD1"/>
    <w:rsid w:val="00461DB0"/>
    <w:rsid w:val="00463926"/>
    <w:rsid w:val="00464C9A"/>
    <w:rsid w:val="00472917"/>
    <w:rsid w:val="00474F3D"/>
    <w:rsid w:val="00477E3A"/>
    <w:rsid w:val="00483E5F"/>
    <w:rsid w:val="00485FF9"/>
    <w:rsid w:val="00486AF6"/>
    <w:rsid w:val="004907F0"/>
    <w:rsid w:val="0049140B"/>
    <w:rsid w:val="004923A5"/>
    <w:rsid w:val="0049310E"/>
    <w:rsid w:val="004950E2"/>
    <w:rsid w:val="00496BFB"/>
    <w:rsid w:val="004A15C7"/>
    <w:rsid w:val="004A3201"/>
    <w:rsid w:val="004B013B"/>
    <w:rsid w:val="004B112B"/>
    <w:rsid w:val="004B251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8EE"/>
    <w:rsid w:val="00545DA6"/>
    <w:rsid w:val="00547353"/>
    <w:rsid w:val="005474E7"/>
    <w:rsid w:val="005512A3"/>
    <w:rsid w:val="005578CE"/>
    <w:rsid w:val="005620F2"/>
    <w:rsid w:val="00562781"/>
    <w:rsid w:val="00562B6C"/>
    <w:rsid w:val="0057271C"/>
    <w:rsid w:val="00572845"/>
    <w:rsid w:val="005879A2"/>
    <w:rsid w:val="00592772"/>
    <w:rsid w:val="0059574A"/>
    <w:rsid w:val="00597E18"/>
    <w:rsid w:val="005A1B9B"/>
    <w:rsid w:val="005A2E79"/>
    <w:rsid w:val="005A6751"/>
    <w:rsid w:val="005B092E"/>
    <w:rsid w:val="005B152C"/>
    <w:rsid w:val="005B1EE0"/>
    <w:rsid w:val="005B2B24"/>
    <w:rsid w:val="005B4425"/>
    <w:rsid w:val="005B4B94"/>
    <w:rsid w:val="005B6529"/>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968B7"/>
    <w:rsid w:val="006A037C"/>
    <w:rsid w:val="006A36F4"/>
    <w:rsid w:val="006A406F"/>
    <w:rsid w:val="006A5D3A"/>
    <w:rsid w:val="006B2B9A"/>
    <w:rsid w:val="006C23D4"/>
    <w:rsid w:val="006C7BB0"/>
    <w:rsid w:val="006D3237"/>
    <w:rsid w:val="006D47BD"/>
    <w:rsid w:val="006E2E37"/>
    <w:rsid w:val="006E3CF1"/>
    <w:rsid w:val="006E6714"/>
    <w:rsid w:val="006E68A3"/>
    <w:rsid w:val="006E7E80"/>
    <w:rsid w:val="006F1C2D"/>
    <w:rsid w:val="006F48CA"/>
    <w:rsid w:val="006F64DD"/>
    <w:rsid w:val="006F712D"/>
    <w:rsid w:val="00715127"/>
    <w:rsid w:val="00715E8E"/>
    <w:rsid w:val="0072011C"/>
    <w:rsid w:val="00723580"/>
    <w:rsid w:val="00723755"/>
    <w:rsid w:val="00724A67"/>
    <w:rsid w:val="00726B6A"/>
    <w:rsid w:val="0073136C"/>
    <w:rsid w:val="00731F0F"/>
    <w:rsid w:val="00733250"/>
    <w:rsid w:val="00741404"/>
    <w:rsid w:val="007417B8"/>
    <w:rsid w:val="007449E5"/>
    <w:rsid w:val="0074750E"/>
    <w:rsid w:val="00747FF0"/>
    <w:rsid w:val="0075566E"/>
    <w:rsid w:val="00763602"/>
    <w:rsid w:val="00764D4E"/>
    <w:rsid w:val="00765A1F"/>
    <w:rsid w:val="0077360A"/>
    <w:rsid w:val="00775B6D"/>
    <w:rsid w:val="00776D68"/>
    <w:rsid w:val="0078323E"/>
    <w:rsid w:val="007850EE"/>
    <w:rsid w:val="00785B95"/>
    <w:rsid w:val="00787309"/>
    <w:rsid w:val="00790E96"/>
    <w:rsid w:val="00793366"/>
    <w:rsid w:val="007A716F"/>
    <w:rsid w:val="007B270A"/>
    <w:rsid w:val="007B4182"/>
    <w:rsid w:val="007B733A"/>
    <w:rsid w:val="007C0695"/>
    <w:rsid w:val="007C1643"/>
    <w:rsid w:val="007C419A"/>
    <w:rsid w:val="007C4CC8"/>
    <w:rsid w:val="007C5426"/>
    <w:rsid w:val="007C5798"/>
    <w:rsid w:val="007D1ECD"/>
    <w:rsid w:val="007D3701"/>
    <w:rsid w:val="007D3C67"/>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269C"/>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B6FDB"/>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1B37"/>
    <w:rsid w:val="009140A3"/>
    <w:rsid w:val="009144A2"/>
    <w:rsid w:val="0091510C"/>
    <w:rsid w:val="0092437E"/>
    <w:rsid w:val="009259AC"/>
    <w:rsid w:val="00926F38"/>
    <w:rsid w:val="00927BEB"/>
    <w:rsid w:val="009333DC"/>
    <w:rsid w:val="00934301"/>
    <w:rsid w:val="00936CD1"/>
    <w:rsid w:val="00941747"/>
    <w:rsid w:val="00941EFB"/>
    <w:rsid w:val="00944818"/>
    <w:rsid w:val="00947AFB"/>
    <w:rsid w:val="00951AA3"/>
    <w:rsid w:val="00951D7D"/>
    <w:rsid w:val="00956D0C"/>
    <w:rsid w:val="009630C7"/>
    <w:rsid w:val="009630F0"/>
    <w:rsid w:val="00963DBB"/>
    <w:rsid w:val="00972B55"/>
    <w:rsid w:val="009743B7"/>
    <w:rsid w:val="0098228B"/>
    <w:rsid w:val="009828DA"/>
    <w:rsid w:val="0098410D"/>
    <w:rsid w:val="00985BAB"/>
    <w:rsid w:val="00986B3C"/>
    <w:rsid w:val="009A115C"/>
    <w:rsid w:val="009A1BF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2AE1"/>
    <w:rsid w:val="00A43628"/>
    <w:rsid w:val="00A51D0F"/>
    <w:rsid w:val="00A53BEC"/>
    <w:rsid w:val="00A54192"/>
    <w:rsid w:val="00A55E07"/>
    <w:rsid w:val="00A57147"/>
    <w:rsid w:val="00A6035E"/>
    <w:rsid w:val="00A6144C"/>
    <w:rsid w:val="00A66617"/>
    <w:rsid w:val="00A671F8"/>
    <w:rsid w:val="00A673A4"/>
    <w:rsid w:val="00A724AE"/>
    <w:rsid w:val="00A72671"/>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28E6"/>
    <w:rsid w:val="00BB345F"/>
    <w:rsid w:val="00BB68EA"/>
    <w:rsid w:val="00BC0B99"/>
    <w:rsid w:val="00BC1C27"/>
    <w:rsid w:val="00BC6BBF"/>
    <w:rsid w:val="00BD1572"/>
    <w:rsid w:val="00BE14E3"/>
    <w:rsid w:val="00BE16A6"/>
    <w:rsid w:val="00BE3774"/>
    <w:rsid w:val="00BE41E5"/>
    <w:rsid w:val="00BF118F"/>
    <w:rsid w:val="00BF2379"/>
    <w:rsid w:val="00BF4109"/>
    <w:rsid w:val="00BF4CC3"/>
    <w:rsid w:val="00C054C7"/>
    <w:rsid w:val="00C057B5"/>
    <w:rsid w:val="00C07D0E"/>
    <w:rsid w:val="00C115C3"/>
    <w:rsid w:val="00C15547"/>
    <w:rsid w:val="00C1672D"/>
    <w:rsid w:val="00C170AA"/>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3ACD"/>
    <w:rsid w:val="00C74810"/>
    <w:rsid w:val="00C809C0"/>
    <w:rsid w:val="00C846C7"/>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955"/>
    <w:rsid w:val="00D00ABB"/>
    <w:rsid w:val="00D02EEC"/>
    <w:rsid w:val="00D03551"/>
    <w:rsid w:val="00D06A63"/>
    <w:rsid w:val="00D07E0E"/>
    <w:rsid w:val="00D10CD6"/>
    <w:rsid w:val="00D11478"/>
    <w:rsid w:val="00D15ED0"/>
    <w:rsid w:val="00D164BF"/>
    <w:rsid w:val="00D21B3E"/>
    <w:rsid w:val="00D21FED"/>
    <w:rsid w:val="00D23048"/>
    <w:rsid w:val="00D2343B"/>
    <w:rsid w:val="00D24251"/>
    <w:rsid w:val="00D26E72"/>
    <w:rsid w:val="00D311A9"/>
    <w:rsid w:val="00D3176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595C"/>
    <w:rsid w:val="00D908A8"/>
    <w:rsid w:val="00D977B6"/>
    <w:rsid w:val="00DA1223"/>
    <w:rsid w:val="00DA3DD0"/>
    <w:rsid w:val="00DA4A31"/>
    <w:rsid w:val="00DA7B04"/>
    <w:rsid w:val="00DB36C2"/>
    <w:rsid w:val="00DC169B"/>
    <w:rsid w:val="00DC2AB9"/>
    <w:rsid w:val="00DC63F0"/>
    <w:rsid w:val="00DD37EA"/>
    <w:rsid w:val="00DD6EE5"/>
    <w:rsid w:val="00DE386C"/>
    <w:rsid w:val="00DE4D35"/>
    <w:rsid w:val="00DF098B"/>
    <w:rsid w:val="00DF11C4"/>
    <w:rsid w:val="00DF210C"/>
    <w:rsid w:val="00DF2904"/>
    <w:rsid w:val="00DF4B6A"/>
    <w:rsid w:val="00E004C0"/>
    <w:rsid w:val="00E02C09"/>
    <w:rsid w:val="00E04D59"/>
    <w:rsid w:val="00E07DA1"/>
    <w:rsid w:val="00E123CB"/>
    <w:rsid w:val="00E13B09"/>
    <w:rsid w:val="00E20E13"/>
    <w:rsid w:val="00E21DBC"/>
    <w:rsid w:val="00E275D7"/>
    <w:rsid w:val="00E27DBE"/>
    <w:rsid w:val="00E32AB1"/>
    <w:rsid w:val="00E33A49"/>
    <w:rsid w:val="00E36C71"/>
    <w:rsid w:val="00E40404"/>
    <w:rsid w:val="00E4126A"/>
    <w:rsid w:val="00E42A06"/>
    <w:rsid w:val="00E459C6"/>
    <w:rsid w:val="00E47589"/>
    <w:rsid w:val="00E63EC7"/>
    <w:rsid w:val="00E64915"/>
    <w:rsid w:val="00E64D3A"/>
    <w:rsid w:val="00E661D4"/>
    <w:rsid w:val="00E70091"/>
    <w:rsid w:val="00E70D2E"/>
    <w:rsid w:val="00E720F5"/>
    <w:rsid w:val="00E7280B"/>
    <w:rsid w:val="00E75738"/>
    <w:rsid w:val="00E76D47"/>
    <w:rsid w:val="00E827BC"/>
    <w:rsid w:val="00E849F7"/>
    <w:rsid w:val="00E90302"/>
    <w:rsid w:val="00E91D05"/>
    <w:rsid w:val="00E95C1E"/>
    <w:rsid w:val="00E96558"/>
    <w:rsid w:val="00E97396"/>
    <w:rsid w:val="00EA185E"/>
    <w:rsid w:val="00EA592A"/>
    <w:rsid w:val="00EB14E4"/>
    <w:rsid w:val="00EB32A5"/>
    <w:rsid w:val="00EB34ED"/>
    <w:rsid w:val="00EB447C"/>
    <w:rsid w:val="00EB7BE0"/>
    <w:rsid w:val="00EC315E"/>
    <w:rsid w:val="00ED077C"/>
    <w:rsid w:val="00ED10A9"/>
    <w:rsid w:val="00ED1190"/>
    <w:rsid w:val="00ED2677"/>
    <w:rsid w:val="00ED34AC"/>
    <w:rsid w:val="00ED6544"/>
    <w:rsid w:val="00ED79D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27757"/>
    <w:rsid w:val="00F32269"/>
    <w:rsid w:val="00F32EDC"/>
    <w:rsid w:val="00F35B7A"/>
    <w:rsid w:val="00F562FA"/>
    <w:rsid w:val="00F56A6F"/>
    <w:rsid w:val="00F5709C"/>
    <w:rsid w:val="00F60B85"/>
    <w:rsid w:val="00F6163E"/>
    <w:rsid w:val="00F635A6"/>
    <w:rsid w:val="00F64EF1"/>
    <w:rsid w:val="00F662C1"/>
    <w:rsid w:val="00F675F1"/>
    <w:rsid w:val="00F72B14"/>
    <w:rsid w:val="00F7349B"/>
    <w:rsid w:val="00F74977"/>
    <w:rsid w:val="00F8765F"/>
    <w:rsid w:val="00F9006A"/>
    <w:rsid w:val="00F90767"/>
    <w:rsid w:val="00F9263C"/>
    <w:rsid w:val="00FA1637"/>
    <w:rsid w:val="00FA685B"/>
    <w:rsid w:val="00FB0C01"/>
    <w:rsid w:val="00FB16D0"/>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12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96558"/>
    <w:rPr>
      <w:sz w:val="24"/>
      <w:szCs w:val="24"/>
    </w:rPr>
  </w:style>
  <w:style w:type="paragraph" w:styleId="Nagwek1">
    <w:name w:val="heading 1"/>
    <w:basedOn w:val="Normalny"/>
    <w:next w:val="Normalny"/>
    <w:link w:val="Nagwek1Znak"/>
    <w:uiPriority w:val="98"/>
    <w:semiHidden/>
    <w:rsid w:val="00E965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965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9655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9655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9655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9655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9655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965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965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96558"/>
    <w:rPr>
      <w:rFonts w:ascii="Tahoma" w:hAnsi="Tahoma" w:cs="Tahoma"/>
      <w:sz w:val="16"/>
      <w:szCs w:val="16"/>
    </w:rPr>
  </w:style>
  <w:style w:type="character" w:customStyle="1" w:styleId="TekstdymkaZnak">
    <w:name w:val="Tekst dymka Znak"/>
    <w:basedOn w:val="Domylnaczcionkaakapitu"/>
    <w:link w:val="Tekstdymka"/>
    <w:uiPriority w:val="98"/>
    <w:semiHidden/>
    <w:rsid w:val="00E96558"/>
    <w:rPr>
      <w:rFonts w:ascii="Tahoma" w:hAnsi="Tahoma" w:cs="Tahoma"/>
      <w:sz w:val="16"/>
      <w:szCs w:val="16"/>
      <w:lang w:val="pl-PL"/>
    </w:rPr>
  </w:style>
  <w:style w:type="character" w:styleId="Tytuksiki">
    <w:name w:val="Book Title"/>
    <w:uiPriority w:val="98"/>
    <w:semiHidden/>
    <w:qFormat/>
    <w:rsid w:val="00E96558"/>
    <w:rPr>
      <w:i/>
      <w:iCs/>
      <w:smallCaps/>
      <w:spacing w:val="5"/>
    </w:rPr>
  </w:style>
  <w:style w:type="paragraph" w:customStyle="1" w:styleId="JuHeader">
    <w:name w:val="Ju_Header"/>
    <w:aliases w:val="_Header"/>
    <w:basedOn w:val="Nagwek"/>
    <w:uiPriority w:val="29"/>
    <w:qFormat/>
    <w:rsid w:val="00E96558"/>
    <w:pPr>
      <w:tabs>
        <w:tab w:val="clear" w:pos="4536"/>
        <w:tab w:val="clear" w:pos="9072"/>
      </w:tabs>
      <w:jc w:val="center"/>
    </w:pPr>
    <w:rPr>
      <w:sz w:val="18"/>
    </w:rPr>
  </w:style>
  <w:style w:type="paragraph" w:customStyle="1" w:styleId="NormalJustified">
    <w:name w:val="Normal_Justified"/>
    <w:basedOn w:val="Normalny"/>
    <w:semiHidden/>
    <w:rsid w:val="00E96558"/>
    <w:pPr>
      <w:jc w:val="both"/>
    </w:pPr>
  </w:style>
  <w:style w:type="character" w:styleId="Pogrubienie">
    <w:name w:val="Strong"/>
    <w:uiPriority w:val="98"/>
    <w:semiHidden/>
    <w:qFormat/>
    <w:rsid w:val="00E96558"/>
    <w:rPr>
      <w:b/>
      <w:bCs/>
    </w:rPr>
  </w:style>
  <w:style w:type="paragraph" w:styleId="Bezodstpw">
    <w:name w:val="No Spacing"/>
    <w:basedOn w:val="Normalny"/>
    <w:link w:val="BezodstpwZnak"/>
    <w:uiPriority w:val="98"/>
    <w:semiHidden/>
    <w:qFormat/>
    <w:rsid w:val="00E96558"/>
  </w:style>
  <w:style w:type="character" w:customStyle="1" w:styleId="BezodstpwZnak">
    <w:name w:val="Bez odstępów Znak"/>
    <w:basedOn w:val="Domylnaczcionkaakapitu"/>
    <w:link w:val="Bezodstpw"/>
    <w:uiPriority w:val="98"/>
    <w:semiHidden/>
    <w:rsid w:val="00E96558"/>
    <w:rPr>
      <w:sz w:val="24"/>
      <w:szCs w:val="24"/>
      <w:lang w:val="pl-PL"/>
    </w:rPr>
  </w:style>
  <w:style w:type="paragraph" w:customStyle="1" w:styleId="JuQuot">
    <w:name w:val="Ju_Quot"/>
    <w:aliases w:val="_Quote"/>
    <w:basedOn w:val="NormalJustified"/>
    <w:uiPriority w:val="20"/>
    <w:qFormat/>
    <w:rsid w:val="00E96558"/>
    <w:pPr>
      <w:spacing w:before="120" w:after="120"/>
      <w:ind w:left="425" w:firstLine="142"/>
    </w:pPr>
    <w:rPr>
      <w:sz w:val="20"/>
    </w:rPr>
  </w:style>
  <w:style w:type="paragraph" w:customStyle="1" w:styleId="DummyStyle">
    <w:name w:val="Dummy_Style"/>
    <w:aliases w:val="_Dummy"/>
    <w:basedOn w:val="Normalny"/>
    <w:semiHidden/>
    <w:qFormat/>
    <w:rsid w:val="00E96558"/>
    <w:rPr>
      <w:color w:val="00B050"/>
      <w:sz w:val="22"/>
    </w:rPr>
  </w:style>
  <w:style w:type="paragraph" w:customStyle="1" w:styleId="JuList">
    <w:name w:val="Ju_List"/>
    <w:aliases w:val="_List_1"/>
    <w:basedOn w:val="NormalJustified"/>
    <w:uiPriority w:val="23"/>
    <w:qFormat/>
    <w:rsid w:val="00E96558"/>
    <w:pPr>
      <w:numPr>
        <w:numId w:val="10"/>
      </w:numPr>
      <w:spacing w:before="280" w:after="60"/>
    </w:pPr>
  </w:style>
  <w:style w:type="paragraph" w:customStyle="1" w:styleId="JuLista">
    <w:name w:val="Ju_List_a"/>
    <w:aliases w:val="_List_2"/>
    <w:basedOn w:val="NormalJustified"/>
    <w:uiPriority w:val="23"/>
    <w:rsid w:val="00E96558"/>
    <w:pPr>
      <w:numPr>
        <w:ilvl w:val="1"/>
        <w:numId w:val="10"/>
      </w:numPr>
    </w:pPr>
  </w:style>
  <w:style w:type="paragraph" w:customStyle="1" w:styleId="JuListi">
    <w:name w:val="Ju_List_i"/>
    <w:aliases w:val="_List_3"/>
    <w:basedOn w:val="NormalJustified"/>
    <w:uiPriority w:val="23"/>
    <w:rsid w:val="00E96558"/>
    <w:pPr>
      <w:numPr>
        <w:ilvl w:val="2"/>
        <w:numId w:val="10"/>
      </w:numPr>
    </w:pPr>
  </w:style>
  <w:style w:type="paragraph" w:customStyle="1" w:styleId="JuHArticle">
    <w:name w:val="Ju_H_Article"/>
    <w:aliases w:val="_Title_Quote"/>
    <w:basedOn w:val="Normalny"/>
    <w:next w:val="JuQuot"/>
    <w:uiPriority w:val="19"/>
    <w:qFormat/>
    <w:rsid w:val="00E9655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9655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9655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96558"/>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96558"/>
    <w:pPr>
      <w:numPr>
        <w:numId w:val="9"/>
      </w:numPr>
    </w:pPr>
  </w:style>
  <w:style w:type="paragraph" w:customStyle="1" w:styleId="JuSigned">
    <w:name w:val="Ju_Signed"/>
    <w:aliases w:val="_Signature"/>
    <w:basedOn w:val="Normalny"/>
    <w:next w:val="JuPara"/>
    <w:uiPriority w:val="31"/>
    <w:qFormat/>
    <w:rsid w:val="00E96558"/>
    <w:pPr>
      <w:tabs>
        <w:tab w:val="center" w:pos="851"/>
        <w:tab w:val="center" w:pos="6407"/>
      </w:tabs>
      <w:spacing w:before="720"/>
    </w:pPr>
  </w:style>
  <w:style w:type="paragraph" w:styleId="Tytu">
    <w:name w:val="Title"/>
    <w:basedOn w:val="Normalny"/>
    <w:next w:val="Normalny"/>
    <w:link w:val="TytuZnak"/>
    <w:uiPriority w:val="98"/>
    <w:semiHidden/>
    <w:qFormat/>
    <w:rsid w:val="00E965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96558"/>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E96558"/>
    <w:pPr>
      <w:numPr>
        <w:numId w:val="10"/>
      </w:numPr>
    </w:pPr>
  </w:style>
  <w:style w:type="numbering" w:customStyle="1" w:styleId="ECHRA1StyleNumberedList">
    <w:name w:val="ECHR_A1_Style_Numbered_List"/>
    <w:basedOn w:val="Bezlisty"/>
    <w:rsid w:val="00E96558"/>
    <w:pPr>
      <w:numPr>
        <w:numId w:val="11"/>
      </w:numPr>
    </w:pPr>
  </w:style>
  <w:style w:type="table" w:customStyle="1" w:styleId="ECHRTable2019">
    <w:name w:val="ECHR_Table_2019"/>
    <w:basedOn w:val="Standardowy"/>
    <w:uiPriority w:val="99"/>
    <w:rsid w:val="00E9655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9655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96558"/>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96558"/>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96558"/>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E96558"/>
    <w:pPr>
      <w:tabs>
        <w:tab w:val="center" w:pos="4536"/>
        <w:tab w:val="right" w:pos="9072"/>
      </w:tabs>
    </w:pPr>
  </w:style>
  <w:style w:type="character" w:customStyle="1" w:styleId="NagwekZnak">
    <w:name w:val="Nagłówek Znak"/>
    <w:basedOn w:val="Domylnaczcionkaakapitu"/>
    <w:link w:val="Nagwek"/>
    <w:uiPriority w:val="98"/>
    <w:semiHidden/>
    <w:rsid w:val="00E96558"/>
    <w:rPr>
      <w:sz w:val="24"/>
      <w:szCs w:val="24"/>
      <w:lang w:val="pl-PL"/>
    </w:rPr>
  </w:style>
  <w:style w:type="character" w:customStyle="1" w:styleId="Nagwek1Znak">
    <w:name w:val="Nagłówek 1 Znak"/>
    <w:basedOn w:val="Domylnaczcionkaakapitu"/>
    <w:link w:val="Nagwek1"/>
    <w:uiPriority w:val="98"/>
    <w:semiHidden/>
    <w:rsid w:val="00E96558"/>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E96558"/>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E96558"/>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96558"/>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E96558"/>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96558"/>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E96558"/>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E96558"/>
    <w:pPr>
      <w:keepNext/>
      <w:keepLines/>
      <w:spacing w:before="240" w:after="240"/>
      <w:ind w:firstLine="284"/>
    </w:pPr>
  </w:style>
  <w:style w:type="paragraph" w:customStyle="1" w:styleId="JuJudges">
    <w:name w:val="Ju_Judges"/>
    <w:aliases w:val="_Judges"/>
    <w:basedOn w:val="Normalny"/>
    <w:uiPriority w:val="32"/>
    <w:qFormat/>
    <w:rsid w:val="00E96558"/>
    <w:pPr>
      <w:tabs>
        <w:tab w:val="left" w:pos="567"/>
        <w:tab w:val="left" w:pos="1134"/>
      </w:tabs>
    </w:pPr>
  </w:style>
  <w:style w:type="character" w:customStyle="1" w:styleId="Nagwek4Znak">
    <w:name w:val="Nagłówek 4 Znak"/>
    <w:basedOn w:val="Domylnaczcionkaakapitu"/>
    <w:link w:val="Nagwek4"/>
    <w:uiPriority w:val="98"/>
    <w:semiHidden/>
    <w:rsid w:val="00E96558"/>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E96558"/>
    <w:pPr>
      <w:tabs>
        <w:tab w:val="center" w:pos="6407"/>
      </w:tabs>
      <w:spacing w:before="720"/>
      <w:jc w:val="right"/>
    </w:pPr>
  </w:style>
  <w:style w:type="character" w:customStyle="1" w:styleId="Nagwek5Znak">
    <w:name w:val="Nagłówek 5 Znak"/>
    <w:basedOn w:val="Domylnaczcionkaakapitu"/>
    <w:link w:val="Nagwek5"/>
    <w:uiPriority w:val="98"/>
    <w:semiHidden/>
    <w:rsid w:val="00E96558"/>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E9655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96558"/>
    <w:rPr>
      <w:caps w:val="0"/>
      <w:smallCaps/>
    </w:rPr>
  </w:style>
  <w:style w:type="character" w:styleId="Wyrnieniedelikatne">
    <w:name w:val="Subtle Emphasis"/>
    <w:uiPriority w:val="98"/>
    <w:semiHidden/>
    <w:qFormat/>
    <w:rsid w:val="00E96558"/>
    <w:rPr>
      <w:i/>
      <w:iCs/>
    </w:rPr>
  </w:style>
  <w:style w:type="table" w:customStyle="1" w:styleId="ECHRTable">
    <w:name w:val="ECHR_Table"/>
    <w:basedOn w:val="Standardowy"/>
    <w:rsid w:val="00E96558"/>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96558"/>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96558"/>
    <w:rPr>
      <w:b/>
      <w:bCs/>
      <w:i/>
      <w:iCs/>
      <w:spacing w:val="10"/>
      <w:bdr w:val="none" w:sz="0" w:space="0" w:color="auto"/>
      <w:shd w:val="clear" w:color="auto" w:fill="auto"/>
    </w:rPr>
  </w:style>
  <w:style w:type="paragraph" w:styleId="Stopka">
    <w:name w:val="footer"/>
    <w:basedOn w:val="Normalny"/>
    <w:link w:val="StopkaZnak"/>
    <w:uiPriority w:val="98"/>
    <w:semiHidden/>
    <w:rsid w:val="00E96558"/>
    <w:pPr>
      <w:tabs>
        <w:tab w:val="center" w:pos="3686"/>
        <w:tab w:val="right" w:pos="7371"/>
      </w:tabs>
    </w:pPr>
  </w:style>
  <w:style w:type="character" w:customStyle="1" w:styleId="StopkaZnak">
    <w:name w:val="Stopka Znak"/>
    <w:basedOn w:val="Domylnaczcionkaakapitu"/>
    <w:link w:val="Stopka"/>
    <w:uiPriority w:val="98"/>
    <w:semiHidden/>
    <w:rsid w:val="00E96558"/>
    <w:rPr>
      <w:sz w:val="24"/>
      <w:szCs w:val="24"/>
      <w:lang w:val="pl-PL"/>
    </w:rPr>
  </w:style>
  <w:style w:type="character" w:styleId="Odwoanieprzypisudolnego">
    <w:name w:val="footnote reference"/>
    <w:basedOn w:val="Domylnaczcionkaakapitu"/>
    <w:uiPriority w:val="98"/>
    <w:semiHidden/>
    <w:rsid w:val="00E96558"/>
    <w:rPr>
      <w:vertAlign w:val="superscript"/>
    </w:rPr>
  </w:style>
  <w:style w:type="paragraph" w:styleId="Tekstprzypisudolnego">
    <w:name w:val="footnote text"/>
    <w:basedOn w:val="Normalny"/>
    <w:link w:val="TekstprzypisudolnegoZnak"/>
    <w:uiPriority w:val="98"/>
    <w:semiHidden/>
    <w:rsid w:val="00E96558"/>
    <w:rPr>
      <w:sz w:val="20"/>
      <w:szCs w:val="20"/>
    </w:rPr>
  </w:style>
  <w:style w:type="character" w:customStyle="1" w:styleId="TekstprzypisudolnegoZnak">
    <w:name w:val="Tekst przypisu dolnego Znak"/>
    <w:basedOn w:val="Domylnaczcionkaakapitu"/>
    <w:link w:val="Tekstprzypisudolnego"/>
    <w:uiPriority w:val="98"/>
    <w:semiHidden/>
    <w:rsid w:val="00E96558"/>
    <w:rPr>
      <w:sz w:val="20"/>
      <w:szCs w:val="20"/>
      <w:lang w:val="pl-PL"/>
    </w:rPr>
  </w:style>
  <w:style w:type="character" w:customStyle="1" w:styleId="Nagwek6Znak">
    <w:name w:val="Nagłówek 6 Znak"/>
    <w:basedOn w:val="Domylnaczcionkaakapitu"/>
    <w:link w:val="Nagwek6"/>
    <w:uiPriority w:val="98"/>
    <w:semiHidden/>
    <w:rsid w:val="00E96558"/>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E96558"/>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E96558"/>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E96558"/>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E96558"/>
    <w:rPr>
      <w:color w:val="0072BC" w:themeColor="hyperlink"/>
      <w:u w:val="single"/>
    </w:rPr>
  </w:style>
  <w:style w:type="character" w:styleId="Wyrnienieintensywne">
    <w:name w:val="Intense Emphasis"/>
    <w:uiPriority w:val="98"/>
    <w:semiHidden/>
    <w:qFormat/>
    <w:rsid w:val="00E96558"/>
    <w:rPr>
      <w:b/>
      <w:bCs/>
    </w:rPr>
  </w:style>
  <w:style w:type="paragraph" w:styleId="Cytatintensywny">
    <w:name w:val="Intense Quote"/>
    <w:basedOn w:val="Normalny"/>
    <w:next w:val="Normalny"/>
    <w:link w:val="CytatintensywnyZnak"/>
    <w:uiPriority w:val="98"/>
    <w:semiHidden/>
    <w:qFormat/>
    <w:rsid w:val="00E9655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96558"/>
    <w:rPr>
      <w:b/>
      <w:bCs/>
      <w:i/>
      <w:iCs/>
      <w:sz w:val="24"/>
      <w:szCs w:val="24"/>
      <w:lang w:val="pl-PL" w:bidi="en-US"/>
    </w:rPr>
  </w:style>
  <w:style w:type="character" w:styleId="Odwoanieintensywne">
    <w:name w:val="Intense Reference"/>
    <w:uiPriority w:val="98"/>
    <w:semiHidden/>
    <w:qFormat/>
    <w:rsid w:val="00E96558"/>
    <w:rPr>
      <w:smallCaps/>
      <w:spacing w:val="5"/>
      <w:u w:val="single"/>
    </w:rPr>
  </w:style>
  <w:style w:type="paragraph" w:styleId="Akapitzlist">
    <w:name w:val="List Paragraph"/>
    <w:basedOn w:val="Normalny"/>
    <w:uiPriority w:val="98"/>
    <w:semiHidden/>
    <w:qFormat/>
    <w:rsid w:val="00E96558"/>
    <w:pPr>
      <w:ind w:left="720"/>
      <w:contextualSpacing/>
    </w:pPr>
  </w:style>
  <w:style w:type="table" w:customStyle="1" w:styleId="LtrTableAddress">
    <w:name w:val="Ltr_Table_Address"/>
    <w:aliases w:val="ECHR_Ltr_Table_Address"/>
    <w:basedOn w:val="Standardowy"/>
    <w:uiPriority w:val="99"/>
    <w:rsid w:val="00E96558"/>
    <w:rPr>
      <w:sz w:val="24"/>
      <w:szCs w:val="24"/>
    </w:rPr>
    <w:tblPr>
      <w:tblInd w:w="5103" w:type="dxa"/>
    </w:tblPr>
  </w:style>
  <w:style w:type="paragraph" w:styleId="Cytat">
    <w:name w:val="Quote"/>
    <w:basedOn w:val="Normalny"/>
    <w:next w:val="Normalny"/>
    <w:link w:val="CytatZnak"/>
    <w:uiPriority w:val="99"/>
    <w:qFormat/>
    <w:rsid w:val="00E96558"/>
    <w:pPr>
      <w:spacing w:before="200"/>
      <w:ind w:left="360" w:right="360"/>
    </w:pPr>
    <w:rPr>
      <w:i/>
      <w:iCs/>
      <w:lang w:bidi="en-US"/>
    </w:rPr>
  </w:style>
  <w:style w:type="character" w:customStyle="1" w:styleId="CytatZnak">
    <w:name w:val="Cytat Znak"/>
    <w:basedOn w:val="Domylnaczcionkaakapitu"/>
    <w:link w:val="Cytat"/>
    <w:uiPriority w:val="99"/>
    <w:rsid w:val="00E96558"/>
    <w:rPr>
      <w:i/>
      <w:iCs/>
      <w:sz w:val="24"/>
      <w:szCs w:val="24"/>
      <w:lang w:val="pl-PL" w:bidi="en-US"/>
    </w:rPr>
  </w:style>
  <w:style w:type="character" w:styleId="Odwoaniedelikatne">
    <w:name w:val="Subtle Reference"/>
    <w:uiPriority w:val="98"/>
    <w:semiHidden/>
    <w:qFormat/>
    <w:rsid w:val="00E96558"/>
    <w:rPr>
      <w:smallCaps/>
    </w:rPr>
  </w:style>
  <w:style w:type="table" w:styleId="Tabela-Siatka">
    <w:name w:val="Table Grid"/>
    <w:basedOn w:val="Standardowy"/>
    <w:uiPriority w:val="59"/>
    <w:semiHidden/>
    <w:rsid w:val="00E9655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965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965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965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9655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965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9655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96558"/>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96558"/>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9655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9655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9655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9655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9655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9655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96558"/>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96558"/>
    <w:pPr>
      <w:numPr>
        <w:numId w:val="6"/>
      </w:numPr>
    </w:pPr>
  </w:style>
  <w:style w:type="paragraph" w:customStyle="1" w:styleId="JuPara">
    <w:name w:val="Ju_Para"/>
    <w:aliases w:val="_Para"/>
    <w:basedOn w:val="NormalJustified"/>
    <w:link w:val="JuParaChar"/>
    <w:uiPriority w:val="4"/>
    <w:qFormat/>
    <w:rsid w:val="00E96558"/>
    <w:pPr>
      <w:ind w:firstLine="284"/>
    </w:pPr>
  </w:style>
  <w:style w:type="numbering" w:styleId="1ai">
    <w:name w:val="Outline List 1"/>
    <w:basedOn w:val="Bezlisty"/>
    <w:uiPriority w:val="99"/>
    <w:semiHidden/>
    <w:unhideWhenUsed/>
    <w:rsid w:val="00E96558"/>
    <w:pPr>
      <w:numPr>
        <w:numId w:val="7"/>
      </w:numPr>
    </w:pPr>
  </w:style>
  <w:style w:type="table" w:customStyle="1" w:styleId="ECHRTableSimpleBox">
    <w:name w:val="ECHR_Table_Simple_Box"/>
    <w:basedOn w:val="Standardowy"/>
    <w:uiPriority w:val="99"/>
    <w:rsid w:val="00E9655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9655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96558"/>
    <w:pPr>
      <w:numPr>
        <w:numId w:val="8"/>
      </w:numPr>
    </w:pPr>
  </w:style>
  <w:style w:type="table" w:customStyle="1" w:styleId="ECHRTableForInternalUse">
    <w:name w:val="ECHR_Table_For_Internal_Use"/>
    <w:basedOn w:val="Standardowy"/>
    <w:uiPriority w:val="99"/>
    <w:rsid w:val="00E9655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655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96558"/>
  </w:style>
  <w:style w:type="paragraph" w:styleId="Tekstblokowy">
    <w:name w:val="Block Text"/>
    <w:basedOn w:val="Normalny"/>
    <w:uiPriority w:val="98"/>
    <w:semiHidden/>
    <w:rsid w:val="00E9655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9655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96558"/>
    <w:pPr>
      <w:spacing w:after="120"/>
    </w:pPr>
  </w:style>
  <w:style w:type="character" w:customStyle="1" w:styleId="TekstpodstawowyZnak">
    <w:name w:val="Tekst podstawowy Znak"/>
    <w:basedOn w:val="Domylnaczcionkaakapitu"/>
    <w:link w:val="Tekstpodstawowy"/>
    <w:uiPriority w:val="98"/>
    <w:semiHidden/>
    <w:rsid w:val="00E96558"/>
    <w:rPr>
      <w:sz w:val="24"/>
      <w:szCs w:val="24"/>
      <w:lang w:val="pl-PL"/>
    </w:rPr>
  </w:style>
  <w:style w:type="table" w:customStyle="1" w:styleId="ECHRTableOddBanded">
    <w:name w:val="ECHR_Table_Odd_Banded"/>
    <w:basedOn w:val="Standardowy"/>
    <w:uiPriority w:val="99"/>
    <w:rsid w:val="00E9655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96558"/>
    <w:pPr>
      <w:spacing w:after="120" w:line="480" w:lineRule="auto"/>
    </w:pPr>
  </w:style>
  <w:style w:type="table" w:customStyle="1" w:styleId="ECHRHeaderTableReduced">
    <w:name w:val="ECHR_Header_Table_Reduced"/>
    <w:basedOn w:val="Standardowy"/>
    <w:uiPriority w:val="99"/>
    <w:rsid w:val="00E9655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96558"/>
    <w:pPr>
      <w:ind w:firstLine="284"/>
    </w:pPr>
    <w:rPr>
      <w:b/>
    </w:rPr>
  </w:style>
  <w:style w:type="character" w:styleId="Numerstrony">
    <w:name w:val="page number"/>
    <w:uiPriority w:val="98"/>
    <w:semiHidden/>
    <w:rsid w:val="00E96558"/>
    <w:rPr>
      <w:sz w:val="18"/>
    </w:rPr>
  </w:style>
  <w:style w:type="paragraph" w:styleId="Listapunktowana">
    <w:name w:val="List Bullet"/>
    <w:basedOn w:val="Normalny"/>
    <w:uiPriority w:val="98"/>
    <w:semiHidden/>
    <w:rsid w:val="00E96558"/>
    <w:pPr>
      <w:numPr>
        <w:numId w:val="12"/>
      </w:numPr>
    </w:pPr>
  </w:style>
  <w:style w:type="paragraph" w:styleId="Listapunktowana3">
    <w:name w:val="List Bullet 3"/>
    <w:basedOn w:val="Normalny"/>
    <w:uiPriority w:val="98"/>
    <w:semiHidden/>
    <w:rsid w:val="00E96558"/>
    <w:pPr>
      <w:numPr>
        <w:numId w:val="14"/>
      </w:numPr>
      <w:contextualSpacing/>
    </w:pPr>
  </w:style>
  <w:style w:type="character" w:customStyle="1" w:styleId="Tekstpodstawowy2Znak">
    <w:name w:val="Tekst podstawowy 2 Znak"/>
    <w:basedOn w:val="Domylnaczcionkaakapitu"/>
    <w:link w:val="Tekstpodstawowy2"/>
    <w:uiPriority w:val="98"/>
    <w:semiHidden/>
    <w:rsid w:val="00E96558"/>
    <w:rPr>
      <w:sz w:val="24"/>
      <w:szCs w:val="24"/>
      <w:lang w:val="pl-PL"/>
    </w:rPr>
  </w:style>
  <w:style w:type="paragraph" w:styleId="Tekstpodstawowy3">
    <w:name w:val="Body Text 3"/>
    <w:basedOn w:val="Normalny"/>
    <w:link w:val="Tekstpodstawowy3Znak"/>
    <w:uiPriority w:val="98"/>
    <w:semiHidden/>
    <w:rsid w:val="00E96558"/>
    <w:pPr>
      <w:spacing w:after="120"/>
    </w:pPr>
    <w:rPr>
      <w:sz w:val="16"/>
      <w:szCs w:val="16"/>
    </w:rPr>
  </w:style>
  <w:style w:type="character" w:customStyle="1" w:styleId="Tekstpodstawowy3Znak">
    <w:name w:val="Tekst podstawowy 3 Znak"/>
    <w:basedOn w:val="Domylnaczcionkaakapitu"/>
    <w:link w:val="Tekstpodstawowy3"/>
    <w:uiPriority w:val="98"/>
    <w:semiHidden/>
    <w:rsid w:val="00E96558"/>
    <w:rPr>
      <w:sz w:val="16"/>
      <w:szCs w:val="16"/>
      <w:lang w:val="pl-PL"/>
    </w:rPr>
  </w:style>
  <w:style w:type="paragraph" w:styleId="Tekstpodstawowyzwciciem">
    <w:name w:val="Body Text First Indent"/>
    <w:basedOn w:val="Tekstpodstawowy"/>
    <w:link w:val="TekstpodstawowyzwciciemZnak"/>
    <w:uiPriority w:val="98"/>
    <w:semiHidden/>
    <w:rsid w:val="00E9655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96558"/>
    <w:rPr>
      <w:sz w:val="24"/>
      <w:szCs w:val="24"/>
      <w:lang w:val="pl-PL"/>
    </w:rPr>
  </w:style>
  <w:style w:type="paragraph" w:styleId="Tekstpodstawowywcity">
    <w:name w:val="Body Text Indent"/>
    <w:basedOn w:val="Normalny"/>
    <w:link w:val="TekstpodstawowywcityZnak"/>
    <w:uiPriority w:val="98"/>
    <w:semiHidden/>
    <w:rsid w:val="00E96558"/>
    <w:pPr>
      <w:spacing w:after="120"/>
      <w:ind w:left="283"/>
    </w:pPr>
  </w:style>
  <w:style w:type="character" w:customStyle="1" w:styleId="TekstpodstawowywcityZnak">
    <w:name w:val="Tekst podstawowy wcięty Znak"/>
    <w:basedOn w:val="Domylnaczcionkaakapitu"/>
    <w:link w:val="Tekstpodstawowywcity"/>
    <w:uiPriority w:val="98"/>
    <w:semiHidden/>
    <w:rsid w:val="00E96558"/>
    <w:rPr>
      <w:sz w:val="24"/>
      <w:szCs w:val="24"/>
      <w:lang w:val="pl-PL"/>
    </w:rPr>
  </w:style>
  <w:style w:type="paragraph" w:styleId="Tekstpodstawowyzwciciem2">
    <w:name w:val="Body Text First Indent 2"/>
    <w:basedOn w:val="Tekstpodstawowywcity"/>
    <w:link w:val="Tekstpodstawowyzwciciem2Znak"/>
    <w:uiPriority w:val="98"/>
    <w:semiHidden/>
    <w:rsid w:val="00E9655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96558"/>
    <w:rPr>
      <w:sz w:val="24"/>
      <w:szCs w:val="24"/>
      <w:lang w:val="pl-PL"/>
    </w:rPr>
  </w:style>
  <w:style w:type="paragraph" w:styleId="Tekstpodstawowywcity2">
    <w:name w:val="Body Text Indent 2"/>
    <w:basedOn w:val="Normalny"/>
    <w:link w:val="Tekstpodstawowywcity2Znak"/>
    <w:uiPriority w:val="98"/>
    <w:semiHidden/>
    <w:rsid w:val="00E9655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96558"/>
    <w:rPr>
      <w:sz w:val="24"/>
      <w:szCs w:val="24"/>
      <w:lang w:val="pl-PL"/>
    </w:rPr>
  </w:style>
  <w:style w:type="paragraph" w:styleId="Tekstpodstawowywcity3">
    <w:name w:val="Body Text Indent 3"/>
    <w:basedOn w:val="Normalny"/>
    <w:link w:val="Tekstpodstawowywcity3Znak"/>
    <w:uiPriority w:val="98"/>
    <w:semiHidden/>
    <w:rsid w:val="00E9655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96558"/>
    <w:rPr>
      <w:sz w:val="16"/>
      <w:szCs w:val="16"/>
      <w:lang w:val="pl-PL"/>
    </w:rPr>
  </w:style>
  <w:style w:type="paragraph" w:styleId="Legenda">
    <w:name w:val="caption"/>
    <w:basedOn w:val="Normalny"/>
    <w:next w:val="Normalny"/>
    <w:uiPriority w:val="98"/>
    <w:semiHidden/>
    <w:qFormat/>
    <w:rsid w:val="00E96558"/>
    <w:pPr>
      <w:spacing w:after="200"/>
    </w:pPr>
    <w:rPr>
      <w:b/>
      <w:bCs/>
      <w:color w:val="0072BC" w:themeColor="accent1"/>
      <w:sz w:val="18"/>
      <w:szCs w:val="18"/>
    </w:rPr>
  </w:style>
  <w:style w:type="paragraph" w:styleId="Zwrotpoegnalny">
    <w:name w:val="Closing"/>
    <w:basedOn w:val="Normalny"/>
    <w:link w:val="ZwrotpoegnalnyZnak"/>
    <w:uiPriority w:val="98"/>
    <w:semiHidden/>
    <w:rsid w:val="00E96558"/>
    <w:pPr>
      <w:ind w:left="4252"/>
    </w:pPr>
  </w:style>
  <w:style w:type="character" w:customStyle="1" w:styleId="ZwrotpoegnalnyZnak">
    <w:name w:val="Zwrot pożegnalny Znak"/>
    <w:basedOn w:val="Domylnaczcionkaakapitu"/>
    <w:link w:val="Zwrotpoegnalny"/>
    <w:uiPriority w:val="98"/>
    <w:semiHidden/>
    <w:rsid w:val="00E96558"/>
    <w:rPr>
      <w:sz w:val="24"/>
      <w:szCs w:val="24"/>
      <w:lang w:val="pl-PL"/>
    </w:rPr>
  </w:style>
  <w:style w:type="table" w:styleId="Kolorowasiatka">
    <w:name w:val="Colorful Grid"/>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655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655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655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655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655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655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655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655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655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655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655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96558"/>
    <w:rPr>
      <w:sz w:val="16"/>
      <w:szCs w:val="16"/>
    </w:rPr>
  </w:style>
  <w:style w:type="paragraph" w:styleId="Tekstkomentarza">
    <w:name w:val="annotation text"/>
    <w:basedOn w:val="Normalny"/>
    <w:link w:val="TekstkomentarzaZnak"/>
    <w:uiPriority w:val="98"/>
    <w:semiHidden/>
    <w:rsid w:val="00E96558"/>
    <w:rPr>
      <w:sz w:val="20"/>
      <w:szCs w:val="20"/>
    </w:rPr>
  </w:style>
  <w:style w:type="character" w:customStyle="1" w:styleId="TekstkomentarzaZnak">
    <w:name w:val="Tekst komentarza Znak"/>
    <w:basedOn w:val="Domylnaczcionkaakapitu"/>
    <w:link w:val="Tekstkomentarza"/>
    <w:uiPriority w:val="98"/>
    <w:semiHidden/>
    <w:rsid w:val="00E96558"/>
    <w:rPr>
      <w:sz w:val="20"/>
      <w:szCs w:val="20"/>
      <w:lang w:val="pl-PL"/>
    </w:rPr>
  </w:style>
  <w:style w:type="paragraph" w:styleId="Tematkomentarza">
    <w:name w:val="annotation subject"/>
    <w:basedOn w:val="Tekstkomentarza"/>
    <w:next w:val="Tekstkomentarza"/>
    <w:link w:val="TematkomentarzaZnak"/>
    <w:uiPriority w:val="98"/>
    <w:semiHidden/>
    <w:rsid w:val="00E96558"/>
    <w:rPr>
      <w:b/>
      <w:bCs/>
    </w:rPr>
  </w:style>
  <w:style w:type="character" w:customStyle="1" w:styleId="TematkomentarzaZnak">
    <w:name w:val="Temat komentarza Znak"/>
    <w:basedOn w:val="TekstkomentarzaZnak"/>
    <w:link w:val="Tematkomentarza"/>
    <w:uiPriority w:val="98"/>
    <w:semiHidden/>
    <w:rsid w:val="00E96558"/>
    <w:rPr>
      <w:b/>
      <w:bCs/>
      <w:sz w:val="20"/>
      <w:szCs w:val="20"/>
      <w:lang w:val="pl-PL"/>
    </w:rPr>
  </w:style>
  <w:style w:type="table" w:styleId="Ciemnalista">
    <w:name w:val="Dark List"/>
    <w:basedOn w:val="Standardowy"/>
    <w:uiPriority w:val="70"/>
    <w:semiHidden/>
    <w:rsid w:val="00E9655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655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655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655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655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655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655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96558"/>
  </w:style>
  <w:style w:type="character" w:customStyle="1" w:styleId="DataZnak">
    <w:name w:val="Data Znak"/>
    <w:basedOn w:val="Domylnaczcionkaakapitu"/>
    <w:link w:val="Data"/>
    <w:uiPriority w:val="98"/>
    <w:semiHidden/>
    <w:rsid w:val="00E96558"/>
    <w:rPr>
      <w:sz w:val="24"/>
      <w:szCs w:val="24"/>
      <w:lang w:val="pl-PL"/>
    </w:rPr>
  </w:style>
  <w:style w:type="paragraph" w:styleId="Mapadokumentu">
    <w:name w:val="Document Map"/>
    <w:basedOn w:val="Normalny"/>
    <w:link w:val="MapadokumentuZnak"/>
    <w:uiPriority w:val="98"/>
    <w:semiHidden/>
    <w:rsid w:val="00E9655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96558"/>
    <w:rPr>
      <w:rFonts w:ascii="Tahoma" w:hAnsi="Tahoma" w:cs="Tahoma"/>
      <w:sz w:val="16"/>
      <w:szCs w:val="16"/>
      <w:lang w:val="pl-PL"/>
    </w:rPr>
  </w:style>
  <w:style w:type="paragraph" w:styleId="Podpise-mail">
    <w:name w:val="E-mail Signature"/>
    <w:basedOn w:val="Normalny"/>
    <w:link w:val="Podpise-mailZnak"/>
    <w:uiPriority w:val="98"/>
    <w:semiHidden/>
    <w:rsid w:val="00E96558"/>
  </w:style>
  <w:style w:type="character" w:customStyle="1" w:styleId="Podpise-mailZnak">
    <w:name w:val="Podpis e-mail Znak"/>
    <w:basedOn w:val="Domylnaczcionkaakapitu"/>
    <w:link w:val="Podpise-mail"/>
    <w:uiPriority w:val="98"/>
    <w:semiHidden/>
    <w:rsid w:val="00E96558"/>
    <w:rPr>
      <w:sz w:val="24"/>
      <w:szCs w:val="24"/>
      <w:lang w:val="pl-PL"/>
    </w:rPr>
  </w:style>
  <w:style w:type="character" w:styleId="Odwoanieprzypisukocowego">
    <w:name w:val="endnote reference"/>
    <w:basedOn w:val="Domylnaczcionkaakapitu"/>
    <w:uiPriority w:val="98"/>
    <w:semiHidden/>
    <w:rsid w:val="00E96558"/>
    <w:rPr>
      <w:vertAlign w:val="superscript"/>
    </w:rPr>
  </w:style>
  <w:style w:type="paragraph" w:styleId="Tekstprzypisukocowego">
    <w:name w:val="endnote text"/>
    <w:basedOn w:val="Normalny"/>
    <w:link w:val="TekstprzypisukocowegoZnak"/>
    <w:uiPriority w:val="98"/>
    <w:semiHidden/>
    <w:rsid w:val="00E96558"/>
    <w:rPr>
      <w:sz w:val="20"/>
      <w:szCs w:val="20"/>
    </w:rPr>
  </w:style>
  <w:style w:type="character" w:customStyle="1" w:styleId="TekstprzypisukocowegoZnak">
    <w:name w:val="Tekst przypisu końcowego Znak"/>
    <w:basedOn w:val="Domylnaczcionkaakapitu"/>
    <w:link w:val="Tekstprzypisukocowego"/>
    <w:uiPriority w:val="98"/>
    <w:semiHidden/>
    <w:rsid w:val="00E96558"/>
    <w:rPr>
      <w:sz w:val="20"/>
      <w:szCs w:val="20"/>
      <w:lang w:val="pl-PL"/>
    </w:rPr>
  </w:style>
  <w:style w:type="paragraph" w:styleId="Adresnakopercie">
    <w:name w:val="envelope address"/>
    <w:basedOn w:val="Normalny"/>
    <w:uiPriority w:val="98"/>
    <w:semiHidden/>
    <w:rsid w:val="00E9655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9655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96558"/>
    <w:rPr>
      <w:color w:val="7030A0" w:themeColor="followedHyperlink"/>
      <w:u w:val="single"/>
    </w:rPr>
  </w:style>
  <w:style w:type="character" w:styleId="HTML-akronim">
    <w:name w:val="HTML Acronym"/>
    <w:basedOn w:val="Domylnaczcionkaakapitu"/>
    <w:uiPriority w:val="98"/>
    <w:semiHidden/>
    <w:rsid w:val="00E96558"/>
  </w:style>
  <w:style w:type="paragraph" w:styleId="HTML-adres">
    <w:name w:val="HTML Address"/>
    <w:basedOn w:val="Normalny"/>
    <w:link w:val="HTML-adresZnak"/>
    <w:uiPriority w:val="98"/>
    <w:semiHidden/>
    <w:rsid w:val="00E96558"/>
    <w:rPr>
      <w:i/>
      <w:iCs/>
    </w:rPr>
  </w:style>
  <w:style w:type="character" w:customStyle="1" w:styleId="HTML-adresZnak">
    <w:name w:val="HTML - adres Znak"/>
    <w:basedOn w:val="Domylnaczcionkaakapitu"/>
    <w:link w:val="HTML-adres"/>
    <w:uiPriority w:val="98"/>
    <w:semiHidden/>
    <w:rsid w:val="00E96558"/>
    <w:rPr>
      <w:i/>
      <w:iCs/>
      <w:sz w:val="24"/>
      <w:szCs w:val="24"/>
      <w:lang w:val="pl-PL"/>
    </w:rPr>
  </w:style>
  <w:style w:type="character" w:styleId="HTML-cytat">
    <w:name w:val="HTML Cite"/>
    <w:basedOn w:val="Domylnaczcionkaakapitu"/>
    <w:uiPriority w:val="98"/>
    <w:semiHidden/>
    <w:rsid w:val="00E96558"/>
    <w:rPr>
      <w:i/>
      <w:iCs/>
    </w:rPr>
  </w:style>
  <w:style w:type="character" w:styleId="HTML-kod">
    <w:name w:val="HTML Code"/>
    <w:basedOn w:val="Domylnaczcionkaakapitu"/>
    <w:uiPriority w:val="98"/>
    <w:semiHidden/>
    <w:rsid w:val="00E96558"/>
    <w:rPr>
      <w:rFonts w:ascii="Consolas" w:hAnsi="Consolas" w:cs="Consolas"/>
      <w:sz w:val="20"/>
      <w:szCs w:val="20"/>
    </w:rPr>
  </w:style>
  <w:style w:type="character" w:styleId="HTML-definicja">
    <w:name w:val="HTML Definition"/>
    <w:basedOn w:val="Domylnaczcionkaakapitu"/>
    <w:uiPriority w:val="98"/>
    <w:semiHidden/>
    <w:rsid w:val="00E96558"/>
    <w:rPr>
      <w:i/>
      <w:iCs/>
    </w:rPr>
  </w:style>
  <w:style w:type="character" w:styleId="HTML-klawiatura">
    <w:name w:val="HTML Keyboard"/>
    <w:basedOn w:val="Domylnaczcionkaakapitu"/>
    <w:uiPriority w:val="98"/>
    <w:semiHidden/>
    <w:rsid w:val="00E96558"/>
    <w:rPr>
      <w:rFonts w:ascii="Consolas" w:hAnsi="Consolas" w:cs="Consolas"/>
      <w:sz w:val="20"/>
      <w:szCs w:val="20"/>
    </w:rPr>
  </w:style>
  <w:style w:type="paragraph" w:styleId="HTML-wstpniesformatowany">
    <w:name w:val="HTML Preformatted"/>
    <w:basedOn w:val="Normalny"/>
    <w:link w:val="HTML-wstpniesformatowanyZnak"/>
    <w:uiPriority w:val="98"/>
    <w:semiHidden/>
    <w:rsid w:val="00E9655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96558"/>
    <w:rPr>
      <w:rFonts w:ascii="Consolas" w:hAnsi="Consolas" w:cs="Consolas"/>
      <w:sz w:val="20"/>
      <w:szCs w:val="20"/>
      <w:lang w:val="pl-PL"/>
    </w:rPr>
  </w:style>
  <w:style w:type="character" w:styleId="HTML-przykad">
    <w:name w:val="HTML Sample"/>
    <w:basedOn w:val="Domylnaczcionkaakapitu"/>
    <w:uiPriority w:val="98"/>
    <w:semiHidden/>
    <w:rsid w:val="00E96558"/>
    <w:rPr>
      <w:rFonts w:ascii="Consolas" w:hAnsi="Consolas" w:cs="Consolas"/>
      <w:sz w:val="24"/>
      <w:szCs w:val="24"/>
    </w:rPr>
  </w:style>
  <w:style w:type="character" w:styleId="HTML-staaszeroko">
    <w:name w:val="HTML Typewriter"/>
    <w:basedOn w:val="Domylnaczcionkaakapitu"/>
    <w:uiPriority w:val="98"/>
    <w:semiHidden/>
    <w:rsid w:val="00E96558"/>
    <w:rPr>
      <w:rFonts w:ascii="Consolas" w:hAnsi="Consolas" w:cs="Consolas"/>
      <w:sz w:val="20"/>
      <w:szCs w:val="20"/>
    </w:rPr>
  </w:style>
  <w:style w:type="character" w:styleId="HTML-zmienna">
    <w:name w:val="HTML Variable"/>
    <w:basedOn w:val="Domylnaczcionkaakapitu"/>
    <w:uiPriority w:val="98"/>
    <w:semiHidden/>
    <w:rsid w:val="00E96558"/>
    <w:rPr>
      <w:i/>
      <w:iCs/>
    </w:rPr>
  </w:style>
  <w:style w:type="paragraph" w:styleId="Indeks1">
    <w:name w:val="index 1"/>
    <w:basedOn w:val="Normalny"/>
    <w:next w:val="Normalny"/>
    <w:autoRedefine/>
    <w:uiPriority w:val="98"/>
    <w:semiHidden/>
    <w:rsid w:val="00E96558"/>
    <w:pPr>
      <w:ind w:left="240" w:hanging="240"/>
    </w:pPr>
  </w:style>
  <w:style w:type="paragraph" w:styleId="Indeks2">
    <w:name w:val="index 2"/>
    <w:basedOn w:val="Normalny"/>
    <w:next w:val="Normalny"/>
    <w:autoRedefine/>
    <w:uiPriority w:val="98"/>
    <w:semiHidden/>
    <w:rsid w:val="00E96558"/>
    <w:pPr>
      <w:ind w:left="480" w:hanging="240"/>
    </w:pPr>
  </w:style>
  <w:style w:type="paragraph" w:styleId="Indeks3">
    <w:name w:val="index 3"/>
    <w:basedOn w:val="Normalny"/>
    <w:next w:val="Normalny"/>
    <w:autoRedefine/>
    <w:uiPriority w:val="98"/>
    <w:semiHidden/>
    <w:rsid w:val="00E96558"/>
    <w:pPr>
      <w:ind w:left="720" w:hanging="240"/>
    </w:pPr>
  </w:style>
  <w:style w:type="paragraph" w:styleId="Indeks4">
    <w:name w:val="index 4"/>
    <w:basedOn w:val="Normalny"/>
    <w:next w:val="Normalny"/>
    <w:autoRedefine/>
    <w:uiPriority w:val="98"/>
    <w:semiHidden/>
    <w:rsid w:val="00E96558"/>
    <w:pPr>
      <w:ind w:left="960" w:hanging="240"/>
    </w:pPr>
  </w:style>
  <w:style w:type="paragraph" w:styleId="Indeks5">
    <w:name w:val="index 5"/>
    <w:basedOn w:val="Normalny"/>
    <w:next w:val="Normalny"/>
    <w:autoRedefine/>
    <w:uiPriority w:val="98"/>
    <w:semiHidden/>
    <w:rsid w:val="00E96558"/>
    <w:pPr>
      <w:ind w:left="1200" w:hanging="240"/>
    </w:pPr>
  </w:style>
  <w:style w:type="paragraph" w:styleId="Indeks6">
    <w:name w:val="index 6"/>
    <w:basedOn w:val="Normalny"/>
    <w:next w:val="Normalny"/>
    <w:autoRedefine/>
    <w:uiPriority w:val="98"/>
    <w:semiHidden/>
    <w:rsid w:val="00E96558"/>
    <w:pPr>
      <w:ind w:left="1440" w:hanging="240"/>
    </w:pPr>
  </w:style>
  <w:style w:type="paragraph" w:styleId="Indeks7">
    <w:name w:val="index 7"/>
    <w:basedOn w:val="Normalny"/>
    <w:next w:val="Normalny"/>
    <w:autoRedefine/>
    <w:uiPriority w:val="98"/>
    <w:semiHidden/>
    <w:rsid w:val="00E96558"/>
    <w:pPr>
      <w:ind w:left="1680" w:hanging="240"/>
    </w:pPr>
  </w:style>
  <w:style w:type="paragraph" w:styleId="Indeks8">
    <w:name w:val="index 8"/>
    <w:basedOn w:val="Normalny"/>
    <w:next w:val="Normalny"/>
    <w:autoRedefine/>
    <w:uiPriority w:val="98"/>
    <w:semiHidden/>
    <w:rsid w:val="00E96558"/>
    <w:pPr>
      <w:ind w:left="1920" w:hanging="240"/>
    </w:pPr>
  </w:style>
  <w:style w:type="paragraph" w:styleId="Indeks9">
    <w:name w:val="index 9"/>
    <w:basedOn w:val="Normalny"/>
    <w:next w:val="Normalny"/>
    <w:autoRedefine/>
    <w:uiPriority w:val="98"/>
    <w:semiHidden/>
    <w:rsid w:val="00E96558"/>
    <w:pPr>
      <w:ind w:left="2160" w:hanging="240"/>
    </w:pPr>
  </w:style>
  <w:style w:type="paragraph" w:styleId="Nagwekindeksu">
    <w:name w:val="index heading"/>
    <w:basedOn w:val="Normalny"/>
    <w:next w:val="Indeks1"/>
    <w:uiPriority w:val="98"/>
    <w:semiHidden/>
    <w:rsid w:val="00E96558"/>
    <w:rPr>
      <w:rFonts w:asciiTheme="majorHAnsi" w:eastAsiaTheme="majorEastAsia" w:hAnsiTheme="majorHAnsi" w:cstheme="majorBidi"/>
      <w:b/>
      <w:bCs/>
    </w:rPr>
  </w:style>
  <w:style w:type="table" w:styleId="Jasnasiatka">
    <w:name w:val="Light Grid"/>
    <w:basedOn w:val="Standardowy"/>
    <w:uiPriority w:val="62"/>
    <w:semiHidden/>
    <w:rsid w:val="00E9655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655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655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655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655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655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655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655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655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655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655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655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655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655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655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655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655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655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655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655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655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96558"/>
  </w:style>
  <w:style w:type="paragraph" w:styleId="Lista">
    <w:name w:val="List"/>
    <w:basedOn w:val="Normalny"/>
    <w:uiPriority w:val="98"/>
    <w:semiHidden/>
    <w:rsid w:val="00E96558"/>
    <w:pPr>
      <w:ind w:left="283" w:hanging="283"/>
      <w:contextualSpacing/>
    </w:pPr>
  </w:style>
  <w:style w:type="paragraph" w:styleId="Lista2">
    <w:name w:val="List 2"/>
    <w:basedOn w:val="Normalny"/>
    <w:uiPriority w:val="98"/>
    <w:semiHidden/>
    <w:rsid w:val="00E96558"/>
    <w:pPr>
      <w:ind w:left="566" w:hanging="283"/>
      <w:contextualSpacing/>
    </w:pPr>
  </w:style>
  <w:style w:type="paragraph" w:styleId="Lista3">
    <w:name w:val="List 3"/>
    <w:basedOn w:val="Normalny"/>
    <w:uiPriority w:val="98"/>
    <w:semiHidden/>
    <w:rsid w:val="00E96558"/>
    <w:pPr>
      <w:ind w:left="849" w:hanging="283"/>
      <w:contextualSpacing/>
    </w:pPr>
  </w:style>
  <w:style w:type="paragraph" w:styleId="Lista4">
    <w:name w:val="List 4"/>
    <w:basedOn w:val="Normalny"/>
    <w:uiPriority w:val="98"/>
    <w:semiHidden/>
    <w:rsid w:val="00E96558"/>
    <w:pPr>
      <w:ind w:left="1132" w:hanging="283"/>
      <w:contextualSpacing/>
    </w:pPr>
  </w:style>
  <w:style w:type="paragraph" w:styleId="Lista5">
    <w:name w:val="List 5"/>
    <w:basedOn w:val="Normalny"/>
    <w:uiPriority w:val="98"/>
    <w:semiHidden/>
    <w:rsid w:val="00E96558"/>
    <w:pPr>
      <w:ind w:left="1415" w:hanging="283"/>
      <w:contextualSpacing/>
    </w:pPr>
  </w:style>
  <w:style w:type="paragraph" w:styleId="Listapunktowana2">
    <w:name w:val="List Bullet 2"/>
    <w:basedOn w:val="Normalny"/>
    <w:uiPriority w:val="98"/>
    <w:semiHidden/>
    <w:rsid w:val="00E96558"/>
    <w:pPr>
      <w:numPr>
        <w:numId w:val="13"/>
      </w:numPr>
      <w:contextualSpacing/>
    </w:pPr>
  </w:style>
  <w:style w:type="paragraph" w:styleId="Listapunktowana4">
    <w:name w:val="List Bullet 4"/>
    <w:basedOn w:val="Normalny"/>
    <w:uiPriority w:val="98"/>
    <w:semiHidden/>
    <w:rsid w:val="00E96558"/>
    <w:pPr>
      <w:numPr>
        <w:numId w:val="15"/>
      </w:numPr>
      <w:contextualSpacing/>
    </w:pPr>
  </w:style>
  <w:style w:type="paragraph" w:styleId="Listapunktowana5">
    <w:name w:val="List Bullet 5"/>
    <w:basedOn w:val="Normalny"/>
    <w:uiPriority w:val="98"/>
    <w:semiHidden/>
    <w:rsid w:val="00E96558"/>
    <w:pPr>
      <w:numPr>
        <w:numId w:val="16"/>
      </w:numPr>
      <w:contextualSpacing/>
    </w:pPr>
  </w:style>
  <w:style w:type="paragraph" w:styleId="Lista-kontynuacja">
    <w:name w:val="List Continue"/>
    <w:basedOn w:val="Normalny"/>
    <w:uiPriority w:val="98"/>
    <w:semiHidden/>
    <w:rsid w:val="00E96558"/>
    <w:pPr>
      <w:spacing w:after="120"/>
      <w:ind w:left="283"/>
      <w:contextualSpacing/>
    </w:pPr>
  </w:style>
  <w:style w:type="paragraph" w:styleId="Lista-kontynuacja2">
    <w:name w:val="List Continue 2"/>
    <w:basedOn w:val="Normalny"/>
    <w:uiPriority w:val="98"/>
    <w:semiHidden/>
    <w:rsid w:val="00E96558"/>
    <w:pPr>
      <w:spacing w:after="120"/>
      <w:ind w:left="566"/>
      <w:contextualSpacing/>
    </w:pPr>
  </w:style>
  <w:style w:type="paragraph" w:styleId="Lista-kontynuacja3">
    <w:name w:val="List Continue 3"/>
    <w:basedOn w:val="Normalny"/>
    <w:uiPriority w:val="98"/>
    <w:semiHidden/>
    <w:rsid w:val="00E96558"/>
    <w:pPr>
      <w:spacing w:after="120"/>
      <w:ind w:left="849"/>
      <w:contextualSpacing/>
    </w:pPr>
  </w:style>
  <w:style w:type="paragraph" w:styleId="Lista-kontynuacja4">
    <w:name w:val="List Continue 4"/>
    <w:basedOn w:val="Normalny"/>
    <w:uiPriority w:val="98"/>
    <w:semiHidden/>
    <w:rsid w:val="00E96558"/>
    <w:pPr>
      <w:spacing w:after="120"/>
      <w:ind w:left="1132"/>
      <w:contextualSpacing/>
    </w:pPr>
  </w:style>
  <w:style w:type="paragraph" w:styleId="Lista-kontynuacja5">
    <w:name w:val="List Continue 5"/>
    <w:basedOn w:val="Normalny"/>
    <w:uiPriority w:val="98"/>
    <w:semiHidden/>
    <w:rsid w:val="00E96558"/>
    <w:pPr>
      <w:spacing w:after="120"/>
      <w:ind w:left="1415"/>
      <w:contextualSpacing/>
    </w:pPr>
  </w:style>
  <w:style w:type="paragraph" w:styleId="Listanumerowana">
    <w:name w:val="List Number"/>
    <w:basedOn w:val="Normalny"/>
    <w:uiPriority w:val="98"/>
    <w:semiHidden/>
    <w:rsid w:val="00E96558"/>
    <w:pPr>
      <w:numPr>
        <w:numId w:val="17"/>
      </w:numPr>
      <w:contextualSpacing/>
    </w:pPr>
  </w:style>
  <w:style w:type="paragraph" w:styleId="Listanumerowana2">
    <w:name w:val="List Number 2"/>
    <w:basedOn w:val="Normalny"/>
    <w:uiPriority w:val="98"/>
    <w:semiHidden/>
    <w:rsid w:val="00E96558"/>
    <w:pPr>
      <w:numPr>
        <w:numId w:val="18"/>
      </w:numPr>
      <w:contextualSpacing/>
    </w:pPr>
  </w:style>
  <w:style w:type="paragraph" w:styleId="Listanumerowana3">
    <w:name w:val="List Number 3"/>
    <w:basedOn w:val="Normalny"/>
    <w:uiPriority w:val="98"/>
    <w:semiHidden/>
    <w:rsid w:val="00E96558"/>
    <w:pPr>
      <w:numPr>
        <w:numId w:val="19"/>
      </w:numPr>
      <w:contextualSpacing/>
    </w:pPr>
  </w:style>
  <w:style w:type="paragraph" w:styleId="Listanumerowana4">
    <w:name w:val="List Number 4"/>
    <w:basedOn w:val="Normalny"/>
    <w:uiPriority w:val="98"/>
    <w:semiHidden/>
    <w:rsid w:val="00E96558"/>
    <w:pPr>
      <w:numPr>
        <w:numId w:val="20"/>
      </w:numPr>
      <w:contextualSpacing/>
    </w:pPr>
  </w:style>
  <w:style w:type="paragraph" w:styleId="Listanumerowana5">
    <w:name w:val="List Number 5"/>
    <w:basedOn w:val="Normalny"/>
    <w:uiPriority w:val="98"/>
    <w:semiHidden/>
    <w:rsid w:val="00E96558"/>
    <w:pPr>
      <w:numPr>
        <w:numId w:val="21"/>
      </w:numPr>
      <w:contextualSpacing/>
    </w:pPr>
  </w:style>
  <w:style w:type="paragraph" w:styleId="Tekstmakra">
    <w:name w:val="macro"/>
    <w:link w:val="TekstmakraZnak"/>
    <w:uiPriority w:val="98"/>
    <w:semiHidden/>
    <w:rsid w:val="00E9655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96558"/>
    <w:rPr>
      <w:rFonts w:ascii="Consolas" w:eastAsiaTheme="minorEastAsia" w:hAnsi="Consolas" w:cs="Consolas"/>
      <w:sz w:val="20"/>
      <w:szCs w:val="20"/>
    </w:rPr>
  </w:style>
  <w:style w:type="table" w:styleId="redniasiatka1">
    <w:name w:val="Medium Grid 1"/>
    <w:basedOn w:val="Standardowy"/>
    <w:uiPriority w:val="67"/>
    <w:semiHidden/>
    <w:rsid w:val="00E9655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655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655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655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655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655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655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655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655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655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655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655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655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655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655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655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655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655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655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655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655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9655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96558"/>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E96558"/>
    <w:rPr>
      <w:rFonts w:ascii="Times New Roman" w:hAnsi="Times New Roman" w:cs="Times New Roman"/>
    </w:rPr>
  </w:style>
  <w:style w:type="paragraph" w:styleId="Wcicienormalne">
    <w:name w:val="Normal Indent"/>
    <w:basedOn w:val="Normalny"/>
    <w:uiPriority w:val="98"/>
    <w:semiHidden/>
    <w:rsid w:val="00E96558"/>
    <w:pPr>
      <w:ind w:left="720"/>
    </w:pPr>
  </w:style>
  <w:style w:type="paragraph" w:styleId="Nagweknotatki">
    <w:name w:val="Note Heading"/>
    <w:basedOn w:val="Normalny"/>
    <w:next w:val="Normalny"/>
    <w:link w:val="NagweknotatkiZnak"/>
    <w:uiPriority w:val="98"/>
    <w:semiHidden/>
    <w:rsid w:val="00E96558"/>
  </w:style>
  <w:style w:type="character" w:customStyle="1" w:styleId="NagweknotatkiZnak">
    <w:name w:val="Nagłówek notatki Znak"/>
    <w:basedOn w:val="Domylnaczcionkaakapitu"/>
    <w:link w:val="Nagweknotatki"/>
    <w:uiPriority w:val="98"/>
    <w:semiHidden/>
    <w:rsid w:val="00E96558"/>
    <w:rPr>
      <w:sz w:val="24"/>
      <w:szCs w:val="24"/>
      <w:lang w:val="pl-PL"/>
    </w:rPr>
  </w:style>
  <w:style w:type="character" w:styleId="Tekstzastpczy">
    <w:name w:val="Placeholder Text"/>
    <w:basedOn w:val="Domylnaczcionkaakapitu"/>
    <w:uiPriority w:val="98"/>
    <w:semiHidden/>
    <w:rsid w:val="00E9655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9655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96558"/>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E96558"/>
  </w:style>
  <w:style w:type="character" w:customStyle="1" w:styleId="ZwrotgrzecznociowyZnak">
    <w:name w:val="Zwrot grzecznościowy Znak"/>
    <w:basedOn w:val="Domylnaczcionkaakapitu"/>
    <w:link w:val="Zwrotgrzecznociowy"/>
    <w:uiPriority w:val="98"/>
    <w:semiHidden/>
    <w:rsid w:val="00E96558"/>
    <w:rPr>
      <w:sz w:val="24"/>
      <w:szCs w:val="24"/>
      <w:lang w:val="pl-PL"/>
    </w:rPr>
  </w:style>
  <w:style w:type="paragraph" w:styleId="Podpis">
    <w:name w:val="Signature"/>
    <w:basedOn w:val="Normalny"/>
    <w:link w:val="PodpisZnak"/>
    <w:uiPriority w:val="98"/>
    <w:semiHidden/>
    <w:rsid w:val="00E96558"/>
    <w:pPr>
      <w:ind w:left="4252"/>
    </w:pPr>
  </w:style>
  <w:style w:type="character" w:customStyle="1" w:styleId="PodpisZnak">
    <w:name w:val="Podpis Znak"/>
    <w:basedOn w:val="Domylnaczcionkaakapitu"/>
    <w:link w:val="Podpis"/>
    <w:uiPriority w:val="98"/>
    <w:semiHidden/>
    <w:rsid w:val="00E96558"/>
    <w:rPr>
      <w:sz w:val="24"/>
      <w:szCs w:val="24"/>
      <w:lang w:val="pl-PL"/>
    </w:rPr>
  </w:style>
  <w:style w:type="table" w:styleId="Tabela-Efekty3D1">
    <w:name w:val="Table 3D effects 1"/>
    <w:basedOn w:val="Standardowy"/>
    <w:uiPriority w:val="99"/>
    <w:semiHidden/>
    <w:unhideWhenUsed/>
    <w:rsid w:val="00E9655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655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655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655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655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655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655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655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655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655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655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655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655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655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655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655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655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655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655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655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655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655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655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655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655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655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655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655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96558"/>
    <w:pPr>
      <w:ind w:left="240" w:hanging="240"/>
    </w:pPr>
  </w:style>
  <w:style w:type="paragraph" w:styleId="Spisilustracji">
    <w:name w:val="table of figures"/>
    <w:basedOn w:val="Normalny"/>
    <w:next w:val="Normalny"/>
    <w:uiPriority w:val="98"/>
    <w:semiHidden/>
    <w:rsid w:val="00E96558"/>
  </w:style>
  <w:style w:type="table" w:styleId="Tabela-Profesjonalny">
    <w:name w:val="Table Professional"/>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655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655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655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655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655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655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655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655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965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965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96558"/>
    <w:pPr>
      <w:spacing w:after="100"/>
      <w:ind w:left="1680"/>
    </w:pPr>
  </w:style>
  <w:style w:type="paragraph" w:styleId="Spistreci9">
    <w:name w:val="toc 9"/>
    <w:basedOn w:val="Normalny"/>
    <w:next w:val="Normalny"/>
    <w:autoRedefine/>
    <w:uiPriority w:val="98"/>
    <w:semiHidden/>
    <w:rsid w:val="00E9655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9655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9655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9655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9655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96558"/>
    <w:pPr>
      <w:numPr>
        <w:numId w:val="9"/>
      </w:numPr>
      <w:spacing w:before="60" w:after="60"/>
    </w:pPr>
  </w:style>
  <w:style w:type="paragraph" w:customStyle="1" w:styleId="ECHRBullet2">
    <w:name w:val="ECHR_Bullet_2"/>
    <w:aliases w:val="_Bul_2"/>
    <w:basedOn w:val="ECHRBullet1"/>
    <w:uiPriority w:val="23"/>
    <w:semiHidden/>
    <w:rsid w:val="00E96558"/>
    <w:pPr>
      <w:numPr>
        <w:ilvl w:val="1"/>
      </w:numPr>
    </w:pPr>
  </w:style>
  <w:style w:type="paragraph" w:customStyle="1" w:styleId="ECHRBullet3">
    <w:name w:val="ECHR_Bullet_3"/>
    <w:aliases w:val="_Bul_3"/>
    <w:basedOn w:val="ECHRBullet2"/>
    <w:uiPriority w:val="23"/>
    <w:semiHidden/>
    <w:rsid w:val="00E96558"/>
    <w:pPr>
      <w:numPr>
        <w:ilvl w:val="2"/>
      </w:numPr>
    </w:pPr>
  </w:style>
  <w:style w:type="paragraph" w:customStyle="1" w:styleId="ECHRBullet4">
    <w:name w:val="ECHR_Bullet_4"/>
    <w:aliases w:val="_Bul_4"/>
    <w:basedOn w:val="ECHRBullet3"/>
    <w:uiPriority w:val="23"/>
    <w:semiHidden/>
    <w:rsid w:val="00E96558"/>
    <w:pPr>
      <w:numPr>
        <w:ilvl w:val="3"/>
      </w:numPr>
    </w:pPr>
  </w:style>
  <w:style w:type="paragraph" w:customStyle="1" w:styleId="ECHRConfidential">
    <w:name w:val="ECHR_Confidential"/>
    <w:aliases w:val="_Confidential"/>
    <w:basedOn w:val="Normalny"/>
    <w:next w:val="Normalny"/>
    <w:uiPriority w:val="42"/>
    <w:semiHidden/>
    <w:qFormat/>
    <w:rsid w:val="00E96558"/>
    <w:pPr>
      <w:jc w:val="right"/>
    </w:pPr>
    <w:rPr>
      <w:color w:val="C00000"/>
      <w:sz w:val="20"/>
    </w:rPr>
  </w:style>
  <w:style w:type="paragraph" w:customStyle="1" w:styleId="ECHRDecisionBody">
    <w:name w:val="ECHR_Decision_Body"/>
    <w:aliases w:val="_Decision_Body"/>
    <w:basedOn w:val="NormalJustified"/>
    <w:uiPriority w:val="54"/>
    <w:semiHidden/>
    <w:rsid w:val="00E9655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9655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96558"/>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E9655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96558"/>
    <w:pPr>
      <w:jc w:val="right"/>
    </w:pPr>
    <w:rPr>
      <w:sz w:val="20"/>
    </w:rPr>
  </w:style>
  <w:style w:type="paragraph" w:customStyle="1" w:styleId="ECHRHeaderRefIt">
    <w:name w:val="ECHR_Header_Ref_It"/>
    <w:aliases w:val="_Ref_Ital"/>
    <w:basedOn w:val="Normalny"/>
    <w:next w:val="ECHRHeaderDate"/>
    <w:uiPriority w:val="43"/>
    <w:qFormat/>
    <w:rsid w:val="00E96558"/>
    <w:pPr>
      <w:jc w:val="right"/>
    </w:pPr>
    <w:rPr>
      <w:i/>
      <w:sz w:val="20"/>
    </w:rPr>
  </w:style>
  <w:style w:type="paragraph" w:customStyle="1" w:styleId="ECHRHeading9">
    <w:name w:val="ECHR_Heading_9"/>
    <w:aliases w:val="_Head_9"/>
    <w:basedOn w:val="Nagwek9"/>
    <w:uiPriority w:val="17"/>
    <w:semiHidden/>
    <w:rsid w:val="00E96558"/>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9655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96558"/>
    <w:pPr>
      <w:numPr>
        <w:numId w:val="11"/>
      </w:numPr>
      <w:spacing w:before="60" w:after="60"/>
    </w:pPr>
  </w:style>
  <w:style w:type="paragraph" w:customStyle="1" w:styleId="ECHRNumberedList2">
    <w:name w:val="ECHR_Numbered_List_2"/>
    <w:aliases w:val="_Num_2"/>
    <w:basedOn w:val="ECHRNumberedList1"/>
    <w:uiPriority w:val="23"/>
    <w:semiHidden/>
    <w:rsid w:val="00E96558"/>
    <w:pPr>
      <w:numPr>
        <w:ilvl w:val="1"/>
      </w:numPr>
    </w:pPr>
  </w:style>
  <w:style w:type="paragraph" w:customStyle="1" w:styleId="ECHRNumberedList3">
    <w:name w:val="ECHR_Numbered_List_3"/>
    <w:aliases w:val="_Num_3"/>
    <w:basedOn w:val="ECHRNumberedList2"/>
    <w:uiPriority w:val="23"/>
    <w:semiHidden/>
    <w:rsid w:val="00E96558"/>
    <w:pPr>
      <w:numPr>
        <w:ilvl w:val="2"/>
      </w:numPr>
    </w:pPr>
  </w:style>
  <w:style w:type="paragraph" w:customStyle="1" w:styleId="ECHRParaHanging">
    <w:name w:val="ECHR_Para_Hanging"/>
    <w:aliases w:val="_Hanging"/>
    <w:basedOn w:val="Normalny"/>
    <w:uiPriority w:val="8"/>
    <w:semiHidden/>
    <w:qFormat/>
    <w:rsid w:val="00E96558"/>
    <w:pPr>
      <w:ind w:left="567" w:hanging="567"/>
      <w:jc w:val="both"/>
    </w:pPr>
  </w:style>
  <w:style w:type="paragraph" w:customStyle="1" w:styleId="ECHRParaIndent">
    <w:name w:val="ECHR_Para_Indent"/>
    <w:aliases w:val="_Indent"/>
    <w:basedOn w:val="Normalny"/>
    <w:uiPriority w:val="7"/>
    <w:semiHidden/>
    <w:qFormat/>
    <w:rsid w:val="00E96558"/>
    <w:pPr>
      <w:spacing w:before="120" w:after="120"/>
      <w:ind w:left="284"/>
      <w:jc w:val="both"/>
    </w:pPr>
  </w:style>
  <w:style w:type="character" w:customStyle="1" w:styleId="ECHRRed">
    <w:name w:val="ECHR_Red"/>
    <w:aliases w:val="_Red"/>
    <w:basedOn w:val="Domylnaczcionkaakapitu"/>
    <w:uiPriority w:val="15"/>
    <w:semiHidden/>
    <w:qFormat/>
    <w:rsid w:val="00E96558"/>
    <w:rPr>
      <w:color w:val="C00000" w:themeColor="accent2"/>
    </w:rPr>
  </w:style>
  <w:style w:type="paragraph" w:customStyle="1" w:styleId="DecList">
    <w:name w:val="Dec_List"/>
    <w:aliases w:val="_List"/>
    <w:basedOn w:val="JuList"/>
    <w:uiPriority w:val="22"/>
    <w:rsid w:val="00E96558"/>
    <w:pPr>
      <w:numPr>
        <w:numId w:val="0"/>
      </w:numPr>
      <w:ind w:left="284"/>
    </w:pPr>
  </w:style>
  <w:style w:type="table" w:customStyle="1" w:styleId="ECHRTable2">
    <w:name w:val="ECHR_Table_2"/>
    <w:basedOn w:val="Standardowy"/>
    <w:uiPriority w:val="99"/>
    <w:rsid w:val="00E9655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9655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9655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9655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9655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9655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9655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9655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96558"/>
    <w:pPr>
      <w:outlineLvl w:val="0"/>
    </w:pPr>
  </w:style>
  <w:style w:type="paragraph" w:customStyle="1" w:styleId="ECHRTitleTOC1">
    <w:name w:val="ECHR_Title_TOC_1"/>
    <w:aliases w:val="_Title_L_TOC"/>
    <w:basedOn w:val="ECHRTitle1"/>
    <w:next w:val="Normalny"/>
    <w:uiPriority w:val="27"/>
    <w:semiHidden/>
    <w:qFormat/>
    <w:rsid w:val="00E96558"/>
    <w:pPr>
      <w:outlineLvl w:val="0"/>
    </w:pPr>
  </w:style>
  <w:style w:type="paragraph" w:customStyle="1" w:styleId="ECHRPlaceholder">
    <w:name w:val="ECHR_Placeholder"/>
    <w:aliases w:val="_Placeholder"/>
    <w:basedOn w:val="JuSigned"/>
    <w:uiPriority w:val="31"/>
    <w:rsid w:val="00E96558"/>
    <w:rPr>
      <w:color w:val="FFFFFF"/>
    </w:rPr>
  </w:style>
  <w:style w:type="paragraph" w:customStyle="1" w:styleId="ECHRSpacer">
    <w:name w:val="ECHR_Spacer"/>
    <w:aliases w:val="_Spacer"/>
    <w:basedOn w:val="Normalny"/>
    <w:uiPriority w:val="45"/>
    <w:semiHidden/>
    <w:rsid w:val="00E96558"/>
    <w:rPr>
      <w:sz w:val="4"/>
    </w:rPr>
  </w:style>
  <w:style w:type="table" w:customStyle="1" w:styleId="ECHRTableGrey">
    <w:name w:val="ECHR_Table_Grey"/>
    <w:basedOn w:val="Standardowy"/>
    <w:uiPriority w:val="99"/>
    <w:rsid w:val="00E9655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4136B5"/>
    <w:rPr>
      <w:sz w:val="24"/>
      <w:szCs w:val="24"/>
      <w:lang w:val="pl-PL"/>
    </w:rPr>
  </w:style>
  <w:style w:type="character" w:customStyle="1" w:styleId="JuNames0">
    <w:name w:val="Ju_Names"/>
    <w:rsid w:val="004136B5"/>
    <w:rPr>
      <w:smallCaps/>
    </w:rPr>
  </w:style>
  <w:style w:type="paragraph" w:customStyle="1" w:styleId="JuList4">
    <w:name w:val="Ju_List_4"/>
    <w:aliases w:val="N_Bul_4"/>
    <w:basedOn w:val="JuListi"/>
    <w:uiPriority w:val="19"/>
    <w:rsid w:val="004136B5"/>
    <w:pPr>
      <w:numPr>
        <w:ilvl w:val="0"/>
        <w:numId w:val="0"/>
      </w:numPr>
      <w:tabs>
        <w:tab w:val="num" w:pos="1701"/>
      </w:tabs>
      <w:spacing w:before="60" w:after="60" w:line="240" w:lineRule="exact"/>
      <w:ind w:left="1703" w:hanging="284"/>
      <w:contextualSpacing/>
    </w:pPr>
    <w:rPr>
      <w:sz w:val="22"/>
      <w:lang w:eastAsia="fr-FR"/>
    </w:rPr>
  </w:style>
  <w:style w:type="table" w:customStyle="1" w:styleId="Tabelasiatki1jasna1">
    <w:name w:val="Tabela siatki 1 — jasna1"/>
    <w:basedOn w:val="Standardowy"/>
    <w:uiPriority w:val="46"/>
    <w:semiHidden/>
    <w:rsid w:val="00E9655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E9655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E9655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E9655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E9655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paragraph" w:styleId="Poprawka">
    <w:name w:val="Revision"/>
    <w:hidden/>
    <w:uiPriority w:val="99"/>
    <w:semiHidden/>
    <w:rsid w:val="004136B5"/>
    <w:rPr>
      <w:sz w:val="24"/>
      <w:szCs w:val="24"/>
    </w:rPr>
  </w:style>
  <w:style w:type="table" w:customStyle="1" w:styleId="Tabelasiatki1jasnaakcent51">
    <w:name w:val="Tabela siatki 1 — jasna — akcent 51"/>
    <w:basedOn w:val="Standardowy"/>
    <w:uiPriority w:val="46"/>
    <w:semiHidden/>
    <w:rsid w:val="00E9655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E9655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E9655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E9655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E9655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E9655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E9655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E9655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E9655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E965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E965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E965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E965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E965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E965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E965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E965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E965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E965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E965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E965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E965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E965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96558"/>
    <w:rPr>
      <w:color w:val="2B579A"/>
      <w:shd w:val="clear" w:color="auto" w:fill="E1DFDD"/>
    </w:rPr>
  </w:style>
  <w:style w:type="table" w:customStyle="1" w:styleId="Tabelalisty1jasna1">
    <w:name w:val="Tabela listy 1 — jasna1"/>
    <w:basedOn w:val="Standardowy"/>
    <w:uiPriority w:val="46"/>
    <w:semiHidden/>
    <w:rsid w:val="00E9655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E9655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E9655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E9655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E9655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E9655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E9655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E9655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E9655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E9655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E9655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E9655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E9655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E9655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E9655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E9655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E9655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E9655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E9655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E9655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E9655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E9655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E9655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E9655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E9655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E9655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E9655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E9655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E9655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E9655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E9655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E9655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E9655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E9655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E9655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E9655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E9655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E9655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E9655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E9655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E9655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E9655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96558"/>
    <w:rPr>
      <w:color w:val="2B579A"/>
      <w:shd w:val="clear" w:color="auto" w:fill="E1DFDD"/>
    </w:rPr>
  </w:style>
  <w:style w:type="table" w:customStyle="1" w:styleId="Zwykatabela11">
    <w:name w:val="Zwykła tabela 11"/>
    <w:basedOn w:val="Standardowy"/>
    <w:uiPriority w:val="41"/>
    <w:semiHidden/>
    <w:rsid w:val="00E9655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E965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E9655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E9655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E9655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E96558"/>
    <w:rPr>
      <w:u w:val="dotted"/>
    </w:rPr>
  </w:style>
  <w:style w:type="character" w:customStyle="1" w:styleId="SmartLink1">
    <w:name w:val="SmartLink1"/>
    <w:basedOn w:val="Domylnaczcionkaakapitu"/>
    <w:uiPriority w:val="99"/>
    <w:semiHidden/>
    <w:unhideWhenUsed/>
    <w:rsid w:val="00E96558"/>
    <w:rPr>
      <w:color w:val="0000FF"/>
      <w:u w:val="single"/>
      <w:shd w:val="clear" w:color="auto" w:fill="F3F2F1"/>
    </w:rPr>
  </w:style>
  <w:style w:type="table" w:customStyle="1" w:styleId="Siatkatabelijasna1">
    <w:name w:val="Siatka tabeli — jasna1"/>
    <w:basedOn w:val="Standardowy"/>
    <w:uiPriority w:val="40"/>
    <w:semiHidden/>
    <w:rsid w:val="00E9655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96558"/>
    <w:rPr>
      <w:color w:val="605E5C"/>
      <w:shd w:val="clear" w:color="auto" w:fill="E1DFDD"/>
    </w:rPr>
  </w:style>
  <w:style w:type="paragraph" w:customStyle="1" w:styleId="jupara0">
    <w:name w:val="jupara"/>
    <w:basedOn w:val="Normalny"/>
    <w:rsid w:val="00367186"/>
    <w:pPr>
      <w:ind w:firstLine="284"/>
      <w:jc w:val="both"/>
    </w:pPr>
    <w:rPr>
      <w:rFonts w:ascii="Times New Roman" w:eastAsia="Times New Roman" w:hAnsi="Times New Roman" w:cs="Times New Roman"/>
      <w:lang w:eastAsia="en-GB"/>
    </w:rPr>
  </w:style>
  <w:style w:type="paragraph" w:customStyle="1" w:styleId="jucase0">
    <w:name w:val="jucase"/>
    <w:basedOn w:val="Normalny"/>
    <w:rsid w:val="0036718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228F50-A3EE-4707-A4E7-D8E7AEE9A4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12C08A-1642-4462-BB1C-EA4240DCE03B}">
  <ds:schemaRefs>
    <ds:schemaRef ds:uri="http://schemas.openxmlformats.org/officeDocument/2006/bibliography"/>
  </ds:schemaRefs>
</ds:datastoreItem>
</file>

<file path=customXml/itemProps3.xml><?xml version="1.0" encoding="utf-8"?>
<ds:datastoreItem xmlns:ds="http://schemas.openxmlformats.org/officeDocument/2006/customXml" ds:itemID="{F35E589D-F366-4763-AF1B-51EC4BA4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F2C96ED-D077-4DB0-8141-C87D2DF6BE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7511</Words>
  <Characters>45069</Characters>
  <Application>Microsoft Office Word</Application>
  <DocSecurity>0</DocSecurity>
  <Lines>375</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2023-08-08T11:22:00Z</dcterms:created>
  <dcterms:modified xsi:type="dcterms:W3CDTF">2023-08-08T11:22:00Z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22003/12</vt:lpwstr>
  </property>
  <property fmtid="{D5CDD505-2E9C-101B-9397-08002B2CF9AE}" pid="4" name="CASEID">
    <vt:lpwstr>790644</vt:lpwstr>
  </property>
  <property fmtid="{D5CDD505-2E9C-101B-9397-08002B2CF9AE}" pid="5" name="ContentTypeId">
    <vt:lpwstr>0x010100558EB02BDB9E204AB350EDD385B68E10</vt:lpwstr>
  </property>
</Properties>
</file>