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D7E79" w14:textId="77777777" w:rsidR="00787E12" w:rsidRPr="00B47FD4" w:rsidRDefault="00787E12" w:rsidP="009F7EB0">
      <w:pPr>
        <w:jc w:val="center"/>
      </w:pPr>
    </w:p>
    <w:p w14:paraId="7CA9B907" w14:textId="77777777" w:rsidR="00787E12" w:rsidRPr="00B47FD4" w:rsidRDefault="00787E12" w:rsidP="009F7EB0">
      <w:pPr>
        <w:jc w:val="center"/>
      </w:pPr>
    </w:p>
    <w:p w14:paraId="162C2FEA" w14:textId="1A72E69B" w:rsidR="00787E12" w:rsidRPr="00B47FD4" w:rsidRDefault="00000000" w:rsidP="009F7EB0">
      <w:pPr>
        <w:pStyle w:val="DecHCase"/>
      </w:pPr>
      <w:r w:rsidRPr="00B47FD4">
        <w:t>SEKCJA</w:t>
      </w:r>
      <w:r w:rsidR="00870F9B">
        <w:t xml:space="preserve"> PIERWSZA</w:t>
      </w:r>
    </w:p>
    <w:p w14:paraId="3836ECEA" w14:textId="77777777" w:rsidR="006D324D" w:rsidRPr="00B47FD4" w:rsidRDefault="00000000" w:rsidP="009F7EB0">
      <w:pPr>
        <w:pStyle w:val="JuTitle"/>
      </w:pPr>
      <w:bookmarkStart w:id="0" w:name="To"/>
      <w:r w:rsidRPr="00B47FD4">
        <w:rPr>
          <w:color w:val="000000" w:themeColor="text1"/>
        </w:rPr>
        <w:t>SPRAWA</w:t>
      </w:r>
      <w:bookmarkEnd w:id="0"/>
      <w:r w:rsidRPr="00B47FD4">
        <w:t xml:space="preserve"> NOGAJSKI przeciwko POLSCE</w:t>
      </w:r>
    </w:p>
    <w:p w14:paraId="2E2B9CBC" w14:textId="77777777" w:rsidR="006D324D" w:rsidRPr="00B47FD4" w:rsidRDefault="00000000" w:rsidP="009F7EB0">
      <w:pPr>
        <w:pStyle w:val="ECHRCoverTitle4"/>
      </w:pPr>
      <w:r w:rsidRPr="00B47FD4">
        <w:t>(Skarga nr 26593/21)</w:t>
      </w:r>
    </w:p>
    <w:p w14:paraId="5A2895F6" w14:textId="77777777" w:rsidR="006D324D" w:rsidRPr="00B47FD4" w:rsidRDefault="006D324D" w:rsidP="009F7EB0">
      <w:pPr>
        <w:pStyle w:val="DecHCase"/>
      </w:pPr>
    </w:p>
    <w:p w14:paraId="620DEB03" w14:textId="77777777" w:rsidR="006D324D" w:rsidRPr="00B47FD4" w:rsidRDefault="006D324D" w:rsidP="009F7EB0">
      <w:pPr>
        <w:pStyle w:val="DecHCase"/>
      </w:pPr>
    </w:p>
    <w:p w14:paraId="4AFDBA77" w14:textId="77777777" w:rsidR="00787E12" w:rsidRPr="00B47FD4" w:rsidRDefault="00787E12" w:rsidP="009F7EB0">
      <w:pPr>
        <w:pStyle w:val="DecHCase"/>
      </w:pPr>
    </w:p>
    <w:p w14:paraId="02E7420C" w14:textId="77777777" w:rsidR="00787E12" w:rsidRPr="00B47FD4" w:rsidRDefault="00787E12" w:rsidP="009F7EB0">
      <w:pPr>
        <w:pStyle w:val="DecHCase"/>
      </w:pPr>
    </w:p>
    <w:p w14:paraId="7CDD7F87" w14:textId="77777777" w:rsidR="00787E12" w:rsidRPr="00B47FD4" w:rsidRDefault="00787E12" w:rsidP="009F7EB0">
      <w:pPr>
        <w:pStyle w:val="DecHCase"/>
      </w:pPr>
    </w:p>
    <w:p w14:paraId="58724E96" w14:textId="77777777" w:rsidR="00A062B9" w:rsidRPr="00B47FD4" w:rsidRDefault="00A062B9" w:rsidP="009F7EB0">
      <w:pPr>
        <w:pStyle w:val="DecHCase"/>
      </w:pPr>
    </w:p>
    <w:p w14:paraId="343DBAAB" w14:textId="77777777" w:rsidR="00787E12" w:rsidRPr="00B47FD4" w:rsidRDefault="00000000" w:rsidP="009F7EB0">
      <w:pPr>
        <w:pStyle w:val="DecHCase"/>
      </w:pPr>
      <w:r w:rsidRPr="00B47FD4">
        <w:t>WYROK</w:t>
      </w:r>
    </w:p>
    <w:p w14:paraId="3F2EF45C" w14:textId="77777777" w:rsidR="00787E12" w:rsidRPr="00B47FD4" w:rsidRDefault="00787E12" w:rsidP="009F7EB0">
      <w:pPr>
        <w:jc w:val="center"/>
        <w:rPr>
          <w:i/>
        </w:rPr>
      </w:pPr>
    </w:p>
    <w:p w14:paraId="076136C8" w14:textId="77777777" w:rsidR="00787E12" w:rsidRPr="00B47FD4" w:rsidRDefault="00000000" w:rsidP="009F7EB0">
      <w:pPr>
        <w:pStyle w:val="DecHCase"/>
      </w:pPr>
      <w:r w:rsidRPr="00B47FD4">
        <w:t>STRASBURG</w:t>
      </w:r>
    </w:p>
    <w:p w14:paraId="377F4377" w14:textId="77777777" w:rsidR="00787E12" w:rsidRPr="00B47FD4" w:rsidRDefault="00000000" w:rsidP="009F7EB0">
      <w:pPr>
        <w:pStyle w:val="DecHCase"/>
      </w:pPr>
      <w:r w:rsidRPr="00B47FD4">
        <w:t>6 lipca 2023 r.</w:t>
      </w:r>
    </w:p>
    <w:p w14:paraId="284BF789" w14:textId="77777777" w:rsidR="00787E12" w:rsidRPr="00B47FD4" w:rsidRDefault="00787E12" w:rsidP="009F7EB0">
      <w:pPr>
        <w:jc w:val="center"/>
      </w:pPr>
    </w:p>
    <w:p w14:paraId="05640B4E" w14:textId="77777777" w:rsidR="00BC55B8" w:rsidRPr="00B47FD4" w:rsidRDefault="00BC55B8" w:rsidP="009F7EB0">
      <w:pPr>
        <w:jc w:val="center"/>
      </w:pPr>
    </w:p>
    <w:p w14:paraId="6A125C37" w14:textId="77777777" w:rsidR="00BC55B8" w:rsidRPr="00B47FD4" w:rsidRDefault="00BC55B8" w:rsidP="009F7EB0">
      <w:pPr>
        <w:jc w:val="center"/>
      </w:pPr>
    </w:p>
    <w:p w14:paraId="5D68A29D" w14:textId="77777777" w:rsidR="00BC55B8" w:rsidRPr="00B47FD4" w:rsidRDefault="00BC55B8" w:rsidP="009F7EB0">
      <w:pPr>
        <w:jc w:val="center"/>
      </w:pPr>
    </w:p>
    <w:p w14:paraId="12334BD0" w14:textId="77777777" w:rsidR="00BC55B8" w:rsidRPr="00B47FD4" w:rsidRDefault="00BC55B8" w:rsidP="009F7EB0">
      <w:pPr>
        <w:jc w:val="center"/>
      </w:pPr>
    </w:p>
    <w:p w14:paraId="54F017D1" w14:textId="77777777" w:rsidR="00BC55B8" w:rsidRPr="00B47FD4" w:rsidRDefault="00BC55B8" w:rsidP="009F7EB0">
      <w:pPr>
        <w:jc w:val="center"/>
      </w:pPr>
    </w:p>
    <w:p w14:paraId="19CEA20B" w14:textId="3957BC72" w:rsidR="00787E12" w:rsidRPr="00B47FD4" w:rsidRDefault="00000000" w:rsidP="009F7EB0">
      <w:pPr>
        <w:rPr>
          <w:sz w:val="22"/>
          <w:szCs w:val="22"/>
        </w:rPr>
      </w:pPr>
      <w:r w:rsidRPr="00B47FD4">
        <w:rPr>
          <w:i/>
          <w:sz w:val="22"/>
          <w:szCs w:val="22"/>
        </w:rPr>
        <w:t xml:space="preserve">Wyrok </w:t>
      </w:r>
      <w:r w:rsidR="00E77B07" w:rsidRPr="00E77B07">
        <w:rPr>
          <w:i/>
          <w:sz w:val="22"/>
          <w:szCs w:val="22"/>
        </w:rPr>
        <w:t>jest ostateczny, ale</w:t>
      </w:r>
      <w:r w:rsidR="00E77B07">
        <w:rPr>
          <w:i/>
          <w:sz w:val="22"/>
          <w:szCs w:val="22"/>
        </w:rPr>
        <w:t xml:space="preserve"> </w:t>
      </w:r>
      <w:r w:rsidRPr="00B47FD4">
        <w:rPr>
          <w:i/>
          <w:sz w:val="22"/>
          <w:szCs w:val="22"/>
        </w:rPr>
        <w:t>może podlegać korekcie wydawniczej.</w:t>
      </w:r>
    </w:p>
    <w:p w14:paraId="272B2FCD" w14:textId="77777777" w:rsidR="00787E12" w:rsidRPr="00B47FD4" w:rsidRDefault="00787E12" w:rsidP="009F7EB0">
      <w:pPr>
        <w:pStyle w:val="JuCase"/>
        <w:jc w:val="left"/>
        <w:rPr>
          <w:sz w:val="22"/>
          <w:szCs w:val="22"/>
        </w:rPr>
        <w:sectPr w:rsidR="00787E12" w:rsidRPr="00B47FD4" w:rsidSect="00B9166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3ED5A0F7" w14:textId="77777777" w:rsidR="00787E12" w:rsidRPr="00B47FD4" w:rsidRDefault="00000000" w:rsidP="009F7EB0">
      <w:pPr>
        <w:pStyle w:val="JuCase"/>
        <w:rPr>
          <w:bCs/>
        </w:rPr>
      </w:pPr>
      <w:r w:rsidRPr="00B47FD4">
        <w:lastRenderedPageBreak/>
        <w:t>W sprawie Nogajski przeciwko Polsce</w:t>
      </w:r>
    </w:p>
    <w:p w14:paraId="248D073D" w14:textId="77777777" w:rsidR="00787E12" w:rsidRPr="00B47FD4" w:rsidRDefault="00000000" w:rsidP="009F7EB0">
      <w:pPr>
        <w:pStyle w:val="JuPara"/>
      </w:pPr>
      <w:r w:rsidRPr="00B47FD4">
        <w:t>Europejski Trybunał Praw Człowieka (pierwsza sekcja), zasiadając jako Komitet w składzie:</w:t>
      </w:r>
    </w:p>
    <w:p w14:paraId="515B6B07" w14:textId="581ABB63" w:rsidR="002C5B23" w:rsidRPr="00B47FD4" w:rsidRDefault="00000000" w:rsidP="009F7EB0">
      <w:pPr>
        <w:pStyle w:val="JuJudges"/>
      </w:pPr>
      <w:r w:rsidRPr="00B47FD4">
        <w:tab/>
        <w:t xml:space="preserve">Alena </w:t>
      </w:r>
      <w:proofErr w:type="spellStart"/>
      <w:r w:rsidRPr="00B47FD4">
        <w:t>Poláčková</w:t>
      </w:r>
      <w:proofErr w:type="spellEnd"/>
      <w:r w:rsidRPr="00B47FD4">
        <w:rPr>
          <w:i/>
        </w:rPr>
        <w:t xml:space="preserve">, </w:t>
      </w:r>
      <w:r w:rsidR="00A40E72">
        <w:rPr>
          <w:i/>
        </w:rPr>
        <w:t>P</w:t>
      </w:r>
      <w:r w:rsidRPr="00B47FD4">
        <w:rPr>
          <w:i/>
        </w:rPr>
        <w:t>rzewodnicząca</w:t>
      </w:r>
      <w:r w:rsidRPr="00B47FD4">
        <w:t>,</w:t>
      </w:r>
      <w:r w:rsidRPr="00B47FD4">
        <w:br/>
      </w:r>
      <w:r w:rsidRPr="00B47FD4">
        <w:tab/>
        <w:t xml:space="preserve">Gilberto </w:t>
      </w:r>
      <w:proofErr w:type="spellStart"/>
      <w:r w:rsidRPr="00B47FD4">
        <w:t>Felici</w:t>
      </w:r>
      <w:proofErr w:type="spellEnd"/>
      <w:r w:rsidRPr="00B47FD4">
        <w:t>,</w:t>
      </w:r>
      <w:r w:rsidRPr="00B47FD4">
        <w:br/>
      </w:r>
      <w:r w:rsidRPr="00B47FD4">
        <w:tab/>
      </w:r>
      <w:proofErr w:type="spellStart"/>
      <w:r w:rsidRPr="00B47FD4">
        <w:t>Raffaele</w:t>
      </w:r>
      <w:proofErr w:type="spellEnd"/>
      <w:r w:rsidRPr="00B47FD4">
        <w:t xml:space="preserve"> </w:t>
      </w:r>
      <w:proofErr w:type="spellStart"/>
      <w:r w:rsidRPr="00B47FD4">
        <w:t>Sabato</w:t>
      </w:r>
      <w:proofErr w:type="spellEnd"/>
      <w:r w:rsidRPr="00B47FD4">
        <w:rPr>
          <w:i/>
        </w:rPr>
        <w:t>, sędziowie</w:t>
      </w:r>
      <w:r w:rsidRPr="00B47FD4">
        <w:t>,</w:t>
      </w:r>
    </w:p>
    <w:p w14:paraId="3B25CA67" w14:textId="77777777" w:rsidR="00787E12" w:rsidRPr="00B47FD4" w:rsidRDefault="00000000" w:rsidP="009F7EB0">
      <w:pPr>
        <w:pStyle w:val="JuJudges"/>
      </w:pPr>
      <w:r w:rsidRPr="00B47FD4">
        <w:t xml:space="preserve">i </w:t>
      </w:r>
      <w:proofErr w:type="spellStart"/>
      <w:r w:rsidRPr="00B47FD4">
        <w:t>Viktoriya</w:t>
      </w:r>
      <w:proofErr w:type="spellEnd"/>
      <w:r w:rsidRPr="00B47FD4">
        <w:t xml:space="preserve"> </w:t>
      </w:r>
      <w:proofErr w:type="spellStart"/>
      <w:r w:rsidRPr="00B47FD4">
        <w:t>Maradudina</w:t>
      </w:r>
      <w:proofErr w:type="spellEnd"/>
      <w:r w:rsidRPr="00B47FD4">
        <w:t xml:space="preserve">, </w:t>
      </w:r>
      <w:r w:rsidRPr="00B47FD4">
        <w:rPr>
          <w:i/>
        </w:rPr>
        <w:t>p.o. Zastępcy Kanclerza Sekcji,</w:t>
      </w:r>
    </w:p>
    <w:p w14:paraId="33D2A99C" w14:textId="77777777" w:rsidR="00787E12" w:rsidRPr="00B47FD4" w:rsidRDefault="00000000" w:rsidP="009F7EB0">
      <w:pPr>
        <w:pStyle w:val="JuPara"/>
      </w:pPr>
      <w:r w:rsidRPr="00B47FD4">
        <w:t>obradując na posiedzeniu niejawnym w dniu 15 czerwca 2023 r.,</w:t>
      </w:r>
    </w:p>
    <w:p w14:paraId="33C1977F" w14:textId="77777777" w:rsidR="006372F5" w:rsidRPr="00B47FD4" w:rsidRDefault="00000000" w:rsidP="009F7EB0">
      <w:pPr>
        <w:pStyle w:val="JuPara"/>
      </w:pPr>
      <w:r w:rsidRPr="00B47FD4">
        <w:t>wydaje następujący wyrok, który został przyjęty w tym dniu:</w:t>
      </w:r>
    </w:p>
    <w:p w14:paraId="24DDA41A" w14:textId="77777777" w:rsidR="00EB6A2E" w:rsidRPr="00B47FD4" w:rsidRDefault="00000000" w:rsidP="009F7EB0">
      <w:pPr>
        <w:pStyle w:val="JuHHead"/>
      </w:pPr>
      <w:bookmarkStart w:id="1" w:name="ITMARKStartJudgment"/>
      <w:bookmarkEnd w:id="1"/>
      <w:r w:rsidRPr="00B47FD4">
        <w:t>POSTĘPOWANIE</w:t>
      </w:r>
    </w:p>
    <w:p w14:paraId="65ED3F6D" w14:textId="0CB0A1DA" w:rsidR="00EB6A2E" w:rsidRPr="00B47FD4" w:rsidRDefault="00000000" w:rsidP="009F7EB0">
      <w:pPr>
        <w:pStyle w:val="JuPara"/>
      </w:pPr>
      <w:fldSimple w:instr=" SEQ level0 \*arabic ">
        <w:r w:rsidR="009F7EB0" w:rsidRPr="00B47FD4">
          <w:t>1</w:t>
        </w:r>
      </w:fldSimple>
      <w:r w:rsidRPr="00B47FD4">
        <w:t>.</w:t>
      </w:r>
      <w:r w:rsidR="00F609C2" w:rsidRPr="009F7EB0">
        <w:t>  </w:t>
      </w:r>
      <w:r w:rsidRPr="00B47FD4">
        <w:t xml:space="preserve">Sprawa wywodzi się ze skargi do Trybunału przeciwko Polsce </w:t>
      </w:r>
      <w:r w:rsidR="00A40E72" w:rsidRPr="00B47FD4">
        <w:t xml:space="preserve">wniesionej w dniu 16 lipca 2021 r. </w:t>
      </w:r>
      <w:r w:rsidRPr="00B47FD4">
        <w:t xml:space="preserve">na podstawie art. 34 Konwencji </w:t>
      </w:r>
      <w:r w:rsidR="00A40E72">
        <w:br/>
      </w:r>
      <w:r w:rsidRPr="00B47FD4">
        <w:t>o ochronie praw człowieka i podstawowych wolności („Konwencja”).</w:t>
      </w:r>
    </w:p>
    <w:p w14:paraId="59A72B76" w14:textId="150D3D53" w:rsidR="00EB6A2E" w:rsidRPr="00B47FD4" w:rsidRDefault="00000000" w:rsidP="009F7EB0">
      <w:pPr>
        <w:pStyle w:val="JuPara"/>
      </w:pPr>
      <w:fldSimple w:instr=" SEQ level0 \*arabic ">
        <w:r w:rsidR="009F7EB0" w:rsidRPr="00B47FD4">
          <w:t>2</w:t>
        </w:r>
      </w:fldSimple>
      <w:r w:rsidRPr="00B47FD4">
        <w:t>.</w:t>
      </w:r>
      <w:r w:rsidR="00F609C2" w:rsidRPr="009F7EB0">
        <w:t>  </w:t>
      </w:r>
      <w:r w:rsidRPr="00B47FD4">
        <w:t>Skarga została zakomunikowana rządowi polskiemu („Rząd”).</w:t>
      </w:r>
    </w:p>
    <w:p w14:paraId="7D3B3929" w14:textId="77777777" w:rsidR="00EB6A2E" w:rsidRPr="00B47FD4" w:rsidRDefault="00000000" w:rsidP="009F7EB0">
      <w:pPr>
        <w:pStyle w:val="JuHHead"/>
      </w:pPr>
      <w:r w:rsidRPr="00B47FD4">
        <w:t>FAKTY</w:t>
      </w:r>
    </w:p>
    <w:p w14:paraId="640CDE4A" w14:textId="015931F9" w:rsidR="00EB6A2E" w:rsidRPr="00B47FD4" w:rsidRDefault="00000000" w:rsidP="009F7EB0">
      <w:pPr>
        <w:pStyle w:val="JuPara"/>
      </w:pPr>
      <w:fldSimple w:instr=" SEQ level0 \*arabic ">
        <w:r w:rsidR="009F7EB0" w:rsidRPr="00B47FD4">
          <w:t>3</w:t>
        </w:r>
      </w:fldSimple>
      <w:r w:rsidRPr="00B47FD4">
        <w:t>.</w:t>
      </w:r>
      <w:r w:rsidR="00F609C2" w:rsidRPr="009F7EB0">
        <w:t>  </w:t>
      </w:r>
      <w:r w:rsidRPr="00B47FD4">
        <w:t>Dane skarżącego i informacje istotne dla skargi przedstawiono w</w:t>
      </w:r>
      <w:r w:rsidR="00AF5544">
        <w:t> </w:t>
      </w:r>
      <w:r w:rsidRPr="00B47FD4">
        <w:t>załączonej tabeli.</w:t>
      </w:r>
    </w:p>
    <w:p w14:paraId="5CB8BB96" w14:textId="5D89CEF3" w:rsidR="00EB6A2E" w:rsidRPr="00B47FD4" w:rsidRDefault="00000000" w:rsidP="009F7EB0">
      <w:pPr>
        <w:pStyle w:val="JuPara"/>
      </w:pPr>
      <w:fldSimple w:instr=" SEQ level0 \*arabic ">
        <w:r w:rsidR="009F7EB0" w:rsidRPr="00B47FD4">
          <w:t>4</w:t>
        </w:r>
      </w:fldSimple>
      <w:r w:rsidRPr="00B47FD4">
        <w:t>.</w:t>
      </w:r>
      <w:r w:rsidR="00F609C2" w:rsidRPr="009F7EB0">
        <w:t>  </w:t>
      </w:r>
      <w:r w:rsidRPr="00B47FD4">
        <w:t>Skarżący zarzucał w skardze przewlekłość postępowania karnego i</w:t>
      </w:r>
      <w:r w:rsidR="00C307B7">
        <w:t> </w:t>
      </w:r>
      <w:r w:rsidRPr="00B47FD4">
        <w:t>brak skutecznego środka odwoławczego w prawie krajowym.</w:t>
      </w:r>
    </w:p>
    <w:p w14:paraId="36014940" w14:textId="77777777" w:rsidR="00EB6A2E" w:rsidRPr="00B47FD4" w:rsidRDefault="00000000" w:rsidP="009F7EB0">
      <w:pPr>
        <w:pStyle w:val="JuHHead"/>
      </w:pPr>
      <w:r w:rsidRPr="00B47FD4">
        <w:t>PRAWO</w:t>
      </w:r>
    </w:p>
    <w:p w14:paraId="6A63FB55" w14:textId="77777777" w:rsidR="00EB6A2E" w:rsidRPr="00B47FD4" w:rsidRDefault="00000000" w:rsidP="009F7EB0">
      <w:pPr>
        <w:pStyle w:val="JuHIRoman"/>
        <w:rPr>
          <w:rFonts w:eastAsia="PMingLiU"/>
        </w:rPr>
      </w:pPr>
      <w:r w:rsidRPr="00B47FD4">
        <w:t>ZARZUCANE NARUSZENIE ART. 6 UST. 1 I ART. 13 KONWENCJI</w:t>
      </w:r>
    </w:p>
    <w:p w14:paraId="18ADD8FA" w14:textId="0AD5170C" w:rsidR="00EB6A2E" w:rsidRPr="00B47FD4" w:rsidRDefault="00000000" w:rsidP="009F7EB0">
      <w:pPr>
        <w:pStyle w:val="JuPara"/>
      </w:pPr>
      <w:fldSimple w:instr=" SEQ level0 \*arabic ">
        <w:r w:rsidR="009F7EB0" w:rsidRPr="00B47FD4">
          <w:t>5</w:t>
        </w:r>
      </w:fldSimple>
      <w:r w:rsidRPr="00B47FD4">
        <w:t>.</w:t>
      </w:r>
      <w:r w:rsidR="00E26656" w:rsidRPr="009F7EB0">
        <w:t>  </w:t>
      </w:r>
      <w:r w:rsidRPr="00B47FD4">
        <w:t>Skarżący zarzucał, że długość postępowania karnego, którego dotyczy sprawa, nie czyniła zadość wymogowi „rozsądnego terminu”, a także że nie miał on możliwości skorzystania w tej kwestii ze skutecznego środka odwoławczego. Powołał się na art. 6 ust. 1 i art. 13 Konwencji.</w:t>
      </w:r>
    </w:p>
    <w:p w14:paraId="6069B447" w14:textId="1979025A" w:rsidR="00EB6A2E" w:rsidRPr="00B47FD4" w:rsidRDefault="00000000" w:rsidP="009F7EB0">
      <w:pPr>
        <w:pStyle w:val="JuPara"/>
      </w:pPr>
      <w:fldSimple w:instr=" SEQ level0 \*arabic ">
        <w:r w:rsidR="009F7EB0" w:rsidRPr="00B47FD4">
          <w:t>6</w:t>
        </w:r>
      </w:fldSimple>
      <w:r w:rsidRPr="00B47FD4">
        <w:t>.</w:t>
      </w:r>
      <w:r w:rsidR="00E26656" w:rsidRPr="009F7EB0">
        <w:t>  </w:t>
      </w:r>
      <w:r w:rsidRPr="00B47FD4">
        <w:t>Rząd zgłosił zastrzeżenie wstępne, z którego wynika, że skarżący nie może być dłużej uznawany za „ofiarę” w rozumieniu art. 34 Konwencji w związku z naruszeniem przysługującego mu prawa do rozpatrzenia jego sprawy w rozsądnym terminie, ponieważ przyznano mu zadośćuczynienie w</w:t>
      </w:r>
      <w:r w:rsidR="00F609C2">
        <w:t> </w:t>
      </w:r>
      <w:r w:rsidRPr="00B47FD4">
        <w:t>wysokości 2000 złotych polskich (PLN). Trybunał zauważa, że kwestia ta powinna zostać rozstrzygnięta w świetle zasad ustanowionych w</w:t>
      </w:r>
      <w:r w:rsidR="00F609C2">
        <w:t> </w:t>
      </w:r>
      <w:r w:rsidRPr="00B47FD4">
        <w:t xml:space="preserve">orzecznictwie Trybunału (zob. </w:t>
      </w:r>
      <w:proofErr w:type="spellStart"/>
      <w:r w:rsidRPr="00B47FD4">
        <w:rPr>
          <w:i/>
          <w:iCs/>
        </w:rPr>
        <w:t>Cocchiarella</w:t>
      </w:r>
      <w:proofErr w:type="spellEnd"/>
      <w:r w:rsidRPr="00B47FD4">
        <w:rPr>
          <w:i/>
          <w:iCs/>
        </w:rPr>
        <w:t xml:space="preserve"> p</w:t>
      </w:r>
      <w:r w:rsidR="00187925">
        <w:rPr>
          <w:i/>
          <w:iCs/>
        </w:rPr>
        <w:t>.</w:t>
      </w:r>
      <w:r w:rsidRPr="00B47FD4">
        <w:rPr>
          <w:i/>
          <w:iCs/>
        </w:rPr>
        <w:t xml:space="preserve"> Włochom</w:t>
      </w:r>
      <w:r w:rsidRPr="00B47FD4">
        <w:t xml:space="preserve"> [WI], skarga nr 64886/01, </w:t>
      </w:r>
      <w:r w:rsidR="004E479E">
        <w:t>pkt</w:t>
      </w:r>
      <w:r w:rsidRPr="00B47FD4">
        <w:t xml:space="preserve"> 69–107, ETPC 2006-V oraz </w:t>
      </w:r>
      <w:proofErr w:type="spellStart"/>
      <w:r w:rsidRPr="00B47FD4">
        <w:rPr>
          <w:i/>
          <w:iCs/>
        </w:rPr>
        <w:t>Scordino</w:t>
      </w:r>
      <w:proofErr w:type="spellEnd"/>
      <w:r w:rsidRPr="00B47FD4">
        <w:rPr>
          <w:i/>
          <w:iCs/>
        </w:rPr>
        <w:t xml:space="preserve"> p</w:t>
      </w:r>
      <w:r w:rsidR="00187925">
        <w:rPr>
          <w:i/>
          <w:iCs/>
        </w:rPr>
        <w:t>.</w:t>
      </w:r>
      <w:r w:rsidRPr="00B47FD4">
        <w:rPr>
          <w:i/>
          <w:iCs/>
        </w:rPr>
        <w:t xml:space="preserve"> Włochom</w:t>
      </w:r>
      <w:r w:rsidRPr="00B47FD4">
        <w:t xml:space="preserve"> (nr 1) [WI], skarga nr 36813/97, </w:t>
      </w:r>
      <w:r w:rsidR="004E479E">
        <w:t>pkt</w:t>
      </w:r>
      <w:r w:rsidRPr="00B47FD4">
        <w:t> 178–213, ETPC 2006-V).</w:t>
      </w:r>
    </w:p>
    <w:p w14:paraId="5235F03E" w14:textId="25C1E9F0" w:rsidR="00EB6A2E" w:rsidRPr="00B47FD4" w:rsidRDefault="00000000" w:rsidP="009F7EB0">
      <w:pPr>
        <w:pStyle w:val="JuPara"/>
      </w:pPr>
      <w:fldSimple w:instr=" SEQ level0 \*arabic \* MERGEFORMAT ">
        <w:r w:rsidR="009F7EB0" w:rsidRPr="00B47FD4">
          <w:t>7</w:t>
        </w:r>
      </w:fldSimple>
      <w:r w:rsidR="009F7EB0" w:rsidRPr="00B47FD4">
        <w:t>.</w:t>
      </w:r>
      <w:r w:rsidR="00E26656" w:rsidRPr="009F7EB0">
        <w:t>  </w:t>
      </w:r>
      <w:r w:rsidR="009F7EB0" w:rsidRPr="00B47FD4">
        <w:t xml:space="preserve">Trybunał zauważa, że Sąd Okręgowy Warszawa-Praga </w:t>
      </w:r>
      <w:r w:rsidR="00187925">
        <w:t xml:space="preserve">w Warszawie </w:t>
      </w:r>
      <w:r w:rsidR="009F7EB0" w:rsidRPr="00B47FD4">
        <w:t xml:space="preserve">przeanalizował przebieg skarżonego postępowania w świetle kryteriów, które stosuje sam Trybunał. Uznano, że doszło do opóźnień, za które </w:t>
      </w:r>
      <w:r w:rsidR="009F7EB0" w:rsidRPr="00B47FD4">
        <w:lastRenderedPageBreak/>
        <w:t>odpowiedzialność należy przypisać organom krajowym</w:t>
      </w:r>
      <w:r w:rsidR="00187925">
        <w:t>, tak więc</w:t>
      </w:r>
      <w:r w:rsidR="009F7EB0" w:rsidRPr="00B47FD4">
        <w:t xml:space="preserve"> doszło do naruszenia </w:t>
      </w:r>
      <w:r w:rsidR="00187925">
        <w:t>prawa</w:t>
      </w:r>
      <w:r w:rsidR="009F7EB0" w:rsidRPr="00B47FD4">
        <w:t xml:space="preserve"> skarżące</w:t>
      </w:r>
      <w:r w:rsidR="00187925">
        <w:t>go</w:t>
      </w:r>
      <w:r w:rsidR="009F7EB0" w:rsidRPr="00B47FD4">
        <w:t xml:space="preserve"> do rozpatrzenia jego sprawy bez zbędnej zwłoki</w:t>
      </w:r>
      <w:r w:rsidR="00187925">
        <w:t>, wobec czego</w:t>
      </w:r>
      <w:r w:rsidR="00F609C2">
        <w:t> </w:t>
      </w:r>
      <w:r w:rsidR="009F7EB0" w:rsidRPr="00B47FD4">
        <w:t xml:space="preserve">przyznano skarżącemu równowartość 440 euro (EUR) w związku z </w:t>
      </w:r>
      <w:r w:rsidR="00187925">
        <w:t>długością</w:t>
      </w:r>
      <w:r w:rsidR="009F7EB0" w:rsidRPr="00B47FD4">
        <w:t xml:space="preserve"> postępowania. Trybunał stwierdził, że zadośćuczynienie przyznane skarżącemu na poziomie krajowym, jeżeli wziąć pod uwagę okoliczności faktyczne podnoszone w skardze wniesionej do Trybunału, było niewystarczające (zob. </w:t>
      </w:r>
      <w:proofErr w:type="spellStart"/>
      <w:r w:rsidR="009F7EB0" w:rsidRPr="00B47FD4">
        <w:rPr>
          <w:i/>
          <w:iCs/>
        </w:rPr>
        <w:t>Janulis</w:t>
      </w:r>
      <w:proofErr w:type="spellEnd"/>
      <w:r w:rsidR="009F7EB0" w:rsidRPr="00B47FD4">
        <w:rPr>
          <w:i/>
          <w:iCs/>
        </w:rPr>
        <w:t xml:space="preserve"> p</w:t>
      </w:r>
      <w:r w:rsidR="00187925">
        <w:rPr>
          <w:i/>
          <w:iCs/>
        </w:rPr>
        <w:t>.</w:t>
      </w:r>
      <w:r w:rsidR="009F7EB0" w:rsidRPr="00B47FD4">
        <w:rPr>
          <w:i/>
          <w:iCs/>
        </w:rPr>
        <w:t xml:space="preserve"> Polsce</w:t>
      </w:r>
      <w:r w:rsidR="009F7EB0" w:rsidRPr="00B47FD4">
        <w:t xml:space="preserve">, skarga nr 31792/15, </w:t>
      </w:r>
      <w:r w:rsidR="008705D2">
        <w:t>pkt</w:t>
      </w:r>
      <w:r w:rsidR="009F7EB0" w:rsidRPr="00B47FD4">
        <w:t xml:space="preserve"> 21, 16 stycznia 2020 r., z przytoczonymi przykładami). </w:t>
      </w:r>
      <w:r w:rsidR="00187925">
        <w:br/>
      </w:r>
      <w:r w:rsidR="009F7EB0" w:rsidRPr="00B47FD4">
        <w:t>W tych okolicznościach argument, że skarżący utracił status ofiary, nie zasługuje na uwzględnienie.</w:t>
      </w:r>
    </w:p>
    <w:p w14:paraId="7A4E5C4D" w14:textId="5432F241" w:rsidR="00EB6A2E" w:rsidRPr="00B47FD4" w:rsidRDefault="00000000" w:rsidP="009F7EB0">
      <w:pPr>
        <w:pStyle w:val="JuPara"/>
        <w:rPr>
          <w:strike/>
        </w:rPr>
      </w:pPr>
      <w:fldSimple w:instr=" SEQ level0 \*arabic \* MERGEFORMAT ">
        <w:r w:rsidR="009F7EB0" w:rsidRPr="00B47FD4">
          <w:t>8</w:t>
        </w:r>
      </w:fldSimple>
      <w:r w:rsidR="009F7EB0" w:rsidRPr="00B47FD4">
        <w:t>.</w:t>
      </w:r>
      <w:r w:rsidR="00363C71" w:rsidRPr="009F7EB0">
        <w:t>  </w:t>
      </w:r>
      <w:r w:rsidR="009F7EB0" w:rsidRPr="00B47FD4">
        <w:t xml:space="preserve">Trybunał przypomina, że rozsądny czas trwania postępowania powinno się oceniać w świetle okoliczności sprawy i z uwzględnieniem następujących kryteriów: złożoności sprawy, zachowania skarżącego i właściwych organów oraz </w:t>
      </w:r>
      <w:r w:rsidR="00D94E13">
        <w:t>tego, co było stawką w sporze dla skarżącego</w:t>
      </w:r>
      <w:r w:rsidR="009F7EB0" w:rsidRPr="00B47FD4">
        <w:t xml:space="preserve"> (zob. m</w:t>
      </w:r>
      <w:r w:rsidR="00D94E13">
        <w:t>. in.</w:t>
      </w:r>
      <w:r w:rsidR="009F7EB0" w:rsidRPr="00B47FD4">
        <w:t xml:space="preserve"> wyroki w sprawie </w:t>
      </w:r>
      <w:proofErr w:type="spellStart"/>
      <w:r w:rsidR="009F7EB0" w:rsidRPr="00B47FD4">
        <w:rPr>
          <w:i/>
        </w:rPr>
        <w:t>Pélissier</w:t>
      </w:r>
      <w:proofErr w:type="spellEnd"/>
      <w:r w:rsidR="009F7EB0" w:rsidRPr="00B47FD4">
        <w:rPr>
          <w:i/>
        </w:rPr>
        <w:t xml:space="preserve"> i Sassi p</w:t>
      </w:r>
      <w:r w:rsidR="00D94E13">
        <w:rPr>
          <w:i/>
        </w:rPr>
        <w:t>.</w:t>
      </w:r>
      <w:r w:rsidR="009F7EB0" w:rsidRPr="00B47FD4">
        <w:rPr>
          <w:i/>
        </w:rPr>
        <w:t xml:space="preserve"> Francji</w:t>
      </w:r>
      <w:r w:rsidR="009F7EB0" w:rsidRPr="00B47FD4">
        <w:t xml:space="preserve"> [WI], skarga nr 25444/94, </w:t>
      </w:r>
      <w:r w:rsidR="00555918">
        <w:t>pkt</w:t>
      </w:r>
      <w:r w:rsidR="009F7EB0" w:rsidRPr="00B47FD4">
        <w:t> 67, ETPC 1999</w:t>
      </w:r>
      <w:r w:rsidR="009F7EB0" w:rsidRPr="00B47FD4">
        <w:noBreakHyphen/>
        <w:t xml:space="preserve">II, a także </w:t>
      </w:r>
      <w:proofErr w:type="spellStart"/>
      <w:r w:rsidR="009F7EB0" w:rsidRPr="00B47FD4">
        <w:rPr>
          <w:i/>
        </w:rPr>
        <w:t>Frydlender</w:t>
      </w:r>
      <w:proofErr w:type="spellEnd"/>
      <w:r w:rsidR="009F7EB0" w:rsidRPr="00B47FD4">
        <w:rPr>
          <w:i/>
        </w:rPr>
        <w:t xml:space="preserve"> p</w:t>
      </w:r>
      <w:r w:rsidR="00D94E13">
        <w:rPr>
          <w:i/>
        </w:rPr>
        <w:t>.</w:t>
      </w:r>
      <w:r w:rsidR="009F7EB0" w:rsidRPr="00B47FD4">
        <w:rPr>
          <w:i/>
        </w:rPr>
        <w:t xml:space="preserve"> Francji</w:t>
      </w:r>
      <w:r w:rsidR="009F7EB0" w:rsidRPr="00B47FD4">
        <w:t xml:space="preserve"> [WI], skarga nr 30979/96, </w:t>
      </w:r>
      <w:r w:rsidR="00555918">
        <w:t>pkt</w:t>
      </w:r>
      <w:r w:rsidR="009F7EB0" w:rsidRPr="00B47FD4">
        <w:t> 43, ETPC 2000</w:t>
      </w:r>
      <w:r w:rsidR="009F7EB0" w:rsidRPr="00B47FD4">
        <w:noBreakHyphen/>
        <w:t>VII).</w:t>
      </w:r>
    </w:p>
    <w:p w14:paraId="2B37F7C0" w14:textId="1677B485" w:rsidR="00EB6A2E" w:rsidRPr="00B47FD4" w:rsidRDefault="00000000" w:rsidP="009F7EB0">
      <w:pPr>
        <w:pStyle w:val="JuPara"/>
      </w:pPr>
      <w:fldSimple w:instr=" SEQ level0 \*arabic ">
        <w:r w:rsidR="009F7EB0" w:rsidRPr="00B47FD4">
          <w:t>9</w:t>
        </w:r>
      </w:fldSimple>
      <w:r w:rsidRPr="00B47FD4">
        <w:t>.</w:t>
      </w:r>
      <w:r w:rsidR="00363C71" w:rsidRPr="009F7EB0">
        <w:t>  </w:t>
      </w:r>
      <w:r w:rsidRPr="00B47FD4">
        <w:t xml:space="preserve">W sprawie wiodącej </w:t>
      </w:r>
      <w:r w:rsidRPr="00B47FD4">
        <w:rPr>
          <w:i/>
          <w:iCs/>
        </w:rPr>
        <w:t xml:space="preserve">Rutkowski i </w:t>
      </w:r>
      <w:r w:rsidR="00D94E13">
        <w:rPr>
          <w:i/>
          <w:iCs/>
        </w:rPr>
        <w:t>I</w:t>
      </w:r>
      <w:r w:rsidRPr="00B47FD4">
        <w:rPr>
          <w:i/>
          <w:iCs/>
        </w:rPr>
        <w:t>nni p</w:t>
      </w:r>
      <w:r w:rsidR="00D94E13">
        <w:rPr>
          <w:i/>
          <w:iCs/>
        </w:rPr>
        <w:t>.</w:t>
      </w:r>
      <w:r w:rsidRPr="00B47FD4">
        <w:rPr>
          <w:i/>
          <w:iCs/>
        </w:rPr>
        <w:t xml:space="preserve"> Polsce</w:t>
      </w:r>
      <w:r w:rsidRPr="00B47FD4">
        <w:t xml:space="preserve">, skargi nr 72287/10 </w:t>
      </w:r>
      <w:r w:rsidR="00D94E13">
        <w:br/>
      </w:r>
      <w:r w:rsidRPr="00B47FD4">
        <w:t xml:space="preserve">i 2 inne, 7 lipca 2015 r., Trybunał </w:t>
      </w:r>
      <w:r w:rsidR="00D94E13">
        <w:t>stwierdził</w:t>
      </w:r>
      <w:r w:rsidRPr="00B47FD4">
        <w:t xml:space="preserve"> już naruszenie w</w:t>
      </w:r>
      <w:r w:rsidR="00F609C2">
        <w:t> </w:t>
      </w:r>
      <w:r w:rsidRPr="00B47FD4">
        <w:t>odniesieniu do zagadnień zbliżonych do występujących w niniejszej sprawie.</w:t>
      </w:r>
    </w:p>
    <w:p w14:paraId="1D284B4E" w14:textId="71B7D9DD" w:rsidR="00EB6A2E" w:rsidRPr="00B47FD4" w:rsidRDefault="00000000" w:rsidP="009F7EB0">
      <w:pPr>
        <w:pStyle w:val="JuPara"/>
      </w:pPr>
      <w:fldSimple w:instr=" SEQ level0 \*arabic ">
        <w:r w:rsidR="009F7EB0" w:rsidRPr="00B47FD4">
          <w:t>10</w:t>
        </w:r>
      </w:fldSimple>
      <w:r w:rsidRPr="00B47FD4">
        <w:t>.</w:t>
      </w:r>
      <w:r w:rsidR="00363C71" w:rsidRPr="009F7EB0">
        <w:t>  </w:t>
      </w:r>
      <w:r w:rsidR="00D527FB">
        <w:t>Po zbadaniu przedłożonego</w:t>
      </w:r>
      <w:r w:rsidRPr="00B47FD4">
        <w:t xml:space="preserve"> mu materiał</w:t>
      </w:r>
      <w:r w:rsidR="00D527FB">
        <w:t>u</w:t>
      </w:r>
      <w:r w:rsidRPr="00B47FD4">
        <w:t xml:space="preserve">, Trybunał nie stwierdził istnienia żadnych okoliczności faktycznych ani argumentów, które mogłyby uzasadniać ogólną długość postępowania na szczeblu krajowym. Mając na względzie </w:t>
      </w:r>
      <w:r w:rsidR="00D527FB">
        <w:t>swoje</w:t>
      </w:r>
      <w:r w:rsidRPr="00B47FD4">
        <w:t xml:space="preserve"> orzecznictwo w tym zakresie, Trybunał stwierdza, że długość postępowania w </w:t>
      </w:r>
      <w:r w:rsidR="00D527FB">
        <w:t>niniejszej</w:t>
      </w:r>
      <w:r w:rsidRPr="00B47FD4">
        <w:t xml:space="preserve"> sprawie była nadmierna i nie czyniła zadość wymogowi „rozsądnego terminu”.</w:t>
      </w:r>
    </w:p>
    <w:p w14:paraId="2DDDBEE9" w14:textId="283DBDEB" w:rsidR="00EB6A2E" w:rsidRPr="00B47FD4" w:rsidRDefault="00000000" w:rsidP="009F7EB0">
      <w:pPr>
        <w:pStyle w:val="JuPara"/>
      </w:pPr>
      <w:fldSimple w:instr=" SEQ level0 \*arabic ">
        <w:r w:rsidR="009F7EB0" w:rsidRPr="00B47FD4">
          <w:t>11</w:t>
        </w:r>
      </w:fldSimple>
      <w:r w:rsidRPr="00B47FD4">
        <w:t>.</w:t>
      </w:r>
      <w:r w:rsidR="00363C71" w:rsidRPr="009F7EB0">
        <w:t>  </w:t>
      </w:r>
      <w:r w:rsidRPr="00B47FD4">
        <w:t>Trybunał zauważa ponadto, że skarżący nie miał do dyspozycji skutecznego środka odwoławczego w związku z podnoszonymi zarzutami.</w:t>
      </w:r>
    </w:p>
    <w:p w14:paraId="2EF1C6BD" w14:textId="63ABB304" w:rsidR="00EB6A2E" w:rsidRPr="00B47FD4" w:rsidRDefault="00000000" w:rsidP="009F7EB0">
      <w:pPr>
        <w:pStyle w:val="JuPara"/>
      </w:pPr>
      <w:fldSimple w:instr=" SEQ level0 \*arabic ">
        <w:r w:rsidR="009F7EB0" w:rsidRPr="00B47FD4">
          <w:t>12</w:t>
        </w:r>
      </w:fldSimple>
      <w:r w:rsidRPr="00B47FD4">
        <w:t>.</w:t>
      </w:r>
      <w:r w:rsidR="00363C71" w:rsidRPr="009F7EB0">
        <w:t>  </w:t>
      </w:r>
      <w:r w:rsidRPr="00B47FD4">
        <w:t>Zarzuty przedstawione w skardze są zatem dopuszczalne i ujawniono w niej naruszenie art. 6 ust. 1 i art. 13 Konwencji.</w:t>
      </w:r>
    </w:p>
    <w:p w14:paraId="0C620F30" w14:textId="77777777" w:rsidR="00EB6A2E" w:rsidRPr="00B47FD4" w:rsidRDefault="00000000" w:rsidP="009F7EB0">
      <w:pPr>
        <w:pStyle w:val="JuHIRoman"/>
      </w:pPr>
      <w:r w:rsidRPr="00B47FD4">
        <w:t>ZASTOSOWANIE ART. 41 KONWENCJI</w:t>
      </w:r>
    </w:p>
    <w:p w14:paraId="28ED65B4" w14:textId="4CFF87B4" w:rsidR="00EB6A2E" w:rsidRPr="00B47FD4" w:rsidRDefault="00000000" w:rsidP="009F7EB0">
      <w:pPr>
        <w:pStyle w:val="JuPara"/>
      </w:pPr>
      <w:fldSimple w:instr=" SEQ level0 \*arabic ">
        <w:r w:rsidR="009F7EB0" w:rsidRPr="00B47FD4">
          <w:t>13</w:t>
        </w:r>
      </w:fldSimple>
      <w:r w:rsidRPr="00B47FD4">
        <w:t>.</w:t>
      </w:r>
      <w:r w:rsidR="00363C71" w:rsidRPr="009F7EB0">
        <w:t>  </w:t>
      </w:r>
      <w:r w:rsidRPr="00B47FD4">
        <w:t>Artykuł 41 Konwencji stanowi:</w:t>
      </w:r>
    </w:p>
    <w:p w14:paraId="366365E2" w14:textId="0205E9C6" w:rsidR="00EB6A2E" w:rsidRPr="00B47FD4" w:rsidRDefault="00000000" w:rsidP="009F7EB0">
      <w:pPr>
        <w:pStyle w:val="JuQuot"/>
        <w:keepNext/>
        <w:keepLines/>
      </w:pPr>
      <w:r w:rsidRPr="00B47FD4">
        <w:t xml:space="preserve">„Jeżeli Trybunał stwierdzi, że nastąpiło naruszenie Konwencji lub jej Protokołów, oraz jeżeli prawo </w:t>
      </w:r>
      <w:r w:rsidR="00AD6558">
        <w:t>wewnętrzne</w:t>
      </w:r>
      <w:r w:rsidR="00AD6558" w:rsidRPr="00B47FD4">
        <w:t xml:space="preserve"> </w:t>
      </w:r>
      <w:r w:rsidRPr="00B47FD4">
        <w:t>zainteresowanej Wysokiej Układającej się Strony pozwala tylko na częściowe usunięcie konsekwencji tego naruszenia, Trybunał orzeka, gdy zachodzi taka potrzeba, o przyznaniu słusznego zadośćuczynienia pokrzywdzonej stronie”.</w:t>
      </w:r>
    </w:p>
    <w:p w14:paraId="1E48717C" w14:textId="13E6A46B" w:rsidR="00EB6A2E" w:rsidRPr="00B47FD4" w:rsidRDefault="00000000" w:rsidP="009F7EB0">
      <w:pPr>
        <w:pStyle w:val="JuPara"/>
      </w:pPr>
      <w:fldSimple w:instr=" SEQ level0 \*arabic ">
        <w:r w:rsidR="009F7EB0" w:rsidRPr="00B47FD4">
          <w:t>14</w:t>
        </w:r>
      </w:fldSimple>
      <w:r w:rsidR="0012717D">
        <w:t>. Uwzględniając</w:t>
      </w:r>
      <w:r w:rsidRPr="00B47FD4">
        <w:t xml:space="preserve"> dokument</w:t>
      </w:r>
      <w:r w:rsidR="0012717D">
        <w:t>y znajdujące się w jego posiadaniu</w:t>
      </w:r>
      <w:r w:rsidRPr="00B47FD4">
        <w:t xml:space="preserve"> i </w:t>
      </w:r>
      <w:r w:rsidR="00D527FB">
        <w:t xml:space="preserve">swoje </w:t>
      </w:r>
      <w:r w:rsidRPr="00B47FD4">
        <w:t>orzecznictwa (zob.</w:t>
      </w:r>
      <w:r w:rsidR="00F609C2">
        <w:t xml:space="preserve"> </w:t>
      </w:r>
      <w:r w:rsidRPr="00B47FD4">
        <w:t>w</w:t>
      </w:r>
      <w:r w:rsidR="00F609C2">
        <w:t> </w:t>
      </w:r>
      <w:r w:rsidRPr="00B47FD4">
        <w:t xml:space="preserve">szczególności wyrok </w:t>
      </w:r>
      <w:r w:rsidRPr="00B47FD4">
        <w:rPr>
          <w:i/>
        </w:rPr>
        <w:t xml:space="preserve">Rutkowski i </w:t>
      </w:r>
      <w:r w:rsidR="00D527FB">
        <w:rPr>
          <w:i/>
        </w:rPr>
        <w:t>I</w:t>
      </w:r>
      <w:r w:rsidRPr="00B47FD4">
        <w:rPr>
          <w:i/>
        </w:rPr>
        <w:t>nni</w:t>
      </w:r>
      <w:r w:rsidRPr="00B47FD4">
        <w:t>, cyt. pow</w:t>
      </w:r>
      <w:r w:rsidR="00D527FB">
        <w:t>.</w:t>
      </w:r>
      <w:r w:rsidRPr="00B47FD4">
        <w:t>) Trybunał uznaje za słuszne przyznanie kwoty określonej w załączonej tabeli.</w:t>
      </w:r>
    </w:p>
    <w:p w14:paraId="5C36687A" w14:textId="123E4ACE" w:rsidR="00EB6A2E" w:rsidRPr="00B47FD4" w:rsidRDefault="00000000" w:rsidP="009F7EB0">
      <w:pPr>
        <w:pStyle w:val="JuHHead"/>
      </w:pPr>
      <w:r w:rsidRPr="00B47FD4">
        <w:lastRenderedPageBreak/>
        <w:t>Z TYCH PRZYCZYN TRYBUNAŁ JEDNOGŁOŚNIE</w:t>
      </w:r>
      <w:r w:rsidR="0012717D">
        <w:t>:</w:t>
      </w:r>
    </w:p>
    <w:p w14:paraId="2E5306A2" w14:textId="77777777" w:rsidR="00EB6A2E" w:rsidRPr="00B47FD4" w:rsidRDefault="00000000" w:rsidP="009F7EB0">
      <w:pPr>
        <w:pStyle w:val="JuList"/>
        <w:keepNext/>
        <w:keepLines/>
      </w:pPr>
      <w:r w:rsidRPr="00B47FD4">
        <w:rPr>
          <w:i/>
        </w:rPr>
        <w:t xml:space="preserve">uznaje </w:t>
      </w:r>
      <w:r w:rsidRPr="00B47FD4">
        <w:t>skargę za dopuszczalną;</w:t>
      </w:r>
    </w:p>
    <w:p w14:paraId="4232476C" w14:textId="77777777" w:rsidR="00EB6A2E" w:rsidRPr="00B47FD4" w:rsidRDefault="00000000" w:rsidP="009F7EB0">
      <w:pPr>
        <w:pStyle w:val="JuList"/>
        <w:keepNext/>
        <w:keepLines/>
      </w:pPr>
      <w:r w:rsidRPr="00B47FD4">
        <w:rPr>
          <w:i/>
          <w:iCs/>
        </w:rPr>
        <w:t>orzeka</w:t>
      </w:r>
      <w:r w:rsidRPr="00B47FD4">
        <w:t>, że w skardze ujawniono naruszenie art. 6 ust. 1 i art. 13 Konwencji dotyczące przewlekłości postępowania karnego i braku skutecznego środka odwoławczego w tej kwestii;</w:t>
      </w:r>
    </w:p>
    <w:p w14:paraId="1DEADA85" w14:textId="77777777" w:rsidR="00EB6A2E" w:rsidRPr="00B47FD4" w:rsidRDefault="00000000" w:rsidP="009F7EB0">
      <w:pPr>
        <w:pStyle w:val="JuList"/>
        <w:keepNext/>
        <w:keepLines/>
      </w:pPr>
      <w:r w:rsidRPr="00B47FD4">
        <w:rPr>
          <w:i/>
        </w:rPr>
        <w:t>orzeka</w:t>
      </w:r>
    </w:p>
    <w:p w14:paraId="55CDE373" w14:textId="5F0D41A6" w:rsidR="00EB6A2E" w:rsidRPr="00B47FD4" w:rsidRDefault="00000000" w:rsidP="009F7EB0">
      <w:pPr>
        <w:pStyle w:val="JuLista"/>
      </w:pPr>
      <w:r w:rsidRPr="00B47FD4">
        <w:t>że pozwane państwo winno, w terminie trzech miesięcy, uiścić na rzecz skarżącego kwotę określoną w załączonej tabeli, przeliczon</w:t>
      </w:r>
      <w:r w:rsidR="0028147A">
        <w:t>ą</w:t>
      </w:r>
      <w:r w:rsidRPr="00B47FD4">
        <w:t xml:space="preserve"> na walutę pozwanego państwa według kursu obowiązującego w dniu płatności;</w:t>
      </w:r>
    </w:p>
    <w:p w14:paraId="569BA963" w14:textId="77777777" w:rsidR="00EB6A2E" w:rsidRPr="00B47FD4" w:rsidRDefault="00000000" w:rsidP="009F7EB0">
      <w:pPr>
        <w:pStyle w:val="JuLista"/>
        <w:rPr>
          <w:specVanish/>
        </w:rPr>
      </w:pPr>
      <w:r w:rsidRPr="00B47FD4">
        <w:t>że od upływu wyżej wskazanego terminu trzech miesięcy aż do momentu uregulowania należności należne będą odsetki zwykłe od określonej powyżej kwoty, naliczone według stopy równej marginalnej stopie procentowej Europejskiego Banku Centralnego obowiązującej w tym okresie, powiększonej o trzy punkty procentowe.</w:t>
      </w:r>
    </w:p>
    <w:p w14:paraId="2CBE2969" w14:textId="77777777" w:rsidR="00C43D38" w:rsidRPr="00B47FD4" w:rsidRDefault="00000000" w:rsidP="009F7EB0">
      <w:pPr>
        <w:pStyle w:val="JuParaLast"/>
      </w:pPr>
      <w:r w:rsidRPr="00B47FD4">
        <w:t>Sporządzono w języku angielskim i obwieszczono pisemnie w dniu 6 lipca 2023 r. zgodnie z Regułą 77 § 2 i 3 Regulaminu Trybunału.</w:t>
      </w:r>
    </w:p>
    <w:p w14:paraId="164770F2" w14:textId="77777777" w:rsidR="00656431" w:rsidRPr="00B47FD4" w:rsidRDefault="00000000" w:rsidP="009F7EB0">
      <w:pPr>
        <w:pStyle w:val="ECHRPlaceholder"/>
        <w:rPr>
          <w:szCs w:val="22"/>
        </w:rPr>
      </w:pPr>
      <w:r w:rsidRPr="00B47FD4">
        <w:tab/>
      </w:r>
    </w:p>
    <w:p w14:paraId="4DC4B88C" w14:textId="77777777" w:rsidR="00CF644B" w:rsidRPr="00B47FD4" w:rsidRDefault="00000000" w:rsidP="009F7EB0">
      <w:pPr>
        <w:pStyle w:val="JuSigned"/>
        <w:rPr>
          <w:rFonts w:eastAsia="PMingLiU"/>
        </w:rPr>
      </w:pPr>
      <w:r w:rsidRPr="00B47FD4">
        <w:tab/>
      </w:r>
      <w:proofErr w:type="spellStart"/>
      <w:r w:rsidRPr="00B47FD4">
        <w:t>Viktoriya</w:t>
      </w:r>
      <w:proofErr w:type="spellEnd"/>
      <w:r w:rsidRPr="00B47FD4">
        <w:t xml:space="preserve"> </w:t>
      </w:r>
      <w:proofErr w:type="spellStart"/>
      <w:r w:rsidRPr="00B47FD4">
        <w:t>Maradudina</w:t>
      </w:r>
      <w:proofErr w:type="spellEnd"/>
      <w:r w:rsidRPr="00B47FD4">
        <w:tab/>
        <w:t xml:space="preserve">Alena </w:t>
      </w:r>
      <w:proofErr w:type="spellStart"/>
      <w:r w:rsidRPr="00B47FD4">
        <w:t>Poláčková</w:t>
      </w:r>
      <w:proofErr w:type="spellEnd"/>
    </w:p>
    <w:p w14:paraId="0EE8BB63" w14:textId="77777777" w:rsidR="00B91668" w:rsidRPr="00B47FD4" w:rsidRDefault="00000000" w:rsidP="009F7EB0">
      <w:pPr>
        <w:pStyle w:val="JuSigned"/>
        <w:contextualSpacing/>
        <w:rPr>
          <w:rFonts w:eastAsia="PMingLiU"/>
        </w:rPr>
      </w:pPr>
      <w:r w:rsidRPr="00B47FD4">
        <w:tab/>
        <w:t>p.o. Zastępcy Kanclerza</w:t>
      </w:r>
      <w:r w:rsidRPr="00B47FD4">
        <w:tab/>
        <w:t>Przewodnicząca</w:t>
      </w:r>
    </w:p>
    <w:p w14:paraId="1169875B" w14:textId="77777777" w:rsidR="00B91668" w:rsidRPr="00B47FD4" w:rsidRDefault="00B91668" w:rsidP="009F7EB0">
      <w:pPr>
        <w:rPr>
          <w:rFonts w:eastAsia="PMingLiU"/>
        </w:rPr>
      </w:pPr>
    </w:p>
    <w:p w14:paraId="187A5EFD" w14:textId="77777777" w:rsidR="00BD554D" w:rsidRPr="00B47FD4" w:rsidRDefault="00000000" w:rsidP="009F7EB0">
      <w:pPr>
        <w:pStyle w:val="JuSigned"/>
        <w:tabs>
          <w:tab w:val="left" w:pos="5115"/>
        </w:tabs>
        <w:contextualSpacing/>
        <w:rPr>
          <w:rFonts w:eastAsia="PMingLiU"/>
        </w:rPr>
      </w:pPr>
      <w:r w:rsidRPr="00B47FD4">
        <w:tab/>
      </w:r>
    </w:p>
    <w:p w14:paraId="299ADAD7" w14:textId="77777777" w:rsidR="00787E12" w:rsidRPr="00B47FD4" w:rsidRDefault="00787E12" w:rsidP="009F7EB0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34CA3629" w14:textId="77777777" w:rsidR="00787E12" w:rsidRPr="00B47FD4" w:rsidRDefault="00787E12" w:rsidP="009F7EB0">
      <w:pPr>
        <w:pStyle w:val="JuParaLast"/>
        <w:sectPr w:rsidR="00787E12" w:rsidRPr="00B47FD4" w:rsidSect="007A72B4">
          <w:headerReference w:type="even" r:id="rId14"/>
          <w:headerReference w:type="default" r:id="rId15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4C8C8462" w14:textId="77777777" w:rsidR="00787E12" w:rsidRPr="00B47FD4" w:rsidRDefault="00000000" w:rsidP="009F7EB0">
      <w:pPr>
        <w:pStyle w:val="DecHTitle"/>
      </w:pPr>
      <w:r w:rsidRPr="00B47FD4">
        <w:lastRenderedPageBreak/>
        <w:t>ZAŁĄCZNIK</w:t>
      </w:r>
    </w:p>
    <w:p w14:paraId="45BF7400" w14:textId="77777777" w:rsidR="00787E12" w:rsidRPr="00B47FD4" w:rsidRDefault="00000000" w:rsidP="009F7EB0">
      <w:pPr>
        <w:pStyle w:val="DecHCase"/>
        <w:contextualSpacing/>
        <w:rPr>
          <w:b/>
          <w:i/>
          <w:color w:val="3E3E3E" w:themeColor="background2" w:themeShade="40"/>
        </w:rPr>
      </w:pPr>
      <w:r w:rsidRPr="00B47FD4">
        <w:rPr>
          <w:color w:val="3E3E3E" w:themeColor="background2" w:themeShade="40"/>
        </w:rPr>
        <w:t>W skardze podniesiono zarzuty na podstawie art. 6 ust. 1 i art. 13 Konwencji</w:t>
      </w:r>
    </w:p>
    <w:p w14:paraId="5CD1FA04" w14:textId="77777777" w:rsidR="00787E12" w:rsidRPr="00B47FD4" w:rsidRDefault="00000000" w:rsidP="009F7EB0">
      <w:pPr>
        <w:pStyle w:val="DecHCase"/>
        <w:contextualSpacing/>
        <w:rPr>
          <w:b/>
          <w:i/>
        </w:rPr>
      </w:pPr>
      <w:r w:rsidRPr="00B47FD4">
        <w:rPr>
          <w:color w:val="3E3E3E" w:themeColor="background2" w:themeShade="40"/>
        </w:rPr>
        <w:t>(przewlekłość postępowania karnego i brak skutecznego środka odwoławczego w prawie krajowym)</w:t>
      </w:r>
    </w:p>
    <w:tbl>
      <w:tblPr>
        <w:tblStyle w:val="ECHRListTable"/>
        <w:tblW w:w="12895" w:type="dxa"/>
        <w:tblLook w:val="0420" w:firstRow="1" w:lastRow="0" w:firstColumn="0" w:lastColumn="0" w:noHBand="0" w:noVBand="1"/>
      </w:tblPr>
      <w:tblGrid>
        <w:gridCol w:w="1413"/>
        <w:gridCol w:w="1417"/>
        <w:gridCol w:w="1150"/>
        <w:gridCol w:w="1150"/>
        <w:gridCol w:w="2000"/>
        <w:gridCol w:w="2504"/>
        <w:gridCol w:w="3261"/>
      </w:tblGrid>
      <w:tr w:rsidR="006F1EBD" w:rsidRPr="00B47FD4" w14:paraId="2B5CB8D8" w14:textId="77777777" w:rsidTr="006F1E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413" w:type="dxa"/>
          </w:tcPr>
          <w:p w14:paraId="7E71595F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bookmarkStart w:id="2" w:name="WECLListStart"/>
            <w:bookmarkEnd w:id="2"/>
            <w:r w:rsidRPr="00B47FD4">
              <w:rPr>
                <w:sz w:val="16"/>
              </w:rPr>
              <w:t>Nr skargi</w:t>
            </w:r>
          </w:p>
          <w:p w14:paraId="5D7E7D42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Data wpływu</w:t>
            </w:r>
          </w:p>
        </w:tc>
        <w:tc>
          <w:tcPr>
            <w:tcW w:w="1417" w:type="dxa"/>
          </w:tcPr>
          <w:p w14:paraId="58982E9B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Imię i nazwisko skarżącego</w:t>
            </w:r>
          </w:p>
          <w:p w14:paraId="6140E425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Rok urodzenia</w:t>
            </w:r>
          </w:p>
          <w:p w14:paraId="117D589B" w14:textId="77777777" w:rsidR="00BC55B8" w:rsidRPr="00B47FD4" w:rsidRDefault="00BC55B8" w:rsidP="009F7EB0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</w:tcPr>
          <w:p w14:paraId="10BCDAC6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Data rozpoczęcia postępowania</w:t>
            </w:r>
          </w:p>
        </w:tc>
        <w:tc>
          <w:tcPr>
            <w:tcW w:w="1096" w:type="dxa"/>
          </w:tcPr>
          <w:p w14:paraId="382194B4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Data zakończenia postępowania</w:t>
            </w:r>
          </w:p>
        </w:tc>
        <w:tc>
          <w:tcPr>
            <w:tcW w:w="0" w:type="auto"/>
          </w:tcPr>
          <w:p w14:paraId="7B528EC2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Łączny czas trwania</w:t>
            </w:r>
          </w:p>
          <w:p w14:paraId="293BB2B9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Instancja</w:t>
            </w:r>
          </w:p>
        </w:tc>
        <w:tc>
          <w:tcPr>
            <w:tcW w:w="2504" w:type="dxa"/>
          </w:tcPr>
          <w:p w14:paraId="72441BA0" w14:textId="1A9C720C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Orzeczenie krajowe w</w:t>
            </w:r>
            <w:r w:rsidR="00051197">
              <w:rPr>
                <w:sz w:val="16"/>
              </w:rPr>
              <w:t> </w:t>
            </w:r>
            <w:r w:rsidRPr="00B47FD4">
              <w:rPr>
                <w:sz w:val="16"/>
              </w:rPr>
              <w:t>przedmiocie skargi na podstawie ustawy z 2004 r.</w:t>
            </w:r>
          </w:p>
          <w:p w14:paraId="39E4C0B6" w14:textId="77777777" w:rsidR="007A28BF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Zadośćuczynienie krajowe</w:t>
            </w:r>
          </w:p>
          <w:p w14:paraId="17C1DC10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(w PLN)</w:t>
            </w:r>
          </w:p>
        </w:tc>
        <w:tc>
          <w:tcPr>
            <w:tcW w:w="3261" w:type="dxa"/>
          </w:tcPr>
          <w:p w14:paraId="03241268" w14:textId="7ECFE9AF" w:rsidR="007A28BF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Kwota przyznana z tytułu szkody majątkowej i niemajątkowej oraz koszty i</w:t>
            </w:r>
            <w:r w:rsidR="00051197">
              <w:rPr>
                <w:sz w:val="16"/>
              </w:rPr>
              <w:t> </w:t>
            </w:r>
            <w:r w:rsidRPr="00B47FD4">
              <w:rPr>
                <w:sz w:val="16"/>
              </w:rPr>
              <w:t>wydatki w przeliczeniu na skarżącego</w:t>
            </w:r>
          </w:p>
          <w:p w14:paraId="19E2C2ED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(w EUR)</w:t>
            </w:r>
            <w:r w:rsidRPr="00B47FD4">
              <w:rPr>
                <w:rStyle w:val="Odwoanieprzypisudolnego"/>
                <w:sz w:val="16"/>
              </w:rPr>
              <w:footnoteReference w:id="1"/>
            </w:r>
          </w:p>
        </w:tc>
      </w:tr>
      <w:tr w:rsidR="006F1EBD" w:rsidRPr="00B47FD4" w14:paraId="5DF47E54" w14:textId="77777777" w:rsidTr="006F1EBD">
        <w:tc>
          <w:tcPr>
            <w:tcW w:w="1413" w:type="dxa"/>
          </w:tcPr>
          <w:p w14:paraId="1F2C1089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26593/21</w:t>
            </w:r>
          </w:p>
          <w:p w14:paraId="788317FB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16.07.2021 r.</w:t>
            </w:r>
          </w:p>
        </w:tc>
        <w:tc>
          <w:tcPr>
            <w:tcW w:w="1417" w:type="dxa"/>
          </w:tcPr>
          <w:p w14:paraId="583BEB92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b/>
                <w:sz w:val="16"/>
              </w:rPr>
              <w:t>Grzegorz NOGAJSKI</w:t>
            </w:r>
          </w:p>
          <w:p w14:paraId="0DC935C1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 xml:space="preserve">1986 </w:t>
            </w:r>
          </w:p>
        </w:tc>
        <w:tc>
          <w:tcPr>
            <w:tcW w:w="1134" w:type="dxa"/>
          </w:tcPr>
          <w:p w14:paraId="7B1FEE4C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05.06.2017 r.</w:t>
            </w:r>
          </w:p>
          <w:p w14:paraId="1305DADD" w14:textId="77777777" w:rsidR="00BC55B8" w:rsidRPr="00B47FD4" w:rsidRDefault="00BC55B8" w:rsidP="009F7EB0">
            <w:pPr>
              <w:jc w:val="center"/>
              <w:rPr>
                <w:sz w:val="16"/>
              </w:rPr>
            </w:pPr>
          </w:p>
        </w:tc>
        <w:tc>
          <w:tcPr>
            <w:tcW w:w="1096" w:type="dxa"/>
          </w:tcPr>
          <w:p w14:paraId="62AA107F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31.12.2020 r.</w:t>
            </w:r>
          </w:p>
          <w:p w14:paraId="3147CB87" w14:textId="77777777" w:rsidR="00BC55B8" w:rsidRPr="00B47FD4" w:rsidRDefault="00BC55B8" w:rsidP="009F7EB0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2A57C965" w14:textId="77777777" w:rsidR="007A28BF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3 lata 6 miesięcy i 27 dni</w:t>
            </w:r>
          </w:p>
          <w:p w14:paraId="04D5E8E2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Jedna instancja</w:t>
            </w:r>
          </w:p>
          <w:p w14:paraId="1D53DAA1" w14:textId="77777777" w:rsidR="00BC55B8" w:rsidRPr="00B47FD4" w:rsidRDefault="00BC55B8" w:rsidP="009F7EB0">
            <w:pPr>
              <w:jc w:val="center"/>
              <w:rPr>
                <w:sz w:val="16"/>
              </w:rPr>
            </w:pPr>
          </w:p>
        </w:tc>
        <w:tc>
          <w:tcPr>
            <w:tcW w:w="2504" w:type="dxa"/>
          </w:tcPr>
          <w:p w14:paraId="34F712A1" w14:textId="0944C8AD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 xml:space="preserve">Sąd Okręgowy Warszawa-Praga, 11.03.2021 r., </w:t>
            </w:r>
            <w:r w:rsidR="00051197">
              <w:rPr>
                <w:sz w:val="16"/>
              </w:rPr>
              <w:t>s</w:t>
            </w:r>
            <w:r w:rsidRPr="00B47FD4">
              <w:rPr>
                <w:sz w:val="16"/>
              </w:rPr>
              <w:t xml:space="preserve">ygn. akt VI S 21/21, </w:t>
            </w:r>
            <w:r w:rsidR="00051197">
              <w:rPr>
                <w:sz w:val="16"/>
              </w:rPr>
              <w:br/>
            </w:r>
            <w:r w:rsidRPr="00B47FD4">
              <w:rPr>
                <w:sz w:val="16"/>
              </w:rPr>
              <w:t>2 000 PLN</w:t>
            </w:r>
          </w:p>
        </w:tc>
        <w:tc>
          <w:tcPr>
            <w:tcW w:w="3261" w:type="dxa"/>
          </w:tcPr>
          <w:p w14:paraId="0592708D" w14:textId="77777777" w:rsidR="00BC55B8" w:rsidRPr="00B47FD4" w:rsidRDefault="00000000" w:rsidP="009F7EB0">
            <w:pPr>
              <w:jc w:val="center"/>
              <w:rPr>
                <w:sz w:val="16"/>
              </w:rPr>
            </w:pPr>
            <w:r w:rsidRPr="00B47FD4">
              <w:rPr>
                <w:sz w:val="16"/>
              </w:rPr>
              <w:t>2 150</w:t>
            </w:r>
          </w:p>
        </w:tc>
      </w:tr>
    </w:tbl>
    <w:p w14:paraId="079F43B2" w14:textId="77777777" w:rsidR="00787E12" w:rsidRPr="00B47FD4" w:rsidRDefault="00787E12" w:rsidP="009F7EB0"/>
    <w:p w14:paraId="03F4BBB7" w14:textId="77777777" w:rsidR="00791456" w:rsidRPr="00B47FD4" w:rsidRDefault="00791456" w:rsidP="009F7EB0"/>
    <w:sectPr w:rsidR="00791456" w:rsidRPr="00B47FD4" w:rsidSect="00BD554D">
      <w:headerReference w:type="even" r:id="rId16"/>
      <w:headerReference w:type="default" r:id="rId17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BE087" w14:textId="77777777" w:rsidR="00925D3E" w:rsidRDefault="00925D3E">
      <w:r>
        <w:separator/>
      </w:r>
    </w:p>
  </w:endnote>
  <w:endnote w:type="continuationSeparator" w:id="0">
    <w:p w14:paraId="06DF5DCB" w14:textId="77777777" w:rsidR="00925D3E" w:rsidRDefault="00925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C79BF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23A62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B375E" w14:textId="77777777" w:rsidR="00EB6A2E" w:rsidRPr="00150BFA" w:rsidRDefault="00000000" w:rsidP="0020718E">
    <w:pPr>
      <w:jc w:val="center"/>
    </w:pPr>
    <w:r>
      <w:rPr>
        <w:noProof/>
      </w:rPr>
      <w:drawing>
        <wp:inline distT="0" distB="0" distL="0" distR="0" wp14:anchorId="50B48B8A" wp14:editId="395A1848">
          <wp:extent cx="771525" cy="619125"/>
          <wp:effectExtent l="0" t="0" r="9525" b="9525"/>
          <wp:docPr id="688708352" name="Obraz 688708352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68012C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3E40A" w14:textId="77777777" w:rsidR="00925D3E" w:rsidRPr="00611E1D" w:rsidRDefault="00925D3E" w:rsidP="00787E12">
      <w:r w:rsidRPr="00611E1D">
        <w:separator/>
      </w:r>
    </w:p>
  </w:footnote>
  <w:footnote w:type="continuationSeparator" w:id="0">
    <w:p w14:paraId="47FA921E" w14:textId="77777777" w:rsidR="00925D3E" w:rsidRPr="00611E1D" w:rsidRDefault="00925D3E" w:rsidP="00787E12">
      <w:r w:rsidRPr="00611E1D">
        <w:continuationSeparator/>
      </w:r>
    </w:p>
  </w:footnote>
  <w:footnote w:id="1">
    <w:p w14:paraId="50625241" w14:textId="77777777" w:rsidR="00BC55B8" w:rsidRPr="00401E74" w:rsidRDefault="00000000" w:rsidP="00EB6A2E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 należne od skarżącego.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4DA41" w14:textId="77777777" w:rsidR="00EB6A2E" w:rsidRDefault="00EB6A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257E8" w14:textId="77777777" w:rsidR="00EB6A2E" w:rsidRPr="00A45145" w:rsidRDefault="00000000" w:rsidP="00A45145">
    <w:pPr>
      <w:jc w:val="center"/>
    </w:pPr>
    <w:r>
      <w:rPr>
        <w:noProof/>
      </w:rPr>
      <w:drawing>
        <wp:inline distT="0" distB="0" distL="0" distR="0" wp14:anchorId="70D96D2F" wp14:editId="603E95BD">
          <wp:extent cx="2962275" cy="1219200"/>
          <wp:effectExtent l="0" t="0" r="9525" b="0"/>
          <wp:docPr id="185445953" name="Obraz 185445953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834231" w14:textId="77777777" w:rsidR="00787E12" w:rsidRPr="00611E1D" w:rsidRDefault="00787E12" w:rsidP="000318F7">
    <w:pPr>
      <w:jc w:val="center"/>
      <w:rPr>
        <w:sz w:val="4"/>
        <w:szCs w:val="4"/>
      </w:rPr>
    </w:pPr>
  </w:p>
  <w:p w14:paraId="5D8EFC49" w14:textId="77777777" w:rsidR="00787E12" w:rsidRPr="00611E1D" w:rsidRDefault="0078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D29A5" w14:textId="77777777" w:rsidR="00EB6A2E" w:rsidRPr="00A45145" w:rsidRDefault="00000000" w:rsidP="00A45145">
    <w:pPr>
      <w:jc w:val="center"/>
    </w:pPr>
    <w:r>
      <w:rPr>
        <w:noProof/>
      </w:rPr>
      <w:drawing>
        <wp:inline distT="0" distB="0" distL="0" distR="0" wp14:anchorId="5C0362A1" wp14:editId="08EB94B5">
          <wp:extent cx="2962275" cy="1219200"/>
          <wp:effectExtent l="0" t="0" r="9525" b="0"/>
          <wp:docPr id="548218288" name="Obraz 548218288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737674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92606" w14:textId="77777777" w:rsidR="00787E12" w:rsidRPr="005C3A15" w:rsidRDefault="00000000" w:rsidP="006372F5">
    <w:pPr>
      <w:pStyle w:val="JuHeader"/>
    </w:pPr>
    <w:r>
      <w:t>WYROK NOGAJSKI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583EF" w14:textId="77777777" w:rsidR="00787E12" w:rsidRPr="00DE7D3F" w:rsidRDefault="00000000" w:rsidP="00BD554D">
    <w:pPr>
      <w:pStyle w:val="JuHeader"/>
    </w:pPr>
    <w:r>
      <w:t>WYROK NOGAJSKI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7B189" w14:textId="77777777" w:rsidR="008B3FB7" w:rsidRPr="005C3A15" w:rsidRDefault="00000000" w:rsidP="00E026EC">
    <w:pPr>
      <w:pStyle w:val="JuHeader"/>
    </w:pPr>
    <w:r>
      <w:t>WYROK NOGAJSKI PRZECIWKO POLSCE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BC7D0" w14:textId="77777777" w:rsidR="008B3FB7" w:rsidRPr="00DE7D3F" w:rsidRDefault="00000000" w:rsidP="00E026EC">
    <w:pPr>
      <w:pStyle w:val="JuHeader"/>
    </w:pPr>
    <w:r>
      <w:t>WYROK NOGAJSKI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19CC1536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130E81D4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2DABD0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91505540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E28473EC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A3C07F1A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72F6BE3E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9485DEC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8422ACD2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860123512">
    <w:abstractNumId w:val="14"/>
  </w:num>
  <w:num w:numId="2" w16cid:durableId="1986398291">
    <w:abstractNumId w:val="12"/>
  </w:num>
  <w:num w:numId="3" w16cid:durableId="380398023">
    <w:abstractNumId w:val="11"/>
  </w:num>
  <w:num w:numId="4" w16cid:durableId="308755494">
    <w:abstractNumId w:val="15"/>
  </w:num>
  <w:num w:numId="5" w16cid:durableId="1829438635">
    <w:abstractNumId w:val="13"/>
  </w:num>
  <w:num w:numId="6" w16cid:durableId="1905487727">
    <w:abstractNumId w:val="16"/>
  </w:num>
  <w:num w:numId="7" w16cid:durableId="668171347">
    <w:abstractNumId w:val="15"/>
  </w:num>
  <w:num w:numId="8" w16cid:durableId="1050033341">
    <w:abstractNumId w:val="16"/>
  </w:num>
  <w:num w:numId="9" w16cid:durableId="276179599">
    <w:abstractNumId w:val="10"/>
  </w:num>
  <w:num w:numId="10" w16cid:durableId="1099718196">
    <w:abstractNumId w:val="9"/>
  </w:num>
  <w:num w:numId="11" w16cid:durableId="40978387">
    <w:abstractNumId w:val="17"/>
  </w:num>
  <w:num w:numId="12" w16cid:durableId="57048137">
    <w:abstractNumId w:val="7"/>
  </w:num>
  <w:num w:numId="13" w16cid:durableId="429207571">
    <w:abstractNumId w:val="6"/>
  </w:num>
  <w:num w:numId="14" w16cid:durableId="1043216608">
    <w:abstractNumId w:val="5"/>
  </w:num>
  <w:num w:numId="15" w16cid:durableId="1927642074">
    <w:abstractNumId w:val="4"/>
  </w:num>
  <w:num w:numId="16" w16cid:durableId="61873748">
    <w:abstractNumId w:val="8"/>
  </w:num>
  <w:num w:numId="17" w16cid:durableId="410784681">
    <w:abstractNumId w:val="3"/>
  </w:num>
  <w:num w:numId="18" w16cid:durableId="1693218080">
    <w:abstractNumId w:val="2"/>
  </w:num>
  <w:num w:numId="19" w16cid:durableId="1917932205">
    <w:abstractNumId w:val="1"/>
  </w:num>
  <w:num w:numId="20" w16cid:durableId="542401730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NBEMMDOC" w:val="0"/>
    <w:docVar w:name="Plural" w:val="0"/>
  </w:docVars>
  <w:rsids>
    <w:rsidRoot w:val="00EB6A2E"/>
    <w:rsid w:val="000069C6"/>
    <w:rsid w:val="000318F7"/>
    <w:rsid w:val="00051197"/>
    <w:rsid w:val="000F7132"/>
    <w:rsid w:val="0012717D"/>
    <w:rsid w:val="00135384"/>
    <w:rsid w:val="00150BFA"/>
    <w:rsid w:val="00173A91"/>
    <w:rsid w:val="00187925"/>
    <w:rsid w:val="001A15B6"/>
    <w:rsid w:val="001A3C4A"/>
    <w:rsid w:val="001B0C47"/>
    <w:rsid w:val="001D7CD3"/>
    <w:rsid w:val="001F3812"/>
    <w:rsid w:val="0020718E"/>
    <w:rsid w:val="0023364D"/>
    <w:rsid w:val="0027749B"/>
    <w:rsid w:val="0028147A"/>
    <w:rsid w:val="00283759"/>
    <w:rsid w:val="0029309A"/>
    <w:rsid w:val="002C5B23"/>
    <w:rsid w:val="00337785"/>
    <w:rsid w:val="00363C71"/>
    <w:rsid w:val="00401E74"/>
    <w:rsid w:val="0048584C"/>
    <w:rsid w:val="00497FF8"/>
    <w:rsid w:val="004A0853"/>
    <w:rsid w:val="004B0B4E"/>
    <w:rsid w:val="004D0EC7"/>
    <w:rsid w:val="004E479E"/>
    <w:rsid w:val="004E6F4E"/>
    <w:rsid w:val="00555918"/>
    <w:rsid w:val="00555A1D"/>
    <w:rsid w:val="00573202"/>
    <w:rsid w:val="00591AFD"/>
    <w:rsid w:val="005B102C"/>
    <w:rsid w:val="005B16C1"/>
    <w:rsid w:val="005C3A15"/>
    <w:rsid w:val="005C4445"/>
    <w:rsid w:val="005F60F9"/>
    <w:rsid w:val="00600E2F"/>
    <w:rsid w:val="00611E1D"/>
    <w:rsid w:val="006372F5"/>
    <w:rsid w:val="00656431"/>
    <w:rsid w:val="006B6653"/>
    <w:rsid w:val="006D324D"/>
    <w:rsid w:val="006D3909"/>
    <w:rsid w:val="006F1EBD"/>
    <w:rsid w:val="00743B2A"/>
    <w:rsid w:val="00787E12"/>
    <w:rsid w:val="00791456"/>
    <w:rsid w:val="007A28BF"/>
    <w:rsid w:val="007A72B4"/>
    <w:rsid w:val="007C2A6D"/>
    <w:rsid w:val="007F018A"/>
    <w:rsid w:val="007F5A72"/>
    <w:rsid w:val="008522DD"/>
    <w:rsid w:val="00860732"/>
    <w:rsid w:val="008705D2"/>
    <w:rsid w:val="00870F9B"/>
    <w:rsid w:val="00886602"/>
    <w:rsid w:val="008A0E2E"/>
    <w:rsid w:val="008B3FB7"/>
    <w:rsid w:val="008F034F"/>
    <w:rsid w:val="00925D3E"/>
    <w:rsid w:val="009522DD"/>
    <w:rsid w:val="009F7EB0"/>
    <w:rsid w:val="00A062B9"/>
    <w:rsid w:val="00A21F57"/>
    <w:rsid w:val="00A258DD"/>
    <w:rsid w:val="00A329E0"/>
    <w:rsid w:val="00A34A54"/>
    <w:rsid w:val="00A40E72"/>
    <w:rsid w:val="00A44415"/>
    <w:rsid w:val="00A45145"/>
    <w:rsid w:val="00A6104A"/>
    <w:rsid w:val="00A776D5"/>
    <w:rsid w:val="00A94CA7"/>
    <w:rsid w:val="00AC03BB"/>
    <w:rsid w:val="00AC66D0"/>
    <w:rsid w:val="00AD6558"/>
    <w:rsid w:val="00AF5544"/>
    <w:rsid w:val="00B216C1"/>
    <w:rsid w:val="00B47FD4"/>
    <w:rsid w:val="00B64153"/>
    <w:rsid w:val="00B91668"/>
    <w:rsid w:val="00B954A2"/>
    <w:rsid w:val="00BA7541"/>
    <w:rsid w:val="00BC55B8"/>
    <w:rsid w:val="00BD554D"/>
    <w:rsid w:val="00BE2415"/>
    <w:rsid w:val="00BF7A57"/>
    <w:rsid w:val="00C00B16"/>
    <w:rsid w:val="00C307B7"/>
    <w:rsid w:val="00C43D38"/>
    <w:rsid w:val="00C877A3"/>
    <w:rsid w:val="00C96D56"/>
    <w:rsid w:val="00CF644B"/>
    <w:rsid w:val="00D27BB4"/>
    <w:rsid w:val="00D527FB"/>
    <w:rsid w:val="00D9459F"/>
    <w:rsid w:val="00D94E13"/>
    <w:rsid w:val="00DC426B"/>
    <w:rsid w:val="00DE7D3F"/>
    <w:rsid w:val="00E026EC"/>
    <w:rsid w:val="00E26656"/>
    <w:rsid w:val="00E4739B"/>
    <w:rsid w:val="00E77B07"/>
    <w:rsid w:val="00EB45A3"/>
    <w:rsid w:val="00EB6A2E"/>
    <w:rsid w:val="00ED5755"/>
    <w:rsid w:val="00F27030"/>
    <w:rsid w:val="00F379BB"/>
    <w:rsid w:val="00F609C2"/>
    <w:rsid w:val="00F71FC9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6485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47F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983</Words>
  <Characters>5900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2023-07-20T10:56:00Z</dcterms:created>
  <dcterms:modified xsi:type="dcterms:W3CDTF">2023-07-21T12:46:00Z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1626100</vt:lpwstr>
  </property>
  <property fmtid="{D5CDD505-2E9C-101B-9397-08002B2CF9AE}" pid="3" name="cstLanguage">
    <vt:i4>2057</vt:i4>
  </property>
  <property fmtid="{D5CDD505-2E9C-101B-9397-08002B2CF9AE}" pid="4" name="RegisteredNo">
    <vt:lpwstr>26593/21</vt:lpwstr>
  </property>
</Properties>
</file>