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5.xml" ContentType="application/vnd.openxmlformats-officedocument.wordprocessingml.header+xml"/>
  <Override PartName="/word/footer5.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oter6.xml" ContentType="application/vnd.openxmlformats-officedocument.wordprocessingml.footer+xml"/>
  <Override PartName="/word/header3.xml" ContentType="application/vnd.openxmlformats-officedocument.wordprocessingml.header+xml"/>
  <Override PartName="/word/header2.xml" ContentType="application/vnd.openxmlformats-officedocument.wordprocessingml.header+xml"/>
  <Override PartName="/word/footnotes.xml" ContentType="application/vnd.openxmlformats-officedocument.wordprocessingml.footnotes+xml"/>
  <Override PartName="/word/footer3.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53519A" w:rsidR="00CF0380" w:rsidP="0053519A" w:rsidRDefault="00CF0380" w14:paraId="4D266EB4" w14:textId="77777777">
      <w:pPr>
        <w:jc w:val="center"/>
        <w:rPr>
          <w:rFonts w:ascii="Times New Roman" w:hAnsi="Times New Roman" w:cs="Times New Roman"/>
        </w:rPr>
      </w:pPr>
    </w:p>
    <w:p w:rsidRPr="0053519A" w:rsidR="007A4070" w:rsidP="0053519A" w:rsidRDefault="007A4070" w14:paraId="5671C9D4" w14:textId="77777777">
      <w:pPr>
        <w:jc w:val="center"/>
      </w:pPr>
    </w:p>
    <w:p w:rsidRPr="0053519A" w:rsidR="007A4070" w:rsidP="0053519A" w:rsidRDefault="00601F4E" w14:paraId="6658AD12" w14:textId="77777777">
      <w:pPr>
        <w:pStyle w:val="DecHCase"/>
      </w:pPr>
      <w:r w:rsidRPr="0053519A">
        <w:t>TROISIÈME SECTION</w:t>
      </w:r>
    </w:p>
    <w:p w:rsidRPr="0053519A" w:rsidR="007A4070" w:rsidP="0053519A" w:rsidRDefault="007A4070" w14:paraId="72F46A52" w14:textId="77777777">
      <w:pPr>
        <w:pStyle w:val="JuTitle"/>
      </w:pPr>
      <w:r w:rsidRPr="0053519A">
        <w:t xml:space="preserve">AFFAIRE </w:t>
      </w:r>
      <w:r w:rsidRPr="0053519A" w:rsidR="00601F4E">
        <w:t>LOQUIFER c. BELGIQUE</w:t>
      </w:r>
    </w:p>
    <w:p w:rsidRPr="0053519A" w:rsidR="00297752" w:rsidP="0053519A" w:rsidRDefault="007A4070" w14:paraId="259FC360" w14:textId="77777777">
      <w:pPr>
        <w:pStyle w:val="ECHRCoverTitle4"/>
      </w:pPr>
      <w:r w:rsidRPr="0053519A">
        <w:t>(</w:t>
      </w:r>
      <w:r w:rsidRPr="0053519A" w:rsidR="00297752">
        <w:t>Requête</w:t>
      </w:r>
      <w:r w:rsidRPr="0053519A" w:rsidR="007E0753">
        <w:t>s</w:t>
      </w:r>
      <w:r w:rsidRPr="0053519A" w:rsidR="00297752">
        <w:t xml:space="preserve"> n</w:t>
      </w:r>
      <w:r w:rsidRPr="0053519A" w:rsidR="00297752">
        <w:rPr>
          <w:vertAlign w:val="superscript"/>
        </w:rPr>
        <w:t>o</w:t>
      </w:r>
      <w:r w:rsidRPr="0053519A" w:rsidR="007E0753">
        <w:rPr>
          <w:vertAlign w:val="superscript"/>
        </w:rPr>
        <w:t>s</w:t>
      </w:r>
      <w:r w:rsidRPr="0053519A" w:rsidR="00297752">
        <w:t xml:space="preserve"> 79089/13 et 2 autres –</w:t>
      </w:r>
    </w:p>
    <w:p w:rsidRPr="0053519A" w:rsidR="00297752" w:rsidP="0053519A" w:rsidRDefault="00297752" w14:paraId="7D170FD0" w14:textId="77777777">
      <w:pPr>
        <w:pStyle w:val="ECHRCoverTitle4"/>
      </w:pPr>
      <w:proofErr w:type="gramStart"/>
      <w:r w:rsidRPr="0053519A">
        <w:t>voir</w:t>
      </w:r>
      <w:proofErr w:type="gramEnd"/>
      <w:r w:rsidRPr="0053519A">
        <w:t xml:space="preserve"> liste en annexe)</w:t>
      </w:r>
    </w:p>
    <w:p w:rsidRPr="0053519A" w:rsidR="007A4070" w:rsidP="0053519A" w:rsidRDefault="007A4070" w14:paraId="77620B72" w14:textId="77777777">
      <w:pPr>
        <w:pStyle w:val="DecHCase"/>
      </w:pPr>
    </w:p>
    <w:p w:rsidRPr="0053519A" w:rsidR="00CF0380" w:rsidP="0053519A" w:rsidRDefault="007A4070" w14:paraId="075DFCA5" w14:textId="77777777">
      <w:pPr>
        <w:pStyle w:val="DecHCase"/>
      </w:pPr>
      <w:r w:rsidRPr="0053519A">
        <w:t>ARRÊT</w:t>
      </w:r>
      <w:r w:rsidRPr="0053519A">
        <w:br/>
      </w:r>
    </w:p>
    <w:p w:rsidRPr="0053519A" w:rsidR="00CF0380" w:rsidP="0053519A" w:rsidRDefault="00CF0380" w14:paraId="3BB1EC88" w14:textId="77777777">
      <w:pPr>
        <w:pStyle w:val="DecHCase"/>
        <w:pBdr>
          <w:top w:val="single" w:color="auto" w:sz="4" w:space="1"/>
          <w:left w:val="single" w:color="auto" w:sz="4" w:space="4"/>
          <w:bottom w:val="single" w:color="auto" w:sz="4" w:space="1"/>
          <w:right w:val="single" w:color="auto" w:sz="4" w:space="4"/>
        </w:pBdr>
        <w:jc w:val="both"/>
      </w:pPr>
      <w:r w:rsidRPr="0053519A">
        <w:t xml:space="preserve">Art 6 (civil) • Accès à un tribunal </w:t>
      </w:r>
      <w:bookmarkStart w:name="_Hlk75184316" w:id="0"/>
      <w:r w:rsidRPr="0053519A">
        <w:t xml:space="preserve">• </w:t>
      </w:r>
      <w:bookmarkEnd w:id="0"/>
      <w:r w:rsidRPr="0053519A">
        <w:t>Absence de recours judiciaire pour contrôler la suspension par le Conseil supérieur de la Justice d</w:t>
      </w:r>
      <w:r w:rsidRPr="0053519A" w:rsidR="0053519A">
        <w:t>’</w:t>
      </w:r>
      <w:r w:rsidRPr="0053519A">
        <w:t>un de ses membres non-magistrat et obtenir l</w:t>
      </w:r>
      <w:r w:rsidRPr="0053519A" w:rsidR="0053519A">
        <w:t>’</w:t>
      </w:r>
      <w:r w:rsidRPr="0053519A">
        <w:t>annulation ou la suspension de l</w:t>
      </w:r>
      <w:r w:rsidRPr="0053519A" w:rsidR="0053519A">
        <w:t>’</w:t>
      </w:r>
      <w:r w:rsidRPr="0053519A">
        <w:t>exécution de cette décision • Art 6 § 1 applicable au regard des critères de l</w:t>
      </w:r>
      <w:r w:rsidRPr="0053519A" w:rsidR="0053519A">
        <w:t>’</w:t>
      </w:r>
      <w:r w:rsidRPr="0053519A">
        <w:t xml:space="preserve">arrêt </w:t>
      </w:r>
      <w:proofErr w:type="spellStart"/>
      <w:r w:rsidRPr="0053519A">
        <w:rPr>
          <w:rStyle w:val="Italic"/>
        </w:rPr>
        <w:t>Vilho</w:t>
      </w:r>
      <w:proofErr w:type="spellEnd"/>
      <w:r w:rsidRPr="0053519A">
        <w:rPr>
          <w:rStyle w:val="Italic"/>
        </w:rPr>
        <w:t xml:space="preserve"> Eskelinen et autres c. Finlande</w:t>
      </w:r>
      <w:r w:rsidRPr="0053519A">
        <w:t xml:space="preserve"> [GC]</w:t>
      </w:r>
    </w:p>
    <w:p w:rsidRPr="0053519A" w:rsidR="007A4070" w:rsidP="0053519A" w:rsidRDefault="007A4070" w14:paraId="303B3BB1" w14:textId="77777777">
      <w:pPr>
        <w:pStyle w:val="DecHCase"/>
      </w:pPr>
    </w:p>
    <w:p w:rsidRPr="0053519A" w:rsidR="007A4070" w:rsidP="0053519A" w:rsidRDefault="007A4070" w14:paraId="6B6DCFD0" w14:textId="77777777">
      <w:pPr>
        <w:pStyle w:val="DecHCase"/>
      </w:pPr>
      <w:r w:rsidRPr="0053519A">
        <w:t>STRASBOURG</w:t>
      </w:r>
    </w:p>
    <w:p w:rsidR="007A4070" w:rsidP="0053519A" w:rsidRDefault="00601F4E" w14:paraId="6ECA4895" w14:textId="174B90AB">
      <w:pPr>
        <w:pStyle w:val="DecHCase"/>
      </w:pPr>
      <w:r w:rsidRPr="0053519A">
        <w:t>20 juillet 2021</w:t>
      </w:r>
    </w:p>
    <w:p w:rsidR="0019718B" w:rsidP="0019718B" w:rsidRDefault="0019718B" w14:paraId="5ADC59D9" w14:textId="77777777">
      <w:pPr>
        <w:pStyle w:val="jucase0"/>
        <w:ind w:firstLine="0"/>
        <w:jc w:val="center"/>
        <w:rPr>
          <w:color w:val="FF0000"/>
          <w:sz w:val="28"/>
          <w:szCs w:val="28"/>
          <w:u w:val="single"/>
          <w:lang w:val="fr-FR"/>
        </w:rPr>
      </w:pPr>
      <w:bookmarkStart w:name="_Hlk59705989" w:id="1"/>
      <w:r w:rsidRPr="00261F46">
        <w:rPr>
          <w:color w:val="FF0000"/>
          <w:sz w:val="28"/>
          <w:szCs w:val="28"/>
          <w:u w:val="single"/>
          <w:lang w:val="fr-FR"/>
        </w:rPr>
        <w:t>DÉFINITIF</w:t>
      </w:r>
    </w:p>
    <w:p w:rsidRPr="006D760C" w:rsidR="0019718B" w:rsidP="0019718B" w:rsidRDefault="0019718B" w14:paraId="526FCBB6" w14:textId="77777777">
      <w:pPr>
        <w:pStyle w:val="jucase0"/>
        <w:ind w:firstLine="0"/>
        <w:jc w:val="center"/>
        <w:rPr>
          <w:b w:val="0"/>
          <w:bCs w:val="0"/>
          <w:color w:val="FF0000"/>
          <w:u w:val="single"/>
          <w:lang w:val="fr-FR"/>
        </w:rPr>
      </w:pPr>
    </w:p>
    <w:p w:rsidRPr="00DA5062" w:rsidR="0019718B" w:rsidP="0019718B" w:rsidRDefault="0019718B" w14:paraId="25E6F9A2" w14:textId="77777777">
      <w:pPr>
        <w:pStyle w:val="jucase0"/>
        <w:ind w:firstLine="0"/>
        <w:jc w:val="center"/>
        <w:rPr>
          <w:b w:val="0"/>
          <w:color w:val="FF0000"/>
          <w:sz w:val="28"/>
          <w:szCs w:val="28"/>
          <w:lang w:val="fr-FR"/>
        </w:rPr>
      </w:pPr>
      <w:r>
        <w:rPr>
          <w:b w:val="0"/>
          <w:color w:val="FF0000"/>
          <w:sz w:val="28"/>
          <w:szCs w:val="28"/>
          <w:lang w:val="fr-FR"/>
        </w:rPr>
        <w:t>20/10/2021</w:t>
      </w:r>
    </w:p>
    <w:p w:rsidRPr="00261F46" w:rsidR="0019718B" w:rsidP="0019718B" w:rsidRDefault="0019718B" w14:paraId="290380A3" w14:textId="77777777">
      <w:pPr>
        <w:pStyle w:val="jupara0"/>
        <w:ind w:firstLine="0"/>
        <w:jc w:val="center"/>
        <w:rPr>
          <w:u w:val="single"/>
          <w:lang w:val="fr-FR"/>
        </w:rPr>
      </w:pPr>
    </w:p>
    <w:p w:rsidRPr="0019718B" w:rsidR="00516B59" w:rsidP="0019718B" w:rsidRDefault="0019718B" w14:paraId="614F7D3B" w14:textId="286DEDDF">
      <w:pPr>
        <w:pStyle w:val="JuPara"/>
      </w:pPr>
      <w:r w:rsidRPr="00261F46">
        <w:rPr>
          <w:i/>
          <w:iCs/>
          <w:sz w:val="22"/>
          <w:szCs w:val="22"/>
        </w:rPr>
        <w:t xml:space="preserve">Cet arrêt est devenu définitif en vertu de l’article 44 § 2 de la Convention. </w:t>
      </w:r>
      <w:r w:rsidRPr="00E361A6">
        <w:rPr>
          <w:i/>
          <w:iCs/>
          <w:sz w:val="22"/>
          <w:szCs w:val="22"/>
        </w:rPr>
        <w:t>Il peut subir des retouches de forme.</w:t>
      </w:r>
      <w:bookmarkEnd w:id="1"/>
    </w:p>
    <w:p w:rsidRPr="0053519A" w:rsidR="00516B59" w:rsidP="0053519A" w:rsidRDefault="00516B59" w14:paraId="41841913" w14:textId="77777777">
      <w:pPr>
        <w:ind w:left="720"/>
        <w:rPr>
          <w:rFonts w:ascii="Times New Roman" w:hAnsi="Times New Roman" w:cs="Times New Roman"/>
          <w:sz w:val="22"/>
        </w:rPr>
        <w:sectPr w:rsidRPr="0053519A" w:rsidR="00516B59" w:rsidSect="00AF0C0F">
          <w:headerReference w:type="default" r:id="rId8"/>
          <w:footerReference w:type="even" r:id="rId9"/>
          <w:footerReference w:type="default" r:id="rId10"/>
          <w:headerReference w:type="first" r:id="rId11"/>
          <w:footerReference w:type="first" r:id="rId12"/>
          <w:footnotePr>
            <w:numRestart w:val="eachSect"/>
          </w:footnotePr>
          <w:endnotePr>
            <w:numFmt w:val="decimal"/>
          </w:endnotePr>
          <w:type w:val="oddPage"/>
          <w:pgSz w:w="11906" w:h="16838" w:code="9"/>
          <w:pgMar w:top="2274" w:right="2274" w:bottom="2274" w:left="2274" w:header="1701" w:footer="720" w:gutter="0"/>
          <w:pgNumType w:start="1"/>
          <w:cols w:space="720"/>
          <w:noEndnote/>
        </w:sectPr>
      </w:pPr>
    </w:p>
    <w:p w:rsidRPr="0053519A" w:rsidR="004344E6" w:rsidP="0053519A" w:rsidRDefault="004344E6" w14:paraId="03C2C32D" w14:textId="77777777">
      <w:pPr>
        <w:pStyle w:val="JuCase"/>
      </w:pPr>
      <w:r w:rsidRPr="0053519A">
        <w:t>En l</w:t>
      </w:r>
      <w:r w:rsidRPr="0053519A" w:rsidR="0053519A">
        <w:t>’</w:t>
      </w:r>
      <w:r w:rsidRPr="0053519A">
        <w:t xml:space="preserve">affaire </w:t>
      </w:r>
      <w:proofErr w:type="spellStart"/>
      <w:r w:rsidRPr="0053519A" w:rsidR="00601F4E">
        <w:t>Loquifer</w:t>
      </w:r>
      <w:proofErr w:type="spellEnd"/>
      <w:r w:rsidRPr="0053519A" w:rsidR="00601F4E">
        <w:t xml:space="preserve"> c. Belgique</w:t>
      </w:r>
      <w:r w:rsidRPr="0053519A">
        <w:t>,</w:t>
      </w:r>
    </w:p>
    <w:p w:rsidRPr="0053519A" w:rsidR="004344E6" w:rsidP="0053519A" w:rsidRDefault="004344E6" w14:paraId="61C63D95" w14:textId="77777777">
      <w:pPr>
        <w:pStyle w:val="JuPara"/>
      </w:pPr>
      <w:r w:rsidRPr="0053519A">
        <w:t>La Cour européenne des droits de l</w:t>
      </w:r>
      <w:r w:rsidRPr="0053519A" w:rsidR="0053519A">
        <w:t>’</w:t>
      </w:r>
      <w:r w:rsidRPr="0053519A">
        <w:t>homme (</w:t>
      </w:r>
      <w:r w:rsidRPr="0053519A" w:rsidR="00601F4E">
        <w:t>troisième section</w:t>
      </w:r>
      <w:r w:rsidRPr="0053519A">
        <w:t xml:space="preserve">), siégeant en </w:t>
      </w:r>
      <w:r w:rsidRPr="0053519A" w:rsidR="00601F4E">
        <w:rPr>
          <w:color w:val="000000"/>
        </w:rPr>
        <w:t>une</w:t>
      </w:r>
      <w:r w:rsidRPr="0053519A" w:rsidR="00601F4E">
        <w:t xml:space="preserve"> Chambre composée</w:t>
      </w:r>
      <w:r w:rsidRPr="0053519A">
        <w:t xml:space="preserve"> de :</w:t>
      </w:r>
    </w:p>
    <w:p w:rsidRPr="0053519A" w:rsidR="004344E6" w:rsidP="0053519A" w:rsidRDefault="003C17E8" w14:paraId="0D356BBA" w14:textId="77777777">
      <w:pPr>
        <w:pStyle w:val="JuJudges"/>
      </w:pPr>
      <w:r w:rsidRPr="0053519A">
        <w:tab/>
      </w:r>
      <w:proofErr w:type="spellStart"/>
      <w:r w:rsidRPr="0053519A">
        <w:t>Georgios</w:t>
      </w:r>
      <w:proofErr w:type="spellEnd"/>
      <w:r w:rsidRPr="0053519A">
        <w:t xml:space="preserve"> A. </w:t>
      </w:r>
      <w:proofErr w:type="spellStart"/>
      <w:r w:rsidRPr="0053519A">
        <w:t>Serghides</w:t>
      </w:r>
      <w:proofErr w:type="spellEnd"/>
      <w:r w:rsidRPr="0053519A">
        <w:t>,</w:t>
      </w:r>
      <w:r w:rsidRPr="0053519A">
        <w:rPr>
          <w:i/>
        </w:rPr>
        <w:t xml:space="preserve"> président,</w:t>
      </w:r>
      <w:r w:rsidRPr="0053519A">
        <w:rPr>
          <w:i/>
        </w:rPr>
        <w:br/>
      </w:r>
      <w:r w:rsidRPr="0053519A">
        <w:tab/>
        <w:t>Paul Lemmens,</w:t>
      </w:r>
      <w:r w:rsidRPr="0053519A">
        <w:rPr>
          <w:i/>
        </w:rPr>
        <w:br/>
      </w:r>
      <w:r w:rsidRPr="0053519A">
        <w:tab/>
        <w:t xml:space="preserve">Georges </w:t>
      </w:r>
      <w:proofErr w:type="spellStart"/>
      <w:r w:rsidRPr="0053519A">
        <w:t>Ravarani</w:t>
      </w:r>
      <w:proofErr w:type="spellEnd"/>
      <w:r w:rsidRPr="0053519A">
        <w:t>,</w:t>
      </w:r>
      <w:r w:rsidRPr="0053519A">
        <w:rPr>
          <w:i/>
        </w:rPr>
        <w:br/>
      </w:r>
      <w:r w:rsidRPr="0053519A">
        <w:tab/>
        <w:t xml:space="preserve">María </w:t>
      </w:r>
      <w:proofErr w:type="spellStart"/>
      <w:r w:rsidRPr="0053519A">
        <w:t>Elósegui</w:t>
      </w:r>
      <w:proofErr w:type="spellEnd"/>
      <w:r w:rsidRPr="0053519A">
        <w:t>,</w:t>
      </w:r>
      <w:r w:rsidRPr="0053519A">
        <w:rPr>
          <w:i/>
        </w:rPr>
        <w:br/>
      </w:r>
      <w:r w:rsidRPr="0053519A">
        <w:tab/>
        <w:t>Darian Pavli,</w:t>
      </w:r>
      <w:r w:rsidRPr="0053519A">
        <w:rPr>
          <w:i/>
        </w:rPr>
        <w:br/>
      </w:r>
      <w:r w:rsidRPr="0053519A">
        <w:tab/>
        <w:t>Peeter Roosma,</w:t>
      </w:r>
      <w:r w:rsidRPr="0053519A">
        <w:rPr>
          <w:i/>
        </w:rPr>
        <w:br/>
      </w:r>
      <w:r w:rsidRPr="0053519A">
        <w:tab/>
        <w:t xml:space="preserve">Andreas </w:t>
      </w:r>
      <w:proofErr w:type="spellStart"/>
      <w:r w:rsidRPr="0053519A">
        <w:t>Zünd</w:t>
      </w:r>
      <w:proofErr w:type="spellEnd"/>
      <w:r w:rsidRPr="0053519A">
        <w:t>,</w:t>
      </w:r>
      <w:r w:rsidRPr="0053519A">
        <w:rPr>
          <w:i/>
        </w:rPr>
        <w:t xml:space="preserve"> juges,</w:t>
      </w:r>
      <w:r w:rsidRPr="0053519A" w:rsidR="004344E6">
        <w:br/>
        <w:t xml:space="preserve">et de </w:t>
      </w:r>
      <w:r w:rsidRPr="0053519A" w:rsidR="00601F4E">
        <w:t xml:space="preserve">Milan </w:t>
      </w:r>
      <w:proofErr w:type="spellStart"/>
      <w:r w:rsidRPr="0053519A" w:rsidR="00601F4E">
        <w:t>Blaško</w:t>
      </w:r>
      <w:proofErr w:type="spellEnd"/>
      <w:r w:rsidRPr="0053519A" w:rsidR="004344E6">
        <w:t xml:space="preserve">, </w:t>
      </w:r>
      <w:r w:rsidRPr="0053519A" w:rsidR="00601F4E">
        <w:rPr>
          <w:i/>
        </w:rPr>
        <w:t>greffier</w:t>
      </w:r>
      <w:r w:rsidRPr="0053519A" w:rsidR="00601F4E">
        <w:rPr>
          <w:iCs/>
        </w:rPr>
        <w:t xml:space="preserve"> </w:t>
      </w:r>
      <w:r w:rsidRPr="0053519A" w:rsidR="00601F4E">
        <w:rPr>
          <w:i/>
          <w:iCs/>
        </w:rPr>
        <w:t>d</w:t>
      </w:r>
      <w:r w:rsidRPr="0053519A" w:rsidR="00601F4E">
        <w:rPr>
          <w:i/>
        </w:rPr>
        <w:t>e section</w:t>
      </w:r>
      <w:r w:rsidRPr="0053519A" w:rsidR="004344E6">
        <w:t>,</w:t>
      </w:r>
    </w:p>
    <w:p w:rsidRPr="0053519A" w:rsidR="00601F4E" w:rsidP="0053519A" w:rsidRDefault="00601F4E" w14:paraId="557275F1" w14:textId="77777777">
      <w:pPr>
        <w:pStyle w:val="JuPara"/>
      </w:pPr>
      <w:r w:rsidRPr="0053519A">
        <w:t>Vu :</w:t>
      </w:r>
    </w:p>
    <w:p w:rsidRPr="0053519A" w:rsidR="00601F4E" w:rsidP="0053519A" w:rsidRDefault="00601F4E" w14:paraId="2323814F" w14:textId="77777777">
      <w:pPr>
        <w:pStyle w:val="JuPara"/>
      </w:pPr>
      <w:proofErr w:type="gramStart"/>
      <w:r w:rsidRPr="0053519A">
        <w:t>les</w:t>
      </w:r>
      <w:proofErr w:type="gramEnd"/>
      <w:r w:rsidRPr="0053519A">
        <w:t xml:space="preserve"> requêtes (n</w:t>
      </w:r>
      <w:r w:rsidRPr="0053519A">
        <w:rPr>
          <w:vertAlign w:val="superscript"/>
        </w:rPr>
        <w:t>os</w:t>
      </w:r>
      <w:r w:rsidRPr="0053519A">
        <w:t xml:space="preserve"> 79089/13, 13805/14 et </w:t>
      </w:r>
      <w:r w:rsidRPr="0053519A">
        <w:rPr>
          <w:color w:val="000000"/>
        </w:rPr>
        <w:t>54534/14</w:t>
      </w:r>
      <w:r w:rsidRPr="0053519A">
        <w:t>) dirigées contre le Royaume de Belgique et dont une ressortissante de cet État, M</w:t>
      </w:r>
      <w:r w:rsidRPr="0053519A">
        <w:rPr>
          <w:vertAlign w:val="superscript"/>
        </w:rPr>
        <w:t>me</w:t>
      </w:r>
      <w:r w:rsidRPr="0053519A">
        <w:t xml:space="preserve"> Michèle </w:t>
      </w:r>
      <w:proofErr w:type="spellStart"/>
      <w:r w:rsidRPr="0053519A">
        <w:t>Loquifer</w:t>
      </w:r>
      <w:proofErr w:type="spellEnd"/>
      <w:r w:rsidRPr="0053519A">
        <w:t xml:space="preserve"> (« la requérante ») a </w:t>
      </w:r>
      <w:bookmarkStart w:name="_Hlk36124016" w:id="2"/>
      <w:r w:rsidRPr="0053519A">
        <w:t>saisi la Cour en vertu de l</w:t>
      </w:r>
      <w:r w:rsidRPr="0053519A" w:rsidR="0053519A">
        <w:t>’</w:t>
      </w:r>
      <w:r w:rsidRPr="0053519A">
        <w:t>article 34 de la Convention de sauvegarde des droits de l</w:t>
      </w:r>
      <w:r w:rsidRPr="0053519A" w:rsidR="0053519A">
        <w:t>’</w:t>
      </w:r>
      <w:r w:rsidRPr="0053519A">
        <w:t>homme et des libertés fondamentales (« la Convention »)</w:t>
      </w:r>
      <w:bookmarkEnd w:id="2"/>
      <w:r w:rsidRPr="0053519A">
        <w:t xml:space="preserve"> aux dates indiquées dans le tableau joint en annexe,</w:t>
      </w:r>
    </w:p>
    <w:p w:rsidRPr="0053519A" w:rsidR="00601F4E" w:rsidP="0053519A" w:rsidRDefault="00601F4E" w14:paraId="2424769D" w14:textId="77777777">
      <w:pPr>
        <w:pStyle w:val="JuPara"/>
      </w:pPr>
      <w:proofErr w:type="gramStart"/>
      <w:r w:rsidRPr="0053519A">
        <w:t>la</w:t>
      </w:r>
      <w:proofErr w:type="gramEnd"/>
      <w:r w:rsidRPr="0053519A">
        <w:t xml:space="preserve"> décision de porter à la connaissance du gouvernement belge (le « Gouvernement ») les griefs tirés de l</w:t>
      </w:r>
      <w:r w:rsidRPr="0053519A" w:rsidR="0053519A">
        <w:t>’</w:t>
      </w:r>
      <w:r w:rsidRPr="0053519A">
        <w:t>article 6 de la Convention, et de déclarer irrecevables les requêtes pour le surplus,</w:t>
      </w:r>
    </w:p>
    <w:p w:rsidRPr="0053519A" w:rsidR="00601F4E" w:rsidP="0053519A" w:rsidRDefault="00601F4E" w14:paraId="25E72061" w14:textId="77777777">
      <w:pPr>
        <w:pStyle w:val="JuPara"/>
      </w:pPr>
      <w:proofErr w:type="gramStart"/>
      <w:r w:rsidRPr="0053519A">
        <w:t>les</w:t>
      </w:r>
      <w:proofErr w:type="gramEnd"/>
      <w:r w:rsidRPr="0053519A">
        <w:t xml:space="preserve"> observations des parties,</w:t>
      </w:r>
    </w:p>
    <w:p w:rsidRPr="0053519A" w:rsidR="004344E6" w:rsidP="0053519A" w:rsidRDefault="004344E6" w14:paraId="2ED1FDAF" w14:textId="77777777">
      <w:pPr>
        <w:pStyle w:val="JuPara"/>
      </w:pPr>
      <w:r w:rsidRPr="0053519A">
        <w:t xml:space="preserve">Après en avoir délibéré en chambre du conseil le </w:t>
      </w:r>
      <w:r w:rsidRPr="0053519A" w:rsidR="00601F4E">
        <w:t>15 juin 2021</w:t>
      </w:r>
      <w:r w:rsidRPr="0053519A">
        <w:t>,</w:t>
      </w:r>
    </w:p>
    <w:p w:rsidRPr="0053519A" w:rsidR="00876F03" w:rsidP="0053519A" w:rsidRDefault="004344E6" w14:paraId="48FDF140" w14:textId="77777777">
      <w:pPr>
        <w:pStyle w:val="JuPara"/>
      </w:pPr>
      <w:r w:rsidRPr="0053519A">
        <w:t>Rend l</w:t>
      </w:r>
      <w:r w:rsidRPr="0053519A" w:rsidR="0053519A">
        <w:t>’</w:t>
      </w:r>
      <w:r w:rsidRPr="0053519A">
        <w:t>arrêt que voici</w:t>
      </w:r>
      <w:r w:rsidRPr="0053519A" w:rsidR="00876F03">
        <w:t>, adopté à cette date :</w:t>
      </w:r>
    </w:p>
    <w:p w:rsidRPr="0053519A" w:rsidR="00601F4E" w:rsidP="0053519A" w:rsidRDefault="00601F4E" w14:paraId="511CF373" w14:textId="77777777">
      <w:pPr>
        <w:pStyle w:val="JuHHead"/>
        <w:numPr>
          <w:ilvl w:val="0"/>
          <w:numId w:val="1"/>
        </w:numPr>
      </w:pPr>
      <w:r w:rsidRPr="0053519A">
        <w:t>INTRODUCTION</w:t>
      </w:r>
    </w:p>
    <w:p w:rsidRPr="0053519A" w:rsidR="00601F4E" w:rsidP="0053519A" w:rsidRDefault="00601F4E" w14:paraId="5EB45C64" w14:textId="77777777">
      <w:pPr>
        <w:pStyle w:val="JuPara"/>
      </w:pPr>
      <w:r w:rsidRPr="0053519A">
        <w:fldChar w:fldCharType="begin"/>
      </w:r>
      <w:r w:rsidRPr="0053519A">
        <w:instrText xml:space="preserve"> SEQ level0 \*arabic </w:instrText>
      </w:r>
      <w:r w:rsidRPr="0053519A">
        <w:fldChar w:fldCharType="separate"/>
      </w:r>
      <w:r w:rsidRPr="0053519A" w:rsidR="0053519A">
        <w:rPr>
          <w:noProof/>
        </w:rPr>
        <w:t>1</w:t>
      </w:r>
      <w:r w:rsidRPr="0053519A">
        <w:fldChar w:fldCharType="end"/>
      </w:r>
      <w:r w:rsidRPr="0053519A">
        <w:t>.  L</w:t>
      </w:r>
      <w:r w:rsidRPr="0053519A" w:rsidR="0053519A">
        <w:t>’</w:t>
      </w:r>
      <w:r w:rsidRPr="0053519A">
        <w:t>affaire concerne l</w:t>
      </w:r>
      <w:r w:rsidRPr="0053519A" w:rsidR="0053519A">
        <w:t>’</w:t>
      </w:r>
      <w:r w:rsidRPr="0053519A">
        <w:t>absence alléguée de recours pour contester les décisions de suspension de toutes ses fonctions prises à l</w:t>
      </w:r>
      <w:r w:rsidRPr="0053519A" w:rsidR="0053519A">
        <w:t>’</w:t>
      </w:r>
      <w:r w:rsidRPr="0053519A">
        <w:t>encontre de la requérante, membre du Conseil supérieur de la Justice (« CSJ »), par ce même organe. Invoquant l</w:t>
      </w:r>
      <w:r w:rsidRPr="0053519A" w:rsidR="0053519A">
        <w:t>’</w:t>
      </w:r>
      <w:r w:rsidRPr="0053519A">
        <w:t>article 6 de la Convention, la requérante se plaint également de l</w:t>
      </w:r>
      <w:r w:rsidRPr="0053519A" w:rsidR="0053519A">
        <w:t>’</w:t>
      </w:r>
      <w:r w:rsidRPr="0053519A">
        <w:t>absence d</w:t>
      </w:r>
      <w:r w:rsidRPr="0053519A" w:rsidR="0053519A">
        <w:t>’</w:t>
      </w:r>
      <w:r w:rsidRPr="0053519A">
        <w:t>audience publique et du refus de lui donner accès aux procès-verbaux de l</w:t>
      </w:r>
      <w:r w:rsidRPr="0053519A" w:rsidR="0053519A">
        <w:t>’</w:t>
      </w:r>
      <w:r w:rsidRPr="0053519A">
        <w:t>assemblée générale du CSJ.</w:t>
      </w:r>
    </w:p>
    <w:p w:rsidRPr="0053519A" w:rsidR="00601F4E" w:rsidP="0053519A" w:rsidRDefault="00601F4E" w14:paraId="48494B75" w14:textId="77777777">
      <w:pPr>
        <w:pStyle w:val="JuHHead"/>
        <w:numPr>
          <w:ilvl w:val="0"/>
          <w:numId w:val="1"/>
        </w:numPr>
      </w:pPr>
      <w:bookmarkStart w:name="_Hlk36126677" w:id="3"/>
      <w:r w:rsidRPr="0053519A">
        <w:t>EN FAIT</w:t>
      </w:r>
    </w:p>
    <w:bookmarkEnd w:id="3"/>
    <w:p w:rsidRPr="0053519A" w:rsidR="00601F4E" w:rsidP="0053519A" w:rsidRDefault="00601F4E" w14:paraId="3EE0AD42" w14:textId="77777777">
      <w:pPr>
        <w:pStyle w:val="JuPara"/>
      </w:pPr>
      <w:r w:rsidRPr="0053519A">
        <w:fldChar w:fldCharType="begin"/>
      </w:r>
      <w:r w:rsidRPr="0053519A">
        <w:instrText xml:space="preserve"> SEQ level0 \*arabic </w:instrText>
      </w:r>
      <w:r w:rsidRPr="0053519A">
        <w:fldChar w:fldCharType="separate"/>
      </w:r>
      <w:r w:rsidRPr="0053519A" w:rsidR="0053519A">
        <w:rPr>
          <w:noProof/>
        </w:rPr>
        <w:t>2</w:t>
      </w:r>
      <w:r w:rsidRPr="0053519A">
        <w:fldChar w:fldCharType="end"/>
      </w:r>
      <w:r w:rsidRPr="0053519A">
        <w:t>.  La requérante est née en 1952 et réside à Feluy. Elle a été représentée par M</w:t>
      </w:r>
      <w:r w:rsidRPr="0053519A">
        <w:rPr>
          <w:vertAlign w:val="superscript"/>
        </w:rPr>
        <w:t>es</w:t>
      </w:r>
      <w:r w:rsidRPr="0053519A">
        <w:t> </w:t>
      </w:r>
      <w:bookmarkStart w:name="_Hlk77614059" w:id="4"/>
      <w:r w:rsidRPr="0053519A">
        <w:t>P. Lefebvre et P. Devers</w:t>
      </w:r>
      <w:bookmarkEnd w:id="4"/>
      <w:r w:rsidRPr="0053519A">
        <w:t>, avocats à Bruxelles.</w:t>
      </w:r>
    </w:p>
    <w:p w:rsidRPr="0053519A" w:rsidR="00601F4E" w:rsidP="0053519A" w:rsidRDefault="00601F4E" w14:paraId="4C638A14" w14:textId="77777777">
      <w:pPr>
        <w:pStyle w:val="JuPara"/>
      </w:pPr>
      <w:r w:rsidRPr="0053519A">
        <w:fldChar w:fldCharType="begin"/>
      </w:r>
      <w:r w:rsidRPr="0053519A">
        <w:instrText xml:space="preserve"> SEQ level0 \*arabic </w:instrText>
      </w:r>
      <w:r w:rsidRPr="0053519A">
        <w:fldChar w:fldCharType="separate"/>
      </w:r>
      <w:r w:rsidRPr="0053519A" w:rsidR="0053519A">
        <w:rPr>
          <w:noProof/>
        </w:rPr>
        <w:t>3</w:t>
      </w:r>
      <w:r w:rsidRPr="0053519A">
        <w:fldChar w:fldCharType="end"/>
      </w:r>
      <w:r w:rsidRPr="0053519A">
        <w:t>.  </w:t>
      </w:r>
      <w:bookmarkStart w:name="_Hlk36127123" w:id="5"/>
      <w:r w:rsidRPr="0053519A">
        <w:t>Le Gouvernement a été représenté par son agent, M</w:t>
      </w:r>
      <w:r w:rsidRPr="0053519A">
        <w:rPr>
          <w:vertAlign w:val="superscript"/>
        </w:rPr>
        <w:t>me </w:t>
      </w:r>
      <w:r w:rsidRPr="0053519A">
        <w:t>I. </w:t>
      </w:r>
      <w:proofErr w:type="spellStart"/>
      <w:r w:rsidRPr="0053519A">
        <w:t>Niedlispacher</w:t>
      </w:r>
      <w:proofErr w:type="spellEnd"/>
      <w:r w:rsidRPr="0053519A">
        <w:t>, du service public fédéral de la Justice.</w:t>
      </w:r>
      <w:bookmarkEnd w:id="5"/>
    </w:p>
    <w:bookmarkStart w:name="retraite" w:id="6"/>
    <w:p w:rsidRPr="0053519A" w:rsidR="00601F4E" w:rsidP="0053519A" w:rsidRDefault="00601F4E" w14:paraId="21B4F796" w14:textId="77777777">
      <w:pPr>
        <w:pStyle w:val="JuPara"/>
      </w:pPr>
      <w:r w:rsidRPr="0053519A">
        <w:fldChar w:fldCharType="begin"/>
      </w:r>
      <w:r w:rsidRPr="0053519A">
        <w:instrText xml:space="preserve"> SEQ level0 \*arabic </w:instrText>
      </w:r>
      <w:r w:rsidRPr="0053519A">
        <w:fldChar w:fldCharType="separate"/>
      </w:r>
      <w:r w:rsidRPr="0053519A" w:rsidR="0053519A">
        <w:rPr>
          <w:noProof/>
        </w:rPr>
        <w:t>4</w:t>
      </w:r>
      <w:r w:rsidRPr="0053519A">
        <w:fldChar w:fldCharType="end"/>
      </w:r>
      <w:bookmarkEnd w:id="6"/>
      <w:r w:rsidRPr="0053519A">
        <w:t>.  Le 30 avril 2012, la requérante fut admise à la retraite anticipée après vingt ans d</w:t>
      </w:r>
      <w:r w:rsidRPr="0053519A" w:rsidR="0053519A">
        <w:t>’</w:t>
      </w:r>
      <w:r w:rsidRPr="0053519A">
        <w:t>ancienneté comme magistrat.</w:t>
      </w:r>
    </w:p>
    <w:p w:rsidRPr="0053519A" w:rsidR="00601F4E" w:rsidP="0053519A" w:rsidRDefault="00601F4E" w14:paraId="368AF28F" w14:textId="77777777">
      <w:pPr>
        <w:pStyle w:val="JuPara"/>
      </w:pPr>
      <w:r w:rsidRPr="0053519A">
        <w:fldChar w:fldCharType="begin"/>
      </w:r>
      <w:r w:rsidRPr="0053519A">
        <w:instrText xml:space="preserve"> SEQ level0 \*arabic </w:instrText>
      </w:r>
      <w:r w:rsidRPr="0053519A">
        <w:fldChar w:fldCharType="separate"/>
      </w:r>
      <w:r w:rsidRPr="0053519A" w:rsidR="0053519A">
        <w:rPr>
          <w:noProof/>
        </w:rPr>
        <w:t>5</w:t>
      </w:r>
      <w:r w:rsidRPr="0053519A">
        <w:fldChar w:fldCharType="end"/>
      </w:r>
      <w:r w:rsidRPr="0053519A">
        <w:t>.  Le 28 juin 2012, la requérante fut désignée par le Sénat comme membre du CSJ au titre des membres « non-magistrats » (paragraphe</w:t>
      </w:r>
      <w:r w:rsidRPr="0053519A" w:rsidR="00180F62">
        <w:t> </w:t>
      </w:r>
      <w:r w:rsidRPr="0053519A">
        <w:fldChar w:fldCharType="begin"/>
      </w:r>
      <w:r w:rsidRPr="0053519A">
        <w:instrText xml:space="preserve"> REF compositionCSJ \h </w:instrText>
      </w:r>
      <w:r w:rsidRPr="0053519A">
        <w:fldChar w:fldCharType="separate"/>
      </w:r>
      <w:r w:rsidRPr="0053519A" w:rsidR="0053519A">
        <w:rPr>
          <w:noProof/>
        </w:rPr>
        <w:t>18</w:t>
      </w:r>
      <w:r w:rsidRPr="0053519A">
        <w:fldChar w:fldCharType="end"/>
      </w:r>
      <w:r w:rsidRPr="0053519A">
        <w:t xml:space="preserve"> ci</w:t>
      </w:r>
      <w:r w:rsidRPr="0053519A" w:rsidR="00D94931">
        <w:noBreakHyphen/>
      </w:r>
      <w:r w:rsidRPr="0053519A">
        <w:t>dessous). Au sein du CSJ, elle fut élue membre à temps plein du bureau (composé de quatre membres) et, à ce titre, elle fut désignée comme présidente de la commission de nomination et de désignation francophone.</w:t>
      </w:r>
    </w:p>
    <w:p w:rsidRPr="0053519A" w:rsidR="00601F4E" w:rsidP="0053519A" w:rsidRDefault="00601F4E" w14:paraId="0B883337" w14:textId="77777777">
      <w:pPr>
        <w:pStyle w:val="JuPara"/>
      </w:pPr>
      <w:r w:rsidRPr="0053519A">
        <w:fldChar w:fldCharType="begin"/>
      </w:r>
      <w:r w:rsidRPr="0053519A">
        <w:instrText xml:space="preserve"> SEQ level0 \*arabic </w:instrText>
      </w:r>
      <w:r w:rsidRPr="0053519A">
        <w:fldChar w:fldCharType="separate"/>
      </w:r>
      <w:r w:rsidRPr="0053519A" w:rsidR="0053519A">
        <w:rPr>
          <w:noProof/>
        </w:rPr>
        <w:t>6</w:t>
      </w:r>
      <w:r w:rsidRPr="0053519A">
        <w:fldChar w:fldCharType="end"/>
      </w:r>
      <w:r w:rsidRPr="0053519A">
        <w:t>.  Le 11 février 2013, la requérante fut inculpée notamment du chef de faux en écritures et usage de faux pour des faits qu</w:t>
      </w:r>
      <w:r w:rsidRPr="0053519A" w:rsidR="0053519A">
        <w:t>’</w:t>
      </w:r>
      <w:r w:rsidRPr="0053519A">
        <w:t>elle aurait commis en sa capacité de présidente du tribunal de première instance de Nivelles dans le cadre de la procédure de désignation de son successeur.</w:t>
      </w:r>
    </w:p>
    <w:p w:rsidRPr="0053519A" w:rsidR="00601F4E" w:rsidP="0053519A" w:rsidRDefault="00601F4E" w14:paraId="0321819A" w14:textId="77777777">
      <w:pPr>
        <w:pStyle w:val="JuHIRoman"/>
        <w:numPr>
          <w:ilvl w:val="1"/>
          <w:numId w:val="1"/>
        </w:numPr>
      </w:pPr>
      <w:r w:rsidRPr="0053519A">
        <w:t>Les décisions litigieuses du CONSEIL SUP</w:t>
      </w:r>
      <w:r w:rsidRPr="0053519A">
        <w:rPr>
          <w:rFonts w:cstheme="majorHAnsi"/>
        </w:rPr>
        <w:t>É</w:t>
      </w:r>
      <w:r w:rsidRPr="0053519A">
        <w:t>RIEUR DE LA JUSTICE</w:t>
      </w:r>
    </w:p>
    <w:bookmarkStart w:name="AG22052013" w:id="7"/>
    <w:p w:rsidRPr="0053519A" w:rsidR="00601F4E" w:rsidP="0053519A" w:rsidRDefault="00601F4E" w14:paraId="3775A266" w14:textId="77777777">
      <w:pPr>
        <w:pStyle w:val="JuPara"/>
      </w:pPr>
      <w:r w:rsidRPr="0053519A">
        <w:fldChar w:fldCharType="begin"/>
      </w:r>
      <w:r w:rsidRPr="0053519A">
        <w:instrText xml:space="preserve"> SEQ level0 \*arabic </w:instrText>
      </w:r>
      <w:r w:rsidRPr="0053519A">
        <w:fldChar w:fldCharType="separate"/>
      </w:r>
      <w:r w:rsidRPr="0053519A" w:rsidR="0053519A">
        <w:rPr>
          <w:noProof/>
        </w:rPr>
        <w:t>7</w:t>
      </w:r>
      <w:r w:rsidRPr="0053519A">
        <w:fldChar w:fldCharType="end"/>
      </w:r>
      <w:bookmarkEnd w:id="7"/>
      <w:r w:rsidRPr="0053519A">
        <w:t>.  Le 22 mai 2013, l</w:t>
      </w:r>
      <w:r w:rsidRPr="0053519A" w:rsidR="0053519A">
        <w:t>’</w:t>
      </w:r>
      <w:r w:rsidRPr="0053519A">
        <w:t>assemblée générale du CSJ adopta une mesure d</w:t>
      </w:r>
      <w:r w:rsidRPr="0053519A" w:rsidR="0053519A">
        <w:t>’</w:t>
      </w:r>
      <w:r w:rsidRPr="0053519A">
        <w:t>ordre suspendant la requérante de toutes ses fonctions au sein du CSJ pour une période renouvelable de six mois. Il fut précisé que cette mesure d</w:t>
      </w:r>
      <w:r w:rsidRPr="0053519A" w:rsidR="0053519A">
        <w:t>’</w:t>
      </w:r>
      <w:r w:rsidRPr="0053519A">
        <w:t>ordre, avec effet immédiat, serait rapportée d</w:t>
      </w:r>
      <w:r w:rsidRPr="0053519A" w:rsidR="0053519A">
        <w:t>’</w:t>
      </w:r>
      <w:r w:rsidRPr="0053519A">
        <w:t>office si le procureur général près la cour d</w:t>
      </w:r>
      <w:r w:rsidRPr="0053519A" w:rsidR="0053519A">
        <w:t>’</w:t>
      </w:r>
      <w:r w:rsidRPr="0053519A">
        <w:t>appel de Bruxelles renonçait à toutes poursuites pénales à l</w:t>
      </w:r>
      <w:r w:rsidRPr="0053519A" w:rsidR="0053519A">
        <w:t>’</w:t>
      </w:r>
      <w:r w:rsidRPr="0053519A">
        <w:t>encontre de la requérante.</w:t>
      </w:r>
    </w:p>
    <w:bookmarkStart w:name="motivAGmai2013" w:id="8"/>
    <w:p w:rsidRPr="0053519A" w:rsidR="00601F4E" w:rsidP="0053519A" w:rsidRDefault="00601F4E" w14:paraId="36E3F867" w14:textId="77777777">
      <w:pPr>
        <w:pStyle w:val="JuPara"/>
      </w:pPr>
      <w:r w:rsidRPr="0053519A">
        <w:fldChar w:fldCharType="begin"/>
      </w:r>
      <w:r w:rsidRPr="0053519A">
        <w:instrText xml:space="preserve"> SEQ level0 \*arabic </w:instrText>
      </w:r>
      <w:r w:rsidRPr="0053519A">
        <w:fldChar w:fldCharType="separate"/>
      </w:r>
      <w:r w:rsidRPr="0053519A" w:rsidR="0053519A">
        <w:rPr>
          <w:noProof/>
        </w:rPr>
        <w:t>8</w:t>
      </w:r>
      <w:r w:rsidRPr="0053519A">
        <w:fldChar w:fldCharType="end"/>
      </w:r>
      <w:bookmarkEnd w:id="8"/>
      <w:r w:rsidRPr="0053519A">
        <w:t>.  L</w:t>
      </w:r>
      <w:r w:rsidRPr="0053519A" w:rsidR="0053519A">
        <w:t>’</w:t>
      </w:r>
      <w:r w:rsidRPr="0053519A">
        <w:t>assemblée générale estima que si la requérante devait bénéficier de la présomption d</w:t>
      </w:r>
      <w:r w:rsidRPr="0053519A" w:rsidR="0053519A">
        <w:t>’</w:t>
      </w:r>
      <w:r w:rsidRPr="0053519A">
        <w:t>innocence, une inculpation signifiait qu</w:t>
      </w:r>
      <w:r w:rsidRPr="0053519A" w:rsidR="0053519A">
        <w:t>’</w:t>
      </w:r>
      <w:r w:rsidRPr="0053519A">
        <w:t>il existait des indices sérieux de culpabilité à son encontre. Compte tenu de sa qualité de membre du bureau et de présidente de la commission de nomination et de désignation francophone, son inculpation était en soi très néfaste pour l</w:t>
      </w:r>
      <w:r w:rsidRPr="0053519A" w:rsidR="0053519A">
        <w:t>’</w:t>
      </w:r>
      <w:r w:rsidRPr="0053519A">
        <w:t>image et la crédibilité du CSJ et, en particulier, des commissions de nomination et de désignation. À cela venait s</w:t>
      </w:r>
      <w:r w:rsidRPr="0053519A" w:rsidR="0053519A">
        <w:t>’</w:t>
      </w:r>
      <w:r w:rsidRPr="0053519A">
        <w:t>ajouter le fait que l</w:t>
      </w:r>
      <w:r w:rsidRPr="0053519A" w:rsidR="0053519A">
        <w:t>’</w:t>
      </w:r>
      <w:r w:rsidRPr="0053519A">
        <w:t>acte argué de faux était un avis que la requérante avait rendu dans le cadre d</w:t>
      </w:r>
      <w:r w:rsidRPr="0053519A" w:rsidR="0053519A">
        <w:t>’</w:t>
      </w:r>
      <w:r w:rsidRPr="0053519A">
        <w:t>une procédure de désignation d</w:t>
      </w:r>
      <w:r w:rsidRPr="0053519A" w:rsidR="0053519A">
        <w:t>’</w:t>
      </w:r>
      <w:r w:rsidRPr="0053519A">
        <w:t>un chef de corps. Il était primordial que les commissions de nomination et de désignation puissent présenter les candidats de façon sereine, sans que l</w:t>
      </w:r>
      <w:r w:rsidRPr="0053519A" w:rsidR="0053519A">
        <w:t>’</w:t>
      </w:r>
      <w:r w:rsidRPr="0053519A">
        <w:t>autorité et la crédibilité de leurs présentations ne puissent être remises en question. Il était en outre nécessaire que leur président jouisse de la confiance inconditionnelle de ses membres. De plus, l</w:t>
      </w:r>
      <w:r w:rsidRPr="0053519A" w:rsidR="0053519A">
        <w:t>’</w:t>
      </w:r>
      <w:r w:rsidRPr="0053519A">
        <w:t>inculpation de l</w:t>
      </w:r>
      <w:r w:rsidRPr="0053519A" w:rsidR="0053519A">
        <w:t>’</w:t>
      </w:r>
      <w:r w:rsidRPr="0053519A">
        <w:t>un des membres du bureau était de nature à miner la crédibilité et l</w:t>
      </w:r>
      <w:r w:rsidRPr="0053519A" w:rsidR="0053519A">
        <w:t>’</w:t>
      </w:r>
      <w:r w:rsidRPr="0053519A">
        <w:t>autorité du CSJ, même dans d</w:t>
      </w:r>
      <w:r w:rsidRPr="0053519A" w:rsidR="0053519A">
        <w:t>’</w:t>
      </w:r>
      <w:r w:rsidRPr="0053519A">
        <w:t>autres domaines où la requérante n</w:t>
      </w:r>
      <w:r w:rsidRPr="0053519A" w:rsidR="0053519A">
        <w:t>’</w:t>
      </w:r>
      <w:r w:rsidRPr="0053519A">
        <w:t>intervenait pas. La décision de suspension totale était ainsi justifiée par le fait que la seule présence de la requérante était incompatible avec l</w:t>
      </w:r>
      <w:r w:rsidRPr="0053519A" w:rsidR="0053519A">
        <w:t>’</w:t>
      </w:r>
      <w:r w:rsidRPr="0053519A">
        <w:t>intérêt du CSJ. Cette décision fut signifiée à la requérante le 29 mai 2013. Elle fait l</w:t>
      </w:r>
      <w:r w:rsidRPr="0053519A" w:rsidR="0053519A">
        <w:t>’</w:t>
      </w:r>
      <w:r w:rsidRPr="0053519A">
        <w:t>objet de la requête n</w:t>
      </w:r>
      <w:r w:rsidRPr="0053519A">
        <w:rPr>
          <w:vertAlign w:val="superscript"/>
        </w:rPr>
        <w:t>o</w:t>
      </w:r>
      <w:r w:rsidRPr="0053519A">
        <w:t> 79089/13.</w:t>
      </w:r>
    </w:p>
    <w:bookmarkStart w:name="AG20112013" w:id="9"/>
    <w:p w:rsidRPr="0053519A" w:rsidR="00601F4E" w:rsidP="0053519A" w:rsidRDefault="00601F4E" w14:paraId="62BD4DA0" w14:textId="77777777">
      <w:pPr>
        <w:pStyle w:val="JuPara"/>
      </w:pPr>
      <w:r w:rsidRPr="0053519A">
        <w:fldChar w:fldCharType="begin"/>
      </w:r>
      <w:r w:rsidRPr="0053519A">
        <w:instrText xml:space="preserve"> SEQ level0 \*arabic </w:instrText>
      </w:r>
      <w:r w:rsidRPr="0053519A">
        <w:fldChar w:fldCharType="separate"/>
      </w:r>
      <w:r w:rsidRPr="0053519A" w:rsidR="0053519A">
        <w:rPr>
          <w:noProof/>
        </w:rPr>
        <w:t>9</w:t>
      </w:r>
      <w:r w:rsidRPr="0053519A">
        <w:fldChar w:fldCharType="end"/>
      </w:r>
      <w:bookmarkEnd w:id="9"/>
      <w:r w:rsidRPr="0053519A">
        <w:t>.  Par une décision de l</w:t>
      </w:r>
      <w:r w:rsidRPr="0053519A" w:rsidR="0053519A">
        <w:t>’</w:t>
      </w:r>
      <w:r w:rsidRPr="0053519A">
        <w:t>assemblée générale du CSJ du 20</w:t>
      </w:r>
      <w:r w:rsidRPr="0053519A" w:rsidR="00180F62">
        <w:t> </w:t>
      </w:r>
      <w:r w:rsidRPr="0053519A">
        <w:t>novembre 2013, la suspension de la requérante de toutes ses fonctions au sein du CSJ fut prolongée pour une période de trois mois. La mesure fut décidée pour les mêmes motifs que la décision du 22 mai 2013 eu égard au fait que le procureur général près la cour d</w:t>
      </w:r>
      <w:r w:rsidRPr="0053519A" w:rsidR="0053519A">
        <w:t>’</w:t>
      </w:r>
      <w:r w:rsidRPr="0053519A">
        <w:t>appel n</w:t>
      </w:r>
      <w:r w:rsidRPr="0053519A" w:rsidR="0053519A">
        <w:t>’</w:t>
      </w:r>
      <w:r w:rsidRPr="0053519A">
        <w:t>avait pas encore pris de décision quant au sort de l</w:t>
      </w:r>
      <w:r w:rsidRPr="0053519A" w:rsidR="0053519A">
        <w:t>’</w:t>
      </w:r>
      <w:r w:rsidRPr="0053519A">
        <w:t>action publique mais qu</w:t>
      </w:r>
      <w:r w:rsidRPr="0053519A" w:rsidR="0053519A">
        <w:t>’</w:t>
      </w:r>
      <w:r w:rsidRPr="0053519A">
        <w:t>il avait annoncé qu</w:t>
      </w:r>
      <w:r w:rsidRPr="0053519A" w:rsidR="0053519A">
        <w:t>’</w:t>
      </w:r>
      <w:r w:rsidRPr="0053519A">
        <w:t>une décision devait pouvoir être prise avant la fin de l</w:t>
      </w:r>
      <w:r w:rsidRPr="0053519A" w:rsidR="0053519A">
        <w:t>’</w:t>
      </w:r>
      <w:r w:rsidRPr="0053519A">
        <w:t>année 2013. Cette décision fait l</w:t>
      </w:r>
      <w:r w:rsidRPr="0053519A" w:rsidR="0053519A">
        <w:t>’</w:t>
      </w:r>
      <w:r w:rsidRPr="0053519A">
        <w:t>objet de la requête n</w:t>
      </w:r>
      <w:r w:rsidRPr="0053519A">
        <w:rPr>
          <w:vertAlign w:val="superscript"/>
        </w:rPr>
        <w:t>o</w:t>
      </w:r>
      <w:r w:rsidRPr="0053519A">
        <w:t xml:space="preserve"> 13805/14.</w:t>
      </w:r>
    </w:p>
    <w:p w:rsidRPr="0053519A" w:rsidR="00601F4E" w:rsidP="0053519A" w:rsidRDefault="00601F4E" w14:paraId="1357D489" w14:textId="77777777">
      <w:pPr>
        <w:pStyle w:val="JuPara"/>
      </w:pPr>
      <w:r w:rsidRPr="0053519A">
        <w:fldChar w:fldCharType="begin"/>
      </w:r>
      <w:r w:rsidRPr="0053519A">
        <w:instrText xml:space="preserve"> SEQ level0 \*arabic </w:instrText>
      </w:r>
      <w:r w:rsidRPr="0053519A">
        <w:fldChar w:fldCharType="separate"/>
      </w:r>
      <w:r w:rsidRPr="0053519A" w:rsidR="0053519A">
        <w:rPr>
          <w:noProof/>
        </w:rPr>
        <w:t>10</w:t>
      </w:r>
      <w:r w:rsidRPr="0053519A">
        <w:fldChar w:fldCharType="end"/>
      </w:r>
      <w:r w:rsidRPr="0053519A">
        <w:t>.  Le 20 janvier 2014, le procureur général cita la requérante à comparaître devant la cour d</w:t>
      </w:r>
      <w:r w:rsidRPr="0053519A" w:rsidR="0053519A">
        <w:t>’</w:t>
      </w:r>
      <w:r w:rsidRPr="0053519A">
        <w:t>appel de Bruxelles du chef de faux en écritures par fonctionnaire et usage de faux. Il classa sans suite le dossier pénal s</w:t>
      </w:r>
      <w:r w:rsidRPr="0053519A" w:rsidR="0053519A">
        <w:t>’</w:t>
      </w:r>
      <w:r w:rsidRPr="0053519A">
        <w:t>agissant du restant des inculpations mises à sa charge.</w:t>
      </w:r>
    </w:p>
    <w:bookmarkStart w:name="AG12022014" w:id="10"/>
    <w:p w:rsidRPr="0053519A" w:rsidR="00601F4E" w:rsidP="0053519A" w:rsidRDefault="00601F4E" w14:paraId="2B814458" w14:textId="77777777">
      <w:pPr>
        <w:pStyle w:val="JuPara"/>
      </w:pPr>
      <w:r w:rsidRPr="0053519A">
        <w:fldChar w:fldCharType="begin"/>
      </w:r>
      <w:r w:rsidRPr="0053519A">
        <w:instrText xml:space="preserve"> SEQ level0 \*arabic </w:instrText>
      </w:r>
      <w:r w:rsidRPr="0053519A">
        <w:fldChar w:fldCharType="separate"/>
      </w:r>
      <w:r w:rsidRPr="0053519A" w:rsidR="0053519A">
        <w:rPr>
          <w:noProof/>
        </w:rPr>
        <w:t>11</w:t>
      </w:r>
      <w:r w:rsidRPr="0053519A">
        <w:fldChar w:fldCharType="end"/>
      </w:r>
      <w:bookmarkEnd w:id="10"/>
      <w:r w:rsidRPr="0053519A">
        <w:t>.  Par une décision de l</w:t>
      </w:r>
      <w:r w:rsidRPr="0053519A" w:rsidR="0053519A">
        <w:t>’</w:t>
      </w:r>
      <w:r w:rsidRPr="0053519A">
        <w:t>assemblée générale du CSJ du 12</w:t>
      </w:r>
      <w:r w:rsidRPr="0053519A" w:rsidR="00180F62">
        <w:t> </w:t>
      </w:r>
      <w:r w:rsidRPr="0053519A">
        <w:t>février 2014, la suspension de la requérante de toutes ses fonctions au sein du CSJ fut prolongée jusqu</w:t>
      </w:r>
      <w:r w:rsidRPr="0053519A" w:rsidR="0053519A">
        <w:t>’</w:t>
      </w:r>
      <w:r w:rsidRPr="0053519A">
        <w:t>à ce qu</w:t>
      </w:r>
      <w:r w:rsidRPr="0053519A" w:rsidR="0053519A">
        <w:t>’</w:t>
      </w:r>
      <w:r w:rsidRPr="0053519A">
        <w:t>une décision définitive soit prononcée quant à la procédure pénale menée à son encontre. Il fut précisé que la décision serait réexaminée à la demande de la requérante ou d</w:t>
      </w:r>
      <w:r w:rsidRPr="0053519A" w:rsidR="0053519A">
        <w:t>’</w:t>
      </w:r>
      <w:r w:rsidRPr="0053519A">
        <w:t>office si des éléments nouveaux apparaissaient. Cette décision fait l</w:t>
      </w:r>
      <w:r w:rsidRPr="0053519A" w:rsidR="0053519A">
        <w:t>’</w:t>
      </w:r>
      <w:r w:rsidRPr="0053519A">
        <w:t>objet de la requête n</w:t>
      </w:r>
      <w:r w:rsidRPr="0053519A">
        <w:rPr>
          <w:vertAlign w:val="superscript"/>
        </w:rPr>
        <w:t>o</w:t>
      </w:r>
      <w:r w:rsidRPr="0053519A">
        <w:t> 54534/14.</w:t>
      </w:r>
    </w:p>
    <w:p w:rsidRPr="0053519A" w:rsidR="00601F4E" w:rsidP="0053519A" w:rsidRDefault="00601F4E" w14:paraId="19279CC4" w14:textId="77777777">
      <w:pPr>
        <w:pStyle w:val="JuPara"/>
      </w:pPr>
      <w:r w:rsidRPr="0053519A">
        <w:fldChar w:fldCharType="begin"/>
      </w:r>
      <w:r w:rsidRPr="0053519A">
        <w:instrText xml:space="preserve"> SEQ level0 \*arabic </w:instrText>
      </w:r>
      <w:r w:rsidRPr="0053519A">
        <w:fldChar w:fldCharType="separate"/>
      </w:r>
      <w:r w:rsidRPr="0053519A" w:rsidR="0053519A">
        <w:rPr>
          <w:noProof/>
        </w:rPr>
        <w:t>12</w:t>
      </w:r>
      <w:r w:rsidRPr="0053519A">
        <w:fldChar w:fldCharType="end"/>
      </w:r>
      <w:r w:rsidRPr="0053519A">
        <w:t>.  S</w:t>
      </w:r>
      <w:r w:rsidRPr="0053519A" w:rsidR="0053519A">
        <w:t>’</w:t>
      </w:r>
      <w:r w:rsidRPr="0053519A">
        <w:t>agissant des arguments de la requérante relatifs à l</w:t>
      </w:r>
      <w:r w:rsidRPr="0053519A" w:rsidR="0053519A">
        <w:t>’</w:t>
      </w:r>
      <w:r w:rsidRPr="0053519A">
        <w:t>article 6 § 1 de la Convention, l</w:t>
      </w:r>
      <w:r w:rsidRPr="0053519A" w:rsidR="0053519A">
        <w:t>’</w:t>
      </w:r>
      <w:r w:rsidRPr="0053519A">
        <w:t>assemblée générale du CSJ considéra que, sans devoir s</w:t>
      </w:r>
      <w:r w:rsidRPr="0053519A" w:rsidR="0053519A">
        <w:t>’</w:t>
      </w:r>
      <w:r w:rsidRPr="0053519A">
        <w:t>interroger sur l</w:t>
      </w:r>
      <w:r w:rsidRPr="0053519A" w:rsidR="0053519A">
        <w:t>’</w:t>
      </w:r>
      <w:r w:rsidRPr="0053519A">
        <w:t>applicabilité de la disposition invoquée à une procédure conduisant à la suspension préventive d</w:t>
      </w:r>
      <w:r w:rsidRPr="0053519A" w:rsidR="0053519A">
        <w:t>’</w:t>
      </w:r>
      <w:r w:rsidRPr="0053519A">
        <w:t>une personne, il suffisait d</w:t>
      </w:r>
      <w:r w:rsidRPr="0053519A" w:rsidR="0053519A">
        <w:t>’</w:t>
      </w:r>
      <w:r w:rsidRPr="0053519A">
        <w:t>observer que l</w:t>
      </w:r>
      <w:r w:rsidRPr="0053519A" w:rsidR="0053519A">
        <w:t>’</w:t>
      </w:r>
      <w:r w:rsidRPr="0053519A">
        <w:t>assemblée générale n</w:t>
      </w:r>
      <w:r w:rsidRPr="0053519A" w:rsidR="0053519A">
        <w:t>’</w:t>
      </w:r>
      <w:r w:rsidRPr="0053519A">
        <w:t>était pas amenée à statuer sur l</w:t>
      </w:r>
      <w:r w:rsidRPr="0053519A" w:rsidR="0053519A">
        <w:t>’</w:t>
      </w:r>
      <w:r w:rsidRPr="0053519A">
        <w:t>application d</w:t>
      </w:r>
      <w:r w:rsidRPr="0053519A" w:rsidR="0053519A">
        <w:t>’</w:t>
      </w:r>
      <w:r w:rsidRPr="0053519A">
        <w:t>une sanction disciplinaire et que la requérante n</w:t>
      </w:r>
      <w:r w:rsidRPr="0053519A" w:rsidR="0053519A">
        <w:t>’</w:t>
      </w:r>
      <w:r w:rsidRPr="0053519A">
        <w:t>avait pas demandé que son audition soit publique. La décision prise en l</w:t>
      </w:r>
      <w:r w:rsidRPr="0053519A" w:rsidR="0053519A">
        <w:t>’</w:t>
      </w:r>
      <w:r w:rsidRPr="0053519A">
        <w:t>espèce ne pouvait pas être qualifiée de « judiciaire » ; elle ne visait qu</w:t>
      </w:r>
      <w:r w:rsidRPr="0053519A" w:rsidR="0053519A">
        <w:t>’</w:t>
      </w:r>
      <w:r w:rsidRPr="0053519A">
        <w:t>à prendre des mesures indispensables au bon fonctionnement du CSJ. La suspension préventive était bien une mesure d</w:t>
      </w:r>
      <w:r w:rsidRPr="0053519A" w:rsidR="0053519A">
        <w:t>’</w:t>
      </w:r>
      <w:r w:rsidRPr="0053519A">
        <w:t>ordre qui devait permettre à l</w:t>
      </w:r>
      <w:r w:rsidRPr="0053519A" w:rsidR="0053519A">
        <w:t>’</w:t>
      </w:r>
      <w:r w:rsidRPr="0053519A">
        <w:t>autorité d</w:t>
      </w:r>
      <w:r w:rsidRPr="0053519A" w:rsidR="0053519A">
        <w:t>’</w:t>
      </w:r>
      <w:r w:rsidRPr="0053519A">
        <w:t>éloigner provisoirement et temporairement du service une personne dont la présence était de nature à nuire à l</w:t>
      </w:r>
      <w:r w:rsidRPr="0053519A" w:rsidR="0053519A">
        <w:t>’</w:t>
      </w:r>
      <w:r w:rsidRPr="0053519A">
        <w:t>intérêt du service et de sa réputation. Du reste, les motifs ayant justifié la décision du 20</w:t>
      </w:r>
      <w:r w:rsidRPr="0053519A" w:rsidR="00180F62">
        <w:t> </w:t>
      </w:r>
      <w:r w:rsidRPr="0053519A">
        <w:t>novembre 2013 restaient d</w:t>
      </w:r>
      <w:r w:rsidRPr="0053519A" w:rsidR="0053519A">
        <w:t>’</w:t>
      </w:r>
      <w:r w:rsidRPr="0053519A">
        <w:t>actualité. Le fait que le procureur général avait entretemps décidé de citer la requérante pour faux et usage de faux était de nature à aggraver encore l</w:t>
      </w:r>
      <w:r w:rsidRPr="0053519A" w:rsidR="0053519A">
        <w:t>’</w:t>
      </w:r>
      <w:r w:rsidRPr="0053519A">
        <w:t>impact sur le bon fonctionnement de CSJ.</w:t>
      </w:r>
    </w:p>
    <w:p w:rsidRPr="0053519A" w:rsidR="00601F4E" w:rsidP="0053519A" w:rsidRDefault="00601F4E" w14:paraId="1FB5D8E8" w14:textId="77777777">
      <w:pPr>
        <w:pStyle w:val="JuHIRoman"/>
        <w:numPr>
          <w:ilvl w:val="1"/>
          <w:numId w:val="1"/>
        </w:numPr>
      </w:pPr>
      <w:r w:rsidRPr="0053519A">
        <w:t>L</w:t>
      </w:r>
      <w:r w:rsidRPr="0053519A" w:rsidR="0053519A">
        <w:t>’</w:t>
      </w:r>
      <w:r w:rsidRPr="0053519A">
        <w:t>acquittement de la requérante et les décisions qui s</w:t>
      </w:r>
      <w:r w:rsidRPr="0053519A" w:rsidR="0053519A">
        <w:t>’</w:t>
      </w:r>
      <w:r w:rsidRPr="0053519A">
        <w:t>ensuivirent</w:t>
      </w:r>
    </w:p>
    <w:p w:rsidRPr="0053519A" w:rsidR="00601F4E" w:rsidP="0053519A" w:rsidRDefault="00601F4E" w14:paraId="1E4EFD9F" w14:textId="77777777">
      <w:pPr>
        <w:pStyle w:val="JuPara"/>
      </w:pPr>
      <w:r w:rsidRPr="0053519A">
        <w:fldChar w:fldCharType="begin"/>
      </w:r>
      <w:r w:rsidRPr="0053519A">
        <w:instrText xml:space="preserve"> SEQ level0 \*arabic </w:instrText>
      </w:r>
      <w:r w:rsidRPr="0053519A">
        <w:fldChar w:fldCharType="separate"/>
      </w:r>
      <w:r w:rsidRPr="0053519A" w:rsidR="0053519A">
        <w:rPr>
          <w:noProof/>
        </w:rPr>
        <w:t>13</w:t>
      </w:r>
      <w:r w:rsidRPr="0053519A">
        <w:fldChar w:fldCharType="end"/>
      </w:r>
      <w:r w:rsidRPr="0053519A">
        <w:t>.  Par un arrêt du 27 janvier 2015, la cour d</w:t>
      </w:r>
      <w:r w:rsidRPr="0053519A" w:rsidR="0053519A">
        <w:t>’</w:t>
      </w:r>
      <w:r w:rsidRPr="0053519A">
        <w:t>appel de Bruxelles acquitta la requérante.</w:t>
      </w:r>
    </w:p>
    <w:p w:rsidRPr="0053519A" w:rsidR="00601F4E" w:rsidP="0053519A" w:rsidRDefault="00601F4E" w14:paraId="57647F39" w14:textId="77777777">
      <w:pPr>
        <w:pStyle w:val="JuPara"/>
      </w:pPr>
      <w:r w:rsidRPr="0053519A">
        <w:fldChar w:fldCharType="begin"/>
      </w:r>
      <w:r w:rsidRPr="0053519A">
        <w:instrText xml:space="preserve"> SEQ level0 \*arabic </w:instrText>
      </w:r>
      <w:r w:rsidRPr="0053519A">
        <w:fldChar w:fldCharType="separate"/>
      </w:r>
      <w:r w:rsidRPr="0053519A" w:rsidR="0053519A">
        <w:rPr>
          <w:noProof/>
        </w:rPr>
        <w:t>14</w:t>
      </w:r>
      <w:r w:rsidRPr="0053519A">
        <w:fldChar w:fldCharType="end"/>
      </w:r>
      <w:r w:rsidRPr="0053519A">
        <w:t>.  Le 3 février 2015, la requérante demanda au CSJ de réexaminer la décision de suspension de toutes ses fonctions au sein du CSJ à la lumière de l</w:t>
      </w:r>
      <w:r w:rsidRPr="0053519A" w:rsidR="0053519A">
        <w:t>’</w:t>
      </w:r>
      <w:r w:rsidRPr="0053519A">
        <w:t>arrêt d</w:t>
      </w:r>
      <w:r w:rsidRPr="0053519A" w:rsidR="0053519A">
        <w:t>’</w:t>
      </w:r>
      <w:r w:rsidRPr="0053519A">
        <w:t>acquittement.</w:t>
      </w:r>
    </w:p>
    <w:p w:rsidRPr="0053519A" w:rsidR="00601F4E" w:rsidP="0053519A" w:rsidRDefault="00601F4E" w14:paraId="45718BF8" w14:textId="77777777">
      <w:pPr>
        <w:pStyle w:val="JuPara"/>
      </w:pPr>
      <w:r w:rsidRPr="0053519A">
        <w:fldChar w:fldCharType="begin"/>
      </w:r>
      <w:r w:rsidRPr="0053519A">
        <w:instrText xml:space="preserve"> SEQ level0 \*arabic </w:instrText>
      </w:r>
      <w:r w:rsidRPr="0053519A">
        <w:fldChar w:fldCharType="separate"/>
      </w:r>
      <w:r w:rsidRPr="0053519A" w:rsidR="0053519A">
        <w:rPr>
          <w:noProof/>
        </w:rPr>
        <w:t>15</w:t>
      </w:r>
      <w:r w:rsidRPr="0053519A">
        <w:fldChar w:fldCharType="end"/>
      </w:r>
      <w:r w:rsidRPr="0053519A">
        <w:t>.  Le 5 février 2015, l</w:t>
      </w:r>
      <w:r w:rsidRPr="0053519A" w:rsidR="0053519A">
        <w:t>’</w:t>
      </w:r>
      <w:r w:rsidRPr="0053519A">
        <w:t>administrateur du CSJ prit acte de la demande de réexamen. Il indiqua que la prochaine réunion de l</w:t>
      </w:r>
      <w:r w:rsidRPr="0053519A" w:rsidR="0053519A">
        <w:t>’</w:t>
      </w:r>
      <w:r w:rsidRPr="0053519A">
        <w:t>assemblée générale se tiendrait le 25 mars 2015, date à laquelle la requérante pourrait être entendue dans le cadre du réexamen de la décision litigieuse.</w:t>
      </w:r>
    </w:p>
    <w:p w:rsidRPr="0053519A" w:rsidR="00601F4E" w:rsidP="0053519A" w:rsidRDefault="00601F4E" w14:paraId="30136FE7" w14:textId="77777777">
      <w:pPr>
        <w:pStyle w:val="JuPara"/>
      </w:pPr>
      <w:r w:rsidRPr="0053519A">
        <w:fldChar w:fldCharType="begin"/>
      </w:r>
      <w:r w:rsidRPr="0053519A">
        <w:instrText xml:space="preserve"> SEQ level0 \*arabic </w:instrText>
      </w:r>
      <w:r w:rsidRPr="0053519A">
        <w:fldChar w:fldCharType="separate"/>
      </w:r>
      <w:r w:rsidRPr="0053519A" w:rsidR="0053519A">
        <w:rPr>
          <w:noProof/>
        </w:rPr>
        <w:t>16</w:t>
      </w:r>
      <w:r w:rsidRPr="0053519A">
        <w:fldChar w:fldCharType="end"/>
      </w:r>
      <w:r w:rsidRPr="0053519A">
        <w:t>.  Le 25 mars 2015, l</w:t>
      </w:r>
      <w:r w:rsidRPr="0053519A" w:rsidR="0053519A">
        <w:t>’</w:t>
      </w:r>
      <w:r w:rsidRPr="0053519A">
        <w:t>assemblée générale du CSJ prit acte de la décision pénale définitive d</w:t>
      </w:r>
      <w:r w:rsidRPr="0053519A" w:rsidR="0053519A">
        <w:t>’</w:t>
      </w:r>
      <w:r w:rsidRPr="0053519A">
        <w:t>acquittement prononcée à l</w:t>
      </w:r>
      <w:r w:rsidRPr="0053519A" w:rsidR="0053519A">
        <w:t>’</w:t>
      </w:r>
      <w:r w:rsidRPr="0053519A">
        <w:t>égard de la requérante et constata, pour autant que de besoin, que les conditions de sa reprise de fonctions étaient réunies. Elle prit également acte du fait que, lors de son audition du même jour, la requérante avait indiqué vouloir s</w:t>
      </w:r>
      <w:r w:rsidRPr="0053519A" w:rsidR="0053519A">
        <w:t>’</w:t>
      </w:r>
      <w:r w:rsidRPr="0053519A">
        <w:t>accorder 24</w:t>
      </w:r>
      <w:r w:rsidRPr="0053519A" w:rsidR="00D94931">
        <w:t> </w:t>
      </w:r>
      <w:r w:rsidRPr="0053519A">
        <w:t>heures avant de prendre attitude quant à son avenir au sein du CSJ.</w:t>
      </w:r>
    </w:p>
    <w:p w:rsidRPr="0053519A" w:rsidR="00601F4E" w:rsidP="0053519A" w:rsidRDefault="00601F4E" w14:paraId="74B8BD58" w14:textId="77777777">
      <w:pPr>
        <w:pStyle w:val="JuPara"/>
      </w:pPr>
      <w:r w:rsidRPr="0053519A">
        <w:fldChar w:fldCharType="begin"/>
      </w:r>
      <w:r w:rsidRPr="0053519A">
        <w:instrText xml:space="preserve"> SEQ level0 \*arabic </w:instrText>
      </w:r>
      <w:r w:rsidRPr="0053519A">
        <w:fldChar w:fldCharType="separate"/>
      </w:r>
      <w:r w:rsidRPr="0053519A" w:rsidR="0053519A">
        <w:rPr>
          <w:noProof/>
        </w:rPr>
        <w:t>17</w:t>
      </w:r>
      <w:r w:rsidRPr="0053519A">
        <w:fldChar w:fldCharType="end"/>
      </w:r>
      <w:r w:rsidRPr="0053519A">
        <w:t>.  Le 30 mars 2015, la requérante présenta sa démission de l</w:t>
      </w:r>
      <w:r w:rsidRPr="0053519A" w:rsidR="0053519A">
        <w:t>’</w:t>
      </w:r>
      <w:r w:rsidRPr="0053519A">
        <w:t>ensemble de ses fonctions au sein du CSJ. Elle critiqua l</w:t>
      </w:r>
      <w:r w:rsidRPr="0053519A" w:rsidR="0053519A">
        <w:t>’</w:t>
      </w:r>
      <w:r w:rsidRPr="0053519A">
        <w:t>attitude que le CSJ avait adoptée à son égard, qu</w:t>
      </w:r>
      <w:r w:rsidRPr="0053519A" w:rsidR="0053519A">
        <w:t>’</w:t>
      </w:r>
      <w:r w:rsidRPr="0053519A">
        <w:t>elle considéra fautive car portant atteinte à son honneur. Dans les circonstances, elle estima qu</w:t>
      </w:r>
      <w:r w:rsidRPr="0053519A" w:rsidR="0053519A">
        <w:t>’</w:t>
      </w:r>
      <w:r w:rsidRPr="0053519A">
        <w:t>il lui était impossible de continuer à siéger au CSJ.</w:t>
      </w:r>
    </w:p>
    <w:p w:rsidRPr="0053519A" w:rsidR="00601F4E" w:rsidP="0053519A" w:rsidRDefault="00601F4E" w14:paraId="6E44BD4C" w14:textId="77777777">
      <w:pPr>
        <w:pStyle w:val="JuHHead"/>
        <w:numPr>
          <w:ilvl w:val="0"/>
          <w:numId w:val="2"/>
        </w:numPr>
      </w:pPr>
      <w:bookmarkStart w:name="_Hlk36127227" w:id="11"/>
      <w:r w:rsidRPr="0053519A">
        <w:rPr>
          <w:caps w:val="0"/>
        </w:rPr>
        <w:t>LE CADRE JURIDIQUE ET LA PRATIQUE INTERNES PERTINENTS</w:t>
      </w:r>
    </w:p>
    <w:bookmarkEnd w:id="11"/>
    <w:p w:rsidRPr="0053519A" w:rsidR="00601F4E" w:rsidP="0053519A" w:rsidRDefault="00601F4E" w14:paraId="5E1EEED7" w14:textId="77777777">
      <w:pPr>
        <w:pStyle w:val="JuHIRoman"/>
        <w:numPr>
          <w:ilvl w:val="1"/>
          <w:numId w:val="5"/>
        </w:numPr>
      </w:pPr>
      <w:r w:rsidRPr="0053519A">
        <w:t>Le Conseil supérieur de la Justice</w:t>
      </w:r>
    </w:p>
    <w:p w:rsidRPr="0053519A" w:rsidR="00601F4E" w:rsidP="0053519A" w:rsidRDefault="00601F4E" w14:paraId="63BD8D0A" w14:textId="77777777">
      <w:pPr>
        <w:pStyle w:val="JuPara"/>
      </w:pPr>
      <w:r w:rsidRPr="0053519A">
        <w:fldChar w:fldCharType="begin"/>
      </w:r>
      <w:r w:rsidRPr="0053519A">
        <w:instrText xml:space="preserve"> SEQ level0 \*arabic </w:instrText>
      </w:r>
      <w:r w:rsidRPr="0053519A">
        <w:fldChar w:fldCharType="separate"/>
      </w:r>
      <w:bookmarkStart w:name="compositionCSJ" w:id="12"/>
      <w:r w:rsidRPr="0053519A" w:rsidR="0053519A">
        <w:rPr>
          <w:noProof/>
        </w:rPr>
        <w:t>18</w:t>
      </w:r>
      <w:bookmarkEnd w:id="12"/>
      <w:r w:rsidRPr="0053519A">
        <w:fldChar w:fldCharType="end"/>
      </w:r>
      <w:r w:rsidRPr="0053519A">
        <w:t>.  </w:t>
      </w:r>
      <w:bookmarkStart w:name="_Hlk36127236" w:id="13"/>
      <w:r w:rsidRPr="0053519A">
        <w:t>Le Conseil supérieur de la Justice (« CSJ ») est un organe indépendant des pouvoirs législatif, exécutif et judiciaire. Il se compose de 44</w:t>
      </w:r>
      <w:r w:rsidRPr="0053519A" w:rsidR="00180F62">
        <w:t> </w:t>
      </w:r>
      <w:r w:rsidRPr="0053519A">
        <w:t>membres, répartis en un collège francophone et un collège néerlandophone, chacun composé de 22 membres. Chaque collège est composé paritairement, d</w:t>
      </w:r>
      <w:r w:rsidRPr="0053519A" w:rsidR="0053519A">
        <w:t>’</w:t>
      </w:r>
      <w:r w:rsidRPr="0053519A">
        <w:t>une part, de juges et de magistrats du ministère public élus directement par leurs pairs et, d</w:t>
      </w:r>
      <w:r w:rsidRPr="0053519A" w:rsidR="0053519A">
        <w:t>’</w:t>
      </w:r>
      <w:r w:rsidRPr="0053519A">
        <w:t>autre part, de membres non</w:t>
      </w:r>
      <w:r w:rsidRPr="0053519A" w:rsidR="00180F62">
        <w:noBreakHyphen/>
      </w:r>
      <w:r w:rsidRPr="0053519A">
        <w:t>magistrats nommés par le Sénat (article 151 § 2 de la Constitution).</w:t>
      </w:r>
    </w:p>
    <w:bookmarkStart w:name="compétencesCSJ" w:id="14"/>
    <w:bookmarkStart w:name="competencesCSJ" w:id="15"/>
    <w:p w:rsidRPr="0053519A" w:rsidR="00601F4E" w:rsidP="0053519A" w:rsidRDefault="00601F4E" w14:paraId="79D897CA" w14:textId="77777777">
      <w:pPr>
        <w:pStyle w:val="JuPara"/>
      </w:pPr>
      <w:r w:rsidRPr="0053519A">
        <w:fldChar w:fldCharType="begin"/>
      </w:r>
      <w:r w:rsidRPr="0053519A">
        <w:instrText xml:space="preserve"> SEQ level0 \*arabic </w:instrText>
      </w:r>
      <w:r w:rsidRPr="0053519A">
        <w:fldChar w:fldCharType="separate"/>
      </w:r>
      <w:r w:rsidRPr="0053519A" w:rsidR="0053519A">
        <w:rPr>
          <w:noProof/>
        </w:rPr>
        <w:t>19</w:t>
      </w:r>
      <w:r w:rsidRPr="0053519A">
        <w:fldChar w:fldCharType="end"/>
      </w:r>
      <w:bookmarkEnd w:id="14"/>
      <w:bookmarkEnd w:id="15"/>
      <w:r w:rsidRPr="0053519A">
        <w:t>.  En vertu de l</w:t>
      </w:r>
      <w:r w:rsidRPr="0053519A" w:rsidR="0053519A">
        <w:t>’</w:t>
      </w:r>
      <w:r w:rsidRPr="0053519A">
        <w:t>article 151 § 3 de la Constitution, le CSJ exerce ses compétences dans les matières suivantes :</w:t>
      </w:r>
    </w:p>
    <w:p w:rsidRPr="0053519A" w:rsidR="00601F4E" w:rsidP="0053519A" w:rsidRDefault="00601F4E" w14:paraId="05441473" w14:textId="77777777">
      <w:pPr>
        <w:pStyle w:val="JuQuot"/>
      </w:pPr>
      <w:r w:rsidRPr="0053519A">
        <w:t>« 1</w:t>
      </w:r>
      <w:r w:rsidRPr="0053519A">
        <w:rPr>
          <w:vertAlign w:val="superscript"/>
        </w:rPr>
        <w:t>o</w:t>
      </w:r>
      <w:r w:rsidRPr="0053519A">
        <w:t xml:space="preserve"> la présentation des candidats à une nomination de juge [de paix, de juge des tribunaux, de conseiller des cours et de la Cour de cassation] ou d</w:t>
      </w:r>
      <w:r w:rsidRPr="0053519A" w:rsidR="0053519A">
        <w:t>’</w:t>
      </w:r>
      <w:r w:rsidRPr="0053519A">
        <w:t>officier du ministère public ;</w:t>
      </w:r>
    </w:p>
    <w:p w:rsidRPr="0053519A" w:rsidR="00601F4E" w:rsidP="0053519A" w:rsidRDefault="00601F4E" w14:paraId="1FD14131" w14:textId="77777777">
      <w:pPr>
        <w:pStyle w:val="JuQuot"/>
      </w:pPr>
      <w:r w:rsidRPr="0053519A">
        <w:t>2</w:t>
      </w:r>
      <w:r w:rsidRPr="0053519A">
        <w:rPr>
          <w:vertAlign w:val="superscript"/>
        </w:rPr>
        <w:t>o</w:t>
      </w:r>
      <w:r w:rsidRPr="0053519A">
        <w:t xml:space="preserve"> la présentation des candidats à une désignation aux fonctions [de premier président de la Cour de cassation, de premier président des cours et de président des tribunaux], et aux fonctions de chef de corps auprès du ministère public ;</w:t>
      </w:r>
    </w:p>
    <w:p w:rsidRPr="0053519A" w:rsidR="00601F4E" w:rsidP="0053519A" w:rsidRDefault="00601F4E" w14:paraId="39BEBE3B" w14:textId="77777777">
      <w:pPr>
        <w:pStyle w:val="JuQuot"/>
      </w:pPr>
      <w:r w:rsidRPr="0053519A">
        <w:t>3</w:t>
      </w:r>
      <w:r w:rsidRPr="0053519A">
        <w:rPr>
          <w:vertAlign w:val="superscript"/>
        </w:rPr>
        <w:t>o</w:t>
      </w:r>
      <w:r w:rsidRPr="0053519A">
        <w:t xml:space="preserve"> l</w:t>
      </w:r>
      <w:r w:rsidRPr="0053519A" w:rsidR="0053519A">
        <w:t>’</w:t>
      </w:r>
      <w:r w:rsidRPr="0053519A">
        <w:t>accès à la fonction de juge ou d</w:t>
      </w:r>
      <w:r w:rsidRPr="0053519A" w:rsidR="0053519A">
        <w:t>’</w:t>
      </w:r>
      <w:r w:rsidRPr="0053519A">
        <w:t>officier du ministère public ;</w:t>
      </w:r>
    </w:p>
    <w:p w:rsidRPr="0053519A" w:rsidR="00601F4E" w:rsidP="0053519A" w:rsidRDefault="00601F4E" w14:paraId="6594B792" w14:textId="77777777">
      <w:pPr>
        <w:pStyle w:val="JuQuot"/>
      </w:pPr>
      <w:r w:rsidRPr="0053519A">
        <w:t>4</w:t>
      </w:r>
      <w:r w:rsidRPr="0053519A">
        <w:rPr>
          <w:vertAlign w:val="superscript"/>
        </w:rPr>
        <w:t>o</w:t>
      </w:r>
      <w:r w:rsidRPr="0053519A">
        <w:t xml:space="preserve"> la formation des juges et des officiers du ministère public ;</w:t>
      </w:r>
    </w:p>
    <w:p w:rsidRPr="0053519A" w:rsidR="00601F4E" w:rsidP="0053519A" w:rsidRDefault="00601F4E" w14:paraId="15534996" w14:textId="77777777">
      <w:pPr>
        <w:pStyle w:val="JuQuot"/>
      </w:pPr>
      <w:r w:rsidRPr="0053519A">
        <w:t>5</w:t>
      </w:r>
      <w:r w:rsidRPr="0053519A">
        <w:rPr>
          <w:vertAlign w:val="superscript"/>
        </w:rPr>
        <w:t>o</w:t>
      </w:r>
      <w:r w:rsidRPr="0053519A">
        <w:t xml:space="preserve"> l</w:t>
      </w:r>
      <w:r w:rsidRPr="0053519A" w:rsidR="0053519A">
        <w:t>’</w:t>
      </w:r>
      <w:r w:rsidRPr="0053519A">
        <w:t>établissement de profils généraux pour les désignations visées au 2</w:t>
      </w:r>
      <w:r w:rsidRPr="0053519A">
        <w:rPr>
          <w:vertAlign w:val="superscript"/>
        </w:rPr>
        <w:t>o</w:t>
      </w:r>
      <w:r w:rsidRPr="0053519A">
        <w:t xml:space="preserve"> ;</w:t>
      </w:r>
    </w:p>
    <w:p w:rsidRPr="0053519A" w:rsidR="00601F4E" w:rsidP="0053519A" w:rsidRDefault="00601F4E" w14:paraId="373AC866" w14:textId="77777777">
      <w:pPr>
        <w:pStyle w:val="JuQuot"/>
      </w:pPr>
      <w:r w:rsidRPr="0053519A">
        <w:t>6</w:t>
      </w:r>
      <w:r w:rsidRPr="0053519A">
        <w:rPr>
          <w:vertAlign w:val="superscript"/>
        </w:rPr>
        <w:t>o</w:t>
      </w:r>
      <w:r w:rsidRPr="0053519A">
        <w:t xml:space="preserve"> l</w:t>
      </w:r>
      <w:r w:rsidRPr="0053519A" w:rsidR="0053519A">
        <w:t>’</w:t>
      </w:r>
      <w:r w:rsidRPr="0053519A">
        <w:t>émission d</w:t>
      </w:r>
      <w:r w:rsidRPr="0053519A" w:rsidR="0053519A">
        <w:t>’</w:t>
      </w:r>
      <w:r w:rsidRPr="0053519A">
        <w:t>avis et de propositions concernant le fonctionnement général et l</w:t>
      </w:r>
      <w:r w:rsidRPr="0053519A" w:rsidR="0053519A">
        <w:t>’</w:t>
      </w:r>
      <w:r w:rsidRPr="0053519A">
        <w:t>organisation de l</w:t>
      </w:r>
      <w:r w:rsidRPr="0053519A" w:rsidR="0053519A">
        <w:t>’</w:t>
      </w:r>
      <w:r w:rsidRPr="0053519A">
        <w:t>ordre judiciaire ;</w:t>
      </w:r>
    </w:p>
    <w:p w:rsidRPr="0053519A" w:rsidR="00601F4E" w:rsidP="0053519A" w:rsidRDefault="00601F4E" w14:paraId="6526C0C7" w14:textId="77777777">
      <w:pPr>
        <w:pStyle w:val="JuQuot"/>
      </w:pPr>
      <w:r w:rsidRPr="0053519A">
        <w:t>7</w:t>
      </w:r>
      <w:r w:rsidRPr="0053519A">
        <w:rPr>
          <w:vertAlign w:val="superscript"/>
        </w:rPr>
        <w:t>o</w:t>
      </w:r>
      <w:r w:rsidRPr="0053519A">
        <w:t xml:space="preserve"> la surveillance générale et la promotion de l</w:t>
      </w:r>
      <w:r w:rsidRPr="0053519A" w:rsidR="0053519A">
        <w:t>’</w:t>
      </w:r>
      <w:r w:rsidRPr="0053519A">
        <w:t>utilisation des moyens de contrôle interne ;</w:t>
      </w:r>
    </w:p>
    <w:p w:rsidRPr="0053519A" w:rsidR="00601F4E" w:rsidP="0053519A" w:rsidRDefault="00601F4E" w14:paraId="1ABE7653" w14:textId="77777777">
      <w:pPr>
        <w:pStyle w:val="JuQuot"/>
      </w:pPr>
      <w:r w:rsidRPr="0053519A">
        <w:t>8</w:t>
      </w:r>
      <w:r w:rsidRPr="0053519A">
        <w:rPr>
          <w:vertAlign w:val="superscript"/>
        </w:rPr>
        <w:t>o</w:t>
      </w:r>
      <w:r w:rsidRPr="0053519A">
        <w:t xml:space="preserve"> à l</w:t>
      </w:r>
      <w:r w:rsidRPr="0053519A" w:rsidR="0053519A">
        <w:t>’</w:t>
      </w:r>
      <w:r w:rsidRPr="0053519A">
        <w:t>exclusion de toutes compétences disciplinaires et pénales :</w:t>
      </w:r>
    </w:p>
    <w:p w:rsidRPr="0053519A" w:rsidR="00601F4E" w:rsidP="0053519A" w:rsidRDefault="00601F4E" w14:paraId="17CE1470" w14:textId="77777777">
      <w:pPr>
        <w:pStyle w:val="JuQuot"/>
      </w:pPr>
      <w:r w:rsidRPr="0053519A">
        <w:t>- recevoir et s</w:t>
      </w:r>
      <w:r w:rsidRPr="0053519A" w:rsidR="0053519A">
        <w:t>’</w:t>
      </w:r>
      <w:r w:rsidRPr="0053519A">
        <w:t>assurer du suivi de plaintes relatives au fonctionnement de l</w:t>
      </w:r>
      <w:r w:rsidRPr="0053519A" w:rsidR="0053519A">
        <w:t>’</w:t>
      </w:r>
      <w:r w:rsidRPr="0053519A">
        <w:t>ordre judiciaire ;</w:t>
      </w:r>
    </w:p>
    <w:p w:rsidRPr="0053519A" w:rsidR="00601F4E" w:rsidP="0053519A" w:rsidRDefault="00601F4E" w14:paraId="57F2CEB3" w14:textId="77777777">
      <w:pPr>
        <w:pStyle w:val="JuQuot"/>
      </w:pPr>
      <w:r w:rsidRPr="0053519A">
        <w:t>- engager une enquête sur le fonctionnement de l</w:t>
      </w:r>
      <w:r w:rsidRPr="0053519A" w:rsidR="0053519A">
        <w:t>’</w:t>
      </w:r>
      <w:r w:rsidRPr="0053519A">
        <w:t>ordre judiciaire. »</w:t>
      </w:r>
    </w:p>
    <w:bookmarkStart w:name="art259bis3CJ" w:id="16"/>
    <w:bookmarkEnd w:id="13"/>
    <w:p w:rsidRPr="0053519A" w:rsidR="00601F4E" w:rsidP="0053519A" w:rsidRDefault="00601F4E" w14:paraId="18F083D8" w14:textId="77777777">
      <w:pPr>
        <w:pStyle w:val="JuPara"/>
      </w:pPr>
      <w:r w:rsidRPr="0053519A">
        <w:fldChar w:fldCharType="begin"/>
      </w:r>
      <w:r w:rsidRPr="0053519A">
        <w:instrText xml:space="preserve"> SEQ level0 \*arabic </w:instrText>
      </w:r>
      <w:r w:rsidRPr="0053519A">
        <w:fldChar w:fldCharType="separate"/>
      </w:r>
      <w:r w:rsidRPr="0053519A" w:rsidR="0053519A">
        <w:rPr>
          <w:noProof/>
        </w:rPr>
        <w:t>20</w:t>
      </w:r>
      <w:r w:rsidRPr="0053519A">
        <w:fldChar w:fldCharType="end"/>
      </w:r>
      <w:bookmarkEnd w:id="16"/>
      <w:r w:rsidRPr="0053519A">
        <w:t>.  En ses parties pertinentes, l</w:t>
      </w:r>
      <w:r w:rsidRPr="0053519A" w:rsidR="0053519A">
        <w:t>’</w:t>
      </w:r>
      <w:r w:rsidRPr="0053519A">
        <w:t>article 259</w:t>
      </w:r>
      <w:r w:rsidRPr="0053519A">
        <w:rPr>
          <w:i/>
          <w:iCs/>
        </w:rPr>
        <w:t>bis</w:t>
      </w:r>
      <w:r w:rsidRPr="0053519A">
        <w:t>-3 du code judiciaire prévoit ce qui suit :</w:t>
      </w:r>
    </w:p>
    <w:p w:rsidRPr="0053519A" w:rsidR="00601F4E" w:rsidP="0053519A" w:rsidRDefault="00601F4E" w14:paraId="5DFEAEA3" w14:textId="77777777">
      <w:pPr>
        <w:pStyle w:val="JuQuot"/>
      </w:pPr>
      <w:r w:rsidRPr="0053519A">
        <w:t>« § 1. Les membres siègent au [CSJ] pour une période de quatre ans, prenant cours le jour de l</w:t>
      </w:r>
      <w:r w:rsidRPr="0053519A" w:rsidR="0053519A">
        <w:t>’</w:t>
      </w:r>
      <w:r w:rsidRPr="0053519A">
        <w:t>installation. Nul ne peut accomplir plus de deux mandats.</w:t>
      </w:r>
    </w:p>
    <w:p w:rsidRPr="0053519A" w:rsidR="00601F4E" w:rsidP="0053519A" w:rsidRDefault="00601F4E" w14:paraId="0E7E93C3" w14:textId="77777777">
      <w:pPr>
        <w:pStyle w:val="JuQuot"/>
      </w:pPr>
      <w:r w:rsidRPr="0053519A">
        <w:t>(...)</w:t>
      </w:r>
    </w:p>
    <w:p w:rsidRPr="0053519A" w:rsidR="00601F4E" w:rsidP="0053519A" w:rsidRDefault="00601F4E" w14:paraId="28F74C93" w14:textId="77777777">
      <w:pPr>
        <w:pStyle w:val="JuQuot"/>
      </w:pPr>
      <w:r w:rsidRPr="0053519A">
        <w:t>§ 4. Lorsque des motifs graves le justifient, il peut être mis fin au mandat d</w:t>
      </w:r>
      <w:r w:rsidRPr="0053519A" w:rsidR="0053519A">
        <w:t>’</w:t>
      </w:r>
      <w:r w:rsidRPr="0053519A">
        <w:t>un membre par le [CSJ], qui en décide à la majorité des deux tiers des suffrages émis dans chaque collège. Les décisions ne sont susceptibles d</w:t>
      </w:r>
      <w:r w:rsidRPr="0053519A" w:rsidR="0053519A">
        <w:t>’</w:t>
      </w:r>
      <w:r w:rsidRPr="0053519A">
        <w:t>aucun recours.</w:t>
      </w:r>
    </w:p>
    <w:p w:rsidRPr="0053519A" w:rsidR="00601F4E" w:rsidP="0053519A" w:rsidRDefault="00601F4E" w14:paraId="324167BD" w14:textId="77777777">
      <w:pPr>
        <w:pStyle w:val="JuQuot"/>
      </w:pPr>
      <w:r w:rsidRPr="0053519A">
        <w:t>Il ne peut être mis fin au mandat qu</w:t>
      </w:r>
      <w:r w:rsidRPr="0053519A" w:rsidR="0053519A">
        <w:t>’</w:t>
      </w:r>
      <w:r w:rsidRPr="0053519A">
        <w:t>après avoir entendu le membre à propos des motifs invoqués. Préalablement à cette audition, le [CSJ] constitue un dossier qui contient toutes les pièces en rapport avec les motifs invoqués.</w:t>
      </w:r>
    </w:p>
    <w:p w:rsidRPr="0053519A" w:rsidR="00601F4E" w:rsidP="0053519A" w:rsidRDefault="00601F4E" w14:paraId="12358A51" w14:textId="77777777">
      <w:pPr>
        <w:pStyle w:val="JuQuot"/>
      </w:pPr>
      <w:r w:rsidRPr="0053519A">
        <w:t>L</w:t>
      </w:r>
      <w:r w:rsidRPr="0053519A" w:rsidR="0053519A">
        <w:t>’</w:t>
      </w:r>
      <w:r w:rsidRPr="0053519A">
        <w:t>intéressé est convoqué au moins cinq jours avant l</w:t>
      </w:r>
      <w:r w:rsidRPr="0053519A" w:rsidR="0053519A">
        <w:t>’</w:t>
      </w:r>
      <w:r w:rsidRPr="0053519A">
        <w:t>audition par une lettre recommandée à la poste qui indique au moins :</w:t>
      </w:r>
    </w:p>
    <w:p w:rsidRPr="0053519A" w:rsidR="00601F4E" w:rsidP="0053519A" w:rsidRDefault="00601F4E" w14:paraId="2B07F1EF" w14:textId="77777777">
      <w:pPr>
        <w:pStyle w:val="JuQuot"/>
      </w:pPr>
      <w:r w:rsidRPr="0053519A">
        <w:t>1</w:t>
      </w:r>
      <w:r w:rsidRPr="0053519A">
        <w:rPr>
          <w:vertAlign w:val="superscript"/>
        </w:rPr>
        <w:t>o</w:t>
      </w:r>
      <w:r w:rsidRPr="0053519A">
        <w:t xml:space="preserve"> les motifs graves invoqués ;</w:t>
      </w:r>
    </w:p>
    <w:p w:rsidRPr="0053519A" w:rsidR="00601F4E" w:rsidP="0053519A" w:rsidRDefault="00601F4E" w14:paraId="6AD9339D" w14:textId="77777777">
      <w:pPr>
        <w:pStyle w:val="JuQuot"/>
      </w:pPr>
      <w:r w:rsidRPr="0053519A">
        <w:t>2</w:t>
      </w:r>
      <w:r w:rsidRPr="0053519A">
        <w:rPr>
          <w:vertAlign w:val="superscript"/>
        </w:rPr>
        <w:t>o</w:t>
      </w:r>
      <w:r w:rsidRPr="0053519A">
        <w:t xml:space="preserve"> le fait qu</w:t>
      </w:r>
      <w:r w:rsidRPr="0053519A" w:rsidR="0053519A">
        <w:t>’</w:t>
      </w:r>
      <w:r w:rsidRPr="0053519A">
        <w:t>il est envisagé de mettre fin au mandat ;</w:t>
      </w:r>
    </w:p>
    <w:p w:rsidRPr="0053519A" w:rsidR="00601F4E" w:rsidP="0053519A" w:rsidRDefault="00601F4E" w14:paraId="299E0D6A" w14:textId="77777777">
      <w:pPr>
        <w:pStyle w:val="JuQuot"/>
      </w:pPr>
      <w:r w:rsidRPr="0053519A">
        <w:t>3</w:t>
      </w:r>
      <w:r w:rsidRPr="0053519A">
        <w:rPr>
          <w:vertAlign w:val="superscript"/>
        </w:rPr>
        <w:t>o</w:t>
      </w:r>
      <w:r w:rsidRPr="0053519A">
        <w:t xml:space="preserve"> le lieu, le jour et l</w:t>
      </w:r>
      <w:r w:rsidRPr="0053519A" w:rsidR="0053519A">
        <w:t>’</w:t>
      </w:r>
      <w:r w:rsidRPr="0053519A">
        <w:t>heure de l</w:t>
      </w:r>
      <w:r w:rsidRPr="0053519A" w:rsidR="0053519A">
        <w:t>’</w:t>
      </w:r>
      <w:r w:rsidRPr="0053519A">
        <w:t>audition ;</w:t>
      </w:r>
    </w:p>
    <w:p w:rsidRPr="0053519A" w:rsidR="00601F4E" w:rsidP="0053519A" w:rsidRDefault="00601F4E" w14:paraId="2F756D42" w14:textId="77777777">
      <w:pPr>
        <w:pStyle w:val="JuQuot"/>
      </w:pPr>
      <w:r w:rsidRPr="0053519A">
        <w:t>4</w:t>
      </w:r>
      <w:r w:rsidRPr="0053519A">
        <w:rPr>
          <w:vertAlign w:val="superscript"/>
        </w:rPr>
        <w:t>o</w:t>
      </w:r>
      <w:r w:rsidRPr="0053519A">
        <w:t xml:space="preserve"> le droit, pour l</w:t>
      </w:r>
      <w:r w:rsidRPr="0053519A" w:rsidR="0053519A">
        <w:t>’</w:t>
      </w:r>
      <w:r w:rsidRPr="0053519A">
        <w:t>intéressé, de se faire assister par une personne de son choix ;</w:t>
      </w:r>
    </w:p>
    <w:p w:rsidRPr="0053519A" w:rsidR="00601F4E" w:rsidP="0053519A" w:rsidRDefault="00601F4E" w14:paraId="46ED36F9" w14:textId="77777777">
      <w:pPr>
        <w:pStyle w:val="JuQuot"/>
      </w:pPr>
      <w:r w:rsidRPr="0053519A">
        <w:t>5</w:t>
      </w:r>
      <w:r w:rsidRPr="0053519A">
        <w:rPr>
          <w:vertAlign w:val="superscript"/>
        </w:rPr>
        <w:t>o</w:t>
      </w:r>
      <w:r w:rsidRPr="0053519A">
        <w:t xml:space="preserve"> l</w:t>
      </w:r>
      <w:r w:rsidRPr="0053519A" w:rsidR="0053519A">
        <w:t>’</w:t>
      </w:r>
      <w:r w:rsidRPr="0053519A">
        <w:t>endroit où le dossier peut être consulté et le délai accordé à cet effet ;</w:t>
      </w:r>
    </w:p>
    <w:p w:rsidRPr="0053519A" w:rsidR="00601F4E" w:rsidP="0053519A" w:rsidRDefault="00601F4E" w14:paraId="1562B890" w14:textId="77777777">
      <w:pPr>
        <w:pStyle w:val="JuQuot"/>
      </w:pPr>
      <w:r w:rsidRPr="0053519A">
        <w:t>6</w:t>
      </w:r>
      <w:r w:rsidRPr="0053519A">
        <w:rPr>
          <w:vertAlign w:val="superscript"/>
        </w:rPr>
        <w:t>o</w:t>
      </w:r>
      <w:r w:rsidRPr="0053519A">
        <w:t xml:space="preserve"> le droit de faire appeler des témoins.</w:t>
      </w:r>
    </w:p>
    <w:p w:rsidRPr="0053519A" w:rsidR="00601F4E" w:rsidP="0053519A" w:rsidRDefault="00601F4E" w14:paraId="074F3872" w14:textId="77777777">
      <w:pPr>
        <w:pStyle w:val="JuQuot"/>
      </w:pPr>
      <w:r w:rsidRPr="0053519A">
        <w:t>L</w:t>
      </w:r>
      <w:r w:rsidRPr="0053519A" w:rsidR="0053519A">
        <w:t>’</w:t>
      </w:r>
      <w:r w:rsidRPr="0053519A">
        <w:t xml:space="preserve">intéressé et la personne qui </w:t>
      </w:r>
      <w:proofErr w:type="gramStart"/>
      <w:r w:rsidRPr="0053519A">
        <w:t>l</w:t>
      </w:r>
      <w:r w:rsidRPr="0053519A" w:rsidR="0053519A">
        <w:t>’</w:t>
      </w:r>
      <w:r w:rsidRPr="0053519A">
        <w:t>assiste</w:t>
      </w:r>
      <w:proofErr w:type="gramEnd"/>
      <w:r w:rsidRPr="0053519A">
        <w:t>, peuvent consulter le dossier à partir du jour de la convocation jusque et y compris la veille de l</w:t>
      </w:r>
      <w:r w:rsidRPr="0053519A" w:rsidR="0053519A">
        <w:t>’</w:t>
      </w:r>
      <w:r w:rsidRPr="0053519A">
        <w:t>audition.</w:t>
      </w:r>
    </w:p>
    <w:p w:rsidRPr="0053519A" w:rsidR="00601F4E" w:rsidP="0053519A" w:rsidRDefault="00601F4E" w14:paraId="05350F83" w14:textId="77777777">
      <w:pPr>
        <w:pStyle w:val="JuQuot"/>
      </w:pPr>
      <w:r w:rsidRPr="0053519A">
        <w:t>Il est dressé procès-verbal de l</w:t>
      </w:r>
      <w:r w:rsidRPr="0053519A" w:rsidR="0053519A">
        <w:t>’</w:t>
      </w:r>
      <w:r w:rsidRPr="0053519A">
        <w:t>audition. »</w:t>
      </w:r>
    </w:p>
    <w:bookmarkStart w:name="art259bis21" w:id="17"/>
    <w:p w:rsidRPr="0053519A" w:rsidR="00601F4E" w:rsidP="0053519A" w:rsidRDefault="00601F4E" w14:paraId="5FA0BA81" w14:textId="77777777">
      <w:pPr>
        <w:pStyle w:val="JuPara"/>
      </w:pPr>
      <w:r w:rsidRPr="0053519A">
        <w:fldChar w:fldCharType="begin"/>
      </w:r>
      <w:r w:rsidRPr="0053519A">
        <w:instrText xml:space="preserve"> SEQ level0 \*arabic </w:instrText>
      </w:r>
      <w:r w:rsidRPr="0053519A">
        <w:fldChar w:fldCharType="separate"/>
      </w:r>
      <w:r w:rsidRPr="0053519A" w:rsidR="0053519A">
        <w:rPr>
          <w:noProof/>
        </w:rPr>
        <w:t>21</w:t>
      </w:r>
      <w:r w:rsidRPr="0053519A">
        <w:fldChar w:fldCharType="end"/>
      </w:r>
      <w:bookmarkEnd w:id="17"/>
      <w:r w:rsidRPr="0053519A">
        <w:t>.  En ses parties pertinentes, l</w:t>
      </w:r>
      <w:r w:rsidRPr="0053519A" w:rsidR="0053519A">
        <w:t>’</w:t>
      </w:r>
      <w:r w:rsidRPr="0053519A">
        <w:t>article 259</w:t>
      </w:r>
      <w:r w:rsidRPr="0053519A">
        <w:rPr>
          <w:i/>
          <w:iCs/>
        </w:rPr>
        <w:t>bis</w:t>
      </w:r>
      <w:r w:rsidRPr="0053519A">
        <w:t>-21 du code judiciaire prévoit ce qui suit :</w:t>
      </w:r>
    </w:p>
    <w:p w:rsidRPr="0053519A" w:rsidR="00601F4E" w:rsidP="0053519A" w:rsidRDefault="00601F4E" w14:paraId="341FBD42" w14:textId="77777777">
      <w:pPr>
        <w:pStyle w:val="JuQuot"/>
        <w:rPr>
          <w:rFonts w:eastAsia="Times New Roman"/>
        </w:rPr>
      </w:pPr>
      <w:r w:rsidRPr="0053519A">
        <w:rPr>
          <w:rFonts w:eastAsia="Times New Roman"/>
        </w:rPr>
        <w:t>« § 1</w:t>
      </w:r>
      <w:r w:rsidRPr="0053519A">
        <w:rPr>
          <w:rFonts w:eastAsia="Times New Roman"/>
          <w:vertAlign w:val="superscript"/>
        </w:rPr>
        <w:t>er</w:t>
      </w:r>
      <w:r w:rsidRPr="0053519A">
        <w:rPr>
          <w:rFonts w:eastAsia="Times New Roman"/>
        </w:rPr>
        <w:t>. Les magistrats qui sont membres du bureau ont, sur une base annuelle, droit à une allocation de 15.000 EUR. Les non-magistrats qui sont membres du bureau bénéficient d</w:t>
      </w:r>
      <w:r w:rsidRPr="0053519A" w:rsidR="0053519A">
        <w:rPr>
          <w:rFonts w:eastAsia="Times New Roman"/>
        </w:rPr>
        <w:t>’</w:t>
      </w:r>
      <w:r w:rsidRPr="0053519A">
        <w:rPr>
          <w:rFonts w:eastAsia="Times New Roman"/>
        </w:rPr>
        <w:t>un traitement égal à celui de président de chambre de cour d</w:t>
      </w:r>
      <w:r w:rsidRPr="0053519A" w:rsidR="0053519A">
        <w:rPr>
          <w:rFonts w:eastAsia="Times New Roman"/>
        </w:rPr>
        <w:t>’</w:t>
      </w:r>
      <w:r w:rsidRPr="0053519A">
        <w:rPr>
          <w:rFonts w:eastAsia="Times New Roman"/>
        </w:rPr>
        <w:t>appel comptant vingt et un ans d</w:t>
      </w:r>
      <w:r w:rsidRPr="0053519A" w:rsidR="0053519A">
        <w:rPr>
          <w:rFonts w:eastAsia="Times New Roman"/>
        </w:rPr>
        <w:t>’</w:t>
      </w:r>
      <w:r w:rsidRPr="0053519A">
        <w:rPr>
          <w:rFonts w:eastAsia="Times New Roman"/>
        </w:rPr>
        <w:t>ancienneté utile.</w:t>
      </w:r>
    </w:p>
    <w:p w:rsidRPr="0053519A" w:rsidR="00601F4E" w:rsidP="0053519A" w:rsidRDefault="00601F4E" w14:paraId="40AC5103" w14:textId="77777777">
      <w:pPr>
        <w:pStyle w:val="JuQuot"/>
        <w:rPr>
          <w:rFonts w:eastAsia="Times New Roman"/>
        </w:rPr>
      </w:pPr>
      <w:r w:rsidRPr="0053519A">
        <w:rPr>
          <w:rFonts w:eastAsia="Times New Roman"/>
        </w:rPr>
        <w:t>L</w:t>
      </w:r>
      <w:r w:rsidRPr="0053519A" w:rsidR="0053519A">
        <w:rPr>
          <w:rFonts w:eastAsia="Times New Roman"/>
        </w:rPr>
        <w:t>’</w:t>
      </w:r>
      <w:r w:rsidRPr="0053519A">
        <w:rPr>
          <w:rFonts w:eastAsia="Times New Roman"/>
        </w:rPr>
        <w:t>article 362 est applicable au montant visé dans l</w:t>
      </w:r>
      <w:r w:rsidRPr="0053519A" w:rsidR="0053519A">
        <w:rPr>
          <w:rFonts w:eastAsia="Times New Roman"/>
        </w:rPr>
        <w:t>’</w:t>
      </w:r>
      <w:r w:rsidRPr="0053519A">
        <w:rPr>
          <w:rFonts w:eastAsia="Times New Roman"/>
        </w:rPr>
        <w:t>alinéa précédent.</w:t>
      </w:r>
    </w:p>
    <w:p w:rsidRPr="0053519A" w:rsidR="00601F4E" w:rsidP="0053519A" w:rsidRDefault="00601F4E" w14:paraId="2DACB73C" w14:textId="77777777">
      <w:pPr>
        <w:pStyle w:val="JuQuot"/>
        <w:rPr>
          <w:rFonts w:eastAsia="Times New Roman"/>
        </w:rPr>
      </w:pPr>
      <w:r w:rsidRPr="0053519A">
        <w:rPr>
          <w:rFonts w:eastAsia="Times New Roman"/>
        </w:rPr>
        <w:t>§ 2. (...)</w:t>
      </w:r>
    </w:p>
    <w:p w:rsidRPr="0053519A" w:rsidR="00601F4E" w:rsidP="0053519A" w:rsidRDefault="00601F4E" w14:paraId="55FE35CA" w14:textId="77777777">
      <w:pPr>
        <w:pStyle w:val="JuQuot"/>
        <w:rPr>
          <w:rFonts w:eastAsia="Times New Roman"/>
        </w:rPr>
      </w:pPr>
      <w:r w:rsidRPr="0053519A">
        <w:rPr>
          <w:rFonts w:eastAsia="Times New Roman"/>
        </w:rPr>
        <w:t>§ 3. Les membres du Conseil supérieur ont droit aux indemnités pour frais de déplacement et de séjour conformément aux dispositions applicables au personnel des ministères. Les personnes n</w:t>
      </w:r>
      <w:r w:rsidRPr="0053519A" w:rsidR="0053519A">
        <w:rPr>
          <w:rFonts w:eastAsia="Times New Roman"/>
        </w:rPr>
        <w:t>’</w:t>
      </w:r>
      <w:r w:rsidRPr="0053519A">
        <w:rPr>
          <w:rFonts w:eastAsia="Times New Roman"/>
        </w:rPr>
        <w:t>appartenant pas à l</w:t>
      </w:r>
      <w:r w:rsidRPr="0053519A" w:rsidR="0053519A">
        <w:rPr>
          <w:rFonts w:eastAsia="Times New Roman"/>
        </w:rPr>
        <w:t>’</w:t>
      </w:r>
      <w:r w:rsidRPr="0053519A">
        <w:rPr>
          <w:rFonts w:eastAsia="Times New Roman"/>
        </w:rPr>
        <w:t>administration ou dont le grade appartient à un rang indéterminé, sont assimilés aux fonctionnaires de rang 13. Le président est assimilé à un fonctionnaire de rang 17.</w:t>
      </w:r>
    </w:p>
    <w:p w:rsidRPr="0053519A" w:rsidR="00601F4E" w:rsidP="0053519A" w:rsidRDefault="00601F4E" w14:paraId="14625AAE" w14:textId="77777777">
      <w:pPr>
        <w:pStyle w:val="JuQuot"/>
        <w:rPr>
          <w:rFonts w:eastAsia="Times New Roman"/>
        </w:rPr>
      </w:pPr>
      <w:r w:rsidRPr="0053519A">
        <w:rPr>
          <w:rFonts w:eastAsia="Times New Roman"/>
        </w:rPr>
        <w:t>§ 4. Le Conseil supérieur peut octroyer une indemnité horaire à ses membres pour les travaux effectués hors des locaux du Conseil supérieur relatifs à la correction des examens et des concours ainsi que pour l</w:t>
      </w:r>
      <w:r w:rsidRPr="0053519A" w:rsidR="0053519A">
        <w:rPr>
          <w:rFonts w:eastAsia="Times New Roman"/>
        </w:rPr>
        <w:t>’</w:t>
      </w:r>
      <w:r w:rsidRPr="0053519A">
        <w:rPr>
          <w:rFonts w:eastAsia="Times New Roman"/>
        </w:rPr>
        <w:t>examen des plaintes, pour autant que ces prestations ne soient pas rémunérées sur base des §§ 2 et 3. »</w:t>
      </w:r>
    </w:p>
    <w:p w:rsidRPr="0053519A" w:rsidR="00601F4E" w:rsidP="0053519A" w:rsidRDefault="00601F4E" w14:paraId="1C3D85F4" w14:textId="77777777">
      <w:pPr>
        <w:pStyle w:val="JuPara"/>
      </w:pPr>
      <w:r w:rsidRPr="0053519A">
        <w:fldChar w:fldCharType="begin"/>
      </w:r>
      <w:r w:rsidRPr="0053519A">
        <w:instrText xml:space="preserve"> SEQ level0 \*arabic </w:instrText>
      </w:r>
      <w:r w:rsidRPr="0053519A">
        <w:fldChar w:fldCharType="separate"/>
      </w:r>
      <w:r w:rsidRPr="0053519A" w:rsidR="0053519A">
        <w:rPr>
          <w:noProof/>
        </w:rPr>
        <w:t>22</w:t>
      </w:r>
      <w:r w:rsidRPr="0053519A">
        <w:fldChar w:fldCharType="end"/>
      </w:r>
      <w:r w:rsidRPr="0053519A">
        <w:t>.  En vertu de l</w:t>
      </w:r>
      <w:r w:rsidRPr="0053519A" w:rsidR="0053519A">
        <w:t>’</w:t>
      </w:r>
      <w:r w:rsidRPr="0053519A">
        <w:t>article 21 du règlement d</w:t>
      </w:r>
      <w:r w:rsidRPr="0053519A" w:rsidR="0053519A">
        <w:t>’</w:t>
      </w:r>
      <w:r w:rsidRPr="0053519A">
        <w:t>ordre intérieur du CSJ, l</w:t>
      </w:r>
      <w:r w:rsidRPr="0053519A" w:rsidR="0053519A">
        <w:t>’</w:t>
      </w:r>
      <w:r w:rsidRPr="0053519A">
        <w:t>assemblée générale se réunit, en principe, à huis clos.</w:t>
      </w:r>
    </w:p>
    <w:p w:rsidRPr="0053519A" w:rsidR="00601F4E" w:rsidP="0053519A" w:rsidRDefault="00601F4E" w14:paraId="7F4892B7" w14:textId="77777777">
      <w:pPr>
        <w:pStyle w:val="JuHIRoman"/>
        <w:numPr>
          <w:ilvl w:val="1"/>
          <w:numId w:val="1"/>
        </w:numPr>
      </w:pPr>
      <w:r w:rsidRPr="0053519A">
        <w:t>Les recours mentionnés par les parties</w:t>
      </w:r>
    </w:p>
    <w:bookmarkStart w:name="art14LCCE" w:id="18"/>
    <w:p w:rsidRPr="0053519A" w:rsidR="00601F4E" w:rsidP="0053519A" w:rsidRDefault="00601F4E" w14:paraId="1E3175B6" w14:textId="77777777">
      <w:pPr>
        <w:pStyle w:val="JuPara"/>
        <w:rPr>
          <w:rFonts w:cstheme="minorHAnsi"/>
          <w:color w:val="000000"/>
        </w:rPr>
      </w:pPr>
      <w:r w:rsidRPr="0053519A">
        <w:fldChar w:fldCharType="begin"/>
      </w:r>
      <w:r w:rsidRPr="0053519A">
        <w:instrText xml:space="preserve"> SEQ level0 \*arabic </w:instrText>
      </w:r>
      <w:r w:rsidRPr="0053519A">
        <w:fldChar w:fldCharType="separate"/>
      </w:r>
      <w:r w:rsidRPr="0053519A" w:rsidR="0053519A">
        <w:rPr>
          <w:noProof/>
        </w:rPr>
        <w:t>23</w:t>
      </w:r>
      <w:r w:rsidRPr="0053519A">
        <w:fldChar w:fldCharType="end"/>
      </w:r>
      <w:bookmarkEnd w:id="18"/>
      <w:r w:rsidRPr="0053519A">
        <w:t>.  En ses parties pertinentes, l</w:t>
      </w:r>
      <w:r w:rsidRPr="0053519A" w:rsidR="0053519A">
        <w:rPr>
          <w:rFonts w:cstheme="minorHAnsi"/>
        </w:rPr>
        <w:t>’</w:t>
      </w:r>
      <w:r w:rsidRPr="0053519A">
        <w:rPr>
          <w:rFonts w:cstheme="minorHAnsi"/>
        </w:rPr>
        <w:t>article 14 § 1</w:t>
      </w:r>
      <w:r w:rsidRPr="0053519A">
        <w:rPr>
          <w:rFonts w:cstheme="minorHAnsi"/>
          <w:vertAlign w:val="superscript"/>
        </w:rPr>
        <w:t>er</w:t>
      </w:r>
      <w:r w:rsidRPr="0053519A">
        <w:rPr>
          <w:rFonts w:cstheme="minorHAnsi"/>
        </w:rPr>
        <w:t xml:space="preserve"> </w:t>
      </w:r>
      <w:r w:rsidRPr="0053519A">
        <w:rPr>
          <w:rFonts w:cstheme="minorHAnsi"/>
          <w:color w:val="000000"/>
        </w:rPr>
        <w:t>des lois sur le Conseil d</w:t>
      </w:r>
      <w:r w:rsidRPr="0053519A" w:rsidR="0053519A">
        <w:rPr>
          <w:rFonts w:cstheme="minorHAnsi"/>
          <w:color w:val="000000"/>
        </w:rPr>
        <w:t>’</w:t>
      </w:r>
      <w:r w:rsidRPr="0053519A">
        <w:rPr>
          <w:rFonts w:cstheme="minorHAnsi"/>
          <w:color w:val="000000"/>
        </w:rPr>
        <w:t>État, coordonnées le 12 janvier 1973 (« lois coordonnées sur le Conseil d</w:t>
      </w:r>
      <w:r w:rsidRPr="0053519A" w:rsidR="0053519A">
        <w:rPr>
          <w:rFonts w:cstheme="minorHAnsi"/>
          <w:color w:val="000000"/>
        </w:rPr>
        <w:t>’</w:t>
      </w:r>
      <w:r w:rsidRPr="0053519A">
        <w:rPr>
          <w:rFonts w:cstheme="minorHAnsi"/>
          <w:color w:val="000000"/>
        </w:rPr>
        <w:t>État »), tel qu</w:t>
      </w:r>
      <w:r w:rsidRPr="0053519A" w:rsidR="0053519A">
        <w:rPr>
          <w:rFonts w:cstheme="minorHAnsi"/>
          <w:color w:val="000000"/>
        </w:rPr>
        <w:t>’</w:t>
      </w:r>
      <w:r w:rsidRPr="0053519A">
        <w:rPr>
          <w:rFonts w:cstheme="minorHAnsi"/>
          <w:color w:val="000000"/>
        </w:rPr>
        <w:t>en vigueur à compter du 3 février 2014, prévoit ce qui suit :</w:t>
      </w:r>
    </w:p>
    <w:p w:rsidRPr="0053519A" w:rsidR="00601F4E" w:rsidP="0053519A" w:rsidRDefault="00601F4E" w14:paraId="6A7D8B13" w14:textId="77777777">
      <w:pPr>
        <w:pStyle w:val="JuQuot"/>
      </w:pPr>
      <w:r w:rsidRPr="0053519A">
        <w:t>« Si le contentieux n</w:t>
      </w:r>
      <w:r w:rsidRPr="0053519A" w:rsidR="0053519A">
        <w:t>’</w:t>
      </w:r>
      <w:r w:rsidRPr="0053519A">
        <w:t>est pas attribué par la loi à une autre juridiction, la section [du contentieux du Conseil d</w:t>
      </w:r>
      <w:r w:rsidRPr="0053519A" w:rsidR="0053519A">
        <w:t>’</w:t>
      </w:r>
      <w:r w:rsidRPr="0053519A">
        <w:t>État] statue par voie d</w:t>
      </w:r>
      <w:r w:rsidRPr="0053519A" w:rsidR="0053519A">
        <w:t>’</w:t>
      </w:r>
      <w:r w:rsidRPr="0053519A">
        <w:t>arrêts sur les recours en annulation pour violation des formes soit substantielles, soit prescrites à peine de nullité, excès ou détournement de pouvoir, formés contre les actes et règlements :</w:t>
      </w:r>
    </w:p>
    <w:p w:rsidRPr="0053519A" w:rsidR="00601F4E" w:rsidP="0053519A" w:rsidRDefault="00601F4E" w14:paraId="6D4D4E70" w14:textId="77777777">
      <w:pPr>
        <w:pStyle w:val="JuQuot"/>
      </w:pPr>
      <w:r w:rsidRPr="0053519A">
        <w:t>1</w:t>
      </w:r>
      <w:r w:rsidRPr="0053519A">
        <w:rPr>
          <w:vertAlign w:val="superscript"/>
        </w:rPr>
        <w:t>o</w:t>
      </w:r>
      <w:r w:rsidRPr="0053519A">
        <w:t xml:space="preserve"> des diverses autorités administratives ;</w:t>
      </w:r>
    </w:p>
    <w:p w:rsidRPr="0053519A" w:rsidR="00601F4E" w:rsidP="0053519A" w:rsidRDefault="00601F4E" w14:paraId="49C7062A" w14:textId="77777777">
      <w:pPr>
        <w:pStyle w:val="JuQuot"/>
      </w:pPr>
      <w:r w:rsidRPr="0053519A">
        <w:t>2</w:t>
      </w:r>
      <w:r w:rsidRPr="0053519A">
        <w:rPr>
          <w:vertAlign w:val="superscript"/>
        </w:rPr>
        <w:t>o</w:t>
      </w:r>
      <w:r w:rsidRPr="0053519A">
        <w:t xml:space="preserve"> des assemblées législatives ou de leurs organes, en ce compris les médiateurs institués auprès de ces assemblées, de la Cour des comptes et de la Cour constitutionnelle, du Conseil d</w:t>
      </w:r>
      <w:r w:rsidRPr="0053519A" w:rsidR="0053519A">
        <w:t>’</w:t>
      </w:r>
      <w:r w:rsidRPr="0053519A">
        <w:t>État et des juridictions administratives ainsi que des organes du pouvoir judiciaire et du Conseil supérieur de la Justice, relatifs aux marchés publics, aux membres de leur personnel, ainsi qu</w:t>
      </w:r>
      <w:r w:rsidRPr="0053519A" w:rsidR="0053519A">
        <w:t>’</w:t>
      </w:r>
      <w:r w:rsidRPr="0053519A">
        <w:t>au recrutement, à la désignation, à la nomination dans une fonction publique ou aux mesures ayant un caractère disciplinaire.</w:t>
      </w:r>
    </w:p>
    <w:p w:rsidRPr="0053519A" w:rsidR="00601F4E" w:rsidP="0053519A" w:rsidRDefault="00601F4E" w14:paraId="73444D40" w14:textId="77777777">
      <w:pPr>
        <w:pStyle w:val="JuQuot"/>
      </w:pPr>
      <w:r w:rsidRPr="0053519A">
        <w:t>(...) »</w:t>
      </w:r>
    </w:p>
    <w:bookmarkStart w:name="art1382codecivil" w:id="19"/>
    <w:p w:rsidRPr="0053519A" w:rsidR="00601F4E" w:rsidP="0053519A" w:rsidRDefault="00601F4E" w14:paraId="1E5481D8" w14:textId="77777777">
      <w:pPr>
        <w:pStyle w:val="JuPara"/>
      </w:pPr>
      <w:r w:rsidRPr="0053519A">
        <w:fldChar w:fldCharType="begin"/>
      </w:r>
      <w:r w:rsidRPr="0053519A">
        <w:instrText xml:space="preserve"> SEQ level0 \*arabic </w:instrText>
      </w:r>
      <w:r w:rsidRPr="0053519A">
        <w:fldChar w:fldCharType="separate"/>
      </w:r>
      <w:r w:rsidRPr="0053519A" w:rsidR="0053519A">
        <w:rPr>
          <w:noProof/>
        </w:rPr>
        <w:t>24</w:t>
      </w:r>
      <w:r w:rsidRPr="0053519A">
        <w:fldChar w:fldCharType="end"/>
      </w:r>
      <w:bookmarkEnd w:id="19"/>
      <w:r w:rsidRPr="0053519A">
        <w:t>.  Toute personne peut introduire devant le juge judiciaire une procédure contre l</w:t>
      </w:r>
      <w:r w:rsidRPr="0053519A" w:rsidR="0053519A">
        <w:t>’</w:t>
      </w:r>
      <w:r w:rsidRPr="0053519A">
        <w:t>État sur le fondement de l</w:t>
      </w:r>
      <w:r w:rsidRPr="0053519A" w:rsidR="0053519A">
        <w:t>’</w:t>
      </w:r>
      <w:r w:rsidRPr="0053519A">
        <w:t>article 1382 du code civil aux fins de le voir jugé responsable d</w:t>
      </w:r>
      <w:r w:rsidRPr="0053519A" w:rsidR="0053519A">
        <w:t>’</w:t>
      </w:r>
      <w:r w:rsidRPr="0053519A">
        <w:t>une faute et condamné à une réparation du dommage. L</w:t>
      </w:r>
      <w:r w:rsidRPr="0053519A" w:rsidR="0053519A">
        <w:t>’</w:t>
      </w:r>
      <w:r w:rsidRPr="0053519A">
        <w:t>article 1382 du code civil est ainsi rédigé :</w:t>
      </w:r>
    </w:p>
    <w:p w:rsidRPr="0053519A" w:rsidR="00601F4E" w:rsidP="0053519A" w:rsidRDefault="00601F4E" w14:paraId="2B05FD08" w14:textId="77777777">
      <w:pPr>
        <w:pStyle w:val="JuQuot"/>
      </w:pPr>
      <w:r w:rsidRPr="0053519A">
        <w:t>« Tout fait quelconque de l</w:t>
      </w:r>
      <w:r w:rsidRPr="0053519A" w:rsidR="0053519A">
        <w:t>’</w:t>
      </w:r>
      <w:r w:rsidRPr="0053519A">
        <w:t>homme, qui cause à autrui un dommage, oblige celui par la faute duquel il est arrivé, à le réparer. »</w:t>
      </w:r>
    </w:p>
    <w:bookmarkStart w:name="art584CJ" w:id="20"/>
    <w:p w:rsidRPr="0053519A" w:rsidR="00601F4E" w:rsidP="0053519A" w:rsidRDefault="00601F4E" w14:paraId="1FC8F346" w14:textId="77777777">
      <w:pPr>
        <w:pStyle w:val="JuPara"/>
      </w:pPr>
      <w:r w:rsidRPr="0053519A">
        <w:fldChar w:fldCharType="begin"/>
      </w:r>
      <w:r w:rsidRPr="0053519A">
        <w:instrText xml:space="preserve"> SEQ level0 \*arabic </w:instrText>
      </w:r>
      <w:r w:rsidRPr="0053519A">
        <w:fldChar w:fldCharType="separate"/>
      </w:r>
      <w:r w:rsidRPr="0053519A" w:rsidR="0053519A">
        <w:rPr>
          <w:noProof/>
        </w:rPr>
        <w:t>25</w:t>
      </w:r>
      <w:r w:rsidRPr="0053519A">
        <w:fldChar w:fldCharType="end"/>
      </w:r>
      <w:bookmarkEnd w:id="20"/>
      <w:r w:rsidRPr="0053519A">
        <w:t>.  Toute personne qui s</w:t>
      </w:r>
      <w:r w:rsidRPr="0053519A" w:rsidR="0053519A">
        <w:t>’</w:t>
      </w:r>
      <w:r w:rsidRPr="0053519A">
        <w:t>estime lésée dans ses droits peut, sur le fondement de l</w:t>
      </w:r>
      <w:r w:rsidRPr="0053519A" w:rsidR="0053519A">
        <w:t>’</w:t>
      </w:r>
      <w:r w:rsidRPr="0053519A">
        <w:t>article 584 du code judiciaire, saisir d</w:t>
      </w:r>
      <w:r w:rsidRPr="0053519A" w:rsidR="0053519A">
        <w:t>’</w:t>
      </w:r>
      <w:r w:rsidRPr="0053519A">
        <w:t>une action en référé le président du tribunal de première instance compétent. Celui-ci statue au provisoire en vue de prévenir ou de faire cesser une atteinte à un droit subjectif estimée irrégulière lorsqu</w:t>
      </w:r>
      <w:r w:rsidRPr="0053519A" w:rsidR="0053519A">
        <w:t>’</w:t>
      </w:r>
      <w:r w:rsidRPr="0053519A">
        <w:t>il reconnaît l</w:t>
      </w:r>
      <w:r w:rsidRPr="0053519A" w:rsidR="0053519A">
        <w:t>’</w:t>
      </w:r>
      <w:r w:rsidRPr="0053519A">
        <w:t>urgence de la situation. En ses parties pertinentes, l</w:t>
      </w:r>
      <w:r w:rsidRPr="0053519A" w:rsidR="0053519A">
        <w:t>’</w:t>
      </w:r>
      <w:r w:rsidRPr="0053519A">
        <w:t>article 584 du code judiciaire prévoit ce qui suit :</w:t>
      </w:r>
    </w:p>
    <w:p w:rsidRPr="0053519A" w:rsidR="00601F4E" w:rsidP="0053519A" w:rsidRDefault="00601F4E" w14:paraId="7B299653" w14:textId="77777777">
      <w:pPr>
        <w:pStyle w:val="JuQuot"/>
      </w:pPr>
      <w:r w:rsidRPr="0053519A">
        <w:t>« Le président du tribunal de première instance statue au provisoire dans les cas dont il reconnaît l</w:t>
      </w:r>
      <w:r w:rsidRPr="0053519A" w:rsidR="0053519A">
        <w:t>’</w:t>
      </w:r>
      <w:r w:rsidRPr="0053519A">
        <w:t>urgence, en toutes matières, sauf celles que la loi soustrait au pouvoir judiciaire.</w:t>
      </w:r>
    </w:p>
    <w:p w:rsidRPr="0053519A" w:rsidR="00601F4E" w:rsidP="0053519A" w:rsidRDefault="00601F4E" w14:paraId="0578DC73" w14:textId="77777777">
      <w:pPr>
        <w:pStyle w:val="JuQuot"/>
      </w:pPr>
      <w:r w:rsidRPr="0053519A">
        <w:t>(...)</w:t>
      </w:r>
      <w:r w:rsidRPr="0053519A" w:rsidR="00D94931">
        <w:t> </w:t>
      </w:r>
      <w:r w:rsidRPr="0053519A">
        <w:t>»</w:t>
      </w:r>
    </w:p>
    <w:p w:rsidRPr="0053519A" w:rsidR="00601F4E" w:rsidP="0053519A" w:rsidRDefault="00601F4E" w14:paraId="08ADE9A5" w14:textId="77777777">
      <w:pPr>
        <w:pStyle w:val="JuHHead"/>
        <w:numPr>
          <w:ilvl w:val="0"/>
          <w:numId w:val="1"/>
        </w:numPr>
      </w:pPr>
      <w:bookmarkStart w:name="_Hlk36127250" w:id="21"/>
      <w:r w:rsidRPr="0053519A">
        <w:rPr>
          <w:caps w:val="0"/>
        </w:rPr>
        <w:t>EN DROIT</w:t>
      </w:r>
    </w:p>
    <w:bookmarkEnd w:id="21"/>
    <w:p w:rsidRPr="0053519A" w:rsidR="00601F4E" w:rsidP="0053519A" w:rsidRDefault="00601F4E" w14:paraId="12E90575" w14:textId="77777777">
      <w:pPr>
        <w:pStyle w:val="JuHIRoman"/>
        <w:numPr>
          <w:ilvl w:val="1"/>
          <w:numId w:val="1"/>
        </w:numPr>
      </w:pPr>
      <w:r w:rsidRPr="0053519A">
        <w:t>JONCTION DES REQUÊTES</w:t>
      </w:r>
    </w:p>
    <w:p w:rsidRPr="0053519A" w:rsidR="00601F4E" w:rsidP="0053519A" w:rsidRDefault="00601F4E" w14:paraId="10831AEB" w14:textId="77777777">
      <w:pPr>
        <w:pStyle w:val="JuPara"/>
      </w:pPr>
      <w:r w:rsidRPr="0053519A">
        <w:fldChar w:fldCharType="begin"/>
      </w:r>
      <w:r w:rsidRPr="0053519A">
        <w:instrText xml:space="preserve"> SEQ level0 \*arabic </w:instrText>
      </w:r>
      <w:r w:rsidRPr="0053519A">
        <w:fldChar w:fldCharType="separate"/>
      </w:r>
      <w:r w:rsidRPr="0053519A" w:rsidR="0053519A">
        <w:rPr>
          <w:noProof/>
        </w:rPr>
        <w:t>26</w:t>
      </w:r>
      <w:r w:rsidRPr="0053519A">
        <w:fldChar w:fldCharType="end"/>
      </w:r>
      <w:r w:rsidRPr="0053519A">
        <w:t>.  Eu égard à la similarité de l</w:t>
      </w:r>
      <w:r w:rsidRPr="0053519A" w:rsidR="0053519A">
        <w:t>’</w:t>
      </w:r>
      <w:r w:rsidRPr="0053519A">
        <w:t>objet des requêtes, la Cour juge opportun de les examiner ensemble dans un arrêt unique.</w:t>
      </w:r>
    </w:p>
    <w:p w:rsidRPr="0053519A" w:rsidR="00601F4E" w:rsidP="0053519A" w:rsidRDefault="00601F4E" w14:paraId="10AC72CE" w14:textId="77777777">
      <w:pPr>
        <w:pStyle w:val="JuHIRoman"/>
        <w:numPr>
          <w:ilvl w:val="1"/>
          <w:numId w:val="1"/>
        </w:numPr>
      </w:pPr>
      <w:bookmarkStart w:name="_Hlk36127423" w:id="22"/>
      <w:bookmarkStart w:name="_Hlk34839031" w:id="23"/>
      <w:r w:rsidRPr="0053519A">
        <w:t>SUR LA VIOLATION ALLÉGUÉE DE L</w:t>
      </w:r>
      <w:r w:rsidRPr="0053519A" w:rsidR="0053519A">
        <w:t>’</w:t>
      </w:r>
      <w:r w:rsidRPr="0053519A">
        <w:t>ARTICLE 6 § 1 DE LA CONVENTION</w:t>
      </w:r>
      <w:bookmarkEnd w:id="22"/>
      <w:r w:rsidRPr="0053519A">
        <w:t xml:space="preserve"> concernant l</w:t>
      </w:r>
      <w:r w:rsidRPr="0053519A" w:rsidR="0053519A">
        <w:t>’</w:t>
      </w:r>
      <w:r w:rsidRPr="0053519A">
        <w:t>accès à un tribunal</w:t>
      </w:r>
    </w:p>
    <w:p w:rsidRPr="0053519A" w:rsidR="00601F4E" w:rsidP="0053519A" w:rsidRDefault="00601F4E" w14:paraId="42BCFC9D" w14:textId="77777777">
      <w:pPr>
        <w:pStyle w:val="JuPara"/>
        <w:rPr>
          <w:rStyle w:val="JuParaChar"/>
        </w:rPr>
      </w:pPr>
      <w:r w:rsidRPr="0053519A">
        <w:fldChar w:fldCharType="begin"/>
      </w:r>
      <w:r w:rsidRPr="0053519A">
        <w:instrText xml:space="preserve"> SEQ level0 \*arabic </w:instrText>
      </w:r>
      <w:r w:rsidRPr="0053519A">
        <w:fldChar w:fldCharType="separate"/>
      </w:r>
      <w:r w:rsidRPr="0053519A" w:rsidR="0053519A">
        <w:rPr>
          <w:noProof/>
        </w:rPr>
        <w:t>27</w:t>
      </w:r>
      <w:r w:rsidRPr="0053519A">
        <w:fldChar w:fldCharType="end"/>
      </w:r>
      <w:r w:rsidRPr="0053519A">
        <w:t>.  </w:t>
      </w:r>
      <w:r w:rsidRPr="0053519A">
        <w:rPr>
          <w:rStyle w:val="JuParaChar"/>
        </w:rPr>
        <w:t xml:space="preserve">La requérante </w:t>
      </w:r>
      <w:bookmarkStart w:name="_Hlk36127488" w:id="24"/>
      <w:r w:rsidRPr="0053519A">
        <w:rPr>
          <w:rStyle w:val="JuParaChar"/>
        </w:rPr>
        <w:t>allègue que la sanction disciplinaire déguisée prise à son encontre a été décidée par un organe qui n</w:t>
      </w:r>
      <w:r w:rsidRPr="0053519A" w:rsidR="0053519A">
        <w:rPr>
          <w:rStyle w:val="JuParaChar"/>
        </w:rPr>
        <w:t>’</w:t>
      </w:r>
      <w:r w:rsidRPr="0053519A">
        <w:rPr>
          <w:rStyle w:val="JuParaChar"/>
        </w:rPr>
        <w:t>est pas une instance juridictionnelle et qu</w:t>
      </w:r>
      <w:r w:rsidRPr="0053519A" w:rsidR="0053519A">
        <w:rPr>
          <w:rStyle w:val="JuParaChar"/>
        </w:rPr>
        <w:t>’</w:t>
      </w:r>
      <w:r w:rsidRPr="0053519A">
        <w:rPr>
          <w:rStyle w:val="JuParaChar"/>
        </w:rPr>
        <w:t>aucun recours n</w:t>
      </w:r>
      <w:r w:rsidRPr="0053519A" w:rsidR="0053519A">
        <w:rPr>
          <w:rStyle w:val="JuParaChar"/>
        </w:rPr>
        <w:t>’</w:t>
      </w:r>
      <w:r w:rsidRPr="0053519A">
        <w:rPr>
          <w:rStyle w:val="JuParaChar"/>
        </w:rPr>
        <w:t>était possible pour contester la mesure litigieuse.</w:t>
      </w:r>
      <w:bookmarkEnd w:id="24"/>
      <w:r w:rsidRPr="0053519A">
        <w:rPr>
          <w:rStyle w:val="JuParaChar"/>
        </w:rPr>
        <w:t xml:space="preserve"> Elle invoque </w:t>
      </w:r>
      <w:bookmarkStart w:name="_Hlk36127508" w:id="25"/>
      <w:r w:rsidRPr="0053519A">
        <w:rPr>
          <w:rStyle w:val="JuParaChar"/>
        </w:rPr>
        <w:t>l</w:t>
      </w:r>
      <w:r w:rsidRPr="0053519A" w:rsidR="0053519A">
        <w:rPr>
          <w:rStyle w:val="JuParaChar"/>
        </w:rPr>
        <w:t>’</w:t>
      </w:r>
      <w:r w:rsidRPr="0053519A">
        <w:rPr>
          <w:rStyle w:val="JuParaChar"/>
        </w:rPr>
        <w:t>article 6 § 1 de la Convention, qui, en ses parties pertinentes, est ainsi libellé :</w:t>
      </w:r>
    </w:p>
    <w:p w:rsidRPr="0053519A" w:rsidR="00601F4E" w:rsidP="0053519A" w:rsidRDefault="00601F4E" w14:paraId="6733DA37" w14:textId="77777777">
      <w:pPr>
        <w:pStyle w:val="JuQuot"/>
      </w:pPr>
      <w:bookmarkStart w:name="_Hlk36127545" w:id="26"/>
      <w:bookmarkEnd w:id="25"/>
      <w:r w:rsidRPr="0053519A">
        <w:t>« Toute personne a droit à ce que sa cause soit entendue équitablement (...) par un tribunal (...), qui décidera (...) des contestations sur ses droits et obligations de caractère civil (...) »</w:t>
      </w:r>
    </w:p>
    <w:p w:rsidRPr="0053519A" w:rsidR="00601F4E" w:rsidP="0053519A" w:rsidRDefault="00601F4E" w14:paraId="4B475F40" w14:textId="77777777">
      <w:pPr>
        <w:pStyle w:val="JuHA"/>
        <w:numPr>
          <w:ilvl w:val="2"/>
          <w:numId w:val="2"/>
        </w:numPr>
      </w:pPr>
      <w:r w:rsidRPr="0053519A">
        <w:t>Sur la recevabilité</w:t>
      </w:r>
      <w:bookmarkEnd w:id="26"/>
    </w:p>
    <w:p w:rsidRPr="0053519A" w:rsidR="00601F4E" w:rsidP="0053519A" w:rsidRDefault="00601F4E" w14:paraId="0C1DE9FA" w14:textId="77777777">
      <w:pPr>
        <w:pStyle w:val="JuH1"/>
        <w:numPr>
          <w:ilvl w:val="3"/>
          <w:numId w:val="1"/>
        </w:numPr>
      </w:pPr>
      <w:r w:rsidRPr="0053519A">
        <w:t>Sur l</w:t>
      </w:r>
      <w:r w:rsidRPr="0053519A" w:rsidR="0053519A">
        <w:t>’</w:t>
      </w:r>
      <w:r w:rsidRPr="0053519A">
        <w:t>applicabilité de l</w:t>
      </w:r>
      <w:r w:rsidRPr="0053519A" w:rsidR="0053519A">
        <w:t>’</w:t>
      </w:r>
      <w:r w:rsidRPr="0053519A">
        <w:t>article 6 § 1 de la Convention</w:t>
      </w:r>
    </w:p>
    <w:p w:rsidRPr="0053519A" w:rsidR="00601F4E" w:rsidP="0053519A" w:rsidRDefault="00601F4E" w14:paraId="72A5D97C" w14:textId="77777777">
      <w:pPr>
        <w:pStyle w:val="JuPara"/>
      </w:pPr>
      <w:r w:rsidRPr="0053519A">
        <w:fldChar w:fldCharType="begin"/>
      </w:r>
      <w:r w:rsidRPr="0053519A">
        <w:instrText xml:space="preserve"> SEQ level0 \*arabic </w:instrText>
      </w:r>
      <w:r w:rsidRPr="0053519A">
        <w:fldChar w:fldCharType="separate"/>
      </w:r>
      <w:r w:rsidRPr="0053519A" w:rsidR="0053519A">
        <w:rPr>
          <w:noProof/>
        </w:rPr>
        <w:t>28</w:t>
      </w:r>
      <w:r w:rsidRPr="0053519A">
        <w:fldChar w:fldCharType="end"/>
      </w:r>
      <w:r w:rsidRPr="0053519A">
        <w:t>.  Le Gouvernement ne conteste pas expressément l</w:t>
      </w:r>
      <w:r w:rsidRPr="0053519A" w:rsidR="0053519A">
        <w:t>’</w:t>
      </w:r>
      <w:r w:rsidRPr="0053519A">
        <w:t>applicabilité de l</w:t>
      </w:r>
      <w:r w:rsidRPr="0053519A" w:rsidR="0053519A">
        <w:t>’</w:t>
      </w:r>
      <w:r w:rsidRPr="0053519A">
        <w:t>article</w:t>
      </w:r>
      <w:r w:rsidRPr="0053519A" w:rsidR="00180F62">
        <w:t> </w:t>
      </w:r>
      <w:r w:rsidRPr="0053519A">
        <w:t>6 § 1 de la Convention en l</w:t>
      </w:r>
      <w:r w:rsidRPr="0053519A" w:rsidR="0053519A">
        <w:t>’</w:t>
      </w:r>
      <w:r w:rsidRPr="0053519A">
        <w:t>espèce. Il souligne en revanche à plusieurs reprises, sans en tirer de conséquence au regard de la Convention, qu</w:t>
      </w:r>
      <w:r w:rsidRPr="0053519A" w:rsidR="0053519A">
        <w:t>’</w:t>
      </w:r>
      <w:r w:rsidRPr="0053519A">
        <w:t>il n</w:t>
      </w:r>
      <w:r w:rsidRPr="0053519A" w:rsidR="0053519A">
        <w:t>’</w:t>
      </w:r>
      <w:r w:rsidRPr="0053519A">
        <w:t>a pas été mis fin au mandat de la requérante mais que celle-ci a seulement été suspendue de manière préventive et provisoire de ses fonctions. Le Gouvernement estime que cela constitue une mesure d</w:t>
      </w:r>
      <w:r w:rsidRPr="0053519A" w:rsidR="0053519A">
        <w:t>’</w:t>
      </w:r>
      <w:r w:rsidRPr="0053519A">
        <w:t>ordre purement administrative prise dans l</w:t>
      </w:r>
      <w:r w:rsidRPr="0053519A" w:rsidR="0053519A">
        <w:t>’</w:t>
      </w:r>
      <w:r w:rsidRPr="0053519A">
        <w:t>intérêt de l</w:t>
      </w:r>
      <w:r w:rsidRPr="0053519A" w:rsidR="0053519A">
        <w:t>’</w:t>
      </w:r>
      <w:r w:rsidRPr="0053519A">
        <w:t>institution, qui ne découle pas d</w:t>
      </w:r>
      <w:r w:rsidRPr="0053519A" w:rsidR="0053519A">
        <w:t>’</w:t>
      </w:r>
      <w:r w:rsidRPr="0053519A">
        <w:t>une procédure disciplinaire et n</w:t>
      </w:r>
      <w:r w:rsidRPr="0053519A" w:rsidR="0053519A">
        <w:t>’</w:t>
      </w:r>
      <w:r w:rsidRPr="0053519A">
        <w:t>entend pas sanctionner la requérante.</w:t>
      </w:r>
    </w:p>
    <w:p w:rsidRPr="0053519A" w:rsidR="00601F4E" w:rsidP="0053519A" w:rsidRDefault="00601F4E" w14:paraId="5F9556B1" w14:textId="77777777">
      <w:pPr>
        <w:pStyle w:val="JuPara"/>
        <w:rPr>
          <w:snapToGrid w:val="0"/>
        </w:rPr>
      </w:pPr>
      <w:r w:rsidRPr="0053519A">
        <w:rPr>
          <w:rFonts w:cstheme="minorHAnsi"/>
        </w:rPr>
        <w:fldChar w:fldCharType="begin"/>
      </w:r>
      <w:r w:rsidRPr="0053519A">
        <w:rPr>
          <w:rFonts w:cstheme="minorHAnsi"/>
        </w:rPr>
        <w:instrText xml:space="preserve"> SEQ level0 \*arabic </w:instrText>
      </w:r>
      <w:r w:rsidRPr="0053519A">
        <w:rPr>
          <w:rFonts w:cstheme="minorHAnsi"/>
        </w:rPr>
        <w:fldChar w:fldCharType="separate"/>
      </w:r>
      <w:r w:rsidRPr="0053519A" w:rsidR="0053519A">
        <w:rPr>
          <w:rFonts w:cstheme="minorHAnsi"/>
          <w:noProof/>
        </w:rPr>
        <w:t>29</w:t>
      </w:r>
      <w:r w:rsidRPr="0053519A">
        <w:rPr>
          <w:rFonts w:cstheme="minorHAnsi"/>
        </w:rPr>
        <w:fldChar w:fldCharType="end"/>
      </w:r>
      <w:r w:rsidRPr="0053519A">
        <w:rPr>
          <w:rFonts w:cstheme="minorHAnsi"/>
        </w:rPr>
        <w:t xml:space="preserve">.  La Cour rappelle que </w:t>
      </w:r>
      <w:r w:rsidRPr="0053519A">
        <w:rPr>
          <w:rFonts w:cstheme="minorHAnsi"/>
          <w:color w:val="000000"/>
        </w:rPr>
        <w:t>l</w:t>
      </w:r>
      <w:r w:rsidRPr="0053519A" w:rsidR="0053519A">
        <w:rPr>
          <w:rFonts w:cstheme="minorHAnsi"/>
          <w:color w:val="000000"/>
        </w:rPr>
        <w:t>’</w:t>
      </w:r>
      <w:r w:rsidRPr="0053519A">
        <w:rPr>
          <w:rFonts w:cstheme="minorHAnsi"/>
          <w:color w:val="000000"/>
        </w:rPr>
        <w:t>applicabilité de la Convention définit l</w:t>
      </w:r>
      <w:r w:rsidRPr="0053519A" w:rsidR="0053519A">
        <w:rPr>
          <w:rFonts w:cstheme="minorHAnsi"/>
          <w:color w:val="000000"/>
        </w:rPr>
        <w:t>’</w:t>
      </w:r>
      <w:r w:rsidRPr="0053519A">
        <w:rPr>
          <w:rFonts w:cstheme="minorHAnsi"/>
          <w:color w:val="000000"/>
        </w:rPr>
        <w:t>étendue de la compétence de la Cour. Cette question doit donc être examinée d</w:t>
      </w:r>
      <w:r w:rsidRPr="0053519A" w:rsidR="0053519A">
        <w:rPr>
          <w:rFonts w:cstheme="minorHAnsi"/>
          <w:color w:val="000000"/>
        </w:rPr>
        <w:t>’</w:t>
      </w:r>
      <w:r w:rsidRPr="0053519A">
        <w:rPr>
          <w:rFonts w:cstheme="minorHAnsi"/>
          <w:color w:val="000000"/>
        </w:rPr>
        <w:t>office à chaque stade de la procédure (</w:t>
      </w:r>
      <w:proofErr w:type="spellStart"/>
      <w:r w:rsidRPr="0053519A">
        <w:rPr>
          <w:rFonts w:cstheme="minorHAnsi"/>
          <w:i/>
          <w:iCs/>
          <w:color w:val="000000"/>
        </w:rPr>
        <w:t>Blečić</w:t>
      </w:r>
      <w:proofErr w:type="spellEnd"/>
      <w:r w:rsidRPr="0053519A">
        <w:rPr>
          <w:rFonts w:cstheme="minorHAnsi"/>
          <w:i/>
          <w:iCs/>
          <w:color w:val="000000"/>
        </w:rPr>
        <w:t xml:space="preserve"> c. Croatie</w:t>
      </w:r>
      <w:r w:rsidRPr="0053519A">
        <w:rPr>
          <w:rFonts w:cstheme="minorHAnsi"/>
          <w:color w:val="000000"/>
        </w:rPr>
        <w:t> [GC], n</w:t>
      </w:r>
      <w:r w:rsidRPr="0053519A">
        <w:rPr>
          <w:rFonts w:cstheme="minorHAnsi"/>
          <w:color w:val="000000"/>
          <w:vertAlign w:val="superscript"/>
        </w:rPr>
        <w:t>o</w:t>
      </w:r>
      <w:r w:rsidRPr="0053519A" w:rsidR="00180F62">
        <w:rPr>
          <w:rFonts w:cstheme="minorHAnsi"/>
          <w:color w:val="000000"/>
        </w:rPr>
        <w:t> </w:t>
      </w:r>
      <w:r w:rsidRPr="0053519A">
        <w:rPr>
          <w:rFonts w:cstheme="minorHAnsi"/>
          <w:color w:val="000000"/>
        </w:rPr>
        <w:t>59532/00, § 67, CEDH 2006</w:t>
      </w:r>
      <w:r w:rsidRPr="0053519A">
        <w:rPr>
          <w:rFonts w:cstheme="minorHAnsi"/>
          <w:color w:val="000000"/>
        </w:rPr>
        <w:noBreakHyphen/>
        <w:t xml:space="preserve">III, </w:t>
      </w:r>
      <w:r w:rsidRPr="0053519A">
        <w:rPr>
          <w:rFonts w:cstheme="minorHAnsi"/>
          <w:i/>
          <w:iCs/>
          <w:color w:val="000000"/>
        </w:rPr>
        <w:t>Pasquini c.</w:t>
      </w:r>
      <w:r w:rsidRPr="0053519A" w:rsidR="00D94931">
        <w:rPr>
          <w:rFonts w:cstheme="minorHAnsi"/>
          <w:i/>
          <w:iCs/>
          <w:color w:val="000000"/>
        </w:rPr>
        <w:t> </w:t>
      </w:r>
      <w:r w:rsidRPr="0053519A">
        <w:rPr>
          <w:rFonts w:cstheme="minorHAnsi"/>
          <w:i/>
          <w:iCs/>
          <w:color w:val="000000"/>
        </w:rPr>
        <w:t>Saint-Marin</w:t>
      </w:r>
      <w:r w:rsidRPr="0053519A">
        <w:rPr>
          <w:rFonts w:cstheme="minorHAnsi"/>
          <w:color w:val="000000"/>
        </w:rPr>
        <w:t>, n</w:t>
      </w:r>
      <w:r w:rsidRPr="0053519A">
        <w:rPr>
          <w:rFonts w:cstheme="minorHAnsi"/>
          <w:color w:val="000000"/>
          <w:vertAlign w:val="superscript"/>
        </w:rPr>
        <w:t>o</w:t>
      </w:r>
      <w:r w:rsidRPr="0053519A" w:rsidR="00D94931">
        <w:rPr>
          <w:rFonts w:cstheme="minorHAnsi"/>
          <w:color w:val="000000"/>
        </w:rPr>
        <w:t> </w:t>
      </w:r>
      <w:r w:rsidRPr="0053519A">
        <w:rPr>
          <w:rFonts w:cstheme="minorHAnsi"/>
          <w:color w:val="000000"/>
        </w:rPr>
        <w:t xml:space="preserve">50956/16, § 86, 2 mai 2019, et </w:t>
      </w:r>
      <w:r w:rsidRPr="0053519A">
        <w:rPr>
          <w:i/>
          <w:snapToGrid w:val="0"/>
        </w:rPr>
        <w:t>Jeanty c. Belgique</w:t>
      </w:r>
      <w:r w:rsidRPr="0053519A">
        <w:rPr>
          <w:snapToGrid w:val="0"/>
        </w:rPr>
        <w:t>, n</w:t>
      </w:r>
      <w:r w:rsidRPr="0053519A">
        <w:rPr>
          <w:snapToGrid w:val="0"/>
          <w:vertAlign w:val="superscript"/>
        </w:rPr>
        <w:t>o</w:t>
      </w:r>
      <w:r w:rsidRPr="0053519A">
        <w:rPr>
          <w:snapToGrid w:val="0"/>
        </w:rPr>
        <w:t xml:space="preserve"> 82284/17, § 58, 31 mars 2020</w:t>
      </w:r>
      <w:r w:rsidRPr="0053519A">
        <w:rPr>
          <w:rFonts w:cstheme="minorHAnsi"/>
          <w:color w:val="000000"/>
        </w:rPr>
        <w:t>).</w:t>
      </w:r>
    </w:p>
    <w:p w:rsidRPr="0053519A" w:rsidR="00601F4E" w:rsidP="0053519A" w:rsidRDefault="00601F4E" w14:paraId="7F2BACD2" w14:textId="77777777">
      <w:pPr>
        <w:pStyle w:val="JuPara"/>
        <w:rPr>
          <w:rFonts w:cstheme="minorHAnsi"/>
          <w:color w:val="000000"/>
        </w:rPr>
      </w:pPr>
      <w:r w:rsidRPr="0053519A">
        <w:fldChar w:fldCharType="begin"/>
      </w:r>
      <w:r w:rsidRPr="0053519A">
        <w:instrText xml:space="preserve"> SEQ level0 \*arabic </w:instrText>
      </w:r>
      <w:r w:rsidRPr="0053519A">
        <w:fldChar w:fldCharType="separate"/>
      </w:r>
      <w:r w:rsidRPr="0053519A" w:rsidR="0053519A">
        <w:rPr>
          <w:noProof/>
        </w:rPr>
        <w:t>30</w:t>
      </w:r>
      <w:r w:rsidRPr="0053519A">
        <w:fldChar w:fldCharType="end"/>
      </w:r>
      <w:r w:rsidRPr="0053519A">
        <w:t>.  L</w:t>
      </w:r>
      <w:r w:rsidRPr="0053519A">
        <w:rPr>
          <w:rFonts w:cstheme="minorHAnsi"/>
          <w:color w:val="000000"/>
        </w:rPr>
        <w:t>a question de l</w:t>
      </w:r>
      <w:r w:rsidRPr="0053519A" w:rsidR="0053519A">
        <w:rPr>
          <w:rFonts w:cstheme="minorHAnsi"/>
          <w:color w:val="000000"/>
        </w:rPr>
        <w:t>’</w:t>
      </w:r>
      <w:r w:rsidRPr="0053519A">
        <w:rPr>
          <w:rFonts w:cstheme="minorHAnsi"/>
          <w:color w:val="000000"/>
        </w:rPr>
        <w:t xml:space="preserve">applicabilité du volet civil de </w:t>
      </w:r>
      <w:r w:rsidRPr="0053519A">
        <w:rPr>
          <w:rFonts w:cstheme="minorHAnsi"/>
        </w:rPr>
        <w:t>l</w:t>
      </w:r>
      <w:r w:rsidRPr="0053519A" w:rsidR="0053519A">
        <w:rPr>
          <w:rFonts w:cstheme="minorHAnsi"/>
        </w:rPr>
        <w:t>’</w:t>
      </w:r>
      <w:r w:rsidRPr="0053519A">
        <w:rPr>
          <w:rFonts w:cstheme="minorHAnsi"/>
        </w:rPr>
        <w:t xml:space="preserve">article 6 § 1 de la Convention </w:t>
      </w:r>
      <w:r w:rsidRPr="0053519A">
        <w:rPr>
          <w:rFonts w:cstheme="minorHAnsi"/>
          <w:color w:val="000000"/>
        </w:rPr>
        <w:t>est déterminée par les critères énoncés dans l</w:t>
      </w:r>
      <w:r w:rsidRPr="0053519A" w:rsidR="0053519A">
        <w:rPr>
          <w:rFonts w:cstheme="minorHAnsi"/>
          <w:color w:val="000000"/>
        </w:rPr>
        <w:t>’</w:t>
      </w:r>
      <w:r w:rsidRPr="0053519A">
        <w:rPr>
          <w:rFonts w:cstheme="minorHAnsi"/>
          <w:color w:val="000000"/>
        </w:rPr>
        <w:t>arrêt </w:t>
      </w:r>
      <w:proofErr w:type="spellStart"/>
      <w:r w:rsidRPr="0053519A">
        <w:rPr>
          <w:rFonts w:cstheme="minorHAnsi"/>
          <w:i/>
          <w:iCs/>
          <w:color w:val="000000"/>
        </w:rPr>
        <w:t>Vilho</w:t>
      </w:r>
      <w:proofErr w:type="spellEnd"/>
      <w:r w:rsidRPr="0053519A">
        <w:rPr>
          <w:rFonts w:cstheme="minorHAnsi"/>
          <w:i/>
          <w:iCs/>
          <w:color w:val="000000"/>
        </w:rPr>
        <w:t xml:space="preserve"> Eskelinen et autres c. Finlande</w:t>
      </w:r>
      <w:r w:rsidRPr="0053519A">
        <w:rPr>
          <w:rFonts w:cstheme="minorHAnsi"/>
          <w:color w:val="000000"/>
        </w:rPr>
        <w:t> ([GC], n</w:t>
      </w:r>
      <w:r w:rsidRPr="0053519A">
        <w:rPr>
          <w:rFonts w:cstheme="minorHAnsi"/>
          <w:color w:val="000000"/>
          <w:vertAlign w:val="superscript"/>
        </w:rPr>
        <w:t>o</w:t>
      </w:r>
      <w:r w:rsidRPr="0053519A">
        <w:rPr>
          <w:rFonts w:cstheme="minorHAnsi"/>
          <w:color w:val="000000"/>
        </w:rPr>
        <w:t xml:space="preserve"> 63235/00, § 62, CEDH 2007-II), tels qu</w:t>
      </w:r>
      <w:r w:rsidRPr="0053519A" w:rsidR="0053519A">
        <w:rPr>
          <w:rFonts w:cstheme="minorHAnsi"/>
          <w:color w:val="000000"/>
        </w:rPr>
        <w:t>’</w:t>
      </w:r>
      <w:r w:rsidRPr="0053519A">
        <w:rPr>
          <w:rFonts w:cstheme="minorHAnsi"/>
          <w:color w:val="000000"/>
        </w:rPr>
        <w:t>ils ont notamment été appliqués à des litiges concernant des magistrats (</w:t>
      </w:r>
      <w:r w:rsidRPr="0053519A">
        <w:rPr>
          <w:rFonts w:cstheme="minorHAnsi"/>
          <w:i/>
        </w:rPr>
        <w:t>Baka c. Hongrie</w:t>
      </w:r>
      <w:r w:rsidRPr="0053519A">
        <w:rPr>
          <w:rFonts w:cstheme="minorHAnsi"/>
        </w:rPr>
        <w:t xml:space="preserve"> [GC], n</w:t>
      </w:r>
      <w:r w:rsidRPr="0053519A">
        <w:rPr>
          <w:rFonts w:cstheme="minorHAnsi"/>
          <w:vertAlign w:val="superscript"/>
        </w:rPr>
        <w:t>o</w:t>
      </w:r>
      <w:r w:rsidRPr="0053519A">
        <w:rPr>
          <w:rFonts w:cstheme="minorHAnsi"/>
        </w:rPr>
        <w:t xml:space="preserve"> 20261/12</w:t>
      </w:r>
      <w:r w:rsidRPr="0053519A">
        <w:rPr>
          <w:rFonts w:cstheme="minorHAnsi"/>
          <w:snapToGrid w:val="0"/>
        </w:rPr>
        <w:t xml:space="preserve">, §§ 104-106, 23 juin 2016, </w:t>
      </w:r>
      <w:proofErr w:type="spellStart"/>
      <w:r w:rsidRPr="0053519A">
        <w:rPr>
          <w:i/>
          <w:iCs/>
        </w:rPr>
        <w:t>Denisov</w:t>
      </w:r>
      <w:proofErr w:type="spellEnd"/>
      <w:r w:rsidRPr="0053519A">
        <w:rPr>
          <w:i/>
          <w:iCs/>
        </w:rPr>
        <w:t xml:space="preserve"> c. Ukraine</w:t>
      </w:r>
      <w:r w:rsidRPr="0053519A">
        <w:rPr>
          <w:iCs/>
        </w:rPr>
        <w:t xml:space="preserve"> [GC]</w:t>
      </w:r>
      <w:r w:rsidRPr="0053519A">
        <w:t>,</w:t>
      </w:r>
      <w:r w:rsidRPr="0053519A">
        <w:rPr>
          <w:lang w:eastAsia="en-GB"/>
        </w:rPr>
        <w:t xml:space="preserve"> n</w:t>
      </w:r>
      <w:r w:rsidRPr="0053519A">
        <w:rPr>
          <w:vertAlign w:val="superscript"/>
          <w:lang w:eastAsia="en-GB"/>
        </w:rPr>
        <w:t>o</w:t>
      </w:r>
      <w:r w:rsidRPr="0053519A">
        <w:rPr>
          <w:lang w:eastAsia="en-GB"/>
        </w:rPr>
        <w:t xml:space="preserve"> </w:t>
      </w:r>
      <w:r w:rsidRPr="0053519A">
        <w:t xml:space="preserve">76639/11, § 52, 25 septembre 2018, </w:t>
      </w:r>
      <w:r w:rsidRPr="0053519A">
        <w:rPr>
          <w:rFonts w:cstheme="minorHAnsi"/>
          <w:snapToGrid w:val="0"/>
        </w:rPr>
        <w:t>et les références qui y sont citées</w:t>
      </w:r>
      <w:r w:rsidRPr="0053519A">
        <w:rPr>
          <w:rFonts w:cstheme="minorHAnsi"/>
          <w:color w:val="000000"/>
        </w:rPr>
        <w:t>).</w:t>
      </w:r>
    </w:p>
    <w:p w:rsidRPr="0053519A" w:rsidR="00601F4E" w:rsidP="0053519A" w:rsidRDefault="00601F4E" w14:paraId="49920367" w14:textId="77777777">
      <w:pPr>
        <w:pStyle w:val="JuPara"/>
        <w:rPr>
          <w:rFonts w:cstheme="minorHAnsi"/>
          <w:color w:val="000000"/>
        </w:rPr>
      </w:pPr>
      <w:r w:rsidRPr="0053519A">
        <w:fldChar w:fldCharType="begin"/>
      </w:r>
      <w:r w:rsidRPr="0053519A">
        <w:instrText xml:space="preserve"> SEQ level0 \*arabic </w:instrText>
      </w:r>
      <w:r w:rsidRPr="0053519A">
        <w:fldChar w:fldCharType="separate"/>
      </w:r>
      <w:r w:rsidRPr="0053519A" w:rsidR="0053519A">
        <w:rPr>
          <w:noProof/>
        </w:rPr>
        <w:t>31</w:t>
      </w:r>
      <w:r w:rsidRPr="0053519A">
        <w:fldChar w:fldCharType="end"/>
      </w:r>
      <w:r w:rsidRPr="0053519A">
        <w:rPr>
          <w:rFonts w:cstheme="minorHAnsi"/>
          <w:color w:val="000000"/>
        </w:rPr>
        <w:t>.</w:t>
      </w:r>
      <w:r w:rsidRPr="0053519A" w:rsidR="00180F62">
        <w:rPr>
          <w:rFonts w:cstheme="minorHAnsi"/>
          <w:color w:val="000000"/>
        </w:rPr>
        <w:t>  </w:t>
      </w:r>
      <w:r w:rsidRPr="0053519A">
        <w:rPr>
          <w:rFonts w:cstheme="minorHAnsi"/>
          <w:color w:val="000000"/>
        </w:rPr>
        <w:t>La Cour rappelle que pour que l</w:t>
      </w:r>
      <w:r w:rsidRPr="0053519A" w:rsidR="0053519A">
        <w:rPr>
          <w:rFonts w:cstheme="minorHAnsi"/>
          <w:color w:val="000000"/>
        </w:rPr>
        <w:t>’</w:t>
      </w:r>
      <w:r w:rsidRPr="0053519A">
        <w:rPr>
          <w:rFonts w:cstheme="minorHAnsi"/>
          <w:color w:val="000000"/>
        </w:rPr>
        <w:t>article 6 § 1 trouve à s</w:t>
      </w:r>
      <w:r w:rsidRPr="0053519A" w:rsidR="0053519A">
        <w:rPr>
          <w:rFonts w:cstheme="minorHAnsi"/>
          <w:color w:val="000000"/>
        </w:rPr>
        <w:t>’</w:t>
      </w:r>
      <w:r w:rsidRPr="0053519A">
        <w:rPr>
          <w:rFonts w:cstheme="minorHAnsi"/>
          <w:color w:val="000000"/>
        </w:rPr>
        <w:t>appliquer sous son volet « civil », il faut qu</w:t>
      </w:r>
      <w:r w:rsidRPr="0053519A" w:rsidR="0053519A">
        <w:rPr>
          <w:rFonts w:cstheme="minorHAnsi"/>
          <w:color w:val="000000"/>
        </w:rPr>
        <w:t>’</w:t>
      </w:r>
      <w:r w:rsidRPr="0053519A">
        <w:rPr>
          <w:rFonts w:cstheme="minorHAnsi"/>
          <w:color w:val="000000"/>
        </w:rPr>
        <w:t>il y ait « contestation » sur un « droit » que l</w:t>
      </w:r>
      <w:r w:rsidRPr="0053519A" w:rsidR="0053519A">
        <w:rPr>
          <w:rFonts w:cstheme="minorHAnsi"/>
          <w:color w:val="000000"/>
        </w:rPr>
        <w:t>’</w:t>
      </w:r>
      <w:r w:rsidRPr="0053519A">
        <w:rPr>
          <w:rFonts w:cstheme="minorHAnsi"/>
          <w:color w:val="000000"/>
        </w:rPr>
        <w:t>on peut prétendre, au moins de manière défendable, reconnu en droit interne. Il doit s</w:t>
      </w:r>
      <w:r w:rsidRPr="0053519A" w:rsidR="0053519A">
        <w:rPr>
          <w:rFonts w:cstheme="minorHAnsi"/>
          <w:color w:val="000000"/>
        </w:rPr>
        <w:t>’</w:t>
      </w:r>
      <w:r w:rsidRPr="0053519A">
        <w:rPr>
          <w:rFonts w:cstheme="minorHAnsi"/>
          <w:color w:val="000000"/>
        </w:rPr>
        <w:t>agir d</w:t>
      </w:r>
      <w:r w:rsidRPr="0053519A" w:rsidR="0053519A">
        <w:rPr>
          <w:rFonts w:cstheme="minorHAnsi"/>
          <w:color w:val="000000"/>
        </w:rPr>
        <w:t>’</w:t>
      </w:r>
      <w:r w:rsidRPr="0053519A">
        <w:rPr>
          <w:rFonts w:cstheme="minorHAnsi"/>
          <w:color w:val="000000"/>
        </w:rPr>
        <w:t>une contestation réelle et sérieuse, qui peut concerner aussi bien l</w:t>
      </w:r>
      <w:r w:rsidRPr="0053519A" w:rsidR="0053519A">
        <w:rPr>
          <w:rFonts w:cstheme="minorHAnsi"/>
          <w:color w:val="000000"/>
        </w:rPr>
        <w:t>’</w:t>
      </w:r>
      <w:r w:rsidRPr="0053519A">
        <w:rPr>
          <w:rFonts w:cstheme="minorHAnsi"/>
          <w:color w:val="000000"/>
        </w:rPr>
        <w:t>existence même d</w:t>
      </w:r>
      <w:r w:rsidRPr="0053519A" w:rsidR="0053519A">
        <w:rPr>
          <w:rFonts w:cstheme="minorHAnsi"/>
          <w:color w:val="000000"/>
        </w:rPr>
        <w:t>’</w:t>
      </w:r>
      <w:r w:rsidRPr="0053519A">
        <w:rPr>
          <w:rFonts w:cstheme="minorHAnsi"/>
          <w:color w:val="000000"/>
        </w:rPr>
        <w:t>un droit que son étendue ou ses modalités d</w:t>
      </w:r>
      <w:r w:rsidRPr="0053519A" w:rsidR="0053519A">
        <w:rPr>
          <w:rFonts w:cstheme="minorHAnsi"/>
          <w:color w:val="000000"/>
        </w:rPr>
        <w:t>’</w:t>
      </w:r>
      <w:r w:rsidRPr="0053519A">
        <w:rPr>
          <w:rFonts w:cstheme="minorHAnsi"/>
          <w:color w:val="000000"/>
        </w:rPr>
        <w:t>exercice. L</w:t>
      </w:r>
      <w:r w:rsidRPr="0053519A" w:rsidR="0053519A">
        <w:rPr>
          <w:rFonts w:cstheme="minorHAnsi"/>
          <w:color w:val="000000"/>
        </w:rPr>
        <w:t>’</w:t>
      </w:r>
      <w:r w:rsidRPr="0053519A">
        <w:rPr>
          <w:rFonts w:cstheme="minorHAnsi"/>
          <w:color w:val="000000"/>
        </w:rPr>
        <w:t>issue de la procédure doit être directement déterminante pour le droit en question, un lien ténu ou des répercussions lointaines ne suffisant pas à faire entrer en jeu l</w:t>
      </w:r>
      <w:r w:rsidRPr="0053519A" w:rsidR="0053519A">
        <w:rPr>
          <w:rFonts w:cstheme="minorHAnsi"/>
          <w:color w:val="000000"/>
        </w:rPr>
        <w:t>’</w:t>
      </w:r>
      <w:r w:rsidRPr="0053519A">
        <w:rPr>
          <w:rFonts w:cstheme="minorHAnsi"/>
          <w:color w:val="000000"/>
        </w:rPr>
        <w:t>article 6 § 1 (voir, parmi beaucoup d</w:t>
      </w:r>
      <w:r w:rsidRPr="0053519A" w:rsidR="0053519A">
        <w:rPr>
          <w:rFonts w:cstheme="minorHAnsi"/>
          <w:color w:val="000000"/>
        </w:rPr>
        <w:t>’</w:t>
      </w:r>
      <w:r w:rsidRPr="0053519A">
        <w:rPr>
          <w:rFonts w:cstheme="minorHAnsi"/>
          <w:color w:val="000000"/>
        </w:rPr>
        <w:t xml:space="preserve">autres, </w:t>
      </w:r>
      <w:proofErr w:type="spellStart"/>
      <w:r w:rsidRPr="0053519A">
        <w:rPr>
          <w:i/>
        </w:rPr>
        <w:t>Károly</w:t>
      </w:r>
      <w:proofErr w:type="spellEnd"/>
      <w:r w:rsidRPr="0053519A">
        <w:rPr>
          <w:i/>
        </w:rPr>
        <w:t xml:space="preserve"> Nagy c. Hongrie</w:t>
      </w:r>
      <w:r w:rsidRPr="0053519A">
        <w:t xml:space="preserve"> [GC], </w:t>
      </w:r>
      <w:r w:rsidRPr="0053519A">
        <w:rPr>
          <w:lang w:eastAsia="en-GB"/>
        </w:rPr>
        <w:t>n</w:t>
      </w:r>
      <w:r w:rsidRPr="0053519A">
        <w:rPr>
          <w:vertAlign w:val="superscript"/>
          <w:lang w:eastAsia="en-GB"/>
        </w:rPr>
        <w:t>o</w:t>
      </w:r>
      <w:r w:rsidRPr="0053519A">
        <w:rPr>
          <w:lang w:eastAsia="en-GB"/>
        </w:rPr>
        <w:t xml:space="preserve"> </w:t>
      </w:r>
      <w:r w:rsidRPr="0053519A">
        <w:t>56665/09, §</w:t>
      </w:r>
      <w:r w:rsidRPr="0053519A" w:rsidR="00180F62">
        <w:t> </w:t>
      </w:r>
      <w:r w:rsidRPr="0053519A">
        <w:t xml:space="preserve">60, 14 septembre 2017, </w:t>
      </w:r>
      <w:proofErr w:type="spellStart"/>
      <w:r w:rsidRPr="0053519A">
        <w:rPr>
          <w:i/>
          <w:iCs/>
        </w:rPr>
        <w:t>Regner</w:t>
      </w:r>
      <w:proofErr w:type="spellEnd"/>
      <w:r w:rsidRPr="0053519A">
        <w:rPr>
          <w:i/>
          <w:iCs/>
        </w:rPr>
        <w:t xml:space="preserve"> c. République tchèque</w:t>
      </w:r>
      <w:r w:rsidRPr="0053519A">
        <w:t xml:space="preserve"> [GC], </w:t>
      </w:r>
      <w:r w:rsidRPr="0053519A">
        <w:rPr>
          <w:lang w:eastAsia="en-GB"/>
        </w:rPr>
        <w:t>n</w:t>
      </w:r>
      <w:r w:rsidRPr="0053519A">
        <w:rPr>
          <w:vertAlign w:val="superscript"/>
          <w:lang w:eastAsia="en-GB"/>
        </w:rPr>
        <w:t>o</w:t>
      </w:r>
      <w:r w:rsidRPr="0053519A" w:rsidR="00180F62">
        <w:rPr>
          <w:lang w:eastAsia="en-GB"/>
        </w:rPr>
        <w:t> </w:t>
      </w:r>
      <w:r w:rsidRPr="0053519A">
        <w:t>35289/11, §</w:t>
      </w:r>
      <w:r w:rsidRPr="0053519A" w:rsidR="00180F62">
        <w:t> </w:t>
      </w:r>
      <w:r w:rsidRPr="0053519A">
        <w:t xml:space="preserve">99, 19 septembre 2017, et </w:t>
      </w:r>
      <w:proofErr w:type="spellStart"/>
      <w:r w:rsidRPr="0053519A">
        <w:rPr>
          <w:i/>
          <w:iCs/>
        </w:rPr>
        <w:t>Denisov</w:t>
      </w:r>
      <w:proofErr w:type="spellEnd"/>
      <w:r w:rsidRPr="0053519A">
        <w:t xml:space="preserve">, précité, § 44). </w:t>
      </w:r>
      <w:r w:rsidRPr="0053519A">
        <w:rPr>
          <w:rFonts w:cstheme="minorHAnsi"/>
          <w:color w:val="000000"/>
        </w:rPr>
        <w:t>Enfin, ce droit doit revêtir un caractère « civil » (</w:t>
      </w:r>
      <w:proofErr w:type="spellStart"/>
      <w:r w:rsidRPr="0053519A">
        <w:rPr>
          <w:i/>
        </w:rPr>
        <w:t>Mennitto</w:t>
      </w:r>
      <w:proofErr w:type="spellEnd"/>
      <w:r w:rsidRPr="0053519A">
        <w:rPr>
          <w:i/>
        </w:rPr>
        <w:t xml:space="preserve"> c. Italie</w:t>
      </w:r>
      <w:r w:rsidRPr="0053519A">
        <w:t xml:space="preserve"> [GC], n</w:t>
      </w:r>
      <w:r w:rsidRPr="0053519A">
        <w:rPr>
          <w:vertAlign w:val="superscript"/>
        </w:rPr>
        <w:t>o</w:t>
      </w:r>
      <w:r w:rsidRPr="0053519A">
        <w:t xml:space="preserve"> 33804/96, § 23, CEDH</w:t>
      </w:r>
      <w:r w:rsidRPr="0053519A" w:rsidR="00D94931">
        <w:t> </w:t>
      </w:r>
      <w:r w:rsidRPr="0053519A">
        <w:t>2000</w:t>
      </w:r>
      <w:r w:rsidRPr="0053519A">
        <w:noBreakHyphen/>
        <w:t>X)</w:t>
      </w:r>
      <w:r w:rsidRPr="0053519A">
        <w:rPr>
          <w:rFonts w:cstheme="minorHAnsi"/>
          <w:color w:val="000000"/>
        </w:rPr>
        <w:t>.</w:t>
      </w:r>
    </w:p>
    <w:p w:rsidRPr="0053519A" w:rsidR="00601F4E" w:rsidP="0053519A" w:rsidRDefault="00601F4E" w14:paraId="01995DDD" w14:textId="77777777">
      <w:pPr>
        <w:pStyle w:val="JuHa0"/>
        <w:numPr>
          <w:ilvl w:val="4"/>
          <w:numId w:val="1"/>
        </w:numPr>
      </w:pPr>
      <w:r w:rsidRPr="0053519A">
        <w:t>Sur l</w:t>
      </w:r>
      <w:r w:rsidRPr="0053519A" w:rsidR="0053519A">
        <w:t>’</w:t>
      </w:r>
      <w:r w:rsidRPr="0053519A">
        <w:t>existence d</w:t>
      </w:r>
      <w:r w:rsidRPr="0053519A" w:rsidR="0053519A">
        <w:t>’</w:t>
      </w:r>
      <w:r w:rsidRPr="0053519A">
        <w:t>une contestation relative à un droit</w:t>
      </w:r>
    </w:p>
    <w:bookmarkStart w:name="droit" w:id="27"/>
    <w:p w:rsidRPr="0053519A" w:rsidR="00601F4E" w:rsidP="0053519A" w:rsidRDefault="00601F4E" w14:paraId="73B299C9" w14:textId="77777777">
      <w:pPr>
        <w:pStyle w:val="JuPara"/>
      </w:pPr>
      <w:r w:rsidRPr="0053519A">
        <w:rPr>
          <w:rFonts w:cstheme="minorHAnsi"/>
        </w:rPr>
        <w:fldChar w:fldCharType="begin"/>
      </w:r>
      <w:r w:rsidRPr="0053519A">
        <w:rPr>
          <w:rFonts w:cstheme="minorHAnsi"/>
        </w:rPr>
        <w:instrText xml:space="preserve"> SEQ level0 \*arabic </w:instrText>
      </w:r>
      <w:r w:rsidRPr="0053519A">
        <w:rPr>
          <w:rFonts w:cstheme="minorHAnsi"/>
        </w:rPr>
        <w:fldChar w:fldCharType="separate"/>
      </w:r>
      <w:r w:rsidRPr="0053519A" w:rsidR="0053519A">
        <w:rPr>
          <w:rFonts w:cstheme="minorHAnsi"/>
          <w:noProof/>
        </w:rPr>
        <w:t>32</w:t>
      </w:r>
      <w:r w:rsidRPr="0053519A">
        <w:rPr>
          <w:rFonts w:cstheme="minorHAnsi"/>
        </w:rPr>
        <w:fldChar w:fldCharType="end"/>
      </w:r>
      <w:bookmarkEnd w:id="27"/>
      <w:r w:rsidRPr="0053519A">
        <w:rPr>
          <w:rFonts w:cstheme="minorHAnsi"/>
        </w:rPr>
        <w:t>.  La Cour rappelle qu</w:t>
      </w:r>
      <w:r w:rsidRPr="0053519A" w:rsidR="0053519A">
        <w:rPr>
          <w:rFonts w:cstheme="minorHAnsi"/>
        </w:rPr>
        <w:t>’</w:t>
      </w:r>
      <w:r w:rsidRPr="0053519A">
        <w:rPr>
          <w:rFonts w:cstheme="minorHAnsi"/>
        </w:rPr>
        <w:t xml:space="preserve">une contestation </w:t>
      </w:r>
      <w:r w:rsidRPr="0053519A">
        <w:rPr>
          <w:rFonts w:cstheme="minorHAnsi"/>
          <w:color w:val="000000"/>
        </w:rPr>
        <w:t>préexiste en général au procès éventuel devant une instance judiciaire, et se conçoit sans lui (</w:t>
      </w:r>
      <w:proofErr w:type="spellStart"/>
      <w:r w:rsidRPr="0053519A">
        <w:rPr>
          <w:rFonts w:cstheme="minorHAnsi"/>
          <w:i/>
        </w:rPr>
        <w:t>Golder</w:t>
      </w:r>
      <w:proofErr w:type="spellEnd"/>
      <w:r w:rsidRPr="0053519A">
        <w:rPr>
          <w:rFonts w:cstheme="minorHAnsi"/>
          <w:i/>
        </w:rPr>
        <w:t xml:space="preserve"> c.</w:t>
      </w:r>
      <w:r w:rsidRPr="0053519A" w:rsidR="00180F62">
        <w:rPr>
          <w:rFonts w:cstheme="minorHAnsi"/>
          <w:i/>
        </w:rPr>
        <w:t> </w:t>
      </w:r>
      <w:r w:rsidRPr="0053519A">
        <w:rPr>
          <w:rFonts w:cstheme="minorHAnsi"/>
          <w:i/>
        </w:rPr>
        <w:t>Royaume-Uni</w:t>
      </w:r>
      <w:r w:rsidRPr="0053519A">
        <w:rPr>
          <w:rFonts w:cstheme="minorHAnsi"/>
        </w:rPr>
        <w:t>, 21 février 1975, § 32, série A n</w:t>
      </w:r>
      <w:r w:rsidRPr="0053519A">
        <w:rPr>
          <w:rFonts w:cstheme="minorHAnsi"/>
          <w:vertAlign w:val="superscript"/>
        </w:rPr>
        <w:t>o</w:t>
      </w:r>
      <w:r w:rsidRPr="0053519A">
        <w:rPr>
          <w:rFonts w:cstheme="minorHAnsi"/>
        </w:rPr>
        <w:t xml:space="preserve"> 18).</w:t>
      </w:r>
      <w:r w:rsidRPr="0053519A">
        <w:rPr>
          <w:rFonts w:cstheme="minorHAnsi"/>
          <w:color w:val="000000"/>
        </w:rPr>
        <w:t xml:space="preserve"> </w:t>
      </w:r>
      <w:r w:rsidRPr="0053519A">
        <w:rPr>
          <w:rFonts w:cstheme="minorHAnsi"/>
        </w:rPr>
        <w:t>En l</w:t>
      </w:r>
      <w:r w:rsidRPr="0053519A" w:rsidR="0053519A">
        <w:rPr>
          <w:rFonts w:cstheme="minorHAnsi"/>
        </w:rPr>
        <w:t>’</w:t>
      </w:r>
      <w:r w:rsidRPr="0053519A">
        <w:rPr>
          <w:rFonts w:cstheme="minorHAnsi"/>
        </w:rPr>
        <w:t>espèce, la</w:t>
      </w:r>
      <w:r w:rsidRPr="0053519A">
        <w:t xml:space="preserve"> Cour considère qu</w:t>
      </w:r>
      <w:r w:rsidRPr="0053519A" w:rsidR="0053519A">
        <w:t>’</w:t>
      </w:r>
      <w:r w:rsidRPr="0053519A">
        <w:t>il ne fait pas de doute qu</w:t>
      </w:r>
      <w:r w:rsidRPr="0053519A" w:rsidR="0053519A">
        <w:t>’</w:t>
      </w:r>
      <w:r w:rsidRPr="0053519A">
        <w:t>une contestation concernant l</w:t>
      </w:r>
      <w:r w:rsidRPr="0053519A" w:rsidR="0053519A">
        <w:t>’</w:t>
      </w:r>
      <w:r w:rsidRPr="0053519A">
        <w:t>exercice par la requérante de son mandat de membre du CSJ a surgi avec la décision de l</w:t>
      </w:r>
      <w:r w:rsidRPr="0053519A" w:rsidR="0053519A">
        <w:t>’</w:t>
      </w:r>
      <w:r w:rsidRPr="0053519A">
        <w:t>assemblée générale du CSJ de suspendre la requérante de toutes ses fonctions au sein du CSJ. Cette contestation était réelle et sérieuse, la requérante contestant la légalité de la mesure prise à son encontre.</w:t>
      </w:r>
    </w:p>
    <w:p w:rsidRPr="0053519A" w:rsidR="00601F4E" w:rsidP="0053519A" w:rsidRDefault="00601F4E" w14:paraId="25C29E32" w14:textId="77777777">
      <w:pPr>
        <w:pStyle w:val="JuPara"/>
      </w:pPr>
      <w:r w:rsidRPr="0053519A">
        <w:rPr>
          <w:rFonts w:cstheme="minorHAnsi"/>
        </w:rPr>
        <w:fldChar w:fldCharType="begin"/>
      </w:r>
      <w:r w:rsidRPr="0053519A">
        <w:rPr>
          <w:rFonts w:cstheme="minorHAnsi"/>
        </w:rPr>
        <w:instrText xml:space="preserve"> SEQ level0 \*arabic </w:instrText>
      </w:r>
      <w:r w:rsidRPr="0053519A">
        <w:rPr>
          <w:rFonts w:cstheme="minorHAnsi"/>
        </w:rPr>
        <w:fldChar w:fldCharType="separate"/>
      </w:r>
      <w:r w:rsidRPr="0053519A" w:rsidR="0053519A">
        <w:rPr>
          <w:rFonts w:cstheme="minorHAnsi"/>
          <w:noProof/>
        </w:rPr>
        <w:t>33</w:t>
      </w:r>
      <w:r w:rsidRPr="0053519A">
        <w:rPr>
          <w:rFonts w:cstheme="minorHAnsi"/>
        </w:rPr>
        <w:fldChar w:fldCharType="end"/>
      </w:r>
      <w:r w:rsidRPr="0053519A">
        <w:rPr>
          <w:rFonts w:cstheme="minorHAnsi"/>
        </w:rPr>
        <w:t>.</w:t>
      </w:r>
      <w:r w:rsidRPr="0053519A" w:rsidR="00180F62">
        <w:rPr>
          <w:rFonts w:cstheme="minorHAnsi"/>
        </w:rPr>
        <w:t>  </w:t>
      </w:r>
      <w:r w:rsidRPr="0053519A">
        <w:rPr>
          <w:rFonts w:cstheme="minorHAnsi"/>
          <w:color w:val="000000"/>
        </w:rPr>
        <w:t xml:space="preserve">Sur le point de savoir si la contestation portait </w:t>
      </w:r>
      <w:r w:rsidRPr="0053519A">
        <w:rPr>
          <w:rFonts w:cstheme="minorHAnsi"/>
        </w:rPr>
        <w:t>sur un</w:t>
      </w:r>
      <w:r w:rsidRPr="0053519A">
        <w:t xml:space="preserve"> « droit » que la requérante pouvait prétendre, de manière défendable, reconnu en droit interne, il y a lieu de noter qu</w:t>
      </w:r>
      <w:r w:rsidRPr="0053519A" w:rsidR="0053519A">
        <w:t>’</w:t>
      </w:r>
      <w:r w:rsidRPr="0053519A">
        <w:t>en vertu de l</w:t>
      </w:r>
      <w:r w:rsidRPr="0053519A" w:rsidR="0053519A">
        <w:t>’</w:t>
      </w:r>
      <w:r w:rsidRPr="0053519A">
        <w:t>article 259</w:t>
      </w:r>
      <w:r w:rsidRPr="0053519A">
        <w:rPr>
          <w:i/>
        </w:rPr>
        <w:t>bis</w:t>
      </w:r>
      <w:r w:rsidRPr="0053519A">
        <w:t>-3 § 1</w:t>
      </w:r>
      <w:r w:rsidRPr="0053519A">
        <w:rPr>
          <w:vertAlign w:val="superscript"/>
        </w:rPr>
        <w:t>er</w:t>
      </w:r>
      <w:r w:rsidRPr="0053519A">
        <w:t xml:space="preserve"> du code judiciaire, la requérante était élue au CSJ pour un mandat renouvelable de quatre ans (paragraphe </w:t>
      </w:r>
      <w:r w:rsidRPr="0053519A">
        <w:fldChar w:fldCharType="begin"/>
      </w:r>
      <w:r w:rsidRPr="0053519A">
        <w:instrText xml:space="preserve"> REF art259bis3CJ \h </w:instrText>
      </w:r>
      <w:r w:rsidRPr="0053519A">
        <w:fldChar w:fldCharType="separate"/>
      </w:r>
      <w:r w:rsidRPr="0053519A" w:rsidR="0053519A">
        <w:rPr>
          <w:noProof/>
        </w:rPr>
        <w:t>20</w:t>
      </w:r>
      <w:r w:rsidRPr="0053519A">
        <w:fldChar w:fldCharType="end"/>
      </w:r>
      <w:r w:rsidRPr="0053519A">
        <w:t xml:space="preserve"> ci-dessus). Le droit interne lui conférait ainsi, en principe, le droit d</w:t>
      </w:r>
      <w:r w:rsidRPr="0053519A" w:rsidR="0053519A">
        <w:t>’</w:t>
      </w:r>
      <w:r w:rsidRPr="0053519A">
        <w:t>exercer son mandat de membre du CSJ jusqu</w:t>
      </w:r>
      <w:r w:rsidRPr="0053519A" w:rsidR="0053519A">
        <w:t>’</w:t>
      </w:r>
      <w:r w:rsidRPr="0053519A">
        <w:t xml:space="preserve">à son terme (voir, dans le même sens, </w:t>
      </w:r>
      <w:r w:rsidRPr="0053519A">
        <w:rPr>
          <w:i/>
        </w:rPr>
        <w:t>Baka</w:t>
      </w:r>
      <w:r w:rsidRPr="0053519A">
        <w:t>, précité, §§ 107-109). En outre, la requérante était élue comme membre du bureau pour toute la durée de son mandat de membre du CSJ.</w:t>
      </w:r>
    </w:p>
    <w:p w:rsidRPr="0053519A" w:rsidR="00601F4E" w:rsidP="0053519A" w:rsidRDefault="00601F4E" w14:paraId="363BB204" w14:textId="77777777">
      <w:pPr>
        <w:pStyle w:val="JuPara"/>
        <w:rPr>
          <w:rFonts w:cstheme="minorHAnsi"/>
        </w:rPr>
      </w:pPr>
      <w:r w:rsidRPr="0053519A">
        <w:rPr>
          <w:rFonts w:cstheme="minorHAnsi"/>
        </w:rPr>
        <w:fldChar w:fldCharType="begin"/>
      </w:r>
      <w:r w:rsidRPr="0053519A">
        <w:rPr>
          <w:rFonts w:cstheme="minorHAnsi"/>
        </w:rPr>
        <w:instrText xml:space="preserve"> SEQ level0 \*arabic </w:instrText>
      </w:r>
      <w:r w:rsidRPr="0053519A">
        <w:rPr>
          <w:rFonts w:cstheme="minorHAnsi"/>
        </w:rPr>
        <w:fldChar w:fldCharType="separate"/>
      </w:r>
      <w:r w:rsidRPr="0053519A" w:rsidR="0053519A">
        <w:rPr>
          <w:rFonts w:cstheme="minorHAnsi"/>
          <w:noProof/>
        </w:rPr>
        <w:t>34</w:t>
      </w:r>
      <w:r w:rsidRPr="0053519A">
        <w:rPr>
          <w:rFonts w:cstheme="minorHAnsi"/>
        </w:rPr>
        <w:fldChar w:fldCharType="end"/>
      </w:r>
      <w:r w:rsidRPr="0053519A">
        <w:rPr>
          <w:rFonts w:cstheme="minorHAnsi"/>
        </w:rPr>
        <w:t>.  Il reste à déterminer</w:t>
      </w:r>
      <w:r w:rsidRPr="0053519A">
        <w:rPr>
          <w:rFonts w:ascii="Arial" w:hAnsi="Arial" w:cs="Arial"/>
          <w:color w:val="000000"/>
        </w:rPr>
        <w:t xml:space="preserve"> </w:t>
      </w:r>
      <w:r w:rsidRPr="0053519A">
        <w:rPr>
          <w:rFonts w:cstheme="minorHAnsi"/>
        </w:rPr>
        <w:t>si le droit en cause constituait l</w:t>
      </w:r>
      <w:r w:rsidRPr="0053519A" w:rsidR="0053519A">
        <w:rPr>
          <w:rFonts w:cstheme="minorHAnsi"/>
        </w:rPr>
        <w:t>’</w:t>
      </w:r>
      <w:r w:rsidRPr="0053519A">
        <w:rPr>
          <w:rFonts w:cstheme="minorHAnsi"/>
        </w:rPr>
        <w:t xml:space="preserve">objet de la contestation (voir, entre autres, </w:t>
      </w:r>
      <w:r w:rsidRPr="0053519A">
        <w:rPr>
          <w:i/>
        </w:rPr>
        <w:t xml:space="preserve">Le Compte, Van Leuven et De </w:t>
      </w:r>
      <w:proofErr w:type="spellStart"/>
      <w:r w:rsidRPr="0053519A">
        <w:rPr>
          <w:i/>
        </w:rPr>
        <w:t>Meyere</w:t>
      </w:r>
      <w:proofErr w:type="spellEnd"/>
      <w:r w:rsidRPr="0053519A">
        <w:rPr>
          <w:i/>
        </w:rPr>
        <w:t xml:space="preserve"> c.</w:t>
      </w:r>
      <w:r w:rsidRPr="0053519A" w:rsidR="00180F62">
        <w:rPr>
          <w:i/>
        </w:rPr>
        <w:t> </w:t>
      </w:r>
      <w:r w:rsidRPr="0053519A">
        <w:rPr>
          <w:i/>
        </w:rPr>
        <w:t>Belgique</w:t>
      </w:r>
      <w:r w:rsidRPr="0053519A">
        <w:t>, 23 juin 1981, § 47, série A n</w:t>
      </w:r>
      <w:r w:rsidRPr="0053519A">
        <w:rPr>
          <w:vertAlign w:val="superscript"/>
        </w:rPr>
        <w:t>o</w:t>
      </w:r>
      <w:r w:rsidRPr="0053519A">
        <w:t xml:space="preserve"> 43, </w:t>
      </w:r>
      <w:r w:rsidRPr="0053519A">
        <w:rPr>
          <w:i/>
        </w:rPr>
        <w:t>Albert et Le Compte c.</w:t>
      </w:r>
      <w:r w:rsidRPr="0053519A" w:rsidR="00180F62">
        <w:rPr>
          <w:i/>
        </w:rPr>
        <w:t> </w:t>
      </w:r>
      <w:r w:rsidRPr="0053519A">
        <w:rPr>
          <w:i/>
        </w:rPr>
        <w:t>Belgique</w:t>
      </w:r>
      <w:r w:rsidRPr="0053519A">
        <w:t>, 10 février 1983, § 28 a), série A n</w:t>
      </w:r>
      <w:r w:rsidRPr="0053519A">
        <w:rPr>
          <w:vertAlign w:val="superscript"/>
        </w:rPr>
        <w:t>o</w:t>
      </w:r>
      <w:r w:rsidRPr="0053519A">
        <w:t xml:space="preserve"> 58, et </w:t>
      </w:r>
      <w:proofErr w:type="spellStart"/>
      <w:r w:rsidRPr="0053519A">
        <w:rPr>
          <w:i/>
        </w:rPr>
        <w:t>Benthem</w:t>
      </w:r>
      <w:proofErr w:type="spellEnd"/>
      <w:r w:rsidRPr="0053519A">
        <w:rPr>
          <w:i/>
        </w:rPr>
        <w:t xml:space="preserve"> c.</w:t>
      </w:r>
      <w:r w:rsidRPr="0053519A" w:rsidR="00180F62">
        <w:rPr>
          <w:i/>
        </w:rPr>
        <w:t> </w:t>
      </w:r>
      <w:r w:rsidRPr="0053519A">
        <w:rPr>
          <w:i/>
        </w:rPr>
        <w:t>Pays</w:t>
      </w:r>
      <w:r w:rsidRPr="0053519A" w:rsidR="00180F62">
        <w:rPr>
          <w:i/>
        </w:rPr>
        <w:noBreakHyphen/>
      </w:r>
      <w:r w:rsidRPr="0053519A">
        <w:rPr>
          <w:i/>
        </w:rPr>
        <w:t>Bas</w:t>
      </w:r>
      <w:r w:rsidRPr="0053519A">
        <w:t>, 23</w:t>
      </w:r>
      <w:r w:rsidRPr="0053519A" w:rsidR="00D94931">
        <w:t> </w:t>
      </w:r>
      <w:r w:rsidRPr="0053519A">
        <w:t>octobre 1985, § 32 d), série A n</w:t>
      </w:r>
      <w:r w:rsidRPr="0053519A">
        <w:rPr>
          <w:vertAlign w:val="superscript"/>
        </w:rPr>
        <w:t>o</w:t>
      </w:r>
      <w:r w:rsidRPr="0053519A">
        <w:t xml:space="preserve"> 97)</w:t>
      </w:r>
      <w:r w:rsidRPr="0053519A">
        <w:rPr>
          <w:rFonts w:cstheme="minorHAnsi"/>
        </w:rPr>
        <w:t>. À cet égard, s</w:t>
      </w:r>
      <w:r w:rsidRPr="0053519A" w:rsidR="0053519A">
        <w:rPr>
          <w:rFonts w:cstheme="minorHAnsi"/>
        </w:rPr>
        <w:t>’</w:t>
      </w:r>
      <w:r w:rsidRPr="0053519A">
        <w:rPr>
          <w:rFonts w:cstheme="minorHAnsi"/>
        </w:rPr>
        <w:t>agissant d</w:t>
      </w:r>
      <w:r w:rsidRPr="0053519A" w:rsidR="0053519A">
        <w:rPr>
          <w:rFonts w:cstheme="minorHAnsi"/>
        </w:rPr>
        <w:t>’</w:t>
      </w:r>
      <w:r w:rsidRPr="0053519A">
        <w:rPr>
          <w:rFonts w:cstheme="minorHAnsi"/>
        </w:rPr>
        <w:t>une contestation portant sur une mesure temporaire, la Cour estime qu</w:t>
      </w:r>
      <w:r w:rsidRPr="0053519A" w:rsidR="0053519A">
        <w:rPr>
          <w:rFonts w:cstheme="minorHAnsi"/>
        </w:rPr>
        <w:t>’</w:t>
      </w:r>
      <w:r w:rsidRPr="0053519A">
        <w:rPr>
          <w:rFonts w:cstheme="minorHAnsi"/>
        </w:rPr>
        <w:t xml:space="preserve">elle doit avoir égard à </w:t>
      </w:r>
      <w:r w:rsidRPr="0053519A">
        <w:rPr>
          <w:rFonts w:cstheme="minorHAnsi"/>
          <w:color w:val="000000"/>
        </w:rPr>
        <w:t>la nature, à l</w:t>
      </w:r>
      <w:r w:rsidRPr="0053519A" w:rsidR="0053519A">
        <w:rPr>
          <w:rFonts w:cstheme="minorHAnsi"/>
          <w:color w:val="000000"/>
        </w:rPr>
        <w:t>’</w:t>
      </w:r>
      <w:r w:rsidRPr="0053519A">
        <w:rPr>
          <w:rFonts w:cstheme="minorHAnsi"/>
          <w:color w:val="000000"/>
        </w:rPr>
        <w:t>objet et au but de la mesure, ainsi qu</w:t>
      </w:r>
      <w:r w:rsidRPr="0053519A" w:rsidR="0053519A">
        <w:rPr>
          <w:rFonts w:cstheme="minorHAnsi"/>
          <w:color w:val="000000"/>
        </w:rPr>
        <w:t>’</w:t>
      </w:r>
      <w:r w:rsidRPr="0053519A">
        <w:rPr>
          <w:rFonts w:cstheme="minorHAnsi"/>
          <w:color w:val="000000"/>
        </w:rPr>
        <w:t xml:space="preserve">à ses effets sur le droit en question (voir, </w:t>
      </w:r>
      <w:r w:rsidRPr="0053519A">
        <w:rPr>
          <w:rFonts w:cstheme="minorHAnsi"/>
          <w:i/>
          <w:iCs/>
          <w:color w:val="000000"/>
        </w:rPr>
        <w:t>mutatis mutandis</w:t>
      </w:r>
      <w:r w:rsidRPr="0053519A">
        <w:rPr>
          <w:rFonts w:cstheme="minorHAnsi"/>
          <w:color w:val="000000"/>
        </w:rPr>
        <w:t xml:space="preserve">, </w:t>
      </w:r>
      <w:proofErr w:type="spellStart"/>
      <w:r w:rsidRPr="0053519A">
        <w:rPr>
          <w:rFonts w:cstheme="minorHAnsi"/>
          <w:i/>
        </w:rPr>
        <w:t>Micallef</w:t>
      </w:r>
      <w:proofErr w:type="spellEnd"/>
      <w:r w:rsidRPr="0053519A">
        <w:rPr>
          <w:rFonts w:cstheme="minorHAnsi"/>
          <w:i/>
        </w:rPr>
        <w:t xml:space="preserve"> c.</w:t>
      </w:r>
      <w:r w:rsidRPr="0053519A" w:rsidR="00D94931">
        <w:rPr>
          <w:rFonts w:cstheme="minorHAnsi"/>
          <w:i/>
        </w:rPr>
        <w:t> </w:t>
      </w:r>
      <w:r w:rsidRPr="0053519A">
        <w:rPr>
          <w:rFonts w:cstheme="minorHAnsi"/>
          <w:i/>
        </w:rPr>
        <w:t>Malte</w:t>
      </w:r>
      <w:r w:rsidRPr="0053519A">
        <w:rPr>
          <w:rFonts w:cstheme="minorHAnsi"/>
        </w:rPr>
        <w:t xml:space="preserve"> [GC], n</w:t>
      </w:r>
      <w:r w:rsidRPr="0053519A">
        <w:rPr>
          <w:rFonts w:cstheme="minorHAnsi"/>
          <w:vertAlign w:val="superscript"/>
        </w:rPr>
        <w:t>o</w:t>
      </w:r>
      <w:r w:rsidRPr="0053519A" w:rsidR="00D94931">
        <w:rPr>
          <w:rFonts w:cstheme="minorHAnsi"/>
        </w:rPr>
        <w:t> </w:t>
      </w:r>
      <w:r w:rsidRPr="0053519A">
        <w:rPr>
          <w:rFonts w:cstheme="minorHAnsi"/>
        </w:rPr>
        <w:t>17056/06, § 85, CEDH 2009).</w:t>
      </w:r>
    </w:p>
    <w:p w:rsidRPr="0053519A" w:rsidR="00601F4E" w:rsidP="0053519A" w:rsidRDefault="00601F4E" w14:paraId="2B2912BB" w14:textId="77777777">
      <w:pPr>
        <w:pStyle w:val="JuPara"/>
      </w:pPr>
      <w:r w:rsidRPr="0053519A">
        <w:rPr>
          <w:rFonts w:cstheme="minorHAnsi"/>
        </w:rPr>
        <w:fldChar w:fldCharType="begin"/>
      </w:r>
      <w:r w:rsidRPr="0053519A">
        <w:rPr>
          <w:rFonts w:cstheme="minorHAnsi"/>
        </w:rPr>
        <w:instrText xml:space="preserve"> SEQ level0 \*arabic </w:instrText>
      </w:r>
      <w:r w:rsidRPr="0053519A">
        <w:rPr>
          <w:rFonts w:cstheme="minorHAnsi"/>
        </w:rPr>
        <w:fldChar w:fldCharType="separate"/>
      </w:r>
      <w:r w:rsidRPr="0053519A" w:rsidR="0053519A">
        <w:rPr>
          <w:rFonts w:cstheme="minorHAnsi"/>
          <w:noProof/>
        </w:rPr>
        <w:t>35</w:t>
      </w:r>
      <w:r w:rsidRPr="0053519A">
        <w:rPr>
          <w:rFonts w:cstheme="minorHAnsi"/>
        </w:rPr>
        <w:fldChar w:fldCharType="end"/>
      </w:r>
      <w:r w:rsidRPr="0053519A">
        <w:rPr>
          <w:rFonts w:cstheme="minorHAnsi"/>
        </w:rPr>
        <w:t>.  En l</w:t>
      </w:r>
      <w:r w:rsidRPr="0053519A" w:rsidR="0053519A">
        <w:rPr>
          <w:rFonts w:cstheme="minorHAnsi"/>
        </w:rPr>
        <w:t>’</w:t>
      </w:r>
      <w:r w:rsidRPr="0053519A">
        <w:rPr>
          <w:rFonts w:cstheme="minorHAnsi"/>
        </w:rPr>
        <w:t>espèce, la mesure provisoire litigieuse avait pour objet</w:t>
      </w:r>
      <w:r w:rsidRPr="0053519A">
        <w:t xml:space="preserve"> et pour effet d</w:t>
      </w:r>
      <w:r w:rsidRPr="0053519A" w:rsidR="0053519A">
        <w:t>’</w:t>
      </w:r>
      <w:r w:rsidRPr="0053519A">
        <w:t>empêcher la requérante d</w:t>
      </w:r>
      <w:r w:rsidRPr="0053519A" w:rsidR="0053519A">
        <w:t>’</w:t>
      </w:r>
      <w:r w:rsidRPr="0053519A">
        <w:t>exercer ses fonctions au sein du CSJ, et ce aussi longtemps qu</w:t>
      </w:r>
      <w:r w:rsidRPr="0053519A" w:rsidR="0053519A">
        <w:t>’</w:t>
      </w:r>
      <w:r w:rsidRPr="0053519A">
        <w:t>il n</w:t>
      </w:r>
      <w:r w:rsidRPr="0053519A" w:rsidR="0053519A">
        <w:t>’</w:t>
      </w:r>
      <w:r w:rsidRPr="0053519A">
        <w:t xml:space="preserve">y avait pas de décision définitive au pénal, ce qui a en fait résulté en une suspension pour une durée de près de deux ans. La Cour estime que cette mesure était ainsi déterminante pour le droit en jeu (voir, au sujet de mesures provisoires prises dans le cadre de procédures disciplinaires, </w:t>
      </w:r>
      <w:proofErr w:type="spellStart"/>
      <w:r w:rsidRPr="0053519A">
        <w:rPr>
          <w:i/>
          <w:iCs/>
        </w:rPr>
        <w:t>Paluda</w:t>
      </w:r>
      <w:proofErr w:type="spellEnd"/>
      <w:r w:rsidRPr="0053519A">
        <w:rPr>
          <w:i/>
          <w:iCs/>
        </w:rPr>
        <w:t xml:space="preserve"> c. Slovaquie</w:t>
      </w:r>
      <w:r w:rsidRPr="0053519A">
        <w:t>, n</w:t>
      </w:r>
      <w:r w:rsidRPr="0053519A">
        <w:rPr>
          <w:vertAlign w:val="superscript"/>
        </w:rPr>
        <w:t>o</w:t>
      </w:r>
      <w:r w:rsidRPr="0053519A">
        <w:t> 33392/12, §§</w:t>
      </w:r>
      <w:r w:rsidRPr="0053519A" w:rsidR="00180F62">
        <w:t> </w:t>
      </w:r>
      <w:r w:rsidRPr="0053519A">
        <w:t>33-34, 23</w:t>
      </w:r>
      <w:r w:rsidRPr="0053519A" w:rsidR="00180F62">
        <w:t> </w:t>
      </w:r>
      <w:r w:rsidRPr="0053519A">
        <w:t xml:space="preserve">mai 2017, et </w:t>
      </w:r>
      <w:proofErr w:type="spellStart"/>
      <w:r w:rsidRPr="0053519A">
        <w:rPr>
          <w:i/>
        </w:rPr>
        <w:t>Camelia</w:t>
      </w:r>
      <w:proofErr w:type="spellEnd"/>
      <w:r w:rsidRPr="0053519A">
        <w:rPr>
          <w:i/>
        </w:rPr>
        <w:t xml:space="preserve"> Bogdan c. Roumanie</w:t>
      </w:r>
      <w:r w:rsidRPr="0053519A">
        <w:t>, n</w:t>
      </w:r>
      <w:r w:rsidRPr="0053519A">
        <w:rPr>
          <w:vertAlign w:val="superscript"/>
        </w:rPr>
        <w:t>o</w:t>
      </w:r>
      <w:r w:rsidRPr="0053519A">
        <w:t> 36889/18, §</w:t>
      </w:r>
      <w:r w:rsidRPr="0053519A" w:rsidR="00180F62">
        <w:t> </w:t>
      </w:r>
      <w:r w:rsidRPr="0053519A">
        <w:t>70, 20 octobre 2020). Du point de vue de l</w:t>
      </w:r>
      <w:r w:rsidRPr="0053519A" w:rsidR="0053519A">
        <w:t>’</w:t>
      </w:r>
      <w:r w:rsidRPr="0053519A">
        <w:t>applicabilité de l</w:t>
      </w:r>
      <w:r w:rsidRPr="0053519A" w:rsidR="0053519A">
        <w:t>’</w:t>
      </w:r>
      <w:r w:rsidRPr="0053519A">
        <w:t>article 6 § 1, le fait qu</w:t>
      </w:r>
      <w:r w:rsidRPr="0053519A" w:rsidR="0053519A">
        <w:t>’</w:t>
      </w:r>
      <w:r w:rsidRPr="0053519A">
        <w:t>il s</w:t>
      </w:r>
      <w:r w:rsidRPr="0053519A" w:rsidR="0053519A">
        <w:t>’</w:t>
      </w:r>
      <w:r w:rsidRPr="0053519A">
        <w:t>agissait en l</w:t>
      </w:r>
      <w:r w:rsidRPr="0053519A" w:rsidR="0053519A">
        <w:t>’</w:t>
      </w:r>
      <w:r w:rsidRPr="0053519A">
        <w:t>espèce d</w:t>
      </w:r>
      <w:r w:rsidRPr="0053519A" w:rsidR="0053519A">
        <w:t>’</w:t>
      </w:r>
      <w:r w:rsidRPr="0053519A">
        <w:t>une mesure d</w:t>
      </w:r>
      <w:r w:rsidRPr="0053519A" w:rsidR="0053519A">
        <w:t>’</w:t>
      </w:r>
      <w:r w:rsidRPr="0053519A">
        <w:t>ordre ne change rien à ce constat. La Cour conclut donc que la contestation soulevée par la requérante portait effectivement sur le droit de la requérante d</w:t>
      </w:r>
      <w:r w:rsidRPr="0053519A" w:rsidR="0053519A">
        <w:t>’</w:t>
      </w:r>
      <w:r w:rsidRPr="0053519A">
        <w:t>exercer ses fonctions au sein du CSJ.</w:t>
      </w:r>
    </w:p>
    <w:p w:rsidRPr="0053519A" w:rsidR="00601F4E" w:rsidP="0053519A" w:rsidRDefault="00601F4E" w14:paraId="61C04A27" w14:textId="77777777">
      <w:pPr>
        <w:pStyle w:val="JuHa0"/>
        <w:numPr>
          <w:ilvl w:val="4"/>
          <w:numId w:val="1"/>
        </w:numPr>
      </w:pPr>
      <w:r w:rsidRPr="0053519A">
        <w:t>Sur le caractère civil du droit en cause</w:t>
      </w:r>
    </w:p>
    <w:p w:rsidRPr="0053519A" w:rsidR="00601F4E" w:rsidP="0053519A" w:rsidRDefault="00601F4E" w14:paraId="28E9992E" w14:textId="77777777">
      <w:pPr>
        <w:pStyle w:val="JuPara"/>
        <w:rPr>
          <w:rFonts w:cstheme="minorHAnsi"/>
          <w:color w:val="000000"/>
        </w:rPr>
      </w:pPr>
      <w:r w:rsidRPr="0053519A">
        <w:rPr>
          <w:rFonts w:cstheme="minorHAnsi"/>
        </w:rPr>
        <w:fldChar w:fldCharType="begin"/>
      </w:r>
      <w:r w:rsidRPr="0053519A">
        <w:rPr>
          <w:rFonts w:cstheme="minorHAnsi"/>
        </w:rPr>
        <w:instrText xml:space="preserve"> SEQ level0 \*arabic </w:instrText>
      </w:r>
      <w:r w:rsidRPr="0053519A">
        <w:rPr>
          <w:rFonts w:cstheme="minorHAnsi"/>
        </w:rPr>
        <w:fldChar w:fldCharType="separate"/>
      </w:r>
      <w:r w:rsidRPr="0053519A" w:rsidR="0053519A">
        <w:rPr>
          <w:rFonts w:cstheme="minorHAnsi"/>
          <w:noProof/>
        </w:rPr>
        <w:t>36</w:t>
      </w:r>
      <w:r w:rsidRPr="0053519A">
        <w:rPr>
          <w:rFonts w:cstheme="minorHAnsi"/>
        </w:rPr>
        <w:fldChar w:fldCharType="end"/>
      </w:r>
      <w:r w:rsidRPr="0053519A">
        <w:rPr>
          <w:rFonts w:cstheme="minorHAnsi"/>
        </w:rPr>
        <w:t>.  S</w:t>
      </w:r>
      <w:r w:rsidRPr="0053519A" w:rsidR="0053519A">
        <w:rPr>
          <w:rFonts w:cstheme="minorHAnsi"/>
        </w:rPr>
        <w:t>’</w:t>
      </w:r>
      <w:r w:rsidRPr="0053519A">
        <w:rPr>
          <w:rFonts w:cstheme="minorHAnsi"/>
        </w:rPr>
        <w:t xml:space="preserve">agissant de la question de savoir si le droit en jeu avait un « caractère civil », </w:t>
      </w:r>
      <w:r w:rsidRPr="0053519A">
        <w:rPr>
          <w:rFonts w:cstheme="minorHAnsi"/>
          <w:color w:val="000000"/>
        </w:rPr>
        <w:t>la Cour rappelle que la portée de la notion « de caractère civil » au sens de l</w:t>
      </w:r>
      <w:r w:rsidRPr="0053519A" w:rsidR="0053519A">
        <w:rPr>
          <w:rFonts w:cstheme="minorHAnsi"/>
          <w:color w:val="000000"/>
        </w:rPr>
        <w:t>’</w:t>
      </w:r>
      <w:r w:rsidRPr="0053519A">
        <w:rPr>
          <w:rFonts w:cstheme="minorHAnsi"/>
          <w:color w:val="000000"/>
        </w:rPr>
        <w:t>article 6 n</w:t>
      </w:r>
      <w:r w:rsidRPr="0053519A" w:rsidR="0053519A">
        <w:rPr>
          <w:rFonts w:cstheme="minorHAnsi"/>
          <w:color w:val="000000"/>
        </w:rPr>
        <w:t>’</w:t>
      </w:r>
      <w:r w:rsidRPr="0053519A">
        <w:rPr>
          <w:rFonts w:cstheme="minorHAnsi"/>
          <w:color w:val="000000"/>
        </w:rPr>
        <w:t>est pas limitée par l</w:t>
      </w:r>
      <w:r w:rsidRPr="0053519A" w:rsidR="0053519A">
        <w:rPr>
          <w:rFonts w:cstheme="minorHAnsi"/>
          <w:color w:val="000000"/>
        </w:rPr>
        <w:t>’</w:t>
      </w:r>
      <w:r w:rsidRPr="0053519A">
        <w:rPr>
          <w:rFonts w:cstheme="minorHAnsi"/>
          <w:color w:val="000000"/>
        </w:rPr>
        <w:t>objet immédiat du litige. En effet, elle a dégagé une approche plus large selon laquelle le volet « civil » englobe des affaires qui, si elles n</w:t>
      </w:r>
      <w:r w:rsidRPr="0053519A" w:rsidR="0053519A">
        <w:rPr>
          <w:rFonts w:cstheme="minorHAnsi"/>
          <w:color w:val="000000"/>
        </w:rPr>
        <w:t>’</w:t>
      </w:r>
      <w:r w:rsidRPr="0053519A">
        <w:rPr>
          <w:rFonts w:cstheme="minorHAnsi"/>
          <w:color w:val="000000"/>
        </w:rPr>
        <w:t>apparaissent pas </w:t>
      </w:r>
      <w:r w:rsidRPr="0053519A">
        <w:rPr>
          <w:rFonts w:cstheme="minorHAnsi"/>
          <w:i/>
          <w:iCs/>
          <w:color w:val="000000"/>
        </w:rPr>
        <w:t>a priori</w:t>
      </w:r>
      <w:r w:rsidRPr="0053519A">
        <w:rPr>
          <w:rFonts w:cstheme="minorHAnsi"/>
          <w:color w:val="000000"/>
        </w:rPr>
        <w:t> </w:t>
      </w:r>
      <w:proofErr w:type="gramStart"/>
      <w:r w:rsidRPr="0053519A">
        <w:rPr>
          <w:rFonts w:cstheme="minorHAnsi"/>
          <w:color w:val="000000"/>
        </w:rPr>
        <w:t>toucher</w:t>
      </w:r>
      <w:proofErr w:type="gramEnd"/>
      <w:r w:rsidRPr="0053519A">
        <w:rPr>
          <w:rFonts w:cstheme="minorHAnsi"/>
          <w:color w:val="000000"/>
        </w:rPr>
        <w:t xml:space="preserve"> un droit civil, n</w:t>
      </w:r>
      <w:r w:rsidRPr="0053519A" w:rsidR="0053519A">
        <w:rPr>
          <w:rFonts w:cstheme="minorHAnsi"/>
          <w:color w:val="000000"/>
        </w:rPr>
        <w:t>’</w:t>
      </w:r>
      <w:r w:rsidRPr="0053519A">
        <w:rPr>
          <w:rFonts w:cstheme="minorHAnsi"/>
          <w:color w:val="000000"/>
        </w:rPr>
        <w:t>en ont pas moins pu avoir des répercussions directes et notables sur un droit de nature pécuniaire ou non pécuniaire dont l</w:t>
      </w:r>
      <w:r w:rsidRPr="0053519A" w:rsidR="0053519A">
        <w:rPr>
          <w:rFonts w:cstheme="minorHAnsi"/>
          <w:color w:val="000000"/>
        </w:rPr>
        <w:t>’</w:t>
      </w:r>
      <w:r w:rsidRPr="0053519A">
        <w:rPr>
          <w:rFonts w:cstheme="minorHAnsi"/>
          <w:color w:val="000000"/>
        </w:rPr>
        <w:t>intéressé est titulaire (</w:t>
      </w:r>
      <w:proofErr w:type="spellStart"/>
      <w:r w:rsidRPr="0053519A">
        <w:rPr>
          <w:rFonts w:cstheme="minorHAnsi"/>
          <w:i/>
          <w:iCs/>
          <w:color w:val="000000"/>
        </w:rPr>
        <w:t>Denisov</w:t>
      </w:r>
      <w:proofErr w:type="spellEnd"/>
      <w:r w:rsidRPr="0053519A">
        <w:rPr>
          <w:rFonts w:cstheme="minorHAnsi"/>
          <w:color w:val="000000"/>
        </w:rPr>
        <w:t>, précité, § 51). Ainsi, en ce qui concerne le contentieux de la fonction publique, la Cour a établi, dans l</w:t>
      </w:r>
      <w:r w:rsidRPr="0053519A" w:rsidR="0053519A">
        <w:rPr>
          <w:rFonts w:cstheme="minorHAnsi"/>
          <w:color w:val="000000"/>
        </w:rPr>
        <w:t>’</w:t>
      </w:r>
      <w:r w:rsidRPr="0053519A">
        <w:rPr>
          <w:rFonts w:cstheme="minorHAnsi"/>
          <w:color w:val="000000"/>
        </w:rPr>
        <w:t xml:space="preserve">arrêt </w:t>
      </w:r>
      <w:proofErr w:type="spellStart"/>
      <w:r w:rsidRPr="0053519A">
        <w:rPr>
          <w:rFonts w:cstheme="minorHAnsi"/>
          <w:i/>
          <w:iCs/>
          <w:color w:val="000000"/>
        </w:rPr>
        <w:t>Vilho</w:t>
      </w:r>
      <w:proofErr w:type="spellEnd"/>
      <w:r w:rsidRPr="0053519A">
        <w:rPr>
          <w:rFonts w:cstheme="minorHAnsi"/>
          <w:i/>
          <w:iCs/>
          <w:color w:val="000000"/>
        </w:rPr>
        <w:t xml:space="preserve"> Eskelinen et autres</w:t>
      </w:r>
      <w:r w:rsidRPr="0053519A">
        <w:rPr>
          <w:rFonts w:cstheme="minorHAnsi"/>
          <w:color w:val="000000"/>
        </w:rPr>
        <w:t xml:space="preserve"> (précité), une présomption que l</w:t>
      </w:r>
      <w:r w:rsidRPr="0053519A" w:rsidR="0053519A">
        <w:rPr>
          <w:rFonts w:cstheme="minorHAnsi"/>
          <w:color w:val="000000"/>
        </w:rPr>
        <w:t>’</w:t>
      </w:r>
      <w:r w:rsidRPr="0053519A">
        <w:rPr>
          <w:rFonts w:cstheme="minorHAnsi"/>
          <w:color w:val="000000"/>
        </w:rPr>
        <w:t>article</w:t>
      </w:r>
      <w:r w:rsidRPr="0053519A" w:rsidR="00180F62">
        <w:rPr>
          <w:rFonts w:cstheme="minorHAnsi"/>
          <w:color w:val="000000"/>
        </w:rPr>
        <w:t> </w:t>
      </w:r>
      <w:r w:rsidRPr="0053519A">
        <w:rPr>
          <w:rFonts w:cstheme="minorHAnsi"/>
          <w:color w:val="000000"/>
        </w:rPr>
        <w:t>6 trouve à s</w:t>
      </w:r>
      <w:r w:rsidRPr="0053519A" w:rsidR="0053519A">
        <w:rPr>
          <w:rFonts w:cstheme="minorHAnsi"/>
          <w:color w:val="000000"/>
        </w:rPr>
        <w:t>’</w:t>
      </w:r>
      <w:r w:rsidRPr="0053519A">
        <w:rPr>
          <w:rFonts w:cstheme="minorHAnsi"/>
          <w:color w:val="000000"/>
        </w:rPr>
        <w:t>appliquer aux « conflits ordinaires du travail » entre les agents publics et l</w:t>
      </w:r>
      <w:r w:rsidRPr="0053519A" w:rsidR="0053519A">
        <w:rPr>
          <w:rFonts w:cstheme="minorHAnsi"/>
          <w:color w:val="000000"/>
        </w:rPr>
        <w:t>’</w:t>
      </w:r>
      <w:r w:rsidRPr="0053519A">
        <w:rPr>
          <w:rFonts w:cstheme="minorHAnsi"/>
          <w:color w:val="000000"/>
        </w:rPr>
        <w:t>État (</w:t>
      </w:r>
      <w:proofErr w:type="spellStart"/>
      <w:r w:rsidRPr="0053519A">
        <w:rPr>
          <w:rFonts w:cstheme="minorHAnsi"/>
          <w:i/>
          <w:iCs/>
          <w:color w:val="000000"/>
        </w:rPr>
        <w:t>Vilho</w:t>
      </w:r>
      <w:proofErr w:type="spellEnd"/>
      <w:r w:rsidRPr="0053519A">
        <w:rPr>
          <w:rFonts w:cstheme="minorHAnsi"/>
          <w:i/>
          <w:iCs/>
          <w:color w:val="000000"/>
        </w:rPr>
        <w:t xml:space="preserve"> Eskelinen et autres</w:t>
      </w:r>
      <w:r w:rsidRPr="0053519A">
        <w:rPr>
          <w:rFonts w:cstheme="minorHAnsi"/>
          <w:color w:val="000000"/>
        </w:rPr>
        <w:t xml:space="preserve">, précité, § 62 ; voir également </w:t>
      </w:r>
      <w:proofErr w:type="spellStart"/>
      <w:r w:rsidRPr="0053519A">
        <w:rPr>
          <w:rFonts w:cstheme="minorHAnsi"/>
          <w:i/>
          <w:iCs/>
          <w:color w:val="000000"/>
        </w:rPr>
        <w:t>Denisov</w:t>
      </w:r>
      <w:proofErr w:type="spellEnd"/>
      <w:r w:rsidRPr="0053519A">
        <w:rPr>
          <w:rFonts w:cstheme="minorHAnsi"/>
          <w:color w:val="000000"/>
        </w:rPr>
        <w:t>, précité, §</w:t>
      </w:r>
      <w:r w:rsidRPr="0053519A" w:rsidR="00297752">
        <w:rPr>
          <w:rFonts w:cstheme="minorHAnsi"/>
          <w:color w:val="000000"/>
        </w:rPr>
        <w:t> </w:t>
      </w:r>
      <w:r w:rsidRPr="0053519A">
        <w:rPr>
          <w:rFonts w:cstheme="minorHAnsi"/>
          <w:color w:val="000000"/>
        </w:rPr>
        <w:t>53). Pour renverser cette présomption, il appartient à l</w:t>
      </w:r>
      <w:r w:rsidRPr="0053519A" w:rsidR="0053519A">
        <w:rPr>
          <w:rFonts w:cstheme="minorHAnsi"/>
          <w:color w:val="000000"/>
        </w:rPr>
        <w:t>’</w:t>
      </w:r>
      <w:r w:rsidRPr="0053519A">
        <w:rPr>
          <w:rFonts w:cstheme="minorHAnsi"/>
          <w:color w:val="000000"/>
        </w:rPr>
        <w:t>État défendeur de démontrer, premièrement, que d</w:t>
      </w:r>
      <w:r w:rsidRPr="0053519A" w:rsidR="0053519A">
        <w:rPr>
          <w:rFonts w:cstheme="minorHAnsi"/>
          <w:color w:val="000000"/>
        </w:rPr>
        <w:t>’</w:t>
      </w:r>
      <w:r w:rsidRPr="0053519A">
        <w:rPr>
          <w:rFonts w:cstheme="minorHAnsi"/>
          <w:color w:val="000000"/>
        </w:rPr>
        <w:t>après le droit national l</w:t>
      </w:r>
      <w:r w:rsidRPr="0053519A" w:rsidR="0053519A">
        <w:rPr>
          <w:rFonts w:cstheme="minorHAnsi"/>
          <w:color w:val="000000"/>
        </w:rPr>
        <w:t>’</w:t>
      </w:r>
      <w:r w:rsidRPr="0053519A">
        <w:rPr>
          <w:rFonts w:cstheme="minorHAnsi"/>
          <w:color w:val="000000"/>
        </w:rPr>
        <w:t>agent public en question n</w:t>
      </w:r>
      <w:r w:rsidRPr="0053519A" w:rsidR="0053519A">
        <w:rPr>
          <w:rFonts w:cstheme="minorHAnsi"/>
          <w:color w:val="000000"/>
        </w:rPr>
        <w:t>’</w:t>
      </w:r>
      <w:r w:rsidRPr="0053519A">
        <w:rPr>
          <w:rFonts w:cstheme="minorHAnsi"/>
          <w:color w:val="000000"/>
        </w:rPr>
        <w:t>avait pas le droit d</w:t>
      </w:r>
      <w:r w:rsidRPr="0053519A" w:rsidR="0053519A">
        <w:rPr>
          <w:rFonts w:cstheme="minorHAnsi"/>
          <w:color w:val="000000"/>
        </w:rPr>
        <w:t>’</w:t>
      </w:r>
      <w:r w:rsidRPr="0053519A">
        <w:rPr>
          <w:rFonts w:cstheme="minorHAnsi"/>
          <w:color w:val="000000"/>
        </w:rPr>
        <w:t>accéder à un tribunal, et deuxièmement, que l</w:t>
      </w:r>
      <w:r w:rsidRPr="0053519A" w:rsidR="0053519A">
        <w:rPr>
          <w:rFonts w:cstheme="minorHAnsi"/>
          <w:color w:val="000000"/>
        </w:rPr>
        <w:t>’</w:t>
      </w:r>
      <w:r w:rsidRPr="0053519A">
        <w:rPr>
          <w:rFonts w:cstheme="minorHAnsi"/>
          <w:color w:val="000000"/>
        </w:rPr>
        <w:t>exclusion des droits garantis par l</w:t>
      </w:r>
      <w:r w:rsidRPr="0053519A" w:rsidR="0053519A">
        <w:rPr>
          <w:rFonts w:cstheme="minorHAnsi"/>
          <w:color w:val="000000"/>
        </w:rPr>
        <w:t>’</w:t>
      </w:r>
      <w:r w:rsidRPr="0053519A">
        <w:rPr>
          <w:rFonts w:cstheme="minorHAnsi"/>
          <w:color w:val="000000"/>
        </w:rPr>
        <w:t>article 6 était fondée sur des motifs objectifs liés à l</w:t>
      </w:r>
      <w:r w:rsidRPr="0053519A" w:rsidR="0053519A">
        <w:rPr>
          <w:rFonts w:cstheme="minorHAnsi"/>
          <w:color w:val="000000"/>
        </w:rPr>
        <w:t>’</w:t>
      </w:r>
      <w:r w:rsidRPr="0053519A">
        <w:rPr>
          <w:rFonts w:cstheme="minorHAnsi"/>
          <w:color w:val="000000"/>
        </w:rPr>
        <w:t>intérêt de l</w:t>
      </w:r>
      <w:r w:rsidRPr="0053519A" w:rsidR="0053519A">
        <w:rPr>
          <w:rFonts w:cstheme="minorHAnsi"/>
          <w:color w:val="000000"/>
        </w:rPr>
        <w:t>’</w:t>
      </w:r>
      <w:r w:rsidRPr="0053519A">
        <w:rPr>
          <w:rFonts w:cstheme="minorHAnsi"/>
          <w:color w:val="000000"/>
        </w:rPr>
        <w:t>État, à savoir que l</w:t>
      </w:r>
      <w:r w:rsidRPr="0053519A" w:rsidR="0053519A">
        <w:rPr>
          <w:rFonts w:cstheme="minorHAnsi"/>
          <w:color w:val="000000"/>
        </w:rPr>
        <w:t>’</w:t>
      </w:r>
      <w:r w:rsidRPr="0053519A">
        <w:rPr>
          <w:rFonts w:cstheme="minorHAnsi"/>
          <w:color w:val="000000"/>
        </w:rPr>
        <w:t>objet du litige était lié à l</w:t>
      </w:r>
      <w:r w:rsidRPr="0053519A" w:rsidR="0053519A">
        <w:rPr>
          <w:rFonts w:cstheme="minorHAnsi"/>
          <w:color w:val="000000"/>
        </w:rPr>
        <w:t>’</w:t>
      </w:r>
      <w:r w:rsidRPr="0053519A">
        <w:rPr>
          <w:rFonts w:cstheme="minorHAnsi"/>
          <w:color w:val="000000"/>
        </w:rPr>
        <w:t>exercice de l</w:t>
      </w:r>
      <w:r w:rsidRPr="0053519A" w:rsidR="0053519A">
        <w:rPr>
          <w:rFonts w:cstheme="minorHAnsi"/>
          <w:color w:val="000000"/>
        </w:rPr>
        <w:t>’</w:t>
      </w:r>
      <w:r w:rsidRPr="0053519A">
        <w:rPr>
          <w:rFonts w:cstheme="minorHAnsi"/>
          <w:color w:val="000000"/>
        </w:rPr>
        <w:t>autorité étatique ou remettait en cause un lien spécial de confiance et de loyauté existant entre l</w:t>
      </w:r>
      <w:r w:rsidRPr="0053519A" w:rsidR="0053519A">
        <w:rPr>
          <w:rFonts w:cstheme="minorHAnsi"/>
          <w:color w:val="000000"/>
        </w:rPr>
        <w:t>’</w:t>
      </w:r>
      <w:r w:rsidRPr="0053519A">
        <w:rPr>
          <w:rFonts w:cstheme="minorHAnsi"/>
          <w:color w:val="000000"/>
        </w:rPr>
        <w:t>intéressé et l</w:t>
      </w:r>
      <w:r w:rsidRPr="0053519A" w:rsidR="0053519A">
        <w:rPr>
          <w:rFonts w:cstheme="minorHAnsi"/>
          <w:color w:val="000000"/>
        </w:rPr>
        <w:t>’</w:t>
      </w:r>
      <w:r w:rsidRPr="0053519A">
        <w:rPr>
          <w:rFonts w:cstheme="minorHAnsi"/>
          <w:color w:val="000000"/>
        </w:rPr>
        <w:t>État employeur (</w:t>
      </w:r>
      <w:proofErr w:type="spellStart"/>
      <w:r w:rsidRPr="0053519A">
        <w:rPr>
          <w:rFonts w:cstheme="minorHAnsi"/>
          <w:i/>
          <w:iCs/>
          <w:color w:val="000000"/>
        </w:rPr>
        <w:t>Vilho</w:t>
      </w:r>
      <w:proofErr w:type="spellEnd"/>
      <w:r w:rsidRPr="0053519A">
        <w:rPr>
          <w:rFonts w:cstheme="minorHAnsi"/>
          <w:i/>
          <w:iCs/>
          <w:color w:val="000000"/>
        </w:rPr>
        <w:t xml:space="preserve"> Eskelinen et autres</w:t>
      </w:r>
      <w:r w:rsidRPr="0053519A">
        <w:rPr>
          <w:rFonts w:cstheme="minorHAnsi"/>
          <w:color w:val="000000"/>
        </w:rPr>
        <w:t xml:space="preserve">, précité, § 62 ; voir également </w:t>
      </w:r>
      <w:r w:rsidRPr="0053519A">
        <w:rPr>
          <w:rFonts w:cstheme="minorHAnsi"/>
          <w:i/>
          <w:iCs/>
          <w:color w:val="000000"/>
        </w:rPr>
        <w:t>Baka</w:t>
      </w:r>
      <w:r w:rsidRPr="0053519A">
        <w:rPr>
          <w:rFonts w:cstheme="minorHAnsi"/>
          <w:color w:val="000000"/>
        </w:rPr>
        <w:t>, précité, § 103).</w:t>
      </w:r>
    </w:p>
    <w:p w:rsidRPr="0053519A" w:rsidR="00601F4E" w:rsidP="0053519A" w:rsidRDefault="00601F4E" w14:paraId="24A6397A" w14:textId="77777777">
      <w:pPr>
        <w:pStyle w:val="JuPara"/>
        <w:rPr>
          <w:color w:val="000000"/>
        </w:rPr>
      </w:pPr>
      <w:r w:rsidRPr="0053519A">
        <w:rPr>
          <w:rFonts w:cstheme="minorHAnsi"/>
        </w:rPr>
        <w:fldChar w:fldCharType="begin"/>
      </w:r>
      <w:r w:rsidRPr="0053519A">
        <w:rPr>
          <w:rFonts w:cstheme="minorHAnsi"/>
        </w:rPr>
        <w:instrText xml:space="preserve"> SEQ level0 \*arabic </w:instrText>
      </w:r>
      <w:r w:rsidRPr="0053519A">
        <w:rPr>
          <w:rFonts w:cstheme="minorHAnsi"/>
        </w:rPr>
        <w:fldChar w:fldCharType="separate"/>
      </w:r>
      <w:r w:rsidRPr="0053519A" w:rsidR="0053519A">
        <w:rPr>
          <w:rFonts w:cstheme="minorHAnsi"/>
          <w:noProof/>
        </w:rPr>
        <w:t>37</w:t>
      </w:r>
      <w:r w:rsidRPr="0053519A">
        <w:rPr>
          <w:rFonts w:cstheme="minorHAnsi"/>
        </w:rPr>
        <w:fldChar w:fldCharType="end"/>
      </w:r>
      <w:r w:rsidRPr="0053519A">
        <w:rPr>
          <w:rFonts w:cstheme="minorHAnsi"/>
        </w:rPr>
        <w:t>.</w:t>
      </w:r>
      <w:r w:rsidRPr="0053519A" w:rsidR="00180F62">
        <w:rPr>
          <w:rFonts w:cstheme="minorHAnsi"/>
        </w:rPr>
        <w:t>  </w:t>
      </w:r>
      <w:r w:rsidRPr="0053519A">
        <w:rPr>
          <w:color w:val="000000"/>
        </w:rPr>
        <w:t>La Cour note que la présomption précitée, selon laquelle les droits en cause ont un « caractère civil », s</w:t>
      </w:r>
      <w:r w:rsidRPr="0053519A" w:rsidR="0053519A">
        <w:rPr>
          <w:color w:val="000000"/>
        </w:rPr>
        <w:t>’</w:t>
      </w:r>
      <w:r w:rsidRPr="0053519A">
        <w:rPr>
          <w:color w:val="000000"/>
        </w:rPr>
        <w:t>applique notamment aux « conflits ordinaires du travail », que ce soit dans le secteur privé ou dans le secteur public (</w:t>
      </w:r>
      <w:proofErr w:type="spellStart"/>
      <w:r w:rsidRPr="0053519A">
        <w:rPr>
          <w:i/>
          <w:iCs/>
          <w:color w:val="000000"/>
        </w:rPr>
        <w:t>Vilho</w:t>
      </w:r>
      <w:proofErr w:type="spellEnd"/>
      <w:r w:rsidRPr="0053519A">
        <w:rPr>
          <w:i/>
          <w:iCs/>
          <w:color w:val="000000"/>
        </w:rPr>
        <w:t xml:space="preserve"> Eskelinen et autres</w:t>
      </w:r>
      <w:r w:rsidRPr="0053519A">
        <w:rPr>
          <w:color w:val="000000"/>
        </w:rPr>
        <w:t xml:space="preserve">, précité, § 62, </w:t>
      </w:r>
      <w:r w:rsidRPr="0053519A">
        <w:rPr>
          <w:i/>
          <w:iCs/>
          <w:color w:val="000000"/>
        </w:rPr>
        <w:t>Baka</w:t>
      </w:r>
      <w:r w:rsidRPr="0053519A">
        <w:rPr>
          <w:color w:val="000000"/>
        </w:rPr>
        <w:t>, précité, §</w:t>
      </w:r>
      <w:r w:rsidRPr="0053519A" w:rsidR="00180F62">
        <w:rPr>
          <w:color w:val="000000"/>
        </w:rPr>
        <w:t> </w:t>
      </w:r>
      <w:r w:rsidRPr="0053519A">
        <w:rPr>
          <w:color w:val="000000"/>
        </w:rPr>
        <w:t xml:space="preserve">103, et </w:t>
      </w:r>
      <w:proofErr w:type="spellStart"/>
      <w:r w:rsidRPr="0053519A">
        <w:rPr>
          <w:i/>
          <w:iCs/>
          <w:color w:val="000000"/>
        </w:rPr>
        <w:t>Denisov</w:t>
      </w:r>
      <w:proofErr w:type="spellEnd"/>
      <w:r w:rsidRPr="0053519A">
        <w:rPr>
          <w:color w:val="000000"/>
        </w:rPr>
        <w:t>, précité, § 52). Elle note également que de tels conflits ne sont pas seulement ceux qui concernent un salaire, une indemnité ou un autre droit de ce type (</w:t>
      </w:r>
      <w:r w:rsidRPr="0053519A">
        <w:rPr>
          <w:i/>
          <w:iCs/>
          <w:color w:val="000000"/>
        </w:rPr>
        <w:t>Bayer c. Allemagne</w:t>
      </w:r>
      <w:r w:rsidRPr="0053519A">
        <w:rPr>
          <w:color w:val="000000"/>
        </w:rPr>
        <w:t>, n</w:t>
      </w:r>
      <w:r w:rsidRPr="0053519A">
        <w:rPr>
          <w:color w:val="000000"/>
          <w:vertAlign w:val="superscript"/>
        </w:rPr>
        <w:t>o</w:t>
      </w:r>
      <w:r w:rsidRPr="0053519A">
        <w:rPr>
          <w:color w:val="000000"/>
        </w:rPr>
        <w:t xml:space="preserve"> 8453/04, § 38, 16 juillet 2009, </w:t>
      </w:r>
      <w:r w:rsidRPr="0053519A">
        <w:rPr>
          <w:i/>
          <w:iCs/>
          <w:color w:val="000000"/>
        </w:rPr>
        <w:t>Baka</w:t>
      </w:r>
      <w:r w:rsidRPr="0053519A">
        <w:rPr>
          <w:color w:val="000000"/>
        </w:rPr>
        <w:t>, précité, §</w:t>
      </w:r>
      <w:r w:rsidRPr="0053519A" w:rsidR="00180F62">
        <w:rPr>
          <w:color w:val="000000"/>
        </w:rPr>
        <w:t> </w:t>
      </w:r>
      <w:r w:rsidRPr="0053519A">
        <w:rPr>
          <w:color w:val="000000"/>
        </w:rPr>
        <w:t xml:space="preserve">104, et </w:t>
      </w:r>
      <w:proofErr w:type="spellStart"/>
      <w:r w:rsidRPr="0053519A">
        <w:rPr>
          <w:i/>
          <w:iCs/>
          <w:color w:val="000000"/>
        </w:rPr>
        <w:t>Denisov</w:t>
      </w:r>
      <w:proofErr w:type="spellEnd"/>
      <w:r w:rsidRPr="0053519A">
        <w:rPr>
          <w:color w:val="000000"/>
        </w:rPr>
        <w:t>, précité, § 52). En général, de tels conflits concernent les relations juridiques existant dans un contexte professionnel entre un employé ou un agent, d</w:t>
      </w:r>
      <w:r w:rsidRPr="0053519A" w:rsidR="0053519A">
        <w:rPr>
          <w:color w:val="000000"/>
        </w:rPr>
        <w:t>’</w:t>
      </w:r>
      <w:r w:rsidRPr="0053519A">
        <w:rPr>
          <w:color w:val="000000"/>
        </w:rPr>
        <w:t>une part, et un employeur ou une instance qui exerce une certaine autorité sur lui, d</w:t>
      </w:r>
      <w:r w:rsidRPr="0053519A" w:rsidR="0053519A">
        <w:rPr>
          <w:color w:val="000000"/>
        </w:rPr>
        <w:t>’</w:t>
      </w:r>
      <w:r w:rsidRPr="0053519A">
        <w:rPr>
          <w:color w:val="000000"/>
        </w:rPr>
        <w:t>autre part. La circonstance que l</w:t>
      </w:r>
      <w:r w:rsidRPr="0053519A" w:rsidR="0053519A">
        <w:rPr>
          <w:color w:val="000000"/>
        </w:rPr>
        <w:t>’</w:t>
      </w:r>
      <w:r w:rsidRPr="0053519A">
        <w:rPr>
          <w:color w:val="000000"/>
        </w:rPr>
        <w:t xml:space="preserve">intéressé exerce une haute fonction au sein de la « fonction publique au sens large » (voir </w:t>
      </w:r>
      <w:r w:rsidRPr="0053519A">
        <w:rPr>
          <w:i/>
          <w:iCs/>
          <w:color w:val="000000"/>
        </w:rPr>
        <w:t>Baka</w:t>
      </w:r>
      <w:r w:rsidRPr="0053519A">
        <w:rPr>
          <w:color w:val="000000"/>
        </w:rPr>
        <w:t>, précité, § 104), ne fait pas obstacle à l</w:t>
      </w:r>
      <w:r w:rsidRPr="0053519A" w:rsidR="0053519A">
        <w:rPr>
          <w:color w:val="000000"/>
        </w:rPr>
        <w:t>’</w:t>
      </w:r>
      <w:r w:rsidRPr="0053519A">
        <w:rPr>
          <w:color w:val="000000"/>
        </w:rPr>
        <w:t xml:space="preserve">applicabilité de la présomption (voir les exemples cités dans </w:t>
      </w:r>
      <w:r w:rsidRPr="0053519A">
        <w:rPr>
          <w:i/>
          <w:iCs/>
          <w:color w:val="000000"/>
        </w:rPr>
        <w:t>Baka</w:t>
      </w:r>
      <w:r w:rsidRPr="0053519A">
        <w:rPr>
          <w:color w:val="000000"/>
        </w:rPr>
        <w:t>, précité, §</w:t>
      </w:r>
      <w:r w:rsidRPr="0053519A" w:rsidR="00180F62">
        <w:rPr>
          <w:color w:val="000000"/>
        </w:rPr>
        <w:t> </w:t>
      </w:r>
      <w:r w:rsidRPr="0053519A">
        <w:rPr>
          <w:color w:val="000000"/>
        </w:rPr>
        <w:t xml:space="preserve">104, et </w:t>
      </w:r>
      <w:proofErr w:type="spellStart"/>
      <w:r w:rsidRPr="0053519A">
        <w:rPr>
          <w:i/>
          <w:iCs/>
          <w:color w:val="000000"/>
        </w:rPr>
        <w:t>Denisov</w:t>
      </w:r>
      <w:proofErr w:type="spellEnd"/>
      <w:r w:rsidRPr="0053519A">
        <w:rPr>
          <w:color w:val="000000"/>
        </w:rPr>
        <w:t>, précité, §</w:t>
      </w:r>
      <w:r w:rsidRPr="0053519A" w:rsidR="00180F62">
        <w:rPr>
          <w:color w:val="000000"/>
        </w:rPr>
        <w:t> </w:t>
      </w:r>
      <w:r w:rsidRPr="0053519A">
        <w:rPr>
          <w:color w:val="000000"/>
        </w:rPr>
        <w:t>52). Ce sont les caractéristiques intrinsèques du litige qui sont pertinentes.</w:t>
      </w:r>
    </w:p>
    <w:p w:rsidRPr="0053519A" w:rsidR="00601F4E" w:rsidP="0053519A" w:rsidRDefault="00601F4E" w14:paraId="17F7C6E7" w14:textId="77777777">
      <w:pPr>
        <w:pStyle w:val="JuPara"/>
        <w:rPr>
          <w:color w:val="000000"/>
        </w:rPr>
      </w:pPr>
      <w:r w:rsidRPr="0053519A">
        <w:rPr>
          <w:color w:val="000000"/>
        </w:rPr>
        <w:fldChar w:fldCharType="begin"/>
      </w:r>
      <w:r w:rsidRPr="0053519A">
        <w:rPr>
          <w:color w:val="000000"/>
        </w:rPr>
        <w:instrText xml:space="preserve"> SEQ level0 \*arabic \* MERGEFORMAT </w:instrText>
      </w:r>
      <w:r w:rsidRPr="0053519A">
        <w:rPr>
          <w:color w:val="000000"/>
        </w:rPr>
        <w:fldChar w:fldCharType="separate"/>
      </w:r>
      <w:r w:rsidRPr="0053519A" w:rsidR="0053519A">
        <w:rPr>
          <w:noProof/>
          <w:color w:val="000000"/>
        </w:rPr>
        <w:t>38</w:t>
      </w:r>
      <w:r w:rsidRPr="0053519A">
        <w:rPr>
          <w:color w:val="000000"/>
        </w:rPr>
        <w:fldChar w:fldCharType="end"/>
      </w:r>
      <w:r w:rsidRPr="0053519A">
        <w:rPr>
          <w:color w:val="000000"/>
        </w:rPr>
        <w:t>.  En l</w:t>
      </w:r>
      <w:r w:rsidRPr="0053519A" w:rsidR="0053519A">
        <w:rPr>
          <w:color w:val="000000"/>
        </w:rPr>
        <w:t>’</w:t>
      </w:r>
      <w:r w:rsidRPr="0053519A">
        <w:rPr>
          <w:color w:val="000000"/>
        </w:rPr>
        <w:t>espèce, la requérante était élue membre du CSJ pour une durée déterminée, et elle ne pouvait pas être révoquée par l</w:t>
      </w:r>
      <w:r w:rsidRPr="0053519A" w:rsidR="0053519A">
        <w:rPr>
          <w:color w:val="000000"/>
        </w:rPr>
        <w:t>’</w:t>
      </w:r>
      <w:r w:rsidRPr="0053519A">
        <w:rPr>
          <w:color w:val="000000"/>
        </w:rPr>
        <w:t>organe qui l</w:t>
      </w:r>
      <w:r w:rsidRPr="0053519A" w:rsidR="0053519A">
        <w:rPr>
          <w:color w:val="000000"/>
        </w:rPr>
        <w:t>’</w:t>
      </w:r>
      <w:r w:rsidRPr="0053519A">
        <w:rPr>
          <w:color w:val="000000"/>
        </w:rPr>
        <w:t>avait désignée, le Sénat ; elle exerçait ses fonctions sous l</w:t>
      </w:r>
      <w:r w:rsidRPr="0053519A" w:rsidR="0053519A">
        <w:rPr>
          <w:color w:val="000000"/>
        </w:rPr>
        <w:t>’</w:t>
      </w:r>
      <w:r w:rsidRPr="0053519A">
        <w:rPr>
          <w:color w:val="000000"/>
        </w:rPr>
        <w:t>autorité de l</w:t>
      </w:r>
      <w:r w:rsidRPr="0053519A" w:rsidR="0053519A">
        <w:rPr>
          <w:color w:val="000000"/>
        </w:rPr>
        <w:t>’</w:t>
      </w:r>
      <w:r w:rsidRPr="0053519A">
        <w:rPr>
          <w:color w:val="000000"/>
        </w:rPr>
        <w:t>assemblée générale du CSJ, qui avait le pouvoir de mettre fin à son mandat ; pour l</w:t>
      </w:r>
      <w:r w:rsidRPr="0053519A" w:rsidR="0053519A">
        <w:rPr>
          <w:color w:val="000000"/>
        </w:rPr>
        <w:t>’</w:t>
      </w:r>
      <w:r w:rsidRPr="0053519A">
        <w:rPr>
          <w:color w:val="000000"/>
        </w:rPr>
        <w:t>exercice des fonctions de membre du bureau, elle recevait une rémunération. En outre, la mesure de suspension prise par l</w:t>
      </w:r>
      <w:r w:rsidRPr="0053519A" w:rsidR="0053519A">
        <w:rPr>
          <w:color w:val="000000"/>
        </w:rPr>
        <w:t>’</w:t>
      </w:r>
      <w:r w:rsidRPr="0053519A">
        <w:rPr>
          <w:color w:val="000000"/>
        </w:rPr>
        <w:t>assemblée générale était basée sur le fait que l</w:t>
      </w:r>
      <w:r w:rsidRPr="0053519A" w:rsidR="0053519A">
        <w:rPr>
          <w:color w:val="000000"/>
        </w:rPr>
        <w:t>’</w:t>
      </w:r>
      <w:r w:rsidRPr="0053519A">
        <w:rPr>
          <w:color w:val="000000"/>
        </w:rPr>
        <w:t>inculpation de la requérante était considérée comme nuisant au bon fonctionnement du CSJ. Eu égard à ces éléments, la Cour estime que, du point de vue de la qualification des droits et obligations en cause, le litige entre la requérante et le CSJ était un litige professionnel, portant sur la façon dont la requérante exerçait ou pouvait continuer à exercer ses fonctions au sein du CSJ. Il opposait la requérante à l</w:t>
      </w:r>
      <w:r w:rsidRPr="0053519A" w:rsidR="0053519A">
        <w:rPr>
          <w:color w:val="000000"/>
        </w:rPr>
        <w:t>’</w:t>
      </w:r>
      <w:r w:rsidRPr="0053519A">
        <w:rPr>
          <w:color w:val="000000"/>
        </w:rPr>
        <w:t>assemblée générale, organe chargé de veiller au bon fonctionnement de l</w:t>
      </w:r>
      <w:r w:rsidRPr="0053519A" w:rsidR="0053519A">
        <w:rPr>
          <w:color w:val="000000"/>
        </w:rPr>
        <w:t>’</w:t>
      </w:r>
      <w:r w:rsidRPr="0053519A">
        <w:rPr>
          <w:color w:val="000000"/>
        </w:rPr>
        <w:t>institution et qui à ce titre pouvait exercer un certain contrôle sur la requérante. En dépit du fait que la requérante exerçait ses fonctions au sein d</w:t>
      </w:r>
      <w:r w:rsidRPr="0053519A" w:rsidR="0053519A">
        <w:rPr>
          <w:color w:val="000000"/>
        </w:rPr>
        <w:t>’</w:t>
      </w:r>
      <w:r w:rsidRPr="0053519A">
        <w:rPr>
          <w:color w:val="000000"/>
        </w:rPr>
        <w:t>une institution dont l</w:t>
      </w:r>
      <w:r w:rsidRPr="0053519A" w:rsidR="0053519A">
        <w:rPr>
          <w:color w:val="000000"/>
        </w:rPr>
        <w:t>’</w:t>
      </w:r>
      <w:r w:rsidRPr="0053519A">
        <w:rPr>
          <w:color w:val="000000"/>
        </w:rPr>
        <w:t>indépendance est garantie par la Constitution (paragraphe</w:t>
      </w:r>
      <w:r w:rsidRPr="0053519A" w:rsidR="00180F62">
        <w:rPr>
          <w:color w:val="000000"/>
        </w:rPr>
        <w:t> </w:t>
      </w:r>
      <w:r w:rsidRPr="0053519A" w:rsidR="0056010F">
        <w:rPr>
          <w:color w:val="000000"/>
        </w:rPr>
        <w:fldChar w:fldCharType="begin"/>
      </w:r>
      <w:r w:rsidRPr="0053519A" w:rsidR="0056010F">
        <w:rPr>
          <w:color w:val="000000"/>
        </w:rPr>
        <w:instrText xml:space="preserve"> REF compositionCSJ \h  \* CharFormat </w:instrText>
      </w:r>
      <w:r w:rsidRPr="0053519A" w:rsidR="0056010F">
        <w:rPr>
          <w:color w:val="000000"/>
        </w:rPr>
      </w:r>
      <w:r w:rsidRPr="0053519A" w:rsidR="0056010F">
        <w:rPr>
          <w:color w:val="000000"/>
        </w:rPr>
        <w:fldChar w:fldCharType="separate"/>
      </w:r>
      <w:r w:rsidRPr="0053519A" w:rsidR="0053519A">
        <w:rPr>
          <w:color w:val="000000"/>
        </w:rPr>
        <w:t>18</w:t>
      </w:r>
      <w:r w:rsidRPr="0053519A" w:rsidR="0056010F">
        <w:rPr>
          <w:color w:val="000000"/>
        </w:rPr>
        <w:fldChar w:fldCharType="end"/>
      </w:r>
      <w:r w:rsidRPr="0053519A" w:rsidR="0056010F">
        <w:rPr>
          <w:color w:val="000000"/>
        </w:rPr>
        <w:t xml:space="preserve"> </w:t>
      </w:r>
      <w:r w:rsidRPr="0053519A">
        <w:rPr>
          <w:color w:val="000000"/>
        </w:rPr>
        <w:t xml:space="preserve">ci-dessus), la Cour considère que le litige professionnel interne présentait, comme des « conflits ordinaires du travail », des éléments « civils » suffisamment importants pour faire entrer en jeu la présomption selon laquelle le droit en cause était un droit « de caractère civil » (comparer </w:t>
      </w:r>
      <w:proofErr w:type="spellStart"/>
      <w:r w:rsidRPr="0053519A">
        <w:rPr>
          <w:i/>
          <w:iCs/>
          <w:color w:val="000000"/>
        </w:rPr>
        <w:t>Denisov</w:t>
      </w:r>
      <w:proofErr w:type="spellEnd"/>
      <w:r w:rsidRPr="0053519A">
        <w:rPr>
          <w:color w:val="000000"/>
        </w:rPr>
        <w:t>, précité, § 54).</w:t>
      </w:r>
    </w:p>
    <w:bookmarkStart w:name="allegGvtapplicabilite" w:id="28"/>
    <w:p w:rsidRPr="0053519A" w:rsidR="00601F4E" w:rsidP="0053519A" w:rsidRDefault="00601F4E" w14:paraId="17964DA2" w14:textId="77777777">
      <w:pPr>
        <w:pStyle w:val="JuPara"/>
      </w:pPr>
      <w:r w:rsidRPr="0053519A">
        <w:fldChar w:fldCharType="begin"/>
      </w:r>
      <w:r w:rsidRPr="0053519A">
        <w:instrText xml:space="preserve"> SEQ level0 \*arabic </w:instrText>
      </w:r>
      <w:r w:rsidRPr="0053519A">
        <w:fldChar w:fldCharType="separate"/>
      </w:r>
      <w:r w:rsidRPr="0053519A" w:rsidR="0053519A">
        <w:rPr>
          <w:noProof/>
        </w:rPr>
        <w:t>39</w:t>
      </w:r>
      <w:r w:rsidRPr="0053519A">
        <w:fldChar w:fldCharType="end"/>
      </w:r>
      <w:bookmarkEnd w:id="28"/>
      <w:r w:rsidRPr="0053519A">
        <w:t>.  N</w:t>
      </w:r>
      <w:r w:rsidRPr="0053519A" w:rsidR="0053519A">
        <w:t>’</w:t>
      </w:r>
      <w:r w:rsidRPr="0053519A">
        <w:t>ayant pas contesté l</w:t>
      </w:r>
      <w:r w:rsidRPr="0053519A" w:rsidR="0053519A">
        <w:t>’</w:t>
      </w:r>
      <w:r w:rsidRPr="0053519A">
        <w:t>applicabilité de l</w:t>
      </w:r>
      <w:r w:rsidRPr="0053519A" w:rsidR="0053519A">
        <w:t>’</w:t>
      </w:r>
      <w:r w:rsidRPr="0053519A">
        <w:t>article 6 § 1 de la Convention au présent litige, le Gouvernement n</w:t>
      </w:r>
      <w:r w:rsidRPr="0053519A" w:rsidR="0053519A">
        <w:t>’</w:t>
      </w:r>
      <w:r w:rsidRPr="0053519A">
        <w:t xml:space="preserve">a </w:t>
      </w:r>
      <w:proofErr w:type="gramStart"/>
      <w:r w:rsidRPr="0053519A">
        <w:rPr>
          <w:i/>
        </w:rPr>
        <w:t>a</w:t>
      </w:r>
      <w:proofErr w:type="gramEnd"/>
      <w:r w:rsidRPr="0053519A">
        <w:rPr>
          <w:i/>
        </w:rPr>
        <w:t xml:space="preserve"> fortiori </w:t>
      </w:r>
      <w:r w:rsidRPr="0053519A">
        <w:t>pas allégué que, d</w:t>
      </w:r>
      <w:r w:rsidRPr="0053519A" w:rsidR="0053519A">
        <w:t>’</w:t>
      </w:r>
      <w:r w:rsidRPr="0053519A">
        <w:t>après le droit national, la requérante n</w:t>
      </w:r>
      <w:r w:rsidRPr="0053519A" w:rsidR="0053519A">
        <w:t>’</w:t>
      </w:r>
      <w:r w:rsidRPr="0053519A">
        <w:t>avait pas le droit d</w:t>
      </w:r>
      <w:r w:rsidRPr="0053519A" w:rsidR="0053519A">
        <w:t>’</w:t>
      </w:r>
      <w:r w:rsidRPr="0053519A">
        <w:t xml:space="preserve">accéder à un tribunal (première condition </w:t>
      </w:r>
      <w:r w:rsidRPr="0053519A">
        <w:rPr>
          <w:i/>
          <w:iCs/>
        </w:rPr>
        <w:t>Eskelinen</w:t>
      </w:r>
      <w:r w:rsidRPr="0053519A">
        <w:t>). Au contraire, le Gouvernement soutient que l</w:t>
      </w:r>
      <w:r w:rsidRPr="0053519A" w:rsidR="0053519A">
        <w:t>’</w:t>
      </w:r>
      <w:r w:rsidRPr="0053519A">
        <w:t>article 259</w:t>
      </w:r>
      <w:r w:rsidRPr="0053519A">
        <w:rPr>
          <w:i/>
          <w:iCs/>
        </w:rPr>
        <w:t>bis</w:t>
      </w:r>
      <w:r w:rsidRPr="0053519A">
        <w:t>-3 § 4 du code judiciaire qui exclut tout recours contre une décision de cessation de mandat prise par l</w:t>
      </w:r>
      <w:r w:rsidRPr="0053519A" w:rsidR="0053519A">
        <w:t>’</w:t>
      </w:r>
      <w:r w:rsidRPr="0053519A">
        <w:t>assemblée générale du CSJ (paragraphe</w:t>
      </w:r>
      <w:r w:rsidRPr="0053519A" w:rsidR="00180F62">
        <w:t> </w:t>
      </w:r>
      <w:r w:rsidRPr="0053519A">
        <w:fldChar w:fldCharType="begin"/>
      </w:r>
      <w:r w:rsidRPr="0053519A">
        <w:instrText xml:space="preserve"> REF art259bis3CJ \h  \* MERGEFORMAT </w:instrText>
      </w:r>
      <w:r w:rsidRPr="0053519A">
        <w:fldChar w:fldCharType="separate"/>
      </w:r>
      <w:r w:rsidRPr="0053519A" w:rsidR="0053519A">
        <w:t>20</w:t>
      </w:r>
      <w:r w:rsidRPr="0053519A">
        <w:fldChar w:fldCharType="end"/>
      </w:r>
      <w:r w:rsidRPr="0053519A">
        <w:t xml:space="preserve"> ci-dessus) n</w:t>
      </w:r>
      <w:r w:rsidRPr="0053519A" w:rsidR="0053519A">
        <w:t>’</w:t>
      </w:r>
      <w:r w:rsidRPr="0053519A">
        <w:t>était pas applicable en l</w:t>
      </w:r>
      <w:r w:rsidRPr="0053519A" w:rsidR="0053519A">
        <w:t>’</w:t>
      </w:r>
      <w:r w:rsidRPr="0053519A">
        <w:t>espèce et que la requérante disposait d</w:t>
      </w:r>
      <w:r w:rsidRPr="0053519A" w:rsidR="0053519A">
        <w:t>’</w:t>
      </w:r>
      <w:r w:rsidRPr="0053519A">
        <w:t>un recours adéquat et effectif (paragraphe</w:t>
      </w:r>
      <w:r w:rsidRPr="0053519A" w:rsidR="00180F62">
        <w:t> </w:t>
      </w:r>
      <w:r w:rsidRPr="0053519A">
        <w:fldChar w:fldCharType="begin"/>
      </w:r>
      <w:r w:rsidRPr="0053519A">
        <w:instrText xml:space="preserve"> REF exceptionGvtNEVRI \h  \* MERGEFORMAT </w:instrText>
      </w:r>
      <w:r w:rsidRPr="0053519A">
        <w:fldChar w:fldCharType="separate"/>
      </w:r>
      <w:r w:rsidRPr="0053519A" w:rsidR="0053519A">
        <w:t>43</w:t>
      </w:r>
      <w:r w:rsidRPr="0053519A">
        <w:fldChar w:fldCharType="end"/>
      </w:r>
      <w:r w:rsidRPr="0053519A">
        <w:t xml:space="preserve"> ci</w:t>
      </w:r>
      <w:r w:rsidRPr="0053519A" w:rsidR="00297752">
        <w:noBreakHyphen/>
      </w:r>
      <w:r w:rsidRPr="0053519A">
        <w:t>dessous). Sans se prononcer elle-même sur la question de savoir si l</w:t>
      </w:r>
      <w:r w:rsidRPr="0053519A" w:rsidR="0053519A">
        <w:t>’</w:t>
      </w:r>
      <w:r w:rsidRPr="0053519A">
        <w:t>article 259</w:t>
      </w:r>
      <w:r w:rsidRPr="0053519A">
        <w:rPr>
          <w:i/>
          <w:iCs/>
        </w:rPr>
        <w:t>bis</w:t>
      </w:r>
      <w:r w:rsidRPr="0053519A">
        <w:t>-3 § 4 du code judiciaire s</w:t>
      </w:r>
      <w:r w:rsidRPr="0053519A" w:rsidR="0053519A">
        <w:t>’</w:t>
      </w:r>
      <w:r w:rsidRPr="0053519A">
        <w:t>applique ou non, la Cour doit tout de même constater qu</w:t>
      </w:r>
      <w:r w:rsidRPr="0053519A" w:rsidR="0053519A">
        <w:t>’</w:t>
      </w:r>
      <w:r w:rsidRPr="0053519A">
        <w:t xml:space="preserve">en suivant le Gouvernement, il y a lieu de conclure que la première condition </w:t>
      </w:r>
      <w:r w:rsidRPr="0053519A">
        <w:rPr>
          <w:i/>
        </w:rPr>
        <w:t>Eskelinen</w:t>
      </w:r>
      <w:r w:rsidRPr="0053519A">
        <w:t>, c</w:t>
      </w:r>
      <w:r w:rsidRPr="0053519A" w:rsidR="0053519A">
        <w:t>’</w:t>
      </w:r>
      <w:r w:rsidRPr="0053519A">
        <w:t>est-à-dire que le droit national « exclue expressément » l</w:t>
      </w:r>
      <w:r w:rsidRPr="0053519A" w:rsidR="0053519A">
        <w:t>’</w:t>
      </w:r>
      <w:r w:rsidRPr="0053519A">
        <w:t>accès à un tribunal pour le poste ou la catégorie de personnes en question (</w:t>
      </w:r>
      <w:r w:rsidRPr="0053519A">
        <w:rPr>
          <w:i/>
        </w:rPr>
        <w:t>Baka</w:t>
      </w:r>
      <w:r w:rsidRPr="0053519A">
        <w:t>, précité, § 113), ne semble pas remplie.</w:t>
      </w:r>
    </w:p>
    <w:p w:rsidRPr="0053519A" w:rsidR="00601F4E" w:rsidP="0053519A" w:rsidRDefault="00601F4E" w14:paraId="7C2CFECA" w14:textId="77777777">
      <w:pPr>
        <w:pStyle w:val="JuPara"/>
      </w:pPr>
      <w:r w:rsidRPr="0053519A">
        <w:fldChar w:fldCharType="begin"/>
      </w:r>
      <w:r w:rsidRPr="0053519A">
        <w:instrText xml:space="preserve"> SEQ level0 \*arabic </w:instrText>
      </w:r>
      <w:r w:rsidRPr="0053519A">
        <w:fldChar w:fldCharType="separate"/>
      </w:r>
      <w:r w:rsidRPr="0053519A" w:rsidR="0053519A">
        <w:rPr>
          <w:noProof/>
        </w:rPr>
        <w:t>40</w:t>
      </w:r>
      <w:r w:rsidRPr="0053519A">
        <w:fldChar w:fldCharType="end"/>
      </w:r>
      <w:r w:rsidRPr="0053519A">
        <w:t>.  Quoi qu</w:t>
      </w:r>
      <w:r w:rsidRPr="0053519A" w:rsidR="0053519A">
        <w:t>’</w:t>
      </w:r>
      <w:r w:rsidRPr="0053519A">
        <w:t>il en soit, le Gouvernement n</w:t>
      </w:r>
      <w:r w:rsidRPr="0053519A" w:rsidR="0053519A">
        <w:t>’</w:t>
      </w:r>
      <w:r w:rsidRPr="0053519A">
        <w:t>invoque pas l</w:t>
      </w:r>
      <w:r w:rsidRPr="0053519A" w:rsidR="0053519A">
        <w:t>’</w:t>
      </w:r>
      <w:r w:rsidRPr="0053519A">
        <w:t>existence d</w:t>
      </w:r>
      <w:r w:rsidRPr="0053519A" w:rsidR="0053519A">
        <w:t>’</w:t>
      </w:r>
      <w:r w:rsidRPr="0053519A">
        <w:t>u</w:t>
      </w:r>
      <w:r w:rsidRPr="0053519A">
        <w:rPr>
          <w:rFonts w:cstheme="minorHAnsi"/>
          <w:color w:val="000000"/>
        </w:rPr>
        <w:t>n lien spécial de confiance et de loyauté entre la requérante et l</w:t>
      </w:r>
      <w:r w:rsidRPr="0053519A" w:rsidR="0053519A">
        <w:rPr>
          <w:rFonts w:cstheme="minorHAnsi"/>
          <w:color w:val="000000"/>
        </w:rPr>
        <w:t>’</w:t>
      </w:r>
      <w:r w:rsidRPr="0053519A">
        <w:rPr>
          <w:rFonts w:cstheme="minorHAnsi"/>
          <w:color w:val="000000"/>
        </w:rPr>
        <w:t xml:space="preserve">État qui pourrait justifier </w:t>
      </w:r>
      <w:r w:rsidRPr="0053519A">
        <w:t>que l</w:t>
      </w:r>
      <w:r w:rsidRPr="0053519A" w:rsidR="0053519A">
        <w:t>’</w:t>
      </w:r>
      <w:r w:rsidRPr="0053519A">
        <w:t>application de l</w:t>
      </w:r>
      <w:r w:rsidRPr="0053519A" w:rsidR="0053519A">
        <w:t>’</w:t>
      </w:r>
      <w:r w:rsidRPr="0053519A">
        <w:t xml:space="preserve">article 6 soit exclue pour le litige entre la requérante et le CSJ (seconde condition </w:t>
      </w:r>
      <w:r w:rsidRPr="0053519A">
        <w:rPr>
          <w:i/>
          <w:iCs/>
        </w:rPr>
        <w:t>Eskelinen</w:t>
      </w:r>
      <w:r w:rsidRPr="0053519A">
        <w:t>). La Cour n</w:t>
      </w:r>
      <w:r w:rsidRPr="0053519A" w:rsidR="0053519A">
        <w:t>’</w:t>
      </w:r>
      <w:r w:rsidRPr="0053519A">
        <w:t>aperçoit pas non plus un tel lien. La seconde condition pour le renversement de la présomption de l</w:t>
      </w:r>
      <w:r w:rsidRPr="0053519A" w:rsidR="0053519A">
        <w:t>’</w:t>
      </w:r>
      <w:r w:rsidRPr="0053519A">
        <w:t>applicabilité de l</w:t>
      </w:r>
      <w:r w:rsidRPr="0053519A" w:rsidR="0053519A">
        <w:t>’</w:t>
      </w:r>
      <w:r w:rsidRPr="0053519A">
        <w:t>article 6 § 1 n</w:t>
      </w:r>
      <w:r w:rsidRPr="0053519A" w:rsidR="0053519A">
        <w:t>’</w:t>
      </w:r>
      <w:r w:rsidRPr="0053519A">
        <w:t>est donc pas satisfaite.</w:t>
      </w:r>
    </w:p>
    <w:p w:rsidRPr="0053519A" w:rsidR="00601F4E" w:rsidP="0053519A" w:rsidRDefault="00601F4E" w14:paraId="65377B66" w14:textId="77777777">
      <w:pPr>
        <w:pStyle w:val="JuHa0"/>
        <w:numPr>
          <w:ilvl w:val="4"/>
          <w:numId w:val="1"/>
        </w:numPr>
      </w:pPr>
      <w:r w:rsidRPr="0053519A">
        <w:t>Conclusion sur l</w:t>
      </w:r>
      <w:r w:rsidRPr="0053519A" w:rsidR="0053519A">
        <w:t>’</w:t>
      </w:r>
      <w:r w:rsidRPr="0053519A">
        <w:t>applicabilité de l</w:t>
      </w:r>
      <w:r w:rsidRPr="0053519A" w:rsidR="0053519A">
        <w:t>’</w:t>
      </w:r>
      <w:r w:rsidRPr="0053519A">
        <w:t>article 6 § 1</w:t>
      </w:r>
    </w:p>
    <w:bookmarkStart w:name="cclapplicabilité61" w:id="29"/>
    <w:p w:rsidRPr="0053519A" w:rsidR="00601F4E" w:rsidP="0053519A" w:rsidRDefault="00601F4E" w14:paraId="1C85E72D" w14:textId="77777777">
      <w:pPr>
        <w:pStyle w:val="JuPara"/>
      </w:pPr>
      <w:r w:rsidRPr="0053519A">
        <w:fldChar w:fldCharType="begin"/>
      </w:r>
      <w:r w:rsidRPr="0053519A">
        <w:instrText xml:space="preserve"> SEQ level0 \*arabic </w:instrText>
      </w:r>
      <w:r w:rsidRPr="0053519A">
        <w:fldChar w:fldCharType="separate"/>
      </w:r>
      <w:r w:rsidRPr="0053519A" w:rsidR="0053519A">
        <w:rPr>
          <w:noProof/>
        </w:rPr>
        <w:t>41</w:t>
      </w:r>
      <w:r w:rsidRPr="0053519A">
        <w:fldChar w:fldCharType="end"/>
      </w:r>
      <w:bookmarkEnd w:id="29"/>
      <w:r w:rsidRPr="0053519A">
        <w:t>.  Il résulte de ce qui précède qu</w:t>
      </w:r>
      <w:r w:rsidRPr="0053519A" w:rsidR="0053519A">
        <w:t>’</w:t>
      </w:r>
      <w:r w:rsidRPr="0053519A">
        <w:t>il y avait bien une « contestation » sur un « droit » de « caractère civil ». Par conséquent, la requérante devait, dans le cadre de la procédure de suspension de ses fonctions au sein du CSJ, bénéficier de la protection offerte par l</w:t>
      </w:r>
      <w:r w:rsidRPr="0053519A" w:rsidR="0053519A">
        <w:t>’</w:t>
      </w:r>
      <w:r w:rsidRPr="0053519A">
        <w:t>article 6 § 1 de la Convention.</w:t>
      </w:r>
    </w:p>
    <w:p w:rsidRPr="0053519A" w:rsidR="00601F4E" w:rsidP="0053519A" w:rsidRDefault="00601F4E" w14:paraId="58026B22" w14:textId="77777777">
      <w:pPr>
        <w:pStyle w:val="JuPara"/>
      </w:pPr>
      <w:r w:rsidRPr="0053519A">
        <w:fldChar w:fldCharType="begin"/>
      </w:r>
      <w:r w:rsidRPr="0053519A">
        <w:instrText xml:space="preserve"> SEQ level0 \*arabic </w:instrText>
      </w:r>
      <w:r w:rsidRPr="0053519A">
        <w:fldChar w:fldCharType="separate"/>
      </w:r>
      <w:r w:rsidRPr="0053519A" w:rsidR="0053519A">
        <w:rPr>
          <w:noProof/>
        </w:rPr>
        <w:t>42</w:t>
      </w:r>
      <w:r w:rsidRPr="0053519A">
        <w:fldChar w:fldCharType="end"/>
      </w:r>
      <w:r w:rsidRPr="0053519A">
        <w:t>.  Par ailleurs, la Cour rappelle à toutes fins utiles que le volet pénal de cette disposition n</w:t>
      </w:r>
      <w:r w:rsidRPr="0053519A" w:rsidR="0053519A">
        <w:t>’</w:t>
      </w:r>
      <w:r w:rsidRPr="0053519A">
        <w:t>est pas applicable aux mesures d</w:t>
      </w:r>
      <w:r w:rsidRPr="0053519A" w:rsidR="0053519A">
        <w:t>’</w:t>
      </w:r>
      <w:r w:rsidRPr="0053519A">
        <w:t>ordre prises à l</w:t>
      </w:r>
      <w:r w:rsidRPr="0053519A" w:rsidR="0053519A">
        <w:t>’</w:t>
      </w:r>
      <w:r w:rsidRPr="0053519A">
        <w:t>encontre de la requérante en l</w:t>
      </w:r>
      <w:r w:rsidRPr="0053519A" w:rsidR="0053519A">
        <w:t>’</w:t>
      </w:r>
      <w:r w:rsidRPr="0053519A">
        <w:t xml:space="preserve">espèce (voir, </w:t>
      </w:r>
      <w:r w:rsidRPr="0053519A">
        <w:rPr>
          <w:i/>
          <w:iCs/>
        </w:rPr>
        <w:t>mutatis mutandis</w:t>
      </w:r>
      <w:r w:rsidRPr="0053519A">
        <w:t xml:space="preserve">, </w:t>
      </w:r>
      <w:r w:rsidRPr="0053519A">
        <w:rPr>
          <w:i/>
          <w:iCs/>
        </w:rPr>
        <w:t xml:space="preserve">Ramos Nunes de Carvalho e </w:t>
      </w:r>
      <w:proofErr w:type="spellStart"/>
      <w:r w:rsidRPr="0053519A">
        <w:rPr>
          <w:i/>
          <w:iCs/>
        </w:rPr>
        <w:t>Sá</w:t>
      </w:r>
      <w:proofErr w:type="spellEnd"/>
      <w:r w:rsidRPr="0053519A">
        <w:rPr>
          <w:i/>
          <w:iCs/>
        </w:rPr>
        <w:t xml:space="preserve"> c. Portugal</w:t>
      </w:r>
      <w:r w:rsidRPr="0053519A">
        <w:t xml:space="preserve"> [GC], n</w:t>
      </w:r>
      <w:r w:rsidRPr="0053519A">
        <w:rPr>
          <w:vertAlign w:val="superscript"/>
        </w:rPr>
        <w:t>os</w:t>
      </w:r>
      <w:r w:rsidRPr="0053519A">
        <w:t xml:space="preserve"> 55391/13 et 2 autres, </w:t>
      </w:r>
      <w:r w:rsidRPr="0053519A">
        <w:rPr>
          <w:iCs/>
        </w:rPr>
        <w:t>§§ 122-127</w:t>
      </w:r>
      <w:r w:rsidRPr="0053519A">
        <w:t>, 6 novembre 2018).</w:t>
      </w:r>
    </w:p>
    <w:p w:rsidRPr="0053519A" w:rsidR="00601F4E" w:rsidP="0053519A" w:rsidRDefault="00601F4E" w14:paraId="6FD4E39F" w14:textId="77777777">
      <w:pPr>
        <w:pStyle w:val="JuH1"/>
        <w:numPr>
          <w:ilvl w:val="3"/>
          <w:numId w:val="1"/>
        </w:numPr>
      </w:pPr>
      <w:r w:rsidRPr="0053519A">
        <w:t>Sur l</w:t>
      </w:r>
      <w:r w:rsidRPr="0053519A" w:rsidR="0053519A">
        <w:t>’</w:t>
      </w:r>
      <w:r w:rsidRPr="0053519A">
        <w:t>exception tirée du non-épuisement des voies de recours</w:t>
      </w:r>
    </w:p>
    <w:bookmarkStart w:name="exceptionGvtNEVRI" w:id="30"/>
    <w:p w:rsidRPr="0053519A" w:rsidR="00601F4E" w:rsidP="0053519A" w:rsidRDefault="00601F4E" w14:paraId="552D36A8" w14:textId="77777777">
      <w:pPr>
        <w:pStyle w:val="JuPara"/>
      </w:pPr>
      <w:r w:rsidRPr="0053519A">
        <w:fldChar w:fldCharType="begin"/>
      </w:r>
      <w:r w:rsidRPr="0053519A">
        <w:instrText xml:space="preserve"> SEQ level0 \*arabic </w:instrText>
      </w:r>
      <w:r w:rsidRPr="0053519A">
        <w:fldChar w:fldCharType="separate"/>
      </w:r>
      <w:r w:rsidRPr="0053519A" w:rsidR="0053519A">
        <w:rPr>
          <w:noProof/>
        </w:rPr>
        <w:t>43</w:t>
      </w:r>
      <w:r w:rsidRPr="0053519A">
        <w:fldChar w:fldCharType="end"/>
      </w:r>
      <w:bookmarkEnd w:id="30"/>
      <w:r w:rsidRPr="0053519A">
        <w:t>.  </w:t>
      </w:r>
      <w:bookmarkStart w:name="_Hlk36127558" w:id="31"/>
      <w:r w:rsidRPr="0053519A">
        <w:t>Le Gouvernement soulève une exception préliminaire tirée du non-épuisement des voies de recours internes.</w:t>
      </w:r>
      <w:bookmarkEnd w:id="31"/>
      <w:r w:rsidRPr="0053519A">
        <w:t xml:space="preserve"> Il soutient d</w:t>
      </w:r>
      <w:r w:rsidRPr="0053519A" w:rsidR="0053519A">
        <w:t>’</w:t>
      </w:r>
      <w:r w:rsidRPr="0053519A">
        <w:t xml:space="preserve">abord, comme indiqué ci-dessus (paragraphe </w:t>
      </w:r>
      <w:r w:rsidRPr="0053519A">
        <w:fldChar w:fldCharType="begin"/>
      </w:r>
      <w:r w:rsidRPr="0053519A">
        <w:instrText xml:space="preserve"> REF allegGvtapplicabilite \h </w:instrText>
      </w:r>
      <w:r w:rsidRPr="0053519A">
        <w:fldChar w:fldCharType="separate"/>
      </w:r>
      <w:r w:rsidRPr="0053519A" w:rsidR="0053519A">
        <w:rPr>
          <w:noProof/>
        </w:rPr>
        <w:t>39</w:t>
      </w:r>
      <w:r w:rsidRPr="0053519A">
        <w:fldChar w:fldCharType="end"/>
      </w:r>
      <w:r w:rsidRPr="0053519A">
        <w:t>), que l</w:t>
      </w:r>
      <w:r w:rsidRPr="0053519A" w:rsidR="0053519A">
        <w:t>’</w:t>
      </w:r>
      <w:r w:rsidRPr="0053519A">
        <w:t>article 259</w:t>
      </w:r>
      <w:r w:rsidRPr="0053519A">
        <w:rPr>
          <w:i/>
          <w:iCs/>
        </w:rPr>
        <w:t>bis</w:t>
      </w:r>
      <w:r w:rsidRPr="0053519A">
        <w:t>-3 § 4 du code judiciaire (paragraphe </w:t>
      </w:r>
      <w:r w:rsidRPr="0053519A">
        <w:fldChar w:fldCharType="begin"/>
      </w:r>
      <w:r w:rsidRPr="0053519A">
        <w:instrText xml:space="preserve"> REF art259bis3CJ \h </w:instrText>
      </w:r>
      <w:r w:rsidRPr="0053519A">
        <w:fldChar w:fldCharType="separate"/>
      </w:r>
      <w:r w:rsidRPr="0053519A" w:rsidR="0053519A">
        <w:rPr>
          <w:noProof/>
        </w:rPr>
        <w:t>20</w:t>
      </w:r>
      <w:r w:rsidRPr="0053519A">
        <w:fldChar w:fldCharType="end"/>
      </w:r>
      <w:r w:rsidRPr="0053519A">
        <w:t xml:space="preserve"> ci-dessus) n</w:t>
      </w:r>
      <w:r w:rsidRPr="0053519A" w:rsidR="0053519A">
        <w:t>’</w:t>
      </w:r>
      <w:r w:rsidRPr="0053519A">
        <w:t>est pas applicable en l</w:t>
      </w:r>
      <w:r w:rsidRPr="0053519A" w:rsidR="0053519A">
        <w:t>’</w:t>
      </w:r>
      <w:r w:rsidRPr="0053519A">
        <w:t>espèce, puisque la requérante a simplement été suspendue de ses fonctions à titre préventif et provisoire et qu</w:t>
      </w:r>
      <w:r w:rsidRPr="0053519A" w:rsidR="0053519A">
        <w:t>’</w:t>
      </w:r>
      <w:r w:rsidRPr="0053519A">
        <w:t>elle a conservé son mandat de membre du CSJ jusqu</w:t>
      </w:r>
      <w:r w:rsidRPr="0053519A" w:rsidR="0053519A">
        <w:t>’</w:t>
      </w:r>
      <w:r w:rsidRPr="0053519A">
        <w:t>à ce qu</w:t>
      </w:r>
      <w:r w:rsidRPr="0053519A" w:rsidR="0053519A">
        <w:t>’</w:t>
      </w:r>
      <w:r w:rsidRPr="0053519A">
        <w:t>elle décide de démissionner. Ensuite, dans ses premières observations, il reproche à la requérante de ne pas avoir introduit un recours en annulation devant le Conseil d</w:t>
      </w:r>
      <w:r w:rsidRPr="0053519A" w:rsidR="0053519A">
        <w:t>’</w:t>
      </w:r>
      <w:r w:rsidRPr="0053519A">
        <w:t>État conformément à l</w:t>
      </w:r>
      <w:r w:rsidRPr="0053519A" w:rsidR="0053519A">
        <w:t>’</w:t>
      </w:r>
      <w:r w:rsidRPr="0053519A">
        <w:t>article</w:t>
      </w:r>
      <w:r w:rsidRPr="0053519A" w:rsidR="00180F62">
        <w:t> </w:t>
      </w:r>
      <w:r w:rsidRPr="0053519A">
        <w:t>14 §</w:t>
      </w:r>
      <w:r w:rsidRPr="0053519A" w:rsidR="00180F62">
        <w:t> </w:t>
      </w:r>
      <w:r w:rsidRPr="0053519A">
        <w:t>1</w:t>
      </w:r>
      <w:r w:rsidRPr="0053519A">
        <w:rPr>
          <w:vertAlign w:val="superscript"/>
        </w:rPr>
        <w:t>er</w:t>
      </w:r>
      <w:r w:rsidRPr="0053519A">
        <w:t>, 2</w:t>
      </w:r>
      <w:r w:rsidRPr="0053519A">
        <w:rPr>
          <w:vertAlign w:val="superscript"/>
        </w:rPr>
        <w:t>o</w:t>
      </w:r>
      <w:r w:rsidRPr="0053519A">
        <w:rPr>
          <w:color w:val="FF0000"/>
        </w:rPr>
        <w:t xml:space="preserve"> </w:t>
      </w:r>
      <w:r w:rsidRPr="0053519A">
        <w:t>des lois coordonnées sur le Conseil d</w:t>
      </w:r>
      <w:r w:rsidRPr="0053519A" w:rsidR="0053519A">
        <w:t>’</w:t>
      </w:r>
      <w:r w:rsidRPr="0053519A">
        <w:t>État (paragraphe </w:t>
      </w:r>
      <w:r w:rsidRPr="0053519A">
        <w:fldChar w:fldCharType="begin"/>
      </w:r>
      <w:r w:rsidRPr="0053519A">
        <w:instrText xml:space="preserve"> REF art14LCCE \h </w:instrText>
      </w:r>
      <w:r w:rsidRPr="0053519A">
        <w:fldChar w:fldCharType="separate"/>
      </w:r>
      <w:r w:rsidRPr="0053519A" w:rsidR="0053519A">
        <w:rPr>
          <w:noProof/>
        </w:rPr>
        <w:t>23</w:t>
      </w:r>
      <w:r w:rsidRPr="0053519A">
        <w:fldChar w:fldCharType="end"/>
      </w:r>
      <w:r w:rsidRPr="0053519A">
        <w:t xml:space="preserve"> ci</w:t>
      </w:r>
      <w:r w:rsidRPr="0053519A" w:rsidR="00180F62">
        <w:noBreakHyphen/>
      </w:r>
      <w:r w:rsidRPr="0053519A">
        <w:t>dessus). Dans ses dernières observations, il relève qu</w:t>
      </w:r>
      <w:r w:rsidRPr="0053519A" w:rsidR="0053519A">
        <w:t>’</w:t>
      </w:r>
      <w:r w:rsidRPr="0053519A">
        <w:t>elle n</w:t>
      </w:r>
      <w:r w:rsidRPr="0053519A" w:rsidR="0053519A">
        <w:t>’</w:t>
      </w:r>
      <w:r w:rsidRPr="0053519A">
        <w:t>a pas demandé d</w:t>
      </w:r>
      <w:r w:rsidRPr="0053519A" w:rsidR="0053519A">
        <w:t>’</w:t>
      </w:r>
      <w:r w:rsidRPr="0053519A">
        <w:t xml:space="preserve">injonction ni poursuivi son action en responsabilité devant les juridictions civiles (paragraphe </w:t>
      </w:r>
      <w:r w:rsidRPr="0053519A">
        <w:fldChar w:fldCharType="begin"/>
      </w:r>
      <w:r w:rsidRPr="0053519A">
        <w:instrText xml:space="preserve"> REF art1382codecivil \h </w:instrText>
      </w:r>
      <w:r w:rsidRPr="0053519A">
        <w:fldChar w:fldCharType="separate"/>
      </w:r>
      <w:r w:rsidRPr="0053519A" w:rsidR="0053519A">
        <w:rPr>
          <w:noProof/>
        </w:rPr>
        <w:t>24</w:t>
      </w:r>
      <w:r w:rsidRPr="0053519A">
        <w:fldChar w:fldCharType="end"/>
      </w:r>
      <w:r w:rsidRPr="0053519A">
        <w:t xml:space="preserve"> ci-dessus).</w:t>
      </w:r>
    </w:p>
    <w:p w:rsidRPr="0053519A" w:rsidR="00601F4E" w:rsidP="0053519A" w:rsidRDefault="00601F4E" w14:paraId="4296BA73" w14:textId="77777777">
      <w:pPr>
        <w:pStyle w:val="JuPara"/>
      </w:pPr>
      <w:r w:rsidRPr="0053519A">
        <w:fldChar w:fldCharType="begin"/>
      </w:r>
      <w:r w:rsidRPr="0053519A">
        <w:instrText xml:space="preserve"> SEQ level0 \*arabic </w:instrText>
      </w:r>
      <w:r w:rsidRPr="0053519A">
        <w:fldChar w:fldCharType="separate"/>
      </w:r>
      <w:r w:rsidRPr="0053519A" w:rsidR="0053519A">
        <w:rPr>
          <w:noProof/>
        </w:rPr>
        <w:t>44</w:t>
      </w:r>
      <w:r w:rsidRPr="0053519A">
        <w:fldChar w:fldCharType="end"/>
      </w:r>
      <w:r w:rsidRPr="0053519A">
        <w:t>.  La requérante soutient quant à elle que ni le recours en annulation devant le Conseil d</w:t>
      </w:r>
      <w:r w:rsidRPr="0053519A" w:rsidR="0053519A">
        <w:t>’</w:t>
      </w:r>
      <w:r w:rsidRPr="0053519A">
        <w:t xml:space="preserve">État ni une procédure devant les juridictions judiciaires lui étaient ouverts pour contester la mesure litigieuse (paragraphes </w:t>
      </w:r>
      <w:r w:rsidRPr="0053519A">
        <w:fldChar w:fldCharType="begin"/>
      </w:r>
      <w:r w:rsidRPr="0053519A">
        <w:instrText xml:space="preserve"> REF OBSRConseildEtat \h </w:instrText>
      </w:r>
      <w:r w:rsidRPr="0053519A">
        <w:fldChar w:fldCharType="separate"/>
      </w:r>
      <w:r w:rsidRPr="0053519A" w:rsidR="0053519A">
        <w:rPr>
          <w:noProof/>
        </w:rPr>
        <w:t>49</w:t>
      </w:r>
      <w:r w:rsidRPr="0053519A">
        <w:fldChar w:fldCharType="end"/>
      </w:r>
      <w:r w:rsidRPr="0053519A">
        <w:t xml:space="preserve"> et </w:t>
      </w:r>
      <w:r w:rsidRPr="0053519A">
        <w:fldChar w:fldCharType="begin"/>
      </w:r>
      <w:r w:rsidRPr="0053519A">
        <w:instrText xml:space="preserve"> REF OBSRjudiciaire \h </w:instrText>
      </w:r>
      <w:r w:rsidRPr="0053519A">
        <w:fldChar w:fldCharType="separate"/>
      </w:r>
      <w:r w:rsidRPr="0053519A" w:rsidR="0053519A">
        <w:rPr>
          <w:noProof/>
        </w:rPr>
        <w:t>50</w:t>
      </w:r>
      <w:r w:rsidRPr="0053519A">
        <w:fldChar w:fldCharType="end"/>
      </w:r>
      <w:r w:rsidRPr="0053519A">
        <w:t xml:space="preserve"> ci</w:t>
      </w:r>
      <w:r w:rsidRPr="0053519A">
        <w:noBreakHyphen/>
        <w:t>dessous).</w:t>
      </w:r>
    </w:p>
    <w:p w:rsidRPr="0053519A" w:rsidR="00601F4E" w:rsidP="0053519A" w:rsidRDefault="00601F4E" w14:paraId="2B7BAB70" w14:textId="77777777">
      <w:pPr>
        <w:pStyle w:val="JuPara"/>
      </w:pPr>
      <w:r w:rsidRPr="0053519A">
        <w:fldChar w:fldCharType="begin"/>
      </w:r>
      <w:r w:rsidRPr="0053519A">
        <w:instrText xml:space="preserve"> SEQ level0 \*arabic </w:instrText>
      </w:r>
      <w:r w:rsidRPr="0053519A">
        <w:fldChar w:fldCharType="separate"/>
      </w:r>
      <w:r w:rsidRPr="0053519A" w:rsidR="0053519A">
        <w:rPr>
          <w:noProof/>
        </w:rPr>
        <w:t>45</w:t>
      </w:r>
      <w:r w:rsidRPr="0053519A">
        <w:fldChar w:fldCharType="end"/>
      </w:r>
      <w:r w:rsidRPr="0053519A">
        <w:t>.  </w:t>
      </w:r>
      <w:r w:rsidRPr="0053519A">
        <w:rPr>
          <w:rStyle w:val="JuParaChar"/>
        </w:rPr>
        <w:t>La Cour considère que l</w:t>
      </w:r>
      <w:r w:rsidRPr="0053519A" w:rsidR="0053519A">
        <w:rPr>
          <w:rStyle w:val="JuParaChar"/>
        </w:rPr>
        <w:t>’</w:t>
      </w:r>
      <w:r w:rsidRPr="0053519A">
        <w:rPr>
          <w:rStyle w:val="JuParaChar"/>
        </w:rPr>
        <w:t>exception du Gouvernement tirée du non</w:t>
      </w:r>
      <w:r w:rsidRPr="0053519A">
        <w:rPr>
          <w:rStyle w:val="JuParaChar"/>
        </w:rPr>
        <w:noBreakHyphen/>
        <w:t>épuisement des voies de recours internes contre la décision de suspension des fonctions et ses prolongations est étroitement liée à la substance du grief tiré d</w:t>
      </w:r>
      <w:r w:rsidRPr="0053519A" w:rsidR="0053519A">
        <w:rPr>
          <w:rStyle w:val="JuParaChar"/>
        </w:rPr>
        <w:t>’</w:t>
      </w:r>
      <w:r w:rsidRPr="0053519A">
        <w:rPr>
          <w:rStyle w:val="JuParaChar"/>
        </w:rPr>
        <w:t>une méconnaissance du droit d</w:t>
      </w:r>
      <w:r w:rsidRPr="0053519A" w:rsidR="0053519A">
        <w:rPr>
          <w:rStyle w:val="JuParaChar"/>
        </w:rPr>
        <w:t>’</w:t>
      </w:r>
      <w:r w:rsidRPr="0053519A">
        <w:rPr>
          <w:rStyle w:val="JuParaChar"/>
        </w:rPr>
        <w:t>accès à un tribunal, et elle décide de la joindre au fond.</w:t>
      </w:r>
    </w:p>
    <w:p w:rsidRPr="0053519A" w:rsidR="00601F4E" w:rsidP="0053519A" w:rsidRDefault="00601F4E" w14:paraId="426CC37A" w14:textId="77777777">
      <w:pPr>
        <w:pStyle w:val="JuH1"/>
        <w:numPr>
          <w:ilvl w:val="3"/>
          <w:numId w:val="1"/>
        </w:numPr>
      </w:pPr>
      <w:r w:rsidRPr="0053519A">
        <w:t>Conclusion sur la recevabilité</w:t>
      </w:r>
    </w:p>
    <w:p w:rsidRPr="0053519A" w:rsidR="00601F4E" w:rsidP="0053519A" w:rsidRDefault="00601F4E" w14:paraId="6193E65A" w14:textId="77777777">
      <w:pPr>
        <w:pStyle w:val="JuPara"/>
      </w:pPr>
      <w:r w:rsidRPr="0053519A">
        <w:fldChar w:fldCharType="begin"/>
      </w:r>
      <w:r w:rsidRPr="0053519A">
        <w:instrText xml:space="preserve"> SEQ level0 \*arabic </w:instrText>
      </w:r>
      <w:r w:rsidRPr="0053519A">
        <w:fldChar w:fldCharType="separate"/>
      </w:r>
      <w:r w:rsidRPr="0053519A" w:rsidR="0053519A">
        <w:rPr>
          <w:noProof/>
        </w:rPr>
        <w:t>46</w:t>
      </w:r>
      <w:r w:rsidRPr="0053519A">
        <w:fldChar w:fldCharType="end"/>
      </w:r>
      <w:r w:rsidRPr="0053519A">
        <w:t>.  </w:t>
      </w:r>
      <w:bookmarkStart w:name="_Hlk36127606" w:id="32"/>
      <w:r w:rsidRPr="0053519A">
        <w:t>Par ailleurs, constatant que ce grief n</w:t>
      </w:r>
      <w:r w:rsidRPr="0053519A" w:rsidR="0053519A">
        <w:t>’</w:t>
      </w:r>
      <w:r w:rsidRPr="0053519A">
        <w:t>est pas manifestement mal fondé ni irrecevable pour un autre motif visé à l</w:t>
      </w:r>
      <w:r w:rsidRPr="0053519A" w:rsidR="0053519A">
        <w:t>’</w:t>
      </w:r>
      <w:r w:rsidRPr="0053519A">
        <w:t>article 35 de la Convention, la Cour le déclare recevable.</w:t>
      </w:r>
      <w:bookmarkEnd w:id="32"/>
    </w:p>
    <w:p w:rsidRPr="0053519A" w:rsidR="00601F4E" w:rsidP="0053519A" w:rsidRDefault="00601F4E" w14:paraId="01F8EC08" w14:textId="77777777">
      <w:pPr>
        <w:pStyle w:val="JuHA"/>
        <w:numPr>
          <w:ilvl w:val="2"/>
          <w:numId w:val="2"/>
        </w:numPr>
      </w:pPr>
      <w:bookmarkStart w:name="_Hlk36127650" w:id="33"/>
      <w:r w:rsidRPr="0053519A">
        <w:t>Sur le fond</w:t>
      </w:r>
      <w:bookmarkEnd w:id="33"/>
    </w:p>
    <w:p w:rsidRPr="0053519A" w:rsidR="00601F4E" w:rsidP="0053519A" w:rsidRDefault="00601F4E" w14:paraId="4583A082" w14:textId="77777777">
      <w:pPr>
        <w:pStyle w:val="JuH1"/>
        <w:numPr>
          <w:ilvl w:val="3"/>
          <w:numId w:val="4"/>
        </w:numPr>
      </w:pPr>
      <w:r w:rsidRPr="0053519A">
        <w:t>Thèses des parties</w:t>
      </w:r>
    </w:p>
    <w:p w:rsidRPr="0053519A" w:rsidR="00601F4E" w:rsidP="0053519A" w:rsidRDefault="00601F4E" w14:paraId="65B17E82" w14:textId="77777777">
      <w:pPr>
        <w:pStyle w:val="JuHa0"/>
        <w:numPr>
          <w:ilvl w:val="4"/>
          <w:numId w:val="1"/>
        </w:numPr>
      </w:pPr>
      <w:r w:rsidRPr="0053519A">
        <w:t>La requérante</w:t>
      </w:r>
    </w:p>
    <w:p w:rsidRPr="0053519A" w:rsidR="00601F4E" w:rsidP="0053519A" w:rsidRDefault="00601F4E" w14:paraId="654F258E" w14:textId="77777777">
      <w:pPr>
        <w:pStyle w:val="JuPara"/>
      </w:pPr>
      <w:r w:rsidRPr="0053519A">
        <w:fldChar w:fldCharType="begin"/>
      </w:r>
      <w:r w:rsidRPr="0053519A">
        <w:instrText xml:space="preserve"> SEQ level0 \*arabic </w:instrText>
      </w:r>
      <w:r w:rsidRPr="0053519A">
        <w:fldChar w:fldCharType="separate"/>
      </w:r>
      <w:r w:rsidRPr="0053519A" w:rsidR="0053519A">
        <w:rPr>
          <w:noProof/>
        </w:rPr>
        <w:t>47</w:t>
      </w:r>
      <w:r w:rsidRPr="0053519A">
        <w:fldChar w:fldCharType="end"/>
      </w:r>
      <w:r w:rsidRPr="0053519A">
        <w:t>.  La requérante soutient que l</w:t>
      </w:r>
      <w:r w:rsidRPr="0053519A" w:rsidR="0053519A">
        <w:t>’</w:t>
      </w:r>
      <w:r w:rsidRPr="0053519A">
        <w:t>assemblée générale du CSJ qui lui a imposé une sanction disciplinaire déguisée n</w:t>
      </w:r>
      <w:r w:rsidRPr="0053519A" w:rsidR="0053519A">
        <w:t>’</w:t>
      </w:r>
      <w:r w:rsidRPr="0053519A">
        <w:t>est pas une instance judiciaire au sens de l</w:t>
      </w:r>
      <w:r w:rsidRPr="0053519A" w:rsidR="0053519A">
        <w:t>’</w:t>
      </w:r>
      <w:r w:rsidRPr="0053519A">
        <w:t>article 6 § 1 de la Convention et qu</w:t>
      </w:r>
      <w:r w:rsidRPr="0053519A" w:rsidR="0053519A">
        <w:t>’</w:t>
      </w:r>
      <w:r w:rsidRPr="0053519A">
        <w:t>aucun recours n</w:t>
      </w:r>
      <w:r w:rsidRPr="0053519A" w:rsidR="0053519A">
        <w:t>’</w:t>
      </w:r>
      <w:r w:rsidRPr="0053519A">
        <w:t>est ouvert à l</w:t>
      </w:r>
      <w:r w:rsidRPr="0053519A" w:rsidR="0053519A">
        <w:t>’</w:t>
      </w:r>
      <w:r w:rsidRPr="0053519A">
        <w:t>encontre de cette décision auprès d</w:t>
      </w:r>
      <w:r w:rsidRPr="0053519A" w:rsidR="0053519A">
        <w:t>’</w:t>
      </w:r>
      <w:r w:rsidRPr="0053519A">
        <w:t>une instance juridictionnelle.</w:t>
      </w:r>
    </w:p>
    <w:bookmarkStart w:name="OBSR259bisCJ" w:id="34"/>
    <w:p w:rsidRPr="0053519A" w:rsidR="00601F4E" w:rsidP="0053519A" w:rsidRDefault="00601F4E" w14:paraId="28609ABE" w14:textId="77777777">
      <w:pPr>
        <w:pStyle w:val="JuPara"/>
      </w:pPr>
      <w:r w:rsidRPr="0053519A">
        <w:fldChar w:fldCharType="begin"/>
      </w:r>
      <w:r w:rsidRPr="0053519A">
        <w:instrText xml:space="preserve"> SEQ level0 \*arabic </w:instrText>
      </w:r>
      <w:r w:rsidRPr="0053519A">
        <w:fldChar w:fldCharType="separate"/>
      </w:r>
      <w:r w:rsidRPr="0053519A" w:rsidR="0053519A">
        <w:rPr>
          <w:noProof/>
        </w:rPr>
        <w:t>48</w:t>
      </w:r>
      <w:r w:rsidRPr="0053519A">
        <w:fldChar w:fldCharType="end"/>
      </w:r>
      <w:bookmarkEnd w:id="34"/>
      <w:r w:rsidRPr="0053519A">
        <w:t>.  D</w:t>
      </w:r>
      <w:r w:rsidRPr="0053519A" w:rsidR="0053519A">
        <w:t>’</w:t>
      </w:r>
      <w:r w:rsidRPr="0053519A">
        <w:t>après la requérante, contrairement à ce qu</w:t>
      </w:r>
      <w:r w:rsidRPr="0053519A" w:rsidR="0053519A">
        <w:t>’</w:t>
      </w:r>
      <w:r w:rsidRPr="0053519A">
        <w:t xml:space="preserve">allègue le Gouvernement (paragraphe </w:t>
      </w:r>
      <w:r w:rsidRPr="0053519A">
        <w:fldChar w:fldCharType="begin"/>
      </w:r>
      <w:r w:rsidRPr="0053519A">
        <w:instrText xml:space="preserve"> REF exceptionGvtNEVRI \h </w:instrText>
      </w:r>
      <w:r w:rsidRPr="0053519A">
        <w:fldChar w:fldCharType="separate"/>
      </w:r>
      <w:r w:rsidRPr="0053519A" w:rsidR="0053519A">
        <w:rPr>
          <w:noProof/>
        </w:rPr>
        <w:t>43</w:t>
      </w:r>
      <w:r w:rsidRPr="0053519A">
        <w:fldChar w:fldCharType="end"/>
      </w:r>
      <w:r w:rsidRPr="0053519A">
        <w:t xml:space="preserve"> ci-dessus), l</w:t>
      </w:r>
      <w:r w:rsidRPr="0053519A" w:rsidR="0053519A">
        <w:t>’</w:t>
      </w:r>
      <w:r w:rsidRPr="0053519A">
        <w:t>article 259</w:t>
      </w:r>
      <w:r w:rsidRPr="0053519A">
        <w:rPr>
          <w:i/>
          <w:iCs/>
        </w:rPr>
        <w:t>bis</w:t>
      </w:r>
      <w:r w:rsidRPr="0053519A">
        <w:t>-3 § 4 du code judiciaire est bien applicable en l</w:t>
      </w:r>
      <w:r w:rsidRPr="0053519A" w:rsidR="0053519A">
        <w:t>’</w:t>
      </w:r>
      <w:r w:rsidRPr="0053519A">
        <w:t>espèce puisque cette disposition ne requiert pas qu</w:t>
      </w:r>
      <w:r w:rsidRPr="0053519A" w:rsidR="0053519A">
        <w:t>’</w:t>
      </w:r>
      <w:r w:rsidRPr="0053519A">
        <w:t>il soit définitivement mis fin au mandat de l</w:t>
      </w:r>
      <w:r w:rsidRPr="0053519A" w:rsidR="0053519A">
        <w:t>’</w:t>
      </w:r>
      <w:r w:rsidRPr="0053519A">
        <w:t>intéressé, à l</w:t>
      </w:r>
      <w:r w:rsidRPr="0053519A" w:rsidR="0053519A">
        <w:t>’</w:t>
      </w:r>
      <w:r w:rsidRPr="0053519A">
        <w:t>instar de ce qu</w:t>
      </w:r>
      <w:r w:rsidRPr="0053519A" w:rsidR="0053519A">
        <w:t>’</w:t>
      </w:r>
      <w:r w:rsidRPr="0053519A">
        <w:t>avait préconisé la cellule de déontologie du CSJ.</w:t>
      </w:r>
    </w:p>
    <w:bookmarkStart w:name="OBSRConseildEtat" w:id="35"/>
    <w:p w:rsidRPr="0053519A" w:rsidR="00601F4E" w:rsidP="0053519A" w:rsidRDefault="00601F4E" w14:paraId="1D1D42EB" w14:textId="77777777">
      <w:pPr>
        <w:pStyle w:val="JuPara"/>
      </w:pPr>
      <w:r w:rsidRPr="0053519A">
        <w:fldChar w:fldCharType="begin"/>
      </w:r>
      <w:r w:rsidRPr="0053519A">
        <w:instrText xml:space="preserve"> SEQ level0 \*arabic </w:instrText>
      </w:r>
      <w:r w:rsidRPr="0053519A">
        <w:fldChar w:fldCharType="separate"/>
      </w:r>
      <w:r w:rsidRPr="0053519A" w:rsidR="0053519A">
        <w:rPr>
          <w:noProof/>
        </w:rPr>
        <w:t>49</w:t>
      </w:r>
      <w:r w:rsidRPr="0053519A">
        <w:fldChar w:fldCharType="end"/>
      </w:r>
      <w:bookmarkEnd w:id="35"/>
      <w:r w:rsidRPr="0053519A">
        <w:t>.  S</w:t>
      </w:r>
      <w:r w:rsidRPr="0053519A" w:rsidR="0053519A">
        <w:t>’</w:t>
      </w:r>
      <w:r w:rsidRPr="0053519A">
        <w:t>agissant des recours mentionnés par le Gouvernement (paragraphe </w:t>
      </w:r>
      <w:r w:rsidRPr="0053519A">
        <w:fldChar w:fldCharType="begin"/>
      </w:r>
      <w:r w:rsidRPr="0053519A">
        <w:instrText xml:space="preserve"> REF exceptionGvtNEVRI \h </w:instrText>
      </w:r>
      <w:r w:rsidRPr="0053519A">
        <w:fldChar w:fldCharType="separate"/>
      </w:r>
      <w:r w:rsidRPr="0053519A" w:rsidR="0053519A">
        <w:rPr>
          <w:noProof/>
        </w:rPr>
        <w:t>43</w:t>
      </w:r>
      <w:r w:rsidRPr="0053519A">
        <w:fldChar w:fldCharType="end"/>
      </w:r>
      <w:r w:rsidRPr="0053519A">
        <w:t xml:space="preserve"> ci-dessus), la requérante fait valoir que le recours en annulation devant le Conseil d</w:t>
      </w:r>
      <w:r w:rsidRPr="0053519A" w:rsidR="0053519A">
        <w:t>’</w:t>
      </w:r>
      <w:r w:rsidRPr="0053519A">
        <w:t>État n</w:t>
      </w:r>
      <w:r w:rsidRPr="0053519A" w:rsidR="0053519A">
        <w:t>’</w:t>
      </w:r>
      <w:r w:rsidRPr="0053519A">
        <w:t>est ouvert qu</w:t>
      </w:r>
      <w:r w:rsidRPr="0053519A" w:rsidR="0053519A">
        <w:t>’</w:t>
      </w:r>
      <w:r w:rsidRPr="0053519A">
        <w:t>aux membres du personnel du CSJ. Les membres du CSJ élus ou désignés ne relèvent ainsi pas de la juridiction du Conseil d</w:t>
      </w:r>
      <w:r w:rsidRPr="0053519A" w:rsidR="0053519A">
        <w:t>’</w:t>
      </w:r>
      <w:r w:rsidRPr="0053519A">
        <w:t>État eu égard à leur position atypique par rapport aux autres pouvoirs.</w:t>
      </w:r>
    </w:p>
    <w:bookmarkStart w:name="OBSRjudiciaire" w:id="36"/>
    <w:p w:rsidRPr="0053519A" w:rsidR="00601F4E" w:rsidP="0053519A" w:rsidRDefault="00601F4E" w14:paraId="069CE753" w14:textId="77777777">
      <w:pPr>
        <w:pStyle w:val="JuPara"/>
      </w:pPr>
      <w:r w:rsidRPr="0053519A">
        <w:fldChar w:fldCharType="begin"/>
      </w:r>
      <w:r w:rsidRPr="0053519A">
        <w:instrText xml:space="preserve"> SEQ level0 \*arabic </w:instrText>
      </w:r>
      <w:r w:rsidRPr="0053519A">
        <w:fldChar w:fldCharType="separate"/>
      </w:r>
      <w:r w:rsidRPr="0053519A" w:rsidR="0053519A">
        <w:rPr>
          <w:noProof/>
        </w:rPr>
        <w:t>50</w:t>
      </w:r>
      <w:r w:rsidRPr="0053519A">
        <w:fldChar w:fldCharType="end"/>
      </w:r>
      <w:bookmarkEnd w:id="36"/>
      <w:r w:rsidRPr="0053519A">
        <w:t>.  Enfin, en ce qui concerne le recours au juge judiciaire, la requérante affirme que les cours et tribunaux n</w:t>
      </w:r>
      <w:r w:rsidRPr="0053519A" w:rsidR="0053519A">
        <w:t>’</w:t>
      </w:r>
      <w:r w:rsidRPr="0053519A">
        <w:t>étaient pas non plus compétents en l</w:t>
      </w:r>
      <w:r w:rsidRPr="0053519A" w:rsidR="0053519A">
        <w:t>’</w:t>
      </w:r>
      <w:r w:rsidRPr="0053519A">
        <w:t>espèce. En effet, le juge judiciaire ne statue jamais directement sur la question du retrait de l</w:t>
      </w:r>
      <w:r w:rsidRPr="0053519A" w:rsidR="0053519A">
        <w:t>’</w:t>
      </w:r>
      <w:r w:rsidRPr="0053519A">
        <w:t>acte administratif litigieux ; il n</w:t>
      </w:r>
      <w:r w:rsidRPr="0053519A" w:rsidR="0053519A">
        <w:t>’</w:t>
      </w:r>
      <w:r w:rsidRPr="0053519A">
        <w:t>examine cette question qu</w:t>
      </w:r>
      <w:r w:rsidRPr="0053519A" w:rsidR="0053519A">
        <w:t>’</w:t>
      </w:r>
      <w:r w:rsidRPr="0053519A">
        <w:t>au travers du litige qui lui est soumis. L</w:t>
      </w:r>
      <w:r w:rsidRPr="0053519A" w:rsidR="0053519A">
        <w:t>’</w:t>
      </w:r>
      <w:r w:rsidRPr="0053519A">
        <w:t>intervention du juge judiciaire nécessite donc un litige civil basé sur l</w:t>
      </w:r>
      <w:r w:rsidRPr="0053519A" w:rsidR="0053519A">
        <w:t>’</w:t>
      </w:r>
      <w:r w:rsidRPr="0053519A">
        <w:t>application d</w:t>
      </w:r>
      <w:r w:rsidRPr="0053519A" w:rsidR="0053519A">
        <w:t>’</w:t>
      </w:r>
      <w:r w:rsidRPr="0053519A">
        <w:t>un acte administratif prétendument irrégulier, ce qui n</w:t>
      </w:r>
      <w:r w:rsidRPr="0053519A" w:rsidR="0053519A">
        <w:t>’</w:t>
      </w:r>
      <w:r w:rsidRPr="0053519A">
        <w:t>était pas le cas en l</w:t>
      </w:r>
      <w:r w:rsidRPr="0053519A" w:rsidR="0053519A">
        <w:t>’</w:t>
      </w:r>
      <w:r w:rsidRPr="0053519A">
        <w:t>espèce et ce qui, de surcroît, n</w:t>
      </w:r>
      <w:r w:rsidRPr="0053519A" w:rsidR="0053519A">
        <w:t>’</w:t>
      </w:r>
      <w:r w:rsidRPr="0053519A">
        <w:t>impliquerait en tout cas pas l</w:t>
      </w:r>
      <w:r w:rsidRPr="0053519A" w:rsidR="0053519A">
        <w:t>’</w:t>
      </w:r>
      <w:r w:rsidRPr="0053519A">
        <w:t xml:space="preserve">annulation </w:t>
      </w:r>
      <w:r w:rsidRPr="0053519A">
        <w:rPr>
          <w:i/>
          <w:iCs/>
        </w:rPr>
        <w:t xml:space="preserve">erga </w:t>
      </w:r>
      <w:proofErr w:type="spellStart"/>
      <w:r w:rsidRPr="0053519A">
        <w:rPr>
          <w:i/>
          <w:iCs/>
        </w:rPr>
        <w:t>omnes</w:t>
      </w:r>
      <w:proofErr w:type="spellEnd"/>
      <w:r w:rsidRPr="0053519A">
        <w:t xml:space="preserve"> des mesures litigieuses prises à son encontre. Par ailleurs, la citation que la requérante a introduite le 7 février 2020 et à laquelle se réfère le Gouvernement ne vise qu</w:t>
      </w:r>
      <w:r w:rsidRPr="0053519A" w:rsidR="0053519A">
        <w:t>’</w:t>
      </w:r>
      <w:r w:rsidRPr="0053519A">
        <w:t>à obtenir réparation du dommage subi dans l</w:t>
      </w:r>
      <w:r w:rsidRPr="0053519A" w:rsidR="0053519A">
        <w:t>’</w:t>
      </w:r>
      <w:r w:rsidRPr="0053519A">
        <w:t>éventualité où la Cour déclarait sa requête fondée.</w:t>
      </w:r>
    </w:p>
    <w:p w:rsidRPr="0053519A" w:rsidR="00601F4E" w:rsidP="0053519A" w:rsidRDefault="00601F4E" w14:paraId="4C63063C" w14:textId="77777777">
      <w:pPr>
        <w:pStyle w:val="JuHa0"/>
        <w:numPr>
          <w:ilvl w:val="4"/>
          <w:numId w:val="1"/>
        </w:numPr>
      </w:pPr>
      <w:r w:rsidRPr="0053519A">
        <w:t>Le Gouvernement</w:t>
      </w:r>
    </w:p>
    <w:p w:rsidRPr="0053519A" w:rsidR="00601F4E" w:rsidP="0053519A" w:rsidRDefault="00601F4E" w14:paraId="0DF316A6" w14:textId="77777777">
      <w:pPr>
        <w:pStyle w:val="JuPara"/>
      </w:pPr>
      <w:r w:rsidRPr="0053519A">
        <w:fldChar w:fldCharType="begin"/>
      </w:r>
      <w:r w:rsidRPr="0053519A">
        <w:instrText xml:space="preserve"> SEQ level0 \*arabic </w:instrText>
      </w:r>
      <w:r w:rsidRPr="0053519A">
        <w:fldChar w:fldCharType="separate"/>
      </w:r>
      <w:r w:rsidRPr="0053519A" w:rsidR="0053519A">
        <w:rPr>
          <w:noProof/>
        </w:rPr>
        <w:t>51</w:t>
      </w:r>
      <w:r w:rsidRPr="0053519A">
        <w:fldChar w:fldCharType="end"/>
      </w:r>
      <w:r w:rsidRPr="0053519A">
        <w:t>.  Le Gouvernement admet que le CSJ n</w:t>
      </w:r>
      <w:r w:rsidRPr="0053519A" w:rsidR="0053519A">
        <w:t>’</w:t>
      </w:r>
      <w:r w:rsidRPr="0053519A">
        <w:t>est pas une juridiction. Il allègue en revanche que la requérante disposait bel et bien d</w:t>
      </w:r>
      <w:r w:rsidRPr="0053519A" w:rsidR="0053519A">
        <w:t>’</w:t>
      </w:r>
      <w:r w:rsidRPr="0053519A">
        <w:t>une voie de recours interne appropriée, effective et accessible. Si le Gouvernement admet dans ses dernières observations que la requérante ne pouvait en fait pas introduire un recours en annulation devant le Conseil d</w:t>
      </w:r>
      <w:r w:rsidRPr="0053519A" w:rsidR="0053519A">
        <w:t>’</w:t>
      </w:r>
      <w:r w:rsidRPr="0053519A">
        <w:t>État, il fait toutefois valoir qu</w:t>
      </w:r>
      <w:r w:rsidRPr="0053519A" w:rsidR="0053519A">
        <w:t>’</w:t>
      </w:r>
      <w:r w:rsidRPr="0053519A">
        <w:t>elle aurait pu et dû saisir le juge judiciaire, y compris le juge des référés, des illégalités dont elle s</w:t>
      </w:r>
      <w:r w:rsidRPr="0053519A" w:rsidR="0053519A">
        <w:t>’</w:t>
      </w:r>
      <w:r w:rsidRPr="0053519A">
        <w:t>estimait victime. Le juge judiciaire pouvait en effet ordonner la réparation en nature et prescrire à l</w:t>
      </w:r>
      <w:r w:rsidRPr="0053519A" w:rsidR="0053519A">
        <w:t>’</w:t>
      </w:r>
      <w:r w:rsidRPr="0053519A">
        <w:t>autorité en question des mesures destinées à mettre fin à l</w:t>
      </w:r>
      <w:r w:rsidRPr="0053519A" w:rsidR="0053519A">
        <w:t>’</w:t>
      </w:r>
      <w:r w:rsidRPr="0053519A">
        <w:t>illégalité dommageable. Le Gouvernement remarque d</w:t>
      </w:r>
      <w:r w:rsidRPr="0053519A" w:rsidR="0053519A">
        <w:t>’</w:t>
      </w:r>
      <w:r w:rsidRPr="0053519A">
        <w:t>ailleurs que la requérante a, le 7</w:t>
      </w:r>
      <w:r w:rsidRPr="0053519A" w:rsidR="00297752">
        <w:t> </w:t>
      </w:r>
      <w:r w:rsidRPr="0053519A">
        <w:t>février 2020, cité l</w:t>
      </w:r>
      <w:r w:rsidRPr="0053519A" w:rsidR="0053519A">
        <w:t>’</w:t>
      </w:r>
      <w:r w:rsidRPr="0053519A">
        <w:t>État en responsabilité civile pour faute de ses organes.</w:t>
      </w:r>
    </w:p>
    <w:p w:rsidRPr="0053519A" w:rsidR="00601F4E" w:rsidP="0053519A" w:rsidRDefault="00601F4E" w14:paraId="41B89288" w14:textId="77777777">
      <w:pPr>
        <w:pStyle w:val="JuH1"/>
        <w:numPr>
          <w:ilvl w:val="3"/>
          <w:numId w:val="1"/>
        </w:numPr>
      </w:pPr>
      <w:r w:rsidRPr="0053519A">
        <w:t>Appréciation de la Cour</w:t>
      </w:r>
    </w:p>
    <w:p w:rsidRPr="0053519A" w:rsidR="00601F4E" w:rsidP="0053519A" w:rsidRDefault="00601F4E" w14:paraId="60DA3608" w14:textId="77777777">
      <w:pPr>
        <w:pStyle w:val="JuHa0"/>
        <w:numPr>
          <w:ilvl w:val="4"/>
          <w:numId w:val="1"/>
        </w:numPr>
      </w:pPr>
      <w:bookmarkStart w:name="_Hlk36127691" w:id="37"/>
      <w:r w:rsidRPr="0053519A">
        <w:t>Principes généraux applicables</w:t>
      </w:r>
    </w:p>
    <w:p w:rsidRPr="0053519A" w:rsidR="00601F4E" w:rsidP="0053519A" w:rsidRDefault="00601F4E" w14:paraId="2E57CDD0" w14:textId="77777777">
      <w:pPr>
        <w:pStyle w:val="JuPara"/>
      </w:pPr>
      <w:r w:rsidRPr="0053519A">
        <w:fldChar w:fldCharType="begin"/>
      </w:r>
      <w:r w:rsidRPr="0053519A">
        <w:instrText xml:space="preserve"> SEQ level0 \*arabic </w:instrText>
      </w:r>
      <w:r w:rsidRPr="0053519A">
        <w:fldChar w:fldCharType="separate"/>
      </w:r>
      <w:r w:rsidRPr="0053519A" w:rsidR="0053519A">
        <w:rPr>
          <w:noProof/>
        </w:rPr>
        <w:t>52</w:t>
      </w:r>
      <w:r w:rsidRPr="0053519A">
        <w:fldChar w:fldCharType="end"/>
      </w:r>
      <w:r w:rsidRPr="0053519A">
        <w:t>.  La Cour rappelle que le droit d</w:t>
      </w:r>
      <w:r w:rsidRPr="0053519A" w:rsidR="0053519A">
        <w:t>’</w:t>
      </w:r>
      <w:r w:rsidRPr="0053519A">
        <w:t>accès à un tribunal – c</w:t>
      </w:r>
      <w:r w:rsidRPr="0053519A" w:rsidR="0053519A">
        <w:t>’</w:t>
      </w:r>
      <w:r w:rsidRPr="0053519A">
        <w:t>est-à-dire le droit de saisir un tribunal en matière civile – constitue un élément inhérent au droit énoncé à l</w:t>
      </w:r>
      <w:r w:rsidRPr="0053519A" w:rsidR="0053519A">
        <w:t>’</w:t>
      </w:r>
      <w:r w:rsidRPr="0053519A">
        <w:t>article 6 § 1 de la Convention, qui pose les garanties applicables en ce qui concerne tant l</w:t>
      </w:r>
      <w:r w:rsidRPr="0053519A" w:rsidR="0053519A">
        <w:t>’</w:t>
      </w:r>
      <w:r w:rsidRPr="0053519A">
        <w:t>organisation et la composition du tribunal que la conduite de la procédure. Le tout forme le droit à un procès équitable protégé par l</w:t>
      </w:r>
      <w:r w:rsidRPr="0053519A" w:rsidR="0053519A">
        <w:t>’</w:t>
      </w:r>
      <w:r w:rsidRPr="0053519A">
        <w:t>article 6 § 1 (voir, parmi beaucoup d</w:t>
      </w:r>
      <w:r w:rsidRPr="0053519A" w:rsidR="0053519A">
        <w:t>’</w:t>
      </w:r>
      <w:r w:rsidRPr="0053519A">
        <w:t xml:space="preserve">autres, </w:t>
      </w:r>
      <w:r w:rsidRPr="0053519A">
        <w:rPr>
          <w:i/>
        </w:rPr>
        <w:t>Baka</w:t>
      </w:r>
      <w:r w:rsidRPr="0053519A">
        <w:t>, précité, §</w:t>
      </w:r>
      <w:r w:rsidRPr="0053519A" w:rsidR="00180F62">
        <w:t> </w:t>
      </w:r>
      <w:r w:rsidRPr="0053519A">
        <w:t xml:space="preserve">120, et </w:t>
      </w:r>
      <w:proofErr w:type="spellStart"/>
      <w:r w:rsidRPr="0053519A">
        <w:rPr>
          <w:i/>
          <w:iCs/>
        </w:rPr>
        <w:t>Naït</w:t>
      </w:r>
      <w:proofErr w:type="spellEnd"/>
      <w:r w:rsidRPr="0053519A">
        <w:rPr>
          <w:i/>
          <w:iCs/>
        </w:rPr>
        <w:t>-Liman c. Suisse</w:t>
      </w:r>
      <w:r w:rsidRPr="0053519A">
        <w:rPr>
          <w:iCs/>
        </w:rPr>
        <w:t xml:space="preserve"> [GC]</w:t>
      </w:r>
      <w:r w:rsidRPr="0053519A">
        <w:t>, n</w:t>
      </w:r>
      <w:r w:rsidRPr="0053519A">
        <w:rPr>
          <w:vertAlign w:val="superscript"/>
        </w:rPr>
        <w:t>o</w:t>
      </w:r>
      <w:r w:rsidRPr="0053519A">
        <w:t> 51357/07, §</w:t>
      </w:r>
      <w:r w:rsidRPr="0053519A" w:rsidR="00180F62">
        <w:t> </w:t>
      </w:r>
      <w:r w:rsidRPr="0053519A">
        <w:t>112, 15</w:t>
      </w:r>
      <w:r w:rsidRPr="0053519A" w:rsidR="00180F62">
        <w:t> </w:t>
      </w:r>
      <w:r w:rsidRPr="0053519A">
        <w:t>mars 2018).</w:t>
      </w:r>
    </w:p>
    <w:p w:rsidRPr="0053519A" w:rsidR="00601F4E" w:rsidP="0053519A" w:rsidRDefault="00601F4E" w14:paraId="797F7688" w14:textId="77777777">
      <w:pPr>
        <w:pStyle w:val="JuPara"/>
      </w:pPr>
      <w:r w:rsidRPr="0053519A">
        <w:fldChar w:fldCharType="begin"/>
      </w:r>
      <w:r w:rsidRPr="0053519A">
        <w:instrText xml:space="preserve"> SEQ level0 \*arabic </w:instrText>
      </w:r>
      <w:r w:rsidRPr="0053519A">
        <w:fldChar w:fldCharType="separate"/>
      </w:r>
      <w:r w:rsidRPr="0053519A" w:rsidR="0053519A">
        <w:rPr>
          <w:noProof/>
        </w:rPr>
        <w:t>53</w:t>
      </w:r>
      <w:r w:rsidRPr="0053519A">
        <w:fldChar w:fldCharType="end"/>
      </w:r>
      <w:r w:rsidRPr="0053519A">
        <w:t>.  Toutefois, le droit d</w:t>
      </w:r>
      <w:r w:rsidRPr="0053519A" w:rsidR="0053519A">
        <w:t>’</w:t>
      </w:r>
      <w:r w:rsidRPr="0053519A">
        <w:t>accès à un tribunal n</w:t>
      </w:r>
      <w:r w:rsidRPr="0053519A" w:rsidR="0053519A">
        <w:t>’</w:t>
      </w:r>
      <w:r w:rsidRPr="0053519A">
        <w:t>est pas absolu. Il peut être soumis à des limitations pour autant que celles</w:t>
      </w:r>
      <w:r w:rsidRPr="0053519A">
        <w:noBreakHyphen/>
        <w:t>ci ne restreignent ni ne réduisent l</w:t>
      </w:r>
      <w:r w:rsidRPr="0053519A" w:rsidR="0053519A">
        <w:t>’</w:t>
      </w:r>
      <w:r w:rsidRPr="0053519A">
        <w:t>accès de l</w:t>
      </w:r>
      <w:r w:rsidRPr="0053519A" w:rsidR="0053519A">
        <w:t>’</w:t>
      </w:r>
      <w:r w:rsidRPr="0053519A">
        <w:t>individu au juge d</w:t>
      </w:r>
      <w:r w:rsidRPr="0053519A" w:rsidR="0053519A">
        <w:t>’</w:t>
      </w:r>
      <w:r w:rsidRPr="0053519A">
        <w:t>une manière ou à un point tels que le droit s</w:t>
      </w:r>
      <w:r w:rsidRPr="0053519A" w:rsidR="0053519A">
        <w:t>’</w:t>
      </w:r>
      <w:r w:rsidRPr="0053519A">
        <w:t>en trouve atteint dans sa substance même. En outre, ces limitations ne se concilient avec l</w:t>
      </w:r>
      <w:r w:rsidRPr="0053519A" w:rsidR="0053519A">
        <w:t>’</w:t>
      </w:r>
      <w:r w:rsidRPr="0053519A">
        <w:t>article 6 § 1 que si elles poursuivent un but légitime et s</w:t>
      </w:r>
      <w:r w:rsidRPr="0053519A" w:rsidR="0053519A">
        <w:t>’</w:t>
      </w:r>
      <w:r w:rsidRPr="0053519A">
        <w:t>il existe un rapport raisonnable de proportionnalité entre les moyens employés et le but visé (voir, parmi beaucoup d</w:t>
      </w:r>
      <w:r w:rsidRPr="0053519A" w:rsidR="0053519A">
        <w:t>’</w:t>
      </w:r>
      <w:r w:rsidRPr="0053519A">
        <w:t xml:space="preserve">autres, </w:t>
      </w:r>
      <w:r w:rsidRPr="0053519A">
        <w:rPr>
          <w:i/>
        </w:rPr>
        <w:t>Baka</w:t>
      </w:r>
      <w:r w:rsidRPr="0053519A">
        <w:t>, précité, §</w:t>
      </w:r>
      <w:r w:rsidRPr="0053519A" w:rsidR="00180F62">
        <w:t> </w:t>
      </w:r>
      <w:r w:rsidRPr="0053519A">
        <w:t xml:space="preserve">120, </w:t>
      </w:r>
      <w:proofErr w:type="spellStart"/>
      <w:r w:rsidRPr="0053519A">
        <w:rPr>
          <w:i/>
          <w:iCs/>
        </w:rPr>
        <w:t>Naït</w:t>
      </w:r>
      <w:proofErr w:type="spellEnd"/>
      <w:r w:rsidRPr="0053519A">
        <w:rPr>
          <w:i/>
          <w:iCs/>
        </w:rPr>
        <w:t>-Liman</w:t>
      </w:r>
      <w:r w:rsidRPr="0053519A">
        <w:t xml:space="preserve">, précité, §§ 114-115, et </w:t>
      </w:r>
      <w:r w:rsidRPr="0053519A">
        <w:rPr>
          <w:i/>
        </w:rPr>
        <w:t xml:space="preserve">Nicolae </w:t>
      </w:r>
      <w:proofErr w:type="spellStart"/>
      <w:r w:rsidRPr="0053519A">
        <w:rPr>
          <w:i/>
        </w:rPr>
        <w:t>Virgiliu</w:t>
      </w:r>
      <w:proofErr w:type="spellEnd"/>
      <w:r w:rsidRPr="0053519A">
        <w:rPr>
          <w:i/>
        </w:rPr>
        <w:t xml:space="preserve"> </w:t>
      </w:r>
      <w:proofErr w:type="spellStart"/>
      <w:r w:rsidRPr="0053519A">
        <w:rPr>
          <w:i/>
        </w:rPr>
        <w:t>Tănase</w:t>
      </w:r>
      <w:proofErr w:type="spellEnd"/>
      <w:r w:rsidRPr="0053519A">
        <w:rPr>
          <w:i/>
        </w:rPr>
        <w:t xml:space="preserve"> c.</w:t>
      </w:r>
      <w:r w:rsidRPr="0053519A" w:rsidR="00180F62">
        <w:rPr>
          <w:i/>
        </w:rPr>
        <w:t> </w:t>
      </w:r>
      <w:r w:rsidRPr="0053519A">
        <w:rPr>
          <w:i/>
        </w:rPr>
        <w:t>Roumanie</w:t>
      </w:r>
      <w:r w:rsidRPr="0053519A">
        <w:t xml:space="preserve"> [GC], n</w:t>
      </w:r>
      <w:r w:rsidRPr="0053519A">
        <w:rPr>
          <w:vertAlign w:val="superscript"/>
        </w:rPr>
        <w:t>o</w:t>
      </w:r>
      <w:r w:rsidRPr="0053519A">
        <w:t xml:space="preserve"> 41720/13, § 195, 25 juin 2019).</w:t>
      </w:r>
    </w:p>
    <w:p w:rsidRPr="0053519A" w:rsidR="00601F4E" w:rsidP="0053519A" w:rsidRDefault="00601F4E" w14:paraId="29F334AC" w14:textId="77777777">
      <w:pPr>
        <w:pStyle w:val="JuHa0"/>
        <w:numPr>
          <w:ilvl w:val="4"/>
          <w:numId w:val="1"/>
        </w:numPr>
      </w:pPr>
      <w:r w:rsidRPr="0053519A">
        <w:t>Application au cas d</w:t>
      </w:r>
      <w:r w:rsidRPr="0053519A" w:rsidR="0053519A">
        <w:t>’</w:t>
      </w:r>
      <w:r w:rsidRPr="0053519A">
        <w:t>espèce</w:t>
      </w:r>
    </w:p>
    <w:p w:rsidRPr="0053519A" w:rsidR="00601F4E" w:rsidP="0053519A" w:rsidRDefault="00601F4E" w14:paraId="7238684C" w14:textId="77777777">
      <w:pPr>
        <w:pStyle w:val="JuPara"/>
      </w:pPr>
      <w:r w:rsidRPr="0053519A">
        <w:fldChar w:fldCharType="begin"/>
      </w:r>
      <w:r w:rsidRPr="0053519A">
        <w:instrText xml:space="preserve"> SEQ level0 \*arabic </w:instrText>
      </w:r>
      <w:r w:rsidRPr="0053519A">
        <w:fldChar w:fldCharType="separate"/>
      </w:r>
      <w:r w:rsidRPr="0053519A" w:rsidR="0053519A">
        <w:rPr>
          <w:noProof/>
        </w:rPr>
        <w:t>54</w:t>
      </w:r>
      <w:r w:rsidRPr="0053519A">
        <w:fldChar w:fldCharType="end"/>
      </w:r>
      <w:r w:rsidRPr="0053519A">
        <w:t>.  Avant toute chose, la Cour rappelle qu</w:t>
      </w:r>
      <w:r w:rsidRPr="0053519A" w:rsidR="0053519A">
        <w:t>’</w:t>
      </w:r>
      <w:r w:rsidRPr="0053519A">
        <w:t>il ne lui appartient pas de déterminer si les décisions prises à l</w:t>
      </w:r>
      <w:r w:rsidRPr="0053519A" w:rsidR="0053519A">
        <w:t>’</w:t>
      </w:r>
      <w:r w:rsidRPr="0053519A">
        <w:t>encontre de la requérante étaient des mesures d</w:t>
      </w:r>
      <w:r w:rsidRPr="0053519A" w:rsidR="0053519A">
        <w:t>’</w:t>
      </w:r>
      <w:r w:rsidRPr="0053519A">
        <w:t>ordre au sens du droit administratif interne, ni même si ces décisions constituaient une sanction disciplinaire déguisée, tel que l</w:t>
      </w:r>
      <w:r w:rsidRPr="0053519A" w:rsidR="0053519A">
        <w:t>’</w:t>
      </w:r>
      <w:r w:rsidRPr="0053519A">
        <w:t>allègue la requérante. Il suffit en effet à la Cour de rappeler qu</w:t>
      </w:r>
      <w:r w:rsidRPr="0053519A" w:rsidR="0053519A">
        <w:t>’</w:t>
      </w:r>
      <w:r w:rsidRPr="0053519A">
        <w:t>elle a conclu à l</w:t>
      </w:r>
      <w:r w:rsidRPr="0053519A" w:rsidR="0053519A">
        <w:t>’</w:t>
      </w:r>
      <w:r w:rsidRPr="0053519A">
        <w:t>applicabilité de l</w:t>
      </w:r>
      <w:r w:rsidRPr="0053519A" w:rsidR="0053519A">
        <w:t>’</w:t>
      </w:r>
      <w:r w:rsidRPr="0053519A">
        <w:t>article 6 § 1 de la Convention (paragraphe</w:t>
      </w:r>
      <w:r w:rsidRPr="0053519A" w:rsidR="00180F62">
        <w:t> </w:t>
      </w:r>
      <w:r w:rsidRPr="0053519A">
        <w:fldChar w:fldCharType="begin"/>
      </w:r>
      <w:r w:rsidRPr="0053519A">
        <w:instrText xml:space="preserve"> REF cclapplicabilité61 \h </w:instrText>
      </w:r>
      <w:r w:rsidRPr="0053519A">
        <w:fldChar w:fldCharType="separate"/>
      </w:r>
      <w:r w:rsidRPr="0053519A" w:rsidR="0053519A">
        <w:rPr>
          <w:noProof/>
        </w:rPr>
        <w:t>41</w:t>
      </w:r>
      <w:r w:rsidRPr="0053519A">
        <w:fldChar w:fldCharType="end"/>
      </w:r>
      <w:r w:rsidRPr="0053519A">
        <w:t xml:space="preserve"> ci-dessus). Il en résulte que la requérante devait, dans le cadre de la procédure de suspension de ses fonctions au sein du CSJ, bénéficier des garanties offertes par cette disposition, au premier rang desquelles figure le droit d</w:t>
      </w:r>
      <w:r w:rsidRPr="0053519A" w:rsidR="0053519A">
        <w:t>’</w:t>
      </w:r>
      <w:r w:rsidRPr="0053519A">
        <w:t>accès à un tribunal.</w:t>
      </w:r>
    </w:p>
    <w:p w:rsidRPr="0053519A" w:rsidR="00601F4E" w:rsidP="0053519A" w:rsidRDefault="00601F4E" w14:paraId="79062630" w14:textId="77777777">
      <w:pPr>
        <w:pStyle w:val="JuPara"/>
      </w:pPr>
      <w:r w:rsidRPr="0053519A">
        <w:fldChar w:fldCharType="begin"/>
      </w:r>
      <w:r w:rsidRPr="0053519A">
        <w:instrText xml:space="preserve"> SEQ level0 \*arabic </w:instrText>
      </w:r>
      <w:r w:rsidRPr="0053519A">
        <w:fldChar w:fldCharType="separate"/>
      </w:r>
      <w:r w:rsidRPr="0053519A" w:rsidR="0053519A">
        <w:rPr>
          <w:noProof/>
        </w:rPr>
        <w:t>55</w:t>
      </w:r>
      <w:r w:rsidRPr="0053519A">
        <w:fldChar w:fldCharType="end"/>
      </w:r>
      <w:r w:rsidRPr="0053519A">
        <w:t>.  Selon la jurisprudence de la Cour, un « tribunal » se caractérise au sens matériel par son rôle juridictionnel : trancher, sur la base de normes de droit et à l</w:t>
      </w:r>
      <w:r w:rsidRPr="0053519A" w:rsidR="0053519A">
        <w:t>’</w:t>
      </w:r>
      <w:r w:rsidRPr="0053519A">
        <w:t>issue d</w:t>
      </w:r>
      <w:r w:rsidRPr="0053519A" w:rsidR="0053519A">
        <w:t>’</w:t>
      </w:r>
      <w:r w:rsidRPr="0053519A">
        <w:t xml:space="preserve">une procédure organisée, toute question relevant de sa compétence (voir, notamment, </w:t>
      </w:r>
      <w:r w:rsidRPr="0053519A">
        <w:rPr>
          <w:i/>
          <w:iCs/>
        </w:rPr>
        <w:t>H. c. Belgique</w:t>
      </w:r>
      <w:r w:rsidRPr="0053519A">
        <w:t>, 30 novembre 1987, §</w:t>
      </w:r>
      <w:r w:rsidRPr="0053519A" w:rsidR="00180F62">
        <w:t> </w:t>
      </w:r>
      <w:r w:rsidRPr="0053519A">
        <w:t>50, série A n</w:t>
      </w:r>
      <w:r w:rsidRPr="0053519A">
        <w:rPr>
          <w:vertAlign w:val="superscript"/>
        </w:rPr>
        <w:t>o</w:t>
      </w:r>
      <w:r w:rsidRPr="0053519A">
        <w:t xml:space="preserve"> 127-B, et </w:t>
      </w:r>
      <w:proofErr w:type="spellStart"/>
      <w:r w:rsidRPr="0053519A">
        <w:rPr>
          <w:i/>
        </w:rPr>
        <w:t>Guðmundur</w:t>
      </w:r>
      <w:proofErr w:type="spellEnd"/>
      <w:r w:rsidRPr="0053519A">
        <w:rPr>
          <w:i/>
        </w:rPr>
        <w:t xml:space="preserve"> </w:t>
      </w:r>
      <w:proofErr w:type="spellStart"/>
      <w:r w:rsidRPr="0053519A">
        <w:rPr>
          <w:i/>
        </w:rPr>
        <w:t>Andri</w:t>
      </w:r>
      <w:proofErr w:type="spellEnd"/>
      <w:r w:rsidRPr="0053519A">
        <w:rPr>
          <w:i/>
        </w:rPr>
        <w:t xml:space="preserve"> </w:t>
      </w:r>
      <w:proofErr w:type="spellStart"/>
      <w:r w:rsidRPr="0053519A">
        <w:rPr>
          <w:i/>
        </w:rPr>
        <w:t>Ástráðsson</w:t>
      </w:r>
      <w:proofErr w:type="spellEnd"/>
      <w:r w:rsidRPr="0053519A">
        <w:rPr>
          <w:i/>
        </w:rPr>
        <w:t xml:space="preserve"> c. Islande</w:t>
      </w:r>
      <w:r w:rsidRPr="0053519A">
        <w:t xml:space="preserve"> [GC], n</w:t>
      </w:r>
      <w:r w:rsidRPr="0053519A">
        <w:rPr>
          <w:vertAlign w:val="superscript"/>
        </w:rPr>
        <w:t>o</w:t>
      </w:r>
      <w:r w:rsidRPr="0053519A">
        <w:t> 26374/18, § 219, 1</w:t>
      </w:r>
      <w:r w:rsidRPr="0053519A">
        <w:rPr>
          <w:vertAlign w:val="superscript"/>
        </w:rPr>
        <w:t>er</w:t>
      </w:r>
      <w:r w:rsidRPr="0053519A">
        <w:t xml:space="preserve"> décembre 2020). Or, il résulte des dispositions constitutionnelles et légales pertinentes que le CSJ est un organe d</w:t>
      </w:r>
      <w:r w:rsidRPr="0053519A" w:rsidR="0053519A">
        <w:t>’</w:t>
      </w:r>
      <w:r w:rsidRPr="0053519A">
        <w:t>administration active (paragraphe </w:t>
      </w:r>
      <w:r w:rsidRPr="0053519A">
        <w:fldChar w:fldCharType="begin"/>
      </w:r>
      <w:r w:rsidRPr="0053519A">
        <w:instrText xml:space="preserve"> REF competencesCSJ \h </w:instrText>
      </w:r>
      <w:r w:rsidRPr="0053519A">
        <w:fldChar w:fldCharType="separate"/>
      </w:r>
      <w:r w:rsidRPr="0053519A" w:rsidR="0053519A">
        <w:rPr>
          <w:noProof/>
        </w:rPr>
        <w:t>19</w:t>
      </w:r>
      <w:r w:rsidRPr="0053519A">
        <w:fldChar w:fldCharType="end"/>
      </w:r>
      <w:r w:rsidRPr="0053519A">
        <w:t xml:space="preserve"> ci-dessus). Ne devant trancher des litiges, il ne constitue pas une juridiction. La Cour en déduit que cet organe ne constitue pas un « tribunal » au sens de l</w:t>
      </w:r>
      <w:r w:rsidRPr="0053519A" w:rsidR="0053519A">
        <w:t>’</w:t>
      </w:r>
      <w:r w:rsidRPr="0053519A">
        <w:t>article 6 § 1 de la Convention, ce que le Gouvernement ne conteste d</w:t>
      </w:r>
      <w:r w:rsidRPr="0053519A" w:rsidR="0053519A">
        <w:t>’</w:t>
      </w:r>
      <w:r w:rsidRPr="0053519A">
        <w:t>ailleurs pas.</w:t>
      </w:r>
    </w:p>
    <w:p w:rsidRPr="0053519A" w:rsidR="00601F4E" w:rsidP="0053519A" w:rsidRDefault="00601F4E" w14:paraId="7BF405EE" w14:textId="77777777">
      <w:pPr>
        <w:pStyle w:val="JuPara"/>
      </w:pPr>
      <w:r w:rsidRPr="0053519A">
        <w:rPr>
          <w:rFonts w:cstheme="minorHAnsi"/>
          <w:color w:val="000000"/>
        </w:rPr>
        <w:fldChar w:fldCharType="begin"/>
      </w:r>
      <w:r w:rsidRPr="0053519A">
        <w:rPr>
          <w:rFonts w:cstheme="minorHAnsi"/>
          <w:color w:val="000000"/>
        </w:rPr>
        <w:instrText xml:space="preserve"> SEQ level0 \*arabic </w:instrText>
      </w:r>
      <w:r w:rsidRPr="0053519A">
        <w:rPr>
          <w:rFonts w:cstheme="minorHAnsi"/>
          <w:color w:val="000000"/>
        </w:rPr>
        <w:fldChar w:fldCharType="separate"/>
      </w:r>
      <w:r w:rsidRPr="0053519A" w:rsidR="0053519A">
        <w:rPr>
          <w:rFonts w:cstheme="minorHAnsi"/>
          <w:noProof/>
          <w:color w:val="000000"/>
        </w:rPr>
        <w:t>56</w:t>
      </w:r>
      <w:r w:rsidRPr="0053519A">
        <w:rPr>
          <w:rFonts w:cstheme="minorHAnsi"/>
          <w:color w:val="000000"/>
        </w:rPr>
        <w:fldChar w:fldCharType="end"/>
      </w:r>
      <w:r w:rsidRPr="0053519A">
        <w:rPr>
          <w:rFonts w:cstheme="minorHAnsi"/>
          <w:color w:val="000000"/>
        </w:rPr>
        <w:t>.  À cet égard, la Cour rappelle sa jurisprudence selon laquelle, lorsque l</w:t>
      </w:r>
      <w:r w:rsidRPr="0053519A" w:rsidR="0053519A">
        <w:rPr>
          <w:rFonts w:cstheme="minorHAnsi"/>
          <w:color w:val="000000"/>
        </w:rPr>
        <w:t>’</w:t>
      </w:r>
      <w:r w:rsidRPr="0053519A">
        <w:rPr>
          <w:rFonts w:cstheme="minorHAnsi"/>
          <w:color w:val="000000"/>
        </w:rPr>
        <w:t>autorité prenant une décision portant sur des « droits et obligations de caractère civil » ne remplit pas les exigences de l</w:t>
      </w:r>
      <w:r w:rsidRPr="0053519A" w:rsidR="0053519A">
        <w:rPr>
          <w:rFonts w:cstheme="minorHAnsi"/>
          <w:color w:val="000000"/>
        </w:rPr>
        <w:t>’</w:t>
      </w:r>
      <w:r w:rsidRPr="0053519A">
        <w:rPr>
          <w:rFonts w:cstheme="minorHAnsi"/>
          <w:color w:val="000000"/>
        </w:rPr>
        <w:t>article</w:t>
      </w:r>
      <w:r w:rsidRPr="0053519A" w:rsidR="00180F62">
        <w:rPr>
          <w:rFonts w:cstheme="minorHAnsi"/>
          <w:color w:val="000000"/>
        </w:rPr>
        <w:t> </w:t>
      </w:r>
      <w:r w:rsidRPr="0053519A">
        <w:rPr>
          <w:rFonts w:cstheme="minorHAnsi"/>
          <w:color w:val="000000"/>
        </w:rPr>
        <w:t>6 §</w:t>
      </w:r>
      <w:r w:rsidRPr="0053519A" w:rsidR="00180F62">
        <w:rPr>
          <w:rFonts w:cstheme="minorHAnsi"/>
          <w:color w:val="000000"/>
        </w:rPr>
        <w:t> </w:t>
      </w:r>
      <w:r w:rsidRPr="0053519A">
        <w:rPr>
          <w:rFonts w:cstheme="minorHAnsi"/>
          <w:color w:val="000000"/>
        </w:rPr>
        <w:t>1, il n</w:t>
      </w:r>
      <w:r w:rsidRPr="0053519A" w:rsidR="0053519A">
        <w:rPr>
          <w:rFonts w:cstheme="minorHAnsi"/>
          <w:color w:val="000000"/>
        </w:rPr>
        <w:t>’</w:t>
      </w:r>
      <w:r w:rsidRPr="0053519A">
        <w:rPr>
          <w:rFonts w:cstheme="minorHAnsi"/>
          <w:color w:val="000000"/>
        </w:rPr>
        <w:t>y a pas violation de la Convention si sa décision peut faire l</w:t>
      </w:r>
      <w:r w:rsidRPr="0053519A" w:rsidR="0053519A">
        <w:rPr>
          <w:rFonts w:cstheme="minorHAnsi"/>
          <w:color w:val="000000"/>
        </w:rPr>
        <w:t>’</w:t>
      </w:r>
      <w:r w:rsidRPr="0053519A">
        <w:rPr>
          <w:rFonts w:cstheme="minorHAnsi"/>
          <w:color w:val="000000"/>
        </w:rPr>
        <w:t>objet d</w:t>
      </w:r>
      <w:r w:rsidRPr="0053519A" w:rsidR="0053519A">
        <w:rPr>
          <w:rFonts w:cstheme="minorHAnsi"/>
          <w:color w:val="000000"/>
        </w:rPr>
        <w:t>’</w:t>
      </w:r>
      <w:r w:rsidRPr="0053519A">
        <w:rPr>
          <w:rFonts w:cstheme="minorHAnsi"/>
          <w:color w:val="000000"/>
        </w:rPr>
        <w:t>un « contrôle ultérieur d</w:t>
      </w:r>
      <w:r w:rsidRPr="0053519A" w:rsidR="0053519A">
        <w:rPr>
          <w:rFonts w:cstheme="minorHAnsi"/>
          <w:color w:val="000000"/>
        </w:rPr>
        <w:t>’</w:t>
      </w:r>
      <w:r w:rsidRPr="0053519A">
        <w:rPr>
          <w:rFonts w:cstheme="minorHAnsi"/>
          <w:color w:val="000000"/>
        </w:rPr>
        <w:t>un organe judiciaire de pleine juridiction présentant, lui, les garanties de cet article » (voir, parmi beaucoup d</w:t>
      </w:r>
      <w:r w:rsidRPr="0053519A" w:rsidR="0053519A">
        <w:rPr>
          <w:rFonts w:cstheme="minorHAnsi"/>
          <w:color w:val="000000"/>
        </w:rPr>
        <w:t>’</w:t>
      </w:r>
      <w:r w:rsidRPr="0053519A">
        <w:rPr>
          <w:rFonts w:cstheme="minorHAnsi"/>
          <w:color w:val="000000"/>
        </w:rPr>
        <w:t xml:space="preserve">autres, </w:t>
      </w:r>
      <w:r w:rsidRPr="0053519A">
        <w:rPr>
          <w:rFonts w:cstheme="minorHAnsi"/>
          <w:i/>
          <w:iCs/>
          <w:color w:val="000000"/>
        </w:rPr>
        <w:t>Albert et Le Compte</w:t>
      </w:r>
      <w:r w:rsidRPr="0053519A">
        <w:rPr>
          <w:rFonts w:cstheme="minorHAnsi"/>
          <w:color w:val="000000"/>
        </w:rPr>
        <w:t>, précité, § 29, </w:t>
      </w:r>
      <w:proofErr w:type="spellStart"/>
      <w:r w:rsidRPr="0053519A">
        <w:rPr>
          <w:i/>
        </w:rPr>
        <w:t>Tsfayo</w:t>
      </w:r>
      <w:proofErr w:type="spellEnd"/>
      <w:r w:rsidRPr="0053519A">
        <w:rPr>
          <w:i/>
        </w:rPr>
        <w:t xml:space="preserve"> c. Royaume-Uni</w:t>
      </w:r>
      <w:r w:rsidRPr="0053519A">
        <w:t>, n</w:t>
      </w:r>
      <w:r w:rsidRPr="0053519A">
        <w:rPr>
          <w:vertAlign w:val="superscript"/>
        </w:rPr>
        <w:t>o</w:t>
      </w:r>
      <w:r w:rsidRPr="0053519A" w:rsidR="00180F62">
        <w:t> </w:t>
      </w:r>
      <w:r w:rsidRPr="0053519A">
        <w:t>60860/00, §</w:t>
      </w:r>
      <w:r w:rsidRPr="0053519A" w:rsidR="00180F62">
        <w:t> </w:t>
      </w:r>
      <w:r w:rsidRPr="0053519A">
        <w:t>42, 14 novembre 2006</w:t>
      </w:r>
      <w:r w:rsidRPr="0053519A">
        <w:rPr>
          <w:rFonts w:cstheme="minorHAnsi"/>
          <w:color w:val="000000"/>
        </w:rPr>
        <w:t xml:space="preserve">, </w:t>
      </w:r>
      <w:proofErr w:type="spellStart"/>
      <w:r w:rsidRPr="0053519A">
        <w:rPr>
          <w:rFonts w:cstheme="minorHAnsi"/>
          <w:i/>
          <w:iCs/>
          <w:color w:val="000000"/>
        </w:rPr>
        <w:t>Denisov</w:t>
      </w:r>
      <w:proofErr w:type="spellEnd"/>
      <w:r w:rsidRPr="0053519A">
        <w:rPr>
          <w:rFonts w:cstheme="minorHAnsi"/>
          <w:color w:val="000000"/>
        </w:rPr>
        <w:t xml:space="preserve">, précité, § 65, et </w:t>
      </w:r>
      <w:r w:rsidRPr="0053519A">
        <w:rPr>
          <w:rFonts w:cstheme="minorHAnsi"/>
          <w:i/>
          <w:iCs/>
        </w:rPr>
        <w:t xml:space="preserve">Ramos Nunes de Carvalho e </w:t>
      </w:r>
      <w:proofErr w:type="spellStart"/>
      <w:r w:rsidRPr="0053519A">
        <w:rPr>
          <w:rFonts w:cstheme="minorHAnsi"/>
          <w:i/>
          <w:iCs/>
        </w:rPr>
        <w:t>Sá</w:t>
      </w:r>
      <w:proofErr w:type="spellEnd"/>
      <w:r w:rsidRPr="0053519A">
        <w:rPr>
          <w:rFonts w:cstheme="minorHAnsi"/>
        </w:rPr>
        <w:t>, précité, § 132).</w:t>
      </w:r>
    </w:p>
    <w:p w:rsidRPr="0053519A" w:rsidR="00601F4E" w:rsidP="0053519A" w:rsidRDefault="00601F4E" w14:paraId="5B947D76" w14:textId="77777777">
      <w:pPr>
        <w:pStyle w:val="JuPara"/>
      </w:pPr>
      <w:r w:rsidRPr="0053519A">
        <w:fldChar w:fldCharType="begin"/>
      </w:r>
      <w:r w:rsidRPr="0053519A">
        <w:instrText xml:space="preserve"> SEQ level0 \*arabic </w:instrText>
      </w:r>
      <w:r w:rsidRPr="0053519A">
        <w:fldChar w:fldCharType="separate"/>
      </w:r>
      <w:r w:rsidRPr="0053519A" w:rsidR="0053519A">
        <w:rPr>
          <w:noProof/>
        </w:rPr>
        <w:t>57</w:t>
      </w:r>
      <w:r w:rsidRPr="0053519A">
        <w:fldChar w:fldCharType="end"/>
      </w:r>
      <w:r w:rsidRPr="0053519A">
        <w:t>.  Reste donc à savoir si, conformément à cette disposition, la requérante disposait d</w:t>
      </w:r>
      <w:r w:rsidRPr="0053519A" w:rsidR="0053519A">
        <w:t>’</w:t>
      </w:r>
      <w:r w:rsidRPr="0053519A">
        <w:t>un recours auprès d</w:t>
      </w:r>
      <w:r w:rsidRPr="0053519A" w:rsidR="0053519A">
        <w:t>’</w:t>
      </w:r>
      <w:r w:rsidRPr="0053519A">
        <w:t>un « tribunal » pour contester la décision de la suspendre de ses fonctions au sein du CSJ et les décisions de prolongation de cette mesure.</w:t>
      </w:r>
    </w:p>
    <w:p w:rsidRPr="0053519A" w:rsidR="00601F4E" w:rsidP="0053519A" w:rsidRDefault="00601F4E" w14:paraId="6A9DF766" w14:textId="77777777">
      <w:pPr>
        <w:pStyle w:val="JuPara"/>
      </w:pPr>
      <w:r w:rsidRPr="0053519A">
        <w:fldChar w:fldCharType="begin"/>
      </w:r>
      <w:r w:rsidRPr="0053519A">
        <w:instrText xml:space="preserve"> SEQ level0 \*arabic </w:instrText>
      </w:r>
      <w:r w:rsidRPr="0053519A">
        <w:fldChar w:fldCharType="separate"/>
      </w:r>
      <w:r w:rsidRPr="0053519A" w:rsidR="0053519A">
        <w:rPr>
          <w:noProof/>
        </w:rPr>
        <w:t>58</w:t>
      </w:r>
      <w:r w:rsidRPr="0053519A">
        <w:fldChar w:fldCharType="end"/>
      </w:r>
      <w:r w:rsidRPr="0053519A">
        <w:t>.  La Cour observe que la requérante s</w:t>
      </w:r>
      <w:r w:rsidRPr="0053519A" w:rsidR="0053519A">
        <w:t>’</w:t>
      </w:r>
      <w:r w:rsidRPr="0053519A">
        <w:t xml:space="preserve">est abstenue de contester les décisions du CSJ portant suspension de ses fonctions (paragraphes </w:t>
      </w:r>
      <w:r w:rsidRPr="0053519A">
        <w:fldChar w:fldCharType="begin"/>
      </w:r>
      <w:r w:rsidRPr="0053519A">
        <w:instrText xml:space="preserve"> REF AG22052013 \h  \* MERGEFORMAT </w:instrText>
      </w:r>
      <w:r w:rsidRPr="0053519A">
        <w:fldChar w:fldCharType="separate"/>
      </w:r>
      <w:r w:rsidRPr="0053519A" w:rsidR="0053519A">
        <w:t>7</w:t>
      </w:r>
      <w:r w:rsidRPr="0053519A">
        <w:fldChar w:fldCharType="end"/>
      </w:r>
      <w:r w:rsidRPr="0053519A">
        <w:t xml:space="preserve">, </w:t>
      </w:r>
      <w:r w:rsidRPr="0053519A">
        <w:fldChar w:fldCharType="begin"/>
      </w:r>
      <w:r w:rsidRPr="0053519A">
        <w:instrText xml:space="preserve"> REF AG20112013 \h  \* MERGEFORMAT </w:instrText>
      </w:r>
      <w:r w:rsidRPr="0053519A">
        <w:fldChar w:fldCharType="separate"/>
      </w:r>
      <w:r w:rsidRPr="0053519A" w:rsidR="0053519A">
        <w:t>9</w:t>
      </w:r>
      <w:r w:rsidRPr="0053519A">
        <w:fldChar w:fldCharType="end"/>
      </w:r>
      <w:r w:rsidRPr="0053519A">
        <w:t xml:space="preserve"> et</w:t>
      </w:r>
      <w:r w:rsidRPr="0053519A" w:rsidR="00180F62">
        <w:t> </w:t>
      </w:r>
      <w:r w:rsidRPr="0053519A">
        <w:fldChar w:fldCharType="begin"/>
      </w:r>
      <w:r w:rsidRPr="0053519A">
        <w:instrText xml:space="preserve"> REF AG12022014 \h  \* MERGEFORMAT </w:instrText>
      </w:r>
      <w:r w:rsidRPr="0053519A">
        <w:fldChar w:fldCharType="separate"/>
      </w:r>
      <w:r w:rsidRPr="0053519A" w:rsidR="0053519A">
        <w:t>11</w:t>
      </w:r>
      <w:r w:rsidRPr="0053519A">
        <w:fldChar w:fldCharType="end"/>
      </w:r>
      <w:r w:rsidRPr="0053519A">
        <w:t xml:space="preserve"> ci-dessus) au motif qu</w:t>
      </w:r>
      <w:r w:rsidRPr="0053519A" w:rsidR="0053519A">
        <w:t>’</w:t>
      </w:r>
      <w:r w:rsidRPr="0053519A">
        <w:t>aucune voie de recours effective n</w:t>
      </w:r>
      <w:r w:rsidRPr="0053519A" w:rsidR="0053519A">
        <w:t>’</w:t>
      </w:r>
      <w:r w:rsidRPr="0053519A">
        <w:t>était disponible en droit interne. Selon le Gouvernement, l</w:t>
      </w:r>
      <w:r w:rsidRPr="0053519A" w:rsidR="0053519A">
        <w:t>’</w:t>
      </w:r>
      <w:r w:rsidRPr="0053519A">
        <w:t>intéressée aurait dû contester les décisions litigieuses devant le Conseil d</w:t>
      </w:r>
      <w:r w:rsidRPr="0053519A" w:rsidR="0053519A">
        <w:t>’</w:t>
      </w:r>
      <w:r w:rsidRPr="0053519A">
        <w:t>État ou devant les juridictions civiles (paragraphe</w:t>
      </w:r>
      <w:r w:rsidRPr="0053519A" w:rsidR="00180F62">
        <w:t> </w:t>
      </w:r>
      <w:r w:rsidRPr="0053519A">
        <w:fldChar w:fldCharType="begin"/>
      </w:r>
      <w:r w:rsidRPr="0053519A">
        <w:instrText xml:space="preserve"> REF exceptionGvtNEVRI \h </w:instrText>
      </w:r>
      <w:r w:rsidRPr="0053519A">
        <w:fldChar w:fldCharType="separate"/>
      </w:r>
      <w:r w:rsidRPr="0053519A" w:rsidR="0053519A">
        <w:rPr>
          <w:noProof/>
        </w:rPr>
        <w:t>43</w:t>
      </w:r>
      <w:r w:rsidRPr="0053519A">
        <w:fldChar w:fldCharType="end"/>
      </w:r>
      <w:r w:rsidRPr="0053519A">
        <w:t xml:space="preserve"> ci-dessus).</w:t>
      </w:r>
    </w:p>
    <w:p w:rsidRPr="0053519A" w:rsidR="00601F4E" w:rsidP="0053519A" w:rsidRDefault="00601F4E" w14:paraId="4928F499" w14:textId="77777777">
      <w:pPr>
        <w:pStyle w:val="JuPara"/>
      </w:pPr>
      <w:r w:rsidRPr="0053519A">
        <w:fldChar w:fldCharType="begin"/>
      </w:r>
      <w:r w:rsidRPr="0053519A">
        <w:instrText xml:space="preserve"> SEQ level0 \*arabic </w:instrText>
      </w:r>
      <w:r w:rsidRPr="0053519A">
        <w:fldChar w:fldCharType="separate"/>
      </w:r>
      <w:r w:rsidRPr="0053519A" w:rsidR="0053519A">
        <w:rPr>
          <w:noProof/>
        </w:rPr>
        <w:t>59</w:t>
      </w:r>
      <w:r w:rsidRPr="0053519A">
        <w:fldChar w:fldCharType="end"/>
      </w:r>
      <w:r w:rsidRPr="0053519A">
        <w:t>.  Les parties sont en désaccord sur l</w:t>
      </w:r>
      <w:r w:rsidRPr="0053519A" w:rsidR="0053519A">
        <w:t>’</w:t>
      </w:r>
      <w:r w:rsidRPr="0053519A">
        <w:t>applicabilité de l</w:t>
      </w:r>
      <w:r w:rsidRPr="0053519A" w:rsidR="0053519A">
        <w:t>’</w:t>
      </w:r>
      <w:r w:rsidRPr="0053519A">
        <w:t>article 259</w:t>
      </w:r>
      <w:r w:rsidRPr="0053519A">
        <w:rPr>
          <w:i/>
          <w:iCs/>
        </w:rPr>
        <w:t>bis</w:t>
      </w:r>
      <w:r w:rsidRPr="0053519A">
        <w:t>-3 §</w:t>
      </w:r>
      <w:r w:rsidRPr="0053519A" w:rsidR="00297752">
        <w:t> </w:t>
      </w:r>
      <w:r w:rsidRPr="0053519A">
        <w:t>4 du code judiciaire aux mesures litigieuses. Il n</w:t>
      </w:r>
      <w:r w:rsidRPr="0053519A" w:rsidR="0053519A">
        <w:t>’</w:t>
      </w:r>
      <w:r w:rsidRPr="0053519A">
        <w:t>appartient pas à la Cour de se prononcer sur cette question (paragraphe </w:t>
      </w:r>
      <w:r w:rsidRPr="0053519A">
        <w:fldChar w:fldCharType="begin"/>
      </w:r>
      <w:r w:rsidRPr="0053519A">
        <w:instrText xml:space="preserve"> REF allegGvtapplicabilite \h </w:instrText>
      </w:r>
      <w:r w:rsidRPr="0053519A">
        <w:fldChar w:fldCharType="separate"/>
      </w:r>
      <w:r w:rsidRPr="0053519A" w:rsidR="0053519A">
        <w:rPr>
          <w:noProof/>
        </w:rPr>
        <w:t>39</w:t>
      </w:r>
      <w:r w:rsidRPr="0053519A">
        <w:fldChar w:fldCharType="end"/>
      </w:r>
      <w:r w:rsidRPr="0053519A">
        <w:t xml:space="preserve"> ci-dessus). Il lui suffit de vérifier si les recours indiqués par le Gouvernement existaient, en théorie et en pratique.</w:t>
      </w:r>
    </w:p>
    <w:p w:rsidRPr="0053519A" w:rsidR="00601F4E" w:rsidP="0053519A" w:rsidRDefault="00601F4E" w14:paraId="433C64AD" w14:textId="77777777">
      <w:pPr>
        <w:pStyle w:val="JuPara"/>
      </w:pPr>
      <w:r w:rsidRPr="0053519A">
        <w:fldChar w:fldCharType="begin"/>
      </w:r>
      <w:r w:rsidRPr="0053519A">
        <w:instrText xml:space="preserve"> SEQ level0 \*arabic </w:instrText>
      </w:r>
      <w:r w:rsidRPr="0053519A">
        <w:fldChar w:fldCharType="separate"/>
      </w:r>
      <w:r w:rsidRPr="0053519A" w:rsidR="0053519A">
        <w:rPr>
          <w:noProof/>
        </w:rPr>
        <w:t>60</w:t>
      </w:r>
      <w:r w:rsidRPr="0053519A">
        <w:fldChar w:fldCharType="end"/>
      </w:r>
      <w:r w:rsidRPr="0053519A">
        <w:t>.  Elle constate, d</w:t>
      </w:r>
      <w:r w:rsidRPr="0053519A" w:rsidR="0053519A">
        <w:t>’</w:t>
      </w:r>
      <w:r w:rsidRPr="0053519A">
        <w:t>abord, que le texte de l</w:t>
      </w:r>
      <w:r w:rsidRPr="0053519A" w:rsidR="0053519A">
        <w:t>’</w:t>
      </w:r>
      <w:r w:rsidRPr="0053519A">
        <w:t>article 14 § 1 des lois coordonnées sur le Conseil d</w:t>
      </w:r>
      <w:r w:rsidRPr="0053519A" w:rsidR="0053519A">
        <w:t>’</w:t>
      </w:r>
      <w:r w:rsidRPr="0053519A">
        <w:t>État ne permettait pas à la requérante, en tant que membre du CSJ, de saisir la juridiction administrative d</w:t>
      </w:r>
      <w:r w:rsidRPr="0053519A" w:rsidR="0053519A">
        <w:t>’</w:t>
      </w:r>
      <w:r w:rsidRPr="0053519A">
        <w:t>un recours en annulation contre les décisions litigieuses, tel que l</w:t>
      </w:r>
      <w:r w:rsidRPr="0053519A" w:rsidR="0053519A">
        <w:t>’</w:t>
      </w:r>
      <w:r w:rsidRPr="0053519A">
        <w:t>admet le Gouvernement dans ses dernières observations.</w:t>
      </w:r>
    </w:p>
    <w:p w:rsidRPr="0053519A" w:rsidR="00601F4E" w:rsidP="0053519A" w:rsidRDefault="00601F4E" w14:paraId="7EEF2B8B" w14:textId="77777777">
      <w:pPr>
        <w:pStyle w:val="JuPara"/>
      </w:pPr>
      <w:r w:rsidRPr="0053519A">
        <w:fldChar w:fldCharType="begin"/>
      </w:r>
      <w:r w:rsidRPr="0053519A">
        <w:instrText xml:space="preserve"> SEQ level0 \*arabic </w:instrText>
      </w:r>
      <w:r w:rsidRPr="0053519A">
        <w:fldChar w:fldCharType="separate"/>
      </w:r>
      <w:r w:rsidRPr="0053519A" w:rsidR="0053519A">
        <w:rPr>
          <w:noProof/>
        </w:rPr>
        <w:t>61</w:t>
      </w:r>
      <w:r w:rsidRPr="0053519A">
        <w:fldChar w:fldCharType="end"/>
      </w:r>
      <w:r w:rsidRPr="0053519A">
        <w:t>.  Ensuite, en ce qui concerne le pouvoir d</w:t>
      </w:r>
      <w:r w:rsidRPr="0053519A" w:rsidR="0053519A">
        <w:t>’</w:t>
      </w:r>
      <w:r w:rsidRPr="0053519A">
        <w:t xml:space="preserve">injonction du juge judiciaire (paragraphe </w:t>
      </w:r>
      <w:r w:rsidRPr="0053519A">
        <w:fldChar w:fldCharType="begin"/>
      </w:r>
      <w:r w:rsidRPr="0053519A">
        <w:instrText xml:space="preserve"> REF art584CJ \h </w:instrText>
      </w:r>
      <w:r w:rsidRPr="0053519A">
        <w:fldChar w:fldCharType="separate"/>
      </w:r>
      <w:r w:rsidRPr="0053519A" w:rsidR="0053519A">
        <w:rPr>
          <w:noProof/>
        </w:rPr>
        <w:t>25</w:t>
      </w:r>
      <w:r w:rsidRPr="0053519A">
        <w:fldChar w:fldCharType="end"/>
      </w:r>
      <w:r w:rsidRPr="0053519A">
        <w:t xml:space="preserve"> ci-dessus), la Cour note que les affirmations du Gouvernement quant à l</w:t>
      </w:r>
      <w:r w:rsidRPr="0053519A" w:rsidR="0053519A">
        <w:t>’</w:t>
      </w:r>
      <w:r w:rsidRPr="0053519A">
        <w:t>adéquation et l</w:t>
      </w:r>
      <w:r w:rsidRPr="0053519A" w:rsidR="0053519A">
        <w:t>’</w:t>
      </w:r>
      <w:r w:rsidRPr="0053519A">
        <w:t>effectivité de ce recours se fondent sur les principes généraux relatifs au contentieux des droits subjectifs. Le Gouvernement ne précise pas dans quelle mesure ces principes s</w:t>
      </w:r>
      <w:r w:rsidRPr="0053519A" w:rsidR="0053519A">
        <w:t>’</w:t>
      </w:r>
      <w:r w:rsidRPr="0053519A">
        <w:t>appliqueraient à l</w:t>
      </w:r>
      <w:r w:rsidRPr="0053519A" w:rsidR="0053519A">
        <w:t>’</w:t>
      </w:r>
      <w:r w:rsidRPr="0053519A">
        <w:t>égard d</w:t>
      </w:r>
      <w:r w:rsidRPr="0053519A" w:rsidR="0053519A">
        <w:t>’</w:t>
      </w:r>
      <w:r w:rsidRPr="0053519A">
        <w:t>une instance comme le CSJ dont l</w:t>
      </w:r>
      <w:r w:rsidRPr="0053519A" w:rsidR="0053519A">
        <w:t>’</w:t>
      </w:r>
      <w:r w:rsidRPr="0053519A">
        <w:t>indépendance à l</w:t>
      </w:r>
      <w:r w:rsidRPr="0053519A" w:rsidR="0053519A">
        <w:t>’</w:t>
      </w:r>
      <w:r w:rsidRPr="0053519A">
        <w:t>égard des autres pouvoirs, et notamment du pouvoir judiciaire, est constitutionnellement garantie. Le Gouvernement n</w:t>
      </w:r>
      <w:r w:rsidRPr="0053519A" w:rsidR="0053519A">
        <w:t>’</w:t>
      </w:r>
      <w:r w:rsidRPr="0053519A">
        <w:t>a d</w:t>
      </w:r>
      <w:r w:rsidRPr="0053519A" w:rsidR="0053519A">
        <w:t>’</w:t>
      </w:r>
      <w:r w:rsidRPr="0053519A">
        <w:t>ailleurs fourni aucun exemple d</w:t>
      </w:r>
      <w:r w:rsidRPr="0053519A" w:rsidR="0053519A">
        <w:t>’</w:t>
      </w:r>
      <w:r w:rsidRPr="0053519A">
        <w:t>injonction contre le CSJ ou une instance comparable.</w:t>
      </w:r>
    </w:p>
    <w:p w:rsidRPr="0053519A" w:rsidR="00601F4E" w:rsidP="0053519A" w:rsidRDefault="00601F4E" w14:paraId="38666683" w14:textId="77777777">
      <w:pPr>
        <w:pStyle w:val="JuPara"/>
      </w:pPr>
      <w:r w:rsidRPr="0053519A">
        <w:fldChar w:fldCharType="begin"/>
      </w:r>
      <w:r w:rsidRPr="0053519A">
        <w:instrText xml:space="preserve"> SEQ level0 \*arabic </w:instrText>
      </w:r>
      <w:r w:rsidRPr="0053519A">
        <w:fldChar w:fldCharType="separate"/>
      </w:r>
      <w:r w:rsidRPr="0053519A" w:rsidR="0053519A">
        <w:rPr>
          <w:noProof/>
        </w:rPr>
        <w:t>62</w:t>
      </w:r>
      <w:r w:rsidRPr="0053519A">
        <w:fldChar w:fldCharType="end"/>
      </w:r>
      <w:r w:rsidRPr="0053519A">
        <w:t>.  Enfin, en ce qui concerne une action en responsabilité civile, une telle demande n</w:t>
      </w:r>
      <w:r w:rsidRPr="0053519A" w:rsidR="0053519A">
        <w:t>’</w:t>
      </w:r>
      <w:r w:rsidRPr="0053519A">
        <w:t>aurait pas permis au juge d</w:t>
      </w:r>
      <w:r w:rsidRPr="0053519A" w:rsidR="0053519A">
        <w:t>’</w:t>
      </w:r>
      <w:r w:rsidRPr="0053519A">
        <w:t>annuler les mesures de suspension prises à l</w:t>
      </w:r>
      <w:r w:rsidRPr="0053519A" w:rsidR="0053519A">
        <w:t>’</w:t>
      </w:r>
      <w:r w:rsidRPr="0053519A">
        <w:t>égard de la requérante. Si la demande avait été déclarée fondée, un tel recours aurait pu aboutir à l</w:t>
      </w:r>
      <w:r w:rsidRPr="0053519A" w:rsidR="0053519A">
        <w:t>’</w:t>
      </w:r>
      <w:r w:rsidRPr="0053519A">
        <w:t>octroi de dommages et intérêts, mais il n</w:t>
      </w:r>
      <w:r w:rsidRPr="0053519A" w:rsidR="0053519A">
        <w:t>’</w:t>
      </w:r>
      <w:r w:rsidRPr="0053519A">
        <w:t>aurait pas permis à la requérante de reprendre ses fonctions au sein du CSJ. La requérante a d</w:t>
      </w:r>
      <w:r w:rsidRPr="0053519A" w:rsidR="0053519A">
        <w:t>’</w:t>
      </w:r>
      <w:r w:rsidRPr="0053519A">
        <w:t>ailleurs indiqué que la demande qu</w:t>
      </w:r>
      <w:r w:rsidRPr="0053519A" w:rsidR="0053519A">
        <w:t>’</w:t>
      </w:r>
      <w:r w:rsidRPr="0053519A">
        <w:t>elle a introduite le 7 février 2020 ne vise qu</w:t>
      </w:r>
      <w:r w:rsidRPr="0053519A" w:rsidR="0053519A">
        <w:t>’</w:t>
      </w:r>
      <w:r w:rsidRPr="0053519A">
        <w:t>à obtenir réparation du dommage subi dans l</w:t>
      </w:r>
      <w:r w:rsidRPr="0053519A" w:rsidR="0053519A">
        <w:t>’</w:t>
      </w:r>
      <w:r w:rsidRPr="0053519A">
        <w:t xml:space="preserve">éventualité où la Cour déclarait les présentes requêtes fondées (paragraphe </w:t>
      </w:r>
      <w:r w:rsidRPr="0053519A">
        <w:fldChar w:fldCharType="begin"/>
      </w:r>
      <w:r w:rsidRPr="0053519A">
        <w:instrText xml:space="preserve"> REF OBSRjudiciaire \h  \* MERGEFORMAT </w:instrText>
      </w:r>
      <w:r w:rsidRPr="0053519A">
        <w:fldChar w:fldCharType="separate"/>
      </w:r>
      <w:r w:rsidRPr="0053519A" w:rsidR="0053519A">
        <w:t>50</w:t>
      </w:r>
      <w:r w:rsidRPr="0053519A">
        <w:fldChar w:fldCharType="end"/>
      </w:r>
      <w:r w:rsidRPr="0053519A">
        <w:t xml:space="preserve"> ci-dessus). De l</w:t>
      </w:r>
      <w:r w:rsidRPr="0053519A" w:rsidR="0053519A">
        <w:t>’</w:t>
      </w:r>
      <w:r w:rsidRPr="0053519A">
        <w:t>avis de la Cour, le seul type de recours adéquat, dans une situation telle que celle de l</w:t>
      </w:r>
      <w:r w:rsidRPr="0053519A" w:rsidR="0053519A">
        <w:t>’</w:t>
      </w:r>
      <w:r w:rsidRPr="0053519A">
        <w:t>espèce, est un recours qui pourrait conduire à l</w:t>
      </w:r>
      <w:r w:rsidRPr="0053519A" w:rsidR="0053519A">
        <w:t>’</w:t>
      </w:r>
      <w:r w:rsidRPr="0053519A">
        <w:t>annulation des décisions litigieuses et au rétablissement de la requérante dans son droit d</w:t>
      </w:r>
      <w:r w:rsidRPr="0053519A" w:rsidR="0053519A">
        <w:t>’</w:t>
      </w:r>
      <w:r w:rsidRPr="0053519A">
        <w:t>exercer ses fonctions au sein du CSJ si l</w:t>
      </w:r>
      <w:r w:rsidRPr="0053519A" w:rsidR="0053519A">
        <w:t>’</w:t>
      </w:r>
      <w:r w:rsidRPr="0053519A">
        <w:t xml:space="preserve">illégalité de la suspension était constatée (voir, </w:t>
      </w:r>
      <w:r w:rsidRPr="0053519A">
        <w:rPr>
          <w:i/>
        </w:rPr>
        <w:t>mutatis mutandis</w:t>
      </w:r>
      <w:r w:rsidRPr="0053519A">
        <w:t>, en ce qui concerne l</w:t>
      </w:r>
      <w:r w:rsidRPr="0053519A" w:rsidR="0053519A">
        <w:t>’</w:t>
      </w:r>
      <w:r w:rsidRPr="0053519A">
        <w:t>effectivité d</w:t>
      </w:r>
      <w:r w:rsidRPr="0053519A" w:rsidR="0053519A">
        <w:t>’</w:t>
      </w:r>
      <w:r w:rsidRPr="0053519A">
        <w:t>un recours en cas de cessation prématurée d</w:t>
      </w:r>
      <w:r w:rsidRPr="0053519A" w:rsidR="0053519A">
        <w:t>’</w:t>
      </w:r>
      <w:r w:rsidRPr="0053519A">
        <w:t xml:space="preserve">un mandat électif, </w:t>
      </w:r>
      <w:proofErr w:type="spellStart"/>
      <w:r w:rsidRPr="0053519A">
        <w:rPr>
          <w:i/>
        </w:rPr>
        <w:t>Paunović</w:t>
      </w:r>
      <w:proofErr w:type="spellEnd"/>
      <w:r w:rsidRPr="0053519A">
        <w:rPr>
          <w:i/>
        </w:rPr>
        <w:t xml:space="preserve"> et </w:t>
      </w:r>
      <w:proofErr w:type="spellStart"/>
      <w:r w:rsidRPr="0053519A">
        <w:rPr>
          <w:i/>
        </w:rPr>
        <w:t>Milivojević</w:t>
      </w:r>
      <w:proofErr w:type="spellEnd"/>
      <w:r w:rsidRPr="0053519A">
        <w:t xml:space="preserve"> </w:t>
      </w:r>
      <w:r w:rsidRPr="0053519A">
        <w:rPr>
          <w:i/>
        </w:rPr>
        <w:t>c.</w:t>
      </w:r>
      <w:r w:rsidRPr="0053519A" w:rsidR="00180F62">
        <w:rPr>
          <w:i/>
        </w:rPr>
        <w:t> </w:t>
      </w:r>
      <w:r w:rsidRPr="0053519A">
        <w:rPr>
          <w:i/>
        </w:rPr>
        <w:t>Serbie</w:t>
      </w:r>
      <w:r w:rsidRPr="0053519A">
        <w:t>, n</w:t>
      </w:r>
      <w:r w:rsidRPr="0053519A">
        <w:rPr>
          <w:vertAlign w:val="superscript"/>
        </w:rPr>
        <w:t>o</w:t>
      </w:r>
      <w:r w:rsidRPr="0053519A">
        <w:t xml:space="preserve"> 41683/06, § 48, 24 mai 2016, et </w:t>
      </w:r>
      <w:r w:rsidRPr="0053519A">
        <w:rPr>
          <w:i/>
        </w:rPr>
        <w:t>G.K. c.</w:t>
      </w:r>
      <w:r w:rsidRPr="0053519A" w:rsidR="00180F62">
        <w:rPr>
          <w:i/>
        </w:rPr>
        <w:t> </w:t>
      </w:r>
      <w:r w:rsidRPr="0053519A">
        <w:rPr>
          <w:i/>
        </w:rPr>
        <w:t>Belgique</w:t>
      </w:r>
      <w:r w:rsidRPr="0053519A">
        <w:t>, n</w:t>
      </w:r>
      <w:r w:rsidRPr="0053519A">
        <w:rPr>
          <w:vertAlign w:val="superscript"/>
        </w:rPr>
        <w:t>o</w:t>
      </w:r>
      <w:r w:rsidRPr="0053519A" w:rsidR="00180F62">
        <w:t> </w:t>
      </w:r>
      <w:r w:rsidRPr="0053519A">
        <w:t>58302/10, §§ 39-40, 21</w:t>
      </w:r>
      <w:r w:rsidRPr="0053519A" w:rsidR="00297752">
        <w:t> </w:t>
      </w:r>
      <w:r w:rsidRPr="0053519A">
        <w:t>mai 2019). Une action en responsabilité civile n</w:t>
      </w:r>
      <w:r w:rsidRPr="0053519A" w:rsidR="0053519A">
        <w:t>’</w:t>
      </w:r>
      <w:r w:rsidRPr="0053519A">
        <w:t>est donc pas un recours adéquat en l</w:t>
      </w:r>
      <w:r w:rsidRPr="0053519A" w:rsidR="0053519A">
        <w:t>’</w:t>
      </w:r>
      <w:r w:rsidRPr="0053519A">
        <w:t>espèce.</w:t>
      </w:r>
    </w:p>
    <w:p w:rsidRPr="0053519A" w:rsidR="00601F4E" w:rsidP="0053519A" w:rsidRDefault="00601F4E" w14:paraId="4B778289" w14:textId="77777777">
      <w:pPr>
        <w:pStyle w:val="JuPara"/>
      </w:pPr>
      <w:r w:rsidRPr="0053519A">
        <w:fldChar w:fldCharType="begin"/>
      </w:r>
      <w:r w:rsidRPr="0053519A">
        <w:instrText xml:space="preserve"> SEQ level0 \*arabic </w:instrText>
      </w:r>
      <w:r w:rsidRPr="0053519A">
        <w:fldChar w:fldCharType="separate"/>
      </w:r>
      <w:r w:rsidRPr="0053519A" w:rsidR="0053519A">
        <w:rPr>
          <w:noProof/>
        </w:rPr>
        <w:t>63</w:t>
      </w:r>
      <w:r w:rsidRPr="0053519A">
        <w:fldChar w:fldCharType="end"/>
      </w:r>
      <w:r w:rsidRPr="0053519A">
        <w:t>.  </w:t>
      </w:r>
      <w:bookmarkEnd w:id="37"/>
      <w:r w:rsidRPr="0053519A">
        <w:t>Dans ces conditions, la Cour considère que le Gouvernement n</w:t>
      </w:r>
      <w:r w:rsidRPr="0053519A" w:rsidR="0053519A">
        <w:t>’</w:t>
      </w:r>
      <w:r w:rsidRPr="0053519A">
        <w:t>a pas démontré l</w:t>
      </w:r>
      <w:r w:rsidRPr="0053519A" w:rsidR="0053519A">
        <w:t>’</w:t>
      </w:r>
      <w:r w:rsidRPr="0053519A">
        <w:t>existence d</w:t>
      </w:r>
      <w:r w:rsidRPr="0053519A" w:rsidR="0053519A">
        <w:t>’</w:t>
      </w:r>
      <w:r w:rsidRPr="0053519A">
        <w:t>une quelconque voie de recours qui aurait pu permettre à la requérante de faire contrôler, par la voie judiciaire, la décision de suspension de ses fonctions au sein du CSJ et d</w:t>
      </w:r>
      <w:r w:rsidRPr="0053519A" w:rsidR="0053519A">
        <w:t>’</w:t>
      </w:r>
      <w:r w:rsidRPr="0053519A">
        <w:t>obtenir l</w:t>
      </w:r>
      <w:r w:rsidRPr="0053519A" w:rsidR="0053519A">
        <w:t>’</w:t>
      </w:r>
      <w:r w:rsidRPr="0053519A">
        <w:t>annulation ou la suspension de l</w:t>
      </w:r>
      <w:r w:rsidRPr="0053519A" w:rsidR="0053519A">
        <w:t>’</w:t>
      </w:r>
      <w:r w:rsidRPr="0053519A">
        <w:t>exécution de cette décision. Elle rejette par conséquent l</w:t>
      </w:r>
      <w:r w:rsidRPr="0053519A" w:rsidR="0053519A">
        <w:t>’</w:t>
      </w:r>
      <w:r w:rsidRPr="0053519A">
        <w:t>exception de</w:t>
      </w:r>
      <w:r w:rsidRPr="0053519A">
        <w:rPr>
          <w:rFonts w:cstheme="minorHAnsi"/>
          <w:color w:val="000000"/>
        </w:rPr>
        <w:t xml:space="preserve"> non-épuisement des voies de recours internes soulevée par le Gouvernement.</w:t>
      </w:r>
    </w:p>
    <w:p w:rsidRPr="0053519A" w:rsidR="00601F4E" w:rsidP="0053519A" w:rsidRDefault="00601F4E" w14:paraId="42D79E88" w14:textId="77777777">
      <w:pPr>
        <w:pStyle w:val="JuPara"/>
      </w:pPr>
      <w:r w:rsidRPr="0053519A">
        <w:rPr>
          <w:rFonts w:cstheme="minorHAnsi"/>
        </w:rPr>
        <w:fldChar w:fldCharType="begin"/>
      </w:r>
      <w:r w:rsidRPr="0053519A">
        <w:rPr>
          <w:rFonts w:cstheme="minorHAnsi"/>
        </w:rPr>
        <w:instrText xml:space="preserve"> SEQ level0 \*arabic </w:instrText>
      </w:r>
      <w:r w:rsidRPr="0053519A">
        <w:rPr>
          <w:rFonts w:cstheme="minorHAnsi"/>
        </w:rPr>
        <w:fldChar w:fldCharType="separate"/>
      </w:r>
      <w:r w:rsidRPr="0053519A" w:rsidR="0053519A">
        <w:rPr>
          <w:rFonts w:cstheme="minorHAnsi"/>
          <w:noProof/>
        </w:rPr>
        <w:t>64</w:t>
      </w:r>
      <w:r w:rsidRPr="0053519A">
        <w:rPr>
          <w:rFonts w:cstheme="minorHAnsi"/>
        </w:rPr>
        <w:fldChar w:fldCharType="end"/>
      </w:r>
      <w:r w:rsidRPr="0053519A">
        <w:rPr>
          <w:rFonts w:cstheme="minorHAnsi"/>
        </w:rPr>
        <w:t>.  Il résulte également de ce qui précède</w:t>
      </w:r>
      <w:r w:rsidRPr="0053519A">
        <w:rPr>
          <w:rFonts w:cstheme="minorHAnsi"/>
          <w:color w:val="000000"/>
        </w:rPr>
        <w:t xml:space="preserve"> que les décisions litigieuses n</w:t>
      </w:r>
      <w:r w:rsidRPr="0053519A" w:rsidR="0053519A">
        <w:rPr>
          <w:rFonts w:cstheme="minorHAnsi"/>
          <w:color w:val="000000"/>
        </w:rPr>
        <w:t>’</w:t>
      </w:r>
      <w:r w:rsidRPr="0053519A">
        <w:rPr>
          <w:rFonts w:cstheme="minorHAnsi"/>
          <w:color w:val="000000"/>
        </w:rPr>
        <w:t>ont pas été prises par un tribunal ou par un autre organe exerçant des fonctions judiciaires, et qu</w:t>
      </w:r>
      <w:r w:rsidRPr="0053519A" w:rsidR="0053519A">
        <w:rPr>
          <w:rFonts w:cstheme="minorHAnsi"/>
          <w:color w:val="000000"/>
        </w:rPr>
        <w:t>’</w:t>
      </w:r>
      <w:r w:rsidRPr="0053519A">
        <w:rPr>
          <w:rFonts w:cstheme="minorHAnsi"/>
          <w:color w:val="000000"/>
        </w:rPr>
        <w:t>elles ne pouvaient pas être soumises au contrôle d</w:t>
      </w:r>
      <w:r w:rsidRPr="0053519A" w:rsidR="0053519A">
        <w:rPr>
          <w:rFonts w:cstheme="minorHAnsi"/>
          <w:color w:val="000000"/>
        </w:rPr>
        <w:t>’</w:t>
      </w:r>
      <w:r w:rsidRPr="0053519A">
        <w:rPr>
          <w:rFonts w:cstheme="minorHAnsi"/>
          <w:color w:val="000000"/>
        </w:rPr>
        <w:t>un tel organe (voir, </w:t>
      </w:r>
      <w:r w:rsidRPr="0053519A">
        <w:rPr>
          <w:rFonts w:cstheme="minorHAnsi"/>
          <w:i/>
          <w:iCs/>
          <w:color w:val="000000"/>
        </w:rPr>
        <w:t>mutatis mutandis</w:t>
      </w:r>
      <w:r w:rsidRPr="0053519A">
        <w:rPr>
          <w:rFonts w:cstheme="minorHAnsi"/>
          <w:color w:val="000000"/>
        </w:rPr>
        <w:t>, </w:t>
      </w:r>
      <w:r w:rsidRPr="0053519A">
        <w:rPr>
          <w:rFonts w:cstheme="minorHAnsi"/>
          <w:i/>
          <w:iCs/>
          <w:color w:val="000000"/>
        </w:rPr>
        <w:t>Baka</w:t>
      </w:r>
      <w:r w:rsidRPr="0053519A">
        <w:rPr>
          <w:rFonts w:cstheme="minorHAnsi"/>
          <w:color w:val="000000"/>
        </w:rPr>
        <w:t>,</w:t>
      </w:r>
      <w:r w:rsidRPr="0053519A">
        <w:rPr>
          <w:rFonts w:cstheme="minorHAnsi"/>
          <w:i/>
          <w:iCs/>
          <w:color w:val="000000"/>
        </w:rPr>
        <w:t> </w:t>
      </w:r>
      <w:r w:rsidRPr="0053519A">
        <w:rPr>
          <w:rFonts w:cstheme="minorHAnsi"/>
          <w:iCs/>
          <w:color w:val="000000"/>
        </w:rPr>
        <w:t>précité</w:t>
      </w:r>
      <w:r w:rsidRPr="0053519A">
        <w:rPr>
          <w:rFonts w:cstheme="minorHAnsi"/>
          <w:color w:val="000000"/>
        </w:rPr>
        <w:t xml:space="preserve">, § 121, et </w:t>
      </w:r>
      <w:proofErr w:type="spellStart"/>
      <w:r w:rsidRPr="0053519A">
        <w:rPr>
          <w:rFonts w:cstheme="minorHAnsi"/>
          <w:i/>
          <w:color w:val="000000"/>
        </w:rPr>
        <w:t>Camelia</w:t>
      </w:r>
      <w:proofErr w:type="spellEnd"/>
      <w:r w:rsidRPr="0053519A">
        <w:rPr>
          <w:rFonts w:cstheme="minorHAnsi"/>
          <w:i/>
          <w:color w:val="000000"/>
        </w:rPr>
        <w:t xml:space="preserve"> Bogdan</w:t>
      </w:r>
      <w:r w:rsidRPr="0053519A">
        <w:rPr>
          <w:rFonts w:cstheme="minorHAnsi"/>
          <w:color w:val="000000"/>
        </w:rPr>
        <w:t xml:space="preserve">, précité, § 74). </w:t>
      </w:r>
      <w:r w:rsidRPr="0053519A">
        <w:t>La requérante a ainsi été privée du droit d</w:t>
      </w:r>
      <w:r w:rsidRPr="0053519A" w:rsidR="0053519A">
        <w:t>’</w:t>
      </w:r>
      <w:r w:rsidRPr="0053519A">
        <w:t>accès à un tribunal pour contester la mesure de suspension de ses fonctions au sein du CSJ.</w:t>
      </w:r>
    </w:p>
    <w:p w:rsidRPr="0053519A" w:rsidR="00601F4E" w:rsidP="0053519A" w:rsidRDefault="00601F4E" w14:paraId="64E99C4C" w14:textId="77777777">
      <w:pPr>
        <w:pStyle w:val="JuPara"/>
      </w:pPr>
      <w:r w:rsidRPr="0053519A">
        <w:fldChar w:fldCharType="begin"/>
      </w:r>
      <w:r w:rsidRPr="0053519A">
        <w:instrText xml:space="preserve"> SEQ level0 \*arabic </w:instrText>
      </w:r>
      <w:r w:rsidRPr="0053519A">
        <w:fldChar w:fldCharType="separate"/>
      </w:r>
      <w:r w:rsidRPr="0053519A" w:rsidR="0053519A">
        <w:rPr>
          <w:noProof/>
        </w:rPr>
        <w:t>65</w:t>
      </w:r>
      <w:r w:rsidRPr="0053519A">
        <w:fldChar w:fldCharType="end"/>
      </w:r>
      <w:r w:rsidRPr="0053519A">
        <w:t>.  Il en découle qu</w:t>
      </w:r>
      <w:r w:rsidRPr="0053519A" w:rsidR="0053519A">
        <w:t>’</w:t>
      </w:r>
      <w:r w:rsidRPr="0053519A">
        <w:t>il a été porté atteinte à la substance même du droit de la requérante d</w:t>
      </w:r>
      <w:r w:rsidRPr="0053519A" w:rsidR="0053519A">
        <w:t>’</w:t>
      </w:r>
      <w:r w:rsidRPr="0053519A">
        <w:t>accéder à un tribunal.</w:t>
      </w:r>
    </w:p>
    <w:bookmarkStart w:name="violation61" w:id="38"/>
    <w:p w:rsidRPr="0053519A" w:rsidR="00601F4E" w:rsidP="0053519A" w:rsidRDefault="00601F4E" w14:paraId="711E0817" w14:textId="77777777">
      <w:pPr>
        <w:pStyle w:val="JuPara"/>
        <w:rPr>
          <w:rFonts w:cstheme="minorHAnsi"/>
        </w:rPr>
      </w:pPr>
      <w:r w:rsidRPr="0053519A">
        <w:rPr>
          <w:rFonts w:cstheme="minorHAnsi"/>
        </w:rPr>
        <w:fldChar w:fldCharType="begin"/>
      </w:r>
      <w:r w:rsidRPr="0053519A">
        <w:rPr>
          <w:rFonts w:cstheme="minorHAnsi"/>
        </w:rPr>
        <w:instrText xml:space="preserve"> SEQ level0 \*arabic </w:instrText>
      </w:r>
      <w:r w:rsidRPr="0053519A">
        <w:rPr>
          <w:rFonts w:cstheme="minorHAnsi"/>
        </w:rPr>
        <w:fldChar w:fldCharType="separate"/>
      </w:r>
      <w:r w:rsidRPr="0053519A" w:rsidR="0053519A">
        <w:rPr>
          <w:rFonts w:cstheme="minorHAnsi"/>
          <w:noProof/>
        </w:rPr>
        <w:t>66</w:t>
      </w:r>
      <w:r w:rsidRPr="0053519A">
        <w:rPr>
          <w:rFonts w:cstheme="minorHAnsi"/>
        </w:rPr>
        <w:fldChar w:fldCharType="end"/>
      </w:r>
      <w:bookmarkEnd w:id="38"/>
      <w:r w:rsidRPr="0053519A">
        <w:rPr>
          <w:rFonts w:cstheme="minorHAnsi"/>
        </w:rPr>
        <w:t>.  </w:t>
      </w:r>
      <w:bookmarkStart w:name="_Hlk36127749" w:id="39"/>
      <w:r w:rsidRPr="0053519A">
        <w:rPr>
          <w:rFonts w:cstheme="minorHAnsi"/>
        </w:rPr>
        <w:t>Partant, il y a eu violation de l</w:t>
      </w:r>
      <w:r w:rsidRPr="0053519A" w:rsidR="0053519A">
        <w:rPr>
          <w:rFonts w:cstheme="minorHAnsi"/>
        </w:rPr>
        <w:t>’</w:t>
      </w:r>
      <w:r w:rsidRPr="0053519A">
        <w:rPr>
          <w:rFonts w:cstheme="minorHAnsi"/>
        </w:rPr>
        <w:t>article 6 § 1 de la Convention</w:t>
      </w:r>
      <w:bookmarkEnd w:id="39"/>
      <w:r w:rsidRPr="0053519A">
        <w:rPr>
          <w:rFonts w:cstheme="minorHAnsi"/>
        </w:rPr>
        <w:t>.</w:t>
      </w:r>
    </w:p>
    <w:p w:rsidRPr="0053519A" w:rsidR="00601F4E" w:rsidP="0053519A" w:rsidRDefault="00601F4E" w14:paraId="28295D8F" w14:textId="77777777">
      <w:pPr>
        <w:pStyle w:val="JuHIRoman"/>
        <w:numPr>
          <w:ilvl w:val="1"/>
          <w:numId w:val="1"/>
        </w:numPr>
      </w:pPr>
      <w:r w:rsidRPr="0053519A">
        <w:t>Sur LES AUTRES VIOLATIONS ALL</w:t>
      </w:r>
      <w:r w:rsidRPr="0053519A">
        <w:rPr>
          <w:rFonts w:cstheme="majorHAnsi"/>
        </w:rPr>
        <w:t>É</w:t>
      </w:r>
      <w:r w:rsidRPr="0053519A">
        <w:t>GU</w:t>
      </w:r>
      <w:r w:rsidRPr="0053519A">
        <w:rPr>
          <w:rFonts w:cstheme="majorHAnsi"/>
        </w:rPr>
        <w:t>É</w:t>
      </w:r>
      <w:r w:rsidRPr="0053519A">
        <w:t>ES DE L</w:t>
      </w:r>
      <w:r w:rsidRPr="0053519A" w:rsidR="0053519A">
        <w:t>’</w:t>
      </w:r>
      <w:r w:rsidRPr="0053519A">
        <w:t>ARTICLE 6 § 1 DE LA CONVENTION</w:t>
      </w:r>
    </w:p>
    <w:p w:rsidRPr="0053519A" w:rsidR="00601F4E" w:rsidP="0053519A" w:rsidRDefault="00601F4E" w14:paraId="55F6EC86" w14:textId="77777777">
      <w:pPr>
        <w:pStyle w:val="JuPara"/>
      </w:pPr>
      <w:r w:rsidRPr="0053519A">
        <w:fldChar w:fldCharType="begin"/>
      </w:r>
      <w:r w:rsidRPr="0053519A">
        <w:instrText xml:space="preserve"> SEQ level0 \*arabic </w:instrText>
      </w:r>
      <w:r w:rsidRPr="0053519A">
        <w:fldChar w:fldCharType="separate"/>
      </w:r>
      <w:r w:rsidRPr="0053519A" w:rsidR="0053519A">
        <w:rPr>
          <w:noProof/>
        </w:rPr>
        <w:t>67</w:t>
      </w:r>
      <w:r w:rsidRPr="0053519A">
        <w:fldChar w:fldCharType="end"/>
      </w:r>
      <w:r w:rsidRPr="0053519A">
        <w:t>.  La requérante se plaint, également sous l</w:t>
      </w:r>
      <w:r w:rsidRPr="0053519A" w:rsidR="0053519A">
        <w:t>’</w:t>
      </w:r>
      <w:r w:rsidRPr="0053519A">
        <w:t>angle de l</w:t>
      </w:r>
      <w:r w:rsidRPr="0053519A" w:rsidR="0053519A">
        <w:t>’</w:t>
      </w:r>
      <w:r w:rsidRPr="0053519A">
        <w:t>article 6 § 1 de la Convention, du fait que les débats précédant les délibérations de l</w:t>
      </w:r>
      <w:r w:rsidRPr="0053519A" w:rsidR="0053519A">
        <w:t>’</w:t>
      </w:r>
      <w:r w:rsidRPr="0053519A">
        <w:t>assemblée générale du CSJ ont eu lieu à huis clos. Elle se plaint en outre du refus de lui donner accès aux procès-verbaux de l</w:t>
      </w:r>
      <w:r w:rsidRPr="0053519A" w:rsidR="0053519A">
        <w:t>’</w:t>
      </w:r>
      <w:r w:rsidRPr="0053519A">
        <w:t>assemblée générale. Elle allègue que, de ce fait, elle n</w:t>
      </w:r>
      <w:r w:rsidRPr="0053519A" w:rsidR="0053519A">
        <w:t>’</w:t>
      </w:r>
      <w:r w:rsidRPr="0053519A">
        <w:t>a pas pu vérifier si les prescrits légaux et réglementaires avaient été respectés. Elle estime qu</w:t>
      </w:r>
      <w:r w:rsidRPr="0053519A" w:rsidR="0053519A">
        <w:t>’</w:t>
      </w:r>
      <w:r w:rsidRPr="0053519A">
        <w:t>il en découle qu</w:t>
      </w:r>
      <w:r w:rsidRPr="0053519A" w:rsidR="0053519A">
        <w:t>’</w:t>
      </w:r>
      <w:r w:rsidRPr="0053519A">
        <w:t>elle n</w:t>
      </w:r>
      <w:r w:rsidRPr="0053519A" w:rsidR="0053519A">
        <w:t>’</w:t>
      </w:r>
      <w:r w:rsidRPr="0053519A">
        <w:t>a pas disposé d</w:t>
      </w:r>
      <w:r w:rsidRPr="0053519A" w:rsidR="0053519A">
        <w:t>’</w:t>
      </w:r>
      <w:r w:rsidRPr="0053519A">
        <w:t>informations suffisantes afin de préparer sa défense, ce qui constituerait une violation de ses droits de la défense.</w:t>
      </w:r>
    </w:p>
    <w:p w:rsidRPr="0053519A" w:rsidR="00601F4E" w:rsidP="0053519A" w:rsidRDefault="00601F4E" w14:paraId="7CDCA5A5" w14:textId="77777777">
      <w:pPr>
        <w:pStyle w:val="JuPara"/>
      </w:pPr>
      <w:r w:rsidRPr="0053519A">
        <w:fldChar w:fldCharType="begin"/>
      </w:r>
      <w:r w:rsidRPr="0053519A">
        <w:instrText xml:space="preserve"> SEQ level0 \*arabic </w:instrText>
      </w:r>
      <w:r w:rsidRPr="0053519A">
        <w:fldChar w:fldCharType="separate"/>
      </w:r>
      <w:r w:rsidRPr="0053519A" w:rsidR="0053519A">
        <w:rPr>
          <w:noProof/>
        </w:rPr>
        <w:t>68</w:t>
      </w:r>
      <w:r w:rsidRPr="0053519A">
        <w:fldChar w:fldCharType="end"/>
      </w:r>
      <w:r w:rsidRPr="0053519A">
        <w:t>.  Le Gouvernement rappelle le principe du secret du délibéré. Il indique que, dans la mesure où l</w:t>
      </w:r>
      <w:r w:rsidRPr="0053519A" w:rsidR="0053519A">
        <w:t>’</w:t>
      </w:r>
      <w:r w:rsidRPr="0053519A">
        <w:t>assemblée générale du CSJ ne constitue pas une juridiction et que la mesure décidée ne peut pas être qualifiée de décision judiciaire, l</w:t>
      </w:r>
      <w:r w:rsidRPr="0053519A" w:rsidR="0053519A">
        <w:t>’</w:t>
      </w:r>
      <w:r w:rsidRPr="0053519A">
        <w:t>assemblée générale n</w:t>
      </w:r>
      <w:r w:rsidRPr="0053519A" w:rsidR="0053519A">
        <w:t>’</w:t>
      </w:r>
      <w:r w:rsidRPr="0053519A">
        <w:t>avait pas non plus l</w:t>
      </w:r>
      <w:r w:rsidRPr="0053519A" w:rsidR="0053519A">
        <w:t>’</w:t>
      </w:r>
      <w:r w:rsidRPr="0053519A">
        <w:t>obligation d</w:t>
      </w:r>
      <w:r w:rsidRPr="0053519A" w:rsidR="0053519A">
        <w:t>’</w:t>
      </w:r>
      <w:r w:rsidRPr="0053519A">
        <w:t>examiner le dossier ou de rendre sa décision en audience publique. Le Gouvernement remarque en outre que la requérante n</w:t>
      </w:r>
      <w:r w:rsidRPr="0053519A" w:rsidR="0053519A">
        <w:t>’</w:t>
      </w:r>
      <w:r w:rsidRPr="0053519A">
        <w:t>a pas demandé que l</w:t>
      </w:r>
      <w:r w:rsidRPr="0053519A" w:rsidR="0053519A">
        <w:t>’</w:t>
      </w:r>
      <w:r w:rsidRPr="0053519A">
        <w:t>assemblée générale traite le point relatif à la requérante en audience publique. De l</w:t>
      </w:r>
      <w:r w:rsidRPr="0053519A" w:rsidR="0053519A">
        <w:t>’</w:t>
      </w:r>
      <w:r w:rsidRPr="0053519A">
        <w:t>avis du Gouvernement, la procédure dans son ensemble a présenté des garanties suffisantes : la requérante a été entendue, un délibéré a eu lieu et les décisions ont toutes été motivées de manière exhaustive.</w:t>
      </w:r>
    </w:p>
    <w:p w:rsidRPr="0053519A" w:rsidR="00601F4E" w:rsidP="0053519A" w:rsidRDefault="00601F4E" w14:paraId="37CBAA65" w14:textId="77777777">
      <w:pPr>
        <w:pStyle w:val="JuPara"/>
      </w:pPr>
      <w:r w:rsidRPr="0053519A">
        <w:fldChar w:fldCharType="begin"/>
      </w:r>
      <w:r w:rsidRPr="0053519A">
        <w:instrText xml:space="preserve"> SEQ level0 \*arabic </w:instrText>
      </w:r>
      <w:r w:rsidRPr="0053519A">
        <w:fldChar w:fldCharType="separate"/>
      </w:r>
      <w:r w:rsidRPr="0053519A" w:rsidR="0053519A">
        <w:rPr>
          <w:noProof/>
        </w:rPr>
        <w:t>69</w:t>
      </w:r>
      <w:r w:rsidRPr="0053519A">
        <w:fldChar w:fldCharType="end"/>
      </w:r>
      <w:r w:rsidRPr="0053519A">
        <w:t>.  La Cour relève que ces griefs sont intrinsèquement liés à celui qu</w:t>
      </w:r>
      <w:r w:rsidRPr="0053519A" w:rsidR="0053519A">
        <w:t>’</w:t>
      </w:r>
      <w:r w:rsidRPr="0053519A">
        <w:t>elle a examiné ci-dessus et qu</w:t>
      </w:r>
      <w:r w:rsidRPr="0053519A" w:rsidR="0053519A">
        <w:t>’</w:t>
      </w:r>
      <w:r w:rsidRPr="0053519A">
        <w:t>ils doivent donc, eux aussi, être déclarés recevables.</w:t>
      </w:r>
    </w:p>
    <w:p w:rsidRPr="0053519A" w:rsidR="00601F4E" w:rsidP="0053519A" w:rsidRDefault="00601F4E" w14:paraId="1B54BD7C" w14:textId="77777777">
      <w:pPr>
        <w:pStyle w:val="JuPara"/>
      </w:pPr>
      <w:r w:rsidRPr="0053519A">
        <w:fldChar w:fldCharType="begin"/>
      </w:r>
      <w:r w:rsidRPr="0053519A">
        <w:instrText xml:space="preserve"> SEQ level0 \*arabic </w:instrText>
      </w:r>
      <w:r w:rsidRPr="0053519A">
        <w:fldChar w:fldCharType="separate"/>
      </w:r>
      <w:r w:rsidRPr="0053519A" w:rsidR="0053519A">
        <w:rPr>
          <w:noProof/>
        </w:rPr>
        <w:t>70</w:t>
      </w:r>
      <w:r w:rsidRPr="0053519A">
        <w:fldChar w:fldCharType="end"/>
      </w:r>
      <w:r w:rsidRPr="0053519A">
        <w:t>.  De l</w:t>
      </w:r>
      <w:r w:rsidRPr="0053519A" w:rsidR="0053519A">
        <w:t>’</w:t>
      </w:r>
      <w:r w:rsidRPr="0053519A">
        <w:t>avis de la Cour, l</w:t>
      </w:r>
      <w:r w:rsidRPr="0053519A" w:rsidR="0053519A">
        <w:t>’</w:t>
      </w:r>
      <w:r w:rsidRPr="0053519A">
        <w:t>absence d</w:t>
      </w:r>
      <w:r w:rsidRPr="0053519A" w:rsidR="0053519A">
        <w:t>’</w:t>
      </w:r>
      <w:r w:rsidRPr="0053519A">
        <w:t>audience publique et le refus de donner accès aux procès-verbaux de l</w:t>
      </w:r>
      <w:r w:rsidRPr="0053519A" w:rsidR="0053519A">
        <w:t>’</w:t>
      </w:r>
      <w:r w:rsidRPr="0053519A">
        <w:t>assemblée générale du CSJ concernent des griefs qui s</w:t>
      </w:r>
      <w:r w:rsidRPr="0053519A" w:rsidR="0053519A">
        <w:t>’</w:t>
      </w:r>
      <w:r w:rsidRPr="0053519A">
        <w:t>ajoutent au grief tiré du fait que le CSJ n</w:t>
      </w:r>
      <w:r w:rsidRPr="0053519A" w:rsidR="0053519A">
        <w:t>’</w:t>
      </w:r>
      <w:r w:rsidRPr="0053519A">
        <w:t>est pas un « tribunal » au sens de l</w:t>
      </w:r>
      <w:r w:rsidRPr="0053519A" w:rsidR="0053519A">
        <w:t>’</w:t>
      </w:r>
      <w:r w:rsidRPr="0053519A">
        <w:t>article 6 § 1 de la Convention et de l</w:t>
      </w:r>
      <w:r w:rsidRPr="0053519A" w:rsidR="0053519A">
        <w:t>’</w:t>
      </w:r>
      <w:r w:rsidRPr="0053519A">
        <w:t>absence d</w:t>
      </w:r>
      <w:r w:rsidRPr="0053519A" w:rsidR="0053519A">
        <w:t>’</w:t>
      </w:r>
      <w:r w:rsidRPr="0053519A">
        <w:t>instance juridictionnelle compétente pour se prononcer sur la suspension de la requérante.</w:t>
      </w:r>
    </w:p>
    <w:p w:rsidRPr="0053519A" w:rsidR="00601F4E" w:rsidP="0053519A" w:rsidRDefault="00601F4E" w14:paraId="1CF5FAE4" w14:textId="77777777">
      <w:pPr>
        <w:pStyle w:val="JuPara"/>
      </w:pPr>
      <w:r w:rsidRPr="0053519A">
        <w:fldChar w:fldCharType="begin"/>
      </w:r>
      <w:r w:rsidRPr="0053519A">
        <w:instrText xml:space="preserve"> SEQ level0 \*arabic </w:instrText>
      </w:r>
      <w:r w:rsidRPr="0053519A">
        <w:fldChar w:fldCharType="separate"/>
      </w:r>
      <w:r w:rsidRPr="0053519A" w:rsidR="0053519A">
        <w:rPr>
          <w:noProof/>
        </w:rPr>
        <w:t>71</w:t>
      </w:r>
      <w:r w:rsidRPr="0053519A">
        <w:fldChar w:fldCharType="end"/>
      </w:r>
      <w:r w:rsidRPr="0053519A">
        <w:t xml:space="preserve">.  Partant, eu égard à sa conclusion concernant le grief principal (paragraphe </w:t>
      </w:r>
      <w:r w:rsidRPr="0053519A">
        <w:fldChar w:fldCharType="begin"/>
      </w:r>
      <w:r w:rsidRPr="0053519A">
        <w:instrText xml:space="preserve"> REF violation61 \h </w:instrText>
      </w:r>
      <w:r w:rsidRPr="0053519A">
        <w:fldChar w:fldCharType="separate"/>
      </w:r>
      <w:r w:rsidRPr="0053519A" w:rsidR="0053519A">
        <w:rPr>
          <w:rFonts w:cstheme="minorHAnsi"/>
          <w:noProof/>
        </w:rPr>
        <w:t>66</w:t>
      </w:r>
      <w:r w:rsidRPr="0053519A">
        <w:fldChar w:fldCharType="end"/>
      </w:r>
      <w:r w:rsidRPr="0053519A">
        <w:t xml:space="preserve"> ci-dessus), la Cour estime qu</w:t>
      </w:r>
      <w:r w:rsidRPr="0053519A" w:rsidR="0053519A">
        <w:t>’</w:t>
      </w:r>
      <w:r w:rsidRPr="0053519A">
        <w:t>il n</w:t>
      </w:r>
      <w:r w:rsidRPr="0053519A" w:rsidR="0053519A">
        <w:t>’</w:t>
      </w:r>
      <w:r w:rsidRPr="0053519A">
        <w:t>y a pas lieu d</w:t>
      </w:r>
      <w:r w:rsidRPr="0053519A" w:rsidR="0053519A">
        <w:t>’</w:t>
      </w:r>
      <w:r w:rsidRPr="0053519A">
        <w:t>examiner séparément ces griefs additionnels.</w:t>
      </w:r>
    </w:p>
    <w:bookmarkEnd w:id="23"/>
    <w:p w:rsidRPr="0053519A" w:rsidR="00601F4E" w:rsidP="0053519A" w:rsidRDefault="00601F4E" w14:paraId="23A6C330" w14:textId="77777777">
      <w:pPr>
        <w:pStyle w:val="JuHIRoman"/>
        <w:numPr>
          <w:ilvl w:val="1"/>
          <w:numId w:val="1"/>
        </w:numPr>
      </w:pPr>
      <w:r w:rsidRPr="0053519A">
        <w:t>SUR L</w:t>
      </w:r>
      <w:r w:rsidRPr="0053519A" w:rsidR="0053519A">
        <w:t>’</w:t>
      </w:r>
      <w:r w:rsidRPr="0053519A">
        <w:t>APPLICATION DE L</w:t>
      </w:r>
      <w:r w:rsidRPr="0053519A" w:rsidR="0053519A">
        <w:t>’</w:t>
      </w:r>
      <w:r w:rsidRPr="0053519A">
        <w:t>ARTICLE 41 DE LA CONVENTION</w:t>
      </w:r>
    </w:p>
    <w:p w:rsidRPr="0053519A" w:rsidR="00601F4E" w:rsidP="0053519A" w:rsidRDefault="00601F4E" w14:paraId="4F9AD16B" w14:textId="77777777">
      <w:pPr>
        <w:pStyle w:val="JuPara"/>
      </w:pPr>
      <w:r w:rsidRPr="0053519A">
        <w:fldChar w:fldCharType="begin"/>
      </w:r>
      <w:r w:rsidRPr="0053519A">
        <w:instrText xml:space="preserve"> SEQ level0 \*arabic </w:instrText>
      </w:r>
      <w:r w:rsidRPr="0053519A">
        <w:fldChar w:fldCharType="separate"/>
      </w:r>
      <w:r w:rsidRPr="0053519A" w:rsidR="0053519A">
        <w:rPr>
          <w:noProof/>
        </w:rPr>
        <w:t>72</w:t>
      </w:r>
      <w:r w:rsidRPr="0053519A">
        <w:fldChar w:fldCharType="end"/>
      </w:r>
      <w:r w:rsidRPr="0053519A">
        <w:t>.  </w:t>
      </w:r>
      <w:bookmarkStart w:name="_Hlk36128236" w:id="40"/>
      <w:r w:rsidRPr="0053519A">
        <w:t>Aux termes de l</w:t>
      </w:r>
      <w:r w:rsidRPr="0053519A" w:rsidR="0053519A">
        <w:t>’</w:t>
      </w:r>
      <w:r w:rsidRPr="0053519A">
        <w:t>article 41 de la Convention :</w:t>
      </w:r>
      <w:bookmarkEnd w:id="40"/>
    </w:p>
    <w:p w:rsidRPr="0053519A" w:rsidR="00601F4E" w:rsidP="0053519A" w:rsidRDefault="00601F4E" w14:paraId="0160CC91" w14:textId="77777777">
      <w:pPr>
        <w:pStyle w:val="JuQuot"/>
      </w:pPr>
      <w:bookmarkStart w:name="_Hlk36128242" w:id="41"/>
      <w:r w:rsidRPr="0053519A">
        <w:t>« Si la Cour déclare qu</w:t>
      </w:r>
      <w:r w:rsidRPr="0053519A" w:rsidR="0053519A">
        <w:t>’</w:t>
      </w:r>
      <w:r w:rsidRPr="0053519A">
        <w:t>il y a eu violation de la Convention ou de ses Protocoles, et si le droit interne de la Haute Partie contractante ne permet d</w:t>
      </w:r>
      <w:r w:rsidRPr="0053519A" w:rsidR="0053519A">
        <w:t>’</w:t>
      </w:r>
      <w:r w:rsidRPr="0053519A">
        <w:t>effacer qu</w:t>
      </w:r>
      <w:r w:rsidRPr="0053519A" w:rsidR="0053519A">
        <w:t>’</w:t>
      </w:r>
      <w:r w:rsidRPr="0053519A">
        <w:t>imparfaitement les conséquences de cette violation, la Cour accorde à la partie lésée, s</w:t>
      </w:r>
      <w:r w:rsidRPr="0053519A" w:rsidR="0053519A">
        <w:t>’</w:t>
      </w:r>
      <w:r w:rsidRPr="0053519A">
        <w:t>il y a lieu, une satisfaction équitable. »</w:t>
      </w:r>
      <w:bookmarkEnd w:id="41"/>
    </w:p>
    <w:p w:rsidRPr="0053519A" w:rsidR="00601F4E" w:rsidP="0053519A" w:rsidRDefault="00601F4E" w14:paraId="79949038" w14:textId="77777777">
      <w:pPr>
        <w:pStyle w:val="JuHA"/>
        <w:numPr>
          <w:ilvl w:val="2"/>
          <w:numId w:val="6"/>
        </w:numPr>
      </w:pPr>
      <w:r w:rsidRPr="0053519A">
        <w:t>Dommage</w:t>
      </w:r>
    </w:p>
    <w:p w:rsidRPr="0053519A" w:rsidR="00601F4E" w:rsidP="0053519A" w:rsidRDefault="00601F4E" w14:paraId="536DA15D" w14:textId="77777777">
      <w:pPr>
        <w:pStyle w:val="JuPara"/>
      </w:pPr>
      <w:r w:rsidRPr="0053519A">
        <w:fldChar w:fldCharType="begin"/>
      </w:r>
      <w:r w:rsidRPr="0053519A">
        <w:instrText xml:space="preserve"> SEQ level0 \*arabic </w:instrText>
      </w:r>
      <w:r w:rsidRPr="0053519A">
        <w:fldChar w:fldCharType="separate"/>
      </w:r>
      <w:r w:rsidRPr="0053519A" w:rsidR="0053519A">
        <w:rPr>
          <w:noProof/>
        </w:rPr>
        <w:t>73</w:t>
      </w:r>
      <w:r w:rsidRPr="0053519A">
        <w:fldChar w:fldCharType="end"/>
      </w:r>
      <w:r w:rsidRPr="0053519A">
        <w:t>.  La requérante demande 342 695,49 euros (EUR) au titre du dommage matériel qu</w:t>
      </w:r>
      <w:r w:rsidRPr="0053519A" w:rsidR="0053519A">
        <w:t>’</w:t>
      </w:r>
      <w:r w:rsidRPr="0053519A">
        <w:t>elle estime avoir subi du fait de ne pas avoir pu exercer ses fonctions du 1</w:t>
      </w:r>
      <w:r w:rsidRPr="0053519A">
        <w:rPr>
          <w:vertAlign w:val="superscript"/>
        </w:rPr>
        <w:t>er</w:t>
      </w:r>
      <w:r w:rsidRPr="0053519A">
        <w:t xml:space="preserve"> février 2014, date à laquelle elle a renoncé à son traitement, au 7 septembre 2016. Cette somme inclut sa perte de salaire, des indemnités de représentation et pour la correction d</w:t>
      </w:r>
      <w:r w:rsidRPr="0053519A" w:rsidR="0053519A">
        <w:t>’</w:t>
      </w:r>
      <w:r w:rsidRPr="0053519A">
        <w:t>examens, les pécules de vacances ainsi que les primes de fin d</w:t>
      </w:r>
      <w:r w:rsidRPr="0053519A" w:rsidR="0053519A">
        <w:t>’</w:t>
      </w:r>
      <w:r w:rsidRPr="0053519A">
        <w:t>année. La requérante demande également 25 000 EUR au titre du préjudice moral.</w:t>
      </w:r>
    </w:p>
    <w:p w:rsidRPr="0053519A" w:rsidR="00601F4E" w:rsidP="0053519A" w:rsidRDefault="00601F4E" w14:paraId="2FD45D41" w14:textId="77777777">
      <w:pPr>
        <w:pStyle w:val="JuPara"/>
      </w:pPr>
      <w:r w:rsidRPr="0053519A">
        <w:fldChar w:fldCharType="begin"/>
      </w:r>
      <w:r w:rsidRPr="0053519A">
        <w:instrText xml:space="preserve"> SEQ level0 \*arabic </w:instrText>
      </w:r>
      <w:r w:rsidRPr="0053519A">
        <w:fldChar w:fldCharType="separate"/>
      </w:r>
      <w:r w:rsidRPr="0053519A" w:rsidR="0053519A">
        <w:rPr>
          <w:noProof/>
        </w:rPr>
        <w:t>74</w:t>
      </w:r>
      <w:r w:rsidRPr="0053519A">
        <w:fldChar w:fldCharType="end"/>
      </w:r>
      <w:r w:rsidRPr="0053519A">
        <w:t>.  Le Gouvernement demande le rejet des demandes. Il fait valoir que la requérante a volontairement renoncé à sa rémunération en tant que membre du CSJ à compter du 1</w:t>
      </w:r>
      <w:r w:rsidRPr="0053519A">
        <w:rPr>
          <w:vertAlign w:val="superscript"/>
        </w:rPr>
        <w:t>er</w:t>
      </w:r>
      <w:r w:rsidRPr="0053519A">
        <w:t xml:space="preserve"> février 2014 et qu</w:t>
      </w:r>
      <w:r w:rsidRPr="0053519A" w:rsidR="0053519A">
        <w:t>’</w:t>
      </w:r>
      <w:r w:rsidRPr="0053519A">
        <w:t>elle a bénéficié de sa pension de retraite pendant la période de sa suspension. C</w:t>
      </w:r>
      <w:r w:rsidRPr="0053519A" w:rsidR="0053519A">
        <w:t>’</w:t>
      </w:r>
      <w:r w:rsidRPr="0053519A">
        <w:t>est ensuite de son plein gré que la requérante a démissionné de ses fonctions le 30</w:t>
      </w:r>
      <w:r w:rsidRPr="0053519A" w:rsidR="00180F62">
        <w:t> </w:t>
      </w:r>
      <w:r w:rsidRPr="0053519A">
        <w:t>mars 2015.</w:t>
      </w:r>
    </w:p>
    <w:p w:rsidRPr="0053519A" w:rsidR="00601F4E" w:rsidP="0053519A" w:rsidRDefault="00601F4E" w14:paraId="010A52BF" w14:textId="77777777">
      <w:pPr>
        <w:pStyle w:val="JuPara"/>
      </w:pPr>
      <w:r w:rsidRPr="0053519A">
        <w:fldChar w:fldCharType="begin"/>
      </w:r>
      <w:r w:rsidRPr="0053519A">
        <w:instrText xml:space="preserve"> SEQ level0 \*arabic </w:instrText>
      </w:r>
      <w:r w:rsidRPr="0053519A">
        <w:fldChar w:fldCharType="separate"/>
      </w:r>
      <w:r w:rsidRPr="0053519A" w:rsidR="0053519A">
        <w:rPr>
          <w:noProof/>
        </w:rPr>
        <w:t>75</w:t>
      </w:r>
      <w:r w:rsidRPr="0053519A">
        <w:fldChar w:fldCharType="end"/>
      </w:r>
      <w:r w:rsidRPr="0053519A">
        <w:t>.  La Cour constate que la requérante a continué à percevoir son traitement et ses indemnités pendant sa suspension jusqu</w:t>
      </w:r>
      <w:r w:rsidRPr="0053519A" w:rsidR="0053519A">
        <w:t>’</w:t>
      </w:r>
      <w:r w:rsidRPr="0053519A">
        <w:t>à ce qu</w:t>
      </w:r>
      <w:r w:rsidRPr="0053519A" w:rsidR="0053519A">
        <w:t>’</w:t>
      </w:r>
      <w:r w:rsidRPr="0053519A">
        <w:t>elle décide d</w:t>
      </w:r>
      <w:r w:rsidRPr="0053519A" w:rsidR="0053519A">
        <w:t>’</w:t>
      </w:r>
      <w:r w:rsidRPr="0053519A">
        <w:t>y renoncer volontairement à partir du 1</w:t>
      </w:r>
      <w:r w:rsidRPr="0053519A">
        <w:rPr>
          <w:vertAlign w:val="superscript"/>
        </w:rPr>
        <w:t>er</w:t>
      </w:r>
      <w:r w:rsidRPr="0053519A">
        <w:t xml:space="preserve"> février 2014. Elle a ensuite présenté sa démission de son plein gré. Dès lors, même à supposer que le préjudice matériel allégué puisse être considéré comme découlant directement de la violation constatée </w:t>
      </w:r>
      <w:r w:rsidRPr="0053519A">
        <w:rPr>
          <w:rFonts w:cstheme="minorHAnsi"/>
        </w:rPr>
        <w:t>(</w:t>
      </w:r>
      <w:proofErr w:type="spellStart"/>
      <w:r w:rsidRPr="0053519A">
        <w:rPr>
          <w:rFonts w:cstheme="minorHAnsi"/>
          <w:i/>
          <w:iCs/>
          <w:color w:val="000000"/>
        </w:rPr>
        <w:t>Andrejeva</w:t>
      </w:r>
      <w:proofErr w:type="spellEnd"/>
      <w:r w:rsidRPr="0053519A">
        <w:rPr>
          <w:rFonts w:cstheme="minorHAnsi"/>
          <w:i/>
          <w:iCs/>
          <w:color w:val="000000"/>
        </w:rPr>
        <w:t xml:space="preserve"> c.</w:t>
      </w:r>
      <w:r w:rsidRPr="0053519A" w:rsidR="00180F62">
        <w:rPr>
          <w:rFonts w:cstheme="minorHAnsi"/>
          <w:i/>
          <w:iCs/>
          <w:color w:val="000000"/>
        </w:rPr>
        <w:t> </w:t>
      </w:r>
      <w:r w:rsidRPr="0053519A">
        <w:rPr>
          <w:rFonts w:cstheme="minorHAnsi"/>
          <w:i/>
          <w:iCs/>
          <w:color w:val="000000"/>
        </w:rPr>
        <w:t>Lettonie</w:t>
      </w:r>
      <w:r w:rsidRPr="0053519A">
        <w:rPr>
          <w:rFonts w:cstheme="minorHAnsi"/>
          <w:color w:val="000000"/>
        </w:rPr>
        <w:t> [GC], n</w:t>
      </w:r>
      <w:r w:rsidRPr="0053519A">
        <w:rPr>
          <w:rFonts w:cstheme="minorHAnsi"/>
          <w:color w:val="000000"/>
          <w:vertAlign w:val="superscript"/>
        </w:rPr>
        <w:t>o</w:t>
      </w:r>
      <w:r w:rsidRPr="0053519A">
        <w:rPr>
          <w:rFonts w:cstheme="minorHAnsi"/>
          <w:color w:val="000000"/>
        </w:rPr>
        <w:t> 55707/00, § 111, CEDH 2009 ; voir également </w:t>
      </w:r>
      <w:r w:rsidRPr="0053519A">
        <w:rPr>
          <w:rFonts w:cstheme="minorHAnsi"/>
          <w:i/>
          <w:iCs/>
          <w:color w:val="000000"/>
        </w:rPr>
        <w:t>Kingsley c.</w:t>
      </w:r>
      <w:r w:rsidRPr="0053519A" w:rsidR="00180F62">
        <w:rPr>
          <w:rFonts w:cstheme="minorHAnsi"/>
          <w:i/>
          <w:iCs/>
          <w:color w:val="000000"/>
        </w:rPr>
        <w:t> </w:t>
      </w:r>
      <w:r w:rsidRPr="0053519A">
        <w:rPr>
          <w:rFonts w:cstheme="minorHAnsi"/>
          <w:i/>
          <w:iCs/>
          <w:color w:val="000000"/>
        </w:rPr>
        <w:t>Royaume</w:t>
      </w:r>
      <w:r w:rsidRPr="0053519A" w:rsidR="00180F62">
        <w:rPr>
          <w:rFonts w:cstheme="minorHAnsi"/>
          <w:i/>
          <w:iCs/>
          <w:color w:val="000000"/>
        </w:rPr>
        <w:noBreakHyphen/>
      </w:r>
      <w:r w:rsidRPr="0053519A">
        <w:rPr>
          <w:rFonts w:cstheme="minorHAnsi"/>
          <w:i/>
          <w:iCs/>
          <w:color w:val="000000"/>
        </w:rPr>
        <w:t>Uni</w:t>
      </w:r>
      <w:r w:rsidRPr="0053519A">
        <w:rPr>
          <w:rFonts w:cstheme="minorHAnsi"/>
          <w:color w:val="000000"/>
        </w:rPr>
        <w:t> [GC], n</w:t>
      </w:r>
      <w:r w:rsidRPr="0053519A">
        <w:rPr>
          <w:rFonts w:cstheme="minorHAnsi"/>
          <w:color w:val="000000"/>
          <w:vertAlign w:val="superscript"/>
        </w:rPr>
        <w:t>o</w:t>
      </w:r>
      <w:r w:rsidRPr="0053519A">
        <w:rPr>
          <w:rFonts w:cstheme="minorHAnsi"/>
          <w:color w:val="000000"/>
        </w:rPr>
        <w:t xml:space="preserve"> 35605/97, § 40, CEDH 2002</w:t>
      </w:r>
      <w:r w:rsidRPr="0053519A">
        <w:rPr>
          <w:rFonts w:cstheme="minorHAnsi"/>
          <w:color w:val="000000"/>
        </w:rPr>
        <w:noBreakHyphen/>
        <w:t>IV, et </w:t>
      </w:r>
      <w:proofErr w:type="spellStart"/>
      <w:r w:rsidRPr="0053519A">
        <w:rPr>
          <w:rFonts w:cstheme="minorHAnsi"/>
          <w:i/>
          <w:iCs/>
          <w:color w:val="000000"/>
        </w:rPr>
        <w:t>Kurić</w:t>
      </w:r>
      <w:proofErr w:type="spellEnd"/>
      <w:r w:rsidRPr="0053519A">
        <w:rPr>
          <w:rFonts w:cstheme="minorHAnsi"/>
          <w:i/>
          <w:iCs/>
          <w:color w:val="000000"/>
        </w:rPr>
        <w:t xml:space="preserve"> et autres c. Slovénie</w:t>
      </w:r>
      <w:r w:rsidRPr="0053519A">
        <w:rPr>
          <w:rFonts w:cstheme="minorHAnsi"/>
          <w:color w:val="000000"/>
        </w:rPr>
        <w:t> (satisfaction équitable) [GC], n</w:t>
      </w:r>
      <w:r w:rsidRPr="0053519A">
        <w:rPr>
          <w:rFonts w:cstheme="minorHAnsi"/>
          <w:color w:val="000000"/>
          <w:vertAlign w:val="superscript"/>
        </w:rPr>
        <w:t>o</w:t>
      </w:r>
      <w:r w:rsidRPr="0053519A">
        <w:rPr>
          <w:rFonts w:cstheme="minorHAnsi"/>
          <w:color w:val="000000"/>
        </w:rPr>
        <w:t> 26828/06, §</w:t>
      </w:r>
      <w:r w:rsidRPr="0053519A" w:rsidR="00180F62">
        <w:rPr>
          <w:rFonts w:cstheme="minorHAnsi"/>
          <w:color w:val="000000"/>
        </w:rPr>
        <w:t> </w:t>
      </w:r>
      <w:r w:rsidRPr="0053519A">
        <w:rPr>
          <w:rFonts w:cstheme="minorHAnsi"/>
          <w:color w:val="000000"/>
        </w:rPr>
        <w:t>81, CEDH</w:t>
      </w:r>
      <w:r w:rsidRPr="0053519A" w:rsidR="00180F62">
        <w:rPr>
          <w:rFonts w:cstheme="minorHAnsi"/>
          <w:color w:val="000000"/>
        </w:rPr>
        <w:t> </w:t>
      </w:r>
      <w:r w:rsidRPr="0053519A">
        <w:rPr>
          <w:rFonts w:cstheme="minorHAnsi"/>
          <w:color w:val="000000"/>
        </w:rPr>
        <w:t>2014)</w:t>
      </w:r>
      <w:r w:rsidRPr="0053519A">
        <w:rPr>
          <w:rFonts w:cstheme="minorHAnsi"/>
        </w:rPr>
        <w:t>, l</w:t>
      </w:r>
      <w:r w:rsidRPr="0053519A">
        <w:t>a Cour estime qu</w:t>
      </w:r>
      <w:r w:rsidRPr="0053519A" w:rsidR="0053519A">
        <w:t>’</w:t>
      </w:r>
      <w:r w:rsidRPr="0053519A">
        <w:t>il n</w:t>
      </w:r>
      <w:r w:rsidRPr="0053519A" w:rsidR="0053519A">
        <w:t>’</w:t>
      </w:r>
      <w:r w:rsidRPr="0053519A">
        <w:t>y a pas lieu d</w:t>
      </w:r>
      <w:r w:rsidRPr="0053519A" w:rsidR="0053519A">
        <w:t>’</w:t>
      </w:r>
      <w:r w:rsidRPr="0053519A">
        <w:t>octroyer une somme à ce titre.</w:t>
      </w:r>
    </w:p>
    <w:p w:rsidRPr="0053519A" w:rsidR="00601F4E" w:rsidP="0053519A" w:rsidRDefault="00601F4E" w14:paraId="04150B7C" w14:textId="77777777">
      <w:pPr>
        <w:pStyle w:val="JuPara"/>
      </w:pPr>
      <w:r w:rsidRPr="0053519A">
        <w:fldChar w:fldCharType="begin"/>
      </w:r>
      <w:r w:rsidRPr="0053519A">
        <w:instrText xml:space="preserve"> SEQ level0 \*arabic </w:instrText>
      </w:r>
      <w:r w:rsidRPr="0053519A">
        <w:fldChar w:fldCharType="separate"/>
      </w:r>
      <w:r w:rsidRPr="0053519A" w:rsidR="0053519A">
        <w:rPr>
          <w:noProof/>
        </w:rPr>
        <w:t>76</w:t>
      </w:r>
      <w:r w:rsidRPr="0053519A">
        <w:fldChar w:fldCharType="end"/>
      </w:r>
      <w:r w:rsidRPr="0053519A">
        <w:t>.</w:t>
      </w:r>
      <w:r w:rsidRPr="0053519A" w:rsidR="00180F62">
        <w:t>  </w:t>
      </w:r>
      <w:r w:rsidRPr="0053519A">
        <w:t>Elle estime toutefois, à la lumière des circonstances de l</w:t>
      </w:r>
      <w:r w:rsidRPr="0053519A" w:rsidR="0053519A">
        <w:t>’</w:t>
      </w:r>
      <w:r w:rsidRPr="0053519A">
        <w:t>espèce, que l</w:t>
      </w:r>
      <w:r w:rsidRPr="0053519A" w:rsidR="0053519A">
        <w:t>’</w:t>
      </w:r>
      <w:r w:rsidRPr="0053519A">
        <w:t>absence d</w:t>
      </w:r>
      <w:r w:rsidRPr="0053519A" w:rsidR="0053519A">
        <w:t>’</w:t>
      </w:r>
      <w:r w:rsidRPr="0053519A">
        <w:t>accès à un tribunal a causé à la requérante un tort moral auquel le constat de violation figurant dans le présent arrêt ne suffit pas à remédier. Statuant en équité, comme le veut l</w:t>
      </w:r>
      <w:r w:rsidRPr="0053519A" w:rsidR="0053519A">
        <w:t>’</w:t>
      </w:r>
      <w:r w:rsidRPr="0053519A">
        <w:t>article 41 de la Convention, la Cour lui alloue la somme de 12 000 EUR à ce titre.</w:t>
      </w:r>
    </w:p>
    <w:p w:rsidRPr="0053519A" w:rsidR="00601F4E" w:rsidP="0053519A" w:rsidRDefault="00601F4E" w14:paraId="366639F6" w14:textId="77777777">
      <w:pPr>
        <w:pStyle w:val="JuHA"/>
        <w:numPr>
          <w:ilvl w:val="2"/>
          <w:numId w:val="6"/>
        </w:numPr>
      </w:pPr>
      <w:r w:rsidRPr="0053519A">
        <w:t>Frais et dépens</w:t>
      </w:r>
    </w:p>
    <w:p w:rsidRPr="0053519A" w:rsidR="00601F4E" w:rsidP="0053519A" w:rsidRDefault="00601F4E" w14:paraId="0ACA7443" w14:textId="77777777">
      <w:pPr>
        <w:pStyle w:val="JuPara"/>
      </w:pPr>
      <w:r w:rsidRPr="0053519A">
        <w:fldChar w:fldCharType="begin"/>
      </w:r>
      <w:r w:rsidRPr="0053519A">
        <w:instrText xml:space="preserve"> SEQ level0 \*arabic </w:instrText>
      </w:r>
      <w:r w:rsidRPr="0053519A">
        <w:fldChar w:fldCharType="separate"/>
      </w:r>
      <w:r w:rsidRPr="0053519A" w:rsidR="0053519A">
        <w:rPr>
          <w:noProof/>
        </w:rPr>
        <w:t>77</w:t>
      </w:r>
      <w:r w:rsidRPr="0053519A">
        <w:fldChar w:fldCharType="end"/>
      </w:r>
      <w:r w:rsidRPr="0053519A">
        <w:t>.  La requérante réclame 25 141,50 EUR au titre des frais et dépens qu</w:t>
      </w:r>
      <w:r w:rsidRPr="0053519A" w:rsidR="0053519A">
        <w:t>’</w:t>
      </w:r>
      <w:r w:rsidRPr="0053519A">
        <w:t>elle a engagés dans le cadre de la procédure interne et de ceux qu</w:t>
      </w:r>
      <w:r w:rsidRPr="0053519A" w:rsidR="0053519A">
        <w:t>’</w:t>
      </w:r>
      <w:r w:rsidRPr="0053519A">
        <w:t>elle a engagés aux fins de la procédure menée devant la Cour.</w:t>
      </w:r>
    </w:p>
    <w:p w:rsidRPr="0053519A" w:rsidR="00601F4E" w:rsidP="0053519A" w:rsidRDefault="00601F4E" w14:paraId="13DAD30F" w14:textId="77777777">
      <w:pPr>
        <w:pStyle w:val="JuPara"/>
      </w:pPr>
      <w:r w:rsidRPr="0053519A">
        <w:fldChar w:fldCharType="begin"/>
      </w:r>
      <w:r w:rsidRPr="0053519A">
        <w:instrText xml:space="preserve"> SEQ level0 \*arabic </w:instrText>
      </w:r>
      <w:r w:rsidRPr="0053519A">
        <w:fldChar w:fldCharType="separate"/>
      </w:r>
      <w:r w:rsidRPr="0053519A" w:rsidR="0053519A">
        <w:rPr>
          <w:noProof/>
        </w:rPr>
        <w:t>78</w:t>
      </w:r>
      <w:r w:rsidRPr="0053519A">
        <w:fldChar w:fldCharType="end"/>
      </w:r>
      <w:r w:rsidRPr="0053519A">
        <w:t>.  Le Gouvernement conteste le montant demandé par la requérante. À titre principal, il soutient que la requérante ne saurait réclamer la totalité des frais et dépens engagés devant les instances internes et devant la Cour, étant donné que la mesure de suspension était légitime et qu</w:t>
      </w:r>
      <w:r w:rsidRPr="0053519A" w:rsidR="0053519A">
        <w:t>’</w:t>
      </w:r>
      <w:r w:rsidRPr="0053519A">
        <w:t>elle avait été prise selon une procédure qui n</w:t>
      </w:r>
      <w:r w:rsidRPr="0053519A" w:rsidR="0053519A">
        <w:t>’</w:t>
      </w:r>
      <w:r w:rsidRPr="0053519A">
        <w:t>était pas atteinte d</w:t>
      </w:r>
      <w:r w:rsidRPr="0053519A" w:rsidR="0053519A">
        <w:t>’</w:t>
      </w:r>
      <w:r w:rsidRPr="0053519A">
        <w:t>une violation du droit à un procès équitable. À titre subsidiaire, il se réfère à la sagesse de la Cour quant au montant à allouer.</w:t>
      </w:r>
    </w:p>
    <w:p w:rsidRPr="0053519A" w:rsidR="00601F4E" w:rsidP="0053519A" w:rsidRDefault="00601F4E" w14:paraId="4CDF9A13" w14:textId="77777777">
      <w:pPr>
        <w:pStyle w:val="JuPara"/>
        <w:rPr>
          <w:rFonts w:cstheme="minorHAnsi"/>
        </w:rPr>
      </w:pPr>
      <w:r w:rsidRPr="0053519A">
        <w:fldChar w:fldCharType="begin"/>
      </w:r>
      <w:r w:rsidRPr="0053519A">
        <w:instrText xml:space="preserve"> SEQ level0 \*arabic </w:instrText>
      </w:r>
      <w:r w:rsidRPr="0053519A">
        <w:fldChar w:fldCharType="separate"/>
      </w:r>
      <w:r w:rsidRPr="0053519A" w:rsidR="0053519A">
        <w:rPr>
          <w:noProof/>
        </w:rPr>
        <w:t>79</w:t>
      </w:r>
      <w:r w:rsidRPr="0053519A">
        <w:fldChar w:fldCharType="end"/>
      </w:r>
      <w:r w:rsidRPr="0053519A">
        <w:t xml:space="preserve">.  Selon la jurisprudence de la Cour, un requérant ne peut obtenir le remboursement de ses frais et dépens que dans la mesure où se trouvent établis leur réalité, leur nécessité et le caractère raisonnable de leur taux. </w:t>
      </w:r>
      <w:r w:rsidRPr="0053519A">
        <w:rPr>
          <w:rFonts w:cstheme="minorHAnsi"/>
          <w:color w:val="000000"/>
        </w:rPr>
        <w:t>En particulier, l</w:t>
      </w:r>
      <w:r w:rsidRPr="0053519A" w:rsidR="0053519A">
        <w:rPr>
          <w:rFonts w:cstheme="minorHAnsi"/>
          <w:color w:val="000000"/>
        </w:rPr>
        <w:t>’</w:t>
      </w:r>
      <w:r w:rsidRPr="0053519A">
        <w:rPr>
          <w:rFonts w:cstheme="minorHAnsi"/>
          <w:color w:val="000000"/>
        </w:rPr>
        <w:t>article 60 § 2 du règlement prévoit que toute prétention présentée au titre de l</w:t>
      </w:r>
      <w:r w:rsidRPr="0053519A" w:rsidR="0053519A">
        <w:rPr>
          <w:rFonts w:cstheme="minorHAnsi"/>
          <w:color w:val="000000"/>
        </w:rPr>
        <w:t>’</w:t>
      </w:r>
      <w:r w:rsidRPr="0053519A">
        <w:rPr>
          <w:rFonts w:cstheme="minorHAnsi"/>
          <w:color w:val="000000"/>
        </w:rPr>
        <w:t>article 41 de la Convention doit être chiffrée, ventilée par rubrique et accompagnée des justificatifs nécessaires, faute de quoi la Cour peut rejeter la demande, en tout ou en partie. En outre, les frais et dépens ne sont recouvrables que dans la mesure où ils se rapportent à la violation constatée (</w:t>
      </w:r>
      <w:proofErr w:type="spellStart"/>
      <w:r w:rsidRPr="0053519A">
        <w:rPr>
          <w:i/>
        </w:rPr>
        <w:t>Vistiņš</w:t>
      </w:r>
      <w:proofErr w:type="spellEnd"/>
      <w:r w:rsidRPr="0053519A">
        <w:rPr>
          <w:i/>
        </w:rPr>
        <w:t xml:space="preserve"> et </w:t>
      </w:r>
      <w:proofErr w:type="spellStart"/>
      <w:r w:rsidRPr="0053519A">
        <w:rPr>
          <w:i/>
        </w:rPr>
        <w:t>Perepjolkins</w:t>
      </w:r>
      <w:proofErr w:type="spellEnd"/>
      <w:r w:rsidRPr="0053519A">
        <w:rPr>
          <w:i/>
        </w:rPr>
        <w:t xml:space="preserve"> c. Lettonie </w:t>
      </w:r>
      <w:r w:rsidRPr="0053519A">
        <w:t>(satisfaction équitable) [GC]</w:t>
      </w:r>
      <w:r w:rsidRPr="0053519A">
        <w:rPr>
          <w:snapToGrid w:val="0"/>
        </w:rPr>
        <w:t>, n</w:t>
      </w:r>
      <w:r w:rsidRPr="0053519A">
        <w:rPr>
          <w:snapToGrid w:val="0"/>
          <w:vertAlign w:val="superscript"/>
        </w:rPr>
        <w:t>o</w:t>
      </w:r>
      <w:r w:rsidRPr="0053519A">
        <w:rPr>
          <w:snapToGrid w:val="0"/>
        </w:rPr>
        <w:t> </w:t>
      </w:r>
      <w:r w:rsidRPr="0053519A">
        <w:t>71243/01</w:t>
      </w:r>
      <w:r w:rsidRPr="0053519A">
        <w:rPr>
          <w:snapToGrid w:val="0"/>
        </w:rPr>
        <w:t xml:space="preserve">, § 50, CEDH 2014, et </w:t>
      </w:r>
      <w:proofErr w:type="spellStart"/>
      <w:r w:rsidRPr="0053519A">
        <w:rPr>
          <w:i/>
          <w:iCs/>
        </w:rPr>
        <w:t>Molla</w:t>
      </w:r>
      <w:proofErr w:type="spellEnd"/>
      <w:r w:rsidRPr="0053519A">
        <w:rPr>
          <w:i/>
          <w:iCs/>
        </w:rPr>
        <w:t xml:space="preserve"> Sali c.</w:t>
      </w:r>
      <w:r w:rsidRPr="0053519A" w:rsidR="00180F62">
        <w:rPr>
          <w:i/>
          <w:iCs/>
        </w:rPr>
        <w:t> </w:t>
      </w:r>
      <w:r w:rsidRPr="0053519A">
        <w:rPr>
          <w:i/>
          <w:iCs/>
        </w:rPr>
        <w:t>Grèce</w:t>
      </w:r>
      <w:r w:rsidRPr="0053519A">
        <w:rPr>
          <w:color w:val="000000"/>
        </w:rPr>
        <w:t xml:space="preserve"> (satisfaction équitable) [GC], </w:t>
      </w:r>
      <w:r w:rsidRPr="0053519A">
        <w:rPr>
          <w:lang w:eastAsia="en-GB"/>
        </w:rPr>
        <w:t>n</w:t>
      </w:r>
      <w:r w:rsidRPr="0053519A">
        <w:rPr>
          <w:vertAlign w:val="superscript"/>
          <w:lang w:eastAsia="en-GB"/>
        </w:rPr>
        <w:t>o</w:t>
      </w:r>
      <w:r w:rsidRPr="0053519A">
        <w:rPr>
          <w:lang w:eastAsia="en-GB"/>
        </w:rPr>
        <w:t xml:space="preserve"> </w:t>
      </w:r>
      <w:r w:rsidRPr="0053519A">
        <w:rPr>
          <w:color w:val="000000"/>
        </w:rPr>
        <w:t xml:space="preserve">20452/14, </w:t>
      </w:r>
      <w:r w:rsidRPr="0053519A">
        <w:t>§ 55, 18 juin 2020</w:t>
      </w:r>
      <w:r w:rsidRPr="0053519A">
        <w:rPr>
          <w:rFonts w:cstheme="minorHAnsi"/>
          <w:color w:val="000000"/>
        </w:rPr>
        <w:t>).</w:t>
      </w:r>
    </w:p>
    <w:p w:rsidRPr="0053519A" w:rsidR="00601F4E" w:rsidP="0053519A" w:rsidRDefault="00601F4E" w14:paraId="3926AA83" w14:textId="77777777">
      <w:pPr>
        <w:pStyle w:val="JuPara"/>
      </w:pPr>
      <w:r w:rsidRPr="0053519A">
        <w:rPr>
          <w:rFonts w:cstheme="minorHAnsi"/>
        </w:rPr>
        <w:fldChar w:fldCharType="begin"/>
      </w:r>
      <w:r w:rsidRPr="0053519A">
        <w:rPr>
          <w:rFonts w:cstheme="minorHAnsi"/>
        </w:rPr>
        <w:instrText xml:space="preserve"> SEQ level0 \*arabic </w:instrText>
      </w:r>
      <w:r w:rsidRPr="0053519A">
        <w:rPr>
          <w:rFonts w:cstheme="minorHAnsi"/>
        </w:rPr>
        <w:fldChar w:fldCharType="separate"/>
      </w:r>
      <w:r w:rsidRPr="0053519A" w:rsidR="0053519A">
        <w:rPr>
          <w:rFonts w:cstheme="minorHAnsi"/>
          <w:noProof/>
        </w:rPr>
        <w:t>80</w:t>
      </w:r>
      <w:r w:rsidRPr="0053519A">
        <w:rPr>
          <w:rFonts w:cstheme="minorHAnsi"/>
        </w:rPr>
        <w:fldChar w:fldCharType="end"/>
      </w:r>
      <w:r w:rsidRPr="0053519A">
        <w:rPr>
          <w:rFonts w:cstheme="minorHAnsi"/>
        </w:rPr>
        <w:t>.  En</w:t>
      </w:r>
      <w:r w:rsidRPr="0053519A">
        <w:t xml:space="preserve"> l</w:t>
      </w:r>
      <w:r w:rsidRPr="0053519A" w:rsidR="0053519A">
        <w:t>’</w:t>
      </w:r>
      <w:r w:rsidRPr="0053519A">
        <w:t>espèce, eu égard au fait que la violation constatée concerne l</w:t>
      </w:r>
      <w:r w:rsidRPr="0053519A" w:rsidR="0053519A">
        <w:t>’</w:t>
      </w:r>
      <w:r w:rsidRPr="0053519A">
        <w:t>absence d</w:t>
      </w:r>
      <w:r w:rsidRPr="0053519A" w:rsidR="0053519A">
        <w:t>’</w:t>
      </w:r>
      <w:r w:rsidRPr="0053519A">
        <w:t>un recours contre la mesure litigieuse et compte tenu des documents en sa possession et des critères susmentionnés, la Cour juge raisonnable d</w:t>
      </w:r>
      <w:r w:rsidRPr="0053519A" w:rsidR="0053519A">
        <w:t>’</w:t>
      </w:r>
      <w:r w:rsidRPr="0053519A">
        <w:t>allouer à la requérante la somme de 5 000 EUR tous frais confondus, plus tout montant pouvant être dû par elle sur cette somme à titre d</w:t>
      </w:r>
      <w:r w:rsidRPr="0053519A" w:rsidR="0053519A">
        <w:t>’</w:t>
      </w:r>
      <w:r w:rsidRPr="0053519A">
        <w:t>impôt.</w:t>
      </w:r>
    </w:p>
    <w:p w:rsidRPr="0053519A" w:rsidR="00601F4E" w:rsidP="0053519A" w:rsidRDefault="00601F4E" w14:paraId="1B6834BD" w14:textId="77777777">
      <w:pPr>
        <w:pStyle w:val="JuHA"/>
        <w:numPr>
          <w:ilvl w:val="2"/>
          <w:numId w:val="6"/>
        </w:numPr>
      </w:pPr>
      <w:r w:rsidRPr="0053519A">
        <w:t>Intérêts moratoires</w:t>
      </w:r>
    </w:p>
    <w:p w:rsidRPr="0053519A" w:rsidR="00601F4E" w:rsidP="0053519A" w:rsidRDefault="00601F4E" w14:paraId="07BC05A3" w14:textId="77777777">
      <w:pPr>
        <w:pStyle w:val="JuPara"/>
      </w:pPr>
      <w:r w:rsidRPr="0053519A">
        <w:fldChar w:fldCharType="begin"/>
      </w:r>
      <w:r w:rsidRPr="0053519A">
        <w:instrText xml:space="preserve"> SEQ level0 \*arabic </w:instrText>
      </w:r>
      <w:r w:rsidRPr="0053519A">
        <w:fldChar w:fldCharType="separate"/>
      </w:r>
      <w:r w:rsidRPr="0053519A" w:rsidR="0053519A">
        <w:rPr>
          <w:noProof/>
        </w:rPr>
        <w:t>81</w:t>
      </w:r>
      <w:r w:rsidRPr="0053519A">
        <w:fldChar w:fldCharType="end"/>
      </w:r>
      <w:r w:rsidRPr="0053519A">
        <w:t>.  La Cour juge approprié de calquer le taux des intérêts moratoires sur le taux d</w:t>
      </w:r>
      <w:r w:rsidRPr="0053519A" w:rsidR="0053519A">
        <w:t>’</w:t>
      </w:r>
      <w:r w:rsidRPr="0053519A">
        <w:t>intérêt de la facilité de prêt marginal de la Banque centrale européenne majoré de trois points de pourcentage.</w:t>
      </w:r>
    </w:p>
    <w:p w:rsidRPr="0053519A" w:rsidR="00601F4E" w:rsidP="0053519A" w:rsidRDefault="00601F4E" w14:paraId="533102EC" w14:textId="1A75C48E">
      <w:pPr>
        <w:pStyle w:val="JuHHead"/>
        <w:numPr>
          <w:ilvl w:val="0"/>
          <w:numId w:val="6"/>
        </w:numPr>
      </w:pPr>
      <w:r w:rsidRPr="0053519A">
        <w:t>PAR CES MOTIFS, LA COUR</w:t>
      </w:r>
    </w:p>
    <w:p w:rsidRPr="0053519A" w:rsidR="00601F4E" w:rsidP="0053519A" w:rsidRDefault="00601F4E" w14:paraId="1A4A073B" w14:textId="77777777">
      <w:pPr>
        <w:pStyle w:val="JuList"/>
        <w:numPr>
          <w:ilvl w:val="0"/>
          <w:numId w:val="7"/>
        </w:numPr>
      </w:pPr>
      <w:r w:rsidRPr="0053519A">
        <w:rPr>
          <w:i/>
        </w:rPr>
        <w:t>Décide</w:t>
      </w:r>
      <w:r w:rsidRPr="0053519A">
        <w:t>, à l</w:t>
      </w:r>
      <w:r w:rsidRPr="0053519A" w:rsidR="0053519A">
        <w:t>’</w:t>
      </w:r>
      <w:r w:rsidRPr="0053519A">
        <w:t>unanimité,</w:t>
      </w:r>
      <w:r w:rsidRPr="0053519A">
        <w:rPr>
          <w:i/>
        </w:rPr>
        <w:t xml:space="preserve"> </w:t>
      </w:r>
      <w:r w:rsidRPr="0053519A">
        <w:t>de joindre les requêtes ;</w:t>
      </w:r>
    </w:p>
    <w:p w:rsidRPr="0053519A" w:rsidR="00601F4E" w:rsidP="0053519A" w:rsidRDefault="00601F4E" w14:paraId="250420B3" w14:textId="77777777">
      <w:pPr>
        <w:pStyle w:val="JuList"/>
        <w:numPr>
          <w:ilvl w:val="0"/>
          <w:numId w:val="7"/>
        </w:numPr>
      </w:pPr>
      <w:r w:rsidRPr="0053519A">
        <w:rPr>
          <w:i/>
        </w:rPr>
        <w:t>Décide</w:t>
      </w:r>
      <w:r w:rsidRPr="0053519A">
        <w:t>, à l</w:t>
      </w:r>
      <w:r w:rsidRPr="0053519A" w:rsidR="0053519A">
        <w:t>’</w:t>
      </w:r>
      <w:r w:rsidRPr="0053519A">
        <w:t>unanimité,</w:t>
      </w:r>
      <w:r w:rsidRPr="0053519A">
        <w:rPr>
          <w:i/>
        </w:rPr>
        <w:t xml:space="preserve"> </w:t>
      </w:r>
      <w:r w:rsidRPr="0053519A">
        <w:t>de joindre au fond l</w:t>
      </w:r>
      <w:r w:rsidRPr="0053519A" w:rsidR="0053519A">
        <w:t>’</w:t>
      </w:r>
      <w:r w:rsidRPr="0053519A">
        <w:t>exception préliminaire concernant l</w:t>
      </w:r>
      <w:r w:rsidRPr="0053519A" w:rsidR="0053519A">
        <w:t>’</w:t>
      </w:r>
      <w:r w:rsidRPr="0053519A">
        <w:t xml:space="preserve">épuisement des voies de recours internes et la </w:t>
      </w:r>
      <w:r w:rsidRPr="0053519A">
        <w:rPr>
          <w:i/>
        </w:rPr>
        <w:t>rejette</w:t>
      </w:r>
      <w:r w:rsidRPr="0053519A">
        <w:t> ;</w:t>
      </w:r>
    </w:p>
    <w:p w:rsidRPr="0053519A" w:rsidR="00601F4E" w:rsidP="0053519A" w:rsidRDefault="00601F4E" w14:paraId="2A674AB2" w14:textId="77777777">
      <w:pPr>
        <w:pStyle w:val="JuList"/>
        <w:numPr>
          <w:ilvl w:val="0"/>
          <w:numId w:val="7"/>
        </w:numPr>
      </w:pPr>
      <w:r w:rsidRPr="0053519A">
        <w:rPr>
          <w:i/>
        </w:rPr>
        <w:t>Déclare</w:t>
      </w:r>
      <w:r w:rsidRPr="0053519A">
        <w:t>, à l</w:t>
      </w:r>
      <w:r w:rsidRPr="0053519A" w:rsidR="0053519A">
        <w:t>’</w:t>
      </w:r>
      <w:r w:rsidRPr="0053519A">
        <w:t>unanimité, les requêtes recevables ;</w:t>
      </w:r>
    </w:p>
    <w:p w:rsidRPr="0053519A" w:rsidR="00601F4E" w:rsidP="0053519A" w:rsidRDefault="00601F4E" w14:paraId="57A95612" w14:textId="77777777">
      <w:pPr>
        <w:pStyle w:val="JuList"/>
        <w:numPr>
          <w:ilvl w:val="0"/>
          <w:numId w:val="7"/>
        </w:numPr>
      </w:pPr>
      <w:r w:rsidRPr="0053519A">
        <w:rPr>
          <w:i/>
        </w:rPr>
        <w:t>Dit</w:t>
      </w:r>
      <w:r w:rsidRPr="0053519A">
        <w:t xml:space="preserve">, par </w:t>
      </w:r>
      <w:r w:rsidRPr="0053519A" w:rsidR="003C17E8">
        <w:t>six</w:t>
      </w:r>
      <w:r w:rsidRPr="0053519A">
        <w:t xml:space="preserve"> voix contre </w:t>
      </w:r>
      <w:r w:rsidRPr="0053519A" w:rsidR="003C17E8">
        <w:t>une</w:t>
      </w:r>
      <w:r w:rsidRPr="0053519A">
        <w:t>, qu</w:t>
      </w:r>
      <w:r w:rsidRPr="0053519A" w:rsidR="0053519A">
        <w:t>’</w:t>
      </w:r>
      <w:r w:rsidRPr="0053519A">
        <w:t>il y a eu violation de l</w:t>
      </w:r>
      <w:r w:rsidRPr="0053519A" w:rsidR="0053519A">
        <w:t>’</w:t>
      </w:r>
      <w:r w:rsidRPr="0053519A">
        <w:t>article 6 § 1 de la Convention en tant qu</w:t>
      </w:r>
      <w:r w:rsidRPr="0053519A" w:rsidR="0053519A">
        <w:t>’</w:t>
      </w:r>
      <w:r w:rsidRPr="0053519A">
        <w:t>il garantit le droit d</w:t>
      </w:r>
      <w:r w:rsidRPr="0053519A" w:rsidR="0053519A">
        <w:t>’</w:t>
      </w:r>
      <w:r w:rsidRPr="0053519A">
        <w:t>accès à un tribunal</w:t>
      </w:r>
      <w:r w:rsidRPr="0053519A" w:rsidR="003C17E8">
        <w:t> </w:t>
      </w:r>
      <w:r w:rsidRPr="0053519A">
        <w:t>;</w:t>
      </w:r>
    </w:p>
    <w:p w:rsidRPr="0053519A" w:rsidR="00601F4E" w:rsidP="0053519A" w:rsidRDefault="00601F4E" w14:paraId="1657CE5A" w14:textId="77777777">
      <w:pPr>
        <w:pStyle w:val="JuList"/>
        <w:numPr>
          <w:ilvl w:val="0"/>
          <w:numId w:val="7"/>
        </w:numPr>
      </w:pPr>
      <w:r w:rsidRPr="0053519A">
        <w:rPr>
          <w:i/>
        </w:rPr>
        <w:t>Dit</w:t>
      </w:r>
      <w:r w:rsidRPr="0053519A" w:rsidR="003C17E8">
        <w:t xml:space="preserve">, </w:t>
      </w:r>
      <w:r w:rsidRPr="0053519A">
        <w:t>à l</w:t>
      </w:r>
      <w:r w:rsidRPr="0053519A" w:rsidR="0053519A">
        <w:t>’</w:t>
      </w:r>
      <w:r w:rsidRPr="0053519A">
        <w:t>unanimité, qu</w:t>
      </w:r>
      <w:r w:rsidRPr="0053519A" w:rsidR="0053519A">
        <w:t>’</w:t>
      </w:r>
      <w:r w:rsidRPr="0053519A">
        <w:t>il n</w:t>
      </w:r>
      <w:r w:rsidRPr="0053519A" w:rsidR="0053519A">
        <w:t>’</w:t>
      </w:r>
      <w:r w:rsidRPr="0053519A">
        <w:t>y a pas lieu de se prononcer séparément sur les autres griefs tirés de l</w:t>
      </w:r>
      <w:r w:rsidRPr="0053519A" w:rsidR="0053519A">
        <w:t>’</w:t>
      </w:r>
      <w:r w:rsidRPr="0053519A">
        <w:t>article 6 § 1 de la Convention ;</w:t>
      </w:r>
    </w:p>
    <w:p w:rsidRPr="0053519A" w:rsidR="00601F4E" w:rsidP="0053519A" w:rsidRDefault="00601F4E" w14:paraId="4194160E" w14:textId="77777777">
      <w:pPr>
        <w:pStyle w:val="JuList"/>
        <w:numPr>
          <w:ilvl w:val="0"/>
          <w:numId w:val="7"/>
        </w:numPr>
      </w:pPr>
      <w:r w:rsidRPr="0053519A">
        <w:rPr>
          <w:i/>
        </w:rPr>
        <w:t>Dit</w:t>
      </w:r>
      <w:r w:rsidRPr="0053519A" w:rsidR="003C17E8">
        <w:t>,</w:t>
      </w:r>
      <w:r w:rsidRPr="0053519A">
        <w:t xml:space="preserve"> à l</w:t>
      </w:r>
      <w:r w:rsidRPr="0053519A" w:rsidR="0053519A">
        <w:t>’</w:t>
      </w:r>
      <w:r w:rsidRPr="0053519A">
        <w:t>unanimité,</w:t>
      </w:r>
    </w:p>
    <w:p w:rsidRPr="0053519A" w:rsidR="00601F4E" w:rsidP="0053519A" w:rsidRDefault="00601F4E" w14:paraId="691EFC3D" w14:textId="77777777">
      <w:pPr>
        <w:pStyle w:val="JuLista"/>
        <w:numPr>
          <w:ilvl w:val="1"/>
          <w:numId w:val="7"/>
        </w:numPr>
      </w:pPr>
      <w:proofErr w:type="gramStart"/>
      <w:r w:rsidRPr="0053519A">
        <w:t>que</w:t>
      </w:r>
      <w:proofErr w:type="gramEnd"/>
      <w:r w:rsidRPr="0053519A">
        <w:t xml:space="preserve"> l</w:t>
      </w:r>
      <w:r w:rsidRPr="0053519A" w:rsidR="0053519A">
        <w:t>’</w:t>
      </w:r>
      <w:r w:rsidRPr="0053519A">
        <w:t>État défendeur doit verser à la requérante, dans un délai de trois mois à compter de la date à laquelle l</w:t>
      </w:r>
      <w:r w:rsidRPr="0053519A" w:rsidR="0053519A">
        <w:t>’</w:t>
      </w:r>
      <w:r w:rsidRPr="0053519A">
        <w:t>arrêt sera devenu définitif conformément à l</w:t>
      </w:r>
      <w:r w:rsidRPr="0053519A" w:rsidR="0053519A">
        <w:t>’</w:t>
      </w:r>
      <w:r w:rsidRPr="0053519A">
        <w:t>article 44 § 2 de la Convention, les sommes suivantes :</w:t>
      </w:r>
    </w:p>
    <w:p w:rsidRPr="0053519A" w:rsidR="00601F4E" w:rsidP="0053519A" w:rsidRDefault="00601F4E" w14:paraId="64BF923D" w14:textId="77777777">
      <w:pPr>
        <w:pStyle w:val="JuListi"/>
        <w:numPr>
          <w:ilvl w:val="2"/>
          <w:numId w:val="3"/>
        </w:numPr>
      </w:pPr>
      <w:r w:rsidRPr="0053519A">
        <w:t>12 000 EUR (douze mille euros), plus tout montant pouvant être dû sur cette somme à titre d</w:t>
      </w:r>
      <w:r w:rsidRPr="0053519A" w:rsidR="0053519A">
        <w:t>’</w:t>
      </w:r>
      <w:r w:rsidRPr="0053519A">
        <w:t>impôt, pour dommage moral ;</w:t>
      </w:r>
    </w:p>
    <w:p w:rsidRPr="0053519A" w:rsidR="00601F4E" w:rsidP="0053519A" w:rsidRDefault="00601F4E" w14:paraId="245A2573" w14:textId="77777777">
      <w:pPr>
        <w:pStyle w:val="JuListi"/>
        <w:numPr>
          <w:ilvl w:val="2"/>
          <w:numId w:val="3"/>
        </w:numPr>
      </w:pPr>
      <w:r w:rsidRPr="0053519A">
        <w:t>5 000 EUR (cinq mille euros), plus tout montant pouvant être dû sur cette somme par la requérante à titre d</w:t>
      </w:r>
      <w:r w:rsidRPr="0053519A" w:rsidR="0053519A">
        <w:t>’</w:t>
      </w:r>
      <w:r w:rsidRPr="0053519A">
        <w:t>impôt, pour frais et dépens ;</w:t>
      </w:r>
    </w:p>
    <w:p w:rsidRPr="0053519A" w:rsidR="00601F4E" w:rsidP="0053519A" w:rsidRDefault="00601F4E" w14:paraId="315B66D9" w14:textId="77777777">
      <w:pPr>
        <w:pStyle w:val="JuLista"/>
        <w:numPr>
          <w:ilvl w:val="1"/>
          <w:numId w:val="7"/>
        </w:numPr>
      </w:pPr>
      <w:proofErr w:type="gramStart"/>
      <w:r w:rsidRPr="0053519A">
        <w:t>qu</w:t>
      </w:r>
      <w:r w:rsidRPr="0053519A" w:rsidR="0053519A">
        <w:t>’</w:t>
      </w:r>
      <w:r w:rsidRPr="0053519A">
        <w:t>à</w:t>
      </w:r>
      <w:proofErr w:type="gramEnd"/>
      <w:r w:rsidRPr="0053519A">
        <w:t xml:space="preserve"> compter de l</w:t>
      </w:r>
      <w:r w:rsidRPr="0053519A" w:rsidR="0053519A">
        <w:t>’</w:t>
      </w:r>
      <w:r w:rsidRPr="0053519A">
        <w:t>expiration dudit délai et jusqu</w:t>
      </w:r>
      <w:r w:rsidRPr="0053519A" w:rsidR="0053519A">
        <w:t>’</w:t>
      </w:r>
      <w:r w:rsidRPr="0053519A">
        <w:t>au versement, ces montants seront à majorer d</w:t>
      </w:r>
      <w:r w:rsidRPr="0053519A" w:rsidR="0053519A">
        <w:t>’</w:t>
      </w:r>
      <w:r w:rsidRPr="0053519A">
        <w:t>un intérêt simple à un taux égal à celui de la facilité de prêt marginal de la Banque centrale européenne applicable pendant cette période, augmenté de trois points de pourcentage ;</w:t>
      </w:r>
    </w:p>
    <w:p w:rsidRPr="0053519A" w:rsidR="00876F03" w:rsidP="0053519A" w:rsidRDefault="00601F4E" w14:paraId="1A8563E8" w14:textId="77777777">
      <w:pPr>
        <w:pStyle w:val="JuList"/>
      </w:pPr>
      <w:r w:rsidRPr="0053519A">
        <w:rPr>
          <w:i/>
        </w:rPr>
        <w:t>Rejette</w:t>
      </w:r>
      <w:r w:rsidRPr="0053519A">
        <w:t>, à l</w:t>
      </w:r>
      <w:r w:rsidRPr="0053519A" w:rsidR="0053519A">
        <w:t>’</w:t>
      </w:r>
      <w:r w:rsidRPr="0053519A">
        <w:t>unanimité, le surplus de la demande de satisfaction équitable.</w:t>
      </w:r>
    </w:p>
    <w:p w:rsidRPr="0053519A" w:rsidR="00893F30" w:rsidP="0053519A" w:rsidRDefault="00893F30" w14:paraId="0A56834A" w14:textId="77777777">
      <w:pPr>
        <w:pStyle w:val="JuParaLast"/>
      </w:pPr>
      <w:r w:rsidRPr="0053519A">
        <w:t xml:space="preserve">Fait en français, puis communiqué par écrit le </w:t>
      </w:r>
      <w:r w:rsidRPr="0053519A" w:rsidR="00601F4E">
        <w:t>20 juillet 2021</w:t>
      </w:r>
      <w:r w:rsidRPr="0053519A">
        <w:t>, en application de l</w:t>
      </w:r>
      <w:r w:rsidRPr="0053519A" w:rsidR="0053519A">
        <w:t>’</w:t>
      </w:r>
      <w:r w:rsidRPr="0053519A">
        <w:t>article 77 §§ 2 et 3 du règlement.</w:t>
      </w:r>
    </w:p>
    <w:p w:rsidRPr="0053519A" w:rsidR="00601F4E" w:rsidP="0053519A" w:rsidRDefault="00F94531" w14:paraId="33F776B7" w14:textId="77777777">
      <w:pPr>
        <w:pStyle w:val="JuSigned"/>
        <w:keepNext/>
        <w:keepLines/>
        <w:rPr>
          <w:color w:val="F8F8F8" w:themeColor="background2"/>
        </w:rPr>
      </w:pPr>
      <w:r w:rsidRPr="0053519A">
        <w:rPr>
          <w:color w:val="F8F8F8" w:themeColor="background2"/>
        </w:rPr>
        <w:tab/>
        <w:t xml:space="preserve"> {</w:t>
      </w:r>
      <w:proofErr w:type="gramStart"/>
      <w:r w:rsidRPr="0053519A">
        <w:rPr>
          <w:color w:val="F8F8F8" w:themeColor="background2"/>
        </w:rPr>
        <w:t>signature</w:t>
      </w:r>
      <w:proofErr w:type="gramEnd"/>
      <w:r w:rsidRPr="0053519A">
        <w:rPr>
          <w:color w:val="F8F8F8" w:themeColor="background2"/>
        </w:rPr>
        <w:t>_p_2}</w:t>
      </w:r>
    </w:p>
    <w:p w:rsidRPr="0053519A" w:rsidR="00876F03" w:rsidP="0053519A" w:rsidRDefault="00601F4E" w14:paraId="3792133D" w14:textId="77777777">
      <w:pPr>
        <w:pStyle w:val="JuSigned"/>
      </w:pPr>
      <w:r w:rsidRPr="0053519A">
        <w:tab/>
        <w:t xml:space="preserve">Milan </w:t>
      </w:r>
      <w:proofErr w:type="spellStart"/>
      <w:r w:rsidRPr="0053519A">
        <w:t>Blaško</w:t>
      </w:r>
      <w:proofErr w:type="spellEnd"/>
      <w:r w:rsidRPr="0053519A" w:rsidR="004344E6">
        <w:tab/>
      </w:r>
      <w:proofErr w:type="spellStart"/>
      <w:r w:rsidRPr="0053519A">
        <w:t>Georgios</w:t>
      </w:r>
      <w:proofErr w:type="spellEnd"/>
      <w:r w:rsidRPr="0053519A">
        <w:t xml:space="preserve"> A. </w:t>
      </w:r>
      <w:proofErr w:type="spellStart"/>
      <w:r w:rsidRPr="0053519A">
        <w:t>Serghides</w:t>
      </w:r>
      <w:proofErr w:type="spellEnd"/>
      <w:r w:rsidRPr="0053519A" w:rsidR="004344E6">
        <w:br/>
      </w:r>
      <w:r w:rsidRPr="0053519A" w:rsidR="004344E6">
        <w:tab/>
      </w:r>
      <w:r w:rsidRPr="0053519A">
        <w:t>Greffier</w:t>
      </w:r>
      <w:r w:rsidRPr="0053519A" w:rsidR="004344E6">
        <w:tab/>
      </w:r>
      <w:r w:rsidRPr="0053519A">
        <w:t>Président</w:t>
      </w:r>
    </w:p>
    <w:p w:rsidRPr="0053519A" w:rsidR="00E62E45" w:rsidP="0053519A" w:rsidRDefault="00E62E45" w14:paraId="79F8CCF2" w14:textId="77777777">
      <w:pPr>
        <w:pStyle w:val="JuPara"/>
      </w:pPr>
    </w:p>
    <w:p w:rsidRPr="0053519A" w:rsidR="00601F4E" w:rsidP="0053519A" w:rsidRDefault="00601F4E" w14:paraId="58DB4C2F" w14:textId="77777777">
      <w:pPr>
        <w:rPr>
          <w:color w:val="000000"/>
        </w:rPr>
      </w:pPr>
    </w:p>
    <w:p w:rsidRPr="0053519A" w:rsidR="00E62E45" w:rsidP="0053519A" w:rsidRDefault="00E62E45" w14:paraId="7006930B" w14:textId="77777777">
      <w:pPr>
        <w:pStyle w:val="JuParaLast"/>
      </w:pPr>
      <w:r w:rsidRPr="0053519A">
        <w:t>Au présent arrêt se trouve joint, conformément aux articles 45 § 2 de la Convention et 74 § 2 du règlement, l</w:t>
      </w:r>
      <w:r w:rsidRPr="0053519A" w:rsidR="0053519A">
        <w:t>’</w:t>
      </w:r>
      <w:r w:rsidRPr="0053519A">
        <w:t>exposé des opinions séparées suivantes :</w:t>
      </w:r>
    </w:p>
    <w:p w:rsidRPr="0053519A" w:rsidR="00E62E45" w:rsidP="0053519A" w:rsidRDefault="00E62E45" w14:paraId="47440362" w14:textId="77777777">
      <w:pPr>
        <w:pStyle w:val="JuPara"/>
      </w:pPr>
      <w:r w:rsidRPr="0053519A">
        <w:t xml:space="preserve">–  opinion </w:t>
      </w:r>
      <w:r w:rsidRPr="0053519A" w:rsidR="00D502C1">
        <w:t xml:space="preserve">concordante </w:t>
      </w:r>
      <w:r w:rsidRPr="0053519A">
        <w:t xml:space="preserve">du juge </w:t>
      </w:r>
      <w:r w:rsidRPr="0053519A" w:rsidR="00D869C4">
        <w:t>Pavli </w:t>
      </w:r>
      <w:r w:rsidRPr="0053519A">
        <w:t>;</w:t>
      </w:r>
    </w:p>
    <w:p w:rsidRPr="0053519A" w:rsidR="00E62E45" w:rsidP="0053519A" w:rsidRDefault="00E62E45" w14:paraId="1742A025" w14:textId="77777777">
      <w:pPr>
        <w:pStyle w:val="JuPara"/>
      </w:pPr>
      <w:r w:rsidRPr="0053519A">
        <w:t xml:space="preserve">–  opinion </w:t>
      </w:r>
      <w:r w:rsidRPr="0053519A" w:rsidR="00D502C1">
        <w:t xml:space="preserve">dissidente </w:t>
      </w:r>
      <w:r w:rsidRPr="0053519A">
        <w:t xml:space="preserve">du juge </w:t>
      </w:r>
      <w:proofErr w:type="spellStart"/>
      <w:r w:rsidRPr="0053519A" w:rsidR="00D869C4">
        <w:t>Zünd</w:t>
      </w:r>
      <w:proofErr w:type="spellEnd"/>
      <w:r w:rsidRPr="0053519A">
        <w:t>.</w:t>
      </w:r>
    </w:p>
    <w:p w:rsidRPr="0053519A" w:rsidR="00E62E45" w:rsidP="0053519A" w:rsidRDefault="00E62E45" w14:paraId="7206613D" w14:textId="77777777">
      <w:pPr>
        <w:pStyle w:val="JuPara"/>
      </w:pPr>
    </w:p>
    <w:p w:rsidRPr="0053519A" w:rsidR="00E62E45" w:rsidP="0053519A" w:rsidRDefault="00E62E45" w14:paraId="79CD4B08" w14:textId="77777777">
      <w:pPr>
        <w:pStyle w:val="JuInitialled"/>
      </w:pPr>
      <w:r w:rsidRPr="0053519A">
        <w:t>G.A.S.</w:t>
      </w:r>
      <w:r w:rsidRPr="0053519A">
        <w:br/>
        <w:t>M.B.</w:t>
      </w:r>
      <w:r w:rsidRPr="0053519A">
        <w:br/>
      </w:r>
    </w:p>
    <w:p w:rsidRPr="0053519A" w:rsidR="00E62E45" w:rsidP="0053519A" w:rsidRDefault="00E62E45" w14:paraId="53C46512" w14:textId="77777777">
      <w:pPr>
        <w:rPr>
          <w:color w:val="000000"/>
        </w:rPr>
        <w:sectPr w:rsidRPr="0053519A" w:rsidR="00E62E45" w:rsidSect="00F912E4">
          <w:headerReference w:type="even" r:id="rId13"/>
          <w:headerReference w:type="default" r:id="rId14"/>
          <w:footerReference w:type="even" r:id="rId15"/>
          <w:footerReference w:type="default" r:id="rId16"/>
          <w:footnotePr>
            <w:numRestart w:val="eachSect"/>
          </w:footnotePr>
          <w:pgSz w:w="11906" w:h="16838" w:code="9"/>
          <w:pgMar w:top="2274" w:right="2274" w:bottom="2274" w:left="2274" w:header="1701" w:footer="720" w:gutter="0"/>
          <w:pgNumType w:start="1"/>
          <w:cols w:space="720"/>
          <w:noEndnote/>
          <w:docGrid w:linePitch="326"/>
        </w:sectPr>
      </w:pPr>
    </w:p>
    <w:p w:rsidRPr="0053519A" w:rsidR="009A6920" w:rsidP="0053519A" w:rsidRDefault="009A6920" w14:paraId="3066446C" w14:textId="77777777">
      <w:pPr>
        <w:pStyle w:val="DecHTitle"/>
      </w:pPr>
      <w:r w:rsidRPr="0053519A">
        <w:t>OPINION CONCORDANTE DU JUGE PAVLI</w:t>
      </w:r>
    </w:p>
    <w:p w:rsidRPr="0053519A" w:rsidR="009A6920" w:rsidP="0053519A" w:rsidRDefault="009A6920" w14:paraId="5E5BB7C1" w14:textId="77777777">
      <w:pPr>
        <w:pStyle w:val="ECHRCoverTitle4"/>
      </w:pPr>
      <w:r w:rsidRPr="0053519A">
        <w:t>(Traduction)</w:t>
      </w:r>
    </w:p>
    <w:p w:rsidRPr="0053519A" w:rsidR="009A6920" w:rsidP="0053519A" w:rsidRDefault="009A6920" w14:paraId="7FA53CC1" w14:textId="77777777">
      <w:pPr>
        <w:pStyle w:val="JuPara"/>
      </w:pPr>
    </w:p>
    <w:p w:rsidRPr="0053519A" w:rsidR="009A6920" w:rsidP="0053519A" w:rsidRDefault="009A6920" w14:paraId="0118A98F" w14:textId="77777777">
      <w:pPr>
        <w:pStyle w:val="JuPara"/>
      </w:pPr>
      <w:r w:rsidRPr="0053519A">
        <w:t>1.  J</w:t>
      </w:r>
      <w:r w:rsidRPr="0053519A" w:rsidR="0053519A">
        <w:t>’</w:t>
      </w:r>
      <w:r w:rsidRPr="0053519A">
        <w:t>ai voté avec la majorité pour déclarer l</w:t>
      </w:r>
      <w:r w:rsidRPr="0053519A" w:rsidR="0053519A">
        <w:t>’</w:t>
      </w:r>
      <w:r w:rsidRPr="0053519A">
        <w:t>article 6 § 1 de la Convention applicable en l</w:t>
      </w:r>
      <w:r w:rsidRPr="0053519A" w:rsidR="0053519A">
        <w:t>’</w:t>
      </w:r>
      <w:r w:rsidRPr="0053519A">
        <w:t>espèce et également pour constater une violation du droit d</w:t>
      </w:r>
      <w:r w:rsidRPr="0053519A" w:rsidR="0053519A">
        <w:t>’</w:t>
      </w:r>
      <w:r w:rsidRPr="0053519A">
        <w:t>accès à un tribunal d</w:t>
      </w:r>
      <w:r w:rsidRPr="0053519A" w:rsidR="001D31BD">
        <w:t>e la</w:t>
      </w:r>
      <w:r w:rsidRPr="0053519A">
        <w:t xml:space="preserve"> requérant</w:t>
      </w:r>
      <w:r w:rsidRPr="0053519A" w:rsidR="001D31BD">
        <w:t>e</w:t>
      </w:r>
      <w:r w:rsidRPr="0053519A">
        <w:t xml:space="preserve"> sur le terrain de cette disposition. Je ne puis toutefois partager le raisonnement de la majorité sur l</w:t>
      </w:r>
      <w:r w:rsidRPr="0053519A" w:rsidR="0053519A">
        <w:t>’</w:t>
      </w:r>
      <w:r w:rsidRPr="0053519A">
        <w:t>applicabilité de l</w:t>
      </w:r>
      <w:r w:rsidRPr="0053519A" w:rsidR="0053519A">
        <w:t>’</w:t>
      </w:r>
      <w:r w:rsidRPr="0053519A">
        <w:t>article 6 § 1 et j</w:t>
      </w:r>
      <w:r w:rsidRPr="0053519A" w:rsidR="0053519A">
        <w:t>’</w:t>
      </w:r>
      <w:r w:rsidRPr="0053519A">
        <w:t>aurais conclu pour des motifs différents que le litige de fond concernait un « droit de caractère civil ». Étant donné que la Grande Chambre de la Cour est appelée à se prononcer sur des questions connexes dans un proche avenir, je présenterai mes vues sous une forme résumée.</w:t>
      </w:r>
    </w:p>
    <w:p w:rsidRPr="0053519A" w:rsidR="009A6920" w:rsidP="0053519A" w:rsidRDefault="009A6920" w14:paraId="2A2D86BA" w14:textId="77777777">
      <w:pPr>
        <w:pStyle w:val="JuPara"/>
      </w:pPr>
      <w:r w:rsidRPr="0053519A">
        <w:t>2.  La présente affaire concerne la suspension de ses fonctions d</w:t>
      </w:r>
      <w:r w:rsidRPr="0053519A" w:rsidR="0053519A">
        <w:t>’</w:t>
      </w:r>
      <w:r w:rsidRPr="0053519A">
        <w:t>un membre du Conseil supérieur de la justice belge (« CSJ »), un organe constitutionnel d</w:t>
      </w:r>
      <w:r w:rsidRPr="0053519A" w:rsidR="0053519A">
        <w:t>’</w:t>
      </w:r>
      <w:r w:rsidRPr="0053519A">
        <w:t>administration judiciaire. La suspension a été décidée par l</w:t>
      </w:r>
      <w:r w:rsidRPr="0053519A" w:rsidR="0053519A">
        <w:t>’</w:t>
      </w:r>
      <w:r w:rsidRPr="0053519A">
        <w:t>assemblée générale du CSJ, à la suite de l</w:t>
      </w:r>
      <w:r w:rsidRPr="0053519A" w:rsidR="0053519A">
        <w:t>’</w:t>
      </w:r>
      <w:r w:rsidRPr="0053519A">
        <w:t>inculpation de la requérante pour une infraction présentée comme étant liée à des actes accomplis en sa qualité antérieure de présidente d</w:t>
      </w:r>
      <w:r w:rsidRPr="0053519A" w:rsidR="0053519A">
        <w:t>’</w:t>
      </w:r>
      <w:r w:rsidRPr="0053519A">
        <w:t>un tribunal de première instance, ce afin de préserver l</w:t>
      </w:r>
      <w:r w:rsidRPr="0053519A" w:rsidR="0053519A">
        <w:t>’</w:t>
      </w:r>
      <w:r w:rsidRPr="0053519A">
        <w:t>autorité et l</w:t>
      </w:r>
      <w:r w:rsidRPr="0053519A" w:rsidR="0053519A">
        <w:t>’</w:t>
      </w:r>
      <w:r w:rsidRPr="0053519A">
        <w:t>intégrité du CSJ pendant que cette procédure pénale était en cours. Il était particulièrement pertinent à cet égard que la requérante ait présidé une sous-commission de la CSJ sur la nomination des magistrats, alors que les charges retenues contre elle concernaient des faits se rapportant à la nomination de son successeur à son ancienne fonction. À ce titre, le litige portait sur des questions sensibles liées au pouvoir d</w:t>
      </w:r>
      <w:r w:rsidRPr="0053519A" w:rsidR="0053519A">
        <w:t>’</w:t>
      </w:r>
      <w:r w:rsidRPr="0053519A">
        <w:t>un organe constitutionnel – composé pour moitié de magistrats en exercice élus par leurs pairs pour siéger en son sein – de suspendre temporairement l</w:t>
      </w:r>
      <w:r w:rsidRPr="0053519A" w:rsidR="0053519A">
        <w:t>’</w:t>
      </w:r>
      <w:r w:rsidRPr="0053519A">
        <w:t>un de ses membres pour des raisons d</w:t>
      </w:r>
      <w:r w:rsidRPr="0053519A" w:rsidR="0053519A">
        <w:t>’</w:t>
      </w:r>
      <w:r w:rsidRPr="0053519A">
        <w:t>intégrité éthique.</w:t>
      </w:r>
    </w:p>
    <w:p w:rsidRPr="0053519A" w:rsidR="009A6920" w:rsidP="0053519A" w:rsidRDefault="009A6920" w14:paraId="2F9654C1" w14:textId="77777777">
      <w:pPr>
        <w:pStyle w:val="JuPara"/>
      </w:pPr>
      <w:r w:rsidRPr="0053519A">
        <w:t>3.  Nonobstant ce qui précède, la majorité part du principe qu</w:t>
      </w:r>
      <w:r w:rsidRPr="0053519A" w:rsidR="0053519A">
        <w:t>’</w:t>
      </w:r>
      <w:r w:rsidRPr="0053519A">
        <w:t>il ne s</w:t>
      </w:r>
      <w:r w:rsidRPr="0053519A" w:rsidR="0053519A">
        <w:t>’</w:t>
      </w:r>
      <w:r w:rsidRPr="0053519A">
        <w:t>agit que d</w:t>
      </w:r>
      <w:r w:rsidRPr="0053519A" w:rsidR="0053519A">
        <w:t>’</w:t>
      </w:r>
      <w:r w:rsidRPr="0053519A">
        <w:t>un « conflit ordinaire du travail » entre un fonctionnaire et l</w:t>
      </w:r>
      <w:r w:rsidRPr="0053519A" w:rsidR="0053519A">
        <w:t>’</w:t>
      </w:r>
      <w:r w:rsidRPr="0053519A">
        <w:t>État, ce qui fait jouer la présomption tirée de l</w:t>
      </w:r>
      <w:r w:rsidRPr="0053519A" w:rsidR="0053519A">
        <w:t>’</w:t>
      </w:r>
      <w:r w:rsidRPr="0053519A">
        <w:t xml:space="preserve">arrêt </w:t>
      </w:r>
      <w:r w:rsidRPr="0053519A">
        <w:rPr>
          <w:i/>
          <w:iCs/>
        </w:rPr>
        <w:t>Eskelinen</w:t>
      </w:r>
      <w:r w:rsidRPr="0053519A">
        <w:t>, qui est que le différend concerne une décision sur un « droit civil » au sens de l</w:t>
      </w:r>
      <w:r w:rsidRPr="0053519A" w:rsidR="0053519A">
        <w:t>’</w:t>
      </w:r>
      <w:r w:rsidRPr="0053519A">
        <w:t>article</w:t>
      </w:r>
      <w:r w:rsidRPr="0053519A" w:rsidR="0057192F">
        <w:t> </w:t>
      </w:r>
      <w:r w:rsidRPr="0053519A">
        <w:t>6 (paragraphe 38 de l</w:t>
      </w:r>
      <w:r w:rsidRPr="0053519A" w:rsidR="0053519A">
        <w:t>’</w:t>
      </w:r>
      <w:r w:rsidRPr="0053519A">
        <w:t>arrêt). Très respectueusement, j</w:t>
      </w:r>
      <w:r w:rsidRPr="0053519A" w:rsidR="0053519A">
        <w:t>’</w:t>
      </w:r>
      <w:r w:rsidRPr="0053519A">
        <w:t>estime que le présent litige est assez éloigné d</w:t>
      </w:r>
      <w:r w:rsidRPr="0053519A" w:rsidR="0053519A">
        <w:t>’</w:t>
      </w:r>
      <w:r w:rsidRPr="0053519A">
        <w:t>un conflit de travail ordinaire et qu</w:t>
      </w:r>
      <w:r w:rsidRPr="0053519A" w:rsidR="0053519A">
        <w:t>’</w:t>
      </w:r>
      <w:r w:rsidRPr="0053519A">
        <w:t>il concerne des questions complexes tenant à la séparation des pouvoirs et à d</w:t>
      </w:r>
      <w:r w:rsidRPr="0053519A" w:rsidR="0053519A">
        <w:t>’</w:t>
      </w:r>
      <w:r w:rsidRPr="0053519A">
        <w:t>autres aspects qui relèvent fondamentalement du droit public.</w:t>
      </w:r>
    </w:p>
    <w:p w:rsidRPr="0053519A" w:rsidR="009A6920" w:rsidP="0053519A" w:rsidRDefault="009A6920" w14:paraId="353E4485" w14:textId="77777777">
      <w:pPr>
        <w:pStyle w:val="JuPara"/>
      </w:pPr>
      <w:r w:rsidRPr="0053519A">
        <w:t>4.  Plus précisément, l</w:t>
      </w:r>
      <w:r w:rsidRPr="0053519A" w:rsidR="0053519A">
        <w:t>’</w:t>
      </w:r>
      <w:r w:rsidRPr="0053519A">
        <w:t>arrêt semble introduire un nouveau critère fondé sur la notion de « litige professionnel », définie comme un « conflit concernant les relations juridiques existantes dans un contexte professionnel entre un employé ou un agent (</w:t>
      </w:r>
      <w:r w:rsidRPr="0053519A" w:rsidR="00F95D45">
        <w:t>...</w:t>
      </w:r>
      <w:r w:rsidRPr="0053519A">
        <w:t>) et un employeur ou une instance qui exerce une certaine autorité sur lui » (paragraphe 37 de l</w:t>
      </w:r>
      <w:r w:rsidRPr="0053519A" w:rsidR="0053519A">
        <w:t>’</w:t>
      </w:r>
      <w:r w:rsidRPr="0053519A">
        <w:t>arrêt). Or ce cas de figure s</w:t>
      </w:r>
      <w:r w:rsidRPr="0053519A" w:rsidR="0053519A">
        <w:t>’</w:t>
      </w:r>
      <w:r w:rsidRPr="0053519A">
        <w:t>appliquerait aussi à un différend entre le Premier ministre et un membre du gouvernement, ou entre le Premier ministre et l</w:t>
      </w:r>
      <w:r w:rsidRPr="0053519A" w:rsidR="0053519A">
        <w:t>’</w:t>
      </w:r>
      <w:r w:rsidRPr="0053519A">
        <w:t>un de ses conseillers, qui entraînerait leur révocation ou une autre conséquence « professionnelle » défavorable. Le ministre limogé pourrait-il invoquer l</w:t>
      </w:r>
      <w:r w:rsidRPr="0053519A" w:rsidR="0053519A">
        <w:t>’</w:t>
      </w:r>
      <w:r w:rsidRPr="0053519A">
        <w:t xml:space="preserve">article 6 § 1 devant la Cour ? Et </w:t>
      </w:r>
      <w:r w:rsidRPr="0053519A">
        <w:rPr>
          <w:i/>
          <w:iCs/>
        </w:rPr>
        <w:t>quid</w:t>
      </w:r>
      <w:r w:rsidRPr="0053519A">
        <w:t xml:space="preserve"> d</w:t>
      </w:r>
      <w:r w:rsidRPr="0053519A" w:rsidR="0053519A">
        <w:t>’</w:t>
      </w:r>
      <w:r w:rsidRPr="0053519A">
        <w:t>un haut responsable politique qui serait destitué par le parlement ?</w:t>
      </w:r>
    </w:p>
    <w:p w:rsidRPr="0053519A" w:rsidR="009A6920" w:rsidP="0053519A" w:rsidRDefault="009A6920" w14:paraId="30D780B1" w14:textId="77777777">
      <w:pPr>
        <w:pStyle w:val="JuPara"/>
      </w:pPr>
      <w:r w:rsidRPr="0053519A">
        <w:t>5.  La majorité note que selon notre jurisprudence, le fait qu</w:t>
      </w:r>
      <w:r w:rsidRPr="0053519A" w:rsidR="0053519A">
        <w:t>’</w:t>
      </w:r>
      <w:r w:rsidRPr="0053519A">
        <w:t>un requérant ait été un haut fonctionnaire n</w:t>
      </w:r>
      <w:r w:rsidRPr="0053519A" w:rsidR="0053519A">
        <w:t>’</w:t>
      </w:r>
      <w:r w:rsidRPr="0053519A">
        <w:t>est pas, en tant que tel, un obstacle à l</w:t>
      </w:r>
      <w:r w:rsidRPr="0053519A" w:rsidR="0053519A">
        <w:t>’</w:t>
      </w:r>
      <w:r w:rsidRPr="0053519A">
        <w:t>applicabilité de la présomption tirée de l</w:t>
      </w:r>
      <w:r w:rsidRPr="0053519A" w:rsidR="0053519A">
        <w:t>’</w:t>
      </w:r>
      <w:r w:rsidRPr="0053519A">
        <w:t xml:space="preserve">arrêt </w:t>
      </w:r>
      <w:r w:rsidRPr="0053519A">
        <w:rPr>
          <w:i/>
          <w:iCs/>
        </w:rPr>
        <w:t>Eskelinen</w:t>
      </w:r>
      <w:r w:rsidRPr="0053519A">
        <w:t>. Si cela est peut-être exact – et bien que les critères de l</w:t>
      </w:r>
      <w:r w:rsidRPr="0053519A" w:rsidR="0053519A">
        <w:t>’</w:t>
      </w:r>
      <w:r w:rsidRPr="0053519A">
        <w:t xml:space="preserve">arrêt </w:t>
      </w:r>
      <w:r w:rsidRPr="0053519A">
        <w:rPr>
          <w:i/>
          <w:iCs/>
        </w:rPr>
        <w:t>Eskelinen</w:t>
      </w:r>
      <w:r w:rsidRPr="0053519A">
        <w:t xml:space="preserve"> aient été appliqués extensivement depuis leur adoption pour englober des postes de plus en plus élevés – des affaires telles que la présente soulèvent des questions difficiles relatives aux dernières limites de cette présomption, que la Cour n</w:t>
      </w:r>
      <w:r w:rsidRPr="0053519A" w:rsidR="0053519A">
        <w:t>’</w:t>
      </w:r>
      <w:r w:rsidRPr="0053519A">
        <w:t>a pas encore clairement et réellement définies. À mon sens, les aspects de droit public du présent litige l</w:t>
      </w:r>
      <w:r w:rsidRPr="0053519A" w:rsidR="0053519A">
        <w:t>’</w:t>
      </w:r>
      <w:r w:rsidRPr="0053519A">
        <w:t>emportent clairement sur les aspects civils et sur les éventuelles conséquences individuelles pour l</w:t>
      </w:r>
      <w:r w:rsidRPr="0053519A" w:rsidR="001D31BD">
        <w:t>a</w:t>
      </w:r>
      <w:r w:rsidRPr="0053519A">
        <w:t xml:space="preserve"> requérant</w:t>
      </w:r>
      <w:r w:rsidRPr="0053519A" w:rsidR="001D31BD">
        <w:t>e</w:t>
      </w:r>
      <w:r w:rsidRPr="0053519A">
        <w:t xml:space="preserve"> (voir, </w:t>
      </w:r>
      <w:r w:rsidRPr="0053519A">
        <w:rPr>
          <w:i/>
          <w:iCs/>
        </w:rPr>
        <w:t>a contrario</w:t>
      </w:r>
      <w:r w:rsidRPr="0053519A">
        <w:t xml:space="preserve">, </w:t>
      </w:r>
      <w:proofErr w:type="spellStart"/>
      <w:r w:rsidRPr="0053519A">
        <w:rPr>
          <w:i/>
          <w:iCs/>
        </w:rPr>
        <w:t>Denisov</w:t>
      </w:r>
      <w:proofErr w:type="spellEnd"/>
      <w:r w:rsidRPr="0053519A">
        <w:rPr>
          <w:i/>
          <w:iCs/>
        </w:rPr>
        <w:t xml:space="preserve"> c. Ukraine</w:t>
      </w:r>
      <w:r w:rsidRPr="0053519A">
        <w:t xml:space="preserve"> [GC], n</w:t>
      </w:r>
      <w:r w:rsidRPr="0053519A">
        <w:rPr>
          <w:vertAlign w:val="superscript"/>
        </w:rPr>
        <w:t>o</w:t>
      </w:r>
      <w:r w:rsidRPr="0053519A">
        <w:t xml:space="preserve"> 76639/11, §</w:t>
      </w:r>
      <w:r w:rsidRPr="0053519A" w:rsidR="0057192F">
        <w:t> </w:t>
      </w:r>
      <w:r w:rsidRPr="0053519A">
        <w:t>53, 25</w:t>
      </w:r>
      <w:r w:rsidRPr="0053519A" w:rsidR="0057192F">
        <w:t> </w:t>
      </w:r>
      <w:r w:rsidRPr="0053519A">
        <w:t xml:space="preserve">septembre 2018). Par conséquent, je ne suis pas en mesure de conclure que le litige dont nous sommes saisis concernait un « droit civil » au regard de </w:t>
      </w:r>
      <w:bookmarkStart w:name="_Hlk76043218" w:id="42"/>
      <w:r w:rsidRPr="0053519A">
        <w:t>la présomption habituelle tirée de l</w:t>
      </w:r>
      <w:r w:rsidRPr="0053519A" w:rsidR="0053519A">
        <w:t>’</w:t>
      </w:r>
      <w:r w:rsidRPr="0053519A">
        <w:t xml:space="preserve">arrêt </w:t>
      </w:r>
      <w:r w:rsidRPr="0053519A">
        <w:rPr>
          <w:i/>
          <w:iCs/>
        </w:rPr>
        <w:t>Eskelinen</w:t>
      </w:r>
      <w:bookmarkEnd w:id="42"/>
      <w:r w:rsidRPr="0053519A">
        <w:t>.</w:t>
      </w:r>
    </w:p>
    <w:p w:rsidRPr="0053519A" w:rsidR="009A6920" w:rsidP="0053519A" w:rsidRDefault="009A6920" w14:paraId="5670C461" w14:textId="77777777">
      <w:pPr>
        <w:pStyle w:val="JuPara"/>
      </w:pPr>
      <w:r w:rsidRPr="0053519A">
        <w:t>6.  Il est toutefois possible de conclure à l</w:t>
      </w:r>
      <w:r w:rsidRPr="0053519A" w:rsidR="0053519A">
        <w:t>’</w:t>
      </w:r>
      <w:r w:rsidRPr="0053519A">
        <w:t>applicabilité de l</w:t>
      </w:r>
      <w:r w:rsidRPr="0053519A" w:rsidR="0053519A">
        <w:t>’</w:t>
      </w:r>
      <w:r w:rsidRPr="0053519A">
        <w:t>article 6</w:t>
      </w:r>
      <w:r w:rsidRPr="0053519A" w:rsidR="0057192F">
        <w:t> </w:t>
      </w:r>
      <w:r w:rsidRPr="0053519A">
        <w:t>§</w:t>
      </w:r>
      <w:r w:rsidRPr="0053519A" w:rsidR="0057192F">
        <w:t> </w:t>
      </w:r>
      <w:r w:rsidRPr="0053519A">
        <w:t>1 en se fondant sur une présomption différente : les membres des organes d</w:t>
      </w:r>
      <w:r w:rsidRPr="0053519A" w:rsidR="0053519A">
        <w:t>’</w:t>
      </w:r>
      <w:r w:rsidRPr="0053519A">
        <w:t xml:space="preserve">administration judiciaire </w:t>
      </w:r>
      <w:r w:rsidRPr="0053519A">
        <w:rPr>
          <w:i/>
          <w:iCs/>
        </w:rPr>
        <w:t>devraient</w:t>
      </w:r>
      <w:r w:rsidRPr="0053519A">
        <w:t xml:space="preserve"> avoir un droit d</w:t>
      </w:r>
      <w:r w:rsidRPr="0053519A" w:rsidR="0053519A">
        <w:t>’</w:t>
      </w:r>
      <w:r w:rsidRPr="0053519A">
        <w:t>accès à un tribunal en cas de sanctions ou d</w:t>
      </w:r>
      <w:r w:rsidRPr="0053519A" w:rsidR="0053519A">
        <w:t>’</w:t>
      </w:r>
      <w:r w:rsidRPr="0053519A">
        <w:t>ingérences équivalentes dans l</w:t>
      </w:r>
      <w:r w:rsidRPr="0053519A" w:rsidR="0053519A">
        <w:t>’</w:t>
      </w:r>
      <w:r w:rsidRPr="0053519A">
        <w:t>exercice de leurs fonctions. Notre jurisprudence a d</w:t>
      </w:r>
      <w:r w:rsidRPr="0053519A" w:rsidR="0053519A">
        <w:t>’</w:t>
      </w:r>
      <w:r w:rsidRPr="0053519A">
        <w:t>ores et déjà fait de grands pas dans cette direction en ce qui concerne les juges et les procureurs. Elle l</w:t>
      </w:r>
      <w:r w:rsidRPr="0053519A" w:rsidR="0053519A">
        <w:t>’</w:t>
      </w:r>
      <w:r w:rsidRPr="0053519A">
        <w:t xml:space="preserve">a surtout fait dans les récentes affaires </w:t>
      </w:r>
      <w:proofErr w:type="spellStart"/>
      <w:r w:rsidRPr="0053519A">
        <w:rPr>
          <w:i/>
          <w:iCs/>
        </w:rPr>
        <w:t>Kövesi</w:t>
      </w:r>
      <w:proofErr w:type="spellEnd"/>
      <w:r w:rsidRPr="0053519A">
        <w:rPr>
          <w:i/>
          <w:iCs/>
        </w:rPr>
        <w:t xml:space="preserve"> c. Roumanie</w:t>
      </w:r>
      <w:r w:rsidRPr="0053519A">
        <w:t xml:space="preserve"> (n</w:t>
      </w:r>
      <w:r w:rsidRPr="0053519A" w:rsidR="00F95D45">
        <w:rPr>
          <w:vertAlign w:val="superscript"/>
        </w:rPr>
        <w:t>o</w:t>
      </w:r>
      <w:r w:rsidRPr="0053519A">
        <w:t xml:space="preserve"> 3594/19, 5 mai 2020), qui concernait la révocation d</w:t>
      </w:r>
      <w:r w:rsidRPr="0053519A" w:rsidR="0053519A">
        <w:t>’</w:t>
      </w:r>
      <w:r w:rsidRPr="0053519A">
        <w:t xml:space="preserve">une procureure principale par la ministre de la Justice, </w:t>
      </w:r>
      <w:proofErr w:type="spellStart"/>
      <w:r w:rsidRPr="0053519A">
        <w:rPr>
          <w:i/>
          <w:iCs/>
        </w:rPr>
        <w:t>Bilgen</w:t>
      </w:r>
      <w:proofErr w:type="spellEnd"/>
      <w:r w:rsidRPr="0053519A">
        <w:rPr>
          <w:i/>
          <w:iCs/>
        </w:rPr>
        <w:t xml:space="preserve"> c.</w:t>
      </w:r>
      <w:r w:rsidRPr="0053519A" w:rsidR="0057192F">
        <w:rPr>
          <w:i/>
          <w:iCs/>
        </w:rPr>
        <w:t> </w:t>
      </w:r>
      <w:r w:rsidRPr="0053519A">
        <w:rPr>
          <w:i/>
          <w:iCs/>
        </w:rPr>
        <w:t>Turquie</w:t>
      </w:r>
      <w:r w:rsidRPr="0053519A">
        <w:t xml:space="preserve"> (n</w:t>
      </w:r>
      <w:r w:rsidRPr="0053519A" w:rsidR="00F95D45">
        <w:rPr>
          <w:vertAlign w:val="superscript"/>
        </w:rPr>
        <w:t>o</w:t>
      </w:r>
      <w:r w:rsidRPr="0053519A">
        <w:t xml:space="preserve"> 1571/07, 9 mars 2021) et </w:t>
      </w:r>
      <w:proofErr w:type="spellStart"/>
      <w:r w:rsidRPr="0053519A">
        <w:rPr>
          <w:i/>
          <w:iCs/>
        </w:rPr>
        <w:t>Eminağaoğlu</w:t>
      </w:r>
      <w:proofErr w:type="spellEnd"/>
      <w:r w:rsidRPr="0053519A">
        <w:rPr>
          <w:i/>
          <w:iCs/>
        </w:rPr>
        <w:t xml:space="preserve"> c.</w:t>
      </w:r>
      <w:r w:rsidRPr="0053519A" w:rsidR="0057192F">
        <w:rPr>
          <w:i/>
          <w:iCs/>
        </w:rPr>
        <w:t> </w:t>
      </w:r>
      <w:r w:rsidRPr="0053519A">
        <w:rPr>
          <w:i/>
          <w:iCs/>
        </w:rPr>
        <w:t>Turquie</w:t>
      </w:r>
      <w:r w:rsidRPr="0053519A">
        <w:t xml:space="preserve"> (n</w:t>
      </w:r>
      <w:r w:rsidRPr="0053519A" w:rsidR="00F95D45">
        <w:rPr>
          <w:vertAlign w:val="superscript"/>
        </w:rPr>
        <w:t>o</w:t>
      </w:r>
      <w:r w:rsidRPr="0053519A">
        <w:t> 76521/12, 9 mars 2021), qui concernaient respectivement la mutation non consensuelle d</w:t>
      </w:r>
      <w:r w:rsidRPr="0053519A" w:rsidR="0053519A">
        <w:t>’</w:t>
      </w:r>
      <w:r w:rsidRPr="0053519A">
        <w:t xml:space="preserve">un juge dans un ressort judiciaire inférieur et des sanctions disciplinaires imposées à un procureur (voir aussi </w:t>
      </w:r>
      <w:r w:rsidRPr="0053519A">
        <w:rPr>
          <w:i/>
          <w:iCs/>
        </w:rPr>
        <w:t xml:space="preserve">Broda et </w:t>
      </w:r>
      <w:proofErr w:type="spellStart"/>
      <w:r w:rsidRPr="0053519A">
        <w:rPr>
          <w:i/>
          <w:iCs/>
        </w:rPr>
        <w:t>Bojara</w:t>
      </w:r>
      <w:proofErr w:type="spellEnd"/>
      <w:r w:rsidRPr="0053519A">
        <w:rPr>
          <w:i/>
          <w:iCs/>
        </w:rPr>
        <w:t xml:space="preserve"> c.</w:t>
      </w:r>
      <w:r w:rsidRPr="0053519A" w:rsidR="0057192F">
        <w:rPr>
          <w:i/>
          <w:iCs/>
        </w:rPr>
        <w:t> </w:t>
      </w:r>
      <w:r w:rsidRPr="0053519A">
        <w:rPr>
          <w:i/>
          <w:iCs/>
        </w:rPr>
        <w:t>Pologne</w:t>
      </w:r>
      <w:r w:rsidRPr="0053519A">
        <w:t>, n</w:t>
      </w:r>
      <w:r w:rsidRPr="0053519A">
        <w:rPr>
          <w:vertAlign w:val="superscript"/>
        </w:rPr>
        <w:t>os</w:t>
      </w:r>
      <w:r w:rsidRPr="0053519A">
        <w:t xml:space="preserve"> 26691/18 et 27367/18, §§ 120-122, 29 juin 2021, pas encore définitif, concernant la cessation prématurée du mandat de deux vice-présidents). En appliquant à ces affaires le deuxième critère de l</w:t>
      </w:r>
      <w:r w:rsidRPr="0053519A" w:rsidR="0053519A">
        <w:t>’</w:t>
      </w:r>
      <w:r w:rsidRPr="0053519A">
        <w:t xml:space="preserve">arrêt </w:t>
      </w:r>
      <w:r w:rsidRPr="0053519A">
        <w:rPr>
          <w:i/>
          <w:iCs/>
        </w:rPr>
        <w:t>Eskelinen</w:t>
      </w:r>
      <w:r w:rsidRPr="0053519A">
        <w:t>, trois sections différentes de la Cour ont effectivement souscrit au point de vue selon lequel le « lien spécial de confiance et de loyauté » nécessaire pour justifier une restriction du droit d</w:t>
      </w:r>
      <w:r w:rsidRPr="0053519A" w:rsidR="0053519A">
        <w:t>’</w:t>
      </w:r>
      <w:r w:rsidRPr="0053519A">
        <w:t>accès à un tribunal «</w:t>
      </w:r>
      <w:r w:rsidRPr="0053519A" w:rsidR="0057192F">
        <w:t> </w:t>
      </w:r>
      <w:r w:rsidRPr="0053519A">
        <w:t>n</w:t>
      </w:r>
      <w:r w:rsidRPr="0053519A" w:rsidR="0053519A">
        <w:t>’</w:t>
      </w:r>
      <w:r w:rsidRPr="0053519A">
        <w:t>est guère conciliable » avec l</w:t>
      </w:r>
      <w:r w:rsidRPr="0053519A" w:rsidR="0053519A">
        <w:t>’</w:t>
      </w:r>
      <w:r w:rsidRPr="0053519A">
        <w:t>indépendance des magistrats, dont «</w:t>
      </w:r>
      <w:r w:rsidRPr="0053519A" w:rsidR="0057192F">
        <w:t> </w:t>
      </w:r>
      <w:r w:rsidRPr="0053519A">
        <w:t>la loyauté va à la prééminence du droit et à la démocratie et non aux détenteurs de prérogatives de puissance publique » (</w:t>
      </w:r>
      <w:proofErr w:type="spellStart"/>
      <w:r w:rsidRPr="0053519A">
        <w:rPr>
          <w:i/>
          <w:iCs/>
        </w:rPr>
        <w:t>Bilgen</w:t>
      </w:r>
      <w:proofErr w:type="spellEnd"/>
      <w:r w:rsidRPr="0053519A">
        <w:t>, §</w:t>
      </w:r>
      <w:r w:rsidRPr="0053519A" w:rsidR="0057192F">
        <w:t> </w:t>
      </w:r>
      <w:r w:rsidRPr="0053519A">
        <w:t xml:space="preserve">79 ; voir aussi </w:t>
      </w:r>
      <w:proofErr w:type="spellStart"/>
      <w:r w:rsidRPr="0053519A">
        <w:rPr>
          <w:i/>
          <w:iCs/>
        </w:rPr>
        <w:t>Kövesi</w:t>
      </w:r>
      <w:proofErr w:type="spellEnd"/>
      <w:r w:rsidRPr="0053519A">
        <w:t>, § 124</w:t>
      </w:r>
      <w:r w:rsidRPr="0053519A" w:rsidR="001D31BD">
        <w:t>, précités</w:t>
      </w:r>
      <w:r w:rsidRPr="0053519A">
        <w:t>). En outre, les juges et les procureurs ne peuvent pas faire respecter la prééminence du droit si le droit interne les prive des protections essentielles de la Convention sur des « questions touchant directement leur indépendance et leur impartialité individuelles ». Dès lors, la Cour n</w:t>
      </w:r>
      <w:r w:rsidRPr="0053519A" w:rsidR="0053519A">
        <w:t>’</w:t>
      </w:r>
      <w:r w:rsidRPr="0053519A">
        <w:t>a pas jugé bon de soustraire les magistrats à la protection de l</w:t>
      </w:r>
      <w:r w:rsidRPr="0053519A" w:rsidR="0053519A">
        <w:t>’</w:t>
      </w:r>
      <w:r w:rsidRPr="0053519A">
        <w:t>article 6 «</w:t>
      </w:r>
      <w:r w:rsidRPr="0053519A" w:rsidR="0057192F">
        <w:t> </w:t>
      </w:r>
      <w:r w:rsidRPr="0053519A">
        <w:t>pour des questions se rapportant à leurs conditions d</w:t>
      </w:r>
      <w:r w:rsidRPr="0053519A" w:rsidR="0053519A">
        <w:t>’</w:t>
      </w:r>
      <w:r w:rsidRPr="0053519A">
        <w:t>emploi sur la base du lien spécial de loyauté et de confiance envers l</w:t>
      </w:r>
      <w:r w:rsidRPr="0053519A" w:rsidR="0053519A">
        <w:t>’</w:t>
      </w:r>
      <w:r w:rsidRPr="0053519A">
        <w:t>État</w:t>
      </w:r>
      <w:r w:rsidRPr="0053519A" w:rsidR="0057192F">
        <w:t> </w:t>
      </w:r>
      <w:r w:rsidRPr="0053519A">
        <w:t>» (</w:t>
      </w:r>
      <w:proofErr w:type="spellStart"/>
      <w:r w:rsidRPr="0053519A">
        <w:rPr>
          <w:i/>
          <w:iCs/>
        </w:rPr>
        <w:t>Bilgen</w:t>
      </w:r>
      <w:proofErr w:type="spellEnd"/>
      <w:r w:rsidRPr="0053519A">
        <w:t xml:space="preserve">, § 79 et </w:t>
      </w:r>
      <w:proofErr w:type="spellStart"/>
      <w:r w:rsidRPr="0053519A">
        <w:rPr>
          <w:i/>
          <w:iCs/>
        </w:rPr>
        <w:t>Eminağaoğlu</w:t>
      </w:r>
      <w:proofErr w:type="spellEnd"/>
      <w:r w:rsidRPr="0053519A">
        <w:t>, § 78</w:t>
      </w:r>
      <w:r w:rsidRPr="0053519A" w:rsidR="001D31BD">
        <w:t>, précités</w:t>
      </w:r>
      <w:r w:rsidRPr="0053519A">
        <w:t>).</w:t>
      </w:r>
    </w:p>
    <w:p w:rsidRPr="0053519A" w:rsidR="009A6920" w:rsidP="0053519A" w:rsidRDefault="009A6920" w14:paraId="3F2A96AA" w14:textId="77777777">
      <w:pPr>
        <w:pStyle w:val="JuPara"/>
      </w:pPr>
      <w:r w:rsidRPr="0053519A">
        <w:t>7.  Il résulte de ce qui précède qu</w:t>
      </w:r>
      <w:r w:rsidRPr="0053519A" w:rsidR="0053519A">
        <w:t>’</w:t>
      </w:r>
      <w:r w:rsidRPr="0053519A">
        <w:t>il existe une présomption selon laquelle le deuxième critère tiré de l</w:t>
      </w:r>
      <w:r w:rsidRPr="0053519A" w:rsidR="0053519A">
        <w:t>’</w:t>
      </w:r>
      <w:r w:rsidRPr="0053519A">
        <w:t xml:space="preserve">arrêt </w:t>
      </w:r>
      <w:r w:rsidRPr="0053519A">
        <w:rPr>
          <w:i/>
          <w:iCs/>
        </w:rPr>
        <w:t>Eskelinen</w:t>
      </w:r>
      <w:r w:rsidRPr="0053519A">
        <w:t xml:space="preserve"> ne s</w:t>
      </w:r>
      <w:r w:rsidRPr="0053519A" w:rsidR="0053519A">
        <w:t>’</w:t>
      </w:r>
      <w:r w:rsidRPr="0053519A">
        <w:t>applique pas et ne peut s</w:t>
      </w:r>
      <w:r w:rsidRPr="0053519A" w:rsidR="0053519A">
        <w:t>’</w:t>
      </w:r>
      <w:r w:rsidRPr="0053519A">
        <w:t>appliquer aux litiges relatifs aux conditions d</w:t>
      </w:r>
      <w:r w:rsidRPr="0053519A" w:rsidR="0053519A">
        <w:t>’</w:t>
      </w:r>
      <w:r w:rsidRPr="0053519A">
        <w:t>emploi des juges et des procureurs, qui devraient bénéficier du droit d</w:t>
      </w:r>
      <w:r w:rsidRPr="0053519A" w:rsidR="0053519A">
        <w:t>’</w:t>
      </w:r>
      <w:r w:rsidRPr="0053519A">
        <w:t>accès à un tribunal prévu par l</w:t>
      </w:r>
      <w:r w:rsidRPr="0053519A" w:rsidR="0053519A">
        <w:t>’</w:t>
      </w:r>
      <w:r w:rsidRPr="0053519A">
        <w:t>article 6 dans de telles circonstances. Il est donc indifférent que le premier de ces critères, qui exige que le droit interne interdise expressément l</w:t>
      </w:r>
      <w:r w:rsidRPr="0053519A" w:rsidR="0053519A">
        <w:t>’</w:t>
      </w:r>
      <w:r w:rsidRPr="0053519A">
        <w:t>accès à un tribunal pour la fonction en question, soit satisfait ou non.</w:t>
      </w:r>
    </w:p>
    <w:p w:rsidRPr="0053519A" w:rsidR="009A6920" w:rsidP="0053519A" w:rsidRDefault="009A6920" w14:paraId="5FE2DC9C" w14:textId="77777777">
      <w:pPr>
        <w:pStyle w:val="JuPara"/>
      </w:pPr>
      <w:r w:rsidRPr="0053519A">
        <w:t>8.  La présente affaire donne à la Cour une bonne occasion d</w:t>
      </w:r>
      <w:r w:rsidRPr="0053519A" w:rsidR="0053519A">
        <w:t>’</w:t>
      </w:r>
      <w:r w:rsidRPr="0053519A">
        <w:t>examiner si le même raisonnement devrait s</w:t>
      </w:r>
      <w:r w:rsidRPr="0053519A" w:rsidR="0053519A">
        <w:t>’</w:t>
      </w:r>
      <w:r w:rsidRPr="0053519A">
        <w:t>appliquer aux membres d</w:t>
      </w:r>
      <w:r w:rsidRPr="0053519A" w:rsidR="0053519A">
        <w:t>’</w:t>
      </w:r>
      <w:r w:rsidRPr="0053519A">
        <w:t>organes d</w:t>
      </w:r>
      <w:r w:rsidRPr="0053519A" w:rsidR="0053519A">
        <w:t>’</w:t>
      </w:r>
      <w:r w:rsidRPr="0053519A">
        <w:t>administration judiciaire tels que le CSJ. Il s</w:t>
      </w:r>
      <w:r w:rsidRPr="0053519A" w:rsidR="0053519A">
        <w:t>’</w:t>
      </w:r>
      <w:r w:rsidRPr="0053519A">
        <w:t>agit d</w:t>
      </w:r>
      <w:r w:rsidRPr="0053519A" w:rsidR="0053519A">
        <w:t>’</w:t>
      </w:r>
      <w:r w:rsidRPr="0053519A">
        <w:t>un petit bond qui à mes yeux est justifié compte tenu du rôle fondamental joué par ces organes, qui ont été mis en place dans la grande majorité des États parties à la Convention afin d</w:t>
      </w:r>
      <w:r w:rsidRPr="0053519A" w:rsidR="0053519A">
        <w:t>’</w:t>
      </w:r>
      <w:r w:rsidRPr="0053519A">
        <w:t>assurer l</w:t>
      </w:r>
      <w:r w:rsidRPr="0053519A" w:rsidR="0053519A">
        <w:t>’</w:t>
      </w:r>
      <w:r w:rsidRPr="0053519A">
        <w:t>indépendance structurelle et l</w:t>
      </w:r>
      <w:r w:rsidRPr="0053519A" w:rsidR="0053519A">
        <w:t>’</w:t>
      </w:r>
      <w:r w:rsidRPr="0053519A">
        <w:t>intégrité des systèmes juridictionnels nationaux. La présomption fonctionnelle d</w:t>
      </w:r>
      <w:r w:rsidRPr="0053519A" w:rsidR="0053519A">
        <w:t>’</w:t>
      </w:r>
      <w:r w:rsidRPr="0053519A">
        <w:t>un droit d</w:t>
      </w:r>
      <w:r w:rsidRPr="0053519A" w:rsidR="0053519A">
        <w:t>’</w:t>
      </w:r>
      <w:r w:rsidRPr="0053519A">
        <w:t>accès à un tribunal garanti par l</w:t>
      </w:r>
      <w:r w:rsidRPr="0053519A" w:rsidR="0053519A">
        <w:t>’</w:t>
      </w:r>
      <w:r w:rsidRPr="0053519A">
        <w:t>article 6 pour les litiges relatifs au statut devrait, en principe, s</w:t>
      </w:r>
      <w:r w:rsidRPr="0053519A" w:rsidR="0053519A">
        <w:t>’</w:t>
      </w:r>
      <w:r w:rsidRPr="0053519A">
        <w:t>appliquer aussi bien aux membres magistrats qu</w:t>
      </w:r>
      <w:r w:rsidRPr="0053519A" w:rsidR="0053519A">
        <w:t>’</w:t>
      </w:r>
      <w:r w:rsidRPr="0053519A">
        <w:t xml:space="preserve">aux membres </w:t>
      </w:r>
      <w:proofErr w:type="gramStart"/>
      <w:r w:rsidRPr="0053519A">
        <w:t>non magistrats</w:t>
      </w:r>
      <w:proofErr w:type="gramEnd"/>
      <w:r w:rsidRPr="0053519A">
        <w:t xml:space="preserve"> des organes d</w:t>
      </w:r>
      <w:r w:rsidRPr="0053519A" w:rsidR="0053519A">
        <w:t>’</w:t>
      </w:r>
      <w:r w:rsidRPr="0053519A">
        <w:t>administration judiciaire, quelles que soient les modalités de leur nomination ou de leur révocation.</w:t>
      </w:r>
    </w:p>
    <w:p w:rsidRPr="0053519A" w:rsidR="00E62E45" w:rsidP="0053519A" w:rsidRDefault="009A6920" w14:paraId="1D36393F" w14:textId="77777777">
      <w:pPr>
        <w:pStyle w:val="JuPara"/>
      </w:pPr>
      <w:r w:rsidRPr="0053519A">
        <w:t>9.  La présomption devrait être réfutable, mais seulement à la lourde charge pour le gouvernement défendeur de prouver qu</w:t>
      </w:r>
      <w:r w:rsidRPr="0053519A" w:rsidR="0053519A">
        <w:t>’</w:t>
      </w:r>
      <w:r w:rsidRPr="0053519A">
        <w:t>il existe une autre forme de redressement comparable au contrôle juridictionnel, en ce qui concerne aussi bien la structure de l</w:t>
      </w:r>
      <w:r w:rsidRPr="0053519A" w:rsidR="0053519A">
        <w:t>’</w:t>
      </w:r>
      <w:r w:rsidRPr="0053519A">
        <w:t>organe décisionnel que les garanties procédurales. En l</w:t>
      </w:r>
      <w:r w:rsidRPr="0053519A" w:rsidR="0053519A">
        <w:t>’</w:t>
      </w:r>
      <w:r w:rsidRPr="0053519A">
        <w:t xml:space="preserve">espèce, la moitié des membres du CSJ sont des magistrats élus par leurs pairs, et les décisions en matière de cessation </w:t>
      </w:r>
      <w:bookmarkStart w:name="_Hlk76042866" w:id="43"/>
      <w:r w:rsidRPr="0053519A">
        <w:t>(et, ce qui est discutable, de suspension)</w:t>
      </w:r>
      <w:bookmarkEnd w:id="43"/>
      <w:r w:rsidRPr="0053519A">
        <w:t xml:space="preserve"> des fonctions d</w:t>
      </w:r>
      <w:r w:rsidRPr="0053519A" w:rsidR="0053519A">
        <w:t>’</w:t>
      </w:r>
      <w:r w:rsidRPr="0053519A">
        <w:t>un membre nécessitent une majorité des deux tiers. Cela donnerait à un tiers des membres magistrats un droit de veto sur ces décisions (même s</w:t>
      </w:r>
      <w:r w:rsidRPr="0053519A" w:rsidR="0053519A">
        <w:t>’</w:t>
      </w:r>
      <w:r w:rsidRPr="0053519A">
        <w:t>il serait peut-être préférable d</w:t>
      </w:r>
      <w:r w:rsidRPr="0053519A" w:rsidR="0053519A">
        <w:t>’</w:t>
      </w:r>
      <w:r w:rsidRPr="0053519A">
        <w:t>avoir une double exigence d</w:t>
      </w:r>
      <w:r w:rsidRPr="0053519A" w:rsidR="0053519A">
        <w:t>’</w:t>
      </w:r>
      <w:r w:rsidRPr="0053519A">
        <w:t>une majorité des membres magistrats votant en faveur de la décision). On peut concevoir que, s</w:t>
      </w:r>
      <w:r w:rsidRPr="0053519A" w:rsidR="0053519A">
        <w:t>’</w:t>
      </w:r>
      <w:r w:rsidRPr="0053519A">
        <w:t>il s</w:t>
      </w:r>
      <w:r w:rsidRPr="0053519A" w:rsidR="0053519A">
        <w:t>’</w:t>
      </w:r>
      <w:r w:rsidRPr="0053519A">
        <w:t>accompagne de solides garanties procédurales, un tel système soit considéré comme offrant une protection suffisante aux membres du CSJ. En revanche, et même si cela n</w:t>
      </w:r>
      <w:r w:rsidRPr="0053519A" w:rsidR="0053519A">
        <w:t>’</w:t>
      </w:r>
      <w:r w:rsidRPr="0053519A">
        <w:t>est pas pertinent en l</w:t>
      </w:r>
      <w:r w:rsidRPr="0053519A" w:rsidR="0053519A">
        <w:t>’</w:t>
      </w:r>
      <w:r w:rsidRPr="0053519A">
        <w:t xml:space="preserve">espèce, on peut soutenir que les procureurs membres ne devraient pas avoir voix au chapitre dans les décisions relatives au statut des membres judiciaires </w:t>
      </w:r>
      <w:r w:rsidRPr="0053519A" w:rsidR="001D31BD">
        <w:t>du</w:t>
      </w:r>
      <w:r w:rsidRPr="0053519A">
        <w:t xml:space="preserve"> CSJ. Quoi qu</w:t>
      </w:r>
      <w:r w:rsidRPr="0053519A" w:rsidR="0053519A">
        <w:t>’</w:t>
      </w:r>
      <w:r w:rsidRPr="0053519A">
        <w:t>il en soit, il est clair que le gouvernement défendeur n</w:t>
      </w:r>
      <w:r w:rsidRPr="0053519A" w:rsidR="0053519A">
        <w:t>’</w:t>
      </w:r>
      <w:r w:rsidRPr="0053519A">
        <w:t>a avancé aucun argument de cette nature, préférant soutenir que la décision de suspension était en fait soumise à un contrôle juridictionnel (et je suis d</w:t>
      </w:r>
      <w:r w:rsidRPr="0053519A" w:rsidR="0053519A">
        <w:t>’</w:t>
      </w:r>
      <w:r w:rsidRPr="0053519A">
        <w:t>accord ici avec la majorité pour dire que cette thèse est plutôt fragile). Dans ces conditions, il n</w:t>
      </w:r>
      <w:r w:rsidRPr="0053519A" w:rsidR="0053519A">
        <w:t>’</w:t>
      </w:r>
      <w:r w:rsidRPr="0053519A">
        <w:t>appartient pas à la Cour d</w:t>
      </w:r>
      <w:r w:rsidRPr="0053519A" w:rsidR="0053519A">
        <w:t>’</w:t>
      </w:r>
      <w:r w:rsidRPr="0053519A">
        <w:t>aider le Gouvernement à monter son dossier, et c</w:t>
      </w:r>
      <w:r w:rsidRPr="0053519A" w:rsidR="0053519A">
        <w:t>’</w:t>
      </w:r>
      <w:r w:rsidRPr="0053519A">
        <w:t>est sur cette base que j</w:t>
      </w:r>
      <w:r w:rsidRPr="0053519A" w:rsidR="0053519A">
        <w:t>’</w:t>
      </w:r>
      <w:r w:rsidRPr="0053519A">
        <w:t>ai voté en faveur d</w:t>
      </w:r>
      <w:r w:rsidRPr="0053519A" w:rsidR="0053519A">
        <w:t>’</w:t>
      </w:r>
      <w:r w:rsidRPr="0053519A">
        <w:t>un constat de violation de l</w:t>
      </w:r>
      <w:r w:rsidRPr="0053519A" w:rsidR="0053519A">
        <w:t>’</w:t>
      </w:r>
      <w:r w:rsidRPr="0053519A">
        <w:t>article 6 de la Convention.</w:t>
      </w:r>
    </w:p>
    <w:p w:rsidRPr="0053519A" w:rsidR="009A6920" w:rsidP="0053519A" w:rsidRDefault="009A6920" w14:paraId="443EE0EE" w14:textId="77777777">
      <w:pPr>
        <w:pStyle w:val="JuPara"/>
        <w:rPr>
          <w:color w:val="000000"/>
        </w:rPr>
        <w:sectPr w:rsidRPr="0053519A" w:rsidR="009A6920" w:rsidSect="00E62E45">
          <w:headerReference w:type="even" r:id="rId17"/>
          <w:headerReference w:type="default" r:id="rId18"/>
          <w:footnotePr>
            <w:numRestart w:val="eachSect"/>
          </w:footnotePr>
          <w:pgSz w:w="11906" w:h="16838" w:code="9"/>
          <w:pgMar w:top="2274" w:right="2274" w:bottom="2274" w:left="2274" w:header="1701" w:footer="720" w:gutter="0"/>
          <w:cols w:space="720"/>
          <w:noEndnote/>
          <w:docGrid w:linePitch="326"/>
        </w:sectPr>
      </w:pPr>
    </w:p>
    <w:p w:rsidRPr="0053519A" w:rsidR="000C64D6" w:rsidP="0053519A" w:rsidRDefault="000C64D6" w14:paraId="3B47E965" w14:textId="77777777">
      <w:pPr>
        <w:pStyle w:val="DecHTitle"/>
        <w:rPr>
          <w:rFonts w:eastAsia="Times New Roman"/>
        </w:rPr>
      </w:pPr>
      <w:r w:rsidRPr="0053519A">
        <w:rPr>
          <w:rFonts w:eastAsia="Times New Roman"/>
        </w:rPr>
        <w:t>OPINION DISSIDENTE DU JUGE ZÜND</w:t>
      </w:r>
    </w:p>
    <w:p w:rsidRPr="0053519A" w:rsidR="00F95D45" w:rsidP="0053519A" w:rsidRDefault="000C64D6" w14:paraId="50D1A6DA" w14:textId="77777777">
      <w:pPr>
        <w:pStyle w:val="JuPara"/>
      </w:pPr>
      <w:r w:rsidRPr="0053519A">
        <w:t>1.  Je n</w:t>
      </w:r>
      <w:r w:rsidRPr="0053519A" w:rsidR="0053519A">
        <w:t>’</w:t>
      </w:r>
      <w:r w:rsidRPr="0053519A">
        <w:t>ai pas voté avec la majorité, qui a conclu à la violation de l</w:t>
      </w:r>
      <w:r w:rsidRPr="0053519A" w:rsidR="0053519A">
        <w:t>’</w:t>
      </w:r>
      <w:r w:rsidRPr="0053519A">
        <w:t>article 6 § 1 de la Convention en tant qu</w:t>
      </w:r>
      <w:r w:rsidRPr="0053519A" w:rsidR="0053519A">
        <w:t>’</w:t>
      </w:r>
      <w:r w:rsidRPr="0053519A">
        <w:t>il garantit le droit d</w:t>
      </w:r>
      <w:r w:rsidRPr="0053519A" w:rsidR="0053519A">
        <w:t>’</w:t>
      </w:r>
      <w:r w:rsidRPr="0053519A">
        <w:t>accès à un tribunal.</w:t>
      </w:r>
    </w:p>
    <w:p w:rsidRPr="0053519A" w:rsidR="00F95D45" w:rsidP="0053519A" w:rsidRDefault="000C64D6" w14:paraId="15FAC6E6" w14:textId="77777777">
      <w:pPr>
        <w:pStyle w:val="JuPara"/>
      </w:pPr>
      <w:r w:rsidRPr="0053519A">
        <w:t>2.  La requérante, membre du Conseil supérieur de la Justice, fut suspendue de sa fonction de manière provisoire par l</w:t>
      </w:r>
      <w:r w:rsidRPr="0053519A" w:rsidR="0053519A">
        <w:t>’</w:t>
      </w:r>
      <w:r w:rsidRPr="0053519A">
        <w:t>assemblée générale de ce Conseil à la suite de son inculpation du chef de faux en écritures et usage de faux.</w:t>
      </w:r>
    </w:p>
    <w:p w:rsidRPr="0053519A" w:rsidR="000C64D6" w:rsidP="0053519A" w:rsidRDefault="000C64D6" w14:paraId="50AD26E4" w14:textId="77777777">
      <w:pPr>
        <w:pStyle w:val="JuPara"/>
      </w:pPr>
      <w:r w:rsidRPr="0053519A">
        <w:t>3.  L</w:t>
      </w:r>
      <w:r w:rsidRPr="0053519A" w:rsidR="0053519A">
        <w:t>’</w:t>
      </w:r>
      <w:r w:rsidRPr="0053519A">
        <w:t>article 259</w:t>
      </w:r>
      <w:r w:rsidRPr="0053519A">
        <w:rPr>
          <w:i/>
          <w:iCs/>
        </w:rPr>
        <w:t>bis</w:t>
      </w:r>
      <w:r w:rsidRPr="0053519A">
        <w:t>-3 du code judiciaire, dans son paragraphe 4, prévoit que lorsque des motifs graves le justifient, il peut être mis fin au mandat d</w:t>
      </w:r>
      <w:r w:rsidRPr="0053519A" w:rsidR="0053519A">
        <w:t>’</w:t>
      </w:r>
      <w:r w:rsidRPr="0053519A">
        <w:t>un membre par le Conseil supérieur de la Justice, qui en décide à la majorité des deux tiers. Ces décisions ne sont susceptibles d</w:t>
      </w:r>
      <w:r w:rsidRPr="0053519A" w:rsidR="0053519A">
        <w:t>’</w:t>
      </w:r>
      <w:r w:rsidRPr="0053519A">
        <w:t>aucun recours.</w:t>
      </w:r>
    </w:p>
    <w:p w:rsidRPr="0053519A" w:rsidR="000C64D6" w:rsidP="0053519A" w:rsidRDefault="000C64D6" w14:paraId="1DB9E1A8" w14:textId="77777777">
      <w:pPr>
        <w:pStyle w:val="JuPara"/>
      </w:pPr>
      <w:r w:rsidRPr="0053519A">
        <w:t>4.  Avec la majorité je considère qu</w:t>
      </w:r>
      <w:r w:rsidRPr="0053519A" w:rsidR="0053519A">
        <w:t>’</w:t>
      </w:r>
      <w:r w:rsidRPr="0053519A">
        <w:t>il y a dans le cas d</w:t>
      </w:r>
      <w:r w:rsidRPr="0053519A" w:rsidR="0053519A">
        <w:t>’</w:t>
      </w:r>
      <w:r w:rsidRPr="0053519A">
        <w:t>espèce une « contestation » sur un « droit » parce que la mesure provisoire a empêché la requérante d</w:t>
      </w:r>
      <w:r w:rsidRPr="0053519A" w:rsidR="0053519A">
        <w:t>’</w:t>
      </w:r>
      <w:r w:rsidRPr="0053519A">
        <w:t>exercer la fonction à laquelle elle avait été élue auparavant. Pour soustraire un litige à la protection du volet civil de l</w:t>
      </w:r>
      <w:r w:rsidRPr="0053519A" w:rsidR="0053519A">
        <w:t>’</w:t>
      </w:r>
      <w:r w:rsidRPr="0053519A">
        <w:t>article 6, les deux conditions énoncées dans l</w:t>
      </w:r>
      <w:r w:rsidRPr="0053519A" w:rsidR="0053519A">
        <w:t>’</w:t>
      </w:r>
      <w:r w:rsidRPr="0053519A">
        <w:t xml:space="preserve">arrêt </w:t>
      </w:r>
      <w:proofErr w:type="spellStart"/>
      <w:r w:rsidRPr="0053519A" w:rsidR="005577CA">
        <w:rPr>
          <w:i/>
        </w:rPr>
        <w:t>Vilho</w:t>
      </w:r>
      <w:proofErr w:type="spellEnd"/>
      <w:r w:rsidRPr="0053519A" w:rsidR="005577CA">
        <w:rPr>
          <w:i/>
        </w:rPr>
        <w:t xml:space="preserve"> Eskelinen et autres c. Finlande</w:t>
      </w:r>
      <w:r w:rsidRPr="0053519A" w:rsidR="005577CA">
        <w:t xml:space="preserve"> ([GC], n</w:t>
      </w:r>
      <w:r w:rsidRPr="0053519A" w:rsidR="005577CA">
        <w:rPr>
          <w:vertAlign w:val="superscript"/>
        </w:rPr>
        <w:t>o</w:t>
      </w:r>
      <w:r w:rsidRPr="0053519A" w:rsidR="005577CA">
        <w:t xml:space="preserve"> 63235/00, CEDH 2007</w:t>
      </w:r>
      <w:r w:rsidRPr="0053519A" w:rsidR="005577CA">
        <w:noBreakHyphen/>
        <w:t xml:space="preserve">II) </w:t>
      </w:r>
      <w:r w:rsidRPr="0053519A">
        <w:t>doivent être remplies. En premier lieu, le droit interne doit avoir expressément exclu l</w:t>
      </w:r>
      <w:r w:rsidRPr="0053519A" w:rsidR="0053519A">
        <w:t>’</w:t>
      </w:r>
      <w:r w:rsidRPr="0053519A">
        <w:t>accès à un tribunal s</w:t>
      </w:r>
      <w:r w:rsidRPr="0053519A" w:rsidR="0053519A">
        <w:t>’</w:t>
      </w:r>
      <w:r w:rsidRPr="0053519A">
        <w:t>agissant du poste en question. En second lieu, cette dérogation doit reposer sur des motifs objectifs liés à l</w:t>
      </w:r>
      <w:r w:rsidRPr="0053519A" w:rsidR="0053519A">
        <w:t>’</w:t>
      </w:r>
      <w:r w:rsidRPr="0053519A">
        <w:t>intérêt de l</w:t>
      </w:r>
      <w:r w:rsidRPr="0053519A" w:rsidR="0053519A">
        <w:t>’</w:t>
      </w:r>
      <w:r w:rsidRPr="0053519A" w:rsidR="00BE30EE">
        <w:t>État</w:t>
      </w:r>
      <w:r w:rsidRPr="0053519A">
        <w:t>.</w:t>
      </w:r>
    </w:p>
    <w:p w:rsidRPr="0053519A" w:rsidR="000C64D6" w:rsidP="0053519A" w:rsidRDefault="000C64D6" w14:paraId="7F12A1ED" w14:textId="77777777">
      <w:pPr>
        <w:pStyle w:val="JuPara"/>
      </w:pPr>
      <w:r w:rsidRPr="0053519A">
        <w:t>5.  La décision, prise par la majorité des deux tiers du Conseil supérieur de la Justice, de mettre fin au mandat de l</w:t>
      </w:r>
      <w:r w:rsidRPr="0053519A" w:rsidR="0053519A">
        <w:t>’</w:t>
      </w:r>
      <w:r w:rsidRPr="0053519A">
        <w:t>un de ses membres est explicitement dépourvue de toute possibilité d</w:t>
      </w:r>
      <w:r w:rsidRPr="0053519A" w:rsidR="0053519A">
        <w:t>’</w:t>
      </w:r>
      <w:r w:rsidRPr="0053519A">
        <w:t>être mise en cause au moyen d</w:t>
      </w:r>
      <w:r w:rsidRPr="0053519A" w:rsidR="0053519A">
        <w:t>’</w:t>
      </w:r>
      <w:r w:rsidRPr="0053519A">
        <w:t xml:space="preserve">un recours quelconque. </w:t>
      </w:r>
      <w:r w:rsidRPr="0053519A" w:rsidR="00BE30EE">
        <w:t>À</w:t>
      </w:r>
      <w:r w:rsidRPr="0053519A">
        <w:t xml:space="preserve"> mon avis, cette exclusion de tout recours s</w:t>
      </w:r>
      <w:r w:rsidRPr="0053519A" w:rsidR="0053519A">
        <w:t>’</w:t>
      </w:r>
      <w:r w:rsidRPr="0053519A">
        <w:t>applique non seulement à la cessation pure et simple du mandat, mais aussi – comme c</w:t>
      </w:r>
      <w:r w:rsidRPr="0053519A" w:rsidR="0053519A">
        <w:t>’</w:t>
      </w:r>
      <w:r w:rsidRPr="0053519A">
        <w:t>est le cas en l</w:t>
      </w:r>
      <w:r w:rsidRPr="0053519A" w:rsidR="0053519A">
        <w:t>’</w:t>
      </w:r>
      <w:r w:rsidRPr="0053519A">
        <w:t>espèce – à une mesure provisoire de suspension de la fonction jusqu</w:t>
      </w:r>
      <w:r w:rsidRPr="0053519A" w:rsidR="0053519A">
        <w:t>’</w:t>
      </w:r>
      <w:r w:rsidRPr="0053519A">
        <w:t>à ce que l</w:t>
      </w:r>
      <w:r w:rsidRPr="0053519A" w:rsidR="0053519A">
        <w:t>’</w:t>
      </w:r>
      <w:r w:rsidRPr="0053519A">
        <w:t>issue de la procédure pénale soit connue : qui peut le plus peut le moins.</w:t>
      </w:r>
    </w:p>
    <w:p w:rsidRPr="0053519A" w:rsidR="000C64D6" w:rsidP="0053519A" w:rsidRDefault="000C64D6" w14:paraId="08DAEE46" w14:textId="77777777">
      <w:pPr>
        <w:pStyle w:val="JuPara"/>
      </w:pPr>
      <w:r w:rsidRPr="0053519A">
        <w:t>6.  L</w:t>
      </w:r>
      <w:r w:rsidRPr="0053519A" w:rsidR="0053519A">
        <w:t>’</w:t>
      </w:r>
      <w:r w:rsidRPr="0053519A">
        <w:t>exclusion d</w:t>
      </w:r>
      <w:r w:rsidRPr="0053519A" w:rsidR="0053519A">
        <w:t>’</w:t>
      </w:r>
      <w:r w:rsidRPr="0053519A">
        <w:t>un recours doit reposer sur et être justifiée par des motifs objectifs et prépondérants. Le Conseil supérieur de la Justice est une entité indépendante. Ses membres sont élus pour une durée prévue par la loi sans que le gouvernement ni le parlement n</w:t>
      </w:r>
      <w:r w:rsidRPr="0053519A" w:rsidR="0053519A">
        <w:t>’</w:t>
      </w:r>
      <w:r w:rsidRPr="0053519A">
        <w:t>aient la possibilité de mettre fin au mandat, même dans des situations qui peuvent exceptionnellement le nécessiter. C</w:t>
      </w:r>
      <w:r w:rsidRPr="0053519A" w:rsidR="0053519A">
        <w:t>’</w:t>
      </w:r>
      <w:r w:rsidRPr="0053519A">
        <w:t>est pour sauvegarder l</w:t>
      </w:r>
      <w:r w:rsidRPr="0053519A" w:rsidR="0053519A">
        <w:t>’</w:t>
      </w:r>
      <w:r w:rsidRPr="0053519A">
        <w:t>indépendance du Conseil que la loi exclut l</w:t>
      </w:r>
      <w:r w:rsidRPr="0053519A" w:rsidR="0053519A">
        <w:t>’</w:t>
      </w:r>
      <w:r w:rsidRPr="0053519A">
        <w:t>intervention d</w:t>
      </w:r>
      <w:r w:rsidRPr="0053519A" w:rsidR="0053519A">
        <w:t>’</w:t>
      </w:r>
      <w:r w:rsidRPr="0053519A">
        <w:t>une autre autorité et prévoit qu</w:t>
      </w:r>
      <w:r w:rsidRPr="0053519A" w:rsidR="0053519A">
        <w:t>’</w:t>
      </w:r>
      <w:r w:rsidRPr="0053519A">
        <w:t>il est dans la compétence de l</w:t>
      </w:r>
      <w:r w:rsidRPr="0053519A" w:rsidR="0053519A">
        <w:t>’</w:t>
      </w:r>
      <w:r w:rsidRPr="0053519A">
        <w:t>assemblée générale du Conseil lui-même de mettre fin au mandat pour des motifs graves, à une majorité qualifiée. Si, en outre, une décision du Conseil supérieur de la Justice venait après coup à être mise en doute par un recours devant un tribunal, son autorité et sa crédibilité comme organe de surveillance de la justice seraient mises en danger. Il existe dès lors des motifs objectifs et pertinents qui justifient que le litige concernant la suspension du mandat jusqu</w:t>
      </w:r>
      <w:r w:rsidRPr="0053519A" w:rsidR="0053519A">
        <w:t>’</w:t>
      </w:r>
      <w:r w:rsidRPr="0053519A">
        <w:t>à droit connu sur les suites de l</w:t>
      </w:r>
      <w:r w:rsidRPr="0053519A" w:rsidR="0053519A">
        <w:t>’</w:t>
      </w:r>
      <w:r w:rsidRPr="0053519A">
        <w:t>inculpation ne puisse pas être porté devant un tribunal.</w:t>
      </w:r>
    </w:p>
    <w:p w:rsidRPr="0053519A" w:rsidR="000C64D6" w:rsidP="0053519A" w:rsidRDefault="000C64D6" w14:paraId="51F39991" w14:textId="77777777">
      <w:pPr>
        <w:pStyle w:val="JuPara"/>
      </w:pPr>
      <w:r w:rsidRPr="0053519A">
        <w:t>7.  Il me reste à signaler que la solution de cette problématique par le droit belge n</w:t>
      </w:r>
      <w:r w:rsidRPr="0053519A" w:rsidR="0053519A">
        <w:t>’</w:t>
      </w:r>
      <w:r w:rsidRPr="0053519A">
        <w:t>est pas seulement compatible avec les critères tirés de l</w:t>
      </w:r>
      <w:r w:rsidRPr="0053519A" w:rsidR="0053519A">
        <w:t>’</w:t>
      </w:r>
      <w:r w:rsidRPr="0053519A">
        <w:t xml:space="preserve">arrêt </w:t>
      </w:r>
      <w:proofErr w:type="spellStart"/>
      <w:r w:rsidRPr="0053519A">
        <w:rPr>
          <w:i/>
          <w:iCs/>
        </w:rPr>
        <w:t>Vilho</w:t>
      </w:r>
      <w:proofErr w:type="spellEnd"/>
      <w:r w:rsidRPr="0053519A">
        <w:rPr>
          <w:i/>
          <w:iCs/>
        </w:rPr>
        <w:t xml:space="preserve"> Eskelinen</w:t>
      </w:r>
      <w:r w:rsidRPr="0053519A">
        <w:t xml:space="preserve"> </w:t>
      </w:r>
      <w:r w:rsidRPr="0053519A" w:rsidR="00587970">
        <w:t xml:space="preserve">(précité) </w:t>
      </w:r>
      <w:r w:rsidRPr="0053519A">
        <w:t>mais correspond aussi à celle prévue par l</w:t>
      </w:r>
      <w:r w:rsidRPr="0053519A" w:rsidR="0053519A">
        <w:t>’</w:t>
      </w:r>
      <w:r w:rsidRPr="0053519A">
        <w:t>article</w:t>
      </w:r>
      <w:r w:rsidRPr="0053519A" w:rsidR="00587970">
        <w:t> </w:t>
      </w:r>
      <w:r w:rsidRPr="0053519A">
        <w:t>23 § 4 de la Convention : la plénière de la Cour peut relever un juge de ses fonctions, à la majorité des deux tiers, si ce juge a cessé de répondre aux conditions requises.</w:t>
      </w:r>
    </w:p>
    <w:p w:rsidRPr="0053519A" w:rsidR="00E62E45" w:rsidP="0053519A" w:rsidRDefault="000C64D6" w14:paraId="09573AFA" w14:textId="77777777">
      <w:pPr>
        <w:pStyle w:val="JuPara"/>
        <w:rPr>
          <w:color w:val="000000"/>
        </w:rPr>
      </w:pPr>
      <w:r w:rsidRPr="0053519A">
        <w:t>8.  En ce qui concerne le versement d</w:t>
      </w:r>
      <w:r w:rsidRPr="0053519A" w:rsidR="0053519A">
        <w:t>’</w:t>
      </w:r>
      <w:r w:rsidRPr="0053519A">
        <w:t>un montant au titre de la satisfaction équitable, j</w:t>
      </w:r>
      <w:r w:rsidRPr="0053519A" w:rsidR="0053519A">
        <w:t>’</w:t>
      </w:r>
      <w:r w:rsidRPr="0053519A">
        <w:t>ai voté avec la majorité sur la base du constat par la Cour d</w:t>
      </w:r>
      <w:r w:rsidRPr="0053519A" w:rsidR="0053519A">
        <w:t>’</w:t>
      </w:r>
      <w:r w:rsidRPr="0053519A">
        <w:t>une violation de l</w:t>
      </w:r>
      <w:r w:rsidRPr="0053519A" w:rsidR="0053519A">
        <w:t>’</w:t>
      </w:r>
      <w:r w:rsidRPr="0053519A">
        <w:t>article 6 § 1.</w:t>
      </w:r>
    </w:p>
    <w:p w:rsidRPr="0053519A" w:rsidR="00601F4E" w:rsidP="0053519A" w:rsidRDefault="00601F4E" w14:paraId="727E407D" w14:textId="77777777">
      <w:pPr>
        <w:rPr>
          <w:color w:val="000000"/>
        </w:rPr>
        <w:sectPr w:rsidRPr="0053519A" w:rsidR="00601F4E" w:rsidSect="00E62E45">
          <w:headerReference w:type="default" r:id="rId19"/>
          <w:footnotePr>
            <w:numRestart w:val="eachSect"/>
          </w:footnotePr>
          <w:pgSz w:w="11906" w:h="16838" w:code="9"/>
          <w:pgMar w:top="2274" w:right="2274" w:bottom="2274" w:left="2274" w:header="1701" w:footer="720" w:gutter="0"/>
          <w:cols w:space="720"/>
          <w:noEndnote/>
          <w:docGrid w:linePitch="326"/>
        </w:sectPr>
      </w:pPr>
    </w:p>
    <w:p w:rsidRPr="0053519A" w:rsidR="00601F4E" w:rsidP="0053519A" w:rsidRDefault="00601F4E" w14:paraId="707CFA09" w14:textId="77777777">
      <w:pPr>
        <w:pStyle w:val="DecHTitle"/>
      </w:pPr>
      <w:r w:rsidRPr="0053519A">
        <w:rPr>
          <w:caps/>
        </w:rPr>
        <w:t>A</w:t>
      </w:r>
      <w:r w:rsidRPr="0053519A" w:rsidR="00297752">
        <w:rPr>
          <w:caps/>
        </w:rPr>
        <w:t>NNEXE</w:t>
      </w:r>
    </w:p>
    <w:p w:rsidRPr="0053519A" w:rsidR="00601F4E" w:rsidP="0053519A" w:rsidRDefault="00601F4E" w14:paraId="05912A94" w14:textId="77777777">
      <w:pPr>
        <w:pStyle w:val="DecHCase"/>
        <w:keepNext w:val="0"/>
        <w:keepLines w:val="0"/>
        <w:jc w:val="left"/>
      </w:pPr>
      <w:r w:rsidRPr="0053519A">
        <w:t>Liste des affaires :</w:t>
      </w:r>
    </w:p>
    <w:tbl>
      <w:tblPr>
        <w:tblStyle w:val="ECHRListTable"/>
        <w:tblW w:w="8046" w:type="dxa"/>
        <w:tblLook w:val="0420" w:firstRow="1" w:lastRow="0" w:firstColumn="0" w:lastColumn="0" w:noHBand="0" w:noVBand="1"/>
      </w:tblPr>
      <w:tblGrid>
        <w:gridCol w:w="516"/>
        <w:gridCol w:w="1123"/>
        <w:gridCol w:w="1794"/>
        <w:gridCol w:w="1430"/>
        <w:gridCol w:w="1416"/>
        <w:gridCol w:w="1767"/>
      </w:tblGrid>
      <w:tr w:rsidRPr="0053519A" w:rsidR="00601F4E" w:rsidTr="00CD1601" w14:paraId="4A4F491F" w14:textId="77777777">
        <w:trPr>
          <w:cnfStyle w:val="100000000000" w:firstRow="1" w:lastRow="0" w:firstColumn="0" w:lastColumn="0" w:oddVBand="0" w:evenVBand="0" w:oddHBand="0" w:evenHBand="0" w:firstRowFirstColumn="0" w:firstRowLastColumn="0" w:lastRowFirstColumn="0" w:lastRowLastColumn="0"/>
        </w:trPr>
        <w:tc>
          <w:tcPr>
            <w:tcW w:w="0" w:type="auto"/>
          </w:tcPr>
          <w:p w:rsidRPr="0053519A" w:rsidR="00601F4E" w:rsidP="0053519A" w:rsidRDefault="00601F4E" w14:paraId="2D1B1442" w14:textId="77777777">
            <w:bookmarkStart w:name="AppTableStart" w:id="44"/>
            <w:bookmarkEnd w:id="44"/>
            <w:r w:rsidRPr="0053519A">
              <w:t>N</w:t>
            </w:r>
            <w:r w:rsidRPr="0053519A">
              <w:rPr>
                <w:vertAlign w:val="superscript"/>
              </w:rPr>
              <w:t>o</w:t>
            </w:r>
          </w:p>
        </w:tc>
        <w:tc>
          <w:tcPr>
            <w:tcW w:w="0" w:type="auto"/>
          </w:tcPr>
          <w:p w:rsidRPr="0053519A" w:rsidR="00601F4E" w:rsidP="0053519A" w:rsidRDefault="00601F4E" w14:paraId="02E4ED11" w14:textId="77777777">
            <w:r w:rsidRPr="0053519A">
              <w:t>Requête N</w:t>
            </w:r>
            <w:r w:rsidRPr="0053519A">
              <w:rPr>
                <w:vertAlign w:val="superscript"/>
              </w:rPr>
              <w:t>o</w:t>
            </w:r>
          </w:p>
        </w:tc>
        <w:tc>
          <w:tcPr>
            <w:tcW w:w="1739" w:type="dxa"/>
          </w:tcPr>
          <w:p w:rsidRPr="0053519A" w:rsidR="00601F4E" w:rsidP="0053519A" w:rsidRDefault="00601F4E" w14:paraId="2367446C" w14:textId="77777777">
            <w:r w:rsidRPr="0053519A">
              <w:t>Nom de l</w:t>
            </w:r>
            <w:r w:rsidRPr="0053519A" w:rsidR="0053519A">
              <w:t>’</w:t>
            </w:r>
            <w:r w:rsidRPr="0053519A">
              <w:t>affaire</w:t>
            </w:r>
          </w:p>
        </w:tc>
        <w:tc>
          <w:tcPr>
            <w:tcW w:w="1239" w:type="dxa"/>
          </w:tcPr>
          <w:p w:rsidRPr="0053519A" w:rsidR="00601F4E" w:rsidP="0053519A" w:rsidRDefault="00601F4E" w14:paraId="4BB8B342" w14:textId="77777777">
            <w:r w:rsidRPr="0053519A">
              <w:t>Introduite le</w:t>
            </w:r>
          </w:p>
        </w:tc>
        <w:tc>
          <w:tcPr>
            <w:tcW w:w="1416" w:type="dxa"/>
          </w:tcPr>
          <w:p w:rsidRPr="0053519A" w:rsidR="00601F4E" w:rsidP="0053519A" w:rsidRDefault="00601F4E" w14:paraId="07C1DB86" w14:textId="77777777">
            <w:r w:rsidRPr="0053519A">
              <w:t>Requérante</w:t>
            </w:r>
          </w:p>
          <w:p w:rsidRPr="0053519A" w:rsidR="00601F4E" w:rsidP="0053519A" w:rsidRDefault="00601F4E" w14:paraId="330F506A" w14:textId="77777777"/>
        </w:tc>
        <w:tc>
          <w:tcPr>
            <w:tcW w:w="2022" w:type="dxa"/>
          </w:tcPr>
          <w:p w:rsidRPr="0053519A" w:rsidR="00601F4E" w:rsidP="0053519A" w:rsidRDefault="00601F4E" w14:paraId="6D8CB6D7" w14:textId="77777777">
            <w:r w:rsidRPr="0053519A">
              <w:t>Représentée par</w:t>
            </w:r>
          </w:p>
        </w:tc>
      </w:tr>
      <w:tr w:rsidRPr="0053519A" w:rsidR="00601F4E" w:rsidTr="00CD1601" w14:paraId="386B649D" w14:textId="77777777">
        <w:tc>
          <w:tcPr>
            <w:tcW w:w="0" w:type="auto"/>
          </w:tcPr>
          <w:p w:rsidRPr="0053519A" w:rsidR="00601F4E" w:rsidP="0053519A" w:rsidRDefault="0053519A" w14:paraId="5EB4FD35" w14:textId="77777777">
            <w:r w:rsidRPr="0053519A">
              <w:fldChar w:fldCharType="begin"/>
            </w:r>
            <w:r w:rsidRPr="0053519A">
              <w:instrText xml:space="preserve"> SEQ level0 \*arabic \r1 </w:instrText>
            </w:r>
            <w:r w:rsidRPr="0053519A">
              <w:fldChar w:fldCharType="separate"/>
            </w:r>
            <w:r w:rsidRPr="0053519A">
              <w:rPr>
                <w:noProof/>
              </w:rPr>
              <w:t>1</w:t>
            </w:r>
            <w:r w:rsidRPr="0053519A">
              <w:fldChar w:fldCharType="end"/>
            </w:r>
            <w:r w:rsidRPr="0053519A">
              <w:t>.  </w:t>
            </w:r>
          </w:p>
        </w:tc>
        <w:tc>
          <w:tcPr>
            <w:tcW w:w="0" w:type="auto"/>
          </w:tcPr>
          <w:p w:rsidRPr="0053519A" w:rsidR="00601F4E" w:rsidP="0053519A" w:rsidRDefault="00601F4E" w14:paraId="6062B703" w14:textId="77777777">
            <w:r w:rsidRPr="0053519A">
              <w:t>79089/13</w:t>
            </w:r>
          </w:p>
        </w:tc>
        <w:tc>
          <w:tcPr>
            <w:tcW w:w="0" w:type="auto"/>
          </w:tcPr>
          <w:p w:rsidRPr="0053519A" w:rsidR="00601F4E" w:rsidP="0053519A" w:rsidRDefault="00601F4E" w14:paraId="4613E959" w14:textId="77777777">
            <w:proofErr w:type="spellStart"/>
            <w:r w:rsidRPr="0053519A">
              <w:t>Loquifer</w:t>
            </w:r>
            <w:proofErr w:type="spellEnd"/>
            <w:r w:rsidRPr="0053519A">
              <w:t xml:space="preserve"> c.</w:t>
            </w:r>
            <w:r w:rsidRPr="0053519A" w:rsidR="00D869C4">
              <w:t> </w:t>
            </w:r>
            <w:r w:rsidRPr="0053519A">
              <w:t>Belgique</w:t>
            </w:r>
          </w:p>
        </w:tc>
        <w:tc>
          <w:tcPr>
            <w:tcW w:w="1532" w:type="dxa"/>
          </w:tcPr>
          <w:p w:rsidRPr="0053519A" w:rsidR="00601F4E" w:rsidP="0053519A" w:rsidRDefault="00601F4E" w14:paraId="04EBCD75" w14:textId="77777777">
            <w:r w:rsidRPr="0053519A">
              <w:t>29/11/2013</w:t>
            </w:r>
          </w:p>
        </w:tc>
        <w:tc>
          <w:tcPr>
            <w:tcW w:w="1416" w:type="dxa"/>
          </w:tcPr>
          <w:p w:rsidRPr="0053519A" w:rsidR="00601F4E" w:rsidP="0053519A" w:rsidRDefault="00601F4E" w14:paraId="6535B7FA" w14:textId="77777777">
            <w:r w:rsidRPr="0053519A">
              <w:t>Michèle LOQUIFER</w:t>
            </w:r>
          </w:p>
          <w:p w:rsidRPr="0053519A" w:rsidR="00601F4E" w:rsidP="0053519A" w:rsidRDefault="00601F4E" w14:paraId="58DFCDAE" w14:textId="77777777"/>
        </w:tc>
        <w:tc>
          <w:tcPr>
            <w:tcW w:w="2022" w:type="dxa"/>
          </w:tcPr>
          <w:p w:rsidRPr="0053519A" w:rsidR="00601F4E" w:rsidP="0053519A" w:rsidRDefault="00601F4E" w14:paraId="1CE28094" w14:textId="77777777">
            <w:r w:rsidRPr="0053519A">
              <w:t>Paul LEFEBVRE</w:t>
            </w:r>
          </w:p>
        </w:tc>
      </w:tr>
      <w:tr w:rsidRPr="0053519A" w:rsidR="00601F4E" w:rsidTr="00CD1601" w14:paraId="1C81A165" w14:textId="77777777">
        <w:tc>
          <w:tcPr>
            <w:tcW w:w="0" w:type="auto"/>
          </w:tcPr>
          <w:p w:rsidRPr="0053519A" w:rsidR="00601F4E" w:rsidP="0053519A" w:rsidRDefault="00BF1244" w14:paraId="0AFFB361" w14:textId="77777777">
            <w:r>
              <w:rPr>
                <w:noProof/>
              </w:rPr>
              <w:fldChar w:fldCharType="begin"/>
            </w:r>
            <w:r>
              <w:rPr>
                <w:noProof/>
              </w:rPr>
              <w:instrText xml:space="preserve"> SEQ level0 \*arabic \* MERGEFORMAT </w:instrText>
            </w:r>
            <w:r>
              <w:rPr>
                <w:noProof/>
              </w:rPr>
              <w:fldChar w:fldCharType="separate"/>
            </w:r>
            <w:r w:rsidRPr="0053519A" w:rsidR="0053519A">
              <w:rPr>
                <w:noProof/>
              </w:rPr>
              <w:t>2</w:t>
            </w:r>
            <w:r>
              <w:rPr>
                <w:noProof/>
              </w:rPr>
              <w:fldChar w:fldCharType="end"/>
            </w:r>
            <w:r w:rsidRPr="0053519A" w:rsidR="0053519A">
              <w:t>.  </w:t>
            </w:r>
          </w:p>
        </w:tc>
        <w:tc>
          <w:tcPr>
            <w:tcW w:w="0" w:type="auto"/>
          </w:tcPr>
          <w:p w:rsidRPr="0053519A" w:rsidR="00601F4E" w:rsidP="0053519A" w:rsidRDefault="00601F4E" w14:paraId="0E9149A3" w14:textId="77777777">
            <w:r w:rsidRPr="0053519A">
              <w:t>13805/14</w:t>
            </w:r>
          </w:p>
        </w:tc>
        <w:tc>
          <w:tcPr>
            <w:tcW w:w="0" w:type="auto"/>
          </w:tcPr>
          <w:p w:rsidRPr="0053519A" w:rsidR="00601F4E" w:rsidP="0053519A" w:rsidRDefault="00601F4E" w14:paraId="76C2AAEF" w14:textId="77777777">
            <w:proofErr w:type="spellStart"/>
            <w:r w:rsidRPr="0053519A">
              <w:t>Loquifer</w:t>
            </w:r>
            <w:proofErr w:type="spellEnd"/>
            <w:r w:rsidRPr="0053519A">
              <w:t xml:space="preserve"> c.</w:t>
            </w:r>
            <w:r w:rsidRPr="0053519A" w:rsidR="00D869C4">
              <w:t> </w:t>
            </w:r>
            <w:r w:rsidRPr="0053519A">
              <w:t>Belgique</w:t>
            </w:r>
          </w:p>
        </w:tc>
        <w:tc>
          <w:tcPr>
            <w:tcW w:w="1532" w:type="dxa"/>
          </w:tcPr>
          <w:p w:rsidRPr="0053519A" w:rsidR="00601F4E" w:rsidP="0053519A" w:rsidRDefault="00601F4E" w14:paraId="25247FEC" w14:textId="77777777">
            <w:r w:rsidRPr="0053519A">
              <w:t>24/01/2014</w:t>
            </w:r>
          </w:p>
        </w:tc>
        <w:tc>
          <w:tcPr>
            <w:tcW w:w="1416" w:type="dxa"/>
          </w:tcPr>
          <w:p w:rsidRPr="0053519A" w:rsidR="00601F4E" w:rsidP="0053519A" w:rsidRDefault="00601F4E" w14:paraId="044C4632" w14:textId="77777777">
            <w:r w:rsidRPr="0053519A">
              <w:t>Michèle LOQUIFER</w:t>
            </w:r>
          </w:p>
          <w:p w:rsidRPr="0053519A" w:rsidR="00601F4E" w:rsidP="0053519A" w:rsidRDefault="00601F4E" w14:paraId="7D2DAE3F" w14:textId="77777777"/>
        </w:tc>
        <w:tc>
          <w:tcPr>
            <w:tcW w:w="2022" w:type="dxa"/>
          </w:tcPr>
          <w:p w:rsidRPr="0053519A" w:rsidR="00601F4E" w:rsidP="0053519A" w:rsidRDefault="00601F4E" w14:paraId="5C82AF08" w14:textId="77777777">
            <w:r w:rsidRPr="0053519A">
              <w:t>Paul LEFEBVRE</w:t>
            </w:r>
          </w:p>
        </w:tc>
      </w:tr>
      <w:tr w:rsidRPr="0053519A" w:rsidR="00601F4E" w:rsidTr="00CD1601" w14:paraId="7CBC2318" w14:textId="77777777">
        <w:tc>
          <w:tcPr>
            <w:tcW w:w="0" w:type="auto"/>
          </w:tcPr>
          <w:p w:rsidRPr="0053519A" w:rsidR="00601F4E" w:rsidP="0053519A" w:rsidRDefault="00BF1244" w14:paraId="34197137" w14:textId="77777777">
            <w:r>
              <w:rPr>
                <w:noProof/>
              </w:rPr>
              <w:fldChar w:fldCharType="begin"/>
            </w:r>
            <w:r>
              <w:rPr>
                <w:noProof/>
              </w:rPr>
              <w:instrText xml:space="preserve"> SEQ level0 \*arabic \* MERGEFORMAT </w:instrText>
            </w:r>
            <w:r>
              <w:rPr>
                <w:noProof/>
              </w:rPr>
              <w:fldChar w:fldCharType="separate"/>
            </w:r>
            <w:r w:rsidRPr="0053519A" w:rsidR="0053519A">
              <w:rPr>
                <w:noProof/>
              </w:rPr>
              <w:t>3</w:t>
            </w:r>
            <w:r>
              <w:rPr>
                <w:noProof/>
              </w:rPr>
              <w:fldChar w:fldCharType="end"/>
            </w:r>
            <w:r w:rsidRPr="0053519A" w:rsidR="0053519A">
              <w:t>.  </w:t>
            </w:r>
          </w:p>
        </w:tc>
        <w:tc>
          <w:tcPr>
            <w:tcW w:w="0" w:type="auto"/>
          </w:tcPr>
          <w:p w:rsidRPr="0053519A" w:rsidR="00601F4E" w:rsidP="0053519A" w:rsidRDefault="00601F4E" w14:paraId="4F19166F" w14:textId="77777777">
            <w:r w:rsidRPr="0053519A">
              <w:t>54534/14</w:t>
            </w:r>
          </w:p>
        </w:tc>
        <w:tc>
          <w:tcPr>
            <w:tcW w:w="0" w:type="auto"/>
          </w:tcPr>
          <w:p w:rsidRPr="0053519A" w:rsidR="00601F4E" w:rsidP="0053519A" w:rsidRDefault="00601F4E" w14:paraId="107E76CB" w14:textId="77777777">
            <w:proofErr w:type="spellStart"/>
            <w:r w:rsidRPr="0053519A">
              <w:t>Loquifer</w:t>
            </w:r>
            <w:proofErr w:type="spellEnd"/>
            <w:r w:rsidRPr="0053519A">
              <w:t xml:space="preserve"> c.</w:t>
            </w:r>
            <w:r w:rsidRPr="0053519A" w:rsidR="00D869C4">
              <w:t> </w:t>
            </w:r>
            <w:r w:rsidRPr="0053519A">
              <w:t>Belgique</w:t>
            </w:r>
          </w:p>
        </w:tc>
        <w:tc>
          <w:tcPr>
            <w:tcW w:w="1532" w:type="dxa"/>
          </w:tcPr>
          <w:p w:rsidRPr="0053519A" w:rsidR="00601F4E" w:rsidP="0053519A" w:rsidRDefault="00601F4E" w14:paraId="5EA014BF" w14:textId="77777777">
            <w:r w:rsidRPr="0053519A">
              <w:t>28/07/2014</w:t>
            </w:r>
          </w:p>
        </w:tc>
        <w:tc>
          <w:tcPr>
            <w:tcW w:w="1416" w:type="dxa"/>
          </w:tcPr>
          <w:p w:rsidRPr="0053519A" w:rsidR="00601F4E" w:rsidP="0053519A" w:rsidRDefault="00601F4E" w14:paraId="3E48DCC5" w14:textId="77777777">
            <w:r w:rsidRPr="0053519A">
              <w:t>Michèle LOQUIFER</w:t>
            </w:r>
          </w:p>
          <w:p w:rsidRPr="0053519A" w:rsidR="00601F4E" w:rsidP="0053519A" w:rsidRDefault="00601F4E" w14:paraId="0C4A554D" w14:textId="77777777"/>
        </w:tc>
        <w:tc>
          <w:tcPr>
            <w:tcW w:w="2022" w:type="dxa"/>
          </w:tcPr>
          <w:p w:rsidRPr="0053519A" w:rsidR="00601F4E" w:rsidP="0053519A" w:rsidRDefault="00601F4E" w14:paraId="1AB71562" w14:textId="77777777">
            <w:r w:rsidRPr="0053519A">
              <w:t>Paul LEFEBVRE</w:t>
            </w:r>
            <w:bookmarkStart w:name="TableEnd" w:id="45"/>
            <w:bookmarkEnd w:id="45"/>
          </w:p>
        </w:tc>
      </w:tr>
    </w:tbl>
    <w:p w:rsidRPr="0053519A" w:rsidR="00876F03" w:rsidP="0053519A" w:rsidRDefault="00876F03" w14:paraId="589B4F65" w14:textId="77777777"/>
    <w:sectPr w:rsidRPr="0053519A" w:rsidR="00876F03" w:rsidSect="007A0007">
      <w:headerReference w:type="even" r:id="rId20"/>
      <w:headerReference w:type="default" r:id="rId21"/>
      <w:footerReference w:type="default" r:id="rId22"/>
      <w:footnotePr>
        <w:numRestart w:val="eachSect"/>
      </w:footnotePr>
      <w:pgSz w:w="11906" w:h="16838" w:code="9"/>
      <w:pgMar w:top="2274" w:right="2274" w:bottom="2274" w:left="2274" w:header="1701"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7726E25" w14:textId="77777777" w:rsidR="00CF0380" w:rsidRPr="00F25EFC" w:rsidRDefault="00CF0380" w:rsidP="00516B59">
      <w:r w:rsidRPr="00F25EFC">
        <w:separator/>
      </w:r>
    </w:p>
  </w:endnote>
  <w:endnote w:type="continuationSeparator" w:id="0">
    <w:p w14:paraId="40E9D54E" w14:textId="77777777" w:rsidR="00CF0380" w:rsidRPr="00F25EFC" w:rsidRDefault="00CF0380" w:rsidP="00516B59">
      <w:r w:rsidRPr="00F25EF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15A5C4" w14:textId="77777777" w:rsidR="00CF0380" w:rsidRPr="00F25EFC" w:rsidRDefault="00CF0380" w:rsidP="00954AD6">
    <w:pPr>
      <w:pStyle w:val="JuHeader"/>
    </w:pPr>
    <w:r>
      <w:fldChar w:fldCharType="begin"/>
    </w:r>
    <w:r>
      <w:instrText xml:space="preserve"> PAGE </w:instrText>
    </w:r>
    <w:r>
      <w:fldChar w:fldCharType="separate"/>
    </w:r>
    <w:r>
      <w:rPr>
        <w:noProof/>
      </w:rPr>
      <w:t>4</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E43714" w14:textId="77777777" w:rsidR="00CF0380" w:rsidRPr="00150BFA" w:rsidRDefault="00CF0380" w:rsidP="008C4879">
    <w:pPr>
      <w:jc w:val="center"/>
    </w:pPr>
    <w:r>
      <w:rPr>
        <w:noProof/>
        <w:lang w:val="en-US" w:eastAsia="ja-JP"/>
      </w:rPr>
      <w:drawing>
        <wp:inline distT="0" distB="0" distL="0" distR="0" wp14:anchorId="052D70CA" wp14:editId="3B4CABA2">
          <wp:extent cx="771525" cy="619125"/>
          <wp:effectExtent l="0" t="0" r="9525" b="9525"/>
          <wp:docPr id="73" name="Picture 7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7E21F452" w14:textId="77777777" w:rsidR="00CF0380" w:rsidRPr="00F25EFC" w:rsidRDefault="00CF0380" w:rsidP="00F27D13">
    <w:pPr>
      <w:pStyle w:val="Footer0"/>
      <w:jc w:val="center"/>
      <w:rPr>
        <w:sz w:val="4"/>
        <w:szCs w:val="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C3193C" w14:textId="77777777" w:rsidR="00CF0380" w:rsidRPr="00150BFA" w:rsidRDefault="00CF0380" w:rsidP="008C4879">
    <w:pPr>
      <w:jc w:val="center"/>
    </w:pPr>
    <w:r>
      <w:rPr>
        <w:noProof/>
        <w:lang w:val="en-US" w:eastAsia="ja-JP"/>
      </w:rPr>
      <w:drawing>
        <wp:inline distT="0" distB="0" distL="0" distR="0" wp14:anchorId="59F3FF66" wp14:editId="0099CEF7">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3EABDBC7" w14:textId="77777777" w:rsidR="00CF0380" w:rsidRPr="00F25EFC" w:rsidRDefault="00CF0380" w:rsidP="00902601">
    <w:pPr>
      <w:pStyle w:val="Footer0"/>
      <w:jc w:val="center"/>
      <w:rPr>
        <w:sz w:val="4"/>
        <w:szCs w:val="4"/>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C9E813" w14:textId="77777777" w:rsidR="00CF0380" w:rsidRDefault="00CF0380" w:rsidP="00C149F0">
    <w:pPr>
      <w:pStyle w:val="JuHeader"/>
    </w:pPr>
    <w:r>
      <w:rPr>
        <w:rStyle w:val="PageNumber"/>
        <w:lang w:val="en-US"/>
      </w:rPr>
      <w:fldChar w:fldCharType="begin"/>
    </w:r>
    <w:r>
      <w:rPr>
        <w:rStyle w:val="PageNumber"/>
        <w:lang w:val="en-US"/>
      </w:rPr>
      <w:instrText xml:space="preserve"> PAGE </w:instrText>
    </w:r>
    <w:r>
      <w:rPr>
        <w:rStyle w:val="PageNumber"/>
        <w:lang w:val="en-US"/>
      </w:rPr>
      <w:fldChar w:fldCharType="separate"/>
    </w:r>
    <w:r>
      <w:rPr>
        <w:rStyle w:val="PageNumber"/>
        <w:noProof/>
        <w:lang w:val="en-US"/>
      </w:rPr>
      <w:t>3</w:t>
    </w:r>
    <w:r>
      <w:rPr>
        <w:rStyle w:val="PageNumber"/>
        <w:lang w:val="en-US"/>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A3F173" w14:textId="77777777" w:rsidR="00CF0380" w:rsidRDefault="00CF0380" w:rsidP="00662882">
    <w:pPr>
      <w:pStyle w:val="JuHeader"/>
    </w:pPr>
    <w:r>
      <w:fldChar w:fldCharType="begin"/>
    </w:r>
    <w:r>
      <w:instrText xml:space="preserve"> PAGE </w:instrText>
    </w:r>
    <w:r>
      <w:fldChar w:fldCharType="separate"/>
    </w:r>
    <w:r>
      <w:rPr>
        <w:noProof/>
      </w:rPr>
      <w:t>4</w:t>
    </w:r>
    <w: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A4B5D8" w14:textId="77777777" w:rsidR="00CF0380" w:rsidRPr="00D01935" w:rsidRDefault="00CF0380" w:rsidP="00662882">
    <w:pPr>
      <w:pStyle w:val="JuHeader"/>
    </w:pPr>
    <w:r>
      <w:fldChar w:fldCharType="begin"/>
    </w:r>
    <w:r>
      <w:instrText xml:space="preserve"> PAGE </w:instrText>
    </w:r>
    <w:r>
      <w:fldChar w:fldCharType="separate"/>
    </w:r>
    <w:r>
      <w:rPr>
        <w:noProof/>
      </w:rPr>
      <w:t>4</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941C34F" w14:textId="77777777" w:rsidR="00CF0380" w:rsidRPr="00F25EFC" w:rsidRDefault="00CF0380" w:rsidP="00516B59">
      <w:r w:rsidRPr="00F25EFC">
        <w:separator/>
      </w:r>
    </w:p>
  </w:footnote>
  <w:footnote w:type="continuationSeparator" w:id="0">
    <w:p w14:paraId="4013F9CA" w14:textId="77777777" w:rsidR="00CF0380" w:rsidRPr="00F25EFC" w:rsidRDefault="00CF0380" w:rsidP="00516B59">
      <w:r w:rsidRPr="00F25EFC">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89E396" w14:textId="77777777" w:rsidR="00CF0380" w:rsidRPr="00A45145" w:rsidRDefault="00CF0380" w:rsidP="008C4879">
    <w:pPr>
      <w:jc w:val="center"/>
    </w:pPr>
    <w:r>
      <w:rPr>
        <w:noProof/>
        <w:lang w:val="en-US" w:eastAsia="ja-JP"/>
      </w:rPr>
      <w:drawing>
        <wp:inline distT="0" distB="0" distL="0" distR="0" wp14:anchorId="62729DCE" wp14:editId="621CC7E4">
          <wp:extent cx="2962275" cy="1219200"/>
          <wp:effectExtent l="0" t="0" r="9525" b="0"/>
          <wp:docPr id="70" name="Picture 7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36ECA797" w14:textId="77777777" w:rsidR="00CF0380" w:rsidRPr="00F25EFC" w:rsidRDefault="00CF0380" w:rsidP="008C4879"/>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69C201" w14:textId="77777777" w:rsidR="00CF0380" w:rsidRPr="00A45145" w:rsidRDefault="00CF0380" w:rsidP="008C4879">
    <w:pPr>
      <w:jc w:val="center"/>
    </w:pPr>
    <w:r>
      <w:rPr>
        <w:noProof/>
        <w:lang w:val="en-US" w:eastAsia="ja-JP"/>
      </w:rPr>
      <w:drawing>
        <wp:inline distT="0" distB="0" distL="0" distR="0" wp14:anchorId="07612CD0" wp14:editId="3600DB90">
          <wp:extent cx="2962275" cy="1219200"/>
          <wp:effectExtent l="0" t="0" r="9525" b="0"/>
          <wp:docPr id="64" name="Picture 64"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49447927" w14:textId="77777777" w:rsidR="00CF0380" w:rsidRPr="00F25EFC" w:rsidRDefault="00CF0380" w:rsidP="00902601">
    <w:pPr>
      <w:jc w:val="center"/>
      <w:rPr>
        <w:sz w:val="1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3F9E74" w14:textId="77777777" w:rsidR="00CF0380" w:rsidRPr="007100AD" w:rsidRDefault="00CF0380" w:rsidP="006D1DD7">
    <w:pPr>
      <w:pStyle w:val="JuHeader"/>
    </w:pPr>
    <w:r w:rsidRPr="00592C8D">
      <w:rPr>
        <w:lang w:val="en-US"/>
      </w:rPr>
      <w:t xml:space="preserve">ARRÊT </w:t>
    </w:r>
    <w:r>
      <w:rPr>
        <w:lang w:val="en-US"/>
      </w:rPr>
      <w:t>LOQUIFER c. BELGIQUE</w:t>
    </w:r>
    <w:r w:rsidRPr="00592C8D">
      <w:rPr>
        <w:lang w:val="en-US"/>
      </w:rPr>
      <w:t xml:space="preserve"> </w:t>
    </w:r>
  </w:p>
  <w:p w14:paraId="28AEB52A" w14:textId="77777777" w:rsidR="00CF0380" w:rsidRPr="006D1DD7" w:rsidRDefault="00CF0380" w:rsidP="006D1DD7">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36EDF5" w14:textId="77777777" w:rsidR="00CF0380" w:rsidRPr="007100AD" w:rsidRDefault="00CF0380" w:rsidP="00662882">
    <w:pPr>
      <w:pStyle w:val="JuHeader"/>
    </w:pPr>
    <w:r w:rsidRPr="00592C8D">
      <w:rPr>
        <w:lang w:val="en-US"/>
      </w:rPr>
      <w:t xml:space="preserve">ARRÊT </w:t>
    </w:r>
    <w:r>
      <w:rPr>
        <w:lang w:val="en-US"/>
      </w:rPr>
      <w:t>LOQUIFER c. BELGIQUE</w:t>
    </w:r>
    <w:r w:rsidRPr="00592C8D">
      <w:rPr>
        <w:lang w:val="en-US"/>
      </w:rPr>
      <w:t xml:space="preserve"> </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42EB2D" w14:textId="77777777" w:rsidR="00CF0380" w:rsidRPr="00F5432B" w:rsidRDefault="00CF0380" w:rsidP="00C149F0">
    <w:pPr>
      <w:pStyle w:val="JuHeader"/>
    </w:pPr>
    <w:r w:rsidRPr="001D31BD">
      <w:t xml:space="preserve">ARRÊT LOQUIFER c. BELGIQUE </w:t>
    </w:r>
    <w:r w:rsidRPr="0023212A">
      <w:t>– OPINION</w:t>
    </w:r>
    <w:r>
      <w:t>S</w:t>
    </w:r>
    <w:r w:rsidRPr="0023212A">
      <w:t xml:space="preserve"> SÉPARÉE</w:t>
    </w:r>
    <w:r>
      <w:t>S</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F3FC4D" w14:textId="77777777" w:rsidR="00CF0380" w:rsidRPr="007100AD" w:rsidRDefault="00CF0380" w:rsidP="00E62E45">
    <w:pPr>
      <w:pStyle w:val="JuHeader"/>
      <w:tabs>
        <w:tab w:val="center" w:pos="3685"/>
        <w:tab w:val="right" w:pos="7370"/>
      </w:tabs>
    </w:pPr>
    <w:r w:rsidRPr="00E62E45">
      <w:t>ARRÊT LOQUIFER c. BELGIQUE – OPINIONS SÉPARÉES</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5FF260" w14:textId="77777777" w:rsidR="00CF0380" w:rsidRPr="007100AD" w:rsidRDefault="00CF0380" w:rsidP="00E62E45">
    <w:pPr>
      <w:pStyle w:val="JuHeader"/>
      <w:tabs>
        <w:tab w:val="center" w:pos="3685"/>
        <w:tab w:val="right" w:pos="7370"/>
      </w:tabs>
    </w:pPr>
    <w:r w:rsidRPr="00E62E45">
      <w:t>ARRÊT LOQUIFER c. BELGIQUE – OPINIONS SÉPARÉES</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F3B522" w14:textId="77777777" w:rsidR="00CF0380" w:rsidRPr="00592C8D" w:rsidRDefault="00CF0380" w:rsidP="00A21624">
    <w:pPr>
      <w:pStyle w:val="JuHeader"/>
      <w:rPr>
        <w:lang w:val="en-US"/>
      </w:rPr>
    </w:pPr>
    <w:r w:rsidRPr="00592C8D">
      <w:rPr>
        <w:lang w:val="en-US"/>
      </w:rPr>
      <w:t xml:space="preserve">ARRÊT </w:t>
    </w:r>
    <w:r>
      <w:rPr>
        <w:lang w:val="en-US"/>
      </w:rPr>
      <w:t>LOQUIFER c. BELGIQUE</w:t>
    </w:r>
    <w:r w:rsidRPr="00592C8D">
      <w:rPr>
        <w:noProof/>
        <w:lang w:val="en-US"/>
      </w:rPr>
      <w:t xml:space="preserve"> </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BBB943" w14:textId="77777777" w:rsidR="00CF0380" w:rsidRPr="00662882" w:rsidRDefault="00CF0380" w:rsidP="00662882">
    <w:pPr>
      <w:pStyle w:val="JuHeader"/>
    </w:pPr>
    <w:r w:rsidRPr="00592C8D">
      <w:rPr>
        <w:lang w:val="en-US"/>
      </w:rPr>
      <w:t xml:space="preserve">ARRÊT </w:t>
    </w:r>
    <w:r>
      <w:rPr>
        <w:lang w:val="en-US"/>
      </w:rPr>
      <w:t>LOQUIFER c. BELGIQUE</w:t>
    </w:r>
    <w:r w:rsidRPr="00592C8D">
      <w:rPr>
        <w:lang w:val="en-US"/>
      </w:rPr>
      <w:t xml:space="preserve"> </w:t>
    </w:r>
    <w:r>
      <w:rPr>
        <w:lang w:val="en-US"/>
      </w:rPr>
      <w:t>- ANNEXE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15:restartNumberingAfterBreak="0">
    <w:nsid w:val="07156D93"/>
    <w:multiLevelType w:val="multilevel"/>
    <w:tmpl w:val="C98A292A"/>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0" w15:restartNumberingAfterBreak="0">
    <w:nsid w:val="0C0F5BFC"/>
    <w:multiLevelType w:val="multilevel"/>
    <w:tmpl w:val="D8668044"/>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97" w:hanging="397"/>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15:restartNumberingAfterBreak="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7D5546B"/>
    <w:multiLevelType w:val="multilevel"/>
    <w:tmpl w:val="7222064C"/>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907" w:hanging="22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285E6A40"/>
    <w:multiLevelType w:val="multilevel"/>
    <w:tmpl w:val="BEDC7BC8"/>
    <w:lvl w:ilvl="0">
      <w:start w:val="1"/>
      <w:numFmt w:val="decimal"/>
      <w:lvlText w:val="%1."/>
      <w:lvlJc w:val="left"/>
      <w:pPr>
        <w:tabs>
          <w:tab w:val="num" w:pos="340"/>
        </w:tabs>
        <w:ind w:left="340" w:hanging="34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lowerLetter"/>
      <w:lvlText w:val="%2)"/>
      <w:lvlJc w:val="left"/>
      <w:pPr>
        <w:tabs>
          <w:tab w:val="num" w:pos="680"/>
        </w:tabs>
        <w:ind w:left="680" w:hanging="340"/>
      </w:pPr>
      <w:rPr>
        <w:rFonts w:hint="default"/>
      </w:rPr>
    </w:lvl>
    <w:lvl w:ilvl="2">
      <w:start w:val="1"/>
      <w:numFmt w:val="lowerRoman"/>
      <w:lvlText w:val="%3."/>
      <w:lvlJc w:val="left"/>
      <w:pPr>
        <w:tabs>
          <w:tab w:val="num" w:pos="1134"/>
        </w:tabs>
        <w:ind w:left="1134" w:hanging="45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none"/>
      <w:lvlText w:val=""/>
      <w:lvlJc w:val="left"/>
      <w:pPr>
        <w:ind w:left="2517" w:hanging="345"/>
      </w:pPr>
      <w:rPr>
        <w:rFonts w:ascii="Symbol" w:hAnsi="Symbol" w:hint="default"/>
        <w:sz w:val="20"/>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7"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8" w15:restartNumberingAfterBreak="0">
    <w:nsid w:val="56B9429C"/>
    <w:multiLevelType w:val="multilevel"/>
    <w:tmpl w:val="C98A292A"/>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9" w15:restartNumberingAfterBreak="0">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num w:numId="1">
    <w:abstractNumId w:val="10"/>
  </w:num>
  <w:num w:numId="2">
    <w:abstractNumId w:val="18"/>
  </w:num>
  <w:num w:numId="3">
    <w:abstractNumId w:val="14"/>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num>
  <w:num w:numId="7">
    <w:abstractNumId w:val="13"/>
    <w:lvlOverride w:ilvl="0">
      <w:lvl w:ilvl="0">
        <w:start w:val="1"/>
        <w:numFmt w:val="decimal"/>
        <w:pStyle w:val="JuList"/>
        <w:lvlText w:val="%1."/>
        <w:lvlJc w:val="left"/>
        <w:pPr>
          <w:tabs>
            <w:tab w:val="num" w:pos="340"/>
          </w:tabs>
          <w:ind w:left="340" w:hanging="34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lowerLetter"/>
        <w:pStyle w:val="JuLista"/>
        <w:lvlText w:val="%2)"/>
        <w:lvlJc w:val="left"/>
        <w:pPr>
          <w:tabs>
            <w:tab w:val="num" w:pos="680"/>
          </w:tabs>
          <w:ind w:left="680" w:hanging="34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num>
  <w:num w:numId="8">
    <w:abstractNumId w:val="10"/>
  </w:num>
  <w:num w:numId="9">
    <w:abstractNumId w:val="15"/>
  </w:num>
  <w:num w:numId="10">
    <w:abstractNumId w:val="12"/>
  </w:num>
  <w:num w:numId="11">
    <w:abstractNumId w:val="11"/>
  </w:num>
  <w:num w:numId="12">
    <w:abstractNumId w:val="16"/>
  </w:num>
  <w:num w:numId="13">
    <w:abstractNumId w:val="13"/>
  </w:num>
  <w:num w:numId="14">
    <w:abstractNumId w:val="17"/>
  </w:num>
  <w:num w:numId="15">
    <w:abstractNumId w:val="19"/>
  </w:num>
  <w:num w:numId="16">
    <w:abstractNumId w:val="7"/>
  </w:num>
  <w:num w:numId="17">
    <w:abstractNumId w:val="6"/>
  </w:num>
  <w:num w:numId="18">
    <w:abstractNumId w:val="5"/>
  </w:num>
  <w:num w:numId="19">
    <w:abstractNumId w:val="4"/>
  </w:num>
  <w:num w:numId="20">
    <w:abstractNumId w:val="8"/>
  </w:num>
  <w:num w:numId="21">
    <w:abstractNumId w:val="3"/>
  </w:num>
  <w:num w:numId="22">
    <w:abstractNumId w:val="2"/>
  </w:num>
  <w:num w:numId="23">
    <w:abstractNumId w:val="1"/>
  </w:num>
  <w:num w:numId="24">
    <w:abstractNumId w:val="0"/>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8673"/>
  </w:hdrShapeDefaults>
  <w:footnotePr>
    <w:numRestart w:val="eachSect"/>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1"/>
    <w:docVar w:name="EMM" w:val="0"/>
    <w:docVar w:name="NBEMMDOC" w:val="0"/>
  </w:docVars>
  <w:rsids>
    <w:rsidRoot w:val="00601F4E"/>
    <w:rsid w:val="000041F8"/>
    <w:rsid w:val="000042A8"/>
    <w:rsid w:val="00004308"/>
    <w:rsid w:val="00005BF0"/>
    <w:rsid w:val="00007154"/>
    <w:rsid w:val="000103AE"/>
    <w:rsid w:val="00011D69"/>
    <w:rsid w:val="00012AD3"/>
    <w:rsid w:val="00015C2D"/>
    <w:rsid w:val="00015F00"/>
    <w:rsid w:val="00022C1D"/>
    <w:rsid w:val="00034987"/>
    <w:rsid w:val="00051015"/>
    <w:rsid w:val="000602DF"/>
    <w:rsid w:val="00061B05"/>
    <w:rsid w:val="000632D5"/>
    <w:rsid w:val="000644EE"/>
    <w:rsid w:val="00080ECE"/>
    <w:rsid w:val="0009057B"/>
    <w:rsid w:val="000925AD"/>
    <w:rsid w:val="000A20EB"/>
    <w:rsid w:val="000A24EB"/>
    <w:rsid w:val="000B5D17"/>
    <w:rsid w:val="000B6923"/>
    <w:rsid w:val="000C5F3C"/>
    <w:rsid w:val="000C64D6"/>
    <w:rsid w:val="000C6DCC"/>
    <w:rsid w:val="000D04C2"/>
    <w:rsid w:val="000D47AA"/>
    <w:rsid w:val="000D721F"/>
    <w:rsid w:val="000E069B"/>
    <w:rsid w:val="000E0E82"/>
    <w:rsid w:val="000E1DC5"/>
    <w:rsid w:val="000E223F"/>
    <w:rsid w:val="000E4AC8"/>
    <w:rsid w:val="000E7D45"/>
    <w:rsid w:val="000F1305"/>
    <w:rsid w:val="000F19D8"/>
    <w:rsid w:val="000F7851"/>
    <w:rsid w:val="00104E23"/>
    <w:rsid w:val="00111B0C"/>
    <w:rsid w:val="00117CD2"/>
    <w:rsid w:val="00120D6C"/>
    <w:rsid w:val="001257EC"/>
    <w:rsid w:val="00133D33"/>
    <w:rsid w:val="00134D64"/>
    <w:rsid w:val="00135A30"/>
    <w:rsid w:val="0013612C"/>
    <w:rsid w:val="00137FF6"/>
    <w:rsid w:val="00141650"/>
    <w:rsid w:val="001625AD"/>
    <w:rsid w:val="00162967"/>
    <w:rsid w:val="00162A12"/>
    <w:rsid w:val="00166530"/>
    <w:rsid w:val="00180F62"/>
    <w:rsid w:val="00181508"/>
    <w:rsid w:val="001832BD"/>
    <w:rsid w:val="001943B5"/>
    <w:rsid w:val="00194C5B"/>
    <w:rsid w:val="00195134"/>
    <w:rsid w:val="0019718B"/>
    <w:rsid w:val="001A145B"/>
    <w:rsid w:val="001A2684"/>
    <w:rsid w:val="001A674C"/>
    <w:rsid w:val="001B3B24"/>
    <w:rsid w:val="001C0F98"/>
    <w:rsid w:val="001C2A42"/>
    <w:rsid w:val="001C2B5C"/>
    <w:rsid w:val="001D31BD"/>
    <w:rsid w:val="001D63ED"/>
    <w:rsid w:val="001D7348"/>
    <w:rsid w:val="001E035B"/>
    <w:rsid w:val="001E0961"/>
    <w:rsid w:val="001E3EAE"/>
    <w:rsid w:val="001E6F32"/>
    <w:rsid w:val="001F2145"/>
    <w:rsid w:val="001F39F4"/>
    <w:rsid w:val="001F6262"/>
    <w:rsid w:val="001F67B0"/>
    <w:rsid w:val="001F7B3D"/>
    <w:rsid w:val="00204F24"/>
    <w:rsid w:val="00205F9F"/>
    <w:rsid w:val="00210338"/>
    <w:rsid w:val="002115FC"/>
    <w:rsid w:val="00212184"/>
    <w:rsid w:val="0021423C"/>
    <w:rsid w:val="00230D00"/>
    <w:rsid w:val="00231364"/>
    <w:rsid w:val="00231DF7"/>
    <w:rsid w:val="00231FD1"/>
    <w:rsid w:val="002339E0"/>
    <w:rsid w:val="00233CF8"/>
    <w:rsid w:val="0023575D"/>
    <w:rsid w:val="00237148"/>
    <w:rsid w:val="0024222D"/>
    <w:rsid w:val="00244B0E"/>
    <w:rsid w:val="00244F6C"/>
    <w:rsid w:val="002532C5"/>
    <w:rsid w:val="002546AE"/>
    <w:rsid w:val="00256F45"/>
    <w:rsid w:val="00260C03"/>
    <w:rsid w:val="0026540E"/>
    <w:rsid w:val="00275123"/>
    <w:rsid w:val="00282240"/>
    <w:rsid w:val="002948AD"/>
    <w:rsid w:val="0029739C"/>
    <w:rsid w:val="00297752"/>
    <w:rsid w:val="002A01CC"/>
    <w:rsid w:val="002A61B1"/>
    <w:rsid w:val="002A663C"/>
    <w:rsid w:val="002B444B"/>
    <w:rsid w:val="002B4805"/>
    <w:rsid w:val="002B5887"/>
    <w:rsid w:val="002B7E83"/>
    <w:rsid w:val="002C0E27"/>
    <w:rsid w:val="002C3040"/>
    <w:rsid w:val="002D022D"/>
    <w:rsid w:val="002D24BB"/>
    <w:rsid w:val="002F29AA"/>
    <w:rsid w:val="002F2AF7"/>
    <w:rsid w:val="002F7E1C"/>
    <w:rsid w:val="00301A75"/>
    <w:rsid w:val="00302F70"/>
    <w:rsid w:val="0030336F"/>
    <w:rsid w:val="0030375E"/>
    <w:rsid w:val="0030660C"/>
    <w:rsid w:val="00312A30"/>
    <w:rsid w:val="00316323"/>
    <w:rsid w:val="00320F72"/>
    <w:rsid w:val="0032463E"/>
    <w:rsid w:val="00326224"/>
    <w:rsid w:val="003262BC"/>
    <w:rsid w:val="00337EE4"/>
    <w:rsid w:val="00340FFD"/>
    <w:rsid w:val="003471AF"/>
    <w:rsid w:val="003506B1"/>
    <w:rsid w:val="00356AC7"/>
    <w:rsid w:val="003609FA"/>
    <w:rsid w:val="00361D45"/>
    <w:rsid w:val="00367B4F"/>
    <w:rsid w:val="003710C8"/>
    <w:rsid w:val="00371FC3"/>
    <w:rsid w:val="003722CE"/>
    <w:rsid w:val="003750BE"/>
    <w:rsid w:val="00387B9D"/>
    <w:rsid w:val="0039364F"/>
    <w:rsid w:val="00396686"/>
    <w:rsid w:val="0039778E"/>
    <w:rsid w:val="003A15F2"/>
    <w:rsid w:val="003A37B8"/>
    <w:rsid w:val="003B4941"/>
    <w:rsid w:val="003B6A2E"/>
    <w:rsid w:val="003C17E8"/>
    <w:rsid w:val="003C5714"/>
    <w:rsid w:val="003C6B9F"/>
    <w:rsid w:val="003C6E2A"/>
    <w:rsid w:val="003D0299"/>
    <w:rsid w:val="003D32BE"/>
    <w:rsid w:val="003E3FE3"/>
    <w:rsid w:val="003E6D80"/>
    <w:rsid w:val="003E7A9C"/>
    <w:rsid w:val="003F05FA"/>
    <w:rsid w:val="003F244A"/>
    <w:rsid w:val="003F30B8"/>
    <w:rsid w:val="003F4C45"/>
    <w:rsid w:val="003F5F7B"/>
    <w:rsid w:val="003F7D64"/>
    <w:rsid w:val="00401F7D"/>
    <w:rsid w:val="0041177B"/>
    <w:rsid w:val="00414300"/>
    <w:rsid w:val="00425C67"/>
    <w:rsid w:val="00427E7A"/>
    <w:rsid w:val="00431C07"/>
    <w:rsid w:val="004344E6"/>
    <w:rsid w:val="00436C49"/>
    <w:rsid w:val="00445366"/>
    <w:rsid w:val="00447F5B"/>
    <w:rsid w:val="00456549"/>
    <w:rsid w:val="004604A0"/>
    <w:rsid w:val="00461DB0"/>
    <w:rsid w:val="00463926"/>
    <w:rsid w:val="00464C9A"/>
    <w:rsid w:val="00474F3D"/>
    <w:rsid w:val="00477E3A"/>
    <w:rsid w:val="00483E5F"/>
    <w:rsid w:val="00485FF9"/>
    <w:rsid w:val="004907F0"/>
    <w:rsid w:val="0049140B"/>
    <w:rsid w:val="004923A5"/>
    <w:rsid w:val="00496197"/>
    <w:rsid w:val="00496BFB"/>
    <w:rsid w:val="004A15C7"/>
    <w:rsid w:val="004B013B"/>
    <w:rsid w:val="004B112B"/>
    <w:rsid w:val="004C01E4"/>
    <w:rsid w:val="004C086C"/>
    <w:rsid w:val="004C1A3F"/>
    <w:rsid w:val="004C1F56"/>
    <w:rsid w:val="004C27BC"/>
    <w:rsid w:val="004D15F3"/>
    <w:rsid w:val="004D5311"/>
    <w:rsid w:val="004D5DCC"/>
    <w:rsid w:val="004E22F1"/>
    <w:rsid w:val="004F10AF"/>
    <w:rsid w:val="004F11A4"/>
    <w:rsid w:val="004F2389"/>
    <w:rsid w:val="004F304D"/>
    <w:rsid w:val="004F61BE"/>
    <w:rsid w:val="004F66B1"/>
    <w:rsid w:val="00511C07"/>
    <w:rsid w:val="00516B59"/>
    <w:rsid w:val="005173A6"/>
    <w:rsid w:val="00520BAA"/>
    <w:rsid w:val="00522ABA"/>
    <w:rsid w:val="00525208"/>
    <w:rsid w:val="005257A5"/>
    <w:rsid w:val="005264C0"/>
    <w:rsid w:val="00526A8A"/>
    <w:rsid w:val="00531DF2"/>
    <w:rsid w:val="0053519A"/>
    <w:rsid w:val="005442EE"/>
    <w:rsid w:val="00547353"/>
    <w:rsid w:val="005474E7"/>
    <w:rsid w:val="005512A3"/>
    <w:rsid w:val="005577CA"/>
    <w:rsid w:val="005578CE"/>
    <w:rsid w:val="0056010F"/>
    <w:rsid w:val="00562781"/>
    <w:rsid w:val="00566E2B"/>
    <w:rsid w:val="0057192F"/>
    <w:rsid w:val="0057271C"/>
    <w:rsid w:val="00572845"/>
    <w:rsid w:val="00576986"/>
    <w:rsid w:val="00587970"/>
    <w:rsid w:val="00592772"/>
    <w:rsid w:val="00592C8D"/>
    <w:rsid w:val="0059574A"/>
    <w:rsid w:val="005A1B9B"/>
    <w:rsid w:val="005A6751"/>
    <w:rsid w:val="005B092E"/>
    <w:rsid w:val="005B152C"/>
    <w:rsid w:val="005B1EE0"/>
    <w:rsid w:val="005B2B24"/>
    <w:rsid w:val="005B4425"/>
    <w:rsid w:val="005B4B94"/>
    <w:rsid w:val="005C353F"/>
    <w:rsid w:val="005C3EE8"/>
    <w:rsid w:val="005D34F9"/>
    <w:rsid w:val="005D4190"/>
    <w:rsid w:val="005D67A3"/>
    <w:rsid w:val="005E2988"/>
    <w:rsid w:val="005E3085"/>
    <w:rsid w:val="005F51E1"/>
    <w:rsid w:val="00601F4E"/>
    <w:rsid w:val="00611C80"/>
    <w:rsid w:val="00613B21"/>
    <w:rsid w:val="00620692"/>
    <w:rsid w:val="006242CA"/>
    <w:rsid w:val="00627507"/>
    <w:rsid w:val="00633717"/>
    <w:rsid w:val="006344E1"/>
    <w:rsid w:val="006361FD"/>
    <w:rsid w:val="006545C4"/>
    <w:rsid w:val="00654B7E"/>
    <w:rsid w:val="00661971"/>
    <w:rsid w:val="00661CE8"/>
    <w:rsid w:val="006623D9"/>
    <w:rsid w:val="00662882"/>
    <w:rsid w:val="0066550C"/>
    <w:rsid w:val="006716F2"/>
    <w:rsid w:val="00682BF2"/>
    <w:rsid w:val="006859CE"/>
    <w:rsid w:val="00691270"/>
    <w:rsid w:val="00694BA8"/>
    <w:rsid w:val="006A037C"/>
    <w:rsid w:val="006A36F4"/>
    <w:rsid w:val="006A406F"/>
    <w:rsid w:val="006A5D3A"/>
    <w:rsid w:val="006C23D4"/>
    <w:rsid w:val="006C475E"/>
    <w:rsid w:val="006C7BB0"/>
    <w:rsid w:val="006D1DD7"/>
    <w:rsid w:val="006D3237"/>
    <w:rsid w:val="006E2E37"/>
    <w:rsid w:val="006E3CF1"/>
    <w:rsid w:val="006E7E80"/>
    <w:rsid w:val="006F48CA"/>
    <w:rsid w:val="006F64DD"/>
    <w:rsid w:val="00715127"/>
    <w:rsid w:val="00715E8E"/>
    <w:rsid w:val="007172B0"/>
    <w:rsid w:val="00723580"/>
    <w:rsid w:val="00723755"/>
    <w:rsid w:val="00724AE2"/>
    <w:rsid w:val="00730B5C"/>
    <w:rsid w:val="0073136C"/>
    <w:rsid w:val="00731F0F"/>
    <w:rsid w:val="00733250"/>
    <w:rsid w:val="00735951"/>
    <w:rsid w:val="00741404"/>
    <w:rsid w:val="007449E5"/>
    <w:rsid w:val="00747FF0"/>
    <w:rsid w:val="007612E2"/>
    <w:rsid w:val="00764D4E"/>
    <w:rsid w:val="00765A1F"/>
    <w:rsid w:val="00775B6D"/>
    <w:rsid w:val="00776D68"/>
    <w:rsid w:val="007850EE"/>
    <w:rsid w:val="00785B95"/>
    <w:rsid w:val="00790AAD"/>
    <w:rsid w:val="00790E96"/>
    <w:rsid w:val="00793366"/>
    <w:rsid w:val="007971FF"/>
    <w:rsid w:val="007A0007"/>
    <w:rsid w:val="007A4070"/>
    <w:rsid w:val="007A716F"/>
    <w:rsid w:val="007B270A"/>
    <w:rsid w:val="007C0695"/>
    <w:rsid w:val="007C419A"/>
    <w:rsid w:val="007C4CC8"/>
    <w:rsid w:val="007C5426"/>
    <w:rsid w:val="007C5798"/>
    <w:rsid w:val="007D4832"/>
    <w:rsid w:val="007E0753"/>
    <w:rsid w:val="007E21B2"/>
    <w:rsid w:val="007E2C4E"/>
    <w:rsid w:val="007F1905"/>
    <w:rsid w:val="00801300"/>
    <w:rsid w:val="00802C64"/>
    <w:rsid w:val="0080523A"/>
    <w:rsid w:val="00805E52"/>
    <w:rsid w:val="008061D0"/>
    <w:rsid w:val="00810B38"/>
    <w:rsid w:val="008204C7"/>
    <w:rsid w:val="00820992"/>
    <w:rsid w:val="00823602"/>
    <w:rsid w:val="008255F5"/>
    <w:rsid w:val="0083014E"/>
    <w:rsid w:val="0083214A"/>
    <w:rsid w:val="00834220"/>
    <w:rsid w:val="00845723"/>
    <w:rsid w:val="00851EF9"/>
    <w:rsid w:val="008577FD"/>
    <w:rsid w:val="00860B03"/>
    <w:rsid w:val="0086497A"/>
    <w:rsid w:val="008713A1"/>
    <w:rsid w:val="00873D9C"/>
    <w:rsid w:val="008748BE"/>
    <w:rsid w:val="008754AB"/>
    <w:rsid w:val="00876A02"/>
    <w:rsid w:val="00876F03"/>
    <w:rsid w:val="0088060C"/>
    <w:rsid w:val="00891107"/>
    <w:rsid w:val="00893576"/>
    <w:rsid w:val="00893E73"/>
    <w:rsid w:val="00893F30"/>
    <w:rsid w:val="00895F5B"/>
    <w:rsid w:val="008B02DC"/>
    <w:rsid w:val="008B2698"/>
    <w:rsid w:val="008B57CE"/>
    <w:rsid w:val="008C26DE"/>
    <w:rsid w:val="008C4879"/>
    <w:rsid w:val="008D2225"/>
    <w:rsid w:val="008D4752"/>
    <w:rsid w:val="008E271C"/>
    <w:rsid w:val="008E418E"/>
    <w:rsid w:val="008E5BC6"/>
    <w:rsid w:val="008E6A25"/>
    <w:rsid w:val="008E7A1B"/>
    <w:rsid w:val="008F5193"/>
    <w:rsid w:val="009013A7"/>
    <w:rsid w:val="009017FB"/>
    <w:rsid w:val="009017FC"/>
    <w:rsid w:val="009020E3"/>
    <w:rsid w:val="00902601"/>
    <w:rsid w:val="0090506B"/>
    <w:rsid w:val="009050C9"/>
    <w:rsid w:val="009066FC"/>
    <w:rsid w:val="009140A3"/>
    <w:rsid w:val="009144A2"/>
    <w:rsid w:val="0091510C"/>
    <w:rsid w:val="009259AC"/>
    <w:rsid w:val="00926F38"/>
    <w:rsid w:val="00934301"/>
    <w:rsid w:val="00936CD1"/>
    <w:rsid w:val="009375A5"/>
    <w:rsid w:val="00941747"/>
    <w:rsid w:val="00941EFB"/>
    <w:rsid w:val="00947AFB"/>
    <w:rsid w:val="00951D7D"/>
    <w:rsid w:val="00954AD6"/>
    <w:rsid w:val="00961691"/>
    <w:rsid w:val="009630C7"/>
    <w:rsid w:val="00972B55"/>
    <w:rsid w:val="009743B7"/>
    <w:rsid w:val="00975039"/>
    <w:rsid w:val="00977227"/>
    <w:rsid w:val="0098228B"/>
    <w:rsid w:val="009828DA"/>
    <w:rsid w:val="00985BAB"/>
    <w:rsid w:val="009A6920"/>
    <w:rsid w:val="009B1B5F"/>
    <w:rsid w:val="009B6673"/>
    <w:rsid w:val="009C191B"/>
    <w:rsid w:val="009C2BD6"/>
    <w:rsid w:val="009D2F52"/>
    <w:rsid w:val="009E16D2"/>
    <w:rsid w:val="009E1F32"/>
    <w:rsid w:val="009E776C"/>
    <w:rsid w:val="00A00672"/>
    <w:rsid w:val="00A132AD"/>
    <w:rsid w:val="00A1726E"/>
    <w:rsid w:val="00A204CF"/>
    <w:rsid w:val="00A21624"/>
    <w:rsid w:val="00A23D49"/>
    <w:rsid w:val="00A27004"/>
    <w:rsid w:val="00A30C29"/>
    <w:rsid w:val="00A34DD6"/>
    <w:rsid w:val="00A36819"/>
    <w:rsid w:val="00A36989"/>
    <w:rsid w:val="00A43628"/>
    <w:rsid w:val="00A43AA3"/>
    <w:rsid w:val="00A4783F"/>
    <w:rsid w:val="00A54192"/>
    <w:rsid w:val="00A6035E"/>
    <w:rsid w:val="00A6144C"/>
    <w:rsid w:val="00A66617"/>
    <w:rsid w:val="00A671F8"/>
    <w:rsid w:val="00A673A4"/>
    <w:rsid w:val="00A724AE"/>
    <w:rsid w:val="00A73329"/>
    <w:rsid w:val="00A75785"/>
    <w:rsid w:val="00A8094B"/>
    <w:rsid w:val="00A82359"/>
    <w:rsid w:val="00A865D2"/>
    <w:rsid w:val="00A94C20"/>
    <w:rsid w:val="00AA227F"/>
    <w:rsid w:val="00AA3BC7"/>
    <w:rsid w:val="00AA754A"/>
    <w:rsid w:val="00AB099E"/>
    <w:rsid w:val="00AB4328"/>
    <w:rsid w:val="00AB5628"/>
    <w:rsid w:val="00AC00C2"/>
    <w:rsid w:val="00AC5872"/>
    <w:rsid w:val="00AE0A2E"/>
    <w:rsid w:val="00AE354C"/>
    <w:rsid w:val="00AF0C0F"/>
    <w:rsid w:val="00AF4B07"/>
    <w:rsid w:val="00AF6186"/>
    <w:rsid w:val="00AF7A3A"/>
    <w:rsid w:val="00B009F4"/>
    <w:rsid w:val="00B160DB"/>
    <w:rsid w:val="00B20836"/>
    <w:rsid w:val="00B235BB"/>
    <w:rsid w:val="00B25320"/>
    <w:rsid w:val="00B25943"/>
    <w:rsid w:val="00B25D3B"/>
    <w:rsid w:val="00B27A44"/>
    <w:rsid w:val="00B30BBF"/>
    <w:rsid w:val="00B33C03"/>
    <w:rsid w:val="00B44E56"/>
    <w:rsid w:val="00B46543"/>
    <w:rsid w:val="00B47D33"/>
    <w:rsid w:val="00B52BE0"/>
    <w:rsid w:val="00B54133"/>
    <w:rsid w:val="00B701ED"/>
    <w:rsid w:val="00B751F4"/>
    <w:rsid w:val="00B8086C"/>
    <w:rsid w:val="00B840F7"/>
    <w:rsid w:val="00B861B4"/>
    <w:rsid w:val="00B86DFE"/>
    <w:rsid w:val="00B90990"/>
    <w:rsid w:val="00B922FF"/>
    <w:rsid w:val="00B9281E"/>
    <w:rsid w:val="00B93925"/>
    <w:rsid w:val="00B95187"/>
    <w:rsid w:val="00BA2D55"/>
    <w:rsid w:val="00BA71B1"/>
    <w:rsid w:val="00BB0637"/>
    <w:rsid w:val="00BB345F"/>
    <w:rsid w:val="00BB5CA3"/>
    <w:rsid w:val="00BB68EA"/>
    <w:rsid w:val="00BC1C27"/>
    <w:rsid w:val="00BC1F03"/>
    <w:rsid w:val="00BC6BBF"/>
    <w:rsid w:val="00BD1572"/>
    <w:rsid w:val="00BE14E3"/>
    <w:rsid w:val="00BE30EE"/>
    <w:rsid w:val="00BE3774"/>
    <w:rsid w:val="00BE41E5"/>
    <w:rsid w:val="00BF4109"/>
    <w:rsid w:val="00BF4B9C"/>
    <w:rsid w:val="00BF4CC3"/>
    <w:rsid w:val="00C00E59"/>
    <w:rsid w:val="00C054C7"/>
    <w:rsid w:val="00C057B5"/>
    <w:rsid w:val="00C149F0"/>
    <w:rsid w:val="00C22687"/>
    <w:rsid w:val="00C25983"/>
    <w:rsid w:val="00C32E4D"/>
    <w:rsid w:val="00C333A0"/>
    <w:rsid w:val="00C36408"/>
    <w:rsid w:val="00C36A81"/>
    <w:rsid w:val="00C41974"/>
    <w:rsid w:val="00C45616"/>
    <w:rsid w:val="00C53F4A"/>
    <w:rsid w:val="00C54125"/>
    <w:rsid w:val="00C55B54"/>
    <w:rsid w:val="00C6098E"/>
    <w:rsid w:val="00C6152C"/>
    <w:rsid w:val="00C74810"/>
    <w:rsid w:val="00C81ACF"/>
    <w:rsid w:val="00C90D68"/>
    <w:rsid w:val="00C939FE"/>
    <w:rsid w:val="00CA4BDA"/>
    <w:rsid w:val="00CA7C61"/>
    <w:rsid w:val="00CB1F66"/>
    <w:rsid w:val="00CB2951"/>
    <w:rsid w:val="00CD1601"/>
    <w:rsid w:val="00CD282B"/>
    <w:rsid w:val="00CD4C35"/>
    <w:rsid w:val="00CD7369"/>
    <w:rsid w:val="00CE0B0E"/>
    <w:rsid w:val="00CE3831"/>
    <w:rsid w:val="00CF0380"/>
    <w:rsid w:val="00D00ABB"/>
    <w:rsid w:val="00D02781"/>
    <w:rsid w:val="00D02EEC"/>
    <w:rsid w:val="00D03551"/>
    <w:rsid w:val="00D06A63"/>
    <w:rsid w:val="00D07E0E"/>
    <w:rsid w:val="00D11478"/>
    <w:rsid w:val="00D15ED0"/>
    <w:rsid w:val="00D21B3E"/>
    <w:rsid w:val="00D21C26"/>
    <w:rsid w:val="00D21FED"/>
    <w:rsid w:val="00D24251"/>
    <w:rsid w:val="00D343E2"/>
    <w:rsid w:val="00D361A2"/>
    <w:rsid w:val="00D44C2E"/>
    <w:rsid w:val="00D45414"/>
    <w:rsid w:val="00D502C1"/>
    <w:rsid w:val="00D54FF1"/>
    <w:rsid w:val="00D55E2C"/>
    <w:rsid w:val="00D566BD"/>
    <w:rsid w:val="00D57A4D"/>
    <w:rsid w:val="00D60AA7"/>
    <w:rsid w:val="00D62A67"/>
    <w:rsid w:val="00D6435F"/>
    <w:rsid w:val="00D75E28"/>
    <w:rsid w:val="00D772C2"/>
    <w:rsid w:val="00D8008E"/>
    <w:rsid w:val="00D82C45"/>
    <w:rsid w:val="00D869C4"/>
    <w:rsid w:val="00D908A8"/>
    <w:rsid w:val="00D94931"/>
    <w:rsid w:val="00D977B6"/>
    <w:rsid w:val="00DA3634"/>
    <w:rsid w:val="00DA4A31"/>
    <w:rsid w:val="00DA7B04"/>
    <w:rsid w:val="00DB113E"/>
    <w:rsid w:val="00DB36C2"/>
    <w:rsid w:val="00DB5CBD"/>
    <w:rsid w:val="00DC169B"/>
    <w:rsid w:val="00DC2AB9"/>
    <w:rsid w:val="00DC63F0"/>
    <w:rsid w:val="00DD5382"/>
    <w:rsid w:val="00DD6EE5"/>
    <w:rsid w:val="00DE2362"/>
    <w:rsid w:val="00DE386C"/>
    <w:rsid w:val="00DE4D35"/>
    <w:rsid w:val="00DF098B"/>
    <w:rsid w:val="00DF11C4"/>
    <w:rsid w:val="00DF210C"/>
    <w:rsid w:val="00DF4B6A"/>
    <w:rsid w:val="00E02C09"/>
    <w:rsid w:val="00E04D59"/>
    <w:rsid w:val="00E07DA1"/>
    <w:rsid w:val="00E123CB"/>
    <w:rsid w:val="00E17427"/>
    <w:rsid w:val="00E20E13"/>
    <w:rsid w:val="00E21DBC"/>
    <w:rsid w:val="00E275D7"/>
    <w:rsid w:val="00E27DBE"/>
    <w:rsid w:val="00E32AB1"/>
    <w:rsid w:val="00E36C71"/>
    <w:rsid w:val="00E40404"/>
    <w:rsid w:val="00E459C6"/>
    <w:rsid w:val="00E47589"/>
    <w:rsid w:val="00E62E45"/>
    <w:rsid w:val="00E64915"/>
    <w:rsid w:val="00E661D4"/>
    <w:rsid w:val="00E70091"/>
    <w:rsid w:val="00E720F5"/>
    <w:rsid w:val="00E76D47"/>
    <w:rsid w:val="00E849F7"/>
    <w:rsid w:val="00E90302"/>
    <w:rsid w:val="00E97396"/>
    <w:rsid w:val="00EA185E"/>
    <w:rsid w:val="00EA592A"/>
    <w:rsid w:val="00EB14E4"/>
    <w:rsid w:val="00EB182B"/>
    <w:rsid w:val="00EB32A5"/>
    <w:rsid w:val="00EB34ED"/>
    <w:rsid w:val="00EB4A37"/>
    <w:rsid w:val="00EB7BE0"/>
    <w:rsid w:val="00EC315E"/>
    <w:rsid w:val="00EC58D1"/>
    <w:rsid w:val="00ED077C"/>
    <w:rsid w:val="00ED1190"/>
    <w:rsid w:val="00ED6544"/>
    <w:rsid w:val="00EE0277"/>
    <w:rsid w:val="00EE3E00"/>
    <w:rsid w:val="00EE5DD2"/>
    <w:rsid w:val="00F00A79"/>
    <w:rsid w:val="00F00E86"/>
    <w:rsid w:val="00F07C1E"/>
    <w:rsid w:val="00F105DB"/>
    <w:rsid w:val="00F132BC"/>
    <w:rsid w:val="00F13D80"/>
    <w:rsid w:val="00F16AAA"/>
    <w:rsid w:val="00F21161"/>
    <w:rsid w:val="00F218EF"/>
    <w:rsid w:val="00F21BC7"/>
    <w:rsid w:val="00F25EFC"/>
    <w:rsid w:val="00F266A2"/>
    <w:rsid w:val="00F27D13"/>
    <w:rsid w:val="00F32269"/>
    <w:rsid w:val="00F56A6F"/>
    <w:rsid w:val="00F5709C"/>
    <w:rsid w:val="00F626DA"/>
    <w:rsid w:val="00F64EF1"/>
    <w:rsid w:val="00F659F3"/>
    <w:rsid w:val="00F83589"/>
    <w:rsid w:val="00F8765F"/>
    <w:rsid w:val="00F90767"/>
    <w:rsid w:val="00F912E4"/>
    <w:rsid w:val="00F94531"/>
    <w:rsid w:val="00F9588E"/>
    <w:rsid w:val="00F95D45"/>
    <w:rsid w:val="00FA1268"/>
    <w:rsid w:val="00FA685B"/>
    <w:rsid w:val="00FB0C01"/>
    <w:rsid w:val="00FC18F2"/>
    <w:rsid w:val="00FC39E5"/>
    <w:rsid w:val="00FC3A78"/>
    <w:rsid w:val="00FD1005"/>
    <w:rsid w:val="00FD61AA"/>
    <w:rsid w:val="00FD6C75"/>
    <w:rsid w:val="00FD7649"/>
    <w:rsid w:val="00FE71B3"/>
    <w:rsid w:val="00FF42C5"/>
    <w:rsid w:val="00FF5AD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8673"/>
    <o:shapelayout v:ext="edit">
      <o:idmap v:ext="edit" data="1"/>
    </o:shapelayout>
  </w:shapeDefaults>
  <w:decimalSymbol w:val=","/>
  <w:listSeparator w:val=";"/>
  <w14:docId w14:val="13CE0B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CF0380"/>
    <w:rPr>
      <w:sz w:val="24"/>
      <w:szCs w:val="24"/>
      <w:lang w:val="fr-FR"/>
    </w:rPr>
  </w:style>
  <w:style w:type="paragraph" w:styleId="Heading1">
    <w:name w:val="heading 1"/>
    <w:basedOn w:val="Normal"/>
    <w:next w:val="Normal"/>
    <w:link w:val="Heading1Char"/>
    <w:uiPriority w:val="98"/>
    <w:semiHidden/>
    <w:rsid w:val="00CF0380"/>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CF0380"/>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CF0380"/>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CF0380"/>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CF0380"/>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CF0380"/>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CF0380"/>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CF0380"/>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CF0380"/>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CF0380"/>
    <w:rPr>
      <w:rFonts w:ascii="Tahoma" w:hAnsi="Tahoma" w:cs="Tahoma"/>
      <w:sz w:val="16"/>
      <w:szCs w:val="16"/>
    </w:rPr>
  </w:style>
  <w:style w:type="character" w:customStyle="1" w:styleId="BalloonTextChar">
    <w:name w:val="Balloon Text Char"/>
    <w:basedOn w:val="DefaultParagraphFont"/>
    <w:link w:val="BalloonText"/>
    <w:uiPriority w:val="98"/>
    <w:semiHidden/>
    <w:rsid w:val="00CF0380"/>
    <w:rPr>
      <w:rFonts w:ascii="Tahoma" w:hAnsi="Tahoma" w:cs="Tahoma"/>
      <w:sz w:val="16"/>
      <w:szCs w:val="16"/>
      <w:lang w:val="fr-FR"/>
    </w:rPr>
  </w:style>
  <w:style w:type="character" w:styleId="BookTitle">
    <w:name w:val="Book Title"/>
    <w:uiPriority w:val="98"/>
    <w:semiHidden/>
    <w:qFormat/>
    <w:rsid w:val="00CF0380"/>
    <w:rPr>
      <w:i/>
      <w:iCs/>
      <w:smallCaps/>
      <w:spacing w:val="5"/>
    </w:rPr>
  </w:style>
  <w:style w:type="paragraph" w:customStyle="1" w:styleId="JuHeader">
    <w:name w:val="Ju_Header"/>
    <w:aliases w:val="_Header"/>
    <w:basedOn w:val="Header"/>
    <w:uiPriority w:val="29"/>
    <w:qFormat/>
    <w:rsid w:val="00CF0380"/>
    <w:pPr>
      <w:tabs>
        <w:tab w:val="clear" w:pos="4536"/>
        <w:tab w:val="clear" w:pos="9072"/>
      </w:tabs>
      <w:jc w:val="center"/>
    </w:pPr>
    <w:rPr>
      <w:sz w:val="18"/>
    </w:rPr>
  </w:style>
  <w:style w:type="paragraph" w:customStyle="1" w:styleId="DummyStyle">
    <w:name w:val="Dummy_Style"/>
    <w:aliases w:val="_Dummy"/>
    <w:basedOn w:val="Normal"/>
    <w:semiHidden/>
    <w:qFormat/>
    <w:rsid w:val="00CF0380"/>
    <w:rPr>
      <w:color w:val="00B050"/>
      <w:sz w:val="22"/>
    </w:rPr>
  </w:style>
  <w:style w:type="character" w:styleId="Strong">
    <w:name w:val="Strong"/>
    <w:uiPriority w:val="98"/>
    <w:semiHidden/>
    <w:qFormat/>
    <w:rsid w:val="00CF0380"/>
    <w:rPr>
      <w:b/>
      <w:bCs/>
    </w:rPr>
  </w:style>
  <w:style w:type="paragraph" w:styleId="NoSpacing">
    <w:name w:val="No Spacing"/>
    <w:basedOn w:val="Normal"/>
    <w:link w:val="NoSpacingChar"/>
    <w:uiPriority w:val="98"/>
    <w:semiHidden/>
    <w:qFormat/>
    <w:rsid w:val="00CF0380"/>
  </w:style>
  <w:style w:type="character" w:customStyle="1" w:styleId="NoSpacingChar">
    <w:name w:val="No Spacing Char"/>
    <w:basedOn w:val="DefaultParagraphFont"/>
    <w:link w:val="NoSpacing"/>
    <w:uiPriority w:val="98"/>
    <w:semiHidden/>
    <w:rsid w:val="00CF0380"/>
    <w:rPr>
      <w:sz w:val="24"/>
      <w:szCs w:val="24"/>
      <w:lang w:val="fr-FR"/>
    </w:rPr>
  </w:style>
  <w:style w:type="paragraph" w:customStyle="1" w:styleId="JuQuot">
    <w:name w:val="Ju_Quot"/>
    <w:aliases w:val="_Quote"/>
    <w:basedOn w:val="NormalJustified"/>
    <w:uiPriority w:val="20"/>
    <w:qFormat/>
    <w:rsid w:val="00CF0380"/>
    <w:pPr>
      <w:spacing w:before="120" w:after="120"/>
      <w:ind w:left="425" w:firstLine="142"/>
    </w:pPr>
    <w:rPr>
      <w:sz w:val="20"/>
    </w:rPr>
  </w:style>
  <w:style w:type="paragraph" w:customStyle="1" w:styleId="JuList">
    <w:name w:val="Ju_List"/>
    <w:aliases w:val="_List_1"/>
    <w:basedOn w:val="NormalJustified"/>
    <w:uiPriority w:val="23"/>
    <w:qFormat/>
    <w:rsid w:val="00CF0380"/>
    <w:pPr>
      <w:numPr>
        <w:numId w:val="13"/>
      </w:numPr>
      <w:spacing w:before="280" w:after="60"/>
    </w:pPr>
  </w:style>
  <w:style w:type="paragraph" w:customStyle="1" w:styleId="JuLista">
    <w:name w:val="Ju_List_a"/>
    <w:aliases w:val="_List_2"/>
    <w:basedOn w:val="NormalJustified"/>
    <w:uiPriority w:val="23"/>
    <w:rsid w:val="00CF0380"/>
    <w:pPr>
      <w:numPr>
        <w:ilvl w:val="1"/>
        <w:numId w:val="13"/>
      </w:numPr>
    </w:pPr>
  </w:style>
  <w:style w:type="paragraph" w:customStyle="1" w:styleId="JuListi">
    <w:name w:val="Ju_List_i"/>
    <w:aliases w:val="_List_3"/>
    <w:basedOn w:val="NormalJustified"/>
    <w:uiPriority w:val="23"/>
    <w:rsid w:val="00CF0380"/>
    <w:pPr>
      <w:numPr>
        <w:ilvl w:val="2"/>
        <w:numId w:val="13"/>
      </w:numPr>
    </w:pPr>
  </w:style>
  <w:style w:type="paragraph" w:customStyle="1" w:styleId="DecHTitle">
    <w:name w:val="Dec_H_Title"/>
    <w:aliases w:val="_Title_1"/>
    <w:basedOn w:val="JuPara"/>
    <w:next w:val="JuPara"/>
    <w:uiPriority w:val="38"/>
    <w:qFormat/>
    <w:rsid w:val="00CF0380"/>
    <w:pPr>
      <w:keepNext/>
      <w:keepLines/>
      <w:spacing w:after="240"/>
      <w:ind w:firstLine="0"/>
      <w:jc w:val="center"/>
      <w:outlineLvl w:val="0"/>
    </w:pPr>
    <w:rPr>
      <w:rFonts w:asciiTheme="majorHAnsi" w:hAnsiTheme="majorHAnsi"/>
      <w:sz w:val="28"/>
    </w:rPr>
  </w:style>
  <w:style w:type="paragraph" w:customStyle="1" w:styleId="JuHArticle">
    <w:name w:val="Ju_H_Article"/>
    <w:aliases w:val="_Title_Quote"/>
    <w:basedOn w:val="Normal"/>
    <w:next w:val="JuQuot"/>
    <w:uiPriority w:val="19"/>
    <w:qFormat/>
    <w:rsid w:val="00CF0380"/>
    <w:pPr>
      <w:keepNext/>
      <w:spacing w:before="100" w:beforeAutospacing="1" w:after="120"/>
      <w:contextualSpacing/>
      <w:jc w:val="center"/>
    </w:pPr>
    <w:rPr>
      <w:b/>
      <w:sz w:val="20"/>
    </w:rPr>
  </w:style>
  <w:style w:type="paragraph" w:customStyle="1" w:styleId="ECHRCoverTitle4">
    <w:name w:val="ECHR_Cover_Title_4"/>
    <w:aliases w:val="_Title_4"/>
    <w:basedOn w:val="JuPara"/>
    <w:next w:val="JuPara"/>
    <w:uiPriority w:val="38"/>
    <w:qFormat/>
    <w:rsid w:val="00CF0380"/>
    <w:pPr>
      <w:keepNext/>
      <w:keepLines/>
      <w:tabs>
        <w:tab w:val="right" w:pos="7938"/>
      </w:tabs>
      <w:ind w:firstLine="0"/>
      <w:jc w:val="center"/>
    </w:pPr>
    <w:rPr>
      <w:i/>
    </w:rPr>
  </w:style>
  <w:style w:type="numbering" w:customStyle="1" w:styleId="ECHRA1StyleBulletedSquare">
    <w:name w:val="ECHR_A1_Style_Bulleted_Square"/>
    <w:basedOn w:val="NoList"/>
    <w:rsid w:val="00CF0380"/>
    <w:pPr>
      <w:numPr>
        <w:numId w:val="12"/>
      </w:numPr>
    </w:pPr>
  </w:style>
  <w:style w:type="paragraph" w:customStyle="1" w:styleId="JuHHead">
    <w:name w:val="Ju_H_Head"/>
    <w:aliases w:val="_Head_1"/>
    <w:basedOn w:val="Heading1"/>
    <w:next w:val="JuPara"/>
    <w:uiPriority w:val="17"/>
    <w:qFormat/>
    <w:rsid w:val="00CF0380"/>
    <w:pPr>
      <w:keepNext/>
      <w:keepLines/>
      <w:numPr>
        <w:numId w:val="8"/>
      </w:numPr>
      <w:spacing w:before="100" w:beforeAutospacing="1" w:after="240"/>
      <w:contextualSpacing w:val="0"/>
      <w:jc w:val="both"/>
    </w:pPr>
    <w:rPr>
      <w:b w:val="0"/>
      <w:caps/>
      <w:color w:val="auto"/>
    </w:rPr>
  </w:style>
  <w:style w:type="numbering" w:customStyle="1" w:styleId="ECHRA1StyleList">
    <w:name w:val="ECHR_A1_Style_List"/>
    <w:basedOn w:val="NoList"/>
    <w:uiPriority w:val="99"/>
    <w:rsid w:val="00CF0380"/>
    <w:pPr>
      <w:numPr>
        <w:numId w:val="13"/>
      </w:numPr>
    </w:pPr>
  </w:style>
  <w:style w:type="paragraph" w:customStyle="1" w:styleId="JuSigned">
    <w:name w:val="Ju_Signed"/>
    <w:aliases w:val="_Signature"/>
    <w:basedOn w:val="Normal"/>
    <w:next w:val="JuPara"/>
    <w:uiPriority w:val="31"/>
    <w:qFormat/>
    <w:rsid w:val="00CF0380"/>
    <w:pPr>
      <w:tabs>
        <w:tab w:val="center" w:pos="851"/>
        <w:tab w:val="center" w:pos="6407"/>
      </w:tabs>
      <w:spacing w:before="720"/>
    </w:pPr>
  </w:style>
  <w:style w:type="paragraph" w:styleId="Title">
    <w:name w:val="Title"/>
    <w:basedOn w:val="Normal"/>
    <w:next w:val="Normal"/>
    <w:link w:val="TitleChar"/>
    <w:uiPriority w:val="98"/>
    <w:semiHidden/>
    <w:qFormat/>
    <w:rsid w:val="00CF0380"/>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CF0380"/>
    <w:rPr>
      <w:rFonts w:asciiTheme="majorHAnsi" w:eastAsiaTheme="majorEastAsia" w:hAnsiTheme="majorHAnsi" w:cstheme="majorBidi"/>
      <w:spacing w:val="5"/>
      <w:sz w:val="52"/>
      <w:szCs w:val="52"/>
      <w:lang w:val="fr-FR" w:bidi="en-US"/>
    </w:rPr>
  </w:style>
  <w:style w:type="numbering" w:customStyle="1" w:styleId="ECHRA1StyleNumberedList">
    <w:name w:val="ECHR_A1_Style_Numbered_List"/>
    <w:basedOn w:val="NoList"/>
    <w:rsid w:val="00CF0380"/>
    <w:pPr>
      <w:numPr>
        <w:numId w:val="14"/>
      </w:numPr>
    </w:pPr>
  </w:style>
  <w:style w:type="table" w:customStyle="1" w:styleId="ECHRTable2019">
    <w:name w:val="ECHR_Table_2019"/>
    <w:basedOn w:val="TableNormal"/>
    <w:uiPriority w:val="99"/>
    <w:rsid w:val="00CF0380"/>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0"/>
    <w:uiPriority w:val="57"/>
    <w:semiHidden/>
    <w:rsid w:val="00A00672"/>
    <w:rPr>
      <w:sz w:val="8"/>
    </w:rPr>
  </w:style>
  <w:style w:type="paragraph" w:customStyle="1" w:styleId="JuCourt">
    <w:name w:val="Ju_Court"/>
    <w:aliases w:val="_Court_Names"/>
    <w:basedOn w:val="Normal"/>
    <w:next w:val="Normal"/>
    <w:uiPriority w:val="32"/>
    <w:qFormat/>
    <w:rsid w:val="00CF0380"/>
    <w:pPr>
      <w:tabs>
        <w:tab w:val="left" w:pos="907"/>
        <w:tab w:val="left" w:pos="1701"/>
        <w:tab w:val="right" w:pos="7371"/>
      </w:tabs>
      <w:spacing w:before="240"/>
      <w:ind w:left="397" w:hanging="397"/>
    </w:pPr>
    <w:rPr>
      <w:lang w:bidi="en-US"/>
    </w:rPr>
  </w:style>
  <w:style w:type="paragraph" w:customStyle="1" w:styleId="JuInitialled">
    <w:name w:val="Ju_Initialled"/>
    <w:aliases w:val="_Right"/>
    <w:basedOn w:val="Normal"/>
    <w:uiPriority w:val="30"/>
    <w:qFormat/>
    <w:rsid w:val="00CF0380"/>
    <w:pPr>
      <w:tabs>
        <w:tab w:val="center" w:pos="6407"/>
      </w:tabs>
      <w:spacing w:before="720"/>
      <w:jc w:val="right"/>
    </w:pPr>
  </w:style>
  <w:style w:type="paragraph" w:customStyle="1" w:styleId="JuHIRoman">
    <w:name w:val="Ju_H_I_Roman"/>
    <w:aliases w:val="_Head_2"/>
    <w:basedOn w:val="Heading2"/>
    <w:next w:val="JuPara"/>
    <w:uiPriority w:val="17"/>
    <w:qFormat/>
    <w:rsid w:val="00CF0380"/>
    <w:pPr>
      <w:keepNext/>
      <w:keepLines/>
      <w:numPr>
        <w:ilvl w:val="1"/>
        <w:numId w:val="8"/>
      </w:numPr>
      <w:tabs>
        <w:tab w:val="left" w:pos="454"/>
        <w:tab w:val="left" w:pos="567"/>
        <w:tab w:val="left" w:pos="680"/>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CF0380"/>
    <w:pPr>
      <w:keepNext/>
      <w:keepLines/>
      <w:numPr>
        <w:ilvl w:val="2"/>
        <w:numId w:val="8"/>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CF0380"/>
    <w:pPr>
      <w:keepNext/>
      <w:keepLines/>
      <w:numPr>
        <w:ilvl w:val="3"/>
        <w:numId w:val="8"/>
      </w:numPr>
      <w:spacing w:before="100" w:beforeAutospacing="1" w:after="120"/>
      <w:jc w:val="both"/>
    </w:pPr>
    <w:rPr>
      <w:b w:val="0"/>
      <w:color w:val="auto"/>
      <w:sz w:val="24"/>
    </w:rPr>
  </w:style>
  <w:style w:type="paragraph" w:styleId="Header">
    <w:name w:val="header"/>
    <w:basedOn w:val="Normal"/>
    <w:link w:val="HeaderChar"/>
    <w:uiPriority w:val="98"/>
    <w:semiHidden/>
    <w:rsid w:val="00CF0380"/>
    <w:pPr>
      <w:tabs>
        <w:tab w:val="center" w:pos="4536"/>
        <w:tab w:val="right" w:pos="9072"/>
      </w:tabs>
    </w:pPr>
  </w:style>
  <w:style w:type="character" w:customStyle="1" w:styleId="HeaderChar">
    <w:name w:val="Header Char"/>
    <w:basedOn w:val="DefaultParagraphFont"/>
    <w:link w:val="Header"/>
    <w:uiPriority w:val="98"/>
    <w:semiHidden/>
    <w:rsid w:val="00CF0380"/>
    <w:rPr>
      <w:sz w:val="24"/>
      <w:szCs w:val="24"/>
      <w:lang w:val="fr-FR"/>
    </w:rPr>
  </w:style>
  <w:style w:type="character" w:customStyle="1" w:styleId="Heading1Char">
    <w:name w:val="Heading 1 Char"/>
    <w:basedOn w:val="DefaultParagraphFont"/>
    <w:link w:val="Heading1"/>
    <w:uiPriority w:val="98"/>
    <w:semiHidden/>
    <w:rsid w:val="00CF0380"/>
    <w:rPr>
      <w:rFonts w:asciiTheme="majorHAnsi" w:eastAsiaTheme="majorEastAsia" w:hAnsiTheme="majorHAnsi" w:cstheme="majorBidi"/>
      <w:b/>
      <w:bCs/>
      <w:color w:val="333333"/>
      <w:sz w:val="28"/>
      <w:szCs w:val="28"/>
      <w:lang w:val="fr-FR"/>
    </w:rPr>
  </w:style>
  <w:style w:type="paragraph" w:customStyle="1" w:styleId="JuHa0">
    <w:name w:val="Ju_H_a"/>
    <w:aliases w:val="_Head_5"/>
    <w:basedOn w:val="Heading5"/>
    <w:next w:val="JuPara"/>
    <w:uiPriority w:val="17"/>
    <w:rsid w:val="00CF0380"/>
    <w:pPr>
      <w:keepNext/>
      <w:keepLines/>
      <w:numPr>
        <w:ilvl w:val="4"/>
        <w:numId w:val="8"/>
      </w:numPr>
      <w:spacing w:before="100" w:beforeAutospacing="1" w:after="120"/>
      <w:jc w:val="both"/>
    </w:pPr>
    <w:rPr>
      <w:color w:val="auto"/>
      <w:sz w:val="20"/>
    </w:rPr>
  </w:style>
  <w:style w:type="paragraph" w:customStyle="1" w:styleId="JuHi">
    <w:name w:val="Ju_H_i"/>
    <w:aliases w:val="_Head_6"/>
    <w:basedOn w:val="Heading6"/>
    <w:next w:val="JuPara"/>
    <w:uiPriority w:val="17"/>
    <w:rsid w:val="00CF0380"/>
    <w:pPr>
      <w:keepNext/>
      <w:keepLines/>
      <w:numPr>
        <w:ilvl w:val="5"/>
        <w:numId w:val="8"/>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CF0380"/>
    <w:rPr>
      <w:rFonts w:asciiTheme="majorHAnsi" w:eastAsiaTheme="majorEastAsia" w:hAnsiTheme="majorHAnsi" w:cstheme="majorBidi"/>
      <w:b/>
      <w:bCs/>
      <w:color w:val="4D4D4D"/>
      <w:sz w:val="26"/>
      <w:szCs w:val="26"/>
      <w:lang w:val="fr-FR"/>
    </w:rPr>
  </w:style>
  <w:style w:type="paragraph" w:customStyle="1" w:styleId="JuHalpha">
    <w:name w:val="Ju_H_alpha"/>
    <w:aliases w:val="_Head_7"/>
    <w:basedOn w:val="Heading7"/>
    <w:next w:val="JuPara"/>
    <w:uiPriority w:val="17"/>
    <w:rsid w:val="00CF0380"/>
    <w:pPr>
      <w:keepNext/>
      <w:keepLines/>
      <w:numPr>
        <w:ilvl w:val="6"/>
        <w:numId w:val="8"/>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CF0380"/>
    <w:pPr>
      <w:keepNext/>
      <w:keepLines/>
      <w:numPr>
        <w:ilvl w:val="7"/>
        <w:numId w:val="8"/>
      </w:numPr>
      <w:spacing w:before="100" w:beforeAutospacing="1" w:after="120"/>
      <w:jc w:val="both"/>
    </w:pPr>
    <w:rPr>
      <w:i/>
    </w:rPr>
  </w:style>
  <w:style w:type="character" w:customStyle="1" w:styleId="Heading3Char">
    <w:name w:val="Heading 3 Char"/>
    <w:basedOn w:val="DefaultParagraphFont"/>
    <w:link w:val="Heading3"/>
    <w:uiPriority w:val="98"/>
    <w:semiHidden/>
    <w:rsid w:val="00CF0380"/>
    <w:rPr>
      <w:rFonts w:asciiTheme="majorHAnsi" w:eastAsiaTheme="majorEastAsia" w:hAnsiTheme="majorHAnsi" w:cstheme="majorBidi"/>
      <w:b/>
      <w:bCs/>
      <w:color w:val="5F5F5F"/>
      <w:lang w:val="fr-FR"/>
    </w:rPr>
  </w:style>
  <w:style w:type="paragraph" w:customStyle="1" w:styleId="JuParaLast">
    <w:name w:val="Ju_Para_Last"/>
    <w:aliases w:val="_Para_Spaced"/>
    <w:basedOn w:val="NormalJustified"/>
    <w:link w:val="ECHRParaSpacedChar"/>
    <w:uiPriority w:val="5"/>
    <w:qFormat/>
    <w:rsid w:val="00CF0380"/>
    <w:pPr>
      <w:keepNext/>
      <w:keepLines/>
      <w:spacing w:before="240" w:after="240"/>
      <w:ind w:firstLine="284"/>
    </w:pPr>
  </w:style>
  <w:style w:type="paragraph" w:customStyle="1" w:styleId="JuJudges">
    <w:name w:val="Ju_Judges"/>
    <w:aliases w:val="_Judges"/>
    <w:basedOn w:val="Normal"/>
    <w:uiPriority w:val="32"/>
    <w:qFormat/>
    <w:rsid w:val="00CF0380"/>
    <w:pPr>
      <w:tabs>
        <w:tab w:val="left" w:pos="567"/>
        <w:tab w:val="left" w:pos="1134"/>
      </w:tabs>
    </w:pPr>
  </w:style>
  <w:style w:type="character" w:customStyle="1" w:styleId="Heading4Char">
    <w:name w:val="Heading 4 Char"/>
    <w:basedOn w:val="DefaultParagraphFont"/>
    <w:link w:val="Heading4"/>
    <w:uiPriority w:val="98"/>
    <w:semiHidden/>
    <w:rsid w:val="00CF0380"/>
    <w:rPr>
      <w:rFonts w:asciiTheme="majorHAnsi" w:eastAsiaTheme="majorEastAsia" w:hAnsiTheme="majorHAnsi" w:cstheme="majorBidi"/>
      <w:b/>
      <w:bCs/>
      <w:i/>
      <w:iCs/>
      <w:color w:val="777777"/>
      <w:lang w:val="fr-FR"/>
    </w:rPr>
  </w:style>
  <w:style w:type="character" w:customStyle="1" w:styleId="JuITMark">
    <w:name w:val="Ju_ITMark"/>
    <w:aliases w:val="_ITMark"/>
    <w:basedOn w:val="DefaultParagraphFont"/>
    <w:uiPriority w:val="54"/>
    <w:qFormat/>
    <w:rsid w:val="00CF0380"/>
    <w:rPr>
      <w:vanish w:val="0"/>
      <w:color w:val="auto"/>
      <w:sz w:val="14"/>
      <w:bdr w:val="none" w:sz="0" w:space="0" w:color="auto"/>
      <w:shd w:val="clear" w:color="auto" w:fill="BEE5FF" w:themeFill="background1" w:themeFillTint="33"/>
    </w:rPr>
  </w:style>
  <w:style w:type="character" w:customStyle="1" w:styleId="Heading5Char">
    <w:name w:val="Heading 5 Char"/>
    <w:basedOn w:val="DefaultParagraphFont"/>
    <w:link w:val="Heading5"/>
    <w:uiPriority w:val="98"/>
    <w:semiHidden/>
    <w:rsid w:val="00CF0380"/>
    <w:rPr>
      <w:rFonts w:asciiTheme="majorHAnsi" w:eastAsiaTheme="majorEastAsia" w:hAnsiTheme="majorHAnsi" w:cstheme="majorBidi"/>
      <w:b/>
      <w:bCs/>
      <w:color w:val="808080"/>
      <w:lang w:val="fr-FR"/>
    </w:rPr>
  </w:style>
  <w:style w:type="character" w:customStyle="1" w:styleId="JUNAMES">
    <w:name w:val="JU_NAMES"/>
    <w:aliases w:val="_Ju_Names"/>
    <w:uiPriority w:val="33"/>
    <w:qFormat/>
    <w:rsid w:val="00CF0380"/>
    <w:rPr>
      <w:caps w:val="0"/>
      <w:smallCaps/>
    </w:rPr>
  </w:style>
  <w:style w:type="paragraph" w:customStyle="1" w:styleId="NormalJustified">
    <w:name w:val="Normal_Justified"/>
    <w:basedOn w:val="Normal"/>
    <w:semiHidden/>
    <w:rsid w:val="00CF0380"/>
    <w:pPr>
      <w:jc w:val="both"/>
    </w:pPr>
  </w:style>
  <w:style w:type="character" w:styleId="SubtleEmphasis">
    <w:name w:val="Subtle Emphasis"/>
    <w:uiPriority w:val="98"/>
    <w:semiHidden/>
    <w:qFormat/>
    <w:rsid w:val="00CF0380"/>
    <w:rPr>
      <w:i/>
      <w:iCs/>
    </w:rPr>
  </w:style>
  <w:style w:type="table" w:customStyle="1" w:styleId="ECHRTable">
    <w:name w:val="ECHR_Table"/>
    <w:basedOn w:val="TableNormal"/>
    <w:rsid w:val="00CF0380"/>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CF0380"/>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semiHidden/>
    <w:qFormat/>
    <w:rsid w:val="00CF0380"/>
    <w:rPr>
      <w:b/>
      <w:bCs/>
      <w:i/>
      <w:iCs/>
      <w:spacing w:val="10"/>
      <w:bdr w:val="none" w:sz="0" w:space="0" w:color="auto"/>
      <w:shd w:val="clear" w:color="auto" w:fill="auto"/>
    </w:rPr>
  </w:style>
  <w:style w:type="paragraph" w:styleId="Footer0">
    <w:name w:val="footer"/>
    <w:basedOn w:val="Normal"/>
    <w:link w:val="FooterChar"/>
    <w:uiPriority w:val="98"/>
    <w:semiHidden/>
    <w:rsid w:val="00CF0380"/>
    <w:pPr>
      <w:tabs>
        <w:tab w:val="center" w:pos="3686"/>
        <w:tab w:val="right" w:pos="7371"/>
      </w:tabs>
    </w:pPr>
  </w:style>
  <w:style w:type="character" w:customStyle="1" w:styleId="FooterChar">
    <w:name w:val="Footer Char"/>
    <w:basedOn w:val="DefaultParagraphFont"/>
    <w:link w:val="Footer0"/>
    <w:uiPriority w:val="98"/>
    <w:semiHidden/>
    <w:rsid w:val="00CF0380"/>
    <w:rPr>
      <w:sz w:val="24"/>
      <w:szCs w:val="24"/>
      <w:lang w:val="fr-FR"/>
    </w:rPr>
  </w:style>
  <w:style w:type="character" w:styleId="FootnoteReference">
    <w:name w:val="footnote reference"/>
    <w:basedOn w:val="DefaultParagraphFont"/>
    <w:uiPriority w:val="98"/>
    <w:semiHidden/>
    <w:rsid w:val="00CF0380"/>
    <w:rPr>
      <w:vertAlign w:val="superscript"/>
    </w:rPr>
  </w:style>
  <w:style w:type="paragraph" w:styleId="FootnoteText">
    <w:name w:val="footnote text"/>
    <w:basedOn w:val="Normal"/>
    <w:link w:val="FootnoteTextChar"/>
    <w:uiPriority w:val="98"/>
    <w:semiHidden/>
    <w:rsid w:val="00CF0380"/>
    <w:rPr>
      <w:sz w:val="20"/>
      <w:szCs w:val="20"/>
    </w:rPr>
  </w:style>
  <w:style w:type="character" w:customStyle="1" w:styleId="FootnoteTextChar">
    <w:name w:val="Footnote Text Char"/>
    <w:basedOn w:val="DefaultParagraphFont"/>
    <w:link w:val="FootnoteText"/>
    <w:uiPriority w:val="98"/>
    <w:semiHidden/>
    <w:rsid w:val="00CF0380"/>
    <w:rPr>
      <w:sz w:val="20"/>
      <w:szCs w:val="20"/>
      <w:lang w:val="fr-FR"/>
    </w:rPr>
  </w:style>
  <w:style w:type="character" w:customStyle="1" w:styleId="Heading6Char">
    <w:name w:val="Heading 6 Char"/>
    <w:basedOn w:val="DefaultParagraphFont"/>
    <w:link w:val="Heading6"/>
    <w:uiPriority w:val="98"/>
    <w:semiHidden/>
    <w:rsid w:val="00CF0380"/>
    <w:rPr>
      <w:rFonts w:asciiTheme="majorHAnsi" w:eastAsiaTheme="majorEastAsia" w:hAnsiTheme="majorHAnsi" w:cstheme="majorBidi"/>
      <w:b/>
      <w:bCs/>
      <w:i/>
      <w:iCs/>
      <w:color w:val="7F7F7F" w:themeColor="text1" w:themeTint="80"/>
      <w:lang w:val="fr-FR" w:bidi="en-US"/>
    </w:rPr>
  </w:style>
  <w:style w:type="character" w:customStyle="1" w:styleId="Heading7Char">
    <w:name w:val="Heading 7 Char"/>
    <w:basedOn w:val="DefaultParagraphFont"/>
    <w:link w:val="Heading7"/>
    <w:uiPriority w:val="98"/>
    <w:semiHidden/>
    <w:rsid w:val="00CF0380"/>
    <w:rPr>
      <w:rFonts w:asciiTheme="majorHAnsi" w:eastAsiaTheme="majorEastAsia" w:hAnsiTheme="majorHAnsi" w:cstheme="majorBidi"/>
      <w:i/>
      <w:iCs/>
      <w:lang w:val="fr-FR" w:bidi="en-US"/>
    </w:rPr>
  </w:style>
  <w:style w:type="character" w:customStyle="1" w:styleId="Heading8Char">
    <w:name w:val="Heading 8 Char"/>
    <w:basedOn w:val="DefaultParagraphFont"/>
    <w:link w:val="Heading8"/>
    <w:uiPriority w:val="98"/>
    <w:semiHidden/>
    <w:rsid w:val="00CF0380"/>
    <w:rPr>
      <w:rFonts w:asciiTheme="majorHAnsi" w:eastAsiaTheme="majorEastAsia" w:hAnsiTheme="majorHAnsi" w:cstheme="majorBidi"/>
      <w:sz w:val="20"/>
      <w:szCs w:val="20"/>
      <w:lang w:val="fr-FR" w:bidi="en-US"/>
    </w:rPr>
  </w:style>
  <w:style w:type="character" w:customStyle="1" w:styleId="Heading9Char">
    <w:name w:val="Heading 9 Char"/>
    <w:basedOn w:val="DefaultParagraphFont"/>
    <w:link w:val="Heading9"/>
    <w:uiPriority w:val="98"/>
    <w:semiHidden/>
    <w:rsid w:val="00CF0380"/>
    <w:rPr>
      <w:rFonts w:asciiTheme="majorHAnsi" w:eastAsiaTheme="majorEastAsia" w:hAnsiTheme="majorHAnsi" w:cstheme="majorBidi"/>
      <w:i/>
      <w:iCs/>
      <w:spacing w:val="5"/>
      <w:sz w:val="20"/>
      <w:szCs w:val="20"/>
      <w:lang w:val="fr-FR" w:bidi="en-US"/>
    </w:rPr>
  </w:style>
  <w:style w:type="character" w:styleId="Hyperlink">
    <w:name w:val="Hyperlink"/>
    <w:basedOn w:val="DefaultParagraphFont"/>
    <w:uiPriority w:val="98"/>
    <w:semiHidden/>
    <w:rsid w:val="00CF0380"/>
    <w:rPr>
      <w:color w:val="0072BC" w:themeColor="hyperlink"/>
      <w:u w:val="single"/>
    </w:rPr>
  </w:style>
  <w:style w:type="character" w:styleId="IntenseEmphasis">
    <w:name w:val="Intense Emphasis"/>
    <w:uiPriority w:val="98"/>
    <w:semiHidden/>
    <w:qFormat/>
    <w:rsid w:val="00CF0380"/>
    <w:rPr>
      <w:b/>
      <w:bCs/>
    </w:rPr>
  </w:style>
  <w:style w:type="paragraph" w:styleId="IntenseQuote">
    <w:name w:val="Intense Quote"/>
    <w:basedOn w:val="Normal"/>
    <w:next w:val="Normal"/>
    <w:link w:val="IntenseQuoteChar"/>
    <w:uiPriority w:val="98"/>
    <w:semiHidden/>
    <w:qFormat/>
    <w:rsid w:val="00CF0380"/>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CF0380"/>
    <w:rPr>
      <w:b/>
      <w:bCs/>
      <w:i/>
      <w:iCs/>
      <w:sz w:val="24"/>
      <w:szCs w:val="24"/>
      <w:lang w:val="fr-FR" w:bidi="en-US"/>
    </w:rPr>
  </w:style>
  <w:style w:type="character" w:styleId="IntenseReference">
    <w:name w:val="Intense Reference"/>
    <w:uiPriority w:val="98"/>
    <w:semiHidden/>
    <w:qFormat/>
    <w:rsid w:val="00CF0380"/>
    <w:rPr>
      <w:smallCaps/>
      <w:spacing w:val="5"/>
      <w:u w:val="single"/>
    </w:rPr>
  </w:style>
  <w:style w:type="paragraph" w:styleId="ListParagraph">
    <w:name w:val="List Paragraph"/>
    <w:basedOn w:val="Normal"/>
    <w:uiPriority w:val="98"/>
    <w:semiHidden/>
    <w:qFormat/>
    <w:rsid w:val="00CF0380"/>
    <w:pPr>
      <w:ind w:left="720"/>
      <w:contextualSpacing/>
    </w:pPr>
  </w:style>
  <w:style w:type="table" w:customStyle="1" w:styleId="LtrTableAddress">
    <w:name w:val="Ltr_Table_Address"/>
    <w:aliases w:val="ECHR_Ltr_Table_Address"/>
    <w:basedOn w:val="TableNormal"/>
    <w:uiPriority w:val="99"/>
    <w:rsid w:val="00CF0380"/>
    <w:rPr>
      <w:sz w:val="24"/>
      <w:szCs w:val="24"/>
    </w:rPr>
    <w:tblPr>
      <w:tblInd w:w="5103" w:type="dxa"/>
    </w:tblPr>
  </w:style>
  <w:style w:type="paragraph" w:styleId="Quote">
    <w:name w:val="Quote"/>
    <w:basedOn w:val="Normal"/>
    <w:next w:val="Normal"/>
    <w:link w:val="QuoteChar"/>
    <w:uiPriority w:val="98"/>
    <w:semiHidden/>
    <w:qFormat/>
    <w:rsid w:val="00CF0380"/>
    <w:pPr>
      <w:spacing w:before="200"/>
      <w:ind w:left="360" w:right="360"/>
    </w:pPr>
    <w:rPr>
      <w:i/>
      <w:iCs/>
      <w:lang w:bidi="en-US"/>
    </w:rPr>
  </w:style>
  <w:style w:type="character" w:customStyle="1" w:styleId="QuoteChar">
    <w:name w:val="Quote Char"/>
    <w:basedOn w:val="DefaultParagraphFont"/>
    <w:link w:val="Quote"/>
    <w:uiPriority w:val="98"/>
    <w:semiHidden/>
    <w:rsid w:val="00CF0380"/>
    <w:rPr>
      <w:i/>
      <w:iCs/>
      <w:sz w:val="24"/>
      <w:szCs w:val="24"/>
      <w:lang w:val="fr-FR" w:bidi="en-US"/>
    </w:rPr>
  </w:style>
  <w:style w:type="character" w:styleId="SubtleReference">
    <w:name w:val="Subtle Reference"/>
    <w:uiPriority w:val="98"/>
    <w:semiHidden/>
    <w:qFormat/>
    <w:rsid w:val="00CF0380"/>
    <w:rPr>
      <w:smallCaps/>
    </w:rPr>
  </w:style>
  <w:style w:type="table" w:styleId="TableGrid">
    <w:name w:val="Table Grid"/>
    <w:basedOn w:val="TableNormal"/>
    <w:uiPriority w:val="59"/>
    <w:semiHidden/>
    <w:rsid w:val="00CF0380"/>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CF0380"/>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CF0380"/>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CF0380"/>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CF0380"/>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CF0380"/>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CF0380"/>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CF0380"/>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CF0380"/>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CF0380"/>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CF0380"/>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CF0380"/>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CF0380"/>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CF0380"/>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semiHidden/>
    <w:qFormat/>
    <w:rsid w:val="00CF0380"/>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CF0380"/>
    <w:rPr>
      <w:rFonts w:asciiTheme="majorHAnsi" w:eastAsiaTheme="majorEastAsia" w:hAnsiTheme="majorHAnsi" w:cstheme="majorBidi"/>
      <w:i/>
      <w:iCs/>
      <w:spacing w:val="13"/>
      <w:sz w:val="24"/>
      <w:szCs w:val="24"/>
      <w:lang w:val="fr-FR" w:bidi="en-US"/>
    </w:rPr>
  </w:style>
  <w:style w:type="numbering" w:styleId="111111">
    <w:name w:val="Outline List 2"/>
    <w:basedOn w:val="NoList"/>
    <w:uiPriority w:val="99"/>
    <w:semiHidden/>
    <w:unhideWhenUsed/>
    <w:rsid w:val="00CF0380"/>
    <w:pPr>
      <w:numPr>
        <w:numId w:val="9"/>
      </w:numPr>
    </w:pPr>
  </w:style>
  <w:style w:type="paragraph" w:customStyle="1" w:styleId="JuPara">
    <w:name w:val="Ju_Para"/>
    <w:aliases w:val="_Para"/>
    <w:basedOn w:val="NormalJustified"/>
    <w:link w:val="JuParaChar"/>
    <w:uiPriority w:val="4"/>
    <w:qFormat/>
    <w:rsid w:val="00CF0380"/>
    <w:pPr>
      <w:ind w:firstLine="284"/>
    </w:pPr>
  </w:style>
  <w:style w:type="numbering" w:styleId="1ai">
    <w:name w:val="Outline List 1"/>
    <w:basedOn w:val="NoList"/>
    <w:uiPriority w:val="99"/>
    <w:semiHidden/>
    <w:unhideWhenUsed/>
    <w:rsid w:val="00CF0380"/>
    <w:pPr>
      <w:numPr>
        <w:numId w:val="10"/>
      </w:numPr>
    </w:pPr>
  </w:style>
  <w:style w:type="table" w:customStyle="1" w:styleId="ECHRTableSimpleBox">
    <w:name w:val="ECHR_Table_Simple_Box"/>
    <w:basedOn w:val="TableNormal"/>
    <w:uiPriority w:val="99"/>
    <w:rsid w:val="00CF0380"/>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CF0380"/>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CF0380"/>
    <w:pPr>
      <w:numPr>
        <w:numId w:val="11"/>
      </w:numPr>
    </w:pPr>
  </w:style>
  <w:style w:type="table" w:customStyle="1" w:styleId="ECHRTableForInternalUse">
    <w:name w:val="ECHR_Table_For_Internal_Use"/>
    <w:basedOn w:val="TableNormal"/>
    <w:uiPriority w:val="99"/>
    <w:rsid w:val="00CF0380"/>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CF0380"/>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CF0380"/>
  </w:style>
  <w:style w:type="paragraph" w:styleId="BlockText">
    <w:name w:val="Block Text"/>
    <w:basedOn w:val="Normal"/>
    <w:uiPriority w:val="98"/>
    <w:semiHidden/>
    <w:rsid w:val="00CF0380"/>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CF0380"/>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CF0380"/>
    <w:pPr>
      <w:spacing w:after="120"/>
    </w:pPr>
  </w:style>
  <w:style w:type="character" w:customStyle="1" w:styleId="BodyTextChar">
    <w:name w:val="Body Text Char"/>
    <w:basedOn w:val="DefaultParagraphFont"/>
    <w:link w:val="BodyText"/>
    <w:uiPriority w:val="98"/>
    <w:semiHidden/>
    <w:rsid w:val="00CF0380"/>
    <w:rPr>
      <w:sz w:val="24"/>
      <w:szCs w:val="24"/>
      <w:lang w:val="fr-FR"/>
    </w:rPr>
  </w:style>
  <w:style w:type="table" w:customStyle="1" w:styleId="ECHRTableOddBanded">
    <w:name w:val="ECHR_Table_Odd_Banded"/>
    <w:basedOn w:val="TableNormal"/>
    <w:uiPriority w:val="99"/>
    <w:rsid w:val="00CF0380"/>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CF0380"/>
    <w:pPr>
      <w:spacing w:after="120" w:line="480" w:lineRule="auto"/>
    </w:pPr>
  </w:style>
  <w:style w:type="table" w:customStyle="1" w:styleId="ECHRHeaderTableReduced">
    <w:name w:val="ECHR_Header_Table_Reduced"/>
    <w:basedOn w:val="TableNormal"/>
    <w:uiPriority w:val="99"/>
    <w:rsid w:val="00CF0380"/>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
    <w:next w:val="JuPara"/>
    <w:uiPriority w:val="32"/>
    <w:rsid w:val="00CF0380"/>
    <w:pPr>
      <w:ind w:firstLine="284"/>
    </w:pPr>
    <w:rPr>
      <w:b/>
    </w:rPr>
  </w:style>
  <w:style w:type="character" w:styleId="PageNumber">
    <w:name w:val="page number"/>
    <w:uiPriority w:val="98"/>
    <w:semiHidden/>
    <w:rsid w:val="00CF0380"/>
    <w:rPr>
      <w:sz w:val="18"/>
    </w:rPr>
  </w:style>
  <w:style w:type="paragraph" w:styleId="ListBullet2">
    <w:name w:val="List Bullet 2"/>
    <w:basedOn w:val="Normal"/>
    <w:uiPriority w:val="98"/>
    <w:semiHidden/>
    <w:rsid w:val="00CF0380"/>
    <w:pPr>
      <w:numPr>
        <w:numId w:val="16"/>
      </w:numPr>
      <w:contextualSpacing/>
    </w:pPr>
  </w:style>
  <w:style w:type="character" w:customStyle="1" w:styleId="BodyText2Char">
    <w:name w:val="Body Text 2 Char"/>
    <w:basedOn w:val="DefaultParagraphFont"/>
    <w:link w:val="BodyText2"/>
    <w:uiPriority w:val="98"/>
    <w:semiHidden/>
    <w:rsid w:val="00CF0380"/>
    <w:rPr>
      <w:sz w:val="24"/>
      <w:szCs w:val="24"/>
      <w:lang w:val="fr-FR"/>
    </w:rPr>
  </w:style>
  <w:style w:type="paragraph" w:styleId="BodyText3">
    <w:name w:val="Body Text 3"/>
    <w:basedOn w:val="Normal"/>
    <w:link w:val="BodyText3Char"/>
    <w:uiPriority w:val="98"/>
    <w:semiHidden/>
    <w:rsid w:val="00CF0380"/>
    <w:pPr>
      <w:spacing w:after="120"/>
    </w:pPr>
    <w:rPr>
      <w:sz w:val="16"/>
      <w:szCs w:val="16"/>
    </w:rPr>
  </w:style>
  <w:style w:type="character" w:customStyle="1" w:styleId="BodyText3Char">
    <w:name w:val="Body Text 3 Char"/>
    <w:basedOn w:val="DefaultParagraphFont"/>
    <w:link w:val="BodyText3"/>
    <w:uiPriority w:val="98"/>
    <w:semiHidden/>
    <w:rsid w:val="00CF0380"/>
    <w:rPr>
      <w:sz w:val="16"/>
      <w:szCs w:val="16"/>
      <w:lang w:val="fr-FR"/>
    </w:rPr>
  </w:style>
  <w:style w:type="paragraph" w:styleId="BodyTextFirstIndent">
    <w:name w:val="Body Text First Indent"/>
    <w:basedOn w:val="BodyText"/>
    <w:link w:val="BodyTextFirstIndentChar"/>
    <w:uiPriority w:val="98"/>
    <w:semiHidden/>
    <w:rsid w:val="00CF0380"/>
    <w:pPr>
      <w:spacing w:after="0"/>
      <w:ind w:firstLine="360"/>
    </w:pPr>
  </w:style>
  <w:style w:type="character" w:customStyle="1" w:styleId="BodyTextFirstIndentChar">
    <w:name w:val="Body Text First Indent Char"/>
    <w:basedOn w:val="BodyTextChar"/>
    <w:link w:val="BodyTextFirstIndent"/>
    <w:uiPriority w:val="98"/>
    <w:semiHidden/>
    <w:rsid w:val="00CF0380"/>
    <w:rPr>
      <w:sz w:val="24"/>
      <w:szCs w:val="24"/>
      <w:lang w:val="fr-FR"/>
    </w:rPr>
  </w:style>
  <w:style w:type="paragraph" w:styleId="BodyTextIndent">
    <w:name w:val="Body Text Indent"/>
    <w:basedOn w:val="Normal"/>
    <w:link w:val="BodyTextIndentChar"/>
    <w:uiPriority w:val="98"/>
    <w:semiHidden/>
    <w:rsid w:val="00CF0380"/>
    <w:pPr>
      <w:spacing w:after="120"/>
      <w:ind w:left="283"/>
    </w:pPr>
  </w:style>
  <w:style w:type="character" w:customStyle="1" w:styleId="BodyTextIndentChar">
    <w:name w:val="Body Text Indent Char"/>
    <w:basedOn w:val="DefaultParagraphFont"/>
    <w:link w:val="BodyTextIndent"/>
    <w:uiPriority w:val="98"/>
    <w:semiHidden/>
    <w:rsid w:val="00CF0380"/>
    <w:rPr>
      <w:sz w:val="24"/>
      <w:szCs w:val="24"/>
      <w:lang w:val="fr-FR"/>
    </w:rPr>
  </w:style>
  <w:style w:type="paragraph" w:styleId="BodyTextFirstIndent2">
    <w:name w:val="Body Text First Indent 2"/>
    <w:basedOn w:val="BodyTextIndent"/>
    <w:link w:val="BodyTextFirstIndent2Char"/>
    <w:uiPriority w:val="98"/>
    <w:semiHidden/>
    <w:rsid w:val="00CF0380"/>
    <w:pPr>
      <w:spacing w:after="0"/>
      <w:ind w:left="360" w:firstLine="360"/>
    </w:pPr>
  </w:style>
  <w:style w:type="character" w:customStyle="1" w:styleId="BodyTextFirstIndent2Char">
    <w:name w:val="Body Text First Indent 2 Char"/>
    <w:basedOn w:val="BodyTextIndentChar"/>
    <w:link w:val="BodyTextFirstIndent2"/>
    <w:uiPriority w:val="98"/>
    <w:semiHidden/>
    <w:rsid w:val="00CF0380"/>
    <w:rPr>
      <w:sz w:val="24"/>
      <w:szCs w:val="24"/>
      <w:lang w:val="fr-FR"/>
    </w:rPr>
  </w:style>
  <w:style w:type="paragraph" w:styleId="BodyTextIndent2">
    <w:name w:val="Body Text Indent 2"/>
    <w:basedOn w:val="Normal"/>
    <w:link w:val="BodyTextIndent2Char"/>
    <w:uiPriority w:val="98"/>
    <w:semiHidden/>
    <w:rsid w:val="00CF0380"/>
    <w:pPr>
      <w:spacing w:after="120" w:line="480" w:lineRule="auto"/>
      <w:ind w:left="283"/>
    </w:pPr>
  </w:style>
  <w:style w:type="character" w:customStyle="1" w:styleId="BodyTextIndent2Char">
    <w:name w:val="Body Text Indent 2 Char"/>
    <w:basedOn w:val="DefaultParagraphFont"/>
    <w:link w:val="BodyTextIndent2"/>
    <w:uiPriority w:val="98"/>
    <w:semiHidden/>
    <w:rsid w:val="00CF0380"/>
    <w:rPr>
      <w:sz w:val="24"/>
      <w:szCs w:val="24"/>
      <w:lang w:val="fr-FR"/>
    </w:rPr>
  </w:style>
  <w:style w:type="paragraph" w:styleId="BodyTextIndent3">
    <w:name w:val="Body Text Indent 3"/>
    <w:basedOn w:val="Normal"/>
    <w:link w:val="BodyTextIndent3Char"/>
    <w:uiPriority w:val="98"/>
    <w:semiHidden/>
    <w:rsid w:val="00CF0380"/>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CF0380"/>
    <w:rPr>
      <w:sz w:val="16"/>
      <w:szCs w:val="16"/>
      <w:lang w:val="fr-FR"/>
    </w:rPr>
  </w:style>
  <w:style w:type="paragraph" w:styleId="Caption">
    <w:name w:val="caption"/>
    <w:basedOn w:val="Normal"/>
    <w:next w:val="Normal"/>
    <w:uiPriority w:val="98"/>
    <w:semiHidden/>
    <w:qFormat/>
    <w:rsid w:val="00CF0380"/>
    <w:pPr>
      <w:spacing w:after="200"/>
    </w:pPr>
    <w:rPr>
      <w:b/>
      <w:bCs/>
      <w:color w:val="0072BC" w:themeColor="accent1"/>
      <w:sz w:val="18"/>
      <w:szCs w:val="18"/>
    </w:rPr>
  </w:style>
  <w:style w:type="paragraph" w:styleId="Closing">
    <w:name w:val="Closing"/>
    <w:basedOn w:val="Normal"/>
    <w:link w:val="ClosingChar"/>
    <w:uiPriority w:val="98"/>
    <w:semiHidden/>
    <w:rsid w:val="00CF0380"/>
    <w:pPr>
      <w:ind w:left="4252"/>
    </w:pPr>
  </w:style>
  <w:style w:type="character" w:customStyle="1" w:styleId="ClosingChar">
    <w:name w:val="Closing Char"/>
    <w:basedOn w:val="DefaultParagraphFont"/>
    <w:link w:val="Closing"/>
    <w:uiPriority w:val="98"/>
    <w:semiHidden/>
    <w:rsid w:val="00CF0380"/>
    <w:rPr>
      <w:sz w:val="24"/>
      <w:szCs w:val="24"/>
      <w:lang w:val="fr-FR"/>
    </w:rPr>
  </w:style>
  <w:style w:type="table" w:styleId="ColorfulGrid">
    <w:name w:val="Colorful Grid"/>
    <w:basedOn w:val="TableNormal"/>
    <w:uiPriority w:val="73"/>
    <w:semiHidden/>
    <w:rsid w:val="00CF0380"/>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CF0380"/>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CF0380"/>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CF0380"/>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CF0380"/>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CF0380"/>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CF0380"/>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CF0380"/>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CF0380"/>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CF0380"/>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CF0380"/>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CF0380"/>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CF0380"/>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CF0380"/>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CF0380"/>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CF0380"/>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CF0380"/>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CF0380"/>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CF0380"/>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CF0380"/>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CF0380"/>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CF0380"/>
    <w:rPr>
      <w:sz w:val="16"/>
      <w:szCs w:val="16"/>
    </w:rPr>
  </w:style>
  <w:style w:type="paragraph" w:styleId="CommentText">
    <w:name w:val="annotation text"/>
    <w:basedOn w:val="Normal"/>
    <w:link w:val="CommentTextChar"/>
    <w:uiPriority w:val="98"/>
    <w:semiHidden/>
    <w:rsid w:val="00CF0380"/>
    <w:rPr>
      <w:sz w:val="20"/>
      <w:szCs w:val="20"/>
    </w:rPr>
  </w:style>
  <w:style w:type="character" w:customStyle="1" w:styleId="CommentTextChar">
    <w:name w:val="Comment Text Char"/>
    <w:basedOn w:val="DefaultParagraphFont"/>
    <w:link w:val="CommentText"/>
    <w:uiPriority w:val="98"/>
    <w:semiHidden/>
    <w:rsid w:val="00CF0380"/>
    <w:rPr>
      <w:sz w:val="20"/>
      <w:szCs w:val="20"/>
      <w:lang w:val="fr-FR"/>
    </w:rPr>
  </w:style>
  <w:style w:type="paragraph" w:styleId="CommentSubject">
    <w:name w:val="annotation subject"/>
    <w:basedOn w:val="CommentText"/>
    <w:next w:val="CommentText"/>
    <w:link w:val="CommentSubjectChar"/>
    <w:uiPriority w:val="98"/>
    <w:semiHidden/>
    <w:rsid w:val="00CF0380"/>
    <w:rPr>
      <w:b/>
      <w:bCs/>
    </w:rPr>
  </w:style>
  <w:style w:type="character" w:customStyle="1" w:styleId="CommentSubjectChar">
    <w:name w:val="Comment Subject Char"/>
    <w:basedOn w:val="CommentTextChar"/>
    <w:link w:val="CommentSubject"/>
    <w:uiPriority w:val="98"/>
    <w:semiHidden/>
    <w:rsid w:val="00CF0380"/>
    <w:rPr>
      <w:b/>
      <w:bCs/>
      <w:sz w:val="20"/>
      <w:szCs w:val="20"/>
      <w:lang w:val="fr-FR"/>
    </w:rPr>
  </w:style>
  <w:style w:type="table" w:styleId="DarkList">
    <w:name w:val="Dark List"/>
    <w:basedOn w:val="TableNormal"/>
    <w:uiPriority w:val="70"/>
    <w:semiHidden/>
    <w:rsid w:val="00CF0380"/>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CF0380"/>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CF0380"/>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CF0380"/>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CF0380"/>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CF0380"/>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CF0380"/>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CF0380"/>
  </w:style>
  <w:style w:type="character" w:customStyle="1" w:styleId="DateChar">
    <w:name w:val="Date Char"/>
    <w:basedOn w:val="DefaultParagraphFont"/>
    <w:link w:val="Date"/>
    <w:uiPriority w:val="98"/>
    <w:semiHidden/>
    <w:rsid w:val="00CF0380"/>
    <w:rPr>
      <w:sz w:val="24"/>
      <w:szCs w:val="24"/>
      <w:lang w:val="fr-FR"/>
    </w:rPr>
  </w:style>
  <w:style w:type="paragraph" w:styleId="DocumentMap">
    <w:name w:val="Document Map"/>
    <w:basedOn w:val="Normal"/>
    <w:link w:val="DocumentMapChar"/>
    <w:uiPriority w:val="98"/>
    <w:semiHidden/>
    <w:rsid w:val="00CF0380"/>
    <w:rPr>
      <w:rFonts w:ascii="Tahoma" w:hAnsi="Tahoma" w:cs="Tahoma"/>
      <w:sz w:val="16"/>
      <w:szCs w:val="16"/>
    </w:rPr>
  </w:style>
  <w:style w:type="character" w:customStyle="1" w:styleId="DocumentMapChar">
    <w:name w:val="Document Map Char"/>
    <w:basedOn w:val="DefaultParagraphFont"/>
    <w:link w:val="DocumentMap"/>
    <w:uiPriority w:val="98"/>
    <w:semiHidden/>
    <w:rsid w:val="00CF0380"/>
    <w:rPr>
      <w:rFonts w:ascii="Tahoma" w:hAnsi="Tahoma" w:cs="Tahoma"/>
      <w:sz w:val="16"/>
      <w:szCs w:val="16"/>
      <w:lang w:val="fr-FR"/>
    </w:rPr>
  </w:style>
  <w:style w:type="paragraph" w:styleId="E-mailSignature">
    <w:name w:val="E-mail Signature"/>
    <w:basedOn w:val="Normal"/>
    <w:link w:val="E-mailSignatureChar"/>
    <w:uiPriority w:val="98"/>
    <w:semiHidden/>
    <w:rsid w:val="00CF0380"/>
  </w:style>
  <w:style w:type="character" w:customStyle="1" w:styleId="E-mailSignatureChar">
    <w:name w:val="E-mail Signature Char"/>
    <w:basedOn w:val="DefaultParagraphFont"/>
    <w:link w:val="E-mailSignature"/>
    <w:uiPriority w:val="98"/>
    <w:semiHidden/>
    <w:rsid w:val="00CF0380"/>
    <w:rPr>
      <w:sz w:val="24"/>
      <w:szCs w:val="24"/>
      <w:lang w:val="fr-FR"/>
    </w:rPr>
  </w:style>
  <w:style w:type="character" w:styleId="EndnoteReference">
    <w:name w:val="endnote reference"/>
    <w:basedOn w:val="DefaultParagraphFont"/>
    <w:uiPriority w:val="98"/>
    <w:semiHidden/>
    <w:rsid w:val="00CF0380"/>
    <w:rPr>
      <w:vertAlign w:val="superscript"/>
    </w:rPr>
  </w:style>
  <w:style w:type="paragraph" w:styleId="EndnoteText">
    <w:name w:val="endnote text"/>
    <w:basedOn w:val="Normal"/>
    <w:link w:val="EndnoteTextChar"/>
    <w:uiPriority w:val="98"/>
    <w:semiHidden/>
    <w:rsid w:val="00CF0380"/>
    <w:rPr>
      <w:sz w:val="20"/>
      <w:szCs w:val="20"/>
    </w:rPr>
  </w:style>
  <w:style w:type="character" w:customStyle="1" w:styleId="EndnoteTextChar">
    <w:name w:val="Endnote Text Char"/>
    <w:basedOn w:val="DefaultParagraphFont"/>
    <w:link w:val="EndnoteText"/>
    <w:uiPriority w:val="98"/>
    <w:semiHidden/>
    <w:rsid w:val="00CF0380"/>
    <w:rPr>
      <w:sz w:val="20"/>
      <w:szCs w:val="20"/>
      <w:lang w:val="fr-FR"/>
    </w:rPr>
  </w:style>
  <w:style w:type="paragraph" w:styleId="EnvelopeAddress">
    <w:name w:val="envelope address"/>
    <w:basedOn w:val="Normal"/>
    <w:uiPriority w:val="98"/>
    <w:semiHidden/>
    <w:rsid w:val="00CF0380"/>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CF0380"/>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CF0380"/>
    <w:rPr>
      <w:color w:val="7030A0" w:themeColor="followedHyperlink"/>
      <w:u w:val="single"/>
    </w:rPr>
  </w:style>
  <w:style w:type="character" w:styleId="HTMLAcronym">
    <w:name w:val="HTML Acronym"/>
    <w:basedOn w:val="DefaultParagraphFont"/>
    <w:uiPriority w:val="98"/>
    <w:semiHidden/>
    <w:rsid w:val="00CF0380"/>
  </w:style>
  <w:style w:type="paragraph" w:styleId="HTMLAddress">
    <w:name w:val="HTML Address"/>
    <w:basedOn w:val="Normal"/>
    <w:link w:val="HTMLAddressChar"/>
    <w:uiPriority w:val="98"/>
    <w:semiHidden/>
    <w:rsid w:val="00CF0380"/>
    <w:rPr>
      <w:i/>
      <w:iCs/>
    </w:rPr>
  </w:style>
  <w:style w:type="character" w:customStyle="1" w:styleId="HTMLAddressChar">
    <w:name w:val="HTML Address Char"/>
    <w:basedOn w:val="DefaultParagraphFont"/>
    <w:link w:val="HTMLAddress"/>
    <w:uiPriority w:val="98"/>
    <w:semiHidden/>
    <w:rsid w:val="00CF0380"/>
    <w:rPr>
      <w:i/>
      <w:iCs/>
      <w:sz w:val="24"/>
      <w:szCs w:val="24"/>
      <w:lang w:val="fr-FR"/>
    </w:rPr>
  </w:style>
  <w:style w:type="character" w:styleId="HTMLCite">
    <w:name w:val="HTML Cite"/>
    <w:basedOn w:val="DefaultParagraphFont"/>
    <w:uiPriority w:val="98"/>
    <w:semiHidden/>
    <w:rsid w:val="00CF0380"/>
    <w:rPr>
      <w:i/>
      <w:iCs/>
    </w:rPr>
  </w:style>
  <w:style w:type="character" w:styleId="HTMLCode">
    <w:name w:val="HTML Code"/>
    <w:basedOn w:val="DefaultParagraphFont"/>
    <w:uiPriority w:val="98"/>
    <w:semiHidden/>
    <w:rsid w:val="00CF0380"/>
    <w:rPr>
      <w:rFonts w:ascii="Consolas" w:hAnsi="Consolas" w:cs="Consolas"/>
      <w:sz w:val="20"/>
      <w:szCs w:val="20"/>
    </w:rPr>
  </w:style>
  <w:style w:type="character" w:styleId="HTMLDefinition">
    <w:name w:val="HTML Definition"/>
    <w:basedOn w:val="DefaultParagraphFont"/>
    <w:uiPriority w:val="98"/>
    <w:semiHidden/>
    <w:rsid w:val="00CF0380"/>
    <w:rPr>
      <w:i/>
      <w:iCs/>
    </w:rPr>
  </w:style>
  <w:style w:type="character" w:styleId="HTMLKeyboard">
    <w:name w:val="HTML Keyboard"/>
    <w:basedOn w:val="DefaultParagraphFont"/>
    <w:uiPriority w:val="98"/>
    <w:semiHidden/>
    <w:rsid w:val="00CF0380"/>
    <w:rPr>
      <w:rFonts w:ascii="Consolas" w:hAnsi="Consolas" w:cs="Consolas"/>
      <w:sz w:val="20"/>
      <w:szCs w:val="20"/>
    </w:rPr>
  </w:style>
  <w:style w:type="paragraph" w:styleId="HTMLPreformatted">
    <w:name w:val="HTML Preformatted"/>
    <w:basedOn w:val="Normal"/>
    <w:link w:val="HTMLPreformattedChar"/>
    <w:uiPriority w:val="98"/>
    <w:semiHidden/>
    <w:rsid w:val="00CF0380"/>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CF0380"/>
    <w:rPr>
      <w:rFonts w:ascii="Consolas" w:hAnsi="Consolas" w:cs="Consolas"/>
      <w:sz w:val="20"/>
      <w:szCs w:val="20"/>
      <w:lang w:val="fr-FR"/>
    </w:rPr>
  </w:style>
  <w:style w:type="character" w:styleId="HTMLSample">
    <w:name w:val="HTML Sample"/>
    <w:basedOn w:val="DefaultParagraphFont"/>
    <w:uiPriority w:val="98"/>
    <w:semiHidden/>
    <w:rsid w:val="00CF0380"/>
    <w:rPr>
      <w:rFonts w:ascii="Consolas" w:hAnsi="Consolas" w:cs="Consolas"/>
      <w:sz w:val="24"/>
      <w:szCs w:val="24"/>
    </w:rPr>
  </w:style>
  <w:style w:type="character" w:styleId="HTMLTypewriter">
    <w:name w:val="HTML Typewriter"/>
    <w:basedOn w:val="DefaultParagraphFont"/>
    <w:uiPriority w:val="98"/>
    <w:semiHidden/>
    <w:rsid w:val="00CF0380"/>
    <w:rPr>
      <w:rFonts w:ascii="Consolas" w:hAnsi="Consolas" w:cs="Consolas"/>
      <w:sz w:val="20"/>
      <w:szCs w:val="20"/>
    </w:rPr>
  </w:style>
  <w:style w:type="character" w:styleId="HTMLVariable">
    <w:name w:val="HTML Variable"/>
    <w:basedOn w:val="DefaultParagraphFont"/>
    <w:uiPriority w:val="98"/>
    <w:semiHidden/>
    <w:rsid w:val="00CF0380"/>
    <w:rPr>
      <w:i/>
      <w:iCs/>
    </w:rPr>
  </w:style>
  <w:style w:type="paragraph" w:styleId="Index1">
    <w:name w:val="index 1"/>
    <w:basedOn w:val="Normal"/>
    <w:next w:val="Normal"/>
    <w:autoRedefine/>
    <w:uiPriority w:val="98"/>
    <w:semiHidden/>
    <w:rsid w:val="00CF0380"/>
    <w:pPr>
      <w:ind w:left="240" w:hanging="240"/>
    </w:pPr>
  </w:style>
  <w:style w:type="paragraph" w:styleId="Index2">
    <w:name w:val="index 2"/>
    <w:basedOn w:val="Normal"/>
    <w:next w:val="Normal"/>
    <w:autoRedefine/>
    <w:uiPriority w:val="98"/>
    <w:semiHidden/>
    <w:rsid w:val="00CF0380"/>
    <w:pPr>
      <w:ind w:left="480" w:hanging="240"/>
    </w:pPr>
  </w:style>
  <w:style w:type="paragraph" w:styleId="Index3">
    <w:name w:val="index 3"/>
    <w:basedOn w:val="Normal"/>
    <w:next w:val="Normal"/>
    <w:autoRedefine/>
    <w:uiPriority w:val="98"/>
    <w:semiHidden/>
    <w:rsid w:val="00CF0380"/>
    <w:pPr>
      <w:ind w:left="720" w:hanging="240"/>
    </w:pPr>
  </w:style>
  <w:style w:type="paragraph" w:styleId="Index4">
    <w:name w:val="index 4"/>
    <w:basedOn w:val="Normal"/>
    <w:next w:val="Normal"/>
    <w:autoRedefine/>
    <w:uiPriority w:val="98"/>
    <w:semiHidden/>
    <w:rsid w:val="00CF0380"/>
    <w:pPr>
      <w:ind w:left="960" w:hanging="240"/>
    </w:pPr>
  </w:style>
  <w:style w:type="paragraph" w:styleId="Index5">
    <w:name w:val="index 5"/>
    <w:basedOn w:val="Normal"/>
    <w:next w:val="Normal"/>
    <w:autoRedefine/>
    <w:uiPriority w:val="98"/>
    <w:semiHidden/>
    <w:rsid w:val="00CF0380"/>
    <w:pPr>
      <w:ind w:left="1200" w:hanging="240"/>
    </w:pPr>
  </w:style>
  <w:style w:type="paragraph" w:styleId="Index6">
    <w:name w:val="index 6"/>
    <w:basedOn w:val="Normal"/>
    <w:next w:val="Normal"/>
    <w:autoRedefine/>
    <w:uiPriority w:val="98"/>
    <w:semiHidden/>
    <w:rsid w:val="00CF0380"/>
    <w:pPr>
      <w:ind w:left="1440" w:hanging="240"/>
    </w:pPr>
  </w:style>
  <w:style w:type="paragraph" w:styleId="Index7">
    <w:name w:val="index 7"/>
    <w:basedOn w:val="Normal"/>
    <w:next w:val="Normal"/>
    <w:autoRedefine/>
    <w:uiPriority w:val="98"/>
    <w:semiHidden/>
    <w:rsid w:val="00CF0380"/>
    <w:pPr>
      <w:ind w:left="1680" w:hanging="240"/>
    </w:pPr>
  </w:style>
  <w:style w:type="paragraph" w:styleId="Index8">
    <w:name w:val="index 8"/>
    <w:basedOn w:val="Normal"/>
    <w:next w:val="Normal"/>
    <w:autoRedefine/>
    <w:uiPriority w:val="98"/>
    <w:semiHidden/>
    <w:rsid w:val="00CF0380"/>
    <w:pPr>
      <w:ind w:left="1920" w:hanging="240"/>
    </w:pPr>
  </w:style>
  <w:style w:type="paragraph" w:styleId="Index9">
    <w:name w:val="index 9"/>
    <w:basedOn w:val="Normal"/>
    <w:next w:val="Normal"/>
    <w:autoRedefine/>
    <w:uiPriority w:val="98"/>
    <w:semiHidden/>
    <w:rsid w:val="00CF0380"/>
    <w:pPr>
      <w:ind w:left="2160" w:hanging="240"/>
    </w:pPr>
  </w:style>
  <w:style w:type="paragraph" w:styleId="IndexHeading">
    <w:name w:val="index heading"/>
    <w:basedOn w:val="Normal"/>
    <w:next w:val="Index1"/>
    <w:uiPriority w:val="98"/>
    <w:semiHidden/>
    <w:rsid w:val="00CF0380"/>
    <w:rPr>
      <w:rFonts w:asciiTheme="majorHAnsi" w:eastAsiaTheme="majorEastAsia" w:hAnsiTheme="majorHAnsi" w:cstheme="majorBidi"/>
      <w:b/>
      <w:bCs/>
    </w:rPr>
  </w:style>
  <w:style w:type="table" w:styleId="LightGrid">
    <w:name w:val="Light Grid"/>
    <w:basedOn w:val="TableNormal"/>
    <w:uiPriority w:val="62"/>
    <w:semiHidden/>
    <w:rsid w:val="00CF0380"/>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CF0380"/>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CF0380"/>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CF0380"/>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CF0380"/>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CF0380"/>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CF0380"/>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CF0380"/>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CF0380"/>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CF0380"/>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CF0380"/>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CF0380"/>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CF0380"/>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CF0380"/>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CF0380"/>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CF0380"/>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CF0380"/>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CF0380"/>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CF0380"/>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CF0380"/>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CF0380"/>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CF0380"/>
  </w:style>
  <w:style w:type="paragraph" w:styleId="List">
    <w:name w:val="List"/>
    <w:basedOn w:val="Normal"/>
    <w:uiPriority w:val="98"/>
    <w:semiHidden/>
    <w:rsid w:val="00CF0380"/>
    <w:pPr>
      <w:ind w:left="283" w:hanging="283"/>
      <w:contextualSpacing/>
    </w:pPr>
  </w:style>
  <w:style w:type="paragraph" w:styleId="List2">
    <w:name w:val="List 2"/>
    <w:basedOn w:val="Normal"/>
    <w:uiPriority w:val="98"/>
    <w:semiHidden/>
    <w:rsid w:val="00CF0380"/>
    <w:pPr>
      <w:ind w:left="566" w:hanging="283"/>
      <w:contextualSpacing/>
    </w:pPr>
  </w:style>
  <w:style w:type="paragraph" w:styleId="List3">
    <w:name w:val="List 3"/>
    <w:basedOn w:val="Normal"/>
    <w:uiPriority w:val="98"/>
    <w:semiHidden/>
    <w:rsid w:val="00CF0380"/>
    <w:pPr>
      <w:ind w:left="849" w:hanging="283"/>
      <w:contextualSpacing/>
    </w:pPr>
  </w:style>
  <w:style w:type="paragraph" w:styleId="List4">
    <w:name w:val="List 4"/>
    <w:basedOn w:val="Normal"/>
    <w:uiPriority w:val="98"/>
    <w:semiHidden/>
    <w:rsid w:val="00CF0380"/>
    <w:pPr>
      <w:ind w:left="1132" w:hanging="283"/>
      <w:contextualSpacing/>
    </w:pPr>
  </w:style>
  <w:style w:type="paragraph" w:styleId="List5">
    <w:name w:val="List 5"/>
    <w:basedOn w:val="Normal"/>
    <w:uiPriority w:val="98"/>
    <w:semiHidden/>
    <w:rsid w:val="00CF0380"/>
    <w:pPr>
      <w:ind w:left="1415" w:hanging="283"/>
      <w:contextualSpacing/>
    </w:pPr>
  </w:style>
  <w:style w:type="paragraph" w:styleId="ListBullet">
    <w:name w:val="List Bullet"/>
    <w:basedOn w:val="Normal"/>
    <w:uiPriority w:val="98"/>
    <w:semiHidden/>
    <w:rsid w:val="00CF0380"/>
    <w:pPr>
      <w:numPr>
        <w:numId w:val="15"/>
      </w:numPr>
    </w:pPr>
  </w:style>
  <w:style w:type="paragraph" w:styleId="ListBullet3">
    <w:name w:val="List Bullet 3"/>
    <w:basedOn w:val="Normal"/>
    <w:uiPriority w:val="98"/>
    <w:semiHidden/>
    <w:rsid w:val="00CF0380"/>
    <w:pPr>
      <w:numPr>
        <w:numId w:val="17"/>
      </w:numPr>
      <w:contextualSpacing/>
    </w:pPr>
  </w:style>
  <w:style w:type="paragraph" w:styleId="ListBullet4">
    <w:name w:val="List Bullet 4"/>
    <w:basedOn w:val="Normal"/>
    <w:uiPriority w:val="98"/>
    <w:semiHidden/>
    <w:rsid w:val="00CF0380"/>
    <w:pPr>
      <w:numPr>
        <w:numId w:val="18"/>
      </w:numPr>
      <w:contextualSpacing/>
    </w:pPr>
  </w:style>
  <w:style w:type="paragraph" w:styleId="ListBullet5">
    <w:name w:val="List Bullet 5"/>
    <w:basedOn w:val="Normal"/>
    <w:uiPriority w:val="98"/>
    <w:semiHidden/>
    <w:rsid w:val="00CF0380"/>
    <w:pPr>
      <w:numPr>
        <w:numId w:val="19"/>
      </w:numPr>
      <w:contextualSpacing/>
    </w:pPr>
  </w:style>
  <w:style w:type="paragraph" w:styleId="ListContinue">
    <w:name w:val="List Continue"/>
    <w:basedOn w:val="Normal"/>
    <w:uiPriority w:val="98"/>
    <w:semiHidden/>
    <w:rsid w:val="00CF0380"/>
    <w:pPr>
      <w:spacing w:after="120"/>
      <w:ind w:left="283"/>
      <w:contextualSpacing/>
    </w:pPr>
  </w:style>
  <w:style w:type="paragraph" w:styleId="ListContinue2">
    <w:name w:val="List Continue 2"/>
    <w:basedOn w:val="Normal"/>
    <w:uiPriority w:val="98"/>
    <w:semiHidden/>
    <w:rsid w:val="00CF0380"/>
    <w:pPr>
      <w:spacing w:after="120"/>
      <w:ind w:left="566"/>
      <w:contextualSpacing/>
    </w:pPr>
  </w:style>
  <w:style w:type="paragraph" w:styleId="ListContinue3">
    <w:name w:val="List Continue 3"/>
    <w:basedOn w:val="Normal"/>
    <w:uiPriority w:val="98"/>
    <w:semiHidden/>
    <w:rsid w:val="00CF0380"/>
    <w:pPr>
      <w:spacing w:after="120"/>
      <w:ind w:left="849"/>
      <w:contextualSpacing/>
    </w:pPr>
  </w:style>
  <w:style w:type="paragraph" w:styleId="ListContinue4">
    <w:name w:val="List Continue 4"/>
    <w:basedOn w:val="Normal"/>
    <w:uiPriority w:val="98"/>
    <w:semiHidden/>
    <w:rsid w:val="00CF0380"/>
    <w:pPr>
      <w:spacing w:after="120"/>
      <w:ind w:left="1132"/>
      <w:contextualSpacing/>
    </w:pPr>
  </w:style>
  <w:style w:type="paragraph" w:styleId="ListContinue5">
    <w:name w:val="List Continue 5"/>
    <w:basedOn w:val="Normal"/>
    <w:uiPriority w:val="98"/>
    <w:semiHidden/>
    <w:rsid w:val="00CF0380"/>
    <w:pPr>
      <w:spacing w:after="120"/>
      <w:ind w:left="1415"/>
      <w:contextualSpacing/>
    </w:pPr>
  </w:style>
  <w:style w:type="paragraph" w:styleId="ListNumber">
    <w:name w:val="List Number"/>
    <w:basedOn w:val="Normal"/>
    <w:uiPriority w:val="98"/>
    <w:semiHidden/>
    <w:rsid w:val="00CF0380"/>
    <w:pPr>
      <w:numPr>
        <w:numId w:val="20"/>
      </w:numPr>
      <w:contextualSpacing/>
    </w:pPr>
  </w:style>
  <w:style w:type="paragraph" w:styleId="ListNumber2">
    <w:name w:val="List Number 2"/>
    <w:basedOn w:val="Normal"/>
    <w:uiPriority w:val="98"/>
    <w:semiHidden/>
    <w:rsid w:val="00CF0380"/>
    <w:pPr>
      <w:numPr>
        <w:numId w:val="21"/>
      </w:numPr>
      <w:contextualSpacing/>
    </w:pPr>
  </w:style>
  <w:style w:type="paragraph" w:styleId="ListNumber3">
    <w:name w:val="List Number 3"/>
    <w:basedOn w:val="Normal"/>
    <w:uiPriority w:val="98"/>
    <w:semiHidden/>
    <w:rsid w:val="00CF0380"/>
    <w:pPr>
      <w:numPr>
        <w:numId w:val="22"/>
      </w:numPr>
      <w:contextualSpacing/>
    </w:pPr>
  </w:style>
  <w:style w:type="paragraph" w:styleId="ListNumber4">
    <w:name w:val="List Number 4"/>
    <w:basedOn w:val="Normal"/>
    <w:uiPriority w:val="98"/>
    <w:semiHidden/>
    <w:rsid w:val="00CF0380"/>
    <w:pPr>
      <w:numPr>
        <w:numId w:val="23"/>
      </w:numPr>
      <w:contextualSpacing/>
    </w:pPr>
  </w:style>
  <w:style w:type="paragraph" w:styleId="ListNumber5">
    <w:name w:val="List Number 5"/>
    <w:basedOn w:val="Normal"/>
    <w:uiPriority w:val="98"/>
    <w:semiHidden/>
    <w:rsid w:val="00CF0380"/>
    <w:pPr>
      <w:numPr>
        <w:numId w:val="24"/>
      </w:numPr>
      <w:contextualSpacing/>
    </w:pPr>
  </w:style>
  <w:style w:type="paragraph" w:styleId="MacroText">
    <w:name w:val="macro"/>
    <w:link w:val="MacroTextChar"/>
    <w:uiPriority w:val="98"/>
    <w:semiHidden/>
    <w:rsid w:val="00CF0380"/>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8"/>
    <w:semiHidden/>
    <w:rsid w:val="00CF0380"/>
    <w:rPr>
      <w:rFonts w:ascii="Consolas" w:eastAsiaTheme="minorEastAsia" w:hAnsi="Consolas" w:cs="Consolas"/>
      <w:sz w:val="20"/>
      <w:szCs w:val="20"/>
    </w:rPr>
  </w:style>
  <w:style w:type="table" w:styleId="MediumGrid1">
    <w:name w:val="Medium Grid 1"/>
    <w:basedOn w:val="TableNormal"/>
    <w:uiPriority w:val="67"/>
    <w:semiHidden/>
    <w:rsid w:val="00CF0380"/>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CF0380"/>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CF0380"/>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CF0380"/>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CF0380"/>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CF0380"/>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CF0380"/>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CF0380"/>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CF0380"/>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CF0380"/>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CF0380"/>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CF0380"/>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CF0380"/>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CF0380"/>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CF0380"/>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CF0380"/>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CF0380"/>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CF0380"/>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CF0380"/>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CF0380"/>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CF0380"/>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CF0380"/>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CF0380"/>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CF0380"/>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CF0380"/>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CF0380"/>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CF0380"/>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CF0380"/>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CF0380"/>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CF0380"/>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CF0380"/>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CF0380"/>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CF0380"/>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CF0380"/>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CF0380"/>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CF0380"/>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CF0380"/>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CF0380"/>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CF0380"/>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CF0380"/>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CF0380"/>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CF0380"/>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CF0380"/>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CF0380"/>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CF0380"/>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CF0380"/>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CF0380"/>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CF0380"/>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CF0380"/>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CF0380"/>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CF0380"/>
    <w:rPr>
      <w:rFonts w:asciiTheme="majorHAnsi" w:eastAsiaTheme="majorEastAsia" w:hAnsiTheme="majorHAnsi" w:cstheme="majorBidi"/>
      <w:sz w:val="24"/>
      <w:szCs w:val="24"/>
      <w:shd w:val="pct20" w:color="auto" w:fill="auto"/>
      <w:lang w:val="fr-FR"/>
    </w:rPr>
  </w:style>
  <w:style w:type="paragraph" w:styleId="NormalWeb">
    <w:name w:val="Normal (Web)"/>
    <w:basedOn w:val="Normal"/>
    <w:uiPriority w:val="98"/>
    <w:semiHidden/>
    <w:rsid w:val="00CF0380"/>
    <w:rPr>
      <w:rFonts w:ascii="Times New Roman" w:hAnsi="Times New Roman" w:cs="Times New Roman"/>
    </w:rPr>
  </w:style>
  <w:style w:type="paragraph" w:styleId="NormalIndent">
    <w:name w:val="Normal Indent"/>
    <w:basedOn w:val="Normal"/>
    <w:uiPriority w:val="98"/>
    <w:semiHidden/>
    <w:rsid w:val="00CF0380"/>
    <w:pPr>
      <w:ind w:left="720"/>
    </w:pPr>
  </w:style>
  <w:style w:type="paragraph" w:styleId="NoteHeading">
    <w:name w:val="Note Heading"/>
    <w:basedOn w:val="Normal"/>
    <w:next w:val="Normal"/>
    <w:link w:val="NoteHeadingChar"/>
    <w:uiPriority w:val="98"/>
    <w:semiHidden/>
    <w:rsid w:val="00CF0380"/>
  </w:style>
  <w:style w:type="character" w:customStyle="1" w:styleId="NoteHeadingChar">
    <w:name w:val="Note Heading Char"/>
    <w:basedOn w:val="DefaultParagraphFont"/>
    <w:link w:val="NoteHeading"/>
    <w:uiPriority w:val="98"/>
    <w:semiHidden/>
    <w:rsid w:val="00CF0380"/>
    <w:rPr>
      <w:sz w:val="24"/>
      <w:szCs w:val="24"/>
      <w:lang w:val="fr-FR"/>
    </w:rPr>
  </w:style>
  <w:style w:type="character" w:styleId="PlaceholderText">
    <w:name w:val="Placeholder Text"/>
    <w:basedOn w:val="DefaultParagraphFont"/>
    <w:uiPriority w:val="98"/>
    <w:semiHidden/>
    <w:rsid w:val="00CF0380"/>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CF0380"/>
    <w:rPr>
      <w:rFonts w:ascii="Consolas" w:hAnsi="Consolas" w:cs="Consolas"/>
      <w:sz w:val="21"/>
      <w:szCs w:val="21"/>
    </w:rPr>
  </w:style>
  <w:style w:type="character" w:customStyle="1" w:styleId="PlainTextChar">
    <w:name w:val="Plain Text Char"/>
    <w:basedOn w:val="DefaultParagraphFont"/>
    <w:link w:val="PlainText"/>
    <w:uiPriority w:val="98"/>
    <w:semiHidden/>
    <w:rsid w:val="00CF0380"/>
    <w:rPr>
      <w:rFonts w:ascii="Consolas" w:hAnsi="Consolas" w:cs="Consolas"/>
      <w:sz w:val="21"/>
      <w:szCs w:val="21"/>
      <w:lang w:val="fr-FR"/>
    </w:rPr>
  </w:style>
  <w:style w:type="paragraph" w:styleId="Salutation">
    <w:name w:val="Salutation"/>
    <w:basedOn w:val="Normal"/>
    <w:next w:val="Normal"/>
    <w:link w:val="SalutationChar"/>
    <w:uiPriority w:val="98"/>
    <w:semiHidden/>
    <w:rsid w:val="00CF0380"/>
  </w:style>
  <w:style w:type="character" w:customStyle="1" w:styleId="SalutationChar">
    <w:name w:val="Salutation Char"/>
    <w:basedOn w:val="DefaultParagraphFont"/>
    <w:link w:val="Salutation"/>
    <w:uiPriority w:val="98"/>
    <w:semiHidden/>
    <w:rsid w:val="00CF0380"/>
    <w:rPr>
      <w:sz w:val="24"/>
      <w:szCs w:val="24"/>
      <w:lang w:val="fr-FR"/>
    </w:rPr>
  </w:style>
  <w:style w:type="paragraph" w:styleId="Signature">
    <w:name w:val="Signature"/>
    <w:basedOn w:val="Normal"/>
    <w:link w:val="SignatureChar"/>
    <w:uiPriority w:val="98"/>
    <w:semiHidden/>
    <w:rsid w:val="00CF0380"/>
    <w:pPr>
      <w:ind w:left="4252"/>
    </w:pPr>
  </w:style>
  <w:style w:type="character" w:customStyle="1" w:styleId="SignatureChar">
    <w:name w:val="Signature Char"/>
    <w:basedOn w:val="DefaultParagraphFont"/>
    <w:link w:val="Signature"/>
    <w:uiPriority w:val="98"/>
    <w:semiHidden/>
    <w:rsid w:val="00CF0380"/>
    <w:rPr>
      <w:sz w:val="24"/>
      <w:szCs w:val="24"/>
      <w:lang w:val="fr-FR"/>
    </w:rPr>
  </w:style>
  <w:style w:type="table" w:styleId="Table3Deffects1">
    <w:name w:val="Table 3D effects 1"/>
    <w:basedOn w:val="TableNormal"/>
    <w:uiPriority w:val="99"/>
    <w:semiHidden/>
    <w:unhideWhenUsed/>
    <w:rsid w:val="00CF0380"/>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CF0380"/>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CF0380"/>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CF0380"/>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CF0380"/>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CF0380"/>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CF0380"/>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CF0380"/>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CF0380"/>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CF0380"/>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CF0380"/>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CF0380"/>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CF0380"/>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CF0380"/>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CF0380"/>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CF0380"/>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CF0380"/>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CF0380"/>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CF0380"/>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CF0380"/>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CF0380"/>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CF0380"/>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CF0380"/>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CF0380"/>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CF0380"/>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CF0380"/>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CF0380"/>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CF0380"/>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CF0380"/>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CF0380"/>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CF0380"/>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CF0380"/>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CF0380"/>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CF0380"/>
    <w:pPr>
      <w:ind w:left="240" w:hanging="240"/>
    </w:pPr>
  </w:style>
  <w:style w:type="paragraph" w:styleId="TableofFigures">
    <w:name w:val="table of figures"/>
    <w:basedOn w:val="Normal"/>
    <w:next w:val="Normal"/>
    <w:uiPriority w:val="98"/>
    <w:semiHidden/>
    <w:rsid w:val="00CF0380"/>
  </w:style>
  <w:style w:type="table" w:styleId="TableProfessional">
    <w:name w:val="Table Professional"/>
    <w:basedOn w:val="TableNormal"/>
    <w:uiPriority w:val="99"/>
    <w:semiHidden/>
    <w:unhideWhenUsed/>
    <w:rsid w:val="00CF0380"/>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CF0380"/>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CF0380"/>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CF0380"/>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CF0380"/>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CF0380"/>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CF0380"/>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CF0380"/>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CF0380"/>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CF0380"/>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CF0380"/>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CF0380"/>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CF0380"/>
    <w:pPr>
      <w:spacing w:after="100"/>
      <w:ind w:left="1680"/>
    </w:pPr>
  </w:style>
  <w:style w:type="paragraph" w:styleId="TOC9">
    <w:name w:val="toc 9"/>
    <w:basedOn w:val="Normal"/>
    <w:next w:val="Normal"/>
    <w:autoRedefine/>
    <w:uiPriority w:val="98"/>
    <w:semiHidden/>
    <w:rsid w:val="00CF0380"/>
    <w:pPr>
      <w:spacing w:after="100"/>
      <w:ind w:left="1920"/>
    </w:pPr>
  </w:style>
  <w:style w:type="paragraph" w:customStyle="1" w:styleId="ECHRFooter">
    <w:name w:val="ECHR_Footer"/>
    <w:aliases w:val="Footer_ECHR"/>
    <w:basedOn w:val="Footer0"/>
    <w:uiPriority w:val="57"/>
    <w:semiHidden/>
    <w:rsid w:val="00893F30"/>
    <w:rPr>
      <w:sz w:val="8"/>
    </w:rPr>
  </w:style>
  <w:style w:type="paragraph" w:customStyle="1" w:styleId="ECHRFooterLine">
    <w:name w:val="ECHR_Footer_Line"/>
    <w:aliases w:val="_Footer_Line"/>
    <w:basedOn w:val="Normal"/>
    <w:next w:val="Normal"/>
    <w:uiPriority w:val="29"/>
    <w:semiHidden/>
    <w:rsid w:val="00CF0380"/>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CF0380"/>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CF0380"/>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semiHidden/>
    <w:rsid w:val="00CF0380"/>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CF0380"/>
    <w:pPr>
      <w:numPr>
        <w:numId w:val="12"/>
      </w:numPr>
      <w:spacing w:before="60" w:after="60"/>
    </w:pPr>
  </w:style>
  <w:style w:type="paragraph" w:customStyle="1" w:styleId="ECHRBullet2">
    <w:name w:val="ECHR_Bullet_2"/>
    <w:aliases w:val="_Bul_2"/>
    <w:basedOn w:val="ECHRBullet1"/>
    <w:uiPriority w:val="23"/>
    <w:semiHidden/>
    <w:rsid w:val="00CF0380"/>
    <w:pPr>
      <w:numPr>
        <w:ilvl w:val="1"/>
      </w:numPr>
    </w:pPr>
  </w:style>
  <w:style w:type="paragraph" w:customStyle="1" w:styleId="ECHRBullet3">
    <w:name w:val="ECHR_Bullet_3"/>
    <w:aliases w:val="_Bul_3"/>
    <w:basedOn w:val="ECHRBullet2"/>
    <w:uiPriority w:val="23"/>
    <w:semiHidden/>
    <w:rsid w:val="00CF0380"/>
    <w:pPr>
      <w:numPr>
        <w:ilvl w:val="2"/>
      </w:numPr>
    </w:pPr>
  </w:style>
  <w:style w:type="paragraph" w:customStyle="1" w:styleId="ECHRBullet4">
    <w:name w:val="ECHR_Bullet_4"/>
    <w:aliases w:val="_Bul_4"/>
    <w:basedOn w:val="ECHRBullet3"/>
    <w:uiPriority w:val="23"/>
    <w:semiHidden/>
    <w:rsid w:val="00CF0380"/>
    <w:pPr>
      <w:numPr>
        <w:ilvl w:val="3"/>
      </w:numPr>
    </w:pPr>
  </w:style>
  <w:style w:type="paragraph" w:customStyle="1" w:styleId="ECHRConfidential">
    <w:name w:val="ECHR_Confidential"/>
    <w:aliases w:val="_Confidential"/>
    <w:basedOn w:val="Normal"/>
    <w:next w:val="Normal"/>
    <w:uiPriority w:val="42"/>
    <w:semiHidden/>
    <w:qFormat/>
    <w:rsid w:val="00CF0380"/>
    <w:pPr>
      <w:jc w:val="right"/>
    </w:pPr>
    <w:rPr>
      <w:color w:val="C00000"/>
      <w:sz w:val="20"/>
    </w:rPr>
  </w:style>
  <w:style w:type="paragraph" w:customStyle="1" w:styleId="ECHRDecisionBody">
    <w:name w:val="ECHR_Decision_Body"/>
    <w:aliases w:val="_Decision_Body"/>
    <w:basedOn w:val="NormalJustified"/>
    <w:uiPriority w:val="54"/>
    <w:semiHidden/>
    <w:rsid w:val="00CF0380"/>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CF0380"/>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CF0380"/>
    <w:rPr>
      <w:rFonts w:ascii="Arial" w:hAnsi="Arial"/>
      <w:i/>
      <w:color w:val="002856"/>
      <w:sz w:val="32"/>
      <w:szCs w:val="24"/>
      <w:lang w:val="fr-FR"/>
    </w:rPr>
  </w:style>
  <w:style w:type="paragraph" w:customStyle="1" w:styleId="ECHRFooterLineLandscape">
    <w:name w:val="ECHR_Footer_Line_Landscape"/>
    <w:aliases w:val="_Footer_Line_Landscape"/>
    <w:basedOn w:val="Normal"/>
    <w:uiPriority w:val="29"/>
    <w:semiHidden/>
    <w:rsid w:val="00CF0380"/>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CF0380"/>
    <w:pPr>
      <w:jc w:val="right"/>
    </w:pPr>
    <w:rPr>
      <w:sz w:val="20"/>
    </w:rPr>
  </w:style>
  <w:style w:type="paragraph" w:customStyle="1" w:styleId="ECHRHeaderRefIt">
    <w:name w:val="ECHR_Header_Ref_It"/>
    <w:aliases w:val="_Ref_Ital"/>
    <w:basedOn w:val="Normal"/>
    <w:next w:val="ECHRHeaderDate"/>
    <w:uiPriority w:val="43"/>
    <w:qFormat/>
    <w:rsid w:val="00CF0380"/>
    <w:pPr>
      <w:jc w:val="right"/>
    </w:pPr>
    <w:rPr>
      <w:i/>
      <w:sz w:val="20"/>
    </w:rPr>
  </w:style>
  <w:style w:type="paragraph" w:customStyle="1" w:styleId="ECHRHeading9">
    <w:name w:val="ECHR_Heading_9"/>
    <w:aliases w:val="_Head_9"/>
    <w:basedOn w:val="Heading9"/>
    <w:uiPriority w:val="17"/>
    <w:semiHidden/>
    <w:rsid w:val="00CF0380"/>
    <w:pPr>
      <w:keepNext/>
      <w:keepLines/>
      <w:numPr>
        <w:ilvl w:val="8"/>
        <w:numId w:val="8"/>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CF0380"/>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CF0380"/>
    <w:pPr>
      <w:numPr>
        <w:numId w:val="14"/>
      </w:numPr>
      <w:spacing w:before="60" w:after="60"/>
    </w:pPr>
  </w:style>
  <w:style w:type="paragraph" w:customStyle="1" w:styleId="ECHRNumberedList2">
    <w:name w:val="ECHR_Numbered_List_2"/>
    <w:aliases w:val="_Num_2"/>
    <w:basedOn w:val="ECHRNumberedList1"/>
    <w:uiPriority w:val="23"/>
    <w:semiHidden/>
    <w:rsid w:val="00CF0380"/>
    <w:pPr>
      <w:numPr>
        <w:ilvl w:val="1"/>
      </w:numPr>
    </w:pPr>
  </w:style>
  <w:style w:type="paragraph" w:customStyle="1" w:styleId="ECHRNumberedList3">
    <w:name w:val="ECHR_Numbered_List_3"/>
    <w:aliases w:val="_Num_3"/>
    <w:basedOn w:val="ECHRNumberedList2"/>
    <w:uiPriority w:val="23"/>
    <w:semiHidden/>
    <w:rsid w:val="00CF0380"/>
    <w:pPr>
      <w:numPr>
        <w:ilvl w:val="2"/>
      </w:numPr>
    </w:pPr>
  </w:style>
  <w:style w:type="paragraph" w:customStyle="1" w:styleId="ECHRParaHanging">
    <w:name w:val="ECHR_Para_Hanging"/>
    <w:aliases w:val="_Hanging"/>
    <w:basedOn w:val="Normal"/>
    <w:uiPriority w:val="8"/>
    <w:semiHidden/>
    <w:qFormat/>
    <w:rsid w:val="00CF0380"/>
    <w:pPr>
      <w:ind w:left="567" w:hanging="567"/>
      <w:jc w:val="both"/>
    </w:pPr>
  </w:style>
  <w:style w:type="paragraph" w:customStyle="1" w:styleId="ECHRParaIndent">
    <w:name w:val="ECHR_Para_Indent"/>
    <w:aliases w:val="_Indent"/>
    <w:basedOn w:val="Normal"/>
    <w:uiPriority w:val="7"/>
    <w:semiHidden/>
    <w:qFormat/>
    <w:rsid w:val="00CF0380"/>
    <w:pPr>
      <w:spacing w:before="120" w:after="120"/>
      <w:ind w:left="567"/>
      <w:jc w:val="both"/>
    </w:pPr>
  </w:style>
  <w:style w:type="character" w:customStyle="1" w:styleId="ECHRRed">
    <w:name w:val="ECHR_Red"/>
    <w:aliases w:val="_Red"/>
    <w:basedOn w:val="DefaultParagraphFont"/>
    <w:uiPriority w:val="15"/>
    <w:semiHidden/>
    <w:qFormat/>
    <w:rsid w:val="00CF0380"/>
    <w:rPr>
      <w:color w:val="C00000" w:themeColor="accent2"/>
    </w:rPr>
  </w:style>
  <w:style w:type="paragraph" w:customStyle="1" w:styleId="DecList">
    <w:name w:val="Dec_List"/>
    <w:aliases w:val="_List"/>
    <w:basedOn w:val="JuList"/>
    <w:uiPriority w:val="22"/>
    <w:rsid w:val="00CF0380"/>
    <w:pPr>
      <w:numPr>
        <w:numId w:val="0"/>
      </w:numPr>
      <w:ind w:left="284"/>
    </w:pPr>
  </w:style>
  <w:style w:type="table" w:customStyle="1" w:styleId="ECHRTable2">
    <w:name w:val="ECHR_Table_2"/>
    <w:basedOn w:val="TableNormal"/>
    <w:uiPriority w:val="99"/>
    <w:rsid w:val="00CF0380"/>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CF0380"/>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CF0380"/>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CF0380"/>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CF0380"/>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CF0380"/>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CF0380"/>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qFormat/>
    <w:rsid w:val="00CF0380"/>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CF0380"/>
    <w:pPr>
      <w:outlineLvl w:val="0"/>
    </w:pPr>
  </w:style>
  <w:style w:type="paragraph" w:customStyle="1" w:styleId="ECHRTitleTOC1">
    <w:name w:val="ECHR_Title_TOC_1"/>
    <w:aliases w:val="_Title_L_TOC"/>
    <w:basedOn w:val="ECHRTitle1"/>
    <w:next w:val="Normal"/>
    <w:uiPriority w:val="27"/>
    <w:semiHidden/>
    <w:qFormat/>
    <w:rsid w:val="00CF0380"/>
    <w:pPr>
      <w:outlineLvl w:val="0"/>
    </w:pPr>
  </w:style>
  <w:style w:type="paragraph" w:customStyle="1" w:styleId="ECHRPlaceholder">
    <w:name w:val="ECHR_Placeholder"/>
    <w:aliases w:val="_Placeholder"/>
    <w:basedOn w:val="JuSigned"/>
    <w:uiPriority w:val="31"/>
    <w:rsid w:val="00CF0380"/>
    <w:rPr>
      <w:color w:val="FFFFFF"/>
    </w:rPr>
  </w:style>
  <w:style w:type="paragraph" w:customStyle="1" w:styleId="ECHRSpacer">
    <w:name w:val="ECHR_Spacer"/>
    <w:aliases w:val="_Spacer"/>
    <w:basedOn w:val="Normal"/>
    <w:uiPriority w:val="45"/>
    <w:semiHidden/>
    <w:rsid w:val="00CF0380"/>
    <w:rPr>
      <w:sz w:val="4"/>
    </w:rPr>
  </w:style>
  <w:style w:type="table" w:customStyle="1" w:styleId="ECHRTableGrey">
    <w:name w:val="ECHR_Table_Grey"/>
    <w:basedOn w:val="TableNormal"/>
    <w:uiPriority w:val="99"/>
    <w:rsid w:val="00CF0380"/>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JuParaChar">
    <w:name w:val="Ju_Para Char"/>
    <w:aliases w:val="_Para Char"/>
    <w:link w:val="JuPara"/>
    <w:uiPriority w:val="4"/>
    <w:rsid w:val="00601F4E"/>
    <w:rPr>
      <w:sz w:val="24"/>
      <w:szCs w:val="24"/>
      <w:lang w:val="fr-FR"/>
    </w:rPr>
  </w:style>
  <w:style w:type="character" w:customStyle="1" w:styleId="JuNames0">
    <w:name w:val="Ju_Names"/>
    <w:rsid w:val="00601F4E"/>
    <w:rPr>
      <w:smallCaps/>
    </w:rPr>
  </w:style>
  <w:style w:type="paragraph" w:customStyle="1" w:styleId="JuList4">
    <w:name w:val="Ju_List_4"/>
    <w:aliases w:val="N_Bul_4"/>
    <w:basedOn w:val="JuListi"/>
    <w:uiPriority w:val="19"/>
    <w:rsid w:val="00601F4E"/>
    <w:pPr>
      <w:numPr>
        <w:ilvl w:val="0"/>
        <w:numId w:val="0"/>
      </w:numPr>
      <w:tabs>
        <w:tab w:val="num" w:pos="1701"/>
      </w:tabs>
      <w:spacing w:before="60" w:after="60" w:line="240" w:lineRule="exact"/>
      <w:ind w:left="1703" w:hanging="284"/>
      <w:contextualSpacing/>
    </w:pPr>
    <w:rPr>
      <w:sz w:val="22"/>
      <w:lang w:eastAsia="fr-FR"/>
    </w:rPr>
  </w:style>
  <w:style w:type="character" w:customStyle="1" w:styleId="UnresolvedMention">
    <w:name w:val="Unresolved Mention"/>
    <w:basedOn w:val="DefaultParagraphFont"/>
    <w:uiPriority w:val="99"/>
    <w:semiHidden/>
    <w:unhideWhenUsed/>
    <w:rsid w:val="00601F4E"/>
    <w:rPr>
      <w:color w:val="605E5C"/>
      <w:shd w:val="clear" w:color="auto" w:fill="E1DFDD"/>
    </w:rPr>
  </w:style>
  <w:style w:type="character" w:customStyle="1" w:styleId="ECHRParaSpacedChar">
    <w:name w:val="ECHR_Para_Spaced Char"/>
    <w:aliases w:val="Para_Spaced Char"/>
    <w:basedOn w:val="DefaultParagraphFont"/>
    <w:link w:val="JuParaLast"/>
    <w:uiPriority w:val="5"/>
    <w:locked/>
    <w:rsid w:val="00601F4E"/>
    <w:rPr>
      <w:sz w:val="24"/>
      <w:szCs w:val="24"/>
      <w:lang w:val="fr-FR"/>
    </w:rPr>
  </w:style>
  <w:style w:type="table" w:styleId="GridTable1Light">
    <w:name w:val="Grid Table 1 Light"/>
    <w:basedOn w:val="TableNormal"/>
    <w:uiPriority w:val="46"/>
    <w:semiHidden/>
    <w:rsid w:val="00601F4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semiHidden/>
    <w:rsid w:val="00601F4E"/>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601F4E"/>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601F4E"/>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601F4E"/>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601F4E"/>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601F4E"/>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601F4E"/>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601F4E"/>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601F4E"/>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601F4E"/>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2-Accent4">
    <w:name w:val="Grid Table 2 Accent 4"/>
    <w:basedOn w:val="TableNormal"/>
    <w:uiPriority w:val="47"/>
    <w:semiHidden/>
    <w:rsid w:val="00601F4E"/>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601F4E"/>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601F4E"/>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601F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601F4E"/>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601F4E"/>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601F4E"/>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3-Accent4">
    <w:name w:val="Grid Table 3 Accent 4"/>
    <w:basedOn w:val="TableNormal"/>
    <w:uiPriority w:val="48"/>
    <w:semiHidden/>
    <w:rsid w:val="00601F4E"/>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601F4E"/>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601F4E"/>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601F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601F4E"/>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601F4E"/>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601F4E"/>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4-Accent4">
    <w:name w:val="Grid Table 4 Accent 4"/>
    <w:basedOn w:val="TableNormal"/>
    <w:uiPriority w:val="49"/>
    <w:semiHidden/>
    <w:rsid w:val="00601F4E"/>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601F4E"/>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601F4E"/>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601F4E"/>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601F4E"/>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601F4E"/>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601F4E"/>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GridTable5Dark-Accent4">
    <w:name w:val="Grid Table 5 Dark Accent 4"/>
    <w:basedOn w:val="TableNormal"/>
    <w:uiPriority w:val="50"/>
    <w:semiHidden/>
    <w:rsid w:val="00601F4E"/>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601F4E"/>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601F4E"/>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601F4E"/>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601F4E"/>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601F4E"/>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601F4E"/>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6Colorful-Accent4">
    <w:name w:val="Grid Table 6 Colorful Accent 4"/>
    <w:basedOn w:val="TableNormal"/>
    <w:uiPriority w:val="51"/>
    <w:semiHidden/>
    <w:rsid w:val="00601F4E"/>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601F4E"/>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601F4E"/>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601F4E"/>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601F4E"/>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601F4E"/>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601F4E"/>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7Colorful-Accent4">
    <w:name w:val="Grid Table 7 Colorful Accent 4"/>
    <w:basedOn w:val="TableNormal"/>
    <w:uiPriority w:val="52"/>
    <w:semiHidden/>
    <w:rsid w:val="00601F4E"/>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601F4E"/>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601F4E"/>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
    <w:name w:val="Hashtag"/>
    <w:basedOn w:val="DefaultParagraphFont"/>
    <w:uiPriority w:val="99"/>
    <w:semiHidden/>
    <w:unhideWhenUsed/>
    <w:rsid w:val="00601F4E"/>
    <w:rPr>
      <w:color w:val="2B579A"/>
      <w:shd w:val="clear" w:color="auto" w:fill="E1DFDD"/>
    </w:rPr>
  </w:style>
  <w:style w:type="table" w:styleId="ListTable1Light">
    <w:name w:val="List Table 1 Light"/>
    <w:basedOn w:val="TableNormal"/>
    <w:uiPriority w:val="46"/>
    <w:semiHidden/>
    <w:rsid w:val="00601F4E"/>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601F4E"/>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601F4E"/>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601F4E"/>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1Light-Accent4">
    <w:name w:val="List Table 1 Light Accent 4"/>
    <w:basedOn w:val="TableNormal"/>
    <w:uiPriority w:val="46"/>
    <w:semiHidden/>
    <w:rsid w:val="00601F4E"/>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601F4E"/>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601F4E"/>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601F4E"/>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601F4E"/>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601F4E"/>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601F4E"/>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2-Accent4">
    <w:name w:val="List Table 2 Accent 4"/>
    <w:basedOn w:val="TableNormal"/>
    <w:uiPriority w:val="47"/>
    <w:semiHidden/>
    <w:rsid w:val="00601F4E"/>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601F4E"/>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601F4E"/>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601F4E"/>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601F4E"/>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601F4E"/>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601F4E"/>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ListTable3-Accent4">
    <w:name w:val="List Table 3 Accent 4"/>
    <w:basedOn w:val="TableNormal"/>
    <w:uiPriority w:val="48"/>
    <w:semiHidden/>
    <w:rsid w:val="00601F4E"/>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601F4E"/>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601F4E"/>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601F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601F4E"/>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601F4E"/>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601F4E"/>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4-Accent4">
    <w:name w:val="List Table 4 Accent 4"/>
    <w:basedOn w:val="TableNormal"/>
    <w:uiPriority w:val="49"/>
    <w:semiHidden/>
    <w:rsid w:val="00601F4E"/>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601F4E"/>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601F4E"/>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601F4E"/>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601F4E"/>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601F4E"/>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601F4E"/>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601F4E"/>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601F4E"/>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601F4E"/>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601F4E"/>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601F4E"/>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601F4E"/>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601F4E"/>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6Colorful-Accent4">
    <w:name w:val="List Table 6 Colorful Accent 4"/>
    <w:basedOn w:val="TableNormal"/>
    <w:uiPriority w:val="51"/>
    <w:semiHidden/>
    <w:rsid w:val="00601F4E"/>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601F4E"/>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601F4E"/>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601F4E"/>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601F4E"/>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601F4E"/>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601F4E"/>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601F4E"/>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601F4E"/>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601F4E"/>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
    <w:name w:val="Mention"/>
    <w:basedOn w:val="DefaultParagraphFont"/>
    <w:uiPriority w:val="99"/>
    <w:semiHidden/>
    <w:unhideWhenUsed/>
    <w:rsid w:val="00601F4E"/>
    <w:rPr>
      <w:color w:val="2B579A"/>
      <w:shd w:val="clear" w:color="auto" w:fill="E1DFDD"/>
    </w:rPr>
  </w:style>
  <w:style w:type="table" w:styleId="PlainTable1">
    <w:name w:val="Plain Table 1"/>
    <w:basedOn w:val="TableNormal"/>
    <w:uiPriority w:val="41"/>
    <w:semiHidden/>
    <w:rsid w:val="00601F4E"/>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2">
    <w:name w:val="Plain Table 2"/>
    <w:basedOn w:val="TableNormal"/>
    <w:uiPriority w:val="42"/>
    <w:semiHidden/>
    <w:rsid w:val="00601F4E"/>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601F4E"/>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601F4E"/>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5">
    <w:name w:val="Plain Table 5"/>
    <w:basedOn w:val="TableNormal"/>
    <w:uiPriority w:val="45"/>
    <w:semiHidden/>
    <w:rsid w:val="00601F4E"/>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
    <w:name w:val="Smart Hyperlink"/>
    <w:basedOn w:val="DefaultParagraphFont"/>
    <w:uiPriority w:val="99"/>
    <w:semiHidden/>
    <w:unhideWhenUsed/>
    <w:rsid w:val="00601F4E"/>
    <w:rPr>
      <w:u w:val="dotted"/>
    </w:rPr>
  </w:style>
  <w:style w:type="table" w:styleId="TableGridLight">
    <w:name w:val="Grid Table Light"/>
    <w:basedOn w:val="TableNormal"/>
    <w:uiPriority w:val="40"/>
    <w:semiHidden/>
    <w:rsid w:val="00601F4E"/>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paragraph" w:styleId="Revision">
    <w:name w:val="Revision"/>
    <w:hidden/>
    <w:uiPriority w:val="99"/>
    <w:semiHidden/>
    <w:rsid w:val="00601F4E"/>
    <w:rPr>
      <w:sz w:val="24"/>
      <w:szCs w:val="24"/>
      <w:lang w:val="fr-FR"/>
    </w:rPr>
  </w:style>
  <w:style w:type="character" w:customStyle="1" w:styleId="SmartLink">
    <w:name w:val="Smart Link"/>
    <w:basedOn w:val="DefaultParagraphFont"/>
    <w:uiPriority w:val="99"/>
    <w:semiHidden/>
    <w:unhideWhenUsed/>
    <w:rsid w:val="008C4879"/>
    <w:rPr>
      <w:color w:val="0000FF"/>
      <w:u w:val="single"/>
      <w:shd w:val="clear" w:color="auto" w:fill="F3F2F1"/>
    </w:rPr>
  </w:style>
  <w:style w:type="character" w:customStyle="1" w:styleId="Italic">
    <w:name w:val="_Italic"/>
    <w:basedOn w:val="DefaultParagraphFont"/>
    <w:uiPriority w:val="1"/>
    <w:rsid w:val="00CF0380"/>
    <w:rPr>
      <w:b w:val="0"/>
      <w:i/>
    </w:rPr>
  </w:style>
  <w:style w:type="paragraph" w:customStyle="1" w:styleId="jupara0">
    <w:name w:val="jupara"/>
    <w:basedOn w:val="Normal"/>
    <w:rsid w:val="0019718B"/>
    <w:pPr>
      <w:ind w:firstLine="284"/>
      <w:jc w:val="both"/>
    </w:pPr>
    <w:rPr>
      <w:rFonts w:ascii="Times New Roman" w:eastAsia="Times New Roman" w:hAnsi="Times New Roman" w:cs="Times New Roman"/>
      <w:lang w:val="en-GB" w:eastAsia="en-GB"/>
    </w:rPr>
  </w:style>
  <w:style w:type="paragraph" w:customStyle="1" w:styleId="jucase0">
    <w:name w:val="jucase"/>
    <w:basedOn w:val="Normal"/>
    <w:rsid w:val="0019718B"/>
    <w:pPr>
      <w:ind w:firstLine="284"/>
      <w:jc w:val="both"/>
    </w:pPr>
    <w:rPr>
      <w:rFonts w:ascii="Times New Roman" w:eastAsia="Times New Roman" w:hAnsi="Times New Roman" w:cs="Times New Roman"/>
      <w:b/>
      <w:bCs/>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header" Target="header6.xml"/><Relationship Id="rId26" Type="http://schemas.openxmlformats.org/officeDocument/2006/relationships/customXml" Target="../customXml/item3.xml"/><Relationship Id="rId3" Type="http://schemas.openxmlformats.org/officeDocument/2006/relationships/styles" Target="styles.xml"/><Relationship Id="rId21" Type="http://schemas.openxmlformats.org/officeDocument/2006/relationships/header" Target="header9.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eader" Target="header5.xml"/><Relationship Id="rId25"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header" Target="header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 Id="rId22" Type="http://schemas.openxmlformats.org/officeDocument/2006/relationships/footer" Target="footer6.xml"/><Relationship Id="rId27" Type="http://schemas.openxmlformats.org/officeDocument/2006/relationships/customXml" Target="../customXml/item4.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690F10A-1476-4441-9682-EAD1E7535BCD}">
  <ds:schemaRefs>
    <ds:schemaRef ds:uri="http://schemas.openxmlformats.org/officeDocument/2006/bibliography"/>
  </ds:schemaRefs>
</ds:datastoreItem>
</file>

<file path=customXml/itemProps2.xml><?xml version="1.0" encoding="utf-8"?>
<ds:datastoreItem xmlns:ds="http://schemas.openxmlformats.org/officeDocument/2006/customXml" ds:itemID="{DEAE17BD-7646-466E-8CAB-83C74D7EFF17}"/>
</file>

<file path=customXml/itemProps3.xml><?xml version="1.0" encoding="utf-8"?>
<ds:datastoreItem xmlns:ds="http://schemas.openxmlformats.org/officeDocument/2006/customXml" ds:itemID="{41E739C0-5DB5-48E0-A86C-882736F5A808}"/>
</file>

<file path=customXml/itemProps4.xml><?xml version="1.0" encoding="utf-8"?>
<ds:datastoreItem xmlns:ds="http://schemas.openxmlformats.org/officeDocument/2006/customXml" ds:itemID="{9EEF885E-E17E-43E5-8EA2-6E92FBDC3BD1}"/>
</file>

<file path=docProps/app.xml><?xml version="1.0" encoding="utf-8"?>
<Properties xmlns="http://schemas.openxmlformats.org/officeDocument/2006/extended-properties" xmlns:vt="http://schemas.openxmlformats.org/officeDocument/2006/docPropsVTypes">
  <Template>Normal.dotm</Template>
  <TotalTime>0</TotalTime>
  <Pages>1</Pages>
  <Words>9585</Words>
  <Characters>54640</Characters>
  <Application>Microsoft Office Word</Application>
  <DocSecurity>0</DocSecurity>
  <Lines>455</Lines>
  <Paragraphs>128</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64097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JUDF</dc:subject>
  <dc:creator/>
  <cp:keywords/>
  <cp:lastModifiedBy/>
  <cp:revision>1</cp:revision>
  <dcterms:created xsi:type="dcterms:W3CDTF">2022-11-21T10:42:00Z</dcterms:created>
  <dcterms:modified xsi:type="dcterms:W3CDTF">2022-11-21T10:42:00Z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1036</vt:i4>
  </property>
  <property fmtid="{D5CDD505-2E9C-101B-9397-08002B2CF9AE}" pid="3" name="RegisteredNo">
    <vt:lpwstr>79089/13</vt:lpwstr>
  </property>
  <property fmtid="{D5CDD505-2E9C-101B-9397-08002B2CF9AE}" pid="4" name="CASEID">
    <vt:lpwstr>949825</vt:lpwstr>
  </property>
  <property fmtid="{D5CDD505-2E9C-101B-9397-08002B2CF9AE}" pid="5" name="ContentTypeId">
    <vt:lpwstr>0x010100558EB02BDB9E204AB350EDD385B68E10</vt:lpwstr>
  </property>
</Properties>
</file>