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A27D3" w14:textId="36F8C873" w:rsidR="00972830" w:rsidRPr="001B6D09" w:rsidRDefault="00972830" w:rsidP="00F7198F">
      <w:pPr>
        <w:pStyle w:val="DecHCase"/>
        <w:spacing w:before="240"/>
      </w:pPr>
      <w:r>
        <w:t>SEKCJA PIERWSZA</w:t>
      </w:r>
    </w:p>
    <w:p w14:paraId="45497C6F" w14:textId="0818F6A4" w:rsidR="005B12FD" w:rsidRPr="001B6D09" w:rsidRDefault="005B12FD" w:rsidP="00F7198F">
      <w:pPr>
        <w:pStyle w:val="JuTitle"/>
        <w:spacing w:before="960" w:after="120"/>
      </w:pPr>
      <w:bookmarkStart w:id="0" w:name="To"/>
      <w:r>
        <w:rPr>
          <w:color w:val="000000" w:themeColor="text1"/>
        </w:rPr>
        <w:t xml:space="preserve">SPRAWA </w:t>
      </w:r>
      <w:bookmarkEnd w:id="0"/>
      <w:r>
        <w:t xml:space="preserve">GALOVIĆ </w:t>
      </w:r>
      <w:r w:rsidR="0017119D">
        <w:t>przeciwko</w:t>
      </w:r>
      <w:r>
        <w:t xml:space="preserve"> CHORWACJI</w:t>
      </w:r>
    </w:p>
    <w:p w14:paraId="14CB0248" w14:textId="74BB516D" w:rsidR="00D420F3" w:rsidRPr="001B6D09" w:rsidRDefault="0077175D" w:rsidP="001B6D09">
      <w:pPr>
        <w:pStyle w:val="ECHRCoverTitle4"/>
      </w:pPr>
      <w:r>
        <w:t>(</w:t>
      </w:r>
      <w:r w:rsidR="00232307">
        <w:t>S</w:t>
      </w:r>
      <w:r>
        <w:t>karga nr 45512/11)</w:t>
      </w:r>
    </w:p>
    <w:p w14:paraId="0A6A6148" w14:textId="77777777" w:rsidR="00972830" w:rsidRPr="001B6D09" w:rsidRDefault="00972830" w:rsidP="001B6D09">
      <w:pPr>
        <w:pStyle w:val="DecHCase"/>
      </w:pPr>
    </w:p>
    <w:p w14:paraId="17B4ADBB" w14:textId="77777777" w:rsidR="00972830" w:rsidRPr="001B6D09" w:rsidRDefault="00972830" w:rsidP="001B6D09">
      <w:pPr>
        <w:pStyle w:val="DecHCase"/>
      </w:pPr>
    </w:p>
    <w:p w14:paraId="09799C87" w14:textId="46288AAC" w:rsidR="00972830" w:rsidRPr="001B6D09" w:rsidRDefault="00972830" w:rsidP="001B6D09">
      <w:pPr>
        <w:pStyle w:val="DecHCase"/>
      </w:pPr>
      <w:r>
        <w:t>WYROK</w:t>
      </w:r>
    </w:p>
    <w:p w14:paraId="05604D46" w14:textId="46ED866E" w:rsidR="005B12FD" w:rsidRPr="001B6D09" w:rsidRDefault="005B12FD" w:rsidP="001B6D09">
      <w:pPr>
        <w:pBdr>
          <w:top w:val="single" w:sz="4" w:space="1" w:color="auto"/>
          <w:left w:val="single" w:sz="4" w:space="4" w:color="auto"/>
          <w:bottom w:val="single" w:sz="4" w:space="1" w:color="auto"/>
          <w:right w:val="single" w:sz="4" w:space="4" w:color="auto"/>
        </w:pBdr>
        <w:jc w:val="both"/>
        <w:rPr>
          <w:sz w:val="22"/>
          <w:szCs w:val="22"/>
        </w:rPr>
      </w:pPr>
      <w:bookmarkStart w:id="1" w:name="_Hlk78186321"/>
      <w:bookmarkStart w:id="2" w:name="_Hlk77843667"/>
      <w:r>
        <w:rPr>
          <w:sz w:val="22"/>
        </w:rPr>
        <w:t xml:space="preserve">Art. 4 P7 • Prawo do niebycia ponownie sądzonym lub karanym • Postępowania </w:t>
      </w:r>
      <w:r w:rsidR="00054E16">
        <w:rPr>
          <w:sz w:val="22"/>
        </w:rPr>
        <w:br/>
      </w:r>
      <w:r>
        <w:rPr>
          <w:sz w:val="22"/>
        </w:rPr>
        <w:t>i kary za wykroczenia i przestępstwa ścigane z oskarżenia</w:t>
      </w:r>
      <w:r w:rsidR="006F4160">
        <w:rPr>
          <w:sz w:val="22"/>
        </w:rPr>
        <w:t xml:space="preserve"> publicznego</w:t>
      </w:r>
      <w:r>
        <w:rPr>
          <w:sz w:val="22"/>
        </w:rPr>
        <w:t xml:space="preserve">, stanowiące elementy spójnego systemu </w:t>
      </w:r>
      <w:r w:rsidR="00AE4B42">
        <w:rPr>
          <w:sz w:val="22"/>
        </w:rPr>
        <w:t>karania</w:t>
      </w:r>
      <w:r>
        <w:rPr>
          <w:sz w:val="22"/>
        </w:rPr>
        <w:t xml:space="preserve"> w sposób skuteczny, proporcjonalny </w:t>
      </w:r>
      <w:r w:rsidR="00054E16">
        <w:rPr>
          <w:sz w:val="22"/>
        </w:rPr>
        <w:br/>
      </w:r>
      <w:r>
        <w:rPr>
          <w:sz w:val="22"/>
        </w:rPr>
        <w:t xml:space="preserve">i odstraszający za poszczególne czyny oraz </w:t>
      </w:r>
      <w:r w:rsidR="00C144CE">
        <w:rPr>
          <w:sz w:val="22"/>
        </w:rPr>
        <w:t>całe schematy</w:t>
      </w:r>
      <w:r>
        <w:rPr>
          <w:sz w:val="22"/>
        </w:rPr>
        <w:t xml:space="preserve"> przemocy domowej • Dwoistość postępowań z racji uzupełniających się celów, możliwa do przewidzenia dla skarżącego • Interakcja między sądami, odliczenie kary i wystarczający związek </w:t>
      </w:r>
      <w:r w:rsidR="00EE06AB">
        <w:rPr>
          <w:sz w:val="22"/>
        </w:rPr>
        <w:t>czasowy</w:t>
      </w:r>
      <w:r>
        <w:rPr>
          <w:sz w:val="22"/>
        </w:rPr>
        <w:t xml:space="preserve"> między różnymi postępowaniami, mając na uwadze szczególną dynamikę w kontekście przemocy domowej</w:t>
      </w:r>
    </w:p>
    <w:bookmarkEnd w:id="1"/>
    <w:p w14:paraId="452A55A5" w14:textId="781355AE" w:rsidR="005B12FD" w:rsidRPr="001B6D09" w:rsidRDefault="005B12FD" w:rsidP="001B6D09">
      <w:pPr>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Pr>
          <w:sz w:val="22"/>
        </w:rPr>
        <w:t>Art. 6 ust 1 (aspekt karny) i art. 6 ust. 3 lit. b) i c) • Rzetelny proces sądowy • Odpowiedni czas i możliwości do przygotowania obrony przed posiedzeniem sądu odwoławczego oraz poszanowanie prawa do zastępstwa procesowego • Nieobecność skarżącego na posiedzeniu sądu odwoławczego</w:t>
      </w:r>
      <w:bookmarkEnd w:id="2"/>
    </w:p>
    <w:p w14:paraId="02C10F71" w14:textId="77777777" w:rsidR="005B12FD" w:rsidRPr="001B6D09" w:rsidRDefault="005B12FD" w:rsidP="00257F14">
      <w:pPr>
        <w:pStyle w:val="DecHCase"/>
        <w:spacing w:after="120"/>
      </w:pPr>
    </w:p>
    <w:p w14:paraId="1976A65C" w14:textId="0424619A" w:rsidR="00972830" w:rsidRPr="001B6D09" w:rsidRDefault="00972830" w:rsidP="001B6D09">
      <w:pPr>
        <w:pStyle w:val="DecHCase"/>
      </w:pPr>
      <w:r>
        <w:t>STRASBURG</w:t>
      </w:r>
    </w:p>
    <w:p w14:paraId="77D8DD8D" w14:textId="77777777" w:rsidR="00972830" w:rsidRPr="001B6D09" w:rsidRDefault="00972830" w:rsidP="001B6D09">
      <w:pPr>
        <w:pStyle w:val="DecHCase"/>
      </w:pPr>
      <w:r>
        <w:rPr>
          <w:rFonts w:ascii="Times New Roman" w:hAnsi="Times New Roman"/>
        </w:rPr>
        <w:t>31 sierpnia 2021 r.</w:t>
      </w:r>
    </w:p>
    <w:p w14:paraId="36C86870" w14:textId="77777777" w:rsidR="00B077DA" w:rsidRDefault="00B077DA" w:rsidP="001B6D09">
      <w:pPr>
        <w:rPr>
          <w:i/>
          <w:sz w:val="22"/>
        </w:rPr>
      </w:pPr>
    </w:p>
    <w:p w14:paraId="6AD3518F" w14:textId="4D7D6539" w:rsidR="00257F14" w:rsidRDefault="00232307" w:rsidP="00257F14">
      <w:pPr>
        <w:pStyle w:val="jucase0"/>
        <w:ind w:firstLine="0"/>
        <w:jc w:val="center"/>
        <w:rPr>
          <w:color w:val="FF0000"/>
          <w:sz w:val="28"/>
          <w:szCs w:val="28"/>
          <w:u w:val="single"/>
        </w:rPr>
      </w:pPr>
      <w:bookmarkStart w:id="3" w:name="_Hlk59706592"/>
      <w:bookmarkStart w:id="4" w:name="_Hlk59704667"/>
      <w:r>
        <w:rPr>
          <w:color w:val="FF0000"/>
          <w:sz w:val="28"/>
          <w:u w:val="single"/>
        </w:rPr>
        <w:t xml:space="preserve">WYROK </w:t>
      </w:r>
      <w:r w:rsidR="00257F14">
        <w:rPr>
          <w:color w:val="FF0000"/>
          <w:sz w:val="28"/>
          <w:u w:val="single"/>
        </w:rPr>
        <w:t>OSTATECZNY</w:t>
      </w:r>
    </w:p>
    <w:p w14:paraId="47ECC246" w14:textId="77777777" w:rsidR="00257F14" w:rsidRPr="00D04090" w:rsidRDefault="00257F14" w:rsidP="00257F14">
      <w:pPr>
        <w:pStyle w:val="jucase0"/>
        <w:ind w:firstLine="0"/>
        <w:jc w:val="center"/>
        <w:rPr>
          <w:b w:val="0"/>
          <w:bCs w:val="0"/>
          <w:color w:val="FF0000"/>
          <w:u w:val="single"/>
        </w:rPr>
      </w:pPr>
    </w:p>
    <w:p w14:paraId="60E5E3D9" w14:textId="77777777" w:rsidR="00257F14" w:rsidRPr="00E974D6" w:rsidRDefault="00257F14" w:rsidP="00257F14">
      <w:pPr>
        <w:pStyle w:val="jucase0"/>
        <w:ind w:firstLine="0"/>
        <w:jc w:val="center"/>
        <w:rPr>
          <w:b w:val="0"/>
          <w:color w:val="FF0000"/>
          <w:sz w:val="28"/>
          <w:szCs w:val="28"/>
        </w:rPr>
      </w:pPr>
      <w:r>
        <w:rPr>
          <w:b w:val="0"/>
          <w:color w:val="FF0000"/>
          <w:sz w:val="28"/>
        </w:rPr>
        <w:t>30 listopada 2021 r.</w:t>
      </w:r>
    </w:p>
    <w:p w14:paraId="6E62F5AA" w14:textId="0F6B00F8" w:rsidR="00257F14" w:rsidRDefault="00257F14" w:rsidP="00257F14">
      <w:pPr>
        <w:pStyle w:val="jupara0"/>
        <w:ind w:firstLine="0"/>
        <w:jc w:val="center"/>
      </w:pPr>
    </w:p>
    <w:p w14:paraId="1710E5E4" w14:textId="77777777" w:rsidR="00257F14" w:rsidRPr="00261F46" w:rsidRDefault="00257F14" w:rsidP="00257F14">
      <w:pPr>
        <w:pStyle w:val="jupara0"/>
        <w:ind w:firstLine="0"/>
        <w:jc w:val="center"/>
      </w:pPr>
    </w:p>
    <w:p w14:paraId="657761EF" w14:textId="77777777" w:rsidR="00257F14" w:rsidRPr="00261F46" w:rsidRDefault="00257F14" w:rsidP="00257F14">
      <w:pPr>
        <w:jc w:val="both"/>
        <w:rPr>
          <w:i/>
          <w:iCs/>
          <w:sz w:val="22"/>
          <w:szCs w:val="22"/>
        </w:rPr>
      </w:pPr>
      <w:r>
        <w:rPr>
          <w:i/>
          <w:sz w:val="22"/>
        </w:rPr>
        <w:t>Wyrok stał się ostateczny zgodnie z warunkami określonymi w art. 44 ust. 2 Konwencji. Może podlegać korekcie wydawniczej.</w:t>
      </w:r>
      <w:bookmarkEnd w:id="3"/>
    </w:p>
    <w:bookmarkEnd w:id="4"/>
    <w:p w14:paraId="5F9BEFEA" w14:textId="57536EA4" w:rsidR="00257F14" w:rsidRPr="001B6D09" w:rsidRDefault="00257F14" w:rsidP="001B6D09">
      <w:pPr>
        <w:rPr>
          <w:i/>
          <w:sz w:val="22"/>
        </w:rPr>
        <w:sectPr w:rsidR="00257F14" w:rsidRPr="001B6D09" w:rsidSect="00B077DA">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14:paraId="5FFE7AA6" w14:textId="0C4574BB" w:rsidR="00D420F3" w:rsidRPr="001B6D09" w:rsidRDefault="0077175D" w:rsidP="001B6D09">
      <w:pPr>
        <w:rPr>
          <w:bCs/>
        </w:rPr>
      </w:pPr>
      <w:r>
        <w:rPr>
          <w:b/>
        </w:rPr>
        <w:lastRenderedPageBreak/>
        <w:t xml:space="preserve">W sprawie </w:t>
      </w:r>
      <w:proofErr w:type="spellStart"/>
      <w:r>
        <w:rPr>
          <w:b/>
        </w:rPr>
        <w:t>Galović</w:t>
      </w:r>
      <w:proofErr w:type="spellEnd"/>
      <w:r>
        <w:rPr>
          <w:b/>
        </w:rPr>
        <w:t xml:space="preserve"> przeciwko Chorwacji</w:t>
      </w:r>
      <w:r>
        <w:t>,</w:t>
      </w:r>
    </w:p>
    <w:p w14:paraId="40B416C9" w14:textId="77777777" w:rsidR="00D420F3" w:rsidRPr="001B6D09" w:rsidRDefault="0077175D" w:rsidP="001B6D09">
      <w:pPr>
        <w:pStyle w:val="JuPara"/>
      </w:pPr>
      <w:r>
        <w:t>Europejski Trybunał Praw Człowieka (Sekcja Pierwsza), zasiadając jako Izba w składzie:</w:t>
      </w:r>
    </w:p>
    <w:p w14:paraId="57DAF522" w14:textId="09B074F3" w:rsidR="00D420F3" w:rsidRPr="001B6D09" w:rsidRDefault="00297B56" w:rsidP="001B6D09">
      <w:pPr>
        <w:pStyle w:val="ECHRDecisionBody"/>
      </w:pPr>
      <w:r>
        <w:tab/>
      </w:r>
      <w:proofErr w:type="spellStart"/>
      <w:r>
        <w:t>Péter</w:t>
      </w:r>
      <w:proofErr w:type="spellEnd"/>
      <w:r>
        <w:t xml:space="preserve"> </w:t>
      </w:r>
      <w:proofErr w:type="spellStart"/>
      <w:r>
        <w:t>Paczolay</w:t>
      </w:r>
      <w:proofErr w:type="spellEnd"/>
      <w:r>
        <w:t>,</w:t>
      </w:r>
      <w:r>
        <w:rPr>
          <w:i/>
        </w:rPr>
        <w:t xml:space="preserve"> Przewodniczący,</w:t>
      </w:r>
      <w:r>
        <w:rPr>
          <w:i/>
        </w:rPr>
        <w:br/>
      </w:r>
      <w:r>
        <w:tab/>
      </w:r>
      <w:proofErr w:type="spellStart"/>
      <w:r>
        <w:t>Ksenija</w:t>
      </w:r>
      <w:proofErr w:type="spellEnd"/>
      <w:r>
        <w:t xml:space="preserve"> </w:t>
      </w:r>
      <w:proofErr w:type="spellStart"/>
      <w:r>
        <w:t>Turković</w:t>
      </w:r>
      <w:proofErr w:type="spellEnd"/>
      <w:r>
        <w:t>,</w:t>
      </w:r>
      <w:r>
        <w:rPr>
          <w:i/>
        </w:rPr>
        <w:br/>
      </w:r>
      <w:r>
        <w:tab/>
        <w:t xml:space="preserve">Krzysztof </w:t>
      </w:r>
      <w:proofErr w:type="spellStart"/>
      <w:r>
        <w:t>Wojtyczek</w:t>
      </w:r>
      <w:proofErr w:type="spellEnd"/>
      <w:r>
        <w:t>,</w:t>
      </w:r>
      <w:r>
        <w:rPr>
          <w:i/>
        </w:rPr>
        <w:br/>
      </w:r>
      <w:r>
        <w:tab/>
        <w:t xml:space="preserve">Alena </w:t>
      </w:r>
      <w:proofErr w:type="spellStart"/>
      <w:r>
        <w:t>Poláčková</w:t>
      </w:r>
      <w:proofErr w:type="spellEnd"/>
      <w:r>
        <w:t>,</w:t>
      </w:r>
      <w:r>
        <w:rPr>
          <w:i/>
        </w:rPr>
        <w:br/>
      </w:r>
      <w:r>
        <w:tab/>
        <w:t xml:space="preserve">Gilberto </w:t>
      </w:r>
      <w:proofErr w:type="spellStart"/>
      <w:r>
        <w:t>Felici</w:t>
      </w:r>
      <w:proofErr w:type="spellEnd"/>
      <w:r>
        <w:t>,</w:t>
      </w:r>
      <w:r>
        <w:rPr>
          <w:i/>
        </w:rPr>
        <w:br/>
      </w:r>
      <w:r>
        <w:tab/>
        <w:t xml:space="preserve">Erik </w:t>
      </w:r>
      <w:proofErr w:type="spellStart"/>
      <w:r>
        <w:t>Wennerström</w:t>
      </w:r>
      <w:proofErr w:type="spellEnd"/>
      <w:r>
        <w:t>,</w:t>
      </w:r>
      <w:r>
        <w:rPr>
          <w:i/>
        </w:rPr>
        <w:br/>
      </w:r>
      <w:r>
        <w:tab/>
      </w:r>
      <w:proofErr w:type="spellStart"/>
      <w:r>
        <w:t>Ioannis</w:t>
      </w:r>
      <w:proofErr w:type="spellEnd"/>
      <w:r>
        <w:t xml:space="preserve"> </w:t>
      </w:r>
      <w:proofErr w:type="spellStart"/>
      <w:r>
        <w:t>Ktistakis</w:t>
      </w:r>
      <w:proofErr w:type="spellEnd"/>
      <w:r>
        <w:t>,</w:t>
      </w:r>
      <w:r>
        <w:rPr>
          <w:i/>
        </w:rPr>
        <w:t xml:space="preserve"> sędziowie,</w:t>
      </w:r>
      <w:r>
        <w:br/>
        <w:t xml:space="preserve">i Renata </w:t>
      </w:r>
      <w:proofErr w:type="spellStart"/>
      <w:r>
        <w:t>Degener</w:t>
      </w:r>
      <w:proofErr w:type="spellEnd"/>
      <w:r>
        <w:t xml:space="preserve">, </w:t>
      </w:r>
      <w:r>
        <w:rPr>
          <w:i/>
        </w:rPr>
        <w:t xml:space="preserve"> Kanclerz Sekcji,</w:t>
      </w:r>
    </w:p>
    <w:p w14:paraId="6ACB2D1F" w14:textId="77777777" w:rsidR="00F5360F" w:rsidRPr="001B6D09" w:rsidRDefault="00F5360F" w:rsidP="001B6D09">
      <w:pPr>
        <w:pStyle w:val="JuPara"/>
      </w:pPr>
      <w:r>
        <w:t>mając na uwadze:</w:t>
      </w:r>
    </w:p>
    <w:p w14:paraId="5208376D" w14:textId="2A14F2E4" w:rsidR="002462FC" w:rsidRPr="001B6D09" w:rsidRDefault="00EE06AB" w:rsidP="001B6D09">
      <w:pPr>
        <w:pStyle w:val="JuPara"/>
        <w:jc w:val="both"/>
      </w:pPr>
      <w:r>
        <w:t xml:space="preserve">powyższą </w:t>
      </w:r>
      <w:r w:rsidR="00F5360F">
        <w:t>skargę przeciwko Republice Chorwacji wniesioną do Trybunału na podstawie art. 34 Konwencji o ochronie praw człowieka i podstawowych wolności („Konwencj</w:t>
      </w:r>
      <w:r>
        <w:t>a</w:t>
      </w:r>
      <w:r w:rsidR="00F5360F">
        <w:t xml:space="preserve">”) przez obywatela chorwackiego </w:t>
      </w:r>
      <w:r>
        <w:t xml:space="preserve">p. </w:t>
      </w:r>
      <w:proofErr w:type="spellStart"/>
      <w:r w:rsidR="00F5360F">
        <w:t>Miljenko</w:t>
      </w:r>
      <w:proofErr w:type="spellEnd"/>
      <w:r w:rsidR="00F5360F">
        <w:t xml:space="preserve"> </w:t>
      </w:r>
      <w:proofErr w:type="spellStart"/>
      <w:r w:rsidR="00F5360F">
        <w:t>Galovicia</w:t>
      </w:r>
      <w:proofErr w:type="spellEnd"/>
      <w:r w:rsidR="00F5360F">
        <w:t xml:space="preserve"> („skarżącego”)</w:t>
      </w:r>
      <w:r w:rsidRPr="00EE06AB">
        <w:t xml:space="preserve"> </w:t>
      </w:r>
      <w:r>
        <w:t>w dniu 18 lipca 2011 r.</w:t>
      </w:r>
    </w:p>
    <w:p w14:paraId="7A0760F2" w14:textId="55F6F0EB" w:rsidR="00F5360F" w:rsidRPr="001B6D09" w:rsidRDefault="00F5360F" w:rsidP="001B6D09">
      <w:pPr>
        <w:pStyle w:val="JuPara"/>
        <w:jc w:val="both"/>
      </w:pPr>
      <w:r>
        <w:t>decyzję o zakomunikowaniu rządowi chorwackiemu („Rząd”) zarzutów dotyczących prawa do niebycia ponownie sądzonym lub karanym, nieobecnoś</w:t>
      </w:r>
      <w:r w:rsidR="00E5165C">
        <w:t>ci</w:t>
      </w:r>
      <w:r>
        <w:t xml:space="preserve"> skarżącego na posiedzeniu sądu </w:t>
      </w:r>
      <w:r w:rsidR="00E5165C">
        <w:t xml:space="preserve">II </w:t>
      </w:r>
      <w:r>
        <w:t xml:space="preserve">instancji oraz zarzutów dotyczących prawa skarżącego do bronienia się osobiście lub </w:t>
      </w:r>
      <w:r w:rsidR="00E5165C">
        <w:t xml:space="preserve">przez </w:t>
      </w:r>
      <w:r>
        <w:t>skuteczn</w:t>
      </w:r>
      <w:r w:rsidR="00E5165C">
        <w:t>ego obrońcę</w:t>
      </w:r>
      <w:r>
        <w:t xml:space="preserve"> oraz jego prawa do zapewnienia mu odpowiedniego czasu i możliwości do przygotowania obrony, a także o uznaniu pozostałej części skargi za niedopuszczalną,</w:t>
      </w:r>
    </w:p>
    <w:p w14:paraId="081F1642" w14:textId="51F774A8" w:rsidR="00F5360F" w:rsidRPr="001B6D09" w:rsidRDefault="00F5360F" w:rsidP="001B6D09">
      <w:pPr>
        <w:pStyle w:val="JuPara"/>
        <w:jc w:val="both"/>
      </w:pPr>
      <w:r>
        <w:t>obradując na posiedzeniu niejawnym w dniu 29 czerwca 2021 r.</w:t>
      </w:r>
    </w:p>
    <w:p w14:paraId="2BA59CA6" w14:textId="7D855271" w:rsidR="00F5360F" w:rsidRPr="001B6D09" w:rsidRDefault="00F5360F" w:rsidP="001B6D09">
      <w:pPr>
        <w:pStyle w:val="JuPara"/>
        <w:jc w:val="both"/>
      </w:pPr>
      <w:r>
        <w:t xml:space="preserve">wydaje następujący wyrok, który </w:t>
      </w:r>
      <w:r w:rsidR="00A170D2">
        <w:t xml:space="preserve">został przyjęty </w:t>
      </w:r>
      <w:r>
        <w:t>w tym dniu:</w:t>
      </w:r>
    </w:p>
    <w:p w14:paraId="0B774867" w14:textId="77777777" w:rsidR="00F5360F" w:rsidRPr="001B6D09" w:rsidRDefault="00F5360F" w:rsidP="001B6D09">
      <w:pPr>
        <w:pStyle w:val="JuHHead"/>
      </w:pPr>
      <w:r>
        <w:t>WPROWADZENIE</w:t>
      </w:r>
    </w:p>
    <w:p w14:paraId="20CD9C0D" w14:textId="22CBC05E" w:rsidR="001B3726" w:rsidRPr="001B6D09" w:rsidRDefault="00000000" w:rsidP="001B6D09">
      <w:pPr>
        <w:pStyle w:val="JuPara"/>
        <w:jc w:val="both"/>
      </w:pPr>
      <w:fldSimple w:instr=" SEQ level0 \*arabic ">
        <w:r w:rsidR="006F4160">
          <w:rPr>
            <w:noProof/>
          </w:rPr>
          <w:t>1</w:t>
        </w:r>
      </w:fldSimple>
      <w:r w:rsidR="00F5360F">
        <w:t xml:space="preserve">.  Skarżący został skazany za kilka wykroczeń związanych z przemocą domową. Ostatecznie został również skazany za przemoc domową </w:t>
      </w:r>
      <w:r w:rsidR="00054E16">
        <w:br/>
      </w:r>
      <w:r w:rsidR="00F5360F">
        <w:t xml:space="preserve">i zaniedbywanie dzieci w postępowaniu karnym </w:t>
      </w:r>
      <w:r w:rsidR="0025681C">
        <w:t>z oskarżenia publicznego</w:t>
      </w:r>
      <w:r w:rsidR="00F5360F">
        <w:t xml:space="preserve">. Skarżący </w:t>
      </w:r>
      <w:r w:rsidR="0025681C">
        <w:t>zarzucił</w:t>
      </w:r>
      <w:r w:rsidR="00F5360F">
        <w:t xml:space="preserve"> na podstawie art. 6 ust. 3 lit. b) Konwencji, że ze względu na krótki okres między datą powiadomienia go o posiedzeniu sądu odwoławczego, a faktyczną datą tego posiedzenia, nie miał wystarczająco dużo czasu na znalezienie adwokata i przygotowanie obrony. Ponadto zarzucił, że jego nieobecność na posiedzeniu sądu odwoławczego </w:t>
      </w:r>
      <w:r w:rsidR="0025681C">
        <w:t xml:space="preserve">skutkowała </w:t>
      </w:r>
      <w:r w:rsidR="00F5360F">
        <w:t>naruszenie</w:t>
      </w:r>
      <w:r w:rsidR="0025681C">
        <w:t>m</w:t>
      </w:r>
      <w:r w:rsidR="00F5360F">
        <w:t xml:space="preserve"> jego praw wynikających z art. 6 ust. 3 lit. c) Konwencji. Wreszcie skarżący zarzucił, że został dwukrotnie osądzony i skazany za to samo przestępstwo, co jest sprzeczne z art. 4 Protokołu nr 7 do Konwencji.</w:t>
      </w:r>
    </w:p>
    <w:p w14:paraId="1A501F2A" w14:textId="53D4ABBF" w:rsidR="00D420F3" w:rsidRPr="001B6D09" w:rsidRDefault="0077175D" w:rsidP="001B6D09">
      <w:pPr>
        <w:pStyle w:val="JuHHead"/>
      </w:pPr>
      <w:r>
        <w:t>STAN FAKTYCZNY</w:t>
      </w:r>
    </w:p>
    <w:p w14:paraId="6EF6A847" w14:textId="5F4CA6C1" w:rsidR="004440AF" w:rsidRPr="001B6D09" w:rsidRDefault="00000000" w:rsidP="001B6D09">
      <w:pPr>
        <w:pStyle w:val="JuPara"/>
        <w:jc w:val="both"/>
      </w:pPr>
      <w:fldSimple w:instr=" SEQ level0 \*arabic ">
        <w:r w:rsidR="006F4160">
          <w:rPr>
            <w:noProof/>
          </w:rPr>
          <w:t>2</w:t>
        </w:r>
      </w:fldSimple>
      <w:r w:rsidR="006374CD">
        <w:t xml:space="preserve">.  Skarżący urodził się w 1957 r. i mieszka w Zagrzebiu. Przed Trybunałem reprezentowany był przez </w:t>
      </w:r>
      <w:r w:rsidR="0025681C">
        <w:t xml:space="preserve">p. </w:t>
      </w:r>
      <w:r w:rsidR="006374CD">
        <w:t xml:space="preserve">T. </w:t>
      </w:r>
      <w:proofErr w:type="spellStart"/>
      <w:r w:rsidR="006374CD">
        <w:t>Milanković</w:t>
      </w:r>
      <w:proofErr w:type="spellEnd"/>
      <w:r w:rsidR="006374CD">
        <w:t xml:space="preserve"> </w:t>
      </w:r>
      <w:proofErr w:type="spellStart"/>
      <w:r w:rsidR="006374CD">
        <w:t>Podbrežnički</w:t>
      </w:r>
      <w:proofErr w:type="spellEnd"/>
      <w:r w:rsidR="006374CD">
        <w:t>, prawniczkę praktykującą w Zagrzebiu.</w:t>
      </w:r>
    </w:p>
    <w:p w14:paraId="07A2B0A5" w14:textId="11844FE8" w:rsidR="004440AF" w:rsidRPr="001B6D09" w:rsidRDefault="00000000" w:rsidP="001B6D09">
      <w:pPr>
        <w:pStyle w:val="JuPara"/>
        <w:jc w:val="both"/>
      </w:pPr>
      <w:fldSimple w:instr=" SEQ level0 \*arabic ">
        <w:r w:rsidR="006F4160">
          <w:rPr>
            <w:noProof/>
          </w:rPr>
          <w:t>3</w:t>
        </w:r>
      </w:fldSimple>
      <w:r w:rsidR="004440AF">
        <w:t xml:space="preserve">.  Rząd chorwacki („Rząd”) reprezentowany był przez swoją pełnomocnik </w:t>
      </w:r>
      <w:r w:rsidR="0025681C">
        <w:t xml:space="preserve">p. </w:t>
      </w:r>
      <w:r w:rsidR="004440AF">
        <w:t>Š. </w:t>
      </w:r>
      <w:proofErr w:type="spellStart"/>
      <w:r w:rsidR="004440AF">
        <w:t>Stažnik</w:t>
      </w:r>
      <w:proofErr w:type="spellEnd"/>
      <w:r w:rsidR="004440AF">
        <w:t>.</w:t>
      </w:r>
    </w:p>
    <w:p w14:paraId="35F522C7" w14:textId="24A9080E" w:rsidR="00C244F3" w:rsidRPr="001B6D09" w:rsidRDefault="00000000" w:rsidP="001B6D09">
      <w:pPr>
        <w:pStyle w:val="JuPara"/>
        <w:jc w:val="both"/>
      </w:pPr>
      <w:fldSimple w:instr=" SEQ level0 \*arabic ">
        <w:r w:rsidR="006F4160">
          <w:rPr>
            <w:noProof/>
          </w:rPr>
          <w:t>4</w:t>
        </w:r>
      </w:fldSimple>
      <w:r w:rsidR="00C244F3">
        <w:t>.  Okoliczności faktyczne sprawy, przedstawiony przez strony, można streścić następująco.</w:t>
      </w:r>
    </w:p>
    <w:bookmarkStart w:id="5" w:name="first_criminal_judgment_2002to2005"/>
    <w:p w14:paraId="07351E0D" w14:textId="1DCA598E" w:rsidR="000C75EF" w:rsidRPr="001B6D09" w:rsidRDefault="005970BA"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5</w:t>
      </w:r>
      <w:r w:rsidRPr="001B6D09">
        <w:fldChar w:fldCharType="end"/>
      </w:r>
      <w:bookmarkEnd w:id="5"/>
      <w:r>
        <w:t>.  W dniu 4 lipca 2007 r</w:t>
      </w:r>
      <w:r w:rsidR="0025681C">
        <w:t>.</w:t>
      </w:r>
      <w:r>
        <w:t xml:space="preserve"> Sąd Miejski w</w:t>
      </w:r>
      <w:r w:rsidR="0025681C">
        <w:t xml:space="preserve"> </w:t>
      </w:r>
      <w:r w:rsidRPr="00F7198F">
        <w:rPr>
          <w:iCs/>
        </w:rPr>
        <w:t>Zagrzebiu</w:t>
      </w:r>
      <w:r>
        <w:rPr>
          <w:i/>
        </w:rPr>
        <w:t xml:space="preserve"> (</w:t>
      </w:r>
      <w:proofErr w:type="spellStart"/>
      <w:r>
        <w:rPr>
          <w:i/>
        </w:rPr>
        <w:t>Općinski</w:t>
      </w:r>
      <w:proofErr w:type="spellEnd"/>
      <w:r>
        <w:rPr>
          <w:i/>
        </w:rPr>
        <w:t xml:space="preserve"> </w:t>
      </w:r>
      <w:proofErr w:type="spellStart"/>
      <w:r>
        <w:rPr>
          <w:i/>
        </w:rPr>
        <w:t>sudu</w:t>
      </w:r>
      <w:proofErr w:type="spellEnd"/>
      <w:r>
        <w:rPr>
          <w:i/>
        </w:rPr>
        <w:t xml:space="preserve"> </w:t>
      </w:r>
      <w:proofErr w:type="spellStart"/>
      <w:r>
        <w:rPr>
          <w:i/>
        </w:rPr>
        <w:t>Zagrebu</w:t>
      </w:r>
      <w:proofErr w:type="spellEnd"/>
      <w:r>
        <w:t xml:space="preserve">) uznał skarżącego </w:t>
      </w:r>
      <w:r w:rsidR="0025681C">
        <w:t>winnym</w:t>
      </w:r>
      <w:r>
        <w:t xml:space="preserve"> w postępowaniu karnym dotyczącym przemocy domowej oraz zaniedbywania i znęcania się nad małoletnim dzieckiem w okresie od marca 2002 r. do końca lutego 2005 r. Skarżący został skazany na dwa lata pozbawienia wolności w zawieszeniu na okres pięciu lat. Wyrok ten został utrzymany w mocy w postępowaniu odwoławczym, a</w:t>
      </w:r>
      <w:r w:rsidR="00586243">
        <w:t>le zawieszenie</w:t>
      </w:r>
      <w:r>
        <w:t xml:space="preserve"> </w:t>
      </w:r>
      <w:r w:rsidR="00586243">
        <w:t xml:space="preserve">wykonania </w:t>
      </w:r>
      <w:r>
        <w:t>kar</w:t>
      </w:r>
      <w:r w:rsidR="00586243">
        <w:t>y</w:t>
      </w:r>
      <w:r>
        <w:t xml:space="preserve"> został</w:t>
      </w:r>
      <w:r w:rsidR="00586243">
        <w:t>o</w:t>
      </w:r>
      <w:r>
        <w:t xml:space="preserve"> następnie uchylon</w:t>
      </w:r>
      <w:r w:rsidR="00586243">
        <w:t>e</w:t>
      </w:r>
      <w:r>
        <w:t xml:space="preserve"> (zob. par. </w:t>
      </w:r>
      <w:r w:rsidR="00D413DC" w:rsidRPr="001B6D09">
        <w:fldChar w:fldCharType="begin"/>
      </w:r>
      <w:r w:rsidR="00D413DC" w:rsidRPr="001B6D09">
        <w:instrText xml:space="preserve"> REF second_criminal_judgment \h </w:instrText>
      </w:r>
      <w:r w:rsidR="005B12FD" w:rsidRPr="001B6D09">
        <w:instrText xml:space="preserve"> \* MERGEFORMAT </w:instrText>
      </w:r>
      <w:r w:rsidR="00D413DC" w:rsidRPr="001B6D09">
        <w:fldChar w:fldCharType="separate"/>
      </w:r>
      <w:r w:rsidR="006F4160">
        <w:t>33</w:t>
      </w:r>
      <w:r w:rsidR="00D413DC" w:rsidRPr="001B6D09">
        <w:fldChar w:fldCharType="end"/>
      </w:r>
      <w:r>
        <w:t xml:space="preserve"> poniżej).</w:t>
      </w:r>
    </w:p>
    <w:p w14:paraId="19B4A76C" w14:textId="2254771B" w:rsidR="00246411" w:rsidRPr="001B6D09" w:rsidRDefault="00FC585F" w:rsidP="001B6D09">
      <w:pPr>
        <w:pStyle w:val="JuHA"/>
      </w:pPr>
      <w:r>
        <w:t>Postępowania w sprawach o wykroczenia</w:t>
      </w:r>
    </w:p>
    <w:bookmarkStart w:id="6" w:name="first_minor_offence_judgment"/>
    <w:p w14:paraId="0DF0FCD7" w14:textId="4CBCA1CB" w:rsidR="001B3726" w:rsidRPr="001B6D09" w:rsidRDefault="000C75EF"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6</w:t>
      </w:r>
      <w:r w:rsidRPr="001B6D09">
        <w:fldChar w:fldCharType="end"/>
      </w:r>
      <w:bookmarkEnd w:id="6"/>
      <w:r>
        <w:t>.  W międzyczasie, w dniu 6 października 2006 r</w:t>
      </w:r>
      <w:r w:rsidR="00586243">
        <w:t>.,</w:t>
      </w:r>
      <w:r>
        <w:t xml:space="preserve"> sąd do spraw wykroczeń w</w:t>
      </w:r>
      <w:r w:rsidR="00586243">
        <w:t xml:space="preserve"> </w:t>
      </w:r>
      <w:r w:rsidRPr="00F7198F">
        <w:rPr>
          <w:iCs/>
        </w:rPr>
        <w:t>Zagrzebiu</w:t>
      </w:r>
      <w:r>
        <w:rPr>
          <w:i/>
        </w:rPr>
        <w:t xml:space="preserve"> (</w:t>
      </w:r>
      <w:proofErr w:type="spellStart"/>
      <w:r>
        <w:rPr>
          <w:i/>
        </w:rPr>
        <w:t>Prekršajni</w:t>
      </w:r>
      <w:proofErr w:type="spellEnd"/>
      <w:r>
        <w:rPr>
          <w:i/>
        </w:rPr>
        <w:t xml:space="preserve"> </w:t>
      </w:r>
      <w:proofErr w:type="spellStart"/>
      <w:r>
        <w:rPr>
          <w:i/>
        </w:rPr>
        <w:t>sud</w:t>
      </w:r>
      <w:proofErr w:type="spellEnd"/>
      <w:r>
        <w:rPr>
          <w:i/>
        </w:rPr>
        <w:t xml:space="preserve"> u </w:t>
      </w:r>
      <w:proofErr w:type="spellStart"/>
      <w:r>
        <w:rPr>
          <w:i/>
        </w:rPr>
        <w:t>Zagrebu</w:t>
      </w:r>
      <w:proofErr w:type="spellEnd"/>
      <w:r>
        <w:t xml:space="preserve">) uznał skarżącego za winnego wykroczenia przemocy domowej na podstawie art. 4 ustawy </w:t>
      </w:r>
      <w:r w:rsidR="00054E16">
        <w:br/>
      </w:r>
      <w:r>
        <w:t xml:space="preserve">o ochronie przed przemocą domową (zob. par. </w:t>
      </w:r>
      <w:r w:rsidR="00803186" w:rsidRPr="001B6D09">
        <w:fldChar w:fldCharType="begin"/>
      </w:r>
      <w:r w:rsidR="00803186" w:rsidRPr="001B6D09">
        <w:instrText xml:space="preserve"> REF Domestic_Violence_Act \h </w:instrText>
      </w:r>
      <w:r w:rsidR="005B12FD" w:rsidRPr="001B6D09">
        <w:instrText xml:space="preserve"> \* MERGEFORMAT </w:instrText>
      </w:r>
      <w:r w:rsidR="00803186" w:rsidRPr="001B6D09">
        <w:fldChar w:fldCharType="separate"/>
      </w:r>
      <w:r w:rsidR="006F4160">
        <w:t>68</w:t>
      </w:r>
      <w:r w:rsidR="00803186" w:rsidRPr="001B6D09">
        <w:fldChar w:fldCharType="end"/>
      </w:r>
      <w:r>
        <w:t xml:space="preserve"> poniżej) wobec jego małoletniej córki Z.</w:t>
      </w:r>
      <w:r w:rsidR="00586243">
        <w:t xml:space="preserve"> </w:t>
      </w:r>
      <w:r>
        <w:t xml:space="preserve">G., popełnionego 5 października 2006 r. Został </w:t>
      </w:r>
      <w:r w:rsidR="00586243">
        <w:t>ukarany karą</w:t>
      </w:r>
      <w:r>
        <w:t xml:space="preserve"> pięćdziesi</w:t>
      </w:r>
      <w:r w:rsidR="00586243">
        <w:t>ęciu</w:t>
      </w:r>
      <w:r>
        <w:t xml:space="preserve"> dni pozbawienia wolności w zawieszeniu na rok.</w:t>
      </w:r>
    </w:p>
    <w:bookmarkStart w:id="7" w:name="second_minor_offence_judgment"/>
    <w:p w14:paraId="4287A5FD" w14:textId="61E2AA67" w:rsidR="00D14C09" w:rsidRPr="001B6D09" w:rsidRDefault="00B46142"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7</w:t>
      </w:r>
      <w:r w:rsidRPr="001B6D09">
        <w:fldChar w:fldCharType="end"/>
      </w:r>
      <w:bookmarkEnd w:id="7"/>
      <w:r>
        <w:t xml:space="preserve">.  W dniu 2 lutego 2007 r. sąd do spraw wykroczeń w Zagrzebiu uznał skarżącego </w:t>
      </w:r>
      <w:r w:rsidR="00586243">
        <w:t xml:space="preserve">winnym </w:t>
      </w:r>
      <w:r>
        <w:t>wykroczenia przemocy domowej wobec</w:t>
      </w:r>
      <w:r w:rsidR="00586243">
        <w:t xml:space="preserve"> jego </w:t>
      </w:r>
      <w:r>
        <w:t>żony Mi.</w:t>
      </w:r>
      <w:r w:rsidR="00586243">
        <w:t xml:space="preserve"> </w:t>
      </w:r>
      <w:r>
        <w:t>G. i syna H.</w:t>
      </w:r>
      <w:r w:rsidR="00586243">
        <w:t xml:space="preserve"> </w:t>
      </w:r>
      <w:r>
        <w:t>G., popełnionego 30 stycznia 2007 r. Skarżąc</w:t>
      </w:r>
      <w:r w:rsidR="00586243">
        <w:t>emu wymierzono karę</w:t>
      </w:r>
      <w:r>
        <w:t xml:space="preserve"> dziesię</w:t>
      </w:r>
      <w:r w:rsidR="00586243">
        <w:t>ciu</w:t>
      </w:r>
      <w:r>
        <w:t xml:space="preserve"> dni pozbawienia wolności, przy czym sąd uchylił </w:t>
      </w:r>
      <w:r w:rsidR="00EB5376">
        <w:t xml:space="preserve">zawieszenie </w:t>
      </w:r>
      <w:r>
        <w:t>poprzedni</w:t>
      </w:r>
      <w:r w:rsidR="00EB5376">
        <w:t>ej</w:t>
      </w:r>
      <w:r>
        <w:t xml:space="preserve"> kar</w:t>
      </w:r>
      <w:r w:rsidR="00EB5376">
        <w:t>y</w:t>
      </w:r>
      <w:r>
        <w:t xml:space="preserve"> (zob. par. </w:t>
      </w:r>
      <w:r w:rsidR="00E2140B" w:rsidRPr="001B6D09">
        <w:fldChar w:fldCharType="begin"/>
      </w:r>
      <w:r w:rsidR="00E2140B" w:rsidRPr="001B6D09">
        <w:instrText xml:space="preserve"> REF first_minor_offence_judgment \h </w:instrText>
      </w:r>
      <w:r w:rsidR="005B12FD" w:rsidRPr="001B6D09">
        <w:instrText xml:space="preserve"> \* MERGEFORMAT </w:instrText>
      </w:r>
      <w:r w:rsidR="00E2140B" w:rsidRPr="001B6D09">
        <w:fldChar w:fldCharType="separate"/>
      </w:r>
      <w:r w:rsidR="006F4160">
        <w:t>6</w:t>
      </w:r>
      <w:r w:rsidR="00E2140B" w:rsidRPr="001B6D09">
        <w:fldChar w:fldCharType="end"/>
      </w:r>
      <w:r>
        <w:t xml:space="preserve"> powyżej) i </w:t>
      </w:r>
      <w:r w:rsidR="00EB5376">
        <w:t>wymierzono mu</w:t>
      </w:r>
      <w:r>
        <w:t xml:space="preserve"> karę łączną pięćdziesięciu dziewięciu dni pozbawienia wolności.</w:t>
      </w:r>
    </w:p>
    <w:bookmarkStart w:id="8" w:name="third_minor_offence_judgment"/>
    <w:p w14:paraId="68F7A6E3" w14:textId="6D5426E5" w:rsidR="00EE57D9" w:rsidRPr="001B6D09" w:rsidRDefault="00C50C9F"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8</w:t>
      </w:r>
      <w:r w:rsidRPr="001B6D09">
        <w:fldChar w:fldCharType="end"/>
      </w:r>
      <w:bookmarkEnd w:id="8"/>
      <w:r>
        <w:t xml:space="preserve">.  W dniu 3 kwietnia 2007 r. ten sam sąd uznał skarżącego </w:t>
      </w:r>
      <w:r w:rsidR="00EB5376">
        <w:t>winnym</w:t>
      </w:r>
      <w:r>
        <w:t xml:space="preserve"> wykroczenia przemocy domowej wobec jego żony Mi.</w:t>
      </w:r>
      <w:r w:rsidR="00EB5376">
        <w:t xml:space="preserve"> </w:t>
      </w:r>
      <w:r>
        <w:t xml:space="preserve">G., jego syna H.G. </w:t>
      </w:r>
      <w:r w:rsidR="00054E16">
        <w:br/>
      </w:r>
      <w:r>
        <w:t>i jego małoletniej córki Z.</w:t>
      </w:r>
      <w:r w:rsidR="00EB5376">
        <w:t xml:space="preserve"> </w:t>
      </w:r>
      <w:r>
        <w:t>G.</w:t>
      </w:r>
      <w:r w:rsidR="00EB5376">
        <w:t>,</w:t>
      </w:r>
      <w:r>
        <w:t xml:space="preserve"> popełnionego wcześniej tego samego dnia. </w:t>
      </w:r>
      <w:r w:rsidR="00EB5376">
        <w:t>Wymierzono mu karę</w:t>
      </w:r>
      <w:r>
        <w:t xml:space="preserve"> czterdzie</w:t>
      </w:r>
      <w:r w:rsidR="00EB5376">
        <w:t>stu</w:t>
      </w:r>
      <w:r>
        <w:t xml:space="preserve"> dni pozbawienia wolności w zawieszeniu na dziesięć miesięcy.</w:t>
      </w:r>
    </w:p>
    <w:bookmarkStart w:id="9" w:name="first_minor_offence_proceedings"/>
    <w:bookmarkStart w:id="10" w:name="fourth_minor_offence_judgment"/>
    <w:p w14:paraId="2A0C7C2F" w14:textId="352503CD" w:rsidR="007452EF" w:rsidRPr="001B6D09" w:rsidRDefault="007452EF"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9</w:t>
      </w:r>
      <w:r w:rsidRPr="001B6D09">
        <w:fldChar w:fldCharType="end"/>
      </w:r>
      <w:bookmarkEnd w:id="9"/>
      <w:bookmarkEnd w:id="10"/>
      <w:r>
        <w:t xml:space="preserve">.  W dniu 16 stycznia 2008 r. </w:t>
      </w:r>
      <w:r w:rsidR="00EB5376">
        <w:t>s</w:t>
      </w:r>
      <w:r>
        <w:t xml:space="preserve">ąd do spraw wykroczeń w Zagrzebiu uznał skarżącego </w:t>
      </w:r>
      <w:r w:rsidR="00EB5376">
        <w:t>winnym</w:t>
      </w:r>
      <w:r>
        <w:t xml:space="preserve"> popełnienia wykroczenia przemocy domowej, ponieważ 10 stycznia 2008 r. znieważył on słownie swoje córki Z.</w:t>
      </w:r>
      <w:r w:rsidR="00EB5376">
        <w:t xml:space="preserve"> </w:t>
      </w:r>
      <w:r>
        <w:t>G. i M.</w:t>
      </w:r>
      <w:r w:rsidR="00EB5376">
        <w:t xml:space="preserve"> </w:t>
      </w:r>
      <w:r>
        <w:t>G. oraz żonę Mi.</w:t>
      </w:r>
      <w:r w:rsidR="00EB5376">
        <w:t xml:space="preserve"> </w:t>
      </w:r>
      <w:r>
        <w:t xml:space="preserve">G. Skarżącemu wymierzono karę siedemdziesięciu sześciu dni pozbawienia wolności z warunkowym zawieszeniem jej wykonania, biorąc pod uwagę uprzednio orzeczoną karę pozbawienia wolności z warunkowym zawieszeniem jej wykonania (zob. par. </w:t>
      </w:r>
      <w:r w:rsidR="00E2140B" w:rsidRPr="001B6D09">
        <w:fldChar w:fldCharType="begin"/>
      </w:r>
      <w:r w:rsidR="00E2140B" w:rsidRPr="001B6D09">
        <w:instrText xml:space="preserve"> REF third_minor_offence_judgment \h </w:instrText>
      </w:r>
      <w:r w:rsidR="005B12FD" w:rsidRPr="001B6D09">
        <w:instrText xml:space="preserve"> \* MERGEFORMAT </w:instrText>
      </w:r>
      <w:r w:rsidR="00E2140B" w:rsidRPr="001B6D09">
        <w:fldChar w:fldCharType="separate"/>
      </w:r>
      <w:r w:rsidR="006F4160">
        <w:t>8</w:t>
      </w:r>
      <w:r w:rsidR="00E2140B" w:rsidRPr="001B6D09">
        <w:fldChar w:fldCharType="end"/>
      </w:r>
      <w:r>
        <w:t xml:space="preserve"> powyżej), na roczny okres próby. Wyrok ten został utrzymany w mocy w postępowaniu odwoławczym.</w:t>
      </w:r>
    </w:p>
    <w:p w14:paraId="3C04F111" w14:textId="3883BA67" w:rsidR="00246411" w:rsidRPr="001B6D09" w:rsidRDefault="00000000" w:rsidP="001B6D09">
      <w:pPr>
        <w:pStyle w:val="JuPara"/>
        <w:jc w:val="both"/>
      </w:pPr>
      <w:fldSimple w:instr=" SEQ level0 \*arabic ">
        <w:r w:rsidR="006F4160">
          <w:rPr>
            <w:noProof/>
          </w:rPr>
          <w:t>10</w:t>
        </w:r>
      </w:fldSimple>
      <w:r w:rsidR="00246411">
        <w:t xml:space="preserve">.  W dniu 4 listopada 2008 r. do Ośrodka Pomocy Społecznej w </w:t>
      </w:r>
      <w:proofErr w:type="spellStart"/>
      <w:r w:rsidR="00246411">
        <w:t>Kutinie</w:t>
      </w:r>
      <w:proofErr w:type="spellEnd"/>
      <w:r w:rsidR="00246411">
        <w:t xml:space="preserve"> wpłynęła skarga Mi.</w:t>
      </w:r>
      <w:r w:rsidR="00D26015">
        <w:t xml:space="preserve"> </w:t>
      </w:r>
      <w:r w:rsidR="00246411">
        <w:t xml:space="preserve">G. Zarzuciła ona, że 3 listopada 2008 r. skarżący od zachowywał się agresywnie w ich rodzinnym domu, obwiniał ją o utratę pracy i </w:t>
      </w:r>
      <w:r w:rsidR="00D26015">
        <w:t xml:space="preserve">że od 2005 r. </w:t>
      </w:r>
      <w:r w:rsidR="00246411">
        <w:t xml:space="preserve">groził jej śmiercią. Przedstawiła dokumentację </w:t>
      </w:r>
      <w:r w:rsidR="00246411">
        <w:lastRenderedPageBreak/>
        <w:t xml:space="preserve">medyczną z tego samego dnia, wskazującą, że doznała obrażeń głowy. Ośrodek Pomocy Społecznej w </w:t>
      </w:r>
      <w:proofErr w:type="spellStart"/>
      <w:r w:rsidR="00246411">
        <w:t>Kutinie</w:t>
      </w:r>
      <w:proofErr w:type="spellEnd"/>
      <w:r w:rsidR="00246411">
        <w:t xml:space="preserve"> złożył zawiadomienie na policji.</w:t>
      </w:r>
    </w:p>
    <w:bookmarkStart w:id="11" w:name="instituted_MO_proc"/>
    <w:p w14:paraId="5B0CD8FF" w14:textId="0D905D8A" w:rsidR="001B3726" w:rsidRPr="001B6D09" w:rsidRDefault="00D57E19"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11</w:t>
      </w:r>
      <w:r w:rsidRPr="001B6D09">
        <w:fldChar w:fldCharType="end"/>
      </w:r>
      <w:bookmarkEnd w:id="11"/>
      <w:r>
        <w:t xml:space="preserve">.  W dniu 4 listopada 2008 r. policja wszczęła postępowanie w sprawie o wykroczenie przeciwko skarżącemu przed sądem do spraw wykroczeń </w:t>
      </w:r>
      <w:r w:rsidR="00054E16">
        <w:br/>
      </w:r>
      <w:r>
        <w:t xml:space="preserve">w Zagrzebiu, </w:t>
      </w:r>
      <w:r w:rsidR="00D26015">
        <w:t>o wykroczenie</w:t>
      </w:r>
      <w:r>
        <w:t xml:space="preserve"> przemocy domowej na podstawie art. 4 i art. 18 ust. 3 ustawy o ochronie przed przemocą domową popełnionym 3 listopada 2008 r. wobec Mi.</w:t>
      </w:r>
      <w:r w:rsidR="00D26015">
        <w:t xml:space="preserve"> </w:t>
      </w:r>
      <w:r>
        <w:t>G. – wówczas już jego byłej małżonki – oraz jego córki M. G.</w:t>
      </w:r>
    </w:p>
    <w:p w14:paraId="4ADD318D" w14:textId="0EA2B96D" w:rsidR="008C21CB" w:rsidRPr="001B6D09" w:rsidRDefault="00000000" w:rsidP="001B6D09">
      <w:pPr>
        <w:pStyle w:val="JuPara"/>
        <w:jc w:val="both"/>
      </w:pPr>
      <w:fldSimple w:instr=" SEQ level0 \*arabic ">
        <w:r w:rsidR="006F4160">
          <w:rPr>
            <w:noProof/>
          </w:rPr>
          <w:t>12</w:t>
        </w:r>
      </w:fldSimple>
      <w:r w:rsidR="00224DCB">
        <w:t xml:space="preserve">.  Tego samego dnia skarżący został zatrzymany i umieszczony </w:t>
      </w:r>
      <w:r w:rsidR="00054E16">
        <w:br/>
      </w:r>
      <w:r w:rsidR="00224DCB">
        <w:t>w areszcie.</w:t>
      </w:r>
    </w:p>
    <w:bookmarkStart w:id="12" w:name="minor_offence_judgment"/>
    <w:bookmarkStart w:id="13" w:name="fifth_minor_offence_judgment"/>
    <w:p w14:paraId="22C2CB96" w14:textId="734E9E44" w:rsidR="008C21CB" w:rsidRPr="001B6D09" w:rsidRDefault="00D57E19"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13</w:t>
      </w:r>
      <w:r w:rsidRPr="001B6D09">
        <w:fldChar w:fldCharType="end"/>
      </w:r>
      <w:bookmarkEnd w:id="12"/>
      <w:bookmarkEnd w:id="13"/>
      <w:r>
        <w:t>.  W dniu 17 listopada 2008 r. Sąd do spraw wykroczeń w Zagrzebiu uznał skarżącego winnym stosowania przemocy w rodzinie wobec Mi.</w:t>
      </w:r>
      <w:r w:rsidR="003C1F0E">
        <w:t xml:space="preserve"> </w:t>
      </w:r>
      <w:r>
        <w:t xml:space="preserve">G. </w:t>
      </w:r>
      <w:r w:rsidR="00054E16">
        <w:br/>
      </w:r>
      <w:r>
        <w:t>i jego starszej córki M.</w:t>
      </w:r>
      <w:r w:rsidR="003C1F0E">
        <w:t xml:space="preserve"> </w:t>
      </w:r>
      <w:r>
        <w:t xml:space="preserve">G. i </w:t>
      </w:r>
      <w:r w:rsidR="003C1F0E">
        <w:t>wymierzył mu karę</w:t>
      </w:r>
      <w:r>
        <w:t xml:space="preserve"> trzydzie</w:t>
      </w:r>
      <w:r w:rsidR="003C1F0E">
        <w:t>stu</w:t>
      </w:r>
      <w:r>
        <w:t xml:space="preserve"> dni pozbawienia wolności. Jednocześnie uchylił </w:t>
      </w:r>
      <w:r w:rsidR="003C1F0E">
        <w:t>zawieszenie</w:t>
      </w:r>
      <w:r>
        <w:t xml:space="preserve"> </w:t>
      </w:r>
      <w:r w:rsidR="003C1F0E">
        <w:t xml:space="preserve">wcześniejszej </w:t>
      </w:r>
      <w:r>
        <w:t>kar</w:t>
      </w:r>
      <w:r w:rsidR="003C1F0E">
        <w:t>y</w:t>
      </w:r>
      <w:r>
        <w:t xml:space="preserve"> pozbawienia wolności (zob. par. 8 i </w:t>
      </w:r>
      <w:r w:rsidR="00E2140B" w:rsidRPr="001B6D09">
        <w:fldChar w:fldCharType="begin"/>
      </w:r>
      <w:r w:rsidR="00E2140B" w:rsidRPr="001B6D09">
        <w:instrText xml:space="preserve"> REF fourth_minor_offence_judgment \h </w:instrText>
      </w:r>
      <w:r w:rsidR="005B12FD" w:rsidRPr="001B6D09">
        <w:instrText xml:space="preserve"> \* MERGEFORMAT </w:instrText>
      </w:r>
      <w:r w:rsidR="00E2140B" w:rsidRPr="001B6D09">
        <w:fldChar w:fldCharType="separate"/>
      </w:r>
      <w:r w:rsidR="006F4160">
        <w:t>9</w:t>
      </w:r>
      <w:r w:rsidR="00E2140B" w:rsidRPr="001B6D09">
        <w:fldChar w:fldCharType="end"/>
      </w:r>
      <w:r>
        <w:t xml:space="preserve"> powyżej) i wymierzył karę łączną 112 dni pozbawienia wolności. </w:t>
      </w:r>
      <w:r w:rsidR="003C1F0E">
        <w:t>Odpowiednie</w:t>
      </w:r>
      <w:r>
        <w:t xml:space="preserve"> fragmenty wyroku </w:t>
      </w:r>
      <w:r w:rsidR="003C1F0E">
        <w:t>stanowią</w:t>
      </w:r>
      <w:r>
        <w:t>:</w:t>
      </w:r>
    </w:p>
    <w:p w14:paraId="2608F968" w14:textId="125BD67F" w:rsidR="00B74C10" w:rsidRPr="001B6D09" w:rsidRDefault="00681C2C" w:rsidP="001B6D09">
      <w:pPr>
        <w:pStyle w:val="JuQuot"/>
        <w:jc w:val="both"/>
      </w:pPr>
      <w:r>
        <w:t xml:space="preserve">„Obwiniony </w:t>
      </w:r>
      <w:proofErr w:type="spellStart"/>
      <w:r>
        <w:t>Miljenko</w:t>
      </w:r>
      <w:proofErr w:type="spellEnd"/>
      <w:r>
        <w:t xml:space="preserve"> </w:t>
      </w:r>
      <w:proofErr w:type="spellStart"/>
      <w:r>
        <w:t>Galović</w:t>
      </w:r>
      <w:proofErr w:type="spellEnd"/>
      <w:r>
        <w:t>, [...] jest winny tego, że: 3 i 4 listopada 2008 r. o godz. 10:02 w [swoim] domu rodzinnym w [...] będąc pod wpływem alkoholu, zachowywał się agresywnie wobec [swojej] rodziny, w tym 3 listopada 2008 r. ok</w:t>
      </w:r>
      <w:r w:rsidR="00A65EC6">
        <w:t>.</w:t>
      </w:r>
      <w:r>
        <w:t xml:space="preserve"> godz. 16:00 słownie znieważył swoją córkę M.G. oraz byłą małżonkę Mi.</w:t>
      </w:r>
      <w:r w:rsidR="00A65EC6">
        <w:t xml:space="preserve"> </w:t>
      </w:r>
      <w:r>
        <w:t>G., mówiąc do nich: „</w:t>
      </w:r>
      <w:r w:rsidR="00A65EC6">
        <w:t>K</w:t>
      </w:r>
      <w:r>
        <w:t>urwy, dziwki, przez was straciłem pracę!”, po czym jego córka M. wyszła z domu, a jej powrocie ok</w:t>
      </w:r>
      <w:r w:rsidR="00A65EC6">
        <w:t>.</w:t>
      </w:r>
      <w:r>
        <w:t xml:space="preserve"> 20:30 w dalszym ciągu znieważał ją słowami „dziwka, kurwa, ty </w:t>
      </w:r>
      <w:r w:rsidR="00601541">
        <w:br/>
      </w:r>
      <w:r>
        <w:t>i twoja matka</w:t>
      </w:r>
      <w:r w:rsidR="00A65EC6">
        <w:t>,</w:t>
      </w:r>
      <w:r>
        <w:t xml:space="preserve"> przez was straciłem pracę!”, po czym córka zamknęła się w pokoju, </w:t>
      </w:r>
      <w:r w:rsidR="00601541">
        <w:br/>
      </w:r>
      <w:r>
        <w:t>a oskarżony walił w drzwi jej pokoju, w dalszym ciągu znieważając ją słowami „ dziwko, kurwo jedna, wynoś się z domu, idź do swojego kochasia, wynocha!”</w:t>
      </w:r>
      <w:r w:rsidR="00601541">
        <w:t>, a także</w:t>
      </w:r>
      <w:r w:rsidR="00601541">
        <w:br/>
      </w:r>
      <w:r>
        <w:t>3 listopada 2008 r. o godz. 17.00 zaatakował słownie swoją byłą małżonkę Mi.</w:t>
      </w:r>
      <w:r w:rsidR="00601541">
        <w:t xml:space="preserve"> </w:t>
      </w:r>
      <w:r>
        <w:t>G., mówiąc: „</w:t>
      </w:r>
      <w:r w:rsidR="00601541">
        <w:t>K</w:t>
      </w:r>
      <w:r>
        <w:t xml:space="preserve">urwo, wiesz, że to przez ciebie zostałem dzisiaj wylany z pracy. Wyrzucę cię z domu, zabiję cię. Nie masz teraz alimentów, bank zabierze ci majątek. Zobacz, jaka jesteś głupia, kurwo z </w:t>
      </w:r>
      <w:proofErr w:type="spellStart"/>
      <w:r>
        <w:t>Moslaviny-Zagorje</w:t>
      </w:r>
      <w:proofErr w:type="spellEnd"/>
      <w:r>
        <w:t xml:space="preserve">!”, po czym poszedł spać, a gdy obudził się o godz. 18:30 poszedł do pokoju, w którym znajdowała się jego była małżonka </w:t>
      </w:r>
      <w:r w:rsidR="00601541">
        <w:br/>
      </w:r>
      <w:r>
        <w:t xml:space="preserve">i kontynuował obrażanie jej słowami „Kurwo, straciłem dziś pracę”, po czym zaatakował ją fizycznie, podchodząc do łóżka, na którym siedziała, chwytając ją obiema rękami za włosy i rzucając na łóżko. </w:t>
      </w:r>
      <w:r w:rsidR="00601541">
        <w:t>Dalej t</w:t>
      </w:r>
      <w:r>
        <w:t xml:space="preserve">rzymał ją za włosy lewą ręką, </w:t>
      </w:r>
      <w:r w:rsidR="00AD6C62">
        <w:br/>
      </w:r>
      <w:r>
        <w:t>a prawą uderzył ją kilka razy w lewy policzek i ucho, mówiąc do niej: „No dalej, krzycz, krzycz, zabiję cię zanim przyjedzie policja. Jeśli wsadzisz mnie do więzienia, to po dwóch latach znajdę</w:t>
      </w:r>
      <w:r w:rsidR="00AD6C62">
        <w:t xml:space="preserve"> cię</w:t>
      </w:r>
      <w:r>
        <w:t>, jesteś moja!"</w:t>
      </w:r>
    </w:p>
    <w:p w14:paraId="4154E24C" w14:textId="746DE776" w:rsidR="00B74C10" w:rsidRPr="001B6D09" w:rsidRDefault="001B3726" w:rsidP="001B6D09">
      <w:pPr>
        <w:pStyle w:val="JuQuot"/>
        <w:jc w:val="both"/>
      </w:pPr>
      <w:r>
        <w:t>[…]</w:t>
      </w:r>
    </w:p>
    <w:p w14:paraId="707A5D71" w14:textId="68407783" w:rsidR="009478C1" w:rsidRPr="001B6D09" w:rsidRDefault="00B74C10" w:rsidP="001B6D09">
      <w:pPr>
        <w:pStyle w:val="JuQuot"/>
        <w:jc w:val="both"/>
      </w:pPr>
      <w:r>
        <w:t>Sąd zbadał [...] protokół badania na zawartość alkoholu we krwi [z 4 listopada 2008 r.]”</w:t>
      </w:r>
    </w:p>
    <w:bookmarkStart w:id="14" w:name="High_Minor_Offences_Court_judg"/>
    <w:p w14:paraId="215F9E1B" w14:textId="0C35D155" w:rsidR="008C21CB" w:rsidRPr="001B6D09" w:rsidRDefault="00D57E19"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14</w:t>
      </w:r>
      <w:r w:rsidRPr="001B6D09">
        <w:fldChar w:fldCharType="end"/>
      </w:r>
      <w:bookmarkEnd w:id="14"/>
      <w:r>
        <w:t xml:space="preserve">.  Wyrokiem z dnia 28 stycznia 2009 r. sąd odwoławczy do spraw wykroczeń zmienił kwalifikację prawną czynu i orzekł, że był to czyn z art. 18 ust. 1 ustawy o ochronie przed przemocą domową, a nie z art. 18 ust. 3 tej ustawy. </w:t>
      </w:r>
      <w:r w:rsidR="009F62C7">
        <w:t>Poza tym o</w:t>
      </w:r>
      <w:r>
        <w:t>ddalił apelację skarżącego i utrzymał w mocy wyrok wydany w pierwszej instancji, który tym samym stał się prawomocny.</w:t>
      </w:r>
    </w:p>
    <w:p w14:paraId="6C413491" w14:textId="7FE835F5" w:rsidR="008C21CB" w:rsidRPr="001B6D09" w:rsidRDefault="00B46142" w:rsidP="001B6D09">
      <w:pPr>
        <w:pStyle w:val="JuHA"/>
      </w:pPr>
      <w:r>
        <w:lastRenderedPageBreak/>
        <w:t>Postępowanie z oskarżenia</w:t>
      </w:r>
      <w:r w:rsidR="009F62C7">
        <w:t xml:space="preserve"> publicznego</w:t>
      </w:r>
    </w:p>
    <w:p w14:paraId="1C8A98D0" w14:textId="7A807DFC" w:rsidR="00110130" w:rsidRPr="001B6D09" w:rsidRDefault="00000000" w:rsidP="001B6D09">
      <w:pPr>
        <w:pStyle w:val="JuPara"/>
        <w:jc w:val="both"/>
      </w:pPr>
      <w:fldSimple w:instr=" SEQ level0 \*arabic ">
        <w:r w:rsidR="006F4160">
          <w:rPr>
            <w:noProof/>
          </w:rPr>
          <w:t>15</w:t>
        </w:r>
      </w:fldSimple>
      <w:r w:rsidR="00110130">
        <w:t>.  W dniu 4 listopada 2008 roku Mi.</w:t>
      </w:r>
      <w:r w:rsidR="009F62C7">
        <w:t xml:space="preserve"> </w:t>
      </w:r>
      <w:r w:rsidR="00110130">
        <w:t xml:space="preserve">G. złożyła </w:t>
      </w:r>
      <w:r w:rsidR="009F62C7">
        <w:t xml:space="preserve">na policji w </w:t>
      </w:r>
      <w:proofErr w:type="spellStart"/>
      <w:r w:rsidR="009F62C7">
        <w:t>Kutinie</w:t>
      </w:r>
      <w:proofErr w:type="spellEnd"/>
      <w:r w:rsidR="009F62C7">
        <w:t xml:space="preserve"> </w:t>
      </w:r>
      <w:r w:rsidR="00110130">
        <w:t>zawiadomienie o popełnieniu przestępstwa przeciwko skarżącemu, dotyczące wydarzeń z 3 listopada 2008 r. W dniu 2 grudnia 2008 r. policja uzupełniła zawiadomienie Mi.</w:t>
      </w:r>
      <w:r w:rsidR="009F62C7">
        <w:t xml:space="preserve"> </w:t>
      </w:r>
      <w:r w:rsidR="00110130">
        <w:t>G. o wcześniejsze zdarzenia obejmujące okres od lutego 2005 r. do 4 listopada 2008 r. i przekazała sprawę do Prokuratury Miejskiej w Zagrzebiu.</w:t>
      </w:r>
    </w:p>
    <w:p w14:paraId="0C151A0A" w14:textId="113D5420" w:rsidR="008C21CB" w:rsidRPr="001B6D09" w:rsidRDefault="00000000" w:rsidP="001B6D09">
      <w:pPr>
        <w:pStyle w:val="JuPara"/>
        <w:jc w:val="both"/>
      </w:pPr>
      <w:fldSimple w:instr=" SEQ level0 \*arabic ">
        <w:r w:rsidR="006F4160">
          <w:rPr>
            <w:noProof/>
          </w:rPr>
          <w:t>16</w:t>
        </w:r>
      </w:fldSimple>
      <w:r w:rsidR="00D57E19">
        <w:t xml:space="preserve">.  W dniu 2 grudnia 2008 r. skarżący został przeniesiony z </w:t>
      </w:r>
      <w:r w:rsidR="007223F1">
        <w:t>jednostki penitencjarnej dla sprawców wykroczeń</w:t>
      </w:r>
      <w:r w:rsidR="00D57E19">
        <w:t xml:space="preserve">, do </w:t>
      </w:r>
      <w:r w:rsidR="007223F1">
        <w:t>jednostki penitencjarnej dla sprawców przestępstw,</w:t>
      </w:r>
      <w:r w:rsidR="00D57E19">
        <w:t xml:space="preserve"> pod zarzutem popełnienia przestępstw: przemocy domowej wobec małżonki, dwóch córek i syna oraz zaniedbywania młodszej córki i znęcania się nad nią.</w:t>
      </w:r>
    </w:p>
    <w:bookmarkStart w:id="15" w:name="cooperation"/>
    <w:bookmarkStart w:id="16" w:name="instituted_crim_proc"/>
    <w:p w14:paraId="2094A722" w14:textId="5F05DAB3" w:rsidR="00246411" w:rsidRPr="001B6D09" w:rsidRDefault="00D57E19"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17</w:t>
      </w:r>
      <w:r w:rsidRPr="001B6D09">
        <w:fldChar w:fldCharType="end"/>
      </w:r>
      <w:bookmarkEnd w:id="15"/>
      <w:bookmarkEnd w:id="16"/>
      <w:r>
        <w:t>.  W dniu 3 grudnia 2008 r., powołując się m</w:t>
      </w:r>
      <w:r w:rsidR="007223F1">
        <w:t>. in.</w:t>
      </w:r>
      <w:r>
        <w:t xml:space="preserve"> na dokumenty, na podstawie których prowadzono poprzednie postępowani</w:t>
      </w:r>
      <w:r w:rsidR="007223F1">
        <w:t>a</w:t>
      </w:r>
      <w:r>
        <w:t xml:space="preserve"> w sprawie </w:t>
      </w:r>
      <w:r w:rsidR="007223F1">
        <w:br/>
      </w:r>
      <w:r>
        <w:t xml:space="preserve">o wykroczenie, Prokuratura Miejska w Zagrzebiu zwróciła się do sędziego śledczego o przeprowadzenie czynności śledczych w stosunku do skarżącego w związku z przestępstwami: czterema </w:t>
      </w:r>
      <w:r w:rsidR="007223F1">
        <w:t xml:space="preserve">czynami w postaci </w:t>
      </w:r>
      <w:r>
        <w:t>przemocy domowej popełnionymi wobec jego byłej małżonki, jego dwóch córek i syna oraz jedn</w:t>
      </w:r>
      <w:r w:rsidR="007223F1">
        <w:t>ego czynu w postaci</w:t>
      </w:r>
      <w:r>
        <w:t xml:space="preserve"> zaniedbywania i znęcania się nad dzieckiem wobec jego młodszej córki Z.</w:t>
      </w:r>
      <w:r w:rsidR="00B47FA7">
        <w:t xml:space="preserve"> </w:t>
      </w:r>
      <w:r>
        <w:t>G. Tego samego dnia skarżący został przesłuchany przez sędziego śledczego tego samego sądu, w obecności E.</w:t>
      </w:r>
      <w:r w:rsidR="00B47FA7">
        <w:t xml:space="preserve"> </w:t>
      </w:r>
      <w:r>
        <w:t xml:space="preserve">H., obrońcy wybranego przez skarżącego. </w:t>
      </w:r>
      <w:r w:rsidR="00B47FA7">
        <w:t>Skarżący z</w:t>
      </w:r>
      <w:r>
        <w:t>aprzeczył stawianym mu zarzutom. Sędzia śledczy nakazał zatrzymanie skarżącego na czterdzieści osiem godzin, ponieważ istniało niebezpieczeństwo, że będzie on wywierał wpływ na świadków.</w:t>
      </w:r>
    </w:p>
    <w:p w14:paraId="01DC915B" w14:textId="382A0D66" w:rsidR="00142FDF" w:rsidRPr="001B6D09" w:rsidRDefault="00000000" w:rsidP="001B6D09">
      <w:pPr>
        <w:pStyle w:val="JuPara"/>
        <w:jc w:val="both"/>
      </w:pPr>
      <w:fldSimple w:instr=" SEQ level0 \*arabic ">
        <w:r w:rsidR="006F4160">
          <w:rPr>
            <w:noProof/>
          </w:rPr>
          <w:t>18</w:t>
        </w:r>
      </w:fldSimple>
      <w:r w:rsidR="00D57E19">
        <w:t>.  Zatrzymanie skarżącego było następnie przedłużane przez cały czas trwania śledztwa i procesu sądowego.</w:t>
      </w:r>
    </w:p>
    <w:bookmarkStart w:id="17" w:name="defence1"/>
    <w:p w14:paraId="05C106E9" w14:textId="31B10F7B" w:rsidR="0092368D" w:rsidRPr="001B6D09" w:rsidRDefault="00D57E19"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19</w:t>
      </w:r>
      <w:r w:rsidRPr="001B6D09">
        <w:fldChar w:fldCharType="end"/>
      </w:r>
      <w:bookmarkEnd w:id="17"/>
      <w:r>
        <w:t>.  W dniu 12 grudnia 2008 r. skarżący przesłał do sędziego śledczego swoją pisemną odpowiedź na zarzuty.</w:t>
      </w:r>
    </w:p>
    <w:p w14:paraId="5932CA9F" w14:textId="7EA3ED19" w:rsidR="0092368D" w:rsidRPr="001B6D09" w:rsidRDefault="00000000" w:rsidP="001B6D09">
      <w:pPr>
        <w:pStyle w:val="JuPara"/>
        <w:jc w:val="both"/>
      </w:pPr>
      <w:fldSimple w:instr=" SEQ level0 \*arabic ">
        <w:r w:rsidR="006F4160">
          <w:rPr>
            <w:noProof/>
          </w:rPr>
          <w:t>20</w:t>
        </w:r>
      </w:fldSimple>
      <w:r w:rsidR="00D57E19">
        <w:t>.  W dniu 15 grudnia 2008 r</w:t>
      </w:r>
      <w:r w:rsidR="00B47FA7">
        <w:t>.</w:t>
      </w:r>
      <w:r w:rsidR="00D57E19">
        <w:t xml:space="preserve"> sędzia śledczy wysłuchał zeznań: biegłego sądowego z zakresu psychiatrii, który przeprowadził badanie psychiatryczne skarżącego w 2005 r., prawnika z Ośrodka Pomocy Społecznej zajmującego się skarżącym i jego rodziną, oraz byłej małżonki skarżącego Mi.</w:t>
      </w:r>
      <w:r w:rsidR="00B47FA7">
        <w:t xml:space="preserve"> </w:t>
      </w:r>
      <w:r w:rsidR="00D57E19">
        <w:t>G. Ani skarżący, ani jego obrońca nie byli obecni.</w:t>
      </w:r>
    </w:p>
    <w:p w14:paraId="0C942C84" w14:textId="71CBE3BF" w:rsidR="0092368D" w:rsidRPr="001B6D09" w:rsidRDefault="00000000" w:rsidP="001B6D09">
      <w:pPr>
        <w:pStyle w:val="JuPara"/>
        <w:jc w:val="both"/>
      </w:pPr>
      <w:fldSimple w:instr=" SEQ level0 \*arabic ">
        <w:r w:rsidR="006F4160">
          <w:rPr>
            <w:noProof/>
          </w:rPr>
          <w:t>21</w:t>
        </w:r>
      </w:fldSimple>
      <w:r w:rsidR="00D57E19">
        <w:t xml:space="preserve">.  W dniu 20 stycznia 2009 r. sędzia śledczy wysłuchał zeznań syna </w:t>
      </w:r>
      <w:r w:rsidR="00B47FA7">
        <w:t>skarżącego</w:t>
      </w:r>
      <w:r w:rsidR="00D57E19">
        <w:t xml:space="preserve"> H.</w:t>
      </w:r>
      <w:r w:rsidR="00B47FA7">
        <w:t xml:space="preserve"> </w:t>
      </w:r>
      <w:r w:rsidR="00D57E19">
        <w:t>G. i jego starszej córki M.</w:t>
      </w:r>
      <w:r w:rsidR="00B47FA7">
        <w:t xml:space="preserve"> </w:t>
      </w:r>
      <w:r w:rsidR="00D57E19">
        <w:t>G. Obrońca skarżącego był obecny.</w:t>
      </w:r>
    </w:p>
    <w:p w14:paraId="2B7C8AB0" w14:textId="24567013" w:rsidR="0092368D" w:rsidRPr="001B6D09" w:rsidRDefault="00000000" w:rsidP="001B6D09">
      <w:pPr>
        <w:pStyle w:val="JuPara"/>
        <w:jc w:val="both"/>
      </w:pPr>
      <w:fldSimple w:instr=" SEQ level0 \*arabic ">
        <w:r w:rsidR="006F4160">
          <w:rPr>
            <w:noProof/>
          </w:rPr>
          <w:t>22</w:t>
        </w:r>
      </w:fldSimple>
      <w:r w:rsidR="00D57E19">
        <w:t>.  W dniu 21 stycznia 2009 r. sędzia śledczy wysłuchał zeznań młodszej córki skarżącej Z.G. Ani skarżący, ani jego obrońca nie byli obecni.</w:t>
      </w:r>
    </w:p>
    <w:bookmarkStart w:id="18" w:name="criminal_indictment"/>
    <w:p w14:paraId="63E14765" w14:textId="7A25C7CC" w:rsidR="008C21CB" w:rsidRPr="001B6D09" w:rsidRDefault="00D57E19"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23</w:t>
      </w:r>
      <w:r w:rsidRPr="001B6D09">
        <w:fldChar w:fldCharType="end"/>
      </w:r>
      <w:bookmarkEnd w:id="18"/>
      <w:r>
        <w:t>.  W dniu 26 stycznia 2009 r. Prokuratura Krajowa w</w:t>
      </w:r>
      <w:r w:rsidR="00B47FA7">
        <w:t xml:space="preserve"> </w:t>
      </w:r>
      <w:r w:rsidRPr="00F7198F">
        <w:rPr>
          <w:iCs/>
        </w:rPr>
        <w:t>Zagrzebiu</w:t>
      </w:r>
      <w:r w:rsidR="00B47FA7">
        <w:rPr>
          <w:i/>
        </w:rPr>
        <w:t xml:space="preserve"> </w:t>
      </w:r>
      <w:r w:rsidR="00064EAD">
        <w:t>złożyła do</w:t>
      </w:r>
      <w:r>
        <w:t xml:space="preserve"> Miejski</w:t>
      </w:r>
      <w:r w:rsidR="00064EAD">
        <w:t>ego</w:t>
      </w:r>
      <w:r>
        <w:t xml:space="preserve"> Sąd</w:t>
      </w:r>
      <w:r w:rsidR="00064EAD">
        <w:t>u</w:t>
      </w:r>
      <w:r>
        <w:t xml:space="preserve"> Karn</w:t>
      </w:r>
      <w:r w:rsidR="00064EAD">
        <w:t xml:space="preserve">ego </w:t>
      </w:r>
      <w:r>
        <w:rPr>
          <w:i/>
        </w:rPr>
        <w:t xml:space="preserve">w </w:t>
      </w:r>
      <w:r w:rsidRPr="00F7198F">
        <w:rPr>
          <w:iCs/>
        </w:rPr>
        <w:t>Zagrzebiu</w:t>
      </w:r>
      <w:r>
        <w:rPr>
          <w:i/>
        </w:rPr>
        <w:t xml:space="preserve"> (</w:t>
      </w:r>
      <w:proofErr w:type="spellStart"/>
      <w:r>
        <w:rPr>
          <w:i/>
        </w:rPr>
        <w:t>Općinski</w:t>
      </w:r>
      <w:proofErr w:type="spellEnd"/>
      <w:r>
        <w:rPr>
          <w:i/>
        </w:rPr>
        <w:t xml:space="preserve"> </w:t>
      </w:r>
      <w:proofErr w:type="spellStart"/>
      <w:r>
        <w:rPr>
          <w:i/>
        </w:rPr>
        <w:t>kazneni</w:t>
      </w:r>
      <w:proofErr w:type="spellEnd"/>
      <w:r>
        <w:rPr>
          <w:i/>
        </w:rPr>
        <w:t xml:space="preserve"> </w:t>
      </w:r>
      <w:proofErr w:type="spellStart"/>
      <w:r>
        <w:rPr>
          <w:i/>
        </w:rPr>
        <w:t>sud</w:t>
      </w:r>
      <w:proofErr w:type="spellEnd"/>
      <w:r>
        <w:rPr>
          <w:i/>
        </w:rPr>
        <w:t xml:space="preserve"> u </w:t>
      </w:r>
      <w:proofErr w:type="spellStart"/>
      <w:r>
        <w:rPr>
          <w:i/>
        </w:rPr>
        <w:t>Zagrebu</w:t>
      </w:r>
      <w:proofErr w:type="spellEnd"/>
      <w:r>
        <w:t xml:space="preserve">, dalej "Sąd Miejski") </w:t>
      </w:r>
      <w:r w:rsidR="00064EAD">
        <w:t>akt oskarżenia przeciwko skarżącemu zarzucając mu popełnienie czterech</w:t>
      </w:r>
      <w:r>
        <w:t xml:space="preserve"> przestępstw przemocy domowej</w:t>
      </w:r>
      <w:r w:rsidR="00064EAD">
        <w:t>,</w:t>
      </w:r>
      <w:r>
        <w:t xml:space="preserve"> określon</w:t>
      </w:r>
      <w:r w:rsidR="00064EAD">
        <w:t>ych</w:t>
      </w:r>
      <w:r>
        <w:t xml:space="preserve"> w art. 215a Kodeksu karnego, popełnion</w:t>
      </w:r>
      <w:r w:rsidR="00064EAD">
        <w:t>ych</w:t>
      </w:r>
      <w:r>
        <w:t xml:space="preserve"> wobec jego byłej małżonki, jego </w:t>
      </w:r>
      <w:r>
        <w:lastRenderedPageBreak/>
        <w:t xml:space="preserve">dwóch córek i syna; oraz </w:t>
      </w:r>
      <w:r w:rsidR="00064EAD">
        <w:t xml:space="preserve">jednego </w:t>
      </w:r>
      <w:r>
        <w:t>przestępstw</w:t>
      </w:r>
      <w:r w:rsidR="00064EAD">
        <w:t>a</w:t>
      </w:r>
      <w:r>
        <w:t xml:space="preserve"> zaniedbania i znęcania się nad dziećmi</w:t>
      </w:r>
      <w:r w:rsidR="00064EAD">
        <w:t>,</w:t>
      </w:r>
      <w:r>
        <w:t xml:space="preserve"> określonego w art. 213 Kodeksu karnego, popełnione</w:t>
      </w:r>
      <w:r w:rsidR="00064EAD">
        <w:t>go</w:t>
      </w:r>
      <w:r>
        <w:t xml:space="preserve"> wobec jego małoletniej córki Z.G. Zgodnie z aktem oskarżenia przestępstwa te zostały popełnione w okresie od lutego 2005 r. do 3 listopada 2008 r.</w:t>
      </w:r>
    </w:p>
    <w:p w14:paraId="547CD624" w14:textId="5580F30A" w:rsidR="00D57E19" w:rsidRPr="001B6D09" w:rsidRDefault="00000000" w:rsidP="001B6D09">
      <w:pPr>
        <w:pStyle w:val="JuPara"/>
        <w:jc w:val="both"/>
      </w:pPr>
      <w:fldSimple w:instr=" SEQ level0 \*arabic ">
        <w:r w:rsidR="006F4160">
          <w:rPr>
            <w:noProof/>
          </w:rPr>
          <w:t>24</w:t>
        </w:r>
      </w:fldSimple>
      <w:r w:rsidR="00D57E19">
        <w:t xml:space="preserve">.  W dniu 10 lutego 2009 r. Sąd Miejski </w:t>
      </w:r>
      <w:r w:rsidR="00064EAD">
        <w:t>orzekł o dopuszczeniu opinii</w:t>
      </w:r>
      <w:r w:rsidR="00D57E19">
        <w:t xml:space="preserve"> psychiatryczn</w:t>
      </w:r>
      <w:r w:rsidR="00064EAD">
        <w:t>ej</w:t>
      </w:r>
      <w:r w:rsidR="00D57E19">
        <w:t xml:space="preserve"> skarżącego.</w:t>
      </w:r>
    </w:p>
    <w:bookmarkStart w:id="19" w:name="defence2"/>
    <w:p w14:paraId="30ED09C1" w14:textId="51133343" w:rsidR="001B3726" w:rsidRPr="001B6D09" w:rsidRDefault="002021FB"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25</w:t>
      </w:r>
      <w:r w:rsidRPr="001B6D09">
        <w:fldChar w:fldCharType="end"/>
      </w:r>
      <w:bookmarkEnd w:id="19"/>
      <w:r>
        <w:t>.  W dniu 23 lutego 2009 r. skarżący przedłożył dodatkową pisemną odpowiedź na zarzuty.</w:t>
      </w:r>
    </w:p>
    <w:p w14:paraId="51374755" w14:textId="1A8960E8" w:rsidR="002021FB" w:rsidRPr="001B6D09" w:rsidRDefault="00000000" w:rsidP="001B6D09">
      <w:pPr>
        <w:pStyle w:val="JuPara"/>
        <w:jc w:val="both"/>
      </w:pPr>
      <w:fldSimple w:instr=" SEQ level0 \*arabic ">
        <w:r w:rsidR="006F4160">
          <w:rPr>
            <w:noProof/>
          </w:rPr>
          <w:t>26</w:t>
        </w:r>
      </w:fldSimple>
      <w:r w:rsidR="002021FB">
        <w:t xml:space="preserve">.  W dniu 10 marca 2009 r. psychiatra przedstawił </w:t>
      </w:r>
      <w:r w:rsidR="00064EAD">
        <w:t xml:space="preserve">opinię </w:t>
      </w:r>
      <w:r w:rsidR="002021FB">
        <w:t>dotycząc</w:t>
      </w:r>
      <w:r w:rsidR="00064EAD">
        <w:t>ą</w:t>
      </w:r>
      <w:r w:rsidR="002021FB">
        <w:t xml:space="preserve"> skarżącego, w któr</w:t>
      </w:r>
      <w:r w:rsidR="00064EAD">
        <w:t>ej</w:t>
      </w:r>
      <w:r w:rsidR="002021FB">
        <w:t xml:space="preserve"> stwierdził, że w czasie zarzucanych mu przestępstw jego zdolność do rozumienia swoich czynów była ograniczona, ale nie </w:t>
      </w:r>
      <w:r w:rsidR="00054E16">
        <w:br/>
      </w:r>
      <w:r w:rsidR="002021FB">
        <w:t>w znacznym stopniu.</w:t>
      </w:r>
    </w:p>
    <w:bookmarkStart w:id="20" w:name="defence3"/>
    <w:p w14:paraId="50B878CC" w14:textId="7E43B7C2" w:rsidR="002021FB" w:rsidRPr="001B6D09" w:rsidRDefault="002021FB"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27</w:t>
      </w:r>
      <w:r w:rsidRPr="001B6D09">
        <w:fldChar w:fldCharType="end"/>
      </w:r>
      <w:bookmarkEnd w:id="20"/>
      <w:r>
        <w:t>.  W dniu 11 marca 2009 r. skarżący przedłożył dodatkową pisemną odpowiedź na zarzuty.</w:t>
      </w:r>
    </w:p>
    <w:bookmarkStart w:id="21" w:name="defence4"/>
    <w:p w14:paraId="4A1B69D1" w14:textId="3CC8F1F5" w:rsidR="001B3726" w:rsidRPr="001B6D09" w:rsidRDefault="002021FB"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28</w:t>
      </w:r>
      <w:r w:rsidRPr="001B6D09">
        <w:fldChar w:fldCharType="end"/>
      </w:r>
      <w:bookmarkEnd w:id="21"/>
      <w:r>
        <w:t>.  W dniu 17 marca 2009 r. skarżący przedstawił pisemne „argumenty końcowe”.</w:t>
      </w:r>
    </w:p>
    <w:p w14:paraId="4C713790" w14:textId="23576FA9" w:rsidR="001B3726" w:rsidRPr="001B6D09" w:rsidRDefault="00000000" w:rsidP="001B6D09">
      <w:pPr>
        <w:pStyle w:val="JuPara"/>
        <w:jc w:val="both"/>
      </w:pPr>
      <w:fldSimple w:instr=" SEQ level0 \*arabic ">
        <w:r w:rsidR="006F4160">
          <w:rPr>
            <w:noProof/>
          </w:rPr>
          <w:t>29</w:t>
        </w:r>
      </w:fldSimple>
      <w:r w:rsidR="002021FB">
        <w:t>.  Na rozprawie, która odbyła się przed Sądem Miejskim 24 marca 2009 r., skarżący złożył wyjaśnienia, a trzech świadków złożyło zeznania.</w:t>
      </w:r>
    </w:p>
    <w:bookmarkStart w:id="22" w:name="defence5"/>
    <w:p w14:paraId="189762A6" w14:textId="2A11EDA8" w:rsidR="00F1645C" w:rsidRPr="001B6D09" w:rsidRDefault="00F1645C"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30</w:t>
      </w:r>
      <w:r w:rsidRPr="001B6D09">
        <w:fldChar w:fldCharType="end"/>
      </w:r>
      <w:bookmarkEnd w:id="22"/>
      <w:r>
        <w:t>.  W dniu 19 maja 2009 r. skarżący przedłożył dodatkową pisemną odpowiedź na zarzuty.</w:t>
      </w:r>
    </w:p>
    <w:p w14:paraId="02B03B92" w14:textId="6A9E60CA" w:rsidR="004F481D" w:rsidRPr="001B6D09" w:rsidRDefault="00000000" w:rsidP="001B6D09">
      <w:pPr>
        <w:pStyle w:val="JuPara"/>
        <w:jc w:val="both"/>
      </w:pPr>
      <w:fldSimple w:instr=" SEQ level0 \*arabic ">
        <w:r w:rsidR="006F4160">
          <w:rPr>
            <w:noProof/>
          </w:rPr>
          <w:t>31</w:t>
        </w:r>
      </w:fldSimple>
      <w:r w:rsidR="00F1645C">
        <w:t xml:space="preserve">.  Kolejne </w:t>
      </w:r>
      <w:r w:rsidR="00F3324F">
        <w:t xml:space="preserve">terminy </w:t>
      </w:r>
      <w:r w:rsidR="00F1645C">
        <w:t xml:space="preserve">rozprawy odbyły się 2 i 23 czerwca oraz 7 i 14 lipca 2009 r. </w:t>
      </w:r>
      <w:r w:rsidR="00094FC2">
        <w:t>Przesłuchano</w:t>
      </w:r>
      <w:r w:rsidR="00F1645C">
        <w:t xml:space="preserve"> kilku świadków </w:t>
      </w:r>
      <w:r w:rsidR="00094FC2">
        <w:t xml:space="preserve">i </w:t>
      </w:r>
      <w:r w:rsidR="00F1645C">
        <w:t>biegł</w:t>
      </w:r>
      <w:r w:rsidR="00094FC2">
        <w:t>ego</w:t>
      </w:r>
      <w:r w:rsidR="00F1645C">
        <w:t xml:space="preserve"> z zakresu psychiatrii.</w:t>
      </w:r>
    </w:p>
    <w:p w14:paraId="554EEBF2" w14:textId="58F40AC2" w:rsidR="001B3726" w:rsidRPr="001B6D09" w:rsidRDefault="00000000" w:rsidP="001B6D09">
      <w:pPr>
        <w:pStyle w:val="JuPara"/>
        <w:jc w:val="both"/>
      </w:pPr>
      <w:fldSimple w:instr=" SEQ level0 \*arabic ">
        <w:r w:rsidR="006F4160">
          <w:rPr>
            <w:noProof/>
          </w:rPr>
          <w:t>32</w:t>
        </w:r>
      </w:fldSimple>
      <w:r w:rsidR="00F1645C">
        <w:t xml:space="preserve">.  W dniu 15 czerwca 2009 r. skarżący zwrócił się do sądu z wnioskiem o </w:t>
      </w:r>
      <w:r w:rsidR="00094FC2">
        <w:t>udostępnienie</w:t>
      </w:r>
      <w:r w:rsidR="00F1645C">
        <w:t xml:space="preserve"> akt sprawy. Sąd przychylił się do jego wniosku.</w:t>
      </w:r>
    </w:p>
    <w:bookmarkStart w:id="23" w:name="criminal_judgment"/>
    <w:bookmarkStart w:id="24" w:name="second_criminal_judgment"/>
    <w:p w14:paraId="56C942CA" w14:textId="3FA7CC73" w:rsidR="008C21CB" w:rsidRPr="001B6D09" w:rsidRDefault="00071D6F"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33</w:t>
      </w:r>
      <w:r w:rsidRPr="001B6D09">
        <w:fldChar w:fldCharType="end"/>
      </w:r>
      <w:bookmarkEnd w:id="23"/>
      <w:bookmarkEnd w:id="24"/>
      <w:r>
        <w:t xml:space="preserve">.  Wyrokiem z 14 lipca 2009 r. Sąd Miejski uznał skarżącego za winnego zaniedbania </w:t>
      </w:r>
      <w:r w:rsidR="00094FC2">
        <w:t>i</w:t>
      </w:r>
      <w:r>
        <w:t xml:space="preserve"> znęcania się nad małoletnią wówczas córką Z.G. </w:t>
      </w:r>
      <w:r w:rsidR="00094FC2">
        <w:br/>
      </w:r>
      <w:r>
        <w:t xml:space="preserve">i wymierzył mu karę dziesięciu miesięcy pozbawienia wolności. Skarżący został również uznany za winnego </w:t>
      </w:r>
      <w:r w:rsidR="00094FC2">
        <w:t xml:space="preserve">łącznie </w:t>
      </w:r>
      <w:r>
        <w:t xml:space="preserve">czterech </w:t>
      </w:r>
      <w:r w:rsidR="00094FC2">
        <w:t>przestępstw</w:t>
      </w:r>
      <w:r>
        <w:t xml:space="preserve"> przemocy domowej wobec: </w:t>
      </w:r>
      <w:r w:rsidR="00094FC2">
        <w:t xml:space="preserve">jego </w:t>
      </w:r>
      <w:r>
        <w:t>córki Z.</w:t>
      </w:r>
      <w:r w:rsidR="00094FC2">
        <w:t xml:space="preserve"> </w:t>
      </w:r>
      <w:r>
        <w:t>G., za co wymierzono my karę sześciu miesięcy pozbawienia wolności</w:t>
      </w:r>
      <w:r w:rsidR="00094FC2">
        <w:t>,</w:t>
      </w:r>
      <w:r>
        <w:t xml:space="preserve"> </w:t>
      </w:r>
      <w:r w:rsidR="00094FC2">
        <w:t>jego</w:t>
      </w:r>
      <w:r>
        <w:t xml:space="preserve"> córki M.</w:t>
      </w:r>
      <w:r w:rsidR="00094FC2">
        <w:t xml:space="preserve"> </w:t>
      </w:r>
      <w:r>
        <w:t>G., za co wymierzono mu karę dziewięciu miesięcy pozbawienia wolności</w:t>
      </w:r>
      <w:r w:rsidR="00094FC2">
        <w:t>, jego</w:t>
      </w:r>
      <w:r>
        <w:t xml:space="preserve"> syna H.</w:t>
      </w:r>
      <w:r w:rsidR="00094FC2">
        <w:t xml:space="preserve"> </w:t>
      </w:r>
      <w:r>
        <w:t xml:space="preserve">G., za co wymierzono mu karę siedmiu miesięcy pozbawienia wolności </w:t>
      </w:r>
      <w:r w:rsidR="00094FC2">
        <w:t>i jego</w:t>
      </w:r>
      <w:r>
        <w:t xml:space="preserve"> byłej małżonki Mi.</w:t>
      </w:r>
      <w:r w:rsidR="00094FC2">
        <w:t xml:space="preserve"> </w:t>
      </w:r>
      <w:r>
        <w:t xml:space="preserve">G., za co wymierzono mu karę jednego roku pozbawienia wolności. Przy tym jego kara dwóch lat pozbawienia wolności w zawieszeniu wymierzona w poprzednim postępowaniu karnym, została uchylona (zob. par. </w:t>
      </w:r>
      <w:r w:rsidR="000D7F5B" w:rsidRPr="001B6D09">
        <w:fldChar w:fldCharType="begin"/>
      </w:r>
      <w:r w:rsidR="000D7F5B" w:rsidRPr="001B6D09">
        <w:instrText xml:space="preserve"> REF first_criminal_judgment_2002to2005 \h </w:instrText>
      </w:r>
      <w:r w:rsidR="005B12FD" w:rsidRPr="001B6D09">
        <w:instrText xml:space="preserve"> \* MERGEFORMAT </w:instrText>
      </w:r>
      <w:r w:rsidR="000D7F5B" w:rsidRPr="001B6D09">
        <w:fldChar w:fldCharType="separate"/>
      </w:r>
      <w:r w:rsidR="006F4160">
        <w:t>5</w:t>
      </w:r>
      <w:r w:rsidR="000D7F5B" w:rsidRPr="001B6D09">
        <w:fldChar w:fldCharType="end"/>
      </w:r>
      <w:r>
        <w:t xml:space="preserve"> powyżej) i skarżący został skazany na karę łączną pięciu lat pozbawienia wolności. Zastosowano wobec niego również środek zabezpieczający w postaci przymusowego leczenia z uzależnienia od alkoholu. Odpowiednia część wyroku brzmi:</w:t>
      </w:r>
    </w:p>
    <w:p w14:paraId="02141CD3" w14:textId="573BA1BC" w:rsidR="00063FD6" w:rsidRPr="001B6D09" w:rsidRDefault="00807602" w:rsidP="001B6D09">
      <w:pPr>
        <w:pStyle w:val="JuQuot"/>
        <w:jc w:val="both"/>
      </w:pPr>
      <w:r>
        <w:t xml:space="preserve">„Oskarżony </w:t>
      </w:r>
      <w:proofErr w:type="spellStart"/>
      <w:r>
        <w:t>Miljenko</w:t>
      </w:r>
      <w:proofErr w:type="spellEnd"/>
      <w:r>
        <w:t xml:space="preserve"> </w:t>
      </w:r>
      <w:proofErr w:type="spellStart"/>
      <w:r>
        <w:t>Galović</w:t>
      </w:r>
      <w:proofErr w:type="spellEnd"/>
      <w:r>
        <w:t xml:space="preserve"> jest winny tego, że w okresie od lutego 2005 r. do </w:t>
      </w:r>
      <w:r w:rsidR="00A477AA">
        <w:br/>
      </w:r>
      <w:r>
        <w:t>3 listopada 2008 r. w [...],</w:t>
      </w:r>
      <w:r w:rsidR="00A477AA">
        <w:t xml:space="preserve"> </w:t>
      </w:r>
      <w:r>
        <w:t xml:space="preserve">w mieszkaniu, w którym zamieszkiwał we wspólnym gospodarstwie domowym z małoletnią córką Z., [...], </w:t>
      </w:r>
      <w:r w:rsidR="00A477AA">
        <w:t xml:space="preserve">dorosłą </w:t>
      </w:r>
      <w:r>
        <w:t xml:space="preserve">córką M. [...] </w:t>
      </w:r>
      <w:r w:rsidR="00A477AA">
        <w:br/>
      </w:r>
      <w:r>
        <w:t xml:space="preserve">i </w:t>
      </w:r>
      <w:r w:rsidR="00A477AA">
        <w:t xml:space="preserve">dorosłym </w:t>
      </w:r>
      <w:r>
        <w:t xml:space="preserve">synem H., jako konkubent Mi. G., [będąc] często pod wpływem alkoholu </w:t>
      </w:r>
      <w:r w:rsidR="00396924">
        <w:br/>
      </w:r>
      <w:r>
        <w:t xml:space="preserve">w obecności małoletniej Z., mimo iż wiedział, że może narazić jej rozwój psychofizyczny na </w:t>
      </w:r>
      <w:r w:rsidR="00396924">
        <w:t>ryzyko</w:t>
      </w:r>
      <w:r>
        <w:t xml:space="preserve">, stosował przemoc słowną i fizyczną wobec swojej </w:t>
      </w:r>
      <w:r>
        <w:lastRenderedPageBreak/>
        <w:t xml:space="preserve">konkubiny Mi. i </w:t>
      </w:r>
      <w:r w:rsidR="00396924">
        <w:t xml:space="preserve">dorosłych </w:t>
      </w:r>
      <w:r>
        <w:t xml:space="preserve">dzieci, wulgarnie </w:t>
      </w:r>
      <w:r w:rsidR="00396924">
        <w:t xml:space="preserve">nazywając </w:t>
      </w:r>
      <w:r>
        <w:t>konkubinę „</w:t>
      </w:r>
      <w:r w:rsidR="00396924">
        <w:t>k</w:t>
      </w:r>
      <w:r>
        <w:t>urw</w:t>
      </w:r>
      <w:r w:rsidR="00396924">
        <w:t>ą</w:t>
      </w:r>
      <w:r>
        <w:t xml:space="preserve"> i dziwk</w:t>
      </w:r>
      <w:r w:rsidR="008D25C8">
        <w:t>ą</w:t>
      </w:r>
      <w:r>
        <w:t>”, przeklinając jej matkę, grożąc, że ją zabije i sprzeda, a także atakując ją fizycznie</w:t>
      </w:r>
      <w:r w:rsidR="008D25C8">
        <w:t xml:space="preserve"> poprzez</w:t>
      </w:r>
      <w:r>
        <w:t xml:space="preserve"> policzk</w:t>
      </w:r>
      <w:r w:rsidR="008D25C8">
        <w:t>owanie</w:t>
      </w:r>
      <w:r>
        <w:t>, ciągn</w:t>
      </w:r>
      <w:r w:rsidR="008D25C8">
        <w:t>ięcie</w:t>
      </w:r>
      <w:r>
        <w:t xml:space="preserve"> za włosy i rzuca</w:t>
      </w:r>
      <w:r w:rsidR="008D25C8">
        <w:t>nie</w:t>
      </w:r>
      <w:r>
        <w:t xml:space="preserve"> na ziemię – wszystko to </w:t>
      </w:r>
      <w:r w:rsidR="008D25C8">
        <w:br/>
      </w:r>
      <w:r>
        <w:t>w obecności małoletniej Z. oraz jego córki M. i syna H.</w:t>
      </w:r>
      <w:r w:rsidR="008D25C8">
        <w:t>, a ponadto</w:t>
      </w:r>
      <w:r>
        <w:t xml:space="preserve"> [groził] wyrzuceniem </w:t>
      </w:r>
      <w:r w:rsidR="00D62AE1">
        <w:t xml:space="preserve">konkubiny Mi. i dzieci </w:t>
      </w:r>
      <w:r>
        <w:t xml:space="preserve">z mieszkania oraz groził, że ich zabije, a pewnego razu w grudniu 2007 r. wziął nóż kuchenny i przyłożył go do gardła konkubiny Mi. </w:t>
      </w:r>
      <w:r w:rsidR="00D62AE1">
        <w:br/>
      </w:r>
      <w:r>
        <w:t xml:space="preserve">i powiedział jej, że musi wysłać agentów [organów ścigania przestępczości zorganizowanej] na poszukiwanie go w barach, </w:t>
      </w:r>
      <w:r w:rsidR="00D62AE1">
        <w:t>nadto</w:t>
      </w:r>
      <w:r>
        <w:t xml:space="preserve"> rzucił się na [konkubinę], wymachując nożem</w:t>
      </w:r>
      <w:r w:rsidR="00D62AE1">
        <w:t>,</w:t>
      </w:r>
      <w:r>
        <w:t xml:space="preserve">; obrażał swoją córkę M. mówiąc, że jest „kurwą, szmatą i dziwką z </w:t>
      </w:r>
      <w:proofErr w:type="spellStart"/>
      <w:r>
        <w:t>Moslaviny</w:t>
      </w:r>
      <w:proofErr w:type="spellEnd"/>
      <w:r>
        <w:t xml:space="preserve">” i żeby poszła do swojego kochasia, a także znieważył swojego syna H. mówiąc mu, że jest „imbecylem, idiotą”, przeklinał jego matkę i powiedział do niego „zrób mi </w:t>
      </w:r>
      <w:proofErr w:type="spellStart"/>
      <w:r>
        <w:t>loda</w:t>
      </w:r>
      <w:proofErr w:type="spellEnd"/>
      <w:r>
        <w:t xml:space="preserve">” i jednocześnie popchnął H. To spowodowało, że H. wyprowadził się </w:t>
      </w:r>
      <w:r w:rsidR="003F2026">
        <w:br/>
      </w:r>
      <w:r>
        <w:t xml:space="preserve">z mieszkania na początku 2007 r. [Oskarżony] często mówił małoletniej Z., że jest „tłustą świnią”, że „nikt jej nie przeleci” i że jest „grubą dziwką”. Złapał ją za głowę i wypchnął z mieszkania, a gdy Z. osiągnęła pełnoletność, nadal traktował ją w ten sam sposób. Kulminacją tego zachowania były [wydarzenia] </w:t>
      </w:r>
      <w:r w:rsidR="00983A04">
        <w:t>z</w:t>
      </w:r>
      <w:r>
        <w:t xml:space="preserve"> 3 listopada 2008 r., kiedy oskarżony zaatakował słownie swoją konkubinę Mi. i córkę M., nazywając je „kurwami i dziwkami”, a kiedy jego konkubina Mi. została z nim sama w mieszkaniu, ponownie zaatakował ją słownie, mówiąc jej, że jest kurwą i że to z jej powodu został zwolniony z pracy, [oraz] że wyrzuci ją z domu i zabije. Następnie napadł na nią fizycznie, chwytając ją za włosy, rzucając na łóżko i uderzając w głowę, po czym nadal ją obrażał, mówiąc jej, że jest „głupią kurwą z </w:t>
      </w:r>
      <w:proofErr w:type="spellStart"/>
      <w:r>
        <w:t>Moslaviny</w:t>
      </w:r>
      <w:proofErr w:type="spellEnd"/>
      <w:r>
        <w:t xml:space="preserve"> i </w:t>
      </w:r>
      <w:proofErr w:type="spellStart"/>
      <w:r>
        <w:t>Zagorja</w:t>
      </w:r>
      <w:proofErr w:type="spellEnd"/>
      <w:r>
        <w:t xml:space="preserve">”. Wskutek uderzeń krwawiło jej ucho, a [oskarżony] groził jej, mówiąc, że jeśli zadzwoni na policję, to ją zabije. Kiedy ich córka M. wróciła do domu tego samego dnia, wszedł do jej pokoju </w:t>
      </w:r>
      <w:r w:rsidR="003F2026">
        <w:br/>
      </w:r>
      <w:r>
        <w:t xml:space="preserve">i powiedział do niej „dziwko, ty kurwo, przez ciebie straciłem pracę, wynoś się </w:t>
      </w:r>
      <w:r w:rsidR="003F2026">
        <w:br/>
      </w:r>
      <w:r>
        <w:t xml:space="preserve">z domu”, po czym chodził za nią po domu i dalej ją obrażał. Zachowanie to powodowało częste interwencje policji, a oskarżony swoim zachowaniem naraził na </w:t>
      </w:r>
      <w:r w:rsidR="003F2026">
        <w:t xml:space="preserve">ryzyko </w:t>
      </w:r>
      <w:r>
        <w:t>prawidłowy rozwój psychofizyczny swojej małoletniej córki Z. [Z.] leczy się psychiatrycznie z powodu zachowania oskarżonego [...], a z powodu [jego zachowania] córka M., syn H. i konkubina Mi. obawiali się o swoje życie i zdrowie [i] doświadczali niepokoju [w związku z tym].</w:t>
      </w:r>
    </w:p>
    <w:p w14:paraId="58A26B2C" w14:textId="4EF964EA" w:rsidR="00063FD6" w:rsidRPr="001B6D09" w:rsidRDefault="001B3726" w:rsidP="001B6D09">
      <w:pPr>
        <w:pStyle w:val="JuQuot"/>
        <w:jc w:val="both"/>
      </w:pPr>
      <w:r>
        <w:t>[…]</w:t>
      </w:r>
    </w:p>
    <w:p w14:paraId="69F64A61" w14:textId="34387CBB" w:rsidR="00DF738C" w:rsidRPr="001B6D09" w:rsidRDefault="00DF738C" w:rsidP="001B6D09">
      <w:pPr>
        <w:pStyle w:val="JuQuot"/>
        <w:jc w:val="both"/>
      </w:pPr>
      <w:r>
        <w:t xml:space="preserve">W toku postępowania sąd zapoznał się [...] z protokołem badania </w:t>
      </w:r>
      <w:r w:rsidR="00D46CDB">
        <w:t>zawartości</w:t>
      </w:r>
      <w:r>
        <w:t xml:space="preserve"> alkoholu we krwi [z 4 listopada 2008 r.] [...], wyrokiem sądu do spraw wykroczeń w Zagrzebiu [z 4 listopada 2008 r.] [...], dokumentacją medyczną dotyczącą Mi.</w:t>
      </w:r>
      <w:r w:rsidR="00D46CDB">
        <w:t xml:space="preserve"> </w:t>
      </w:r>
      <w:r>
        <w:t>G. [</w:t>
      </w:r>
      <w:r w:rsidR="00D46CDB">
        <w:t>odnoszącą się do</w:t>
      </w:r>
      <w:r>
        <w:t xml:space="preserve"> incydentu z 3 listopada 2008 r.]...</w:t>
      </w:r>
    </w:p>
    <w:p w14:paraId="28906273" w14:textId="7467D8FB" w:rsidR="00DF738C" w:rsidRPr="001B6D09" w:rsidRDefault="001B3726" w:rsidP="001B6D09">
      <w:pPr>
        <w:pStyle w:val="JuQuot"/>
        <w:jc w:val="both"/>
      </w:pPr>
      <w:r>
        <w:t>[…]</w:t>
      </w:r>
    </w:p>
    <w:p w14:paraId="79C1D9EA" w14:textId="7A1DA8DA" w:rsidR="00567A42" w:rsidRPr="001B6D09" w:rsidRDefault="00063FD6" w:rsidP="001B6D09">
      <w:pPr>
        <w:pStyle w:val="JuQuot"/>
        <w:jc w:val="both"/>
      </w:pPr>
      <w:r>
        <w:t>W odniesieniu do przestępstw przemocy domowej z art. 215a Kodeksu karnego popełnionych wobec Z.</w:t>
      </w:r>
      <w:r w:rsidR="00D46CDB">
        <w:t xml:space="preserve"> </w:t>
      </w:r>
      <w:r>
        <w:t>G., M.</w:t>
      </w:r>
      <w:r w:rsidR="00D46CDB">
        <w:t xml:space="preserve"> </w:t>
      </w:r>
      <w:r>
        <w:t>G., Mi.</w:t>
      </w:r>
      <w:r w:rsidR="00D46CDB">
        <w:t xml:space="preserve"> </w:t>
      </w:r>
      <w:r>
        <w:t>G. i H.</w:t>
      </w:r>
      <w:r w:rsidR="00D46CDB">
        <w:t xml:space="preserve"> </w:t>
      </w:r>
      <w:r>
        <w:t xml:space="preserve">G. sąd ustalił, że w okresie objętym zarzutami [skarżący] poprzez swoje wyjątkowo brutalne, agresywne i bezwzględne zachowanie stawiał członków swojej rodziny w upokarzającej sytuacji, zagrażając im słownie i fizycznie, atakując i grożąc, co wynika z zeznań wszystkich przesłuchanych świadków oraz z </w:t>
      </w:r>
      <w:r w:rsidR="00FE2B6E">
        <w:t>dowodów rzeczowych znajdujących</w:t>
      </w:r>
      <w:r>
        <w:t xml:space="preserve"> się w aktach sprawy. O powadze </w:t>
      </w:r>
      <w:proofErr w:type="spellStart"/>
      <w:r>
        <w:t>zachowań</w:t>
      </w:r>
      <w:proofErr w:type="spellEnd"/>
      <w:r>
        <w:t xml:space="preserve"> [skarżącego] świadczy również fakt, że [członkowie jego rodziny] </w:t>
      </w:r>
      <w:r w:rsidR="00FE2B6E">
        <w:t>cierpieli z ich powodu</w:t>
      </w:r>
      <w:r>
        <w:t xml:space="preserve"> od 1995 r., że jego starsza córka M.</w:t>
      </w:r>
      <w:r w:rsidR="00FE2B6E">
        <w:t xml:space="preserve"> </w:t>
      </w:r>
      <w:r>
        <w:t>G. stwierdziła, że myślała, że [jego zachowanie] nie było karalne, dopóki ich nie bił, oraz okoliczność, że ofiary wezwały policję dopiero wówczas, gdy sytuacja stała się nie do zniesienia z powodu ciągłego strachu powodowanego agresywnym zachowaniem [skarżącego]. Ani cała seria wyroków skazujących za wykroczenia, ani wcześniejsze skazanie za takie same przestępstwa nie spowodowały zmiany w zachowaniu [skarżącego]</w:t>
      </w:r>
      <w:r w:rsidR="00FE2B6E">
        <w:t>, a zamiast tego</w:t>
      </w:r>
      <w:r>
        <w:t xml:space="preserve"> </w:t>
      </w:r>
      <w:r w:rsidR="00054E16">
        <w:br/>
      </w:r>
      <w:r w:rsidR="00FE2B6E">
        <w:lastRenderedPageBreak/>
        <w:t xml:space="preserve">3 listopada 2008 r. nastąpiło </w:t>
      </w:r>
      <w:r>
        <w:t>apogeum</w:t>
      </w:r>
      <w:r w:rsidR="00860B02">
        <w:t>,</w:t>
      </w:r>
      <w:r>
        <w:t xml:space="preserve"> kiedy Mi.</w:t>
      </w:r>
      <w:r w:rsidR="00860B02">
        <w:t xml:space="preserve"> </w:t>
      </w:r>
      <w:r>
        <w:t xml:space="preserve">G. opuściła dom rodzinny w obawie </w:t>
      </w:r>
      <w:r w:rsidR="00860B02">
        <w:br/>
      </w:r>
      <w:r>
        <w:t>o własne życie.</w:t>
      </w:r>
    </w:p>
    <w:p w14:paraId="7CD7D353" w14:textId="3512C810" w:rsidR="0083499D" w:rsidRPr="001B6D09" w:rsidRDefault="001B3726" w:rsidP="001B6D09">
      <w:pPr>
        <w:pStyle w:val="JuQuot"/>
        <w:jc w:val="both"/>
      </w:pPr>
      <w:r>
        <w:t>[…]</w:t>
      </w:r>
    </w:p>
    <w:p w14:paraId="4D28463B" w14:textId="666F8A6C" w:rsidR="001B3726" w:rsidRPr="001B6D09" w:rsidRDefault="0083499D" w:rsidP="001B6D09">
      <w:pPr>
        <w:pStyle w:val="JuQuot"/>
        <w:jc w:val="both"/>
      </w:pPr>
      <w:r>
        <w:t xml:space="preserve">Na poczet [wyżej określonej] kary pozbawienia wolności zalicza się [skarżącemu] okres </w:t>
      </w:r>
      <w:r w:rsidR="00860B02">
        <w:t xml:space="preserve">odbywania </w:t>
      </w:r>
      <w:r>
        <w:t>kary orzecz</w:t>
      </w:r>
      <w:r w:rsidR="00860B02">
        <w:t>onej przez</w:t>
      </w:r>
      <w:r>
        <w:t xml:space="preserve"> sąd do spraw wykroczeń w Zagrzebiu [z 10 stycznia 2008 r.] w dniach od 11 do 16 stycznia 2008 r. oraz [</w:t>
      </w:r>
      <w:r w:rsidR="00860B02">
        <w:t>orzeczonej przez ten sąd</w:t>
      </w:r>
      <w:r>
        <w:t xml:space="preserve"> 17 listopada 2008 r.] w dniach od 5 listopada do 2 grudnia 2008 r. [...]”</w:t>
      </w:r>
    </w:p>
    <w:p w14:paraId="7BD8B2B7" w14:textId="601E4DB0" w:rsidR="00D80EC9" w:rsidRPr="001B6D09" w:rsidRDefault="00000000" w:rsidP="001B6D09">
      <w:pPr>
        <w:pStyle w:val="JuPara"/>
        <w:jc w:val="both"/>
      </w:pPr>
      <w:fldSimple w:instr=" SEQ level0 \*arabic ">
        <w:r w:rsidR="006F4160">
          <w:rPr>
            <w:noProof/>
          </w:rPr>
          <w:t>34</w:t>
        </w:r>
      </w:fldSimple>
      <w:r w:rsidR="00D80EC9">
        <w:t>.  Wyrok sądu pierwszej instancji został doręczony adwokatowi skarżącego E</w:t>
      </w:r>
      <w:r w:rsidR="00860B02">
        <w:t xml:space="preserve"> </w:t>
      </w:r>
      <w:r w:rsidR="00D80EC9">
        <w:t>.H. 13 sierpnia 2009 r.</w:t>
      </w:r>
    </w:p>
    <w:p w14:paraId="434D047A" w14:textId="4C9DA773" w:rsidR="00680587" w:rsidRPr="001B6D09" w:rsidRDefault="00000000" w:rsidP="001B6D09">
      <w:pPr>
        <w:pStyle w:val="JuPara"/>
        <w:jc w:val="both"/>
      </w:pPr>
      <w:fldSimple w:instr=" SEQ level0 \*arabic ">
        <w:r w:rsidR="006F4160">
          <w:rPr>
            <w:noProof/>
          </w:rPr>
          <w:t>35</w:t>
        </w:r>
      </w:fldSimple>
      <w:r w:rsidR="00680587">
        <w:t>.  Skarżący pozostał w areszcie.</w:t>
      </w:r>
    </w:p>
    <w:bookmarkStart w:id="25" w:name="appeal_applicant"/>
    <w:p w14:paraId="373D7310" w14:textId="66AB6507" w:rsidR="001B3726" w:rsidRPr="001B6D09" w:rsidRDefault="00071D6F"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36</w:t>
      </w:r>
      <w:r w:rsidRPr="001B6D09">
        <w:fldChar w:fldCharType="end"/>
      </w:r>
      <w:bookmarkEnd w:id="25"/>
      <w:r>
        <w:t>.  W dniu 19 sierpnia 2009 r. skarżący odwołał się od wyroku pierwszej instancji i wniósł o przeprowadzenie rozprawy. Zarzucił błędną ocenę stanu faktycznego i niewłaściwe zastosowanie prawa krajowego w jego sprawie.</w:t>
      </w:r>
    </w:p>
    <w:p w14:paraId="3E60B8A2" w14:textId="613FEFD6" w:rsidR="001B3726" w:rsidRPr="001B6D09" w:rsidRDefault="00000000" w:rsidP="001B6D09">
      <w:pPr>
        <w:pStyle w:val="JuPara"/>
        <w:jc w:val="both"/>
      </w:pPr>
      <w:fldSimple w:instr=" SEQ level0 \*arabic ">
        <w:r w:rsidR="006F4160">
          <w:rPr>
            <w:noProof/>
          </w:rPr>
          <w:t>37</w:t>
        </w:r>
      </w:fldSimple>
      <w:r w:rsidR="007E2AC0">
        <w:t xml:space="preserve">.  Pismem z tej samej daty, które wpłynęło do sądu pierwszej instancji dzień później, skarżący odwołał pełnomocnictwo udzielone adwokatowi </w:t>
      </w:r>
      <w:r w:rsidR="00860B02">
        <w:br/>
      </w:r>
      <w:r w:rsidR="007E2AC0">
        <w:t>E.</w:t>
      </w:r>
      <w:r w:rsidR="00860B02">
        <w:t xml:space="preserve"> </w:t>
      </w:r>
      <w:r w:rsidR="007E2AC0">
        <w:t>H.</w:t>
      </w:r>
    </w:p>
    <w:p w14:paraId="21E20A5B" w14:textId="05974DD4" w:rsidR="001B3726" w:rsidRPr="001B6D09" w:rsidRDefault="00000000" w:rsidP="001B6D09">
      <w:pPr>
        <w:pStyle w:val="JuPara"/>
        <w:jc w:val="both"/>
      </w:pPr>
      <w:fldSimple w:instr=" SEQ level0 \*arabic ">
        <w:r w:rsidR="006F4160">
          <w:rPr>
            <w:noProof/>
          </w:rPr>
          <w:t>38</w:t>
        </w:r>
      </w:fldSimple>
      <w:r w:rsidR="00EC5D88">
        <w:t>.  W dniu 24 sierpnia 2009 r. skarżący wysłał pismo do Sądu Miejskiego, w którym oznajmił, że potrzebuje nowego obrońcy. Przedstawił listę ośmiu prawników i poprosił o możliwość skontaktowania się z nimi telefonicznie. Pismo to wpłynęło do Sądu Miejskiego 25 sierpnia 2009 r.</w:t>
      </w:r>
    </w:p>
    <w:p w14:paraId="611D8DA5" w14:textId="36167476" w:rsidR="00EC5D88" w:rsidRPr="001B6D09" w:rsidRDefault="00000000" w:rsidP="001B6D09">
      <w:pPr>
        <w:pStyle w:val="JuPara"/>
        <w:jc w:val="both"/>
      </w:pPr>
      <w:fldSimple w:instr=" SEQ level0 \*arabic ">
        <w:r w:rsidR="006F4160">
          <w:rPr>
            <w:noProof/>
          </w:rPr>
          <w:t>39</w:t>
        </w:r>
      </w:fldSimple>
      <w:r w:rsidR="00EC5D88">
        <w:t xml:space="preserve">.  Kolejnym pismem z 25 sierpnia 2009 r. skarżący poinformował Sąd Miejski, że odwołał pełnomocnictwo udzielone E.H. i poprosił </w:t>
      </w:r>
      <w:r w:rsidR="00DC6A7C">
        <w:br/>
      </w:r>
      <w:r w:rsidR="00EC5D88">
        <w:t xml:space="preserve">o umożliwienie mu kontaktu telefonicznego z czterema innymi prawnikami. Pismo to wpłynęło do Sądu Miejskiego 26 sierpnia 2009 r. Skarżący złożył taki sam wniosek </w:t>
      </w:r>
      <w:r w:rsidR="00DC6A7C">
        <w:t>pismem</w:t>
      </w:r>
      <w:r w:rsidR="00EC5D88">
        <w:t xml:space="preserve"> z 26 sierpnia 2009 r.</w:t>
      </w:r>
    </w:p>
    <w:bookmarkStart w:id="26" w:name="appeal_lawyer"/>
    <w:p w14:paraId="538275B1" w14:textId="58F0295C" w:rsidR="001B3726" w:rsidRPr="001B6D09" w:rsidRDefault="00CE2ACB"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40</w:t>
      </w:r>
      <w:r w:rsidRPr="001B6D09">
        <w:fldChar w:fldCharType="end"/>
      </w:r>
      <w:bookmarkEnd w:id="26"/>
      <w:r>
        <w:t>.  W dniu 31 sierpnia 2009 r. E.</w:t>
      </w:r>
      <w:r w:rsidR="00DC6A7C">
        <w:t xml:space="preserve"> </w:t>
      </w:r>
      <w:r>
        <w:t>H. wniósł w imieniu skarżącego apelację od wyroku pierwszej instancji.</w:t>
      </w:r>
    </w:p>
    <w:p w14:paraId="7F7FDBF3" w14:textId="139D99F9" w:rsidR="001B3726" w:rsidRPr="001B6D09" w:rsidRDefault="00000000" w:rsidP="001B6D09">
      <w:pPr>
        <w:pStyle w:val="JuPara"/>
        <w:jc w:val="both"/>
      </w:pPr>
      <w:fldSimple w:instr=" SEQ level0 \*arabic ">
        <w:r w:rsidR="006F4160">
          <w:rPr>
            <w:noProof/>
          </w:rPr>
          <w:t>41</w:t>
        </w:r>
      </w:fldSimple>
      <w:r w:rsidR="00EC5D88">
        <w:t xml:space="preserve">.  W dniu 7 września 2009 r. skarżący wniósł o </w:t>
      </w:r>
      <w:r w:rsidR="00DC6A7C">
        <w:t>udostępnienie</w:t>
      </w:r>
      <w:r w:rsidR="00EC5D88">
        <w:t xml:space="preserve"> części akt sprawy.</w:t>
      </w:r>
    </w:p>
    <w:bookmarkStart w:id="27" w:name="SA_appointed"/>
    <w:p w14:paraId="5523952F" w14:textId="52D89F77" w:rsidR="008C21CB" w:rsidRPr="001B6D09" w:rsidRDefault="006247CA"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42</w:t>
      </w:r>
      <w:r w:rsidRPr="001B6D09">
        <w:fldChar w:fldCharType="end"/>
      </w:r>
      <w:bookmarkEnd w:id="27"/>
      <w:r>
        <w:t xml:space="preserve">.  W dniu 9 września 2009 roku Prezes Sądu Miejskiego wyznaczył S.A. do występowania w charakterze obrońcy skarżącego i przesłał skarżącemu kopię części akt sprawy, o </w:t>
      </w:r>
      <w:r w:rsidR="00DC6A7C">
        <w:t>udostępnienie</w:t>
      </w:r>
      <w:r>
        <w:t xml:space="preserve"> których wnioskował.</w:t>
      </w:r>
    </w:p>
    <w:bookmarkStart w:id="28" w:name="asked_for_other_lawyer"/>
    <w:p w14:paraId="511F156C" w14:textId="3AD0ADE0" w:rsidR="00CE2ACB" w:rsidRPr="001B6D09" w:rsidRDefault="007E2AC0"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43</w:t>
      </w:r>
      <w:r w:rsidRPr="001B6D09">
        <w:fldChar w:fldCharType="end"/>
      </w:r>
      <w:bookmarkEnd w:id="28"/>
      <w:r>
        <w:t>.  W dniu 14 września skarżący poinformował Sąd Miejski, że nie ma zaufania do S.A. i skarżył się, że jego prośba o kontakt telefoniczny z trzema prawnikami nie została prawidłowo spełniona. Wyjaśnił, że napisał do dwóch prawników i je wysłał tę korespondencję listem poleconym, ale nie otrzymał żadnego potwierdzenia odbioru. Jeśli chodzi o trzeciego prawnika, numer, na który pozwolono mu zadzwonić, był nieprawidłowy.</w:t>
      </w:r>
    </w:p>
    <w:bookmarkStart w:id="29" w:name="lawyer1"/>
    <w:p w14:paraId="4F7EEE0B" w14:textId="48DC7EB9" w:rsidR="001B3726" w:rsidRPr="001B6D09" w:rsidRDefault="00AB73ED"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44</w:t>
      </w:r>
      <w:r w:rsidRPr="001B6D09">
        <w:fldChar w:fldCharType="end"/>
      </w:r>
      <w:bookmarkEnd w:id="29"/>
      <w:r>
        <w:t>.  W dniu 16 września skarżący ponownie skontaktował się z E.</w:t>
      </w:r>
      <w:r w:rsidR="00DC6A7C">
        <w:t xml:space="preserve"> </w:t>
      </w:r>
      <w:r>
        <w:t>H. Tego samego dnia D.L., inny prawnik, odwiedził skarżącego w więzieniu.</w:t>
      </w:r>
    </w:p>
    <w:bookmarkStart w:id="30" w:name="allowed_to_contact_lawyers"/>
    <w:p w14:paraId="64AF39EF" w14:textId="11218E93" w:rsidR="001B3726" w:rsidRPr="001B6D09" w:rsidRDefault="00CE2ACB"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45</w:t>
      </w:r>
      <w:r w:rsidRPr="001B6D09">
        <w:fldChar w:fldCharType="end"/>
      </w:r>
      <w:bookmarkEnd w:id="30"/>
      <w:r>
        <w:t>.  W dniu 23 września 2009 r. przewodniczący składu orzekającego zezwolił skarżącemu na kontakt z dwoma adwokatami.</w:t>
      </w:r>
    </w:p>
    <w:p w14:paraId="2AFA0325" w14:textId="6A954EC1" w:rsidR="00CE2ACB" w:rsidRPr="001B6D09" w:rsidRDefault="00000000" w:rsidP="001B6D09">
      <w:pPr>
        <w:pStyle w:val="JuPara"/>
        <w:jc w:val="both"/>
      </w:pPr>
      <w:fldSimple w:instr=" SEQ level0 \*arabic ">
        <w:r w:rsidR="006F4160">
          <w:rPr>
            <w:noProof/>
          </w:rPr>
          <w:t>46</w:t>
        </w:r>
      </w:fldSimple>
      <w:r w:rsidR="00CE2ACB">
        <w:t xml:space="preserve">.  W dniu 27 września 2009 r. skarżący </w:t>
      </w:r>
      <w:r w:rsidR="007A0E17">
        <w:t xml:space="preserve">sam </w:t>
      </w:r>
      <w:r w:rsidR="00CE2ACB">
        <w:t>wniósł dodatkową apelację od wyroku skazującego.</w:t>
      </w:r>
    </w:p>
    <w:bookmarkStart w:id="31" w:name="lawyer2"/>
    <w:p w14:paraId="54576E1E" w14:textId="069207F7" w:rsidR="00AB73ED" w:rsidRPr="001B6D09" w:rsidRDefault="00AB73ED" w:rsidP="001B6D09">
      <w:pPr>
        <w:pStyle w:val="JuPara"/>
        <w:jc w:val="both"/>
      </w:pPr>
      <w:r w:rsidRPr="001B6D09">
        <w:lastRenderedPageBreak/>
        <w:fldChar w:fldCharType="begin"/>
      </w:r>
      <w:r w:rsidRPr="001B6D09">
        <w:instrText xml:space="preserve"> SEQ level0 \*arabic </w:instrText>
      </w:r>
      <w:r w:rsidRPr="001B6D09">
        <w:fldChar w:fldCharType="separate"/>
      </w:r>
      <w:r w:rsidR="006F4160">
        <w:rPr>
          <w:noProof/>
        </w:rPr>
        <w:t>47</w:t>
      </w:r>
      <w:r w:rsidRPr="001B6D09">
        <w:fldChar w:fldCharType="end"/>
      </w:r>
      <w:bookmarkEnd w:id="31"/>
      <w:r>
        <w:t>.  W dniu 29 września 2009 r. skarżący skontaktował się z adwokatem J.M.</w:t>
      </w:r>
    </w:p>
    <w:bookmarkStart w:id="32" w:name="lawyer3"/>
    <w:p w14:paraId="39286045" w14:textId="36228FCC" w:rsidR="00AB73ED" w:rsidRPr="001B6D09" w:rsidRDefault="00AB73ED"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48</w:t>
      </w:r>
      <w:r w:rsidRPr="001B6D09">
        <w:fldChar w:fldCharType="end"/>
      </w:r>
      <w:bookmarkEnd w:id="32"/>
      <w:r>
        <w:t>.  W dniu 7 października 2009 r. dwóch prawników, J.M. i A.D., odwiedziło skarżącego w zakładzie karnym.</w:t>
      </w:r>
    </w:p>
    <w:p w14:paraId="5D021C11" w14:textId="20BD6AA6" w:rsidR="00CE2ACB" w:rsidRPr="001B6D09" w:rsidRDefault="00000000" w:rsidP="001B6D09">
      <w:pPr>
        <w:pStyle w:val="JuPara"/>
        <w:jc w:val="both"/>
      </w:pPr>
      <w:fldSimple w:instr=" SEQ level0 \*arabic ">
        <w:r w:rsidR="006F4160">
          <w:rPr>
            <w:noProof/>
          </w:rPr>
          <w:t>49</w:t>
        </w:r>
      </w:fldSimple>
      <w:r w:rsidR="00CE2ACB">
        <w:t>.  W dniu 23 października 2009 r. przewodniczący składu orzekającego Sądu Miejskiego poinformował Sąd Okręgowy w</w:t>
      </w:r>
      <w:r w:rsidR="007A0E17">
        <w:t xml:space="preserve"> </w:t>
      </w:r>
      <w:r w:rsidR="00CE2ACB" w:rsidRPr="00F7198F">
        <w:rPr>
          <w:iCs/>
        </w:rPr>
        <w:t>Zagrzebiu</w:t>
      </w:r>
      <w:r w:rsidR="00CE2ACB">
        <w:rPr>
          <w:i/>
        </w:rPr>
        <w:t xml:space="preserve"> (</w:t>
      </w:r>
      <w:proofErr w:type="spellStart"/>
      <w:r w:rsidR="00CE2ACB">
        <w:rPr>
          <w:i/>
        </w:rPr>
        <w:t>Županijski</w:t>
      </w:r>
      <w:proofErr w:type="spellEnd"/>
      <w:r w:rsidR="00CE2ACB">
        <w:rPr>
          <w:i/>
        </w:rPr>
        <w:t xml:space="preserve"> </w:t>
      </w:r>
      <w:proofErr w:type="spellStart"/>
      <w:r w:rsidR="00CE2ACB">
        <w:rPr>
          <w:i/>
        </w:rPr>
        <w:t>sud</w:t>
      </w:r>
      <w:proofErr w:type="spellEnd"/>
      <w:r w:rsidR="00CE2ACB">
        <w:rPr>
          <w:i/>
        </w:rPr>
        <w:t xml:space="preserve"> u </w:t>
      </w:r>
      <w:proofErr w:type="spellStart"/>
      <w:r w:rsidR="00CE2ACB">
        <w:rPr>
          <w:i/>
        </w:rPr>
        <w:t>Zagrebu</w:t>
      </w:r>
      <w:proofErr w:type="spellEnd"/>
      <w:r w:rsidR="00CE2ACB">
        <w:t xml:space="preserve">, zwany dalej „sądem okręgowym”), że skarżący wniósł </w:t>
      </w:r>
      <w:r w:rsidR="00680243">
        <w:br/>
      </w:r>
      <w:r w:rsidR="00CE2ACB">
        <w:t xml:space="preserve">o </w:t>
      </w:r>
      <w:r w:rsidR="007A0E17">
        <w:t xml:space="preserve">udostępnienie </w:t>
      </w:r>
      <w:r w:rsidR="00CE2ACB">
        <w:t>akt sprawy.</w:t>
      </w:r>
    </w:p>
    <w:p w14:paraId="34FBB2AF" w14:textId="1DB126F1" w:rsidR="008C21CB" w:rsidRPr="001B6D09" w:rsidRDefault="00000000" w:rsidP="001B6D09">
      <w:pPr>
        <w:pStyle w:val="JuPara"/>
        <w:jc w:val="both"/>
      </w:pPr>
      <w:fldSimple w:instr=" SEQ level0 \*arabic ">
        <w:r w:rsidR="006F4160">
          <w:rPr>
            <w:noProof/>
          </w:rPr>
          <w:t>50</w:t>
        </w:r>
      </w:fldSimple>
      <w:r w:rsidR="00CE2ACB">
        <w:t>.  Sąd okręgowy poinformował jedynie byłego obrońcę skarżącego E.H. o posiedzeniu wyznaczonym na 2 listopada 2009 r., na którym miała zostać rozpatrzona apelacja.</w:t>
      </w:r>
    </w:p>
    <w:bookmarkStart w:id="33" w:name="appeal_dismissed"/>
    <w:p w14:paraId="3702BCBD" w14:textId="302807DE" w:rsidR="008C21CB" w:rsidRPr="001B6D09" w:rsidRDefault="00CE2ACB"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51</w:t>
      </w:r>
      <w:r w:rsidRPr="001B6D09">
        <w:fldChar w:fldCharType="end"/>
      </w:r>
      <w:bookmarkEnd w:id="33"/>
      <w:r>
        <w:t>.  Wyrokiem z 2 listopada 2009 r.</w:t>
      </w:r>
      <w:r w:rsidR="007A0E17">
        <w:t>,</w:t>
      </w:r>
      <w:r>
        <w:t xml:space="preserve"> wydanym na tym posiedzeniu</w:t>
      </w:r>
      <w:r w:rsidR="007A0E17">
        <w:t>,</w:t>
      </w:r>
      <w:r>
        <w:t xml:space="preserve"> sąd okręgowy rozpoznał wszystkie apelacje </w:t>
      </w:r>
      <w:r w:rsidR="007A0E17">
        <w:t xml:space="preserve">- </w:t>
      </w:r>
      <w:r>
        <w:t xml:space="preserve">wniesione zarówno przez skarżącego, jak i przez jego obrońcę E.H. Częściowo uwzględnił ich argumenty i obniżył karę do czterech lat i trzech miesięcy pozbawienia wolności, bez przeprowadzenia rozprawy i pod nieobecność skarżącego oraz adwokatów E.H. i S.A. Pozostała część apelacji została oddalona i w tym zakresie wyrok </w:t>
      </w:r>
      <w:r w:rsidR="007A0E17">
        <w:t xml:space="preserve">sądu </w:t>
      </w:r>
      <w:r>
        <w:t>pierwszej</w:t>
      </w:r>
      <w:r w:rsidR="007A0E17">
        <w:t xml:space="preserve"> </w:t>
      </w:r>
      <w:r>
        <w:t>instancji został utrzymany w mocy.</w:t>
      </w:r>
    </w:p>
    <w:p w14:paraId="7F0F7E57" w14:textId="701F27B5" w:rsidR="00680587" w:rsidRPr="001B6D09" w:rsidRDefault="00000000" w:rsidP="001B6D09">
      <w:pPr>
        <w:pStyle w:val="JuPara"/>
        <w:jc w:val="both"/>
      </w:pPr>
      <w:fldSimple w:instr=" SEQ level0 \*arabic ">
        <w:r w:rsidR="006F4160">
          <w:rPr>
            <w:noProof/>
          </w:rPr>
          <w:t>52</w:t>
        </w:r>
      </w:fldSimple>
      <w:r w:rsidR="00680587">
        <w:t>.  W dniu 19 listopada 2009 r. skarżący został przeniesiony z aresztu śledczego do zakładu karnego, gdzie rozpoczął odbywanie kary.</w:t>
      </w:r>
    </w:p>
    <w:p w14:paraId="106ECE16" w14:textId="3FB5D8BC" w:rsidR="008C21CB" w:rsidRPr="001B6D09" w:rsidRDefault="00000000" w:rsidP="001B6D09">
      <w:pPr>
        <w:pStyle w:val="JuPara"/>
        <w:jc w:val="both"/>
      </w:pPr>
      <w:fldSimple w:instr=" SEQ level0 \*arabic ">
        <w:r w:rsidR="006F4160">
          <w:rPr>
            <w:noProof/>
          </w:rPr>
          <w:t>53</w:t>
        </w:r>
      </w:fldSimple>
      <w:r w:rsidR="00CE2ACB">
        <w:t>.  Skarżący złożył następnie wniosek o rewizję nadzwyczajną prawomocnego wyroku</w:t>
      </w:r>
      <w:r w:rsidR="007A0E17">
        <w:t xml:space="preserve"> </w:t>
      </w:r>
      <w:r w:rsidR="00CE2ACB">
        <w:rPr>
          <w:i/>
        </w:rPr>
        <w:t>(</w:t>
      </w:r>
      <w:proofErr w:type="spellStart"/>
      <w:r w:rsidR="00CE2ACB">
        <w:rPr>
          <w:i/>
        </w:rPr>
        <w:t>zahtjev</w:t>
      </w:r>
      <w:proofErr w:type="spellEnd"/>
      <w:r w:rsidR="00CE2ACB">
        <w:rPr>
          <w:i/>
        </w:rPr>
        <w:t xml:space="preserve"> za </w:t>
      </w:r>
      <w:proofErr w:type="spellStart"/>
      <w:r w:rsidR="00CE2ACB">
        <w:rPr>
          <w:i/>
        </w:rPr>
        <w:t>izvanredno</w:t>
      </w:r>
      <w:proofErr w:type="spellEnd"/>
      <w:r w:rsidR="00CE2ACB">
        <w:rPr>
          <w:i/>
        </w:rPr>
        <w:t xml:space="preserve"> </w:t>
      </w:r>
      <w:proofErr w:type="spellStart"/>
      <w:r w:rsidR="00CE2ACB">
        <w:rPr>
          <w:i/>
        </w:rPr>
        <w:t>preispitivanje</w:t>
      </w:r>
      <w:proofErr w:type="spellEnd"/>
      <w:r w:rsidR="00CE2ACB">
        <w:rPr>
          <w:i/>
        </w:rPr>
        <w:t xml:space="preserve"> </w:t>
      </w:r>
      <w:proofErr w:type="spellStart"/>
      <w:r w:rsidR="00CE2ACB">
        <w:rPr>
          <w:i/>
        </w:rPr>
        <w:t>pravomoćne</w:t>
      </w:r>
      <w:proofErr w:type="spellEnd"/>
      <w:r w:rsidR="00CE2ACB">
        <w:rPr>
          <w:i/>
        </w:rPr>
        <w:t xml:space="preserve"> </w:t>
      </w:r>
      <w:proofErr w:type="spellStart"/>
      <w:r w:rsidR="00CE2ACB">
        <w:rPr>
          <w:i/>
        </w:rPr>
        <w:t>presude</w:t>
      </w:r>
      <w:proofErr w:type="spellEnd"/>
      <w:r w:rsidR="00CE2ACB">
        <w:t>) do Sądu Najwyższego</w:t>
      </w:r>
      <w:r w:rsidR="007A0E17">
        <w:t xml:space="preserve"> </w:t>
      </w:r>
      <w:r w:rsidR="00CE2ACB">
        <w:rPr>
          <w:i/>
        </w:rPr>
        <w:t>(</w:t>
      </w:r>
      <w:proofErr w:type="spellStart"/>
      <w:r w:rsidR="00CE2ACB">
        <w:rPr>
          <w:i/>
        </w:rPr>
        <w:t>Vrhovni</w:t>
      </w:r>
      <w:proofErr w:type="spellEnd"/>
      <w:r w:rsidR="00CE2ACB">
        <w:rPr>
          <w:i/>
        </w:rPr>
        <w:t xml:space="preserve"> </w:t>
      </w:r>
      <w:proofErr w:type="spellStart"/>
      <w:r w:rsidR="00CE2ACB">
        <w:rPr>
          <w:i/>
        </w:rPr>
        <w:t>sud</w:t>
      </w:r>
      <w:proofErr w:type="spellEnd"/>
      <w:r w:rsidR="00CE2ACB">
        <w:rPr>
          <w:i/>
        </w:rPr>
        <w:t xml:space="preserve"> </w:t>
      </w:r>
      <w:proofErr w:type="spellStart"/>
      <w:r w:rsidR="00CE2ACB">
        <w:rPr>
          <w:i/>
        </w:rPr>
        <w:t>Republike</w:t>
      </w:r>
      <w:proofErr w:type="spellEnd"/>
      <w:r w:rsidR="00CE2ACB">
        <w:rPr>
          <w:i/>
        </w:rPr>
        <w:t xml:space="preserve"> </w:t>
      </w:r>
      <w:proofErr w:type="spellStart"/>
      <w:r w:rsidR="00CE2ACB">
        <w:rPr>
          <w:i/>
        </w:rPr>
        <w:t>Hrvatske</w:t>
      </w:r>
      <w:proofErr w:type="spellEnd"/>
      <w:r w:rsidR="00CE2ACB">
        <w:t xml:space="preserve">). Twierdził </w:t>
      </w:r>
      <w:r w:rsidR="009913E8">
        <w:t xml:space="preserve"> m. in.</w:t>
      </w:r>
      <w:r w:rsidR="00CE2ACB">
        <w:t xml:space="preserve">, że nie został powiadomiony o posiedzeniu, na którym sąd okręgowy </w:t>
      </w:r>
      <w:r w:rsidR="009913E8">
        <w:t xml:space="preserve">rozpoznał </w:t>
      </w:r>
      <w:r w:rsidR="00CE2ACB">
        <w:t>jego apelację i wydał wyrok, mimo że zgodnie z przepisami postępowania karnego oskarżony, który domagał się rozprawy przed sądem drugiej instancji, musiał zostać powiadomiony o takim posiedzeniu. Powiadomiony został jedynie jego były obrońca E.H., mimo że wówczas już nie reprezentował skarżącego.</w:t>
      </w:r>
    </w:p>
    <w:bookmarkStart w:id="34" w:name="SC_quashed"/>
    <w:p w14:paraId="05E4ECD9" w14:textId="00355E35" w:rsidR="008C21CB" w:rsidRPr="001B6D09" w:rsidRDefault="00680587"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54</w:t>
      </w:r>
      <w:r w:rsidRPr="001B6D09">
        <w:fldChar w:fldCharType="end"/>
      </w:r>
      <w:bookmarkEnd w:id="34"/>
      <w:r>
        <w:t xml:space="preserve">.  W dniu 20 stycznia 2010 r. Sąd Najwyższy uchylił wyrok </w:t>
      </w:r>
      <w:r w:rsidR="009913E8">
        <w:t xml:space="preserve">sądu </w:t>
      </w:r>
      <w:r>
        <w:t>drugiej instancji i przekazał sprawę do ponownego rozpoznania. Uznał, że sąd okręgowy naruszył zasady postępowania karnego, informując byłego obrońcę skarżącego E.H. o posiedzeniu w dniu 2 listopada 2009 r., nie zaś jego aktualnego obrońcę S.A., wyznaczon</w:t>
      </w:r>
      <w:r w:rsidR="009913E8">
        <w:t>ego</w:t>
      </w:r>
      <w:r>
        <w:t xml:space="preserve"> z urzędu.</w:t>
      </w:r>
    </w:p>
    <w:p w14:paraId="3A5F05EB" w14:textId="1A6BC6E9" w:rsidR="00680587" w:rsidRPr="001B6D09" w:rsidRDefault="00000000" w:rsidP="001B6D09">
      <w:pPr>
        <w:pStyle w:val="JuPara"/>
        <w:jc w:val="both"/>
      </w:pPr>
      <w:fldSimple w:instr=" SEQ level0 \*arabic ">
        <w:r w:rsidR="006F4160">
          <w:rPr>
            <w:noProof/>
          </w:rPr>
          <w:t>55</w:t>
        </w:r>
      </w:fldSimple>
      <w:r w:rsidR="00672324">
        <w:t>.  W dniu 5 lutego 2010 r. skarżącego przeniesiono z zakładu karnego do aresztu śledczego w Zagrzebiu. Tego samego dnia doręczono mu postanowienie Sądu Najwyższego z 20 stycznia 2010 r.</w:t>
      </w:r>
    </w:p>
    <w:p w14:paraId="6A72CDFA" w14:textId="19A0BEA5" w:rsidR="00680587" w:rsidRPr="001B6D09" w:rsidRDefault="00000000" w:rsidP="001B6D09">
      <w:pPr>
        <w:pStyle w:val="JuPara"/>
        <w:jc w:val="both"/>
      </w:pPr>
      <w:fldSimple w:instr=" SEQ level0 \*arabic ">
        <w:r w:rsidR="006F4160">
          <w:rPr>
            <w:noProof/>
          </w:rPr>
          <w:t>56</w:t>
        </w:r>
      </w:fldSimple>
      <w:r w:rsidR="00680587">
        <w:t xml:space="preserve">.  W dniu 9 lutego 2010 r. skarżący zwrócił się do sądu okręgowego </w:t>
      </w:r>
      <w:r w:rsidR="009913E8">
        <w:br/>
      </w:r>
      <w:r w:rsidR="00680587">
        <w:t xml:space="preserve">o umożliwienie mu kontaktu telefonicznego z pięcioma prawnikami. Wniosek ten został zarejestrowany w Sądzie Okręgowym 10 lutego 2010 r. </w:t>
      </w:r>
      <w:r w:rsidR="009913E8">
        <w:br/>
      </w:r>
      <w:r w:rsidR="00680587">
        <w:t>i przekazany do Sądu Miejskiego, który otrzymał go 15 lutego 2015 r.</w:t>
      </w:r>
    </w:p>
    <w:p w14:paraId="5154E635" w14:textId="14F9AF0D" w:rsidR="008C21CB" w:rsidRPr="001B6D09" w:rsidRDefault="00000000" w:rsidP="001B6D09">
      <w:pPr>
        <w:pStyle w:val="JuPara"/>
        <w:jc w:val="both"/>
      </w:pPr>
      <w:fldSimple w:instr=" SEQ level0 \*arabic ">
        <w:r w:rsidR="006F4160">
          <w:rPr>
            <w:noProof/>
          </w:rPr>
          <w:t>57</w:t>
        </w:r>
      </w:fldSimple>
      <w:r w:rsidR="00680587">
        <w:t>.  W międzyczasie, 12 lutego 2010 r., sąd okręgowy zawiadomił skarżącego i jego obrońcę z urzędu S.A., że posiedzenie, na którym ma zostać rozpatrzona apelacja skarżącego, zostało wyznaczone na 16 lutego 2010 r.</w:t>
      </w:r>
    </w:p>
    <w:p w14:paraId="2856BBCF" w14:textId="4D675386" w:rsidR="001B3726" w:rsidRPr="001B6D09" w:rsidRDefault="00000000" w:rsidP="001B6D09">
      <w:pPr>
        <w:pStyle w:val="JuPara"/>
        <w:jc w:val="both"/>
      </w:pPr>
      <w:fldSimple w:instr=" SEQ level0 \*arabic ">
        <w:r w:rsidR="006F4160">
          <w:rPr>
            <w:noProof/>
          </w:rPr>
          <w:t>58</w:t>
        </w:r>
      </w:fldSimple>
      <w:r w:rsidR="005F68CC">
        <w:t xml:space="preserve">.  Pismem, które wpłynęło do sądu okręgowego na dzień przed posiedzeniem, skarżący zwrócił się do sądu o odroczenie posiedzenia </w:t>
      </w:r>
      <w:r w:rsidR="002433A1">
        <w:br/>
      </w:r>
      <w:r w:rsidR="005F68CC">
        <w:t xml:space="preserve">o tydzień i zezwolenie mu na występowanie we własnym imieniu. Wyjaśnił, że został poinformowany o posiedzeniu z zaledwie czterodniowym wyprzedzeniem, w piątek 12 lutego 2010 r. po południu, a zatem nie miał wystarczająco dużo czasu na przygotowanie obrony ani skontaktowanie się </w:t>
      </w:r>
      <w:r w:rsidR="002433A1">
        <w:br/>
      </w:r>
      <w:r w:rsidR="005F68CC">
        <w:t xml:space="preserve">z kimkolwiek. Podkreślił, że podczas pobytu w więzieniu napisał do trzech prawników. Jednocześnie wniósł o zezwolenie na występowanie we własnym imieniu, ponieważ „uczestniczył w wydarzeniach, [w odniesieniu do których] został oskarżony” oraz był z zawodu prawnikiem administracyjnym. Jeśli chodzi o adwokata S.A., skarżący </w:t>
      </w:r>
      <w:r w:rsidR="002433A1">
        <w:t>stwierdził</w:t>
      </w:r>
      <w:r w:rsidR="005F68CC">
        <w:t>, że go nie zna i nigdy</w:t>
      </w:r>
      <w:r w:rsidR="002433A1">
        <w:t xml:space="preserve"> z nim</w:t>
      </w:r>
      <w:r w:rsidR="005F68CC">
        <w:t xml:space="preserve"> nie rozmawiał o swojej sprawie. Powtórzył, że </w:t>
      </w:r>
      <w:r w:rsidR="002433A1">
        <w:t>wnosił</w:t>
      </w:r>
      <w:r w:rsidR="005F68CC">
        <w:t xml:space="preserve"> o </w:t>
      </w:r>
      <w:r w:rsidR="002433A1">
        <w:t xml:space="preserve">bycie </w:t>
      </w:r>
      <w:r w:rsidR="005F68CC">
        <w:t>obecn</w:t>
      </w:r>
      <w:r w:rsidR="002433A1">
        <w:t>ym</w:t>
      </w:r>
      <w:r w:rsidR="005F68CC">
        <w:t xml:space="preserve"> na posiedzeniu, aby móc podać więcej szczegółów na temat istotnych faktów oraz motywów jego byłej małżonki do rzekomego składania fałszywych zeznań i manipulowania ich dziećmi. Załączył również oświadczenia dotyczące stawianych mu zarzutów.</w:t>
      </w:r>
    </w:p>
    <w:p w14:paraId="337D071F" w14:textId="12D43617" w:rsidR="001B3726" w:rsidRPr="001B6D09" w:rsidRDefault="00000000" w:rsidP="001B6D09">
      <w:pPr>
        <w:pStyle w:val="JuPara"/>
        <w:jc w:val="both"/>
      </w:pPr>
      <w:fldSimple w:instr=" SEQ level0 \*arabic ">
        <w:r w:rsidR="006F4160">
          <w:rPr>
            <w:noProof/>
          </w:rPr>
          <w:t>59</w:t>
        </w:r>
      </w:fldSimple>
      <w:r w:rsidR="00C74782">
        <w:t>.  W dniu 16 lutego 2010 r. przewodniczący składu orzekającego Sądu Miejskiego zezwolił skarżącemu na kontakt telefoniczny z pięcioma adwokatami wymienionymi w jego wniosku.</w:t>
      </w:r>
    </w:p>
    <w:p w14:paraId="353F9128" w14:textId="54E3A036" w:rsidR="008C21CB" w:rsidRPr="001B6D09" w:rsidRDefault="00000000" w:rsidP="001B6D09">
      <w:pPr>
        <w:pStyle w:val="JuPara"/>
        <w:jc w:val="both"/>
      </w:pPr>
      <w:fldSimple w:instr=" SEQ level0 \*arabic ">
        <w:r w:rsidR="006F4160">
          <w:rPr>
            <w:noProof/>
          </w:rPr>
          <w:t>60</w:t>
        </w:r>
      </w:fldSimple>
      <w:r w:rsidR="005F68CC">
        <w:t xml:space="preserve">.  Posiedzenie sądu okręgowego odbyło się zgodnie z planem 16 lutego 2010 r. Skarżący, który w tym czasie nadal przebywał w areszcie, nie został </w:t>
      </w:r>
      <w:r w:rsidR="004F5CA5">
        <w:t>doprowadzony</w:t>
      </w:r>
      <w:r w:rsidR="005F68CC">
        <w:t>, a jego obrońca wyznaczony z urzędu S.A. nie był obecny. Właściwy prokurator również nie był obecny na posiedzeniu.</w:t>
      </w:r>
    </w:p>
    <w:p w14:paraId="62B07842" w14:textId="3B861EA5" w:rsidR="008C21CB" w:rsidRPr="001B6D09" w:rsidRDefault="00000000" w:rsidP="001B6D09">
      <w:pPr>
        <w:pStyle w:val="JuPara"/>
        <w:jc w:val="both"/>
      </w:pPr>
      <w:fldSimple w:instr=" SEQ level0 \*arabic ">
        <w:r w:rsidR="006F4160">
          <w:rPr>
            <w:noProof/>
          </w:rPr>
          <w:t>61</w:t>
        </w:r>
      </w:fldSimple>
      <w:r w:rsidR="005F68CC">
        <w:t xml:space="preserve">.  Po posiedzeniu sąd okręgowy wydał wyrok identyczny z poprzednim wyrokiem z 2 listopada 2009 r. – obniżył karę skarżącego do czterech lat </w:t>
      </w:r>
      <w:r w:rsidR="004F5CA5">
        <w:br/>
      </w:r>
      <w:r w:rsidR="005F68CC">
        <w:t>i trzech miesięcy pozbawienia wolności i oddalił jego apelację w pozostałej części. Istotne dla sprawy fragmenty wyroku brzmią jak następuje:</w:t>
      </w:r>
    </w:p>
    <w:p w14:paraId="270255D1" w14:textId="2352706B" w:rsidR="008C21CB" w:rsidRPr="001B6D09" w:rsidRDefault="008C21CB" w:rsidP="001B6D09">
      <w:pPr>
        <w:pStyle w:val="JuQuot"/>
        <w:jc w:val="both"/>
      </w:pPr>
      <w:r>
        <w:t xml:space="preserve">„Obecność oskarżonego </w:t>
      </w:r>
      <w:proofErr w:type="spellStart"/>
      <w:r>
        <w:t>Miljenko</w:t>
      </w:r>
      <w:proofErr w:type="spellEnd"/>
      <w:r>
        <w:t xml:space="preserve"> </w:t>
      </w:r>
      <w:proofErr w:type="spellStart"/>
      <w:r>
        <w:t>Galovića</w:t>
      </w:r>
      <w:proofErr w:type="spellEnd"/>
      <w:r>
        <w:t xml:space="preserve">, który przebywa w areszcie i jest reprezentowany przez obrońcę, na posiedzeniu sądu nie została </w:t>
      </w:r>
      <w:proofErr w:type="spellStart"/>
      <w:r w:rsidR="004F5CA5">
        <w:t>zapoewniona</w:t>
      </w:r>
      <w:proofErr w:type="spellEnd"/>
      <w:r>
        <w:t>, ponieważ skład orzekający uznał, że jego obecność nie jest konieczna”</w:t>
      </w:r>
    </w:p>
    <w:p w14:paraId="1FA3049A" w14:textId="7340A487" w:rsidR="008C21CB" w:rsidRPr="001B6D09" w:rsidRDefault="00000000" w:rsidP="001B6D09">
      <w:pPr>
        <w:pStyle w:val="JuPara"/>
        <w:jc w:val="both"/>
      </w:pPr>
      <w:fldSimple w:instr=" SEQ level0 \*arabic ">
        <w:r w:rsidR="006F4160">
          <w:rPr>
            <w:noProof/>
          </w:rPr>
          <w:t>62</w:t>
        </w:r>
      </w:fldSimple>
      <w:r w:rsidR="005F68CC">
        <w:t>.  W dniu 17 lutego 2010 r. sam skarżący złożył do Sądu Najwyższego kolejny wniosek o rewizję nadzwyczajną od prawomocnego wyroku, który uzupełnił w dniu 30 marca oraz w dniach 18 i 22 kwietnia 2010 r. Argumentował</w:t>
      </w:r>
      <w:r w:rsidR="004F5CA5">
        <w:t xml:space="preserve"> m.in.</w:t>
      </w:r>
      <w:r w:rsidR="005F68CC">
        <w:t xml:space="preserve">, że: a) został powiadomiony o posiedzeniu sądu okręgowego 16 lutego 2010 r. z zaledwie czterodniowym wyprzedzeniem, </w:t>
      </w:r>
      <w:r w:rsidR="004F5CA5">
        <w:br/>
      </w:r>
      <w:r w:rsidR="005F68CC">
        <w:t xml:space="preserve">a zatem nie miał wystarczająco dużo czasu na przygotowanie obrony; b) jego obrońca z urzędu nigdy się z nim nie skontaktował i nie </w:t>
      </w:r>
      <w:r w:rsidR="004F5CA5">
        <w:t xml:space="preserve">uczestniczył </w:t>
      </w:r>
      <w:r w:rsidR="004F5CA5">
        <w:br/>
        <w:t>w</w:t>
      </w:r>
      <w:r w:rsidR="005F68CC">
        <w:t xml:space="preserve"> posiedzeniu; c) z powodu ograniczeń czasowych i przeniesienia z zakładu karnego do aresztu śledczego nie miał wystarczająco dużo czasu, aby </w:t>
      </w:r>
      <w:r w:rsidR="00371A8A">
        <w:t>ustanowić</w:t>
      </w:r>
      <w:r w:rsidR="005F68CC">
        <w:t xml:space="preserve"> obrońcę z</w:t>
      </w:r>
      <w:r w:rsidR="00371A8A">
        <w:t xml:space="preserve"> własnego</w:t>
      </w:r>
      <w:r w:rsidR="005F68CC">
        <w:t xml:space="preserve"> wyboru, który reprezentowałby go przed sądem okręgowym; d) nie został </w:t>
      </w:r>
      <w:r w:rsidR="00371A8A">
        <w:t>doprowadzony</w:t>
      </w:r>
      <w:r w:rsidR="005F68CC">
        <w:t xml:space="preserve"> na posiedzenie przed sądem odwoławczym oraz e) biorąc pod uwagę jego wcześniejsze skazania za przemoc domową w postępowaniu karnym oraz w kilku postępowaniach </w:t>
      </w:r>
      <w:r w:rsidR="00371A8A">
        <w:br/>
      </w:r>
      <w:r w:rsidR="005F68CC">
        <w:lastRenderedPageBreak/>
        <w:t>w sprawach o wykroczenia, jego skazanie w zaskarżonym wyroku stanowiło drugie skazanie za to samo przestępstwo.</w:t>
      </w:r>
    </w:p>
    <w:p w14:paraId="4BF43AF9" w14:textId="0A8AD687" w:rsidR="00B37306" w:rsidRPr="001B6D09" w:rsidRDefault="00000000" w:rsidP="001B6D09">
      <w:pPr>
        <w:pStyle w:val="JuPara"/>
        <w:jc w:val="both"/>
      </w:pPr>
      <w:fldSimple w:instr=" SEQ level0 \*arabic ">
        <w:r w:rsidR="006F4160">
          <w:rPr>
            <w:noProof/>
          </w:rPr>
          <w:t>63</w:t>
        </w:r>
      </w:fldSimple>
      <w:r w:rsidR="00E21CEF">
        <w:t xml:space="preserve">.  Wyrokiem z dnia 27 kwietnia 2010 r. Sąd Najwyższy oddalił </w:t>
      </w:r>
      <w:r w:rsidR="00371A8A">
        <w:t xml:space="preserve">wniosek </w:t>
      </w:r>
      <w:r w:rsidR="00E21CEF">
        <w:t xml:space="preserve">skarżącego. Odniósł się jedynie do </w:t>
      </w:r>
      <w:r w:rsidR="00371A8A">
        <w:t xml:space="preserve">zasady </w:t>
      </w:r>
      <w:proofErr w:type="spellStart"/>
      <w:r w:rsidR="00E21CEF">
        <w:rPr>
          <w:i/>
        </w:rPr>
        <w:t>ne</w:t>
      </w:r>
      <w:proofErr w:type="spellEnd"/>
      <w:r w:rsidR="00E21CEF">
        <w:rPr>
          <w:i/>
        </w:rPr>
        <w:t xml:space="preserve"> bis in </w:t>
      </w:r>
      <w:proofErr w:type="spellStart"/>
      <w:r w:rsidR="00E21CEF">
        <w:rPr>
          <w:i/>
        </w:rPr>
        <w:t>idem</w:t>
      </w:r>
      <w:proofErr w:type="spellEnd"/>
      <w:r w:rsidR="00E21CEF">
        <w:t xml:space="preserve"> w związku </w:t>
      </w:r>
      <w:r w:rsidR="00371A8A">
        <w:br/>
      </w:r>
      <w:r w:rsidR="00E21CEF">
        <w:t xml:space="preserve">z wyrokiem sądu do spraw wykroczeń w Zagrzebiu z 17 listopada 2008 r. (zob. par. </w:t>
      </w:r>
      <w:r w:rsidR="000E336F" w:rsidRPr="001B6D09">
        <w:fldChar w:fldCharType="begin"/>
      </w:r>
      <w:r w:rsidR="000E336F" w:rsidRPr="001B6D09">
        <w:instrText xml:space="preserve"> REF fifth_minor_offence_judgment \h </w:instrText>
      </w:r>
      <w:r w:rsidR="005B12FD" w:rsidRPr="001B6D09">
        <w:instrText xml:space="preserve"> \* MERGEFORMAT </w:instrText>
      </w:r>
      <w:r w:rsidR="000E336F" w:rsidRPr="001B6D09">
        <w:fldChar w:fldCharType="separate"/>
      </w:r>
      <w:r w:rsidR="006F4160">
        <w:t>13</w:t>
      </w:r>
      <w:r w:rsidR="000E336F" w:rsidRPr="001B6D09">
        <w:fldChar w:fldCharType="end"/>
      </w:r>
      <w:r w:rsidR="00E21CEF">
        <w:t xml:space="preserve"> powyżej). Odpowiednia część wyroku brzmi następuj</w:t>
      </w:r>
      <w:r w:rsidR="00371A8A">
        <w:t>ąco</w:t>
      </w:r>
      <w:r w:rsidR="00E21CEF">
        <w:t>:</w:t>
      </w:r>
    </w:p>
    <w:p w14:paraId="738730AE" w14:textId="49D81DEE" w:rsidR="008C21CB" w:rsidRPr="001B6D09" w:rsidRDefault="00B37306" w:rsidP="001B6D09">
      <w:pPr>
        <w:pStyle w:val="JuQuot"/>
        <w:jc w:val="both"/>
      </w:pPr>
      <w:r>
        <w:t>„Okoliczności faktyczne wykroczenia, które</w:t>
      </w:r>
      <w:r w:rsidR="00666726">
        <w:t>go popełnienia</w:t>
      </w:r>
      <w:r>
        <w:t xml:space="preserve"> [skarżący] został uznany winnym wyrokiem sądu do spraw wykroczeń, nie są takie same</w:t>
      </w:r>
      <w:r w:rsidR="00666726">
        <w:t>,</w:t>
      </w:r>
      <w:r>
        <w:t xml:space="preserve"> jak okoliczności faktyczne przestępstw, któr</w:t>
      </w:r>
      <w:r w:rsidR="00666726">
        <w:t>ych popełnienia</w:t>
      </w:r>
      <w:r>
        <w:t xml:space="preserve"> [skarżący] został uznany winnym prawomocnym wyrokiem Sądu Miejskiego w Zagrzebiu z dnia 14 lipca 2009 r. .... </w:t>
      </w:r>
      <w:proofErr w:type="spellStart"/>
      <w:r>
        <w:t>Miljenko</w:t>
      </w:r>
      <w:proofErr w:type="spellEnd"/>
      <w:r>
        <w:t xml:space="preserve"> </w:t>
      </w:r>
      <w:proofErr w:type="spellStart"/>
      <w:r>
        <w:t>Galović</w:t>
      </w:r>
      <w:proofErr w:type="spellEnd"/>
      <w:r>
        <w:t xml:space="preserve"> został uznany </w:t>
      </w:r>
      <w:r w:rsidR="00666726">
        <w:t>w</w:t>
      </w:r>
      <w:r>
        <w:t>inn</w:t>
      </w:r>
      <w:r w:rsidR="00666726">
        <w:t>ym popełnienia</w:t>
      </w:r>
      <w:r>
        <w:t xml:space="preserve"> jednego przestępstwa z art. 213 </w:t>
      </w:r>
      <w:r>
        <w:rPr>
          <w:snapToGrid w:val="0"/>
        </w:rPr>
        <w:t>§§</w:t>
      </w:r>
      <w:r>
        <w:t xml:space="preserve"> 1 i 2 Kodeksu karnego oraz czterech przestępstw z art. 215a Kodeksu karnego popełnionych w okresie od lutego 2005 r. do 3 listopada 2008 r. Fakt, że [jego] zachowanie stanowiło również wykroczenie z art. 18 ust. 1 ustawy o ochronie przed przemocą w rodzinie </w:t>
      </w:r>
      <w:r w:rsidR="00666726">
        <w:t>w stosunku do tych samych pokrzywdzonych</w:t>
      </w:r>
      <w:r>
        <w:t xml:space="preserve"> w tym samym okresie – [wykroczenie], </w:t>
      </w:r>
      <w:r w:rsidR="00666726">
        <w:t>którego popełnienia</w:t>
      </w:r>
      <w:r>
        <w:t xml:space="preserve"> został uznany winnym wyrokiem sądu ds. wykroczeń – nie może być postrzegan</w:t>
      </w:r>
      <w:r w:rsidR="001A0AD3">
        <w:t>y</w:t>
      </w:r>
      <w:r>
        <w:t xml:space="preserve"> jako kwestia już osądzona, a zatem nie doszło do naruszenia </w:t>
      </w:r>
      <w:r w:rsidR="001A0AD3">
        <w:t>K</w:t>
      </w:r>
      <w:r>
        <w:t xml:space="preserve">odeksu karnego na podstawie art. 368 </w:t>
      </w:r>
      <w:r>
        <w:rPr>
          <w:snapToGrid w:val="0"/>
        </w:rPr>
        <w:t>§</w:t>
      </w:r>
      <w:r>
        <w:t xml:space="preserve"> 3 </w:t>
      </w:r>
      <w:r w:rsidR="001A0AD3">
        <w:t>K</w:t>
      </w:r>
      <w:r>
        <w:t>odeksu postępowania karnego.”</w:t>
      </w:r>
    </w:p>
    <w:p w14:paraId="24637554" w14:textId="22960CD0" w:rsidR="008C21CB" w:rsidRPr="001B6D09" w:rsidRDefault="00000000" w:rsidP="001B6D09">
      <w:pPr>
        <w:pStyle w:val="JuPara"/>
        <w:jc w:val="both"/>
      </w:pPr>
      <w:fldSimple w:instr=" SEQ level0 \*arabic ">
        <w:r w:rsidR="006F4160">
          <w:rPr>
            <w:noProof/>
          </w:rPr>
          <w:t>64</w:t>
        </w:r>
      </w:fldSimple>
      <w:r w:rsidR="00E21CEF">
        <w:t>.  Orzeczeniem z 27 stycznia 2011 r. Trybunał Konstytucyjny</w:t>
      </w:r>
      <w:r w:rsidR="00E21CEF">
        <w:rPr>
          <w:i/>
        </w:rPr>
        <w:t>(</w:t>
      </w:r>
      <w:proofErr w:type="spellStart"/>
      <w:r w:rsidR="00E21CEF">
        <w:rPr>
          <w:i/>
        </w:rPr>
        <w:t>Ustavni</w:t>
      </w:r>
      <w:proofErr w:type="spellEnd"/>
      <w:r w:rsidR="00E21CEF">
        <w:rPr>
          <w:i/>
        </w:rPr>
        <w:t xml:space="preserve"> </w:t>
      </w:r>
      <w:proofErr w:type="spellStart"/>
      <w:r w:rsidR="00E21CEF">
        <w:rPr>
          <w:i/>
        </w:rPr>
        <w:t>sud</w:t>
      </w:r>
      <w:proofErr w:type="spellEnd"/>
      <w:r w:rsidR="00E21CEF">
        <w:rPr>
          <w:i/>
        </w:rPr>
        <w:t xml:space="preserve"> </w:t>
      </w:r>
      <w:proofErr w:type="spellStart"/>
      <w:r w:rsidR="00E21CEF">
        <w:rPr>
          <w:i/>
        </w:rPr>
        <w:t>Republike</w:t>
      </w:r>
      <w:proofErr w:type="spellEnd"/>
      <w:r w:rsidR="00E21CEF">
        <w:rPr>
          <w:i/>
        </w:rPr>
        <w:t xml:space="preserve"> </w:t>
      </w:r>
      <w:proofErr w:type="spellStart"/>
      <w:r w:rsidR="00E21CEF">
        <w:rPr>
          <w:i/>
        </w:rPr>
        <w:t>Hrvatske</w:t>
      </w:r>
      <w:proofErr w:type="spellEnd"/>
      <w:r w:rsidR="00E21CEF">
        <w:t xml:space="preserve">) uznał późniejszą skargę konstytucyjną złożoną przez skarżącego za niedopuszczalną. </w:t>
      </w:r>
      <w:r w:rsidR="001A0AD3">
        <w:t xml:space="preserve">Stwierdził </w:t>
      </w:r>
      <w:r w:rsidR="00E21CEF">
        <w:t>on, że orzeczenie Sądu Najwyższego wydane w następstwie wniosku o rewizję nadzwyczajną od prawomocnego wyroku nie podlega kontroli konstytucyjn</w:t>
      </w:r>
      <w:r w:rsidR="001A0AD3">
        <w:t>ej</w:t>
      </w:r>
      <w:r w:rsidR="00E21CEF">
        <w:t>.</w:t>
      </w:r>
    </w:p>
    <w:p w14:paraId="1698E392" w14:textId="327AF9D1" w:rsidR="008C21CB" w:rsidRPr="001B6D09" w:rsidRDefault="00E21CEF" w:rsidP="001B6D09">
      <w:pPr>
        <w:pStyle w:val="JuPara"/>
        <w:jc w:val="both"/>
      </w:pPr>
      <w:r w:rsidRPr="001B6D09">
        <w:rPr>
          <w:rFonts w:ascii="Times New Roman" w:eastAsia="PMingLiU" w:hAnsi="Times New Roman" w:cs="Times New Roman"/>
        </w:rPr>
        <w:fldChar w:fldCharType="begin"/>
      </w:r>
      <w:r w:rsidRPr="001B6D09">
        <w:rPr>
          <w:rFonts w:ascii="Times New Roman" w:eastAsia="PMingLiU" w:hAnsi="Times New Roman" w:cs="Times New Roman"/>
        </w:rPr>
        <w:instrText xml:space="preserve"> SEQ level0 \*arabic </w:instrText>
      </w:r>
      <w:r w:rsidRPr="001B6D09">
        <w:rPr>
          <w:rFonts w:ascii="Times New Roman" w:eastAsia="PMingLiU" w:hAnsi="Times New Roman" w:cs="Times New Roman"/>
        </w:rPr>
        <w:fldChar w:fldCharType="separate"/>
      </w:r>
      <w:r w:rsidR="006F4160">
        <w:rPr>
          <w:rFonts w:ascii="Times New Roman" w:eastAsia="PMingLiU" w:hAnsi="Times New Roman" w:cs="Times New Roman"/>
          <w:noProof/>
        </w:rPr>
        <w:t>65</w:t>
      </w:r>
      <w:r w:rsidRPr="001B6D09">
        <w:rPr>
          <w:rFonts w:ascii="Times New Roman" w:eastAsia="PMingLiU" w:hAnsi="Times New Roman" w:cs="Times New Roman"/>
        </w:rPr>
        <w:fldChar w:fldCharType="end"/>
      </w:r>
      <w:r>
        <w:rPr>
          <w:rFonts w:ascii="Times New Roman" w:hAnsi="Times New Roman"/>
        </w:rPr>
        <w:t xml:space="preserve">.  W dniu 16 marca 2012 r. skarżący został warunkowo zwolniony </w:t>
      </w:r>
      <w:r w:rsidR="001A0AD3">
        <w:rPr>
          <w:rFonts w:ascii="Times New Roman" w:hAnsi="Times New Roman"/>
        </w:rPr>
        <w:br/>
      </w:r>
      <w:r>
        <w:rPr>
          <w:rFonts w:ascii="Times New Roman" w:hAnsi="Times New Roman"/>
        </w:rPr>
        <w:t>z zakładu karnego.</w:t>
      </w:r>
    </w:p>
    <w:p w14:paraId="6D65381B" w14:textId="77777777" w:rsidR="004A294E" w:rsidRPr="001B6D09" w:rsidRDefault="004A294E" w:rsidP="001B6D09">
      <w:pPr>
        <w:pStyle w:val="JuHHead"/>
      </w:pPr>
      <w:r>
        <w:t>WŁAŚCIWE RAMY PRAWNE</w:t>
      </w:r>
    </w:p>
    <w:p w14:paraId="5A3DB0BB" w14:textId="032AA474" w:rsidR="009300AB" w:rsidRPr="001B6D09" w:rsidRDefault="009300AB" w:rsidP="001B6D09">
      <w:pPr>
        <w:pStyle w:val="JuHIRoman"/>
      </w:pPr>
      <w:r>
        <w:t>PRAW</w:t>
      </w:r>
      <w:r w:rsidR="001A0AD3">
        <w:t>O</w:t>
      </w:r>
      <w:r>
        <w:t xml:space="preserve"> KRAJOWE</w:t>
      </w:r>
    </w:p>
    <w:p w14:paraId="7A3CFFE9" w14:textId="4120742A" w:rsidR="001B3726" w:rsidRPr="001B6D09" w:rsidRDefault="00000000" w:rsidP="001B6D09">
      <w:pPr>
        <w:pStyle w:val="JuPara"/>
        <w:jc w:val="both"/>
        <w:rPr>
          <w:rFonts w:eastAsia="Times New Roman"/>
        </w:rPr>
      </w:pPr>
      <w:fldSimple w:instr=" SEQ level0 \*arabic ">
        <w:r w:rsidR="006F4160">
          <w:rPr>
            <w:noProof/>
          </w:rPr>
          <w:t>66</w:t>
        </w:r>
      </w:fldSimple>
      <w:r w:rsidR="006374CD">
        <w:t xml:space="preserve">.  Właściwe prawo krajowe w odniesieniu do nieobecności oskarżonego w postępowaniu karnym na posiedzeniach sądu odwoławczego zostało </w:t>
      </w:r>
      <w:r w:rsidR="00497048">
        <w:t xml:space="preserve">przedstawione </w:t>
      </w:r>
      <w:r w:rsidR="006374CD">
        <w:t xml:space="preserve">w sprawie </w:t>
      </w:r>
      <w:proofErr w:type="spellStart"/>
      <w:r w:rsidR="006374CD">
        <w:rPr>
          <w:i/>
        </w:rPr>
        <w:t>Arps</w:t>
      </w:r>
      <w:proofErr w:type="spellEnd"/>
      <w:r w:rsidR="006374CD">
        <w:rPr>
          <w:i/>
        </w:rPr>
        <w:t xml:space="preserve"> p</w:t>
      </w:r>
      <w:r w:rsidR="00497048">
        <w:rPr>
          <w:i/>
        </w:rPr>
        <w:t>.</w:t>
      </w:r>
      <w:r w:rsidR="006374CD">
        <w:rPr>
          <w:i/>
        </w:rPr>
        <w:t xml:space="preserve"> Chorwacji</w:t>
      </w:r>
      <w:r w:rsidR="006374CD">
        <w:t>, nr 23444/12, §§ 12-15, 25 października 2016 r.</w:t>
      </w:r>
    </w:p>
    <w:bookmarkStart w:id="35" w:name="Criminal_Code"/>
    <w:p w14:paraId="16E06513" w14:textId="458A5818" w:rsidR="001221E7" w:rsidRPr="001B6D09" w:rsidRDefault="001221E7" w:rsidP="001B6D09">
      <w:pPr>
        <w:pStyle w:val="JuPara"/>
        <w:jc w:val="both"/>
      </w:pPr>
      <w:r w:rsidRPr="001B6D09">
        <w:rPr>
          <w:rFonts w:eastAsia="Times New Roman"/>
        </w:rPr>
        <w:fldChar w:fldCharType="begin"/>
      </w:r>
      <w:r w:rsidRPr="001B6D09">
        <w:rPr>
          <w:rFonts w:eastAsia="Times New Roman"/>
        </w:rPr>
        <w:instrText xml:space="preserve"> SEQ level0 \*arabic </w:instrText>
      </w:r>
      <w:r w:rsidRPr="001B6D09">
        <w:rPr>
          <w:rFonts w:eastAsia="Times New Roman"/>
        </w:rPr>
        <w:fldChar w:fldCharType="separate"/>
      </w:r>
      <w:r w:rsidR="006F4160">
        <w:rPr>
          <w:rFonts w:eastAsia="Times New Roman"/>
          <w:noProof/>
        </w:rPr>
        <w:t>67</w:t>
      </w:r>
      <w:r w:rsidRPr="001B6D09">
        <w:rPr>
          <w:rFonts w:eastAsia="Times New Roman"/>
        </w:rPr>
        <w:fldChar w:fldCharType="end"/>
      </w:r>
      <w:bookmarkEnd w:id="35"/>
      <w:r>
        <w:t xml:space="preserve">.  Odpowiednie przepisy </w:t>
      </w:r>
      <w:r w:rsidR="00497048">
        <w:t>K</w:t>
      </w:r>
      <w:r>
        <w:t xml:space="preserve">odeksu </w:t>
      </w:r>
      <w:proofErr w:type="spellStart"/>
      <w:r>
        <w:t>karnego</w:t>
      </w:r>
      <w:r w:rsidR="00497048">
        <w:t>n</w:t>
      </w:r>
      <w:proofErr w:type="spellEnd"/>
      <w:r>
        <w:rPr>
          <w:i/>
        </w:rPr>
        <w:t>(</w:t>
      </w:r>
      <w:proofErr w:type="spellStart"/>
      <w:r>
        <w:rPr>
          <w:i/>
        </w:rPr>
        <w:t>Kazneni</w:t>
      </w:r>
      <w:proofErr w:type="spellEnd"/>
      <w:r>
        <w:rPr>
          <w:i/>
        </w:rPr>
        <w:t xml:space="preserve"> zakon</w:t>
      </w:r>
      <w:r>
        <w:t>, Dziennik Urzędowy nr</w:t>
      </w:r>
      <w:r w:rsidR="00497048">
        <w:t xml:space="preserve"> 110/1997</w:t>
      </w:r>
      <w:r w:rsidR="00F1530B">
        <w:t xml:space="preserve"> z dalszymi odniesieniami</w:t>
      </w:r>
      <w:r>
        <w:t>) obowiązujące w czasie istotnym dla sprawy</w:t>
      </w:r>
      <w:r w:rsidR="00F1530B">
        <w:t>,</w:t>
      </w:r>
      <w:r>
        <w:t xml:space="preserve"> brzmią następuj</w:t>
      </w:r>
      <w:r w:rsidR="00F1530B">
        <w:t>ąco</w:t>
      </w:r>
      <w:r>
        <w:t>:</w:t>
      </w:r>
    </w:p>
    <w:p w14:paraId="39924219" w14:textId="676271D3" w:rsidR="0054217C" w:rsidRPr="001B6D09" w:rsidRDefault="0054217C" w:rsidP="001B6D09">
      <w:pPr>
        <w:pStyle w:val="JuHArticle"/>
      </w:pPr>
      <w:r>
        <w:t>Zaniedbanie lub znęcanie się nad dzieckiem lub małoletnim</w:t>
      </w:r>
    </w:p>
    <w:p w14:paraId="3AFE9BC3" w14:textId="77777777" w:rsidR="0054217C" w:rsidRPr="001B6D09" w:rsidRDefault="0054217C" w:rsidP="001B6D09">
      <w:pPr>
        <w:pStyle w:val="JuHArticle"/>
      </w:pPr>
      <w:r>
        <w:t>Artykuł 213</w:t>
      </w:r>
    </w:p>
    <w:p w14:paraId="54AA6A25" w14:textId="77777777" w:rsidR="0054217C" w:rsidRPr="001B6D09" w:rsidRDefault="00670865" w:rsidP="001B6D09">
      <w:pPr>
        <w:pStyle w:val="JuQuot"/>
        <w:jc w:val="both"/>
      </w:pPr>
      <w:r>
        <w:t>„1. Rodzic, rodzic adopcyjny, opiekun lub inna osoba, która rażąco zaniedbuje swoje obowiązki w zakresie opieki lub wychowania dziecka lub małoletniego, podlega karze pozbawienia wolności od 6 miesięcy do lat 5.</w:t>
      </w:r>
    </w:p>
    <w:p w14:paraId="28B6F345" w14:textId="77777777" w:rsidR="0054217C" w:rsidRPr="001B6D09" w:rsidRDefault="00670865" w:rsidP="001B6D09">
      <w:pPr>
        <w:pStyle w:val="JuQuot"/>
        <w:jc w:val="both"/>
      </w:pPr>
      <w:r>
        <w:t xml:space="preserve">2. Karze o której mowa w ust. 1 podlega rodzic, rodzic adopcyjny, opiekun lub inna osoba, który(-a) znęca się nad dzieckiem lub małoletnim; [który(-a)] zmusza [dziecko] </w:t>
      </w:r>
      <w:r>
        <w:lastRenderedPageBreak/>
        <w:t>do wykonywania pracy nieodpowiedniej dla jego wieku, do nadmiernej pracy lub do żebrania; z chciwości nakłania [dziecko] do zachowania szkodliwego dla jego rozwoju; lub naraża [dziecko] na niebezpieczeństwo poprzez [angażowanie] w niebezpieczne działania lub w inny sposób.”</w:t>
      </w:r>
    </w:p>
    <w:p w14:paraId="0D9F7224" w14:textId="77777777" w:rsidR="00B64638" w:rsidRPr="001B6D09" w:rsidRDefault="00B64638" w:rsidP="001B6D09">
      <w:pPr>
        <w:pStyle w:val="JuHArticle"/>
      </w:pPr>
      <w:r>
        <w:t>Przemoc domowa</w:t>
      </w:r>
    </w:p>
    <w:p w14:paraId="38EA7AE9" w14:textId="77777777" w:rsidR="00B64638" w:rsidRPr="001B6D09" w:rsidRDefault="00B64638" w:rsidP="001B6D09">
      <w:pPr>
        <w:pStyle w:val="JuHArticle"/>
      </w:pPr>
      <w:r>
        <w:t>Artykuł 215a</w:t>
      </w:r>
    </w:p>
    <w:p w14:paraId="167A2074" w14:textId="486D8A3B" w:rsidR="00B64638" w:rsidRPr="001B6D09" w:rsidRDefault="00B64638" w:rsidP="001B6D09">
      <w:pPr>
        <w:pStyle w:val="JuQuotSub"/>
        <w:keepNext/>
        <w:keepLines/>
        <w:jc w:val="both"/>
      </w:pPr>
      <w:r>
        <w:t xml:space="preserve">„Członek rodziny, który poprzez przemoc, złe traktowanie lub szczególnie uwłaczające zachowanie stawia innego członka rodziny w upokarzającej sytuacji, podlega karze pozbawienia wolności na </w:t>
      </w:r>
      <w:r w:rsidR="00F1530B">
        <w:t xml:space="preserve">okres </w:t>
      </w:r>
      <w:r>
        <w:t>od 6 miesięcy do lat 5.”</w:t>
      </w:r>
    </w:p>
    <w:bookmarkStart w:id="36" w:name="Domestic_Violence_Act"/>
    <w:p w14:paraId="663BB384" w14:textId="3F24E98C" w:rsidR="0054217C" w:rsidRPr="001B6D09" w:rsidRDefault="0054217C"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68</w:t>
      </w:r>
      <w:r w:rsidRPr="001B6D09">
        <w:fldChar w:fldCharType="end"/>
      </w:r>
      <w:bookmarkEnd w:id="36"/>
      <w:r>
        <w:t xml:space="preserve">.  Ustawa o ochronie przed przemocą domową </w:t>
      </w:r>
      <w:r>
        <w:rPr>
          <w:i/>
        </w:rPr>
        <w:t xml:space="preserve">(Zakon o </w:t>
      </w:r>
      <w:proofErr w:type="spellStart"/>
      <w:r>
        <w:rPr>
          <w:i/>
        </w:rPr>
        <w:t>zaštiti</w:t>
      </w:r>
      <w:proofErr w:type="spellEnd"/>
      <w:r>
        <w:rPr>
          <w:i/>
        </w:rPr>
        <w:t xml:space="preserve"> od </w:t>
      </w:r>
      <w:proofErr w:type="spellStart"/>
      <w:r>
        <w:rPr>
          <w:i/>
        </w:rPr>
        <w:t>nasilja</w:t>
      </w:r>
      <w:proofErr w:type="spellEnd"/>
      <w:r>
        <w:rPr>
          <w:i/>
        </w:rPr>
        <w:t xml:space="preserve"> u </w:t>
      </w:r>
      <w:proofErr w:type="spellStart"/>
      <w:r>
        <w:rPr>
          <w:i/>
        </w:rPr>
        <w:t>obitelji</w:t>
      </w:r>
      <w:proofErr w:type="spellEnd"/>
      <w:r>
        <w:t xml:space="preserve">, Dziennik Urzędowy nr 116/2013), </w:t>
      </w:r>
      <w:r w:rsidR="00F1530B">
        <w:t xml:space="preserve">m. in. </w:t>
      </w:r>
      <w:r>
        <w:t>definiuje wykroczenie przemocy domowej i przewiduje sankcje, którym podlegają osoby skazane za to wykroczenie. Odpowiednie przepisy ustawy stanowią:</w:t>
      </w:r>
    </w:p>
    <w:p w14:paraId="1B62C3B2" w14:textId="77777777" w:rsidR="00212F2C" w:rsidRPr="001B6D09" w:rsidRDefault="00212F2C" w:rsidP="001B6D09">
      <w:pPr>
        <w:pStyle w:val="JuHArticle"/>
      </w:pPr>
      <w:r>
        <w:t>Artykuł 4</w:t>
      </w:r>
    </w:p>
    <w:p w14:paraId="36FA36FE" w14:textId="06206C11" w:rsidR="00212F2C" w:rsidRPr="001B6D09" w:rsidRDefault="00172481" w:rsidP="001B6D09">
      <w:pPr>
        <w:pStyle w:val="JuQuotSub"/>
        <w:jc w:val="both"/>
      </w:pPr>
      <w:r>
        <w:t>Przemoc</w:t>
      </w:r>
      <w:r w:rsidR="00F1530B">
        <w:t>ą</w:t>
      </w:r>
      <w:r>
        <w:t xml:space="preserve"> domow</w:t>
      </w:r>
      <w:r w:rsidR="00F1530B">
        <w:t>ą jest:</w:t>
      </w:r>
    </w:p>
    <w:p w14:paraId="381C7202" w14:textId="66D20702" w:rsidR="00212F2C" w:rsidRPr="001B6D09" w:rsidRDefault="00670865" w:rsidP="001B6D09">
      <w:pPr>
        <w:pStyle w:val="JuQuotSub"/>
        <w:jc w:val="both"/>
      </w:pPr>
      <w:r>
        <w:t>– każde użycie siły fizycznej lub psychicznej przeciwko nietykalności osoby;</w:t>
      </w:r>
    </w:p>
    <w:p w14:paraId="364E985C" w14:textId="77777777" w:rsidR="00212F2C" w:rsidRPr="001B6D09" w:rsidRDefault="00670865" w:rsidP="001B6D09">
      <w:pPr>
        <w:pStyle w:val="JuQuotSub"/>
        <w:jc w:val="both"/>
      </w:pPr>
      <w:r>
        <w:t>– wszelkie zachowania członka rodziny mogące wywołać strach przed bólem fizycznym lub psychicznym;</w:t>
      </w:r>
    </w:p>
    <w:p w14:paraId="0037CEE7" w14:textId="68CD54BF" w:rsidR="00212F2C" w:rsidRPr="001B6D09" w:rsidRDefault="00670865" w:rsidP="001B6D09">
      <w:pPr>
        <w:pStyle w:val="JuQuotSub"/>
        <w:jc w:val="both"/>
      </w:pPr>
      <w:r>
        <w:t>– wywołanie u [osoby] poczucia strachu lub osobistego zagrożenia, lub [spowodowanie] naruszenia godności osoby;</w:t>
      </w:r>
    </w:p>
    <w:p w14:paraId="78092059" w14:textId="77777777" w:rsidR="00212F2C" w:rsidRPr="001B6D09" w:rsidRDefault="00670865" w:rsidP="001B6D09">
      <w:pPr>
        <w:pStyle w:val="JuQuotSub"/>
        <w:jc w:val="both"/>
      </w:pPr>
      <w:r>
        <w:t>– napaść fizyczna, niezależnie od tego, czy skutkuje obrażeniami ciała;</w:t>
      </w:r>
    </w:p>
    <w:p w14:paraId="112AEB86" w14:textId="77777777" w:rsidR="00212F2C" w:rsidRPr="001B6D09" w:rsidRDefault="00670865" w:rsidP="001B6D09">
      <w:pPr>
        <w:pStyle w:val="JuQuotSub"/>
        <w:jc w:val="both"/>
      </w:pPr>
      <w:r>
        <w:t>– napaść słowna, obelgi, przekleństwa, wyzwiska lub inne formy poważnego nękania;</w:t>
      </w:r>
    </w:p>
    <w:p w14:paraId="369A38D7" w14:textId="77777777" w:rsidR="00212F2C" w:rsidRPr="001B6D09" w:rsidRDefault="00670865" w:rsidP="001B6D09">
      <w:pPr>
        <w:pStyle w:val="JuQuotSub"/>
        <w:jc w:val="both"/>
      </w:pPr>
      <w:r>
        <w:t>– molestowanie seksualne;</w:t>
      </w:r>
    </w:p>
    <w:p w14:paraId="55835CAE" w14:textId="77777777" w:rsidR="00172481" w:rsidRPr="001B6D09" w:rsidRDefault="00670865" w:rsidP="001B6D09">
      <w:pPr>
        <w:pStyle w:val="JuQuotSub"/>
        <w:jc w:val="both"/>
      </w:pPr>
      <w:r>
        <w:t>– prześladowanie i wszelkie inne formy nękania;</w:t>
      </w:r>
    </w:p>
    <w:p w14:paraId="2B87717A" w14:textId="30B8A4D1" w:rsidR="00172481" w:rsidRPr="001B6D09" w:rsidRDefault="00670865" w:rsidP="001B6D09">
      <w:pPr>
        <w:pStyle w:val="JuQuotSub"/>
        <w:jc w:val="both"/>
      </w:pPr>
      <w:r>
        <w:t>– bezprawne izolowanie [osoby] lub ograniczanie jej swobody przemieszczania się lub komunikacji z osobami trzecimi;</w:t>
      </w:r>
    </w:p>
    <w:p w14:paraId="06192F3D" w14:textId="510973DC" w:rsidR="00172481" w:rsidRPr="001B6D09" w:rsidRDefault="00670865" w:rsidP="001B6D09">
      <w:pPr>
        <w:pStyle w:val="JuQuotSub"/>
        <w:jc w:val="both"/>
      </w:pPr>
      <w:r>
        <w:t>– uszkadzanie lub niszczenie mienia lub podejmowanie takich prób.”</w:t>
      </w:r>
    </w:p>
    <w:p w14:paraId="0F35E971" w14:textId="77777777" w:rsidR="00172481" w:rsidRPr="001B6D09" w:rsidRDefault="00172481" w:rsidP="001B6D09">
      <w:pPr>
        <w:pStyle w:val="JuHArticle"/>
      </w:pPr>
      <w:r>
        <w:t>Artykuł 18</w:t>
      </w:r>
    </w:p>
    <w:p w14:paraId="224942F5" w14:textId="24DE713D" w:rsidR="00172481" w:rsidRPr="001B6D09" w:rsidRDefault="004D56AB" w:rsidP="001B6D09">
      <w:pPr>
        <w:pStyle w:val="JuQuot"/>
        <w:jc w:val="both"/>
      </w:pPr>
      <w:r>
        <w:t>„1. Członek rodziny, który dopuszcza się [aktu] przemocy domowej z art. 4 niniejszej ustawy, podlega grzywnie w wysokości od 1 000 do 10 000 kun chorwackich (HRK) za wykroczenie lub karze pozbawienia wolności do 60 dni.</w:t>
      </w:r>
    </w:p>
    <w:p w14:paraId="6F9A7F9A" w14:textId="77777777" w:rsidR="00172481" w:rsidRPr="001B6D09" w:rsidRDefault="004D56AB" w:rsidP="001B6D09">
      <w:pPr>
        <w:pStyle w:val="JuQuot"/>
        <w:jc w:val="both"/>
      </w:pPr>
      <w:r>
        <w:t>2. Członek rodziny, który ponownie dopuszcza się przemocy domowej, podlega grzywnie w wysokości co najmniej 5000 HRK za wykroczenie lub karze pozbawienia wolności na okres co najmniej 15 dni.</w:t>
      </w:r>
    </w:p>
    <w:p w14:paraId="151E258B" w14:textId="77777777" w:rsidR="00172481" w:rsidRPr="001B6D09" w:rsidRDefault="004D56AB" w:rsidP="001B6D09">
      <w:pPr>
        <w:pStyle w:val="JuQuot"/>
        <w:jc w:val="both"/>
      </w:pPr>
      <w:r>
        <w:t>3. Dorosły członek rodziny, który dopuszcza się przemocy domowej w obecności dziecka lub małoletniego, podlega grzywnie w wysokości co najmniej 6 000 HRK za wykroczenie lub karze pozbawienia wolności na okres co najmniej 30 dni.</w:t>
      </w:r>
    </w:p>
    <w:p w14:paraId="4092FCDE" w14:textId="04AAF952" w:rsidR="00172481" w:rsidRPr="001B6D09" w:rsidRDefault="00670865" w:rsidP="001B6D09">
      <w:pPr>
        <w:pStyle w:val="JuQuot"/>
        <w:jc w:val="both"/>
      </w:pPr>
      <w:r>
        <w:lastRenderedPageBreak/>
        <w:t>4. Dorosły członek rodziny, który ponownie dopuszcza się przemocy domowej z ust. 3, podlega grzywnie w wysokości co najmniej 7 000 HRK za wykroczenie lub karze pozbawienia wolności na okres co najmniej 40 dni.</w:t>
      </w:r>
    </w:p>
    <w:p w14:paraId="61FBB367" w14:textId="77777777" w:rsidR="00172481" w:rsidRPr="001B6D09" w:rsidRDefault="00670865" w:rsidP="001B6D09">
      <w:pPr>
        <w:pStyle w:val="JuQuot"/>
        <w:jc w:val="both"/>
      </w:pPr>
      <w:r>
        <w:t>5. Jeżeli przemoc, o której mowa w ust. 3, została popełniona na szkodę dziecka lub małoletniego, sprawca podlega grzywnie w wysokości co najmniej 7 000 HRK za wykroczenie lub karze pozbawienia wolności na okres co najmniej 40 dni.”</w:t>
      </w:r>
    </w:p>
    <w:bookmarkStart w:id="37" w:name="Supreme_Court_judgment"/>
    <w:p w14:paraId="101E5FB2" w14:textId="2E2B6F32" w:rsidR="00453B11" w:rsidRPr="001B6D09" w:rsidRDefault="00453B11" w:rsidP="001B6D09">
      <w:pPr>
        <w:pStyle w:val="JuPara"/>
        <w:jc w:val="both"/>
        <w:rPr>
          <w:color w:val="000000"/>
        </w:rPr>
      </w:pPr>
      <w:r w:rsidRPr="001B6D09">
        <w:fldChar w:fldCharType="begin"/>
      </w:r>
      <w:r w:rsidRPr="001B6D09">
        <w:instrText xml:space="preserve"> SEQ level0 \*arabic </w:instrText>
      </w:r>
      <w:r w:rsidRPr="001B6D09">
        <w:fldChar w:fldCharType="separate"/>
      </w:r>
      <w:r w:rsidR="006F4160">
        <w:rPr>
          <w:noProof/>
        </w:rPr>
        <w:t>69</w:t>
      </w:r>
      <w:r w:rsidRPr="001B6D09">
        <w:fldChar w:fldCharType="end"/>
      </w:r>
      <w:bookmarkEnd w:id="37"/>
      <w:r>
        <w:t xml:space="preserve">.  W wyroku </w:t>
      </w:r>
      <w:r>
        <w:rPr>
          <w:color w:val="000000"/>
        </w:rPr>
        <w:t>III Kr 50/11-4 z 17 stycznia 2013 r. Sąd Najwyższy orzekł, co następuje</w:t>
      </w:r>
      <w:r>
        <w:t>:</w:t>
      </w:r>
    </w:p>
    <w:p w14:paraId="7849EB01" w14:textId="6BD65736" w:rsidR="00453B11" w:rsidRPr="001B6D09" w:rsidRDefault="00453B11" w:rsidP="001B6D09">
      <w:pPr>
        <w:pStyle w:val="JuQuot"/>
        <w:jc w:val="both"/>
        <w:rPr>
          <w:sz w:val="27"/>
          <w:szCs w:val="27"/>
        </w:rPr>
      </w:pPr>
      <w:r>
        <w:t>„Nie ma racji skazany twierdząc, że nie zostały spełnione przesłanki wszczęcia przeciwko niemu postępowania karnego, skoro był on uprzednio skazany za to samo zdarzenie w postępowaniu w sprawie o wykroczenie....</w:t>
      </w:r>
    </w:p>
    <w:p w14:paraId="0E6439FB" w14:textId="0C40D724" w:rsidR="001B3726" w:rsidRPr="001B6D09" w:rsidRDefault="00453B11" w:rsidP="001B6D09">
      <w:pPr>
        <w:pStyle w:val="JuQuot"/>
        <w:jc w:val="both"/>
      </w:pPr>
      <w:r>
        <w:t xml:space="preserve">Wbrew twierdzeniom skazanego podkreślenia wymaga, że został on uznany za winnego popełnienia przestępstwa ciągłego polegającego na stosowaniu przemocy </w:t>
      </w:r>
      <w:r w:rsidR="00035B71">
        <w:br/>
      </w:r>
      <w:r>
        <w:t>w rodzinie określonej w art. 215a Kodeksu karnego, przy czym czynów tych dopuścił się wielokrotnie</w:t>
      </w:r>
      <w:r w:rsidR="00035B71">
        <w:t xml:space="preserve"> w ten sposób, że</w:t>
      </w:r>
      <w:r>
        <w:t xml:space="preserve"> atakował pokrzywdzoną słownie, a także fizycznie </w:t>
      </w:r>
      <w:r w:rsidR="00035B71">
        <w:br/>
      </w:r>
      <w:r>
        <w:t>w okresie od 26 marca 2002 r. do 25 września 2004 r. uderza</w:t>
      </w:r>
      <w:r w:rsidR="00035B71">
        <w:t>jąc</w:t>
      </w:r>
      <w:r>
        <w:t xml:space="preserve"> ją rękoma po całym ciele i głowie, popycha</w:t>
      </w:r>
      <w:r w:rsidR="00035B71">
        <w:t>jąc</w:t>
      </w:r>
      <w:r>
        <w:t xml:space="preserve"> [tak, że] pokrzywdzona – będąc osobą niepełnosprawną </w:t>
      </w:r>
      <w:r w:rsidR="00035B71">
        <w:br/>
      </w:r>
      <w:r>
        <w:t>i poruszającą się o kulach – przewróciła się, a także dwukrotnie uderz</w:t>
      </w:r>
      <w:r w:rsidR="00035B71">
        <w:t>ając</w:t>
      </w:r>
      <w:r>
        <w:t xml:space="preserve"> ją krzesłem w głowę i ciało.</w:t>
      </w:r>
    </w:p>
    <w:p w14:paraId="462CD4E7" w14:textId="0F1CFAF6" w:rsidR="001B3726" w:rsidRPr="001B6D09" w:rsidRDefault="00453B11" w:rsidP="001B6D09">
      <w:pPr>
        <w:pStyle w:val="JuQuot"/>
        <w:jc w:val="both"/>
      </w:pPr>
      <w:r>
        <w:t xml:space="preserve">W związku z </w:t>
      </w:r>
      <w:r w:rsidR="00035B71">
        <w:t xml:space="preserve">takimi </w:t>
      </w:r>
      <w:r>
        <w:t>zarzutami należy podkreślić, że agresywne zachowanie skazanego miało miejsce przez cały okres objęty zarzutami, poza trzema przypadkami, w związku z którymi uzyskano dokumentację medyczną.</w:t>
      </w:r>
    </w:p>
    <w:p w14:paraId="2A0E9077" w14:textId="36110656" w:rsidR="00453B11" w:rsidRPr="001B6D09" w:rsidRDefault="001B3726" w:rsidP="001B6D09">
      <w:pPr>
        <w:pStyle w:val="JuQuot"/>
        <w:jc w:val="both"/>
      </w:pPr>
      <w:r>
        <w:t>[…]</w:t>
      </w:r>
    </w:p>
    <w:p w14:paraId="0BC8FABA" w14:textId="2E8A337B" w:rsidR="00453B11" w:rsidRPr="001B6D09" w:rsidRDefault="001B3726" w:rsidP="001B6D09">
      <w:pPr>
        <w:pStyle w:val="JuQuot"/>
        <w:jc w:val="both"/>
      </w:pPr>
      <w:r>
        <w:t xml:space="preserve">...w odniesieniu do zdarzenia </w:t>
      </w:r>
      <w:r w:rsidR="00F26AA8">
        <w:t>z końca</w:t>
      </w:r>
      <w:r>
        <w:t xml:space="preserve"> przestępstwa ciągłego i dotyczącego dnia 25 września 2004 r., uzyskano dokumentację medyczną, a skazany został uznany za winnego stosowania przemocy w rodzinie w postępowaniu w sprawie o wykroczenie....</w:t>
      </w:r>
    </w:p>
    <w:p w14:paraId="38476EB6" w14:textId="3C05B042" w:rsidR="00453B11" w:rsidRPr="001B6D09" w:rsidRDefault="00453B11" w:rsidP="001B6D09">
      <w:pPr>
        <w:pStyle w:val="JuQuot"/>
        <w:jc w:val="both"/>
      </w:pPr>
      <w:r>
        <w:t xml:space="preserve">W ocenie Sądu Najwyższego, przedmiotowa sprawa dotyczy przestępstwa ciągłego określonego w art. 215a k.k., na które składają się liczne przypadki przemocy domowej doświadczanej przez pokrzywdzoną niemal codziennie, co stawiało ją w upokarzającej sytuacji, dlatego wyrok sądu do spraw wykroczeń w K. dotyczący zdarzenia z 25 września 2004 r. w żadnym razie nie stanowi orzeczenia sądu w tej samej sprawie, do której rozstrzygnięcia powołane były sądy karne w zwykłym postępowaniu karnym. Wynika to z faktu, że w postępowaniu w sprawie o wykroczenie ustalono winę skazanego tylko w odniesieniu do jednego czynu przemocy domowej popełnionego 24 września 2004 r., podczas gdy pozostałe czyny [przemocy domowej] i ich postaci [...] nie zostały nawet wymienione w opisie wykroczenia, więc choćby tylko z tych powodów </w:t>
      </w:r>
      <w:r w:rsidR="00031F2E">
        <w:t xml:space="preserve">niniejsza </w:t>
      </w:r>
      <w:r>
        <w:t xml:space="preserve">[sprawa] nie może dotyczyć </w:t>
      </w:r>
      <w:r w:rsidR="00031F2E">
        <w:rPr>
          <w:i/>
          <w:iCs/>
        </w:rPr>
        <w:t xml:space="preserve">res </w:t>
      </w:r>
      <w:proofErr w:type="spellStart"/>
      <w:r w:rsidR="00031F2E">
        <w:rPr>
          <w:i/>
          <w:iCs/>
        </w:rPr>
        <w:t>judicata</w:t>
      </w:r>
      <w:proofErr w:type="spellEnd"/>
      <w:r>
        <w:t>, jak błędnie twierdzi skazany ...”</w:t>
      </w:r>
    </w:p>
    <w:p w14:paraId="3B1327AE" w14:textId="7E15A2FB" w:rsidR="009300AB" w:rsidRPr="001B6D09" w:rsidRDefault="009300AB" w:rsidP="001B6D09">
      <w:pPr>
        <w:pStyle w:val="JuHIRoman"/>
      </w:pPr>
      <w:r>
        <w:t>PRAWO UNII EUROPEJSKIEJ</w:t>
      </w:r>
    </w:p>
    <w:bookmarkStart w:id="38" w:name="CJEU"/>
    <w:p w14:paraId="64E831B9" w14:textId="54761B01" w:rsidR="001B3726" w:rsidRPr="001B6D09" w:rsidRDefault="00F628E4"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70</w:t>
      </w:r>
      <w:r w:rsidRPr="001B6D09">
        <w:fldChar w:fldCharType="end"/>
      </w:r>
      <w:bookmarkEnd w:id="38"/>
      <w:r>
        <w:t xml:space="preserve">.  Odpowiednie orzecznictwo Trybunału Sprawiedliwości Unii Europejskiej (TSUE) zostało przytoczone w sprawie </w:t>
      </w:r>
      <w:proofErr w:type="spellStart"/>
      <w:r>
        <w:rPr>
          <w:i/>
        </w:rPr>
        <w:t>Bajčić</w:t>
      </w:r>
      <w:proofErr w:type="spellEnd"/>
      <w:r>
        <w:rPr>
          <w:i/>
        </w:rPr>
        <w:t xml:space="preserve"> p</w:t>
      </w:r>
      <w:r w:rsidR="00CD5499">
        <w:rPr>
          <w:i/>
        </w:rPr>
        <w:t>.</w:t>
      </w:r>
      <w:r>
        <w:rPr>
          <w:i/>
        </w:rPr>
        <w:t xml:space="preserve"> Chorwacji</w:t>
      </w:r>
      <w:r>
        <w:t>, nr 67334/13, § 15, z 8 października 2020 r. Zob</w:t>
      </w:r>
      <w:r w:rsidR="00CD5499">
        <w:t>acz</w:t>
      </w:r>
      <w:r>
        <w:t xml:space="preserve"> również wyrok TSUE </w:t>
      </w:r>
      <w:r w:rsidR="00CD5499">
        <w:br/>
      </w:r>
      <w:r>
        <w:t>w sprawach połączonych C</w:t>
      </w:r>
      <w:r>
        <w:noBreakHyphen/>
        <w:t xml:space="preserve">596/16 </w:t>
      </w:r>
      <w:r>
        <w:rPr>
          <w:i/>
        </w:rPr>
        <w:t>Enzo di Puma</w:t>
      </w:r>
      <w:r>
        <w:t xml:space="preserve"> i C</w:t>
      </w:r>
      <w:r>
        <w:noBreakHyphen/>
        <w:t xml:space="preserve">597/16 </w:t>
      </w:r>
      <w:proofErr w:type="spellStart"/>
      <w:r>
        <w:rPr>
          <w:i/>
        </w:rPr>
        <w:t>Anotnio</w:t>
      </w:r>
      <w:proofErr w:type="spellEnd"/>
      <w:r>
        <w:rPr>
          <w:i/>
        </w:rPr>
        <w:t xml:space="preserve"> Zecca</w:t>
      </w:r>
      <w:r>
        <w:t xml:space="preserve"> przyjęty 20 marca 2018 r.</w:t>
      </w:r>
    </w:p>
    <w:p w14:paraId="16167CF6" w14:textId="4D949CC0" w:rsidR="009300AB" w:rsidRPr="001B6D09" w:rsidRDefault="009300AB" w:rsidP="001B6D09">
      <w:pPr>
        <w:pStyle w:val="JuHIRoman"/>
      </w:pPr>
      <w:r>
        <w:lastRenderedPageBreak/>
        <w:t>PRAWO MIĘDZYNARODOWE</w:t>
      </w:r>
    </w:p>
    <w:bookmarkStart w:id="39" w:name="istanbul_convention"/>
    <w:p w14:paraId="2EFE11A9" w14:textId="6B39AFC2" w:rsidR="00161F1C" w:rsidRPr="001B6D09" w:rsidRDefault="00161F1C"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71</w:t>
      </w:r>
      <w:r w:rsidRPr="001B6D09">
        <w:fldChar w:fldCharType="end"/>
      </w:r>
      <w:bookmarkEnd w:id="39"/>
      <w:r>
        <w:t>.  Konwencj</w:t>
      </w:r>
      <w:r w:rsidR="00CD5499">
        <w:t>a</w:t>
      </w:r>
      <w:r>
        <w:t xml:space="preserve"> Rady Europy o zapobieganiu i zwalczaniu przemocy wobec kobiet i przemocy domowej („Konwencja Stambulska”), która weszła w życie w Chorwacji 1 października 2018 r., stanowi, co następuje:</w:t>
      </w:r>
    </w:p>
    <w:p w14:paraId="29F6D17F" w14:textId="77777777" w:rsidR="007C35B5" w:rsidRPr="001B6D09" w:rsidRDefault="007C35B5" w:rsidP="001B6D09">
      <w:pPr>
        <w:pStyle w:val="JuHArticle"/>
      </w:pPr>
      <w:r>
        <w:t>Artykuł 18 ust. 1</w:t>
      </w:r>
    </w:p>
    <w:p w14:paraId="7CCFC2D5" w14:textId="77777777" w:rsidR="007C35B5" w:rsidRPr="001B6D09" w:rsidRDefault="007C35B5" w:rsidP="001B6D09">
      <w:pPr>
        <w:pStyle w:val="JuQuot"/>
        <w:jc w:val="both"/>
      </w:pPr>
      <w:r>
        <w:t>„Strony podejmują konieczne środki prawne lub inne działania mające na celu ochronę wszystkich ofiar przed kolejnymi aktami przemocy”</w:t>
      </w:r>
    </w:p>
    <w:p w14:paraId="2E560B44" w14:textId="0981EA97" w:rsidR="007C35B5" w:rsidRPr="001B6D09" w:rsidRDefault="007C35B5" w:rsidP="001B6D09">
      <w:pPr>
        <w:pStyle w:val="JuHArticle"/>
      </w:pPr>
      <w:r>
        <w:t>Artykuł 45 ust. 1</w:t>
      </w:r>
    </w:p>
    <w:p w14:paraId="5E308B8D" w14:textId="5D033134" w:rsidR="007C35B5" w:rsidRPr="001B6D09" w:rsidRDefault="007C35B5" w:rsidP="001B6D09">
      <w:pPr>
        <w:pStyle w:val="JuQuot"/>
        <w:jc w:val="both"/>
      </w:pPr>
      <w:r>
        <w:t>„Strony podejmują konieczne działania ustawodawcze lub inne mające na celu zagwarantowanie, że przestępstwa, o których mowa w niniejszej Konwencji, podlegają efektywnym, proporcjonalnym i odstraszającym karom, z uwzględnieniem ich wagi.”</w:t>
      </w:r>
    </w:p>
    <w:p w14:paraId="276F1E5A" w14:textId="77777777" w:rsidR="00D420F3" w:rsidRPr="001B6D09" w:rsidRDefault="0077175D" w:rsidP="001B6D09">
      <w:pPr>
        <w:pStyle w:val="JuHHead"/>
      </w:pPr>
      <w:r>
        <w:t>PRAWO</w:t>
      </w:r>
    </w:p>
    <w:p w14:paraId="6CEC1B30" w14:textId="469456EF" w:rsidR="00D420F3" w:rsidRPr="001B6D09" w:rsidRDefault="0077175D" w:rsidP="00F7198F">
      <w:pPr>
        <w:pStyle w:val="JuHIRoman"/>
        <w:jc w:val="both"/>
      </w:pPr>
      <w:r>
        <w:t>ZARZUCANE NARUSZENIE ART. 6 UST. 1 I 3 LIT. B) I C) KONWENCJI</w:t>
      </w:r>
    </w:p>
    <w:p w14:paraId="38DBFEFE" w14:textId="1F189100" w:rsidR="00D420F3" w:rsidRPr="001B6D09" w:rsidRDefault="00000000" w:rsidP="001B6D09">
      <w:pPr>
        <w:pStyle w:val="JuPara"/>
        <w:jc w:val="both"/>
      </w:pPr>
      <w:fldSimple w:instr=" SEQ level0 \*arabic ">
        <w:r w:rsidR="006F4160">
          <w:rPr>
            <w:noProof/>
          </w:rPr>
          <w:t>72</w:t>
        </w:r>
      </w:fldSimple>
      <w:r w:rsidR="00136BFB">
        <w:t xml:space="preserve">.  Skarżący zarzucił, że w postępowaniu przed sądem okręgowym </w:t>
      </w:r>
      <w:r w:rsidR="00136BFB">
        <w:rPr>
          <w:rFonts w:ascii="Times New Roman" w:hAnsi="Times New Roman"/>
        </w:rPr>
        <w:t xml:space="preserve">nie miał odpowiedniego czasu na przygotowanie obrony i nie mógł bronić się ani osobiście, ani z pomocą adwokata, ponieważ został poinformowany </w:t>
      </w:r>
      <w:r w:rsidR="00C933D7">
        <w:rPr>
          <w:rFonts w:ascii="Times New Roman" w:hAnsi="Times New Roman"/>
        </w:rPr>
        <w:br/>
      </w:r>
      <w:r w:rsidR="00136BFB">
        <w:rPr>
          <w:rFonts w:ascii="Times New Roman" w:hAnsi="Times New Roman"/>
        </w:rPr>
        <w:t xml:space="preserve">o posiedzeniu sądu w dniu </w:t>
      </w:r>
      <w:r w:rsidR="00136BFB">
        <w:t>16 lutego 2010 r.</w:t>
      </w:r>
      <w:r w:rsidR="00C933D7">
        <w:t xml:space="preserve"> </w:t>
      </w:r>
      <w:r w:rsidR="00136BFB">
        <w:t xml:space="preserve">z zaledwie czterodniowym wyprzedzeniem. Nie miał również możliwości uczestniczenia w tym posiedzeniu sądu. Skarżący powołał się na art. 1 ust. 3 Konwencji, który </w:t>
      </w:r>
      <w:r w:rsidR="00680243">
        <w:br/>
      </w:r>
      <w:r w:rsidR="00136BFB">
        <w:t>w odpowiednim zakresie stanowi:</w:t>
      </w:r>
    </w:p>
    <w:p w14:paraId="6AD2282B" w14:textId="77777777" w:rsidR="008C21CB" w:rsidRPr="001B6D09" w:rsidRDefault="008C21CB" w:rsidP="001B6D09">
      <w:pPr>
        <w:pStyle w:val="JuQuot"/>
        <w:jc w:val="both"/>
      </w:pPr>
      <w:r>
        <w:t>„1.  „Każdy ma prawo do sprawiedliwego [...] rozpatrzenia jego sprawy [...] przez [...] sąd [...] w wytoczonej przeciwko niemu sprawie karnej.”.</w:t>
      </w:r>
    </w:p>
    <w:p w14:paraId="1B5BE7EB" w14:textId="77777777" w:rsidR="008C21CB" w:rsidRPr="001B6D09" w:rsidRDefault="008C21CB" w:rsidP="001B6D09">
      <w:pPr>
        <w:pStyle w:val="JuQuot"/>
        <w:jc w:val="both"/>
      </w:pPr>
      <w:r>
        <w:t>3.  Każdy oskarżony o popełnienie czynu zagrożonego karą ma co najmniej prawo do:</w:t>
      </w:r>
    </w:p>
    <w:p w14:paraId="2FDCE43C" w14:textId="77777777" w:rsidR="008C21CB" w:rsidRPr="001B6D09" w:rsidRDefault="008C21CB" w:rsidP="001B6D09">
      <w:pPr>
        <w:pStyle w:val="JuQuot"/>
        <w:jc w:val="both"/>
      </w:pPr>
      <w:r>
        <w:t>[…]</w:t>
      </w:r>
    </w:p>
    <w:p w14:paraId="482C9EAC" w14:textId="77777777" w:rsidR="001D7575" w:rsidRPr="001B6D09" w:rsidRDefault="001D7575" w:rsidP="001B6D09">
      <w:pPr>
        <w:pStyle w:val="JuQuot"/>
        <w:jc w:val="both"/>
      </w:pPr>
      <w:r>
        <w:t>b) posiadania odpowiedniego czasu i możliwości do przygotowania obrony;</w:t>
      </w:r>
    </w:p>
    <w:p w14:paraId="72D01442" w14:textId="77777777" w:rsidR="008C21CB" w:rsidRPr="001B6D09" w:rsidRDefault="008C21CB" w:rsidP="001B6D09">
      <w:pPr>
        <w:pStyle w:val="JuQuot"/>
        <w:jc w:val="both"/>
      </w:pPr>
      <w:r>
        <w:t>c)  bronienia się osobiście lub przez ustanowionego przez siebie obrońcę, a jeśli nie ma wystarczających środków na pokrycie kosztów obrony, do bezpłatnego korzystania z pomocy obrońcy wyznaczonego z urzędu, gdy wymaga tego dobro wymiaru sprawiedliwości;</w:t>
      </w:r>
    </w:p>
    <w:p w14:paraId="33A617C5" w14:textId="77777777" w:rsidR="008C21CB" w:rsidRPr="001B6D09" w:rsidRDefault="008C21CB" w:rsidP="001B6D09">
      <w:pPr>
        <w:pStyle w:val="JuQuot"/>
        <w:jc w:val="both"/>
      </w:pPr>
      <w:r>
        <w:t>[…]”.</w:t>
      </w:r>
    </w:p>
    <w:p w14:paraId="05EABAB6" w14:textId="4E7E9974" w:rsidR="00D420F3" w:rsidRPr="001B6D09" w:rsidRDefault="0077175D" w:rsidP="001B6D09">
      <w:pPr>
        <w:pStyle w:val="JuHA"/>
      </w:pPr>
      <w:r>
        <w:t>Dopuszczalność</w:t>
      </w:r>
    </w:p>
    <w:p w14:paraId="190978F0" w14:textId="403AC750" w:rsidR="00D420F3" w:rsidRPr="001B6D09" w:rsidRDefault="00000000" w:rsidP="001B6D09">
      <w:pPr>
        <w:pStyle w:val="JuPara"/>
        <w:jc w:val="both"/>
      </w:pPr>
      <w:fldSimple w:instr=" SEQ level0 \*arabic ">
        <w:r w:rsidR="006F4160">
          <w:rPr>
            <w:noProof/>
          </w:rPr>
          <w:t>73</w:t>
        </w:r>
      </w:fldSimple>
      <w:r w:rsidR="006374CD">
        <w:t>.  Trybunał zauważa, że ta część skargi nie jest w sposób oczywisty nieuzasadniona w rozumieniu art. 35 ust. 3 lit. </w:t>
      </w:r>
      <w:r w:rsidR="00C933D7">
        <w:t>A)</w:t>
      </w:r>
      <w:r w:rsidR="006374CD">
        <w:t xml:space="preserve"> Konwencji, ani nie jest </w:t>
      </w:r>
      <w:r w:rsidR="006374CD">
        <w:lastRenderedPageBreak/>
        <w:t>niedopuszczalna z innych względów. Musi zatem zostać uznana za dopuszczalną.</w:t>
      </w:r>
    </w:p>
    <w:p w14:paraId="1B715818" w14:textId="2BA08D05" w:rsidR="00D420F3" w:rsidRPr="001B6D09" w:rsidRDefault="0077175D" w:rsidP="001B6D09">
      <w:pPr>
        <w:pStyle w:val="JuHA"/>
      </w:pPr>
      <w:r>
        <w:t>Przedmiot skargi</w:t>
      </w:r>
    </w:p>
    <w:p w14:paraId="664D6071" w14:textId="28C0B21D" w:rsidR="00B60368" w:rsidRPr="001B6D09" w:rsidRDefault="00A51E0C" w:rsidP="00F7198F">
      <w:pPr>
        <w:pStyle w:val="JuH1"/>
        <w:jc w:val="both"/>
      </w:pPr>
      <w:r>
        <w:t>Art.</w:t>
      </w:r>
      <w:r w:rsidR="00B60368">
        <w:t xml:space="preserve"> 6 ust. 3 lit. b) i c) – zastępstwo procesowe w postępowaniu odwoławczym oraz odpowiedni czas i </w:t>
      </w:r>
      <w:r>
        <w:t xml:space="preserve">umożliwienie </w:t>
      </w:r>
      <w:r w:rsidR="00B60368">
        <w:t>przygotowania obrony</w:t>
      </w:r>
    </w:p>
    <w:p w14:paraId="4179B315" w14:textId="4B9EBAD6" w:rsidR="00986B7A" w:rsidRPr="001B6D09" w:rsidRDefault="00000000" w:rsidP="001B6D09">
      <w:pPr>
        <w:pStyle w:val="JuPara"/>
        <w:jc w:val="both"/>
      </w:pPr>
      <w:fldSimple w:instr=" SEQ level0 \*arabic ">
        <w:r w:rsidR="006F4160">
          <w:rPr>
            <w:noProof/>
          </w:rPr>
          <w:t>74</w:t>
        </w:r>
      </w:fldSimple>
      <w:r w:rsidR="00986B7A">
        <w:t xml:space="preserve">.  Trybunał uważa, że </w:t>
      </w:r>
      <w:r w:rsidR="00A51E0C">
        <w:t xml:space="preserve">zarzut </w:t>
      </w:r>
      <w:r w:rsidR="00986B7A">
        <w:t xml:space="preserve">skarżącego </w:t>
      </w:r>
      <w:r w:rsidR="00A51E0C">
        <w:t>z</w:t>
      </w:r>
      <w:r w:rsidR="00986B7A">
        <w:t xml:space="preserve"> art. 6 ust. 3 lit. b) Konwencji jest ściśle związan</w:t>
      </w:r>
      <w:r w:rsidR="00A51E0C">
        <w:t>y</w:t>
      </w:r>
      <w:r w:rsidR="00986B7A">
        <w:t xml:space="preserve"> z jego </w:t>
      </w:r>
      <w:r w:rsidR="00A51E0C">
        <w:t xml:space="preserve">zarzutem </w:t>
      </w:r>
      <w:r w:rsidR="00986B7A">
        <w:t>dotycząc</w:t>
      </w:r>
      <w:r w:rsidR="00A51E0C">
        <w:t>ym</w:t>
      </w:r>
      <w:r w:rsidR="00986B7A">
        <w:t xml:space="preserve"> prawa do bycia reprezentowanym przez adwokata na etapie postępowania odwoławczego. </w:t>
      </w:r>
      <w:r w:rsidR="00A51E0C">
        <w:br/>
      </w:r>
      <w:r w:rsidR="00986B7A">
        <w:t>W związku z tym kwesti</w:t>
      </w:r>
      <w:r w:rsidR="00BF5430">
        <w:t>e, czy</w:t>
      </w:r>
      <w:r w:rsidR="00986B7A">
        <w:t xml:space="preserve"> </w:t>
      </w:r>
      <w:r w:rsidR="00BF5430">
        <w:t xml:space="preserve">poszanowane było </w:t>
      </w:r>
      <w:r w:rsidR="00986B7A">
        <w:t>jego praw</w:t>
      </w:r>
      <w:r w:rsidR="00BF5430">
        <w:t>o</w:t>
      </w:r>
      <w:r w:rsidR="00986B7A">
        <w:t xml:space="preserve"> do posiadania odpowiedniego czasu i możliwości do przygotowania obrony oraz praw</w:t>
      </w:r>
      <w:r w:rsidR="00BF5430">
        <w:t>o</w:t>
      </w:r>
      <w:r w:rsidR="00986B7A">
        <w:t xml:space="preserve"> do bycia reprezentowanym przez adwokata, należy zbadać łącznie.</w:t>
      </w:r>
    </w:p>
    <w:p w14:paraId="74D7F2E9" w14:textId="23728394" w:rsidR="00240BC5" w:rsidRPr="001B6D09" w:rsidRDefault="00BF5430" w:rsidP="001B6D09">
      <w:pPr>
        <w:pStyle w:val="JuHa0"/>
      </w:pPr>
      <w:r>
        <w:t xml:space="preserve">Stanowiska </w:t>
      </w:r>
      <w:r w:rsidR="00240BC5">
        <w:t>stron</w:t>
      </w:r>
    </w:p>
    <w:p w14:paraId="1B8EBD06" w14:textId="429C3F1E" w:rsidR="00240BC5" w:rsidRPr="001B6D09" w:rsidRDefault="00000000" w:rsidP="001B6D09">
      <w:pPr>
        <w:pStyle w:val="JuPara"/>
        <w:jc w:val="both"/>
      </w:pPr>
      <w:fldSimple w:instr=" SEQ level0 \*arabic ">
        <w:r w:rsidR="006F4160">
          <w:rPr>
            <w:noProof/>
          </w:rPr>
          <w:t>75</w:t>
        </w:r>
      </w:fldSimple>
      <w:r w:rsidR="005A5D2F">
        <w:t>.  Skarżący argumentował, że ze względu na krótki okres pomiędzy poinformowaniem go o posiedzeniu odwoławcz</w:t>
      </w:r>
      <w:r w:rsidR="00BF5430">
        <w:t>ym</w:t>
      </w:r>
      <w:r w:rsidR="005A5D2F">
        <w:t xml:space="preserve"> a samym posiedzeniem, nie był w stanie zatrudnić adwokata i odpowiednio przygotować swojej obrony.</w:t>
      </w:r>
    </w:p>
    <w:p w14:paraId="38BCA89F" w14:textId="0114F65B" w:rsidR="001B3726" w:rsidRPr="001B6D09" w:rsidRDefault="00000000" w:rsidP="001B6D09">
      <w:pPr>
        <w:pStyle w:val="JuPara"/>
        <w:jc w:val="both"/>
      </w:pPr>
      <w:fldSimple w:instr=" SEQ level0 \*arabic ">
        <w:r w:rsidR="006F4160">
          <w:rPr>
            <w:noProof/>
          </w:rPr>
          <w:t>76</w:t>
        </w:r>
      </w:fldSimple>
      <w:r w:rsidR="005A5D2F">
        <w:t xml:space="preserve">.  Rząd utrzymywał, że skarżący miał wystarczająco dużo czasu </w:t>
      </w:r>
      <w:r w:rsidR="00BF5430">
        <w:br/>
      </w:r>
      <w:r w:rsidR="005A5D2F">
        <w:t xml:space="preserve">i możliwości, aby przygotować swoją obronę w postępowaniu odwoławczym, ponieważ wybrany przez niego adwokat, E.H., otrzymał wyrok </w:t>
      </w:r>
      <w:r w:rsidR="00BF5430">
        <w:t xml:space="preserve">sądu </w:t>
      </w:r>
      <w:r w:rsidR="005A5D2F">
        <w:t xml:space="preserve">pierwszej instancji 13 sierpnia 2009 r. i zarówno skarżący, jak </w:t>
      </w:r>
      <w:r w:rsidR="00BF5430">
        <w:br/>
      </w:r>
      <w:r w:rsidR="005A5D2F">
        <w:t xml:space="preserve">i E.H. złożyli apelacje od tego wyroku. Po odwołaniu przez skarżącego pełnomocnictwa dla E.H., sądy krajowe wyznaczyły skarżącemu obrońcę opłacanego przez państwo, a także przychyliły się do jego wniosków </w:t>
      </w:r>
      <w:r w:rsidR="00BD2012">
        <w:br/>
      </w:r>
      <w:r w:rsidR="005A5D2F">
        <w:t xml:space="preserve">o kontakt z innymi prawnikami. Kiedy Sąd Najwyższy uchylił wyrok </w:t>
      </w:r>
      <w:r w:rsidR="00BD2012">
        <w:t xml:space="preserve">sądu </w:t>
      </w:r>
      <w:r w:rsidR="00BD2012">
        <w:br/>
        <w:t xml:space="preserve">II </w:t>
      </w:r>
      <w:r w:rsidR="005A5D2F">
        <w:t xml:space="preserve">instancji i przekazał sprawę do ponownego rozpoznania sądowi odwoławczemu, sąd odwoławczy musiał </w:t>
      </w:r>
      <w:r w:rsidR="00BD2012">
        <w:t xml:space="preserve">rozpoznać </w:t>
      </w:r>
      <w:r w:rsidR="005A5D2F">
        <w:t>te same apelacje, które już rozpatrzył, tj. apelacje wniesione przez skarżącego i E.H. w sierpniu 2009 r.</w:t>
      </w:r>
    </w:p>
    <w:p w14:paraId="7B9036E4" w14:textId="1C3BB85C" w:rsidR="00C762BD" w:rsidRPr="001B6D09" w:rsidRDefault="00000000" w:rsidP="001B6D09">
      <w:pPr>
        <w:pStyle w:val="JuPara"/>
        <w:jc w:val="both"/>
      </w:pPr>
      <w:fldSimple w:instr=" SEQ level0 \*arabic ">
        <w:r w:rsidR="006F4160">
          <w:rPr>
            <w:noProof/>
          </w:rPr>
          <w:t>77</w:t>
        </w:r>
      </w:fldSimple>
      <w:r w:rsidR="00C762BD">
        <w:t xml:space="preserve">.  Sądy krajowe przychylały się również do wielokrotnych wniosków skarżącego o kontakt z innymi prawnikami i zezwoliły trzem prawnikom na odwiedzenie go w więzieniu. To skarżący </w:t>
      </w:r>
      <w:r w:rsidR="00BD2012">
        <w:t xml:space="preserve">był </w:t>
      </w:r>
      <w:r w:rsidR="00C762BD">
        <w:t>odpowiedzialny za to, że nie zatrudnił innego prawnika.</w:t>
      </w:r>
    </w:p>
    <w:p w14:paraId="6696B53F" w14:textId="5197C7CB" w:rsidR="00240BC5" w:rsidRPr="001B6D09" w:rsidRDefault="00000000" w:rsidP="001B6D09">
      <w:pPr>
        <w:pStyle w:val="JuPara"/>
        <w:jc w:val="both"/>
      </w:pPr>
      <w:fldSimple w:instr=" SEQ level0 \*arabic ">
        <w:r w:rsidR="006F4160">
          <w:rPr>
            <w:noProof/>
          </w:rPr>
          <w:t>78</w:t>
        </w:r>
      </w:fldSimple>
      <w:r w:rsidR="00455E00">
        <w:t xml:space="preserve">.  Skarżący został poinformowany o posiedzeniu sądu odwoławczego </w:t>
      </w:r>
      <w:r w:rsidR="00BD2012">
        <w:br/>
      </w:r>
      <w:r w:rsidR="00455E00">
        <w:t xml:space="preserve">z czterodniowym wyprzedzeniem, a biorąc pod uwagę fakt, że sąd odwoławczy </w:t>
      </w:r>
      <w:r w:rsidR="00BD2012">
        <w:t xml:space="preserve">miał wydać orzeczenie </w:t>
      </w:r>
      <w:r w:rsidR="00455E00">
        <w:t xml:space="preserve">w </w:t>
      </w:r>
      <w:r w:rsidR="00BD2012">
        <w:t>przedmiocie</w:t>
      </w:r>
      <w:r w:rsidR="00455E00">
        <w:t xml:space="preserve"> apelacji wniesionych </w:t>
      </w:r>
      <w:r w:rsidR="00B076FA">
        <w:br/>
      </w:r>
      <w:r w:rsidR="00455E00">
        <w:t>w sierpniu 2009 r., okresu tego nie można uznać za niewystarczający do przygotowania obrony. Ponadto skarżący, wnosząc o odroczenie posiedzenia sądu odwoławczego o siedem dni, nie wyjaśnił, jaki był cel tego odroczenia.</w:t>
      </w:r>
    </w:p>
    <w:p w14:paraId="3EB42BCC" w14:textId="08E70F28" w:rsidR="00240BC5" w:rsidRPr="001B6D09" w:rsidRDefault="00240BC5" w:rsidP="001B6D09">
      <w:pPr>
        <w:pStyle w:val="JuHa0"/>
      </w:pPr>
      <w:r>
        <w:lastRenderedPageBreak/>
        <w:t>Ocena Trybunału</w:t>
      </w:r>
    </w:p>
    <w:p w14:paraId="2100F8E5" w14:textId="3A0ED049" w:rsidR="00D0790C" w:rsidRPr="001B6D09" w:rsidRDefault="00D0790C" w:rsidP="001B6D09">
      <w:pPr>
        <w:pStyle w:val="JuHi"/>
      </w:pPr>
      <w:r>
        <w:t>Zasady ogólne</w:t>
      </w:r>
    </w:p>
    <w:p w14:paraId="3D591D1E" w14:textId="1C0B737A" w:rsidR="00BE4856" w:rsidRPr="001B6D09" w:rsidRDefault="00000000" w:rsidP="001B6D09">
      <w:pPr>
        <w:pStyle w:val="JuPara"/>
        <w:jc w:val="both"/>
        <w:rPr>
          <w:snapToGrid w:val="0"/>
        </w:rPr>
      </w:pPr>
      <w:fldSimple w:instr=" SEQ level0 \*arabic ">
        <w:r w:rsidR="006F4160">
          <w:rPr>
            <w:noProof/>
          </w:rPr>
          <w:t>79</w:t>
        </w:r>
      </w:fldSimple>
      <w:r w:rsidR="00BE4856">
        <w:t xml:space="preserve">.  Prawo do rzetelnego procesu sądowego </w:t>
      </w:r>
      <w:r w:rsidR="00B076FA">
        <w:t>z</w:t>
      </w:r>
      <w:r w:rsidR="00BE4856">
        <w:t xml:space="preserve"> art. 6 ust. 1 jest prawem bezwarunkowym. Jednakże to, co stanowi rzetelny proces sądowy nie może być przedmiotem jednej niezmiennej zasady, lecz musi zależeć od okoliczności konkretnej sprawy. Głównym przedmiotem uwagi Trybunału </w:t>
      </w:r>
      <w:r w:rsidR="00B076FA">
        <w:br/>
      </w:r>
      <w:r w:rsidR="00BE4856">
        <w:t xml:space="preserve">w kontekście art. 6 ust. 1 Konwencji jest ocena ogólnej rzetelności postępowania karnego (zob. m.in. wyrok w sprawie </w:t>
      </w:r>
      <w:r w:rsidR="00BE4856">
        <w:rPr>
          <w:i/>
        </w:rPr>
        <w:t xml:space="preserve">Ibrahim i </w:t>
      </w:r>
      <w:r w:rsidR="00B076FA">
        <w:rPr>
          <w:i/>
        </w:rPr>
        <w:t>I</w:t>
      </w:r>
      <w:r w:rsidR="00BE4856">
        <w:rPr>
          <w:i/>
        </w:rPr>
        <w:t>nni p</w:t>
      </w:r>
      <w:r w:rsidR="00B076FA">
        <w:rPr>
          <w:i/>
        </w:rPr>
        <w:t>.</w:t>
      </w:r>
      <w:r w:rsidR="00BE4856">
        <w:rPr>
          <w:i/>
        </w:rPr>
        <w:t xml:space="preserve"> Zjednoczonemu Królestwu </w:t>
      </w:r>
      <w:r w:rsidR="00BE4856">
        <w:rPr>
          <w:snapToGrid w:val="0"/>
        </w:rPr>
        <w:t>[WI], nr ref</w:t>
      </w:r>
      <w:r w:rsidR="00BE4856">
        <w:t>.</w:t>
      </w:r>
      <w:r w:rsidR="00BE4856">
        <w:rPr>
          <w:snapToGrid w:val="0"/>
        </w:rPr>
        <w:t xml:space="preserve"> 50541/08 </w:t>
      </w:r>
      <w:r w:rsidR="00BE4856">
        <w:t>i 3 inne</w:t>
      </w:r>
      <w:r w:rsidR="00BE4856">
        <w:rPr>
          <w:snapToGrid w:val="0"/>
        </w:rPr>
        <w:t xml:space="preserve">, § 250, </w:t>
      </w:r>
      <w:r w:rsidR="00BE4856">
        <w:t>13 września</w:t>
      </w:r>
      <w:r w:rsidR="00BE4856">
        <w:rPr>
          <w:snapToGrid w:val="0"/>
        </w:rPr>
        <w:t xml:space="preserve"> 2016 r.).</w:t>
      </w:r>
    </w:p>
    <w:p w14:paraId="1EBEDD05" w14:textId="4B0AAC40" w:rsidR="00BE4856" w:rsidRPr="001B6D09" w:rsidRDefault="00000000" w:rsidP="001B6D09">
      <w:pPr>
        <w:pStyle w:val="JuPara"/>
        <w:jc w:val="both"/>
      </w:pPr>
      <w:fldSimple w:instr=" SEQ level0 \*arabic ">
        <w:r w:rsidR="006F4160">
          <w:rPr>
            <w:noProof/>
          </w:rPr>
          <w:t>80</w:t>
        </w:r>
      </w:fldSimple>
      <w:r w:rsidR="00BE4856">
        <w:t xml:space="preserve">.  Zgodność z wymogami rzetelnego procesu musi </w:t>
      </w:r>
      <w:r w:rsidR="005F39BF">
        <w:t>być badana</w:t>
      </w:r>
      <w:r w:rsidR="00BE4856">
        <w:t xml:space="preserve"> w</w:t>
      </w:r>
      <w:r w:rsidR="005F39BF">
        <w:t xml:space="preserve"> każdej sprawie z uwzględnieniem</w:t>
      </w:r>
      <w:r w:rsidR="00BE4856">
        <w:t xml:space="preserve"> </w:t>
      </w:r>
      <w:r w:rsidR="005F39BF">
        <w:t>rozw</w:t>
      </w:r>
      <w:r w:rsidR="00BE4856">
        <w:t xml:space="preserve">oju postępowania jako całości, </w:t>
      </w:r>
      <w:r w:rsidR="005F39BF">
        <w:t xml:space="preserve">a </w:t>
      </w:r>
      <w:r w:rsidR="00BE4856">
        <w:t xml:space="preserve">nie na podstawie </w:t>
      </w:r>
      <w:r w:rsidR="00FE3424">
        <w:t>odosobnionej</w:t>
      </w:r>
      <w:r w:rsidR="005F39BF">
        <w:t xml:space="preserve"> </w:t>
      </w:r>
      <w:r w:rsidR="00BE4856">
        <w:t xml:space="preserve">oceny jednego </w:t>
      </w:r>
      <w:r w:rsidR="00FE3424">
        <w:t xml:space="preserve">konkretnego </w:t>
      </w:r>
      <w:r w:rsidR="00BE4856">
        <w:t xml:space="preserve">aspektu </w:t>
      </w:r>
      <w:r w:rsidR="00FE3424">
        <w:t>lub</w:t>
      </w:r>
      <w:r w:rsidR="005F39BF">
        <w:t xml:space="preserve"> zdarzenia</w:t>
      </w:r>
      <w:r w:rsidR="00BE4856">
        <w:t>, pomimo że nie można wykluczyć, że pojedynczy czynnik będzie na tyle istotny, że umożliwi ocenę rzetelności procesu na wcześniejszym etapie postępowania. Oceniając ogólną rzetelność postępowania, Trybunał weźmie pod uwagę</w:t>
      </w:r>
      <w:r w:rsidR="00FE3424">
        <w:t>, w stosownych przypadkach,</w:t>
      </w:r>
      <w:r w:rsidR="00BE4856">
        <w:t xml:space="preserve"> prawa minimalne wymienione w art. 6 ust. 3, które stanowią przykład wymogów rzetelnego procesu w odniesieniu do typowych </w:t>
      </w:r>
      <w:r w:rsidR="00FE3424">
        <w:t xml:space="preserve">sytuacji </w:t>
      </w:r>
      <w:r w:rsidR="00BE4856">
        <w:t xml:space="preserve">procesowych, które pojawiają się w sprawach karnych. Można je zatem postrzegać jako szczególne aspekty koncepcji rzetelnego procesu w postępowaniu karnym w art. 6 § 1. Jednakże te prawa </w:t>
      </w:r>
      <w:r w:rsidR="00541C46">
        <w:t xml:space="preserve">minimalne </w:t>
      </w:r>
      <w:r w:rsidR="00BE4856">
        <w:t xml:space="preserve">nie są celami samymi w sobie: ich nieodłącznym celem jest zawsze </w:t>
      </w:r>
      <w:r w:rsidR="00C773D3">
        <w:t xml:space="preserve">przyczynienie się do </w:t>
      </w:r>
      <w:r w:rsidR="00BE4856">
        <w:t>zapewnieni</w:t>
      </w:r>
      <w:r w:rsidR="00C773D3">
        <w:t>a</w:t>
      </w:r>
      <w:r w:rsidR="00BE4856">
        <w:t xml:space="preserve"> rzetelności postępowania karnego jako całości (ibid., § 251).</w:t>
      </w:r>
    </w:p>
    <w:p w14:paraId="1321DF95" w14:textId="61D73ED1" w:rsidR="001B3726" w:rsidRPr="001B6D09" w:rsidRDefault="00000000" w:rsidP="001B6D09">
      <w:pPr>
        <w:pStyle w:val="JuPara"/>
        <w:jc w:val="both"/>
      </w:pPr>
      <w:fldSimple w:instr=" SEQ level0 \*arabic ">
        <w:r w:rsidR="006F4160">
          <w:rPr>
            <w:noProof/>
          </w:rPr>
          <w:t>81</w:t>
        </w:r>
      </w:fldSimple>
      <w:r w:rsidR="00797AB5">
        <w:t>.  </w:t>
      </w:r>
      <w:bookmarkStart w:id="40" w:name="_100001B"/>
      <w:bookmarkEnd w:id="40"/>
      <w:r w:rsidR="00797AB5">
        <w:t>Art</w:t>
      </w:r>
      <w:r w:rsidR="00C773D3">
        <w:t>.</w:t>
      </w:r>
      <w:r w:rsidR="00797AB5">
        <w:t xml:space="preserve"> </w:t>
      </w:r>
      <w:bookmarkStart w:id="41" w:name="_100001C"/>
      <w:bookmarkEnd w:id="41"/>
      <w:r w:rsidR="00797AB5">
        <w:t xml:space="preserve">6 ust. </w:t>
      </w:r>
      <w:bookmarkStart w:id="42" w:name="_100001D"/>
      <w:bookmarkEnd w:id="42"/>
      <w:r w:rsidR="00797AB5">
        <w:t xml:space="preserve">3 lit. </w:t>
      </w:r>
      <w:bookmarkStart w:id="43" w:name="_100001E"/>
      <w:bookmarkEnd w:id="43"/>
      <w:r w:rsidR="00797AB5">
        <w:t xml:space="preserve">b) gwarantuje oskarżonemu „odpowiedni czas </w:t>
      </w:r>
      <w:r w:rsidR="00C773D3">
        <w:br/>
      </w:r>
      <w:r w:rsidR="00797AB5">
        <w:t>i możliwości przygotowania obrony” i wynika z niego, że merytoryczna czynność służąca obronie podejmowana w jego imieniu może obejmować wszystko, co</w:t>
      </w:r>
      <w:r w:rsidR="00C773D3">
        <w:t xml:space="preserve"> jest</w:t>
      </w:r>
      <w:r w:rsidR="00797AB5">
        <w:t xml:space="preserve"> „konieczne” do przygotowania się do rozprawy głównej. Oskarżony musi mieć możliwość zorganizowania </w:t>
      </w:r>
      <w:r w:rsidR="00C773D3">
        <w:t xml:space="preserve">swojej </w:t>
      </w:r>
      <w:r w:rsidR="00797AB5">
        <w:t xml:space="preserve">obrony </w:t>
      </w:r>
      <w:r w:rsidR="00C773D3">
        <w:br/>
      </w:r>
      <w:r w:rsidR="00797AB5">
        <w:t xml:space="preserve">w odpowiedni sposób i bez ograniczeń co do możliwości przedstawienia wszystkich istotnych argumentów przemawiających na jego korzyść </w:t>
      </w:r>
      <w:r w:rsidR="00C773D3">
        <w:t xml:space="preserve">przed </w:t>
      </w:r>
      <w:r w:rsidR="00797AB5">
        <w:t>sąd</w:t>
      </w:r>
      <w:r w:rsidR="00C773D3">
        <w:t>em</w:t>
      </w:r>
      <w:r w:rsidR="00797AB5">
        <w:t xml:space="preserve"> </w:t>
      </w:r>
      <w:r w:rsidR="00C773D3">
        <w:t>rozpoznającym sprawę</w:t>
      </w:r>
      <w:r w:rsidR="00797AB5">
        <w:t xml:space="preserve">, a przez to wpływania na </w:t>
      </w:r>
      <w:r w:rsidR="00C773D3">
        <w:t xml:space="preserve">wynik </w:t>
      </w:r>
      <w:r w:rsidR="00797AB5">
        <w:t>postępowania (zob.</w:t>
      </w:r>
      <w:r w:rsidR="00C773D3">
        <w:t xml:space="preserve"> </w:t>
      </w:r>
      <w:proofErr w:type="spellStart"/>
      <w:r w:rsidR="00797AB5">
        <w:rPr>
          <w:i/>
        </w:rPr>
        <w:t>Mayzit</w:t>
      </w:r>
      <w:proofErr w:type="spellEnd"/>
      <w:r w:rsidR="00797AB5">
        <w:rPr>
          <w:i/>
        </w:rPr>
        <w:t xml:space="preserve"> p</w:t>
      </w:r>
      <w:r w:rsidR="00C773D3">
        <w:rPr>
          <w:i/>
        </w:rPr>
        <w:t>.</w:t>
      </w:r>
      <w:r w:rsidR="00797AB5">
        <w:rPr>
          <w:i/>
        </w:rPr>
        <w:t xml:space="preserve"> Rosji</w:t>
      </w:r>
      <w:r w:rsidR="00797AB5">
        <w:t>, nr 63378/00, § 78, 20 stycznia 2005 r.</w:t>
      </w:r>
      <w:r w:rsidR="00C773D3">
        <w:t>,</w:t>
      </w:r>
      <w:r w:rsidR="00797AB5">
        <w:t xml:space="preserve"> </w:t>
      </w:r>
      <w:proofErr w:type="spellStart"/>
      <w:r w:rsidR="00797AB5">
        <w:rPr>
          <w:i/>
        </w:rPr>
        <w:t>Moiseyev</w:t>
      </w:r>
      <w:proofErr w:type="spellEnd"/>
      <w:r w:rsidR="00797AB5">
        <w:rPr>
          <w:i/>
        </w:rPr>
        <w:t xml:space="preserve"> </w:t>
      </w:r>
      <w:r w:rsidR="00ED1E59">
        <w:rPr>
          <w:i/>
        </w:rPr>
        <w:br/>
      </w:r>
      <w:r w:rsidR="00797AB5">
        <w:rPr>
          <w:i/>
        </w:rPr>
        <w:t>p</w:t>
      </w:r>
      <w:r w:rsidR="00C773D3">
        <w:rPr>
          <w:i/>
        </w:rPr>
        <w:t>.</w:t>
      </w:r>
      <w:r w:rsidR="00797AB5">
        <w:rPr>
          <w:i/>
        </w:rPr>
        <w:t xml:space="preserve"> Rosji</w:t>
      </w:r>
      <w:r w:rsidR="00797AB5">
        <w:t>, nr 62936/00, § 220, 9 października 2008 r.</w:t>
      </w:r>
      <w:r w:rsidR="00C773D3">
        <w:t>,</w:t>
      </w:r>
      <w:r w:rsidR="00797AB5">
        <w:t xml:space="preserve"> </w:t>
      </w:r>
      <w:proofErr w:type="spellStart"/>
      <w:r w:rsidR="00797AB5">
        <w:rPr>
          <w:i/>
        </w:rPr>
        <w:t>Gregačević</w:t>
      </w:r>
      <w:proofErr w:type="spellEnd"/>
      <w:r w:rsidR="00797AB5">
        <w:rPr>
          <w:i/>
        </w:rPr>
        <w:t xml:space="preserve"> </w:t>
      </w:r>
      <w:r w:rsidR="00ED1E59">
        <w:rPr>
          <w:i/>
        </w:rPr>
        <w:br/>
      </w:r>
      <w:r w:rsidR="00797AB5">
        <w:rPr>
          <w:i/>
        </w:rPr>
        <w:t>p</w:t>
      </w:r>
      <w:r w:rsidR="00C773D3">
        <w:rPr>
          <w:i/>
        </w:rPr>
        <w:t xml:space="preserve">. </w:t>
      </w:r>
      <w:r w:rsidR="00797AB5">
        <w:rPr>
          <w:i/>
        </w:rPr>
        <w:t>Chorwacji</w:t>
      </w:r>
      <w:r w:rsidR="00797AB5">
        <w:t xml:space="preserve">, nr 58331/09, § 51, 10 lipca 2012 r. oraz </w:t>
      </w:r>
      <w:proofErr w:type="spellStart"/>
      <w:r w:rsidR="00797AB5">
        <w:rPr>
          <w:i/>
        </w:rPr>
        <w:t>Chorniy</w:t>
      </w:r>
      <w:proofErr w:type="spellEnd"/>
      <w:r w:rsidR="00797AB5">
        <w:rPr>
          <w:i/>
        </w:rPr>
        <w:t xml:space="preserve"> p</w:t>
      </w:r>
      <w:r w:rsidR="00ED1E59">
        <w:rPr>
          <w:i/>
        </w:rPr>
        <w:t>.</w:t>
      </w:r>
      <w:r w:rsidR="00797AB5">
        <w:rPr>
          <w:i/>
        </w:rPr>
        <w:t xml:space="preserve"> Ukrainie</w:t>
      </w:r>
      <w:r w:rsidR="00797AB5">
        <w:t>, nr 35227/06, § 37, 16 maja 2013 r.).</w:t>
      </w:r>
    </w:p>
    <w:p w14:paraId="1087A07A" w14:textId="68E25F67" w:rsidR="001B3726" w:rsidRPr="001B6D09" w:rsidRDefault="00000000" w:rsidP="001B6D09">
      <w:pPr>
        <w:pStyle w:val="JuPara"/>
        <w:jc w:val="both"/>
        <w:rPr>
          <w:rFonts w:eastAsiaTheme="majorEastAsia"/>
        </w:rPr>
      </w:pPr>
      <w:fldSimple w:instr=" SEQ level0 \*arabic ">
        <w:r w:rsidR="006F4160">
          <w:rPr>
            <w:noProof/>
          </w:rPr>
          <w:t>82</w:t>
        </w:r>
      </w:fldSimple>
      <w:r w:rsidR="00FE58C1">
        <w:t xml:space="preserve">.  Oceniając, czy oskarżony miał odpowiedni czas na przygotowanie obrony, należy wziąć pod uwagę w szczególności charakter postępowania, </w:t>
      </w:r>
      <w:r w:rsidR="00ED1E59">
        <w:br/>
      </w:r>
      <w:r w:rsidR="00FE58C1">
        <w:t xml:space="preserve">a także złożoność sprawy i etap postępowania (zob. </w:t>
      </w:r>
      <w:proofErr w:type="spellStart"/>
      <w:r w:rsidR="00FE58C1">
        <w:rPr>
          <w:i/>
        </w:rPr>
        <w:t>Gregačević</w:t>
      </w:r>
      <w:proofErr w:type="spellEnd"/>
      <w:r w:rsidR="00FE58C1">
        <w:t>, cyt. pow</w:t>
      </w:r>
      <w:r w:rsidR="00ED1E59">
        <w:t>.</w:t>
      </w:r>
      <w:r w:rsidR="00FE58C1">
        <w:t xml:space="preserve">, </w:t>
      </w:r>
      <w:r w:rsidR="00ED1E59">
        <w:br/>
      </w:r>
      <w:r w:rsidR="00FE58C1">
        <w:t xml:space="preserve">§ 51, oraz </w:t>
      </w:r>
      <w:r w:rsidR="00FE58C1">
        <w:rPr>
          <w:i/>
        </w:rPr>
        <w:t xml:space="preserve">Albert i Le </w:t>
      </w:r>
      <w:proofErr w:type="spellStart"/>
      <w:r w:rsidR="00FE58C1">
        <w:rPr>
          <w:i/>
        </w:rPr>
        <w:t>Compte</w:t>
      </w:r>
      <w:proofErr w:type="spellEnd"/>
      <w:r w:rsidR="00FE58C1">
        <w:rPr>
          <w:i/>
        </w:rPr>
        <w:t xml:space="preserve"> p</w:t>
      </w:r>
      <w:r w:rsidR="00ED1E59">
        <w:rPr>
          <w:i/>
        </w:rPr>
        <w:t>.</w:t>
      </w:r>
      <w:r w:rsidR="00FE58C1">
        <w:rPr>
          <w:i/>
        </w:rPr>
        <w:t xml:space="preserve"> Belgii</w:t>
      </w:r>
      <w:r w:rsidR="00FE58C1">
        <w:t xml:space="preserve">, 10 lutego 1983 r., § 41, Seria A nr 58). W związku z tym Trybunał zauważa, że gwarancje zawarte w art. 6 § 3 (b) wykraczają poza samą rozprawę i rozciągają się na wszystkie etapy </w:t>
      </w:r>
      <w:r w:rsidR="00FE58C1">
        <w:lastRenderedPageBreak/>
        <w:t xml:space="preserve">postępowania sądowego (zob. </w:t>
      </w:r>
      <w:r w:rsidR="00FE58C1">
        <w:rPr>
          <w:i/>
        </w:rPr>
        <w:t>D.M.T. i D.K.I. p</w:t>
      </w:r>
      <w:r w:rsidR="00ED1E59">
        <w:rPr>
          <w:i/>
        </w:rPr>
        <w:t>.</w:t>
      </w:r>
      <w:r w:rsidR="00FE58C1">
        <w:rPr>
          <w:i/>
        </w:rPr>
        <w:t xml:space="preserve"> Bułgarii</w:t>
      </w:r>
      <w:r w:rsidR="00FE58C1">
        <w:t xml:space="preserve">, nr 29476/06, § 81, 24 lipca 2012 r. oraz </w:t>
      </w:r>
      <w:proofErr w:type="spellStart"/>
      <w:r w:rsidR="00FE58C1">
        <w:rPr>
          <w:i/>
        </w:rPr>
        <w:t>Chorniy</w:t>
      </w:r>
      <w:proofErr w:type="spellEnd"/>
      <w:r w:rsidR="00FE58C1">
        <w:t>, cyt. pow</w:t>
      </w:r>
      <w:r w:rsidR="00ED1E59">
        <w:t>.</w:t>
      </w:r>
      <w:r w:rsidR="00FE58C1">
        <w:t>, § 38).</w:t>
      </w:r>
    </w:p>
    <w:p w14:paraId="2B428F85" w14:textId="6E78C5C1" w:rsidR="00BE4856" w:rsidRPr="001B6D09" w:rsidRDefault="00000000" w:rsidP="001B6D09">
      <w:pPr>
        <w:pStyle w:val="JuPara"/>
        <w:jc w:val="both"/>
      </w:pPr>
      <w:fldSimple w:instr=" SEQ level0 \*arabic ">
        <w:r w:rsidR="006F4160">
          <w:rPr>
            <w:noProof/>
          </w:rPr>
          <w:t>83</w:t>
        </w:r>
      </w:fldSimple>
      <w:r w:rsidR="008F07A4">
        <w:t>. </w:t>
      </w:r>
      <w:r w:rsidR="00ED1E59">
        <w:t>Odnośnie do</w:t>
      </w:r>
      <w:r w:rsidR="008F07A4">
        <w:t xml:space="preserve"> prawa do adwokata, Trybunał przypom</w:t>
      </w:r>
      <w:r w:rsidR="00ED1E59">
        <w:t>ina</w:t>
      </w:r>
      <w:r w:rsidR="008F07A4">
        <w:t xml:space="preserve">, że gwarantowane na </w:t>
      </w:r>
      <w:r w:rsidR="00ED1E59">
        <w:t xml:space="preserve">mocy </w:t>
      </w:r>
      <w:r w:rsidR="008F07A4">
        <w:t xml:space="preserve">art. 6 ust. 3 lit. c) prawo do skutecznej obrony przez adwokata, ustanowionego z urzędu, jeśli zachodzi taka potrzeba, przysługujące każdej osobie, której przedstawiono zarzuty karne, jest jednym z podstawowych wymogów rzetelnego procesu (zob. </w:t>
      </w:r>
      <w:proofErr w:type="spellStart"/>
      <w:r w:rsidR="008F07A4">
        <w:rPr>
          <w:i/>
        </w:rPr>
        <w:t>Salduz</w:t>
      </w:r>
      <w:proofErr w:type="spellEnd"/>
      <w:r w:rsidR="008F07A4">
        <w:rPr>
          <w:i/>
        </w:rPr>
        <w:t xml:space="preserve"> p</w:t>
      </w:r>
      <w:r w:rsidR="00ED1E59">
        <w:rPr>
          <w:i/>
        </w:rPr>
        <w:t>.</w:t>
      </w:r>
      <w:r w:rsidR="008F07A4">
        <w:rPr>
          <w:i/>
        </w:rPr>
        <w:t xml:space="preserve"> Turcji </w:t>
      </w:r>
      <w:r w:rsidR="008F07A4">
        <w:t>[WI], nr 36391/02, § 51, ETPC 2008</w:t>
      </w:r>
      <w:r w:rsidR="00ED1E59">
        <w:t>,</w:t>
      </w:r>
      <w:r w:rsidR="008F07A4">
        <w:t xml:space="preserve"> </w:t>
      </w:r>
      <w:proofErr w:type="spellStart"/>
      <w:r w:rsidR="008F07A4">
        <w:rPr>
          <w:i/>
        </w:rPr>
        <w:t>Dvorski</w:t>
      </w:r>
      <w:proofErr w:type="spellEnd"/>
      <w:r w:rsidR="008F07A4">
        <w:rPr>
          <w:i/>
        </w:rPr>
        <w:t xml:space="preserve"> p</w:t>
      </w:r>
      <w:r w:rsidR="00ED1E59">
        <w:rPr>
          <w:i/>
        </w:rPr>
        <w:t>.</w:t>
      </w:r>
      <w:r w:rsidR="008F07A4">
        <w:rPr>
          <w:i/>
        </w:rPr>
        <w:t xml:space="preserve"> Chorwacji</w:t>
      </w:r>
      <w:r w:rsidR="008F07A4">
        <w:t xml:space="preserve"> [WI], nr 25703/11, § 76, ETPC 2015 oraz </w:t>
      </w:r>
      <w:proofErr w:type="spellStart"/>
      <w:r w:rsidR="008F07A4">
        <w:rPr>
          <w:i/>
        </w:rPr>
        <w:t>Simeonovi</w:t>
      </w:r>
      <w:proofErr w:type="spellEnd"/>
      <w:r w:rsidR="008F07A4">
        <w:rPr>
          <w:i/>
        </w:rPr>
        <w:t xml:space="preserve"> </w:t>
      </w:r>
      <w:r w:rsidR="0025103D">
        <w:rPr>
          <w:i/>
        </w:rPr>
        <w:t>p.</w:t>
      </w:r>
      <w:r w:rsidR="008F07A4">
        <w:rPr>
          <w:i/>
        </w:rPr>
        <w:t xml:space="preserve"> Bułgarii</w:t>
      </w:r>
      <w:r w:rsidR="008F07A4">
        <w:t xml:space="preserve"> [WI], nr 21980/04, § 112, 12 maja 2017 (fragmenty)). Samo wyznaczenie obrońcy nie gwarantuje jednak skuteczności pomocy, jakiej może on udzielić swojemu klientowi. </w:t>
      </w:r>
      <w:r w:rsidR="008F07A4">
        <w:rPr>
          <w:rFonts w:ascii="Times New Roman" w:hAnsi="Times New Roman"/>
        </w:rPr>
        <w:t xml:space="preserve">Niemniej jednak państwo nie może ponosić odpowiedzialności za każde niedociągnięcie ze strony prawnika wyznaczonego do pomocy prawnej. </w:t>
      </w:r>
      <w:r w:rsidR="00680243">
        <w:rPr>
          <w:rFonts w:ascii="Times New Roman" w:hAnsi="Times New Roman"/>
        </w:rPr>
        <w:br/>
      </w:r>
      <w:r w:rsidR="008F07A4">
        <w:rPr>
          <w:rFonts w:ascii="Times New Roman" w:hAnsi="Times New Roman"/>
        </w:rPr>
        <w:t xml:space="preserve">Z niezależności zawodu prawniczego od państwa wynika, że prowadzenie obrony jest zasadniczo sprawą między oskarżonym a jego obrońcą, bez względu na to, czy został on wyznaczony </w:t>
      </w:r>
      <w:r w:rsidR="0025103D">
        <w:rPr>
          <w:rFonts w:ascii="Times New Roman" w:hAnsi="Times New Roman"/>
        </w:rPr>
        <w:t>z urzędu</w:t>
      </w:r>
      <w:r w:rsidR="008F07A4">
        <w:rPr>
          <w:rFonts w:ascii="Times New Roman" w:hAnsi="Times New Roman"/>
        </w:rPr>
        <w:t xml:space="preserve">, czy jest opłacany ze środków prywatnych. Właściwe </w:t>
      </w:r>
      <w:r w:rsidR="0025103D">
        <w:rPr>
          <w:rFonts w:ascii="Times New Roman" w:hAnsi="Times New Roman"/>
        </w:rPr>
        <w:t xml:space="preserve">organy </w:t>
      </w:r>
      <w:r w:rsidR="008F07A4">
        <w:rPr>
          <w:rFonts w:ascii="Times New Roman" w:hAnsi="Times New Roman"/>
        </w:rPr>
        <w:t>krajowe są zobowiązane na mocy art. 6 ust. 3 lit. c) do interwencji tylko wtedy, gdy brak zapewnienia skutecznej pomocy prawnej przez adwokata z urzędu jest oczywisty lub dostatecznie zwrócono na to ich uwagę w inny sposób (</w:t>
      </w:r>
      <w:r w:rsidR="008F07A4">
        <w:t xml:space="preserve">zob. </w:t>
      </w:r>
      <w:proofErr w:type="spellStart"/>
      <w:r w:rsidR="008F07A4">
        <w:rPr>
          <w:i/>
        </w:rPr>
        <w:t>Czekalla</w:t>
      </w:r>
      <w:proofErr w:type="spellEnd"/>
      <w:r w:rsidR="008F07A4">
        <w:rPr>
          <w:i/>
        </w:rPr>
        <w:t xml:space="preserve"> p</w:t>
      </w:r>
      <w:r w:rsidR="0025103D">
        <w:rPr>
          <w:i/>
        </w:rPr>
        <w:t>.</w:t>
      </w:r>
      <w:r w:rsidR="008F07A4">
        <w:rPr>
          <w:i/>
        </w:rPr>
        <w:t xml:space="preserve"> Portugalii</w:t>
      </w:r>
      <w:r w:rsidR="008F07A4">
        <w:t>, nr. 38830/97, § 60, ETPC 2002-VIII oraz</w:t>
      </w:r>
      <w:r w:rsidR="008F07A4">
        <w:rPr>
          <w:rFonts w:ascii="Times New Roman" w:hAnsi="Times New Roman"/>
        </w:rPr>
        <w:t xml:space="preserve"> </w:t>
      </w:r>
      <w:proofErr w:type="spellStart"/>
      <w:r w:rsidR="008F07A4">
        <w:rPr>
          <w:i/>
        </w:rPr>
        <w:t>Orlov</w:t>
      </w:r>
      <w:proofErr w:type="spellEnd"/>
      <w:r w:rsidR="008F07A4">
        <w:rPr>
          <w:i/>
        </w:rPr>
        <w:t xml:space="preserve"> p</w:t>
      </w:r>
      <w:r w:rsidR="0025103D">
        <w:rPr>
          <w:i/>
        </w:rPr>
        <w:t>.</w:t>
      </w:r>
      <w:r w:rsidR="008F07A4">
        <w:rPr>
          <w:i/>
        </w:rPr>
        <w:t xml:space="preserve"> Rosji</w:t>
      </w:r>
      <w:r w:rsidR="008F07A4">
        <w:t>, nr 29652/04, § 108, 21 czerwca 2011 r.</w:t>
      </w:r>
      <w:r w:rsidR="008F07A4">
        <w:rPr>
          <w:rFonts w:ascii="Times New Roman" w:hAnsi="Times New Roman"/>
        </w:rPr>
        <w:t>).</w:t>
      </w:r>
    </w:p>
    <w:p w14:paraId="3388A4C1" w14:textId="2A4781BD" w:rsidR="00797AB5" w:rsidRPr="001B6D09" w:rsidRDefault="00797AB5" w:rsidP="001B6D09">
      <w:pPr>
        <w:pStyle w:val="JuHi"/>
      </w:pPr>
      <w:r>
        <w:t xml:space="preserve">Zastosowanie tych zasad w </w:t>
      </w:r>
      <w:r w:rsidR="0025103D">
        <w:t xml:space="preserve">niniejszej </w:t>
      </w:r>
      <w:r>
        <w:t>sprawie</w:t>
      </w:r>
    </w:p>
    <w:p w14:paraId="1C2545E0" w14:textId="7849E414" w:rsidR="000046D1" w:rsidRPr="001B6D09" w:rsidRDefault="00000000" w:rsidP="001B6D09">
      <w:pPr>
        <w:pStyle w:val="JuPara"/>
        <w:jc w:val="both"/>
      </w:pPr>
      <w:fldSimple w:instr=" SEQ level0 \*arabic ">
        <w:r w:rsidR="006F4160">
          <w:rPr>
            <w:noProof/>
          </w:rPr>
          <w:t>84</w:t>
        </w:r>
      </w:fldSimple>
      <w:r w:rsidR="00BE4856">
        <w:t xml:space="preserve">.  Zarzuty skarżącego dotyczą etapu postępowania odwoławczego </w:t>
      </w:r>
      <w:r w:rsidR="00575BE5">
        <w:br/>
      </w:r>
      <w:r w:rsidR="00BE4856">
        <w:t xml:space="preserve">i odnoszą się do jego rzekomej niemożności przygotowania obrony </w:t>
      </w:r>
      <w:r w:rsidR="00575BE5">
        <w:br/>
      </w:r>
      <w:r w:rsidR="00BE4856">
        <w:t xml:space="preserve">i zatrudnienia adwokata w krótkim okresie pomiędzy poinformowaniem go </w:t>
      </w:r>
      <w:r w:rsidR="00575BE5">
        <w:br/>
      </w:r>
      <w:r w:rsidR="00BE4856">
        <w:t xml:space="preserve">o posiedzeniu sądu odwoławczego a samym posiedzeniem. Trybunał zauważa, że wyrok </w:t>
      </w:r>
      <w:r w:rsidR="00575BE5">
        <w:t xml:space="preserve">sądu </w:t>
      </w:r>
      <w:r w:rsidR="00BE4856">
        <w:t>pierwszej instancji został wydany 14 lipca</w:t>
      </w:r>
      <w:r w:rsidR="00575BE5">
        <w:t xml:space="preserve"> </w:t>
      </w:r>
      <w:r w:rsidR="00BE4856">
        <w:rPr>
          <w:snapToGrid w:val="0"/>
        </w:rPr>
        <w:t>2009</w:t>
      </w:r>
      <w:r w:rsidR="00575BE5">
        <w:rPr>
          <w:snapToGrid w:val="0"/>
        </w:rPr>
        <w:t xml:space="preserve"> </w:t>
      </w:r>
      <w:r w:rsidR="00BE4856">
        <w:t>r</w:t>
      </w:r>
      <w:r w:rsidR="00575BE5">
        <w:t>.</w:t>
      </w:r>
      <w:r w:rsidR="00BE4856">
        <w:t xml:space="preserve"> (zob. par. </w:t>
      </w:r>
      <w:r w:rsidR="007C35B5" w:rsidRPr="001B6D09">
        <w:fldChar w:fldCharType="begin"/>
      </w:r>
      <w:r w:rsidR="007C35B5" w:rsidRPr="001B6D09">
        <w:instrText xml:space="preserve"> REF second_criminal_judgment \h </w:instrText>
      </w:r>
      <w:r w:rsidR="00B809F5" w:rsidRPr="001B6D09">
        <w:instrText xml:space="preserve"> \* MERGEFORMAT </w:instrText>
      </w:r>
      <w:r w:rsidR="007C35B5" w:rsidRPr="001B6D09">
        <w:fldChar w:fldCharType="separate"/>
      </w:r>
      <w:r w:rsidR="006F4160">
        <w:t>33</w:t>
      </w:r>
      <w:r w:rsidR="007C35B5" w:rsidRPr="001B6D09">
        <w:fldChar w:fldCharType="end"/>
      </w:r>
      <w:r w:rsidR="00BE4856">
        <w:t xml:space="preserve"> powyżej) oraz doręczony E.</w:t>
      </w:r>
      <w:r w:rsidR="00575BE5">
        <w:t xml:space="preserve"> </w:t>
      </w:r>
      <w:r w:rsidR="00BE4856">
        <w:t xml:space="preserve">H., obrońcy wybranemu przez skarżącego (por. </w:t>
      </w:r>
      <w:proofErr w:type="spellStart"/>
      <w:r w:rsidR="00BE4856">
        <w:rPr>
          <w:i/>
        </w:rPr>
        <w:t>Chorniy</w:t>
      </w:r>
      <w:proofErr w:type="spellEnd"/>
      <w:r w:rsidR="00BE4856">
        <w:rPr>
          <w:snapToGrid w:val="0"/>
        </w:rPr>
        <w:t>, cyt. pow</w:t>
      </w:r>
      <w:r w:rsidR="00575BE5">
        <w:rPr>
          <w:snapToGrid w:val="0"/>
        </w:rPr>
        <w:t>.</w:t>
      </w:r>
      <w:r w:rsidR="00BE4856">
        <w:rPr>
          <w:snapToGrid w:val="0"/>
        </w:rPr>
        <w:t xml:space="preserve">, § 41), </w:t>
      </w:r>
      <w:r w:rsidR="00575BE5">
        <w:rPr>
          <w:snapToGrid w:val="0"/>
        </w:rPr>
        <w:t>1</w:t>
      </w:r>
      <w:r w:rsidR="00BE4856">
        <w:rPr>
          <w:snapToGrid w:val="0"/>
        </w:rPr>
        <w:t>3 sierpnia 2009</w:t>
      </w:r>
      <w:r w:rsidR="00575BE5">
        <w:rPr>
          <w:snapToGrid w:val="0"/>
        </w:rPr>
        <w:t xml:space="preserve"> </w:t>
      </w:r>
      <w:r w:rsidR="00BE4856">
        <w:t>r. Zarówno skarżący, jak i E.</w:t>
      </w:r>
      <w:r w:rsidR="00575BE5">
        <w:t xml:space="preserve"> </w:t>
      </w:r>
      <w:r w:rsidR="00BE4856">
        <w:t xml:space="preserve">H. </w:t>
      </w:r>
      <w:r w:rsidR="00575BE5">
        <w:t>w</w:t>
      </w:r>
      <w:r w:rsidR="00BE4856">
        <w:t xml:space="preserve">nieśli apelacje (zob. pkt </w:t>
      </w:r>
      <w:r w:rsidR="000B17E0" w:rsidRPr="001B6D09">
        <w:fldChar w:fldCharType="begin"/>
      </w:r>
      <w:r w:rsidR="000B17E0" w:rsidRPr="001B6D09">
        <w:instrText xml:space="preserve"> REF appeal_applicant \h  \* MERGEFORMAT </w:instrText>
      </w:r>
      <w:r w:rsidR="000B17E0" w:rsidRPr="001B6D09">
        <w:fldChar w:fldCharType="separate"/>
      </w:r>
      <w:r w:rsidR="006F4160">
        <w:t>36</w:t>
      </w:r>
      <w:r w:rsidR="000B17E0" w:rsidRPr="001B6D09">
        <w:fldChar w:fldCharType="end"/>
      </w:r>
      <w:r w:rsidR="00BE4856">
        <w:t xml:space="preserve"> i </w:t>
      </w:r>
      <w:r w:rsidR="000B17E0" w:rsidRPr="001B6D09">
        <w:fldChar w:fldCharType="begin"/>
      </w:r>
      <w:r w:rsidR="000B17E0" w:rsidRPr="001B6D09">
        <w:instrText xml:space="preserve"> REF appeal_lawyer \h  \* MERGEFORMAT </w:instrText>
      </w:r>
      <w:r w:rsidR="000B17E0" w:rsidRPr="001B6D09">
        <w:fldChar w:fldCharType="separate"/>
      </w:r>
      <w:r w:rsidR="006F4160">
        <w:t>40</w:t>
      </w:r>
      <w:r w:rsidR="000B17E0" w:rsidRPr="001B6D09">
        <w:fldChar w:fldCharType="end"/>
      </w:r>
      <w:r w:rsidR="00BE4856">
        <w:t xml:space="preserve"> powyżej). Skarżący odwołał również pełnomocnictwo udzielone E.</w:t>
      </w:r>
      <w:r w:rsidR="00575BE5">
        <w:t xml:space="preserve"> </w:t>
      </w:r>
      <w:r w:rsidR="00BE4856">
        <w:t>H.. Następnie kilkakrotnie prosił o kontakt z innymi prawnikami.</w:t>
      </w:r>
    </w:p>
    <w:p w14:paraId="5CF659F8" w14:textId="209F11CF" w:rsidR="00517BAD" w:rsidRPr="001B6D09" w:rsidRDefault="00000000" w:rsidP="001B6D09">
      <w:pPr>
        <w:pStyle w:val="JuPara"/>
        <w:jc w:val="both"/>
      </w:pPr>
      <w:fldSimple w:instr=" SEQ level0 \*arabic ">
        <w:r w:rsidR="006F4160">
          <w:rPr>
            <w:noProof/>
          </w:rPr>
          <w:t>85</w:t>
        </w:r>
      </w:fldSimple>
      <w:r w:rsidR="00517BAD">
        <w:t xml:space="preserve">.  Trybunał zauważa, że sądy krajowe </w:t>
      </w:r>
      <w:r w:rsidR="00D100FF">
        <w:t xml:space="preserve">ustanowiły </w:t>
      </w:r>
      <w:r w:rsidR="00517BAD">
        <w:t>dla skarżącego obrońcę opłacanego przez państwo</w:t>
      </w:r>
      <w:r w:rsidR="00D100FF">
        <w:t>,</w:t>
      </w:r>
      <w:r w:rsidR="00517BAD">
        <w:t xml:space="preserve"> S.A., 9 września 2009 r. (zob. par. </w:t>
      </w:r>
      <w:r w:rsidR="0073516B" w:rsidRPr="001B6D09">
        <w:fldChar w:fldCharType="begin"/>
      </w:r>
      <w:r w:rsidR="0073516B" w:rsidRPr="001B6D09">
        <w:instrText xml:space="preserve"> REF SA_appointed \h </w:instrText>
      </w:r>
      <w:r w:rsidR="00E727A6" w:rsidRPr="001B6D09">
        <w:instrText xml:space="preserve"> \* MERGEFORMAT </w:instrText>
      </w:r>
      <w:r w:rsidR="0073516B" w:rsidRPr="001B6D09">
        <w:fldChar w:fldCharType="separate"/>
      </w:r>
      <w:r w:rsidR="006F4160">
        <w:t>42</w:t>
      </w:r>
      <w:r w:rsidR="0073516B" w:rsidRPr="001B6D09">
        <w:fldChar w:fldCharType="end"/>
      </w:r>
      <w:r w:rsidR="00517BAD">
        <w:t xml:space="preserve"> powyżej), po tym jak skarżący odwołał pełnomocnictwo udzielone E.</w:t>
      </w:r>
      <w:r w:rsidR="00D100FF">
        <w:t xml:space="preserve"> </w:t>
      </w:r>
      <w:r w:rsidR="00517BAD">
        <w:t xml:space="preserve">H. Skarżący </w:t>
      </w:r>
      <w:r w:rsidR="00D100FF">
        <w:t>zarzucał</w:t>
      </w:r>
      <w:r w:rsidR="00517BAD">
        <w:t xml:space="preserve">, że nie ma zaufania </w:t>
      </w:r>
      <w:r w:rsidR="00D100FF">
        <w:t xml:space="preserve">do </w:t>
      </w:r>
      <w:r w:rsidR="00517BAD">
        <w:t>S.</w:t>
      </w:r>
      <w:r w:rsidR="00D100FF">
        <w:t xml:space="preserve"> </w:t>
      </w:r>
      <w:r w:rsidR="00517BAD">
        <w:t xml:space="preserve">A. i zwrócił się do sądu </w:t>
      </w:r>
      <w:r w:rsidR="00D100FF">
        <w:br/>
      </w:r>
      <w:r w:rsidR="00517BAD">
        <w:t xml:space="preserve">o umożliwienie mu skontaktowania się z innymi prawnikami (zob. par. </w:t>
      </w:r>
      <w:r w:rsidR="00E727A6" w:rsidRPr="001B6D09">
        <w:fldChar w:fldCharType="begin"/>
      </w:r>
      <w:r w:rsidR="00E727A6" w:rsidRPr="001B6D09">
        <w:instrText xml:space="preserve"> REF asked_for_other_lawyer \h  \* MERGEFORMAT </w:instrText>
      </w:r>
      <w:r w:rsidR="00E727A6" w:rsidRPr="001B6D09">
        <w:fldChar w:fldCharType="separate"/>
      </w:r>
      <w:r w:rsidR="006F4160">
        <w:t>43</w:t>
      </w:r>
      <w:r w:rsidR="00E727A6" w:rsidRPr="001B6D09">
        <w:fldChar w:fldCharType="end"/>
      </w:r>
      <w:r w:rsidR="00517BAD">
        <w:t xml:space="preserve"> powyżej). Jego prośba została uwzględniona – skontaktował się z kilkoma innymi prawnikami, a trzech prawników odwiedziło go w więzieniu (zob. par. </w:t>
      </w:r>
      <w:r w:rsidR="0073516B" w:rsidRPr="001B6D09">
        <w:fldChar w:fldCharType="begin"/>
      </w:r>
      <w:r w:rsidR="0073516B" w:rsidRPr="001B6D09">
        <w:instrText xml:space="preserve"> REF lawyer1 \h </w:instrText>
      </w:r>
      <w:r w:rsidR="00E727A6" w:rsidRPr="001B6D09">
        <w:instrText xml:space="preserve"> \* MERGEFORMAT </w:instrText>
      </w:r>
      <w:r w:rsidR="0073516B" w:rsidRPr="001B6D09">
        <w:fldChar w:fldCharType="separate"/>
      </w:r>
      <w:r w:rsidR="006F4160">
        <w:t>44</w:t>
      </w:r>
      <w:r w:rsidR="0073516B" w:rsidRPr="001B6D09">
        <w:fldChar w:fldCharType="end"/>
      </w:r>
      <w:r w:rsidR="00517BAD">
        <w:t xml:space="preserve">, </w:t>
      </w:r>
      <w:r w:rsidR="0073516B" w:rsidRPr="001B6D09">
        <w:fldChar w:fldCharType="begin"/>
      </w:r>
      <w:r w:rsidR="0073516B" w:rsidRPr="001B6D09">
        <w:instrText xml:space="preserve"> REF lawyer2 \h </w:instrText>
      </w:r>
      <w:r w:rsidR="00E727A6" w:rsidRPr="001B6D09">
        <w:instrText xml:space="preserve"> \* MERGEFORMAT </w:instrText>
      </w:r>
      <w:r w:rsidR="0073516B" w:rsidRPr="001B6D09">
        <w:fldChar w:fldCharType="separate"/>
      </w:r>
      <w:r w:rsidR="006F4160">
        <w:t>47</w:t>
      </w:r>
      <w:r w:rsidR="0073516B" w:rsidRPr="001B6D09">
        <w:fldChar w:fldCharType="end"/>
      </w:r>
      <w:r w:rsidR="00517BAD">
        <w:t xml:space="preserve"> i </w:t>
      </w:r>
      <w:r w:rsidR="0073516B" w:rsidRPr="001B6D09">
        <w:fldChar w:fldCharType="begin"/>
      </w:r>
      <w:r w:rsidR="0073516B" w:rsidRPr="001B6D09">
        <w:instrText xml:space="preserve"> REF lawyer3 \h </w:instrText>
      </w:r>
      <w:r w:rsidR="00E727A6" w:rsidRPr="001B6D09">
        <w:instrText xml:space="preserve"> \* MERGEFORMAT </w:instrText>
      </w:r>
      <w:r w:rsidR="0073516B" w:rsidRPr="001B6D09">
        <w:fldChar w:fldCharType="separate"/>
      </w:r>
      <w:r w:rsidR="006F4160">
        <w:t>48</w:t>
      </w:r>
      <w:r w:rsidR="0073516B" w:rsidRPr="001B6D09">
        <w:fldChar w:fldCharType="end"/>
      </w:r>
      <w:r w:rsidR="00517BAD">
        <w:t xml:space="preserve"> powyżej). Skarżący nie zatrudnił jednak innego prawnika.</w:t>
      </w:r>
    </w:p>
    <w:p w14:paraId="0C4DBBA3" w14:textId="54339F51" w:rsidR="001B3726" w:rsidRPr="001B6D09" w:rsidRDefault="00000000" w:rsidP="001B6D09">
      <w:pPr>
        <w:pStyle w:val="JuPara"/>
        <w:jc w:val="both"/>
        <w:rPr>
          <w:rFonts w:ascii="Times New Roman" w:eastAsia="Times New Roman" w:hAnsi="Times New Roman" w:cs="Times New Roman"/>
        </w:rPr>
      </w:pPr>
      <w:fldSimple w:instr=" SEQ level0 \*arabic ">
        <w:r w:rsidR="006F4160">
          <w:rPr>
            <w:noProof/>
          </w:rPr>
          <w:t>86</w:t>
        </w:r>
      </w:fldSimple>
      <w:r w:rsidR="005D2379">
        <w:t>.  W dniu 2 listopada 2009 r. sąd odwoławczy oddalił apelacje  skarżącego i E.</w:t>
      </w:r>
      <w:r w:rsidR="00D100FF">
        <w:t xml:space="preserve"> </w:t>
      </w:r>
      <w:r w:rsidR="005D2379">
        <w:t xml:space="preserve">H. oraz utrzymał w mocy wyrok sądu pierwszej instancji (zob. </w:t>
      </w:r>
      <w:r w:rsidR="005D2379">
        <w:lastRenderedPageBreak/>
        <w:t xml:space="preserve">par. </w:t>
      </w:r>
      <w:r w:rsidR="00E727A6" w:rsidRPr="001B6D09">
        <w:fldChar w:fldCharType="begin"/>
      </w:r>
      <w:r w:rsidR="00E727A6" w:rsidRPr="001B6D09">
        <w:instrText xml:space="preserve"> REF appeal_dismissed \h  \* MERGEFORMAT </w:instrText>
      </w:r>
      <w:r w:rsidR="00E727A6" w:rsidRPr="001B6D09">
        <w:fldChar w:fldCharType="separate"/>
      </w:r>
      <w:r w:rsidR="006F4160">
        <w:t>51</w:t>
      </w:r>
      <w:r w:rsidR="00E727A6" w:rsidRPr="001B6D09">
        <w:fldChar w:fldCharType="end"/>
      </w:r>
      <w:r w:rsidR="005D2379">
        <w:t xml:space="preserve"> powyżej). W dniu 20 stycznia 2010 r. Sąd Najwyższy uchylił wyrok sądu odwoławczego i przekazał sprawę do ponownego rozpoznania. Należy podkreślić, że sąd odwoławczy miał rozpoznać apelacje wniesione przez skarżącego i E.H. odpowiednio w dniach 19 i 31 sierpnia 2009 r. oraz że </w:t>
      </w:r>
      <w:r w:rsidR="00F841CC">
        <w:br/>
      </w:r>
      <w:r w:rsidR="005D2379">
        <w:t xml:space="preserve">w chwili przekazania sprawy przez Sąd Najwyższy do sądu odwoławczego skarżący nie mógł wnosić kolejnych apelacji ani uzupełniać swoich wcześniejszych apelacji. Nic nie wskazuje na to – </w:t>
      </w:r>
      <w:r w:rsidR="00D100FF">
        <w:t>i</w:t>
      </w:r>
      <w:r w:rsidR="005D2379">
        <w:t xml:space="preserve"> skarżący nigdy nie podniósł żadnych zarzutów w tym zakresie – że nie miał wystarczająco dużo czasu i możliwości na przygotowanie apelacji</w:t>
      </w:r>
      <w:r w:rsidR="00D100FF">
        <w:t xml:space="preserve"> oraz</w:t>
      </w:r>
      <w:r w:rsidR="005D2379">
        <w:t xml:space="preserve"> że nie korzystał z usług adwokata w związku z apelacją, ani </w:t>
      </w:r>
      <w:r w:rsidR="00F841CC">
        <w:t xml:space="preserve">też, że </w:t>
      </w:r>
      <w:r w:rsidR="005D2379">
        <w:t xml:space="preserve">przygotowanie apelacji było utrudnione </w:t>
      </w:r>
      <w:r w:rsidR="00F841CC">
        <w:t>pod</w:t>
      </w:r>
      <w:r w:rsidR="005D2379">
        <w:t xml:space="preserve"> jakimkolwiek innym względ</w:t>
      </w:r>
      <w:r w:rsidR="00F841CC">
        <w:t>em</w:t>
      </w:r>
      <w:r w:rsidR="005D2379">
        <w:t xml:space="preserve"> (por. </w:t>
      </w:r>
      <w:proofErr w:type="spellStart"/>
      <w:r w:rsidR="005D2379">
        <w:rPr>
          <w:i/>
        </w:rPr>
        <w:t>Chorniy</w:t>
      </w:r>
      <w:proofErr w:type="spellEnd"/>
      <w:r w:rsidR="005D2379">
        <w:t>, cyt. pow</w:t>
      </w:r>
      <w:r w:rsidR="00F841CC">
        <w:t>.</w:t>
      </w:r>
      <w:r w:rsidR="005D2379">
        <w:t xml:space="preserve">, </w:t>
      </w:r>
      <w:r w:rsidR="00F841CC">
        <w:br/>
      </w:r>
      <w:r w:rsidR="005D2379">
        <w:t xml:space="preserve">§ </w:t>
      </w:r>
      <w:r w:rsidR="005D2379">
        <w:rPr>
          <w:snapToGrid w:val="0"/>
        </w:rPr>
        <w:t>40)</w:t>
      </w:r>
      <w:r w:rsidR="005D2379">
        <w:t>.</w:t>
      </w:r>
    </w:p>
    <w:p w14:paraId="3166A707" w14:textId="42C3765B" w:rsidR="006A54E2" w:rsidRPr="001B6D09" w:rsidRDefault="00000000" w:rsidP="001B6D09">
      <w:pPr>
        <w:pStyle w:val="JuPara"/>
        <w:jc w:val="both"/>
      </w:pPr>
      <w:fldSimple w:instr=" SEQ level0 \*arabic ">
        <w:r w:rsidR="006F4160">
          <w:rPr>
            <w:noProof/>
          </w:rPr>
          <w:t>87</w:t>
        </w:r>
      </w:fldSimple>
      <w:r w:rsidR="005D2379">
        <w:t>.  Trybunał pragnie również podkreślić, że podczas całego procesu przed sądem pierwszej instancji</w:t>
      </w:r>
      <w:r w:rsidR="00F841CC">
        <w:t>,</w:t>
      </w:r>
      <w:r w:rsidR="005D2379">
        <w:t xml:space="preserve"> skarżący był reprezentowany przez E.</w:t>
      </w:r>
      <w:r w:rsidR="00F841CC">
        <w:t xml:space="preserve"> </w:t>
      </w:r>
      <w:r w:rsidR="005D2379">
        <w:t xml:space="preserve">H., adwokata z </w:t>
      </w:r>
      <w:r w:rsidR="00F841CC">
        <w:t xml:space="preserve">jego własnego </w:t>
      </w:r>
      <w:r w:rsidR="005D2379">
        <w:t xml:space="preserve">wyboru oraz miał wystarczająco dużo czasu </w:t>
      </w:r>
      <w:r w:rsidR="00F841CC">
        <w:br/>
      </w:r>
      <w:r w:rsidR="005D2379">
        <w:t xml:space="preserve">i możliwości, aby skonsultować się z tym adwokatem i przygotować swoją obronę (por. </w:t>
      </w:r>
      <w:proofErr w:type="spellStart"/>
      <w:r w:rsidR="005D2379">
        <w:rPr>
          <w:i/>
        </w:rPr>
        <w:t>Falcão</w:t>
      </w:r>
      <w:proofErr w:type="spellEnd"/>
      <w:r w:rsidR="005D2379">
        <w:rPr>
          <w:i/>
        </w:rPr>
        <w:t xml:space="preserve"> </w:t>
      </w:r>
      <w:proofErr w:type="spellStart"/>
      <w:r w:rsidR="005D2379">
        <w:rPr>
          <w:i/>
        </w:rPr>
        <w:t>dos</w:t>
      </w:r>
      <w:proofErr w:type="spellEnd"/>
      <w:r w:rsidR="005D2379">
        <w:rPr>
          <w:i/>
        </w:rPr>
        <w:t xml:space="preserve"> Santos </w:t>
      </w:r>
      <w:r w:rsidR="00F841CC">
        <w:rPr>
          <w:i/>
        </w:rPr>
        <w:t>p.</w:t>
      </w:r>
      <w:r w:rsidR="005D2379">
        <w:rPr>
          <w:i/>
        </w:rPr>
        <w:t xml:space="preserve"> Portugalii</w:t>
      </w:r>
      <w:r w:rsidR="005D2379">
        <w:t>, nr 50002/08</w:t>
      </w:r>
      <w:r w:rsidR="005D2379">
        <w:rPr>
          <w:snapToGrid w:val="0"/>
        </w:rPr>
        <w:t>, § 44, 3 lipca 2012 r.)</w:t>
      </w:r>
      <w:r w:rsidR="005D2379">
        <w:t xml:space="preserve">. </w:t>
      </w:r>
      <w:r w:rsidR="005D2379">
        <w:rPr>
          <w:rFonts w:ascii="Times New Roman" w:hAnsi="Times New Roman"/>
        </w:rPr>
        <w:t xml:space="preserve">Nic nie wskazuje również na to, że skarżącemu ograniczano liczbę spotkań z wybranym przez </w:t>
      </w:r>
      <w:r w:rsidR="00F841CC">
        <w:rPr>
          <w:rFonts w:ascii="Times New Roman" w:hAnsi="Times New Roman"/>
        </w:rPr>
        <w:t>niego</w:t>
      </w:r>
      <w:r w:rsidR="005D2379">
        <w:rPr>
          <w:rFonts w:ascii="Times New Roman" w:hAnsi="Times New Roman"/>
        </w:rPr>
        <w:t xml:space="preserve"> adwokatem E.</w:t>
      </w:r>
      <w:r w:rsidR="00F841CC">
        <w:rPr>
          <w:rFonts w:ascii="Times New Roman" w:hAnsi="Times New Roman"/>
        </w:rPr>
        <w:t xml:space="preserve"> </w:t>
      </w:r>
      <w:r w:rsidR="005D2379">
        <w:rPr>
          <w:rFonts w:ascii="Times New Roman" w:hAnsi="Times New Roman"/>
        </w:rPr>
        <w:t xml:space="preserve">H. na jakimkolwiek etapie postępowania lub czas trwania tych spotkań (por. </w:t>
      </w:r>
      <w:proofErr w:type="spellStart"/>
      <w:r w:rsidR="005D2379">
        <w:rPr>
          <w:i/>
        </w:rPr>
        <w:t>Lambin</w:t>
      </w:r>
      <w:proofErr w:type="spellEnd"/>
      <w:r w:rsidR="005D2379">
        <w:rPr>
          <w:i/>
        </w:rPr>
        <w:t xml:space="preserve"> p</w:t>
      </w:r>
      <w:r w:rsidR="00F841CC">
        <w:rPr>
          <w:i/>
        </w:rPr>
        <w:t>.</w:t>
      </w:r>
      <w:r w:rsidR="005D2379">
        <w:rPr>
          <w:i/>
        </w:rPr>
        <w:t xml:space="preserve"> Rosji</w:t>
      </w:r>
      <w:r w:rsidR="005D2379">
        <w:t>, nr 12668/08, § 45, 21 listopada 2017 r.)</w:t>
      </w:r>
      <w:r w:rsidR="005D2379">
        <w:rPr>
          <w:rFonts w:ascii="Times New Roman" w:hAnsi="Times New Roman"/>
        </w:rPr>
        <w:t>.</w:t>
      </w:r>
    </w:p>
    <w:p w14:paraId="4A227403" w14:textId="5C17E956" w:rsidR="006A54E2" w:rsidRPr="001B6D09" w:rsidRDefault="00000000" w:rsidP="001B6D09">
      <w:pPr>
        <w:pStyle w:val="JuPara"/>
        <w:jc w:val="both"/>
      </w:pPr>
      <w:fldSimple w:instr=" SEQ level0 \*arabic ">
        <w:r w:rsidR="006F4160">
          <w:rPr>
            <w:noProof/>
          </w:rPr>
          <w:t>88</w:t>
        </w:r>
      </w:fldSimple>
      <w:r w:rsidR="005D2379">
        <w:t>.  </w:t>
      </w:r>
      <w:r w:rsidR="00F26E0B">
        <w:t>Zatem</w:t>
      </w:r>
      <w:r w:rsidR="005D2379">
        <w:t xml:space="preserve"> na etapie, na którym Sąd Najwyższy przekazał sprawę sądowi odwoławczemu do ponownego </w:t>
      </w:r>
      <w:r w:rsidR="00482601">
        <w:t xml:space="preserve">rozpoznania </w:t>
      </w:r>
      <w:r w:rsidR="005D2379">
        <w:t>apelacji skarżącego i E.</w:t>
      </w:r>
      <w:r w:rsidR="00482601">
        <w:t xml:space="preserve"> </w:t>
      </w:r>
      <w:r w:rsidR="005D2379">
        <w:t xml:space="preserve">H. (zob. par. </w:t>
      </w:r>
      <w:r w:rsidR="00A52104" w:rsidRPr="001B6D09">
        <w:fldChar w:fldCharType="begin"/>
      </w:r>
      <w:r w:rsidR="00A52104" w:rsidRPr="001B6D09">
        <w:instrText xml:space="preserve"> REF SC_quashed \h </w:instrText>
      </w:r>
      <w:r w:rsidR="00B809F5" w:rsidRPr="001B6D09">
        <w:instrText xml:space="preserve"> \* MERGEFORMAT </w:instrText>
      </w:r>
      <w:r w:rsidR="00A52104" w:rsidRPr="001B6D09">
        <w:fldChar w:fldCharType="separate"/>
      </w:r>
      <w:r w:rsidR="006F4160">
        <w:t>54</w:t>
      </w:r>
      <w:r w:rsidR="00A52104" w:rsidRPr="001B6D09">
        <w:fldChar w:fldCharType="end"/>
      </w:r>
      <w:r w:rsidR="005D2379">
        <w:t xml:space="preserve"> powyżej), skarżący korzystał już z usług wybranego przez siebie adwokata i miał wystarczająco dużo czasu na przygotowanie obrony. </w:t>
      </w:r>
      <w:r w:rsidR="00F26E0B">
        <w:br/>
      </w:r>
      <w:r w:rsidR="005D2379">
        <w:t xml:space="preserve">W związku z tym Trybunał zauważa, że skarżący, z pomocą swojego adwokata, przedstawił argumenty na swoją obronę przed sędzią śledczym (zob. par. </w:t>
      </w:r>
      <w:r w:rsidR="009B2BC2" w:rsidRPr="001B6D09">
        <w:fldChar w:fldCharType="begin"/>
      </w:r>
      <w:r w:rsidR="009B2BC2" w:rsidRPr="001B6D09">
        <w:instrText xml:space="preserve"> REF defence1 \h </w:instrText>
      </w:r>
      <w:r w:rsidR="000B17E0" w:rsidRPr="001B6D09">
        <w:instrText xml:space="preserve"> \* MERGEFORMAT </w:instrText>
      </w:r>
      <w:r w:rsidR="009B2BC2" w:rsidRPr="001B6D09">
        <w:fldChar w:fldCharType="separate"/>
      </w:r>
      <w:r w:rsidR="006F4160">
        <w:t>19</w:t>
      </w:r>
      <w:r w:rsidR="009B2BC2" w:rsidRPr="001B6D09">
        <w:fldChar w:fldCharType="end"/>
      </w:r>
      <w:r w:rsidR="005D2379">
        <w:t xml:space="preserve"> powyżej), na rozprawie przed sądem pierwszej instancji (zob. par. </w:t>
      </w:r>
      <w:r w:rsidR="009B2BC2" w:rsidRPr="001B6D09">
        <w:fldChar w:fldCharType="begin"/>
      </w:r>
      <w:r w:rsidR="009B2BC2" w:rsidRPr="001B6D09">
        <w:instrText xml:space="preserve"> REF defence5 \h </w:instrText>
      </w:r>
      <w:r w:rsidR="000B17E0" w:rsidRPr="001B6D09">
        <w:instrText xml:space="preserve"> \* MERGEFORMAT </w:instrText>
      </w:r>
      <w:r w:rsidR="009B2BC2" w:rsidRPr="001B6D09">
        <w:fldChar w:fldCharType="separate"/>
      </w:r>
      <w:r w:rsidR="006F4160">
        <w:t>30</w:t>
      </w:r>
      <w:r w:rsidR="009B2BC2" w:rsidRPr="001B6D09">
        <w:fldChar w:fldCharType="end"/>
      </w:r>
      <w:r w:rsidR="005D2379">
        <w:t xml:space="preserve"> powyżej) oraz trzykrotnie przedłożył dodatkowe pisemne argumenty </w:t>
      </w:r>
      <w:r w:rsidR="00F26E0B">
        <w:t xml:space="preserve">na </w:t>
      </w:r>
      <w:r w:rsidR="005D2379">
        <w:t>obron</w:t>
      </w:r>
      <w:r w:rsidR="00F26E0B">
        <w:t>ę</w:t>
      </w:r>
      <w:r w:rsidR="005D2379">
        <w:t xml:space="preserve"> (zob. par. </w:t>
      </w:r>
      <w:r w:rsidR="009B2BC2" w:rsidRPr="001B6D09">
        <w:fldChar w:fldCharType="begin"/>
      </w:r>
      <w:r w:rsidR="009B2BC2" w:rsidRPr="001B6D09">
        <w:instrText xml:space="preserve"> REF defence2 \h </w:instrText>
      </w:r>
      <w:r w:rsidR="000B17E0" w:rsidRPr="001B6D09">
        <w:instrText xml:space="preserve"> \* MERGEFORMAT </w:instrText>
      </w:r>
      <w:r w:rsidR="009B2BC2" w:rsidRPr="001B6D09">
        <w:fldChar w:fldCharType="separate"/>
      </w:r>
      <w:r w:rsidR="006F4160">
        <w:t>25</w:t>
      </w:r>
      <w:r w:rsidR="009B2BC2" w:rsidRPr="001B6D09">
        <w:fldChar w:fldCharType="end"/>
      </w:r>
      <w:r w:rsidR="005D2379">
        <w:t xml:space="preserve">, </w:t>
      </w:r>
      <w:r w:rsidR="009B2BC2" w:rsidRPr="001B6D09">
        <w:fldChar w:fldCharType="begin"/>
      </w:r>
      <w:r w:rsidR="009B2BC2" w:rsidRPr="001B6D09">
        <w:instrText xml:space="preserve"> REF defence3 \h </w:instrText>
      </w:r>
      <w:r w:rsidR="000B17E0" w:rsidRPr="001B6D09">
        <w:instrText xml:space="preserve"> \* MERGEFORMAT </w:instrText>
      </w:r>
      <w:r w:rsidR="009B2BC2" w:rsidRPr="001B6D09">
        <w:fldChar w:fldCharType="separate"/>
      </w:r>
      <w:r w:rsidR="006F4160">
        <w:t>27</w:t>
      </w:r>
      <w:r w:rsidR="009B2BC2" w:rsidRPr="001B6D09">
        <w:fldChar w:fldCharType="end"/>
      </w:r>
      <w:r w:rsidR="005D2379">
        <w:t xml:space="preserve"> i </w:t>
      </w:r>
      <w:r w:rsidR="009B2BC2" w:rsidRPr="001B6D09">
        <w:fldChar w:fldCharType="begin"/>
      </w:r>
      <w:r w:rsidR="009B2BC2" w:rsidRPr="001B6D09">
        <w:instrText xml:space="preserve"> REF defence4 \h </w:instrText>
      </w:r>
      <w:r w:rsidR="000B17E0" w:rsidRPr="001B6D09">
        <w:instrText xml:space="preserve"> \* MERGEFORMAT </w:instrText>
      </w:r>
      <w:r w:rsidR="009B2BC2" w:rsidRPr="001B6D09">
        <w:fldChar w:fldCharType="separate"/>
      </w:r>
      <w:r w:rsidR="006F4160">
        <w:t>28</w:t>
      </w:r>
      <w:r w:rsidR="009B2BC2" w:rsidRPr="001B6D09">
        <w:fldChar w:fldCharType="end"/>
      </w:r>
      <w:r w:rsidR="005D2379">
        <w:t xml:space="preserve"> powyżej). Sądy krajowe dały skarżącemu wystarczającą możliwość </w:t>
      </w:r>
      <w:r w:rsidR="00F26E0B">
        <w:t xml:space="preserve">zatrudnienia </w:t>
      </w:r>
      <w:r w:rsidR="005D2379">
        <w:t>innego prawnika, ale on tego nie zrobił.</w:t>
      </w:r>
    </w:p>
    <w:p w14:paraId="26C960F9" w14:textId="1228B278" w:rsidR="00627334" w:rsidRPr="001B6D09" w:rsidRDefault="00000000" w:rsidP="001B6D09">
      <w:pPr>
        <w:pStyle w:val="JuPara"/>
        <w:jc w:val="both"/>
      </w:pPr>
      <w:fldSimple w:instr=" SEQ level0 \*arabic ">
        <w:r w:rsidR="006F4160">
          <w:rPr>
            <w:noProof/>
          </w:rPr>
          <w:t>89</w:t>
        </w:r>
      </w:fldSimple>
      <w:r w:rsidR="005D2379">
        <w:t>.  W ustnym oraz pisemnym stanowisku na swoją obronę, jak również w treści apelacji</w:t>
      </w:r>
      <w:r w:rsidR="00F26E0B">
        <w:t>,</w:t>
      </w:r>
      <w:r w:rsidR="005D2379">
        <w:t xml:space="preserve"> skarżący szczegółowo przeanalizował sprawę i </w:t>
      </w:r>
      <w:r w:rsidR="005D2379">
        <w:rPr>
          <w:rFonts w:ascii="Times New Roman" w:hAnsi="Times New Roman"/>
        </w:rPr>
        <w:t xml:space="preserve">obszernie odniósł się do wszystkich głównych dowodów, w tym opinii biegłych </w:t>
      </w:r>
      <w:r w:rsidR="00F26E0B">
        <w:rPr>
          <w:rFonts w:ascii="Times New Roman" w:hAnsi="Times New Roman"/>
        </w:rPr>
        <w:br/>
      </w:r>
      <w:r w:rsidR="005D2379">
        <w:rPr>
          <w:rFonts w:ascii="Times New Roman" w:hAnsi="Times New Roman"/>
        </w:rPr>
        <w:t>i zeznań świadków (zob. paragrafy 19, 25, 27-30 i 36 powyżej</w:t>
      </w:r>
      <w:r w:rsidR="00E53607">
        <w:rPr>
          <w:rFonts w:ascii="Times New Roman" w:hAnsi="Times New Roman"/>
        </w:rPr>
        <w:t>,</w:t>
      </w:r>
      <w:r w:rsidR="005D2379">
        <w:rPr>
          <w:rFonts w:ascii="Times New Roman" w:hAnsi="Times New Roman"/>
        </w:rPr>
        <w:t xml:space="preserve"> por. </w:t>
      </w:r>
      <w:r w:rsidR="005D2379">
        <w:t xml:space="preserve">też </w:t>
      </w:r>
      <w:r w:rsidR="005D2379">
        <w:rPr>
          <w:rFonts w:ascii="Times New Roman" w:hAnsi="Times New Roman"/>
        </w:rPr>
        <w:t xml:space="preserve"> </w:t>
      </w:r>
      <w:proofErr w:type="spellStart"/>
      <w:r w:rsidR="005D2379">
        <w:rPr>
          <w:rFonts w:ascii="Times New Roman" w:hAnsi="Times New Roman"/>
          <w:i/>
        </w:rPr>
        <w:t>Lambin</w:t>
      </w:r>
      <w:proofErr w:type="spellEnd"/>
      <w:r w:rsidR="005D2379">
        <w:rPr>
          <w:rFonts w:ascii="Times New Roman" w:hAnsi="Times New Roman"/>
        </w:rPr>
        <w:t>, cyt. pow</w:t>
      </w:r>
      <w:r w:rsidR="00E53607">
        <w:rPr>
          <w:rFonts w:ascii="Times New Roman" w:hAnsi="Times New Roman"/>
        </w:rPr>
        <w:t>.</w:t>
      </w:r>
      <w:r w:rsidR="005D2379">
        <w:rPr>
          <w:rFonts w:ascii="Times New Roman" w:hAnsi="Times New Roman"/>
        </w:rPr>
        <w:t>, § 44)</w:t>
      </w:r>
      <w:r w:rsidR="005D2379">
        <w:t>.</w:t>
      </w:r>
    </w:p>
    <w:p w14:paraId="1699E7AF" w14:textId="34224286" w:rsidR="006A54E2" w:rsidRPr="001B6D09" w:rsidRDefault="00000000" w:rsidP="001B6D09">
      <w:pPr>
        <w:pStyle w:val="JuPara"/>
        <w:jc w:val="both"/>
      </w:pPr>
      <w:fldSimple w:instr=" SEQ level0 \*arabic ">
        <w:r w:rsidR="006F4160">
          <w:rPr>
            <w:noProof/>
          </w:rPr>
          <w:t>90</w:t>
        </w:r>
      </w:fldSimple>
      <w:r w:rsidR="005D2379">
        <w:t>.  Biorąc pod uwagę szczególne okoliczności sprawy, Trybunał uważa, że krótki okres pomiędzy poinformowaniem skarżącego o posiedzeniu sądu odwoławczego, a samym posiedzeniem</w:t>
      </w:r>
      <w:r w:rsidR="00E53607">
        <w:t>,</w:t>
      </w:r>
      <w:r w:rsidR="005D2379">
        <w:t xml:space="preserve"> nie ograniczył jego prawa do odpowiedniego czasu i możliwości przygotowania obrony ani prawa do zastępstwa procesowego w </w:t>
      </w:r>
      <w:r w:rsidR="00E53607">
        <w:t>postępowaniu</w:t>
      </w:r>
      <w:r w:rsidR="005D2379">
        <w:t xml:space="preserve"> </w:t>
      </w:r>
      <w:r w:rsidR="00E53607">
        <w:t xml:space="preserve">karnym </w:t>
      </w:r>
      <w:r w:rsidR="005D2379">
        <w:t xml:space="preserve">przeciwko niemu </w:t>
      </w:r>
      <w:r w:rsidR="00E53607">
        <w:t>w</w:t>
      </w:r>
      <w:r w:rsidR="005D2379">
        <w:t xml:space="preserve"> takim stopniu, aby można było stwierdzić, że nie miał on możliwości skorzystania z rzetelnego procesu.</w:t>
      </w:r>
    </w:p>
    <w:p w14:paraId="2959D308" w14:textId="215ED44A" w:rsidR="006A54E2" w:rsidRPr="001B6D09" w:rsidRDefault="00000000" w:rsidP="001B6D09">
      <w:pPr>
        <w:pStyle w:val="JuPara"/>
        <w:jc w:val="both"/>
      </w:pPr>
      <w:fldSimple w:instr=" SEQ level0 \*arabic ">
        <w:r w:rsidR="006F4160">
          <w:rPr>
            <w:noProof/>
          </w:rPr>
          <w:t>91</w:t>
        </w:r>
      </w:fldSimple>
      <w:r w:rsidR="005D2379">
        <w:t>.  </w:t>
      </w:r>
      <w:r w:rsidR="00E53607">
        <w:t>N</w:t>
      </w:r>
      <w:r w:rsidR="005D2379">
        <w:t>ie doszło</w:t>
      </w:r>
      <w:r w:rsidR="00E53607">
        <w:t xml:space="preserve"> zatem</w:t>
      </w:r>
      <w:r w:rsidR="005D2379">
        <w:t xml:space="preserve"> do naruszenia art. 6 ust. 1 i 3 lit. b) i c) Konwencji.</w:t>
      </w:r>
    </w:p>
    <w:p w14:paraId="7601A50E" w14:textId="664256A7" w:rsidR="00240BC5" w:rsidRPr="001B6D09" w:rsidRDefault="007A53A3" w:rsidP="00F7198F">
      <w:pPr>
        <w:pStyle w:val="JuH1"/>
        <w:jc w:val="both"/>
      </w:pPr>
      <w:r>
        <w:t>Art. 6 ust. 3 lit. c) - nieobecność skarżącego na posiedzeniu przed sądem odwoławczym</w:t>
      </w:r>
    </w:p>
    <w:p w14:paraId="38261168" w14:textId="4E02EAE8" w:rsidR="005A5D2F" w:rsidRPr="001B6D09" w:rsidRDefault="00E53607" w:rsidP="001B6D09">
      <w:pPr>
        <w:pStyle w:val="JuHa0"/>
      </w:pPr>
      <w:r>
        <w:t xml:space="preserve">Stanowiska </w:t>
      </w:r>
      <w:r w:rsidR="005A5D2F">
        <w:t>stron</w:t>
      </w:r>
    </w:p>
    <w:p w14:paraId="27769E6C" w14:textId="60FA9FD2" w:rsidR="005A5D2F" w:rsidRPr="001B6D09" w:rsidRDefault="00000000" w:rsidP="001B6D09">
      <w:pPr>
        <w:pStyle w:val="JuPara"/>
        <w:jc w:val="both"/>
      </w:pPr>
      <w:fldSimple w:instr=" SEQ level0 \*arabic ">
        <w:r w:rsidR="006F4160">
          <w:rPr>
            <w:noProof/>
          </w:rPr>
          <w:t>92</w:t>
        </w:r>
      </w:fldSimple>
      <w:r w:rsidR="005A5D2F">
        <w:t>.  Skarżący twierdził, że jego nieobecność na posiedzeniu sądu apelacyjnego w dniu 16 lutego 2010 r., stanowiła naruszenie jego prawa do osobistej obrony.</w:t>
      </w:r>
    </w:p>
    <w:p w14:paraId="0CA84E55" w14:textId="68865364" w:rsidR="0098277A" w:rsidRPr="001B6D09" w:rsidRDefault="00000000" w:rsidP="001B6D09">
      <w:pPr>
        <w:pStyle w:val="JuPara"/>
        <w:jc w:val="both"/>
        <w:rPr>
          <w:snapToGrid w:val="0"/>
        </w:rPr>
      </w:pPr>
      <w:fldSimple w:instr=" SEQ level0 \*arabic ">
        <w:r w:rsidR="006F4160">
          <w:rPr>
            <w:noProof/>
          </w:rPr>
          <w:t>93</w:t>
        </w:r>
      </w:fldSimple>
      <w:r w:rsidR="005A5D2F">
        <w:t xml:space="preserve">.  Rząd argumentował, że zgodnie z właściwym prawem krajowym sąd apelacyjny miał swobodę decydowania o tym, czy zezwolić oskarżonemu na udział w posiedzeniu sądu odwoławczego. Ponadto, ponieważ prokuratura nie odwołała się od wyroku </w:t>
      </w:r>
      <w:r w:rsidR="00A7630B">
        <w:t xml:space="preserve">sądu </w:t>
      </w:r>
      <w:r w:rsidR="005A5D2F">
        <w:t xml:space="preserve">pierwszej instancji i nie została wezwana na posiedzenie sądu odwoławczego, Rząd był zdania, że skarżący nie znalazł się w niekorzystnej sytuacji </w:t>
      </w:r>
      <w:r w:rsidR="00A7630B">
        <w:rPr>
          <w:iCs/>
        </w:rPr>
        <w:t>w stosunku do</w:t>
      </w:r>
      <w:r w:rsidR="005A5D2F">
        <w:t xml:space="preserve"> prokuratury. Ponadto apelacja skarżącego była bardzo szczegółowa i dotyczyła głównie oceny faktów. Biorąc pod uwagę wszystkie te okoliczności, </w:t>
      </w:r>
      <w:r w:rsidR="005A5D2F">
        <w:rPr>
          <w:snapToGrid w:val="0"/>
        </w:rPr>
        <w:t>sąd okręgowy nie miał powodu, aby przesłuchiwać go osobiście</w:t>
      </w:r>
      <w:r w:rsidR="005A5D2F">
        <w:t>.</w:t>
      </w:r>
    </w:p>
    <w:p w14:paraId="2FD1D617" w14:textId="3B52B5EB" w:rsidR="005A5D2F" w:rsidRPr="001B6D09" w:rsidRDefault="005A5D2F" w:rsidP="001B6D09">
      <w:pPr>
        <w:pStyle w:val="JuHa0"/>
      </w:pPr>
      <w:r>
        <w:t>Ocena Trybunału</w:t>
      </w:r>
    </w:p>
    <w:p w14:paraId="200F0793" w14:textId="28070EEA" w:rsidR="0006023D" w:rsidRPr="001B6D09" w:rsidRDefault="00000000" w:rsidP="001B6D09">
      <w:pPr>
        <w:pStyle w:val="JuPara"/>
        <w:jc w:val="both"/>
      </w:pPr>
      <w:fldSimple w:instr=" SEQ level0 \*arabic ">
        <w:r w:rsidR="006F4160">
          <w:rPr>
            <w:noProof/>
          </w:rPr>
          <w:t>94</w:t>
        </w:r>
      </w:fldSimple>
      <w:r w:rsidR="00302139">
        <w:t>.  Trybunał zauważa, że stwierdził już naruszenie art. 6 ust. 1 i 3 lit. c) Konwencji w sprawach przeciwko Chorwacji</w:t>
      </w:r>
      <w:r w:rsidR="00A7630B">
        <w:t>, w których</w:t>
      </w:r>
      <w:r w:rsidR="00302139">
        <w:t xml:space="preserve"> podn</w:t>
      </w:r>
      <w:r w:rsidR="00A7630B">
        <w:t>iesiono</w:t>
      </w:r>
      <w:r w:rsidR="00302139">
        <w:t xml:space="preserve"> kwestię podobną do występującej w </w:t>
      </w:r>
      <w:r w:rsidR="00A7630B">
        <w:t xml:space="preserve">niniejszej </w:t>
      </w:r>
      <w:r w:rsidR="00302139">
        <w:t>sprawie (zob.</w:t>
      </w:r>
      <w:r w:rsidR="00302139">
        <w:rPr>
          <w:i/>
        </w:rPr>
        <w:t xml:space="preserve"> </w:t>
      </w:r>
      <w:proofErr w:type="spellStart"/>
      <w:r w:rsidR="00302139">
        <w:rPr>
          <w:i/>
        </w:rPr>
        <w:t>Zahirović</w:t>
      </w:r>
      <w:proofErr w:type="spellEnd"/>
      <w:r w:rsidR="00E2586E">
        <w:rPr>
          <w:i/>
        </w:rPr>
        <w:t xml:space="preserve"> </w:t>
      </w:r>
      <w:r w:rsidR="00E2586E">
        <w:rPr>
          <w:i/>
        </w:rPr>
        <w:br/>
      </w:r>
      <w:r w:rsidR="00302139">
        <w:t>p</w:t>
      </w:r>
      <w:r w:rsidR="00E2586E">
        <w:t>.</w:t>
      </w:r>
      <w:r w:rsidR="00302139">
        <w:t xml:space="preserve"> Chorwacji, nr. 58590/11, §§ 58-64, 25 kwietnia 2013 r.</w:t>
      </w:r>
      <w:r w:rsidR="00E2586E">
        <w:t>,</w:t>
      </w:r>
      <w:r w:rsidR="00302139">
        <w:t xml:space="preserve"> </w:t>
      </w:r>
      <w:proofErr w:type="spellStart"/>
      <w:r w:rsidR="00302139">
        <w:rPr>
          <w:i/>
        </w:rPr>
        <w:t>Lonić</w:t>
      </w:r>
      <w:proofErr w:type="spellEnd"/>
      <w:r w:rsidR="00E2586E">
        <w:rPr>
          <w:i/>
        </w:rPr>
        <w:t xml:space="preserve"> </w:t>
      </w:r>
      <w:r w:rsidR="00E2586E">
        <w:rPr>
          <w:i/>
        </w:rPr>
        <w:br/>
      </w:r>
      <w:r w:rsidR="00302139">
        <w:t>p</w:t>
      </w:r>
      <w:r w:rsidR="00E2586E">
        <w:t>.</w:t>
      </w:r>
      <w:r w:rsidR="00302139">
        <w:t xml:space="preserve"> Chorwacji, nr 8067/12, §§ 94-102, 4 grudnia 2014 r. oraz </w:t>
      </w:r>
      <w:proofErr w:type="spellStart"/>
      <w:r w:rsidR="00302139">
        <w:rPr>
          <w:i/>
        </w:rPr>
        <w:t>Arps</w:t>
      </w:r>
      <w:proofErr w:type="spellEnd"/>
      <w:r w:rsidR="00302139">
        <w:rPr>
          <w:i/>
        </w:rPr>
        <w:t xml:space="preserve"> </w:t>
      </w:r>
      <w:r w:rsidR="00E2586E">
        <w:rPr>
          <w:i/>
        </w:rPr>
        <w:br/>
      </w:r>
      <w:r w:rsidR="00302139">
        <w:rPr>
          <w:i/>
        </w:rPr>
        <w:t>p</w:t>
      </w:r>
      <w:r w:rsidR="00E2586E">
        <w:rPr>
          <w:i/>
        </w:rPr>
        <w:t xml:space="preserve">. </w:t>
      </w:r>
      <w:r w:rsidR="00302139">
        <w:rPr>
          <w:i/>
        </w:rPr>
        <w:t>Chorwacji</w:t>
      </w:r>
      <w:r w:rsidR="00302139">
        <w:t>, nr 23444/12, §§ 24-29, 25 października 2016 r.).</w:t>
      </w:r>
    </w:p>
    <w:p w14:paraId="7BA2565C" w14:textId="4CD0A015" w:rsidR="0006023D" w:rsidRPr="001B6D09" w:rsidRDefault="00000000" w:rsidP="001B6D09">
      <w:pPr>
        <w:pStyle w:val="JuPara"/>
        <w:jc w:val="both"/>
      </w:pPr>
      <w:fldSimple w:instr=" SEQ level0 \*arabic ">
        <w:r w:rsidR="006F4160">
          <w:rPr>
            <w:noProof/>
          </w:rPr>
          <w:t>95</w:t>
        </w:r>
      </w:fldSimple>
      <w:r w:rsidR="0006023D">
        <w:t xml:space="preserve">. W wyżej wymienionych sprawach Trybunał odniósł się do tych samych argumentów, </w:t>
      </w:r>
      <w:r w:rsidR="00A7630B">
        <w:t>co</w:t>
      </w:r>
      <w:r w:rsidR="0006023D">
        <w:t xml:space="preserve"> przedstawione przez Rząd w </w:t>
      </w:r>
      <w:r w:rsidR="00A7630B">
        <w:t xml:space="preserve">niniejszej </w:t>
      </w:r>
      <w:r w:rsidR="0006023D">
        <w:t xml:space="preserve">sprawie. </w:t>
      </w:r>
      <w:r w:rsidR="00412300">
        <w:t>Po przeanalizowaniu całego</w:t>
      </w:r>
      <w:r w:rsidR="0006023D">
        <w:t xml:space="preserve"> materiał</w:t>
      </w:r>
      <w:r w:rsidR="00412300">
        <w:t>u</w:t>
      </w:r>
      <w:r w:rsidR="0006023D">
        <w:t xml:space="preserve"> </w:t>
      </w:r>
      <w:r w:rsidR="00412300">
        <w:t>mu przedstawionego</w:t>
      </w:r>
      <w:r w:rsidR="0006023D">
        <w:t xml:space="preserve"> Trybunał stwierdza, że Rząd nie </w:t>
      </w:r>
      <w:r w:rsidR="00412300">
        <w:t xml:space="preserve">przedstawił </w:t>
      </w:r>
      <w:r w:rsidR="0006023D">
        <w:t xml:space="preserve">żadnych faktów ani argumentów, które mogłyby skłonić go do wyciągnięcia innych wniosków w </w:t>
      </w:r>
      <w:r w:rsidR="00412300">
        <w:t xml:space="preserve">niniejszej </w:t>
      </w:r>
      <w:r w:rsidR="0006023D">
        <w:t>sprawie.</w:t>
      </w:r>
    </w:p>
    <w:p w14:paraId="0A193AE2" w14:textId="03CD6641" w:rsidR="001B3726" w:rsidRPr="001B6D09" w:rsidRDefault="00000000" w:rsidP="001B6D09">
      <w:pPr>
        <w:pStyle w:val="JuPara"/>
        <w:jc w:val="both"/>
      </w:pPr>
      <w:fldSimple w:instr=" SEQ level0 \*arabic ">
        <w:r w:rsidR="006F4160">
          <w:rPr>
            <w:noProof/>
          </w:rPr>
          <w:t>96</w:t>
        </w:r>
      </w:fldSimple>
      <w:r w:rsidR="0006023D">
        <w:t>.  </w:t>
      </w:r>
      <w:r w:rsidR="00FB625D">
        <w:t>D</w:t>
      </w:r>
      <w:r w:rsidR="0006023D">
        <w:t xml:space="preserve">oszło </w:t>
      </w:r>
      <w:r w:rsidR="00FB625D">
        <w:t xml:space="preserve">zatem </w:t>
      </w:r>
      <w:r w:rsidR="0006023D">
        <w:t>do naruszenia art. 6 ust. 1 i 3 lit. c Konwencji.</w:t>
      </w:r>
    </w:p>
    <w:p w14:paraId="023687A2" w14:textId="431D688F" w:rsidR="00D420F3" w:rsidRPr="001B6D09" w:rsidRDefault="0077175D" w:rsidP="00F7198F">
      <w:pPr>
        <w:pStyle w:val="JuHIRoman"/>
        <w:jc w:val="both"/>
      </w:pPr>
      <w:r>
        <w:t>ZARZUT NARUSZENIA ART. 4 PROTOKOŁU NR 7 DO KONWENCJI</w:t>
      </w:r>
    </w:p>
    <w:p w14:paraId="00FE0D59" w14:textId="79D888AD" w:rsidR="007A53A3" w:rsidRPr="001B6D09" w:rsidRDefault="00000000" w:rsidP="001B6D09">
      <w:pPr>
        <w:pStyle w:val="JuPara"/>
        <w:jc w:val="both"/>
      </w:pPr>
      <w:fldSimple w:instr=" SEQ level0 \*arabic ">
        <w:r w:rsidR="006F4160">
          <w:rPr>
            <w:noProof/>
          </w:rPr>
          <w:t>97</w:t>
        </w:r>
      </w:fldSimple>
      <w:r w:rsidR="006374CD">
        <w:t xml:space="preserve">.  Skarżący zarzucił, że był dwukrotnie sądzony za to samo przestępstwo. Powołał się na art. 4 </w:t>
      </w:r>
      <w:r w:rsidR="00FB625D">
        <w:t>P</w:t>
      </w:r>
      <w:r w:rsidR="006374CD">
        <w:t>rotokołu nr 7 do Konwencji, który stanowi:</w:t>
      </w:r>
    </w:p>
    <w:p w14:paraId="2D52CB5A" w14:textId="77777777" w:rsidR="007A53A3" w:rsidRPr="001B6D09" w:rsidRDefault="007A53A3" w:rsidP="001B6D09">
      <w:pPr>
        <w:pStyle w:val="JuQuot"/>
        <w:jc w:val="both"/>
      </w:pPr>
      <w:r>
        <w:t>„1.  Nikt nie może być ponownie sądzony lub ukarany w postępowaniu przed sądem tego samego Państwa za przestępstwo, za które został uprzednio skazany prawomocnym wyrokiem lub uniewinniony zgodnie z ustawą i zasadami postępowania karnego tego Państwa.</w:t>
      </w:r>
    </w:p>
    <w:p w14:paraId="5C501920" w14:textId="77777777" w:rsidR="007A53A3" w:rsidRPr="001B6D09" w:rsidRDefault="007A53A3" w:rsidP="001B6D09">
      <w:pPr>
        <w:pStyle w:val="JuQuot"/>
        <w:jc w:val="both"/>
      </w:pPr>
      <w:r>
        <w:lastRenderedPageBreak/>
        <w:t>2.  Postanowienia poprzedniego ustępu nie stoją na przeszkodzie wznowieniu postępowania zgodnie z ustawą i zasadami postępowania karnego danego Państwa, jeśli wyjdą na jaw nowo odkryte fakty lub jeśli w poprzednim postępowaniu popełniono poważną pomyłkę, która mogła mieć wpływ na wynik sprawy.</w:t>
      </w:r>
    </w:p>
    <w:p w14:paraId="07E0BABB" w14:textId="77777777" w:rsidR="007A53A3" w:rsidRPr="001B6D09" w:rsidRDefault="007A53A3" w:rsidP="001B6D09">
      <w:pPr>
        <w:pStyle w:val="JuQuot"/>
        <w:jc w:val="both"/>
      </w:pPr>
      <w:r>
        <w:t>3.  Żadne z postanowień niniejszego artykułu nie może być uchylone na podstawie artykułu 15 Konwencji”.</w:t>
      </w:r>
    </w:p>
    <w:p w14:paraId="5368487C" w14:textId="2F2926B6" w:rsidR="007A53A3" w:rsidRPr="001B6D09" w:rsidRDefault="007A53A3" w:rsidP="001B6D09">
      <w:pPr>
        <w:pStyle w:val="JuHA"/>
      </w:pPr>
      <w:r>
        <w:t>Dopuszczalność</w:t>
      </w:r>
    </w:p>
    <w:p w14:paraId="62B1B1DC" w14:textId="4BD94D45" w:rsidR="007A53A3" w:rsidRPr="001B6D09" w:rsidRDefault="00000000" w:rsidP="001B6D09">
      <w:pPr>
        <w:pStyle w:val="JuPara"/>
        <w:jc w:val="both"/>
      </w:pPr>
      <w:fldSimple w:instr=" SEQ level0 \*arabic ">
        <w:r w:rsidR="006F4160">
          <w:rPr>
            <w:noProof/>
          </w:rPr>
          <w:t>98</w:t>
        </w:r>
      </w:fldSimple>
      <w:r w:rsidR="007A53A3">
        <w:t>.  Trybunał zauważa, że skarga nie jest w sposób oczywisty nieuzasadniona w rozumieniu art. 35 ust. 3 lit. a) Konwencji ani nie jest niedopuszczalna z jakichkolwiek innych względów. Musi zatem zostać uznana za dopuszczalną.</w:t>
      </w:r>
    </w:p>
    <w:p w14:paraId="56012594" w14:textId="0300567A" w:rsidR="007A53A3" w:rsidRPr="001B6D09" w:rsidRDefault="00FB625D" w:rsidP="001B6D09">
      <w:pPr>
        <w:pStyle w:val="JuHA"/>
      </w:pPr>
      <w:r>
        <w:t>Meritum</w:t>
      </w:r>
    </w:p>
    <w:p w14:paraId="050B84BF" w14:textId="3F024316" w:rsidR="007A53A3" w:rsidRPr="001B6D09" w:rsidRDefault="00FB625D" w:rsidP="001B6D09">
      <w:pPr>
        <w:pStyle w:val="JuH1"/>
      </w:pPr>
      <w:r>
        <w:t xml:space="preserve">Stanowiska </w:t>
      </w:r>
      <w:r w:rsidR="007A53A3">
        <w:t>stron</w:t>
      </w:r>
    </w:p>
    <w:p w14:paraId="25F04F08" w14:textId="2A3FE083" w:rsidR="007A53A3" w:rsidRPr="001B6D09" w:rsidRDefault="00000000" w:rsidP="001B6D09">
      <w:pPr>
        <w:pStyle w:val="JuPara"/>
        <w:jc w:val="both"/>
      </w:pPr>
      <w:fldSimple w:instr=" SEQ level0 \*arabic ">
        <w:r w:rsidR="006F4160">
          <w:rPr>
            <w:noProof/>
          </w:rPr>
          <w:t>99</w:t>
        </w:r>
      </w:fldSimple>
      <w:r w:rsidR="007A53A3">
        <w:t>.  Skarżący utrzymywał, że został dwukrotnie ukarany za t</w:t>
      </w:r>
      <w:r w:rsidR="00E73361">
        <w:t>en sam czyn</w:t>
      </w:r>
      <w:r w:rsidR="007A53A3">
        <w:t xml:space="preserve"> dwoma wyrokami Sądu do spraw wykroczeń w Zagrzebiu (zob. par </w:t>
      </w:r>
      <w:r w:rsidR="002B758B" w:rsidRPr="001B6D09">
        <w:fldChar w:fldCharType="begin"/>
      </w:r>
      <w:r w:rsidR="002B758B" w:rsidRPr="001B6D09">
        <w:instrText xml:space="preserve"> REF fourth_minor_offence_judgment \h </w:instrText>
      </w:r>
      <w:r w:rsidR="00B809F5" w:rsidRPr="001B6D09">
        <w:instrText xml:space="preserve"> \* MERGEFORMAT </w:instrText>
      </w:r>
      <w:r w:rsidR="002B758B" w:rsidRPr="001B6D09">
        <w:fldChar w:fldCharType="separate"/>
      </w:r>
      <w:r w:rsidR="006F4160">
        <w:t>9</w:t>
      </w:r>
      <w:r w:rsidR="002B758B" w:rsidRPr="001B6D09">
        <w:fldChar w:fldCharType="end"/>
      </w:r>
      <w:r w:rsidR="007A53A3">
        <w:t xml:space="preserve"> i </w:t>
      </w:r>
      <w:r w:rsidR="007C35B5" w:rsidRPr="001B6D09">
        <w:fldChar w:fldCharType="begin"/>
      </w:r>
      <w:r w:rsidR="007C35B5" w:rsidRPr="001B6D09">
        <w:instrText xml:space="preserve"> REF fifth_minor_offence_judgment \h </w:instrText>
      </w:r>
      <w:r w:rsidR="00B809F5" w:rsidRPr="001B6D09">
        <w:instrText xml:space="preserve"> \* MERGEFORMAT </w:instrText>
      </w:r>
      <w:r w:rsidR="007C35B5" w:rsidRPr="001B6D09">
        <w:fldChar w:fldCharType="separate"/>
      </w:r>
      <w:r w:rsidR="006F4160">
        <w:t>13</w:t>
      </w:r>
      <w:r w:rsidR="007C35B5" w:rsidRPr="001B6D09">
        <w:fldChar w:fldCharType="end"/>
      </w:r>
      <w:r w:rsidR="007A53A3">
        <w:t xml:space="preserve"> powyżej) oraz wyrokiem Sądu Miejskiego z 14 lipca 2009 r. (zob. par. </w:t>
      </w:r>
      <w:r w:rsidR="00903E10" w:rsidRPr="001B6D09">
        <w:fldChar w:fldCharType="begin"/>
      </w:r>
      <w:r w:rsidR="00903E10" w:rsidRPr="001B6D09">
        <w:instrText xml:space="preserve"> REF criminal_judgment \h </w:instrText>
      </w:r>
      <w:r w:rsidR="00B809F5" w:rsidRPr="001B6D09">
        <w:instrText xml:space="preserve"> \* MERGEFORMAT </w:instrText>
      </w:r>
      <w:r w:rsidR="00903E10" w:rsidRPr="001B6D09">
        <w:fldChar w:fldCharType="separate"/>
      </w:r>
      <w:r w:rsidR="006F4160">
        <w:t>33</w:t>
      </w:r>
      <w:r w:rsidR="00903E10" w:rsidRPr="001B6D09">
        <w:fldChar w:fldCharType="end"/>
      </w:r>
      <w:r w:rsidR="007A53A3">
        <w:t xml:space="preserve"> powyżej). Argumentował, że postępowani</w:t>
      </w:r>
      <w:r w:rsidR="00E73361">
        <w:t>a</w:t>
      </w:r>
      <w:r w:rsidR="007A53A3">
        <w:t xml:space="preserve"> w sprawie o wykroczenie </w:t>
      </w:r>
      <w:r w:rsidR="00E73361">
        <w:br/>
      </w:r>
      <w:r w:rsidR="007A53A3">
        <w:t xml:space="preserve">i postępowanie karne miały ten sam cel, ponieważ wykroczenie z art. 4 ustawy o ochronie przed przemocą w rodzinie i przestępstwa z art. 215a kodeksu karnego dotyczyły </w:t>
      </w:r>
      <w:proofErr w:type="spellStart"/>
      <w:r w:rsidR="00E73361">
        <w:t>przemocowych</w:t>
      </w:r>
      <w:proofErr w:type="spellEnd"/>
      <w:r w:rsidR="00E73361">
        <w:t xml:space="preserve"> </w:t>
      </w:r>
      <w:proofErr w:type="spellStart"/>
      <w:r w:rsidR="007A53A3">
        <w:t>zachowań</w:t>
      </w:r>
      <w:proofErr w:type="spellEnd"/>
      <w:r w:rsidR="007A53A3">
        <w:t xml:space="preserve"> w rodzinie, obejmujących te same formy przemocy i nękania. Celem obu norm było ustalenie, że brutalne zachowanie jest niedopuszczalne, niezgodne z prawem i zakazane.</w:t>
      </w:r>
    </w:p>
    <w:p w14:paraId="395C491E" w14:textId="6F94BD61" w:rsidR="001B3726" w:rsidRPr="001B6D09" w:rsidRDefault="00000000" w:rsidP="001B6D09">
      <w:pPr>
        <w:pStyle w:val="JuPara"/>
        <w:jc w:val="both"/>
      </w:pPr>
      <w:fldSimple w:instr=" SEQ level0 \*arabic ">
        <w:r w:rsidR="006F4160">
          <w:rPr>
            <w:noProof/>
          </w:rPr>
          <w:t>100</w:t>
        </w:r>
      </w:fldSimple>
      <w:r w:rsidR="00C30319">
        <w:t xml:space="preserve">.  Skarżący twierdził również, że dowody zostały przedstawione </w:t>
      </w:r>
      <w:r w:rsidR="00FC040B">
        <w:br/>
      </w:r>
      <w:r w:rsidR="00C30319">
        <w:t>i ocenione oddzielnie w każdym postępowaniu, a sankcje nałożone na niego w postępowani</w:t>
      </w:r>
      <w:r w:rsidR="00FC040B">
        <w:t>ach</w:t>
      </w:r>
      <w:r w:rsidR="00C30319">
        <w:t xml:space="preserve"> w sprawie o wykroczenie nie zostały odliczone od kary ostatecznie wymierzonej mu w postępowaniu karnym.</w:t>
      </w:r>
    </w:p>
    <w:p w14:paraId="27AB6F7A" w14:textId="2A152BBF" w:rsidR="007A53A3" w:rsidRPr="001B6D09" w:rsidRDefault="00000000" w:rsidP="001B6D09">
      <w:pPr>
        <w:pStyle w:val="JuPara"/>
        <w:jc w:val="both"/>
      </w:pPr>
      <w:fldSimple w:instr=" SEQ level0 \*arabic ">
        <w:r w:rsidR="006F4160">
          <w:rPr>
            <w:noProof/>
          </w:rPr>
          <w:t>101</w:t>
        </w:r>
      </w:fldSimple>
      <w:r w:rsidR="007A53A3">
        <w:t>.  Rząd skupił się w swojej argumentacji na wyroku</w:t>
      </w:r>
      <w:r w:rsidR="00FC040B">
        <w:t xml:space="preserve">, którym ukarano </w:t>
      </w:r>
      <w:r w:rsidR="007A53A3">
        <w:t xml:space="preserve">skarżącego w postępowaniu w sprawie o wykroczenie 17 listopada 2008 r. (zob. par. </w:t>
      </w:r>
      <w:r w:rsidR="00F628E4" w:rsidRPr="001B6D09">
        <w:fldChar w:fldCharType="begin"/>
      </w:r>
      <w:r w:rsidR="00F628E4" w:rsidRPr="001B6D09">
        <w:instrText xml:space="preserve"> REF fourth_minor_offence_judgment \h </w:instrText>
      </w:r>
      <w:r w:rsidR="00B809F5" w:rsidRPr="001B6D09">
        <w:instrText xml:space="preserve"> \* MERGEFORMAT </w:instrText>
      </w:r>
      <w:r w:rsidR="00F628E4" w:rsidRPr="001B6D09">
        <w:fldChar w:fldCharType="separate"/>
      </w:r>
      <w:r w:rsidR="006F4160">
        <w:t>9</w:t>
      </w:r>
      <w:r w:rsidR="00F628E4" w:rsidRPr="001B6D09">
        <w:fldChar w:fldCharType="end"/>
      </w:r>
      <w:r w:rsidR="007A53A3">
        <w:t xml:space="preserve"> powyżej). Utrzymywał, że skazanie skarżącego w postępowaniu karnym za cztery </w:t>
      </w:r>
      <w:r w:rsidR="00FC040B">
        <w:t xml:space="preserve">czyny </w:t>
      </w:r>
      <w:r w:rsidR="007A53A3">
        <w:t xml:space="preserve">przemocy domowej i jeden </w:t>
      </w:r>
      <w:r w:rsidR="00FC040B">
        <w:t xml:space="preserve">czyn </w:t>
      </w:r>
      <w:r w:rsidR="007A53A3">
        <w:t xml:space="preserve">zaniedbania </w:t>
      </w:r>
      <w:r w:rsidR="00FC040B">
        <w:br/>
      </w:r>
      <w:r w:rsidR="007A53A3">
        <w:t xml:space="preserve">i znęcania się nad dzieckiem w okresie prawie trzech lat (od 2005 r. do </w:t>
      </w:r>
      <w:r w:rsidR="00FC040B">
        <w:br/>
      </w:r>
      <w:r w:rsidR="007A53A3">
        <w:t xml:space="preserve">3 listopada 2008 r.) nie może być postrzegane jako tożsame z jego </w:t>
      </w:r>
      <w:r w:rsidR="00FC040B">
        <w:t xml:space="preserve">ukaraniem </w:t>
      </w:r>
      <w:r w:rsidR="007A53A3">
        <w:t xml:space="preserve">w postępowaniu w sprawie o wykroczenie za jeden </w:t>
      </w:r>
      <w:r w:rsidR="00FC040B">
        <w:t xml:space="preserve">czyn </w:t>
      </w:r>
      <w:r w:rsidR="007A53A3">
        <w:t xml:space="preserve">przemocy domowej w odniesieniu do wydarzeń z 3 i 4 listopada 2008 r. W postępowaniu karnym skarżący został skazany za liczne akty przemocy polegające na zniewagach, groźbach i napaściach fizycznych, </w:t>
      </w:r>
      <w:r w:rsidR="00FC040B">
        <w:t xml:space="preserve">dokonywane </w:t>
      </w:r>
      <w:r w:rsidR="007A53A3">
        <w:t>w dłuższym okresie czasu wobec czterech członków jego rodziny, podczas gdy w postępowani</w:t>
      </w:r>
      <w:r w:rsidR="005B1BDD">
        <w:t>ach</w:t>
      </w:r>
      <w:r w:rsidR="007A53A3">
        <w:t xml:space="preserve"> </w:t>
      </w:r>
      <w:r w:rsidR="005B1BDD">
        <w:br/>
      </w:r>
      <w:r w:rsidR="007A53A3">
        <w:t xml:space="preserve">w sprawie o wykroczenie został </w:t>
      </w:r>
      <w:r w:rsidR="005B1BDD">
        <w:t xml:space="preserve">ukarany </w:t>
      </w:r>
      <w:r w:rsidR="007A53A3">
        <w:t>za pojedynczy czyn popełniony wobec dwóch członków jego rodziny w ciągu dwóch kolejnych dni.</w:t>
      </w:r>
    </w:p>
    <w:p w14:paraId="25705261" w14:textId="04DF5B06" w:rsidR="001B3726" w:rsidRPr="001B6D09" w:rsidRDefault="00000000" w:rsidP="001B6D09">
      <w:pPr>
        <w:pStyle w:val="JuPara"/>
        <w:jc w:val="both"/>
      </w:pPr>
      <w:fldSimple w:instr=" SEQ level0 \*arabic ">
        <w:r w:rsidR="006F4160">
          <w:rPr>
            <w:noProof/>
          </w:rPr>
          <w:t>102</w:t>
        </w:r>
      </w:fldSimple>
      <w:r w:rsidR="00926853">
        <w:t xml:space="preserve">.  Rząd podkreślił, że okoliczności faktyczne zdarzenia z 3 listopada 2008 r., w związku z którym skarżący został skazany w postępowaniu karnym, nie były takie same jak okoliczności faktyczne, w związku z którymi został on </w:t>
      </w:r>
      <w:r w:rsidR="00163EF1">
        <w:t xml:space="preserve">ukarany </w:t>
      </w:r>
      <w:r w:rsidR="00926853">
        <w:t>w postępowani</w:t>
      </w:r>
      <w:r w:rsidR="00163EF1">
        <w:t>ach</w:t>
      </w:r>
      <w:r w:rsidR="00926853">
        <w:t xml:space="preserve"> w sprawie o wykroczenie. W tym ostatnim przypadku skarżący został </w:t>
      </w:r>
      <w:r w:rsidR="00163EF1">
        <w:t>ukarany</w:t>
      </w:r>
      <w:r w:rsidR="00926853">
        <w:t>, ponieważ 3 listopada 2008 r., po słownym znieważeniu byłej małżonki i córki M.</w:t>
      </w:r>
      <w:r w:rsidR="00163EF1">
        <w:t xml:space="preserve"> </w:t>
      </w:r>
      <w:r w:rsidR="00926853">
        <w:t xml:space="preserve">G., kilkakrotnie uderzył ją w lewy policzek i w ucho, powodując w ten sposób lekkie obrażenia ciała (stłuczenie głowy i krwawienie z ucha). Skarżący zostałby skazany </w:t>
      </w:r>
      <w:r w:rsidR="00C3024F">
        <w:br/>
      </w:r>
      <w:r w:rsidR="00926853">
        <w:t xml:space="preserve">w postępowaniu karnym niezależnie od wydarzeń z 3 listopada 2008 r. </w:t>
      </w:r>
      <w:r w:rsidR="00C3024F">
        <w:br/>
      </w:r>
      <w:r w:rsidR="00926853">
        <w:t>– napaści słownej na jego córkę M.</w:t>
      </w:r>
      <w:r w:rsidR="00C3024F">
        <w:t xml:space="preserve"> </w:t>
      </w:r>
      <w:r w:rsidR="00926853">
        <w:t>G. oraz napaści słownej i fizycznej na jego byłą małżonkę Mi.</w:t>
      </w:r>
      <w:r w:rsidR="00C3024F">
        <w:t xml:space="preserve"> </w:t>
      </w:r>
      <w:r w:rsidR="00926853">
        <w:t xml:space="preserve">G. – ponieważ w celu udowodnienia </w:t>
      </w:r>
      <w:r w:rsidR="00C3024F">
        <w:t xml:space="preserve">zaistnienia </w:t>
      </w:r>
      <w:r w:rsidR="00926853">
        <w:t>przestępstwa przemocy domowej nie było konieczne wyszczególnienie każdej napaści słownej lub fizycznej na członka rodziny.</w:t>
      </w:r>
    </w:p>
    <w:p w14:paraId="7FB50061" w14:textId="5CFDADD3" w:rsidR="001B3726" w:rsidRPr="001B6D09" w:rsidRDefault="00000000" w:rsidP="001B6D09">
      <w:pPr>
        <w:pStyle w:val="JuPara"/>
        <w:jc w:val="both"/>
      </w:pPr>
      <w:fldSimple w:instr=" SEQ level0 \*arabic ">
        <w:r w:rsidR="006F4160">
          <w:rPr>
            <w:noProof/>
          </w:rPr>
          <w:t>103</w:t>
        </w:r>
      </w:fldSimple>
      <w:r w:rsidR="00EA6CC9">
        <w:t>.  Rząd twierdził, że oba postępowania były ściśle ze sobą powiązane pod względem charakteru i czasu oraz stanowiły jedną komplementarną reakcję państwa na bezprawne zachowanie skarżącego. Celem postępowania w sprawie o wykroczenie było wymierzenie kary za każdy incydent oddzielnie, podczas gdy celem postępowania karnego była ochrona członków rodziny przed przemocą, na którą byli narażeni przez dłuższy czas.</w:t>
      </w:r>
    </w:p>
    <w:p w14:paraId="71CAD7A0" w14:textId="190D5259" w:rsidR="001B3726" w:rsidRPr="001B6D09" w:rsidRDefault="00000000" w:rsidP="001B6D09">
      <w:pPr>
        <w:pStyle w:val="JuPara"/>
        <w:jc w:val="both"/>
      </w:pPr>
      <w:fldSimple w:instr=" SEQ level0 \*arabic ">
        <w:r w:rsidR="006F4160">
          <w:rPr>
            <w:noProof/>
          </w:rPr>
          <w:t>104</w:t>
        </w:r>
      </w:fldSimple>
      <w:r w:rsidR="00366D59">
        <w:t xml:space="preserve">.  Rząd wskazał, że w obu postępowaniach wykorzystano te same dowody z dokumentów, przy czym sąd w postępowaniu karnym był zobowiązany do osobistego przesłuchania wszystkich świadków i nie mógł wykorzystać zeznań świadków złożonych w postępowaniu w sprawie </w:t>
      </w:r>
      <w:r w:rsidR="00054E16">
        <w:br/>
      </w:r>
      <w:r w:rsidR="00366D59">
        <w:t xml:space="preserve">o wykroczenie. Wreszcie, </w:t>
      </w:r>
      <w:r w:rsidR="00054E16">
        <w:t xml:space="preserve">kara wymierzona </w:t>
      </w:r>
      <w:r w:rsidR="00366D59">
        <w:t>skarżące</w:t>
      </w:r>
      <w:r w:rsidR="00054E16">
        <w:t xml:space="preserve">mu w postępowaniu </w:t>
      </w:r>
      <w:r w:rsidR="00054E16">
        <w:br/>
        <w:t xml:space="preserve">w sprawie o </w:t>
      </w:r>
      <w:r w:rsidR="00366D59">
        <w:t>wykroczenie został</w:t>
      </w:r>
      <w:r w:rsidR="00054E16">
        <w:t>a zaliczona na poczet</w:t>
      </w:r>
      <w:r w:rsidR="00366D59">
        <w:t xml:space="preserve"> kary wymierzonej </w:t>
      </w:r>
      <w:r w:rsidR="00054E16">
        <w:t xml:space="preserve">mu </w:t>
      </w:r>
      <w:r w:rsidR="00366D59">
        <w:t>w postępowaniu karnym.</w:t>
      </w:r>
    </w:p>
    <w:p w14:paraId="4B54A573" w14:textId="3F77F05F" w:rsidR="007A53A3" w:rsidRPr="001B6D09" w:rsidRDefault="007A53A3" w:rsidP="001B6D09">
      <w:pPr>
        <w:pStyle w:val="JuH1"/>
      </w:pPr>
      <w:r>
        <w:t>Ocena Trybunału</w:t>
      </w:r>
    </w:p>
    <w:p w14:paraId="095C1648" w14:textId="613DB33F" w:rsidR="001221E7" w:rsidRPr="001B6D09" w:rsidRDefault="001221E7" w:rsidP="001B6D09">
      <w:pPr>
        <w:pStyle w:val="JuHa0"/>
      </w:pPr>
      <w:r>
        <w:t xml:space="preserve">Czy wszystkie postępowania miały charakter </w:t>
      </w:r>
      <w:r w:rsidR="00680243">
        <w:t xml:space="preserve">postępowań </w:t>
      </w:r>
      <w:r>
        <w:t>karny</w:t>
      </w:r>
      <w:r w:rsidR="00680243">
        <w:t>ch</w:t>
      </w:r>
    </w:p>
    <w:p w14:paraId="2CCF720B" w14:textId="074F62D2" w:rsidR="009D4114" w:rsidRPr="001B6D09" w:rsidRDefault="00000000" w:rsidP="001B6D09">
      <w:pPr>
        <w:pStyle w:val="JuPara"/>
        <w:jc w:val="both"/>
      </w:pPr>
      <w:fldSimple w:instr=" SEQ level0 \*arabic ">
        <w:r w:rsidR="006F4160">
          <w:rPr>
            <w:noProof/>
          </w:rPr>
          <w:t>105</w:t>
        </w:r>
      </w:fldSimple>
      <w:r w:rsidR="009D4114">
        <w:t>.  W porównywalnych sprawach przeciwko Chorwacji dotyczących wykroczeń Trybunał orzekł, na podstawie „kryteriów</w:t>
      </w:r>
      <w:r w:rsidR="000D3A3A">
        <w:t xml:space="preserve"> </w:t>
      </w:r>
      <w:proofErr w:type="spellStart"/>
      <w:r w:rsidR="009D4114">
        <w:rPr>
          <w:i/>
        </w:rPr>
        <w:t>Engela</w:t>
      </w:r>
      <w:proofErr w:type="spellEnd"/>
      <w:r w:rsidR="009D4114">
        <w:t xml:space="preserve">” (zob. </w:t>
      </w:r>
      <w:proofErr w:type="spellStart"/>
      <w:r w:rsidR="009D4114">
        <w:rPr>
          <w:i/>
        </w:rPr>
        <w:t>Engel</w:t>
      </w:r>
      <w:proofErr w:type="spellEnd"/>
      <w:r w:rsidR="000D3A3A">
        <w:rPr>
          <w:i/>
        </w:rPr>
        <w:br/>
      </w:r>
      <w:r w:rsidR="009D4114">
        <w:rPr>
          <w:i/>
        </w:rPr>
        <w:t xml:space="preserve">i </w:t>
      </w:r>
      <w:r w:rsidR="000D3A3A">
        <w:rPr>
          <w:i/>
        </w:rPr>
        <w:t>I</w:t>
      </w:r>
      <w:r w:rsidR="009D4114">
        <w:rPr>
          <w:i/>
        </w:rPr>
        <w:t>nni p</w:t>
      </w:r>
      <w:r w:rsidR="000D3A3A">
        <w:rPr>
          <w:i/>
        </w:rPr>
        <w:t>.</w:t>
      </w:r>
      <w:r w:rsidR="009D4114">
        <w:rPr>
          <w:i/>
        </w:rPr>
        <w:t xml:space="preserve"> Holandii</w:t>
      </w:r>
      <w:r w:rsidR="009D4114">
        <w:t xml:space="preserve">, 8 czerwca 1976 r., Seria A nr 22), że postępowanie </w:t>
      </w:r>
      <w:r w:rsidR="000D3A3A">
        <w:br/>
      </w:r>
      <w:r w:rsidR="009D4114">
        <w:t xml:space="preserve">w sprawie o wykroczenie miało charakter „karny” dla celów art. 4 Protokołu nr 7 (zob. </w:t>
      </w:r>
      <w:proofErr w:type="spellStart"/>
      <w:r w:rsidR="009D4114">
        <w:rPr>
          <w:i/>
        </w:rPr>
        <w:t>Bajčić</w:t>
      </w:r>
      <w:proofErr w:type="spellEnd"/>
      <w:r w:rsidR="000D3A3A">
        <w:rPr>
          <w:i/>
        </w:rPr>
        <w:t xml:space="preserve"> </w:t>
      </w:r>
      <w:r w:rsidR="009D4114">
        <w:t>p</w:t>
      </w:r>
      <w:r w:rsidR="000D3A3A">
        <w:t>.</w:t>
      </w:r>
      <w:r w:rsidR="009D4114">
        <w:t xml:space="preserve"> Chorwacji, nr 67334/13, §§ 27-28, 8 października 2020 r. oraz, w kontekście skargi na podstawie art. 6, </w:t>
      </w:r>
      <w:proofErr w:type="spellStart"/>
      <w:r w:rsidR="009D4114">
        <w:rPr>
          <w:i/>
        </w:rPr>
        <w:t>Marčan</w:t>
      </w:r>
      <w:proofErr w:type="spellEnd"/>
      <w:r w:rsidR="009D4114">
        <w:rPr>
          <w:i/>
        </w:rPr>
        <w:t xml:space="preserve"> p</w:t>
      </w:r>
      <w:r w:rsidR="000D3A3A">
        <w:rPr>
          <w:i/>
        </w:rPr>
        <w:t>.</w:t>
      </w:r>
      <w:r w:rsidR="009D4114">
        <w:rPr>
          <w:i/>
        </w:rPr>
        <w:t xml:space="preserve"> Chorwacji</w:t>
      </w:r>
      <w:r w:rsidR="009D4114">
        <w:t>, nr. 40820/12, § 33, 10 lipca 2014 r.).</w:t>
      </w:r>
    </w:p>
    <w:p w14:paraId="2D56D814" w14:textId="1B619714" w:rsidR="009D4114" w:rsidRPr="001B6D09" w:rsidRDefault="00000000" w:rsidP="001B6D09">
      <w:pPr>
        <w:pStyle w:val="JuPara"/>
        <w:jc w:val="both"/>
      </w:pPr>
      <w:fldSimple w:instr=" SEQ level0 \*arabic ">
        <w:r w:rsidR="006F4160">
          <w:rPr>
            <w:noProof/>
          </w:rPr>
          <w:t>106</w:t>
        </w:r>
      </w:fldSimple>
      <w:r w:rsidR="009629F9">
        <w:t xml:space="preserve">.  Biorąc pod uwagę charakter przedmiotowego przestępstwa, wraz </w:t>
      </w:r>
      <w:r w:rsidR="00680243">
        <w:br/>
      </w:r>
      <w:r w:rsidR="009629F9">
        <w:t>z surowością kary, Trybunał nie widzi powodu, aby odstąpić od wniosku wyciągniętego w tych poprzednich sprawach i stwierdza, że oba postępowania dotyczyły sprawy „karnej” w autonomicznym rozumieniu art. 4 Protokołu nr 7.</w:t>
      </w:r>
    </w:p>
    <w:p w14:paraId="77AC4710" w14:textId="0B8ED428" w:rsidR="00CE12FB" w:rsidRPr="001B6D09" w:rsidRDefault="00CE12FB" w:rsidP="001B6D09">
      <w:pPr>
        <w:pStyle w:val="JuHa0"/>
      </w:pPr>
      <w:r>
        <w:lastRenderedPageBreak/>
        <w:t xml:space="preserve">Czy czyny, za które skarżący był ścigany, były </w:t>
      </w:r>
      <w:r w:rsidR="00061C0B">
        <w:t>tożs</w:t>
      </w:r>
      <w:r>
        <w:t>ame</w:t>
      </w:r>
      <w:r>
        <w:rPr>
          <w:i/>
        </w:rPr>
        <w:t xml:space="preserve"> (</w:t>
      </w:r>
      <w:proofErr w:type="spellStart"/>
      <w:r>
        <w:rPr>
          <w:i/>
        </w:rPr>
        <w:t>idem</w:t>
      </w:r>
      <w:proofErr w:type="spellEnd"/>
      <w:r>
        <w:t>)</w:t>
      </w:r>
    </w:p>
    <w:p w14:paraId="272F1BD0" w14:textId="014EB298" w:rsidR="00307BF1" w:rsidRPr="001B6D09" w:rsidRDefault="00000000" w:rsidP="001B6D09">
      <w:pPr>
        <w:pStyle w:val="JuPara"/>
        <w:jc w:val="both"/>
      </w:pPr>
      <w:fldSimple w:instr=" SEQ level0 \*arabic ">
        <w:r w:rsidR="006F4160">
          <w:rPr>
            <w:noProof/>
          </w:rPr>
          <w:t>107</w:t>
        </w:r>
      </w:fldSimple>
      <w:r w:rsidR="008602B5">
        <w:t xml:space="preserve">.  Pojęcie „tego samego przestępstwa” - element </w:t>
      </w:r>
      <w:proofErr w:type="spellStart"/>
      <w:r w:rsidR="008602B5">
        <w:rPr>
          <w:i/>
        </w:rPr>
        <w:t>idem</w:t>
      </w:r>
      <w:proofErr w:type="spellEnd"/>
      <w:r w:rsidR="008602B5">
        <w:t xml:space="preserve"> zasady </w:t>
      </w:r>
      <w:proofErr w:type="spellStart"/>
      <w:r w:rsidR="008602B5">
        <w:rPr>
          <w:i/>
        </w:rPr>
        <w:t>ne</w:t>
      </w:r>
      <w:proofErr w:type="spellEnd"/>
      <w:r w:rsidR="008602B5">
        <w:rPr>
          <w:i/>
        </w:rPr>
        <w:t xml:space="preserve"> bis in </w:t>
      </w:r>
      <w:proofErr w:type="spellStart"/>
      <w:r w:rsidR="008602B5">
        <w:rPr>
          <w:i/>
        </w:rPr>
        <w:t>idem</w:t>
      </w:r>
      <w:proofErr w:type="spellEnd"/>
      <w:r w:rsidR="008602B5">
        <w:rPr>
          <w:i/>
        </w:rPr>
        <w:t xml:space="preserve"> </w:t>
      </w:r>
      <w:r w:rsidR="008602B5">
        <w:t xml:space="preserve">w art. 4 Protokołu nr 7 - zostało wyjaśnione w sprawie </w:t>
      </w:r>
      <w:proofErr w:type="spellStart"/>
      <w:r w:rsidR="008602B5">
        <w:rPr>
          <w:i/>
        </w:rPr>
        <w:t>Sergey</w:t>
      </w:r>
      <w:proofErr w:type="spellEnd"/>
      <w:r w:rsidR="008602B5">
        <w:rPr>
          <w:i/>
        </w:rPr>
        <w:t xml:space="preserve"> </w:t>
      </w:r>
      <w:proofErr w:type="spellStart"/>
      <w:r w:rsidR="008602B5">
        <w:rPr>
          <w:i/>
        </w:rPr>
        <w:t>Zolotukhin</w:t>
      </w:r>
      <w:proofErr w:type="spellEnd"/>
      <w:r w:rsidR="008602B5">
        <w:rPr>
          <w:i/>
        </w:rPr>
        <w:t xml:space="preserve"> p</w:t>
      </w:r>
      <w:r w:rsidR="000D3A3A">
        <w:rPr>
          <w:i/>
        </w:rPr>
        <w:t>.</w:t>
      </w:r>
      <w:r w:rsidR="008602B5">
        <w:rPr>
          <w:i/>
        </w:rPr>
        <w:t xml:space="preserve"> Rosji</w:t>
      </w:r>
      <w:r w:rsidR="008602B5">
        <w:t xml:space="preserve"> ([WI], nr 14939/03, §§ 78-84, ETPC 2009). </w:t>
      </w:r>
      <w:r w:rsidR="005C5DF2">
        <w:t xml:space="preserve">Zgodnie </w:t>
      </w:r>
      <w:r w:rsidR="00064986">
        <w:br/>
      </w:r>
      <w:r w:rsidR="005C5DF2">
        <w:t>z podejściem przyjętym w tym wyroku oczywiste jest, że ustalenie, czy dane przestępstwa były tożsame</w:t>
      </w:r>
      <w:r w:rsidR="008602B5">
        <w:t xml:space="preserve"> (</w:t>
      </w:r>
      <w:proofErr w:type="spellStart"/>
      <w:r w:rsidR="008602B5">
        <w:rPr>
          <w:i/>
          <w:iCs/>
        </w:rPr>
        <w:t>idem</w:t>
      </w:r>
      <w:proofErr w:type="spellEnd"/>
      <w:r w:rsidR="008602B5">
        <w:t>), jest uzależnione od oceny opartej na faktach (</w:t>
      </w:r>
      <w:r w:rsidR="008602B5" w:rsidRPr="00F7198F">
        <w:t>tamże</w:t>
      </w:r>
      <w:r w:rsidR="005C5DF2">
        <w:rPr>
          <w:i/>
          <w:iCs/>
        </w:rPr>
        <w:t xml:space="preserve">, </w:t>
      </w:r>
      <w:r w:rsidR="008602B5">
        <w:t xml:space="preserve">§ 84), a nie na przykład od oceny formalnej polegającej na porównaniu „istotnych elementów” tych czynów. Zawarty w art. 4 </w:t>
      </w:r>
      <w:r w:rsidR="005C5DF2">
        <w:t>P</w:t>
      </w:r>
      <w:r w:rsidR="008602B5">
        <w:t xml:space="preserve">rotokołu nr 7 do Konwencji zakaz dotyczy ścigania lub sądzenia za drugi „czyn zagrożony karą”, o ile ten ostatni wynika z </w:t>
      </w:r>
      <w:r w:rsidR="005C5DF2">
        <w:t xml:space="preserve">faktów </w:t>
      </w:r>
      <w:r w:rsidR="008602B5">
        <w:t>identycznych lub faktów, które są zasadniczo takie same (</w:t>
      </w:r>
      <w:r w:rsidR="005C5DF2">
        <w:t>tamże</w:t>
      </w:r>
      <w:r w:rsidR="008602B5">
        <w:t>,</w:t>
      </w:r>
      <w:r w:rsidR="005C5DF2">
        <w:t xml:space="preserve"> </w:t>
      </w:r>
      <w:r w:rsidR="008602B5">
        <w:t xml:space="preserve">§ 82). W opinii Trybunału </w:t>
      </w:r>
      <w:r w:rsidR="00A44FF3">
        <w:t>stany</w:t>
      </w:r>
      <w:r w:rsidR="008602B5">
        <w:t xml:space="preserve"> fakt</w:t>
      </w:r>
      <w:r w:rsidR="00A44FF3">
        <w:t>yczne</w:t>
      </w:r>
      <w:r w:rsidR="008602B5">
        <w:t xml:space="preserve"> dotyczące zarówno czynu, za który skarżący został już osądzony, jak i przestępstwa, o które został oskarżony, są odpowiednim punktem wyjścia do ustalenia, czy fakty w obu postępowaniach były identyczne lub zasadniczo takie same (zob. w związku z tym </w:t>
      </w:r>
      <w:proofErr w:type="spellStart"/>
      <w:r w:rsidR="008602B5">
        <w:rPr>
          <w:i/>
        </w:rPr>
        <w:t>Sergey</w:t>
      </w:r>
      <w:proofErr w:type="spellEnd"/>
      <w:r w:rsidR="008602B5">
        <w:t xml:space="preserve"> </w:t>
      </w:r>
      <w:proofErr w:type="spellStart"/>
      <w:r w:rsidR="008602B5">
        <w:rPr>
          <w:i/>
        </w:rPr>
        <w:t>Zolotukhin</w:t>
      </w:r>
      <w:proofErr w:type="spellEnd"/>
      <w:r w:rsidR="008602B5">
        <w:t>, cyt. powyżej, § 83). Badanie Trybunału powinno zatem koncentrować się na tych faktach, które stanowią zbiór konkretnych okoliczności faktycznych</w:t>
      </w:r>
      <w:r w:rsidR="00064986">
        <w:t>,</w:t>
      </w:r>
      <w:r w:rsidR="008602B5">
        <w:t xml:space="preserve"> dotyczących tego samego oskarżonego i nierozerwalnie związanych ze sobą w czasie i przestrzeni, </w:t>
      </w:r>
      <w:r w:rsidR="00064986">
        <w:t xml:space="preserve">istnienie </w:t>
      </w:r>
      <w:r w:rsidR="008602B5">
        <w:t xml:space="preserve">których należy wykazać w celu </w:t>
      </w:r>
      <w:r w:rsidR="00064986">
        <w:t>doprowadzenia do skazania</w:t>
      </w:r>
      <w:r w:rsidR="008602B5">
        <w:t xml:space="preserve"> lub wszczęcia postępowania karnego (</w:t>
      </w:r>
      <w:r w:rsidR="008602B5" w:rsidRPr="00F7198F">
        <w:rPr>
          <w:i/>
          <w:iCs/>
        </w:rPr>
        <w:t>ibid</w:t>
      </w:r>
      <w:r w:rsidR="008602B5">
        <w:t xml:space="preserve">., </w:t>
      </w:r>
      <w:r w:rsidR="00064986">
        <w:br/>
      </w:r>
      <w:r w:rsidR="008602B5">
        <w:t>§ 84).</w:t>
      </w:r>
    </w:p>
    <w:p w14:paraId="727D590E" w14:textId="0029D535" w:rsidR="001B3726" w:rsidRPr="001B6D09" w:rsidRDefault="00000000" w:rsidP="001B6D09">
      <w:pPr>
        <w:pStyle w:val="JuPara"/>
        <w:jc w:val="both"/>
      </w:pPr>
      <w:fldSimple w:instr=" SEQ level0 \*arabic ">
        <w:r w:rsidR="006F4160">
          <w:rPr>
            <w:noProof/>
          </w:rPr>
          <w:t>108</w:t>
        </w:r>
      </w:fldSimple>
      <w:r w:rsidR="001456E2">
        <w:t xml:space="preserve">.  W </w:t>
      </w:r>
      <w:r w:rsidR="00064986">
        <w:t xml:space="preserve">niniejszej </w:t>
      </w:r>
      <w:r w:rsidR="001456E2">
        <w:t xml:space="preserve">sprawie skarżący został po raz pierwszy </w:t>
      </w:r>
      <w:r w:rsidR="00064986">
        <w:t>ukarany</w:t>
      </w:r>
      <w:r w:rsidR="00064986">
        <w:br/>
      </w:r>
      <w:r w:rsidR="001456E2">
        <w:t>w postępowaniu w sprawie o wykroczenie w odniesieniu do dwóch odrębnych incydentów – wyroki</w:t>
      </w:r>
      <w:r w:rsidR="00064986">
        <w:t>em</w:t>
      </w:r>
      <w:r w:rsidR="001456E2">
        <w:t xml:space="preserve"> z 16 stycznia 2008 r. w odniesieniu do incydentu, który miał miejsce 10 stycznia 2008 r. (zob. par. </w:t>
      </w:r>
      <w:r w:rsidR="00EC434B" w:rsidRPr="001B6D09">
        <w:fldChar w:fldCharType="begin"/>
      </w:r>
      <w:r w:rsidR="00EC434B" w:rsidRPr="001B6D09">
        <w:instrText xml:space="preserve"> REF first_minor_offence_proceedings \h </w:instrText>
      </w:r>
      <w:r w:rsidR="00033454" w:rsidRPr="001B6D09">
        <w:instrText xml:space="preserve"> \* MERGEFORMAT </w:instrText>
      </w:r>
      <w:r w:rsidR="00EC434B" w:rsidRPr="001B6D09">
        <w:fldChar w:fldCharType="separate"/>
      </w:r>
      <w:r w:rsidR="006F4160">
        <w:t>9</w:t>
      </w:r>
      <w:r w:rsidR="00EC434B" w:rsidRPr="001B6D09">
        <w:fldChar w:fldCharType="end"/>
      </w:r>
      <w:r w:rsidR="001456E2">
        <w:t xml:space="preserve"> powyżej),</w:t>
      </w:r>
      <w:r w:rsidR="00064986">
        <w:br/>
      </w:r>
      <w:r w:rsidR="001456E2">
        <w:t xml:space="preserve">a następnie wyrokiem z 17 listopada 2008 r. w odniesieniu do incydentu </w:t>
      </w:r>
      <w:r w:rsidR="00064986">
        <w:br/>
      </w:r>
      <w:r w:rsidR="001456E2">
        <w:t xml:space="preserve">z 3 listopada 2008 r. (zob. par. </w:t>
      </w:r>
      <w:r w:rsidR="001456E2" w:rsidRPr="001B6D09">
        <w:fldChar w:fldCharType="begin"/>
      </w:r>
      <w:r w:rsidR="001456E2" w:rsidRPr="001B6D09">
        <w:instrText xml:space="preserve"> REF minor_offence_judgment \h </w:instrText>
      </w:r>
      <w:r w:rsidR="00033454" w:rsidRPr="001B6D09">
        <w:instrText xml:space="preserve"> \* MERGEFORMAT </w:instrText>
      </w:r>
      <w:r w:rsidR="001456E2" w:rsidRPr="001B6D09">
        <w:fldChar w:fldCharType="separate"/>
      </w:r>
      <w:r w:rsidR="006F4160">
        <w:t>13</w:t>
      </w:r>
      <w:r w:rsidR="001456E2" w:rsidRPr="001B6D09">
        <w:fldChar w:fldCharType="end"/>
      </w:r>
      <w:r w:rsidR="001456E2">
        <w:t xml:space="preserve"> powyżej).</w:t>
      </w:r>
    </w:p>
    <w:p w14:paraId="035B7F5B" w14:textId="14F0D7C9" w:rsidR="001B3726" w:rsidRPr="001B6D09" w:rsidRDefault="00000000" w:rsidP="001B6D09">
      <w:pPr>
        <w:pStyle w:val="JuPara"/>
        <w:jc w:val="both"/>
      </w:pPr>
      <w:fldSimple w:instr=" SEQ level0 \*arabic ">
        <w:r w:rsidR="006F4160">
          <w:rPr>
            <w:noProof/>
          </w:rPr>
          <w:t>109</w:t>
        </w:r>
      </w:fldSimple>
      <w:r w:rsidR="00B24304">
        <w:t xml:space="preserve">.  Następnie, w postępowaniu karnym, skarżący został oskarżony </w:t>
      </w:r>
      <w:r w:rsidR="00064986">
        <w:br/>
      </w:r>
      <w:r w:rsidR="00B24304">
        <w:t>i 14 lipca 2009 r</w:t>
      </w:r>
      <w:r w:rsidR="00064986">
        <w:t>.</w:t>
      </w:r>
      <w:r w:rsidR="00B24304">
        <w:t xml:space="preserve"> uznany winnym czterech </w:t>
      </w:r>
      <w:r w:rsidR="00064986">
        <w:t>czynów</w:t>
      </w:r>
      <w:r w:rsidR="00B24304">
        <w:t xml:space="preserve"> przemoc</w:t>
      </w:r>
      <w:r w:rsidR="00064986">
        <w:t>y</w:t>
      </w:r>
      <w:r w:rsidR="00B24304">
        <w:t xml:space="preserve"> domow</w:t>
      </w:r>
      <w:r w:rsidR="00064986">
        <w:t>ej</w:t>
      </w:r>
      <w:r w:rsidR="00B24304">
        <w:t xml:space="preserve"> </w:t>
      </w:r>
      <w:r w:rsidR="00064986">
        <w:t xml:space="preserve">popełnionych na szkodę </w:t>
      </w:r>
      <w:r w:rsidR="00B24304">
        <w:t>członków jego rodziny w okresie od lutego 2005 r</w:t>
      </w:r>
      <w:r w:rsidR="0010104E">
        <w:t xml:space="preserve">. </w:t>
      </w:r>
      <w:r w:rsidR="00B24304">
        <w:t>do listopada 2008 r</w:t>
      </w:r>
      <w:r w:rsidR="0010104E">
        <w:t>.</w:t>
      </w:r>
      <w:r w:rsidR="00B24304">
        <w:t xml:space="preserve"> Trybunał zauważa, że chociaż skaz</w:t>
      </w:r>
      <w:r w:rsidR="0010104E">
        <w:t>anie</w:t>
      </w:r>
      <w:r w:rsidR="00B24304">
        <w:t xml:space="preserve"> skarżącego </w:t>
      </w:r>
      <w:r w:rsidR="0010104E">
        <w:br/>
      </w:r>
      <w:r w:rsidR="00B24304">
        <w:t>w postępowaniu karnym nie odnosił</w:t>
      </w:r>
      <w:r w:rsidR="0010104E">
        <w:t>o</w:t>
      </w:r>
      <w:r w:rsidR="00B24304">
        <w:t xml:space="preserve"> się wyraźnie do żadnego konkretnego zdarzenia z 10 stycznia 2008 r., to wyraźnie obejmował</w:t>
      </w:r>
      <w:r w:rsidR="0010104E">
        <w:t>o</w:t>
      </w:r>
      <w:r w:rsidR="00B24304">
        <w:t xml:space="preserve"> okres od lutego 2005 r. do listopada 2008 r., </w:t>
      </w:r>
      <w:r w:rsidR="0010104E">
        <w:t xml:space="preserve">w ten sposób </w:t>
      </w:r>
      <w:r w:rsidR="00B24304">
        <w:t>dorozumianie obejmując wszystkie zdarzenia, które mogły mieć miejsce w tym czasie.</w:t>
      </w:r>
    </w:p>
    <w:p w14:paraId="4C6C75D0" w14:textId="3449F018" w:rsidR="001B3726" w:rsidRPr="001B6D09" w:rsidRDefault="00000000" w:rsidP="001B6D09">
      <w:pPr>
        <w:pStyle w:val="JuPara"/>
        <w:jc w:val="both"/>
      </w:pPr>
      <w:fldSimple w:instr=" SEQ level0 \*arabic ">
        <w:r w:rsidR="006F4160">
          <w:rPr>
            <w:noProof/>
          </w:rPr>
          <w:t>110</w:t>
        </w:r>
      </w:fldSimple>
      <w:r w:rsidR="001456E2">
        <w:t xml:space="preserve">.  Z drugiej strony, wyrok sądu w sprawie karnej wyraźnie odnosił się do zdarzenia z 3 listopada 2008 r., w związku z którym skarżący został uznany </w:t>
      </w:r>
      <w:r w:rsidR="0010104E">
        <w:t>winnym</w:t>
      </w:r>
      <w:r w:rsidR="001456E2">
        <w:t xml:space="preserve"> w postępowaniu w sprawie o wykroczenie 17 listopada 2008 r. (zob. par. </w:t>
      </w:r>
      <w:r w:rsidR="00965BCE" w:rsidRPr="001B6D09">
        <w:fldChar w:fldCharType="begin"/>
      </w:r>
      <w:r w:rsidR="00965BCE" w:rsidRPr="001B6D09">
        <w:instrText xml:space="preserve"> REF minor_offence_judgment \h </w:instrText>
      </w:r>
      <w:r w:rsidR="00033454" w:rsidRPr="001B6D09">
        <w:instrText xml:space="preserve"> \* MERGEFORMAT </w:instrText>
      </w:r>
      <w:r w:rsidR="00965BCE" w:rsidRPr="001B6D09">
        <w:fldChar w:fldCharType="separate"/>
      </w:r>
      <w:r w:rsidR="006F4160">
        <w:t>13</w:t>
      </w:r>
      <w:r w:rsidR="00965BCE" w:rsidRPr="001B6D09">
        <w:fldChar w:fldCharType="end"/>
      </w:r>
      <w:r w:rsidR="001456E2">
        <w:t xml:space="preserve"> powyżej). Zarówno orzeczenie wydane w postępowaniu </w:t>
      </w:r>
      <w:r w:rsidR="0010104E">
        <w:br/>
      </w:r>
      <w:r w:rsidR="001456E2">
        <w:t xml:space="preserve">w sprawie o wykroczenie 17 listopada 2008 r., jak i wyrok wydany </w:t>
      </w:r>
      <w:r w:rsidR="0010104E">
        <w:br/>
      </w:r>
      <w:r w:rsidR="001456E2">
        <w:t xml:space="preserve">w postępowaniu karnym 14 lipca 2009 r. odnoszą się do tych samych słów wypowiedzianych przez skarżącego pod adresem jego córki i byłej małżonki oraz do fizycznej napaści skarżącego na byłą małżonkę. W obu orzeczeniach </w:t>
      </w:r>
      <w:r w:rsidR="001456E2">
        <w:lastRenderedPageBreak/>
        <w:t>zdarzenia te zostały opisane w niemal identyczny sposób i wyraźnie odnoszą się do tych samych zdarzeń z 3 listopada 2008 r.</w:t>
      </w:r>
    </w:p>
    <w:bookmarkStart w:id="44" w:name="culminated"/>
    <w:p w14:paraId="2CD4FC0C" w14:textId="08987DFF" w:rsidR="001B3726" w:rsidRPr="001B6D09" w:rsidRDefault="00AA07E3"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111</w:t>
      </w:r>
      <w:r w:rsidRPr="001B6D09">
        <w:fldChar w:fldCharType="end"/>
      </w:r>
      <w:bookmarkEnd w:id="44"/>
      <w:r>
        <w:t xml:space="preserve">.  Jednocześnie Trybunał zauważa, że akt oskarżenia w postępowaniu karnym obejmował szereg dodatkowych okoliczności faktycznych nieobjętych orzeczeniem w </w:t>
      </w:r>
      <w:r w:rsidR="00F62A37">
        <w:t xml:space="preserve">kwestionowanym </w:t>
      </w:r>
      <w:r>
        <w:t xml:space="preserve">postępowaniu w sprawie </w:t>
      </w:r>
      <w:r w:rsidR="00F62A37">
        <w:br/>
      </w:r>
      <w:r>
        <w:t>o wykroczenie, a mianowicie akty przemocy domowej wobec młodszej córki skarżącego Z.</w:t>
      </w:r>
      <w:r w:rsidR="00F62A37">
        <w:t xml:space="preserve"> </w:t>
      </w:r>
      <w:r>
        <w:t>G. i jego syna H.</w:t>
      </w:r>
      <w:r w:rsidR="00F62A37">
        <w:t xml:space="preserve"> </w:t>
      </w:r>
      <w:r>
        <w:t xml:space="preserve">G. oraz, co najważniejsze, </w:t>
      </w:r>
      <w:r w:rsidR="00F62A37">
        <w:t xml:space="preserve">to że </w:t>
      </w:r>
      <w:r>
        <w:t>agresywne zachowani</w:t>
      </w:r>
      <w:r w:rsidR="00F62A37">
        <w:t>e</w:t>
      </w:r>
      <w:r>
        <w:t xml:space="preserve"> skarżącego miało miejsce przez dłuższy czas (zob. par. </w:t>
      </w:r>
      <w:r w:rsidR="009F00FA" w:rsidRPr="001B6D09">
        <w:fldChar w:fldCharType="begin"/>
      </w:r>
      <w:r w:rsidR="009F00FA" w:rsidRPr="001B6D09">
        <w:instrText xml:space="preserve"> REF criminal_indictment \h </w:instrText>
      </w:r>
      <w:r w:rsidR="004A117E" w:rsidRPr="001B6D09">
        <w:instrText xml:space="preserve"> \* MERGEFORMAT </w:instrText>
      </w:r>
      <w:r w:rsidR="009F00FA" w:rsidRPr="001B6D09">
        <w:fldChar w:fldCharType="separate"/>
      </w:r>
      <w:r w:rsidR="006F4160">
        <w:t>23</w:t>
      </w:r>
      <w:r w:rsidR="009F00FA" w:rsidRPr="001B6D09">
        <w:fldChar w:fldCharType="end"/>
      </w:r>
      <w:r>
        <w:t xml:space="preserve"> powyżej). Postępowanie karne dotyczyło zatem przestępstwa przemocy domowej określonego w art. 215a </w:t>
      </w:r>
      <w:r w:rsidR="00354232">
        <w:t>K</w:t>
      </w:r>
      <w:r>
        <w:t xml:space="preserve">odeksu karnego (zob. par. </w:t>
      </w:r>
      <w:r w:rsidR="0080302A" w:rsidRPr="001B6D09">
        <w:fldChar w:fldCharType="begin"/>
      </w:r>
      <w:r w:rsidR="0080302A" w:rsidRPr="001B6D09">
        <w:instrText xml:space="preserve"> REF Supreme_Court_judgment \h </w:instrText>
      </w:r>
      <w:r w:rsidR="00A76888" w:rsidRPr="001B6D09">
        <w:instrText xml:space="preserve"> \* MERGEFORMAT </w:instrText>
      </w:r>
      <w:r w:rsidR="0080302A" w:rsidRPr="001B6D09">
        <w:fldChar w:fldCharType="separate"/>
      </w:r>
      <w:r w:rsidR="006F4160">
        <w:t>69</w:t>
      </w:r>
      <w:r w:rsidR="0080302A" w:rsidRPr="001B6D09">
        <w:fldChar w:fldCharType="end"/>
      </w:r>
      <w:r>
        <w:t xml:space="preserve"> powyżej). W istocie </w:t>
      </w:r>
      <w:r w:rsidR="00354232">
        <w:t xml:space="preserve">w </w:t>
      </w:r>
      <w:r>
        <w:t>wyrok</w:t>
      </w:r>
      <w:r w:rsidR="00354232">
        <w:t>u</w:t>
      </w:r>
      <w:r>
        <w:t xml:space="preserve"> skazujący</w:t>
      </w:r>
      <w:r w:rsidR="00354232">
        <w:t>m</w:t>
      </w:r>
      <w:r>
        <w:t xml:space="preserve"> wymieni</w:t>
      </w:r>
      <w:r w:rsidR="00354232">
        <w:t>ono</w:t>
      </w:r>
      <w:r>
        <w:t xml:space="preserve"> kilka przykładów </w:t>
      </w:r>
      <w:proofErr w:type="spellStart"/>
      <w:r w:rsidR="00354232">
        <w:t>przemocowego</w:t>
      </w:r>
      <w:proofErr w:type="spellEnd"/>
      <w:r w:rsidR="00354232">
        <w:t xml:space="preserve"> </w:t>
      </w:r>
      <w:r>
        <w:t xml:space="preserve">zachowania skarżącego wobec członków jego rodziny </w:t>
      </w:r>
      <w:r w:rsidR="00354232">
        <w:br/>
      </w:r>
      <w:r>
        <w:t>i wyraźnie stwierdz</w:t>
      </w:r>
      <w:r w:rsidR="00354232">
        <w:t>ono</w:t>
      </w:r>
      <w:r>
        <w:t>, że kulminacją t</w:t>
      </w:r>
      <w:r w:rsidR="00354232">
        <w:t>ego</w:t>
      </w:r>
      <w:r>
        <w:t xml:space="preserve"> zachowania był incydent </w:t>
      </w:r>
      <w:r w:rsidR="00354232">
        <w:br/>
      </w:r>
      <w:r>
        <w:t xml:space="preserve">z 3 listopada 2008 r. (zob. par. </w:t>
      </w:r>
      <w:r w:rsidR="009F00FA" w:rsidRPr="001B6D09">
        <w:fldChar w:fldCharType="begin"/>
      </w:r>
      <w:r w:rsidR="009F00FA" w:rsidRPr="001B6D09">
        <w:instrText xml:space="preserve"> REF criminal_judgment \h </w:instrText>
      </w:r>
      <w:r w:rsidR="004A117E" w:rsidRPr="001B6D09">
        <w:instrText xml:space="preserve"> \* MERGEFORMAT </w:instrText>
      </w:r>
      <w:r w:rsidR="009F00FA" w:rsidRPr="001B6D09">
        <w:fldChar w:fldCharType="separate"/>
      </w:r>
      <w:r w:rsidR="006F4160">
        <w:t>33</w:t>
      </w:r>
      <w:r w:rsidR="009F00FA" w:rsidRPr="001B6D09">
        <w:fldChar w:fldCharType="end"/>
      </w:r>
      <w:r>
        <w:t xml:space="preserve"> powyżej). Okazuje się, że włączenie incydentu z 3 listopada 2008 r. służyło wykazaniu tylko jednego </w:t>
      </w:r>
      <w:r w:rsidR="00354232">
        <w:br/>
      </w:r>
      <w:r>
        <w:t xml:space="preserve">z przypadków – </w:t>
      </w:r>
      <w:r w:rsidR="00354232">
        <w:t xml:space="preserve">mianowicie </w:t>
      </w:r>
      <w:r>
        <w:t xml:space="preserve">najbardziej brutalnego – nagannego zachowania skarżącego, które </w:t>
      </w:r>
      <w:r w:rsidR="00354232">
        <w:t>trwało</w:t>
      </w:r>
      <w:r>
        <w:t xml:space="preserve"> przez okres około trzech lat i powodowało </w:t>
      </w:r>
      <w:r w:rsidR="00552177">
        <w:br/>
      </w:r>
      <w:r>
        <w:t xml:space="preserve">u członków jego rodziny strach, niepokój oraz poczucie zagrożenia życia (zob. par. </w:t>
      </w:r>
      <w:r w:rsidR="001456E2" w:rsidRPr="001B6D09">
        <w:fldChar w:fldCharType="begin"/>
      </w:r>
      <w:r w:rsidR="001456E2" w:rsidRPr="001B6D09">
        <w:instrText xml:space="preserve"> REF criminal_judgment \h </w:instrText>
      </w:r>
      <w:r w:rsidR="00D323E4" w:rsidRPr="001B6D09">
        <w:instrText xml:space="preserve"> \* MERGEFORMAT </w:instrText>
      </w:r>
      <w:r w:rsidR="001456E2" w:rsidRPr="001B6D09">
        <w:fldChar w:fldCharType="separate"/>
      </w:r>
      <w:r w:rsidR="006F4160">
        <w:t>33</w:t>
      </w:r>
      <w:r w:rsidR="001456E2" w:rsidRPr="001B6D09">
        <w:fldChar w:fldCharType="end"/>
      </w:r>
      <w:r>
        <w:t xml:space="preserve"> powyżej). Innymi słowy, sądy krajowe starały się wykazać, że zachowanie skarżącego, które było wielokrotnie karane w postępowaniach </w:t>
      </w:r>
      <w:r w:rsidR="00552177">
        <w:br/>
      </w:r>
      <w:r>
        <w:t xml:space="preserve">w sprawach o wykroczenia, ostatecznie osiągnęło taki próg powagi, </w:t>
      </w:r>
      <w:r w:rsidR="00552177">
        <w:t>że</w:t>
      </w:r>
      <w:r>
        <w:t xml:space="preserve"> zostało uznane za przestępstwo i ukarane na podstawie prawa karnego.</w:t>
      </w:r>
    </w:p>
    <w:p w14:paraId="7BC5EF3A" w14:textId="69A70A34" w:rsidR="00485F29" w:rsidRPr="001B6D09" w:rsidRDefault="00000000" w:rsidP="001B6D09">
      <w:pPr>
        <w:pStyle w:val="JuPara"/>
        <w:jc w:val="both"/>
      </w:pPr>
      <w:fldSimple w:instr=" SEQ level0 \*arabic ">
        <w:r w:rsidR="006F4160">
          <w:rPr>
            <w:noProof/>
          </w:rPr>
          <w:t>112</w:t>
        </w:r>
      </w:fldSimple>
      <w:r w:rsidR="00485F29">
        <w:t xml:space="preserve">.  Trybunał zauważa, że fakty, za które skarżący został już skazany </w:t>
      </w:r>
      <w:r w:rsidR="00552177">
        <w:br/>
      </w:r>
      <w:r w:rsidR="00485F29">
        <w:t xml:space="preserve">w dwóch skarżonych postępowaniach w sprawach o wykroczenia, stanowiły integralną część późniejszego postępowania karnego. Trybunał przyjmuje zatem, że okoliczności faktyczne w późniejszym postępowaniu karnym były częściowo identyczne z okolicznościami faktycznymi w dwóch skarżonych postępowaniach w sprawach o wykroczenia. W związku z tym należy wyeliminować wszelkie możliwe arbitralne traktowanie przez </w:t>
      </w:r>
      <w:r w:rsidR="00552177">
        <w:t>wymiar sprawiedliwości</w:t>
      </w:r>
      <w:r w:rsidR="00485F29">
        <w:t xml:space="preserve"> z naruszeniem zasady </w:t>
      </w:r>
      <w:proofErr w:type="spellStart"/>
      <w:r w:rsidR="00485F29">
        <w:rPr>
          <w:i/>
        </w:rPr>
        <w:t>ne</w:t>
      </w:r>
      <w:proofErr w:type="spellEnd"/>
      <w:r w:rsidR="00485F29">
        <w:rPr>
          <w:i/>
        </w:rPr>
        <w:t xml:space="preserve"> bis in </w:t>
      </w:r>
      <w:proofErr w:type="spellStart"/>
      <w:r w:rsidR="00485F29">
        <w:rPr>
          <w:i/>
        </w:rPr>
        <w:t>idem</w:t>
      </w:r>
      <w:proofErr w:type="spellEnd"/>
      <w:r w:rsidR="00485F29">
        <w:t xml:space="preserve"> w tych postępowaniach. Trybunał przystąpi zatem do zbadania, czy doszło do powielenia</w:t>
      </w:r>
      <w:r w:rsidR="00552177">
        <w:t xml:space="preserve"> </w:t>
      </w:r>
      <w:r w:rsidR="00485F29">
        <w:rPr>
          <w:i/>
        </w:rPr>
        <w:t>(bis</w:t>
      </w:r>
      <w:r w:rsidR="00485F29">
        <w:t>) postępowania z naruszeniem art. 4 Protokołu nr 7.</w:t>
      </w:r>
    </w:p>
    <w:p w14:paraId="737778F5" w14:textId="6ACB860F" w:rsidR="001221E7" w:rsidRPr="001B6D09" w:rsidRDefault="001221E7" w:rsidP="001B6D09">
      <w:pPr>
        <w:pStyle w:val="JuHa0"/>
      </w:pPr>
      <w:r>
        <w:t>Czy doszło do powielania postępowań (</w:t>
      </w:r>
      <w:r>
        <w:rPr>
          <w:i/>
          <w:iCs/>
        </w:rPr>
        <w:t>bis</w:t>
      </w:r>
      <w:r>
        <w:t>)</w:t>
      </w:r>
    </w:p>
    <w:bookmarkStart w:id="45" w:name="AB_Norway"/>
    <w:p w14:paraId="496836A1" w14:textId="2AD42275" w:rsidR="00307BF1" w:rsidRPr="001B6D09" w:rsidRDefault="00224DCB" w:rsidP="001B6D09">
      <w:pPr>
        <w:pStyle w:val="JuPara"/>
        <w:jc w:val="both"/>
      </w:pPr>
      <w:r w:rsidRPr="001B6D09">
        <w:fldChar w:fldCharType="begin"/>
      </w:r>
      <w:r w:rsidRPr="001B6D09">
        <w:instrText xml:space="preserve"> SEQ level0 \*arabic </w:instrText>
      </w:r>
      <w:r w:rsidRPr="001B6D09">
        <w:fldChar w:fldCharType="separate"/>
      </w:r>
      <w:r w:rsidR="006F4160">
        <w:rPr>
          <w:noProof/>
        </w:rPr>
        <w:t>113</w:t>
      </w:r>
      <w:r w:rsidRPr="001B6D09">
        <w:fldChar w:fldCharType="end"/>
      </w:r>
      <w:bookmarkEnd w:id="45"/>
      <w:r>
        <w:t xml:space="preserve">.  Jak wyjaśniła Wielka Izba w sprawie </w:t>
      </w:r>
      <w:r>
        <w:rPr>
          <w:i/>
        </w:rPr>
        <w:t>A i B p</w:t>
      </w:r>
      <w:r w:rsidR="000D3A3A">
        <w:rPr>
          <w:i/>
        </w:rPr>
        <w:t>.</w:t>
      </w:r>
      <w:r>
        <w:rPr>
          <w:i/>
        </w:rPr>
        <w:t xml:space="preserve"> Norwegii</w:t>
      </w:r>
      <w:r>
        <w:t xml:space="preserve"> ([WI], nr. 24130/11 i 29758/11, § 130, 15 listopada 2016 r.), art. 4 Protokołu nr </w:t>
      </w:r>
      <w:r w:rsidR="00744BF9">
        <w:br/>
      </w:r>
      <w:r>
        <w:t xml:space="preserve">7 nie wyklucza prowadzenia podwójnego postępowania, o ile spełnione są określone warunki. </w:t>
      </w:r>
      <w:r w:rsidRPr="00F7198F">
        <w:rPr>
          <w:iCs/>
        </w:rPr>
        <w:t xml:space="preserve">W szczególności, aby Trybunał był przekonany, że nie </w:t>
      </w:r>
      <w:r w:rsidR="00744BF9">
        <w:rPr>
          <w:iCs/>
        </w:rPr>
        <w:t>ma miejsca</w:t>
      </w:r>
      <w:r w:rsidR="00744BF9" w:rsidRPr="00F7198F">
        <w:rPr>
          <w:iCs/>
        </w:rPr>
        <w:t xml:space="preserve"> </w:t>
      </w:r>
      <w:r w:rsidRPr="00F7198F">
        <w:rPr>
          <w:iCs/>
        </w:rPr>
        <w:t>powiel</w:t>
      </w:r>
      <w:r w:rsidR="00744BF9">
        <w:rPr>
          <w:iCs/>
        </w:rPr>
        <w:t>e</w:t>
      </w:r>
      <w:r w:rsidRPr="00F7198F">
        <w:rPr>
          <w:iCs/>
        </w:rPr>
        <w:t>ni</w:t>
      </w:r>
      <w:r w:rsidR="00744BF9">
        <w:rPr>
          <w:iCs/>
        </w:rPr>
        <w:t>e</w:t>
      </w:r>
      <w:r w:rsidRPr="00F7198F">
        <w:rPr>
          <w:iCs/>
        </w:rPr>
        <w:t xml:space="preserve"> postępowań lub karania </w:t>
      </w:r>
      <w:r>
        <w:rPr>
          <w:i/>
        </w:rPr>
        <w:t>(</w:t>
      </w:r>
      <w:r w:rsidRPr="00F7198F">
        <w:rPr>
          <w:i/>
          <w:iCs/>
        </w:rPr>
        <w:t>bis</w:t>
      </w:r>
      <w:r>
        <w:t>) zakazanych art. </w:t>
      </w:r>
      <w:r w:rsidR="00744BF9">
        <w:br/>
      </w:r>
      <w:r>
        <w:t xml:space="preserve">4 Protokołu nr 7, pozwane państwo musi w przekonujący sposób wykazać, że </w:t>
      </w:r>
      <w:r w:rsidR="00744BF9">
        <w:t>przedmiotowe</w:t>
      </w:r>
      <w:r>
        <w:t xml:space="preserve"> podwójn</w:t>
      </w:r>
      <w:r w:rsidR="00744BF9">
        <w:t>e</w:t>
      </w:r>
      <w:r>
        <w:t xml:space="preserve"> postępowani</w:t>
      </w:r>
      <w:r w:rsidR="00744BF9">
        <w:t>e</w:t>
      </w:r>
      <w:r>
        <w:t xml:space="preserve"> </w:t>
      </w:r>
      <w:r w:rsidR="00744BF9">
        <w:t xml:space="preserve">było </w:t>
      </w:r>
      <w:r>
        <w:t>„</w:t>
      </w:r>
      <w:r w:rsidR="00744BF9">
        <w:t>wystarczająco ściśle</w:t>
      </w:r>
      <w:r>
        <w:t xml:space="preserve"> </w:t>
      </w:r>
      <w:r w:rsidR="00744BF9">
        <w:t>powiązane</w:t>
      </w:r>
      <w:r>
        <w:t xml:space="preserve"> co do istoty i czas</w:t>
      </w:r>
      <w:r w:rsidR="00744BF9">
        <w:t>u</w:t>
      </w:r>
      <w:r>
        <w:t xml:space="preserve">”. Innymi słowy, należy wykazać, że postępowania zostały połączone w sposób zintegrowany, </w:t>
      </w:r>
      <w:r w:rsidR="00DD2B74">
        <w:t xml:space="preserve">tak by </w:t>
      </w:r>
      <w:r>
        <w:t xml:space="preserve">tworzyć spójną całość. Oznacza to nie tylko, że </w:t>
      </w:r>
      <w:r w:rsidR="00DD2B74">
        <w:t xml:space="preserve">zamierzone </w:t>
      </w:r>
      <w:r>
        <w:t xml:space="preserve">cele i środki </w:t>
      </w:r>
      <w:r w:rsidR="00DD2B74">
        <w:t xml:space="preserve">użyte do ich </w:t>
      </w:r>
      <w:r>
        <w:lastRenderedPageBreak/>
        <w:t>osiągnięci</w:t>
      </w:r>
      <w:r w:rsidR="00DD2B74">
        <w:t>a</w:t>
      </w:r>
      <w:r>
        <w:t xml:space="preserve"> powinny zasadniczo mieć charakter </w:t>
      </w:r>
      <w:r w:rsidR="00DD2B74">
        <w:t xml:space="preserve">komplementarny </w:t>
      </w:r>
      <w:r>
        <w:t xml:space="preserve">i być powiązane w czasie, </w:t>
      </w:r>
      <w:r w:rsidR="00DD2B74">
        <w:t xml:space="preserve">ale </w:t>
      </w:r>
      <w:r>
        <w:t xml:space="preserve">także, że </w:t>
      </w:r>
      <w:r w:rsidR="00DD2B74">
        <w:t xml:space="preserve">możliwe </w:t>
      </w:r>
      <w:r>
        <w:t xml:space="preserve">konsekwencje </w:t>
      </w:r>
      <w:r w:rsidR="00DD2B74">
        <w:t>takiego zorganizowania przedmiotowego postępowania karnego</w:t>
      </w:r>
      <w:r>
        <w:t xml:space="preserve"> powinny być proporcjonalne i przewidywalne dla zainteresowanych osób (tamże, § 130). </w:t>
      </w:r>
      <w:r w:rsidRPr="00F7198F">
        <w:rPr>
          <w:iCs/>
        </w:rPr>
        <w:t>Jeżeli chodzi o warunki, które należy spełnić, aby podwójne postępowanie karne i administracyjne można było uznać za wystarczająco powiązane co do istoty i czas</w:t>
      </w:r>
      <w:r w:rsidR="00614772" w:rsidRPr="00F7198F">
        <w:rPr>
          <w:iCs/>
        </w:rPr>
        <w:t>u</w:t>
      </w:r>
      <w:r w:rsidRPr="00F7198F">
        <w:rPr>
          <w:iCs/>
        </w:rPr>
        <w:t xml:space="preserve">, a tym samym zgodne z kryterium </w:t>
      </w:r>
      <w:r w:rsidRPr="00F7198F">
        <w:rPr>
          <w:i/>
        </w:rPr>
        <w:t>bis</w:t>
      </w:r>
      <w:r w:rsidRPr="00614772">
        <w:rPr>
          <w:iCs/>
        </w:rPr>
        <w:t xml:space="preserve"> </w:t>
      </w:r>
      <w:r w:rsidR="00614772">
        <w:rPr>
          <w:iCs/>
        </w:rPr>
        <w:t>z</w:t>
      </w:r>
      <w:r w:rsidRPr="00614772">
        <w:rPr>
          <w:iCs/>
        </w:rPr>
        <w:t xml:space="preserve"> art. 4 Protokołu nr 7, </w:t>
      </w:r>
      <w:r>
        <w:t>istotne czynniki pozwalające ustalić, czy istniał dostatecznie bliski związek co do istoty, obejmują następujące kwestie:</w:t>
      </w:r>
    </w:p>
    <w:p w14:paraId="3E04A06C" w14:textId="77777777" w:rsidR="00307BF1" w:rsidRPr="001B6D09" w:rsidRDefault="00307BF1" w:rsidP="001B6D09">
      <w:pPr>
        <w:pStyle w:val="JuPara"/>
        <w:jc w:val="both"/>
        <w:rPr>
          <w:rFonts w:eastAsia="Times New Roman"/>
          <w:sz w:val="17"/>
          <w:szCs w:val="17"/>
        </w:rPr>
      </w:pPr>
      <w:r>
        <w:t xml:space="preserve">– czy poszczególne postępowania służą realizacji komplementarnych celów, odnosząc się tym samym nie tylko </w:t>
      </w:r>
      <w:r>
        <w:rPr>
          <w:i/>
        </w:rPr>
        <w:t xml:space="preserve">in </w:t>
      </w:r>
      <w:proofErr w:type="spellStart"/>
      <w:r>
        <w:rPr>
          <w:i/>
        </w:rPr>
        <w:t>abstracto</w:t>
      </w:r>
      <w:proofErr w:type="spellEnd"/>
      <w:r>
        <w:t xml:space="preserve">, lecz także </w:t>
      </w:r>
      <w:r>
        <w:rPr>
          <w:i/>
        </w:rPr>
        <w:t>in concreto</w:t>
      </w:r>
      <w:r>
        <w:t>, do różnych aspektów niewłaściwego zachowania społecznego, będącego przedmiotem postępowania;</w:t>
      </w:r>
    </w:p>
    <w:p w14:paraId="528B1238" w14:textId="55D056E9" w:rsidR="00307BF1" w:rsidRPr="001B6D09" w:rsidRDefault="00307BF1" w:rsidP="001B6D09">
      <w:pPr>
        <w:pStyle w:val="JuPara"/>
        <w:jc w:val="both"/>
        <w:rPr>
          <w:rFonts w:eastAsia="Times New Roman"/>
          <w:sz w:val="17"/>
          <w:szCs w:val="17"/>
        </w:rPr>
      </w:pPr>
      <w:r>
        <w:rPr>
          <w:i/>
        </w:rPr>
        <w:t xml:space="preserve">– </w:t>
      </w:r>
      <w:r w:rsidRPr="00F7198F">
        <w:rPr>
          <w:iCs/>
        </w:rPr>
        <w:t xml:space="preserve">czy </w:t>
      </w:r>
      <w:r w:rsidR="00614772" w:rsidRPr="00F7198F">
        <w:rPr>
          <w:iCs/>
        </w:rPr>
        <w:t>dualizm</w:t>
      </w:r>
      <w:r w:rsidRPr="00F7198F">
        <w:rPr>
          <w:iCs/>
        </w:rPr>
        <w:t xml:space="preserve"> </w:t>
      </w:r>
      <w:r w:rsidR="00614772">
        <w:rPr>
          <w:iCs/>
        </w:rPr>
        <w:t>danego</w:t>
      </w:r>
      <w:r w:rsidR="00614772" w:rsidRPr="00F7198F">
        <w:rPr>
          <w:iCs/>
        </w:rPr>
        <w:t xml:space="preserve"> </w:t>
      </w:r>
      <w:r w:rsidRPr="00F7198F">
        <w:rPr>
          <w:iCs/>
        </w:rPr>
        <w:t xml:space="preserve">postępowania </w:t>
      </w:r>
      <w:r w:rsidR="00614772" w:rsidRPr="00F7198F">
        <w:rPr>
          <w:iCs/>
        </w:rPr>
        <w:t xml:space="preserve">był </w:t>
      </w:r>
      <w:r w:rsidRPr="00F7198F">
        <w:rPr>
          <w:iCs/>
        </w:rPr>
        <w:t>przewidywalnym skutkiem, zarówno w prawie, jak i w praktyce, tego samego zarzucanego zachowania (</w:t>
      </w:r>
      <w:proofErr w:type="spellStart"/>
      <w:r w:rsidRPr="00F7198F">
        <w:rPr>
          <w:i/>
        </w:rPr>
        <w:t>idem</w:t>
      </w:r>
      <w:proofErr w:type="spellEnd"/>
      <w:r w:rsidRPr="00614772">
        <w:rPr>
          <w:iCs/>
        </w:rPr>
        <w:t>)</w:t>
      </w:r>
      <w:r>
        <w:t>;</w:t>
      </w:r>
    </w:p>
    <w:p w14:paraId="3C46D705" w14:textId="23D0FBF4" w:rsidR="00307BF1" w:rsidRPr="001B6D09" w:rsidRDefault="00307BF1" w:rsidP="001B6D09">
      <w:pPr>
        <w:pStyle w:val="JuPara"/>
        <w:jc w:val="both"/>
        <w:rPr>
          <w:rFonts w:eastAsia="Times New Roman"/>
          <w:sz w:val="17"/>
          <w:szCs w:val="17"/>
        </w:rPr>
      </w:pPr>
      <w:r>
        <w:t xml:space="preserve">– czy odpowiednie postępowania prowadzone </w:t>
      </w:r>
      <w:r w:rsidR="00614772">
        <w:t xml:space="preserve">były </w:t>
      </w:r>
      <w:r>
        <w:t xml:space="preserve">w taki sposób, aby </w:t>
      </w:r>
      <w:r w:rsidR="00614772">
        <w:br/>
      </w:r>
      <w:r>
        <w:t>w miarę możliwości uniknąć</w:t>
      </w:r>
      <w:r w:rsidR="00DB35E4">
        <w:t>,</w:t>
      </w:r>
      <w:r>
        <w:t xml:space="preserve"> na </w:t>
      </w:r>
      <w:r w:rsidR="00DB35E4">
        <w:t xml:space="preserve">tyle na </w:t>
      </w:r>
      <w:r>
        <w:t>ile to możliwe</w:t>
      </w:r>
      <w:r w:rsidR="00DB35E4">
        <w:t>,</w:t>
      </w:r>
      <w:r>
        <w:t xml:space="preserve"> </w:t>
      </w:r>
      <w:r w:rsidR="00DB35E4">
        <w:t xml:space="preserve">jakichkolwiek </w:t>
      </w:r>
      <w:r>
        <w:t>dodatkowych niedogodności wynikających z dublowania postępowań,</w:t>
      </w:r>
      <w:r w:rsidR="00DB35E4">
        <w:br/>
      </w:r>
      <w:r>
        <w:t>w szczególności powielania gromadzenia materiału dowodowego oraz jego oceny, zwłaszcza poprzez odpowiednie interakcje między różnymi właściwymi organami, tak aby ustalenia faktyczne w jednej grupie postępowań zostały powtórzone w drugiej grupie;</w:t>
      </w:r>
    </w:p>
    <w:p w14:paraId="1067CAAE" w14:textId="6959B5ED" w:rsidR="001B3726" w:rsidRPr="001B6D09" w:rsidRDefault="00307BF1" w:rsidP="001B6D09">
      <w:pPr>
        <w:pStyle w:val="JuPara"/>
        <w:jc w:val="both"/>
        <w:rPr>
          <w:rFonts w:eastAsia="Times New Roman"/>
        </w:rPr>
      </w:pPr>
      <w:r>
        <w:t xml:space="preserve">– </w:t>
      </w:r>
      <w:r w:rsidR="00DB35E4">
        <w:t xml:space="preserve">i </w:t>
      </w:r>
      <w:r>
        <w:t>przede wszystkim</w:t>
      </w:r>
      <w:r w:rsidR="00DB35E4">
        <w:t>,</w:t>
      </w:r>
      <w:r>
        <w:t xml:space="preserve"> czy sankcja nałożona w postępowaniu, któr</w:t>
      </w:r>
      <w:r w:rsidR="00DB35E4">
        <w:t>a</w:t>
      </w:r>
      <w:r>
        <w:t xml:space="preserve"> jako pierwsz</w:t>
      </w:r>
      <w:r w:rsidR="00DB35E4">
        <w:t>a</w:t>
      </w:r>
      <w:r>
        <w:t xml:space="preserve"> stał</w:t>
      </w:r>
      <w:r w:rsidR="00DB35E4">
        <w:t>a</w:t>
      </w:r>
      <w:r>
        <w:t xml:space="preserve"> się ostateczne, </w:t>
      </w:r>
      <w:r w:rsidR="00DB35E4">
        <w:t xml:space="preserve">była </w:t>
      </w:r>
      <w:r>
        <w:t xml:space="preserve">brana pod uwagę w postępowaniu, które </w:t>
      </w:r>
      <w:r w:rsidR="00DB35E4">
        <w:t xml:space="preserve">stało </w:t>
      </w:r>
      <w:r>
        <w:t>się ostateczne jako ostatnie, tak aby zapobiec sytuacji, w której zainteresowana osoba zostaje ostatecznie zmuszona do poniesienia nadmiernego obciążenia, przy czym to ostatnie ryzyko zostaje zminimalizowane w przypadku istnienia mechanizmu kompensacyjnego mającego na celu zapewnienie</w:t>
      </w:r>
      <w:r w:rsidR="009F2FD5">
        <w:t>, że ogólna suma</w:t>
      </w:r>
      <w:r>
        <w:t xml:space="preserve"> wszelkich nałożonych kar </w:t>
      </w:r>
      <w:r w:rsidR="009F2FD5">
        <w:t xml:space="preserve">jest proporcjonalna </w:t>
      </w:r>
      <w:r>
        <w:t>(tamże, §§ 131-32)..</w:t>
      </w:r>
    </w:p>
    <w:p w14:paraId="6F77C52C" w14:textId="31A53F02" w:rsidR="001B3726" w:rsidRPr="001B6D09" w:rsidRDefault="00000000" w:rsidP="001B6D09">
      <w:pPr>
        <w:pStyle w:val="JuPara"/>
        <w:jc w:val="both"/>
        <w:rPr>
          <w:rFonts w:eastAsiaTheme="majorEastAsia"/>
        </w:rPr>
      </w:pPr>
      <w:fldSimple w:instr=" SEQ level0 \*arabic ">
        <w:r w:rsidR="006F4160">
          <w:rPr>
            <w:noProof/>
          </w:rPr>
          <w:t>114</w:t>
        </w:r>
      </w:fldSimple>
      <w:r w:rsidR="007D06AD">
        <w:t xml:space="preserve">.  Na wstępie Trybunał powtarza, że na państwach ciąży pozytywny obowiązek zapewnienia i utrzymania odpowiednich ram prawnych zapewniających ochronę przed aktami przemocy domowej, wynikający z art. 3 i art. 8 Konwencji, (zob. </w:t>
      </w:r>
      <w:r w:rsidR="007D06AD">
        <w:rPr>
          <w:i/>
        </w:rPr>
        <w:t>Ž.B. przeciwko Chorwacji</w:t>
      </w:r>
      <w:r w:rsidR="007D06AD">
        <w:t xml:space="preserve">, nr 47666/13, §§ 47 </w:t>
      </w:r>
      <w:r w:rsidR="009F2FD5">
        <w:br/>
      </w:r>
      <w:r w:rsidR="007D06AD">
        <w:t xml:space="preserve">i 49, 11 lipca 2017 r.). </w:t>
      </w:r>
      <w:r w:rsidR="009F2FD5">
        <w:t>W odniesieniu do adekwatności</w:t>
      </w:r>
      <w:r w:rsidR="007D06AD">
        <w:t xml:space="preserve"> ram prawnych ochrony przed przemocą domową, Trybunał zauważa, że w odpowiednich materiałach międzynarodowych istnieje powszechne zrozumienie, że kompleksowe środki prawne oraz inne są niezbędne do zapewnienia ofiarom przemocy domowej skutecznej ochrony (zob. na przykład par. </w:t>
      </w:r>
      <w:r w:rsidR="00AE5BAB" w:rsidRPr="001B6D09">
        <w:rPr>
          <w:rFonts w:eastAsiaTheme="majorEastAsia"/>
        </w:rPr>
        <w:fldChar w:fldCharType="begin"/>
      </w:r>
      <w:r w:rsidR="00AE5BAB" w:rsidRPr="001B6D09">
        <w:rPr>
          <w:rFonts w:eastAsiaTheme="majorEastAsia"/>
        </w:rPr>
        <w:instrText xml:space="preserve"> REF istanbul_convention \h </w:instrText>
      </w:r>
      <w:r w:rsidR="00B809F5" w:rsidRPr="001B6D09">
        <w:rPr>
          <w:rFonts w:eastAsiaTheme="majorEastAsia"/>
        </w:rPr>
        <w:instrText xml:space="preserve"> \* MERGEFORMAT </w:instrText>
      </w:r>
      <w:r w:rsidR="00AE5BAB" w:rsidRPr="001B6D09">
        <w:rPr>
          <w:rFonts w:eastAsiaTheme="majorEastAsia"/>
        </w:rPr>
      </w:r>
      <w:r w:rsidR="00AE5BAB" w:rsidRPr="001B6D09">
        <w:rPr>
          <w:rFonts w:eastAsiaTheme="majorEastAsia"/>
        </w:rPr>
        <w:fldChar w:fldCharType="separate"/>
      </w:r>
      <w:r w:rsidR="006F4160">
        <w:t>71</w:t>
      </w:r>
      <w:r w:rsidR="00AE5BAB" w:rsidRPr="001B6D09">
        <w:rPr>
          <w:rFonts w:eastAsiaTheme="majorEastAsia"/>
        </w:rPr>
        <w:fldChar w:fldCharType="end"/>
      </w:r>
      <w:r w:rsidR="007D06AD">
        <w:t xml:space="preserve"> powyżej). Środki takie obejmują w szczególności kryminalizację aktów przemocy w rodzinie poprzez wprowadzenie skutecznych, proporcjonalnych i odstraszających sankcji (tamże, § 51).</w:t>
      </w:r>
    </w:p>
    <w:p w14:paraId="454B730C" w14:textId="47774FCB" w:rsidR="001B3726" w:rsidRPr="001B6D09" w:rsidRDefault="00000000" w:rsidP="001B6D09">
      <w:pPr>
        <w:pStyle w:val="JuPara"/>
        <w:jc w:val="both"/>
      </w:pPr>
      <w:fldSimple w:instr=" SEQ level0 \*arabic ">
        <w:r w:rsidR="006F4160">
          <w:rPr>
            <w:noProof/>
          </w:rPr>
          <w:t>115</w:t>
        </w:r>
      </w:fldSimple>
      <w:r w:rsidR="001923F8">
        <w:t xml:space="preserve">.  Trybunał zauważa ponadto, że Układające się Państwa mają różne podejścia do kryminalizacji przemocy domowej w swoich systemach prawnych. Trybunał orzekł już, że rozwiązania legislacyjne przewidziane </w:t>
      </w:r>
      <w:r w:rsidR="003500A8">
        <w:br/>
        <w:t xml:space="preserve">w </w:t>
      </w:r>
      <w:r w:rsidR="001923F8">
        <w:t xml:space="preserve">kodeksie karnym i ustawie o wykroczeniach obowiązujące w czasie istotnym dla sprawy w Chorwacji nie wydają się być sprzeczne </w:t>
      </w:r>
      <w:r w:rsidR="00DA1A6E">
        <w:br/>
      </w:r>
      <w:r w:rsidR="001923F8">
        <w:t xml:space="preserve">z odpowiednimi standardami międzynarodowymi (zob. </w:t>
      </w:r>
      <w:r w:rsidR="001923F8">
        <w:rPr>
          <w:i/>
        </w:rPr>
        <w:t>Ž.</w:t>
      </w:r>
      <w:r w:rsidR="00DA1A6E">
        <w:rPr>
          <w:i/>
        </w:rPr>
        <w:t xml:space="preserve"> </w:t>
      </w:r>
      <w:r w:rsidR="001923F8">
        <w:rPr>
          <w:i/>
        </w:rPr>
        <w:t>B.</w:t>
      </w:r>
      <w:r w:rsidR="001923F8">
        <w:t>, cyt. pow</w:t>
      </w:r>
      <w:r w:rsidR="000D3A3A">
        <w:t>.</w:t>
      </w:r>
      <w:r w:rsidR="001923F8">
        <w:t xml:space="preserve">, §§ 38-39 i 56). Trybunał powtarza ponadto, że </w:t>
      </w:r>
      <w:r w:rsidR="00DA1A6E">
        <w:t xml:space="preserve">to </w:t>
      </w:r>
      <w:r w:rsidR="001923F8">
        <w:t xml:space="preserve">do </w:t>
      </w:r>
      <w:r w:rsidR="00DA1A6E">
        <w:t>organów</w:t>
      </w:r>
      <w:r w:rsidR="001923F8">
        <w:t xml:space="preserve"> krajowych należała ocena ustaleń faktycznych i podjęcie decyzji, zgodnie z prawem krajowym interpretowanym przez sądy krajowe, w jaki sposób zachowanie skarżącego powinno być zakwalifikowane oraz ścigane (zob. </w:t>
      </w:r>
      <w:proofErr w:type="spellStart"/>
      <w:r w:rsidR="001923F8">
        <w:rPr>
          <w:i/>
        </w:rPr>
        <w:t>Rohlena</w:t>
      </w:r>
      <w:proofErr w:type="spellEnd"/>
      <w:r w:rsidR="001923F8">
        <w:rPr>
          <w:i/>
        </w:rPr>
        <w:t xml:space="preserve"> </w:t>
      </w:r>
      <w:r w:rsidR="00DA1A6E">
        <w:rPr>
          <w:i/>
        </w:rPr>
        <w:br/>
      </w:r>
      <w:r w:rsidR="001923F8">
        <w:rPr>
          <w:i/>
        </w:rPr>
        <w:t>p</w:t>
      </w:r>
      <w:r w:rsidR="000D3A3A">
        <w:rPr>
          <w:i/>
        </w:rPr>
        <w:t>.</w:t>
      </w:r>
      <w:r w:rsidR="001923F8">
        <w:rPr>
          <w:i/>
        </w:rPr>
        <w:t xml:space="preserve"> Republice Czeskiej</w:t>
      </w:r>
      <w:r w:rsidR="001923F8">
        <w:t>, [WI], nr 59552/08, § 55, ETPC 2015).</w:t>
      </w:r>
    </w:p>
    <w:bookmarkStart w:id="46" w:name="dynamics_DV"/>
    <w:p w14:paraId="6949B128" w14:textId="2A1948C7" w:rsidR="001B3726" w:rsidRPr="001B6D09" w:rsidRDefault="001923F8" w:rsidP="001B6D09">
      <w:pPr>
        <w:pStyle w:val="JuPara"/>
        <w:jc w:val="both"/>
      </w:pPr>
      <w:r w:rsidRPr="001B6D09">
        <w:rPr>
          <w:rFonts w:ascii="Times New Roman" w:eastAsia="Times New Roman" w:hAnsi="Times New Roman" w:cs="Times New Roman"/>
        </w:rPr>
        <w:fldChar w:fldCharType="begin"/>
      </w:r>
      <w:r w:rsidRPr="001B6D09">
        <w:rPr>
          <w:rFonts w:ascii="Times New Roman" w:eastAsia="Times New Roman" w:hAnsi="Times New Roman" w:cs="Times New Roman"/>
        </w:rPr>
        <w:instrText xml:space="preserve"> SEQ level0 \*arabic </w:instrText>
      </w:r>
      <w:r w:rsidRPr="001B6D09">
        <w:rPr>
          <w:rFonts w:ascii="Times New Roman" w:eastAsia="Times New Roman" w:hAnsi="Times New Roman" w:cs="Times New Roman"/>
        </w:rPr>
        <w:fldChar w:fldCharType="separate"/>
      </w:r>
      <w:r w:rsidR="006F4160">
        <w:rPr>
          <w:rFonts w:ascii="Times New Roman" w:eastAsia="Times New Roman" w:hAnsi="Times New Roman" w:cs="Times New Roman"/>
          <w:noProof/>
        </w:rPr>
        <w:t>116</w:t>
      </w:r>
      <w:r w:rsidRPr="001B6D09">
        <w:rPr>
          <w:rFonts w:ascii="Times New Roman" w:eastAsia="Times New Roman" w:hAnsi="Times New Roman" w:cs="Times New Roman"/>
        </w:rPr>
        <w:fldChar w:fldCharType="end"/>
      </w:r>
      <w:bookmarkEnd w:id="46"/>
      <w:r>
        <w:rPr>
          <w:rFonts w:ascii="Times New Roman" w:hAnsi="Times New Roman"/>
        </w:rPr>
        <w:t>.  </w:t>
      </w:r>
      <w:r>
        <w:t xml:space="preserve">W </w:t>
      </w:r>
      <w:r w:rsidR="007A482E">
        <w:t>t</w:t>
      </w:r>
      <w:r>
        <w:t>ym</w:t>
      </w:r>
      <w:r w:rsidR="007A482E">
        <w:t xml:space="preserve"> względzie</w:t>
      </w:r>
      <w:r>
        <w:t xml:space="preserve"> Trybunał zauważa, że przemoc domowa rzadko jest jednorazowym </w:t>
      </w:r>
      <w:r w:rsidR="00DA1A6E">
        <w:t>zachowaniem</w:t>
      </w:r>
      <w:r>
        <w:t xml:space="preserve">; zazwyczaj obejmuje kumulatywne </w:t>
      </w:r>
      <w:r w:rsidR="00405BF1">
        <w:br/>
      </w:r>
      <w:r>
        <w:t xml:space="preserve">i powiązane ze sobą akty fizycznego, psychologicznego, seksualnego, emocjonalnego, werbalnego i finansowego </w:t>
      </w:r>
      <w:r w:rsidR="00405BF1">
        <w:t xml:space="preserve">przemocy wobec </w:t>
      </w:r>
      <w:r>
        <w:t>bliskiego członka rodziny lub partnera, wykraczające poza okoliczności indywidualne</w:t>
      </w:r>
      <w:r w:rsidR="00405BF1">
        <w:t>go</w:t>
      </w:r>
      <w:r>
        <w:t xml:space="preserve"> </w:t>
      </w:r>
      <w:r w:rsidR="00405BF1">
        <w:t>przypadku</w:t>
      </w:r>
      <w:r>
        <w:t xml:space="preserve"> (zob. </w:t>
      </w:r>
      <w:proofErr w:type="spellStart"/>
      <w:r>
        <w:rPr>
          <w:i/>
        </w:rPr>
        <w:t>Volodina</w:t>
      </w:r>
      <w:proofErr w:type="spellEnd"/>
      <w:r>
        <w:rPr>
          <w:i/>
        </w:rPr>
        <w:t xml:space="preserve"> p</w:t>
      </w:r>
      <w:r w:rsidR="000D3A3A">
        <w:rPr>
          <w:i/>
        </w:rPr>
        <w:t>.</w:t>
      </w:r>
      <w:r>
        <w:rPr>
          <w:i/>
        </w:rPr>
        <w:t xml:space="preserve"> Rosji</w:t>
      </w:r>
      <w:r>
        <w:t>, nr 41261/17, § 71, 9 lipca 2019 r.). Powtarzanie się</w:t>
      </w:r>
      <w:r w:rsidR="00405BF1">
        <w:t xml:space="preserve"> kolejnych</w:t>
      </w:r>
      <w:r>
        <w:t xml:space="preserve"> epizodów przemocy w relacjach osobistych lub zamkniętych kręgach stanowi szczególny </w:t>
      </w:r>
      <w:r w:rsidR="007A482E">
        <w:t xml:space="preserve">aspekt </w:t>
      </w:r>
      <w:r>
        <w:t xml:space="preserve">i dynamikę przemocy domowej (zob. tamże, § 86 oraz </w:t>
      </w:r>
      <w:r>
        <w:rPr>
          <w:i/>
        </w:rPr>
        <w:t>Kurt p</w:t>
      </w:r>
      <w:r w:rsidR="000D3A3A">
        <w:rPr>
          <w:i/>
        </w:rPr>
        <w:t>.</w:t>
      </w:r>
      <w:r>
        <w:rPr>
          <w:i/>
        </w:rPr>
        <w:t xml:space="preserve"> Austrii</w:t>
      </w:r>
      <w:r>
        <w:t xml:space="preserve"> [WI], nr 62903/15, § 164, 15 czerwca 2021 r.). W związku z tym Trybunał uznał już, że przemoc domowa może być rozumiana jako szczególna forma przestępstwa ciągłego charakteryzującego się </w:t>
      </w:r>
      <w:r w:rsidR="00847061">
        <w:t xml:space="preserve">stałym </w:t>
      </w:r>
      <w:r>
        <w:t xml:space="preserve">schematem zachowania (zob. </w:t>
      </w:r>
      <w:proofErr w:type="spellStart"/>
      <w:r>
        <w:rPr>
          <w:i/>
        </w:rPr>
        <w:t>Rohlena</w:t>
      </w:r>
      <w:proofErr w:type="spellEnd"/>
      <w:r>
        <w:t>, cyt</w:t>
      </w:r>
      <w:r w:rsidR="000D3A3A">
        <w:t>. pow.</w:t>
      </w:r>
      <w:r>
        <w:t xml:space="preserve">, § 72 oraz </w:t>
      </w:r>
      <w:proofErr w:type="spellStart"/>
      <w:r>
        <w:rPr>
          <w:i/>
        </w:rPr>
        <w:t>Valiulienė</w:t>
      </w:r>
      <w:proofErr w:type="spellEnd"/>
      <w:r>
        <w:rPr>
          <w:i/>
        </w:rPr>
        <w:t xml:space="preserve"> p</w:t>
      </w:r>
      <w:r w:rsidR="000D3A3A">
        <w:rPr>
          <w:i/>
        </w:rPr>
        <w:t>.</w:t>
      </w:r>
      <w:r>
        <w:rPr>
          <w:i/>
        </w:rPr>
        <w:t xml:space="preserve"> Litwie</w:t>
      </w:r>
      <w:r>
        <w:t xml:space="preserve">, nr. 33234/07, § 68, 26 marca 2013 r.), </w:t>
      </w:r>
      <w:r w:rsidR="00847061">
        <w:br/>
      </w:r>
      <w:r>
        <w:t>w którym każdy indywidualny incydent stanowi element składowy szerszego schematu.</w:t>
      </w:r>
    </w:p>
    <w:p w14:paraId="63E4C19F" w14:textId="0D80A1B4" w:rsidR="001B3726" w:rsidRPr="001B6D09" w:rsidRDefault="00000000" w:rsidP="001B6D09">
      <w:pPr>
        <w:pStyle w:val="JuPara"/>
        <w:jc w:val="both"/>
      </w:pPr>
      <w:fldSimple w:instr=" SEQ level0 \*arabic ">
        <w:r w:rsidR="006F4160">
          <w:rPr>
            <w:noProof/>
          </w:rPr>
          <w:t>117</w:t>
        </w:r>
      </w:fldSimple>
      <w:r w:rsidR="001923F8">
        <w:t xml:space="preserve">.  Mając na uwadze powyższe, Trybunał zauważa, że </w:t>
      </w:r>
      <w:r w:rsidR="001923F8">
        <w:rPr>
          <w:rStyle w:val="ECHRParaChar"/>
        </w:rPr>
        <w:t>chorwacki ustawodawca w czasie istotnym dla sprawy uregulował społecznie niepożądane zachowanie polegające na stosowaniu przemocy wobec członków rodziny jako zintegrowany podwójny mechanizm</w:t>
      </w:r>
      <w:r w:rsidR="001923F8">
        <w:t>.</w:t>
      </w:r>
      <w:r w:rsidR="001923F8">
        <w:rPr>
          <w:rStyle w:val="ECHRParaChar"/>
        </w:rPr>
        <w:t xml:space="preserve"> </w:t>
      </w:r>
      <w:r w:rsidR="001923F8">
        <w:t xml:space="preserve">Pojedynczy akt przemocy domowej, który nie stanowił przestępstwa podlegającego karze na </w:t>
      </w:r>
      <w:r w:rsidR="001F5BB5">
        <w:t>mocy K</w:t>
      </w:r>
      <w:r w:rsidR="001923F8">
        <w:t xml:space="preserve">odeksu karnego, miał być karany jako wykroczenie przemocy domowej. Takie wykroczenie </w:t>
      </w:r>
      <w:r w:rsidR="001F5BB5">
        <w:t xml:space="preserve">koncentrowało się </w:t>
      </w:r>
      <w:r w:rsidR="001923F8">
        <w:t xml:space="preserve">głównie </w:t>
      </w:r>
      <w:r w:rsidR="001F5BB5">
        <w:t xml:space="preserve">na </w:t>
      </w:r>
      <w:r w:rsidR="001923F8">
        <w:t>incydent</w:t>
      </w:r>
      <w:r w:rsidR="001F5BB5">
        <w:t>ach</w:t>
      </w:r>
      <w:r w:rsidR="001F5BB5">
        <w:br/>
      </w:r>
      <w:r w:rsidR="001923F8">
        <w:t xml:space="preserve">i obejmowało szerszy zakres </w:t>
      </w:r>
      <w:proofErr w:type="spellStart"/>
      <w:r w:rsidR="001923F8">
        <w:t>zachowań</w:t>
      </w:r>
      <w:proofErr w:type="spellEnd"/>
      <w:r w:rsidR="001923F8">
        <w:t xml:space="preserve"> wykraczających poza granice tradycyjnego prawa karnego. W przypadku, gdy istniał schemat takich </w:t>
      </w:r>
      <w:proofErr w:type="spellStart"/>
      <w:r w:rsidR="001923F8">
        <w:t>zachowań</w:t>
      </w:r>
      <w:proofErr w:type="spellEnd"/>
      <w:r w:rsidR="001923F8">
        <w:t xml:space="preserve">, </w:t>
      </w:r>
      <w:r w:rsidR="001F5BB5">
        <w:t>K</w:t>
      </w:r>
      <w:r w:rsidR="001923F8">
        <w:t>odeks karny w</w:t>
      </w:r>
      <w:r w:rsidR="001F5BB5">
        <w:t xml:space="preserve"> przedmiotowym</w:t>
      </w:r>
      <w:r w:rsidR="001923F8">
        <w:t xml:space="preserve"> czasie przewidywał dodatkową możliwość </w:t>
      </w:r>
      <w:r w:rsidR="001F5BB5">
        <w:t>przedstawienia zarzutu</w:t>
      </w:r>
      <w:r w:rsidR="001923F8">
        <w:t xml:space="preserve"> przestępstw</w:t>
      </w:r>
      <w:r w:rsidR="001F5BB5">
        <w:t>a</w:t>
      </w:r>
      <w:r w:rsidR="001923F8">
        <w:t xml:space="preserve"> przemocy domowej określone</w:t>
      </w:r>
      <w:r w:rsidR="001F5BB5">
        <w:t>go</w:t>
      </w:r>
      <w:r w:rsidR="001923F8">
        <w:t xml:space="preserve"> w art. 215a </w:t>
      </w:r>
      <w:r w:rsidR="001F5BB5">
        <w:t>K</w:t>
      </w:r>
      <w:r w:rsidR="001923F8">
        <w:t xml:space="preserve">odeksu karnego. Sąd Najwyższy Chorwacji zinterpretował art. 215a </w:t>
      </w:r>
      <w:r w:rsidR="001F5BB5">
        <w:t>K</w:t>
      </w:r>
      <w:r w:rsidR="001923F8">
        <w:t xml:space="preserve">odeksu karnego w brzmieniu obowiązującym </w:t>
      </w:r>
      <w:r w:rsidR="001F5BB5">
        <w:br/>
      </w:r>
      <w:r w:rsidR="001923F8">
        <w:t xml:space="preserve">w </w:t>
      </w:r>
      <w:r w:rsidR="001F5BB5">
        <w:t xml:space="preserve">przedmiotowym </w:t>
      </w:r>
      <w:r w:rsidR="001923F8">
        <w:t xml:space="preserve">czasie, w okolicznościach podobnych do </w:t>
      </w:r>
      <w:r w:rsidR="001F5BB5">
        <w:t xml:space="preserve">niniejszej </w:t>
      </w:r>
      <w:r w:rsidR="001923F8">
        <w:t xml:space="preserve">sprawy, jako przestępstwo ciągłe obejmujące powtarzające się oraz długotrwałe zachowania w związkach (zob. par. </w:t>
      </w:r>
      <w:r w:rsidR="007B7BD0" w:rsidRPr="001B6D09">
        <w:fldChar w:fldCharType="begin"/>
      </w:r>
      <w:r w:rsidR="007B7BD0" w:rsidRPr="001B6D09">
        <w:instrText xml:space="preserve"> REF Supreme_Court_judgment \h  \* MERGEFORMAT </w:instrText>
      </w:r>
      <w:r w:rsidR="007B7BD0" w:rsidRPr="001B6D09">
        <w:fldChar w:fldCharType="separate"/>
      </w:r>
      <w:r w:rsidR="006F4160">
        <w:t>69</w:t>
      </w:r>
      <w:r w:rsidR="007B7BD0" w:rsidRPr="001B6D09">
        <w:fldChar w:fldCharType="end"/>
      </w:r>
      <w:r w:rsidR="001923F8">
        <w:t xml:space="preserve"> powyżej; zob. także </w:t>
      </w:r>
      <w:proofErr w:type="spellStart"/>
      <w:r w:rsidR="001923F8">
        <w:rPr>
          <w:i/>
        </w:rPr>
        <w:t>Rohlena</w:t>
      </w:r>
      <w:proofErr w:type="spellEnd"/>
      <w:r w:rsidR="001923F8">
        <w:t>, cyt. pow</w:t>
      </w:r>
      <w:r w:rsidR="001F5BB5">
        <w:t>.,</w:t>
      </w:r>
      <w:r w:rsidR="001923F8">
        <w:t xml:space="preserve"> § 72).</w:t>
      </w:r>
    </w:p>
    <w:p w14:paraId="0FB6E4AB" w14:textId="496C2B4C" w:rsidR="00A460B6" w:rsidRPr="001B6D09" w:rsidRDefault="001923F8" w:rsidP="001B6D09">
      <w:pPr>
        <w:pStyle w:val="JuPara"/>
        <w:jc w:val="both"/>
      </w:pPr>
      <w:r w:rsidRPr="001B6D09">
        <w:rPr>
          <w:rStyle w:val="ECHRParaChar"/>
        </w:rPr>
        <w:lastRenderedPageBreak/>
        <w:fldChar w:fldCharType="begin"/>
      </w:r>
      <w:r w:rsidRPr="001B6D09">
        <w:rPr>
          <w:rStyle w:val="ECHRParaChar"/>
        </w:rPr>
        <w:instrText xml:space="preserve"> SEQ level0 \*arabic </w:instrText>
      </w:r>
      <w:r w:rsidRPr="001B6D09">
        <w:rPr>
          <w:rStyle w:val="ECHRParaChar"/>
        </w:rPr>
        <w:fldChar w:fldCharType="separate"/>
      </w:r>
      <w:r w:rsidR="006F4160">
        <w:rPr>
          <w:rStyle w:val="ECHRParaChar"/>
          <w:noProof/>
        </w:rPr>
        <w:t>118</w:t>
      </w:r>
      <w:r w:rsidRPr="001B6D09">
        <w:rPr>
          <w:rStyle w:val="ECHRParaChar"/>
        </w:rPr>
        <w:fldChar w:fldCharType="end"/>
      </w:r>
      <w:r>
        <w:rPr>
          <w:rStyle w:val="ECHRParaChar"/>
        </w:rPr>
        <w:t>.  Trybunał zauważ</w:t>
      </w:r>
      <w:r w:rsidR="00D07263">
        <w:rPr>
          <w:rStyle w:val="ECHRParaChar"/>
        </w:rPr>
        <w:t>a</w:t>
      </w:r>
      <w:r>
        <w:rPr>
          <w:rStyle w:val="ECHRParaChar"/>
        </w:rPr>
        <w:t xml:space="preserve">, że celem postępowania w sprawie o wykroczenie było zapewnienie szybkiej reakcji na konkretny incydent przemocy domowej, który sam w sobie nie stanowił przestępstwa w rozumieniu </w:t>
      </w:r>
      <w:r w:rsidR="00D07263">
        <w:rPr>
          <w:rStyle w:val="ECHRParaChar"/>
        </w:rPr>
        <w:t>K</w:t>
      </w:r>
      <w:r>
        <w:rPr>
          <w:rStyle w:val="ECHRParaChar"/>
        </w:rPr>
        <w:t>odeksu karnego</w:t>
      </w:r>
      <w:r>
        <w:t>, aby w odpowiednim czasie i skutecznie zapobiec dalszej eskalacji przemocy w rodzinie oraz chronić ofiarę</w:t>
      </w:r>
      <w:r>
        <w:rPr>
          <w:rStyle w:val="ECHRParaChar"/>
        </w:rPr>
        <w:t>. Tak właśnie postąpiono wobec skarżącego w kilku odrębnych przypadkach (zob. par</w:t>
      </w:r>
      <w:r w:rsidR="00D07263">
        <w:rPr>
          <w:rStyle w:val="ECHRParaChar"/>
        </w:rPr>
        <w:t>.</w:t>
      </w:r>
      <w:r>
        <w:rPr>
          <w:rStyle w:val="ECHRParaChar"/>
        </w:rPr>
        <w:t xml:space="preserve"> </w:t>
      </w:r>
      <w:r w:rsidRPr="001B6D09">
        <w:rPr>
          <w:rStyle w:val="ECHRParaChar"/>
        </w:rPr>
        <w:fldChar w:fldCharType="begin"/>
      </w:r>
      <w:r w:rsidRPr="001B6D09">
        <w:rPr>
          <w:rStyle w:val="ECHRParaChar"/>
        </w:rPr>
        <w:instrText xml:space="preserve"> REF first_minor_offence_judgment \h </w:instrText>
      </w:r>
      <w:r w:rsidR="00B809F5" w:rsidRPr="001B6D09">
        <w:rPr>
          <w:rStyle w:val="ECHRParaChar"/>
        </w:rPr>
        <w:instrText xml:space="preserve"> \* MERGEFORMAT </w:instrText>
      </w:r>
      <w:r w:rsidRPr="001B6D09">
        <w:rPr>
          <w:rStyle w:val="ECHRParaChar"/>
        </w:rPr>
      </w:r>
      <w:r w:rsidRPr="001B6D09">
        <w:rPr>
          <w:rStyle w:val="ECHRParaChar"/>
        </w:rPr>
        <w:fldChar w:fldCharType="separate"/>
      </w:r>
      <w:r w:rsidR="006F4160">
        <w:t>6</w:t>
      </w:r>
      <w:r w:rsidRPr="001B6D09">
        <w:rPr>
          <w:rStyle w:val="ECHRParaChar"/>
        </w:rPr>
        <w:fldChar w:fldCharType="end"/>
      </w:r>
      <w:r>
        <w:rPr>
          <w:rStyle w:val="ECHRParaChar"/>
        </w:rPr>
        <w:t xml:space="preserve">, </w:t>
      </w:r>
      <w:r w:rsidRPr="001B6D09">
        <w:rPr>
          <w:rStyle w:val="ECHRParaChar"/>
        </w:rPr>
        <w:fldChar w:fldCharType="begin"/>
      </w:r>
      <w:r w:rsidRPr="001B6D09">
        <w:rPr>
          <w:rStyle w:val="ECHRParaChar"/>
        </w:rPr>
        <w:instrText xml:space="preserve"> REF second_minor_offence_judgment \h </w:instrText>
      </w:r>
      <w:r w:rsidR="00B809F5" w:rsidRPr="001B6D09">
        <w:rPr>
          <w:rStyle w:val="ECHRParaChar"/>
        </w:rPr>
        <w:instrText xml:space="preserve"> \* MERGEFORMAT </w:instrText>
      </w:r>
      <w:r w:rsidRPr="001B6D09">
        <w:rPr>
          <w:rStyle w:val="ECHRParaChar"/>
        </w:rPr>
      </w:r>
      <w:r w:rsidRPr="001B6D09">
        <w:rPr>
          <w:rStyle w:val="ECHRParaChar"/>
        </w:rPr>
        <w:fldChar w:fldCharType="separate"/>
      </w:r>
      <w:r w:rsidR="006F4160">
        <w:t>7</w:t>
      </w:r>
      <w:r w:rsidRPr="001B6D09">
        <w:rPr>
          <w:rStyle w:val="ECHRParaChar"/>
        </w:rPr>
        <w:fldChar w:fldCharType="end"/>
      </w:r>
      <w:r>
        <w:rPr>
          <w:rStyle w:val="ECHRParaChar"/>
        </w:rPr>
        <w:t xml:space="preserve">, </w:t>
      </w:r>
      <w:r w:rsidRPr="001B6D09">
        <w:rPr>
          <w:rStyle w:val="ECHRParaChar"/>
        </w:rPr>
        <w:fldChar w:fldCharType="begin"/>
      </w:r>
      <w:r w:rsidRPr="001B6D09">
        <w:rPr>
          <w:rStyle w:val="ECHRParaChar"/>
        </w:rPr>
        <w:instrText xml:space="preserve"> REF third_minor_offence_judgment \h </w:instrText>
      </w:r>
      <w:r w:rsidR="00B809F5" w:rsidRPr="001B6D09">
        <w:rPr>
          <w:rStyle w:val="ECHRParaChar"/>
        </w:rPr>
        <w:instrText xml:space="preserve"> \* MERGEFORMAT </w:instrText>
      </w:r>
      <w:r w:rsidRPr="001B6D09">
        <w:rPr>
          <w:rStyle w:val="ECHRParaChar"/>
        </w:rPr>
      </w:r>
      <w:r w:rsidRPr="001B6D09">
        <w:rPr>
          <w:rStyle w:val="ECHRParaChar"/>
        </w:rPr>
        <w:fldChar w:fldCharType="separate"/>
      </w:r>
      <w:r w:rsidR="006F4160">
        <w:t>8</w:t>
      </w:r>
      <w:r w:rsidRPr="001B6D09">
        <w:rPr>
          <w:rStyle w:val="ECHRParaChar"/>
        </w:rPr>
        <w:fldChar w:fldCharType="end"/>
      </w:r>
      <w:r>
        <w:rPr>
          <w:rStyle w:val="ECHRParaChar"/>
        </w:rPr>
        <w:t xml:space="preserve">, </w:t>
      </w:r>
      <w:r w:rsidR="00EC434B" w:rsidRPr="001B6D09">
        <w:rPr>
          <w:rStyle w:val="ECHRParaChar"/>
        </w:rPr>
        <w:fldChar w:fldCharType="begin"/>
      </w:r>
      <w:r w:rsidR="00EC434B" w:rsidRPr="001B6D09">
        <w:rPr>
          <w:rStyle w:val="ECHRParaChar"/>
        </w:rPr>
        <w:instrText xml:space="preserve"> REF first_minor_offence_proceedings \h </w:instrText>
      </w:r>
      <w:r w:rsidRPr="001B6D09">
        <w:rPr>
          <w:rStyle w:val="ECHRParaChar"/>
        </w:rPr>
        <w:instrText xml:space="preserve"> \* MERGEFORMAT </w:instrText>
      </w:r>
      <w:r w:rsidR="00EC434B" w:rsidRPr="001B6D09">
        <w:rPr>
          <w:rStyle w:val="ECHRParaChar"/>
        </w:rPr>
      </w:r>
      <w:r w:rsidR="00EC434B" w:rsidRPr="001B6D09">
        <w:rPr>
          <w:rStyle w:val="ECHRParaChar"/>
        </w:rPr>
        <w:fldChar w:fldCharType="separate"/>
      </w:r>
      <w:r w:rsidR="006F4160">
        <w:t>9</w:t>
      </w:r>
      <w:r w:rsidR="00EC434B" w:rsidRPr="001B6D09">
        <w:rPr>
          <w:rStyle w:val="ECHRParaChar"/>
        </w:rPr>
        <w:fldChar w:fldCharType="end"/>
      </w:r>
      <w:r>
        <w:rPr>
          <w:rStyle w:val="ECHRParaChar"/>
        </w:rPr>
        <w:t xml:space="preserve"> i </w:t>
      </w:r>
      <w:r w:rsidR="00EC434B" w:rsidRPr="001B6D09">
        <w:rPr>
          <w:rStyle w:val="ECHRParaChar"/>
        </w:rPr>
        <w:fldChar w:fldCharType="begin"/>
      </w:r>
      <w:r w:rsidR="00EC434B" w:rsidRPr="001B6D09">
        <w:rPr>
          <w:rStyle w:val="ECHRParaChar"/>
        </w:rPr>
        <w:instrText xml:space="preserve"> REF minor_offence_judgment \h </w:instrText>
      </w:r>
      <w:r w:rsidRPr="001B6D09">
        <w:rPr>
          <w:rStyle w:val="ECHRParaChar"/>
        </w:rPr>
        <w:instrText xml:space="preserve"> \* MERGEFORMAT </w:instrText>
      </w:r>
      <w:r w:rsidR="00EC434B" w:rsidRPr="001B6D09">
        <w:rPr>
          <w:rStyle w:val="ECHRParaChar"/>
        </w:rPr>
      </w:r>
      <w:r w:rsidR="00EC434B" w:rsidRPr="001B6D09">
        <w:rPr>
          <w:rStyle w:val="ECHRParaChar"/>
        </w:rPr>
        <w:fldChar w:fldCharType="separate"/>
      </w:r>
      <w:r w:rsidR="006F4160">
        <w:t>13</w:t>
      </w:r>
      <w:r w:rsidR="00EC434B" w:rsidRPr="001B6D09">
        <w:rPr>
          <w:rStyle w:val="ECHRParaChar"/>
        </w:rPr>
        <w:fldChar w:fldCharType="end"/>
      </w:r>
      <w:r>
        <w:rPr>
          <w:rStyle w:val="ECHRParaChar"/>
        </w:rPr>
        <w:t xml:space="preserve"> powyżej). Gdy bezprawne zachowanie skarżącego osiągnęło pewien poziom </w:t>
      </w:r>
      <w:r w:rsidR="00D07263">
        <w:rPr>
          <w:rStyle w:val="ECHRParaChar"/>
        </w:rPr>
        <w:t>nasilenia</w:t>
      </w:r>
      <w:r>
        <w:rPr>
          <w:rStyle w:val="ECHRParaChar"/>
        </w:rPr>
        <w:t xml:space="preserve">, wszczęto przeciwko niemu postępowanie karne, mające na celu </w:t>
      </w:r>
      <w:r w:rsidR="006A24C2">
        <w:rPr>
          <w:rStyle w:val="ECHRParaChar"/>
        </w:rPr>
        <w:t xml:space="preserve">rozwiązanie kwestii </w:t>
      </w:r>
      <w:r w:rsidR="00D07263">
        <w:rPr>
          <w:rStyle w:val="ECHRParaChar"/>
        </w:rPr>
        <w:t xml:space="preserve">ciągłej </w:t>
      </w:r>
      <w:r>
        <w:rPr>
          <w:rStyle w:val="ECHRParaChar"/>
        </w:rPr>
        <w:t>sytuacji przemocy</w:t>
      </w:r>
      <w:r w:rsidR="006A24C2">
        <w:rPr>
          <w:rStyle w:val="ECHRParaChar"/>
        </w:rPr>
        <w:t xml:space="preserve"> w sposób kompleksowy</w:t>
      </w:r>
      <w:r>
        <w:rPr>
          <w:rStyle w:val="ECHRParaChar"/>
        </w:rPr>
        <w:t xml:space="preserve"> (zob. </w:t>
      </w:r>
      <w:r>
        <w:rPr>
          <w:rStyle w:val="ECHRParaChar"/>
          <w:i/>
        </w:rPr>
        <w:t>mutatis mutandis</w:t>
      </w:r>
      <w:r>
        <w:rPr>
          <w:rStyle w:val="ECHRParaChar"/>
        </w:rPr>
        <w:t xml:space="preserve">, </w:t>
      </w:r>
      <w:r>
        <w:rPr>
          <w:rStyle w:val="ECHRParaChar"/>
          <w:i/>
        </w:rPr>
        <w:t>A. p</w:t>
      </w:r>
      <w:r w:rsidR="000D3A3A">
        <w:rPr>
          <w:rStyle w:val="ECHRParaChar"/>
          <w:i/>
        </w:rPr>
        <w:t xml:space="preserve">. </w:t>
      </w:r>
      <w:r>
        <w:rPr>
          <w:rStyle w:val="ECHRParaChar"/>
          <w:i/>
        </w:rPr>
        <w:t>Chorwacji</w:t>
      </w:r>
      <w:r>
        <w:rPr>
          <w:rStyle w:val="ECHRParaChar"/>
        </w:rPr>
        <w:t xml:space="preserve">, nr 55164/08, § 76, 14 października 2010 r.). </w:t>
      </w:r>
      <w:r>
        <w:t xml:space="preserve">Poszczególne incydenty ukarane w ramach dwóch </w:t>
      </w:r>
      <w:r w:rsidR="006A24C2">
        <w:t xml:space="preserve">skarżonych </w:t>
      </w:r>
      <w:r>
        <w:t xml:space="preserve">postępowań w sprawach o wykroczenia, w połączeniu z innymi incydentami, </w:t>
      </w:r>
      <w:r w:rsidR="00201AFE">
        <w:t xml:space="preserve">ukazywały pewien </w:t>
      </w:r>
      <w:r>
        <w:t xml:space="preserve">schemat zachowania i przyczyniły się do oceny wagi przestępczego zachowania skarżącego i </w:t>
      </w:r>
      <w:r w:rsidR="00201AFE">
        <w:t xml:space="preserve">dopiero </w:t>
      </w:r>
      <w:r>
        <w:t xml:space="preserve">w </w:t>
      </w:r>
      <w:r w:rsidR="00201AFE">
        <w:t xml:space="preserve">ich </w:t>
      </w:r>
      <w:r>
        <w:t>całości odzwierciedlały kumulatywny wpływ na jego ofiary.</w:t>
      </w:r>
      <w:r>
        <w:rPr>
          <w:rStyle w:val="ECHRParaChar"/>
        </w:rPr>
        <w:t xml:space="preserve"> W tych okolicznościach Trybunał nie ma powodu, aby kwestionować powody </w:t>
      </w:r>
      <w:r>
        <w:t xml:space="preserve">takiego częściowego </w:t>
      </w:r>
      <w:r w:rsidR="00201AFE">
        <w:t xml:space="preserve">duplikowania </w:t>
      </w:r>
      <w:r>
        <w:t>postępowań, służ</w:t>
      </w:r>
      <w:r w:rsidR="00201AFE">
        <w:t>ącego</w:t>
      </w:r>
      <w:r>
        <w:t xml:space="preserve"> </w:t>
      </w:r>
      <w:r w:rsidR="00201AFE">
        <w:t xml:space="preserve">generalnemu </w:t>
      </w:r>
      <w:r>
        <w:t>interesowi</w:t>
      </w:r>
      <w:r w:rsidR="00201AFE">
        <w:t xml:space="preserve"> w postaci</w:t>
      </w:r>
      <w:r>
        <w:t xml:space="preserve"> szybkiego oraz odpowiedniego reagowania na przemoc domową, która </w:t>
      </w:r>
      <w:r w:rsidR="00201AFE">
        <w:t xml:space="preserve">niesie </w:t>
      </w:r>
      <w:r>
        <w:t xml:space="preserve">szczególnie </w:t>
      </w:r>
      <w:r w:rsidR="00201AFE">
        <w:t xml:space="preserve">dewastujące </w:t>
      </w:r>
      <w:r>
        <w:t xml:space="preserve">skutki dla ofiary, rodziny i społeczeństwa jako całości, poprzez stopniową intensyfikację działań państwa. Trybunał zauważa, że takie </w:t>
      </w:r>
      <w:r w:rsidR="00BD43A9">
        <w:t xml:space="preserve">dualne </w:t>
      </w:r>
      <w:r>
        <w:t xml:space="preserve">postępowanie stanowiło komplementarną odpowiedź na społecznie szkodliwe zachowania związane z przemocą domową (por. </w:t>
      </w:r>
      <w:proofErr w:type="spellStart"/>
      <w:r>
        <w:rPr>
          <w:i/>
        </w:rPr>
        <w:t>Nodet</w:t>
      </w:r>
      <w:proofErr w:type="spellEnd"/>
      <w:r>
        <w:rPr>
          <w:i/>
        </w:rPr>
        <w:t xml:space="preserve"> p</w:t>
      </w:r>
      <w:r w:rsidR="000D3A3A">
        <w:rPr>
          <w:i/>
        </w:rPr>
        <w:t>.</w:t>
      </w:r>
      <w:r>
        <w:rPr>
          <w:i/>
        </w:rPr>
        <w:t xml:space="preserve"> Francji</w:t>
      </w:r>
      <w:r>
        <w:t>, nr 47342/14, § 48, 6 czerwca 2019 r.).</w:t>
      </w:r>
    </w:p>
    <w:p w14:paraId="766F3947" w14:textId="30CDB6D3" w:rsidR="00A460B6" w:rsidRPr="001B6D09" w:rsidRDefault="00000000" w:rsidP="001B6D09">
      <w:pPr>
        <w:pStyle w:val="JuPara"/>
        <w:jc w:val="both"/>
      </w:pPr>
      <w:fldSimple w:instr=" SEQ level0 \*arabic ">
        <w:r w:rsidR="006F4160">
          <w:rPr>
            <w:noProof/>
          </w:rPr>
          <w:t>119</w:t>
        </w:r>
      </w:fldSimple>
      <w:r w:rsidR="00A460B6">
        <w:t xml:space="preserve">.  Trybunał podkreślił ponadto, że dublowanie postępowań i kar może być dozwolone jedynie w warunkach przewidzianych i wyczerpująco określonych przez jasne i precyzyjne zasady pozwalające jednostkom przewidzieć, które działania lub zaniechania mogą </w:t>
      </w:r>
      <w:r w:rsidR="00886F40">
        <w:t xml:space="preserve">być przedmiotem </w:t>
      </w:r>
      <w:r w:rsidR="00A460B6">
        <w:t>takie</w:t>
      </w:r>
      <w:r w:rsidR="00886F40">
        <w:t>go</w:t>
      </w:r>
      <w:r w:rsidR="00A460B6">
        <w:t xml:space="preserve"> dublowani</w:t>
      </w:r>
      <w:r w:rsidR="00886F40">
        <w:t>a</w:t>
      </w:r>
      <w:r w:rsidR="00A460B6">
        <w:t xml:space="preserve"> postępowań i kar, zapewniając w ten sposób, że prawo zagwarantowane w art. 4 Protokołu nr 7 nie jest kwestionowane jako takie oraz zachowana jest pewność prawa. W odniesieniu do kwestii, czy </w:t>
      </w:r>
      <w:r w:rsidR="00886F40">
        <w:t xml:space="preserve">dualizm </w:t>
      </w:r>
      <w:r w:rsidR="00A460B6">
        <w:t>postępowania był możliw</w:t>
      </w:r>
      <w:r w:rsidR="00210499">
        <w:t>y</w:t>
      </w:r>
      <w:r w:rsidR="00A460B6">
        <w:t xml:space="preserve"> do przewidzenia przez skarżącego, Trybunał zauważ</w:t>
      </w:r>
      <w:r w:rsidR="00210499">
        <w:t>a</w:t>
      </w:r>
      <w:r w:rsidR="00A460B6">
        <w:t xml:space="preserve">, że skarżący, zachowując się </w:t>
      </w:r>
      <w:proofErr w:type="spellStart"/>
      <w:r w:rsidR="00210499">
        <w:t>przemocowo</w:t>
      </w:r>
      <w:proofErr w:type="spellEnd"/>
      <w:r w:rsidR="00A460B6">
        <w:t xml:space="preserve"> wobec bliskich członków rodziny przy wielu okazjach, powinien był zdawać sobie sprawę, że jego zachowanie mogło pociągać za sobą konsekwencje, takie jak wszczęcie postępowania w sprawie o wykroczenie za konkretny </w:t>
      </w:r>
      <w:r w:rsidR="00210499">
        <w:t xml:space="preserve">zachowanie </w:t>
      </w:r>
      <w:r w:rsidR="00A460B6">
        <w:t xml:space="preserve">na podstawie ustawy o ochronie przed przemocą w rodzinie oraz postępowania karnego za ciągłe i powtarzające się zachowania przemocy domowej, podlegające karze na podstawie </w:t>
      </w:r>
      <w:r w:rsidR="00210499">
        <w:t>K</w:t>
      </w:r>
      <w:r w:rsidR="00A460B6">
        <w:t>odeksu karnego.</w:t>
      </w:r>
    </w:p>
    <w:p w14:paraId="23F54BBC" w14:textId="65272565" w:rsidR="00A460B6" w:rsidRPr="001B6D09" w:rsidRDefault="00000000" w:rsidP="001B6D09">
      <w:pPr>
        <w:pStyle w:val="JuPara"/>
        <w:jc w:val="both"/>
      </w:pPr>
      <w:fldSimple w:instr=" SEQ level0 \*arabic ">
        <w:r w:rsidR="006F4160">
          <w:rPr>
            <w:noProof/>
          </w:rPr>
          <w:t>120</w:t>
        </w:r>
      </w:fldSimple>
      <w:r w:rsidR="003223B3">
        <w:t xml:space="preserve">.  Jeśli chodzi o sposób prowadzenia postępowania, Trybunał zauważa, że sąd karny wziął pod uwagę wszystkie wcześniejsze wyroki </w:t>
      </w:r>
      <w:r w:rsidR="00210499">
        <w:br/>
      </w:r>
      <w:r w:rsidR="003223B3">
        <w:t xml:space="preserve">w sprawach o wykroczenia przeciwko skarżącemu (zob. par. </w:t>
      </w:r>
      <w:r w:rsidR="009809B0" w:rsidRPr="001B6D09">
        <w:fldChar w:fldCharType="begin"/>
      </w:r>
      <w:r w:rsidR="009809B0" w:rsidRPr="001B6D09">
        <w:instrText xml:space="preserve"> REF criminal_judgment \h </w:instrText>
      </w:r>
      <w:r w:rsidR="0060686B" w:rsidRPr="001B6D09">
        <w:instrText xml:space="preserve"> \* MERGEFORMAT </w:instrText>
      </w:r>
      <w:r w:rsidR="009809B0" w:rsidRPr="001B6D09">
        <w:fldChar w:fldCharType="separate"/>
      </w:r>
      <w:r w:rsidR="006F4160">
        <w:t>33</w:t>
      </w:r>
      <w:r w:rsidR="009809B0" w:rsidRPr="001B6D09">
        <w:fldChar w:fldCharType="end"/>
      </w:r>
      <w:r w:rsidR="003223B3">
        <w:t xml:space="preserve"> powyżej) oraz wykorzystał niektóre dowody z dokumentów z tych postępowań (na przykład ten sam protokół badania na zawartość alkoholu we krwi </w:t>
      </w:r>
      <w:r w:rsidR="00210499">
        <w:br/>
      </w:r>
      <w:r w:rsidR="003223B3">
        <w:t>z 4 listopada 2008 r.</w:t>
      </w:r>
      <w:r w:rsidR="003E511B">
        <w:t>,</w:t>
      </w:r>
      <w:r w:rsidR="003223B3">
        <w:t xml:space="preserve"> zob. par. </w:t>
      </w:r>
      <w:r w:rsidR="008E095E" w:rsidRPr="001B6D09">
        <w:fldChar w:fldCharType="begin"/>
      </w:r>
      <w:r w:rsidR="008E095E" w:rsidRPr="001B6D09">
        <w:instrText xml:space="preserve"> REF minor_offence_judgment \h  \* MERGEFORMAT </w:instrText>
      </w:r>
      <w:r w:rsidR="008E095E" w:rsidRPr="001B6D09">
        <w:fldChar w:fldCharType="separate"/>
      </w:r>
      <w:r w:rsidR="006F4160">
        <w:t>13</w:t>
      </w:r>
      <w:r w:rsidR="008E095E" w:rsidRPr="001B6D09">
        <w:fldChar w:fldCharType="end"/>
      </w:r>
      <w:r w:rsidR="003223B3">
        <w:t xml:space="preserve"> i </w:t>
      </w:r>
      <w:r w:rsidR="008E095E" w:rsidRPr="001B6D09">
        <w:fldChar w:fldCharType="begin"/>
      </w:r>
      <w:r w:rsidR="008E095E" w:rsidRPr="001B6D09">
        <w:instrText xml:space="preserve"> REF criminal_judgment \h  \* MERGEFORMAT </w:instrText>
      </w:r>
      <w:r w:rsidR="008E095E" w:rsidRPr="001B6D09">
        <w:fldChar w:fldCharType="separate"/>
      </w:r>
      <w:r w:rsidR="006F4160">
        <w:t>33</w:t>
      </w:r>
      <w:r w:rsidR="008E095E" w:rsidRPr="001B6D09">
        <w:fldChar w:fldCharType="end"/>
      </w:r>
      <w:r w:rsidR="003223B3">
        <w:t xml:space="preserve"> powyżej). Fakt, że sąd karny postanowił </w:t>
      </w:r>
      <w:r w:rsidR="003223B3">
        <w:lastRenderedPageBreak/>
        <w:t>ponownie przesłuchać niektórych świadków, takich jak Mi.</w:t>
      </w:r>
      <w:r w:rsidR="003E511B">
        <w:t xml:space="preserve"> </w:t>
      </w:r>
      <w:r w:rsidR="003223B3">
        <w:t>G. i M.</w:t>
      </w:r>
      <w:r w:rsidR="003E511B">
        <w:t xml:space="preserve"> </w:t>
      </w:r>
      <w:r w:rsidR="003223B3">
        <w:t>G. na rozprawie, można uznać za nieodłączną cechę postępowania karnego oraz wymóg służący ochronie praw oskarżonego na mocy art. 6 Konwencji. Trybunał stwierdz</w:t>
      </w:r>
      <w:r w:rsidR="003E511B">
        <w:t>a</w:t>
      </w:r>
      <w:r w:rsidR="003223B3">
        <w:t xml:space="preserve"> zatem, że interakcja i koordynacja między dwoma sądami była odpowiednia i że oba postępowania stanowiły spójną całość. (zob. </w:t>
      </w:r>
      <w:r w:rsidR="003E511B">
        <w:br/>
      </w:r>
      <w:r w:rsidR="003223B3">
        <w:rPr>
          <w:i/>
        </w:rPr>
        <w:t>a contrario</w:t>
      </w:r>
      <w:r w:rsidR="003223B3">
        <w:t xml:space="preserve">, </w:t>
      </w:r>
      <w:proofErr w:type="spellStart"/>
      <w:r w:rsidR="003223B3">
        <w:rPr>
          <w:i/>
        </w:rPr>
        <w:t>Kapetanios</w:t>
      </w:r>
      <w:proofErr w:type="spellEnd"/>
      <w:r w:rsidR="003223B3">
        <w:rPr>
          <w:i/>
        </w:rPr>
        <w:t xml:space="preserve"> i </w:t>
      </w:r>
      <w:r w:rsidR="000D3A3A">
        <w:rPr>
          <w:i/>
        </w:rPr>
        <w:t>I</w:t>
      </w:r>
      <w:r w:rsidR="003223B3">
        <w:rPr>
          <w:i/>
        </w:rPr>
        <w:t>nni p</w:t>
      </w:r>
      <w:r w:rsidR="000D3A3A">
        <w:rPr>
          <w:i/>
        </w:rPr>
        <w:t>.</w:t>
      </w:r>
      <w:r w:rsidR="003223B3">
        <w:rPr>
          <w:i/>
        </w:rPr>
        <w:t xml:space="preserve"> Grecji</w:t>
      </w:r>
      <w:r w:rsidR="003223B3">
        <w:t>, nr 3453/12 i 2 inne, §§ 65-74, 30 kwietnia 2015 r., gdzie skarżący</w:t>
      </w:r>
      <w:r w:rsidR="003E511B">
        <w:t>ch</w:t>
      </w:r>
      <w:r w:rsidR="003223B3">
        <w:t xml:space="preserve"> najpierw uniewinni</w:t>
      </w:r>
      <w:r w:rsidR="003E511B">
        <w:t>ono</w:t>
      </w:r>
      <w:r w:rsidR="003223B3">
        <w:t xml:space="preserve"> w postępowaniu karnym, a następnie </w:t>
      </w:r>
      <w:r w:rsidR="003E511B">
        <w:t>nałożono surowe grzywny w trybie</w:t>
      </w:r>
      <w:r w:rsidR="003223B3">
        <w:t xml:space="preserve"> administracyjn</w:t>
      </w:r>
      <w:r w:rsidR="003E511B">
        <w:t>ym</w:t>
      </w:r>
      <w:r w:rsidR="003223B3">
        <w:t xml:space="preserve"> za to samo zachowanie). W związku z tym skarżący nie doznał dolegliwości związanej z </w:t>
      </w:r>
      <w:r w:rsidR="003E511B">
        <w:t xml:space="preserve">dualizmem </w:t>
      </w:r>
      <w:r w:rsidR="003223B3">
        <w:t>postępowania, wykraczającej poza to, co było absolutnie konieczne.</w:t>
      </w:r>
    </w:p>
    <w:p w14:paraId="3B997B17" w14:textId="4A0C1E4E" w:rsidR="00D67739" w:rsidRPr="001B6D09" w:rsidRDefault="00000000" w:rsidP="001B6D09">
      <w:pPr>
        <w:pStyle w:val="JuPara"/>
        <w:jc w:val="both"/>
        <w:rPr>
          <w:rFonts w:eastAsia="Times New Roman"/>
        </w:rPr>
      </w:pPr>
      <w:fldSimple w:instr=" SEQ level0 \*arabic ">
        <w:r w:rsidR="006F4160">
          <w:rPr>
            <w:noProof/>
          </w:rPr>
          <w:t>121</w:t>
        </w:r>
      </w:fldSimple>
      <w:r w:rsidR="00A460B6">
        <w:t xml:space="preserve">.  W odniesieniu do nałożonych kar, Trybunał po pierwsze zauważa, że </w:t>
      </w:r>
      <w:r w:rsidR="00B35348">
        <w:t xml:space="preserve">w </w:t>
      </w:r>
      <w:r w:rsidR="00A460B6">
        <w:t>każdy</w:t>
      </w:r>
      <w:r w:rsidR="00B35348">
        <w:t>m</w:t>
      </w:r>
      <w:r w:rsidR="00A460B6">
        <w:t xml:space="preserve"> z wyroków</w:t>
      </w:r>
      <w:r w:rsidR="00B35348">
        <w:t xml:space="preserve">, którymi ukarano </w:t>
      </w:r>
      <w:r w:rsidR="00A460B6">
        <w:t xml:space="preserve">go za wykroczenia uwzględniał karę </w:t>
      </w:r>
      <w:r w:rsidR="00B35348">
        <w:t xml:space="preserve">wymierzoną mu </w:t>
      </w:r>
      <w:r w:rsidR="00A460B6">
        <w:t>w poprzednim postępowaniu w sprawie o wykroczenie (zob. par. </w:t>
      </w:r>
      <w:r w:rsidR="00225216" w:rsidRPr="001B6D09">
        <w:fldChar w:fldCharType="begin"/>
      </w:r>
      <w:r w:rsidR="00225216" w:rsidRPr="001B6D09">
        <w:instrText xml:space="preserve"> REF second_minor_offence_judgment \h </w:instrText>
      </w:r>
      <w:r w:rsidR="00B809F5" w:rsidRPr="001B6D09">
        <w:instrText xml:space="preserve"> \* MERGEFORMAT </w:instrText>
      </w:r>
      <w:r w:rsidR="00225216" w:rsidRPr="001B6D09">
        <w:fldChar w:fldCharType="separate"/>
      </w:r>
      <w:r w:rsidR="006F4160">
        <w:t>7</w:t>
      </w:r>
      <w:r w:rsidR="00225216" w:rsidRPr="001B6D09">
        <w:fldChar w:fldCharType="end"/>
      </w:r>
      <w:r w:rsidR="00A460B6">
        <w:t xml:space="preserve">, </w:t>
      </w:r>
      <w:r w:rsidR="00225216" w:rsidRPr="001B6D09">
        <w:fldChar w:fldCharType="begin"/>
      </w:r>
      <w:r w:rsidR="00225216" w:rsidRPr="001B6D09">
        <w:instrText xml:space="preserve"> REF fourth_minor_offence_judgment \h </w:instrText>
      </w:r>
      <w:r w:rsidR="00B809F5" w:rsidRPr="001B6D09">
        <w:instrText xml:space="preserve"> \* MERGEFORMAT </w:instrText>
      </w:r>
      <w:r w:rsidR="00225216" w:rsidRPr="001B6D09">
        <w:fldChar w:fldCharType="separate"/>
      </w:r>
      <w:r w:rsidR="006F4160">
        <w:t>9</w:t>
      </w:r>
      <w:r w:rsidR="00225216" w:rsidRPr="001B6D09">
        <w:fldChar w:fldCharType="end"/>
      </w:r>
      <w:r w:rsidR="00A460B6">
        <w:t xml:space="preserve"> i </w:t>
      </w:r>
      <w:r w:rsidR="00561D25" w:rsidRPr="001B6D09">
        <w:fldChar w:fldCharType="begin"/>
      </w:r>
      <w:r w:rsidR="00561D25" w:rsidRPr="001B6D09">
        <w:instrText xml:space="preserve"> REF minor_offence_judgment \h </w:instrText>
      </w:r>
      <w:r w:rsidR="00915354" w:rsidRPr="001B6D09">
        <w:instrText xml:space="preserve"> \* MERGEFORMAT </w:instrText>
      </w:r>
      <w:r w:rsidR="00561D25" w:rsidRPr="001B6D09">
        <w:fldChar w:fldCharType="separate"/>
      </w:r>
      <w:r w:rsidR="006F4160">
        <w:t>13</w:t>
      </w:r>
      <w:r w:rsidR="00561D25" w:rsidRPr="001B6D09">
        <w:fldChar w:fldCharType="end"/>
      </w:r>
      <w:r w:rsidR="00A460B6">
        <w:t xml:space="preserve"> powyżej). Następnie sąd karny wyraźnie zauważył, że skarżący </w:t>
      </w:r>
      <w:r w:rsidR="00B35348">
        <w:t xml:space="preserve">został </w:t>
      </w:r>
      <w:r w:rsidR="00A460B6">
        <w:t xml:space="preserve">już </w:t>
      </w:r>
      <w:r w:rsidR="00B35348">
        <w:t>u</w:t>
      </w:r>
      <w:r w:rsidR="00A460B6">
        <w:t xml:space="preserve">karany w pięciu postępowaniach w sprawach </w:t>
      </w:r>
      <w:r w:rsidR="00B35348">
        <w:br/>
      </w:r>
      <w:r w:rsidR="00A460B6">
        <w:t xml:space="preserve">o wykroczenia. Odliczył również </w:t>
      </w:r>
      <w:r w:rsidR="00B35348">
        <w:t>w swoim wyroku</w:t>
      </w:r>
      <w:r w:rsidR="00A460B6">
        <w:t xml:space="preserve"> okres, który skarżący spędził w areszcie na podstawie dwóch </w:t>
      </w:r>
      <w:r w:rsidR="00B35348">
        <w:t xml:space="preserve">skarżonych </w:t>
      </w:r>
      <w:r w:rsidR="00A460B6">
        <w:t>wyroków</w:t>
      </w:r>
      <w:r w:rsidR="00B35348">
        <w:t>, którymi ukarano go</w:t>
      </w:r>
      <w:r w:rsidR="00A460B6">
        <w:t xml:space="preserve"> za wykroczenia, z 10 stycznia 2008 r. i 17 listopada 2008 r. (zob. par. </w:t>
      </w:r>
      <w:r w:rsidR="0051140A" w:rsidRPr="001B6D09">
        <w:fldChar w:fldCharType="begin"/>
      </w:r>
      <w:r w:rsidR="0051140A" w:rsidRPr="001B6D09">
        <w:instrText xml:space="preserve"> REF minor_offence_judgment \h  \* MERGEFORMAT </w:instrText>
      </w:r>
      <w:r w:rsidR="0051140A" w:rsidRPr="001B6D09">
        <w:fldChar w:fldCharType="separate"/>
      </w:r>
      <w:r w:rsidR="006F4160">
        <w:t>13</w:t>
      </w:r>
      <w:r w:rsidR="0051140A" w:rsidRPr="001B6D09">
        <w:fldChar w:fldCharType="end"/>
      </w:r>
      <w:r w:rsidR="00A460B6">
        <w:t xml:space="preserve"> powyżej). Sądy krajowe zastosowały zatem zasadę odliczenia </w:t>
      </w:r>
      <w:r w:rsidR="006414EC">
        <w:br/>
      </w:r>
      <w:r w:rsidR="00A460B6">
        <w:t xml:space="preserve">i zapewniły, że suma kar nałożonych na skarżącego była proporcjonalna do wagi </w:t>
      </w:r>
      <w:r w:rsidR="006414EC">
        <w:t xml:space="preserve">przedmiotowego </w:t>
      </w:r>
      <w:r w:rsidR="00A460B6">
        <w:t>przestępstwa (por</w:t>
      </w:r>
      <w:r w:rsidR="006414EC">
        <w:t>.</w:t>
      </w:r>
      <w:r w:rsidR="00A460B6">
        <w:t xml:space="preserve"> </w:t>
      </w:r>
      <w:r w:rsidR="00A460B6">
        <w:rPr>
          <w:i/>
        </w:rPr>
        <w:t>A i B</w:t>
      </w:r>
      <w:r w:rsidR="00A460B6">
        <w:t>, cyt. pow</w:t>
      </w:r>
      <w:r w:rsidR="000D3A3A">
        <w:t>.</w:t>
      </w:r>
      <w:r w:rsidR="00A460B6">
        <w:t xml:space="preserve">, § 144 i </w:t>
      </w:r>
      <w:proofErr w:type="spellStart"/>
      <w:r w:rsidR="00A460B6">
        <w:rPr>
          <w:i/>
        </w:rPr>
        <w:t>Glantz</w:t>
      </w:r>
      <w:proofErr w:type="spellEnd"/>
      <w:r w:rsidR="000D3A3A">
        <w:rPr>
          <w:i/>
        </w:rPr>
        <w:t xml:space="preserve"> </w:t>
      </w:r>
      <w:r w:rsidR="006414EC">
        <w:rPr>
          <w:i/>
        </w:rPr>
        <w:br/>
      </w:r>
      <w:r w:rsidR="00A460B6">
        <w:t>p</w:t>
      </w:r>
      <w:r w:rsidR="000D3A3A">
        <w:t>.</w:t>
      </w:r>
      <w:r w:rsidR="00A460B6">
        <w:t xml:space="preserve"> Finlandii</w:t>
      </w:r>
      <w:r w:rsidR="00A460B6">
        <w:rPr>
          <w:snapToGrid w:val="0"/>
        </w:rPr>
        <w:t xml:space="preserve">, </w:t>
      </w:r>
      <w:r w:rsidR="00A460B6">
        <w:t xml:space="preserve">nr. 37394/11, § 61, 20 maja 2014 r. </w:t>
      </w:r>
      <w:r w:rsidR="006414EC">
        <w:t>oraz</w:t>
      </w:r>
      <w:r w:rsidR="00A460B6">
        <w:t xml:space="preserve"> </w:t>
      </w:r>
      <w:proofErr w:type="spellStart"/>
      <w:r w:rsidR="00A460B6">
        <w:rPr>
          <w:i/>
        </w:rPr>
        <w:t>Nykänen</w:t>
      </w:r>
      <w:proofErr w:type="spellEnd"/>
      <w:r w:rsidR="000D3A3A">
        <w:rPr>
          <w:i/>
        </w:rPr>
        <w:t xml:space="preserve"> </w:t>
      </w:r>
      <w:r w:rsidR="00A460B6">
        <w:t>p</w:t>
      </w:r>
      <w:r w:rsidR="000D3A3A">
        <w:t>.</w:t>
      </w:r>
      <w:r w:rsidR="00A460B6">
        <w:t xml:space="preserve"> Finlandii</w:t>
      </w:r>
      <w:r w:rsidR="00A460B6">
        <w:rPr>
          <w:snapToGrid w:val="0"/>
        </w:rPr>
        <w:t xml:space="preserve">, </w:t>
      </w:r>
      <w:r w:rsidR="00A460B6">
        <w:t xml:space="preserve">nr 11828/11, § 51, 20 maja 2014 r.). Nie można zatem twierdzić, że skarżący doznał nadmiernego obciążenia (zob. odpowiednie kryteria określone </w:t>
      </w:r>
      <w:r w:rsidR="006414EC">
        <w:br/>
      </w:r>
      <w:r w:rsidR="00A460B6">
        <w:t xml:space="preserve">w sprawie </w:t>
      </w:r>
      <w:r w:rsidR="00A460B6">
        <w:rPr>
          <w:i/>
        </w:rPr>
        <w:t>A i B p</w:t>
      </w:r>
      <w:r w:rsidR="002D1D5C">
        <w:rPr>
          <w:i/>
        </w:rPr>
        <w:t>.</w:t>
      </w:r>
      <w:r w:rsidR="00A460B6">
        <w:rPr>
          <w:i/>
        </w:rPr>
        <w:t xml:space="preserve"> Norwegii</w:t>
      </w:r>
      <w:r w:rsidR="00A460B6">
        <w:t xml:space="preserve">, cyt. w par. </w:t>
      </w:r>
      <w:r w:rsidR="00742228" w:rsidRPr="001B6D09">
        <w:rPr>
          <w:rFonts w:eastAsia="Times New Roman"/>
        </w:rPr>
        <w:fldChar w:fldCharType="begin"/>
      </w:r>
      <w:r w:rsidR="00742228" w:rsidRPr="001B6D09">
        <w:rPr>
          <w:rFonts w:eastAsia="Times New Roman"/>
        </w:rPr>
        <w:instrText xml:space="preserve"> REF AB_Norway \h </w:instrText>
      </w:r>
      <w:r w:rsidR="00915354" w:rsidRPr="001B6D09">
        <w:rPr>
          <w:rFonts w:eastAsia="Times New Roman"/>
        </w:rPr>
        <w:instrText xml:space="preserve"> \* MERGEFORMAT </w:instrText>
      </w:r>
      <w:r w:rsidR="00742228" w:rsidRPr="001B6D09">
        <w:rPr>
          <w:rFonts w:eastAsia="Times New Roman"/>
        </w:rPr>
      </w:r>
      <w:r w:rsidR="00742228" w:rsidRPr="001B6D09">
        <w:rPr>
          <w:rFonts w:eastAsia="Times New Roman"/>
        </w:rPr>
        <w:fldChar w:fldCharType="separate"/>
      </w:r>
      <w:r w:rsidR="006F4160">
        <w:t>113</w:t>
      </w:r>
      <w:r w:rsidR="00742228" w:rsidRPr="001B6D09">
        <w:rPr>
          <w:rFonts w:eastAsia="Times New Roman"/>
        </w:rPr>
        <w:fldChar w:fldCharType="end"/>
      </w:r>
      <w:r w:rsidR="00A460B6">
        <w:t xml:space="preserve"> pow</w:t>
      </w:r>
      <w:r w:rsidR="002D1D5C">
        <w:t>.</w:t>
      </w:r>
      <w:r w:rsidR="00A460B6">
        <w:t>).</w:t>
      </w:r>
    </w:p>
    <w:p w14:paraId="260D7552" w14:textId="407B8F57" w:rsidR="00EB6D85" w:rsidRPr="001B6D09" w:rsidRDefault="00000000" w:rsidP="001B6D09">
      <w:pPr>
        <w:pStyle w:val="JuPara"/>
        <w:jc w:val="both"/>
      </w:pPr>
      <w:fldSimple w:instr=" SEQ level0 \*arabic ">
        <w:r w:rsidR="006F4160">
          <w:rPr>
            <w:noProof/>
          </w:rPr>
          <w:t>122</w:t>
        </w:r>
      </w:fldSimple>
      <w:r w:rsidR="004F6C14">
        <w:t>.  Wreszcie, odnosząc się do związku czasowego między różnymi postępowaniami, Trybunał zauważa, że element czasu w szczególnym kontekście przemocy domowej, mając na uwadze jej szczególną dynamikę (zob. par. </w:t>
      </w:r>
      <w:r w:rsidR="0083499D" w:rsidRPr="001B6D09">
        <w:fldChar w:fldCharType="begin"/>
      </w:r>
      <w:r w:rsidR="0083499D" w:rsidRPr="001B6D09">
        <w:instrText xml:space="preserve"> REF dynamics_DV \h  \* MERGEFORMAT </w:instrText>
      </w:r>
      <w:r w:rsidR="0083499D" w:rsidRPr="001B6D09">
        <w:fldChar w:fldCharType="separate"/>
      </w:r>
      <w:r w:rsidR="006F4160">
        <w:rPr>
          <w:rFonts w:ascii="Times New Roman" w:eastAsia="Times New Roman" w:hAnsi="Times New Roman" w:cs="Times New Roman"/>
        </w:rPr>
        <w:t>116</w:t>
      </w:r>
      <w:r w:rsidR="0083499D" w:rsidRPr="001B6D09">
        <w:fldChar w:fldCharType="end"/>
      </w:r>
      <w:r w:rsidR="004F6C14">
        <w:t xml:space="preserve"> powyżej), nabiera szczególnego znaczenia. W tym kontekście ważne jest, aby krajowy system prawa karnego skutecznie radził sobie </w:t>
      </w:r>
      <w:r w:rsidR="004D6F18">
        <w:br/>
      </w:r>
      <w:r w:rsidR="004F6C14">
        <w:t xml:space="preserve">z przypadkami przemocy domowej, indywidualnie i łącznie, poprzez wywoływanie odpowiedniego efektu odstraszającego, który może skutecznie zapobiegać bezprawnym </w:t>
      </w:r>
      <w:proofErr w:type="spellStart"/>
      <w:r w:rsidR="004D6F18">
        <w:t>zachowaniom</w:t>
      </w:r>
      <w:proofErr w:type="spellEnd"/>
      <w:r w:rsidR="004D6F18">
        <w:t xml:space="preserve"> </w:t>
      </w:r>
      <w:r w:rsidR="004F6C14">
        <w:t xml:space="preserve">(zob. </w:t>
      </w:r>
      <w:proofErr w:type="spellStart"/>
      <w:r w:rsidR="004F6C14">
        <w:t>n</w:t>
      </w:r>
      <w:r w:rsidR="002D1D5C">
        <w:t>.p</w:t>
      </w:r>
      <w:proofErr w:type="spellEnd"/>
      <w:r w:rsidR="002D1D5C">
        <w:t>.</w:t>
      </w:r>
      <w:r w:rsidR="004F6C14">
        <w:t xml:space="preserve"> </w:t>
      </w:r>
      <w:proofErr w:type="spellStart"/>
      <w:r w:rsidR="004F6C14">
        <w:rPr>
          <w:i/>
        </w:rPr>
        <w:t>Bălşan</w:t>
      </w:r>
      <w:proofErr w:type="spellEnd"/>
      <w:r w:rsidR="004F6C14">
        <w:rPr>
          <w:i/>
        </w:rPr>
        <w:t xml:space="preserve"> p</w:t>
      </w:r>
      <w:r w:rsidR="002D1D5C">
        <w:rPr>
          <w:i/>
        </w:rPr>
        <w:t>.</w:t>
      </w:r>
      <w:r w:rsidR="004F6C14">
        <w:rPr>
          <w:i/>
        </w:rPr>
        <w:t xml:space="preserve"> Rumunii</w:t>
      </w:r>
      <w:r w:rsidR="004F6C14">
        <w:t>, nr. 49645/09, §§ 71 i 87, 23 maja 2017 r.</w:t>
      </w:r>
      <w:r w:rsidR="004D6F18">
        <w:t>,</w:t>
      </w:r>
      <w:r w:rsidR="004F6C14">
        <w:t xml:space="preserve"> zob. także par. </w:t>
      </w:r>
      <w:r w:rsidR="003223B3" w:rsidRPr="001B6D09">
        <w:fldChar w:fldCharType="begin"/>
      </w:r>
      <w:r w:rsidR="003223B3" w:rsidRPr="001B6D09">
        <w:instrText xml:space="preserve"> REF istanbul_convention \h </w:instrText>
      </w:r>
      <w:r w:rsidR="00B809F5" w:rsidRPr="001B6D09">
        <w:instrText xml:space="preserve"> \* MERGEFORMAT </w:instrText>
      </w:r>
      <w:r w:rsidR="003223B3" w:rsidRPr="001B6D09">
        <w:fldChar w:fldCharType="separate"/>
      </w:r>
      <w:r w:rsidR="006F4160">
        <w:t>71</w:t>
      </w:r>
      <w:r w:rsidR="003223B3" w:rsidRPr="001B6D09">
        <w:fldChar w:fldCharType="end"/>
      </w:r>
      <w:r w:rsidR="004F6C14">
        <w:t xml:space="preserve"> powyżej). </w:t>
      </w:r>
      <w:r w:rsidR="004D6F18">
        <w:br/>
      </w:r>
      <w:r w:rsidR="004F6C14">
        <w:t xml:space="preserve">W </w:t>
      </w:r>
      <w:r w:rsidR="004D6F18">
        <w:t xml:space="preserve">niniejszej </w:t>
      </w:r>
      <w:r w:rsidR="004F6C14">
        <w:t xml:space="preserve">sprawie, jak już </w:t>
      </w:r>
      <w:r w:rsidR="004D6F18">
        <w:t>stwierdzono</w:t>
      </w:r>
      <w:r w:rsidR="004F6C14">
        <w:t>, władze interweniowały</w:t>
      </w:r>
      <w:r w:rsidR="004D6F18">
        <w:t>, gdy zostały poinformowane,</w:t>
      </w:r>
      <w:r w:rsidR="004F6C14">
        <w:t xml:space="preserve"> za każdym razem, gdy miał miejsce pojedynczy incydent przemocy domowej w rodzinie w celu zapewnienia natychmiastowej pomocy jej ofiarom (zob. par. </w:t>
      </w:r>
      <w:r w:rsidR="00271A3C" w:rsidRPr="001B6D09">
        <w:fldChar w:fldCharType="begin"/>
      </w:r>
      <w:r w:rsidR="00271A3C" w:rsidRPr="001B6D09">
        <w:instrText xml:space="preserve"> REF first_minor_offence_judgment \h </w:instrText>
      </w:r>
      <w:r w:rsidR="00961945" w:rsidRPr="001B6D09">
        <w:instrText xml:space="preserve"> \* MERGEFORMAT </w:instrText>
      </w:r>
      <w:r w:rsidR="00271A3C" w:rsidRPr="001B6D09">
        <w:fldChar w:fldCharType="separate"/>
      </w:r>
      <w:r w:rsidR="006F4160">
        <w:t>6</w:t>
      </w:r>
      <w:r w:rsidR="00271A3C" w:rsidRPr="001B6D09">
        <w:fldChar w:fldCharType="end"/>
      </w:r>
      <w:r w:rsidR="004F6C14">
        <w:t xml:space="preserve">, </w:t>
      </w:r>
      <w:r w:rsidR="00271A3C" w:rsidRPr="001B6D09">
        <w:fldChar w:fldCharType="begin"/>
      </w:r>
      <w:r w:rsidR="00271A3C" w:rsidRPr="001B6D09">
        <w:instrText xml:space="preserve"> REF second_minor_offence_judgment \h </w:instrText>
      </w:r>
      <w:r w:rsidR="00961945" w:rsidRPr="001B6D09">
        <w:instrText xml:space="preserve"> \* MERGEFORMAT </w:instrText>
      </w:r>
      <w:r w:rsidR="00271A3C" w:rsidRPr="001B6D09">
        <w:fldChar w:fldCharType="separate"/>
      </w:r>
      <w:r w:rsidR="006F4160">
        <w:t>7</w:t>
      </w:r>
      <w:r w:rsidR="00271A3C" w:rsidRPr="001B6D09">
        <w:fldChar w:fldCharType="end"/>
      </w:r>
      <w:r w:rsidR="004F6C14">
        <w:t xml:space="preserve">, </w:t>
      </w:r>
      <w:r w:rsidR="00271A3C" w:rsidRPr="001B6D09">
        <w:fldChar w:fldCharType="begin"/>
      </w:r>
      <w:r w:rsidR="00271A3C" w:rsidRPr="001B6D09">
        <w:instrText xml:space="preserve"> REF third_minor_offence_judgment \h </w:instrText>
      </w:r>
      <w:r w:rsidR="00961945" w:rsidRPr="001B6D09">
        <w:instrText xml:space="preserve"> \* MERGEFORMAT </w:instrText>
      </w:r>
      <w:r w:rsidR="00271A3C" w:rsidRPr="001B6D09">
        <w:fldChar w:fldCharType="separate"/>
      </w:r>
      <w:r w:rsidR="006F4160">
        <w:t>8</w:t>
      </w:r>
      <w:r w:rsidR="00271A3C" w:rsidRPr="001B6D09">
        <w:fldChar w:fldCharType="end"/>
      </w:r>
      <w:r w:rsidR="004F6C14">
        <w:t xml:space="preserve">, </w:t>
      </w:r>
      <w:r w:rsidR="00271A3C" w:rsidRPr="001B6D09">
        <w:fldChar w:fldCharType="begin"/>
      </w:r>
      <w:r w:rsidR="00271A3C" w:rsidRPr="001B6D09">
        <w:instrText xml:space="preserve"> REF fourth_minor_offence_judgment \h </w:instrText>
      </w:r>
      <w:r w:rsidR="00961945" w:rsidRPr="001B6D09">
        <w:instrText xml:space="preserve"> \* MERGEFORMAT </w:instrText>
      </w:r>
      <w:r w:rsidR="00271A3C" w:rsidRPr="001B6D09">
        <w:fldChar w:fldCharType="separate"/>
      </w:r>
      <w:r w:rsidR="006F4160">
        <w:t>9</w:t>
      </w:r>
      <w:r w:rsidR="00271A3C" w:rsidRPr="001B6D09">
        <w:fldChar w:fldCharType="end"/>
      </w:r>
      <w:r w:rsidR="004F6C14">
        <w:t xml:space="preserve"> i </w:t>
      </w:r>
      <w:r w:rsidR="00271A3C" w:rsidRPr="001B6D09">
        <w:fldChar w:fldCharType="begin"/>
      </w:r>
      <w:r w:rsidR="00271A3C" w:rsidRPr="001B6D09">
        <w:instrText xml:space="preserve"> REF fifth_minor_offence_judgment \h </w:instrText>
      </w:r>
      <w:r w:rsidR="00961945" w:rsidRPr="001B6D09">
        <w:instrText xml:space="preserve"> \* MERGEFORMAT </w:instrText>
      </w:r>
      <w:r w:rsidR="00271A3C" w:rsidRPr="001B6D09">
        <w:fldChar w:fldCharType="separate"/>
      </w:r>
      <w:r w:rsidR="006F4160">
        <w:t>13</w:t>
      </w:r>
      <w:r w:rsidR="00271A3C" w:rsidRPr="001B6D09">
        <w:fldChar w:fldCharType="end"/>
      </w:r>
      <w:r w:rsidR="004F6C14">
        <w:t xml:space="preserve"> powyżej). Po tym, jak szereg incydentów mających miejsce stosunkowo blisko siebie w czasie, a mianowicie w okresie około trzech lat, osiągnął pewien stopień </w:t>
      </w:r>
      <w:r w:rsidR="004D6F18">
        <w:t xml:space="preserve">nasilenia </w:t>
      </w:r>
      <w:r w:rsidR="004F6C14">
        <w:t>oraz „nastąpiło apogeum” (jak stwierdził krajowy sąd karny</w:t>
      </w:r>
      <w:r w:rsidR="004D6F18">
        <w:t>,</w:t>
      </w:r>
      <w:r w:rsidR="004F6C14">
        <w:t xml:space="preserve"> zob. par. </w:t>
      </w:r>
      <w:r w:rsidR="00271A3C" w:rsidRPr="001B6D09">
        <w:fldChar w:fldCharType="begin"/>
      </w:r>
      <w:r w:rsidR="00271A3C" w:rsidRPr="001B6D09">
        <w:instrText xml:space="preserve"> REF second_criminal_judgment \h </w:instrText>
      </w:r>
      <w:r w:rsidR="00961945" w:rsidRPr="001B6D09">
        <w:instrText xml:space="preserve"> \* MERGEFORMAT </w:instrText>
      </w:r>
      <w:r w:rsidR="00271A3C" w:rsidRPr="001B6D09">
        <w:fldChar w:fldCharType="separate"/>
      </w:r>
      <w:r w:rsidR="006F4160">
        <w:t>33</w:t>
      </w:r>
      <w:r w:rsidR="00271A3C" w:rsidRPr="001B6D09">
        <w:fldChar w:fldCharType="end"/>
      </w:r>
      <w:r w:rsidR="004F6C14">
        <w:t xml:space="preserve"> powyżej) 3 listopada 2008 r., władze wszczęły ostatnie postępowanie w sprawie o wykroczenie, a około miesiąc później postępowanie karne </w:t>
      </w:r>
      <w:r w:rsidR="00ED412F">
        <w:br/>
      </w:r>
      <w:r w:rsidR="004F6C14">
        <w:lastRenderedPageBreak/>
        <w:t xml:space="preserve">o przestępstwo ciągłe przemocy domowej z art. 215a Kodeksu karnego (zob. par. </w:t>
      </w:r>
      <w:r w:rsidR="004313D9" w:rsidRPr="001B6D09">
        <w:fldChar w:fldCharType="begin"/>
      </w:r>
      <w:r w:rsidR="004313D9" w:rsidRPr="001B6D09">
        <w:instrText xml:space="preserve"> REF instituted_MO_proc \h </w:instrText>
      </w:r>
      <w:r w:rsidR="00961945" w:rsidRPr="001B6D09">
        <w:instrText xml:space="preserve"> \* MERGEFORMAT </w:instrText>
      </w:r>
      <w:r w:rsidR="004313D9" w:rsidRPr="001B6D09">
        <w:fldChar w:fldCharType="separate"/>
      </w:r>
      <w:r w:rsidR="006F4160">
        <w:t>11</w:t>
      </w:r>
      <w:r w:rsidR="004313D9" w:rsidRPr="001B6D09">
        <w:fldChar w:fldCharType="end"/>
      </w:r>
      <w:r w:rsidR="004F6C14">
        <w:t xml:space="preserve"> i </w:t>
      </w:r>
      <w:r w:rsidR="004313D9" w:rsidRPr="001B6D09">
        <w:fldChar w:fldCharType="begin"/>
      </w:r>
      <w:r w:rsidR="004313D9" w:rsidRPr="001B6D09">
        <w:instrText xml:space="preserve"> REF instituted_crim_proc \h </w:instrText>
      </w:r>
      <w:r w:rsidR="00961945" w:rsidRPr="001B6D09">
        <w:instrText xml:space="preserve"> \* MERGEFORMAT </w:instrText>
      </w:r>
      <w:r w:rsidR="004313D9" w:rsidRPr="001B6D09">
        <w:fldChar w:fldCharType="separate"/>
      </w:r>
      <w:r w:rsidR="006F4160">
        <w:t>17</w:t>
      </w:r>
      <w:r w:rsidR="004313D9" w:rsidRPr="001B6D09">
        <w:fldChar w:fldCharType="end"/>
      </w:r>
      <w:r w:rsidR="004F6C14">
        <w:t xml:space="preserve"> pow</w:t>
      </w:r>
      <w:r w:rsidR="002D1D5C">
        <w:t>.</w:t>
      </w:r>
      <w:r w:rsidR="004F6C14">
        <w:t xml:space="preserve">, zob. także </w:t>
      </w:r>
      <w:proofErr w:type="spellStart"/>
      <w:r w:rsidR="004F6C14">
        <w:rPr>
          <w:i/>
        </w:rPr>
        <w:t>Rohlena</w:t>
      </w:r>
      <w:proofErr w:type="spellEnd"/>
      <w:r w:rsidR="004F6C14">
        <w:t>, cyt. pow</w:t>
      </w:r>
      <w:r w:rsidR="002D1D5C">
        <w:t>.</w:t>
      </w:r>
      <w:r w:rsidR="004F6C14">
        <w:t xml:space="preserve">, §§ 20, 33, 61 i 72). </w:t>
      </w:r>
      <w:r w:rsidR="00ED412F">
        <w:br/>
      </w:r>
      <w:r w:rsidR="004F6C14">
        <w:t xml:space="preserve">W rzeczywistości dochodzenie wszczęto 3 grudnia 2009 r., po tym jak sąd do spraw wykroczeń w Zagrzebiu uznał skarżącego winnym przemocy domowej w odniesieniu do ostatniego incydentu (zob. par. </w:t>
      </w:r>
      <w:r w:rsidR="003223B3" w:rsidRPr="001B6D09">
        <w:fldChar w:fldCharType="begin"/>
      </w:r>
      <w:r w:rsidR="003223B3" w:rsidRPr="001B6D09">
        <w:instrText xml:space="preserve"> REF fifth_minor_offence_judgment \h </w:instrText>
      </w:r>
      <w:r w:rsidR="00B809F5" w:rsidRPr="001B6D09">
        <w:instrText xml:space="preserve"> \* MERGEFORMAT </w:instrText>
      </w:r>
      <w:r w:rsidR="003223B3" w:rsidRPr="001B6D09">
        <w:fldChar w:fldCharType="separate"/>
      </w:r>
      <w:r w:rsidR="006F4160">
        <w:t>13</w:t>
      </w:r>
      <w:r w:rsidR="003223B3" w:rsidRPr="001B6D09">
        <w:fldChar w:fldCharType="end"/>
      </w:r>
      <w:r w:rsidR="004F6C14">
        <w:t xml:space="preserve"> powyżej), a skarżący został oskarżony 26 stycznia 2009 r. – dwa dni przed uprawomocnieniem się wyroku w postępowaniu w sprawie o wykroczenie (zob. par. </w:t>
      </w:r>
      <w:r w:rsidR="003223B3" w:rsidRPr="001B6D09">
        <w:fldChar w:fldCharType="begin"/>
      </w:r>
      <w:r w:rsidR="003223B3" w:rsidRPr="001B6D09">
        <w:instrText xml:space="preserve"> REF instituted_crim_proc \h  \* MERGEFORMAT </w:instrText>
      </w:r>
      <w:r w:rsidR="003223B3" w:rsidRPr="001B6D09">
        <w:fldChar w:fldCharType="separate"/>
      </w:r>
      <w:r w:rsidR="006F4160">
        <w:t>17</w:t>
      </w:r>
      <w:r w:rsidR="003223B3" w:rsidRPr="001B6D09">
        <w:fldChar w:fldCharType="end"/>
      </w:r>
      <w:r w:rsidR="004F6C14">
        <w:t xml:space="preserve"> i </w:t>
      </w:r>
      <w:r w:rsidR="003223B3" w:rsidRPr="001B6D09">
        <w:fldChar w:fldCharType="begin"/>
      </w:r>
      <w:r w:rsidR="003223B3" w:rsidRPr="001B6D09">
        <w:instrText xml:space="preserve"> REF criminal_indictment \h  \* MERGEFORMAT </w:instrText>
      </w:r>
      <w:r w:rsidR="003223B3" w:rsidRPr="001B6D09">
        <w:fldChar w:fldCharType="separate"/>
      </w:r>
      <w:r w:rsidR="006F4160">
        <w:t>23</w:t>
      </w:r>
      <w:r w:rsidR="003223B3" w:rsidRPr="001B6D09">
        <w:fldChar w:fldCharType="end"/>
      </w:r>
      <w:r w:rsidR="004F6C14">
        <w:t xml:space="preserve"> powyżej). Wszelkie niedogodności, które mogły wyniknąć dla skarżącego </w:t>
      </w:r>
      <w:r w:rsidR="00ED412F">
        <w:br/>
      </w:r>
      <w:r w:rsidR="004F6C14">
        <w:t xml:space="preserve">z równoległego prowadzenia tych dwóch postępowań przez tak krótki okres, były zatem marginalne. Postępowanie karne trwało następnie osiem miesięcy w pierwszej instancji i kolejne dwa i pół roku w postępowaniu odwoławczym </w:t>
      </w:r>
      <w:r w:rsidR="00ED412F">
        <w:t xml:space="preserve">i </w:t>
      </w:r>
      <w:r w:rsidR="004F6C14">
        <w:t>przed Trybunałem Konstytucyjnym. W związku z tym Trybunał jest przekonany, że różne postępowania były wystarczająco powiązane w czasie, aby późniejsze wszczęcia postępowania karnego</w:t>
      </w:r>
      <w:r w:rsidR="00ED412F">
        <w:t xml:space="preserve"> </w:t>
      </w:r>
      <w:r w:rsidR="00FE6B88">
        <w:t>nie mogło być postrzegane</w:t>
      </w:r>
      <w:r w:rsidR="004F6C14">
        <w:t xml:space="preserve"> jako nadużycia (zob. </w:t>
      </w:r>
      <w:r w:rsidR="004F6C14">
        <w:rPr>
          <w:i/>
        </w:rPr>
        <w:t>mutatis mutandis</w:t>
      </w:r>
      <w:r w:rsidR="004F6C14">
        <w:t xml:space="preserve">, </w:t>
      </w:r>
      <w:r w:rsidR="004F6C14">
        <w:rPr>
          <w:i/>
        </w:rPr>
        <w:t>A i B</w:t>
      </w:r>
      <w:r w:rsidR="002D1D5C">
        <w:rPr>
          <w:i/>
        </w:rPr>
        <w:t xml:space="preserve"> </w:t>
      </w:r>
      <w:r w:rsidR="004F6C14">
        <w:t>p</w:t>
      </w:r>
      <w:r w:rsidR="002D1D5C">
        <w:t>.</w:t>
      </w:r>
      <w:r w:rsidR="004F6C14">
        <w:t xml:space="preserve"> </w:t>
      </w:r>
      <w:r w:rsidR="004F6C14" w:rsidRPr="00F7198F">
        <w:rPr>
          <w:i/>
          <w:iCs/>
        </w:rPr>
        <w:t>Norwegii</w:t>
      </w:r>
      <w:r w:rsidR="004F6C14">
        <w:t>, cyt. pow</w:t>
      </w:r>
      <w:r w:rsidR="002D1D5C">
        <w:t>.</w:t>
      </w:r>
      <w:r w:rsidR="004F6C14">
        <w:t xml:space="preserve">, § 151 oraz por. </w:t>
      </w:r>
      <w:proofErr w:type="spellStart"/>
      <w:r w:rsidR="004F6C14">
        <w:rPr>
          <w:i/>
        </w:rPr>
        <w:t>Johannesson</w:t>
      </w:r>
      <w:proofErr w:type="spellEnd"/>
      <w:r w:rsidR="004F6C14">
        <w:rPr>
          <w:i/>
        </w:rPr>
        <w:t xml:space="preserve"> i </w:t>
      </w:r>
      <w:r w:rsidR="002D1D5C">
        <w:rPr>
          <w:i/>
        </w:rPr>
        <w:t>I</w:t>
      </w:r>
      <w:r w:rsidR="004F6C14">
        <w:rPr>
          <w:i/>
        </w:rPr>
        <w:t>nni p</w:t>
      </w:r>
      <w:r w:rsidR="002D1D5C">
        <w:rPr>
          <w:i/>
        </w:rPr>
        <w:t>.</w:t>
      </w:r>
      <w:r w:rsidR="004F6C14">
        <w:rPr>
          <w:i/>
        </w:rPr>
        <w:t xml:space="preserve"> Islandii</w:t>
      </w:r>
      <w:r w:rsidR="004F6C14">
        <w:t xml:space="preserve">, nr 22007/11, § 54, 18 maja 2017 r. oraz </w:t>
      </w:r>
      <w:proofErr w:type="spellStart"/>
      <w:r w:rsidR="004F6C14">
        <w:rPr>
          <w:i/>
        </w:rPr>
        <w:t>Kapetanios</w:t>
      </w:r>
      <w:proofErr w:type="spellEnd"/>
      <w:r w:rsidR="004F6C14">
        <w:t>, cyt. pow</w:t>
      </w:r>
      <w:r w:rsidR="002D1D5C">
        <w:t>.</w:t>
      </w:r>
      <w:r w:rsidR="004F6C14">
        <w:t>, § 67).</w:t>
      </w:r>
    </w:p>
    <w:p w14:paraId="1A75907A" w14:textId="32A8B7D9" w:rsidR="00A460B6" w:rsidRPr="001B6D09" w:rsidRDefault="00000000" w:rsidP="001B6D09">
      <w:pPr>
        <w:pStyle w:val="JuPara"/>
        <w:jc w:val="both"/>
      </w:pPr>
      <w:fldSimple w:instr=" SEQ level0 \*arabic ">
        <w:r w:rsidR="006F4160">
          <w:rPr>
            <w:noProof/>
          </w:rPr>
          <w:t>123</w:t>
        </w:r>
      </w:fldSimple>
      <w:r w:rsidR="00A460B6">
        <w:t>.  Podsumowując, w opinii Trybunału cele kary, w ramach których uwzględnia się różne aspekty tego samego zachowania, należy traktować jako całość</w:t>
      </w:r>
      <w:r w:rsidR="00FE6B88">
        <w:t>,</w:t>
      </w:r>
      <w:r w:rsidR="00A460B6">
        <w:t xml:space="preserve"> </w:t>
      </w:r>
      <w:r w:rsidR="00FE6B88">
        <w:t>a</w:t>
      </w:r>
      <w:r w:rsidR="00A460B6">
        <w:t xml:space="preserve"> w </w:t>
      </w:r>
      <w:r w:rsidR="00FE6B88">
        <w:t xml:space="preserve">niniejszej </w:t>
      </w:r>
      <w:r w:rsidR="00A460B6">
        <w:t>sprawie zostały one zrealizowane za pomocą dwóch przewidywalnych, uzupełniających się rodzajów postępowań, które były wystarczająco powiązane co do istoty oraz czas</w:t>
      </w:r>
      <w:r w:rsidR="00FE6B88">
        <w:t>u</w:t>
      </w:r>
      <w:r w:rsidR="00A460B6">
        <w:t xml:space="preserve">, zgodnie z wymogami orzecznictwa Trybunału, aby można je było uznać za część integralnego systemu sankcji w prawie chorwackim za czyny karalne związane z </w:t>
      </w:r>
      <w:r w:rsidR="00A460B6">
        <w:rPr>
          <w:rStyle w:val="ECHRParaChar"/>
        </w:rPr>
        <w:t>przemocą</w:t>
      </w:r>
      <w:r w:rsidR="002D1D5C">
        <w:rPr>
          <w:rStyle w:val="ECHRParaChar"/>
        </w:rPr>
        <w:t xml:space="preserve"> </w:t>
      </w:r>
      <w:r w:rsidR="00A460B6">
        <w:t>domową. Istniał odpowiedni poziom interakcji między sądami w tych postępowaniach</w:t>
      </w:r>
      <w:r w:rsidR="00A460B6">
        <w:rPr>
          <w:rFonts w:ascii="Times" w:hAnsi="Times"/>
        </w:rPr>
        <w:t xml:space="preserve">, a </w:t>
      </w:r>
      <w:r w:rsidR="00FE6B88">
        <w:rPr>
          <w:rFonts w:ascii="Times" w:hAnsi="Times"/>
        </w:rPr>
        <w:t xml:space="preserve">wymierzone </w:t>
      </w:r>
      <w:r w:rsidR="00A460B6">
        <w:rPr>
          <w:rFonts w:ascii="Times" w:hAnsi="Times"/>
        </w:rPr>
        <w:t>kary</w:t>
      </w:r>
      <w:r w:rsidR="00FE6B88">
        <w:rPr>
          <w:rFonts w:ascii="Times" w:hAnsi="Times"/>
        </w:rPr>
        <w:t>, łącznie,</w:t>
      </w:r>
      <w:r w:rsidR="00A460B6">
        <w:rPr>
          <w:rFonts w:ascii="Times" w:hAnsi="Times"/>
        </w:rPr>
        <w:t xml:space="preserve"> nie </w:t>
      </w:r>
      <w:r w:rsidR="00FE6B88">
        <w:rPr>
          <w:rFonts w:ascii="Times" w:hAnsi="Times"/>
        </w:rPr>
        <w:t>nałożyły na</w:t>
      </w:r>
      <w:r w:rsidR="00DF39B8">
        <w:rPr>
          <w:rFonts w:ascii="Times" w:hAnsi="Times"/>
        </w:rPr>
        <w:t xml:space="preserve"> </w:t>
      </w:r>
      <w:r w:rsidR="00A460B6">
        <w:rPr>
          <w:rFonts w:ascii="Times" w:hAnsi="Times"/>
        </w:rPr>
        <w:t>skarżąc</w:t>
      </w:r>
      <w:r w:rsidR="00DF39B8">
        <w:rPr>
          <w:rFonts w:ascii="Times" w:hAnsi="Times"/>
        </w:rPr>
        <w:t>ego</w:t>
      </w:r>
      <w:r w:rsidR="00A460B6">
        <w:rPr>
          <w:rFonts w:ascii="Times" w:hAnsi="Times"/>
        </w:rPr>
        <w:t xml:space="preserve">  nadmiern</w:t>
      </w:r>
      <w:r w:rsidR="00DF39B8">
        <w:rPr>
          <w:rFonts w:ascii="Times" w:hAnsi="Times"/>
        </w:rPr>
        <w:t>ego obciążenia</w:t>
      </w:r>
      <w:r w:rsidR="00A460B6">
        <w:rPr>
          <w:rFonts w:ascii="Times" w:hAnsi="Times"/>
        </w:rPr>
        <w:t>, lecz były proporcjonalne do wagi przestępstwa</w:t>
      </w:r>
      <w:r w:rsidR="00A460B6">
        <w:t xml:space="preserve">. </w:t>
      </w:r>
      <w:r w:rsidR="00DF39B8">
        <w:br/>
      </w:r>
      <w:r w:rsidR="00A460B6">
        <w:t>W świetle powyższego Trybunał nie stwierdza nadużycia prawa państwa do wymierzenia kary</w:t>
      </w:r>
      <w:r w:rsidR="002D1D5C">
        <w:t xml:space="preserve"> </w:t>
      </w:r>
      <w:r w:rsidR="00A460B6">
        <w:rPr>
          <w:i/>
        </w:rPr>
        <w:t xml:space="preserve">(jus </w:t>
      </w:r>
      <w:proofErr w:type="spellStart"/>
      <w:r w:rsidR="00A460B6">
        <w:rPr>
          <w:i/>
        </w:rPr>
        <w:t>puniendi</w:t>
      </w:r>
      <w:proofErr w:type="spellEnd"/>
      <w:r w:rsidR="00A460B6">
        <w:t xml:space="preserve">), ani też nie może stwierdzić, by skarżący doznał jakiegokolwiek nieproporcjonalnego uszczerbku wynikającego </w:t>
      </w:r>
      <w:r w:rsidR="00DF39B8">
        <w:br/>
      </w:r>
      <w:r w:rsidR="00A460B6">
        <w:t xml:space="preserve">z powielania postępowań i kar, gdy postępowanie karne w sprawie </w:t>
      </w:r>
      <w:r w:rsidR="00DF39B8">
        <w:br/>
      </w:r>
      <w:r w:rsidR="00A460B6">
        <w:t>o przestępstwo ciągłe przemocy domowej było prowadzone po pięciu wcześniejszych wyrokach</w:t>
      </w:r>
      <w:r w:rsidR="00DF39B8">
        <w:t>, którymi wymierzono kary</w:t>
      </w:r>
      <w:r w:rsidR="00A460B6">
        <w:t xml:space="preserve"> w postępowani</w:t>
      </w:r>
      <w:r w:rsidR="00DF39B8">
        <w:t>ach</w:t>
      </w:r>
      <w:r w:rsidR="00A460B6">
        <w:t xml:space="preserve"> </w:t>
      </w:r>
      <w:r w:rsidR="00DF39B8">
        <w:br/>
      </w:r>
      <w:r w:rsidR="00A460B6">
        <w:t xml:space="preserve">w sprawach o wykroczenia za pojedyncze czyny, które stanowiły integralne elementy schematu zachowania skarżącego (zob. </w:t>
      </w:r>
      <w:r w:rsidR="00A460B6">
        <w:rPr>
          <w:i/>
        </w:rPr>
        <w:t>a contrario</w:t>
      </w:r>
      <w:r w:rsidR="00A460B6">
        <w:t xml:space="preserve">, </w:t>
      </w:r>
      <w:proofErr w:type="spellStart"/>
      <w:r w:rsidR="00A460B6">
        <w:rPr>
          <w:i/>
        </w:rPr>
        <w:t>Kapetanios</w:t>
      </w:r>
      <w:proofErr w:type="spellEnd"/>
      <w:r w:rsidR="00A460B6">
        <w:rPr>
          <w:i/>
        </w:rPr>
        <w:t xml:space="preserve"> </w:t>
      </w:r>
      <w:r w:rsidR="00DF39B8">
        <w:rPr>
          <w:i/>
        </w:rPr>
        <w:br/>
      </w:r>
      <w:r w:rsidR="00A460B6">
        <w:rPr>
          <w:i/>
        </w:rPr>
        <w:t>i Inni</w:t>
      </w:r>
      <w:r w:rsidR="00A460B6">
        <w:t xml:space="preserve">, cyt. powyżej, §§ 65-74; zob. również odpowiednie orzecznictwo TSUE cyt. w par. </w:t>
      </w:r>
      <w:r w:rsidR="00527DA1" w:rsidRPr="001B6D09">
        <w:fldChar w:fldCharType="begin"/>
      </w:r>
      <w:r w:rsidR="00527DA1" w:rsidRPr="001B6D09">
        <w:instrText xml:space="preserve"> REF CJEU \h  \* MERGEFORMAT </w:instrText>
      </w:r>
      <w:r w:rsidR="00527DA1" w:rsidRPr="001B6D09">
        <w:fldChar w:fldCharType="separate"/>
      </w:r>
      <w:r w:rsidR="006F4160">
        <w:t>70</w:t>
      </w:r>
      <w:r w:rsidR="00527DA1" w:rsidRPr="001B6D09">
        <w:fldChar w:fldCharType="end"/>
      </w:r>
      <w:r w:rsidR="00A460B6">
        <w:t xml:space="preserve"> pow</w:t>
      </w:r>
      <w:r w:rsidR="002D1D5C">
        <w:t>.</w:t>
      </w:r>
      <w:r w:rsidR="00A460B6">
        <w:t xml:space="preserve">). </w:t>
      </w:r>
      <w:r w:rsidR="00DF39B8">
        <w:t>P</w:t>
      </w:r>
      <w:r w:rsidR="00A460B6">
        <w:t>ostępowania</w:t>
      </w:r>
      <w:r w:rsidR="00DF39B8">
        <w:t xml:space="preserve"> te</w:t>
      </w:r>
      <w:r w:rsidR="00A460B6">
        <w:t xml:space="preserve"> i kary stanowiły raczej spójną </w:t>
      </w:r>
      <w:r w:rsidR="00FC4837">
        <w:br/>
      </w:r>
      <w:r w:rsidR="00A460B6">
        <w:t xml:space="preserve">i proporcjonalną całość, która umożliwiła ukaranie zarówno za poszczególne czyny popełnione przez skarżącego, jak </w:t>
      </w:r>
      <w:r w:rsidR="00FC4837">
        <w:t xml:space="preserve">i </w:t>
      </w:r>
      <w:r w:rsidR="00A460B6">
        <w:t xml:space="preserve">za cały schemat zachowania, </w:t>
      </w:r>
      <w:r w:rsidR="00FC4837">
        <w:br/>
      </w:r>
      <w:r w:rsidR="00A460B6">
        <w:t xml:space="preserve">w sposób skuteczny, proporcjonalny i odstraszający (zob. </w:t>
      </w:r>
      <w:r w:rsidR="00A460B6">
        <w:rPr>
          <w:i/>
        </w:rPr>
        <w:t>mutatis mutandis</w:t>
      </w:r>
      <w:r w:rsidR="00A460B6">
        <w:t xml:space="preserve">, </w:t>
      </w:r>
      <w:r w:rsidR="00A460B6">
        <w:rPr>
          <w:i/>
        </w:rPr>
        <w:t>A i B p</w:t>
      </w:r>
      <w:r w:rsidR="002D1D5C">
        <w:rPr>
          <w:i/>
        </w:rPr>
        <w:t>.</w:t>
      </w:r>
      <w:r w:rsidR="00A460B6">
        <w:rPr>
          <w:i/>
        </w:rPr>
        <w:t xml:space="preserve"> Norwegii</w:t>
      </w:r>
      <w:r w:rsidR="00A460B6">
        <w:t>, cyt. pow</w:t>
      </w:r>
      <w:r w:rsidR="002D1D5C">
        <w:t>.</w:t>
      </w:r>
      <w:r w:rsidR="00A460B6">
        <w:t xml:space="preserve">, §§ 112, 130 i 147 oraz </w:t>
      </w:r>
      <w:proofErr w:type="spellStart"/>
      <w:r w:rsidR="00A460B6">
        <w:rPr>
          <w:i/>
        </w:rPr>
        <w:t>Bajčić</w:t>
      </w:r>
      <w:proofErr w:type="spellEnd"/>
      <w:r w:rsidR="00A460B6">
        <w:t>, cyt. pow</w:t>
      </w:r>
      <w:r w:rsidR="002D1D5C">
        <w:t>.</w:t>
      </w:r>
      <w:r w:rsidR="00A460B6">
        <w:t>, § 46).</w:t>
      </w:r>
    </w:p>
    <w:p w14:paraId="49F74EE3" w14:textId="431729D4" w:rsidR="009E6070" w:rsidRPr="001B6D09" w:rsidRDefault="00A460B6" w:rsidP="001B6D09">
      <w:pPr>
        <w:pStyle w:val="JuPara"/>
        <w:jc w:val="both"/>
        <w:rPr>
          <w:rFonts w:eastAsiaTheme="majorEastAsia"/>
        </w:rPr>
      </w:pPr>
      <w:r w:rsidRPr="001B6D09">
        <w:rPr>
          <w:rFonts w:eastAsiaTheme="majorEastAsia"/>
        </w:rPr>
        <w:fldChar w:fldCharType="begin"/>
      </w:r>
      <w:r w:rsidRPr="001B6D09">
        <w:rPr>
          <w:rFonts w:eastAsiaTheme="majorEastAsia"/>
        </w:rPr>
        <w:instrText xml:space="preserve"> SEQ level0 \*arabic </w:instrText>
      </w:r>
      <w:r w:rsidRPr="001B6D09">
        <w:rPr>
          <w:rFonts w:eastAsiaTheme="majorEastAsia"/>
        </w:rPr>
        <w:fldChar w:fldCharType="separate"/>
      </w:r>
      <w:r w:rsidR="006F4160">
        <w:rPr>
          <w:rFonts w:eastAsiaTheme="majorEastAsia"/>
          <w:noProof/>
        </w:rPr>
        <w:t>124</w:t>
      </w:r>
      <w:r w:rsidRPr="001B6D09">
        <w:rPr>
          <w:rFonts w:eastAsiaTheme="majorEastAsia"/>
        </w:rPr>
        <w:fldChar w:fldCharType="end"/>
      </w:r>
      <w:r>
        <w:t>.  Z powyższego wynika, że nie doszło do naruszenia art. 4 Protokołu nr 7 do Konwencji.</w:t>
      </w:r>
    </w:p>
    <w:p w14:paraId="0FBA0961" w14:textId="3436F162" w:rsidR="00D420F3" w:rsidRPr="001B6D09" w:rsidRDefault="0077175D" w:rsidP="001B6D09">
      <w:pPr>
        <w:pStyle w:val="JuHIRoman"/>
        <w:keepNext w:val="0"/>
        <w:keepLines w:val="0"/>
      </w:pPr>
      <w:r>
        <w:lastRenderedPageBreak/>
        <w:t>ZASTOSOWANIE ART. 41 KONWENCJI</w:t>
      </w:r>
    </w:p>
    <w:p w14:paraId="6F06939F" w14:textId="697DB3CC" w:rsidR="00D420F3" w:rsidRPr="001B6D09" w:rsidRDefault="00000000" w:rsidP="001B6D09">
      <w:pPr>
        <w:pStyle w:val="JuPara"/>
        <w:jc w:val="both"/>
      </w:pPr>
      <w:fldSimple w:instr=" SEQ level0 \*arabic ">
        <w:r w:rsidR="006F4160">
          <w:rPr>
            <w:noProof/>
          </w:rPr>
          <w:t>125</w:t>
        </w:r>
      </w:fldSimple>
      <w:r w:rsidR="006374CD">
        <w:t>.  Art. 41 Konwencji stanowi:</w:t>
      </w:r>
    </w:p>
    <w:p w14:paraId="6A5A1C3E" w14:textId="77777777" w:rsidR="00D420F3" w:rsidRPr="001B6D09" w:rsidRDefault="0077175D" w:rsidP="001B6D09">
      <w:pPr>
        <w:pStyle w:val="JuQuot"/>
        <w:jc w:val="both"/>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DFA5C81" w14:textId="52836681" w:rsidR="00D420F3" w:rsidRPr="001B6D09" w:rsidRDefault="0077175D" w:rsidP="001B6D09">
      <w:pPr>
        <w:pStyle w:val="JuHA"/>
      </w:pPr>
      <w:r>
        <w:t>Szkoda</w:t>
      </w:r>
    </w:p>
    <w:p w14:paraId="28BB7C82" w14:textId="0CF57ADC" w:rsidR="00D420F3" w:rsidRPr="001B6D09" w:rsidRDefault="00000000" w:rsidP="001B6D09">
      <w:pPr>
        <w:pStyle w:val="JuPara"/>
        <w:jc w:val="both"/>
      </w:pPr>
      <w:fldSimple w:instr=" SEQ level0 \*arabic ">
        <w:r w:rsidR="006F4160">
          <w:rPr>
            <w:noProof/>
          </w:rPr>
          <w:t>126</w:t>
        </w:r>
      </w:fldSimple>
      <w:r w:rsidR="006374CD">
        <w:t>.  Skarżący domagał się 856 000 kun chorwackich (HRK; około 114 130 euro (EUR)) z tytułu szkody majątkowej w związku z utratą wynagrodzenia w okresie, w którym przebywał w areszcie oraz odbywał karę pozbawienia wolności, utrat</w:t>
      </w:r>
      <w:r w:rsidR="00FC4837">
        <w:t>y</w:t>
      </w:r>
      <w:r w:rsidR="006374CD">
        <w:t xml:space="preserve"> zysku i niemożności utrzymania domu. Domagał się również </w:t>
      </w:r>
      <w:r w:rsidR="00FC4837">
        <w:t xml:space="preserve">zadośćuczynienia </w:t>
      </w:r>
      <w:r w:rsidR="006374CD">
        <w:t>z</w:t>
      </w:r>
      <w:r w:rsidR="00FC4837">
        <w:t xml:space="preserve"> tytułu</w:t>
      </w:r>
      <w:r w:rsidR="006374CD">
        <w:t xml:space="preserve"> szkod</w:t>
      </w:r>
      <w:r w:rsidR="00FC4837">
        <w:t>y</w:t>
      </w:r>
      <w:r w:rsidR="006374CD">
        <w:t xml:space="preserve"> niemajątkow</w:t>
      </w:r>
      <w:r w:rsidR="00FC4837">
        <w:t>ej</w:t>
      </w:r>
      <w:r w:rsidR="006374CD">
        <w:t xml:space="preserve"> </w:t>
      </w:r>
      <w:r w:rsidR="00FC4837">
        <w:br/>
      </w:r>
      <w:r w:rsidR="006374CD">
        <w:t>w wysokości 700 000 HRK (około 93 300 EUR).</w:t>
      </w:r>
    </w:p>
    <w:p w14:paraId="3BA4512E" w14:textId="718B205D" w:rsidR="00D420F3" w:rsidRPr="001B6D09" w:rsidRDefault="00000000" w:rsidP="001B6D09">
      <w:pPr>
        <w:pStyle w:val="JuPara"/>
        <w:tabs>
          <w:tab w:val="right" w:pos="7358"/>
        </w:tabs>
        <w:jc w:val="both"/>
      </w:pPr>
      <w:fldSimple w:instr=" SEQ level0 \*arabic ">
        <w:r w:rsidR="006F4160">
          <w:rPr>
            <w:noProof/>
          </w:rPr>
          <w:t>127</w:t>
        </w:r>
      </w:fldSimple>
      <w:r w:rsidR="006374CD">
        <w:t xml:space="preserve">.  Rząd uznał roszczenie skarżącego za nadmierne, bezpodstawne </w:t>
      </w:r>
      <w:r w:rsidR="00FC4837">
        <w:br/>
      </w:r>
      <w:r w:rsidR="006374CD">
        <w:t>i nieuzasadnione.</w:t>
      </w:r>
    </w:p>
    <w:p w14:paraId="50E6DE16" w14:textId="42D6A093" w:rsidR="00D8527F" w:rsidRPr="001B6D09" w:rsidRDefault="00000000" w:rsidP="001B6D09">
      <w:pPr>
        <w:pStyle w:val="JuPara"/>
        <w:jc w:val="both"/>
      </w:pPr>
      <w:fldSimple w:instr=" SEQ level0 \*arabic ">
        <w:r w:rsidR="006F4160">
          <w:rPr>
            <w:noProof/>
          </w:rPr>
          <w:t>128</w:t>
        </w:r>
      </w:fldSimple>
      <w:r w:rsidR="006374CD">
        <w:t xml:space="preserve">.  Trybunał nie dostrzega żadnego związku przyczynowego pomiędzy stwierdzonym naruszeniem a zarzucaną szkodą majątkową; stąd też odrzuca owo roszczenie. Z drugiej strony stwierdza, że skarżący musiał doznać szkody niemajątkowej w wyniku stwierdzonego naruszenia art. 6 ust. 1 i 3 lit. c) Konwencji, której nie można zrekompensować przez samo </w:t>
      </w:r>
      <w:r w:rsidR="00FC4837">
        <w:t xml:space="preserve">tylko </w:t>
      </w:r>
      <w:r w:rsidR="006374CD">
        <w:t>stwierdzenie naruszenia. Dokonując oceny w oparciu o zasadę słuszności, Trybunał z tego tytułu przyznaje skarżącemu kwotę 1 500 EUR powiększoną o podatek należny od tej kwoty.</w:t>
      </w:r>
    </w:p>
    <w:p w14:paraId="73ED9F66" w14:textId="026D04A2" w:rsidR="00156153" w:rsidRPr="001B6D09" w:rsidRDefault="00156153" w:rsidP="001B6D09">
      <w:pPr>
        <w:pStyle w:val="JuHA"/>
      </w:pPr>
      <w:r>
        <w:t>Koszty i wydatki</w:t>
      </w:r>
    </w:p>
    <w:p w14:paraId="7E08FDF1" w14:textId="40770903" w:rsidR="00D420F3" w:rsidRPr="001B6D09" w:rsidRDefault="00000000" w:rsidP="001B6D09">
      <w:pPr>
        <w:pStyle w:val="JuPara"/>
        <w:jc w:val="both"/>
      </w:pPr>
      <w:fldSimple w:instr=" SEQ level0 \*arabic ">
        <w:r w:rsidR="006F4160">
          <w:rPr>
            <w:noProof/>
          </w:rPr>
          <w:t>129</w:t>
        </w:r>
      </w:fldSimple>
      <w:r w:rsidR="006374CD">
        <w:t>.  Skarżący wniósł również o zasądzenie kwoty 10 000 HRK (ok. 1 360 EUR), tytułem zwrotu kosztów i wydatków poniesionych przed Trybunałem.</w:t>
      </w:r>
    </w:p>
    <w:p w14:paraId="3A030A5A" w14:textId="31A18FAF" w:rsidR="00D420F3" w:rsidRPr="001B6D09" w:rsidRDefault="00000000" w:rsidP="001B6D09">
      <w:pPr>
        <w:pStyle w:val="JuPara"/>
        <w:jc w:val="both"/>
      </w:pPr>
      <w:fldSimple w:instr=" SEQ level0 \*arabic ">
        <w:r w:rsidR="006F4160">
          <w:rPr>
            <w:noProof/>
          </w:rPr>
          <w:t>130</w:t>
        </w:r>
      </w:fldSimple>
      <w:r w:rsidR="006374CD">
        <w:t xml:space="preserve">.  Rząd uznał roszczenie za nadmierne, bezpodstawne </w:t>
      </w:r>
      <w:r w:rsidR="00603C1A">
        <w:br/>
      </w:r>
      <w:r w:rsidR="006374CD">
        <w:t>i nieuzasadnione.</w:t>
      </w:r>
    </w:p>
    <w:p w14:paraId="21B0E5A8" w14:textId="30BE6E06" w:rsidR="00D420F3" w:rsidRPr="001B6D09" w:rsidRDefault="00000000" w:rsidP="001B6D09">
      <w:pPr>
        <w:pStyle w:val="JuPara"/>
        <w:jc w:val="both"/>
      </w:pPr>
      <w:fldSimple w:instr=" SEQ level0 \*arabic ">
        <w:r w:rsidR="006F4160">
          <w:rPr>
            <w:noProof/>
          </w:rPr>
          <w:t>131</w:t>
        </w:r>
      </w:fldSimple>
      <w:r w:rsidR="006374CD">
        <w:t xml:space="preserve">.  Trybunał zauważa, że skarżący nie spełnił wymogów określonych </w:t>
      </w:r>
      <w:r w:rsidR="00603C1A">
        <w:br/>
      </w:r>
      <w:r w:rsidR="006374CD">
        <w:t xml:space="preserve">w Regule 60 § 2 Regulaminu Trybunału, ponieważ nie przedstawił szczegółowych danych dotyczących swojego roszczenia o zwrot kosztów </w:t>
      </w:r>
      <w:r w:rsidR="00603C1A">
        <w:br/>
      </w:r>
      <w:r w:rsidR="006374CD">
        <w:t xml:space="preserve">i wydatków ani żadnych </w:t>
      </w:r>
      <w:r w:rsidR="00603C1A">
        <w:t xml:space="preserve">odpowiednich </w:t>
      </w:r>
      <w:r w:rsidR="006374CD">
        <w:t>dokumentów potwierdzających, mimo że został do tego wezwany. W</w:t>
      </w:r>
      <w:r w:rsidR="00603C1A">
        <w:t xml:space="preserve"> takich okolicznościach</w:t>
      </w:r>
      <w:r w:rsidR="006374CD">
        <w:t xml:space="preserve"> Trybunał nie przyznaje żadnej kwoty z tego tytułu (Reguła 60 ust. 3).</w:t>
      </w:r>
    </w:p>
    <w:p w14:paraId="1A671209" w14:textId="5251C77E" w:rsidR="00D420F3" w:rsidRPr="001B6D09" w:rsidRDefault="0077175D" w:rsidP="001B6D09">
      <w:pPr>
        <w:pStyle w:val="JuHA"/>
      </w:pPr>
      <w:r>
        <w:lastRenderedPageBreak/>
        <w:t>Odsetki za zwłokę</w:t>
      </w:r>
    </w:p>
    <w:p w14:paraId="7F2B98FD" w14:textId="64D9F6EE" w:rsidR="00D420F3" w:rsidRPr="001B6D09" w:rsidRDefault="00000000" w:rsidP="001B6D09">
      <w:pPr>
        <w:pStyle w:val="JuPara"/>
        <w:jc w:val="both"/>
      </w:pPr>
      <w:fldSimple w:instr=" SEQ level0 \*arabic ">
        <w:r w:rsidR="006F4160">
          <w:rPr>
            <w:noProof/>
          </w:rPr>
          <w:t>132</w:t>
        </w:r>
      </w:fldSimple>
      <w:r w:rsidR="006374CD">
        <w:t xml:space="preserve">.  Trybunał za słuszne uznaje wyznaczenie wysokości odsetek </w:t>
      </w:r>
      <w:r w:rsidR="00603C1A">
        <w:t>z tytułu</w:t>
      </w:r>
      <w:r w:rsidR="006374CD">
        <w:t xml:space="preserve"> zwłok</w:t>
      </w:r>
      <w:r w:rsidR="00603C1A">
        <w:t>i</w:t>
      </w:r>
      <w:r w:rsidR="006374CD">
        <w:t xml:space="preserve"> na podstawie marginalnej stopy procentowej Europejskiego Banku Centralnego powiększonej o trzy punkty procentowe.</w:t>
      </w:r>
    </w:p>
    <w:p w14:paraId="46992B2E" w14:textId="3E003A7F" w:rsidR="00D420F3" w:rsidRPr="001B6D09" w:rsidRDefault="0077175D" w:rsidP="001B6D09">
      <w:pPr>
        <w:pStyle w:val="JuHHead"/>
      </w:pPr>
      <w:r>
        <w:t>Z TYCH PRZYCZYN TRYBUNAŁ</w:t>
      </w:r>
      <w:r w:rsidR="00603C1A">
        <w:t>,</w:t>
      </w:r>
      <w:r>
        <w:t xml:space="preserve"> JEDNOGŁOŚNIE,</w:t>
      </w:r>
    </w:p>
    <w:p w14:paraId="7D1A548E" w14:textId="69E7D20C" w:rsidR="00D420F3" w:rsidRPr="001B6D09" w:rsidRDefault="0077175D" w:rsidP="001B6D09">
      <w:pPr>
        <w:pStyle w:val="JuList"/>
        <w:jc w:val="both"/>
      </w:pPr>
      <w:r>
        <w:rPr>
          <w:i/>
        </w:rPr>
        <w:t>uznaje</w:t>
      </w:r>
      <w:r>
        <w:t>, że skarga jest dopuszczalna;</w:t>
      </w:r>
    </w:p>
    <w:p w14:paraId="62CA76D9" w14:textId="4F0BA55F" w:rsidR="00D420F3" w:rsidRPr="001B6D09" w:rsidRDefault="0077175D" w:rsidP="001B6D09">
      <w:pPr>
        <w:pStyle w:val="JuList"/>
        <w:jc w:val="both"/>
      </w:pPr>
      <w:r>
        <w:rPr>
          <w:i/>
        </w:rPr>
        <w:t>orzeka</w:t>
      </w:r>
      <w:r>
        <w:t>, że nie doszło do naruszenia art. 6 ust. 1 i 3 lit. b) i c) Konwencji w odniesieniu do krótkiego okresu, w którym skarżący musiał przygotować swoją obronę przed posiedzeniem sądu odwoławczego;</w:t>
      </w:r>
    </w:p>
    <w:p w14:paraId="4FC9292F" w14:textId="5FEAFCB7" w:rsidR="00D420F3" w:rsidRPr="001B6D09" w:rsidRDefault="0077175D" w:rsidP="001B6D09">
      <w:pPr>
        <w:pStyle w:val="JuList"/>
        <w:jc w:val="both"/>
      </w:pPr>
      <w:r>
        <w:rPr>
          <w:i/>
        </w:rPr>
        <w:t>orzeka</w:t>
      </w:r>
      <w:r>
        <w:t xml:space="preserve"> , że doszło do naruszenia art. 6 ust. 1 i 3 lit. c) Konwencji w odniesieniu do nieobecności skarżącego na posiedzeniu sądu apelacyjnego;</w:t>
      </w:r>
    </w:p>
    <w:p w14:paraId="247DA76C" w14:textId="2D6A6DCA" w:rsidR="00D420F3" w:rsidRPr="001B6D09" w:rsidRDefault="0077175D" w:rsidP="001B6D09">
      <w:pPr>
        <w:pStyle w:val="JuList"/>
        <w:jc w:val="both"/>
      </w:pPr>
      <w:r>
        <w:rPr>
          <w:i/>
        </w:rPr>
        <w:t xml:space="preserve">orzeka, </w:t>
      </w:r>
      <w:r>
        <w:t>że nie doszło do naruszenia art. 4 Protokołu nr 7 do Konwencji;</w:t>
      </w:r>
    </w:p>
    <w:p w14:paraId="0C81E93D" w14:textId="77777777" w:rsidR="00B809F5" w:rsidRPr="001B6D09" w:rsidRDefault="00156153" w:rsidP="001B6D09">
      <w:pPr>
        <w:pStyle w:val="JuList"/>
        <w:jc w:val="both"/>
      </w:pPr>
      <w:r>
        <w:rPr>
          <w:i/>
        </w:rPr>
        <w:t>orzeka,</w:t>
      </w:r>
    </w:p>
    <w:p w14:paraId="75A56067" w14:textId="334F83D9" w:rsidR="00156153" w:rsidRPr="001B6D09" w:rsidRDefault="00156153" w:rsidP="001B6D09">
      <w:pPr>
        <w:pStyle w:val="JuLista"/>
        <w:jc w:val="both"/>
      </w:pPr>
      <w:r>
        <w:t>że pozwane państwo winno, w terminie trzech miesięcy od daty, w której niniejszy wyrok stanie się ostateczny zgodnie z art. 44 ust. 2 Konwencji, uiścić na rzecz skarżącego kwotę 1 500 EUR (tysiąc pięćset euro) plus wszelkie należne podatki, tytułem zadośćuczynienia za szkodę niemajątkową, przeliczoną na kuny chorwackie według kursu obowiązującego w dniu płatności;</w:t>
      </w:r>
    </w:p>
    <w:p w14:paraId="64704D72" w14:textId="641A7607" w:rsidR="00156153" w:rsidRPr="001B6D09" w:rsidRDefault="00156153" w:rsidP="001B6D09">
      <w:pPr>
        <w:pStyle w:val="JuLista"/>
        <w:jc w:val="both"/>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217834A1" w14:textId="466A7A44" w:rsidR="00D420F3" w:rsidRPr="001B6D09" w:rsidRDefault="0077175D" w:rsidP="001B6D09">
      <w:pPr>
        <w:pStyle w:val="JuList"/>
        <w:jc w:val="both"/>
      </w:pPr>
      <w:r>
        <w:rPr>
          <w:i/>
        </w:rPr>
        <w:t>oddala</w:t>
      </w:r>
      <w:r>
        <w:rPr>
          <w:color w:val="000000"/>
        </w:rPr>
        <w:t xml:space="preserve"> </w:t>
      </w:r>
      <w:r>
        <w:t>pozostałą część roszczenia dotyczącą słusznego zadośćuczynienia.</w:t>
      </w:r>
    </w:p>
    <w:p w14:paraId="1B87BF9C" w14:textId="18E2FF26" w:rsidR="00D420F3" w:rsidRPr="001B6D09" w:rsidRDefault="0077175D" w:rsidP="001B6D09">
      <w:pPr>
        <w:pStyle w:val="JuParaLast"/>
        <w:jc w:val="both"/>
      </w:pPr>
      <w:r>
        <w:t>Sporządzono w języku angielskim i obwieszczono pisemnie 31 sierpnia 2021 r., zgodnie z Regułą 77 ust. 2 i 3 Regulaminu Trybunału.</w:t>
      </w:r>
    </w:p>
    <w:p w14:paraId="0328F9BC" w14:textId="109C31DE" w:rsidR="00D323E4" w:rsidRPr="001B6D09" w:rsidRDefault="0077175D" w:rsidP="001B6D09">
      <w:pPr>
        <w:pStyle w:val="JuSigned"/>
        <w:tabs>
          <w:tab w:val="clear" w:pos="6407"/>
          <w:tab w:val="center" w:pos="6237"/>
        </w:tabs>
      </w:pPr>
      <w:r>
        <w:tab/>
        <w:t xml:space="preserve">Renata </w:t>
      </w:r>
      <w:proofErr w:type="spellStart"/>
      <w:r>
        <w:t>Degener</w:t>
      </w:r>
      <w:proofErr w:type="spellEnd"/>
      <w:r>
        <w:tab/>
      </w:r>
      <w:proofErr w:type="spellStart"/>
      <w:r>
        <w:t>Péter</w:t>
      </w:r>
      <w:proofErr w:type="spellEnd"/>
      <w:r>
        <w:t xml:space="preserve"> </w:t>
      </w:r>
      <w:proofErr w:type="spellStart"/>
      <w:r>
        <w:t>Paczolay</w:t>
      </w:r>
      <w:proofErr w:type="spellEnd"/>
      <w:r>
        <w:br/>
      </w:r>
      <w:r>
        <w:tab/>
        <w:t>Kanclerz</w:t>
      </w:r>
      <w:r>
        <w:tab/>
        <w:t>Przewodniczący</w:t>
      </w:r>
    </w:p>
    <w:sectPr w:rsidR="00D323E4" w:rsidRPr="001B6D09" w:rsidSect="00297B56">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EE728" w14:textId="77777777" w:rsidR="00944E4E" w:rsidRDefault="00944E4E">
      <w:r>
        <w:separator/>
      </w:r>
    </w:p>
    <w:p w14:paraId="5676BB94" w14:textId="77777777" w:rsidR="00944E4E" w:rsidRDefault="00944E4E"/>
  </w:endnote>
  <w:endnote w:type="continuationSeparator" w:id="0">
    <w:p w14:paraId="399710D6" w14:textId="77777777" w:rsidR="00944E4E" w:rsidRDefault="00944E4E">
      <w:r>
        <w:continuationSeparator/>
      </w:r>
    </w:p>
    <w:p w14:paraId="736DAF5D" w14:textId="77777777" w:rsidR="00944E4E" w:rsidRDefault="00944E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008EA" w14:textId="77777777" w:rsidR="005B12FD" w:rsidRPr="00297B56" w:rsidRDefault="005B12FD">
    <w:pPr>
      <w:pStyle w:val="Stopka"/>
      <w:jc w:val="center"/>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 MERGEFORMAT </w:instrText>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679654"/>
      <w:docPartObj>
        <w:docPartGallery w:val="Page Numbers (Bottom of Page)"/>
        <w:docPartUnique/>
      </w:docPartObj>
    </w:sdtPr>
    <w:sdtEndPr>
      <w:rPr>
        <w:noProof/>
      </w:rPr>
    </w:sdtEndPr>
    <w:sdtContent>
      <w:p w14:paraId="4D9F3FA2" w14:textId="7F56EA50" w:rsidR="005B12FD" w:rsidRDefault="005B12FD">
        <w:pPr>
          <w:pStyle w:val="Stopka"/>
          <w:jc w:val="center"/>
        </w:pPr>
        <w:r w:rsidRPr="00297B56">
          <w:rPr>
            <w:sz w:val="18"/>
          </w:rPr>
          <w:fldChar w:fldCharType="begin"/>
        </w:r>
        <w:r w:rsidRPr="00297B56">
          <w:rPr>
            <w:sz w:val="18"/>
          </w:rPr>
          <w:instrText xml:space="preserve"> PAGE   \* MERGEFORMAT </w:instrText>
        </w:r>
        <w:r w:rsidRPr="00297B56">
          <w:rPr>
            <w:sz w:val="18"/>
          </w:rPr>
          <w:fldChar w:fldCharType="separate"/>
        </w:r>
        <w:r w:rsidRPr="00297B56">
          <w:rPr>
            <w:sz w:val="18"/>
          </w:rPr>
          <w:t>2</w:t>
        </w:r>
        <w:r w:rsidRPr="00297B56">
          <w:rPr>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02130" w14:textId="5F7ACB5C" w:rsidR="005B12FD" w:rsidRDefault="005B12FD" w:rsidP="008D6E46">
    <w:pPr>
      <w:pStyle w:val="Stopka"/>
      <w:jc w:val="center"/>
    </w:pPr>
    <w:r>
      <w:rPr>
        <w:noProof/>
      </w:rPr>
      <w:drawing>
        <wp:inline distT="0" distB="0" distL="0" distR="0" wp14:anchorId="04D86051" wp14:editId="7BF3B95F">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D58A7" w14:textId="77777777" w:rsidR="005B12FD" w:rsidRPr="00297B56" w:rsidRDefault="005B12FD">
    <w:pPr>
      <w:pStyle w:val="Stopka"/>
      <w:jc w:val="center"/>
      <w:rPr>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 MERGEFORMAT </w:instrText>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297B56">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092DE975" w14:textId="77777777" w:rsidR="005B12FD" w:rsidRDefault="005B12F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961286"/>
      <w:docPartObj>
        <w:docPartGallery w:val="Page Numbers (Bottom of Page)"/>
        <w:docPartUnique/>
      </w:docPartObj>
    </w:sdtPr>
    <w:sdtEndPr>
      <w:rPr>
        <w:noProof/>
      </w:rPr>
    </w:sdtEndPr>
    <w:sdtContent>
      <w:p w14:paraId="7D468A42" w14:textId="77777777" w:rsidR="005B12FD" w:rsidRPr="00297B56" w:rsidRDefault="005B12FD">
        <w:pPr>
          <w:pStyle w:val="Stopka"/>
          <w:jc w:val="center"/>
          <w:rPr>
            <w:sz w:val="18"/>
            <w:szCs w:val="18"/>
          </w:rPr>
        </w:pPr>
        <w:r w:rsidRPr="00297B56">
          <w:rPr>
            <w:sz w:val="18"/>
          </w:rPr>
          <w:fldChar w:fldCharType="begin"/>
        </w:r>
        <w:r w:rsidRPr="00297B56">
          <w:rPr>
            <w:sz w:val="18"/>
          </w:rPr>
          <w:instrText xml:space="preserve"> PAGE   \* MERGEFORMAT </w:instrText>
        </w:r>
        <w:r w:rsidRPr="00297B56">
          <w:rPr>
            <w:sz w:val="18"/>
          </w:rPr>
          <w:fldChar w:fldCharType="separate"/>
        </w:r>
        <w:r w:rsidRPr="00297B56">
          <w:rPr>
            <w:sz w:val="18"/>
          </w:rPr>
          <w:t>2</w:t>
        </w:r>
        <w:r w:rsidRPr="00297B56">
          <w:rPr>
            <w:sz w:val="18"/>
          </w:rPr>
          <w:fldChar w:fldCharType="end"/>
        </w:r>
      </w:p>
    </w:sdtContent>
  </w:sdt>
  <w:p w14:paraId="77B65613" w14:textId="77777777" w:rsidR="005B12FD" w:rsidRDefault="005B12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CBFBC" w14:textId="77777777" w:rsidR="00944E4E" w:rsidRPr="003152BA" w:rsidRDefault="00944E4E" w:rsidP="00D420F3">
      <w:r w:rsidRPr="003152BA">
        <w:separator/>
      </w:r>
    </w:p>
    <w:p w14:paraId="0444688A" w14:textId="77777777" w:rsidR="00944E4E" w:rsidRDefault="00944E4E"/>
  </w:footnote>
  <w:footnote w:type="continuationSeparator" w:id="0">
    <w:p w14:paraId="5F13A13A" w14:textId="77777777" w:rsidR="00944E4E" w:rsidRPr="003152BA" w:rsidRDefault="00944E4E" w:rsidP="00D420F3">
      <w:r w:rsidRPr="003152BA">
        <w:continuationSeparator/>
      </w:r>
    </w:p>
    <w:p w14:paraId="0F1D1FAA" w14:textId="77777777" w:rsidR="00944E4E" w:rsidRDefault="00944E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E0C9" w14:textId="39D39487" w:rsidR="005B12FD" w:rsidRPr="003152BA" w:rsidRDefault="005B12FD" w:rsidP="00D420F3">
    <w:pPr>
      <w:pStyle w:val="JuHeader"/>
    </w:pPr>
    <w:r>
      <w:tab/>
      <w:t xml:space="preserve">WYROK GALOVIĆ </w:t>
    </w:r>
    <w:r w:rsidR="00232307">
      <w:t>przeciwko</w:t>
    </w:r>
    <w:r>
      <w:t xml:space="preserve"> CHORWACJI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F977C" w14:textId="2BA3D6EE" w:rsidR="005B12FD" w:rsidRDefault="005B12FD" w:rsidP="00BE67E7">
    <w:pPr>
      <w:pStyle w:val="JuHeader"/>
      <w:tabs>
        <w:tab w:val="right" w:pos="7358"/>
      </w:tabs>
    </w:pPr>
    <w:r>
      <w:tab/>
      <w:t>WYROK W SPRAWIE GALOVIĆ PRZECIWKO CHORWACJI</w:t>
    </w:r>
    <w:r>
      <w:tab/>
    </w:r>
  </w:p>
  <w:p w14:paraId="380BB1CD" w14:textId="77777777" w:rsidR="005B12FD" w:rsidRPr="003152BA" w:rsidRDefault="005B12FD" w:rsidP="00D420F3">
    <w:pPr>
      <w:pStyle w:val="Ju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24235" w14:textId="7DFBDDCC" w:rsidR="005B12FD" w:rsidRDefault="005B12FD" w:rsidP="00BE67E7">
    <w:pPr>
      <w:pStyle w:val="Nagwek"/>
      <w:tabs>
        <w:tab w:val="clear" w:pos="4536"/>
        <w:tab w:val="clear" w:pos="9072"/>
        <w:tab w:val="left" w:pos="2949"/>
      </w:tabs>
      <w:jc w:val="center"/>
    </w:pPr>
    <w:r>
      <w:rPr>
        <w:noProof/>
      </w:rPr>
      <w:drawing>
        <wp:inline distT="0" distB="0" distL="0" distR="0" wp14:anchorId="4278E2F4" wp14:editId="32A7909F">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8BBE3" w14:textId="0A98EE2A" w:rsidR="005B12FD" w:rsidRPr="003152BA" w:rsidRDefault="005B12FD" w:rsidP="00D420F3">
    <w:pPr>
      <w:pStyle w:val="JuHeader"/>
    </w:pPr>
    <w:r>
      <w:tab/>
      <w:t xml:space="preserve">WYROK GALOVIĆ </w:t>
    </w:r>
    <w:r w:rsidR="0057047A">
      <w:t>przeciwko</w:t>
    </w:r>
    <w:r>
      <w:t xml:space="preserve"> CHORWACJI</w:t>
    </w:r>
  </w:p>
  <w:p w14:paraId="689683EA" w14:textId="77777777" w:rsidR="005B12FD" w:rsidRDefault="005B12F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EDEB7" w14:textId="2A24C679" w:rsidR="005B12FD" w:rsidRPr="003152BA" w:rsidRDefault="005B12FD" w:rsidP="00D420F3">
    <w:pPr>
      <w:pStyle w:val="JuHeader"/>
    </w:pPr>
    <w:r>
      <w:tab/>
      <w:t xml:space="preserve">WYROK GALOVIĆ </w:t>
    </w:r>
    <w:r w:rsidR="00232307">
      <w:t>przeciwko</w:t>
    </w:r>
    <w:r>
      <w:t xml:space="preserve"> CHORWACJI</w:t>
    </w:r>
  </w:p>
  <w:p w14:paraId="7407739D" w14:textId="77777777" w:rsidR="005B12FD" w:rsidRDefault="005B12F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749839610">
    <w:abstractNumId w:val="17"/>
  </w:num>
  <w:num w:numId="2" w16cid:durableId="974025536">
    <w:abstractNumId w:val="9"/>
  </w:num>
  <w:num w:numId="3" w16cid:durableId="1070881343">
    <w:abstractNumId w:val="13"/>
  </w:num>
  <w:num w:numId="4" w16cid:durableId="2102868266">
    <w:abstractNumId w:val="11"/>
  </w:num>
  <w:num w:numId="5" w16cid:durableId="783571638">
    <w:abstractNumId w:val="10"/>
  </w:num>
  <w:num w:numId="6" w16cid:durableId="1222909862">
    <w:abstractNumId w:val="14"/>
  </w:num>
  <w:num w:numId="7" w16cid:durableId="945311702">
    <w:abstractNumId w:val="12"/>
  </w:num>
  <w:num w:numId="8" w16cid:durableId="83234098">
    <w:abstractNumId w:val="15"/>
  </w:num>
  <w:num w:numId="9" w16cid:durableId="1050883175">
    <w:abstractNumId w:val="16"/>
  </w:num>
  <w:num w:numId="10" w16cid:durableId="1457069340">
    <w:abstractNumId w:val="7"/>
  </w:num>
  <w:num w:numId="11" w16cid:durableId="885068422">
    <w:abstractNumId w:val="6"/>
  </w:num>
  <w:num w:numId="12" w16cid:durableId="1345520360">
    <w:abstractNumId w:val="5"/>
  </w:num>
  <w:num w:numId="13" w16cid:durableId="1547403137">
    <w:abstractNumId w:val="4"/>
  </w:num>
  <w:num w:numId="14" w16cid:durableId="1922107211">
    <w:abstractNumId w:val="8"/>
  </w:num>
  <w:num w:numId="15" w16cid:durableId="275792272">
    <w:abstractNumId w:val="3"/>
  </w:num>
  <w:num w:numId="16" w16cid:durableId="1349214559">
    <w:abstractNumId w:val="2"/>
  </w:num>
  <w:num w:numId="17" w16cid:durableId="754712781">
    <w:abstractNumId w:val="1"/>
  </w:num>
  <w:num w:numId="18" w16cid:durableId="1203906683">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6374CD"/>
    <w:rsid w:val="00003201"/>
    <w:rsid w:val="000046D1"/>
    <w:rsid w:val="00005D55"/>
    <w:rsid w:val="00006A29"/>
    <w:rsid w:val="00007D96"/>
    <w:rsid w:val="000163E5"/>
    <w:rsid w:val="00020D0C"/>
    <w:rsid w:val="00021269"/>
    <w:rsid w:val="00031B7D"/>
    <w:rsid w:val="00031F2E"/>
    <w:rsid w:val="00033454"/>
    <w:rsid w:val="00033902"/>
    <w:rsid w:val="00035B71"/>
    <w:rsid w:val="00040C5F"/>
    <w:rsid w:val="00042EE9"/>
    <w:rsid w:val="00045AFC"/>
    <w:rsid w:val="000462FE"/>
    <w:rsid w:val="00047EA8"/>
    <w:rsid w:val="00051100"/>
    <w:rsid w:val="00054E16"/>
    <w:rsid w:val="0006023D"/>
    <w:rsid w:val="0006157F"/>
    <w:rsid w:val="00061C0B"/>
    <w:rsid w:val="00063A1F"/>
    <w:rsid w:val="00063FD6"/>
    <w:rsid w:val="00064986"/>
    <w:rsid w:val="00064EAD"/>
    <w:rsid w:val="00071138"/>
    <w:rsid w:val="00071849"/>
    <w:rsid w:val="00071D6F"/>
    <w:rsid w:val="0007320F"/>
    <w:rsid w:val="0007600A"/>
    <w:rsid w:val="000762D1"/>
    <w:rsid w:val="000772CF"/>
    <w:rsid w:val="00077E39"/>
    <w:rsid w:val="000821D0"/>
    <w:rsid w:val="00082EBE"/>
    <w:rsid w:val="00086679"/>
    <w:rsid w:val="000909BA"/>
    <w:rsid w:val="000929EF"/>
    <w:rsid w:val="0009309C"/>
    <w:rsid w:val="00094FC2"/>
    <w:rsid w:val="000959DE"/>
    <w:rsid w:val="00096D7B"/>
    <w:rsid w:val="000A1097"/>
    <w:rsid w:val="000B17E0"/>
    <w:rsid w:val="000B3BB4"/>
    <w:rsid w:val="000C00FD"/>
    <w:rsid w:val="000C75D9"/>
    <w:rsid w:val="000C75EF"/>
    <w:rsid w:val="000C772D"/>
    <w:rsid w:val="000D1247"/>
    <w:rsid w:val="000D3A3A"/>
    <w:rsid w:val="000D477C"/>
    <w:rsid w:val="000D54B4"/>
    <w:rsid w:val="000D7F5B"/>
    <w:rsid w:val="000E0731"/>
    <w:rsid w:val="000E336F"/>
    <w:rsid w:val="000E4E11"/>
    <w:rsid w:val="000E54EE"/>
    <w:rsid w:val="000E54FE"/>
    <w:rsid w:val="000E647E"/>
    <w:rsid w:val="000E7BB4"/>
    <w:rsid w:val="000F270B"/>
    <w:rsid w:val="000F4405"/>
    <w:rsid w:val="000F7E1B"/>
    <w:rsid w:val="0010104E"/>
    <w:rsid w:val="00101A2F"/>
    <w:rsid w:val="0010495C"/>
    <w:rsid w:val="00110130"/>
    <w:rsid w:val="00111B37"/>
    <w:rsid w:val="00115A05"/>
    <w:rsid w:val="00116560"/>
    <w:rsid w:val="001208BC"/>
    <w:rsid w:val="00121C94"/>
    <w:rsid w:val="001221E7"/>
    <w:rsid w:val="001225A3"/>
    <w:rsid w:val="0012672E"/>
    <w:rsid w:val="00126998"/>
    <w:rsid w:val="00130D0D"/>
    <w:rsid w:val="00134481"/>
    <w:rsid w:val="00135D88"/>
    <w:rsid w:val="00136BFB"/>
    <w:rsid w:val="00137903"/>
    <w:rsid w:val="00142FDF"/>
    <w:rsid w:val="00144CA8"/>
    <w:rsid w:val="001456E2"/>
    <w:rsid w:val="0014798A"/>
    <w:rsid w:val="001479AF"/>
    <w:rsid w:val="00156153"/>
    <w:rsid w:val="00156285"/>
    <w:rsid w:val="001615F7"/>
    <w:rsid w:val="00161F1C"/>
    <w:rsid w:val="00163EF1"/>
    <w:rsid w:val="001650A0"/>
    <w:rsid w:val="0017119D"/>
    <w:rsid w:val="00172481"/>
    <w:rsid w:val="001730BF"/>
    <w:rsid w:val="00173C68"/>
    <w:rsid w:val="00174959"/>
    <w:rsid w:val="00184392"/>
    <w:rsid w:val="001923F8"/>
    <w:rsid w:val="001935ED"/>
    <w:rsid w:val="001961BD"/>
    <w:rsid w:val="001972E2"/>
    <w:rsid w:val="001A0AD3"/>
    <w:rsid w:val="001A25AA"/>
    <w:rsid w:val="001A6AFD"/>
    <w:rsid w:val="001B35C8"/>
    <w:rsid w:val="001B3726"/>
    <w:rsid w:val="001B5B2C"/>
    <w:rsid w:val="001B6D09"/>
    <w:rsid w:val="001B769D"/>
    <w:rsid w:val="001C04AB"/>
    <w:rsid w:val="001C3C57"/>
    <w:rsid w:val="001D55B3"/>
    <w:rsid w:val="001D6AA8"/>
    <w:rsid w:val="001D7575"/>
    <w:rsid w:val="001E3FAE"/>
    <w:rsid w:val="001E70FB"/>
    <w:rsid w:val="001F5B8A"/>
    <w:rsid w:val="001F5BB5"/>
    <w:rsid w:val="00200418"/>
    <w:rsid w:val="00200B4B"/>
    <w:rsid w:val="00201AFE"/>
    <w:rsid w:val="002021FB"/>
    <w:rsid w:val="00202C5B"/>
    <w:rsid w:val="0020452A"/>
    <w:rsid w:val="002047BD"/>
    <w:rsid w:val="00205056"/>
    <w:rsid w:val="002053B5"/>
    <w:rsid w:val="002066CD"/>
    <w:rsid w:val="00210499"/>
    <w:rsid w:val="00212F2C"/>
    <w:rsid w:val="00220A9C"/>
    <w:rsid w:val="00224DCB"/>
    <w:rsid w:val="00225216"/>
    <w:rsid w:val="00232307"/>
    <w:rsid w:val="00237607"/>
    <w:rsid w:val="00240BC5"/>
    <w:rsid w:val="002433A1"/>
    <w:rsid w:val="00243FA3"/>
    <w:rsid w:val="002462FC"/>
    <w:rsid w:val="00246411"/>
    <w:rsid w:val="0024650C"/>
    <w:rsid w:val="0025103D"/>
    <w:rsid w:val="00252A34"/>
    <w:rsid w:val="00252FD6"/>
    <w:rsid w:val="0025681C"/>
    <w:rsid w:val="002571BD"/>
    <w:rsid w:val="00257F14"/>
    <w:rsid w:val="00271A3C"/>
    <w:rsid w:val="002749C7"/>
    <w:rsid w:val="00280323"/>
    <w:rsid w:val="00282F55"/>
    <w:rsid w:val="00283B56"/>
    <w:rsid w:val="00283C62"/>
    <w:rsid w:val="002842EC"/>
    <w:rsid w:val="00284D84"/>
    <w:rsid w:val="0028749A"/>
    <w:rsid w:val="00292C80"/>
    <w:rsid w:val="00293AFE"/>
    <w:rsid w:val="002944E1"/>
    <w:rsid w:val="002946B1"/>
    <w:rsid w:val="00296B82"/>
    <w:rsid w:val="002973BF"/>
    <w:rsid w:val="00297933"/>
    <w:rsid w:val="00297B56"/>
    <w:rsid w:val="002B0B06"/>
    <w:rsid w:val="002B2B96"/>
    <w:rsid w:val="002B453A"/>
    <w:rsid w:val="002B4AC3"/>
    <w:rsid w:val="002B758B"/>
    <w:rsid w:val="002C22C1"/>
    <w:rsid w:val="002C2E62"/>
    <w:rsid w:val="002D1D5C"/>
    <w:rsid w:val="002D20F1"/>
    <w:rsid w:val="002D6A13"/>
    <w:rsid w:val="002D715F"/>
    <w:rsid w:val="002F0BA9"/>
    <w:rsid w:val="002F43EC"/>
    <w:rsid w:val="002F4874"/>
    <w:rsid w:val="00302139"/>
    <w:rsid w:val="00304FC7"/>
    <w:rsid w:val="00307BF1"/>
    <w:rsid w:val="00314AB7"/>
    <w:rsid w:val="00321391"/>
    <w:rsid w:val="003223B3"/>
    <w:rsid w:val="0032464B"/>
    <w:rsid w:val="00333EC2"/>
    <w:rsid w:val="0033442B"/>
    <w:rsid w:val="00337ABD"/>
    <w:rsid w:val="00341F24"/>
    <w:rsid w:val="00344D33"/>
    <w:rsid w:val="00347171"/>
    <w:rsid w:val="003500A8"/>
    <w:rsid w:val="0035108C"/>
    <w:rsid w:val="00352494"/>
    <w:rsid w:val="00354232"/>
    <w:rsid w:val="00354B6C"/>
    <w:rsid w:val="00366D59"/>
    <w:rsid w:val="0037037F"/>
    <w:rsid w:val="003706C9"/>
    <w:rsid w:val="00370895"/>
    <w:rsid w:val="00371468"/>
    <w:rsid w:val="00371A8A"/>
    <w:rsid w:val="00372AD2"/>
    <w:rsid w:val="003735C3"/>
    <w:rsid w:val="003766EF"/>
    <w:rsid w:val="003825F9"/>
    <w:rsid w:val="00385020"/>
    <w:rsid w:val="00393D94"/>
    <w:rsid w:val="00393F6A"/>
    <w:rsid w:val="003954E4"/>
    <w:rsid w:val="003968AD"/>
    <w:rsid w:val="00396924"/>
    <w:rsid w:val="003A3490"/>
    <w:rsid w:val="003A3722"/>
    <w:rsid w:val="003A5895"/>
    <w:rsid w:val="003B59EF"/>
    <w:rsid w:val="003C0FE9"/>
    <w:rsid w:val="003C1F0E"/>
    <w:rsid w:val="003C4EC9"/>
    <w:rsid w:val="003C5E43"/>
    <w:rsid w:val="003D06AD"/>
    <w:rsid w:val="003D2EA8"/>
    <w:rsid w:val="003D3C80"/>
    <w:rsid w:val="003D5040"/>
    <w:rsid w:val="003E1F7E"/>
    <w:rsid w:val="003E1FDC"/>
    <w:rsid w:val="003E20F4"/>
    <w:rsid w:val="003E2848"/>
    <w:rsid w:val="003E2DD9"/>
    <w:rsid w:val="003E3AA2"/>
    <w:rsid w:val="003E511B"/>
    <w:rsid w:val="003F0831"/>
    <w:rsid w:val="003F0E27"/>
    <w:rsid w:val="003F2026"/>
    <w:rsid w:val="003F2A90"/>
    <w:rsid w:val="003F382A"/>
    <w:rsid w:val="003F41CD"/>
    <w:rsid w:val="003F573B"/>
    <w:rsid w:val="00400A6A"/>
    <w:rsid w:val="00402EC7"/>
    <w:rsid w:val="00405BF1"/>
    <w:rsid w:val="00405D77"/>
    <w:rsid w:val="0041114B"/>
    <w:rsid w:val="00412300"/>
    <w:rsid w:val="00416819"/>
    <w:rsid w:val="004220C7"/>
    <w:rsid w:val="00422183"/>
    <w:rsid w:val="004313D9"/>
    <w:rsid w:val="00436689"/>
    <w:rsid w:val="00443B9A"/>
    <w:rsid w:val="004440AF"/>
    <w:rsid w:val="004449F1"/>
    <w:rsid w:val="00451444"/>
    <w:rsid w:val="004516F0"/>
    <w:rsid w:val="00453B11"/>
    <w:rsid w:val="00454986"/>
    <w:rsid w:val="0045586F"/>
    <w:rsid w:val="00455E00"/>
    <w:rsid w:val="00463C4E"/>
    <w:rsid w:val="00464280"/>
    <w:rsid w:val="004650EA"/>
    <w:rsid w:val="00471B43"/>
    <w:rsid w:val="00471F68"/>
    <w:rsid w:val="004734F2"/>
    <w:rsid w:val="00473530"/>
    <w:rsid w:val="00474C02"/>
    <w:rsid w:val="00474F27"/>
    <w:rsid w:val="00481427"/>
    <w:rsid w:val="00481870"/>
    <w:rsid w:val="00481E63"/>
    <w:rsid w:val="00482601"/>
    <w:rsid w:val="00485F29"/>
    <w:rsid w:val="004868D4"/>
    <w:rsid w:val="004918F2"/>
    <w:rsid w:val="00497048"/>
    <w:rsid w:val="00497618"/>
    <w:rsid w:val="004A117E"/>
    <w:rsid w:val="004A294E"/>
    <w:rsid w:val="004A52D1"/>
    <w:rsid w:val="004B18CB"/>
    <w:rsid w:val="004B6A3F"/>
    <w:rsid w:val="004C1729"/>
    <w:rsid w:val="004C5756"/>
    <w:rsid w:val="004C79F4"/>
    <w:rsid w:val="004D56AB"/>
    <w:rsid w:val="004D6144"/>
    <w:rsid w:val="004D6F18"/>
    <w:rsid w:val="004E6A02"/>
    <w:rsid w:val="004F0567"/>
    <w:rsid w:val="004F481D"/>
    <w:rsid w:val="004F50A9"/>
    <w:rsid w:val="004F5CA5"/>
    <w:rsid w:val="004F6C14"/>
    <w:rsid w:val="004F727B"/>
    <w:rsid w:val="004F78D6"/>
    <w:rsid w:val="005009D8"/>
    <w:rsid w:val="00501FB2"/>
    <w:rsid w:val="00503B61"/>
    <w:rsid w:val="00503D50"/>
    <w:rsid w:val="00507C48"/>
    <w:rsid w:val="00510216"/>
    <w:rsid w:val="00510D35"/>
    <w:rsid w:val="0051140A"/>
    <w:rsid w:val="00511FA8"/>
    <w:rsid w:val="00512427"/>
    <w:rsid w:val="00512F21"/>
    <w:rsid w:val="00517BAD"/>
    <w:rsid w:val="00522C22"/>
    <w:rsid w:val="005232D7"/>
    <w:rsid w:val="00524D5F"/>
    <w:rsid w:val="00527DA1"/>
    <w:rsid w:val="00540DA0"/>
    <w:rsid w:val="00541C46"/>
    <w:rsid w:val="0054208D"/>
    <w:rsid w:val="0054217C"/>
    <w:rsid w:val="00542225"/>
    <w:rsid w:val="00542CFA"/>
    <w:rsid w:val="005436EC"/>
    <w:rsid w:val="005456AC"/>
    <w:rsid w:val="005515D7"/>
    <w:rsid w:val="00551C69"/>
    <w:rsid w:val="00552177"/>
    <w:rsid w:val="0056104F"/>
    <w:rsid w:val="00561D25"/>
    <w:rsid w:val="00563570"/>
    <w:rsid w:val="0056415A"/>
    <w:rsid w:val="00565840"/>
    <w:rsid w:val="00565A1F"/>
    <w:rsid w:val="00567A42"/>
    <w:rsid w:val="0057047A"/>
    <w:rsid w:val="00575BE5"/>
    <w:rsid w:val="00577F9D"/>
    <w:rsid w:val="005854BF"/>
    <w:rsid w:val="0058569D"/>
    <w:rsid w:val="00586243"/>
    <w:rsid w:val="00587147"/>
    <w:rsid w:val="00592166"/>
    <w:rsid w:val="00592CA1"/>
    <w:rsid w:val="0059670D"/>
    <w:rsid w:val="005970BA"/>
    <w:rsid w:val="00597BD3"/>
    <w:rsid w:val="005A5D2F"/>
    <w:rsid w:val="005A6D6D"/>
    <w:rsid w:val="005B09C8"/>
    <w:rsid w:val="005B1052"/>
    <w:rsid w:val="005B12FD"/>
    <w:rsid w:val="005B1BDD"/>
    <w:rsid w:val="005B630A"/>
    <w:rsid w:val="005B63B0"/>
    <w:rsid w:val="005C5DF2"/>
    <w:rsid w:val="005D020A"/>
    <w:rsid w:val="005D1591"/>
    <w:rsid w:val="005D2379"/>
    <w:rsid w:val="005D77EF"/>
    <w:rsid w:val="005E7BC3"/>
    <w:rsid w:val="005F39BF"/>
    <w:rsid w:val="005F3CF5"/>
    <w:rsid w:val="005F60A2"/>
    <w:rsid w:val="005F68CC"/>
    <w:rsid w:val="005F7526"/>
    <w:rsid w:val="005F7F5F"/>
    <w:rsid w:val="00601541"/>
    <w:rsid w:val="0060276F"/>
    <w:rsid w:val="00603C1A"/>
    <w:rsid w:val="00603D84"/>
    <w:rsid w:val="0060686B"/>
    <w:rsid w:val="00612D5B"/>
    <w:rsid w:val="00614772"/>
    <w:rsid w:val="0061712A"/>
    <w:rsid w:val="00621012"/>
    <w:rsid w:val="00621587"/>
    <w:rsid w:val="006247CA"/>
    <w:rsid w:val="00627334"/>
    <w:rsid w:val="006349D1"/>
    <w:rsid w:val="006374CD"/>
    <w:rsid w:val="006414EC"/>
    <w:rsid w:val="006424E3"/>
    <w:rsid w:val="0064339B"/>
    <w:rsid w:val="006434B0"/>
    <w:rsid w:val="00643D65"/>
    <w:rsid w:val="00644748"/>
    <w:rsid w:val="0064718E"/>
    <w:rsid w:val="0065134B"/>
    <w:rsid w:val="006545BE"/>
    <w:rsid w:val="00654664"/>
    <w:rsid w:val="006549D3"/>
    <w:rsid w:val="00662078"/>
    <w:rsid w:val="00663B05"/>
    <w:rsid w:val="006656F8"/>
    <w:rsid w:val="00666726"/>
    <w:rsid w:val="00667921"/>
    <w:rsid w:val="00670388"/>
    <w:rsid w:val="00670865"/>
    <w:rsid w:val="00672324"/>
    <w:rsid w:val="00673365"/>
    <w:rsid w:val="006761F6"/>
    <w:rsid w:val="00677071"/>
    <w:rsid w:val="00680243"/>
    <w:rsid w:val="00680587"/>
    <w:rsid w:val="00681184"/>
    <w:rsid w:val="006812A0"/>
    <w:rsid w:val="00681AE0"/>
    <w:rsid w:val="00681C2C"/>
    <w:rsid w:val="00682280"/>
    <w:rsid w:val="00684012"/>
    <w:rsid w:val="00684BC7"/>
    <w:rsid w:val="006A03B2"/>
    <w:rsid w:val="006A0651"/>
    <w:rsid w:val="006A2404"/>
    <w:rsid w:val="006A24C2"/>
    <w:rsid w:val="006A29AF"/>
    <w:rsid w:val="006A361E"/>
    <w:rsid w:val="006A52E4"/>
    <w:rsid w:val="006A54E2"/>
    <w:rsid w:val="006A6DA1"/>
    <w:rsid w:val="006A7657"/>
    <w:rsid w:val="006B0171"/>
    <w:rsid w:val="006B03A2"/>
    <w:rsid w:val="006B08EB"/>
    <w:rsid w:val="006B292B"/>
    <w:rsid w:val="006B307B"/>
    <w:rsid w:val="006B6298"/>
    <w:rsid w:val="006C0280"/>
    <w:rsid w:val="006C2EBE"/>
    <w:rsid w:val="006D129D"/>
    <w:rsid w:val="006D619F"/>
    <w:rsid w:val="006D668A"/>
    <w:rsid w:val="006E27CF"/>
    <w:rsid w:val="006E610F"/>
    <w:rsid w:val="006E7559"/>
    <w:rsid w:val="006F293A"/>
    <w:rsid w:val="006F4160"/>
    <w:rsid w:val="00700C6F"/>
    <w:rsid w:val="0070268C"/>
    <w:rsid w:val="00704D3E"/>
    <w:rsid w:val="00707696"/>
    <w:rsid w:val="00707865"/>
    <w:rsid w:val="00712443"/>
    <w:rsid w:val="00714E2B"/>
    <w:rsid w:val="007223F1"/>
    <w:rsid w:val="0072584C"/>
    <w:rsid w:val="00734017"/>
    <w:rsid w:val="0073516B"/>
    <w:rsid w:val="00742228"/>
    <w:rsid w:val="00744930"/>
    <w:rsid w:val="00744BF9"/>
    <w:rsid w:val="007452EF"/>
    <w:rsid w:val="00752733"/>
    <w:rsid w:val="00757B80"/>
    <w:rsid w:val="007666F9"/>
    <w:rsid w:val="007713B4"/>
    <w:rsid w:val="0077175D"/>
    <w:rsid w:val="00773D3B"/>
    <w:rsid w:val="00775127"/>
    <w:rsid w:val="007761F7"/>
    <w:rsid w:val="00777810"/>
    <w:rsid w:val="007778CD"/>
    <w:rsid w:val="00787579"/>
    <w:rsid w:val="00791ED6"/>
    <w:rsid w:val="0079624C"/>
    <w:rsid w:val="00797695"/>
    <w:rsid w:val="00797AB5"/>
    <w:rsid w:val="007A043F"/>
    <w:rsid w:val="007A0E17"/>
    <w:rsid w:val="007A482E"/>
    <w:rsid w:val="007A53A3"/>
    <w:rsid w:val="007B016A"/>
    <w:rsid w:val="007B3B7A"/>
    <w:rsid w:val="007B6591"/>
    <w:rsid w:val="007B666E"/>
    <w:rsid w:val="007B7BD0"/>
    <w:rsid w:val="007B7DC7"/>
    <w:rsid w:val="007C0EB9"/>
    <w:rsid w:val="007C35B5"/>
    <w:rsid w:val="007C4973"/>
    <w:rsid w:val="007C5324"/>
    <w:rsid w:val="007C5DC5"/>
    <w:rsid w:val="007C6D57"/>
    <w:rsid w:val="007C7A36"/>
    <w:rsid w:val="007D06AD"/>
    <w:rsid w:val="007D1E3D"/>
    <w:rsid w:val="007D321A"/>
    <w:rsid w:val="007D374D"/>
    <w:rsid w:val="007D5BAD"/>
    <w:rsid w:val="007E1D8B"/>
    <w:rsid w:val="007E1F93"/>
    <w:rsid w:val="007E2AC0"/>
    <w:rsid w:val="007E3A94"/>
    <w:rsid w:val="007E595A"/>
    <w:rsid w:val="007F54CB"/>
    <w:rsid w:val="0080302A"/>
    <w:rsid w:val="00803186"/>
    <w:rsid w:val="00806706"/>
    <w:rsid w:val="00807602"/>
    <w:rsid w:val="00807928"/>
    <w:rsid w:val="00813620"/>
    <w:rsid w:val="00822FF6"/>
    <w:rsid w:val="0082375F"/>
    <w:rsid w:val="00823C50"/>
    <w:rsid w:val="00827DE8"/>
    <w:rsid w:val="0083200D"/>
    <w:rsid w:val="0083499D"/>
    <w:rsid w:val="008370E9"/>
    <w:rsid w:val="008464E6"/>
    <w:rsid w:val="00847061"/>
    <w:rsid w:val="00850A3A"/>
    <w:rsid w:val="00852BA8"/>
    <w:rsid w:val="00854055"/>
    <w:rsid w:val="0085613A"/>
    <w:rsid w:val="008602B5"/>
    <w:rsid w:val="00860B02"/>
    <w:rsid w:val="00862DDB"/>
    <w:rsid w:val="0087361D"/>
    <w:rsid w:val="00873D8E"/>
    <w:rsid w:val="00883379"/>
    <w:rsid w:val="00883934"/>
    <w:rsid w:val="00886F40"/>
    <w:rsid w:val="00893190"/>
    <w:rsid w:val="00893887"/>
    <w:rsid w:val="00895EFB"/>
    <w:rsid w:val="00896740"/>
    <w:rsid w:val="008A0078"/>
    <w:rsid w:val="008A1D6C"/>
    <w:rsid w:val="008A27B3"/>
    <w:rsid w:val="008B1DB3"/>
    <w:rsid w:val="008B206E"/>
    <w:rsid w:val="008C21CB"/>
    <w:rsid w:val="008C296C"/>
    <w:rsid w:val="008C4EC8"/>
    <w:rsid w:val="008D25C8"/>
    <w:rsid w:val="008D6E46"/>
    <w:rsid w:val="008E095E"/>
    <w:rsid w:val="008E2948"/>
    <w:rsid w:val="008E42CE"/>
    <w:rsid w:val="008E569E"/>
    <w:rsid w:val="008F07A4"/>
    <w:rsid w:val="008F0FE3"/>
    <w:rsid w:val="008F24EF"/>
    <w:rsid w:val="008F4EC1"/>
    <w:rsid w:val="0090146A"/>
    <w:rsid w:val="0090320D"/>
    <w:rsid w:val="00903E10"/>
    <w:rsid w:val="00904030"/>
    <w:rsid w:val="009133A7"/>
    <w:rsid w:val="00915354"/>
    <w:rsid w:val="009169D1"/>
    <w:rsid w:val="00920747"/>
    <w:rsid w:val="0092368D"/>
    <w:rsid w:val="0092505C"/>
    <w:rsid w:val="00926853"/>
    <w:rsid w:val="009275E7"/>
    <w:rsid w:val="00927B37"/>
    <w:rsid w:val="009300AB"/>
    <w:rsid w:val="0093198B"/>
    <w:rsid w:val="00937E38"/>
    <w:rsid w:val="0094478F"/>
    <w:rsid w:val="00944E4E"/>
    <w:rsid w:val="009478C1"/>
    <w:rsid w:val="00955967"/>
    <w:rsid w:val="00961945"/>
    <w:rsid w:val="009629F9"/>
    <w:rsid w:val="00964EB4"/>
    <w:rsid w:val="00965BCE"/>
    <w:rsid w:val="00972830"/>
    <w:rsid w:val="0097554C"/>
    <w:rsid w:val="00976797"/>
    <w:rsid w:val="00976EBA"/>
    <w:rsid w:val="00977071"/>
    <w:rsid w:val="009776DA"/>
    <w:rsid w:val="009809B0"/>
    <w:rsid w:val="0098277A"/>
    <w:rsid w:val="00983A04"/>
    <w:rsid w:val="00984B78"/>
    <w:rsid w:val="00986B7A"/>
    <w:rsid w:val="009913E8"/>
    <w:rsid w:val="00995BB4"/>
    <w:rsid w:val="009A2F6C"/>
    <w:rsid w:val="009B20A7"/>
    <w:rsid w:val="009B2BC2"/>
    <w:rsid w:val="009C5C6B"/>
    <w:rsid w:val="009C773A"/>
    <w:rsid w:val="009D4114"/>
    <w:rsid w:val="009D7237"/>
    <w:rsid w:val="009D792F"/>
    <w:rsid w:val="009D7F2F"/>
    <w:rsid w:val="009E1D77"/>
    <w:rsid w:val="009E2FFD"/>
    <w:rsid w:val="009E38E4"/>
    <w:rsid w:val="009E4032"/>
    <w:rsid w:val="009E6070"/>
    <w:rsid w:val="009E79B2"/>
    <w:rsid w:val="009F00FA"/>
    <w:rsid w:val="009F2FD5"/>
    <w:rsid w:val="009F50C1"/>
    <w:rsid w:val="009F62C7"/>
    <w:rsid w:val="00A043E8"/>
    <w:rsid w:val="00A0505F"/>
    <w:rsid w:val="00A062F4"/>
    <w:rsid w:val="00A15A08"/>
    <w:rsid w:val="00A170D2"/>
    <w:rsid w:val="00A209EC"/>
    <w:rsid w:val="00A21E7F"/>
    <w:rsid w:val="00A255AF"/>
    <w:rsid w:val="00A4111F"/>
    <w:rsid w:val="00A43EAF"/>
    <w:rsid w:val="00A44FF3"/>
    <w:rsid w:val="00A460B6"/>
    <w:rsid w:val="00A477AA"/>
    <w:rsid w:val="00A51E0C"/>
    <w:rsid w:val="00A52104"/>
    <w:rsid w:val="00A5769F"/>
    <w:rsid w:val="00A645C6"/>
    <w:rsid w:val="00A64A28"/>
    <w:rsid w:val="00A65EC6"/>
    <w:rsid w:val="00A7630B"/>
    <w:rsid w:val="00A76888"/>
    <w:rsid w:val="00A852BB"/>
    <w:rsid w:val="00A87953"/>
    <w:rsid w:val="00A916CA"/>
    <w:rsid w:val="00A9242D"/>
    <w:rsid w:val="00A96E5F"/>
    <w:rsid w:val="00AA07E3"/>
    <w:rsid w:val="00AA4493"/>
    <w:rsid w:val="00AB07F0"/>
    <w:rsid w:val="00AB5383"/>
    <w:rsid w:val="00AB73ED"/>
    <w:rsid w:val="00AB7E78"/>
    <w:rsid w:val="00AC08C5"/>
    <w:rsid w:val="00AC0BFE"/>
    <w:rsid w:val="00AC7653"/>
    <w:rsid w:val="00AD1061"/>
    <w:rsid w:val="00AD1B58"/>
    <w:rsid w:val="00AD6C62"/>
    <w:rsid w:val="00AE2BBB"/>
    <w:rsid w:val="00AE4304"/>
    <w:rsid w:val="00AE4B42"/>
    <w:rsid w:val="00AE5BAB"/>
    <w:rsid w:val="00AE71BD"/>
    <w:rsid w:val="00AF36B6"/>
    <w:rsid w:val="00B05F85"/>
    <w:rsid w:val="00B076FA"/>
    <w:rsid w:val="00B077DA"/>
    <w:rsid w:val="00B11B0B"/>
    <w:rsid w:val="00B1742D"/>
    <w:rsid w:val="00B24304"/>
    <w:rsid w:val="00B32D38"/>
    <w:rsid w:val="00B34F99"/>
    <w:rsid w:val="00B35348"/>
    <w:rsid w:val="00B37306"/>
    <w:rsid w:val="00B44A04"/>
    <w:rsid w:val="00B46142"/>
    <w:rsid w:val="00B47FA7"/>
    <w:rsid w:val="00B51D0C"/>
    <w:rsid w:val="00B52A21"/>
    <w:rsid w:val="00B54240"/>
    <w:rsid w:val="00B60368"/>
    <w:rsid w:val="00B61530"/>
    <w:rsid w:val="00B64638"/>
    <w:rsid w:val="00B66182"/>
    <w:rsid w:val="00B66E1F"/>
    <w:rsid w:val="00B74C10"/>
    <w:rsid w:val="00B809F5"/>
    <w:rsid w:val="00B9627E"/>
    <w:rsid w:val="00BA4BF8"/>
    <w:rsid w:val="00BA5E2E"/>
    <w:rsid w:val="00BA6285"/>
    <w:rsid w:val="00BA661C"/>
    <w:rsid w:val="00BA6C33"/>
    <w:rsid w:val="00BB3C85"/>
    <w:rsid w:val="00BB76B9"/>
    <w:rsid w:val="00BC1595"/>
    <w:rsid w:val="00BC30B1"/>
    <w:rsid w:val="00BC55DF"/>
    <w:rsid w:val="00BC7541"/>
    <w:rsid w:val="00BD11AB"/>
    <w:rsid w:val="00BD2012"/>
    <w:rsid w:val="00BD43A9"/>
    <w:rsid w:val="00BD604F"/>
    <w:rsid w:val="00BD665D"/>
    <w:rsid w:val="00BE1222"/>
    <w:rsid w:val="00BE13F9"/>
    <w:rsid w:val="00BE1EE7"/>
    <w:rsid w:val="00BE26E1"/>
    <w:rsid w:val="00BE4856"/>
    <w:rsid w:val="00BE488F"/>
    <w:rsid w:val="00BE6028"/>
    <w:rsid w:val="00BE67E7"/>
    <w:rsid w:val="00BF5430"/>
    <w:rsid w:val="00C0518E"/>
    <w:rsid w:val="00C0518F"/>
    <w:rsid w:val="00C06D94"/>
    <w:rsid w:val="00C07007"/>
    <w:rsid w:val="00C144CE"/>
    <w:rsid w:val="00C16B04"/>
    <w:rsid w:val="00C17FA0"/>
    <w:rsid w:val="00C244F3"/>
    <w:rsid w:val="00C269DD"/>
    <w:rsid w:val="00C27297"/>
    <w:rsid w:val="00C3024F"/>
    <w:rsid w:val="00C30319"/>
    <w:rsid w:val="00C36C2C"/>
    <w:rsid w:val="00C37918"/>
    <w:rsid w:val="00C413AD"/>
    <w:rsid w:val="00C434A0"/>
    <w:rsid w:val="00C4588B"/>
    <w:rsid w:val="00C46F4C"/>
    <w:rsid w:val="00C47ACA"/>
    <w:rsid w:val="00C50C9F"/>
    <w:rsid w:val="00C5278B"/>
    <w:rsid w:val="00C55A7C"/>
    <w:rsid w:val="00C641F3"/>
    <w:rsid w:val="00C648CD"/>
    <w:rsid w:val="00C66CB0"/>
    <w:rsid w:val="00C7127A"/>
    <w:rsid w:val="00C74782"/>
    <w:rsid w:val="00C762BD"/>
    <w:rsid w:val="00C773D3"/>
    <w:rsid w:val="00C84EB8"/>
    <w:rsid w:val="00C874B0"/>
    <w:rsid w:val="00C90B22"/>
    <w:rsid w:val="00C933D7"/>
    <w:rsid w:val="00CA23CC"/>
    <w:rsid w:val="00CA2B8B"/>
    <w:rsid w:val="00CB20C3"/>
    <w:rsid w:val="00CB50EE"/>
    <w:rsid w:val="00CC2BD0"/>
    <w:rsid w:val="00CC3DE3"/>
    <w:rsid w:val="00CC45DE"/>
    <w:rsid w:val="00CD09D9"/>
    <w:rsid w:val="00CD1EA2"/>
    <w:rsid w:val="00CD335E"/>
    <w:rsid w:val="00CD5499"/>
    <w:rsid w:val="00CD582A"/>
    <w:rsid w:val="00CE12FB"/>
    <w:rsid w:val="00CE179B"/>
    <w:rsid w:val="00CE2175"/>
    <w:rsid w:val="00CE2ACB"/>
    <w:rsid w:val="00CE3950"/>
    <w:rsid w:val="00CE3F88"/>
    <w:rsid w:val="00CE3FDB"/>
    <w:rsid w:val="00CE4D79"/>
    <w:rsid w:val="00CE52F9"/>
    <w:rsid w:val="00CE62CA"/>
    <w:rsid w:val="00D07263"/>
    <w:rsid w:val="00D0790C"/>
    <w:rsid w:val="00D07C3A"/>
    <w:rsid w:val="00D100FF"/>
    <w:rsid w:val="00D14C09"/>
    <w:rsid w:val="00D17E33"/>
    <w:rsid w:val="00D17F70"/>
    <w:rsid w:val="00D26015"/>
    <w:rsid w:val="00D267AB"/>
    <w:rsid w:val="00D277A9"/>
    <w:rsid w:val="00D323E4"/>
    <w:rsid w:val="00D413DC"/>
    <w:rsid w:val="00D41FA8"/>
    <w:rsid w:val="00D420F3"/>
    <w:rsid w:val="00D42A99"/>
    <w:rsid w:val="00D461EE"/>
    <w:rsid w:val="00D46CDB"/>
    <w:rsid w:val="00D57E19"/>
    <w:rsid w:val="00D61C2F"/>
    <w:rsid w:val="00D62AE1"/>
    <w:rsid w:val="00D67739"/>
    <w:rsid w:val="00D67D33"/>
    <w:rsid w:val="00D77550"/>
    <w:rsid w:val="00D80098"/>
    <w:rsid w:val="00D80EC9"/>
    <w:rsid w:val="00D82287"/>
    <w:rsid w:val="00D8527F"/>
    <w:rsid w:val="00D8590D"/>
    <w:rsid w:val="00D86A75"/>
    <w:rsid w:val="00D90584"/>
    <w:rsid w:val="00D92B61"/>
    <w:rsid w:val="00D97B86"/>
    <w:rsid w:val="00DA1A6E"/>
    <w:rsid w:val="00DA56D4"/>
    <w:rsid w:val="00DB35E4"/>
    <w:rsid w:val="00DC34C9"/>
    <w:rsid w:val="00DC4E33"/>
    <w:rsid w:val="00DC605B"/>
    <w:rsid w:val="00DC6A7C"/>
    <w:rsid w:val="00DC6EFA"/>
    <w:rsid w:val="00DD0DFA"/>
    <w:rsid w:val="00DD2B74"/>
    <w:rsid w:val="00DE5887"/>
    <w:rsid w:val="00DF2C2B"/>
    <w:rsid w:val="00DF39B8"/>
    <w:rsid w:val="00DF60A0"/>
    <w:rsid w:val="00DF6904"/>
    <w:rsid w:val="00DF738C"/>
    <w:rsid w:val="00DF79B0"/>
    <w:rsid w:val="00E02F9B"/>
    <w:rsid w:val="00E03D09"/>
    <w:rsid w:val="00E04F5E"/>
    <w:rsid w:val="00E14A03"/>
    <w:rsid w:val="00E14C3D"/>
    <w:rsid w:val="00E1585D"/>
    <w:rsid w:val="00E209E9"/>
    <w:rsid w:val="00E2140B"/>
    <w:rsid w:val="00E21CEF"/>
    <w:rsid w:val="00E24CBC"/>
    <w:rsid w:val="00E2586E"/>
    <w:rsid w:val="00E259BF"/>
    <w:rsid w:val="00E32C4E"/>
    <w:rsid w:val="00E32DB0"/>
    <w:rsid w:val="00E36C3E"/>
    <w:rsid w:val="00E370B3"/>
    <w:rsid w:val="00E40244"/>
    <w:rsid w:val="00E435D8"/>
    <w:rsid w:val="00E43A39"/>
    <w:rsid w:val="00E441BA"/>
    <w:rsid w:val="00E47493"/>
    <w:rsid w:val="00E500DC"/>
    <w:rsid w:val="00E5165C"/>
    <w:rsid w:val="00E53607"/>
    <w:rsid w:val="00E537B8"/>
    <w:rsid w:val="00E563B9"/>
    <w:rsid w:val="00E57CC5"/>
    <w:rsid w:val="00E6161B"/>
    <w:rsid w:val="00E63136"/>
    <w:rsid w:val="00E66DCB"/>
    <w:rsid w:val="00E677C1"/>
    <w:rsid w:val="00E70681"/>
    <w:rsid w:val="00E712C7"/>
    <w:rsid w:val="00E717A2"/>
    <w:rsid w:val="00E71B1E"/>
    <w:rsid w:val="00E71C92"/>
    <w:rsid w:val="00E727A6"/>
    <w:rsid w:val="00E73361"/>
    <w:rsid w:val="00E74066"/>
    <w:rsid w:val="00E77AF0"/>
    <w:rsid w:val="00E831F3"/>
    <w:rsid w:val="00E83366"/>
    <w:rsid w:val="00E86C32"/>
    <w:rsid w:val="00E86EE2"/>
    <w:rsid w:val="00E87134"/>
    <w:rsid w:val="00E90B97"/>
    <w:rsid w:val="00E95984"/>
    <w:rsid w:val="00E96EAA"/>
    <w:rsid w:val="00EA331C"/>
    <w:rsid w:val="00EA672D"/>
    <w:rsid w:val="00EA6CC9"/>
    <w:rsid w:val="00EB3860"/>
    <w:rsid w:val="00EB3F9B"/>
    <w:rsid w:val="00EB48B8"/>
    <w:rsid w:val="00EB5376"/>
    <w:rsid w:val="00EB626F"/>
    <w:rsid w:val="00EB6D85"/>
    <w:rsid w:val="00EB6FDD"/>
    <w:rsid w:val="00EC434B"/>
    <w:rsid w:val="00EC5D88"/>
    <w:rsid w:val="00ED097F"/>
    <w:rsid w:val="00ED1E59"/>
    <w:rsid w:val="00ED3C28"/>
    <w:rsid w:val="00ED3E68"/>
    <w:rsid w:val="00ED412F"/>
    <w:rsid w:val="00EE06AB"/>
    <w:rsid w:val="00EE57D9"/>
    <w:rsid w:val="00EF3E63"/>
    <w:rsid w:val="00EF432D"/>
    <w:rsid w:val="00EF7AD7"/>
    <w:rsid w:val="00F00618"/>
    <w:rsid w:val="00F043FA"/>
    <w:rsid w:val="00F04465"/>
    <w:rsid w:val="00F11D8F"/>
    <w:rsid w:val="00F1530B"/>
    <w:rsid w:val="00F1645C"/>
    <w:rsid w:val="00F25A43"/>
    <w:rsid w:val="00F25F5F"/>
    <w:rsid w:val="00F2668D"/>
    <w:rsid w:val="00F26AA8"/>
    <w:rsid w:val="00F26E0B"/>
    <w:rsid w:val="00F27C5D"/>
    <w:rsid w:val="00F305FF"/>
    <w:rsid w:val="00F31FD2"/>
    <w:rsid w:val="00F3324F"/>
    <w:rsid w:val="00F34100"/>
    <w:rsid w:val="00F347C3"/>
    <w:rsid w:val="00F3520C"/>
    <w:rsid w:val="00F5360F"/>
    <w:rsid w:val="00F5482A"/>
    <w:rsid w:val="00F60762"/>
    <w:rsid w:val="00F628E4"/>
    <w:rsid w:val="00F62A37"/>
    <w:rsid w:val="00F634D7"/>
    <w:rsid w:val="00F67744"/>
    <w:rsid w:val="00F7140E"/>
    <w:rsid w:val="00F7198F"/>
    <w:rsid w:val="00F741D8"/>
    <w:rsid w:val="00F841CC"/>
    <w:rsid w:val="00F87076"/>
    <w:rsid w:val="00F904F1"/>
    <w:rsid w:val="00FA1397"/>
    <w:rsid w:val="00FA346F"/>
    <w:rsid w:val="00FA4F8F"/>
    <w:rsid w:val="00FA51AA"/>
    <w:rsid w:val="00FB1020"/>
    <w:rsid w:val="00FB625D"/>
    <w:rsid w:val="00FC040B"/>
    <w:rsid w:val="00FC202D"/>
    <w:rsid w:val="00FC3DB7"/>
    <w:rsid w:val="00FC4837"/>
    <w:rsid w:val="00FC585F"/>
    <w:rsid w:val="00FC623D"/>
    <w:rsid w:val="00FC7D61"/>
    <w:rsid w:val="00FD051F"/>
    <w:rsid w:val="00FD12C1"/>
    <w:rsid w:val="00FD130B"/>
    <w:rsid w:val="00FE0373"/>
    <w:rsid w:val="00FE2B6E"/>
    <w:rsid w:val="00FE3424"/>
    <w:rsid w:val="00FE38E2"/>
    <w:rsid w:val="00FE56A3"/>
    <w:rsid w:val="00FE58C1"/>
    <w:rsid w:val="00FE6B88"/>
    <w:rsid w:val="00FF5EF3"/>
    <w:rsid w:val="00FF78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FF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5B12FD"/>
    <w:rPr>
      <w:sz w:val="24"/>
      <w:szCs w:val="24"/>
    </w:rPr>
  </w:style>
  <w:style w:type="paragraph" w:styleId="Nagwek1">
    <w:name w:val="heading 1"/>
    <w:basedOn w:val="Normalny"/>
    <w:next w:val="Normalny"/>
    <w:link w:val="Nagwek1Znak"/>
    <w:uiPriority w:val="98"/>
    <w:semiHidden/>
    <w:rsid w:val="005B12F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5B12F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5B12FD"/>
    <w:pPr>
      <w:spacing w:before="200" w:line="271" w:lineRule="auto"/>
      <w:outlineLvl w:val="2"/>
    </w:pPr>
    <w:rPr>
      <w:rFonts w:asciiTheme="majorHAnsi" w:eastAsiaTheme="majorEastAsia" w:hAnsiTheme="majorHAnsi" w:cstheme="majorBidi"/>
      <w:b/>
      <w:bCs/>
      <w:color w:val="5F5F5F"/>
      <w:sz w:val="22"/>
    </w:rPr>
  </w:style>
  <w:style w:type="paragraph" w:styleId="Nagwek4">
    <w:name w:val="heading 4"/>
    <w:basedOn w:val="Normalny"/>
    <w:next w:val="Normalny"/>
    <w:link w:val="Nagwek4Znak"/>
    <w:uiPriority w:val="98"/>
    <w:semiHidden/>
    <w:rsid w:val="005B12FD"/>
    <w:pPr>
      <w:spacing w:before="200"/>
      <w:outlineLvl w:val="3"/>
    </w:pPr>
    <w:rPr>
      <w:rFonts w:asciiTheme="majorHAnsi" w:eastAsiaTheme="majorEastAsia" w:hAnsiTheme="majorHAnsi" w:cstheme="majorBidi"/>
      <w:b/>
      <w:bCs/>
      <w:i/>
      <w:iCs/>
      <w:color w:val="777777"/>
      <w:sz w:val="22"/>
    </w:rPr>
  </w:style>
  <w:style w:type="paragraph" w:styleId="Nagwek5">
    <w:name w:val="heading 5"/>
    <w:basedOn w:val="Normalny"/>
    <w:next w:val="Normalny"/>
    <w:link w:val="Nagwek5Znak"/>
    <w:uiPriority w:val="98"/>
    <w:semiHidden/>
    <w:qFormat/>
    <w:rsid w:val="005B12F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8"/>
    <w:semiHidden/>
    <w:rsid w:val="005B12FD"/>
    <w:pPr>
      <w:spacing w:line="271" w:lineRule="auto"/>
      <w:outlineLvl w:val="5"/>
    </w:pPr>
    <w:rPr>
      <w:rFonts w:asciiTheme="majorHAnsi" w:eastAsiaTheme="majorEastAsia" w:hAnsiTheme="majorHAnsi" w:cstheme="majorBidi"/>
      <w:b/>
      <w:bCs/>
      <w:i/>
      <w:iCs/>
      <w:color w:val="7F7F7F" w:themeColor="text1" w:themeTint="80"/>
      <w:sz w:val="22"/>
      <w:lang w:bidi="en-US"/>
    </w:rPr>
  </w:style>
  <w:style w:type="paragraph" w:styleId="Nagwek7">
    <w:name w:val="heading 7"/>
    <w:basedOn w:val="Normalny"/>
    <w:next w:val="Normalny"/>
    <w:link w:val="Nagwek7Znak"/>
    <w:uiPriority w:val="98"/>
    <w:semiHidden/>
    <w:qFormat/>
    <w:rsid w:val="005B12F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8"/>
    <w:semiHidden/>
    <w:qFormat/>
    <w:rsid w:val="005B12F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5B12F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B12FD"/>
    <w:rPr>
      <w:rFonts w:ascii="Tahoma" w:hAnsi="Tahoma" w:cs="Tahoma"/>
      <w:sz w:val="16"/>
      <w:szCs w:val="16"/>
    </w:rPr>
  </w:style>
  <w:style w:type="character" w:customStyle="1" w:styleId="TekstdymkaZnak">
    <w:name w:val="Tekst dymka Znak"/>
    <w:basedOn w:val="Domylnaczcionkaakapitu"/>
    <w:link w:val="Tekstdymka"/>
    <w:uiPriority w:val="98"/>
    <w:semiHidden/>
    <w:rsid w:val="005B12FD"/>
    <w:rPr>
      <w:rFonts w:ascii="Tahoma" w:hAnsi="Tahoma" w:cs="Tahoma"/>
      <w:sz w:val="16"/>
      <w:szCs w:val="16"/>
      <w:lang w:val="pl-PL"/>
    </w:rPr>
  </w:style>
  <w:style w:type="character" w:styleId="Tytuksiki">
    <w:name w:val="Book Title"/>
    <w:uiPriority w:val="98"/>
    <w:semiHidden/>
    <w:qFormat/>
    <w:rsid w:val="005B12FD"/>
    <w:rPr>
      <w:i/>
      <w:iCs/>
      <w:smallCaps/>
      <w:spacing w:val="5"/>
    </w:rPr>
  </w:style>
  <w:style w:type="paragraph" w:customStyle="1" w:styleId="JuHeader">
    <w:name w:val="Ju_Header"/>
    <w:aliases w:val="_Header"/>
    <w:basedOn w:val="Nagwek"/>
    <w:uiPriority w:val="29"/>
    <w:qFormat/>
    <w:rsid w:val="005B12FD"/>
    <w:pPr>
      <w:tabs>
        <w:tab w:val="clear" w:pos="4536"/>
        <w:tab w:val="clear" w:pos="9072"/>
      </w:tabs>
      <w:jc w:val="center"/>
    </w:pPr>
    <w:rPr>
      <w:sz w:val="18"/>
    </w:rPr>
  </w:style>
  <w:style w:type="paragraph" w:customStyle="1" w:styleId="ECHRFooter">
    <w:name w:val="ECHR_Footer"/>
    <w:aliases w:val="_Footer"/>
    <w:basedOn w:val="Stopka"/>
    <w:uiPriority w:val="30"/>
    <w:semiHidden/>
    <w:rsid w:val="005B12FD"/>
    <w:rPr>
      <w:sz w:val="8"/>
    </w:rPr>
  </w:style>
  <w:style w:type="character" w:styleId="Pogrubienie">
    <w:name w:val="Strong"/>
    <w:uiPriority w:val="98"/>
    <w:semiHidden/>
    <w:qFormat/>
    <w:rsid w:val="005B12FD"/>
    <w:rPr>
      <w:b/>
      <w:bCs/>
    </w:rPr>
  </w:style>
  <w:style w:type="paragraph" w:styleId="Bezodstpw">
    <w:name w:val="No Spacing"/>
    <w:basedOn w:val="Normalny"/>
    <w:link w:val="BezodstpwZnak"/>
    <w:uiPriority w:val="98"/>
    <w:semiHidden/>
    <w:qFormat/>
    <w:rsid w:val="005B12FD"/>
  </w:style>
  <w:style w:type="character" w:customStyle="1" w:styleId="BezodstpwZnak">
    <w:name w:val="Bez odstępów Znak"/>
    <w:basedOn w:val="Domylnaczcionkaakapitu"/>
    <w:link w:val="Bezodstpw"/>
    <w:uiPriority w:val="98"/>
    <w:semiHidden/>
    <w:rsid w:val="005B12FD"/>
    <w:rPr>
      <w:sz w:val="24"/>
      <w:szCs w:val="24"/>
      <w:lang w:val="pl-PL"/>
    </w:rPr>
  </w:style>
  <w:style w:type="paragraph" w:customStyle="1" w:styleId="ECHRFooterLine">
    <w:name w:val="ECHR_Footer_Line"/>
    <w:aliases w:val="_Footer_Line"/>
    <w:basedOn w:val="Normalny"/>
    <w:next w:val="ECHRFooter"/>
    <w:uiPriority w:val="30"/>
    <w:semiHidden/>
    <w:rsid w:val="005B12FD"/>
    <w:pPr>
      <w:pBdr>
        <w:top w:val="single" w:sz="6" w:space="1" w:color="5F5F5F"/>
      </w:pBdr>
      <w:tabs>
        <w:tab w:val="center" w:pos="3686"/>
        <w:tab w:val="right" w:pos="7371"/>
      </w:tabs>
      <w:ind w:left="-1474" w:right="-1474"/>
    </w:pPr>
    <w:rPr>
      <w:color w:val="5F5F5F"/>
    </w:rPr>
  </w:style>
  <w:style w:type="paragraph" w:customStyle="1" w:styleId="DecHTitle">
    <w:name w:val="Dec_H_Title"/>
    <w:basedOn w:val="ECHRTitleCentre1"/>
    <w:uiPriority w:val="7"/>
    <w:semiHidden/>
    <w:qFormat/>
    <w:rsid w:val="00670865"/>
  </w:style>
  <w:style w:type="paragraph" w:customStyle="1" w:styleId="DecList">
    <w:name w:val="Dec_List"/>
    <w:aliases w:val="_List"/>
    <w:basedOn w:val="Normalny"/>
    <w:uiPriority w:val="22"/>
    <w:rsid w:val="005B12FD"/>
    <w:pPr>
      <w:spacing w:before="280" w:after="60"/>
      <w:ind w:left="284"/>
    </w:pPr>
  </w:style>
  <w:style w:type="paragraph" w:customStyle="1" w:styleId="ECHRBullet1">
    <w:name w:val="ECHR_Bullet_1"/>
    <w:aliases w:val="_Bul_1"/>
    <w:basedOn w:val="Normalny"/>
    <w:uiPriority w:val="23"/>
    <w:semiHidden/>
    <w:qFormat/>
    <w:rsid w:val="005B12FD"/>
    <w:pPr>
      <w:numPr>
        <w:numId w:val="6"/>
      </w:numPr>
      <w:spacing w:before="60" w:after="60"/>
    </w:pPr>
  </w:style>
  <w:style w:type="paragraph" w:customStyle="1" w:styleId="ECHRTitleCentre3">
    <w:name w:val="ECHR_Title_Centre_3"/>
    <w:aliases w:val="_Title_C_3"/>
    <w:basedOn w:val="Normalny"/>
    <w:next w:val="Normalny"/>
    <w:uiPriority w:val="26"/>
    <w:qFormat/>
    <w:rsid w:val="005B12FD"/>
    <w:pPr>
      <w:keepNext/>
      <w:keepLines/>
      <w:spacing w:before="240"/>
      <w:contextualSpacing/>
      <w:jc w:val="center"/>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5B12FD"/>
    <w:pPr>
      <w:keepNext/>
      <w:keepLines/>
      <w:spacing w:before="240"/>
      <w:contextualSpacing/>
      <w:jc w:val="center"/>
    </w:pPr>
    <w:rPr>
      <w:rFonts w:asciiTheme="majorHAnsi" w:hAnsiTheme="majorHAnsi"/>
      <w:b/>
      <w:color w:val="2F2F2F" w:themeColor="accent3" w:themeShade="80"/>
      <w:sz w:val="32"/>
    </w:rPr>
  </w:style>
  <w:style w:type="paragraph" w:customStyle="1" w:styleId="JuAppQuestion">
    <w:name w:val="Ju_App_Question"/>
    <w:basedOn w:val="Normalny"/>
    <w:uiPriority w:val="5"/>
    <w:semiHidden/>
    <w:qFormat/>
    <w:rsid w:val="00670865"/>
    <w:pPr>
      <w:numPr>
        <w:numId w:val="1"/>
      </w:numPr>
    </w:pPr>
    <w:rPr>
      <w:b/>
    </w:rPr>
  </w:style>
  <w:style w:type="paragraph" w:customStyle="1" w:styleId="JuCourt">
    <w:name w:val="Ju_Court"/>
    <w:aliases w:val="_Court_Names"/>
    <w:basedOn w:val="Normalny"/>
    <w:next w:val="Normalny"/>
    <w:uiPriority w:val="32"/>
    <w:qFormat/>
    <w:rsid w:val="005B12FD"/>
    <w:pPr>
      <w:tabs>
        <w:tab w:val="left" w:pos="907"/>
        <w:tab w:val="left" w:pos="1701"/>
        <w:tab w:val="right" w:pos="7371"/>
      </w:tabs>
      <w:spacing w:before="240"/>
      <w:ind w:left="397" w:hanging="397"/>
    </w:pPr>
    <w:rPr>
      <w:lang w:bidi="en-US"/>
    </w:rPr>
  </w:style>
  <w:style w:type="paragraph" w:customStyle="1" w:styleId="JuHeaderLandscape">
    <w:name w:val="Ju_Header_Landscape"/>
    <w:basedOn w:val="JuHeader"/>
    <w:uiPriority w:val="4"/>
    <w:qFormat/>
    <w:rsid w:val="00670865"/>
    <w:pPr>
      <w:tabs>
        <w:tab w:val="center" w:pos="6146"/>
        <w:tab w:val="right" w:pos="12293"/>
      </w:tabs>
    </w:pPr>
  </w:style>
  <w:style w:type="paragraph" w:customStyle="1" w:styleId="DecHCase">
    <w:name w:val="Dec_H_Case"/>
    <w:aliases w:val="_Title_3"/>
    <w:basedOn w:val="JuPara"/>
    <w:next w:val="JuPara"/>
    <w:uiPriority w:val="38"/>
    <w:qFormat/>
    <w:rsid w:val="005B12FD"/>
    <w:pPr>
      <w:keepNext/>
      <w:keepLines/>
      <w:spacing w:after="280"/>
      <w:ind w:firstLine="0"/>
      <w:jc w:val="center"/>
    </w:pPr>
    <w:rPr>
      <w:rFonts w:asciiTheme="majorHAnsi" w:hAnsiTheme="majorHAnsi"/>
    </w:rPr>
  </w:style>
  <w:style w:type="paragraph" w:customStyle="1" w:styleId="JuInitialled">
    <w:name w:val="Ju_Initialled"/>
    <w:aliases w:val="_Right"/>
    <w:basedOn w:val="Normalny"/>
    <w:uiPriority w:val="30"/>
    <w:qFormat/>
    <w:rsid w:val="005B12FD"/>
    <w:pPr>
      <w:tabs>
        <w:tab w:val="center" w:pos="6407"/>
      </w:tabs>
      <w:spacing w:before="720"/>
      <w:jc w:val="right"/>
    </w:pPr>
  </w:style>
  <w:style w:type="paragraph" w:styleId="Tytu">
    <w:name w:val="Title"/>
    <w:basedOn w:val="Normalny"/>
    <w:next w:val="Normalny"/>
    <w:link w:val="TytuZnak"/>
    <w:uiPriority w:val="98"/>
    <w:semiHidden/>
    <w:qFormat/>
    <w:rsid w:val="005B12F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5B12FD"/>
    <w:rPr>
      <w:rFonts w:asciiTheme="majorHAnsi" w:eastAsiaTheme="majorEastAsia" w:hAnsiTheme="majorHAnsi" w:cstheme="majorBidi"/>
      <w:spacing w:val="5"/>
      <w:sz w:val="52"/>
      <w:szCs w:val="52"/>
      <w:lang w:val="pl-PL" w:bidi="en-US"/>
    </w:rPr>
  </w:style>
  <w:style w:type="paragraph" w:customStyle="1" w:styleId="JuH1">
    <w:name w:val="Ju_H_1."/>
    <w:aliases w:val="_Head_4"/>
    <w:basedOn w:val="Nagwek4"/>
    <w:next w:val="Normalny"/>
    <w:uiPriority w:val="17"/>
    <w:rsid w:val="005B12FD"/>
    <w:pPr>
      <w:keepNext/>
      <w:keepLines/>
      <w:numPr>
        <w:ilvl w:val="3"/>
        <w:numId w:val="2"/>
      </w:numPr>
      <w:spacing w:before="100" w:beforeAutospacing="1" w:after="120"/>
    </w:pPr>
    <w:rPr>
      <w:b w:val="0"/>
      <w:color w:val="auto"/>
    </w:rPr>
  </w:style>
  <w:style w:type="paragraph" w:customStyle="1" w:styleId="JuHa0">
    <w:name w:val="Ju_H_a"/>
    <w:aliases w:val="_Head_5"/>
    <w:basedOn w:val="Nagwek5"/>
    <w:next w:val="Normalny"/>
    <w:uiPriority w:val="17"/>
    <w:rsid w:val="005B12FD"/>
    <w:pPr>
      <w:keepNext/>
      <w:keepLines/>
      <w:numPr>
        <w:ilvl w:val="4"/>
        <w:numId w:val="2"/>
      </w:numPr>
      <w:spacing w:before="100" w:beforeAutospacing="1" w:after="120"/>
    </w:pPr>
    <w:rPr>
      <w:color w:val="auto"/>
      <w:sz w:val="20"/>
    </w:rPr>
  </w:style>
  <w:style w:type="paragraph" w:customStyle="1" w:styleId="JuHi">
    <w:name w:val="Ju_H_i"/>
    <w:aliases w:val="_Head_6"/>
    <w:basedOn w:val="Nagwek6"/>
    <w:next w:val="Normalny"/>
    <w:uiPriority w:val="17"/>
    <w:rsid w:val="005B12FD"/>
    <w:pPr>
      <w:keepNext/>
      <w:keepLines/>
      <w:numPr>
        <w:ilvl w:val="5"/>
        <w:numId w:val="2"/>
      </w:numPr>
      <w:tabs>
        <w:tab w:val="left" w:pos="1077"/>
        <w:tab w:val="left" w:pos="1134"/>
        <w:tab w:val="left" w:pos="1191"/>
        <w:tab w:val="left" w:pos="1247"/>
      </w:tabs>
      <w:spacing w:before="100" w:beforeAutospacing="1" w:after="120"/>
    </w:pPr>
    <w:rPr>
      <w:b w:val="0"/>
      <w:color w:val="auto"/>
      <w:sz w:val="20"/>
    </w:rPr>
  </w:style>
  <w:style w:type="paragraph" w:customStyle="1" w:styleId="JuHalpha">
    <w:name w:val="Ju_H_alpha"/>
    <w:aliases w:val="_Head_7"/>
    <w:basedOn w:val="Nagwek7"/>
    <w:next w:val="Normalny"/>
    <w:uiPriority w:val="17"/>
    <w:rsid w:val="005B12FD"/>
    <w:pPr>
      <w:keepNext/>
      <w:keepLines/>
      <w:numPr>
        <w:ilvl w:val="6"/>
        <w:numId w:val="2"/>
      </w:numPr>
      <w:tabs>
        <w:tab w:val="left" w:pos="1361"/>
      </w:tabs>
      <w:spacing w:before="100" w:beforeAutospacing="1" w:after="120"/>
    </w:pPr>
    <w:rPr>
      <w:i w:val="0"/>
      <w:sz w:val="20"/>
    </w:rPr>
  </w:style>
  <w:style w:type="paragraph" w:customStyle="1" w:styleId="JuH">
    <w:name w:val="Ju_H_–"/>
    <w:aliases w:val="_Head_8"/>
    <w:basedOn w:val="Nagwek8"/>
    <w:next w:val="Normalny"/>
    <w:uiPriority w:val="17"/>
    <w:rsid w:val="005B12FD"/>
    <w:pPr>
      <w:keepNext/>
      <w:keepLines/>
      <w:numPr>
        <w:ilvl w:val="7"/>
        <w:numId w:val="2"/>
      </w:numPr>
      <w:spacing w:before="100" w:beforeAutospacing="1" w:after="120"/>
    </w:pPr>
    <w:rPr>
      <w:i/>
    </w:rPr>
  </w:style>
  <w:style w:type="paragraph" w:customStyle="1" w:styleId="JuQuotSub">
    <w:name w:val="Ju_Quot_Sub"/>
    <w:basedOn w:val="JuQuot"/>
    <w:uiPriority w:val="15"/>
    <w:qFormat/>
    <w:rsid w:val="00670865"/>
    <w:pPr>
      <w:ind w:left="567"/>
    </w:pPr>
  </w:style>
  <w:style w:type="paragraph" w:customStyle="1" w:styleId="JuListi">
    <w:name w:val="Ju_List_i"/>
    <w:aliases w:val="_List_3"/>
    <w:basedOn w:val="Normalny"/>
    <w:uiPriority w:val="23"/>
    <w:rsid w:val="005B12FD"/>
    <w:pPr>
      <w:numPr>
        <w:ilvl w:val="2"/>
        <w:numId w:val="7"/>
      </w:numPr>
    </w:pPr>
  </w:style>
  <w:style w:type="character" w:customStyle="1" w:styleId="JUNAMES">
    <w:name w:val="JU_NAMES"/>
    <w:aliases w:val="_Ju_Names"/>
    <w:uiPriority w:val="33"/>
    <w:qFormat/>
    <w:rsid w:val="005B12FD"/>
    <w:rPr>
      <w:caps w:val="0"/>
      <w:smallCaps/>
    </w:rPr>
  </w:style>
  <w:style w:type="paragraph" w:styleId="Nagwek">
    <w:name w:val="header"/>
    <w:basedOn w:val="Normalny"/>
    <w:link w:val="NagwekZnak"/>
    <w:uiPriority w:val="98"/>
    <w:semiHidden/>
    <w:rsid w:val="005B12FD"/>
    <w:pPr>
      <w:tabs>
        <w:tab w:val="center" w:pos="4536"/>
        <w:tab w:val="right" w:pos="9072"/>
      </w:tabs>
    </w:pPr>
  </w:style>
  <w:style w:type="character" w:customStyle="1" w:styleId="NagwekZnak">
    <w:name w:val="Nagłówek Znak"/>
    <w:basedOn w:val="Domylnaczcionkaakapitu"/>
    <w:link w:val="Nagwek"/>
    <w:uiPriority w:val="98"/>
    <w:semiHidden/>
    <w:rsid w:val="005B12FD"/>
    <w:rPr>
      <w:sz w:val="24"/>
      <w:szCs w:val="24"/>
      <w:lang w:val="pl-PL"/>
    </w:rPr>
  </w:style>
  <w:style w:type="character" w:customStyle="1" w:styleId="Nagwek1Znak">
    <w:name w:val="Nagłówek 1 Znak"/>
    <w:basedOn w:val="Domylnaczcionkaakapitu"/>
    <w:link w:val="Nagwek1"/>
    <w:uiPriority w:val="98"/>
    <w:semiHidden/>
    <w:rsid w:val="005B12FD"/>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agwek2"/>
    <w:next w:val="Normalny"/>
    <w:uiPriority w:val="17"/>
    <w:qFormat/>
    <w:rsid w:val="005B12FD"/>
    <w:pPr>
      <w:keepNext/>
      <w:keepLines/>
      <w:numPr>
        <w:ilvl w:val="1"/>
        <w:numId w:val="2"/>
      </w:numPr>
      <w:tabs>
        <w:tab w:val="left" w:pos="454"/>
        <w:tab w:val="left" w:pos="567"/>
        <w:tab w:val="left" w:pos="680"/>
      </w:tabs>
      <w:spacing w:before="100" w:beforeAutospacing="1" w:after="240"/>
    </w:pPr>
    <w:rPr>
      <w:b w:val="0"/>
      <w:caps/>
      <w:color w:val="auto"/>
      <w:sz w:val="24"/>
    </w:rPr>
  </w:style>
  <w:style w:type="paragraph" w:customStyle="1" w:styleId="JuHA">
    <w:name w:val="Ju_H_A"/>
    <w:aliases w:val="_Head_3"/>
    <w:basedOn w:val="Nagwek3"/>
    <w:next w:val="Normalny"/>
    <w:link w:val="JuHAChar"/>
    <w:uiPriority w:val="17"/>
    <w:qFormat/>
    <w:rsid w:val="005B12FD"/>
    <w:pPr>
      <w:keepNext/>
      <w:keepLines/>
      <w:numPr>
        <w:ilvl w:val="2"/>
        <w:numId w:val="2"/>
      </w:numPr>
      <w:spacing w:before="100" w:beforeAutospacing="1" w:after="240" w:line="240" w:lineRule="auto"/>
    </w:pPr>
    <w:rPr>
      <w:color w:val="auto"/>
    </w:rPr>
  </w:style>
  <w:style w:type="character" w:customStyle="1" w:styleId="Nagwek2Znak">
    <w:name w:val="Nagłówek 2 Znak"/>
    <w:basedOn w:val="Domylnaczcionkaakapitu"/>
    <w:link w:val="Nagwek2"/>
    <w:uiPriority w:val="98"/>
    <w:semiHidden/>
    <w:rsid w:val="005B12FD"/>
    <w:rPr>
      <w:rFonts w:asciiTheme="majorHAnsi" w:eastAsiaTheme="majorEastAsia" w:hAnsiTheme="majorHAnsi" w:cstheme="majorBidi"/>
      <w:b/>
      <w:bCs/>
      <w:color w:val="4D4D4D"/>
      <w:sz w:val="26"/>
      <w:szCs w:val="26"/>
      <w:lang w:val="pl-PL"/>
    </w:rPr>
  </w:style>
  <w:style w:type="paragraph" w:customStyle="1" w:styleId="JuParaSub">
    <w:name w:val="Ju_Para_Sub"/>
    <w:basedOn w:val="JuPara"/>
    <w:uiPriority w:val="13"/>
    <w:qFormat/>
    <w:rsid w:val="00670865"/>
    <w:pPr>
      <w:ind w:left="284"/>
    </w:pPr>
  </w:style>
  <w:style w:type="paragraph" w:customStyle="1" w:styleId="JuCase">
    <w:name w:val="Ju_Case"/>
    <w:aliases w:val="_Case_Name"/>
    <w:basedOn w:val="Normalny"/>
    <w:next w:val="Normalny"/>
    <w:uiPriority w:val="32"/>
    <w:rsid w:val="005B12FD"/>
    <w:pPr>
      <w:ind w:firstLine="284"/>
    </w:pPr>
    <w:rPr>
      <w:b/>
    </w:rPr>
  </w:style>
  <w:style w:type="character" w:customStyle="1" w:styleId="Nagwek3Znak">
    <w:name w:val="Nagłówek 3 Znak"/>
    <w:basedOn w:val="Domylnaczcionkaakapitu"/>
    <w:link w:val="Nagwek3"/>
    <w:uiPriority w:val="98"/>
    <w:semiHidden/>
    <w:rsid w:val="005B12FD"/>
    <w:rPr>
      <w:rFonts w:asciiTheme="majorHAnsi" w:eastAsiaTheme="majorEastAsia" w:hAnsiTheme="majorHAnsi" w:cstheme="majorBidi"/>
      <w:b/>
      <w:bCs/>
      <w:color w:val="5F5F5F"/>
      <w:lang w:val="pl-PL"/>
    </w:rPr>
  </w:style>
  <w:style w:type="character" w:customStyle="1" w:styleId="Nagwek4Znak">
    <w:name w:val="Nagłówek 4 Znak"/>
    <w:basedOn w:val="Domylnaczcionkaakapitu"/>
    <w:link w:val="Nagwek4"/>
    <w:uiPriority w:val="98"/>
    <w:semiHidden/>
    <w:rsid w:val="005B12FD"/>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5B12FD"/>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5B12FD"/>
    <w:rPr>
      <w:i/>
      <w:iCs/>
    </w:rPr>
  </w:style>
  <w:style w:type="table" w:customStyle="1" w:styleId="ECHRTable">
    <w:name w:val="ECHR_Table"/>
    <w:basedOn w:val="Standardowy"/>
    <w:rsid w:val="005B12FD"/>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B12FD"/>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Normalny"/>
    <w:uiPriority w:val="17"/>
    <w:qFormat/>
    <w:rsid w:val="005B12FD"/>
    <w:pPr>
      <w:keepNext/>
      <w:keepLines/>
      <w:numPr>
        <w:numId w:val="2"/>
      </w:numPr>
      <w:spacing w:before="100" w:beforeAutospacing="1" w:after="240"/>
      <w:contextualSpacing w:val="0"/>
    </w:pPr>
    <w:rPr>
      <w:b w:val="0"/>
      <w:caps/>
      <w:color w:val="auto"/>
    </w:rPr>
  </w:style>
  <w:style w:type="character" w:styleId="Uwydatnienie">
    <w:name w:val="Emphasis"/>
    <w:uiPriority w:val="98"/>
    <w:semiHidden/>
    <w:qFormat/>
    <w:rsid w:val="005B12FD"/>
    <w:rPr>
      <w:b/>
      <w:bCs/>
      <w:i/>
      <w:iCs/>
      <w:spacing w:val="10"/>
      <w:bdr w:val="none" w:sz="0" w:space="0" w:color="auto"/>
      <w:shd w:val="clear" w:color="auto" w:fill="auto"/>
    </w:rPr>
  </w:style>
  <w:style w:type="paragraph" w:styleId="Stopka">
    <w:name w:val="footer"/>
    <w:basedOn w:val="Normalny"/>
    <w:link w:val="StopkaZnak"/>
    <w:uiPriority w:val="98"/>
    <w:semiHidden/>
    <w:rsid w:val="005B12FD"/>
    <w:pPr>
      <w:tabs>
        <w:tab w:val="center" w:pos="3686"/>
        <w:tab w:val="right" w:pos="7371"/>
      </w:tabs>
    </w:pPr>
  </w:style>
  <w:style w:type="character" w:customStyle="1" w:styleId="StopkaZnak">
    <w:name w:val="Stopka Znak"/>
    <w:basedOn w:val="Domylnaczcionkaakapitu"/>
    <w:link w:val="Stopka"/>
    <w:uiPriority w:val="98"/>
    <w:rsid w:val="005B12FD"/>
    <w:rPr>
      <w:sz w:val="24"/>
      <w:szCs w:val="24"/>
      <w:lang w:val="pl-PL"/>
    </w:rPr>
  </w:style>
  <w:style w:type="character" w:styleId="Odwoanieprzypisudolnego">
    <w:name w:val="footnote reference"/>
    <w:basedOn w:val="Domylnaczcionkaakapitu"/>
    <w:uiPriority w:val="98"/>
    <w:semiHidden/>
    <w:rsid w:val="005B12FD"/>
    <w:rPr>
      <w:vertAlign w:val="superscript"/>
    </w:rPr>
  </w:style>
  <w:style w:type="paragraph" w:styleId="Tekstprzypisudolnego">
    <w:name w:val="footnote text"/>
    <w:basedOn w:val="Normalny"/>
    <w:link w:val="TekstprzypisudolnegoZnak"/>
    <w:uiPriority w:val="98"/>
    <w:semiHidden/>
    <w:rsid w:val="005B12FD"/>
    <w:rPr>
      <w:sz w:val="20"/>
      <w:szCs w:val="20"/>
    </w:rPr>
  </w:style>
  <w:style w:type="character" w:customStyle="1" w:styleId="TekstprzypisudolnegoZnak">
    <w:name w:val="Tekst przypisu dolnego Znak"/>
    <w:basedOn w:val="Domylnaczcionkaakapitu"/>
    <w:link w:val="Tekstprzypisudolnego"/>
    <w:uiPriority w:val="98"/>
    <w:semiHidden/>
    <w:rsid w:val="005B12FD"/>
    <w:rPr>
      <w:sz w:val="20"/>
      <w:szCs w:val="20"/>
      <w:lang w:val="pl-PL"/>
    </w:rPr>
  </w:style>
  <w:style w:type="character" w:customStyle="1" w:styleId="Nagwek6Znak">
    <w:name w:val="Nagłówek 6 Znak"/>
    <w:basedOn w:val="Domylnaczcionkaakapitu"/>
    <w:link w:val="Nagwek6"/>
    <w:uiPriority w:val="98"/>
    <w:semiHidden/>
    <w:rsid w:val="005B12FD"/>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5B12FD"/>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5B12FD"/>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5B12FD"/>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5B12FD"/>
    <w:rPr>
      <w:color w:val="0072BC" w:themeColor="hyperlink"/>
      <w:u w:val="single"/>
    </w:rPr>
  </w:style>
  <w:style w:type="character" w:styleId="Wyrnienieintensywne">
    <w:name w:val="Intense Emphasis"/>
    <w:uiPriority w:val="98"/>
    <w:semiHidden/>
    <w:qFormat/>
    <w:rsid w:val="005B12FD"/>
    <w:rPr>
      <w:b/>
      <w:bCs/>
    </w:rPr>
  </w:style>
  <w:style w:type="paragraph" w:styleId="Cytatintensywny">
    <w:name w:val="Intense Quote"/>
    <w:basedOn w:val="Normalny"/>
    <w:next w:val="Normalny"/>
    <w:link w:val="CytatintensywnyZnak"/>
    <w:uiPriority w:val="98"/>
    <w:semiHidden/>
    <w:qFormat/>
    <w:rsid w:val="005B12F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5B12FD"/>
    <w:rPr>
      <w:b/>
      <w:bCs/>
      <w:i/>
      <w:iCs/>
      <w:sz w:val="24"/>
      <w:szCs w:val="24"/>
      <w:lang w:val="pl-PL" w:bidi="en-US"/>
    </w:rPr>
  </w:style>
  <w:style w:type="character" w:styleId="Odwoanieintensywne">
    <w:name w:val="Intense Reference"/>
    <w:uiPriority w:val="98"/>
    <w:semiHidden/>
    <w:qFormat/>
    <w:rsid w:val="005B12FD"/>
    <w:rPr>
      <w:smallCaps/>
      <w:spacing w:val="5"/>
      <w:u w:val="single"/>
    </w:rPr>
  </w:style>
  <w:style w:type="paragraph" w:styleId="Akapitzlist">
    <w:name w:val="List Paragraph"/>
    <w:basedOn w:val="Normalny"/>
    <w:uiPriority w:val="98"/>
    <w:semiHidden/>
    <w:qFormat/>
    <w:rsid w:val="005B12FD"/>
    <w:pPr>
      <w:ind w:left="720"/>
      <w:contextualSpacing/>
    </w:pPr>
  </w:style>
  <w:style w:type="table" w:customStyle="1" w:styleId="LtrTableAddress">
    <w:name w:val="Ltr_Table_Address"/>
    <w:aliases w:val="ECHR_Ltr_Table_Address"/>
    <w:basedOn w:val="Standardowy"/>
    <w:uiPriority w:val="99"/>
    <w:rsid w:val="005B12FD"/>
    <w:rPr>
      <w:sz w:val="24"/>
      <w:szCs w:val="24"/>
    </w:rPr>
    <w:tblPr>
      <w:tblInd w:w="5103" w:type="dxa"/>
    </w:tblPr>
  </w:style>
  <w:style w:type="paragraph" w:styleId="Cytat">
    <w:name w:val="Quote"/>
    <w:basedOn w:val="Normalny"/>
    <w:next w:val="Normalny"/>
    <w:link w:val="CytatZnak"/>
    <w:uiPriority w:val="98"/>
    <w:semiHidden/>
    <w:qFormat/>
    <w:rsid w:val="005B12FD"/>
    <w:pPr>
      <w:spacing w:before="200"/>
      <w:ind w:left="360" w:right="360"/>
    </w:pPr>
    <w:rPr>
      <w:i/>
      <w:iCs/>
      <w:lang w:bidi="en-US"/>
    </w:rPr>
  </w:style>
  <w:style w:type="character" w:customStyle="1" w:styleId="CytatZnak">
    <w:name w:val="Cytat Znak"/>
    <w:basedOn w:val="Domylnaczcionkaakapitu"/>
    <w:link w:val="Cytat"/>
    <w:uiPriority w:val="98"/>
    <w:semiHidden/>
    <w:rsid w:val="005B12FD"/>
    <w:rPr>
      <w:i/>
      <w:iCs/>
      <w:sz w:val="24"/>
      <w:szCs w:val="24"/>
      <w:lang w:val="pl-PL" w:bidi="en-US"/>
    </w:rPr>
  </w:style>
  <w:style w:type="character" w:styleId="Odwoaniedelikatne">
    <w:name w:val="Subtle Reference"/>
    <w:uiPriority w:val="98"/>
    <w:semiHidden/>
    <w:qFormat/>
    <w:rsid w:val="005B12FD"/>
    <w:rPr>
      <w:smallCaps/>
    </w:rPr>
  </w:style>
  <w:style w:type="table" w:styleId="Tabela-Siatka">
    <w:name w:val="Table Grid"/>
    <w:basedOn w:val="Standardowy"/>
    <w:uiPriority w:val="59"/>
    <w:semiHidden/>
    <w:rsid w:val="005B12F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B12F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B12F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B12F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B12F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B12F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B12F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5B12FD"/>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B12FD"/>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B12F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B12F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B12F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B12F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B12F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ny"/>
    <w:link w:val="JuQuotChar"/>
    <w:uiPriority w:val="20"/>
    <w:qFormat/>
    <w:rsid w:val="005B12FD"/>
    <w:pPr>
      <w:spacing w:before="120" w:after="120"/>
      <w:ind w:left="425" w:firstLine="142"/>
    </w:pPr>
    <w:rPr>
      <w:sz w:val="20"/>
    </w:rPr>
  </w:style>
  <w:style w:type="paragraph" w:customStyle="1" w:styleId="JuPara">
    <w:name w:val="Ju_Para"/>
    <w:aliases w:val="_Para"/>
    <w:basedOn w:val="Normalny"/>
    <w:link w:val="ECHRParaChar"/>
    <w:uiPriority w:val="4"/>
    <w:qFormat/>
    <w:rsid w:val="005B12FD"/>
    <w:pPr>
      <w:ind w:firstLine="284"/>
    </w:pPr>
  </w:style>
  <w:style w:type="table" w:customStyle="1" w:styleId="ECHRTableSimpleBox">
    <w:name w:val="ECHR_Table_Simple_Box"/>
    <w:basedOn w:val="Standardowy"/>
    <w:uiPriority w:val="99"/>
    <w:rsid w:val="005B12F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B12F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B12F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B12F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5B12F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5B12F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ny"/>
    <w:uiPriority w:val="54"/>
    <w:rsid w:val="005B12FD"/>
    <w:pPr>
      <w:tabs>
        <w:tab w:val="left" w:pos="567"/>
        <w:tab w:val="left" w:pos="1134"/>
      </w:tabs>
      <w:spacing w:line="240" w:lineRule="exact"/>
    </w:pPr>
  </w:style>
  <w:style w:type="table" w:customStyle="1" w:styleId="ECHRHeaderTableReduced">
    <w:name w:val="ECHR_Header_Table_Reduced"/>
    <w:basedOn w:val="Standardowy"/>
    <w:uiPriority w:val="99"/>
    <w:rsid w:val="005B12F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ny"/>
    <w:uiPriority w:val="23"/>
    <w:qFormat/>
    <w:rsid w:val="005B12FD"/>
    <w:pPr>
      <w:numPr>
        <w:numId w:val="7"/>
      </w:numPr>
      <w:spacing w:before="280" w:after="60"/>
    </w:pPr>
  </w:style>
  <w:style w:type="paragraph" w:customStyle="1" w:styleId="JuSigned">
    <w:name w:val="Ju_Signed"/>
    <w:aliases w:val="_Signature"/>
    <w:basedOn w:val="Normalny"/>
    <w:next w:val="JuPara"/>
    <w:uiPriority w:val="31"/>
    <w:qFormat/>
    <w:rsid w:val="005B12FD"/>
    <w:pPr>
      <w:tabs>
        <w:tab w:val="center" w:pos="851"/>
        <w:tab w:val="center" w:pos="6407"/>
      </w:tabs>
      <w:spacing w:before="720"/>
    </w:pPr>
  </w:style>
  <w:style w:type="paragraph" w:customStyle="1" w:styleId="JuParaLast">
    <w:name w:val="Ju_Para_Last"/>
    <w:aliases w:val="_Para_Spaced"/>
    <w:basedOn w:val="Normalny"/>
    <w:uiPriority w:val="5"/>
    <w:qFormat/>
    <w:rsid w:val="005B12FD"/>
    <w:pPr>
      <w:keepNext/>
      <w:keepLines/>
      <w:spacing w:before="240" w:after="240"/>
      <w:ind w:firstLine="284"/>
    </w:pPr>
  </w:style>
  <w:style w:type="paragraph" w:customStyle="1" w:styleId="JuTitle">
    <w:name w:val="Ju_Title"/>
    <w:aliases w:val="_Title_2"/>
    <w:basedOn w:val="Normalny"/>
    <w:next w:val="JuPara"/>
    <w:uiPriority w:val="38"/>
    <w:qFormat/>
    <w:rsid w:val="005B12FD"/>
    <w:pPr>
      <w:keepNext/>
      <w:keepLines/>
      <w:spacing w:before="1320" w:after="280"/>
      <w:contextualSpacing/>
      <w:jc w:val="center"/>
    </w:pPr>
    <w:rPr>
      <w:b/>
    </w:rPr>
  </w:style>
  <w:style w:type="character" w:styleId="Numerstrony">
    <w:name w:val="page number"/>
    <w:uiPriority w:val="98"/>
    <w:semiHidden/>
    <w:rsid w:val="005B12FD"/>
    <w:rPr>
      <w:sz w:val="18"/>
    </w:rPr>
  </w:style>
  <w:style w:type="paragraph" w:customStyle="1" w:styleId="JuLista">
    <w:name w:val="Ju_List_a"/>
    <w:aliases w:val="_List_2"/>
    <w:basedOn w:val="Normalny"/>
    <w:uiPriority w:val="23"/>
    <w:rsid w:val="005B12FD"/>
    <w:pPr>
      <w:numPr>
        <w:ilvl w:val="1"/>
        <w:numId w:val="7"/>
      </w:numPr>
    </w:pPr>
  </w:style>
  <w:style w:type="paragraph" w:customStyle="1" w:styleId="ECHRBullet2">
    <w:name w:val="ECHR_Bullet_2"/>
    <w:aliases w:val="_Bul_2"/>
    <w:basedOn w:val="ECHRBullet1"/>
    <w:uiPriority w:val="23"/>
    <w:semiHidden/>
    <w:rsid w:val="005B12FD"/>
    <w:pPr>
      <w:numPr>
        <w:ilvl w:val="1"/>
      </w:numPr>
    </w:pPr>
  </w:style>
  <w:style w:type="character" w:styleId="Odwoaniedokomentarza">
    <w:name w:val="annotation reference"/>
    <w:basedOn w:val="Domylnaczcionkaakapitu"/>
    <w:uiPriority w:val="98"/>
    <w:semiHidden/>
    <w:rsid w:val="005B12FD"/>
    <w:rPr>
      <w:sz w:val="16"/>
      <w:szCs w:val="16"/>
    </w:rPr>
  </w:style>
  <w:style w:type="paragraph" w:styleId="Tekstkomentarza">
    <w:name w:val="annotation text"/>
    <w:basedOn w:val="Normalny"/>
    <w:link w:val="TekstkomentarzaZnak"/>
    <w:uiPriority w:val="98"/>
    <w:semiHidden/>
    <w:rsid w:val="005B12FD"/>
    <w:rPr>
      <w:sz w:val="20"/>
      <w:szCs w:val="20"/>
    </w:rPr>
  </w:style>
  <w:style w:type="character" w:customStyle="1" w:styleId="TekstkomentarzaZnak">
    <w:name w:val="Tekst komentarza Znak"/>
    <w:basedOn w:val="Domylnaczcionkaakapitu"/>
    <w:link w:val="Tekstkomentarza"/>
    <w:uiPriority w:val="98"/>
    <w:semiHidden/>
    <w:rsid w:val="005B12FD"/>
    <w:rPr>
      <w:sz w:val="20"/>
      <w:szCs w:val="20"/>
      <w:lang w:val="pl-PL"/>
    </w:rPr>
  </w:style>
  <w:style w:type="paragraph" w:styleId="Tematkomentarza">
    <w:name w:val="annotation subject"/>
    <w:basedOn w:val="Tekstkomentarza"/>
    <w:next w:val="Tekstkomentarza"/>
    <w:link w:val="TematkomentarzaZnak"/>
    <w:uiPriority w:val="98"/>
    <w:semiHidden/>
    <w:rsid w:val="005B12FD"/>
    <w:rPr>
      <w:b/>
      <w:bCs/>
    </w:rPr>
  </w:style>
  <w:style w:type="character" w:customStyle="1" w:styleId="TematkomentarzaZnak">
    <w:name w:val="Temat komentarza Znak"/>
    <w:basedOn w:val="TekstkomentarzaZnak"/>
    <w:link w:val="Tematkomentarza"/>
    <w:uiPriority w:val="98"/>
    <w:semiHidden/>
    <w:rsid w:val="005B12FD"/>
    <w:rPr>
      <w:b/>
      <w:bCs/>
      <w:sz w:val="20"/>
      <w:szCs w:val="20"/>
      <w:lang w:val="pl-PL"/>
    </w:rPr>
  </w:style>
  <w:style w:type="character" w:styleId="Odwoanieprzypisukocowego">
    <w:name w:val="endnote reference"/>
    <w:basedOn w:val="Domylnaczcionkaakapitu"/>
    <w:uiPriority w:val="98"/>
    <w:semiHidden/>
    <w:rsid w:val="005B12FD"/>
    <w:rPr>
      <w:vertAlign w:val="superscript"/>
    </w:rPr>
  </w:style>
  <w:style w:type="paragraph" w:styleId="Tekstprzypisukocowego">
    <w:name w:val="endnote text"/>
    <w:basedOn w:val="Normalny"/>
    <w:link w:val="TekstprzypisukocowegoZnak"/>
    <w:uiPriority w:val="98"/>
    <w:semiHidden/>
    <w:rsid w:val="005B12FD"/>
    <w:rPr>
      <w:sz w:val="20"/>
      <w:szCs w:val="20"/>
    </w:rPr>
  </w:style>
  <w:style w:type="character" w:customStyle="1" w:styleId="TekstprzypisukocowegoZnak">
    <w:name w:val="Tekst przypisu końcowego Znak"/>
    <w:basedOn w:val="Domylnaczcionkaakapitu"/>
    <w:link w:val="Tekstprzypisukocowego"/>
    <w:uiPriority w:val="98"/>
    <w:semiHidden/>
    <w:rsid w:val="005B12FD"/>
    <w:rPr>
      <w:sz w:val="20"/>
      <w:szCs w:val="20"/>
      <w:lang w:val="pl-PL"/>
    </w:rPr>
  </w:style>
  <w:style w:type="character" w:styleId="UyteHipercze">
    <w:name w:val="FollowedHyperlink"/>
    <w:basedOn w:val="Domylnaczcionkaakapitu"/>
    <w:uiPriority w:val="98"/>
    <w:semiHidden/>
    <w:rsid w:val="005B12FD"/>
    <w:rPr>
      <w:color w:val="7030A0" w:themeColor="followedHyperlink"/>
      <w:u w:val="single"/>
    </w:rPr>
  </w:style>
  <w:style w:type="paragraph" w:styleId="Mapadokumentu">
    <w:name w:val="Document Map"/>
    <w:basedOn w:val="Normalny"/>
    <w:link w:val="MapadokumentuZnak"/>
    <w:uiPriority w:val="98"/>
    <w:semiHidden/>
    <w:rsid w:val="005B12F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5B12FD"/>
    <w:rPr>
      <w:rFonts w:ascii="Tahoma" w:hAnsi="Tahoma" w:cs="Tahoma"/>
      <w:sz w:val="16"/>
      <w:szCs w:val="16"/>
      <w:lang w:val="pl-PL"/>
    </w:rPr>
  </w:style>
  <w:style w:type="paragraph" w:customStyle="1" w:styleId="ECHRBullet3">
    <w:name w:val="ECHR_Bullet_3"/>
    <w:aliases w:val="_Bul_3"/>
    <w:basedOn w:val="ECHRBullet2"/>
    <w:uiPriority w:val="23"/>
    <w:semiHidden/>
    <w:rsid w:val="005B12FD"/>
    <w:pPr>
      <w:numPr>
        <w:ilvl w:val="2"/>
      </w:numPr>
    </w:pPr>
  </w:style>
  <w:style w:type="paragraph" w:styleId="Listapunktowana">
    <w:name w:val="List Bullet"/>
    <w:basedOn w:val="Normalny"/>
    <w:uiPriority w:val="98"/>
    <w:semiHidden/>
    <w:rsid w:val="005B12FD"/>
    <w:pPr>
      <w:numPr>
        <w:numId w:val="9"/>
      </w:numPr>
    </w:pPr>
  </w:style>
  <w:style w:type="character" w:customStyle="1" w:styleId="JuITMark">
    <w:name w:val="Ju_ITMark"/>
    <w:aliases w:val="_ITMark"/>
    <w:basedOn w:val="Domylnaczcionkaakapitu"/>
    <w:uiPriority w:val="54"/>
    <w:qFormat/>
    <w:rsid w:val="005B12FD"/>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5B12F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5B12FD"/>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B12FD"/>
    <w:pPr>
      <w:numPr>
        <w:numId w:val="3"/>
      </w:numPr>
    </w:pPr>
  </w:style>
  <w:style w:type="numbering" w:styleId="1ai">
    <w:name w:val="Outline List 1"/>
    <w:basedOn w:val="Bezlisty"/>
    <w:uiPriority w:val="99"/>
    <w:semiHidden/>
    <w:unhideWhenUsed/>
    <w:rsid w:val="005B12FD"/>
    <w:pPr>
      <w:numPr>
        <w:numId w:val="4"/>
      </w:numPr>
    </w:pPr>
  </w:style>
  <w:style w:type="numbering" w:styleId="Artykusekcja">
    <w:name w:val="Outline List 3"/>
    <w:basedOn w:val="Bezlisty"/>
    <w:uiPriority w:val="99"/>
    <w:semiHidden/>
    <w:unhideWhenUsed/>
    <w:rsid w:val="005B12FD"/>
    <w:pPr>
      <w:numPr>
        <w:numId w:val="5"/>
      </w:numPr>
    </w:pPr>
  </w:style>
  <w:style w:type="paragraph" w:styleId="Bibliografia">
    <w:name w:val="Bibliography"/>
    <w:basedOn w:val="Normalny"/>
    <w:next w:val="Normalny"/>
    <w:uiPriority w:val="98"/>
    <w:semiHidden/>
    <w:rsid w:val="005B12FD"/>
  </w:style>
  <w:style w:type="paragraph" w:styleId="Tekstblokowy">
    <w:name w:val="Block Text"/>
    <w:basedOn w:val="Normalny"/>
    <w:uiPriority w:val="98"/>
    <w:semiHidden/>
    <w:rsid w:val="005B12F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5B12FD"/>
    <w:pPr>
      <w:spacing w:after="120"/>
    </w:pPr>
  </w:style>
  <w:style w:type="character" w:customStyle="1" w:styleId="TekstpodstawowyZnak">
    <w:name w:val="Tekst podstawowy Znak"/>
    <w:basedOn w:val="Domylnaczcionkaakapitu"/>
    <w:link w:val="Tekstpodstawowy"/>
    <w:uiPriority w:val="98"/>
    <w:semiHidden/>
    <w:rsid w:val="005B12FD"/>
    <w:rPr>
      <w:sz w:val="24"/>
      <w:szCs w:val="24"/>
      <w:lang w:val="pl-PL"/>
    </w:rPr>
  </w:style>
  <w:style w:type="paragraph" w:styleId="Tekstpodstawowy2">
    <w:name w:val="Body Text 2"/>
    <w:basedOn w:val="Normalny"/>
    <w:link w:val="Tekstpodstawowy2Znak"/>
    <w:uiPriority w:val="98"/>
    <w:semiHidden/>
    <w:rsid w:val="005B12FD"/>
    <w:pPr>
      <w:spacing w:after="120" w:line="480" w:lineRule="auto"/>
    </w:pPr>
  </w:style>
  <w:style w:type="character" w:customStyle="1" w:styleId="Tekstpodstawowy2Znak">
    <w:name w:val="Tekst podstawowy 2 Znak"/>
    <w:basedOn w:val="Domylnaczcionkaakapitu"/>
    <w:link w:val="Tekstpodstawowy2"/>
    <w:uiPriority w:val="98"/>
    <w:semiHidden/>
    <w:rsid w:val="005B12FD"/>
    <w:rPr>
      <w:sz w:val="24"/>
      <w:szCs w:val="24"/>
      <w:lang w:val="pl-PL"/>
    </w:rPr>
  </w:style>
  <w:style w:type="paragraph" w:styleId="Tekstpodstawowy3">
    <w:name w:val="Body Text 3"/>
    <w:basedOn w:val="Normalny"/>
    <w:link w:val="Tekstpodstawowy3Znak"/>
    <w:uiPriority w:val="98"/>
    <w:semiHidden/>
    <w:rsid w:val="005B12FD"/>
    <w:pPr>
      <w:spacing w:after="120"/>
    </w:pPr>
    <w:rPr>
      <w:sz w:val="16"/>
      <w:szCs w:val="16"/>
    </w:rPr>
  </w:style>
  <w:style w:type="character" w:customStyle="1" w:styleId="Tekstpodstawowy3Znak">
    <w:name w:val="Tekst podstawowy 3 Znak"/>
    <w:basedOn w:val="Domylnaczcionkaakapitu"/>
    <w:link w:val="Tekstpodstawowy3"/>
    <w:uiPriority w:val="98"/>
    <w:semiHidden/>
    <w:rsid w:val="005B12FD"/>
    <w:rPr>
      <w:sz w:val="16"/>
      <w:szCs w:val="16"/>
      <w:lang w:val="pl-PL"/>
    </w:rPr>
  </w:style>
  <w:style w:type="paragraph" w:styleId="Tekstpodstawowyzwciciem">
    <w:name w:val="Body Text First Indent"/>
    <w:basedOn w:val="Tekstpodstawowy"/>
    <w:link w:val="TekstpodstawowyzwciciemZnak"/>
    <w:uiPriority w:val="98"/>
    <w:semiHidden/>
    <w:rsid w:val="005B12F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B12FD"/>
    <w:rPr>
      <w:sz w:val="24"/>
      <w:szCs w:val="24"/>
      <w:lang w:val="pl-PL"/>
    </w:rPr>
  </w:style>
  <w:style w:type="paragraph" w:styleId="Tekstpodstawowywcity">
    <w:name w:val="Body Text Indent"/>
    <w:basedOn w:val="Normalny"/>
    <w:link w:val="TekstpodstawowywcityZnak"/>
    <w:uiPriority w:val="98"/>
    <w:semiHidden/>
    <w:rsid w:val="005B12FD"/>
    <w:pPr>
      <w:spacing w:after="120"/>
      <w:ind w:left="283"/>
    </w:pPr>
  </w:style>
  <w:style w:type="character" w:customStyle="1" w:styleId="TekstpodstawowywcityZnak">
    <w:name w:val="Tekst podstawowy wcięty Znak"/>
    <w:basedOn w:val="Domylnaczcionkaakapitu"/>
    <w:link w:val="Tekstpodstawowywcity"/>
    <w:uiPriority w:val="98"/>
    <w:semiHidden/>
    <w:rsid w:val="005B12FD"/>
    <w:rPr>
      <w:sz w:val="24"/>
      <w:szCs w:val="24"/>
      <w:lang w:val="pl-PL"/>
    </w:rPr>
  </w:style>
  <w:style w:type="paragraph" w:styleId="Tekstpodstawowyzwciciem2">
    <w:name w:val="Body Text First Indent 2"/>
    <w:basedOn w:val="Tekstpodstawowywcity"/>
    <w:link w:val="Tekstpodstawowyzwciciem2Znak"/>
    <w:uiPriority w:val="98"/>
    <w:semiHidden/>
    <w:rsid w:val="005B12F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B12FD"/>
    <w:rPr>
      <w:sz w:val="24"/>
      <w:szCs w:val="24"/>
      <w:lang w:val="pl-PL"/>
    </w:rPr>
  </w:style>
  <w:style w:type="paragraph" w:styleId="Tekstpodstawowywcity2">
    <w:name w:val="Body Text Indent 2"/>
    <w:basedOn w:val="Normalny"/>
    <w:link w:val="Tekstpodstawowywcity2Znak"/>
    <w:uiPriority w:val="98"/>
    <w:semiHidden/>
    <w:rsid w:val="005B12F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B12FD"/>
    <w:rPr>
      <w:sz w:val="24"/>
      <w:szCs w:val="24"/>
      <w:lang w:val="pl-PL"/>
    </w:rPr>
  </w:style>
  <w:style w:type="paragraph" w:styleId="Tekstpodstawowywcity3">
    <w:name w:val="Body Text Indent 3"/>
    <w:basedOn w:val="Normalny"/>
    <w:link w:val="Tekstpodstawowywcity3Znak"/>
    <w:uiPriority w:val="98"/>
    <w:semiHidden/>
    <w:rsid w:val="005B12F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5B12FD"/>
    <w:rPr>
      <w:sz w:val="16"/>
      <w:szCs w:val="16"/>
      <w:lang w:val="pl-PL"/>
    </w:rPr>
  </w:style>
  <w:style w:type="paragraph" w:styleId="Legenda">
    <w:name w:val="caption"/>
    <w:basedOn w:val="Normalny"/>
    <w:next w:val="Normalny"/>
    <w:uiPriority w:val="98"/>
    <w:semiHidden/>
    <w:qFormat/>
    <w:rsid w:val="005B12FD"/>
    <w:pPr>
      <w:spacing w:after="200"/>
    </w:pPr>
    <w:rPr>
      <w:b/>
      <w:bCs/>
      <w:color w:val="0072BC" w:themeColor="accent1"/>
      <w:sz w:val="18"/>
      <w:szCs w:val="18"/>
    </w:rPr>
  </w:style>
  <w:style w:type="paragraph" w:styleId="Zwrotpoegnalny">
    <w:name w:val="Closing"/>
    <w:basedOn w:val="Normalny"/>
    <w:link w:val="ZwrotpoegnalnyZnak"/>
    <w:uiPriority w:val="98"/>
    <w:semiHidden/>
    <w:rsid w:val="005B12FD"/>
    <w:pPr>
      <w:ind w:left="4252"/>
    </w:pPr>
  </w:style>
  <w:style w:type="character" w:customStyle="1" w:styleId="ZwrotpoegnalnyZnak">
    <w:name w:val="Zwrot pożegnalny Znak"/>
    <w:basedOn w:val="Domylnaczcionkaakapitu"/>
    <w:link w:val="Zwrotpoegnalny"/>
    <w:uiPriority w:val="98"/>
    <w:semiHidden/>
    <w:rsid w:val="005B12FD"/>
    <w:rPr>
      <w:sz w:val="24"/>
      <w:szCs w:val="24"/>
      <w:lang w:val="pl-PL"/>
    </w:rPr>
  </w:style>
  <w:style w:type="table" w:styleId="Kolorowasiatka">
    <w:name w:val="Colorful Grid"/>
    <w:basedOn w:val="Standardowy"/>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B12F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B12F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B12F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B12F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B12F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B12F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B12F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B12F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B12F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B12F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B12F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B12F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B12F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B12F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B12F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5B12F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B12F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B12F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B12F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B12F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B12F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B12F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B12FD"/>
  </w:style>
  <w:style w:type="character" w:customStyle="1" w:styleId="DataZnak">
    <w:name w:val="Data Znak"/>
    <w:basedOn w:val="Domylnaczcionkaakapitu"/>
    <w:link w:val="Data"/>
    <w:uiPriority w:val="98"/>
    <w:semiHidden/>
    <w:rsid w:val="005B12FD"/>
    <w:rPr>
      <w:sz w:val="24"/>
      <w:szCs w:val="24"/>
      <w:lang w:val="pl-PL"/>
    </w:rPr>
  </w:style>
  <w:style w:type="paragraph" w:styleId="Podpise-mail">
    <w:name w:val="E-mail Signature"/>
    <w:basedOn w:val="Normalny"/>
    <w:link w:val="Podpise-mailZnak"/>
    <w:uiPriority w:val="98"/>
    <w:semiHidden/>
    <w:rsid w:val="005B12FD"/>
  </w:style>
  <w:style w:type="character" w:customStyle="1" w:styleId="Podpise-mailZnak">
    <w:name w:val="Podpis e-mail Znak"/>
    <w:basedOn w:val="Domylnaczcionkaakapitu"/>
    <w:link w:val="Podpise-mail"/>
    <w:uiPriority w:val="98"/>
    <w:semiHidden/>
    <w:rsid w:val="005B12FD"/>
    <w:rPr>
      <w:sz w:val="24"/>
      <w:szCs w:val="24"/>
      <w:lang w:val="pl-PL"/>
    </w:rPr>
  </w:style>
  <w:style w:type="paragraph" w:styleId="Adresnakopercie">
    <w:name w:val="envelope address"/>
    <w:basedOn w:val="Normalny"/>
    <w:uiPriority w:val="98"/>
    <w:semiHidden/>
    <w:rsid w:val="005B12F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B12FD"/>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5B12FD"/>
  </w:style>
  <w:style w:type="paragraph" w:styleId="HTML-adres">
    <w:name w:val="HTML Address"/>
    <w:basedOn w:val="Normalny"/>
    <w:link w:val="HTML-adresZnak"/>
    <w:uiPriority w:val="98"/>
    <w:semiHidden/>
    <w:rsid w:val="005B12FD"/>
    <w:rPr>
      <w:i/>
      <w:iCs/>
    </w:rPr>
  </w:style>
  <w:style w:type="character" w:customStyle="1" w:styleId="HTML-adresZnak">
    <w:name w:val="HTML - adres Znak"/>
    <w:basedOn w:val="Domylnaczcionkaakapitu"/>
    <w:link w:val="HTML-adres"/>
    <w:uiPriority w:val="98"/>
    <w:semiHidden/>
    <w:rsid w:val="005B12FD"/>
    <w:rPr>
      <w:i/>
      <w:iCs/>
      <w:sz w:val="24"/>
      <w:szCs w:val="24"/>
      <w:lang w:val="pl-PL"/>
    </w:rPr>
  </w:style>
  <w:style w:type="character" w:styleId="HTML-cytat">
    <w:name w:val="HTML Cite"/>
    <w:basedOn w:val="Domylnaczcionkaakapitu"/>
    <w:uiPriority w:val="98"/>
    <w:semiHidden/>
    <w:rsid w:val="005B12FD"/>
    <w:rPr>
      <w:i/>
      <w:iCs/>
    </w:rPr>
  </w:style>
  <w:style w:type="character" w:styleId="HTML-kod">
    <w:name w:val="HTML Code"/>
    <w:basedOn w:val="Domylnaczcionkaakapitu"/>
    <w:uiPriority w:val="98"/>
    <w:semiHidden/>
    <w:rsid w:val="005B12FD"/>
    <w:rPr>
      <w:rFonts w:ascii="Consolas" w:hAnsi="Consolas" w:cs="Consolas"/>
      <w:sz w:val="20"/>
      <w:szCs w:val="20"/>
    </w:rPr>
  </w:style>
  <w:style w:type="character" w:styleId="HTML-definicja">
    <w:name w:val="HTML Definition"/>
    <w:basedOn w:val="Domylnaczcionkaakapitu"/>
    <w:uiPriority w:val="98"/>
    <w:semiHidden/>
    <w:rsid w:val="005B12FD"/>
    <w:rPr>
      <w:i/>
      <w:iCs/>
    </w:rPr>
  </w:style>
  <w:style w:type="character" w:styleId="HTML-klawiatura">
    <w:name w:val="HTML Keyboard"/>
    <w:basedOn w:val="Domylnaczcionkaakapitu"/>
    <w:uiPriority w:val="98"/>
    <w:semiHidden/>
    <w:rsid w:val="005B12FD"/>
    <w:rPr>
      <w:rFonts w:ascii="Consolas" w:hAnsi="Consolas" w:cs="Consolas"/>
      <w:sz w:val="20"/>
      <w:szCs w:val="20"/>
    </w:rPr>
  </w:style>
  <w:style w:type="paragraph" w:styleId="HTML-wstpniesformatowany">
    <w:name w:val="HTML Preformatted"/>
    <w:basedOn w:val="Normalny"/>
    <w:link w:val="HTML-wstpniesformatowanyZnak"/>
    <w:uiPriority w:val="98"/>
    <w:semiHidden/>
    <w:rsid w:val="005B12F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5B12FD"/>
    <w:rPr>
      <w:rFonts w:ascii="Consolas" w:hAnsi="Consolas" w:cs="Consolas"/>
      <w:sz w:val="20"/>
      <w:szCs w:val="20"/>
      <w:lang w:val="pl-PL"/>
    </w:rPr>
  </w:style>
  <w:style w:type="character" w:styleId="HTML-przykad">
    <w:name w:val="HTML Sample"/>
    <w:basedOn w:val="Domylnaczcionkaakapitu"/>
    <w:uiPriority w:val="98"/>
    <w:semiHidden/>
    <w:rsid w:val="005B12FD"/>
    <w:rPr>
      <w:rFonts w:ascii="Consolas" w:hAnsi="Consolas" w:cs="Consolas"/>
      <w:sz w:val="24"/>
      <w:szCs w:val="24"/>
    </w:rPr>
  </w:style>
  <w:style w:type="character" w:styleId="HTML-staaszeroko">
    <w:name w:val="HTML Typewriter"/>
    <w:basedOn w:val="Domylnaczcionkaakapitu"/>
    <w:uiPriority w:val="98"/>
    <w:semiHidden/>
    <w:rsid w:val="005B12FD"/>
    <w:rPr>
      <w:rFonts w:ascii="Consolas" w:hAnsi="Consolas" w:cs="Consolas"/>
      <w:sz w:val="20"/>
      <w:szCs w:val="20"/>
    </w:rPr>
  </w:style>
  <w:style w:type="character" w:styleId="HTML-zmienna">
    <w:name w:val="HTML Variable"/>
    <w:basedOn w:val="Domylnaczcionkaakapitu"/>
    <w:uiPriority w:val="98"/>
    <w:semiHidden/>
    <w:rsid w:val="005B12FD"/>
    <w:rPr>
      <w:i/>
      <w:iCs/>
    </w:rPr>
  </w:style>
  <w:style w:type="paragraph" w:styleId="Indeks1">
    <w:name w:val="index 1"/>
    <w:basedOn w:val="Normalny"/>
    <w:next w:val="Normalny"/>
    <w:autoRedefine/>
    <w:uiPriority w:val="98"/>
    <w:semiHidden/>
    <w:rsid w:val="005B12FD"/>
    <w:pPr>
      <w:ind w:left="240" w:hanging="240"/>
    </w:pPr>
  </w:style>
  <w:style w:type="paragraph" w:styleId="Indeks2">
    <w:name w:val="index 2"/>
    <w:basedOn w:val="Normalny"/>
    <w:next w:val="Normalny"/>
    <w:autoRedefine/>
    <w:uiPriority w:val="98"/>
    <w:semiHidden/>
    <w:rsid w:val="005B12FD"/>
    <w:pPr>
      <w:ind w:left="480" w:hanging="240"/>
    </w:pPr>
  </w:style>
  <w:style w:type="paragraph" w:styleId="Indeks3">
    <w:name w:val="index 3"/>
    <w:basedOn w:val="Normalny"/>
    <w:next w:val="Normalny"/>
    <w:autoRedefine/>
    <w:uiPriority w:val="98"/>
    <w:semiHidden/>
    <w:rsid w:val="005B12FD"/>
    <w:pPr>
      <w:ind w:left="720" w:hanging="240"/>
    </w:pPr>
  </w:style>
  <w:style w:type="paragraph" w:styleId="Indeks4">
    <w:name w:val="index 4"/>
    <w:basedOn w:val="Normalny"/>
    <w:next w:val="Normalny"/>
    <w:autoRedefine/>
    <w:uiPriority w:val="98"/>
    <w:semiHidden/>
    <w:rsid w:val="005B12FD"/>
    <w:pPr>
      <w:ind w:left="960" w:hanging="240"/>
    </w:pPr>
  </w:style>
  <w:style w:type="paragraph" w:styleId="Indeks5">
    <w:name w:val="index 5"/>
    <w:basedOn w:val="Normalny"/>
    <w:next w:val="Normalny"/>
    <w:autoRedefine/>
    <w:uiPriority w:val="98"/>
    <w:semiHidden/>
    <w:rsid w:val="005B12FD"/>
    <w:pPr>
      <w:ind w:left="1200" w:hanging="240"/>
    </w:pPr>
  </w:style>
  <w:style w:type="paragraph" w:styleId="Indeks6">
    <w:name w:val="index 6"/>
    <w:basedOn w:val="Normalny"/>
    <w:next w:val="Normalny"/>
    <w:autoRedefine/>
    <w:uiPriority w:val="98"/>
    <w:semiHidden/>
    <w:rsid w:val="005B12FD"/>
    <w:pPr>
      <w:ind w:left="1440" w:hanging="240"/>
    </w:pPr>
  </w:style>
  <w:style w:type="paragraph" w:styleId="Indeks7">
    <w:name w:val="index 7"/>
    <w:basedOn w:val="Normalny"/>
    <w:next w:val="Normalny"/>
    <w:autoRedefine/>
    <w:uiPriority w:val="98"/>
    <w:semiHidden/>
    <w:rsid w:val="005B12FD"/>
    <w:pPr>
      <w:ind w:left="1680" w:hanging="240"/>
    </w:pPr>
  </w:style>
  <w:style w:type="paragraph" w:styleId="Indeks8">
    <w:name w:val="index 8"/>
    <w:basedOn w:val="Normalny"/>
    <w:next w:val="Normalny"/>
    <w:autoRedefine/>
    <w:uiPriority w:val="98"/>
    <w:semiHidden/>
    <w:rsid w:val="005B12FD"/>
    <w:pPr>
      <w:ind w:left="1920" w:hanging="240"/>
    </w:pPr>
  </w:style>
  <w:style w:type="paragraph" w:styleId="Indeks9">
    <w:name w:val="index 9"/>
    <w:basedOn w:val="Normalny"/>
    <w:next w:val="Normalny"/>
    <w:autoRedefine/>
    <w:uiPriority w:val="98"/>
    <w:semiHidden/>
    <w:rsid w:val="005B12FD"/>
    <w:pPr>
      <w:ind w:left="2160" w:hanging="240"/>
    </w:pPr>
  </w:style>
  <w:style w:type="paragraph" w:styleId="Nagwekindeksu">
    <w:name w:val="index heading"/>
    <w:basedOn w:val="Normalny"/>
    <w:next w:val="Indeks1"/>
    <w:uiPriority w:val="98"/>
    <w:semiHidden/>
    <w:rsid w:val="005B12FD"/>
    <w:rPr>
      <w:rFonts w:asciiTheme="majorHAnsi" w:eastAsiaTheme="majorEastAsia" w:hAnsiTheme="majorHAnsi" w:cstheme="majorBidi"/>
      <w:b/>
      <w:bCs/>
    </w:rPr>
  </w:style>
  <w:style w:type="table" w:styleId="Jasnasiatka">
    <w:name w:val="Light Grid"/>
    <w:basedOn w:val="Standardowy"/>
    <w:uiPriority w:val="62"/>
    <w:semiHidden/>
    <w:rsid w:val="005B12F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B12F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B12F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B12F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B12F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B12F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B12F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B12F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B12F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B12F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B12F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B12F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B12F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B12F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B12F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B12F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B12F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B12F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B12F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B12F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B12F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B12FD"/>
  </w:style>
  <w:style w:type="paragraph" w:styleId="Lista">
    <w:name w:val="List"/>
    <w:basedOn w:val="Normalny"/>
    <w:uiPriority w:val="98"/>
    <w:semiHidden/>
    <w:rsid w:val="005B12FD"/>
    <w:pPr>
      <w:ind w:left="283" w:hanging="283"/>
      <w:contextualSpacing/>
    </w:pPr>
  </w:style>
  <w:style w:type="paragraph" w:styleId="Lista2">
    <w:name w:val="List 2"/>
    <w:basedOn w:val="Normalny"/>
    <w:uiPriority w:val="98"/>
    <w:semiHidden/>
    <w:rsid w:val="005B12FD"/>
    <w:pPr>
      <w:ind w:left="566" w:hanging="283"/>
      <w:contextualSpacing/>
    </w:pPr>
  </w:style>
  <w:style w:type="paragraph" w:styleId="Lista3">
    <w:name w:val="List 3"/>
    <w:basedOn w:val="Normalny"/>
    <w:uiPriority w:val="98"/>
    <w:semiHidden/>
    <w:rsid w:val="005B12FD"/>
    <w:pPr>
      <w:ind w:left="849" w:hanging="283"/>
      <w:contextualSpacing/>
    </w:pPr>
  </w:style>
  <w:style w:type="paragraph" w:styleId="Lista4">
    <w:name w:val="List 4"/>
    <w:basedOn w:val="Normalny"/>
    <w:uiPriority w:val="98"/>
    <w:semiHidden/>
    <w:rsid w:val="005B12FD"/>
    <w:pPr>
      <w:ind w:left="1132" w:hanging="283"/>
      <w:contextualSpacing/>
    </w:pPr>
  </w:style>
  <w:style w:type="paragraph" w:styleId="Lista5">
    <w:name w:val="List 5"/>
    <w:basedOn w:val="Normalny"/>
    <w:uiPriority w:val="98"/>
    <w:semiHidden/>
    <w:rsid w:val="005B12FD"/>
    <w:pPr>
      <w:ind w:left="1415" w:hanging="283"/>
      <w:contextualSpacing/>
    </w:pPr>
  </w:style>
  <w:style w:type="paragraph" w:styleId="Listapunktowana2">
    <w:name w:val="List Bullet 2"/>
    <w:basedOn w:val="Normalny"/>
    <w:uiPriority w:val="98"/>
    <w:semiHidden/>
    <w:rsid w:val="005B12FD"/>
    <w:pPr>
      <w:numPr>
        <w:numId w:val="10"/>
      </w:numPr>
      <w:contextualSpacing/>
    </w:pPr>
  </w:style>
  <w:style w:type="paragraph" w:styleId="Listapunktowana3">
    <w:name w:val="List Bullet 3"/>
    <w:basedOn w:val="Normalny"/>
    <w:uiPriority w:val="98"/>
    <w:semiHidden/>
    <w:rsid w:val="005B12FD"/>
    <w:pPr>
      <w:numPr>
        <w:numId w:val="11"/>
      </w:numPr>
      <w:contextualSpacing/>
    </w:pPr>
  </w:style>
  <w:style w:type="paragraph" w:styleId="Listapunktowana4">
    <w:name w:val="List Bullet 4"/>
    <w:basedOn w:val="Normalny"/>
    <w:uiPriority w:val="98"/>
    <w:semiHidden/>
    <w:rsid w:val="005B12FD"/>
    <w:pPr>
      <w:numPr>
        <w:numId w:val="12"/>
      </w:numPr>
      <w:contextualSpacing/>
    </w:pPr>
  </w:style>
  <w:style w:type="paragraph" w:styleId="Listapunktowana5">
    <w:name w:val="List Bullet 5"/>
    <w:basedOn w:val="Normalny"/>
    <w:uiPriority w:val="98"/>
    <w:semiHidden/>
    <w:rsid w:val="005B12FD"/>
    <w:pPr>
      <w:numPr>
        <w:numId w:val="13"/>
      </w:numPr>
      <w:contextualSpacing/>
    </w:pPr>
  </w:style>
  <w:style w:type="paragraph" w:styleId="Lista-kontynuacja">
    <w:name w:val="List Continue"/>
    <w:basedOn w:val="Normalny"/>
    <w:uiPriority w:val="98"/>
    <w:semiHidden/>
    <w:rsid w:val="005B12FD"/>
    <w:pPr>
      <w:spacing w:after="120"/>
      <w:ind w:left="283"/>
      <w:contextualSpacing/>
    </w:pPr>
  </w:style>
  <w:style w:type="paragraph" w:styleId="Lista-kontynuacja2">
    <w:name w:val="List Continue 2"/>
    <w:basedOn w:val="Normalny"/>
    <w:uiPriority w:val="98"/>
    <w:semiHidden/>
    <w:rsid w:val="005B12FD"/>
    <w:pPr>
      <w:spacing w:after="120"/>
      <w:ind w:left="566"/>
      <w:contextualSpacing/>
    </w:pPr>
  </w:style>
  <w:style w:type="paragraph" w:styleId="Lista-kontynuacja3">
    <w:name w:val="List Continue 3"/>
    <w:basedOn w:val="Normalny"/>
    <w:uiPriority w:val="98"/>
    <w:semiHidden/>
    <w:rsid w:val="005B12FD"/>
    <w:pPr>
      <w:spacing w:after="120"/>
      <w:ind w:left="849"/>
      <w:contextualSpacing/>
    </w:pPr>
  </w:style>
  <w:style w:type="paragraph" w:styleId="Lista-kontynuacja4">
    <w:name w:val="List Continue 4"/>
    <w:basedOn w:val="Normalny"/>
    <w:uiPriority w:val="98"/>
    <w:semiHidden/>
    <w:rsid w:val="005B12FD"/>
    <w:pPr>
      <w:spacing w:after="120"/>
      <w:ind w:left="1132"/>
      <w:contextualSpacing/>
    </w:pPr>
  </w:style>
  <w:style w:type="paragraph" w:styleId="Lista-kontynuacja5">
    <w:name w:val="List Continue 5"/>
    <w:basedOn w:val="Normalny"/>
    <w:uiPriority w:val="98"/>
    <w:semiHidden/>
    <w:rsid w:val="005B12FD"/>
    <w:pPr>
      <w:spacing w:after="120"/>
      <w:ind w:left="1415"/>
      <w:contextualSpacing/>
    </w:pPr>
  </w:style>
  <w:style w:type="paragraph" w:styleId="Listanumerowana">
    <w:name w:val="List Number"/>
    <w:basedOn w:val="Normalny"/>
    <w:uiPriority w:val="98"/>
    <w:semiHidden/>
    <w:rsid w:val="005B12FD"/>
    <w:pPr>
      <w:numPr>
        <w:numId w:val="14"/>
      </w:numPr>
      <w:contextualSpacing/>
    </w:pPr>
  </w:style>
  <w:style w:type="paragraph" w:styleId="Listanumerowana2">
    <w:name w:val="List Number 2"/>
    <w:basedOn w:val="Normalny"/>
    <w:uiPriority w:val="98"/>
    <w:semiHidden/>
    <w:rsid w:val="005B12FD"/>
    <w:pPr>
      <w:numPr>
        <w:numId w:val="15"/>
      </w:numPr>
      <w:contextualSpacing/>
    </w:pPr>
  </w:style>
  <w:style w:type="paragraph" w:styleId="Listanumerowana3">
    <w:name w:val="List Number 3"/>
    <w:basedOn w:val="Normalny"/>
    <w:uiPriority w:val="98"/>
    <w:semiHidden/>
    <w:rsid w:val="005B12FD"/>
    <w:pPr>
      <w:numPr>
        <w:numId w:val="16"/>
      </w:numPr>
      <w:contextualSpacing/>
    </w:pPr>
  </w:style>
  <w:style w:type="paragraph" w:styleId="Listanumerowana4">
    <w:name w:val="List Number 4"/>
    <w:basedOn w:val="Normalny"/>
    <w:uiPriority w:val="98"/>
    <w:semiHidden/>
    <w:rsid w:val="005B12FD"/>
    <w:pPr>
      <w:numPr>
        <w:numId w:val="17"/>
      </w:numPr>
      <w:contextualSpacing/>
    </w:pPr>
  </w:style>
  <w:style w:type="paragraph" w:styleId="Listanumerowana5">
    <w:name w:val="List Number 5"/>
    <w:basedOn w:val="Normalny"/>
    <w:uiPriority w:val="98"/>
    <w:semiHidden/>
    <w:rsid w:val="005B12FD"/>
    <w:pPr>
      <w:numPr>
        <w:numId w:val="18"/>
      </w:numPr>
      <w:contextualSpacing/>
    </w:pPr>
  </w:style>
  <w:style w:type="paragraph" w:styleId="Tekstmakra">
    <w:name w:val="macro"/>
    <w:link w:val="TekstmakraZnak"/>
    <w:uiPriority w:val="98"/>
    <w:semiHidden/>
    <w:rsid w:val="005B12F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5B12FD"/>
    <w:rPr>
      <w:rFonts w:ascii="Consolas" w:eastAsiaTheme="minorEastAsia" w:hAnsi="Consolas" w:cs="Consolas"/>
      <w:sz w:val="20"/>
      <w:szCs w:val="20"/>
    </w:rPr>
  </w:style>
  <w:style w:type="table" w:styleId="redniasiatka1">
    <w:name w:val="Medium Grid 1"/>
    <w:basedOn w:val="Standardowy"/>
    <w:uiPriority w:val="67"/>
    <w:semiHidden/>
    <w:rsid w:val="005B12F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B12F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B12F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B12F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B12F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B12F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B12F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B12F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B12F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B12F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B12F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B12F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B12F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B12F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B12F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B12F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B12F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B12F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B12F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B12F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B12F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B12F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B12F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B12F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B12F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B12FD"/>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5B12FD"/>
    <w:rPr>
      <w:rFonts w:ascii="Times New Roman" w:hAnsi="Times New Roman" w:cs="Times New Roman"/>
    </w:rPr>
  </w:style>
  <w:style w:type="paragraph" w:styleId="Wcicienormalne">
    <w:name w:val="Normal Indent"/>
    <w:basedOn w:val="Normalny"/>
    <w:uiPriority w:val="98"/>
    <w:semiHidden/>
    <w:rsid w:val="005B12FD"/>
    <w:pPr>
      <w:ind w:left="720"/>
    </w:pPr>
  </w:style>
  <w:style w:type="paragraph" w:customStyle="1" w:styleId="ECHRBullet4">
    <w:name w:val="ECHR_Bullet_4"/>
    <w:aliases w:val="_Bul_4"/>
    <w:basedOn w:val="ECHRBullet3"/>
    <w:uiPriority w:val="23"/>
    <w:semiHidden/>
    <w:rsid w:val="005B12FD"/>
    <w:pPr>
      <w:numPr>
        <w:ilvl w:val="3"/>
      </w:numPr>
    </w:pPr>
  </w:style>
  <w:style w:type="paragraph" w:customStyle="1" w:styleId="ECHRConfidential">
    <w:name w:val="ECHR_Confidential"/>
    <w:aliases w:val="_Confidential"/>
    <w:basedOn w:val="Normalny"/>
    <w:next w:val="Normalny"/>
    <w:uiPriority w:val="42"/>
    <w:semiHidden/>
    <w:qFormat/>
    <w:rsid w:val="005B12FD"/>
    <w:pPr>
      <w:jc w:val="right"/>
    </w:pPr>
    <w:rPr>
      <w:color w:val="C00000"/>
      <w:sz w:val="20"/>
    </w:rPr>
  </w:style>
  <w:style w:type="character" w:styleId="Tekstzastpczy">
    <w:name w:val="Placeholder Text"/>
    <w:basedOn w:val="Domylnaczcionkaakapitu"/>
    <w:uiPriority w:val="98"/>
    <w:semiHidden/>
    <w:rsid w:val="005B12F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B12F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5B12FD"/>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5B12FD"/>
  </w:style>
  <w:style w:type="character" w:customStyle="1" w:styleId="ZwrotgrzecznociowyZnak">
    <w:name w:val="Zwrot grzecznościowy Znak"/>
    <w:basedOn w:val="Domylnaczcionkaakapitu"/>
    <w:link w:val="Zwrotgrzecznociowy"/>
    <w:uiPriority w:val="98"/>
    <w:semiHidden/>
    <w:rsid w:val="005B12FD"/>
    <w:rPr>
      <w:sz w:val="24"/>
      <w:szCs w:val="24"/>
      <w:lang w:val="pl-PL"/>
    </w:rPr>
  </w:style>
  <w:style w:type="paragraph" w:styleId="Podpis">
    <w:name w:val="Signature"/>
    <w:basedOn w:val="Normalny"/>
    <w:link w:val="PodpisZnak"/>
    <w:uiPriority w:val="98"/>
    <w:semiHidden/>
    <w:rsid w:val="005B12FD"/>
    <w:pPr>
      <w:ind w:left="4252"/>
    </w:pPr>
  </w:style>
  <w:style w:type="character" w:customStyle="1" w:styleId="PodpisZnak">
    <w:name w:val="Podpis Znak"/>
    <w:basedOn w:val="Domylnaczcionkaakapitu"/>
    <w:link w:val="Podpis"/>
    <w:uiPriority w:val="98"/>
    <w:semiHidden/>
    <w:rsid w:val="005B12FD"/>
    <w:rPr>
      <w:sz w:val="24"/>
      <w:szCs w:val="24"/>
      <w:lang w:val="pl-PL"/>
    </w:rPr>
  </w:style>
  <w:style w:type="table" w:styleId="Tabela-Efekty3D1">
    <w:name w:val="Table 3D effects 1"/>
    <w:basedOn w:val="Standardowy"/>
    <w:uiPriority w:val="99"/>
    <w:semiHidden/>
    <w:unhideWhenUsed/>
    <w:rsid w:val="005B12F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B12F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B12F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B12F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B12F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B12F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B12F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B12F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B12F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B12F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B12F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B12F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B12F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B12F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B12F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B12F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B12F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B12F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B12F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B12F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B12F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B12F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B12F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B12F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B12F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B12F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B12F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B12F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B12F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B12F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B12FD"/>
    <w:pPr>
      <w:ind w:left="240" w:hanging="240"/>
    </w:pPr>
  </w:style>
  <w:style w:type="paragraph" w:styleId="Spisilustracji">
    <w:name w:val="table of figures"/>
    <w:basedOn w:val="Normalny"/>
    <w:next w:val="Normalny"/>
    <w:uiPriority w:val="98"/>
    <w:semiHidden/>
    <w:rsid w:val="005B12FD"/>
  </w:style>
  <w:style w:type="table" w:styleId="Tabela-Profesjonalny">
    <w:name w:val="Table Professional"/>
    <w:basedOn w:val="Standardowy"/>
    <w:uiPriority w:val="99"/>
    <w:semiHidden/>
    <w:unhideWhenUsed/>
    <w:rsid w:val="005B12F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B12F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B12F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B12F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B12F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B12F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B12F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B12F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B12F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B12F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B12F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B12F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B12FD"/>
    <w:pPr>
      <w:spacing w:after="100"/>
      <w:ind w:left="1680"/>
    </w:pPr>
  </w:style>
  <w:style w:type="paragraph" w:styleId="Spistreci9">
    <w:name w:val="toc 9"/>
    <w:basedOn w:val="Normalny"/>
    <w:next w:val="Normalny"/>
    <w:autoRedefine/>
    <w:uiPriority w:val="98"/>
    <w:semiHidden/>
    <w:rsid w:val="005B12FD"/>
    <w:pPr>
      <w:spacing w:after="100"/>
      <w:ind w:left="1920"/>
    </w:pPr>
  </w:style>
  <w:style w:type="paragraph" w:customStyle="1" w:styleId="ECHRDivisionName">
    <w:name w:val="ECHR_DivisionName"/>
    <w:aliases w:val="_Div_Name"/>
    <w:basedOn w:val="Normalny"/>
    <w:link w:val="ECHRDivisionNameChar"/>
    <w:uiPriority w:val="41"/>
    <w:semiHidden/>
    <w:qFormat/>
    <w:rsid w:val="005B12F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5B12FD"/>
    <w:rPr>
      <w:rFonts w:ascii="Arial" w:hAnsi="Arial"/>
      <w:i/>
      <w:color w:val="002856"/>
      <w:sz w:val="32"/>
      <w:szCs w:val="24"/>
      <w:lang w:val="pl-PL"/>
    </w:rPr>
  </w:style>
  <w:style w:type="paragraph" w:customStyle="1" w:styleId="DummyStyle">
    <w:name w:val="Dummy_Style"/>
    <w:aliases w:val="_Dummy"/>
    <w:basedOn w:val="Normalny"/>
    <w:semiHidden/>
    <w:qFormat/>
    <w:rsid w:val="005B12FD"/>
    <w:rPr>
      <w:color w:val="00B050"/>
      <w:sz w:val="22"/>
    </w:rPr>
  </w:style>
  <w:style w:type="paragraph" w:customStyle="1" w:styleId="ECHRFooterLineLandscape">
    <w:name w:val="ECHR_Footer_Line_Landscape"/>
    <w:aliases w:val="_Footer_Line_Landscape"/>
    <w:basedOn w:val="Normalny"/>
    <w:uiPriority w:val="30"/>
    <w:semiHidden/>
    <w:rsid w:val="005B12F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5B12FD"/>
    <w:pPr>
      <w:ind w:left="567" w:hanging="567"/>
    </w:pPr>
  </w:style>
  <w:style w:type="paragraph" w:styleId="Nagweknotatki">
    <w:name w:val="Note Heading"/>
    <w:basedOn w:val="Normalny"/>
    <w:next w:val="Normalny"/>
    <w:link w:val="NagweknotatkiZnak"/>
    <w:uiPriority w:val="98"/>
    <w:semiHidden/>
    <w:rsid w:val="005B12FD"/>
  </w:style>
  <w:style w:type="character" w:customStyle="1" w:styleId="NagweknotatkiZnak">
    <w:name w:val="Nagłówek notatki Znak"/>
    <w:basedOn w:val="Domylnaczcionkaakapitu"/>
    <w:link w:val="Nagweknotatki"/>
    <w:uiPriority w:val="98"/>
    <w:semiHidden/>
    <w:rsid w:val="005B12FD"/>
    <w:rPr>
      <w:sz w:val="24"/>
      <w:szCs w:val="24"/>
      <w:lang w:val="pl-PL"/>
    </w:rPr>
  </w:style>
  <w:style w:type="character" w:customStyle="1" w:styleId="ECHRParaChar">
    <w:name w:val="ECHR_Para Char"/>
    <w:aliases w:val="Ju_Para Char"/>
    <w:link w:val="JuPara"/>
    <w:uiPriority w:val="4"/>
    <w:rsid w:val="008C21CB"/>
    <w:rPr>
      <w:sz w:val="24"/>
      <w:szCs w:val="24"/>
      <w:lang w:val="pl-PL"/>
    </w:rPr>
  </w:style>
  <w:style w:type="character" w:customStyle="1" w:styleId="JuQuotChar">
    <w:name w:val="Ju_Quot Char"/>
    <w:link w:val="JuQuot"/>
    <w:uiPriority w:val="20"/>
    <w:rsid w:val="008C21CB"/>
    <w:rPr>
      <w:sz w:val="20"/>
      <w:szCs w:val="24"/>
      <w:lang w:val="pl-PL"/>
    </w:rPr>
  </w:style>
  <w:style w:type="paragraph" w:customStyle="1" w:styleId="ECHRParaSpaced">
    <w:name w:val="ECHR_Para_Spaced"/>
    <w:aliases w:val="Para_Spaced"/>
    <w:basedOn w:val="JuPara"/>
    <w:uiPriority w:val="4"/>
    <w:rsid w:val="00471B43"/>
    <w:pPr>
      <w:spacing w:before="120" w:after="120"/>
      <w:ind w:firstLine="0"/>
    </w:pPr>
    <w:rPr>
      <w:sz w:val="22"/>
    </w:rPr>
  </w:style>
  <w:style w:type="character" w:customStyle="1" w:styleId="JuHAChar">
    <w:name w:val="Ju_H_A Char"/>
    <w:basedOn w:val="Domylnaczcionkaakapitu"/>
    <w:link w:val="JuHA"/>
    <w:uiPriority w:val="17"/>
    <w:rsid w:val="001221E7"/>
    <w:rPr>
      <w:rFonts w:asciiTheme="majorHAnsi" w:eastAsiaTheme="majorEastAsia" w:hAnsiTheme="majorHAnsi" w:cstheme="majorBidi"/>
      <w:b/>
      <w:bCs/>
      <w:szCs w:val="24"/>
      <w:lang w:val="pl-PL"/>
    </w:rPr>
  </w:style>
  <w:style w:type="paragraph" w:styleId="Poprawka">
    <w:name w:val="Revision"/>
    <w:hidden/>
    <w:uiPriority w:val="99"/>
    <w:semiHidden/>
    <w:rsid w:val="00EF7AD7"/>
    <w:rPr>
      <w:rFonts w:eastAsiaTheme="minorEastAsia"/>
      <w:sz w:val="24"/>
    </w:rPr>
  </w:style>
  <w:style w:type="paragraph" w:customStyle="1" w:styleId="ECHRHeaderLandscape">
    <w:name w:val="ECHR_Header_Landscape"/>
    <w:aliases w:val="_Header_Landscape"/>
    <w:basedOn w:val="JuHeader"/>
    <w:uiPriority w:val="29"/>
    <w:semiHidden/>
    <w:rsid w:val="005B12FD"/>
    <w:pPr>
      <w:tabs>
        <w:tab w:val="center" w:pos="6146"/>
        <w:tab w:val="right" w:pos="13778"/>
      </w:tabs>
      <w:ind w:left="-1474" w:right="-1474"/>
    </w:pPr>
  </w:style>
  <w:style w:type="paragraph" w:customStyle="1" w:styleId="ECHRParaIndent">
    <w:name w:val="ECHR_Para_Indent"/>
    <w:aliases w:val="_Indent"/>
    <w:basedOn w:val="Normalny"/>
    <w:uiPriority w:val="7"/>
    <w:semiHidden/>
    <w:qFormat/>
    <w:rsid w:val="005B12FD"/>
    <w:pPr>
      <w:spacing w:before="120" w:after="120"/>
      <w:ind w:left="284"/>
    </w:pPr>
  </w:style>
  <w:style w:type="paragraph" w:customStyle="1" w:styleId="JuJudges">
    <w:name w:val="Ju_Judges"/>
    <w:aliases w:val="_Judges"/>
    <w:basedOn w:val="Normalny"/>
    <w:uiPriority w:val="32"/>
    <w:qFormat/>
    <w:rsid w:val="005B12FD"/>
    <w:pPr>
      <w:tabs>
        <w:tab w:val="left" w:pos="567"/>
        <w:tab w:val="left" w:pos="1134"/>
      </w:tabs>
    </w:pPr>
  </w:style>
  <w:style w:type="paragraph" w:customStyle="1" w:styleId="ECHRLine">
    <w:name w:val="ECHR_Line"/>
    <w:aliases w:val="_Line"/>
    <w:basedOn w:val="Normalny"/>
    <w:next w:val="Normalny"/>
    <w:uiPriority w:val="46"/>
    <w:semiHidden/>
    <w:rsid w:val="005B12FD"/>
    <w:pPr>
      <w:pBdr>
        <w:bottom w:val="single" w:sz="12" w:space="1" w:color="949494" w:themeColor="text2" w:themeShade="BF"/>
      </w:pBdr>
      <w:spacing w:after="120"/>
    </w:pPr>
    <w:rPr>
      <w:sz w:val="12"/>
    </w:rPr>
  </w:style>
  <w:style w:type="paragraph" w:customStyle="1" w:styleId="ECHRHeading9">
    <w:name w:val="ECHR_Heading_9"/>
    <w:aliases w:val="_Head_9"/>
    <w:basedOn w:val="Nagwek9"/>
    <w:uiPriority w:val="17"/>
    <w:semiHidden/>
    <w:rsid w:val="005B12FD"/>
    <w:pPr>
      <w:keepNext/>
      <w:keepLines/>
      <w:numPr>
        <w:ilvl w:val="8"/>
        <w:numId w:val="2"/>
      </w:numPr>
      <w:spacing w:before="100" w:beforeAutospacing="1"/>
      <w:contextualSpacing/>
    </w:pPr>
    <w:rPr>
      <w:i w:val="0"/>
      <w:sz w:val="18"/>
    </w:rPr>
  </w:style>
  <w:style w:type="paragraph" w:customStyle="1" w:styleId="ECHRCoverTitle1">
    <w:name w:val="ECHR_Cover_Title_1"/>
    <w:aliases w:val="_Title_1"/>
    <w:basedOn w:val="Normalny"/>
    <w:next w:val="Normalny"/>
    <w:uiPriority w:val="38"/>
    <w:qFormat/>
    <w:rsid w:val="00BE67E7"/>
    <w:pPr>
      <w:spacing w:before="840"/>
      <w:contextualSpacing/>
      <w:jc w:val="center"/>
    </w:pPr>
    <w:rPr>
      <w:color w:val="2F2F2F" w:themeColor="accent3" w:themeShade="80"/>
      <w:sz w:val="36"/>
    </w:rPr>
  </w:style>
  <w:style w:type="paragraph" w:customStyle="1" w:styleId="ECHRNumberedList1">
    <w:name w:val="ECHR_Numbered_List_1"/>
    <w:aliases w:val="_Num_1"/>
    <w:basedOn w:val="Normalny"/>
    <w:uiPriority w:val="23"/>
    <w:semiHidden/>
    <w:qFormat/>
    <w:rsid w:val="005B12FD"/>
    <w:pPr>
      <w:numPr>
        <w:numId w:val="8"/>
      </w:numPr>
      <w:spacing w:before="60" w:after="60"/>
    </w:pPr>
  </w:style>
  <w:style w:type="paragraph" w:customStyle="1" w:styleId="ECHRNumberedList2">
    <w:name w:val="ECHR_Numbered_List_2"/>
    <w:aliases w:val="_Num_2"/>
    <w:basedOn w:val="ECHRNumberedList1"/>
    <w:uiPriority w:val="23"/>
    <w:semiHidden/>
    <w:rsid w:val="005B12FD"/>
    <w:pPr>
      <w:numPr>
        <w:ilvl w:val="1"/>
      </w:numPr>
    </w:pPr>
  </w:style>
  <w:style w:type="paragraph" w:customStyle="1" w:styleId="ECHRNumberedList3">
    <w:name w:val="ECHR_Numbered_List_3"/>
    <w:aliases w:val="_Num_3"/>
    <w:basedOn w:val="ECHRNumberedList2"/>
    <w:uiPriority w:val="23"/>
    <w:semiHidden/>
    <w:rsid w:val="005B12FD"/>
    <w:pPr>
      <w:numPr>
        <w:ilvl w:val="2"/>
      </w:numPr>
    </w:pPr>
  </w:style>
  <w:style w:type="paragraph" w:customStyle="1" w:styleId="ECHRPlaceholder">
    <w:name w:val="ECHR_Placeholder"/>
    <w:aliases w:val="_Placeholder"/>
    <w:basedOn w:val="Normalny"/>
    <w:uiPriority w:val="31"/>
    <w:rsid w:val="005B12FD"/>
    <w:pPr>
      <w:tabs>
        <w:tab w:val="center" w:pos="851"/>
        <w:tab w:val="center" w:pos="6407"/>
      </w:tabs>
      <w:spacing w:before="720"/>
    </w:pPr>
    <w:rPr>
      <w:color w:val="FFFFFF"/>
    </w:rPr>
  </w:style>
  <w:style w:type="character" w:customStyle="1" w:styleId="ECHRRed">
    <w:name w:val="ECHR_Red"/>
    <w:aliases w:val="_Red"/>
    <w:basedOn w:val="Domylnaczcionkaakapitu"/>
    <w:uiPriority w:val="15"/>
    <w:semiHidden/>
    <w:qFormat/>
    <w:rsid w:val="005B12FD"/>
    <w:rPr>
      <w:color w:val="C00000" w:themeColor="accent2"/>
    </w:rPr>
  </w:style>
  <w:style w:type="paragraph" w:customStyle="1" w:styleId="ECHRHeaderDate">
    <w:name w:val="ECHR_Header_Date"/>
    <w:aliases w:val="_Ref_Date"/>
    <w:basedOn w:val="Normalny"/>
    <w:uiPriority w:val="44"/>
    <w:semiHidden/>
    <w:qFormat/>
    <w:rsid w:val="005B12FD"/>
    <w:pPr>
      <w:jc w:val="right"/>
    </w:pPr>
    <w:rPr>
      <w:sz w:val="20"/>
    </w:rPr>
  </w:style>
  <w:style w:type="paragraph" w:customStyle="1" w:styleId="ECHRHeaderRefIt">
    <w:name w:val="ECHR_Header_Ref_It"/>
    <w:aliases w:val="_Ref_Ital"/>
    <w:basedOn w:val="Normalny"/>
    <w:next w:val="ECHRHeaderDate"/>
    <w:uiPriority w:val="43"/>
    <w:semiHidden/>
    <w:qFormat/>
    <w:rsid w:val="005B12FD"/>
    <w:pPr>
      <w:jc w:val="right"/>
    </w:pPr>
    <w:rPr>
      <w:i/>
      <w:sz w:val="20"/>
    </w:rPr>
  </w:style>
  <w:style w:type="paragraph" w:customStyle="1" w:styleId="ECHRSpacer">
    <w:name w:val="ECHR_Spacer"/>
    <w:aliases w:val="_Spacer"/>
    <w:basedOn w:val="Normalny"/>
    <w:uiPriority w:val="45"/>
    <w:semiHidden/>
    <w:rsid w:val="005B12FD"/>
    <w:rPr>
      <w:sz w:val="4"/>
    </w:rPr>
  </w:style>
  <w:style w:type="paragraph" w:customStyle="1" w:styleId="ECHRCoverTitle4">
    <w:name w:val="ECHR_Cover_Title_4"/>
    <w:aliases w:val="_Title_4"/>
    <w:basedOn w:val="JuPara"/>
    <w:next w:val="JuPara"/>
    <w:uiPriority w:val="38"/>
    <w:qFormat/>
    <w:rsid w:val="005B12FD"/>
    <w:pPr>
      <w:keepNext/>
      <w:keepLines/>
      <w:tabs>
        <w:tab w:val="right" w:pos="7938"/>
      </w:tabs>
      <w:ind w:firstLine="0"/>
      <w:jc w:val="center"/>
    </w:pPr>
    <w:rPr>
      <w:i/>
    </w:rPr>
  </w:style>
  <w:style w:type="paragraph" w:customStyle="1" w:styleId="ECHRTitleCentre2">
    <w:name w:val="ECHR_Title_Centre_2"/>
    <w:aliases w:val="_Title_C_2"/>
    <w:basedOn w:val="Normalny"/>
    <w:next w:val="Normalny"/>
    <w:uiPriority w:val="26"/>
    <w:semiHidden/>
    <w:qFormat/>
    <w:rsid w:val="005B12F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TOC1">
    <w:name w:val="ECHR_Title_Centre_TOC_1"/>
    <w:aliases w:val="_Title_C_TOC"/>
    <w:basedOn w:val="ECHRTitleCentre1"/>
    <w:next w:val="Normalny"/>
    <w:uiPriority w:val="25"/>
    <w:semiHidden/>
    <w:qFormat/>
    <w:rsid w:val="005B12FD"/>
    <w:pPr>
      <w:outlineLvl w:val="0"/>
    </w:pPr>
  </w:style>
  <w:style w:type="paragraph" w:customStyle="1" w:styleId="ECHRTitle1">
    <w:name w:val="ECHR_Title_1"/>
    <w:aliases w:val="_Title_L_1"/>
    <w:basedOn w:val="Normalny"/>
    <w:next w:val="Normalny"/>
    <w:uiPriority w:val="28"/>
    <w:semiHidden/>
    <w:qFormat/>
    <w:rsid w:val="005B12F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5B12F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5B12F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5B12FD"/>
    <w:pPr>
      <w:outlineLvl w:val="0"/>
    </w:pPr>
  </w:style>
  <w:style w:type="paragraph" w:customStyle="1" w:styleId="JuHArticle">
    <w:name w:val="Ju_H_Article"/>
    <w:aliases w:val="_Title_Quote"/>
    <w:basedOn w:val="Normalny"/>
    <w:next w:val="JuQuot"/>
    <w:uiPriority w:val="19"/>
    <w:qFormat/>
    <w:rsid w:val="005B12FD"/>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5B12FD"/>
    <w:pPr>
      <w:numPr>
        <w:numId w:val="6"/>
      </w:numPr>
    </w:pPr>
  </w:style>
  <w:style w:type="numbering" w:customStyle="1" w:styleId="ECHRA1StyleList">
    <w:name w:val="ECHR_A1_Style_List"/>
    <w:basedOn w:val="Bezlisty"/>
    <w:uiPriority w:val="99"/>
    <w:rsid w:val="005B12FD"/>
    <w:pPr>
      <w:numPr>
        <w:numId w:val="7"/>
      </w:numPr>
    </w:pPr>
  </w:style>
  <w:style w:type="numbering" w:customStyle="1" w:styleId="ECHRA1StyleNumberedList">
    <w:name w:val="ECHR_A1_Style_Numbered_List"/>
    <w:basedOn w:val="Bezlisty"/>
    <w:rsid w:val="005B12FD"/>
    <w:pPr>
      <w:numPr>
        <w:numId w:val="8"/>
      </w:numPr>
    </w:pPr>
  </w:style>
  <w:style w:type="table" w:customStyle="1" w:styleId="ECHRTable2">
    <w:name w:val="ECHR_Table_2"/>
    <w:basedOn w:val="Standardowy"/>
    <w:uiPriority w:val="99"/>
    <w:rsid w:val="005B12F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B12F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5B12F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Grey">
    <w:name w:val="ECHR_Table_Grey"/>
    <w:basedOn w:val="Standardowy"/>
    <w:uiPriority w:val="99"/>
    <w:rsid w:val="005B12F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NormalJustified">
    <w:name w:val="Normal_Justified"/>
    <w:basedOn w:val="Normalny"/>
    <w:semiHidden/>
    <w:rsid w:val="005B12FD"/>
    <w:pPr>
      <w:jc w:val="both"/>
    </w:pPr>
  </w:style>
  <w:style w:type="table" w:styleId="Tabelasiatki1jasna">
    <w:name w:val="Grid Table 1 Light"/>
    <w:basedOn w:val="Standardowy"/>
    <w:uiPriority w:val="46"/>
    <w:semiHidden/>
    <w:rsid w:val="005B12F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5B12F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B12F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5B12F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5B12F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B12F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B12F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B12F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B12F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B12F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B12F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5B12F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B12F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B12F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B12F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B12F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B12F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B12F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5B12F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B12F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B12F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B12F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B12F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B12F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B12F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5B12F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B12F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B12F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B12F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B12F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B12F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B12F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B12F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5B12F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B12F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B12F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B12F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B12F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B12F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B12F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5B12F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B12F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B12F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B12FD"/>
    <w:rPr>
      <w:color w:val="2B579A"/>
      <w:shd w:val="clear" w:color="auto" w:fill="E1DFDD"/>
    </w:rPr>
  </w:style>
  <w:style w:type="table" w:styleId="Tabelalisty1jasna">
    <w:name w:val="List Table 1 Light"/>
    <w:basedOn w:val="Standardowy"/>
    <w:uiPriority w:val="46"/>
    <w:semiHidden/>
    <w:rsid w:val="005B12F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B12F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B12F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B12F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5B12F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B12F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B12F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B12F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B12F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B12F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B12F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5B12F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B12F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B12F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B12F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B12F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B12F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B12F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5B12F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B12F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B12F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B12F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B12F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B12F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B12F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5B12F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B12F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B12F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B12F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B12F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B12F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B12F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B12F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B12F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B12F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B12F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B12F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B12F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B12F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5B12F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B12F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B12F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B12F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B12F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B12F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B12F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B12F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B12F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B12F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B12FD"/>
    <w:rPr>
      <w:color w:val="2B579A"/>
      <w:shd w:val="clear" w:color="auto" w:fill="E1DFDD"/>
    </w:rPr>
  </w:style>
  <w:style w:type="table" w:styleId="Zwykatabela1">
    <w:name w:val="Plain Table 1"/>
    <w:basedOn w:val="Standardowy"/>
    <w:uiPriority w:val="41"/>
    <w:semiHidden/>
    <w:rsid w:val="005B12F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5B12F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B12F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B12F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5B12F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5B12FD"/>
    <w:rPr>
      <w:u w:val="dotted"/>
    </w:rPr>
  </w:style>
  <w:style w:type="character" w:customStyle="1" w:styleId="SmartLink1">
    <w:name w:val="SmartLink1"/>
    <w:basedOn w:val="Domylnaczcionkaakapitu"/>
    <w:uiPriority w:val="99"/>
    <w:semiHidden/>
    <w:unhideWhenUsed/>
    <w:rsid w:val="005B12FD"/>
    <w:rPr>
      <w:color w:val="0000FF"/>
      <w:u w:val="single"/>
      <w:shd w:val="clear" w:color="auto" w:fill="F3F2F1"/>
    </w:rPr>
  </w:style>
  <w:style w:type="table" w:styleId="Siatkatabelijasna">
    <w:name w:val="Grid Table Light"/>
    <w:basedOn w:val="Standardowy"/>
    <w:uiPriority w:val="40"/>
    <w:semiHidden/>
    <w:rsid w:val="005B12F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5B12FD"/>
    <w:rPr>
      <w:color w:val="605E5C"/>
      <w:shd w:val="clear" w:color="auto" w:fill="E1DFDD"/>
    </w:rPr>
  </w:style>
  <w:style w:type="paragraph" w:customStyle="1" w:styleId="jupara0">
    <w:name w:val="jupara"/>
    <w:basedOn w:val="Normalny"/>
    <w:rsid w:val="00257F14"/>
    <w:pPr>
      <w:ind w:firstLine="284"/>
      <w:jc w:val="both"/>
    </w:pPr>
    <w:rPr>
      <w:rFonts w:ascii="Times New Roman" w:eastAsia="Times New Roman" w:hAnsi="Times New Roman" w:cs="Times New Roman"/>
      <w:lang w:eastAsia="en-GB"/>
    </w:rPr>
  </w:style>
  <w:style w:type="paragraph" w:customStyle="1" w:styleId="jucase0">
    <w:name w:val="jucase"/>
    <w:basedOn w:val="Normalny"/>
    <w:rsid w:val="00257F14"/>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6948">
      <w:bodyDiv w:val="1"/>
      <w:marLeft w:val="0"/>
      <w:marRight w:val="0"/>
      <w:marTop w:val="0"/>
      <w:marBottom w:val="0"/>
      <w:divBdr>
        <w:top w:val="none" w:sz="0" w:space="0" w:color="auto"/>
        <w:left w:val="none" w:sz="0" w:space="0" w:color="auto"/>
        <w:bottom w:val="none" w:sz="0" w:space="0" w:color="auto"/>
        <w:right w:val="none" w:sz="0" w:space="0" w:color="auto"/>
      </w:divBdr>
      <w:divsChild>
        <w:div w:id="525018842">
          <w:marLeft w:val="0"/>
          <w:marRight w:val="0"/>
          <w:marTop w:val="0"/>
          <w:marBottom w:val="0"/>
          <w:divBdr>
            <w:top w:val="none" w:sz="0" w:space="0" w:color="auto"/>
            <w:left w:val="none" w:sz="0" w:space="0" w:color="auto"/>
            <w:bottom w:val="none" w:sz="0" w:space="0" w:color="auto"/>
            <w:right w:val="none" w:sz="0" w:space="0" w:color="auto"/>
          </w:divBdr>
          <w:divsChild>
            <w:div w:id="240606208">
              <w:marLeft w:val="0"/>
              <w:marRight w:val="0"/>
              <w:marTop w:val="0"/>
              <w:marBottom w:val="0"/>
              <w:divBdr>
                <w:top w:val="none" w:sz="0" w:space="0" w:color="auto"/>
                <w:left w:val="none" w:sz="0" w:space="0" w:color="auto"/>
                <w:bottom w:val="none" w:sz="0" w:space="0" w:color="auto"/>
                <w:right w:val="none" w:sz="0" w:space="0" w:color="auto"/>
              </w:divBdr>
              <w:divsChild>
                <w:div w:id="994917761">
                  <w:marLeft w:val="0"/>
                  <w:marRight w:val="0"/>
                  <w:marTop w:val="0"/>
                  <w:marBottom w:val="0"/>
                  <w:divBdr>
                    <w:top w:val="none" w:sz="0" w:space="0" w:color="auto"/>
                    <w:left w:val="none" w:sz="0" w:space="0" w:color="auto"/>
                    <w:bottom w:val="none" w:sz="0" w:space="0" w:color="auto"/>
                    <w:right w:val="none" w:sz="0" w:space="0" w:color="auto"/>
                  </w:divBdr>
                  <w:divsChild>
                    <w:div w:id="2083871058">
                      <w:marLeft w:val="0"/>
                      <w:marRight w:val="0"/>
                      <w:marTop w:val="0"/>
                      <w:marBottom w:val="0"/>
                      <w:divBdr>
                        <w:top w:val="none" w:sz="0" w:space="0" w:color="auto"/>
                        <w:left w:val="none" w:sz="0" w:space="0" w:color="auto"/>
                        <w:bottom w:val="none" w:sz="0" w:space="0" w:color="auto"/>
                        <w:right w:val="none" w:sz="0" w:space="0" w:color="auto"/>
                      </w:divBdr>
                      <w:divsChild>
                        <w:div w:id="1534532329">
                          <w:marLeft w:val="0"/>
                          <w:marRight w:val="0"/>
                          <w:marTop w:val="0"/>
                          <w:marBottom w:val="0"/>
                          <w:divBdr>
                            <w:top w:val="none" w:sz="0" w:space="0" w:color="auto"/>
                            <w:left w:val="none" w:sz="0" w:space="0" w:color="auto"/>
                            <w:bottom w:val="none" w:sz="0" w:space="0" w:color="auto"/>
                            <w:right w:val="none" w:sz="0" w:space="0" w:color="auto"/>
                          </w:divBdr>
                          <w:divsChild>
                            <w:div w:id="118274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50889">
      <w:bodyDiv w:val="1"/>
      <w:marLeft w:val="0"/>
      <w:marRight w:val="0"/>
      <w:marTop w:val="0"/>
      <w:marBottom w:val="0"/>
      <w:divBdr>
        <w:top w:val="none" w:sz="0" w:space="0" w:color="auto"/>
        <w:left w:val="none" w:sz="0" w:space="0" w:color="auto"/>
        <w:bottom w:val="none" w:sz="0" w:space="0" w:color="auto"/>
        <w:right w:val="none" w:sz="0" w:space="0" w:color="auto"/>
      </w:divBdr>
      <w:divsChild>
        <w:div w:id="605116749">
          <w:marLeft w:val="0"/>
          <w:marRight w:val="0"/>
          <w:marTop w:val="0"/>
          <w:marBottom w:val="0"/>
          <w:divBdr>
            <w:top w:val="none" w:sz="0" w:space="0" w:color="auto"/>
            <w:left w:val="none" w:sz="0" w:space="0" w:color="auto"/>
            <w:bottom w:val="none" w:sz="0" w:space="0" w:color="auto"/>
            <w:right w:val="none" w:sz="0" w:space="0" w:color="auto"/>
          </w:divBdr>
          <w:divsChild>
            <w:div w:id="2095589887">
              <w:marLeft w:val="0"/>
              <w:marRight w:val="0"/>
              <w:marTop w:val="0"/>
              <w:marBottom w:val="0"/>
              <w:divBdr>
                <w:top w:val="none" w:sz="0" w:space="0" w:color="auto"/>
                <w:left w:val="none" w:sz="0" w:space="0" w:color="auto"/>
                <w:bottom w:val="none" w:sz="0" w:space="0" w:color="auto"/>
                <w:right w:val="none" w:sz="0" w:space="0" w:color="auto"/>
              </w:divBdr>
              <w:divsChild>
                <w:div w:id="1944418612">
                  <w:marLeft w:val="0"/>
                  <w:marRight w:val="0"/>
                  <w:marTop w:val="0"/>
                  <w:marBottom w:val="0"/>
                  <w:divBdr>
                    <w:top w:val="none" w:sz="0" w:space="0" w:color="auto"/>
                    <w:left w:val="none" w:sz="0" w:space="0" w:color="auto"/>
                    <w:bottom w:val="none" w:sz="0" w:space="0" w:color="auto"/>
                    <w:right w:val="none" w:sz="0" w:space="0" w:color="auto"/>
                  </w:divBdr>
                  <w:divsChild>
                    <w:div w:id="1132288463">
                      <w:marLeft w:val="0"/>
                      <w:marRight w:val="0"/>
                      <w:marTop w:val="0"/>
                      <w:marBottom w:val="0"/>
                      <w:divBdr>
                        <w:top w:val="none" w:sz="0" w:space="0" w:color="auto"/>
                        <w:left w:val="none" w:sz="0" w:space="0" w:color="auto"/>
                        <w:bottom w:val="none" w:sz="0" w:space="0" w:color="auto"/>
                        <w:right w:val="none" w:sz="0" w:space="0" w:color="auto"/>
                      </w:divBdr>
                      <w:divsChild>
                        <w:div w:id="43212138">
                          <w:marLeft w:val="0"/>
                          <w:marRight w:val="0"/>
                          <w:marTop w:val="0"/>
                          <w:marBottom w:val="0"/>
                          <w:divBdr>
                            <w:top w:val="none" w:sz="0" w:space="0" w:color="auto"/>
                            <w:left w:val="none" w:sz="0" w:space="0" w:color="auto"/>
                            <w:bottom w:val="none" w:sz="0" w:space="0" w:color="auto"/>
                            <w:right w:val="none" w:sz="0" w:space="0" w:color="auto"/>
                          </w:divBdr>
                          <w:divsChild>
                            <w:div w:id="64732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09191">
      <w:bodyDiv w:val="1"/>
      <w:marLeft w:val="0"/>
      <w:marRight w:val="0"/>
      <w:marTop w:val="0"/>
      <w:marBottom w:val="0"/>
      <w:divBdr>
        <w:top w:val="none" w:sz="0" w:space="0" w:color="auto"/>
        <w:left w:val="none" w:sz="0" w:space="0" w:color="auto"/>
        <w:bottom w:val="none" w:sz="0" w:space="0" w:color="auto"/>
        <w:right w:val="none" w:sz="0" w:space="0" w:color="auto"/>
      </w:divBdr>
      <w:divsChild>
        <w:div w:id="939021054">
          <w:marLeft w:val="0"/>
          <w:marRight w:val="0"/>
          <w:marTop w:val="0"/>
          <w:marBottom w:val="0"/>
          <w:divBdr>
            <w:top w:val="none" w:sz="0" w:space="0" w:color="auto"/>
            <w:left w:val="none" w:sz="0" w:space="0" w:color="auto"/>
            <w:bottom w:val="none" w:sz="0" w:space="0" w:color="auto"/>
            <w:right w:val="none" w:sz="0" w:space="0" w:color="auto"/>
          </w:divBdr>
          <w:divsChild>
            <w:div w:id="1381437940">
              <w:marLeft w:val="0"/>
              <w:marRight w:val="0"/>
              <w:marTop w:val="0"/>
              <w:marBottom w:val="0"/>
              <w:divBdr>
                <w:top w:val="none" w:sz="0" w:space="0" w:color="auto"/>
                <w:left w:val="none" w:sz="0" w:space="0" w:color="auto"/>
                <w:bottom w:val="none" w:sz="0" w:space="0" w:color="auto"/>
                <w:right w:val="none" w:sz="0" w:space="0" w:color="auto"/>
              </w:divBdr>
              <w:divsChild>
                <w:div w:id="832136862">
                  <w:marLeft w:val="0"/>
                  <w:marRight w:val="0"/>
                  <w:marTop w:val="0"/>
                  <w:marBottom w:val="0"/>
                  <w:divBdr>
                    <w:top w:val="none" w:sz="0" w:space="0" w:color="auto"/>
                    <w:left w:val="none" w:sz="0" w:space="0" w:color="auto"/>
                    <w:bottom w:val="none" w:sz="0" w:space="0" w:color="auto"/>
                    <w:right w:val="none" w:sz="0" w:space="0" w:color="auto"/>
                  </w:divBdr>
                  <w:divsChild>
                    <w:div w:id="86274404">
                      <w:marLeft w:val="0"/>
                      <w:marRight w:val="0"/>
                      <w:marTop w:val="0"/>
                      <w:marBottom w:val="0"/>
                      <w:divBdr>
                        <w:top w:val="none" w:sz="0" w:space="0" w:color="auto"/>
                        <w:left w:val="none" w:sz="0" w:space="0" w:color="auto"/>
                        <w:bottom w:val="none" w:sz="0" w:space="0" w:color="auto"/>
                        <w:right w:val="none" w:sz="0" w:space="0" w:color="auto"/>
                      </w:divBdr>
                      <w:divsChild>
                        <w:div w:id="1604387063">
                          <w:marLeft w:val="0"/>
                          <w:marRight w:val="0"/>
                          <w:marTop w:val="0"/>
                          <w:marBottom w:val="0"/>
                          <w:divBdr>
                            <w:top w:val="none" w:sz="0" w:space="0" w:color="auto"/>
                            <w:left w:val="none" w:sz="0" w:space="0" w:color="auto"/>
                            <w:bottom w:val="none" w:sz="0" w:space="0" w:color="auto"/>
                            <w:right w:val="none" w:sz="0" w:space="0" w:color="auto"/>
                          </w:divBdr>
                          <w:divsChild>
                            <w:div w:id="204879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961887">
      <w:bodyDiv w:val="1"/>
      <w:marLeft w:val="0"/>
      <w:marRight w:val="0"/>
      <w:marTop w:val="0"/>
      <w:marBottom w:val="0"/>
      <w:divBdr>
        <w:top w:val="none" w:sz="0" w:space="0" w:color="auto"/>
        <w:left w:val="none" w:sz="0" w:space="0" w:color="auto"/>
        <w:bottom w:val="none" w:sz="0" w:space="0" w:color="auto"/>
        <w:right w:val="none" w:sz="0" w:space="0" w:color="auto"/>
      </w:divBdr>
      <w:divsChild>
        <w:div w:id="978804937">
          <w:marLeft w:val="0"/>
          <w:marRight w:val="0"/>
          <w:marTop w:val="0"/>
          <w:marBottom w:val="0"/>
          <w:divBdr>
            <w:top w:val="none" w:sz="0" w:space="0" w:color="auto"/>
            <w:left w:val="none" w:sz="0" w:space="0" w:color="auto"/>
            <w:bottom w:val="none" w:sz="0" w:space="0" w:color="auto"/>
            <w:right w:val="none" w:sz="0" w:space="0" w:color="auto"/>
          </w:divBdr>
          <w:divsChild>
            <w:div w:id="312565251">
              <w:marLeft w:val="0"/>
              <w:marRight w:val="0"/>
              <w:marTop w:val="0"/>
              <w:marBottom w:val="0"/>
              <w:divBdr>
                <w:top w:val="none" w:sz="0" w:space="0" w:color="auto"/>
                <w:left w:val="none" w:sz="0" w:space="0" w:color="auto"/>
                <w:bottom w:val="none" w:sz="0" w:space="0" w:color="auto"/>
                <w:right w:val="none" w:sz="0" w:space="0" w:color="auto"/>
              </w:divBdr>
              <w:divsChild>
                <w:div w:id="1610355624">
                  <w:marLeft w:val="0"/>
                  <w:marRight w:val="0"/>
                  <w:marTop w:val="0"/>
                  <w:marBottom w:val="0"/>
                  <w:divBdr>
                    <w:top w:val="none" w:sz="0" w:space="0" w:color="auto"/>
                    <w:left w:val="none" w:sz="0" w:space="0" w:color="auto"/>
                    <w:bottom w:val="none" w:sz="0" w:space="0" w:color="auto"/>
                    <w:right w:val="none" w:sz="0" w:space="0" w:color="auto"/>
                  </w:divBdr>
                  <w:divsChild>
                    <w:div w:id="1753237782">
                      <w:marLeft w:val="0"/>
                      <w:marRight w:val="0"/>
                      <w:marTop w:val="0"/>
                      <w:marBottom w:val="0"/>
                      <w:divBdr>
                        <w:top w:val="none" w:sz="0" w:space="0" w:color="auto"/>
                        <w:left w:val="none" w:sz="0" w:space="0" w:color="auto"/>
                        <w:bottom w:val="none" w:sz="0" w:space="0" w:color="auto"/>
                        <w:right w:val="none" w:sz="0" w:space="0" w:color="auto"/>
                      </w:divBdr>
                      <w:divsChild>
                        <w:div w:id="94592743">
                          <w:marLeft w:val="0"/>
                          <w:marRight w:val="0"/>
                          <w:marTop w:val="0"/>
                          <w:marBottom w:val="0"/>
                          <w:divBdr>
                            <w:top w:val="none" w:sz="0" w:space="0" w:color="auto"/>
                            <w:left w:val="none" w:sz="0" w:space="0" w:color="auto"/>
                            <w:bottom w:val="none" w:sz="0" w:space="0" w:color="auto"/>
                            <w:right w:val="none" w:sz="0" w:space="0" w:color="auto"/>
                          </w:divBdr>
                          <w:divsChild>
                            <w:div w:id="1369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905852">
      <w:bodyDiv w:val="1"/>
      <w:marLeft w:val="0"/>
      <w:marRight w:val="0"/>
      <w:marTop w:val="0"/>
      <w:marBottom w:val="0"/>
      <w:divBdr>
        <w:top w:val="none" w:sz="0" w:space="0" w:color="auto"/>
        <w:left w:val="none" w:sz="0" w:space="0" w:color="auto"/>
        <w:bottom w:val="none" w:sz="0" w:space="0" w:color="auto"/>
        <w:right w:val="none" w:sz="0" w:space="0" w:color="auto"/>
      </w:divBdr>
      <w:divsChild>
        <w:div w:id="201942013">
          <w:marLeft w:val="0"/>
          <w:marRight w:val="0"/>
          <w:marTop w:val="0"/>
          <w:marBottom w:val="0"/>
          <w:divBdr>
            <w:top w:val="none" w:sz="0" w:space="0" w:color="auto"/>
            <w:left w:val="none" w:sz="0" w:space="0" w:color="auto"/>
            <w:bottom w:val="none" w:sz="0" w:space="0" w:color="auto"/>
            <w:right w:val="none" w:sz="0" w:space="0" w:color="auto"/>
          </w:divBdr>
          <w:divsChild>
            <w:div w:id="1986080942">
              <w:marLeft w:val="0"/>
              <w:marRight w:val="0"/>
              <w:marTop w:val="0"/>
              <w:marBottom w:val="0"/>
              <w:divBdr>
                <w:top w:val="none" w:sz="0" w:space="0" w:color="auto"/>
                <w:left w:val="none" w:sz="0" w:space="0" w:color="auto"/>
                <w:bottom w:val="none" w:sz="0" w:space="0" w:color="auto"/>
                <w:right w:val="none" w:sz="0" w:space="0" w:color="auto"/>
              </w:divBdr>
              <w:divsChild>
                <w:div w:id="1561358644">
                  <w:marLeft w:val="0"/>
                  <w:marRight w:val="0"/>
                  <w:marTop w:val="0"/>
                  <w:marBottom w:val="0"/>
                  <w:divBdr>
                    <w:top w:val="none" w:sz="0" w:space="0" w:color="auto"/>
                    <w:left w:val="none" w:sz="0" w:space="0" w:color="auto"/>
                    <w:bottom w:val="none" w:sz="0" w:space="0" w:color="auto"/>
                    <w:right w:val="none" w:sz="0" w:space="0" w:color="auto"/>
                  </w:divBdr>
                  <w:divsChild>
                    <w:div w:id="1209342493">
                      <w:marLeft w:val="0"/>
                      <w:marRight w:val="0"/>
                      <w:marTop w:val="0"/>
                      <w:marBottom w:val="0"/>
                      <w:divBdr>
                        <w:top w:val="none" w:sz="0" w:space="0" w:color="auto"/>
                        <w:left w:val="none" w:sz="0" w:space="0" w:color="auto"/>
                        <w:bottom w:val="none" w:sz="0" w:space="0" w:color="auto"/>
                        <w:right w:val="none" w:sz="0" w:space="0" w:color="auto"/>
                      </w:divBdr>
                      <w:divsChild>
                        <w:div w:id="1551455677">
                          <w:marLeft w:val="0"/>
                          <w:marRight w:val="0"/>
                          <w:marTop w:val="0"/>
                          <w:marBottom w:val="0"/>
                          <w:divBdr>
                            <w:top w:val="none" w:sz="0" w:space="0" w:color="auto"/>
                            <w:left w:val="none" w:sz="0" w:space="0" w:color="auto"/>
                            <w:bottom w:val="none" w:sz="0" w:space="0" w:color="auto"/>
                            <w:right w:val="none" w:sz="0" w:space="0" w:color="auto"/>
                          </w:divBdr>
                          <w:divsChild>
                            <w:div w:id="10889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785867">
      <w:bodyDiv w:val="1"/>
      <w:marLeft w:val="0"/>
      <w:marRight w:val="0"/>
      <w:marTop w:val="0"/>
      <w:marBottom w:val="0"/>
      <w:divBdr>
        <w:top w:val="none" w:sz="0" w:space="0" w:color="auto"/>
        <w:left w:val="none" w:sz="0" w:space="0" w:color="auto"/>
        <w:bottom w:val="none" w:sz="0" w:space="0" w:color="auto"/>
        <w:right w:val="none" w:sz="0" w:space="0" w:color="auto"/>
      </w:divBdr>
      <w:divsChild>
        <w:div w:id="1767654709">
          <w:marLeft w:val="0"/>
          <w:marRight w:val="0"/>
          <w:marTop w:val="0"/>
          <w:marBottom w:val="0"/>
          <w:divBdr>
            <w:top w:val="none" w:sz="0" w:space="0" w:color="auto"/>
            <w:left w:val="none" w:sz="0" w:space="0" w:color="auto"/>
            <w:bottom w:val="none" w:sz="0" w:space="0" w:color="auto"/>
            <w:right w:val="none" w:sz="0" w:space="0" w:color="auto"/>
          </w:divBdr>
          <w:divsChild>
            <w:div w:id="1070887600">
              <w:marLeft w:val="0"/>
              <w:marRight w:val="0"/>
              <w:marTop w:val="0"/>
              <w:marBottom w:val="0"/>
              <w:divBdr>
                <w:top w:val="none" w:sz="0" w:space="0" w:color="auto"/>
                <w:left w:val="none" w:sz="0" w:space="0" w:color="auto"/>
                <w:bottom w:val="none" w:sz="0" w:space="0" w:color="auto"/>
                <w:right w:val="none" w:sz="0" w:space="0" w:color="auto"/>
              </w:divBdr>
              <w:divsChild>
                <w:div w:id="809399412">
                  <w:marLeft w:val="0"/>
                  <w:marRight w:val="0"/>
                  <w:marTop w:val="0"/>
                  <w:marBottom w:val="0"/>
                  <w:divBdr>
                    <w:top w:val="none" w:sz="0" w:space="0" w:color="auto"/>
                    <w:left w:val="none" w:sz="0" w:space="0" w:color="auto"/>
                    <w:bottom w:val="none" w:sz="0" w:space="0" w:color="auto"/>
                    <w:right w:val="none" w:sz="0" w:space="0" w:color="auto"/>
                  </w:divBdr>
                  <w:divsChild>
                    <w:div w:id="1481845337">
                      <w:marLeft w:val="0"/>
                      <w:marRight w:val="0"/>
                      <w:marTop w:val="0"/>
                      <w:marBottom w:val="0"/>
                      <w:divBdr>
                        <w:top w:val="none" w:sz="0" w:space="0" w:color="auto"/>
                        <w:left w:val="none" w:sz="0" w:space="0" w:color="auto"/>
                        <w:bottom w:val="none" w:sz="0" w:space="0" w:color="auto"/>
                        <w:right w:val="none" w:sz="0" w:space="0" w:color="auto"/>
                      </w:divBdr>
                      <w:divsChild>
                        <w:div w:id="720792756">
                          <w:marLeft w:val="0"/>
                          <w:marRight w:val="0"/>
                          <w:marTop w:val="0"/>
                          <w:marBottom w:val="0"/>
                          <w:divBdr>
                            <w:top w:val="none" w:sz="0" w:space="0" w:color="auto"/>
                            <w:left w:val="none" w:sz="0" w:space="0" w:color="auto"/>
                            <w:bottom w:val="none" w:sz="0" w:space="0" w:color="auto"/>
                            <w:right w:val="none" w:sz="0" w:space="0" w:color="auto"/>
                          </w:divBdr>
                          <w:divsChild>
                            <w:div w:id="174753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793907">
      <w:bodyDiv w:val="1"/>
      <w:marLeft w:val="0"/>
      <w:marRight w:val="0"/>
      <w:marTop w:val="0"/>
      <w:marBottom w:val="0"/>
      <w:divBdr>
        <w:top w:val="none" w:sz="0" w:space="0" w:color="auto"/>
        <w:left w:val="none" w:sz="0" w:space="0" w:color="auto"/>
        <w:bottom w:val="none" w:sz="0" w:space="0" w:color="auto"/>
        <w:right w:val="none" w:sz="0" w:space="0" w:color="auto"/>
      </w:divBdr>
      <w:divsChild>
        <w:div w:id="1128429077">
          <w:marLeft w:val="0"/>
          <w:marRight w:val="0"/>
          <w:marTop w:val="0"/>
          <w:marBottom w:val="0"/>
          <w:divBdr>
            <w:top w:val="none" w:sz="0" w:space="0" w:color="auto"/>
            <w:left w:val="none" w:sz="0" w:space="0" w:color="auto"/>
            <w:bottom w:val="none" w:sz="0" w:space="0" w:color="auto"/>
            <w:right w:val="none" w:sz="0" w:space="0" w:color="auto"/>
          </w:divBdr>
          <w:divsChild>
            <w:div w:id="152571269">
              <w:marLeft w:val="0"/>
              <w:marRight w:val="0"/>
              <w:marTop w:val="0"/>
              <w:marBottom w:val="0"/>
              <w:divBdr>
                <w:top w:val="none" w:sz="0" w:space="0" w:color="auto"/>
                <w:left w:val="none" w:sz="0" w:space="0" w:color="auto"/>
                <w:bottom w:val="none" w:sz="0" w:space="0" w:color="auto"/>
                <w:right w:val="none" w:sz="0" w:space="0" w:color="auto"/>
              </w:divBdr>
              <w:divsChild>
                <w:div w:id="303200208">
                  <w:marLeft w:val="0"/>
                  <w:marRight w:val="0"/>
                  <w:marTop w:val="0"/>
                  <w:marBottom w:val="0"/>
                  <w:divBdr>
                    <w:top w:val="none" w:sz="0" w:space="0" w:color="auto"/>
                    <w:left w:val="none" w:sz="0" w:space="0" w:color="auto"/>
                    <w:bottom w:val="none" w:sz="0" w:space="0" w:color="auto"/>
                    <w:right w:val="none" w:sz="0" w:space="0" w:color="auto"/>
                  </w:divBdr>
                  <w:divsChild>
                    <w:div w:id="1057433219">
                      <w:marLeft w:val="0"/>
                      <w:marRight w:val="0"/>
                      <w:marTop w:val="0"/>
                      <w:marBottom w:val="0"/>
                      <w:divBdr>
                        <w:top w:val="none" w:sz="0" w:space="0" w:color="auto"/>
                        <w:left w:val="none" w:sz="0" w:space="0" w:color="auto"/>
                        <w:bottom w:val="none" w:sz="0" w:space="0" w:color="auto"/>
                        <w:right w:val="none" w:sz="0" w:space="0" w:color="auto"/>
                      </w:divBdr>
                      <w:divsChild>
                        <w:div w:id="163324462">
                          <w:marLeft w:val="0"/>
                          <w:marRight w:val="0"/>
                          <w:marTop w:val="0"/>
                          <w:marBottom w:val="0"/>
                          <w:divBdr>
                            <w:top w:val="none" w:sz="0" w:space="0" w:color="auto"/>
                            <w:left w:val="none" w:sz="0" w:space="0" w:color="auto"/>
                            <w:bottom w:val="none" w:sz="0" w:space="0" w:color="auto"/>
                            <w:right w:val="none" w:sz="0" w:space="0" w:color="auto"/>
                          </w:divBdr>
                          <w:divsChild>
                            <w:div w:id="59783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734404">
      <w:bodyDiv w:val="1"/>
      <w:marLeft w:val="0"/>
      <w:marRight w:val="0"/>
      <w:marTop w:val="0"/>
      <w:marBottom w:val="0"/>
      <w:divBdr>
        <w:top w:val="none" w:sz="0" w:space="0" w:color="auto"/>
        <w:left w:val="none" w:sz="0" w:space="0" w:color="auto"/>
        <w:bottom w:val="none" w:sz="0" w:space="0" w:color="auto"/>
        <w:right w:val="none" w:sz="0" w:space="0" w:color="auto"/>
      </w:divBdr>
      <w:divsChild>
        <w:div w:id="1663653515">
          <w:marLeft w:val="0"/>
          <w:marRight w:val="0"/>
          <w:marTop w:val="0"/>
          <w:marBottom w:val="0"/>
          <w:divBdr>
            <w:top w:val="none" w:sz="0" w:space="0" w:color="auto"/>
            <w:left w:val="none" w:sz="0" w:space="0" w:color="auto"/>
            <w:bottom w:val="none" w:sz="0" w:space="0" w:color="auto"/>
            <w:right w:val="none" w:sz="0" w:space="0" w:color="auto"/>
          </w:divBdr>
          <w:divsChild>
            <w:div w:id="860822819">
              <w:marLeft w:val="0"/>
              <w:marRight w:val="0"/>
              <w:marTop w:val="0"/>
              <w:marBottom w:val="0"/>
              <w:divBdr>
                <w:top w:val="none" w:sz="0" w:space="0" w:color="auto"/>
                <w:left w:val="none" w:sz="0" w:space="0" w:color="auto"/>
                <w:bottom w:val="none" w:sz="0" w:space="0" w:color="auto"/>
                <w:right w:val="none" w:sz="0" w:space="0" w:color="auto"/>
              </w:divBdr>
              <w:divsChild>
                <w:div w:id="2025396374">
                  <w:marLeft w:val="0"/>
                  <w:marRight w:val="0"/>
                  <w:marTop w:val="0"/>
                  <w:marBottom w:val="0"/>
                  <w:divBdr>
                    <w:top w:val="none" w:sz="0" w:space="0" w:color="auto"/>
                    <w:left w:val="none" w:sz="0" w:space="0" w:color="auto"/>
                    <w:bottom w:val="none" w:sz="0" w:space="0" w:color="auto"/>
                    <w:right w:val="none" w:sz="0" w:space="0" w:color="auto"/>
                  </w:divBdr>
                  <w:divsChild>
                    <w:div w:id="576742483">
                      <w:marLeft w:val="0"/>
                      <w:marRight w:val="0"/>
                      <w:marTop w:val="0"/>
                      <w:marBottom w:val="0"/>
                      <w:divBdr>
                        <w:top w:val="none" w:sz="0" w:space="0" w:color="auto"/>
                        <w:left w:val="none" w:sz="0" w:space="0" w:color="auto"/>
                        <w:bottom w:val="none" w:sz="0" w:space="0" w:color="auto"/>
                        <w:right w:val="none" w:sz="0" w:space="0" w:color="auto"/>
                      </w:divBdr>
                      <w:divsChild>
                        <w:div w:id="1434323062">
                          <w:marLeft w:val="0"/>
                          <w:marRight w:val="0"/>
                          <w:marTop w:val="0"/>
                          <w:marBottom w:val="0"/>
                          <w:divBdr>
                            <w:top w:val="none" w:sz="0" w:space="0" w:color="auto"/>
                            <w:left w:val="none" w:sz="0" w:space="0" w:color="auto"/>
                            <w:bottom w:val="none" w:sz="0" w:space="0" w:color="auto"/>
                            <w:right w:val="none" w:sz="0" w:space="0" w:color="auto"/>
                          </w:divBdr>
                          <w:divsChild>
                            <w:div w:id="169962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236132">
      <w:bodyDiv w:val="1"/>
      <w:marLeft w:val="0"/>
      <w:marRight w:val="0"/>
      <w:marTop w:val="0"/>
      <w:marBottom w:val="0"/>
      <w:divBdr>
        <w:top w:val="none" w:sz="0" w:space="0" w:color="auto"/>
        <w:left w:val="none" w:sz="0" w:space="0" w:color="auto"/>
        <w:bottom w:val="none" w:sz="0" w:space="0" w:color="auto"/>
        <w:right w:val="none" w:sz="0" w:space="0" w:color="auto"/>
      </w:divBdr>
      <w:divsChild>
        <w:div w:id="1816490023">
          <w:marLeft w:val="0"/>
          <w:marRight w:val="0"/>
          <w:marTop w:val="0"/>
          <w:marBottom w:val="0"/>
          <w:divBdr>
            <w:top w:val="none" w:sz="0" w:space="0" w:color="auto"/>
            <w:left w:val="none" w:sz="0" w:space="0" w:color="auto"/>
            <w:bottom w:val="none" w:sz="0" w:space="0" w:color="auto"/>
            <w:right w:val="none" w:sz="0" w:space="0" w:color="auto"/>
          </w:divBdr>
          <w:divsChild>
            <w:div w:id="328221233">
              <w:marLeft w:val="0"/>
              <w:marRight w:val="0"/>
              <w:marTop w:val="0"/>
              <w:marBottom w:val="0"/>
              <w:divBdr>
                <w:top w:val="none" w:sz="0" w:space="0" w:color="auto"/>
                <w:left w:val="none" w:sz="0" w:space="0" w:color="auto"/>
                <w:bottom w:val="none" w:sz="0" w:space="0" w:color="auto"/>
                <w:right w:val="none" w:sz="0" w:space="0" w:color="auto"/>
              </w:divBdr>
              <w:divsChild>
                <w:div w:id="15695391">
                  <w:marLeft w:val="0"/>
                  <w:marRight w:val="0"/>
                  <w:marTop w:val="0"/>
                  <w:marBottom w:val="0"/>
                  <w:divBdr>
                    <w:top w:val="none" w:sz="0" w:space="0" w:color="auto"/>
                    <w:left w:val="none" w:sz="0" w:space="0" w:color="auto"/>
                    <w:bottom w:val="none" w:sz="0" w:space="0" w:color="auto"/>
                    <w:right w:val="none" w:sz="0" w:space="0" w:color="auto"/>
                  </w:divBdr>
                  <w:divsChild>
                    <w:div w:id="765805526">
                      <w:marLeft w:val="0"/>
                      <w:marRight w:val="0"/>
                      <w:marTop w:val="0"/>
                      <w:marBottom w:val="0"/>
                      <w:divBdr>
                        <w:top w:val="none" w:sz="0" w:space="0" w:color="auto"/>
                        <w:left w:val="none" w:sz="0" w:space="0" w:color="auto"/>
                        <w:bottom w:val="none" w:sz="0" w:space="0" w:color="auto"/>
                        <w:right w:val="none" w:sz="0" w:space="0" w:color="auto"/>
                      </w:divBdr>
                      <w:divsChild>
                        <w:div w:id="1153136342">
                          <w:marLeft w:val="0"/>
                          <w:marRight w:val="0"/>
                          <w:marTop w:val="0"/>
                          <w:marBottom w:val="0"/>
                          <w:divBdr>
                            <w:top w:val="none" w:sz="0" w:space="0" w:color="auto"/>
                            <w:left w:val="none" w:sz="0" w:space="0" w:color="auto"/>
                            <w:bottom w:val="none" w:sz="0" w:space="0" w:color="auto"/>
                            <w:right w:val="none" w:sz="0" w:space="0" w:color="auto"/>
                          </w:divBdr>
                          <w:divsChild>
                            <w:div w:id="72170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686291">
      <w:bodyDiv w:val="1"/>
      <w:marLeft w:val="0"/>
      <w:marRight w:val="0"/>
      <w:marTop w:val="0"/>
      <w:marBottom w:val="0"/>
      <w:divBdr>
        <w:top w:val="none" w:sz="0" w:space="0" w:color="auto"/>
        <w:left w:val="none" w:sz="0" w:space="0" w:color="auto"/>
        <w:bottom w:val="none" w:sz="0" w:space="0" w:color="auto"/>
        <w:right w:val="none" w:sz="0" w:space="0" w:color="auto"/>
      </w:divBdr>
      <w:divsChild>
        <w:div w:id="537014797">
          <w:marLeft w:val="0"/>
          <w:marRight w:val="0"/>
          <w:marTop w:val="0"/>
          <w:marBottom w:val="0"/>
          <w:divBdr>
            <w:top w:val="none" w:sz="0" w:space="0" w:color="auto"/>
            <w:left w:val="none" w:sz="0" w:space="0" w:color="auto"/>
            <w:bottom w:val="none" w:sz="0" w:space="0" w:color="auto"/>
            <w:right w:val="none" w:sz="0" w:space="0" w:color="auto"/>
          </w:divBdr>
          <w:divsChild>
            <w:div w:id="15667248">
              <w:marLeft w:val="0"/>
              <w:marRight w:val="0"/>
              <w:marTop w:val="0"/>
              <w:marBottom w:val="0"/>
              <w:divBdr>
                <w:top w:val="none" w:sz="0" w:space="0" w:color="auto"/>
                <w:left w:val="none" w:sz="0" w:space="0" w:color="auto"/>
                <w:bottom w:val="none" w:sz="0" w:space="0" w:color="auto"/>
                <w:right w:val="none" w:sz="0" w:space="0" w:color="auto"/>
              </w:divBdr>
              <w:divsChild>
                <w:div w:id="553085669">
                  <w:marLeft w:val="0"/>
                  <w:marRight w:val="0"/>
                  <w:marTop w:val="0"/>
                  <w:marBottom w:val="0"/>
                  <w:divBdr>
                    <w:top w:val="none" w:sz="0" w:space="0" w:color="auto"/>
                    <w:left w:val="none" w:sz="0" w:space="0" w:color="auto"/>
                    <w:bottom w:val="none" w:sz="0" w:space="0" w:color="auto"/>
                    <w:right w:val="none" w:sz="0" w:space="0" w:color="auto"/>
                  </w:divBdr>
                  <w:divsChild>
                    <w:div w:id="813302498">
                      <w:marLeft w:val="0"/>
                      <w:marRight w:val="0"/>
                      <w:marTop w:val="0"/>
                      <w:marBottom w:val="0"/>
                      <w:divBdr>
                        <w:top w:val="none" w:sz="0" w:space="0" w:color="auto"/>
                        <w:left w:val="none" w:sz="0" w:space="0" w:color="auto"/>
                        <w:bottom w:val="none" w:sz="0" w:space="0" w:color="auto"/>
                        <w:right w:val="none" w:sz="0" w:space="0" w:color="auto"/>
                      </w:divBdr>
                      <w:divsChild>
                        <w:div w:id="662778147">
                          <w:marLeft w:val="0"/>
                          <w:marRight w:val="0"/>
                          <w:marTop w:val="0"/>
                          <w:marBottom w:val="0"/>
                          <w:divBdr>
                            <w:top w:val="none" w:sz="0" w:space="0" w:color="auto"/>
                            <w:left w:val="none" w:sz="0" w:space="0" w:color="auto"/>
                            <w:bottom w:val="none" w:sz="0" w:space="0" w:color="auto"/>
                            <w:right w:val="none" w:sz="0" w:space="0" w:color="auto"/>
                          </w:divBdr>
                          <w:divsChild>
                            <w:div w:id="80289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276907">
      <w:bodyDiv w:val="1"/>
      <w:marLeft w:val="0"/>
      <w:marRight w:val="0"/>
      <w:marTop w:val="0"/>
      <w:marBottom w:val="0"/>
      <w:divBdr>
        <w:top w:val="none" w:sz="0" w:space="0" w:color="auto"/>
        <w:left w:val="none" w:sz="0" w:space="0" w:color="auto"/>
        <w:bottom w:val="none" w:sz="0" w:space="0" w:color="auto"/>
        <w:right w:val="none" w:sz="0" w:space="0" w:color="auto"/>
      </w:divBdr>
      <w:divsChild>
        <w:div w:id="2122606377">
          <w:marLeft w:val="0"/>
          <w:marRight w:val="0"/>
          <w:marTop w:val="0"/>
          <w:marBottom w:val="0"/>
          <w:divBdr>
            <w:top w:val="none" w:sz="0" w:space="0" w:color="auto"/>
            <w:left w:val="none" w:sz="0" w:space="0" w:color="auto"/>
            <w:bottom w:val="none" w:sz="0" w:space="0" w:color="auto"/>
            <w:right w:val="none" w:sz="0" w:space="0" w:color="auto"/>
          </w:divBdr>
          <w:divsChild>
            <w:div w:id="1977562789">
              <w:marLeft w:val="0"/>
              <w:marRight w:val="0"/>
              <w:marTop w:val="0"/>
              <w:marBottom w:val="0"/>
              <w:divBdr>
                <w:top w:val="none" w:sz="0" w:space="0" w:color="auto"/>
                <w:left w:val="none" w:sz="0" w:space="0" w:color="auto"/>
                <w:bottom w:val="none" w:sz="0" w:space="0" w:color="auto"/>
                <w:right w:val="none" w:sz="0" w:space="0" w:color="auto"/>
              </w:divBdr>
              <w:divsChild>
                <w:div w:id="1973169111">
                  <w:marLeft w:val="0"/>
                  <w:marRight w:val="0"/>
                  <w:marTop w:val="0"/>
                  <w:marBottom w:val="0"/>
                  <w:divBdr>
                    <w:top w:val="none" w:sz="0" w:space="0" w:color="auto"/>
                    <w:left w:val="none" w:sz="0" w:space="0" w:color="auto"/>
                    <w:bottom w:val="none" w:sz="0" w:space="0" w:color="auto"/>
                    <w:right w:val="none" w:sz="0" w:space="0" w:color="auto"/>
                  </w:divBdr>
                  <w:divsChild>
                    <w:div w:id="1655331699">
                      <w:marLeft w:val="0"/>
                      <w:marRight w:val="0"/>
                      <w:marTop w:val="0"/>
                      <w:marBottom w:val="0"/>
                      <w:divBdr>
                        <w:top w:val="none" w:sz="0" w:space="0" w:color="auto"/>
                        <w:left w:val="none" w:sz="0" w:space="0" w:color="auto"/>
                        <w:bottom w:val="none" w:sz="0" w:space="0" w:color="auto"/>
                        <w:right w:val="none" w:sz="0" w:space="0" w:color="auto"/>
                      </w:divBdr>
                      <w:divsChild>
                        <w:div w:id="327438354">
                          <w:marLeft w:val="0"/>
                          <w:marRight w:val="0"/>
                          <w:marTop w:val="0"/>
                          <w:marBottom w:val="0"/>
                          <w:divBdr>
                            <w:top w:val="none" w:sz="0" w:space="0" w:color="auto"/>
                            <w:left w:val="none" w:sz="0" w:space="0" w:color="auto"/>
                            <w:bottom w:val="none" w:sz="0" w:space="0" w:color="auto"/>
                            <w:right w:val="none" w:sz="0" w:space="0" w:color="auto"/>
                          </w:divBdr>
                          <w:divsChild>
                            <w:div w:id="28168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662307">
      <w:bodyDiv w:val="1"/>
      <w:marLeft w:val="0"/>
      <w:marRight w:val="0"/>
      <w:marTop w:val="0"/>
      <w:marBottom w:val="0"/>
      <w:divBdr>
        <w:top w:val="none" w:sz="0" w:space="0" w:color="auto"/>
        <w:left w:val="none" w:sz="0" w:space="0" w:color="auto"/>
        <w:bottom w:val="none" w:sz="0" w:space="0" w:color="auto"/>
        <w:right w:val="none" w:sz="0" w:space="0" w:color="auto"/>
      </w:divBdr>
      <w:divsChild>
        <w:div w:id="1376125547">
          <w:marLeft w:val="0"/>
          <w:marRight w:val="0"/>
          <w:marTop w:val="0"/>
          <w:marBottom w:val="0"/>
          <w:divBdr>
            <w:top w:val="none" w:sz="0" w:space="0" w:color="auto"/>
            <w:left w:val="none" w:sz="0" w:space="0" w:color="auto"/>
            <w:bottom w:val="none" w:sz="0" w:space="0" w:color="auto"/>
            <w:right w:val="none" w:sz="0" w:space="0" w:color="auto"/>
          </w:divBdr>
          <w:divsChild>
            <w:div w:id="14044958">
              <w:marLeft w:val="0"/>
              <w:marRight w:val="0"/>
              <w:marTop w:val="0"/>
              <w:marBottom w:val="0"/>
              <w:divBdr>
                <w:top w:val="none" w:sz="0" w:space="0" w:color="auto"/>
                <w:left w:val="none" w:sz="0" w:space="0" w:color="auto"/>
                <w:bottom w:val="none" w:sz="0" w:space="0" w:color="auto"/>
                <w:right w:val="none" w:sz="0" w:space="0" w:color="auto"/>
              </w:divBdr>
              <w:divsChild>
                <w:div w:id="1413695953">
                  <w:marLeft w:val="0"/>
                  <w:marRight w:val="0"/>
                  <w:marTop w:val="0"/>
                  <w:marBottom w:val="0"/>
                  <w:divBdr>
                    <w:top w:val="none" w:sz="0" w:space="0" w:color="auto"/>
                    <w:left w:val="none" w:sz="0" w:space="0" w:color="auto"/>
                    <w:bottom w:val="none" w:sz="0" w:space="0" w:color="auto"/>
                    <w:right w:val="none" w:sz="0" w:space="0" w:color="auto"/>
                  </w:divBdr>
                  <w:divsChild>
                    <w:div w:id="21632761">
                      <w:marLeft w:val="0"/>
                      <w:marRight w:val="0"/>
                      <w:marTop w:val="0"/>
                      <w:marBottom w:val="0"/>
                      <w:divBdr>
                        <w:top w:val="none" w:sz="0" w:space="0" w:color="auto"/>
                        <w:left w:val="none" w:sz="0" w:space="0" w:color="auto"/>
                        <w:bottom w:val="none" w:sz="0" w:space="0" w:color="auto"/>
                        <w:right w:val="none" w:sz="0" w:space="0" w:color="auto"/>
                      </w:divBdr>
                      <w:divsChild>
                        <w:div w:id="1176118131">
                          <w:marLeft w:val="0"/>
                          <w:marRight w:val="0"/>
                          <w:marTop w:val="0"/>
                          <w:marBottom w:val="0"/>
                          <w:divBdr>
                            <w:top w:val="none" w:sz="0" w:space="0" w:color="auto"/>
                            <w:left w:val="none" w:sz="0" w:space="0" w:color="auto"/>
                            <w:bottom w:val="none" w:sz="0" w:space="0" w:color="auto"/>
                            <w:right w:val="none" w:sz="0" w:space="0" w:color="auto"/>
                          </w:divBdr>
                          <w:divsChild>
                            <w:div w:id="2079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060305">
      <w:bodyDiv w:val="1"/>
      <w:marLeft w:val="0"/>
      <w:marRight w:val="0"/>
      <w:marTop w:val="0"/>
      <w:marBottom w:val="0"/>
      <w:divBdr>
        <w:top w:val="none" w:sz="0" w:space="0" w:color="auto"/>
        <w:left w:val="none" w:sz="0" w:space="0" w:color="auto"/>
        <w:bottom w:val="none" w:sz="0" w:space="0" w:color="auto"/>
        <w:right w:val="none" w:sz="0" w:space="0" w:color="auto"/>
      </w:divBdr>
      <w:divsChild>
        <w:div w:id="1334644993">
          <w:marLeft w:val="0"/>
          <w:marRight w:val="0"/>
          <w:marTop w:val="0"/>
          <w:marBottom w:val="0"/>
          <w:divBdr>
            <w:top w:val="none" w:sz="0" w:space="0" w:color="auto"/>
            <w:left w:val="none" w:sz="0" w:space="0" w:color="auto"/>
            <w:bottom w:val="none" w:sz="0" w:space="0" w:color="auto"/>
            <w:right w:val="none" w:sz="0" w:space="0" w:color="auto"/>
          </w:divBdr>
          <w:divsChild>
            <w:div w:id="1042172014">
              <w:marLeft w:val="0"/>
              <w:marRight w:val="0"/>
              <w:marTop w:val="0"/>
              <w:marBottom w:val="0"/>
              <w:divBdr>
                <w:top w:val="none" w:sz="0" w:space="0" w:color="auto"/>
                <w:left w:val="none" w:sz="0" w:space="0" w:color="auto"/>
                <w:bottom w:val="none" w:sz="0" w:space="0" w:color="auto"/>
                <w:right w:val="none" w:sz="0" w:space="0" w:color="auto"/>
              </w:divBdr>
              <w:divsChild>
                <w:div w:id="533226191">
                  <w:marLeft w:val="0"/>
                  <w:marRight w:val="0"/>
                  <w:marTop w:val="0"/>
                  <w:marBottom w:val="0"/>
                  <w:divBdr>
                    <w:top w:val="none" w:sz="0" w:space="0" w:color="auto"/>
                    <w:left w:val="none" w:sz="0" w:space="0" w:color="auto"/>
                    <w:bottom w:val="none" w:sz="0" w:space="0" w:color="auto"/>
                    <w:right w:val="none" w:sz="0" w:space="0" w:color="auto"/>
                  </w:divBdr>
                  <w:divsChild>
                    <w:div w:id="222177797">
                      <w:marLeft w:val="0"/>
                      <w:marRight w:val="0"/>
                      <w:marTop w:val="0"/>
                      <w:marBottom w:val="0"/>
                      <w:divBdr>
                        <w:top w:val="none" w:sz="0" w:space="0" w:color="auto"/>
                        <w:left w:val="none" w:sz="0" w:space="0" w:color="auto"/>
                        <w:bottom w:val="none" w:sz="0" w:space="0" w:color="auto"/>
                        <w:right w:val="none" w:sz="0" w:space="0" w:color="auto"/>
                      </w:divBdr>
                      <w:divsChild>
                        <w:div w:id="363673577">
                          <w:marLeft w:val="0"/>
                          <w:marRight w:val="0"/>
                          <w:marTop w:val="0"/>
                          <w:marBottom w:val="0"/>
                          <w:divBdr>
                            <w:top w:val="none" w:sz="0" w:space="0" w:color="auto"/>
                            <w:left w:val="none" w:sz="0" w:space="0" w:color="auto"/>
                            <w:bottom w:val="none" w:sz="0" w:space="0" w:color="auto"/>
                            <w:right w:val="none" w:sz="0" w:space="0" w:color="auto"/>
                          </w:divBdr>
                          <w:divsChild>
                            <w:div w:id="9813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413329">
      <w:bodyDiv w:val="1"/>
      <w:marLeft w:val="0"/>
      <w:marRight w:val="0"/>
      <w:marTop w:val="0"/>
      <w:marBottom w:val="0"/>
      <w:divBdr>
        <w:top w:val="none" w:sz="0" w:space="0" w:color="auto"/>
        <w:left w:val="none" w:sz="0" w:space="0" w:color="auto"/>
        <w:bottom w:val="none" w:sz="0" w:space="0" w:color="auto"/>
        <w:right w:val="none" w:sz="0" w:space="0" w:color="auto"/>
      </w:divBdr>
      <w:divsChild>
        <w:div w:id="269439695">
          <w:marLeft w:val="0"/>
          <w:marRight w:val="0"/>
          <w:marTop w:val="0"/>
          <w:marBottom w:val="0"/>
          <w:divBdr>
            <w:top w:val="none" w:sz="0" w:space="0" w:color="auto"/>
            <w:left w:val="none" w:sz="0" w:space="0" w:color="auto"/>
            <w:bottom w:val="none" w:sz="0" w:space="0" w:color="auto"/>
            <w:right w:val="none" w:sz="0" w:space="0" w:color="auto"/>
          </w:divBdr>
          <w:divsChild>
            <w:div w:id="650908580">
              <w:marLeft w:val="0"/>
              <w:marRight w:val="0"/>
              <w:marTop w:val="0"/>
              <w:marBottom w:val="0"/>
              <w:divBdr>
                <w:top w:val="none" w:sz="0" w:space="0" w:color="auto"/>
                <w:left w:val="none" w:sz="0" w:space="0" w:color="auto"/>
                <w:bottom w:val="none" w:sz="0" w:space="0" w:color="auto"/>
                <w:right w:val="none" w:sz="0" w:space="0" w:color="auto"/>
              </w:divBdr>
              <w:divsChild>
                <w:div w:id="771169940">
                  <w:marLeft w:val="0"/>
                  <w:marRight w:val="0"/>
                  <w:marTop w:val="0"/>
                  <w:marBottom w:val="0"/>
                  <w:divBdr>
                    <w:top w:val="none" w:sz="0" w:space="0" w:color="auto"/>
                    <w:left w:val="none" w:sz="0" w:space="0" w:color="auto"/>
                    <w:bottom w:val="none" w:sz="0" w:space="0" w:color="auto"/>
                    <w:right w:val="none" w:sz="0" w:space="0" w:color="auto"/>
                  </w:divBdr>
                  <w:divsChild>
                    <w:div w:id="1135416746">
                      <w:marLeft w:val="0"/>
                      <w:marRight w:val="0"/>
                      <w:marTop w:val="0"/>
                      <w:marBottom w:val="0"/>
                      <w:divBdr>
                        <w:top w:val="none" w:sz="0" w:space="0" w:color="auto"/>
                        <w:left w:val="none" w:sz="0" w:space="0" w:color="auto"/>
                        <w:bottom w:val="none" w:sz="0" w:space="0" w:color="auto"/>
                        <w:right w:val="none" w:sz="0" w:space="0" w:color="auto"/>
                      </w:divBdr>
                      <w:divsChild>
                        <w:div w:id="370766744">
                          <w:marLeft w:val="0"/>
                          <w:marRight w:val="0"/>
                          <w:marTop w:val="0"/>
                          <w:marBottom w:val="0"/>
                          <w:divBdr>
                            <w:top w:val="none" w:sz="0" w:space="0" w:color="auto"/>
                            <w:left w:val="none" w:sz="0" w:space="0" w:color="auto"/>
                            <w:bottom w:val="none" w:sz="0" w:space="0" w:color="auto"/>
                            <w:right w:val="none" w:sz="0" w:space="0" w:color="auto"/>
                          </w:divBdr>
                          <w:divsChild>
                            <w:div w:id="66220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626959">
      <w:bodyDiv w:val="1"/>
      <w:marLeft w:val="0"/>
      <w:marRight w:val="0"/>
      <w:marTop w:val="0"/>
      <w:marBottom w:val="0"/>
      <w:divBdr>
        <w:top w:val="none" w:sz="0" w:space="0" w:color="auto"/>
        <w:left w:val="none" w:sz="0" w:space="0" w:color="auto"/>
        <w:bottom w:val="none" w:sz="0" w:space="0" w:color="auto"/>
        <w:right w:val="none" w:sz="0" w:space="0" w:color="auto"/>
      </w:divBdr>
      <w:divsChild>
        <w:div w:id="600573898">
          <w:marLeft w:val="0"/>
          <w:marRight w:val="0"/>
          <w:marTop w:val="0"/>
          <w:marBottom w:val="0"/>
          <w:divBdr>
            <w:top w:val="none" w:sz="0" w:space="0" w:color="auto"/>
            <w:left w:val="none" w:sz="0" w:space="0" w:color="auto"/>
            <w:bottom w:val="none" w:sz="0" w:space="0" w:color="auto"/>
            <w:right w:val="none" w:sz="0" w:space="0" w:color="auto"/>
          </w:divBdr>
          <w:divsChild>
            <w:div w:id="467018665">
              <w:marLeft w:val="0"/>
              <w:marRight w:val="0"/>
              <w:marTop w:val="0"/>
              <w:marBottom w:val="0"/>
              <w:divBdr>
                <w:top w:val="none" w:sz="0" w:space="0" w:color="auto"/>
                <w:left w:val="none" w:sz="0" w:space="0" w:color="auto"/>
                <w:bottom w:val="none" w:sz="0" w:space="0" w:color="auto"/>
                <w:right w:val="none" w:sz="0" w:space="0" w:color="auto"/>
              </w:divBdr>
              <w:divsChild>
                <w:div w:id="1369988020">
                  <w:marLeft w:val="0"/>
                  <w:marRight w:val="0"/>
                  <w:marTop w:val="0"/>
                  <w:marBottom w:val="0"/>
                  <w:divBdr>
                    <w:top w:val="none" w:sz="0" w:space="0" w:color="auto"/>
                    <w:left w:val="none" w:sz="0" w:space="0" w:color="auto"/>
                    <w:bottom w:val="none" w:sz="0" w:space="0" w:color="auto"/>
                    <w:right w:val="none" w:sz="0" w:space="0" w:color="auto"/>
                  </w:divBdr>
                  <w:divsChild>
                    <w:div w:id="1738506031">
                      <w:marLeft w:val="0"/>
                      <w:marRight w:val="0"/>
                      <w:marTop w:val="0"/>
                      <w:marBottom w:val="0"/>
                      <w:divBdr>
                        <w:top w:val="none" w:sz="0" w:space="0" w:color="auto"/>
                        <w:left w:val="none" w:sz="0" w:space="0" w:color="auto"/>
                        <w:bottom w:val="none" w:sz="0" w:space="0" w:color="auto"/>
                        <w:right w:val="none" w:sz="0" w:space="0" w:color="auto"/>
                      </w:divBdr>
                      <w:divsChild>
                        <w:div w:id="811488515">
                          <w:marLeft w:val="0"/>
                          <w:marRight w:val="0"/>
                          <w:marTop w:val="0"/>
                          <w:marBottom w:val="0"/>
                          <w:divBdr>
                            <w:top w:val="none" w:sz="0" w:space="0" w:color="auto"/>
                            <w:left w:val="none" w:sz="0" w:space="0" w:color="auto"/>
                            <w:bottom w:val="none" w:sz="0" w:space="0" w:color="auto"/>
                            <w:right w:val="none" w:sz="0" w:space="0" w:color="auto"/>
                          </w:divBdr>
                          <w:divsChild>
                            <w:div w:id="84633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024706">
      <w:bodyDiv w:val="1"/>
      <w:marLeft w:val="0"/>
      <w:marRight w:val="0"/>
      <w:marTop w:val="0"/>
      <w:marBottom w:val="0"/>
      <w:divBdr>
        <w:top w:val="none" w:sz="0" w:space="0" w:color="auto"/>
        <w:left w:val="none" w:sz="0" w:space="0" w:color="auto"/>
        <w:bottom w:val="none" w:sz="0" w:space="0" w:color="auto"/>
        <w:right w:val="none" w:sz="0" w:space="0" w:color="auto"/>
      </w:divBdr>
      <w:divsChild>
        <w:div w:id="1019893021">
          <w:marLeft w:val="0"/>
          <w:marRight w:val="0"/>
          <w:marTop w:val="0"/>
          <w:marBottom w:val="0"/>
          <w:divBdr>
            <w:top w:val="none" w:sz="0" w:space="0" w:color="auto"/>
            <w:left w:val="none" w:sz="0" w:space="0" w:color="auto"/>
            <w:bottom w:val="none" w:sz="0" w:space="0" w:color="auto"/>
            <w:right w:val="none" w:sz="0" w:space="0" w:color="auto"/>
          </w:divBdr>
          <w:divsChild>
            <w:div w:id="1582594161">
              <w:marLeft w:val="0"/>
              <w:marRight w:val="0"/>
              <w:marTop w:val="0"/>
              <w:marBottom w:val="0"/>
              <w:divBdr>
                <w:top w:val="none" w:sz="0" w:space="0" w:color="auto"/>
                <w:left w:val="none" w:sz="0" w:space="0" w:color="auto"/>
                <w:bottom w:val="none" w:sz="0" w:space="0" w:color="auto"/>
                <w:right w:val="none" w:sz="0" w:space="0" w:color="auto"/>
              </w:divBdr>
              <w:divsChild>
                <w:div w:id="2115251019">
                  <w:marLeft w:val="0"/>
                  <w:marRight w:val="0"/>
                  <w:marTop w:val="0"/>
                  <w:marBottom w:val="0"/>
                  <w:divBdr>
                    <w:top w:val="none" w:sz="0" w:space="0" w:color="auto"/>
                    <w:left w:val="none" w:sz="0" w:space="0" w:color="auto"/>
                    <w:bottom w:val="none" w:sz="0" w:space="0" w:color="auto"/>
                    <w:right w:val="none" w:sz="0" w:space="0" w:color="auto"/>
                  </w:divBdr>
                  <w:divsChild>
                    <w:div w:id="1860973962">
                      <w:marLeft w:val="0"/>
                      <w:marRight w:val="0"/>
                      <w:marTop w:val="0"/>
                      <w:marBottom w:val="0"/>
                      <w:divBdr>
                        <w:top w:val="none" w:sz="0" w:space="0" w:color="auto"/>
                        <w:left w:val="none" w:sz="0" w:space="0" w:color="auto"/>
                        <w:bottom w:val="none" w:sz="0" w:space="0" w:color="auto"/>
                        <w:right w:val="none" w:sz="0" w:space="0" w:color="auto"/>
                      </w:divBdr>
                      <w:divsChild>
                        <w:div w:id="1004236974">
                          <w:marLeft w:val="0"/>
                          <w:marRight w:val="0"/>
                          <w:marTop w:val="0"/>
                          <w:marBottom w:val="0"/>
                          <w:divBdr>
                            <w:top w:val="none" w:sz="0" w:space="0" w:color="auto"/>
                            <w:left w:val="none" w:sz="0" w:space="0" w:color="auto"/>
                            <w:bottom w:val="none" w:sz="0" w:space="0" w:color="auto"/>
                            <w:right w:val="none" w:sz="0" w:space="0" w:color="auto"/>
                          </w:divBdr>
                          <w:divsChild>
                            <w:div w:id="152439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025433">
      <w:bodyDiv w:val="1"/>
      <w:marLeft w:val="0"/>
      <w:marRight w:val="0"/>
      <w:marTop w:val="0"/>
      <w:marBottom w:val="0"/>
      <w:divBdr>
        <w:top w:val="none" w:sz="0" w:space="0" w:color="auto"/>
        <w:left w:val="none" w:sz="0" w:space="0" w:color="auto"/>
        <w:bottom w:val="none" w:sz="0" w:space="0" w:color="auto"/>
        <w:right w:val="none" w:sz="0" w:space="0" w:color="auto"/>
      </w:divBdr>
    </w:div>
    <w:div w:id="2046327492">
      <w:bodyDiv w:val="1"/>
      <w:marLeft w:val="0"/>
      <w:marRight w:val="0"/>
      <w:marTop w:val="0"/>
      <w:marBottom w:val="0"/>
      <w:divBdr>
        <w:top w:val="none" w:sz="0" w:space="0" w:color="auto"/>
        <w:left w:val="none" w:sz="0" w:space="0" w:color="auto"/>
        <w:bottom w:val="none" w:sz="0" w:space="0" w:color="auto"/>
        <w:right w:val="none" w:sz="0" w:space="0" w:color="auto"/>
      </w:divBdr>
      <w:divsChild>
        <w:div w:id="987897985">
          <w:marLeft w:val="0"/>
          <w:marRight w:val="0"/>
          <w:marTop w:val="0"/>
          <w:marBottom w:val="0"/>
          <w:divBdr>
            <w:top w:val="none" w:sz="0" w:space="0" w:color="auto"/>
            <w:left w:val="none" w:sz="0" w:space="0" w:color="auto"/>
            <w:bottom w:val="none" w:sz="0" w:space="0" w:color="auto"/>
            <w:right w:val="none" w:sz="0" w:space="0" w:color="auto"/>
          </w:divBdr>
          <w:divsChild>
            <w:div w:id="101997970">
              <w:marLeft w:val="0"/>
              <w:marRight w:val="0"/>
              <w:marTop w:val="0"/>
              <w:marBottom w:val="0"/>
              <w:divBdr>
                <w:top w:val="none" w:sz="0" w:space="0" w:color="auto"/>
                <w:left w:val="none" w:sz="0" w:space="0" w:color="auto"/>
                <w:bottom w:val="none" w:sz="0" w:space="0" w:color="auto"/>
                <w:right w:val="none" w:sz="0" w:space="0" w:color="auto"/>
              </w:divBdr>
              <w:divsChild>
                <w:div w:id="1327630814">
                  <w:marLeft w:val="0"/>
                  <w:marRight w:val="0"/>
                  <w:marTop w:val="0"/>
                  <w:marBottom w:val="0"/>
                  <w:divBdr>
                    <w:top w:val="none" w:sz="0" w:space="0" w:color="auto"/>
                    <w:left w:val="none" w:sz="0" w:space="0" w:color="auto"/>
                    <w:bottom w:val="none" w:sz="0" w:space="0" w:color="auto"/>
                    <w:right w:val="none" w:sz="0" w:space="0" w:color="auto"/>
                  </w:divBdr>
                  <w:divsChild>
                    <w:div w:id="2110271190">
                      <w:marLeft w:val="0"/>
                      <w:marRight w:val="0"/>
                      <w:marTop w:val="0"/>
                      <w:marBottom w:val="0"/>
                      <w:divBdr>
                        <w:top w:val="none" w:sz="0" w:space="0" w:color="auto"/>
                        <w:left w:val="none" w:sz="0" w:space="0" w:color="auto"/>
                        <w:bottom w:val="none" w:sz="0" w:space="0" w:color="auto"/>
                        <w:right w:val="none" w:sz="0" w:space="0" w:color="auto"/>
                      </w:divBdr>
                      <w:divsChild>
                        <w:div w:id="1993368356">
                          <w:marLeft w:val="0"/>
                          <w:marRight w:val="0"/>
                          <w:marTop w:val="0"/>
                          <w:marBottom w:val="0"/>
                          <w:divBdr>
                            <w:top w:val="none" w:sz="0" w:space="0" w:color="auto"/>
                            <w:left w:val="none" w:sz="0" w:space="0" w:color="auto"/>
                            <w:bottom w:val="none" w:sz="0" w:space="0" w:color="auto"/>
                            <w:right w:val="none" w:sz="0" w:space="0" w:color="auto"/>
                          </w:divBdr>
                          <w:divsChild>
                            <w:div w:id="5364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456950">
      <w:bodyDiv w:val="1"/>
      <w:marLeft w:val="0"/>
      <w:marRight w:val="0"/>
      <w:marTop w:val="0"/>
      <w:marBottom w:val="0"/>
      <w:divBdr>
        <w:top w:val="none" w:sz="0" w:space="0" w:color="auto"/>
        <w:left w:val="none" w:sz="0" w:space="0" w:color="auto"/>
        <w:bottom w:val="none" w:sz="0" w:space="0" w:color="auto"/>
        <w:right w:val="none" w:sz="0" w:space="0" w:color="auto"/>
      </w:divBdr>
      <w:divsChild>
        <w:div w:id="587538888">
          <w:marLeft w:val="0"/>
          <w:marRight w:val="0"/>
          <w:marTop w:val="0"/>
          <w:marBottom w:val="0"/>
          <w:divBdr>
            <w:top w:val="none" w:sz="0" w:space="0" w:color="auto"/>
            <w:left w:val="none" w:sz="0" w:space="0" w:color="auto"/>
            <w:bottom w:val="none" w:sz="0" w:space="0" w:color="auto"/>
            <w:right w:val="none" w:sz="0" w:space="0" w:color="auto"/>
          </w:divBdr>
          <w:divsChild>
            <w:div w:id="27343180">
              <w:marLeft w:val="0"/>
              <w:marRight w:val="0"/>
              <w:marTop w:val="0"/>
              <w:marBottom w:val="0"/>
              <w:divBdr>
                <w:top w:val="none" w:sz="0" w:space="0" w:color="auto"/>
                <w:left w:val="none" w:sz="0" w:space="0" w:color="auto"/>
                <w:bottom w:val="none" w:sz="0" w:space="0" w:color="auto"/>
                <w:right w:val="none" w:sz="0" w:space="0" w:color="auto"/>
              </w:divBdr>
              <w:divsChild>
                <w:div w:id="564682045">
                  <w:marLeft w:val="0"/>
                  <w:marRight w:val="0"/>
                  <w:marTop w:val="0"/>
                  <w:marBottom w:val="0"/>
                  <w:divBdr>
                    <w:top w:val="none" w:sz="0" w:space="0" w:color="auto"/>
                    <w:left w:val="none" w:sz="0" w:space="0" w:color="auto"/>
                    <w:bottom w:val="none" w:sz="0" w:space="0" w:color="auto"/>
                    <w:right w:val="none" w:sz="0" w:space="0" w:color="auto"/>
                  </w:divBdr>
                  <w:divsChild>
                    <w:div w:id="1206409486">
                      <w:marLeft w:val="0"/>
                      <w:marRight w:val="0"/>
                      <w:marTop w:val="0"/>
                      <w:marBottom w:val="0"/>
                      <w:divBdr>
                        <w:top w:val="none" w:sz="0" w:space="0" w:color="auto"/>
                        <w:left w:val="none" w:sz="0" w:space="0" w:color="auto"/>
                        <w:bottom w:val="none" w:sz="0" w:space="0" w:color="auto"/>
                        <w:right w:val="none" w:sz="0" w:space="0" w:color="auto"/>
                      </w:divBdr>
                      <w:divsChild>
                        <w:div w:id="949119719">
                          <w:marLeft w:val="0"/>
                          <w:marRight w:val="0"/>
                          <w:marTop w:val="0"/>
                          <w:marBottom w:val="0"/>
                          <w:divBdr>
                            <w:top w:val="none" w:sz="0" w:space="0" w:color="auto"/>
                            <w:left w:val="none" w:sz="0" w:space="0" w:color="auto"/>
                            <w:bottom w:val="none" w:sz="0" w:space="0" w:color="auto"/>
                            <w:right w:val="none" w:sz="0" w:space="0" w:color="auto"/>
                          </w:divBdr>
                          <w:divsChild>
                            <w:div w:id="102363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DC541C-2272-4825-B519-64D99ABE22DF}">
  <ds:schemaRefs>
    <ds:schemaRef ds:uri="http://schemas.openxmlformats.org/officeDocument/2006/bibliography"/>
  </ds:schemaRefs>
</ds:datastoreItem>
</file>

<file path=customXml/itemProps2.xml><?xml version="1.0" encoding="utf-8"?>
<ds:datastoreItem xmlns:ds="http://schemas.openxmlformats.org/officeDocument/2006/customXml" ds:itemID="{0F9D2396-FFF1-4379-94A6-D6EA5CAF49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384571-E335-4383-A424-DEA6B8FAE7A7}">
  <ds:schemaRefs>
    <ds:schemaRef ds:uri="http://schemas.microsoft.com/sharepoint/v3/contenttype/forms"/>
  </ds:schemaRefs>
</ds:datastoreItem>
</file>

<file path=customXml/itemProps4.xml><?xml version="1.0" encoding="utf-8"?>
<ds:datastoreItem xmlns:ds="http://schemas.openxmlformats.org/officeDocument/2006/customXml" ds:itemID="{91AA6E04-34C3-47B2-B95A-BE1C46073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12128</Words>
  <Characters>72774</Characters>
  <Application>Microsoft Office Word</Application>
  <DocSecurity>0</DocSecurity>
  <Lines>606</Lines>
  <Paragraphs>169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84733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2021-06-08T07:18:00Z</cp:lastPrinted>
  <dcterms:created xsi:type="dcterms:W3CDTF">2023-07-18T13:22:00Z</dcterms:created>
  <dcterms:modified xsi:type="dcterms:W3CDTF">2023-07-18T13:22:00Z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45512/11</vt:lpwstr>
  </property>
  <property fmtid="{D5CDD505-2E9C-101B-9397-08002B2CF9AE}" pid="4" name="CASEID">
    <vt:lpwstr>735039</vt:lpwstr>
  </property>
  <property fmtid="{D5CDD505-2E9C-101B-9397-08002B2CF9AE}" pid="5" name="ContentTypeId">
    <vt:lpwstr>0x010100558EB02BDB9E204AB350EDD385B68E10</vt:lpwstr>
  </property>
</Properties>
</file>